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19A3D" w14:textId="18D69305" w:rsidR="009076C6" w:rsidRPr="00FC0E00" w:rsidRDefault="009076C6" w:rsidP="00FC0E00">
      <w:pPr>
        <w:widowControl w:val="0"/>
        <w:adjustRightInd w:val="0"/>
        <w:snapToGrid w:val="0"/>
        <w:spacing w:after="0" w:line="360" w:lineRule="auto"/>
        <w:jc w:val="both"/>
        <w:rPr>
          <w:rFonts w:ascii="Book Antiqua" w:eastAsia="Times New Roman" w:hAnsi="Book Antiqua" w:cs="宋体"/>
          <w:b/>
          <w:i/>
          <w:kern w:val="2"/>
          <w:sz w:val="24"/>
          <w:szCs w:val="24"/>
          <w:lang w:val="en-US" w:eastAsia="zh-CN"/>
        </w:rPr>
      </w:pPr>
      <w:bookmarkStart w:id="0" w:name="_Hlk33636598"/>
      <w:r w:rsidRPr="00FC0E00">
        <w:rPr>
          <w:rFonts w:ascii="Book Antiqua" w:eastAsia="Times New Roman" w:hAnsi="Book Antiqua" w:cs="宋体"/>
          <w:b/>
          <w:kern w:val="2"/>
          <w:sz w:val="24"/>
          <w:szCs w:val="24"/>
          <w:lang w:val="en-US" w:eastAsia="zh-CN"/>
        </w:rPr>
        <w:t xml:space="preserve">Name of Journal: </w:t>
      </w:r>
      <w:r w:rsidRPr="00FC0E00">
        <w:rPr>
          <w:rFonts w:ascii="Book Antiqua" w:eastAsia="Times New Roman" w:hAnsi="Book Antiqua" w:cs="宋体"/>
          <w:i/>
          <w:kern w:val="2"/>
          <w:sz w:val="24"/>
          <w:szCs w:val="24"/>
          <w:lang w:val="en-US" w:eastAsia="zh-CN"/>
        </w:rPr>
        <w:t>World Journal of Gastroenterology</w:t>
      </w:r>
    </w:p>
    <w:p w14:paraId="3A16EEBA" w14:textId="77777777" w:rsidR="009076C6" w:rsidRPr="00FC0E00" w:rsidRDefault="009076C6" w:rsidP="00FC0E00">
      <w:pPr>
        <w:widowControl w:val="0"/>
        <w:adjustRightInd w:val="0"/>
        <w:snapToGrid w:val="0"/>
        <w:spacing w:after="0" w:line="360" w:lineRule="auto"/>
        <w:jc w:val="both"/>
        <w:rPr>
          <w:rFonts w:ascii="Book Antiqua" w:eastAsia="宋体" w:hAnsi="Book Antiqua" w:cs="Arial"/>
          <w:bCs/>
          <w:kern w:val="2"/>
          <w:sz w:val="24"/>
          <w:szCs w:val="24"/>
          <w:lang w:eastAsia="zh-CN"/>
        </w:rPr>
      </w:pPr>
      <w:r w:rsidRPr="00FC0E00">
        <w:rPr>
          <w:rFonts w:ascii="Book Antiqua" w:eastAsia="Times New Roman" w:hAnsi="Book Antiqua" w:cs="Times New Roman"/>
          <w:b/>
          <w:bCs/>
          <w:kern w:val="2"/>
          <w:sz w:val="24"/>
          <w:szCs w:val="24"/>
          <w:lang w:val="en-US" w:eastAsia="zh-CN"/>
        </w:rPr>
        <w:t>Manuscript NO</w:t>
      </w:r>
      <w:r w:rsidRPr="00FC0E00">
        <w:rPr>
          <w:rFonts w:ascii="Book Antiqua" w:eastAsia="宋体" w:hAnsi="Book Antiqua" w:cs="Arial"/>
          <w:b/>
          <w:kern w:val="2"/>
          <w:sz w:val="24"/>
          <w:szCs w:val="24"/>
          <w:lang w:val="en" w:eastAsia="zh-CN"/>
        </w:rPr>
        <w:t xml:space="preserve">: </w:t>
      </w:r>
      <w:r w:rsidRPr="00FC0E00">
        <w:rPr>
          <w:rFonts w:ascii="Book Antiqua" w:eastAsia="宋体" w:hAnsi="Book Antiqua" w:cs="Arial"/>
          <w:bCs/>
          <w:kern w:val="2"/>
          <w:sz w:val="24"/>
          <w:szCs w:val="24"/>
          <w:lang w:val="en" w:eastAsia="zh-CN"/>
        </w:rPr>
        <w:t>53933</w:t>
      </w:r>
    </w:p>
    <w:p w14:paraId="1CD123DF" w14:textId="77777777" w:rsidR="009076C6" w:rsidRPr="00FC0E00" w:rsidRDefault="009076C6" w:rsidP="00FC0E00">
      <w:pPr>
        <w:widowControl w:val="0"/>
        <w:adjustRightInd w:val="0"/>
        <w:snapToGrid w:val="0"/>
        <w:spacing w:after="0" w:line="360" w:lineRule="auto"/>
        <w:jc w:val="both"/>
        <w:rPr>
          <w:rFonts w:ascii="Book Antiqua" w:hAnsi="Book Antiqua"/>
          <w:sz w:val="24"/>
          <w:szCs w:val="24"/>
        </w:rPr>
      </w:pPr>
      <w:bookmarkStart w:id="1" w:name="OLE_LINK4"/>
      <w:bookmarkStart w:id="2" w:name="OLE_LINK3"/>
      <w:r w:rsidRPr="00FC0E00">
        <w:rPr>
          <w:rFonts w:ascii="Book Antiqua" w:eastAsia="宋体" w:hAnsi="Book Antiqua" w:cs="Times New Roman"/>
          <w:b/>
          <w:kern w:val="2"/>
          <w:sz w:val="24"/>
          <w:szCs w:val="24"/>
          <w:lang w:val="en-US" w:eastAsia="zh-CN"/>
        </w:rPr>
        <w:t xml:space="preserve">Manuscript Type: </w:t>
      </w:r>
      <w:bookmarkEnd w:id="1"/>
      <w:bookmarkEnd w:id="2"/>
      <w:r w:rsidRPr="00FC0E00">
        <w:rPr>
          <w:rFonts w:ascii="Book Antiqua" w:hAnsi="Book Antiqua"/>
          <w:sz w:val="24"/>
          <w:szCs w:val="24"/>
        </w:rPr>
        <w:t>OPINION REVIEW</w:t>
      </w:r>
    </w:p>
    <w:p w14:paraId="1E59F4BC" w14:textId="77777777" w:rsidR="009076C6" w:rsidRPr="00FC0E00" w:rsidRDefault="009076C6" w:rsidP="00FC0E00">
      <w:pPr>
        <w:widowControl w:val="0"/>
        <w:adjustRightInd w:val="0"/>
        <w:snapToGrid w:val="0"/>
        <w:spacing w:after="0" w:line="360" w:lineRule="auto"/>
        <w:jc w:val="both"/>
        <w:rPr>
          <w:rFonts w:ascii="Book Antiqua" w:eastAsia="宋体" w:hAnsi="Book Antiqua" w:cs="Times New Roman"/>
          <w:b/>
          <w:kern w:val="2"/>
          <w:sz w:val="24"/>
          <w:szCs w:val="24"/>
          <w:lang w:val="en-US" w:eastAsia="zh-CN"/>
        </w:rPr>
      </w:pPr>
    </w:p>
    <w:bookmarkEnd w:id="0"/>
    <w:p w14:paraId="7C0E9826" w14:textId="77777777" w:rsidR="00D5029C" w:rsidRPr="00FC0E00" w:rsidRDefault="00D5029C" w:rsidP="00FC0E00">
      <w:pPr>
        <w:pStyle w:val="a6"/>
        <w:snapToGrid w:val="0"/>
        <w:spacing w:line="360" w:lineRule="auto"/>
        <w:contextualSpacing w:val="0"/>
        <w:jc w:val="both"/>
        <w:rPr>
          <w:rFonts w:ascii="Book Antiqua" w:hAnsi="Book Antiqua"/>
          <w:b/>
          <w:bCs/>
          <w:sz w:val="24"/>
          <w:szCs w:val="24"/>
          <w:shd w:val="clear" w:color="auto" w:fill="FFFFFF"/>
        </w:rPr>
      </w:pPr>
      <w:r w:rsidRPr="00FC0E00">
        <w:rPr>
          <w:rFonts w:ascii="Book Antiqua" w:hAnsi="Book Antiqua"/>
          <w:b/>
          <w:bCs/>
          <w:sz w:val="24"/>
          <w:szCs w:val="24"/>
          <w:shd w:val="clear" w:color="auto" w:fill="FFFFFF"/>
        </w:rPr>
        <w:t>Determining the role for</w:t>
      </w:r>
      <w:r w:rsidR="009076C6" w:rsidRPr="00FC0E00">
        <w:rPr>
          <w:rFonts w:ascii="Book Antiqua" w:hAnsi="Book Antiqua"/>
          <w:b/>
          <w:bCs/>
          <w:sz w:val="24"/>
          <w:szCs w:val="24"/>
          <w:shd w:val="clear" w:color="auto" w:fill="FFFFFF"/>
        </w:rPr>
        <w:t xml:space="preserve"> uric acid in non-alcoholic steatohepatitis d</w:t>
      </w:r>
      <w:r w:rsidRPr="00FC0E00">
        <w:rPr>
          <w:rFonts w:ascii="Book Antiqua" w:hAnsi="Book Antiqua"/>
          <w:b/>
          <w:bCs/>
          <w:sz w:val="24"/>
          <w:szCs w:val="24"/>
          <w:shd w:val="clear" w:color="auto" w:fill="FFFFFF"/>
        </w:rPr>
        <w:t>evelopment and the utility of urate metabolites in diagnosis</w:t>
      </w:r>
      <w:r w:rsidR="009076C6" w:rsidRPr="00FC0E00">
        <w:rPr>
          <w:rFonts w:ascii="Book Antiqua" w:hAnsi="Book Antiqua"/>
          <w:b/>
          <w:bCs/>
          <w:sz w:val="24"/>
          <w:szCs w:val="24"/>
          <w:shd w:val="clear" w:color="auto" w:fill="FFFFFF"/>
        </w:rPr>
        <w:t>:</w:t>
      </w:r>
      <w:r w:rsidRPr="00FC0E00">
        <w:rPr>
          <w:rFonts w:ascii="Book Antiqua" w:hAnsi="Book Antiqua"/>
          <w:b/>
          <w:bCs/>
          <w:sz w:val="24"/>
          <w:szCs w:val="24"/>
          <w:shd w:val="clear" w:color="auto" w:fill="FFFFFF"/>
        </w:rPr>
        <w:t xml:space="preserve"> An opinion review</w:t>
      </w:r>
    </w:p>
    <w:p w14:paraId="56EFF16D" w14:textId="77777777" w:rsidR="00962391" w:rsidRPr="00FC0E00" w:rsidRDefault="00962391" w:rsidP="00FC0E00">
      <w:pPr>
        <w:snapToGrid w:val="0"/>
        <w:spacing w:after="0" w:line="360" w:lineRule="auto"/>
        <w:jc w:val="both"/>
        <w:rPr>
          <w:rFonts w:ascii="Book Antiqua" w:hAnsi="Book Antiqua"/>
          <w:sz w:val="24"/>
          <w:szCs w:val="24"/>
        </w:rPr>
      </w:pPr>
    </w:p>
    <w:p w14:paraId="4E0DB3BF" w14:textId="36BC07FF" w:rsidR="009076C6" w:rsidRPr="00FC0E00" w:rsidRDefault="009076C6" w:rsidP="00FC0E00">
      <w:pPr>
        <w:snapToGrid w:val="0"/>
        <w:spacing w:after="0" w:line="360" w:lineRule="auto"/>
        <w:jc w:val="both"/>
        <w:rPr>
          <w:rFonts w:ascii="Book Antiqua" w:eastAsia="宋体" w:hAnsi="Book Antiqua" w:cs="Calibri"/>
          <w:sz w:val="24"/>
          <w:szCs w:val="24"/>
          <w:lang w:val="en-US" w:eastAsia="zh-CN"/>
        </w:rPr>
      </w:pPr>
      <w:r w:rsidRPr="00FC0E00">
        <w:rPr>
          <w:rFonts w:ascii="Book Antiqua" w:hAnsi="Book Antiqua"/>
          <w:sz w:val="24"/>
          <w:szCs w:val="24"/>
        </w:rPr>
        <w:t>Brennan</w:t>
      </w:r>
      <w:r w:rsidRPr="00FC0E00">
        <w:rPr>
          <w:rFonts w:ascii="Book Antiqua" w:eastAsia="宋体" w:hAnsi="Book Antiqua" w:cs="Calibri"/>
          <w:sz w:val="24"/>
          <w:szCs w:val="24"/>
          <w:lang w:val="en-US" w:eastAsia="zh-CN"/>
        </w:rPr>
        <w:t xml:space="preserve"> P</w:t>
      </w:r>
      <w:r w:rsidR="00FC0E00">
        <w:rPr>
          <w:rFonts w:ascii="Book Antiqua" w:eastAsia="宋体" w:hAnsi="Book Antiqua" w:cs="Calibri"/>
          <w:sz w:val="24"/>
          <w:szCs w:val="24"/>
          <w:lang w:val="en-US" w:eastAsia="zh-CN"/>
        </w:rPr>
        <w:t xml:space="preserve"> </w:t>
      </w:r>
      <w:r w:rsidRPr="00FC0E00">
        <w:rPr>
          <w:rFonts w:ascii="Book Antiqua" w:eastAsia="宋体" w:hAnsi="Book Antiqua" w:cs="Calibri"/>
          <w:i/>
          <w:sz w:val="24"/>
          <w:szCs w:val="24"/>
          <w:lang w:val="en-US" w:eastAsia="zh-CN"/>
        </w:rPr>
        <w:t>et al.</w:t>
      </w:r>
      <w:r w:rsidRPr="00FC0E00">
        <w:rPr>
          <w:rFonts w:ascii="Book Antiqua" w:eastAsia="宋体" w:hAnsi="Book Antiqua" w:cs="Calibri"/>
          <w:sz w:val="24"/>
          <w:szCs w:val="24"/>
          <w:lang w:val="en-US"/>
        </w:rPr>
        <w:t xml:space="preserve"> </w:t>
      </w:r>
      <w:r w:rsidR="00CB39F6" w:rsidRPr="00FC0E00">
        <w:rPr>
          <w:rFonts w:ascii="Book Antiqua" w:eastAsia="宋体" w:hAnsi="Book Antiqua" w:cs="Calibri"/>
          <w:sz w:val="24"/>
          <w:szCs w:val="24"/>
          <w:lang w:val="en-US" w:eastAsia="zh-CN"/>
        </w:rPr>
        <w:t>U</w:t>
      </w:r>
      <w:r w:rsidR="0070186F">
        <w:rPr>
          <w:rFonts w:ascii="Book Antiqua" w:eastAsia="宋体" w:hAnsi="Book Antiqua" w:cs="Calibri"/>
          <w:sz w:val="24"/>
          <w:szCs w:val="24"/>
          <w:lang w:val="en-US" w:eastAsia="zh-CN"/>
        </w:rPr>
        <w:t>A</w:t>
      </w:r>
      <w:r w:rsidR="00CB39F6" w:rsidRPr="00FC0E00">
        <w:rPr>
          <w:rFonts w:ascii="Book Antiqua" w:eastAsia="宋体" w:hAnsi="Book Antiqua" w:cs="Calibri"/>
          <w:sz w:val="24"/>
          <w:szCs w:val="24"/>
          <w:lang w:val="en-US" w:eastAsia="zh-CN"/>
        </w:rPr>
        <w:t xml:space="preserve"> and NASH pathogenesis</w:t>
      </w:r>
    </w:p>
    <w:p w14:paraId="7EB5755C" w14:textId="77777777" w:rsidR="009076C6" w:rsidRPr="00FC0E00" w:rsidRDefault="009076C6" w:rsidP="00FC0E00">
      <w:pPr>
        <w:snapToGrid w:val="0"/>
        <w:spacing w:after="0" w:line="360" w:lineRule="auto"/>
        <w:jc w:val="both"/>
        <w:rPr>
          <w:rFonts w:ascii="Book Antiqua" w:hAnsi="Book Antiqua"/>
          <w:sz w:val="24"/>
          <w:szCs w:val="24"/>
        </w:rPr>
      </w:pPr>
    </w:p>
    <w:p w14:paraId="1264357F" w14:textId="77777777" w:rsidR="009076C6" w:rsidRPr="00FC0E00" w:rsidRDefault="009076C6" w:rsidP="00FC0E00">
      <w:pPr>
        <w:snapToGrid w:val="0"/>
        <w:spacing w:after="0" w:line="360" w:lineRule="auto"/>
        <w:jc w:val="both"/>
        <w:rPr>
          <w:rFonts w:ascii="Book Antiqua" w:hAnsi="Book Antiqua"/>
          <w:sz w:val="24"/>
          <w:szCs w:val="24"/>
        </w:rPr>
      </w:pPr>
      <w:r w:rsidRPr="00FC0E00">
        <w:rPr>
          <w:rFonts w:ascii="Book Antiqua" w:hAnsi="Book Antiqua"/>
          <w:sz w:val="24"/>
          <w:szCs w:val="24"/>
        </w:rPr>
        <w:t>Paul Brennan, Kathleen Clare, Jacob George, John F Dillon</w:t>
      </w:r>
    </w:p>
    <w:p w14:paraId="29651258" w14:textId="27E992BD" w:rsidR="009076C6" w:rsidRPr="00FC0E00" w:rsidRDefault="009076C6" w:rsidP="00FC0E00">
      <w:pPr>
        <w:snapToGrid w:val="0"/>
        <w:spacing w:after="0" w:line="360" w:lineRule="auto"/>
        <w:jc w:val="both"/>
        <w:rPr>
          <w:rFonts w:ascii="Book Antiqua" w:hAnsi="Book Antiqua"/>
          <w:sz w:val="24"/>
          <w:szCs w:val="24"/>
        </w:rPr>
      </w:pPr>
    </w:p>
    <w:p w14:paraId="257D7F34" w14:textId="3CCC77D3" w:rsidR="00444FB5" w:rsidRPr="00FC0E00" w:rsidRDefault="00444FB5"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Paul</w:t>
      </w:r>
      <w:r w:rsidR="0012282F" w:rsidRPr="00FC0E00">
        <w:rPr>
          <w:rFonts w:ascii="Book Antiqua" w:hAnsi="Book Antiqua"/>
          <w:b/>
          <w:bCs/>
          <w:sz w:val="24"/>
          <w:szCs w:val="24"/>
        </w:rPr>
        <w:t xml:space="preserve"> </w:t>
      </w:r>
      <w:r w:rsidRPr="00FC0E00">
        <w:rPr>
          <w:rFonts w:ascii="Book Antiqua" w:hAnsi="Book Antiqua"/>
          <w:b/>
          <w:bCs/>
          <w:sz w:val="24"/>
          <w:szCs w:val="24"/>
        </w:rPr>
        <w:t>Brennan</w:t>
      </w:r>
      <w:r w:rsidR="0041716E" w:rsidRPr="00FC0E00">
        <w:rPr>
          <w:rFonts w:ascii="Book Antiqua" w:hAnsi="Book Antiqua"/>
          <w:b/>
          <w:bCs/>
          <w:sz w:val="24"/>
          <w:szCs w:val="24"/>
        </w:rPr>
        <w:t>,</w:t>
      </w:r>
      <w:r w:rsidR="0041716E" w:rsidRPr="00FC0E00">
        <w:rPr>
          <w:rFonts w:ascii="Book Antiqua" w:hAnsi="Book Antiqua"/>
          <w:sz w:val="24"/>
          <w:szCs w:val="24"/>
        </w:rPr>
        <w:t xml:space="preserve"> </w:t>
      </w:r>
      <w:r w:rsidR="00FC0E00" w:rsidRPr="00FC0E00">
        <w:rPr>
          <w:rFonts w:ascii="Book Antiqua" w:hAnsi="Book Antiqua"/>
          <w:b/>
          <w:bCs/>
          <w:sz w:val="24"/>
          <w:szCs w:val="24"/>
        </w:rPr>
        <w:t>Jacob George,</w:t>
      </w:r>
      <w:r w:rsidR="00FC0E00" w:rsidRPr="00FC0E00">
        <w:rPr>
          <w:rFonts w:ascii="Book Antiqua" w:hAnsi="Book Antiqua"/>
          <w:sz w:val="24"/>
          <w:szCs w:val="24"/>
        </w:rPr>
        <w:t xml:space="preserve"> </w:t>
      </w:r>
      <w:r w:rsidR="00FC0E00" w:rsidRPr="00FC0E00">
        <w:rPr>
          <w:rFonts w:ascii="Book Antiqua" w:hAnsi="Book Antiqua"/>
          <w:b/>
          <w:bCs/>
          <w:sz w:val="24"/>
          <w:szCs w:val="24"/>
        </w:rPr>
        <w:t>John F Dillon,</w:t>
      </w:r>
      <w:r w:rsidR="00FC0E00">
        <w:rPr>
          <w:rFonts w:ascii="Book Antiqua" w:hAnsi="Book Antiqua"/>
          <w:b/>
          <w:bCs/>
          <w:sz w:val="24"/>
          <w:szCs w:val="24"/>
        </w:rPr>
        <w:t xml:space="preserve"> </w:t>
      </w:r>
      <w:r w:rsidR="0041716E" w:rsidRPr="00FC0E00">
        <w:rPr>
          <w:rFonts w:ascii="Book Antiqua" w:hAnsi="Book Antiqua"/>
          <w:sz w:val="24"/>
          <w:szCs w:val="24"/>
        </w:rPr>
        <w:t>Department of Molecular and Clinical Medicine,</w:t>
      </w:r>
      <w:r w:rsidRPr="00FC0E00">
        <w:rPr>
          <w:rFonts w:ascii="Book Antiqua" w:hAnsi="Book Antiqua"/>
          <w:sz w:val="24"/>
          <w:szCs w:val="24"/>
        </w:rPr>
        <w:t xml:space="preserve"> University of Dundee</w:t>
      </w:r>
      <w:r w:rsidR="0041716E" w:rsidRPr="00FC0E00">
        <w:rPr>
          <w:rFonts w:ascii="Book Antiqua" w:hAnsi="Book Antiqua"/>
          <w:sz w:val="24"/>
          <w:szCs w:val="24"/>
        </w:rPr>
        <w:t xml:space="preserve">, Ninewells Hospital and Medical School, </w:t>
      </w:r>
      <w:r w:rsidR="00FC0E00" w:rsidRPr="00FC0E00">
        <w:rPr>
          <w:rFonts w:ascii="Book Antiqua" w:hAnsi="Book Antiqua"/>
          <w:sz w:val="24"/>
          <w:szCs w:val="24"/>
        </w:rPr>
        <w:t>Dundee</w:t>
      </w:r>
      <w:r w:rsidR="00FC0E00">
        <w:rPr>
          <w:rFonts w:ascii="Book Antiqua" w:hAnsi="Book Antiqua"/>
          <w:sz w:val="24"/>
          <w:szCs w:val="24"/>
        </w:rPr>
        <w:t xml:space="preserve"> </w:t>
      </w:r>
      <w:r w:rsidR="0041716E" w:rsidRPr="00FC0E00">
        <w:rPr>
          <w:rFonts w:ascii="Book Antiqua" w:hAnsi="Book Antiqua"/>
          <w:sz w:val="24"/>
          <w:szCs w:val="24"/>
        </w:rPr>
        <w:t xml:space="preserve">DD1 9SY, United Kingdom </w:t>
      </w:r>
    </w:p>
    <w:p w14:paraId="5A85C16F" w14:textId="77777777" w:rsidR="009076C6" w:rsidRPr="00FC0E00" w:rsidRDefault="009076C6" w:rsidP="00FC0E00">
      <w:pPr>
        <w:snapToGrid w:val="0"/>
        <w:spacing w:after="0" w:line="360" w:lineRule="auto"/>
        <w:jc w:val="both"/>
        <w:rPr>
          <w:rFonts w:ascii="Book Antiqua" w:hAnsi="Book Antiqua"/>
          <w:sz w:val="24"/>
          <w:szCs w:val="24"/>
        </w:rPr>
      </w:pPr>
    </w:p>
    <w:p w14:paraId="585AAD78" w14:textId="431E8956" w:rsidR="00444FB5" w:rsidRPr="00FC0E00" w:rsidRDefault="00444FB5"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Kathleen Clare,</w:t>
      </w:r>
      <w:r w:rsidRPr="00FC0E00">
        <w:rPr>
          <w:rFonts w:ascii="Book Antiqua" w:hAnsi="Book Antiqua"/>
          <w:sz w:val="24"/>
          <w:szCs w:val="24"/>
        </w:rPr>
        <w:t xml:space="preserve"> </w:t>
      </w:r>
      <w:r w:rsidR="00102BB6" w:rsidRPr="00FC0E00">
        <w:rPr>
          <w:rFonts w:ascii="Book Antiqua" w:hAnsi="Book Antiqua"/>
          <w:sz w:val="24"/>
          <w:szCs w:val="24"/>
        </w:rPr>
        <w:t>Department of Neurology</w:t>
      </w:r>
      <w:r w:rsidR="00B40348" w:rsidRPr="00FC0E00">
        <w:rPr>
          <w:rFonts w:ascii="Book Antiqua" w:hAnsi="Book Antiqua"/>
          <w:sz w:val="24"/>
          <w:szCs w:val="24"/>
        </w:rPr>
        <w:t>,</w:t>
      </w:r>
      <w:r w:rsidR="00102BB6" w:rsidRPr="00FC0E00">
        <w:rPr>
          <w:rFonts w:ascii="Book Antiqua" w:hAnsi="Book Antiqua"/>
          <w:sz w:val="24"/>
          <w:szCs w:val="24"/>
        </w:rPr>
        <w:t xml:space="preserve"> Queen Elizabeth Hospital,</w:t>
      </w:r>
      <w:r w:rsidR="00102BB6" w:rsidRPr="00FC0E00">
        <w:rPr>
          <w:rFonts w:ascii="Book Antiqua" w:hAnsi="Book Antiqua" w:cs="Arial"/>
          <w:color w:val="222222"/>
          <w:sz w:val="24"/>
          <w:szCs w:val="24"/>
          <w:shd w:val="clear" w:color="auto" w:fill="FFFFFF"/>
        </w:rPr>
        <w:t xml:space="preserve"> Glasgow G51 4TF,</w:t>
      </w:r>
      <w:r w:rsidR="00102BB6" w:rsidRPr="00FC0E00">
        <w:rPr>
          <w:rFonts w:ascii="Book Antiqua" w:hAnsi="Book Antiqua"/>
          <w:sz w:val="24"/>
          <w:szCs w:val="24"/>
        </w:rPr>
        <w:t xml:space="preserve"> </w:t>
      </w:r>
      <w:r w:rsidR="00B40348" w:rsidRPr="00FC0E00">
        <w:rPr>
          <w:rFonts w:ascii="Book Antiqua" w:hAnsi="Book Antiqua"/>
          <w:sz w:val="24"/>
          <w:szCs w:val="24"/>
        </w:rPr>
        <w:t>U</w:t>
      </w:r>
      <w:r w:rsidR="00102BB6" w:rsidRPr="00FC0E00">
        <w:rPr>
          <w:rFonts w:ascii="Book Antiqua" w:hAnsi="Book Antiqua"/>
          <w:sz w:val="24"/>
          <w:szCs w:val="24"/>
        </w:rPr>
        <w:t xml:space="preserve">nited </w:t>
      </w:r>
      <w:r w:rsidR="00B40348" w:rsidRPr="00FC0E00">
        <w:rPr>
          <w:rFonts w:ascii="Book Antiqua" w:hAnsi="Book Antiqua"/>
          <w:sz w:val="24"/>
          <w:szCs w:val="24"/>
        </w:rPr>
        <w:t>K</w:t>
      </w:r>
      <w:r w:rsidR="00102BB6" w:rsidRPr="00FC0E00">
        <w:rPr>
          <w:rFonts w:ascii="Book Antiqua" w:hAnsi="Book Antiqua"/>
          <w:sz w:val="24"/>
          <w:szCs w:val="24"/>
        </w:rPr>
        <w:t>ingdom</w:t>
      </w:r>
    </w:p>
    <w:p w14:paraId="29BDAEE2" w14:textId="77777777" w:rsidR="009076C6" w:rsidRPr="00FC0E00" w:rsidRDefault="009076C6" w:rsidP="00FC0E00">
      <w:pPr>
        <w:snapToGrid w:val="0"/>
        <w:spacing w:after="0" w:line="360" w:lineRule="auto"/>
        <w:jc w:val="both"/>
        <w:rPr>
          <w:rFonts w:ascii="Book Antiqua" w:hAnsi="Book Antiqua"/>
          <w:sz w:val="24"/>
          <w:szCs w:val="24"/>
        </w:rPr>
      </w:pPr>
    </w:p>
    <w:p w14:paraId="56871237" w14:textId="50901B88" w:rsidR="00444FB5" w:rsidRPr="00FC0E00" w:rsidRDefault="00962391" w:rsidP="00FC0E00">
      <w:pPr>
        <w:snapToGrid w:val="0"/>
        <w:spacing w:after="0" w:line="360" w:lineRule="auto"/>
        <w:jc w:val="both"/>
        <w:rPr>
          <w:rFonts w:ascii="Book Antiqua" w:hAnsi="Book Antiqua"/>
          <w:sz w:val="24"/>
          <w:szCs w:val="24"/>
        </w:rPr>
      </w:pPr>
      <w:r w:rsidRPr="00FC0E00">
        <w:rPr>
          <w:rFonts w:ascii="Book Antiqua" w:hAnsi="Book Antiqua"/>
          <w:b/>
          <w:bCs/>
          <w:sz w:val="24"/>
          <w:szCs w:val="24"/>
        </w:rPr>
        <w:t>Author contributions:</w:t>
      </w:r>
      <w:r w:rsidRPr="00FC0E00">
        <w:rPr>
          <w:rFonts w:ascii="Book Antiqua" w:hAnsi="Book Antiqua"/>
          <w:sz w:val="24"/>
          <w:szCs w:val="24"/>
        </w:rPr>
        <w:t xml:space="preserve"> </w:t>
      </w:r>
      <w:r w:rsidR="001D0077" w:rsidRPr="00FC0E00">
        <w:rPr>
          <w:rFonts w:ascii="Book Antiqua" w:hAnsi="Book Antiqua"/>
          <w:sz w:val="24"/>
          <w:szCs w:val="24"/>
        </w:rPr>
        <w:t>Brennan</w:t>
      </w:r>
      <w:r w:rsidR="00A9158B" w:rsidRPr="00A9158B">
        <w:rPr>
          <w:rFonts w:ascii="Book Antiqua" w:hAnsi="Book Antiqua"/>
          <w:sz w:val="24"/>
          <w:szCs w:val="24"/>
        </w:rPr>
        <w:t xml:space="preserve"> </w:t>
      </w:r>
      <w:r w:rsidR="00A9158B" w:rsidRPr="00FC0E00">
        <w:rPr>
          <w:rFonts w:ascii="Book Antiqua" w:hAnsi="Book Antiqua"/>
          <w:sz w:val="24"/>
          <w:szCs w:val="24"/>
        </w:rPr>
        <w:t>P</w:t>
      </w:r>
      <w:r w:rsidR="001D0077" w:rsidRPr="00FC0E00">
        <w:rPr>
          <w:rFonts w:ascii="Book Antiqua" w:hAnsi="Book Antiqua"/>
          <w:sz w:val="24"/>
          <w:szCs w:val="24"/>
        </w:rPr>
        <w:t xml:space="preserve"> and Clare</w:t>
      </w:r>
      <w:r w:rsidR="00A9158B" w:rsidRPr="00A9158B">
        <w:rPr>
          <w:rFonts w:ascii="Book Antiqua" w:hAnsi="Book Antiqua"/>
          <w:sz w:val="24"/>
          <w:szCs w:val="24"/>
        </w:rPr>
        <w:t xml:space="preserve"> </w:t>
      </w:r>
      <w:r w:rsidR="00A9158B" w:rsidRPr="00FC0E00">
        <w:rPr>
          <w:rFonts w:ascii="Book Antiqua" w:hAnsi="Book Antiqua"/>
          <w:sz w:val="24"/>
          <w:szCs w:val="24"/>
        </w:rPr>
        <w:t>K</w:t>
      </w:r>
      <w:r w:rsidR="001D0077" w:rsidRPr="00FC0E00">
        <w:rPr>
          <w:rFonts w:ascii="Book Antiqua" w:hAnsi="Book Antiqua"/>
          <w:sz w:val="24"/>
          <w:szCs w:val="24"/>
        </w:rPr>
        <w:t xml:space="preserve"> contributed equally to the research, data acquisition and writing of the paper</w:t>
      </w:r>
      <w:r w:rsidR="00A9158B">
        <w:rPr>
          <w:rFonts w:ascii="Book Antiqua" w:hAnsi="Book Antiqua"/>
          <w:sz w:val="24"/>
          <w:szCs w:val="24"/>
        </w:rPr>
        <w:t>;</w:t>
      </w:r>
      <w:r w:rsidR="001D0077" w:rsidRPr="00FC0E00">
        <w:rPr>
          <w:rFonts w:ascii="Book Antiqua" w:hAnsi="Book Antiqua"/>
          <w:sz w:val="24"/>
          <w:szCs w:val="24"/>
        </w:rPr>
        <w:t xml:space="preserve"> George</w:t>
      </w:r>
      <w:r w:rsidR="00A9158B">
        <w:rPr>
          <w:rFonts w:ascii="Book Antiqua" w:hAnsi="Book Antiqua"/>
          <w:sz w:val="24"/>
          <w:szCs w:val="24"/>
        </w:rPr>
        <w:t xml:space="preserve"> J</w:t>
      </w:r>
      <w:r w:rsidR="001D0077" w:rsidRPr="00FC0E00">
        <w:rPr>
          <w:rFonts w:ascii="Book Antiqua" w:hAnsi="Book Antiqua"/>
          <w:sz w:val="24"/>
          <w:szCs w:val="24"/>
        </w:rPr>
        <w:t xml:space="preserve"> and Dillon </w:t>
      </w:r>
      <w:r w:rsidR="00A9158B">
        <w:rPr>
          <w:rFonts w:ascii="Book Antiqua" w:hAnsi="Book Antiqua"/>
          <w:sz w:val="24"/>
          <w:szCs w:val="24"/>
        </w:rPr>
        <w:t xml:space="preserve">JF </w:t>
      </w:r>
      <w:r w:rsidR="001D0077" w:rsidRPr="00FC0E00">
        <w:rPr>
          <w:rFonts w:ascii="Book Antiqua" w:hAnsi="Book Antiqua"/>
          <w:sz w:val="24"/>
          <w:szCs w:val="24"/>
        </w:rPr>
        <w:t>provided oversight of the works</w:t>
      </w:r>
      <w:r w:rsidR="007C4F5D" w:rsidRPr="00FC0E00">
        <w:rPr>
          <w:rFonts w:ascii="Book Antiqua" w:hAnsi="Book Antiqua"/>
          <w:sz w:val="24"/>
          <w:szCs w:val="24"/>
        </w:rPr>
        <w:t xml:space="preserve"> and manuscript appraisal</w:t>
      </w:r>
      <w:r w:rsidR="00A9158B">
        <w:rPr>
          <w:rFonts w:ascii="Book Antiqua" w:hAnsi="Book Antiqua"/>
          <w:sz w:val="24"/>
          <w:szCs w:val="24"/>
        </w:rPr>
        <w:t>;</w:t>
      </w:r>
      <w:r w:rsidR="001D0077" w:rsidRPr="00FC0E00">
        <w:rPr>
          <w:rFonts w:ascii="Book Antiqua" w:hAnsi="Book Antiqua"/>
          <w:sz w:val="24"/>
          <w:szCs w:val="24"/>
        </w:rPr>
        <w:t xml:space="preserve"> </w:t>
      </w:r>
      <w:r w:rsidR="00A9158B">
        <w:rPr>
          <w:rFonts w:ascii="Book Antiqua" w:hAnsi="Book Antiqua"/>
          <w:sz w:val="24"/>
          <w:szCs w:val="24"/>
        </w:rPr>
        <w:t>a</w:t>
      </w:r>
      <w:r w:rsidR="001D0077" w:rsidRPr="00FC0E00">
        <w:rPr>
          <w:rFonts w:ascii="Book Antiqua" w:hAnsi="Book Antiqua"/>
          <w:sz w:val="24"/>
          <w:szCs w:val="24"/>
        </w:rPr>
        <w:t xml:space="preserve">ll authors </w:t>
      </w:r>
      <w:r w:rsidR="007C4F5D" w:rsidRPr="00FC0E00">
        <w:rPr>
          <w:rFonts w:ascii="Book Antiqua" w:hAnsi="Book Antiqua"/>
          <w:sz w:val="24"/>
          <w:szCs w:val="24"/>
        </w:rPr>
        <w:t xml:space="preserve">agreed the final version of the paper. </w:t>
      </w:r>
    </w:p>
    <w:p w14:paraId="2C8D1BC5" w14:textId="3C6F13F5" w:rsidR="0039495C" w:rsidRPr="00FC0E00" w:rsidRDefault="0039495C" w:rsidP="00FC0E00">
      <w:pPr>
        <w:snapToGrid w:val="0"/>
        <w:spacing w:after="0" w:line="360" w:lineRule="auto"/>
        <w:jc w:val="both"/>
        <w:rPr>
          <w:rFonts w:ascii="Book Antiqua" w:hAnsi="Book Antiqua"/>
          <w:sz w:val="24"/>
          <w:szCs w:val="24"/>
        </w:rPr>
      </w:pPr>
    </w:p>
    <w:p w14:paraId="35776F63" w14:textId="6B4B33EA" w:rsidR="0012282F" w:rsidRDefault="0039495C" w:rsidP="00FC0E00">
      <w:pPr>
        <w:snapToGrid w:val="0"/>
        <w:spacing w:after="0" w:line="360" w:lineRule="auto"/>
        <w:jc w:val="both"/>
        <w:rPr>
          <w:rFonts w:ascii="Book Antiqua" w:eastAsia="宋体" w:hAnsi="Book Antiqua" w:cs="Times New Roman"/>
          <w:bCs/>
          <w:color w:val="000000"/>
          <w:kern w:val="2"/>
          <w:sz w:val="24"/>
          <w:szCs w:val="24"/>
          <w:lang w:val="en-US" w:eastAsia="zh-CN"/>
        </w:rPr>
      </w:pPr>
      <w:bookmarkStart w:id="3" w:name="_Hlk15893356"/>
      <w:r w:rsidRPr="00FC0E00">
        <w:rPr>
          <w:rFonts w:ascii="Book Antiqua" w:eastAsia="宋体" w:hAnsi="Book Antiqua" w:cs="Times New Roman"/>
          <w:b/>
          <w:color w:val="000000"/>
          <w:kern w:val="2"/>
          <w:sz w:val="24"/>
          <w:szCs w:val="24"/>
          <w:lang w:val="en-US" w:eastAsia="zh-CN"/>
        </w:rPr>
        <w:t>Corresponding author:</w:t>
      </w:r>
      <w:bookmarkEnd w:id="3"/>
      <w:r w:rsidR="003F5878">
        <w:rPr>
          <w:rFonts w:ascii="Book Antiqua" w:eastAsia="宋体" w:hAnsi="Book Antiqua" w:cs="Times New Roman"/>
          <w:b/>
          <w:color w:val="000000"/>
          <w:kern w:val="2"/>
          <w:sz w:val="24"/>
          <w:szCs w:val="24"/>
          <w:lang w:val="en-US" w:eastAsia="zh-CN"/>
        </w:rPr>
        <w:t xml:space="preserve"> </w:t>
      </w:r>
      <w:r w:rsidR="0012282F" w:rsidRPr="00FC0E00">
        <w:rPr>
          <w:rFonts w:ascii="Book Antiqua" w:eastAsia="宋体" w:hAnsi="Book Antiqua" w:cs="Times New Roman"/>
          <w:b/>
          <w:color w:val="000000"/>
          <w:kern w:val="2"/>
          <w:sz w:val="24"/>
          <w:szCs w:val="24"/>
          <w:lang w:val="en-US" w:eastAsia="zh-CN"/>
        </w:rPr>
        <w:t>Paul Brennan,</w:t>
      </w:r>
      <w:r w:rsidR="003F5878" w:rsidRPr="003F5878">
        <w:t xml:space="preserve"> </w:t>
      </w:r>
      <w:r w:rsidR="003F5878" w:rsidRPr="003F5878">
        <w:rPr>
          <w:rFonts w:ascii="Book Antiqua" w:eastAsia="宋体" w:hAnsi="Book Antiqua" w:cs="Times New Roman"/>
          <w:b/>
          <w:color w:val="000000"/>
          <w:kern w:val="2"/>
          <w:sz w:val="24"/>
          <w:szCs w:val="24"/>
          <w:lang w:val="en-US" w:eastAsia="zh-CN"/>
        </w:rPr>
        <w:t>MBChB, MRCP, Doctor,</w:t>
      </w:r>
      <w:r w:rsidR="0012282F" w:rsidRPr="00FC0E00">
        <w:rPr>
          <w:rFonts w:ascii="Book Antiqua" w:eastAsia="宋体" w:hAnsi="Book Antiqua" w:cs="Times New Roman"/>
          <w:b/>
          <w:color w:val="000000"/>
          <w:kern w:val="2"/>
          <w:sz w:val="24"/>
          <w:szCs w:val="24"/>
          <w:lang w:val="en-US" w:eastAsia="zh-CN"/>
        </w:rPr>
        <w:t xml:space="preserve"> </w:t>
      </w:r>
      <w:r w:rsidR="003F5878" w:rsidRPr="00FC0E00">
        <w:rPr>
          <w:rFonts w:ascii="Book Antiqua" w:hAnsi="Book Antiqua"/>
          <w:sz w:val="24"/>
          <w:szCs w:val="24"/>
        </w:rPr>
        <w:t>Department of Molecular and Clinical Medicine, University of Dundee, Ninewells Hospital and Medical School,</w:t>
      </w:r>
      <w:r w:rsidR="003F5878" w:rsidRPr="003F5878">
        <w:rPr>
          <w:rFonts w:ascii="Book Antiqua" w:eastAsia="宋体" w:hAnsi="Book Antiqua" w:cs="Times New Roman"/>
          <w:bCs/>
          <w:color w:val="000000"/>
          <w:kern w:val="2"/>
          <w:sz w:val="24"/>
          <w:szCs w:val="24"/>
          <w:lang w:val="en-US" w:eastAsia="zh-CN"/>
        </w:rPr>
        <w:t xml:space="preserve"> Kirsty Semple Way</w:t>
      </w:r>
      <w:r w:rsidR="003F5878">
        <w:rPr>
          <w:rFonts w:ascii="Book Antiqua" w:eastAsia="宋体" w:hAnsi="Book Antiqua" w:cs="Times New Roman"/>
          <w:bCs/>
          <w:color w:val="000000"/>
          <w:kern w:val="2"/>
          <w:sz w:val="24"/>
          <w:szCs w:val="24"/>
          <w:lang w:val="en-US" w:eastAsia="zh-CN"/>
        </w:rPr>
        <w:t>,</w:t>
      </w:r>
      <w:r w:rsidR="003F5878" w:rsidRPr="00FC0E00">
        <w:rPr>
          <w:rFonts w:ascii="Book Antiqua" w:hAnsi="Book Antiqua"/>
          <w:sz w:val="24"/>
          <w:szCs w:val="24"/>
        </w:rPr>
        <w:t xml:space="preserve"> Dundee</w:t>
      </w:r>
      <w:r w:rsidR="003F5878">
        <w:rPr>
          <w:rFonts w:ascii="Book Antiqua" w:hAnsi="Book Antiqua"/>
          <w:sz w:val="24"/>
          <w:szCs w:val="24"/>
        </w:rPr>
        <w:t xml:space="preserve"> </w:t>
      </w:r>
      <w:r w:rsidR="003F5878" w:rsidRPr="00FC0E00">
        <w:rPr>
          <w:rFonts w:ascii="Book Antiqua" w:hAnsi="Book Antiqua"/>
          <w:sz w:val="24"/>
          <w:szCs w:val="24"/>
        </w:rPr>
        <w:t>DD1 9SY, United Kingdom</w:t>
      </w:r>
      <w:r w:rsidR="003F5878">
        <w:rPr>
          <w:rFonts w:ascii="Book Antiqua" w:hAnsi="Book Antiqua"/>
          <w:sz w:val="24"/>
          <w:szCs w:val="24"/>
        </w:rPr>
        <w:t>.</w:t>
      </w:r>
      <w:r w:rsidR="00CE3F35" w:rsidRPr="003F5878">
        <w:rPr>
          <w:rFonts w:ascii="Book Antiqua" w:eastAsia="宋体" w:hAnsi="Book Antiqua" w:cs="Times New Roman"/>
          <w:bCs/>
          <w:color w:val="000000"/>
          <w:kern w:val="2"/>
          <w:sz w:val="24"/>
          <w:szCs w:val="24"/>
          <w:lang w:val="en-US" w:eastAsia="zh-CN"/>
        </w:rPr>
        <w:t xml:space="preserve"> </w:t>
      </w:r>
      <w:r w:rsidR="009B24B0" w:rsidRPr="009B24B0">
        <w:rPr>
          <w:rFonts w:ascii="Book Antiqua" w:eastAsia="宋体" w:hAnsi="Book Antiqua" w:cs="Times New Roman"/>
          <w:bCs/>
          <w:color w:val="000000"/>
          <w:kern w:val="2"/>
          <w:sz w:val="24"/>
          <w:szCs w:val="24"/>
          <w:lang w:val="en-US" w:eastAsia="zh-CN"/>
        </w:rPr>
        <w:t>p.z.brennan@dundee.ac.uk</w:t>
      </w:r>
    </w:p>
    <w:p w14:paraId="3AA6DD37" w14:textId="7440BE3B" w:rsidR="009B24B0" w:rsidRDefault="009B24B0" w:rsidP="00FC0E00">
      <w:pPr>
        <w:snapToGrid w:val="0"/>
        <w:spacing w:after="0" w:line="360" w:lineRule="auto"/>
        <w:jc w:val="both"/>
        <w:rPr>
          <w:rFonts w:ascii="Book Antiqua" w:eastAsia="宋体" w:hAnsi="Book Antiqua" w:cs="Times New Roman"/>
          <w:bCs/>
          <w:color w:val="000000"/>
          <w:kern w:val="2"/>
          <w:sz w:val="24"/>
          <w:szCs w:val="24"/>
          <w:lang w:val="en-US" w:eastAsia="zh-CN"/>
        </w:rPr>
      </w:pPr>
    </w:p>
    <w:p w14:paraId="7DEC9BB9" w14:textId="53BABD64" w:rsidR="009B24B0" w:rsidRPr="009B24B0" w:rsidRDefault="009B24B0" w:rsidP="009B24B0">
      <w:pPr>
        <w:snapToGrid w:val="0"/>
        <w:spacing w:after="0" w:line="360" w:lineRule="auto"/>
        <w:jc w:val="both"/>
        <w:rPr>
          <w:rFonts w:ascii="Book Antiqua" w:eastAsia="宋体" w:hAnsi="Book Antiqua" w:cs="Times New Roman"/>
          <w:b/>
          <w:sz w:val="24"/>
          <w:szCs w:val="24"/>
        </w:rPr>
      </w:pPr>
      <w:bookmarkStart w:id="4" w:name="_Hlk36734816"/>
      <w:bookmarkStart w:id="5" w:name="_Hlk28872415"/>
      <w:r w:rsidRPr="009B24B0">
        <w:rPr>
          <w:rFonts w:ascii="Book Antiqua" w:eastAsia="宋体" w:hAnsi="Book Antiqua" w:cs="Times New Roman"/>
          <w:b/>
          <w:sz w:val="24"/>
          <w:szCs w:val="24"/>
        </w:rPr>
        <w:t>Received:</w:t>
      </w:r>
      <w:r w:rsidRPr="009B24B0">
        <w:rPr>
          <w:rFonts w:ascii="Book Antiqua" w:eastAsia="宋体" w:hAnsi="Book Antiqua" w:cs="Times New Roman" w:hint="eastAsia"/>
          <w:b/>
          <w:sz w:val="24"/>
          <w:szCs w:val="24"/>
          <w:lang w:eastAsia="zh-CN"/>
        </w:rPr>
        <w:t xml:space="preserve"> </w:t>
      </w:r>
      <w:r>
        <w:rPr>
          <w:rFonts w:ascii="Book Antiqua" w:eastAsia="宋体" w:hAnsi="Book Antiqua" w:cs="Times New Roman"/>
          <w:sz w:val="24"/>
          <w:szCs w:val="24"/>
          <w:lang w:eastAsia="zh-CN"/>
        </w:rPr>
        <w:t>December</w:t>
      </w:r>
      <w:r w:rsidRPr="009B24B0">
        <w:rPr>
          <w:rFonts w:ascii="Book Antiqua" w:eastAsia="宋体" w:hAnsi="Book Antiqua" w:cs="Times New Roman"/>
          <w:sz w:val="24"/>
          <w:szCs w:val="24"/>
          <w:lang w:eastAsia="zh-CN"/>
        </w:rPr>
        <w:t xml:space="preserve"> </w:t>
      </w:r>
      <w:r w:rsidRPr="009B24B0">
        <w:rPr>
          <w:rFonts w:ascii="Book Antiqua" w:eastAsia="等线" w:hAnsi="Book Antiqua" w:cs="Times New Roman"/>
          <w:kern w:val="2"/>
          <w:sz w:val="24"/>
          <w:szCs w:val="24"/>
          <w:lang w:eastAsia="zh-CN"/>
        </w:rPr>
        <w:t>4</w:t>
      </w:r>
      <w:r w:rsidRPr="009B24B0">
        <w:rPr>
          <w:rFonts w:ascii="Book Antiqua" w:eastAsia="宋体" w:hAnsi="Book Antiqua" w:cs="Times New Roman"/>
          <w:sz w:val="24"/>
          <w:szCs w:val="24"/>
          <w:lang w:eastAsia="zh-CN"/>
        </w:rPr>
        <w:t>, 20</w:t>
      </w:r>
      <w:r>
        <w:rPr>
          <w:rFonts w:ascii="Book Antiqua" w:eastAsia="宋体" w:hAnsi="Book Antiqua" w:cs="Times New Roman"/>
          <w:sz w:val="24"/>
          <w:szCs w:val="24"/>
          <w:lang w:eastAsia="zh-CN"/>
        </w:rPr>
        <w:t>19</w:t>
      </w:r>
    </w:p>
    <w:p w14:paraId="791EF5E6" w14:textId="0F2523CF" w:rsidR="009B24B0" w:rsidRPr="009B24B0" w:rsidRDefault="009B24B0" w:rsidP="009B24B0">
      <w:pPr>
        <w:snapToGrid w:val="0"/>
        <w:spacing w:after="0" w:line="360" w:lineRule="auto"/>
        <w:jc w:val="both"/>
        <w:rPr>
          <w:rFonts w:ascii="Book Antiqua" w:eastAsia="宋体" w:hAnsi="Book Antiqua" w:cs="Times New Roman"/>
          <w:b/>
          <w:sz w:val="24"/>
          <w:szCs w:val="24"/>
        </w:rPr>
      </w:pPr>
      <w:r w:rsidRPr="009B24B0">
        <w:rPr>
          <w:rFonts w:ascii="Book Antiqua" w:eastAsia="宋体" w:hAnsi="Book Antiqua" w:cs="Times New Roman"/>
          <w:b/>
          <w:sz w:val="24"/>
          <w:szCs w:val="24"/>
        </w:rPr>
        <w:t>Revised:</w:t>
      </w:r>
      <w:r w:rsidRPr="009B24B0">
        <w:rPr>
          <w:rFonts w:ascii="Book Antiqua" w:eastAsia="宋体" w:hAnsi="Book Antiqua" w:cs="Times New Roman" w:hint="eastAsia"/>
          <w:sz w:val="24"/>
          <w:szCs w:val="24"/>
          <w:lang w:eastAsia="zh-CN"/>
        </w:rPr>
        <w:t xml:space="preserve"> </w:t>
      </w:r>
      <w:r>
        <w:rPr>
          <w:rFonts w:ascii="Book Antiqua" w:eastAsia="宋体" w:hAnsi="Book Antiqua" w:cs="Times New Roman"/>
          <w:kern w:val="2"/>
          <w:sz w:val="24"/>
          <w:szCs w:val="24"/>
          <w:lang w:val="en-US" w:eastAsia="zh-CN"/>
        </w:rPr>
        <w:t>April</w:t>
      </w:r>
      <w:r w:rsidRPr="009B24B0">
        <w:rPr>
          <w:rFonts w:ascii="Book Antiqua" w:eastAsia="宋体" w:hAnsi="Book Antiqua" w:cs="Times New Roman" w:hint="eastAsia"/>
          <w:kern w:val="2"/>
          <w:sz w:val="24"/>
          <w:szCs w:val="24"/>
          <w:lang w:val="en-US" w:eastAsia="zh-CN"/>
        </w:rPr>
        <w:t xml:space="preserve"> </w:t>
      </w:r>
      <w:r>
        <w:rPr>
          <w:rFonts w:ascii="Book Antiqua" w:eastAsia="等线" w:hAnsi="Book Antiqua" w:cs="Times New Roman"/>
          <w:kern w:val="2"/>
          <w:sz w:val="24"/>
          <w:szCs w:val="24"/>
          <w:lang w:eastAsia="zh-CN"/>
        </w:rPr>
        <w:t>2</w:t>
      </w:r>
      <w:r w:rsidRPr="009B24B0">
        <w:rPr>
          <w:rFonts w:ascii="Book Antiqua" w:eastAsia="宋体" w:hAnsi="Book Antiqua" w:cs="Times New Roman"/>
          <w:sz w:val="24"/>
          <w:szCs w:val="24"/>
          <w:lang w:eastAsia="zh-CN"/>
        </w:rPr>
        <w:t>, 2020</w:t>
      </w:r>
    </w:p>
    <w:bookmarkEnd w:id="4"/>
    <w:p w14:paraId="33CC75C3" w14:textId="134A0A1E" w:rsidR="009B24B0" w:rsidRPr="009B24B0" w:rsidRDefault="009B24B0" w:rsidP="009B24B0">
      <w:pPr>
        <w:snapToGrid w:val="0"/>
        <w:spacing w:after="0" w:line="360" w:lineRule="auto"/>
        <w:jc w:val="both"/>
        <w:rPr>
          <w:rFonts w:ascii="Book Antiqua" w:eastAsia="宋体" w:hAnsi="Book Antiqua" w:cs="Times New Roman"/>
          <w:b/>
          <w:sz w:val="24"/>
          <w:szCs w:val="24"/>
        </w:rPr>
      </w:pPr>
      <w:r w:rsidRPr="009B24B0">
        <w:rPr>
          <w:rFonts w:ascii="Book Antiqua" w:eastAsia="宋体" w:hAnsi="Book Antiqua" w:cs="Times New Roman"/>
          <w:b/>
          <w:sz w:val="24"/>
          <w:szCs w:val="24"/>
        </w:rPr>
        <w:t>Accepted:</w:t>
      </w:r>
      <w:r w:rsidR="000304CD" w:rsidRPr="000304CD">
        <w:t xml:space="preserve"> </w:t>
      </w:r>
      <w:r w:rsidR="000304CD" w:rsidRPr="000304CD">
        <w:rPr>
          <w:rFonts w:ascii="Book Antiqua" w:eastAsia="宋体" w:hAnsi="Book Antiqua" w:cs="Times New Roman"/>
          <w:bCs/>
          <w:sz w:val="24"/>
          <w:szCs w:val="24"/>
        </w:rPr>
        <w:t>April 8, 2020</w:t>
      </w:r>
      <w:r w:rsidRPr="000304CD">
        <w:rPr>
          <w:rFonts w:ascii="Calibri" w:eastAsia="宋体" w:hAnsi="Calibri" w:cs="Times New Roman"/>
          <w:bCs/>
          <w:sz w:val="24"/>
          <w:szCs w:val="24"/>
          <w:lang w:val="el-GR"/>
        </w:rPr>
        <w:t xml:space="preserve"> </w:t>
      </w:r>
    </w:p>
    <w:p w14:paraId="45CE8165" w14:textId="071C748D" w:rsidR="009B24B0" w:rsidRPr="009B24B0" w:rsidRDefault="009B24B0" w:rsidP="009B24B0">
      <w:pPr>
        <w:snapToGrid w:val="0"/>
        <w:spacing w:after="0" w:line="360" w:lineRule="auto"/>
        <w:jc w:val="both"/>
        <w:rPr>
          <w:rFonts w:ascii="Book Antiqua" w:eastAsia="宋体" w:hAnsi="Book Antiqua" w:cs="Times New Roman"/>
          <w:b/>
          <w:sz w:val="24"/>
          <w:szCs w:val="24"/>
          <w:lang w:eastAsia="zh-CN"/>
        </w:rPr>
      </w:pPr>
      <w:r w:rsidRPr="009B24B0">
        <w:rPr>
          <w:rFonts w:ascii="Book Antiqua" w:eastAsia="宋体" w:hAnsi="Book Antiqua" w:cs="Times New Roman"/>
          <w:b/>
          <w:sz w:val="24"/>
          <w:szCs w:val="24"/>
        </w:rPr>
        <w:lastRenderedPageBreak/>
        <w:t xml:space="preserve">Published online: </w:t>
      </w:r>
      <w:r w:rsidR="00861E6A">
        <w:rPr>
          <w:rFonts w:ascii="Book Antiqua" w:eastAsia="宋体" w:hAnsi="Book Antiqua" w:cs="Times New Roman" w:hint="eastAsia"/>
          <w:b/>
          <w:sz w:val="24"/>
          <w:szCs w:val="24"/>
          <w:lang w:eastAsia="zh-CN"/>
        </w:rPr>
        <w:t xml:space="preserve"> </w:t>
      </w:r>
      <w:r w:rsidR="00861E6A" w:rsidRPr="00861E6A">
        <w:rPr>
          <w:rFonts w:ascii="Book Antiqua" w:eastAsia="宋体" w:hAnsi="Book Antiqua" w:cs="Times New Roman" w:hint="eastAsia"/>
          <w:sz w:val="24"/>
          <w:szCs w:val="24"/>
          <w:lang w:eastAsia="zh-CN"/>
        </w:rPr>
        <w:t>April 21, 2020</w:t>
      </w:r>
    </w:p>
    <w:bookmarkEnd w:id="5"/>
    <w:p w14:paraId="72CECB0D" w14:textId="77777777" w:rsidR="009B24B0" w:rsidRPr="009B24B0" w:rsidRDefault="009B24B0" w:rsidP="00FC0E00">
      <w:pPr>
        <w:snapToGrid w:val="0"/>
        <w:spacing w:after="0" w:line="360" w:lineRule="auto"/>
        <w:jc w:val="both"/>
        <w:rPr>
          <w:rFonts w:ascii="Book Antiqua" w:eastAsia="宋体" w:hAnsi="Book Antiqua" w:cs="Times New Roman"/>
          <w:bCs/>
          <w:color w:val="000000"/>
          <w:kern w:val="2"/>
          <w:sz w:val="24"/>
          <w:szCs w:val="24"/>
          <w:lang w:val="en-US" w:eastAsia="zh-CN"/>
        </w:rPr>
      </w:pPr>
    </w:p>
    <w:p w14:paraId="3B9BFB40" w14:textId="77777777" w:rsidR="005A4555" w:rsidRPr="00FC0E00" w:rsidRDefault="00BB239C" w:rsidP="00FC0E00">
      <w:pPr>
        <w:snapToGrid w:val="0"/>
        <w:spacing w:after="0" w:line="360" w:lineRule="auto"/>
        <w:jc w:val="both"/>
        <w:rPr>
          <w:rFonts w:ascii="Book Antiqua" w:hAnsi="Book Antiqua"/>
          <w:sz w:val="24"/>
          <w:szCs w:val="24"/>
        </w:rPr>
      </w:pPr>
      <w:r w:rsidRPr="00FC0E00">
        <w:rPr>
          <w:rFonts w:ascii="Book Antiqua" w:hAnsi="Book Antiqua"/>
          <w:sz w:val="24"/>
          <w:szCs w:val="24"/>
        </w:rPr>
        <w:br w:type="page"/>
      </w:r>
    </w:p>
    <w:p w14:paraId="44DAD3DF" w14:textId="77777777" w:rsidR="005A4555" w:rsidRPr="00FC0E00" w:rsidRDefault="005A4555" w:rsidP="00FC0E00">
      <w:pPr>
        <w:adjustRightInd w:val="0"/>
        <w:snapToGrid w:val="0"/>
        <w:spacing w:after="0" w:line="360" w:lineRule="auto"/>
        <w:jc w:val="both"/>
        <w:rPr>
          <w:rFonts w:ascii="Book Antiqua" w:eastAsia="宋体" w:hAnsi="Book Antiqua" w:cs="Calibri"/>
          <w:b/>
          <w:sz w:val="24"/>
          <w:szCs w:val="24"/>
          <w:lang w:val="en-US"/>
        </w:rPr>
      </w:pPr>
      <w:bookmarkStart w:id="6" w:name="_Hlk35202271"/>
      <w:r w:rsidRPr="00FC0E00">
        <w:rPr>
          <w:rFonts w:ascii="Book Antiqua" w:eastAsia="宋体" w:hAnsi="Book Antiqua" w:cs="Calibri"/>
          <w:b/>
          <w:sz w:val="24"/>
          <w:szCs w:val="24"/>
          <w:lang w:val="en-US"/>
        </w:rPr>
        <w:lastRenderedPageBreak/>
        <w:t>Abstract</w:t>
      </w:r>
    </w:p>
    <w:bookmarkEnd w:id="6"/>
    <w:p w14:paraId="466AC358" w14:textId="1B267C28" w:rsidR="005A4555" w:rsidRPr="00FC0E00" w:rsidRDefault="00694B2B"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There has </w:t>
      </w:r>
      <w:r w:rsidR="00D53451" w:rsidRPr="00FC0E00">
        <w:rPr>
          <w:rFonts w:ascii="Book Antiqua" w:hAnsi="Book Antiqua"/>
          <w:sz w:val="24"/>
          <w:szCs w:val="24"/>
        </w:rPr>
        <w:t xml:space="preserve">long </w:t>
      </w:r>
      <w:r w:rsidRPr="00FC0E00">
        <w:rPr>
          <w:rFonts w:ascii="Book Antiqua" w:hAnsi="Book Antiqua"/>
          <w:sz w:val="24"/>
          <w:szCs w:val="24"/>
        </w:rPr>
        <w:t xml:space="preserve">been a recognised association between </w:t>
      </w:r>
      <w:bookmarkStart w:id="7" w:name="_Hlk37125220"/>
      <w:r w:rsidR="00507679" w:rsidRPr="00FC0E00">
        <w:rPr>
          <w:rFonts w:ascii="Book Antiqua" w:hAnsi="Book Antiqua"/>
          <w:sz w:val="24"/>
          <w:szCs w:val="24"/>
        </w:rPr>
        <w:t>non</w:t>
      </w:r>
      <w:r w:rsidR="002A3E90" w:rsidRPr="00FC0E00">
        <w:rPr>
          <w:rFonts w:ascii="Book Antiqua" w:hAnsi="Book Antiqua"/>
          <w:sz w:val="24"/>
          <w:szCs w:val="24"/>
        </w:rPr>
        <w:t>-alcoholic fatty liver disease</w:t>
      </w:r>
      <w:bookmarkEnd w:id="7"/>
      <w:r w:rsidR="002A3E90" w:rsidRPr="00FC0E00">
        <w:rPr>
          <w:rFonts w:ascii="Book Antiqua" w:hAnsi="Book Antiqua"/>
          <w:sz w:val="24"/>
          <w:szCs w:val="24"/>
        </w:rPr>
        <w:t xml:space="preserve"> (</w:t>
      </w:r>
      <w:r w:rsidRPr="00FC0E00">
        <w:rPr>
          <w:rFonts w:ascii="Book Antiqua" w:hAnsi="Book Antiqua"/>
          <w:sz w:val="24"/>
          <w:szCs w:val="24"/>
        </w:rPr>
        <w:t>NAFLD</w:t>
      </w:r>
      <w:r w:rsidR="002A3E90" w:rsidRPr="00FC0E00">
        <w:rPr>
          <w:rFonts w:ascii="Book Antiqua" w:hAnsi="Book Antiqua"/>
          <w:sz w:val="24"/>
          <w:szCs w:val="24"/>
        </w:rPr>
        <w:t>)</w:t>
      </w:r>
      <w:r w:rsidRPr="00FC0E00">
        <w:rPr>
          <w:rFonts w:ascii="Book Antiqua" w:hAnsi="Book Antiqua"/>
          <w:sz w:val="24"/>
          <w:szCs w:val="24"/>
        </w:rPr>
        <w:t xml:space="preserve"> and the composite aspects of the metabolic syndrome. Part of this association highlighted the supposed co-existence of elevated uric</w:t>
      </w:r>
      <w:r w:rsidR="00333CAA" w:rsidRPr="00FC0E00">
        <w:rPr>
          <w:rFonts w:ascii="Book Antiqua" w:hAnsi="Book Antiqua"/>
          <w:sz w:val="24"/>
          <w:szCs w:val="24"/>
        </w:rPr>
        <w:t xml:space="preserve"> acid levels</w:t>
      </w:r>
      <w:r w:rsidRPr="00FC0E00">
        <w:rPr>
          <w:rFonts w:ascii="Book Antiqua" w:hAnsi="Book Antiqua"/>
          <w:sz w:val="24"/>
          <w:szCs w:val="24"/>
        </w:rPr>
        <w:t xml:space="preserve"> </w:t>
      </w:r>
      <w:r w:rsidR="00A44D1A" w:rsidRPr="00FC0E00">
        <w:rPr>
          <w:rFonts w:ascii="Book Antiqua" w:hAnsi="Book Antiqua"/>
          <w:sz w:val="24"/>
          <w:szCs w:val="24"/>
        </w:rPr>
        <w:t xml:space="preserve">in those with NAFLD. There is interest in exploitation of this as a putative diagnostic and prognostic biomarker in NAFLD. </w:t>
      </w:r>
      <w:r w:rsidR="009A747A" w:rsidRPr="00FC0E00">
        <w:rPr>
          <w:rFonts w:ascii="Book Antiqua" w:hAnsi="Book Antiqua"/>
          <w:sz w:val="24"/>
          <w:szCs w:val="24"/>
        </w:rPr>
        <w:t xml:space="preserve">Given the increased economic and health burden associated with the NAFLD epidemic, improved methods of population-based, minimally-invasive </w:t>
      </w:r>
      <w:r w:rsidR="00F22EF6" w:rsidRPr="00FC0E00">
        <w:rPr>
          <w:rFonts w:ascii="Book Antiqua" w:hAnsi="Book Antiqua"/>
          <w:sz w:val="24"/>
          <w:szCs w:val="24"/>
        </w:rPr>
        <w:t>methods and biomarkers are clearly</w:t>
      </w:r>
      <w:r w:rsidR="009A747A" w:rsidRPr="00FC0E00">
        <w:rPr>
          <w:rFonts w:ascii="Book Antiqua" w:hAnsi="Book Antiqua"/>
          <w:sz w:val="24"/>
          <w:szCs w:val="24"/>
        </w:rPr>
        <w:t xml:space="preserve"> </w:t>
      </w:r>
      <w:r w:rsidR="00F22EF6" w:rsidRPr="00FC0E00">
        <w:rPr>
          <w:rFonts w:ascii="Book Antiqua" w:hAnsi="Book Antiqua"/>
          <w:sz w:val="24"/>
          <w:szCs w:val="24"/>
        </w:rPr>
        <w:t>highly</w:t>
      </w:r>
      <w:r w:rsidR="009A747A" w:rsidRPr="00FC0E00">
        <w:rPr>
          <w:rFonts w:ascii="Book Antiqua" w:hAnsi="Book Antiqua"/>
          <w:sz w:val="24"/>
          <w:szCs w:val="24"/>
        </w:rPr>
        <w:t xml:space="preserve"> sought</w:t>
      </w:r>
      <w:r w:rsidR="00F22EF6" w:rsidRPr="00FC0E00">
        <w:rPr>
          <w:rFonts w:ascii="Book Antiqua" w:hAnsi="Book Antiqua"/>
          <w:sz w:val="24"/>
          <w:szCs w:val="24"/>
        </w:rPr>
        <w:t xml:space="preserve"> and necessary</w:t>
      </w:r>
      <w:r w:rsidR="009A747A" w:rsidRPr="00FC0E00">
        <w:rPr>
          <w:rFonts w:ascii="Book Antiqua" w:hAnsi="Book Antiqua"/>
          <w:sz w:val="24"/>
          <w:szCs w:val="24"/>
        </w:rPr>
        <w:t xml:space="preserve">. </w:t>
      </w:r>
      <w:r w:rsidR="00A44D1A" w:rsidRPr="00FC0E00">
        <w:rPr>
          <w:rFonts w:ascii="Book Antiqua" w:hAnsi="Book Antiqua"/>
          <w:sz w:val="24"/>
          <w:szCs w:val="24"/>
        </w:rPr>
        <w:t xml:space="preserve">In this </w:t>
      </w:r>
      <w:r w:rsidR="00D904BE" w:rsidRPr="00FC0E00">
        <w:rPr>
          <w:rFonts w:ascii="Book Antiqua" w:hAnsi="Book Antiqua"/>
          <w:sz w:val="24"/>
          <w:szCs w:val="24"/>
        </w:rPr>
        <w:t xml:space="preserve">opinion review we review the proposed role of uric acid in the pathogenesis of NAFLD and </w:t>
      </w:r>
      <w:r w:rsidR="00781F0A" w:rsidRPr="00FC0E00">
        <w:rPr>
          <w:rFonts w:ascii="Book Antiqua" w:hAnsi="Book Antiqua"/>
          <w:sz w:val="24"/>
          <w:szCs w:val="24"/>
        </w:rPr>
        <w:t>its potential utilisation in the diagnosis and monit</w:t>
      </w:r>
      <w:r w:rsidR="00AB7027" w:rsidRPr="00FC0E00">
        <w:rPr>
          <w:rFonts w:ascii="Book Antiqua" w:hAnsi="Book Antiqua"/>
          <w:sz w:val="24"/>
          <w:szCs w:val="24"/>
        </w:rPr>
        <w:t xml:space="preserve">oring of the disease process. </w:t>
      </w:r>
    </w:p>
    <w:p w14:paraId="6C257B53" w14:textId="77777777" w:rsidR="005A4555" w:rsidRPr="00FC0E00" w:rsidRDefault="005A4555" w:rsidP="00FC0E00">
      <w:pPr>
        <w:snapToGrid w:val="0"/>
        <w:spacing w:after="0" w:line="360" w:lineRule="auto"/>
        <w:jc w:val="both"/>
        <w:rPr>
          <w:rFonts w:ascii="Book Antiqua" w:hAnsi="Book Antiqua"/>
          <w:sz w:val="24"/>
          <w:szCs w:val="24"/>
        </w:rPr>
      </w:pPr>
    </w:p>
    <w:p w14:paraId="7AD32601" w14:textId="1C21BE7F" w:rsidR="005A4555" w:rsidRPr="00FC0E00" w:rsidRDefault="005A4555" w:rsidP="00FC0E00">
      <w:pPr>
        <w:snapToGrid w:val="0"/>
        <w:spacing w:after="0" w:line="360" w:lineRule="auto"/>
        <w:jc w:val="both"/>
        <w:rPr>
          <w:rFonts w:ascii="Book Antiqua" w:hAnsi="Book Antiqua"/>
          <w:sz w:val="24"/>
          <w:szCs w:val="24"/>
        </w:rPr>
      </w:pPr>
      <w:bookmarkStart w:id="8" w:name="_Hlk28872569"/>
      <w:bookmarkStart w:id="9" w:name="_Hlk35205927"/>
      <w:r w:rsidRPr="00FC0E00">
        <w:rPr>
          <w:rFonts w:ascii="Book Antiqua" w:eastAsia="宋体" w:hAnsi="Book Antiqua" w:cs="Calibri"/>
          <w:b/>
          <w:sz w:val="24"/>
          <w:szCs w:val="24"/>
          <w:lang w:val="en-US"/>
        </w:rPr>
        <w:t>Key</w:t>
      </w:r>
      <w:r w:rsidRPr="00FC0E00">
        <w:rPr>
          <w:rFonts w:ascii="Book Antiqua" w:eastAsia="宋体" w:hAnsi="Book Antiqua" w:cs="Calibri"/>
          <w:b/>
          <w:sz w:val="24"/>
          <w:szCs w:val="24"/>
          <w:lang w:val="en-US" w:eastAsia="zh-CN"/>
        </w:rPr>
        <w:t xml:space="preserve"> </w:t>
      </w:r>
      <w:r w:rsidRPr="00FC0E00">
        <w:rPr>
          <w:rFonts w:ascii="Book Antiqua" w:eastAsia="宋体" w:hAnsi="Book Antiqua" w:cs="Calibri"/>
          <w:b/>
          <w:sz w:val="24"/>
          <w:szCs w:val="24"/>
          <w:lang w:val="en-US"/>
        </w:rPr>
        <w:t>words:</w:t>
      </w:r>
      <w:bookmarkEnd w:id="8"/>
      <w:r w:rsidRPr="00FC0E00">
        <w:rPr>
          <w:rFonts w:ascii="Book Antiqua" w:eastAsia="宋体" w:hAnsi="Book Antiqua" w:cs="Calibri"/>
          <w:b/>
          <w:sz w:val="24"/>
          <w:szCs w:val="24"/>
          <w:lang w:val="en-US"/>
        </w:rPr>
        <w:t xml:space="preserve"> </w:t>
      </w:r>
      <w:bookmarkEnd w:id="9"/>
      <w:r w:rsidRPr="00FC0E00">
        <w:rPr>
          <w:rFonts w:ascii="Book Antiqua" w:hAnsi="Book Antiqua"/>
          <w:sz w:val="24"/>
          <w:szCs w:val="24"/>
        </w:rPr>
        <w:t>Non-alcoholic fatty liver disease</w:t>
      </w:r>
      <w:r w:rsidR="001526E0">
        <w:rPr>
          <w:rFonts w:ascii="Book Antiqua" w:hAnsi="Book Antiqua"/>
          <w:sz w:val="24"/>
          <w:szCs w:val="24"/>
        </w:rPr>
        <w:t>;</w:t>
      </w:r>
      <w:r w:rsidR="004966CB" w:rsidRPr="00FC0E00">
        <w:rPr>
          <w:rFonts w:ascii="Book Antiqua" w:hAnsi="Book Antiqua"/>
          <w:sz w:val="24"/>
          <w:szCs w:val="24"/>
        </w:rPr>
        <w:t xml:space="preserve"> Non-</w:t>
      </w:r>
      <w:r w:rsidRPr="00FC0E00">
        <w:rPr>
          <w:rFonts w:ascii="Book Antiqua" w:hAnsi="Book Antiqua"/>
          <w:sz w:val="24"/>
          <w:szCs w:val="24"/>
        </w:rPr>
        <w:t>alcoholic steatohepatitis</w:t>
      </w:r>
      <w:r w:rsidR="001526E0">
        <w:rPr>
          <w:rFonts w:ascii="Book Antiqua" w:hAnsi="Book Antiqua"/>
          <w:sz w:val="24"/>
          <w:szCs w:val="24"/>
        </w:rPr>
        <w:t>;</w:t>
      </w:r>
      <w:r w:rsidR="009E4DF2" w:rsidRPr="00FC0E00">
        <w:rPr>
          <w:rFonts w:ascii="Book Antiqua" w:hAnsi="Book Antiqua"/>
          <w:sz w:val="24"/>
          <w:szCs w:val="24"/>
        </w:rPr>
        <w:t xml:space="preserve"> Uric </w:t>
      </w:r>
      <w:r w:rsidRPr="00FC0E00">
        <w:rPr>
          <w:rFonts w:ascii="Book Antiqua" w:hAnsi="Book Antiqua"/>
          <w:sz w:val="24"/>
          <w:szCs w:val="24"/>
        </w:rPr>
        <w:t>acid</w:t>
      </w:r>
      <w:r w:rsidR="001526E0">
        <w:rPr>
          <w:rFonts w:ascii="Book Antiqua" w:hAnsi="Book Antiqua"/>
          <w:sz w:val="24"/>
          <w:szCs w:val="24"/>
        </w:rPr>
        <w:t>;</w:t>
      </w:r>
      <w:r w:rsidR="00986FDF" w:rsidRPr="00FC0E00">
        <w:rPr>
          <w:rFonts w:ascii="Book Antiqua" w:hAnsi="Book Antiqua"/>
          <w:sz w:val="24"/>
          <w:szCs w:val="24"/>
        </w:rPr>
        <w:t xml:space="preserve"> Urate</w:t>
      </w:r>
      <w:r w:rsidR="001526E0">
        <w:rPr>
          <w:rFonts w:ascii="Book Antiqua" w:hAnsi="Book Antiqua"/>
          <w:sz w:val="24"/>
          <w:szCs w:val="24"/>
        </w:rPr>
        <w:t>;</w:t>
      </w:r>
      <w:r w:rsidR="009E4DF2" w:rsidRPr="00FC0E00">
        <w:rPr>
          <w:rFonts w:ascii="Book Antiqua" w:hAnsi="Book Antiqua"/>
          <w:sz w:val="24"/>
          <w:szCs w:val="24"/>
        </w:rPr>
        <w:t xml:space="preserve"> Non-invasive fibrosis markers</w:t>
      </w:r>
      <w:r w:rsidR="001526E0">
        <w:rPr>
          <w:rFonts w:ascii="Book Antiqua" w:hAnsi="Book Antiqua"/>
          <w:sz w:val="24"/>
          <w:szCs w:val="24"/>
        </w:rPr>
        <w:t>;</w:t>
      </w:r>
      <w:r w:rsidR="009E4DF2" w:rsidRPr="00FC0E00">
        <w:rPr>
          <w:rFonts w:ascii="Book Antiqua" w:hAnsi="Book Antiqua"/>
          <w:sz w:val="24"/>
          <w:szCs w:val="24"/>
        </w:rPr>
        <w:t xml:space="preserve"> Fatty </w:t>
      </w:r>
      <w:r w:rsidRPr="00FC0E00">
        <w:rPr>
          <w:rFonts w:ascii="Book Antiqua" w:hAnsi="Book Antiqua"/>
          <w:sz w:val="24"/>
          <w:szCs w:val="24"/>
        </w:rPr>
        <w:t>liver index</w:t>
      </w:r>
    </w:p>
    <w:p w14:paraId="1809D974" w14:textId="7A092B15" w:rsidR="005A4555" w:rsidRPr="00FC0E00" w:rsidRDefault="005A4555" w:rsidP="00FC0E00">
      <w:pPr>
        <w:snapToGrid w:val="0"/>
        <w:spacing w:after="0" w:line="360" w:lineRule="auto"/>
        <w:jc w:val="both"/>
        <w:rPr>
          <w:rFonts w:ascii="Book Antiqua" w:hAnsi="Book Antiqua"/>
          <w:sz w:val="24"/>
          <w:szCs w:val="24"/>
        </w:rPr>
      </w:pPr>
    </w:p>
    <w:p w14:paraId="3C4F9262" w14:textId="77777777" w:rsidR="00861E6A" w:rsidRDefault="00861E6A" w:rsidP="00861E6A">
      <w:pPr>
        <w:pStyle w:val="a6"/>
        <w:snapToGrid w:val="0"/>
        <w:spacing w:line="360" w:lineRule="auto"/>
        <w:contextualSpacing w:val="0"/>
        <w:jc w:val="both"/>
        <w:rPr>
          <w:rFonts w:ascii="Book Antiqua" w:eastAsia="宋体" w:hAnsi="Book Antiqua" w:cs="Arial"/>
          <w:bCs/>
          <w:sz w:val="24"/>
          <w:szCs w:val="24"/>
          <w:lang w:val="en-US" w:eastAsia="zh-CN"/>
        </w:rPr>
      </w:pPr>
      <w:bookmarkStart w:id="10" w:name="_Hlk34696807"/>
      <w:r w:rsidRPr="00861E6A">
        <w:rPr>
          <w:rFonts w:ascii="Book Antiqua" w:hAnsi="Book Antiqua" w:hint="eastAsia"/>
          <w:b/>
          <w:sz w:val="24"/>
          <w:szCs w:val="24"/>
          <w:lang w:eastAsia="zh-CN"/>
        </w:rPr>
        <w:t>Citation:</w:t>
      </w:r>
      <w:r>
        <w:rPr>
          <w:rFonts w:ascii="Book Antiqua" w:hAnsi="Book Antiqua" w:hint="eastAsia"/>
          <w:sz w:val="24"/>
          <w:szCs w:val="24"/>
          <w:lang w:eastAsia="zh-CN"/>
        </w:rPr>
        <w:t xml:space="preserve"> </w:t>
      </w:r>
      <w:r w:rsidRPr="00FC0E00">
        <w:rPr>
          <w:rFonts w:ascii="Book Antiqua" w:hAnsi="Book Antiqua"/>
          <w:sz w:val="24"/>
          <w:szCs w:val="24"/>
        </w:rPr>
        <w:t>Brennan</w:t>
      </w:r>
      <w:r w:rsidRPr="00641B0D">
        <w:rPr>
          <w:rFonts w:ascii="Book Antiqua" w:hAnsi="Book Antiqua"/>
          <w:sz w:val="24"/>
          <w:szCs w:val="24"/>
        </w:rPr>
        <w:t xml:space="preserve"> </w:t>
      </w:r>
      <w:r w:rsidRPr="00FC0E00">
        <w:rPr>
          <w:rFonts w:ascii="Book Antiqua" w:hAnsi="Book Antiqua"/>
          <w:sz w:val="24"/>
          <w:szCs w:val="24"/>
        </w:rPr>
        <w:t>P, Clare</w:t>
      </w:r>
      <w:r w:rsidRPr="00641B0D">
        <w:rPr>
          <w:rFonts w:ascii="Book Antiqua" w:hAnsi="Book Antiqua"/>
          <w:sz w:val="24"/>
          <w:szCs w:val="24"/>
        </w:rPr>
        <w:t xml:space="preserve"> </w:t>
      </w:r>
      <w:r w:rsidRPr="00FC0E00">
        <w:rPr>
          <w:rFonts w:ascii="Book Antiqua" w:hAnsi="Book Antiqua"/>
          <w:sz w:val="24"/>
          <w:szCs w:val="24"/>
        </w:rPr>
        <w:t>K, George</w:t>
      </w:r>
      <w:r w:rsidRPr="00641B0D">
        <w:rPr>
          <w:rFonts w:ascii="Book Antiqua" w:hAnsi="Book Antiqua"/>
          <w:sz w:val="24"/>
          <w:szCs w:val="24"/>
        </w:rPr>
        <w:t xml:space="preserve"> </w:t>
      </w:r>
      <w:r w:rsidRPr="00FC0E00">
        <w:rPr>
          <w:rFonts w:ascii="Book Antiqua" w:hAnsi="Book Antiqua"/>
          <w:sz w:val="24"/>
          <w:szCs w:val="24"/>
        </w:rPr>
        <w:t>J, Dillon</w:t>
      </w:r>
      <w:r w:rsidRPr="00641B0D">
        <w:rPr>
          <w:rFonts w:ascii="Book Antiqua" w:hAnsi="Book Antiqua"/>
          <w:sz w:val="24"/>
          <w:szCs w:val="24"/>
        </w:rPr>
        <w:t xml:space="preserve"> </w:t>
      </w:r>
      <w:r w:rsidRPr="00FC0E00">
        <w:rPr>
          <w:rFonts w:ascii="Book Antiqua" w:hAnsi="Book Antiqua"/>
          <w:sz w:val="24"/>
          <w:szCs w:val="24"/>
        </w:rPr>
        <w:t>JF</w:t>
      </w:r>
      <w:r>
        <w:rPr>
          <w:rFonts w:ascii="Book Antiqua" w:hAnsi="Book Antiqua"/>
          <w:sz w:val="24"/>
          <w:szCs w:val="24"/>
        </w:rPr>
        <w:t>.</w:t>
      </w:r>
      <w:r w:rsidRPr="00641B0D">
        <w:rPr>
          <w:rFonts w:ascii="Book Antiqua" w:hAnsi="Book Antiqua"/>
          <w:sz w:val="24"/>
          <w:szCs w:val="24"/>
          <w:shd w:val="clear" w:color="auto" w:fill="FFFFFF"/>
        </w:rPr>
        <w:t xml:space="preserve"> </w:t>
      </w:r>
      <w:proofErr w:type="gramStart"/>
      <w:r w:rsidRPr="00641B0D">
        <w:rPr>
          <w:rFonts w:ascii="Book Antiqua" w:hAnsi="Book Antiqua"/>
          <w:sz w:val="24"/>
          <w:szCs w:val="24"/>
          <w:shd w:val="clear" w:color="auto" w:fill="FFFFFF"/>
        </w:rPr>
        <w:t>Determining the role for uric acid in non-alcoholic steatohepatitis development and the utility of urate metabolites in diagnosis: An opinion review</w:t>
      </w:r>
      <w:r>
        <w:rPr>
          <w:rFonts w:ascii="Book Antiqua" w:hAnsi="Book Antiqua"/>
          <w:sz w:val="24"/>
          <w:szCs w:val="24"/>
          <w:shd w:val="clear" w:color="auto" w:fill="FFFFFF"/>
        </w:rPr>
        <w:t>.</w:t>
      </w:r>
      <w:proofErr w:type="gramEnd"/>
      <w:r>
        <w:rPr>
          <w:rFonts w:ascii="Book Antiqua" w:hAnsi="Book Antiqua"/>
          <w:sz w:val="24"/>
          <w:szCs w:val="24"/>
          <w:shd w:val="clear" w:color="auto" w:fill="FFFFFF"/>
        </w:rPr>
        <w:t xml:space="preserve"> </w:t>
      </w:r>
      <w:r w:rsidRPr="00FC0E00">
        <w:rPr>
          <w:rFonts w:ascii="Book Antiqua" w:eastAsia="宋体" w:hAnsi="Book Antiqua" w:cs="Arial"/>
          <w:bCs/>
          <w:i/>
          <w:iCs/>
          <w:sz w:val="24"/>
          <w:szCs w:val="24"/>
          <w:lang w:val="en-US"/>
        </w:rPr>
        <w:t xml:space="preserve">World J </w:t>
      </w:r>
      <w:proofErr w:type="spellStart"/>
      <w:r w:rsidRPr="00FC0E00">
        <w:rPr>
          <w:rFonts w:ascii="Book Antiqua" w:eastAsia="宋体" w:hAnsi="Book Antiqua" w:cs="Arial"/>
          <w:bCs/>
          <w:i/>
          <w:iCs/>
          <w:sz w:val="24"/>
          <w:szCs w:val="24"/>
          <w:lang w:val="en-US"/>
        </w:rPr>
        <w:t>Gastroenterol</w:t>
      </w:r>
      <w:proofErr w:type="spellEnd"/>
      <w:r w:rsidRPr="00FC0E00">
        <w:rPr>
          <w:rFonts w:ascii="Book Antiqua" w:eastAsia="宋体" w:hAnsi="Book Antiqua" w:cs="Arial"/>
          <w:bCs/>
          <w:i/>
          <w:iCs/>
          <w:sz w:val="24"/>
          <w:szCs w:val="24"/>
          <w:lang w:val="en-US"/>
        </w:rPr>
        <w:t xml:space="preserve"> </w:t>
      </w:r>
      <w:bookmarkEnd w:id="10"/>
      <w:r w:rsidRPr="00F73A31">
        <w:rPr>
          <w:rFonts w:ascii="Book Antiqua" w:eastAsia="宋体" w:hAnsi="Book Antiqua" w:cs="Arial"/>
          <w:bCs/>
          <w:sz w:val="24"/>
          <w:szCs w:val="24"/>
          <w:lang w:val="en-US"/>
        </w:rPr>
        <w:t xml:space="preserve">2020; 26(15): </w:t>
      </w:r>
      <w:r>
        <w:rPr>
          <w:rFonts w:ascii="Book Antiqua" w:eastAsia="宋体" w:hAnsi="Book Antiqua" w:cs="Arial" w:hint="eastAsia"/>
          <w:bCs/>
          <w:sz w:val="24"/>
          <w:szCs w:val="24"/>
          <w:lang w:val="en-US" w:eastAsia="zh-CN"/>
        </w:rPr>
        <w:t>1683</w:t>
      </w:r>
      <w:r w:rsidRPr="00F73A31">
        <w:rPr>
          <w:rFonts w:ascii="Book Antiqua" w:eastAsia="宋体" w:hAnsi="Book Antiqua" w:cs="Arial"/>
          <w:bCs/>
          <w:sz w:val="24"/>
          <w:szCs w:val="24"/>
          <w:lang w:val="en-US"/>
        </w:rPr>
        <w:t>-</w:t>
      </w:r>
      <w:r>
        <w:rPr>
          <w:rFonts w:ascii="Book Antiqua" w:eastAsia="宋体" w:hAnsi="Book Antiqua" w:cs="Arial" w:hint="eastAsia"/>
          <w:bCs/>
          <w:sz w:val="24"/>
          <w:szCs w:val="24"/>
          <w:lang w:val="en-US" w:eastAsia="zh-CN"/>
        </w:rPr>
        <w:t>1690</w:t>
      </w:r>
      <w:r w:rsidRPr="00F73A31">
        <w:rPr>
          <w:rFonts w:ascii="Book Antiqua" w:eastAsia="宋体" w:hAnsi="Book Antiqua" w:cs="Arial"/>
          <w:bCs/>
          <w:sz w:val="24"/>
          <w:szCs w:val="24"/>
          <w:lang w:val="en-US"/>
        </w:rPr>
        <w:t xml:space="preserve">  </w:t>
      </w:r>
    </w:p>
    <w:p w14:paraId="12E8DA04" w14:textId="77777777" w:rsidR="00861E6A" w:rsidRDefault="00861E6A" w:rsidP="00861E6A">
      <w:pPr>
        <w:pStyle w:val="a6"/>
        <w:snapToGrid w:val="0"/>
        <w:spacing w:line="360" w:lineRule="auto"/>
        <w:contextualSpacing w:val="0"/>
        <w:jc w:val="both"/>
        <w:rPr>
          <w:rFonts w:ascii="Book Antiqua" w:eastAsia="宋体" w:hAnsi="Book Antiqua" w:cs="Arial"/>
          <w:bCs/>
          <w:sz w:val="24"/>
          <w:szCs w:val="24"/>
          <w:lang w:val="en-US" w:eastAsia="zh-CN"/>
        </w:rPr>
      </w:pPr>
      <w:r w:rsidRPr="00861E6A">
        <w:rPr>
          <w:rFonts w:ascii="Book Antiqua" w:eastAsia="宋体" w:hAnsi="Book Antiqua" w:cs="Arial"/>
          <w:b/>
          <w:bCs/>
          <w:sz w:val="24"/>
          <w:szCs w:val="24"/>
          <w:lang w:val="en-US"/>
        </w:rPr>
        <w:t xml:space="preserve">URL: </w:t>
      </w:r>
      <w:r w:rsidRPr="00F73A31">
        <w:rPr>
          <w:rFonts w:ascii="Book Antiqua" w:eastAsia="宋体" w:hAnsi="Book Antiqua" w:cs="Arial"/>
          <w:bCs/>
          <w:sz w:val="24"/>
          <w:szCs w:val="24"/>
          <w:lang w:val="en-US"/>
        </w:rPr>
        <w:t>https://www.wjgnet.com/1007-9327/full/v26/i15/</w:t>
      </w:r>
      <w:r>
        <w:rPr>
          <w:rFonts w:ascii="Book Antiqua" w:eastAsia="宋体" w:hAnsi="Book Antiqua" w:cs="Arial" w:hint="eastAsia"/>
          <w:bCs/>
          <w:sz w:val="24"/>
          <w:szCs w:val="24"/>
          <w:lang w:val="en-US" w:eastAsia="zh-CN"/>
        </w:rPr>
        <w:t>1683</w:t>
      </w:r>
      <w:r w:rsidRPr="00F73A31">
        <w:rPr>
          <w:rFonts w:ascii="Book Antiqua" w:eastAsia="宋体" w:hAnsi="Book Antiqua" w:cs="Arial"/>
          <w:bCs/>
          <w:sz w:val="24"/>
          <w:szCs w:val="24"/>
          <w:lang w:val="en-US"/>
        </w:rPr>
        <w:t xml:space="preserve">.htm  </w:t>
      </w:r>
    </w:p>
    <w:p w14:paraId="69B0079B" w14:textId="24E5A151" w:rsidR="00861E6A" w:rsidRPr="00FC0E00" w:rsidRDefault="00861E6A" w:rsidP="00861E6A">
      <w:pPr>
        <w:pStyle w:val="a6"/>
        <w:snapToGrid w:val="0"/>
        <w:spacing w:line="360" w:lineRule="auto"/>
        <w:contextualSpacing w:val="0"/>
        <w:jc w:val="both"/>
        <w:rPr>
          <w:rFonts w:ascii="Book Antiqua" w:hAnsi="Book Antiqua"/>
          <w:sz w:val="24"/>
          <w:szCs w:val="24"/>
          <w:lang w:eastAsia="zh-CN"/>
        </w:rPr>
      </w:pPr>
      <w:r w:rsidRPr="00861E6A">
        <w:rPr>
          <w:rFonts w:ascii="Book Antiqua" w:eastAsia="宋体" w:hAnsi="Book Antiqua" w:cs="Arial"/>
          <w:b/>
          <w:bCs/>
          <w:sz w:val="24"/>
          <w:szCs w:val="24"/>
          <w:lang w:val="en-US"/>
        </w:rPr>
        <w:t>DOI:</w:t>
      </w:r>
      <w:r>
        <w:rPr>
          <w:rFonts w:ascii="Book Antiqua" w:eastAsia="宋体" w:hAnsi="Book Antiqua" w:cs="Arial" w:hint="eastAsia"/>
          <w:bCs/>
          <w:sz w:val="24"/>
          <w:szCs w:val="24"/>
          <w:lang w:val="en-US" w:eastAsia="zh-CN"/>
        </w:rPr>
        <w:t>8</w:t>
      </w:r>
      <w:r w:rsidRPr="00F73A31">
        <w:rPr>
          <w:rFonts w:ascii="Book Antiqua" w:eastAsia="宋体" w:hAnsi="Book Antiqua" w:cs="Arial"/>
          <w:bCs/>
          <w:sz w:val="24"/>
          <w:szCs w:val="24"/>
          <w:lang w:val="en-US"/>
        </w:rPr>
        <w:t>https://dx.doi.org/10.3748/wjg.v26.i15.</w:t>
      </w:r>
      <w:r>
        <w:rPr>
          <w:rFonts w:ascii="Book Antiqua" w:eastAsia="宋体" w:hAnsi="Book Antiqua" w:cs="Arial" w:hint="eastAsia"/>
          <w:bCs/>
          <w:sz w:val="24"/>
          <w:szCs w:val="24"/>
          <w:lang w:val="en-US" w:eastAsia="zh-CN"/>
        </w:rPr>
        <w:t>1683</w:t>
      </w:r>
    </w:p>
    <w:p w14:paraId="4CC6BA57" w14:textId="77777777" w:rsidR="005A4555" w:rsidRPr="00861E6A" w:rsidRDefault="005A4555" w:rsidP="00FC0E00">
      <w:pPr>
        <w:snapToGrid w:val="0"/>
        <w:spacing w:after="0" w:line="360" w:lineRule="auto"/>
        <w:jc w:val="both"/>
        <w:rPr>
          <w:rFonts w:ascii="Book Antiqua" w:hAnsi="Book Antiqua"/>
          <w:sz w:val="24"/>
          <w:szCs w:val="24"/>
        </w:rPr>
      </w:pPr>
    </w:p>
    <w:p w14:paraId="669D978A" w14:textId="6DC61111" w:rsidR="005A4555" w:rsidRPr="00FC0E00" w:rsidRDefault="005A4555" w:rsidP="00FC0E00">
      <w:pPr>
        <w:snapToGrid w:val="0"/>
        <w:spacing w:after="0" w:line="360" w:lineRule="auto"/>
        <w:jc w:val="both"/>
        <w:rPr>
          <w:rFonts w:ascii="Book Antiqua" w:hAnsi="Book Antiqua"/>
          <w:sz w:val="24"/>
          <w:szCs w:val="24"/>
        </w:rPr>
      </w:pPr>
      <w:bookmarkStart w:id="11" w:name="_Hlk28268548"/>
      <w:bookmarkStart w:id="12" w:name="_Hlk35967219"/>
      <w:r w:rsidRPr="00FC0E00">
        <w:rPr>
          <w:rFonts w:ascii="Book Antiqua" w:eastAsia="宋体" w:hAnsi="Book Antiqua" w:cs="Times New Roman"/>
          <w:b/>
          <w:sz w:val="24"/>
          <w:szCs w:val="24"/>
          <w:lang w:val="en-US"/>
        </w:rPr>
        <w:t>Core tip</w:t>
      </w:r>
      <w:r w:rsidRPr="00FC0E00">
        <w:rPr>
          <w:rFonts w:ascii="Book Antiqua" w:eastAsia="宋体" w:hAnsi="Book Antiqua" w:cs="Times New Roman"/>
          <w:b/>
          <w:sz w:val="24"/>
          <w:szCs w:val="24"/>
          <w:lang w:val="en-US" w:eastAsia="zh-CN"/>
        </w:rPr>
        <w:t>:</w:t>
      </w:r>
      <w:bookmarkEnd w:id="11"/>
      <w:r w:rsidRPr="00FC0E00">
        <w:rPr>
          <w:rFonts w:ascii="Book Antiqua" w:eastAsia="宋体" w:hAnsi="Book Antiqua" w:cs="Times New Roman"/>
          <w:b/>
          <w:sz w:val="24"/>
          <w:szCs w:val="24"/>
          <w:lang w:val="en-US" w:eastAsia="zh-CN"/>
        </w:rPr>
        <w:t xml:space="preserve"> </w:t>
      </w:r>
      <w:bookmarkEnd w:id="12"/>
      <w:r w:rsidR="00FB6F16" w:rsidRPr="00FC0E00">
        <w:rPr>
          <w:rFonts w:ascii="Book Antiqua" w:hAnsi="Book Antiqua"/>
          <w:sz w:val="24"/>
          <w:szCs w:val="24"/>
        </w:rPr>
        <w:t>There is</w:t>
      </w:r>
      <w:r w:rsidR="00450BA5" w:rsidRPr="00FC0E00">
        <w:rPr>
          <w:rFonts w:ascii="Book Antiqua" w:hAnsi="Book Antiqua"/>
          <w:sz w:val="24"/>
          <w:szCs w:val="24"/>
        </w:rPr>
        <w:t xml:space="preserve"> significant interest in the role of uric acid as </w:t>
      </w:r>
      <w:r w:rsidR="00F22EF6" w:rsidRPr="00FC0E00">
        <w:rPr>
          <w:rFonts w:ascii="Book Antiqua" w:hAnsi="Book Antiqua"/>
          <w:sz w:val="24"/>
          <w:szCs w:val="24"/>
        </w:rPr>
        <w:t xml:space="preserve">both </w:t>
      </w:r>
      <w:r w:rsidR="00450BA5" w:rsidRPr="00FC0E00">
        <w:rPr>
          <w:rFonts w:ascii="Book Antiqua" w:hAnsi="Book Antiqua"/>
          <w:sz w:val="24"/>
          <w:szCs w:val="24"/>
        </w:rPr>
        <w:t xml:space="preserve">a causative aetiological proponent in </w:t>
      </w:r>
      <w:r w:rsidR="00507679" w:rsidRPr="00FC0E00">
        <w:rPr>
          <w:rFonts w:ascii="Book Antiqua" w:hAnsi="Book Antiqua"/>
          <w:sz w:val="24"/>
          <w:szCs w:val="24"/>
        </w:rPr>
        <w:t xml:space="preserve">non-alcoholic fatty liver disease </w:t>
      </w:r>
      <w:r w:rsidR="00F22EF6" w:rsidRPr="00FC0E00">
        <w:rPr>
          <w:rFonts w:ascii="Book Antiqua" w:hAnsi="Book Antiqua"/>
          <w:sz w:val="24"/>
          <w:szCs w:val="24"/>
        </w:rPr>
        <w:t>as well as its diagnostic utility in</w:t>
      </w:r>
      <w:r w:rsidR="00FB6F16" w:rsidRPr="00FC0E00">
        <w:rPr>
          <w:rFonts w:ascii="Book Antiqua" w:hAnsi="Book Antiqua"/>
          <w:sz w:val="24"/>
          <w:szCs w:val="24"/>
        </w:rPr>
        <w:t xml:space="preserve"> the diagnosis of fatty liver disease. Within this review we </w:t>
      </w:r>
      <w:r w:rsidR="00B751B6" w:rsidRPr="00FC0E00">
        <w:rPr>
          <w:rFonts w:ascii="Book Antiqua" w:hAnsi="Book Antiqua"/>
          <w:sz w:val="24"/>
          <w:szCs w:val="24"/>
        </w:rPr>
        <w:t>explore</w:t>
      </w:r>
      <w:r w:rsidR="00FB6F16" w:rsidRPr="00FC0E00">
        <w:rPr>
          <w:rFonts w:ascii="Book Antiqua" w:hAnsi="Book Antiqua"/>
          <w:sz w:val="24"/>
          <w:szCs w:val="24"/>
        </w:rPr>
        <w:t xml:space="preserve"> these</w:t>
      </w:r>
      <w:r w:rsidR="00B751B6" w:rsidRPr="00FC0E00">
        <w:rPr>
          <w:rFonts w:ascii="Book Antiqua" w:hAnsi="Book Antiqua"/>
          <w:sz w:val="24"/>
          <w:szCs w:val="24"/>
        </w:rPr>
        <w:t xml:space="preserve"> putative molecular mechanisms which are likely implicated, in addition to exploring the</w:t>
      </w:r>
      <w:r w:rsidR="009E3D98" w:rsidRPr="00FC0E00">
        <w:rPr>
          <w:rFonts w:ascii="Book Antiqua" w:hAnsi="Book Antiqua"/>
          <w:sz w:val="24"/>
          <w:szCs w:val="24"/>
        </w:rPr>
        <w:t xml:space="preserve"> most recent</w:t>
      </w:r>
      <w:r w:rsidR="00B751B6" w:rsidRPr="00FC0E00">
        <w:rPr>
          <w:rFonts w:ascii="Book Antiqua" w:hAnsi="Book Antiqua"/>
          <w:sz w:val="24"/>
          <w:szCs w:val="24"/>
        </w:rPr>
        <w:t xml:space="preserve"> translational </w:t>
      </w:r>
      <w:r w:rsidR="009E3D98" w:rsidRPr="00FC0E00">
        <w:rPr>
          <w:rFonts w:ascii="Book Antiqua" w:hAnsi="Book Antiqua"/>
          <w:sz w:val="24"/>
          <w:szCs w:val="24"/>
        </w:rPr>
        <w:t>evidence</w:t>
      </w:r>
      <w:r w:rsidR="00B751B6" w:rsidRPr="00FC0E00">
        <w:rPr>
          <w:rFonts w:ascii="Book Antiqua" w:hAnsi="Book Antiqua"/>
          <w:sz w:val="24"/>
          <w:szCs w:val="24"/>
        </w:rPr>
        <w:t xml:space="preserve"> of uric acid as a diagnostic tool</w:t>
      </w:r>
      <w:r w:rsidR="00073809" w:rsidRPr="00FC0E00">
        <w:rPr>
          <w:rFonts w:ascii="Book Antiqua" w:hAnsi="Book Antiqua"/>
          <w:sz w:val="24"/>
          <w:szCs w:val="24"/>
        </w:rPr>
        <w:t xml:space="preserve"> in the clinical environ</w:t>
      </w:r>
      <w:r w:rsidR="00B751B6" w:rsidRPr="00FC0E00">
        <w:rPr>
          <w:rFonts w:ascii="Book Antiqua" w:hAnsi="Book Antiqua"/>
          <w:sz w:val="24"/>
          <w:szCs w:val="24"/>
        </w:rPr>
        <w:t xml:space="preserve">. </w:t>
      </w:r>
    </w:p>
    <w:p w14:paraId="03D759AD" w14:textId="77777777" w:rsidR="005A4555" w:rsidRPr="00FC0E00" w:rsidRDefault="005A4555" w:rsidP="00FC0E00">
      <w:pPr>
        <w:snapToGrid w:val="0"/>
        <w:spacing w:after="0" w:line="360" w:lineRule="auto"/>
        <w:jc w:val="both"/>
        <w:rPr>
          <w:rFonts w:ascii="Book Antiqua" w:hAnsi="Book Antiqua"/>
          <w:sz w:val="24"/>
          <w:szCs w:val="24"/>
        </w:rPr>
      </w:pPr>
      <w:r w:rsidRPr="00FC0E00">
        <w:rPr>
          <w:rFonts w:ascii="Book Antiqua" w:hAnsi="Book Antiqua"/>
          <w:sz w:val="24"/>
          <w:szCs w:val="24"/>
        </w:rPr>
        <w:br w:type="page"/>
      </w:r>
    </w:p>
    <w:p w14:paraId="24A4141B" w14:textId="77777777" w:rsidR="005A4555" w:rsidRPr="00FC0E00" w:rsidRDefault="005A4555" w:rsidP="00FC0E00">
      <w:pPr>
        <w:adjustRightInd w:val="0"/>
        <w:snapToGrid w:val="0"/>
        <w:spacing w:after="0" w:line="360" w:lineRule="auto"/>
        <w:jc w:val="both"/>
        <w:rPr>
          <w:rFonts w:ascii="Book Antiqua" w:eastAsia="宋体" w:hAnsi="Book Antiqua" w:cs="Calibri"/>
          <w:b/>
          <w:sz w:val="24"/>
          <w:szCs w:val="24"/>
          <w:u w:val="single"/>
          <w:lang w:val="en-US"/>
        </w:rPr>
      </w:pPr>
      <w:bookmarkStart w:id="13" w:name="_Hlk27562550"/>
      <w:r w:rsidRPr="00FC0E00">
        <w:rPr>
          <w:rFonts w:ascii="Book Antiqua" w:eastAsia="宋体" w:hAnsi="Book Antiqua" w:cs="Calibri"/>
          <w:b/>
          <w:sz w:val="24"/>
          <w:szCs w:val="24"/>
          <w:u w:val="single"/>
          <w:lang w:val="en-US"/>
        </w:rPr>
        <w:lastRenderedPageBreak/>
        <w:t>INTRODUCTION</w:t>
      </w:r>
    </w:p>
    <w:bookmarkEnd w:id="13"/>
    <w:p w14:paraId="73F4E7E0" w14:textId="5F6EBACE" w:rsidR="005C2B5E" w:rsidRPr="00FC0E00" w:rsidRDefault="0070604A" w:rsidP="00FC0E00">
      <w:pPr>
        <w:snapToGrid w:val="0"/>
        <w:spacing w:after="0" w:line="360" w:lineRule="auto"/>
        <w:jc w:val="both"/>
        <w:rPr>
          <w:rFonts w:ascii="Book Antiqua" w:hAnsi="Book Antiqua"/>
          <w:sz w:val="24"/>
          <w:szCs w:val="24"/>
        </w:rPr>
      </w:pPr>
      <w:r w:rsidRPr="00FC0E00">
        <w:rPr>
          <w:rFonts w:ascii="Book Antiqua" w:hAnsi="Book Antiqua" w:cs="Calibri"/>
          <w:sz w:val="24"/>
          <w:szCs w:val="24"/>
        </w:rPr>
        <w:t>Non-alcoholic fatty liver disease (NAFLD) repre</w:t>
      </w:r>
      <w:r w:rsidR="00694B2B" w:rsidRPr="00FC0E00">
        <w:rPr>
          <w:rFonts w:ascii="Book Antiqua" w:hAnsi="Book Antiqua" w:cs="Calibri"/>
          <w:sz w:val="24"/>
          <w:szCs w:val="24"/>
        </w:rPr>
        <w:t>sents a spectrum of disease ranging</w:t>
      </w:r>
      <w:r w:rsidRPr="00FC0E00">
        <w:rPr>
          <w:rFonts w:ascii="Book Antiqua" w:hAnsi="Book Antiqua" w:cs="Calibri"/>
          <w:sz w:val="24"/>
          <w:szCs w:val="24"/>
        </w:rPr>
        <w:t xml:space="preserve"> from simple fatty liver (steatosis; NAFL) to fatty liver with cell inflammation and ballooning (non-a</w:t>
      </w:r>
      <w:r w:rsidR="00694B2B" w:rsidRPr="00FC0E00">
        <w:rPr>
          <w:rFonts w:ascii="Book Antiqua" w:hAnsi="Book Antiqua" w:cs="Calibri"/>
          <w:sz w:val="24"/>
          <w:szCs w:val="24"/>
        </w:rPr>
        <w:t>lcoholic steatohepatitis; NASH).</w:t>
      </w:r>
      <w:r w:rsidRPr="00FC0E00">
        <w:rPr>
          <w:rFonts w:ascii="Book Antiqua" w:hAnsi="Book Antiqua" w:cs="Calibri"/>
          <w:sz w:val="24"/>
          <w:szCs w:val="24"/>
        </w:rPr>
        <w:t xml:space="preserve"> </w:t>
      </w:r>
      <w:r w:rsidR="00694B2B" w:rsidRPr="00FC0E00">
        <w:rPr>
          <w:rFonts w:ascii="Book Antiqua" w:hAnsi="Book Antiqua" w:cs="Calibri"/>
          <w:sz w:val="24"/>
          <w:szCs w:val="24"/>
        </w:rPr>
        <w:t>Within this continuum is the propensity for</w:t>
      </w:r>
      <w:r w:rsidRPr="00FC0E00">
        <w:rPr>
          <w:rFonts w:ascii="Book Antiqua" w:hAnsi="Book Antiqua" w:cs="Calibri"/>
          <w:sz w:val="24"/>
          <w:szCs w:val="24"/>
        </w:rPr>
        <w:t xml:space="preserve"> </w:t>
      </w:r>
      <w:r w:rsidR="00694B2B" w:rsidRPr="00FC0E00">
        <w:rPr>
          <w:rFonts w:ascii="Book Antiqua" w:hAnsi="Book Antiqua" w:cs="Calibri"/>
          <w:sz w:val="24"/>
          <w:szCs w:val="24"/>
        </w:rPr>
        <w:t>progression to cirrhosis with its associated sequelae</w:t>
      </w:r>
      <w:r w:rsidR="005C2B5E" w:rsidRPr="00FC0E00">
        <w:rPr>
          <w:rFonts w:ascii="Book Antiqua" w:hAnsi="Book Antiqua" w:cs="Calibri"/>
          <w:sz w:val="24"/>
          <w:szCs w:val="24"/>
        </w:rPr>
        <w:t xml:space="preserve"> of end-stage liver failure and hepatocellular carcinoma</w:t>
      </w:r>
      <w:r w:rsidR="00694B2B" w:rsidRPr="00FC0E00">
        <w:rPr>
          <w:rFonts w:ascii="Book Antiqua" w:hAnsi="Book Antiqua" w:cs="Calibri"/>
          <w:sz w:val="24"/>
          <w:szCs w:val="24"/>
        </w:rPr>
        <w:t>. NASH;</w:t>
      </w:r>
      <w:r w:rsidRPr="00FC0E00">
        <w:rPr>
          <w:rFonts w:ascii="Book Antiqua" w:hAnsi="Book Antiqua" w:cs="Calibri"/>
          <w:sz w:val="24"/>
          <w:szCs w:val="24"/>
        </w:rPr>
        <w:t xml:space="preserve"> </w:t>
      </w:r>
      <w:r w:rsidR="00694B2B" w:rsidRPr="00FC0E00">
        <w:rPr>
          <w:rFonts w:ascii="Book Antiqua" w:hAnsi="Book Antiqua" w:cs="Calibri"/>
          <w:sz w:val="24"/>
          <w:szCs w:val="24"/>
        </w:rPr>
        <w:t xml:space="preserve">in </w:t>
      </w:r>
      <w:r w:rsidRPr="00FC0E00">
        <w:rPr>
          <w:rFonts w:ascii="Book Antiqua" w:hAnsi="Book Antiqua" w:cs="Calibri"/>
          <w:sz w:val="24"/>
          <w:szCs w:val="24"/>
        </w:rPr>
        <w:t>particular</w:t>
      </w:r>
      <w:r w:rsidR="00694B2B" w:rsidRPr="00FC0E00">
        <w:rPr>
          <w:rFonts w:ascii="Book Antiqua" w:hAnsi="Book Antiqua" w:cs="Calibri"/>
          <w:sz w:val="24"/>
          <w:szCs w:val="24"/>
        </w:rPr>
        <w:t xml:space="preserve"> with advanced fibrosis</w:t>
      </w:r>
      <w:r w:rsidRPr="00FC0E00">
        <w:rPr>
          <w:rFonts w:ascii="Book Antiqua" w:hAnsi="Book Antiqua" w:cs="Calibri"/>
          <w:sz w:val="24"/>
          <w:szCs w:val="24"/>
        </w:rPr>
        <w:t xml:space="preserve">, represents a significant unmet medical need, </w:t>
      </w:r>
      <w:r w:rsidR="00694B2B" w:rsidRPr="00FC0E00">
        <w:rPr>
          <w:rFonts w:ascii="Book Antiqua" w:hAnsi="Book Antiqua" w:cs="Calibri"/>
          <w:sz w:val="24"/>
          <w:szCs w:val="24"/>
        </w:rPr>
        <w:t>with</w:t>
      </w:r>
      <w:r w:rsidRPr="00FC0E00">
        <w:rPr>
          <w:rFonts w:ascii="Book Antiqua" w:hAnsi="Book Antiqua" w:cs="Calibri"/>
          <w:sz w:val="24"/>
          <w:szCs w:val="24"/>
        </w:rPr>
        <w:t xml:space="preserve"> limited non</w:t>
      </w:r>
      <w:r w:rsidR="00694B2B" w:rsidRPr="00FC0E00">
        <w:rPr>
          <w:rFonts w:ascii="Book Antiqua" w:hAnsi="Book Antiqua" w:cs="Calibri"/>
          <w:sz w:val="24"/>
          <w:szCs w:val="24"/>
        </w:rPr>
        <w:t xml:space="preserve">-invasive screening and </w:t>
      </w:r>
      <w:r w:rsidRPr="00FC0E00">
        <w:rPr>
          <w:rFonts w:ascii="Book Antiqua" w:hAnsi="Book Antiqua" w:cs="Calibri"/>
          <w:sz w:val="24"/>
          <w:szCs w:val="24"/>
        </w:rPr>
        <w:t>di</w:t>
      </w:r>
      <w:r w:rsidR="00694B2B" w:rsidRPr="00FC0E00">
        <w:rPr>
          <w:rFonts w:ascii="Book Antiqua" w:hAnsi="Book Antiqua" w:cs="Calibri"/>
          <w:sz w:val="24"/>
          <w:szCs w:val="24"/>
        </w:rPr>
        <w:t xml:space="preserve">agnostic and monitoring tools. </w:t>
      </w:r>
      <w:r w:rsidR="005C2B5E" w:rsidRPr="00FC0E00">
        <w:rPr>
          <w:rFonts w:ascii="Book Antiqua" w:hAnsi="Book Antiqua"/>
          <w:iCs/>
          <w:sz w:val="24"/>
          <w:szCs w:val="24"/>
          <w:shd w:val="clear" w:color="auto" w:fill="FFFFFF"/>
        </w:rPr>
        <w:t xml:space="preserve">The defining characteristic of NAFLD is a more than 5% lipid deposition within the liver in the absence of excess alcohol consumption, </w:t>
      </w:r>
      <w:r w:rsidR="005C2B5E" w:rsidRPr="00FC0E00">
        <w:rPr>
          <w:rFonts w:ascii="Book Antiqua" w:hAnsi="Book Antiqua"/>
          <w:sz w:val="24"/>
          <w:szCs w:val="24"/>
        </w:rPr>
        <w:t>defined as &gt; 20 g/d for women and 30 g/d for men</w:t>
      </w:r>
      <w:r w:rsidR="005A4555" w:rsidRPr="00FC0E00">
        <w:rPr>
          <w:rFonts w:ascii="Book Antiqua" w:hAnsi="Book Antiqua"/>
          <w:sz w:val="24"/>
          <w:szCs w:val="24"/>
        </w:rPr>
        <w:fldChar w:fldCharType="begin"/>
      </w:r>
      <w:r w:rsidR="005A4555" w:rsidRPr="00FC0E00">
        <w:rPr>
          <w:rFonts w:ascii="Book Antiqua" w:hAnsi="Book Antiqua"/>
          <w:sz w:val="24"/>
          <w:szCs w:val="24"/>
        </w:rPr>
        <w:instrText xml:space="preserve"> ADDIN ZOTERO_ITEM CSL_CITATION {"citationID":"oqfqtCGh","properties":{"formattedCitation":"\\super [1]\\nosupersub{}","plainCitation":"[1]","noteIndex":0},"citationItems":[{"id":1649,"uris":["http://zotero.org/users/5302874/items/W9RZRV8Y"],"uri":["http://zotero.org/users/5302874/items/W9RZRV8Y"],"itemData":{"id":1649,"type":"article-journal","abstract":"Non-alcoholic fatty liver disease (NAFLD) is now the commonest cause of abnormal liver function tests (LFTs) in the UK with approximately a third of the population being affected. The exact prevalence is not known, but population studies from the USA and China using magnetic resonance spectroscopy estimate that approximately 30% of the general population have steatosis. It is a spectrum of disease ranging from simple steatosis, to non-alcoholic steatohepatitis (NASH), through to advanced fibrosis and cirrhosis. The majority have simple steatosis, but approximately 10–30% develop NASH and the development of NASH cirrhosis is associated with a poor long-term prognosis. Patients with NASH have increased liver-related and cardiovascular mortality. Many patients with NAFLD remain undiagnosed, and recognising those at risk is the first step. Clinicians overly rely on abnormal liver enzymes to identify patients with NAFLD, so patients with significant liver disease can be overlooked, potentially missing opportunities for intervention. Although liver biopsy is the gold standard method for diagnosing and staging NAFLD, the majority of patients can be effectively diagnosed non-invasively with tests that are routinely available in the clinic today. This review discusses a pragmatic approach to diagnosis and staging of NAFLD so that patients at the highest risk of liver-related complications can be identified.","container-title":"Frontline Gastroenterology","DOI":"10.1136/flgastro-2013-100403","ISSN":"2041-4137","issue":"3","journalAbbreviation":"Frontline Gastroenterol","note":"PMID: 25018867\nPMCID: PMC4078666","page":"211-218","source":"PubMed Central","title":"Non-alcoholic fatty liver disease: a practical approach to diagnosis and staging","title-short":"Non-alcoholic fatty liver disease","volume":"5","author":[{"family":"Dyson","given":"Jessica K"},{"family":"Anstee","given":"Quentin M"},{"family":"McPherson","given":"Stuart"}],"issued":{"date-parts":[["2014",7]]}}}],"schema":"https://github.com/citation-style-language/schema/raw/master/csl-citation.json"} </w:instrText>
      </w:r>
      <w:r w:rsidR="005A4555" w:rsidRPr="00FC0E00">
        <w:rPr>
          <w:rFonts w:ascii="Book Antiqua" w:hAnsi="Book Antiqua"/>
          <w:sz w:val="24"/>
          <w:szCs w:val="24"/>
        </w:rPr>
        <w:fldChar w:fldCharType="separate"/>
      </w:r>
      <w:r w:rsidR="005A4555" w:rsidRPr="00FC0E00">
        <w:rPr>
          <w:rFonts w:ascii="Book Antiqua" w:hAnsi="Book Antiqua" w:cs="Times New Roman"/>
          <w:sz w:val="24"/>
          <w:szCs w:val="24"/>
          <w:vertAlign w:val="superscript"/>
        </w:rPr>
        <w:t>[1]</w:t>
      </w:r>
      <w:r w:rsidR="005A4555" w:rsidRPr="00FC0E00">
        <w:rPr>
          <w:rFonts w:ascii="Book Antiqua" w:hAnsi="Book Antiqua"/>
          <w:sz w:val="24"/>
          <w:szCs w:val="24"/>
        </w:rPr>
        <w:fldChar w:fldCharType="end"/>
      </w:r>
      <w:r w:rsidR="005C2B5E" w:rsidRPr="00FC0E00">
        <w:rPr>
          <w:rFonts w:ascii="Book Antiqua" w:hAnsi="Book Antiqua"/>
          <w:sz w:val="24"/>
          <w:szCs w:val="24"/>
        </w:rPr>
        <w:t xml:space="preserve">. </w:t>
      </w:r>
    </w:p>
    <w:p w14:paraId="15706C05" w14:textId="19C998D8" w:rsidR="005C2B5E" w:rsidRPr="00FC0E00" w:rsidRDefault="005A4555" w:rsidP="00FC0E00">
      <w:pPr>
        <w:autoSpaceDE w:val="0"/>
        <w:autoSpaceDN w:val="0"/>
        <w:adjustRightInd w:val="0"/>
        <w:snapToGrid w:val="0"/>
        <w:spacing w:after="0" w:line="360" w:lineRule="auto"/>
        <w:jc w:val="both"/>
        <w:rPr>
          <w:rFonts w:ascii="Book Antiqua" w:hAnsi="Book Antiqua" w:cs="Calibri"/>
          <w:sz w:val="24"/>
          <w:szCs w:val="24"/>
        </w:rPr>
      </w:pPr>
      <w:r w:rsidRPr="00FC0E00">
        <w:rPr>
          <w:rFonts w:ascii="Book Antiqua" w:hAnsi="Book Antiqua"/>
          <w:iCs/>
          <w:sz w:val="24"/>
          <w:szCs w:val="24"/>
          <w:shd w:val="clear" w:color="auto" w:fill="FFFFFF"/>
        </w:rPr>
        <w:t xml:space="preserve">  </w:t>
      </w:r>
      <w:r w:rsidR="005C2B5E" w:rsidRPr="00FC0E00">
        <w:rPr>
          <w:rFonts w:ascii="Book Antiqua" w:hAnsi="Book Antiqua"/>
          <w:iCs/>
          <w:sz w:val="24"/>
          <w:szCs w:val="24"/>
          <w:shd w:val="clear" w:color="auto" w:fill="FFFFFF"/>
        </w:rPr>
        <w:t>The development of NAFLD is strongly linked to insulin resistance, diabetes and obesity. This</w:t>
      </w:r>
      <w:r w:rsidR="00D54476" w:rsidRPr="00FC0E00">
        <w:rPr>
          <w:rFonts w:ascii="Book Antiqua" w:hAnsi="Book Antiqua"/>
          <w:iCs/>
          <w:sz w:val="24"/>
          <w:szCs w:val="24"/>
          <w:shd w:val="clear" w:color="auto" w:fill="FFFFFF"/>
        </w:rPr>
        <w:t xml:space="preserve"> relationship is well established</w:t>
      </w:r>
      <w:r w:rsidR="005C2B5E" w:rsidRPr="00FC0E00">
        <w:rPr>
          <w:rFonts w:ascii="Book Antiqua" w:hAnsi="Book Antiqua"/>
          <w:iCs/>
          <w:sz w:val="24"/>
          <w:szCs w:val="24"/>
          <w:shd w:val="clear" w:color="auto" w:fill="FFFFFF"/>
        </w:rPr>
        <w:t xml:space="preserve"> and NAFLD is widely considered to be a hepatic manifestation of the metabolic syndrome</w:t>
      </w:r>
      <w:r w:rsidR="0070186F" w:rsidRPr="00FC0E00">
        <w:rPr>
          <w:rFonts w:ascii="Book Antiqua" w:hAnsi="Book Antiqua"/>
          <w:iCs/>
          <w:sz w:val="24"/>
          <w:szCs w:val="24"/>
          <w:shd w:val="clear" w:color="auto" w:fill="FFFFFF"/>
        </w:rPr>
        <w:fldChar w:fldCharType="begin" w:fldLock="1"/>
      </w:r>
      <w:r w:rsidR="0070186F" w:rsidRPr="00FC0E00">
        <w:rPr>
          <w:rFonts w:ascii="Book Antiqua" w:hAnsi="Book Antiqua"/>
          <w:iCs/>
          <w:sz w:val="24"/>
          <w:szCs w:val="24"/>
          <w:shd w:val="clear" w:color="auto" w:fill="FFFFFF"/>
        </w:rPr>
        <w:instrText xml:space="preserve"> ADDIN ZOTERO_ITEM CSL_CITATION {"citationID":"6ETyTWKU","properties":{"formattedCitation":"\\super [2]\\nosupersub{}","plainCitation":"[2]","noteIndex":0},"citationItems":[{"id":1783,"uris":["http://zotero.org/users/5302874/items/REPX9THF"],"uri":["http://zotero.org/users/5302874/items/REPX9THF"],"itemData":{"id":1783,"type":"article-journal","abstract":"IMPORTANCE: Nonalcoholic fatty liver disease and its subtype nonalcoholic steatohepatitis affect approximately 30% and 5%, respectively, of the US population. In patients with nonalcoholic steatohepatitis, half of deaths are due to cardiovascular disease and malignancy, yet awareness of this remains low. Cirrhosis, the third leading cause of death in patients with nonalcoholic fatty liver disease, is predicted to become the most common indication for liver transplantation.\nOBJECTIVES: To illustrate how to identify patients with nonalcoholic fatty liver disease at greatest risk of nonalcoholic steatohepatitis and cirrhosis; to discuss the role and limitations of current diagnostics and liver biopsy to diagnose nonalcoholic steatohepatitis; and to provide an outline for the management of patients across the spectrum of nonalcoholic fatty liver disease.\nEVIDENCE REVIEW: PubMed was queried for published articles through February 28, 2015, using the search terms NAFLD and cirrhosis, mortality, biomarkers, and treatment. A total of 88 references were selected, including 16 randomized clinical trials, 44 cohort or case-control studies, 6 population-based studies, and 7 meta-analyses.\nFINDINGS: Sixty-six percent of patients older than 50 years with diabetes or obesity are thought to have nonalcoholic steatohepatitis with advanced fibrosis. Even though the ability to identify the nonalcoholic steatohepatitis subtype within those with nonalcoholic fatty liver disease still requires liver biopsy, biomarkers to detect advanced fibrosis are increasingly reliable. Lifestyle modification is the foundation of treatment for patients with nonalcoholic steatosis. Available treatments with proven benefit include vitamin E, pioglitazone, and obeticholic acid; however, the effect size is modest (&lt;50%) and none is approved by the US Food and Drug Administration. The association between nonalcoholic steatohepatitis and cardiovascular disease is clear, though causality remains to be proven in well-controlled prospective studies. The incidence of nonalcoholic fatty liver disease-related hepatocellular carcinoma is increasing and up to 50% of cases may occur in the absence of cirrhosis.\nCONCLUSIONS AND RELEVANCE: Between 75 million and 100 million individuals in the United States are estimated to have nonalcoholic fatty liver disease and its potential morbidity extends beyond the liver. It is important that primary care physicians, endocrinologists, and other specialists be aware of the scope and long-term effects of the disease. Early identification of patients with nonalcoholic steatohepatitis may help improve patient outcomes through treatment intervention, including transplantation for those with decompensated cirrhosis.","container-title":"JAMA","DOI":"10.1001/jama.2015.5370","ISSN":"1538-3598","issue":"22","journalAbbreviation":"JAMA","language":"eng","note":"PMID: 26057287","page":"2263-2273","source":"PubMed","title":"Nonalcoholic fatty liver disease: a systematic review","title-short":"Nonalcoholic fatty liver disease","volume":"313","author":[{"family":"Rinella","given":"Mary E."}],"issued":{"date-parts":[["2015",6,9]]}}}],"schema":"https://github.com/citation-style-language/schema/raw/master/csl-citation.json"}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[2]</w:t>
      </w:r>
      <w:r w:rsidR="0070186F" w:rsidRPr="00FC0E00">
        <w:rPr>
          <w:rFonts w:ascii="Book Antiqua" w:hAnsi="Book Antiqua"/>
          <w:iCs/>
          <w:sz w:val="24"/>
          <w:szCs w:val="24"/>
          <w:shd w:val="clear" w:color="auto" w:fill="FFFFFF"/>
        </w:rPr>
        <w:fldChar w:fldCharType="end"/>
      </w:r>
      <w:r w:rsidR="00A55928" w:rsidRPr="00FC0E00">
        <w:rPr>
          <w:rFonts w:ascii="Book Antiqua" w:hAnsi="Book Antiqua"/>
          <w:iCs/>
          <w:sz w:val="24"/>
          <w:szCs w:val="24"/>
          <w:shd w:val="clear" w:color="auto" w:fill="FFFFFF"/>
        </w:rPr>
        <w:t>.</w:t>
      </w:r>
      <w:r w:rsidR="005C2B5E" w:rsidRPr="00FC0E00">
        <w:rPr>
          <w:rFonts w:ascii="Book Antiqua" w:hAnsi="Book Antiqua"/>
          <w:iCs/>
          <w:sz w:val="24"/>
          <w:szCs w:val="24"/>
          <w:shd w:val="clear" w:color="auto" w:fill="FFFFFF"/>
        </w:rPr>
        <w:t xml:space="preserve"> </w:t>
      </w:r>
      <w:r w:rsidR="00E60F1F" w:rsidRPr="00FC0E00">
        <w:rPr>
          <w:rFonts w:ascii="Book Antiqua" w:hAnsi="Book Antiqua"/>
          <w:iCs/>
          <w:sz w:val="24"/>
          <w:szCs w:val="24"/>
          <w:shd w:val="clear" w:color="auto" w:fill="FFFFFF"/>
        </w:rPr>
        <w:t xml:space="preserve">There are however, clearly additional implicated factors which are as yet not completely determined. </w:t>
      </w:r>
      <w:r w:rsidR="005C2B5E" w:rsidRPr="00FC0E00">
        <w:rPr>
          <w:rFonts w:ascii="Book Antiqua" w:hAnsi="Book Antiqua"/>
          <w:iCs/>
          <w:sz w:val="24"/>
          <w:szCs w:val="24"/>
          <w:shd w:val="clear" w:color="auto" w:fill="FFFFFF"/>
        </w:rPr>
        <w:t xml:space="preserve">NAFLD development and progression is </w:t>
      </w:r>
      <w:r w:rsidR="00AC0BB8" w:rsidRPr="00FC0E00">
        <w:rPr>
          <w:rFonts w:ascii="Book Antiqua" w:hAnsi="Book Antiqua"/>
          <w:iCs/>
          <w:sz w:val="24"/>
          <w:szCs w:val="24"/>
          <w:shd w:val="clear" w:color="auto" w:fill="FFFFFF"/>
        </w:rPr>
        <w:t>likely</w:t>
      </w:r>
      <w:r w:rsidR="005C2B5E" w:rsidRPr="00FC0E00">
        <w:rPr>
          <w:rFonts w:ascii="Book Antiqua" w:hAnsi="Book Antiqua"/>
          <w:iCs/>
          <w:sz w:val="24"/>
          <w:szCs w:val="24"/>
          <w:shd w:val="clear" w:color="auto" w:fill="FFFFFF"/>
        </w:rPr>
        <w:t xml:space="preserve"> multifactorial and involve an interplay of genetic, environmental, metabolic and gut microbial factors</w:t>
      </w:r>
      <w:r w:rsidR="005C2B5E" w:rsidRPr="00FC0E00">
        <w:rPr>
          <w:rFonts w:ascii="Book Antiqua" w:hAnsi="Book Antiqua"/>
          <w:iCs/>
          <w:sz w:val="24"/>
          <w:szCs w:val="24"/>
          <w:shd w:val="clear" w:color="auto" w:fill="FFFFFF"/>
        </w:rPr>
        <w:fldChar w:fldCharType="begin" w:fldLock="1"/>
      </w:r>
      <w:r w:rsidR="009623D2" w:rsidRPr="00FC0E00">
        <w:rPr>
          <w:rFonts w:ascii="Book Antiqua" w:hAnsi="Book Antiqua"/>
          <w:iCs/>
          <w:sz w:val="24"/>
          <w:szCs w:val="24"/>
          <w:shd w:val="clear" w:color="auto" w:fill="FFFFFF"/>
        </w:rPr>
        <w:instrText xml:space="preserve"> ADDIN ZOTERO_ITEM CSL_CITATION {"citationID":"Fnm0ii9B","properties":{"formattedCitation":"\\super [3]\\nosupersub{}","plainCitation":"[3]","noteIndex":0},"citationItems":[{"id":"TQNiiO7s/x46EVXoV","uris":["http://www.mendeley.com/documents/?uuid=7ac67dcd-402f-37bf-b32e-42d4ab2d2c6a"],"uri":["http://www.mendeley.com/documents/?uuid=7ac67dcd-402f-37bf-b32e-42d4ab2d2c6a"],"itemData":{"DOI":"10.1038/srep38605","ISSN":"2045-2322","PMID":"27924915","abstract":"The present study aimed to explore the independent association and potential pathways between serum uric acid (SUA) and nonalcoholic fatty liver disease (NAFLD). 1365 community-living obese Chinese adults who received hepatic ultrasonography scanning were included. The prevalence rates of NAFLD were 71.5% for men and 53.8% for women. Compared with controls, NAFLD subjects showed significantly increased SUA levels (333.3</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84.9</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v.s. 383.4</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93.7</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cs="Book Antiqua"/>
          <w:iCs/>
          <w:sz w:val="24"/>
          <w:szCs w:val="24"/>
          <w:shd w:val="clear" w:color="auto" w:fill="FFFFFF"/>
        </w:rPr>
        <w:instrText>μ</w:instrText>
      </w:r>
      <w:r w:rsidR="009623D2" w:rsidRPr="00FC0E00">
        <w:rPr>
          <w:rFonts w:ascii="Book Antiqua" w:hAnsi="Book Antiqua"/>
          <w:iCs/>
          <w:sz w:val="24"/>
          <w:szCs w:val="24"/>
          <w:shd w:val="clear" w:color="auto" w:fill="FFFFFF"/>
        </w:rPr>
        <w:instrText>mol/L) and prevalence rate of hyperuricemia (HUA) (25.7% v.s. 47.3%,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After adjustment for insulin resistance (IR), components of metabolic syndrome (MetS) and other potential confounders, elevated SUA is independently associated with increased risk of NAFLD, with the adjusted OR of 1.528-2.031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By using multivariable fractional polynomial (MFP) modeling, the best FP transformation model shows that SUA was independently and linearly associated with risk of NAFLD. The one-pathway model by using structural equation modeling (SEM) about the relationships among SUA, IR, components of metabolic syndrome and NAFLD fits well (χ2</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57.367, p</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&lt;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0.001; CFI</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0.998; TLI</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0.992; and RMSEA</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w:instrText>
      </w:r>
      <w:r w:rsidR="009623D2" w:rsidRPr="00FC0E00">
        <w:rPr>
          <w:rFonts w:ascii="MS Mincho" w:eastAsia="MS Mincho" w:hAnsi="MS Mincho" w:cs="MS Mincho" w:hint="eastAsia"/>
          <w:iCs/>
          <w:sz w:val="24"/>
          <w:szCs w:val="24"/>
          <w:shd w:val="clear" w:color="auto" w:fill="FFFFFF"/>
        </w:rPr>
        <w:instrText> </w:instrText>
      </w:r>
      <w:r w:rsidR="009623D2" w:rsidRPr="00FC0E00">
        <w:rPr>
          <w:rFonts w:ascii="Book Antiqua" w:hAnsi="Book Antiqua"/>
          <w:iCs/>
          <w:sz w:val="24"/>
          <w:szCs w:val="24"/>
          <w:shd w:val="clear" w:color="auto" w:fill="FFFFFF"/>
        </w:rPr>
        <w:instrText xml:space="preserve">0.048) and shows SUA might increase the risk of NAFLD directly besides of the indirect effects through increasing fasting insulin, blood pressure, triglyceride and decreasing HDL-C levels. Our results imply that elevated SUA may play an important role in NAFLD pathogenesis.","author":[{"dropping-particle":"","family":"Liu","given":"Chang-Qin","non-dropping-particle":"","parse-names":false,"suffix":""},{"dropping-particle":"","family":"He","given":"Chun-Mei","non-dropping-particle":"","parse-names":false,"suffix":""},{"dropping-particle":"","family":"Chen","given":"Ning","non-dropping-particle":"","parse-names":false,"suffix":""},{"dropping-particle":"","family":"Wang","given":"Dongmei","non-dropping-particle":"","parse-names":false,"suffix":""},{"dropping-particle":"","family":"Shi","given":"Xiulin","non-dropping-particle":"","parse-names":false,"suffix":""},{"dropping-particle":"","family":"Liu","given":"Yongwen","non-dropping-particle":"","parse-names":false,"suffix":""},{"dropping-particle":"","family":"Zeng","given":"Xin","non-dropping-particle":"","parse-names":false,"suffix":""},{"dropping-particle":"","family":"Yan","given":"Bing","non-dropping-particle":"","parse-names":false,"suffix":""},{"dropping-particle":"","family":"Liu","given":"Suhuan","non-dropping-particle":"","parse-names":false,"suffix":""},{"dropping-particle":"","family":"Yang","given":"Shuyu","non-dropping-particle":"","parse-names":false,"suffix":""},{"dropping-particle":"","family":"Li","given":"Xiaoying","non-dropping-particle":"","parse-names":false,"suffix":""},{"dropping-particle":"","family":"Li","given":"Xuejun","non-dropping-particle":"","parse-names":false,"suffix":""},{"dropping-particle":"","family":"Li","given":"Zhibin","non-dropping-particle":"","parse-names":false,"suffix":""}],"container-title":"Scientific reports","id":"ITEM-1","issued":{"date-parts":[["2016"]]},"page":"38605","publisher":"Nature Publishing Group","title":"Serum uric acid is independently and linearly associated with risk of nonalcoholic fatty liver disease in obese Chinese adults.","type":"article-journal","volume":"6"}}],"schema":"https://github.com/citation-style-language/schema/raw/master/csl-citation.json"} </w:instrText>
      </w:r>
      <w:r w:rsidR="005C2B5E" w:rsidRPr="00FC0E00">
        <w:rPr>
          <w:rFonts w:ascii="Book Antiqua" w:hAnsi="Book Antiqua"/>
          <w:iCs/>
          <w:sz w:val="24"/>
          <w:szCs w:val="24"/>
          <w:shd w:val="clear" w:color="auto" w:fill="FFFFFF"/>
        </w:rPr>
        <w:fldChar w:fldCharType="separate"/>
      </w:r>
      <w:r w:rsidR="00945D37" w:rsidRPr="00FC0E00">
        <w:rPr>
          <w:rFonts w:ascii="Book Antiqua" w:hAnsi="Book Antiqua" w:cs="Times New Roman"/>
          <w:sz w:val="24"/>
          <w:szCs w:val="24"/>
          <w:vertAlign w:val="superscript"/>
        </w:rPr>
        <w:t>[3]</w:t>
      </w:r>
      <w:r w:rsidR="005C2B5E" w:rsidRPr="00FC0E00">
        <w:rPr>
          <w:rFonts w:ascii="Book Antiqua" w:hAnsi="Book Antiqua"/>
          <w:iCs/>
          <w:sz w:val="24"/>
          <w:szCs w:val="24"/>
          <w:shd w:val="clear" w:color="auto" w:fill="FFFFFF"/>
        </w:rPr>
        <w:fldChar w:fldCharType="end"/>
      </w:r>
      <w:r w:rsidR="005C2B5E" w:rsidRPr="00FC0E00">
        <w:rPr>
          <w:rFonts w:ascii="Book Antiqua" w:hAnsi="Book Antiqua"/>
          <w:iCs/>
          <w:sz w:val="24"/>
          <w:szCs w:val="24"/>
          <w:shd w:val="clear" w:color="auto" w:fill="FFFFFF"/>
        </w:rPr>
        <w:t>. The exact mechanisms which underlie the pathogenesis of NAFLD are not ye</w:t>
      </w:r>
      <w:r w:rsidR="00A55928" w:rsidRPr="00FC0E00">
        <w:rPr>
          <w:rFonts w:ascii="Book Antiqua" w:hAnsi="Book Antiqua"/>
          <w:iCs/>
          <w:sz w:val="24"/>
          <w:szCs w:val="24"/>
          <w:shd w:val="clear" w:color="auto" w:fill="FFFFFF"/>
        </w:rPr>
        <w:t xml:space="preserve">t fully understood. Multiple research programmes are evolving </w:t>
      </w:r>
      <w:r w:rsidR="005C2B5E" w:rsidRPr="00FC0E00">
        <w:rPr>
          <w:rFonts w:ascii="Book Antiqua" w:hAnsi="Book Antiqua"/>
          <w:iCs/>
          <w:sz w:val="24"/>
          <w:szCs w:val="24"/>
          <w:shd w:val="clear" w:color="auto" w:fill="FFFFFF"/>
        </w:rPr>
        <w:t>towards uncovering the</w:t>
      </w:r>
      <w:r w:rsidR="00A55928" w:rsidRPr="00FC0E00">
        <w:rPr>
          <w:rFonts w:ascii="Book Antiqua" w:hAnsi="Book Antiqua"/>
          <w:iCs/>
          <w:sz w:val="24"/>
          <w:szCs w:val="24"/>
          <w:shd w:val="clear" w:color="auto" w:fill="FFFFFF"/>
        </w:rPr>
        <w:t xml:space="preserve"> relevant pathological mechanisms, thereby </w:t>
      </w:r>
      <w:r w:rsidR="005C2B5E" w:rsidRPr="00FC0E00">
        <w:rPr>
          <w:rFonts w:ascii="Book Antiqua" w:hAnsi="Book Antiqua"/>
          <w:iCs/>
          <w:sz w:val="24"/>
          <w:szCs w:val="24"/>
          <w:shd w:val="clear" w:color="auto" w:fill="FFFFFF"/>
        </w:rPr>
        <w:t>identifying therapeut</w:t>
      </w:r>
      <w:r w:rsidR="00A55928" w:rsidRPr="00FC0E00">
        <w:rPr>
          <w:rFonts w:ascii="Book Antiqua" w:hAnsi="Book Antiqua"/>
          <w:iCs/>
          <w:sz w:val="24"/>
          <w:szCs w:val="24"/>
          <w:shd w:val="clear" w:color="auto" w:fill="FFFFFF"/>
        </w:rPr>
        <w:t xml:space="preserve">ic targets in NAFLD as there is </w:t>
      </w:r>
      <w:r w:rsidR="005C2B5E" w:rsidRPr="00FC0E00">
        <w:rPr>
          <w:rFonts w:ascii="Book Antiqua" w:hAnsi="Book Antiqua"/>
          <w:iCs/>
          <w:sz w:val="24"/>
          <w:szCs w:val="24"/>
          <w:shd w:val="clear" w:color="auto" w:fill="FFFFFF"/>
        </w:rPr>
        <w:t>a</w:t>
      </w:r>
      <w:r w:rsidR="00A55928" w:rsidRPr="00FC0E00">
        <w:rPr>
          <w:rFonts w:ascii="Book Antiqua" w:hAnsi="Book Antiqua"/>
          <w:iCs/>
          <w:sz w:val="24"/>
          <w:szCs w:val="24"/>
          <w:shd w:val="clear" w:color="auto" w:fill="FFFFFF"/>
        </w:rPr>
        <w:t xml:space="preserve"> clear</w:t>
      </w:r>
      <w:r w:rsidR="005C2B5E" w:rsidRPr="00FC0E00">
        <w:rPr>
          <w:rFonts w:ascii="Book Antiqua" w:hAnsi="Book Antiqua"/>
          <w:iCs/>
          <w:sz w:val="24"/>
          <w:szCs w:val="24"/>
          <w:shd w:val="clear" w:color="auto" w:fill="FFFFFF"/>
        </w:rPr>
        <w:t xml:space="preserve"> unmet clinical need for pharmacotherapy in its management</w:t>
      </w:r>
      <w:r w:rsidR="00A55928" w:rsidRPr="00FC0E00">
        <w:rPr>
          <w:rFonts w:ascii="Book Antiqua" w:hAnsi="Book Antiqua"/>
          <w:iCs/>
          <w:sz w:val="24"/>
          <w:szCs w:val="24"/>
          <w:shd w:val="clear" w:color="auto" w:fill="FFFFFF"/>
        </w:rPr>
        <w:t>.</w:t>
      </w:r>
    </w:p>
    <w:p w14:paraId="5AC7F6FB" w14:textId="5194D8A8" w:rsidR="00766D5D" w:rsidRPr="00FC0E00" w:rsidRDefault="005A4555" w:rsidP="00FC0E00">
      <w:pPr>
        <w:snapToGrid w:val="0"/>
        <w:spacing w:after="0" w:line="360" w:lineRule="auto"/>
        <w:jc w:val="both"/>
        <w:rPr>
          <w:rFonts w:ascii="Book Antiqua" w:hAnsi="Book Antiqua"/>
          <w:iCs/>
          <w:sz w:val="24"/>
          <w:szCs w:val="24"/>
          <w:shd w:val="clear" w:color="auto" w:fill="FFFFFF"/>
        </w:rPr>
      </w:pPr>
      <w:r w:rsidRPr="00FC0E00">
        <w:rPr>
          <w:rFonts w:ascii="Book Antiqua" w:hAnsi="Book Antiqua"/>
          <w:sz w:val="24"/>
          <w:szCs w:val="24"/>
          <w:lang w:eastAsia="zh-CN"/>
        </w:rPr>
        <w:t xml:space="preserve">  </w:t>
      </w:r>
      <w:r w:rsidR="000910BC" w:rsidRPr="00FC0E00">
        <w:rPr>
          <w:rFonts w:ascii="Book Antiqua" w:hAnsi="Book Antiqua"/>
          <w:iCs/>
          <w:sz w:val="24"/>
          <w:szCs w:val="24"/>
          <w:shd w:val="clear" w:color="auto" w:fill="FFFFFF"/>
        </w:rPr>
        <w:t xml:space="preserve">A number of studies have shown an association between elevated serum </w:t>
      </w:r>
      <w:r w:rsidR="0070186F">
        <w:rPr>
          <w:rFonts w:ascii="Book Antiqua" w:hAnsi="Book Antiqua"/>
          <w:sz w:val="24"/>
          <w:szCs w:val="24"/>
        </w:rPr>
        <w:t>u</w:t>
      </w:r>
      <w:r w:rsidR="0070186F" w:rsidRPr="00FC0E00">
        <w:rPr>
          <w:rFonts w:ascii="Book Antiqua" w:hAnsi="Book Antiqua"/>
          <w:sz w:val="24"/>
          <w:szCs w:val="24"/>
        </w:rPr>
        <w:t>ric acid</w:t>
      </w:r>
      <w:r w:rsidR="0070186F" w:rsidRPr="00FC0E00">
        <w:rPr>
          <w:rFonts w:ascii="Book Antiqua" w:hAnsi="Book Antiqua"/>
          <w:sz w:val="24"/>
          <w:szCs w:val="24"/>
          <w:lang w:eastAsia="en-GB"/>
        </w:rPr>
        <w:t xml:space="preserve"> </w:t>
      </w:r>
      <w:r w:rsidR="0070186F">
        <w:rPr>
          <w:rFonts w:ascii="Book Antiqua" w:hAnsi="Book Antiqua"/>
          <w:sz w:val="24"/>
          <w:szCs w:val="24"/>
          <w:lang w:eastAsia="en-GB"/>
        </w:rPr>
        <w:t>(</w:t>
      </w:r>
      <w:r w:rsidR="0070186F" w:rsidRPr="00FC0E00">
        <w:rPr>
          <w:rFonts w:ascii="Book Antiqua" w:hAnsi="Book Antiqua"/>
          <w:sz w:val="24"/>
          <w:szCs w:val="24"/>
          <w:lang w:eastAsia="en-GB"/>
        </w:rPr>
        <w:t>UA</w:t>
      </w:r>
      <w:r w:rsidR="0070186F">
        <w:rPr>
          <w:rFonts w:ascii="Book Antiqua" w:hAnsi="Book Antiqua"/>
          <w:sz w:val="24"/>
          <w:szCs w:val="24"/>
          <w:lang w:eastAsia="en-GB"/>
        </w:rPr>
        <w:t>)</w:t>
      </w:r>
      <w:r w:rsidR="0070186F" w:rsidRPr="00FC0E00">
        <w:rPr>
          <w:rFonts w:ascii="Book Antiqua" w:hAnsi="Book Antiqua"/>
          <w:sz w:val="24"/>
          <w:szCs w:val="24"/>
          <w:lang w:eastAsia="en-GB"/>
        </w:rPr>
        <w:t xml:space="preserve"> </w:t>
      </w:r>
      <w:r w:rsidR="000910BC" w:rsidRPr="00FC0E00">
        <w:rPr>
          <w:rFonts w:ascii="Book Antiqua" w:hAnsi="Book Antiqua"/>
          <w:iCs/>
          <w:sz w:val="24"/>
          <w:szCs w:val="24"/>
          <w:shd w:val="clear" w:color="auto" w:fill="FFFFFF"/>
        </w:rPr>
        <w:t>levels and the development of NAFLD</w:t>
      </w:r>
      <w:r w:rsidR="0070186F" w:rsidRPr="00FC0E00">
        <w:rPr>
          <w:rFonts w:ascii="Book Antiqua" w:hAnsi="Book Antiqua"/>
          <w:iCs/>
          <w:sz w:val="24"/>
          <w:szCs w:val="24"/>
          <w:shd w:val="clear" w:color="auto" w:fill="FFFFFF"/>
        </w:rPr>
        <w:fldChar w:fldCharType="begin" w:fldLock="1"/>
      </w:r>
      <w:r w:rsidR="0070186F" w:rsidRPr="00FC0E00">
        <w:rPr>
          <w:rFonts w:ascii="Book Antiqua" w:hAnsi="Book Antiqua"/>
          <w:iCs/>
          <w:sz w:val="24"/>
          <w:szCs w:val="24"/>
          <w:shd w:val="clear" w:color="auto" w:fill="FFFFFF"/>
        </w:rPr>
        <w:instrText xml:space="preserve"> ADDIN ZOTERO_ITEM CSL_CITATION {"citationID":"B6QDiJVb","properties":{"formattedCitation":"\\super [4,5]\\nosupersub{}","plainCitation":"[4,5]","noteIndex":0},"citationItems":[{"id":1672,"uris":["http://zotero.org/users/5302874/items/F2BHR5CV"],"uri":["http://zotero.org/users/5302874/items/F2BHR5CV"],"itemData":{"id":1672,"type":"article-journal","abstract":"BACKGROUND &amp; AIMS: Hyperuricemia is a common feature of patients with non-alcoholic fatty liver disease (NAFLD). This study aimed to explore the causal relationship and underlying mechanisms between NAFLD and hyperuricemia.\nMETHODS: We evaluated the impact of NAFLD on the development of hyperuricemia in a cohort of 5541 baseline hyperuricemia-free individuals. We further analyzed xanthine oxidase (XO), a rate-limiting enzyme that catalyzes uric acid production, as a candidate to link NAFLD and hyperuricemia.\nRESULTS: In the first study, a 7-year prospective analysis found that NAFLD was strongly associated with subsequent development of hyperuricemia. Cox proportional hazards regression analyses showed that age, gender, and body mass index adjusted hazard ratio (95% confidence interval) for incident hyperuricemia was 1.609 (1.129-2.294) in individuals with NAFLD, as compared with those without NAFLD at baseline. In the second study, we observed that expression and activity of XO were significantly increased in cellular and mouse models of NAFLD. Knocking down XO expression or inhibiting XO activity significantly decreases uric acid production and attenuates free fatty acids-induced fat accumulation in HepG2 cells. Inhibiting XO activity also significantly prevents the development of and ameliorates established hepatic steatosis induced by a high-fat diet in mice. Further experiments indicated that XO regulates activation of the NLRP3 inflammasome, which may be essential for the regulatory effect of XO on NAFLD.\nCONCLUSIONS: NAFLD significantly increases the risk of incident hyperuricemia. XO is a mediator of the relationship between NAFLD and hyperuricemia, and may serve as a novel therapeutic target for the two linked diseases.","container-title":"Journal of Hepatology","DOI":"10.1016/j.jhep.2015.01.019","ISSN":"1600-0641","issue":"6","journalAbbreviation":"J. Hepatol.","language":"eng","note":"PMID: 25623823","page":"1412-1419","source":"PubMed","title":"Xanthine oxidase in non-alcoholic fatty liver disease and hyperuricemia: One stone hits two birds","title-short":"Xanthine oxidase in non-alcoholic fatty liver disease and hyperuricemia","volume":"62","author":[{"family":"Xu","given":"Chengfu"},{"family":"Wan","given":"Xingyong"},{"family":"Xu","given":"Lei"},{"family":"Weng","given":"Honglei"},{"family":"Yan","given":"Ming"},{"family":"Miao","given":"Min"},{"family":"Sun","given":"Yan"},{"family":"Xu","given":"Genyun"},{"family":"Dooley","given":"Steven"},{"family":"Li","given":"Youming"},{"family":"Yu","given":"Chaohui"}],"issued":{"date-parts":[["2015",6]]}},"label":"page"},{"id":1786,"uris":["http://zotero.org/users/5302874/items/YAF8J7BZ"],"uri":["http://zotero.org/users/5302874/items/YAF8J7BZ"],"itemData":{"id":1786,"type":"article-journal","abstract":"Humans excrete uric acid as the final breakdown product of unwanted purine nucleotides. Urate scavenges potential harmful radicals in our body. However, in conjunction with genetic or environmental (especially dietary) factors, urate may cause gout, nephrolitiasis, hypertension, and vascular disease. Blood levels of urate are maintained by the balance between generation and excretion. Excretion requires specialized transporters located in renal proximal tubule cells, intestinal epithelial cells, and vascular smooth muscle cells. The recently identified human urate transporters URAT1, MRP4, OAT1, and OAT3 are thought to play central roles in homeostasis and may prove interesting targets for future drug development.","container-title":"Physiology (Bethesda, Md.)","DOI":"10.1152/physiol.00039.2004","ISSN":"1548-9213","journalAbbreviation":"Physiology (Bethesda)","language":"eng","note":"PMID: 15772301","page":"125-133","source":"PubMed","title":"Molecular physiology of urate transport","volume":"20","author":[{"family":"Hediger","given":"Matthias A."},{"family":"Johnson","given":"Richard J."},{"family":"Miyazaki","given":"Hiroki"},{"family":"Endou","given":"Hitoshi"}],"issued":{"date-parts":[["2005",4]]}},"label":"page"}],"schema":"https://github.com/citation-style-language/schema/raw/master/csl-citation.json"}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[4,5]</w:t>
      </w:r>
      <w:r w:rsidR="0070186F" w:rsidRPr="00FC0E00">
        <w:rPr>
          <w:rFonts w:ascii="Book Antiqua" w:hAnsi="Book Antiqua"/>
          <w:iCs/>
          <w:sz w:val="24"/>
          <w:szCs w:val="24"/>
          <w:shd w:val="clear" w:color="auto" w:fill="FFFFFF"/>
        </w:rPr>
        <w:fldChar w:fldCharType="end"/>
      </w:r>
      <w:r w:rsidR="00AC537A" w:rsidRPr="00FC0E00">
        <w:rPr>
          <w:rFonts w:ascii="Book Antiqua" w:hAnsi="Book Antiqua"/>
          <w:iCs/>
          <w:sz w:val="24"/>
          <w:szCs w:val="24"/>
          <w:shd w:val="clear" w:color="auto" w:fill="FFFFFF"/>
        </w:rPr>
        <w:t>.</w:t>
      </w:r>
      <w:r w:rsidR="00B4690E" w:rsidRPr="00FC0E00">
        <w:rPr>
          <w:rFonts w:ascii="Book Antiqua" w:hAnsi="Book Antiqua"/>
          <w:iCs/>
          <w:sz w:val="24"/>
          <w:szCs w:val="24"/>
          <w:shd w:val="clear" w:color="auto" w:fill="FFFFFF"/>
        </w:rPr>
        <w:t xml:space="preserve"> One paper reports a prevalence of hyperuricemia of 78% in NAFLD subjects and 41% in non-NAFLD with a study group of 147 and 832 respectively</w:t>
      </w:r>
      <w:r w:rsidR="0070186F" w:rsidRPr="00FC0E00">
        <w:rPr>
          <w:rFonts w:ascii="Book Antiqua" w:hAnsi="Book Antiqua"/>
          <w:iCs/>
          <w:sz w:val="24"/>
          <w:szCs w:val="24"/>
          <w:shd w:val="clear" w:color="auto" w:fill="FFFFFF"/>
        </w:rPr>
        <w:fldChar w:fldCharType="begin"/>
      </w:r>
      <w:r w:rsidR="0070186F" w:rsidRPr="00FC0E00">
        <w:rPr>
          <w:rFonts w:ascii="Book Antiqua" w:hAnsi="Book Antiqua"/>
          <w:iCs/>
          <w:sz w:val="24"/>
          <w:szCs w:val="24"/>
          <w:shd w:val="clear" w:color="auto" w:fill="FFFFFF"/>
        </w:rPr>
        <w:instrText xml:space="preserve"> ADDIN ZOTERO_ITEM CSL_CITATION {"citationID":"2doEVpi1","properties":{"formattedCitation":"\\super [6]\\nosupersub{}","plainCitation":"[6]","noteIndex":0},"citationItems":[{"id":1820,"uris":["http://zotero.org/users/5302874/items/SNPFX3KF"],"uri":["http://zotero.org/users/5302874/items/SNPFX3KF"],"itemData":{"id":1820,"type":"article-journal","abstract":"OBJECTIVE: To investigate the prevalence of nonalcoholic fatty liver disease (NAFLD) and the association of serum uric acid level with NAFLD in Uygur people, Xinjiang.\nMETHODS: A total of 2241 Uyghur persons (1214 males and 1027 females) were interviewed for physical checkups from 2011 to 2012. The clinical data of questionnaire survey, body mass index (BMI), abdominal circumference, blood pressure, blood sugar, blood lipid, and serum uric acid level were collected for analysis.\nRESULTS: The prevalence rates of NAFLD determined by abdominal ultrasound examination and hyperuricemia were 43.9% and 8.4%, respectively. The persons with NAFLD had significantly higher serum uric acid levels than those without NAFLD (320 ± 88 versus 254 ± 80 μ mol/L; P &lt; 0.001). The prevalence rate of NAFLD was significantly higher in subjects with hyperuricemia than that in those without hyperuricemia (78.19% versus 40.83%; P &lt; 0.001), and the prevalence rate increased with progressively higher serum uric acid levels (P &lt; 0.001). Multiple regression analysis showed that hyperuricemia was associated with an increased risk of NAFLD (odds ratio (OR): 2.628, 95% confidence interval (CI): 1.608-4.294, and P &lt; 0.001).\nCONCLUSION: Serum uric acid level was significantly associated with NAFLD, and the prevalence rate of NAFLD increased with progressively higher serum uric acid levels.","container-title":"TheScientificWorldJournal","DOI":"10.1155/2014/393628","ISSN":"1537-744X","journalAbbreviation":"ScientificWorldJournal","language":"eng","note":"PMID: 24516367\nPMCID: PMC3910275","page":"393628","source":"PubMed","title":"The prevalence of nonalcoholic fatty liver disease and relationship with serum uric acid level in Uyghur population","volume":"2014","author":[{"family":"Cai","given":"Wen"},{"family":"Song","given":"Jiang-mei"},{"family":"Zhang","given":"Bei"},{"family":"Sun","given":"Yu-ping"},{"family":"Yao","given":"Hua"},{"family":"Zhang","given":"Yue-xin"}],"issued":{"date-parts":[["2014"]]}}}],"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[6]</w:t>
      </w:r>
      <w:r w:rsidR="0070186F" w:rsidRPr="00FC0E00">
        <w:rPr>
          <w:rFonts w:ascii="Book Antiqua" w:hAnsi="Book Antiqua"/>
          <w:iCs/>
          <w:sz w:val="24"/>
          <w:szCs w:val="24"/>
          <w:shd w:val="clear" w:color="auto" w:fill="FFFFFF"/>
        </w:rPr>
        <w:fldChar w:fldCharType="end"/>
      </w:r>
      <w:r w:rsidR="00B4690E" w:rsidRPr="00FC0E00">
        <w:rPr>
          <w:rFonts w:ascii="Book Antiqua" w:hAnsi="Book Antiqua"/>
          <w:iCs/>
          <w:sz w:val="24"/>
          <w:szCs w:val="24"/>
          <w:shd w:val="clear" w:color="auto" w:fill="FFFFFF"/>
        </w:rPr>
        <w:t xml:space="preserve">. </w:t>
      </w:r>
      <w:r w:rsidR="00C1541E" w:rsidRPr="00FC0E00">
        <w:rPr>
          <w:rFonts w:ascii="Book Antiqua" w:hAnsi="Book Antiqua"/>
          <w:sz w:val="24"/>
          <w:szCs w:val="24"/>
        </w:rPr>
        <w:t>The association appears to be stronger in females</w:t>
      </w:r>
      <w:r w:rsidR="004F3A42"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{"citationID":"VzpxmPj3","properties":{"formattedCitation":"\\super [7]\\nosupersub{}","plainCitation":"[7]","noteIndex":0},"citationItems":[{"id":1652,"uris":["http://zotero.org/users/5302874/items/HI94E8BC"],"uri":["http://zotero.org/users/5302874/items/HI94E8BC"],"itemData":{"id":1652,"type":"article-journal","abstract":"The aim of this study was to examine the association between sex-specific serum uric acid (sUA) levels and NAFLD in a large population-based study., A total of 60,455 subjects from 2 separate medical centers were included. Sex-specific sUA quartiles (Q1–Q4) were defined: ≤330, 331–380, 381–435, and ≥436</w:instrText>
      </w:r>
      <w:r w:rsidR="00766D5D" w:rsidRPr="00FC0E00">
        <w:rPr>
          <w:rFonts w:ascii="微软雅黑" w:eastAsia="微软雅黑" w:hAnsi="微软雅黑" w:cs="微软雅黑" w:hint="eastAsia"/>
          <w:sz w:val="24"/>
          <w:szCs w:val="24"/>
        </w:rPr>
        <w:instrText> </w:instrText>
      </w:r>
      <w:r w:rsidR="00766D5D" w:rsidRPr="00FC0E00">
        <w:rPr>
          <w:rFonts w:ascii="Book Antiqua" w:hAnsi="Book Antiqua" w:cs="Book Antiqua"/>
          <w:sz w:val="24"/>
          <w:szCs w:val="24"/>
        </w:rPr>
        <w:instrText>μ</w:instrText>
      </w:r>
      <w:r w:rsidR="00766D5D" w:rsidRPr="00FC0E00">
        <w:rPr>
          <w:rFonts w:ascii="Book Antiqua" w:hAnsi="Book Antiqua"/>
          <w:sz w:val="24"/>
          <w:szCs w:val="24"/>
        </w:rPr>
        <w:instrText xml:space="preserve">mol/L for male; </w:instrText>
      </w:r>
      <w:r w:rsidR="00766D5D" w:rsidRPr="00FC0E00">
        <w:rPr>
          <w:rFonts w:ascii="Book Antiqua" w:hAnsi="Book Antiqua" w:cs="Book Antiqua"/>
          <w:sz w:val="24"/>
          <w:szCs w:val="24"/>
        </w:rPr>
        <w:instrText>≤</w:instrText>
      </w:r>
      <w:r w:rsidR="00766D5D" w:rsidRPr="00FC0E00">
        <w:rPr>
          <w:rFonts w:ascii="Book Antiqua" w:hAnsi="Book Antiqua"/>
          <w:sz w:val="24"/>
          <w:szCs w:val="24"/>
        </w:rPr>
        <w:instrText>230, 231</w:instrText>
      </w:r>
      <w:r w:rsidR="00766D5D" w:rsidRPr="00FC0E00">
        <w:rPr>
          <w:rFonts w:ascii="Book Antiqua" w:hAnsi="Book Antiqua" w:cs="Book Antiqua"/>
          <w:sz w:val="24"/>
          <w:szCs w:val="24"/>
        </w:rPr>
        <w:instrText>–</w:instrText>
      </w:r>
      <w:r w:rsidR="00766D5D" w:rsidRPr="00FC0E00">
        <w:rPr>
          <w:rFonts w:ascii="Book Antiqua" w:hAnsi="Book Antiqua"/>
          <w:sz w:val="24"/>
          <w:szCs w:val="24"/>
        </w:rPr>
        <w:instrText>270, 271–310, and ≥311</w:instrText>
      </w:r>
      <w:r w:rsidR="00766D5D" w:rsidRPr="00FC0E00">
        <w:rPr>
          <w:rFonts w:ascii="微软雅黑" w:eastAsia="微软雅黑" w:hAnsi="微软雅黑" w:cs="微软雅黑" w:hint="eastAsia"/>
          <w:sz w:val="24"/>
          <w:szCs w:val="24"/>
        </w:rPr>
        <w:instrText> </w:instrText>
      </w:r>
      <w:r w:rsidR="00766D5D" w:rsidRPr="00FC0E00">
        <w:rPr>
          <w:rFonts w:ascii="Book Antiqua" w:hAnsi="Book Antiqua" w:cs="Book Antiqua"/>
          <w:sz w:val="24"/>
          <w:szCs w:val="24"/>
        </w:rPr>
        <w:instrText>μ</w:instrText>
      </w:r>
      <w:r w:rsidR="00766D5D" w:rsidRPr="00FC0E00">
        <w:rPr>
          <w:rFonts w:ascii="Book Antiqua" w:hAnsi="Book Antiqua"/>
          <w:sz w:val="24"/>
          <w:szCs w:val="24"/>
        </w:rPr>
        <w:instrText xml:space="preserve">mol/L for female. The odds ratios (ORs), hazard ratios (HRs), and 95% confidence intervals (CIs) for NAFLD were calculated across each quartile of sUA, using the Q1 as reference., After adjusting for known confounding variables in this study, the ORs for NAFLD in the cross-sectional population were 1.211 (95% CI 1.109–1.322), 1.519 (95% CI 1.395–1.654), 1.903 (95% CI 1.748–2.072) for Q2, Q3, and Q4, respectively. In the longitudinal population, compared with the reference group, those in Q2, Q3, and Q4 had HRs of 1.127 (95% CI 0.956–1.330), 1.380 (95% CI 1.157–1.644), 1.589 (95% CI 1.310–1.927) for NAFLD, respectively. Analysis for the sex-specific subgroup showed the adjusted ORs for Q4 versus Q1 were 2.898 (95% CI 2.36–3.588) in female and 1.887 (95% CI 1.718–2.072) in male in the cross-sectional population. In the longitudinal population, the HRs for the Q4 were 2.355 (95% CI 1.702–3.259) in female and 1.249 (95% CI 0.975–1.601) in male, compared with Q1., We report that a sex-specific sUA level is independently associated with NAFLD. The association between sUA and NAFLD was significantly greater in females than in males.","container-title":"Medicine","DOI":"10.1097/MD.0000000000000802","ISSN":"0025-7974","issue":"17","journalAbbreviation":"Medicine (Baltimore)","note":"PMID: 25929934\nPMCID: PMC4603030","source":"PubMed Central","title":"Association Between Sex-Specific Serum Uric Acid and Non-Alcoholic Fatty Liver Disease in Chinese Adults","URL":"https://www.ncbi.nlm.nih.gov/pmc/articles/PMC4603030/","volume":"94","author":[{"family":"Wu","given":"Sheng-Jie"},{"family":"Zhu","given":"Gui-Qi"},{"family":"Ye","given":"Bo-Zhi"},{"family":"Kong","given":"Fan-Qi"},{"family":"Zheng","given":"Zai-Xing"},{"family":"Zou","given":"Hai"},{"family":"Shi","given":"Ke-Qing"},{"family":"Lin","given":"Lu"},{"family":"Braddock","given":"Martin"},{"family":"Huang","given":"Wei-Jian"},{"family":"Chen","given":"Yong-Ping"},{"family":"Zheng","given":"Ming-Hua"}],"accessed":{"date-parts":[["2019",12,20]]},"issued":{"date-parts":[["2015",5,1]]}}}],"schema":"https://github.com/citation-style-language/schema/raw/master/csl-citation.json"} </w:instrText>
      </w:r>
      <w:r w:rsidR="004F3A42"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[7]</w:t>
      </w:r>
      <w:r w:rsidR="004F3A42" w:rsidRPr="00FC0E00">
        <w:rPr>
          <w:rFonts w:ascii="Book Antiqua" w:hAnsi="Book Antiqua"/>
          <w:sz w:val="24"/>
          <w:szCs w:val="24"/>
        </w:rPr>
        <w:fldChar w:fldCharType="end"/>
      </w:r>
      <w:r w:rsidR="00C1541E" w:rsidRPr="00FC0E00">
        <w:rPr>
          <w:rFonts w:ascii="Book Antiqua" w:hAnsi="Book Antiqua"/>
          <w:sz w:val="24"/>
          <w:szCs w:val="24"/>
        </w:rPr>
        <w:t xml:space="preserve"> and dose-dependent</w:t>
      </w:r>
      <w:r w:rsidR="004F3A42" w:rsidRPr="00FC0E00">
        <w:rPr>
          <w:rFonts w:ascii="Book Antiqua" w:hAnsi="Book Antiqua"/>
          <w:sz w:val="24"/>
          <w:szCs w:val="24"/>
        </w:rPr>
        <w:fldChar w:fldCharType="begin"/>
      </w:r>
      <w:r w:rsidR="009623D2" w:rsidRPr="00FC0E00">
        <w:rPr>
          <w:rFonts w:ascii="Book Antiqua" w:hAnsi="Book Antiqua"/>
          <w:sz w:val="24"/>
          <w:szCs w:val="24"/>
        </w:rPr>
        <w:instrText xml:space="preserve"> ADDIN ZOTERO_ITEM CSL_CITATION {"citationID":"uJjOioM8","properties":{"formattedCitation":"\\super [8]\\nosupersub{}","plainCitation":"[8]","noteIndex":0},"citationItems":[{"id":"TQNiiO7s/EE5Mx0c2","uris":["http://www.mendeley.com/documents/?uuid=e8badb9c-bdcf-3d49-aba3-e9b56050dbd0"],"uri":["http://www.mendeley.com/documents/?uuid=e8badb9c-bdcf-3d49-aba3-e9b56050dbd0"],"itemData":{"DOI":"10.1073/pnas.1012743108","ISSN":"0027-8424","PMID":"21245324","abstract":"Uric acid (UA) is known to activate the NLRP3 (Nacht, leucine-rich repeat and pyrin domain containing protein 3) inflammasome. When activated, the NLRP3 (also known as NALP3) inflammasome leads to the production of IL-18 and IL-1β. In this cohort of subjects with knee osteoarthritis (OA), synovial fluid uric acid was strongly correlated with synovial fluid IL-18 and IL-1β. Synovial fluid uric acid and IL-18 were strongly and positively associated with OA severity as measured by both radiograph and bone scintigraphy, and synovial fluid IL-1β was associated with OA severity but only by radiograph. Furthermore, synovial fluid IL-18 was associated with a 3-y change in OA severity, on the basis of the radiograph. We conclude that synovial fluid uric acid is a marker of knee OA severity. The correlation of synovial fluid uric acid with the two cytokines (IL-18 and IL-1β) known to be produced by uric acid-activated inflammasomes and the association of synovial fluid IL-18 with OA progression, lend strong support to the potential involvement of the innate immune system in OA pathology and OA progression.","author":[{"dropping-particle":"","family":"Denoble","given":"Anna E.","non-dropping-particle":"","parse-names":false,"suffix":""},{"dropping-particle":"","family":"Huffman","given":"Kim M.","non-dropping-particle":"","parse-names":false,"suffix":""},{"dropping-particle":"V.","family":"Stabler","given":"Thomas","non-dropping-particle":"","parse-names":false,"suffix":""},{"dropping-particle":"","family":"Kelly","given":"Susan J.","non-dropping-particle":"","parse-names":false,"suffix":""},{"dropping-particle":"","family":"Hershfield","given":"Michael S.","non-dropping-particle":"","parse-names":false,"suffix":""},{"dropping-particle":"","family":"McDaniel","given":"Gary E.","non-dropping-particle":"","parse-names":false,"suffix":""},{"dropping-particle":"","family":"Coleman","given":"R. Edward","non-dropping-particle":"","parse-names":false,"suffix":""},{"dropping-particle":"","family":"Kraus","given":"Virginia B.","non-dropping-particle":"","parse-names":false,"suffix":""}],"container-title":"Proceedings of the National Academy of Sciences","id":"ysdNBpCg/iDFaKq69","issue":"5","issued":{"date-parts":[["2011","2","1"]]},"page":"2088-2093","title":"Uric acid is a danger signal of increasing risk for osteoarthritis through inflammasome activation","type":"article-journal","volume":"108"}}],"schema":"https://github.com/citation-style-language/schema/raw/master/csl-citation.json"} </w:instrText>
      </w:r>
      <w:r w:rsidR="004F3A42"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[8]</w:t>
      </w:r>
      <w:r w:rsidR="004F3A42" w:rsidRPr="00FC0E00">
        <w:rPr>
          <w:rFonts w:ascii="Book Antiqua" w:hAnsi="Book Antiqua"/>
          <w:sz w:val="24"/>
          <w:szCs w:val="24"/>
        </w:rPr>
        <w:fldChar w:fldCharType="end"/>
      </w:r>
      <w:r w:rsidR="006828A8" w:rsidRPr="00FC0E00">
        <w:rPr>
          <w:rFonts w:ascii="Book Antiqua" w:hAnsi="Book Antiqua"/>
          <w:sz w:val="24"/>
          <w:szCs w:val="24"/>
        </w:rPr>
        <w:t>.</w:t>
      </w:r>
      <w:r w:rsidR="003D1BB5" w:rsidRPr="00FC0E00">
        <w:rPr>
          <w:rFonts w:ascii="Book Antiqua" w:hAnsi="Book Antiqua"/>
          <w:sz w:val="24"/>
          <w:szCs w:val="24"/>
        </w:rPr>
        <w:t xml:space="preserve"> </w:t>
      </w:r>
      <w:r w:rsidR="0070186F" w:rsidRPr="00FC0E00">
        <w:rPr>
          <w:rFonts w:ascii="Book Antiqua" w:hAnsi="Book Antiqua"/>
          <w:sz w:val="24"/>
          <w:szCs w:val="24"/>
          <w:lang w:eastAsia="en-GB"/>
        </w:rPr>
        <w:t>UA</w:t>
      </w:r>
      <w:r w:rsidR="000910BC" w:rsidRPr="00FC0E00">
        <w:rPr>
          <w:rFonts w:ascii="Book Antiqua" w:hAnsi="Book Antiqua"/>
          <w:iCs/>
          <w:sz w:val="24"/>
          <w:szCs w:val="24"/>
          <w:shd w:val="clear" w:color="auto" w:fill="FFFFFF"/>
        </w:rPr>
        <w:t xml:space="preserve"> is the final oxidation product of purine metabolism in humans. It is a relatively insoluble waste by-product which can accumulate in the serum if there is an imbalance in its formation or excretion</w:t>
      </w:r>
      <w:r w:rsidR="000910BC"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{"citationID":"RpB8YDWp","properties":{"formattedCitation":"\\super [9]\\nosupersub{}","plainCitation":"[9]","noteIndex":0},"citationItems":[{"id":1788,"uris":["http://zotero.org/users/5302874/items/XJTUVSXQ"],"uri":["http://zotero.org/users/5302874/items/XJTUVSXQ"],"itemData":{"id":1788,"type":"article-journal","abstract":"Uric acid is considered a major antioxidant in human blood that may protect against aging and oxidative stress. Despite its proposed protective properties, elevated levels of uric acid are commonly associated with increased risk for cardiovascular disease and mortality. Furthermore, recent experimental studies suggest that uric acid may have a causal role in hypertension and metabolic syndrome. All these conditions are thought to be mediated by oxidative stress. In this study we demonstrate that differentiation of cultured mouse adipocytes is associated with increased production of reactive oxygen species (ROS) and uptake of uric acid. Soluble uric acid stimulated an increase in NADPH oxidase activity and ROS production in mature adipocytes but not in preadipocytes. The stimulation of NADPH oxidase-dependent ROS by uric acid resulted in activation of MAP kinases p38 and ERK1/2, a decrease in nitric oxide bioavailability, and an increase in protein nitrosylation and lipid oxidation. Collectively, our results suggest that hyperuricemia induces redox-dependent signaling and oxidative stress in adipocytes. Since oxidative stress in the adipose tissue has recently been recognized as a major cause of insulin resistance and cardiovascular disease, hyperuricemia-induced alterations in oxidative homeostasis in the adipose tissue might play an important role in these derangements.","container-title":"American Journal of Physiology. Cell Physiology","DOI":"10.1152/ajpcell.00600.2006","ISSN":"0363-6143","issue":"2","journalAbbreviation":"Am. J. Physiol., Cell Physiol.","language":"eng","note":"PMID: 17428837","page":"C584-596","source":"PubMed","title":"Adverse effects of the classic antioxidant uric acid in adipocytes: NADPH oxidase-mediated oxidative/nitrosative stress","title-short":"Adverse effects of the classic antioxidant uric acid in adipocytes","volume":"293","author":[{"family":"Sautin","given":"Yuri Y."},{"family":"Nakagawa","given":"Takahiko"},{"family":"Zharikov","given":"Sergey"},{"family":"Johnson","given":"Richard J."}],"issued":{"date-parts":[["2007",8]]}}}],"schema":"https://github.com/citation-style-language/schema/raw/master/csl-citation.json"} </w:instrText>
      </w:r>
      <w:r w:rsidR="000910BC"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[9]</w:t>
      </w:r>
      <w:r w:rsidR="000910BC" w:rsidRPr="00FC0E00">
        <w:rPr>
          <w:rFonts w:ascii="Book Antiqua" w:hAnsi="Book Antiqua"/>
          <w:iCs/>
          <w:sz w:val="24"/>
          <w:szCs w:val="24"/>
          <w:shd w:val="clear" w:color="auto" w:fill="FFFFFF"/>
        </w:rPr>
        <w:fldChar w:fldCharType="end"/>
      </w:r>
      <w:r w:rsidR="000910BC" w:rsidRPr="00FC0E00">
        <w:rPr>
          <w:rFonts w:ascii="Book Antiqua" w:hAnsi="Book Antiqua"/>
          <w:iCs/>
          <w:sz w:val="24"/>
          <w:szCs w:val="24"/>
          <w:shd w:val="clear" w:color="auto" w:fill="FFFFFF"/>
        </w:rPr>
        <w:t xml:space="preserve">. The majority of purines are made endogenously whilst a smaller proportion come from a dietary source. </w:t>
      </w:r>
      <w:r w:rsidR="00483808" w:rsidRPr="00FC0E00">
        <w:rPr>
          <w:rFonts w:ascii="Book Antiqua" w:hAnsi="Book Antiqua"/>
          <w:iCs/>
          <w:sz w:val="24"/>
          <w:szCs w:val="24"/>
          <w:shd w:val="clear" w:color="auto" w:fill="FFFFFF"/>
        </w:rPr>
        <w:t xml:space="preserve">Given </w:t>
      </w:r>
      <w:r w:rsidR="00483808" w:rsidRPr="00FC0E00">
        <w:rPr>
          <w:rFonts w:ascii="Book Antiqua" w:hAnsi="Book Antiqua"/>
          <w:iCs/>
          <w:sz w:val="24"/>
          <w:szCs w:val="24"/>
          <w:shd w:val="clear" w:color="auto" w:fill="FFFFFF"/>
        </w:rPr>
        <w:lastRenderedPageBreak/>
        <w:t>there is a dietary link, t</w:t>
      </w:r>
      <w:r w:rsidR="0065585B" w:rsidRPr="00FC0E00">
        <w:rPr>
          <w:rFonts w:ascii="Book Antiqua" w:hAnsi="Book Antiqua"/>
          <w:iCs/>
          <w:sz w:val="24"/>
          <w:szCs w:val="24"/>
          <w:shd w:val="clear" w:color="auto" w:fill="FFFFFF"/>
        </w:rPr>
        <w:t xml:space="preserve">here is increasing evidence to support the </w:t>
      </w:r>
      <w:r w:rsidR="00483808" w:rsidRPr="00FC0E00">
        <w:rPr>
          <w:rFonts w:ascii="Book Antiqua" w:hAnsi="Book Antiqua"/>
          <w:iCs/>
          <w:sz w:val="24"/>
          <w:szCs w:val="24"/>
          <w:shd w:val="clear" w:color="auto" w:fill="FFFFFF"/>
        </w:rPr>
        <w:t>promotion of the Mediterranean diet for the prevention and treatment of NAFLD</w:t>
      </w:r>
      <w:r w:rsidR="0070186F" w:rsidRPr="00FC0E00">
        <w:rPr>
          <w:rFonts w:ascii="Book Antiqua" w:hAnsi="Book Antiqua"/>
          <w:iCs/>
          <w:sz w:val="24"/>
          <w:szCs w:val="24"/>
          <w:shd w:val="clear" w:color="auto" w:fill="FFFFFF"/>
        </w:rPr>
        <w:fldChar w:fldCharType="begin"/>
      </w:r>
      <w:r w:rsidR="0070186F" w:rsidRPr="00FC0E00">
        <w:rPr>
          <w:rFonts w:ascii="Book Antiqua" w:hAnsi="Book Antiqua"/>
          <w:iCs/>
          <w:sz w:val="24"/>
          <w:szCs w:val="24"/>
          <w:shd w:val="clear" w:color="auto" w:fill="FFFFFF"/>
        </w:rPr>
        <w:instrText xml:space="preserve"> ADDIN ZOTERO_ITEM CSL_CITATION {"citationID":"MWiEHueR","properties":{"formattedCitation":"\\super [10]\\nosupersub{}","plainCitation":"[10]","noteIndex":0},"citationItems":[{"id":1818,"uris":["http://zotero.org/users/5302874/items/9E924IGR"],"uri":["http://zotero.org/users/5302874/items/9E924IGR"],"itemData":{"id":1818,"type":"article-journal","abstract":"INTRODUCTION: Nonalcoholic fatty liver disease (NAFLD) is the most common liver disease worldwide. Insulin resistance and obesity-related inflammatory status, associated with genetic, dietary, and lifestyle factors, are involved in its pathogenesis. There is no consensus concerning the pharmacological treatment of NAFLD. However, the international guidelines agree to define a dietetic nutritional management to achieve weight loss, as an essential component of any therapeutic strategy. Areas covered: An overview on the beneficial effects of the Mediterranean diet in the prevention and treatment of NAFLD. Expert commentary: On the basis of its components, the literature reports the beneficial effects of the Mediterranean diet in preventing major chronic diseases, including obesity, diabetes, cardiovascular diseases, and some forms of cancers. In recent years, a growing body of evidence has supported the idea that the Mediterranean diet, associated with physical activity and cognitive behavior therapy, may be the reference nutritional profile for the prevention and the treatment of NAFLD patients.","container-title":"Expert Review of Gastroenterology &amp; Hepatology","DOI":"10.1080/17474124.2018.1503947","ISSN":"1747-4132","issue":"9","journalAbbreviation":"Expert Rev Gastroenterol Hepatol","language":"eng","note":"PMID: 30033779","page":"873-881","source":"PubMed","title":"Health benefits of Mediterranean diet in nonalcoholic fatty liver disease","volume":"12","author":[{"family":"Abenavoli","given":"Ludovico"},{"family":"Di Renzo","given":"Laura"},{"family":"Boccuto","given":"Luigi"},{"family":"Alwardat","given":"Nuha"},{"family":"Gratteri","given":"Santo"},{"family":"De Lorenzo","given":"Antonino"}],"issued":{"date-parts":[["2018",9]]}}}],"schema":"https://github.com/citation-style-language/schema/raw/master/csl-citation.json"} </w:instrText>
      </w:r>
      <w:r w:rsidR="0070186F" w:rsidRPr="00FC0E00">
        <w:rPr>
          <w:rFonts w:ascii="Book Antiqua" w:hAnsi="Book Antiqua"/>
          <w:iCs/>
          <w:sz w:val="24"/>
          <w:szCs w:val="24"/>
          <w:shd w:val="clear" w:color="auto" w:fill="FFFFFF"/>
        </w:rPr>
        <w:fldChar w:fldCharType="separate"/>
      </w:r>
      <w:r w:rsidR="0070186F" w:rsidRPr="00FC0E00">
        <w:rPr>
          <w:rFonts w:ascii="Book Antiqua" w:hAnsi="Book Antiqua" w:cs="Times New Roman"/>
          <w:sz w:val="24"/>
          <w:szCs w:val="24"/>
          <w:vertAlign w:val="superscript"/>
        </w:rPr>
        <w:t>[10]</w:t>
      </w:r>
      <w:r w:rsidR="0070186F" w:rsidRPr="00FC0E00">
        <w:rPr>
          <w:rFonts w:ascii="Book Antiqua" w:hAnsi="Book Antiqua"/>
          <w:iCs/>
          <w:sz w:val="24"/>
          <w:szCs w:val="24"/>
          <w:shd w:val="clear" w:color="auto" w:fill="FFFFFF"/>
        </w:rPr>
        <w:fldChar w:fldCharType="end"/>
      </w:r>
      <w:r w:rsidR="00483808" w:rsidRPr="00FC0E00">
        <w:rPr>
          <w:rFonts w:ascii="Book Antiqua" w:hAnsi="Book Antiqua"/>
          <w:iCs/>
          <w:sz w:val="24"/>
          <w:szCs w:val="24"/>
          <w:shd w:val="clear" w:color="auto" w:fill="FFFFFF"/>
        </w:rPr>
        <w:t>.</w:t>
      </w:r>
      <w:r w:rsidR="0029652A" w:rsidRPr="00FC0E00">
        <w:rPr>
          <w:rFonts w:ascii="Book Antiqua" w:hAnsi="Book Antiqua"/>
          <w:iCs/>
          <w:sz w:val="24"/>
          <w:szCs w:val="24"/>
          <w:shd w:val="clear" w:color="auto" w:fill="FFFFFF"/>
        </w:rPr>
        <w:t xml:space="preserve"> </w:t>
      </w:r>
    </w:p>
    <w:p w14:paraId="445AE176" w14:textId="0B8F425F" w:rsidR="000910BC" w:rsidRPr="00FC0E00" w:rsidRDefault="000910BC" w:rsidP="00855E3E">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 xml:space="preserve">Hyperuricemia is well known to co-exist with other ‘metabolic’ conditions including insulin resistance, obesity, hypertension and atherosclerosis. More recently, studies have shown that having elevated levels of serum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is an independent predictor of NAFLD</w:t>
      </w:r>
      <w:r w:rsidRPr="00FC0E00">
        <w:rPr>
          <w:rFonts w:ascii="Book Antiqua" w:hAnsi="Book Antiqua"/>
          <w:iCs/>
          <w:sz w:val="24"/>
          <w:szCs w:val="24"/>
          <w:shd w:val="clear" w:color="auto" w:fill="FFFFFF"/>
        </w:rPr>
        <w:fldChar w:fldCharType="begin" w:fldLock="1"/>
      </w:r>
      <w:r w:rsidR="009623D2" w:rsidRPr="00FC0E00">
        <w:rPr>
          <w:rFonts w:ascii="Book Antiqua" w:hAnsi="Book Antiqua"/>
          <w:iCs/>
          <w:sz w:val="24"/>
          <w:szCs w:val="24"/>
          <w:shd w:val="clear" w:color="auto" w:fill="FFFFFF"/>
        </w:rPr>
        <w:instrText xml:space="preserve"> ADDIN ZOTERO_ITEM CSL_CITATION {"citationID":"eFm96EHm","properties":{"formattedCitation":"\\super [11]\\nosupersub{}","plainCitation":"[11]","noteIndex":0},"citationItems":[{"id":"TQNiiO7s/YGs9qVfA","uris":["http://www.mendeley.com/documents/?uuid=d83d1127-db56-36f1-8137-eac528a8066a"],"uri":["http://www.mendeley.com/documents/?uuid=d83d1127-db56-36f1-8137-eac528a8066a"],"itemData":{"DOI":"10.1016/j.metabol.2010.08.005","ISSN":"1532-8600","PMID":"20863537","abstract":"The objective of the study was to assess the prospective association between serum uric acid levels and incident nonalcoholic fatty liver disease in a cohort of healthy Korean men. A cohort study was performed on 5741 Korean men, 30 to 59 years of age, with no evidence of fatty liver disease on liver ultrasound and with no major risk factors for liver disease at baseline. Study participants were followed in annual or biennial health examinations between 2002 and 2008. The presence of fatty liver was determined at each examination by ultrasound. Cox proportional hazards models were used to evaluate the association of baseline and time-dependent levels of serum uric acid with incident fatty liver, adjusted for potential confounders. During 23,995 person-years of follow-up, 1717 participants developed fatty liver on ultrasound examination. After adjustment for age, body mass index, smoking, and alcohol intake, the hazard ratios (95% confidence intervals) for incident fatty liver comparing quartiles 2 to 4 of serum uric acid to quartile 1 were 1.17 (1.01-1.37), 1.28 (1.11-1.48), and 1.51 (1.31-1.73), respectively (P for trend = .001). The adjusted hazard ratio comparing participants with hyperuricemia (serum uric acid ≥7.0 mg/dL) to those with normouricemia (&lt;7.0 mg/dL) was 1.29 (1.14-1.46). A graded and statistically significant association persisted after adjusting for other cardiometabolic factors and also in time-dependent models. Serum uric acid was an independent risk factor of incident fatty liver detected by ultrasonography. Additional research should clarify the mechanisms underlying this association and the role of hyperuricemia in the development of fatty liver.","author":[{"dropping-particle":"","family":"Ryu","given":"Seungho","non-dropping-particle":"","parse-names":false,"suffix":""},{"dropping-particle":"","family":"Chang","given":"Yoosoo","non-dropping-particle":"","parse-names":false,"suffix":""},{"dropping-particle":"","family":"Kim","given":"Soo-Geun","non-dropping-particle":"","parse-names":false,"suffix":""},{"dropping-particle":"","family":"Cho","given":"Juhee","non-dropping-particle":"","parse-names":false,"suffix":""},{"dropping-particle":"","family":"Guallar","given":"Eliseo","non-dropping-particle":"","parse-names":false,"suffix":""}],"container-title":"Metabolism: clinical and experimental","id":"ITEM-1","issue":"6","issued":{"date-parts":[["2011","6","1"]]},"page":"860-6","publisher":"Elsevier","title":"Serum uric acid levels predict incident nonalcoholic fatty liver disease in healthy Korean men.","type":"article-journal","volume":"60"}}],"schema":"https://github.com/citation-style-language/schema/raw/master/csl-citation.json"} </w:instrText>
      </w:r>
      <w:r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[11]</w:t>
      </w:r>
      <w:r w:rsidRPr="00FC0E00">
        <w:rPr>
          <w:rFonts w:ascii="Book Antiqua" w:hAnsi="Book Antiqua"/>
          <w:iCs/>
          <w:sz w:val="24"/>
          <w:szCs w:val="24"/>
          <w:shd w:val="clear" w:color="auto" w:fill="FFFFFF"/>
        </w:rPr>
        <w:fldChar w:fldCharType="end"/>
      </w:r>
      <w:r w:rsidRPr="00FC0E00">
        <w:rPr>
          <w:rFonts w:ascii="Book Antiqua" w:hAnsi="Book Antiqua"/>
          <w:iCs/>
          <w:sz w:val="24"/>
          <w:szCs w:val="24"/>
          <w:shd w:val="clear" w:color="auto" w:fill="FFFFFF"/>
        </w:rPr>
        <w:t>. It is not established however, whether these high levels are causative or represent the effect of the metabolic syndrome.</w:t>
      </w:r>
    </w:p>
    <w:p w14:paraId="58C9D1A1" w14:textId="77777777" w:rsidR="0070186F" w:rsidRDefault="001D0245" w:rsidP="0070186F">
      <w:pPr>
        <w:snapToGrid w:val="0"/>
        <w:spacing w:after="0" w:line="360" w:lineRule="auto"/>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Some of th</w:t>
      </w:r>
      <w:r w:rsidR="00C45B63" w:rsidRPr="00FC0E00">
        <w:rPr>
          <w:rFonts w:ascii="Book Antiqua" w:hAnsi="Book Antiqua"/>
          <w:iCs/>
          <w:sz w:val="24"/>
          <w:szCs w:val="24"/>
          <w:shd w:val="clear" w:color="auto" w:fill="FFFFFF"/>
        </w:rPr>
        <w:t xml:space="preserve">e putative mechanisms for NAFLD development relating to </w:t>
      </w:r>
      <w:r w:rsidR="0070186F" w:rsidRPr="00FC0E00">
        <w:rPr>
          <w:rFonts w:ascii="Book Antiqua" w:hAnsi="Book Antiqua"/>
          <w:sz w:val="24"/>
          <w:szCs w:val="24"/>
          <w:lang w:eastAsia="en-GB"/>
        </w:rPr>
        <w:t>UA</w:t>
      </w:r>
      <w:r w:rsidR="0019202D" w:rsidRPr="00FC0E00">
        <w:rPr>
          <w:rFonts w:ascii="Book Antiqua" w:hAnsi="Book Antiqua"/>
          <w:iCs/>
          <w:sz w:val="24"/>
          <w:szCs w:val="24"/>
          <w:shd w:val="clear" w:color="auto" w:fill="FFFFFF"/>
        </w:rPr>
        <w:t xml:space="preserve"> are summarised in </w:t>
      </w:r>
      <w:r w:rsidR="0070186F" w:rsidRPr="0070186F">
        <w:rPr>
          <w:rFonts w:ascii="Book Antiqua" w:hAnsi="Book Antiqua"/>
          <w:iCs/>
          <w:sz w:val="24"/>
          <w:szCs w:val="24"/>
          <w:shd w:val="clear" w:color="auto" w:fill="FFFFFF"/>
        </w:rPr>
        <w:t>Figure</w:t>
      </w:r>
      <w:r w:rsidR="00C45B63" w:rsidRPr="00FC0E00">
        <w:rPr>
          <w:rFonts w:ascii="Book Antiqua" w:hAnsi="Book Antiqua"/>
          <w:iCs/>
          <w:sz w:val="24"/>
          <w:szCs w:val="24"/>
          <w:shd w:val="clear" w:color="auto" w:fill="FFFFFF"/>
        </w:rPr>
        <w:t xml:space="preserve"> 1.</w:t>
      </w:r>
      <w:r w:rsidRPr="00FC0E00">
        <w:rPr>
          <w:rFonts w:ascii="Book Antiqua" w:hAnsi="Book Antiqua"/>
          <w:iCs/>
          <w:sz w:val="24"/>
          <w:szCs w:val="24"/>
          <w:shd w:val="clear" w:color="auto" w:fill="FFFFFF"/>
        </w:rPr>
        <w:t xml:space="preserve"> </w:t>
      </w:r>
    </w:p>
    <w:p w14:paraId="192CD5C7" w14:textId="77777777" w:rsidR="0070186F" w:rsidRDefault="0070186F" w:rsidP="0070186F">
      <w:pPr>
        <w:snapToGrid w:val="0"/>
        <w:spacing w:after="0" w:line="360" w:lineRule="auto"/>
        <w:jc w:val="both"/>
        <w:rPr>
          <w:rFonts w:ascii="Book Antiqua" w:hAnsi="Book Antiqua"/>
          <w:iCs/>
          <w:sz w:val="24"/>
          <w:szCs w:val="24"/>
          <w:shd w:val="clear" w:color="auto" w:fill="FFFFFF"/>
        </w:rPr>
      </w:pPr>
    </w:p>
    <w:p w14:paraId="320D93A5" w14:textId="77777777" w:rsidR="0070186F" w:rsidRPr="0070186F" w:rsidRDefault="0070186F" w:rsidP="0070186F">
      <w:pPr>
        <w:snapToGrid w:val="0"/>
        <w:spacing w:after="0" w:line="360" w:lineRule="auto"/>
        <w:jc w:val="both"/>
        <w:rPr>
          <w:rFonts w:ascii="Book Antiqua" w:hAnsi="Book Antiqua"/>
          <w:b/>
          <w:bCs/>
          <w:sz w:val="24"/>
          <w:szCs w:val="24"/>
          <w:u w:val="single"/>
        </w:rPr>
      </w:pPr>
      <w:r w:rsidRPr="0070186F">
        <w:rPr>
          <w:rFonts w:ascii="Book Antiqua" w:hAnsi="Book Antiqua"/>
          <w:b/>
          <w:bCs/>
          <w:sz w:val="24"/>
          <w:szCs w:val="24"/>
          <w:u w:val="single"/>
        </w:rPr>
        <w:t xml:space="preserve">PROPOSED ROLE OF </w:t>
      </w:r>
      <w:r w:rsidRPr="0070186F">
        <w:rPr>
          <w:rFonts w:ascii="Book Antiqua" w:hAnsi="Book Antiqua"/>
          <w:b/>
          <w:bCs/>
          <w:sz w:val="24"/>
          <w:szCs w:val="24"/>
          <w:u w:val="single"/>
          <w:lang w:eastAsia="en-GB"/>
        </w:rPr>
        <w:t>UA</w:t>
      </w:r>
      <w:r w:rsidRPr="0070186F">
        <w:rPr>
          <w:rFonts w:ascii="Book Antiqua" w:hAnsi="Book Antiqua"/>
          <w:b/>
          <w:bCs/>
          <w:sz w:val="24"/>
          <w:szCs w:val="24"/>
          <w:u w:val="single"/>
        </w:rPr>
        <w:t xml:space="preserve"> IN THE PATHOGENESIS OF NAFLD</w:t>
      </w:r>
    </w:p>
    <w:p w14:paraId="7A4029B8" w14:textId="707E22E5" w:rsidR="002012BF" w:rsidRPr="0070186F" w:rsidRDefault="004C71BF" w:rsidP="0070186F">
      <w:pPr>
        <w:snapToGrid w:val="0"/>
        <w:spacing w:after="0" w:line="360" w:lineRule="auto"/>
        <w:jc w:val="both"/>
        <w:rPr>
          <w:rFonts w:ascii="Book Antiqua" w:hAnsi="Book Antiqua"/>
          <w:b/>
          <w:bCs/>
          <w:iCs/>
          <w:sz w:val="24"/>
          <w:szCs w:val="24"/>
          <w:u w:val="single"/>
          <w:shd w:val="clear" w:color="auto" w:fill="FFFFFF"/>
        </w:rPr>
      </w:pPr>
      <w:r w:rsidRPr="0070186F">
        <w:rPr>
          <w:rFonts w:ascii="Book Antiqua" w:hAnsi="Book Antiqua"/>
          <w:b/>
          <w:bCs/>
          <w:i/>
          <w:iCs/>
          <w:sz w:val="24"/>
          <w:szCs w:val="24"/>
        </w:rPr>
        <w:t xml:space="preserve">The role of </w:t>
      </w:r>
      <w:r w:rsidR="0070186F" w:rsidRPr="0070186F">
        <w:rPr>
          <w:rFonts w:ascii="Book Antiqua" w:hAnsi="Book Antiqua"/>
          <w:b/>
          <w:bCs/>
          <w:i/>
          <w:iCs/>
          <w:sz w:val="24"/>
          <w:szCs w:val="24"/>
        </w:rPr>
        <w:t>urate and xanthine oxidase</w:t>
      </w:r>
      <w:r w:rsidR="002012BF" w:rsidRPr="0070186F">
        <w:rPr>
          <w:rFonts w:ascii="Book Antiqua" w:hAnsi="Book Antiqua"/>
          <w:b/>
          <w:bCs/>
          <w:i/>
          <w:iCs/>
          <w:sz w:val="24"/>
          <w:szCs w:val="24"/>
        </w:rPr>
        <w:t xml:space="preserve"> in NAFLD</w:t>
      </w:r>
    </w:p>
    <w:p w14:paraId="0A8D5FEC" w14:textId="10C8310E" w:rsidR="002012BF" w:rsidRPr="00FC0E00" w:rsidRDefault="00041CFE" w:rsidP="00FC0E00">
      <w:pPr>
        <w:autoSpaceDE w:val="0"/>
        <w:autoSpaceDN w:val="0"/>
        <w:adjustRightInd w:val="0"/>
        <w:snapToGrid w:val="0"/>
        <w:spacing w:after="0" w:line="360" w:lineRule="auto"/>
        <w:jc w:val="both"/>
        <w:rPr>
          <w:rFonts w:ascii="Book Antiqua" w:hAnsi="Book Antiqua" w:cs="AdvMyriad_R"/>
          <w:sz w:val="24"/>
          <w:szCs w:val="24"/>
        </w:rPr>
      </w:pPr>
      <w:r w:rsidRPr="00FC0E00">
        <w:rPr>
          <w:rFonts w:ascii="Book Antiqua" w:hAnsi="Book Antiqua"/>
          <w:sz w:val="24"/>
          <w:szCs w:val="24"/>
          <w:lang w:val="en"/>
        </w:rPr>
        <w:t>P</w:t>
      </w:r>
      <w:r w:rsidR="002012BF" w:rsidRPr="00FC0E00">
        <w:rPr>
          <w:rFonts w:ascii="Book Antiqua" w:hAnsi="Book Antiqua"/>
          <w:sz w:val="24"/>
          <w:szCs w:val="24"/>
          <w:lang w:val="en"/>
        </w:rPr>
        <w:t>reviously</w:t>
      </w:r>
      <w:r w:rsidRPr="00FC0E00">
        <w:rPr>
          <w:rFonts w:ascii="Book Antiqua" w:hAnsi="Book Antiqua"/>
          <w:sz w:val="24"/>
          <w:szCs w:val="24"/>
          <w:lang w:val="en"/>
        </w:rPr>
        <w:t>, it has</w:t>
      </w:r>
      <w:r w:rsidR="002012BF" w:rsidRPr="00FC0E00">
        <w:rPr>
          <w:rFonts w:ascii="Book Antiqua" w:hAnsi="Book Antiqua"/>
          <w:sz w:val="24"/>
          <w:szCs w:val="24"/>
          <w:lang w:val="en"/>
        </w:rPr>
        <w:t xml:space="preserve"> been demonstrated that urate exerts an intracellular pro-oxidant and pro-infla</w:t>
      </w:r>
      <w:r w:rsidR="00EF2557" w:rsidRPr="00FC0E00">
        <w:rPr>
          <w:rFonts w:ascii="Book Antiqua" w:hAnsi="Book Antiqua"/>
          <w:sz w:val="24"/>
          <w:szCs w:val="24"/>
          <w:lang w:val="en"/>
        </w:rPr>
        <w:t>mmatory effect in adipose tissue</w:t>
      </w:r>
      <w:r w:rsidR="00EF2557" w:rsidRPr="00FC0E00">
        <w:rPr>
          <w:rFonts w:ascii="Book Antiqua" w:hAnsi="Book Antiqua"/>
          <w:sz w:val="24"/>
          <w:szCs w:val="24"/>
          <w:lang w:val="en"/>
        </w:rPr>
        <w:fldChar w:fldCharType="begin"/>
      </w:r>
      <w:r w:rsidR="00766D5D" w:rsidRPr="00FC0E00">
        <w:rPr>
          <w:rFonts w:ascii="Book Antiqua" w:hAnsi="Book Antiqua"/>
          <w:sz w:val="24"/>
          <w:szCs w:val="24"/>
          <w:lang w:val="en"/>
        </w:rPr>
        <w:instrText xml:space="preserve"> ADDIN ZOTERO_ITEM CSL_CITATION {"citationID":"FNa3vyTz","properties":{"formattedCitation":"\\super [9,12,13]\\nosupersub{}","plainCitation":"[9,12,13]","noteIndex":0},"citationItems":[{"id":1788,"uris":["http://zotero.org/users/5302874/items/XJTUVSXQ"],"uri":["http://zotero.org/users/5302874/items/XJTUVSXQ"],"itemData":{"id":1788,"type":"article-journal","abstract":"Uric acid is considered a major antioxidant in human blood that may protect against aging and oxidative stress. Despite its proposed protective properties, elevated levels of uric acid are commonly associated with increased risk for cardiovascular disease and mortality. Furthermore, recent experimental studies suggest that uric acid may have a causal role in hypertension and metabolic syndrome. All these conditions are thought to be mediated by oxidative stress. In this study we demonstrate that differentiation of cultured mouse adipocytes is associated with increased production of reactive oxygen species (ROS) and uptake of uric acid. Soluble uric acid stimulated an increase in NADPH oxidase activity and ROS production in mature adipocytes but not in preadipocytes. The stimulation of NADPH oxidase-dependent ROS by uric acid resulted in activation of MAP kinases p38 and ERK1/2, a decrease in nitric oxide bioavailability, and an increase in protein nitrosylation and lipid oxidation. Collectively, our results suggest that hyperuricemia induces redox-dependent signaling and oxidative stress in adipocytes. Since oxidative stress in the adipose tissue has recently been recognized as a major cause of insulin resistance and cardiovascular disease, hyperuricemia-induced alterations in oxidative homeostasis in the adipose tissue might play an important role in these derangements.","container-title":"American Journal of Physiology. Cell Physiology","DOI":"10.1152/ajpcell.00600.2006","ISSN":"0363-6143","issue":"2","journalAbbreviation":"Am. J. Physiol., Cell Physiol.","language":"eng","note":"PMID: 17428837","page":"C584-596","source":"PubMed","title":"Adverse effects of the classic antioxidant uric acid in adipocytes: NADPH oxidase-mediated oxidative/nitrosative stress","title-short":"Adverse effects of the classic antioxidant uric acid in adipocytes","volume":"293","author":[{"family":"Sautin","given":"Yuri Y."},{"family":"Nakagawa","given":"Takahiko"},{"family":"Zharikov","given":"Sergey"},{"family":"Johnson","given":"Richard J."}],"issued":{"date-parts":[["2007",8]]}},"label":"page"},{"id":1658,"uris":["http://zotero.org/users/5302874/items/AIN8MPDC"],"uri":["http://zotero.org/users/5302874/items/AIN8MPDC"],"itemData":{"id":1658,"type":"article-journal","abstract":"OBJECTIVE\nHyperuricemia is strongly associated with obesity and metabolic syndrome and can predict visceral obesity and insulin resistance. Previously, we showed that soluble uric acid directly stimulated the redox-dependent proinflammatory signaling in adipocytes. In this study we demonstrate the role of hyperuricemia in the production of key adipokines.\n\nRESEARCH DESIGN AND METHODS\nWe used mouse 3T3-L1 adipocytes, human primary adipocytes, and a mouse model of metabolic syndrome and hyperuricemia.\n\nRESULTS\nUric acid induced in vitro an increase in the production (mRNA and secreted protein) of monocyte chemotactic protein-1 (MCP-1), an adipokine playing an essential role in inducing the proinflammatory state in adipocytes in obesity. In addition, uric acid caused a decrease in the production of adiponectin, an adipocyte-specific insulin sensitizer and anti-inflammatory agent. Uric acid–induced increase in MCP-1 production was blocked by scavenging superoxide or by inhibiting NADPH oxidase and by stimulating peroxisome-proliferator–activated receptor-γ with rosiglitazone. Downregulation of the adiponectin production was prevented by rosiglitazone but not by antioxidants. In obese mice with metabolic syndrome, we observed hyperuricemia. Lowering uric acid in these mice by inhibiting xanthine oxidoreductase with allopurinol could improve the proinflammatory endocrine imbalance in the adipose tissue by reducing production of MCP-1 and increasing production of adiponectin. In addition, lowering uric acid in obese mice decreased macrophage infiltration in the adipose tissue and reduced insulin resistance.\n\nCONCLUSIONS\nHyperuricemia might be partially responsible for the proinflammatory endocrine imbalance in the adipose tissue, which is an underlying mechanism of the low-grade inflammation and insulin resistance in subjects with the metabolic syndrome.","container-title":"Diabetes","DOI":"10.2337/db10-0916","ISSN":"0012-1797","issue":"4","journalAbbreviation":"Diabetes","note":"PMID: 21346177\nPMCID: PMC3064099","page":"1258-1269","source":"PubMed Central","title":"Hyperuricemia as a Mediator of the Proinflammatory Endocrine Imbalance in the Adipose Tissue in a Murine Model of the Metabolic Syndrome","volume":"60","author":[{"family":"Baldwin","given":"William"},{"family":"McRae","given":"Steven"},{"family":"Marek","given":"George"},{"family":"Wymer","given":"David"},{"family":"Pannu","given":"Varinderpal"},{"family":"Baylis","given":"Chris"},{"family":"Johnson","given":"Richard J."},{"family":"Sautin","given":"Yuri Y."}],"issued":{"date-parts":[["2011",4]]}},"label":"page"},{"id":1791,"uris":["http://zotero.org/users/5302874/items/GIG8I74V"],"uri":["http://zotero.org/users/5302874/items/GIG8I74V"],"itemData":{"id":1791,"type":"article-journal","abstract":"Clinical studies have linked the increased consumption of fructose to the development of obesity, dyslipidemia, and impaired glucose tolerance, and a role in hepatosteatosis development is presumed. Fructose can undergo a nonenzymatic reaction from which advanced glycation end products (AGEs) are derived, leading to the formation of dysfunctional, fructosylated proteins; however, the in vivo formation of AGEs from fructose is still less known than that from glucose. In the present study C57Bl/6J mice received 15% (wt/vol) fructose (FRT) or 15% (wt/vol) glucose (GLC) in water to drink for 30 wk, resembling human habit to consume sugary drinks. At the end of the protocol both FRT- and GLC-drinking mice had increased fasting glycemia, glucose intolerance, altered plasma lipid profile, and marked hepatosteatosis. FRT mice had higher hepatic triglycerides deposition than GLC, paralleled by a greater increased expression and activity of the sterol regulatory element-binding protein 1 (SREBP1), the transcription factor responsible for the de novo lipogenesis, and of its activating protein SCAP. LC-MS analysis showed a different pattern of AGE production in liver tissue between FRT and GLC mice, with larger amount of carboxymethyl lysine (CML) generated by fructose. Double immunofluorescence and coimmunoprecipitation analysis revealed an interaction between CML and SCAP that could lead to prolonged activation of SREBP1. Overall, the high levels of CML and activation of SCAP/SREBP pathway associated to high fructose exposure here reported may suggest a key role of this signaling pathway in mediating fructose-induced lipogenesis.","container-title":"American Journal of Physiology. Gastrointestinal and Liver Physiology","DOI":"10.1152/ajpgi.00450.2012","ISSN":"1522-1547","issue":"6","journalAbbreviation":"Am. J. Physiol. Gastrointest. Liver Physiol.","language":"eng","note":"PMID: 23868406","page":"G398-407","source":"PubMed","title":"Advanced glycation end products promote hepatosteatosis by interfering with SCAP-SREBP pathway in fructose-drinking mice","volume":"305","author":[{"family":"Mastrocola","given":"Raffaella"},{"family":"Collino","given":"Massimo"},{"family":"Rogazzo","given":"Mara"},{"family":"Medana","given":"Claudio"},{"family":"Nigro","given":"Debora"},{"family":"Boccuzzi","given":"Giuseppe"},{"family":"Aragno","given":"Manuela"}],"issued":{"date-parts":[["2013",9,15]]}},"label":"page"}],"schema":"https://github.com/citation-style-language/schema/raw/master/csl-citation.json"} </w:instrText>
      </w:r>
      <w:r w:rsidR="00EF2557" w:rsidRPr="00FC0E00">
        <w:rPr>
          <w:rFonts w:ascii="Book Antiqua" w:hAnsi="Book Antiqua"/>
          <w:sz w:val="24"/>
          <w:szCs w:val="24"/>
          <w:lang w:val="en"/>
        </w:rPr>
        <w:fldChar w:fldCharType="separate"/>
      </w:r>
      <w:r w:rsidR="00766D5D" w:rsidRPr="00FC0E00">
        <w:rPr>
          <w:rFonts w:ascii="Book Antiqua" w:hAnsi="Book Antiqua" w:cs="Times New Roman"/>
          <w:sz w:val="24"/>
          <w:szCs w:val="24"/>
          <w:vertAlign w:val="superscript"/>
        </w:rPr>
        <w:t>[9,12,13]</w:t>
      </w:r>
      <w:r w:rsidR="00EF2557" w:rsidRPr="00FC0E00">
        <w:rPr>
          <w:rFonts w:ascii="Book Antiqua" w:hAnsi="Book Antiqua"/>
          <w:sz w:val="24"/>
          <w:szCs w:val="24"/>
          <w:lang w:val="en"/>
        </w:rPr>
        <w:fldChar w:fldCharType="end"/>
      </w:r>
      <w:r w:rsidR="002012BF" w:rsidRPr="00FC0E00">
        <w:rPr>
          <w:rFonts w:ascii="Book Antiqua" w:hAnsi="Book Antiqua"/>
          <w:sz w:val="24"/>
          <w:szCs w:val="24"/>
          <w:lang w:val="en"/>
        </w:rPr>
        <w:t>. Whilst there are studies that suggest that a rise in urate might be an anti-oxidant response to increased oxidative stress and adiposity, current evidence suggests that in NAFLD, it functions as a marker of xanthine oxidase (XO) activity</w:t>
      </w:r>
      <w:r w:rsidR="0070186F" w:rsidRPr="00FC0E00">
        <w:rPr>
          <w:rFonts w:ascii="Book Antiqua" w:hAnsi="Book Antiqua"/>
          <w:sz w:val="24"/>
          <w:szCs w:val="24"/>
          <w:lang w:val="en"/>
        </w:rPr>
        <w:fldChar w:fldCharType="begin"/>
      </w:r>
      <w:r w:rsidR="0070186F" w:rsidRPr="00FC0E00">
        <w:rPr>
          <w:rFonts w:ascii="Book Antiqua" w:hAnsi="Book Antiqua"/>
          <w:sz w:val="24"/>
          <w:szCs w:val="24"/>
          <w:lang w:val="en"/>
        </w:rPr>
        <w:instrText xml:space="preserve"> ADDIN ZOTERO_ITEM CSL_CITATION {"citationID":"k9Hncm1t","properties":{"formattedCitation":"\\super [14]\\nosupersub{}","plainCitation":"[14]","noteIndex":0},"citationItems":[{"id":1665,"uris":["http://zotero.org/users/5302874/items/FRJ855HP"],"uri":["http://zotero.org/users/5302874/items/FRJ855HP"],"itemData":{"id":1665,"type":"article-journal","abstract":"Xanthine oxidase (XO) is an enzyme involved in the production of uric acid (UA) from purine nucleotides. Numerous recent studies have revealed the likelihood of metabolic syndrome including nonalcoholic fatty liver disease (NAFLD) or steatohepatitis (NASH) to be related to hyperuricemia. However, it remains unclear whether elevated serum UA during the development of NAFLD or NASH is a cause or a consequence of these diseases. In this study, the XO inhibitor febuxostat was administered to two types of NASH model mice. Febuxostat exerted a strong protective effect against NASH development induced by a high-fat diet containing trans fatty acid (HFDT). In contrast, methionine choline-deficient-diet-induced NASH development not accompanied by hyperuricemia showed no UA normalization, suggesting that the ameliorating effect of febuxostat occurs via the normalization of hyperuricemia itself and/or accompanying molecular mechanism(s) such as oxidative stress. In the HFDT-fed mice, hyperuricemia, elevated alanine aminotransferase, and increased Tunnel-positive cells in the liver were normalized by febuxostat administration. In addition, upregulation of fatty acid oxidation-related genes, fibrotic change, and increases in collagen deposition, inflammatory cytokine expressions, and lipid peroxidation in the HFDT-fed mice were also normalized by febuxostat administration. Taken together, these observations indicate that administration of febuxostat has a protective effect against HFDT-induced NASH development, suggesting the importance of XO in its pathogenesis. Thus XO inhibitors are potentially potent therapies for patients with NASH, particularly that associated with hyperuricemia.","container-title":"American Journal of Physiology. Gastrointestinal and Liver Physiology","DOI":"10.1152/ajpgi.00443.2014","ISSN":"1522-1547","issue":"1","journalAbbreviation":"Am. J. Physiol. Gastrointest. Liver Physiol.","language":"eng","note":"PMID: 25999428","page":"G42-51","source":"PubMed","title":"The xanthine oxidase inhibitor febuxostat suppresses development of nonalcoholic steatohepatitis in a rodent model","volume":"309","author":[{"family":"Nakatsu","given":"Yusuke"},{"family":"Seno","given":"Yasuyuki"},{"family":"Kushiyama","given":"Akifumi"},{"family":"Sakoda","given":"Hideyuki"},{"family":"Fujishiro","given":"Midori"},{"family":"Katasako","given":"Aya"},{"family":"Mori","given":"Keiichi"},{"family":"Matsunaga","given":"Yasuka"},{"family":"Fukushima","given":"Toshiaki"},{"family":"Kanaoka","given":"Ryuhei"},{"family":"Yamamotoya","given":"Takeshi"},{"family":"Kamata","given":"Hideaki"},{"family":"Asano","given":"Tomoichiro"}],"issued":{"date-parts":[["2015",7,1]]}}}],"schema":"https://github.com/citation-style-language/schema/raw/master/csl-citation.json"} </w:instrText>
      </w:r>
      <w:r w:rsidR="0070186F" w:rsidRPr="00FC0E00">
        <w:rPr>
          <w:rFonts w:ascii="Book Antiqua" w:hAnsi="Book Antiqua"/>
          <w:sz w:val="24"/>
          <w:szCs w:val="24"/>
          <w:lang w:val="en"/>
        </w:rPr>
        <w:fldChar w:fldCharType="separate"/>
      </w:r>
      <w:r w:rsidR="0070186F" w:rsidRPr="00FC0E00">
        <w:rPr>
          <w:rFonts w:ascii="Book Antiqua" w:hAnsi="Book Antiqua" w:cs="Times New Roman"/>
          <w:sz w:val="24"/>
          <w:szCs w:val="24"/>
          <w:vertAlign w:val="superscript"/>
        </w:rPr>
        <w:t>[14]</w:t>
      </w:r>
      <w:r w:rsidR="0070186F" w:rsidRPr="00FC0E00">
        <w:rPr>
          <w:rFonts w:ascii="Book Antiqua" w:hAnsi="Book Antiqua"/>
          <w:sz w:val="24"/>
          <w:szCs w:val="24"/>
          <w:lang w:val="en"/>
        </w:rPr>
        <w:fldChar w:fldCharType="end"/>
      </w:r>
      <w:r w:rsidR="002012BF" w:rsidRPr="00FC0E00">
        <w:rPr>
          <w:rFonts w:ascii="Book Antiqua" w:hAnsi="Book Antiqua"/>
          <w:sz w:val="24"/>
          <w:szCs w:val="24"/>
          <w:lang w:val="en"/>
        </w:rPr>
        <w:t>. To further substantiate this evidence, recent studies have shown a significantly raised XO levels in patients with NAFLD compared to controls</w:t>
      </w:r>
      <w:r w:rsidR="0070186F" w:rsidRPr="00FC0E00">
        <w:rPr>
          <w:rFonts w:ascii="Book Antiqua" w:hAnsi="Book Antiqua"/>
          <w:sz w:val="24"/>
          <w:szCs w:val="24"/>
          <w:lang w:val="en"/>
        </w:rPr>
        <w:fldChar w:fldCharType="begin"/>
      </w:r>
      <w:r w:rsidR="0070186F" w:rsidRPr="00FC0E00">
        <w:rPr>
          <w:rFonts w:ascii="Book Antiqua" w:hAnsi="Book Antiqua"/>
          <w:sz w:val="24"/>
          <w:szCs w:val="24"/>
          <w:lang w:val="en"/>
        </w:rPr>
        <w:instrText xml:space="preserve"> ADDIN ZOTERO_ITEM CSL_CITATION {"citationID":"3BWYVDYn","properties":{"formattedCitation":"\\super [15]\\nosupersub{}","plainCitation":"[15]","noteIndex":0},"citationItems":[{"id":1670,"uris":["http://zotero.org/users/5302874/items/SB4U9PQK"],"uri":["http://zotero.org/users/5302874/items/SB4U9PQK"],"itemData":{"id":1670,"type":"article-journal","abstract":"BACKGROUND: Serum uric acid levels are significantly associated with nonalcoholic fatty liver disease (NAFLD). Xanthine oxidoreductase (XOR) is the key enzyme that catalyzes the formation of uric acid. The aim of this study was to investigate the association between serum XOR activity and NAFLD.\nMETHODS: In this cross-sectional study, serum XOR activity was measured by enzyme-linked immunosorbent assay in 129 patients with NAFLD and 71 controls.\nRESULTS: Serum XOR activity was markedly higher in patients with NAFLD than in the controls (p &lt; 0.001). Serum XOR activity positively correlated with markers of liver injury and indices of oxidative stress. Moreover, patients with high XOR activity had a higher prevalence of metabolic syndrome.\nCONCLUSIONS: These data show that serum XOR activity is significantly associated with NAFLD.","container-title":"Clinical Laboratory","DOI":"10.7754/clin.lab.2013.130516","ISSN":"1433-6510","issue":"8","journalAbbreviation":"Clin. Lab.","language":"eng","note":"PMID: 25185415","page":"1301-1307","source":"PubMed","title":"The significance of serum xanthine oxidoreductase in patients with nonalcoholic fatty liver disease","volume":"60","author":[{"family":"Zhang","given":"Juanwen"},{"family":"Xu","given":"Chengfu"},{"family":"Zhao","given":"Ying"},{"family":"Chen","given":"Yu"}],"issued":{"date-parts":[["2014"]]}}}],"schema":"https://github.com/citation-style-language/schema/raw/master/csl-citation.json"} </w:instrText>
      </w:r>
      <w:r w:rsidR="0070186F" w:rsidRPr="00FC0E00">
        <w:rPr>
          <w:rFonts w:ascii="Book Antiqua" w:hAnsi="Book Antiqua"/>
          <w:sz w:val="24"/>
          <w:szCs w:val="24"/>
          <w:lang w:val="en"/>
        </w:rPr>
        <w:fldChar w:fldCharType="separate"/>
      </w:r>
      <w:r w:rsidR="0070186F" w:rsidRPr="00FC0E00">
        <w:rPr>
          <w:rFonts w:ascii="Book Antiqua" w:hAnsi="Book Antiqua" w:cs="Times New Roman"/>
          <w:sz w:val="24"/>
          <w:szCs w:val="24"/>
          <w:vertAlign w:val="superscript"/>
        </w:rPr>
        <w:t>[15]</w:t>
      </w:r>
      <w:r w:rsidR="0070186F" w:rsidRPr="00FC0E00">
        <w:rPr>
          <w:rFonts w:ascii="Book Antiqua" w:hAnsi="Book Antiqua"/>
          <w:sz w:val="24"/>
          <w:szCs w:val="24"/>
          <w:lang w:val="en"/>
        </w:rPr>
        <w:fldChar w:fldCharType="end"/>
      </w:r>
      <w:r w:rsidR="002012BF" w:rsidRPr="00FC0E00">
        <w:rPr>
          <w:rFonts w:ascii="Book Antiqua" w:hAnsi="Book Antiqua"/>
          <w:sz w:val="24"/>
          <w:szCs w:val="24"/>
          <w:lang w:val="en"/>
        </w:rPr>
        <w:t xml:space="preserve">. A recent study in 5541 individuals showed that </w:t>
      </w:r>
      <w:r w:rsidR="002012BF" w:rsidRPr="00FC0E00">
        <w:rPr>
          <w:rFonts w:ascii="Book Antiqua" w:hAnsi="Book Antiqua" w:cs="Arial"/>
          <w:bCs/>
          <w:sz w:val="24"/>
          <w:szCs w:val="24"/>
        </w:rPr>
        <w:t>NAFLD</w:t>
      </w:r>
      <w:r w:rsidR="002012BF" w:rsidRPr="00FC0E00">
        <w:rPr>
          <w:rFonts w:ascii="Book Antiqua" w:hAnsi="Book Antiqua" w:cs="Arial"/>
          <w:sz w:val="24"/>
          <w:szCs w:val="24"/>
        </w:rPr>
        <w:t xml:space="preserve"> significantly increased the risk of incident hyperuricemia and demonstrated in mouse models of NAFLD that XO mediates the relationship between </w:t>
      </w:r>
      <w:r w:rsidR="002012BF" w:rsidRPr="00FC0E00">
        <w:rPr>
          <w:rFonts w:ascii="Book Antiqua" w:hAnsi="Book Antiqua" w:cs="Arial"/>
          <w:bCs/>
          <w:sz w:val="24"/>
          <w:szCs w:val="24"/>
        </w:rPr>
        <w:t>NAFLD</w:t>
      </w:r>
      <w:r w:rsidR="002012BF" w:rsidRPr="00FC0E00">
        <w:rPr>
          <w:rFonts w:ascii="Book Antiqua" w:hAnsi="Book Antiqua" w:cs="Arial"/>
          <w:sz w:val="24"/>
          <w:szCs w:val="24"/>
        </w:rPr>
        <w:t xml:space="preserve"> and hyperuricemia. The authors therefore suggested that XO inhibition and may serve as a novel therapeutic target for NAFLD</w:t>
      </w:r>
      <w:r w:rsidR="0070186F" w:rsidRPr="00FC0E00">
        <w:rPr>
          <w:rFonts w:ascii="Book Antiqua" w:hAnsi="Book Antiqua" w:cs="Arial"/>
          <w:sz w:val="24"/>
          <w:szCs w:val="24"/>
        </w:rPr>
        <w:fldChar w:fldCharType="begin"/>
      </w:r>
      <w:r w:rsidR="0070186F" w:rsidRPr="00FC0E00">
        <w:rPr>
          <w:rFonts w:ascii="Book Antiqua" w:hAnsi="Book Antiqua" w:cs="Arial"/>
          <w:sz w:val="24"/>
          <w:szCs w:val="24"/>
        </w:rPr>
        <w:instrText xml:space="preserve"> ADDIN ZOTERO_ITEM CSL_CITATION {"citationID":"38psATDV","properties":{"formattedCitation":"\\super [4]\\nosupersub{}","plainCitation":"[4]","noteIndex":0},"citationItems":[{"id":1672,"uris":["http://zotero.org/users/5302874/items/F2BHR5CV"],"uri":["http://zotero.org/users/5302874/items/F2BHR5CV"],"itemData":{"id":1672,"type":"article-journal","abstract":"BACKGROUND &amp; AIMS: Hyperuricemia is a common feature of patients with non-alcoholic fatty liver disease (NAFLD). This study aimed to explore the causal relationship and underlying mechanisms between NAFLD and hyperuricemia.\nMETHODS: We evaluated the impact of NAFLD on the development of hyperuricemia in a cohort of 5541 baseline hyperuricemia-free individuals. We further analyzed xanthine oxidase (XO), a rate-limiting enzyme that catalyzes uric acid production, as a candidate to link NAFLD and hyperuricemia.\nRESULTS: In the first study, a 7-year prospective analysis found that NAFLD was strongly associated with subsequent development of hyperuricemia. Cox proportional hazards regression analyses showed that age, gender, and body mass index adjusted hazard ratio (95% confidence interval) for incident hyperuricemia was 1.609 (1.129-2.294) in individuals with NAFLD, as compared with those without NAFLD at baseline. In the second study, we observed that expression and activity of XO were significantly increased in cellular and mouse models of NAFLD. Knocking down XO expression or inhibiting XO activity significantly decreases uric acid production and attenuates free fatty acids-induced fat accumulation in HepG2 cells. Inhibiting XO activity also significantly prevents the development of and ameliorates established hepatic steatosis induced by a high-fat diet in mice. Further experiments indicated that XO regulates activation of the NLRP3 inflammasome, which may be essential for the regulatory effect of XO on NAFLD.\nCONCLUSIONS: NAFLD significantly increases the risk of incident hyperuricemia. XO is a mediator of the relationship between NAFLD and hyperuricemia, and may serve as a novel therapeutic target for the two linked diseases.","container-title":"Journal of Hepatology","DOI":"10.1016/j.jhep.2015.01.019","ISSN":"1600-0641","issue":"6","journalAbbreviation":"J. Hepatol.","language":"eng","note":"PMID: 25623823","page":"1412-1419","source":"PubMed","title":"Xanthine oxidase in non-alcoholic fatty liver disease and hyperuricemia: One stone hits two birds","title-short":"Xanthine oxidase in non-alcoholic fatty liver disease and hyperuricemia","volume":"62","author":[{"family":"Xu","given":"Chengfu"},{"family":"Wan","given":"Xingyong"},{"family":"Xu","given":"Lei"},{"family":"Weng","given":"Honglei"},{"family":"Yan","given":"Ming"},{"family":"Miao","given":"Min"},{"family":"Sun","given":"Yan"},{"family":"Xu","given":"Genyun"},{"family":"Dooley","given":"Steven"},{"family":"Li","given":"Youming"},{"family":"Yu","given":"Chaohui"}],"issued":{"date-parts":[["2015",6]]}}}],"schema":"https://github.com/citation-style-language/schema/raw/master/csl-citation.json"} </w:instrText>
      </w:r>
      <w:r w:rsidR="0070186F" w:rsidRPr="00FC0E00">
        <w:rPr>
          <w:rFonts w:ascii="Book Antiqua" w:hAnsi="Book Antiqua" w:cs="Arial"/>
          <w:sz w:val="24"/>
          <w:szCs w:val="24"/>
        </w:rPr>
        <w:fldChar w:fldCharType="separate"/>
      </w:r>
      <w:r w:rsidR="0070186F" w:rsidRPr="00FC0E00">
        <w:rPr>
          <w:rFonts w:ascii="Book Antiqua" w:hAnsi="Book Antiqua" w:cs="Times New Roman"/>
          <w:sz w:val="24"/>
          <w:szCs w:val="24"/>
          <w:vertAlign w:val="superscript"/>
        </w:rPr>
        <w:t>[4]</w:t>
      </w:r>
      <w:r w:rsidR="0070186F" w:rsidRPr="00FC0E00">
        <w:rPr>
          <w:rFonts w:ascii="Book Antiqua" w:hAnsi="Book Antiqua" w:cs="Arial"/>
          <w:sz w:val="24"/>
          <w:szCs w:val="24"/>
        </w:rPr>
        <w:fldChar w:fldCharType="end"/>
      </w:r>
      <w:r w:rsidR="002012BF" w:rsidRPr="00FC0E00">
        <w:rPr>
          <w:rFonts w:ascii="Book Antiqua" w:hAnsi="Book Antiqua" w:cs="Arial"/>
          <w:sz w:val="24"/>
          <w:szCs w:val="24"/>
        </w:rPr>
        <w:t>.</w:t>
      </w:r>
      <w:r w:rsidR="002012BF" w:rsidRPr="00FC0E00">
        <w:rPr>
          <w:rFonts w:ascii="Book Antiqua" w:hAnsi="Book Antiqua"/>
          <w:sz w:val="24"/>
          <w:szCs w:val="24"/>
          <w:lang w:val="en"/>
        </w:rPr>
        <w:t xml:space="preserve"> Urate has also been shown to increase fatty accumulation in the liver by increasing endoplasmic reticulum (ER) stress via </w:t>
      </w:r>
      <w:r w:rsidR="002012BF" w:rsidRPr="00FC0E00">
        <w:rPr>
          <w:rFonts w:ascii="Book Antiqua" w:hAnsi="Book Antiqua" w:cs="AdvMinionNormal_Rm"/>
          <w:sz w:val="24"/>
          <w:szCs w:val="24"/>
        </w:rPr>
        <w:t>transcriptional factors including sterol regulatory element-binding protein-1 (</w:t>
      </w:r>
      <w:r w:rsidR="002012BF" w:rsidRPr="00FC0E00">
        <w:rPr>
          <w:rFonts w:ascii="Book Antiqua" w:hAnsi="Book Antiqua" w:cs="AdvMyriad_R"/>
          <w:sz w:val="24"/>
          <w:szCs w:val="24"/>
        </w:rPr>
        <w:t>SREBP-1c) activation in hepatocytes</w:t>
      </w:r>
      <w:r w:rsidR="0070186F" w:rsidRPr="00FC0E00">
        <w:rPr>
          <w:rFonts w:ascii="Book Antiqua" w:hAnsi="Book Antiqua" w:cs="AdvMyriad_R"/>
          <w:sz w:val="24"/>
          <w:szCs w:val="24"/>
        </w:rPr>
        <w:fldChar w:fldCharType="begin"/>
      </w:r>
      <w:r w:rsidR="0070186F" w:rsidRPr="00FC0E00">
        <w:rPr>
          <w:rFonts w:ascii="Book Antiqua" w:hAnsi="Book Antiqua" w:cs="AdvMyriad_R"/>
          <w:sz w:val="24"/>
          <w:szCs w:val="24"/>
        </w:rPr>
        <w:instrText xml:space="preserve"> ADDIN ZOTERO_ITEM CSL_CITATION {"citationID":"Z7gpKwsC","properties":{"formattedCitation":"\\super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70186F" w:rsidRPr="00FC0E00">
        <w:rPr>
          <w:rFonts w:ascii="Book Antiqua" w:hAnsi="Book Antiqua" w:cs="AdvMyriad_R"/>
          <w:sz w:val="24"/>
          <w:szCs w:val="24"/>
        </w:rPr>
        <w:fldChar w:fldCharType="separate"/>
      </w:r>
      <w:r w:rsidR="0070186F" w:rsidRPr="00FC0E00">
        <w:rPr>
          <w:rFonts w:ascii="Book Antiqua" w:hAnsi="Book Antiqua" w:cs="Times New Roman"/>
          <w:sz w:val="24"/>
          <w:szCs w:val="24"/>
          <w:vertAlign w:val="superscript"/>
        </w:rPr>
        <w:t>[16]</w:t>
      </w:r>
      <w:r w:rsidR="0070186F" w:rsidRPr="00FC0E00">
        <w:rPr>
          <w:rFonts w:ascii="Book Antiqua" w:hAnsi="Book Antiqua" w:cs="AdvMyriad_R"/>
          <w:sz w:val="24"/>
          <w:szCs w:val="24"/>
        </w:rPr>
        <w:fldChar w:fldCharType="end"/>
      </w:r>
      <w:r w:rsidR="002012BF" w:rsidRPr="00FC0E00">
        <w:rPr>
          <w:rFonts w:ascii="Book Antiqua" w:hAnsi="Book Antiqua" w:cs="AdvMyriad_R"/>
          <w:sz w:val="24"/>
          <w:szCs w:val="24"/>
        </w:rPr>
        <w:t>.</w:t>
      </w:r>
      <w:r w:rsidR="0070186F" w:rsidRPr="00FC0E00">
        <w:rPr>
          <w:rFonts w:ascii="Book Antiqua" w:hAnsi="Book Antiqua" w:cs="AdvMyriad_R"/>
          <w:sz w:val="24"/>
          <w:szCs w:val="24"/>
        </w:rPr>
        <w:t xml:space="preserve"> </w:t>
      </w:r>
    </w:p>
    <w:p w14:paraId="6CA59FBF" w14:textId="11F1F9A7" w:rsidR="00A96662" w:rsidRPr="00FC0E00" w:rsidRDefault="002012BF" w:rsidP="00855E3E">
      <w:pPr>
        <w:autoSpaceDE w:val="0"/>
        <w:autoSpaceDN w:val="0"/>
        <w:adjustRightInd w:val="0"/>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It is unsurprising that XO may play an important role in NAFLD as XO is widely distributed throughout various organs including the liver, gut, lung, kidney, heart, brain and plasma</w:t>
      </w:r>
      <w:r w:rsidR="00314933"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{"citationID":"lmyIi35b","properties":{"formattedCitation":"\\super [17]\\nosupersub{}","plainCitation":"[17]","noteIndex":0},"citationItems":[{"id":1780,"uris":["http://zotero.org/users/5302874/items/HLKHNY6Y"],"uri":["http://zotero.org/users/5302874/items/HLKHNY6Y"],"itemData":{"id":1780,"type":"article-journal","abstract":"The prototypical xanthine oxidase (XO) inhibitor allopurinol, has been the cornerstone of the clinical management of gout and conditions associated with hyperuricemia for several decades. More recent data indicate that XO also plays an important role in various forms of ischemic and other types of tissue and vascular injuries, inflammatory diseases, and chronic heart failure. Allopurinol and its active metabolite oxypurinol showed considerable promise in the treatment of these conditions both in experimental animals and in small-scale human clinical trials. Although some of the beneficial effects of these compounds may be unrelated to the inhibition of the XO, the encouraging findings rekindled significant interest in the development of additional, novel series of XO inhibitors for various therapeutic indications. Here we present a critical overview of the effects of XO inhibitors in various pathophysiological conditions and also review the various emerging therapeutic strategies offered by this approach.","container-title":"Pharmacological Reviews","DOI":"10.1124/pr.58.1.6","ISSN":"0031-6997","issue":"1","journalAbbreviation":"Pharmacol. Rev.","language":"eng","note":"PMID: 16507884\nPMCID: PMC2233605","page":"87-114","source":"PubMed","title":"Therapeutic effects of xanthine oxidase inhibitors: renaissance half a century after the discovery of allopurinol","title-short":"Therapeutic effects of xanthine oxidase inhibitors","volume":"58","author":[{"family":"Pacher","given":"Pál"},{"family":"Nivorozhkin","given":"Alex"},{"family":"Szabó","given":"Csaba"}],"issued":{"date-parts":[["2006",3]]}}}],"schema":"https://github.com/citation-style-language/schema/raw/master/csl-citation.json"} </w:instrText>
      </w:r>
      <w:r w:rsidR="00314933"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[17]</w:t>
      </w:r>
      <w:r w:rsidR="00314933" w:rsidRPr="00FC0E00">
        <w:rPr>
          <w:rFonts w:ascii="Book Antiqua" w:hAnsi="Book Antiqua"/>
          <w:sz w:val="24"/>
          <w:szCs w:val="24"/>
        </w:rPr>
        <w:fldChar w:fldCharType="end"/>
      </w:r>
      <w:r w:rsidRPr="00FC0E00">
        <w:rPr>
          <w:rFonts w:ascii="Book Antiqua" w:hAnsi="Book Antiqua"/>
          <w:sz w:val="24"/>
          <w:szCs w:val="24"/>
        </w:rPr>
        <w:t xml:space="preserve"> with the highest levels being found in the </w:t>
      </w:r>
      <w:r w:rsidRPr="00FC0E00">
        <w:rPr>
          <w:rFonts w:ascii="Book Antiqua" w:hAnsi="Book Antiqua"/>
          <w:sz w:val="24"/>
          <w:szCs w:val="24"/>
        </w:rPr>
        <w:lastRenderedPageBreak/>
        <w:t>gut and the liver</w:t>
      </w:r>
      <w:r w:rsidR="0070186F" w:rsidRPr="00FC0E00">
        <w:rPr>
          <w:rFonts w:ascii="Book Antiqua" w:hAnsi="Book Antiqua"/>
          <w:sz w:val="24"/>
          <w:szCs w:val="24"/>
        </w:rPr>
        <w:fldChar w:fldCharType="begin"/>
      </w:r>
      <w:r w:rsidR="0070186F" w:rsidRPr="00FC0E00">
        <w:rPr>
          <w:rFonts w:ascii="Book Antiqua" w:hAnsi="Book Antiqua"/>
          <w:sz w:val="24"/>
          <w:szCs w:val="24"/>
        </w:rPr>
        <w:instrText xml:space="preserve"> ADDIN ZOTERO_ITEM CSL_CITATION {"citationID":"qtay6lVr","properties":{"formattedCitation":"\\super [18]\\nosupersub{}","plainCitation":"[18]","noteIndex":0},"citationItems":[{"id":1677,"uris":["http://zotero.org/users/5302874/items/SAMRP5JW"],"uri":["http://zotero.org/users/5302874/items/SAMRP5JW"],"itemData":{"id":1677,"type":"article-journal","container-title":"Acta Physiologica Scandinavica. Supplementum","ISSN":"0302-2994","journalAbbreviation":"Acta Physiol Scand Suppl","language":"eng","note":"PMID: 3529824","page":"87-99","source":"PubMed","title":"Xanthine oxidase: biochemistry, distribution and physiology","title-short":"Xanthine oxidase","volume":"548","author":[{"family":"Parks","given":"D. A."},{"family":"Granger","given":"D. N."}],"issued":{"date-parts":[["1986"]]}}}],"schema":"https://github.com/citation-style-language/schema/raw/master/csl-citation.json"} </w:instrText>
      </w:r>
      <w:r w:rsidR="0070186F" w:rsidRPr="00FC0E00">
        <w:rPr>
          <w:rFonts w:ascii="Book Antiqua" w:hAnsi="Book Antiqua"/>
          <w:sz w:val="24"/>
          <w:szCs w:val="24"/>
        </w:rPr>
        <w:fldChar w:fldCharType="separate"/>
      </w:r>
      <w:r w:rsidR="0070186F" w:rsidRPr="00FC0E00">
        <w:rPr>
          <w:rFonts w:ascii="Book Antiqua" w:hAnsi="Book Antiqua" w:cs="Times New Roman"/>
          <w:sz w:val="24"/>
          <w:szCs w:val="24"/>
          <w:vertAlign w:val="superscript"/>
        </w:rPr>
        <w:t>[18]</w:t>
      </w:r>
      <w:r w:rsidR="0070186F" w:rsidRPr="00FC0E00">
        <w:rPr>
          <w:rFonts w:ascii="Book Antiqua" w:hAnsi="Book Antiqua"/>
          <w:sz w:val="24"/>
          <w:szCs w:val="24"/>
        </w:rPr>
        <w:fldChar w:fldCharType="end"/>
      </w:r>
      <w:r w:rsidRPr="00FC0E00">
        <w:rPr>
          <w:rFonts w:ascii="Book Antiqua" w:hAnsi="Book Antiqua"/>
          <w:sz w:val="24"/>
          <w:szCs w:val="24"/>
        </w:rPr>
        <w:t>. A fully reduced XO contains six electrons and its re-oxidation involves electron transfer to oxygen molecules which generates two molecules each of the potent reactive oxygen species, hydrogen peroxide (H</w:t>
      </w:r>
      <w:r w:rsidRPr="00FC0E00">
        <w:rPr>
          <w:rFonts w:ascii="Book Antiqua" w:hAnsi="Book Antiqua"/>
          <w:sz w:val="24"/>
          <w:szCs w:val="24"/>
          <w:vertAlign w:val="subscript"/>
        </w:rPr>
        <w:t>2</w:t>
      </w:r>
      <w:r w:rsidRPr="00FC0E00">
        <w:rPr>
          <w:rFonts w:ascii="Book Antiqua" w:hAnsi="Book Antiqua"/>
          <w:sz w:val="24"/>
          <w:szCs w:val="24"/>
        </w:rPr>
        <w:t>O</w:t>
      </w:r>
      <w:r w:rsidRPr="00FC0E00">
        <w:rPr>
          <w:rFonts w:ascii="Book Antiqua" w:hAnsi="Book Antiqua"/>
          <w:sz w:val="24"/>
          <w:szCs w:val="24"/>
          <w:vertAlign w:val="subscript"/>
        </w:rPr>
        <w:t>2</w:t>
      </w:r>
      <w:r w:rsidRPr="0070186F">
        <w:rPr>
          <w:rFonts w:ascii="Book Antiqua" w:hAnsi="Book Antiqua"/>
          <w:sz w:val="24"/>
          <w:szCs w:val="24"/>
        </w:rPr>
        <w:t xml:space="preserve">) </w:t>
      </w:r>
      <w:r w:rsidRPr="00FC0E00">
        <w:rPr>
          <w:rFonts w:ascii="Book Antiqua" w:hAnsi="Book Antiqua"/>
          <w:sz w:val="24"/>
          <w:szCs w:val="24"/>
        </w:rPr>
        <w:t>and superoxide anion</w:t>
      </w:r>
      <w:r w:rsidR="0070186F" w:rsidRPr="0070186F">
        <w:rPr>
          <w:rFonts w:ascii="Book Antiqua" w:hAnsi="Book Antiqua"/>
          <w:sz w:val="24"/>
          <w:szCs w:val="24"/>
        </w:rPr>
        <w:t xml:space="preserve"> </w:t>
      </w:r>
      <w:r w:rsidRPr="00FC0E00">
        <w:rPr>
          <w:rFonts w:ascii="Book Antiqua" w:hAnsi="Book Antiqua"/>
          <w:sz w:val="24"/>
          <w:szCs w:val="24"/>
        </w:rPr>
        <w:t>(O</w:t>
      </w:r>
      <w:r w:rsidRPr="00FC0E00">
        <w:rPr>
          <w:rFonts w:ascii="Book Antiqua" w:hAnsi="Book Antiqua"/>
          <w:sz w:val="24"/>
          <w:szCs w:val="24"/>
          <w:vertAlign w:val="subscript"/>
        </w:rPr>
        <w:t>2</w:t>
      </w:r>
      <w:r w:rsidRPr="00FC0E00">
        <w:rPr>
          <w:rFonts w:ascii="Book Antiqua" w:hAnsi="Book Antiqua"/>
          <w:sz w:val="24"/>
          <w:szCs w:val="24"/>
          <w:vertAlign w:val="superscript"/>
        </w:rPr>
        <w:t>-</w:t>
      </w:r>
      <w:r w:rsidRPr="00FC0E00">
        <w:rPr>
          <w:rFonts w:ascii="Book Antiqua" w:hAnsi="Book Antiqua"/>
          <w:sz w:val="24"/>
          <w:szCs w:val="24"/>
        </w:rPr>
        <w:t>) species</w:t>
      </w:r>
      <w:r w:rsidR="00014623"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{"citationID":"AlQEXL1c","properties":{"formattedCitation":"\\super [19]\\nosupersub{}","plainCitation":"[19]","noteIndex":0},"citationItems":[{"id":1681,"uris":["http://zotero.org/users/5302874/items/6YGHX8JE"],"uri":["http://zotero.org/users/5302874/items/6YGHX8JE"],"itemData":{"id":1681,"type":"article-journal","abstract":"R Hille, V Massey","container-title":"Journal of Biological Chemistry","ISSN":"0021-9258, 1083-351X","issue":"17","journalAbbreviation":"J. Biol. Chem.","language":"en","note":"PMID: 6894924","page":"9090-9095","source":"www.jbc.org","title":"Studies on the oxidative half-reaction of xanthine oxidase.","volume":"256","author":[{"family":"Hille","given":"R."},{"family":"Massey","given":"V."}],"issued":{"date-parts":[["1981",9,10]]}}}],"schema":"https://github.com/citation-style-language/schema/raw/master/csl-citation.json"} </w:instrText>
      </w:r>
      <w:r w:rsidR="00014623"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[19]</w:t>
      </w:r>
      <w:r w:rsidR="00014623" w:rsidRPr="00FC0E00">
        <w:rPr>
          <w:rFonts w:ascii="Book Antiqua" w:hAnsi="Book Antiqua"/>
          <w:sz w:val="24"/>
          <w:szCs w:val="24"/>
        </w:rPr>
        <w:fldChar w:fldCharType="end"/>
      </w:r>
      <w:r w:rsidRPr="00FC0E00">
        <w:rPr>
          <w:rFonts w:ascii="Book Antiqua" w:hAnsi="Book Antiqua"/>
          <w:sz w:val="24"/>
          <w:szCs w:val="24"/>
        </w:rPr>
        <w:t xml:space="preserve"> for every fully reduced XO molecule, thereby generating significant oxidative stress each time a molecule of urate is formed. Superoxide anions then react with water and nitric oxide to generate further free radicals such as hydroxyl and </w:t>
      </w:r>
      <w:proofErr w:type="spellStart"/>
      <w:r w:rsidRPr="00FC0E00">
        <w:rPr>
          <w:rFonts w:ascii="Book Antiqua" w:hAnsi="Book Antiqua"/>
          <w:sz w:val="24"/>
          <w:szCs w:val="24"/>
        </w:rPr>
        <w:t>peroxynitrite</w:t>
      </w:r>
      <w:proofErr w:type="spellEnd"/>
      <w:r w:rsidRPr="00FC0E00">
        <w:rPr>
          <w:rFonts w:ascii="Book Antiqua" w:hAnsi="Book Antiqua"/>
          <w:sz w:val="24"/>
          <w:szCs w:val="24"/>
        </w:rPr>
        <w:t xml:space="preserve"> radicals.</w:t>
      </w:r>
    </w:p>
    <w:p w14:paraId="060EE2BA" w14:textId="0B03258E" w:rsidR="005A4555" w:rsidRPr="00FC0E00" w:rsidRDefault="00A96662" w:rsidP="00855E3E">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iCs/>
          <w:sz w:val="24"/>
          <w:szCs w:val="24"/>
          <w:shd w:val="clear" w:color="auto" w:fill="FFFFFF"/>
        </w:rPr>
        <w:t xml:space="preserve">There is evidence to support both the direct and indirect effects of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in NAFLD pathogenesis and progression. Previously, high levels of serum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had been regarded as beneficial, due to its ability to act as an antioxidant. However, once </w:t>
      </w:r>
      <w:r w:rsidR="0070186F" w:rsidRPr="00FC0E00">
        <w:rPr>
          <w:rFonts w:ascii="Book Antiqua" w:hAnsi="Book Antiqua"/>
          <w:sz w:val="24"/>
          <w:szCs w:val="24"/>
          <w:lang w:eastAsia="en-GB"/>
        </w:rPr>
        <w:t>UA</w:t>
      </w:r>
      <w:r w:rsidRPr="00FC0E00">
        <w:rPr>
          <w:rFonts w:ascii="Book Antiqua" w:hAnsi="Book Antiqua"/>
          <w:iCs/>
          <w:sz w:val="24"/>
          <w:szCs w:val="24"/>
          <w:shd w:val="clear" w:color="auto" w:fill="FFFFFF"/>
        </w:rPr>
        <w:t xml:space="preserve"> becomes intracellular it loses its favourable anti-oxidative properties and its action paradoxically; appears to be detrimental</w:t>
      </w:r>
      <w:r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{"citationID":"B59y9cYK","properties":{"formattedCitation":"\\super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[20]</w:t>
      </w:r>
      <w:r w:rsidRPr="00FC0E00">
        <w:rPr>
          <w:rFonts w:ascii="Book Antiqua" w:hAnsi="Book Antiqua"/>
          <w:iCs/>
          <w:sz w:val="24"/>
          <w:szCs w:val="24"/>
          <w:shd w:val="clear" w:color="auto" w:fill="FFFFFF"/>
        </w:rPr>
        <w:fldChar w:fldCharType="end"/>
      </w:r>
      <w:r w:rsidRPr="00FC0E00">
        <w:rPr>
          <w:rFonts w:ascii="Book Antiqua" w:hAnsi="Book Antiqua"/>
          <w:iCs/>
          <w:sz w:val="24"/>
          <w:szCs w:val="24"/>
          <w:shd w:val="clear" w:color="auto" w:fill="FFFFFF"/>
        </w:rPr>
        <w:t>.</w:t>
      </w:r>
    </w:p>
    <w:p w14:paraId="586736B7" w14:textId="77777777" w:rsidR="005A4555" w:rsidRPr="00FC0E00" w:rsidRDefault="005A4555" w:rsidP="00FC0E00">
      <w:pPr>
        <w:snapToGrid w:val="0"/>
        <w:spacing w:after="0" w:line="360" w:lineRule="auto"/>
        <w:jc w:val="both"/>
        <w:rPr>
          <w:rFonts w:ascii="Book Antiqua" w:hAnsi="Book Antiqua"/>
          <w:iCs/>
          <w:sz w:val="24"/>
          <w:szCs w:val="24"/>
          <w:shd w:val="clear" w:color="auto" w:fill="FFFFFF"/>
        </w:rPr>
      </w:pPr>
    </w:p>
    <w:p w14:paraId="5AE77C6F" w14:textId="20CDA5EB" w:rsidR="00A12913" w:rsidRPr="001D27BC" w:rsidRDefault="0070186F" w:rsidP="00FC0E00">
      <w:pPr>
        <w:snapToGrid w:val="0"/>
        <w:spacing w:after="0" w:line="360" w:lineRule="auto"/>
        <w:jc w:val="both"/>
        <w:rPr>
          <w:rFonts w:ascii="Book Antiqua" w:hAnsi="Book Antiqua"/>
          <w:b/>
          <w:bCs/>
          <w:i/>
          <w:iCs/>
          <w:sz w:val="24"/>
          <w:szCs w:val="24"/>
          <w:shd w:val="clear" w:color="auto" w:fill="FFFFFF"/>
        </w:rPr>
      </w:pPr>
      <w:r w:rsidRPr="001D27BC">
        <w:rPr>
          <w:rFonts w:ascii="Book Antiqua" w:hAnsi="Book Antiqua"/>
          <w:b/>
          <w:bCs/>
          <w:i/>
          <w:iCs/>
          <w:sz w:val="24"/>
          <w:szCs w:val="24"/>
          <w:lang w:eastAsia="en-GB"/>
        </w:rPr>
        <w:t>UA</w:t>
      </w:r>
      <w:r w:rsidR="00D424F4" w:rsidRPr="001D27BC">
        <w:rPr>
          <w:rFonts w:ascii="Book Antiqua" w:hAnsi="Book Antiqua"/>
          <w:b/>
          <w:bCs/>
          <w:i/>
          <w:iCs/>
          <w:sz w:val="24"/>
          <w:szCs w:val="24"/>
          <w:shd w:val="clear" w:color="auto" w:fill="FFFFFF"/>
        </w:rPr>
        <w:t xml:space="preserve"> and </w:t>
      </w:r>
      <w:r w:rsidR="001D27BC" w:rsidRPr="001D27BC">
        <w:rPr>
          <w:rFonts w:ascii="Book Antiqua" w:hAnsi="Book Antiqua"/>
          <w:b/>
          <w:bCs/>
          <w:i/>
          <w:iCs/>
          <w:sz w:val="24"/>
          <w:szCs w:val="24"/>
        </w:rPr>
        <w:t>NADPH oxidase subunit-4</w:t>
      </w:r>
    </w:p>
    <w:p w14:paraId="7D9D8FE1" w14:textId="1A138FC4" w:rsidR="00961068" w:rsidRPr="00FC0E00" w:rsidRDefault="00A12913" w:rsidP="00FC0E00">
      <w:pPr>
        <w:snapToGrid w:val="0"/>
        <w:spacing w:after="0" w:line="360" w:lineRule="auto"/>
        <w:jc w:val="both"/>
        <w:rPr>
          <w:rFonts w:ascii="Book Antiqua" w:hAnsi="Book Antiqua"/>
          <w:sz w:val="24"/>
          <w:szCs w:val="24"/>
        </w:rPr>
      </w:pPr>
      <w:r w:rsidRPr="00FC0E00">
        <w:rPr>
          <w:rFonts w:ascii="Book Antiqua" w:hAnsi="Book Antiqua"/>
          <w:iCs/>
          <w:sz w:val="24"/>
          <w:szCs w:val="24"/>
          <w:shd w:val="clear" w:color="auto" w:fill="FFFFFF"/>
        </w:rPr>
        <w:t>With regards to its</w:t>
      </w:r>
      <w:r w:rsidR="00961068" w:rsidRPr="00FC0E00">
        <w:rPr>
          <w:rFonts w:ascii="Book Antiqua" w:hAnsi="Book Antiqua"/>
          <w:iCs/>
          <w:sz w:val="24"/>
          <w:szCs w:val="24"/>
          <w:shd w:val="clear" w:color="auto" w:fill="FFFFFF"/>
        </w:rPr>
        <w:t xml:space="preserve"> direct effects</w:t>
      </w:r>
      <w:r w:rsidRPr="00FC0E00">
        <w:rPr>
          <w:rFonts w:ascii="Book Antiqua" w:hAnsi="Book Antiqua"/>
          <w:iCs/>
          <w:sz w:val="24"/>
          <w:szCs w:val="24"/>
          <w:shd w:val="clear" w:color="auto" w:fill="FFFFFF"/>
        </w:rPr>
        <w:t>,</w:t>
      </w:r>
      <w:r w:rsidR="00961068" w:rsidRPr="00FC0E00">
        <w:rPr>
          <w:rFonts w:ascii="Book Antiqua" w:hAnsi="Book Antiqua"/>
          <w:iCs/>
          <w:sz w:val="24"/>
          <w:szCs w:val="24"/>
          <w:shd w:val="clear" w:color="auto" w:fill="FFFFFF"/>
        </w:rPr>
        <w:t xml:space="preserve"> studies have shown that </w:t>
      </w:r>
      <w:r w:rsidR="0070186F" w:rsidRPr="00FC0E00">
        <w:rPr>
          <w:rFonts w:ascii="Book Antiqua" w:hAnsi="Book Antiqua"/>
          <w:sz w:val="24"/>
          <w:szCs w:val="24"/>
          <w:lang w:eastAsia="en-GB"/>
        </w:rPr>
        <w:t>UA</w:t>
      </w:r>
      <w:r w:rsidR="00961068" w:rsidRPr="00FC0E00">
        <w:rPr>
          <w:rFonts w:ascii="Book Antiqua" w:hAnsi="Book Antiqua"/>
          <w:iCs/>
          <w:sz w:val="24"/>
          <w:szCs w:val="24"/>
          <w:shd w:val="clear" w:color="auto" w:fill="FFFFFF"/>
        </w:rPr>
        <w:t xml:space="preserve"> can stimulate fat synthesis within hepatocytes</w:t>
      </w:r>
      <w:r w:rsidR="000C5948" w:rsidRPr="00FC0E00">
        <w:rPr>
          <w:rFonts w:ascii="Book Antiqua" w:hAnsi="Book Antiqua"/>
          <w:iCs/>
          <w:sz w:val="24"/>
          <w:szCs w:val="24"/>
          <w:shd w:val="clear" w:color="auto" w:fill="FFFFFF"/>
        </w:rPr>
        <w:fldChar w:fldCharType="begin" w:fldLock="1"/>
      </w:r>
      <w:r w:rsidR="00766D5D" w:rsidRPr="00FC0E00">
        <w:rPr>
          <w:rFonts w:ascii="Book Antiqua" w:hAnsi="Book Antiqua"/>
          <w:iCs/>
          <w:sz w:val="24"/>
          <w:szCs w:val="24"/>
          <w:shd w:val="clear" w:color="auto" w:fill="FFFFFF"/>
        </w:rPr>
        <w:instrText xml:space="preserve"> ADDIN ZOTERO_ITEM CSL_CITATION {"citationID":"AgReQmMF","properties":{"formattedCitation":"\\super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0C5948" w:rsidRPr="00FC0E00">
        <w:rPr>
          <w:rFonts w:ascii="Book Antiqua" w:hAnsi="Book Antiqua"/>
          <w:iCs/>
          <w:sz w:val="24"/>
          <w:szCs w:val="24"/>
          <w:shd w:val="clear" w:color="auto" w:fill="FFFFFF"/>
        </w:rPr>
        <w:fldChar w:fldCharType="separate"/>
      </w:r>
      <w:r w:rsidR="00766D5D" w:rsidRPr="00FC0E00">
        <w:rPr>
          <w:rFonts w:ascii="Book Antiqua" w:hAnsi="Book Antiqua" w:cs="Times New Roman"/>
          <w:sz w:val="24"/>
          <w:szCs w:val="24"/>
          <w:vertAlign w:val="superscript"/>
        </w:rPr>
        <w:t>[16]</w:t>
      </w:r>
      <w:r w:rsidR="000C5948" w:rsidRPr="00FC0E00">
        <w:rPr>
          <w:rFonts w:ascii="Book Antiqua" w:hAnsi="Book Antiqua"/>
          <w:iCs/>
          <w:sz w:val="24"/>
          <w:szCs w:val="24"/>
          <w:shd w:val="clear" w:color="auto" w:fill="FFFFFF"/>
        </w:rPr>
        <w:fldChar w:fldCharType="end"/>
      </w:r>
      <w:r w:rsidR="00961068" w:rsidRPr="00FC0E00">
        <w:rPr>
          <w:rFonts w:ascii="Book Antiqua" w:hAnsi="Book Antiqua"/>
          <w:iCs/>
          <w:sz w:val="24"/>
          <w:szCs w:val="24"/>
          <w:shd w:val="clear" w:color="auto" w:fill="FFFFFF"/>
        </w:rPr>
        <w:t xml:space="preserve">. </w:t>
      </w:r>
      <w:r w:rsidR="0070186F" w:rsidRPr="00FC0E00">
        <w:rPr>
          <w:rFonts w:ascii="Book Antiqua" w:hAnsi="Book Antiqua"/>
          <w:sz w:val="24"/>
          <w:szCs w:val="24"/>
          <w:lang w:eastAsia="en-GB"/>
        </w:rPr>
        <w:t>UA</w:t>
      </w:r>
      <w:r w:rsidR="00961068" w:rsidRPr="00FC0E00">
        <w:rPr>
          <w:rFonts w:ascii="Book Antiqua" w:hAnsi="Book Antiqua"/>
          <w:sz w:val="24"/>
          <w:szCs w:val="24"/>
        </w:rPr>
        <w:t xml:space="preserve"> promotes the translocation of the NADPH oxidase subunit </w:t>
      </w:r>
      <w:r w:rsidR="001F3B6B" w:rsidRPr="00FC0E00">
        <w:rPr>
          <w:rFonts w:ascii="Book Antiqua" w:hAnsi="Book Antiqua"/>
          <w:sz w:val="24"/>
          <w:szCs w:val="24"/>
        </w:rPr>
        <w:t>-4 (</w:t>
      </w:r>
      <w:r w:rsidR="00961068" w:rsidRPr="00FC0E00">
        <w:rPr>
          <w:rFonts w:ascii="Book Antiqua" w:hAnsi="Book Antiqua"/>
          <w:sz w:val="24"/>
          <w:szCs w:val="24"/>
        </w:rPr>
        <w:t>NOX4</w:t>
      </w:r>
      <w:r w:rsidR="001F3B6B" w:rsidRPr="00FC0E00">
        <w:rPr>
          <w:rFonts w:ascii="Book Antiqua" w:hAnsi="Book Antiqua"/>
          <w:sz w:val="24"/>
          <w:szCs w:val="24"/>
        </w:rPr>
        <w:t>)</w:t>
      </w:r>
      <w:r w:rsidR="00961068" w:rsidRPr="00FC0E00">
        <w:rPr>
          <w:rFonts w:ascii="Book Antiqua" w:hAnsi="Book Antiqua"/>
          <w:sz w:val="24"/>
          <w:szCs w:val="24"/>
        </w:rPr>
        <w:t xml:space="preserve"> into the mitochondria which increases superoxide generation. This increase in reactive oxygen species inhibits aconitase, an enzyme which catalyses the isomerisation of citrate to iso-citrate in the mitochondrial matrix during the TCA cycle. The inhi</w:t>
      </w:r>
      <w:r w:rsidR="00BE6A9E" w:rsidRPr="00FC0E00">
        <w:rPr>
          <w:rFonts w:ascii="Book Antiqua" w:hAnsi="Book Antiqua"/>
          <w:sz w:val="24"/>
          <w:szCs w:val="24"/>
        </w:rPr>
        <w:t xml:space="preserve">bition of aconitase leads to </w:t>
      </w:r>
      <w:r w:rsidR="00961068" w:rsidRPr="00FC0E00">
        <w:rPr>
          <w:rFonts w:ascii="Book Antiqua" w:hAnsi="Book Antiqua"/>
          <w:sz w:val="24"/>
          <w:szCs w:val="24"/>
        </w:rPr>
        <w:t>accumulation of citrate in the mitochondria. When this citrate is released into the cytosol, it activates the ATP sensitive enzyme ATP-citrate lyase through phosphorylation at SER</w:t>
      </w:r>
      <w:r w:rsidR="00961068" w:rsidRPr="00FC0E00">
        <w:rPr>
          <w:rFonts w:ascii="Book Antiqua" w:hAnsi="Book Antiqua"/>
          <w:sz w:val="24"/>
          <w:szCs w:val="24"/>
          <w:vertAlign w:val="superscript"/>
        </w:rPr>
        <w:t>455</w:t>
      </w:r>
      <w:r w:rsidR="00961068" w:rsidRPr="00FC0E00">
        <w:rPr>
          <w:rFonts w:ascii="Book Antiqua" w:hAnsi="Book Antiqua"/>
          <w:sz w:val="24"/>
          <w:szCs w:val="24"/>
        </w:rPr>
        <w:t xml:space="preserve">. This converts citrate to acetyl-CoA for </w:t>
      </w:r>
      <w:r w:rsidR="00961068" w:rsidRPr="00FC0E00">
        <w:rPr>
          <w:rFonts w:ascii="Book Antiqua" w:hAnsi="Book Antiqua"/>
          <w:i/>
          <w:sz w:val="24"/>
          <w:szCs w:val="24"/>
        </w:rPr>
        <w:t>de novo</w:t>
      </w:r>
      <w:r w:rsidR="00961068" w:rsidRPr="00FC0E00">
        <w:rPr>
          <w:rFonts w:ascii="Book Antiqua" w:hAnsi="Book Antiqua"/>
          <w:sz w:val="24"/>
          <w:szCs w:val="24"/>
        </w:rPr>
        <w:t xml:space="preserve"> lipogenesis through fatty acid synthase</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{"citationID":"b51NwUDB","properties":{"formattedCitation":"\\super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00163FB6" w:rsidRPr="00FC0E00">
        <w:rPr>
          <w:rFonts w:ascii="Book Antiqua" w:hAnsi="Book Antiqua"/>
          <w:sz w:val="24"/>
          <w:szCs w:val="24"/>
        </w:rPr>
        <w:t>.</w:t>
      </w:r>
      <w:r w:rsidR="00961068" w:rsidRPr="00FC0E00">
        <w:rPr>
          <w:rFonts w:ascii="Book Antiqua" w:hAnsi="Book Antiqua"/>
          <w:sz w:val="24"/>
          <w:szCs w:val="24"/>
        </w:rPr>
        <w:t xml:space="preserve"> </w:t>
      </w:r>
    </w:p>
    <w:p w14:paraId="74EF4C16" w14:textId="12C480AC" w:rsidR="005A4555" w:rsidRPr="00FC0E00" w:rsidRDefault="000C5948"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These observations have been supported by work which has shown that a </w:t>
      </w:r>
      <w:r w:rsidR="0070186F" w:rsidRPr="00FC0E00">
        <w:rPr>
          <w:rFonts w:ascii="Book Antiqua" w:hAnsi="Book Antiqua"/>
          <w:sz w:val="24"/>
          <w:szCs w:val="24"/>
          <w:lang w:eastAsia="en-GB"/>
        </w:rPr>
        <w:t>UA</w:t>
      </w:r>
      <w:r w:rsidRPr="00FC0E00">
        <w:rPr>
          <w:rFonts w:ascii="Book Antiqua" w:hAnsi="Book Antiqua"/>
          <w:sz w:val="24"/>
          <w:szCs w:val="24"/>
        </w:rPr>
        <w:t xml:space="preserve"> driven increase in mitochondrial oxidants could be prevented with pre-administration of </w:t>
      </w:r>
      <w:r w:rsidR="00FD23D3" w:rsidRPr="00FC0E00">
        <w:rPr>
          <w:rFonts w:ascii="Book Antiqua" w:hAnsi="Book Antiqua"/>
          <w:sz w:val="24"/>
          <w:szCs w:val="24"/>
        </w:rPr>
        <w:t xml:space="preserve">apocynin, </w:t>
      </w:r>
      <w:r w:rsidR="008521B7" w:rsidRPr="00FC0E00">
        <w:rPr>
          <w:rFonts w:ascii="Book Antiqua" w:hAnsi="Book Antiqua"/>
          <w:sz w:val="24"/>
          <w:szCs w:val="24"/>
        </w:rPr>
        <w:t>an antioxidant</w:t>
      </w:r>
      <w:r w:rsidR="00C75D2B" w:rsidRPr="00FC0E00">
        <w:rPr>
          <w:rFonts w:ascii="Book Antiqua" w:hAnsi="Book Antiqua"/>
          <w:sz w:val="24"/>
          <w:szCs w:val="24"/>
        </w:rPr>
        <w:t xml:space="preserve"> and NOX inhibitor</w:t>
      </w:r>
      <w:r w:rsidR="00914D41" w:rsidRPr="00FC0E00">
        <w:rPr>
          <w:rFonts w:ascii="Book Antiqua" w:hAnsi="Book Antiqua"/>
          <w:sz w:val="24"/>
          <w:szCs w:val="24"/>
        </w:rPr>
        <w:t xml:space="preserve"> or by silencing NOX4</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{"citationID":"2AWzxlgQ","properties":{"formattedCitation":"\\super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Pr="00FC0E00">
        <w:rPr>
          <w:rFonts w:ascii="Book Antiqua" w:hAnsi="Book Antiqua"/>
          <w:sz w:val="24"/>
          <w:szCs w:val="24"/>
        </w:rPr>
        <w:t>.Consistent with these proposed mechanisms the study has</w:t>
      </w:r>
      <w:r w:rsidR="00FD23D3" w:rsidRPr="00FC0E00">
        <w:rPr>
          <w:rFonts w:ascii="Book Antiqua" w:hAnsi="Book Antiqua"/>
          <w:sz w:val="24"/>
          <w:szCs w:val="24"/>
        </w:rPr>
        <w:t xml:space="preserve"> also</w:t>
      </w:r>
      <w:r w:rsidRPr="00FC0E00">
        <w:rPr>
          <w:rFonts w:ascii="Book Antiqua" w:hAnsi="Book Antiqua"/>
          <w:sz w:val="24"/>
          <w:szCs w:val="24"/>
        </w:rPr>
        <w:t xml:space="preserve"> shown in hepatocytes exposed to </w:t>
      </w:r>
      <w:r w:rsidR="0070186F" w:rsidRPr="00FC0E00">
        <w:rPr>
          <w:rFonts w:ascii="Book Antiqua" w:hAnsi="Book Antiqua"/>
          <w:sz w:val="24"/>
          <w:szCs w:val="24"/>
          <w:lang w:eastAsia="en-GB"/>
        </w:rPr>
        <w:t>UA</w:t>
      </w:r>
      <w:r w:rsidRPr="00FC0E00">
        <w:rPr>
          <w:rFonts w:ascii="Book Antiqua" w:hAnsi="Book Antiqua"/>
          <w:sz w:val="24"/>
          <w:szCs w:val="24"/>
        </w:rPr>
        <w:t>, there was a 77.</w:t>
      </w:r>
      <w:r w:rsidR="004E3A76" w:rsidRPr="00FC0E00">
        <w:rPr>
          <w:rFonts w:ascii="Book Antiqua" w:hAnsi="Book Antiqua"/>
          <w:sz w:val="24"/>
          <w:szCs w:val="24"/>
        </w:rPr>
        <w:t>4% reduction aconitase activity</w:t>
      </w:r>
      <w:r w:rsidR="00BD4DFC" w:rsidRPr="00FC0E00">
        <w:rPr>
          <w:rFonts w:ascii="Book Antiqua" w:hAnsi="Book Antiqua"/>
          <w:sz w:val="24"/>
          <w:szCs w:val="24"/>
        </w:rPr>
        <w:t xml:space="preserve"> </w:t>
      </w:r>
      <w:r w:rsidRPr="00FC0E00">
        <w:rPr>
          <w:rFonts w:ascii="Book Antiqua" w:hAnsi="Book Antiqua"/>
          <w:sz w:val="24"/>
          <w:szCs w:val="24"/>
        </w:rPr>
        <w:t>as well as a substantial accumulation of citrate in the cytosol of hepatocytes</w:t>
      </w:r>
      <w:r w:rsidR="00F02E85" w:rsidRPr="00FC0E00">
        <w:rPr>
          <w:rFonts w:ascii="Book Antiqua" w:hAnsi="Book Antiqua"/>
          <w:sz w:val="24"/>
          <w:szCs w:val="24"/>
        </w:rPr>
        <w:t xml:space="preserve"> when cells are exposed to </w:t>
      </w:r>
      <w:r w:rsidR="0070186F" w:rsidRPr="00FC0E00">
        <w:rPr>
          <w:rFonts w:ascii="Book Antiqua" w:hAnsi="Book Antiqua"/>
          <w:sz w:val="24"/>
          <w:szCs w:val="24"/>
          <w:lang w:eastAsia="en-GB"/>
        </w:rPr>
        <w:t>UA</w:t>
      </w:r>
      <w:r w:rsidR="00163FB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{"citationID":"wpj7l6vt","properties":{"formattedCitation":"\\super [20]\\nosupersub{}","plainCitation":"[20]","noteIndex":0},"citationItems":[{"id":1797,"uris":["http://zotero.org/users/5302874/items/5Y4CUYVN"],"uri":["http://zotero.org/users/5302874/items/5Y4CUYVN"],"itemData":{"id":1797,"type":"article-journal","abstract":"BACKGROUND: Uric acid is an independent risk factor in fructose-induced fatty liver, but whether it is a marker or a cause remains unknown.\nRESULTS: Hepatocytes exposed to uric acid developed mitochondrial dysfunction and increased de novo lipogenesis, and its blockade prevented fructose-induced lipogenesis.\nCONCLUSION: Rather than a consequence, uric acid induces fatty liver\nSIGNIFICANCE: Hyperuricemic people are more prone to develop fructose-induced fatty liver. Metabolic syndrome represents a collection of abnormalities that includes fatty liver, and it currently affects one-third of the United States population and has become a major health concern worldwide. Fructose intake, primarily from added sugars in soft drinks, can induce fatty liver in animals and is epidemiologically associated with nonalcoholic fatty liver disease in humans. Fructose is considered lipogenic due to its ability to generate triglycerides as a direct consequence of the metabolism of the fructose molecule. Here, we show that fructose also stimulates triglyceride synthesis via a purine-degrading pathway that is triggered from the rapid phosphorylation of fructose by fructokinase. Generated AMP enters into the purine degradation pathway through the activation of AMP deaminase resulting in uric acid production and the generation of mitochondrial oxidants. Mitochondrial oxidative stress results in the inhibition of aconitase in the Krebs cycle, resulting in the accumulation of citrate and the stimulation of ATP citrate lyase and fatty-acid synthase leading to de novo lipogeneis. These studies provide new insights into the pathogenesis of hepatic fat accumulation under normal and diseased states.","container-title":"The Journal of Biological Chemistry","DOI":"10.1074/jbc.M112.399899","ISSN":"1083-351X","issue":"48","journalAbbreviation":"J. Biol. Chem.","language":"eng","note":"PMID: 23035112\nPMCID: PMC3504786","page":"40732-40744","source":"PubMed","title":"Uric acid induces hepatic steatosis by generation of mitochondrial oxidative stress: potential role in fructose-dependent and -independent fatty liver","title-short":"Uric acid induces hepatic steatosis by generation of mitochondrial oxidative stress","volume":"287","author":[{"family":"Lanaspa","given":"Miguel A."},{"family":"Sanchez-Lozada","given":"Laura G."},{"family":"Choi","given":"Yea-Jin"},{"family":"Cicerchi","given":"Christina"},{"family":"Kanbay","given":"Mehmet"},{"family":"Roncal-Jimenez","given":"Carlos A."},{"family":"Ishimoto","given":"Takuji"},{"family":"Li","given":"Nanxing"},{"family":"Marek","given":"George"},{"family":"Duranay","given":"Murat"},{"family":"Schreiner","given":"George"},{"family":"Rodriguez-Iturbe","given":"Bernardo"},{"family":"Nakagawa","given":"Takahiko"},{"family":"Kang","given":"Duk-Hee"},{"family":"Sautin","given":"Yuri Y."},{"family":"Johnson","given":"Richard J."}],"issued":{"date-parts":[["2012",11,23]]}}}],"schema":"https://github.com/citation-style-language/schema/raw/master/csl-citation.json"} </w:instrText>
      </w:r>
      <w:r w:rsidR="00163FB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[20]</w:t>
      </w:r>
      <w:r w:rsidR="00163FB6" w:rsidRPr="00FC0E00">
        <w:rPr>
          <w:rFonts w:ascii="Book Antiqua" w:hAnsi="Book Antiqua"/>
          <w:sz w:val="24"/>
          <w:szCs w:val="24"/>
        </w:rPr>
        <w:fldChar w:fldCharType="end"/>
      </w:r>
      <w:r w:rsidR="00A779C4" w:rsidRPr="00FC0E00">
        <w:rPr>
          <w:rFonts w:ascii="Book Antiqua" w:hAnsi="Book Antiqua"/>
          <w:sz w:val="24"/>
          <w:szCs w:val="24"/>
        </w:rPr>
        <w:t>.</w:t>
      </w:r>
    </w:p>
    <w:p w14:paraId="25B3751A" w14:textId="77777777" w:rsidR="005A4555" w:rsidRPr="00FC0E00" w:rsidRDefault="005A4555" w:rsidP="00FC0E00">
      <w:pPr>
        <w:snapToGrid w:val="0"/>
        <w:spacing w:after="0" w:line="360" w:lineRule="auto"/>
        <w:jc w:val="both"/>
        <w:rPr>
          <w:rFonts w:ascii="Book Antiqua" w:hAnsi="Book Antiqua"/>
          <w:b/>
          <w:bCs/>
          <w:i/>
          <w:iCs/>
          <w:sz w:val="24"/>
          <w:szCs w:val="24"/>
        </w:rPr>
      </w:pPr>
    </w:p>
    <w:p w14:paraId="0BB612AB" w14:textId="1CAC382A" w:rsidR="00612A1F" w:rsidRPr="0070186F" w:rsidRDefault="0070186F" w:rsidP="00FC0E00">
      <w:pPr>
        <w:snapToGrid w:val="0"/>
        <w:spacing w:after="0" w:line="360" w:lineRule="auto"/>
        <w:jc w:val="both"/>
        <w:rPr>
          <w:rFonts w:ascii="Book Antiqua" w:hAnsi="Book Antiqua"/>
          <w:b/>
          <w:bCs/>
          <w:i/>
          <w:iCs/>
          <w:sz w:val="24"/>
          <w:szCs w:val="24"/>
        </w:rPr>
      </w:pPr>
      <w:r w:rsidRPr="0070186F">
        <w:rPr>
          <w:rFonts w:ascii="Book Antiqua" w:hAnsi="Book Antiqua"/>
          <w:b/>
          <w:bCs/>
          <w:i/>
          <w:iCs/>
          <w:sz w:val="24"/>
          <w:szCs w:val="24"/>
          <w:lang w:eastAsia="en-GB"/>
        </w:rPr>
        <w:t>UA</w:t>
      </w:r>
      <w:r w:rsidR="00FD23D3" w:rsidRPr="0070186F">
        <w:rPr>
          <w:rFonts w:ascii="Book Antiqua" w:hAnsi="Book Antiqua"/>
          <w:b/>
          <w:bCs/>
          <w:i/>
          <w:iCs/>
          <w:sz w:val="24"/>
          <w:szCs w:val="24"/>
        </w:rPr>
        <w:t xml:space="preserve"> and </w:t>
      </w:r>
      <w:r w:rsidR="001D27BC">
        <w:rPr>
          <w:rFonts w:ascii="Book Antiqua" w:hAnsi="Book Antiqua"/>
          <w:b/>
          <w:bCs/>
          <w:i/>
          <w:iCs/>
          <w:sz w:val="24"/>
          <w:szCs w:val="24"/>
        </w:rPr>
        <w:t>ER</w:t>
      </w:r>
      <w:r w:rsidR="00FD23D3" w:rsidRPr="0070186F">
        <w:rPr>
          <w:rFonts w:ascii="Book Antiqua" w:hAnsi="Book Antiqua"/>
          <w:b/>
          <w:bCs/>
          <w:i/>
          <w:iCs/>
          <w:sz w:val="24"/>
          <w:szCs w:val="24"/>
        </w:rPr>
        <w:t xml:space="preserve"> stress</w:t>
      </w:r>
    </w:p>
    <w:p w14:paraId="62F6D92D" w14:textId="6AC6E691" w:rsidR="007755A4" w:rsidRPr="00FC0E00" w:rsidRDefault="000C5948"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Research in both HepG2 cells and primary mouse hepatocytes has also described additional mechanisms in which </w:t>
      </w:r>
      <w:r w:rsidR="0070186F" w:rsidRPr="00FC0E00">
        <w:rPr>
          <w:rFonts w:ascii="Book Antiqua" w:hAnsi="Book Antiqua"/>
          <w:sz w:val="24"/>
          <w:szCs w:val="24"/>
          <w:lang w:eastAsia="en-GB"/>
        </w:rPr>
        <w:t>UA</w:t>
      </w:r>
      <w:r w:rsidRPr="00FC0E00">
        <w:rPr>
          <w:rFonts w:ascii="Book Antiqua" w:hAnsi="Book Antiqua"/>
          <w:sz w:val="24"/>
          <w:szCs w:val="24"/>
        </w:rPr>
        <w:t xml:space="preserve"> contributes to lipid accumulation in hepatocytes</w:t>
      </w:r>
      <w:r w:rsidR="00EC10D6"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{"citationID":"ERJ4zRZJ","properties":{"formattedCitation":"\\super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EC10D6"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EC10D6" w:rsidRPr="00FC0E00">
        <w:rPr>
          <w:rFonts w:ascii="Book Antiqua" w:hAnsi="Book Antiqua"/>
          <w:sz w:val="24"/>
          <w:szCs w:val="24"/>
        </w:rPr>
        <w:fldChar w:fldCharType="end"/>
      </w:r>
      <w:r w:rsidRPr="00FC0E00">
        <w:rPr>
          <w:rFonts w:ascii="Book Antiqua" w:hAnsi="Book Antiqua"/>
          <w:sz w:val="24"/>
          <w:szCs w:val="24"/>
        </w:rPr>
        <w:t>.</w:t>
      </w:r>
      <w:r w:rsidR="00612A1F" w:rsidRPr="00FC0E00">
        <w:rPr>
          <w:rFonts w:ascii="Book Antiqua" w:hAnsi="Book Antiqua"/>
          <w:sz w:val="24"/>
          <w:szCs w:val="24"/>
        </w:rPr>
        <w:t xml:space="preserve"> Reactive oxygen species produced by </w:t>
      </w:r>
      <w:r w:rsidR="0070186F" w:rsidRPr="00FC0E00">
        <w:rPr>
          <w:rFonts w:ascii="Book Antiqua" w:hAnsi="Book Antiqua"/>
          <w:sz w:val="24"/>
          <w:szCs w:val="24"/>
          <w:lang w:eastAsia="en-GB"/>
        </w:rPr>
        <w:t>UA</w:t>
      </w:r>
      <w:r w:rsidR="00612A1F" w:rsidRPr="00FC0E00">
        <w:rPr>
          <w:rFonts w:ascii="Book Antiqua" w:hAnsi="Book Antiqua"/>
          <w:sz w:val="24"/>
          <w:szCs w:val="24"/>
        </w:rPr>
        <w:t xml:space="preserve"> and cellular membrane NOX prompts a cascade of ER stress and release of lipogenic transcription factor SREBP-1c</w:t>
      </w:r>
      <w:r w:rsidR="00612A1F"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{"citationID":"VVQYdcHj","properties":{"formattedCitation":"\\super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612A1F"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612A1F" w:rsidRPr="00FC0E00">
        <w:rPr>
          <w:rFonts w:ascii="Book Antiqua" w:hAnsi="Book Antiqua"/>
          <w:sz w:val="24"/>
          <w:szCs w:val="24"/>
        </w:rPr>
        <w:fldChar w:fldCharType="end"/>
      </w:r>
      <w:r w:rsidR="00612A1F" w:rsidRPr="00FC0E00">
        <w:rPr>
          <w:rFonts w:ascii="Book Antiqua" w:hAnsi="Book Antiqua"/>
          <w:sz w:val="24"/>
          <w:szCs w:val="24"/>
        </w:rPr>
        <w:t xml:space="preserve">. </w:t>
      </w:r>
    </w:p>
    <w:p w14:paraId="32F66FE3" w14:textId="1788EFEC" w:rsidR="007755A4" w:rsidRPr="00FC0E00" w:rsidRDefault="00612A1F"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The ER has a key role in cellular function, responsible for the folding of proteins and synthesis of lipids. It is therefore highly sensitive to homeostatic changes and when under stress, misfolded and unfolded proteins accumulate and activate the unfolded protein response (UPR) signalling pathways in an attempt to counteract potentially harmful changes.</w:t>
      </w:r>
      <w:r w:rsidR="00605BE4" w:rsidRPr="00FC0E00">
        <w:rPr>
          <w:rFonts w:ascii="Book Antiqua" w:hAnsi="Book Antiqua"/>
          <w:sz w:val="24"/>
          <w:szCs w:val="24"/>
        </w:rPr>
        <w:t xml:space="preserve"> Studies have shown that UPR regulate the expression of lipogenic enzymes through inositol-requiring enzyme</w:t>
      </w:r>
      <w:r w:rsidR="00605BE4" w:rsidRPr="00FC0E00">
        <w:rPr>
          <w:rFonts w:ascii="Book Antiqua" w:hAnsi="Book Antiqua" w:cs="Arial"/>
          <w:sz w:val="24"/>
          <w:szCs w:val="24"/>
          <w:shd w:val="clear" w:color="auto" w:fill="FFFFFF"/>
        </w:rPr>
        <w:t xml:space="preserve"> </w:t>
      </w:r>
      <w:r w:rsidR="00605BE4" w:rsidRPr="00FC0E00">
        <w:rPr>
          <w:rFonts w:ascii="Book Antiqua" w:hAnsi="Book Antiqua"/>
          <w:sz w:val="24"/>
          <w:szCs w:val="24"/>
        </w:rPr>
        <w:t xml:space="preserve">1, an ER stress sensor, and </w:t>
      </w:r>
      <w:proofErr w:type="spellStart"/>
      <w:r w:rsidR="00605BE4" w:rsidRPr="00FC0E00">
        <w:rPr>
          <w:rFonts w:ascii="Book Antiqua" w:hAnsi="Book Antiqua"/>
          <w:sz w:val="24"/>
          <w:szCs w:val="24"/>
        </w:rPr>
        <w:t>xbox</w:t>
      </w:r>
      <w:proofErr w:type="spellEnd"/>
      <w:r w:rsidR="00605BE4" w:rsidRPr="00FC0E00">
        <w:rPr>
          <w:rFonts w:ascii="Book Antiqua" w:hAnsi="Book Antiqua"/>
          <w:sz w:val="24"/>
          <w:szCs w:val="24"/>
        </w:rPr>
        <w:t xml:space="preserve"> binding protein</w:t>
      </w:r>
      <w:r w:rsidR="001D27BC" w:rsidRPr="00FC0E00">
        <w:rPr>
          <w:rFonts w:ascii="Book Antiqua" w:hAnsi="Book Antiqua"/>
          <w:sz w:val="24"/>
          <w:szCs w:val="24"/>
        </w:rPr>
        <w:t xml:space="preserve"> </w:t>
      </w:r>
      <w:r w:rsidR="00605BE4" w:rsidRPr="00FC0E00">
        <w:rPr>
          <w:rFonts w:ascii="Book Antiqua" w:hAnsi="Book Antiqua"/>
          <w:sz w:val="24"/>
          <w:szCs w:val="24"/>
        </w:rPr>
        <w:t xml:space="preserve">1 a transcription factor important in </w:t>
      </w:r>
      <w:r w:rsidR="00CF7E45" w:rsidRPr="00FC0E00">
        <w:rPr>
          <w:rFonts w:ascii="Book Antiqua" w:hAnsi="Book Antiqua"/>
          <w:sz w:val="24"/>
          <w:szCs w:val="24"/>
        </w:rPr>
        <w:t xml:space="preserve">the </w:t>
      </w:r>
      <w:r w:rsidR="00605BE4" w:rsidRPr="00FC0E00">
        <w:rPr>
          <w:rFonts w:ascii="Book Antiqua" w:hAnsi="Book Antiqua"/>
          <w:sz w:val="24"/>
          <w:szCs w:val="24"/>
        </w:rPr>
        <w:t>cellular st</w:t>
      </w:r>
      <w:r w:rsidR="00CF7E45" w:rsidRPr="00FC0E00">
        <w:rPr>
          <w:rFonts w:ascii="Book Antiqua" w:hAnsi="Book Antiqua"/>
          <w:sz w:val="24"/>
          <w:szCs w:val="24"/>
        </w:rPr>
        <w:t>r</w:t>
      </w:r>
      <w:r w:rsidR="00605BE4" w:rsidRPr="00FC0E00">
        <w:rPr>
          <w:rFonts w:ascii="Book Antiqua" w:hAnsi="Book Antiqua"/>
          <w:sz w:val="24"/>
          <w:szCs w:val="24"/>
        </w:rPr>
        <w:t>ess response</w:t>
      </w:r>
      <w:r w:rsidR="001D27BC" w:rsidRPr="00FC0E00">
        <w:rPr>
          <w:rFonts w:ascii="Book Antiqua" w:hAnsi="Book Antiqua"/>
          <w:sz w:val="24"/>
          <w:szCs w:val="24"/>
        </w:rPr>
        <w:fldChar w:fldCharType="begin" w:fldLock="1"/>
      </w:r>
      <w:r w:rsidR="001D27BC" w:rsidRPr="00FC0E00">
        <w:rPr>
          <w:rFonts w:ascii="Book Antiqua" w:hAnsi="Book Antiqua"/>
          <w:sz w:val="24"/>
          <w:szCs w:val="24"/>
        </w:rPr>
        <w:instrText xml:space="preserve"> ADDIN ZOTERO_ITEM CSL_CITATION {"citationID":"A7Pd3I7T","properties":{"formattedCitation":"\\super [21]\\nosupersub{}","plainCitation":"[21]","noteIndex":0},"citationItems":[{"id":"TQNiiO7s/eUVvtOJ5","uris":["http://www.mendeley.com/documents/?uuid=81edf3ee-9d2b-3f54-b36d-e3838d533873"],"uri":["http://www.mendeley.com/documents/?uuid=81edf3ee-9d2b-3f54-b36d-e3838d533873"],"itemData":{"DOI":"10.1126/science.1158042","ISSN":"0036-8075","PMID":"18556558","abstract":"Dietary carbohydrates regulate hepatic lipogenesis by controlling the expression of critical enzymes in glycolytic and lipogenic pathways. We found that the transcription factor XBP1, a key regulator of the unfolded protein response, is required for the unrelated function of normal fatty acid synthesis in the liver. XBP1 protein expression in mice was elevated after feeding carbohydrates and corresponded with the induction of critical genes involved in fatty acid synthesis. Inducible, selective deletion of XBP1 in the liver resulted in marked hypocholesterolemia and hypotriglyceridemia, secondary to a decreased production of lipids from the liver. This phenotype was not accompanied by hepatic steatosis or compromise in protein secretory function. The identification of XBP1 as a regulator of lipogenesis has important implications for human dyslipidemias.","author":[{"dropping-particle":"","family":"Lee","given":"A.-H.","non-dropping-particle":"","parse-names":false,"suffix":""},{"dropping-particle":"","family":"Scapa","given":"E. F.","non-dropping-particle":"","parse-names":false,"suffix":""},{"dropping-particle":"","family":"Cohen","given":"D. E.","non-dropping-particle":"","parse-names":false,"suffix":""},{"dropping-particle":"","family":"Glimcher","given":"L. H.","non-dropping-particle":"","parse-names":false,"suffix":""}],"container-title":"Science","id":"ITEM-1","issue":"5882","issued":{"date-parts":[["2008","6","13"]]},"page":"1492-1496","title":"Regulation of Hepatic Lipogenesis by the Transcription Factor XBP1","type":"article-journal","volume":"320"}}],"schema":"https://github.com/citation-style-language/schema/raw/master/csl-citation.json"} </w:instrText>
      </w:r>
      <w:r w:rsidR="001D27BC" w:rsidRPr="00FC0E00">
        <w:rPr>
          <w:rFonts w:ascii="Book Antiqua" w:hAnsi="Book Antiqua"/>
          <w:sz w:val="24"/>
          <w:szCs w:val="24"/>
        </w:rPr>
        <w:fldChar w:fldCharType="separate"/>
      </w:r>
      <w:r w:rsidR="001D27BC" w:rsidRPr="00FC0E00">
        <w:rPr>
          <w:rFonts w:ascii="Book Antiqua" w:hAnsi="Book Antiqua" w:cs="Times New Roman"/>
          <w:sz w:val="24"/>
          <w:szCs w:val="24"/>
          <w:vertAlign w:val="superscript"/>
        </w:rPr>
        <w:t>[21]</w:t>
      </w:r>
      <w:r w:rsidR="001D27BC" w:rsidRPr="00FC0E00">
        <w:rPr>
          <w:rFonts w:ascii="Book Antiqua" w:hAnsi="Book Antiqua"/>
          <w:sz w:val="24"/>
          <w:szCs w:val="24"/>
        </w:rPr>
        <w:fldChar w:fldCharType="end"/>
      </w:r>
      <w:r w:rsidR="00605BE4" w:rsidRPr="00FC0E00">
        <w:rPr>
          <w:rFonts w:ascii="Book Antiqua" w:hAnsi="Book Antiqua"/>
          <w:sz w:val="24"/>
          <w:szCs w:val="24"/>
        </w:rPr>
        <w:t xml:space="preserve">. </w:t>
      </w:r>
      <w:r w:rsidR="007755A4" w:rsidRPr="00FC0E00">
        <w:rPr>
          <w:rFonts w:ascii="Book Antiqua" w:hAnsi="Book Antiqua"/>
          <w:sz w:val="24"/>
          <w:szCs w:val="24"/>
        </w:rPr>
        <w:t>Recent data has shown that UPR signalling and ER stress is involved in the regulation of hepatic lipid metabolism and NAFLD development</w:t>
      </w:r>
      <w:r w:rsidR="007755A4"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{"citationID":"LO4I0mpy","properties":{"formattedCitation":"\\super [22]\\nosupersub{}","plainCitation":"[22]","noteIndex":0},"citationItems":[{"id":1800,"uris":["http://zotero.org/users/5302874/items/IQR84T5W"],"uri":["http://zotero.org/users/5302874/items/IQR84T5W"],"itemData":{"id":1800,"type":"article-journal","abstract":"The underlying causes of nonalcoholic fatty liver disease are unclear, although recent evidence has implicated the endoplasmic reticulum in both the development of steatosis and progression to nonalcoholic steatohepatitis. Disruption of endoplasmic reticulum homeostasis, often termed ER stress, has been observed in liver and adipose tissue of humans with nonalcoholic fatty liver disease and/or obesity. Importantly, the signaling pathway activated by disruption of endoplasmic reticulum homeostasis, the unfolded protein response, has been linked to lipid and membrane biosynthesis, insulin action, inflammation, and apoptosis. Therefore, understanding the mechanisms that disrupt endoplasmic reticulum homeostasis in nonalcoholic fatty liver disease and the role of the unfolded protein response in the broader context of chronic, metabolic diseases have become topics of intense investigation. The present review examines the endoplasmic reticulum and the unfolded protein response in the context of nonalcoholic fatty liver disease.","container-title":"Annual Review of Nutrition","DOI":"10.1146/annurev-nutr-071811-150644","ISSN":"1545-4312","journalAbbreviation":"Annu. Rev. Nutr.","language":"eng","note":"PMID: 22809102","page":"17-33","source":"PubMed","title":"Endoplasmic reticulum stress in nonalcoholic fatty liver disease","volume":"32","author":[{"family":"Pagliassotti","given":"Michael J."}],"issued":{"date-parts":[["2012",8,21]]}}}],"schema":"https://github.com/citation-style-language/schema/raw/master/csl-citation.json"} </w:instrText>
      </w:r>
      <w:r w:rsidR="007755A4"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[22]</w:t>
      </w:r>
      <w:r w:rsidR="007755A4" w:rsidRPr="00FC0E00">
        <w:rPr>
          <w:rFonts w:ascii="Book Antiqua" w:hAnsi="Book Antiqua"/>
          <w:sz w:val="24"/>
          <w:szCs w:val="24"/>
        </w:rPr>
        <w:fldChar w:fldCharType="end"/>
      </w:r>
      <w:r w:rsidR="007755A4" w:rsidRPr="00FC0E00">
        <w:rPr>
          <w:rFonts w:ascii="Book Antiqua" w:hAnsi="Book Antiqua"/>
          <w:sz w:val="24"/>
          <w:szCs w:val="24"/>
        </w:rPr>
        <w:t xml:space="preserve">. </w:t>
      </w:r>
    </w:p>
    <w:p w14:paraId="332F1774" w14:textId="0499FFAD" w:rsidR="001F4989" w:rsidRPr="00FC0E00" w:rsidRDefault="00095D41"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The transcription factor SREBP-1 regulates the gene expression of lipogenic enzymes. Studies in both HepG2 cells and primary mouse hepatocytes show that </w:t>
      </w:r>
      <w:r w:rsidR="0070186F" w:rsidRPr="00FC0E00">
        <w:rPr>
          <w:rFonts w:ascii="Book Antiqua" w:hAnsi="Book Antiqua"/>
          <w:sz w:val="24"/>
          <w:szCs w:val="24"/>
          <w:lang w:eastAsia="en-GB"/>
        </w:rPr>
        <w:t>UA</w:t>
      </w:r>
      <w:r w:rsidRPr="00FC0E00">
        <w:rPr>
          <w:rFonts w:ascii="Book Antiqua" w:hAnsi="Book Antiqua"/>
          <w:sz w:val="24"/>
          <w:szCs w:val="24"/>
        </w:rPr>
        <w:t xml:space="preserve"> can increase the cleavage of SREBP-1 into its mature form and cause nuclear translocation. Choi </w:t>
      </w:r>
      <w:r w:rsidRPr="00FC0E00">
        <w:rPr>
          <w:rFonts w:ascii="Book Antiqua" w:hAnsi="Book Antiqua"/>
          <w:i/>
          <w:sz w:val="24"/>
          <w:szCs w:val="24"/>
        </w:rPr>
        <w:t>et al</w:t>
      </w:r>
      <w:r w:rsidRPr="00FC0E00">
        <w:rPr>
          <w:rFonts w:ascii="Book Antiqua" w:hAnsi="Book Antiqua"/>
          <w:sz w:val="24"/>
          <w:szCs w:val="24"/>
        </w:rPr>
        <w:t xml:space="preserve"> have shown an upregulation of SREBP-1 and lipogenic</w:t>
      </w:r>
      <w:r w:rsidR="00B62D5C" w:rsidRPr="00FC0E00">
        <w:rPr>
          <w:rFonts w:ascii="Book Antiqua" w:hAnsi="Book Antiqua"/>
          <w:sz w:val="24"/>
          <w:szCs w:val="24"/>
        </w:rPr>
        <w:t xml:space="preserve"> enzymes in these cell models when exposed</w:t>
      </w:r>
      <w:r w:rsidRPr="00FC0E00">
        <w:rPr>
          <w:rFonts w:ascii="Book Antiqua" w:hAnsi="Book Antiqua"/>
          <w:sz w:val="24"/>
          <w:szCs w:val="24"/>
        </w:rPr>
        <w:t xml:space="preserve"> to </w:t>
      </w:r>
      <w:r w:rsidR="0070186F" w:rsidRPr="00FC0E00">
        <w:rPr>
          <w:rFonts w:ascii="Book Antiqua" w:hAnsi="Book Antiqua"/>
          <w:sz w:val="24"/>
          <w:szCs w:val="24"/>
          <w:lang w:eastAsia="en-GB"/>
        </w:rPr>
        <w:t>UA</w:t>
      </w:r>
      <w:r w:rsidR="00B62D5C" w:rsidRPr="00FC0E00">
        <w:rPr>
          <w:rFonts w:ascii="Book Antiqua" w:hAnsi="Book Antiqua"/>
          <w:sz w:val="24"/>
          <w:szCs w:val="24"/>
        </w:rPr>
        <w:t xml:space="preserve"> </w:t>
      </w:r>
      <w:r w:rsidR="00BF47A7" w:rsidRPr="00FC0E00">
        <w:rPr>
          <w:rFonts w:ascii="Book Antiqua" w:hAnsi="Book Antiqua"/>
          <w:sz w:val="24"/>
          <w:szCs w:val="24"/>
        </w:rPr>
        <w:t xml:space="preserve">which subsequently promotes </w:t>
      </w:r>
      <w:r w:rsidR="00BF47A7" w:rsidRPr="00FC0E00">
        <w:rPr>
          <w:rFonts w:ascii="Book Antiqua" w:hAnsi="Book Antiqua"/>
          <w:i/>
          <w:sz w:val="24"/>
          <w:szCs w:val="24"/>
        </w:rPr>
        <w:t>de novo</w:t>
      </w:r>
      <w:r w:rsidR="00BF47A7" w:rsidRPr="00FC0E00">
        <w:rPr>
          <w:rFonts w:ascii="Book Antiqua" w:hAnsi="Book Antiqua"/>
          <w:sz w:val="24"/>
          <w:szCs w:val="24"/>
        </w:rPr>
        <w:t xml:space="preserve"> lipogenesis</w:t>
      </w:r>
      <w:r w:rsidR="00BF47A7" w:rsidRPr="00FC0E00">
        <w:rPr>
          <w:rFonts w:ascii="Book Antiqua" w:hAnsi="Book Antiqua"/>
          <w:sz w:val="24"/>
          <w:szCs w:val="24"/>
        </w:rPr>
        <w:fldChar w:fldCharType="begin" w:fldLock="1"/>
      </w:r>
      <w:r w:rsidR="00766D5D" w:rsidRPr="00FC0E00">
        <w:rPr>
          <w:rFonts w:ascii="Book Antiqua" w:hAnsi="Book Antiqua"/>
          <w:sz w:val="24"/>
          <w:szCs w:val="24"/>
        </w:rPr>
        <w:instrText xml:space="preserve"> ADDIN ZOTERO_ITEM CSL_CITATION {"citationID":"e04mzSs1","properties":{"formattedCitation":"\\super [16]\\nosupersub{}","plainCitation":"[16]","noteIndex":0},"citationItems":[{"id":1794,"uris":["http://zotero.org/users/5302874/items/N7M49ZMG"],"uri":["http://zotero.org/users/5302874/items/N7M49ZMG"],"itemData":{"id":1794,"type":"article-journal","abstract":"Non-alcoholic fatty liver disease (NAFLD) is currently one of the most common types of chronic liver injury. Elevated serum uric acid is a strong predictor of the development of fatty liver as well as metabolic syndrome. Here we demonstrate that uric acid induces triglyceride accumulation by SREBP-1c activation via induction of endoplasmic reticulum (ER) stress in hepatocytes. Uric acid-induced ER stress resulted in an increase of glucose-regulated protein (GRP78/94), splicing of the X-box-binding protein-1 (XBP-1), the phosphorylation of protein kinase RNA-like ER kinase (PERK), and eukaryotic translation initiation factor-2α (eIF-2α) in cultured hepatocytes. Uric acid promoted hepatic lipogenesis through overexpression of the lipogenic enzyme, acetyl-CoA carboxylase 1 (ACC1), fatty acid synthase (FAS), and stearoyl-CoA desaturase 1 (SCD1) via activation of SREBP-1c, which was blocked by probenecid, an organic anion transport blocker in HepG2 cells and primary hepatocytes. A blocker of ER stress, tauroursodeoxycholic acid (TUDCA), and an inhibitor of SREBP-1c, metformin, blocked hepatic fat accumulation, suggesting that uric acid promoted fat synthesis in hepatocytes via ER stress-induced activation of SREBP-1c. Uric acid-induced activation of NADPH oxidase preceded ER stress, which further induced mitochondrial ROS production in hepatocytes. These studies provide new insights into the mechanisms by which uric acid stimulates fat accumulation in the liver.","container-title":"Laboratory Investigation; a Journal of Technical Methods and Pathology","DOI":"10.1038/labinvest.2014.98","ISSN":"1530-0307","issue":"10","journalAbbreviation":"Lab. Invest.","language":"eng","note":"PMID: 25111690","page":"1114-1125","source":"PubMed","title":"Uric acid induces fat accumulation via generation of endoplasmic reticulum stress and SREBP-1c activation in hepatocytes","volume":"94","author":[{"family":"Choi","given":"Yea-Jin"},{"family":"Shin","given":"Hyun-Soo"},{"family":"Choi","given":"Hack Sun"},{"family":"Park","given":"Joo-Won"},{"family":"Jo","given":"Inho"},{"family":"Oh","given":"Eok-Soo"},{"family":"Lee","given":"Kang-Yo"},{"family":"Lee","given":"Byung-Hoon"},{"family":"Johnson","given":"Richard J."},{"family":"Kang","given":"Duk-Hee"}],"issued":{"date-parts":[["2014",10]]}}}],"schema":"https://github.com/citation-style-language/schema/raw/master/csl-citation.json"} </w:instrText>
      </w:r>
      <w:r w:rsidR="00BF47A7"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[16]</w:t>
      </w:r>
      <w:r w:rsidR="00BF47A7" w:rsidRPr="00FC0E00">
        <w:rPr>
          <w:rFonts w:ascii="Book Antiqua" w:hAnsi="Book Antiqua"/>
          <w:sz w:val="24"/>
          <w:szCs w:val="24"/>
        </w:rPr>
        <w:fldChar w:fldCharType="end"/>
      </w:r>
      <w:r w:rsidRPr="00FC0E00">
        <w:rPr>
          <w:rFonts w:ascii="Book Antiqua" w:hAnsi="Book Antiqua"/>
          <w:sz w:val="24"/>
          <w:szCs w:val="24"/>
        </w:rPr>
        <w:t xml:space="preserve">. </w:t>
      </w:r>
    </w:p>
    <w:p w14:paraId="0443F060" w14:textId="7B68F55E" w:rsidR="005A4555" w:rsidRPr="00FC0E00" w:rsidRDefault="00C511BC"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From this research it is fairly clear that i</w:t>
      </w:r>
      <w:r w:rsidR="000C5948" w:rsidRPr="00FC0E00">
        <w:rPr>
          <w:rFonts w:ascii="Book Antiqua" w:hAnsi="Book Antiqua"/>
          <w:sz w:val="24"/>
          <w:szCs w:val="24"/>
        </w:rPr>
        <w:t xml:space="preserve">n hepatocytes exposed to </w:t>
      </w:r>
      <w:r w:rsidR="0070186F" w:rsidRPr="00FC0E00">
        <w:rPr>
          <w:rFonts w:ascii="Book Antiqua" w:hAnsi="Book Antiqua"/>
          <w:sz w:val="24"/>
          <w:szCs w:val="24"/>
          <w:lang w:eastAsia="en-GB"/>
        </w:rPr>
        <w:t>UA</w:t>
      </w:r>
      <w:r w:rsidR="000C5948" w:rsidRPr="00FC0E00">
        <w:rPr>
          <w:rFonts w:ascii="Book Antiqua" w:hAnsi="Book Antiqua"/>
          <w:sz w:val="24"/>
          <w:szCs w:val="24"/>
        </w:rPr>
        <w:t xml:space="preserve"> there is a pathogenic overlap between oxidative and ER stress</w:t>
      </w:r>
      <w:r w:rsidRPr="00FC0E00">
        <w:rPr>
          <w:rFonts w:ascii="Book Antiqua" w:hAnsi="Book Antiqua"/>
          <w:sz w:val="24"/>
          <w:szCs w:val="24"/>
        </w:rPr>
        <w:t>. Both mechanisms cause</w:t>
      </w:r>
      <w:r w:rsidR="000C5948" w:rsidRPr="00FC0E00">
        <w:rPr>
          <w:rFonts w:ascii="Book Antiqua" w:hAnsi="Book Antiqua"/>
          <w:sz w:val="24"/>
          <w:szCs w:val="24"/>
        </w:rPr>
        <w:t xml:space="preserve"> an increase i</w:t>
      </w:r>
      <w:r w:rsidR="002035B0" w:rsidRPr="00FC0E00">
        <w:rPr>
          <w:rFonts w:ascii="Book Antiqua" w:hAnsi="Book Antiqua"/>
          <w:sz w:val="24"/>
          <w:szCs w:val="24"/>
        </w:rPr>
        <w:t xml:space="preserve">n expression of lipogenic </w:t>
      </w:r>
      <w:r w:rsidR="000C5948" w:rsidRPr="00FC0E00">
        <w:rPr>
          <w:rFonts w:ascii="Book Antiqua" w:hAnsi="Book Antiqua"/>
          <w:sz w:val="24"/>
          <w:szCs w:val="24"/>
        </w:rPr>
        <w:t>genes and hepatocellular lipogenesis.</w:t>
      </w:r>
      <w:r w:rsidRPr="00FC0E00">
        <w:rPr>
          <w:rFonts w:ascii="Book Antiqua" w:hAnsi="Book Antiqua"/>
          <w:sz w:val="24"/>
          <w:szCs w:val="24"/>
        </w:rPr>
        <w:t xml:space="preserve"> </w:t>
      </w:r>
    </w:p>
    <w:p w14:paraId="08331999" w14:textId="77777777" w:rsidR="005A4555" w:rsidRPr="00FC0E00" w:rsidRDefault="005A4555" w:rsidP="00FC0E00">
      <w:pPr>
        <w:snapToGrid w:val="0"/>
        <w:spacing w:after="0" w:line="360" w:lineRule="auto"/>
        <w:jc w:val="both"/>
        <w:rPr>
          <w:rFonts w:ascii="Book Antiqua" w:hAnsi="Book Antiqua"/>
          <w:b/>
          <w:bCs/>
          <w:i/>
          <w:iCs/>
          <w:sz w:val="24"/>
          <w:szCs w:val="24"/>
          <w:shd w:val="clear" w:color="auto" w:fill="FFFFFF"/>
        </w:rPr>
      </w:pPr>
    </w:p>
    <w:p w14:paraId="0F9624D7" w14:textId="07AB3DF7" w:rsidR="000C5948" w:rsidRPr="001D27BC" w:rsidRDefault="0070186F" w:rsidP="00FC0E00">
      <w:pPr>
        <w:snapToGrid w:val="0"/>
        <w:spacing w:after="0" w:line="360" w:lineRule="auto"/>
        <w:jc w:val="both"/>
        <w:rPr>
          <w:rFonts w:ascii="Book Antiqua" w:hAnsi="Book Antiqua"/>
          <w:b/>
          <w:bCs/>
          <w:i/>
          <w:iCs/>
          <w:sz w:val="24"/>
          <w:szCs w:val="24"/>
        </w:rPr>
      </w:pPr>
      <w:r w:rsidRPr="001D27BC">
        <w:rPr>
          <w:rFonts w:ascii="Book Antiqua" w:hAnsi="Book Antiqua"/>
          <w:b/>
          <w:bCs/>
          <w:i/>
          <w:iCs/>
          <w:sz w:val="24"/>
          <w:szCs w:val="24"/>
          <w:lang w:eastAsia="en-GB"/>
        </w:rPr>
        <w:t>UA</w:t>
      </w:r>
      <w:r w:rsidR="00D424F4" w:rsidRPr="001D27BC">
        <w:rPr>
          <w:rFonts w:ascii="Book Antiqua" w:hAnsi="Book Antiqua"/>
          <w:b/>
          <w:bCs/>
          <w:i/>
          <w:iCs/>
          <w:sz w:val="24"/>
          <w:szCs w:val="24"/>
          <w:shd w:val="clear" w:color="auto" w:fill="FFFFFF"/>
        </w:rPr>
        <w:t xml:space="preserve"> and inflammasome activation</w:t>
      </w:r>
    </w:p>
    <w:p w14:paraId="0E100C2C" w14:textId="22027066" w:rsidR="000C5948" w:rsidRPr="00FC0E00" w:rsidRDefault="005F724D" w:rsidP="00FC0E00">
      <w:pPr>
        <w:snapToGrid w:val="0"/>
        <w:spacing w:after="0" w:line="360" w:lineRule="auto"/>
        <w:jc w:val="both"/>
        <w:rPr>
          <w:rFonts w:ascii="Book Antiqua" w:hAnsi="Book Antiqua"/>
          <w:sz w:val="24"/>
          <w:szCs w:val="24"/>
        </w:rPr>
      </w:pPr>
      <w:r w:rsidRPr="00FC0E00">
        <w:rPr>
          <w:rFonts w:ascii="Book Antiqua" w:hAnsi="Book Antiqua"/>
          <w:sz w:val="24"/>
          <w:szCs w:val="24"/>
        </w:rPr>
        <w:t xml:space="preserve">Previous research has reported that </w:t>
      </w:r>
      <w:r w:rsidR="0070186F" w:rsidRPr="00FC0E00">
        <w:rPr>
          <w:rFonts w:ascii="Book Antiqua" w:hAnsi="Book Antiqua"/>
          <w:sz w:val="24"/>
          <w:szCs w:val="24"/>
          <w:lang w:eastAsia="en-GB"/>
        </w:rPr>
        <w:t>UA</w:t>
      </w:r>
      <w:r w:rsidRPr="00FC0E00">
        <w:rPr>
          <w:rFonts w:ascii="Book Antiqua" w:hAnsi="Book Antiqua"/>
          <w:sz w:val="24"/>
          <w:szCs w:val="24"/>
        </w:rPr>
        <w:t xml:space="preserve"> can activate the </w:t>
      </w:r>
      <w:r w:rsidRPr="00FC0E00">
        <w:rPr>
          <w:rFonts w:ascii="Book Antiqua" w:hAnsi="Book Antiqua" w:cs="AdvGulliv-R"/>
          <w:sz w:val="24"/>
          <w:szCs w:val="24"/>
        </w:rPr>
        <w:t>NOD-like receptor family pyrin domain containing 3 (NLRP3)</w:t>
      </w:r>
      <w:r w:rsidRPr="00FC0E00">
        <w:rPr>
          <w:rFonts w:ascii="Book Antiqua" w:hAnsi="Book Antiqua"/>
          <w:sz w:val="24"/>
          <w:szCs w:val="24"/>
        </w:rPr>
        <w:t xml:space="preserve"> inflammasome</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{"citationID":"n0FNGrCo","properties":{"formattedCitation":"\\super [23]\\nosupersub{}","plainCitation":"[23]","noteIndex":0},"citationItems":[{"id":"TQNiiO7s/gJKRP0nY","uris":["http://www.mendeley.com/documents/?uuid=549a7387-2f51-3a75-b8e2-9f3457fa6302"],"uri":["http://www.mendeley.com/documents/?uuid=549a7387-2f51-3a75-b8e2-9f3457fa6302"],"itemData":{"DOI":"10.1038/nature10759","ISSN":"0028-0836","PMID":"22258606","abstract":"Inflammasomes are a group of protein complexes built around several proteins, including NLRP3, NLRC4, AIM2 and NLRP6. Recognition of a diverse range of microbial, stress and damage signals by inflammasomes results in direct activation of caspase-1, which subsequently induces secretion of potent pro-inflammatory cytokines and a form of cell death called pyroptosis. Inflammasome-mediated processes are important during microbial infections and also in regulating both metabolic processes and mucosal immune responses. We review the functions of the different inflammasome complexes and discuss how aberrations in them are implicated in the pathogenesis of human diseases.","author":[{"dropping-particle":"","family":"Strowig","given":"Till","non-dropping-particle":"","parse-names":false,"suffix":""},{"dropping-particle":"","family":"Henao-Mejia","given":"Jorge","non-dropping-particle":"","parse-names":false,"suffix":""},{"dropping-particle":"","family":"Elinav","given":"Eran","non-dropping-particle":"","parse-names":false,"suffix":""},{"dropping-particle":"","family":"Flavell","given":"Richard","non-dropping-particle":"","parse-names":false,"suffix":""}],"container-title":"Nature","id":"ITEM-1","issue":"7381","issued":{"date-parts":[["2012","1","18"]]},"page":"278-286","title":"Inflammasomes in health and disease","type":"article-journal","volume":"481"}}],"schema":"https://github.com/citation-style-language/schema/raw/master/csl-citation.json"}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[23]</w:t>
      </w:r>
      <w:r w:rsidRPr="00FC0E00">
        <w:rPr>
          <w:rFonts w:ascii="Book Antiqua" w:hAnsi="Book Antiqua"/>
          <w:sz w:val="24"/>
          <w:szCs w:val="24"/>
        </w:rPr>
        <w:fldChar w:fldCharType="end"/>
      </w:r>
      <w:r w:rsidR="0038283D" w:rsidRPr="00FC0E00">
        <w:rPr>
          <w:rFonts w:ascii="Book Antiqua" w:hAnsi="Book Antiqua"/>
          <w:sz w:val="24"/>
          <w:szCs w:val="24"/>
        </w:rPr>
        <w:t>.</w:t>
      </w:r>
      <w:r w:rsidRPr="00FC0E00">
        <w:rPr>
          <w:rFonts w:ascii="Book Antiqua" w:hAnsi="Book Antiqua"/>
          <w:sz w:val="24"/>
          <w:szCs w:val="24"/>
        </w:rPr>
        <w:t xml:space="preserve"> This is an </w:t>
      </w:r>
      <w:r w:rsidRPr="00FC0E00">
        <w:rPr>
          <w:rFonts w:ascii="Book Antiqua" w:hAnsi="Book Antiqua"/>
          <w:sz w:val="24"/>
          <w:szCs w:val="24"/>
        </w:rPr>
        <w:lastRenderedPageBreak/>
        <w:t>intracellular multiprotein complex which has the ability to identify pathogenic or harmful molecular signals</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{"citationID":"sWholxip","properties":{"formattedCitation":"\\super [8]\\nosupersub{}","plainCitation":"[8]","noteIndex":0},"citationItems":[{"id":"TQNiiO7s/EE5Mx0c2","uris":["http://www.mendeley.com/documents/?uuid=e8badb9c-bdcf-3d49-aba3-e9b56050dbd0"],"uri":["http://www.mendeley.com/documents/?uuid=e8badb9c-bdcf-3d49-aba3-e9b56050dbd0"],"itemData":{"DOI":"10.1073/pnas.1012743108","ISSN":"0027-8424","PMID":"21245324","abstract":"Uric acid (UA) is known to activate the NLRP3 (Nacht, leucine-rich repeat and pyrin domain containing protein 3) inflammasome. When activated, the NLRP3 (also known as NALP3) inflammasome leads to the production of IL-18 and IL-1β. In this cohort of subjects with knee osteoarthritis (OA), synovial fluid uric acid was strongly correlated with synovial fluid IL-18 and IL-1β. Synovial fluid uric acid and IL-18 were strongly and positively associated with OA severity as measured by both radiograph and bone scintigraphy, and synovial fluid IL-1β was associated with OA severity but only by radiograph. Furthermore, synovial fluid IL-18 was associated with a 3-y change in OA severity, on the basis of the radiograph. We conclude that synovial fluid uric acid is a marker of knee OA severity. The correlation of synovial fluid uric acid with the two cytokines (IL-18 and IL-1β) known to be produced by uric acid-activated inflammasomes and the association of synovial fluid IL-18 with OA progression, lend strong support to the potential involvement of the innate immune system in OA pathology and OA progression.","author":[{"dropping-particle":"","family":"Denoble","given":"Anna E.","non-dropping-particle":"","parse-names":false,"suffix":""},{"dropping-particle":"","family":"Huffman","given":"Kim M.","non-dropping-particle":"","parse-names":false,"suffix":""},{"dropping-particle":"V.","family":"Stabler","given":"Thomas","non-dropping-particle":"","parse-names":false,"suffix":""},{"dropping-particle":"","family":"Kelly","given":"Susan J.","non-dropping-particle":"","parse-names":false,"suffix":""},{"dropping-particle":"","family":"Hershfield","given":"Michael S.","non-dropping-particle":"","parse-names":false,"suffix":""},{"dropping-particle":"","family":"McDaniel","given":"Gary E.","non-dropping-particle":"","parse-names":false,"suffix":""},{"dropping-particle":"","family":"Coleman","given":"R. Edward","non-dropping-particle":"","parse-names":false,"suffix":""},{"dropping-particle":"","family":"Kraus","given":"Virginia B.","non-dropping-particle":"","parse-names":false,"suffix":""}],"container-title":"Proceedings of the National Academy of Sciences","id":"ITEM-1","issue":"5","issued":{"date-parts":[["2011","2","1"]]},"page":"2088-2093","title":"Uric acid is a danger signal of increasing risk for osteoarthritis through inflammasome activation","type":"article-journal","volume":"108"}}],"schema":"https://github.com/citation-style-language/schema/raw/master/csl-citation.json"}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[8]</w:t>
      </w:r>
      <w:r w:rsidRPr="00FC0E00">
        <w:rPr>
          <w:rFonts w:ascii="Book Antiqua" w:hAnsi="Book Antiqua"/>
          <w:sz w:val="24"/>
          <w:szCs w:val="24"/>
        </w:rPr>
        <w:fldChar w:fldCharType="end"/>
      </w:r>
      <w:r w:rsidRPr="00FC0E00">
        <w:rPr>
          <w:rFonts w:ascii="Book Antiqua" w:hAnsi="Book Antiqua"/>
          <w:sz w:val="24"/>
          <w:szCs w:val="24"/>
        </w:rPr>
        <w:t xml:space="preserve"> Activation of NLRP3 has been shown to stimulate caspase-1 to cleave pro-</w:t>
      </w:r>
      <w:r w:rsidR="001D27BC" w:rsidRPr="001D27BC">
        <w:rPr>
          <w:rFonts w:ascii="Book Antiqua" w:hAnsi="Book Antiqua"/>
          <w:sz w:val="24"/>
          <w:szCs w:val="24"/>
        </w:rPr>
        <w:t xml:space="preserve">interleukin </w:t>
      </w:r>
      <w:r w:rsidR="001D27BC">
        <w:rPr>
          <w:rFonts w:ascii="Book Antiqua" w:hAnsi="Book Antiqua"/>
          <w:sz w:val="24"/>
          <w:szCs w:val="24"/>
        </w:rPr>
        <w:t>(</w:t>
      </w:r>
      <w:r w:rsidRPr="00FC0E00">
        <w:rPr>
          <w:rFonts w:ascii="Book Antiqua" w:hAnsi="Book Antiqua"/>
          <w:sz w:val="24"/>
          <w:szCs w:val="24"/>
        </w:rPr>
        <w:t>IL</w:t>
      </w:r>
      <w:r w:rsidR="001D27BC">
        <w:rPr>
          <w:rFonts w:ascii="Book Antiqua" w:hAnsi="Book Antiqua"/>
          <w:sz w:val="24"/>
          <w:szCs w:val="24"/>
        </w:rPr>
        <w:t>)</w:t>
      </w:r>
      <w:r w:rsidRPr="00FC0E00">
        <w:rPr>
          <w:rFonts w:ascii="Book Antiqua" w:hAnsi="Book Antiqua"/>
          <w:sz w:val="24"/>
          <w:szCs w:val="24"/>
        </w:rPr>
        <w:t xml:space="preserve">-1b and pro-IL-18 into mature forms which causes their release from the cell. Although the specific pathogenic mechanisms underlying </w:t>
      </w:r>
      <w:r w:rsidR="0070186F" w:rsidRPr="00FC0E00">
        <w:rPr>
          <w:rFonts w:ascii="Book Antiqua" w:hAnsi="Book Antiqua"/>
          <w:sz w:val="24"/>
          <w:szCs w:val="24"/>
          <w:lang w:eastAsia="en-GB"/>
        </w:rPr>
        <w:t>UA</w:t>
      </w:r>
      <w:r w:rsidRPr="00FC0E00">
        <w:rPr>
          <w:rFonts w:ascii="Book Antiqua" w:hAnsi="Book Antiqua"/>
          <w:sz w:val="24"/>
          <w:szCs w:val="24"/>
        </w:rPr>
        <w:t xml:space="preserve"> activation of the NLRP3 inflammasome and related hepatic steatosis are unknown, it is clear from the studies in both mice hepatocytes and cultured cell lines there is an association</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{"citationID":"6Lr8ztch","properties":{"formattedCitation":"\\super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001D27BC">
        <w:rPr>
          <w:rFonts w:ascii="Book Antiqua" w:hAnsi="Book Antiqua"/>
          <w:sz w:val="24"/>
          <w:szCs w:val="24"/>
        </w:rPr>
        <w:t>.</w:t>
      </w:r>
    </w:p>
    <w:p w14:paraId="2775B77F" w14:textId="22F25250" w:rsidR="00BC1A13" w:rsidRPr="00FC0E00" w:rsidRDefault="005F724D" w:rsidP="00855E3E">
      <w:pPr>
        <w:autoSpaceDE w:val="0"/>
        <w:autoSpaceDN w:val="0"/>
        <w:adjustRightInd w:val="0"/>
        <w:snapToGrid w:val="0"/>
        <w:spacing w:after="0" w:line="360" w:lineRule="auto"/>
        <w:ind w:firstLineChars="100" w:firstLine="240"/>
        <w:jc w:val="both"/>
        <w:rPr>
          <w:rFonts w:ascii="Book Antiqua" w:hAnsi="Book Antiqua" w:cs="AdvGulliv-R"/>
          <w:sz w:val="24"/>
          <w:szCs w:val="24"/>
        </w:rPr>
      </w:pPr>
      <w:r w:rsidRPr="00FC0E00">
        <w:rPr>
          <w:rFonts w:ascii="Book Antiqua" w:hAnsi="Book Antiqua" w:cs="AdvGulliv-R"/>
          <w:sz w:val="24"/>
          <w:szCs w:val="24"/>
        </w:rPr>
        <w:t>Research in mice fed a ‘hyperuricemia-inducing’ diet for eight weeks showed there was a significant increase in hepatic mRNA expression of NLPR3, caspase-1, IL-1b and IL-18. The same mice models had elevated levels of serum IL-1</w:t>
      </w:r>
      <w:r w:rsidRPr="00FC0E00">
        <w:rPr>
          <w:rFonts w:ascii="Book Antiqua" w:hAnsi="Book Antiqua" w:cs="AdvPSMP13"/>
          <w:sz w:val="24"/>
          <w:szCs w:val="24"/>
        </w:rPr>
        <w:t xml:space="preserve">b </w:t>
      </w:r>
      <w:r w:rsidRPr="00FC0E00">
        <w:rPr>
          <w:rFonts w:ascii="Book Antiqua" w:hAnsi="Book Antiqua" w:cs="AdvGulliv-R"/>
          <w:sz w:val="24"/>
          <w:szCs w:val="24"/>
        </w:rPr>
        <w:t>and IL-18 as well as increased protein expression of IL-1</w:t>
      </w:r>
      <w:r w:rsidRPr="00FC0E00">
        <w:rPr>
          <w:rFonts w:ascii="Book Antiqua" w:hAnsi="Book Antiqua" w:cs="AdvPSMP13"/>
          <w:sz w:val="24"/>
          <w:szCs w:val="24"/>
        </w:rPr>
        <w:t>b,</w:t>
      </w:r>
      <w:r w:rsidRPr="00FC0E00">
        <w:rPr>
          <w:rFonts w:ascii="Book Antiqua" w:hAnsi="Book Antiqua" w:cs="AdvGulliv-R"/>
          <w:sz w:val="24"/>
          <w:szCs w:val="24"/>
        </w:rPr>
        <w:t xml:space="preserve"> IL-18, caspase-1 and NLPR3. Studies have also revealed elevated le</w:t>
      </w:r>
      <w:r w:rsidR="00FB50B6" w:rsidRPr="00FC0E00">
        <w:rPr>
          <w:rFonts w:ascii="Book Antiqua" w:hAnsi="Book Antiqua" w:cs="AdvGulliv-R"/>
          <w:sz w:val="24"/>
          <w:szCs w:val="24"/>
        </w:rPr>
        <w:t>vels of NLRP3 expression and it</w:t>
      </w:r>
      <w:r w:rsidRPr="00FC0E00">
        <w:rPr>
          <w:rFonts w:ascii="Book Antiqua" w:hAnsi="Book Antiqua" w:cs="AdvGulliv-R"/>
          <w:sz w:val="24"/>
          <w:szCs w:val="24"/>
        </w:rPr>
        <w:t>s components in humans with NASH</w:t>
      </w:r>
      <w:r w:rsidRPr="00FC0E00">
        <w:rPr>
          <w:rFonts w:ascii="Book Antiqua" w:hAnsi="Book Antiqua" w:cs="AdvGulliv-R"/>
          <w:sz w:val="24"/>
          <w:szCs w:val="24"/>
        </w:rPr>
        <w:fldChar w:fldCharType="begin" w:fldLock="1"/>
      </w:r>
      <w:r w:rsidR="009623D2" w:rsidRPr="00FC0E00">
        <w:rPr>
          <w:rFonts w:ascii="Book Antiqua" w:hAnsi="Book Antiqua" w:cs="AdvGulliv-R"/>
          <w:sz w:val="24"/>
          <w:szCs w:val="24"/>
        </w:rPr>
        <w:instrText xml:space="preserve"> ADDIN ZOTERO_ITEM CSL_CITATION {"citationID":"FtoXKFpT","properties":{"formattedCitation":"\\super [25]\\nosupersub{}","plainCitation":"[25]","noteIndex":0},"citationItems":[{"id":"TQNiiO7s/rnC6kzfl","uris":["http://www.mendeley.com/documents/?uuid=02826276-a8d5-349b-a2c2-69d8819a6e6b"],"uri":["http://www.mendeley.com/documents/?uuid=02826276-a8d5-349b-a2c2-69d8819a6e6b"],"itemData":{"DOI":"10.1007/s00109-014-1170-1","ISSN":"0946-2716","PMID":"24861026","abstract":"NLR inflammasomes, caspase 1 activation platforms critical for processing key pro-inflammatory cytokines, have been implicated in the development of nonalcoholic fatty liver disease (NAFLD). As the direct role of the NLRP3 inflammasome remains unclear, we tested effects of persistent NLRP3 activation as a contributor to NAFLD development and, in particular, as a modulator of progression from benign hepatic steatosis to steatohepatitis during diet-induced NAFLD. Gain of function tamoxifen-inducible Nlrp3 knock-in mice allowing for in vivo temporal control of NLRP3 activation and loss of function Nlrp3 knockout mice were placed on short-term choline-deficient amino acid-defined (CDAA) diet, to induce isolated hepatic steatosis or long-term CDAA exposure, to induce severe steatohepatitis and fibrosis, respectively. Expression of NLRP3 associated proteins was assessed in liver biopsies of a well-characterized group of patients with the full spectrum of NAFLD. Nlrp3(-/-) mice were protected from long-term feeding CDAA-induced hepatomegaly, liver injury, and infiltration of activated macrophages. More importantly, Nlrp3(-/-) mice showed marked protection from CDAA-induced liver fibrosis. After 4 weeks on CDAA diet, wild-type (WT) animals showed isolated hepatic steatosis while Nlrp3 knock-in mice showed severe liver inflammation, with increased infiltration of activated macrophages and early signs of liver fibrosis. In the liver samples of patients with NAFLD, inflammasome components were significantly increased in those patients with nonalcoholic steatohepatitis (NASH) when compared to those with non-NASH NAFLD with mRNA levels of pro-IL1 beta correlated to levels of COL1A1. Our study uncovers a crucial role for the NLRP3 inflammasome in the development of NAFLD. These findings may lead to novel therapeutic strategies aimed at halting the progression of hepatic steatosis to the more severe forms of this disease. Key message: Mice with NLRP3 inflammasome loss of function are protected from diet-induced steatohepatitis. NLRP3 inflammasome gain of function leads to early and severe onset of diet-induced steatohepatitis in mice. Patients with severe NAFLD exhibit increased levels of NLRP3 inflammasome components and levels of pro-IL1β mRNA correlate with the expression of COL1A1.","author":[{"dropping-particle":"","family":"Wree","given":"Alexander","non-dropping-particle":"","parse-names":false,"suffix":""},{"dropping-particle":"","family":"McGeough","given":"Matthew D.","non-dropping-particle":"","parse-names":false,"suffix":""},{"dropping-particle":"","family":"Peña","given":"Carla A.","non-dropping-particle":"","parse-names":false,"suffix":""},{"dropping-particle":"","family":"Schlattjan","given":"Martin","non-dropping-particle":"","parse-names":false,"suffix":""},{"dropping-particle":"","family":"Li","given":"Hongying","non-dropping-particle":"","parse-names":false,"suffix":""},{"dropping-particle":"","family":"Inzaugarat","given":"Maria Eugenia","non-dropping-particle":"","parse-names":false,"suffix":""},{"dropping-particle":"","family":"Messer","given":"Karen","non-dropping-particle":"","parse-names":false,"suffix":""},{"dropping-particle":"","family":"Canbay","given":"Ali","non-dropping-particle":"","parse-names":false,"suffix":""},{"dropping-particle":"","family":"Hoffman","given":"Hal M.","non-dropping-particle":"","parse-names":false,"suffix":""},{"dropping-particle":"","family":"Feldstein","given":"Ariel E.","non-dropping-particle":"","parse-names":false,"suffix":""}],"container-title":"Journal of Molecular Medicine","id":"ITEM-1","issue":"10","issued":{"date-parts":[["2014","10","28"]]},"page":"1069-1082","title":"NLRP3 inflammasome activation is required for fibrosis development in NAFLD","type":"article-journal","volume":"92"}}],"schema":"https://github.com/citation-style-language/schema/raw/master/csl-citation.json"} </w:instrText>
      </w:r>
      <w:r w:rsidRPr="00FC0E00">
        <w:rPr>
          <w:rFonts w:ascii="Book Antiqua" w:hAnsi="Book Antiqua" w:cs="AdvGulliv-R"/>
          <w:sz w:val="24"/>
          <w:szCs w:val="24"/>
        </w:rPr>
        <w:fldChar w:fldCharType="separate"/>
      </w:r>
      <w:r w:rsidR="00766D5D" w:rsidRPr="00FC0E00">
        <w:rPr>
          <w:rFonts w:ascii="Book Antiqua" w:hAnsi="Book Antiqua" w:cs="Times New Roman"/>
          <w:sz w:val="24"/>
          <w:szCs w:val="24"/>
          <w:vertAlign w:val="superscript"/>
        </w:rPr>
        <w:t>[25]</w:t>
      </w:r>
      <w:r w:rsidRPr="00FC0E00">
        <w:rPr>
          <w:rFonts w:ascii="Book Antiqua" w:hAnsi="Book Antiqua" w:cs="AdvGulliv-R"/>
          <w:sz w:val="24"/>
          <w:szCs w:val="24"/>
        </w:rPr>
        <w:fldChar w:fldCharType="end"/>
      </w:r>
      <w:r w:rsidRPr="00FC0E00">
        <w:rPr>
          <w:rFonts w:ascii="Book Antiqua" w:hAnsi="Book Antiqua" w:cs="AdvGulliv-R"/>
          <w:sz w:val="24"/>
          <w:szCs w:val="24"/>
        </w:rPr>
        <w:t>.</w:t>
      </w:r>
    </w:p>
    <w:p w14:paraId="47902A28" w14:textId="290C178B" w:rsidR="001D27BC" w:rsidRDefault="005F724D" w:rsidP="00855E3E">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To investigate the role of NLRP3 in </w:t>
      </w:r>
      <w:r w:rsidR="0070186F" w:rsidRPr="00FC0E00">
        <w:rPr>
          <w:rFonts w:ascii="Book Antiqua" w:hAnsi="Book Antiqua"/>
          <w:sz w:val="24"/>
          <w:szCs w:val="24"/>
          <w:lang w:eastAsia="en-GB"/>
        </w:rPr>
        <w:t>UA</w:t>
      </w:r>
      <w:r w:rsidRPr="00FC0E00">
        <w:rPr>
          <w:rFonts w:ascii="Book Antiqua" w:hAnsi="Book Antiqua"/>
          <w:sz w:val="24"/>
          <w:szCs w:val="24"/>
        </w:rPr>
        <w:t xml:space="preserve"> induced steatohepatitis, the same research group knocked out NLRP3 in HepG2 cells</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{"citationID":"dtXb89F1","properties":{"formattedCitation":"\\super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Pr="00FC0E00">
        <w:rPr>
          <w:rFonts w:ascii="Book Antiqua" w:hAnsi="Book Antiqua"/>
          <w:sz w:val="24"/>
          <w:szCs w:val="24"/>
        </w:rPr>
        <w:t xml:space="preserve">. They found that deletion of this inflammasome significantly reduced </w:t>
      </w:r>
      <w:r w:rsidR="0070186F" w:rsidRPr="00FC0E00">
        <w:rPr>
          <w:rFonts w:ascii="Book Antiqua" w:hAnsi="Book Antiqua"/>
          <w:sz w:val="24"/>
          <w:szCs w:val="24"/>
          <w:lang w:eastAsia="en-GB"/>
        </w:rPr>
        <w:t>UA</w:t>
      </w:r>
      <w:r w:rsidRPr="00FC0E00">
        <w:rPr>
          <w:rFonts w:ascii="Book Antiqua" w:hAnsi="Book Antiqua"/>
          <w:sz w:val="24"/>
          <w:szCs w:val="24"/>
        </w:rPr>
        <w:t xml:space="preserve"> related lipogenesis in this cell line and improved insulin signalling. The researchers therefore suggest that NLRP3 has a role in impaired insulin signalling related to </w:t>
      </w:r>
      <w:r w:rsidR="0070186F" w:rsidRPr="00FC0E00">
        <w:rPr>
          <w:rFonts w:ascii="Book Antiqua" w:hAnsi="Book Antiqua"/>
          <w:sz w:val="24"/>
          <w:szCs w:val="24"/>
          <w:lang w:eastAsia="en-GB"/>
        </w:rPr>
        <w:t>UA</w:t>
      </w:r>
      <w:r w:rsidRPr="00FC0E00">
        <w:rPr>
          <w:rFonts w:ascii="Book Antiqua" w:hAnsi="Book Antiqua"/>
          <w:sz w:val="24"/>
          <w:szCs w:val="24"/>
        </w:rPr>
        <w:fldChar w:fldCharType="begin" w:fldLock="1"/>
      </w:r>
      <w:r w:rsidR="009623D2" w:rsidRPr="00FC0E00">
        <w:rPr>
          <w:rFonts w:ascii="Book Antiqua" w:hAnsi="Book Antiqua"/>
          <w:sz w:val="24"/>
          <w:szCs w:val="24"/>
        </w:rPr>
        <w:instrText xml:space="preserve"> ADDIN ZOTERO_ITEM CSL_CITATION {"citationID":"mm5GYAzj","properties":{"formattedCitation":"\\super [24]\\nosupersub{}","plainCitation":"[24]","noteIndex":0},"citationItems":[{"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Hepatology","id":"ITEM-1","issue":"4","issued":{"date-parts":[["2016","4"]]},"page":"925-932","title":"Uric acid regulates hepatic steatosis and insulin resistance through the NLRP3 inflammasome-dependent mechanism","type":"article-journal","volume":"64"}}],"schema":"https://github.com/citation-style-language/schema/raw/master/csl-citation.json"}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[24]</w:t>
      </w:r>
      <w:r w:rsidRPr="00FC0E00">
        <w:rPr>
          <w:rFonts w:ascii="Book Antiqua" w:hAnsi="Book Antiqua"/>
          <w:sz w:val="24"/>
          <w:szCs w:val="24"/>
        </w:rPr>
        <w:fldChar w:fldCharType="end"/>
      </w:r>
      <w:r w:rsidR="00387D78" w:rsidRPr="00FC0E00">
        <w:rPr>
          <w:rFonts w:ascii="Book Antiqua" w:hAnsi="Book Antiqua"/>
          <w:sz w:val="24"/>
          <w:szCs w:val="24"/>
        </w:rPr>
        <w:t xml:space="preserve">. A cautionary note however, NLRP3 signalling is complex and involves a number of direct and indirect canonical pathways with multiple other known stimulatory molecules. </w:t>
      </w:r>
    </w:p>
    <w:p w14:paraId="2F8A5EF7" w14:textId="77777777" w:rsidR="001D27BC" w:rsidRDefault="001D27BC" w:rsidP="001D27BC">
      <w:pPr>
        <w:snapToGrid w:val="0"/>
        <w:spacing w:after="0" w:line="360" w:lineRule="auto"/>
        <w:jc w:val="both"/>
        <w:rPr>
          <w:rFonts w:ascii="Book Antiqua" w:hAnsi="Book Antiqua"/>
          <w:sz w:val="24"/>
          <w:szCs w:val="24"/>
        </w:rPr>
      </w:pPr>
    </w:p>
    <w:p w14:paraId="6627F052" w14:textId="77777777" w:rsidR="001D27BC" w:rsidRPr="00855E3E" w:rsidRDefault="001D27BC" w:rsidP="001D27BC">
      <w:pPr>
        <w:snapToGrid w:val="0"/>
        <w:spacing w:after="0" w:line="360" w:lineRule="auto"/>
        <w:jc w:val="both"/>
        <w:rPr>
          <w:rFonts w:ascii="Book Antiqua" w:hAnsi="Book Antiqua"/>
          <w:b/>
          <w:sz w:val="24"/>
          <w:szCs w:val="24"/>
          <w:u w:val="single"/>
        </w:rPr>
      </w:pPr>
      <w:r w:rsidRPr="00855E3E">
        <w:rPr>
          <w:rFonts w:ascii="Book Antiqua" w:hAnsi="Book Antiqua"/>
          <w:b/>
          <w:sz w:val="24"/>
          <w:szCs w:val="24"/>
          <w:u w:val="single"/>
          <w:lang w:eastAsia="en-GB"/>
        </w:rPr>
        <w:t>EVIDENCE FOR URATE METABOLITES IN INDIVIDUALS WITH NAFLD AND IS THERE DIAGNOSTIC POTENTIAL IN SERUM UA MEASUREMENT</w:t>
      </w:r>
      <w:r w:rsidRPr="00855E3E">
        <w:rPr>
          <w:rFonts w:ascii="Book Antiqua" w:hAnsi="Book Antiqua"/>
          <w:b/>
          <w:sz w:val="24"/>
          <w:szCs w:val="24"/>
          <w:u w:val="single"/>
        </w:rPr>
        <w:t xml:space="preserve"> </w:t>
      </w:r>
    </w:p>
    <w:p w14:paraId="5AE89AB5" w14:textId="26FA29F2" w:rsidR="00DC708F" w:rsidRPr="001D27BC" w:rsidRDefault="004B7D4C" w:rsidP="001D27BC">
      <w:pPr>
        <w:snapToGrid w:val="0"/>
        <w:spacing w:after="0" w:line="360" w:lineRule="auto"/>
        <w:jc w:val="both"/>
        <w:rPr>
          <w:rFonts w:ascii="Book Antiqua" w:hAnsi="Book Antiqua"/>
          <w:sz w:val="24"/>
          <w:szCs w:val="24"/>
          <w:u w:val="single"/>
        </w:rPr>
      </w:pPr>
      <w:r w:rsidRPr="00FC0E00">
        <w:rPr>
          <w:rFonts w:ascii="Book Antiqua" w:hAnsi="Book Antiqua"/>
          <w:b/>
          <w:bCs/>
          <w:i/>
          <w:iCs/>
          <w:sz w:val="24"/>
          <w:szCs w:val="24"/>
          <w:lang w:eastAsia="en-GB"/>
        </w:rPr>
        <w:t>Evidence in NAFLD</w:t>
      </w:r>
    </w:p>
    <w:p w14:paraId="2884072B" w14:textId="423187B4" w:rsidR="00DC708F" w:rsidRPr="00FC0E00" w:rsidRDefault="00DC708F" w:rsidP="00FC0E00">
      <w:pPr>
        <w:snapToGrid w:val="0"/>
        <w:spacing w:after="0" w:line="360" w:lineRule="auto"/>
        <w:jc w:val="both"/>
        <w:rPr>
          <w:rFonts w:ascii="Book Antiqua" w:hAnsi="Book Antiqua"/>
          <w:sz w:val="24"/>
          <w:szCs w:val="24"/>
          <w:lang w:eastAsia="en-GB"/>
        </w:rPr>
      </w:pPr>
      <w:r w:rsidRPr="00FC0E00">
        <w:rPr>
          <w:rFonts w:ascii="Book Antiqua" w:hAnsi="Book Antiqua"/>
          <w:sz w:val="24"/>
          <w:szCs w:val="24"/>
          <w:lang w:eastAsia="en-GB"/>
        </w:rPr>
        <w:t xml:space="preserve">Given a paucity of reliable biomarkers in the diagnosis and prognostication of NAFLD, there has been an increasing interest in </w:t>
      </w:r>
      <w:r w:rsidR="0070186F" w:rsidRPr="00FC0E00">
        <w:rPr>
          <w:rFonts w:ascii="Book Antiqua" w:hAnsi="Book Antiqua"/>
          <w:sz w:val="24"/>
          <w:szCs w:val="24"/>
          <w:lang w:eastAsia="en-GB"/>
        </w:rPr>
        <w:t>UA</w:t>
      </w:r>
      <w:r w:rsidRPr="00FC0E00">
        <w:rPr>
          <w:rFonts w:ascii="Book Antiqua" w:hAnsi="Book Antiqua"/>
          <w:sz w:val="24"/>
          <w:szCs w:val="24"/>
          <w:lang w:eastAsia="en-GB"/>
        </w:rPr>
        <w:t xml:space="preserve"> as a diagnostic utility.</w:t>
      </w:r>
    </w:p>
    <w:p w14:paraId="6C13C84C" w14:textId="645436EC" w:rsidR="00DC708F" w:rsidRPr="00FC0E00" w:rsidRDefault="00DC708F" w:rsidP="00F75DBA">
      <w:pPr>
        <w:snapToGrid w:val="0"/>
        <w:spacing w:after="0" w:line="360" w:lineRule="auto"/>
        <w:ind w:firstLineChars="100" w:firstLine="240"/>
        <w:jc w:val="both"/>
        <w:rPr>
          <w:rFonts w:ascii="Book Antiqua" w:hAnsi="Book Antiqua"/>
          <w:sz w:val="24"/>
          <w:szCs w:val="24"/>
          <w:lang w:eastAsia="en-GB"/>
        </w:rPr>
      </w:pPr>
      <w:r w:rsidRPr="00FC0E00">
        <w:rPr>
          <w:rFonts w:ascii="Book Antiqua" w:hAnsi="Book Antiqua"/>
          <w:sz w:val="24"/>
          <w:szCs w:val="24"/>
          <w:lang w:eastAsia="en-GB"/>
        </w:rPr>
        <w:t xml:space="preserve">As has been alluded to previously, there is increased evidence of the association of UA as an independent determinant of NAFLD, with some </w:t>
      </w:r>
      <w:r w:rsidRPr="00FC0E00">
        <w:rPr>
          <w:rFonts w:ascii="Book Antiqua" w:hAnsi="Book Antiqua"/>
          <w:sz w:val="24"/>
          <w:szCs w:val="24"/>
          <w:lang w:eastAsia="en-GB"/>
        </w:rPr>
        <w:lastRenderedPageBreak/>
        <w:t>studies demonstrating an association even in lean/non-obese cohorts</w:t>
      </w:r>
      <w:r w:rsidR="001D27BC" w:rsidRPr="00FC0E00">
        <w:rPr>
          <w:rFonts w:ascii="Book Antiqua" w:hAnsi="Book Antiqua"/>
          <w:sz w:val="24"/>
          <w:szCs w:val="24"/>
          <w:lang w:eastAsia="en-GB"/>
        </w:rPr>
        <w:fldChar w:fldCharType="begin"/>
      </w:r>
      <w:r w:rsidR="001D27BC" w:rsidRPr="00FC0E00">
        <w:rPr>
          <w:rFonts w:ascii="Book Antiqua" w:hAnsi="Book Antiqua"/>
          <w:sz w:val="24"/>
          <w:szCs w:val="24"/>
          <w:lang w:eastAsia="en-GB"/>
        </w:rPr>
        <w:instrText xml:space="preserve"> ADDIN ZOTERO_ITEM CSL_CITATION {"citationID":"BCqzn8S5","properties":{"formattedCitation":"\\super [26\\uc0\\u8211{}28]\\nosupersub{}","plainCitation":"[26–28]","noteIndex":0},"citationItems":[{"id":1771,"uris":["http://zotero.org/users/5302874/items/MEV67RMW"],"uri":["http://zotero.org/users/5302874/items/MEV67RMW"],"itemData":{"id":1771,"type":"article-journal","abstract":"BACKGROUND: Non-alcoholic fatty liver disease (NAFLD) is frequently seen among non-obese overweight individuals and lean subjects (those with normal body mass index). This study aimed to investigate prevalence and risk factors of biopsy proven NAFLD in a cluster of healthy non-obese and lean individuals.\nMETHODS AND MATERIALS: In a retrospective study, adult (&gt;18 years) apparently healthy individuals who had donated liver to pediatric patients between July 2012 and October 2018 were included. Non-obese and lean individuals were defined as BMI&lt;30kg/m2 and BMI&lt;25kg/m2, respectively.\nRESULTS: Totally 310 patients were included. Seventy-six individuals (24.5%) had NAFL and 30 patients (9.67%) had non-alcoholic steatohepatitis (NASH) among non-obese population. In multivariate regression analysis, only higher BMI was marginally associated with NASH in non-obese compared to those without NASH (Odds ratio: 2.52, 95% CI: 0.097-6.54; P=0.05). Totally, 246 individuals were lean. 55 individuals (22.3%) had NAFL and 20 individuals (8.2%) had NASH in their liver biopsies. In univariate analysis, serum triglyceride, cholesterol, LDL, ALT, alkaline phosphatase and uric acid were associated with NAFL among lean individuals (P&lt;0.05). In regression analysis, serum uric acid was associated with NAFL (Odds ratio: 1.70, 95% CI: 1.18-2.45; P=0.004) and NASH in lean individuals (Odds ratio: 1.98, 95% CI: 1.27-3.10; P=0.003).\nCONCLUSION: NAFLD/NASH is prevalent even in a healthy lean population when evaluated by liver biopsy. Higher BMI and serum uric acid were two major risks of NAFLD/NASH in non-obese and lean individuals.","container-title":"Clinics and Research in Hepatology and Gastroenterology","DOI":"10.1016/j.clinre.2019.09.002","ISSN":"2210-741X","journalAbbreviation":"Clin Res Hepatol Gastroenterol","language":"eng","note":"PMID: 31611031","source":"PubMed","title":"Characterization of biopsy proven non-alcoholic fatty liver disease in healthy non-obese and lean population of living liver donors: The impact of uric acid","title-short":"Characterization of biopsy proven non-alcoholic fatty liver disease in healthy non-obese and lean population of living liver donors","author":[{"family":"Eshraghian","given":"Ahad"},{"family":"Nikeghbalian","given":"Saman"},{"family":"Geramizadeh","given":"Bita"},{"family":"Kazemi","given":"Kourosh"},{"family":"Shamsaeefar","given":"Alireza"},{"family":"Malek-Hosseini","given":"Seyed Ali"}],"issued":{"date-parts":[["2019",10,11]]}},"label":"page"},{"id":1777,"uris":["http://zotero.org/users/5302874/items/95SYEGZ2"],"uri":["http://zotero.org/users/5302874/items/95SYEGZ2"],"itemData":{"id":1777,"type":"article-journal","abstract":"Background and objectives: Nonalcoholic fatty liver disease (NAFLD) is associated with multiple factors such as hypertension, diabetes, dyslipidemia, obesity, and hyperuricemia. We aim to investigate the relationship between uric acid and NAFLD in a non-obese and young population. Materials and Methods: This study was performed in January 2010-2019 with a group of 367 (225 patients in the NAFLD group and 142 in the control group) patients with liver biopsy-proven NAFLD or no NAFLD. Patients with NAFLD were classified according to the percentage of steatosis as follows, group I had 1-20% and group II &gt;20%. Demographic, clinical, and laboratory (biochemical parameters) features were collected retrospectively. Results: The mean body mass index (BMI) and age of the patients were 26.41 ± 3.42 and 32.27 ± 8.85, respectively. The BMI, homeostatic model of assessment (HOMA-IR), and uric acid (UA) values of the NAFLD group were found to be significantly higher than those of the controls. A positive correlation was found between the NAFLD stage and UA. The following factors were independently associated with NAFLD: BMI, HOMA-IR, and UA. In addition, the cut-off value of UA was 4.75 mg/dl with a sensitivity of 45.8% and a specificity of 80.3%. Conclusions: UA is a simple, non-invasive, cheap, and useful marker that may be used to predict steatosis in patients with NAFLD.","container-title":"Medicina (Kaunas, Lithuania)","DOI":"10.3390/medicina55090600","ISSN":"1648-9144","issue":"9","journalAbbreviation":"Medicina (Kaunas)","language":"eng","note":"PMID: 31533345\nPMCID: PMC6780528","source":"PubMed","title":"Relationship Between Serum Uric Acid Levels and Nonalcoholic Fatty Liver Disease in Non-Obese Patients","volume":"55","author":[{"family":"Oral","given":"Alihan"},{"family":"Sahin","given":"Tolga"},{"family":"Turker","given":"Fatih"},{"family":"Kocak","given":"Erdem"}],"issued":{"date-parts":[["2019",9,17]]}},"label":"page"},{"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label":"page"}],"schema":"https://github.com/citation-style-language/schema/raw/master/csl-citation.json"} </w:instrText>
      </w:r>
      <w:r w:rsidR="001D27BC" w:rsidRPr="00FC0E00">
        <w:rPr>
          <w:rFonts w:ascii="Book Antiqua" w:hAnsi="Book Antiqua"/>
          <w:sz w:val="24"/>
          <w:szCs w:val="24"/>
          <w:lang w:eastAsia="en-GB"/>
        </w:rPr>
        <w:fldChar w:fldCharType="separate"/>
      </w:r>
      <w:r w:rsidR="001D27BC" w:rsidRPr="00FC0E00">
        <w:rPr>
          <w:rFonts w:ascii="Book Antiqua" w:hAnsi="Book Antiqua" w:cs="Times New Roman"/>
          <w:sz w:val="24"/>
          <w:szCs w:val="24"/>
          <w:vertAlign w:val="superscript"/>
        </w:rPr>
        <w:t>[26–28]</w:t>
      </w:r>
      <w:r w:rsidR="001D27BC" w:rsidRPr="00FC0E00">
        <w:rPr>
          <w:rFonts w:ascii="Book Antiqua" w:hAnsi="Book Antiqua"/>
          <w:sz w:val="24"/>
          <w:szCs w:val="24"/>
          <w:lang w:eastAsia="en-GB"/>
        </w:rPr>
        <w:fldChar w:fldCharType="end"/>
      </w:r>
      <w:r w:rsidRPr="00FC0E00">
        <w:rPr>
          <w:rFonts w:ascii="Book Antiqua" w:hAnsi="Book Antiqua"/>
          <w:sz w:val="24"/>
          <w:szCs w:val="24"/>
          <w:lang w:eastAsia="en-GB"/>
        </w:rPr>
        <w:t xml:space="preserve">. What is less clear is the utility of urate and its constituent degradation products in the diagnosis or prognostication of NAFLD. There would be particular attraction in incorporation of such a metabolite in to the various existing non-invasive fibrosis algorithms, particularly if it improved specificity of diagnosis. </w:t>
      </w:r>
    </w:p>
    <w:p w14:paraId="4DF7F6FB" w14:textId="0DCBDBDF" w:rsidR="00DC708F" w:rsidRPr="00FC0E00" w:rsidRDefault="00DC708F" w:rsidP="00F75DBA">
      <w:pPr>
        <w:snapToGrid w:val="0"/>
        <w:spacing w:after="0" w:line="360" w:lineRule="auto"/>
        <w:ind w:firstLineChars="100" w:firstLine="240"/>
        <w:jc w:val="both"/>
        <w:rPr>
          <w:rFonts w:ascii="Book Antiqua" w:hAnsi="Book Antiqua" w:cs="Arial"/>
          <w:sz w:val="24"/>
          <w:szCs w:val="24"/>
          <w:shd w:val="clear" w:color="auto" w:fill="FFFFFF"/>
        </w:rPr>
      </w:pPr>
      <w:r w:rsidRPr="00FC0E00">
        <w:rPr>
          <w:rFonts w:ascii="Book Antiqua" w:hAnsi="Book Antiqua"/>
          <w:sz w:val="24"/>
          <w:szCs w:val="24"/>
        </w:rPr>
        <w:t xml:space="preserve">Recently, a prospective population study in Montenegro sought to establish a diagnostic cut-off value of </w:t>
      </w:r>
      <w:r w:rsidR="0070186F" w:rsidRPr="00FC0E00">
        <w:rPr>
          <w:rFonts w:ascii="Book Antiqua" w:hAnsi="Book Antiqua"/>
          <w:sz w:val="24"/>
          <w:szCs w:val="24"/>
          <w:lang w:eastAsia="en-GB"/>
        </w:rPr>
        <w:t>UA</w:t>
      </w:r>
      <w:r w:rsidRPr="00FC0E00">
        <w:rPr>
          <w:rFonts w:ascii="Book Antiqua" w:hAnsi="Book Antiqua"/>
          <w:sz w:val="24"/>
          <w:szCs w:val="24"/>
        </w:rPr>
        <w:t xml:space="preserve"> which may predict NAFLD</w:t>
      </w:r>
      <w:r w:rsidR="001C76EA" w:rsidRPr="00FC0E00">
        <w:rPr>
          <w:rFonts w:ascii="Book Antiqua" w:hAnsi="Book Antiqua"/>
          <w:sz w:val="24"/>
          <w:szCs w:val="24"/>
        </w:rPr>
        <w:fldChar w:fldCharType="begin"/>
      </w:r>
      <w:r w:rsidR="001C76EA" w:rsidRPr="00FC0E00">
        <w:rPr>
          <w:rFonts w:ascii="Book Antiqua" w:hAnsi="Book Antiqua"/>
          <w:sz w:val="24"/>
          <w:szCs w:val="24"/>
        </w:rPr>
        <w:instrText xml:space="preserve"> ADDIN ZOTERO_ITEM CSL_CITATION {"citationID":"XpQ9VCR4","properties":{"formattedCitation":"\\super [29]\\nosupersub{}","plainCitation":"[29]","noteIndex":0},"citationItems":[{"id":1693,"uris":["http://zotero.org/users/5302874/items/CA256HSS"],"uri":["http://zotero.org/users/5302874/items/CA256HSS"],"itemData":{"id":1693,"type":"article-journal","abstract":"Background\nAlanine-aminotransferase (ALT) and uric acid cut-off levels used in non-alcoholic fatty liver disease (NAFLD) diagnosis are advised to be lowered. Due to contradictory results on the utility of both these biomarkers for NAFLD screening, we aimed to determine their cut-off levels that can be applied to Montenegrin population with the fatty liver disease.\n\nMethods\nA total of 771 volunteers were enrolled. A fatty liver index (FLI) score ≥60 was used as proxy of NAFLD. The receiver operating characteristic curve analysis with the area under the curve (AUC) was used to determine the cut-off values of ALT and uric acid associated with FLI ≥60.\n\nResults\nALT was independent predictor of FLI in both men and women, whereas serum uric acid was its independent predictor only in women. Lower cut-off levels of ALT are associated with the increased prevalence of NAFLD [i.e., ALT was 19 IU/L (AUC=0.746, sensitivity 63%, specificity 72%, P&lt;0.001) in women and 22 IU/L (AUC=0.804, sensitivity 61%, specificity 95%, P&lt;0.001) in men]. The cut-off value for uric acid was 274 μmol/L (AUC=0.821, sensitivity 68%, specificity 82%, P&lt;0.001) in women.\n\nConclusions\nLower cut-off levels of ALT in both genders, and serum uric acid in females, can be reliable predictors of the FLI.","container-title":"Journal of Medical Biochemistry","DOI":"10.2478/jomb-2019-0001","ISSN":"1452-8258","issue":"4","journalAbbreviation":"J Med Biochem","note":"PMID: 31496904\nPMCID: PMC6708301","page":"407-417","source":"PubMed Central","title":"Predictive Values of Serum Uric Acid and Alanine-aminotransferase for Fatty Liver Index in Montenegrin Population","volume":"38","author":[{"family":"Klisic","given":"Aleksandra"},{"family":"Kavaric","given":"Nebojsa"},{"family":"Ninic","given":"Ana"}],"issued":{"date-parts":[["2019",3,26]]}}}],"schema":"https://github.com/citation-style-language/schema/raw/master/csl-citation.json"} </w:instrText>
      </w:r>
      <w:r w:rsidR="001C76EA" w:rsidRPr="00FC0E00">
        <w:rPr>
          <w:rFonts w:ascii="Book Antiqua" w:hAnsi="Book Antiqua"/>
          <w:sz w:val="24"/>
          <w:szCs w:val="24"/>
        </w:rPr>
        <w:fldChar w:fldCharType="separate"/>
      </w:r>
      <w:r w:rsidR="001C76EA" w:rsidRPr="00FC0E00">
        <w:rPr>
          <w:rFonts w:ascii="Book Antiqua" w:hAnsi="Book Antiqua" w:cs="Times New Roman"/>
          <w:sz w:val="24"/>
          <w:szCs w:val="24"/>
          <w:vertAlign w:val="superscript"/>
        </w:rPr>
        <w:t>[29]</w:t>
      </w:r>
      <w:r w:rsidR="001C76EA" w:rsidRPr="00FC0E00">
        <w:rPr>
          <w:rFonts w:ascii="Book Antiqua" w:hAnsi="Book Antiqua"/>
          <w:sz w:val="24"/>
          <w:szCs w:val="24"/>
        </w:rPr>
        <w:fldChar w:fldCharType="end"/>
      </w:r>
      <w:r w:rsidRPr="00FC0E00">
        <w:rPr>
          <w:rFonts w:ascii="Book Antiqua" w:hAnsi="Book Antiqua"/>
          <w:sz w:val="24"/>
          <w:szCs w:val="24"/>
        </w:rPr>
        <w:t xml:space="preserve">. The authors used the Fatty </w:t>
      </w:r>
      <w:r w:rsidR="001C76EA" w:rsidRPr="00FC0E00">
        <w:rPr>
          <w:rFonts w:ascii="Book Antiqua" w:hAnsi="Book Antiqua"/>
          <w:sz w:val="24"/>
          <w:szCs w:val="24"/>
        </w:rPr>
        <w:t>liver index</w:t>
      </w:r>
      <w:r w:rsidRPr="00FC0E00">
        <w:rPr>
          <w:rFonts w:ascii="Book Antiqua" w:hAnsi="Book Antiqua"/>
          <w:sz w:val="24"/>
          <w:szCs w:val="24"/>
        </w:rPr>
        <w:t xml:space="preserve"> (FLI) as a proxy reference standard for NAFLD diagnosis, with a score of &gt;</w:t>
      </w:r>
      <w:r w:rsidR="001C76EA">
        <w:rPr>
          <w:rFonts w:ascii="Book Antiqua" w:hAnsi="Book Antiqua"/>
          <w:sz w:val="24"/>
          <w:szCs w:val="24"/>
        </w:rPr>
        <w:t xml:space="preserve"> </w:t>
      </w:r>
      <w:r w:rsidRPr="00FC0E00">
        <w:rPr>
          <w:rFonts w:ascii="Book Antiqua" w:hAnsi="Book Antiqua"/>
          <w:sz w:val="24"/>
          <w:szCs w:val="24"/>
        </w:rPr>
        <w:t xml:space="preserve">60 established as the cut off. A total of 771 patients from the initial 1,000 screened where deemed suitable for the study. Interestingly, within this populace it was found that </w:t>
      </w:r>
      <w:r w:rsidRPr="00FC0E00">
        <w:rPr>
          <w:rFonts w:ascii="Book Antiqua" w:hAnsi="Book Antiqua" w:cs="Arial"/>
          <w:sz w:val="24"/>
          <w:szCs w:val="24"/>
          <w:shd w:val="clear" w:color="auto" w:fill="FFFFFF"/>
        </w:rPr>
        <w:t xml:space="preserve">ALT was an independent predictor of FLI in both women and men. Contrastingly, SUA was only independently predictive of FLI in women but not in men. </w:t>
      </w:r>
    </w:p>
    <w:p w14:paraId="3CCAE043" w14:textId="60BEAF36" w:rsidR="00DC708F" w:rsidRPr="00FC0E00"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Jensen </w:t>
      </w:r>
      <w:r w:rsidR="0018248F" w:rsidRPr="0018248F">
        <w:rPr>
          <w:rFonts w:ascii="Book Antiqua" w:hAnsi="Book Antiqua"/>
          <w:i/>
          <w:iCs/>
          <w:sz w:val="24"/>
          <w:szCs w:val="24"/>
        </w:rPr>
        <w:t>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{"citationID":"EqjYDaQJ","properties":{"formattedCitation":"\\super [30]\\nosupersub{}","plainCitation":"[30]","noteIndex":0},"citationItems":[{"id":1690,"uris":["http://zotero.org/users/5302874/items/SN2L3SL7"],"uri":["http://zotero.org/users/5302874/items/SN2L3SL7"],"itemData":{"id":1690,"type":"article-journal","abstract":"The prevalence of fatty liver disease (FLD) is increasing. To clarify risk factors for developing FLD, we analyzed a database from healthy Japanese adults who had annual medical check-ups in 2004 and reexamined in 2009. We used the fatty liver index (FLI) to classify participants as FLD (FLI ≥60), borderline FLD (30≤ FLI &lt;60), and normal liver (FLI &lt;30). Subjects with hepatitis B or C virus infection and subjects with FLD at the baseline were excluded. The cumulative incidence of FLD from normal liver and from borderline FLD over five years were 0.65% (52/8,025) and 12.9% (244/1,888), respectively. After multiple adjustments, higher serum uric acid (SUA) (OR:1.92; 95% CI:1.40–2.63) and increased SUA change (OR:3.734; 95% CI:2.57–5.42) became risk factors for developing FLD from normal liver, as well as younger age and higher body mass index. The risk factors for developing FLD from borderline FLD were similar. Not only higher baseline SUA but also increased SUA change became independent risks for developing FLD.","container-title":"Scientific Reports","DOI":"10.1038/s41598-018-30267-2","ISSN":"2045-2322","journalAbbreviation":"Sci Rep","note":"PMID: 30082907\nPMCID: PMC6079004","source":"PubMed Central","title":"Increased Serum Uric Acid over five years is a Risk Factor for Developing Fatty Liver","URL":"https://www.ncbi.nlm.nih.gov/pmc/articles/PMC6079004/","volume":"8","author":[{"family":"Jensen","given":"Thomas"},{"family":"Niwa","given":"Koichiro"},{"family":"Hisatome","given":"Ichiro"},{"family":"Kanbay","given":"Mehmet"},{"family":"Andres-Hernando","given":"Ana"},{"family":"Roncal-Jimenez","given":"Carlos A."},{"family":"Sato","given":"Yuka"},{"family":"Garcia","given":"Gabriela"},{"family":"Ohno","given":"Minoru"},{"family":"Lanaspa","given":"Miguel A."},{"family":"Johnson","given":"Richard J."},{"family":"Kuwabara","given":"Masanari"}],"accessed":{"date-parts":[["2019",12,30]]},"issued":{"date-parts":[["2018",8,6]]}}}],"schema":"https://github.com/citation-style-language/schema/raw/master/csl-citation.json"}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[30]</w:t>
      </w:r>
      <w:r w:rsidR="0018248F" w:rsidRPr="00FC0E00">
        <w:rPr>
          <w:rFonts w:ascii="Book Antiqua" w:hAnsi="Book Antiqua"/>
          <w:sz w:val="24"/>
          <w:szCs w:val="24"/>
        </w:rPr>
        <w:fldChar w:fldCharType="end"/>
      </w:r>
      <w:r w:rsidRPr="00FC0E00">
        <w:rPr>
          <w:rFonts w:ascii="Book Antiqua" w:hAnsi="Book Antiqua"/>
          <w:sz w:val="24"/>
          <w:szCs w:val="24"/>
        </w:rPr>
        <w:t xml:space="preserve"> demonstrated in a Japanese cohort that serum </w:t>
      </w:r>
      <w:r w:rsidR="0070186F" w:rsidRPr="00FC0E00">
        <w:rPr>
          <w:rFonts w:ascii="Book Antiqua" w:hAnsi="Book Antiqua"/>
          <w:sz w:val="24"/>
          <w:szCs w:val="24"/>
          <w:lang w:eastAsia="en-GB"/>
        </w:rPr>
        <w:t>UA</w:t>
      </w:r>
      <w:r w:rsidRPr="00FC0E00">
        <w:rPr>
          <w:rFonts w:ascii="Book Antiqua" w:hAnsi="Book Antiqua"/>
          <w:sz w:val="24"/>
          <w:szCs w:val="24"/>
        </w:rPr>
        <w:t xml:space="preserve"> (SUA) which was elevated at baseline, and those with an incrementing SUA over 5 years were both independent risk factors for developing NAFLD. This finding was substantiated in both normal and borderline liver cohorts, including those young individuals and those with increased </w:t>
      </w:r>
      <w:r w:rsidR="0018248F" w:rsidRPr="0018248F">
        <w:rPr>
          <w:rFonts w:ascii="Book Antiqua" w:hAnsi="Book Antiqua"/>
          <w:sz w:val="24"/>
          <w:szCs w:val="24"/>
        </w:rPr>
        <w:t>body mass index</w:t>
      </w:r>
      <w:r w:rsidR="0018248F">
        <w:rPr>
          <w:rFonts w:ascii="Book Antiqua" w:hAnsi="Book Antiqua"/>
          <w:sz w:val="24"/>
          <w:szCs w:val="24"/>
        </w:rPr>
        <w:t xml:space="preserve"> (</w:t>
      </w:r>
      <w:r w:rsidRPr="00FC0E00">
        <w:rPr>
          <w:rFonts w:ascii="Book Antiqua" w:hAnsi="Book Antiqua"/>
          <w:sz w:val="24"/>
          <w:szCs w:val="24"/>
        </w:rPr>
        <w:t>BMI</w:t>
      </w:r>
      <w:r w:rsidR="0018248F">
        <w:rPr>
          <w:rFonts w:ascii="Book Antiqua" w:hAnsi="Book Antiqua"/>
          <w:sz w:val="24"/>
          <w:szCs w:val="24"/>
        </w:rPr>
        <w:t>)</w:t>
      </w:r>
      <w:r w:rsidRPr="00FC0E00">
        <w:rPr>
          <w:rFonts w:ascii="Book Antiqua" w:hAnsi="Book Antiqua"/>
          <w:sz w:val="24"/>
          <w:szCs w:val="24"/>
        </w:rPr>
        <w:t>. Whilst the study had a number of powerful aspects, it is limited by a number of elements including that of being an observational cohort and using an unselected cohort with limited adjustment for concomitant background populace disease. The authors urged caution in interpretation of the findings, since the study was again not designed to determine causality.</w:t>
      </w:r>
    </w:p>
    <w:p w14:paraId="4E0A4574" w14:textId="0E54831C" w:rsidR="00DC708F" w:rsidRPr="00FC0E00"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A comprehensive, liver-biopsy defined study in Egypt sought to develop a new non-invasive scoring modality for both NAFLD histological severity and cardiovascular morbidity</w:t>
      </w:r>
      <w:r w:rsidR="008D3ED1"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{"citationID":"QgOQTTOY","properties":{"formattedCitation":"\\super [31]\\nosupersub{}","plainCitation":"[31]","noteIndex":0},"citationItems":[{"id":1802,"uris":["http://zotero.org/users/5302874/items/CYQI3NEK"],"uri":["http://zotero.org/users/5302874/items/CYQI3NEK"],"itemData":{"id":1802,"type":"article-journal","abstract":"BACKGROUND: Insulin resistance (IR) in cases of non-alcoholic fatty liver disease (NAFLD) is connected to remarkable liver cell inflammation and cardiovascular complications. Given the prevalence of NAFLD and its association with potential sequels, there is a strong need for an accurate non-invasive tool to monitor the progression of NAFLD.\nMETHODS: 272 patients with NAFLD and cardio-metabolic risk factors were tested for HOMA-IR, mean platelet volume (MPV), neutrophil-lymphocyte ratio (NLR), uric acid, ferritin, lipid profile, liver stiffness measurement (LSM), controlled attenuation parameter (CAP) by fibroscan and carotid intima media thickness (CIMT). Liver biopsy was performed to validate the results.100 healthy controls were selected. A score was constructed and applied to a validation group (n</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61).\nRESULTS: Logistic regression revealed that significant fibrosis and cardiovascular risk in NAFLD were independently associated with AST/ALT ratio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GGT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CIMT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0.001), uric acid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VLDL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HOMA-IR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ferritin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CAP (p</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0.000), LSM (p0.000). A non-invasive model was formulated by which a value</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&gt;</w:instrText>
      </w:r>
      <w:r w:rsidR="00766D5D" w:rsidRPr="00FC0E00">
        <w:rPr>
          <w:rFonts w:ascii="Times New Roman" w:hAnsi="Times New Roman" w:cs="Times New Roman"/>
          <w:sz w:val="24"/>
          <w:szCs w:val="24"/>
        </w:rPr>
        <w:instrText> </w:instrText>
      </w:r>
      <w:r w:rsidR="00766D5D" w:rsidRPr="00FC0E00">
        <w:rPr>
          <w:rFonts w:ascii="Book Antiqua" w:hAnsi="Book Antiqua"/>
          <w:sz w:val="24"/>
          <w:szCs w:val="24"/>
        </w:rPr>
        <w:instrText xml:space="preserve">15 was accurate in identification of advanced fibrosis and cardiovascular risk with a sensitivity of 97.3%, specificity 97%.\nCONCLUSION: The score correlated well with the results of liver biopsy and can be repeated with great flexibility to assess severity of NAFLD.","container-title":"Diabetes &amp; Metabolic Syndrome","DOI":"10.1016/j.dsx.2019.05.032","ISSN":"1878-0334","issue":"3","journalAbbreviation":"Diabetes Metab Syndr","language":"eng","note":"PMID: 31235168","page":"2272-2278","source":"PubMed","title":"Efficacy of a non-invasive model in predicting the cardiovascular morbidity and histological severity in non-alcoholic fatty liver disease","volume":"13","author":[{"family":"Hanafy","given":"Amr Shaaban"},{"family":"Seleem","given":"Waseem M."},{"family":"El-Kalla","given":"Ferial"},{"family":"AbdAlkhalik Basha","given":"Mohammad"},{"family":"Abd-Elsalam","given":"Sherief"}],"issued":{"date-parts":[["2019",6]]}}}],"schema":"https://github.com/citation-style-language/schema/raw/master/csl-citation.json"} </w:instrText>
      </w:r>
      <w:r w:rsidR="008D3ED1"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[31]</w:t>
      </w:r>
      <w:r w:rsidR="008D3ED1" w:rsidRPr="00FC0E00">
        <w:rPr>
          <w:rFonts w:ascii="Book Antiqua" w:hAnsi="Book Antiqua"/>
          <w:sz w:val="24"/>
          <w:szCs w:val="24"/>
        </w:rPr>
        <w:fldChar w:fldCharType="end"/>
      </w:r>
      <w:r w:rsidRPr="00FC0E00">
        <w:rPr>
          <w:rFonts w:ascii="Book Antiqua" w:hAnsi="Book Antiqua"/>
          <w:sz w:val="24"/>
          <w:szCs w:val="24"/>
        </w:rPr>
        <w:t xml:space="preserve">, which examined a wide assortment of biochemical markers including SUA. The study ultimately included 61 patients across two centres with NAFLD and metabolic features. They excluded those with hepatotropic viruses, use of confounding medications, excessive alcohol consumption or patients taking insulin. The outcomes </w:t>
      </w:r>
      <w:r w:rsidRPr="00FC0E00">
        <w:rPr>
          <w:rFonts w:ascii="Book Antiqua" w:hAnsi="Book Antiqua"/>
          <w:sz w:val="24"/>
          <w:szCs w:val="24"/>
        </w:rPr>
        <w:lastRenderedPageBreak/>
        <w:t xml:space="preserve">demonstrated that SUA did not offer improved diagnostic accuracy with significant fibrosis in NAFLD predicted by nine alternative parameters. </w:t>
      </w:r>
    </w:p>
    <w:p w14:paraId="338A62FA" w14:textId="0F067A89" w:rsidR="0018248F" w:rsidRDefault="00DC708F" w:rsidP="00F75DBA">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Finally, there is an encouraging study published by </w:t>
      </w:r>
      <w:proofErr w:type="spellStart"/>
      <w:r w:rsidRPr="00FC0E00">
        <w:rPr>
          <w:rFonts w:ascii="Book Antiqua" w:hAnsi="Book Antiqua"/>
          <w:sz w:val="24"/>
          <w:szCs w:val="24"/>
        </w:rPr>
        <w:t>Culafic</w:t>
      </w:r>
      <w:proofErr w:type="spellEnd"/>
      <w:r w:rsidRPr="00FC0E00">
        <w:rPr>
          <w:rFonts w:ascii="Book Antiqua" w:hAnsi="Book Antiqua"/>
          <w:sz w:val="24"/>
          <w:szCs w:val="24"/>
        </w:rPr>
        <w:t xml:space="preserve"> </w:t>
      </w:r>
      <w:r w:rsidRPr="00FC0E00">
        <w:rPr>
          <w:rFonts w:ascii="Book Antiqua" w:hAnsi="Book Antiqua"/>
          <w:i/>
          <w:sz w:val="24"/>
          <w:szCs w:val="24"/>
        </w:rPr>
        <w:t>et al</w:t>
      </w:r>
      <w:r w:rsidRPr="00FC0E00">
        <w:rPr>
          <w:rFonts w:ascii="Book Antiqua" w:hAnsi="Book Antiqua"/>
          <w:i/>
          <w:sz w:val="24"/>
          <w:szCs w:val="24"/>
        </w:rPr>
        <w:fldChar w:fldCharType="begin"/>
      </w:r>
      <w:r w:rsidR="00766D5D" w:rsidRPr="00FC0E00">
        <w:rPr>
          <w:rFonts w:ascii="Book Antiqua" w:hAnsi="Book Antiqua"/>
          <w:i/>
          <w:sz w:val="24"/>
          <w:szCs w:val="24"/>
        </w:rPr>
        <w:instrText xml:space="preserve"> ADDIN ZOTERO_ITEM CSL_CITATION {"citationID":"YlSo0b0A","properties":{"formattedCitation":"\\super [32]\\nosupersub{}","plainCitation":"[32]","noteIndex":0},"citationItems":[{"id":1710,"uris":["http://zotero.org/users/5302874/items/SJ569L4N"],"uri":["http://zotero.org/users/5302874/items/SJ569L4N"],"itemData":{"id":1710,"type":"article-journal","abstract":"Background and objectives: Data suggests that nearly 30% of the general population have steatosis and up to 5% of this population develops nonalcoholic steatohepatitis (NASH). Liver biopsy is still considered to be the gold standard for the diagnosis of NASH. Great effort is being made toward the identification of sensitive diagnostic tests that do not involve invasive procedures to address a common concern in patients with the nonalcoholic fatty liver disease—whether they have NASH or simple steatosis. We aimed to investigate the independent predictors and develop a non-invasive, easy-to-perform, low-cost set of parameters that may be used in clinical practice to differentiate simple steatosis from NASH. Methods: А cross-sectional study of nonalcoholic fatty liver disease (NAFLD) patients divided into two groups: group I—simple steatosis (SS) and group II—biopsy-proven NASH. Strict inclusion criteria and stepwise analysis allowed the evaluation of a vast number of measured/estimated parameters. Results: One hundred and eleven patients were included—82 with simple steatosis and 29 with biopsy-proven NASH. The probability of NASH was the highest when homeostatic model assessment of insulin resistance (HOMA-IR) was above 2.5, uric acid above 380 µmol/L, ferritin above 100 µg/L and ALT above 45 U/L. An acronym of using first letters was created and named the HUFA index. This combined model resulted in an area under the receiver operator characteristic curve (AUROC) of 0.94, provided sensitivity, specificity, positive predictive value and a negative predictive value for NASH of 70.3%, 95.1%, 83.1% and 90.0%, respectively. Conclusion: We suggest a simple non-invasive predictive index HUFA that encompasses four easily available parameters (HOMA-IR, uric acid, ferritin and ALT) to identify patients with NASH, which may reduce the need for a liver biopsy on a routine basis in patients with NAFLD.","container-title":"Medicina","DOI":"10.3390/medicina55060243","ISSN":"1010-660X","issue":"6","journalAbbreviation":"Medicina (Kaunas)","note":"PMID: 31163711\nPMCID: PMC6631799","source":"PubMed Central","title":"A Simple Index for Nonalcoholic Steatohepatitis—HUFA—Based on Routinely Performed Blood Tests","URL":"https://www.ncbi.nlm.nih.gov/pmc/articles/PMC6631799/","volume":"55","author":[{"family":"Culafic","given":"Milica"},{"family":"Vezmar Kovacevic","given":"Sandra"},{"family":"Dopsaj","given":"Violeta"},{"family":"Stulic","given":"Milos"},{"family":"Vlaisavljevic","given":"Zeljko"},{"family":"Miljkovic","given":"Branislava"},{"family":"Culafic","given":"Djordje"}],"accessed":{"date-parts":[["2019",12,31]]},"issued":{"date-parts":[["2019",6,3]]}}}],"schema":"https://github.com/citation-style-language/schema/raw/master/csl-citation.json"} </w:instrText>
      </w:r>
      <w:r w:rsidRPr="00FC0E00">
        <w:rPr>
          <w:rFonts w:ascii="Book Antiqua" w:hAnsi="Book Antiqua"/>
          <w:i/>
          <w:sz w:val="24"/>
          <w:szCs w:val="24"/>
        </w:rPr>
        <w:fldChar w:fldCharType="separate"/>
      </w:r>
      <w:r w:rsidR="00766D5D" w:rsidRPr="00FC0E00">
        <w:rPr>
          <w:rFonts w:ascii="Book Antiqua" w:hAnsi="Book Antiqua" w:cs="Times New Roman"/>
          <w:sz w:val="24"/>
          <w:szCs w:val="24"/>
          <w:vertAlign w:val="superscript"/>
        </w:rPr>
        <w:t>[32]</w:t>
      </w:r>
      <w:r w:rsidRPr="00FC0E00">
        <w:rPr>
          <w:rFonts w:ascii="Book Antiqua" w:hAnsi="Book Antiqua"/>
          <w:i/>
          <w:sz w:val="24"/>
          <w:szCs w:val="24"/>
        </w:rPr>
        <w:fldChar w:fldCharType="end"/>
      </w:r>
      <w:r w:rsidRPr="00FC0E00">
        <w:rPr>
          <w:rFonts w:ascii="Book Antiqua" w:hAnsi="Book Antiqua"/>
          <w:sz w:val="24"/>
          <w:szCs w:val="24"/>
        </w:rPr>
        <w:t xml:space="preserve"> whereby they proposed a model to predict NASH from simple steatosis in a NAFLD cohort. The HUFA-model incorporates; HOMA-IR, </w:t>
      </w:r>
      <w:r w:rsidR="0070186F" w:rsidRPr="00FC0E00">
        <w:rPr>
          <w:rFonts w:ascii="Book Antiqua" w:hAnsi="Book Antiqua"/>
          <w:sz w:val="24"/>
          <w:szCs w:val="24"/>
          <w:lang w:eastAsia="en-GB"/>
        </w:rPr>
        <w:t>UA</w:t>
      </w:r>
      <w:r w:rsidRPr="00FC0E00">
        <w:rPr>
          <w:rFonts w:ascii="Book Antiqua" w:hAnsi="Book Antiqua"/>
          <w:sz w:val="24"/>
          <w:szCs w:val="24"/>
        </w:rPr>
        <w:t xml:space="preserve">, Ferritin and ALT. </w:t>
      </w:r>
      <w:r w:rsidRPr="00FC0E00">
        <w:rPr>
          <w:rFonts w:ascii="Book Antiqua" w:hAnsi="Book Antiqua"/>
          <w:sz w:val="24"/>
          <w:szCs w:val="24"/>
          <w:shd w:val="clear" w:color="auto" w:fill="FFFFFF"/>
        </w:rPr>
        <w:t>Patients were subdivided into two cohorts: those with simple steatosis</w:t>
      </w:r>
      <w:r w:rsidR="0018248F">
        <w:rPr>
          <w:rFonts w:ascii="Book Antiqua" w:hAnsi="Book Antiqua"/>
          <w:sz w:val="24"/>
          <w:szCs w:val="24"/>
          <w:shd w:val="clear" w:color="auto" w:fill="FFFFFF"/>
        </w:rPr>
        <w:t xml:space="preserve"> </w:t>
      </w:r>
      <w:r w:rsidRPr="00FC0E00">
        <w:rPr>
          <w:rFonts w:ascii="Book Antiqua" w:hAnsi="Book Antiqua"/>
          <w:sz w:val="24"/>
          <w:szCs w:val="24"/>
          <w:shd w:val="clear" w:color="auto" w:fill="FFFFFF"/>
        </w:rPr>
        <w:t>and NASH. In total, 82 patients had simple steatosis (33 with a representative liver biopsy) and 29 individuals demonstrated biopsy-proven NASH.</w:t>
      </w:r>
      <w:r w:rsidRPr="00FC0E00">
        <w:rPr>
          <w:rFonts w:ascii="Book Antiqua" w:hAnsi="Book Antiqua"/>
          <w:sz w:val="24"/>
          <w:szCs w:val="24"/>
        </w:rPr>
        <w:t xml:space="preserve"> There was a significant difference in the SUA between those with simple steatosis and those with biopsy confirmed NASH (SUA 346.2</w:t>
      </w:r>
      <w:r w:rsidR="00F75DBA">
        <w:rPr>
          <w:rFonts w:ascii="Book Antiqua" w:hAnsi="Book Antiqua"/>
          <w:sz w:val="24"/>
          <w:szCs w:val="24"/>
        </w:rPr>
        <w:t xml:space="preserve"> </w:t>
      </w:r>
      <w:r w:rsidR="0018248F" w:rsidRPr="0018248F">
        <w:rPr>
          <w:rFonts w:ascii="Book Antiqua" w:hAnsi="Book Antiqua"/>
          <w:sz w:val="24"/>
          <w:szCs w:val="24"/>
        </w:rPr>
        <w:t>±</w:t>
      </w:r>
      <w:r w:rsidR="0018248F">
        <w:rPr>
          <w:rFonts w:ascii="Book Antiqua" w:hAnsi="Book Antiqua"/>
          <w:sz w:val="24"/>
          <w:szCs w:val="24"/>
        </w:rPr>
        <w:t xml:space="preserve"> </w:t>
      </w:r>
      <w:r w:rsidRPr="00FC0E00">
        <w:rPr>
          <w:rFonts w:ascii="Book Antiqua" w:hAnsi="Book Antiqua"/>
          <w:sz w:val="24"/>
          <w:szCs w:val="24"/>
        </w:rPr>
        <w:t>84.7</w:t>
      </w:r>
      <w:r w:rsidR="00F75DBA">
        <w:rPr>
          <w:rFonts w:ascii="Book Antiqua" w:hAnsi="Book Antiqua"/>
          <w:sz w:val="24"/>
          <w:szCs w:val="24"/>
        </w:rPr>
        <w:t xml:space="preserve"> </w:t>
      </w:r>
      <w:r w:rsidR="0018248F" w:rsidRPr="00FC0E00">
        <w:rPr>
          <w:rFonts w:ascii="Book Antiqua" w:hAnsi="Book Antiqua"/>
          <w:sz w:val="24"/>
          <w:szCs w:val="24"/>
        </w:rPr>
        <w:t>µmol/L</w:t>
      </w:r>
      <w:r w:rsidRPr="00FC0E00">
        <w:rPr>
          <w:rFonts w:ascii="Book Antiqua" w:hAnsi="Book Antiqua"/>
          <w:sz w:val="24"/>
          <w:szCs w:val="24"/>
        </w:rPr>
        <w:t xml:space="preserve"> </w:t>
      </w:r>
      <w:r w:rsidRPr="0018248F">
        <w:rPr>
          <w:rFonts w:ascii="Book Antiqua" w:hAnsi="Book Antiqua"/>
          <w:i/>
          <w:iCs/>
          <w:sz w:val="24"/>
          <w:szCs w:val="24"/>
        </w:rPr>
        <w:t>vs</w:t>
      </w:r>
      <w:r w:rsidRPr="00FC0E00">
        <w:rPr>
          <w:rFonts w:ascii="Book Antiqua" w:hAnsi="Book Antiqua"/>
          <w:sz w:val="24"/>
          <w:szCs w:val="24"/>
        </w:rPr>
        <w:t xml:space="preserve"> 423.5</w:t>
      </w:r>
      <w:r w:rsidR="00F75DBA">
        <w:rPr>
          <w:rFonts w:ascii="Book Antiqua" w:hAnsi="Book Antiqua"/>
          <w:sz w:val="24"/>
          <w:szCs w:val="24"/>
        </w:rPr>
        <w:t xml:space="preserve"> </w:t>
      </w:r>
      <w:r w:rsidR="0018248F" w:rsidRPr="0018248F">
        <w:rPr>
          <w:rFonts w:ascii="Book Antiqua" w:hAnsi="Book Antiqua"/>
          <w:sz w:val="24"/>
          <w:szCs w:val="24"/>
        </w:rPr>
        <w:t>±</w:t>
      </w:r>
      <w:r w:rsidRPr="00FC0E00">
        <w:rPr>
          <w:rFonts w:ascii="Book Antiqua" w:hAnsi="Book Antiqua"/>
          <w:sz w:val="24"/>
          <w:szCs w:val="24"/>
        </w:rPr>
        <w:t xml:space="preserve"> 83.1</w:t>
      </w:r>
      <w:r w:rsidR="00F75DBA">
        <w:rPr>
          <w:rFonts w:ascii="Book Antiqua" w:hAnsi="Book Antiqua"/>
          <w:sz w:val="24"/>
          <w:szCs w:val="24"/>
        </w:rPr>
        <w:t xml:space="preserve"> </w:t>
      </w:r>
      <w:r w:rsidR="0018248F" w:rsidRPr="00FC0E00">
        <w:rPr>
          <w:rFonts w:ascii="Book Antiqua" w:hAnsi="Book Antiqua"/>
          <w:sz w:val="24"/>
          <w:szCs w:val="24"/>
        </w:rPr>
        <w:t>µmol/L</w:t>
      </w:r>
      <w:r w:rsidR="0018248F">
        <w:rPr>
          <w:rFonts w:ascii="Book Antiqua" w:hAnsi="Book Antiqua"/>
          <w:sz w:val="24"/>
          <w:szCs w:val="24"/>
        </w:rPr>
        <w:t>,</w:t>
      </w:r>
      <w:r w:rsidRPr="00FC0E00">
        <w:rPr>
          <w:rFonts w:ascii="Book Antiqua" w:hAnsi="Book Antiqua"/>
          <w:sz w:val="24"/>
          <w:szCs w:val="24"/>
        </w:rPr>
        <w:t xml:space="preserve"> </w:t>
      </w:r>
      <w:r w:rsidR="0018248F">
        <w:rPr>
          <w:rFonts w:ascii="Book Antiqua" w:hAnsi="Book Antiqua"/>
          <w:i/>
          <w:iCs/>
          <w:sz w:val="24"/>
          <w:szCs w:val="24"/>
        </w:rPr>
        <w:t xml:space="preserve">P </w:t>
      </w:r>
      <w:r w:rsidRPr="00FC0E00">
        <w:rPr>
          <w:rFonts w:ascii="Book Antiqua" w:hAnsi="Book Antiqua"/>
          <w:sz w:val="24"/>
          <w:szCs w:val="24"/>
        </w:rPr>
        <w:t>=</w:t>
      </w:r>
      <w:r w:rsidR="0018248F">
        <w:rPr>
          <w:rFonts w:ascii="Book Antiqua" w:hAnsi="Book Antiqua"/>
          <w:sz w:val="24"/>
          <w:szCs w:val="24"/>
        </w:rPr>
        <w:t xml:space="preserve"> </w:t>
      </w:r>
      <w:r w:rsidRPr="00FC0E00">
        <w:rPr>
          <w:rFonts w:ascii="Book Antiqua" w:hAnsi="Book Antiqua"/>
          <w:sz w:val="24"/>
          <w:szCs w:val="24"/>
        </w:rPr>
        <w:t>0.001). Further analysis demonstrated that SUA levels correlated with inflammation on a histological basis. Overall, the model demonstrated that in combining all of the representative components, an area under the ROC curve of 0.94 was achieved. This corresponded to a sensitivity and sensitivity of 70.3% and 95.1% respectively for NASH. Similarly, this meant positive and negative predictive values of 83.1% and 90%.</w:t>
      </w:r>
    </w:p>
    <w:p w14:paraId="3096B1E0" w14:textId="77777777" w:rsidR="0018248F" w:rsidRDefault="0018248F" w:rsidP="0018248F">
      <w:pPr>
        <w:snapToGrid w:val="0"/>
        <w:spacing w:after="0" w:line="360" w:lineRule="auto"/>
        <w:jc w:val="both"/>
        <w:rPr>
          <w:rFonts w:ascii="Book Antiqua" w:hAnsi="Book Antiqua"/>
          <w:sz w:val="24"/>
          <w:szCs w:val="24"/>
        </w:rPr>
      </w:pPr>
    </w:p>
    <w:p w14:paraId="47391322" w14:textId="5F03D1DB" w:rsidR="00DC708F" w:rsidRPr="0018248F" w:rsidRDefault="00DC708F" w:rsidP="0018248F">
      <w:pPr>
        <w:snapToGrid w:val="0"/>
        <w:spacing w:after="0" w:line="360" w:lineRule="auto"/>
        <w:jc w:val="both"/>
        <w:rPr>
          <w:rFonts w:ascii="Book Antiqua" w:hAnsi="Book Antiqua"/>
          <w:sz w:val="24"/>
          <w:szCs w:val="24"/>
        </w:rPr>
      </w:pPr>
      <w:r w:rsidRPr="00FC0E00">
        <w:rPr>
          <w:rFonts w:ascii="Book Antiqua" w:hAnsi="Book Antiqua"/>
          <w:b/>
          <w:bCs/>
          <w:i/>
          <w:iCs/>
          <w:sz w:val="24"/>
          <w:szCs w:val="24"/>
        </w:rPr>
        <w:t>Lean-NAFLD</w:t>
      </w:r>
    </w:p>
    <w:p w14:paraId="739FD418" w14:textId="524E676A" w:rsidR="00DC708F" w:rsidRPr="00FC0E00" w:rsidRDefault="00DC708F" w:rsidP="00FC0E00">
      <w:pPr>
        <w:snapToGrid w:val="0"/>
        <w:spacing w:after="0" w:line="360" w:lineRule="auto"/>
        <w:jc w:val="both"/>
        <w:rPr>
          <w:rFonts w:ascii="Book Antiqua" w:hAnsi="Book Antiqua"/>
          <w:sz w:val="24"/>
          <w:szCs w:val="24"/>
          <w:lang w:eastAsia="en-GB"/>
        </w:rPr>
      </w:pPr>
      <w:r w:rsidRPr="00FC0E00">
        <w:rPr>
          <w:rFonts w:ascii="Book Antiqua" w:hAnsi="Book Antiqua"/>
          <w:sz w:val="24"/>
          <w:szCs w:val="24"/>
        </w:rPr>
        <w:t>While there are obviously parallels between elevated levels of SUA in patients with features of the metabolic syndrome; there is now significant interest in “lean-NAFLD”. This is traditionally defined as BMI &lt;</w:t>
      </w:r>
      <w:r w:rsidR="0018248F">
        <w:rPr>
          <w:rFonts w:ascii="Book Antiqua" w:hAnsi="Book Antiqua"/>
          <w:sz w:val="24"/>
          <w:szCs w:val="24"/>
        </w:rPr>
        <w:t xml:space="preserve"> </w:t>
      </w:r>
      <w:r w:rsidRPr="00FC0E00">
        <w:rPr>
          <w:rFonts w:ascii="Book Antiqua" w:hAnsi="Book Antiqua"/>
          <w:sz w:val="24"/>
          <w:szCs w:val="24"/>
        </w:rPr>
        <w:t>25; with variable geographical prevalence. In the United States; studies have suggested a prevalence of 7</w:t>
      </w:r>
      <w:r w:rsidR="0018248F">
        <w:rPr>
          <w:rFonts w:ascii="Book Antiqua" w:hAnsi="Book Antiqua"/>
          <w:sz w:val="24"/>
          <w:szCs w:val="24"/>
        </w:rPr>
        <w:t>%</w:t>
      </w:r>
      <w:r w:rsidRPr="00FC0E00">
        <w:rPr>
          <w:rFonts w:ascii="Book Antiqua" w:hAnsi="Book Antiqua"/>
          <w:sz w:val="24"/>
          <w:szCs w:val="24"/>
        </w:rPr>
        <w:t>-9%</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{"citationID":"zovAO9Jo","properties":{"formattedCitation":"\\super [33,34]\\nosupersub{}","plainCitation":"[33,34]","noteIndex":0},"citationItems":[{"id":1700,"uris":["http://zotero.org/users/5302874/items/39BPV93B"],"uri":["http://zotero.org/users/5302874/items/39BPV93B"],"itemData":{"id":1700,"type":"article-journal","abstract":"The presence of hepatic steatosis in individuals without a known cause of chronic liver disease, including excessive alcohol consumption, is the hallmark of nonalcoholic fatty liver disease (NAFLD). Although NAFLD is usually associated with obesity, nonobese patients can also present with NAFLD (\"lean NAFLD\"). Our objective was to determine factors independently associated with lean NAFLD in the United States population. For this purpose, we used data from National Health and Nutrition Examination Survey III (NHANES III) conducted between 1988 and 1994 with available hepatic ultrasound, clinico-demographic, and laboratory data. NAFLD was defined as the presence of moderate-severe hepatic steatosis (by ultrasound), the absence of excessive alcohol use (&gt;20 g/d in men and 10 g/d in women), hepatitis B surface antigen(-), and hepatitis C antibody(-). Nonalcoholic steatohepatitis (NASH) was defined as having moderate-severe steatosis and elevated aminotransferases in the presence of type 2 diabetes or insulin resistance (IR). Logistic regression was used to identify independent predictors of lean NAFLD. As a result, of the 11,613 participants included in the study, 2185 (18.77% ± 0.76%) had NAFLD; of these, 307 (11.78% ± 1.03%) had NASH. Multivariate analysis showed that lean NAFLD was independently associated with younger age, female sex, and a decreased likelihood of having IR and hypercholesterolemia (p values &lt; 0.05). Additionally, multivariate analysis showed that NASH was independently associated with being Hispanic, having a younger age, and having components of metabolic syndrome such as hypertension (p values &lt; 0.05). Therefore, we conclude that lean individuals with NAFLD have a different clinical profile than overweight-obese individuals with NAFLD. Furthermore, patients with NASH are commonly Hispanic and have components of metabolic syndrome.","container-title":"Medicine","DOI":"10.1097/MD.0b013e3182779d49","ISSN":"1536-5964","issue":"6","journalAbbreviation":"Medicine (Baltimore)","language":"eng","note":"PMID: 23117851","page":"319-327","source":"PubMed","title":"Nonalcoholic fatty liver disease in lean individuals in the United States","volume":"91","author":[{"family":"Younossi","given":"Zobair M."},{"family":"Stepanova","given":"Maria"},{"family":"Negro","given":"Francesco"},{"family":"Hallaji","given":"Shareh"},{"family":"Younossi","given":"Youssef"},{"family":"Lam","given":"Brian"},{"family":"Srishord","given":"Manirath"}],"issued":{"date-parts":[["2012",11]]}}},{"id":1698,"uris":["http://zotero.org/users/5302874/items/JXY5NGCX"],"uri":["http://zotero.org/users/5302874/items/JXY5NGCX"],"itemData":{"id":1698,"type":"article-journal","abstract":"Despite the increasing prevalence of nonalcoholic fatty liver disease (NAFLD), its pathogenesis and clinical significance remain poorly defined. In this study, we examined and compared the distribution of hepatic triglyceride content (HTGC) in 2,287 subjects from a multiethnic, population-based sample (32.1% white, 48.3% black, and 17.5% Hispanic) using proton magnetic resonance spectroscopy. HTGC varied over a wide range (0.0%-41.7%; median, 3.6%) in the population. Almost one third of the population had hepatic steatosis, and most subjects with hepatic steatosis had normal levels of serum alanine aminotransferase (79%). The frequency of hepatic steatosis varied significantly with ethnicity (45% in Hispanics; 33% in whites; 24% in blacks) and sex (42% in white men; 24% in white women). The higher prevalence of hepatic steatosis in Hispanics was due to the higher prevalence of obesity and insulin resistance in this ethnic group. However, the lower frequency of hepatic steatosis in blacks was not explained by ethnic differences in body mass index, insulin resistance, ethanol ingestion, or medication use. The prevalence of hepatic steatosis was greater in men than women among whites, but not in blacks or Hispanics. The ethnic differences in the frequency of hepatic steatosis in this study mirror those observed previously for NAFLD-related cirrhosis (Hispanics &gt; whites &gt; blacks). In conclusion, the significant ethnic and sex differences in the prevalence of hepatic steatosis documented in this study may have a profound impact on susceptibility to steatosis-related liver disease.","container-title":"Hepatology (Baltimore, Md.)","DOI":"10.1002/hep.20466","ISSN":"0270-9139","issue":"6","journalAbbreviation":"Hepatology","language":"eng","note":"PMID: 15565570","page":"1387-1395","source":"PubMed","title":"Prevalence of hepatic steatosis in an urban population in the United States: impact of ethnicity","title-short":"Prevalence of hepatic steatosis in an urban population in the United States","volume":"40","author":[{"family":"Browning","given":"Jeffrey D."},{"family":"Szczepaniak","given":"Lidia S."},{"family":"Dobbins","given":"Robert"},{"family":"Nuremberg","given":"Pamela"},{"family":"Horton","given":"Jay D."},{"family":"Cohen","given":"Jonathan C."},{"family":"Grundy","given":"Scott M."},{"family":"Hobbs","given":"Helen H."}],"issued":{"date-parts":[["2004",12]]}}}],"schema":"https://github.com/citation-style-language/schema/raw/master/csl-citation.json"}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[33,34]</w:t>
      </w:r>
      <w:r w:rsidR="0018248F" w:rsidRPr="00FC0E00">
        <w:rPr>
          <w:rFonts w:ascii="Book Antiqua" w:hAnsi="Book Antiqua"/>
          <w:sz w:val="24"/>
          <w:szCs w:val="24"/>
        </w:rPr>
        <w:fldChar w:fldCharType="end"/>
      </w:r>
      <w:r w:rsidRPr="00FC0E00">
        <w:rPr>
          <w:rFonts w:ascii="Book Antiqua" w:hAnsi="Book Antiqua"/>
          <w:sz w:val="24"/>
          <w:szCs w:val="24"/>
        </w:rPr>
        <w:t>, this is in contrast to reported prevalence rates in Hong-Kong</w:t>
      </w:r>
      <w:r w:rsidR="00033398" w:rsidRPr="00FC0E00">
        <w:rPr>
          <w:rFonts w:ascii="Book Antiqua" w:hAnsi="Book Antiqua"/>
          <w:sz w:val="24"/>
          <w:szCs w:val="24"/>
        </w:rPr>
        <w:t>, China</w:t>
      </w:r>
      <w:r w:rsidRPr="00FC0E00">
        <w:rPr>
          <w:rFonts w:ascii="Book Antiqua" w:hAnsi="Book Antiqua"/>
          <w:sz w:val="24"/>
          <w:szCs w:val="24"/>
        </w:rPr>
        <w:t xml:space="preserve"> (19.3%)</w:t>
      </w:r>
      <w:r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{"citationID":"EPYYdLct","properties":{"formattedCitation":"\\super [35]\\nosupersub{}","plainCitation":"[35]","noteIndex":0},"citationItems":[{"id":1702,"uris":["http://zotero.org/users/5302874/items/UTUUL2WA"],"uri":["http://zotero.org/users/5302874/items/UTUUL2WA"],"itemData":{"id":1702,"type":"article-journal","abstract":"OBJECTIVES: Some studies suggest that non-obese patients with nonalcoholic fatty liver disease (NAFLD) may have more severe disease. We aim to study the epidemiology and severity of non-obese NAFLD.\nMETHODS: A total of 911 community subjects were randomly recruited from the census database of the Hong Kong Government. Intrahepatic triglycerides (IHTG) and liver fibrosis were assessed by proton-magnetic resonance spectroscopy and transient elastography, respectively. The Asian body mass index cutoff of 25</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kg/m(2) was used to define non-obese NAFLD.\nRESULTS: The prevalence of NAFLD was 19.3% in non-obese subjects and 60.5% in obese subjects (P&lt;0.001). Compared with obese NAFLD patients, non-obese NAFLD patients had similar IHTG content (median 9.8% vs. 9.9%; P=0.100) but lower cytokeratin-18 fragments (149 vs. 182</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IU/l; P=0.019) and liver stiffness (4.6 vs. 5.6</w:instrText>
      </w:r>
      <w:r w:rsidR="00766D5D" w:rsidRPr="00FC0E00">
        <w:rPr>
          <w:rFonts w:ascii="MS Mincho" w:eastAsia="MS Mincho" w:hAnsi="MS Mincho" w:cs="MS Mincho" w:hint="eastAsia"/>
          <w:sz w:val="24"/>
          <w:szCs w:val="24"/>
        </w:rPr>
        <w:instrText> </w:instrText>
      </w:r>
      <w:r w:rsidR="00766D5D" w:rsidRPr="00FC0E00">
        <w:rPr>
          <w:rFonts w:ascii="Book Antiqua" w:hAnsi="Book Antiqua"/>
          <w:sz w:val="24"/>
          <w:szCs w:val="24"/>
        </w:rPr>
        <w:instrText xml:space="preserve">kPa; P&lt;0.001). The G allele at the patatin-like phospholipase domain-containing protein 3 gene (PNPLA3 rs738409) was more common in non-obese than obese NAFLD patients (78.4% vs. 59.8%; P=0.001). Obesity, high hemoglobin A1c, insulin resistance, hyperferritinemia, and the PNPLA3 G allele were independent factors associated with NAFLD in non-obese subjects. Even among non-obese subjects with normoglycemia, those with NAFLD were more insulin resistant (mean homeostasis model assessment of insulin resistance: 2.0±1.0 vs. 1.1±1.1; P&lt;0.001).\nCONCLUSIONS: One-fifth of the general non-obese Chinese population has NAFLD. Non-obese patients with NAFLD do not have a higher risk of steatohepatitis or advanced fibrosis. Patients with risk factors of advanced fibrosis such as metabolic syndrome and PNPLA3 G allele carriage should be assessed for severe NAFLD.","container-title":"The American Journal of Gastroenterology","DOI":"10.1038/ajg.2015.235","ISSN":"1572-0241","issue":"9","journalAbbreviation":"Am. J. Gastroenterol.","language":"eng","note":"PMID: 26215532","page":"1306-1314; quiz 1315","source":"PubMed","title":"Prevalence and Severity of Nonalcoholic Fatty Liver Disease in Non-Obese Patients: A Population Study Using Proton-Magnetic Resonance Spectroscopy","title-short":"Prevalence and Severity of Nonalcoholic Fatty Liver Disease in Non-Obese Patients","volume":"110","author":[{"family":"Wei","given":"Jeremy Lok"},{"family":"Leung","given":"Jonathan Chung-Fai"},{"family":"Loong","given":"Thomson Chi-Wang"},{"family":"Wong","given":"Grace Lai-Hung"},{"family":"Yeung","given":"David Ka-Wai"},{"family":"Chan","given":"Ruth Suk-Mei"},{"family":"Chan","given":"Henry Lik-Yuen"},{"family":"Chim","given":"Angel Mei-Ling"},{"family":"Woo","given":"Jean"},{"family":"Chu","given":"Winnie Chiu-Wing"},{"family":"Wong","given":"Vincent Wai-Sun"}],"issued":{"date-parts":[["2015",9]]}}}],"schema":"https://github.com/citation-style-language/schema/raw/master/csl-citation.json"} </w:instrText>
      </w:r>
      <w:r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[35]</w:t>
      </w:r>
      <w:r w:rsidRPr="00FC0E00">
        <w:rPr>
          <w:rFonts w:ascii="Book Antiqua" w:hAnsi="Book Antiqua"/>
          <w:sz w:val="24"/>
          <w:szCs w:val="24"/>
        </w:rPr>
        <w:fldChar w:fldCharType="end"/>
      </w:r>
      <w:r w:rsidRPr="00FC0E00">
        <w:rPr>
          <w:rFonts w:ascii="Book Antiqua" w:hAnsi="Book Antiqua"/>
          <w:sz w:val="24"/>
          <w:szCs w:val="24"/>
        </w:rPr>
        <w:t xml:space="preserve"> and other Asian-Pacific</w:t>
      </w:r>
      <w:r w:rsidR="00C619C2" w:rsidRPr="00FC0E00">
        <w:rPr>
          <w:rFonts w:ascii="Book Antiqua" w:hAnsi="Book Antiqua"/>
          <w:sz w:val="24"/>
          <w:szCs w:val="24"/>
        </w:rPr>
        <w:t xml:space="preserve"> countries and</w:t>
      </w:r>
      <w:r w:rsidRPr="00FC0E00">
        <w:rPr>
          <w:rFonts w:ascii="Book Antiqua" w:hAnsi="Book Antiqua"/>
          <w:sz w:val="24"/>
          <w:szCs w:val="24"/>
        </w:rPr>
        <w:t xml:space="preserve"> </w:t>
      </w:r>
      <w:r w:rsidR="00033398" w:rsidRPr="00FC0E00">
        <w:rPr>
          <w:rFonts w:ascii="Book Antiqua" w:hAnsi="Book Antiqua"/>
          <w:sz w:val="24"/>
          <w:szCs w:val="24"/>
        </w:rPr>
        <w:t>regions</w:t>
      </w:r>
      <w:r w:rsidRPr="00FC0E00">
        <w:rPr>
          <w:rFonts w:ascii="Book Antiqua" w:hAnsi="Book Antiqua"/>
          <w:sz w:val="24"/>
          <w:szCs w:val="24"/>
        </w:rPr>
        <w:t xml:space="preserve"> with incidence purportedly of 5</w:t>
      </w:r>
      <w:r w:rsidR="0018248F">
        <w:rPr>
          <w:rFonts w:ascii="Book Antiqua" w:hAnsi="Book Antiqua"/>
          <w:sz w:val="24"/>
          <w:szCs w:val="24"/>
        </w:rPr>
        <w:t>%</w:t>
      </w:r>
      <w:r w:rsidRPr="00FC0E00">
        <w:rPr>
          <w:rFonts w:ascii="Book Antiqua" w:hAnsi="Book Antiqua"/>
          <w:sz w:val="24"/>
          <w:szCs w:val="24"/>
        </w:rPr>
        <w:t>-30% depending on the populations studied</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{"citationID":"lCO4p1cB","properties":{"formattedCitation":"\\super [36]\\nosupersub{}","plainCitation":"[36]","noteIndex":0},"citationItems":[{"id":1704,"uris":["http://zotero.org/users/5302874/items/IEIXIJH6"],"uri":["http://zotero.org/users/5302874/items/IEIXIJH6"],"itemData":{"id":1704,"type":"article-journal","abstract":"Risk factors for development of non-alcoholic steatohepatitis include obesity, especially central adiposity, glucose intolerance or type 2 diabetes mellitus (T2DM), and dyslipidemia. Non-alcoholic fatty liver disease (NAFLD) is now considered a manifestation of metabolic syndrome. During the last two decades, NAFLD has become the most common chronic liver disease in North America and Europe, but until recently was thought to be uncommon (perhaps due to the lack of study) in Asia. Fatty liver can be identified on imaging modalities (ultrasonography, computed tomography scans, and magnetic resonance imaging) with high sensitivity, but steatohepatitis and fibrosis cannot be distinguished. Thus, an inherent drawback in studying the epidemiology of NAFLD is the lack of definitive laboratory tests, no uniform definition-with different studies using cut-off values of alcohol consumption from &lt;20 g/week to 210 g/week, and case selections where biopsy was used for definition. In studies outside the region, the prevalence of NAFLD varies from 16% to 42% by imaging, and 15-39% of liver biopsies. The major risk factors for NAFLD, central obesity, T2DM, dyslipidemia, and metabolic syndrome, are now widely prevalent and are increasing geometrically in the Asia-Pacific region. It is therefore not surprising that NAFLD is common in this region. Estimates of current prevalence range from 5% to 30%, depending on the population studied. Central obesity, diabetes, and metabolic syndrome are the major risk factors. To date, however, data on the natural history and impact of NAFLD causing serious significant chronic liver disease are lacking and there is a need for prospective, cooperative studies.","container-title":"Journal of Gastroenterology and Hepatology","DOI":"10.1111/j.1440-1746.2007.05042.x","ISSN":"0815-9319","issue":"6","journalAbbreviation":"J. Gastroenterol. Hepatol.","language":"eng","note":"PMID: 17565631","page":"788-793","source":"PubMed","title":"How common is non-alcoholic fatty liver disease in the Asia-Pacific region and are there local differences?","volume":"22","author":[{"family":"Amarapurkar","given":"Deepak N."},{"family":"Hashimoto","given":"Estsuko"},{"family":"Lesmana","given":"Laurentius A."},{"family":"Sollano","given":"José D."},{"family":"Chen","given":"Pei-Jer"},{"family":"Goh","given":"Khean-Lee"},{"literal":"Asia-Pacific Working Party on NAFLD"}],"issued":{"date-parts":[["2007",6]]}}}],"schema":"https://github.com/citation-style-language/schema/raw/master/csl-citation.json"}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[36]</w:t>
      </w:r>
      <w:r w:rsidR="0018248F" w:rsidRPr="00FC0E00">
        <w:rPr>
          <w:rFonts w:ascii="Book Antiqua" w:hAnsi="Book Antiqua"/>
          <w:sz w:val="24"/>
          <w:szCs w:val="24"/>
        </w:rPr>
        <w:fldChar w:fldCharType="end"/>
      </w:r>
      <w:r w:rsidRPr="00FC0E00">
        <w:rPr>
          <w:rFonts w:ascii="Book Antiqua" w:hAnsi="Book Antiqua"/>
          <w:sz w:val="24"/>
          <w:szCs w:val="24"/>
        </w:rPr>
        <w:t>.</w:t>
      </w:r>
      <w:r w:rsidR="0018248F" w:rsidRPr="00FC0E00">
        <w:rPr>
          <w:rFonts w:ascii="Book Antiqua" w:hAnsi="Book Antiqua"/>
          <w:sz w:val="24"/>
          <w:szCs w:val="24"/>
          <w:lang w:eastAsia="en-GB"/>
        </w:rPr>
        <w:t xml:space="preserve"> </w:t>
      </w:r>
    </w:p>
    <w:p w14:paraId="55988744" w14:textId="0416C2E6" w:rsidR="00C64961" w:rsidRPr="00FC0E00" w:rsidRDefault="00DC708F"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rPr>
        <w:t>A large study by Zheng</w:t>
      </w:r>
      <w:r w:rsidR="0018248F">
        <w:rPr>
          <w:rFonts w:ascii="Book Antiqua" w:hAnsi="Book Antiqua"/>
          <w:sz w:val="24"/>
          <w:szCs w:val="24"/>
        </w:rPr>
        <w:t xml:space="preserve"> </w:t>
      </w:r>
      <w:r w:rsidR="0018248F" w:rsidRPr="0018248F">
        <w:rPr>
          <w:rFonts w:ascii="Book Antiqua" w:hAnsi="Book Antiqua"/>
          <w:i/>
          <w:iCs/>
          <w:sz w:val="24"/>
          <w:szCs w:val="24"/>
        </w:rPr>
        <w:t>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{"citationID":"yET302ut","properties":{"formattedCitation":"\\super [28]\\nosupersub{}","plainCitation":"[28]","noteIndex":0},"citationItems":[{"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[28]</w:t>
      </w:r>
      <w:r w:rsidR="0018248F" w:rsidRPr="00FC0E00">
        <w:rPr>
          <w:rFonts w:ascii="Book Antiqua" w:hAnsi="Book Antiqua"/>
          <w:sz w:val="24"/>
          <w:szCs w:val="24"/>
        </w:rPr>
        <w:fldChar w:fldCharType="end"/>
      </w:r>
      <w:r w:rsidRPr="00FC0E00">
        <w:rPr>
          <w:rFonts w:ascii="Book Antiqua" w:hAnsi="Book Antiqua"/>
          <w:sz w:val="24"/>
          <w:szCs w:val="24"/>
        </w:rPr>
        <w:t xml:space="preserve"> and colleagues analysed 95924 patients from routine clinic appointments in Chongqing, China. The found lean-NAFLD in 7503 participants (8.16%), with 6967 having mild steatosis and 536 with moderate to severe disease. </w:t>
      </w:r>
      <w:r w:rsidRPr="00FC0E00">
        <w:rPr>
          <w:rFonts w:ascii="Book Antiqua" w:hAnsi="Book Antiqua"/>
          <w:sz w:val="24"/>
          <w:szCs w:val="24"/>
          <w:shd w:val="clear" w:color="auto" w:fill="FFFFFF"/>
        </w:rPr>
        <w:t>Those patients normal BMI with hyperuricaemia demonstrated an increased preponderance to NAFLD (OR</w:t>
      </w:r>
      <w:r w:rsidR="0018248F">
        <w:rPr>
          <w:rFonts w:ascii="Book Antiqua" w:hAnsi="Book Antiqua"/>
          <w:sz w:val="24"/>
          <w:szCs w:val="24"/>
          <w:shd w:val="clear" w:color="auto" w:fill="FFFFFF"/>
        </w:rPr>
        <w:t xml:space="preserve"> =</w:t>
      </w:r>
      <w:r w:rsidRPr="00FC0E00">
        <w:rPr>
          <w:rFonts w:ascii="Book Antiqua" w:hAnsi="Book Antiqua"/>
          <w:sz w:val="24"/>
          <w:szCs w:val="24"/>
          <w:shd w:val="clear" w:color="auto" w:fill="FFFFFF"/>
        </w:rPr>
        <w:t xml:space="preserve"> 1.718; 95%CI</w:t>
      </w:r>
      <w:r w:rsidR="0018248F">
        <w:rPr>
          <w:rFonts w:ascii="Book Antiqua" w:hAnsi="Book Antiqua"/>
          <w:sz w:val="24"/>
          <w:szCs w:val="24"/>
          <w:shd w:val="clear" w:color="auto" w:fill="FFFFFF"/>
        </w:rPr>
        <w:t>:</w:t>
      </w:r>
      <w:r w:rsidRPr="00FC0E00">
        <w:rPr>
          <w:rFonts w:ascii="Book Antiqua" w:hAnsi="Book Antiqua"/>
          <w:sz w:val="24"/>
          <w:szCs w:val="24"/>
          <w:shd w:val="clear" w:color="auto" w:fill="FFFFFF"/>
        </w:rPr>
        <w:t xml:space="preserve"> </w:t>
      </w:r>
      <w:r w:rsidRPr="00FC0E00">
        <w:rPr>
          <w:rFonts w:ascii="Book Antiqua" w:hAnsi="Book Antiqua"/>
          <w:sz w:val="24"/>
          <w:szCs w:val="24"/>
          <w:shd w:val="clear" w:color="auto" w:fill="FFFFFF"/>
        </w:rPr>
        <w:lastRenderedPageBreak/>
        <w:t xml:space="preserve">1.622-1.820) upon correction for confounding metabolic sequelae. The area under curve for identification of mild steatosis based on SUA was 0.70; whilst its utility in the detection of moderate and severe fatty liver was 0.78. </w:t>
      </w:r>
    </w:p>
    <w:p w14:paraId="578A20EE" w14:textId="29217874" w:rsidR="00E17365" w:rsidRPr="00FC0E00" w:rsidRDefault="004B7D4C"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shd w:val="clear" w:color="auto" w:fill="FFFFFF"/>
        </w:rPr>
        <w:t>In a separate Chinese cohort</w:t>
      </w:r>
      <w:r w:rsidR="0018248F" w:rsidRPr="00FC0E00">
        <w:rPr>
          <w:rFonts w:ascii="Book Antiqua" w:hAnsi="Book Antiqua"/>
          <w:sz w:val="24"/>
          <w:szCs w:val="24"/>
          <w:shd w:val="clear" w:color="auto" w:fill="FFFFFF"/>
        </w:rPr>
        <w:fldChar w:fldCharType="begin"/>
      </w:r>
      <w:r w:rsidR="0018248F" w:rsidRPr="00FC0E00">
        <w:rPr>
          <w:rFonts w:ascii="Book Antiqua" w:hAnsi="Book Antiqua"/>
          <w:sz w:val="24"/>
          <w:szCs w:val="24"/>
          <w:shd w:val="clear" w:color="auto" w:fill="FFFFFF"/>
        </w:rPr>
        <w:instrText xml:space="preserve"> ADDIN ZOTERO_ITEM CSL_CITATION {"citationID":"wjrnYxOv","properties":{"formattedCitation":"\\super [37]\\nosupersub{}","plainCitation":"[37]","noteIndex":0},"citationItems":[{"id":1713,"uris":["http://zotero.org/users/5302874/items/9UUILMGF"],"uri":["http://zotero.org/users/5302874/items/9UUILMGF"],"itemData":{"id":1713,"type":"article-journal","abstract":"Some metabolic factors and noninvasive markers, including fatty liver index (FLI), are used to predict nonalcoholic fatty liver disease (NAFLD) in obese patients. Despite the increasing prevalence of NAFLD in lean patients (lean-NAFLD), the risk factors and predictors are not well determined in this population. We investigated factors associated with lean-NAFLD and validated their predictive ability.","container-title":"Clinical and Translational Gastroenterology","DOI":"10.14309/ctg.0000000000000042","ISSN":"2155-384X","issue":"5","journalAbbreviation":"Clin Transl Gastroenterol","note":"PMID: 31082856\nPMCID: PMC6602768","source":"PubMed Central","title":"Role of Fatty Liver Index and Metabolic Factors in the Prediction of Nonalcoholic Fatty Liver Disease in a Lean Population Receiving Health Checkup","URL":"https://www.ncbi.nlm.nih.gov/pmc/articles/PMC6602768/","volume":"10","author":[{"family":"Hsu","given":"Chiao-Lin"},{"family":"Wu","given":"Fu-Zong"},{"family":"Lin","given":"Kung-Hung"},{"family":"Chen","given":"Yu-Hsun"},{"family":"Wu","given":"Pin-Chieh"},{"family":"Chen","given":"Yan-Hua"},{"family":"Chen","given":"Chi-Shen"},{"family":"Wang","given":"Wen-Hwa"},{"family":"Mar","given":"Guang-Yuan"},{"family":"Yu","given":"Hsien-Chung"}],"accessed":{"date-parts":[["2019",12,31]]},"issued":{"date-parts":[["2019",5,10]]}}}],"schema":"https://github.com/citation-style-language/schema/raw/master/csl-citation.json"} </w:instrText>
      </w:r>
      <w:r w:rsidR="0018248F" w:rsidRPr="00FC0E00">
        <w:rPr>
          <w:rFonts w:ascii="Book Antiqua" w:hAnsi="Book Antiqua"/>
          <w:sz w:val="24"/>
          <w:szCs w:val="24"/>
          <w:shd w:val="clear" w:color="auto" w:fill="FFFFFF"/>
        </w:rPr>
        <w:fldChar w:fldCharType="separate"/>
      </w:r>
      <w:r w:rsidR="0018248F" w:rsidRPr="00FC0E00">
        <w:rPr>
          <w:rFonts w:ascii="Book Antiqua" w:hAnsi="Book Antiqua" w:cs="Times New Roman"/>
          <w:sz w:val="24"/>
          <w:szCs w:val="24"/>
          <w:vertAlign w:val="superscript"/>
        </w:rPr>
        <w:t>[37]</w:t>
      </w:r>
      <w:r w:rsidR="0018248F" w:rsidRPr="00FC0E00">
        <w:rPr>
          <w:rFonts w:ascii="Book Antiqua" w:hAnsi="Book Antiqua"/>
          <w:sz w:val="24"/>
          <w:szCs w:val="24"/>
          <w:shd w:val="clear" w:color="auto" w:fill="FFFFFF"/>
        </w:rPr>
        <w:fldChar w:fldCharType="end"/>
      </w:r>
      <w:r w:rsidR="004229D0" w:rsidRPr="00FC0E00">
        <w:rPr>
          <w:rFonts w:ascii="Book Antiqua" w:hAnsi="Book Antiqua"/>
          <w:sz w:val="24"/>
          <w:szCs w:val="24"/>
          <w:shd w:val="clear" w:color="auto" w:fill="FFFFFF"/>
        </w:rPr>
        <w:t>,</w:t>
      </w:r>
      <w:r w:rsidRPr="00FC0E00">
        <w:rPr>
          <w:rFonts w:ascii="Book Antiqua" w:hAnsi="Book Antiqua"/>
          <w:sz w:val="24"/>
          <w:szCs w:val="24"/>
          <w:shd w:val="clear" w:color="auto" w:fill="FFFFFF"/>
        </w:rPr>
        <w:t xml:space="preserve"> </w:t>
      </w:r>
      <w:r w:rsidR="00E17365" w:rsidRPr="00FC0E00">
        <w:rPr>
          <w:rFonts w:ascii="Book Antiqua" w:hAnsi="Book Antiqua"/>
          <w:sz w:val="24"/>
          <w:szCs w:val="24"/>
          <w:shd w:val="clear" w:color="auto" w:fill="FFFFFF"/>
        </w:rPr>
        <w:t>9293 individuals undergoing routine health screens were assessed for evidence of lean-NAFLD using BMI &lt;</w:t>
      </w:r>
      <w:r w:rsidR="0018248F">
        <w:rPr>
          <w:rFonts w:ascii="Book Antiqua" w:hAnsi="Book Antiqua"/>
          <w:sz w:val="24"/>
          <w:szCs w:val="24"/>
          <w:shd w:val="clear" w:color="auto" w:fill="FFFFFF"/>
        </w:rPr>
        <w:t xml:space="preserve"> </w:t>
      </w:r>
      <w:r w:rsidR="00E17365" w:rsidRPr="00FC0E00">
        <w:rPr>
          <w:rFonts w:ascii="Book Antiqua" w:hAnsi="Book Antiqua"/>
          <w:sz w:val="24"/>
          <w:szCs w:val="24"/>
          <w:shd w:val="clear" w:color="auto" w:fill="FFFFFF"/>
        </w:rPr>
        <w:t>24 kg/m</w:t>
      </w:r>
      <w:r w:rsidR="00E17365" w:rsidRPr="0018248F">
        <w:rPr>
          <w:rFonts w:ascii="Book Antiqua" w:hAnsi="Book Antiqua"/>
          <w:sz w:val="24"/>
          <w:szCs w:val="24"/>
          <w:shd w:val="clear" w:color="auto" w:fill="FFFFFF"/>
          <w:vertAlign w:val="superscript"/>
        </w:rPr>
        <w:t>2</w:t>
      </w:r>
      <w:r w:rsidR="00E17365" w:rsidRPr="00FC0E00">
        <w:rPr>
          <w:rFonts w:ascii="Book Antiqua" w:hAnsi="Book Antiqua"/>
          <w:sz w:val="24"/>
          <w:szCs w:val="24"/>
          <w:shd w:val="clear" w:color="auto" w:fill="FFFFFF"/>
        </w:rPr>
        <w:t xml:space="preserve"> as the threshold. </w:t>
      </w:r>
      <w:r w:rsidR="0018248F">
        <w:rPr>
          <w:rFonts w:ascii="Book Antiqua" w:hAnsi="Book Antiqua"/>
          <w:sz w:val="24"/>
          <w:szCs w:val="24"/>
          <w:shd w:val="clear" w:color="auto" w:fill="FFFFFF"/>
        </w:rPr>
        <w:t>Seven hundred and forty</w:t>
      </w:r>
      <w:r w:rsidR="00E17365" w:rsidRPr="00FC0E00">
        <w:rPr>
          <w:rFonts w:ascii="Book Antiqua" w:hAnsi="Book Antiqua"/>
          <w:sz w:val="24"/>
          <w:szCs w:val="24"/>
          <w:shd w:val="clear" w:color="auto" w:fill="FFFFFF"/>
        </w:rPr>
        <w:t xml:space="preserve"> of those screened had sonographic and laboratory indices in keeping with NAFLD, thus giving an incidence of 18.5%. Again, </w:t>
      </w:r>
      <w:r w:rsidR="0018248F">
        <w:rPr>
          <w:rFonts w:ascii="Book Antiqua" w:hAnsi="Book Antiqua"/>
          <w:sz w:val="24"/>
          <w:szCs w:val="24"/>
          <w:shd w:val="clear" w:color="auto" w:fill="FFFFFF"/>
        </w:rPr>
        <w:t>S</w:t>
      </w:r>
      <w:r w:rsidR="00E17365" w:rsidRPr="00FC0E00">
        <w:rPr>
          <w:rFonts w:ascii="Book Antiqua" w:hAnsi="Book Antiqua"/>
          <w:sz w:val="24"/>
          <w:szCs w:val="24"/>
          <w:shd w:val="clear" w:color="auto" w:fill="FFFFFF"/>
        </w:rPr>
        <w:t>UA was independently associated with NAFLD. Across multiple appli</w:t>
      </w:r>
      <w:r w:rsidR="00A03ADF" w:rsidRPr="00FC0E00">
        <w:rPr>
          <w:rFonts w:ascii="Book Antiqua" w:hAnsi="Book Antiqua"/>
          <w:sz w:val="24"/>
          <w:szCs w:val="24"/>
          <w:shd w:val="clear" w:color="auto" w:fill="FFFFFF"/>
        </w:rPr>
        <w:t xml:space="preserve">ed regression analysis, </w:t>
      </w:r>
      <w:r w:rsidR="0018248F">
        <w:rPr>
          <w:rFonts w:ascii="Book Antiqua" w:hAnsi="Book Antiqua"/>
          <w:sz w:val="24"/>
          <w:szCs w:val="24"/>
          <w:shd w:val="clear" w:color="auto" w:fill="FFFFFF"/>
        </w:rPr>
        <w:t>S</w:t>
      </w:r>
      <w:r w:rsidR="00A03ADF" w:rsidRPr="00FC0E00">
        <w:rPr>
          <w:rFonts w:ascii="Book Antiqua" w:hAnsi="Book Antiqua"/>
          <w:sz w:val="24"/>
          <w:szCs w:val="24"/>
          <w:shd w:val="clear" w:color="auto" w:fill="FFFFFF"/>
        </w:rPr>
        <w:t>UA was a reproducible risk factor with a univariate OR</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 xml:space="preserve"> 1.435 (</w:t>
      </w:r>
      <w:r w:rsidR="0018248F" w:rsidRPr="0018248F">
        <w:rPr>
          <w:rFonts w:ascii="Book Antiqua" w:hAnsi="Book Antiqua"/>
          <w:i/>
          <w:iCs/>
          <w:sz w:val="24"/>
          <w:szCs w:val="24"/>
          <w:shd w:val="clear" w:color="auto" w:fill="FFFFFF"/>
        </w:rPr>
        <w:t>P</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&lt;</w:t>
      </w:r>
      <w:r w:rsidR="0018248F">
        <w:rPr>
          <w:rFonts w:ascii="Book Antiqua" w:hAnsi="Book Antiqua"/>
          <w:sz w:val="24"/>
          <w:szCs w:val="24"/>
          <w:shd w:val="clear" w:color="auto" w:fill="FFFFFF"/>
        </w:rPr>
        <w:t xml:space="preserve"> </w:t>
      </w:r>
      <w:r w:rsidR="00A03ADF" w:rsidRPr="00FC0E00">
        <w:rPr>
          <w:rFonts w:ascii="Book Antiqua" w:hAnsi="Book Antiqua"/>
          <w:sz w:val="24"/>
          <w:szCs w:val="24"/>
          <w:shd w:val="clear" w:color="auto" w:fill="FFFFFF"/>
        </w:rPr>
        <w:t>0.001)</w:t>
      </w:r>
      <w:r w:rsidR="008D7FD9" w:rsidRPr="00FC0E00">
        <w:rPr>
          <w:rFonts w:ascii="Book Antiqua" w:hAnsi="Book Antiqua"/>
          <w:sz w:val="24"/>
          <w:szCs w:val="24"/>
          <w:shd w:val="clear" w:color="auto" w:fill="FFFFFF"/>
        </w:rPr>
        <w:t xml:space="preserve">. The </w:t>
      </w:r>
      <w:r w:rsidR="0018248F" w:rsidRPr="00FC0E00">
        <w:rPr>
          <w:rFonts w:ascii="Book Antiqua" w:hAnsi="Book Antiqua"/>
          <w:sz w:val="24"/>
          <w:szCs w:val="24"/>
          <w:shd w:val="clear" w:color="auto" w:fill="FFFFFF"/>
        </w:rPr>
        <w:t>area under curve</w:t>
      </w:r>
      <w:r w:rsidR="008D7FD9" w:rsidRPr="00FC0E00">
        <w:rPr>
          <w:rFonts w:ascii="Book Antiqua" w:hAnsi="Book Antiqua"/>
          <w:sz w:val="24"/>
          <w:szCs w:val="24"/>
          <w:shd w:val="clear" w:color="auto" w:fill="FFFFFF"/>
        </w:rPr>
        <w:t xml:space="preserve"> of </w:t>
      </w:r>
      <w:r w:rsidR="00734A04" w:rsidRPr="00FC0E00">
        <w:rPr>
          <w:rFonts w:ascii="Book Antiqua" w:hAnsi="Book Antiqua"/>
          <w:sz w:val="24"/>
          <w:szCs w:val="24"/>
          <w:shd w:val="clear" w:color="auto" w:fill="FFFFFF"/>
        </w:rPr>
        <w:t>S</w:t>
      </w:r>
      <w:r w:rsidR="008D7FD9" w:rsidRPr="00FC0E00">
        <w:rPr>
          <w:rFonts w:ascii="Book Antiqua" w:hAnsi="Book Antiqua"/>
          <w:sz w:val="24"/>
          <w:szCs w:val="24"/>
          <w:shd w:val="clear" w:color="auto" w:fill="FFFFFF"/>
        </w:rPr>
        <w:t>UA was 0.64 (95%CI</w:t>
      </w:r>
      <w:r w:rsidR="0018248F">
        <w:rPr>
          <w:rFonts w:ascii="Book Antiqua" w:hAnsi="Book Antiqua"/>
          <w:sz w:val="24"/>
          <w:szCs w:val="24"/>
          <w:shd w:val="clear" w:color="auto" w:fill="FFFFFF"/>
        </w:rPr>
        <w:t>:</w:t>
      </w:r>
      <w:r w:rsidR="008D7FD9" w:rsidRPr="00FC0E00">
        <w:rPr>
          <w:rFonts w:ascii="Book Antiqua" w:hAnsi="Book Antiqua"/>
          <w:sz w:val="24"/>
          <w:szCs w:val="24"/>
          <w:shd w:val="clear" w:color="auto" w:fill="FFFFFF"/>
        </w:rPr>
        <w:t xml:space="preserve"> 0.63-0.66; </w:t>
      </w:r>
      <w:r w:rsidR="0018248F" w:rsidRPr="0018248F">
        <w:rPr>
          <w:rFonts w:ascii="Book Antiqua" w:hAnsi="Book Antiqua"/>
          <w:i/>
          <w:iCs/>
          <w:sz w:val="24"/>
          <w:szCs w:val="24"/>
          <w:shd w:val="clear" w:color="auto" w:fill="FFFFFF"/>
        </w:rPr>
        <w:t>P</w:t>
      </w:r>
      <w:r w:rsidR="0018248F">
        <w:rPr>
          <w:rFonts w:ascii="Book Antiqua" w:hAnsi="Book Antiqua"/>
          <w:sz w:val="24"/>
          <w:szCs w:val="24"/>
          <w:shd w:val="clear" w:color="auto" w:fill="FFFFFF"/>
        </w:rPr>
        <w:t xml:space="preserve"> </w:t>
      </w:r>
      <w:r w:rsidR="0018248F" w:rsidRPr="00FC0E00">
        <w:rPr>
          <w:rFonts w:ascii="Book Antiqua" w:hAnsi="Book Antiqua"/>
          <w:sz w:val="24"/>
          <w:szCs w:val="24"/>
          <w:shd w:val="clear" w:color="auto" w:fill="FFFFFF"/>
        </w:rPr>
        <w:t>&lt;</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0.001), with the authors suggesting within their cohort that UA &gt;</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6</w:t>
      </w:r>
      <w:r w:rsidR="0018248F">
        <w:rPr>
          <w:rFonts w:ascii="Book Antiqua" w:hAnsi="Book Antiqua"/>
          <w:sz w:val="24"/>
          <w:szCs w:val="24"/>
          <w:shd w:val="clear" w:color="auto" w:fill="FFFFFF"/>
        </w:rPr>
        <w:t xml:space="preserve"> </w:t>
      </w:r>
      <w:r w:rsidR="008D7FD9" w:rsidRPr="00FC0E00">
        <w:rPr>
          <w:rFonts w:ascii="Book Antiqua" w:hAnsi="Book Antiqua"/>
          <w:sz w:val="24"/>
          <w:szCs w:val="24"/>
          <w:shd w:val="clear" w:color="auto" w:fill="FFFFFF"/>
        </w:rPr>
        <w:t xml:space="preserve">mg/dL had a useful discriminant value. </w:t>
      </w:r>
    </w:p>
    <w:p w14:paraId="691E3382" w14:textId="76D3744C" w:rsidR="008F53FB" w:rsidRPr="00FC0E00" w:rsidRDefault="008F53FB" w:rsidP="00F75DBA">
      <w:pPr>
        <w:snapToGrid w:val="0"/>
        <w:spacing w:after="0" w:line="360" w:lineRule="auto"/>
        <w:ind w:firstLineChars="100" w:firstLine="240"/>
        <w:jc w:val="both"/>
        <w:rPr>
          <w:rFonts w:ascii="Book Antiqua" w:hAnsi="Book Antiqua"/>
          <w:sz w:val="24"/>
          <w:szCs w:val="24"/>
          <w:shd w:val="clear" w:color="auto" w:fill="FFFFFF"/>
        </w:rPr>
      </w:pPr>
      <w:r w:rsidRPr="00FC0E00">
        <w:rPr>
          <w:rFonts w:ascii="Book Antiqua" w:hAnsi="Book Antiqua"/>
          <w:sz w:val="24"/>
          <w:szCs w:val="24"/>
          <w:shd w:val="clear" w:color="auto" w:fill="FFFFFF"/>
        </w:rPr>
        <w:t xml:space="preserve">Despite the large numbers of patients </w:t>
      </w:r>
      <w:r w:rsidR="00D84365" w:rsidRPr="00FC0E00">
        <w:rPr>
          <w:rFonts w:ascii="Book Antiqua" w:hAnsi="Book Antiqua"/>
          <w:sz w:val="24"/>
          <w:szCs w:val="24"/>
          <w:shd w:val="clear" w:color="auto" w:fill="FFFFFF"/>
        </w:rPr>
        <w:t xml:space="preserve">within these studies there are inherent aspects that may attribute relative bias. This includes accuracy of alcohol estimates and recall </w:t>
      </w:r>
      <w:r w:rsidR="00204EC8" w:rsidRPr="00FC0E00">
        <w:rPr>
          <w:rFonts w:ascii="Book Antiqua" w:hAnsi="Book Antiqua"/>
          <w:sz w:val="24"/>
          <w:szCs w:val="24"/>
          <w:shd w:val="clear" w:color="auto" w:fill="FFFFFF"/>
        </w:rPr>
        <w:t>biases of individuals and</w:t>
      </w:r>
      <w:r w:rsidR="00D84365" w:rsidRPr="00FC0E00">
        <w:rPr>
          <w:rFonts w:ascii="Book Antiqua" w:hAnsi="Book Antiqua"/>
          <w:sz w:val="24"/>
          <w:szCs w:val="24"/>
          <w:shd w:val="clear" w:color="auto" w:fill="FFFFFF"/>
        </w:rPr>
        <w:t xml:space="preserve"> alcohol-related fatty liver is the most common mimic of NAFLD. Certainly, Chinese patients have a lower BMI than western counterparts, h</w:t>
      </w:r>
      <w:r w:rsidR="00627E3E" w:rsidRPr="00FC0E00">
        <w:rPr>
          <w:rFonts w:ascii="Book Antiqua" w:hAnsi="Book Antiqua"/>
          <w:sz w:val="24"/>
          <w:szCs w:val="24"/>
          <w:shd w:val="clear" w:color="auto" w:fill="FFFFFF"/>
        </w:rPr>
        <w:t>owever, there may be surreptitious</w:t>
      </w:r>
      <w:r w:rsidR="00D84365" w:rsidRPr="00FC0E00">
        <w:rPr>
          <w:rFonts w:ascii="Book Antiqua" w:hAnsi="Book Antiqua"/>
          <w:sz w:val="24"/>
          <w:szCs w:val="24"/>
          <w:shd w:val="clear" w:color="auto" w:fill="FFFFFF"/>
        </w:rPr>
        <w:t xml:space="preserve"> metabolic determinants at play</w:t>
      </w:r>
      <w:r w:rsidR="00627E3E" w:rsidRPr="00FC0E00">
        <w:rPr>
          <w:rFonts w:ascii="Book Antiqua" w:hAnsi="Book Antiqua"/>
          <w:sz w:val="24"/>
          <w:szCs w:val="24"/>
          <w:shd w:val="clear" w:color="auto" w:fill="FFFFFF"/>
        </w:rPr>
        <w:t>, which are not entirely appreciated in the lean populace</w:t>
      </w:r>
      <w:r w:rsidR="006956F1" w:rsidRPr="00FC0E00">
        <w:rPr>
          <w:rFonts w:ascii="Book Antiqua" w:hAnsi="Book Antiqua"/>
          <w:sz w:val="24"/>
          <w:szCs w:val="24"/>
          <w:shd w:val="clear" w:color="auto" w:fill="FFFFFF"/>
        </w:rPr>
        <w:fldChar w:fldCharType="begin"/>
      </w:r>
      <w:r w:rsidR="006956F1" w:rsidRPr="00FC0E00">
        <w:rPr>
          <w:rFonts w:ascii="Book Antiqua" w:hAnsi="Book Antiqua"/>
          <w:sz w:val="24"/>
          <w:szCs w:val="24"/>
          <w:shd w:val="clear" w:color="auto" w:fill="FFFFFF"/>
        </w:rPr>
        <w:instrText xml:space="preserve"> ADDIN ZOTERO_ITEM CSL_CITATION {"citationID":"XHhxyymU","properties":{"formattedCitation":"\\super [38]\\nosupersub{}","plainCitation":"[38]","noteIndex":0},"citationItems":[{"id":1804,"uris":["http://zotero.org/users/5302874/items/3TRY8FYV"],"uri":["http://zotero.org/users/5302874/items/3TRY8FYV"],"itemData":{"id":1804,"type":"article-journal","abstract":"BACKGROUND: Obesity and type 2 diabetes are well-known risk factors for the development of nonalcoholic fatty liver disease (NAFLD). However, NAFLD is not rare in nonobese, nondiabetic adults. The aim of this study was to evaluate the metabolic significance of NAFLD in nonobese, nondiabetic adults.\nMETHODS: This study examined 768 nonobese (body mass index [BMI] [calculated as weight in kilograms divided by the square of height in meters], &gt; or =18.5 and &lt;30) (460 normal-weight and 308 overweight subjects), nondiabetic individuals older than 30 years who participated in a medical checkup. All the subjects had negative serologic findings for hepatitis B and C viruses and had an alcohol intake less than 140 g/wk. A standard interview, anthropometrics, a biochemical study, and abdominal ultrasonography were conducted.\nRESULTS: The prevalence of NAFLD in the enrolled subjects was 23.4%. In the normal-weight (BMI, &gt; or =18.5 and &lt;25) and overweight (BMI, &gt; or =25 and &lt;30) groups, NAFLD was a significant predictor of insulin resistance and other metabolic disorders, including hypertriglyceridemia and hyperuricemia. The odds ratio of the metabolic disorders in subjects with NAFLD compared with those without NAFLD in the normal-weight group was higher than that in the overweight group. Multiple logistic regression analysis showed that sex, waist circumference, triglyceride level, and insulin resistance were independently associated with NAFLD in the normal-weight group.\nCONCLUSIONS: Nonalcoholic fatty liver disease is closely associated with metabolic disorders, even in nonobese, nondiabetic subjects. Nonalcoholic fatty liver disease can be considered an early predictor of metabolic disorders, particularly in the normal-weight population.","container-title":"Archives of Internal Medicine","DOI":"10.1001/archinte.164.19.2169","ISSN":"0003-9926","issue":"19","journalAbbreviation":"Arch. Intern. Med.","language":"eng","note":"PMID: 15505132","page":"2169-2175","source":"PubMed","title":"Metabolic significance of nonalcoholic fatty liver disease in nonobese, nondiabetic adults","volume":"164","author":[{"family":"Kim","given":"Hae Jin"},{"family":"Kim","given":"Hyeong Jin"},{"family":"Lee","given":"Kwang Eun"},{"family":"Kim","given":"Dae Jung"},{"family":"Kim","given":"Soo Kyung"},{"family":"Ahn","given":"Chul Woo"},{"family":"Lim","given":"Sung-Kil"},{"family":"Kim","given":"Kyung Rae"},{"family":"Lee","given":"Hyun Chul"},{"family":"Huh","given":"Kap Bum"},{"family":"Cha","given":"Bong Soo"}],"issued":{"date-parts":[["2004",10,25]]}}}],"schema":"https://github.com/citation-style-language/schema/raw/master/csl-citation.json"} </w:instrText>
      </w:r>
      <w:r w:rsidR="006956F1" w:rsidRPr="00FC0E00">
        <w:rPr>
          <w:rFonts w:ascii="Book Antiqua" w:hAnsi="Book Antiqua"/>
          <w:sz w:val="24"/>
          <w:szCs w:val="24"/>
          <w:shd w:val="clear" w:color="auto" w:fill="FFFFFF"/>
        </w:rPr>
        <w:fldChar w:fldCharType="separate"/>
      </w:r>
      <w:r w:rsidR="006956F1" w:rsidRPr="00FC0E00">
        <w:rPr>
          <w:rFonts w:ascii="Book Antiqua" w:hAnsi="Book Antiqua" w:cs="Times New Roman"/>
          <w:sz w:val="24"/>
          <w:szCs w:val="24"/>
          <w:vertAlign w:val="superscript"/>
        </w:rPr>
        <w:t>[38]</w:t>
      </w:r>
      <w:r w:rsidR="006956F1" w:rsidRPr="00FC0E00">
        <w:rPr>
          <w:rFonts w:ascii="Book Antiqua" w:hAnsi="Book Antiqua"/>
          <w:sz w:val="24"/>
          <w:szCs w:val="24"/>
          <w:shd w:val="clear" w:color="auto" w:fill="FFFFFF"/>
        </w:rPr>
        <w:fldChar w:fldCharType="end"/>
      </w:r>
      <w:r w:rsidR="00D84365" w:rsidRPr="00FC0E00">
        <w:rPr>
          <w:rFonts w:ascii="Book Antiqua" w:hAnsi="Book Antiqua"/>
          <w:sz w:val="24"/>
          <w:szCs w:val="24"/>
          <w:shd w:val="clear" w:color="auto" w:fill="FFFFFF"/>
        </w:rPr>
        <w:t xml:space="preserve">. </w:t>
      </w:r>
    </w:p>
    <w:p w14:paraId="46AAF564" w14:textId="637E2BE7" w:rsidR="00B56FF3" w:rsidRPr="00FC0E00" w:rsidRDefault="00204EC8" w:rsidP="00FC0E00">
      <w:pPr>
        <w:snapToGrid w:val="0"/>
        <w:spacing w:after="0" w:line="360" w:lineRule="auto"/>
        <w:jc w:val="both"/>
        <w:rPr>
          <w:rFonts w:ascii="Book Antiqua" w:hAnsi="Book Antiqua"/>
          <w:sz w:val="24"/>
          <w:szCs w:val="24"/>
          <w:shd w:val="clear" w:color="auto" w:fill="FFFFFF"/>
        </w:rPr>
      </w:pPr>
      <w:r w:rsidRPr="00FC0E00">
        <w:rPr>
          <w:rFonts w:ascii="Book Antiqua" w:hAnsi="Book Antiqua"/>
          <w:sz w:val="24"/>
          <w:szCs w:val="24"/>
          <w:shd w:val="clear" w:color="auto" w:fill="FFFFFF"/>
        </w:rPr>
        <w:t>Within</w:t>
      </w:r>
      <w:r w:rsidR="0018500E" w:rsidRPr="00FC0E00">
        <w:rPr>
          <w:rFonts w:ascii="Book Antiqua" w:hAnsi="Book Antiqua"/>
          <w:sz w:val="24"/>
          <w:szCs w:val="24"/>
          <w:shd w:val="clear" w:color="auto" w:fill="FFFFFF"/>
        </w:rPr>
        <w:t xml:space="preserve"> </w:t>
      </w:r>
      <w:r w:rsidR="00B56FF3" w:rsidRPr="00FC0E00">
        <w:rPr>
          <w:rFonts w:ascii="Book Antiqua" w:hAnsi="Book Antiqua"/>
          <w:sz w:val="24"/>
          <w:szCs w:val="24"/>
          <w:shd w:val="clear" w:color="auto" w:fill="FFFFFF"/>
        </w:rPr>
        <w:t>the Zheng</w:t>
      </w:r>
      <w:r w:rsidR="0018248F" w:rsidRPr="0018248F">
        <w:rPr>
          <w:rFonts w:ascii="Book Antiqua" w:hAnsi="Book Antiqua"/>
          <w:i/>
          <w:iCs/>
          <w:sz w:val="24"/>
          <w:szCs w:val="24"/>
        </w:rPr>
        <w:t xml:space="preserve"> et al</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{"citationID":"yET302ut","properties":{"formattedCitation":"\\super [28]\\nosupersub{}","plainCitation":"[28]","noteIndex":0},"citationItems":[{"id":1687,"uris":["http://zotero.org/users/5302874/items/2KBCNG69"],"uri":["http://zotero.org/users/5302874/items/2KBCNG69"],"itemData":{"id":1687,"type":"article-journal","abstract":"Background\nPrevious studies found elevated serum uric acid (SUA) was associated with the development or progression of non-alcoholic fatty liver disease (NAFLD) in general population; in this study we aim to investigate the association of SUA and the severity of NAFLD based on grade of fatty liver on ultrasonography in non-obese subjects.\n\nMethods\nData were obtained from subjects via routine physical examinations in the Public Health Center of our hospital between 2011 and 2014. The data included completed anthropometry and blood biochemical indicators and the results of abdominal ultrasound. The diagnosis of NAFLD was according to the clinical diagnosis of the Guidelines for the diagnosis and treatment of nonalcoholic fatty liver disease in 2008.\n\nResults\nIn total, 95,924 subjects were analyzed in this study. The prevalence rate of lean-NAFLD was 8.16%, among which 7.58% had mild steatosis, and 0.58% had moderate and severe steatosis. The prevalence of fatty liver was increased progressively with SUA. Among which the prevalence of mild fatty liver from Q1 to Q4 were 10.33%, 18.39%, 23.11% and 25.93%; the prevalence of moderate and severe fatty liver from Q1 to Q4 were 1.06%, 2.82%, 5.05% and 7.27%. Lean-subjects with hyperuricemia had an OR of 1.718 (95% CI 1.622–1.820) to have NAFLD, after adjusted for other metabolic disorders. The area under curve (AUC) for detecting mild fatty liver based on SUA was 0.70; and the AUC for detecting moderate and severe fatty liver based on SUA was 0.78.\n\nConclusions\nOur data showed positive associations between elevated SUA levels and lean-NAFLD risk in the inland Chinese adults, independent of other metabolic factors. Our study also suggests that SUA could be considered as a simple and non-invasive method to follow up patients with lean-NAFLD.","container-title":"Lipids in Health and Disease","DOI":"10.1186/s12944-017-0531-5","ISSN":"1476-511X","journalAbbreviation":"Lipids Health Dis","note":"PMID: 29037239\nPMCID: PMC5644248","source":"PubMed Central","title":"Serum uric acid and non-alcoholic fatty liver disease in non-obesity Chinese adults","URL":"https://www.ncbi.nlm.nih.gov/pmc/articles/PMC5644248/","volume":"16","author":[{"family":"Zheng","given":"Xiaoya"},{"family":"Gong","given":"Lilin"},{"family":"Luo","given":"Rong"},{"family":"Chen","given":"Hua"},{"family":"Peng","given":"Bin"},{"family":"Ren","given":"Wei"},{"family":"Wang","given":"Yonghong"}],"accessed":{"date-parts":[["2019",12,30]]},"issued":{"date-parts":[["2017",10,16]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[28]</w:t>
      </w:r>
      <w:r w:rsidR="0018248F" w:rsidRPr="00FC0E00">
        <w:rPr>
          <w:rFonts w:ascii="Book Antiqua" w:hAnsi="Book Antiqua"/>
          <w:sz w:val="24"/>
          <w:szCs w:val="24"/>
        </w:rPr>
        <w:fldChar w:fldCharType="end"/>
      </w:r>
      <w:r w:rsidR="00B56FF3" w:rsidRPr="00FC0E00">
        <w:rPr>
          <w:rFonts w:ascii="Book Antiqua" w:hAnsi="Book Antiqua"/>
          <w:sz w:val="24"/>
          <w:szCs w:val="24"/>
          <w:shd w:val="clear" w:color="auto" w:fill="FFFFFF"/>
        </w:rPr>
        <w:t xml:space="preserve"> cohort, </w:t>
      </w:r>
      <w:r w:rsidR="0018500E" w:rsidRPr="00FC0E00">
        <w:rPr>
          <w:rFonts w:ascii="Book Antiqua" w:hAnsi="Book Antiqua"/>
          <w:sz w:val="24"/>
          <w:szCs w:val="24"/>
          <w:shd w:val="clear" w:color="auto" w:fill="FFFFFF"/>
        </w:rPr>
        <w:t>as a</w:t>
      </w:r>
      <w:r w:rsidR="00B56FF3" w:rsidRPr="00FC0E00">
        <w:rPr>
          <w:rFonts w:ascii="Book Antiqua" w:hAnsi="Book Antiqua"/>
          <w:sz w:val="24"/>
          <w:szCs w:val="24"/>
          <w:shd w:val="clear" w:color="auto" w:fill="FFFFFF"/>
        </w:rPr>
        <w:t xml:space="preserve"> retrospective study</w:t>
      </w:r>
      <w:r w:rsidR="0018500E" w:rsidRPr="00FC0E00">
        <w:rPr>
          <w:rFonts w:ascii="Book Antiqua" w:hAnsi="Book Antiqua"/>
          <w:sz w:val="24"/>
          <w:szCs w:val="24"/>
          <w:shd w:val="clear" w:color="auto" w:fill="FFFFFF"/>
        </w:rPr>
        <w:t xml:space="preserve"> is limited</w:t>
      </w:r>
      <w:r w:rsidR="00B56FF3" w:rsidRPr="00FC0E00">
        <w:rPr>
          <w:rFonts w:ascii="Book Antiqua" w:hAnsi="Book Antiqua"/>
          <w:sz w:val="24"/>
          <w:szCs w:val="24"/>
          <w:shd w:val="clear" w:color="auto" w:fill="FFFFFF"/>
        </w:rPr>
        <w:t xml:space="preserve"> </w:t>
      </w:r>
      <w:r w:rsidR="0018500E" w:rsidRPr="00FC0E00">
        <w:rPr>
          <w:rFonts w:ascii="Book Antiqua" w:hAnsi="Book Antiqua"/>
          <w:sz w:val="24"/>
          <w:szCs w:val="24"/>
          <w:shd w:val="clear" w:color="auto" w:fill="FFFFFF"/>
        </w:rPr>
        <w:t>in only specifically</w:t>
      </w:r>
      <w:r w:rsidR="00B56FF3" w:rsidRPr="00FC0E00">
        <w:rPr>
          <w:rFonts w:ascii="Book Antiqua" w:hAnsi="Book Antiqua"/>
          <w:sz w:val="24"/>
          <w:szCs w:val="24"/>
          <w:shd w:val="clear" w:color="auto" w:fill="FFFFFF"/>
        </w:rPr>
        <w:t xml:space="preserve"> exclud</w:t>
      </w:r>
      <w:r w:rsidR="0018500E" w:rsidRPr="00FC0E00">
        <w:rPr>
          <w:rFonts w:ascii="Book Antiqua" w:hAnsi="Book Antiqua"/>
          <w:sz w:val="24"/>
          <w:szCs w:val="24"/>
          <w:shd w:val="clear" w:color="auto" w:fill="FFFFFF"/>
        </w:rPr>
        <w:t>ing</w:t>
      </w:r>
      <w:r w:rsidR="00B56FF3" w:rsidRPr="00FC0E00">
        <w:rPr>
          <w:rFonts w:ascii="Book Antiqua" w:hAnsi="Book Antiqua"/>
          <w:sz w:val="24"/>
          <w:szCs w:val="24"/>
          <w:shd w:val="clear" w:color="auto" w:fill="FFFFFF"/>
        </w:rPr>
        <w:t xml:space="preserve"> those individuals who had known alternative chronic liver disease</w:t>
      </w:r>
      <w:r w:rsidR="0018500E" w:rsidRPr="00FC0E00">
        <w:rPr>
          <w:rFonts w:ascii="Book Antiqua" w:hAnsi="Book Antiqua"/>
          <w:sz w:val="24"/>
          <w:szCs w:val="24"/>
          <w:shd w:val="clear" w:color="auto" w:fill="FFFFFF"/>
        </w:rPr>
        <w:t>,</w:t>
      </w:r>
      <w:r w:rsidR="00B56FF3" w:rsidRPr="00FC0E00">
        <w:rPr>
          <w:rFonts w:ascii="Book Antiqua" w:hAnsi="Book Antiqua"/>
          <w:sz w:val="24"/>
          <w:szCs w:val="24"/>
          <w:shd w:val="clear" w:color="auto" w:fill="FFFFFF"/>
        </w:rPr>
        <w:t xml:space="preserve"> but did not a</w:t>
      </w:r>
      <w:r w:rsidR="00DD492D" w:rsidRPr="00FC0E00">
        <w:rPr>
          <w:rFonts w:ascii="Book Antiqua" w:hAnsi="Book Antiqua"/>
          <w:sz w:val="24"/>
          <w:szCs w:val="24"/>
          <w:shd w:val="clear" w:color="auto" w:fill="FFFFFF"/>
        </w:rPr>
        <w:t xml:space="preserve">ccount for those who had </w:t>
      </w:r>
      <w:r w:rsidR="00613A35" w:rsidRPr="00FC0E00">
        <w:rPr>
          <w:rFonts w:ascii="Book Antiqua" w:hAnsi="Book Antiqua"/>
          <w:sz w:val="24"/>
          <w:szCs w:val="24"/>
          <w:shd w:val="clear" w:color="auto" w:fill="FFFFFF"/>
        </w:rPr>
        <w:t xml:space="preserve">potentially </w:t>
      </w:r>
      <w:r w:rsidR="00DD492D" w:rsidRPr="00FC0E00">
        <w:rPr>
          <w:rFonts w:ascii="Book Antiqua" w:hAnsi="Book Antiqua"/>
          <w:sz w:val="24"/>
          <w:szCs w:val="24"/>
          <w:shd w:val="clear" w:color="auto" w:fill="FFFFFF"/>
        </w:rPr>
        <w:t>undiagnosed</w:t>
      </w:r>
      <w:r w:rsidR="00B56FF3" w:rsidRPr="00FC0E00">
        <w:rPr>
          <w:rFonts w:ascii="Book Antiqua" w:hAnsi="Book Antiqua"/>
          <w:sz w:val="24"/>
          <w:szCs w:val="24"/>
          <w:shd w:val="clear" w:color="auto" w:fill="FFFFFF"/>
        </w:rPr>
        <w:t xml:space="preserve"> hepatotropic viruses or lipid disorders. </w:t>
      </w:r>
    </w:p>
    <w:p w14:paraId="7150D71D" w14:textId="43D35DD8" w:rsidR="005A4555" w:rsidRPr="00FC0E00" w:rsidRDefault="00757F6A" w:rsidP="00F75DBA">
      <w:pPr>
        <w:snapToGrid w:val="0"/>
        <w:spacing w:after="0" w:line="360" w:lineRule="auto"/>
        <w:ind w:firstLineChars="100" w:firstLine="240"/>
        <w:jc w:val="both"/>
        <w:rPr>
          <w:rFonts w:ascii="Book Antiqua" w:hAnsi="Book Antiqua"/>
          <w:iCs/>
          <w:sz w:val="24"/>
          <w:szCs w:val="24"/>
          <w:shd w:val="clear" w:color="auto" w:fill="FFFFFF"/>
        </w:rPr>
      </w:pPr>
      <w:r w:rsidRPr="00FC0E00">
        <w:rPr>
          <w:rFonts w:ascii="Book Antiqua" w:hAnsi="Book Antiqua"/>
          <w:sz w:val="24"/>
          <w:szCs w:val="24"/>
          <w:shd w:val="clear" w:color="auto" w:fill="FFFFFF"/>
        </w:rPr>
        <w:t>Whilst there is some incipient evidence in</w:t>
      </w:r>
      <w:r w:rsidR="00D87DF2" w:rsidRPr="00FC0E00">
        <w:rPr>
          <w:rFonts w:ascii="Book Antiqua" w:hAnsi="Book Antiqua"/>
          <w:sz w:val="24"/>
          <w:szCs w:val="24"/>
          <w:shd w:val="clear" w:color="auto" w:fill="FFFFFF"/>
        </w:rPr>
        <w:t xml:space="preserve"> animal models relating to NASH amelioration in response to </w:t>
      </w:r>
      <w:r w:rsidR="0070186F" w:rsidRPr="00FC0E00">
        <w:rPr>
          <w:rFonts w:ascii="Book Antiqua" w:hAnsi="Book Antiqua"/>
          <w:sz w:val="24"/>
          <w:szCs w:val="24"/>
          <w:lang w:eastAsia="en-GB"/>
        </w:rPr>
        <w:t>UA</w:t>
      </w:r>
      <w:r w:rsidR="00D87DF2" w:rsidRPr="00FC0E00">
        <w:rPr>
          <w:rFonts w:ascii="Book Antiqua" w:hAnsi="Book Antiqua"/>
          <w:sz w:val="24"/>
          <w:szCs w:val="24"/>
          <w:shd w:val="clear" w:color="auto" w:fill="FFFFFF"/>
        </w:rPr>
        <w:t xml:space="preserve"> lowering intervention</w:t>
      </w:r>
      <w:r w:rsidRPr="00FC0E00">
        <w:rPr>
          <w:rFonts w:ascii="Book Antiqua" w:hAnsi="Book Antiqua"/>
          <w:sz w:val="24"/>
          <w:szCs w:val="24"/>
          <w:shd w:val="clear" w:color="auto" w:fill="FFFFFF"/>
        </w:rPr>
        <w:fldChar w:fldCharType="begin"/>
      </w:r>
      <w:r w:rsidR="009623D2" w:rsidRPr="00FC0E00">
        <w:rPr>
          <w:rFonts w:ascii="Book Antiqua" w:hAnsi="Book Antiqua"/>
          <w:sz w:val="24"/>
          <w:szCs w:val="24"/>
          <w:shd w:val="clear" w:color="auto" w:fill="FFFFFF"/>
        </w:rPr>
        <w:instrText xml:space="preserve"> ADDIN ZOTERO_ITEM CSL_CITATION {"citationID":"1wXcl8SO","properties":{"formattedCitation":"\\super [14,24,39,40]\\nosupersub{}","plainCitation":"[14,24,39,40]","noteIndex":0},"citationItems":[{"id":1665,"uris":["http://zotero.org/users/5302874/items/FRJ855HP"],"uri":["http://zotero.org/users/5302874/items/FRJ855HP"],"itemData":{"id":1665,"type":"article-journal","abstract":"Xanthine oxidase (XO) is an enzyme involved in the production of uric acid (UA) from purine nucleotides. Numerous recent studies have revealed the likelihood of metabolic syndrome including nonalcoholic fatty liver disease (NAFLD) or steatohepatitis (NASH) to be related to hyperuricemia. However, it remains unclear whether elevated serum UA during the development of NAFLD or NASH is a cause or a consequence of these diseases. In this study, the XO inhibitor febuxostat was administered to two types of NASH model mice. Febuxostat exerted a strong protective effect against NASH development induced by a high-fat diet containing trans fatty acid (HFDT). In contrast, methionine choline-deficient-diet-induced NASH development not accompanied by hyperuricemia showed no UA normalization, suggesting that the ameliorating effect of febuxostat occurs via the normalization of hyperuricemia itself and/or accompanying molecular mechanism(s) such as oxidative stress. In the HFDT-fed mice, hyperuricemia, elevated alanine aminotransferase, and increased Tunnel-positive cells in the liver were normalized by febuxostat administration. In addition, upregulation of fatty acid oxidation-related genes, fibrotic change, and increases in collagen deposition, inflammatory cytokine expressions, and lipid peroxidation in the HFDT-fed mice were also normalized by febuxostat administration. Taken together, these observations indicate that administration of febuxostat has a protective effect against HFDT-induced NASH development, suggesting the importance of XO in its pathogenesis. Thus XO inhibitors are potentially potent therapies for patients with NASH, particularly that associated with hyperuricemia.","container-title":"American Journal of Physiology. Gastrointestinal and Liver Physiology","DOI":"10.1152/ajpgi.00443.2014","ISSN":"1522-1547","issue":"1","journalAbbreviation":"Am. J. Physiol. Gastrointest. Liver Physiol.","language":"eng","note":"PMID: 25999428","page":"G42-51","source":"PubMed","title":"The xanthine oxidase inhibitor febuxostat suppresses development of nonalcoholic steatohepatitis in a rodent model","volume":"309","author":[{"family":"Nakatsu","given":"Yusuke"},{"family":"Seno","given":"Yasuyuki"},{"family":"Kushiyama","given":"Akifumi"},{"family":"Sakoda","given":"Hideyuki"},{"family":"Fujishiro","given":"Midori"},{"family":"Katasako","given":"Aya"},{"family":"Mori","given":"Keiichi"},{"family":"Matsunaga","given":"Yasuka"},{"family":"Fukushima","given":"Toshiaki"},{"family":"Kanaoka","given":"Ryuhei"},{"family":"Yamamotoya","given":"Takeshi"},{"family":"Kamata","given":"Hideaki"},{"family":"Asano","given":"Tomoichiro"}],"issued":{"date-parts":[["2015",7,1]]}}},{"id":"TQNiiO7s/GWdMCCCV","uris":["http://www.mendeley.com/documents/?uuid=024b04b8-6c30-38ce-8ab8-47ec7917b70c"],"uri":["http://www.mendeley.com/documents/?uuid=024b04b8-6c30-38ce-8ab8-47ec7917b70c"],"itemData":{"DOI":"10.1016/j.jhep.2015.11.022","ISSN":"01688278","PMID":"26639394","abstract":"BACKGROUND &amp; AIMS Hyperuricemia significantly increases risk of non-alcoholic fatty liver disease (NAFLD) and insulin resistance. However, the mechanisms responsible for this association are as yet unclear. This study aimed to investigate the effects and underlying mechanisms of uric acid on development of NAFLD and insulin resistance. METHODS We initially analyzed the impact of uric acid on the development of hepatic steatosis and insulin resistance in mice and in two cell models, HepG2 and L02. Subsequently, we studied the role of the NOD-like receptor family pyrin domain containing 3 (NLRP3) inflammasome in uric acid-induced fat accumulation and insulin signaling impairment. RESULTS We found that uric acid directly induces hepatocyte fat accumulation, insulin resistance, and insulin signaling impairment both in vivo and in vitro. We also found that uric acid-induced NLRP3 inflammasome activation, whereas lowering uric acid by allopurinol inhibited NLRP3 inflammasome activation in a high fat diet mouse model of NAFLD. Moreover, knocking down NLRP3 expression significantly attenuated uric acid-induced fat accumulation both in HepG2 cells and L02 cells. Knocking down NLRP3 expression also rescued uric acid-induced insulin signaling impairment in both cell types. CONCLUSIONS Uric acid regulates hepatic steatosis and insulin resistance through the NLRP3 inflammasome. Uric acid may be a new therapeutic target for NAFLD and insulin resistance.","author":[{"dropping-particle":"","family":"Wan","given":"Xingyong","non-dropping-particle":"","parse-names":false,"suffix":""},{"dropping-particle":"","family":"Xu","given":"Chengfu","non-dropping-particle":"","parse-names":false,"suffix":""},{"dropping-particle":"","family":"Lin","given":"Yiming","non-dropping-particle":"","parse-names":false,"suffix":""},{"dropping-particle":"","family":"Lu","given":"Chao","non-dropping-particle":"","parse-names":false,"suffix":""},{"dropping-particle":"","family":"Li","given":"Dejian","non-dropping-particle":"","parse-names":false,"suffix":""},{"dropping-particle":"","family":"Sang","given":"Jianzhong","non-dropping-particle":"","parse-names":false,"suffix":""},{"dropping-particle":"","family":"He","given":"Haijian","non-dropping-particle":"","parse-names":false,"suffix":""},{"dropping-particle":"","family":"Liu","given":"Xiao","non-dropping-particle":"","parse-names":false,"suffix":""},{"dropping-particle":"","family":"Li","given":"Youming","non-dropping-particle":"","parse-names":false,"suffix":""},{"dropping-particle":"","family":"Yu","given":"Chaohui","non-dropping-particle":"","parse-names":false,"suffix":""}],"container-title":"Journal of Hepatology","id":"aImR4Bil/OVhr3QjK","issue":"4","issued":{"date-parts":[["2016","4"]]},"page":"925-932","title":"Uric acid regulates hepatic steatosis and insulin resistance through the NLRP3 inflammasome-dependent mechanism","type":"article-journal","volume":"64"},"locator":"3"},{"id":1768,"uris":["http://zotero.org/users/5302874/items/WCTDUT9Z"],"uri":["http://zotero.org/users/5302874/items/WCTDUT9Z"],"itemData":{"id":1768,"type":"article-journal","abstract":"Hyperuricemia drives the development of nonalcoholic fatty liver disease (NAFLD). Pharmacological inhibition of xanthine oxidase (XO), a rate-limiting enzyme for uric acid (UA) production, has been demonstrated to improve hepatic steatosis in diet-induced obese mice. However, it remains unclear whether inhibition of XO improves nonalcoholic steatohepatitis (NASH), a more advanced form of NAFLD, in terms of both liver inflammation and fibrosis. Here, we investigated the effects of febuxostat and allopurinol, two XO inhibitors clinically used for gout, on a mouse model of NASH. Furthermore, we conducted a single-arm, open-label intervention study with febuxostat for NAFLD patients with hyperuricemia. Despite a similar hypouricemic effect of the XO inhibitors on blood UA level, febuxostat, but not allopurinol, significantly decreased hepatic XO activity and UA levels in the NASH model mice. These reductions in hepatic XO activity and UA levels were accompanied by attenuation of insulin resistance, lipid peroxidation, and classically activated M1-like macrophage accumulation in the liver. Furthermore, in NAFLD patients with hyperuricemia, treatment with febuxostat for 24 weeks decreased the serum UA level, accompanied by reductions in the serum levels of liver enzymes, alanine aminotransferase and aspartate aminotransferase. XO may represent a promising therapeutic target in NAFLD/NASH, especially in patients with hyperuricemia.","container-title":"Scientific Reports","DOI":"10.1038/s41598-020-57784-3","ISSN":"2045-2322","issue":"1","journalAbbreviation":"Sci Rep","language":"eng","note":"PMID: 31965018\nPMCID: PMC6972756","page":"815","source":"PubMed","title":"Xanthine oxidase inhibition attenuates insulin resistance and diet-induced steatohepatitis in mice","volume":"10","author":[{"family":"Nishikawa","given":"Tomoki"},{"family":"Nagata","given":"Naoto"},{"family":"Shimakami","given":"Tetsuro"},{"family":"Shirakura","given":"Takashi"},{"family":"Matsui","given":"Chieko"},{"family":"Ni","given":"Yinhua"},{"family":"Zhuge","given":"Fen"},{"family":"Xu","given":"Liang"},{"family":"Chen","given":"Guanliang"},{"family":"Nagashimada","given":"Mayumi"},{"family":"Yamashita","given":"Taro"},{"family":"Sakai","given":"Yoshio"},{"family":"Yamashita","given":"Tatsuya"},{"family":"Mizukoshi","given":"Eishiro"},{"family":"Honda","given":"Masao"},{"family":"Kaneko","given":"Shuichi"},{"family":"Ota","given":"Tsuguhito"}],"issued":{"date-parts":[["2020",1,21]]}}},{"id":1765,"uris":["http://zotero.org/users/5302874/items/TM48BP2S"],"uri":["http://zotero.org/users/5302874/items/TM48BP2S"],"itemData":{"id":1765,"type":"article-journal","abstract":"BACKGROUND: Hyperuricemia is a major risk for non-alcoholic fatty liver disease. However, the mechanisms for this phenomenon are not fully understood. This study aimed to investigate whether microRNAs mediated the pathogenic effects of uric acid on non-alcoholic fatty liver disease.\nMETHODS: Microarray was used to determine the hepatic miRNA expression profiles of male C57BL/6 mice fed on standard chow diet, high fat diet (HFD), and HFD combined with uric acid-lowering therapy by allopurinol. We validated the expression of the most significant differentially expressed microRNAs and explored its role and downstream target in uric acid-induced hepatocytes lipid accumulation.\nRESULTS: Microarray analysis and subsequent validation showed that miR-149-5p was significantly up-regulated in the livers of HFD-fed mice, while the expression was down-regulated by allopurinol therapy. MiR-149-5p expression was also significantly up-regulated in uric acid-stimulated hepatocytes. Over-expression of miR-149-5p significantly aggregated uric acid-induced triglyceride accumulation in hepatocytes, while inhibiting miR-149-5p ameliorated the triglyceride accumulation. Luciferase report assay confirmed that FGF21 is a target gene of miR-149-5p. Silencing FGF21 abolished the ameliorative effects of miR-149-5p inhibitor on uric acid-induced hepatocytes lipid accumulation, while overexpression of FGF21 prevented the lipid accumulation induced by miR-149-5p mimics.\nCONCLUSIONS: Uric acid significantly up-regulated the expression of miR-149-5p in hepatocytes and induced hepatocytes lipid accumulation via regulation of miR-149-5p/FGF21 axis.","container-title":"BMC gastroenterology","DOI":"10.1186/s12876-020-01189-z","ISSN":"1471-230X","issue":"1","journalAbbreviation":"BMC Gastroenterol","language":"eng","note":"PMID: 32070295\nPMCID: PMC7027271","page":"39","source":"PubMed","title":"Uric acid induced hepatocytes lipid accumulation through regulation of miR-149-5p/FGF21 axis","volume":"20","author":[{"family":"Chen","given":"Shenghui"},{"family":"Chen","given":"Dan"},{"family":"Yang","given":"Hua"},{"family":"Wang","given":"Xinyu"},{"family":"Wang","given":"Jinghua"},{"family":"Xu","given":"Chengfu"}],"issued":{"date-parts":[["2020",2,18]]}}}],"schema":"https://github.com/citation-style-language/schema/raw/master/csl-citation.json"} </w:instrText>
      </w:r>
      <w:r w:rsidRPr="00FC0E00">
        <w:rPr>
          <w:rFonts w:ascii="Book Antiqua" w:hAnsi="Book Antiqua"/>
          <w:sz w:val="24"/>
          <w:szCs w:val="24"/>
          <w:shd w:val="clear" w:color="auto" w:fill="FFFFFF"/>
        </w:rPr>
        <w:fldChar w:fldCharType="separate"/>
      </w:r>
      <w:r w:rsidR="00766D5D" w:rsidRPr="00FC0E00">
        <w:rPr>
          <w:rFonts w:ascii="Book Antiqua" w:hAnsi="Book Antiqua" w:cs="Times New Roman"/>
          <w:sz w:val="24"/>
          <w:szCs w:val="24"/>
          <w:vertAlign w:val="superscript"/>
        </w:rPr>
        <w:t>[14,24,39,40]</w:t>
      </w:r>
      <w:r w:rsidRPr="00FC0E00">
        <w:rPr>
          <w:rFonts w:ascii="Book Antiqua" w:hAnsi="Book Antiqua"/>
          <w:sz w:val="24"/>
          <w:szCs w:val="24"/>
          <w:shd w:val="clear" w:color="auto" w:fill="FFFFFF"/>
        </w:rPr>
        <w:fldChar w:fldCharType="end"/>
      </w:r>
      <w:r w:rsidR="00D87DF2" w:rsidRPr="00FC0E00">
        <w:rPr>
          <w:rFonts w:ascii="Book Antiqua" w:hAnsi="Book Antiqua"/>
          <w:sz w:val="24"/>
          <w:szCs w:val="24"/>
          <w:shd w:val="clear" w:color="auto" w:fill="FFFFFF"/>
        </w:rPr>
        <w:t>, to date;</w:t>
      </w:r>
      <w:r w:rsidR="00A324B9" w:rsidRPr="00FC0E00">
        <w:rPr>
          <w:rFonts w:ascii="Book Antiqua" w:hAnsi="Book Antiqua"/>
          <w:sz w:val="24"/>
          <w:szCs w:val="24"/>
          <w:shd w:val="clear" w:color="auto" w:fill="FFFFFF"/>
        </w:rPr>
        <w:t xml:space="preserve"> </w:t>
      </w:r>
      <w:r w:rsidR="00A324B9" w:rsidRPr="00FC0E00">
        <w:rPr>
          <w:rFonts w:ascii="Book Antiqua" w:hAnsi="Book Antiqua"/>
          <w:sz w:val="24"/>
          <w:szCs w:val="24"/>
        </w:rPr>
        <w:t xml:space="preserve">there </w:t>
      </w:r>
      <w:r w:rsidR="00D87DF2" w:rsidRPr="00FC0E00">
        <w:rPr>
          <w:rFonts w:ascii="Book Antiqua" w:hAnsi="Book Antiqua"/>
          <w:sz w:val="24"/>
          <w:szCs w:val="24"/>
        </w:rPr>
        <w:t>are</w:t>
      </w:r>
      <w:r w:rsidR="00A324B9" w:rsidRPr="00FC0E00">
        <w:rPr>
          <w:rFonts w:ascii="Book Antiqua" w:hAnsi="Book Antiqua"/>
          <w:sz w:val="24"/>
          <w:szCs w:val="24"/>
        </w:rPr>
        <w:t xml:space="preserve"> </w:t>
      </w:r>
      <w:r w:rsidR="00D87DF2" w:rsidRPr="00FC0E00">
        <w:rPr>
          <w:rFonts w:ascii="Book Antiqua" w:hAnsi="Book Antiqua"/>
          <w:sz w:val="24"/>
          <w:szCs w:val="24"/>
        </w:rPr>
        <w:t xml:space="preserve">no </w:t>
      </w:r>
      <w:r w:rsidR="00A324B9" w:rsidRPr="00FC0E00">
        <w:rPr>
          <w:rFonts w:ascii="Book Antiqua" w:hAnsi="Book Antiqua"/>
          <w:sz w:val="24"/>
          <w:szCs w:val="24"/>
        </w:rPr>
        <w:t xml:space="preserve">direct </w:t>
      </w:r>
      <w:r w:rsidR="00D87DF2" w:rsidRPr="00FC0E00">
        <w:rPr>
          <w:rFonts w:ascii="Book Antiqua" w:hAnsi="Book Antiqua"/>
          <w:sz w:val="24"/>
          <w:szCs w:val="24"/>
        </w:rPr>
        <w:t>clinical trials establishing these</w:t>
      </w:r>
      <w:r w:rsidR="00A324B9" w:rsidRPr="00FC0E00">
        <w:rPr>
          <w:rFonts w:ascii="Book Antiqua" w:hAnsi="Book Antiqua"/>
          <w:sz w:val="24"/>
          <w:szCs w:val="24"/>
        </w:rPr>
        <w:t xml:space="preserve"> outcom</w:t>
      </w:r>
      <w:r w:rsidR="00D87DF2" w:rsidRPr="00FC0E00">
        <w:rPr>
          <w:rFonts w:ascii="Book Antiqua" w:hAnsi="Book Antiqua"/>
          <w:sz w:val="24"/>
          <w:szCs w:val="24"/>
        </w:rPr>
        <w:t>es in humans on</w:t>
      </w:r>
      <w:r w:rsidR="00A324B9" w:rsidRPr="00FC0E00">
        <w:rPr>
          <w:rFonts w:ascii="Book Antiqua" w:hAnsi="Book Antiqua"/>
          <w:sz w:val="24"/>
          <w:szCs w:val="24"/>
        </w:rPr>
        <w:t xml:space="preserve"> NAFLD progression or mortality, and the only recommended intervention is that of 7-10% weight loss as per </w:t>
      </w:r>
      <w:r w:rsidR="0018248F" w:rsidRPr="0018248F">
        <w:rPr>
          <w:rFonts w:ascii="Book Antiqua" w:hAnsi="Book Antiqua"/>
          <w:sz w:val="24"/>
          <w:szCs w:val="24"/>
        </w:rPr>
        <w:t>European Association for the Study of the Liver</w:t>
      </w:r>
      <w:r w:rsidR="00A324B9" w:rsidRPr="00FC0E00">
        <w:rPr>
          <w:rFonts w:ascii="Book Antiqua" w:hAnsi="Book Antiqua"/>
          <w:sz w:val="24"/>
          <w:szCs w:val="24"/>
        </w:rPr>
        <w:t xml:space="preserve"> guidelines</w:t>
      </w:r>
      <w:r w:rsidR="0018248F" w:rsidRPr="00FC0E00">
        <w:rPr>
          <w:rFonts w:ascii="Book Antiqua" w:hAnsi="Book Antiqua"/>
          <w:sz w:val="24"/>
          <w:szCs w:val="24"/>
        </w:rPr>
        <w:fldChar w:fldCharType="begin"/>
      </w:r>
      <w:r w:rsidR="0018248F" w:rsidRPr="00FC0E00">
        <w:rPr>
          <w:rFonts w:ascii="Book Antiqua" w:hAnsi="Book Antiqua"/>
          <w:sz w:val="24"/>
          <w:szCs w:val="24"/>
        </w:rPr>
        <w:instrText xml:space="preserve"> ADDIN ZOTERO_ITEM CSL_CITATION {"citationID":"YJ3yEEwU","properties":{"formattedCitation":"\\super [41]\\nosupersub{}","plainCitation":"[41]","noteIndex":0},"citationItems":[{"id":1773,"uris":["http://zotero.org/users/5302874/items/PT55WI2J"],"uri":["http://zotero.org/users/5302874/items/PT55WI2J"],"itemData":{"id":1773,"type":"article-journal","container-title":"Journal of Hepatology","DOI":"10.1016/j.jhep.2015.11.004","ISSN":"1600-0641","issue":"6","journalAbbreviation":"J. Hepatol.","language":"eng","note":"PMID: 27062661","page":"1388-1402","source":"PubMed","title":"EASL-EASD-EASO Clinical Practice Guidelines for the management of non-alcoholic fatty liver disease","volume":"64","author":[{"literal":"European Association for the Study of the Liver (EASL)"},{"literal":"European Association for the Study of Diabetes (EASD)"},{"literal":"European Association for the Study of Obesity (EASO)"}],"issued":{"date-parts":[["2016"]]}}}],"schema":"https://github.com/citation-style-language/schema/raw/master/csl-citation.json"} </w:instrText>
      </w:r>
      <w:r w:rsidR="0018248F" w:rsidRPr="00FC0E00">
        <w:rPr>
          <w:rFonts w:ascii="Book Antiqua" w:hAnsi="Book Antiqua"/>
          <w:sz w:val="24"/>
          <w:szCs w:val="24"/>
        </w:rPr>
        <w:fldChar w:fldCharType="separate"/>
      </w:r>
      <w:r w:rsidR="0018248F" w:rsidRPr="00FC0E00">
        <w:rPr>
          <w:rFonts w:ascii="Book Antiqua" w:hAnsi="Book Antiqua" w:cs="Times New Roman"/>
          <w:sz w:val="24"/>
          <w:szCs w:val="24"/>
          <w:vertAlign w:val="superscript"/>
        </w:rPr>
        <w:t>[41]</w:t>
      </w:r>
      <w:r w:rsidR="0018248F" w:rsidRPr="00FC0E00">
        <w:rPr>
          <w:rFonts w:ascii="Book Antiqua" w:hAnsi="Book Antiqua"/>
          <w:sz w:val="24"/>
          <w:szCs w:val="24"/>
        </w:rPr>
        <w:fldChar w:fldCharType="end"/>
      </w:r>
      <w:r w:rsidR="00A324B9" w:rsidRPr="00FC0E00">
        <w:rPr>
          <w:rFonts w:ascii="Book Antiqua" w:hAnsi="Book Antiqua"/>
          <w:sz w:val="24"/>
          <w:szCs w:val="24"/>
        </w:rPr>
        <w:t>.</w:t>
      </w:r>
      <w:r w:rsidR="00612D8C" w:rsidRPr="00FC0E00">
        <w:rPr>
          <w:rFonts w:ascii="Book Antiqua" w:hAnsi="Book Antiqua"/>
          <w:iCs/>
          <w:sz w:val="24"/>
          <w:szCs w:val="24"/>
          <w:shd w:val="clear" w:color="auto" w:fill="FFFFFF"/>
        </w:rPr>
        <w:t xml:space="preserve"> </w:t>
      </w:r>
    </w:p>
    <w:p w14:paraId="12C87646" w14:textId="77777777" w:rsidR="005A4555" w:rsidRPr="00FC0E00" w:rsidRDefault="005A4555" w:rsidP="00FC0E00">
      <w:pPr>
        <w:snapToGrid w:val="0"/>
        <w:spacing w:after="0" w:line="360" w:lineRule="auto"/>
        <w:jc w:val="both"/>
        <w:rPr>
          <w:rFonts w:ascii="Book Antiqua" w:hAnsi="Book Antiqua"/>
          <w:iCs/>
          <w:sz w:val="24"/>
          <w:szCs w:val="24"/>
          <w:shd w:val="clear" w:color="auto" w:fill="FFFFFF"/>
        </w:rPr>
      </w:pPr>
    </w:p>
    <w:p w14:paraId="151AB245" w14:textId="2D5B3F27" w:rsidR="00DC708F" w:rsidRPr="00FC0E00" w:rsidRDefault="005A4555" w:rsidP="00FC0E00">
      <w:pPr>
        <w:snapToGrid w:val="0"/>
        <w:spacing w:after="0" w:line="360" w:lineRule="auto"/>
        <w:jc w:val="both"/>
        <w:rPr>
          <w:rFonts w:ascii="Book Antiqua" w:hAnsi="Book Antiqua"/>
          <w:b/>
          <w:bCs/>
          <w:iCs/>
          <w:sz w:val="24"/>
          <w:szCs w:val="24"/>
          <w:u w:val="single"/>
          <w:shd w:val="clear" w:color="auto" w:fill="FFFFFF"/>
        </w:rPr>
      </w:pPr>
      <w:r w:rsidRPr="00FC0E00">
        <w:rPr>
          <w:rFonts w:ascii="Book Antiqua" w:hAnsi="Book Antiqua"/>
          <w:b/>
          <w:bCs/>
          <w:sz w:val="24"/>
          <w:szCs w:val="24"/>
          <w:u w:val="single"/>
        </w:rPr>
        <w:t>CONCLUSION</w:t>
      </w:r>
    </w:p>
    <w:p w14:paraId="3C35B478" w14:textId="77777777" w:rsidR="00DC708F" w:rsidRPr="00FC0E00" w:rsidRDefault="00DC708F" w:rsidP="00FC0E00">
      <w:pPr>
        <w:snapToGrid w:val="0"/>
        <w:spacing w:after="0" w:line="360" w:lineRule="auto"/>
        <w:jc w:val="both"/>
        <w:rPr>
          <w:rFonts w:ascii="Book Antiqua" w:hAnsi="Book Antiqua"/>
          <w:sz w:val="24"/>
          <w:szCs w:val="24"/>
        </w:rPr>
      </w:pPr>
      <w:r w:rsidRPr="00FC0E00">
        <w:rPr>
          <w:rFonts w:ascii="Book Antiqua" w:hAnsi="Book Antiqua"/>
          <w:sz w:val="24"/>
          <w:szCs w:val="24"/>
        </w:rPr>
        <w:lastRenderedPageBreak/>
        <w:t xml:space="preserve">Whilst the evidence reviewed herein demonstrates undeniable co-existence of increased SUA across a continuum of NAFLD cohorts, the </w:t>
      </w:r>
      <w:r w:rsidR="004229D0" w:rsidRPr="00FC0E00">
        <w:rPr>
          <w:rFonts w:ascii="Book Antiqua" w:hAnsi="Book Antiqua"/>
          <w:sz w:val="24"/>
          <w:szCs w:val="24"/>
        </w:rPr>
        <w:t>evidence for</w:t>
      </w:r>
      <w:r w:rsidRPr="00FC0E00">
        <w:rPr>
          <w:rFonts w:ascii="Book Antiqua" w:hAnsi="Book Antiqua"/>
          <w:sz w:val="24"/>
          <w:szCs w:val="24"/>
        </w:rPr>
        <w:t xml:space="preserve"> causality </w:t>
      </w:r>
      <w:r w:rsidR="004229D0" w:rsidRPr="00FC0E00">
        <w:rPr>
          <w:rFonts w:ascii="Book Antiqua" w:hAnsi="Book Antiqua"/>
          <w:sz w:val="24"/>
          <w:szCs w:val="24"/>
        </w:rPr>
        <w:t>remains tenuous</w:t>
      </w:r>
      <w:r w:rsidR="007F19FD" w:rsidRPr="00FC0E00">
        <w:rPr>
          <w:rFonts w:ascii="Book Antiqua" w:hAnsi="Book Antiqua"/>
          <w:sz w:val="24"/>
          <w:szCs w:val="24"/>
        </w:rPr>
        <w:t>. As with a number</w:t>
      </w:r>
      <w:r w:rsidRPr="00FC0E00">
        <w:rPr>
          <w:rFonts w:ascii="Book Antiqua" w:hAnsi="Book Antiqua"/>
          <w:sz w:val="24"/>
          <w:szCs w:val="24"/>
        </w:rPr>
        <w:t xml:space="preserve"> of NAFLD studies, there is a predominance of observational and retrospective works within the literature, which suffer inherent biases. There is significant heterogeneity in the standards used for exacting NAFLD across such works including use of non-invasive modalities, all of which have relative limitations. This however, is reflective of the challenges faced </w:t>
      </w:r>
      <w:r w:rsidR="00FD5178" w:rsidRPr="00FC0E00">
        <w:rPr>
          <w:rFonts w:ascii="Book Antiqua" w:hAnsi="Book Antiqua"/>
          <w:sz w:val="24"/>
          <w:szCs w:val="24"/>
        </w:rPr>
        <w:t>in real world clinical practice,</w:t>
      </w:r>
      <w:r w:rsidRPr="00FC0E00">
        <w:rPr>
          <w:rFonts w:ascii="Book Antiqua" w:hAnsi="Book Antiqua"/>
          <w:sz w:val="24"/>
          <w:szCs w:val="24"/>
        </w:rPr>
        <w:t xml:space="preserve"> accurately </w:t>
      </w:r>
      <w:r w:rsidR="00FD5178" w:rsidRPr="00FC0E00">
        <w:rPr>
          <w:rFonts w:ascii="Book Antiqua" w:hAnsi="Book Antiqua"/>
          <w:sz w:val="24"/>
          <w:szCs w:val="24"/>
        </w:rPr>
        <w:t>mirroring</w:t>
      </w:r>
      <w:r w:rsidRPr="00FC0E00">
        <w:rPr>
          <w:rFonts w:ascii="Book Antiqua" w:hAnsi="Book Antiqua"/>
          <w:sz w:val="24"/>
          <w:szCs w:val="24"/>
        </w:rPr>
        <w:t xml:space="preserve"> the diverse</w:t>
      </w:r>
      <w:r w:rsidR="00FD5178" w:rsidRPr="00FC0E00">
        <w:rPr>
          <w:rFonts w:ascii="Book Antiqua" w:hAnsi="Book Antiqua"/>
          <w:sz w:val="24"/>
          <w:szCs w:val="24"/>
        </w:rPr>
        <w:t xml:space="preserve"> NAFLD continuum </w:t>
      </w:r>
      <w:r w:rsidRPr="00FC0E00">
        <w:rPr>
          <w:rFonts w:ascii="Book Antiqua" w:hAnsi="Book Antiqua"/>
          <w:sz w:val="24"/>
          <w:szCs w:val="24"/>
        </w:rPr>
        <w:t xml:space="preserve">and the diagnostic conundrum it </w:t>
      </w:r>
      <w:r w:rsidR="00FD5178" w:rsidRPr="00FC0E00">
        <w:rPr>
          <w:rFonts w:ascii="Book Antiqua" w:hAnsi="Book Antiqua"/>
          <w:sz w:val="24"/>
          <w:szCs w:val="24"/>
        </w:rPr>
        <w:t>poses</w:t>
      </w:r>
      <w:r w:rsidRPr="00FC0E00">
        <w:rPr>
          <w:rFonts w:ascii="Book Antiqua" w:hAnsi="Book Antiqua"/>
          <w:sz w:val="24"/>
          <w:szCs w:val="24"/>
        </w:rPr>
        <w:t>. This is clearly illustrated by the divergent prevalence of “lean-NAFLD” and</w:t>
      </w:r>
      <w:r w:rsidR="00D5109C" w:rsidRPr="00FC0E00">
        <w:rPr>
          <w:rFonts w:ascii="Book Antiqua" w:hAnsi="Book Antiqua"/>
          <w:sz w:val="24"/>
          <w:szCs w:val="24"/>
        </w:rPr>
        <w:t xml:space="preserve"> its geographical predilections</w:t>
      </w:r>
      <w:r w:rsidR="002313E7" w:rsidRPr="00FC0E00">
        <w:rPr>
          <w:rFonts w:ascii="Book Antiqua" w:hAnsi="Book Antiqua"/>
          <w:sz w:val="24"/>
          <w:szCs w:val="24"/>
        </w:rPr>
        <w:t xml:space="preserve"> and presents a further </w:t>
      </w:r>
      <w:r w:rsidRPr="00FC0E00">
        <w:rPr>
          <w:rFonts w:ascii="Book Antiqua" w:hAnsi="Book Antiqua"/>
          <w:sz w:val="24"/>
          <w:szCs w:val="24"/>
        </w:rPr>
        <w:t xml:space="preserve">confounding entity. </w:t>
      </w:r>
    </w:p>
    <w:p w14:paraId="73592A4B" w14:textId="76D9487A" w:rsidR="00DC708F" w:rsidRPr="00FC0E00" w:rsidRDefault="00DC708F" w:rsidP="000A407B">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Unfortunately, there is clearly no absolute evidence for incorporating </w:t>
      </w:r>
      <w:r w:rsidR="0070186F" w:rsidRPr="00FC0E00">
        <w:rPr>
          <w:rFonts w:ascii="Book Antiqua" w:hAnsi="Book Antiqua"/>
          <w:sz w:val="24"/>
          <w:szCs w:val="24"/>
          <w:lang w:eastAsia="en-GB"/>
        </w:rPr>
        <w:t>UA</w:t>
      </w:r>
      <w:r w:rsidRPr="00FC0E00">
        <w:rPr>
          <w:rFonts w:ascii="Book Antiqua" w:hAnsi="Book Antiqua"/>
          <w:sz w:val="24"/>
          <w:szCs w:val="24"/>
        </w:rPr>
        <w:t xml:space="preserve"> in the diagnostic algorithms as they </w:t>
      </w:r>
      <w:r w:rsidR="007F19FD" w:rsidRPr="00FC0E00">
        <w:rPr>
          <w:rFonts w:ascii="Book Antiqua" w:hAnsi="Book Antiqua"/>
          <w:sz w:val="24"/>
          <w:szCs w:val="24"/>
        </w:rPr>
        <w:t xml:space="preserve">presently </w:t>
      </w:r>
      <w:r w:rsidRPr="00FC0E00">
        <w:rPr>
          <w:rFonts w:ascii="Book Antiqua" w:hAnsi="Book Antiqua"/>
          <w:sz w:val="24"/>
          <w:szCs w:val="24"/>
        </w:rPr>
        <w:t>exist for large undifferenti</w:t>
      </w:r>
      <w:r w:rsidR="007F19FD" w:rsidRPr="00FC0E00">
        <w:rPr>
          <w:rFonts w:ascii="Book Antiqua" w:hAnsi="Book Antiqua"/>
          <w:sz w:val="24"/>
          <w:szCs w:val="24"/>
        </w:rPr>
        <w:t xml:space="preserve">ated populous screening. Feasibly, </w:t>
      </w:r>
      <w:r w:rsidRPr="00FC0E00">
        <w:rPr>
          <w:rFonts w:ascii="Book Antiqua" w:hAnsi="Book Antiqua"/>
          <w:sz w:val="24"/>
          <w:szCs w:val="24"/>
        </w:rPr>
        <w:t xml:space="preserve">large datasets which incorporate specific advanced diagnostic components including </w:t>
      </w:r>
      <w:r w:rsidR="00741133" w:rsidRPr="00FC0E00">
        <w:rPr>
          <w:rFonts w:ascii="Book Antiqua" w:hAnsi="Book Antiqua"/>
          <w:sz w:val="24"/>
          <w:szCs w:val="24"/>
        </w:rPr>
        <w:t>Enhanced Liver Fibrosis test</w:t>
      </w:r>
      <w:r w:rsidR="006956F1">
        <w:rPr>
          <w:rFonts w:ascii="Book Antiqua" w:hAnsi="Book Antiqua"/>
          <w:sz w:val="24"/>
          <w:szCs w:val="24"/>
        </w:rPr>
        <w:t xml:space="preserve"> </w:t>
      </w:r>
      <w:r w:rsidRPr="00FC0E00">
        <w:rPr>
          <w:rFonts w:ascii="Book Antiqua" w:hAnsi="Book Antiqua"/>
          <w:sz w:val="24"/>
          <w:szCs w:val="24"/>
        </w:rPr>
        <w:t>or the algorithmic-based intelligent Liver Function Test</w:t>
      </w:r>
      <w:r w:rsidR="007F19FD" w:rsidRPr="00FC0E00">
        <w:rPr>
          <w:rFonts w:ascii="Book Antiqua" w:hAnsi="Book Antiqua"/>
          <w:sz w:val="24"/>
          <w:szCs w:val="24"/>
        </w:rPr>
        <w:fldChar w:fldCharType="begin"/>
      </w:r>
      <w:r w:rsidR="00766D5D" w:rsidRPr="00FC0E00">
        <w:rPr>
          <w:rFonts w:ascii="Book Antiqua" w:hAnsi="Book Antiqua"/>
          <w:sz w:val="24"/>
          <w:szCs w:val="24"/>
        </w:rPr>
        <w:instrText xml:space="preserve"> ADDIN ZOTERO_ITEM CSL_CITATION {"citationID":"F1t3LwjH","properties":{"formattedCitation":"\\super [42]\\nosupersub{}","plainCitation":"[42]","noteIndex":0},"citationItems":[{"id":1716,"uris":["http://zotero.org/users/5302874/items/9XYLQIMH"],"uri":["http://zotero.org/users/5302874/items/9XYLQIMH"],"itemData":{"id":1716,"type":"article-journal","abstract":"Background\nLiver function tests (LFTs) are commonly abnormal; most patients with ‘incidental’ abnormal LFTs are not investigated appropriately and for those who are, current care pathways are geared to find an explanation for the abnormality by a lengthy process of investigation and exclusion, with costs to the patient and to the health service.\n\nObjective\nTo validate an intelligent automatable analysis tool (iLFT) for abnormal liver enzymes, which diagnoses common liver conditions, provides fibrosis stage and recommends management\n\nDesign\nA retrospective case note review from three tertiary referral liver centres, with application of the iLFT algorithm and comparison with the clinician’s final opinion as gold standard.\n\nResults\nThe iLFT algorithm in 91.3% of cases would have correctly recommended referral or management in primary care. In the majority of the rest of the cases, iLFT failed safe and recommended referral even when the final clinical diagnosis could have been managed in primary care. Diagnostic accuracy was achieved in 82.4% of cases, consistent with the fail-safe design of the algorithm. Two cases would have remained in primary care as per the algorithm outcome, however on clinical review had features of advanced fibrosis.\n\nConclusion\niLFT analysis of abnormal liver enzymes offers a safe and robust method of risk stratifying patients to the most appropriate care pathway as well as providing reliable diagnostic information based on a single blood draw, without repeated contacts with health services. Offers the possibility of high quality investigation and diagnosis to all patients rather than a tiny minority.","container-title":"Frontline Gastroenterology","DOI":"10.1136/flgastro-2017-100909","ISSN":"2041-4137","issue":"3","journalAbbreviation":"Frontline Gastroenterol","note":"PMID: 30046420\nPMCID: PMC6056084","page":"175-182","source":"PubMed Central","title":"Development and validation of diagnostic triage criteria for liver disease from a minimum data set enabling the ‘intelligent LFT’ pathway for the automated assessment of deranged liver enzymes","volume":"9","author":[{"family":"Miller","given":"Michael Hugh"},{"family":"Fraser","given":"Andrew"},{"family":"Leggett","given":"Gillian"},{"family":"MacGilchrist","given":"Alastair"},{"family":"Gibson","given":"George"},{"family":"Orr","given":"James"},{"family":"Forrest","given":"Ewan H"},{"family":"Dow","given":"Ellie"},{"family":"Bartlett","given":"William"},{"family":"Weatherburn","given":"Chirstopher"},{"family":"Laurell","given":"Axel"},{"family":"Grant","given":"Kirsty"},{"family":"Scott","given":"Kathryn"},{"family":"Neville","given":"Ronald"},{"family":"Dillon","given":"John F"}],"issued":{"date-parts":[["2018",7]]}}}],"schema":"https://github.com/citation-style-language/schema/raw/master/csl-citation.json"} </w:instrText>
      </w:r>
      <w:r w:rsidR="007F19FD" w:rsidRPr="00FC0E00">
        <w:rPr>
          <w:rFonts w:ascii="Book Antiqua" w:hAnsi="Book Antiqua"/>
          <w:sz w:val="24"/>
          <w:szCs w:val="24"/>
        </w:rPr>
        <w:fldChar w:fldCharType="separate"/>
      </w:r>
      <w:r w:rsidR="00766D5D" w:rsidRPr="00FC0E00">
        <w:rPr>
          <w:rFonts w:ascii="Book Antiqua" w:hAnsi="Book Antiqua" w:cs="Times New Roman"/>
          <w:sz w:val="24"/>
          <w:szCs w:val="24"/>
          <w:vertAlign w:val="superscript"/>
        </w:rPr>
        <w:t>[42]</w:t>
      </w:r>
      <w:r w:rsidR="007F19FD" w:rsidRPr="00FC0E00">
        <w:rPr>
          <w:rFonts w:ascii="Book Antiqua" w:hAnsi="Book Antiqua"/>
          <w:sz w:val="24"/>
          <w:szCs w:val="24"/>
        </w:rPr>
        <w:fldChar w:fldCharType="end"/>
      </w:r>
      <w:r w:rsidRPr="00FC0E00">
        <w:rPr>
          <w:rFonts w:ascii="Book Antiqua" w:hAnsi="Book Antiqua"/>
          <w:sz w:val="24"/>
          <w:szCs w:val="24"/>
        </w:rPr>
        <w:t xml:space="preserve"> system may have a place for inclusion of </w:t>
      </w:r>
      <w:r w:rsidR="0070186F" w:rsidRPr="00FC0E00">
        <w:rPr>
          <w:rFonts w:ascii="Book Antiqua" w:hAnsi="Book Antiqua"/>
          <w:sz w:val="24"/>
          <w:szCs w:val="24"/>
          <w:lang w:eastAsia="en-GB"/>
        </w:rPr>
        <w:t>UA</w:t>
      </w:r>
      <w:r w:rsidR="00741133" w:rsidRPr="00FC0E00">
        <w:rPr>
          <w:rFonts w:ascii="Book Antiqua" w:hAnsi="Book Antiqua"/>
          <w:sz w:val="24"/>
          <w:szCs w:val="24"/>
        </w:rPr>
        <w:t xml:space="preserve"> in their respective methods</w:t>
      </w:r>
      <w:r w:rsidRPr="00FC0E00">
        <w:rPr>
          <w:rFonts w:ascii="Book Antiqua" w:hAnsi="Book Antiqua"/>
          <w:sz w:val="24"/>
          <w:szCs w:val="24"/>
        </w:rPr>
        <w:t>.</w:t>
      </w:r>
    </w:p>
    <w:p w14:paraId="3EB8831F" w14:textId="08BE5AB9" w:rsidR="00DC708F" w:rsidRPr="00FC0E00" w:rsidRDefault="0070186F" w:rsidP="000A407B">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lang w:eastAsia="en-GB"/>
        </w:rPr>
        <w:t>UA</w:t>
      </w:r>
      <w:r w:rsidR="002313E7" w:rsidRPr="00FC0E00">
        <w:rPr>
          <w:rFonts w:ascii="Book Antiqua" w:hAnsi="Book Antiqua"/>
          <w:sz w:val="24"/>
          <w:szCs w:val="24"/>
        </w:rPr>
        <w:t xml:space="preserve"> is an attractive biomarker</w:t>
      </w:r>
      <w:r w:rsidR="00DC708F" w:rsidRPr="00FC0E00">
        <w:rPr>
          <w:rFonts w:ascii="Book Antiqua" w:hAnsi="Book Antiqua"/>
          <w:sz w:val="24"/>
          <w:szCs w:val="24"/>
        </w:rPr>
        <w:t xml:space="preserve"> from a number of perspectives including cost basis and </w:t>
      </w:r>
      <w:r w:rsidR="008922D4" w:rsidRPr="00FC0E00">
        <w:rPr>
          <w:rFonts w:ascii="Book Antiqua" w:hAnsi="Book Antiqua"/>
          <w:sz w:val="24"/>
          <w:szCs w:val="24"/>
        </w:rPr>
        <w:t>almost</w:t>
      </w:r>
      <w:r w:rsidR="00DC708F" w:rsidRPr="00FC0E00">
        <w:rPr>
          <w:rFonts w:ascii="Book Antiqua" w:hAnsi="Book Antiqua"/>
          <w:sz w:val="24"/>
          <w:szCs w:val="24"/>
        </w:rPr>
        <w:t xml:space="preserve"> </w:t>
      </w:r>
      <w:r w:rsidR="008922D4" w:rsidRPr="00FC0E00">
        <w:rPr>
          <w:rFonts w:ascii="Book Antiqua" w:hAnsi="Book Antiqua"/>
          <w:sz w:val="24"/>
          <w:szCs w:val="24"/>
        </w:rPr>
        <w:t>universal</w:t>
      </w:r>
      <w:r w:rsidR="00DC708F" w:rsidRPr="00FC0E00">
        <w:rPr>
          <w:rFonts w:ascii="Book Antiqua" w:hAnsi="Book Antiqua"/>
          <w:sz w:val="24"/>
          <w:szCs w:val="24"/>
        </w:rPr>
        <w:t xml:space="preserve"> access</w:t>
      </w:r>
      <w:r w:rsidR="00E51710" w:rsidRPr="00FC0E00">
        <w:rPr>
          <w:rFonts w:ascii="Book Antiqua" w:hAnsi="Book Antiqua"/>
          <w:sz w:val="24"/>
          <w:szCs w:val="24"/>
        </w:rPr>
        <w:t xml:space="preserve"> to reproducible assays</w:t>
      </w:r>
      <w:r w:rsidR="00DC708F" w:rsidRPr="00FC0E00">
        <w:rPr>
          <w:rFonts w:ascii="Book Antiqua" w:hAnsi="Book Antiqua"/>
          <w:sz w:val="24"/>
          <w:szCs w:val="24"/>
        </w:rPr>
        <w:t>. Ther</w:t>
      </w:r>
      <w:r w:rsidR="00E51710" w:rsidRPr="00FC0E00">
        <w:rPr>
          <w:rFonts w:ascii="Book Antiqua" w:hAnsi="Book Antiqua"/>
          <w:sz w:val="24"/>
          <w:szCs w:val="24"/>
        </w:rPr>
        <w:t>e is perhaps some distinct subtleties’</w:t>
      </w:r>
      <w:r w:rsidR="00DC708F" w:rsidRPr="00FC0E00">
        <w:rPr>
          <w:rFonts w:ascii="Book Antiqua" w:hAnsi="Book Antiqua"/>
          <w:sz w:val="24"/>
          <w:szCs w:val="24"/>
        </w:rPr>
        <w:t xml:space="preserve"> emergin</w:t>
      </w:r>
      <w:r w:rsidR="00E51710" w:rsidRPr="00FC0E00">
        <w:rPr>
          <w:rFonts w:ascii="Book Antiqua" w:hAnsi="Book Antiqua"/>
          <w:sz w:val="24"/>
          <w:szCs w:val="24"/>
        </w:rPr>
        <w:t xml:space="preserve">g around the use of </w:t>
      </w:r>
      <w:r w:rsidRPr="00FC0E00">
        <w:rPr>
          <w:rFonts w:ascii="Book Antiqua" w:hAnsi="Book Antiqua"/>
          <w:sz w:val="24"/>
          <w:szCs w:val="24"/>
          <w:lang w:eastAsia="en-GB"/>
        </w:rPr>
        <w:t>UA</w:t>
      </w:r>
      <w:r w:rsidR="00E51710" w:rsidRPr="00FC0E00">
        <w:rPr>
          <w:rFonts w:ascii="Book Antiqua" w:hAnsi="Book Antiqua"/>
          <w:sz w:val="24"/>
          <w:szCs w:val="24"/>
        </w:rPr>
        <w:t xml:space="preserve"> in</w:t>
      </w:r>
      <w:r w:rsidR="00741133" w:rsidRPr="00FC0E00">
        <w:rPr>
          <w:rFonts w:ascii="Book Antiqua" w:hAnsi="Book Antiqua"/>
          <w:sz w:val="24"/>
          <w:szCs w:val="24"/>
        </w:rPr>
        <w:t xml:space="preserve"> defined</w:t>
      </w:r>
      <w:r w:rsidR="00097691" w:rsidRPr="00FC0E00">
        <w:rPr>
          <w:rFonts w:ascii="Book Antiqua" w:hAnsi="Book Antiqua"/>
          <w:sz w:val="24"/>
          <w:szCs w:val="24"/>
        </w:rPr>
        <w:t xml:space="preserve"> subgroups</w:t>
      </w:r>
      <w:r w:rsidR="00741133" w:rsidRPr="00FC0E00">
        <w:rPr>
          <w:rFonts w:ascii="Book Antiqua" w:hAnsi="Book Antiqua"/>
          <w:sz w:val="24"/>
          <w:szCs w:val="24"/>
        </w:rPr>
        <w:t>,</w:t>
      </w:r>
      <w:r w:rsidR="00DC708F" w:rsidRPr="00FC0E00">
        <w:rPr>
          <w:rFonts w:ascii="Book Antiqua" w:hAnsi="Book Antiqua"/>
          <w:sz w:val="24"/>
          <w:szCs w:val="24"/>
        </w:rPr>
        <w:t xml:space="preserve"> includi</w:t>
      </w:r>
      <w:r w:rsidR="00097691" w:rsidRPr="00FC0E00">
        <w:rPr>
          <w:rFonts w:ascii="Book Antiqua" w:hAnsi="Book Antiqua"/>
          <w:sz w:val="24"/>
          <w:szCs w:val="24"/>
        </w:rPr>
        <w:t>ng that of the lean-NAFLD cohorts</w:t>
      </w:r>
      <w:r w:rsidR="00DC708F" w:rsidRPr="00FC0E00">
        <w:rPr>
          <w:rFonts w:ascii="Book Antiqua" w:hAnsi="Book Antiqua"/>
          <w:sz w:val="24"/>
          <w:szCs w:val="24"/>
        </w:rPr>
        <w:t xml:space="preserve"> and in distinguishing mild or simple steatosis from that of </w:t>
      </w:r>
      <w:r w:rsidR="00097691" w:rsidRPr="00FC0E00">
        <w:rPr>
          <w:rFonts w:ascii="Book Antiqua" w:hAnsi="Book Antiqua"/>
          <w:sz w:val="24"/>
          <w:szCs w:val="24"/>
        </w:rPr>
        <w:t xml:space="preserve">moderate to </w:t>
      </w:r>
      <w:r w:rsidR="00DC708F" w:rsidRPr="00FC0E00">
        <w:rPr>
          <w:rFonts w:ascii="Book Antiqua" w:hAnsi="Book Antiqua"/>
          <w:sz w:val="24"/>
          <w:szCs w:val="24"/>
        </w:rPr>
        <w:t xml:space="preserve">severe variants. </w:t>
      </w:r>
    </w:p>
    <w:p w14:paraId="478B0A1D" w14:textId="26EBE07E" w:rsidR="00DC708F" w:rsidRPr="00FC0E00" w:rsidRDefault="00DC708F" w:rsidP="00E00792">
      <w:pPr>
        <w:snapToGrid w:val="0"/>
        <w:spacing w:after="0" w:line="360" w:lineRule="auto"/>
        <w:ind w:firstLineChars="100" w:firstLine="240"/>
        <w:jc w:val="both"/>
        <w:rPr>
          <w:rFonts w:ascii="Book Antiqua" w:hAnsi="Book Antiqua"/>
          <w:sz w:val="24"/>
          <w:szCs w:val="24"/>
        </w:rPr>
      </w:pPr>
      <w:r w:rsidRPr="00FC0E00">
        <w:rPr>
          <w:rFonts w:ascii="Book Antiqua" w:hAnsi="Book Antiqua"/>
          <w:sz w:val="24"/>
          <w:szCs w:val="24"/>
        </w:rPr>
        <w:t xml:space="preserve">Undoubtedly, efforts to maximise any potential role for </w:t>
      </w:r>
      <w:r w:rsidR="0070186F" w:rsidRPr="00FC0E00">
        <w:rPr>
          <w:rFonts w:ascii="Book Antiqua" w:hAnsi="Book Antiqua"/>
          <w:sz w:val="24"/>
          <w:szCs w:val="24"/>
          <w:lang w:eastAsia="en-GB"/>
        </w:rPr>
        <w:t>UA</w:t>
      </w:r>
      <w:r w:rsidRPr="00FC0E00">
        <w:rPr>
          <w:rFonts w:ascii="Book Antiqua" w:hAnsi="Book Antiqua"/>
          <w:sz w:val="24"/>
          <w:szCs w:val="24"/>
        </w:rPr>
        <w:t xml:space="preserve"> should be pursued given the enormous challenges that lie ahead in NAFLD diagnosis and prognostication. </w:t>
      </w:r>
    </w:p>
    <w:p w14:paraId="7C29F3A2" w14:textId="77777777" w:rsidR="005A4555" w:rsidRPr="00FC0E00" w:rsidRDefault="005A4555" w:rsidP="00FC0E00">
      <w:pPr>
        <w:snapToGrid w:val="0"/>
        <w:spacing w:after="0" w:line="360" w:lineRule="auto"/>
        <w:jc w:val="both"/>
        <w:rPr>
          <w:rFonts w:ascii="Book Antiqua" w:hAnsi="Book Antiqua"/>
          <w:sz w:val="24"/>
          <w:szCs w:val="24"/>
        </w:rPr>
      </w:pPr>
    </w:p>
    <w:p w14:paraId="0A727E6A" w14:textId="652AEF94" w:rsidR="005A4555" w:rsidRPr="00FC0E00" w:rsidRDefault="005A4555" w:rsidP="00FC0E00">
      <w:pPr>
        <w:autoSpaceDE w:val="0"/>
        <w:autoSpaceDN w:val="0"/>
        <w:adjustRightInd w:val="0"/>
        <w:snapToGrid w:val="0"/>
        <w:spacing w:after="0" w:line="360" w:lineRule="auto"/>
        <w:jc w:val="both"/>
        <w:rPr>
          <w:rFonts w:ascii="Book Antiqua" w:eastAsia="宋体" w:hAnsi="Book Antiqua" w:cs="Calibri"/>
          <w:b/>
          <w:sz w:val="24"/>
          <w:szCs w:val="24"/>
          <w:lang w:val="en-US"/>
        </w:rPr>
      </w:pPr>
      <w:bookmarkStart w:id="14" w:name="_Hlk35202755"/>
      <w:r w:rsidRPr="00FC0E00">
        <w:rPr>
          <w:rFonts w:ascii="Book Antiqua" w:eastAsia="宋体" w:hAnsi="Book Antiqua" w:cs="Calibri"/>
          <w:b/>
          <w:sz w:val="24"/>
          <w:szCs w:val="24"/>
          <w:lang w:val="en-US"/>
        </w:rPr>
        <w:t>REFERENCES</w:t>
      </w:r>
    </w:p>
    <w:p w14:paraId="5176C6F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 </w:t>
      </w:r>
      <w:r w:rsidRPr="00FC0E00">
        <w:rPr>
          <w:rFonts w:ascii="Book Antiqua" w:eastAsia="等线" w:hAnsi="Book Antiqua" w:cs="Times New Roman"/>
          <w:b/>
          <w:kern w:val="2"/>
          <w:sz w:val="24"/>
          <w:szCs w:val="24"/>
          <w:lang w:val="en-US" w:eastAsia="zh-CN"/>
        </w:rPr>
        <w:t>Dyson JK</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Anstee</w:t>
      </w:r>
      <w:proofErr w:type="spellEnd"/>
      <w:r w:rsidRPr="00FC0E00">
        <w:rPr>
          <w:rFonts w:ascii="Book Antiqua" w:eastAsia="等线" w:hAnsi="Book Antiqua" w:cs="Times New Roman"/>
          <w:kern w:val="2"/>
          <w:sz w:val="24"/>
          <w:szCs w:val="24"/>
          <w:lang w:val="en-US" w:eastAsia="zh-CN"/>
        </w:rPr>
        <w:t xml:space="preserve"> QM, McPherson S. Non-alcoholic fatty liver disease: a practical approach to diagnosis and staging. </w:t>
      </w:r>
      <w:r w:rsidRPr="00FC0E00">
        <w:rPr>
          <w:rFonts w:ascii="Book Antiqua" w:eastAsia="等线" w:hAnsi="Book Antiqua" w:cs="Times New Roman"/>
          <w:i/>
          <w:kern w:val="2"/>
          <w:sz w:val="24"/>
          <w:szCs w:val="24"/>
          <w:lang w:val="en-US" w:eastAsia="zh-CN"/>
        </w:rPr>
        <w:t>Frontline Gastroenterol</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5</w:t>
      </w:r>
      <w:r w:rsidRPr="00FC0E00">
        <w:rPr>
          <w:rFonts w:ascii="Book Antiqua" w:eastAsia="等线" w:hAnsi="Book Antiqua" w:cs="Times New Roman"/>
          <w:kern w:val="2"/>
          <w:sz w:val="24"/>
          <w:szCs w:val="24"/>
          <w:lang w:val="en-US" w:eastAsia="zh-CN"/>
        </w:rPr>
        <w:t>: 211-218 [PMID: 25018867 DOI: 10.1136/flgastro-2013-100403]</w:t>
      </w:r>
    </w:p>
    <w:p w14:paraId="54BB1485"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 </w:t>
      </w:r>
      <w:r w:rsidRPr="00FC0E00">
        <w:rPr>
          <w:rFonts w:ascii="Book Antiqua" w:eastAsia="等线" w:hAnsi="Book Antiqua" w:cs="Times New Roman"/>
          <w:b/>
          <w:kern w:val="2"/>
          <w:sz w:val="24"/>
          <w:szCs w:val="24"/>
          <w:lang w:val="en-US" w:eastAsia="zh-CN"/>
        </w:rPr>
        <w:t>Rinella ME</w:t>
      </w:r>
      <w:r w:rsidRPr="00FC0E00">
        <w:rPr>
          <w:rFonts w:ascii="Book Antiqua" w:eastAsia="等线" w:hAnsi="Book Antiqua" w:cs="Times New Roman"/>
          <w:kern w:val="2"/>
          <w:sz w:val="24"/>
          <w:szCs w:val="24"/>
          <w:lang w:val="en-US" w:eastAsia="zh-CN"/>
        </w:rPr>
        <w:t xml:space="preserve">. Nonalcoholic fatty liver disease: a systematic review. </w:t>
      </w:r>
      <w:r w:rsidRPr="00FC0E00">
        <w:rPr>
          <w:rFonts w:ascii="Book Antiqua" w:eastAsia="等线" w:hAnsi="Book Antiqua" w:cs="Times New Roman"/>
          <w:i/>
          <w:kern w:val="2"/>
          <w:sz w:val="24"/>
          <w:szCs w:val="24"/>
          <w:lang w:val="en-US" w:eastAsia="zh-CN"/>
        </w:rPr>
        <w:t>JAMA</w:t>
      </w:r>
      <w:r w:rsidRPr="00FC0E00">
        <w:rPr>
          <w:rFonts w:ascii="Book Antiqua" w:eastAsia="等线" w:hAnsi="Book Antiqua" w:cs="Times New Roman"/>
          <w:kern w:val="2"/>
          <w:sz w:val="24"/>
          <w:szCs w:val="24"/>
          <w:lang w:val="en-US" w:eastAsia="zh-CN"/>
        </w:rPr>
        <w:t xml:space="preserve"> </w:t>
      </w:r>
      <w:r w:rsidRPr="00FC0E00">
        <w:rPr>
          <w:rFonts w:ascii="Book Antiqua" w:eastAsia="等线" w:hAnsi="Book Antiqua" w:cs="Times New Roman"/>
          <w:kern w:val="2"/>
          <w:sz w:val="24"/>
          <w:szCs w:val="24"/>
          <w:lang w:val="en-US" w:eastAsia="zh-CN"/>
        </w:rPr>
        <w:lastRenderedPageBreak/>
        <w:t xml:space="preserve">2015; </w:t>
      </w:r>
      <w:r w:rsidRPr="00FC0E00">
        <w:rPr>
          <w:rFonts w:ascii="Book Antiqua" w:eastAsia="等线" w:hAnsi="Book Antiqua" w:cs="Times New Roman"/>
          <w:b/>
          <w:kern w:val="2"/>
          <w:sz w:val="24"/>
          <w:szCs w:val="24"/>
          <w:lang w:val="en-US" w:eastAsia="zh-CN"/>
        </w:rPr>
        <w:t>313</w:t>
      </w:r>
      <w:r w:rsidRPr="00FC0E00">
        <w:rPr>
          <w:rFonts w:ascii="Book Antiqua" w:eastAsia="等线" w:hAnsi="Book Antiqua" w:cs="Times New Roman"/>
          <w:kern w:val="2"/>
          <w:sz w:val="24"/>
          <w:szCs w:val="24"/>
          <w:lang w:val="en-US" w:eastAsia="zh-CN"/>
        </w:rPr>
        <w:t>: 2263-2273 [PMID: 26057287 DOI: 10.1001/jama.2015.5370]</w:t>
      </w:r>
    </w:p>
    <w:p w14:paraId="280F0DA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 </w:t>
      </w:r>
      <w:r w:rsidRPr="00FC0E00">
        <w:rPr>
          <w:rFonts w:ascii="Book Antiqua" w:eastAsia="等线" w:hAnsi="Book Antiqua" w:cs="Times New Roman"/>
          <w:b/>
          <w:kern w:val="2"/>
          <w:sz w:val="24"/>
          <w:szCs w:val="24"/>
          <w:lang w:val="en-US" w:eastAsia="zh-CN"/>
        </w:rPr>
        <w:t>Liu CQ</w:t>
      </w:r>
      <w:r w:rsidRPr="00FC0E00">
        <w:rPr>
          <w:rFonts w:ascii="Book Antiqua" w:eastAsia="等线" w:hAnsi="Book Antiqua" w:cs="Times New Roman"/>
          <w:kern w:val="2"/>
          <w:sz w:val="24"/>
          <w:szCs w:val="24"/>
          <w:lang w:val="en-US" w:eastAsia="zh-CN"/>
        </w:rPr>
        <w:t xml:space="preserve">, He CM, Chen N, Wang D, Shi X, Liu Y, Zeng X, Yan B, Liu S, Yang S, Li X, Li X, Li Z. Serum uric acid is independently and linearly associated with risk of nonalcoholic fatty liver disease in obese Chinese adults.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w:t>
      </w:r>
      <w:r w:rsidRPr="00FC0E00">
        <w:rPr>
          <w:rFonts w:ascii="Book Antiqua" w:eastAsia="等线" w:hAnsi="Book Antiqua" w:cs="Times New Roman"/>
          <w:kern w:val="2"/>
          <w:sz w:val="24"/>
          <w:szCs w:val="24"/>
          <w:lang w:val="en-US" w:eastAsia="zh-CN"/>
        </w:rPr>
        <w:t>: 38605 [PMID: 27924915 DOI: 10.1038/srep38605]</w:t>
      </w:r>
    </w:p>
    <w:p w14:paraId="648BA99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 </w:t>
      </w:r>
      <w:r w:rsidRPr="00FC0E00">
        <w:rPr>
          <w:rFonts w:ascii="Book Antiqua" w:eastAsia="等线" w:hAnsi="Book Antiqua" w:cs="Times New Roman"/>
          <w:b/>
          <w:kern w:val="2"/>
          <w:sz w:val="24"/>
          <w:szCs w:val="24"/>
          <w:lang w:val="en-US" w:eastAsia="zh-CN"/>
        </w:rPr>
        <w:t>Xu C</w:t>
      </w:r>
      <w:r w:rsidRPr="00FC0E00">
        <w:rPr>
          <w:rFonts w:ascii="Book Antiqua" w:eastAsia="等线" w:hAnsi="Book Antiqua" w:cs="Times New Roman"/>
          <w:kern w:val="2"/>
          <w:sz w:val="24"/>
          <w:szCs w:val="24"/>
          <w:lang w:val="en-US" w:eastAsia="zh-CN"/>
        </w:rPr>
        <w:t xml:space="preserve">, Wan X, Xu L, Weng H, Yan M, Miao M, Sun Y, Xu G, Dooley S, Li Y, Yu C. Xanthine oxidase in non-alcoholic fatty liver disease and hyperuricemia: One stone hits two birds.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62</w:t>
      </w:r>
      <w:r w:rsidRPr="00FC0E00">
        <w:rPr>
          <w:rFonts w:ascii="Book Antiqua" w:eastAsia="等线" w:hAnsi="Book Antiqua" w:cs="Times New Roman"/>
          <w:kern w:val="2"/>
          <w:sz w:val="24"/>
          <w:szCs w:val="24"/>
          <w:lang w:val="en-US" w:eastAsia="zh-CN"/>
        </w:rPr>
        <w:t>: 1412-1419 [PMID: 25623823 DOI: 10.1016/j.jhep.2015.01.019]</w:t>
      </w:r>
    </w:p>
    <w:p w14:paraId="5CF6E61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5 </w:t>
      </w:r>
      <w:proofErr w:type="spellStart"/>
      <w:r w:rsidRPr="00FC0E00">
        <w:rPr>
          <w:rFonts w:ascii="Book Antiqua" w:eastAsia="等线" w:hAnsi="Book Antiqua" w:cs="Times New Roman"/>
          <w:b/>
          <w:kern w:val="2"/>
          <w:sz w:val="24"/>
          <w:szCs w:val="24"/>
          <w:lang w:val="en-US" w:eastAsia="zh-CN"/>
        </w:rPr>
        <w:t>Hediger</w:t>
      </w:r>
      <w:proofErr w:type="spellEnd"/>
      <w:r w:rsidRPr="00FC0E00">
        <w:rPr>
          <w:rFonts w:ascii="Book Antiqua" w:eastAsia="等线" w:hAnsi="Book Antiqua" w:cs="Times New Roman"/>
          <w:b/>
          <w:kern w:val="2"/>
          <w:sz w:val="24"/>
          <w:szCs w:val="24"/>
          <w:lang w:val="en-US" w:eastAsia="zh-CN"/>
        </w:rPr>
        <w:t xml:space="preserve"> MA</w:t>
      </w:r>
      <w:r w:rsidRPr="00FC0E00">
        <w:rPr>
          <w:rFonts w:ascii="Book Antiqua" w:eastAsia="等线" w:hAnsi="Book Antiqua" w:cs="Times New Roman"/>
          <w:kern w:val="2"/>
          <w:sz w:val="24"/>
          <w:szCs w:val="24"/>
          <w:lang w:val="en-US" w:eastAsia="zh-CN"/>
        </w:rPr>
        <w:t xml:space="preserve">, Johnson RJ, Miyazaki H, </w:t>
      </w:r>
      <w:proofErr w:type="spellStart"/>
      <w:r w:rsidRPr="00FC0E00">
        <w:rPr>
          <w:rFonts w:ascii="Book Antiqua" w:eastAsia="等线" w:hAnsi="Book Antiqua" w:cs="Times New Roman"/>
          <w:kern w:val="2"/>
          <w:sz w:val="24"/>
          <w:szCs w:val="24"/>
          <w:lang w:val="en-US" w:eastAsia="zh-CN"/>
        </w:rPr>
        <w:t>Endou</w:t>
      </w:r>
      <w:proofErr w:type="spellEnd"/>
      <w:r w:rsidRPr="00FC0E00">
        <w:rPr>
          <w:rFonts w:ascii="Book Antiqua" w:eastAsia="等线" w:hAnsi="Book Antiqua" w:cs="Times New Roman"/>
          <w:kern w:val="2"/>
          <w:sz w:val="24"/>
          <w:szCs w:val="24"/>
          <w:lang w:val="en-US" w:eastAsia="zh-CN"/>
        </w:rPr>
        <w:t xml:space="preserve"> H. Molecular physiology of urate transport. </w:t>
      </w:r>
      <w:r w:rsidRPr="00FC0E00">
        <w:rPr>
          <w:rFonts w:ascii="Book Antiqua" w:eastAsia="等线" w:hAnsi="Book Antiqua" w:cs="Times New Roman"/>
          <w:i/>
          <w:kern w:val="2"/>
          <w:sz w:val="24"/>
          <w:szCs w:val="24"/>
          <w:lang w:val="en-US" w:eastAsia="zh-CN"/>
        </w:rPr>
        <w:t>Physiology (Bethesda)</w:t>
      </w:r>
      <w:r w:rsidRPr="00FC0E00">
        <w:rPr>
          <w:rFonts w:ascii="Book Antiqua" w:eastAsia="等线" w:hAnsi="Book Antiqua" w:cs="Times New Roman"/>
          <w:kern w:val="2"/>
          <w:sz w:val="24"/>
          <w:szCs w:val="24"/>
          <w:lang w:val="en-US" w:eastAsia="zh-CN"/>
        </w:rPr>
        <w:t xml:space="preserve"> 2005; </w:t>
      </w:r>
      <w:r w:rsidRPr="00FC0E00">
        <w:rPr>
          <w:rFonts w:ascii="Book Antiqua" w:eastAsia="等线" w:hAnsi="Book Antiqua" w:cs="Times New Roman"/>
          <w:b/>
          <w:kern w:val="2"/>
          <w:sz w:val="24"/>
          <w:szCs w:val="24"/>
          <w:lang w:val="en-US" w:eastAsia="zh-CN"/>
        </w:rPr>
        <w:t>20</w:t>
      </w:r>
      <w:r w:rsidRPr="00FC0E00">
        <w:rPr>
          <w:rFonts w:ascii="Book Antiqua" w:eastAsia="等线" w:hAnsi="Book Antiqua" w:cs="Times New Roman"/>
          <w:kern w:val="2"/>
          <w:sz w:val="24"/>
          <w:szCs w:val="24"/>
          <w:lang w:val="en-US" w:eastAsia="zh-CN"/>
        </w:rPr>
        <w:t>: 125-133 [PMID: 15772301 DOI: 10.1152/physiol.00039.2004]</w:t>
      </w:r>
    </w:p>
    <w:p w14:paraId="06E5FC7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6 </w:t>
      </w:r>
      <w:r w:rsidRPr="00FC0E00">
        <w:rPr>
          <w:rFonts w:ascii="Book Antiqua" w:eastAsia="等线" w:hAnsi="Book Antiqua" w:cs="Times New Roman"/>
          <w:b/>
          <w:kern w:val="2"/>
          <w:sz w:val="24"/>
          <w:szCs w:val="24"/>
          <w:lang w:val="en-US" w:eastAsia="zh-CN"/>
        </w:rPr>
        <w:t>Cai W</w:t>
      </w:r>
      <w:r w:rsidRPr="00FC0E00">
        <w:rPr>
          <w:rFonts w:ascii="Book Antiqua" w:eastAsia="等线" w:hAnsi="Book Antiqua" w:cs="Times New Roman"/>
          <w:kern w:val="2"/>
          <w:sz w:val="24"/>
          <w:szCs w:val="24"/>
          <w:lang w:val="en-US" w:eastAsia="zh-CN"/>
        </w:rPr>
        <w:t xml:space="preserve">, Song JM, Zhang B, Sun YP, Yao H, Zhang YX. The prevalence of nonalcoholic fatty liver disease and relationship with serum uric acid level in Uyghur population. </w:t>
      </w:r>
      <w:proofErr w:type="spellStart"/>
      <w:r w:rsidRPr="00FC0E00">
        <w:rPr>
          <w:rFonts w:ascii="Book Antiqua" w:eastAsia="等线" w:hAnsi="Book Antiqua" w:cs="Times New Roman"/>
          <w:i/>
          <w:kern w:val="2"/>
          <w:sz w:val="24"/>
          <w:szCs w:val="24"/>
          <w:lang w:val="en-US" w:eastAsia="zh-CN"/>
        </w:rPr>
        <w:t>ScientificWorldJournal</w:t>
      </w:r>
      <w:proofErr w:type="spellEnd"/>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2014</w:t>
      </w:r>
      <w:r w:rsidRPr="00FC0E00">
        <w:rPr>
          <w:rFonts w:ascii="Book Antiqua" w:eastAsia="等线" w:hAnsi="Book Antiqua" w:cs="Times New Roman"/>
          <w:kern w:val="2"/>
          <w:sz w:val="24"/>
          <w:szCs w:val="24"/>
          <w:lang w:val="en-US" w:eastAsia="zh-CN"/>
        </w:rPr>
        <w:t>: 393628 [PMID: 24516367 DOI: 10.1155/2014/393628]</w:t>
      </w:r>
    </w:p>
    <w:p w14:paraId="401226BC"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7 </w:t>
      </w:r>
      <w:r w:rsidRPr="00FC0E00">
        <w:rPr>
          <w:rFonts w:ascii="Book Antiqua" w:eastAsia="等线" w:hAnsi="Book Antiqua" w:cs="Times New Roman"/>
          <w:b/>
          <w:kern w:val="2"/>
          <w:sz w:val="24"/>
          <w:szCs w:val="24"/>
          <w:lang w:val="en-US" w:eastAsia="zh-CN"/>
        </w:rPr>
        <w:t>Wu SJ</w:t>
      </w:r>
      <w:r w:rsidRPr="00FC0E00">
        <w:rPr>
          <w:rFonts w:ascii="Book Antiqua" w:eastAsia="等线" w:hAnsi="Book Antiqua" w:cs="Times New Roman"/>
          <w:kern w:val="2"/>
          <w:sz w:val="24"/>
          <w:szCs w:val="24"/>
          <w:lang w:val="en-US" w:eastAsia="zh-CN"/>
        </w:rPr>
        <w:t xml:space="preserve">, Zhu GQ, Ye BZ, Kong FQ, Zheng ZX, Zou H, Shi KQ, Lin L, Braddock M, Huang WJ, Chen YP, Zheng MH. Association between sex-specific serum uric acid and non-alcoholic fatty liver disease in Chinese adults: a large population-based study. </w:t>
      </w:r>
      <w:r w:rsidRPr="00FC0E00">
        <w:rPr>
          <w:rFonts w:ascii="Book Antiqua" w:eastAsia="等线" w:hAnsi="Book Antiqua" w:cs="Times New Roman"/>
          <w:i/>
          <w:kern w:val="2"/>
          <w:sz w:val="24"/>
          <w:szCs w:val="24"/>
          <w:lang w:val="en-US" w:eastAsia="zh-CN"/>
        </w:rPr>
        <w:t>Medicine (Baltimore)</w:t>
      </w:r>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94</w:t>
      </w:r>
      <w:r w:rsidRPr="00FC0E00">
        <w:rPr>
          <w:rFonts w:ascii="Book Antiqua" w:eastAsia="等线" w:hAnsi="Book Antiqua" w:cs="Times New Roman"/>
          <w:kern w:val="2"/>
          <w:sz w:val="24"/>
          <w:szCs w:val="24"/>
          <w:lang w:val="en-US" w:eastAsia="zh-CN"/>
        </w:rPr>
        <w:t>: e802 [PMID: 25929934 DOI: 10.1097/MD.0000000000000802]</w:t>
      </w:r>
    </w:p>
    <w:p w14:paraId="1364D02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8 </w:t>
      </w:r>
      <w:proofErr w:type="spellStart"/>
      <w:r w:rsidRPr="00FC0E00">
        <w:rPr>
          <w:rFonts w:ascii="Book Antiqua" w:eastAsia="等线" w:hAnsi="Book Antiqua" w:cs="Times New Roman"/>
          <w:b/>
          <w:kern w:val="2"/>
          <w:sz w:val="24"/>
          <w:szCs w:val="24"/>
          <w:lang w:val="en-US" w:eastAsia="zh-CN"/>
        </w:rPr>
        <w:t>Denoble</w:t>
      </w:r>
      <w:proofErr w:type="spellEnd"/>
      <w:r w:rsidRPr="00FC0E00">
        <w:rPr>
          <w:rFonts w:ascii="Book Antiqua" w:eastAsia="等线" w:hAnsi="Book Antiqua" w:cs="Times New Roman"/>
          <w:b/>
          <w:kern w:val="2"/>
          <w:sz w:val="24"/>
          <w:szCs w:val="24"/>
          <w:lang w:val="en-US" w:eastAsia="zh-CN"/>
        </w:rPr>
        <w:t xml:space="preserve"> AE</w:t>
      </w:r>
      <w:r w:rsidRPr="00FC0E00">
        <w:rPr>
          <w:rFonts w:ascii="Book Antiqua" w:eastAsia="等线" w:hAnsi="Book Antiqua" w:cs="Times New Roman"/>
          <w:kern w:val="2"/>
          <w:sz w:val="24"/>
          <w:szCs w:val="24"/>
          <w:lang w:val="en-US" w:eastAsia="zh-CN"/>
        </w:rPr>
        <w:t xml:space="preserve">, Huffman KM, Stabler TV, Kelly SJ, Hershfield MS, McDaniel GE, Coleman RE, Kraus VB. Uric acid is a danger signal of increasing risk for osteoarthritis through inflammasome activation. </w:t>
      </w:r>
      <w:r w:rsidRPr="00FC0E00">
        <w:rPr>
          <w:rFonts w:ascii="Book Antiqua" w:eastAsia="等线" w:hAnsi="Book Antiqua" w:cs="Times New Roman"/>
          <w:i/>
          <w:kern w:val="2"/>
          <w:sz w:val="24"/>
          <w:szCs w:val="24"/>
          <w:lang w:val="en-US" w:eastAsia="zh-CN"/>
        </w:rPr>
        <w:t xml:space="preserve">Proc Natl </w:t>
      </w:r>
      <w:proofErr w:type="spellStart"/>
      <w:r w:rsidRPr="00FC0E00">
        <w:rPr>
          <w:rFonts w:ascii="Book Antiqua" w:eastAsia="等线" w:hAnsi="Book Antiqua" w:cs="Times New Roman"/>
          <w:i/>
          <w:kern w:val="2"/>
          <w:sz w:val="24"/>
          <w:szCs w:val="24"/>
          <w:lang w:val="en-US" w:eastAsia="zh-CN"/>
        </w:rPr>
        <w:t>Acad</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Sci</w:t>
      </w:r>
      <w:proofErr w:type="spellEnd"/>
      <w:r w:rsidRPr="00FC0E00">
        <w:rPr>
          <w:rFonts w:ascii="Book Antiqua" w:eastAsia="等线" w:hAnsi="Book Antiqua" w:cs="Times New Roman"/>
          <w:i/>
          <w:kern w:val="2"/>
          <w:sz w:val="24"/>
          <w:szCs w:val="24"/>
          <w:lang w:val="en-US" w:eastAsia="zh-CN"/>
        </w:rPr>
        <w:t xml:space="preserve"> U S A</w:t>
      </w:r>
      <w:r w:rsidRPr="00FC0E00">
        <w:rPr>
          <w:rFonts w:ascii="Book Antiqua" w:eastAsia="等线" w:hAnsi="Book Antiqua" w:cs="Times New Roman"/>
          <w:kern w:val="2"/>
          <w:sz w:val="24"/>
          <w:szCs w:val="24"/>
          <w:lang w:val="en-US" w:eastAsia="zh-CN"/>
        </w:rPr>
        <w:t xml:space="preserve"> 2011; </w:t>
      </w:r>
      <w:r w:rsidRPr="00FC0E00">
        <w:rPr>
          <w:rFonts w:ascii="Book Antiqua" w:eastAsia="等线" w:hAnsi="Book Antiqua" w:cs="Times New Roman"/>
          <w:b/>
          <w:kern w:val="2"/>
          <w:sz w:val="24"/>
          <w:szCs w:val="24"/>
          <w:lang w:val="en-US" w:eastAsia="zh-CN"/>
        </w:rPr>
        <w:t>108</w:t>
      </w:r>
      <w:r w:rsidRPr="00FC0E00">
        <w:rPr>
          <w:rFonts w:ascii="Book Antiqua" w:eastAsia="等线" w:hAnsi="Book Antiqua" w:cs="Times New Roman"/>
          <w:kern w:val="2"/>
          <w:sz w:val="24"/>
          <w:szCs w:val="24"/>
          <w:lang w:val="en-US" w:eastAsia="zh-CN"/>
        </w:rPr>
        <w:t>: 2088-2093 [PMID: 21245324 DOI: 10.1073/pnas.1012743108]</w:t>
      </w:r>
    </w:p>
    <w:p w14:paraId="1D92BB3E"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9 </w:t>
      </w:r>
      <w:proofErr w:type="spellStart"/>
      <w:r w:rsidRPr="00FC0E00">
        <w:rPr>
          <w:rFonts w:ascii="Book Antiqua" w:eastAsia="等线" w:hAnsi="Book Antiqua" w:cs="Times New Roman"/>
          <w:b/>
          <w:kern w:val="2"/>
          <w:sz w:val="24"/>
          <w:szCs w:val="24"/>
          <w:lang w:val="en-US" w:eastAsia="zh-CN"/>
        </w:rPr>
        <w:t>Sautin</w:t>
      </w:r>
      <w:proofErr w:type="spellEnd"/>
      <w:r w:rsidRPr="00FC0E00">
        <w:rPr>
          <w:rFonts w:ascii="Book Antiqua" w:eastAsia="等线" w:hAnsi="Book Antiqua" w:cs="Times New Roman"/>
          <w:b/>
          <w:kern w:val="2"/>
          <w:sz w:val="24"/>
          <w:szCs w:val="24"/>
          <w:lang w:val="en-US" w:eastAsia="zh-CN"/>
        </w:rPr>
        <w:t xml:space="preserve"> YY</w:t>
      </w:r>
      <w:r w:rsidRPr="00FC0E00">
        <w:rPr>
          <w:rFonts w:ascii="Book Antiqua" w:eastAsia="等线" w:hAnsi="Book Antiqua" w:cs="Times New Roman"/>
          <w:kern w:val="2"/>
          <w:sz w:val="24"/>
          <w:szCs w:val="24"/>
          <w:lang w:val="en-US" w:eastAsia="zh-CN"/>
        </w:rPr>
        <w:t xml:space="preserve">, Nakagawa T, </w:t>
      </w:r>
      <w:proofErr w:type="spellStart"/>
      <w:r w:rsidRPr="00FC0E00">
        <w:rPr>
          <w:rFonts w:ascii="Book Antiqua" w:eastAsia="等线" w:hAnsi="Book Antiqua" w:cs="Times New Roman"/>
          <w:kern w:val="2"/>
          <w:sz w:val="24"/>
          <w:szCs w:val="24"/>
          <w:lang w:val="en-US" w:eastAsia="zh-CN"/>
        </w:rPr>
        <w:t>Zharikov</w:t>
      </w:r>
      <w:proofErr w:type="spellEnd"/>
      <w:r w:rsidRPr="00FC0E00">
        <w:rPr>
          <w:rFonts w:ascii="Book Antiqua" w:eastAsia="等线" w:hAnsi="Book Antiqua" w:cs="Times New Roman"/>
          <w:kern w:val="2"/>
          <w:sz w:val="24"/>
          <w:szCs w:val="24"/>
          <w:lang w:val="en-US" w:eastAsia="zh-CN"/>
        </w:rPr>
        <w:t xml:space="preserve"> S, Johnson RJ. Adverse effects of the classic antioxidant uric acid in adipocytes: NADPH oxidase-mediated oxidative/</w:t>
      </w:r>
      <w:proofErr w:type="spellStart"/>
      <w:r w:rsidRPr="00FC0E00">
        <w:rPr>
          <w:rFonts w:ascii="Book Antiqua" w:eastAsia="等线" w:hAnsi="Book Antiqua" w:cs="Times New Roman"/>
          <w:kern w:val="2"/>
          <w:sz w:val="24"/>
          <w:szCs w:val="24"/>
          <w:lang w:val="en-US" w:eastAsia="zh-CN"/>
        </w:rPr>
        <w:t>nitrosative</w:t>
      </w:r>
      <w:proofErr w:type="spellEnd"/>
      <w:r w:rsidRPr="00FC0E00">
        <w:rPr>
          <w:rFonts w:ascii="Book Antiqua" w:eastAsia="等线" w:hAnsi="Book Antiqua" w:cs="Times New Roman"/>
          <w:kern w:val="2"/>
          <w:sz w:val="24"/>
          <w:szCs w:val="24"/>
          <w:lang w:val="en-US" w:eastAsia="zh-CN"/>
        </w:rPr>
        <w:t xml:space="preserve"> stress.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Cell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2007; </w:t>
      </w:r>
      <w:r w:rsidRPr="00FC0E00">
        <w:rPr>
          <w:rFonts w:ascii="Book Antiqua" w:eastAsia="等线" w:hAnsi="Book Antiqua" w:cs="Times New Roman"/>
          <w:b/>
          <w:kern w:val="2"/>
          <w:sz w:val="24"/>
          <w:szCs w:val="24"/>
          <w:lang w:val="en-US" w:eastAsia="zh-CN"/>
        </w:rPr>
        <w:t>293</w:t>
      </w:r>
      <w:r w:rsidRPr="00FC0E00">
        <w:rPr>
          <w:rFonts w:ascii="Book Antiqua" w:eastAsia="等线" w:hAnsi="Book Antiqua" w:cs="Times New Roman"/>
          <w:kern w:val="2"/>
          <w:sz w:val="24"/>
          <w:szCs w:val="24"/>
          <w:lang w:val="en-US" w:eastAsia="zh-CN"/>
        </w:rPr>
        <w:t>: C584-C596 [PMID: 17428837 DOI: 10.1152/ajpcell.00600.2006]</w:t>
      </w:r>
    </w:p>
    <w:p w14:paraId="212607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10 </w:t>
      </w:r>
      <w:proofErr w:type="spellStart"/>
      <w:r w:rsidRPr="00FC0E00">
        <w:rPr>
          <w:rFonts w:ascii="Book Antiqua" w:eastAsia="等线" w:hAnsi="Book Antiqua" w:cs="Times New Roman"/>
          <w:b/>
          <w:kern w:val="2"/>
          <w:sz w:val="24"/>
          <w:szCs w:val="24"/>
          <w:lang w:val="en-US" w:eastAsia="zh-CN"/>
        </w:rPr>
        <w:t>Abenavoli</w:t>
      </w:r>
      <w:proofErr w:type="spellEnd"/>
      <w:r w:rsidRPr="00FC0E00">
        <w:rPr>
          <w:rFonts w:ascii="Book Antiqua" w:eastAsia="等线" w:hAnsi="Book Antiqua" w:cs="Times New Roman"/>
          <w:b/>
          <w:kern w:val="2"/>
          <w:sz w:val="24"/>
          <w:szCs w:val="24"/>
          <w:lang w:val="en-US" w:eastAsia="zh-CN"/>
        </w:rPr>
        <w:t xml:space="preserve"> L</w:t>
      </w:r>
      <w:r w:rsidRPr="00FC0E00">
        <w:rPr>
          <w:rFonts w:ascii="Book Antiqua" w:eastAsia="等线" w:hAnsi="Book Antiqua" w:cs="Times New Roman"/>
          <w:kern w:val="2"/>
          <w:sz w:val="24"/>
          <w:szCs w:val="24"/>
          <w:lang w:val="en-US" w:eastAsia="zh-CN"/>
        </w:rPr>
        <w:t xml:space="preserve">, Di Renzo L, </w:t>
      </w:r>
      <w:proofErr w:type="spellStart"/>
      <w:r w:rsidRPr="00FC0E00">
        <w:rPr>
          <w:rFonts w:ascii="Book Antiqua" w:eastAsia="等线" w:hAnsi="Book Antiqua" w:cs="Times New Roman"/>
          <w:kern w:val="2"/>
          <w:sz w:val="24"/>
          <w:szCs w:val="24"/>
          <w:lang w:val="en-US" w:eastAsia="zh-CN"/>
        </w:rPr>
        <w:t>Boccuto</w:t>
      </w:r>
      <w:proofErr w:type="spellEnd"/>
      <w:r w:rsidRPr="00FC0E00">
        <w:rPr>
          <w:rFonts w:ascii="Book Antiqua" w:eastAsia="等线" w:hAnsi="Book Antiqua" w:cs="Times New Roman"/>
          <w:kern w:val="2"/>
          <w:sz w:val="24"/>
          <w:szCs w:val="24"/>
          <w:lang w:val="en-US" w:eastAsia="zh-CN"/>
        </w:rPr>
        <w:t xml:space="preserve"> L, </w:t>
      </w:r>
      <w:proofErr w:type="spellStart"/>
      <w:r w:rsidRPr="00FC0E00">
        <w:rPr>
          <w:rFonts w:ascii="Book Antiqua" w:eastAsia="等线" w:hAnsi="Book Antiqua" w:cs="Times New Roman"/>
          <w:kern w:val="2"/>
          <w:sz w:val="24"/>
          <w:szCs w:val="24"/>
          <w:lang w:val="en-US" w:eastAsia="zh-CN"/>
        </w:rPr>
        <w:t>Alwardat</w:t>
      </w:r>
      <w:proofErr w:type="spellEnd"/>
      <w:r w:rsidRPr="00FC0E00">
        <w:rPr>
          <w:rFonts w:ascii="Book Antiqua" w:eastAsia="等线" w:hAnsi="Book Antiqua" w:cs="Times New Roman"/>
          <w:kern w:val="2"/>
          <w:sz w:val="24"/>
          <w:szCs w:val="24"/>
          <w:lang w:val="en-US" w:eastAsia="zh-CN"/>
        </w:rPr>
        <w:t xml:space="preserve"> N, </w:t>
      </w:r>
      <w:proofErr w:type="spellStart"/>
      <w:r w:rsidRPr="00FC0E00">
        <w:rPr>
          <w:rFonts w:ascii="Book Antiqua" w:eastAsia="等线" w:hAnsi="Book Antiqua" w:cs="Times New Roman"/>
          <w:kern w:val="2"/>
          <w:sz w:val="24"/>
          <w:szCs w:val="24"/>
          <w:lang w:val="en-US" w:eastAsia="zh-CN"/>
        </w:rPr>
        <w:t>Gratteri</w:t>
      </w:r>
      <w:proofErr w:type="spellEnd"/>
      <w:r w:rsidRPr="00FC0E00">
        <w:rPr>
          <w:rFonts w:ascii="Book Antiqua" w:eastAsia="等线" w:hAnsi="Book Antiqua" w:cs="Times New Roman"/>
          <w:kern w:val="2"/>
          <w:sz w:val="24"/>
          <w:szCs w:val="24"/>
          <w:lang w:val="en-US" w:eastAsia="zh-CN"/>
        </w:rPr>
        <w:t xml:space="preserve"> S, De Lorenzo A. Health benefits of Mediterranean diet in nonalcoholic fatty liver disease. </w:t>
      </w:r>
      <w:r w:rsidRPr="00FC0E00">
        <w:rPr>
          <w:rFonts w:ascii="Book Antiqua" w:eastAsia="等线" w:hAnsi="Book Antiqua" w:cs="Times New Roman"/>
          <w:i/>
          <w:kern w:val="2"/>
          <w:sz w:val="24"/>
          <w:szCs w:val="24"/>
          <w:lang w:val="en-US" w:eastAsia="zh-CN"/>
        </w:rPr>
        <w:lastRenderedPageBreak/>
        <w:t xml:space="preserve">Expert Rev </w:t>
      </w:r>
      <w:proofErr w:type="spellStart"/>
      <w:r w:rsidRPr="00FC0E00">
        <w:rPr>
          <w:rFonts w:ascii="Book Antiqua" w:eastAsia="等线" w:hAnsi="Book Antiqua" w:cs="Times New Roman"/>
          <w:i/>
          <w:kern w:val="2"/>
          <w:sz w:val="24"/>
          <w:szCs w:val="24"/>
          <w:lang w:val="en-US" w:eastAsia="zh-CN"/>
        </w:rPr>
        <w:t>Gastroenterol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t>12</w:t>
      </w:r>
      <w:r w:rsidRPr="00FC0E00">
        <w:rPr>
          <w:rFonts w:ascii="Book Antiqua" w:eastAsia="等线" w:hAnsi="Book Antiqua" w:cs="Times New Roman"/>
          <w:kern w:val="2"/>
          <w:sz w:val="24"/>
          <w:szCs w:val="24"/>
          <w:lang w:val="en-US" w:eastAsia="zh-CN"/>
        </w:rPr>
        <w:t>: 873-881 [PMID: 30033779 DOI: 10.1080/17474124.2018.1503947]</w:t>
      </w:r>
    </w:p>
    <w:p w14:paraId="4AED1D89"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11 </w:t>
      </w:r>
      <w:r w:rsidRPr="00FC0E00">
        <w:rPr>
          <w:rFonts w:ascii="Book Antiqua" w:eastAsia="等线" w:hAnsi="Book Antiqua" w:cs="Times New Roman"/>
          <w:b/>
          <w:kern w:val="2"/>
          <w:sz w:val="24"/>
          <w:szCs w:val="24"/>
          <w:lang w:val="en-US" w:eastAsia="zh-CN"/>
        </w:rPr>
        <w:t>Ryu S</w:t>
      </w:r>
      <w:r w:rsidRPr="00FC0E00">
        <w:rPr>
          <w:rFonts w:ascii="Book Antiqua" w:eastAsia="等线" w:hAnsi="Book Antiqua" w:cs="Times New Roman"/>
          <w:kern w:val="2"/>
          <w:sz w:val="24"/>
          <w:szCs w:val="24"/>
          <w:lang w:val="en-US" w:eastAsia="zh-CN"/>
        </w:rPr>
        <w:t xml:space="preserve">, Chang Y, Kim SG, Cho J, </w:t>
      </w:r>
      <w:proofErr w:type="spellStart"/>
      <w:r w:rsidRPr="00FC0E00">
        <w:rPr>
          <w:rFonts w:ascii="Book Antiqua" w:eastAsia="等线" w:hAnsi="Book Antiqua" w:cs="Times New Roman"/>
          <w:kern w:val="2"/>
          <w:sz w:val="24"/>
          <w:szCs w:val="24"/>
          <w:lang w:val="en-US" w:eastAsia="zh-CN"/>
        </w:rPr>
        <w:t>Guallar</w:t>
      </w:r>
      <w:proofErr w:type="spellEnd"/>
      <w:r w:rsidRPr="00FC0E00">
        <w:rPr>
          <w:rFonts w:ascii="Book Antiqua" w:eastAsia="等线" w:hAnsi="Book Antiqua" w:cs="Times New Roman"/>
          <w:kern w:val="2"/>
          <w:sz w:val="24"/>
          <w:szCs w:val="24"/>
          <w:lang w:val="en-US" w:eastAsia="zh-CN"/>
        </w:rPr>
        <w:t xml:space="preserve"> E. Serum uric acid levels predict incident nonalcoholic fatty liver disease in healthy Korean men. </w:t>
      </w:r>
      <w:r w:rsidRPr="00FC0E00">
        <w:rPr>
          <w:rFonts w:ascii="Book Antiqua" w:eastAsia="等线" w:hAnsi="Book Antiqua" w:cs="Times New Roman"/>
          <w:i/>
          <w:kern w:val="2"/>
          <w:sz w:val="24"/>
          <w:szCs w:val="24"/>
          <w:lang w:val="en-US" w:eastAsia="zh-CN"/>
        </w:rPr>
        <w:t>Metabolism</w:t>
      </w:r>
      <w:r w:rsidRPr="00FC0E00">
        <w:rPr>
          <w:rFonts w:ascii="Book Antiqua" w:eastAsia="等线" w:hAnsi="Book Antiqua" w:cs="Times New Roman"/>
          <w:kern w:val="2"/>
          <w:sz w:val="24"/>
          <w:szCs w:val="24"/>
          <w:lang w:val="en-US" w:eastAsia="zh-CN"/>
        </w:rPr>
        <w:t xml:space="preserve"> 2011;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860-866 [PMID: 20863537 DOI: 10.1016/j.metabol.2010.08.005]</w:t>
      </w:r>
    </w:p>
    <w:p w14:paraId="0592FDB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12 </w:t>
      </w:r>
      <w:r w:rsidRPr="00FC0E00">
        <w:rPr>
          <w:rFonts w:ascii="Book Antiqua" w:eastAsia="等线" w:hAnsi="Book Antiqua" w:cs="Times New Roman"/>
          <w:b/>
          <w:kern w:val="2"/>
          <w:sz w:val="24"/>
          <w:szCs w:val="24"/>
          <w:lang w:val="en-US" w:eastAsia="zh-CN"/>
        </w:rPr>
        <w:t>Baldwin W</w:t>
      </w:r>
      <w:r w:rsidRPr="00FC0E00">
        <w:rPr>
          <w:rFonts w:ascii="Book Antiqua" w:eastAsia="等线" w:hAnsi="Book Antiqua" w:cs="Times New Roman"/>
          <w:kern w:val="2"/>
          <w:sz w:val="24"/>
          <w:szCs w:val="24"/>
          <w:lang w:val="en-US" w:eastAsia="zh-CN"/>
        </w:rPr>
        <w:t xml:space="preserve">, McRae S, Marek G, </w:t>
      </w:r>
      <w:proofErr w:type="spellStart"/>
      <w:r w:rsidRPr="00FC0E00">
        <w:rPr>
          <w:rFonts w:ascii="Book Antiqua" w:eastAsia="等线" w:hAnsi="Book Antiqua" w:cs="Times New Roman"/>
          <w:kern w:val="2"/>
          <w:sz w:val="24"/>
          <w:szCs w:val="24"/>
          <w:lang w:val="en-US" w:eastAsia="zh-CN"/>
        </w:rPr>
        <w:t>Wymer</w:t>
      </w:r>
      <w:proofErr w:type="spellEnd"/>
      <w:r w:rsidRPr="00FC0E00">
        <w:rPr>
          <w:rFonts w:ascii="Book Antiqua" w:eastAsia="等线" w:hAnsi="Book Antiqua" w:cs="Times New Roman"/>
          <w:kern w:val="2"/>
          <w:sz w:val="24"/>
          <w:szCs w:val="24"/>
          <w:lang w:val="en-US" w:eastAsia="zh-CN"/>
        </w:rPr>
        <w:t xml:space="preserve"> D, </w:t>
      </w:r>
      <w:proofErr w:type="spellStart"/>
      <w:r w:rsidRPr="00FC0E00">
        <w:rPr>
          <w:rFonts w:ascii="Book Antiqua" w:eastAsia="等线" w:hAnsi="Book Antiqua" w:cs="Times New Roman"/>
          <w:kern w:val="2"/>
          <w:sz w:val="24"/>
          <w:szCs w:val="24"/>
          <w:lang w:val="en-US" w:eastAsia="zh-CN"/>
        </w:rPr>
        <w:t>Pannu</w:t>
      </w:r>
      <w:proofErr w:type="spellEnd"/>
      <w:r w:rsidRPr="00FC0E00">
        <w:rPr>
          <w:rFonts w:ascii="Book Antiqua" w:eastAsia="等线" w:hAnsi="Book Antiqua" w:cs="Times New Roman"/>
          <w:kern w:val="2"/>
          <w:sz w:val="24"/>
          <w:szCs w:val="24"/>
          <w:lang w:val="en-US" w:eastAsia="zh-CN"/>
        </w:rPr>
        <w:t xml:space="preserve"> V, Baylis C, Johnson RJ, </w:t>
      </w:r>
      <w:proofErr w:type="spellStart"/>
      <w:r w:rsidRPr="00FC0E00">
        <w:rPr>
          <w:rFonts w:ascii="Book Antiqua" w:eastAsia="等线" w:hAnsi="Book Antiqua" w:cs="Times New Roman"/>
          <w:kern w:val="2"/>
          <w:sz w:val="24"/>
          <w:szCs w:val="24"/>
          <w:lang w:val="en-US" w:eastAsia="zh-CN"/>
        </w:rPr>
        <w:t>Sautin</w:t>
      </w:r>
      <w:proofErr w:type="spellEnd"/>
      <w:r w:rsidRPr="00FC0E00">
        <w:rPr>
          <w:rFonts w:ascii="Book Antiqua" w:eastAsia="等线" w:hAnsi="Book Antiqua" w:cs="Times New Roman"/>
          <w:kern w:val="2"/>
          <w:sz w:val="24"/>
          <w:szCs w:val="24"/>
          <w:lang w:val="en-US" w:eastAsia="zh-CN"/>
        </w:rPr>
        <w:t xml:space="preserve"> YY. Hyperuricemia as a mediator of the proinflammatory endocrine imbalance in the adipose tissue in a murine model of the metabolic syndrome. </w:t>
      </w:r>
      <w:r w:rsidRPr="00FC0E00">
        <w:rPr>
          <w:rFonts w:ascii="Book Antiqua" w:eastAsia="等线" w:hAnsi="Book Antiqua" w:cs="Times New Roman"/>
          <w:i/>
          <w:kern w:val="2"/>
          <w:sz w:val="24"/>
          <w:szCs w:val="24"/>
          <w:lang w:val="en-US" w:eastAsia="zh-CN"/>
        </w:rPr>
        <w:t>Diabetes</w:t>
      </w:r>
      <w:r w:rsidRPr="00FC0E00">
        <w:rPr>
          <w:rFonts w:ascii="Book Antiqua" w:eastAsia="等线" w:hAnsi="Book Antiqua" w:cs="Times New Roman"/>
          <w:kern w:val="2"/>
          <w:sz w:val="24"/>
          <w:szCs w:val="24"/>
          <w:lang w:val="en-US" w:eastAsia="zh-CN"/>
        </w:rPr>
        <w:t xml:space="preserve"> 2011;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1258-1269 [PMID: 21346177 DOI: 10.2337/db10-0916]</w:t>
      </w:r>
    </w:p>
    <w:p w14:paraId="731C335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13 </w:t>
      </w:r>
      <w:proofErr w:type="spellStart"/>
      <w:r w:rsidRPr="00FC0E00">
        <w:rPr>
          <w:rFonts w:ascii="Book Antiqua" w:eastAsia="等线" w:hAnsi="Book Antiqua" w:cs="Times New Roman"/>
          <w:b/>
          <w:kern w:val="2"/>
          <w:sz w:val="24"/>
          <w:szCs w:val="24"/>
          <w:lang w:val="en-US" w:eastAsia="zh-CN"/>
        </w:rPr>
        <w:t>Mastrocola</w:t>
      </w:r>
      <w:proofErr w:type="spellEnd"/>
      <w:r w:rsidRPr="00FC0E00">
        <w:rPr>
          <w:rFonts w:ascii="Book Antiqua" w:eastAsia="等线" w:hAnsi="Book Antiqua" w:cs="Times New Roman"/>
          <w:b/>
          <w:kern w:val="2"/>
          <w:sz w:val="24"/>
          <w:szCs w:val="24"/>
          <w:lang w:val="en-US" w:eastAsia="zh-CN"/>
        </w:rPr>
        <w:t xml:space="preserve"> R</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Collino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Rogazzo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Medana</w:t>
      </w:r>
      <w:proofErr w:type="spellEnd"/>
      <w:r w:rsidRPr="00FC0E00">
        <w:rPr>
          <w:rFonts w:ascii="Book Antiqua" w:eastAsia="等线" w:hAnsi="Book Antiqua" w:cs="Times New Roman"/>
          <w:kern w:val="2"/>
          <w:sz w:val="24"/>
          <w:szCs w:val="24"/>
          <w:lang w:val="en-US" w:eastAsia="zh-CN"/>
        </w:rPr>
        <w:t xml:space="preserve"> C, </w:t>
      </w:r>
      <w:proofErr w:type="spellStart"/>
      <w:r w:rsidRPr="00FC0E00">
        <w:rPr>
          <w:rFonts w:ascii="Book Antiqua" w:eastAsia="等线" w:hAnsi="Book Antiqua" w:cs="Times New Roman"/>
          <w:kern w:val="2"/>
          <w:sz w:val="24"/>
          <w:szCs w:val="24"/>
          <w:lang w:val="en-US" w:eastAsia="zh-CN"/>
        </w:rPr>
        <w:t>Nigro</w:t>
      </w:r>
      <w:proofErr w:type="spellEnd"/>
      <w:r w:rsidRPr="00FC0E00">
        <w:rPr>
          <w:rFonts w:ascii="Book Antiqua" w:eastAsia="等线" w:hAnsi="Book Antiqua" w:cs="Times New Roman"/>
          <w:kern w:val="2"/>
          <w:sz w:val="24"/>
          <w:szCs w:val="24"/>
          <w:lang w:val="en-US" w:eastAsia="zh-CN"/>
        </w:rPr>
        <w:t xml:space="preserve"> D, </w:t>
      </w:r>
      <w:proofErr w:type="spellStart"/>
      <w:r w:rsidRPr="00FC0E00">
        <w:rPr>
          <w:rFonts w:ascii="Book Antiqua" w:eastAsia="等线" w:hAnsi="Book Antiqua" w:cs="Times New Roman"/>
          <w:kern w:val="2"/>
          <w:sz w:val="24"/>
          <w:szCs w:val="24"/>
          <w:lang w:val="en-US" w:eastAsia="zh-CN"/>
        </w:rPr>
        <w:t>Boccuzzi</w:t>
      </w:r>
      <w:proofErr w:type="spellEnd"/>
      <w:r w:rsidRPr="00FC0E00">
        <w:rPr>
          <w:rFonts w:ascii="Book Antiqua" w:eastAsia="等线" w:hAnsi="Book Antiqua" w:cs="Times New Roman"/>
          <w:kern w:val="2"/>
          <w:sz w:val="24"/>
          <w:szCs w:val="24"/>
          <w:lang w:val="en-US" w:eastAsia="zh-CN"/>
        </w:rPr>
        <w:t xml:space="preserve"> G, </w:t>
      </w:r>
      <w:proofErr w:type="spellStart"/>
      <w:r w:rsidRPr="00FC0E00">
        <w:rPr>
          <w:rFonts w:ascii="Book Antiqua" w:eastAsia="等线" w:hAnsi="Book Antiqua" w:cs="Times New Roman"/>
          <w:kern w:val="2"/>
          <w:sz w:val="24"/>
          <w:szCs w:val="24"/>
          <w:lang w:val="en-US" w:eastAsia="zh-CN"/>
        </w:rPr>
        <w:t>Aragno</w:t>
      </w:r>
      <w:proofErr w:type="spellEnd"/>
      <w:r w:rsidRPr="00FC0E00">
        <w:rPr>
          <w:rFonts w:ascii="Book Antiqua" w:eastAsia="等线" w:hAnsi="Book Antiqua" w:cs="Times New Roman"/>
          <w:kern w:val="2"/>
          <w:sz w:val="24"/>
          <w:szCs w:val="24"/>
          <w:lang w:val="en-US" w:eastAsia="zh-CN"/>
        </w:rPr>
        <w:t xml:space="preserve"> M. Advanced glycation end products promote </w:t>
      </w:r>
      <w:proofErr w:type="spellStart"/>
      <w:r w:rsidRPr="00FC0E00">
        <w:rPr>
          <w:rFonts w:ascii="Book Antiqua" w:eastAsia="等线" w:hAnsi="Book Antiqua" w:cs="Times New Roman"/>
          <w:kern w:val="2"/>
          <w:sz w:val="24"/>
          <w:szCs w:val="24"/>
          <w:lang w:val="en-US" w:eastAsia="zh-CN"/>
        </w:rPr>
        <w:t>hepatosteatosis</w:t>
      </w:r>
      <w:proofErr w:type="spellEnd"/>
      <w:r w:rsidRPr="00FC0E00">
        <w:rPr>
          <w:rFonts w:ascii="Book Antiqua" w:eastAsia="等线" w:hAnsi="Book Antiqua" w:cs="Times New Roman"/>
          <w:kern w:val="2"/>
          <w:sz w:val="24"/>
          <w:szCs w:val="24"/>
          <w:lang w:val="en-US" w:eastAsia="zh-CN"/>
        </w:rPr>
        <w:t xml:space="preserve"> by interfering with SCAP-SREBP pathway in fructose-drinking mice.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Gastrointest</w:t>
      </w:r>
      <w:proofErr w:type="spellEnd"/>
      <w:r w:rsidRPr="00FC0E00">
        <w:rPr>
          <w:rFonts w:ascii="Book Antiqua" w:eastAsia="等线" w:hAnsi="Book Antiqua" w:cs="Times New Roman"/>
          <w:i/>
          <w:kern w:val="2"/>
          <w:sz w:val="24"/>
          <w:szCs w:val="24"/>
          <w:lang w:val="en-US" w:eastAsia="zh-CN"/>
        </w:rPr>
        <w:t xml:space="preserve"> Liver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2013; </w:t>
      </w:r>
      <w:r w:rsidRPr="00FC0E00">
        <w:rPr>
          <w:rFonts w:ascii="Book Antiqua" w:eastAsia="等线" w:hAnsi="Book Antiqua" w:cs="Times New Roman"/>
          <w:b/>
          <w:kern w:val="2"/>
          <w:sz w:val="24"/>
          <w:szCs w:val="24"/>
          <w:lang w:val="en-US" w:eastAsia="zh-CN"/>
        </w:rPr>
        <w:t>305</w:t>
      </w:r>
      <w:r w:rsidRPr="00FC0E00">
        <w:rPr>
          <w:rFonts w:ascii="Book Antiqua" w:eastAsia="等线" w:hAnsi="Book Antiqua" w:cs="Times New Roman"/>
          <w:kern w:val="2"/>
          <w:sz w:val="24"/>
          <w:szCs w:val="24"/>
          <w:lang w:val="en-US" w:eastAsia="zh-CN"/>
        </w:rPr>
        <w:t>: G398-G407 [PMID: 23868406 DOI: 10.1152/ajpgi.00450.2012]</w:t>
      </w:r>
    </w:p>
    <w:p w14:paraId="1BEB677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14 </w:t>
      </w:r>
      <w:proofErr w:type="spellStart"/>
      <w:r w:rsidRPr="00FC0E00">
        <w:rPr>
          <w:rFonts w:ascii="Book Antiqua" w:eastAsia="等线" w:hAnsi="Book Antiqua" w:cs="Times New Roman"/>
          <w:b/>
          <w:kern w:val="2"/>
          <w:sz w:val="24"/>
          <w:szCs w:val="24"/>
          <w:lang w:val="en-US" w:eastAsia="zh-CN"/>
        </w:rPr>
        <w:t>Nakatsu</w:t>
      </w:r>
      <w:proofErr w:type="spellEnd"/>
      <w:r w:rsidRPr="00FC0E00">
        <w:rPr>
          <w:rFonts w:ascii="Book Antiqua" w:eastAsia="等线" w:hAnsi="Book Antiqua" w:cs="Times New Roman"/>
          <w:b/>
          <w:kern w:val="2"/>
          <w:sz w:val="24"/>
          <w:szCs w:val="24"/>
          <w:lang w:val="en-US" w:eastAsia="zh-CN"/>
        </w:rPr>
        <w:t xml:space="preserve"> Y</w:t>
      </w:r>
      <w:r w:rsidRPr="00FC0E00">
        <w:rPr>
          <w:rFonts w:ascii="Book Antiqua" w:eastAsia="等线" w:hAnsi="Book Antiqua" w:cs="Times New Roman"/>
          <w:kern w:val="2"/>
          <w:sz w:val="24"/>
          <w:szCs w:val="24"/>
          <w:lang w:val="en-US" w:eastAsia="zh-CN"/>
        </w:rPr>
        <w:t xml:space="preserve">, Seno Y, </w:t>
      </w:r>
      <w:proofErr w:type="spellStart"/>
      <w:r w:rsidRPr="00FC0E00">
        <w:rPr>
          <w:rFonts w:ascii="Book Antiqua" w:eastAsia="等线" w:hAnsi="Book Antiqua" w:cs="Times New Roman"/>
          <w:kern w:val="2"/>
          <w:sz w:val="24"/>
          <w:szCs w:val="24"/>
          <w:lang w:val="en-US" w:eastAsia="zh-CN"/>
        </w:rPr>
        <w:t>Kushiyama</w:t>
      </w:r>
      <w:proofErr w:type="spellEnd"/>
      <w:r w:rsidRPr="00FC0E00">
        <w:rPr>
          <w:rFonts w:ascii="Book Antiqua" w:eastAsia="等线" w:hAnsi="Book Antiqua" w:cs="Times New Roman"/>
          <w:kern w:val="2"/>
          <w:sz w:val="24"/>
          <w:szCs w:val="24"/>
          <w:lang w:val="en-US" w:eastAsia="zh-CN"/>
        </w:rPr>
        <w:t xml:space="preserve"> A, Sakoda H, </w:t>
      </w:r>
      <w:proofErr w:type="spellStart"/>
      <w:r w:rsidRPr="00FC0E00">
        <w:rPr>
          <w:rFonts w:ascii="Book Antiqua" w:eastAsia="等线" w:hAnsi="Book Antiqua" w:cs="Times New Roman"/>
          <w:kern w:val="2"/>
          <w:sz w:val="24"/>
          <w:szCs w:val="24"/>
          <w:lang w:val="en-US" w:eastAsia="zh-CN"/>
        </w:rPr>
        <w:t>Fujishiro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Katasako</w:t>
      </w:r>
      <w:proofErr w:type="spellEnd"/>
      <w:r w:rsidRPr="00FC0E00">
        <w:rPr>
          <w:rFonts w:ascii="Book Antiqua" w:eastAsia="等线" w:hAnsi="Book Antiqua" w:cs="Times New Roman"/>
          <w:kern w:val="2"/>
          <w:sz w:val="24"/>
          <w:szCs w:val="24"/>
          <w:lang w:val="en-US" w:eastAsia="zh-CN"/>
        </w:rPr>
        <w:t xml:space="preserve"> A, Mori K, Matsunaga Y, Fukushima T, </w:t>
      </w:r>
      <w:proofErr w:type="spellStart"/>
      <w:r w:rsidRPr="00FC0E00">
        <w:rPr>
          <w:rFonts w:ascii="Book Antiqua" w:eastAsia="等线" w:hAnsi="Book Antiqua" w:cs="Times New Roman"/>
          <w:kern w:val="2"/>
          <w:sz w:val="24"/>
          <w:szCs w:val="24"/>
          <w:lang w:val="en-US" w:eastAsia="zh-CN"/>
        </w:rPr>
        <w:t>Kanaoka</w:t>
      </w:r>
      <w:proofErr w:type="spellEnd"/>
      <w:r w:rsidRPr="00FC0E00">
        <w:rPr>
          <w:rFonts w:ascii="Book Antiqua" w:eastAsia="等线" w:hAnsi="Book Antiqua" w:cs="Times New Roman"/>
          <w:kern w:val="2"/>
          <w:sz w:val="24"/>
          <w:szCs w:val="24"/>
          <w:lang w:val="en-US" w:eastAsia="zh-CN"/>
        </w:rPr>
        <w:t xml:space="preserve"> R, </w:t>
      </w:r>
      <w:proofErr w:type="spellStart"/>
      <w:r w:rsidRPr="00FC0E00">
        <w:rPr>
          <w:rFonts w:ascii="Book Antiqua" w:eastAsia="等线" w:hAnsi="Book Antiqua" w:cs="Times New Roman"/>
          <w:kern w:val="2"/>
          <w:sz w:val="24"/>
          <w:szCs w:val="24"/>
          <w:lang w:val="en-US" w:eastAsia="zh-CN"/>
        </w:rPr>
        <w:t>Yamamotoya</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Kamata</w:t>
      </w:r>
      <w:proofErr w:type="spellEnd"/>
      <w:r w:rsidRPr="00FC0E00">
        <w:rPr>
          <w:rFonts w:ascii="Book Antiqua" w:eastAsia="等线" w:hAnsi="Book Antiqua" w:cs="Times New Roman"/>
          <w:kern w:val="2"/>
          <w:sz w:val="24"/>
          <w:szCs w:val="24"/>
          <w:lang w:val="en-US" w:eastAsia="zh-CN"/>
        </w:rPr>
        <w:t xml:space="preserve"> H, Asano T. The xanthine oxidase inhibitor febuxostat suppresses development of nonalcoholic steatohepatitis in a rodent model. </w:t>
      </w:r>
      <w:r w:rsidRPr="00FC0E00">
        <w:rPr>
          <w:rFonts w:ascii="Book Antiqua" w:eastAsia="等线" w:hAnsi="Book Antiqua" w:cs="Times New Roman"/>
          <w:i/>
          <w:kern w:val="2"/>
          <w:sz w:val="24"/>
          <w:szCs w:val="24"/>
          <w:lang w:val="en-US" w:eastAsia="zh-CN"/>
        </w:rPr>
        <w:t xml:space="preserve">Am J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Gastrointest</w:t>
      </w:r>
      <w:proofErr w:type="spellEnd"/>
      <w:r w:rsidRPr="00FC0E00">
        <w:rPr>
          <w:rFonts w:ascii="Book Antiqua" w:eastAsia="等线" w:hAnsi="Book Antiqua" w:cs="Times New Roman"/>
          <w:i/>
          <w:kern w:val="2"/>
          <w:sz w:val="24"/>
          <w:szCs w:val="24"/>
          <w:lang w:val="en-US" w:eastAsia="zh-CN"/>
        </w:rPr>
        <w:t xml:space="preserve"> Liver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309</w:t>
      </w:r>
      <w:r w:rsidRPr="00FC0E00">
        <w:rPr>
          <w:rFonts w:ascii="Book Antiqua" w:eastAsia="等线" w:hAnsi="Book Antiqua" w:cs="Times New Roman"/>
          <w:kern w:val="2"/>
          <w:sz w:val="24"/>
          <w:szCs w:val="24"/>
          <w:lang w:val="en-US" w:eastAsia="zh-CN"/>
        </w:rPr>
        <w:t>: G42-G51 [PMID: 25999428 DOI: 10.1152/ajpgi.00443.2014]</w:t>
      </w:r>
    </w:p>
    <w:p w14:paraId="30ED945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15 </w:t>
      </w:r>
      <w:r w:rsidRPr="00FC0E00">
        <w:rPr>
          <w:rFonts w:ascii="Book Antiqua" w:eastAsia="等线" w:hAnsi="Book Antiqua" w:cs="Times New Roman"/>
          <w:b/>
          <w:kern w:val="2"/>
          <w:sz w:val="24"/>
          <w:szCs w:val="24"/>
          <w:lang w:val="en-US" w:eastAsia="zh-CN"/>
        </w:rPr>
        <w:t>Zhang J</w:t>
      </w:r>
      <w:r w:rsidRPr="00FC0E00">
        <w:rPr>
          <w:rFonts w:ascii="Book Antiqua" w:eastAsia="等线" w:hAnsi="Book Antiqua" w:cs="Times New Roman"/>
          <w:kern w:val="2"/>
          <w:sz w:val="24"/>
          <w:szCs w:val="24"/>
          <w:lang w:val="en-US" w:eastAsia="zh-CN"/>
        </w:rPr>
        <w:t xml:space="preserve">, Xu C, Zhao Y, Chen Y. The significance of serum xanthine oxidoreductase in patients with nonalcoholic fatty liver disease. </w:t>
      </w:r>
      <w:r w:rsidRPr="00FC0E00">
        <w:rPr>
          <w:rFonts w:ascii="Book Antiqua" w:eastAsia="等线" w:hAnsi="Book Antiqua" w:cs="Times New Roman"/>
          <w:i/>
          <w:kern w:val="2"/>
          <w:sz w:val="24"/>
          <w:szCs w:val="24"/>
          <w:lang w:val="en-US" w:eastAsia="zh-CN"/>
        </w:rPr>
        <w:t>Clin Lab</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60</w:t>
      </w:r>
      <w:r w:rsidRPr="00FC0E00">
        <w:rPr>
          <w:rFonts w:ascii="Book Antiqua" w:eastAsia="等线" w:hAnsi="Book Antiqua" w:cs="Times New Roman"/>
          <w:kern w:val="2"/>
          <w:sz w:val="24"/>
          <w:szCs w:val="24"/>
          <w:lang w:val="en-US" w:eastAsia="zh-CN"/>
        </w:rPr>
        <w:t>: 1301-1307 [PMID: 25185415 DOI: 10.7754/clin.lab.2013.130516]</w:t>
      </w:r>
    </w:p>
    <w:p w14:paraId="256123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16 </w:t>
      </w:r>
      <w:r w:rsidRPr="00FC0E00">
        <w:rPr>
          <w:rFonts w:ascii="Book Antiqua" w:eastAsia="等线" w:hAnsi="Book Antiqua" w:cs="Times New Roman"/>
          <w:b/>
          <w:kern w:val="2"/>
          <w:sz w:val="24"/>
          <w:szCs w:val="24"/>
          <w:lang w:val="en-US" w:eastAsia="zh-CN"/>
        </w:rPr>
        <w:t>Choi YJ</w:t>
      </w:r>
      <w:r w:rsidRPr="00FC0E00">
        <w:rPr>
          <w:rFonts w:ascii="Book Antiqua" w:eastAsia="等线" w:hAnsi="Book Antiqua" w:cs="Times New Roman"/>
          <w:kern w:val="2"/>
          <w:sz w:val="24"/>
          <w:szCs w:val="24"/>
          <w:lang w:val="en-US" w:eastAsia="zh-CN"/>
        </w:rPr>
        <w:t xml:space="preserve">, Shin HS, Choi HS, Park JW, Jo I, Oh ES, Lee KY, Lee BH, Johnson RJ, Kang DH. Uric acid induces fat accumulation via generation of endoplasmic reticulum stress and SREBP-1c activation in hepatocytes. </w:t>
      </w:r>
      <w:r w:rsidRPr="00FC0E00">
        <w:rPr>
          <w:rFonts w:ascii="Book Antiqua" w:eastAsia="等线" w:hAnsi="Book Antiqua" w:cs="Times New Roman"/>
          <w:i/>
          <w:kern w:val="2"/>
          <w:sz w:val="24"/>
          <w:szCs w:val="24"/>
          <w:lang w:val="en-US" w:eastAsia="zh-CN"/>
        </w:rPr>
        <w:t>Lab Invest</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94</w:t>
      </w:r>
      <w:r w:rsidRPr="00FC0E00">
        <w:rPr>
          <w:rFonts w:ascii="Book Antiqua" w:eastAsia="等线" w:hAnsi="Book Antiqua" w:cs="Times New Roman"/>
          <w:kern w:val="2"/>
          <w:sz w:val="24"/>
          <w:szCs w:val="24"/>
          <w:lang w:val="en-US" w:eastAsia="zh-CN"/>
        </w:rPr>
        <w:t>: 1114-1125 [PMID: 25111690 DOI: 10.1038/labinvest.2014.98]</w:t>
      </w:r>
    </w:p>
    <w:p w14:paraId="1A8E5C9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17 </w:t>
      </w:r>
      <w:r w:rsidRPr="00FC0E00">
        <w:rPr>
          <w:rFonts w:ascii="Book Antiqua" w:eastAsia="等线" w:hAnsi="Book Antiqua" w:cs="Times New Roman"/>
          <w:b/>
          <w:kern w:val="2"/>
          <w:sz w:val="24"/>
          <w:szCs w:val="24"/>
          <w:lang w:val="en-US" w:eastAsia="zh-CN"/>
        </w:rPr>
        <w:t>Pacher P</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Nivorozhkin</w:t>
      </w:r>
      <w:proofErr w:type="spellEnd"/>
      <w:r w:rsidRPr="00FC0E00">
        <w:rPr>
          <w:rFonts w:ascii="Book Antiqua" w:eastAsia="等线" w:hAnsi="Book Antiqua" w:cs="Times New Roman"/>
          <w:kern w:val="2"/>
          <w:sz w:val="24"/>
          <w:szCs w:val="24"/>
          <w:lang w:val="en-US" w:eastAsia="zh-CN"/>
        </w:rPr>
        <w:t xml:space="preserve"> A, </w:t>
      </w:r>
      <w:proofErr w:type="spellStart"/>
      <w:r w:rsidRPr="00FC0E00">
        <w:rPr>
          <w:rFonts w:ascii="Book Antiqua" w:eastAsia="等线" w:hAnsi="Book Antiqua" w:cs="Times New Roman"/>
          <w:kern w:val="2"/>
          <w:sz w:val="24"/>
          <w:szCs w:val="24"/>
          <w:lang w:val="en-US" w:eastAsia="zh-CN"/>
        </w:rPr>
        <w:t>Szabó</w:t>
      </w:r>
      <w:proofErr w:type="spellEnd"/>
      <w:r w:rsidRPr="00FC0E00">
        <w:rPr>
          <w:rFonts w:ascii="Book Antiqua" w:eastAsia="等线" w:hAnsi="Book Antiqua" w:cs="Times New Roman"/>
          <w:kern w:val="2"/>
          <w:sz w:val="24"/>
          <w:szCs w:val="24"/>
          <w:lang w:val="en-US" w:eastAsia="zh-CN"/>
        </w:rPr>
        <w:t xml:space="preserve"> C. Therapeutic effects of xanthine oxidase inhibitors: renaissance half a century after the discovery of allopurinol. </w:t>
      </w:r>
      <w:proofErr w:type="spellStart"/>
      <w:r w:rsidRPr="00FC0E00">
        <w:rPr>
          <w:rFonts w:ascii="Book Antiqua" w:eastAsia="等线" w:hAnsi="Book Antiqua" w:cs="Times New Roman"/>
          <w:i/>
          <w:kern w:val="2"/>
          <w:sz w:val="24"/>
          <w:szCs w:val="24"/>
          <w:lang w:val="en-US" w:eastAsia="zh-CN"/>
        </w:rPr>
        <w:t>Pharmacol</w:t>
      </w:r>
      <w:proofErr w:type="spellEnd"/>
      <w:r w:rsidRPr="00FC0E00">
        <w:rPr>
          <w:rFonts w:ascii="Book Antiqua" w:eastAsia="等线" w:hAnsi="Book Antiqua" w:cs="Times New Roman"/>
          <w:i/>
          <w:kern w:val="2"/>
          <w:sz w:val="24"/>
          <w:szCs w:val="24"/>
          <w:lang w:val="en-US" w:eastAsia="zh-CN"/>
        </w:rPr>
        <w:t xml:space="preserve"> Rev</w:t>
      </w:r>
      <w:r w:rsidRPr="00FC0E00">
        <w:rPr>
          <w:rFonts w:ascii="Book Antiqua" w:eastAsia="等线" w:hAnsi="Book Antiqua" w:cs="Times New Roman"/>
          <w:kern w:val="2"/>
          <w:sz w:val="24"/>
          <w:szCs w:val="24"/>
          <w:lang w:val="en-US" w:eastAsia="zh-CN"/>
        </w:rPr>
        <w:t xml:space="preserve"> 2006; </w:t>
      </w:r>
      <w:r w:rsidRPr="00FC0E00">
        <w:rPr>
          <w:rFonts w:ascii="Book Antiqua" w:eastAsia="等线" w:hAnsi="Book Antiqua" w:cs="Times New Roman"/>
          <w:b/>
          <w:kern w:val="2"/>
          <w:sz w:val="24"/>
          <w:szCs w:val="24"/>
          <w:lang w:val="en-US" w:eastAsia="zh-CN"/>
        </w:rPr>
        <w:t>58</w:t>
      </w:r>
      <w:r w:rsidRPr="00FC0E00">
        <w:rPr>
          <w:rFonts w:ascii="Book Antiqua" w:eastAsia="等线" w:hAnsi="Book Antiqua" w:cs="Times New Roman"/>
          <w:kern w:val="2"/>
          <w:sz w:val="24"/>
          <w:szCs w:val="24"/>
          <w:lang w:val="en-US" w:eastAsia="zh-CN"/>
        </w:rPr>
        <w:t>: 87-114 [PMID: 16507884 DOI: 10.1124/pr.58.1.6]</w:t>
      </w:r>
    </w:p>
    <w:p w14:paraId="628218D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18 </w:t>
      </w:r>
      <w:r w:rsidRPr="00FC0E00">
        <w:rPr>
          <w:rFonts w:ascii="Book Antiqua" w:eastAsia="等线" w:hAnsi="Book Antiqua" w:cs="Times New Roman"/>
          <w:b/>
          <w:kern w:val="2"/>
          <w:sz w:val="24"/>
          <w:szCs w:val="24"/>
          <w:lang w:val="en-US" w:eastAsia="zh-CN"/>
        </w:rPr>
        <w:t>Parks DA</w:t>
      </w:r>
      <w:r w:rsidRPr="00FC0E00">
        <w:rPr>
          <w:rFonts w:ascii="Book Antiqua" w:eastAsia="等线" w:hAnsi="Book Antiqua" w:cs="Times New Roman"/>
          <w:kern w:val="2"/>
          <w:sz w:val="24"/>
          <w:szCs w:val="24"/>
          <w:lang w:val="en-US" w:eastAsia="zh-CN"/>
        </w:rPr>
        <w:t xml:space="preserve">, Granger DN. Xanthine oxidase: biochemistry, distribution and </w:t>
      </w:r>
      <w:r w:rsidRPr="00FC0E00">
        <w:rPr>
          <w:rFonts w:ascii="Book Antiqua" w:eastAsia="等线" w:hAnsi="Book Antiqua" w:cs="Times New Roman"/>
          <w:kern w:val="2"/>
          <w:sz w:val="24"/>
          <w:szCs w:val="24"/>
          <w:lang w:val="en-US" w:eastAsia="zh-CN"/>
        </w:rPr>
        <w:lastRenderedPageBreak/>
        <w:t xml:space="preserve">physiology. </w:t>
      </w:r>
      <w:proofErr w:type="spellStart"/>
      <w:r w:rsidRPr="00FC0E00">
        <w:rPr>
          <w:rFonts w:ascii="Book Antiqua" w:eastAsia="等线" w:hAnsi="Book Antiqua" w:cs="Times New Roman"/>
          <w:i/>
          <w:kern w:val="2"/>
          <w:sz w:val="24"/>
          <w:szCs w:val="24"/>
          <w:lang w:val="en-US" w:eastAsia="zh-CN"/>
        </w:rPr>
        <w:t>Acta</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Physiol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Scand</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Suppl</w:t>
      </w:r>
      <w:proofErr w:type="spellEnd"/>
      <w:r w:rsidRPr="00FC0E00">
        <w:rPr>
          <w:rFonts w:ascii="Book Antiqua" w:eastAsia="等线" w:hAnsi="Book Antiqua" w:cs="Times New Roman"/>
          <w:kern w:val="2"/>
          <w:sz w:val="24"/>
          <w:szCs w:val="24"/>
          <w:lang w:val="en-US" w:eastAsia="zh-CN"/>
        </w:rPr>
        <w:t xml:space="preserve"> 1986; </w:t>
      </w:r>
      <w:r w:rsidRPr="00FC0E00">
        <w:rPr>
          <w:rFonts w:ascii="Book Antiqua" w:eastAsia="等线" w:hAnsi="Book Antiqua" w:cs="Times New Roman"/>
          <w:b/>
          <w:kern w:val="2"/>
          <w:sz w:val="24"/>
          <w:szCs w:val="24"/>
          <w:lang w:val="en-US" w:eastAsia="zh-CN"/>
        </w:rPr>
        <w:t>548</w:t>
      </w:r>
      <w:r w:rsidRPr="00FC0E00">
        <w:rPr>
          <w:rFonts w:ascii="Book Antiqua" w:eastAsia="等线" w:hAnsi="Book Antiqua" w:cs="Times New Roman"/>
          <w:kern w:val="2"/>
          <w:sz w:val="24"/>
          <w:szCs w:val="24"/>
          <w:lang w:val="en-US" w:eastAsia="zh-CN"/>
        </w:rPr>
        <w:t>: 87-99 [PMID: 3529824]</w:t>
      </w:r>
    </w:p>
    <w:p w14:paraId="3400CF9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19 </w:t>
      </w:r>
      <w:proofErr w:type="spellStart"/>
      <w:r w:rsidRPr="00FC0E00">
        <w:rPr>
          <w:rFonts w:ascii="Book Antiqua" w:eastAsia="等线" w:hAnsi="Book Antiqua" w:cs="Times New Roman"/>
          <w:b/>
          <w:kern w:val="2"/>
          <w:sz w:val="24"/>
          <w:szCs w:val="24"/>
          <w:lang w:val="en-US" w:eastAsia="zh-CN"/>
        </w:rPr>
        <w:t>Hille</w:t>
      </w:r>
      <w:proofErr w:type="spellEnd"/>
      <w:r w:rsidRPr="00FC0E00">
        <w:rPr>
          <w:rFonts w:ascii="Book Antiqua" w:eastAsia="等线" w:hAnsi="Book Antiqua" w:cs="Times New Roman"/>
          <w:b/>
          <w:kern w:val="2"/>
          <w:sz w:val="24"/>
          <w:szCs w:val="24"/>
          <w:lang w:val="en-US" w:eastAsia="zh-CN"/>
        </w:rPr>
        <w:t xml:space="preserve"> R</w:t>
      </w:r>
      <w:r w:rsidRPr="00FC0E00">
        <w:rPr>
          <w:rFonts w:ascii="Book Antiqua" w:eastAsia="等线" w:hAnsi="Book Antiqua" w:cs="Times New Roman"/>
          <w:kern w:val="2"/>
          <w:sz w:val="24"/>
          <w:szCs w:val="24"/>
          <w:lang w:val="en-US" w:eastAsia="zh-CN"/>
        </w:rPr>
        <w:t xml:space="preserve">, Massey V. Studies on the oxidative half-reaction of xanthine oxidase. </w:t>
      </w:r>
      <w:r w:rsidRPr="00FC0E00">
        <w:rPr>
          <w:rFonts w:ascii="Book Antiqua" w:eastAsia="等线" w:hAnsi="Book Antiqua" w:cs="Times New Roman"/>
          <w:i/>
          <w:kern w:val="2"/>
          <w:sz w:val="24"/>
          <w:szCs w:val="24"/>
          <w:lang w:val="en-US" w:eastAsia="zh-CN"/>
        </w:rPr>
        <w:t>J Biol Chem</w:t>
      </w:r>
      <w:r w:rsidRPr="00FC0E00">
        <w:rPr>
          <w:rFonts w:ascii="Book Antiqua" w:eastAsia="等线" w:hAnsi="Book Antiqua" w:cs="Times New Roman"/>
          <w:kern w:val="2"/>
          <w:sz w:val="24"/>
          <w:szCs w:val="24"/>
          <w:lang w:val="en-US" w:eastAsia="zh-CN"/>
        </w:rPr>
        <w:t xml:space="preserve"> 1981; </w:t>
      </w:r>
      <w:r w:rsidRPr="00FC0E00">
        <w:rPr>
          <w:rFonts w:ascii="Book Antiqua" w:eastAsia="等线" w:hAnsi="Book Antiqua" w:cs="Times New Roman"/>
          <w:b/>
          <w:kern w:val="2"/>
          <w:sz w:val="24"/>
          <w:szCs w:val="24"/>
          <w:lang w:val="en-US" w:eastAsia="zh-CN"/>
        </w:rPr>
        <w:t>256</w:t>
      </w:r>
      <w:r w:rsidRPr="00FC0E00">
        <w:rPr>
          <w:rFonts w:ascii="Book Antiqua" w:eastAsia="等线" w:hAnsi="Book Antiqua" w:cs="Times New Roman"/>
          <w:kern w:val="2"/>
          <w:sz w:val="24"/>
          <w:szCs w:val="24"/>
          <w:lang w:val="en-US" w:eastAsia="zh-CN"/>
        </w:rPr>
        <w:t>: 9090-9095 [PMID: 6894924]</w:t>
      </w:r>
    </w:p>
    <w:p w14:paraId="1E28D6F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20 </w:t>
      </w:r>
      <w:proofErr w:type="spellStart"/>
      <w:r w:rsidRPr="00FC0E00">
        <w:rPr>
          <w:rFonts w:ascii="Book Antiqua" w:eastAsia="等线" w:hAnsi="Book Antiqua" w:cs="Times New Roman"/>
          <w:b/>
          <w:kern w:val="2"/>
          <w:sz w:val="24"/>
          <w:szCs w:val="24"/>
          <w:lang w:val="en-US" w:eastAsia="zh-CN"/>
        </w:rPr>
        <w:t>Lanaspa</w:t>
      </w:r>
      <w:proofErr w:type="spellEnd"/>
      <w:r w:rsidRPr="00FC0E00">
        <w:rPr>
          <w:rFonts w:ascii="Book Antiqua" w:eastAsia="等线" w:hAnsi="Book Antiqua" w:cs="Times New Roman"/>
          <w:b/>
          <w:kern w:val="2"/>
          <w:sz w:val="24"/>
          <w:szCs w:val="24"/>
          <w:lang w:val="en-US" w:eastAsia="zh-CN"/>
        </w:rPr>
        <w:t xml:space="preserve"> MA</w:t>
      </w:r>
      <w:r w:rsidRPr="00FC0E00">
        <w:rPr>
          <w:rFonts w:ascii="Book Antiqua" w:eastAsia="等线" w:hAnsi="Book Antiqua" w:cs="Times New Roman"/>
          <w:kern w:val="2"/>
          <w:sz w:val="24"/>
          <w:szCs w:val="24"/>
          <w:lang w:val="en-US" w:eastAsia="zh-CN"/>
        </w:rPr>
        <w:t>, Sanchez-</w:t>
      </w:r>
      <w:proofErr w:type="spellStart"/>
      <w:r w:rsidRPr="00FC0E00">
        <w:rPr>
          <w:rFonts w:ascii="Book Antiqua" w:eastAsia="等线" w:hAnsi="Book Antiqua" w:cs="Times New Roman"/>
          <w:kern w:val="2"/>
          <w:sz w:val="24"/>
          <w:szCs w:val="24"/>
          <w:lang w:val="en-US" w:eastAsia="zh-CN"/>
        </w:rPr>
        <w:t>Lozada</w:t>
      </w:r>
      <w:proofErr w:type="spellEnd"/>
      <w:r w:rsidRPr="00FC0E00">
        <w:rPr>
          <w:rFonts w:ascii="Book Antiqua" w:eastAsia="等线" w:hAnsi="Book Antiqua" w:cs="Times New Roman"/>
          <w:kern w:val="2"/>
          <w:sz w:val="24"/>
          <w:szCs w:val="24"/>
          <w:lang w:val="en-US" w:eastAsia="zh-CN"/>
        </w:rPr>
        <w:t xml:space="preserve"> LG, Choi YJ, </w:t>
      </w:r>
      <w:proofErr w:type="spellStart"/>
      <w:r w:rsidRPr="00FC0E00">
        <w:rPr>
          <w:rFonts w:ascii="Book Antiqua" w:eastAsia="等线" w:hAnsi="Book Antiqua" w:cs="Times New Roman"/>
          <w:kern w:val="2"/>
          <w:sz w:val="24"/>
          <w:szCs w:val="24"/>
          <w:lang w:val="en-US" w:eastAsia="zh-CN"/>
        </w:rPr>
        <w:t>Cicerchi</w:t>
      </w:r>
      <w:proofErr w:type="spellEnd"/>
      <w:r w:rsidRPr="00FC0E00">
        <w:rPr>
          <w:rFonts w:ascii="Book Antiqua" w:eastAsia="等线" w:hAnsi="Book Antiqua" w:cs="Times New Roman"/>
          <w:kern w:val="2"/>
          <w:sz w:val="24"/>
          <w:szCs w:val="24"/>
          <w:lang w:val="en-US" w:eastAsia="zh-CN"/>
        </w:rPr>
        <w:t xml:space="preserve"> C, </w:t>
      </w:r>
      <w:proofErr w:type="spellStart"/>
      <w:r w:rsidRPr="00FC0E00">
        <w:rPr>
          <w:rFonts w:ascii="Book Antiqua" w:eastAsia="等线" w:hAnsi="Book Antiqua" w:cs="Times New Roman"/>
          <w:kern w:val="2"/>
          <w:sz w:val="24"/>
          <w:szCs w:val="24"/>
          <w:lang w:val="en-US" w:eastAsia="zh-CN"/>
        </w:rPr>
        <w:t>Kanbay</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Roncal</w:t>
      </w:r>
      <w:proofErr w:type="spellEnd"/>
      <w:r w:rsidRPr="00FC0E00">
        <w:rPr>
          <w:rFonts w:ascii="Book Antiqua" w:eastAsia="等线" w:hAnsi="Book Antiqua" w:cs="Times New Roman"/>
          <w:kern w:val="2"/>
          <w:sz w:val="24"/>
          <w:szCs w:val="24"/>
          <w:lang w:val="en-US" w:eastAsia="zh-CN"/>
        </w:rPr>
        <w:t xml:space="preserve">-Jimenez CA, Ishimoto T, Li N, Marek G, </w:t>
      </w:r>
      <w:proofErr w:type="spellStart"/>
      <w:r w:rsidRPr="00FC0E00">
        <w:rPr>
          <w:rFonts w:ascii="Book Antiqua" w:eastAsia="等线" w:hAnsi="Book Antiqua" w:cs="Times New Roman"/>
          <w:kern w:val="2"/>
          <w:sz w:val="24"/>
          <w:szCs w:val="24"/>
          <w:lang w:val="en-US" w:eastAsia="zh-CN"/>
        </w:rPr>
        <w:t>Duranay</w:t>
      </w:r>
      <w:proofErr w:type="spellEnd"/>
      <w:r w:rsidRPr="00FC0E00">
        <w:rPr>
          <w:rFonts w:ascii="Book Antiqua" w:eastAsia="等线" w:hAnsi="Book Antiqua" w:cs="Times New Roman"/>
          <w:kern w:val="2"/>
          <w:sz w:val="24"/>
          <w:szCs w:val="24"/>
          <w:lang w:val="en-US" w:eastAsia="zh-CN"/>
        </w:rPr>
        <w:t xml:space="preserve"> M, Schreiner G, Rodriguez-</w:t>
      </w:r>
      <w:proofErr w:type="spellStart"/>
      <w:r w:rsidRPr="00FC0E00">
        <w:rPr>
          <w:rFonts w:ascii="Book Antiqua" w:eastAsia="等线" w:hAnsi="Book Antiqua" w:cs="Times New Roman"/>
          <w:kern w:val="2"/>
          <w:sz w:val="24"/>
          <w:szCs w:val="24"/>
          <w:lang w:val="en-US" w:eastAsia="zh-CN"/>
        </w:rPr>
        <w:t>Iturbe</w:t>
      </w:r>
      <w:proofErr w:type="spellEnd"/>
      <w:r w:rsidRPr="00FC0E00">
        <w:rPr>
          <w:rFonts w:ascii="Book Antiqua" w:eastAsia="等线" w:hAnsi="Book Antiqua" w:cs="Times New Roman"/>
          <w:kern w:val="2"/>
          <w:sz w:val="24"/>
          <w:szCs w:val="24"/>
          <w:lang w:val="en-US" w:eastAsia="zh-CN"/>
        </w:rPr>
        <w:t xml:space="preserve"> B, Nakagawa T, Kang DH, </w:t>
      </w:r>
      <w:proofErr w:type="spellStart"/>
      <w:r w:rsidRPr="00FC0E00">
        <w:rPr>
          <w:rFonts w:ascii="Book Antiqua" w:eastAsia="等线" w:hAnsi="Book Antiqua" w:cs="Times New Roman"/>
          <w:kern w:val="2"/>
          <w:sz w:val="24"/>
          <w:szCs w:val="24"/>
          <w:lang w:val="en-US" w:eastAsia="zh-CN"/>
        </w:rPr>
        <w:t>Sautin</w:t>
      </w:r>
      <w:proofErr w:type="spellEnd"/>
      <w:r w:rsidRPr="00FC0E00">
        <w:rPr>
          <w:rFonts w:ascii="Book Antiqua" w:eastAsia="等线" w:hAnsi="Book Antiqua" w:cs="Times New Roman"/>
          <w:kern w:val="2"/>
          <w:sz w:val="24"/>
          <w:szCs w:val="24"/>
          <w:lang w:val="en-US" w:eastAsia="zh-CN"/>
        </w:rPr>
        <w:t xml:space="preserve"> YY, Johnson RJ. Uric acid induces hepatic steatosis by generation of mitochondrial oxidative stress: potential role in fructose-dependent and -independent fatty liver. </w:t>
      </w:r>
      <w:r w:rsidRPr="00FC0E00">
        <w:rPr>
          <w:rFonts w:ascii="Book Antiqua" w:eastAsia="等线" w:hAnsi="Book Antiqua" w:cs="Times New Roman"/>
          <w:i/>
          <w:kern w:val="2"/>
          <w:sz w:val="24"/>
          <w:szCs w:val="24"/>
          <w:lang w:val="en-US" w:eastAsia="zh-CN"/>
        </w:rPr>
        <w:t>J Biol Chem</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287</w:t>
      </w:r>
      <w:r w:rsidRPr="00FC0E00">
        <w:rPr>
          <w:rFonts w:ascii="Book Antiqua" w:eastAsia="等线" w:hAnsi="Book Antiqua" w:cs="Times New Roman"/>
          <w:kern w:val="2"/>
          <w:sz w:val="24"/>
          <w:szCs w:val="24"/>
          <w:lang w:val="en-US" w:eastAsia="zh-CN"/>
        </w:rPr>
        <w:t>: 40732-40744 [PMID: 23035112 DOI: 10.1074/jbc.M112.399899]</w:t>
      </w:r>
    </w:p>
    <w:p w14:paraId="1FCC3014"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21 </w:t>
      </w:r>
      <w:r w:rsidRPr="00FC0E00">
        <w:rPr>
          <w:rFonts w:ascii="Book Antiqua" w:eastAsia="等线" w:hAnsi="Book Antiqua" w:cs="Times New Roman"/>
          <w:b/>
          <w:kern w:val="2"/>
          <w:sz w:val="24"/>
          <w:szCs w:val="24"/>
          <w:lang w:val="en-US" w:eastAsia="zh-CN"/>
        </w:rPr>
        <w:t>Lee AH</w:t>
      </w:r>
      <w:r w:rsidRPr="00FC0E00">
        <w:rPr>
          <w:rFonts w:ascii="Book Antiqua" w:eastAsia="等线" w:hAnsi="Book Antiqua" w:cs="Times New Roman"/>
          <w:kern w:val="2"/>
          <w:sz w:val="24"/>
          <w:szCs w:val="24"/>
          <w:lang w:val="en-US" w:eastAsia="zh-CN"/>
        </w:rPr>
        <w:t xml:space="preserve">, Scapa EF, Cohen DE, </w:t>
      </w:r>
      <w:proofErr w:type="spellStart"/>
      <w:r w:rsidRPr="00FC0E00">
        <w:rPr>
          <w:rFonts w:ascii="Book Antiqua" w:eastAsia="等线" w:hAnsi="Book Antiqua" w:cs="Times New Roman"/>
          <w:kern w:val="2"/>
          <w:sz w:val="24"/>
          <w:szCs w:val="24"/>
          <w:lang w:val="en-US" w:eastAsia="zh-CN"/>
        </w:rPr>
        <w:t>Glimcher</w:t>
      </w:r>
      <w:proofErr w:type="spellEnd"/>
      <w:r w:rsidRPr="00FC0E00">
        <w:rPr>
          <w:rFonts w:ascii="Book Antiqua" w:eastAsia="等线" w:hAnsi="Book Antiqua" w:cs="Times New Roman"/>
          <w:kern w:val="2"/>
          <w:sz w:val="24"/>
          <w:szCs w:val="24"/>
          <w:lang w:val="en-US" w:eastAsia="zh-CN"/>
        </w:rPr>
        <w:t xml:space="preserve"> LH. Regulation of hepatic lipogenesis by the transcription factor XBP1. </w:t>
      </w:r>
      <w:r w:rsidRPr="00FC0E00">
        <w:rPr>
          <w:rFonts w:ascii="Book Antiqua" w:eastAsia="等线" w:hAnsi="Book Antiqua" w:cs="Times New Roman"/>
          <w:i/>
          <w:kern w:val="2"/>
          <w:sz w:val="24"/>
          <w:szCs w:val="24"/>
          <w:lang w:val="en-US" w:eastAsia="zh-CN"/>
        </w:rPr>
        <w:t>Science</w:t>
      </w:r>
      <w:r w:rsidRPr="00FC0E00">
        <w:rPr>
          <w:rFonts w:ascii="Book Antiqua" w:eastAsia="等线" w:hAnsi="Book Antiqua" w:cs="Times New Roman"/>
          <w:kern w:val="2"/>
          <w:sz w:val="24"/>
          <w:szCs w:val="24"/>
          <w:lang w:val="en-US" w:eastAsia="zh-CN"/>
        </w:rPr>
        <w:t xml:space="preserve"> 2008; </w:t>
      </w:r>
      <w:r w:rsidRPr="00FC0E00">
        <w:rPr>
          <w:rFonts w:ascii="Book Antiqua" w:eastAsia="等线" w:hAnsi="Book Antiqua" w:cs="Times New Roman"/>
          <w:b/>
          <w:kern w:val="2"/>
          <w:sz w:val="24"/>
          <w:szCs w:val="24"/>
          <w:lang w:val="en-US" w:eastAsia="zh-CN"/>
        </w:rPr>
        <w:t>320</w:t>
      </w:r>
      <w:r w:rsidRPr="00FC0E00">
        <w:rPr>
          <w:rFonts w:ascii="Book Antiqua" w:eastAsia="等线" w:hAnsi="Book Antiqua" w:cs="Times New Roman"/>
          <w:kern w:val="2"/>
          <w:sz w:val="24"/>
          <w:szCs w:val="24"/>
          <w:lang w:val="en-US" w:eastAsia="zh-CN"/>
        </w:rPr>
        <w:t>: 1492-1496 [PMID: 18556558 DOI: 10.1126/science.1158042]</w:t>
      </w:r>
    </w:p>
    <w:p w14:paraId="775D416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22 </w:t>
      </w:r>
      <w:proofErr w:type="spellStart"/>
      <w:r w:rsidRPr="00FC0E00">
        <w:rPr>
          <w:rFonts w:ascii="Book Antiqua" w:eastAsia="等线" w:hAnsi="Book Antiqua" w:cs="Times New Roman"/>
          <w:b/>
          <w:kern w:val="2"/>
          <w:sz w:val="24"/>
          <w:szCs w:val="24"/>
          <w:lang w:val="en-US" w:eastAsia="zh-CN"/>
        </w:rPr>
        <w:t>Pagliassotti</w:t>
      </w:r>
      <w:proofErr w:type="spellEnd"/>
      <w:r w:rsidRPr="00FC0E00">
        <w:rPr>
          <w:rFonts w:ascii="Book Antiqua" w:eastAsia="等线" w:hAnsi="Book Antiqua" w:cs="Times New Roman"/>
          <w:b/>
          <w:kern w:val="2"/>
          <w:sz w:val="24"/>
          <w:szCs w:val="24"/>
          <w:lang w:val="en-US" w:eastAsia="zh-CN"/>
        </w:rPr>
        <w:t xml:space="preserve"> MJ</w:t>
      </w:r>
      <w:r w:rsidRPr="00FC0E00">
        <w:rPr>
          <w:rFonts w:ascii="Book Antiqua" w:eastAsia="等线" w:hAnsi="Book Antiqua" w:cs="Times New Roman"/>
          <w:kern w:val="2"/>
          <w:sz w:val="24"/>
          <w:szCs w:val="24"/>
          <w:lang w:val="en-US" w:eastAsia="zh-CN"/>
        </w:rPr>
        <w:t xml:space="preserve">. Endoplasmic reticulum stress in nonalcoholic fatty liver disease. </w:t>
      </w:r>
      <w:proofErr w:type="spellStart"/>
      <w:r w:rsidRPr="00FC0E00">
        <w:rPr>
          <w:rFonts w:ascii="Book Antiqua" w:eastAsia="等线" w:hAnsi="Book Antiqua" w:cs="Times New Roman"/>
          <w:i/>
          <w:kern w:val="2"/>
          <w:sz w:val="24"/>
          <w:szCs w:val="24"/>
          <w:lang w:val="en-US" w:eastAsia="zh-CN"/>
        </w:rPr>
        <w:t>Annu</w:t>
      </w:r>
      <w:proofErr w:type="spellEnd"/>
      <w:r w:rsidRPr="00FC0E00">
        <w:rPr>
          <w:rFonts w:ascii="Book Antiqua" w:eastAsia="等线" w:hAnsi="Book Antiqua" w:cs="Times New Roman"/>
          <w:i/>
          <w:kern w:val="2"/>
          <w:sz w:val="24"/>
          <w:szCs w:val="24"/>
          <w:lang w:val="en-US" w:eastAsia="zh-CN"/>
        </w:rPr>
        <w:t xml:space="preserve"> Rev </w:t>
      </w:r>
      <w:proofErr w:type="spellStart"/>
      <w:r w:rsidRPr="00FC0E00">
        <w:rPr>
          <w:rFonts w:ascii="Book Antiqua" w:eastAsia="等线" w:hAnsi="Book Antiqua" w:cs="Times New Roman"/>
          <w:i/>
          <w:kern w:val="2"/>
          <w:sz w:val="24"/>
          <w:szCs w:val="24"/>
          <w:lang w:val="en-US" w:eastAsia="zh-CN"/>
        </w:rPr>
        <w:t>Nutr</w:t>
      </w:r>
      <w:proofErr w:type="spellEnd"/>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32</w:t>
      </w:r>
      <w:r w:rsidRPr="00FC0E00">
        <w:rPr>
          <w:rFonts w:ascii="Book Antiqua" w:eastAsia="等线" w:hAnsi="Book Antiqua" w:cs="Times New Roman"/>
          <w:kern w:val="2"/>
          <w:sz w:val="24"/>
          <w:szCs w:val="24"/>
          <w:lang w:val="en-US" w:eastAsia="zh-CN"/>
        </w:rPr>
        <w:t>: 17-33 [PMID: 22809102 DOI: 10.1146/annurev-nutr-071811-150644]</w:t>
      </w:r>
    </w:p>
    <w:p w14:paraId="4FA24FC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23 </w:t>
      </w:r>
      <w:proofErr w:type="spellStart"/>
      <w:r w:rsidRPr="00FC0E00">
        <w:rPr>
          <w:rFonts w:ascii="Book Antiqua" w:eastAsia="等线" w:hAnsi="Book Antiqua" w:cs="Times New Roman"/>
          <w:b/>
          <w:kern w:val="2"/>
          <w:sz w:val="24"/>
          <w:szCs w:val="24"/>
          <w:lang w:val="en-US" w:eastAsia="zh-CN"/>
        </w:rPr>
        <w:t>Strowig</w:t>
      </w:r>
      <w:proofErr w:type="spellEnd"/>
      <w:r w:rsidRPr="00FC0E00">
        <w:rPr>
          <w:rFonts w:ascii="Book Antiqua" w:eastAsia="等线" w:hAnsi="Book Antiqua" w:cs="Times New Roman"/>
          <w:b/>
          <w:kern w:val="2"/>
          <w:sz w:val="24"/>
          <w:szCs w:val="24"/>
          <w:lang w:val="en-US" w:eastAsia="zh-CN"/>
        </w:rPr>
        <w:t xml:space="preserve"> T</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Henao</w:t>
      </w:r>
      <w:proofErr w:type="spellEnd"/>
      <w:r w:rsidRPr="00FC0E00">
        <w:rPr>
          <w:rFonts w:ascii="Book Antiqua" w:eastAsia="等线" w:hAnsi="Book Antiqua" w:cs="Times New Roman"/>
          <w:kern w:val="2"/>
          <w:sz w:val="24"/>
          <w:szCs w:val="24"/>
          <w:lang w:val="en-US" w:eastAsia="zh-CN"/>
        </w:rPr>
        <w:t xml:space="preserve">-Mejia J, </w:t>
      </w:r>
      <w:proofErr w:type="spellStart"/>
      <w:r w:rsidRPr="00FC0E00">
        <w:rPr>
          <w:rFonts w:ascii="Book Antiqua" w:eastAsia="等线" w:hAnsi="Book Antiqua" w:cs="Times New Roman"/>
          <w:kern w:val="2"/>
          <w:sz w:val="24"/>
          <w:szCs w:val="24"/>
          <w:lang w:val="en-US" w:eastAsia="zh-CN"/>
        </w:rPr>
        <w:t>Elinav</w:t>
      </w:r>
      <w:proofErr w:type="spellEnd"/>
      <w:r w:rsidRPr="00FC0E00">
        <w:rPr>
          <w:rFonts w:ascii="Book Antiqua" w:eastAsia="等线" w:hAnsi="Book Antiqua" w:cs="Times New Roman"/>
          <w:kern w:val="2"/>
          <w:sz w:val="24"/>
          <w:szCs w:val="24"/>
          <w:lang w:val="en-US" w:eastAsia="zh-CN"/>
        </w:rPr>
        <w:t xml:space="preserve"> E, </w:t>
      </w:r>
      <w:proofErr w:type="spellStart"/>
      <w:r w:rsidRPr="00FC0E00">
        <w:rPr>
          <w:rFonts w:ascii="Book Antiqua" w:eastAsia="等线" w:hAnsi="Book Antiqua" w:cs="Times New Roman"/>
          <w:kern w:val="2"/>
          <w:sz w:val="24"/>
          <w:szCs w:val="24"/>
          <w:lang w:val="en-US" w:eastAsia="zh-CN"/>
        </w:rPr>
        <w:t>Flavell</w:t>
      </w:r>
      <w:proofErr w:type="spellEnd"/>
      <w:r w:rsidRPr="00FC0E00">
        <w:rPr>
          <w:rFonts w:ascii="Book Antiqua" w:eastAsia="等线" w:hAnsi="Book Antiqua" w:cs="Times New Roman"/>
          <w:kern w:val="2"/>
          <w:sz w:val="24"/>
          <w:szCs w:val="24"/>
          <w:lang w:val="en-US" w:eastAsia="zh-CN"/>
        </w:rPr>
        <w:t xml:space="preserve"> R. Inflammasomes in health and disease. </w:t>
      </w:r>
      <w:r w:rsidRPr="00FC0E00">
        <w:rPr>
          <w:rFonts w:ascii="Book Antiqua" w:eastAsia="等线" w:hAnsi="Book Antiqua" w:cs="Times New Roman"/>
          <w:i/>
          <w:kern w:val="2"/>
          <w:sz w:val="24"/>
          <w:szCs w:val="24"/>
          <w:lang w:val="en-US" w:eastAsia="zh-CN"/>
        </w:rPr>
        <w:t>Nature</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481</w:t>
      </w:r>
      <w:r w:rsidRPr="00FC0E00">
        <w:rPr>
          <w:rFonts w:ascii="Book Antiqua" w:eastAsia="等线" w:hAnsi="Book Antiqua" w:cs="Times New Roman"/>
          <w:kern w:val="2"/>
          <w:sz w:val="24"/>
          <w:szCs w:val="24"/>
          <w:lang w:val="en-US" w:eastAsia="zh-CN"/>
        </w:rPr>
        <w:t>: 278-286 [PMID: 22258606 DOI: 10.1038/nature10759]</w:t>
      </w:r>
    </w:p>
    <w:p w14:paraId="20DC4769"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24 </w:t>
      </w:r>
      <w:r w:rsidRPr="00FC0E00">
        <w:rPr>
          <w:rFonts w:ascii="Book Antiqua" w:eastAsia="等线" w:hAnsi="Book Antiqua" w:cs="Times New Roman"/>
          <w:b/>
          <w:kern w:val="2"/>
          <w:sz w:val="24"/>
          <w:szCs w:val="24"/>
          <w:lang w:val="en-US" w:eastAsia="zh-CN"/>
        </w:rPr>
        <w:t>Wan X</w:t>
      </w:r>
      <w:r w:rsidRPr="00FC0E00">
        <w:rPr>
          <w:rFonts w:ascii="Book Antiqua" w:eastAsia="等线" w:hAnsi="Book Antiqua" w:cs="Times New Roman"/>
          <w:kern w:val="2"/>
          <w:sz w:val="24"/>
          <w:szCs w:val="24"/>
          <w:lang w:val="en-US" w:eastAsia="zh-CN"/>
        </w:rPr>
        <w:t xml:space="preserve">, Xu C, Lin Y, Lu C, Li D, Sang J, He H, Liu X, Li Y, Yu C. Uric acid regulates hepatic steatosis and insulin resistance through the NLRP3 inflammasome-dependent mechanism.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64</w:t>
      </w:r>
      <w:r w:rsidRPr="00FC0E00">
        <w:rPr>
          <w:rFonts w:ascii="Book Antiqua" w:eastAsia="等线" w:hAnsi="Book Antiqua" w:cs="Times New Roman"/>
          <w:kern w:val="2"/>
          <w:sz w:val="24"/>
          <w:szCs w:val="24"/>
          <w:lang w:val="en-US" w:eastAsia="zh-CN"/>
        </w:rPr>
        <w:t>: 925-932 [PMID: 26639394 DOI: 10.1016/j.jhep.2015.11.022]</w:t>
      </w:r>
    </w:p>
    <w:p w14:paraId="3DAC5C1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25 </w:t>
      </w:r>
      <w:proofErr w:type="spellStart"/>
      <w:r w:rsidRPr="00FC0E00">
        <w:rPr>
          <w:rFonts w:ascii="Book Antiqua" w:eastAsia="等线" w:hAnsi="Book Antiqua" w:cs="Times New Roman"/>
          <w:b/>
          <w:kern w:val="2"/>
          <w:sz w:val="24"/>
          <w:szCs w:val="24"/>
          <w:lang w:val="en-US" w:eastAsia="zh-CN"/>
        </w:rPr>
        <w:t>Wree</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McGeough</w:t>
      </w:r>
      <w:proofErr w:type="spellEnd"/>
      <w:r w:rsidRPr="00FC0E00">
        <w:rPr>
          <w:rFonts w:ascii="Book Antiqua" w:eastAsia="等线" w:hAnsi="Book Antiqua" w:cs="Times New Roman"/>
          <w:kern w:val="2"/>
          <w:sz w:val="24"/>
          <w:szCs w:val="24"/>
          <w:lang w:val="en-US" w:eastAsia="zh-CN"/>
        </w:rPr>
        <w:t xml:space="preserve"> MD, Peña CA, </w:t>
      </w:r>
      <w:proofErr w:type="spellStart"/>
      <w:r w:rsidRPr="00FC0E00">
        <w:rPr>
          <w:rFonts w:ascii="Book Antiqua" w:eastAsia="等线" w:hAnsi="Book Antiqua" w:cs="Times New Roman"/>
          <w:kern w:val="2"/>
          <w:sz w:val="24"/>
          <w:szCs w:val="24"/>
          <w:lang w:val="en-US" w:eastAsia="zh-CN"/>
        </w:rPr>
        <w:t>Schlattjan</w:t>
      </w:r>
      <w:proofErr w:type="spellEnd"/>
      <w:r w:rsidRPr="00FC0E00">
        <w:rPr>
          <w:rFonts w:ascii="Book Antiqua" w:eastAsia="等线" w:hAnsi="Book Antiqua" w:cs="Times New Roman"/>
          <w:kern w:val="2"/>
          <w:sz w:val="24"/>
          <w:szCs w:val="24"/>
          <w:lang w:val="en-US" w:eastAsia="zh-CN"/>
        </w:rPr>
        <w:t xml:space="preserve"> M, Li H, </w:t>
      </w:r>
      <w:proofErr w:type="spellStart"/>
      <w:r w:rsidRPr="00FC0E00">
        <w:rPr>
          <w:rFonts w:ascii="Book Antiqua" w:eastAsia="等线" w:hAnsi="Book Antiqua" w:cs="Times New Roman"/>
          <w:kern w:val="2"/>
          <w:sz w:val="24"/>
          <w:szCs w:val="24"/>
          <w:lang w:val="en-US" w:eastAsia="zh-CN"/>
        </w:rPr>
        <w:t>Inzaugarat</w:t>
      </w:r>
      <w:proofErr w:type="spellEnd"/>
      <w:r w:rsidRPr="00FC0E00">
        <w:rPr>
          <w:rFonts w:ascii="Book Antiqua" w:eastAsia="等线" w:hAnsi="Book Antiqua" w:cs="Times New Roman"/>
          <w:kern w:val="2"/>
          <w:sz w:val="24"/>
          <w:szCs w:val="24"/>
          <w:lang w:val="en-US" w:eastAsia="zh-CN"/>
        </w:rPr>
        <w:t xml:space="preserve"> ME, Messer K, </w:t>
      </w:r>
      <w:proofErr w:type="spellStart"/>
      <w:r w:rsidRPr="00FC0E00">
        <w:rPr>
          <w:rFonts w:ascii="Book Antiqua" w:eastAsia="等线" w:hAnsi="Book Antiqua" w:cs="Times New Roman"/>
          <w:kern w:val="2"/>
          <w:sz w:val="24"/>
          <w:szCs w:val="24"/>
          <w:lang w:val="en-US" w:eastAsia="zh-CN"/>
        </w:rPr>
        <w:t>Canbay</w:t>
      </w:r>
      <w:proofErr w:type="spellEnd"/>
      <w:r w:rsidRPr="00FC0E00">
        <w:rPr>
          <w:rFonts w:ascii="Book Antiqua" w:eastAsia="等线" w:hAnsi="Book Antiqua" w:cs="Times New Roman"/>
          <w:kern w:val="2"/>
          <w:sz w:val="24"/>
          <w:szCs w:val="24"/>
          <w:lang w:val="en-US" w:eastAsia="zh-CN"/>
        </w:rPr>
        <w:t xml:space="preserve"> A, Hoffman HM, Feldstein AE. NLRP3 inflammasome activation is required for fibrosis development in NAFLD.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Mol</w:t>
      </w:r>
      <w:proofErr w:type="spellEnd"/>
      <w:r w:rsidRPr="00FC0E00">
        <w:rPr>
          <w:rFonts w:ascii="Book Antiqua" w:eastAsia="等线" w:hAnsi="Book Antiqua" w:cs="Times New Roman"/>
          <w:i/>
          <w:kern w:val="2"/>
          <w:sz w:val="24"/>
          <w:szCs w:val="24"/>
          <w:lang w:val="en-US" w:eastAsia="zh-CN"/>
        </w:rPr>
        <w:t xml:space="preserve"> Med (</w:t>
      </w:r>
      <w:proofErr w:type="spellStart"/>
      <w:r w:rsidRPr="00FC0E00">
        <w:rPr>
          <w:rFonts w:ascii="Book Antiqua" w:eastAsia="等线" w:hAnsi="Book Antiqua" w:cs="Times New Roman"/>
          <w:i/>
          <w:kern w:val="2"/>
          <w:sz w:val="24"/>
          <w:szCs w:val="24"/>
          <w:lang w:val="en-US" w:eastAsia="zh-CN"/>
        </w:rPr>
        <w:t>Berl</w:t>
      </w:r>
      <w:proofErr w:type="spellEnd"/>
      <w:r w:rsidRPr="00FC0E00">
        <w:rPr>
          <w:rFonts w:ascii="Book Antiqua" w:eastAsia="等线" w:hAnsi="Book Antiqua" w:cs="Times New Roman"/>
          <w:i/>
          <w:kern w:val="2"/>
          <w:sz w:val="24"/>
          <w:szCs w:val="24"/>
          <w:lang w:val="en-US" w:eastAsia="zh-CN"/>
        </w:rPr>
        <w:t>)</w:t>
      </w:r>
      <w:r w:rsidRPr="00FC0E00">
        <w:rPr>
          <w:rFonts w:ascii="Book Antiqua" w:eastAsia="等线" w:hAnsi="Book Antiqua" w:cs="Times New Roman"/>
          <w:kern w:val="2"/>
          <w:sz w:val="24"/>
          <w:szCs w:val="24"/>
          <w:lang w:val="en-US" w:eastAsia="zh-CN"/>
        </w:rPr>
        <w:t xml:space="preserve"> 2014; </w:t>
      </w:r>
      <w:r w:rsidRPr="00FC0E00">
        <w:rPr>
          <w:rFonts w:ascii="Book Antiqua" w:eastAsia="等线" w:hAnsi="Book Antiqua" w:cs="Times New Roman"/>
          <w:b/>
          <w:kern w:val="2"/>
          <w:sz w:val="24"/>
          <w:szCs w:val="24"/>
          <w:lang w:val="en-US" w:eastAsia="zh-CN"/>
        </w:rPr>
        <w:t>92</w:t>
      </w:r>
      <w:r w:rsidRPr="00FC0E00">
        <w:rPr>
          <w:rFonts w:ascii="Book Antiqua" w:eastAsia="等线" w:hAnsi="Book Antiqua" w:cs="Times New Roman"/>
          <w:kern w:val="2"/>
          <w:sz w:val="24"/>
          <w:szCs w:val="24"/>
          <w:lang w:val="en-US" w:eastAsia="zh-CN"/>
        </w:rPr>
        <w:t>: 1069-1082 [PMID: 24861026 DOI: 10.1007/s00109-014-1170-1]</w:t>
      </w:r>
    </w:p>
    <w:p w14:paraId="18569DA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26 </w:t>
      </w:r>
      <w:proofErr w:type="spellStart"/>
      <w:r w:rsidRPr="00FC0E00">
        <w:rPr>
          <w:rFonts w:ascii="Book Antiqua" w:eastAsia="等线" w:hAnsi="Book Antiqua" w:cs="Times New Roman"/>
          <w:b/>
          <w:kern w:val="2"/>
          <w:sz w:val="24"/>
          <w:szCs w:val="24"/>
          <w:lang w:val="en-US" w:eastAsia="zh-CN"/>
        </w:rPr>
        <w:t>Eshraghian</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Nikeghbalian</w:t>
      </w:r>
      <w:proofErr w:type="spellEnd"/>
      <w:r w:rsidRPr="00FC0E00">
        <w:rPr>
          <w:rFonts w:ascii="Book Antiqua" w:eastAsia="等线" w:hAnsi="Book Antiqua" w:cs="Times New Roman"/>
          <w:kern w:val="2"/>
          <w:sz w:val="24"/>
          <w:szCs w:val="24"/>
          <w:lang w:val="en-US" w:eastAsia="zh-CN"/>
        </w:rPr>
        <w:t xml:space="preserve"> S, </w:t>
      </w:r>
      <w:proofErr w:type="spellStart"/>
      <w:r w:rsidRPr="00FC0E00">
        <w:rPr>
          <w:rFonts w:ascii="Book Antiqua" w:eastAsia="等线" w:hAnsi="Book Antiqua" w:cs="Times New Roman"/>
          <w:kern w:val="2"/>
          <w:sz w:val="24"/>
          <w:szCs w:val="24"/>
          <w:lang w:val="en-US" w:eastAsia="zh-CN"/>
        </w:rPr>
        <w:t>Geramizadeh</w:t>
      </w:r>
      <w:proofErr w:type="spellEnd"/>
      <w:r w:rsidRPr="00FC0E00">
        <w:rPr>
          <w:rFonts w:ascii="Book Antiqua" w:eastAsia="等线" w:hAnsi="Book Antiqua" w:cs="Times New Roman"/>
          <w:kern w:val="2"/>
          <w:sz w:val="24"/>
          <w:szCs w:val="24"/>
          <w:lang w:val="en-US" w:eastAsia="zh-CN"/>
        </w:rPr>
        <w:t xml:space="preserve"> B, </w:t>
      </w:r>
      <w:proofErr w:type="spellStart"/>
      <w:r w:rsidRPr="00FC0E00">
        <w:rPr>
          <w:rFonts w:ascii="Book Antiqua" w:eastAsia="等线" w:hAnsi="Book Antiqua" w:cs="Times New Roman"/>
          <w:kern w:val="2"/>
          <w:sz w:val="24"/>
          <w:szCs w:val="24"/>
          <w:lang w:val="en-US" w:eastAsia="zh-CN"/>
        </w:rPr>
        <w:t>Kazemi</w:t>
      </w:r>
      <w:proofErr w:type="spellEnd"/>
      <w:r w:rsidRPr="00FC0E00">
        <w:rPr>
          <w:rFonts w:ascii="Book Antiqua" w:eastAsia="等线" w:hAnsi="Book Antiqua" w:cs="Times New Roman"/>
          <w:kern w:val="2"/>
          <w:sz w:val="24"/>
          <w:szCs w:val="24"/>
          <w:lang w:val="en-US" w:eastAsia="zh-CN"/>
        </w:rPr>
        <w:t xml:space="preserve"> K, </w:t>
      </w:r>
      <w:proofErr w:type="spellStart"/>
      <w:r w:rsidRPr="00FC0E00">
        <w:rPr>
          <w:rFonts w:ascii="Book Antiqua" w:eastAsia="等线" w:hAnsi="Book Antiqua" w:cs="Times New Roman"/>
          <w:kern w:val="2"/>
          <w:sz w:val="24"/>
          <w:szCs w:val="24"/>
          <w:lang w:val="en-US" w:eastAsia="zh-CN"/>
        </w:rPr>
        <w:t>Shamsaeefar</w:t>
      </w:r>
      <w:proofErr w:type="spellEnd"/>
      <w:r w:rsidRPr="00FC0E00">
        <w:rPr>
          <w:rFonts w:ascii="Book Antiqua" w:eastAsia="等线" w:hAnsi="Book Antiqua" w:cs="Times New Roman"/>
          <w:kern w:val="2"/>
          <w:sz w:val="24"/>
          <w:szCs w:val="24"/>
          <w:lang w:val="en-US" w:eastAsia="zh-CN"/>
        </w:rPr>
        <w:t xml:space="preserve"> A, </w:t>
      </w:r>
      <w:proofErr w:type="spellStart"/>
      <w:r w:rsidRPr="00FC0E00">
        <w:rPr>
          <w:rFonts w:ascii="Book Antiqua" w:eastAsia="等线" w:hAnsi="Book Antiqua" w:cs="Times New Roman"/>
          <w:kern w:val="2"/>
          <w:sz w:val="24"/>
          <w:szCs w:val="24"/>
          <w:lang w:val="en-US" w:eastAsia="zh-CN"/>
        </w:rPr>
        <w:t>Malek</w:t>
      </w:r>
      <w:proofErr w:type="spellEnd"/>
      <w:r w:rsidRPr="00FC0E00">
        <w:rPr>
          <w:rFonts w:ascii="Book Antiqua" w:eastAsia="等线" w:hAnsi="Book Antiqua" w:cs="Times New Roman"/>
          <w:kern w:val="2"/>
          <w:sz w:val="24"/>
          <w:szCs w:val="24"/>
          <w:lang w:val="en-US" w:eastAsia="zh-CN"/>
        </w:rPr>
        <w:t xml:space="preserve">-Hosseini SA. Characterization of biopsy proven non-alcoholic fatty liver disease in healthy non-obese and lean population of living liver donors: The impact of uric acid. </w:t>
      </w:r>
      <w:proofErr w:type="spellStart"/>
      <w:r w:rsidRPr="00FC0E00">
        <w:rPr>
          <w:rFonts w:ascii="Book Antiqua" w:eastAsia="等线" w:hAnsi="Book Antiqua" w:cs="Times New Roman"/>
          <w:i/>
          <w:kern w:val="2"/>
          <w:sz w:val="24"/>
          <w:szCs w:val="24"/>
          <w:lang w:val="en-US" w:eastAsia="zh-CN"/>
        </w:rPr>
        <w:t>Clin</w:t>
      </w:r>
      <w:proofErr w:type="spellEnd"/>
      <w:r w:rsidRPr="00FC0E00">
        <w:rPr>
          <w:rFonts w:ascii="Book Antiqua" w:eastAsia="等线" w:hAnsi="Book Antiqua" w:cs="Times New Roman"/>
          <w:i/>
          <w:kern w:val="2"/>
          <w:sz w:val="24"/>
          <w:szCs w:val="24"/>
          <w:lang w:val="en-US" w:eastAsia="zh-CN"/>
        </w:rPr>
        <w:t xml:space="preserve"> Res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Gastroenterol</w:t>
      </w:r>
      <w:proofErr w:type="spellEnd"/>
      <w:r w:rsidRPr="00FC0E00">
        <w:rPr>
          <w:rFonts w:ascii="Book Antiqua" w:eastAsia="等线" w:hAnsi="Book Antiqua" w:cs="Times New Roman"/>
          <w:kern w:val="2"/>
          <w:sz w:val="24"/>
          <w:szCs w:val="24"/>
          <w:lang w:val="en-US" w:eastAsia="zh-CN"/>
        </w:rPr>
        <w:t xml:space="preserve"> 2019 [PMID: 31611031 DOI: 10.1016/j.clinre.2019.09.002]</w:t>
      </w:r>
    </w:p>
    <w:p w14:paraId="4DE9DBD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lastRenderedPageBreak/>
        <w:t xml:space="preserve">27 </w:t>
      </w:r>
      <w:r w:rsidRPr="00FC0E00">
        <w:rPr>
          <w:rFonts w:ascii="Book Antiqua" w:eastAsia="等线" w:hAnsi="Book Antiqua" w:cs="Times New Roman"/>
          <w:b/>
          <w:kern w:val="2"/>
          <w:sz w:val="24"/>
          <w:szCs w:val="24"/>
          <w:lang w:val="en-US" w:eastAsia="zh-CN"/>
        </w:rPr>
        <w:t>Oral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Sahin</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Turker</w:t>
      </w:r>
      <w:proofErr w:type="spellEnd"/>
      <w:r w:rsidRPr="00FC0E00">
        <w:rPr>
          <w:rFonts w:ascii="Book Antiqua" w:eastAsia="等线" w:hAnsi="Book Antiqua" w:cs="Times New Roman"/>
          <w:kern w:val="2"/>
          <w:sz w:val="24"/>
          <w:szCs w:val="24"/>
          <w:lang w:val="en-US" w:eastAsia="zh-CN"/>
        </w:rPr>
        <w:t xml:space="preserve"> F, </w:t>
      </w:r>
      <w:proofErr w:type="spellStart"/>
      <w:r w:rsidRPr="00FC0E00">
        <w:rPr>
          <w:rFonts w:ascii="Book Antiqua" w:eastAsia="等线" w:hAnsi="Book Antiqua" w:cs="Times New Roman"/>
          <w:kern w:val="2"/>
          <w:sz w:val="24"/>
          <w:szCs w:val="24"/>
          <w:lang w:val="en-US" w:eastAsia="zh-CN"/>
        </w:rPr>
        <w:t>Kocak</w:t>
      </w:r>
      <w:proofErr w:type="spellEnd"/>
      <w:r w:rsidRPr="00FC0E00">
        <w:rPr>
          <w:rFonts w:ascii="Book Antiqua" w:eastAsia="等线" w:hAnsi="Book Antiqua" w:cs="Times New Roman"/>
          <w:kern w:val="2"/>
          <w:sz w:val="24"/>
          <w:szCs w:val="24"/>
          <w:lang w:val="en-US" w:eastAsia="zh-CN"/>
        </w:rPr>
        <w:t xml:space="preserve"> E. Relationship Between Serum Uric Acid Levels and Nonalcoholic Fatty Liver Disease in Non-Obese Patients. </w:t>
      </w:r>
      <w:proofErr w:type="spellStart"/>
      <w:r w:rsidRPr="00FC0E00">
        <w:rPr>
          <w:rFonts w:ascii="Book Antiqua" w:eastAsia="等线" w:hAnsi="Book Antiqua" w:cs="Times New Roman"/>
          <w:i/>
          <w:kern w:val="2"/>
          <w:sz w:val="24"/>
          <w:szCs w:val="24"/>
          <w:lang w:val="en-US" w:eastAsia="zh-CN"/>
        </w:rPr>
        <w:t>Medicina</w:t>
      </w:r>
      <w:proofErr w:type="spellEnd"/>
      <w:r w:rsidRPr="00FC0E00">
        <w:rPr>
          <w:rFonts w:ascii="Book Antiqua" w:eastAsia="等线" w:hAnsi="Book Antiqua" w:cs="Times New Roman"/>
          <w:i/>
          <w:kern w:val="2"/>
          <w:sz w:val="24"/>
          <w:szCs w:val="24"/>
          <w:lang w:val="en-US" w:eastAsia="zh-CN"/>
        </w:rPr>
        <w:t xml:space="preserve"> (Kaunas)</w:t>
      </w:r>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55</w:t>
      </w:r>
      <w:r w:rsidRPr="00FC0E00">
        <w:rPr>
          <w:rFonts w:ascii="Book Antiqua" w:eastAsia="等线" w:hAnsi="Book Antiqua" w:cs="Times New Roman"/>
          <w:kern w:val="2"/>
          <w:sz w:val="24"/>
          <w:szCs w:val="24"/>
          <w:lang w:val="en-US" w:eastAsia="zh-CN"/>
        </w:rPr>
        <w:t xml:space="preserve"> [PMID: 31533345 DOI: 10.3390/medicina55090600]</w:t>
      </w:r>
    </w:p>
    <w:p w14:paraId="1FA3A358"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28 </w:t>
      </w:r>
      <w:r w:rsidRPr="00FC0E00">
        <w:rPr>
          <w:rFonts w:ascii="Book Antiqua" w:eastAsia="等线" w:hAnsi="Book Antiqua" w:cs="Times New Roman"/>
          <w:b/>
          <w:kern w:val="2"/>
          <w:sz w:val="24"/>
          <w:szCs w:val="24"/>
          <w:lang w:val="en-US" w:eastAsia="zh-CN"/>
        </w:rPr>
        <w:t>Zheng X</w:t>
      </w:r>
      <w:r w:rsidRPr="00FC0E00">
        <w:rPr>
          <w:rFonts w:ascii="Book Antiqua" w:eastAsia="等线" w:hAnsi="Book Antiqua" w:cs="Times New Roman"/>
          <w:kern w:val="2"/>
          <w:sz w:val="24"/>
          <w:szCs w:val="24"/>
          <w:lang w:val="en-US" w:eastAsia="zh-CN"/>
        </w:rPr>
        <w:t xml:space="preserve">, Gong L, Luo R, Chen H, Peng B, Ren W, Wang Y. Serum uric acid and non-alcoholic fatty liver disease in non-obesity Chinese adults. </w:t>
      </w:r>
      <w:r w:rsidRPr="00FC0E00">
        <w:rPr>
          <w:rFonts w:ascii="Book Antiqua" w:eastAsia="等线" w:hAnsi="Book Antiqua" w:cs="Times New Roman"/>
          <w:i/>
          <w:kern w:val="2"/>
          <w:sz w:val="24"/>
          <w:szCs w:val="24"/>
          <w:lang w:val="en-US" w:eastAsia="zh-CN"/>
        </w:rPr>
        <w:t>Lipids Health Dis</w:t>
      </w:r>
      <w:r w:rsidRPr="00FC0E00">
        <w:rPr>
          <w:rFonts w:ascii="Book Antiqua" w:eastAsia="等线" w:hAnsi="Book Antiqua" w:cs="Times New Roman"/>
          <w:kern w:val="2"/>
          <w:sz w:val="24"/>
          <w:szCs w:val="24"/>
          <w:lang w:val="en-US" w:eastAsia="zh-CN"/>
        </w:rPr>
        <w:t xml:space="preserve"> 2017; </w:t>
      </w:r>
      <w:r w:rsidRPr="00FC0E00">
        <w:rPr>
          <w:rFonts w:ascii="Book Antiqua" w:eastAsia="等线" w:hAnsi="Book Antiqua" w:cs="Times New Roman"/>
          <w:b/>
          <w:kern w:val="2"/>
          <w:sz w:val="24"/>
          <w:szCs w:val="24"/>
          <w:lang w:val="en-US" w:eastAsia="zh-CN"/>
        </w:rPr>
        <w:t>16</w:t>
      </w:r>
      <w:r w:rsidRPr="00FC0E00">
        <w:rPr>
          <w:rFonts w:ascii="Book Antiqua" w:eastAsia="等线" w:hAnsi="Book Antiqua" w:cs="Times New Roman"/>
          <w:kern w:val="2"/>
          <w:sz w:val="24"/>
          <w:szCs w:val="24"/>
          <w:lang w:val="en-US" w:eastAsia="zh-CN"/>
        </w:rPr>
        <w:t>: 202 [PMID: 29037239 DOI: 10.1186/s12944-017-0531-5]</w:t>
      </w:r>
    </w:p>
    <w:p w14:paraId="63BE3172"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29 </w:t>
      </w:r>
      <w:proofErr w:type="spellStart"/>
      <w:r w:rsidRPr="00FC0E00">
        <w:rPr>
          <w:rFonts w:ascii="Book Antiqua" w:eastAsia="等线" w:hAnsi="Book Antiqua" w:cs="Times New Roman"/>
          <w:b/>
          <w:kern w:val="2"/>
          <w:sz w:val="24"/>
          <w:szCs w:val="24"/>
          <w:lang w:val="en-US" w:eastAsia="zh-CN"/>
        </w:rPr>
        <w:t>Klisic</w:t>
      </w:r>
      <w:proofErr w:type="spellEnd"/>
      <w:r w:rsidRPr="00FC0E00">
        <w:rPr>
          <w:rFonts w:ascii="Book Antiqua" w:eastAsia="等线" w:hAnsi="Book Antiqua" w:cs="Times New Roman"/>
          <w:b/>
          <w:kern w:val="2"/>
          <w:sz w:val="24"/>
          <w:szCs w:val="24"/>
          <w:lang w:val="en-US" w:eastAsia="zh-CN"/>
        </w:rPr>
        <w:t xml:space="preserve"> A</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Kavaric</w:t>
      </w:r>
      <w:proofErr w:type="spellEnd"/>
      <w:r w:rsidRPr="00FC0E00">
        <w:rPr>
          <w:rFonts w:ascii="Book Antiqua" w:eastAsia="等线" w:hAnsi="Book Antiqua" w:cs="Times New Roman"/>
          <w:kern w:val="2"/>
          <w:sz w:val="24"/>
          <w:szCs w:val="24"/>
          <w:lang w:val="en-US" w:eastAsia="zh-CN"/>
        </w:rPr>
        <w:t xml:space="preserve"> N, </w:t>
      </w:r>
      <w:proofErr w:type="spellStart"/>
      <w:r w:rsidRPr="00FC0E00">
        <w:rPr>
          <w:rFonts w:ascii="Book Antiqua" w:eastAsia="等线" w:hAnsi="Book Antiqua" w:cs="Times New Roman"/>
          <w:kern w:val="2"/>
          <w:sz w:val="24"/>
          <w:szCs w:val="24"/>
          <w:lang w:val="en-US" w:eastAsia="zh-CN"/>
        </w:rPr>
        <w:t>Ninic</w:t>
      </w:r>
      <w:proofErr w:type="spellEnd"/>
      <w:r w:rsidRPr="00FC0E00">
        <w:rPr>
          <w:rFonts w:ascii="Book Antiqua" w:eastAsia="等线" w:hAnsi="Book Antiqua" w:cs="Times New Roman"/>
          <w:kern w:val="2"/>
          <w:sz w:val="24"/>
          <w:szCs w:val="24"/>
          <w:lang w:val="en-US" w:eastAsia="zh-CN"/>
        </w:rPr>
        <w:t xml:space="preserve"> A. Predictive Values of Serum Uric Acid and Alanine-aminotransferase for Fatty Liver Index in Montenegrin Population. </w:t>
      </w:r>
      <w:r w:rsidRPr="00FC0E00">
        <w:rPr>
          <w:rFonts w:ascii="Book Antiqua" w:eastAsia="等线" w:hAnsi="Book Antiqua" w:cs="Times New Roman"/>
          <w:i/>
          <w:kern w:val="2"/>
          <w:sz w:val="24"/>
          <w:szCs w:val="24"/>
          <w:lang w:val="en-US" w:eastAsia="zh-CN"/>
        </w:rPr>
        <w:t xml:space="preserve">J Med </w:t>
      </w:r>
      <w:proofErr w:type="spellStart"/>
      <w:r w:rsidRPr="00FC0E00">
        <w:rPr>
          <w:rFonts w:ascii="Book Antiqua" w:eastAsia="等线" w:hAnsi="Book Antiqua" w:cs="Times New Roman"/>
          <w:i/>
          <w:kern w:val="2"/>
          <w:sz w:val="24"/>
          <w:szCs w:val="24"/>
          <w:lang w:val="en-US" w:eastAsia="zh-CN"/>
        </w:rPr>
        <w:t>Biochem</w:t>
      </w:r>
      <w:proofErr w:type="spellEnd"/>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38</w:t>
      </w:r>
      <w:r w:rsidRPr="00FC0E00">
        <w:rPr>
          <w:rFonts w:ascii="Book Antiqua" w:eastAsia="等线" w:hAnsi="Book Antiqua" w:cs="Times New Roman"/>
          <w:kern w:val="2"/>
          <w:sz w:val="24"/>
          <w:szCs w:val="24"/>
          <w:lang w:val="en-US" w:eastAsia="zh-CN"/>
        </w:rPr>
        <w:t>: 407-417 [PMID: 31496904 DOI: 10.2478/jomb-2019-0001]</w:t>
      </w:r>
    </w:p>
    <w:p w14:paraId="127BD16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30 </w:t>
      </w:r>
      <w:r w:rsidRPr="00FC0E00">
        <w:rPr>
          <w:rFonts w:ascii="Book Antiqua" w:eastAsia="等线" w:hAnsi="Book Antiqua" w:cs="Times New Roman"/>
          <w:b/>
          <w:kern w:val="2"/>
          <w:sz w:val="24"/>
          <w:szCs w:val="24"/>
          <w:lang w:val="en-US" w:eastAsia="zh-CN"/>
        </w:rPr>
        <w:t>Jensen T</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Niwa</w:t>
      </w:r>
      <w:proofErr w:type="spellEnd"/>
      <w:r w:rsidRPr="00FC0E00">
        <w:rPr>
          <w:rFonts w:ascii="Book Antiqua" w:eastAsia="等线" w:hAnsi="Book Antiqua" w:cs="Times New Roman"/>
          <w:kern w:val="2"/>
          <w:sz w:val="24"/>
          <w:szCs w:val="24"/>
          <w:lang w:val="en-US" w:eastAsia="zh-CN"/>
        </w:rPr>
        <w:t xml:space="preserve"> K, </w:t>
      </w:r>
      <w:proofErr w:type="spellStart"/>
      <w:r w:rsidRPr="00FC0E00">
        <w:rPr>
          <w:rFonts w:ascii="Book Antiqua" w:eastAsia="等线" w:hAnsi="Book Antiqua" w:cs="Times New Roman"/>
          <w:kern w:val="2"/>
          <w:sz w:val="24"/>
          <w:szCs w:val="24"/>
          <w:lang w:val="en-US" w:eastAsia="zh-CN"/>
        </w:rPr>
        <w:t>Hisatome</w:t>
      </w:r>
      <w:proofErr w:type="spellEnd"/>
      <w:r w:rsidRPr="00FC0E00">
        <w:rPr>
          <w:rFonts w:ascii="Book Antiqua" w:eastAsia="等线" w:hAnsi="Book Antiqua" w:cs="Times New Roman"/>
          <w:kern w:val="2"/>
          <w:sz w:val="24"/>
          <w:szCs w:val="24"/>
          <w:lang w:val="en-US" w:eastAsia="zh-CN"/>
        </w:rPr>
        <w:t xml:space="preserve"> I, </w:t>
      </w:r>
      <w:proofErr w:type="spellStart"/>
      <w:r w:rsidRPr="00FC0E00">
        <w:rPr>
          <w:rFonts w:ascii="Book Antiqua" w:eastAsia="等线" w:hAnsi="Book Antiqua" w:cs="Times New Roman"/>
          <w:kern w:val="2"/>
          <w:sz w:val="24"/>
          <w:szCs w:val="24"/>
          <w:lang w:val="en-US" w:eastAsia="zh-CN"/>
        </w:rPr>
        <w:t>Kanbay</w:t>
      </w:r>
      <w:proofErr w:type="spellEnd"/>
      <w:r w:rsidRPr="00FC0E00">
        <w:rPr>
          <w:rFonts w:ascii="Book Antiqua" w:eastAsia="等线" w:hAnsi="Book Antiqua" w:cs="Times New Roman"/>
          <w:kern w:val="2"/>
          <w:sz w:val="24"/>
          <w:szCs w:val="24"/>
          <w:lang w:val="en-US" w:eastAsia="zh-CN"/>
        </w:rPr>
        <w:t xml:space="preserve"> M, Andres-Hernando A, </w:t>
      </w:r>
      <w:proofErr w:type="spellStart"/>
      <w:r w:rsidRPr="00FC0E00">
        <w:rPr>
          <w:rFonts w:ascii="Book Antiqua" w:eastAsia="等线" w:hAnsi="Book Antiqua" w:cs="Times New Roman"/>
          <w:kern w:val="2"/>
          <w:sz w:val="24"/>
          <w:szCs w:val="24"/>
          <w:lang w:val="en-US" w:eastAsia="zh-CN"/>
        </w:rPr>
        <w:t>Roncal</w:t>
      </w:r>
      <w:proofErr w:type="spellEnd"/>
      <w:r w:rsidRPr="00FC0E00">
        <w:rPr>
          <w:rFonts w:ascii="Book Antiqua" w:eastAsia="等线" w:hAnsi="Book Antiqua" w:cs="Times New Roman"/>
          <w:kern w:val="2"/>
          <w:sz w:val="24"/>
          <w:szCs w:val="24"/>
          <w:lang w:val="en-US" w:eastAsia="zh-CN"/>
        </w:rPr>
        <w:t xml:space="preserve">-Jimenez CA, Sato Y, Garcia G, </w:t>
      </w:r>
      <w:proofErr w:type="spellStart"/>
      <w:r w:rsidRPr="00FC0E00">
        <w:rPr>
          <w:rFonts w:ascii="Book Antiqua" w:eastAsia="等线" w:hAnsi="Book Antiqua" w:cs="Times New Roman"/>
          <w:kern w:val="2"/>
          <w:sz w:val="24"/>
          <w:szCs w:val="24"/>
          <w:lang w:val="en-US" w:eastAsia="zh-CN"/>
        </w:rPr>
        <w:t>Ohno</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Lanaspa</w:t>
      </w:r>
      <w:proofErr w:type="spellEnd"/>
      <w:r w:rsidRPr="00FC0E00">
        <w:rPr>
          <w:rFonts w:ascii="Book Antiqua" w:eastAsia="等线" w:hAnsi="Book Antiqua" w:cs="Times New Roman"/>
          <w:kern w:val="2"/>
          <w:sz w:val="24"/>
          <w:szCs w:val="24"/>
          <w:lang w:val="en-US" w:eastAsia="zh-CN"/>
        </w:rPr>
        <w:t xml:space="preserve"> MA, Johnson RJ, </w:t>
      </w:r>
      <w:proofErr w:type="spellStart"/>
      <w:r w:rsidRPr="00FC0E00">
        <w:rPr>
          <w:rFonts w:ascii="Book Antiqua" w:eastAsia="等线" w:hAnsi="Book Antiqua" w:cs="Times New Roman"/>
          <w:kern w:val="2"/>
          <w:sz w:val="24"/>
          <w:szCs w:val="24"/>
          <w:lang w:val="en-US" w:eastAsia="zh-CN"/>
        </w:rPr>
        <w:t>Kuwabara</w:t>
      </w:r>
      <w:proofErr w:type="spellEnd"/>
      <w:r w:rsidRPr="00FC0E00">
        <w:rPr>
          <w:rFonts w:ascii="Book Antiqua" w:eastAsia="等线" w:hAnsi="Book Antiqua" w:cs="Times New Roman"/>
          <w:kern w:val="2"/>
          <w:sz w:val="24"/>
          <w:szCs w:val="24"/>
          <w:lang w:val="en-US" w:eastAsia="zh-CN"/>
        </w:rPr>
        <w:t xml:space="preserve"> M. Increased Serum Uric Acid over five years is a Risk Factor for Developing Fatty Liver.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t>8</w:t>
      </w:r>
      <w:r w:rsidRPr="00FC0E00">
        <w:rPr>
          <w:rFonts w:ascii="Book Antiqua" w:eastAsia="等线" w:hAnsi="Book Antiqua" w:cs="Times New Roman"/>
          <w:kern w:val="2"/>
          <w:sz w:val="24"/>
          <w:szCs w:val="24"/>
          <w:lang w:val="en-US" w:eastAsia="zh-CN"/>
        </w:rPr>
        <w:t>: 11735 [PMID: 30082907 DOI: 10.1038/s41598-018-30267-2]</w:t>
      </w:r>
    </w:p>
    <w:p w14:paraId="331C76D1"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31 </w:t>
      </w:r>
      <w:proofErr w:type="spellStart"/>
      <w:r w:rsidRPr="00FC0E00">
        <w:rPr>
          <w:rFonts w:ascii="Book Antiqua" w:eastAsia="等线" w:hAnsi="Book Antiqua" w:cs="Times New Roman"/>
          <w:b/>
          <w:kern w:val="2"/>
          <w:sz w:val="24"/>
          <w:szCs w:val="24"/>
          <w:lang w:val="en-US" w:eastAsia="zh-CN"/>
        </w:rPr>
        <w:t>Hanafy</w:t>
      </w:r>
      <w:proofErr w:type="spellEnd"/>
      <w:r w:rsidRPr="00FC0E00">
        <w:rPr>
          <w:rFonts w:ascii="Book Antiqua" w:eastAsia="等线" w:hAnsi="Book Antiqua" w:cs="Times New Roman"/>
          <w:b/>
          <w:kern w:val="2"/>
          <w:sz w:val="24"/>
          <w:szCs w:val="24"/>
          <w:lang w:val="en-US" w:eastAsia="zh-CN"/>
        </w:rPr>
        <w:t xml:space="preserve"> AS</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Seleem</w:t>
      </w:r>
      <w:proofErr w:type="spellEnd"/>
      <w:r w:rsidRPr="00FC0E00">
        <w:rPr>
          <w:rFonts w:ascii="Book Antiqua" w:eastAsia="等线" w:hAnsi="Book Antiqua" w:cs="Times New Roman"/>
          <w:kern w:val="2"/>
          <w:sz w:val="24"/>
          <w:szCs w:val="24"/>
          <w:lang w:val="en-US" w:eastAsia="zh-CN"/>
        </w:rPr>
        <w:t xml:space="preserve"> WM, El-</w:t>
      </w:r>
      <w:proofErr w:type="spellStart"/>
      <w:r w:rsidRPr="00FC0E00">
        <w:rPr>
          <w:rFonts w:ascii="Book Antiqua" w:eastAsia="等线" w:hAnsi="Book Antiqua" w:cs="Times New Roman"/>
          <w:kern w:val="2"/>
          <w:sz w:val="24"/>
          <w:szCs w:val="24"/>
          <w:lang w:val="en-US" w:eastAsia="zh-CN"/>
        </w:rPr>
        <w:t>Kalla</w:t>
      </w:r>
      <w:proofErr w:type="spellEnd"/>
      <w:r w:rsidRPr="00FC0E00">
        <w:rPr>
          <w:rFonts w:ascii="Book Antiqua" w:eastAsia="等线" w:hAnsi="Book Antiqua" w:cs="Times New Roman"/>
          <w:kern w:val="2"/>
          <w:sz w:val="24"/>
          <w:szCs w:val="24"/>
          <w:lang w:val="en-US" w:eastAsia="zh-CN"/>
        </w:rPr>
        <w:t xml:space="preserve"> F, </w:t>
      </w:r>
      <w:proofErr w:type="spellStart"/>
      <w:r w:rsidRPr="00FC0E00">
        <w:rPr>
          <w:rFonts w:ascii="Book Antiqua" w:eastAsia="等线" w:hAnsi="Book Antiqua" w:cs="Times New Roman"/>
          <w:kern w:val="2"/>
          <w:sz w:val="24"/>
          <w:szCs w:val="24"/>
          <w:lang w:val="en-US" w:eastAsia="zh-CN"/>
        </w:rPr>
        <w:t>AbdAlkhalik</w:t>
      </w:r>
      <w:proofErr w:type="spellEnd"/>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Basha</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Abd-Elsalam</w:t>
      </w:r>
      <w:proofErr w:type="spellEnd"/>
      <w:r w:rsidRPr="00FC0E00">
        <w:rPr>
          <w:rFonts w:ascii="Book Antiqua" w:eastAsia="等线" w:hAnsi="Book Antiqua" w:cs="Times New Roman"/>
          <w:kern w:val="2"/>
          <w:sz w:val="24"/>
          <w:szCs w:val="24"/>
          <w:lang w:val="en-US" w:eastAsia="zh-CN"/>
        </w:rPr>
        <w:t xml:space="preserve"> S. Efficacy of a non-invasive model in predicting the cardiovascular morbidity and histological severity in non-alcoholic fatty liver disease. </w:t>
      </w:r>
      <w:r w:rsidRPr="00FC0E00">
        <w:rPr>
          <w:rFonts w:ascii="Book Antiqua" w:eastAsia="等线" w:hAnsi="Book Antiqua" w:cs="Times New Roman"/>
          <w:i/>
          <w:kern w:val="2"/>
          <w:sz w:val="24"/>
          <w:szCs w:val="24"/>
          <w:lang w:val="en-US" w:eastAsia="zh-CN"/>
        </w:rPr>
        <w:t xml:space="preserve">Diabetes </w:t>
      </w:r>
      <w:proofErr w:type="spellStart"/>
      <w:r w:rsidRPr="00FC0E00">
        <w:rPr>
          <w:rFonts w:ascii="Book Antiqua" w:eastAsia="等线" w:hAnsi="Book Antiqua" w:cs="Times New Roman"/>
          <w:i/>
          <w:kern w:val="2"/>
          <w:sz w:val="24"/>
          <w:szCs w:val="24"/>
          <w:lang w:val="en-US" w:eastAsia="zh-CN"/>
        </w:rPr>
        <w:t>Metab</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Syndr</w:t>
      </w:r>
      <w:proofErr w:type="spellEnd"/>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13</w:t>
      </w:r>
      <w:r w:rsidRPr="00FC0E00">
        <w:rPr>
          <w:rFonts w:ascii="Book Antiqua" w:eastAsia="等线" w:hAnsi="Book Antiqua" w:cs="Times New Roman"/>
          <w:kern w:val="2"/>
          <w:sz w:val="24"/>
          <w:szCs w:val="24"/>
          <w:lang w:val="en-US" w:eastAsia="zh-CN"/>
        </w:rPr>
        <w:t>: 2272-2278 [PMID: 31235168 DOI: 10.1016/j.dsx.2019.05.032]</w:t>
      </w:r>
    </w:p>
    <w:p w14:paraId="6606FE1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32 </w:t>
      </w:r>
      <w:proofErr w:type="spellStart"/>
      <w:r w:rsidRPr="00FC0E00">
        <w:rPr>
          <w:rFonts w:ascii="Book Antiqua" w:eastAsia="等线" w:hAnsi="Book Antiqua" w:cs="Times New Roman"/>
          <w:b/>
          <w:kern w:val="2"/>
          <w:sz w:val="24"/>
          <w:szCs w:val="24"/>
          <w:lang w:val="en-US" w:eastAsia="zh-CN"/>
        </w:rPr>
        <w:t>Culafic</w:t>
      </w:r>
      <w:proofErr w:type="spellEnd"/>
      <w:r w:rsidRPr="00FC0E00">
        <w:rPr>
          <w:rFonts w:ascii="Book Antiqua" w:eastAsia="等线" w:hAnsi="Book Antiqua" w:cs="Times New Roman"/>
          <w:b/>
          <w:kern w:val="2"/>
          <w:sz w:val="24"/>
          <w:szCs w:val="24"/>
          <w:lang w:val="en-US" w:eastAsia="zh-CN"/>
        </w:rPr>
        <w:t xml:space="preserve"> M</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Vezmar</w:t>
      </w:r>
      <w:proofErr w:type="spellEnd"/>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Kovacevic</w:t>
      </w:r>
      <w:proofErr w:type="spellEnd"/>
      <w:r w:rsidRPr="00FC0E00">
        <w:rPr>
          <w:rFonts w:ascii="Book Antiqua" w:eastAsia="等线" w:hAnsi="Book Antiqua" w:cs="Times New Roman"/>
          <w:kern w:val="2"/>
          <w:sz w:val="24"/>
          <w:szCs w:val="24"/>
          <w:lang w:val="en-US" w:eastAsia="zh-CN"/>
        </w:rPr>
        <w:t xml:space="preserve"> S, </w:t>
      </w:r>
      <w:proofErr w:type="spellStart"/>
      <w:r w:rsidRPr="00FC0E00">
        <w:rPr>
          <w:rFonts w:ascii="Book Antiqua" w:eastAsia="等线" w:hAnsi="Book Antiqua" w:cs="Times New Roman"/>
          <w:kern w:val="2"/>
          <w:sz w:val="24"/>
          <w:szCs w:val="24"/>
          <w:lang w:val="en-US" w:eastAsia="zh-CN"/>
        </w:rPr>
        <w:t>Dopsaj</w:t>
      </w:r>
      <w:proofErr w:type="spellEnd"/>
      <w:r w:rsidRPr="00FC0E00">
        <w:rPr>
          <w:rFonts w:ascii="Book Antiqua" w:eastAsia="等线" w:hAnsi="Book Antiqua" w:cs="Times New Roman"/>
          <w:kern w:val="2"/>
          <w:sz w:val="24"/>
          <w:szCs w:val="24"/>
          <w:lang w:val="en-US" w:eastAsia="zh-CN"/>
        </w:rPr>
        <w:t xml:space="preserve"> V, </w:t>
      </w:r>
      <w:proofErr w:type="spellStart"/>
      <w:r w:rsidRPr="00FC0E00">
        <w:rPr>
          <w:rFonts w:ascii="Book Antiqua" w:eastAsia="等线" w:hAnsi="Book Antiqua" w:cs="Times New Roman"/>
          <w:kern w:val="2"/>
          <w:sz w:val="24"/>
          <w:szCs w:val="24"/>
          <w:lang w:val="en-US" w:eastAsia="zh-CN"/>
        </w:rPr>
        <w:t>Stulic</w:t>
      </w:r>
      <w:proofErr w:type="spellEnd"/>
      <w:r w:rsidRPr="00FC0E00">
        <w:rPr>
          <w:rFonts w:ascii="Book Antiqua" w:eastAsia="等线" w:hAnsi="Book Antiqua" w:cs="Times New Roman"/>
          <w:kern w:val="2"/>
          <w:sz w:val="24"/>
          <w:szCs w:val="24"/>
          <w:lang w:val="en-US" w:eastAsia="zh-CN"/>
        </w:rPr>
        <w:t xml:space="preserve"> M, </w:t>
      </w:r>
      <w:proofErr w:type="spellStart"/>
      <w:r w:rsidRPr="00FC0E00">
        <w:rPr>
          <w:rFonts w:ascii="Book Antiqua" w:eastAsia="等线" w:hAnsi="Book Antiqua" w:cs="Times New Roman"/>
          <w:kern w:val="2"/>
          <w:sz w:val="24"/>
          <w:szCs w:val="24"/>
          <w:lang w:val="en-US" w:eastAsia="zh-CN"/>
        </w:rPr>
        <w:t>Vlaisavljevic</w:t>
      </w:r>
      <w:proofErr w:type="spellEnd"/>
      <w:r w:rsidRPr="00FC0E00">
        <w:rPr>
          <w:rFonts w:ascii="Book Antiqua" w:eastAsia="等线" w:hAnsi="Book Antiqua" w:cs="Times New Roman"/>
          <w:kern w:val="2"/>
          <w:sz w:val="24"/>
          <w:szCs w:val="24"/>
          <w:lang w:val="en-US" w:eastAsia="zh-CN"/>
        </w:rPr>
        <w:t xml:space="preserve"> Z, </w:t>
      </w:r>
      <w:proofErr w:type="spellStart"/>
      <w:r w:rsidRPr="00FC0E00">
        <w:rPr>
          <w:rFonts w:ascii="Book Antiqua" w:eastAsia="等线" w:hAnsi="Book Antiqua" w:cs="Times New Roman"/>
          <w:kern w:val="2"/>
          <w:sz w:val="24"/>
          <w:szCs w:val="24"/>
          <w:lang w:val="en-US" w:eastAsia="zh-CN"/>
        </w:rPr>
        <w:t>Miljkovic</w:t>
      </w:r>
      <w:proofErr w:type="spellEnd"/>
      <w:r w:rsidRPr="00FC0E00">
        <w:rPr>
          <w:rFonts w:ascii="Book Antiqua" w:eastAsia="等线" w:hAnsi="Book Antiqua" w:cs="Times New Roman"/>
          <w:kern w:val="2"/>
          <w:sz w:val="24"/>
          <w:szCs w:val="24"/>
          <w:lang w:val="en-US" w:eastAsia="zh-CN"/>
        </w:rPr>
        <w:t xml:space="preserve"> B, </w:t>
      </w:r>
      <w:proofErr w:type="spellStart"/>
      <w:r w:rsidRPr="00FC0E00">
        <w:rPr>
          <w:rFonts w:ascii="Book Antiqua" w:eastAsia="等线" w:hAnsi="Book Antiqua" w:cs="Times New Roman"/>
          <w:kern w:val="2"/>
          <w:sz w:val="24"/>
          <w:szCs w:val="24"/>
          <w:lang w:val="en-US" w:eastAsia="zh-CN"/>
        </w:rPr>
        <w:t>Culafic</w:t>
      </w:r>
      <w:proofErr w:type="spellEnd"/>
      <w:r w:rsidRPr="00FC0E00">
        <w:rPr>
          <w:rFonts w:ascii="Book Antiqua" w:eastAsia="等线" w:hAnsi="Book Antiqua" w:cs="Times New Roman"/>
          <w:kern w:val="2"/>
          <w:sz w:val="24"/>
          <w:szCs w:val="24"/>
          <w:lang w:val="en-US" w:eastAsia="zh-CN"/>
        </w:rPr>
        <w:t xml:space="preserve"> D. A Simple Index for Nonalcoholic Steatohepatitis-HUFA-Based on Routinely Performed Blood Tests. </w:t>
      </w:r>
      <w:proofErr w:type="spellStart"/>
      <w:r w:rsidRPr="00FC0E00">
        <w:rPr>
          <w:rFonts w:ascii="Book Antiqua" w:eastAsia="等线" w:hAnsi="Book Antiqua" w:cs="Times New Roman"/>
          <w:i/>
          <w:kern w:val="2"/>
          <w:sz w:val="24"/>
          <w:szCs w:val="24"/>
          <w:lang w:val="en-US" w:eastAsia="zh-CN"/>
        </w:rPr>
        <w:t>Medicina</w:t>
      </w:r>
      <w:proofErr w:type="spellEnd"/>
      <w:r w:rsidRPr="00FC0E00">
        <w:rPr>
          <w:rFonts w:ascii="Book Antiqua" w:eastAsia="等线" w:hAnsi="Book Antiqua" w:cs="Times New Roman"/>
          <w:i/>
          <w:kern w:val="2"/>
          <w:sz w:val="24"/>
          <w:szCs w:val="24"/>
          <w:lang w:val="en-US" w:eastAsia="zh-CN"/>
        </w:rPr>
        <w:t xml:space="preserve"> (Kaunas)</w:t>
      </w:r>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55</w:t>
      </w:r>
      <w:r w:rsidRPr="00FC0E00">
        <w:rPr>
          <w:rFonts w:ascii="Book Antiqua" w:eastAsia="等线" w:hAnsi="Book Antiqua" w:cs="Times New Roman"/>
          <w:kern w:val="2"/>
          <w:sz w:val="24"/>
          <w:szCs w:val="24"/>
          <w:lang w:val="en-US" w:eastAsia="zh-CN"/>
        </w:rPr>
        <w:t xml:space="preserve"> [PMID: 31163711 DOI: 10.3390/medicina55060243]</w:t>
      </w:r>
    </w:p>
    <w:p w14:paraId="354E0A0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33 </w:t>
      </w:r>
      <w:proofErr w:type="spellStart"/>
      <w:r w:rsidRPr="00FC0E00">
        <w:rPr>
          <w:rFonts w:ascii="Book Antiqua" w:eastAsia="等线" w:hAnsi="Book Antiqua" w:cs="Times New Roman"/>
          <w:b/>
          <w:kern w:val="2"/>
          <w:sz w:val="24"/>
          <w:szCs w:val="24"/>
          <w:lang w:val="en-US" w:eastAsia="zh-CN"/>
        </w:rPr>
        <w:t>Younossi</w:t>
      </w:r>
      <w:proofErr w:type="spellEnd"/>
      <w:r w:rsidRPr="00FC0E00">
        <w:rPr>
          <w:rFonts w:ascii="Book Antiqua" w:eastAsia="等线" w:hAnsi="Book Antiqua" w:cs="Times New Roman"/>
          <w:b/>
          <w:kern w:val="2"/>
          <w:sz w:val="24"/>
          <w:szCs w:val="24"/>
          <w:lang w:val="en-US" w:eastAsia="zh-CN"/>
        </w:rPr>
        <w:t xml:space="preserve"> ZM</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Stepanova</w:t>
      </w:r>
      <w:proofErr w:type="spellEnd"/>
      <w:r w:rsidRPr="00FC0E00">
        <w:rPr>
          <w:rFonts w:ascii="Book Antiqua" w:eastAsia="等线" w:hAnsi="Book Antiqua" w:cs="Times New Roman"/>
          <w:kern w:val="2"/>
          <w:sz w:val="24"/>
          <w:szCs w:val="24"/>
          <w:lang w:val="en-US" w:eastAsia="zh-CN"/>
        </w:rPr>
        <w:t xml:space="preserve"> M, Negro F, </w:t>
      </w:r>
      <w:proofErr w:type="spellStart"/>
      <w:r w:rsidRPr="00FC0E00">
        <w:rPr>
          <w:rFonts w:ascii="Book Antiqua" w:eastAsia="等线" w:hAnsi="Book Antiqua" w:cs="Times New Roman"/>
          <w:kern w:val="2"/>
          <w:sz w:val="24"/>
          <w:szCs w:val="24"/>
          <w:lang w:val="en-US" w:eastAsia="zh-CN"/>
        </w:rPr>
        <w:t>Hallaji</w:t>
      </w:r>
      <w:proofErr w:type="spellEnd"/>
      <w:r w:rsidRPr="00FC0E00">
        <w:rPr>
          <w:rFonts w:ascii="Book Antiqua" w:eastAsia="等线" w:hAnsi="Book Antiqua" w:cs="Times New Roman"/>
          <w:kern w:val="2"/>
          <w:sz w:val="24"/>
          <w:szCs w:val="24"/>
          <w:lang w:val="en-US" w:eastAsia="zh-CN"/>
        </w:rPr>
        <w:t xml:space="preserve"> S, </w:t>
      </w:r>
      <w:proofErr w:type="spellStart"/>
      <w:r w:rsidRPr="00FC0E00">
        <w:rPr>
          <w:rFonts w:ascii="Book Antiqua" w:eastAsia="等线" w:hAnsi="Book Antiqua" w:cs="Times New Roman"/>
          <w:kern w:val="2"/>
          <w:sz w:val="24"/>
          <w:szCs w:val="24"/>
          <w:lang w:val="en-US" w:eastAsia="zh-CN"/>
        </w:rPr>
        <w:t>Younossi</w:t>
      </w:r>
      <w:proofErr w:type="spellEnd"/>
      <w:r w:rsidRPr="00FC0E00">
        <w:rPr>
          <w:rFonts w:ascii="Book Antiqua" w:eastAsia="等线" w:hAnsi="Book Antiqua" w:cs="Times New Roman"/>
          <w:kern w:val="2"/>
          <w:sz w:val="24"/>
          <w:szCs w:val="24"/>
          <w:lang w:val="en-US" w:eastAsia="zh-CN"/>
        </w:rPr>
        <w:t xml:space="preserve"> Y, Lam B, </w:t>
      </w:r>
      <w:proofErr w:type="spellStart"/>
      <w:r w:rsidRPr="00FC0E00">
        <w:rPr>
          <w:rFonts w:ascii="Book Antiqua" w:eastAsia="等线" w:hAnsi="Book Antiqua" w:cs="Times New Roman"/>
          <w:kern w:val="2"/>
          <w:sz w:val="24"/>
          <w:szCs w:val="24"/>
          <w:lang w:val="en-US" w:eastAsia="zh-CN"/>
        </w:rPr>
        <w:t>Srishord</w:t>
      </w:r>
      <w:proofErr w:type="spellEnd"/>
      <w:r w:rsidRPr="00FC0E00">
        <w:rPr>
          <w:rFonts w:ascii="Book Antiqua" w:eastAsia="等线" w:hAnsi="Book Antiqua" w:cs="Times New Roman"/>
          <w:kern w:val="2"/>
          <w:sz w:val="24"/>
          <w:szCs w:val="24"/>
          <w:lang w:val="en-US" w:eastAsia="zh-CN"/>
        </w:rPr>
        <w:t xml:space="preserve"> M. Nonalcoholic fatty liver disease in lean individuals in the United States. </w:t>
      </w:r>
      <w:r w:rsidRPr="00FC0E00">
        <w:rPr>
          <w:rFonts w:ascii="Book Antiqua" w:eastAsia="等线" w:hAnsi="Book Antiqua" w:cs="Times New Roman"/>
          <w:i/>
          <w:kern w:val="2"/>
          <w:sz w:val="24"/>
          <w:szCs w:val="24"/>
          <w:lang w:val="en-US" w:eastAsia="zh-CN"/>
        </w:rPr>
        <w:t>Medicine (Baltimore)</w:t>
      </w:r>
      <w:r w:rsidRPr="00FC0E00">
        <w:rPr>
          <w:rFonts w:ascii="Book Antiqua" w:eastAsia="等线" w:hAnsi="Book Antiqua" w:cs="Times New Roman"/>
          <w:kern w:val="2"/>
          <w:sz w:val="24"/>
          <w:szCs w:val="24"/>
          <w:lang w:val="en-US" w:eastAsia="zh-CN"/>
        </w:rPr>
        <w:t xml:space="preserve"> 2012; </w:t>
      </w:r>
      <w:r w:rsidRPr="00FC0E00">
        <w:rPr>
          <w:rFonts w:ascii="Book Antiqua" w:eastAsia="等线" w:hAnsi="Book Antiqua" w:cs="Times New Roman"/>
          <w:b/>
          <w:kern w:val="2"/>
          <w:sz w:val="24"/>
          <w:szCs w:val="24"/>
          <w:lang w:val="en-US" w:eastAsia="zh-CN"/>
        </w:rPr>
        <w:t>91</w:t>
      </w:r>
      <w:r w:rsidRPr="00FC0E00">
        <w:rPr>
          <w:rFonts w:ascii="Book Antiqua" w:eastAsia="等线" w:hAnsi="Book Antiqua" w:cs="Times New Roman"/>
          <w:kern w:val="2"/>
          <w:sz w:val="24"/>
          <w:szCs w:val="24"/>
          <w:lang w:val="en-US" w:eastAsia="zh-CN"/>
        </w:rPr>
        <w:t>: 319-327 [PMID: 23117851 DOI: 10.1097/MD.0b013e3182779d49]</w:t>
      </w:r>
    </w:p>
    <w:p w14:paraId="0DE464D3"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34 </w:t>
      </w:r>
      <w:r w:rsidRPr="00FC0E00">
        <w:rPr>
          <w:rFonts w:ascii="Book Antiqua" w:eastAsia="等线" w:hAnsi="Book Antiqua" w:cs="Times New Roman"/>
          <w:b/>
          <w:kern w:val="2"/>
          <w:sz w:val="24"/>
          <w:szCs w:val="24"/>
          <w:lang w:val="en-US" w:eastAsia="zh-CN"/>
        </w:rPr>
        <w:t>Browning JD</w:t>
      </w:r>
      <w:r w:rsidRPr="00FC0E00">
        <w:rPr>
          <w:rFonts w:ascii="Book Antiqua" w:eastAsia="等线" w:hAnsi="Book Antiqua" w:cs="Times New Roman"/>
          <w:kern w:val="2"/>
          <w:sz w:val="24"/>
          <w:szCs w:val="24"/>
          <w:lang w:val="en-US" w:eastAsia="zh-CN"/>
        </w:rPr>
        <w:t xml:space="preserve">, </w:t>
      </w:r>
      <w:proofErr w:type="spellStart"/>
      <w:r w:rsidRPr="00FC0E00">
        <w:rPr>
          <w:rFonts w:ascii="Book Antiqua" w:eastAsia="等线" w:hAnsi="Book Antiqua" w:cs="Times New Roman"/>
          <w:kern w:val="2"/>
          <w:sz w:val="24"/>
          <w:szCs w:val="24"/>
          <w:lang w:val="en-US" w:eastAsia="zh-CN"/>
        </w:rPr>
        <w:t>Szczepaniak</w:t>
      </w:r>
      <w:proofErr w:type="spellEnd"/>
      <w:r w:rsidRPr="00FC0E00">
        <w:rPr>
          <w:rFonts w:ascii="Book Antiqua" w:eastAsia="等线" w:hAnsi="Book Antiqua" w:cs="Times New Roman"/>
          <w:kern w:val="2"/>
          <w:sz w:val="24"/>
          <w:szCs w:val="24"/>
          <w:lang w:val="en-US" w:eastAsia="zh-CN"/>
        </w:rPr>
        <w:t xml:space="preserve"> LS, Dobbins R, Nuremberg P, Horton JD, Cohen JC, Grundy SM, Hobbs HH. Prevalence of hepatic steatosis in an urban population in the United States: impact of ethnicity. </w:t>
      </w:r>
      <w:r w:rsidRPr="00FC0E00">
        <w:rPr>
          <w:rFonts w:ascii="Book Antiqua" w:eastAsia="等线" w:hAnsi="Book Antiqua" w:cs="Times New Roman"/>
          <w:i/>
          <w:kern w:val="2"/>
          <w:sz w:val="24"/>
          <w:szCs w:val="24"/>
          <w:lang w:val="en-US" w:eastAsia="zh-CN"/>
        </w:rPr>
        <w:t>Hepatology</w:t>
      </w:r>
      <w:r w:rsidRPr="00FC0E00">
        <w:rPr>
          <w:rFonts w:ascii="Book Antiqua" w:eastAsia="等线" w:hAnsi="Book Antiqua" w:cs="Times New Roman"/>
          <w:kern w:val="2"/>
          <w:sz w:val="24"/>
          <w:szCs w:val="24"/>
          <w:lang w:val="en-US" w:eastAsia="zh-CN"/>
        </w:rPr>
        <w:t xml:space="preserve"> 2004; </w:t>
      </w:r>
      <w:r w:rsidRPr="00FC0E00">
        <w:rPr>
          <w:rFonts w:ascii="Book Antiqua" w:eastAsia="等线" w:hAnsi="Book Antiqua" w:cs="Times New Roman"/>
          <w:b/>
          <w:kern w:val="2"/>
          <w:sz w:val="24"/>
          <w:szCs w:val="24"/>
          <w:lang w:val="en-US" w:eastAsia="zh-CN"/>
        </w:rPr>
        <w:t>40</w:t>
      </w:r>
      <w:r w:rsidRPr="00FC0E00">
        <w:rPr>
          <w:rFonts w:ascii="Book Antiqua" w:eastAsia="等线" w:hAnsi="Book Antiqua" w:cs="Times New Roman"/>
          <w:kern w:val="2"/>
          <w:sz w:val="24"/>
          <w:szCs w:val="24"/>
          <w:lang w:val="en-US" w:eastAsia="zh-CN"/>
        </w:rPr>
        <w:t>: 1387-1395 [PMID: 15565570 DOI: 10.1002/hep.20466]</w:t>
      </w:r>
    </w:p>
    <w:p w14:paraId="0DFCACCD"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35 </w:t>
      </w:r>
      <w:r w:rsidRPr="00FC0E00">
        <w:rPr>
          <w:rFonts w:ascii="Book Antiqua" w:eastAsia="等线" w:hAnsi="Book Antiqua" w:cs="Times New Roman"/>
          <w:b/>
          <w:kern w:val="2"/>
          <w:sz w:val="24"/>
          <w:szCs w:val="24"/>
          <w:lang w:val="en-US" w:eastAsia="zh-CN"/>
        </w:rPr>
        <w:t>Wei JL</w:t>
      </w:r>
      <w:r w:rsidRPr="00FC0E00">
        <w:rPr>
          <w:rFonts w:ascii="Book Antiqua" w:eastAsia="等线" w:hAnsi="Book Antiqua" w:cs="Times New Roman"/>
          <w:kern w:val="2"/>
          <w:sz w:val="24"/>
          <w:szCs w:val="24"/>
          <w:lang w:val="en-US" w:eastAsia="zh-CN"/>
        </w:rPr>
        <w:t xml:space="preserve">, Leung JC, Loong TC, Wong GL, Yeung DK, Chan RS, Chan HL, </w:t>
      </w:r>
      <w:proofErr w:type="spellStart"/>
      <w:r w:rsidRPr="00FC0E00">
        <w:rPr>
          <w:rFonts w:ascii="Book Antiqua" w:eastAsia="等线" w:hAnsi="Book Antiqua" w:cs="Times New Roman"/>
          <w:kern w:val="2"/>
          <w:sz w:val="24"/>
          <w:szCs w:val="24"/>
          <w:lang w:val="en-US" w:eastAsia="zh-CN"/>
        </w:rPr>
        <w:lastRenderedPageBreak/>
        <w:t>Chim</w:t>
      </w:r>
      <w:proofErr w:type="spellEnd"/>
      <w:r w:rsidRPr="00FC0E00">
        <w:rPr>
          <w:rFonts w:ascii="Book Antiqua" w:eastAsia="等线" w:hAnsi="Book Antiqua" w:cs="Times New Roman"/>
          <w:kern w:val="2"/>
          <w:sz w:val="24"/>
          <w:szCs w:val="24"/>
          <w:lang w:val="en-US" w:eastAsia="zh-CN"/>
        </w:rPr>
        <w:t xml:space="preserve"> AM, Woo J, Chu WC, Wong VW. Prevalence and Severity of Nonalcoholic Fatty Liver Disease in Non-Obese Patients: A Population Study Using Proton-Magnetic Resonance Spectroscopy. </w:t>
      </w:r>
      <w:r w:rsidRPr="00FC0E00">
        <w:rPr>
          <w:rFonts w:ascii="Book Antiqua" w:eastAsia="等线" w:hAnsi="Book Antiqua" w:cs="Times New Roman"/>
          <w:i/>
          <w:kern w:val="2"/>
          <w:sz w:val="24"/>
          <w:szCs w:val="24"/>
          <w:lang w:val="en-US" w:eastAsia="zh-CN"/>
        </w:rPr>
        <w:t>Am J Gastroenterol</w:t>
      </w:r>
      <w:r w:rsidRPr="00FC0E00">
        <w:rPr>
          <w:rFonts w:ascii="Book Antiqua" w:eastAsia="等线" w:hAnsi="Book Antiqua" w:cs="Times New Roman"/>
          <w:kern w:val="2"/>
          <w:sz w:val="24"/>
          <w:szCs w:val="24"/>
          <w:lang w:val="en-US" w:eastAsia="zh-CN"/>
        </w:rPr>
        <w:t xml:space="preserve"> 2015; </w:t>
      </w:r>
      <w:r w:rsidRPr="00FC0E00">
        <w:rPr>
          <w:rFonts w:ascii="Book Antiqua" w:eastAsia="等线" w:hAnsi="Book Antiqua" w:cs="Times New Roman"/>
          <w:b/>
          <w:kern w:val="2"/>
          <w:sz w:val="24"/>
          <w:szCs w:val="24"/>
          <w:lang w:val="en-US" w:eastAsia="zh-CN"/>
        </w:rPr>
        <w:t>110</w:t>
      </w:r>
      <w:r w:rsidRPr="00FC0E00">
        <w:rPr>
          <w:rFonts w:ascii="Book Antiqua" w:eastAsia="等线" w:hAnsi="Book Antiqua" w:cs="Times New Roman"/>
          <w:kern w:val="2"/>
          <w:sz w:val="24"/>
          <w:szCs w:val="24"/>
          <w:lang w:val="en-US" w:eastAsia="zh-CN"/>
        </w:rPr>
        <w:t>: 1306-14; quiz 1315 [PMID: 26215532 DOI: 10.1038/ajg.2015.235]</w:t>
      </w:r>
    </w:p>
    <w:p w14:paraId="317DE627"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36 </w:t>
      </w:r>
      <w:proofErr w:type="spellStart"/>
      <w:r w:rsidRPr="00FC0E00">
        <w:rPr>
          <w:rFonts w:ascii="Book Antiqua" w:eastAsia="等线" w:hAnsi="Book Antiqua" w:cs="Times New Roman"/>
          <w:b/>
          <w:kern w:val="2"/>
          <w:sz w:val="24"/>
          <w:szCs w:val="24"/>
          <w:lang w:val="en-US" w:eastAsia="zh-CN"/>
        </w:rPr>
        <w:t>Amarapurkar</w:t>
      </w:r>
      <w:proofErr w:type="spellEnd"/>
      <w:r w:rsidRPr="00FC0E00">
        <w:rPr>
          <w:rFonts w:ascii="Book Antiqua" w:eastAsia="等线" w:hAnsi="Book Antiqua" w:cs="Times New Roman"/>
          <w:b/>
          <w:kern w:val="2"/>
          <w:sz w:val="24"/>
          <w:szCs w:val="24"/>
          <w:lang w:val="en-US" w:eastAsia="zh-CN"/>
        </w:rPr>
        <w:t xml:space="preserve"> DN</w:t>
      </w:r>
      <w:r w:rsidRPr="00FC0E00">
        <w:rPr>
          <w:rFonts w:ascii="Book Antiqua" w:eastAsia="等线" w:hAnsi="Book Antiqua" w:cs="Times New Roman"/>
          <w:kern w:val="2"/>
          <w:sz w:val="24"/>
          <w:szCs w:val="24"/>
          <w:lang w:val="en-US" w:eastAsia="zh-CN"/>
        </w:rPr>
        <w:t xml:space="preserve">, Hashimoto E, </w:t>
      </w:r>
      <w:proofErr w:type="spellStart"/>
      <w:r w:rsidRPr="00FC0E00">
        <w:rPr>
          <w:rFonts w:ascii="Book Antiqua" w:eastAsia="等线" w:hAnsi="Book Antiqua" w:cs="Times New Roman"/>
          <w:kern w:val="2"/>
          <w:sz w:val="24"/>
          <w:szCs w:val="24"/>
          <w:lang w:val="en-US" w:eastAsia="zh-CN"/>
        </w:rPr>
        <w:t>Lesmana</w:t>
      </w:r>
      <w:proofErr w:type="spellEnd"/>
      <w:r w:rsidRPr="00FC0E00">
        <w:rPr>
          <w:rFonts w:ascii="Book Antiqua" w:eastAsia="等线" w:hAnsi="Book Antiqua" w:cs="Times New Roman"/>
          <w:kern w:val="2"/>
          <w:sz w:val="24"/>
          <w:szCs w:val="24"/>
          <w:lang w:val="en-US" w:eastAsia="zh-CN"/>
        </w:rPr>
        <w:t xml:space="preserve"> LA, </w:t>
      </w:r>
      <w:proofErr w:type="spellStart"/>
      <w:r w:rsidRPr="00FC0E00">
        <w:rPr>
          <w:rFonts w:ascii="Book Antiqua" w:eastAsia="等线" w:hAnsi="Book Antiqua" w:cs="Times New Roman"/>
          <w:kern w:val="2"/>
          <w:sz w:val="24"/>
          <w:szCs w:val="24"/>
          <w:lang w:val="en-US" w:eastAsia="zh-CN"/>
        </w:rPr>
        <w:t>Sollano</w:t>
      </w:r>
      <w:proofErr w:type="spellEnd"/>
      <w:r w:rsidRPr="00FC0E00">
        <w:rPr>
          <w:rFonts w:ascii="Book Antiqua" w:eastAsia="等线" w:hAnsi="Book Antiqua" w:cs="Times New Roman"/>
          <w:kern w:val="2"/>
          <w:sz w:val="24"/>
          <w:szCs w:val="24"/>
          <w:lang w:val="en-US" w:eastAsia="zh-CN"/>
        </w:rPr>
        <w:t xml:space="preserve"> JD, Chen PJ, Goh KL; Asia-Pacific Working Party on NAFLD. How common is non-alcoholic fatty liver disease in the Asia-Pacific region and are there local differences?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Gastroenterol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2007; </w:t>
      </w:r>
      <w:r w:rsidRPr="00FC0E00">
        <w:rPr>
          <w:rFonts w:ascii="Book Antiqua" w:eastAsia="等线" w:hAnsi="Book Antiqua" w:cs="Times New Roman"/>
          <w:b/>
          <w:kern w:val="2"/>
          <w:sz w:val="24"/>
          <w:szCs w:val="24"/>
          <w:lang w:val="en-US" w:eastAsia="zh-CN"/>
        </w:rPr>
        <w:t>22</w:t>
      </w:r>
      <w:r w:rsidRPr="00FC0E00">
        <w:rPr>
          <w:rFonts w:ascii="Book Antiqua" w:eastAsia="等线" w:hAnsi="Book Antiqua" w:cs="Times New Roman"/>
          <w:kern w:val="2"/>
          <w:sz w:val="24"/>
          <w:szCs w:val="24"/>
          <w:lang w:val="en-US" w:eastAsia="zh-CN"/>
        </w:rPr>
        <w:t>: 788-793 [PMID: 17565631 DOI: 10.1111/j.1440-1746.2007.05042.x]</w:t>
      </w:r>
    </w:p>
    <w:p w14:paraId="45F32A0E"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37 </w:t>
      </w:r>
      <w:r w:rsidRPr="00FC0E00">
        <w:rPr>
          <w:rFonts w:ascii="Book Antiqua" w:eastAsia="等线" w:hAnsi="Book Antiqua" w:cs="Times New Roman"/>
          <w:b/>
          <w:kern w:val="2"/>
          <w:sz w:val="24"/>
          <w:szCs w:val="24"/>
          <w:lang w:val="en-US" w:eastAsia="zh-CN"/>
        </w:rPr>
        <w:t>Hsu CL</w:t>
      </w:r>
      <w:r w:rsidRPr="00FC0E00">
        <w:rPr>
          <w:rFonts w:ascii="Book Antiqua" w:eastAsia="等线" w:hAnsi="Book Antiqua" w:cs="Times New Roman"/>
          <w:kern w:val="2"/>
          <w:sz w:val="24"/>
          <w:szCs w:val="24"/>
          <w:lang w:val="en-US" w:eastAsia="zh-CN"/>
        </w:rPr>
        <w:t xml:space="preserve">, Wu FZ, Lin KH, Chen YH, Wu PC, Chen YH, Chen CS, Wang WH, Mar GY, Yu HC. Role of Fatty Liver Index and Metabolic Factors in the Prediction of Nonalcoholic Fatty Liver Disease in a Lean Population Receiving Health Checkup. </w:t>
      </w:r>
      <w:proofErr w:type="spellStart"/>
      <w:r w:rsidRPr="00FC0E00">
        <w:rPr>
          <w:rFonts w:ascii="Book Antiqua" w:eastAsia="等线" w:hAnsi="Book Antiqua" w:cs="Times New Roman"/>
          <w:i/>
          <w:kern w:val="2"/>
          <w:sz w:val="24"/>
          <w:szCs w:val="24"/>
          <w:lang w:val="en-US" w:eastAsia="zh-CN"/>
        </w:rPr>
        <w:t>Clin</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Transl</w:t>
      </w:r>
      <w:proofErr w:type="spellEnd"/>
      <w:r w:rsidRPr="00FC0E00">
        <w:rPr>
          <w:rFonts w:ascii="Book Antiqua" w:eastAsia="等线" w:hAnsi="Book Antiqua" w:cs="Times New Roman"/>
          <w:i/>
          <w:kern w:val="2"/>
          <w:sz w:val="24"/>
          <w:szCs w:val="24"/>
          <w:lang w:val="en-US" w:eastAsia="zh-CN"/>
        </w:rPr>
        <w:t xml:space="preserve"> </w:t>
      </w:r>
      <w:proofErr w:type="spellStart"/>
      <w:r w:rsidRPr="00FC0E00">
        <w:rPr>
          <w:rFonts w:ascii="Book Antiqua" w:eastAsia="等线" w:hAnsi="Book Antiqua" w:cs="Times New Roman"/>
          <w:i/>
          <w:kern w:val="2"/>
          <w:sz w:val="24"/>
          <w:szCs w:val="24"/>
          <w:lang w:val="en-US" w:eastAsia="zh-CN"/>
        </w:rPr>
        <w:t>Gastroenterol</w:t>
      </w:r>
      <w:proofErr w:type="spellEnd"/>
      <w:r w:rsidRPr="00FC0E00">
        <w:rPr>
          <w:rFonts w:ascii="Book Antiqua" w:eastAsia="等线" w:hAnsi="Book Antiqua" w:cs="Times New Roman"/>
          <w:kern w:val="2"/>
          <w:sz w:val="24"/>
          <w:szCs w:val="24"/>
          <w:lang w:val="en-US" w:eastAsia="zh-CN"/>
        </w:rPr>
        <w:t xml:space="preserve"> 2019; </w:t>
      </w:r>
      <w:r w:rsidRPr="00FC0E00">
        <w:rPr>
          <w:rFonts w:ascii="Book Antiqua" w:eastAsia="等线" w:hAnsi="Book Antiqua" w:cs="Times New Roman"/>
          <w:b/>
          <w:kern w:val="2"/>
          <w:sz w:val="24"/>
          <w:szCs w:val="24"/>
          <w:lang w:val="en-US" w:eastAsia="zh-CN"/>
        </w:rPr>
        <w:t>10</w:t>
      </w:r>
      <w:r w:rsidRPr="00FC0E00">
        <w:rPr>
          <w:rFonts w:ascii="Book Antiqua" w:eastAsia="等线" w:hAnsi="Book Antiqua" w:cs="Times New Roman"/>
          <w:kern w:val="2"/>
          <w:sz w:val="24"/>
          <w:szCs w:val="24"/>
          <w:lang w:val="en-US" w:eastAsia="zh-CN"/>
        </w:rPr>
        <w:t>: 1-8 [PMID: 31082856 DOI: 10.14309/ctg.0000000000000042]</w:t>
      </w:r>
    </w:p>
    <w:p w14:paraId="1CA1244B"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38 </w:t>
      </w:r>
      <w:r w:rsidRPr="00FC0E00">
        <w:rPr>
          <w:rFonts w:ascii="Book Antiqua" w:eastAsia="等线" w:hAnsi="Book Antiqua" w:cs="Times New Roman"/>
          <w:b/>
          <w:kern w:val="2"/>
          <w:sz w:val="24"/>
          <w:szCs w:val="24"/>
          <w:lang w:val="en-US" w:eastAsia="zh-CN"/>
        </w:rPr>
        <w:t>Kim HJ</w:t>
      </w:r>
      <w:r w:rsidRPr="00FC0E00">
        <w:rPr>
          <w:rFonts w:ascii="Book Antiqua" w:eastAsia="等线" w:hAnsi="Book Antiqua" w:cs="Times New Roman"/>
          <w:kern w:val="2"/>
          <w:sz w:val="24"/>
          <w:szCs w:val="24"/>
          <w:lang w:val="en-US" w:eastAsia="zh-CN"/>
        </w:rPr>
        <w:t xml:space="preserve">, Kim HJ, Lee KE, Kim DJ, Kim SK, </w:t>
      </w:r>
      <w:proofErr w:type="spellStart"/>
      <w:r w:rsidRPr="00FC0E00">
        <w:rPr>
          <w:rFonts w:ascii="Book Antiqua" w:eastAsia="等线" w:hAnsi="Book Antiqua" w:cs="Times New Roman"/>
          <w:kern w:val="2"/>
          <w:sz w:val="24"/>
          <w:szCs w:val="24"/>
          <w:lang w:val="en-US" w:eastAsia="zh-CN"/>
        </w:rPr>
        <w:t>Ahn</w:t>
      </w:r>
      <w:proofErr w:type="spellEnd"/>
      <w:r w:rsidRPr="00FC0E00">
        <w:rPr>
          <w:rFonts w:ascii="Book Antiqua" w:eastAsia="等线" w:hAnsi="Book Antiqua" w:cs="Times New Roman"/>
          <w:kern w:val="2"/>
          <w:sz w:val="24"/>
          <w:szCs w:val="24"/>
          <w:lang w:val="en-US" w:eastAsia="zh-CN"/>
        </w:rPr>
        <w:t xml:space="preserve"> CW, Lim SK, Kim KR, Lee HC, Huh KB, Cha BS. Metabolic significance of nonalcoholic fatty liver disease in nonobese, nondiabetic adults. </w:t>
      </w:r>
      <w:r w:rsidRPr="00FC0E00">
        <w:rPr>
          <w:rFonts w:ascii="Book Antiqua" w:eastAsia="等线" w:hAnsi="Book Antiqua" w:cs="Times New Roman"/>
          <w:i/>
          <w:kern w:val="2"/>
          <w:sz w:val="24"/>
          <w:szCs w:val="24"/>
          <w:lang w:val="en-US" w:eastAsia="zh-CN"/>
        </w:rPr>
        <w:t>Arch Intern Med</w:t>
      </w:r>
      <w:r w:rsidRPr="00FC0E00">
        <w:rPr>
          <w:rFonts w:ascii="Book Antiqua" w:eastAsia="等线" w:hAnsi="Book Antiqua" w:cs="Times New Roman"/>
          <w:kern w:val="2"/>
          <w:sz w:val="24"/>
          <w:szCs w:val="24"/>
          <w:lang w:val="en-US" w:eastAsia="zh-CN"/>
        </w:rPr>
        <w:t xml:space="preserve"> 2004; </w:t>
      </w:r>
      <w:r w:rsidRPr="00FC0E00">
        <w:rPr>
          <w:rFonts w:ascii="Book Antiqua" w:eastAsia="等线" w:hAnsi="Book Antiqua" w:cs="Times New Roman"/>
          <w:b/>
          <w:kern w:val="2"/>
          <w:sz w:val="24"/>
          <w:szCs w:val="24"/>
          <w:lang w:val="en-US" w:eastAsia="zh-CN"/>
        </w:rPr>
        <w:t>164</w:t>
      </w:r>
      <w:r w:rsidRPr="00FC0E00">
        <w:rPr>
          <w:rFonts w:ascii="Book Antiqua" w:eastAsia="等线" w:hAnsi="Book Antiqua" w:cs="Times New Roman"/>
          <w:kern w:val="2"/>
          <w:sz w:val="24"/>
          <w:szCs w:val="24"/>
          <w:lang w:val="en-US" w:eastAsia="zh-CN"/>
        </w:rPr>
        <w:t>: 2169-2175 [PMID: 15505132 DOI: 10.1001/archinte.164.19.2169]</w:t>
      </w:r>
    </w:p>
    <w:p w14:paraId="6CFA167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39 </w:t>
      </w:r>
      <w:r w:rsidRPr="00FC0E00">
        <w:rPr>
          <w:rFonts w:ascii="Book Antiqua" w:eastAsia="等线" w:hAnsi="Book Antiqua" w:cs="Times New Roman"/>
          <w:b/>
          <w:kern w:val="2"/>
          <w:sz w:val="24"/>
          <w:szCs w:val="24"/>
          <w:lang w:val="en-US" w:eastAsia="zh-CN"/>
        </w:rPr>
        <w:t>Nishikawa T</w:t>
      </w:r>
      <w:r w:rsidRPr="00FC0E00">
        <w:rPr>
          <w:rFonts w:ascii="Book Antiqua" w:eastAsia="等线" w:hAnsi="Book Antiqua" w:cs="Times New Roman"/>
          <w:kern w:val="2"/>
          <w:sz w:val="24"/>
          <w:szCs w:val="24"/>
          <w:lang w:val="en-US" w:eastAsia="zh-CN"/>
        </w:rPr>
        <w:t xml:space="preserve">, Nagata N, </w:t>
      </w:r>
      <w:proofErr w:type="spellStart"/>
      <w:r w:rsidRPr="00FC0E00">
        <w:rPr>
          <w:rFonts w:ascii="Book Antiqua" w:eastAsia="等线" w:hAnsi="Book Antiqua" w:cs="Times New Roman"/>
          <w:kern w:val="2"/>
          <w:sz w:val="24"/>
          <w:szCs w:val="24"/>
          <w:lang w:val="en-US" w:eastAsia="zh-CN"/>
        </w:rPr>
        <w:t>Shimakami</w:t>
      </w:r>
      <w:proofErr w:type="spellEnd"/>
      <w:r w:rsidRPr="00FC0E00">
        <w:rPr>
          <w:rFonts w:ascii="Book Antiqua" w:eastAsia="等线" w:hAnsi="Book Antiqua" w:cs="Times New Roman"/>
          <w:kern w:val="2"/>
          <w:sz w:val="24"/>
          <w:szCs w:val="24"/>
          <w:lang w:val="en-US" w:eastAsia="zh-CN"/>
        </w:rPr>
        <w:t xml:space="preserve"> T, </w:t>
      </w:r>
      <w:proofErr w:type="spellStart"/>
      <w:r w:rsidRPr="00FC0E00">
        <w:rPr>
          <w:rFonts w:ascii="Book Antiqua" w:eastAsia="等线" w:hAnsi="Book Antiqua" w:cs="Times New Roman"/>
          <w:kern w:val="2"/>
          <w:sz w:val="24"/>
          <w:szCs w:val="24"/>
          <w:lang w:val="en-US" w:eastAsia="zh-CN"/>
        </w:rPr>
        <w:t>Shirakura</w:t>
      </w:r>
      <w:proofErr w:type="spellEnd"/>
      <w:r w:rsidRPr="00FC0E00">
        <w:rPr>
          <w:rFonts w:ascii="Book Antiqua" w:eastAsia="等线" w:hAnsi="Book Antiqua" w:cs="Times New Roman"/>
          <w:kern w:val="2"/>
          <w:sz w:val="24"/>
          <w:szCs w:val="24"/>
          <w:lang w:val="en-US" w:eastAsia="zh-CN"/>
        </w:rPr>
        <w:t xml:space="preserve"> T, Matsui C, Ni Y, </w:t>
      </w:r>
      <w:proofErr w:type="spellStart"/>
      <w:r w:rsidRPr="00FC0E00">
        <w:rPr>
          <w:rFonts w:ascii="Book Antiqua" w:eastAsia="等线" w:hAnsi="Book Antiqua" w:cs="Times New Roman"/>
          <w:kern w:val="2"/>
          <w:sz w:val="24"/>
          <w:szCs w:val="24"/>
          <w:lang w:val="en-US" w:eastAsia="zh-CN"/>
        </w:rPr>
        <w:t>Zhuge</w:t>
      </w:r>
      <w:proofErr w:type="spellEnd"/>
      <w:r w:rsidRPr="00FC0E00">
        <w:rPr>
          <w:rFonts w:ascii="Book Antiqua" w:eastAsia="等线" w:hAnsi="Book Antiqua" w:cs="Times New Roman"/>
          <w:kern w:val="2"/>
          <w:sz w:val="24"/>
          <w:szCs w:val="24"/>
          <w:lang w:val="en-US" w:eastAsia="zh-CN"/>
        </w:rPr>
        <w:t xml:space="preserve"> F, Xu L, Chen G, </w:t>
      </w:r>
      <w:proofErr w:type="spellStart"/>
      <w:r w:rsidRPr="00FC0E00">
        <w:rPr>
          <w:rFonts w:ascii="Book Antiqua" w:eastAsia="等线" w:hAnsi="Book Antiqua" w:cs="Times New Roman"/>
          <w:kern w:val="2"/>
          <w:sz w:val="24"/>
          <w:szCs w:val="24"/>
          <w:lang w:val="en-US" w:eastAsia="zh-CN"/>
        </w:rPr>
        <w:t>Nagashimada</w:t>
      </w:r>
      <w:proofErr w:type="spellEnd"/>
      <w:r w:rsidRPr="00FC0E00">
        <w:rPr>
          <w:rFonts w:ascii="Book Antiqua" w:eastAsia="等线" w:hAnsi="Book Antiqua" w:cs="Times New Roman"/>
          <w:kern w:val="2"/>
          <w:sz w:val="24"/>
          <w:szCs w:val="24"/>
          <w:lang w:val="en-US" w:eastAsia="zh-CN"/>
        </w:rPr>
        <w:t xml:space="preserve"> M, Yamashita T, Sakai Y, Yamashita T, </w:t>
      </w:r>
      <w:proofErr w:type="spellStart"/>
      <w:r w:rsidRPr="00FC0E00">
        <w:rPr>
          <w:rFonts w:ascii="Book Antiqua" w:eastAsia="等线" w:hAnsi="Book Antiqua" w:cs="Times New Roman"/>
          <w:kern w:val="2"/>
          <w:sz w:val="24"/>
          <w:szCs w:val="24"/>
          <w:lang w:val="en-US" w:eastAsia="zh-CN"/>
        </w:rPr>
        <w:t>Mizukoshi</w:t>
      </w:r>
      <w:proofErr w:type="spellEnd"/>
      <w:r w:rsidRPr="00FC0E00">
        <w:rPr>
          <w:rFonts w:ascii="Book Antiqua" w:eastAsia="等线" w:hAnsi="Book Antiqua" w:cs="Times New Roman"/>
          <w:kern w:val="2"/>
          <w:sz w:val="24"/>
          <w:szCs w:val="24"/>
          <w:lang w:val="en-US" w:eastAsia="zh-CN"/>
        </w:rPr>
        <w:t xml:space="preserve"> E, Honda M, Kaneko S, Ota T. Xanthine oxidase inhibition attenuates insulin resistance and diet-induced steatohepatitis in mice. </w:t>
      </w:r>
      <w:r w:rsidRPr="00FC0E00">
        <w:rPr>
          <w:rFonts w:ascii="Book Antiqua" w:eastAsia="等线" w:hAnsi="Book Antiqua" w:cs="Times New Roman"/>
          <w:i/>
          <w:kern w:val="2"/>
          <w:sz w:val="24"/>
          <w:szCs w:val="24"/>
          <w:lang w:val="en-US" w:eastAsia="zh-CN"/>
        </w:rPr>
        <w:t>Sci Rep</w:t>
      </w:r>
      <w:r w:rsidRPr="00FC0E00">
        <w:rPr>
          <w:rFonts w:ascii="Book Antiqua" w:eastAsia="等线" w:hAnsi="Book Antiqua" w:cs="Times New Roman"/>
          <w:kern w:val="2"/>
          <w:sz w:val="24"/>
          <w:szCs w:val="24"/>
          <w:lang w:val="en-US" w:eastAsia="zh-CN"/>
        </w:rPr>
        <w:t xml:space="preserve"> 2020; </w:t>
      </w:r>
      <w:r w:rsidRPr="00FC0E00">
        <w:rPr>
          <w:rFonts w:ascii="Book Antiqua" w:eastAsia="等线" w:hAnsi="Book Antiqua" w:cs="Times New Roman"/>
          <w:b/>
          <w:kern w:val="2"/>
          <w:sz w:val="24"/>
          <w:szCs w:val="24"/>
          <w:lang w:val="en-US" w:eastAsia="zh-CN"/>
        </w:rPr>
        <w:t>10</w:t>
      </w:r>
      <w:r w:rsidRPr="00FC0E00">
        <w:rPr>
          <w:rFonts w:ascii="Book Antiqua" w:eastAsia="等线" w:hAnsi="Book Antiqua" w:cs="Times New Roman"/>
          <w:kern w:val="2"/>
          <w:sz w:val="24"/>
          <w:szCs w:val="24"/>
          <w:lang w:val="en-US" w:eastAsia="zh-CN"/>
        </w:rPr>
        <w:t>: 815 [PMID: 31965018 DOI: 10.1038/s41598-020-57784-3]</w:t>
      </w:r>
    </w:p>
    <w:p w14:paraId="513D403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40 </w:t>
      </w:r>
      <w:r w:rsidRPr="00FC0E00">
        <w:rPr>
          <w:rFonts w:ascii="Book Antiqua" w:eastAsia="等线" w:hAnsi="Book Antiqua" w:cs="Times New Roman"/>
          <w:b/>
          <w:kern w:val="2"/>
          <w:sz w:val="24"/>
          <w:szCs w:val="24"/>
          <w:lang w:val="en-US" w:eastAsia="zh-CN"/>
        </w:rPr>
        <w:t>Chen S</w:t>
      </w:r>
      <w:r w:rsidRPr="00FC0E00">
        <w:rPr>
          <w:rFonts w:ascii="Book Antiqua" w:eastAsia="等线" w:hAnsi="Book Antiqua" w:cs="Times New Roman"/>
          <w:kern w:val="2"/>
          <w:sz w:val="24"/>
          <w:szCs w:val="24"/>
          <w:lang w:val="en-US" w:eastAsia="zh-CN"/>
        </w:rPr>
        <w:t xml:space="preserve">, Chen D, Yang H, Wang X, Wang J, Xu C. Uric acid induced hepatocytes lipid accumulation through regulation of miR-149-5p/FGF21 axis. </w:t>
      </w:r>
      <w:r w:rsidRPr="00FC0E00">
        <w:rPr>
          <w:rFonts w:ascii="Book Antiqua" w:eastAsia="等线" w:hAnsi="Book Antiqua" w:cs="Times New Roman"/>
          <w:i/>
          <w:kern w:val="2"/>
          <w:sz w:val="24"/>
          <w:szCs w:val="24"/>
          <w:lang w:val="en-US" w:eastAsia="zh-CN"/>
        </w:rPr>
        <w:t>BMC Gastroenterol</w:t>
      </w:r>
      <w:r w:rsidRPr="00FC0E00">
        <w:rPr>
          <w:rFonts w:ascii="Book Antiqua" w:eastAsia="等线" w:hAnsi="Book Antiqua" w:cs="Times New Roman"/>
          <w:kern w:val="2"/>
          <w:sz w:val="24"/>
          <w:szCs w:val="24"/>
          <w:lang w:val="en-US" w:eastAsia="zh-CN"/>
        </w:rPr>
        <w:t xml:space="preserve"> 2020; </w:t>
      </w:r>
      <w:r w:rsidRPr="00FC0E00">
        <w:rPr>
          <w:rFonts w:ascii="Book Antiqua" w:eastAsia="等线" w:hAnsi="Book Antiqua" w:cs="Times New Roman"/>
          <w:b/>
          <w:kern w:val="2"/>
          <w:sz w:val="24"/>
          <w:szCs w:val="24"/>
          <w:lang w:val="en-US" w:eastAsia="zh-CN"/>
        </w:rPr>
        <w:t>20</w:t>
      </w:r>
      <w:r w:rsidRPr="00FC0E00">
        <w:rPr>
          <w:rFonts w:ascii="Book Antiqua" w:eastAsia="等线" w:hAnsi="Book Antiqua" w:cs="Times New Roman"/>
          <w:kern w:val="2"/>
          <w:sz w:val="24"/>
          <w:szCs w:val="24"/>
          <w:lang w:val="en-US" w:eastAsia="zh-CN"/>
        </w:rPr>
        <w:t>: 39 [PMID: 32070295 DOI: 10.1186/s12876-020-01189-z]</w:t>
      </w:r>
    </w:p>
    <w:p w14:paraId="35D5DF4A" w14:textId="77777777"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41 </w:t>
      </w:r>
      <w:r w:rsidRPr="00FC0E00">
        <w:rPr>
          <w:rFonts w:ascii="Book Antiqua" w:eastAsia="等线" w:hAnsi="Book Antiqua" w:cs="Times New Roman"/>
          <w:b/>
          <w:kern w:val="2"/>
          <w:sz w:val="24"/>
          <w:szCs w:val="24"/>
          <w:lang w:val="en-US" w:eastAsia="zh-CN"/>
        </w:rPr>
        <w:t>European Association for the Study of the Liver (EASL).</w:t>
      </w:r>
      <w:r w:rsidRPr="00FC0E00">
        <w:rPr>
          <w:rFonts w:ascii="Book Antiqua" w:eastAsia="等线" w:hAnsi="Book Antiqua" w:cs="Times New Roman"/>
          <w:kern w:val="2"/>
          <w:sz w:val="24"/>
          <w:szCs w:val="24"/>
          <w:lang w:val="en-US" w:eastAsia="zh-CN"/>
        </w:rPr>
        <w:t xml:space="preserve">; European Association for the Study of Diabetes (EASD); European Association for the Study of Obesity (EASO). EASL-EASD-EASO Clinical Practice Guidelines for the management of non-alcoholic fatty liver disease. </w:t>
      </w:r>
      <w:r w:rsidRPr="00FC0E00">
        <w:rPr>
          <w:rFonts w:ascii="Book Antiqua" w:eastAsia="等线" w:hAnsi="Book Antiqua" w:cs="Times New Roman"/>
          <w:i/>
          <w:kern w:val="2"/>
          <w:sz w:val="24"/>
          <w:szCs w:val="24"/>
          <w:lang w:val="en-US" w:eastAsia="zh-CN"/>
        </w:rPr>
        <w:t xml:space="preserve">J </w:t>
      </w:r>
      <w:proofErr w:type="spellStart"/>
      <w:r w:rsidRPr="00FC0E00">
        <w:rPr>
          <w:rFonts w:ascii="Book Antiqua" w:eastAsia="等线" w:hAnsi="Book Antiqua" w:cs="Times New Roman"/>
          <w:i/>
          <w:kern w:val="2"/>
          <w:sz w:val="24"/>
          <w:szCs w:val="24"/>
          <w:lang w:val="en-US" w:eastAsia="zh-CN"/>
        </w:rPr>
        <w:t>Hepatol</w:t>
      </w:r>
      <w:proofErr w:type="spellEnd"/>
      <w:r w:rsidRPr="00FC0E00">
        <w:rPr>
          <w:rFonts w:ascii="Book Antiqua" w:eastAsia="等线" w:hAnsi="Book Antiqua" w:cs="Times New Roman"/>
          <w:kern w:val="2"/>
          <w:sz w:val="24"/>
          <w:szCs w:val="24"/>
          <w:lang w:val="en-US" w:eastAsia="zh-CN"/>
        </w:rPr>
        <w:t xml:space="preserve"> 2016; </w:t>
      </w:r>
      <w:r w:rsidRPr="00FC0E00">
        <w:rPr>
          <w:rFonts w:ascii="Book Antiqua" w:eastAsia="等线" w:hAnsi="Book Antiqua" w:cs="Times New Roman"/>
          <w:b/>
          <w:kern w:val="2"/>
          <w:sz w:val="24"/>
          <w:szCs w:val="24"/>
          <w:lang w:val="en-US" w:eastAsia="zh-CN"/>
        </w:rPr>
        <w:t>64</w:t>
      </w:r>
      <w:r w:rsidRPr="00FC0E00">
        <w:rPr>
          <w:rFonts w:ascii="Book Antiqua" w:eastAsia="等线" w:hAnsi="Book Antiqua" w:cs="Times New Roman"/>
          <w:kern w:val="2"/>
          <w:sz w:val="24"/>
          <w:szCs w:val="24"/>
          <w:lang w:val="en-US" w:eastAsia="zh-CN"/>
        </w:rPr>
        <w:t>: 1388-</w:t>
      </w:r>
      <w:r w:rsidRPr="00FC0E00">
        <w:rPr>
          <w:rFonts w:ascii="Book Antiqua" w:eastAsia="等线" w:hAnsi="Book Antiqua" w:cs="Times New Roman"/>
          <w:kern w:val="2"/>
          <w:sz w:val="24"/>
          <w:szCs w:val="24"/>
          <w:lang w:val="en-US" w:eastAsia="zh-CN"/>
        </w:rPr>
        <w:lastRenderedPageBreak/>
        <w:t>1402 [PMID: 27062661 DOI: 10.1016/j.jhep.2015.11.004]</w:t>
      </w:r>
    </w:p>
    <w:p w14:paraId="68E3FB23" w14:textId="4D078A49" w:rsidR="00753EB2" w:rsidRPr="00FC0E00" w:rsidRDefault="00753EB2" w:rsidP="00FC0E00">
      <w:pPr>
        <w:widowControl w:val="0"/>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t xml:space="preserve">42 </w:t>
      </w:r>
      <w:r w:rsidRPr="00FC0E00">
        <w:rPr>
          <w:rFonts w:ascii="Book Antiqua" w:eastAsia="等线" w:hAnsi="Book Antiqua" w:cs="Times New Roman"/>
          <w:b/>
          <w:kern w:val="2"/>
          <w:sz w:val="24"/>
          <w:szCs w:val="24"/>
          <w:lang w:val="en-US" w:eastAsia="zh-CN"/>
        </w:rPr>
        <w:t>Miller MH</w:t>
      </w:r>
      <w:r w:rsidRPr="00FC0E00">
        <w:rPr>
          <w:rFonts w:ascii="Book Antiqua" w:eastAsia="等线" w:hAnsi="Book Antiqua" w:cs="Times New Roman"/>
          <w:kern w:val="2"/>
          <w:sz w:val="24"/>
          <w:szCs w:val="24"/>
          <w:lang w:val="en-US" w:eastAsia="zh-CN"/>
        </w:rPr>
        <w:t xml:space="preserve">, Fraser A, Leggett G, </w:t>
      </w:r>
      <w:proofErr w:type="spellStart"/>
      <w:r w:rsidRPr="00FC0E00">
        <w:rPr>
          <w:rFonts w:ascii="Book Antiqua" w:eastAsia="等线" w:hAnsi="Book Antiqua" w:cs="Times New Roman"/>
          <w:kern w:val="2"/>
          <w:sz w:val="24"/>
          <w:szCs w:val="24"/>
          <w:lang w:val="en-US" w:eastAsia="zh-CN"/>
        </w:rPr>
        <w:t>MacGilchrist</w:t>
      </w:r>
      <w:proofErr w:type="spellEnd"/>
      <w:r w:rsidRPr="00FC0E00">
        <w:rPr>
          <w:rFonts w:ascii="Book Antiqua" w:eastAsia="等线" w:hAnsi="Book Antiqua" w:cs="Times New Roman"/>
          <w:kern w:val="2"/>
          <w:sz w:val="24"/>
          <w:szCs w:val="24"/>
          <w:lang w:val="en-US" w:eastAsia="zh-CN"/>
        </w:rPr>
        <w:t xml:space="preserve"> A, Gibson G, Orr J, Forrest EH, Dow E, Bartlett W, </w:t>
      </w:r>
      <w:proofErr w:type="spellStart"/>
      <w:r w:rsidRPr="00FC0E00">
        <w:rPr>
          <w:rFonts w:ascii="Book Antiqua" w:eastAsia="等线" w:hAnsi="Book Antiqua" w:cs="Times New Roman"/>
          <w:kern w:val="2"/>
          <w:sz w:val="24"/>
          <w:szCs w:val="24"/>
          <w:lang w:val="en-US" w:eastAsia="zh-CN"/>
        </w:rPr>
        <w:t>Weatherburn</w:t>
      </w:r>
      <w:proofErr w:type="spellEnd"/>
      <w:r w:rsidRPr="00FC0E00">
        <w:rPr>
          <w:rFonts w:ascii="Book Antiqua" w:eastAsia="等线" w:hAnsi="Book Antiqua" w:cs="Times New Roman"/>
          <w:kern w:val="2"/>
          <w:sz w:val="24"/>
          <w:szCs w:val="24"/>
          <w:lang w:val="en-US" w:eastAsia="zh-CN"/>
        </w:rPr>
        <w:t xml:space="preserve"> C, </w:t>
      </w:r>
      <w:proofErr w:type="spellStart"/>
      <w:r w:rsidRPr="00FC0E00">
        <w:rPr>
          <w:rFonts w:ascii="Book Antiqua" w:eastAsia="等线" w:hAnsi="Book Antiqua" w:cs="Times New Roman"/>
          <w:kern w:val="2"/>
          <w:sz w:val="24"/>
          <w:szCs w:val="24"/>
          <w:lang w:val="en-US" w:eastAsia="zh-CN"/>
        </w:rPr>
        <w:t>Laurell</w:t>
      </w:r>
      <w:proofErr w:type="spellEnd"/>
      <w:r w:rsidRPr="00FC0E00">
        <w:rPr>
          <w:rFonts w:ascii="Book Antiqua" w:eastAsia="等线" w:hAnsi="Book Antiqua" w:cs="Times New Roman"/>
          <w:kern w:val="2"/>
          <w:sz w:val="24"/>
          <w:szCs w:val="24"/>
          <w:lang w:val="en-US" w:eastAsia="zh-CN"/>
        </w:rPr>
        <w:t xml:space="preserve"> A, Grant K, Scott K, Neville R, Dillon JF. Development and validation of diagnostic triage criteria for liver disease from a minimum data set enabling the 'intelligent LFT' pathway for the automated assessment of deranged liver enzymes. </w:t>
      </w:r>
      <w:r w:rsidRPr="00FC0E00">
        <w:rPr>
          <w:rFonts w:ascii="Book Antiqua" w:eastAsia="等线" w:hAnsi="Book Antiqua" w:cs="Times New Roman"/>
          <w:i/>
          <w:kern w:val="2"/>
          <w:sz w:val="24"/>
          <w:szCs w:val="24"/>
          <w:lang w:val="en-US" w:eastAsia="zh-CN"/>
        </w:rPr>
        <w:t>Frontline Gastroenterol</w:t>
      </w:r>
      <w:r w:rsidRPr="00FC0E00">
        <w:rPr>
          <w:rFonts w:ascii="Book Antiqua" w:eastAsia="等线" w:hAnsi="Book Antiqua" w:cs="Times New Roman"/>
          <w:kern w:val="2"/>
          <w:sz w:val="24"/>
          <w:szCs w:val="24"/>
          <w:lang w:val="en-US" w:eastAsia="zh-CN"/>
        </w:rPr>
        <w:t xml:space="preserve"> 2018; </w:t>
      </w:r>
      <w:r w:rsidRPr="00FC0E00">
        <w:rPr>
          <w:rFonts w:ascii="Book Antiqua" w:eastAsia="等线" w:hAnsi="Book Antiqua" w:cs="Times New Roman"/>
          <w:b/>
          <w:kern w:val="2"/>
          <w:sz w:val="24"/>
          <w:szCs w:val="24"/>
          <w:lang w:val="en-US" w:eastAsia="zh-CN"/>
        </w:rPr>
        <w:t>9</w:t>
      </w:r>
      <w:r w:rsidRPr="00FC0E00">
        <w:rPr>
          <w:rFonts w:ascii="Book Antiqua" w:eastAsia="等线" w:hAnsi="Book Antiqua" w:cs="Times New Roman"/>
          <w:kern w:val="2"/>
          <w:sz w:val="24"/>
          <w:szCs w:val="24"/>
          <w:lang w:val="en-US" w:eastAsia="zh-CN"/>
        </w:rPr>
        <w:t>: 175-182 [PMID: 30046420 DOI: 10.1136/flgastro-2017-100909]</w:t>
      </w:r>
    </w:p>
    <w:p w14:paraId="35510144" w14:textId="7FAA5302" w:rsidR="00753EB2" w:rsidRPr="00FC0E00" w:rsidRDefault="00753EB2" w:rsidP="00FC0E00">
      <w:pPr>
        <w:snapToGrid w:val="0"/>
        <w:spacing w:after="0" w:line="360" w:lineRule="auto"/>
        <w:jc w:val="both"/>
        <w:rPr>
          <w:rFonts w:ascii="Book Antiqua" w:eastAsia="等线" w:hAnsi="Book Antiqua" w:cs="Times New Roman"/>
          <w:kern w:val="2"/>
          <w:sz w:val="24"/>
          <w:szCs w:val="24"/>
          <w:lang w:val="en-US" w:eastAsia="zh-CN"/>
        </w:rPr>
      </w:pPr>
      <w:r w:rsidRPr="00FC0E00">
        <w:rPr>
          <w:rFonts w:ascii="Book Antiqua" w:eastAsia="等线" w:hAnsi="Book Antiqua" w:cs="Times New Roman"/>
          <w:kern w:val="2"/>
          <w:sz w:val="24"/>
          <w:szCs w:val="24"/>
          <w:lang w:val="en-US" w:eastAsia="zh-CN"/>
        </w:rPr>
        <w:br w:type="page"/>
      </w:r>
    </w:p>
    <w:p w14:paraId="30D4B19B" w14:textId="77777777" w:rsidR="00753EB2" w:rsidRPr="00FC0E00" w:rsidRDefault="00753EB2" w:rsidP="00FC0E00">
      <w:pPr>
        <w:adjustRightInd w:val="0"/>
        <w:snapToGrid w:val="0"/>
        <w:spacing w:after="0" w:line="360" w:lineRule="auto"/>
        <w:jc w:val="both"/>
        <w:rPr>
          <w:rFonts w:ascii="Book Antiqua" w:eastAsia="宋体" w:hAnsi="Book Antiqua" w:cs="Times New Roman"/>
          <w:b/>
          <w:sz w:val="24"/>
          <w:szCs w:val="24"/>
          <w:lang w:val="el-GR"/>
        </w:rPr>
      </w:pPr>
      <w:bookmarkStart w:id="15" w:name="_Hlk27143351"/>
      <w:bookmarkStart w:id="16" w:name="_Hlk27570199"/>
      <w:r w:rsidRPr="00FC0E00">
        <w:rPr>
          <w:rFonts w:ascii="Book Antiqua" w:eastAsia="宋体" w:hAnsi="Book Antiqua" w:cs="Times New Roman"/>
          <w:b/>
          <w:sz w:val="24"/>
          <w:szCs w:val="24"/>
          <w:lang w:val="el-GR"/>
        </w:rPr>
        <w:lastRenderedPageBreak/>
        <w:t>Footnotes</w:t>
      </w:r>
    </w:p>
    <w:p w14:paraId="443F749A" w14:textId="24D9E39E" w:rsidR="00753EB2" w:rsidRPr="006956F1" w:rsidRDefault="004A021D" w:rsidP="00FC0E00">
      <w:pPr>
        <w:adjustRightInd w:val="0"/>
        <w:snapToGrid w:val="0"/>
        <w:spacing w:after="0" w:line="360" w:lineRule="auto"/>
        <w:jc w:val="both"/>
        <w:rPr>
          <w:rFonts w:ascii="Book Antiqua" w:eastAsia="宋体" w:hAnsi="Book Antiqua" w:cs="Tahoma"/>
          <w:sz w:val="24"/>
          <w:szCs w:val="24"/>
        </w:rPr>
      </w:pPr>
      <w:bookmarkStart w:id="17" w:name="_Hlk35467972"/>
      <w:bookmarkStart w:id="18" w:name="_Hlk35193980"/>
      <w:bookmarkEnd w:id="15"/>
      <w:bookmarkEnd w:id="16"/>
      <w:r w:rsidRPr="00FC0E00">
        <w:rPr>
          <w:rFonts w:ascii="Book Antiqua" w:eastAsia="宋体" w:hAnsi="Book Antiqua" w:cs="Tahoma"/>
          <w:b/>
          <w:sz w:val="24"/>
          <w:szCs w:val="24"/>
        </w:rPr>
        <w:t>Conflict-of-interest statement:</w:t>
      </w:r>
      <w:bookmarkEnd w:id="17"/>
      <w:r w:rsidRPr="00FC0E00">
        <w:rPr>
          <w:rFonts w:ascii="Book Antiqua" w:eastAsia="宋体" w:hAnsi="Book Antiqua" w:cs="Tahoma"/>
          <w:sz w:val="24"/>
          <w:szCs w:val="24"/>
        </w:rPr>
        <w:t xml:space="preserve"> </w:t>
      </w:r>
      <w:bookmarkEnd w:id="18"/>
      <w:r w:rsidR="006956F1" w:rsidRPr="00FB4EA3">
        <w:rPr>
          <w:rFonts w:ascii="Book Antiqua" w:eastAsia="宋体" w:hAnsi="Book Antiqua" w:cs="TimesNewRomanPSMT"/>
          <w:sz w:val="24"/>
          <w:szCs w:val="24"/>
        </w:rPr>
        <w:t>The authors declare that they have no conflict of interest.</w:t>
      </w:r>
    </w:p>
    <w:p w14:paraId="68461D1F" w14:textId="77777777" w:rsidR="00327144" w:rsidRPr="00FC0E00" w:rsidRDefault="00327144" w:rsidP="00FC0E00">
      <w:pPr>
        <w:adjustRightInd w:val="0"/>
        <w:snapToGrid w:val="0"/>
        <w:spacing w:after="0" w:line="360" w:lineRule="auto"/>
        <w:jc w:val="both"/>
        <w:rPr>
          <w:rFonts w:ascii="Book Antiqua" w:eastAsia="宋体" w:hAnsi="Book Antiqua" w:cs="Times New Roman"/>
          <w:sz w:val="24"/>
          <w:szCs w:val="24"/>
        </w:rPr>
      </w:pPr>
    </w:p>
    <w:p w14:paraId="7A07989A" w14:textId="77777777" w:rsidR="00753EB2" w:rsidRPr="00FC0E00" w:rsidRDefault="00753EB2" w:rsidP="00FC0E00">
      <w:pPr>
        <w:adjustRightInd w:val="0"/>
        <w:snapToGrid w:val="0"/>
        <w:spacing w:after="0" w:line="360" w:lineRule="auto"/>
        <w:jc w:val="both"/>
        <w:rPr>
          <w:rFonts w:ascii="Book Antiqua" w:eastAsia="宋体" w:hAnsi="Book Antiqua" w:cs="Times New Roman"/>
          <w:sz w:val="24"/>
          <w:szCs w:val="24"/>
        </w:rPr>
      </w:pPr>
      <w:bookmarkStart w:id="19" w:name="_Hlk36477062"/>
      <w:bookmarkStart w:id="20" w:name="_Hlk29216443"/>
      <w:bookmarkStart w:id="21" w:name="_Hlk27570239"/>
      <w:bookmarkStart w:id="22" w:name="_Hlk35136117"/>
      <w:bookmarkStart w:id="23" w:name="_Hlk27143403"/>
      <w:bookmarkStart w:id="24" w:name="_Hlk28272061"/>
      <w:r w:rsidRPr="00FC0E00">
        <w:rPr>
          <w:rFonts w:ascii="Book Antiqua" w:eastAsia="宋体" w:hAnsi="Book Antiqua" w:cs="Times New Roman"/>
          <w:b/>
          <w:sz w:val="24"/>
          <w:szCs w:val="24"/>
        </w:rPr>
        <w:t xml:space="preserve">Open-Access: </w:t>
      </w:r>
      <w:r w:rsidRPr="00FC0E00">
        <w:rPr>
          <w:rFonts w:ascii="Book Antiqua" w:eastAsia="等线" w:hAnsi="Book Antiqua" w:cs="Times New Roman"/>
          <w:color w:val="000000"/>
          <w:kern w:val="2"/>
          <w:sz w:val="24"/>
          <w:szCs w:val="24"/>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FC0E00">
        <w:rPr>
          <w:rFonts w:ascii="Book Antiqua" w:eastAsia="等线" w:hAnsi="Book Antiqua" w:cs="Times New Roman"/>
          <w:color w:val="000000"/>
          <w:kern w:val="2"/>
          <w:sz w:val="24"/>
          <w:szCs w:val="24"/>
          <w:lang w:val="en-US" w:eastAsia="zh-CN"/>
        </w:rPr>
        <w:t>NonCommercial</w:t>
      </w:r>
      <w:proofErr w:type="spellEnd"/>
      <w:r w:rsidRPr="00FC0E00">
        <w:rPr>
          <w:rFonts w:ascii="Book Antiqua" w:eastAsia="等线"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107649FA" w14:textId="77777777" w:rsidR="00753EB2" w:rsidRPr="00FC0E00" w:rsidRDefault="00753EB2" w:rsidP="00FC0E00">
      <w:pPr>
        <w:widowControl w:val="0"/>
        <w:adjustRightInd w:val="0"/>
        <w:snapToGrid w:val="0"/>
        <w:spacing w:after="0" w:line="360" w:lineRule="auto"/>
        <w:jc w:val="both"/>
        <w:rPr>
          <w:rFonts w:ascii="Book Antiqua" w:eastAsia="宋体" w:hAnsi="Book Antiqua" w:cs="Calibri"/>
          <w:b/>
          <w:bCs/>
          <w:sz w:val="24"/>
          <w:szCs w:val="24"/>
          <w:lang w:eastAsia="zh-CN"/>
        </w:rPr>
      </w:pPr>
    </w:p>
    <w:p w14:paraId="2500C361" w14:textId="6EDD6DFF" w:rsidR="00753EB2" w:rsidRPr="00FC0E00" w:rsidRDefault="00753EB2" w:rsidP="00FC0E00">
      <w:pPr>
        <w:widowControl w:val="0"/>
        <w:adjustRightInd w:val="0"/>
        <w:snapToGrid w:val="0"/>
        <w:spacing w:after="0" w:line="360" w:lineRule="auto"/>
        <w:jc w:val="both"/>
        <w:rPr>
          <w:rFonts w:ascii="Book Antiqua" w:eastAsia="宋体" w:hAnsi="Book Antiqua" w:cs="宋体"/>
          <w:sz w:val="24"/>
          <w:szCs w:val="24"/>
          <w:lang w:eastAsia="zh-CN"/>
        </w:rPr>
      </w:pPr>
      <w:bookmarkStart w:id="25" w:name="_Hlk34269957"/>
      <w:r w:rsidRPr="00FC0E00">
        <w:rPr>
          <w:rFonts w:ascii="Book Antiqua" w:eastAsia="宋体" w:hAnsi="Book Antiqua" w:cs="宋体"/>
          <w:b/>
          <w:sz w:val="24"/>
          <w:szCs w:val="24"/>
        </w:rPr>
        <w:t>Manuscript</w:t>
      </w:r>
      <w:r w:rsidRPr="00FC0E00">
        <w:rPr>
          <w:rFonts w:ascii="Book Antiqua" w:eastAsia="宋体" w:hAnsi="Book Antiqua" w:cs="宋体"/>
          <w:b/>
          <w:sz w:val="24"/>
          <w:szCs w:val="24"/>
          <w:lang w:eastAsia="zh-CN"/>
        </w:rPr>
        <w:t xml:space="preserve"> </w:t>
      </w:r>
      <w:r w:rsidRPr="00FC0E00">
        <w:rPr>
          <w:rFonts w:ascii="Book Antiqua" w:eastAsia="宋体" w:hAnsi="Book Antiqua" w:cs="宋体"/>
          <w:b/>
          <w:sz w:val="24"/>
          <w:szCs w:val="24"/>
        </w:rPr>
        <w:t>source:</w:t>
      </w:r>
      <w:bookmarkEnd w:id="20"/>
      <w:r w:rsidRPr="00FC0E00">
        <w:rPr>
          <w:rFonts w:ascii="Book Antiqua" w:eastAsia="宋体" w:hAnsi="Book Antiqua" w:cs="宋体"/>
          <w:sz w:val="24"/>
          <w:szCs w:val="24"/>
          <w:lang w:eastAsia="zh-CN"/>
        </w:rPr>
        <w:t xml:space="preserve"> </w:t>
      </w:r>
      <w:bookmarkStart w:id="26" w:name="_Hlk28276239"/>
      <w:r w:rsidRPr="00FC0E00">
        <w:rPr>
          <w:rFonts w:ascii="Book Antiqua" w:eastAsia="宋体" w:hAnsi="Book Antiqua" w:cs="宋体"/>
          <w:sz w:val="24"/>
          <w:szCs w:val="24"/>
        </w:rPr>
        <w:t>Invited</w:t>
      </w:r>
      <w:r w:rsidRPr="00FC0E00">
        <w:rPr>
          <w:rFonts w:ascii="Book Antiqua" w:eastAsia="宋体" w:hAnsi="Book Antiqua" w:cs="宋体"/>
          <w:sz w:val="24"/>
          <w:szCs w:val="24"/>
          <w:lang w:eastAsia="zh-CN"/>
        </w:rPr>
        <w:t xml:space="preserve"> </w:t>
      </w:r>
      <w:r w:rsidRPr="00FC0E00">
        <w:rPr>
          <w:rFonts w:ascii="Book Antiqua" w:eastAsia="宋体" w:hAnsi="Book Antiqua" w:cs="宋体"/>
          <w:sz w:val="24"/>
          <w:szCs w:val="24"/>
        </w:rPr>
        <w:t>Manuscript</w:t>
      </w:r>
      <w:bookmarkEnd w:id="26"/>
    </w:p>
    <w:bookmarkEnd w:id="21"/>
    <w:p w14:paraId="17ABFE6E" w14:textId="77777777" w:rsidR="00753EB2" w:rsidRPr="00FC0E00" w:rsidRDefault="00753EB2" w:rsidP="00FC0E00">
      <w:pPr>
        <w:snapToGrid w:val="0"/>
        <w:spacing w:after="0" w:line="360" w:lineRule="auto"/>
        <w:jc w:val="both"/>
        <w:rPr>
          <w:rFonts w:ascii="Book Antiqua" w:eastAsia="等线" w:hAnsi="Book Antiqua" w:cs="Times New Roman"/>
          <w:b/>
          <w:bCs/>
          <w:color w:val="000000"/>
          <w:sz w:val="24"/>
          <w:szCs w:val="24"/>
          <w:lang w:val="el-GR" w:eastAsia="zh-CN"/>
        </w:rPr>
      </w:pPr>
    </w:p>
    <w:p w14:paraId="3C4C76A3" w14:textId="6DD113C4" w:rsidR="00753EB2" w:rsidRPr="00FC0E00" w:rsidRDefault="00753EB2" w:rsidP="00FC0E00">
      <w:pPr>
        <w:snapToGrid w:val="0"/>
        <w:spacing w:after="0" w:line="360" w:lineRule="auto"/>
        <w:jc w:val="both"/>
        <w:rPr>
          <w:rFonts w:ascii="Book Antiqua" w:eastAsia="宋体" w:hAnsi="Book Antiqua" w:cs="Times New Roman"/>
          <w:b/>
          <w:sz w:val="24"/>
          <w:szCs w:val="24"/>
        </w:rPr>
      </w:pPr>
      <w:bookmarkStart w:id="27" w:name="_Hlk29216459"/>
      <w:bookmarkStart w:id="28" w:name="_Hlk35896592"/>
      <w:r w:rsidRPr="00FC0E00">
        <w:rPr>
          <w:rFonts w:ascii="Book Antiqua" w:eastAsia="宋体" w:hAnsi="Book Antiqua" w:cs="Times New Roman"/>
          <w:b/>
          <w:sz w:val="24"/>
          <w:szCs w:val="24"/>
        </w:rPr>
        <w:t>Peer-review started:</w:t>
      </w:r>
      <w:r w:rsidRPr="00FC0E00">
        <w:rPr>
          <w:rFonts w:ascii="Book Antiqua" w:eastAsia="宋体" w:hAnsi="Book Antiqua" w:cs="Times New Roman"/>
          <w:sz w:val="24"/>
          <w:szCs w:val="24"/>
          <w:lang w:eastAsia="zh-CN"/>
        </w:rPr>
        <w:t xml:space="preserve"> </w:t>
      </w:r>
      <w:r w:rsidRPr="00FC0E00">
        <w:rPr>
          <w:rFonts w:ascii="Book Antiqua" w:eastAsia="等线" w:hAnsi="Book Antiqua" w:cs="Times New Roman"/>
          <w:sz w:val="24"/>
          <w:szCs w:val="24"/>
          <w:lang w:eastAsia="zh-CN"/>
        </w:rPr>
        <w:t>December 3</w:t>
      </w:r>
      <w:r w:rsidRPr="00FC0E00">
        <w:rPr>
          <w:rFonts w:ascii="Book Antiqua" w:eastAsia="宋体" w:hAnsi="Book Antiqua" w:cs="Times New Roman"/>
          <w:sz w:val="24"/>
          <w:szCs w:val="24"/>
          <w:lang w:eastAsia="zh-CN"/>
        </w:rPr>
        <w:t>1, 2019</w:t>
      </w:r>
    </w:p>
    <w:p w14:paraId="5C70194A" w14:textId="418B8382" w:rsidR="00753EB2" w:rsidRPr="00FC0E00" w:rsidRDefault="00753EB2" w:rsidP="00FC0E00">
      <w:pPr>
        <w:snapToGrid w:val="0"/>
        <w:spacing w:after="0" w:line="360" w:lineRule="auto"/>
        <w:jc w:val="both"/>
        <w:rPr>
          <w:rFonts w:ascii="Book Antiqua" w:eastAsia="宋体" w:hAnsi="Book Antiqua" w:cs="Times New Roman"/>
          <w:b/>
          <w:sz w:val="24"/>
          <w:szCs w:val="24"/>
        </w:rPr>
      </w:pPr>
      <w:r w:rsidRPr="00FC0E00">
        <w:rPr>
          <w:rFonts w:ascii="Book Antiqua" w:eastAsia="宋体" w:hAnsi="Book Antiqua" w:cs="Times New Roman"/>
          <w:b/>
          <w:sz w:val="24"/>
          <w:szCs w:val="24"/>
        </w:rPr>
        <w:t>First decision:</w:t>
      </w:r>
      <w:r w:rsidRPr="00FC0E00">
        <w:rPr>
          <w:rFonts w:ascii="Book Antiqua" w:eastAsia="宋体" w:hAnsi="Book Antiqua" w:cs="Times New Roman"/>
          <w:sz w:val="24"/>
          <w:szCs w:val="24"/>
          <w:lang w:eastAsia="zh-CN"/>
        </w:rPr>
        <w:t xml:space="preserve"> March 6, 2020</w:t>
      </w:r>
      <w:r w:rsidRPr="00FC0E00">
        <w:rPr>
          <w:rFonts w:ascii="Book Antiqua" w:eastAsia="宋体" w:hAnsi="Book Antiqua" w:cs="Times New Roman"/>
          <w:sz w:val="24"/>
          <w:szCs w:val="24"/>
        </w:rPr>
        <w:t xml:space="preserve"> </w:t>
      </w:r>
    </w:p>
    <w:p w14:paraId="53871010" w14:textId="29428AD8" w:rsidR="00753EB2" w:rsidRPr="00FC0E00" w:rsidRDefault="00753EB2" w:rsidP="00FC0E00">
      <w:pPr>
        <w:snapToGrid w:val="0"/>
        <w:spacing w:after="0" w:line="360" w:lineRule="auto"/>
        <w:jc w:val="both"/>
        <w:rPr>
          <w:rFonts w:ascii="Book Antiqua" w:eastAsia="宋体" w:hAnsi="Book Antiqua" w:cs="Times New Roman"/>
          <w:sz w:val="24"/>
          <w:szCs w:val="24"/>
          <w:lang w:eastAsia="zh-CN"/>
        </w:rPr>
      </w:pPr>
      <w:r w:rsidRPr="00FC0E00">
        <w:rPr>
          <w:rFonts w:ascii="Book Antiqua" w:eastAsia="宋体" w:hAnsi="Book Antiqua" w:cs="Times New Roman"/>
          <w:b/>
          <w:sz w:val="24"/>
          <w:szCs w:val="24"/>
        </w:rPr>
        <w:t>Article in press:</w:t>
      </w:r>
      <w:bookmarkEnd w:id="27"/>
      <w:r w:rsidR="00861E6A" w:rsidRPr="00861E6A">
        <w:rPr>
          <w:rFonts w:ascii="Book Antiqua" w:eastAsia="宋体" w:hAnsi="Book Antiqua" w:cs="Times New Roman"/>
          <w:bCs/>
          <w:sz w:val="24"/>
          <w:szCs w:val="24"/>
        </w:rPr>
        <w:t xml:space="preserve"> </w:t>
      </w:r>
      <w:r w:rsidR="00861E6A" w:rsidRPr="000304CD">
        <w:rPr>
          <w:rFonts w:ascii="Book Antiqua" w:eastAsia="宋体" w:hAnsi="Book Antiqua" w:cs="Times New Roman"/>
          <w:bCs/>
          <w:sz w:val="24"/>
          <w:szCs w:val="24"/>
        </w:rPr>
        <w:t>April 8, 2020</w:t>
      </w:r>
    </w:p>
    <w:bookmarkEnd w:id="22"/>
    <w:p w14:paraId="7F800A07" w14:textId="77777777" w:rsidR="00753EB2" w:rsidRPr="00FC0E00" w:rsidRDefault="00753EB2" w:rsidP="00FC0E00">
      <w:pPr>
        <w:snapToGrid w:val="0"/>
        <w:spacing w:after="0" w:line="360" w:lineRule="auto"/>
        <w:jc w:val="both"/>
        <w:rPr>
          <w:rFonts w:ascii="Book Antiqua" w:eastAsia="宋体" w:hAnsi="Book Antiqua" w:cs="Times New Roman"/>
          <w:sz w:val="24"/>
          <w:szCs w:val="24"/>
          <w:lang w:eastAsia="zh-CN"/>
        </w:rPr>
      </w:pPr>
    </w:p>
    <w:p w14:paraId="6E0DB509" w14:textId="4D0D15FD" w:rsidR="00753EB2" w:rsidRPr="00FC0E00" w:rsidRDefault="00753EB2" w:rsidP="00FC0E00">
      <w:pPr>
        <w:snapToGrid w:val="0"/>
        <w:spacing w:after="0" w:line="360" w:lineRule="auto"/>
        <w:jc w:val="both"/>
        <w:rPr>
          <w:rFonts w:ascii="Book Antiqua" w:eastAsia="宋体" w:hAnsi="Book Antiqua" w:cs="Helvetica"/>
          <w:b/>
          <w:sz w:val="24"/>
          <w:szCs w:val="24"/>
          <w:lang w:val="el-GR"/>
        </w:rPr>
      </w:pPr>
      <w:bookmarkStart w:id="29" w:name="_Hlk29216517"/>
      <w:bookmarkStart w:id="30" w:name="_Hlk34698666"/>
      <w:r w:rsidRPr="00FC0E00">
        <w:rPr>
          <w:rFonts w:ascii="Book Antiqua" w:eastAsia="宋体" w:hAnsi="Book Antiqua" w:cs="Helvetica"/>
          <w:b/>
          <w:sz w:val="24"/>
          <w:szCs w:val="24"/>
          <w:lang w:val="el-GR"/>
        </w:rPr>
        <w:t xml:space="preserve">Specialty type: </w:t>
      </w:r>
      <w:r w:rsidRPr="00FC0E00">
        <w:rPr>
          <w:rFonts w:ascii="Book Antiqua" w:eastAsia="微软雅黑" w:hAnsi="Book Antiqua" w:cs="宋体"/>
          <w:sz w:val="24"/>
          <w:szCs w:val="24"/>
          <w:lang w:val="en-US" w:eastAsia="zh-CN"/>
        </w:rPr>
        <w:t>Gastroenterology and hepatology</w:t>
      </w:r>
    </w:p>
    <w:p w14:paraId="1EE71C46" w14:textId="0FA29C27" w:rsidR="00753EB2" w:rsidRPr="00FC0E00" w:rsidRDefault="00032189" w:rsidP="00FC0E00">
      <w:pPr>
        <w:snapToGrid w:val="0"/>
        <w:spacing w:after="0" w:line="360" w:lineRule="auto"/>
        <w:jc w:val="both"/>
        <w:rPr>
          <w:rFonts w:ascii="Book Antiqua" w:eastAsia="宋体" w:hAnsi="Book Antiqua" w:cs="Helvetica"/>
          <w:b/>
          <w:sz w:val="24"/>
          <w:szCs w:val="24"/>
          <w:lang w:val="el-GR" w:eastAsia="zh-CN"/>
        </w:rPr>
      </w:pPr>
      <w:r w:rsidRPr="00032189">
        <w:rPr>
          <w:rFonts w:ascii="Book Antiqua" w:eastAsia="宋体" w:hAnsi="Book Antiqua" w:cs="Helvetica"/>
          <w:b/>
          <w:sz w:val="24"/>
          <w:szCs w:val="24"/>
          <w:lang w:val="el-GR"/>
        </w:rPr>
        <w:t>Country/Territory of origin:</w:t>
      </w:r>
      <w:bookmarkStart w:id="31" w:name="_GoBack"/>
      <w:bookmarkEnd w:id="31"/>
      <w:r w:rsidR="00753EB2" w:rsidRPr="00FC0E00">
        <w:rPr>
          <w:rFonts w:ascii="Book Antiqua" w:eastAsia="宋体" w:hAnsi="Book Antiqua" w:cs="Helvetica"/>
          <w:b/>
          <w:sz w:val="24"/>
          <w:szCs w:val="24"/>
          <w:lang w:val="el-GR"/>
        </w:rPr>
        <w:t xml:space="preserve"> </w:t>
      </w:r>
      <w:r w:rsidR="000A0D1F" w:rsidRPr="000A0D1F">
        <w:rPr>
          <w:rFonts w:ascii="Book Antiqua" w:eastAsia="宋体" w:hAnsi="Book Antiqua" w:cs="Helvetica"/>
          <w:bCs/>
          <w:sz w:val="24"/>
          <w:szCs w:val="24"/>
          <w:lang w:val="el-GR"/>
        </w:rPr>
        <w:t>United Kingdom</w:t>
      </w:r>
    </w:p>
    <w:p w14:paraId="16A357AB" w14:textId="77777777" w:rsidR="00032189" w:rsidRDefault="00032189" w:rsidP="00FC0E00">
      <w:pPr>
        <w:snapToGrid w:val="0"/>
        <w:spacing w:after="0" w:line="360" w:lineRule="auto"/>
        <w:jc w:val="both"/>
        <w:rPr>
          <w:rFonts w:ascii="Book Antiqua" w:eastAsia="宋体" w:hAnsi="Book Antiqua" w:cs="Helvetica" w:hint="eastAsia"/>
          <w:b/>
          <w:sz w:val="24"/>
          <w:szCs w:val="24"/>
          <w:lang w:val="el-GR" w:eastAsia="zh-CN"/>
        </w:rPr>
      </w:pPr>
      <w:r w:rsidRPr="00032189">
        <w:rPr>
          <w:rFonts w:ascii="Book Antiqua" w:eastAsia="宋体" w:hAnsi="Book Antiqua" w:cs="Helvetica"/>
          <w:b/>
          <w:sz w:val="24"/>
          <w:szCs w:val="24"/>
          <w:lang w:val="el-GR"/>
        </w:rPr>
        <w:t>Peer-review report’s scientific quality classification</w:t>
      </w:r>
    </w:p>
    <w:p w14:paraId="2BB77820" w14:textId="1366E96E"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A (Excellent): </w:t>
      </w:r>
      <w:r w:rsidR="000A0D1F">
        <w:rPr>
          <w:rFonts w:ascii="Book Antiqua" w:eastAsia="宋体" w:hAnsi="Book Antiqua" w:cs="Helvetica"/>
          <w:sz w:val="24"/>
          <w:szCs w:val="24"/>
          <w:lang w:val="el-GR" w:eastAsia="zh-CN"/>
        </w:rPr>
        <w:t>A</w:t>
      </w:r>
    </w:p>
    <w:p w14:paraId="388836B9" w14:textId="70E8BC5E"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B (Very good): </w:t>
      </w:r>
      <w:r w:rsidR="000A0D1F">
        <w:rPr>
          <w:rFonts w:ascii="Book Antiqua" w:eastAsia="宋体" w:hAnsi="Book Antiqua" w:cs="Helvetica"/>
          <w:sz w:val="24"/>
          <w:szCs w:val="24"/>
          <w:lang w:val="el-GR" w:eastAsia="zh-CN"/>
        </w:rPr>
        <w:t>B, B</w:t>
      </w:r>
    </w:p>
    <w:p w14:paraId="5CA81B8A" w14:textId="33B7AB4F" w:rsidR="00753EB2" w:rsidRPr="00FC0E00" w:rsidRDefault="00753EB2" w:rsidP="00FC0E00">
      <w:pPr>
        <w:snapToGrid w:val="0"/>
        <w:spacing w:after="0" w:line="360" w:lineRule="auto"/>
        <w:jc w:val="both"/>
        <w:rPr>
          <w:rFonts w:ascii="Book Antiqua" w:eastAsia="宋体" w:hAnsi="Book Antiqua" w:cs="Helvetica"/>
          <w:sz w:val="24"/>
          <w:szCs w:val="24"/>
          <w:lang w:val="el-GR" w:eastAsia="zh-CN"/>
        </w:rPr>
      </w:pPr>
      <w:r w:rsidRPr="00FC0E00">
        <w:rPr>
          <w:rFonts w:ascii="Book Antiqua" w:eastAsia="宋体" w:hAnsi="Book Antiqua" w:cs="Helvetica"/>
          <w:sz w:val="24"/>
          <w:szCs w:val="24"/>
          <w:lang w:val="el-GR"/>
        </w:rPr>
        <w:t xml:space="preserve">Grade C (Good): </w:t>
      </w:r>
      <w:r w:rsidR="000A0D1F">
        <w:rPr>
          <w:rFonts w:ascii="Book Antiqua" w:eastAsia="宋体" w:hAnsi="Book Antiqua" w:cs="Helvetica"/>
          <w:sz w:val="24"/>
          <w:szCs w:val="24"/>
          <w:lang w:val="el-GR" w:eastAsia="zh-CN"/>
        </w:rPr>
        <w:t>C</w:t>
      </w:r>
    </w:p>
    <w:p w14:paraId="38357026" w14:textId="625B0498" w:rsidR="00753EB2" w:rsidRPr="00FC0E00" w:rsidRDefault="00753EB2" w:rsidP="00FC0E00">
      <w:pPr>
        <w:snapToGrid w:val="0"/>
        <w:spacing w:after="0" w:line="360" w:lineRule="auto"/>
        <w:jc w:val="both"/>
        <w:rPr>
          <w:rFonts w:ascii="Book Antiqua" w:eastAsia="宋体" w:hAnsi="Book Antiqua" w:cs="Helvetica"/>
          <w:sz w:val="24"/>
          <w:szCs w:val="24"/>
          <w:lang w:val="el-GR"/>
        </w:rPr>
      </w:pPr>
      <w:r w:rsidRPr="00FC0E00">
        <w:rPr>
          <w:rFonts w:ascii="Book Antiqua" w:eastAsia="宋体" w:hAnsi="Book Antiqua" w:cs="Helvetica"/>
          <w:sz w:val="24"/>
          <w:szCs w:val="24"/>
          <w:lang w:val="el-GR"/>
        </w:rPr>
        <w:t xml:space="preserve">Grade D (Fair): </w:t>
      </w:r>
      <w:r w:rsidR="000A0D1F">
        <w:rPr>
          <w:rFonts w:ascii="Book Antiqua" w:eastAsia="宋体" w:hAnsi="Book Antiqua" w:cs="Helvetica"/>
          <w:sz w:val="24"/>
          <w:szCs w:val="24"/>
          <w:lang w:val="el-GR"/>
        </w:rPr>
        <w:t>D</w:t>
      </w:r>
    </w:p>
    <w:p w14:paraId="751C34AC" w14:textId="77777777" w:rsidR="00753EB2" w:rsidRPr="00FC0E00" w:rsidRDefault="00753EB2" w:rsidP="00FC0E00">
      <w:pPr>
        <w:snapToGrid w:val="0"/>
        <w:spacing w:after="0" w:line="360" w:lineRule="auto"/>
        <w:jc w:val="both"/>
        <w:rPr>
          <w:rFonts w:ascii="Book Antiqua" w:eastAsia="宋体" w:hAnsi="Book Antiqua" w:cs="Calibri"/>
          <w:noProof/>
          <w:sz w:val="24"/>
          <w:szCs w:val="24"/>
          <w:lang w:val="en-US"/>
        </w:rPr>
      </w:pPr>
      <w:r w:rsidRPr="00FC0E00">
        <w:rPr>
          <w:rFonts w:ascii="Book Antiqua" w:eastAsia="宋体" w:hAnsi="Book Antiqua" w:cs="Helvetica"/>
          <w:sz w:val="24"/>
          <w:szCs w:val="24"/>
          <w:lang w:val="el-GR"/>
        </w:rPr>
        <w:t>Grade E (Poor): 0</w:t>
      </w:r>
    </w:p>
    <w:bookmarkEnd w:id="29"/>
    <w:p w14:paraId="561DA6A4" w14:textId="77777777" w:rsidR="00753EB2" w:rsidRPr="00FC0E00" w:rsidRDefault="00753EB2" w:rsidP="00FC0E00">
      <w:pPr>
        <w:snapToGrid w:val="0"/>
        <w:spacing w:after="0" w:line="360" w:lineRule="auto"/>
        <w:jc w:val="both"/>
        <w:rPr>
          <w:rFonts w:ascii="Book Antiqua" w:eastAsia="宋体" w:hAnsi="Book Antiqua" w:cs="Calibri"/>
          <w:noProof/>
          <w:sz w:val="24"/>
          <w:szCs w:val="24"/>
          <w:lang w:eastAsia="zh-CN"/>
        </w:rPr>
      </w:pPr>
    </w:p>
    <w:p w14:paraId="4A8EBAAB" w14:textId="57428A61" w:rsidR="00753EB2" w:rsidRPr="00FC0E00" w:rsidRDefault="00753EB2" w:rsidP="00FC0E00">
      <w:pPr>
        <w:widowControl w:val="0"/>
        <w:snapToGrid w:val="0"/>
        <w:spacing w:after="0" w:line="360" w:lineRule="auto"/>
        <w:ind w:right="120"/>
        <w:jc w:val="both"/>
        <w:rPr>
          <w:rFonts w:ascii="Book Antiqua" w:eastAsia="宋体" w:hAnsi="Book Antiqua" w:cs="Courier New"/>
          <w:b/>
          <w:kern w:val="2"/>
          <w:sz w:val="24"/>
          <w:szCs w:val="24"/>
          <w:lang w:val="en-US" w:eastAsia="zh-CN"/>
        </w:rPr>
      </w:pPr>
      <w:bookmarkStart w:id="32" w:name="_Hlk29216555"/>
      <w:r w:rsidRPr="00FC0E00">
        <w:rPr>
          <w:rFonts w:ascii="Book Antiqua" w:eastAsia="宋体" w:hAnsi="Book Antiqua" w:cs="Courier New"/>
          <w:b/>
          <w:kern w:val="2"/>
          <w:sz w:val="24"/>
          <w:szCs w:val="24"/>
          <w:lang w:val="en-US" w:eastAsia="zh-CN"/>
        </w:rPr>
        <w:t>P-Reviewer:</w:t>
      </w:r>
      <w:r w:rsidR="0066523F" w:rsidRPr="0066523F">
        <w:t xml:space="preserve"> </w:t>
      </w:r>
      <w:proofErr w:type="spellStart"/>
      <w:r w:rsidR="00C333DF" w:rsidRPr="0066523F">
        <w:rPr>
          <w:rFonts w:ascii="Book Antiqua" w:eastAsia="宋体" w:hAnsi="Book Antiqua" w:cs="Courier New"/>
          <w:bCs/>
          <w:kern w:val="2"/>
          <w:sz w:val="24"/>
          <w:szCs w:val="24"/>
          <w:lang w:val="en-US" w:eastAsia="zh-CN"/>
        </w:rPr>
        <w:t>Abenavoli</w:t>
      </w:r>
      <w:proofErr w:type="spellEnd"/>
      <w:r w:rsidR="00C333DF" w:rsidRPr="0066523F">
        <w:rPr>
          <w:rFonts w:ascii="Book Antiqua" w:eastAsia="宋体" w:hAnsi="Book Antiqua" w:cs="Courier New"/>
          <w:bCs/>
          <w:kern w:val="2"/>
          <w:sz w:val="24"/>
          <w:szCs w:val="24"/>
          <w:lang w:val="en-US" w:eastAsia="zh-CN"/>
        </w:rPr>
        <w:t xml:space="preserve"> L,</w:t>
      </w:r>
      <w:r w:rsidR="00C333DF">
        <w:rPr>
          <w:rFonts w:ascii="Book Antiqua" w:eastAsia="宋体" w:hAnsi="Book Antiqua" w:cs="Courier New"/>
          <w:bCs/>
          <w:kern w:val="2"/>
          <w:sz w:val="24"/>
          <w:szCs w:val="24"/>
          <w:lang w:val="en-US" w:eastAsia="zh-CN"/>
        </w:rPr>
        <w:t xml:space="preserve"> </w:t>
      </w:r>
      <w:r w:rsidR="00C333DF" w:rsidRPr="0066523F">
        <w:rPr>
          <w:rFonts w:ascii="Book Antiqua" w:eastAsia="宋体" w:hAnsi="Book Antiqua" w:cs="Courier New"/>
          <w:bCs/>
          <w:kern w:val="2"/>
          <w:sz w:val="24"/>
          <w:szCs w:val="24"/>
          <w:lang w:val="en-US" w:eastAsia="zh-CN"/>
        </w:rPr>
        <w:t>Han T,</w:t>
      </w:r>
      <w:r w:rsidR="00C333DF">
        <w:rPr>
          <w:rFonts w:ascii="Book Antiqua" w:eastAsia="宋体" w:hAnsi="Book Antiqua" w:cs="Courier New"/>
          <w:bCs/>
          <w:kern w:val="2"/>
          <w:sz w:val="24"/>
          <w:szCs w:val="24"/>
          <w:lang w:val="en-US" w:eastAsia="zh-CN"/>
        </w:rPr>
        <w:t xml:space="preserve"> </w:t>
      </w:r>
      <w:proofErr w:type="spellStart"/>
      <w:r w:rsidR="0066523F" w:rsidRPr="0066523F">
        <w:rPr>
          <w:rFonts w:ascii="Book Antiqua" w:eastAsia="宋体" w:hAnsi="Book Antiqua" w:cs="Courier New"/>
          <w:bCs/>
          <w:kern w:val="2"/>
          <w:sz w:val="24"/>
          <w:szCs w:val="24"/>
          <w:lang w:val="en-US" w:eastAsia="zh-CN"/>
        </w:rPr>
        <w:t>Pellicano</w:t>
      </w:r>
      <w:proofErr w:type="spellEnd"/>
      <w:r w:rsidR="0066523F" w:rsidRPr="0066523F">
        <w:rPr>
          <w:rFonts w:ascii="Book Antiqua" w:eastAsia="宋体" w:hAnsi="Book Antiqua" w:cs="Courier New"/>
          <w:bCs/>
          <w:kern w:val="2"/>
          <w:sz w:val="24"/>
          <w:szCs w:val="24"/>
          <w:lang w:val="en-US" w:eastAsia="zh-CN"/>
        </w:rPr>
        <w:t xml:space="preserve"> R,</w:t>
      </w:r>
      <w:r w:rsidR="0066523F" w:rsidRPr="0066523F">
        <w:rPr>
          <w:bCs/>
        </w:rPr>
        <w:t xml:space="preserve"> </w:t>
      </w:r>
      <w:proofErr w:type="spellStart"/>
      <w:r w:rsidR="0066523F" w:rsidRPr="0066523F">
        <w:rPr>
          <w:rFonts w:ascii="Book Antiqua" w:eastAsia="宋体" w:hAnsi="Book Antiqua" w:cs="Courier New"/>
          <w:bCs/>
          <w:kern w:val="2"/>
          <w:sz w:val="24"/>
          <w:szCs w:val="24"/>
          <w:lang w:val="en-US" w:eastAsia="zh-CN"/>
        </w:rPr>
        <w:t>Tiribelli</w:t>
      </w:r>
      <w:proofErr w:type="spellEnd"/>
      <w:r w:rsidR="0066523F" w:rsidRPr="0066523F">
        <w:rPr>
          <w:rFonts w:ascii="Book Antiqua" w:eastAsia="宋体" w:hAnsi="Book Antiqua" w:cs="Courier New"/>
          <w:bCs/>
          <w:kern w:val="2"/>
          <w:sz w:val="24"/>
          <w:szCs w:val="24"/>
          <w:lang w:val="en-US" w:eastAsia="zh-CN"/>
        </w:rPr>
        <w:t xml:space="preserve"> C</w:t>
      </w:r>
      <w:r w:rsidR="00C333DF">
        <w:rPr>
          <w:rFonts w:ascii="Book Antiqua" w:eastAsia="宋体" w:hAnsi="Book Antiqua" w:cs="Courier New"/>
          <w:bCs/>
          <w:kern w:val="2"/>
          <w:sz w:val="24"/>
          <w:szCs w:val="24"/>
          <w:lang w:val="en-US" w:eastAsia="zh-CN"/>
        </w:rPr>
        <w:t>,</w:t>
      </w:r>
      <w:r w:rsidR="00C333DF" w:rsidRPr="00C333DF">
        <w:rPr>
          <w:rFonts w:ascii="Book Antiqua" w:eastAsia="宋体" w:hAnsi="Book Antiqua" w:cs="Courier New"/>
          <w:bCs/>
          <w:kern w:val="2"/>
          <w:sz w:val="24"/>
          <w:szCs w:val="24"/>
          <w:lang w:val="en-US" w:eastAsia="zh-CN"/>
        </w:rPr>
        <w:t xml:space="preserve"> </w:t>
      </w:r>
      <w:r w:rsidR="00C333DF" w:rsidRPr="0066523F">
        <w:rPr>
          <w:rFonts w:ascii="Book Antiqua" w:eastAsia="宋体" w:hAnsi="Book Antiqua" w:cs="Courier New"/>
          <w:bCs/>
          <w:kern w:val="2"/>
          <w:sz w:val="24"/>
          <w:szCs w:val="24"/>
          <w:lang w:val="en-US" w:eastAsia="zh-CN"/>
        </w:rPr>
        <w:t>Xu CF</w:t>
      </w:r>
      <w:r w:rsidR="00C333DF">
        <w:rPr>
          <w:rFonts w:ascii="Book Antiqua" w:eastAsia="宋体" w:hAnsi="Book Antiqua" w:cs="Courier New"/>
          <w:bCs/>
          <w:kern w:val="2"/>
          <w:sz w:val="24"/>
          <w:szCs w:val="24"/>
          <w:lang w:val="en-US" w:eastAsia="zh-CN"/>
        </w:rPr>
        <w:t xml:space="preserve"> </w:t>
      </w:r>
      <w:r w:rsidRPr="00FC0E00">
        <w:rPr>
          <w:rFonts w:ascii="Book Antiqua" w:eastAsia="宋体" w:hAnsi="Book Antiqua" w:cs="Courier New"/>
          <w:b/>
          <w:kern w:val="2"/>
          <w:sz w:val="24"/>
          <w:szCs w:val="24"/>
          <w:lang w:val="en-US" w:eastAsia="zh-CN"/>
        </w:rPr>
        <w:t xml:space="preserve">S-Editor: </w:t>
      </w:r>
      <w:r w:rsidRPr="00FC0E00">
        <w:rPr>
          <w:rFonts w:ascii="Book Antiqua" w:eastAsia="宋体" w:hAnsi="Book Antiqua" w:cs="Courier New"/>
          <w:kern w:val="2"/>
          <w:sz w:val="24"/>
          <w:szCs w:val="24"/>
          <w:lang w:val="en-US" w:eastAsia="zh-CN"/>
        </w:rPr>
        <w:t>Wang YQ</w:t>
      </w:r>
      <w:r w:rsidRPr="00FC0E00">
        <w:rPr>
          <w:rFonts w:ascii="Book Antiqua" w:eastAsia="宋体" w:hAnsi="Book Antiqua" w:cs="Courier New"/>
          <w:b/>
          <w:kern w:val="2"/>
          <w:sz w:val="24"/>
          <w:szCs w:val="24"/>
          <w:lang w:val="en-US" w:eastAsia="zh-CN"/>
        </w:rPr>
        <w:t xml:space="preserve"> L-Editor: E-Editor:</w:t>
      </w:r>
      <w:bookmarkEnd w:id="32"/>
      <w:r w:rsidRPr="00FC0E00">
        <w:rPr>
          <w:rFonts w:ascii="Book Antiqua" w:eastAsia="宋体" w:hAnsi="Book Antiqua" w:cs="Courier New"/>
          <w:b/>
          <w:kern w:val="2"/>
          <w:sz w:val="24"/>
          <w:szCs w:val="24"/>
          <w:lang w:val="en-US" w:eastAsia="zh-CN"/>
        </w:rPr>
        <w:t xml:space="preserve"> </w:t>
      </w:r>
      <w:bookmarkEnd w:id="23"/>
      <w:r w:rsidR="00861E6A">
        <w:rPr>
          <w:rFonts w:ascii="Book Antiqua" w:eastAsia="宋体" w:hAnsi="Book Antiqua" w:cs="Courier New" w:hint="eastAsia"/>
          <w:b/>
          <w:kern w:val="2"/>
          <w:sz w:val="24"/>
          <w:szCs w:val="24"/>
          <w:lang w:val="en-US" w:eastAsia="zh-CN"/>
        </w:rPr>
        <w:t xml:space="preserve"> </w:t>
      </w:r>
      <w:r w:rsidR="00861E6A" w:rsidRPr="00861E6A">
        <w:rPr>
          <w:rFonts w:ascii="Book Antiqua" w:eastAsia="宋体" w:hAnsi="Book Antiqua" w:cs="Courier New" w:hint="eastAsia"/>
          <w:kern w:val="2"/>
          <w:sz w:val="24"/>
          <w:szCs w:val="24"/>
          <w:lang w:val="en-US" w:eastAsia="zh-CN"/>
        </w:rPr>
        <w:t>Ma YJ</w:t>
      </w:r>
      <w:r w:rsidRPr="00FC0E00">
        <w:rPr>
          <w:rFonts w:ascii="Book Antiqua" w:eastAsia="宋体" w:hAnsi="Book Antiqua" w:cs="Times New Roman"/>
          <w:b/>
          <w:sz w:val="24"/>
          <w:szCs w:val="24"/>
          <w:lang w:val="el-GR"/>
        </w:rPr>
        <w:br w:type="page"/>
      </w:r>
    </w:p>
    <w:bookmarkEnd w:id="24"/>
    <w:bookmarkEnd w:id="25"/>
    <w:bookmarkEnd w:id="28"/>
    <w:bookmarkEnd w:id="30"/>
    <w:p w14:paraId="3B35F37B" w14:textId="77777777" w:rsidR="00753EB2" w:rsidRPr="00FC0E00" w:rsidRDefault="00753EB2" w:rsidP="00FC0E00">
      <w:pPr>
        <w:autoSpaceDE w:val="0"/>
        <w:autoSpaceDN w:val="0"/>
        <w:adjustRightInd w:val="0"/>
        <w:snapToGrid w:val="0"/>
        <w:spacing w:after="0" w:line="360" w:lineRule="auto"/>
        <w:jc w:val="both"/>
        <w:rPr>
          <w:rFonts w:ascii="Book Antiqua" w:eastAsia="宋体" w:hAnsi="Book Antiqua" w:cs="Calibri"/>
          <w:b/>
          <w:sz w:val="24"/>
          <w:szCs w:val="24"/>
        </w:rPr>
      </w:pPr>
    </w:p>
    <w:bookmarkEnd w:id="14"/>
    <w:p w14:paraId="64024656" w14:textId="77777777" w:rsidR="0019202D" w:rsidRPr="00FC0E00" w:rsidRDefault="0019202D" w:rsidP="00FC0E00">
      <w:pPr>
        <w:snapToGrid w:val="0"/>
        <w:spacing w:after="0" w:line="360" w:lineRule="auto"/>
        <w:jc w:val="both"/>
        <w:rPr>
          <w:rFonts w:ascii="Book Antiqua" w:hAnsi="Book Antiqua"/>
          <w:sz w:val="24"/>
          <w:szCs w:val="24"/>
        </w:rPr>
      </w:pPr>
      <w:r w:rsidRPr="00FC0E00">
        <w:rPr>
          <w:rFonts w:ascii="Book Antiqua" w:hAnsi="Book Antiqua"/>
          <w:noProof/>
          <w:sz w:val="24"/>
          <w:szCs w:val="24"/>
          <w:lang w:val="en-US" w:eastAsia="zh-CN"/>
        </w:rPr>
        <w:drawing>
          <wp:inline distT="0" distB="0" distL="0" distR="0" wp14:anchorId="60192825" wp14:editId="581336AC">
            <wp:extent cx="5255941" cy="38957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651430F" w14:textId="20C8F214" w:rsidR="0019202D" w:rsidRPr="00FC0E00" w:rsidRDefault="0019202D" w:rsidP="00FC0E00">
      <w:pPr>
        <w:snapToGrid w:val="0"/>
        <w:spacing w:after="0" w:line="360" w:lineRule="auto"/>
        <w:jc w:val="both"/>
        <w:rPr>
          <w:rFonts w:ascii="Book Antiqua" w:hAnsi="Book Antiqua"/>
          <w:sz w:val="24"/>
          <w:szCs w:val="24"/>
        </w:rPr>
      </w:pPr>
      <w:r w:rsidRPr="00FC0E00">
        <w:rPr>
          <w:rFonts w:ascii="Book Antiqua" w:hAnsi="Book Antiqua"/>
          <w:b/>
          <w:sz w:val="24"/>
          <w:szCs w:val="24"/>
        </w:rPr>
        <w:t>Fig</w:t>
      </w:r>
      <w:r w:rsidR="006F7AE6" w:rsidRPr="00FC0E00">
        <w:rPr>
          <w:rFonts w:ascii="Book Antiqua" w:hAnsi="Book Antiqua"/>
          <w:b/>
          <w:sz w:val="24"/>
          <w:szCs w:val="24"/>
        </w:rPr>
        <w:t>ure</w:t>
      </w:r>
      <w:r w:rsidRPr="00FC0E00">
        <w:rPr>
          <w:rFonts w:ascii="Book Antiqua" w:hAnsi="Book Antiqua"/>
          <w:b/>
          <w:sz w:val="24"/>
          <w:szCs w:val="24"/>
        </w:rPr>
        <w:t xml:space="preserve"> 1</w:t>
      </w:r>
      <w:r w:rsidR="006F7AE6" w:rsidRPr="00FC0E00">
        <w:rPr>
          <w:rFonts w:ascii="Book Antiqua" w:hAnsi="Book Antiqua"/>
          <w:b/>
          <w:sz w:val="24"/>
          <w:szCs w:val="24"/>
        </w:rPr>
        <w:t xml:space="preserve"> </w:t>
      </w:r>
      <w:r w:rsidRPr="00FC0E00">
        <w:rPr>
          <w:rFonts w:ascii="Book Antiqua" w:hAnsi="Book Antiqua"/>
          <w:b/>
          <w:sz w:val="24"/>
          <w:szCs w:val="24"/>
        </w:rPr>
        <w:t xml:space="preserve">Potential pathogenic mechanisms of uric acid associated </w:t>
      </w:r>
      <w:r w:rsidR="00DE405A" w:rsidRPr="00DE405A">
        <w:rPr>
          <w:rFonts w:ascii="Book Antiqua" w:hAnsi="Book Antiqua"/>
          <w:b/>
          <w:sz w:val="24"/>
          <w:szCs w:val="24"/>
        </w:rPr>
        <w:t>non-alcoholic fatty liver disease</w:t>
      </w:r>
      <w:r w:rsidR="006F7AE6" w:rsidRPr="00FC0E00">
        <w:rPr>
          <w:rFonts w:ascii="Book Antiqua" w:hAnsi="Book Antiqua"/>
          <w:sz w:val="24"/>
          <w:szCs w:val="24"/>
        </w:rPr>
        <w:t>.</w:t>
      </w:r>
      <w:r w:rsidRPr="00FC0E00">
        <w:rPr>
          <w:rFonts w:ascii="Book Antiqua" w:hAnsi="Book Antiqua"/>
          <w:sz w:val="24"/>
          <w:szCs w:val="24"/>
        </w:rPr>
        <w:t xml:space="preserve"> </w:t>
      </w:r>
      <w:r w:rsidR="00DE405A" w:rsidRPr="00FC0E00">
        <w:rPr>
          <w:rFonts w:ascii="Book Antiqua" w:hAnsi="Book Antiqua" w:cs="AdvGulliv-R"/>
          <w:sz w:val="24"/>
          <w:szCs w:val="24"/>
        </w:rPr>
        <w:t>NLRP3</w:t>
      </w:r>
      <w:r w:rsidR="00DE405A">
        <w:rPr>
          <w:rFonts w:ascii="Book Antiqua" w:hAnsi="Book Antiqua" w:cs="AdvGulliv-R"/>
          <w:sz w:val="24"/>
          <w:szCs w:val="24"/>
        </w:rPr>
        <w:t xml:space="preserve">: </w:t>
      </w:r>
      <w:r w:rsidR="001D27BC" w:rsidRPr="00FC0E00">
        <w:rPr>
          <w:rFonts w:ascii="Book Antiqua" w:hAnsi="Book Antiqua" w:cs="AdvGulliv-R"/>
          <w:sz w:val="24"/>
          <w:szCs w:val="24"/>
        </w:rPr>
        <w:t>NOD-like receptor family pyrin domain containing 3</w:t>
      </w:r>
      <w:r w:rsidR="00DE405A">
        <w:rPr>
          <w:rFonts w:ascii="Book Antiqua" w:hAnsi="Book Antiqua"/>
          <w:sz w:val="24"/>
          <w:szCs w:val="24"/>
        </w:rPr>
        <w:t>;</w:t>
      </w:r>
      <w:r w:rsidR="001D27BC" w:rsidRPr="001D27BC">
        <w:rPr>
          <w:rFonts w:ascii="Book Antiqua" w:hAnsi="Book Antiqua"/>
          <w:sz w:val="24"/>
          <w:szCs w:val="24"/>
        </w:rPr>
        <w:t xml:space="preserve"> </w:t>
      </w:r>
      <w:r w:rsidR="003E58B6" w:rsidRPr="00FC0E00">
        <w:rPr>
          <w:rFonts w:ascii="Book Antiqua" w:hAnsi="Book Antiqua"/>
          <w:sz w:val="24"/>
          <w:szCs w:val="24"/>
          <w:lang w:val="en"/>
        </w:rPr>
        <w:t>ER</w:t>
      </w:r>
      <w:r w:rsidR="003E58B6">
        <w:rPr>
          <w:rFonts w:ascii="Book Antiqua" w:hAnsi="Book Antiqua"/>
          <w:sz w:val="24"/>
          <w:szCs w:val="24"/>
          <w:lang w:val="en"/>
        </w:rPr>
        <w:t>:</w:t>
      </w:r>
      <w:r w:rsidR="003E58B6" w:rsidRPr="00FC0E00">
        <w:rPr>
          <w:rFonts w:ascii="Book Antiqua" w:hAnsi="Book Antiqua"/>
          <w:sz w:val="24"/>
          <w:szCs w:val="24"/>
          <w:lang w:val="en"/>
        </w:rPr>
        <w:t xml:space="preserve"> Endoplasmic </w:t>
      </w:r>
      <w:r w:rsidR="001D27BC" w:rsidRPr="00FC0E00">
        <w:rPr>
          <w:rFonts w:ascii="Book Antiqua" w:hAnsi="Book Antiqua"/>
          <w:sz w:val="24"/>
          <w:szCs w:val="24"/>
          <w:lang w:val="en"/>
        </w:rPr>
        <w:t>reticulum</w:t>
      </w:r>
      <w:r w:rsidR="003E58B6">
        <w:rPr>
          <w:rFonts w:ascii="Book Antiqua" w:hAnsi="Book Antiqua"/>
          <w:sz w:val="24"/>
          <w:szCs w:val="24"/>
          <w:lang w:val="en"/>
        </w:rPr>
        <w:t>;</w:t>
      </w:r>
      <w:r w:rsidR="001D27BC" w:rsidRPr="001D27BC">
        <w:rPr>
          <w:rFonts w:ascii="Book Antiqua" w:hAnsi="Book Antiqua" w:cs="AdvMinionNormal_Rm"/>
          <w:sz w:val="24"/>
          <w:szCs w:val="24"/>
        </w:rPr>
        <w:t xml:space="preserve"> </w:t>
      </w:r>
      <w:r w:rsidR="003E58B6" w:rsidRPr="00FC0E00">
        <w:rPr>
          <w:rFonts w:ascii="Book Antiqua" w:hAnsi="Book Antiqua" w:cs="AdvMyriad_R"/>
          <w:sz w:val="24"/>
          <w:szCs w:val="24"/>
        </w:rPr>
        <w:t>SREBP-1</w:t>
      </w:r>
      <w:r w:rsidR="003E58B6">
        <w:rPr>
          <w:rFonts w:ascii="Book Antiqua" w:hAnsi="Book Antiqua" w:cs="AdvMyriad_R"/>
          <w:sz w:val="24"/>
          <w:szCs w:val="24"/>
        </w:rPr>
        <w:t>:</w:t>
      </w:r>
      <w:r w:rsidR="003E58B6" w:rsidRPr="00FC0E00">
        <w:rPr>
          <w:rFonts w:ascii="Book Antiqua" w:hAnsi="Book Antiqua" w:cs="AdvMinionNormal_Rm"/>
          <w:sz w:val="24"/>
          <w:szCs w:val="24"/>
        </w:rPr>
        <w:t xml:space="preserve"> Sterol </w:t>
      </w:r>
      <w:r w:rsidR="001D27BC" w:rsidRPr="00FC0E00">
        <w:rPr>
          <w:rFonts w:ascii="Book Antiqua" w:hAnsi="Book Antiqua" w:cs="AdvMinionNormal_Rm"/>
          <w:sz w:val="24"/>
          <w:szCs w:val="24"/>
        </w:rPr>
        <w:t>regulatory element-binding protein</w:t>
      </w:r>
      <w:r w:rsidR="003E58B6">
        <w:rPr>
          <w:rFonts w:ascii="Book Antiqua" w:hAnsi="Book Antiqua" w:cs="AdvMinionNormal_Rm"/>
          <w:sz w:val="24"/>
          <w:szCs w:val="24"/>
        </w:rPr>
        <w:t xml:space="preserve"> </w:t>
      </w:r>
      <w:r w:rsidR="001D27BC" w:rsidRPr="00FC0E00">
        <w:rPr>
          <w:rFonts w:ascii="Book Antiqua" w:hAnsi="Book Antiqua" w:cs="AdvMinionNormal_Rm"/>
          <w:sz w:val="24"/>
          <w:szCs w:val="24"/>
        </w:rPr>
        <w:t>1</w:t>
      </w:r>
      <w:r w:rsidR="003E58B6">
        <w:rPr>
          <w:rFonts w:ascii="Book Antiqua" w:hAnsi="Book Antiqua" w:cs="AdvGulliv-R"/>
          <w:sz w:val="24"/>
          <w:szCs w:val="24"/>
        </w:rPr>
        <w:t>;</w:t>
      </w:r>
      <w:r w:rsidR="003E58B6" w:rsidRPr="003E58B6">
        <w:rPr>
          <w:rFonts w:ascii="Book Antiqua" w:hAnsi="Book Antiqua"/>
          <w:sz w:val="24"/>
          <w:szCs w:val="24"/>
        </w:rPr>
        <w:t xml:space="preserve"> </w:t>
      </w:r>
      <w:r w:rsidR="003E58B6" w:rsidRPr="00FC0E00">
        <w:rPr>
          <w:rFonts w:ascii="Book Antiqua" w:hAnsi="Book Antiqua"/>
          <w:sz w:val="24"/>
          <w:szCs w:val="24"/>
        </w:rPr>
        <w:t>NOX4</w:t>
      </w:r>
      <w:r w:rsidR="003E58B6">
        <w:rPr>
          <w:rFonts w:ascii="Book Antiqua" w:hAnsi="Book Antiqua"/>
          <w:sz w:val="24"/>
          <w:szCs w:val="24"/>
        </w:rPr>
        <w:t xml:space="preserve">: </w:t>
      </w:r>
      <w:r w:rsidR="003E58B6" w:rsidRPr="00FC0E00">
        <w:rPr>
          <w:rFonts w:ascii="Book Antiqua" w:hAnsi="Book Antiqua"/>
          <w:sz w:val="24"/>
          <w:szCs w:val="24"/>
        </w:rPr>
        <w:t>NADPH oxidase subunit-4</w:t>
      </w:r>
      <w:r w:rsidR="003E58B6">
        <w:rPr>
          <w:rFonts w:ascii="Book Antiqua" w:hAnsi="Book Antiqua"/>
          <w:sz w:val="24"/>
          <w:szCs w:val="24"/>
        </w:rPr>
        <w:t>;</w:t>
      </w:r>
      <w:r w:rsidR="003E58B6" w:rsidRPr="001D27BC">
        <w:rPr>
          <w:rFonts w:ascii="Book Antiqua" w:hAnsi="Book Antiqua"/>
          <w:sz w:val="24"/>
          <w:szCs w:val="24"/>
          <w:lang w:val="en"/>
        </w:rPr>
        <w:t xml:space="preserve"> </w:t>
      </w:r>
      <w:r w:rsidR="003E58B6" w:rsidRPr="00FC0E00">
        <w:rPr>
          <w:rFonts w:ascii="Book Antiqua" w:hAnsi="Book Antiqua"/>
          <w:sz w:val="24"/>
          <w:szCs w:val="24"/>
        </w:rPr>
        <w:t>ROS</w:t>
      </w:r>
      <w:r w:rsidR="003E58B6">
        <w:rPr>
          <w:rFonts w:ascii="Book Antiqua" w:hAnsi="Book Antiqua"/>
          <w:sz w:val="24"/>
          <w:szCs w:val="24"/>
        </w:rPr>
        <w:t>:</w:t>
      </w:r>
      <w:r w:rsidR="003E58B6" w:rsidRPr="00FC0E00">
        <w:rPr>
          <w:rFonts w:ascii="Book Antiqua" w:hAnsi="Book Antiqua"/>
          <w:sz w:val="24"/>
          <w:szCs w:val="24"/>
        </w:rPr>
        <w:t xml:space="preserve"> Reactive oxygen species</w:t>
      </w:r>
      <w:r w:rsidR="003E58B6">
        <w:rPr>
          <w:rFonts w:ascii="Book Antiqua" w:hAnsi="Book Antiqua" w:cs="AdvMinionNormal_Rm"/>
          <w:sz w:val="24"/>
          <w:szCs w:val="24"/>
        </w:rPr>
        <w:t>.</w:t>
      </w:r>
    </w:p>
    <w:sectPr w:rsidR="0019202D" w:rsidRPr="00FC0E00" w:rsidSect="005A455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81C4" w14:textId="77777777" w:rsidR="001F7F56" w:rsidRDefault="001F7F56" w:rsidP="009076C6">
      <w:pPr>
        <w:spacing w:after="0" w:line="240" w:lineRule="auto"/>
      </w:pPr>
      <w:r>
        <w:separator/>
      </w:r>
    </w:p>
  </w:endnote>
  <w:endnote w:type="continuationSeparator" w:id="0">
    <w:p w14:paraId="3B1EB82F" w14:textId="77777777" w:rsidR="001F7F56" w:rsidRDefault="001F7F56" w:rsidP="0090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roman"/>
    <w:notTrueType/>
    <w:pitch w:val="fixed"/>
    <w:sig w:usb0="00000001" w:usb1="08070000" w:usb2="00000010" w:usb3="00000000" w:csb0="00020000" w:csb1="00000000"/>
  </w:font>
  <w:font w:name="微软雅黑">
    <w:panose1 w:val="020B0503020204020204"/>
    <w:charset w:val="86"/>
    <w:family w:val="swiss"/>
    <w:pitch w:val="variable"/>
    <w:sig w:usb0="80000287" w:usb1="2ACF3C50" w:usb2="00000016" w:usb3="00000000" w:csb0="0004001F" w:csb1="00000000"/>
  </w:font>
  <w:font w:name="AdvMyriad_R">
    <w:panose1 w:val="00000000000000000000"/>
    <w:charset w:val="00"/>
    <w:family w:val="swiss"/>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roman"/>
    <w:notTrueType/>
    <w:pitch w:val="default"/>
    <w:sig w:usb0="00000003" w:usb1="00000000" w:usb2="00000000" w:usb3="00000000" w:csb0="00000001" w:csb1="00000000"/>
  </w:font>
  <w:font w:name="AdvPSMP13">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0EF92" w14:textId="77777777" w:rsidR="001F7F56" w:rsidRDefault="001F7F56" w:rsidP="009076C6">
      <w:pPr>
        <w:spacing w:after="0" w:line="240" w:lineRule="auto"/>
      </w:pPr>
      <w:r>
        <w:separator/>
      </w:r>
    </w:p>
  </w:footnote>
  <w:footnote w:type="continuationSeparator" w:id="0">
    <w:p w14:paraId="5D0B9E33" w14:textId="77777777" w:rsidR="001F7F56" w:rsidRDefault="001F7F56" w:rsidP="00907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68"/>
    <w:rsid w:val="00014623"/>
    <w:rsid w:val="0002543A"/>
    <w:rsid w:val="000304CD"/>
    <w:rsid w:val="00031A84"/>
    <w:rsid w:val="00032189"/>
    <w:rsid w:val="00033398"/>
    <w:rsid w:val="00041CFE"/>
    <w:rsid w:val="00046569"/>
    <w:rsid w:val="00073809"/>
    <w:rsid w:val="000910BC"/>
    <w:rsid w:val="00095D41"/>
    <w:rsid w:val="00097691"/>
    <w:rsid w:val="000A0D1F"/>
    <w:rsid w:val="000A407B"/>
    <w:rsid w:val="000B3AFD"/>
    <w:rsid w:val="000C4FFD"/>
    <w:rsid w:val="000C5948"/>
    <w:rsid w:val="000F336D"/>
    <w:rsid w:val="00102BB6"/>
    <w:rsid w:val="0012282F"/>
    <w:rsid w:val="001478C9"/>
    <w:rsid w:val="001526E0"/>
    <w:rsid w:val="00163FB6"/>
    <w:rsid w:val="0018248F"/>
    <w:rsid w:val="001832F0"/>
    <w:rsid w:val="0018500E"/>
    <w:rsid w:val="0018557E"/>
    <w:rsid w:val="0019202D"/>
    <w:rsid w:val="001A405A"/>
    <w:rsid w:val="001B4795"/>
    <w:rsid w:val="001B4DFF"/>
    <w:rsid w:val="001C6342"/>
    <w:rsid w:val="001C76EA"/>
    <w:rsid w:val="001D0077"/>
    <w:rsid w:val="001D0245"/>
    <w:rsid w:val="001D27BC"/>
    <w:rsid w:val="001E2798"/>
    <w:rsid w:val="001F3B6B"/>
    <w:rsid w:val="001F4989"/>
    <w:rsid w:val="001F7F56"/>
    <w:rsid w:val="002012BF"/>
    <w:rsid w:val="002035B0"/>
    <w:rsid w:val="00204EC8"/>
    <w:rsid w:val="0022259B"/>
    <w:rsid w:val="00226AE6"/>
    <w:rsid w:val="002313E7"/>
    <w:rsid w:val="00244071"/>
    <w:rsid w:val="002722A7"/>
    <w:rsid w:val="0029652A"/>
    <w:rsid w:val="002A3E90"/>
    <w:rsid w:val="002B4943"/>
    <w:rsid w:val="002C25A2"/>
    <w:rsid w:val="002F05F3"/>
    <w:rsid w:val="002F486C"/>
    <w:rsid w:val="0030469F"/>
    <w:rsid w:val="0031050A"/>
    <w:rsid w:val="00314933"/>
    <w:rsid w:val="00327144"/>
    <w:rsid w:val="00330F1A"/>
    <w:rsid w:val="00333CAA"/>
    <w:rsid w:val="003643C0"/>
    <w:rsid w:val="0038283D"/>
    <w:rsid w:val="00387D78"/>
    <w:rsid w:val="0039495C"/>
    <w:rsid w:val="003B4766"/>
    <w:rsid w:val="003C08BD"/>
    <w:rsid w:val="003C7C64"/>
    <w:rsid w:val="003D1BB5"/>
    <w:rsid w:val="003E58B6"/>
    <w:rsid w:val="003F5878"/>
    <w:rsid w:val="00403CE2"/>
    <w:rsid w:val="0041716E"/>
    <w:rsid w:val="004229D0"/>
    <w:rsid w:val="00444FB5"/>
    <w:rsid w:val="00450BA5"/>
    <w:rsid w:val="00456B39"/>
    <w:rsid w:val="00483808"/>
    <w:rsid w:val="004966CB"/>
    <w:rsid w:val="00496989"/>
    <w:rsid w:val="004A021D"/>
    <w:rsid w:val="004B7D4C"/>
    <w:rsid w:val="004C71BF"/>
    <w:rsid w:val="004E3A76"/>
    <w:rsid w:val="004F3A42"/>
    <w:rsid w:val="00506394"/>
    <w:rsid w:val="00507679"/>
    <w:rsid w:val="00511349"/>
    <w:rsid w:val="005134A9"/>
    <w:rsid w:val="00536AAD"/>
    <w:rsid w:val="00551CB4"/>
    <w:rsid w:val="00572E17"/>
    <w:rsid w:val="00592D07"/>
    <w:rsid w:val="005A4555"/>
    <w:rsid w:val="005C1ADA"/>
    <w:rsid w:val="005C2B5E"/>
    <w:rsid w:val="005F724D"/>
    <w:rsid w:val="00603C5B"/>
    <w:rsid w:val="00605BE4"/>
    <w:rsid w:val="00612A1F"/>
    <w:rsid w:val="00612D8C"/>
    <w:rsid w:val="00613A35"/>
    <w:rsid w:val="00627E3E"/>
    <w:rsid w:val="00641B0D"/>
    <w:rsid w:val="00646403"/>
    <w:rsid w:val="0065585B"/>
    <w:rsid w:val="00663A0E"/>
    <w:rsid w:val="0066523F"/>
    <w:rsid w:val="006828A8"/>
    <w:rsid w:val="006873E4"/>
    <w:rsid w:val="00694B2B"/>
    <w:rsid w:val="006956F1"/>
    <w:rsid w:val="00695C4D"/>
    <w:rsid w:val="006B4DB0"/>
    <w:rsid w:val="006D1EC2"/>
    <w:rsid w:val="006E7421"/>
    <w:rsid w:val="006F5C50"/>
    <w:rsid w:val="006F7AE6"/>
    <w:rsid w:val="0070186F"/>
    <w:rsid w:val="0070604A"/>
    <w:rsid w:val="007250C7"/>
    <w:rsid w:val="00734A04"/>
    <w:rsid w:val="00741133"/>
    <w:rsid w:val="00753EB2"/>
    <w:rsid w:val="00757E76"/>
    <w:rsid w:val="00757F6A"/>
    <w:rsid w:val="00766D5D"/>
    <w:rsid w:val="007755A4"/>
    <w:rsid w:val="00781F0A"/>
    <w:rsid w:val="00794E50"/>
    <w:rsid w:val="007C4F5D"/>
    <w:rsid w:val="007F19FD"/>
    <w:rsid w:val="008023DA"/>
    <w:rsid w:val="00810B2A"/>
    <w:rsid w:val="008521B7"/>
    <w:rsid w:val="00855E3E"/>
    <w:rsid w:val="00860257"/>
    <w:rsid w:val="00860922"/>
    <w:rsid w:val="00861E6A"/>
    <w:rsid w:val="008922D4"/>
    <w:rsid w:val="00895B58"/>
    <w:rsid w:val="008A107F"/>
    <w:rsid w:val="008C6D35"/>
    <w:rsid w:val="008D3ED1"/>
    <w:rsid w:val="008D7FD9"/>
    <w:rsid w:val="008E14AA"/>
    <w:rsid w:val="008F104A"/>
    <w:rsid w:val="008F37C2"/>
    <w:rsid w:val="008F53FB"/>
    <w:rsid w:val="00906FA8"/>
    <w:rsid w:val="009076C6"/>
    <w:rsid w:val="00914D41"/>
    <w:rsid w:val="00945D37"/>
    <w:rsid w:val="00961068"/>
    <w:rsid w:val="00962391"/>
    <w:rsid w:val="009623D2"/>
    <w:rsid w:val="00967066"/>
    <w:rsid w:val="00986FDF"/>
    <w:rsid w:val="00995058"/>
    <w:rsid w:val="009A747A"/>
    <w:rsid w:val="009B24B0"/>
    <w:rsid w:val="009C12A7"/>
    <w:rsid w:val="009E3D98"/>
    <w:rsid w:val="009E4DF2"/>
    <w:rsid w:val="00A03ADF"/>
    <w:rsid w:val="00A12913"/>
    <w:rsid w:val="00A22F89"/>
    <w:rsid w:val="00A26546"/>
    <w:rsid w:val="00A324B9"/>
    <w:rsid w:val="00A44D1A"/>
    <w:rsid w:val="00A55928"/>
    <w:rsid w:val="00A56753"/>
    <w:rsid w:val="00A779C4"/>
    <w:rsid w:val="00A9158B"/>
    <w:rsid w:val="00A96662"/>
    <w:rsid w:val="00AA702B"/>
    <w:rsid w:val="00AB7027"/>
    <w:rsid w:val="00AC0BB8"/>
    <w:rsid w:val="00AC537A"/>
    <w:rsid w:val="00B02A2B"/>
    <w:rsid w:val="00B07C19"/>
    <w:rsid w:val="00B40348"/>
    <w:rsid w:val="00B42218"/>
    <w:rsid w:val="00B4690E"/>
    <w:rsid w:val="00B56FF3"/>
    <w:rsid w:val="00B60036"/>
    <w:rsid w:val="00B62D5C"/>
    <w:rsid w:val="00B661E0"/>
    <w:rsid w:val="00B67CF0"/>
    <w:rsid w:val="00B751B6"/>
    <w:rsid w:val="00B95B10"/>
    <w:rsid w:val="00BB18C8"/>
    <w:rsid w:val="00BB239C"/>
    <w:rsid w:val="00BC1A13"/>
    <w:rsid w:val="00BD4DFC"/>
    <w:rsid w:val="00BE6A9E"/>
    <w:rsid w:val="00BF47A7"/>
    <w:rsid w:val="00C028B8"/>
    <w:rsid w:val="00C13DFC"/>
    <w:rsid w:val="00C1541E"/>
    <w:rsid w:val="00C333DF"/>
    <w:rsid w:val="00C45B63"/>
    <w:rsid w:val="00C511BC"/>
    <w:rsid w:val="00C56A36"/>
    <w:rsid w:val="00C619C2"/>
    <w:rsid w:val="00C6439E"/>
    <w:rsid w:val="00C64961"/>
    <w:rsid w:val="00C75D2B"/>
    <w:rsid w:val="00C94AD8"/>
    <w:rsid w:val="00CA4E0A"/>
    <w:rsid w:val="00CB2200"/>
    <w:rsid w:val="00CB303F"/>
    <w:rsid w:val="00CB39F6"/>
    <w:rsid w:val="00CC44E4"/>
    <w:rsid w:val="00CD2171"/>
    <w:rsid w:val="00CE3F35"/>
    <w:rsid w:val="00CF7E45"/>
    <w:rsid w:val="00D424F4"/>
    <w:rsid w:val="00D46D57"/>
    <w:rsid w:val="00D5029C"/>
    <w:rsid w:val="00D5109C"/>
    <w:rsid w:val="00D53451"/>
    <w:rsid w:val="00D54476"/>
    <w:rsid w:val="00D70D3B"/>
    <w:rsid w:val="00D84365"/>
    <w:rsid w:val="00D87DF2"/>
    <w:rsid w:val="00D904BE"/>
    <w:rsid w:val="00DC4A75"/>
    <w:rsid w:val="00DC708F"/>
    <w:rsid w:val="00DD27B8"/>
    <w:rsid w:val="00DD492D"/>
    <w:rsid w:val="00DE405A"/>
    <w:rsid w:val="00E00792"/>
    <w:rsid w:val="00E12F1F"/>
    <w:rsid w:val="00E17365"/>
    <w:rsid w:val="00E30113"/>
    <w:rsid w:val="00E51710"/>
    <w:rsid w:val="00E56890"/>
    <w:rsid w:val="00E60F1F"/>
    <w:rsid w:val="00E662B4"/>
    <w:rsid w:val="00E7023C"/>
    <w:rsid w:val="00E80E54"/>
    <w:rsid w:val="00E8477B"/>
    <w:rsid w:val="00EA65CE"/>
    <w:rsid w:val="00EB5BC9"/>
    <w:rsid w:val="00EC10D6"/>
    <w:rsid w:val="00EF2557"/>
    <w:rsid w:val="00F02E85"/>
    <w:rsid w:val="00F11A5C"/>
    <w:rsid w:val="00F22EF6"/>
    <w:rsid w:val="00F32550"/>
    <w:rsid w:val="00F60923"/>
    <w:rsid w:val="00F75DBA"/>
    <w:rsid w:val="00FA2DD7"/>
    <w:rsid w:val="00FB50B6"/>
    <w:rsid w:val="00FB6F16"/>
    <w:rsid w:val="00FC0E00"/>
    <w:rsid w:val="00FD23D3"/>
    <w:rsid w:val="00FD5178"/>
    <w:rsid w:val="00FE4EE1"/>
    <w:rsid w:val="00FF49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A0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8"/>
    <w:pPr>
      <w:spacing w:line="256" w:lineRule="auto"/>
    </w:pPr>
  </w:style>
  <w:style w:type="paragraph" w:styleId="1">
    <w:name w:val="heading 1"/>
    <w:basedOn w:val="a"/>
    <w:next w:val="a"/>
    <w:link w:val="1Char"/>
    <w:uiPriority w:val="9"/>
    <w:qFormat/>
    <w:rsid w:val="00CC4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87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173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612A1F"/>
    <w:rPr>
      <w:color w:val="0000FF"/>
      <w:u w:val="single"/>
    </w:rPr>
  </w:style>
  <w:style w:type="character" w:styleId="a5">
    <w:name w:val="Emphasis"/>
    <w:basedOn w:val="a0"/>
    <w:uiPriority w:val="20"/>
    <w:qFormat/>
    <w:rsid w:val="00612A1F"/>
    <w:rPr>
      <w:i/>
      <w:iCs/>
    </w:rPr>
  </w:style>
  <w:style w:type="paragraph" w:styleId="a6">
    <w:name w:val="Title"/>
    <w:basedOn w:val="a"/>
    <w:next w:val="a"/>
    <w:link w:val="Char"/>
    <w:uiPriority w:val="10"/>
    <w:qFormat/>
    <w:rsid w:val="00D50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6"/>
    <w:uiPriority w:val="10"/>
    <w:rsid w:val="00D5029C"/>
    <w:rPr>
      <w:rFonts w:asciiTheme="majorHAnsi" w:eastAsiaTheme="majorEastAsia" w:hAnsiTheme="majorHAnsi" w:cstheme="majorBidi"/>
      <w:spacing w:val="-10"/>
      <w:kern w:val="28"/>
      <w:sz w:val="56"/>
      <w:szCs w:val="56"/>
    </w:rPr>
  </w:style>
  <w:style w:type="paragraph" w:styleId="a7">
    <w:name w:val="Bibliography"/>
    <w:basedOn w:val="a"/>
    <w:next w:val="a"/>
    <w:uiPriority w:val="37"/>
    <w:unhideWhenUsed/>
    <w:rsid w:val="00A55928"/>
    <w:pPr>
      <w:tabs>
        <w:tab w:val="left" w:pos="504"/>
      </w:tabs>
      <w:spacing w:after="240" w:line="240" w:lineRule="auto"/>
      <w:ind w:left="504" w:hanging="504"/>
    </w:pPr>
  </w:style>
  <w:style w:type="character" w:customStyle="1" w:styleId="2Char">
    <w:name w:val="标题 2 Char"/>
    <w:basedOn w:val="a0"/>
    <w:link w:val="2"/>
    <w:uiPriority w:val="9"/>
    <w:rsid w:val="006873E4"/>
    <w:rPr>
      <w:rFonts w:asciiTheme="majorHAnsi" w:eastAsiaTheme="majorEastAsia" w:hAnsiTheme="majorHAnsi" w:cstheme="majorBidi"/>
      <w:color w:val="2E74B5" w:themeColor="accent1" w:themeShade="BF"/>
      <w:sz w:val="26"/>
      <w:szCs w:val="26"/>
    </w:rPr>
  </w:style>
  <w:style w:type="character" w:customStyle="1" w:styleId="1Char">
    <w:name w:val="标题 1 Char"/>
    <w:basedOn w:val="a0"/>
    <w:link w:val="1"/>
    <w:uiPriority w:val="9"/>
    <w:rsid w:val="00CC44E4"/>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semiHidden/>
    <w:rsid w:val="00E17365"/>
    <w:rPr>
      <w:rFonts w:asciiTheme="majorHAnsi" w:eastAsiaTheme="majorEastAsia" w:hAnsiTheme="majorHAnsi" w:cstheme="majorBidi"/>
      <w:color w:val="1F4D78" w:themeColor="accent1" w:themeShade="7F"/>
      <w:sz w:val="24"/>
      <w:szCs w:val="24"/>
    </w:rPr>
  </w:style>
  <w:style w:type="paragraph" w:customStyle="1" w:styleId="p">
    <w:name w:val="p"/>
    <w:basedOn w:val="a"/>
    <w:rsid w:val="00E17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8">
    <w:name w:val="header"/>
    <w:basedOn w:val="a"/>
    <w:link w:val="Char0"/>
    <w:uiPriority w:val="99"/>
    <w:unhideWhenUsed/>
    <w:rsid w:val="00907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076C6"/>
    <w:rPr>
      <w:sz w:val="18"/>
      <w:szCs w:val="18"/>
    </w:rPr>
  </w:style>
  <w:style w:type="paragraph" w:styleId="a9">
    <w:name w:val="footer"/>
    <w:basedOn w:val="a"/>
    <w:link w:val="Char1"/>
    <w:uiPriority w:val="99"/>
    <w:unhideWhenUsed/>
    <w:rsid w:val="009076C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076C6"/>
    <w:rPr>
      <w:sz w:val="18"/>
      <w:szCs w:val="18"/>
    </w:rPr>
  </w:style>
  <w:style w:type="paragraph" w:styleId="aa">
    <w:name w:val="Balloon Text"/>
    <w:basedOn w:val="a"/>
    <w:link w:val="Char2"/>
    <w:uiPriority w:val="99"/>
    <w:semiHidden/>
    <w:unhideWhenUsed/>
    <w:rsid w:val="009076C6"/>
    <w:pPr>
      <w:spacing w:after="0" w:line="240" w:lineRule="auto"/>
    </w:pPr>
    <w:rPr>
      <w:sz w:val="18"/>
      <w:szCs w:val="18"/>
    </w:rPr>
  </w:style>
  <w:style w:type="character" w:customStyle="1" w:styleId="Char2">
    <w:name w:val="批注框文本 Char"/>
    <w:basedOn w:val="a0"/>
    <w:link w:val="aa"/>
    <w:uiPriority w:val="99"/>
    <w:semiHidden/>
    <w:rsid w:val="009076C6"/>
    <w:rPr>
      <w:sz w:val="18"/>
      <w:szCs w:val="18"/>
    </w:rPr>
  </w:style>
  <w:style w:type="paragraph" w:styleId="ab">
    <w:name w:val="annotation text"/>
    <w:basedOn w:val="a"/>
    <w:link w:val="Char3"/>
    <w:uiPriority w:val="99"/>
    <w:unhideWhenUsed/>
    <w:qFormat/>
    <w:rsid w:val="009076C6"/>
    <w:pPr>
      <w:widowControl w:val="0"/>
      <w:spacing w:after="0" w:line="240" w:lineRule="auto"/>
    </w:pPr>
    <w:rPr>
      <w:kern w:val="2"/>
      <w:sz w:val="21"/>
      <w:lang w:val="en-US" w:eastAsia="zh-CN"/>
    </w:rPr>
  </w:style>
  <w:style w:type="character" w:customStyle="1" w:styleId="Char3">
    <w:name w:val="批注文字 Char"/>
    <w:basedOn w:val="a0"/>
    <w:link w:val="ab"/>
    <w:uiPriority w:val="99"/>
    <w:qFormat/>
    <w:rsid w:val="009076C6"/>
    <w:rPr>
      <w:kern w:val="2"/>
      <w:sz w:val="21"/>
      <w:lang w:val="en-US" w:eastAsia="zh-CN"/>
    </w:rPr>
  </w:style>
  <w:style w:type="character" w:styleId="ac">
    <w:name w:val="annotation reference"/>
    <w:basedOn w:val="a0"/>
    <w:uiPriority w:val="99"/>
    <w:unhideWhenUsed/>
    <w:qFormat/>
    <w:rsid w:val="009076C6"/>
    <w:rPr>
      <w:sz w:val="21"/>
      <w:szCs w:val="21"/>
    </w:rPr>
  </w:style>
  <w:style w:type="paragraph" w:styleId="ad">
    <w:name w:val="annotation subject"/>
    <w:basedOn w:val="ab"/>
    <w:next w:val="ab"/>
    <w:link w:val="Char4"/>
    <w:uiPriority w:val="99"/>
    <w:semiHidden/>
    <w:unhideWhenUsed/>
    <w:rsid w:val="005A4555"/>
    <w:pPr>
      <w:widowControl/>
      <w:spacing w:after="160" w:line="256" w:lineRule="auto"/>
    </w:pPr>
    <w:rPr>
      <w:b/>
      <w:bCs/>
      <w:kern w:val="0"/>
      <w:sz w:val="22"/>
      <w:lang w:val="en-GB" w:eastAsia="en-US"/>
    </w:rPr>
  </w:style>
  <w:style w:type="character" w:customStyle="1" w:styleId="Char4">
    <w:name w:val="批注主题 Char"/>
    <w:basedOn w:val="Char3"/>
    <w:link w:val="ad"/>
    <w:uiPriority w:val="99"/>
    <w:semiHidden/>
    <w:rsid w:val="005A4555"/>
    <w:rPr>
      <w:b/>
      <w:bCs/>
      <w:kern w:val="2"/>
      <w:sz w:val="21"/>
      <w:lang w:val="en-US" w:eastAsia="zh-CN"/>
    </w:rPr>
  </w:style>
  <w:style w:type="character" w:customStyle="1" w:styleId="10">
    <w:name w:val="未处理的提及1"/>
    <w:basedOn w:val="a0"/>
    <w:uiPriority w:val="99"/>
    <w:semiHidden/>
    <w:unhideWhenUsed/>
    <w:rsid w:val="003F58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068"/>
    <w:pPr>
      <w:spacing w:line="256" w:lineRule="auto"/>
    </w:pPr>
  </w:style>
  <w:style w:type="paragraph" w:styleId="1">
    <w:name w:val="heading 1"/>
    <w:basedOn w:val="a"/>
    <w:next w:val="a"/>
    <w:link w:val="1Char"/>
    <w:uiPriority w:val="9"/>
    <w:qFormat/>
    <w:rsid w:val="00CC44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6873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semiHidden/>
    <w:unhideWhenUsed/>
    <w:qFormat/>
    <w:rsid w:val="00E1736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72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4">
    <w:name w:val="Hyperlink"/>
    <w:basedOn w:val="a0"/>
    <w:uiPriority w:val="99"/>
    <w:unhideWhenUsed/>
    <w:rsid w:val="00612A1F"/>
    <w:rPr>
      <w:color w:val="0000FF"/>
      <w:u w:val="single"/>
    </w:rPr>
  </w:style>
  <w:style w:type="character" w:styleId="a5">
    <w:name w:val="Emphasis"/>
    <w:basedOn w:val="a0"/>
    <w:uiPriority w:val="20"/>
    <w:qFormat/>
    <w:rsid w:val="00612A1F"/>
    <w:rPr>
      <w:i/>
      <w:iCs/>
    </w:rPr>
  </w:style>
  <w:style w:type="paragraph" w:styleId="a6">
    <w:name w:val="Title"/>
    <w:basedOn w:val="a"/>
    <w:next w:val="a"/>
    <w:link w:val="Char"/>
    <w:uiPriority w:val="10"/>
    <w:qFormat/>
    <w:rsid w:val="00D502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标题 Char"/>
    <w:basedOn w:val="a0"/>
    <w:link w:val="a6"/>
    <w:uiPriority w:val="10"/>
    <w:rsid w:val="00D5029C"/>
    <w:rPr>
      <w:rFonts w:asciiTheme="majorHAnsi" w:eastAsiaTheme="majorEastAsia" w:hAnsiTheme="majorHAnsi" w:cstheme="majorBidi"/>
      <w:spacing w:val="-10"/>
      <w:kern w:val="28"/>
      <w:sz w:val="56"/>
      <w:szCs w:val="56"/>
    </w:rPr>
  </w:style>
  <w:style w:type="paragraph" w:styleId="a7">
    <w:name w:val="Bibliography"/>
    <w:basedOn w:val="a"/>
    <w:next w:val="a"/>
    <w:uiPriority w:val="37"/>
    <w:unhideWhenUsed/>
    <w:rsid w:val="00A55928"/>
    <w:pPr>
      <w:tabs>
        <w:tab w:val="left" w:pos="504"/>
      </w:tabs>
      <w:spacing w:after="240" w:line="240" w:lineRule="auto"/>
      <w:ind w:left="504" w:hanging="504"/>
    </w:pPr>
  </w:style>
  <w:style w:type="character" w:customStyle="1" w:styleId="2Char">
    <w:name w:val="标题 2 Char"/>
    <w:basedOn w:val="a0"/>
    <w:link w:val="2"/>
    <w:uiPriority w:val="9"/>
    <w:rsid w:val="006873E4"/>
    <w:rPr>
      <w:rFonts w:asciiTheme="majorHAnsi" w:eastAsiaTheme="majorEastAsia" w:hAnsiTheme="majorHAnsi" w:cstheme="majorBidi"/>
      <w:color w:val="2E74B5" w:themeColor="accent1" w:themeShade="BF"/>
      <w:sz w:val="26"/>
      <w:szCs w:val="26"/>
    </w:rPr>
  </w:style>
  <w:style w:type="character" w:customStyle="1" w:styleId="1Char">
    <w:name w:val="标题 1 Char"/>
    <w:basedOn w:val="a0"/>
    <w:link w:val="1"/>
    <w:uiPriority w:val="9"/>
    <w:rsid w:val="00CC44E4"/>
    <w:rPr>
      <w:rFonts w:asciiTheme="majorHAnsi" w:eastAsiaTheme="majorEastAsia" w:hAnsiTheme="majorHAnsi" w:cstheme="majorBidi"/>
      <w:color w:val="2E74B5" w:themeColor="accent1" w:themeShade="BF"/>
      <w:sz w:val="32"/>
      <w:szCs w:val="32"/>
    </w:rPr>
  </w:style>
  <w:style w:type="character" w:customStyle="1" w:styleId="3Char">
    <w:name w:val="标题 3 Char"/>
    <w:basedOn w:val="a0"/>
    <w:link w:val="3"/>
    <w:uiPriority w:val="9"/>
    <w:semiHidden/>
    <w:rsid w:val="00E17365"/>
    <w:rPr>
      <w:rFonts w:asciiTheme="majorHAnsi" w:eastAsiaTheme="majorEastAsia" w:hAnsiTheme="majorHAnsi" w:cstheme="majorBidi"/>
      <w:color w:val="1F4D78" w:themeColor="accent1" w:themeShade="7F"/>
      <w:sz w:val="24"/>
      <w:szCs w:val="24"/>
    </w:rPr>
  </w:style>
  <w:style w:type="paragraph" w:customStyle="1" w:styleId="p">
    <w:name w:val="p"/>
    <w:basedOn w:val="a"/>
    <w:rsid w:val="00E1736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8">
    <w:name w:val="header"/>
    <w:basedOn w:val="a"/>
    <w:link w:val="Char0"/>
    <w:uiPriority w:val="99"/>
    <w:unhideWhenUsed/>
    <w:rsid w:val="009076C6"/>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8"/>
    <w:uiPriority w:val="99"/>
    <w:rsid w:val="009076C6"/>
    <w:rPr>
      <w:sz w:val="18"/>
      <w:szCs w:val="18"/>
    </w:rPr>
  </w:style>
  <w:style w:type="paragraph" w:styleId="a9">
    <w:name w:val="footer"/>
    <w:basedOn w:val="a"/>
    <w:link w:val="Char1"/>
    <w:uiPriority w:val="99"/>
    <w:unhideWhenUsed/>
    <w:rsid w:val="009076C6"/>
    <w:pPr>
      <w:tabs>
        <w:tab w:val="center" w:pos="4153"/>
        <w:tab w:val="right" w:pos="8306"/>
      </w:tabs>
      <w:snapToGrid w:val="0"/>
      <w:spacing w:line="240" w:lineRule="auto"/>
    </w:pPr>
    <w:rPr>
      <w:sz w:val="18"/>
      <w:szCs w:val="18"/>
    </w:rPr>
  </w:style>
  <w:style w:type="character" w:customStyle="1" w:styleId="Char1">
    <w:name w:val="页脚 Char"/>
    <w:basedOn w:val="a0"/>
    <w:link w:val="a9"/>
    <w:uiPriority w:val="99"/>
    <w:rsid w:val="009076C6"/>
    <w:rPr>
      <w:sz w:val="18"/>
      <w:szCs w:val="18"/>
    </w:rPr>
  </w:style>
  <w:style w:type="paragraph" w:styleId="aa">
    <w:name w:val="Balloon Text"/>
    <w:basedOn w:val="a"/>
    <w:link w:val="Char2"/>
    <w:uiPriority w:val="99"/>
    <w:semiHidden/>
    <w:unhideWhenUsed/>
    <w:rsid w:val="009076C6"/>
    <w:pPr>
      <w:spacing w:after="0" w:line="240" w:lineRule="auto"/>
    </w:pPr>
    <w:rPr>
      <w:sz w:val="18"/>
      <w:szCs w:val="18"/>
    </w:rPr>
  </w:style>
  <w:style w:type="character" w:customStyle="1" w:styleId="Char2">
    <w:name w:val="批注框文本 Char"/>
    <w:basedOn w:val="a0"/>
    <w:link w:val="aa"/>
    <w:uiPriority w:val="99"/>
    <w:semiHidden/>
    <w:rsid w:val="009076C6"/>
    <w:rPr>
      <w:sz w:val="18"/>
      <w:szCs w:val="18"/>
    </w:rPr>
  </w:style>
  <w:style w:type="paragraph" w:styleId="ab">
    <w:name w:val="annotation text"/>
    <w:basedOn w:val="a"/>
    <w:link w:val="Char3"/>
    <w:uiPriority w:val="99"/>
    <w:unhideWhenUsed/>
    <w:qFormat/>
    <w:rsid w:val="009076C6"/>
    <w:pPr>
      <w:widowControl w:val="0"/>
      <w:spacing w:after="0" w:line="240" w:lineRule="auto"/>
    </w:pPr>
    <w:rPr>
      <w:kern w:val="2"/>
      <w:sz w:val="21"/>
      <w:lang w:val="en-US" w:eastAsia="zh-CN"/>
    </w:rPr>
  </w:style>
  <w:style w:type="character" w:customStyle="1" w:styleId="Char3">
    <w:name w:val="批注文字 Char"/>
    <w:basedOn w:val="a0"/>
    <w:link w:val="ab"/>
    <w:uiPriority w:val="99"/>
    <w:qFormat/>
    <w:rsid w:val="009076C6"/>
    <w:rPr>
      <w:kern w:val="2"/>
      <w:sz w:val="21"/>
      <w:lang w:val="en-US" w:eastAsia="zh-CN"/>
    </w:rPr>
  </w:style>
  <w:style w:type="character" w:styleId="ac">
    <w:name w:val="annotation reference"/>
    <w:basedOn w:val="a0"/>
    <w:uiPriority w:val="99"/>
    <w:unhideWhenUsed/>
    <w:qFormat/>
    <w:rsid w:val="009076C6"/>
    <w:rPr>
      <w:sz w:val="21"/>
      <w:szCs w:val="21"/>
    </w:rPr>
  </w:style>
  <w:style w:type="paragraph" w:styleId="ad">
    <w:name w:val="annotation subject"/>
    <w:basedOn w:val="ab"/>
    <w:next w:val="ab"/>
    <w:link w:val="Char4"/>
    <w:uiPriority w:val="99"/>
    <w:semiHidden/>
    <w:unhideWhenUsed/>
    <w:rsid w:val="005A4555"/>
    <w:pPr>
      <w:widowControl/>
      <w:spacing w:after="160" w:line="256" w:lineRule="auto"/>
    </w:pPr>
    <w:rPr>
      <w:b/>
      <w:bCs/>
      <w:kern w:val="0"/>
      <w:sz w:val="22"/>
      <w:lang w:val="en-GB" w:eastAsia="en-US"/>
    </w:rPr>
  </w:style>
  <w:style w:type="character" w:customStyle="1" w:styleId="Char4">
    <w:name w:val="批注主题 Char"/>
    <w:basedOn w:val="Char3"/>
    <w:link w:val="ad"/>
    <w:uiPriority w:val="99"/>
    <w:semiHidden/>
    <w:rsid w:val="005A4555"/>
    <w:rPr>
      <w:b/>
      <w:bCs/>
      <w:kern w:val="2"/>
      <w:sz w:val="21"/>
      <w:lang w:val="en-US" w:eastAsia="zh-CN"/>
    </w:rPr>
  </w:style>
  <w:style w:type="character" w:customStyle="1" w:styleId="10">
    <w:name w:val="未处理的提及1"/>
    <w:basedOn w:val="a0"/>
    <w:uiPriority w:val="99"/>
    <w:semiHidden/>
    <w:unhideWhenUsed/>
    <w:rsid w:val="003F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07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0712E-9189-4E9C-A45F-2048F40C035C}" type="doc">
      <dgm:prSet loTypeId="urn:microsoft.com/office/officeart/2005/8/layout/radial3" loCatId="relationship" qsTypeId="urn:microsoft.com/office/officeart/2005/8/quickstyle/simple1" qsCatId="simple" csTypeId="urn:microsoft.com/office/officeart/2005/8/colors/colorful1" csCatId="colorful" phldr="1"/>
      <dgm:spPr/>
      <dgm:t>
        <a:bodyPr/>
        <a:lstStyle/>
        <a:p>
          <a:endParaRPr lang="en-GB"/>
        </a:p>
      </dgm:t>
    </dgm:pt>
    <dgm:pt modelId="{9E10BBA7-5A67-4DDE-BEAA-E95918CA4894}">
      <dgm:prSet phldrT="[Text]" custT="1"/>
      <dgm:spPr/>
      <dgm:t>
        <a:bodyPr/>
        <a:lstStyle/>
        <a:p>
          <a:r>
            <a:rPr lang="en-GB" sz="2000">
              <a:latin typeface="Book Antiqua" panose="02040602050305030304" pitchFamily="18" charset="0"/>
            </a:rPr>
            <a:t>Uric acid</a:t>
          </a:r>
        </a:p>
      </dgm:t>
    </dgm:pt>
    <dgm:pt modelId="{A5C14220-4BF5-46D7-848E-7A1501C251D4}" type="parTrans" cxnId="{B7FE14F6-5D82-4FD0-AFCF-6F2556ADE14A}">
      <dgm:prSet/>
      <dgm:spPr/>
      <dgm:t>
        <a:bodyPr/>
        <a:lstStyle/>
        <a:p>
          <a:endParaRPr lang="en-GB"/>
        </a:p>
      </dgm:t>
    </dgm:pt>
    <dgm:pt modelId="{AF444441-C64C-4CB4-A645-C3FC05C2D267}" type="sibTrans" cxnId="{B7FE14F6-5D82-4FD0-AFCF-6F2556ADE14A}">
      <dgm:prSet/>
      <dgm:spPr/>
      <dgm:t>
        <a:bodyPr/>
        <a:lstStyle/>
        <a:p>
          <a:endParaRPr lang="en-GB"/>
        </a:p>
      </dgm:t>
    </dgm:pt>
    <dgm:pt modelId="{E31BF4C0-FCAD-4316-8880-1CA9048AE62F}">
      <dgm:prSet phldrT="[Text]" custT="1"/>
      <dgm:spPr/>
      <dgm:t>
        <a:bodyPr/>
        <a:lstStyle/>
        <a:p>
          <a:r>
            <a:rPr lang="en-GB" sz="1200">
              <a:latin typeface="Book Antiqua" panose="02040602050305030304" pitchFamily="18" charset="0"/>
            </a:rPr>
            <a:t>NLRP3-related inflammasome  activation</a:t>
          </a:r>
        </a:p>
      </dgm:t>
    </dgm:pt>
    <dgm:pt modelId="{E5469539-027C-41F2-A3D8-4E71158D4DC1}" type="parTrans" cxnId="{50947C85-39AB-4206-A14A-36E1C7B47413}">
      <dgm:prSet/>
      <dgm:spPr/>
      <dgm:t>
        <a:bodyPr/>
        <a:lstStyle/>
        <a:p>
          <a:endParaRPr lang="en-GB"/>
        </a:p>
      </dgm:t>
    </dgm:pt>
    <dgm:pt modelId="{59EA4760-575B-459E-9392-10E510AFCC84}" type="sibTrans" cxnId="{50947C85-39AB-4206-A14A-36E1C7B47413}">
      <dgm:prSet/>
      <dgm:spPr/>
      <dgm:t>
        <a:bodyPr/>
        <a:lstStyle/>
        <a:p>
          <a:endParaRPr lang="en-GB"/>
        </a:p>
      </dgm:t>
    </dgm:pt>
    <dgm:pt modelId="{5492433D-5A94-4CF8-8F20-5CA5C6848301}">
      <dgm:prSet phldrT="[Text]" custT="1"/>
      <dgm:spPr/>
      <dgm:t>
        <a:bodyPr/>
        <a:lstStyle/>
        <a:p>
          <a:r>
            <a:rPr lang="en-GB" sz="1200">
              <a:latin typeface="Book Antiqua" panose="02040602050305030304" pitchFamily="18" charset="0"/>
            </a:rPr>
            <a:t>NOX4 associated lipogenesis and ROS</a:t>
          </a:r>
        </a:p>
      </dgm:t>
    </dgm:pt>
    <dgm:pt modelId="{031F7D48-3E9F-4E91-B279-C932870D4981}" type="parTrans" cxnId="{4195579B-DDCE-4EBD-82CE-A28A4015EB03}">
      <dgm:prSet/>
      <dgm:spPr/>
      <dgm:t>
        <a:bodyPr/>
        <a:lstStyle/>
        <a:p>
          <a:endParaRPr lang="en-GB"/>
        </a:p>
      </dgm:t>
    </dgm:pt>
    <dgm:pt modelId="{0BA2A282-E6F4-4300-97C6-382D3032BD04}" type="sibTrans" cxnId="{4195579B-DDCE-4EBD-82CE-A28A4015EB03}">
      <dgm:prSet/>
      <dgm:spPr/>
      <dgm:t>
        <a:bodyPr/>
        <a:lstStyle/>
        <a:p>
          <a:endParaRPr lang="en-GB"/>
        </a:p>
      </dgm:t>
    </dgm:pt>
    <dgm:pt modelId="{E42AE256-E204-42C9-8549-4F0F69462EA2}">
      <dgm:prSet phldrT="[Text]" custT="1"/>
      <dgm:spPr/>
      <dgm:t>
        <a:bodyPr/>
        <a:lstStyle/>
        <a:p>
          <a:r>
            <a:rPr lang="en-GB" sz="1200">
              <a:latin typeface="Book Antiqua" panose="02040602050305030304" pitchFamily="18" charset="0"/>
            </a:rPr>
            <a:t>ER stress </a:t>
          </a:r>
          <a:r>
            <a:rPr lang="en-GB" sz="1200" i="1">
              <a:latin typeface="Book Antiqua" panose="02040602050305030304" pitchFamily="18" charset="0"/>
            </a:rPr>
            <a:t>via</a:t>
          </a:r>
          <a:r>
            <a:rPr lang="en-GB" sz="1200">
              <a:latin typeface="Book Antiqua" panose="02040602050305030304" pitchFamily="18" charset="0"/>
            </a:rPr>
            <a:t> SREBP-1</a:t>
          </a:r>
        </a:p>
      </dgm:t>
    </dgm:pt>
    <dgm:pt modelId="{CF87C2E1-7989-43C2-B989-E6974ECB279A}" type="parTrans" cxnId="{E515EF01-06ED-40F1-9D1A-3FA1E5A37681}">
      <dgm:prSet/>
      <dgm:spPr/>
      <dgm:t>
        <a:bodyPr/>
        <a:lstStyle/>
        <a:p>
          <a:endParaRPr lang="en-GB"/>
        </a:p>
      </dgm:t>
    </dgm:pt>
    <dgm:pt modelId="{A2D8F0DD-8989-4090-858E-C9BF3CB6759D}" type="sibTrans" cxnId="{E515EF01-06ED-40F1-9D1A-3FA1E5A37681}">
      <dgm:prSet/>
      <dgm:spPr/>
      <dgm:t>
        <a:bodyPr/>
        <a:lstStyle/>
        <a:p>
          <a:endParaRPr lang="en-GB"/>
        </a:p>
      </dgm:t>
    </dgm:pt>
    <dgm:pt modelId="{7EA40311-6A67-4BB7-8847-FAECEDB4FECE}" type="pres">
      <dgm:prSet presAssocID="{B1A0712E-9189-4E9C-A45F-2048F40C035C}" presName="composite" presStyleCnt="0">
        <dgm:presLayoutVars>
          <dgm:chMax val="1"/>
          <dgm:dir/>
          <dgm:resizeHandles val="exact"/>
        </dgm:presLayoutVars>
      </dgm:prSet>
      <dgm:spPr/>
      <dgm:t>
        <a:bodyPr/>
        <a:lstStyle/>
        <a:p>
          <a:endParaRPr lang="zh-CN" altLang="en-US"/>
        </a:p>
      </dgm:t>
    </dgm:pt>
    <dgm:pt modelId="{5FD1C200-E476-4490-91D3-1993D09C8678}" type="pres">
      <dgm:prSet presAssocID="{B1A0712E-9189-4E9C-A45F-2048F40C035C}" presName="radial" presStyleCnt="0">
        <dgm:presLayoutVars>
          <dgm:animLvl val="ctr"/>
        </dgm:presLayoutVars>
      </dgm:prSet>
      <dgm:spPr/>
    </dgm:pt>
    <dgm:pt modelId="{D8859743-ABE5-42B5-9126-3C12A911EC64}" type="pres">
      <dgm:prSet presAssocID="{9E10BBA7-5A67-4DDE-BEAA-E95918CA4894}" presName="centerShape" presStyleLbl="vennNode1" presStyleIdx="0" presStyleCnt="4" custLinFactNeighborX="-24356"/>
      <dgm:spPr/>
      <dgm:t>
        <a:bodyPr/>
        <a:lstStyle/>
        <a:p>
          <a:endParaRPr lang="zh-CN" altLang="en-US"/>
        </a:p>
      </dgm:t>
    </dgm:pt>
    <dgm:pt modelId="{5680FEEC-CDBD-4F77-8610-2A1648F1D8F8}" type="pres">
      <dgm:prSet presAssocID="{E31BF4C0-FCAD-4316-8880-1CA9048AE62F}" presName="node" presStyleLbl="vennNode1" presStyleIdx="1" presStyleCnt="4" custScaleX="133603" custScaleY="133603" custRadScaleRad="110739" custRadScaleInc="-21014">
        <dgm:presLayoutVars>
          <dgm:bulletEnabled val="1"/>
        </dgm:presLayoutVars>
      </dgm:prSet>
      <dgm:spPr/>
      <dgm:t>
        <a:bodyPr/>
        <a:lstStyle/>
        <a:p>
          <a:endParaRPr lang="zh-CN" altLang="en-US"/>
        </a:p>
      </dgm:t>
    </dgm:pt>
    <dgm:pt modelId="{486E55E4-BBE7-45F5-9443-DABC46EA2DE1}" type="pres">
      <dgm:prSet presAssocID="{5492433D-5A94-4CF8-8F20-5CA5C6848301}" presName="node" presStyleLbl="vennNode1" presStyleIdx="2" presStyleCnt="4" custScaleX="126266" custScaleY="126266" custRadScaleRad="62741" custRadScaleInc="19033">
        <dgm:presLayoutVars>
          <dgm:bulletEnabled val="1"/>
        </dgm:presLayoutVars>
      </dgm:prSet>
      <dgm:spPr/>
      <dgm:t>
        <a:bodyPr/>
        <a:lstStyle/>
        <a:p>
          <a:endParaRPr lang="zh-CN" altLang="en-US"/>
        </a:p>
      </dgm:t>
    </dgm:pt>
    <dgm:pt modelId="{8AB34A29-1656-4F7A-AF3C-175AC2C96E8D}" type="pres">
      <dgm:prSet presAssocID="{E42AE256-E204-42C9-8549-4F0F69462EA2}" presName="node" presStyleLbl="vennNode1" presStyleIdx="3" presStyleCnt="4" custScaleX="116225" custScaleY="116225" custRadScaleRad="144251" custRadScaleInc="8100">
        <dgm:presLayoutVars>
          <dgm:bulletEnabled val="1"/>
        </dgm:presLayoutVars>
      </dgm:prSet>
      <dgm:spPr/>
      <dgm:t>
        <a:bodyPr/>
        <a:lstStyle/>
        <a:p>
          <a:endParaRPr lang="zh-CN" altLang="en-US"/>
        </a:p>
      </dgm:t>
    </dgm:pt>
  </dgm:ptLst>
  <dgm:cxnLst>
    <dgm:cxn modelId="{B7FE14F6-5D82-4FD0-AFCF-6F2556ADE14A}" srcId="{B1A0712E-9189-4E9C-A45F-2048F40C035C}" destId="{9E10BBA7-5A67-4DDE-BEAA-E95918CA4894}" srcOrd="0" destOrd="0" parTransId="{A5C14220-4BF5-46D7-848E-7A1501C251D4}" sibTransId="{AF444441-C64C-4CB4-A645-C3FC05C2D267}"/>
    <dgm:cxn modelId="{D57342BF-9287-49FD-A6CF-2CD5080B2223}" type="presOf" srcId="{E31BF4C0-FCAD-4316-8880-1CA9048AE62F}" destId="{5680FEEC-CDBD-4F77-8610-2A1648F1D8F8}" srcOrd="0" destOrd="0" presId="urn:microsoft.com/office/officeart/2005/8/layout/radial3"/>
    <dgm:cxn modelId="{4195579B-DDCE-4EBD-82CE-A28A4015EB03}" srcId="{9E10BBA7-5A67-4DDE-BEAA-E95918CA4894}" destId="{5492433D-5A94-4CF8-8F20-5CA5C6848301}" srcOrd="1" destOrd="0" parTransId="{031F7D48-3E9F-4E91-B279-C932870D4981}" sibTransId="{0BA2A282-E6F4-4300-97C6-382D3032BD04}"/>
    <dgm:cxn modelId="{28928E88-A296-42DA-8769-04FB36FBF30B}" type="presOf" srcId="{B1A0712E-9189-4E9C-A45F-2048F40C035C}" destId="{7EA40311-6A67-4BB7-8847-FAECEDB4FECE}" srcOrd="0" destOrd="0" presId="urn:microsoft.com/office/officeart/2005/8/layout/radial3"/>
    <dgm:cxn modelId="{FD3F2FB0-BE40-46B5-B2D0-0A4130439BD8}" type="presOf" srcId="{E42AE256-E204-42C9-8549-4F0F69462EA2}" destId="{8AB34A29-1656-4F7A-AF3C-175AC2C96E8D}" srcOrd="0" destOrd="0" presId="urn:microsoft.com/office/officeart/2005/8/layout/radial3"/>
    <dgm:cxn modelId="{2C3219FC-85FC-4B29-BB50-C14329EA4EAC}" type="presOf" srcId="{9E10BBA7-5A67-4DDE-BEAA-E95918CA4894}" destId="{D8859743-ABE5-42B5-9126-3C12A911EC64}" srcOrd="0" destOrd="0" presId="urn:microsoft.com/office/officeart/2005/8/layout/radial3"/>
    <dgm:cxn modelId="{E515EF01-06ED-40F1-9D1A-3FA1E5A37681}" srcId="{9E10BBA7-5A67-4DDE-BEAA-E95918CA4894}" destId="{E42AE256-E204-42C9-8549-4F0F69462EA2}" srcOrd="2" destOrd="0" parTransId="{CF87C2E1-7989-43C2-B989-E6974ECB279A}" sibTransId="{A2D8F0DD-8989-4090-858E-C9BF3CB6759D}"/>
    <dgm:cxn modelId="{DBFBE3A4-FAE3-45F9-9061-10613EEA2AFF}" type="presOf" srcId="{5492433D-5A94-4CF8-8F20-5CA5C6848301}" destId="{486E55E4-BBE7-45F5-9443-DABC46EA2DE1}" srcOrd="0" destOrd="0" presId="urn:microsoft.com/office/officeart/2005/8/layout/radial3"/>
    <dgm:cxn modelId="{50947C85-39AB-4206-A14A-36E1C7B47413}" srcId="{9E10BBA7-5A67-4DDE-BEAA-E95918CA4894}" destId="{E31BF4C0-FCAD-4316-8880-1CA9048AE62F}" srcOrd="0" destOrd="0" parTransId="{E5469539-027C-41F2-A3D8-4E71158D4DC1}" sibTransId="{59EA4760-575B-459E-9392-10E510AFCC84}"/>
    <dgm:cxn modelId="{69621CC8-6D32-4EC1-999B-0CA78884FF5C}" type="presParOf" srcId="{7EA40311-6A67-4BB7-8847-FAECEDB4FECE}" destId="{5FD1C200-E476-4490-91D3-1993D09C8678}" srcOrd="0" destOrd="0" presId="urn:microsoft.com/office/officeart/2005/8/layout/radial3"/>
    <dgm:cxn modelId="{4C687C29-62F7-4341-81A6-E702940684B1}" type="presParOf" srcId="{5FD1C200-E476-4490-91D3-1993D09C8678}" destId="{D8859743-ABE5-42B5-9126-3C12A911EC64}" srcOrd="0" destOrd="0" presId="urn:microsoft.com/office/officeart/2005/8/layout/radial3"/>
    <dgm:cxn modelId="{CD90DEC6-5E76-44E4-BBB3-C6C446CECDD3}" type="presParOf" srcId="{5FD1C200-E476-4490-91D3-1993D09C8678}" destId="{5680FEEC-CDBD-4F77-8610-2A1648F1D8F8}" srcOrd="1" destOrd="0" presId="urn:microsoft.com/office/officeart/2005/8/layout/radial3"/>
    <dgm:cxn modelId="{F05F19B6-7240-4EDD-9D1A-CA89B14CC268}" type="presParOf" srcId="{5FD1C200-E476-4490-91D3-1993D09C8678}" destId="{486E55E4-BBE7-45F5-9443-DABC46EA2DE1}" srcOrd="2" destOrd="0" presId="urn:microsoft.com/office/officeart/2005/8/layout/radial3"/>
    <dgm:cxn modelId="{37074D6C-B958-47DB-B0EA-EE39BB9203B0}" type="presParOf" srcId="{5FD1C200-E476-4490-91D3-1993D09C8678}" destId="{8AB34A29-1656-4F7A-AF3C-175AC2C96E8D}" srcOrd="3"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859743-ABE5-42B5-9126-3C12A911EC64}">
      <dsp:nvSpPr>
        <dsp:cNvPr id="0" name=""/>
        <dsp:cNvSpPr/>
      </dsp:nvSpPr>
      <dsp:spPr>
        <a:xfrm>
          <a:off x="643069" y="1162533"/>
          <a:ext cx="2392979" cy="2392979"/>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latin typeface="Book Antiqua" panose="02040602050305030304" pitchFamily="18" charset="0"/>
            </a:rPr>
            <a:t>Uric acid</a:t>
          </a:r>
        </a:p>
      </dsp:txBody>
      <dsp:txXfrm>
        <a:off x="993513" y="1512977"/>
        <a:ext cx="1692091" cy="1692091"/>
      </dsp:txXfrm>
    </dsp:sp>
    <dsp:sp modelId="{5680FEEC-CDBD-4F77-8610-2A1648F1D8F8}">
      <dsp:nvSpPr>
        <dsp:cNvPr id="0" name=""/>
        <dsp:cNvSpPr/>
      </dsp:nvSpPr>
      <dsp:spPr>
        <a:xfrm>
          <a:off x="1064141" y="0"/>
          <a:ext cx="1598546" cy="159854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Book Antiqua" panose="02040602050305030304" pitchFamily="18" charset="0"/>
            </a:rPr>
            <a:t>NLRP3-related inflammasome  activation</a:t>
          </a:r>
        </a:p>
      </dsp:txBody>
      <dsp:txXfrm>
        <a:off x="1298243" y="234102"/>
        <a:ext cx="1130342" cy="1130342"/>
      </dsp:txXfrm>
    </dsp:sp>
    <dsp:sp modelId="{486E55E4-BBE7-45F5-9443-DABC46EA2DE1}">
      <dsp:nvSpPr>
        <dsp:cNvPr id="0" name=""/>
        <dsp:cNvSpPr/>
      </dsp:nvSpPr>
      <dsp:spPr>
        <a:xfrm>
          <a:off x="2432582" y="2382091"/>
          <a:ext cx="1510759" cy="1510759"/>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Book Antiqua" panose="02040602050305030304" pitchFamily="18" charset="0"/>
            </a:rPr>
            <a:t>NOX4 associated lipogenesis and ROS</a:t>
          </a:r>
        </a:p>
      </dsp:txBody>
      <dsp:txXfrm>
        <a:off x="2653828" y="2603337"/>
        <a:ext cx="1068267" cy="1068267"/>
      </dsp:txXfrm>
    </dsp:sp>
    <dsp:sp modelId="{8AB34A29-1656-4F7A-AF3C-175AC2C96E8D}">
      <dsp:nvSpPr>
        <dsp:cNvPr id="0" name=""/>
        <dsp:cNvSpPr/>
      </dsp:nvSpPr>
      <dsp:spPr>
        <a:xfrm>
          <a:off x="0" y="2442119"/>
          <a:ext cx="1390620" cy="1390620"/>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latin typeface="Book Antiqua" panose="02040602050305030304" pitchFamily="18" charset="0"/>
            </a:rPr>
            <a:t>ER stress </a:t>
          </a:r>
          <a:r>
            <a:rPr lang="en-GB" sz="1200" i="1" kern="1200">
              <a:latin typeface="Book Antiqua" panose="02040602050305030304" pitchFamily="18" charset="0"/>
            </a:rPr>
            <a:t>via</a:t>
          </a:r>
          <a:r>
            <a:rPr lang="en-GB" sz="1200" kern="1200">
              <a:latin typeface="Book Antiqua" panose="02040602050305030304" pitchFamily="18" charset="0"/>
            </a:rPr>
            <a:t> SREBP-1</a:t>
          </a:r>
        </a:p>
      </dsp:txBody>
      <dsp:txXfrm>
        <a:off x="203652" y="2645771"/>
        <a:ext cx="983316" cy="983316"/>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91EE9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707F8-5841-4E7D-B72A-DBA2AA5B4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28693</Words>
  <Characters>163554</Characters>
  <Application>Microsoft Office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Clare</dc:creator>
  <cp:lastModifiedBy>Lenovo</cp:lastModifiedBy>
  <cp:revision>3</cp:revision>
  <dcterms:created xsi:type="dcterms:W3CDTF">2020-04-20T06:57:00Z</dcterms:created>
  <dcterms:modified xsi:type="dcterms:W3CDTF">2020-04-20T07:03:00Z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http://www.zotero.org/styles/springer-vancouver</vt:lpwstr>
  </property>
  <property fmtid="{D5CDD505-2E9C-101B-9397-08002B2CF9AE}" pid="19" name="Mendeley Recent Style Name 8_1">
    <vt:lpwstr>Springer Vancouver</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66b560bf-2825-3e3b-b4ed-473a14802489</vt:lpwstr>
  </property>
  <property fmtid="{D5CDD505-2E9C-101B-9397-08002B2CF9AE}" pid="24" name="Mendeley Citation Style_1">
    <vt:lpwstr>http://www.zotero.org/styles/springer-vancouver</vt:lpwstr>
  </property>
  <property fmtid="{D5CDD505-2E9C-101B-9397-08002B2CF9AE}" pid="25" name="ZOTERO_PREF_1">
    <vt:lpwstr>&lt;data data-version="3" zotero-version="5.0.80"&gt;&lt;session id="TQNiiO7s"/&gt;&lt;style id="http://www.zotero.org/styles/world-journal-of-gastroenterology" hasBibliography="1" bibliographyStyleHasBeenSet="1"/&gt;&lt;prefs&gt;&lt;pref name="fieldType" value="Field"/&gt;&lt;pref name=</vt:lpwstr>
  </property>
  <property fmtid="{D5CDD505-2E9C-101B-9397-08002B2CF9AE}" pid="26" name="ZOTERO_PREF_2">
    <vt:lpwstr>"automaticJournalAbbreviations" value="true"/&gt;&lt;/prefs&gt;&lt;/data&gt;</vt:lpwstr>
  </property>
</Properties>
</file>