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D1B634" w14:textId="77777777" w:rsidR="00A77B3E" w:rsidRDefault="009277A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D47E858" w14:textId="77777777" w:rsidR="00A77B3E" w:rsidRDefault="009277A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53970</w:t>
      </w:r>
    </w:p>
    <w:p w14:paraId="3AA950AF" w14:textId="77777777" w:rsidR="00A77B3E" w:rsidRDefault="009277A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C8925D0" w14:textId="77777777" w:rsidR="00A77B3E" w:rsidRDefault="00A77B3E">
      <w:pPr>
        <w:spacing w:line="360" w:lineRule="auto"/>
        <w:jc w:val="both"/>
      </w:pPr>
    </w:p>
    <w:p w14:paraId="047C670C" w14:textId="77777777" w:rsidR="00A77B3E" w:rsidRDefault="009277A0">
      <w:pPr>
        <w:spacing w:line="360" w:lineRule="auto"/>
        <w:jc w:val="both"/>
      </w:pPr>
      <w:r>
        <w:rPr>
          <w:rFonts w:ascii="Book Antiqua" w:eastAsia="Book Antiqua" w:hAnsi="Book Antiqua" w:cs="Book Antiqua"/>
          <w:b/>
          <w:i/>
          <w:color w:val="000000"/>
        </w:rPr>
        <w:t>Retrospective Study</w:t>
      </w:r>
    </w:p>
    <w:p w14:paraId="3389D99A" w14:textId="77777777" w:rsidR="00A77B3E" w:rsidRDefault="009277A0">
      <w:pPr>
        <w:spacing w:line="360" w:lineRule="auto"/>
        <w:jc w:val="both"/>
      </w:pPr>
      <w:r>
        <w:rPr>
          <w:rFonts w:ascii="Book Antiqua" w:eastAsia="Book Antiqua" w:hAnsi="Book Antiqua" w:cs="Book Antiqua"/>
          <w:b/>
          <w:color w:val="000000"/>
        </w:rPr>
        <w:t>Preliminary experience of hybrid endoscopic submucosal dissection by duodenoscope for recurrent laterally spreading papillary lesions</w:t>
      </w:r>
    </w:p>
    <w:p w14:paraId="4A6DC329" w14:textId="77777777" w:rsidR="00A77B3E" w:rsidRDefault="00A77B3E">
      <w:pPr>
        <w:spacing w:line="360" w:lineRule="auto"/>
        <w:jc w:val="both"/>
      </w:pPr>
    </w:p>
    <w:p w14:paraId="6FDF1DFE" w14:textId="77777777" w:rsidR="009E2363" w:rsidRDefault="009E2363" w:rsidP="009E2363">
      <w:pPr>
        <w:spacing w:line="360" w:lineRule="auto"/>
        <w:jc w:val="both"/>
      </w:pPr>
      <w:r>
        <w:rPr>
          <w:rFonts w:ascii="Book Antiqua" w:eastAsia="Book Antiqua" w:hAnsi="Book Antiqua" w:cs="Book Antiqua"/>
          <w:color w:val="000000"/>
        </w:rPr>
        <w:t xml:space="preserve">Wang ZK </w:t>
      </w:r>
      <w:r w:rsidRPr="00853496">
        <w:rPr>
          <w:rFonts w:ascii="Book Antiqua" w:eastAsia="Book Antiqua" w:hAnsi="Book Antiqua" w:cs="Book Antiqua"/>
          <w:i/>
          <w:iCs/>
          <w:color w:val="000000"/>
        </w:rPr>
        <w:t>et al</w:t>
      </w:r>
      <w:r>
        <w:rPr>
          <w:rFonts w:ascii="Book Antiqua" w:eastAsia="Book Antiqua" w:hAnsi="Book Antiqua" w:cs="Book Antiqua"/>
          <w:color w:val="000000"/>
        </w:rPr>
        <w:t>. Hybrid ESD for ampullary lesions</w:t>
      </w:r>
    </w:p>
    <w:p w14:paraId="3727F325" w14:textId="77777777" w:rsidR="00A77B3E" w:rsidRDefault="00A77B3E">
      <w:pPr>
        <w:spacing w:line="360" w:lineRule="auto"/>
        <w:jc w:val="both"/>
      </w:pPr>
    </w:p>
    <w:p w14:paraId="12A7A2B1" w14:textId="77777777" w:rsidR="00A77B3E" w:rsidRDefault="009277A0">
      <w:pPr>
        <w:spacing w:line="360" w:lineRule="auto"/>
        <w:jc w:val="both"/>
      </w:pPr>
      <w:r>
        <w:rPr>
          <w:rFonts w:ascii="Book Antiqua" w:eastAsia="Book Antiqua" w:hAnsi="Book Antiqua" w:cs="Book Antiqua"/>
          <w:color w:val="000000"/>
        </w:rPr>
        <w:t>Zi-Kai Wang, Fang Liu, Yun Wang, Xiang-Dong Wang, Ping Tang, Wen Li</w:t>
      </w:r>
    </w:p>
    <w:p w14:paraId="44192862" w14:textId="77777777" w:rsidR="00A77B3E" w:rsidRDefault="00A77B3E">
      <w:pPr>
        <w:spacing w:line="360" w:lineRule="auto"/>
        <w:jc w:val="both"/>
      </w:pPr>
    </w:p>
    <w:p w14:paraId="142F0767" w14:textId="77777777" w:rsidR="00A77B3E" w:rsidRDefault="009277A0">
      <w:pPr>
        <w:spacing w:line="360" w:lineRule="auto"/>
        <w:jc w:val="both"/>
      </w:pPr>
      <w:r>
        <w:rPr>
          <w:rFonts w:ascii="Book Antiqua" w:eastAsia="Book Antiqua" w:hAnsi="Book Antiqua" w:cs="Book Antiqua"/>
          <w:b/>
          <w:bCs/>
          <w:color w:val="000000"/>
        </w:rPr>
        <w:t xml:space="preserve">Zi-Kai Wang, Fang Liu, Xiang-Dong Wang, Ping Tang, Wen Li, </w:t>
      </w:r>
      <w:r>
        <w:rPr>
          <w:rFonts w:ascii="Book Antiqua" w:eastAsia="Book Antiqua" w:hAnsi="Book Antiqua" w:cs="Book Antiqua"/>
          <w:color w:val="000000"/>
        </w:rPr>
        <w:t>Department of Gastroenterology and Hepatology, The First Medical Center, Chinese PLA General Hospital, Beijing 100853, China</w:t>
      </w:r>
    </w:p>
    <w:p w14:paraId="6B3BBF0D" w14:textId="77777777" w:rsidR="00A77B3E" w:rsidRDefault="00A77B3E">
      <w:pPr>
        <w:spacing w:line="360" w:lineRule="auto"/>
        <w:jc w:val="both"/>
      </w:pPr>
    </w:p>
    <w:p w14:paraId="6E1D3E3F" w14:textId="77777777" w:rsidR="00A77B3E" w:rsidRDefault="009277A0">
      <w:pPr>
        <w:spacing w:line="360" w:lineRule="auto"/>
        <w:jc w:val="both"/>
      </w:pPr>
      <w:r>
        <w:rPr>
          <w:rFonts w:ascii="Book Antiqua" w:eastAsia="Book Antiqua" w:hAnsi="Book Antiqua" w:cs="Book Antiqua"/>
          <w:b/>
          <w:bCs/>
          <w:color w:val="000000"/>
        </w:rPr>
        <w:t xml:space="preserve">Fang Liu, </w:t>
      </w:r>
      <w:r>
        <w:rPr>
          <w:rFonts w:ascii="Book Antiqua" w:eastAsia="Book Antiqua" w:hAnsi="Book Antiqua" w:cs="Book Antiqua"/>
          <w:color w:val="000000"/>
        </w:rPr>
        <w:t>Department of Gastroenterology and Hepatology, Medical School of Chinese PLA, Beijing 100853, China</w:t>
      </w:r>
    </w:p>
    <w:p w14:paraId="72E9DFB5" w14:textId="77777777" w:rsidR="00A77B3E" w:rsidRDefault="00A77B3E">
      <w:pPr>
        <w:spacing w:line="360" w:lineRule="auto"/>
        <w:jc w:val="both"/>
      </w:pPr>
    </w:p>
    <w:p w14:paraId="11382775" w14:textId="77777777" w:rsidR="00A77B3E" w:rsidRDefault="009277A0">
      <w:pPr>
        <w:spacing w:line="360" w:lineRule="auto"/>
        <w:jc w:val="both"/>
      </w:pPr>
      <w:r>
        <w:rPr>
          <w:rFonts w:ascii="Book Antiqua" w:eastAsia="Book Antiqua" w:hAnsi="Book Antiqua" w:cs="Book Antiqua"/>
          <w:b/>
          <w:bCs/>
          <w:color w:val="000000"/>
        </w:rPr>
        <w:t xml:space="preserve">Yun Wang, </w:t>
      </w:r>
      <w:r>
        <w:rPr>
          <w:rFonts w:ascii="Book Antiqua" w:eastAsia="Book Antiqua" w:hAnsi="Book Antiqua" w:cs="Book Antiqua"/>
          <w:color w:val="000000"/>
        </w:rPr>
        <w:t>Department of Pathology, The First Medical Center, Chinese PLA General Hospital, Beijing 100853, Beijing, China</w:t>
      </w:r>
    </w:p>
    <w:p w14:paraId="324E5AFE" w14:textId="77777777" w:rsidR="00A77B3E" w:rsidRDefault="00A77B3E">
      <w:pPr>
        <w:spacing w:line="360" w:lineRule="auto"/>
        <w:jc w:val="both"/>
      </w:pPr>
    </w:p>
    <w:p w14:paraId="0305918D" w14:textId="0CE4BAAC" w:rsidR="00A77B3E" w:rsidRDefault="009277A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Wang</w:t>
      </w:r>
      <w:r w:rsidR="004873CB">
        <w:rPr>
          <w:rFonts w:ascii="Book Antiqua" w:eastAsia="Book Antiqua" w:hAnsi="Book Antiqua" w:cs="Book Antiqua"/>
          <w:color w:val="000000"/>
        </w:rPr>
        <w:t xml:space="preserve"> ZK</w:t>
      </w:r>
      <w:r>
        <w:rPr>
          <w:rFonts w:ascii="Book Antiqua" w:eastAsia="Book Antiqua" w:hAnsi="Book Antiqua" w:cs="Book Antiqua"/>
          <w:color w:val="000000"/>
        </w:rPr>
        <w:t xml:space="preserve"> and Liu</w:t>
      </w:r>
      <w:r w:rsidR="004873CB">
        <w:rPr>
          <w:rFonts w:ascii="Book Antiqua" w:eastAsia="Book Antiqua" w:hAnsi="Book Antiqua" w:cs="Book Antiqua"/>
          <w:color w:val="000000"/>
        </w:rPr>
        <w:t xml:space="preserve"> F</w:t>
      </w:r>
      <w:r>
        <w:rPr>
          <w:rFonts w:ascii="Book Antiqua" w:eastAsia="Book Antiqua" w:hAnsi="Book Antiqua" w:cs="Book Antiqua"/>
          <w:color w:val="000000"/>
        </w:rPr>
        <w:t xml:space="preserve"> contributed equally to this manuscript</w:t>
      </w:r>
      <w:r w:rsidR="004873CB">
        <w:rPr>
          <w:rFonts w:ascii="Book Antiqua" w:eastAsia="Book Antiqua" w:hAnsi="Book Antiqua" w:cs="Book Antiqua"/>
          <w:color w:val="000000"/>
        </w:rPr>
        <w:t xml:space="preserve">; </w:t>
      </w:r>
      <w:r>
        <w:rPr>
          <w:rFonts w:ascii="Book Antiqua" w:eastAsia="Book Antiqua" w:hAnsi="Book Antiqua" w:cs="Book Antiqua"/>
          <w:color w:val="000000"/>
        </w:rPr>
        <w:t>Li W and Wang ZK</w:t>
      </w:r>
      <w:r w:rsidR="004873CB">
        <w:rPr>
          <w:rFonts w:ascii="Book Antiqua" w:eastAsia="Book Antiqua" w:hAnsi="Book Antiqua" w:cs="Book Antiqua"/>
          <w:color w:val="000000"/>
        </w:rPr>
        <w:t xml:space="preserve"> completed</w:t>
      </w:r>
      <w:r>
        <w:rPr>
          <w:rFonts w:ascii="Book Antiqua" w:eastAsia="Book Antiqua" w:hAnsi="Book Antiqua" w:cs="Book Antiqua"/>
          <w:color w:val="000000"/>
        </w:rPr>
        <w:t xml:space="preserve"> study conception and design, endoscopic operation</w:t>
      </w:r>
      <w:r w:rsidR="004873CB">
        <w:rPr>
          <w:rFonts w:ascii="Book Antiqua" w:eastAsia="Book Antiqua" w:hAnsi="Book Antiqua" w:cs="Book Antiqua"/>
          <w:color w:val="000000"/>
        </w:rPr>
        <w:t>;</w:t>
      </w:r>
      <w:r>
        <w:rPr>
          <w:rFonts w:ascii="Book Antiqua" w:eastAsia="Book Antiqua" w:hAnsi="Book Antiqua" w:cs="Book Antiqua"/>
          <w:color w:val="000000"/>
        </w:rPr>
        <w:t xml:space="preserve"> Wang ZK and Liu F</w:t>
      </w:r>
      <w:r w:rsidR="004873CB">
        <w:rPr>
          <w:rFonts w:ascii="Book Antiqua" w:eastAsia="Book Antiqua" w:hAnsi="Book Antiqua" w:cs="Book Antiqua"/>
          <w:color w:val="000000"/>
        </w:rPr>
        <w:t xml:space="preserve"> </w:t>
      </w:r>
      <w:r>
        <w:rPr>
          <w:rFonts w:ascii="Book Antiqua" w:eastAsia="Book Antiqua" w:hAnsi="Book Antiqua" w:cs="Book Antiqua"/>
          <w:color w:val="000000"/>
        </w:rPr>
        <w:t>wr</w:t>
      </w:r>
      <w:r w:rsidR="004873CB">
        <w:rPr>
          <w:rFonts w:ascii="Book Antiqua" w:eastAsia="Book Antiqua" w:hAnsi="Book Antiqua" w:cs="Book Antiqua"/>
          <w:color w:val="000000"/>
        </w:rPr>
        <w:t>o</w:t>
      </w:r>
      <w:r>
        <w:rPr>
          <w:rFonts w:ascii="Book Antiqua" w:eastAsia="Book Antiqua" w:hAnsi="Book Antiqua" w:cs="Book Antiqua"/>
          <w:color w:val="000000"/>
        </w:rPr>
        <w:t>t</w:t>
      </w:r>
      <w:r w:rsidR="004873CB">
        <w:rPr>
          <w:rFonts w:ascii="Book Antiqua" w:eastAsia="Book Antiqua" w:hAnsi="Book Antiqua" w:cs="Book Antiqua"/>
          <w:color w:val="000000"/>
        </w:rPr>
        <w:t>e</w:t>
      </w:r>
      <w:r>
        <w:rPr>
          <w:rFonts w:ascii="Book Antiqua" w:eastAsia="Book Antiqua" w:hAnsi="Book Antiqua" w:cs="Book Antiqua"/>
          <w:color w:val="000000"/>
        </w:rPr>
        <w:t xml:space="preserve"> and edit</w:t>
      </w:r>
      <w:r w:rsidR="004873CB">
        <w:rPr>
          <w:rFonts w:ascii="Book Antiqua" w:eastAsia="Book Antiqua" w:hAnsi="Book Antiqua" w:cs="Book Antiqua"/>
          <w:color w:val="000000"/>
        </w:rPr>
        <w:t>ed</w:t>
      </w:r>
      <w:r>
        <w:rPr>
          <w:rFonts w:ascii="Book Antiqua" w:eastAsia="Book Antiqua" w:hAnsi="Book Antiqua" w:cs="Book Antiqua"/>
          <w:color w:val="000000"/>
        </w:rPr>
        <w:t xml:space="preserve"> the manuscript</w:t>
      </w:r>
      <w:r w:rsidR="004873CB">
        <w:rPr>
          <w:rFonts w:ascii="Book Antiqua" w:eastAsia="Book Antiqua" w:hAnsi="Book Antiqua" w:cs="Book Antiqua"/>
          <w:color w:val="000000"/>
        </w:rPr>
        <w:t>;</w:t>
      </w:r>
      <w:r>
        <w:rPr>
          <w:rFonts w:ascii="Book Antiqua" w:eastAsia="Book Antiqua" w:hAnsi="Book Antiqua" w:cs="Book Antiqua"/>
          <w:color w:val="000000"/>
        </w:rPr>
        <w:t xml:space="preserve"> Wang Y</w:t>
      </w:r>
      <w:r w:rsidR="004873CB">
        <w:rPr>
          <w:rFonts w:ascii="Book Antiqua" w:eastAsia="Book Antiqua" w:hAnsi="Book Antiqua" w:cs="Book Antiqua"/>
          <w:color w:val="000000"/>
        </w:rPr>
        <w:t xml:space="preserve"> finished</w:t>
      </w:r>
      <w:r>
        <w:rPr>
          <w:rFonts w:ascii="Book Antiqua" w:eastAsia="Book Antiqua" w:hAnsi="Book Antiqua" w:cs="Book Antiqua"/>
          <w:color w:val="000000"/>
        </w:rPr>
        <w:t xml:space="preserve"> pathological analysis</w:t>
      </w:r>
      <w:r w:rsidR="004873CB">
        <w:rPr>
          <w:rFonts w:ascii="Book Antiqua" w:eastAsia="Book Antiqua" w:hAnsi="Book Antiqua" w:cs="Book Antiqua"/>
          <w:color w:val="000000"/>
        </w:rPr>
        <w:t>;</w:t>
      </w:r>
      <w:r>
        <w:rPr>
          <w:rFonts w:ascii="Book Antiqua" w:eastAsia="Book Antiqua" w:hAnsi="Book Antiqua" w:cs="Book Antiqua"/>
          <w:color w:val="000000"/>
        </w:rPr>
        <w:t xml:space="preserve"> Wang ZK, Liu F, Wang XD</w:t>
      </w:r>
      <w:r w:rsidR="007B4B54">
        <w:rPr>
          <w:rFonts w:ascii="Book Antiqua" w:eastAsia="Book Antiqua" w:hAnsi="Book Antiqua" w:cs="Book Antiqua"/>
          <w:color w:val="000000"/>
        </w:rPr>
        <w:t>,</w:t>
      </w:r>
      <w:r>
        <w:rPr>
          <w:rFonts w:ascii="Book Antiqua" w:eastAsia="Book Antiqua" w:hAnsi="Book Antiqua" w:cs="Book Antiqua"/>
          <w:color w:val="000000"/>
        </w:rPr>
        <w:t xml:space="preserve"> and Tang P</w:t>
      </w:r>
      <w:r w:rsidR="004873CB">
        <w:rPr>
          <w:rFonts w:ascii="Book Antiqua" w:eastAsia="Book Antiqua" w:hAnsi="Book Antiqua" w:cs="Book Antiqua"/>
          <w:color w:val="000000"/>
        </w:rPr>
        <w:t xml:space="preserve"> completed</w:t>
      </w:r>
      <w:r>
        <w:rPr>
          <w:rFonts w:ascii="Book Antiqua" w:eastAsia="Book Antiqua" w:hAnsi="Book Antiqua" w:cs="Book Antiqua"/>
          <w:color w:val="000000"/>
        </w:rPr>
        <w:t xml:space="preserve"> endoscopic operation, data analysis and interpretation.</w:t>
      </w:r>
    </w:p>
    <w:p w14:paraId="07AD8872" w14:textId="77777777" w:rsidR="00A77B3E" w:rsidRDefault="00A77B3E">
      <w:pPr>
        <w:spacing w:line="360" w:lineRule="auto"/>
        <w:jc w:val="both"/>
      </w:pPr>
    </w:p>
    <w:p w14:paraId="00B3EAAC" w14:textId="4DB3F278" w:rsidR="00A77B3E" w:rsidRDefault="009277A0">
      <w:pPr>
        <w:spacing w:line="360" w:lineRule="auto"/>
        <w:jc w:val="both"/>
      </w:pPr>
      <w:r>
        <w:rPr>
          <w:rFonts w:ascii="Book Antiqua" w:eastAsia="Book Antiqua" w:hAnsi="Book Antiqua" w:cs="Book Antiqua"/>
          <w:b/>
          <w:bCs/>
          <w:color w:val="000000"/>
        </w:rPr>
        <w:t xml:space="preserve">Corresponding author: Wen Li, MD, PhD, Chief Doctor, </w:t>
      </w:r>
      <w:r>
        <w:rPr>
          <w:rFonts w:ascii="Book Antiqua" w:eastAsia="Book Antiqua" w:hAnsi="Book Antiqua" w:cs="Book Antiqua"/>
          <w:color w:val="000000"/>
        </w:rPr>
        <w:t xml:space="preserve">Department of Gastroenterology and Hepatology, The First Medical Center, Chinese PLA General </w:t>
      </w:r>
      <w:r>
        <w:rPr>
          <w:rFonts w:ascii="Book Antiqua" w:eastAsia="Book Antiqua" w:hAnsi="Book Antiqua" w:cs="Book Antiqua"/>
          <w:color w:val="000000"/>
        </w:rPr>
        <w:lastRenderedPageBreak/>
        <w:t xml:space="preserve">Hospital, </w:t>
      </w:r>
      <w:r w:rsidR="004873CB">
        <w:rPr>
          <w:rFonts w:ascii="Book Antiqua" w:eastAsia="Book Antiqua" w:hAnsi="Book Antiqua" w:cs="Book Antiqua"/>
          <w:color w:val="000000"/>
        </w:rPr>
        <w:t xml:space="preserve">No. 28 </w:t>
      </w:r>
      <w:r>
        <w:rPr>
          <w:rFonts w:ascii="Book Antiqua" w:eastAsia="Book Antiqua" w:hAnsi="Book Antiqua" w:cs="Book Antiqua"/>
          <w:color w:val="000000"/>
        </w:rPr>
        <w:t>Fuxing Road,</w:t>
      </w:r>
      <w:r w:rsidR="004873CB">
        <w:rPr>
          <w:rFonts w:ascii="Book Antiqua" w:eastAsia="Book Antiqua" w:hAnsi="Book Antiqua" w:cs="Book Antiqua"/>
          <w:color w:val="000000"/>
        </w:rPr>
        <w:t xml:space="preserve"> </w:t>
      </w:r>
      <w:r w:rsidR="004873CB" w:rsidRPr="004873CB">
        <w:rPr>
          <w:rFonts w:ascii="Book Antiqua" w:eastAsia="Book Antiqua" w:hAnsi="Book Antiqua" w:cs="Book Antiqua"/>
          <w:color w:val="000000"/>
        </w:rPr>
        <w:t>Haidian District</w:t>
      </w:r>
      <w:r w:rsidR="004873CB">
        <w:rPr>
          <w:rFonts w:ascii="Book Antiqua" w:eastAsia="Book Antiqua" w:hAnsi="Book Antiqua" w:cs="Book Antiqua"/>
          <w:color w:val="000000"/>
        </w:rPr>
        <w:t>,</w:t>
      </w:r>
      <w:r>
        <w:rPr>
          <w:rFonts w:ascii="Book Antiqua" w:eastAsia="Book Antiqua" w:hAnsi="Book Antiqua" w:cs="Book Antiqua"/>
          <w:color w:val="000000"/>
        </w:rPr>
        <w:t xml:space="preserve"> Beijing 100853, China. liwen2000@yahoo.com</w:t>
      </w:r>
    </w:p>
    <w:p w14:paraId="113E7944" w14:textId="77777777" w:rsidR="00A77B3E" w:rsidRDefault="00A77B3E">
      <w:pPr>
        <w:spacing w:line="360" w:lineRule="auto"/>
        <w:jc w:val="both"/>
      </w:pPr>
    </w:p>
    <w:p w14:paraId="24BEE2B3" w14:textId="77777777" w:rsidR="00A77B3E" w:rsidRDefault="009277A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15, 2020</w:t>
      </w:r>
    </w:p>
    <w:p w14:paraId="4A0BA676" w14:textId="77777777" w:rsidR="00A77B3E" w:rsidRDefault="009277A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8, 2020</w:t>
      </w:r>
    </w:p>
    <w:p w14:paraId="3BFDCC41" w14:textId="71ABF100" w:rsidR="00A77B3E" w:rsidRPr="00EC0BBC" w:rsidRDefault="009277A0" w:rsidP="00EC0BBC">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Accepted:</w:t>
      </w:r>
      <w:r w:rsidR="00EC0BBC" w:rsidRPr="00EC0BBC">
        <w:rPr>
          <w:rFonts w:ascii="Book Antiqua" w:hAnsi="Book Antiqua" w:cs="Arial"/>
          <w:color w:val="000000" w:themeColor="text1"/>
          <w:shd w:val="clear" w:color="auto" w:fill="FFFFFF"/>
        </w:rPr>
        <w:t xml:space="preserve"> </w:t>
      </w:r>
      <w:r w:rsidR="00EC0BBC">
        <w:rPr>
          <w:rFonts w:ascii="Book Antiqua" w:hAnsi="Book Antiqua" w:cs="Arial"/>
          <w:color w:val="000000" w:themeColor="text1"/>
          <w:shd w:val="clear" w:color="auto" w:fill="FFFFFF"/>
        </w:rPr>
        <w:t>September 12, 2020</w:t>
      </w:r>
      <w:r>
        <w:rPr>
          <w:rFonts w:ascii="Book Antiqua" w:eastAsia="Book Antiqua" w:hAnsi="Book Antiqua" w:cs="Book Antiqua"/>
          <w:b/>
          <w:bCs/>
          <w:color w:val="000000"/>
        </w:rPr>
        <w:t xml:space="preserve"> </w:t>
      </w:r>
    </w:p>
    <w:p w14:paraId="1291B16F" w14:textId="77777777" w:rsidR="00A77B3E" w:rsidRDefault="009277A0">
      <w:pPr>
        <w:spacing w:line="360" w:lineRule="auto"/>
        <w:jc w:val="both"/>
      </w:pPr>
      <w:r>
        <w:rPr>
          <w:rFonts w:ascii="Book Antiqua" w:eastAsia="Book Antiqua" w:hAnsi="Book Antiqua" w:cs="Book Antiqua"/>
          <w:b/>
          <w:bCs/>
          <w:color w:val="000000"/>
        </w:rPr>
        <w:t xml:space="preserve">Published online: </w:t>
      </w:r>
    </w:p>
    <w:p w14:paraId="7A509E4D"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1D5EBE8" w14:textId="77777777" w:rsidR="00A77B3E" w:rsidRDefault="009277A0">
      <w:pPr>
        <w:spacing w:line="360" w:lineRule="auto"/>
        <w:jc w:val="both"/>
      </w:pPr>
      <w:r>
        <w:rPr>
          <w:rFonts w:ascii="Book Antiqua" w:eastAsia="Book Antiqua" w:hAnsi="Book Antiqua" w:cs="Book Antiqua"/>
          <w:b/>
          <w:color w:val="000000"/>
        </w:rPr>
        <w:lastRenderedPageBreak/>
        <w:t>Abstract</w:t>
      </w:r>
    </w:p>
    <w:p w14:paraId="06C7E78B" w14:textId="77777777" w:rsidR="00A77B3E" w:rsidRDefault="009277A0">
      <w:pPr>
        <w:spacing w:line="360" w:lineRule="auto"/>
        <w:jc w:val="both"/>
      </w:pPr>
      <w:r>
        <w:rPr>
          <w:rFonts w:ascii="Book Antiqua" w:eastAsia="Book Antiqua" w:hAnsi="Book Antiqua" w:cs="Book Antiqua"/>
          <w:color w:val="000000"/>
        </w:rPr>
        <w:t>BACKGROUND</w:t>
      </w:r>
    </w:p>
    <w:p w14:paraId="3E0A852F" w14:textId="77777777" w:rsidR="00A77B3E" w:rsidRDefault="009277A0">
      <w:pPr>
        <w:spacing w:line="360" w:lineRule="auto"/>
        <w:jc w:val="both"/>
      </w:pPr>
      <w:r>
        <w:rPr>
          <w:rFonts w:ascii="Book Antiqua" w:eastAsia="Book Antiqua" w:hAnsi="Book Antiqua" w:cs="Book Antiqua"/>
          <w:color w:val="000000"/>
        </w:rPr>
        <w:t>The management strategies for recurrent ampullary adenoma after endoscopic papillectomy are still controversial. Patients with the recurrent papillary lesions need to receive repetitive endoscopic interventions due to the limitations of conventional endoscopic techniques.</w:t>
      </w:r>
    </w:p>
    <w:p w14:paraId="34A423B3" w14:textId="77777777" w:rsidR="00A77B3E" w:rsidRDefault="00A77B3E">
      <w:pPr>
        <w:spacing w:line="360" w:lineRule="auto"/>
        <w:jc w:val="both"/>
      </w:pPr>
    </w:p>
    <w:p w14:paraId="17FA4719" w14:textId="77777777" w:rsidR="00A77B3E" w:rsidRDefault="009277A0">
      <w:pPr>
        <w:spacing w:line="360" w:lineRule="auto"/>
        <w:jc w:val="both"/>
      </w:pPr>
      <w:r>
        <w:rPr>
          <w:rFonts w:ascii="Book Antiqua" w:eastAsia="Book Antiqua" w:hAnsi="Book Antiqua" w:cs="Book Antiqua"/>
          <w:color w:val="000000"/>
        </w:rPr>
        <w:t>AIM</w:t>
      </w:r>
    </w:p>
    <w:p w14:paraId="77863EFA" w14:textId="7EB7D08D" w:rsidR="00A77B3E" w:rsidRDefault="009277A0">
      <w:pPr>
        <w:spacing w:line="360" w:lineRule="auto"/>
        <w:jc w:val="both"/>
      </w:pPr>
      <w:r>
        <w:rPr>
          <w:rFonts w:ascii="Book Antiqua" w:eastAsia="Book Antiqua" w:hAnsi="Book Antiqua" w:cs="Book Antiqua"/>
          <w:color w:val="000000"/>
        </w:rPr>
        <w:t>To assess the feasibility, efficacy</w:t>
      </w:r>
      <w:r w:rsidR="007B4B54">
        <w:rPr>
          <w:rFonts w:ascii="Book Antiqua" w:eastAsia="Book Antiqua" w:hAnsi="Book Antiqua" w:cs="Book Antiqua"/>
          <w:color w:val="000000"/>
        </w:rPr>
        <w:t>,</w:t>
      </w:r>
      <w:r>
        <w:rPr>
          <w:rFonts w:ascii="Book Antiqua" w:eastAsia="Book Antiqua" w:hAnsi="Book Antiqua" w:cs="Book Antiqua"/>
          <w:color w:val="000000"/>
        </w:rPr>
        <w:t xml:space="preserve"> and safety of hybrid endoscopic submucosal dissection (ESD) by duodenoscope for recurrent, laterally spreading papillary lesions.</w:t>
      </w:r>
    </w:p>
    <w:p w14:paraId="742B0629" w14:textId="77777777" w:rsidR="00A77B3E" w:rsidRDefault="00A77B3E">
      <w:pPr>
        <w:spacing w:line="360" w:lineRule="auto"/>
        <w:jc w:val="both"/>
      </w:pPr>
    </w:p>
    <w:p w14:paraId="31985126" w14:textId="77777777" w:rsidR="00A77B3E" w:rsidRDefault="009277A0">
      <w:pPr>
        <w:spacing w:line="360" w:lineRule="auto"/>
        <w:jc w:val="both"/>
      </w:pPr>
      <w:r>
        <w:rPr>
          <w:rFonts w:ascii="Book Antiqua" w:eastAsia="Book Antiqua" w:hAnsi="Book Antiqua" w:cs="Book Antiqua"/>
          <w:color w:val="000000"/>
        </w:rPr>
        <w:t>METHODS</w:t>
      </w:r>
    </w:p>
    <w:p w14:paraId="3B6DFB31" w14:textId="15FFF7CA" w:rsidR="00A77B3E" w:rsidRDefault="009277A0">
      <w:pPr>
        <w:spacing w:line="360" w:lineRule="auto"/>
        <w:jc w:val="both"/>
      </w:pPr>
      <w:r>
        <w:rPr>
          <w:rFonts w:ascii="Book Antiqua" w:eastAsia="Book Antiqua" w:hAnsi="Book Antiqua" w:cs="Book Antiqua"/>
          <w:color w:val="000000"/>
        </w:rPr>
        <w:t xml:space="preserve">We enrolled two patients with recurrent, laterally spreading, duodenal papillary adenomas with no intraductal extension confirmed by follow-up between March 2017 and September 2018. After marking the resection borders of the lesion using a </w:t>
      </w:r>
      <w:r w:rsidR="007B4B54">
        <w:rPr>
          <w:rFonts w:ascii="Book Antiqua" w:eastAsia="Book Antiqua" w:hAnsi="Book Antiqua" w:cs="Book Antiqua"/>
          <w:color w:val="000000"/>
        </w:rPr>
        <w:t>d</w:t>
      </w:r>
      <w:r>
        <w:rPr>
          <w:rFonts w:ascii="Book Antiqua" w:eastAsia="Book Antiqua" w:hAnsi="Book Antiqua" w:cs="Book Antiqua"/>
          <w:color w:val="000000"/>
        </w:rPr>
        <w:t>ual knife, a submucosal cushion was created by injecting a mixture of saline solution, methylene blue</w:t>
      </w:r>
      <w:r w:rsidR="007B4B54">
        <w:rPr>
          <w:rFonts w:ascii="Book Antiqua" w:eastAsia="Book Antiqua" w:hAnsi="Book Antiqua" w:cs="Book Antiqua"/>
          <w:color w:val="000000"/>
        </w:rPr>
        <w:t>,</w:t>
      </w:r>
      <w:r>
        <w:rPr>
          <w:rFonts w:ascii="Book Antiqua" w:eastAsia="Book Antiqua" w:hAnsi="Book Antiqua" w:cs="Book Antiqua"/>
          <w:color w:val="000000"/>
        </w:rPr>
        <w:t xml:space="preserve"> and adrenaline. A total circumferential incision and submucosal excision was performed by </w:t>
      </w:r>
      <w:r w:rsidR="007B4B54">
        <w:rPr>
          <w:rFonts w:ascii="Book Antiqua" w:eastAsia="Book Antiqua" w:hAnsi="Book Antiqua" w:cs="Book Antiqua"/>
          <w:color w:val="000000"/>
        </w:rPr>
        <w:t>d</w:t>
      </w:r>
      <w:r>
        <w:rPr>
          <w:rFonts w:ascii="Book Antiqua" w:eastAsia="Book Antiqua" w:hAnsi="Book Antiqua" w:cs="Book Antiqua"/>
          <w:color w:val="000000"/>
        </w:rPr>
        <w:t>ual knife combined with insulated-tip diathermic knife, and then the lesion was ligated and resected using an electric snare. Endoscopic hemostasis was applied during the endoscopic procedures. Moreover, the endoscopic retrograde cholangiopancreatography (ERCP) procedures, including selective cannulation and stent implantation of biliary and pancreatic ducts, were performed. Additionally, we performed endoclip closure for mucosal defect after ESD.</w:t>
      </w:r>
    </w:p>
    <w:p w14:paraId="054A5F38" w14:textId="77777777" w:rsidR="00A77B3E" w:rsidRDefault="00A77B3E">
      <w:pPr>
        <w:spacing w:line="360" w:lineRule="auto"/>
        <w:jc w:val="both"/>
      </w:pPr>
    </w:p>
    <w:p w14:paraId="1133A7B6" w14:textId="77777777" w:rsidR="00A77B3E" w:rsidRDefault="009277A0">
      <w:pPr>
        <w:spacing w:line="360" w:lineRule="auto"/>
        <w:jc w:val="both"/>
      </w:pPr>
      <w:r>
        <w:rPr>
          <w:rFonts w:ascii="Book Antiqua" w:eastAsia="Book Antiqua" w:hAnsi="Book Antiqua" w:cs="Book Antiqua"/>
          <w:color w:val="000000"/>
        </w:rPr>
        <w:t>RESULTS</w:t>
      </w:r>
    </w:p>
    <w:p w14:paraId="05B5A5B9" w14:textId="77777777" w:rsidR="00A77B3E" w:rsidRDefault="009277A0">
      <w:pPr>
        <w:spacing w:line="360" w:lineRule="auto"/>
        <w:jc w:val="both"/>
      </w:pPr>
      <w:r>
        <w:rPr>
          <w:rFonts w:ascii="Book Antiqua" w:eastAsia="Book Antiqua" w:hAnsi="Book Antiqua" w:cs="Book Antiqua"/>
          <w:color w:val="000000"/>
        </w:rPr>
        <w:t xml:space="preserve">Hybrid ESD using a duodenoscope and biliary and pancreatic stent placement were performed successfully in two patients. The endoscopic size of recurrent papillary lesions was no more than 2 cm. Generally, the average total procedure time was 95.5 min, and the procedure time of ESD and ERCP was 38.5 and 15.5 min, respectively. No serious </w:t>
      </w:r>
      <w:r>
        <w:rPr>
          <w:rFonts w:ascii="Book Antiqua" w:eastAsia="Book Antiqua" w:hAnsi="Book Antiqua" w:cs="Book Antiqua"/>
          <w:color w:val="000000"/>
        </w:rPr>
        <w:lastRenderedPageBreak/>
        <w:t>complications occurred during the intraoperative and postoperative periods. The histopathological examination revealed tubulovillous adenoma negative for neoplastic extension at the cut margin in both patients. The duodenoscopic follow-up and histopathology of biopsy specimens at 3 mo after ESD showed no residual or recurrent lesions in ampullary areas in both cases. Both cases have been followed up with no recurrence to June 2020.</w:t>
      </w:r>
    </w:p>
    <w:p w14:paraId="24A34AF4" w14:textId="77777777" w:rsidR="00A77B3E" w:rsidRDefault="00A77B3E">
      <w:pPr>
        <w:spacing w:line="360" w:lineRule="auto"/>
        <w:jc w:val="both"/>
      </w:pPr>
    </w:p>
    <w:p w14:paraId="277F3494" w14:textId="77777777" w:rsidR="00A77B3E" w:rsidRDefault="009277A0">
      <w:pPr>
        <w:spacing w:line="360" w:lineRule="auto"/>
        <w:jc w:val="both"/>
      </w:pPr>
      <w:r>
        <w:rPr>
          <w:rFonts w:ascii="Book Antiqua" w:eastAsia="Book Antiqua" w:hAnsi="Book Antiqua" w:cs="Book Antiqua"/>
          <w:color w:val="000000"/>
        </w:rPr>
        <w:t>CONCLUSION</w:t>
      </w:r>
    </w:p>
    <w:p w14:paraId="5610E59C" w14:textId="77777777" w:rsidR="00A77B3E" w:rsidRDefault="009277A0">
      <w:pPr>
        <w:spacing w:line="360" w:lineRule="auto"/>
        <w:jc w:val="both"/>
      </w:pPr>
      <w:r>
        <w:rPr>
          <w:rFonts w:ascii="Book Antiqua" w:eastAsia="Book Antiqua" w:hAnsi="Book Antiqua" w:cs="Book Antiqua"/>
          <w:color w:val="000000"/>
        </w:rPr>
        <w:t>Hybrid ESD by duodenoscope is technically challenging, and may be curative for recurrent, laterally spreading papillary adenomas &lt; 2 cm. It should be performed cautiously in selected patients by experienced endoscopists.</w:t>
      </w:r>
    </w:p>
    <w:p w14:paraId="61457553" w14:textId="77777777" w:rsidR="00A77B3E" w:rsidRDefault="00A77B3E">
      <w:pPr>
        <w:spacing w:line="360" w:lineRule="auto"/>
        <w:jc w:val="both"/>
      </w:pPr>
    </w:p>
    <w:p w14:paraId="40B2E152" w14:textId="3C00A423" w:rsidR="00A77B3E" w:rsidRDefault="009277A0">
      <w:pPr>
        <w:spacing w:line="360" w:lineRule="auto"/>
        <w:jc w:val="both"/>
      </w:pPr>
      <w:r>
        <w:rPr>
          <w:rFonts w:ascii="Book Antiqua" w:eastAsia="Book Antiqua" w:hAnsi="Book Antiqua" w:cs="Book Antiqua"/>
          <w:b/>
          <w:bCs/>
          <w:color w:val="000000"/>
        </w:rPr>
        <w:t xml:space="preserve">Key Words: </w:t>
      </w:r>
      <w:r w:rsidR="00AB3913">
        <w:rPr>
          <w:rFonts w:ascii="Book Antiqua" w:eastAsia="Book Antiqua" w:hAnsi="Book Antiqua" w:cs="Book Antiqua"/>
          <w:color w:val="000000"/>
        </w:rPr>
        <w:t>E</w:t>
      </w:r>
      <w:r>
        <w:rPr>
          <w:rFonts w:ascii="Book Antiqua" w:eastAsia="Book Antiqua" w:hAnsi="Book Antiqua" w:cs="Book Antiqua"/>
          <w:color w:val="000000"/>
        </w:rPr>
        <w:t xml:space="preserve">ndoscopic submucosal dissection; </w:t>
      </w:r>
      <w:r w:rsidR="00AB3913">
        <w:rPr>
          <w:rFonts w:ascii="Book Antiqua" w:eastAsia="Book Antiqua" w:hAnsi="Book Antiqua" w:cs="Book Antiqua"/>
          <w:color w:val="000000"/>
        </w:rPr>
        <w:t>A</w:t>
      </w:r>
      <w:r>
        <w:rPr>
          <w:rFonts w:ascii="Book Antiqua" w:eastAsia="Book Antiqua" w:hAnsi="Book Antiqua" w:cs="Book Antiqua"/>
          <w:color w:val="000000"/>
        </w:rPr>
        <w:t xml:space="preserve">mpullary adenoma; </w:t>
      </w:r>
      <w:r w:rsidR="00AB3913">
        <w:rPr>
          <w:rFonts w:ascii="Book Antiqua" w:eastAsia="Book Antiqua" w:hAnsi="Book Antiqua" w:cs="Book Antiqua"/>
          <w:color w:val="000000"/>
        </w:rPr>
        <w:t>R</w:t>
      </w:r>
      <w:r>
        <w:rPr>
          <w:rFonts w:ascii="Book Antiqua" w:eastAsia="Book Antiqua" w:hAnsi="Book Antiqua" w:cs="Book Antiqua"/>
          <w:color w:val="000000"/>
        </w:rPr>
        <w:t xml:space="preserve">ecurrent; </w:t>
      </w:r>
      <w:r w:rsidR="00AB3913">
        <w:rPr>
          <w:rFonts w:ascii="Book Antiqua" w:eastAsia="Book Antiqua" w:hAnsi="Book Antiqua" w:cs="Book Antiqua"/>
          <w:color w:val="000000"/>
        </w:rPr>
        <w:t>L</w:t>
      </w:r>
      <w:r>
        <w:rPr>
          <w:rFonts w:ascii="Book Antiqua" w:eastAsia="Book Antiqua" w:hAnsi="Book Antiqua" w:cs="Book Antiqua"/>
          <w:color w:val="000000"/>
        </w:rPr>
        <w:t>aterally spreading</w:t>
      </w:r>
      <w:r w:rsidR="00AB3913">
        <w:rPr>
          <w:rFonts w:ascii="Book Antiqua" w:eastAsia="Book Antiqua" w:hAnsi="Book Antiqua" w:cs="Book Antiqua"/>
          <w:color w:val="000000"/>
        </w:rPr>
        <w:t xml:space="preserve">; </w:t>
      </w:r>
      <w:r w:rsidR="00461FA1">
        <w:rPr>
          <w:rFonts w:ascii="Book Antiqua" w:eastAsia="Book Antiqua" w:hAnsi="Book Antiqua" w:cs="Book Antiqua"/>
          <w:color w:val="000000"/>
        </w:rPr>
        <w:t>P</w:t>
      </w:r>
      <w:r w:rsidR="00461FA1" w:rsidRPr="00461FA1">
        <w:rPr>
          <w:rFonts w:ascii="Book Antiqua" w:eastAsia="Book Antiqua" w:hAnsi="Book Antiqua" w:cs="Book Antiqua"/>
          <w:color w:val="000000"/>
        </w:rPr>
        <w:t>apillary lesions</w:t>
      </w:r>
    </w:p>
    <w:p w14:paraId="297ADD68" w14:textId="77777777" w:rsidR="00A77B3E" w:rsidRDefault="00A77B3E">
      <w:pPr>
        <w:spacing w:line="360" w:lineRule="auto"/>
        <w:jc w:val="both"/>
      </w:pPr>
    </w:p>
    <w:p w14:paraId="698CB7B8" w14:textId="77777777" w:rsidR="00A77B3E" w:rsidRDefault="009277A0">
      <w:pPr>
        <w:spacing w:line="360" w:lineRule="auto"/>
        <w:jc w:val="both"/>
      </w:pPr>
      <w:r>
        <w:rPr>
          <w:rFonts w:ascii="Book Antiqua" w:eastAsia="Book Antiqua" w:hAnsi="Book Antiqua" w:cs="Book Antiqua"/>
          <w:color w:val="000000"/>
        </w:rPr>
        <w:t xml:space="preserve">Wang ZK, Liu F, Wang Y, Wang XD, Tang P, Li W. Preliminary experience of hybrid endoscopic submucosal dissection by duodenoscope for recurrent laterally spreading papillary lesions.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5670FEFC" w14:textId="77777777" w:rsidR="00A77B3E" w:rsidRDefault="00A77B3E">
      <w:pPr>
        <w:spacing w:line="360" w:lineRule="auto"/>
        <w:jc w:val="both"/>
      </w:pPr>
    </w:p>
    <w:p w14:paraId="47F2EE07" w14:textId="2521C672" w:rsidR="00A77B3E" w:rsidRDefault="009277A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management strategies for recurrent ampullary adenomas after endoscopic papillectomy are still controversial. Our preliminary experience showed that hybrid endoscopic submucosal dissection by duodenoscope could be feasible for recurrent, laterally spreading ampullary adenomas. Follow-up after hybrid </w:t>
      </w:r>
      <w:r w:rsidR="00461FA1">
        <w:rPr>
          <w:rFonts w:ascii="Book Antiqua" w:eastAsia="Book Antiqua" w:hAnsi="Book Antiqua" w:cs="Book Antiqua"/>
          <w:color w:val="000000"/>
        </w:rPr>
        <w:t>endoscopic submucosal dissection</w:t>
      </w:r>
      <w:r>
        <w:rPr>
          <w:rFonts w:ascii="Book Antiqua" w:eastAsia="Book Antiqua" w:hAnsi="Book Antiqua" w:cs="Book Antiqua"/>
          <w:color w:val="000000"/>
        </w:rPr>
        <w:t xml:space="preserve"> showed no residual or recurrent lesions in ampullary areas. However, it should be performed with caution by experienced endoscopists in selected patients, and the effectiveness should be verified by large-scale studies.</w:t>
      </w:r>
    </w:p>
    <w:p w14:paraId="6654E914" w14:textId="1058720E" w:rsidR="00A77B3E" w:rsidRDefault="00461FA1">
      <w:pPr>
        <w:spacing w:line="360" w:lineRule="auto"/>
        <w:jc w:val="both"/>
      </w:pPr>
      <w:r>
        <w:br w:type="page"/>
      </w:r>
      <w:r w:rsidR="009277A0">
        <w:rPr>
          <w:rFonts w:ascii="Book Antiqua" w:eastAsia="Book Antiqua" w:hAnsi="Book Antiqua" w:cs="Book Antiqua"/>
          <w:b/>
          <w:caps/>
          <w:color w:val="000000"/>
          <w:u w:val="single"/>
        </w:rPr>
        <w:lastRenderedPageBreak/>
        <w:t>INTRODUCTION</w:t>
      </w:r>
    </w:p>
    <w:p w14:paraId="0900E4D0" w14:textId="38D0693C" w:rsidR="00F823BB" w:rsidRDefault="009277A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clinical practice or consensus for endoscopic management of duodenal papillary lesions is not fully </w:t>
      </w:r>
      <w:proofErr w:type="gramStart"/>
      <w:r>
        <w:rPr>
          <w:rFonts w:ascii="Book Antiqua" w:eastAsia="Book Antiqua" w:hAnsi="Book Antiqua" w:cs="Book Antiqua"/>
          <w:color w:val="000000"/>
        </w:rPr>
        <w:t>established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Several endoscopic resection techniques such as snare polypectomy, endoscopic mucosal resection (EMR) and argon plasma coagulation (APC) ablation are available for papillary lesions</w:t>
      </w:r>
      <w:r>
        <w:rPr>
          <w:rFonts w:ascii="Book Antiqua" w:eastAsia="Book Antiqua" w:hAnsi="Book Antiqua" w:cs="Book Antiqua"/>
          <w:color w:val="000000"/>
          <w:vertAlign w:val="superscript"/>
        </w:rPr>
        <w:t>[1-3]</w:t>
      </w:r>
      <w:r>
        <w:rPr>
          <w:rFonts w:ascii="Book Antiqua" w:eastAsia="Book Antiqua" w:hAnsi="Book Antiqua" w:cs="Book Antiqua"/>
          <w:color w:val="000000"/>
        </w:rPr>
        <w:t>. Endoscopic resection of the laterally spreading ampullary lesions is difficult technically and usually involves surgery. Moreover, the management strategies for recurrent duodenal papillary adenomas after endoscopic papillectomy are still controversial</w:t>
      </w:r>
      <w:r>
        <w:rPr>
          <w:rFonts w:ascii="Book Antiqua" w:eastAsia="Book Antiqua" w:hAnsi="Book Antiqua" w:cs="Book Antiqua"/>
          <w:color w:val="000000"/>
          <w:vertAlign w:val="superscript"/>
        </w:rPr>
        <w:t>[2]</w:t>
      </w:r>
      <w:r>
        <w:rPr>
          <w:rFonts w:ascii="Book Antiqua" w:eastAsia="Book Antiqua" w:hAnsi="Book Antiqua" w:cs="Book Antiqua"/>
          <w:color w:val="000000"/>
        </w:rPr>
        <w:t>. Patients with recurrent papillary adenomas need to receive repetitive endoscopic interventions due to the limitations of conventional endoscopic techniques, such as incomplete resection. At present, endoscopic submucosal dissection (ESD) has become common and has gradually replaced most surgical procedures for management of early gastrointestinal neoplasms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which could provide a higher </w:t>
      </w:r>
      <w:r w:rsidRPr="005829BA">
        <w:rPr>
          <w:rFonts w:ascii="Book Antiqua" w:eastAsia="Book Antiqua" w:hAnsi="Book Antiqua" w:cs="Book Antiqua"/>
          <w:i/>
          <w:color w:val="000000"/>
        </w:rPr>
        <w:t>en bloc</w:t>
      </w:r>
      <w:r>
        <w:rPr>
          <w:rFonts w:ascii="Book Antiqua" w:eastAsia="Book Antiqua" w:hAnsi="Book Antiqua" w:cs="Book Antiqua"/>
          <w:color w:val="000000"/>
        </w:rPr>
        <w:t xml:space="preserve"> resection rate than conventional endoscopic resection techniques. Until now, ESD has rarely</w:t>
      </w:r>
      <w:r w:rsidR="007B4B54">
        <w:rPr>
          <w:rFonts w:ascii="Book Antiqua" w:eastAsia="Book Antiqua" w:hAnsi="Book Antiqua" w:cs="Book Antiqua"/>
          <w:color w:val="000000"/>
        </w:rPr>
        <w:t xml:space="preserve"> been</w:t>
      </w:r>
      <w:r>
        <w:rPr>
          <w:rFonts w:ascii="Book Antiqua" w:eastAsia="Book Antiqua" w:hAnsi="Book Antiqua" w:cs="Book Antiqua"/>
          <w:color w:val="000000"/>
        </w:rPr>
        <w:t xml:space="preserve"> used </w:t>
      </w:r>
      <w:r w:rsidR="00F823BB">
        <w:rPr>
          <w:rFonts w:ascii="Book Antiqua" w:eastAsia="Book Antiqua" w:hAnsi="Book Antiqua" w:cs="Book Antiqua"/>
          <w:color w:val="000000"/>
        </w:rPr>
        <w:t>for</w:t>
      </w:r>
      <w:r>
        <w:rPr>
          <w:rFonts w:ascii="Book Antiqua" w:eastAsia="Book Antiqua" w:hAnsi="Book Antiqua" w:cs="Book Antiqua"/>
          <w:color w:val="000000"/>
        </w:rPr>
        <w:t xml:space="preserve"> the treatment of duodenal papillary lesions by duodenoscope due to the complex anatomy of the duodenal papilla and technical difficulties. </w:t>
      </w:r>
    </w:p>
    <w:p w14:paraId="627E8153" w14:textId="2E620421" w:rsidR="00A77B3E" w:rsidRDefault="009277A0" w:rsidP="000D1C11">
      <w:pPr>
        <w:spacing w:line="360" w:lineRule="auto"/>
        <w:ind w:firstLine="270"/>
        <w:jc w:val="both"/>
      </w:pPr>
      <w:r>
        <w:rPr>
          <w:rFonts w:ascii="Book Antiqua" w:eastAsia="Book Antiqua" w:hAnsi="Book Antiqua" w:cs="Book Antiqua"/>
          <w:color w:val="000000"/>
        </w:rPr>
        <w:t>In this paper, we report our preliminary experience of hybrid ESD by duodenoscope combined with bil</w:t>
      </w:r>
      <w:r w:rsidR="00F823BB">
        <w:rPr>
          <w:rFonts w:ascii="Book Antiqua" w:eastAsia="Book Antiqua" w:hAnsi="Book Antiqua" w:cs="Book Antiqua"/>
          <w:color w:val="000000"/>
        </w:rPr>
        <w:t>i</w:t>
      </w:r>
      <w:r>
        <w:rPr>
          <w:rFonts w:ascii="Book Antiqua" w:eastAsia="Book Antiqua" w:hAnsi="Book Antiqua" w:cs="Book Antiqua"/>
          <w:color w:val="000000"/>
        </w:rPr>
        <w:t xml:space="preserve">ary and pancreatic stent placement for </w:t>
      </w:r>
      <w:r w:rsidR="00F823BB">
        <w:rPr>
          <w:rFonts w:ascii="Book Antiqua" w:eastAsia="Book Antiqua" w:hAnsi="Book Antiqua" w:cs="Book Antiqua"/>
          <w:color w:val="000000"/>
        </w:rPr>
        <w:t xml:space="preserve">the </w:t>
      </w:r>
      <w:r>
        <w:rPr>
          <w:rFonts w:ascii="Book Antiqua" w:eastAsia="Book Antiqua" w:hAnsi="Book Antiqua" w:cs="Book Antiqua"/>
          <w:color w:val="000000"/>
        </w:rPr>
        <w:t>treatment of recurrent, laterally spreading, duodenal papillary lesions.</w:t>
      </w:r>
    </w:p>
    <w:p w14:paraId="2A343DEC" w14:textId="77777777" w:rsidR="00A77B3E" w:rsidRDefault="00A77B3E">
      <w:pPr>
        <w:spacing w:line="360" w:lineRule="auto"/>
        <w:jc w:val="both"/>
      </w:pPr>
    </w:p>
    <w:p w14:paraId="3138485F" w14:textId="77777777" w:rsidR="00A77B3E" w:rsidRDefault="009277A0">
      <w:pPr>
        <w:spacing w:line="360" w:lineRule="auto"/>
        <w:jc w:val="both"/>
      </w:pPr>
      <w:r>
        <w:rPr>
          <w:rFonts w:ascii="Book Antiqua" w:eastAsia="Book Antiqua" w:hAnsi="Book Antiqua" w:cs="Book Antiqua"/>
          <w:b/>
          <w:caps/>
          <w:color w:val="000000"/>
          <w:u w:val="single"/>
        </w:rPr>
        <w:t>MATERIALS AND METHODS</w:t>
      </w:r>
    </w:p>
    <w:p w14:paraId="573D42D8" w14:textId="77777777" w:rsidR="00A77B3E" w:rsidRPr="006C2110" w:rsidRDefault="009277A0">
      <w:pPr>
        <w:spacing w:line="360" w:lineRule="auto"/>
        <w:jc w:val="both"/>
        <w:rPr>
          <w:b/>
          <w:bCs/>
          <w:i/>
          <w:iCs/>
        </w:rPr>
      </w:pPr>
      <w:r w:rsidRPr="006C2110">
        <w:rPr>
          <w:rFonts w:ascii="Book Antiqua" w:eastAsia="Book Antiqua" w:hAnsi="Book Antiqua" w:cs="Book Antiqua"/>
          <w:b/>
          <w:bCs/>
          <w:i/>
          <w:iCs/>
          <w:color w:val="000000"/>
        </w:rPr>
        <w:t>Patient selection and evaluation</w:t>
      </w:r>
    </w:p>
    <w:p w14:paraId="643A4C9B" w14:textId="54D5D432" w:rsidR="00A77B3E" w:rsidRDefault="009277A0">
      <w:pPr>
        <w:spacing w:line="360" w:lineRule="auto"/>
        <w:jc w:val="both"/>
      </w:pPr>
      <w:r>
        <w:rPr>
          <w:rFonts w:ascii="Book Antiqua" w:eastAsia="Book Antiqua" w:hAnsi="Book Antiqua" w:cs="Book Antiqua"/>
          <w:color w:val="000000"/>
        </w:rPr>
        <w:t>Ten patients with recurrent duodenal papillary adenomatous lesions after endoscopic snare papillectomy were admitted to the Department of Gastroenterology and Hepatology, The First Medical Center of Chinese PLA General Hospital between March 2017 and September 2018. We excluded patients who received endoscopic management using an electric snare or APC ablation for small, locally recurrent adenomas &lt; 1 cm without intraductal growth, and those who underwent pancreatoduodenectomy and/or chemoradiotherapy due to cancer</w:t>
      </w:r>
      <w:r w:rsidR="008D6692">
        <w:rPr>
          <w:rFonts w:ascii="Book Antiqua" w:eastAsia="Book Antiqua" w:hAnsi="Book Antiqua" w:cs="Book Antiqua"/>
          <w:color w:val="000000"/>
        </w:rPr>
        <w:t>iz</w:t>
      </w:r>
      <w:r>
        <w:rPr>
          <w:rFonts w:ascii="Book Antiqua" w:eastAsia="Book Antiqua" w:hAnsi="Book Antiqua" w:cs="Book Antiqua"/>
          <w:color w:val="000000"/>
        </w:rPr>
        <w:t xml:space="preserve">ation and ductal infiltration. Finally, we enrolled two </w:t>
      </w:r>
      <w:r>
        <w:rPr>
          <w:rFonts w:ascii="Book Antiqua" w:eastAsia="Book Antiqua" w:hAnsi="Book Antiqua" w:cs="Book Antiqua"/>
          <w:color w:val="000000"/>
        </w:rPr>
        <w:lastRenderedPageBreak/>
        <w:t>patients with recurrent, laterally spreading papillary adenomas confirmed by duodenoscopic and biopsy examination. The patients had undergone hybrid ESD by duodenoscope and subsequent endoscopic retrograde cholangiopancreatography (ERCP). The clin</w:t>
      </w:r>
      <w:r w:rsidR="00C12F09">
        <w:rPr>
          <w:rFonts w:ascii="Book Antiqua" w:eastAsia="Book Antiqua" w:hAnsi="Book Antiqua" w:cs="Book Antiqua"/>
          <w:color w:val="000000"/>
        </w:rPr>
        <w:t>i</w:t>
      </w:r>
      <w:r>
        <w:rPr>
          <w:rFonts w:ascii="Book Antiqua" w:eastAsia="Book Antiqua" w:hAnsi="Book Antiqua" w:cs="Book Antiqua"/>
          <w:color w:val="000000"/>
        </w:rPr>
        <w:t>cal symptoms and physical and laboratory examination were evaluated. Computed tomography (CT), magnetic resonance imaging, magnetic resonance cholangiopancreatography and abdominal ultrasound were performed preoperatively, and the imaging examinations confirmed no infiltration of tumor into biliary and pancreatic ducts. Moreover, these two patients refused surgical management and gave informed consent.</w:t>
      </w:r>
    </w:p>
    <w:p w14:paraId="2B99C4FB" w14:textId="77777777" w:rsidR="00A77B3E" w:rsidRDefault="00A77B3E">
      <w:pPr>
        <w:spacing w:line="360" w:lineRule="auto"/>
        <w:jc w:val="both"/>
      </w:pPr>
    </w:p>
    <w:p w14:paraId="45268F86" w14:textId="77777777" w:rsidR="00A77B3E" w:rsidRPr="006C2110" w:rsidRDefault="009277A0">
      <w:pPr>
        <w:spacing w:line="360" w:lineRule="auto"/>
        <w:jc w:val="both"/>
        <w:rPr>
          <w:b/>
          <w:bCs/>
          <w:i/>
          <w:iCs/>
        </w:rPr>
      </w:pPr>
      <w:r w:rsidRPr="006C2110">
        <w:rPr>
          <w:rFonts w:ascii="Book Antiqua" w:eastAsia="Book Antiqua" w:hAnsi="Book Antiqua" w:cs="Book Antiqua"/>
          <w:b/>
          <w:bCs/>
          <w:i/>
          <w:iCs/>
          <w:color w:val="000000"/>
        </w:rPr>
        <w:t>Materials and equipment</w:t>
      </w:r>
    </w:p>
    <w:p w14:paraId="735CE650" w14:textId="58669CEB" w:rsidR="00A77B3E" w:rsidRDefault="009277A0">
      <w:pPr>
        <w:spacing w:line="360" w:lineRule="auto"/>
        <w:jc w:val="both"/>
      </w:pPr>
      <w:r>
        <w:rPr>
          <w:rFonts w:ascii="Book Antiqua" w:eastAsia="Book Antiqua" w:hAnsi="Book Antiqua" w:cs="Book Antiqua"/>
          <w:color w:val="000000"/>
        </w:rPr>
        <w:t xml:space="preserve">Hybird ESD was performed using a standard duodenoscope (TJF240 or TJF260V; Olympus, Tokyo, Japan). The equipment included </w:t>
      </w:r>
      <w:r w:rsidR="00E35DD4">
        <w:rPr>
          <w:rFonts w:ascii="Book Antiqua" w:eastAsia="Book Antiqua" w:hAnsi="Book Antiqua" w:cs="Book Antiqua"/>
          <w:color w:val="000000"/>
        </w:rPr>
        <w:t>a d</w:t>
      </w:r>
      <w:r>
        <w:rPr>
          <w:rFonts w:ascii="Book Antiqua" w:eastAsia="Book Antiqua" w:hAnsi="Book Antiqua" w:cs="Book Antiqua"/>
          <w:color w:val="000000"/>
        </w:rPr>
        <w:t>ual knife (KD-650L; Olympus), insulated-tip diathermic (IT) knife II (KD-611L; Olympus), injection needle (NM-200L-0525), hemostatic forceps (FD-410LR; Olympus), electric snare (Cook</w:t>
      </w:r>
      <w:r w:rsidR="00E35DD4">
        <w:rPr>
          <w:rFonts w:ascii="Book Antiqua" w:eastAsia="Book Antiqua" w:hAnsi="Book Antiqua" w:cs="Book Antiqua"/>
          <w:color w:val="000000"/>
        </w:rPr>
        <w:t xml:space="preserve"> Medical</w:t>
      </w:r>
      <w:r>
        <w:rPr>
          <w:rFonts w:ascii="Book Antiqua" w:eastAsia="Book Antiqua" w:hAnsi="Book Antiqua" w:cs="Book Antiqua"/>
          <w:color w:val="000000"/>
        </w:rPr>
        <w:t xml:space="preserve">, </w:t>
      </w:r>
      <w:r w:rsidR="00E35DD4">
        <w:rPr>
          <w:rFonts w:ascii="Book Antiqua" w:eastAsia="Book Antiqua" w:hAnsi="Book Antiqua" w:cs="Book Antiqua"/>
          <w:color w:val="000000"/>
        </w:rPr>
        <w:t xml:space="preserve">Bloomington, IL, </w:t>
      </w:r>
      <w:r>
        <w:rPr>
          <w:rFonts w:ascii="Book Antiqua" w:eastAsia="Book Antiqua" w:hAnsi="Book Antiqua" w:cs="Book Antiqua"/>
          <w:color w:val="000000"/>
        </w:rPr>
        <w:t>U</w:t>
      </w:r>
      <w:r w:rsidR="00BB5C6B">
        <w:rPr>
          <w:rFonts w:ascii="Book Antiqua" w:eastAsia="Book Antiqua" w:hAnsi="Book Antiqua" w:cs="Book Antiqua"/>
          <w:color w:val="000000"/>
        </w:rPr>
        <w:t>nited States</w:t>
      </w:r>
      <w:r>
        <w:rPr>
          <w:rFonts w:ascii="Book Antiqua" w:eastAsia="Book Antiqua" w:hAnsi="Book Antiqua" w:cs="Book Antiqua"/>
          <w:color w:val="000000"/>
        </w:rPr>
        <w:t xml:space="preserve">), endoclips (Olympus), SureClips (Micro-Tech, </w:t>
      </w:r>
      <w:r w:rsidR="00E35DD4">
        <w:rPr>
          <w:rFonts w:ascii="Book Antiqua" w:eastAsia="Book Antiqua" w:hAnsi="Book Antiqua" w:cs="Book Antiqua"/>
          <w:color w:val="000000"/>
        </w:rPr>
        <w:t xml:space="preserve">Nanjing, </w:t>
      </w:r>
      <w:r>
        <w:rPr>
          <w:rFonts w:ascii="Book Antiqua" w:eastAsia="Book Antiqua" w:hAnsi="Book Antiqua" w:cs="Book Antiqua"/>
          <w:color w:val="000000"/>
        </w:rPr>
        <w:t xml:space="preserve">China), intraductal ultrasound (IDUS) (UM-DG20-31R; Olympus), cannulating sphincterotome (Dreamtome RX, Boston, MA, </w:t>
      </w:r>
      <w:r w:rsidR="00BB5C6B">
        <w:rPr>
          <w:rFonts w:ascii="Book Antiqua" w:eastAsia="Book Antiqua" w:hAnsi="Book Antiqua" w:cs="Book Antiqua"/>
          <w:color w:val="000000"/>
        </w:rPr>
        <w:t>United States</w:t>
      </w:r>
      <w:r>
        <w:rPr>
          <w:rFonts w:ascii="Book Antiqua" w:eastAsia="Book Antiqua" w:hAnsi="Book Antiqua" w:cs="Book Antiqua"/>
          <w:color w:val="000000"/>
        </w:rPr>
        <w:t>), bile duct stent (10 Fr in diameter, 3</w:t>
      </w:r>
      <w:r w:rsidR="005829BA">
        <w:rPr>
          <w:rFonts w:ascii="Book Antiqua" w:eastAsia="Book Antiqua" w:hAnsi="Book Antiqua" w:cs="Book Antiqua"/>
          <w:color w:val="000000"/>
        </w:rPr>
        <w:t>-</w:t>
      </w:r>
      <w:r>
        <w:rPr>
          <w:rFonts w:ascii="Book Antiqua" w:eastAsia="Book Antiqua" w:hAnsi="Book Antiqua" w:cs="Book Antiqua"/>
          <w:color w:val="000000"/>
        </w:rPr>
        <w:t>8 cm in length; Cook</w:t>
      </w:r>
      <w:r w:rsidR="00E35DD4">
        <w:rPr>
          <w:rFonts w:ascii="Book Antiqua" w:eastAsia="Book Antiqua" w:hAnsi="Book Antiqua" w:cs="Book Antiqua"/>
          <w:color w:val="000000"/>
        </w:rPr>
        <w:t xml:space="preserve"> Medical</w:t>
      </w:r>
      <w:r>
        <w:rPr>
          <w:rFonts w:ascii="Book Antiqua" w:eastAsia="Book Antiqua" w:hAnsi="Book Antiqua" w:cs="Book Antiqua"/>
          <w:color w:val="000000"/>
        </w:rPr>
        <w:t>), pancreatic duct stent (5-7 Fr in diameter, 7</w:t>
      </w:r>
      <w:r w:rsidR="00BD682E">
        <w:rPr>
          <w:rFonts w:ascii="Book Antiqua" w:eastAsia="Book Antiqua" w:hAnsi="Book Antiqua" w:cs="Book Antiqua"/>
          <w:color w:val="000000"/>
        </w:rPr>
        <w:t>-</w:t>
      </w:r>
      <w:r>
        <w:rPr>
          <w:rFonts w:ascii="Book Antiqua" w:eastAsia="Book Antiqua" w:hAnsi="Book Antiqua" w:cs="Book Antiqua"/>
          <w:color w:val="000000"/>
        </w:rPr>
        <w:t>8 cm in length; Cook</w:t>
      </w:r>
      <w:r w:rsidR="00E35DD4">
        <w:rPr>
          <w:rFonts w:ascii="Book Antiqua" w:eastAsia="Book Antiqua" w:hAnsi="Book Antiqua" w:cs="Book Antiqua"/>
          <w:color w:val="000000"/>
        </w:rPr>
        <w:t xml:space="preserve"> Medical</w:t>
      </w:r>
      <w:r>
        <w:rPr>
          <w:rFonts w:ascii="Book Antiqua" w:eastAsia="Book Antiqua" w:hAnsi="Book Antiqua" w:cs="Book Antiqua"/>
          <w:color w:val="000000"/>
        </w:rPr>
        <w:t xml:space="preserve">), and a high-frequency electrosurgical generator (VIO 200D; ERBE, </w:t>
      </w:r>
      <w:r w:rsidR="00E35DD4">
        <w:rPr>
          <w:rFonts w:ascii="Book Antiqua" w:eastAsia="Book Antiqua" w:hAnsi="Book Antiqua" w:cs="Book Antiqua"/>
          <w:color w:val="000000"/>
        </w:rPr>
        <w:t xml:space="preserve">Tubingen, </w:t>
      </w:r>
      <w:r>
        <w:rPr>
          <w:rFonts w:ascii="Book Antiqua" w:eastAsia="Book Antiqua" w:hAnsi="Book Antiqua" w:cs="Book Antiqua"/>
          <w:color w:val="000000"/>
        </w:rPr>
        <w:t>Germany). An endoscopic CO</w:t>
      </w:r>
      <w:r w:rsidRPr="000D1C11">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insufflator (UCR; Olympus) was used during the endoscopic procedures. Saline solution with diluted methylene blue, sodium hyaluronate and adrenaline was used for submucosal injection, and 1:10000 diluted epinephrine submucosal injection was used for hemostasis.</w:t>
      </w:r>
    </w:p>
    <w:p w14:paraId="4DFC74B6" w14:textId="77777777" w:rsidR="00A77B3E" w:rsidRDefault="00A77B3E">
      <w:pPr>
        <w:spacing w:line="360" w:lineRule="auto"/>
        <w:jc w:val="both"/>
      </w:pPr>
    </w:p>
    <w:p w14:paraId="69164873" w14:textId="77777777" w:rsidR="00A77B3E" w:rsidRPr="006C2110" w:rsidRDefault="009277A0">
      <w:pPr>
        <w:spacing w:line="360" w:lineRule="auto"/>
        <w:jc w:val="both"/>
        <w:rPr>
          <w:b/>
          <w:bCs/>
          <w:i/>
          <w:iCs/>
        </w:rPr>
      </w:pPr>
      <w:r w:rsidRPr="006C2110">
        <w:rPr>
          <w:rFonts w:ascii="Book Antiqua" w:eastAsia="Book Antiqua" w:hAnsi="Book Antiqua" w:cs="Book Antiqua"/>
          <w:b/>
          <w:bCs/>
          <w:i/>
          <w:iCs/>
          <w:color w:val="000000"/>
        </w:rPr>
        <w:t>Operative procedures</w:t>
      </w:r>
    </w:p>
    <w:p w14:paraId="16E657EB" w14:textId="71887CE1" w:rsidR="00A77B3E" w:rsidRDefault="009277A0">
      <w:pPr>
        <w:spacing w:line="360" w:lineRule="auto"/>
        <w:jc w:val="both"/>
      </w:pPr>
      <w:r>
        <w:rPr>
          <w:rFonts w:ascii="Book Antiqua" w:eastAsia="Book Antiqua" w:hAnsi="Book Antiqua" w:cs="Book Antiqua"/>
          <w:color w:val="000000"/>
        </w:rPr>
        <w:t>All endoscopic procedures were performed by an experienced endoscopist who had &gt; 20 year</w:t>
      </w:r>
      <w:r w:rsidR="00E35DD4">
        <w:rPr>
          <w:rFonts w:ascii="Book Antiqua" w:eastAsia="Book Antiqua" w:hAnsi="Book Antiqua" w:cs="Book Antiqua"/>
          <w:color w:val="000000"/>
        </w:rPr>
        <w:t>s</w:t>
      </w:r>
      <w:r w:rsidR="00C12F09">
        <w:rPr>
          <w:rFonts w:ascii="Book Antiqua" w:eastAsia="Book Antiqua" w:hAnsi="Book Antiqua" w:cs="Book Antiqua"/>
          <w:color w:val="000000"/>
        </w:rPr>
        <w:t>’</w:t>
      </w:r>
      <w:r>
        <w:rPr>
          <w:rFonts w:ascii="Book Antiqua" w:eastAsia="Book Antiqua" w:hAnsi="Book Antiqua" w:cs="Book Antiqua"/>
          <w:color w:val="000000"/>
        </w:rPr>
        <w:t xml:space="preserve"> experience in advanced endoscopic techniques and had performed &gt; 2000 ESD and ERCP procedures. Patients were placed in the prone position and underwent intravenous </w:t>
      </w:r>
      <w:r>
        <w:rPr>
          <w:rFonts w:ascii="Book Antiqua" w:eastAsia="Book Antiqua" w:hAnsi="Book Antiqua" w:cs="Book Antiqua"/>
          <w:color w:val="000000"/>
        </w:rPr>
        <w:lastRenderedPageBreak/>
        <w:t xml:space="preserve">anesthesia. Before ESD, the duodenal papillary lesions were evaluated by white light and narrow band imaging. Hybrid ESD with snaring was performed using a standard duodenoscope. After marking the resection borders of the lesion using a </w:t>
      </w:r>
      <w:r w:rsidR="00E35DD4">
        <w:rPr>
          <w:rFonts w:ascii="Book Antiqua" w:eastAsia="Book Antiqua" w:hAnsi="Book Antiqua" w:cs="Book Antiqua"/>
          <w:color w:val="000000"/>
        </w:rPr>
        <w:t>d</w:t>
      </w:r>
      <w:r>
        <w:rPr>
          <w:rFonts w:ascii="Book Antiqua" w:eastAsia="Book Antiqua" w:hAnsi="Book Antiqua" w:cs="Book Antiqua"/>
          <w:color w:val="000000"/>
        </w:rPr>
        <w:t xml:space="preserve">ual knife, a submucosal cushion was created by injecting a mixture of saline solution, methylene blue and adrenaline. A total circumferential incision and submucosal excision were performed by Dual knife combined with IT knife, and the lesion was ligated and resected using an electric snare. The electric coagulation, injection of saline solution with epinephrine and endoclips placement were applied for hemostasis during the endoscopic procedures. After hybrid ESD, ERCP, including selective cannulation of biliary and pancreatic ducts, and IDUS were performed to identify whether there was tumor ductal infiltration. Moreover, stent implantation of the biliary and pancreatic ducts was performed to prevent postoperative complications. Endoclip closure for mucosal defect after hybrid ESD was performed. During the postoperative period, intravenous proton pump inhibitors, somatostatin and antibiotics were given to prevent infection and post-ERCP pancreatitis. Meanwhile, diet was gradually restored if no complications </w:t>
      </w:r>
      <w:r w:rsidR="00C12F09">
        <w:rPr>
          <w:rFonts w:ascii="Book Antiqua" w:eastAsia="Book Antiqua" w:hAnsi="Book Antiqua" w:cs="Book Antiqua"/>
          <w:color w:val="000000"/>
        </w:rPr>
        <w:t>occurred</w:t>
      </w:r>
      <w:r>
        <w:rPr>
          <w:rFonts w:ascii="Book Antiqua" w:eastAsia="Book Antiqua" w:hAnsi="Book Antiqua" w:cs="Book Antiqua"/>
          <w:color w:val="000000"/>
        </w:rPr>
        <w:t xml:space="preserve"> after postoperative fasting for 2</w:t>
      </w:r>
      <w:r w:rsidR="00BD682E">
        <w:rPr>
          <w:rFonts w:ascii="Book Antiqua" w:eastAsia="Book Antiqua" w:hAnsi="Book Antiqua" w:cs="Book Antiqua"/>
          <w:color w:val="000000"/>
        </w:rPr>
        <w:t>-</w:t>
      </w:r>
      <w:r>
        <w:rPr>
          <w:rFonts w:ascii="Book Antiqua" w:eastAsia="Book Antiqua" w:hAnsi="Book Antiqua" w:cs="Book Antiqua"/>
          <w:color w:val="000000"/>
        </w:rPr>
        <w:t>3 d.</w:t>
      </w:r>
    </w:p>
    <w:p w14:paraId="1DC79AAE" w14:textId="77777777" w:rsidR="00A77B3E" w:rsidRDefault="00A77B3E">
      <w:pPr>
        <w:spacing w:line="360" w:lineRule="auto"/>
        <w:jc w:val="both"/>
      </w:pPr>
    </w:p>
    <w:p w14:paraId="0D85C38E" w14:textId="77777777" w:rsidR="00A77B3E" w:rsidRPr="006C2110" w:rsidRDefault="009277A0">
      <w:pPr>
        <w:spacing w:line="360" w:lineRule="auto"/>
        <w:jc w:val="both"/>
        <w:rPr>
          <w:b/>
          <w:bCs/>
          <w:i/>
          <w:iCs/>
        </w:rPr>
      </w:pPr>
      <w:r w:rsidRPr="006C2110">
        <w:rPr>
          <w:rFonts w:ascii="Book Antiqua" w:eastAsia="Book Antiqua" w:hAnsi="Book Antiqua" w:cs="Book Antiqua"/>
          <w:b/>
          <w:bCs/>
          <w:i/>
          <w:iCs/>
          <w:color w:val="000000"/>
        </w:rPr>
        <w:t>Evaluation data</w:t>
      </w:r>
    </w:p>
    <w:p w14:paraId="5FABD6DB" w14:textId="77777777" w:rsidR="00A77B3E" w:rsidRDefault="009277A0">
      <w:pPr>
        <w:spacing w:line="360" w:lineRule="auto"/>
        <w:jc w:val="both"/>
      </w:pPr>
      <w:r>
        <w:rPr>
          <w:rFonts w:ascii="Book Antiqua" w:eastAsia="Book Antiqua" w:hAnsi="Book Antiqua" w:cs="Book Antiqua"/>
          <w:color w:val="000000"/>
        </w:rPr>
        <w:t>The primary outcome measures included clinical symptoms; physical and laboratory examination; imaging characteristics, especially endoscopic and histopathological characteristics; detailed procedure-related outcome data, including the time of hybrid ESD and ERCP;</w:t>
      </w:r>
      <w:r w:rsidRPr="005829BA">
        <w:rPr>
          <w:rFonts w:ascii="Book Antiqua" w:eastAsia="Book Antiqua" w:hAnsi="Book Antiqua" w:cs="Book Antiqua"/>
          <w:i/>
          <w:color w:val="000000"/>
        </w:rPr>
        <w:t xml:space="preserve"> en bloc</w:t>
      </w:r>
      <w:r>
        <w:rPr>
          <w:rFonts w:ascii="Book Antiqua" w:eastAsia="Book Antiqua" w:hAnsi="Book Antiqua" w:cs="Book Antiqua"/>
          <w:color w:val="000000"/>
        </w:rPr>
        <w:t xml:space="preserve"> resection; procedure-related complications; and hospital stay. Endoscopic and histopathological follow-up was performed to assess the presence of duodenal papillary lesions after hybrid ESD procedures.</w:t>
      </w:r>
    </w:p>
    <w:p w14:paraId="5E5E7935" w14:textId="77777777" w:rsidR="00A77B3E" w:rsidRDefault="00A77B3E">
      <w:pPr>
        <w:spacing w:line="360" w:lineRule="auto"/>
        <w:jc w:val="both"/>
      </w:pPr>
    </w:p>
    <w:p w14:paraId="695CC470" w14:textId="77777777" w:rsidR="00A77B3E" w:rsidRDefault="009277A0">
      <w:pPr>
        <w:spacing w:line="360" w:lineRule="auto"/>
        <w:jc w:val="both"/>
      </w:pPr>
      <w:r>
        <w:rPr>
          <w:rFonts w:ascii="Book Antiqua" w:eastAsia="Book Antiqua" w:hAnsi="Book Antiqua" w:cs="Book Antiqua"/>
          <w:b/>
          <w:caps/>
          <w:color w:val="000000"/>
          <w:u w:val="single"/>
        </w:rPr>
        <w:t>RESULTS</w:t>
      </w:r>
    </w:p>
    <w:p w14:paraId="26E8E2E4" w14:textId="77777777" w:rsidR="00A77B3E" w:rsidRDefault="009277A0">
      <w:pPr>
        <w:spacing w:line="360" w:lineRule="auto"/>
        <w:jc w:val="both"/>
      </w:pPr>
      <w:r>
        <w:rPr>
          <w:rFonts w:ascii="Book Antiqua" w:eastAsia="Book Antiqua" w:hAnsi="Book Antiqua" w:cs="Book Antiqua"/>
          <w:color w:val="000000"/>
        </w:rPr>
        <w:t xml:space="preserve">This study included two patients with recurrent, laterally spreading, duodenal papillary adenomas. The previous characteristics of recurrent cases are listed in Table 1, and the duodenoscopic follow-up confirmed recurrent adenomas located in the therapeutic scar </w:t>
      </w:r>
      <w:r>
        <w:rPr>
          <w:rFonts w:ascii="Book Antiqua" w:eastAsia="Book Antiqua" w:hAnsi="Book Antiqua" w:cs="Book Antiqua"/>
          <w:color w:val="000000"/>
        </w:rPr>
        <w:lastRenderedPageBreak/>
        <w:t>tissues. The main characteristics of all patients are shown in Table 2. Preoperative imaging confirmed no infiltration of tumor into biliary and pancreatic ducts, and the endoscopic findings showed a clear border with no evidence of malignancy, such as ulceration and spontaneous bleeding.</w:t>
      </w:r>
    </w:p>
    <w:p w14:paraId="4F551560" w14:textId="1C2BAF1D" w:rsidR="00A77B3E" w:rsidRDefault="009277A0" w:rsidP="00BB5C6B">
      <w:pPr>
        <w:spacing w:line="360" w:lineRule="auto"/>
        <w:ind w:firstLineChars="100" w:firstLine="240"/>
        <w:jc w:val="both"/>
      </w:pPr>
      <w:r>
        <w:rPr>
          <w:rFonts w:ascii="Book Antiqua" w:eastAsia="Book Antiqua" w:hAnsi="Book Antiqua" w:cs="Book Antiqua"/>
          <w:color w:val="000000"/>
        </w:rPr>
        <w:t xml:space="preserve">Hybrid ESD combined with ERCP was performed successfully using duodenoscope. The detailed endoscopic procedures are shown in Figures 1 and 2. The average total procedure time was 95.5 min, and the procedure time of hybrid ESD and ERCP was 38.5 and 15.5 min, respectively. After submucosal injection, the surrounding mucosa of the lesion was lifted, except the central scar tissues. When the circumferential incision was completed, the IT knife was used to dissect the fibrotic area for prevention of perforation. The lesion was ligated and resected </w:t>
      </w:r>
      <w:r w:rsidRPr="005829BA">
        <w:rPr>
          <w:rFonts w:ascii="Book Antiqua" w:eastAsia="Book Antiqua" w:hAnsi="Book Antiqua" w:cs="Book Antiqua"/>
          <w:i/>
          <w:color w:val="000000"/>
        </w:rPr>
        <w:t>en bloc</w:t>
      </w:r>
      <w:r>
        <w:rPr>
          <w:rFonts w:ascii="Book Antiqua" w:eastAsia="Book Antiqua" w:hAnsi="Book Antiqua" w:cs="Book Antiqua"/>
          <w:color w:val="000000"/>
        </w:rPr>
        <w:t xml:space="preserve"> using a polypectomy snare. After hybrid ESD, ERCP and IDUS procedures were performed. Selective cannulation, angiography</w:t>
      </w:r>
      <w:r w:rsidR="00C12F09">
        <w:rPr>
          <w:rFonts w:ascii="Book Antiqua" w:eastAsia="Book Antiqua" w:hAnsi="Book Antiqua" w:cs="Book Antiqua"/>
          <w:color w:val="000000"/>
        </w:rPr>
        <w:t>,</w:t>
      </w:r>
      <w:r>
        <w:rPr>
          <w:rFonts w:ascii="Book Antiqua" w:eastAsia="Book Antiqua" w:hAnsi="Book Antiqua" w:cs="Book Antiqua"/>
          <w:color w:val="000000"/>
        </w:rPr>
        <w:t xml:space="preserve"> and IDUS revealed a clear layer of the biliary and pancreatic ducts and no intraductal growth of the lesions in these two patients. Meanwhile, cholangiopancreatography and IDUS revealed common bile duct stones with obvious dilated biliary and pancreatic ducts in case 1, but the stones were not extracted simultaneously, considering the increasing risk of complications. Subsequently, the biliary and pancreatic stents were placed successfully in both cases (Figures 1 and 2</w:t>
      </w:r>
      <w:r w:rsidR="005829BA">
        <w:rPr>
          <w:rFonts w:ascii="Book Antiqua" w:eastAsia="Book Antiqua" w:hAnsi="Book Antiqua" w:cs="Book Antiqua"/>
          <w:color w:val="000000"/>
        </w:rPr>
        <w:t>,</w:t>
      </w:r>
      <w:r>
        <w:rPr>
          <w:rFonts w:ascii="Book Antiqua" w:eastAsia="Book Antiqua" w:hAnsi="Book Antiqua" w:cs="Book Antiqua"/>
          <w:color w:val="000000"/>
        </w:rPr>
        <w:t xml:space="preserve"> and Table 2). Furthermore, endoscopic clips were deployed for closure of mucosal defects. In both cases, no serious complications occurred during the </w:t>
      </w:r>
      <w:r w:rsidR="00C12F09">
        <w:rPr>
          <w:rFonts w:ascii="Book Antiqua" w:eastAsia="Book Antiqua" w:hAnsi="Book Antiqua" w:cs="Book Antiqua"/>
          <w:color w:val="000000"/>
        </w:rPr>
        <w:t>intraoperative</w:t>
      </w:r>
      <w:r>
        <w:rPr>
          <w:rFonts w:ascii="Book Antiqua" w:eastAsia="Book Antiqua" w:hAnsi="Book Antiqua" w:cs="Book Antiqua"/>
          <w:color w:val="000000"/>
        </w:rPr>
        <w:t xml:space="preserve"> and postoperative periods. Postoperative laboratory tests showed normal routine blood and biochemical examinations, except for transient hyperamylasemia in case 2. Histopathological examination revealed tubulovillous adenoma negative for neoplastic extension at the horizontal and vertical margins in both cases (Figures 1 and 2).</w:t>
      </w:r>
    </w:p>
    <w:p w14:paraId="0E21E7D5" w14:textId="77777777" w:rsidR="00A77B3E" w:rsidRDefault="009277A0" w:rsidP="00BD682E">
      <w:pPr>
        <w:spacing w:line="360" w:lineRule="auto"/>
        <w:ind w:firstLineChars="100" w:firstLine="240"/>
        <w:jc w:val="both"/>
      </w:pPr>
      <w:r>
        <w:rPr>
          <w:rFonts w:ascii="Book Antiqua" w:eastAsia="Book Antiqua" w:hAnsi="Book Antiqua" w:cs="Book Antiqua"/>
          <w:color w:val="000000"/>
        </w:rPr>
        <w:t xml:space="preserve">Duodenoscopic and histopathological follow-up was undertaken at 3 mo after hybrid ESD. Endoscopic examination showed no residual or recurrent lesions in ampullary areas in both cases. ERCP showed dilated common bile duct and pancreatic ducts, and the common bile duct stones were extracted successfully in case 1, and the biliary stent was removed in case 2 (Figures 1 and 2). Histopathology of biopsy specimens showed chronic </w:t>
      </w:r>
      <w:r>
        <w:rPr>
          <w:rFonts w:ascii="Book Antiqua" w:eastAsia="Book Antiqua" w:hAnsi="Book Antiqua" w:cs="Book Antiqua"/>
          <w:color w:val="000000"/>
        </w:rPr>
        <w:lastRenderedPageBreak/>
        <w:t>and acute inflammation of small intestinal mucosa with no adenomatous tissues in both cases (Figures 1 and 2). Both cases have been followed up with no recurrence up to June 2020.</w:t>
      </w:r>
    </w:p>
    <w:p w14:paraId="45C795B1" w14:textId="77777777" w:rsidR="00A77B3E" w:rsidRDefault="00A77B3E">
      <w:pPr>
        <w:spacing w:line="360" w:lineRule="auto"/>
        <w:jc w:val="both"/>
      </w:pPr>
    </w:p>
    <w:p w14:paraId="14C693CD" w14:textId="77777777" w:rsidR="00A77B3E" w:rsidRDefault="009277A0">
      <w:pPr>
        <w:spacing w:line="360" w:lineRule="auto"/>
        <w:jc w:val="both"/>
      </w:pPr>
      <w:r>
        <w:rPr>
          <w:rFonts w:ascii="Book Antiqua" w:eastAsia="Book Antiqua" w:hAnsi="Book Antiqua" w:cs="Book Antiqua"/>
          <w:b/>
          <w:caps/>
          <w:color w:val="000000"/>
          <w:u w:val="single"/>
        </w:rPr>
        <w:t>DISCUSSION</w:t>
      </w:r>
    </w:p>
    <w:p w14:paraId="2120D38D" w14:textId="3926A8D4" w:rsidR="00A77B3E" w:rsidRDefault="009277A0">
      <w:pPr>
        <w:spacing w:line="360" w:lineRule="auto"/>
        <w:jc w:val="both"/>
      </w:pPr>
      <w:r>
        <w:rPr>
          <w:rFonts w:ascii="Book Antiqua" w:eastAsia="Book Antiqua" w:hAnsi="Book Antiqua" w:cs="Book Antiqua"/>
          <w:color w:val="000000"/>
        </w:rPr>
        <w:t>Duodenal papillary neoplasms are uncommon and occur sporadically with a prevalence of 0.1%</w:t>
      </w:r>
      <w:r w:rsidR="005829BA">
        <w:rPr>
          <w:rFonts w:ascii="Book Antiqua" w:eastAsia="Book Antiqua" w:hAnsi="Book Antiqua" w:cs="Book Antiqua"/>
          <w:color w:val="000000"/>
        </w:rPr>
        <w:t>-</w:t>
      </w:r>
      <w:r>
        <w:rPr>
          <w:rFonts w:ascii="Book Antiqua" w:eastAsia="Book Antiqua" w:hAnsi="Book Antiqua" w:cs="Book Antiqua"/>
          <w:color w:val="000000"/>
        </w:rPr>
        <w:t>0.2%</w:t>
      </w:r>
      <w:r>
        <w:rPr>
          <w:rFonts w:ascii="Book Antiqua" w:eastAsia="Book Antiqua" w:hAnsi="Book Antiqua" w:cs="Book Antiqua"/>
          <w:color w:val="000000"/>
          <w:vertAlign w:val="superscript"/>
        </w:rPr>
        <w:t>[5]</w:t>
      </w:r>
      <w:r>
        <w:rPr>
          <w:rFonts w:ascii="Book Antiqua" w:eastAsia="Book Antiqua" w:hAnsi="Book Antiqua" w:cs="Book Antiqua"/>
          <w:color w:val="000000"/>
        </w:rPr>
        <w:t>. The majority of papillary adenomas undergo the adenoma–carcinoma sequence, and complete removal is mandatory for curative therapy due to the malignant potential</w:t>
      </w:r>
      <w:r>
        <w:rPr>
          <w:rFonts w:ascii="Book Antiqua" w:eastAsia="Book Antiqua" w:hAnsi="Book Antiqua" w:cs="Book Antiqua"/>
          <w:color w:val="000000"/>
          <w:vertAlign w:val="superscript"/>
        </w:rPr>
        <w:t>[6]</w:t>
      </w:r>
      <w:r>
        <w:rPr>
          <w:rFonts w:ascii="Book Antiqua" w:eastAsia="Book Antiqua" w:hAnsi="Book Antiqua" w:cs="Book Antiqua"/>
          <w:color w:val="000000"/>
        </w:rPr>
        <w:t>. Traditionally, recommended surgical management has included pancreaticoduodenectomy and local surgical excision for complete removal of duodenal papillary tumors</w:t>
      </w:r>
      <w:r>
        <w:rPr>
          <w:rFonts w:ascii="Book Antiqua" w:eastAsia="Book Antiqua" w:hAnsi="Book Antiqua" w:cs="Book Antiqua"/>
          <w:color w:val="000000"/>
          <w:vertAlign w:val="superscript"/>
        </w:rPr>
        <w:t>[7]</w:t>
      </w:r>
      <w:r>
        <w:rPr>
          <w:rFonts w:ascii="Book Antiqua" w:eastAsia="Book Antiqua" w:hAnsi="Book Antiqua" w:cs="Book Antiqua"/>
          <w:color w:val="000000"/>
        </w:rPr>
        <w:t>, but surgery often results in extensive resection with significant morbidity and mortality</w:t>
      </w:r>
      <w:r>
        <w:rPr>
          <w:rFonts w:ascii="Book Antiqua" w:eastAsia="Book Antiqua" w:hAnsi="Book Antiqua" w:cs="Book Antiqua"/>
          <w:color w:val="000000"/>
          <w:vertAlign w:val="superscript"/>
        </w:rPr>
        <w:t>[1]</w:t>
      </w:r>
      <w:r>
        <w:rPr>
          <w:rFonts w:ascii="Book Antiqua" w:eastAsia="Book Antiqua" w:hAnsi="Book Antiqua" w:cs="Book Antiqua"/>
          <w:color w:val="000000"/>
        </w:rPr>
        <w:t>. This is considered overtreatment for some benign duodenal papillary lesions or early noninvasive tumors of the papilla without intraductal growth. Endoscopic papillectomy by snare polypectomy or EMR has the advantages of being less invasiveness, which represents an alternative to surgical resection</w:t>
      </w:r>
      <w:r>
        <w:rPr>
          <w:rFonts w:ascii="Book Antiqua" w:eastAsia="Book Antiqua" w:hAnsi="Book Antiqua" w:cs="Book Antiqua"/>
          <w:color w:val="000000"/>
          <w:vertAlign w:val="superscript"/>
        </w:rPr>
        <w:t>[1]</w:t>
      </w:r>
      <w:r>
        <w:rPr>
          <w:rFonts w:ascii="Book Antiqua" w:eastAsia="Book Antiqua" w:hAnsi="Book Antiqua" w:cs="Book Antiqua"/>
          <w:color w:val="000000"/>
        </w:rPr>
        <w:t>. At present, it is not definitive which size or endoscopic morphology of ampullary lesions should not be treated by endoscopic resection</w:t>
      </w:r>
      <w:r>
        <w:rPr>
          <w:rFonts w:ascii="Book Antiqua" w:eastAsia="Book Antiqua" w:hAnsi="Book Antiqua" w:cs="Book Antiqua"/>
          <w:color w:val="000000"/>
          <w:vertAlign w:val="superscript"/>
        </w:rPr>
        <w:t>[2]</w:t>
      </w:r>
      <w:r>
        <w:rPr>
          <w:rFonts w:ascii="Book Antiqua" w:eastAsia="Book Antiqua" w:hAnsi="Book Antiqua" w:cs="Book Antiqua"/>
          <w:color w:val="000000"/>
        </w:rPr>
        <w:t>. Most studies have not recommended endoscopic resection for the duodenal papillary lesions ≥ 3</w:t>
      </w:r>
      <w:r w:rsidR="00BD682E">
        <w:rPr>
          <w:rFonts w:ascii="Book Antiqua" w:eastAsia="Book Antiqua" w:hAnsi="Book Antiqua" w:cs="Book Antiqua"/>
          <w:color w:val="000000"/>
        </w:rPr>
        <w:t>-</w:t>
      </w:r>
      <w:r>
        <w:rPr>
          <w:rFonts w:ascii="Book Antiqua" w:eastAsia="Book Antiqua" w:hAnsi="Book Antiqua" w:cs="Book Antiqua"/>
          <w:color w:val="000000"/>
        </w:rPr>
        <w:t>4 cm or those with extrapapillary extension</w:t>
      </w:r>
      <w:r>
        <w:rPr>
          <w:rFonts w:ascii="Book Antiqua" w:eastAsia="Book Antiqua" w:hAnsi="Book Antiqua" w:cs="Book Antiqua"/>
          <w:color w:val="000000"/>
          <w:vertAlign w:val="superscript"/>
        </w:rPr>
        <w:t>[8]</w:t>
      </w:r>
      <w:r>
        <w:rPr>
          <w:rFonts w:ascii="Book Antiqua" w:eastAsia="Book Antiqua" w:hAnsi="Book Antiqua" w:cs="Book Antiqua"/>
          <w:color w:val="000000"/>
        </w:rPr>
        <w:t>. Endoscopic snare polypectomy or EMR for ampullary lesions often requires repetitive interventions due to incomplete resection, residual lesion and tumor recurrence. The recurrent rate of ampullary adenomas after endoscopic papillectomy is 7%</w:t>
      </w:r>
      <w:r w:rsidR="00BD682E">
        <w:rPr>
          <w:rFonts w:ascii="Book Antiqua" w:eastAsia="Book Antiqua" w:hAnsi="Book Antiqua" w:cs="Book Antiqua"/>
          <w:color w:val="000000"/>
        </w:rPr>
        <w:t>-</w:t>
      </w:r>
      <w:r>
        <w:rPr>
          <w:rFonts w:ascii="Book Antiqua" w:eastAsia="Book Antiqua" w:hAnsi="Book Antiqua" w:cs="Book Antiqua"/>
          <w:color w:val="000000"/>
        </w:rPr>
        <w:t>33%</w:t>
      </w:r>
      <w:r>
        <w:rPr>
          <w:rFonts w:ascii="Book Antiqua" w:eastAsia="Book Antiqua" w:hAnsi="Book Antiqua" w:cs="Book Antiqua"/>
          <w:color w:val="000000"/>
          <w:vertAlign w:val="superscript"/>
        </w:rPr>
        <w:t>[9-12]</w:t>
      </w:r>
      <w:r>
        <w:rPr>
          <w:rFonts w:ascii="Book Antiqua" w:eastAsia="Book Antiqua" w:hAnsi="Book Antiqua" w:cs="Book Antiqua"/>
          <w:color w:val="000000"/>
        </w:rPr>
        <w:t>. Our team reported that 13 of 110 patients who underwent endoscopic papillectomy experienced recurrence during a mean follow-up period of 16.3 mo, and the predictive factors related to recurrence were complete resection and final pathological findings</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Although 75% of recurrences </w:t>
      </w:r>
      <w:r w:rsidR="00C12F09">
        <w:rPr>
          <w:rFonts w:ascii="Book Antiqua" w:eastAsia="Book Antiqua" w:hAnsi="Book Antiqua" w:cs="Book Antiqua"/>
          <w:color w:val="000000"/>
        </w:rPr>
        <w:t xml:space="preserve">can </w:t>
      </w:r>
      <w:r>
        <w:rPr>
          <w:rFonts w:ascii="Book Antiqua" w:eastAsia="Book Antiqua" w:hAnsi="Book Antiqua" w:cs="Book Antiqua"/>
          <w:color w:val="000000"/>
        </w:rPr>
        <w:t xml:space="preserve">be cleared </w:t>
      </w:r>
      <w:proofErr w:type="gramStart"/>
      <w:r>
        <w:rPr>
          <w:rFonts w:ascii="Book Antiqua" w:eastAsia="Book Antiqua" w:hAnsi="Book Antiqua" w:cs="Book Antiqua"/>
          <w:color w:val="000000"/>
        </w:rPr>
        <w:t>endoscopically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surgery is usually the last choice. In our experience, there is still the possibility of multiple recurrence after endoscopic snare polypectomy or APC ablation for recurrent ampullary lesions. This indicates the technical difficulty and limitations of the conventional </w:t>
      </w:r>
      <w:r w:rsidR="00C12F09">
        <w:rPr>
          <w:rFonts w:ascii="Book Antiqua" w:eastAsia="Book Antiqua" w:hAnsi="Book Antiqua" w:cs="Book Antiqua"/>
          <w:color w:val="000000"/>
        </w:rPr>
        <w:t>endoscopic</w:t>
      </w:r>
      <w:r>
        <w:rPr>
          <w:rFonts w:ascii="Book Antiqua" w:eastAsia="Book Antiqua" w:hAnsi="Book Antiqua" w:cs="Book Antiqua"/>
          <w:color w:val="000000"/>
        </w:rPr>
        <w:t xml:space="preserve"> papillectomy for recurrent duodenal papillary lesions.</w:t>
      </w:r>
    </w:p>
    <w:p w14:paraId="036084EB" w14:textId="735F92BF" w:rsidR="00A77B3E" w:rsidRDefault="009277A0" w:rsidP="00BD682E">
      <w:pPr>
        <w:spacing w:line="360" w:lineRule="auto"/>
        <w:ind w:firstLineChars="100" w:firstLine="240"/>
        <w:jc w:val="both"/>
      </w:pPr>
      <w:r>
        <w:rPr>
          <w:rFonts w:ascii="Book Antiqua" w:eastAsia="Book Antiqua" w:hAnsi="Book Antiqua" w:cs="Book Antiqua"/>
          <w:color w:val="000000"/>
        </w:rPr>
        <w:lastRenderedPageBreak/>
        <w:t>Preoperative evaluation of ampullary lesions is important for the subsequent management strategy. In this study, preoperative endoscopic findings showed a clear border with no evidence of malignancy, such as ulceration or spontaneous bleeding, and the appropriate ampullary lesion size (≤ 2 cm). Meanwhile, preoperative histopathological examination of biopsy sample revealed papillary adenoma for both cases. Furthermore, endoscopic ultrasonography (EUS) and IDUS are useful diagnostic tools for selecting endoscopic or surgical treatment for ampullary adenomas</w:t>
      </w:r>
      <w:r>
        <w:rPr>
          <w:rFonts w:ascii="Book Antiqua" w:eastAsia="Book Antiqua" w:hAnsi="Book Antiqua" w:cs="Book Antiqua"/>
          <w:color w:val="000000"/>
          <w:vertAlign w:val="superscript"/>
        </w:rPr>
        <w:t>[14,15]</w:t>
      </w:r>
      <w:r>
        <w:rPr>
          <w:rFonts w:ascii="Book Antiqua" w:eastAsia="Book Antiqua" w:hAnsi="Book Antiqua" w:cs="Book Antiqua"/>
          <w:color w:val="000000"/>
        </w:rPr>
        <w:t>. These methods may be more efficient than CT for preoperative evaluation of local T staging, regional lymph node metastasis, ductal infiltration, and major vascular invasion in patients with ampullary lesions. It is reported that the accuracy of EUS in diagnosing extension into the bile duct and pancreatic duct is as high as 86%</w:t>
      </w:r>
      <w:r w:rsidR="00BD682E">
        <w:rPr>
          <w:rFonts w:ascii="Book Antiqua" w:eastAsia="Book Antiqua" w:hAnsi="Book Antiqua" w:cs="Book Antiqua"/>
          <w:color w:val="000000"/>
        </w:rPr>
        <w:t>-</w:t>
      </w:r>
      <w:r>
        <w:rPr>
          <w:rFonts w:ascii="Book Antiqua" w:eastAsia="Book Antiqua" w:hAnsi="Book Antiqua" w:cs="Book Antiqua"/>
          <w:color w:val="000000"/>
        </w:rPr>
        <w:t>90% and 77%</w:t>
      </w:r>
      <w:r w:rsidR="00BD682E">
        <w:rPr>
          <w:rFonts w:ascii="Book Antiqua" w:eastAsia="Book Antiqua" w:hAnsi="Book Antiqua" w:cs="Book Antiqua"/>
          <w:color w:val="000000"/>
        </w:rPr>
        <w:t>-</w:t>
      </w:r>
      <w:r>
        <w:rPr>
          <w:rFonts w:ascii="Book Antiqua" w:eastAsia="Book Antiqua" w:hAnsi="Book Antiqua" w:cs="Book Antiqua"/>
          <w:color w:val="000000"/>
        </w:rPr>
        <w:t>92%, respectively. IDUS can be more accurate in visualizing mucosal layers than conventional EUS, with a high accuracy of 90%</w:t>
      </w:r>
      <w:r w:rsidR="00BD682E">
        <w:rPr>
          <w:rFonts w:ascii="Book Antiqua" w:eastAsia="Book Antiqua" w:hAnsi="Book Antiqua" w:cs="Book Antiqua"/>
          <w:color w:val="000000"/>
        </w:rPr>
        <w:t>-</w:t>
      </w:r>
      <w:r>
        <w:rPr>
          <w:rFonts w:ascii="Book Antiqua" w:eastAsia="Book Antiqua" w:hAnsi="Book Antiqua" w:cs="Book Antiqua"/>
          <w:color w:val="000000"/>
        </w:rPr>
        <w:t>95% and 88%</w:t>
      </w:r>
      <w:r w:rsidR="00BD682E">
        <w:rPr>
          <w:rFonts w:ascii="Book Antiqua" w:eastAsia="Book Antiqua" w:hAnsi="Book Antiqua" w:cs="Book Antiqua"/>
          <w:color w:val="000000"/>
        </w:rPr>
        <w:t>-</w:t>
      </w:r>
      <w:r>
        <w:rPr>
          <w:rFonts w:ascii="Book Antiqua" w:eastAsia="Book Antiqua" w:hAnsi="Book Antiqua" w:cs="Book Antiqua"/>
          <w:color w:val="000000"/>
        </w:rPr>
        <w:t>100% in diagnosing extension into the bile duct and pancreatic duct, respectively</w:t>
      </w:r>
      <w:r>
        <w:rPr>
          <w:rFonts w:ascii="Book Antiqua" w:eastAsia="Book Antiqua" w:hAnsi="Book Antiqua" w:cs="Book Antiqua"/>
          <w:color w:val="000000"/>
          <w:vertAlign w:val="superscript"/>
        </w:rPr>
        <w:t>[16]</w:t>
      </w:r>
      <w:r>
        <w:rPr>
          <w:rFonts w:ascii="Book Antiqua" w:eastAsia="Book Antiqua" w:hAnsi="Book Antiqua" w:cs="Book Antiqua"/>
          <w:color w:val="000000"/>
        </w:rPr>
        <w:t>. In our study, both patients received careful preoperative evaluation, and several imaging examinations indicated no intraductal involvement of ampullary lesions. EUS for the estimation of tumor staging and ductal infiltration was not performed routinely in this study, but subsequent ERCP and IDUS confirmed no intraductal extension. Whatever, accurate preoperative evaluation could reduce the techni</w:t>
      </w:r>
      <w:r w:rsidR="00C12F09">
        <w:rPr>
          <w:rFonts w:ascii="Book Antiqua" w:eastAsia="Book Antiqua" w:hAnsi="Book Antiqua" w:cs="Book Antiqua"/>
          <w:color w:val="000000"/>
        </w:rPr>
        <w:t>c</w:t>
      </w:r>
      <w:r>
        <w:rPr>
          <w:rFonts w:ascii="Book Antiqua" w:eastAsia="Book Antiqua" w:hAnsi="Book Antiqua" w:cs="Book Antiqua"/>
          <w:color w:val="000000"/>
        </w:rPr>
        <w:t xml:space="preserve">al difficulties and the risk of severe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14:paraId="28D7E3CB" w14:textId="1C9ED2DC" w:rsidR="00A77B3E" w:rsidRDefault="009277A0" w:rsidP="00BD682E">
      <w:pPr>
        <w:spacing w:line="360" w:lineRule="auto"/>
        <w:ind w:firstLineChars="100" w:firstLine="240"/>
        <w:jc w:val="both"/>
      </w:pPr>
      <w:r>
        <w:rPr>
          <w:rFonts w:ascii="Book Antiqua" w:eastAsia="Book Antiqua" w:hAnsi="Book Antiqua" w:cs="Book Antiqua"/>
          <w:color w:val="000000"/>
        </w:rPr>
        <w:t>At present, ESD has been widely accepted as standard treatment for early gastrointestinal neoplasms and large laterally spreading lesions</w:t>
      </w:r>
      <w:r>
        <w:rPr>
          <w:rFonts w:ascii="Book Antiqua" w:eastAsia="Book Antiqua" w:hAnsi="Book Antiqua" w:cs="Book Antiqua"/>
          <w:color w:val="000000"/>
          <w:vertAlign w:val="superscript"/>
        </w:rPr>
        <w:t>[4]</w:t>
      </w:r>
      <w:r>
        <w:rPr>
          <w:rFonts w:ascii="Book Antiqua" w:eastAsia="Book Antiqua" w:hAnsi="Book Antiqua" w:cs="Book Antiqua"/>
          <w:color w:val="000000"/>
        </w:rPr>
        <w:t>, and as an appropriate resection technique for locally remnant and recurrent lesions in patients receiving endoscopic resection</w:t>
      </w:r>
      <w:r>
        <w:rPr>
          <w:rFonts w:ascii="Book Antiqua" w:eastAsia="Book Antiqua" w:hAnsi="Book Antiqua" w:cs="Book Antiqua"/>
          <w:color w:val="000000"/>
          <w:vertAlign w:val="superscript"/>
        </w:rPr>
        <w:t>[18,19]</w:t>
      </w:r>
      <w:r>
        <w:rPr>
          <w:rFonts w:ascii="Book Antiqua" w:eastAsia="Book Antiqua" w:hAnsi="Book Antiqua" w:cs="Book Antiqua"/>
          <w:color w:val="000000"/>
        </w:rPr>
        <w:t>. Several studies have reported successful ESD for duodenal lesions</w:t>
      </w:r>
      <w:r>
        <w:rPr>
          <w:rFonts w:ascii="Book Antiqua" w:eastAsia="Book Antiqua" w:hAnsi="Book Antiqua" w:cs="Book Antiqua"/>
          <w:color w:val="000000"/>
          <w:vertAlign w:val="superscript"/>
        </w:rPr>
        <w:t>[20-22]</w:t>
      </w:r>
      <w:r>
        <w:rPr>
          <w:rFonts w:ascii="Book Antiqua" w:eastAsia="Book Antiqua" w:hAnsi="Book Antiqua" w:cs="Book Antiqua"/>
          <w:color w:val="000000"/>
        </w:rPr>
        <w:t xml:space="preserve"> using therapeutic gastroscopy, but ESD is rarely used for treatment of recurrent, laterally spreading ampullary lesions by duodenoscope. This is mainly due to the special physiology and complex anatomical features of duodenal papillary lesions (</w:t>
      </w:r>
      <w:r w:rsidRPr="006C2110">
        <w:rPr>
          <w:rFonts w:ascii="Book Antiqua" w:eastAsia="Book Antiqua" w:hAnsi="Book Antiqua" w:cs="Book Antiqua"/>
          <w:i/>
          <w:iCs/>
          <w:color w:val="000000"/>
        </w:rPr>
        <w:t>e.g.</w:t>
      </w:r>
      <w:r>
        <w:rPr>
          <w:rFonts w:ascii="Book Antiqua" w:eastAsia="Book Antiqua" w:hAnsi="Book Antiqua" w:cs="Book Antiqua"/>
          <w:color w:val="000000"/>
        </w:rPr>
        <w:t>, lesion location, lesion size, thin muscle layer, rich blood supply, secretion of biliary and pancreatic juice, and fibrosis of recurrent lesions), and technical difficulties (</w:t>
      </w:r>
      <w:r w:rsidRPr="006C2110">
        <w:rPr>
          <w:rFonts w:ascii="Book Antiqua" w:eastAsia="Book Antiqua" w:hAnsi="Book Antiqua" w:cs="Book Antiqua"/>
          <w:i/>
          <w:iCs/>
          <w:color w:val="000000"/>
        </w:rPr>
        <w:t>e.g.</w:t>
      </w:r>
      <w:r>
        <w:rPr>
          <w:rFonts w:ascii="Book Antiqua" w:eastAsia="Book Antiqua" w:hAnsi="Book Antiqua" w:cs="Book Antiqua"/>
          <w:color w:val="000000"/>
        </w:rPr>
        <w:t xml:space="preserve">, limited operating space and operational difficulties to achieve good endoscopic control </w:t>
      </w:r>
      <w:r>
        <w:rPr>
          <w:rFonts w:ascii="Book Antiqua" w:eastAsia="Book Antiqua" w:hAnsi="Book Antiqua" w:cs="Book Antiqua"/>
          <w:color w:val="000000"/>
        </w:rPr>
        <w:lastRenderedPageBreak/>
        <w:t>and optimal visual fields based on forward-viewing endoscopy)</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Meanwhile, ESD for recurrent, laterally spreading ampullary adenomas raises concerns about a high risk of procedure-related complications. Therefore, ESD should be performed by experienced endoscopists with both ERCP and ESD techniques to reduce the risk of severe complications. In our study, all endoscopic procedures were performed by an experienced endoscopist who had &gt; 20 </w:t>
      </w:r>
      <w:r w:rsidR="00C12F09">
        <w:rPr>
          <w:rFonts w:ascii="Book Antiqua" w:eastAsia="Book Antiqua" w:hAnsi="Book Antiqua" w:cs="Book Antiqua"/>
          <w:color w:val="000000"/>
        </w:rPr>
        <w:t>years’ experience</w:t>
      </w:r>
      <w:r>
        <w:rPr>
          <w:rFonts w:ascii="Book Antiqua" w:eastAsia="Book Antiqua" w:hAnsi="Book Antiqua" w:cs="Book Antiqua"/>
          <w:color w:val="000000"/>
        </w:rPr>
        <w:t xml:space="preserve"> in advanced endoscopic techniques and had performed &gt; 2000 ESD and ERCP procedures. Carefully attention was focused on endoscopic management for procedure-related complications. Submucosal fibrosis after endoscopic papillectomy for recurrent cases is a significant risk factor for adverse events. Therefore, we used a hybrid ESD technique for complete resection with a polypectomy snare to remove the lesions after dissecting the submucosal layer. Additionally, strict hemostasis including injection, electrocoagulation and endoclip placement during hybrid ESD were compulsory. The resection wound after ampullary hybrid ESD is exposed directly to biliary and pancreatic juices, which is believed to cause postoperative complications, so we suggest that after biliary and pancreatic stent placement, the resection wound should be closed by endoclips as much as possible. In this study, hybrid ESD with snaring using duodenoscope was technically successful, and </w:t>
      </w:r>
      <w:r w:rsidRPr="005829BA">
        <w:rPr>
          <w:rFonts w:ascii="Book Antiqua" w:eastAsia="Book Antiqua" w:hAnsi="Book Antiqua" w:cs="Book Antiqua"/>
          <w:i/>
          <w:color w:val="000000"/>
        </w:rPr>
        <w:t>en bloc</w:t>
      </w:r>
      <w:r>
        <w:rPr>
          <w:rFonts w:ascii="Book Antiqua" w:eastAsia="Book Antiqua" w:hAnsi="Book Antiqua" w:cs="Book Antiqua"/>
          <w:color w:val="000000"/>
        </w:rPr>
        <w:t xml:space="preserve"> resection of the therapeutic scar tissue was achieved. The average procedure time of hybrid ESD was 38.5 min, which was acceptable. No severe adverse events such as bleeding and perforation occurred in the recurrent cases.</w:t>
      </w:r>
    </w:p>
    <w:p w14:paraId="7D4AB3F7" w14:textId="76DF63F9" w:rsidR="00A77B3E" w:rsidRDefault="009277A0" w:rsidP="00BD682E">
      <w:pPr>
        <w:spacing w:line="360" w:lineRule="auto"/>
        <w:ind w:firstLineChars="100" w:firstLine="240"/>
        <w:jc w:val="both"/>
      </w:pPr>
      <w:r>
        <w:rPr>
          <w:rFonts w:ascii="Book Antiqua" w:eastAsia="Book Antiqua" w:hAnsi="Book Antiqua" w:cs="Book Antiqua"/>
          <w:color w:val="000000"/>
        </w:rPr>
        <w:t>ERCP as an important procedure and should be performed after ampullary ESD treatment. Generally, it is easy to perform selective cannulation due to the exposure of biliary and pancreatic duct after papillectomy. Limited endoscopic resection of ampullary lesions may have a risk of leaving residual tissues; therefore, ERCP and IDUS are useful for further evaluation of the condition of the biliary and pancreatic ducts. For these cases, selective cannulation for biliary and pancreatic ducts was successfully performed, and ERCP and IDUS demonstrated no biliary or pancreatic extension and no residual lesions after ESD. Prophylactic stent placement in the pancreatic duct after endoscopic removal is necessary to minimize the risk of post-ERCP pancreatitis</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In this </w:t>
      </w:r>
      <w:r>
        <w:rPr>
          <w:rFonts w:ascii="Book Antiqua" w:eastAsia="Book Antiqua" w:hAnsi="Book Antiqua" w:cs="Book Antiqua"/>
          <w:color w:val="000000"/>
        </w:rPr>
        <w:lastRenderedPageBreak/>
        <w:t>study, we implanted both biliary and pancreatic stents to avoid early complications and late adverse events. There are four purposes of deploying biliary and pancreatic stenting after ESD: to prevent post-ERCP pancreatitis and cholangitis; to drain bile and pancreatic juice far from the wound surface to reduce the risk of perforation and bleeding; to avoid closure of the pancreaticobiliary opening when the hemostatic clip closes the wound; and to prevent biliary and/or pancreatic stenosis. </w:t>
      </w:r>
    </w:p>
    <w:p w14:paraId="7B05CB4B" w14:textId="77777777" w:rsidR="00A77B3E" w:rsidRDefault="009277A0">
      <w:pPr>
        <w:spacing w:line="360" w:lineRule="auto"/>
        <w:jc w:val="both"/>
      </w:pPr>
      <w:r>
        <w:rPr>
          <w:rFonts w:ascii="Book Antiqua" w:eastAsia="Book Antiqua" w:hAnsi="Book Antiqua" w:cs="Book Antiqua"/>
          <w:b/>
          <w:caps/>
          <w:color w:val="000000"/>
          <w:u w:val="single"/>
        </w:rPr>
        <w:t>CONCLUSION</w:t>
      </w:r>
    </w:p>
    <w:p w14:paraId="2854F316" w14:textId="77777777" w:rsidR="00A77B3E" w:rsidRDefault="009277A0">
      <w:pPr>
        <w:spacing w:line="360" w:lineRule="auto"/>
        <w:jc w:val="both"/>
      </w:pPr>
      <w:r>
        <w:rPr>
          <w:rFonts w:ascii="Book Antiqua" w:eastAsia="Book Antiqua" w:hAnsi="Book Antiqua" w:cs="Book Antiqua"/>
          <w:color w:val="000000"/>
        </w:rPr>
        <w:t>In conclusion, hybrid ESD by duodenoscope is technically challenging, and may be curative for recurrent, laterally spreading ampullary adenomas &lt; 2 cm in diameter. It should be performed with caution by experienced endoscopists in selected patients to avoid severe complications.</w:t>
      </w:r>
    </w:p>
    <w:p w14:paraId="5DFE49C3" w14:textId="77777777" w:rsidR="00A77B3E" w:rsidRDefault="00A77B3E">
      <w:pPr>
        <w:spacing w:line="360" w:lineRule="auto"/>
        <w:jc w:val="both"/>
      </w:pPr>
    </w:p>
    <w:p w14:paraId="7F60B592" w14:textId="77777777" w:rsidR="00A77B3E" w:rsidRDefault="009277A0">
      <w:pPr>
        <w:spacing w:line="360" w:lineRule="auto"/>
        <w:jc w:val="both"/>
      </w:pPr>
      <w:r>
        <w:rPr>
          <w:rFonts w:ascii="Book Antiqua" w:eastAsia="Book Antiqua" w:hAnsi="Book Antiqua" w:cs="Book Antiqua"/>
          <w:b/>
          <w:caps/>
          <w:color w:val="000000"/>
          <w:u w:val="single"/>
        </w:rPr>
        <w:t>ARTICLE HIGHLIGHTS</w:t>
      </w:r>
    </w:p>
    <w:p w14:paraId="3C22AC48" w14:textId="77777777" w:rsidR="00A77B3E" w:rsidRDefault="009277A0">
      <w:pPr>
        <w:spacing w:line="360" w:lineRule="auto"/>
        <w:jc w:val="both"/>
      </w:pPr>
      <w:r>
        <w:rPr>
          <w:rFonts w:ascii="Book Antiqua" w:eastAsia="Book Antiqua" w:hAnsi="Book Antiqua" w:cs="Book Antiqua"/>
          <w:b/>
          <w:i/>
          <w:color w:val="000000"/>
        </w:rPr>
        <w:t>Research background</w:t>
      </w:r>
    </w:p>
    <w:p w14:paraId="193824F1" w14:textId="77777777" w:rsidR="00A77B3E" w:rsidRDefault="009277A0">
      <w:pPr>
        <w:spacing w:line="360" w:lineRule="auto"/>
        <w:jc w:val="both"/>
      </w:pPr>
      <w:r>
        <w:rPr>
          <w:rFonts w:ascii="Book Antiqua" w:eastAsia="Book Antiqua" w:hAnsi="Book Antiqua" w:cs="Book Antiqua"/>
          <w:color w:val="000000"/>
        </w:rPr>
        <w:t>Management of recurrent ampullary adenomas after endoscopic papillectomy is still controversial. Some patients have to receive repetitive endoscopic interventions due to the limitations of conventional endoscopic techniques.</w:t>
      </w:r>
    </w:p>
    <w:p w14:paraId="19EE02C7" w14:textId="77777777" w:rsidR="00A77B3E" w:rsidRDefault="00A77B3E">
      <w:pPr>
        <w:spacing w:line="360" w:lineRule="auto"/>
        <w:jc w:val="both"/>
      </w:pPr>
    </w:p>
    <w:p w14:paraId="5AED3BDF" w14:textId="77777777" w:rsidR="00A77B3E" w:rsidRDefault="009277A0">
      <w:pPr>
        <w:spacing w:line="360" w:lineRule="auto"/>
        <w:jc w:val="both"/>
      </w:pPr>
      <w:r>
        <w:rPr>
          <w:rFonts w:ascii="Book Antiqua" w:eastAsia="Book Antiqua" w:hAnsi="Book Antiqua" w:cs="Book Antiqua"/>
          <w:b/>
          <w:i/>
          <w:color w:val="000000"/>
        </w:rPr>
        <w:t>Research motivation</w:t>
      </w:r>
    </w:p>
    <w:p w14:paraId="5A1EC0F6" w14:textId="77777777" w:rsidR="00A77B3E" w:rsidRDefault="009277A0">
      <w:pPr>
        <w:spacing w:line="360" w:lineRule="auto"/>
        <w:jc w:val="both"/>
      </w:pPr>
      <w:r>
        <w:rPr>
          <w:rFonts w:ascii="Book Antiqua" w:eastAsia="Book Antiqua" w:hAnsi="Book Antiqua" w:cs="Book Antiqua"/>
          <w:color w:val="000000"/>
        </w:rPr>
        <w:t>Endoscopic submucosal dissection (ESD) has become a standard treatment for early gastrointestinal neoplasms, as well as an appropriate technique for resection locally remnant and recurrent lesions. At present, ESD is rarely used in the treatment of duodenal papillary lesions by duodenoscope due to the complex anatomy of duodenal papilla and technical difficulties.</w:t>
      </w:r>
    </w:p>
    <w:p w14:paraId="68DD8D3C" w14:textId="77777777" w:rsidR="00A77B3E" w:rsidRDefault="00A77B3E">
      <w:pPr>
        <w:spacing w:line="360" w:lineRule="auto"/>
        <w:jc w:val="both"/>
      </w:pPr>
    </w:p>
    <w:p w14:paraId="168017E8" w14:textId="77777777" w:rsidR="00A77B3E" w:rsidRDefault="009277A0">
      <w:pPr>
        <w:spacing w:line="360" w:lineRule="auto"/>
        <w:jc w:val="both"/>
      </w:pPr>
      <w:r>
        <w:rPr>
          <w:rFonts w:ascii="Book Antiqua" w:eastAsia="Book Antiqua" w:hAnsi="Book Antiqua" w:cs="Book Antiqua"/>
          <w:b/>
          <w:i/>
          <w:color w:val="000000"/>
        </w:rPr>
        <w:t>Research objectives</w:t>
      </w:r>
    </w:p>
    <w:p w14:paraId="4B21E257" w14:textId="730B3752" w:rsidR="00A77B3E" w:rsidRDefault="009277A0">
      <w:pPr>
        <w:spacing w:line="360" w:lineRule="auto"/>
        <w:jc w:val="both"/>
      </w:pPr>
      <w:r>
        <w:rPr>
          <w:rFonts w:ascii="Book Antiqua" w:eastAsia="Book Antiqua" w:hAnsi="Book Antiqua" w:cs="Book Antiqua"/>
          <w:color w:val="000000"/>
        </w:rPr>
        <w:t>In this retrospective study, we report our preliminary experience of hybrid ESD by duodenoscope combined with bil</w:t>
      </w:r>
      <w:r w:rsidR="00C12F09">
        <w:rPr>
          <w:rFonts w:ascii="Book Antiqua" w:eastAsia="Book Antiqua" w:hAnsi="Book Antiqua" w:cs="Book Antiqua"/>
          <w:color w:val="000000"/>
        </w:rPr>
        <w:t>i</w:t>
      </w:r>
      <w:r>
        <w:rPr>
          <w:rFonts w:ascii="Book Antiqua" w:eastAsia="Book Antiqua" w:hAnsi="Book Antiqua" w:cs="Book Antiqua"/>
          <w:color w:val="000000"/>
        </w:rPr>
        <w:t>ary and pancreatic stent placement for recurrent, laterally spreading, duodenal papillary lesions.</w:t>
      </w:r>
    </w:p>
    <w:p w14:paraId="6DF5133F" w14:textId="77777777" w:rsidR="00A77B3E" w:rsidRDefault="00A77B3E">
      <w:pPr>
        <w:spacing w:line="360" w:lineRule="auto"/>
        <w:jc w:val="both"/>
      </w:pPr>
    </w:p>
    <w:p w14:paraId="6DF04A73" w14:textId="77777777" w:rsidR="00A77B3E" w:rsidRDefault="009277A0">
      <w:pPr>
        <w:spacing w:line="360" w:lineRule="auto"/>
        <w:jc w:val="both"/>
      </w:pPr>
      <w:r>
        <w:rPr>
          <w:rFonts w:ascii="Book Antiqua" w:eastAsia="Book Antiqua" w:hAnsi="Book Antiqua" w:cs="Book Antiqua"/>
          <w:b/>
          <w:i/>
          <w:color w:val="000000"/>
        </w:rPr>
        <w:t>Research methods</w:t>
      </w:r>
    </w:p>
    <w:p w14:paraId="366513A4" w14:textId="77777777" w:rsidR="00A77B3E" w:rsidRDefault="009277A0">
      <w:pPr>
        <w:spacing w:line="360" w:lineRule="auto"/>
        <w:jc w:val="both"/>
      </w:pPr>
      <w:r>
        <w:rPr>
          <w:rFonts w:ascii="Book Antiqua" w:eastAsia="Book Antiqua" w:hAnsi="Book Antiqua" w:cs="Book Antiqua"/>
          <w:color w:val="000000"/>
        </w:rPr>
        <w:t xml:space="preserve">Two patients with recurrent, laterally spreading, papillary adenomas underwent hybrid ESD by duodenoscope and endoscopic retrograde cholangiopancreatography (ERCP). Outcomes, including endoscopic and histopathological characteristics, time of hybrid ESD and ERCP procedures, </w:t>
      </w:r>
      <w:r w:rsidRPr="005829BA">
        <w:rPr>
          <w:rFonts w:ascii="Book Antiqua" w:eastAsia="Book Antiqua" w:hAnsi="Book Antiqua" w:cs="Book Antiqua"/>
          <w:i/>
          <w:color w:val="000000"/>
        </w:rPr>
        <w:t>en bloc</w:t>
      </w:r>
      <w:r>
        <w:rPr>
          <w:rFonts w:ascii="Book Antiqua" w:eastAsia="Book Antiqua" w:hAnsi="Book Antiqua" w:cs="Book Antiqua"/>
          <w:color w:val="000000"/>
        </w:rPr>
        <w:t xml:space="preserve"> resection, procedure-related complications, and hospital stay were recorded.</w:t>
      </w:r>
    </w:p>
    <w:p w14:paraId="05AE30E9" w14:textId="77777777" w:rsidR="00A77B3E" w:rsidRDefault="009277A0">
      <w:pPr>
        <w:spacing w:line="360" w:lineRule="auto"/>
        <w:jc w:val="both"/>
      </w:pPr>
      <w:r>
        <w:rPr>
          <w:rFonts w:ascii="Book Antiqua" w:eastAsia="Book Antiqua" w:hAnsi="Book Antiqua" w:cs="Book Antiqua"/>
          <w:b/>
          <w:i/>
          <w:color w:val="000000"/>
        </w:rPr>
        <w:t>Research results</w:t>
      </w:r>
    </w:p>
    <w:p w14:paraId="0697176A" w14:textId="77777777" w:rsidR="00A77B3E" w:rsidRDefault="009277A0">
      <w:pPr>
        <w:spacing w:line="360" w:lineRule="auto"/>
        <w:jc w:val="both"/>
      </w:pPr>
      <w:r>
        <w:rPr>
          <w:rFonts w:ascii="Book Antiqua" w:eastAsia="Book Antiqua" w:hAnsi="Book Antiqua" w:cs="Book Antiqua"/>
          <w:color w:val="000000"/>
        </w:rPr>
        <w:t>Hybrid ESD using duodenoscope and subsequent biliary and pancreatic stent placement was performed successfully for both patients. The endoscopic size of recurrent papillary lesions was no more than 2 cm. No serious complications occurred during the intraoperative and postoperative periods. Histopathological examination revealed tubulovillous adenoma negative for neoplastic extension at the cut margin in both patients. No recurrence were observed during follow-up.</w:t>
      </w:r>
    </w:p>
    <w:p w14:paraId="6D69FCE5" w14:textId="77777777" w:rsidR="00A77B3E" w:rsidRDefault="00A77B3E">
      <w:pPr>
        <w:spacing w:line="360" w:lineRule="auto"/>
        <w:jc w:val="both"/>
      </w:pPr>
    </w:p>
    <w:p w14:paraId="1617D0A9" w14:textId="77777777" w:rsidR="00A77B3E" w:rsidRDefault="009277A0">
      <w:pPr>
        <w:spacing w:line="360" w:lineRule="auto"/>
        <w:jc w:val="both"/>
      </w:pPr>
      <w:r>
        <w:rPr>
          <w:rFonts w:ascii="Book Antiqua" w:eastAsia="Book Antiqua" w:hAnsi="Book Antiqua" w:cs="Book Antiqua"/>
          <w:b/>
          <w:i/>
          <w:color w:val="000000"/>
        </w:rPr>
        <w:t>Research conclusions</w:t>
      </w:r>
    </w:p>
    <w:p w14:paraId="2AAC936D" w14:textId="77777777" w:rsidR="00A77B3E" w:rsidRDefault="009277A0">
      <w:pPr>
        <w:spacing w:line="360" w:lineRule="auto"/>
        <w:jc w:val="both"/>
      </w:pPr>
      <w:r>
        <w:rPr>
          <w:rFonts w:ascii="Book Antiqua" w:eastAsia="Book Antiqua" w:hAnsi="Book Antiqua" w:cs="Book Antiqua"/>
          <w:color w:val="000000"/>
        </w:rPr>
        <w:t>Hybrid ESD by duodenoscope is technically challenging, and may be curative for recurrent, laterally spreading papillary adenomas &lt; 2 cm.</w:t>
      </w:r>
    </w:p>
    <w:p w14:paraId="39A080A2" w14:textId="77777777" w:rsidR="00A77B3E" w:rsidRDefault="00A77B3E">
      <w:pPr>
        <w:spacing w:line="360" w:lineRule="auto"/>
        <w:jc w:val="both"/>
      </w:pPr>
    </w:p>
    <w:p w14:paraId="5D739DFE" w14:textId="77777777" w:rsidR="00A77B3E" w:rsidRDefault="009277A0">
      <w:pPr>
        <w:spacing w:line="360" w:lineRule="auto"/>
        <w:jc w:val="both"/>
      </w:pPr>
      <w:r>
        <w:rPr>
          <w:rFonts w:ascii="Book Antiqua" w:eastAsia="Book Antiqua" w:hAnsi="Book Antiqua" w:cs="Book Antiqua"/>
          <w:b/>
          <w:i/>
          <w:color w:val="000000"/>
        </w:rPr>
        <w:t>Research perspectives</w:t>
      </w:r>
    </w:p>
    <w:p w14:paraId="3780FCA1" w14:textId="77777777" w:rsidR="00A77B3E" w:rsidRDefault="009277A0">
      <w:pPr>
        <w:spacing w:line="360" w:lineRule="auto"/>
        <w:jc w:val="both"/>
      </w:pPr>
      <w:r>
        <w:rPr>
          <w:rFonts w:ascii="Book Antiqua" w:eastAsia="Book Antiqua" w:hAnsi="Book Antiqua" w:cs="Book Antiqua"/>
          <w:color w:val="000000"/>
        </w:rPr>
        <w:t>Hybrid ESD by duodenoscope should be performed cautiously in selected patients by experienced endoscopists. A prospective study should be conducted to compare hybrid ESD with conventional endoscopic techniques to gain more evidence.</w:t>
      </w:r>
    </w:p>
    <w:p w14:paraId="6A6880C8" w14:textId="77777777" w:rsidR="00A77B3E" w:rsidRDefault="00A77B3E">
      <w:pPr>
        <w:spacing w:line="360" w:lineRule="auto"/>
        <w:jc w:val="both"/>
      </w:pPr>
    </w:p>
    <w:p w14:paraId="46215FC2" w14:textId="77777777" w:rsidR="00A77B3E" w:rsidRDefault="009277A0">
      <w:pPr>
        <w:spacing w:line="360" w:lineRule="auto"/>
        <w:jc w:val="both"/>
      </w:pPr>
      <w:r>
        <w:rPr>
          <w:rFonts w:ascii="Book Antiqua" w:eastAsia="Book Antiqua" w:hAnsi="Book Antiqua" w:cs="Book Antiqua"/>
          <w:b/>
          <w:color w:val="000000"/>
        </w:rPr>
        <w:t>REFERENCES</w:t>
      </w:r>
    </w:p>
    <w:p w14:paraId="09636CEC" w14:textId="77777777" w:rsidR="00A77B3E" w:rsidRDefault="009277A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El Hajj II</w:t>
      </w:r>
      <w:r>
        <w:rPr>
          <w:rFonts w:ascii="Book Antiqua" w:eastAsia="Book Antiqua" w:hAnsi="Book Antiqua" w:cs="Book Antiqua"/>
          <w:color w:val="000000"/>
        </w:rPr>
        <w:t xml:space="preserve">, Coté GA. Endoscopic diagnosis and management of ampullary lesions. </w:t>
      </w:r>
      <w:r>
        <w:rPr>
          <w:rFonts w:ascii="Book Antiqua" w:eastAsia="Book Antiqua" w:hAnsi="Book Antiqua" w:cs="Book Antiqua"/>
          <w:i/>
          <w:iCs/>
          <w:color w:val="000000"/>
        </w:rPr>
        <w:t>Gastrointest Endosc Clin N Am</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95-109 [PMID: 23168121 DOI: 10.1016/j.giec.2012.10.004]</w:t>
      </w:r>
    </w:p>
    <w:p w14:paraId="46564C3C" w14:textId="46601F7E" w:rsidR="00A77B3E" w:rsidRDefault="009277A0">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ASGE Standards of Practice Committee</w:t>
      </w:r>
      <w:r>
        <w:rPr>
          <w:rFonts w:ascii="Book Antiqua" w:eastAsia="Book Antiqua" w:hAnsi="Book Antiqua" w:cs="Book Antiqua"/>
          <w:color w:val="000000"/>
        </w:rPr>
        <w:t xml:space="preserve">, Chathadi KV, Khashab MA, Acosta RD, Chandrasekhara V, Eloubeidi MA, Faulx AL, Fonkalsrud L, Lightdale JR, Salztman JR, Shaukat A, Wang A, Cash BD, DeWitt JM. The role of endoscopy in ampullary and duodenal adenomas.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82</w:t>
      </w:r>
      <w:r>
        <w:rPr>
          <w:rFonts w:ascii="Book Antiqua" w:eastAsia="Book Antiqua" w:hAnsi="Book Antiqua" w:cs="Book Antiqua"/>
          <w:color w:val="000000"/>
        </w:rPr>
        <w:t>: 773-781 [PMID: 26260385 DOI: 10.1016/j.gie.2015.06.027]</w:t>
      </w:r>
    </w:p>
    <w:p w14:paraId="77B783F8" w14:textId="77777777" w:rsidR="00A77B3E" w:rsidRDefault="009277A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Napoleon B</w:t>
      </w:r>
      <w:r>
        <w:rPr>
          <w:rFonts w:ascii="Book Antiqua" w:eastAsia="Book Antiqua" w:hAnsi="Book Antiqua" w:cs="Book Antiqua"/>
          <w:color w:val="000000"/>
        </w:rPr>
        <w:t xml:space="preserve">, Gincul R, Ponchon T, Berthiller J, Escourrou J, Canard JM, Boyer J, Barthet M, Ponsot P, Laugier R, </w:t>
      </w:r>
      <w:proofErr w:type="spellStart"/>
      <w:r>
        <w:rPr>
          <w:rFonts w:ascii="Book Antiqua" w:eastAsia="Book Antiqua" w:hAnsi="Book Antiqua" w:cs="Book Antiqua"/>
          <w:color w:val="000000"/>
        </w:rPr>
        <w:t>Helbert</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Coumaros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Scoazec</w:t>
      </w:r>
      <w:proofErr w:type="spellEnd"/>
      <w:r>
        <w:rPr>
          <w:rFonts w:ascii="Book Antiqua" w:eastAsia="Book Antiqua" w:hAnsi="Book Antiqua" w:cs="Book Antiqua"/>
          <w:color w:val="000000"/>
        </w:rPr>
        <w:t xml:space="preserve"> JY, </w:t>
      </w:r>
      <w:proofErr w:type="spellStart"/>
      <w:r>
        <w:rPr>
          <w:rFonts w:ascii="Book Antiqua" w:eastAsia="Book Antiqua" w:hAnsi="Book Antiqua" w:cs="Book Antiqua"/>
          <w:color w:val="000000"/>
        </w:rPr>
        <w:t>Mion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Saurin</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Sociéte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Française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d’Endoscopie</w:t>
      </w:r>
      <w:proofErr w:type="spellEnd"/>
      <w:r>
        <w:rPr>
          <w:rFonts w:ascii="Book Antiqua" w:eastAsia="Book Antiqua" w:hAnsi="Book Antiqua" w:cs="Book Antiqua"/>
          <w:color w:val="000000"/>
        </w:rPr>
        <w:t xml:space="preserve"> Digestive (SFED, French Society of Digestive Endoscopy). Endoscopic papillectomy for early ampullary tumors: long-term results from a large multicenter prospective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127-134 [PMID: 24477368 DOI: 10.1055/s-0034-1364875]</w:t>
      </w:r>
    </w:p>
    <w:p w14:paraId="564EA9B1" w14:textId="77777777" w:rsidR="00A77B3E" w:rsidRDefault="009277A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Tanaka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Kashida</w:t>
      </w:r>
      <w:proofErr w:type="spellEnd"/>
      <w:r>
        <w:rPr>
          <w:rFonts w:ascii="Book Antiqua" w:eastAsia="Book Antiqua" w:hAnsi="Book Antiqua" w:cs="Book Antiqua"/>
          <w:color w:val="000000"/>
        </w:rPr>
        <w:t xml:space="preserve"> H, Saito Y, Yahagi N, </w:t>
      </w:r>
      <w:proofErr w:type="spellStart"/>
      <w:r>
        <w:rPr>
          <w:rFonts w:ascii="Book Antiqua" w:eastAsia="Book Antiqua" w:hAnsi="Book Antiqua" w:cs="Book Antiqua"/>
          <w:color w:val="000000"/>
        </w:rPr>
        <w:t>Yamano</w:t>
      </w:r>
      <w:proofErr w:type="spellEnd"/>
      <w:r>
        <w:rPr>
          <w:rFonts w:ascii="Book Antiqua" w:eastAsia="Book Antiqua" w:hAnsi="Book Antiqua" w:cs="Book Antiqua"/>
          <w:color w:val="000000"/>
        </w:rPr>
        <w:t xml:space="preserve"> H, Saito S, </w:t>
      </w:r>
      <w:proofErr w:type="spellStart"/>
      <w:r>
        <w:rPr>
          <w:rFonts w:ascii="Book Antiqua" w:eastAsia="Book Antiqua" w:hAnsi="Book Antiqua" w:cs="Book Antiqua"/>
          <w:color w:val="000000"/>
        </w:rPr>
        <w:t>Hisabe</w:t>
      </w:r>
      <w:proofErr w:type="spellEnd"/>
      <w:r>
        <w:rPr>
          <w:rFonts w:ascii="Book Antiqua" w:eastAsia="Book Antiqua" w:hAnsi="Book Antiqua" w:cs="Book Antiqua"/>
          <w:color w:val="000000"/>
        </w:rPr>
        <w:t xml:space="preserve"> T, Yao T, Watanabe M, Yoshida M, Kudo SE, Tsuruta O, Sugihara KI, Watanabe T, </w:t>
      </w:r>
      <w:proofErr w:type="spellStart"/>
      <w:r>
        <w:rPr>
          <w:rFonts w:ascii="Book Antiqua" w:eastAsia="Book Antiqua" w:hAnsi="Book Antiqua" w:cs="Book Antiqua"/>
          <w:color w:val="000000"/>
        </w:rPr>
        <w:t>Saitoh</w:t>
      </w:r>
      <w:proofErr w:type="spellEnd"/>
      <w:r>
        <w:rPr>
          <w:rFonts w:ascii="Book Antiqua" w:eastAsia="Book Antiqua" w:hAnsi="Book Antiqua" w:cs="Book Antiqua"/>
          <w:color w:val="000000"/>
        </w:rPr>
        <w:t xml:space="preserve"> Y, Igarashi M, </w:t>
      </w:r>
      <w:proofErr w:type="spellStart"/>
      <w:r>
        <w:rPr>
          <w:rFonts w:ascii="Book Antiqua" w:eastAsia="Book Antiqua" w:hAnsi="Book Antiqua" w:cs="Book Antiqua"/>
          <w:color w:val="000000"/>
        </w:rPr>
        <w:t>Toyonaga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Ichinose M, Matsui T, Sugita A, Sugano K, Fujimoto K, Tajiri H. JGES guidelines for colorectal endoscopic submucosal dissection/endoscopic mucosal resection.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417-434 [PMID: 25652022 DOI: 10.1111/den.12456]</w:t>
      </w:r>
    </w:p>
    <w:p w14:paraId="22D0DB05" w14:textId="77777777" w:rsidR="00A77B3E" w:rsidRDefault="009277A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Martin JA</w:t>
      </w:r>
      <w:r>
        <w:rPr>
          <w:rFonts w:ascii="Book Antiqua" w:eastAsia="Book Antiqua" w:hAnsi="Book Antiqua" w:cs="Book Antiqua"/>
          <w:color w:val="000000"/>
        </w:rPr>
        <w:t xml:space="preserve">, Haber GB. Ampullary adenoma: clinical manifestations, diagnosis, and treatment. </w:t>
      </w:r>
      <w:r>
        <w:rPr>
          <w:rFonts w:ascii="Book Antiqua" w:eastAsia="Book Antiqua" w:hAnsi="Book Antiqua" w:cs="Book Antiqua"/>
          <w:i/>
          <w:iCs/>
          <w:color w:val="000000"/>
        </w:rPr>
        <w:t>Gastrointest Endosc Clin N Am</w:t>
      </w:r>
      <w:r>
        <w:rPr>
          <w:rFonts w:ascii="Book Antiqua" w:eastAsia="Book Antiqua" w:hAnsi="Book Antiqua" w:cs="Book Antiqua"/>
          <w:color w:val="000000"/>
        </w:rPr>
        <w:t xml:space="preserve"> 2003; </w:t>
      </w:r>
      <w:r>
        <w:rPr>
          <w:rFonts w:ascii="Book Antiqua" w:eastAsia="Book Antiqua" w:hAnsi="Book Antiqua" w:cs="Book Antiqua"/>
          <w:b/>
          <w:bCs/>
          <w:color w:val="000000"/>
        </w:rPr>
        <w:t>13</w:t>
      </w:r>
      <w:r>
        <w:rPr>
          <w:rFonts w:ascii="Book Antiqua" w:eastAsia="Book Antiqua" w:hAnsi="Book Antiqua" w:cs="Book Antiqua"/>
          <w:color w:val="000000"/>
        </w:rPr>
        <w:t>: 649-669 [PMID: 14986792 DOI: 10.1016/s1052-5157(03)00101-6]</w:t>
      </w:r>
    </w:p>
    <w:p w14:paraId="416F21FD" w14:textId="77777777" w:rsidR="00A77B3E" w:rsidRDefault="009277A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Fischer HP</w:t>
      </w:r>
      <w:r>
        <w:rPr>
          <w:rFonts w:ascii="Book Antiqua" w:eastAsia="Book Antiqua" w:hAnsi="Book Antiqua" w:cs="Book Antiqua"/>
          <w:color w:val="000000"/>
        </w:rPr>
        <w:t xml:space="preserve">, Zhou H. Pathogenesis of carcinoma of the papilla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11</w:t>
      </w:r>
      <w:r>
        <w:rPr>
          <w:rFonts w:ascii="Book Antiqua" w:eastAsia="Book Antiqua" w:hAnsi="Book Antiqua" w:cs="Book Antiqua"/>
          <w:color w:val="000000"/>
        </w:rPr>
        <w:t>: 301-309 [PMID: 15549428 DOI: 10.1007/s00534-004-0898-3]</w:t>
      </w:r>
    </w:p>
    <w:p w14:paraId="5F77B236" w14:textId="77777777" w:rsidR="00A77B3E" w:rsidRDefault="009277A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de Castro SM</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Heek</w:t>
      </w:r>
      <w:proofErr w:type="spellEnd"/>
      <w:r>
        <w:rPr>
          <w:rFonts w:ascii="Book Antiqua" w:eastAsia="Book Antiqua" w:hAnsi="Book Antiqua" w:cs="Book Antiqua"/>
          <w:color w:val="000000"/>
        </w:rPr>
        <w:t xml:space="preserve"> NT, Kuhlmann KF, Busch OR, </w:t>
      </w:r>
      <w:proofErr w:type="spellStart"/>
      <w:r>
        <w:rPr>
          <w:rFonts w:ascii="Book Antiqua" w:eastAsia="Book Antiqua" w:hAnsi="Book Antiqua" w:cs="Book Antiqua"/>
          <w:color w:val="000000"/>
        </w:rPr>
        <w:t>Offerhaus</w:t>
      </w:r>
      <w:proofErr w:type="spellEnd"/>
      <w:r>
        <w:rPr>
          <w:rFonts w:ascii="Book Antiqua" w:eastAsia="Book Antiqua" w:hAnsi="Book Antiqua" w:cs="Book Antiqua"/>
          <w:color w:val="000000"/>
        </w:rPr>
        <w:t xml:space="preserve"> GJ, van </w:t>
      </w:r>
      <w:proofErr w:type="spellStart"/>
      <w:r>
        <w:rPr>
          <w:rFonts w:ascii="Book Antiqua" w:eastAsia="Book Antiqua" w:hAnsi="Book Antiqua" w:cs="Book Antiqua"/>
          <w:color w:val="000000"/>
        </w:rPr>
        <w:t>Gulik</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Obertop</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Gouma</w:t>
      </w:r>
      <w:proofErr w:type="spellEnd"/>
      <w:r>
        <w:rPr>
          <w:rFonts w:ascii="Book Antiqua" w:eastAsia="Book Antiqua" w:hAnsi="Book Antiqua" w:cs="Book Antiqua"/>
          <w:color w:val="000000"/>
        </w:rPr>
        <w:t xml:space="preserve"> DJ. Surgical management of neoplasms of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local resection or pancreatoduodenectomy and prognostic factors for survival.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2004; </w:t>
      </w:r>
      <w:r>
        <w:rPr>
          <w:rFonts w:ascii="Book Antiqua" w:eastAsia="Book Antiqua" w:hAnsi="Book Antiqua" w:cs="Book Antiqua"/>
          <w:b/>
          <w:bCs/>
          <w:color w:val="000000"/>
        </w:rPr>
        <w:t>136</w:t>
      </w:r>
      <w:r>
        <w:rPr>
          <w:rFonts w:ascii="Book Antiqua" w:eastAsia="Book Antiqua" w:hAnsi="Book Antiqua" w:cs="Book Antiqua"/>
          <w:color w:val="000000"/>
        </w:rPr>
        <w:t>: 994-1002 [PMID: 15523392 DOI: 10.1016/j.surg.2004.03.010]</w:t>
      </w:r>
    </w:p>
    <w:p w14:paraId="0DFCB084" w14:textId="77777777" w:rsidR="00A77B3E" w:rsidRDefault="009277A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Cheng CL</w:t>
      </w:r>
      <w:r>
        <w:rPr>
          <w:rFonts w:ascii="Book Antiqua" w:eastAsia="Book Antiqua" w:hAnsi="Book Antiqua" w:cs="Book Antiqua"/>
          <w:color w:val="000000"/>
        </w:rPr>
        <w:t xml:space="preserve">, Sherman S, Fogel EL, McHenry L, Watkins JL, Fukushima T, Howard TJ, </w:t>
      </w:r>
      <w:proofErr w:type="spellStart"/>
      <w:r>
        <w:rPr>
          <w:rFonts w:ascii="Book Antiqua" w:eastAsia="Book Antiqua" w:hAnsi="Book Antiqua" w:cs="Book Antiqua"/>
          <w:color w:val="000000"/>
        </w:rPr>
        <w:t>Lazzell</w:t>
      </w:r>
      <w:proofErr w:type="spellEnd"/>
      <w:r>
        <w:rPr>
          <w:rFonts w:ascii="Book Antiqua" w:eastAsia="Book Antiqua" w:hAnsi="Book Antiqua" w:cs="Book Antiqua"/>
          <w:color w:val="000000"/>
        </w:rPr>
        <w:t xml:space="preserve">-Pannell L, Lehman GA. Endoscopic snare papillectomy for tumors of the duodenal papillae.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2004; </w:t>
      </w:r>
      <w:r>
        <w:rPr>
          <w:rFonts w:ascii="Book Antiqua" w:eastAsia="Book Antiqua" w:hAnsi="Book Antiqua" w:cs="Book Antiqua"/>
          <w:b/>
          <w:bCs/>
          <w:color w:val="000000"/>
        </w:rPr>
        <w:t>60</w:t>
      </w:r>
      <w:r>
        <w:rPr>
          <w:rFonts w:ascii="Book Antiqua" w:eastAsia="Book Antiqua" w:hAnsi="Book Antiqua" w:cs="Book Antiqua"/>
          <w:color w:val="000000"/>
        </w:rPr>
        <w:t>: 757-764 [PMID: 15557951 DOI: 10.1016/s0016-5107(04)02029-2]</w:t>
      </w:r>
    </w:p>
    <w:p w14:paraId="320C64D6" w14:textId="77777777" w:rsidR="00A77B3E" w:rsidRDefault="009277A0">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Sahar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Krishnamoorthi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Kozarek</w:t>
      </w:r>
      <w:proofErr w:type="spellEnd"/>
      <w:r>
        <w:rPr>
          <w:rFonts w:ascii="Book Antiqua" w:eastAsia="Book Antiqua" w:hAnsi="Book Antiqua" w:cs="Book Antiqua"/>
          <w:color w:val="000000"/>
        </w:rPr>
        <w:t xml:space="preserve"> RA, Gluck M, Larsen M, Ross AS, Irani S. Long-Term Outcomes of Endoscopic Papillectomy for Ampullary Adenomas.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65</w:t>
      </w:r>
      <w:r>
        <w:rPr>
          <w:rFonts w:ascii="Book Antiqua" w:eastAsia="Book Antiqua" w:hAnsi="Book Antiqua" w:cs="Book Antiqua"/>
          <w:color w:val="000000"/>
        </w:rPr>
        <w:t>: 260-268 [PMID: 31463668 DOI: 10.1007/s10620-019-05812-2]</w:t>
      </w:r>
    </w:p>
    <w:p w14:paraId="20853804" w14:textId="77777777" w:rsidR="00A77B3E" w:rsidRDefault="009277A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Tringali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Valerii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Boškoski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Familiari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Landi</w:t>
      </w:r>
      <w:proofErr w:type="spellEnd"/>
      <w:r>
        <w:rPr>
          <w:rFonts w:ascii="Book Antiqua" w:eastAsia="Book Antiqua" w:hAnsi="Book Antiqua" w:cs="Book Antiqua"/>
          <w:color w:val="000000"/>
        </w:rPr>
        <w:t xml:space="preserve"> R, Perri V,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Endoscopic snare papillectomy for adenoma of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Long-term results in 135 consecutive patients.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1033-1038 [PMID: 32532606 DOI: 10.1016/j.dld.2020.05.029]</w:t>
      </w:r>
    </w:p>
    <w:p w14:paraId="31C2B5DD" w14:textId="77777777" w:rsidR="00A77B3E" w:rsidRDefault="009277A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Lü</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Jiang M, Liu F, Tang H, Yang Y, Zhang W, Zhang M,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Z, Li Z. Endoscopic papillectomy of benign papillary tumors: A single-center experience.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e20414 [PMID: 32481436 DOI: 10.1097/MD.0000000000020414]</w:t>
      </w:r>
    </w:p>
    <w:p w14:paraId="15C7B2E8" w14:textId="77777777" w:rsidR="00A77B3E" w:rsidRDefault="009277A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Lee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Huelsen</w:t>
      </w:r>
      <w:proofErr w:type="spellEnd"/>
      <w:r>
        <w:rPr>
          <w:rFonts w:ascii="Book Antiqua" w:eastAsia="Book Antiqua" w:hAnsi="Book Antiqua" w:cs="Book Antiqua"/>
          <w:color w:val="000000"/>
        </w:rPr>
        <w:t xml:space="preserve"> A, Gupta S, Hourigan LF. Endoscopic </w:t>
      </w:r>
      <w:proofErr w:type="spellStart"/>
      <w:r>
        <w:rPr>
          <w:rFonts w:ascii="Book Antiqua" w:eastAsia="Book Antiqua" w:hAnsi="Book Antiqua" w:cs="Book Antiqua"/>
          <w:color w:val="000000"/>
        </w:rPr>
        <w:t>ampullectomy</w:t>
      </w:r>
      <w:proofErr w:type="spellEnd"/>
      <w:r>
        <w:rPr>
          <w:rFonts w:ascii="Book Antiqua" w:eastAsia="Book Antiqua" w:hAnsi="Book Antiqua" w:cs="Book Antiqua"/>
          <w:color w:val="000000"/>
        </w:rPr>
        <w:t xml:space="preserve"> for non-invasive ampullary lesions: a single-center 10-year retrospective cohort study.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2020; : [PMID: 32215745 DOI: 10.1007/s00464-020-07433-7]</w:t>
      </w:r>
    </w:p>
    <w:p w14:paraId="29273D08" w14:textId="77777777" w:rsidR="00A77B3E" w:rsidRDefault="009277A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 S</w:t>
      </w:r>
      <w:r>
        <w:rPr>
          <w:rFonts w:ascii="Book Antiqua" w:eastAsia="Book Antiqua" w:hAnsi="Book Antiqua" w:cs="Book Antiqua"/>
          <w:color w:val="000000"/>
        </w:rPr>
        <w:t xml:space="preserve">, Wang Z, Cai F, </w:t>
      </w:r>
      <w:proofErr w:type="spellStart"/>
      <w:r>
        <w:rPr>
          <w:rFonts w:ascii="Book Antiqua" w:eastAsia="Book Antiqua" w:hAnsi="Book Antiqua" w:cs="Book Antiqua"/>
          <w:color w:val="000000"/>
        </w:rPr>
        <w:t>Linghu</w:t>
      </w:r>
      <w:proofErr w:type="spellEnd"/>
      <w:r>
        <w:rPr>
          <w:rFonts w:ascii="Book Antiqua" w:eastAsia="Book Antiqua" w:hAnsi="Book Antiqua" w:cs="Book Antiqua"/>
          <w:color w:val="000000"/>
        </w:rPr>
        <w:t xml:space="preserve"> E, Sun G, Wang X, Meng J, Du H, Yang Y, Li W. New experience of endoscopic papillectomy for ampullary neoplasms.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612-619 [PMID: 30421083 DOI: 10.1007/s00464-018-6577-2]</w:t>
      </w:r>
    </w:p>
    <w:p w14:paraId="615D3212" w14:textId="77777777" w:rsidR="00A77B3E" w:rsidRDefault="009277A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Peng CY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 Shen SS, Wang L, Ding XW, Zou XP. The impact of endoscopic ultrasound in preoperative evaluation for ampullary adenomas.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248-255 [PMID: 30834717 DOI: 10.1111/1751-2980.12719]</w:t>
      </w:r>
    </w:p>
    <w:p w14:paraId="4F56D865" w14:textId="77777777" w:rsidR="00A77B3E" w:rsidRDefault="009277A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Okano N</w:t>
      </w:r>
      <w:r>
        <w:rPr>
          <w:rFonts w:ascii="Book Antiqua" w:eastAsia="Book Antiqua" w:hAnsi="Book Antiqua" w:cs="Book Antiqua"/>
          <w:color w:val="000000"/>
        </w:rPr>
        <w:t xml:space="preserve">, Igarashi Y, Hara S, Takuma K, </w:t>
      </w:r>
      <w:proofErr w:type="spellStart"/>
      <w:r>
        <w:rPr>
          <w:rFonts w:ascii="Book Antiqua" w:eastAsia="Book Antiqua" w:hAnsi="Book Antiqua" w:cs="Book Antiqua"/>
          <w:color w:val="000000"/>
        </w:rPr>
        <w:t>Kamata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Kishimoto</w:t>
      </w:r>
      <w:proofErr w:type="spellEnd"/>
      <w:r>
        <w:rPr>
          <w:rFonts w:ascii="Book Antiqua" w:eastAsia="Book Antiqua" w:hAnsi="Book Antiqua" w:cs="Book Antiqua"/>
          <w:color w:val="000000"/>
        </w:rPr>
        <w:t xml:space="preserve"> Y, Mimura T, Ito K, Sumino Y. Endosonographic preoperative evaluation for tumors of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using endoscopic ultrasonography and intraductal ultrasonography. </w:t>
      </w:r>
      <w:r>
        <w:rPr>
          <w:rFonts w:ascii="Book Antiqua" w:eastAsia="Book Antiqua" w:hAnsi="Book Antiqua" w:cs="Book Antiqua"/>
          <w:i/>
          <w:iCs/>
          <w:color w:val="000000"/>
        </w:rPr>
        <w:t>Clin Endosc</w:t>
      </w:r>
      <w:r>
        <w:rPr>
          <w:rFonts w:ascii="Book Antiqua" w:eastAsia="Book Antiqua" w:hAnsi="Book Antiqua" w:cs="Book Antiqua"/>
          <w:color w:val="000000"/>
        </w:rPr>
        <w:t xml:space="preserve"> 2014; </w:t>
      </w:r>
      <w:r>
        <w:rPr>
          <w:rFonts w:ascii="Book Antiqua" w:eastAsia="Book Antiqua" w:hAnsi="Book Antiqua" w:cs="Book Antiqua"/>
          <w:b/>
          <w:bCs/>
          <w:color w:val="000000"/>
        </w:rPr>
        <w:t>47</w:t>
      </w:r>
      <w:r>
        <w:rPr>
          <w:rFonts w:ascii="Book Antiqua" w:eastAsia="Book Antiqua" w:hAnsi="Book Antiqua" w:cs="Book Antiqua"/>
          <w:color w:val="000000"/>
        </w:rPr>
        <w:t>: 174-177 [PMID: 24765600 DOI: 10.5946/ce.2014.47.2.174]</w:t>
      </w:r>
    </w:p>
    <w:p w14:paraId="51B87E32" w14:textId="77777777" w:rsidR="00A77B3E" w:rsidRDefault="009277A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Yamamoto K</w:t>
      </w:r>
      <w:r>
        <w:rPr>
          <w:rFonts w:ascii="Book Antiqua" w:eastAsia="Book Antiqua" w:hAnsi="Book Antiqua" w:cs="Book Antiqua"/>
          <w:color w:val="000000"/>
        </w:rPr>
        <w:t xml:space="preserve">, Iwasaki E,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Insights and updates on endoscopic papillectomy. </w:t>
      </w:r>
      <w:r>
        <w:rPr>
          <w:rFonts w:ascii="Book Antiqua" w:eastAsia="Book Antiqua" w:hAnsi="Book Antiqua" w:cs="Book Antiqua"/>
          <w:i/>
          <w:iCs/>
          <w:color w:val="000000"/>
        </w:rPr>
        <w:t>Expert Rev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435-444 [PMID: 32380873 DOI: 10.1080/17474124.2020.1766965]</w:t>
      </w:r>
    </w:p>
    <w:p w14:paraId="2DCE2666" w14:textId="77777777" w:rsidR="00A77B3E" w:rsidRDefault="009277A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Catalano MF</w:t>
      </w:r>
      <w:r>
        <w:rPr>
          <w:rFonts w:ascii="Book Antiqua" w:eastAsia="Book Antiqua" w:hAnsi="Book Antiqua" w:cs="Book Antiqua"/>
          <w:color w:val="000000"/>
        </w:rPr>
        <w:t xml:space="preserve">, Linder JD, </w:t>
      </w:r>
      <w:proofErr w:type="spellStart"/>
      <w:r>
        <w:rPr>
          <w:rFonts w:ascii="Book Antiqua" w:eastAsia="Book Antiqua" w:hAnsi="Book Antiqua" w:cs="Book Antiqua"/>
          <w:color w:val="000000"/>
        </w:rPr>
        <w:t>Chak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Sivak</w:t>
      </w:r>
      <w:proofErr w:type="spellEnd"/>
      <w:r>
        <w:rPr>
          <w:rFonts w:ascii="Book Antiqua" w:eastAsia="Book Antiqua" w:hAnsi="Book Antiqua" w:cs="Book Antiqua"/>
          <w:color w:val="000000"/>
        </w:rPr>
        <w:t xml:space="preserve"> MV Jr, </w:t>
      </w:r>
      <w:proofErr w:type="spellStart"/>
      <w:r>
        <w:rPr>
          <w:rFonts w:ascii="Book Antiqua" w:eastAsia="Book Antiqua" w:hAnsi="Book Antiqua" w:cs="Book Antiqua"/>
          <w:color w:val="000000"/>
        </w:rPr>
        <w:t>Raijman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Geenen</w:t>
      </w:r>
      <w:proofErr w:type="spellEnd"/>
      <w:r>
        <w:rPr>
          <w:rFonts w:ascii="Book Antiqua" w:eastAsia="Book Antiqua" w:hAnsi="Book Antiqua" w:cs="Book Antiqua"/>
          <w:color w:val="000000"/>
        </w:rPr>
        <w:t xml:space="preserve"> JE, Howell DA. Endoscopic management of adenoma of the major duodenal papilla.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2004; </w:t>
      </w:r>
      <w:r>
        <w:rPr>
          <w:rFonts w:ascii="Book Antiqua" w:eastAsia="Book Antiqua" w:hAnsi="Book Antiqua" w:cs="Book Antiqua"/>
          <w:b/>
          <w:bCs/>
          <w:color w:val="000000"/>
        </w:rPr>
        <w:t>59</w:t>
      </w:r>
      <w:r>
        <w:rPr>
          <w:rFonts w:ascii="Book Antiqua" w:eastAsia="Book Antiqua" w:hAnsi="Book Antiqua" w:cs="Book Antiqua"/>
          <w:color w:val="000000"/>
        </w:rPr>
        <w:t>: 225-232 [PMID: 14745396 DOI: 10.1016/s0016-5107(03)02366-6]</w:t>
      </w:r>
    </w:p>
    <w:p w14:paraId="58A3CF8D" w14:textId="77777777" w:rsidR="00A77B3E" w:rsidRDefault="009277A0">
      <w:pPr>
        <w:spacing w:line="360" w:lineRule="auto"/>
        <w:jc w:val="both"/>
      </w:pPr>
      <w:r>
        <w:rPr>
          <w:rFonts w:ascii="Book Antiqua" w:eastAsia="Book Antiqua" w:hAnsi="Book Antiqua" w:cs="Book Antiqua"/>
          <w:color w:val="000000"/>
        </w:rPr>
        <w:lastRenderedPageBreak/>
        <w:t xml:space="preserve">18 </w:t>
      </w:r>
      <w:proofErr w:type="spellStart"/>
      <w:r>
        <w:rPr>
          <w:rFonts w:ascii="Book Antiqua" w:eastAsia="Book Antiqua" w:hAnsi="Book Antiqua" w:cs="Book Antiqua"/>
          <w:b/>
          <w:bCs/>
          <w:color w:val="000000"/>
        </w:rPr>
        <w:t>Rahmi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Tanaka S, Ohara Y, Ishida T, </w:t>
      </w:r>
      <w:proofErr w:type="spellStart"/>
      <w:r>
        <w:rPr>
          <w:rFonts w:ascii="Book Antiqua" w:eastAsia="Book Antiqua" w:hAnsi="Book Antiqua" w:cs="Book Antiqua"/>
          <w:color w:val="000000"/>
        </w:rPr>
        <w:t>Yoshizaki</w:t>
      </w:r>
      <w:proofErr w:type="spellEnd"/>
      <w:r>
        <w:rPr>
          <w:rFonts w:ascii="Book Antiqua" w:eastAsia="Book Antiqua" w:hAnsi="Book Antiqua" w:cs="Book Antiqua"/>
          <w:color w:val="000000"/>
        </w:rPr>
        <w:t xml:space="preserve"> T, Morita Y, </w:t>
      </w:r>
      <w:proofErr w:type="spellStart"/>
      <w:r>
        <w:rPr>
          <w:rFonts w:ascii="Book Antiqua" w:eastAsia="Book Antiqua" w:hAnsi="Book Antiqua" w:cs="Book Antiqua"/>
          <w:color w:val="000000"/>
        </w:rPr>
        <w:t>Toyonaga</w:t>
      </w:r>
      <w:proofErr w:type="spellEnd"/>
      <w:r>
        <w:rPr>
          <w:rFonts w:ascii="Book Antiqua" w:eastAsia="Book Antiqua" w:hAnsi="Book Antiqua" w:cs="Book Antiqua"/>
          <w:color w:val="000000"/>
        </w:rPr>
        <w:t xml:space="preserve"> T, Azuma T. Efficacy of endoscopic submucosal dissection for residual or recurrent superficial colorectal tumors after endoscopic mucosal resection.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14-21 [PMID: 25366265 DOI: 10.1111/1751-2980.12207]</w:t>
      </w:r>
    </w:p>
    <w:p w14:paraId="1F5E2C6A" w14:textId="77777777" w:rsidR="00A77B3E" w:rsidRDefault="009277A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Oka S</w:t>
      </w:r>
      <w:r>
        <w:rPr>
          <w:rFonts w:ascii="Book Antiqua" w:eastAsia="Book Antiqua" w:hAnsi="Book Antiqua" w:cs="Book Antiqua"/>
          <w:color w:val="000000"/>
        </w:rPr>
        <w:t xml:space="preserve">, Tanaka S, Kaneko I, </w:t>
      </w:r>
      <w:proofErr w:type="spellStart"/>
      <w:r>
        <w:rPr>
          <w:rFonts w:ascii="Book Antiqua" w:eastAsia="Book Antiqua" w:hAnsi="Book Antiqua" w:cs="Book Antiqua"/>
          <w:color w:val="000000"/>
        </w:rPr>
        <w:t>Mouri</w:t>
      </w:r>
      <w:proofErr w:type="spellEnd"/>
      <w:r>
        <w:rPr>
          <w:rFonts w:ascii="Book Antiqua" w:eastAsia="Book Antiqua" w:hAnsi="Book Antiqua" w:cs="Book Antiqua"/>
          <w:color w:val="000000"/>
        </w:rPr>
        <w:t xml:space="preserve"> R, Hirata M, </w:t>
      </w:r>
      <w:proofErr w:type="spellStart"/>
      <w:r>
        <w:rPr>
          <w:rFonts w:ascii="Book Antiqua" w:eastAsia="Book Antiqua" w:hAnsi="Book Antiqua" w:cs="Book Antiqua"/>
          <w:color w:val="000000"/>
        </w:rPr>
        <w:t>Kanao</w:t>
      </w:r>
      <w:proofErr w:type="spellEnd"/>
      <w:r>
        <w:rPr>
          <w:rFonts w:ascii="Book Antiqua" w:eastAsia="Book Antiqua" w:hAnsi="Book Antiqua" w:cs="Book Antiqua"/>
          <w:color w:val="000000"/>
        </w:rPr>
        <w:t xml:space="preserve"> H, Kawamura T, Yoshida S, Yoshihara M, </w:t>
      </w:r>
      <w:proofErr w:type="spellStart"/>
      <w:r>
        <w:rPr>
          <w:rFonts w:ascii="Book Antiqua" w:eastAsia="Book Antiqua" w:hAnsi="Book Antiqua" w:cs="Book Antiqua"/>
          <w:color w:val="000000"/>
        </w:rPr>
        <w:t>Chayama</w:t>
      </w:r>
      <w:proofErr w:type="spellEnd"/>
      <w:r>
        <w:rPr>
          <w:rFonts w:ascii="Book Antiqua" w:eastAsia="Book Antiqua" w:hAnsi="Book Antiqua" w:cs="Book Antiqua"/>
          <w:color w:val="000000"/>
        </w:rPr>
        <w:t xml:space="preserve"> K. Endoscopic submucosal dissection for residual/Local recurrence of early gastric cancer after endoscopic mucosal resection.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996-1000 [PMID: 17058164 DOI: 10.1055/s-2006-944780]</w:t>
      </w:r>
    </w:p>
    <w:p w14:paraId="7ADAB054" w14:textId="77777777" w:rsidR="00A77B3E" w:rsidRDefault="009277A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Yamamoto Y</w:t>
      </w:r>
      <w:r>
        <w:rPr>
          <w:rFonts w:ascii="Book Antiqua" w:eastAsia="Book Antiqua" w:hAnsi="Book Antiqua" w:cs="Book Antiqua"/>
          <w:color w:val="000000"/>
        </w:rPr>
        <w:t xml:space="preserve">, Yoshizawa N, </w:t>
      </w:r>
      <w:proofErr w:type="spellStart"/>
      <w:r>
        <w:rPr>
          <w:rFonts w:ascii="Book Antiqua" w:eastAsia="Book Antiqua" w:hAnsi="Book Antiqua" w:cs="Book Antiqua"/>
          <w:color w:val="000000"/>
        </w:rPr>
        <w:t>Tomida</w:t>
      </w:r>
      <w:proofErr w:type="spellEnd"/>
      <w:r>
        <w:rPr>
          <w:rFonts w:ascii="Book Antiqua" w:eastAsia="Book Antiqua" w:hAnsi="Book Antiqua" w:cs="Book Antiqua"/>
          <w:color w:val="000000"/>
        </w:rPr>
        <w:t xml:space="preserve"> H, Fujisaki J, Igarashi M. Therapeutic outcomes of endoscopic resection for superficial non-ampullary duodenal tumor.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2014; </w:t>
      </w:r>
      <w:r>
        <w:rPr>
          <w:rFonts w:ascii="Book Antiqua" w:eastAsia="Book Antiqua" w:hAnsi="Book Antiqua" w:cs="Book Antiqua"/>
          <w:b/>
          <w:bCs/>
          <w:color w:val="000000"/>
        </w:rPr>
        <w:t>26 Suppl 2</w:t>
      </w:r>
      <w:r>
        <w:rPr>
          <w:rFonts w:ascii="Book Antiqua" w:eastAsia="Book Antiqua" w:hAnsi="Book Antiqua" w:cs="Book Antiqua"/>
          <w:color w:val="000000"/>
        </w:rPr>
        <w:t>: 50-56 [PMID: 24750149 DOI: 10.1111/den.12273]</w:t>
      </w:r>
    </w:p>
    <w:p w14:paraId="32AB6DD8" w14:textId="77777777" w:rsidR="00A77B3E" w:rsidRDefault="009277A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Marques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Baldaque</w:t>
      </w:r>
      <w:proofErr w:type="spellEnd"/>
      <w:r>
        <w:rPr>
          <w:rFonts w:ascii="Book Antiqua" w:eastAsia="Book Antiqua" w:hAnsi="Book Antiqua" w:cs="Book Antiqua"/>
          <w:color w:val="000000"/>
        </w:rPr>
        <w:t xml:space="preserve">-Silva F, Pereira P, </w:t>
      </w:r>
      <w:proofErr w:type="spellStart"/>
      <w:r>
        <w:rPr>
          <w:rFonts w:ascii="Book Antiqua" w:eastAsia="Book Antiqua" w:hAnsi="Book Antiqua" w:cs="Book Antiqua"/>
          <w:color w:val="000000"/>
        </w:rPr>
        <w:t>Arnelo</w:t>
      </w:r>
      <w:proofErr w:type="spellEnd"/>
      <w:r>
        <w:rPr>
          <w:rFonts w:ascii="Book Antiqua" w:eastAsia="Book Antiqua" w:hAnsi="Book Antiqua" w:cs="Book Antiqua"/>
          <w:color w:val="000000"/>
        </w:rPr>
        <w:t xml:space="preserve"> U, Yahagi N, Macedo G. Endoscopic mucosal resection and endoscopic submucosal dissection in the treatment of sporadic </w:t>
      </w:r>
      <w:proofErr w:type="spellStart"/>
      <w:r>
        <w:rPr>
          <w:rFonts w:ascii="Book Antiqua" w:eastAsia="Book Antiqua" w:hAnsi="Book Antiqua" w:cs="Book Antiqua"/>
          <w:color w:val="000000"/>
        </w:rPr>
        <w:t>nonampullary</w:t>
      </w:r>
      <w:proofErr w:type="spellEnd"/>
      <w:r>
        <w:rPr>
          <w:rFonts w:ascii="Book Antiqua" w:eastAsia="Book Antiqua" w:hAnsi="Book Antiqua" w:cs="Book Antiqua"/>
          <w:color w:val="000000"/>
        </w:rPr>
        <w:t xml:space="preserve"> duodenal adenomatous polyps. </w:t>
      </w:r>
      <w:r>
        <w:rPr>
          <w:rFonts w:ascii="Book Antiqua" w:eastAsia="Book Antiqua" w:hAnsi="Book Antiqua" w:cs="Book Antiqua"/>
          <w:i/>
          <w:iCs/>
          <w:color w:val="000000"/>
        </w:rPr>
        <w:t>World J Gastrointest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720-727 [PMID: 26140099 DOI: 10.4253/wjge.v7.i7.720]</w:t>
      </w:r>
    </w:p>
    <w:p w14:paraId="75A1BD86" w14:textId="77777777" w:rsidR="00A77B3E" w:rsidRDefault="009277A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Jung JH</w:t>
      </w:r>
      <w:r>
        <w:rPr>
          <w:rFonts w:ascii="Book Antiqua" w:eastAsia="Book Antiqua" w:hAnsi="Book Antiqua" w:cs="Book Antiqua"/>
          <w:color w:val="000000"/>
        </w:rPr>
        <w:t xml:space="preserve">, Choi KD,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JY, Lee JH, Jung HY, Choi KS, Lee GH, Song HJ, Kim DH, Kim MY, Bae SE, Kim JH. Endoscopic submucosal dissection for sessile, </w:t>
      </w:r>
      <w:proofErr w:type="spellStart"/>
      <w:r>
        <w:rPr>
          <w:rFonts w:ascii="Book Antiqua" w:eastAsia="Book Antiqua" w:hAnsi="Book Antiqua" w:cs="Book Antiqua"/>
          <w:color w:val="000000"/>
        </w:rPr>
        <w:t>nonampullary</w:t>
      </w:r>
      <w:proofErr w:type="spellEnd"/>
      <w:r>
        <w:rPr>
          <w:rFonts w:ascii="Book Antiqua" w:eastAsia="Book Antiqua" w:hAnsi="Book Antiqua" w:cs="Book Antiqua"/>
          <w:color w:val="000000"/>
        </w:rPr>
        <w:t xml:space="preserve"> duodenal adenomas.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133-135 [PMID: 23364841 DOI: 10.1055/s-0032-1326178]</w:t>
      </w:r>
    </w:p>
    <w:p w14:paraId="58F0B783" w14:textId="77777777" w:rsidR="00A77B3E" w:rsidRDefault="009277A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Yamao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Isomoto</w:t>
      </w:r>
      <w:proofErr w:type="spellEnd"/>
      <w:r>
        <w:rPr>
          <w:rFonts w:ascii="Book Antiqua" w:eastAsia="Book Antiqua" w:hAnsi="Book Antiqua" w:cs="Book Antiqua"/>
          <w:color w:val="000000"/>
        </w:rPr>
        <w:t xml:space="preserve"> H, Kohno S, Mizuta Y, </w:t>
      </w:r>
      <w:proofErr w:type="spellStart"/>
      <w:r>
        <w:rPr>
          <w:rFonts w:ascii="Book Antiqua" w:eastAsia="Book Antiqua" w:hAnsi="Book Antiqua" w:cs="Book Antiqua"/>
          <w:color w:val="000000"/>
        </w:rPr>
        <w:t>Yamakawa</w:t>
      </w:r>
      <w:proofErr w:type="spellEnd"/>
      <w:r>
        <w:rPr>
          <w:rFonts w:ascii="Book Antiqua" w:eastAsia="Book Antiqua" w:hAnsi="Book Antiqua" w:cs="Book Antiqua"/>
          <w:color w:val="000000"/>
        </w:rPr>
        <w:t xml:space="preserve"> M, Nakao K,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J. Endoscopic snare papillectomy with biliary and pancreatic stent placement for tumors of the major duodenal papilla.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24</w:t>
      </w:r>
      <w:r>
        <w:rPr>
          <w:rFonts w:ascii="Book Antiqua" w:eastAsia="Book Antiqua" w:hAnsi="Book Antiqua" w:cs="Book Antiqua"/>
          <w:color w:val="000000"/>
        </w:rPr>
        <w:t>: 119-124 [PMID: 19517183 DOI: 10.1007/s00464-009-0538-8]</w:t>
      </w:r>
    </w:p>
    <w:p w14:paraId="25BD03E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F4C145A" w14:textId="77777777" w:rsidR="00A77B3E" w:rsidRDefault="009277A0">
      <w:pPr>
        <w:spacing w:line="360" w:lineRule="auto"/>
        <w:jc w:val="both"/>
      </w:pPr>
      <w:r>
        <w:rPr>
          <w:rFonts w:ascii="Book Antiqua" w:eastAsia="Book Antiqua" w:hAnsi="Book Antiqua" w:cs="Book Antiqua"/>
          <w:b/>
          <w:color w:val="000000"/>
        </w:rPr>
        <w:lastRenderedPageBreak/>
        <w:t>Footnotes</w:t>
      </w:r>
    </w:p>
    <w:p w14:paraId="04B5B390" w14:textId="152D543F" w:rsidR="00A77B3E" w:rsidRDefault="009277A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Ethics Committee of the PLA General Hospital</w:t>
      </w:r>
      <w:r w:rsidR="00BD682E">
        <w:rPr>
          <w:rFonts w:ascii="Book Antiqua" w:eastAsia="Book Antiqua" w:hAnsi="Book Antiqua" w:cs="Book Antiqua"/>
          <w:color w:val="000000"/>
        </w:rPr>
        <w:t>,</w:t>
      </w:r>
      <w:r>
        <w:rPr>
          <w:rFonts w:ascii="Book Antiqua" w:eastAsia="Book Antiqua" w:hAnsi="Book Antiqua" w:cs="Book Antiqua"/>
          <w:color w:val="000000"/>
        </w:rPr>
        <w:t> No. s2019-274-01.</w:t>
      </w:r>
    </w:p>
    <w:p w14:paraId="49B6603F" w14:textId="77777777" w:rsidR="00A77B3E" w:rsidRDefault="00A77B3E">
      <w:pPr>
        <w:spacing w:line="360" w:lineRule="auto"/>
        <w:jc w:val="both"/>
      </w:pPr>
    </w:p>
    <w:p w14:paraId="74972EEB" w14:textId="77777777" w:rsidR="00A77B3E" w:rsidRDefault="009277A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w:t>
      </w:r>
    </w:p>
    <w:p w14:paraId="66EFEBFF" w14:textId="77777777" w:rsidR="00A77B3E" w:rsidRDefault="00A77B3E">
      <w:pPr>
        <w:spacing w:line="360" w:lineRule="auto"/>
        <w:jc w:val="both"/>
      </w:pPr>
    </w:p>
    <w:p w14:paraId="1D3D94F1" w14:textId="77777777" w:rsidR="00A77B3E" w:rsidRDefault="009277A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no conflicts-of-interest related to this article.</w:t>
      </w:r>
    </w:p>
    <w:p w14:paraId="5E87AC54" w14:textId="77777777" w:rsidR="00A77B3E" w:rsidRDefault="00A77B3E">
      <w:pPr>
        <w:spacing w:line="360" w:lineRule="auto"/>
        <w:jc w:val="both"/>
      </w:pPr>
    </w:p>
    <w:p w14:paraId="15EAF6FF" w14:textId="77777777" w:rsidR="00A77B3E" w:rsidRDefault="009277A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2125E5D" w14:textId="77777777" w:rsidR="00A77B3E" w:rsidRDefault="00A77B3E">
      <w:pPr>
        <w:spacing w:line="360" w:lineRule="auto"/>
        <w:jc w:val="both"/>
      </w:pPr>
    </w:p>
    <w:p w14:paraId="45BB0BCC" w14:textId="77777777" w:rsidR="00A77B3E" w:rsidRDefault="009277A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C06E3F" w14:textId="77777777" w:rsidR="00A77B3E" w:rsidRDefault="00A77B3E">
      <w:pPr>
        <w:spacing w:line="360" w:lineRule="auto"/>
        <w:jc w:val="both"/>
      </w:pPr>
    </w:p>
    <w:p w14:paraId="78523841" w14:textId="4E0FE19E" w:rsidR="00A77B3E" w:rsidRDefault="009277A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00446">
        <w:rPr>
          <w:rFonts w:ascii="Book Antiqua" w:eastAsia="Book Antiqua" w:hAnsi="Book Antiqua" w:cs="Book Antiqua"/>
          <w:color w:val="000000"/>
        </w:rPr>
        <w:t>m</w:t>
      </w:r>
      <w:r>
        <w:rPr>
          <w:rFonts w:ascii="Book Antiqua" w:eastAsia="Book Antiqua" w:hAnsi="Book Antiqua" w:cs="Book Antiqua"/>
          <w:color w:val="000000"/>
        </w:rPr>
        <w:t>anuscript</w:t>
      </w:r>
    </w:p>
    <w:p w14:paraId="05451FDC" w14:textId="77777777" w:rsidR="00A77B3E" w:rsidRDefault="00A77B3E">
      <w:pPr>
        <w:spacing w:line="360" w:lineRule="auto"/>
        <w:jc w:val="both"/>
      </w:pPr>
    </w:p>
    <w:p w14:paraId="47E3F358" w14:textId="77777777" w:rsidR="00A77B3E" w:rsidRDefault="009277A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15, 2020</w:t>
      </w:r>
    </w:p>
    <w:p w14:paraId="0EFB4832" w14:textId="77777777" w:rsidR="00A77B3E" w:rsidRDefault="009277A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25, 2020</w:t>
      </w:r>
    </w:p>
    <w:p w14:paraId="590D55BE" w14:textId="77777777" w:rsidR="00A77B3E" w:rsidRDefault="009277A0">
      <w:pPr>
        <w:spacing w:line="360" w:lineRule="auto"/>
        <w:jc w:val="both"/>
      </w:pPr>
      <w:r>
        <w:rPr>
          <w:rFonts w:ascii="Book Antiqua" w:eastAsia="Book Antiqua" w:hAnsi="Book Antiqua" w:cs="Book Antiqua"/>
          <w:b/>
          <w:color w:val="000000"/>
        </w:rPr>
        <w:t xml:space="preserve">Article in press: </w:t>
      </w:r>
    </w:p>
    <w:p w14:paraId="6F9F40F9" w14:textId="77777777" w:rsidR="00A77B3E" w:rsidRDefault="00A77B3E">
      <w:pPr>
        <w:spacing w:line="360" w:lineRule="auto"/>
        <w:jc w:val="both"/>
      </w:pPr>
    </w:p>
    <w:p w14:paraId="4B8C8053" w14:textId="47471AD4" w:rsidR="00A77B3E" w:rsidRDefault="009277A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F00446">
        <w:rPr>
          <w:rFonts w:ascii="Book Antiqua" w:eastAsia="Book Antiqua" w:hAnsi="Book Antiqua" w:cs="Book Antiqua"/>
          <w:color w:val="000000"/>
        </w:rPr>
        <w:t>h</w:t>
      </w:r>
      <w:r>
        <w:rPr>
          <w:rFonts w:ascii="Book Antiqua" w:eastAsia="Book Antiqua" w:hAnsi="Book Antiqua" w:cs="Book Antiqua"/>
          <w:color w:val="000000"/>
        </w:rPr>
        <w:t>epatology</w:t>
      </w:r>
    </w:p>
    <w:p w14:paraId="6823D155" w14:textId="77777777" w:rsidR="00A77B3E" w:rsidRDefault="009277A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1229A46" w14:textId="77777777" w:rsidR="00A77B3E" w:rsidRDefault="009277A0">
      <w:pPr>
        <w:spacing w:line="360" w:lineRule="auto"/>
        <w:jc w:val="both"/>
      </w:pPr>
      <w:r>
        <w:rPr>
          <w:rFonts w:ascii="Book Antiqua" w:eastAsia="Book Antiqua" w:hAnsi="Book Antiqua" w:cs="Book Antiqua"/>
          <w:b/>
          <w:color w:val="000000"/>
        </w:rPr>
        <w:t>Peer-review report’s scientific quality classification</w:t>
      </w:r>
    </w:p>
    <w:p w14:paraId="67853496" w14:textId="77777777" w:rsidR="00A77B3E" w:rsidRDefault="009277A0">
      <w:pPr>
        <w:spacing w:line="360" w:lineRule="auto"/>
        <w:jc w:val="both"/>
      </w:pPr>
      <w:r>
        <w:rPr>
          <w:rFonts w:ascii="Book Antiqua" w:eastAsia="Book Antiqua" w:hAnsi="Book Antiqua" w:cs="Book Antiqua"/>
          <w:color w:val="000000"/>
        </w:rPr>
        <w:t>Grade A (Excellent): 0</w:t>
      </w:r>
    </w:p>
    <w:p w14:paraId="7C3F516E" w14:textId="77777777" w:rsidR="00A77B3E" w:rsidRDefault="009277A0">
      <w:pPr>
        <w:spacing w:line="360" w:lineRule="auto"/>
        <w:jc w:val="both"/>
      </w:pPr>
      <w:r>
        <w:rPr>
          <w:rFonts w:ascii="Book Antiqua" w:eastAsia="Book Antiqua" w:hAnsi="Book Antiqua" w:cs="Book Antiqua"/>
          <w:color w:val="000000"/>
        </w:rPr>
        <w:lastRenderedPageBreak/>
        <w:t>Grade B (Very good): B</w:t>
      </w:r>
    </w:p>
    <w:p w14:paraId="2423DB3B" w14:textId="77777777" w:rsidR="00A77B3E" w:rsidRDefault="009277A0">
      <w:pPr>
        <w:spacing w:line="360" w:lineRule="auto"/>
        <w:jc w:val="both"/>
      </w:pPr>
      <w:r>
        <w:rPr>
          <w:rFonts w:ascii="Book Antiqua" w:eastAsia="Book Antiqua" w:hAnsi="Book Antiqua" w:cs="Book Antiqua"/>
          <w:color w:val="000000"/>
        </w:rPr>
        <w:t>Grade C (Good): C, C</w:t>
      </w:r>
    </w:p>
    <w:p w14:paraId="0E9E1A10" w14:textId="77777777" w:rsidR="00A77B3E" w:rsidRDefault="009277A0">
      <w:pPr>
        <w:spacing w:line="360" w:lineRule="auto"/>
        <w:jc w:val="both"/>
      </w:pPr>
      <w:r>
        <w:rPr>
          <w:rFonts w:ascii="Book Antiqua" w:eastAsia="Book Antiqua" w:hAnsi="Book Antiqua" w:cs="Book Antiqua"/>
          <w:color w:val="000000"/>
        </w:rPr>
        <w:t>Grade D (Fair): 0</w:t>
      </w:r>
    </w:p>
    <w:p w14:paraId="625A910E" w14:textId="77777777" w:rsidR="00A77B3E" w:rsidRDefault="009277A0">
      <w:pPr>
        <w:spacing w:line="360" w:lineRule="auto"/>
        <w:jc w:val="both"/>
      </w:pPr>
      <w:r>
        <w:rPr>
          <w:rFonts w:ascii="Book Antiqua" w:eastAsia="Book Antiqua" w:hAnsi="Book Antiqua" w:cs="Book Antiqua"/>
          <w:color w:val="000000"/>
        </w:rPr>
        <w:t>Grade E (Poor): 0</w:t>
      </w:r>
    </w:p>
    <w:p w14:paraId="477BBD99" w14:textId="77777777" w:rsidR="00A77B3E" w:rsidRDefault="00A77B3E">
      <w:pPr>
        <w:spacing w:line="360" w:lineRule="auto"/>
        <w:jc w:val="both"/>
      </w:pPr>
    </w:p>
    <w:p w14:paraId="7125658E" w14:textId="68407459" w:rsidR="00A77B3E" w:rsidRDefault="009277A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Kishida Y, Weiss H</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C7688F">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4D7132EC" w14:textId="77777777" w:rsidR="00C6091A" w:rsidRDefault="00C6091A">
      <w:pPr>
        <w:spacing w:line="360" w:lineRule="auto"/>
        <w:jc w:val="both"/>
        <w:sectPr w:rsidR="00C6091A">
          <w:pgSz w:w="12240" w:h="15840"/>
          <w:pgMar w:top="1440" w:right="1440" w:bottom="1440" w:left="1440" w:header="720" w:footer="720" w:gutter="0"/>
          <w:cols w:space="720"/>
          <w:docGrid w:linePitch="360"/>
        </w:sectPr>
      </w:pPr>
    </w:p>
    <w:p w14:paraId="42B5E3A9" w14:textId="7E6C5137" w:rsidR="00A77B3E" w:rsidRDefault="009277A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C749575" w14:textId="5E68DD62" w:rsidR="00B07C23" w:rsidRDefault="001007D3">
      <w:pPr>
        <w:spacing w:line="360" w:lineRule="auto"/>
        <w:jc w:val="both"/>
      </w:pPr>
      <w:r>
        <w:rPr>
          <w:noProof/>
          <w:lang w:eastAsia="zh-CN"/>
        </w:rPr>
        <w:drawing>
          <wp:inline distT="0" distB="0" distL="0" distR="0" wp14:anchorId="7801D3F0" wp14:editId="6DDE674F">
            <wp:extent cx="5943600" cy="24390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39035"/>
                    </a:xfrm>
                    <a:prstGeom prst="rect">
                      <a:avLst/>
                    </a:prstGeom>
                  </pic:spPr>
                </pic:pic>
              </a:graphicData>
            </a:graphic>
          </wp:inline>
        </w:drawing>
      </w:r>
    </w:p>
    <w:p w14:paraId="56EB9399" w14:textId="269DDA8C" w:rsidR="00A77B3E" w:rsidRDefault="009277A0">
      <w:pPr>
        <w:spacing w:line="360" w:lineRule="auto"/>
        <w:jc w:val="both"/>
      </w:pPr>
      <w:r>
        <w:rPr>
          <w:rFonts w:ascii="Book Antiqua" w:eastAsia="Book Antiqua" w:hAnsi="Book Antiqua" w:cs="Book Antiqua"/>
          <w:b/>
          <w:bCs/>
          <w:color w:val="000000"/>
        </w:rPr>
        <w:t>Figure 1 Endoscopic and pathological characteristics of case 1.</w:t>
      </w:r>
      <w:r>
        <w:rPr>
          <w:rFonts w:ascii="Book Antiqua" w:eastAsia="Book Antiqua" w:hAnsi="Book Antiqua" w:cs="Book Antiqua"/>
          <w:color w:val="000000"/>
        </w:rPr>
        <w:t xml:space="preserve"> A</w:t>
      </w:r>
      <w:r w:rsidR="001007D3">
        <w:rPr>
          <w:rFonts w:ascii="Book Antiqua" w:eastAsia="Book Antiqua" w:hAnsi="Book Antiqua" w:cs="Book Antiqua"/>
          <w:color w:val="000000"/>
        </w:rPr>
        <w:t>-</w:t>
      </w:r>
      <w:r>
        <w:rPr>
          <w:rFonts w:ascii="Book Antiqua" w:eastAsia="Book Antiqua" w:hAnsi="Book Antiqua" w:cs="Book Antiqua"/>
          <w:color w:val="000000"/>
        </w:rPr>
        <w:t xml:space="preserve">D: Hybrid </w:t>
      </w:r>
      <w:r w:rsidR="00B07C23">
        <w:rPr>
          <w:rFonts w:ascii="Book Antiqua" w:eastAsia="Book Antiqua" w:hAnsi="Book Antiqua" w:cs="Book Antiqua"/>
          <w:color w:val="000000"/>
        </w:rPr>
        <w:t>endoscopic submucosal dissection (</w:t>
      </w:r>
      <w:r>
        <w:rPr>
          <w:rFonts w:ascii="Book Antiqua" w:eastAsia="Book Antiqua" w:hAnsi="Book Antiqua" w:cs="Book Antiqua"/>
          <w:color w:val="000000"/>
        </w:rPr>
        <w:t>ESD</w:t>
      </w:r>
      <w:r w:rsidR="00B07C23">
        <w:rPr>
          <w:rFonts w:ascii="Book Antiqua" w:eastAsia="Book Antiqua" w:hAnsi="Book Antiqua" w:cs="Book Antiqua"/>
          <w:color w:val="000000"/>
        </w:rPr>
        <w:t>)</w:t>
      </w:r>
      <w:r>
        <w:rPr>
          <w:rFonts w:ascii="Book Antiqua" w:eastAsia="Book Antiqua" w:hAnsi="Book Antiqua" w:cs="Book Antiqua"/>
          <w:color w:val="000000"/>
        </w:rPr>
        <w:t xml:space="preserve"> for recurrent, laterally spreading, duodenal papillary adenoma, including marks, submucosal injection and submucosal dissection. The lesion was resected completely using a polypectomy snare, and the artificial ulcer was visible</w:t>
      </w:r>
      <w:r w:rsidR="00B07C23">
        <w:rPr>
          <w:rFonts w:ascii="Book Antiqua" w:eastAsia="Book Antiqua" w:hAnsi="Book Antiqua" w:cs="Book Antiqua"/>
          <w:color w:val="000000"/>
        </w:rPr>
        <w:t>;</w:t>
      </w:r>
      <w:r>
        <w:rPr>
          <w:rFonts w:ascii="Book Antiqua" w:eastAsia="Book Antiqua" w:hAnsi="Book Antiqua" w:cs="Book Antiqua"/>
          <w:color w:val="000000"/>
        </w:rPr>
        <w:t xml:space="preserve"> E: </w:t>
      </w:r>
      <w:r w:rsidR="008E3EDA">
        <w:rPr>
          <w:rFonts w:ascii="Book Antiqua" w:eastAsia="Book Antiqua" w:hAnsi="Book Antiqua" w:cs="Book Antiqua"/>
          <w:color w:val="000000"/>
        </w:rPr>
        <w:t>Endoscopic retrograde cholangiopancreatography (</w:t>
      </w:r>
      <w:r>
        <w:rPr>
          <w:rFonts w:ascii="Book Antiqua" w:eastAsia="Book Antiqua" w:hAnsi="Book Antiqua" w:cs="Book Antiqua"/>
          <w:color w:val="000000"/>
        </w:rPr>
        <w:t>ERCP</w:t>
      </w:r>
      <w:r w:rsidR="008E3EDA">
        <w:rPr>
          <w:rFonts w:ascii="Book Antiqua" w:eastAsia="Book Antiqua" w:hAnsi="Book Antiqua" w:cs="Book Antiqua"/>
          <w:color w:val="000000"/>
        </w:rPr>
        <w:t>)</w:t>
      </w:r>
      <w:r>
        <w:rPr>
          <w:rFonts w:ascii="Book Antiqua" w:eastAsia="Book Antiqua" w:hAnsi="Book Antiqua" w:cs="Book Antiqua"/>
          <w:color w:val="000000"/>
        </w:rPr>
        <w:t xml:space="preserve"> showed the dilated biliary duct, common bile duct stones, and mildly dilated pancreatic duct</w:t>
      </w:r>
      <w:r w:rsidR="001007D3">
        <w:rPr>
          <w:rFonts w:ascii="Book Antiqua" w:eastAsia="Book Antiqua" w:hAnsi="Book Antiqua" w:cs="Book Antiqua"/>
          <w:color w:val="000000"/>
        </w:rPr>
        <w:t>;</w:t>
      </w:r>
      <w:r>
        <w:rPr>
          <w:rFonts w:ascii="Book Antiqua" w:eastAsia="Book Antiqua" w:hAnsi="Book Antiqua" w:cs="Book Antiqua"/>
          <w:color w:val="000000"/>
        </w:rPr>
        <w:t xml:space="preserve"> F: Biliary and pancreatic duct stents were implanted, and the endoscopic clips were used for closure of mucosal defects and prevention of complications</w:t>
      </w:r>
      <w:r w:rsidR="00B07C23">
        <w:rPr>
          <w:rFonts w:ascii="Book Antiqua" w:eastAsia="Book Antiqua" w:hAnsi="Book Antiqua" w:cs="Book Antiqua"/>
          <w:color w:val="000000"/>
        </w:rPr>
        <w:t>;</w:t>
      </w:r>
      <w:r>
        <w:rPr>
          <w:rFonts w:ascii="Book Antiqua" w:eastAsia="Book Antiqua" w:hAnsi="Book Antiqua" w:cs="Book Antiqua"/>
          <w:color w:val="000000"/>
        </w:rPr>
        <w:t xml:space="preserve"> G: </w:t>
      </w:r>
      <w:r w:rsidR="001007D3">
        <w:rPr>
          <w:rFonts w:ascii="Book Antiqua" w:eastAsia="Book Antiqua" w:hAnsi="Book Antiqua" w:cs="Book Antiqua"/>
          <w:color w:val="000000"/>
        </w:rPr>
        <w:t>H</w:t>
      </w:r>
      <w:r>
        <w:rPr>
          <w:rFonts w:ascii="Book Antiqua" w:eastAsia="Book Antiqua" w:hAnsi="Book Antiqua" w:cs="Book Antiqua"/>
          <w:color w:val="000000"/>
        </w:rPr>
        <w:t>ematoxylin and eosin stained resected specimen showing tubulovillous adenoma with a clean cutting edge, 4</w:t>
      </w:r>
      <w:r w:rsidR="00B07C23">
        <w:rPr>
          <w:rFonts w:ascii="Book Antiqua" w:eastAsia="Book Antiqua" w:hAnsi="Book Antiqua" w:cs="Book Antiqua"/>
          <w:color w:val="000000"/>
        </w:rPr>
        <w:t xml:space="preserve"> </w:t>
      </w:r>
      <w:r>
        <w:rPr>
          <w:rFonts w:ascii="Book Antiqua" w:eastAsia="Book Antiqua" w:hAnsi="Book Antiqua" w:cs="Book Antiqua"/>
          <w:color w:val="000000"/>
        </w:rPr>
        <w:t>×</w:t>
      </w:r>
      <w:r w:rsidR="00B07C23">
        <w:rPr>
          <w:rFonts w:ascii="Book Antiqua" w:eastAsia="Book Antiqua" w:hAnsi="Book Antiqua" w:cs="Book Antiqua"/>
          <w:color w:val="000000"/>
        </w:rPr>
        <w:t>;</w:t>
      </w:r>
      <w:r>
        <w:rPr>
          <w:rFonts w:ascii="Book Antiqua" w:eastAsia="Book Antiqua" w:hAnsi="Book Antiqua" w:cs="Book Antiqua"/>
          <w:color w:val="000000"/>
        </w:rPr>
        <w:t xml:space="preserve"> H: Endoscopic follow-up 3 mo after hybrid ESD</w:t>
      </w:r>
      <w:r w:rsidR="001007D3">
        <w:rPr>
          <w:rFonts w:ascii="Book Antiqua" w:eastAsia="Book Antiqua" w:hAnsi="Book Antiqua" w:cs="Book Antiqua"/>
          <w:color w:val="000000"/>
        </w:rPr>
        <w:t>,</w:t>
      </w:r>
      <w:r>
        <w:rPr>
          <w:rFonts w:ascii="Book Antiqua" w:eastAsia="Book Antiqua" w:hAnsi="Book Antiqua" w:cs="Book Antiqua"/>
          <w:color w:val="000000"/>
        </w:rPr>
        <w:t xml:space="preserve"> biliary stent and stones were extracted by ERCP</w:t>
      </w:r>
      <w:r w:rsidR="00B07C23">
        <w:rPr>
          <w:rFonts w:ascii="Book Antiqua" w:eastAsia="Book Antiqua" w:hAnsi="Book Antiqua" w:cs="Book Antiqua"/>
          <w:color w:val="000000"/>
        </w:rPr>
        <w:t>;</w:t>
      </w:r>
      <w:r>
        <w:rPr>
          <w:rFonts w:ascii="Book Antiqua" w:eastAsia="Book Antiqua" w:hAnsi="Book Antiqua" w:cs="Book Antiqua"/>
          <w:color w:val="000000"/>
        </w:rPr>
        <w:t xml:space="preserve"> I: Histological follow-up of biopsy specimen revealed chronic and acute inflammation of small intestinal mucosa, 10</w:t>
      </w:r>
      <w:r w:rsidR="00B07C23">
        <w:rPr>
          <w:rFonts w:ascii="Book Antiqua" w:eastAsia="Book Antiqua" w:hAnsi="Book Antiqua" w:cs="Book Antiqua"/>
          <w:color w:val="000000"/>
        </w:rPr>
        <w:t xml:space="preserve"> </w:t>
      </w:r>
      <w:r>
        <w:rPr>
          <w:rFonts w:ascii="Book Antiqua" w:eastAsia="Book Antiqua" w:hAnsi="Book Antiqua" w:cs="Book Antiqua"/>
          <w:color w:val="000000"/>
        </w:rPr>
        <w:t>×</w:t>
      </w:r>
      <w:r w:rsidR="00B07C23">
        <w:rPr>
          <w:rFonts w:ascii="Book Antiqua" w:eastAsia="Book Antiqua" w:hAnsi="Book Antiqua" w:cs="Book Antiqua"/>
          <w:color w:val="000000"/>
        </w:rPr>
        <w:t>;</w:t>
      </w:r>
      <w:r>
        <w:rPr>
          <w:rFonts w:ascii="Book Antiqua" w:eastAsia="Book Antiqua" w:hAnsi="Book Antiqua" w:cs="Book Antiqua"/>
          <w:color w:val="000000"/>
        </w:rPr>
        <w:t xml:space="preserve"> J: </w:t>
      </w:r>
      <w:r w:rsidR="001007D3">
        <w:rPr>
          <w:rFonts w:ascii="Book Antiqua" w:eastAsia="Book Antiqua" w:hAnsi="Book Antiqua" w:cs="Book Antiqua"/>
          <w:color w:val="000000"/>
        </w:rPr>
        <w:t>E</w:t>
      </w:r>
      <w:r>
        <w:rPr>
          <w:rFonts w:ascii="Book Antiqua" w:eastAsia="Book Antiqua" w:hAnsi="Book Antiqua" w:cs="Book Antiqua"/>
          <w:color w:val="000000"/>
        </w:rPr>
        <w:t>ndoscopic follow-up 20 mo after hybrid ESD with no recurrence.</w:t>
      </w:r>
    </w:p>
    <w:p w14:paraId="268A402E" w14:textId="46E3E115" w:rsidR="00A77B3E" w:rsidRDefault="001007D3">
      <w:pPr>
        <w:spacing w:line="360" w:lineRule="auto"/>
        <w:jc w:val="both"/>
      </w:pPr>
      <w:r>
        <w:br w:type="page"/>
      </w:r>
      <w:r>
        <w:rPr>
          <w:noProof/>
          <w:lang w:eastAsia="zh-CN"/>
        </w:rPr>
        <w:lastRenderedPageBreak/>
        <w:drawing>
          <wp:inline distT="0" distB="0" distL="0" distR="0" wp14:anchorId="2F3ECBE8" wp14:editId="777471D0">
            <wp:extent cx="5943600" cy="24555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55545"/>
                    </a:xfrm>
                    <a:prstGeom prst="rect">
                      <a:avLst/>
                    </a:prstGeom>
                  </pic:spPr>
                </pic:pic>
              </a:graphicData>
            </a:graphic>
          </wp:inline>
        </w:drawing>
      </w:r>
    </w:p>
    <w:p w14:paraId="20CCF842" w14:textId="10564C56" w:rsidR="0033372C" w:rsidRDefault="009277A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Endoscopic and pathological characteristics of case 2. </w:t>
      </w:r>
      <w:r>
        <w:rPr>
          <w:rFonts w:ascii="Book Antiqua" w:eastAsia="Book Antiqua" w:hAnsi="Book Antiqua" w:cs="Book Antiqua"/>
          <w:color w:val="000000"/>
        </w:rPr>
        <w:t>A: Red and protuberant laterally spreading lesion was seen in the mucosa around the opening of the pancreaticobiliary duct</w:t>
      </w:r>
      <w:r w:rsidR="001007D3">
        <w:rPr>
          <w:rFonts w:ascii="Book Antiqua" w:eastAsia="Book Antiqua" w:hAnsi="Book Antiqua" w:cs="Book Antiqua"/>
          <w:color w:val="000000"/>
        </w:rPr>
        <w:t>;</w:t>
      </w:r>
      <w:r>
        <w:rPr>
          <w:rFonts w:ascii="Book Antiqua" w:eastAsia="Book Antiqua" w:hAnsi="Book Antiqua" w:cs="Book Antiqua"/>
          <w:color w:val="000000"/>
        </w:rPr>
        <w:t xml:space="preserve"> B</w:t>
      </w:r>
      <w:r w:rsidR="001007D3">
        <w:rPr>
          <w:rFonts w:ascii="Book Antiqua" w:eastAsia="Book Antiqua" w:hAnsi="Book Antiqua" w:cs="Book Antiqua"/>
          <w:color w:val="000000"/>
        </w:rPr>
        <w:t>-</w:t>
      </w:r>
      <w:r>
        <w:rPr>
          <w:rFonts w:ascii="Book Antiqua" w:eastAsia="Book Antiqua" w:hAnsi="Book Antiqua" w:cs="Book Antiqua"/>
          <w:color w:val="000000"/>
        </w:rPr>
        <w:t xml:space="preserve">D: </w:t>
      </w:r>
      <w:r w:rsidR="00767CC9">
        <w:rPr>
          <w:rFonts w:ascii="Book Antiqua" w:eastAsia="Book Antiqua" w:hAnsi="Book Antiqua" w:cs="Book Antiqua"/>
          <w:color w:val="000000"/>
        </w:rPr>
        <w:t>Hybrid endoscopic submucosal dissection</w:t>
      </w:r>
      <w:r>
        <w:rPr>
          <w:rFonts w:ascii="Book Antiqua" w:eastAsia="Book Antiqua" w:hAnsi="Book Antiqua" w:cs="Book Antiqua"/>
          <w:color w:val="000000"/>
        </w:rPr>
        <w:t xml:space="preserve"> </w:t>
      </w:r>
      <w:r w:rsidR="00767CC9">
        <w:rPr>
          <w:rFonts w:ascii="Book Antiqua" w:eastAsia="Book Antiqua" w:hAnsi="Book Antiqua" w:cs="Book Antiqua"/>
          <w:color w:val="000000"/>
        </w:rPr>
        <w:t xml:space="preserve">(ESD) </w:t>
      </w:r>
      <w:r>
        <w:rPr>
          <w:rFonts w:ascii="Book Antiqua" w:eastAsia="Book Antiqua" w:hAnsi="Book Antiqua" w:cs="Book Antiqua"/>
          <w:color w:val="000000"/>
        </w:rPr>
        <w:t>such as submucosal injection and submucosal dissection are shown, and the artificial ulcer was created</w:t>
      </w:r>
      <w:r w:rsidR="001007D3">
        <w:rPr>
          <w:rFonts w:ascii="Book Antiqua" w:eastAsia="Book Antiqua" w:hAnsi="Book Antiqua" w:cs="Book Antiqua"/>
          <w:color w:val="000000"/>
        </w:rPr>
        <w:t>;</w:t>
      </w:r>
      <w:r>
        <w:rPr>
          <w:rFonts w:ascii="Book Antiqua" w:eastAsia="Book Antiqua" w:hAnsi="Book Antiqua" w:cs="Book Antiqua"/>
          <w:color w:val="000000"/>
        </w:rPr>
        <w:t xml:space="preserve"> E</w:t>
      </w:r>
      <w:r w:rsidR="001007D3">
        <w:rPr>
          <w:rFonts w:ascii="Book Antiqua" w:eastAsia="Book Antiqua" w:hAnsi="Book Antiqua" w:cs="Book Antiqua"/>
          <w:color w:val="000000"/>
        </w:rPr>
        <w:t xml:space="preserve"> and </w:t>
      </w:r>
      <w:r>
        <w:rPr>
          <w:rFonts w:ascii="Book Antiqua" w:eastAsia="Book Antiqua" w:hAnsi="Book Antiqua" w:cs="Book Antiqua"/>
          <w:color w:val="000000"/>
        </w:rPr>
        <w:t xml:space="preserve">F: </w:t>
      </w:r>
      <w:r w:rsidR="008E3EDA">
        <w:rPr>
          <w:rFonts w:ascii="Book Antiqua" w:eastAsia="Book Antiqua" w:hAnsi="Book Antiqua" w:cs="Book Antiqua"/>
          <w:color w:val="000000"/>
        </w:rPr>
        <w:t>Endoscopic retrograde cholangiopancreatography</w:t>
      </w:r>
      <w:r>
        <w:rPr>
          <w:rFonts w:ascii="Book Antiqua" w:eastAsia="Book Antiqua" w:hAnsi="Book Antiqua" w:cs="Book Antiqua"/>
          <w:color w:val="000000"/>
        </w:rPr>
        <w:t xml:space="preserve"> showed the normal bile and pancreatic ducts, biliary and pancreatic stents were implanted, and close incision was performed by endoscopic clips</w:t>
      </w:r>
      <w:r w:rsidR="001007D3">
        <w:rPr>
          <w:rFonts w:ascii="Book Antiqua" w:eastAsia="Book Antiqua" w:hAnsi="Book Antiqua" w:cs="Book Antiqua"/>
          <w:color w:val="000000"/>
        </w:rPr>
        <w:t>;</w:t>
      </w:r>
      <w:r>
        <w:rPr>
          <w:rFonts w:ascii="Book Antiqua" w:eastAsia="Book Antiqua" w:hAnsi="Book Antiqua" w:cs="Book Antiqua"/>
          <w:color w:val="000000"/>
        </w:rPr>
        <w:t xml:space="preserve"> G: </w:t>
      </w:r>
      <w:r w:rsidR="001007D3">
        <w:rPr>
          <w:rFonts w:ascii="Book Antiqua" w:eastAsia="Book Antiqua" w:hAnsi="Book Antiqua" w:cs="Book Antiqua"/>
          <w:color w:val="000000"/>
        </w:rPr>
        <w:t>H</w:t>
      </w:r>
      <w:r>
        <w:rPr>
          <w:rFonts w:ascii="Book Antiqua" w:eastAsia="Book Antiqua" w:hAnsi="Book Antiqua" w:cs="Book Antiqua"/>
          <w:color w:val="000000"/>
        </w:rPr>
        <w:t>ematoxylin and eosin</w:t>
      </w:r>
      <w:r w:rsidR="00C12F09">
        <w:rPr>
          <w:rFonts w:ascii="Book Antiqua" w:eastAsia="Book Antiqua" w:hAnsi="Book Antiqua" w:cs="Book Antiqua"/>
          <w:color w:val="000000"/>
        </w:rPr>
        <w:t>-</w:t>
      </w:r>
      <w:r>
        <w:rPr>
          <w:rFonts w:ascii="Book Antiqua" w:eastAsia="Book Antiqua" w:hAnsi="Book Antiqua" w:cs="Book Antiqua"/>
          <w:color w:val="000000"/>
        </w:rPr>
        <w:t>stained resected specimen showing tubulovillous adenoma with clean cutting edge, 4</w:t>
      </w:r>
      <w:r w:rsidR="001007D3">
        <w:rPr>
          <w:rFonts w:ascii="Book Antiqua" w:eastAsia="Book Antiqua" w:hAnsi="Book Antiqua" w:cs="Book Antiqua"/>
          <w:color w:val="000000"/>
        </w:rPr>
        <w:t xml:space="preserve"> </w:t>
      </w:r>
      <w:r>
        <w:rPr>
          <w:rFonts w:ascii="Book Antiqua" w:eastAsia="Book Antiqua" w:hAnsi="Book Antiqua" w:cs="Book Antiqua"/>
          <w:color w:val="000000"/>
        </w:rPr>
        <w:t>×</w:t>
      </w:r>
      <w:r w:rsidR="001007D3">
        <w:rPr>
          <w:rFonts w:ascii="Book Antiqua" w:eastAsia="Book Antiqua" w:hAnsi="Book Antiqua" w:cs="Book Antiqua"/>
          <w:color w:val="000000"/>
        </w:rPr>
        <w:t>;</w:t>
      </w:r>
      <w:r>
        <w:rPr>
          <w:rFonts w:ascii="Book Antiqua" w:eastAsia="Book Antiqua" w:hAnsi="Book Antiqua" w:cs="Book Antiqua"/>
          <w:color w:val="000000"/>
        </w:rPr>
        <w:t xml:space="preserve"> H: Endoscopic follow-up 3 mo after </w:t>
      </w:r>
      <w:r w:rsidR="00767CC9">
        <w:rPr>
          <w:rFonts w:ascii="Book Antiqua" w:eastAsia="Book Antiqua" w:hAnsi="Book Antiqua" w:cs="Book Antiqua"/>
          <w:color w:val="000000"/>
        </w:rPr>
        <w:t xml:space="preserve">hybrid ESD </w:t>
      </w:r>
      <w:r>
        <w:rPr>
          <w:rFonts w:ascii="Book Antiqua" w:eastAsia="Book Antiqua" w:hAnsi="Book Antiqua" w:cs="Book Antiqua"/>
          <w:color w:val="000000"/>
        </w:rPr>
        <w:t>showed that the pancreatic stent disappeared, and the biliary stent and clips were removed</w:t>
      </w:r>
      <w:r w:rsidR="001007D3">
        <w:rPr>
          <w:rFonts w:ascii="Book Antiqua" w:eastAsia="Book Antiqua" w:hAnsi="Book Antiqua" w:cs="Book Antiqua"/>
          <w:color w:val="000000"/>
        </w:rPr>
        <w:t>;</w:t>
      </w:r>
      <w:r>
        <w:rPr>
          <w:rFonts w:ascii="Book Antiqua" w:eastAsia="Book Antiqua" w:hAnsi="Book Antiqua" w:cs="Book Antiqua"/>
          <w:color w:val="000000"/>
        </w:rPr>
        <w:t xml:space="preserve"> I: Histological follow-up of biopsy specimen revealed chronic and acute inflammation of small intestinal mucosa, 20</w:t>
      </w:r>
      <w:r w:rsidR="001007D3">
        <w:rPr>
          <w:rFonts w:ascii="Book Antiqua" w:eastAsia="Book Antiqua" w:hAnsi="Book Antiqua" w:cs="Book Antiqua"/>
          <w:color w:val="000000"/>
        </w:rPr>
        <w:t xml:space="preserve"> </w:t>
      </w:r>
      <w:r>
        <w:rPr>
          <w:rFonts w:ascii="Book Antiqua" w:eastAsia="Book Antiqua" w:hAnsi="Book Antiqua" w:cs="Book Antiqua"/>
          <w:color w:val="000000"/>
        </w:rPr>
        <w:t>×</w:t>
      </w:r>
      <w:r w:rsidR="001007D3">
        <w:rPr>
          <w:rFonts w:ascii="Book Antiqua" w:eastAsia="Book Antiqua" w:hAnsi="Book Antiqua" w:cs="Book Antiqua"/>
          <w:color w:val="000000"/>
        </w:rPr>
        <w:t>;</w:t>
      </w:r>
      <w:r>
        <w:rPr>
          <w:rFonts w:ascii="Book Antiqua" w:eastAsia="Book Antiqua" w:hAnsi="Book Antiqua" w:cs="Book Antiqua"/>
          <w:color w:val="000000"/>
        </w:rPr>
        <w:t xml:space="preserve"> J: Endoscopic follow-up 38 mo after hybrid ESD with no recurrence.</w:t>
      </w:r>
    </w:p>
    <w:p w14:paraId="499E2299" w14:textId="028221FC" w:rsidR="0033372C" w:rsidRPr="0033372C" w:rsidRDefault="0033372C" w:rsidP="0033372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33372C">
        <w:rPr>
          <w:rFonts w:ascii="Book Antiqua" w:eastAsia="Book Antiqua" w:hAnsi="Book Antiqua" w:cs="Book Antiqua"/>
          <w:b/>
          <w:bCs/>
          <w:color w:val="000000"/>
        </w:rPr>
        <w:lastRenderedPageBreak/>
        <w:t>Table 1 Previous characteristics of patients with recurrent laterally spreading duodenal papillary lesions</w:t>
      </w:r>
    </w:p>
    <w:tbl>
      <w:tblPr>
        <w:tblW w:w="0" w:type="auto"/>
        <w:tblCellMar>
          <w:left w:w="0" w:type="dxa"/>
          <w:right w:w="0" w:type="dxa"/>
        </w:tblCellMar>
        <w:tblLook w:val="04A0" w:firstRow="1" w:lastRow="0" w:firstColumn="1" w:lastColumn="0" w:noHBand="0" w:noVBand="1"/>
      </w:tblPr>
      <w:tblGrid>
        <w:gridCol w:w="642"/>
        <w:gridCol w:w="1668"/>
        <w:gridCol w:w="1109"/>
        <w:gridCol w:w="1189"/>
        <w:gridCol w:w="1122"/>
        <w:gridCol w:w="1012"/>
        <w:gridCol w:w="2598"/>
      </w:tblGrid>
      <w:tr w:rsidR="0033372C" w:rsidRPr="0033372C" w14:paraId="624C19FA" w14:textId="77777777" w:rsidTr="00F8376B">
        <w:trPr>
          <w:trHeight w:val="676"/>
        </w:trPr>
        <w:tc>
          <w:tcPr>
            <w:tcW w:w="642" w:type="dxa"/>
            <w:tcBorders>
              <w:top w:val="single" w:sz="12" w:space="0" w:color="000000"/>
              <w:left w:val="single" w:sz="8" w:space="0" w:color="FFFFFF"/>
              <w:bottom w:val="single" w:sz="8" w:space="0" w:color="000000"/>
              <w:right w:val="single" w:sz="8" w:space="0" w:color="FFFFFF"/>
            </w:tcBorders>
            <w:shd w:val="clear" w:color="auto" w:fill="auto"/>
            <w:tcMar>
              <w:top w:w="15" w:type="dxa"/>
              <w:left w:w="61" w:type="dxa"/>
              <w:bottom w:w="0" w:type="dxa"/>
              <w:right w:w="61" w:type="dxa"/>
            </w:tcMar>
            <w:hideMark/>
          </w:tcPr>
          <w:p w14:paraId="65943403"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b/>
                <w:bCs/>
                <w:color w:val="000000"/>
              </w:rPr>
              <w:t>Case</w:t>
            </w:r>
          </w:p>
        </w:tc>
        <w:tc>
          <w:tcPr>
            <w:tcW w:w="1668" w:type="dxa"/>
            <w:tcBorders>
              <w:top w:val="single" w:sz="12" w:space="0" w:color="000000"/>
              <w:left w:val="single" w:sz="8" w:space="0" w:color="FFFFFF"/>
              <w:bottom w:val="single" w:sz="8" w:space="0" w:color="000000"/>
              <w:right w:val="single" w:sz="8" w:space="0" w:color="FFFFFF"/>
            </w:tcBorders>
            <w:shd w:val="clear" w:color="auto" w:fill="auto"/>
            <w:tcMar>
              <w:top w:w="15" w:type="dxa"/>
              <w:left w:w="61" w:type="dxa"/>
              <w:bottom w:w="0" w:type="dxa"/>
              <w:right w:w="61" w:type="dxa"/>
            </w:tcMar>
            <w:hideMark/>
          </w:tcPr>
          <w:p w14:paraId="019C4DC8"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b/>
                <w:bCs/>
                <w:color w:val="000000"/>
              </w:rPr>
              <w:t>Pathological characteristics of initial resected specimen</w:t>
            </w:r>
          </w:p>
        </w:tc>
        <w:tc>
          <w:tcPr>
            <w:tcW w:w="1109" w:type="dxa"/>
            <w:tcBorders>
              <w:top w:val="single" w:sz="12" w:space="0" w:color="000000"/>
              <w:left w:val="single" w:sz="8" w:space="0" w:color="FFFFFF"/>
              <w:bottom w:val="single" w:sz="8" w:space="0" w:color="000000"/>
              <w:right w:val="single" w:sz="8" w:space="0" w:color="FFFFFF"/>
            </w:tcBorders>
            <w:shd w:val="clear" w:color="auto" w:fill="auto"/>
            <w:tcMar>
              <w:top w:w="15" w:type="dxa"/>
              <w:left w:w="61" w:type="dxa"/>
              <w:bottom w:w="0" w:type="dxa"/>
              <w:right w:w="61" w:type="dxa"/>
            </w:tcMar>
            <w:hideMark/>
          </w:tcPr>
          <w:p w14:paraId="64609A57"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b/>
                <w:bCs/>
                <w:i/>
                <w:iCs/>
                <w:color w:val="000000"/>
              </w:rPr>
              <w:t xml:space="preserve">En bloc </w:t>
            </w:r>
            <w:r w:rsidRPr="0033372C">
              <w:rPr>
                <w:rFonts w:ascii="Book Antiqua" w:eastAsia="Book Antiqua" w:hAnsi="Book Antiqua" w:cs="Book Antiqua"/>
                <w:b/>
                <w:bCs/>
                <w:color w:val="000000"/>
              </w:rPr>
              <w:t>resection</w:t>
            </w:r>
          </w:p>
        </w:tc>
        <w:tc>
          <w:tcPr>
            <w:tcW w:w="1189" w:type="dxa"/>
            <w:tcBorders>
              <w:top w:val="single" w:sz="12" w:space="0" w:color="000000"/>
              <w:left w:val="single" w:sz="8" w:space="0" w:color="FFFFFF"/>
              <w:bottom w:val="single" w:sz="8" w:space="0" w:color="000000"/>
              <w:right w:val="single" w:sz="8" w:space="0" w:color="FFFFFF"/>
            </w:tcBorders>
            <w:shd w:val="clear" w:color="auto" w:fill="auto"/>
            <w:tcMar>
              <w:top w:w="15" w:type="dxa"/>
              <w:left w:w="61" w:type="dxa"/>
              <w:bottom w:w="0" w:type="dxa"/>
              <w:right w:w="61" w:type="dxa"/>
            </w:tcMar>
            <w:hideMark/>
          </w:tcPr>
          <w:p w14:paraId="690DEDA5"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b/>
                <w:bCs/>
                <w:color w:val="000000"/>
              </w:rPr>
              <w:t xml:space="preserve">Complete resection </w:t>
            </w:r>
          </w:p>
        </w:tc>
        <w:tc>
          <w:tcPr>
            <w:tcW w:w="1122" w:type="dxa"/>
            <w:tcBorders>
              <w:top w:val="single" w:sz="12" w:space="0" w:color="000000"/>
              <w:left w:val="single" w:sz="8" w:space="0" w:color="FFFFFF"/>
              <w:bottom w:val="single" w:sz="8" w:space="0" w:color="000000"/>
              <w:right w:val="single" w:sz="8" w:space="0" w:color="FFFFFF"/>
            </w:tcBorders>
            <w:shd w:val="clear" w:color="auto" w:fill="auto"/>
            <w:tcMar>
              <w:top w:w="15" w:type="dxa"/>
              <w:left w:w="61" w:type="dxa"/>
              <w:bottom w:w="0" w:type="dxa"/>
              <w:right w:w="61" w:type="dxa"/>
            </w:tcMar>
            <w:hideMark/>
          </w:tcPr>
          <w:p w14:paraId="5662C9C7" w14:textId="6C1BB20D" w:rsidR="0033372C" w:rsidRPr="0033372C" w:rsidRDefault="0033372C" w:rsidP="0033372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The f</w:t>
            </w:r>
            <w:r w:rsidRPr="0033372C">
              <w:rPr>
                <w:rFonts w:ascii="Book Antiqua" w:eastAsia="Book Antiqua" w:hAnsi="Book Antiqua" w:cs="Book Antiqua"/>
                <w:b/>
                <w:bCs/>
                <w:color w:val="000000"/>
              </w:rPr>
              <w:t>irst recurrent time (mo)</w:t>
            </w:r>
          </w:p>
        </w:tc>
        <w:tc>
          <w:tcPr>
            <w:tcW w:w="1020" w:type="dxa"/>
            <w:tcBorders>
              <w:top w:val="single" w:sz="12" w:space="0" w:color="000000"/>
              <w:left w:val="single" w:sz="8" w:space="0" w:color="FFFFFF"/>
              <w:bottom w:val="single" w:sz="8" w:space="0" w:color="000000"/>
              <w:right w:val="single" w:sz="8" w:space="0" w:color="FFFFFF"/>
            </w:tcBorders>
            <w:shd w:val="clear" w:color="auto" w:fill="auto"/>
            <w:tcMar>
              <w:top w:w="15" w:type="dxa"/>
              <w:left w:w="61" w:type="dxa"/>
              <w:bottom w:w="0" w:type="dxa"/>
              <w:right w:w="61" w:type="dxa"/>
            </w:tcMar>
            <w:hideMark/>
          </w:tcPr>
          <w:p w14:paraId="26E3B448"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b/>
                <w:bCs/>
                <w:color w:val="000000"/>
              </w:rPr>
              <w:t>Time of follow-up (mo)</w:t>
            </w:r>
          </w:p>
        </w:tc>
        <w:tc>
          <w:tcPr>
            <w:tcW w:w="2680" w:type="dxa"/>
            <w:tcBorders>
              <w:top w:val="single" w:sz="12" w:space="0" w:color="000000"/>
              <w:left w:val="single" w:sz="8" w:space="0" w:color="FFFFFF"/>
              <w:bottom w:val="single" w:sz="8" w:space="0" w:color="000000"/>
              <w:right w:val="single" w:sz="8" w:space="0" w:color="FFFFFF"/>
            </w:tcBorders>
            <w:shd w:val="clear" w:color="auto" w:fill="auto"/>
            <w:tcMar>
              <w:top w:w="15" w:type="dxa"/>
              <w:left w:w="61" w:type="dxa"/>
              <w:bottom w:w="0" w:type="dxa"/>
              <w:right w:w="61" w:type="dxa"/>
            </w:tcMar>
            <w:hideMark/>
          </w:tcPr>
          <w:p w14:paraId="0887F198"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b/>
                <w:bCs/>
                <w:color w:val="000000"/>
              </w:rPr>
              <w:t>Previous endoscopic managements</w:t>
            </w:r>
          </w:p>
        </w:tc>
      </w:tr>
      <w:tr w:rsidR="0033372C" w:rsidRPr="0033372C" w14:paraId="5D13223E" w14:textId="77777777" w:rsidTr="00F8376B">
        <w:trPr>
          <w:trHeight w:val="676"/>
        </w:trPr>
        <w:tc>
          <w:tcPr>
            <w:tcW w:w="642" w:type="dxa"/>
            <w:tcBorders>
              <w:top w:val="single" w:sz="8" w:space="0" w:color="000000"/>
              <w:left w:val="single" w:sz="8" w:space="0" w:color="FFFFFF"/>
              <w:bottom w:val="single" w:sz="8" w:space="0" w:color="FFFFFF"/>
              <w:right w:val="single" w:sz="8" w:space="0" w:color="FFFFFF"/>
            </w:tcBorders>
            <w:shd w:val="clear" w:color="auto" w:fill="auto"/>
            <w:tcMar>
              <w:top w:w="15" w:type="dxa"/>
              <w:left w:w="61" w:type="dxa"/>
              <w:bottom w:w="0" w:type="dxa"/>
              <w:right w:w="61" w:type="dxa"/>
            </w:tcMar>
            <w:hideMark/>
          </w:tcPr>
          <w:p w14:paraId="1C8D69C8"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Case 1</w:t>
            </w:r>
          </w:p>
        </w:tc>
        <w:tc>
          <w:tcPr>
            <w:tcW w:w="1668" w:type="dxa"/>
            <w:tcBorders>
              <w:top w:val="single" w:sz="8" w:space="0" w:color="000000"/>
              <w:left w:val="single" w:sz="8" w:space="0" w:color="FFFFFF"/>
              <w:bottom w:val="single" w:sz="8" w:space="0" w:color="FFFFFF"/>
              <w:right w:val="single" w:sz="8" w:space="0" w:color="FFFFFF"/>
            </w:tcBorders>
            <w:shd w:val="clear" w:color="auto" w:fill="auto"/>
            <w:tcMar>
              <w:top w:w="15" w:type="dxa"/>
              <w:left w:w="61" w:type="dxa"/>
              <w:bottom w:w="0" w:type="dxa"/>
              <w:right w:w="61" w:type="dxa"/>
            </w:tcMar>
            <w:hideMark/>
          </w:tcPr>
          <w:p w14:paraId="781FEEF3" w14:textId="3B961756"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Tubulovillous</w:t>
            </w:r>
            <w:r w:rsidR="00F8376B">
              <w:rPr>
                <w:rFonts w:ascii="Book Antiqua" w:eastAsia="Book Antiqua" w:hAnsi="Book Antiqua" w:cs="Book Antiqua"/>
                <w:color w:val="000000"/>
              </w:rPr>
              <w:t xml:space="preserve"> </w:t>
            </w:r>
            <w:r w:rsidRPr="0033372C">
              <w:rPr>
                <w:rFonts w:ascii="Book Antiqua" w:eastAsia="Book Antiqua" w:hAnsi="Book Antiqua" w:cs="Book Antiqua"/>
                <w:color w:val="000000"/>
              </w:rPr>
              <w:t>adenoma with</w:t>
            </w:r>
            <w:r w:rsidR="00F8376B">
              <w:rPr>
                <w:rFonts w:ascii="Book Antiqua" w:eastAsia="Book Antiqua" w:hAnsi="Book Antiqua" w:cs="Book Antiqua"/>
                <w:color w:val="000000"/>
              </w:rPr>
              <w:t xml:space="preserve"> </w:t>
            </w:r>
            <w:r w:rsidRPr="0033372C">
              <w:rPr>
                <w:rFonts w:ascii="Book Antiqua" w:eastAsia="Book Antiqua" w:hAnsi="Book Antiqua" w:cs="Book Antiqua"/>
                <w:color w:val="000000"/>
              </w:rPr>
              <w:t>local HIN</w:t>
            </w:r>
          </w:p>
        </w:tc>
        <w:tc>
          <w:tcPr>
            <w:tcW w:w="1109" w:type="dxa"/>
            <w:tcBorders>
              <w:top w:val="single" w:sz="8" w:space="0" w:color="000000"/>
              <w:left w:val="single" w:sz="8" w:space="0" w:color="FFFFFF"/>
              <w:bottom w:val="single" w:sz="8" w:space="0" w:color="FFFFFF"/>
              <w:right w:val="single" w:sz="8" w:space="0" w:color="FFFFFF"/>
            </w:tcBorders>
            <w:shd w:val="clear" w:color="auto" w:fill="auto"/>
            <w:tcMar>
              <w:top w:w="15" w:type="dxa"/>
              <w:left w:w="61" w:type="dxa"/>
              <w:bottom w:w="0" w:type="dxa"/>
              <w:right w:w="61" w:type="dxa"/>
            </w:tcMar>
            <w:hideMark/>
          </w:tcPr>
          <w:p w14:paraId="7C1EE38C"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Yes</w:t>
            </w:r>
          </w:p>
        </w:tc>
        <w:tc>
          <w:tcPr>
            <w:tcW w:w="1189" w:type="dxa"/>
            <w:tcBorders>
              <w:top w:val="single" w:sz="8" w:space="0" w:color="000000"/>
              <w:left w:val="single" w:sz="8" w:space="0" w:color="FFFFFF"/>
              <w:bottom w:val="single" w:sz="8" w:space="0" w:color="FFFFFF"/>
              <w:right w:val="single" w:sz="8" w:space="0" w:color="FFFFFF"/>
            </w:tcBorders>
            <w:shd w:val="clear" w:color="auto" w:fill="auto"/>
            <w:tcMar>
              <w:top w:w="15" w:type="dxa"/>
              <w:left w:w="61" w:type="dxa"/>
              <w:bottom w:w="0" w:type="dxa"/>
              <w:right w:w="61" w:type="dxa"/>
            </w:tcMar>
            <w:hideMark/>
          </w:tcPr>
          <w:p w14:paraId="480C7B0E"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 xml:space="preserve">Yes </w:t>
            </w:r>
          </w:p>
        </w:tc>
        <w:tc>
          <w:tcPr>
            <w:tcW w:w="1122" w:type="dxa"/>
            <w:tcBorders>
              <w:top w:val="single" w:sz="8" w:space="0" w:color="000000"/>
              <w:left w:val="single" w:sz="8" w:space="0" w:color="FFFFFF"/>
              <w:bottom w:val="single" w:sz="8" w:space="0" w:color="FFFFFF"/>
              <w:right w:val="single" w:sz="8" w:space="0" w:color="FFFFFF"/>
            </w:tcBorders>
            <w:shd w:val="clear" w:color="auto" w:fill="auto"/>
            <w:tcMar>
              <w:top w:w="15" w:type="dxa"/>
              <w:left w:w="61" w:type="dxa"/>
              <w:bottom w:w="0" w:type="dxa"/>
              <w:right w:w="61" w:type="dxa"/>
            </w:tcMar>
            <w:hideMark/>
          </w:tcPr>
          <w:p w14:paraId="21D9920B"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31</w:t>
            </w:r>
          </w:p>
        </w:tc>
        <w:tc>
          <w:tcPr>
            <w:tcW w:w="1020" w:type="dxa"/>
            <w:tcBorders>
              <w:top w:val="single" w:sz="8" w:space="0" w:color="000000"/>
              <w:left w:val="single" w:sz="8" w:space="0" w:color="FFFFFF"/>
              <w:bottom w:val="single" w:sz="8" w:space="0" w:color="FFFFFF"/>
              <w:right w:val="single" w:sz="8" w:space="0" w:color="FFFFFF"/>
            </w:tcBorders>
            <w:shd w:val="clear" w:color="auto" w:fill="auto"/>
            <w:tcMar>
              <w:top w:w="15" w:type="dxa"/>
              <w:left w:w="61" w:type="dxa"/>
              <w:bottom w:w="0" w:type="dxa"/>
              <w:right w:w="61" w:type="dxa"/>
            </w:tcMar>
            <w:hideMark/>
          </w:tcPr>
          <w:p w14:paraId="32C46E30"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96</w:t>
            </w:r>
          </w:p>
        </w:tc>
        <w:tc>
          <w:tcPr>
            <w:tcW w:w="2680" w:type="dxa"/>
            <w:tcBorders>
              <w:top w:val="single" w:sz="8" w:space="0" w:color="000000"/>
              <w:left w:val="single" w:sz="8" w:space="0" w:color="FFFFFF"/>
              <w:bottom w:val="single" w:sz="8" w:space="0" w:color="FFFFFF"/>
              <w:right w:val="single" w:sz="8" w:space="0" w:color="FFFFFF"/>
            </w:tcBorders>
            <w:shd w:val="clear" w:color="auto" w:fill="auto"/>
            <w:tcMar>
              <w:top w:w="15" w:type="dxa"/>
              <w:left w:w="61" w:type="dxa"/>
              <w:bottom w:w="0" w:type="dxa"/>
              <w:right w:w="61" w:type="dxa"/>
            </w:tcMar>
            <w:hideMark/>
          </w:tcPr>
          <w:p w14:paraId="34C3F823"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Endoscopic snare papillectomy, and multiple APC ablation for adenoma recurrence and three ERCP procedures for biliary stones and acute cholangitis</w:t>
            </w:r>
          </w:p>
        </w:tc>
      </w:tr>
      <w:tr w:rsidR="0033372C" w:rsidRPr="0033372C" w14:paraId="0E22AA59" w14:textId="77777777" w:rsidTr="00F8376B">
        <w:trPr>
          <w:trHeight w:val="509"/>
        </w:trPr>
        <w:tc>
          <w:tcPr>
            <w:tcW w:w="642" w:type="dxa"/>
            <w:tcBorders>
              <w:top w:val="single" w:sz="8" w:space="0" w:color="FFFFFF"/>
              <w:left w:val="single" w:sz="8" w:space="0" w:color="FFFFFF"/>
              <w:bottom w:val="single" w:sz="12" w:space="0" w:color="000000"/>
              <w:right w:val="single" w:sz="8" w:space="0" w:color="FFFFFF"/>
            </w:tcBorders>
            <w:shd w:val="clear" w:color="auto" w:fill="auto"/>
            <w:tcMar>
              <w:top w:w="15" w:type="dxa"/>
              <w:left w:w="61" w:type="dxa"/>
              <w:bottom w:w="0" w:type="dxa"/>
              <w:right w:w="61" w:type="dxa"/>
            </w:tcMar>
            <w:hideMark/>
          </w:tcPr>
          <w:p w14:paraId="421581F6"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Case 2</w:t>
            </w:r>
          </w:p>
        </w:tc>
        <w:tc>
          <w:tcPr>
            <w:tcW w:w="1668" w:type="dxa"/>
            <w:tcBorders>
              <w:top w:val="single" w:sz="8" w:space="0" w:color="FFFFFF"/>
              <w:left w:val="single" w:sz="8" w:space="0" w:color="FFFFFF"/>
              <w:bottom w:val="single" w:sz="12" w:space="0" w:color="000000"/>
              <w:right w:val="single" w:sz="8" w:space="0" w:color="FFFFFF"/>
            </w:tcBorders>
            <w:shd w:val="clear" w:color="auto" w:fill="auto"/>
            <w:tcMar>
              <w:top w:w="15" w:type="dxa"/>
              <w:left w:w="61" w:type="dxa"/>
              <w:bottom w:w="0" w:type="dxa"/>
              <w:right w:w="61" w:type="dxa"/>
            </w:tcMar>
            <w:hideMark/>
          </w:tcPr>
          <w:p w14:paraId="4E278140" w14:textId="080A060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Tubulovillous adenoma with local LIN</w:t>
            </w:r>
          </w:p>
        </w:tc>
        <w:tc>
          <w:tcPr>
            <w:tcW w:w="1109" w:type="dxa"/>
            <w:tcBorders>
              <w:top w:val="single" w:sz="8" w:space="0" w:color="FFFFFF"/>
              <w:left w:val="single" w:sz="8" w:space="0" w:color="FFFFFF"/>
              <w:bottom w:val="single" w:sz="12" w:space="0" w:color="000000"/>
              <w:right w:val="single" w:sz="8" w:space="0" w:color="FFFFFF"/>
            </w:tcBorders>
            <w:shd w:val="clear" w:color="auto" w:fill="auto"/>
            <w:tcMar>
              <w:top w:w="15" w:type="dxa"/>
              <w:left w:w="61" w:type="dxa"/>
              <w:bottom w:w="0" w:type="dxa"/>
              <w:right w:w="61" w:type="dxa"/>
            </w:tcMar>
            <w:hideMark/>
          </w:tcPr>
          <w:p w14:paraId="5C9647A5"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Yes</w:t>
            </w:r>
          </w:p>
        </w:tc>
        <w:tc>
          <w:tcPr>
            <w:tcW w:w="1189" w:type="dxa"/>
            <w:tcBorders>
              <w:top w:val="single" w:sz="8" w:space="0" w:color="FFFFFF"/>
              <w:left w:val="single" w:sz="8" w:space="0" w:color="FFFFFF"/>
              <w:bottom w:val="single" w:sz="12" w:space="0" w:color="000000"/>
              <w:right w:val="single" w:sz="8" w:space="0" w:color="FFFFFF"/>
            </w:tcBorders>
            <w:shd w:val="clear" w:color="auto" w:fill="auto"/>
            <w:tcMar>
              <w:top w:w="15" w:type="dxa"/>
              <w:left w:w="61" w:type="dxa"/>
              <w:bottom w:w="0" w:type="dxa"/>
              <w:right w:w="61" w:type="dxa"/>
            </w:tcMar>
            <w:hideMark/>
          </w:tcPr>
          <w:p w14:paraId="0C476527"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 xml:space="preserve">Yes </w:t>
            </w:r>
          </w:p>
        </w:tc>
        <w:tc>
          <w:tcPr>
            <w:tcW w:w="1122" w:type="dxa"/>
            <w:tcBorders>
              <w:top w:val="single" w:sz="8" w:space="0" w:color="FFFFFF"/>
              <w:left w:val="single" w:sz="8" w:space="0" w:color="FFFFFF"/>
              <w:bottom w:val="single" w:sz="12" w:space="0" w:color="000000"/>
              <w:right w:val="single" w:sz="8" w:space="0" w:color="FFFFFF"/>
            </w:tcBorders>
            <w:shd w:val="clear" w:color="auto" w:fill="auto"/>
            <w:tcMar>
              <w:top w:w="15" w:type="dxa"/>
              <w:left w:w="61" w:type="dxa"/>
              <w:bottom w:w="0" w:type="dxa"/>
              <w:right w:w="61" w:type="dxa"/>
            </w:tcMar>
            <w:hideMark/>
          </w:tcPr>
          <w:p w14:paraId="2A004556"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15</w:t>
            </w:r>
          </w:p>
        </w:tc>
        <w:tc>
          <w:tcPr>
            <w:tcW w:w="1020" w:type="dxa"/>
            <w:tcBorders>
              <w:top w:val="single" w:sz="8" w:space="0" w:color="FFFFFF"/>
              <w:left w:val="single" w:sz="8" w:space="0" w:color="FFFFFF"/>
              <w:bottom w:val="single" w:sz="12" w:space="0" w:color="000000"/>
              <w:right w:val="single" w:sz="8" w:space="0" w:color="FFFFFF"/>
            </w:tcBorders>
            <w:shd w:val="clear" w:color="auto" w:fill="auto"/>
            <w:tcMar>
              <w:top w:w="15" w:type="dxa"/>
              <w:left w:w="61" w:type="dxa"/>
              <w:bottom w:w="0" w:type="dxa"/>
              <w:right w:w="61" w:type="dxa"/>
            </w:tcMar>
            <w:hideMark/>
          </w:tcPr>
          <w:p w14:paraId="6770C89C"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15</w:t>
            </w:r>
          </w:p>
        </w:tc>
        <w:tc>
          <w:tcPr>
            <w:tcW w:w="2680" w:type="dxa"/>
            <w:tcBorders>
              <w:top w:val="single" w:sz="8" w:space="0" w:color="FFFFFF"/>
              <w:left w:val="single" w:sz="8" w:space="0" w:color="FFFFFF"/>
              <w:bottom w:val="single" w:sz="12" w:space="0" w:color="000000"/>
              <w:right w:val="single" w:sz="8" w:space="0" w:color="FFFFFF"/>
            </w:tcBorders>
            <w:shd w:val="clear" w:color="auto" w:fill="auto"/>
            <w:tcMar>
              <w:top w:w="15" w:type="dxa"/>
              <w:left w:w="61" w:type="dxa"/>
              <w:bottom w:w="0" w:type="dxa"/>
              <w:right w:w="61" w:type="dxa"/>
            </w:tcMar>
            <w:hideMark/>
          </w:tcPr>
          <w:p w14:paraId="6CCCF6BD" w14:textId="77777777" w:rsidR="0033372C" w:rsidRPr="0033372C" w:rsidRDefault="0033372C" w:rsidP="0033372C">
            <w:pPr>
              <w:spacing w:line="360" w:lineRule="auto"/>
              <w:jc w:val="both"/>
              <w:rPr>
                <w:rFonts w:ascii="Book Antiqua" w:eastAsia="Book Antiqua" w:hAnsi="Book Antiqua" w:cs="Book Antiqua"/>
                <w:color w:val="000000"/>
              </w:rPr>
            </w:pPr>
            <w:r w:rsidRPr="0033372C">
              <w:rPr>
                <w:rFonts w:ascii="Book Antiqua" w:eastAsia="Book Antiqua" w:hAnsi="Book Antiqua" w:cs="Book Antiqua"/>
                <w:color w:val="000000"/>
              </w:rPr>
              <w:t xml:space="preserve">Endoscopic snare papillectomy </w:t>
            </w:r>
          </w:p>
        </w:tc>
      </w:tr>
    </w:tbl>
    <w:p w14:paraId="08C08D13" w14:textId="322E0353" w:rsidR="00015269" w:rsidRDefault="00F8376B" w:rsidP="00F8376B">
      <w:pPr>
        <w:spacing w:line="360" w:lineRule="auto"/>
        <w:jc w:val="both"/>
        <w:rPr>
          <w:rFonts w:ascii="Book Antiqua" w:eastAsia="Book Antiqua" w:hAnsi="Book Antiqua" w:cs="Book Antiqua"/>
          <w:color w:val="000000"/>
        </w:rPr>
      </w:pPr>
      <w:r w:rsidRPr="00F8376B">
        <w:rPr>
          <w:rFonts w:ascii="Book Antiqua" w:eastAsia="Book Antiqua" w:hAnsi="Book Antiqua" w:cs="Book Antiqua"/>
          <w:color w:val="000000"/>
        </w:rPr>
        <w:t xml:space="preserve">HIN: </w:t>
      </w:r>
      <w:r>
        <w:rPr>
          <w:rFonts w:ascii="Book Antiqua" w:eastAsia="Book Antiqua" w:hAnsi="Book Antiqua" w:cs="Book Antiqua"/>
          <w:color w:val="000000"/>
        </w:rPr>
        <w:t>H</w:t>
      </w:r>
      <w:r w:rsidRPr="00F8376B">
        <w:rPr>
          <w:rFonts w:ascii="Book Antiqua" w:eastAsia="Book Antiqua" w:hAnsi="Book Antiqua" w:cs="Book Antiqua"/>
          <w:color w:val="000000"/>
        </w:rPr>
        <w:t xml:space="preserve">igh-grade intraepithelial neoplasia; LIN: </w:t>
      </w:r>
      <w:r>
        <w:rPr>
          <w:rFonts w:ascii="Book Antiqua" w:eastAsia="Book Antiqua" w:hAnsi="Book Antiqua" w:cs="Book Antiqua"/>
          <w:color w:val="000000"/>
        </w:rPr>
        <w:t>L</w:t>
      </w:r>
      <w:r w:rsidRPr="00F8376B">
        <w:rPr>
          <w:rFonts w:ascii="Book Antiqua" w:eastAsia="Book Antiqua" w:hAnsi="Book Antiqua" w:cs="Book Antiqua"/>
          <w:color w:val="000000"/>
        </w:rPr>
        <w:t xml:space="preserve">ow-grade intraepithelial neoplasia; APC: </w:t>
      </w:r>
      <w:r>
        <w:rPr>
          <w:rFonts w:ascii="Book Antiqua" w:eastAsia="Book Antiqua" w:hAnsi="Book Antiqua" w:cs="Book Antiqua"/>
          <w:color w:val="000000"/>
        </w:rPr>
        <w:t>A</w:t>
      </w:r>
      <w:r w:rsidRPr="00F8376B">
        <w:rPr>
          <w:rFonts w:ascii="Book Antiqua" w:eastAsia="Book Antiqua" w:hAnsi="Book Antiqua" w:cs="Book Antiqua"/>
          <w:color w:val="000000"/>
        </w:rPr>
        <w:t xml:space="preserve">rgon plasma coagulation; ERCP: </w:t>
      </w:r>
      <w:r>
        <w:rPr>
          <w:rFonts w:ascii="Book Antiqua" w:eastAsia="Book Antiqua" w:hAnsi="Book Antiqua" w:cs="Book Antiqua"/>
          <w:color w:val="000000"/>
        </w:rPr>
        <w:t>E</w:t>
      </w:r>
      <w:r w:rsidRPr="00F8376B">
        <w:rPr>
          <w:rFonts w:ascii="Book Antiqua" w:eastAsia="Book Antiqua" w:hAnsi="Book Antiqua" w:cs="Book Antiqua"/>
          <w:color w:val="000000"/>
        </w:rPr>
        <w:t>ndoscopic retrograde cholangiopancreatography</w:t>
      </w:r>
      <w:r>
        <w:rPr>
          <w:rFonts w:ascii="Book Antiqua" w:eastAsia="Book Antiqua" w:hAnsi="Book Antiqua" w:cs="Book Antiqua"/>
          <w:color w:val="000000"/>
        </w:rPr>
        <w:t>.</w:t>
      </w:r>
    </w:p>
    <w:p w14:paraId="7C7D6643" w14:textId="4AE4E38B" w:rsidR="00015269" w:rsidRPr="00015269" w:rsidRDefault="00015269" w:rsidP="0001526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015269">
        <w:rPr>
          <w:rFonts w:ascii="Book Antiqua" w:eastAsia="Book Antiqua" w:hAnsi="Book Antiqua" w:cs="Book Antiqua"/>
          <w:b/>
          <w:bCs/>
          <w:color w:val="000000"/>
        </w:rPr>
        <w:lastRenderedPageBreak/>
        <w:t>Table 2 Main characteristics of patients in this study</w:t>
      </w:r>
    </w:p>
    <w:tbl>
      <w:tblPr>
        <w:tblW w:w="0" w:type="auto"/>
        <w:tblCellMar>
          <w:left w:w="0" w:type="dxa"/>
          <w:right w:w="0" w:type="dxa"/>
        </w:tblCellMar>
        <w:tblLook w:val="0420" w:firstRow="1" w:lastRow="0" w:firstColumn="0" w:lastColumn="0" w:noHBand="0" w:noVBand="1"/>
      </w:tblPr>
      <w:tblGrid>
        <w:gridCol w:w="2955"/>
        <w:gridCol w:w="3274"/>
        <w:gridCol w:w="3131"/>
      </w:tblGrid>
      <w:tr w:rsidR="00015269" w:rsidRPr="00015269" w14:paraId="6675C22C" w14:textId="77777777" w:rsidTr="00BE618A">
        <w:trPr>
          <w:trHeight w:val="270"/>
        </w:trPr>
        <w:tc>
          <w:tcPr>
            <w:tcW w:w="3004" w:type="dxa"/>
            <w:tcBorders>
              <w:top w:val="single" w:sz="8" w:space="0" w:color="000000"/>
              <w:left w:val="nil"/>
              <w:bottom w:val="single" w:sz="8" w:space="0" w:color="000000"/>
              <w:right w:val="nil"/>
            </w:tcBorders>
            <w:shd w:val="clear" w:color="auto" w:fill="auto"/>
            <w:tcMar>
              <w:top w:w="41" w:type="dxa"/>
              <w:left w:w="81" w:type="dxa"/>
              <w:bottom w:w="41" w:type="dxa"/>
              <w:right w:w="81" w:type="dxa"/>
            </w:tcMar>
            <w:hideMark/>
          </w:tcPr>
          <w:p w14:paraId="1A74A220"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b/>
                <w:bCs/>
                <w:color w:val="000000"/>
              </w:rPr>
              <w:t>Characteristics</w:t>
            </w:r>
          </w:p>
        </w:tc>
        <w:tc>
          <w:tcPr>
            <w:tcW w:w="3342" w:type="dxa"/>
            <w:tcBorders>
              <w:top w:val="single" w:sz="8" w:space="0" w:color="000000"/>
              <w:left w:val="nil"/>
              <w:bottom w:val="single" w:sz="8" w:space="0" w:color="000000"/>
              <w:right w:val="nil"/>
            </w:tcBorders>
            <w:shd w:val="clear" w:color="auto" w:fill="auto"/>
            <w:tcMar>
              <w:top w:w="41" w:type="dxa"/>
              <w:left w:w="81" w:type="dxa"/>
              <w:bottom w:w="41" w:type="dxa"/>
              <w:right w:w="81" w:type="dxa"/>
            </w:tcMar>
            <w:hideMark/>
          </w:tcPr>
          <w:p w14:paraId="077C707B"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b/>
                <w:bCs/>
                <w:color w:val="000000"/>
              </w:rPr>
              <w:t>Case 1</w:t>
            </w:r>
          </w:p>
        </w:tc>
        <w:tc>
          <w:tcPr>
            <w:tcW w:w="3176" w:type="dxa"/>
            <w:tcBorders>
              <w:top w:val="single" w:sz="8" w:space="0" w:color="000000"/>
              <w:left w:val="nil"/>
              <w:bottom w:val="single" w:sz="8" w:space="0" w:color="000000"/>
              <w:right w:val="nil"/>
            </w:tcBorders>
            <w:shd w:val="clear" w:color="auto" w:fill="auto"/>
            <w:tcMar>
              <w:top w:w="41" w:type="dxa"/>
              <w:left w:w="81" w:type="dxa"/>
              <w:bottom w:w="41" w:type="dxa"/>
              <w:right w:w="81" w:type="dxa"/>
            </w:tcMar>
            <w:hideMark/>
          </w:tcPr>
          <w:p w14:paraId="4BF3E3C4"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b/>
                <w:bCs/>
                <w:color w:val="000000"/>
              </w:rPr>
              <w:t>Case 2</w:t>
            </w:r>
          </w:p>
        </w:tc>
      </w:tr>
      <w:tr w:rsidR="00015269" w:rsidRPr="00015269" w14:paraId="73290C1F" w14:textId="77777777" w:rsidTr="00BE618A">
        <w:trPr>
          <w:trHeight w:val="270"/>
        </w:trPr>
        <w:tc>
          <w:tcPr>
            <w:tcW w:w="3004" w:type="dxa"/>
            <w:tcBorders>
              <w:top w:val="single" w:sz="8" w:space="0" w:color="000000"/>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4EA7085F" w14:textId="1DD0D8B1"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Age (yr) /sex</w:t>
            </w:r>
          </w:p>
        </w:tc>
        <w:tc>
          <w:tcPr>
            <w:tcW w:w="3342" w:type="dxa"/>
            <w:tcBorders>
              <w:top w:val="single" w:sz="8" w:space="0" w:color="000000"/>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78F8FE0C"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54/male</w:t>
            </w:r>
          </w:p>
        </w:tc>
        <w:tc>
          <w:tcPr>
            <w:tcW w:w="3176" w:type="dxa"/>
            <w:tcBorders>
              <w:top w:val="single" w:sz="8" w:space="0" w:color="000000"/>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033714E3"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54/female</w:t>
            </w:r>
          </w:p>
        </w:tc>
      </w:tr>
      <w:tr w:rsidR="00015269" w:rsidRPr="00015269" w14:paraId="7535137A"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08C3024B"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Clinical symptoms</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C3BB98F"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Negative</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5A4A7345"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Negative</w:t>
            </w:r>
          </w:p>
        </w:tc>
      </w:tr>
      <w:tr w:rsidR="00015269" w:rsidRPr="00015269" w14:paraId="351376D4"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1039215D"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Physical and laboratory examinations</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7AC1B1F1"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Normal</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73D45D7D"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Normal</w:t>
            </w:r>
          </w:p>
        </w:tc>
      </w:tr>
      <w:tr w:rsidR="00015269" w:rsidRPr="00015269" w14:paraId="2970422F" w14:textId="77777777" w:rsidTr="00BE618A">
        <w:trPr>
          <w:trHeight w:val="459"/>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46C26494"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Recent endoscopic characteristics</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2A995922" w14:textId="059303D2"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 xml:space="preserve">Laterally spreading adenomatous lesion with a diameter of 1.5 cm on the resected scar </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57FD3F3F"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A red and protuberant laterally spreading lesion with a diameter of 1 cm on the resected scar</w:t>
            </w:r>
          </w:p>
        </w:tc>
      </w:tr>
      <w:tr w:rsidR="00015269" w:rsidRPr="00015269" w14:paraId="2D152549"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52A7C6EF"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Total procedure time (min)</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0987B211"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107</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5C6F797"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 xml:space="preserve">84 </w:t>
            </w:r>
          </w:p>
        </w:tc>
      </w:tr>
      <w:tr w:rsidR="00015269" w:rsidRPr="00015269" w14:paraId="0AE78536"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1F443BA9"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Hybrid ESD procedure time (min)</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17B18994"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57</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10F7BBAD"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30</w:t>
            </w:r>
          </w:p>
        </w:tc>
      </w:tr>
      <w:tr w:rsidR="00015269" w:rsidRPr="00015269" w14:paraId="0F1EE364"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6EEE2648"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Bleeding and wound control time (min</w:t>
            </w:r>
            <w:r w:rsidRPr="00015269">
              <w:rPr>
                <w:rFonts w:ascii="宋体" w:eastAsia="宋体" w:hAnsi="宋体" w:cs="宋体" w:hint="eastAsia"/>
                <w:color w:val="000000"/>
              </w:rPr>
              <w:t>）</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413F84CD"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24</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CD69500"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22</w:t>
            </w:r>
          </w:p>
        </w:tc>
      </w:tr>
      <w:tr w:rsidR="00015269" w:rsidRPr="00015269" w14:paraId="434446BB"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2F062442"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ERCP procedure time (min)</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19A9C2E8"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16</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20A70A56"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15</w:t>
            </w:r>
          </w:p>
        </w:tc>
      </w:tr>
      <w:tr w:rsidR="00015269" w:rsidRPr="00015269" w14:paraId="1998D8FE" w14:textId="77777777" w:rsidTr="00BE618A">
        <w:trPr>
          <w:trHeight w:val="1026"/>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2D5A4455"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 xml:space="preserve">ERCP characteristics </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B38AD1D" w14:textId="7FBF623A"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No intraductal growth of lesion, but biliary stones with dilated biliary and pancreatic ducts</w:t>
            </w:r>
            <w:r>
              <w:rPr>
                <w:rFonts w:ascii="Book Antiqua" w:eastAsia="Book Antiqua" w:hAnsi="Book Antiqua" w:cs="Book Antiqua"/>
                <w:color w:val="000000"/>
              </w:rPr>
              <w:t>; b</w:t>
            </w:r>
            <w:r w:rsidRPr="00015269">
              <w:rPr>
                <w:rFonts w:ascii="Book Antiqua" w:eastAsia="Book Antiqua" w:hAnsi="Book Antiqua" w:cs="Book Antiqua"/>
                <w:color w:val="000000"/>
              </w:rPr>
              <w:t>ile duct stent (10</w:t>
            </w:r>
            <w:r>
              <w:rPr>
                <w:rFonts w:ascii="Book Antiqua" w:eastAsia="Book Antiqua" w:hAnsi="Book Antiqua" w:cs="Book Antiqua"/>
                <w:color w:val="000000"/>
              </w:rPr>
              <w:t xml:space="preserve"> </w:t>
            </w:r>
            <w:r w:rsidRPr="00015269">
              <w:rPr>
                <w:rFonts w:ascii="Book Antiqua" w:eastAsia="Book Antiqua" w:hAnsi="Book Antiqua" w:cs="Book Antiqua"/>
                <w:color w:val="000000"/>
              </w:rPr>
              <w:t>Fr in diameter, 8</w:t>
            </w:r>
            <w:r>
              <w:rPr>
                <w:rFonts w:ascii="Book Antiqua" w:eastAsia="Book Antiqua" w:hAnsi="Book Antiqua" w:cs="Book Antiqua"/>
                <w:color w:val="000000"/>
              </w:rPr>
              <w:t xml:space="preserve"> </w:t>
            </w:r>
            <w:r w:rsidRPr="00015269">
              <w:rPr>
                <w:rFonts w:ascii="Book Antiqua" w:eastAsia="Book Antiqua" w:hAnsi="Book Antiqua" w:cs="Book Antiqua"/>
                <w:color w:val="000000"/>
              </w:rPr>
              <w:t>cm in length) and pancreatic stent (7</w:t>
            </w:r>
            <w:r>
              <w:rPr>
                <w:rFonts w:ascii="Book Antiqua" w:eastAsia="Book Antiqua" w:hAnsi="Book Antiqua" w:cs="Book Antiqua"/>
                <w:color w:val="000000"/>
              </w:rPr>
              <w:t xml:space="preserve"> </w:t>
            </w:r>
            <w:r w:rsidRPr="00015269">
              <w:rPr>
                <w:rFonts w:ascii="Book Antiqua" w:eastAsia="Book Antiqua" w:hAnsi="Book Antiqua" w:cs="Book Antiqua"/>
                <w:color w:val="000000"/>
              </w:rPr>
              <w:t>Fr in diameter, 8</w:t>
            </w:r>
            <w:r>
              <w:rPr>
                <w:rFonts w:ascii="Book Antiqua" w:eastAsia="Book Antiqua" w:hAnsi="Book Antiqua" w:cs="Book Antiqua"/>
                <w:color w:val="000000"/>
              </w:rPr>
              <w:t xml:space="preserve"> </w:t>
            </w:r>
            <w:r w:rsidRPr="00015269">
              <w:rPr>
                <w:rFonts w:ascii="Book Antiqua" w:eastAsia="Book Antiqua" w:hAnsi="Book Antiqua" w:cs="Book Antiqua"/>
                <w:color w:val="000000"/>
              </w:rPr>
              <w:t xml:space="preserve">cm in length) placement </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64F156B9" w14:textId="5BF1E9C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No intraductal growth of lesion and no dilatation of biliary and pancreatic ducts</w:t>
            </w:r>
            <w:r>
              <w:rPr>
                <w:rFonts w:ascii="Book Antiqua" w:eastAsia="Book Antiqua" w:hAnsi="Book Antiqua" w:cs="Book Antiqua"/>
                <w:color w:val="000000"/>
              </w:rPr>
              <w:t>; b</w:t>
            </w:r>
            <w:r w:rsidRPr="00015269">
              <w:rPr>
                <w:rFonts w:ascii="Book Antiqua" w:eastAsia="Book Antiqua" w:hAnsi="Book Antiqua" w:cs="Book Antiqua"/>
                <w:color w:val="000000"/>
              </w:rPr>
              <w:t>iliary stent (10</w:t>
            </w:r>
            <w:r>
              <w:rPr>
                <w:rFonts w:ascii="Book Antiqua" w:eastAsia="Book Antiqua" w:hAnsi="Book Antiqua" w:cs="Book Antiqua"/>
                <w:color w:val="000000"/>
              </w:rPr>
              <w:t xml:space="preserve"> </w:t>
            </w:r>
            <w:r w:rsidRPr="00015269">
              <w:rPr>
                <w:rFonts w:ascii="Book Antiqua" w:eastAsia="Book Antiqua" w:hAnsi="Book Antiqua" w:cs="Book Antiqua"/>
                <w:color w:val="000000"/>
              </w:rPr>
              <w:t>Fr in diameter, 3</w:t>
            </w:r>
            <w:r>
              <w:rPr>
                <w:rFonts w:ascii="Book Antiqua" w:eastAsia="Book Antiqua" w:hAnsi="Book Antiqua" w:cs="Book Antiqua"/>
                <w:color w:val="000000"/>
              </w:rPr>
              <w:t xml:space="preserve"> </w:t>
            </w:r>
            <w:r w:rsidRPr="00015269">
              <w:rPr>
                <w:rFonts w:ascii="Book Antiqua" w:eastAsia="Book Antiqua" w:hAnsi="Book Antiqua" w:cs="Book Antiqua"/>
                <w:color w:val="000000"/>
              </w:rPr>
              <w:t>cm in length) and pancreatic stent (5</w:t>
            </w:r>
            <w:r>
              <w:rPr>
                <w:rFonts w:ascii="Book Antiqua" w:eastAsia="Book Antiqua" w:hAnsi="Book Antiqua" w:cs="Book Antiqua"/>
                <w:color w:val="000000"/>
              </w:rPr>
              <w:t xml:space="preserve"> </w:t>
            </w:r>
            <w:r w:rsidRPr="00015269">
              <w:rPr>
                <w:rFonts w:ascii="Book Antiqua" w:eastAsia="Book Antiqua" w:hAnsi="Book Antiqua" w:cs="Book Antiqua"/>
                <w:color w:val="000000"/>
              </w:rPr>
              <w:t>Fr in diameter, 7</w:t>
            </w:r>
            <w:r>
              <w:rPr>
                <w:rFonts w:ascii="Book Antiqua" w:eastAsia="Book Antiqua" w:hAnsi="Book Antiqua" w:cs="Book Antiqua"/>
                <w:color w:val="000000"/>
              </w:rPr>
              <w:t xml:space="preserve"> </w:t>
            </w:r>
            <w:r w:rsidRPr="00015269">
              <w:rPr>
                <w:rFonts w:ascii="Book Antiqua" w:eastAsia="Book Antiqua" w:hAnsi="Book Antiqua" w:cs="Book Antiqua"/>
                <w:color w:val="000000"/>
              </w:rPr>
              <w:t>cm in length) placement</w:t>
            </w:r>
          </w:p>
        </w:tc>
      </w:tr>
      <w:tr w:rsidR="00015269" w:rsidRPr="00015269" w14:paraId="776FA2A8" w14:textId="77777777" w:rsidTr="00BE618A">
        <w:trPr>
          <w:trHeight w:val="837"/>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17C93D53"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lastRenderedPageBreak/>
              <w:t>IDUS characteristics</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73F7E653" w14:textId="59BB4958" w:rsidR="00015269" w:rsidRPr="00015269" w:rsidRDefault="00015269" w:rsidP="00BE618A">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 xml:space="preserve">Clear layer of the biliary and pancreatic ducts without </w:t>
            </w:r>
            <w:r w:rsidR="00C12F09" w:rsidRPr="00015269">
              <w:rPr>
                <w:rFonts w:ascii="Book Antiqua" w:eastAsia="Book Antiqua" w:hAnsi="Book Antiqua" w:cs="Book Antiqua"/>
                <w:color w:val="000000"/>
              </w:rPr>
              <w:t>intraductal</w:t>
            </w:r>
            <w:r w:rsidRPr="00015269">
              <w:rPr>
                <w:rFonts w:ascii="Book Antiqua" w:eastAsia="Book Antiqua" w:hAnsi="Book Antiqua" w:cs="Book Antiqua"/>
                <w:color w:val="000000"/>
              </w:rPr>
              <w:t xml:space="preserve"> extension</w:t>
            </w:r>
            <w:r w:rsidR="00BE618A">
              <w:rPr>
                <w:rFonts w:ascii="Book Antiqua" w:eastAsia="Book Antiqua" w:hAnsi="Book Antiqua" w:cs="Book Antiqua"/>
                <w:color w:val="000000"/>
              </w:rPr>
              <w:t>; b</w:t>
            </w:r>
            <w:r w:rsidRPr="00015269">
              <w:rPr>
                <w:rFonts w:ascii="Book Antiqua" w:eastAsia="Book Antiqua" w:hAnsi="Book Antiqua" w:cs="Book Antiqua"/>
                <w:color w:val="000000"/>
              </w:rPr>
              <w:t>ile duct stones with dilated biliary and pancreatic ducts</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65DA0145" w14:textId="00F9A777" w:rsidR="00015269" w:rsidRPr="00015269" w:rsidRDefault="00015269" w:rsidP="00BE618A">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 xml:space="preserve">Clear layer of the biliary and pancreatic ducts without </w:t>
            </w:r>
            <w:r w:rsidR="00C12F09" w:rsidRPr="00015269">
              <w:rPr>
                <w:rFonts w:ascii="Book Antiqua" w:eastAsia="Book Antiqua" w:hAnsi="Book Antiqua" w:cs="Book Antiqua"/>
                <w:color w:val="000000"/>
              </w:rPr>
              <w:t>intraductal</w:t>
            </w:r>
            <w:r w:rsidRPr="00015269">
              <w:rPr>
                <w:rFonts w:ascii="Book Antiqua" w:eastAsia="Book Antiqua" w:hAnsi="Book Antiqua" w:cs="Book Antiqua"/>
                <w:color w:val="000000"/>
              </w:rPr>
              <w:t xml:space="preserve"> extension</w:t>
            </w:r>
            <w:r w:rsidR="00BE618A">
              <w:rPr>
                <w:rFonts w:ascii="Book Antiqua" w:eastAsia="Book Antiqua" w:hAnsi="Book Antiqua" w:cs="Book Antiqua"/>
                <w:color w:val="000000"/>
              </w:rPr>
              <w:t>; n</w:t>
            </w:r>
            <w:r w:rsidRPr="00015269">
              <w:rPr>
                <w:rFonts w:ascii="Book Antiqua" w:eastAsia="Book Antiqua" w:hAnsi="Book Antiqua" w:cs="Book Antiqua"/>
                <w:color w:val="000000"/>
              </w:rPr>
              <w:t>o dilatation of biliary and pancreatic ducts</w:t>
            </w:r>
          </w:p>
        </w:tc>
      </w:tr>
      <w:tr w:rsidR="00015269" w:rsidRPr="00015269" w14:paraId="0FCEF436"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10C00B22"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No. of endoscopic clips</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277D3D2"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2</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A05E92B"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5</w:t>
            </w:r>
          </w:p>
        </w:tc>
      </w:tr>
      <w:tr w:rsidR="00015269" w:rsidRPr="00015269" w14:paraId="7030297B"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117B6A13"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Size of resected specimen (cm)</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46A1260E" w14:textId="2E39FC59"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1.4</w:t>
            </w:r>
            <w:r w:rsidR="00BE618A">
              <w:rPr>
                <w:rFonts w:ascii="Book Antiqua" w:eastAsia="Book Antiqua" w:hAnsi="Book Antiqua" w:cs="Book Antiqua"/>
                <w:color w:val="000000"/>
              </w:rPr>
              <w:t xml:space="preserve"> </w:t>
            </w:r>
            <w:r w:rsidRPr="00015269">
              <w:rPr>
                <w:rFonts w:ascii="Book Antiqua" w:eastAsia="Book Antiqua" w:hAnsi="Book Antiqua" w:cs="Book Antiqua"/>
                <w:color w:val="000000"/>
              </w:rPr>
              <w:t>×</w:t>
            </w:r>
            <w:r w:rsidR="00BE618A">
              <w:rPr>
                <w:rFonts w:ascii="Book Antiqua" w:eastAsia="Book Antiqua" w:hAnsi="Book Antiqua" w:cs="Book Antiqua"/>
                <w:color w:val="000000"/>
              </w:rPr>
              <w:t xml:space="preserve"> </w:t>
            </w:r>
            <w:r w:rsidRPr="00015269">
              <w:rPr>
                <w:rFonts w:ascii="Book Antiqua" w:eastAsia="Book Antiqua" w:hAnsi="Book Antiqua" w:cs="Book Antiqua"/>
                <w:color w:val="000000"/>
              </w:rPr>
              <w:t>1.0</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2F3DC80B" w14:textId="71DCFD19"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2.0</w:t>
            </w:r>
            <w:r w:rsidR="00BE618A">
              <w:rPr>
                <w:rFonts w:ascii="Book Antiqua" w:eastAsia="Book Antiqua" w:hAnsi="Book Antiqua" w:cs="Book Antiqua"/>
                <w:color w:val="000000"/>
              </w:rPr>
              <w:t xml:space="preserve"> </w:t>
            </w:r>
            <w:r w:rsidRPr="00015269">
              <w:rPr>
                <w:rFonts w:ascii="Book Antiqua" w:eastAsia="Book Antiqua" w:hAnsi="Book Antiqua" w:cs="Book Antiqua"/>
                <w:color w:val="000000"/>
              </w:rPr>
              <w:t>×</w:t>
            </w:r>
            <w:r w:rsidR="00BE618A">
              <w:rPr>
                <w:rFonts w:ascii="Book Antiqua" w:eastAsia="Book Antiqua" w:hAnsi="Book Antiqua" w:cs="Book Antiqua"/>
                <w:color w:val="000000"/>
              </w:rPr>
              <w:t xml:space="preserve"> </w:t>
            </w:r>
            <w:r w:rsidRPr="00015269">
              <w:rPr>
                <w:rFonts w:ascii="Book Antiqua" w:eastAsia="Book Antiqua" w:hAnsi="Book Antiqua" w:cs="Book Antiqua"/>
                <w:color w:val="000000"/>
              </w:rPr>
              <w:t>1.5</w:t>
            </w:r>
          </w:p>
        </w:tc>
      </w:tr>
      <w:tr w:rsidR="00015269" w:rsidRPr="00015269" w14:paraId="1F3E8788"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02B44B93"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Histology of resected specimen</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59C3EB7E"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Tubulovillous adenoma</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4C2E173E"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 xml:space="preserve"> Tubulovillous adenoma</w:t>
            </w:r>
          </w:p>
        </w:tc>
      </w:tr>
      <w:tr w:rsidR="00015269" w:rsidRPr="00015269" w14:paraId="6C3467D7"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CE2365C"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i/>
                <w:iCs/>
                <w:color w:val="000000"/>
              </w:rPr>
              <w:t xml:space="preserve">En blot </w:t>
            </w:r>
            <w:r w:rsidRPr="00015269">
              <w:rPr>
                <w:rFonts w:ascii="Book Antiqua" w:eastAsia="Book Antiqua" w:hAnsi="Book Antiqua" w:cs="Book Antiqua"/>
                <w:color w:val="000000"/>
              </w:rPr>
              <w:t xml:space="preserve">resection </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4D4C4BFA"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Yes</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030B8686"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Yes</w:t>
            </w:r>
          </w:p>
        </w:tc>
      </w:tr>
      <w:tr w:rsidR="00015269" w:rsidRPr="00015269" w14:paraId="78232A4E"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180A6E8"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R0 resection</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2F8FF02B"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Yes</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FFD6BF3"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Yes</w:t>
            </w:r>
          </w:p>
        </w:tc>
      </w:tr>
      <w:tr w:rsidR="00015269" w:rsidRPr="00015269" w14:paraId="73C58343" w14:textId="77777777" w:rsidTr="00BE618A">
        <w:trPr>
          <w:trHeight w:val="270"/>
        </w:trPr>
        <w:tc>
          <w:tcPr>
            <w:tcW w:w="3004"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781AFB27"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 xml:space="preserve">Complications </w:t>
            </w:r>
          </w:p>
        </w:tc>
        <w:tc>
          <w:tcPr>
            <w:tcW w:w="3342"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E21FB15"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None</w:t>
            </w:r>
          </w:p>
        </w:tc>
        <w:tc>
          <w:tcPr>
            <w:tcW w:w="3176" w:type="dxa"/>
            <w:tcBorders>
              <w:top w:val="single" w:sz="8" w:space="0" w:color="FFFFFF"/>
              <w:left w:val="single" w:sz="8" w:space="0" w:color="FFFFFF"/>
              <w:bottom w:val="single" w:sz="8" w:space="0" w:color="FFFFFF"/>
              <w:right w:val="single" w:sz="8" w:space="0" w:color="FFFFFF"/>
            </w:tcBorders>
            <w:shd w:val="clear" w:color="auto" w:fill="auto"/>
            <w:tcMar>
              <w:top w:w="41" w:type="dxa"/>
              <w:left w:w="81" w:type="dxa"/>
              <w:bottom w:w="41" w:type="dxa"/>
              <w:right w:w="81" w:type="dxa"/>
            </w:tcMar>
            <w:hideMark/>
          </w:tcPr>
          <w:p w14:paraId="38AA2E78"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Postoperative transient hyperamylasemia</w:t>
            </w:r>
          </w:p>
        </w:tc>
      </w:tr>
      <w:tr w:rsidR="00015269" w:rsidRPr="00015269" w14:paraId="48E263DC" w14:textId="77777777" w:rsidTr="00BE618A">
        <w:trPr>
          <w:trHeight w:val="329"/>
        </w:trPr>
        <w:tc>
          <w:tcPr>
            <w:tcW w:w="3004" w:type="dxa"/>
            <w:tcBorders>
              <w:top w:val="single" w:sz="8" w:space="0" w:color="FFFFFF"/>
              <w:left w:val="single" w:sz="8" w:space="0" w:color="FFFFFF"/>
              <w:bottom w:val="single" w:sz="8" w:space="0" w:color="000000"/>
              <w:right w:val="single" w:sz="8" w:space="0" w:color="FFFFFF"/>
            </w:tcBorders>
            <w:shd w:val="clear" w:color="auto" w:fill="auto"/>
            <w:tcMar>
              <w:top w:w="41" w:type="dxa"/>
              <w:left w:w="81" w:type="dxa"/>
              <w:bottom w:w="41" w:type="dxa"/>
              <w:right w:w="81" w:type="dxa"/>
            </w:tcMar>
            <w:hideMark/>
          </w:tcPr>
          <w:p w14:paraId="7B49A117" w14:textId="4A6FB729"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Postoperative hospital stay (d)</w:t>
            </w:r>
          </w:p>
        </w:tc>
        <w:tc>
          <w:tcPr>
            <w:tcW w:w="3342" w:type="dxa"/>
            <w:tcBorders>
              <w:top w:val="single" w:sz="8" w:space="0" w:color="FFFFFF"/>
              <w:left w:val="single" w:sz="8" w:space="0" w:color="FFFFFF"/>
              <w:bottom w:val="single" w:sz="8" w:space="0" w:color="000000"/>
              <w:right w:val="single" w:sz="8" w:space="0" w:color="FFFFFF"/>
            </w:tcBorders>
            <w:shd w:val="clear" w:color="auto" w:fill="auto"/>
            <w:tcMar>
              <w:top w:w="41" w:type="dxa"/>
              <w:left w:w="81" w:type="dxa"/>
              <w:bottom w:w="41" w:type="dxa"/>
              <w:right w:w="81" w:type="dxa"/>
            </w:tcMar>
            <w:hideMark/>
          </w:tcPr>
          <w:p w14:paraId="52B5E405"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4</w:t>
            </w:r>
          </w:p>
        </w:tc>
        <w:tc>
          <w:tcPr>
            <w:tcW w:w="3176" w:type="dxa"/>
            <w:tcBorders>
              <w:top w:val="single" w:sz="8" w:space="0" w:color="FFFFFF"/>
              <w:left w:val="single" w:sz="8" w:space="0" w:color="FFFFFF"/>
              <w:bottom w:val="single" w:sz="8" w:space="0" w:color="000000"/>
              <w:right w:val="single" w:sz="8" w:space="0" w:color="FFFFFF"/>
            </w:tcBorders>
            <w:shd w:val="clear" w:color="auto" w:fill="auto"/>
            <w:tcMar>
              <w:top w:w="41" w:type="dxa"/>
              <w:left w:w="81" w:type="dxa"/>
              <w:bottom w:w="41" w:type="dxa"/>
              <w:right w:w="81" w:type="dxa"/>
            </w:tcMar>
            <w:hideMark/>
          </w:tcPr>
          <w:p w14:paraId="26F9669D" w14:textId="77777777" w:rsidR="00015269" w:rsidRPr="00015269" w:rsidRDefault="00015269" w:rsidP="00015269">
            <w:pPr>
              <w:spacing w:line="360" w:lineRule="auto"/>
              <w:jc w:val="both"/>
              <w:rPr>
                <w:rFonts w:ascii="Book Antiqua" w:eastAsia="Book Antiqua" w:hAnsi="Book Antiqua" w:cs="Book Antiqua"/>
                <w:color w:val="000000"/>
              </w:rPr>
            </w:pPr>
            <w:r w:rsidRPr="00015269">
              <w:rPr>
                <w:rFonts w:ascii="Book Antiqua" w:eastAsia="Book Antiqua" w:hAnsi="Book Antiqua" w:cs="Book Antiqua"/>
                <w:color w:val="000000"/>
              </w:rPr>
              <w:t>4</w:t>
            </w:r>
          </w:p>
        </w:tc>
      </w:tr>
    </w:tbl>
    <w:p w14:paraId="7882A04B" w14:textId="0521EF33" w:rsidR="0033372C" w:rsidRDefault="00BE618A">
      <w:pPr>
        <w:spacing w:line="360" w:lineRule="auto"/>
        <w:jc w:val="both"/>
      </w:pPr>
      <w:r w:rsidRPr="00BE618A">
        <w:rPr>
          <w:rFonts w:ascii="Book Antiqua" w:eastAsia="Book Antiqua" w:hAnsi="Book Antiqua" w:cs="Book Antiqua"/>
          <w:color w:val="000000"/>
        </w:rPr>
        <w:t xml:space="preserve">ERCP: </w:t>
      </w:r>
      <w:r>
        <w:rPr>
          <w:rFonts w:ascii="Book Antiqua" w:eastAsia="Book Antiqua" w:hAnsi="Book Antiqua" w:cs="Book Antiqua"/>
          <w:color w:val="000000"/>
        </w:rPr>
        <w:t>E</w:t>
      </w:r>
      <w:r w:rsidRPr="00BE618A">
        <w:rPr>
          <w:rFonts w:ascii="Book Antiqua" w:eastAsia="Book Antiqua" w:hAnsi="Book Antiqua" w:cs="Book Antiqua"/>
          <w:color w:val="000000"/>
        </w:rPr>
        <w:t xml:space="preserve">ndoscopic retrograde cholangiopancreatography; ESD: </w:t>
      </w:r>
      <w:r>
        <w:rPr>
          <w:rFonts w:ascii="Book Antiqua" w:eastAsia="Book Antiqua" w:hAnsi="Book Antiqua" w:cs="Book Antiqua"/>
          <w:color w:val="000000"/>
        </w:rPr>
        <w:t>E</w:t>
      </w:r>
      <w:r w:rsidRPr="00BE618A">
        <w:rPr>
          <w:rFonts w:ascii="Book Antiqua" w:eastAsia="Book Antiqua" w:hAnsi="Book Antiqua" w:cs="Book Antiqua"/>
          <w:color w:val="000000"/>
        </w:rPr>
        <w:t xml:space="preserve">ndoscopic submucosal dissection; IDUS: </w:t>
      </w:r>
      <w:r>
        <w:rPr>
          <w:rFonts w:ascii="Book Antiqua" w:eastAsia="Book Antiqua" w:hAnsi="Book Antiqua" w:cs="Book Antiqua"/>
          <w:color w:val="000000"/>
        </w:rPr>
        <w:t>I</w:t>
      </w:r>
      <w:r w:rsidRPr="00BE618A">
        <w:rPr>
          <w:rFonts w:ascii="Book Antiqua" w:eastAsia="Book Antiqua" w:hAnsi="Book Antiqua" w:cs="Book Antiqua"/>
          <w:color w:val="000000"/>
        </w:rPr>
        <w:t>ntraductal ultrasound</w:t>
      </w:r>
      <w:r>
        <w:rPr>
          <w:rFonts w:ascii="Book Antiqua" w:eastAsia="Book Antiqua" w:hAnsi="Book Antiqua" w:cs="Book Antiqua"/>
          <w:color w:val="000000"/>
        </w:rPr>
        <w:t>.</w:t>
      </w:r>
    </w:p>
    <w:sectPr w:rsidR="003337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BA0172" w14:textId="77777777" w:rsidR="00F35EC0" w:rsidRDefault="00F35EC0" w:rsidP="009E2363">
      <w:r>
        <w:separator/>
      </w:r>
    </w:p>
  </w:endnote>
  <w:endnote w:type="continuationSeparator" w:id="0">
    <w:p w14:paraId="33C27C19" w14:textId="77777777" w:rsidR="00F35EC0" w:rsidRDefault="00F35EC0" w:rsidP="009E2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5243785"/>
      <w:docPartObj>
        <w:docPartGallery w:val="Page Numbers (Bottom of Page)"/>
        <w:docPartUnique/>
      </w:docPartObj>
    </w:sdtPr>
    <w:sdtEndPr>
      <w:rPr>
        <w:rFonts w:ascii="Book Antiqua" w:hAnsi="Book Antiqua"/>
        <w:sz w:val="20"/>
        <w:szCs w:val="20"/>
      </w:rPr>
    </w:sdtEndPr>
    <w:sdtContent>
      <w:sdt>
        <w:sdtPr>
          <w:id w:val="-1705238520"/>
          <w:docPartObj>
            <w:docPartGallery w:val="Page Numbers (Top of Page)"/>
            <w:docPartUnique/>
          </w:docPartObj>
        </w:sdtPr>
        <w:sdtEndPr>
          <w:rPr>
            <w:rFonts w:ascii="Book Antiqua" w:hAnsi="Book Antiqua"/>
            <w:sz w:val="20"/>
            <w:szCs w:val="20"/>
          </w:rPr>
        </w:sdtEndPr>
        <w:sdtContent>
          <w:p w14:paraId="7447C526" w14:textId="7A25A005" w:rsidR="00FC2323" w:rsidRPr="000D1C11" w:rsidRDefault="00FC2323" w:rsidP="00FC2323">
            <w:pPr>
              <w:pStyle w:val="a5"/>
              <w:jc w:val="right"/>
              <w:rPr>
                <w:rFonts w:ascii="Book Antiqua" w:hAnsi="Book Antiqua"/>
                <w:sz w:val="20"/>
                <w:szCs w:val="20"/>
              </w:rPr>
            </w:pPr>
            <w:r w:rsidRPr="00FC2323">
              <w:rPr>
                <w:rFonts w:ascii="Book Antiqua" w:hAnsi="Book Antiqua"/>
                <w:sz w:val="24"/>
                <w:szCs w:val="24"/>
                <w:lang w:val="zh-CN" w:eastAsia="zh-CN"/>
              </w:rPr>
              <w:t xml:space="preserve"> </w:t>
            </w:r>
            <w:r w:rsidRPr="000D1C11">
              <w:rPr>
                <w:rFonts w:ascii="Book Antiqua" w:hAnsi="Book Antiqua"/>
                <w:sz w:val="20"/>
                <w:szCs w:val="20"/>
              </w:rPr>
              <w:fldChar w:fldCharType="begin"/>
            </w:r>
            <w:r w:rsidRPr="000D1C11">
              <w:rPr>
                <w:rFonts w:ascii="Book Antiqua" w:hAnsi="Book Antiqua"/>
                <w:sz w:val="20"/>
                <w:szCs w:val="20"/>
              </w:rPr>
              <w:instrText>PAGE</w:instrText>
            </w:r>
            <w:r w:rsidRPr="000D1C11">
              <w:rPr>
                <w:rFonts w:ascii="Book Antiqua" w:hAnsi="Book Antiqua"/>
                <w:sz w:val="20"/>
                <w:szCs w:val="20"/>
              </w:rPr>
              <w:fldChar w:fldCharType="separate"/>
            </w:r>
            <w:r w:rsidR="00C6091A" w:rsidRPr="000D1C11">
              <w:rPr>
                <w:rFonts w:ascii="Book Antiqua" w:hAnsi="Book Antiqua"/>
                <w:noProof/>
                <w:sz w:val="20"/>
                <w:szCs w:val="20"/>
              </w:rPr>
              <w:t>22</w:t>
            </w:r>
            <w:r w:rsidRPr="000D1C11">
              <w:rPr>
                <w:rFonts w:ascii="Book Antiqua" w:hAnsi="Book Antiqua"/>
                <w:sz w:val="20"/>
                <w:szCs w:val="20"/>
              </w:rPr>
              <w:fldChar w:fldCharType="end"/>
            </w:r>
            <w:r w:rsidRPr="000D1C11">
              <w:rPr>
                <w:rFonts w:ascii="Book Antiqua" w:hAnsi="Book Antiqua"/>
                <w:sz w:val="20"/>
                <w:szCs w:val="20"/>
                <w:lang w:val="zh-CN" w:eastAsia="zh-CN"/>
              </w:rPr>
              <w:t xml:space="preserve"> / </w:t>
            </w:r>
            <w:r w:rsidRPr="000D1C11">
              <w:rPr>
                <w:rFonts w:ascii="Book Antiqua" w:hAnsi="Book Antiqua"/>
                <w:sz w:val="20"/>
                <w:szCs w:val="20"/>
              </w:rPr>
              <w:fldChar w:fldCharType="begin"/>
            </w:r>
            <w:r w:rsidRPr="000D1C11">
              <w:rPr>
                <w:rFonts w:ascii="Book Antiqua" w:hAnsi="Book Antiqua"/>
                <w:sz w:val="20"/>
                <w:szCs w:val="20"/>
              </w:rPr>
              <w:instrText>NUMPAGES</w:instrText>
            </w:r>
            <w:r w:rsidRPr="000D1C11">
              <w:rPr>
                <w:rFonts w:ascii="Book Antiqua" w:hAnsi="Book Antiqua"/>
                <w:sz w:val="20"/>
                <w:szCs w:val="20"/>
              </w:rPr>
              <w:fldChar w:fldCharType="separate"/>
            </w:r>
            <w:r w:rsidR="00C6091A" w:rsidRPr="000D1C11">
              <w:rPr>
                <w:rFonts w:ascii="Book Antiqua" w:hAnsi="Book Antiqua"/>
                <w:noProof/>
                <w:sz w:val="20"/>
                <w:szCs w:val="20"/>
              </w:rPr>
              <w:t>23</w:t>
            </w:r>
            <w:r w:rsidRPr="000D1C11">
              <w:rPr>
                <w:rFonts w:ascii="Book Antiqua" w:hAnsi="Book Antiqua"/>
                <w:sz w:val="20"/>
                <w:szCs w:val="20"/>
              </w:rPr>
              <w:fldChar w:fldCharType="end"/>
            </w:r>
          </w:p>
        </w:sdtContent>
      </w:sdt>
    </w:sdtContent>
  </w:sdt>
  <w:p w14:paraId="64AD81A4" w14:textId="77777777" w:rsidR="00FC2323" w:rsidRDefault="00FC23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DE80C8" w14:textId="77777777" w:rsidR="00F35EC0" w:rsidRDefault="00F35EC0" w:rsidP="009E2363">
      <w:r>
        <w:separator/>
      </w:r>
    </w:p>
  </w:footnote>
  <w:footnote w:type="continuationSeparator" w:id="0">
    <w:p w14:paraId="3F77818E" w14:textId="77777777" w:rsidR="00F35EC0" w:rsidRDefault="00F35EC0" w:rsidP="009E23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269"/>
    <w:rsid w:val="00097AFF"/>
    <w:rsid w:val="000D1C11"/>
    <w:rsid w:val="001007D3"/>
    <w:rsid w:val="00267F6C"/>
    <w:rsid w:val="0033372C"/>
    <w:rsid w:val="004429CD"/>
    <w:rsid w:val="00461FA1"/>
    <w:rsid w:val="004873CB"/>
    <w:rsid w:val="00500135"/>
    <w:rsid w:val="005829BA"/>
    <w:rsid w:val="006C2110"/>
    <w:rsid w:val="006D33D0"/>
    <w:rsid w:val="007618C0"/>
    <w:rsid w:val="00767CC9"/>
    <w:rsid w:val="007B4B54"/>
    <w:rsid w:val="008D6692"/>
    <w:rsid w:val="008E3EDA"/>
    <w:rsid w:val="009119D3"/>
    <w:rsid w:val="009277A0"/>
    <w:rsid w:val="0095224B"/>
    <w:rsid w:val="009B44AF"/>
    <w:rsid w:val="009C40FE"/>
    <w:rsid w:val="009E2363"/>
    <w:rsid w:val="00A1294D"/>
    <w:rsid w:val="00A77B3E"/>
    <w:rsid w:val="00AB3913"/>
    <w:rsid w:val="00B07C23"/>
    <w:rsid w:val="00BB5C6B"/>
    <w:rsid w:val="00BD682E"/>
    <w:rsid w:val="00BE618A"/>
    <w:rsid w:val="00C12F09"/>
    <w:rsid w:val="00C6091A"/>
    <w:rsid w:val="00C7688F"/>
    <w:rsid w:val="00CA2A55"/>
    <w:rsid w:val="00E22BBC"/>
    <w:rsid w:val="00E35DD4"/>
    <w:rsid w:val="00EC0BBC"/>
    <w:rsid w:val="00F00446"/>
    <w:rsid w:val="00F35EC0"/>
    <w:rsid w:val="00F823BB"/>
    <w:rsid w:val="00F8376B"/>
    <w:rsid w:val="00FC2323"/>
    <w:rsid w:val="00FF3B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7E9C9C"/>
  <w15:docId w15:val="{FE266F7F-72FA-47A7-87FE-55238CAFD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E236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E2363"/>
    <w:rPr>
      <w:sz w:val="18"/>
      <w:szCs w:val="18"/>
    </w:rPr>
  </w:style>
  <w:style w:type="paragraph" w:styleId="a5">
    <w:name w:val="footer"/>
    <w:basedOn w:val="a"/>
    <w:link w:val="a6"/>
    <w:uiPriority w:val="99"/>
    <w:unhideWhenUsed/>
    <w:rsid w:val="009E2363"/>
    <w:pPr>
      <w:tabs>
        <w:tab w:val="center" w:pos="4153"/>
        <w:tab w:val="right" w:pos="8306"/>
      </w:tabs>
      <w:snapToGrid w:val="0"/>
    </w:pPr>
    <w:rPr>
      <w:sz w:val="18"/>
      <w:szCs w:val="18"/>
    </w:rPr>
  </w:style>
  <w:style w:type="character" w:customStyle="1" w:styleId="a6">
    <w:name w:val="页脚 字符"/>
    <w:basedOn w:val="a0"/>
    <w:link w:val="a5"/>
    <w:uiPriority w:val="99"/>
    <w:rsid w:val="009E2363"/>
    <w:rPr>
      <w:sz w:val="18"/>
      <w:szCs w:val="18"/>
    </w:rPr>
  </w:style>
  <w:style w:type="paragraph" w:styleId="a7">
    <w:name w:val="Balloon Text"/>
    <w:basedOn w:val="a"/>
    <w:link w:val="a8"/>
    <w:rsid w:val="00BB5C6B"/>
    <w:rPr>
      <w:sz w:val="18"/>
      <w:szCs w:val="18"/>
    </w:rPr>
  </w:style>
  <w:style w:type="character" w:customStyle="1" w:styleId="a8">
    <w:name w:val="批注框文本 字符"/>
    <w:basedOn w:val="a0"/>
    <w:link w:val="a7"/>
    <w:rsid w:val="00BB5C6B"/>
    <w:rPr>
      <w:sz w:val="18"/>
      <w:szCs w:val="18"/>
    </w:rPr>
  </w:style>
  <w:style w:type="paragraph" w:styleId="a9">
    <w:name w:val="Normal (Web)"/>
    <w:basedOn w:val="a"/>
    <w:uiPriority w:val="99"/>
    <w:semiHidden/>
    <w:unhideWhenUsed/>
    <w:rsid w:val="0033372C"/>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838601">
      <w:bodyDiv w:val="1"/>
      <w:marLeft w:val="0"/>
      <w:marRight w:val="0"/>
      <w:marTop w:val="0"/>
      <w:marBottom w:val="0"/>
      <w:divBdr>
        <w:top w:val="none" w:sz="0" w:space="0" w:color="auto"/>
        <w:left w:val="none" w:sz="0" w:space="0" w:color="auto"/>
        <w:bottom w:val="none" w:sz="0" w:space="0" w:color="auto"/>
        <w:right w:val="none" w:sz="0" w:space="0" w:color="auto"/>
      </w:divBdr>
    </w:div>
    <w:div w:id="316958088">
      <w:bodyDiv w:val="1"/>
      <w:marLeft w:val="0"/>
      <w:marRight w:val="0"/>
      <w:marTop w:val="0"/>
      <w:marBottom w:val="0"/>
      <w:divBdr>
        <w:top w:val="none" w:sz="0" w:space="0" w:color="auto"/>
        <w:left w:val="none" w:sz="0" w:space="0" w:color="auto"/>
        <w:bottom w:val="none" w:sz="0" w:space="0" w:color="auto"/>
        <w:right w:val="none" w:sz="0" w:space="0" w:color="auto"/>
      </w:divBdr>
    </w:div>
    <w:div w:id="463931384">
      <w:bodyDiv w:val="1"/>
      <w:marLeft w:val="0"/>
      <w:marRight w:val="0"/>
      <w:marTop w:val="0"/>
      <w:marBottom w:val="0"/>
      <w:divBdr>
        <w:top w:val="none" w:sz="0" w:space="0" w:color="auto"/>
        <w:left w:val="none" w:sz="0" w:space="0" w:color="auto"/>
        <w:bottom w:val="none" w:sz="0" w:space="0" w:color="auto"/>
        <w:right w:val="none" w:sz="0" w:space="0" w:color="auto"/>
      </w:divBdr>
    </w:div>
    <w:div w:id="1397431909">
      <w:bodyDiv w:val="1"/>
      <w:marLeft w:val="0"/>
      <w:marRight w:val="0"/>
      <w:marTop w:val="0"/>
      <w:marBottom w:val="0"/>
      <w:divBdr>
        <w:top w:val="none" w:sz="0" w:space="0" w:color="auto"/>
        <w:left w:val="none" w:sz="0" w:space="0" w:color="auto"/>
        <w:bottom w:val="none" w:sz="0" w:space="0" w:color="auto"/>
        <w:right w:val="none" w:sz="0" w:space="0" w:color="auto"/>
      </w:divBdr>
    </w:div>
    <w:div w:id="1808815205">
      <w:bodyDiv w:val="1"/>
      <w:marLeft w:val="0"/>
      <w:marRight w:val="0"/>
      <w:marTop w:val="0"/>
      <w:marBottom w:val="0"/>
      <w:divBdr>
        <w:top w:val="none" w:sz="0" w:space="0" w:color="auto"/>
        <w:left w:val="none" w:sz="0" w:space="0" w:color="auto"/>
        <w:bottom w:val="none" w:sz="0" w:space="0" w:color="auto"/>
        <w:right w:val="none" w:sz="0" w:space="0" w:color="auto"/>
      </w:divBdr>
    </w:div>
    <w:div w:id="1874881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23</Pages>
  <Words>5281</Words>
  <Characters>30106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8</cp:revision>
  <dcterms:created xsi:type="dcterms:W3CDTF">2020-09-12T22:08:00Z</dcterms:created>
  <dcterms:modified xsi:type="dcterms:W3CDTF">2020-09-21T09:04:00Z</dcterms:modified>
</cp:coreProperties>
</file>