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63" w:rsidRPr="005E5D86" w:rsidRDefault="00EB1E63" w:rsidP="005E5D86">
      <w:pPr>
        <w:adjustRightInd w:val="0"/>
        <w:snapToGrid w:val="0"/>
        <w:spacing w:line="360" w:lineRule="auto"/>
        <w:jc w:val="both"/>
        <w:rPr>
          <w:rFonts w:ascii="Book Antiqua" w:hAnsi="Book Antiqua"/>
          <w:b/>
          <w:color w:val="0000FF"/>
        </w:rPr>
      </w:pPr>
      <w:r w:rsidRPr="005E5D86">
        <w:rPr>
          <w:rFonts w:ascii="Book Antiqua" w:hAnsi="Book Antiqua" w:cs="宋体"/>
          <w:b/>
          <w:color w:val="000000"/>
        </w:rPr>
        <w:t xml:space="preserve">Name of Journal: </w:t>
      </w:r>
      <w:r w:rsidRPr="005E5D86">
        <w:rPr>
          <w:rFonts w:ascii="Book Antiqua" w:hAnsi="Book Antiqua" w:cs="宋体"/>
          <w:i/>
          <w:color w:val="000000"/>
        </w:rPr>
        <w:t>World Journal of Hepatology</w:t>
      </w:r>
    </w:p>
    <w:p w:rsidR="00EB1E63" w:rsidRPr="005E5D86" w:rsidRDefault="00EB1E63" w:rsidP="005E5D86">
      <w:pPr>
        <w:adjustRightInd w:val="0"/>
        <w:snapToGrid w:val="0"/>
        <w:spacing w:line="360" w:lineRule="auto"/>
        <w:jc w:val="both"/>
        <w:rPr>
          <w:rFonts w:ascii="Book Antiqua" w:hAnsi="Book Antiqua" w:cs="宋体"/>
          <w:b/>
          <w:i/>
          <w:color w:val="000000"/>
        </w:rPr>
      </w:pPr>
      <w:r w:rsidRPr="005E5D86">
        <w:rPr>
          <w:rFonts w:ascii="Book Antiqua" w:hAnsi="Book Antiqua" w:cs="Arial"/>
          <w:b/>
          <w:color w:val="000000"/>
          <w:lang w:val="en"/>
        </w:rPr>
        <w:t xml:space="preserve">Manuscript NO: </w:t>
      </w:r>
      <w:r w:rsidRPr="005E5D86">
        <w:rPr>
          <w:rFonts w:ascii="Book Antiqua" w:hAnsi="Book Antiqua" w:cs="Arial"/>
          <w:color w:val="000000"/>
          <w:lang w:val="en"/>
        </w:rPr>
        <w:t>54031</w:t>
      </w:r>
    </w:p>
    <w:p w:rsidR="00EB1E63" w:rsidRPr="005E5D86" w:rsidRDefault="00EB1E63" w:rsidP="005E5D86">
      <w:pPr>
        <w:adjustRightInd w:val="0"/>
        <w:snapToGrid w:val="0"/>
        <w:spacing w:line="360" w:lineRule="auto"/>
        <w:jc w:val="both"/>
        <w:rPr>
          <w:rFonts w:ascii="Book Antiqua" w:eastAsia="幼圆" w:hAnsi="Book Antiqua"/>
          <w:b/>
          <w:i/>
          <w:color w:val="000000"/>
        </w:rPr>
      </w:pPr>
      <w:bookmarkStart w:id="0" w:name="OLE_LINK4"/>
      <w:r w:rsidRPr="005E5D86">
        <w:rPr>
          <w:rFonts w:ascii="Book Antiqua" w:hAnsi="Book Antiqua"/>
          <w:b/>
          <w:color w:val="000000"/>
          <w:shd w:val="clear" w:color="auto" w:fill="FFFFFF"/>
        </w:rPr>
        <w:t>Manuscript Type</w:t>
      </w:r>
      <w:bookmarkEnd w:id="0"/>
      <w:r w:rsidRPr="005E5D86">
        <w:rPr>
          <w:rFonts w:ascii="Book Antiqua" w:hAnsi="Book Antiqua"/>
          <w:b/>
          <w:color w:val="000000"/>
        </w:rPr>
        <w:t xml:space="preserve">: </w:t>
      </w:r>
      <w:r w:rsidRPr="005E5D86">
        <w:rPr>
          <w:rFonts w:ascii="Book Antiqua" w:hAnsi="Book Antiqua"/>
        </w:rPr>
        <w:t>ORIGINAL ARTICLE</w:t>
      </w:r>
    </w:p>
    <w:p w:rsidR="00EB1E63" w:rsidRPr="005E5D86" w:rsidRDefault="00EB1E63" w:rsidP="005E5D86">
      <w:pPr>
        <w:autoSpaceDE w:val="0"/>
        <w:autoSpaceDN w:val="0"/>
        <w:adjustRightInd w:val="0"/>
        <w:snapToGrid w:val="0"/>
        <w:spacing w:line="360" w:lineRule="auto"/>
        <w:jc w:val="both"/>
        <w:rPr>
          <w:rFonts w:ascii="Book Antiqua" w:hAnsi="Book Antiqua"/>
          <w:b/>
          <w:color w:val="000000"/>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eastAsia="幼圆" w:hAnsi="Book Antiqua"/>
          <w:b/>
          <w:i/>
          <w:color w:val="000000"/>
        </w:rPr>
        <w:t>Observational Study</w:t>
      </w:r>
    </w:p>
    <w:p w:rsidR="007A6BBB" w:rsidRPr="005E5D86" w:rsidRDefault="00304167" w:rsidP="005E5D86">
      <w:pPr>
        <w:snapToGrid w:val="0"/>
        <w:spacing w:line="360" w:lineRule="auto"/>
        <w:jc w:val="both"/>
        <w:rPr>
          <w:rFonts w:ascii="Book Antiqua" w:hAnsi="Book Antiqua"/>
          <w:b/>
          <w:bCs/>
        </w:rPr>
      </w:pPr>
      <w:r w:rsidRPr="005E5D86">
        <w:rPr>
          <w:rFonts w:ascii="Book Antiqua" w:hAnsi="Book Antiqua"/>
          <w:b/>
          <w:bCs/>
        </w:rPr>
        <w:t xml:space="preserve">Non-alcoholic </w:t>
      </w:r>
      <w:r w:rsidR="008C289E" w:rsidRPr="005E5D86">
        <w:rPr>
          <w:rFonts w:ascii="Book Antiqua" w:hAnsi="Book Antiqua"/>
          <w:b/>
          <w:bCs/>
        </w:rPr>
        <w:t>s</w:t>
      </w:r>
      <w:r w:rsidRPr="005E5D86">
        <w:rPr>
          <w:rFonts w:ascii="Book Antiqua" w:hAnsi="Book Antiqua"/>
          <w:b/>
          <w:bCs/>
        </w:rPr>
        <w:t xml:space="preserve">teatohepatitis </w:t>
      </w:r>
      <w:r w:rsidR="00E55F57" w:rsidRPr="005E5D86">
        <w:rPr>
          <w:rFonts w:ascii="Book Antiqua" w:hAnsi="Book Antiqua"/>
          <w:b/>
          <w:bCs/>
        </w:rPr>
        <w:t xml:space="preserve">and the </w:t>
      </w:r>
      <w:r w:rsidR="008C289E" w:rsidRPr="005E5D86">
        <w:rPr>
          <w:rFonts w:ascii="Book Antiqua" w:hAnsi="Book Antiqua"/>
          <w:b/>
          <w:bCs/>
        </w:rPr>
        <w:t>r</w:t>
      </w:r>
      <w:r w:rsidR="00E55F57" w:rsidRPr="005E5D86">
        <w:rPr>
          <w:rFonts w:ascii="Book Antiqua" w:hAnsi="Book Antiqua"/>
          <w:b/>
          <w:bCs/>
        </w:rPr>
        <w:t xml:space="preserve">isk of </w:t>
      </w:r>
      <w:r w:rsidR="008C289E" w:rsidRPr="005E5D86">
        <w:rPr>
          <w:rFonts w:ascii="Book Antiqua" w:hAnsi="Book Antiqua"/>
          <w:b/>
          <w:bCs/>
        </w:rPr>
        <w:t>m</w:t>
      </w:r>
      <w:r w:rsidR="00E55F57" w:rsidRPr="005E5D86">
        <w:rPr>
          <w:rFonts w:ascii="Book Antiqua" w:hAnsi="Book Antiqua"/>
          <w:b/>
          <w:bCs/>
        </w:rPr>
        <w:t xml:space="preserve">yocardial </w:t>
      </w:r>
      <w:r w:rsidR="008C289E" w:rsidRPr="005E5D86">
        <w:rPr>
          <w:rFonts w:ascii="Book Antiqua" w:hAnsi="Book Antiqua"/>
          <w:b/>
          <w:bCs/>
        </w:rPr>
        <w:t>i</w:t>
      </w:r>
      <w:r w:rsidR="00E55F57" w:rsidRPr="005E5D86">
        <w:rPr>
          <w:rFonts w:ascii="Book Antiqua" w:hAnsi="Book Antiqua"/>
          <w:b/>
          <w:bCs/>
        </w:rPr>
        <w:t xml:space="preserve">nfarction: A </w:t>
      </w:r>
      <w:r w:rsidR="008C289E" w:rsidRPr="005E5D86">
        <w:rPr>
          <w:rFonts w:ascii="Book Antiqua" w:hAnsi="Book Antiqua"/>
          <w:b/>
          <w:bCs/>
        </w:rPr>
        <w:t>p</w:t>
      </w:r>
      <w:r w:rsidR="00E55F57" w:rsidRPr="005E5D86">
        <w:rPr>
          <w:rFonts w:ascii="Book Antiqua" w:hAnsi="Book Antiqua"/>
          <w:b/>
          <w:bCs/>
        </w:rPr>
        <w:t>opulation-</w:t>
      </w:r>
      <w:r w:rsidR="008C289E" w:rsidRPr="005E5D86">
        <w:rPr>
          <w:rFonts w:ascii="Book Antiqua" w:hAnsi="Book Antiqua"/>
          <w:b/>
          <w:bCs/>
        </w:rPr>
        <w:t>b</w:t>
      </w:r>
      <w:r w:rsidR="00E55F57" w:rsidRPr="005E5D86">
        <w:rPr>
          <w:rFonts w:ascii="Book Antiqua" w:hAnsi="Book Antiqua"/>
          <w:b/>
          <w:bCs/>
        </w:rPr>
        <w:t xml:space="preserve">ased </w:t>
      </w:r>
      <w:r w:rsidR="008C289E" w:rsidRPr="005E5D86">
        <w:rPr>
          <w:rFonts w:ascii="Book Antiqua" w:hAnsi="Book Antiqua"/>
          <w:b/>
          <w:bCs/>
        </w:rPr>
        <w:t>n</w:t>
      </w:r>
      <w:r w:rsidR="00E55F57" w:rsidRPr="005E5D86">
        <w:rPr>
          <w:rFonts w:ascii="Book Antiqua" w:hAnsi="Book Antiqua"/>
          <w:b/>
          <w:bCs/>
        </w:rPr>
        <w:t xml:space="preserve">ational </w:t>
      </w:r>
      <w:r w:rsidR="008C289E" w:rsidRPr="005E5D86">
        <w:rPr>
          <w:rFonts w:ascii="Book Antiqua" w:hAnsi="Book Antiqua"/>
          <w:b/>
          <w:bCs/>
        </w:rPr>
        <w:t>s</w:t>
      </w:r>
      <w:r w:rsidR="00E55F57" w:rsidRPr="005E5D86">
        <w:rPr>
          <w:rFonts w:ascii="Book Antiqua" w:hAnsi="Book Antiqua"/>
          <w:b/>
          <w:bCs/>
        </w:rPr>
        <w:t>tudy</w:t>
      </w:r>
      <w:r w:rsidRPr="005E5D86">
        <w:rPr>
          <w:rFonts w:ascii="Book Antiqua" w:hAnsi="Book Antiqua"/>
          <w:b/>
          <w:bCs/>
        </w:rPr>
        <w:t xml:space="preserve"> </w:t>
      </w:r>
    </w:p>
    <w:p w:rsidR="00952813" w:rsidRPr="005E5D86" w:rsidRDefault="00952813" w:rsidP="005E5D86">
      <w:pPr>
        <w:snapToGrid w:val="0"/>
        <w:spacing w:line="360" w:lineRule="auto"/>
        <w:jc w:val="both"/>
        <w:rPr>
          <w:rFonts w:ascii="Book Antiqua" w:hAnsi="Book Antiqua"/>
          <w:b/>
          <w:bCs/>
        </w:rPr>
      </w:pPr>
    </w:p>
    <w:p w:rsidR="006C13BE" w:rsidRPr="005E5D86" w:rsidRDefault="007A6BBB" w:rsidP="005E5D86">
      <w:pPr>
        <w:snapToGrid w:val="0"/>
        <w:spacing w:line="360" w:lineRule="auto"/>
        <w:jc w:val="both"/>
        <w:rPr>
          <w:rFonts w:ascii="Book Antiqua" w:hAnsi="Book Antiqua"/>
        </w:rPr>
      </w:pPr>
      <w:proofErr w:type="spellStart"/>
      <w:r w:rsidRPr="005E5D86">
        <w:rPr>
          <w:rFonts w:ascii="Book Antiqua" w:hAnsi="Book Antiqua"/>
        </w:rPr>
        <w:t>Ghoneim</w:t>
      </w:r>
      <w:proofErr w:type="spellEnd"/>
      <w:r w:rsidRPr="005E5D86">
        <w:rPr>
          <w:rFonts w:ascii="Book Antiqua" w:hAnsi="Book Antiqua"/>
        </w:rPr>
        <w:t xml:space="preserve"> S </w:t>
      </w:r>
      <w:r w:rsidRPr="005E5D86">
        <w:rPr>
          <w:rFonts w:ascii="Book Antiqua" w:hAnsi="Book Antiqua"/>
          <w:i/>
          <w:iCs/>
        </w:rPr>
        <w:t>et al.</w:t>
      </w:r>
      <w:r w:rsidRPr="005E5D86">
        <w:rPr>
          <w:rFonts w:ascii="Book Antiqua" w:hAnsi="Book Antiqua"/>
          <w:b/>
          <w:bCs/>
        </w:rPr>
        <w:t xml:space="preserve"> </w:t>
      </w:r>
      <w:r w:rsidR="00704149">
        <w:rPr>
          <w:rFonts w:ascii="Book Antiqua" w:hAnsi="Book Antiqua"/>
        </w:rPr>
        <w:t>NASH</w:t>
      </w:r>
      <w:r w:rsidR="00182D02" w:rsidRPr="005E5D86">
        <w:rPr>
          <w:rFonts w:ascii="Book Antiqua" w:hAnsi="Book Antiqua"/>
        </w:rPr>
        <w:t xml:space="preserve"> and </w:t>
      </w:r>
      <w:r w:rsidR="005D3348">
        <w:rPr>
          <w:rFonts w:ascii="Book Antiqua" w:hAnsi="Book Antiqua"/>
        </w:rPr>
        <w:t>MI</w:t>
      </w:r>
      <w:r w:rsidR="009C11D2" w:rsidRPr="005E5D86">
        <w:rPr>
          <w:rFonts w:ascii="Book Antiqua" w:hAnsi="Book Antiqua"/>
        </w:rPr>
        <w:t xml:space="preserve"> risk</w:t>
      </w:r>
    </w:p>
    <w:p w:rsidR="00920110" w:rsidRPr="005E5D86" w:rsidRDefault="00920110" w:rsidP="005E5D86">
      <w:pPr>
        <w:snapToGrid w:val="0"/>
        <w:spacing w:line="360" w:lineRule="auto"/>
        <w:jc w:val="both"/>
        <w:rPr>
          <w:rFonts w:ascii="Book Antiqua" w:hAnsi="Book Antiqua"/>
          <w:b/>
          <w:bCs/>
        </w:rPr>
      </w:pPr>
    </w:p>
    <w:p w:rsidR="00966391" w:rsidRPr="005E5D86" w:rsidRDefault="004E1B01" w:rsidP="005E5D86">
      <w:pPr>
        <w:snapToGrid w:val="0"/>
        <w:spacing w:line="360" w:lineRule="auto"/>
        <w:jc w:val="both"/>
        <w:rPr>
          <w:rFonts w:ascii="Book Antiqua" w:hAnsi="Book Antiqua"/>
        </w:rPr>
      </w:pPr>
      <w:r w:rsidRPr="005E5D86">
        <w:rPr>
          <w:rFonts w:ascii="Book Antiqua" w:hAnsi="Book Antiqua"/>
        </w:rPr>
        <w:t xml:space="preserve">Sara </w:t>
      </w:r>
      <w:proofErr w:type="spellStart"/>
      <w:r w:rsidRPr="005E5D86">
        <w:rPr>
          <w:rFonts w:ascii="Book Antiqua" w:hAnsi="Book Antiqua"/>
        </w:rPr>
        <w:t>Ghoneim</w:t>
      </w:r>
      <w:proofErr w:type="spellEnd"/>
      <w:r w:rsidRPr="005E5D86">
        <w:rPr>
          <w:rFonts w:ascii="Book Antiqua" w:hAnsi="Book Antiqua"/>
        </w:rPr>
        <w:t xml:space="preserve">, </w:t>
      </w:r>
      <w:proofErr w:type="spellStart"/>
      <w:r w:rsidRPr="005E5D86">
        <w:rPr>
          <w:rFonts w:ascii="Book Antiqua" w:hAnsi="Book Antiqua"/>
        </w:rPr>
        <w:t>Aneesh</w:t>
      </w:r>
      <w:proofErr w:type="spellEnd"/>
      <w:r w:rsidRPr="005E5D86">
        <w:rPr>
          <w:rFonts w:ascii="Book Antiqua" w:hAnsi="Book Antiqua"/>
        </w:rPr>
        <w:t xml:space="preserve"> </w:t>
      </w:r>
      <w:proofErr w:type="spellStart"/>
      <w:r w:rsidRPr="005E5D86">
        <w:rPr>
          <w:rFonts w:ascii="Book Antiqua" w:hAnsi="Book Antiqua"/>
        </w:rPr>
        <w:t>Dhorepatil</w:t>
      </w:r>
      <w:proofErr w:type="spellEnd"/>
      <w:r w:rsidRPr="005E5D86">
        <w:rPr>
          <w:rFonts w:ascii="Book Antiqua" w:hAnsi="Book Antiqua"/>
        </w:rPr>
        <w:t xml:space="preserve">, </w:t>
      </w:r>
      <w:proofErr w:type="spellStart"/>
      <w:r w:rsidRPr="005E5D86">
        <w:rPr>
          <w:rFonts w:ascii="Book Antiqua" w:hAnsi="Book Antiqua"/>
        </w:rPr>
        <w:t>Aun</w:t>
      </w:r>
      <w:proofErr w:type="spellEnd"/>
      <w:r w:rsidR="009C6AE2" w:rsidRPr="005E5D86">
        <w:rPr>
          <w:rFonts w:ascii="Book Antiqua" w:hAnsi="Book Antiqua"/>
        </w:rPr>
        <w:t xml:space="preserve"> R</w:t>
      </w:r>
      <w:r w:rsidR="00250047" w:rsidRPr="005E5D86">
        <w:rPr>
          <w:rFonts w:ascii="Book Antiqua" w:hAnsi="Book Antiqua"/>
        </w:rPr>
        <w:t>a</w:t>
      </w:r>
      <w:r w:rsidR="009C6AE2" w:rsidRPr="005E5D86">
        <w:rPr>
          <w:rFonts w:ascii="Book Antiqua" w:hAnsi="Book Antiqua"/>
        </w:rPr>
        <w:t>za</w:t>
      </w:r>
      <w:r w:rsidRPr="005E5D86">
        <w:rPr>
          <w:rFonts w:ascii="Book Antiqua" w:hAnsi="Book Antiqua"/>
        </w:rPr>
        <w:t xml:space="preserve"> Shah, Ganesh Ram</w:t>
      </w:r>
      <w:r w:rsidR="00214AE8" w:rsidRPr="005E5D86">
        <w:rPr>
          <w:rFonts w:ascii="Book Antiqua" w:hAnsi="Book Antiqua"/>
        </w:rPr>
        <w:t>,</w:t>
      </w:r>
      <w:r w:rsidRPr="005E5D86">
        <w:rPr>
          <w:rFonts w:ascii="Book Antiqua" w:hAnsi="Book Antiqua"/>
        </w:rPr>
        <w:t xml:space="preserve"> </w:t>
      </w:r>
      <w:r w:rsidR="001D3D7D" w:rsidRPr="005E5D86">
        <w:rPr>
          <w:rFonts w:ascii="Book Antiqua" w:hAnsi="Book Antiqua"/>
        </w:rPr>
        <w:t xml:space="preserve">Subhan Ahmad, </w:t>
      </w:r>
      <w:r w:rsidR="003C17C5" w:rsidRPr="005E5D86">
        <w:rPr>
          <w:rFonts w:ascii="Book Antiqua" w:hAnsi="Book Antiqua"/>
        </w:rPr>
        <w:t>Chang Kim</w:t>
      </w:r>
      <w:r w:rsidR="00082E08" w:rsidRPr="005E5D86">
        <w:rPr>
          <w:rFonts w:ascii="Book Antiqua" w:hAnsi="Book Antiqua"/>
        </w:rPr>
        <w:t xml:space="preserve">, </w:t>
      </w:r>
      <w:r w:rsidRPr="005E5D86">
        <w:rPr>
          <w:rFonts w:ascii="Book Antiqua" w:hAnsi="Book Antiqua"/>
        </w:rPr>
        <w:t>Imad Asaad</w:t>
      </w:r>
    </w:p>
    <w:p w:rsidR="00920110" w:rsidRPr="005E5D86" w:rsidRDefault="00920110" w:rsidP="005E5D86">
      <w:pPr>
        <w:snapToGrid w:val="0"/>
        <w:spacing w:line="360" w:lineRule="auto"/>
        <w:jc w:val="both"/>
        <w:rPr>
          <w:rFonts w:ascii="Book Antiqua" w:hAnsi="Book Antiqua"/>
        </w:rPr>
      </w:pPr>
    </w:p>
    <w:p w:rsidR="003C17C5" w:rsidRPr="005E5D86" w:rsidRDefault="00C70AED" w:rsidP="005E5D86">
      <w:pPr>
        <w:snapToGrid w:val="0"/>
        <w:spacing w:line="360" w:lineRule="auto"/>
        <w:jc w:val="both"/>
        <w:rPr>
          <w:rFonts w:ascii="Book Antiqua" w:hAnsi="Book Antiqua"/>
        </w:rPr>
      </w:pPr>
      <w:r w:rsidRPr="005E5D86">
        <w:rPr>
          <w:rFonts w:ascii="Book Antiqua" w:hAnsi="Book Antiqua"/>
          <w:b/>
          <w:bCs/>
        </w:rPr>
        <w:t xml:space="preserve">Sara </w:t>
      </w:r>
      <w:proofErr w:type="spellStart"/>
      <w:r w:rsidRPr="005E5D86">
        <w:rPr>
          <w:rFonts w:ascii="Book Antiqua" w:hAnsi="Book Antiqua"/>
          <w:b/>
          <w:bCs/>
        </w:rPr>
        <w:t>Ghoneim</w:t>
      </w:r>
      <w:proofErr w:type="spellEnd"/>
      <w:r w:rsidRPr="005E5D86">
        <w:rPr>
          <w:rFonts w:ascii="Book Antiqua" w:hAnsi="Book Antiqua"/>
          <w:b/>
          <w:bCs/>
        </w:rPr>
        <w:t xml:space="preserve">, </w:t>
      </w:r>
      <w:proofErr w:type="spellStart"/>
      <w:r w:rsidRPr="005E5D86">
        <w:rPr>
          <w:rFonts w:ascii="Book Antiqua" w:hAnsi="Book Antiqua"/>
          <w:b/>
          <w:bCs/>
        </w:rPr>
        <w:t>Aneesh</w:t>
      </w:r>
      <w:proofErr w:type="spellEnd"/>
      <w:r w:rsidRPr="005E5D86">
        <w:rPr>
          <w:rFonts w:ascii="Book Antiqua" w:hAnsi="Book Antiqua"/>
          <w:b/>
          <w:bCs/>
        </w:rPr>
        <w:t xml:space="preserve"> </w:t>
      </w:r>
      <w:proofErr w:type="spellStart"/>
      <w:r w:rsidRPr="005E5D86">
        <w:rPr>
          <w:rFonts w:ascii="Book Antiqua" w:hAnsi="Book Antiqua"/>
          <w:b/>
          <w:bCs/>
        </w:rPr>
        <w:t>Dhore</w:t>
      </w:r>
      <w:r w:rsidR="000A0D54" w:rsidRPr="005E5D86">
        <w:rPr>
          <w:rFonts w:ascii="Book Antiqua" w:hAnsi="Book Antiqua"/>
          <w:b/>
          <w:bCs/>
        </w:rPr>
        <w:t>patil</w:t>
      </w:r>
      <w:proofErr w:type="spellEnd"/>
      <w:r w:rsidRPr="005E5D86">
        <w:rPr>
          <w:rFonts w:ascii="Book Antiqua" w:hAnsi="Book Antiqua"/>
          <w:b/>
          <w:bCs/>
        </w:rPr>
        <w:t xml:space="preserve">, </w:t>
      </w:r>
      <w:proofErr w:type="spellStart"/>
      <w:r w:rsidRPr="005E5D86">
        <w:rPr>
          <w:rFonts w:ascii="Book Antiqua" w:hAnsi="Book Antiqua"/>
          <w:b/>
          <w:bCs/>
        </w:rPr>
        <w:t>Aun</w:t>
      </w:r>
      <w:proofErr w:type="spellEnd"/>
      <w:r w:rsidRPr="005E5D86">
        <w:rPr>
          <w:rFonts w:ascii="Book Antiqua" w:hAnsi="Book Antiqua"/>
          <w:b/>
          <w:bCs/>
        </w:rPr>
        <w:t xml:space="preserve"> </w:t>
      </w:r>
      <w:r w:rsidR="009C6AE2" w:rsidRPr="005E5D86">
        <w:rPr>
          <w:rFonts w:ascii="Book Antiqua" w:hAnsi="Book Antiqua"/>
          <w:b/>
          <w:bCs/>
        </w:rPr>
        <w:t>R</w:t>
      </w:r>
      <w:r w:rsidR="00920110" w:rsidRPr="005E5D86">
        <w:rPr>
          <w:rFonts w:ascii="Book Antiqua" w:hAnsi="Book Antiqua"/>
          <w:b/>
          <w:bCs/>
        </w:rPr>
        <w:t>a</w:t>
      </w:r>
      <w:r w:rsidR="009C6AE2" w:rsidRPr="005E5D86">
        <w:rPr>
          <w:rFonts w:ascii="Book Antiqua" w:hAnsi="Book Antiqua"/>
          <w:b/>
          <w:bCs/>
        </w:rPr>
        <w:t xml:space="preserve">za </w:t>
      </w:r>
      <w:r w:rsidRPr="005E5D86">
        <w:rPr>
          <w:rFonts w:ascii="Book Antiqua" w:hAnsi="Book Antiqua"/>
          <w:b/>
          <w:bCs/>
        </w:rPr>
        <w:t>Shah</w:t>
      </w:r>
      <w:r w:rsidR="00214AE8" w:rsidRPr="005E5D86">
        <w:rPr>
          <w:rFonts w:ascii="Book Antiqua" w:hAnsi="Book Antiqua"/>
          <w:b/>
          <w:bCs/>
        </w:rPr>
        <w:t xml:space="preserve">, </w:t>
      </w:r>
      <w:r w:rsidR="001D3D7D" w:rsidRPr="005E5D86">
        <w:rPr>
          <w:rFonts w:ascii="Book Antiqua" w:hAnsi="Book Antiqua"/>
          <w:b/>
          <w:bCs/>
        </w:rPr>
        <w:t>Subhan Ahmad</w:t>
      </w:r>
      <w:r w:rsidR="00E578E7" w:rsidRPr="005E5D86">
        <w:rPr>
          <w:rFonts w:ascii="Book Antiqua" w:hAnsi="Book Antiqua"/>
          <w:b/>
          <w:bCs/>
        </w:rPr>
        <w:t xml:space="preserve">, </w:t>
      </w:r>
      <w:r w:rsidR="003C17C5" w:rsidRPr="005E5D86">
        <w:rPr>
          <w:rFonts w:ascii="Book Antiqua" w:hAnsi="Book Antiqua"/>
          <w:b/>
          <w:bCs/>
        </w:rPr>
        <w:t>Chang Kim</w:t>
      </w:r>
      <w:r w:rsidR="00EB1E63" w:rsidRPr="005E5D86">
        <w:rPr>
          <w:rFonts w:ascii="Book Antiqua" w:hAnsi="Book Antiqua"/>
          <w:b/>
          <w:bCs/>
        </w:rPr>
        <w:t>,</w:t>
      </w:r>
      <w:r w:rsidR="00F65366" w:rsidRPr="005E5D86">
        <w:rPr>
          <w:rFonts w:ascii="Book Antiqua" w:hAnsi="Book Antiqua"/>
          <w:b/>
          <w:bCs/>
        </w:rPr>
        <w:t xml:space="preserve"> </w:t>
      </w:r>
      <w:r w:rsidR="001415CB" w:rsidRPr="005E5D86">
        <w:rPr>
          <w:rFonts w:ascii="Book Antiqua" w:hAnsi="Book Antiqua"/>
        </w:rPr>
        <w:t xml:space="preserve">Department of Internal Medicine, Case Western Reserve University at </w:t>
      </w:r>
      <w:proofErr w:type="spellStart"/>
      <w:r w:rsidR="001415CB" w:rsidRPr="005E5D86">
        <w:rPr>
          <w:rFonts w:ascii="Book Antiqua" w:hAnsi="Book Antiqua"/>
        </w:rPr>
        <w:t>MetroHealth</w:t>
      </w:r>
      <w:proofErr w:type="spellEnd"/>
      <w:r w:rsidR="001415CB" w:rsidRPr="005E5D86">
        <w:rPr>
          <w:rFonts w:ascii="Book Antiqua" w:hAnsi="Book Antiqua"/>
        </w:rPr>
        <w:t xml:space="preserve"> Medical Center, Cleveland, OH 44109</w:t>
      </w:r>
      <w:r w:rsidR="00EB1E63" w:rsidRPr="005E5D86">
        <w:rPr>
          <w:rFonts w:ascii="Book Antiqua" w:hAnsi="Book Antiqua"/>
        </w:rPr>
        <w:t>,</w:t>
      </w:r>
      <w:r w:rsidR="001415CB" w:rsidRPr="005E5D86">
        <w:rPr>
          <w:rFonts w:ascii="Book Antiqua" w:hAnsi="Book Antiqua"/>
        </w:rPr>
        <w:t xml:space="preserve"> </w:t>
      </w:r>
      <w:r w:rsidR="00EB1E63" w:rsidRPr="005E5D86">
        <w:rPr>
          <w:rFonts w:ascii="Book Antiqua" w:hAnsi="Book Antiqua"/>
        </w:rPr>
        <w:t>United States</w:t>
      </w:r>
    </w:p>
    <w:p w:rsidR="00EB1E63" w:rsidRPr="005E5D86" w:rsidRDefault="00EB1E63" w:rsidP="005E5D86">
      <w:pPr>
        <w:snapToGrid w:val="0"/>
        <w:spacing w:line="360" w:lineRule="auto"/>
        <w:jc w:val="both"/>
        <w:rPr>
          <w:rFonts w:ascii="Book Antiqua" w:hAnsi="Book Antiqua"/>
        </w:rPr>
      </w:pPr>
    </w:p>
    <w:p w:rsidR="00CA31A2" w:rsidRPr="005E5D86" w:rsidRDefault="00CA31A2" w:rsidP="005E5D86">
      <w:pPr>
        <w:snapToGrid w:val="0"/>
        <w:spacing w:line="360" w:lineRule="auto"/>
        <w:jc w:val="both"/>
        <w:rPr>
          <w:rFonts w:ascii="Book Antiqua" w:hAnsi="Book Antiqua"/>
          <w:color w:val="000000"/>
          <w:shd w:val="clear" w:color="auto" w:fill="FFFFFF"/>
        </w:rPr>
      </w:pPr>
      <w:r w:rsidRPr="005E5D86">
        <w:rPr>
          <w:rFonts w:ascii="Book Antiqua" w:hAnsi="Book Antiqua"/>
          <w:b/>
          <w:bCs/>
        </w:rPr>
        <w:t>Ganesh Ram</w:t>
      </w:r>
      <w:r w:rsidR="00EB1E63" w:rsidRPr="005E5D86">
        <w:rPr>
          <w:rFonts w:ascii="Book Antiqua" w:hAnsi="Book Antiqua"/>
          <w:b/>
          <w:bCs/>
        </w:rPr>
        <w:t>,</w:t>
      </w:r>
      <w:r w:rsidR="00214AE8" w:rsidRPr="005E5D86">
        <w:rPr>
          <w:rFonts w:ascii="Book Antiqua" w:hAnsi="Book Antiqua"/>
          <w:b/>
          <w:bCs/>
        </w:rPr>
        <w:t xml:space="preserve"> </w:t>
      </w:r>
      <w:r w:rsidRPr="005E5D86">
        <w:rPr>
          <w:rFonts w:ascii="Book Antiqua" w:hAnsi="Book Antiqua"/>
        </w:rPr>
        <w:t xml:space="preserve">Department of Pain Management, </w:t>
      </w:r>
      <w:proofErr w:type="gramStart"/>
      <w:r w:rsidR="0075502A" w:rsidRPr="005E5D86">
        <w:rPr>
          <w:rFonts w:ascii="Book Antiqua" w:hAnsi="Book Antiqua"/>
          <w:color w:val="000000"/>
          <w:shd w:val="clear" w:color="auto" w:fill="FFFFFF"/>
        </w:rPr>
        <w:t>The</w:t>
      </w:r>
      <w:proofErr w:type="gramEnd"/>
      <w:r w:rsidR="0075502A" w:rsidRPr="005E5D86">
        <w:rPr>
          <w:rFonts w:ascii="Book Antiqua" w:hAnsi="Book Antiqua"/>
          <w:color w:val="000000"/>
          <w:shd w:val="clear" w:color="auto" w:fill="FFFFFF"/>
        </w:rPr>
        <w:t xml:space="preserve"> Schulich School of Medicine </w:t>
      </w:r>
      <w:r w:rsidR="00EB1E63" w:rsidRPr="005E5D86">
        <w:rPr>
          <w:rFonts w:ascii="Book Antiqua" w:hAnsi="Book Antiqua"/>
          <w:color w:val="000000"/>
          <w:shd w:val="clear" w:color="auto" w:fill="FFFFFF"/>
        </w:rPr>
        <w:t>and</w:t>
      </w:r>
      <w:r w:rsidR="0075502A" w:rsidRPr="005E5D86">
        <w:rPr>
          <w:rFonts w:ascii="Book Antiqua" w:hAnsi="Book Antiqua"/>
          <w:color w:val="000000"/>
          <w:shd w:val="clear" w:color="auto" w:fill="FFFFFF"/>
        </w:rPr>
        <w:t xml:space="preserve"> Dentistry, London, Ontario </w:t>
      </w:r>
      <w:r w:rsidR="00F63F4D" w:rsidRPr="005E5D86">
        <w:rPr>
          <w:rFonts w:ascii="Book Antiqua" w:hAnsi="Book Antiqua"/>
          <w:color w:val="000000"/>
          <w:shd w:val="clear" w:color="auto" w:fill="FFFFFF"/>
        </w:rPr>
        <w:t>N6A 5C1, Canada</w:t>
      </w:r>
    </w:p>
    <w:p w:rsidR="00EB1E63" w:rsidRPr="005E5D86" w:rsidRDefault="00EB1E63" w:rsidP="005E5D86">
      <w:pPr>
        <w:snapToGrid w:val="0"/>
        <w:spacing w:line="360" w:lineRule="auto"/>
        <w:jc w:val="both"/>
        <w:rPr>
          <w:rFonts w:ascii="Book Antiqua" w:hAnsi="Book Antiqua"/>
        </w:rPr>
      </w:pPr>
    </w:p>
    <w:p w:rsidR="00EB1E63" w:rsidRPr="005E5D86" w:rsidRDefault="00AA3BE0" w:rsidP="005E5D86">
      <w:pPr>
        <w:snapToGrid w:val="0"/>
        <w:spacing w:line="360" w:lineRule="auto"/>
        <w:jc w:val="both"/>
        <w:rPr>
          <w:rFonts w:ascii="Book Antiqua" w:hAnsi="Book Antiqua"/>
        </w:rPr>
      </w:pPr>
      <w:r w:rsidRPr="005E5D86">
        <w:rPr>
          <w:rFonts w:ascii="Book Antiqua" w:hAnsi="Book Antiqua"/>
          <w:b/>
          <w:bCs/>
        </w:rPr>
        <w:t>Imad Asaad</w:t>
      </w:r>
      <w:r w:rsidR="00EB1E63" w:rsidRPr="005E5D86">
        <w:rPr>
          <w:rFonts w:ascii="Book Antiqua" w:hAnsi="Book Antiqua"/>
          <w:b/>
          <w:bCs/>
        </w:rPr>
        <w:t>,</w:t>
      </w:r>
      <w:r w:rsidR="00330B7F" w:rsidRPr="005E5D86">
        <w:rPr>
          <w:rFonts w:ascii="Book Antiqua" w:hAnsi="Book Antiqua"/>
        </w:rPr>
        <w:t xml:space="preserve"> Division of Gastroenterology, Case Western Reserve University at </w:t>
      </w:r>
      <w:proofErr w:type="spellStart"/>
      <w:r w:rsidR="00330B7F" w:rsidRPr="005E5D86">
        <w:rPr>
          <w:rFonts w:ascii="Book Antiqua" w:hAnsi="Book Antiqua"/>
        </w:rPr>
        <w:t>MetroHealth</w:t>
      </w:r>
      <w:proofErr w:type="spellEnd"/>
      <w:r w:rsidR="00330B7F" w:rsidRPr="005E5D86">
        <w:rPr>
          <w:rFonts w:ascii="Book Antiqua" w:hAnsi="Book Antiqua"/>
        </w:rPr>
        <w:t xml:space="preserve"> Medical Center, Cleveland, OH 44109</w:t>
      </w:r>
      <w:r w:rsidR="00EB1E63" w:rsidRPr="005E5D86">
        <w:rPr>
          <w:rFonts w:ascii="Book Antiqua" w:hAnsi="Book Antiqua"/>
        </w:rPr>
        <w:t>,</w:t>
      </w:r>
      <w:r w:rsidR="00330B7F" w:rsidRPr="005E5D86">
        <w:rPr>
          <w:rFonts w:ascii="Book Antiqua" w:hAnsi="Book Antiqua"/>
        </w:rPr>
        <w:t xml:space="preserve"> </w:t>
      </w:r>
      <w:r w:rsidR="00EB1E63" w:rsidRPr="005E5D86">
        <w:rPr>
          <w:rFonts w:ascii="Book Antiqua" w:hAnsi="Book Antiqua"/>
        </w:rPr>
        <w:t>United States</w:t>
      </w:r>
    </w:p>
    <w:p w:rsidR="00EB1E63" w:rsidRPr="005E5D86" w:rsidRDefault="00EB1E63" w:rsidP="005E5D86">
      <w:pPr>
        <w:snapToGrid w:val="0"/>
        <w:spacing w:line="360" w:lineRule="auto"/>
        <w:jc w:val="both"/>
        <w:rPr>
          <w:rFonts w:ascii="Book Antiqua" w:hAnsi="Book Antiqua"/>
        </w:rPr>
      </w:pPr>
    </w:p>
    <w:p w:rsidR="001415CB" w:rsidRPr="005E5D86" w:rsidRDefault="00EB1E63" w:rsidP="005E5D86">
      <w:pPr>
        <w:snapToGrid w:val="0"/>
        <w:spacing w:line="360" w:lineRule="auto"/>
        <w:jc w:val="both"/>
        <w:rPr>
          <w:rFonts w:ascii="Book Antiqua" w:hAnsi="Book Antiqua" w:cs="Arial"/>
          <w:color w:val="000000" w:themeColor="text1"/>
          <w:shd w:val="clear" w:color="auto" w:fill="FFFFFF"/>
        </w:rPr>
      </w:pPr>
      <w:r w:rsidRPr="005E5D86">
        <w:rPr>
          <w:rFonts w:ascii="Book Antiqua" w:hAnsi="Book Antiqua"/>
          <w:b/>
          <w:color w:val="000000"/>
        </w:rPr>
        <w:t xml:space="preserve">Author contributions: </w:t>
      </w:r>
      <w:proofErr w:type="spellStart"/>
      <w:r w:rsidR="003C17C5" w:rsidRPr="005E5D86">
        <w:rPr>
          <w:rFonts w:ascii="Book Antiqua" w:hAnsi="Book Antiqua" w:cs="Arial"/>
          <w:color w:val="000000" w:themeColor="text1"/>
          <w:shd w:val="clear" w:color="auto" w:fill="FFFFFF"/>
        </w:rPr>
        <w:t>Ghoneim</w:t>
      </w:r>
      <w:proofErr w:type="spellEnd"/>
      <w:r w:rsidR="003C17C5" w:rsidRPr="005E5D86">
        <w:rPr>
          <w:rFonts w:ascii="Book Antiqua" w:hAnsi="Book Antiqua" w:cs="Arial"/>
          <w:color w:val="000000" w:themeColor="text1"/>
          <w:shd w:val="clear" w:color="auto" w:fill="FFFFFF"/>
        </w:rPr>
        <w:t xml:space="preserve"> S, </w:t>
      </w:r>
      <w:proofErr w:type="spellStart"/>
      <w:r w:rsidR="003C17C5" w:rsidRPr="005E5D86">
        <w:rPr>
          <w:rFonts w:ascii="Book Antiqua" w:hAnsi="Book Antiqua" w:cs="Arial"/>
          <w:color w:val="000000" w:themeColor="text1"/>
          <w:shd w:val="clear" w:color="auto" w:fill="FFFFFF"/>
        </w:rPr>
        <w:t>Dhorepatil</w:t>
      </w:r>
      <w:proofErr w:type="spellEnd"/>
      <w:r w:rsidR="003C17C5"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3C17C5" w:rsidRPr="005E5D86">
        <w:rPr>
          <w:rFonts w:ascii="Book Antiqua" w:hAnsi="Book Antiqua" w:cs="Arial"/>
          <w:color w:val="000000" w:themeColor="text1"/>
          <w:shd w:val="clear" w:color="auto" w:fill="FFFFFF"/>
        </w:rPr>
        <w:t>, Ram G</w:t>
      </w:r>
      <w:r w:rsidR="00E34C80" w:rsidRPr="005E5D86">
        <w:rPr>
          <w:rFonts w:ascii="Book Antiqua" w:hAnsi="Book Antiqua" w:cs="Arial"/>
          <w:color w:val="000000" w:themeColor="text1"/>
          <w:shd w:val="clear" w:color="auto" w:fill="FFFFFF"/>
        </w:rPr>
        <w:t xml:space="preserve">, and </w:t>
      </w:r>
      <w:r w:rsidR="003C17C5" w:rsidRPr="005E5D86">
        <w:rPr>
          <w:rFonts w:ascii="Book Antiqua" w:hAnsi="Book Antiqua" w:cs="Arial"/>
          <w:color w:val="000000" w:themeColor="text1"/>
          <w:shd w:val="clear" w:color="auto" w:fill="FFFFFF"/>
        </w:rPr>
        <w:t>Asaad I designed the research</w:t>
      </w:r>
      <w:r w:rsidRPr="005E5D86">
        <w:rPr>
          <w:rFonts w:ascii="Book Antiqua" w:hAnsi="Book Antiqua" w:cs="Arial"/>
          <w:color w:val="000000" w:themeColor="text1"/>
          <w:shd w:val="clear" w:color="auto" w:fill="FFFFFF"/>
        </w:rPr>
        <w:t>;</w:t>
      </w:r>
      <w:r w:rsidR="003C17C5" w:rsidRPr="005E5D86">
        <w:rPr>
          <w:rFonts w:ascii="Book Antiqua" w:hAnsi="Book Antiqua" w:cs="Arial"/>
          <w:color w:val="000000" w:themeColor="text1"/>
          <w:shd w:val="clear" w:color="auto" w:fill="FFFFFF"/>
        </w:rPr>
        <w:t xml:space="preserve"> </w:t>
      </w:r>
      <w:proofErr w:type="spellStart"/>
      <w:r w:rsidR="003C17C5" w:rsidRPr="005E5D86">
        <w:rPr>
          <w:rFonts w:ascii="Book Antiqua" w:hAnsi="Book Antiqua" w:cs="Arial"/>
          <w:color w:val="000000" w:themeColor="text1"/>
          <w:shd w:val="clear" w:color="auto" w:fill="FFFFFF"/>
        </w:rPr>
        <w:t>Ghoneim</w:t>
      </w:r>
      <w:proofErr w:type="spellEnd"/>
      <w:r w:rsidR="003C17C5" w:rsidRPr="005E5D86">
        <w:rPr>
          <w:rFonts w:ascii="Book Antiqua" w:hAnsi="Book Antiqua" w:cs="Arial"/>
          <w:color w:val="000000" w:themeColor="text1"/>
          <w:shd w:val="clear" w:color="auto" w:fill="FFFFFF"/>
        </w:rPr>
        <w:t xml:space="preserve"> S, </w:t>
      </w:r>
      <w:proofErr w:type="spellStart"/>
      <w:r w:rsidR="003C17C5" w:rsidRPr="005E5D86">
        <w:rPr>
          <w:rFonts w:ascii="Book Antiqua" w:hAnsi="Book Antiqua" w:cs="Arial"/>
          <w:color w:val="000000" w:themeColor="text1"/>
          <w:shd w:val="clear" w:color="auto" w:fill="FFFFFF"/>
        </w:rPr>
        <w:t>Dhorepatil</w:t>
      </w:r>
      <w:proofErr w:type="spellEnd"/>
      <w:r w:rsidR="003C17C5"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3C17C5" w:rsidRPr="005E5D86">
        <w:rPr>
          <w:rFonts w:ascii="Book Antiqua" w:hAnsi="Book Antiqua" w:cs="Arial"/>
          <w:color w:val="000000" w:themeColor="text1"/>
          <w:shd w:val="clear" w:color="auto" w:fill="FFFFFF"/>
        </w:rPr>
        <w:t>, Ram G, Ahmad S</w:t>
      </w:r>
      <w:r w:rsidR="00E34C80" w:rsidRPr="005E5D86">
        <w:rPr>
          <w:rFonts w:ascii="Book Antiqua" w:hAnsi="Book Antiqua" w:cs="Arial"/>
          <w:color w:val="000000" w:themeColor="text1"/>
          <w:shd w:val="clear" w:color="auto" w:fill="FFFFFF"/>
        </w:rPr>
        <w:t xml:space="preserve"> and</w:t>
      </w:r>
      <w:r w:rsidR="003C17C5" w:rsidRPr="005E5D86">
        <w:rPr>
          <w:rFonts w:ascii="Book Antiqua" w:hAnsi="Book Antiqua" w:cs="Arial"/>
          <w:color w:val="000000" w:themeColor="text1"/>
          <w:shd w:val="clear" w:color="auto" w:fill="FFFFFF"/>
        </w:rPr>
        <w:t xml:space="preserve"> Kim C performed the research</w:t>
      </w:r>
      <w:r w:rsidR="00E34C80" w:rsidRPr="005E5D86">
        <w:rPr>
          <w:rFonts w:ascii="Book Antiqua" w:hAnsi="Book Antiqua" w:cs="Arial"/>
          <w:color w:val="000000" w:themeColor="text1"/>
          <w:shd w:val="clear" w:color="auto" w:fill="FFFFFF"/>
        </w:rPr>
        <w:t>; Kim C analyzed the data</w:t>
      </w:r>
      <w:r w:rsidRPr="005E5D86">
        <w:rPr>
          <w:rFonts w:ascii="Book Antiqua" w:hAnsi="Book Antiqua" w:cs="Arial"/>
          <w:color w:val="000000" w:themeColor="text1"/>
          <w:shd w:val="clear" w:color="auto" w:fill="FFFFFF"/>
        </w:rPr>
        <w:t>;</w:t>
      </w:r>
      <w:r w:rsidR="00E34C80" w:rsidRPr="005E5D86">
        <w:rPr>
          <w:rFonts w:ascii="Book Antiqua" w:hAnsi="Book Antiqua" w:cs="Arial"/>
          <w:color w:val="000000" w:themeColor="text1"/>
          <w:shd w:val="clear" w:color="auto" w:fill="FFFFFF"/>
        </w:rPr>
        <w:t xml:space="preserve"> </w:t>
      </w:r>
      <w:proofErr w:type="spellStart"/>
      <w:r w:rsidR="00E34C80" w:rsidRPr="005E5D86">
        <w:rPr>
          <w:rFonts w:ascii="Book Antiqua" w:hAnsi="Book Antiqua" w:cs="Arial"/>
          <w:color w:val="000000" w:themeColor="text1"/>
          <w:shd w:val="clear" w:color="auto" w:fill="FFFFFF"/>
        </w:rPr>
        <w:t>Ghoneim</w:t>
      </w:r>
      <w:proofErr w:type="spellEnd"/>
      <w:r w:rsidR="00E34C80" w:rsidRPr="005E5D86">
        <w:rPr>
          <w:rFonts w:ascii="Book Antiqua" w:hAnsi="Book Antiqua" w:cs="Arial"/>
          <w:color w:val="000000" w:themeColor="text1"/>
          <w:shd w:val="clear" w:color="auto" w:fill="FFFFFF"/>
        </w:rPr>
        <w:t xml:space="preserve"> S, </w:t>
      </w:r>
      <w:proofErr w:type="spellStart"/>
      <w:r w:rsidR="00E34C80" w:rsidRPr="005E5D86">
        <w:rPr>
          <w:rFonts w:ascii="Book Antiqua" w:hAnsi="Book Antiqua" w:cs="Arial"/>
          <w:color w:val="000000" w:themeColor="text1"/>
          <w:shd w:val="clear" w:color="auto" w:fill="FFFFFF"/>
        </w:rPr>
        <w:t>Dhorepatil</w:t>
      </w:r>
      <w:proofErr w:type="spellEnd"/>
      <w:r w:rsidR="00E34C80"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E34C80" w:rsidRPr="005E5D86">
        <w:rPr>
          <w:rFonts w:ascii="Book Antiqua" w:hAnsi="Book Antiqua" w:cs="Arial"/>
          <w:color w:val="000000" w:themeColor="text1"/>
          <w:shd w:val="clear" w:color="auto" w:fill="FFFFFF"/>
        </w:rPr>
        <w:t>, Ram G, Asaad A wrote the paper</w:t>
      </w:r>
      <w:r w:rsidRPr="005E5D86">
        <w:rPr>
          <w:rFonts w:ascii="Book Antiqua" w:hAnsi="Book Antiqua" w:cs="Arial"/>
          <w:color w:val="000000" w:themeColor="text1"/>
          <w:shd w:val="clear" w:color="auto" w:fill="FFFFFF"/>
        </w:rPr>
        <w:t>;</w:t>
      </w:r>
      <w:r w:rsidR="00E34C80" w:rsidRPr="005E5D86">
        <w:rPr>
          <w:rFonts w:ascii="Book Antiqua" w:hAnsi="Book Antiqua" w:cs="Arial"/>
          <w:color w:val="000000" w:themeColor="text1"/>
          <w:shd w:val="clear" w:color="auto" w:fill="FFFFFF"/>
        </w:rPr>
        <w:t xml:space="preserve"> All authors provide approval for the final version to be published.</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snapToGrid w:val="0"/>
        <w:spacing w:line="360" w:lineRule="auto"/>
        <w:jc w:val="both"/>
        <w:rPr>
          <w:rStyle w:val="a5"/>
          <w:rFonts w:ascii="Book Antiqua" w:hAnsi="Book Antiqua"/>
        </w:rPr>
      </w:pPr>
      <w:r w:rsidRPr="005E5D86">
        <w:rPr>
          <w:rFonts w:ascii="Book Antiqua" w:hAnsi="Book Antiqua"/>
          <w:b/>
          <w:color w:val="000000"/>
        </w:rPr>
        <w:lastRenderedPageBreak/>
        <w:t>Corresponding author:</w:t>
      </w:r>
      <w:r w:rsidRPr="005E5D86">
        <w:rPr>
          <w:rFonts w:ascii="Book Antiqua" w:hAnsi="Book Antiqua"/>
          <w:color w:val="000000"/>
        </w:rPr>
        <w:t xml:space="preserve"> </w:t>
      </w:r>
      <w:r w:rsidR="001223FE" w:rsidRPr="00704149">
        <w:rPr>
          <w:rFonts w:ascii="Book Antiqua" w:hAnsi="Book Antiqua"/>
          <w:b/>
          <w:bCs/>
        </w:rPr>
        <w:t xml:space="preserve">Sara </w:t>
      </w:r>
      <w:proofErr w:type="spellStart"/>
      <w:r w:rsidR="001223FE" w:rsidRPr="00704149">
        <w:rPr>
          <w:rFonts w:ascii="Book Antiqua" w:hAnsi="Book Antiqua"/>
          <w:b/>
          <w:bCs/>
        </w:rPr>
        <w:t>Ghoneim</w:t>
      </w:r>
      <w:proofErr w:type="spellEnd"/>
      <w:r w:rsidR="00911E1D" w:rsidRPr="00704149">
        <w:rPr>
          <w:rFonts w:ascii="Book Antiqua" w:hAnsi="Book Antiqua"/>
          <w:b/>
          <w:bCs/>
        </w:rPr>
        <w:t xml:space="preserve">, </w:t>
      </w:r>
      <w:r w:rsidR="0064614B" w:rsidRPr="0064614B">
        <w:rPr>
          <w:rFonts w:ascii="Book Antiqua" w:hAnsi="Book Antiqua"/>
          <w:b/>
          <w:bCs/>
        </w:rPr>
        <w:t>MD, Doctor,</w:t>
      </w:r>
      <w:r w:rsidR="00911E1D" w:rsidRPr="00704149">
        <w:rPr>
          <w:rFonts w:ascii="Book Antiqua" w:hAnsi="Book Antiqua"/>
          <w:b/>
          <w:bCs/>
        </w:rPr>
        <w:t xml:space="preserve"> </w:t>
      </w:r>
      <w:r w:rsidR="001223FE" w:rsidRPr="005E5D86">
        <w:rPr>
          <w:rFonts w:ascii="Book Antiqua" w:hAnsi="Book Antiqua"/>
        </w:rPr>
        <w:t>Department of Internal Medicine</w:t>
      </w:r>
      <w:r w:rsidR="00911E1D" w:rsidRPr="005E5D86">
        <w:rPr>
          <w:rFonts w:ascii="Book Antiqua" w:hAnsi="Book Antiqua"/>
        </w:rPr>
        <w:t xml:space="preserve">, </w:t>
      </w:r>
      <w:r w:rsidR="00ED3751" w:rsidRPr="005E5D86">
        <w:rPr>
          <w:rFonts w:ascii="Book Antiqua" w:hAnsi="Book Antiqua"/>
        </w:rPr>
        <w:t>Case Western Reserve</w:t>
      </w:r>
      <w:r w:rsidR="007A6BBB" w:rsidRPr="005E5D86">
        <w:rPr>
          <w:rFonts w:ascii="Book Antiqua" w:hAnsi="Book Antiqua"/>
        </w:rPr>
        <w:t xml:space="preserve"> </w:t>
      </w:r>
      <w:r w:rsidR="00ED3751" w:rsidRPr="005E5D86">
        <w:rPr>
          <w:rFonts w:ascii="Book Antiqua" w:hAnsi="Book Antiqua"/>
        </w:rPr>
        <w:t>University</w:t>
      </w:r>
      <w:r w:rsidR="007A6BBB" w:rsidRPr="005E5D86">
        <w:rPr>
          <w:rFonts w:ascii="Book Antiqua" w:hAnsi="Book Antiqua"/>
          <w:vertAlign w:val="superscript"/>
        </w:rPr>
        <w:t xml:space="preserve"> </w:t>
      </w:r>
      <w:r w:rsidR="007A6BBB" w:rsidRPr="005E5D86">
        <w:rPr>
          <w:rFonts w:ascii="Book Antiqua" w:hAnsi="Book Antiqua"/>
        </w:rPr>
        <w:t xml:space="preserve">at </w:t>
      </w:r>
      <w:proofErr w:type="spellStart"/>
      <w:r w:rsidR="001223FE" w:rsidRPr="005E5D86">
        <w:rPr>
          <w:rFonts w:ascii="Book Antiqua" w:hAnsi="Book Antiqua"/>
        </w:rPr>
        <w:t>MetroHealth</w:t>
      </w:r>
      <w:proofErr w:type="spellEnd"/>
      <w:r w:rsidR="001223FE" w:rsidRPr="005E5D86">
        <w:rPr>
          <w:rFonts w:ascii="Book Antiqua" w:hAnsi="Book Antiqua"/>
        </w:rPr>
        <w:t xml:space="preserve"> Medical Center</w:t>
      </w:r>
      <w:r w:rsidR="00911E1D" w:rsidRPr="005E5D86">
        <w:rPr>
          <w:rFonts w:ascii="Book Antiqua" w:hAnsi="Book Antiqua"/>
        </w:rPr>
        <w:t xml:space="preserve">, </w:t>
      </w:r>
      <w:r w:rsidR="001223FE" w:rsidRPr="005E5D86">
        <w:rPr>
          <w:rFonts w:ascii="Book Antiqua" w:hAnsi="Book Antiqua"/>
        </w:rPr>
        <w:t xml:space="preserve">2500 </w:t>
      </w:r>
      <w:proofErr w:type="spellStart"/>
      <w:r w:rsidR="001223FE" w:rsidRPr="005E5D86">
        <w:rPr>
          <w:rFonts w:ascii="Book Antiqua" w:hAnsi="Book Antiqua"/>
        </w:rPr>
        <w:t>MetroHealth</w:t>
      </w:r>
      <w:proofErr w:type="spellEnd"/>
      <w:r w:rsidR="001223FE" w:rsidRPr="005E5D86">
        <w:rPr>
          <w:rFonts w:ascii="Book Antiqua" w:hAnsi="Book Antiqua"/>
        </w:rPr>
        <w:t xml:space="preserve"> Drive</w:t>
      </w:r>
      <w:r w:rsidR="00911E1D" w:rsidRPr="005E5D86">
        <w:rPr>
          <w:rFonts w:ascii="Book Antiqua" w:hAnsi="Book Antiqua"/>
        </w:rPr>
        <w:t xml:space="preserve">, </w:t>
      </w:r>
      <w:r w:rsidR="001223FE" w:rsidRPr="005E5D86">
        <w:rPr>
          <w:rFonts w:ascii="Book Antiqua" w:hAnsi="Book Antiqua"/>
        </w:rPr>
        <w:t>Cleveland, OH</w:t>
      </w:r>
      <w:r w:rsidR="0064614B">
        <w:rPr>
          <w:rFonts w:ascii="Book Antiqua" w:hAnsi="Book Antiqua"/>
        </w:rPr>
        <w:t xml:space="preserve"> </w:t>
      </w:r>
      <w:r w:rsidR="001223FE" w:rsidRPr="005E5D86">
        <w:rPr>
          <w:rFonts w:ascii="Book Antiqua" w:hAnsi="Book Antiqua"/>
        </w:rPr>
        <w:t>44109</w:t>
      </w:r>
      <w:r w:rsidR="00911E1D" w:rsidRPr="005E5D86">
        <w:rPr>
          <w:rFonts w:ascii="Book Antiqua" w:hAnsi="Book Antiqua"/>
        </w:rPr>
        <w:t xml:space="preserve">, </w:t>
      </w:r>
      <w:r w:rsidRPr="005E5D86">
        <w:rPr>
          <w:rFonts w:ascii="Book Antiqua" w:hAnsi="Book Antiqua"/>
        </w:rPr>
        <w:t>United States</w:t>
      </w:r>
      <w:r w:rsidR="00911E1D" w:rsidRPr="005E5D86">
        <w:rPr>
          <w:rFonts w:ascii="Book Antiqua" w:hAnsi="Book Antiqua"/>
        </w:rPr>
        <w:t xml:space="preserve">. </w:t>
      </w:r>
      <w:r w:rsidR="001A240F" w:rsidRPr="005E5D86">
        <w:rPr>
          <w:rFonts w:ascii="Book Antiqua" w:hAnsi="Book Antiqua"/>
          <w:u w:val="single"/>
        </w:rPr>
        <w:t>saragho@gmail.com</w:t>
      </w:r>
    </w:p>
    <w:p w:rsidR="00EB1E63" w:rsidRPr="005E5D86" w:rsidRDefault="00EB1E63" w:rsidP="005E5D86">
      <w:pPr>
        <w:snapToGrid w:val="0"/>
        <w:spacing w:line="360" w:lineRule="auto"/>
        <w:jc w:val="both"/>
        <w:rPr>
          <w:rStyle w:val="a5"/>
          <w:rFonts w:ascii="Book Antiqua" w:hAnsi="Book Antiqua"/>
        </w:rPr>
      </w:pP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Received: </w:t>
      </w:r>
      <w:r w:rsidRPr="005E5D86">
        <w:rPr>
          <w:rFonts w:ascii="Book Antiqua" w:hAnsi="Book Antiqua"/>
          <w:color w:val="000000"/>
        </w:rPr>
        <w:t>January 11,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Revised: </w:t>
      </w:r>
      <w:r w:rsidRPr="005E5D86">
        <w:rPr>
          <w:rFonts w:ascii="Book Antiqua" w:hAnsi="Book Antiqua"/>
          <w:color w:val="000000"/>
        </w:rPr>
        <w:t>May 25,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Accepted: </w:t>
      </w:r>
      <w:r w:rsidR="00FD0A07" w:rsidRPr="00FD0A07">
        <w:rPr>
          <w:rFonts w:ascii="Book Antiqua" w:hAnsi="Book Antiqua"/>
          <w:color w:val="000000"/>
        </w:rPr>
        <w:t>June 10,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Published online:</w:t>
      </w:r>
      <w:r w:rsidR="009540CE" w:rsidRPr="009540CE">
        <w:rPr>
          <w:rFonts w:ascii="Book Antiqua" w:hAnsi="Book Antiqua" w:hint="eastAsia"/>
          <w:color w:val="000000" w:themeColor="text1"/>
        </w:rPr>
        <w:t xml:space="preserve"> </w:t>
      </w:r>
      <w:r w:rsidR="009540CE" w:rsidRPr="00A11E2F">
        <w:rPr>
          <w:rFonts w:ascii="Book Antiqua" w:hAnsi="Book Antiqua" w:hint="eastAsia"/>
          <w:color w:val="000000" w:themeColor="text1"/>
        </w:rPr>
        <w:t>Ju</w:t>
      </w:r>
      <w:r w:rsidR="009540CE">
        <w:rPr>
          <w:rFonts w:ascii="Book Antiqua" w:hAnsi="Book Antiqua" w:hint="eastAsia"/>
          <w:color w:val="000000" w:themeColor="text1"/>
        </w:rPr>
        <w:t>ly</w:t>
      </w:r>
      <w:r w:rsidR="009540CE" w:rsidRPr="00A11E2F">
        <w:rPr>
          <w:rFonts w:ascii="Book Antiqua" w:hAnsi="Book Antiqua"/>
          <w:color w:val="000000" w:themeColor="text1"/>
        </w:rPr>
        <w:t xml:space="preserve"> 27, 2020</w:t>
      </w:r>
    </w:p>
    <w:p w:rsidR="007A6BBB" w:rsidRPr="005E5D86" w:rsidRDefault="007A6BBB" w:rsidP="005E5D86">
      <w:pPr>
        <w:snapToGrid w:val="0"/>
        <w:spacing w:line="360" w:lineRule="auto"/>
        <w:jc w:val="both"/>
        <w:rPr>
          <w:rFonts w:ascii="Book Antiqua" w:hAnsi="Book Antiqua"/>
          <w:b/>
        </w:rPr>
      </w:pPr>
      <w:r w:rsidRPr="005E5D86">
        <w:rPr>
          <w:rFonts w:ascii="Book Antiqua" w:hAnsi="Book Antiqua"/>
          <w:b/>
          <w:bCs/>
        </w:rPr>
        <w:br w:type="page"/>
      </w:r>
    </w:p>
    <w:p w:rsidR="00EB1E63" w:rsidRPr="005E5D86" w:rsidRDefault="00EB1E63" w:rsidP="005E5D86">
      <w:pPr>
        <w:adjustRightInd w:val="0"/>
        <w:snapToGrid w:val="0"/>
        <w:spacing w:line="360" w:lineRule="auto"/>
        <w:jc w:val="both"/>
        <w:rPr>
          <w:rFonts w:ascii="Book Antiqua" w:hAnsi="Book Antiqua"/>
          <w:b/>
          <w:color w:val="008000"/>
        </w:rPr>
      </w:pPr>
      <w:r w:rsidRPr="005E5D86">
        <w:rPr>
          <w:rFonts w:ascii="Book Antiqua" w:hAnsi="Book Antiqua"/>
          <w:b/>
          <w:color w:val="000000"/>
        </w:rPr>
        <w:lastRenderedPageBreak/>
        <w:t>Abstract</w:t>
      </w:r>
    </w:p>
    <w:p w:rsidR="00EB1E63" w:rsidRPr="005E5D86" w:rsidRDefault="00EB1E63" w:rsidP="005E5D86">
      <w:pPr>
        <w:adjustRightInd w:val="0"/>
        <w:snapToGrid w:val="0"/>
        <w:spacing w:line="360" w:lineRule="auto"/>
        <w:jc w:val="both"/>
        <w:rPr>
          <w:rFonts w:ascii="Book Antiqua" w:hAnsi="Book Antiqua"/>
          <w:color w:val="000000"/>
        </w:rPr>
      </w:pPr>
      <w:r w:rsidRPr="005E5D86">
        <w:rPr>
          <w:rFonts w:ascii="Book Antiqua" w:hAnsi="Book Antiqua"/>
          <w:color w:val="000000"/>
        </w:rPr>
        <w:t>BACKGROUND</w:t>
      </w:r>
    </w:p>
    <w:p w:rsidR="00930EFA" w:rsidRPr="005E5D86" w:rsidRDefault="00930EFA" w:rsidP="005E5D86">
      <w:pPr>
        <w:snapToGrid w:val="0"/>
        <w:spacing w:line="360" w:lineRule="auto"/>
        <w:jc w:val="both"/>
        <w:rPr>
          <w:rFonts w:ascii="Book Antiqua" w:hAnsi="Book Antiqua"/>
        </w:rPr>
      </w:pPr>
      <w:r w:rsidRPr="005E5D86">
        <w:rPr>
          <w:rFonts w:ascii="Book Antiqua" w:hAnsi="Book Antiqua"/>
        </w:rPr>
        <w:t>Non-alcoholic fatty liver disease</w:t>
      </w:r>
      <w:r w:rsidR="00D541FE" w:rsidRPr="005E5D86">
        <w:rPr>
          <w:rFonts w:ascii="Book Antiqua" w:hAnsi="Book Antiqua"/>
        </w:rPr>
        <w:t xml:space="preserve"> (NAFLD)</w:t>
      </w:r>
      <w:r w:rsidRPr="005E5D86">
        <w:rPr>
          <w:rFonts w:ascii="Book Antiqua" w:hAnsi="Book Antiqua"/>
        </w:rPr>
        <w:t xml:space="preserve"> </w:t>
      </w:r>
      <w:r w:rsidR="002914AC" w:rsidRPr="005E5D86">
        <w:rPr>
          <w:rFonts w:ascii="Book Antiqua" w:hAnsi="Book Antiqua"/>
        </w:rPr>
        <w:t xml:space="preserve">is a systemic </w:t>
      </w:r>
      <w:r w:rsidR="00B351B4" w:rsidRPr="005E5D86">
        <w:rPr>
          <w:rFonts w:ascii="Book Antiqua" w:hAnsi="Book Antiqua"/>
        </w:rPr>
        <w:t>disease</w:t>
      </w:r>
      <w:r w:rsidR="002914AC" w:rsidRPr="005E5D86">
        <w:rPr>
          <w:rFonts w:ascii="Book Antiqua" w:hAnsi="Book Antiqua"/>
        </w:rPr>
        <w:t xml:space="preserve"> with bidirectional relationships with cardiovascular disease</w:t>
      </w:r>
      <w:r w:rsidR="009A062D" w:rsidRPr="005E5D86">
        <w:rPr>
          <w:rFonts w:ascii="Book Antiqua" w:hAnsi="Book Antiqua"/>
        </w:rPr>
        <w:t xml:space="preserve"> (CVD)</w:t>
      </w:r>
      <w:r w:rsidRPr="005E5D86">
        <w:rPr>
          <w:rFonts w:ascii="Book Antiqua" w:hAnsi="Book Antiqua"/>
        </w:rPr>
        <w:t xml:space="preserve">. Non-alcoholic steatohepatitis (NASH) is a more severe </w:t>
      </w:r>
      <w:r w:rsidR="002914AC" w:rsidRPr="005E5D86">
        <w:rPr>
          <w:rFonts w:ascii="Book Antiqua" w:hAnsi="Book Antiqua"/>
        </w:rPr>
        <w:t xml:space="preserve">subtype </w:t>
      </w:r>
      <w:r w:rsidR="00207778" w:rsidRPr="005E5D86">
        <w:rPr>
          <w:rFonts w:ascii="Book Antiqua" w:hAnsi="Book Antiqua"/>
        </w:rPr>
        <w:t>o</w:t>
      </w:r>
      <w:r w:rsidR="00B02488" w:rsidRPr="005E5D86">
        <w:rPr>
          <w:rFonts w:ascii="Book Antiqua" w:hAnsi="Book Antiqua"/>
        </w:rPr>
        <w:t>f NAFLD</w:t>
      </w:r>
      <w:r w:rsidR="002914AC" w:rsidRPr="005E5D86">
        <w:rPr>
          <w:rFonts w:ascii="Book Antiqua" w:hAnsi="Book Antiqua"/>
        </w:rPr>
        <w:t xml:space="preserve">. </w:t>
      </w:r>
      <w:r w:rsidR="00AE7981" w:rsidRPr="005E5D86">
        <w:rPr>
          <w:rFonts w:ascii="Book Antiqua" w:hAnsi="Book Antiqua"/>
        </w:rPr>
        <w:t xml:space="preserve">Patients with NASH </w:t>
      </w:r>
      <w:r w:rsidR="00207778" w:rsidRPr="005E5D86">
        <w:rPr>
          <w:rFonts w:ascii="Book Antiqua" w:hAnsi="Book Antiqua"/>
        </w:rPr>
        <w:t>exhibit</w:t>
      </w:r>
      <w:r w:rsidR="00AE7981" w:rsidRPr="005E5D86">
        <w:rPr>
          <w:rFonts w:ascii="Book Antiqua" w:hAnsi="Book Antiqua"/>
        </w:rPr>
        <w:t xml:space="preserve"> more intra and extrahepatic inflammation, procoagulant imbalance</w:t>
      </w:r>
      <w:r w:rsidR="00207778" w:rsidRPr="005E5D86">
        <w:rPr>
          <w:rFonts w:ascii="Book Antiqua" w:hAnsi="Book Antiqua"/>
        </w:rPr>
        <w:t>s</w:t>
      </w:r>
      <w:r w:rsidR="00AE7981" w:rsidRPr="005E5D86">
        <w:rPr>
          <w:rFonts w:ascii="Book Antiqua" w:hAnsi="Book Antiqua"/>
        </w:rPr>
        <w:t xml:space="preserve"> and proatherogenic lipid profiles. Whether NASH </w:t>
      </w:r>
      <w:r w:rsidR="00B02488" w:rsidRPr="005E5D86">
        <w:rPr>
          <w:rFonts w:ascii="Book Antiqua" w:hAnsi="Book Antiqua"/>
        </w:rPr>
        <w:t>increases the risk of</w:t>
      </w:r>
      <w:r w:rsidR="00AE7981" w:rsidRPr="005E5D86">
        <w:rPr>
          <w:rFonts w:ascii="Book Antiqua" w:hAnsi="Book Antiqua"/>
        </w:rPr>
        <w:t xml:space="preserve"> ischemic </w:t>
      </w:r>
      <w:r w:rsidR="00B02488" w:rsidRPr="005E5D86">
        <w:rPr>
          <w:rFonts w:ascii="Book Antiqua" w:hAnsi="Book Antiqua"/>
        </w:rPr>
        <w:t>heart</w:t>
      </w:r>
      <w:r w:rsidR="00AE7981" w:rsidRPr="005E5D86">
        <w:rPr>
          <w:rFonts w:ascii="Book Antiqua" w:hAnsi="Book Antiqua"/>
        </w:rPr>
        <w:t xml:space="preserve"> disease is currently unclear</w:t>
      </w:r>
      <w:r w:rsidR="00B02488" w:rsidRPr="005E5D86">
        <w:rPr>
          <w:rFonts w:ascii="Book Antiqua" w:hAnsi="Book Antiqua"/>
        </w:rPr>
        <w:t>.</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AIM</w:t>
      </w:r>
    </w:p>
    <w:p w:rsidR="009A062D" w:rsidRPr="005E5D86" w:rsidRDefault="009A062D" w:rsidP="005E5D86">
      <w:pPr>
        <w:snapToGrid w:val="0"/>
        <w:spacing w:line="360" w:lineRule="auto"/>
        <w:jc w:val="both"/>
        <w:rPr>
          <w:rFonts w:ascii="Book Antiqua" w:hAnsi="Book Antiqua"/>
        </w:rPr>
      </w:pPr>
      <w:proofErr w:type="gramStart"/>
      <w:r w:rsidRPr="005E5D86">
        <w:rPr>
          <w:rFonts w:ascii="Book Antiqua" w:hAnsi="Book Antiqua"/>
        </w:rPr>
        <w:t xml:space="preserve">To investigate </w:t>
      </w:r>
      <w:r w:rsidR="008F0ED4" w:rsidRPr="005E5D86">
        <w:rPr>
          <w:rFonts w:ascii="Book Antiqua" w:hAnsi="Book Antiqua"/>
        </w:rPr>
        <w:t xml:space="preserve">the relationship between </w:t>
      </w:r>
      <w:r w:rsidR="00B65748" w:rsidRPr="005E5D86">
        <w:rPr>
          <w:rFonts w:ascii="Book Antiqua" w:hAnsi="Book Antiqua"/>
        </w:rPr>
        <w:t xml:space="preserve">acute </w:t>
      </w:r>
      <w:r w:rsidR="0008301E" w:rsidRPr="005E5D86">
        <w:rPr>
          <w:rFonts w:ascii="Book Antiqua" w:hAnsi="Book Antiqua"/>
        </w:rPr>
        <w:t>myocardial infarction (MI</w:t>
      </w:r>
      <w:r w:rsidR="00D541FE" w:rsidRPr="005E5D86">
        <w:rPr>
          <w:rFonts w:ascii="Book Antiqua" w:hAnsi="Book Antiqua"/>
        </w:rPr>
        <w:t>)</w:t>
      </w:r>
      <w:r w:rsidR="0008301E" w:rsidRPr="005E5D86">
        <w:rPr>
          <w:rFonts w:ascii="Book Antiqua" w:hAnsi="Book Antiqua"/>
        </w:rPr>
        <w:t xml:space="preserve"> </w:t>
      </w:r>
      <w:r w:rsidR="008F0ED4" w:rsidRPr="005E5D86">
        <w:rPr>
          <w:rFonts w:ascii="Book Antiqua" w:hAnsi="Book Antiqua"/>
        </w:rPr>
        <w:t>and</w:t>
      </w:r>
      <w:r w:rsidR="00A20CF7" w:rsidRPr="005E5D86">
        <w:rPr>
          <w:rFonts w:ascii="Book Antiqua" w:hAnsi="Book Antiqua"/>
        </w:rPr>
        <w:t xml:space="preserve"> </w:t>
      </w:r>
      <w:r w:rsidR="0008301E" w:rsidRPr="005E5D86">
        <w:rPr>
          <w:rFonts w:ascii="Book Antiqua" w:hAnsi="Book Antiqua"/>
        </w:rPr>
        <w:t>NASH</w:t>
      </w:r>
      <w:r w:rsidR="00957661" w:rsidRPr="005E5D86">
        <w:rPr>
          <w:rFonts w:ascii="Book Antiqua" w:hAnsi="Book Antiqua"/>
        </w:rPr>
        <w:t xml:space="preserve"> in </w:t>
      </w:r>
      <w:r w:rsidR="0008301E" w:rsidRPr="005E5D86">
        <w:rPr>
          <w:rFonts w:ascii="Book Antiqua" w:hAnsi="Book Antiqua"/>
        </w:rPr>
        <w:t>a large cohort of subjects in the United States.</w:t>
      </w:r>
      <w:proofErr w:type="gramEnd"/>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METHODS</w:t>
      </w:r>
    </w:p>
    <w:p w:rsidR="00AE7981" w:rsidRPr="005E5D86" w:rsidRDefault="000B3BA6" w:rsidP="005E5D86">
      <w:pPr>
        <w:snapToGrid w:val="0"/>
        <w:spacing w:line="360" w:lineRule="auto"/>
        <w:jc w:val="both"/>
        <w:rPr>
          <w:rFonts w:ascii="Book Antiqua" w:hAnsi="Book Antiqua"/>
        </w:rPr>
      </w:pPr>
      <w:r w:rsidRPr="005E5D86">
        <w:rPr>
          <w:rFonts w:ascii="Book Antiqua" w:hAnsi="Book Antiqua"/>
        </w:rPr>
        <w:t>We reviewed data from a large commercial database (</w:t>
      </w:r>
      <w:proofErr w:type="spellStart"/>
      <w:r w:rsidRPr="005E5D86">
        <w:rPr>
          <w:rFonts w:ascii="Book Antiqua" w:hAnsi="Book Antiqua"/>
        </w:rPr>
        <w:t>Explorys</w:t>
      </w:r>
      <w:proofErr w:type="spellEnd"/>
      <w:r w:rsidRPr="005E5D86">
        <w:rPr>
          <w:rFonts w:ascii="Book Antiqua" w:hAnsi="Book Antiqua"/>
        </w:rPr>
        <w:t xml:space="preserve"> IBM) that aggregates electronic health records from 26 large </w:t>
      </w:r>
      <w:r w:rsidR="004B0A2C" w:rsidRPr="005E5D86">
        <w:rPr>
          <w:rFonts w:ascii="Book Antiqua" w:hAnsi="Book Antiqua"/>
        </w:rPr>
        <w:t>nationwide</w:t>
      </w:r>
      <w:r w:rsidRPr="005E5D86">
        <w:rPr>
          <w:rFonts w:ascii="Book Antiqua" w:hAnsi="Book Antiqua"/>
        </w:rPr>
        <w:t xml:space="preserve"> healthcare systems. Using systemized nomenclature of clinical medical terms</w:t>
      </w:r>
      <w:r w:rsidR="007D3C2F" w:rsidRPr="005E5D86">
        <w:rPr>
          <w:rFonts w:ascii="Book Antiqua" w:hAnsi="Book Antiqua"/>
        </w:rPr>
        <w:t xml:space="preserve"> (SNOMED CT)</w:t>
      </w:r>
      <w:r w:rsidRPr="005E5D86">
        <w:rPr>
          <w:rFonts w:ascii="Book Antiqua" w:hAnsi="Book Antiqua"/>
        </w:rPr>
        <w:t>, we</w:t>
      </w:r>
      <w:r w:rsidR="004B0A2C" w:rsidRPr="005E5D86">
        <w:rPr>
          <w:rFonts w:ascii="Book Antiqua" w:hAnsi="Book Antiqua"/>
        </w:rPr>
        <w:t xml:space="preserve"> identified</w:t>
      </w:r>
      <w:r w:rsidRPr="005E5D86">
        <w:rPr>
          <w:rFonts w:ascii="Book Antiqua" w:hAnsi="Book Antiqua"/>
        </w:rPr>
        <w:t xml:space="preserve"> adult with the diagnosis of NASH from 1999</w:t>
      </w:r>
      <w:r w:rsidR="004B0A2C" w:rsidRPr="005E5D86">
        <w:rPr>
          <w:rFonts w:ascii="Book Antiqua" w:hAnsi="Book Antiqua"/>
        </w:rPr>
        <w:t>-</w:t>
      </w:r>
      <w:r w:rsidRPr="005E5D86">
        <w:rPr>
          <w:rFonts w:ascii="Book Antiqua" w:hAnsi="Book Antiqua"/>
        </w:rPr>
        <w:t>2019.</w:t>
      </w:r>
      <w:r w:rsidR="00AC623A" w:rsidRPr="005E5D86">
        <w:rPr>
          <w:rFonts w:ascii="Book Antiqua" w:hAnsi="Book Antiqua"/>
        </w:rPr>
        <w:t xml:space="preserve"> </w:t>
      </w:r>
      <w:r w:rsidR="00587513" w:rsidRPr="005E5D86">
        <w:rPr>
          <w:rFonts w:ascii="Book Antiqua" w:hAnsi="Book Antiqua"/>
        </w:rPr>
        <w:t xml:space="preserve">We </w:t>
      </w:r>
      <w:r w:rsidR="008A05F9" w:rsidRPr="005E5D86">
        <w:rPr>
          <w:rFonts w:ascii="Book Antiqua" w:hAnsi="Book Antiqua"/>
        </w:rPr>
        <w:t>included patients with</w:t>
      </w:r>
      <w:r w:rsidR="00587513" w:rsidRPr="005E5D86">
        <w:rPr>
          <w:rFonts w:ascii="Book Antiqua" w:hAnsi="Book Antiqua"/>
        </w:rPr>
        <w:t xml:space="preserve"> the diagnosis of acute MI from 2018-2019</w:t>
      </w:r>
      <w:r w:rsidR="007D3C2F" w:rsidRPr="005E5D86">
        <w:rPr>
          <w:rFonts w:ascii="Book Antiqua" w:hAnsi="Book Antiqua"/>
        </w:rPr>
        <w:t xml:space="preserve">. </w:t>
      </w:r>
      <w:r w:rsidR="00AC623A" w:rsidRPr="005E5D86">
        <w:rPr>
          <w:rFonts w:ascii="Book Antiqua" w:hAnsi="Book Antiqua"/>
        </w:rPr>
        <w:t xml:space="preserve">Comorbidities known to be associated with NASH and MI such as obesity, diabetes mellitus, hyperlipidemia, smoking, male gender, and hypertension were </w:t>
      </w:r>
      <w:r w:rsidR="002B1A84" w:rsidRPr="005E5D86">
        <w:rPr>
          <w:rFonts w:ascii="Book Antiqua" w:hAnsi="Book Antiqua"/>
        </w:rPr>
        <w:t>collected</w:t>
      </w:r>
      <w:r w:rsidR="00AC623A" w:rsidRPr="005E5D86">
        <w:rPr>
          <w:rFonts w:ascii="Book Antiqua" w:hAnsi="Book Antiqua"/>
        </w:rPr>
        <w:t xml:space="preserve">. </w:t>
      </w:r>
      <w:r w:rsidR="00112A14" w:rsidRPr="005E5D86">
        <w:rPr>
          <w:rFonts w:ascii="Book Antiqua" w:hAnsi="Book Antiqua"/>
        </w:rPr>
        <w:t xml:space="preserve">Univariable and multivariable analyses were performed to investigate whether NASH is </w:t>
      </w:r>
      <w:r w:rsidR="00025E9D" w:rsidRPr="005E5D86">
        <w:rPr>
          <w:rFonts w:ascii="Book Antiqua" w:hAnsi="Book Antiqua"/>
        </w:rPr>
        <w:t xml:space="preserve">independently </w:t>
      </w:r>
      <w:r w:rsidR="00112A14" w:rsidRPr="005E5D86">
        <w:rPr>
          <w:rFonts w:ascii="Book Antiqua" w:hAnsi="Book Antiqua"/>
        </w:rPr>
        <w:t xml:space="preserve">associated with </w:t>
      </w:r>
      <w:r w:rsidR="00025E9D" w:rsidRPr="005E5D86">
        <w:rPr>
          <w:rFonts w:ascii="Book Antiqua" w:hAnsi="Book Antiqua"/>
        </w:rPr>
        <w:t xml:space="preserve">the risk of </w:t>
      </w:r>
      <w:r w:rsidR="00112A14" w:rsidRPr="005E5D86">
        <w:rPr>
          <w:rFonts w:ascii="Book Antiqua" w:hAnsi="Book Antiqua"/>
        </w:rPr>
        <w:t>MI.</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RESULTS</w:t>
      </w:r>
    </w:p>
    <w:p w:rsidR="00207778" w:rsidRPr="005E5D86" w:rsidRDefault="009B535A"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Out of 55099280 patients, 43170 were diagnosed with NASH (0.08%) and 107000 (0.194%) had a MI within </w:t>
      </w:r>
      <w:r w:rsidR="00F15DF3" w:rsidRPr="005E5D86">
        <w:rPr>
          <w:rFonts w:ascii="Book Antiqua" w:hAnsi="Book Antiqua"/>
          <w:color w:val="000000" w:themeColor="text1"/>
          <w:shd w:val="clear" w:color="auto" w:fill="FFFFFF"/>
        </w:rPr>
        <w:t>2018-2019</w:t>
      </w:r>
      <w:r w:rsidR="00166750" w:rsidRPr="005E5D86">
        <w:rPr>
          <w:rFonts w:ascii="Book Antiqua" w:hAnsi="Book Antiqua"/>
          <w:color w:val="000000" w:themeColor="text1"/>
          <w:shd w:val="clear" w:color="auto" w:fill="FFFFFF"/>
        </w:rPr>
        <w:t>. After adjusting for traditional risk factors,</w:t>
      </w:r>
      <w:r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 xml:space="preserve">NASH </w:t>
      </w:r>
      <w:r w:rsidR="00D2531C" w:rsidRPr="005E5D86">
        <w:rPr>
          <w:rFonts w:ascii="Book Antiqua" w:hAnsi="Book Antiqua"/>
          <w:color w:val="000000" w:themeColor="text1"/>
          <w:shd w:val="clear" w:color="auto" w:fill="FFFFFF"/>
        </w:rPr>
        <w:t>conferred greater</w:t>
      </w:r>
      <w:r w:rsidRPr="005E5D86">
        <w:rPr>
          <w:rFonts w:ascii="Book Antiqua" w:hAnsi="Book Antiqua"/>
          <w:color w:val="000000" w:themeColor="text1"/>
          <w:shd w:val="clear" w:color="auto" w:fill="FFFFFF"/>
        </w:rPr>
        <w:t xml:space="preserve"> </w:t>
      </w:r>
      <w:r w:rsidR="004F1E3B" w:rsidRPr="005E5D86">
        <w:rPr>
          <w:rFonts w:ascii="Book Antiqua" w:hAnsi="Book Antiqua"/>
          <w:color w:val="000000" w:themeColor="text1"/>
          <w:shd w:val="clear" w:color="auto" w:fill="FFFFFF"/>
        </w:rPr>
        <w:t xml:space="preserve">odds </w:t>
      </w:r>
      <w:r w:rsidR="00D2531C" w:rsidRPr="005E5D86">
        <w:rPr>
          <w:rFonts w:ascii="Book Antiqua" w:hAnsi="Book Antiqua"/>
          <w:color w:val="000000" w:themeColor="text1"/>
          <w:shd w:val="clear" w:color="auto" w:fill="FFFFFF"/>
        </w:rPr>
        <w:t xml:space="preserve">of MI odds </w:t>
      </w:r>
      <w:r w:rsidR="004F1E3B" w:rsidRPr="005E5D86">
        <w:rPr>
          <w:rFonts w:ascii="Book Antiqua" w:hAnsi="Book Antiqua"/>
          <w:color w:val="000000" w:themeColor="text1"/>
          <w:shd w:val="clear" w:color="auto" w:fill="FFFFFF"/>
        </w:rPr>
        <w:t xml:space="preserve">ratio </w:t>
      </w:r>
      <w:r w:rsidR="005D3348">
        <w:rPr>
          <w:rFonts w:ascii="Book Antiqua" w:hAnsi="Book Antiqua"/>
          <w:color w:val="000000" w:themeColor="text1"/>
          <w:shd w:val="clear" w:color="auto" w:fill="FFFFFF"/>
        </w:rPr>
        <w:t>(</w:t>
      </w:r>
      <w:r w:rsidR="004F1E3B" w:rsidRPr="005E5D86">
        <w:rPr>
          <w:rFonts w:ascii="Book Antiqua" w:hAnsi="Book Antiqua"/>
          <w:color w:val="000000" w:themeColor="text1"/>
          <w:shd w:val="clear" w:color="auto" w:fill="FFFFFF"/>
        </w:rPr>
        <w:t>O</w:t>
      </w:r>
      <w:r w:rsidRPr="005E5D86">
        <w:rPr>
          <w:rFonts w:ascii="Book Antiqua" w:hAnsi="Book Antiqua"/>
          <w:color w:val="000000" w:themeColor="text1"/>
          <w:shd w:val="clear" w:color="auto" w:fill="FFFFFF"/>
        </w:rPr>
        <w:t>R</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1.5</w:t>
      </w:r>
      <w:r w:rsidR="005D3348">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95% </w:t>
      </w:r>
      <w:r w:rsidR="00267586" w:rsidRPr="005E5D86">
        <w:rPr>
          <w:rFonts w:ascii="Book Antiqua" w:hAnsi="Book Antiqua"/>
          <w:color w:val="000000" w:themeColor="text1"/>
          <w:shd w:val="clear" w:color="auto" w:fill="FFFFFF"/>
        </w:rPr>
        <w:t xml:space="preserve">confidence interval </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CI</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1.40-1.62</w:t>
      </w:r>
      <w:r w:rsidR="00D2531C"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Hyperlipidemia had the strongest association with MI</w:t>
      </w:r>
      <w:r w:rsidR="004F1E3B"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OR</w:t>
      </w:r>
      <w:r w:rsidR="004F1E3B"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8.39</w:t>
      </w:r>
      <w:r w:rsidR="004F1E3B" w:rsidRPr="005E5D86">
        <w:rPr>
          <w:rFonts w:ascii="Book Antiqua" w:hAnsi="Book Antiqua"/>
          <w:color w:val="000000" w:themeColor="text1"/>
          <w:shd w:val="clear" w:color="auto" w:fill="FFFFFF"/>
        </w:rPr>
        <w:t xml:space="preserve"> </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8.21-8.58</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207778" w:rsidRPr="005E5D86">
        <w:rPr>
          <w:rFonts w:ascii="Book Antiqua" w:hAnsi="Book Antiqua"/>
          <w:color w:val="000000" w:themeColor="text1"/>
          <w:shd w:val="clear" w:color="auto" w:fill="FFFFFF"/>
        </w:rPr>
        <w:t xml:space="preserve">followed by </w:t>
      </w:r>
      <w:r w:rsidR="004F1E3B" w:rsidRPr="005E5D86">
        <w:rPr>
          <w:rFonts w:ascii="Book Antiqua" w:hAnsi="Book Antiqua"/>
          <w:color w:val="000000" w:themeColor="text1"/>
          <w:shd w:val="clear" w:color="auto" w:fill="FFFFFF"/>
        </w:rPr>
        <w:t xml:space="preserve">hypertension </w:t>
      </w:r>
      <w:r w:rsidR="00207778" w:rsidRPr="005E5D86">
        <w:rPr>
          <w:rFonts w:ascii="Book Antiqua" w:hAnsi="Book Antiqua"/>
          <w:color w:val="000000" w:themeColor="text1"/>
          <w:shd w:val="clear" w:color="auto" w:fill="FFFFFF"/>
        </w:rPr>
        <w:t xml:space="preserve">OR 3.11 </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95%CI: 3.05-3.17</w:t>
      </w:r>
      <w:r w:rsidR="005D3348" w:rsidRPr="005E5D86">
        <w:rPr>
          <w:rFonts w:ascii="Book Antiqua" w:hAnsi="Book Antiqua"/>
          <w:color w:val="000000" w:themeColor="text1"/>
          <w:shd w:val="clear" w:color="auto" w:fill="FFFFFF"/>
        </w:rPr>
        <w:t>) and</w:t>
      </w:r>
      <w:r w:rsidR="00207778" w:rsidRPr="005E5D86">
        <w:rPr>
          <w:rFonts w:ascii="Book Antiqua" w:hAnsi="Book Antiqua"/>
          <w:color w:val="000000" w:themeColor="text1"/>
          <w:shd w:val="clear" w:color="auto" w:fill="FFFFFF"/>
        </w:rPr>
        <w:t xml:space="preserve"> </w:t>
      </w:r>
      <w:r w:rsidR="00942773" w:rsidRPr="005E5D86">
        <w:rPr>
          <w:rFonts w:ascii="Book Antiqua" w:hAnsi="Book Antiqua"/>
          <w:color w:val="000000" w:themeColor="text1"/>
          <w:shd w:val="clear" w:color="auto" w:fill="FFFFFF"/>
        </w:rPr>
        <w:t>smoking</w:t>
      </w:r>
      <w:r w:rsidR="00207778" w:rsidRPr="005E5D86">
        <w:rPr>
          <w:rFonts w:ascii="Book Antiqua" w:hAnsi="Book Antiqua"/>
          <w:color w:val="000000" w:themeColor="text1"/>
          <w:shd w:val="clear" w:color="auto" w:fill="FFFFFF"/>
        </w:rPr>
        <w:t xml:space="preserve"> </w:t>
      </w:r>
      <w:r w:rsidR="00697307" w:rsidRPr="005E5D86">
        <w:rPr>
          <w:rFonts w:ascii="Book Antiqua" w:hAnsi="Book Antiqua"/>
          <w:color w:val="000000" w:themeColor="text1"/>
          <w:shd w:val="clear" w:color="auto" w:fill="FFFFFF"/>
        </w:rPr>
        <w:t xml:space="preserve">OR </w:t>
      </w:r>
      <w:r w:rsidR="00207778" w:rsidRPr="005E5D86">
        <w:rPr>
          <w:rFonts w:ascii="Book Antiqua" w:hAnsi="Book Antiqua"/>
          <w:color w:val="000000" w:themeColor="text1"/>
          <w:shd w:val="clear" w:color="auto" w:fill="FFFFFF"/>
        </w:rPr>
        <w:t>2.83</w:t>
      </w:r>
      <w:r w:rsidR="00942773" w:rsidRPr="005E5D86">
        <w:rPr>
          <w:rFonts w:ascii="Book Antiqua" w:hAnsi="Book Antiqua"/>
          <w:color w:val="000000" w:themeColor="text1"/>
          <w:shd w:val="clear" w:color="auto" w:fill="FFFFFF"/>
        </w:rPr>
        <w:t xml:space="preserve"> </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95%CI: 2.79-2.87</w:t>
      </w:r>
      <w:r w:rsidR="00697307"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NASH </w:t>
      </w:r>
      <w:r w:rsidR="00207778" w:rsidRPr="005E5D86">
        <w:rPr>
          <w:rFonts w:ascii="Book Antiqua" w:hAnsi="Book Antiqua"/>
          <w:color w:val="000000" w:themeColor="text1"/>
          <w:shd w:val="clear" w:color="auto" w:fill="FFFFFF"/>
        </w:rPr>
        <w:t>had a similar association with MI</w:t>
      </w:r>
      <w:r w:rsidRPr="005E5D86">
        <w:rPr>
          <w:rFonts w:ascii="Book Antiqua" w:hAnsi="Book Antiqua"/>
          <w:color w:val="000000" w:themeColor="text1"/>
          <w:shd w:val="clear" w:color="auto" w:fill="FFFFFF"/>
        </w:rPr>
        <w:t xml:space="preserve"> </w:t>
      </w:r>
      <w:r w:rsidR="00207778" w:rsidRPr="005E5D86">
        <w:rPr>
          <w:rFonts w:ascii="Book Antiqua" w:hAnsi="Book Antiqua"/>
          <w:color w:val="000000" w:themeColor="text1"/>
          <w:shd w:val="clear" w:color="auto" w:fill="FFFFFF"/>
        </w:rPr>
        <w:t>as the following</w:t>
      </w:r>
      <w:r w:rsidRPr="005E5D86">
        <w:rPr>
          <w:rFonts w:ascii="Book Antiqua" w:hAnsi="Book Antiqua"/>
          <w:color w:val="000000" w:themeColor="text1"/>
          <w:shd w:val="clear" w:color="auto" w:fill="FFFFFF"/>
        </w:rPr>
        <w:t xml:space="preserve"> traditional risk </w:t>
      </w:r>
      <w:r w:rsidRPr="005E5D86">
        <w:rPr>
          <w:rFonts w:ascii="Book Antiqua" w:hAnsi="Book Antiqua"/>
          <w:color w:val="000000" w:themeColor="text1"/>
          <w:shd w:val="clear" w:color="auto" w:fill="FFFFFF"/>
        </w:rPr>
        <w:lastRenderedPageBreak/>
        <w:t>factors like age</w:t>
      </w:r>
      <w:r w:rsidR="00B13FB6" w:rsidRPr="005E5D86">
        <w:rPr>
          <w:rStyle w:val="apple-converted-space"/>
          <w:rFonts w:ascii="Book Antiqua" w:hAnsi="Book Antiqua"/>
          <w:color w:val="000000" w:themeColor="text1"/>
          <w:shd w:val="clear" w:color="auto" w:fill="FFFFFF"/>
        </w:rPr>
        <w:t xml:space="preserve"> above</w:t>
      </w:r>
      <w:r w:rsidR="005D3348">
        <w:rPr>
          <w:rStyle w:val="apple-converted-space"/>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65 years OR 1.47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1.45-1.49</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male gender OR 1.53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1.51-1.55</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B13FB6" w:rsidRPr="005E5D86">
        <w:rPr>
          <w:rFonts w:ascii="Book Antiqua" w:hAnsi="Book Antiqua"/>
          <w:color w:val="000000" w:themeColor="text1"/>
          <w:shd w:val="clear" w:color="auto" w:fill="FFFFFF"/>
        </w:rPr>
        <w:t>diabetes mellitus</w:t>
      </w:r>
      <w:r w:rsidRPr="005E5D86">
        <w:rPr>
          <w:rFonts w:ascii="Book Antiqua" w:hAnsi="Book Antiqua"/>
          <w:color w:val="000000" w:themeColor="text1"/>
          <w:shd w:val="clear" w:color="auto" w:fill="FFFFFF"/>
        </w:rPr>
        <w:t xml:space="preserve"> OR 1.89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w:t>
      </w:r>
      <w:r w:rsidR="005D3348">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1.86-1.91</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w:t>
      </w:r>
    </w:p>
    <w:p w:rsidR="00EB1E63" w:rsidRPr="005E5D86" w:rsidRDefault="00EB1E63" w:rsidP="005E5D86">
      <w:pPr>
        <w:snapToGrid w:val="0"/>
        <w:spacing w:line="360" w:lineRule="auto"/>
        <w:jc w:val="both"/>
        <w:rPr>
          <w:rFonts w:ascii="Book Antiqua" w:hAnsi="Book Antiqua"/>
          <w:color w:val="000000" w:themeColor="text1"/>
          <w:shd w:val="clear" w:color="auto" w:fill="FFFFFF"/>
        </w:rPr>
      </w:pPr>
    </w:p>
    <w:p w:rsidR="00EB1E63" w:rsidRPr="005E5D86" w:rsidRDefault="00EB1E63" w:rsidP="005E5D86">
      <w:pPr>
        <w:adjustRightInd w:val="0"/>
        <w:snapToGrid w:val="0"/>
        <w:spacing w:line="360" w:lineRule="auto"/>
        <w:jc w:val="both"/>
        <w:rPr>
          <w:rFonts w:ascii="Book Antiqua" w:hAnsi="Book Antiqua"/>
        </w:rPr>
      </w:pPr>
      <w:r w:rsidRPr="005E5D86">
        <w:rPr>
          <w:rFonts w:ascii="Book Antiqua" w:hAnsi="Book Antiqua"/>
          <w:color w:val="000000"/>
        </w:rPr>
        <w:t>CONCLUSION</w:t>
      </w:r>
    </w:p>
    <w:p w:rsidR="009B535A" w:rsidRPr="005E5D86" w:rsidRDefault="005D3348" w:rsidP="005E5D86">
      <w:pPr>
        <w:snapToGrid w:val="0"/>
        <w:spacing w:line="360" w:lineRule="auto"/>
        <w:jc w:val="both"/>
        <w:rPr>
          <w:rFonts w:ascii="Book Antiqua" w:hAnsi="Book Antiqua"/>
        </w:rPr>
      </w:pPr>
      <w:r>
        <w:rPr>
          <w:rFonts w:ascii="Book Antiqua" w:hAnsi="Book Antiqua"/>
        </w:rPr>
        <w:t>MI</w:t>
      </w:r>
      <w:r w:rsidR="005221B2" w:rsidRPr="005E5D86">
        <w:rPr>
          <w:rFonts w:ascii="Book Antiqua" w:hAnsi="Book Antiqua"/>
        </w:rPr>
        <w:t xml:space="preserve"> appears to be a prevalent disease in NASH</w:t>
      </w:r>
      <w:r w:rsidR="00007256" w:rsidRPr="005E5D86">
        <w:rPr>
          <w:rFonts w:ascii="Book Antiqua" w:hAnsi="Book Antiqua"/>
        </w:rPr>
        <w:t xml:space="preserve">. Patients with NASH </w:t>
      </w:r>
      <w:r w:rsidR="00254C20" w:rsidRPr="005E5D86">
        <w:rPr>
          <w:rFonts w:ascii="Book Antiqua" w:hAnsi="Book Antiqua"/>
        </w:rPr>
        <w:t xml:space="preserve">may </w:t>
      </w:r>
      <w:r w:rsidR="009B535A" w:rsidRPr="005E5D86">
        <w:rPr>
          <w:rFonts w:ascii="Book Antiqua" w:hAnsi="Book Antiqua"/>
        </w:rPr>
        <w:t>need early identification and aggressive cardiovascular risk modification.</w:t>
      </w:r>
    </w:p>
    <w:p w:rsidR="009B535A" w:rsidRPr="005E5D86" w:rsidRDefault="009B535A" w:rsidP="005E5D86">
      <w:pPr>
        <w:snapToGrid w:val="0"/>
        <w:spacing w:line="360" w:lineRule="auto"/>
        <w:jc w:val="both"/>
        <w:rPr>
          <w:rFonts w:ascii="Book Antiqua" w:hAnsi="Book Antiqua"/>
        </w:rPr>
      </w:pPr>
    </w:p>
    <w:p w:rsidR="00C12862" w:rsidRPr="005E5D86" w:rsidRDefault="00EB1E63" w:rsidP="005E5D86">
      <w:pPr>
        <w:snapToGrid w:val="0"/>
        <w:spacing w:line="360" w:lineRule="auto"/>
        <w:jc w:val="both"/>
        <w:rPr>
          <w:rFonts w:ascii="Book Antiqua" w:hAnsi="Book Antiqua"/>
        </w:rPr>
      </w:pPr>
      <w:r w:rsidRPr="005E5D86">
        <w:rPr>
          <w:rFonts w:ascii="Book Antiqua" w:hAnsi="Book Antiqua"/>
          <w:b/>
          <w:color w:val="000000"/>
        </w:rPr>
        <w:t xml:space="preserve">Key words: </w:t>
      </w:r>
      <w:r w:rsidR="00C06EF5" w:rsidRPr="005E5D86">
        <w:rPr>
          <w:rFonts w:ascii="Book Antiqua" w:hAnsi="Book Antiqua"/>
        </w:rPr>
        <w:t xml:space="preserve">Non-alcoholic steatohepatitis; </w:t>
      </w:r>
      <w:r w:rsidRPr="005E5D86">
        <w:rPr>
          <w:rFonts w:ascii="Book Antiqua" w:hAnsi="Book Antiqua"/>
        </w:rPr>
        <w:t xml:space="preserve">Myocardial </w:t>
      </w:r>
      <w:r w:rsidR="00C06EF5" w:rsidRPr="005E5D86">
        <w:rPr>
          <w:rFonts w:ascii="Book Antiqua" w:hAnsi="Book Antiqua"/>
        </w:rPr>
        <w:t>infarction; Non-alcoholic fatty liver disease</w:t>
      </w:r>
      <w:r w:rsidR="003C7F52" w:rsidRPr="005E5D86">
        <w:rPr>
          <w:rFonts w:ascii="Book Antiqua" w:hAnsi="Book Antiqua"/>
        </w:rPr>
        <w:t xml:space="preserve">; </w:t>
      </w:r>
      <w:r w:rsidRPr="005E5D86">
        <w:rPr>
          <w:rFonts w:ascii="Book Antiqua" w:hAnsi="Book Antiqua"/>
        </w:rPr>
        <w:t xml:space="preserve">Ischemic </w:t>
      </w:r>
      <w:r w:rsidR="00A82A4E" w:rsidRPr="005E5D86">
        <w:rPr>
          <w:rFonts w:ascii="Book Antiqua" w:hAnsi="Book Antiqua"/>
        </w:rPr>
        <w:t>cardiovascular disease</w:t>
      </w:r>
      <w:r w:rsidR="003C7F52" w:rsidRPr="005E5D86">
        <w:rPr>
          <w:rFonts w:ascii="Book Antiqua" w:hAnsi="Book Antiqua"/>
        </w:rPr>
        <w:t xml:space="preserve">; </w:t>
      </w:r>
      <w:r w:rsidRPr="005E5D86">
        <w:rPr>
          <w:rFonts w:ascii="Book Antiqua" w:hAnsi="Book Antiqua"/>
        </w:rPr>
        <w:t xml:space="preserve">United States </w:t>
      </w:r>
      <w:r w:rsidR="003C7F52" w:rsidRPr="005E5D86">
        <w:rPr>
          <w:rFonts w:ascii="Book Antiqua" w:hAnsi="Book Antiqua"/>
        </w:rPr>
        <w:t xml:space="preserve">population; </w:t>
      </w:r>
      <w:r w:rsidRPr="005E5D86">
        <w:rPr>
          <w:rFonts w:ascii="Book Antiqua" w:hAnsi="Book Antiqua"/>
        </w:rPr>
        <w:t>Atherosclerosis</w:t>
      </w:r>
    </w:p>
    <w:p w:rsidR="00EB1E63" w:rsidRPr="005E5D86" w:rsidRDefault="00EB1E63" w:rsidP="005E5D86">
      <w:pPr>
        <w:snapToGrid w:val="0"/>
        <w:spacing w:line="360" w:lineRule="auto"/>
        <w:jc w:val="both"/>
        <w:rPr>
          <w:rFonts w:ascii="Book Antiqua" w:hAnsi="Book Antiqua"/>
          <w:b/>
          <w:bCs/>
        </w:rPr>
      </w:pPr>
    </w:p>
    <w:p w:rsidR="009346BE" w:rsidRDefault="009346BE" w:rsidP="005E5D86">
      <w:pPr>
        <w:snapToGrid w:val="0"/>
        <w:spacing w:line="360" w:lineRule="auto"/>
        <w:jc w:val="both"/>
        <w:rPr>
          <w:rFonts w:ascii="Book Antiqua" w:eastAsiaTheme="minorEastAsia" w:hAnsi="Book Antiqua" w:cs="Helvetica"/>
          <w:lang w:eastAsia="zh-CN"/>
        </w:rPr>
      </w:pPr>
      <w:r w:rsidRPr="009346BE">
        <w:rPr>
          <w:rFonts w:ascii="Book Antiqua" w:hAnsi="Book Antiqua"/>
          <w:b/>
        </w:rPr>
        <w:t>Citation</w:t>
      </w:r>
      <w:r w:rsidRPr="009346BE">
        <w:rPr>
          <w:rFonts w:ascii="Book Antiqua" w:eastAsiaTheme="minorEastAsia" w:hAnsi="Book Antiqua" w:hint="eastAsia"/>
          <w:b/>
          <w:lang w:eastAsia="zh-CN"/>
        </w:rPr>
        <w:t>:</w:t>
      </w:r>
      <w:r>
        <w:rPr>
          <w:rFonts w:ascii="Book Antiqua" w:eastAsiaTheme="minorEastAsia" w:hAnsi="Book Antiqua" w:hint="eastAsia"/>
          <w:lang w:eastAsia="zh-CN"/>
        </w:rPr>
        <w:t xml:space="preserve"> </w:t>
      </w:r>
      <w:proofErr w:type="spellStart"/>
      <w:r w:rsidR="00EB1E63" w:rsidRPr="005E5D86">
        <w:rPr>
          <w:rFonts w:ascii="Book Antiqua" w:hAnsi="Book Antiqua"/>
        </w:rPr>
        <w:t>Ghoneim</w:t>
      </w:r>
      <w:proofErr w:type="spellEnd"/>
      <w:r w:rsidR="00EB1E63" w:rsidRPr="005E5D86">
        <w:rPr>
          <w:rFonts w:ascii="Book Antiqua" w:hAnsi="Book Antiqua"/>
        </w:rPr>
        <w:t xml:space="preserve"> S, </w:t>
      </w:r>
      <w:proofErr w:type="spellStart"/>
      <w:r w:rsidR="00EB1E63" w:rsidRPr="005E5D86">
        <w:rPr>
          <w:rFonts w:ascii="Book Antiqua" w:hAnsi="Book Antiqua"/>
        </w:rPr>
        <w:t>Dhorepatil</w:t>
      </w:r>
      <w:proofErr w:type="spellEnd"/>
      <w:r w:rsidR="00EB1E63" w:rsidRPr="005E5D86">
        <w:rPr>
          <w:rFonts w:ascii="Book Antiqua" w:hAnsi="Book Antiqua"/>
        </w:rPr>
        <w:t xml:space="preserve"> A, Shah AR, Ram G, Ahmad S, Kim C, Asaad I. Non-alcoholic steatohepatitis and the risk of myocardial infarction: A population-based national study. </w:t>
      </w:r>
      <w:r w:rsidR="00EB1E63" w:rsidRPr="005E5D86">
        <w:rPr>
          <w:rFonts w:ascii="Book Antiqua" w:hAnsi="Book Antiqua"/>
          <w:i/>
          <w:color w:val="000000"/>
        </w:rPr>
        <w:t xml:space="preserve">World J </w:t>
      </w:r>
      <w:proofErr w:type="spellStart"/>
      <w:r w:rsidR="00EB1E63" w:rsidRPr="005E5D86">
        <w:rPr>
          <w:rFonts w:ascii="Book Antiqua" w:hAnsi="Book Antiqua"/>
          <w:i/>
          <w:color w:val="000000"/>
        </w:rPr>
        <w:t>Hepatol</w:t>
      </w:r>
      <w:proofErr w:type="spellEnd"/>
      <w:r w:rsidR="00EB1E63" w:rsidRPr="005E5D86">
        <w:rPr>
          <w:rFonts w:ascii="Book Antiqua" w:hAnsi="Book Antiqua"/>
          <w:i/>
          <w:color w:val="000000"/>
        </w:rPr>
        <w:t xml:space="preserve"> </w:t>
      </w:r>
      <w:r w:rsidR="009540CE" w:rsidRPr="00A11E2F">
        <w:rPr>
          <w:rFonts w:ascii="Book Antiqua" w:hAnsi="Book Antiqua" w:cs="Helvetica"/>
        </w:rPr>
        <w:t>20</w:t>
      </w:r>
      <w:r w:rsidR="009540CE" w:rsidRPr="00A11E2F">
        <w:rPr>
          <w:rFonts w:ascii="Book Antiqua" w:hAnsi="Book Antiqua" w:cs="Helvetica" w:hint="eastAsia"/>
        </w:rPr>
        <w:t>20</w:t>
      </w:r>
      <w:r w:rsidR="009540CE" w:rsidRPr="00A11E2F">
        <w:rPr>
          <w:rFonts w:ascii="Book Antiqua" w:hAnsi="Book Antiqua" w:cs="Helvetica"/>
        </w:rPr>
        <w:t>; 1</w:t>
      </w:r>
      <w:r w:rsidR="009540CE" w:rsidRPr="00A11E2F">
        <w:rPr>
          <w:rFonts w:ascii="Book Antiqua" w:hAnsi="Book Antiqua" w:cs="Helvetica" w:hint="eastAsia"/>
        </w:rPr>
        <w:t>2</w:t>
      </w:r>
      <w:r w:rsidR="009540CE" w:rsidRPr="00A11E2F">
        <w:rPr>
          <w:rFonts w:ascii="Book Antiqua" w:hAnsi="Book Antiqua" w:cs="Helvetica"/>
        </w:rPr>
        <w:t>(</w:t>
      </w:r>
      <w:r w:rsidR="009540CE">
        <w:rPr>
          <w:rFonts w:ascii="Book Antiqua" w:hAnsi="Book Antiqua" w:cs="Helvetica" w:hint="eastAsia"/>
        </w:rPr>
        <w:t>7</w:t>
      </w:r>
      <w:r w:rsidR="009540CE" w:rsidRPr="00A11E2F">
        <w:rPr>
          <w:rFonts w:ascii="Book Antiqua" w:hAnsi="Book Antiqua" w:cs="Helvetica"/>
        </w:rPr>
        <w:t xml:space="preserve">): </w:t>
      </w:r>
      <w:r>
        <w:rPr>
          <w:rFonts w:ascii="Book Antiqua" w:eastAsiaTheme="minorEastAsia" w:hAnsi="Book Antiqua" w:cs="Helvetica" w:hint="eastAsia"/>
          <w:lang w:eastAsia="zh-CN"/>
        </w:rPr>
        <w:t>37</w:t>
      </w:r>
      <w:r w:rsidR="00DC187F">
        <w:rPr>
          <w:rFonts w:ascii="Book Antiqua" w:eastAsiaTheme="minorEastAsia" w:hAnsi="Book Antiqua" w:cs="Helvetica" w:hint="eastAsia"/>
          <w:lang w:eastAsia="zh-CN"/>
        </w:rPr>
        <w:t>8</w:t>
      </w:r>
      <w:r w:rsidR="009540CE" w:rsidRPr="00A11E2F">
        <w:rPr>
          <w:rFonts w:ascii="Book Antiqua" w:hAnsi="Book Antiqua" w:cs="Helvetica"/>
        </w:rPr>
        <w:t>-</w:t>
      </w:r>
      <w:r>
        <w:rPr>
          <w:rFonts w:ascii="Book Antiqua" w:eastAsiaTheme="minorEastAsia" w:hAnsi="Book Antiqua" w:cs="Helvetica" w:hint="eastAsia"/>
          <w:lang w:eastAsia="zh-CN"/>
        </w:rPr>
        <w:t>38</w:t>
      </w:r>
      <w:r w:rsidR="00DC187F">
        <w:rPr>
          <w:rFonts w:ascii="Book Antiqua" w:eastAsiaTheme="minorEastAsia" w:hAnsi="Book Antiqua" w:cs="Helvetica" w:hint="eastAsia"/>
          <w:lang w:eastAsia="zh-CN"/>
        </w:rPr>
        <w:t>8</w:t>
      </w:r>
    </w:p>
    <w:p w:rsidR="009346BE" w:rsidRDefault="009540CE" w:rsidP="005E5D86">
      <w:pPr>
        <w:snapToGrid w:val="0"/>
        <w:spacing w:line="360" w:lineRule="auto"/>
        <w:jc w:val="both"/>
        <w:rPr>
          <w:rFonts w:ascii="Book Antiqua" w:eastAsiaTheme="minorEastAsia" w:hAnsi="Book Antiqua" w:cs="Helvetica"/>
          <w:lang w:eastAsia="zh-CN"/>
        </w:rPr>
      </w:pPr>
      <w:r w:rsidRPr="009346BE">
        <w:rPr>
          <w:rFonts w:ascii="Book Antiqua" w:hAnsi="Book Antiqua" w:cs="Helvetica"/>
          <w:b/>
        </w:rPr>
        <w:t>URL:</w:t>
      </w:r>
      <w:r w:rsidRPr="00A11E2F">
        <w:rPr>
          <w:rFonts w:ascii="Book Antiqua" w:hAnsi="Book Antiqua" w:cs="Helvetica"/>
        </w:rPr>
        <w:t xml:space="preserve"> https://www.wjgnet.com/1948-5182/full/v1</w:t>
      </w:r>
      <w:r w:rsidRPr="00A11E2F">
        <w:rPr>
          <w:rFonts w:ascii="Book Antiqua" w:hAnsi="Book Antiqua" w:cs="Helvetica" w:hint="eastAsia"/>
        </w:rPr>
        <w:t>2</w:t>
      </w:r>
      <w:r w:rsidRPr="00A11E2F">
        <w:rPr>
          <w:rFonts w:ascii="Book Antiqua" w:hAnsi="Book Antiqua" w:cs="Helvetica"/>
        </w:rPr>
        <w:t>/i</w:t>
      </w:r>
      <w:r>
        <w:rPr>
          <w:rFonts w:ascii="Book Antiqua" w:hAnsi="Book Antiqua" w:cs="Helvetica" w:hint="eastAsia"/>
        </w:rPr>
        <w:t>7</w:t>
      </w:r>
      <w:r w:rsidRPr="00A11E2F">
        <w:rPr>
          <w:rFonts w:ascii="Book Antiqua" w:hAnsi="Book Antiqua" w:cs="Helvetica"/>
        </w:rPr>
        <w:t>/</w:t>
      </w:r>
      <w:r w:rsidR="009346BE">
        <w:rPr>
          <w:rFonts w:ascii="Book Antiqua" w:eastAsiaTheme="minorEastAsia" w:hAnsi="Book Antiqua" w:cs="Helvetica" w:hint="eastAsia"/>
          <w:lang w:eastAsia="zh-CN"/>
        </w:rPr>
        <w:t>37</w:t>
      </w:r>
      <w:r w:rsidR="00DC187F">
        <w:rPr>
          <w:rFonts w:ascii="Book Antiqua" w:eastAsiaTheme="minorEastAsia" w:hAnsi="Book Antiqua" w:cs="Helvetica" w:hint="eastAsia"/>
          <w:lang w:eastAsia="zh-CN"/>
        </w:rPr>
        <w:t>8</w:t>
      </w:r>
      <w:r w:rsidRPr="00A11E2F">
        <w:rPr>
          <w:rFonts w:ascii="Book Antiqua" w:hAnsi="Book Antiqua" w:cs="Helvetica"/>
        </w:rPr>
        <w:t xml:space="preserve">.htm  </w:t>
      </w:r>
    </w:p>
    <w:p w:rsidR="00EB1E63" w:rsidRPr="009346BE" w:rsidRDefault="009540CE" w:rsidP="005E5D86">
      <w:pPr>
        <w:snapToGrid w:val="0"/>
        <w:spacing w:line="360" w:lineRule="auto"/>
        <w:jc w:val="both"/>
        <w:rPr>
          <w:rFonts w:ascii="Book Antiqua" w:eastAsiaTheme="minorEastAsia" w:hAnsi="Book Antiqua"/>
          <w:lang w:eastAsia="zh-CN"/>
        </w:rPr>
      </w:pPr>
      <w:r w:rsidRPr="009346BE">
        <w:rPr>
          <w:rFonts w:ascii="Book Antiqua" w:hAnsi="Book Antiqua" w:cs="Helvetica"/>
          <w:b/>
        </w:rPr>
        <w:t>DOI:</w:t>
      </w:r>
      <w:r w:rsidRPr="00A11E2F">
        <w:rPr>
          <w:rFonts w:ascii="Book Antiqua" w:hAnsi="Book Antiqua" w:cs="Helvetica"/>
        </w:rPr>
        <w:t xml:space="preserve"> https://dx.doi.org/10.4254/wjh.v1</w:t>
      </w:r>
      <w:r w:rsidRPr="00A11E2F">
        <w:rPr>
          <w:rFonts w:ascii="Book Antiqua" w:hAnsi="Book Antiqua" w:cs="Helvetica" w:hint="eastAsia"/>
        </w:rPr>
        <w:t>2</w:t>
      </w:r>
      <w:r w:rsidRPr="00A11E2F">
        <w:rPr>
          <w:rFonts w:ascii="Book Antiqua" w:hAnsi="Book Antiqua" w:cs="Helvetica"/>
        </w:rPr>
        <w:t>.i</w:t>
      </w:r>
      <w:r>
        <w:rPr>
          <w:rFonts w:ascii="Book Antiqua" w:hAnsi="Book Antiqua" w:cs="Helvetica" w:hint="eastAsia"/>
        </w:rPr>
        <w:t>7</w:t>
      </w:r>
      <w:r w:rsidRPr="00A11E2F">
        <w:rPr>
          <w:rFonts w:ascii="Book Antiqua" w:hAnsi="Book Antiqua" w:cs="Helvetica"/>
        </w:rPr>
        <w:t>.</w:t>
      </w:r>
      <w:r w:rsidR="009346BE">
        <w:rPr>
          <w:rFonts w:ascii="Book Antiqua" w:eastAsiaTheme="minorEastAsia" w:hAnsi="Book Antiqua" w:cs="Helvetica" w:hint="eastAsia"/>
          <w:lang w:eastAsia="zh-CN"/>
        </w:rPr>
        <w:t>37</w:t>
      </w:r>
      <w:r w:rsidR="00DC187F">
        <w:rPr>
          <w:rFonts w:ascii="Book Antiqua" w:eastAsiaTheme="minorEastAsia" w:hAnsi="Book Antiqua" w:cs="Helvetica" w:hint="eastAsia"/>
          <w:lang w:eastAsia="zh-CN"/>
        </w:rPr>
        <w:t>8</w:t>
      </w:r>
      <w:bookmarkStart w:id="1" w:name="_GoBack"/>
      <w:bookmarkEnd w:id="1"/>
    </w:p>
    <w:p w:rsidR="00EB1E63" w:rsidRPr="005E5D86" w:rsidRDefault="00EB1E63" w:rsidP="005E5D86">
      <w:pPr>
        <w:snapToGrid w:val="0"/>
        <w:spacing w:line="360" w:lineRule="auto"/>
        <w:jc w:val="both"/>
        <w:rPr>
          <w:rFonts w:ascii="Book Antiqua" w:hAnsi="Book Antiqua"/>
          <w:b/>
          <w:color w:val="000000"/>
        </w:rPr>
      </w:pPr>
    </w:p>
    <w:p w:rsidR="00304167" w:rsidRPr="005E5D86" w:rsidRDefault="00EB1E63" w:rsidP="005E5D86">
      <w:pPr>
        <w:snapToGrid w:val="0"/>
        <w:spacing w:line="360" w:lineRule="auto"/>
        <w:jc w:val="both"/>
        <w:rPr>
          <w:rFonts w:ascii="Book Antiqua" w:hAnsi="Book Antiqua"/>
        </w:rPr>
      </w:pPr>
      <w:r w:rsidRPr="005E5D86">
        <w:rPr>
          <w:rFonts w:ascii="Book Antiqua" w:hAnsi="Book Antiqua"/>
          <w:b/>
          <w:color w:val="000000"/>
        </w:rPr>
        <w:t>Core tip:</w:t>
      </w:r>
      <w:r w:rsidRPr="005E5D86">
        <w:rPr>
          <w:rFonts w:ascii="Book Antiqua" w:hAnsi="Book Antiqua"/>
          <w:color w:val="000000"/>
        </w:rPr>
        <w:t xml:space="preserve"> </w:t>
      </w:r>
      <w:r w:rsidR="004A7350" w:rsidRPr="005E5D86">
        <w:rPr>
          <w:rFonts w:ascii="Book Antiqua" w:hAnsi="Book Antiqua"/>
        </w:rPr>
        <w:t>Non-alcoholic steatohepatitis</w:t>
      </w:r>
      <w:r w:rsidR="00704149">
        <w:rPr>
          <w:rFonts w:ascii="Book Antiqua" w:hAnsi="Book Antiqua"/>
        </w:rPr>
        <w:t xml:space="preserve"> (NASH)</w:t>
      </w:r>
      <w:r w:rsidR="004A7350" w:rsidRPr="005E5D86">
        <w:rPr>
          <w:rFonts w:ascii="Book Antiqua" w:hAnsi="Book Antiqua"/>
        </w:rPr>
        <w:t xml:space="preserve"> is a severe</w:t>
      </w:r>
      <w:r w:rsidR="007043F3" w:rsidRPr="005E5D86">
        <w:rPr>
          <w:rFonts w:ascii="Book Antiqua" w:hAnsi="Book Antiqua"/>
        </w:rPr>
        <w:t xml:space="preserve"> </w:t>
      </w:r>
      <w:r w:rsidR="004A7350" w:rsidRPr="005E5D86">
        <w:rPr>
          <w:rFonts w:ascii="Book Antiqua" w:hAnsi="Book Antiqua"/>
        </w:rPr>
        <w:t xml:space="preserve">subtype of nonalcoholic fatty liver disease. </w:t>
      </w:r>
      <w:r w:rsidR="00303405" w:rsidRPr="005E5D86">
        <w:rPr>
          <w:rFonts w:ascii="Book Antiqua" w:hAnsi="Book Antiqua"/>
        </w:rPr>
        <w:t xml:space="preserve">The progression of </w:t>
      </w:r>
      <w:r w:rsidR="00A368AE" w:rsidRPr="005E5D86">
        <w:rPr>
          <w:rFonts w:ascii="Book Antiqua" w:hAnsi="Book Antiqua"/>
        </w:rPr>
        <w:t>non-alcoholic fatty liver disease</w:t>
      </w:r>
      <w:r w:rsidR="00303405" w:rsidRPr="005E5D86">
        <w:rPr>
          <w:rFonts w:ascii="Book Antiqua" w:hAnsi="Book Antiqua"/>
        </w:rPr>
        <w:t xml:space="preserve"> is </w:t>
      </w:r>
      <w:r w:rsidR="007958D5" w:rsidRPr="005E5D86">
        <w:rPr>
          <w:rFonts w:ascii="Book Antiqua" w:hAnsi="Book Antiqua"/>
        </w:rPr>
        <w:t>mirrored</w:t>
      </w:r>
      <w:r w:rsidR="00303405" w:rsidRPr="005E5D86">
        <w:rPr>
          <w:rFonts w:ascii="Book Antiqua" w:hAnsi="Book Antiqua"/>
        </w:rPr>
        <w:t xml:space="preserve"> by activation of </w:t>
      </w:r>
      <w:r w:rsidR="007D2639" w:rsidRPr="005E5D86">
        <w:rPr>
          <w:rFonts w:ascii="Book Antiqua" w:hAnsi="Book Antiqua"/>
        </w:rPr>
        <w:t>hepatic and systemic</w:t>
      </w:r>
      <w:r w:rsidR="00303405" w:rsidRPr="005E5D86">
        <w:rPr>
          <w:rFonts w:ascii="Book Antiqua" w:hAnsi="Book Antiqua"/>
        </w:rPr>
        <w:t xml:space="preserve"> inflammatory cascades </w:t>
      </w:r>
      <w:r w:rsidR="007D2639" w:rsidRPr="005E5D86">
        <w:rPr>
          <w:rFonts w:ascii="Book Antiqua" w:hAnsi="Book Antiqua"/>
        </w:rPr>
        <w:t>that maybe implicated in the pathogenesis</w:t>
      </w:r>
      <w:r w:rsidR="00303405" w:rsidRPr="005E5D86">
        <w:rPr>
          <w:rFonts w:ascii="Book Antiqua" w:hAnsi="Book Antiqua"/>
        </w:rPr>
        <w:t xml:space="preserve"> of cardiovascular disease</w:t>
      </w:r>
      <w:r w:rsidR="004A7350" w:rsidRPr="005E5D86">
        <w:rPr>
          <w:rFonts w:ascii="Book Antiqua" w:hAnsi="Book Antiqua"/>
        </w:rPr>
        <w:t xml:space="preserve">. </w:t>
      </w:r>
      <w:r w:rsidR="00537E15" w:rsidRPr="005E5D86">
        <w:rPr>
          <w:rFonts w:ascii="Book Antiqua" w:hAnsi="Book Antiqua"/>
        </w:rPr>
        <w:t xml:space="preserve">Using </w:t>
      </w:r>
      <w:r w:rsidR="00B26805" w:rsidRPr="005E5D86">
        <w:rPr>
          <w:rFonts w:ascii="Book Antiqua" w:hAnsi="Book Antiqua"/>
        </w:rPr>
        <w:t xml:space="preserve">a large </w:t>
      </w:r>
      <w:r w:rsidR="00AF628B" w:rsidRPr="005E5D86">
        <w:rPr>
          <w:rFonts w:ascii="Book Antiqua" w:hAnsi="Book Antiqua"/>
        </w:rPr>
        <w:t xml:space="preserve">electronic </w:t>
      </w:r>
      <w:r w:rsidR="000410B2" w:rsidRPr="005E5D86">
        <w:rPr>
          <w:rFonts w:ascii="Book Antiqua" w:hAnsi="Book Antiqua"/>
        </w:rPr>
        <w:t>medical record</w:t>
      </w:r>
      <w:r w:rsidR="00B26805" w:rsidRPr="005E5D86">
        <w:rPr>
          <w:rFonts w:ascii="Book Antiqua" w:hAnsi="Book Antiqua"/>
        </w:rPr>
        <w:t xml:space="preserve"> </w:t>
      </w:r>
      <w:r w:rsidR="00537E15" w:rsidRPr="005E5D86">
        <w:rPr>
          <w:rFonts w:ascii="Book Antiqua" w:hAnsi="Book Antiqua"/>
        </w:rPr>
        <w:t>database, we performed a national-based population study</w:t>
      </w:r>
      <w:r w:rsidR="0021350F" w:rsidRPr="005E5D86">
        <w:rPr>
          <w:rFonts w:ascii="Book Antiqua" w:hAnsi="Book Antiqua"/>
        </w:rPr>
        <w:t xml:space="preserve"> to investigate the </w:t>
      </w:r>
      <w:r w:rsidR="00C06EF5" w:rsidRPr="005E5D86">
        <w:rPr>
          <w:rFonts w:ascii="Book Antiqua" w:hAnsi="Book Antiqua"/>
        </w:rPr>
        <w:t xml:space="preserve">association between </w:t>
      </w:r>
      <w:r w:rsidR="004A7350" w:rsidRPr="005E5D86">
        <w:rPr>
          <w:rFonts w:ascii="Book Antiqua" w:hAnsi="Book Antiqua"/>
        </w:rPr>
        <w:t>NASH and</w:t>
      </w:r>
      <w:r w:rsidR="00C06EF5" w:rsidRPr="005E5D86">
        <w:rPr>
          <w:rFonts w:ascii="Book Antiqua" w:hAnsi="Book Antiqua"/>
        </w:rPr>
        <w:t xml:space="preserve"> </w:t>
      </w:r>
      <w:r w:rsidR="005D3348" w:rsidRPr="005E5D86">
        <w:rPr>
          <w:rFonts w:ascii="Book Antiqua" w:hAnsi="Book Antiqua"/>
        </w:rPr>
        <w:t>myocardial infarction</w:t>
      </w:r>
      <w:r w:rsidR="005D3348">
        <w:rPr>
          <w:rFonts w:ascii="Book Antiqua" w:hAnsi="Book Antiqua"/>
        </w:rPr>
        <w:t xml:space="preserve"> (MI)</w:t>
      </w:r>
      <w:r w:rsidR="000F23C8" w:rsidRPr="005E5D86">
        <w:rPr>
          <w:rFonts w:ascii="Book Antiqua" w:hAnsi="Book Antiqua"/>
        </w:rPr>
        <w:t>.</w:t>
      </w:r>
      <w:r w:rsidR="00C06EF5" w:rsidRPr="005E5D86">
        <w:rPr>
          <w:rFonts w:ascii="Book Antiqua" w:hAnsi="Book Antiqua"/>
        </w:rPr>
        <w:t xml:space="preserve"> </w:t>
      </w:r>
      <w:r w:rsidR="00D924B4" w:rsidRPr="005E5D86">
        <w:rPr>
          <w:rFonts w:ascii="Book Antiqua" w:hAnsi="Book Antiqua"/>
        </w:rPr>
        <w:t xml:space="preserve">In this large cohort study, </w:t>
      </w:r>
      <w:r w:rsidR="00303405" w:rsidRPr="005E5D86">
        <w:rPr>
          <w:rFonts w:ascii="Book Antiqua" w:hAnsi="Book Antiqua"/>
        </w:rPr>
        <w:t>NASH</w:t>
      </w:r>
      <w:r w:rsidR="007D2639" w:rsidRPr="005E5D86">
        <w:rPr>
          <w:rFonts w:ascii="Book Antiqua" w:hAnsi="Book Antiqua"/>
        </w:rPr>
        <w:t xml:space="preserve"> </w:t>
      </w:r>
      <w:r w:rsidR="000F23C8" w:rsidRPr="005E5D86">
        <w:rPr>
          <w:rFonts w:ascii="Book Antiqua" w:hAnsi="Book Antiqua"/>
        </w:rPr>
        <w:t xml:space="preserve">was </w:t>
      </w:r>
      <w:r w:rsidR="002556CF" w:rsidRPr="005E5D86">
        <w:rPr>
          <w:rFonts w:ascii="Book Antiqua" w:hAnsi="Book Antiqua"/>
        </w:rPr>
        <w:t xml:space="preserve">associated with </w:t>
      </w:r>
      <w:r w:rsidR="00CF1DCC" w:rsidRPr="005E5D86">
        <w:rPr>
          <w:rFonts w:ascii="Book Antiqua" w:hAnsi="Book Antiqua"/>
        </w:rPr>
        <w:t xml:space="preserve">increased risk </w:t>
      </w:r>
      <w:r w:rsidR="007D2639" w:rsidRPr="005E5D86">
        <w:rPr>
          <w:rFonts w:ascii="Book Antiqua" w:hAnsi="Book Antiqua"/>
        </w:rPr>
        <w:t>of</w:t>
      </w:r>
      <w:r w:rsidR="00D541FE" w:rsidRPr="005E5D86">
        <w:rPr>
          <w:rFonts w:ascii="Book Antiqua" w:hAnsi="Book Antiqua"/>
        </w:rPr>
        <w:t xml:space="preserve"> </w:t>
      </w:r>
      <w:r w:rsidR="005D3348">
        <w:rPr>
          <w:rFonts w:ascii="Book Antiqua" w:hAnsi="Book Antiqua"/>
        </w:rPr>
        <w:t>MI</w:t>
      </w:r>
      <w:r w:rsidR="000F23C8" w:rsidRPr="005E5D86">
        <w:rPr>
          <w:rFonts w:ascii="Book Antiqua" w:hAnsi="Book Antiqua"/>
        </w:rPr>
        <w:t xml:space="preserve"> </w:t>
      </w:r>
      <w:r w:rsidR="002556CF" w:rsidRPr="005E5D86">
        <w:rPr>
          <w:rFonts w:ascii="Book Antiqua" w:hAnsi="Book Antiqua"/>
        </w:rPr>
        <w:t>independent of traditional risk factors</w:t>
      </w:r>
      <w:r w:rsidR="004A7350" w:rsidRPr="005E5D86">
        <w:rPr>
          <w:rFonts w:ascii="Book Antiqua" w:hAnsi="Book Antiqua"/>
        </w:rPr>
        <w:t xml:space="preserve">. </w:t>
      </w:r>
      <w:r w:rsidR="00290C3F" w:rsidRPr="005E5D86">
        <w:rPr>
          <w:rFonts w:ascii="Book Antiqua" w:hAnsi="Book Antiqua"/>
        </w:rPr>
        <w:t xml:space="preserve">Close follow up </w:t>
      </w:r>
      <w:r w:rsidR="00214255" w:rsidRPr="005E5D86">
        <w:rPr>
          <w:rFonts w:ascii="Book Antiqua" w:hAnsi="Book Antiqua"/>
        </w:rPr>
        <w:t xml:space="preserve">and </w:t>
      </w:r>
      <w:r w:rsidR="007043F3" w:rsidRPr="005E5D86">
        <w:rPr>
          <w:rFonts w:ascii="Book Antiqua" w:hAnsi="Book Antiqua"/>
        </w:rPr>
        <w:t xml:space="preserve">aggressive risk modification </w:t>
      </w:r>
      <w:r w:rsidR="00290C3F" w:rsidRPr="005E5D86">
        <w:rPr>
          <w:rFonts w:ascii="Book Antiqua" w:hAnsi="Book Antiqua"/>
        </w:rPr>
        <w:t>maybe indicated to prevent major cardiovascular events</w:t>
      </w:r>
      <w:r w:rsidR="00214255" w:rsidRPr="005E5D86">
        <w:rPr>
          <w:rFonts w:ascii="Book Antiqua" w:hAnsi="Book Antiqua"/>
        </w:rPr>
        <w:t xml:space="preserve"> in patients with </w:t>
      </w:r>
      <w:r w:rsidR="00D541FE" w:rsidRPr="005E5D86">
        <w:rPr>
          <w:rFonts w:ascii="Book Antiqua" w:hAnsi="Book Antiqua"/>
        </w:rPr>
        <w:t>NASH</w:t>
      </w:r>
      <w:r w:rsidR="00290C3F" w:rsidRPr="005E5D86">
        <w:rPr>
          <w:rFonts w:ascii="Book Antiqua" w:hAnsi="Book Antiqua"/>
        </w:rPr>
        <w:t>.</w:t>
      </w:r>
    </w:p>
    <w:p w:rsidR="00114BF3" w:rsidRPr="005E5D86" w:rsidRDefault="00114BF3" w:rsidP="005E5D86">
      <w:pPr>
        <w:snapToGrid w:val="0"/>
        <w:spacing w:line="360" w:lineRule="auto"/>
        <w:jc w:val="both"/>
        <w:rPr>
          <w:rFonts w:ascii="Book Antiqua" w:hAnsi="Book Antiqua"/>
          <w:b/>
          <w:bCs/>
        </w:rPr>
      </w:pPr>
      <w:r w:rsidRPr="005E5D86">
        <w:rPr>
          <w:rFonts w:ascii="Book Antiqua" w:hAnsi="Book Antiqua"/>
          <w:b/>
          <w:bCs/>
        </w:rPr>
        <w:br w:type="page"/>
      </w:r>
    </w:p>
    <w:p w:rsidR="00EB1E63" w:rsidRPr="005E5D86" w:rsidRDefault="00EB1E63" w:rsidP="005E5D86">
      <w:pPr>
        <w:snapToGrid w:val="0"/>
        <w:spacing w:line="360" w:lineRule="auto"/>
        <w:jc w:val="both"/>
        <w:rPr>
          <w:rFonts w:ascii="Book Antiqua" w:hAnsi="Book Antiqua"/>
        </w:rPr>
      </w:pPr>
      <w:r w:rsidRPr="005E5D86">
        <w:rPr>
          <w:rFonts w:ascii="Book Antiqua" w:hAnsi="Book Antiqua"/>
          <w:b/>
          <w:color w:val="000000"/>
          <w:u w:val="single"/>
        </w:rPr>
        <w:lastRenderedPageBreak/>
        <w:t>INTRODUCTION</w:t>
      </w:r>
      <w:r w:rsidRPr="005E5D86">
        <w:rPr>
          <w:rFonts w:ascii="Book Antiqua" w:hAnsi="Book Antiqua"/>
        </w:rPr>
        <w:t xml:space="preserve"> </w:t>
      </w:r>
    </w:p>
    <w:p w:rsidR="002D745E" w:rsidRPr="005E5D86" w:rsidRDefault="005F5D17" w:rsidP="005E5D86">
      <w:pPr>
        <w:snapToGrid w:val="0"/>
        <w:spacing w:line="360" w:lineRule="auto"/>
        <w:jc w:val="both"/>
        <w:rPr>
          <w:rFonts w:ascii="Book Antiqua" w:hAnsi="Book Antiqua"/>
        </w:rPr>
      </w:pPr>
      <w:r w:rsidRPr="005E5D86">
        <w:rPr>
          <w:rFonts w:ascii="Book Antiqua" w:hAnsi="Book Antiqua"/>
        </w:rPr>
        <w:t xml:space="preserve">Non-alcoholic </w:t>
      </w:r>
      <w:r w:rsidR="00273708" w:rsidRPr="005E5D86">
        <w:rPr>
          <w:rFonts w:ascii="Book Antiqua" w:hAnsi="Book Antiqua"/>
        </w:rPr>
        <w:t xml:space="preserve">fatty </w:t>
      </w:r>
      <w:r w:rsidRPr="005E5D86">
        <w:rPr>
          <w:rFonts w:ascii="Book Antiqua" w:hAnsi="Book Antiqua"/>
        </w:rPr>
        <w:t>liver disease</w:t>
      </w:r>
      <w:r w:rsidR="00B13FB6" w:rsidRPr="005E5D86">
        <w:rPr>
          <w:rFonts w:ascii="Book Antiqua" w:hAnsi="Book Antiqua"/>
        </w:rPr>
        <w:t xml:space="preserve"> </w:t>
      </w:r>
      <w:r w:rsidR="00704149">
        <w:rPr>
          <w:rFonts w:ascii="Book Antiqua" w:hAnsi="Book Antiqua"/>
        </w:rPr>
        <w:t>(NAFLD)</w:t>
      </w:r>
      <w:r w:rsidR="00273708" w:rsidRPr="005E5D86">
        <w:rPr>
          <w:rFonts w:ascii="Book Antiqua" w:hAnsi="Book Antiqua"/>
        </w:rPr>
        <w:t xml:space="preserve"> </w:t>
      </w:r>
      <w:r w:rsidR="00C574E6" w:rsidRPr="005E5D86">
        <w:rPr>
          <w:rFonts w:ascii="Book Antiqua" w:hAnsi="Book Antiqua"/>
        </w:rPr>
        <w:t>is the hepatic manifestation of metabolic syndrome (</w:t>
      </w:r>
      <w:proofErr w:type="spellStart"/>
      <w:r w:rsidR="00C574E6" w:rsidRPr="005E5D86">
        <w:rPr>
          <w:rFonts w:ascii="Book Antiqua" w:hAnsi="Book Antiqua"/>
        </w:rPr>
        <w:t>MetS</w:t>
      </w:r>
      <w:proofErr w:type="spellEnd"/>
      <w:r w:rsidR="00C574E6" w:rsidRPr="005E5D86">
        <w:rPr>
          <w:rFonts w:ascii="Book Antiqua" w:hAnsi="Book Antiqua"/>
        </w:rPr>
        <w:t xml:space="preserve">) defined by the presence of central obesity, insulin resistance and </w:t>
      </w:r>
      <w:proofErr w:type="gramStart"/>
      <w:r w:rsidR="00C574E6" w:rsidRPr="005E5D86">
        <w:rPr>
          <w:rFonts w:ascii="Book Antiqua" w:hAnsi="Book Antiqua"/>
        </w:rPr>
        <w:t>dyslipidemia</w:t>
      </w:r>
      <w:r w:rsidR="00B322BE" w:rsidRPr="005E5D86">
        <w:rPr>
          <w:rFonts w:ascii="Book Antiqua" w:hAnsi="Book Antiqua"/>
          <w:vertAlign w:val="superscript"/>
        </w:rPr>
        <w:t>[</w:t>
      </w:r>
      <w:proofErr w:type="gramEnd"/>
      <w:r w:rsidR="00D11E6E" w:rsidRPr="005E5D86">
        <w:rPr>
          <w:rFonts w:ascii="Book Antiqua" w:hAnsi="Book Antiqua"/>
          <w:vertAlign w:val="superscript"/>
        </w:rPr>
        <w:t>1</w:t>
      </w:r>
      <w:r w:rsidR="004051EE" w:rsidRPr="005E5D86">
        <w:rPr>
          <w:rFonts w:ascii="Book Antiqua" w:hAnsi="Book Antiqua"/>
          <w:vertAlign w:val="superscript"/>
        </w:rPr>
        <w:t>-3</w:t>
      </w:r>
      <w:r w:rsidR="00B322BE" w:rsidRPr="005E5D86">
        <w:rPr>
          <w:rFonts w:ascii="Book Antiqua" w:hAnsi="Book Antiqua"/>
          <w:vertAlign w:val="superscript"/>
        </w:rPr>
        <w:t>]</w:t>
      </w:r>
      <w:r w:rsidR="00C574E6" w:rsidRPr="005E5D86">
        <w:rPr>
          <w:rFonts w:ascii="Book Antiqua" w:hAnsi="Book Antiqua"/>
        </w:rPr>
        <w:t xml:space="preserve">. </w:t>
      </w:r>
      <w:r w:rsidR="00A65A84" w:rsidRPr="005E5D86">
        <w:rPr>
          <w:rFonts w:ascii="Book Antiqua" w:hAnsi="Book Antiqua"/>
        </w:rPr>
        <w:t>The severity of NAFLD ranges from simple steatosis to non-alcoholic steatohepatitis</w:t>
      </w:r>
      <w:r w:rsidR="00704149">
        <w:rPr>
          <w:rFonts w:ascii="Book Antiqua" w:hAnsi="Book Antiqua"/>
        </w:rPr>
        <w:t xml:space="preserve"> (NASH)</w:t>
      </w:r>
      <w:r w:rsidR="00A65A84" w:rsidRPr="005E5D86">
        <w:rPr>
          <w:rFonts w:ascii="Book Antiqua" w:hAnsi="Book Antiqua"/>
        </w:rPr>
        <w:t xml:space="preserve">, liver fibrosis progressing to cirrhosis and hepatocellular </w:t>
      </w:r>
      <w:proofErr w:type="gramStart"/>
      <w:r w:rsidR="00A65A84" w:rsidRPr="005E5D86">
        <w:rPr>
          <w:rFonts w:ascii="Book Antiqua" w:hAnsi="Book Antiqua"/>
        </w:rPr>
        <w:t>carcinoma</w:t>
      </w:r>
      <w:r w:rsidR="00E00811" w:rsidRPr="005E5D86">
        <w:rPr>
          <w:rFonts w:ascii="Book Antiqua" w:hAnsi="Book Antiqua"/>
          <w:vertAlign w:val="superscript"/>
        </w:rPr>
        <w:t>[</w:t>
      </w:r>
      <w:proofErr w:type="gramEnd"/>
      <w:r w:rsidR="00E00811" w:rsidRPr="005E5D86">
        <w:rPr>
          <w:rFonts w:ascii="Book Antiqua" w:hAnsi="Book Antiqua"/>
          <w:vertAlign w:val="superscript"/>
        </w:rPr>
        <w:t>1</w:t>
      </w:r>
      <w:r w:rsidR="00D11E6E" w:rsidRPr="005E5D86">
        <w:rPr>
          <w:rFonts w:ascii="Book Antiqua" w:hAnsi="Book Antiqua"/>
          <w:vertAlign w:val="superscript"/>
        </w:rPr>
        <w:t>,2</w:t>
      </w:r>
      <w:r w:rsidR="00E00811" w:rsidRPr="005E5D86">
        <w:rPr>
          <w:rFonts w:ascii="Book Antiqua" w:hAnsi="Book Antiqua"/>
          <w:vertAlign w:val="superscript"/>
        </w:rPr>
        <w:t>]</w:t>
      </w:r>
      <w:r w:rsidR="00A65A84" w:rsidRPr="005E5D86">
        <w:rPr>
          <w:rFonts w:ascii="Book Antiqua" w:hAnsi="Book Antiqua"/>
        </w:rPr>
        <w:t xml:space="preserve">. </w:t>
      </w:r>
      <w:r w:rsidR="00F46B59" w:rsidRPr="005E5D86">
        <w:rPr>
          <w:rFonts w:ascii="Book Antiqua" w:hAnsi="Book Antiqua"/>
        </w:rPr>
        <w:t>Non-alcoholic liver disease</w:t>
      </w:r>
      <w:r w:rsidR="00DB1282" w:rsidRPr="005E5D86">
        <w:rPr>
          <w:rFonts w:ascii="Book Antiqua" w:hAnsi="Book Antiqua"/>
        </w:rPr>
        <w:t xml:space="preserve"> is a world-wide chronic disease and the most common liver disorder in</w:t>
      </w:r>
      <w:r w:rsidR="00B76219" w:rsidRPr="005E5D86">
        <w:rPr>
          <w:rFonts w:ascii="Book Antiqua" w:hAnsi="Book Antiqua"/>
        </w:rPr>
        <w:t xml:space="preserve"> </w:t>
      </w:r>
      <w:r w:rsidR="00951A81" w:rsidRPr="005E5D86">
        <w:rPr>
          <w:rFonts w:ascii="Book Antiqua" w:hAnsi="Book Antiqua"/>
        </w:rPr>
        <w:t xml:space="preserve">North </w:t>
      </w:r>
      <w:proofErr w:type="gramStart"/>
      <w:r w:rsidR="00951A81" w:rsidRPr="005E5D86">
        <w:rPr>
          <w:rFonts w:ascii="Book Antiqua" w:hAnsi="Book Antiqua"/>
        </w:rPr>
        <w:t>America</w:t>
      </w:r>
      <w:r w:rsidR="005104BA" w:rsidRPr="005E5D86">
        <w:rPr>
          <w:rFonts w:ascii="Book Antiqua" w:hAnsi="Book Antiqua"/>
          <w:vertAlign w:val="superscript"/>
        </w:rPr>
        <w:t>[</w:t>
      </w:r>
      <w:proofErr w:type="gramEnd"/>
      <w:r w:rsidR="00D11E6E" w:rsidRPr="005E5D86">
        <w:rPr>
          <w:rFonts w:ascii="Book Antiqua" w:hAnsi="Book Antiqua"/>
          <w:vertAlign w:val="superscript"/>
        </w:rPr>
        <w:t>2</w:t>
      </w:r>
      <w:r w:rsidR="00B7455B" w:rsidRPr="005E5D86">
        <w:rPr>
          <w:rFonts w:ascii="Book Antiqua" w:hAnsi="Book Antiqua"/>
          <w:vertAlign w:val="superscript"/>
        </w:rPr>
        <w:t>-5</w:t>
      </w:r>
      <w:r w:rsidR="005104BA" w:rsidRPr="005E5D86">
        <w:rPr>
          <w:rFonts w:ascii="Book Antiqua" w:hAnsi="Book Antiqua"/>
          <w:vertAlign w:val="superscript"/>
        </w:rPr>
        <w:t>]</w:t>
      </w:r>
      <w:r w:rsidR="00DB1282" w:rsidRPr="005E5D86">
        <w:rPr>
          <w:rFonts w:ascii="Book Antiqua" w:hAnsi="Book Antiqua"/>
        </w:rPr>
        <w:t>. The prevalence of NAFLD in the</w:t>
      </w:r>
      <w:r w:rsidR="005D3348">
        <w:rPr>
          <w:rFonts w:ascii="Book Antiqua" w:hAnsi="Book Antiqua"/>
        </w:rPr>
        <w:t xml:space="preserve"> United States</w:t>
      </w:r>
      <w:r w:rsidR="00DB1282" w:rsidRPr="005E5D86">
        <w:rPr>
          <w:rFonts w:ascii="Book Antiqua" w:hAnsi="Book Antiqua"/>
        </w:rPr>
        <w:t xml:space="preserve"> is reported to be</w:t>
      </w:r>
      <w:r w:rsidR="00A65A84" w:rsidRPr="005E5D86">
        <w:rPr>
          <w:rFonts w:ascii="Book Antiqua" w:hAnsi="Book Antiqua"/>
        </w:rPr>
        <w:t xml:space="preserve"> </w:t>
      </w:r>
      <w:r w:rsidR="00DB1282" w:rsidRPr="005E5D86">
        <w:rPr>
          <w:rFonts w:ascii="Book Antiqua" w:hAnsi="Book Antiqua"/>
        </w:rPr>
        <w:t>10</w:t>
      </w:r>
      <w:r w:rsidR="005D3348">
        <w:rPr>
          <w:rFonts w:ascii="Book Antiqua" w:hAnsi="Book Antiqua"/>
        </w:rPr>
        <w:t>%</w:t>
      </w:r>
      <w:r w:rsidR="00DB1282" w:rsidRPr="005E5D86">
        <w:rPr>
          <w:rFonts w:ascii="Book Antiqua" w:hAnsi="Book Antiqua"/>
        </w:rPr>
        <w:t>-46%</w:t>
      </w:r>
      <w:r w:rsidR="00A44543" w:rsidRPr="005E5D86">
        <w:rPr>
          <w:rFonts w:ascii="Book Antiqua" w:hAnsi="Book Antiqua"/>
        </w:rPr>
        <w:t xml:space="preserve"> with </w:t>
      </w:r>
      <w:r w:rsidR="00696BC0" w:rsidRPr="005E5D86">
        <w:rPr>
          <w:rFonts w:ascii="Book Antiqua" w:hAnsi="Book Antiqua"/>
        </w:rPr>
        <w:t>approximately</w:t>
      </w:r>
      <w:r w:rsidR="00BE3AE9" w:rsidRPr="005E5D86">
        <w:rPr>
          <w:rFonts w:ascii="Book Antiqua" w:hAnsi="Book Antiqua"/>
        </w:rPr>
        <w:t xml:space="preserve"> 7</w:t>
      </w:r>
      <w:r w:rsidR="005D3348">
        <w:rPr>
          <w:rFonts w:ascii="Book Antiqua" w:hAnsi="Book Antiqua"/>
        </w:rPr>
        <w:t>%</w:t>
      </w:r>
      <w:r w:rsidR="00BE3AE9" w:rsidRPr="005E5D86">
        <w:rPr>
          <w:rFonts w:ascii="Book Antiqua" w:hAnsi="Book Antiqua"/>
        </w:rPr>
        <w:t>-30% meet</w:t>
      </w:r>
      <w:r w:rsidR="00A44543" w:rsidRPr="005E5D86">
        <w:rPr>
          <w:rFonts w:ascii="Book Antiqua" w:hAnsi="Book Antiqua"/>
        </w:rPr>
        <w:t>ing</w:t>
      </w:r>
      <w:r w:rsidR="00BE3AE9" w:rsidRPr="005E5D86">
        <w:rPr>
          <w:rFonts w:ascii="Book Antiqua" w:hAnsi="Book Antiqua"/>
        </w:rPr>
        <w:t xml:space="preserve"> the criteria of </w:t>
      </w:r>
      <w:proofErr w:type="gramStart"/>
      <w:r w:rsidR="00BE3AE9" w:rsidRPr="005E5D86">
        <w:rPr>
          <w:rFonts w:ascii="Book Antiqua" w:hAnsi="Book Antiqua"/>
        </w:rPr>
        <w:t>NASH</w:t>
      </w:r>
      <w:r w:rsidR="005104BA" w:rsidRPr="005E5D86">
        <w:rPr>
          <w:rFonts w:ascii="Book Antiqua" w:hAnsi="Book Antiqua"/>
          <w:vertAlign w:val="superscript"/>
        </w:rPr>
        <w:t>[</w:t>
      </w:r>
      <w:proofErr w:type="gramEnd"/>
      <w:r w:rsidR="0075290C" w:rsidRPr="005E5D86">
        <w:rPr>
          <w:rFonts w:ascii="Book Antiqua" w:hAnsi="Book Antiqua"/>
          <w:vertAlign w:val="superscript"/>
        </w:rPr>
        <w:t>6</w:t>
      </w:r>
      <w:r w:rsidR="005104BA" w:rsidRPr="005E5D86">
        <w:rPr>
          <w:rFonts w:ascii="Book Antiqua" w:hAnsi="Book Antiqua"/>
          <w:vertAlign w:val="superscript"/>
        </w:rPr>
        <w:t>]</w:t>
      </w:r>
      <w:r w:rsidR="00625247" w:rsidRPr="005E5D86">
        <w:rPr>
          <w:rFonts w:ascii="Book Antiqua" w:hAnsi="Book Antiqua"/>
        </w:rPr>
        <w:t xml:space="preserve">. </w:t>
      </w:r>
    </w:p>
    <w:p w:rsidR="005F5D17" w:rsidRPr="005E5D86" w:rsidRDefault="00704149" w:rsidP="005E5D86">
      <w:pPr>
        <w:snapToGrid w:val="0"/>
        <w:spacing w:line="360" w:lineRule="auto"/>
        <w:ind w:firstLine="720"/>
        <w:jc w:val="both"/>
        <w:rPr>
          <w:rFonts w:ascii="Book Antiqua" w:hAnsi="Book Antiqua"/>
        </w:rPr>
      </w:pPr>
      <w:r>
        <w:rPr>
          <w:rFonts w:ascii="Book Antiqua" w:hAnsi="Book Antiqua"/>
        </w:rPr>
        <w:t>NAFLD</w:t>
      </w:r>
      <w:r w:rsidR="00774F30" w:rsidRPr="005E5D86">
        <w:rPr>
          <w:rFonts w:ascii="Book Antiqua" w:hAnsi="Book Antiqua"/>
        </w:rPr>
        <w:t xml:space="preserve"> is not only associated </w:t>
      </w:r>
      <w:r w:rsidR="001B3A89" w:rsidRPr="005E5D86">
        <w:rPr>
          <w:rFonts w:ascii="Book Antiqua" w:hAnsi="Book Antiqua"/>
        </w:rPr>
        <w:t xml:space="preserve">with </w:t>
      </w:r>
      <w:r w:rsidR="00774F30" w:rsidRPr="005E5D86">
        <w:rPr>
          <w:rFonts w:ascii="Book Antiqua" w:hAnsi="Book Antiqua"/>
        </w:rPr>
        <w:t xml:space="preserve">increased liver-related morbidity and mortality, it is also associated with increased risk of mortality due to </w:t>
      </w:r>
      <w:r w:rsidR="005D3348" w:rsidRPr="005E5D86">
        <w:rPr>
          <w:rFonts w:ascii="Book Antiqua" w:hAnsi="Book Antiqua"/>
        </w:rPr>
        <w:t>cardiovascular disease</w:t>
      </w:r>
      <w:r w:rsidR="005D3348">
        <w:rPr>
          <w:rFonts w:ascii="Book Antiqua" w:hAnsi="Book Antiqua"/>
        </w:rPr>
        <w:t xml:space="preserve"> (CVD</w:t>
      </w:r>
      <w:proofErr w:type="gramStart"/>
      <w:r w:rsidR="005D3348">
        <w:rPr>
          <w:rFonts w:ascii="Book Antiqua" w:hAnsi="Book Antiqua"/>
        </w:rPr>
        <w:t>)</w:t>
      </w:r>
      <w:r w:rsidR="00774F30" w:rsidRPr="005E5D86">
        <w:rPr>
          <w:rFonts w:ascii="Book Antiqua" w:hAnsi="Book Antiqua"/>
          <w:vertAlign w:val="superscript"/>
        </w:rPr>
        <w:t>[</w:t>
      </w:r>
      <w:proofErr w:type="gramEnd"/>
      <w:r w:rsidR="00B15D0E" w:rsidRPr="005E5D86">
        <w:rPr>
          <w:rFonts w:ascii="Book Antiqua" w:hAnsi="Book Antiqua"/>
          <w:vertAlign w:val="superscript"/>
        </w:rPr>
        <w:t>7-9</w:t>
      </w:r>
      <w:r w:rsidR="00774F30" w:rsidRPr="005E5D86">
        <w:rPr>
          <w:rFonts w:ascii="Book Antiqua" w:hAnsi="Book Antiqua"/>
          <w:vertAlign w:val="superscript"/>
        </w:rPr>
        <w:t>]</w:t>
      </w:r>
      <w:r w:rsidR="00774F30" w:rsidRPr="005E5D86">
        <w:rPr>
          <w:rFonts w:ascii="Book Antiqua" w:hAnsi="Book Antiqua"/>
        </w:rPr>
        <w:t xml:space="preserve">. </w:t>
      </w:r>
      <w:r w:rsidR="00791E29" w:rsidRPr="005E5D86">
        <w:rPr>
          <w:rFonts w:ascii="Book Antiqua" w:hAnsi="Book Antiqua"/>
        </w:rPr>
        <w:t>The distillation of NAFLD as an independent risk factor for CVD is impeded by overlap with established risk factors for CVD that are also risk factors for NAFLD</w:t>
      </w:r>
      <w:r w:rsidR="007225E9" w:rsidRPr="005E5D86">
        <w:rPr>
          <w:rFonts w:ascii="Book Antiqua" w:hAnsi="Book Antiqua"/>
        </w:rPr>
        <w:t>.</w:t>
      </w:r>
      <w:r w:rsidR="007C7A1F">
        <w:rPr>
          <w:rFonts w:ascii="Book Antiqua" w:hAnsi="Book Antiqua"/>
        </w:rPr>
        <w:t xml:space="preserve"> </w:t>
      </w:r>
      <w:r w:rsidR="00563B80" w:rsidRPr="005E5D86">
        <w:rPr>
          <w:rFonts w:ascii="Book Antiqua" w:hAnsi="Book Antiqua"/>
        </w:rPr>
        <w:t>E</w:t>
      </w:r>
      <w:r w:rsidR="00791E29" w:rsidRPr="005E5D86">
        <w:rPr>
          <w:rFonts w:ascii="Book Antiqua" w:hAnsi="Book Antiqua"/>
        </w:rPr>
        <w:t xml:space="preserve">ven in the absence of cardiovascular mortality, CVD is highly </w:t>
      </w:r>
      <w:r w:rsidR="005F17BB" w:rsidRPr="005E5D86">
        <w:rPr>
          <w:rFonts w:ascii="Book Antiqua" w:hAnsi="Book Antiqua"/>
        </w:rPr>
        <w:t>prevalent</w:t>
      </w:r>
      <w:r w:rsidR="00791E29" w:rsidRPr="005E5D86">
        <w:rPr>
          <w:rFonts w:ascii="Book Antiqua" w:hAnsi="Book Antiqua"/>
        </w:rPr>
        <w:t xml:space="preserve"> in patients with </w:t>
      </w:r>
      <w:proofErr w:type="gramStart"/>
      <w:r w:rsidR="00791E29" w:rsidRPr="005E5D86">
        <w:rPr>
          <w:rFonts w:ascii="Book Antiqua" w:hAnsi="Book Antiqua"/>
        </w:rPr>
        <w:t>NAFLD</w:t>
      </w:r>
      <w:r w:rsidR="000D0EF7" w:rsidRPr="005E5D86">
        <w:rPr>
          <w:rFonts w:ascii="Book Antiqua" w:hAnsi="Book Antiqua"/>
          <w:vertAlign w:val="superscript"/>
        </w:rPr>
        <w:t>[</w:t>
      </w:r>
      <w:proofErr w:type="gramEnd"/>
      <w:r w:rsidR="000D0EF7" w:rsidRPr="005E5D86">
        <w:rPr>
          <w:rFonts w:ascii="Book Antiqua" w:hAnsi="Book Antiqua"/>
          <w:vertAlign w:val="superscript"/>
        </w:rPr>
        <w:t>7-9]</w:t>
      </w:r>
      <w:r w:rsidR="00791E29" w:rsidRPr="005E5D86">
        <w:rPr>
          <w:rFonts w:ascii="Book Antiqua" w:hAnsi="Book Antiqua"/>
        </w:rPr>
        <w:t xml:space="preserve">. </w:t>
      </w:r>
      <w:r w:rsidR="007225E9" w:rsidRPr="005E5D86">
        <w:rPr>
          <w:rFonts w:ascii="Book Antiqua" w:hAnsi="Book Antiqua"/>
        </w:rPr>
        <w:t xml:space="preserve">There is </w:t>
      </w:r>
      <w:r w:rsidR="00541784" w:rsidRPr="005E5D86">
        <w:rPr>
          <w:rFonts w:ascii="Book Antiqua" w:hAnsi="Book Antiqua"/>
        </w:rPr>
        <w:t>convincing</w:t>
      </w:r>
      <w:r w:rsidR="007225E9" w:rsidRPr="005E5D86">
        <w:rPr>
          <w:rFonts w:ascii="Book Antiqua" w:hAnsi="Book Antiqua"/>
        </w:rPr>
        <w:t xml:space="preserve"> data </w:t>
      </w:r>
      <w:r w:rsidR="00541784" w:rsidRPr="005E5D86">
        <w:rPr>
          <w:rFonts w:ascii="Book Antiqua" w:hAnsi="Book Antiqua"/>
        </w:rPr>
        <w:t>supporting</w:t>
      </w:r>
      <w:r w:rsidR="007225E9" w:rsidRPr="005E5D86">
        <w:rPr>
          <w:rFonts w:ascii="Book Antiqua" w:hAnsi="Book Antiqua"/>
        </w:rPr>
        <w:t xml:space="preserve"> the association of</w:t>
      </w:r>
      <w:r w:rsidR="00774F30" w:rsidRPr="005E5D86">
        <w:rPr>
          <w:rFonts w:ascii="Book Antiqua" w:hAnsi="Book Antiqua"/>
        </w:rPr>
        <w:t xml:space="preserve"> NAFLD </w:t>
      </w:r>
      <w:r w:rsidR="007225E9" w:rsidRPr="005E5D86">
        <w:rPr>
          <w:rFonts w:ascii="Book Antiqua" w:hAnsi="Book Antiqua"/>
        </w:rPr>
        <w:t>with</w:t>
      </w:r>
      <w:r w:rsidR="00774F30" w:rsidRPr="005E5D86">
        <w:rPr>
          <w:rFonts w:ascii="Book Antiqua" w:hAnsi="Book Antiqua"/>
        </w:rPr>
        <w:t xml:space="preserve"> subclinical atherosclerosis, carotid arthrosclerosis and</w:t>
      </w:r>
      <w:r w:rsidR="007225E9" w:rsidRPr="005E5D86">
        <w:rPr>
          <w:rFonts w:ascii="Book Antiqua" w:hAnsi="Book Antiqua"/>
        </w:rPr>
        <w:t xml:space="preserve"> </w:t>
      </w:r>
      <w:r w:rsidR="00774F30" w:rsidRPr="005E5D86">
        <w:rPr>
          <w:rFonts w:ascii="Book Antiqua" w:hAnsi="Book Antiqua"/>
        </w:rPr>
        <w:t xml:space="preserve">venous thromboembolic </w:t>
      </w:r>
      <w:proofErr w:type="gramStart"/>
      <w:r w:rsidR="00774F30" w:rsidRPr="005E5D86">
        <w:rPr>
          <w:rFonts w:ascii="Book Antiqua" w:hAnsi="Book Antiqua"/>
        </w:rPr>
        <w:t>events</w:t>
      </w:r>
      <w:r w:rsidR="00774F30" w:rsidRPr="005E5D86">
        <w:rPr>
          <w:rFonts w:ascii="Book Antiqua" w:hAnsi="Book Antiqua"/>
          <w:vertAlign w:val="superscript"/>
        </w:rPr>
        <w:t>[</w:t>
      </w:r>
      <w:proofErr w:type="gramEnd"/>
      <w:r w:rsidR="00774F30" w:rsidRPr="005E5D86">
        <w:rPr>
          <w:rFonts w:ascii="Book Antiqua" w:hAnsi="Book Antiqua"/>
          <w:vertAlign w:val="superscript"/>
        </w:rPr>
        <w:t>1</w:t>
      </w:r>
      <w:r w:rsidR="000D0EF7" w:rsidRPr="005E5D86">
        <w:rPr>
          <w:rFonts w:ascii="Book Antiqua" w:hAnsi="Book Antiqua"/>
          <w:vertAlign w:val="superscript"/>
        </w:rPr>
        <w:t>0</w:t>
      </w:r>
      <w:r w:rsidR="00154C52" w:rsidRPr="005E5D86">
        <w:rPr>
          <w:rFonts w:ascii="Book Antiqua" w:hAnsi="Book Antiqua"/>
          <w:vertAlign w:val="superscript"/>
        </w:rPr>
        <w:t>-13</w:t>
      </w:r>
      <w:r w:rsidR="00774F30" w:rsidRPr="005E5D86">
        <w:rPr>
          <w:rFonts w:ascii="Book Antiqua" w:hAnsi="Book Antiqua"/>
          <w:vertAlign w:val="superscript"/>
        </w:rPr>
        <w:t>]</w:t>
      </w:r>
      <w:r w:rsidR="00774F30" w:rsidRPr="005E5D86">
        <w:rPr>
          <w:rFonts w:ascii="Book Antiqua" w:hAnsi="Book Antiqua"/>
        </w:rPr>
        <w:t xml:space="preserve">. The severity of coronary artery disease is also higher in patients with NAFLD </w:t>
      </w:r>
      <w:r w:rsidR="007225E9" w:rsidRPr="005E5D86">
        <w:rPr>
          <w:rFonts w:ascii="Book Antiqua" w:hAnsi="Book Antiqua"/>
        </w:rPr>
        <w:t>diagnosed</w:t>
      </w:r>
      <w:r w:rsidR="00774F30" w:rsidRPr="005E5D86">
        <w:rPr>
          <w:rFonts w:ascii="Book Antiqua" w:hAnsi="Book Antiqua"/>
        </w:rPr>
        <w:t xml:space="preserve"> </w:t>
      </w:r>
      <w:r w:rsidR="00A413BD" w:rsidRPr="005E5D86">
        <w:rPr>
          <w:rFonts w:ascii="Book Antiqua" w:hAnsi="Book Antiqua"/>
        </w:rPr>
        <w:t>by</w:t>
      </w:r>
      <w:r w:rsidR="00774F30" w:rsidRPr="005E5D86">
        <w:rPr>
          <w:rFonts w:ascii="Book Antiqua" w:hAnsi="Book Antiqua"/>
        </w:rPr>
        <w:t xml:space="preserve"> coronary </w:t>
      </w:r>
      <w:proofErr w:type="gramStart"/>
      <w:r w:rsidR="00774F30" w:rsidRPr="005E5D86">
        <w:rPr>
          <w:rFonts w:ascii="Book Antiqua" w:hAnsi="Book Antiqua"/>
        </w:rPr>
        <w:t>angiography</w:t>
      </w:r>
      <w:r w:rsidR="00774F30" w:rsidRPr="005E5D86">
        <w:rPr>
          <w:rFonts w:ascii="Book Antiqua" w:hAnsi="Book Antiqua"/>
          <w:vertAlign w:val="superscript"/>
        </w:rPr>
        <w:t>[</w:t>
      </w:r>
      <w:proofErr w:type="gramEnd"/>
      <w:r w:rsidR="00774F30" w:rsidRPr="005E5D86">
        <w:rPr>
          <w:rFonts w:ascii="Book Antiqua" w:hAnsi="Book Antiqua"/>
          <w:vertAlign w:val="superscript"/>
        </w:rPr>
        <w:t>1</w:t>
      </w:r>
      <w:r w:rsidR="00154C52" w:rsidRPr="005E5D86">
        <w:rPr>
          <w:rFonts w:ascii="Book Antiqua" w:hAnsi="Book Antiqua"/>
          <w:vertAlign w:val="superscript"/>
        </w:rPr>
        <w:t>4</w:t>
      </w:r>
      <w:r w:rsidR="00774F30" w:rsidRPr="005E5D86">
        <w:rPr>
          <w:rFonts w:ascii="Book Antiqua" w:hAnsi="Book Antiqua"/>
          <w:vertAlign w:val="superscript"/>
        </w:rPr>
        <w:t>]</w:t>
      </w:r>
      <w:r w:rsidR="00774F30" w:rsidRPr="005E5D86">
        <w:rPr>
          <w:rFonts w:ascii="Book Antiqua" w:hAnsi="Book Antiqua"/>
        </w:rPr>
        <w:t xml:space="preserve">. </w:t>
      </w:r>
      <w:r w:rsidR="00186E73" w:rsidRPr="005E5D86">
        <w:rPr>
          <w:rFonts w:ascii="Book Antiqua" w:hAnsi="Book Antiqua"/>
        </w:rPr>
        <w:t>Several mechanisms have been proposed b</w:t>
      </w:r>
      <w:r w:rsidR="00EE4090" w:rsidRPr="005E5D86">
        <w:rPr>
          <w:rFonts w:ascii="Book Antiqua" w:hAnsi="Book Antiqua"/>
        </w:rPr>
        <w:t xml:space="preserve">y which NAFLD may give rise to CVD. </w:t>
      </w:r>
      <w:r w:rsidR="00541784" w:rsidRPr="005E5D86">
        <w:rPr>
          <w:rFonts w:ascii="Book Antiqua" w:hAnsi="Book Antiqua"/>
        </w:rPr>
        <w:t xml:space="preserve">Endothelial damage is </w:t>
      </w:r>
      <w:r w:rsidR="00EE4090" w:rsidRPr="005E5D86">
        <w:rPr>
          <w:rFonts w:ascii="Book Antiqua" w:hAnsi="Book Antiqua"/>
        </w:rPr>
        <w:t xml:space="preserve">considered </w:t>
      </w:r>
      <w:r w:rsidR="00541784" w:rsidRPr="005E5D86">
        <w:rPr>
          <w:rFonts w:ascii="Book Antiqua" w:hAnsi="Book Antiqua"/>
        </w:rPr>
        <w:t>the first step in atherosclerosis</w:t>
      </w:r>
      <w:r w:rsidR="00F46B59" w:rsidRPr="005E5D86">
        <w:rPr>
          <w:rFonts w:ascii="Book Antiqua" w:hAnsi="Book Antiqua"/>
        </w:rPr>
        <w:t>.</w:t>
      </w:r>
      <w:r w:rsidR="00541784" w:rsidRPr="005E5D86">
        <w:rPr>
          <w:rFonts w:ascii="Book Antiqua" w:hAnsi="Book Antiqua"/>
        </w:rPr>
        <w:t xml:space="preserve"> </w:t>
      </w:r>
      <w:r w:rsidR="00F46B59" w:rsidRPr="005E5D86">
        <w:rPr>
          <w:rFonts w:ascii="Book Antiqua" w:hAnsi="Book Antiqua"/>
        </w:rPr>
        <w:t>I</w:t>
      </w:r>
      <w:r w:rsidR="00541784" w:rsidRPr="005E5D86">
        <w:rPr>
          <w:rFonts w:ascii="Book Antiqua" w:hAnsi="Book Antiqua"/>
        </w:rPr>
        <w:t>ntrahepatic and systemic endothelial damage ha</w:t>
      </w:r>
      <w:r w:rsidR="00D40707" w:rsidRPr="005E5D86">
        <w:rPr>
          <w:rFonts w:ascii="Book Antiqua" w:hAnsi="Book Antiqua"/>
        </w:rPr>
        <w:t>ve</w:t>
      </w:r>
      <w:r w:rsidR="00541784" w:rsidRPr="005E5D86">
        <w:rPr>
          <w:rFonts w:ascii="Book Antiqua" w:hAnsi="Book Antiqua"/>
        </w:rPr>
        <w:t xml:space="preserve"> been noted in NAFLD and </w:t>
      </w:r>
      <w:r w:rsidR="00D40707" w:rsidRPr="005E5D86">
        <w:rPr>
          <w:rFonts w:ascii="Book Antiqua" w:hAnsi="Book Antiqua"/>
        </w:rPr>
        <w:t xml:space="preserve">are </w:t>
      </w:r>
      <w:r w:rsidR="00541784" w:rsidRPr="005E5D86">
        <w:rPr>
          <w:rFonts w:ascii="Book Antiqua" w:hAnsi="Book Antiqua"/>
        </w:rPr>
        <w:t>more pronounced</w:t>
      </w:r>
      <w:r w:rsidR="005F5D17" w:rsidRPr="005E5D86">
        <w:rPr>
          <w:rFonts w:ascii="Book Antiqua" w:hAnsi="Book Antiqua"/>
        </w:rPr>
        <w:t xml:space="preserve"> in</w:t>
      </w:r>
      <w:r w:rsidR="00541784" w:rsidRPr="005E5D86">
        <w:rPr>
          <w:rFonts w:ascii="Book Antiqua" w:hAnsi="Book Antiqua"/>
        </w:rPr>
        <w:t xml:space="preserve"> </w:t>
      </w:r>
      <w:proofErr w:type="gramStart"/>
      <w:r w:rsidR="00541784" w:rsidRPr="005E5D86">
        <w:rPr>
          <w:rFonts w:ascii="Book Antiqua" w:hAnsi="Book Antiqua"/>
        </w:rPr>
        <w:t>NASH</w:t>
      </w:r>
      <w:r w:rsidR="0003282F" w:rsidRPr="005E5D86">
        <w:rPr>
          <w:rFonts w:ascii="Book Antiqua" w:hAnsi="Book Antiqua"/>
          <w:vertAlign w:val="superscript"/>
        </w:rPr>
        <w:t>[</w:t>
      </w:r>
      <w:proofErr w:type="gramEnd"/>
      <w:r w:rsidR="0003282F" w:rsidRPr="005E5D86">
        <w:rPr>
          <w:rFonts w:ascii="Book Antiqua" w:hAnsi="Book Antiqua"/>
          <w:vertAlign w:val="superscript"/>
        </w:rPr>
        <w:t>1</w:t>
      </w:r>
      <w:r w:rsidR="00154C52" w:rsidRPr="005E5D86">
        <w:rPr>
          <w:rFonts w:ascii="Book Antiqua" w:hAnsi="Book Antiqua"/>
          <w:vertAlign w:val="superscript"/>
        </w:rPr>
        <w:t>5</w:t>
      </w:r>
      <w:r w:rsidR="0003282F" w:rsidRPr="005E5D86">
        <w:rPr>
          <w:rFonts w:ascii="Book Antiqua" w:hAnsi="Book Antiqua"/>
          <w:vertAlign w:val="superscript"/>
        </w:rPr>
        <w:t>]</w:t>
      </w:r>
      <w:r w:rsidR="00541784" w:rsidRPr="005E5D86">
        <w:rPr>
          <w:rFonts w:ascii="Book Antiqua" w:hAnsi="Book Antiqua"/>
        </w:rPr>
        <w:t xml:space="preserve">. </w:t>
      </w:r>
      <w:r w:rsidR="00CB6DBD" w:rsidRPr="005E5D86">
        <w:rPr>
          <w:rFonts w:ascii="Book Antiqua" w:hAnsi="Book Antiqua"/>
        </w:rPr>
        <w:t>Second, i</w:t>
      </w:r>
      <w:r w:rsidR="00186E73" w:rsidRPr="005E5D86">
        <w:rPr>
          <w:rFonts w:ascii="Book Antiqua" w:hAnsi="Book Antiqua"/>
        </w:rPr>
        <w:t xml:space="preserve">nflammation fuels </w:t>
      </w:r>
      <w:r>
        <w:rPr>
          <w:rFonts w:ascii="Book Antiqua" w:hAnsi="Book Antiqua"/>
        </w:rPr>
        <w:t>CVD</w:t>
      </w:r>
      <w:r w:rsidR="00186E73" w:rsidRPr="005E5D86">
        <w:rPr>
          <w:rFonts w:ascii="Book Antiqua" w:hAnsi="Book Antiqua"/>
        </w:rPr>
        <w:t xml:space="preserve"> and </w:t>
      </w:r>
      <w:r w:rsidR="00F46B59" w:rsidRPr="005E5D86">
        <w:rPr>
          <w:rFonts w:ascii="Book Antiqua" w:hAnsi="Book Antiqua"/>
        </w:rPr>
        <w:t>promotes</w:t>
      </w:r>
      <w:r w:rsidR="00186E73" w:rsidRPr="005E5D86">
        <w:rPr>
          <w:rFonts w:ascii="Book Antiqua" w:hAnsi="Book Antiqua"/>
        </w:rPr>
        <w:t xml:space="preserve"> </w:t>
      </w:r>
      <w:r w:rsidR="0011447B" w:rsidRPr="005E5D86">
        <w:rPr>
          <w:rFonts w:ascii="Book Antiqua" w:hAnsi="Book Antiqua"/>
        </w:rPr>
        <w:t xml:space="preserve">endothelial damage, </w:t>
      </w:r>
      <w:r w:rsidR="00186E73" w:rsidRPr="005E5D86">
        <w:rPr>
          <w:rFonts w:ascii="Book Antiqua" w:hAnsi="Book Antiqua"/>
        </w:rPr>
        <w:t xml:space="preserve">by </w:t>
      </w:r>
      <w:r w:rsidR="0011447B" w:rsidRPr="005E5D86">
        <w:rPr>
          <w:rFonts w:ascii="Book Antiqua" w:hAnsi="Book Antiqua"/>
        </w:rPr>
        <w:t>alte</w:t>
      </w:r>
      <w:r w:rsidR="00971803" w:rsidRPr="005E5D86">
        <w:rPr>
          <w:rFonts w:ascii="Book Antiqua" w:hAnsi="Book Antiqua"/>
        </w:rPr>
        <w:t>r</w:t>
      </w:r>
      <w:r w:rsidR="00186E73" w:rsidRPr="005E5D86">
        <w:rPr>
          <w:rFonts w:ascii="Book Antiqua" w:hAnsi="Book Antiqua"/>
        </w:rPr>
        <w:t xml:space="preserve">ing </w:t>
      </w:r>
      <w:r w:rsidR="0011447B" w:rsidRPr="005E5D86">
        <w:rPr>
          <w:rFonts w:ascii="Book Antiqua" w:hAnsi="Book Antiqua"/>
        </w:rPr>
        <w:t>vascular tone and enhanc</w:t>
      </w:r>
      <w:r w:rsidR="00186E73" w:rsidRPr="005E5D86">
        <w:rPr>
          <w:rFonts w:ascii="Book Antiqua" w:hAnsi="Book Antiqua"/>
        </w:rPr>
        <w:t>ing</w:t>
      </w:r>
      <w:r w:rsidR="0011447B" w:rsidRPr="005E5D86">
        <w:rPr>
          <w:rFonts w:ascii="Book Antiqua" w:hAnsi="Book Antiqua"/>
        </w:rPr>
        <w:t xml:space="preserve"> platelet </w:t>
      </w:r>
      <w:proofErr w:type="gramStart"/>
      <w:r w:rsidR="005F5D17" w:rsidRPr="005E5D86">
        <w:rPr>
          <w:rFonts w:ascii="Book Antiqua" w:hAnsi="Book Antiqua"/>
        </w:rPr>
        <w:t>dys</w:t>
      </w:r>
      <w:r w:rsidR="0011447B" w:rsidRPr="005E5D86">
        <w:rPr>
          <w:rFonts w:ascii="Book Antiqua" w:hAnsi="Book Antiqua"/>
        </w:rPr>
        <w:t>function</w:t>
      </w:r>
      <w:r w:rsidR="0003282F" w:rsidRPr="005E5D86">
        <w:rPr>
          <w:rFonts w:ascii="Book Antiqua" w:hAnsi="Book Antiqua"/>
          <w:vertAlign w:val="superscript"/>
        </w:rPr>
        <w:t>[</w:t>
      </w:r>
      <w:proofErr w:type="gramEnd"/>
      <w:r w:rsidR="0003282F" w:rsidRPr="005E5D86">
        <w:rPr>
          <w:rFonts w:ascii="Book Antiqua" w:hAnsi="Book Antiqua"/>
          <w:vertAlign w:val="superscript"/>
        </w:rPr>
        <w:t>1</w:t>
      </w:r>
      <w:r w:rsidR="00154C52" w:rsidRPr="005E5D86">
        <w:rPr>
          <w:rFonts w:ascii="Book Antiqua" w:hAnsi="Book Antiqua"/>
          <w:vertAlign w:val="superscript"/>
        </w:rPr>
        <w:t>6</w:t>
      </w:r>
      <w:r w:rsidR="0003282F" w:rsidRPr="005E5D86">
        <w:rPr>
          <w:rFonts w:ascii="Book Antiqua" w:hAnsi="Book Antiqua"/>
          <w:vertAlign w:val="superscript"/>
        </w:rPr>
        <w:t>]</w:t>
      </w:r>
      <w:r w:rsidR="0011447B" w:rsidRPr="005E5D86">
        <w:rPr>
          <w:rFonts w:ascii="Book Antiqua" w:hAnsi="Book Antiqua"/>
        </w:rPr>
        <w:t>.</w:t>
      </w:r>
      <w:r w:rsidR="00CB6DBD" w:rsidRPr="005E5D86">
        <w:rPr>
          <w:rFonts w:ascii="Book Antiqua" w:hAnsi="Book Antiqua"/>
        </w:rPr>
        <w:t xml:space="preserve"> C</w:t>
      </w:r>
      <w:r w:rsidR="0011447B" w:rsidRPr="005E5D86">
        <w:rPr>
          <w:rFonts w:ascii="Book Antiqua" w:hAnsi="Book Antiqua"/>
        </w:rPr>
        <w:t xml:space="preserve">irculating proinflammatory cytokines are </w:t>
      </w:r>
      <w:r w:rsidR="00CB6DBD" w:rsidRPr="005E5D86">
        <w:rPr>
          <w:rFonts w:ascii="Book Antiqua" w:hAnsi="Book Antiqua"/>
        </w:rPr>
        <w:t>increased in</w:t>
      </w:r>
      <w:r w:rsidR="0011447B" w:rsidRPr="005E5D86">
        <w:rPr>
          <w:rFonts w:ascii="Book Antiqua" w:hAnsi="Book Antiqua"/>
        </w:rPr>
        <w:t xml:space="preserve"> NAFLD </w:t>
      </w:r>
      <w:r w:rsidR="00A413BD" w:rsidRPr="005E5D86">
        <w:rPr>
          <w:rFonts w:ascii="Book Antiqua" w:hAnsi="Book Antiqua"/>
        </w:rPr>
        <w:t>and are highly</w:t>
      </w:r>
      <w:r w:rsidR="00CB6DBD" w:rsidRPr="005E5D86">
        <w:rPr>
          <w:rFonts w:ascii="Book Antiqua" w:hAnsi="Book Antiqua"/>
        </w:rPr>
        <w:t xml:space="preserve"> </w:t>
      </w:r>
      <w:r w:rsidR="00A413BD" w:rsidRPr="005E5D86">
        <w:rPr>
          <w:rFonts w:ascii="Book Antiqua" w:hAnsi="Book Antiqua"/>
        </w:rPr>
        <w:t>expressed</w:t>
      </w:r>
      <w:r w:rsidR="00CB6DBD" w:rsidRPr="005E5D86">
        <w:rPr>
          <w:rFonts w:ascii="Book Antiqua" w:hAnsi="Book Antiqua"/>
        </w:rPr>
        <w:t xml:space="preserve"> </w:t>
      </w:r>
      <w:r w:rsidR="0011447B" w:rsidRPr="005E5D86">
        <w:rPr>
          <w:rFonts w:ascii="Book Antiqua" w:hAnsi="Book Antiqua"/>
        </w:rPr>
        <w:t xml:space="preserve">in </w:t>
      </w:r>
      <w:proofErr w:type="gramStart"/>
      <w:r w:rsidR="0011447B" w:rsidRPr="005E5D86">
        <w:rPr>
          <w:rFonts w:ascii="Book Antiqua" w:hAnsi="Book Antiqua"/>
        </w:rPr>
        <w:t>NASH</w:t>
      </w:r>
      <w:r w:rsidR="0003282F" w:rsidRPr="005E5D86">
        <w:rPr>
          <w:rFonts w:ascii="Book Antiqua" w:hAnsi="Book Antiqua"/>
          <w:vertAlign w:val="superscript"/>
        </w:rPr>
        <w:t>[</w:t>
      </w:r>
      <w:proofErr w:type="gramEnd"/>
      <w:r w:rsidR="0003282F" w:rsidRPr="005E5D86">
        <w:rPr>
          <w:rFonts w:ascii="Book Antiqua" w:hAnsi="Book Antiqua"/>
          <w:vertAlign w:val="superscript"/>
        </w:rPr>
        <w:t>1</w:t>
      </w:r>
      <w:r w:rsidR="00154C52" w:rsidRPr="005E5D86">
        <w:rPr>
          <w:rFonts w:ascii="Book Antiqua" w:hAnsi="Book Antiqua"/>
          <w:vertAlign w:val="superscript"/>
        </w:rPr>
        <w:t>7</w:t>
      </w:r>
      <w:r w:rsidR="0003282F" w:rsidRPr="005E5D86">
        <w:rPr>
          <w:rFonts w:ascii="Book Antiqua" w:hAnsi="Book Antiqua"/>
          <w:vertAlign w:val="superscript"/>
        </w:rPr>
        <w:t>]</w:t>
      </w:r>
      <w:r w:rsidR="0011447B" w:rsidRPr="005E5D86">
        <w:rPr>
          <w:rFonts w:ascii="Book Antiqua" w:hAnsi="Book Antiqua"/>
        </w:rPr>
        <w:t xml:space="preserve">. </w:t>
      </w:r>
      <w:r w:rsidR="00F46B59" w:rsidRPr="005E5D86">
        <w:rPr>
          <w:rFonts w:ascii="Book Antiqua" w:hAnsi="Book Antiqua"/>
        </w:rPr>
        <w:t>Moreover,</w:t>
      </w:r>
      <w:r w:rsidR="00EE4090" w:rsidRPr="005E5D86">
        <w:rPr>
          <w:rFonts w:ascii="Book Antiqua" w:hAnsi="Book Antiqua"/>
        </w:rPr>
        <w:t xml:space="preserve"> t</w:t>
      </w:r>
      <w:r w:rsidR="00541784" w:rsidRPr="005E5D86">
        <w:rPr>
          <w:rFonts w:ascii="Book Antiqua" w:hAnsi="Book Antiqua"/>
        </w:rPr>
        <w:t xml:space="preserve">he liver plays a key role in whole body lipid metabolism. Serum lipid profiles </w:t>
      </w:r>
      <w:r w:rsidR="00D40707" w:rsidRPr="005E5D86">
        <w:rPr>
          <w:rFonts w:ascii="Book Antiqua" w:hAnsi="Book Antiqua"/>
        </w:rPr>
        <w:t>mirror</w:t>
      </w:r>
      <w:r w:rsidR="00541784" w:rsidRPr="005E5D86">
        <w:rPr>
          <w:rFonts w:ascii="Book Antiqua" w:hAnsi="Book Antiqua"/>
        </w:rPr>
        <w:t xml:space="preserve"> </w:t>
      </w:r>
      <w:r w:rsidR="00D40707" w:rsidRPr="005E5D86">
        <w:rPr>
          <w:rFonts w:ascii="Book Antiqua" w:hAnsi="Book Antiqua"/>
        </w:rPr>
        <w:t>disease severity</w:t>
      </w:r>
      <w:r w:rsidR="00EE4090" w:rsidRPr="005E5D86">
        <w:rPr>
          <w:rFonts w:ascii="Book Antiqua" w:hAnsi="Book Antiqua"/>
        </w:rPr>
        <w:t xml:space="preserve"> </w:t>
      </w:r>
      <w:r w:rsidR="00D40707" w:rsidRPr="005E5D86">
        <w:rPr>
          <w:rFonts w:ascii="Book Antiqua" w:hAnsi="Book Antiqua"/>
        </w:rPr>
        <w:t xml:space="preserve">and </w:t>
      </w:r>
      <w:r w:rsidR="005F5D17" w:rsidRPr="005E5D86">
        <w:rPr>
          <w:rFonts w:ascii="Book Antiqua" w:hAnsi="Book Antiqua"/>
        </w:rPr>
        <w:t xml:space="preserve">are </w:t>
      </w:r>
      <w:r w:rsidR="00F46B59" w:rsidRPr="005E5D86">
        <w:rPr>
          <w:rFonts w:ascii="Book Antiqua" w:hAnsi="Book Antiqua"/>
        </w:rPr>
        <w:t>significantly higher</w:t>
      </w:r>
      <w:r w:rsidR="005F5D17" w:rsidRPr="005E5D86">
        <w:rPr>
          <w:rFonts w:ascii="Book Antiqua" w:hAnsi="Book Antiqua"/>
        </w:rPr>
        <w:t xml:space="preserve"> </w:t>
      </w:r>
      <w:r w:rsidR="00541784" w:rsidRPr="005E5D86">
        <w:rPr>
          <w:rFonts w:ascii="Book Antiqua" w:hAnsi="Book Antiqua"/>
        </w:rPr>
        <w:t xml:space="preserve">in </w:t>
      </w:r>
      <w:proofErr w:type="gramStart"/>
      <w:r w:rsidR="00541784" w:rsidRPr="005E5D86">
        <w:rPr>
          <w:rFonts w:ascii="Book Antiqua" w:hAnsi="Book Antiqua"/>
        </w:rPr>
        <w:t>NASH</w:t>
      </w:r>
      <w:r w:rsidR="0091360B" w:rsidRPr="005E5D86">
        <w:rPr>
          <w:rFonts w:ascii="Book Antiqua" w:hAnsi="Book Antiqua"/>
          <w:vertAlign w:val="superscript"/>
        </w:rPr>
        <w:t>[</w:t>
      </w:r>
      <w:proofErr w:type="gramEnd"/>
      <w:r w:rsidR="0091360B" w:rsidRPr="005E5D86">
        <w:rPr>
          <w:rFonts w:ascii="Book Antiqua" w:hAnsi="Book Antiqua"/>
          <w:vertAlign w:val="superscript"/>
        </w:rPr>
        <w:t>1</w:t>
      </w:r>
      <w:r w:rsidR="00154C52" w:rsidRPr="005E5D86">
        <w:rPr>
          <w:rFonts w:ascii="Book Antiqua" w:hAnsi="Book Antiqua"/>
          <w:vertAlign w:val="superscript"/>
        </w:rPr>
        <w:t>7]</w:t>
      </w:r>
      <w:r w:rsidR="00541784" w:rsidRPr="005E5D86">
        <w:rPr>
          <w:rFonts w:ascii="Book Antiqua" w:hAnsi="Book Antiqua"/>
        </w:rPr>
        <w:t>. Further</w:t>
      </w:r>
      <w:r w:rsidR="00186E73" w:rsidRPr="005E5D86">
        <w:rPr>
          <w:rFonts w:ascii="Book Antiqua" w:hAnsi="Book Antiqua"/>
        </w:rPr>
        <w:t xml:space="preserve">more </w:t>
      </w:r>
      <w:r w:rsidR="00BF6DF6" w:rsidRPr="005E5D86">
        <w:rPr>
          <w:rFonts w:ascii="Book Antiqua" w:hAnsi="Book Antiqua"/>
        </w:rPr>
        <w:t>disturbances in haemostasis are seen in</w:t>
      </w:r>
      <w:r w:rsidR="00EE4090" w:rsidRPr="005E5D86">
        <w:rPr>
          <w:rFonts w:ascii="Book Antiqua" w:hAnsi="Book Antiqua"/>
        </w:rPr>
        <w:t xml:space="preserve"> NAFLD and cor</w:t>
      </w:r>
      <w:r w:rsidR="00D40707" w:rsidRPr="005E5D86">
        <w:rPr>
          <w:rFonts w:ascii="Book Antiqua" w:hAnsi="Book Antiqua"/>
        </w:rPr>
        <w:t>r</w:t>
      </w:r>
      <w:r w:rsidR="00EE4090" w:rsidRPr="005E5D86">
        <w:rPr>
          <w:rFonts w:ascii="Book Antiqua" w:hAnsi="Book Antiqua"/>
        </w:rPr>
        <w:t xml:space="preserve">elate with disease </w:t>
      </w:r>
      <w:proofErr w:type="gramStart"/>
      <w:r w:rsidR="00EE4090" w:rsidRPr="005E5D86">
        <w:rPr>
          <w:rFonts w:ascii="Book Antiqua" w:hAnsi="Book Antiqua"/>
        </w:rPr>
        <w:t>severity</w:t>
      </w:r>
      <w:r w:rsidR="002D1549" w:rsidRPr="005E5D86">
        <w:rPr>
          <w:rFonts w:ascii="Book Antiqua" w:hAnsi="Book Antiqua"/>
          <w:vertAlign w:val="superscript"/>
        </w:rPr>
        <w:t>[</w:t>
      </w:r>
      <w:proofErr w:type="gramEnd"/>
      <w:r w:rsidR="002D1549" w:rsidRPr="005E5D86">
        <w:rPr>
          <w:rFonts w:ascii="Book Antiqua" w:hAnsi="Book Antiqua"/>
          <w:vertAlign w:val="superscript"/>
        </w:rPr>
        <w:t>18]</w:t>
      </w:r>
      <w:r w:rsidR="00EE4090" w:rsidRPr="005E5D86">
        <w:rPr>
          <w:rFonts w:ascii="Book Antiqua" w:hAnsi="Book Antiqua"/>
        </w:rPr>
        <w:t xml:space="preserve">. </w:t>
      </w:r>
      <w:r w:rsidR="0011447B" w:rsidRPr="005E5D86">
        <w:rPr>
          <w:rFonts w:ascii="Book Antiqua" w:hAnsi="Book Antiqua"/>
        </w:rPr>
        <w:t>Nonetheless, t</w:t>
      </w:r>
      <w:r w:rsidR="00E80324" w:rsidRPr="005E5D86">
        <w:rPr>
          <w:rFonts w:ascii="Book Antiqua" w:hAnsi="Book Antiqua"/>
        </w:rPr>
        <w:t>he</w:t>
      </w:r>
      <w:r w:rsidR="007E304B" w:rsidRPr="005E5D86">
        <w:rPr>
          <w:rFonts w:ascii="Book Antiqua" w:hAnsi="Book Antiqua"/>
        </w:rPr>
        <w:t xml:space="preserve"> </w:t>
      </w:r>
      <w:r w:rsidR="00E80324" w:rsidRPr="005E5D86">
        <w:rPr>
          <w:rFonts w:ascii="Book Antiqua" w:hAnsi="Book Antiqua"/>
        </w:rPr>
        <w:t>role of NAFLD as an independent cardiovascular risk is</w:t>
      </w:r>
      <w:r w:rsidR="003B3ABD" w:rsidRPr="005E5D86">
        <w:rPr>
          <w:rFonts w:ascii="Book Antiqua" w:hAnsi="Book Antiqua"/>
        </w:rPr>
        <w:t xml:space="preserve"> </w:t>
      </w:r>
      <w:r w:rsidR="00D40707" w:rsidRPr="005E5D86">
        <w:rPr>
          <w:rFonts w:ascii="Book Antiqua" w:hAnsi="Book Antiqua"/>
        </w:rPr>
        <w:t>still</w:t>
      </w:r>
      <w:r w:rsidR="00E80324" w:rsidRPr="005E5D86">
        <w:rPr>
          <w:rFonts w:ascii="Book Antiqua" w:hAnsi="Book Antiqua"/>
        </w:rPr>
        <w:t xml:space="preserve"> debatable</w:t>
      </w:r>
      <w:r w:rsidR="00186E73" w:rsidRPr="005E5D86">
        <w:rPr>
          <w:rFonts w:ascii="Book Antiqua" w:hAnsi="Book Antiqua"/>
        </w:rPr>
        <w:t xml:space="preserve"> with research yielding contradictory results. </w:t>
      </w:r>
      <w:r w:rsidR="000E4DAB" w:rsidRPr="005E5D86">
        <w:rPr>
          <w:rFonts w:ascii="Book Antiqua" w:hAnsi="Book Antiqua"/>
        </w:rPr>
        <w:t xml:space="preserve">In </w:t>
      </w:r>
      <w:r w:rsidR="000A3936" w:rsidRPr="005E5D86">
        <w:rPr>
          <w:rFonts w:ascii="Book Antiqua" w:hAnsi="Book Antiqua"/>
        </w:rPr>
        <w:t>one</w:t>
      </w:r>
      <w:r w:rsidR="00F856BF" w:rsidRPr="005E5D86">
        <w:rPr>
          <w:rFonts w:ascii="Book Antiqua" w:hAnsi="Book Antiqua"/>
        </w:rPr>
        <w:t xml:space="preserve"> meta-analysis</w:t>
      </w:r>
      <w:r w:rsidR="00D17774" w:rsidRPr="005E5D86">
        <w:rPr>
          <w:rFonts w:ascii="Book Antiqua" w:hAnsi="Book Antiqua"/>
        </w:rPr>
        <w:t xml:space="preserve"> that included 34043 subjects</w:t>
      </w:r>
      <w:r w:rsidR="000E4DAB" w:rsidRPr="005E5D86">
        <w:rPr>
          <w:rFonts w:ascii="Book Antiqua" w:hAnsi="Book Antiqua"/>
        </w:rPr>
        <w:t>, NALF</w:t>
      </w:r>
      <w:r w:rsidR="00BE3AE9" w:rsidRPr="005E5D86">
        <w:rPr>
          <w:rFonts w:ascii="Book Antiqua" w:hAnsi="Book Antiqua"/>
        </w:rPr>
        <w:t>D</w:t>
      </w:r>
      <w:r w:rsidR="004D5B4A" w:rsidRPr="005E5D86">
        <w:rPr>
          <w:rFonts w:ascii="Book Antiqua" w:hAnsi="Book Antiqua"/>
        </w:rPr>
        <w:t xml:space="preserve"> </w:t>
      </w:r>
      <w:r w:rsidR="00C778A5" w:rsidRPr="005E5D86">
        <w:rPr>
          <w:rFonts w:ascii="Book Antiqua" w:hAnsi="Book Antiqua"/>
        </w:rPr>
        <w:t xml:space="preserve">was </w:t>
      </w:r>
      <w:r w:rsidR="00C778A5" w:rsidRPr="005E5D86">
        <w:rPr>
          <w:rFonts w:ascii="Book Antiqua" w:hAnsi="Book Antiqua"/>
        </w:rPr>
        <w:lastRenderedPageBreak/>
        <w:t xml:space="preserve">associated with increased </w:t>
      </w:r>
      <w:r w:rsidR="000E4DAB" w:rsidRPr="005E5D86">
        <w:rPr>
          <w:rFonts w:ascii="Book Antiqua" w:hAnsi="Book Antiqua"/>
        </w:rPr>
        <w:t>overall mortality deriving from liver</w:t>
      </w:r>
      <w:r w:rsidR="00C778A5" w:rsidRPr="005E5D86">
        <w:rPr>
          <w:rFonts w:ascii="Book Antiqua" w:hAnsi="Book Antiqua"/>
        </w:rPr>
        <w:t>-</w:t>
      </w:r>
      <w:r w:rsidR="000E4DAB" w:rsidRPr="005E5D86">
        <w:rPr>
          <w:rFonts w:ascii="Book Antiqua" w:hAnsi="Book Antiqua"/>
        </w:rPr>
        <w:t xml:space="preserve">related and </w:t>
      </w:r>
      <w:r>
        <w:rPr>
          <w:rFonts w:ascii="Book Antiqua" w:hAnsi="Book Antiqua"/>
        </w:rPr>
        <w:t>CVD</w:t>
      </w:r>
      <w:r w:rsidR="000E4DAB" w:rsidRPr="005E5D86">
        <w:rPr>
          <w:rFonts w:ascii="Book Antiqua" w:hAnsi="Book Antiqua"/>
        </w:rPr>
        <w:t xml:space="preserve"> </w:t>
      </w:r>
      <w:r w:rsidR="005D3348" w:rsidRPr="005E5D86">
        <w:rPr>
          <w:rFonts w:ascii="Book Antiqua" w:hAnsi="Book Antiqua"/>
          <w:color w:val="000000" w:themeColor="text1"/>
          <w:shd w:val="clear" w:color="auto" w:fill="FFFFFF"/>
        </w:rPr>
        <w:t xml:space="preserve">odds ratio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OR</w:t>
      </w:r>
      <w:r w:rsidR="005D3348">
        <w:rPr>
          <w:rFonts w:ascii="Book Antiqua" w:hAnsi="Book Antiqua"/>
          <w:color w:val="000000" w:themeColor="text1"/>
          <w:shd w:val="clear" w:color="auto" w:fill="FFFFFF"/>
        </w:rPr>
        <w:t xml:space="preserve">) </w:t>
      </w:r>
      <w:r w:rsidR="000E4DAB" w:rsidRPr="005E5D86">
        <w:rPr>
          <w:rFonts w:ascii="Book Antiqua" w:hAnsi="Book Antiqua"/>
        </w:rPr>
        <w:t xml:space="preserve">1.57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 xml:space="preserve">95% confidence interval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CI</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w:t>
      </w:r>
      <w:r w:rsidR="000E4DAB" w:rsidRPr="005E5D86">
        <w:rPr>
          <w:rFonts w:ascii="Book Antiqua" w:hAnsi="Book Antiqua"/>
        </w:rPr>
        <w:t xml:space="preserve"> 1.18-2.10</w:t>
      </w:r>
      <w:proofErr w:type="gramStart"/>
      <w:r w:rsidR="000E4DAB" w:rsidRPr="005E5D86">
        <w:rPr>
          <w:rFonts w:ascii="Book Antiqua" w:hAnsi="Book Antiqua"/>
        </w:rPr>
        <w:t>)</w:t>
      </w:r>
      <w:r w:rsidR="00BB60B4" w:rsidRPr="005E5D86">
        <w:rPr>
          <w:rFonts w:ascii="Book Antiqua" w:hAnsi="Book Antiqua"/>
          <w:vertAlign w:val="superscript"/>
        </w:rPr>
        <w:t>[</w:t>
      </w:r>
      <w:proofErr w:type="gramEnd"/>
      <w:r w:rsidR="003647DA" w:rsidRPr="005E5D86">
        <w:rPr>
          <w:rFonts w:ascii="Book Antiqua" w:hAnsi="Book Antiqua"/>
          <w:vertAlign w:val="superscript"/>
        </w:rPr>
        <w:t>19]</w:t>
      </w:r>
      <w:r w:rsidR="000E4DAB" w:rsidRPr="005E5D86">
        <w:rPr>
          <w:rFonts w:ascii="Book Antiqua" w:hAnsi="Book Antiqua"/>
        </w:rPr>
        <w:t xml:space="preserve">. </w:t>
      </w:r>
      <w:r w:rsidR="00096982" w:rsidRPr="005E5D86">
        <w:rPr>
          <w:rFonts w:ascii="Book Antiqua" w:hAnsi="Book Antiqua"/>
        </w:rPr>
        <w:t xml:space="preserve">In a </w:t>
      </w:r>
      <w:r w:rsidR="00F51241" w:rsidRPr="005E5D86">
        <w:rPr>
          <w:rFonts w:ascii="Book Antiqua" w:hAnsi="Book Antiqua"/>
        </w:rPr>
        <w:t>prospective s</w:t>
      </w:r>
      <w:r w:rsidR="00096982" w:rsidRPr="005E5D86">
        <w:rPr>
          <w:rFonts w:ascii="Book Antiqua" w:hAnsi="Book Antiqua"/>
        </w:rPr>
        <w:t xml:space="preserve">tudy, </w:t>
      </w:r>
      <w:proofErr w:type="spellStart"/>
      <w:r w:rsidR="00F51241" w:rsidRPr="005E5D86">
        <w:rPr>
          <w:rFonts w:ascii="Book Antiqua" w:hAnsi="Book Antiqua"/>
        </w:rPr>
        <w:t>Baratta</w:t>
      </w:r>
      <w:proofErr w:type="spellEnd"/>
      <w:r w:rsidR="00F51241" w:rsidRPr="005E5D86">
        <w:rPr>
          <w:rFonts w:ascii="Book Antiqua" w:hAnsi="Book Antiqua"/>
        </w:rPr>
        <w:t xml:space="preserve"> </w:t>
      </w:r>
      <w:r w:rsidR="005D3348" w:rsidRPr="005D3348">
        <w:rPr>
          <w:rFonts w:ascii="Book Antiqua" w:hAnsi="Book Antiqua"/>
          <w:i/>
          <w:iCs/>
        </w:rPr>
        <w:t xml:space="preserve">et </w:t>
      </w:r>
      <w:proofErr w:type="gramStart"/>
      <w:r w:rsidR="005D3348" w:rsidRPr="005D3348">
        <w:rPr>
          <w:rFonts w:ascii="Book Antiqua" w:hAnsi="Book Antiqua"/>
          <w:i/>
          <w:iCs/>
        </w:rPr>
        <w:t>al</w:t>
      </w:r>
      <w:r w:rsidR="005D3348" w:rsidRPr="005E5D86">
        <w:rPr>
          <w:rFonts w:ascii="Book Antiqua" w:hAnsi="Book Antiqua"/>
          <w:color w:val="000000"/>
          <w:shd w:val="clear" w:color="auto" w:fill="FFFFFF"/>
          <w:vertAlign w:val="superscript"/>
        </w:rPr>
        <w:t>[</w:t>
      </w:r>
      <w:proofErr w:type="gramEnd"/>
      <w:r w:rsidR="005D3348" w:rsidRPr="005E5D86">
        <w:rPr>
          <w:rFonts w:ascii="Book Antiqua" w:hAnsi="Book Antiqua"/>
          <w:color w:val="000000"/>
          <w:shd w:val="clear" w:color="auto" w:fill="FFFFFF"/>
          <w:vertAlign w:val="superscript"/>
        </w:rPr>
        <w:t>20]</w:t>
      </w:r>
      <w:r w:rsidR="00D4144E" w:rsidRPr="005E5D86">
        <w:rPr>
          <w:rFonts w:ascii="Book Antiqua" w:hAnsi="Book Antiqua"/>
        </w:rPr>
        <w:t xml:space="preserve"> </w:t>
      </w:r>
      <w:r w:rsidR="004E3769" w:rsidRPr="005E5D86">
        <w:rPr>
          <w:rFonts w:ascii="Book Antiqua" w:hAnsi="Book Antiqua"/>
        </w:rPr>
        <w:t>reported</w:t>
      </w:r>
      <w:r w:rsidR="00CB6DBD" w:rsidRPr="005E5D86">
        <w:rPr>
          <w:rFonts w:ascii="Book Antiqua" w:hAnsi="Book Antiqua"/>
        </w:rPr>
        <w:t xml:space="preserve"> </w:t>
      </w:r>
      <w:r w:rsidR="00F51241" w:rsidRPr="005E5D86">
        <w:rPr>
          <w:rFonts w:ascii="Book Antiqua" w:hAnsi="Book Antiqua"/>
        </w:rPr>
        <w:t>NAFLD to have more than a 2</w:t>
      </w:r>
      <w:r w:rsidR="00A8273C" w:rsidRPr="005E5D86">
        <w:rPr>
          <w:rFonts w:ascii="Book Antiqua" w:hAnsi="Book Antiqua"/>
        </w:rPr>
        <w:t>-</w:t>
      </w:r>
      <w:r w:rsidR="00F51241" w:rsidRPr="005E5D86">
        <w:rPr>
          <w:rFonts w:ascii="Book Antiqua" w:hAnsi="Book Antiqua"/>
        </w:rPr>
        <w:t>fold risk increase</w:t>
      </w:r>
      <w:r w:rsidR="00B47E09" w:rsidRPr="005E5D86">
        <w:rPr>
          <w:rFonts w:ascii="Book Antiqua" w:hAnsi="Book Antiqua"/>
        </w:rPr>
        <w:t xml:space="preserve"> and</w:t>
      </w:r>
      <w:r w:rsidR="007C7A1F">
        <w:rPr>
          <w:rFonts w:ascii="Book Antiqua" w:hAnsi="Book Antiqua"/>
        </w:rPr>
        <w:t xml:space="preserve"> </w:t>
      </w:r>
      <w:r w:rsidR="00B47E09" w:rsidRPr="005E5D86">
        <w:rPr>
          <w:rFonts w:ascii="Book Antiqua" w:hAnsi="Book Antiqua"/>
        </w:rPr>
        <w:t xml:space="preserve">those with fibrosis had a </w:t>
      </w:r>
      <w:r w:rsidR="00A62176" w:rsidRPr="005E5D86">
        <w:rPr>
          <w:rFonts w:ascii="Book Antiqua" w:hAnsi="Book Antiqua"/>
        </w:rPr>
        <w:t>fourfold</w:t>
      </w:r>
      <w:r w:rsidR="00B47E09" w:rsidRPr="005E5D86">
        <w:rPr>
          <w:rFonts w:ascii="Book Antiqua" w:hAnsi="Book Antiqua"/>
        </w:rPr>
        <w:t xml:space="preserve"> increase in</w:t>
      </w:r>
      <w:r w:rsidR="005356EC" w:rsidRPr="005E5D86">
        <w:rPr>
          <w:rFonts w:ascii="Book Antiqua" w:hAnsi="Book Antiqua"/>
        </w:rPr>
        <w:t xml:space="preserve"> </w:t>
      </w:r>
      <w:r w:rsidR="00B47E09" w:rsidRPr="005E5D86">
        <w:rPr>
          <w:rFonts w:ascii="Book Antiqua" w:hAnsi="Book Antiqua"/>
        </w:rPr>
        <w:t xml:space="preserve">cardiovascular events </w:t>
      </w:r>
      <w:r w:rsidR="00F51241" w:rsidRPr="005E5D86">
        <w:rPr>
          <w:rFonts w:ascii="Book Antiqua" w:hAnsi="Book Antiqua"/>
        </w:rPr>
        <w:t>defined as fatal or nonfatal ischemic stroke or myocardial infarction</w:t>
      </w:r>
      <w:r w:rsidR="005D3348">
        <w:rPr>
          <w:rFonts w:ascii="Book Antiqua" w:hAnsi="Book Antiqua"/>
        </w:rPr>
        <w:t xml:space="preserve"> (MI)</w:t>
      </w:r>
      <w:r w:rsidR="00BE3AE9" w:rsidRPr="005E5D86">
        <w:rPr>
          <w:rFonts w:ascii="Book Antiqua" w:hAnsi="Book Antiqua"/>
        </w:rPr>
        <w:t>.</w:t>
      </w:r>
      <w:r w:rsidR="007E304B" w:rsidRPr="005E5D86">
        <w:rPr>
          <w:rFonts w:ascii="Book Antiqua" w:hAnsi="Book Antiqua"/>
        </w:rPr>
        <w:t xml:space="preserve"> </w:t>
      </w:r>
    </w:p>
    <w:p w:rsidR="00F03A0F" w:rsidRPr="005E5D86" w:rsidRDefault="00E71326" w:rsidP="005E5D86">
      <w:pPr>
        <w:snapToGrid w:val="0"/>
        <w:spacing w:line="360" w:lineRule="auto"/>
        <w:ind w:firstLine="720"/>
        <w:jc w:val="both"/>
        <w:rPr>
          <w:rFonts w:ascii="Book Antiqua" w:hAnsi="Book Antiqua"/>
        </w:rPr>
      </w:pPr>
      <w:r w:rsidRPr="005E5D86">
        <w:rPr>
          <w:rFonts w:ascii="Book Antiqua" w:hAnsi="Book Antiqua"/>
        </w:rPr>
        <w:t xml:space="preserve">Other </w:t>
      </w:r>
      <w:r w:rsidR="00E80324" w:rsidRPr="005E5D86">
        <w:rPr>
          <w:rFonts w:ascii="Book Antiqua" w:hAnsi="Book Antiqua"/>
        </w:rPr>
        <w:t xml:space="preserve">studies have failed to confirm this </w:t>
      </w:r>
      <w:proofErr w:type="gramStart"/>
      <w:r w:rsidR="00755282" w:rsidRPr="005E5D86">
        <w:rPr>
          <w:rFonts w:ascii="Book Antiqua" w:hAnsi="Book Antiqua"/>
        </w:rPr>
        <w:t>association</w:t>
      </w:r>
      <w:r w:rsidR="003647DA" w:rsidRPr="005E5D86">
        <w:rPr>
          <w:rFonts w:ascii="Book Antiqua" w:hAnsi="Book Antiqua"/>
          <w:vertAlign w:val="superscript"/>
        </w:rPr>
        <w:t>[</w:t>
      </w:r>
      <w:proofErr w:type="gramEnd"/>
      <w:r w:rsidR="008075E8" w:rsidRPr="005E5D86">
        <w:rPr>
          <w:rFonts w:ascii="Book Antiqua" w:hAnsi="Book Antiqua"/>
          <w:vertAlign w:val="superscript"/>
        </w:rPr>
        <w:t>7,8</w:t>
      </w:r>
      <w:r w:rsidR="003647DA" w:rsidRPr="005E5D86">
        <w:rPr>
          <w:rFonts w:ascii="Book Antiqua" w:hAnsi="Book Antiqua"/>
          <w:vertAlign w:val="superscript"/>
        </w:rPr>
        <w:t>]</w:t>
      </w:r>
      <w:r w:rsidR="00BE3AE9" w:rsidRPr="005E5D86">
        <w:rPr>
          <w:rFonts w:ascii="Book Antiqua" w:hAnsi="Book Antiqua"/>
        </w:rPr>
        <w:t>.</w:t>
      </w:r>
      <w:r w:rsidR="008E3E6C" w:rsidRPr="005E5D86">
        <w:rPr>
          <w:rFonts w:ascii="Book Antiqua" w:hAnsi="Book Antiqua"/>
        </w:rPr>
        <w:t xml:space="preserve"> </w:t>
      </w:r>
      <w:r w:rsidR="00CB6DBD" w:rsidRPr="005E5D86">
        <w:rPr>
          <w:rFonts w:ascii="Book Antiqua" w:hAnsi="Book Antiqua"/>
        </w:rPr>
        <w:t>T</w:t>
      </w:r>
      <w:r w:rsidR="00823E82" w:rsidRPr="005E5D86">
        <w:rPr>
          <w:rFonts w:ascii="Book Antiqua" w:hAnsi="Book Antiqua"/>
        </w:rPr>
        <w:t>h</w:t>
      </w:r>
      <w:r w:rsidR="00755282" w:rsidRPr="005E5D86">
        <w:rPr>
          <w:rFonts w:ascii="Book Antiqua" w:hAnsi="Book Antiqua"/>
        </w:rPr>
        <w:t xml:space="preserve">is data </w:t>
      </w:r>
      <w:r w:rsidR="00C36294" w:rsidRPr="005E5D86">
        <w:rPr>
          <w:rFonts w:ascii="Book Antiqua" w:hAnsi="Book Antiqua"/>
        </w:rPr>
        <w:t xml:space="preserve">however </w:t>
      </w:r>
      <w:r w:rsidR="00755282" w:rsidRPr="005E5D86">
        <w:rPr>
          <w:rFonts w:ascii="Book Antiqua" w:hAnsi="Book Antiqua"/>
        </w:rPr>
        <w:t xml:space="preserve">should be interpreted </w:t>
      </w:r>
      <w:r w:rsidR="00C342AD" w:rsidRPr="005E5D86">
        <w:rPr>
          <w:rFonts w:ascii="Book Antiqua" w:hAnsi="Book Antiqua"/>
        </w:rPr>
        <w:t xml:space="preserve">with caution </w:t>
      </w:r>
      <w:r w:rsidR="003F3EA5" w:rsidRPr="005E5D86">
        <w:rPr>
          <w:rFonts w:ascii="Book Antiqua" w:hAnsi="Book Antiqua"/>
        </w:rPr>
        <w:t>because of methodological issues</w:t>
      </w:r>
      <w:r w:rsidR="00215F5B" w:rsidRPr="005E5D86">
        <w:rPr>
          <w:rFonts w:ascii="Book Antiqua" w:hAnsi="Book Antiqua"/>
        </w:rPr>
        <w:t xml:space="preserve">. </w:t>
      </w:r>
      <w:r w:rsidR="00187161" w:rsidRPr="005E5D86">
        <w:rPr>
          <w:rFonts w:ascii="Book Antiqua" w:hAnsi="Book Antiqua"/>
        </w:rPr>
        <w:t>To illustrate, t</w:t>
      </w:r>
      <w:r w:rsidR="003F3EA5" w:rsidRPr="005E5D86">
        <w:rPr>
          <w:rFonts w:ascii="Book Antiqua" w:hAnsi="Book Antiqua"/>
        </w:rPr>
        <w:t>he</w:t>
      </w:r>
      <w:r w:rsidR="00215F5B" w:rsidRPr="005E5D86">
        <w:rPr>
          <w:rFonts w:ascii="Book Antiqua" w:hAnsi="Book Antiqua"/>
        </w:rPr>
        <w:t xml:space="preserve"> </w:t>
      </w:r>
      <w:r w:rsidR="008E3E6C" w:rsidRPr="005E5D86">
        <w:rPr>
          <w:rFonts w:ascii="Book Antiqua" w:hAnsi="Book Antiqua"/>
        </w:rPr>
        <w:t xml:space="preserve">diagnosis </w:t>
      </w:r>
      <w:r w:rsidR="00D40707" w:rsidRPr="005E5D86">
        <w:rPr>
          <w:rFonts w:ascii="Book Antiqua" w:hAnsi="Book Antiqua"/>
        </w:rPr>
        <w:t xml:space="preserve">of </w:t>
      </w:r>
      <w:r w:rsidR="008E3E6C" w:rsidRPr="005E5D86">
        <w:rPr>
          <w:rFonts w:ascii="Book Antiqua" w:hAnsi="Book Antiqua"/>
        </w:rPr>
        <w:t xml:space="preserve">NAFLD </w:t>
      </w:r>
      <w:r w:rsidR="00221F13" w:rsidRPr="005E5D86">
        <w:rPr>
          <w:rFonts w:ascii="Book Antiqua" w:hAnsi="Book Antiqua"/>
        </w:rPr>
        <w:t>relied</w:t>
      </w:r>
      <w:r w:rsidR="008E3E6C" w:rsidRPr="005E5D86">
        <w:rPr>
          <w:rFonts w:ascii="Book Antiqua" w:hAnsi="Book Antiqua"/>
        </w:rPr>
        <w:t xml:space="preserve"> on </w:t>
      </w:r>
      <w:r w:rsidR="00D04BF6" w:rsidRPr="005E5D86">
        <w:rPr>
          <w:rFonts w:ascii="Book Antiqua" w:hAnsi="Book Antiqua"/>
        </w:rPr>
        <w:t xml:space="preserve">ultrasound </w:t>
      </w:r>
      <w:r w:rsidR="008E3E6C" w:rsidRPr="005E5D86">
        <w:rPr>
          <w:rFonts w:ascii="Book Antiqua" w:hAnsi="Book Antiqua"/>
        </w:rPr>
        <w:t xml:space="preserve">imaging or biochemical testing </w:t>
      </w:r>
      <w:r w:rsidR="00215F5B" w:rsidRPr="005E5D86">
        <w:rPr>
          <w:rFonts w:ascii="Book Antiqua" w:hAnsi="Book Antiqua"/>
        </w:rPr>
        <w:t xml:space="preserve">both </w:t>
      </w:r>
      <w:r w:rsidR="00221F13" w:rsidRPr="005E5D86">
        <w:rPr>
          <w:rFonts w:ascii="Book Antiqua" w:hAnsi="Book Antiqua"/>
        </w:rPr>
        <w:t xml:space="preserve">of which </w:t>
      </w:r>
      <w:r w:rsidR="001B3A89" w:rsidRPr="005E5D86">
        <w:rPr>
          <w:rFonts w:ascii="Book Antiqua" w:hAnsi="Book Antiqua"/>
        </w:rPr>
        <w:t>correlate</w:t>
      </w:r>
      <w:r w:rsidR="008E3E6C" w:rsidRPr="005E5D86">
        <w:rPr>
          <w:rFonts w:ascii="Book Antiqua" w:hAnsi="Book Antiqua"/>
        </w:rPr>
        <w:t xml:space="preserve"> poorly with histological finding</w:t>
      </w:r>
      <w:r w:rsidR="004E61F3" w:rsidRPr="005E5D86">
        <w:rPr>
          <w:rFonts w:ascii="Book Antiqua" w:hAnsi="Book Antiqua"/>
        </w:rPr>
        <w:t>s</w:t>
      </w:r>
      <w:r w:rsidR="008E3E6C" w:rsidRPr="005E5D86">
        <w:rPr>
          <w:rFonts w:ascii="Book Antiqua" w:hAnsi="Book Antiqua"/>
        </w:rPr>
        <w:t xml:space="preserve">. </w:t>
      </w:r>
      <w:r w:rsidR="00823E82" w:rsidRPr="005E5D86">
        <w:rPr>
          <w:rFonts w:ascii="Book Antiqua" w:hAnsi="Book Antiqua"/>
        </w:rPr>
        <w:t>Furthermore, t</w:t>
      </w:r>
      <w:r w:rsidR="007E304B" w:rsidRPr="005E5D86">
        <w:rPr>
          <w:rFonts w:ascii="Book Antiqua" w:hAnsi="Book Antiqua"/>
        </w:rPr>
        <w:t>he degree of disease severity was not stratified</w:t>
      </w:r>
      <w:r w:rsidR="006D32F8" w:rsidRPr="005E5D86">
        <w:rPr>
          <w:rFonts w:ascii="Book Antiqua" w:hAnsi="Book Antiqua"/>
        </w:rPr>
        <w:t xml:space="preserve"> in </w:t>
      </w:r>
      <w:r w:rsidR="00091C61" w:rsidRPr="005E5D86">
        <w:rPr>
          <w:rFonts w:ascii="Book Antiqua" w:hAnsi="Book Antiqua"/>
        </w:rPr>
        <w:t xml:space="preserve">any of these </w:t>
      </w:r>
      <w:r w:rsidR="006D32F8" w:rsidRPr="005E5D86">
        <w:rPr>
          <w:rFonts w:ascii="Book Antiqua" w:hAnsi="Book Antiqua"/>
        </w:rPr>
        <w:t>studies</w:t>
      </w:r>
      <w:r w:rsidR="008E3E6C" w:rsidRPr="005E5D86">
        <w:rPr>
          <w:rFonts w:ascii="Book Antiqua" w:hAnsi="Book Antiqua"/>
        </w:rPr>
        <w:t>.</w:t>
      </w:r>
      <w:r w:rsidR="00E77B45" w:rsidRPr="005E5D86">
        <w:rPr>
          <w:rFonts w:ascii="Book Antiqua" w:hAnsi="Book Antiqua"/>
        </w:rPr>
        <w:t xml:space="preserve"> As we </w:t>
      </w:r>
      <w:r w:rsidR="00221F13" w:rsidRPr="005E5D86">
        <w:rPr>
          <w:rFonts w:ascii="Book Antiqua" w:hAnsi="Book Antiqua"/>
        </w:rPr>
        <w:t>highlighted</w:t>
      </w:r>
      <w:r w:rsidR="00E77B45" w:rsidRPr="005E5D86">
        <w:rPr>
          <w:rFonts w:ascii="Book Antiqua" w:hAnsi="Book Antiqua"/>
        </w:rPr>
        <w:t xml:space="preserve"> above,</w:t>
      </w:r>
      <w:r w:rsidR="008E3E6C" w:rsidRPr="005E5D86">
        <w:rPr>
          <w:rFonts w:ascii="Book Antiqua" w:hAnsi="Book Antiqua"/>
        </w:rPr>
        <w:t xml:space="preserve"> </w:t>
      </w:r>
      <w:r w:rsidR="00E77B45" w:rsidRPr="005E5D86">
        <w:rPr>
          <w:rFonts w:ascii="Book Antiqua" w:hAnsi="Book Antiqua"/>
        </w:rPr>
        <w:t>t</w:t>
      </w:r>
      <w:r w:rsidR="00CB6DBD" w:rsidRPr="005E5D86">
        <w:rPr>
          <w:rFonts w:ascii="Book Antiqua" w:hAnsi="Book Antiqua"/>
        </w:rPr>
        <w:t>he</w:t>
      </w:r>
      <w:r w:rsidR="00BE3AE9" w:rsidRPr="005E5D86">
        <w:rPr>
          <w:rFonts w:ascii="Book Antiqua" w:hAnsi="Book Antiqua"/>
        </w:rPr>
        <w:t xml:space="preserve"> progression of NAFLD is mirrored by increased activation </w:t>
      </w:r>
      <w:r w:rsidR="00536A8B" w:rsidRPr="005E5D86">
        <w:rPr>
          <w:rFonts w:ascii="Book Antiqua" w:hAnsi="Book Antiqua"/>
        </w:rPr>
        <w:t xml:space="preserve">of bidirectional pathways that maybe </w:t>
      </w:r>
      <w:r w:rsidR="00A97C1D" w:rsidRPr="005E5D86">
        <w:rPr>
          <w:rFonts w:ascii="Book Antiqua" w:hAnsi="Book Antiqua"/>
        </w:rPr>
        <w:t>involved</w:t>
      </w:r>
      <w:r w:rsidR="00091C61" w:rsidRPr="005E5D86">
        <w:rPr>
          <w:rFonts w:ascii="Book Antiqua" w:hAnsi="Book Antiqua"/>
        </w:rPr>
        <w:t xml:space="preserve"> </w:t>
      </w:r>
      <w:r w:rsidR="00A97C1D" w:rsidRPr="005E5D86">
        <w:rPr>
          <w:rFonts w:ascii="Book Antiqua" w:hAnsi="Book Antiqua"/>
        </w:rPr>
        <w:t>in</w:t>
      </w:r>
      <w:r w:rsidR="006D32F8" w:rsidRPr="005E5D86">
        <w:rPr>
          <w:rFonts w:ascii="Book Antiqua" w:hAnsi="Book Antiqua"/>
        </w:rPr>
        <w:t xml:space="preserve"> ischemic </w:t>
      </w:r>
      <w:r w:rsidR="00704149">
        <w:rPr>
          <w:rFonts w:ascii="Book Antiqua" w:hAnsi="Book Antiqua"/>
        </w:rPr>
        <w:t>CVD</w:t>
      </w:r>
      <w:r w:rsidR="006D32F8" w:rsidRPr="005E5D86">
        <w:rPr>
          <w:rFonts w:ascii="Book Antiqua" w:hAnsi="Book Antiqua"/>
        </w:rPr>
        <w:t>.</w:t>
      </w:r>
      <w:r w:rsidR="00BE3AE9" w:rsidRPr="005E5D86">
        <w:rPr>
          <w:rFonts w:ascii="Book Antiqua" w:hAnsi="Book Antiqua"/>
        </w:rPr>
        <w:t xml:space="preserve"> </w:t>
      </w:r>
      <w:r w:rsidR="00CB6DBD" w:rsidRPr="005E5D86">
        <w:rPr>
          <w:rFonts w:ascii="Book Antiqua" w:hAnsi="Book Antiqua"/>
        </w:rPr>
        <w:t>Whether</w:t>
      </w:r>
      <w:r w:rsidR="002B00ED" w:rsidRPr="005E5D86">
        <w:rPr>
          <w:rFonts w:ascii="Book Antiqua" w:hAnsi="Book Antiqua"/>
        </w:rPr>
        <w:t xml:space="preserve"> NASH </w:t>
      </w:r>
      <w:r w:rsidR="00221F13" w:rsidRPr="005E5D86">
        <w:rPr>
          <w:rFonts w:ascii="Book Antiqua" w:hAnsi="Book Antiqua"/>
        </w:rPr>
        <w:t xml:space="preserve">is associated with an </w:t>
      </w:r>
      <w:r w:rsidR="002B00ED" w:rsidRPr="005E5D86">
        <w:rPr>
          <w:rFonts w:ascii="Book Antiqua" w:hAnsi="Book Antiqua"/>
        </w:rPr>
        <w:t xml:space="preserve">increased risk of </w:t>
      </w:r>
      <w:r w:rsidR="005D3348">
        <w:rPr>
          <w:rFonts w:ascii="Book Antiqua" w:hAnsi="Book Antiqua"/>
        </w:rPr>
        <w:t>MI</w:t>
      </w:r>
      <w:r w:rsidR="002B00ED" w:rsidRPr="005E5D86">
        <w:rPr>
          <w:rFonts w:ascii="Book Antiqua" w:hAnsi="Book Antiqua"/>
        </w:rPr>
        <w:t xml:space="preserve"> </w:t>
      </w:r>
      <w:r w:rsidR="008D48F6" w:rsidRPr="005E5D86">
        <w:rPr>
          <w:rFonts w:ascii="Book Antiqua" w:hAnsi="Book Antiqua"/>
        </w:rPr>
        <w:t>in the</w:t>
      </w:r>
      <w:r w:rsidR="005D3348">
        <w:rPr>
          <w:rFonts w:ascii="Book Antiqua" w:hAnsi="Book Antiqua"/>
        </w:rPr>
        <w:t xml:space="preserve"> United States</w:t>
      </w:r>
      <w:r w:rsidR="003D46B2" w:rsidRPr="005E5D86">
        <w:rPr>
          <w:rFonts w:ascii="Book Antiqua" w:hAnsi="Book Antiqua"/>
        </w:rPr>
        <w:t xml:space="preserve"> </w:t>
      </w:r>
      <w:r w:rsidR="008D48F6" w:rsidRPr="005E5D86">
        <w:rPr>
          <w:rFonts w:ascii="Book Antiqua" w:hAnsi="Book Antiqua"/>
        </w:rPr>
        <w:t xml:space="preserve">population </w:t>
      </w:r>
      <w:r w:rsidR="002B00ED" w:rsidRPr="005E5D86">
        <w:rPr>
          <w:rFonts w:ascii="Book Antiqua" w:hAnsi="Book Antiqua"/>
        </w:rPr>
        <w:t>remains unclear.</w:t>
      </w:r>
      <w:r w:rsidR="00391584" w:rsidRPr="005E5D86">
        <w:rPr>
          <w:rFonts w:ascii="Book Antiqua" w:hAnsi="Book Antiqua"/>
        </w:rPr>
        <w:t xml:space="preserve"> </w:t>
      </w:r>
      <w:r w:rsidR="00BE3AE9" w:rsidRPr="005E5D86">
        <w:rPr>
          <w:rFonts w:ascii="Book Antiqua" w:hAnsi="Book Antiqua"/>
        </w:rPr>
        <w:t xml:space="preserve">Given the lack of consensus on this </w:t>
      </w:r>
      <w:r w:rsidR="006D32F8" w:rsidRPr="005E5D86">
        <w:rPr>
          <w:rFonts w:ascii="Book Antiqua" w:hAnsi="Book Antiqua"/>
        </w:rPr>
        <w:t>important issue</w:t>
      </w:r>
      <w:r w:rsidR="00BE3AE9" w:rsidRPr="005E5D86">
        <w:rPr>
          <w:rFonts w:ascii="Book Antiqua" w:hAnsi="Book Antiqua"/>
        </w:rPr>
        <w:t xml:space="preserve">, and the ambiguity of data around this question, </w:t>
      </w:r>
      <w:r w:rsidR="008D48F6" w:rsidRPr="005E5D86">
        <w:rPr>
          <w:rFonts w:ascii="Book Antiqua" w:hAnsi="Book Antiqua"/>
        </w:rPr>
        <w:t xml:space="preserve">the aim of this study </w:t>
      </w:r>
      <w:r w:rsidR="005B14A9" w:rsidRPr="005E5D86">
        <w:rPr>
          <w:rFonts w:ascii="Book Antiqua" w:hAnsi="Book Antiqua"/>
        </w:rPr>
        <w:t>was</w:t>
      </w:r>
      <w:r w:rsidR="00BE3AE9" w:rsidRPr="005E5D86">
        <w:rPr>
          <w:rFonts w:ascii="Book Antiqua" w:hAnsi="Book Antiqua"/>
        </w:rPr>
        <w:t xml:space="preserve"> to investigate the association between NASH and </w:t>
      </w:r>
      <w:r w:rsidR="005D3348">
        <w:rPr>
          <w:rFonts w:ascii="Book Antiqua" w:hAnsi="Book Antiqua"/>
        </w:rPr>
        <w:t>MI</w:t>
      </w:r>
      <w:r w:rsidR="00391584" w:rsidRPr="005E5D86">
        <w:rPr>
          <w:rFonts w:ascii="Book Antiqua" w:hAnsi="Book Antiqua"/>
        </w:rPr>
        <w:t xml:space="preserve"> in</w:t>
      </w:r>
      <w:r w:rsidR="005D3348">
        <w:rPr>
          <w:rFonts w:ascii="Book Antiqua" w:hAnsi="Book Antiqua"/>
        </w:rPr>
        <w:t xml:space="preserve"> United States</w:t>
      </w:r>
      <w:r w:rsidR="005F5D17" w:rsidRPr="005E5D86">
        <w:rPr>
          <w:rFonts w:ascii="Book Antiqua" w:hAnsi="Book Antiqua"/>
        </w:rPr>
        <w:t xml:space="preserve"> population</w:t>
      </w:r>
      <w:r w:rsidR="00391584" w:rsidRPr="005E5D86">
        <w:rPr>
          <w:rFonts w:ascii="Book Antiqua" w:hAnsi="Book Antiqua"/>
        </w:rPr>
        <w:t>.</w:t>
      </w:r>
    </w:p>
    <w:p w:rsidR="00EB1E63" w:rsidRPr="002E42FA" w:rsidRDefault="00EB1E63" w:rsidP="002E42FA">
      <w:pPr>
        <w:snapToGrid w:val="0"/>
        <w:spacing w:line="360" w:lineRule="auto"/>
        <w:jc w:val="both"/>
        <w:rPr>
          <w:rFonts w:ascii="Book Antiqua" w:eastAsiaTheme="minorEastAsia" w:hAnsi="Book Antiqua"/>
          <w:lang w:eastAsia="zh-CN"/>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MATERIALS AND METHODS</w:t>
      </w:r>
    </w:p>
    <w:p w:rsidR="0030416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Study design</w:t>
      </w:r>
    </w:p>
    <w:p w:rsidR="00304167" w:rsidRPr="005E5D86" w:rsidRDefault="002E174C" w:rsidP="005E5D86">
      <w:pPr>
        <w:snapToGrid w:val="0"/>
        <w:spacing w:line="360" w:lineRule="auto"/>
        <w:jc w:val="both"/>
        <w:rPr>
          <w:rFonts w:ascii="Book Antiqua" w:hAnsi="Book Antiqua"/>
        </w:rPr>
      </w:pPr>
      <w:r w:rsidRPr="005E5D86">
        <w:rPr>
          <w:rFonts w:ascii="Book Antiqua" w:hAnsi="Book Antiqua"/>
        </w:rPr>
        <w:t>This is</w:t>
      </w:r>
      <w:r w:rsidR="00304167" w:rsidRPr="005E5D86">
        <w:rPr>
          <w:rFonts w:ascii="Book Antiqua" w:hAnsi="Book Antiqua"/>
        </w:rPr>
        <w:t xml:space="preserve"> a retrospective analysis of a large electronic </w:t>
      </w:r>
      <w:r w:rsidR="00B1341A" w:rsidRPr="005E5D86">
        <w:rPr>
          <w:rFonts w:ascii="Book Antiqua" w:hAnsi="Book Antiqua"/>
        </w:rPr>
        <w:t xml:space="preserve">health </w:t>
      </w:r>
      <w:r w:rsidR="00304167" w:rsidRPr="005E5D86">
        <w:rPr>
          <w:rFonts w:ascii="Book Antiqua" w:hAnsi="Book Antiqua"/>
        </w:rPr>
        <w:t>record (</w:t>
      </w:r>
      <w:r w:rsidR="00B1341A" w:rsidRPr="005E5D86">
        <w:rPr>
          <w:rFonts w:ascii="Book Antiqua" w:hAnsi="Book Antiqua"/>
        </w:rPr>
        <w:t>EH</w:t>
      </w:r>
      <w:r w:rsidR="00304167" w:rsidRPr="005E5D86">
        <w:rPr>
          <w:rFonts w:ascii="Book Antiqua" w:hAnsi="Book Antiqua"/>
        </w:rPr>
        <w:t xml:space="preserve">R)-based commercial database called </w:t>
      </w:r>
      <w:proofErr w:type="spellStart"/>
      <w:r w:rsidR="00304167" w:rsidRPr="005E5D86">
        <w:rPr>
          <w:rFonts w:ascii="Book Antiqua" w:hAnsi="Book Antiqua"/>
        </w:rPr>
        <w:t>Explorys</w:t>
      </w:r>
      <w:proofErr w:type="spellEnd"/>
      <w:r w:rsidR="0084669C" w:rsidRPr="005E5D86">
        <w:rPr>
          <w:rFonts w:ascii="Book Antiqua" w:hAnsi="Book Antiqua"/>
        </w:rPr>
        <w:t xml:space="preserve"> (IBM)</w:t>
      </w:r>
      <w:r w:rsidR="00C105A9" w:rsidRPr="005E5D86">
        <w:rPr>
          <w:rFonts w:ascii="Book Antiqua" w:hAnsi="Book Antiqua"/>
        </w:rPr>
        <w:t xml:space="preserve">. </w:t>
      </w:r>
      <w:proofErr w:type="spellStart"/>
      <w:r w:rsidR="00C105A9" w:rsidRPr="005E5D86">
        <w:rPr>
          <w:rFonts w:ascii="Book Antiqua" w:hAnsi="Book Antiqua"/>
        </w:rPr>
        <w:t>Explorys</w:t>
      </w:r>
      <w:proofErr w:type="spellEnd"/>
      <w:r w:rsidR="00C105A9" w:rsidRPr="005E5D86">
        <w:rPr>
          <w:rFonts w:ascii="Book Antiqua" w:hAnsi="Book Antiqua"/>
        </w:rPr>
        <w:t xml:space="preserve"> platform </w:t>
      </w:r>
      <w:r w:rsidR="00390856" w:rsidRPr="005E5D86">
        <w:rPr>
          <w:rFonts w:ascii="Book Antiqua" w:hAnsi="Book Antiqua"/>
        </w:rPr>
        <w:t>assimilates</w:t>
      </w:r>
      <w:r w:rsidR="00E223E3" w:rsidRPr="005E5D86">
        <w:rPr>
          <w:rFonts w:ascii="Book Antiqua" w:hAnsi="Book Antiqua"/>
        </w:rPr>
        <w:t xml:space="preserve"> </w:t>
      </w:r>
      <w:r w:rsidR="00390856" w:rsidRPr="005E5D86">
        <w:rPr>
          <w:rFonts w:ascii="Book Antiqua" w:hAnsi="Book Antiqua"/>
        </w:rPr>
        <w:t>patient</w:t>
      </w:r>
      <w:r w:rsidR="00E223E3" w:rsidRPr="005E5D86">
        <w:rPr>
          <w:rFonts w:ascii="Book Antiqua" w:hAnsi="Book Antiqua"/>
        </w:rPr>
        <w:t xml:space="preserve"> </w:t>
      </w:r>
      <w:r w:rsidR="00C105A9" w:rsidRPr="005E5D86">
        <w:rPr>
          <w:rFonts w:ascii="Book Antiqua" w:hAnsi="Book Antiqua"/>
        </w:rPr>
        <w:t xml:space="preserve">information from 26 </w:t>
      </w:r>
      <w:r w:rsidR="0092612D" w:rsidRPr="005E5D86">
        <w:rPr>
          <w:rFonts w:ascii="Book Antiqua" w:hAnsi="Book Antiqua"/>
        </w:rPr>
        <w:t xml:space="preserve">major </w:t>
      </w:r>
      <w:r w:rsidR="00C105A9" w:rsidRPr="005E5D86">
        <w:rPr>
          <w:rFonts w:ascii="Book Antiqua" w:hAnsi="Book Antiqua"/>
        </w:rPr>
        <w:t>healthcare systems</w:t>
      </w:r>
      <w:r w:rsidR="0092612D" w:rsidRPr="005E5D86">
        <w:rPr>
          <w:rFonts w:ascii="Book Antiqua" w:hAnsi="Book Antiqua"/>
        </w:rPr>
        <w:t xml:space="preserve"> spread over 50 states</w:t>
      </w:r>
      <w:r w:rsidR="00C105A9" w:rsidRPr="005E5D86">
        <w:rPr>
          <w:rFonts w:ascii="Book Antiqua" w:hAnsi="Book Antiqua"/>
        </w:rPr>
        <w:t xml:space="preserve"> in the</w:t>
      </w:r>
      <w:r w:rsidR="005D3348">
        <w:rPr>
          <w:rFonts w:ascii="Book Antiqua" w:hAnsi="Book Antiqua"/>
        </w:rPr>
        <w:t xml:space="preserve"> United States</w:t>
      </w:r>
      <w:r w:rsidR="00C105A9" w:rsidRPr="005E5D86">
        <w:rPr>
          <w:rFonts w:ascii="Book Antiqua" w:hAnsi="Book Antiqua"/>
        </w:rPr>
        <w:t xml:space="preserve">. It stores </w:t>
      </w:r>
      <w:r w:rsidR="0092612D" w:rsidRPr="005E5D86">
        <w:rPr>
          <w:rFonts w:ascii="Book Antiqua" w:hAnsi="Book Antiqua"/>
        </w:rPr>
        <w:t>over</w:t>
      </w:r>
      <w:r w:rsidR="00C105A9" w:rsidRPr="005E5D86">
        <w:rPr>
          <w:rFonts w:ascii="Book Antiqua" w:hAnsi="Book Antiqua"/>
        </w:rPr>
        <w:t xml:space="preserve"> </w:t>
      </w:r>
      <w:r w:rsidR="00655E4B" w:rsidRPr="005E5D86">
        <w:rPr>
          <w:rFonts w:ascii="Book Antiqua" w:hAnsi="Book Antiqua"/>
        </w:rPr>
        <w:t>6</w:t>
      </w:r>
      <w:r w:rsidR="00C105A9" w:rsidRPr="005E5D86">
        <w:rPr>
          <w:rFonts w:ascii="Book Antiqua" w:hAnsi="Book Antiqua"/>
        </w:rPr>
        <w:t xml:space="preserve">0 million unique patient </w:t>
      </w:r>
      <w:proofErr w:type="gramStart"/>
      <w:r w:rsidR="00C105A9" w:rsidRPr="005E5D86">
        <w:rPr>
          <w:rFonts w:ascii="Book Antiqua" w:hAnsi="Book Antiqua"/>
        </w:rPr>
        <w:t>records</w:t>
      </w:r>
      <w:r w:rsidR="00C105A9" w:rsidRPr="005E5D86">
        <w:rPr>
          <w:rFonts w:ascii="Book Antiqua" w:hAnsi="Book Antiqua"/>
          <w:vertAlign w:val="superscript"/>
        </w:rPr>
        <w:t>[</w:t>
      </w:r>
      <w:proofErr w:type="gramEnd"/>
      <w:r w:rsidR="00C105A9" w:rsidRPr="005E5D86">
        <w:rPr>
          <w:rFonts w:ascii="Book Antiqua" w:hAnsi="Book Antiqua"/>
          <w:vertAlign w:val="superscript"/>
        </w:rPr>
        <w:t>20]</w:t>
      </w:r>
      <w:r w:rsidR="00C105A9" w:rsidRPr="005E5D86">
        <w:rPr>
          <w:rFonts w:ascii="Book Antiqua" w:hAnsi="Book Antiqua"/>
        </w:rPr>
        <w:t>.</w:t>
      </w:r>
      <w:r w:rsidR="0084669C" w:rsidRPr="005E5D86">
        <w:rPr>
          <w:rFonts w:ascii="Book Antiqua" w:hAnsi="Book Antiqua"/>
        </w:rPr>
        <w:t xml:space="preserve"> </w:t>
      </w:r>
      <w:r w:rsidR="00FA15C2" w:rsidRPr="005E5D86">
        <w:rPr>
          <w:rFonts w:ascii="Book Antiqua" w:hAnsi="Book Antiqua"/>
        </w:rPr>
        <w:t xml:space="preserve">Patient information is </w:t>
      </w:r>
      <w:r w:rsidR="0092612D" w:rsidRPr="005E5D86">
        <w:rPr>
          <w:rFonts w:ascii="Book Antiqua" w:hAnsi="Book Antiqua"/>
        </w:rPr>
        <w:t xml:space="preserve">then </w:t>
      </w:r>
      <w:r w:rsidR="00FA15C2" w:rsidRPr="005E5D86">
        <w:rPr>
          <w:rFonts w:ascii="Book Antiqua" w:hAnsi="Book Antiqua"/>
        </w:rPr>
        <w:t xml:space="preserve">de-identified, standardized and stored in a cloud </w:t>
      </w:r>
      <w:proofErr w:type="gramStart"/>
      <w:r w:rsidR="00FA15C2" w:rsidRPr="005E5D86">
        <w:rPr>
          <w:rFonts w:ascii="Book Antiqua" w:hAnsi="Book Antiqua"/>
        </w:rPr>
        <w:t>database</w:t>
      </w:r>
      <w:r w:rsidR="00B1341A" w:rsidRPr="005E5D86">
        <w:rPr>
          <w:rFonts w:ascii="Book Antiqua" w:hAnsi="Book Antiqua"/>
          <w:vertAlign w:val="superscript"/>
        </w:rPr>
        <w:t>[</w:t>
      </w:r>
      <w:proofErr w:type="gramEnd"/>
      <w:r w:rsidR="004F3C55" w:rsidRPr="005E5D86">
        <w:rPr>
          <w:rFonts w:ascii="Book Antiqua" w:hAnsi="Book Antiqua"/>
          <w:vertAlign w:val="superscript"/>
        </w:rPr>
        <w:t>20</w:t>
      </w:r>
      <w:r w:rsidR="00800745" w:rsidRPr="005E5D86">
        <w:rPr>
          <w:rFonts w:ascii="Book Antiqua" w:hAnsi="Book Antiqua"/>
          <w:vertAlign w:val="superscript"/>
        </w:rPr>
        <w:t>,</w:t>
      </w:r>
      <w:r w:rsidR="004F3C55" w:rsidRPr="005E5D86">
        <w:rPr>
          <w:rFonts w:ascii="Book Antiqua" w:hAnsi="Book Antiqua"/>
          <w:vertAlign w:val="superscript"/>
        </w:rPr>
        <w:t>21</w:t>
      </w:r>
      <w:r w:rsidR="00B1341A" w:rsidRPr="005E5D86">
        <w:rPr>
          <w:rFonts w:ascii="Book Antiqua" w:hAnsi="Book Antiqua"/>
          <w:vertAlign w:val="superscript"/>
        </w:rPr>
        <w:t>]</w:t>
      </w:r>
      <w:r w:rsidR="00304167" w:rsidRPr="005E5D86">
        <w:rPr>
          <w:rFonts w:ascii="Book Antiqua" w:hAnsi="Book Antiqua"/>
        </w:rPr>
        <w:t xml:space="preserve">. </w:t>
      </w:r>
      <w:r w:rsidR="00B52BC0" w:rsidRPr="005E5D86">
        <w:rPr>
          <w:rFonts w:ascii="Book Antiqua" w:hAnsi="Book Antiqua"/>
        </w:rPr>
        <w:t xml:space="preserve">The </w:t>
      </w:r>
      <w:proofErr w:type="spellStart"/>
      <w:r w:rsidR="00304167" w:rsidRPr="005E5D86">
        <w:rPr>
          <w:rFonts w:ascii="Book Antiqua" w:hAnsi="Book Antiqua"/>
        </w:rPr>
        <w:t>Explorys</w:t>
      </w:r>
      <w:proofErr w:type="spellEnd"/>
      <w:r w:rsidR="00304167" w:rsidRPr="005E5D86">
        <w:rPr>
          <w:rFonts w:ascii="Book Antiqua" w:hAnsi="Book Antiqua"/>
        </w:rPr>
        <w:t xml:space="preserve"> </w:t>
      </w:r>
      <w:r w:rsidR="00282332" w:rsidRPr="005E5D86">
        <w:rPr>
          <w:rFonts w:ascii="Book Antiqua" w:hAnsi="Book Antiqua"/>
        </w:rPr>
        <w:t>platform</w:t>
      </w:r>
      <w:r w:rsidR="00B52BC0" w:rsidRPr="005E5D86">
        <w:rPr>
          <w:rFonts w:ascii="Book Antiqua" w:hAnsi="Book Antiqua"/>
        </w:rPr>
        <w:t xml:space="preserve"> </w:t>
      </w:r>
      <w:r w:rsidR="00304167" w:rsidRPr="005E5D86">
        <w:rPr>
          <w:rFonts w:ascii="Book Antiqua" w:hAnsi="Book Antiqua"/>
        </w:rPr>
        <w:t>uses SNOMED CT</w:t>
      </w:r>
      <w:r w:rsidR="00587513" w:rsidRPr="005E5D86">
        <w:rPr>
          <w:rFonts w:ascii="Book Antiqua" w:hAnsi="Book Antiqua"/>
        </w:rPr>
        <w:t xml:space="preserve"> </w:t>
      </w:r>
      <w:r w:rsidR="00304167" w:rsidRPr="005E5D86">
        <w:rPr>
          <w:rFonts w:ascii="Book Antiqua" w:hAnsi="Book Antiqua"/>
        </w:rPr>
        <w:t xml:space="preserve">for medical diagnoses and procedures. For diagnoses, International Classification of Disease, Ninth Revision, Clinical Modification (ICD-9-CM) codes are mapped into the SNOMED-CT </w:t>
      </w:r>
      <w:proofErr w:type="gramStart"/>
      <w:r w:rsidR="00304167" w:rsidRPr="005E5D86">
        <w:rPr>
          <w:rFonts w:ascii="Book Antiqua" w:hAnsi="Book Antiqua"/>
        </w:rPr>
        <w:t>hierarchy</w:t>
      </w:r>
      <w:r w:rsidR="0083182D" w:rsidRPr="005E5D86">
        <w:rPr>
          <w:rFonts w:ascii="Book Antiqua" w:hAnsi="Book Antiqua"/>
          <w:vertAlign w:val="superscript"/>
        </w:rPr>
        <w:t>[</w:t>
      </w:r>
      <w:proofErr w:type="gramEnd"/>
      <w:r w:rsidR="004F3C55" w:rsidRPr="005E5D86">
        <w:rPr>
          <w:rFonts w:ascii="Book Antiqua" w:hAnsi="Book Antiqua"/>
          <w:vertAlign w:val="superscript"/>
        </w:rPr>
        <w:t>20</w:t>
      </w:r>
      <w:r w:rsidR="0083182D" w:rsidRPr="005E5D86">
        <w:rPr>
          <w:rFonts w:ascii="Book Antiqua" w:hAnsi="Book Antiqua"/>
          <w:vertAlign w:val="superscript"/>
        </w:rPr>
        <w:t>]</w:t>
      </w:r>
      <w:r w:rsidR="00304167" w:rsidRPr="005E5D86">
        <w:rPr>
          <w:rFonts w:ascii="Book Antiqua" w:hAnsi="Book Antiqua"/>
        </w:rPr>
        <w:t>. Cohorts can further be refined demographically</w:t>
      </w:r>
      <w:r w:rsidR="007816B2" w:rsidRPr="005E5D86">
        <w:rPr>
          <w:rFonts w:ascii="Book Antiqua" w:hAnsi="Book Antiqua"/>
        </w:rPr>
        <w:t xml:space="preserve"> and comorbid</w:t>
      </w:r>
      <w:r w:rsidR="00390856" w:rsidRPr="005E5D86">
        <w:rPr>
          <w:rFonts w:ascii="Book Antiqua" w:hAnsi="Book Antiqua"/>
        </w:rPr>
        <w:t xml:space="preserve"> diseases can be </w:t>
      </w:r>
      <w:proofErr w:type="gramStart"/>
      <w:r w:rsidR="00587513" w:rsidRPr="005E5D86">
        <w:rPr>
          <w:rFonts w:ascii="Book Antiqua" w:hAnsi="Book Antiqua"/>
        </w:rPr>
        <w:t>extracted</w:t>
      </w:r>
      <w:r w:rsidR="00B1341A" w:rsidRPr="005E5D86">
        <w:rPr>
          <w:rFonts w:ascii="Book Antiqua" w:hAnsi="Book Antiqua"/>
          <w:vertAlign w:val="superscript"/>
        </w:rPr>
        <w:t>[</w:t>
      </w:r>
      <w:proofErr w:type="gramEnd"/>
      <w:r w:rsidR="004F3C55" w:rsidRPr="005E5D86">
        <w:rPr>
          <w:rFonts w:ascii="Book Antiqua" w:hAnsi="Book Antiqua"/>
          <w:vertAlign w:val="superscript"/>
        </w:rPr>
        <w:t>20,21</w:t>
      </w:r>
      <w:r w:rsidR="00B1341A" w:rsidRPr="005E5D86">
        <w:rPr>
          <w:rFonts w:ascii="Book Antiqua" w:hAnsi="Book Antiqua"/>
          <w:vertAlign w:val="superscript"/>
        </w:rPr>
        <w:t>]</w:t>
      </w:r>
      <w:r w:rsidR="00304167" w:rsidRPr="005E5D86">
        <w:rPr>
          <w:rFonts w:ascii="Book Antiqua" w:hAnsi="Book Antiqua"/>
        </w:rPr>
        <w:t xml:space="preserve">. The use of </w:t>
      </w:r>
      <w:proofErr w:type="spellStart"/>
      <w:r w:rsidR="00304167" w:rsidRPr="005E5D86">
        <w:rPr>
          <w:rFonts w:ascii="Book Antiqua" w:hAnsi="Book Antiqua"/>
        </w:rPr>
        <w:t>Explorys</w:t>
      </w:r>
      <w:proofErr w:type="spellEnd"/>
      <w:r w:rsidR="00304167" w:rsidRPr="005E5D86">
        <w:rPr>
          <w:rFonts w:ascii="Book Antiqua" w:hAnsi="Book Antiqua"/>
        </w:rPr>
        <w:t xml:space="preserve"> has been validated in multiple fields including</w:t>
      </w:r>
      <w:r w:rsidR="002F36F4" w:rsidRPr="005E5D86">
        <w:rPr>
          <w:rFonts w:ascii="Book Antiqua" w:hAnsi="Book Antiqua"/>
        </w:rPr>
        <w:t xml:space="preserve"> </w:t>
      </w:r>
      <w:r w:rsidR="00B50641" w:rsidRPr="005E5D86">
        <w:rPr>
          <w:rFonts w:ascii="Book Antiqua" w:hAnsi="Book Antiqua"/>
        </w:rPr>
        <w:t>C</w:t>
      </w:r>
      <w:r w:rsidR="00304167" w:rsidRPr="005E5D86">
        <w:rPr>
          <w:rFonts w:ascii="Book Antiqua" w:hAnsi="Book Antiqua"/>
        </w:rPr>
        <w:t xml:space="preserve">ardiology and </w:t>
      </w:r>
      <w:proofErr w:type="gramStart"/>
      <w:r w:rsidR="00B50641" w:rsidRPr="005E5D86">
        <w:rPr>
          <w:rFonts w:ascii="Book Antiqua" w:hAnsi="Book Antiqua"/>
        </w:rPr>
        <w:t>G</w:t>
      </w:r>
      <w:r w:rsidR="00304167" w:rsidRPr="005E5D86">
        <w:rPr>
          <w:rFonts w:ascii="Book Antiqua" w:hAnsi="Book Antiqua"/>
        </w:rPr>
        <w:t>astroenterology</w:t>
      </w:r>
      <w:r w:rsidR="0083182D" w:rsidRPr="005E5D86">
        <w:rPr>
          <w:rFonts w:ascii="Book Antiqua" w:hAnsi="Book Antiqua"/>
          <w:vertAlign w:val="superscript"/>
        </w:rPr>
        <w:t>[</w:t>
      </w:r>
      <w:proofErr w:type="gramEnd"/>
      <w:r w:rsidR="004F3C55" w:rsidRPr="005E5D86">
        <w:rPr>
          <w:rFonts w:ascii="Book Antiqua" w:hAnsi="Book Antiqua"/>
          <w:vertAlign w:val="superscript"/>
        </w:rPr>
        <w:t>20</w:t>
      </w:r>
      <w:r w:rsidR="0083182D" w:rsidRPr="005E5D86">
        <w:rPr>
          <w:rFonts w:ascii="Book Antiqua" w:hAnsi="Book Antiqua"/>
          <w:vertAlign w:val="superscript"/>
        </w:rPr>
        <w:t>]</w:t>
      </w:r>
      <w:r w:rsidR="00304167" w:rsidRPr="005E5D86">
        <w:rPr>
          <w:rFonts w:ascii="Book Antiqua" w:hAnsi="Book Antiqua"/>
        </w:rPr>
        <w:t xml:space="preserve">. </w:t>
      </w:r>
      <w:r w:rsidR="00553518" w:rsidRPr="005E5D86">
        <w:rPr>
          <w:rFonts w:ascii="Book Antiqua" w:hAnsi="Book Antiqua"/>
        </w:rPr>
        <w:t>This platform is</w:t>
      </w:r>
      <w:r w:rsidR="00304167" w:rsidRPr="005E5D86">
        <w:rPr>
          <w:rFonts w:ascii="Book Antiqua" w:hAnsi="Book Antiqua"/>
        </w:rPr>
        <w:t xml:space="preserve"> Health Insurance Portability and Accountability Act</w:t>
      </w:r>
      <w:r w:rsidR="002F36F4" w:rsidRPr="005E5D86">
        <w:rPr>
          <w:rFonts w:ascii="Book Antiqua" w:hAnsi="Book Antiqua"/>
        </w:rPr>
        <w:t xml:space="preserve"> </w:t>
      </w:r>
      <w:r w:rsidR="00B1341A" w:rsidRPr="005E5D86">
        <w:rPr>
          <w:rFonts w:ascii="Book Antiqua" w:hAnsi="Book Antiqua"/>
        </w:rPr>
        <w:t>and</w:t>
      </w:r>
      <w:r w:rsidR="004744E4" w:rsidRPr="005E5D86">
        <w:rPr>
          <w:rFonts w:ascii="Book Antiqua" w:hAnsi="Book Antiqua"/>
        </w:rPr>
        <w:t xml:space="preserve"> Health Information </w:t>
      </w:r>
      <w:r w:rsidR="004744E4" w:rsidRPr="005E5D86">
        <w:rPr>
          <w:rFonts w:ascii="Book Antiqua" w:hAnsi="Book Antiqua"/>
        </w:rPr>
        <w:lastRenderedPageBreak/>
        <w:t xml:space="preserve">Technology for Economic and Clinical Health Act </w:t>
      </w:r>
      <w:proofErr w:type="gramStart"/>
      <w:r w:rsidR="00304167" w:rsidRPr="005E5D86">
        <w:rPr>
          <w:rFonts w:ascii="Book Antiqua" w:hAnsi="Book Antiqua"/>
        </w:rPr>
        <w:t>compliant</w:t>
      </w:r>
      <w:r w:rsidR="004F3C55" w:rsidRPr="005E5D86">
        <w:rPr>
          <w:rFonts w:ascii="Book Antiqua" w:hAnsi="Book Antiqua"/>
          <w:vertAlign w:val="superscript"/>
        </w:rPr>
        <w:t>[</w:t>
      </w:r>
      <w:proofErr w:type="gramEnd"/>
      <w:r w:rsidR="004F3C55" w:rsidRPr="005E5D86">
        <w:rPr>
          <w:rFonts w:ascii="Book Antiqua" w:hAnsi="Book Antiqua"/>
          <w:vertAlign w:val="superscript"/>
        </w:rPr>
        <w:t>20]</w:t>
      </w:r>
      <w:r w:rsidR="00304167" w:rsidRPr="005E5D86">
        <w:rPr>
          <w:rFonts w:ascii="Book Antiqua" w:hAnsi="Book Antiqua"/>
        </w:rPr>
        <w:t>.</w:t>
      </w:r>
      <w:r w:rsidR="00414166" w:rsidRPr="005E5D86">
        <w:rPr>
          <w:rFonts w:ascii="Book Antiqua" w:hAnsi="Book Antiqua"/>
        </w:rPr>
        <w:t xml:space="preserve"> </w:t>
      </w:r>
      <w:r w:rsidR="00414166" w:rsidRPr="005E5D86">
        <w:rPr>
          <w:rFonts w:ascii="Book Antiqua" w:hAnsi="Book Antiqua" w:cs="Arial"/>
          <w:color w:val="000000" w:themeColor="text1"/>
        </w:rPr>
        <w:t>The Case Western Reserve University/</w:t>
      </w:r>
      <w:proofErr w:type="spellStart"/>
      <w:r w:rsidR="00414166" w:rsidRPr="005E5D86">
        <w:rPr>
          <w:rFonts w:ascii="Book Antiqua" w:hAnsi="Book Antiqua" w:cs="Arial"/>
          <w:color w:val="000000" w:themeColor="text1"/>
        </w:rPr>
        <w:t>Metrohealth</w:t>
      </w:r>
      <w:proofErr w:type="spellEnd"/>
      <w:r w:rsidR="00414166" w:rsidRPr="005E5D86">
        <w:rPr>
          <w:rFonts w:ascii="Book Antiqua" w:hAnsi="Book Antiqua" w:cs="Arial"/>
          <w:color w:val="000000" w:themeColor="text1"/>
        </w:rPr>
        <w:t xml:space="preserve"> Medical Center Institutional Review Board deemed studies using </w:t>
      </w:r>
      <w:proofErr w:type="spellStart"/>
      <w:r w:rsidR="00414166" w:rsidRPr="005E5D86">
        <w:rPr>
          <w:rFonts w:ascii="Book Antiqua" w:hAnsi="Book Antiqua" w:cs="Arial"/>
          <w:color w:val="000000" w:themeColor="text1"/>
        </w:rPr>
        <w:t>Explorys</w:t>
      </w:r>
      <w:proofErr w:type="spellEnd"/>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as the dataset of record</w:t>
      </w:r>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as</w:t>
      </w:r>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 xml:space="preserve">exempt from approval because </w:t>
      </w:r>
      <w:r w:rsidR="009D6152" w:rsidRPr="005E5D86">
        <w:rPr>
          <w:rFonts w:ascii="Book Antiqua" w:hAnsi="Book Antiqua" w:cs="Arial"/>
          <w:color w:val="000000" w:themeColor="text1"/>
        </w:rPr>
        <w:t>all patient information</w:t>
      </w:r>
      <w:r w:rsidR="00414166" w:rsidRPr="005E5D86">
        <w:rPr>
          <w:rFonts w:ascii="Book Antiqua" w:hAnsi="Book Antiqua" w:cs="Arial"/>
          <w:color w:val="000000" w:themeColor="text1"/>
        </w:rPr>
        <w:t xml:space="preserve"> is de-identified.</w:t>
      </w:r>
      <w:r w:rsidR="00304167" w:rsidRPr="005E5D86">
        <w:rPr>
          <w:rFonts w:ascii="Book Antiqua" w:hAnsi="Book Antiqua"/>
        </w:rPr>
        <w:t xml:space="preserve"> </w:t>
      </w:r>
      <w:proofErr w:type="spellStart"/>
      <w:r w:rsidR="000F47D6" w:rsidRPr="005E5D86">
        <w:rPr>
          <w:rFonts w:ascii="Book Antiqua" w:hAnsi="Book Antiqua"/>
        </w:rPr>
        <w:t>Explorys</w:t>
      </w:r>
      <w:proofErr w:type="spellEnd"/>
      <w:r w:rsidR="000F47D6" w:rsidRPr="005E5D86">
        <w:rPr>
          <w:rFonts w:ascii="Book Antiqua" w:hAnsi="Book Antiqua"/>
        </w:rPr>
        <w:t xml:space="preserve"> protects patient confidentiality by approximating each population count to 10. </w:t>
      </w:r>
      <w:r w:rsidR="005D36AC" w:rsidRPr="005E5D86">
        <w:rPr>
          <w:rFonts w:ascii="Book Antiqua" w:hAnsi="Book Antiqua"/>
        </w:rPr>
        <w:t xml:space="preserve">All counts between 0 and 10 are treated equally. For the purpose of </w:t>
      </w:r>
      <w:r w:rsidR="00510806" w:rsidRPr="005E5D86">
        <w:rPr>
          <w:rFonts w:ascii="Book Antiqua" w:hAnsi="Book Antiqua"/>
        </w:rPr>
        <w:t>this</w:t>
      </w:r>
      <w:r w:rsidR="005D36AC" w:rsidRPr="005E5D86">
        <w:rPr>
          <w:rFonts w:ascii="Book Antiqua" w:hAnsi="Book Antiqua"/>
        </w:rPr>
        <w:t xml:space="preserve"> study, counts between 0 and 10 were approximated to </w:t>
      </w:r>
      <w:r w:rsidR="006B1700" w:rsidRPr="005E5D86">
        <w:rPr>
          <w:rFonts w:ascii="Book Antiqua" w:hAnsi="Book Antiqua"/>
        </w:rPr>
        <w:t xml:space="preserve">be </w:t>
      </w:r>
      <w:proofErr w:type="gramStart"/>
      <w:r w:rsidR="005D36AC" w:rsidRPr="005E5D86">
        <w:rPr>
          <w:rFonts w:ascii="Book Antiqua" w:hAnsi="Book Antiqua"/>
        </w:rPr>
        <w:t>five</w:t>
      </w:r>
      <w:r w:rsidR="005D36AC" w:rsidRPr="005E5D86">
        <w:rPr>
          <w:rFonts w:ascii="Book Antiqua" w:hAnsi="Book Antiqua"/>
          <w:vertAlign w:val="superscript"/>
        </w:rPr>
        <w:t>[</w:t>
      </w:r>
      <w:proofErr w:type="gramEnd"/>
      <w:r w:rsidR="005D36AC" w:rsidRPr="005E5D86">
        <w:rPr>
          <w:rFonts w:ascii="Book Antiqua" w:hAnsi="Book Antiqua"/>
          <w:vertAlign w:val="superscript"/>
        </w:rPr>
        <w:t>21]</w:t>
      </w:r>
      <w:r w:rsidR="005D36AC"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rPr>
      </w:pPr>
    </w:p>
    <w:p w:rsidR="0030416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Patient selection</w:t>
      </w:r>
    </w:p>
    <w:p w:rsidR="00304167" w:rsidRPr="005E5D86" w:rsidRDefault="007A649E" w:rsidP="005E5D86">
      <w:pPr>
        <w:snapToGrid w:val="0"/>
        <w:spacing w:line="360" w:lineRule="auto"/>
        <w:jc w:val="both"/>
        <w:rPr>
          <w:rFonts w:ascii="Book Antiqua" w:hAnsi="Book Antiqua"/>
        </w:rPr>
      </w:pPr>
      <w:r w:rsidRPr="005E5D86">
        <w:rPr>
          <w:rFonts w:ascii="Book Antiqua" w:hAnsi="Book Antiqua"/>
        </w:rPr>
        <w:t xml:space="preserve">Subjects with active electronic health records </w:t>
      </w:r>
      <w:r w:rsidR="008511CA" w:rsidRPr="005E5D86">
        <w:rPr>
          <w:rFonts w:ascii="Book Antiqua" w:hAnsi="Book Antiqua"/>
        </w:rPr>
        <w:t xml:space="preserve">since 1999 </w:t>
      </w:r>
      <w:r w:rsidRPr="005E5D86">
        <w:rPr>
          <w:rFonts w:ascii="Book Antiqua" w:hAnsi="Book Antiqua"/>
        </w:rPr>
        <w:t xml:space="preserve">were identified using the search tool in </w:t>
      </w:r>
      <w:proofErr w:type="spellStart"/>
      <w:r w:rsidRPr="005E5D86">
        <w:rPr>
          <w:rFonts w:ascii="Book Antiqua" w:hAnsi="Book Antiqua"/>
        </w:rPr>
        <w:t>Explorys</w:t>
      </w:r>
      <w:proofErr w:type="spellEnd"/>
      <w:r w:rsidR="00660FCA" w:rsidRPr="005E5D86">
        <w:rPr>
          <w:rFonts w:ascii="Book Antiqua" w:hAnsi="Book Antiqua"/>
        </w:rPr>
        <w:t>.</w:t>
      </w:r>
      <w:r w:rsidRPr="005E5D86">
        <w:rPr>
          <w:rFonts w:ascii="Book Antiqua" w:hAnsi="Book Antiqua"/>
        </w:rPr>
        <w:t xml:space="preserve"> Using the </w:t>
      </w:r>
      <w:r w:rsidR="00304167" w:rsidRPr="005E5D86">
        <w:rPr>
          <w:rFonts w:ascii="Book Antiqua" w:hAnsi="Book Antiqua"/>
        </w:rPr>
        <w:t>SNOMED-CT diagnosis “Non-alcoholic steatohepatitis”</w:t>
      </w:r>
      <w:r w:rsidRPr="005E5D86">
        <w:rPr>
          <w:rFonts w:ascii="Book Antiqua" w:hAnsi="Book Antiqua"/>
        </w:rPr>
        <w:t xml:space="preserve">, </w:t>
      </w:r>
      <w:r w:rsidR="00E57227" w:rsidRPr="005E5D86">
        <w:rPr>
          <w:rFonts w:ascii="Book Antiqua" w:hAnsi="Book Antiqua"/>
        </w:rPr>
        <w:t>we identified</w:t>
      </w:r>
      <w:r w:rsidRPr="005E5D86">
        <w:rPr>
          <w:rFonts w:ascii="Book Antiqua" w:hAnsi="Book Antiqua"/>
        </w:rPr>
        <w:t xml:space="preserve"> patients </w:t>
      </w:r>
      <w:r w:rsidR="00E57227" w:rsidRPr="005E5D86">
        <w:rPr>
          <w:rFonts w:ascii="Book Antiqua" w:hAnsi="Book Antiqua"/>
        </w:rPr>
        <w:t xml:space="preserve">who were diagnosed with NASH </w:t>
      </w:r>
      <w:proofErr w:type="gramStart"/>
      <w:r w:rsidR="00E57227" w:rsidRPr="005E5D86">
        <w:rPr>
          <w:rFonts w:ascii="Book Antiqua" w:hAnsi="Book Antiqua"/>
        </w:rPr>
        <w:t>between 1999-2019</w:t>
      </w:r>
      <w:proofErr w:type="gramEnd"/>
      <w:r w:rsidR="00304167" w:rsidRPr="005E5D86">
        <w:rPr>
          <w:rFonts w:ascii="Book Antiqua" w:hAnsi="Book Antiqua"/>
        </w:rPr>
        <w:t xml:space="preserve">. </w:t>
      </w:r>
      <w:r w:rsidR="0021350F" w:rsidRPr="005E5D86">
        <w:rPr>
          <w:rFonts w:ascii="Book Antiqua" w:hAnsi="Book Antiqua"/>
        </w:rPr>
        <w:t xml:space="preserve">Patients with </w:t>
      </w:r>
      <w:r w:rsidR="007F3F09" w:rsidRPr="005E5D86">
        <w:rPr>
          <w:rFonts w:ascii="Book Antiqua" w:hAnsi="Book Antiqua"/>
        </w:rPr>
        <w:t xml:space="preserve">the diagnosis </w:t>
      </w:r>
      <w:r w:rsidR="008F16A3" w:rsidRPr="005E5D86">
        <w:rPr>
          <w:rFonts w:ascii="Book Antiqua" w:hAnsi="Book Antiqua"/>
        </w:rPr>
        <w:t xml:space="preserve">of </w:t>
      </w:r>
      <w:r w:rsidR="00C413E1" w:rsidRPr="005E5D86">
        <w:rPr>
          <w:rFonts w:ascii="Book Antiqua" w:hAnsi="Book Antiqua"/>
        </w:rPr>
        <w:t>“</w:t>
      </w:r>
      <w:r w:rsidR="007F3F09" w:rsidRPr="005E5D86">
        <w:rPr>
          <w:rFonts w:ascii="Book Antiqua" w:hAnsi="Book Antiqua"/>
        </w:rPr>
        <w:t>fatty liver disease</w:t>
      </w:r>
      <w:r w:rsidR="00C413E1" w:rsidRPr="005E5D86">
        <w:rPr>
          <w:rFonts w:ascii="Book Antiqua" w:hAnsi="Book Antiqua"/>
        </w:rPr>
        <w:t xml:space="preserve">”, “alcoholic hepatitis” and “alcoholic fatty liver disease” </w:t>
      </w:r>
      <w:r w:rsidR="0021350F" w:rsidRPr="005E5D86">
        <w:rPr>
          <w:rFonts w:ascii="Book Antiqua" w:hAnsi="Book Antiqua"/>
        </w:rPr>
        <w:t xml:space="preserve">were excluded. </w:t>
      </w:r>
      <w:r w:rsidR="00304167" w:rsidRPr="005E5D86">
        <w:rPr>
          <w:rFonts w:ascii="Book Antiqua" w:hAnsi="Book Antiqua"/>
        </w:rPr>
        <w:t>Patients with</w:t>
      </w:r>
      <w:r w:rsidR="00722B13" w:rsidRPr="005E5D86">
        <w:rPr>
          <w:rFonts w:ascii="Book Antiqua" w:hAnsi="Book Antiqua"/>
        </w:rPr>
        <w:t xml:space="preserve"> </w:t>
      </w:r>
      <w:r w:rsidR="00304167" w:rsidRPr="005E5D86">
        <w:rPr>
          <w:rFonts w:ascii="Book Antiqua" w:hAnsi="Book Antiqua"/>
        </w:rPr>
        <w:t xml:space="preserve">MI were identified </w:t>
      </w:r>
      <w:r w:rsidR="00F63DDC" w:rsidRPr="005E5D86">
        <w:rPr>
          <w:rFonts w:ascii="Book Antiqua" w:hAnsi="Book Antiqua"/>
        </w:rPr>
        <w:t>as those with the following SNOMED-CT diagnosis “</w:t>
      </w:r>
      <w:r w:rsidR="006B5DF8" w:rsidRPr="005E5D86">
        <w:rPr>
          <w:rFonts w:ascii="Book Antiqua" w:hAnsi="Book Antiqua"/>
        </w:rPr>
        <w:t xml:space="preserve">Acute </w:t>
      </w:r>
      <w:r w:rsidR="005A1138" w:rsidRPr="005E5D86">
        <w:rPr>
          <w:rFonts w:ascii="Book Antiqua" w:hAnsi="Book Antiqua"/>
        </w:rPr>
        <w:t>m</w:t>
      </w:r>
      <w:r w:rsidR="00F63DDC" w:rsidRPr="005E5D86">
        <w:rPr>
          <w:rFonts w:ascii="Book Antiqua" w:hAnsi="Book Antiqua"/>
        </w:rPr>
        <w:t>yocardial infarction</w:t>
      </w:r>
      <w:r w:rsidR="00650D11" w:rsidRPr="005E5D86">
        <w:rPr>
          <w:rFonts w:ascii="Book Antiqua" w:hAnsi="Book Antiqua"/>
        </w:rPr>
        <w:t xml:space="preserve">”. </w:t>
      </w:r>
      <w:r w:rsidR="0092119B" w:rsidRPr="005E5D86">
        <w:rPr>
          <w:rFonts w:ascii="Book Antiqua" w:hAnsi="Book Antiqua"/>
        </w:rPr>
        <w:t>To establish a temporal relationship with NASH, o</w:t>
      </w:r>
      <w:r w:rsidR="00650D11" w:rsidRPr="005E5D86">
        <w:rPr>
          <w:rFonts w:ascii="Book Antiqua" w:hAnsi="Book Antiqua"/>
        </w:rPr>
        <w:t xml:space="preserve">nly those with the diagnosis of acute MI within the last year of </w:t>
      </w:r>
      <w:r w:rsidR="00E41385" w:rsidRPr="005E5D86">
        <w:rPr>
          <w:rFonts w:ascii="Book Antiqua" w:hAnsi="Book Antiqua"/>
        </w:rPr>
        <w:t xml:space="preserve">the </w:t>
      </w:r>
      <w:r w:rsidR="00650D11" w:rsidRPr="005E5D86">
        <w:rPr>
          <w:rFonts w:ascii="Book Antiqua" w:hAnsi="Book Antiqua"/>
        </w:rPr>
        <w:t>study</w:t>
      </w:r>
      <w:r w:rsidR="00BE702A" w:rsidRPr="005E5D86">
        <w:rPr>
          <w:rFonts w:ascii="Book Antiqua" w:hAnsi="Book Antiqua"/>
        </w:rPr>
        <w:t xml:space="preserve">, </w:t>
      </w:r>
      <w:r w:rsidR="00650D11" w:rsidRPr="005E5D86">
        <w:rPr>
          <w:rFonts w:ascii="Book Antiqua" w:hAnsi="Book Antiqua"/>
        </w:rPr>
        <w:t>2018-2019</w:t>
      </w:r>
      <w:r w:rsidR="00BE702A" w:rsidRPr="005E5D86">
        <w:rPr>
          <w:rFonts w:ascii="Book Antiqua" w:hAnsi="Book Antiqua"/>
        </w:rPr>
        <w:t xml:space="preserve">, </w:t>
      </w:r>
      <w:r w:rsidR="00650D11" w:rsidRPr="005E5D86">
        <w:rPr>
          <w:rFonts w:ascii="Book Antiqua" w:hAnsi="Book Antiqua"/>
        </w:rPr>
        <w:t>were included</w:t>
      </w:r>
      <w:r w:rsidR="00AF3809" w:rsidRPr="005E5D86">
        <w:rPr>
          <w:rFonts w:ascii="Book Antiqua" w:hAnsi="Book Antiqua"/>
        </w:rPr>
        <w:t xml:space="preserve">. </w:t>
      </w:r>
      <w:r w:rsidR="00F63DDC" w:rsidRPr="005E5D86">
        <w:rPr>
          <w:rFonts w:ascii="Book Antiqua" w:hAnsi="Book Antiqua"/>
        </w:rPr>
        <w:t xml:space="preserve">Controls were identified </w:t>
      </w:r>
      <w:r w:rsidR="00722B13" w:rsidRPr="005E5D86">
        <w:rPr>
          <w:rFonts w:ascii="Book Antiqua" w:hAnsi="Book Antiqua"/>
        </w:rPr>
        <w:t xml:space="preserve">as </w:t>
      </w:r>
      <w:r w:rsidR="00F63DDC" w:rsidRPr="005E5D86">
        <w:rPr>
          <w:rFonts w:ascii="Book Antiqua" w:hAnsi="Book Antiqua"/>
        </w:rPr>
        <w:t>those patients without the diagnosis of NASH. For our analysis we identified cohorts of patients with NASH</w:t>
      </w:r>
      <w:r w:rsidR="001B32E8" w:rsidRPr="005E5D86">
        <w:rPr>
          <w:rFonts w:ascii="Book Antiqua" w:hAnsi="Book Antiqua"/>
        </w:rPr>
        <w:t xml:space="preserve">, </w:t>
      </w:r>
      <w:r w:rsidR="00F63DDC" w:rsidRPr="005E5D86">
        <w:rPr>
          <w:rFonts w:ascii="Book Antiqua" w:hAnsi="Book Antiqua"/>
        </w:rPr>
        <w:t xml:space="preserve">with and without MI. </w:t>
      </w:r>
      <w:r w:rsidR="001B32E8" w:rsidRPr="005E5D86">
        <w:rPr>
          <w:rFonts w:ascii="Book Antiqua" w:hAnsi="Book Antiqua"/>
        </w:rPr>
        <w:t>It was not possible to perform p</w:t>
      </w:r>
      <w:r w:rsidR="00F63DDC" w:rsidRPr="005E5D86">
        <w:rPr>
          <w:rFonts w:ascii="Book Antiqua" w:hAnsi="Book Antiqua"/>
        </w:rPr>
        <w:t>ropensity-score matching</w:t>
      </w:r>
      <w:r w:rsidR="003F2D8E" w:rsidRPr="005E5D86">
        <w:rPr>
          <w:rFonts w:ascii="Book Antiqua" w:hAnsi="Book Antiqua"/>
        </w:rPr>
        <w:t xml:space="preserve"> </w:t>
      </w:r>
      <w:r w:rsidR="00F63DDC" w:rsidRPr="005E5D86">
        <w:rPr>
          <w:rFonts w:ascii="Book Antiqua" w:hAnsi="Book Antiqua"/>
        </w:rPr>
        <w:t xml:space="preserve">because </w:t>
      </w:r>
      <w:r w:rsidR="000F47D6" w:rsidRPr="005E5D86">
        <w:rPr>
          <w:rFonts w:ascii="Book Antiqua" w:hAnsi="Book Antiqua"/>
        </w:rPr>
        <w:t>th</w:t>
      </w:r>
      <w:r w:rsidR="001B32E8" w:rsidRPr="005E5D86">
        <w:rPr>
          <w:rFonts w:ascii="Book Antiqua" w:hAnsi="Book Antiqua"/>
        </w:rPr>
        <w:t xml:space="preserve">is database </w:t>
      </w:r>
      <w:r w:rsidR="00F63DDC" w:rsidRPr="005E5D86">
        <w:rPr>
          <w:rFonts w:ascii="Book Antiqua" w:hAnsi="Book Antiqua"/>
        </w:rPr>
        <w:t xml:space="preserve">only provides population-level data and not individual cases. </w:t>
      </w:r>
    </w:p>
    <w:p w:rsidR="00EB1E63" w:rsidRPr="005E5D86" w:rsidRDefault="00EB1E63" w:rsidP="005E5D86">
      <w:pPr>
        <w:snapToGrid w:val="0"/>
        <w:spacing w:line="360" w:lineRule="auto"/>
        <w:jc w:val="both"/>
        <w:rPr>
          <w:rFonts w:ascii="Book Antiqua" w:hAnsi="Book Antiqua"/>
        </w:rPr>
      </w:pPr>
    </w:p>
    <w:p w:rsidR="006B11FE" w:rsidRPr="005E5D86" w:rsidRDefault="00823E82" w:rsidP="005E5D86">
      <w:pPr>
        <w:snapToGrid w:val="0"/>
        <w:spacing w:line="360" w:lineRule="auto"/>
        <w:jc w:val="both"/>
        <w:rPr>
          <w:rFonts w:ascii="Book Antiqua" w:hAnsi="Book Antiqua"/>
          <w:b/>
          <w:bCs/>
          <w:i/>
          <w:iCs/>
        </w:rPr>
      </w:pPr>
      <w:r w:rsidRPr="005E5D86">
        <w:rPr>
          <w:rFonts w:ascii="Book Antiqua" w:hAnsi="Book Antiqua"/>
          <w:b/>
          <w:bCs/>
          <w:i/>
          <w:iCs/>
        </w:rPr>
        <w:t>Covariates</w:t>
      </w:r>
    </w:p>
    <w:p w:rsidR="00F63DDC" w:rsidRPr="005E5D86" w:rsidRDefault="00170B57" w:rsidP="005E5D86">
      <w:pPr>
        <w:snapToGrid w:val="0"/>
        <w:spacing w:line="360" w:lineRule="auto"/>
        <w:jc w:val="both"/>
        <w:rPr>
          <w:rFonts w:ascii="Book Antiqua" w:hAnsi="Book Antiqua"/>
        </w:rPr>
      </w:pPr>
      <w:r w:rsidRPr="005E5D86">
        <w:rPr>
          <w:rFonts w:ascii="Book Antiqua" w:hAnsi="Book Antiqua"/>
        </w:rPr>
        <w:t>The</w:t>
      </w:r>
      <w:r w:rsidR="00EB08EC" w:rsidRPr="005E5D86">
        <w:rPr>
          <w:rFonts w:ascii="Book Antiqua" w:hAnsi="Book Antiqua"/>
        </w:rPr>
        <w:t xml:space="preserve"> following characteristics were </w:t>
      </w:r>
      <w:r w:rsidR="003D5038" w:rsidRPr="005E5D86">
        <w:rPr>
          <w:rFonts w:ascii="Book Antiqua" w:hAnsi="Book Antiqua"/>
        </w:rPr>
        <w:t>collected</w:t>
      </w:r>
      <w:r w:rsidR="00EB08EC" w:rsidRPr="005E5D86">
        <w:rPr>
          <w:rFonts w:ascii="Book Antiqua" w:hAnsi="Book Antiqua"/>
        </w:rPr>
        <w:t>: demographic factors such as age, sex,</w:t>
      </w:r>
      <w:r w:rsidR="004B5558" w:rsidRPr="005E5D86">
        <w:rPr>
          <w:rFonts w:ascii="Book Antiqua" w:hAnsi="Book Antiqua"/>
        </w:rPr>
        <w:t xml:space="preserve"> and</w:t>
      </w:r>
      <w:r w:rsidR="00EB08EC" w:rsidRPr="005E5D86">
        <w:rPr>
          <w:rFonts w:ascii="Book Antiqua" w:hAnsi="Book Antiqua"/>
        </w:rPr>
        <w:t xml:space="preserve"> comorbidities</w:t>
      </w:r>
      <w:r w:rsidR="000F47D6" w:rsidRPr="005E5D86">
        <w:rPr>
          <w:rFonts w:ascii="Book Antiqua" w:hAnsi="Book Antiqua"/>
        </w:rPr>
        <w:t xml:space="preserve">, </w:t>
      </w:r>
      <w:r w:rsidR="00F63DDC" w:rsidRPr="005E5D86">
        <w:rPr>
          <w:rFonts w:ascii="Book Antiqua" w:hAnsi="Book Antiqua"/>
        </w:rPr>
        <w:t xml:space="preserve">known to be associated with NASH and MI </w:t>
      </w:r>
      <w:r w:rsidR="004B5558" w:rsidRPr="005E5D86">
        <w:rPr>
          <w:rFonts w:ascii="Book Antiqua" w:hAnsi="Book Antiqua"/>
        </w:rPr>
        <w:t>(</w:t>
      </w:r>
      <w:r w:rsidR="003D5038" w:rsidRPr="005E5D86">
        <w:rPr>
          <w:rFonts w:ascii="Book Antiqua" w:hAnsi="Book Antiqua"/>
        </w:rPr>
        <w:t xml:space="preserve">hyperlipidemia, hypertension, obesity, diabetes mellitus, smoking age and gender), </w:t>
      </w:r>
      <w:r w:rsidR="00F63DDC" w:rsidRPr="005E5D86">
        <w:rPr>
          <w:rFonts w:ascii="Book Antiqua" w:hAnsi="Book Antiqua"/>
        </w:rPr>
        <w:t>by searching the database for their respective SNOMED-CT terms</w:t>
      </w:r>
      <w:r w:rsidR="008D1E2D" w:rsidRPr="005E5D86">
        <w:rPr>
          <w:rFonts w:ascii="Book Antiqua" w:hAnsi="Book Antiqua"/>
        </w:rPr>
        <w:t>.</w:t>
      </w:r>
      <w:r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b/>
          <w:bCs/>
          <w:i/>
          <w:iCs/>
        </w:rPr>
      </w:pPr>
    </w:p>
    <w:p w:rsidR="000F28B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 xml:space="preserve">Statistical analysis </w:t>
      </w:r>
    </w:p>
    <w:p w:rsidR="000F28B7" w:rsidRPr="005E5D86" w:rsidRDefault="000F28B7" w:rsidP="005E5D86">
      <w:pPr>
        <w:snapToGrid w:val="0"/>
        <w:spacing w:line="360" w:lineRule="auto"/>
        <w:jc w:val="both"/>
        <w:rPr>
          <w:rFonts w:ascii="Book Antiqua" w:hAnsi="Book Antiqua"/>
        </w:rPr>
      </w:pPr>
      <w:r w:rsidRPr="005E5D86">
        <w:rPr>
          <w:rFonts w:ascii="Book Antiqua" w:hAnsi="Book Antiqua"/>
        </w:rPr>
        <w:lastRenderedPageBreak/>
        <w:t>To assess the association between MI</w:t>
      </w:r>
      <w:r w:rsidR="00D44571" w:rsidRPr="005E5D86">
        <w:rPr>
          <w:rFonts w:ascii="Book Antiqua" w:hAnsi="Book Antiqua"/>
        </w:rPr>
        <w:t xml:space="preserve"> </w:t>
      </w:r>
      <w:r w:rsidRPr="005E5D86">
        <w:rPr>
          <w:rFonts w:ascii="Book Antiqua" w:hAnsi="Book Antiqua"/>
        </w:rPr>
        <w:t xml:space="preserve">with risk factors we divided the whole cohort of patients into MI and Non-MI patients. The prevalence of </w:t>
      </w:r>
      <w:r w:rsidR="00831555" w:rsidRPr="005E5D86">
        <w:rPr>
          <w:rFonts w:ascii="Book Antiqua" w:hAnsi="Book Antiqua"/>
        </w:rPr>
        <w:t xml:space="preserve">MI </w:t>
      </w:r>
      <w:r w:rsidRPr="005E5D86">
        <w:rPr>
          <w:rFonts w:ascii="Book Antiqua" w:hAnsi="Book Antiqua"/>
        </w:rPr>
        <w:t xml:space="preserve">was calculated by dividing the number of patients with </w:t>
      </w:r>
      <w:r w:rsidR="00C928CC" w:rsidRPr="005E5D86">
        <w:rPr>
          <w:rFonts w:ascii="Book Antiqua" w:hAnsi="Book Antiqua"/>
        </w:rPr>
        <w:t>MI</w:t>
      </w:r>
      <w:r w:rsidRPr="005E5D86">
        <w:rPr>
          <w:rFonts w:ascii="Book Antiqua" w:hAnsi="Book Antiqua"/>
        </w:rPr>
        <w:t xml:space="preserve"> in each risk group</w:t>
      </w:r>
      <w:r w:rsidR="00C928CC" w:rsidRPr="005E5D86">
        <w:rPr>
          <w:rFonts w:ascii="Book Antiqua" w:hAnsi="Book Antiqua"/>
        </w:rPr>
        <w:t xml:space="preserve"> (</w:t>
      </w:r>
      <w:r w:rsidR="00831555" w:rsidRPr="005E5D86">
        <w:rPr>
          <w:rFonts w:ascii="Book Antiqua" w:hAnsi="Book Antiqua"/>
        </w:rPr>
        <w:t>NASH, hypertension, diabetes mellitus, obesity, hyperlipidemia, age, gender and smoking</w:t>
      </w:r>
      <w:r w:rsidR="00C928CC" w:rsidRPr="005E5D86">
        <w:rPr>
          <w:rFonts w:ascii="Book Antiqua" w:hAnsi="Book Antiqua"/>
        </w:rPr>
        <w:t>)</w:t>
      </w:r>
      <w:r w:rsidRPr="005E5D86">
        <w:rPr>
          <w:rFonts w:ascii="Book Antiqua" w:hAnsi="Book Antiqua"/>
        </w:rPr>
        <w:t>.</w:t>
      </w:r>
      <w:r w:rsidRPr="005E5D86">
        <w:rPr>
          <w:rFonts w:ascii="Book Antiqua" w:hAnsi="Book Antiqua"/>
          <w:b/>
          <w:bCs/>
          <w:i/>
          <w:iCs/>
        </w:rPr>
        <w:t xml:space="preserve"> </w:t>
      </w:r>
      <w:r w:rsidR="006B11FE" w:rsidRPr="005E5D86">
        <w:rPr>
          <w:rFonts w:ascii="Book Antiqua" w:hAnsi="Book Antiqua"/>
        </w:rPr>
        <w:t xml:space="preserve">Frequency and percentages were used for statistical description of categorical variables and </w:t>
      </w:r>
      <w:r w:rsidRPr="005E5D86">
        <w:rPr>
          <w:rFonts w:ascii="Book Antiqua" w:hAnsi="Book Antiqua"/>
        </w:rPr>
        <w:t xml:space="preserve">compared using the Pearson </w:t>
      </w:r>
      <w:r w:rsidRPr="00CF77EB">
        <w:rPr>
          <w:rFonts w:ascii="Book Antiqua" w:hAnsi="Book Antiqua"/>
          <w:i/>
          <w:iCs/>
        </w:rPr>
        <w:t>χ</w:t>
      </w:r>
      <w:r w:rsidRPr="00CF77EB">
        <w:rPr>
          <w:rFonts w:ascii="Book Antiqua" w:hAnsi="Book Antiqua"/>
          <w:i/>
          <w:iCs/>
          <w:vertAlign w:val="superscript"/>
        </w:rPr>
        <w:t>2</w:t>
      </w:r>
      <w:r w:rsidRPr="005E5D86">
        <w:rPr>
          <w:rFonts w:ascii="Book Antiqua" w:hAnsi="Book Antiqua"/>
        </w:rPr>
        <w:t xml:space="preserve"> test. </w:t>
      </w:r>
      <w:r w:rsidR="00CF77EB">
        <w:rPr>
          <w:rFonts w:ascii="Book Antiqua" w:hAnsi="Book Antiqua"/>
        </w:rPr>
        <w:t>OR</w:t>
      </w:r>
      <w:r w:rsidRPr="005E5D86">
        <w:rPr>
          <w:rFonts w:ascii="Book Antiqua" w:hAnsi="Book Antiqua"/>
        </w:rPr>
        <w:t>s are presented with 95%</w:t>
      </w:r>
      <w:r w:rsidR="00CF77EB">
        <w:rPr>
          <w:rFonts w:ascii="Book Antiqua" w:hAnsi="Book Antiqua"/>
        </w:rPr>
        <w:t>CI</w:t>
      </w:r>
      <w:r w:rsidRPr="005E5D86">
        <w:rPr>
          <w:rFonts w:ascii="Book Antiqua" w:hAnsi="Book Antiqua"/>
        </w:rPr>
        <w:t xml:space="preserve">s. Univariate binary logistic model was constructed using </w:t>
      </w:r>
      <w:r w:rsidR="00D44571" w:rsidRPr="005E5D86">
        <w:rPr>
          <w:rFonts w:ascii="Book Antiqua" w:hAnsi="Book Antiqua"/>
        </w:rPr>
        <w:t>MI</w:t>
      </w:r>
      <w:r w:rsidRPr="005E5D86">
        <w:rPr>
          <w:rFonts w:ascii="Book Antiqua" w:hAnsi="Book Antiqua"/>
        </w:rPr>
        <w:t xml:space="preserve"> as dependent variable and other variables as independent variables. To adjust for possible confounding, a multivariable model adjusting for all covariates mentioned in univariate variables were added to test the main effect. </w:t>
      </w:r>
      <w:r w:rsidR="00664201" w:rsidRPr="005E5D86">
        <w:rPr>
          <w:rFonts w:ascii="Book Antiqua" w:hAnsi="Book Antiqua"/>
        </w:rPr>
        <w:t>A</w:t>
      </w:r>
      <w:r w:rsidR="00C02810" w:rsidRPr="005E5D86">
        <w:rPr>
          <w:rFonts w:ascii="Book Antiqua" w:hAnsi="Book Antiqua"/>
        </w:rPr>
        <w:t xml:space="preserve">nalyses were performed </w:t>
      </w:r>
      <w:r w:rsidRPr="005E5D86">
        <w:rPr>
          <w:rFonts w:ascii="Book Antiqua" w:hAnsi="Book Antiqua"/>
        </w:rPr>
        <w:t xml:space="preserve">using </w:t>
      </w:r>
      <w:r w:rsidR="00A76CB7" w:rsidRPr="005E5D86">
        <w:rPr>
          <w:rFonts w:ascii="Book Antiqua" w:hAnsi="Book Antiqua"/>
        </w:rPr>
        <w:t>R version 3.6.1</w:t>
      </w:r>
      <w:r w:rsidRPr="005E5D86">
        <w:rPr>
          <w:rFonts w:ascii="Book Antiqua" w:hAnsi="Book Antiqua"/>
        </w:rPr>
        <w:t xml:space="preserve"> (</w:t>
      </w:r>
      <w:r w:rsidR="00A76CB7" w:rsidRPr="005E5D86">
        <w:rPr>
          <w:rFonts w:ascii="Book Antiqua" w:hAnsi="Book Antiqua"/>
        </w:rPr>
        <w:t xml:space="preserve">The R Foundation, Vienna, </w:t>
      </w:r>
      <w:r w:rsidR="00814987" w:rsidRPr="005E5D86">
        <w:rPr>
          <w:rFonts w:ascii="Book Antiqua" w:hAnsi="Book Antiqua"/>
        </w:rPr>
        <w:t>Austria</w:t>
      </w:r>
      <w:r w:rsidRPr="005E5D86">
        <w:rPr>
          <w:rFonts w:ascii="Book Antiqua" w:hAnsi="Book Antiqua"/>
        </w:rPr>
        <w:t>)</w:t>
      </w:r>
      <w:r w:rsidR="00BA71B2" w:rsidRPr="005E5D86">
        <w:rPr>
          <w:rFonts w:ascii="Book Antiqua" w:hAnsi="Book Antiqua"/>
        </w:rPr>
        <w:t xml:space="preserve">. </w:t>
      </w:r>
      <w:r w:rsidR="0098247A" w:rsidRPr="005E5D86">
        <w:rPr>
          <w:rFonts w:ascii="Book Antiqua" w:hAnsi="Book Antiqua"/>
        </w:rPr>
        <w:t xml:space="preserve">Independence among covariate risk factors was assessed using the variance inflating factor (VIF) with cut-off of significant collinearity set at VIF &gt; 1.5. “Goodness-of-fit” was assessed for all regression models using the </w:t>
      </w:r>
      <w:proofErr w:type="spellStart"/>
      <w:r w:rsidR="0098247A" w:rsidRPr="005E5D86">
        <w:rPr>
          <w:rFonts w:ascii="Book Antiqua" w:hAnsi="Book Antiqua"/>
        </w:rPr>
        <w:t>Hosmer-Lemeshow</w:t>
      </w:r>
      <w:proofErr w:type="spellEnd"/>
      <w:r w:rsidR="0098247A" w:rsidRPr="005E5D86">
        <w:rPr>
          <w:rFonts w:ascii="Book Antiqua" w:hAnsi="Book Antiqua"/>
        </w:rPr>
        <w:t xml:space="preserve"> test, with </w:t>
      </w:r>
      <w:r w:rsidR="0098247A" w:rsidRPr="00CF77EB">
        <w:rPr>
          <w:rFonts w:ascii="Book Antiqua" w:hAnsi="Book Antiqua"/>
          <w:i/>
          <w:iCs/>
        </w:rPr>
        <w:t>P</w:t>
      </w:r>
      <w:r w:rsidR="0098247A" w:rsidRPr="005E5D86">
        <w:rPr>
          <w:rFonts w:ascii="Book Antiqua" w:hAnsi="Book Antiqua"/>
        </w:rPr>
        <w:t xml:space="preserve"> &gt; 0.05 indicating good fit. </w:t>
      </w:r>
      <w:r w:rsidR="00B60F5D" w:rsidRPr="005E5D86">
        <w:rPr>
          <w:rFonts w:ascii="Book Antiqua" w:hAnsi="Book Antiqua"/>
        </w:rPr>
        <w:t>Two-</w:t>
      </w:r>
      <w:r w:rsidR="00C02810" w:rsidRPr="005E5D86">
        <w:rPr>
          <w:rFonts w:ascii="Book Antiqua" w:hAnsi="Book Antiqua"/>
        </w:rPr>
        <w:t xml:space="preserve">sided </w:t>
      </w:r>
      <w:r w:rsidR="00C02810" w:rsidRPr="005E5D86">
        <w:rPr>
          <w:rFonts w:ascii="Book Antiqua" w:hAnsi="Book Antiqua"/>
          <w:i/>
          <w:iCs/>
        </w:rPr>
        <w:t>P</w:t>
      </w:r>
      <w:r w:rsidR="00C02810" w:rsidRPr="005E5D86">
        <w:rPr>
          <w:rFonts w:ascii="Book Antiqua" w:hAnsi="Book Antiqua"/>
        </w:rPr>
        <w:t xml:space="preserve"> values were used and were considered statistically significant if </w:t>
      </w:r>
      <w:r w:rsidR="00C02810" w:rsidRPr="005E5D86">
        <w:rPr>
          <w:rFonts w:ascii="Book Antiqua" w:hAnsi="Book Antiqua"/>
          <w:i/>
          <w:iCs/>
        </w:rPr>
        <w:t>P</w:t>
      </w:r>
      <w:r w:rsidR="00D536CF" w:rsidRPr="005E5D86">
        <w:rPr>
          <w:rFonts w:ascii="Book Antiqua" w:hAnsi="Book Antiqua"/>
          <w:i/>
          <w:iCs/>
        </w:rPr>
        <w:t xml:space="preserve"> </w:t>
      </w:r>
      <w:r w:rsidRPr="005E5D86">
        <w:rPr>
          <w:rFonts w:ascii="Book Antiqua" w:hAnsi="Book Antiqua"/>
        </w:rPr>
        <w:t>&lt;</w:t>
      </w:r>
      <w:r w:rsidR="00442525" w:rsidRPr="005E5D86">
        <w:rPr>
          <w:rFonts w:ascii="Book Antiqua" w:hAnsi="Book Antiqua"/>
        </w:rPr>
        <w:t xml:space="preserve"> </w:t>
      </w:r>
      <w:r w:rsidRPr="005E5D86">
        <w:rPr>
          <w:rFonts w:ascii="Book Antiqua" w:hAnsi="Book Antiqua"/>
        </w:rPr>
        <w:t>0.05.</w:t>
      </w:r>
    </w:p>
    <w:p w:rsidR="00EB1E63" w:rsidRPr="005E5D86" w:rsidRDefault="00EB1E63" w:rsidP="005E5D86">
      <w:pPr>
        <w:snapToGrid w:val="0"/>
        <w:spacing w:line="360" w:lineRule="auto"/>
        <w:jc w:val="both"/>
        <w:rPr>
          <w:rFonts w:ascii="Book Antiqua" w:hAnsi="Book Antiqua" w:cstheme="minorHAnsi"/>
          <w:b/>
          <w:bCs/>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RESULTS</w:t>
      </w:r>
    </w:p>
    <w:p w:rsidR="002B0608" w:rsidRPr="005E5D86" w:rsidRDefault="003A438F"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Out of 55099280 patients, 43170 patients were diagnosed with NASH (0.08%) and 107000 (0.194%) had a</w:t>
      </w:r>
      <w:r w:rsidR="001E014C" w:rsidRPr="005E5D86">
        <w:rPr>
          <w:rFonts w:ascii="Book Antiqua" w:hAnsi="Book Antiqua"/>
          <w:color w:val="000000" w:themeColor="text1"/>
          <w:shd w:val="clear" w:color="auto" w:fill="FFFFFF"/>
        </w:rPr>
        <w:t xml:space="preserve">cute </w:t>
      </w:r>
      <w:r w:rsidRPr="005E5D86">
        <w:rPr>
          <w:rFonts w:ascii="Book Antiqua" w:hAnsi="Book Antiqua"/>
          <w:color w:val="000000" w:themeColor="text1"/>
          <w:shd w:val="clear" w:color="auto" w:fill="FFFFFF"/>
        </w:rPr>
        <w:t xml:space="preserve">MI </w:t>
      </w:r>
      <w:r w:rsidR="00DA20DE" w:rsidRPr="005E5D86">
        <w:rPr>
          <w:rFonts w:ascii="Book Antiqua" w:hAnsi="Book Antiqua"/>
          <w:color w:val="000000" w:themeColor="text1"/>
          <w:shd w:val="clear" w:color="auto" w:fill="FFFFFF"/>
        </w:rPr>
        <w:t xml:space="preserve">within </w:t>
      </w:r>
      <w:r w:rsidR="00FB0B2A" w:rsidRPr="005E5D86">
        <w:rPr>
          <w:rFonts w:ascii="Book Antiqua" w:hAnsi="Book Antiqua"/>
          <w:color w:val="000000" w:themeColor="text1"/>
          <w:shd w:val="clear" w:color="auto" w:fill="FFFFFF"/>
        </w:rPr>
        <w:t>2018-2019</w:t>
      </w:r>
      <w:r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Baseline characteristics </w:t>
      </w:r>
      <w:r w:rsidR="0078661E" w:rsidRPr="005E5D86">
        <w:rPr>
          <w:rFonts w:ascii="Book Antiqua" w:hAnsi="Book Antiqua"/>
          <w:color w:val="000000" w:themeColor="text1"/>
          <w:shd w:val="clear" w:color="auto" w:fill="FFFFFF"/>
        </w:rPr>
        <w:t xml:space="preserve">of subjects included in this study </w:t>
      </w:r>
      <w:r w:rsidR="006846FB" w:rsidRPr="005E5D86">
        <w:rPr>
          <w:rFonts w:ascii="Book Antiqua" w:hAnsi="Book Antiqua"/>
          <w:color w:val="000000" w:themeColor="text1"/>
          <w:shd w:val="clear" w:color="auto" w:fill="FFFFFF"/>
        </w:rPr>
        <w:t>are displayed in Table 1.</w:t>
      </w:r>
      <w:r w:rsidR="00950935" w:rsidRPr="005E5D86">
        <w:rPr>
          <w:rFonts w:ascii="Book Antiqua" w:hAnsi="Book Antiqua"/>
          <w:color w:val="000000" w:themeColor="text1"/>
          <w:shd w:val="clear" w:color="auto" w:fill="FFFFFF"/>
        </w:rPr>
        <w:t xml:space="preserve"> </w:t>
      </w:r>
    </w:p>
    <w:p w:rsidR="00F61F4D" w:rsidRPr="005E5D86" w:rsidRDefault="00CC5A4E"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The</w:t>
      </w:r>
      <w:r w:rsidR="00415F0B" w:rsidRPr="005E5D86">
        <w:rPr>
          <w:rFonts w:ascii="Book Antiqua" w:hAnsi="Book Antiqua"/>
          <w:color w:val="000000" w:themeColor="text1"/>
          <w:shd w:val="clear" w:color="auto" w:fill="FFFFFF"/>
        </w:rPr>
        <w:t xml:space="preserve"> prevalence of MI in subjects with NASH was </w:t>
      </w:r>
      <w:r w:rsidR="0071417E" w:rsidRPr="005E5D86">
        <w:rPr>
          <w:rFonts w:ascii="Book Antiqua" w:hAnsi="Book Antiqua"/>
          <w:color w:val="000000" w:themeColor="text1"/>
          <w:shd w:val="clear" w:color="auto" w:fill="FFFFFF"/>
        </w:rPr>
        <w:t>10.24</w:t>
      </w:r>
      <w:r w:rsidR="00415F0B" w:rsidRPr="005E5D86">
        <w:rPr>
          <w:rFonts w:ascii="Book Antiqua" w:hAnsi="Book Antiqua"/>
          <w:color w:val="000000" w:themeColor="text1"/>
          <w:shd w:val="clear" w:color="auto" w:fill="FFFFFF"/>
        </w:rPr>
        <w:t xml:space="preserve">% and 0.18% in the non-NASH group. </w:t>
      </w:r>
      <w:r w:rsidRPr="005E5D86">
        <w:rPr>
          <w:rFonts w:ascii="Book Antiqua" w:hAnsi="Book Antiqua"/>
          <w:color w:val="000000" w:themeColor="text1"/>
          <w:shd w:val="clear" w:color="auto" w:fill="FFFFFF"/>
        </w:rPr>
        <w:t>In overall unadjusted</w:t>
      </w:r>
      <w:r w:rsidR="0057230F" w:rsidRPr="005E5D86">
        <w:rPr>
          <w:rFonts w:ascii="Book Antiqua" w:hAnsi="Book Antiqua"/>
          <w:color w:val="000000" w:themeColor="text1"/>
          <w:shd w:val="clear" w:color="auto" w:fill="FFFFFF"/>
        </w:rPr>
        <w:t xml:space="preserve"> analysis</w:t>
      </w:r>
      <w:r w:rsidRPr="005E5D86">
        <w:rPr>
          <w:rFonts w:ascii="Book Antiqua" w:hAnsi="Book Antiqua"/>
          <w:color w:val="000000" w:themeColor="text1"/>
          <w:shd w:val="clear" w:color="auto" w:fill="FFFFFF"/>
        </w:rPr>
        <w:t>, t</w:t>
      </w:r>
      <w:r w:rsidR="00415F0B" w:rsidRPr="005E5D86">
        <w:rPr>
          <w:rFonts w:ascii="Book Antiqua" w:hAnsi="Book Antiqua"/>
          <w:color w:val="000000" w:themeColor="text1"/>
          <w:shd w:val="clear" w:color="auto" w:fill="FFFFFF"/>
        </w:rPr>
        <w:t xml:space="preserve">he unadjusted </w:t>
      </w:r>
      <w:r w:rsidR="003A438F" w:rsidRPr="005E5D86">
        <w:rPr>
          <w:rFonts w:ascii="Book Antiqua" w:hAnsi="Book Antiqua"/>
          <w:color w:val="000000" w:themeColor="text1"/>
          <w:shd w:val="clear" w:color="auto" w:fill="FFFFFF"/>
        </w:rPr>
        <w:t xml:space="preserve">OR for MI in patients with NASH was </w:t>
      </w:r>
      <w:r w:rsidR="00424AC5" w:rsidRPr="005E5D86">
        <w:rPr>
          <w:rFonts w:ascii="Book Antiqua" w:hAnsi="Book Antiqua"/>
          <w:color w:val="000000" w:themeColor="text1"/>
          <w:shd w:val="clear" w:color="auto" w:fill="FFFFFF"/>
        </w:rPr>
        <w:t>10.66</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9.58</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10.94</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xml:space="preserve">. Hyperlipidemia was strongly associated with increased risk of MI OR </w:t>
      </w:r>
      <w:r w:rsidR="0071417E" w:rsidRPr="005E5D86">
        <w:rPr>
          <w:rFonts w:ascii="Book Antiqua" w:hAnsi="Book Antiqua"/>
          <w:color w:val="000000" w:themeColor="text1"/>
          <w:shd w:val="clear" w:color="auto" w:fill="FFFFFF"/>
        </w:rPr>
        <w:t>4</w:t>
      </w:r>
      <w:r w:rsidR="00415F0B" w:rsidRPr="005E5D86">
        <w:rPr>
          <w:rFonts w:ascii="Book Antiqua" w:hAnsi="Book Antiqua"/>
          <w:color w:val="000000" w:themeColor="text1"/>
          <w:shd w:val="clear" w:color="auto" w:fill="FFFFFF"/>
        </w:rPr>
        <w:t>0.</w:t>
      </w:r>
      <w:r w:rsidR="0071417E" w:rsidRPr="005E5D86">
        <w:rPr>
          <w:rFonts w:ascii="Book Antiqua" w:hAnsi="Book Antiqua"/>
          <w:color w:val="000000" w:themeColor="text1"/>
          <w:shd w:val="clear" w:color="auto" w:fill="FFFFFF"/>
        </w:rPr>
        <w:t>1</w:t>
      </w:r>
      <w:r w:rsidR="00415F0B" w:rsidRPr="005E5D86">
        <w:rPr>
          <w:rFonts w:ascii="Book Antiqua" w:hAnsi="Book Antiqua"/>
          <w:color w:val="000000" w:themeColor="text1"/>
          <w:shd w:val="clear" w:color="auto" w:fill="FFFFFF"/>
        </w:rPr>
        <w:t xml:space="preserve">3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39.47</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40.79</w:t>
      </w:r>
      <w:r w:rsidR="00415F0B" w:rsidRPr="005E5D86">
        <w:rPr>
          <w:rFonts w:ascii="Book Antiqua" w:hAnsi="Book Antiqua"/>
          <w:color w:val="000000" w:themeColor="text1"/>
          <w:shd w:val="clear" w:color="auto" w:fill="FFFFFF"/>
        </w:rPr>
        <w:t xml:space="preserve">), followed by hypertension OR </w:t>
      </w:r>
      <w:r w:rsidR="0071417E" w:rsidRPr="005E5D86">
        <w:rPr>
          <w:rFonts w:ascii="Book Antiqua" w:hAnsi="Book Antiqua"/>
          <w:color w:val="000000" w:themeColor="text1"/>
          <w:shd w:val="clear" w:color="auto" w:fill="FFFFFF"/>
        </w:rPr>
        <w:t>27.43</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27.00</w:t>
      </w:r>
      <w:r w:rsidR="00415F0B" w:rsidRPr="005E5D86">
        <w:rPr>
          <w:rFonts w:ascii="Book Antiqua" w:hAnsi="Book Antiqua"/>
          <w:color w:val="000000" w:themeColor="text1"/>
          <w:shd w:val="clear" w:color="auto" w:fill="FFFFFF"/>
        </w:rPr>
        <w:t>-7.</w:t>
      </w:r>
      <w:r w:rsidR="0071417E" w:rsidRPr="005E5D86">
        <w:rPr>
          <w:rFonts w:ascii="Book Antiqua" w:hAnsi="Book Antiqua"/>
          <w:color w:val="000000" w:themeColor="text1"/>
          <w:shd w:val="clear" w:color="auto" w:fill="FFFFFF"/>
        </w:rPr>
        <w:t>86</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xml:space="preserve"> and the male gender OR </w:t>
      </w:r>
      <w:r w:rsidR="0071417E" w:rsidRPr="005E5D86">
        <w:rPr>
          <w:rFonts w:ascii="Book Antiqua" w:hAnsi="Book Antiqua"/>
          <w:color w:val="000000" w:themeColor="text1"/>
          <w:shd w:val="clear" w:color="auto" w:fill="FFFFFF"/>
        </w:rPr>
        <w:t>17.61</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17.41</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17.81</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Diabetes, obesity, smoking and age</w:t>
      </w:r>
      <w:r w:rsidR="00BF082F" w:rsidRPr="005E5D86">
        <w:rPr>
          <w:rFonts w:ascii="Book Antiqua" w:hAnsi="Book Antiqua"/>
          <w:color w:val="000000" w:themeColor="text1"/>
          <w:shd w:val="clear" w:color="auto" w:fill="FFFFFF"/>
        </w:rPr>
        <w:t xml:space="preserve"> above </w:t>
      </w:r>
      <w:r w:rsidR="00415F0B" w:rsidRPr="005E5D86">
        <w:rPr>
          <w:rFonts w:ascii="Book Antiqua" w:hAnsi="Book Antiqua"/>
          <w:color w:val="000000" w:themeColor="text1"/>
          <w:shd w:val="clear" w:color="auto" w:fill="FFFFFF"/>
        </w:rPr>
        <w:t>65</w:t>
      </w:r>
      <w:r w:rsidR="00BF082F" w:rsidRPr="005E5D86">
        <w:rPr>
          <w:rFonts w:ascii="Book Antiqua" w:hAnsi="Book Antiqua"/>
          <w:color w:val="000000" w:themeColor="text1"/>
          <w:shd w:val="clear" w:color="auto" w:fill="FFFFFF"/>
        </w:rPr>
        <w:t xml:space="preserve"> years</w:t>
      </w:r>
      <w:r w:rsidR="00DA0787" w:rsidRPr="005E5D86">
        <w:rPr>
          <w:rFonts w:ascii="Book Antiqua" w:hAnsi="Book Antiqua"/>
          <w:color w:val="000000" w:themeColor="text1"/>
          <w:shd w:val="clear" w:color="auto" w:fill="FFFFFF"/>
        </w:rPr>
        <w:t xml:space="preserve"> had slightly lower association with MI than NASH</w:t>
      </w:r>
      <w:r w:rsidR="00BF082F" w:rsidRPr="005E5D86">
        <w:rPr>
          <w:rFonts w:ascii="Book Antiqua" w:hAnsi="Book Antiqua"/>
          <w:color w:val="000000" w:themeColor="text1"/>
          <w:shd w:val="clear" w:color="auto" w:fill="FFFFFF"/>
        </w:rPr>
        <w:t xml:space="preserve"> </w:t>
      </w:r>
      <w:r w:rsidR="00DA0787" w:rsidRPr="005E5D86">
        <w:rPr>
          <w:rFonts w:ascii="Book Antiqua" w:hAnsi="Book Antiqua"/>
          <w:color w:val="000000" w:themeColor="text1"/>
          <w:shd w:val="clear" w:color="auto" w:fill="FFFFFF"/>
        </w:rPr>
        <w:t xml:space="preserve">OR </w:t>
      </w:r>
      <w:r w:rsidR="0071417E" w:rsidRPr="005E5D86">
        <w:rPr>
          <w:rFonts w:ascii="Book Antiqua" w:hAnsi="Book Antiqua"/>
          <w:color w:val="000000" w:themeColor="text1"/>
          <w:shd w:val="clear" w:color="auto" w:fill="FFFFFF"/>
        </w:rPr>
        <w:t>12.57</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12.44</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12.71</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w:t>
      </w:r>
      <w:r w:rsidR="0071417E" w:rsidRPr="005E5D86">
        <w:rPr>
          <w:rFonts w:ascii="Book Antiqua" w:hAnsi="Book Antiqua"/>
          <w:color w:val="000000" w:themeColor="text1"/>
          <w:shd w:val="clear" w:color="auto" w:fill="FFFFFF"/>
        </w:rPr>
        <w:t>8.19</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8</w:t>
      </w:r>
      <w:r w:rsidR="00DA0787" w:rsidRPr="005E5D86">
        <w:rPr>
          <w:rFonts w:ascii="Book Antiqua" w:hAnsi="Book Antiqua"/>
          <w:color w:val="000000" w:themeColor="text1"/>
          <w:shd w:val="clear" w:color="auto" w:fill="FFFFFF"/>
        </w:rPr>
        <w:t>.0</w:t>
      </w:r>
      <w:r w:rsidR="0071417E" w:rsidRPr="005E5D86">
        <w:rPr>
          <w:rFonts w:ascii="Book Antiqua" w:hAnsi="Book Antiqua"/>
          <w:color w:val="000000" w:themeColor="text1"/>
          <w:shd w:val="clear" w:color="auto" w:fill="FFFFFF"/>
        </w:rPr>
        <w:t>9</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8</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28</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w:t>
      </w:r>
      <w:r w:rsidR="0071417E" w:rsidRPr="005E5D86">
        <w:rPr>
          <w:rFonts w:ascii="Book Antiqua" w:hAnsi="Book Antiqua"/>
          <w:color w:val="000000" w:themeColor="text1"/>
          <w:shd w:val="clear" w:color="auto" w:fill="FFFFFF"/>
        </w:rPr>
        <w:t>6</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71</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6.64</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6.79</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and </w:t>
      </w:r>
      <w:r w:rsidR="0071417E" w:rsidRPr="005E5D86">
        <w:rPr>
          <w:rFonts w:ascii="Book Antiqua" w:hAnsi="Book Antiqua"/>
          <w:color w:val="000000" w:themeColor="text1"/>
          <w:shd w:val="clear" w:color="auto" w:fill="FFFFFF"/>
        </w:rPr>
        <w:t>4.97</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4.92</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5.03</w:t>
      </w:r>
      <w:r w:rsidR="00DA0787" w:rsidRPr="005E5D86">
        <w:rPr>
          <w:rFonts w:ascii="Book Antiqua" w:hAnsi="Book Antiqua"/>
          <w:color w:val="000000" w:themeColor="text1"/>
          <w:shd w:val="clear" w:color="auto" w:fill="FFFFFF"/>
        </w:rPr>
        <w:t>), respectively</w:t>
      </w:r>
      <w:r w:rsidR="001432A2" w:rsidRPr="005E5D86">
        <w:rPr>
          <w:rFonts w:ascii="Book Antiqua" w:hAnsi="Book Antiqua"/>
          <w:color w:val="000000" w:themeColor="text1"/>
          <w:shd w:val="clear" w:color="auto" w:fill="FFFFFF"/>
        </w:rPr>
        <w:t xml:space="preserve"> (Table </w:t>
      </w:r>
      <w:r w:rsidR="00365CD4" w:rsidRPr="005E5D86">
        <w:rPr>
          <w:rFonts w:ascii="Book Antiqua" w:hAnsi="Book Antiqua"/>
          <w:color w:val="000000" w:themeColor="text1"/>
          <w:shd w:val="clear" w:color="auto" w:fill="FFFFFF"/>
        </w:rPr>
        <w:t>2).</w:t>
      </w:r>
    </w:p>
    <w:p w:rsidR="00CF77EB" w:rsidRDefault="00CD4228"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lastRenderedPageBreak/>
        <w:t>Compared to the older NASH population, the younger NASH population had a higher</w:t>
      </w:r>
      <w:r w:rsidR="00672218" w:rsidRPr="005E5D86">
        <w:rPr>
          <w:rFonts w:ascii="Book Antiqua" w:hAnsi="Book Antiqua"/>
          <w:color w:val="000000" w:themeColor="text1"/>
          <w:shd w:val="clear" w:color="auto" w:fill="FFFFFF"/>
        </w:rPr>
        <w:t xml:space="preserve"> </w:t>
      </w:r>
      <w:r w:rsidR="00A77A62" w:rsidRPr="005E5D86">
        <w:rPr>
          <w:rFonts w:ascii="Book Antiqua" w:hAnsi="Book Antiqua"/>
          <w:color w:val="000000" w:themeColor="text1"/>
          <w:shd w:val="clear" w:color="auto" w:fill="FFFFFF"/>
        </w:rPr>
        <w:t xml:space="preserve">relative </w:t>
      </w:r>
      <w:r w:rsidRPr="005E5D86">
        <w:rPr>
          <w:rFonts w:ascii="Book Antiqua" w:hAnsi="Book Antiqua"/>
          <w:color w:val="000000" w:themeColor="text1"/>
          <w:shd w:val="clear" w:color="auto" w:fill="FFFFFF"/>
        </w:rPr>
        <w:t>risk of MI</w:t>
      </w:r>
      <w:r w:rsidR="004542F1" w:rsidRPr="005E5D86">
        <w:rPr>
          <w:rFonts w:ascii="Book Antiqua" w:hAnsi="Book Antiqua"/>
          <w:color w:val="000000" w:themeColor="text1"/>
          <w:shd w:val="clear" w:color="auto" w:fill="FFFFFF"/>
        </w:rPr>
        <w:t xml:space="preserve">. The </w:t>
      </w:r>
      <w:r w:rsidR="00A77A62" w:rsidRPr="005E5D86">
        <w:rPr>
          <w:rFonts w:ascii="Book Antiqua" w:hAnsi="Book Antiqua"/>
          <w:color w:val="000000" w:themeColor="text1"/>
          <w:shd w:val="clear" w:color="auto" w:fill="FFFFFF"/>
        </w:rPr>
        <w:t xml:space="preserve">relative </w:t>
      </w:r>
      <w:r w:rsidR="004542F1" w:rsidRPr="005E5D86">
        <w:rPr>
          <w:rFonts w:ascii="Book Antiqua" w:hAnsi="Book Antiqua"/>
          <w:color w:val="000000" w:themeColor="text1"/>
          <w:shd w:val="clear" w:color="auto" w:fill="FFFFFF"/>
        </w:rPr>
        <w:t xml:space="preserve">risk </w:t>
      </w:r>
      <w:r w:rsidR="00A77A62" w:rsidRPr="005E5D86">
        <w:rPr>
          <w:rFonts w:ascii="Book Antiqua" w:hAnsi="Book Antiqua"/>
          <w:color w:val="000000" w:themeColor="text1"/>
          <w:shd w:val="clear" w:color="auto" w:fill="FFFFFF"/>
        </w:rPr>
        <w:t xml:space="preserve">of MI </w:t>
      </w:r>
      <w:r w:rsidR="004542F1" w:rsidRPr="005E5D86">
        <w:rPr>
          <w:rFonts w:ascii="Book Antiqua" w:hAnsi="Book Antiqua"/>
          <w:color w:val="000000" w:themeColor="text1"/>
          <w:shd w:val="clear" w:color="auto" w:fill="FFFFFF"/>
        </w:rPr>
        <w:t xml:space="preserve">decreased with </w:t>
      </w:r>
      <w:r w:rsidR="00A77A62" w:rsidRPr="005E5D86">
        <w:rPr>
          <w:rFonts w:ascii="Book Antiqua" w:hAnsi="Book Antiqua"/>
          <w:color w:val="000000" w:themeColor="text1"/>
          <w:shd w:val="clear" w:color="auto" w:fill="FFFFFF"/>
        </w:rPr>
        <w:t>older age</w:t>
      </w:r>
      <w:r w:rsidR="00107F0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40-4</w:t>
      </w:r>
      <w:r w:rsidR="00842F58" w:rsidRPr="005E5D86">
        <w:rPr>
          <w:rFonts w:ascii="Book Antiqua" w:hAnsi="Book Antiqua"/>
          <w:color w:val="000000" w:themeColor="text1"/>
          <w:shd w:val="clear" w:color="auto" w:fill="FFFFFF"/>
        </w:rPr>
        <w:t>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1</w:t>
      </w:r>
      <w:r w:rsidR="00842F58" w:rsidRPr="005E5D86">
        <w:rPr>
          <w:rFonts w:ascii="Book Antiqua" w:hAnsi="Book Antiqua"/>
          <w:color w:val="000000" w:themeColor="text1"/>
          <w:shd w:val="clear" w:color="auto" w:fill="FFFFFF"/>
        </w:rPr>
        <w:t>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1</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50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w:t>
      </w:r>
      <w:r w:rsidR="00DA20DE" w:rsidRPr="005E5D86">
        <w:rPr>
          <w:rFonts w:ascii="Book Antiqua" w:hAnsi="Book Antiqua"/>
          <w:color w:val="000000" w:themeColor="text1"/>
          <w:shd w:val="clear" w:color="auto" w:fill="FFFFFF"/>
        </w:rPr>
        <w:t xml:space="preserve">9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7.7</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6</w:t>
      </w:r>
      <w:r w:rsidR="00DA20DE" w:rsidRPr="005E5D86">
        <w:rPr>
          <w:rFonts w:ascii="Book Antiqua" w:hAnsi="Book Antiqua"/>
          <w:color w:val="000000" w:themeColor="text1"/>
          <w:shd w:val="clear" w:color="auto" w:fill="FFFFFF"/>
        </w:rPr>
        <w:t>0-</w:t>
      </w:r>
      <w:r w:rsidR="00842F58" w:rsidRPr="005E5D86">
        <w:rPr>
          <w:rFonts w:ascii="Book Antiqua" w:hAnsi="Book Antiqua"/>
          <w:color w:val="000000" w:themeColor="text1"/>
          <w:shd w:val="clear" w:color="auto" w:fill="FFFFFF"/>
        </w:rPr>
        <w:t>69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w:t>
      </w:r>
      <w:r w:rsidR="004542F1" w:rsidRPr="005E5D86">
        <w:rPr>
          <w:rFonts w:ascii="Book Antiqua" w:hAnsi="Book Antiqua"/>
          <w:color w:val="000000" w:themeColor="text1"/>
          <w:shd w:val="clear" w:color="auto" w:fill="FFFFFF"/>
        </w:rPr>
        <w:t>5</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70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79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5.2</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w:t>
      </w:r>
      <w:r w:rsidR="009426F2" w:rsidRPr="005E5D86">
        <w:rPr>
          <w:rFonts w:ascii="Book Antiqua" w:hAnsi="Book Antiqua"/>
          <w:color w:val="000000" w:themeColor="text1"/>
          <w:shd w:val="clear" w:color="auto" w:fill="FFFFFF"/>
        </w:rPr>
        <w:t>0</w:t>
      </w:r>
      <w:r w:rsidR="00DA20DE" w:rsidRPr="005E5D86">
        <w:rPr>
          <w:rFonts w:ascii="Book Antiqua" w:hAnsi="Book Antiqua"/>
          <w:color w:val="000000" w:themeColor="text1"/>
          <w:shd w:val="clear" w:color="auto" w:fill="FFFFFF"/>
        </w:rPr>
        <w:t>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and </w:t>
      </w:r>
      <w:r w:rsidR="00575CFD" w:rsidRPr="005E5D86">
        <w:rPr>
          <w:rFonts w:ascii="Book Antiqua" w:hAnsi="Book Antiqua"/>
          <w:color w:val="000000" w:themeColor="text1"/>
          <w:shd w:val="clear" w:color="auto" w:fill="FFFFFF"/>
        </w:rPr>
        <w:t>age above 80</w:t>
      </w:r>
      <w:r w:rsidR="00DA20DE" w:rsidRPr="005E5D86">
        <w:rPr>
          <w:rFonts w:ascii="Book Antiqua" w:hAnsi="Book Antiqua"/>
          <w:color w:val="000000" w:themeColor="text1"/>
          <w:shd w:val="clear" w:color="auto" w:fill="FFFFFF"/>
        </w:rPr>
        <w:t xml:space="preserve"> </w:t>
      </w:r>
      <w:r w:rsidR="00A77A62" w:rsidRPr="005E5D86">
        <w:rPr>
          <w:rFonts w:ascii="Book Antiqua" w:hAnsi="Book Antiqua"/>
          <w:color w:val="000000" w:themeColor="text1"/>
          <w:shd w:val="clear" w:color="auto" w:fill="FFFFFF"/>
        </w:rPr>
        <w:t xml:space="preserve">years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5.1</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EB7737" w:rsidRPr="005E5D86">
        <w:rPr>
          <w:rFonts w:ascii="Book Antiqua" w:hAnsi="Book Antiqua"/>
          <w:color w:val="000000" w:themeColor="text1"/>
          <w:shd w:val="clear" w:color="auto" w:fill="FFFFFF"/>
        </w:rPr>
        <w:t xml:space="preserve"> </w:t>
      </w:r>
      <w:r w:rsidR="007159ED"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Figure 1</w:t>
      </w:r>
      <w:r w:rsidR="00365CD4" w:rsidRPr="005E5D86">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p>
    <w:p w:rsidR="00E94234" w:rsidRPr="005E5D86" w:rsidRDefault="00187C03"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Gender differences </w:t>
      </w:r>
      <w:r w:rsidR="00A5711A" w:rsidRPr="005E5D86">
        <w:rPr>
          <w:rFonts w:ascii="Book Antiqua" w:hAnsi="Book Antiqua"/>
          <w:color w:val="000000" w:themeColor="text1"/>
          <w:shd w:val="clear" w:color="auto" w:fill="FFFFFF"/>
        </w:rPr>
        <w:t>in</w:t>
      </w:r>
      <w:r w:rsidR="001C3470" w:rsidRPr="005E5D86">
        <w:rPr>
          <w:rFonts w:ascii="Book Antiqua" w:hAnsi="Book Antiqua"/>
          <w:color w:val="000000" w:themeColor="text1"/>
          <w:shd w:val="clear" w:color="auto" w:fill="FFFFFF"/>
        </w:rPr>
        <w:t xml:space="preserve"> NASH </w:t>
      </w:r>
      <w:r w:rsidR="005A0862" w:rsidRPr="005E5D86">
        <w:rPr>
          <w:rFonts w:ascii="Book Antiqua" w:hAnsi="Book Antiqua"/>
          <w:color w:val="000000" w:themeColor="text1"/>
          <w:shd w:val="clear" w:color="auto" w:fill="FFFFFF"/>
        </w:rPr>
        <w:t>contributed</w:t>
      </w:r>
      <w:r w:rsidRPr="005E5D86">
        <w:rPr>
          <w:rFonts w:ascii="Book Antiqua" w:hAnsi="Book Antiqua"/>
          <w:color w:val="000000" w:themeColor="text1"/>
          <w:shd w:val="clear" w:color="auto" w:fill="FFFFFF"/>
        </w:rPr>
        <w:t xml:space="preserve"> to the</w:t>
      </w:r>
      <w:r w:rsidR="009874D4" w:rsidRPr="005E5D86">
        <w:rPr>
          <w:rFonts w:ascii="Book Antiqua" w:hAnsi="Book Antiqua"/>
          <w:color w:val="000000" w:themeColor="text1"/>
          <w:shd w:val="clear" w:color="auto" w:fill="FFFFFF"/>
        </w:rPr>
        <w:t xml:space="preserve"> </w:t>
      </w:r>
      <w:r w:rsidR="005A0862" w:rsidRPr="005E5D86">
        <w:rPr>
          <w:rFonts w:ascii="Book Antiqua" w:hAnsi="Book Antiqua"/>
          <w:color w:val="000000" w:themeColor="text1"/>
          <w:shd w:val="clear" w:color="auto" w:fill="FFFFFF"/>
        </w:rPr>
        <w:t>disparities</w:t>
      </w:r>
      <w:r w:rsidR="009874D4" w:rsidRPr="005E5D86">
        <w:rPr>
          <w:rFonts w:ascii="Book Antiqua" w:hAnsi="Book Antiqua"/>
          <w:color w:val="000000" w:themeColor="text1"/>
          <w:shd w:val="clear" w:color="auto" w:fill="FFFFFF"/>
        </w:rPr>
        <w:t xml:space="preserve"> observed in the</w:t>
      </w:r>
      <w:r w:rsidR="00A5711A"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 xml:space="preserve">relative </w:t>
      </w:r>
      <w:r w:rsidR="00A5711A" w:rsidRPr="005E5D86">
        <w:rPr>
          <w:rFonts w:ascii="Book Antiqua" w:hAnsi="Book Antiqua"/>
          <w:color w:val="000000" w:themeColor="text1"/>
          <w:shd w:val="clear" w:color="auto" w:fill="FFFFFF"/>
        </w:rPr>
        <w:t>risk of</w:t>
      </w:r>
      <w:r w:rsidRPr="005E5D86">
        <w:rPr>
          <w:rFonts w:ascii="Book Antiqua" w:hAnsi="Book Antiqua"/>
          <w:color w:val="000000" w:themeColor="text1"/>
          <w:shd w:val="clear" w:color="auto" w:fill="FFFFFF"/>
        </w:rPr>
        <w:t xml:space="preserve"> M</w:t>
      </w:r>
      <w:r w:rsidR="004542F1" w:rsidRPr="005E5D86">
        <w:rPr>
          <w:rFonts w:ascii="Book Antiqua" w:hAnsi="Book Antiqua"/>
          <w:color w:val="000000" w:themeColor="text1"/>
          <w:shd w:val="clear" w:color="auto" w:fill="FFFFFF"/>
        </w:rPr>
        <w:t>I</w:t>
      </w:r>
      <w:r w:rsidR="00714715" w:rsidRPr="005E5D86">
        <w:rPr>
          <w:rFonts w:ascii="Book Antiqua" w:hAnsi="Book Antiqua"/>
          <w:color w:val="000000" w:themeColor="text1"/>
          <w:shd w:val="clear" w:color="auto" w:fill="FFFFFF"/>
        </w:rPr>
        <w:t xml:space="preserve"> among </w:t>
      </w:r>
      <w:r w:rsidR="005A0862" w:rsidRPr="005E5D86">
        <w:rPr>
          <w:rFonts w:ascii="Book Antiqua" w:hAnsi="Book Antiqua"/>
          <w:color w:val="000000" w:themeColor="text1"/>
          <w:shd w:val="clear" w:color="auto" w:fill="FFFFFF"/>
        </w:rPr>
        <w:t xml:space="preserve">each </w:t>
      </w:r>
      <w:r w:rsidR="00714715" w:rsidRPr="005E5D86">
        <w:rPr>
          <w:rFonts w:ascii="Book Antiqua" w:hAnsi="Book Antiqua"/>
          <w:color w:val="000000" w:themeColor="text1"/>
          <w:shd w:val="clear" w:color="auto" w:fill="FFFFFF"/>
        </w:rPr>
        <w:t>age group</w:t>
      </w:r>
      <w:r w:rsidR="00842F58" w:rsidRPr="005E5D86">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 </w:t>
      </w:r>
      <w:r w:rsidR="00714715" w:rsidRPr="005E5D86">
        <w:rPr>
          <w:rFonts w:ascii="Book Antiqua" w:hAnsi="Book Antiqua"/>
          <w:color w:val="000000" w:themeColor="text1"/>
          <w:shd w:val="clear" w:color="auto" w:fill="FFFFFF"/>
        </w:rPr>
        <w:t>With</w:t>
      </w:r>
      <w:r w:rsidR="00A77A62" w:rsidRPr="005E5D86">
        <w:rPr>
          <w:rFonts w:ascii="Book Antiqua" w:hAnsi="Book Antiqua"/>
          <w:color w:val="000000" w:themeColor="text1"/>
          <w:shd w:val="clear" w:color="auto" w:fill="FFFFFF"/>
        </w:rPr>
        <w:t>in</w:t>
      </w:r>
      <w:r w:rsidR="00A5711A" w:rsidRPr="005E5D86">
        <w:rPr>
          <w:rFonts w:ascii="Book Antiqua" w:hAnsi="Book Antiqua"/>
          <w:color w:val="000000" w:themeColor="text1"/>
          <w:shd w:val="clear" w:color="auto" w:fill="FFFFFF"/>
        </w:rPr>
        <w:t xml:space="preserve"> </w:t>
      </w:r>
      <w:r w:rsidR="001C3470" w:rsidRPr="005E5D86">
        <w:rPr>
          <w:rFonts w:ascii="Book Antiqua" w:hAnsi="Book Antiqua"/>
          <w:color w:val="000000" w:themeColor="text1"/>
          <w:shd w:val="clear" w:color="auto" w:fill="FFFFFF"/>
        </w:rPr>
        <w:t xml:space="preserve">the </w:t>
      </w:r>
      <w:r w:rsidR="00A5711A" w:rsidRPr="005E5D86">
        <w:rPr>
          <w:rFonts w:ascii="Book Antiqua" w:hAnsi="Book Antiqua"/>
          <w:color w:val="000000" w:themeColor="text1"/>
          <w:shd w:val="clear" w:color="auto" w:fill="FFFFFF"/>
        </w:rPr>
        <w:t xml:space="preserve">40-49 </w:t>
      </w:r>
      <w:r w:rsidR="00A77A62" w:rsidRPr="005E5D86">
        <w:rPr>
          <w:rFonts w:ascii="Book Antiqua" w:hAnsi="Book Antiqua"/>
          <w:color w:val="000000" w:themeColor="text1"/>
          <w:shd w:val="clear" w:color="auto" w:fill="FFFFFF"/>
        </w:rPr>
        <w:t xml:space="preserve">years </w:t>
      </w:r>
      <w:r w:rsidR="00A5711A" w:rsidRPr="005E5D86">
        <w:rPr>
          <w:rFonts w:ascii="Book Antiqua" w:hAnsi="Book Antiqua"/>
          <w:color w:val="000000" w:themeColor="text1"/>
          <w:shd w:val="clear" w:color="auto" w:fill="FFFFFF"/>
        </w:rPr>
        <w:t xml:space="preserve">group, females had </w:t>
      </w:r>
      <w:r w:rsidR="001C3470" w:rsidRPr="005E5D86">
        <w:rPr>
          <w:rFonts w:ascii="Book Antiqua" w:hAnsi="Book Antiqua"/>
          <w:color w:val="000000" w:themeColor="text1"/>
          <w:shd w:val="clear" w:color="auto" w:fill="FFFFFF"/>
        </w:rPr>
        <w:t>a higher</w:t>
      </w:r>
      <w:r w:rsidR="00A5711A" w:rsidRPr="005E5D86">
        <w:rPr>
          <w:rFonts w:ascii="Book Antiqua" w:hAnsi="Book Antiqua"/>
          <w:color w:val="000000" w:themeColor="text1"/>
          <w:shd w:val="clear" w:color="auto" w:fill="FFFFFF"/>
        </w:rPr>
        <w:t xml:space="preserve"> risk of MI </w:t>
      </w:r>
      <w:r w:rsidR="00B15911" w:rsidRPr="005E5D86">
        <w:rPr>
          <w:rFonts w:ascii="Book Antiqua" w:hAnsi="Book Antiqua"/>
          <w:color w:val="000000" w:themeColor="text1"/>
          <w:shd w:val="clear" w:color="auto" w:fill="FFFFFF"/>
        </w:rPr>
        <w:t xml:space="preserve">compared to their male counterparts </w:t>
      </w:r>
      <w:r w:rsidR="00A5711A" w:rsidRPr="005E5D86">
        <w:rPr>
          <w:rFonts w:ascii="Book Antiqua" w:hAnsi="Book Antiqua"/>
          <w:color w:val="000000" w:themeColor="text1"/>
          <w:shd w:val="clear" w:color="auto" w:fill="FFFFFF"/>
        </w:rPr>
        <w:t xml:space="preserve">(15.8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6.3</w:t>
      </w:r>
      <w:r w:rsidR="00B15911" w:rsidRPr="005E5D86">
        <w:rPr>
          <w:rFonts w:ascii="Book Antiqua" w:hAnsi="Book Antiqua"/>
          <w:color w:val="000000" w:themeColor="text1"/>
          <w:shd w:val="clear" w:color="auto" w:fill="FFFFFF"/>
        </w:rPr>
        <w:t>,</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A5711A"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A5711A" w:rsidRPr="005E5D86">
        <w:rPr>
          <w:rFonts w:ascii="Book Antiqua" w:hAnsi="Book Antiqua"/>
          <w:color w:val="000000" w:themeColor="text1"/>
          <w:shd w:val="clear" w:color="auto" w:fill="FFFFFF"/>
        </w:rPr>
        <w:t>0.0001</w:t>
      </w:r>
      <w:r w:rsidR="001C3470" w:rsidRPr="005E5D86">
        <w:rPr>
          <w:rFonts w:ascii="Book Antiqua" w:hAnsi="Book Antiqua"/>
          <w:color w:val="000000" w:themeColor="text1"/>
          <w:shd w:val="clear" w:color="auto" w:fill="FFFFFF"/>
        </w:rPr>
        <w:t>)</w:t>
      </w:r>
      <w:r w:rsidR="00921F77" w:rsidRPr="005E5D86">
        <w:rPr>
          <w:rFonts w:ascii="Book Antiqua" w:hAnsi="Book Antiqua"/>
          <w:color w:val="000000" w:themeColor="text1"/>
          <w:shd w:val="clear" w:color="auto" w:fill="FFFFFF"/>
        </w:rPr>
        <w:t>.</w:t>
      </w:r>
    </w:p>
    <w:p w:rsidR="00BC5123" w:rsidRPr="005E5D86" w:rsidRDefault="00E94234"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Compared to the younger NASH female</w:t>
      </w:r>
      <w:r w:rsidR="003C6054" w:rsidRPr="005E5D86">
        <w:rPr>
          <w:rFonts w:ascii="Book Antiqua" w:hAnsi="Book Antiqua"/>
          <w:color w:val="000000" w:themeColor="text1"/>
          <w:shd w:val="clear" w:color="auto" w:fill="FFFFFF"/>
        </w:rPr>
        <w:t>s</w:t>
      </w:r>
      <w:r w:rsidRPr="005E5D86">
        <w:rPr>
          <w:rFonts w:ascii="Book Antiqua" w:hAnsi="Book Antiqua"/>
          <w:color w:val="000000" w:themeColor="text1"/>
          <w:shd w:val="clear" w:color="auto" w:fill="FFFFFF"/>
        </w:rPr>
        <w:t xml:space="preserve">, the older </w:t>
      </w:r>
      <w:r w:rsidR="003C6054" w:rsidRPr="005E5D86">
        <w:rPr>
          <w:rFonts w:ascii="Book Antiqua" w:hAnsi="Book Antiqua"/>
          <w:color w:val="000000" w:themeColor="text1"/>
          <w:shd w:val="clear" w:color="auto" w:fill="FFFFFF"/>
        </w:rPr>
        <w:t>group</w:t>
      </w:r>
      <w:r w:rsidRPr="005E5D86">
        <w:rPr>
          <w:rFonts w:ascii="Book Antiqua" w:hAnsi="Book Antiqua"/>
          <w:color w:val="000000" w:themeColor="text1"/>
          <w:shd w:val="clear" w:color="auto" w:fill="FFFFFF"/>
        </w:rPr>
        <w:t xml:space="preserve"> had a lower relative risk of MI</w:t>
      </w:r>
      <w:r w:rsidR="003C6054" w:rsidRPr="005E5D86">
        <w:rPr>
          <w:rFonts w:ascii="Book Antiqua" w:hAnsi="Book Antiqua"/>
          <w:color w:val="000000" w:themeColor="text1"/>
          <w:shd w:val="clear" w:color="auto" w:fill="FFFFFF"/>
        </w:rPr>
        <w:t xml:space="preserve">; while </w:t>
      </w:r>
      <w:r w:rsidRPr="005E5D86">
        <w:rPr>
          <w:rFonts w:ascii="Book Antiqua" w:hAnsi="Book Antiqua"/>
          <w:color w:val="000000" w:themeColor="text1"/>
          <w:shd w:val="clear" w:color="auto" w:fill="FFFFFF"/>
        </w:rPr>
        <w:t>m</w:t>
      </w:r>
      <w:r w:rsidR="00A5711A" w:rsidRPr="005E5D86">
        <w:rPr>
          <w:rFonts w:ascii="Book Antiqua" w:hAnsi="Book Antiqua"/>
          <w:color w:val="000000" w:themeColor="text1"/>
          <w:shd w:val="clear" w:color="auto" w:fill="FFFFFF"/>
        </w:rPr>
        <w:t>ales</w:t>
      </w:r>
      <w:r w:rsidRPr="005E5D86">
        <w:rPr>
          <w:rFonts w:ascii="Book Antiqua" w:hAnsi="Book Antiqua"/>
          <w:color w:val="000000" w:themeColor="text1"/>
          <w:shd w:val="clear" w:color="auto" w:fill="FFFFFF"/>
        </w:rPr>
        <w:t xml:space="preserve"> with NASH</w:t>
      </w:r>
      <w:r w:rsidR="00A5711A" w:rsidRPr="005E5D86">
        <w:rPr>
          <w:rFonts w:ascii="Book Antiqua" w:hAnsi="Book Antiqua"/>
          <w:color w:val="000000" w:themeColor="text1"/>
          <w:shd w:val="clear" w:color="auto" w:fill="FFFFFF"/>
        </w:rPr>
        <w:t xml:space="preserve"> maintained a </w:t>
      </w:r>
      <w:r w:rsidR="001C3470" w:rsidRPr="005E5D86">
        <w:rPr>
          <w:rFonts w:ascii="Book Antiqua" w:hAnsi="Book Antiqua"/>
          <w:color w:val="000000" w:themeColor="text1"/>
          <w:shd w:val="clear" w:color="auto" w:fill="FFFFFF"/>
        </w:rPr>
        <w:t xml:space="preserve">relatively </w:t>
      </w:r>
      <w:r w:rsidR="00A5711A" w:rsidRPr="005E5D86">
        <w:rPr>
          <w:rFonts w:ascii="Book Antiqua" w:hAnsi="Book Antiqua"/>
          <w:color w:val="000000" w:themeColor="text1"/>
          <w:shd w:val="clear" w:color="auto" w:fill="FFFFFF"/>
        </w:rPr>
        <w:t xml:space="preserve">more </w:t>
      </w:r>
      <w:r w:rsidR="001C3470" w:rsidRPr="005E5D86">
        <w:rPr>
          <w:rFonts w:ascii="Book Antiqua" w:hAnsi="Book Antiqua"/>
          <w:color w:val="000000" w:themeColor="text1"/>
          <w:shd w:val="clear" w:color="auto" w:fill="FFFFFF"/>
        </w:rPr>
        <w:t>stable</w:t>
      </w:r>
      <w:r w:rsidR="00A5711A" w:rsidRPr="005E5D86">
        <w:rPr>
          <w:rFonts w:ascii="Book Antiqua" w:hAnsi="Book Antiqua"/>
          <w:color w:val="000000" w:themeColor="text1"/>
          <w:shd w:val="clear" w:color="auto" w:fill="FFFFFF"/>
        </w:rPr>
        <w:t xml:space="preserve"> </w:t>
      </w:r>
      <w:r w:rsidR="003C6054" w:rsidRPr="005E5D86">
        <w:rPr>
          <w:rFonts w:ascii="Book Antiqua" w:hAnsi="Book Antiqua"/>
          <w:color w:val="000000" w:themeColor="text1"/>
          <w:shd w:val="clear" w:color="auto" w:fill="FFFFFF"/>
        </w:rPr>
        <w:t xml:space="preserve">relative </w:t>
      </w:r>
      <w:r w:rsidR="00A5711A" w:rsidRPr="005E5D86">
        <w:rPr>
          <w:rFonts w:ascii="Book Antiqua" w:hAnsi="Book Antiqua"/>
          <w:color w:val="000000" w:themeColor="text1"/>
          <w:shd w:val="clear" w:color="auto" w:fill="FFFFFF"/>
        </w:rPr>
        <w:t>risk of MI throughout their lifetime</w:t>
      </w:r>
      <w:r w:rsidR="001C3470"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age 50-59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11.6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5.4</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age 60-69</w:t>
      </w:r>
      <w:r w:rsidR="004542F1"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7.1</w:t>
      </w:r>
      <w:r w:rsidR="004542F1" w:rsidRPr="005E5D86">
        <w:rPr>
          <w:rFonts w:ascii="Book Antiqua" w:hAnsi="Book Antiqua"/>
          <w:color w:val="000000" w:themeColor="text1"/>
          <w:shd w:val="clear" w:color="auto" w:fill="FFFFFF"/>
        </w:rPr>
        <w:t xml:space="preserve">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4.8</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 </w:t>
      </w:r>
      <w:r w:rsidR="00575CFD" w:rsidRPr="005E5D86">
        <w:rPr>
          <w:rFonts w:ascii="Book Antiqua" w:hAnsi="Book Antiqua"/>
          <w:color w:val="000000" w:themeColor="text1"/>
          <w:shd w:val="clear" w:color="auto" w:fill="FFFFFF"/>
        </w:rPr>
        <w:t xml:space="preserve">age 70-79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5.1</w:t>
      </w:r>
      <w:r w:rsidR="004542F1" w:rsidRPr="005E5D86">
        <w:rPr>
          <w:rFonts w:ascii="Book Antiqua" w:hAnsi="Book Antiqua"/>
          <w:color w:val="000000" w:themeColor="text1"/>
          <w:shd w:val="clear" w:color="auto" w:fill="FFFFFF"/>
        </w:rPr>
        <w:t xml:space="preserve"> </w:t>
      </w:r>
      <w:r w:rsidR="00A5711A" w:rsidRPr="005E5D86">
        <w:rPr>
          <w:rFonts w:ascii="Book Antiqua" w:hAnsi="Book Antiqua"/>
          <w:i/>
          <w:iCs/>
          <w:color w:val="000000" w:themeColor="text1"/>
          <w:shd w:val="clear" w:color="auto" w:fill="FFFFFF"/>
        </w:rPr>
        <w:t>v</w:t>
      </w:r>
      <w:r w:rsidR="006513F0" w:rsidRPr="005E5D86">
        <w:rPr>
          <w:rFonts w:ascii="Book Antiqua" w:hAnsi="Book Antiqua"/>
          <w:i/>
          <w:iCs/>
          <w:color w:val="000000" w:themeColor="text1"/>
          <w:shd w:val="clear" w:color="auto" w:fill="FFFFFF"/>
        </w:rPr>
        <w:t>s</w:t>
      </w:r>
      <w:r w:rsidR="00A5711A" w:rsidRPr="005E5D86">
        <w:rPr>
          <w:rFonts w:ascii="Book Antiqua" w:hAnsi="Book Antiqua"/>
          <w:i/>
          <w:iCs/>
          <w:color w:val="000000" w:themeColor="text1"/>
          <w:shd w:val="clear" w:color="auto" w:fill="FFFFFF"/>
        </w:rPr>
        <w:t xml:space="preserve"> </w:t>
      </w:r>
      <w:r w:rsidR="00A5711A" w:rsidRPr="005E5D86">
        <w:rPr>
          <w:rFonts w:ascii="Book Antiqua" w:hAnsi="Book Antiqua"/>
          <w:color w:val="000000" w:themeColor="text1"/>
          <w:shd w:val="clear" w:color="auto" w:fill="FFFFFF"/>
        </w:rPr>
        <w:t>5.</w:t>
      </w:r>
      <w:r w:rsidR="004542F1" w:rsidRPr="005E5D86">
        <w:rPr>
          <w:rFonts w:ascii="Book Antiqua" w:hAnsi="Book Antiqua"/>
          <w:color w:val="000000" w:themeColor="text1"/>
          <w:shd w:val="clear" w:color="auto" w:fill="FFFFFF"/>
        </w:rPr>
        <w:t xml:space="preserve">7,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 </w:t>
      </w:r>
      <w:r w:rsidR="00A5711A" w:rsidRPr="005E5D86">
        <w:rPr>
          <w:rFonts w:ascii="Book Antiqua" w:hAnsi="Book Antiqua"/>
          <w:color w:val="000000" w:themeColor="text1"/>
          <w:shd w:val="clear" w:color="auto" w:fill="FFFFFF"/>
        </w:rPr>
        <w:t>(Figure 2).</w:t>
      </w:r>
    </w:p>
    <w:p w:rsidR="00107F07" w:rsidRPr="005E5D86" w:rsidRDefault="00DA20DE"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The absolute risk of</w:t>
      </w:r>
      <w:r w:rsidR="009874D4"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MI was also higher in </w:t>
      </w:r>
      <w:r w:rsidR="00EB7737" w:rsidRPr="005E5D86">
        <w:rPr>
          <w:rFonts w:ascii="Book Antiqua" w:hAnsi="Book Antiqua"/>
          <w:color w:val="000000" w:themeColor="text1"/>
          <w:shd w:val="clear" w:color="auto" w:fill="FFFFFF"/>
        </w:rPr>
        <w:t xml:space="preserve">subjects with NASH </w:t>
      </w:r>
      <w:r w:rsidRPr="005E5D86">
        <w:rPr>
          <w:rFonts w:ascii="Book Antiqua" w:hAnsi="Book Antiqua"/>
          <w:color w:val="000000" w:themeColor="text1"/>
          <w:shd w:val="clear" w:color="auto" w:fill="FFFFFF"/>
        </w:rPr>
        <w:t>than non-</w:t>
      </w:r>
      <w:r w:rsidR="00EB7737" w:rsidRPr="005E5D86">
        <w:rPr>
          <w:rFonts w:ascii="Book Antiqua" w:hAnsi="Book Antiqua"/>
          <w:color w:val="000000" w:themeColor="text1"/>
          <w:shd w:val="clear" w:color="auto" w:fill="FFFFFF"/>
        </w:rPr>
        <w:t>NASH</w:t>
      </w:r>
      <w:r w:rsidRPr="005E5D86">
        <w:rPr>
          <w:rFonts w:ascii="Book Antiqua" w:hAnsi="Book Antiqua"/>
          <w:color w:val="000000" w:themeColor="text1"/>
          <w:shd w:val="clear" w:color="auto" w:fill="FFFFFF"/>
        </w:rPr>
        <w:t xml:space="preserve"> </w:t>
      </w:r>
      <w:r w:rsidR="00EB7737" w:rsidRPr="005E5D86">
        <w:rPr>
          <w:rFonts w:ascii="Book Antiqua" w:hAnsi="Book Antiqua"/>
          <w:color w:val="000000" w:themeColor="text1"/>
          <w:shd w:val="clear" w:color="auto" w:fill="FFFFFF"/>
        </w:rPr>
        <w:t xml:space="preserve">and increased with age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40-4</w:t>
      </w:r>
      <w:r w:rsidR="00A5711A" w:rsidRPr="005E5D86">
        <w:rPr>
          <w:rFonts w:ascii="Book Antiqua" w:hAnsi="Book Antiqua"/>
          <w:color w:val="000000" w:themeColor="text1"/>
          <w:shd w:val="clear" w:color="auto" w:fill="FFFFFF"/>
        </w:rPr>
        <w:t>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0.</w:t>
      </w:r>
      <w:r w:rsidR="00575CFD" w:rsidRPr="005E5D86">
        <w:rPr>
          <w:rFonts w:ascii="Book Antiqua" w:hAnsi="Book Antiqua"/>
          <w:color w:val="000000" w:themeColor="text1"/>
          <w:shd w:val="clear" w:color="auto" w:fill="FFFFFF"/>
        </w:rPr>
        <w:t>74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00575CFD" w:rsidRPr="005E5D86">
        <w:rPr>
          <w:rFonts w:ascii="Book Antiqua" w:hAnsi="Book Antiqua"/>
          <w:color w:val="000000" w:themeColor="text1"/>
          <w:shd w:val="clear" w:color="auto" w:fill="FFFFFF"/>
        </w:rPr>
        <w:t xml:space="preserve"> 0.07</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5</w:t>
      </w:r>
      <w:r w:rsidR="00A5711A" w:rsidRPr="005E5D86">
        <w:rPr>
          <w:rFonts w:ascii="Book Antiqua" w:hAnsi="Book Antiqua"/>
          <w:color w:val="000000" w:themeColor="text1"/>
          <w:shd w:val="clear" w:color="auto" w:fill="FFFFFF"/>
        </w:rPr>
        <w:t>0</w:t>
      </w:r>
      <w:r w:rsidRPr="005E5D86">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5</w:t>
      </w:r>
      <w:r w:rsidRPr="005E5D86">
        <w:rPr>
          <w:rFonts w:ascii="Book Antiqua" w:hAnsi="Book Antiqua"/>
          <w:color w:val="000000" w:themeColor="text1"/>
          <w:shd w:val="clear" w:color="auto" w:fill="FFFFFF"/>
        </w:rPr>
        <w:t xml:space="preserve">9 </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1.4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2</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575CFD" w:rsidRPr="005E5D86">
        <w:rPr>
          <w:rFonts w:ascii="Book Antiqua" w:hAnsi="Book Antiqua"/>
          <w:color w:val="000000" w:themeColor="text1"/>
          <w:shd w:val="clear" w:color="auto" w:fill="FFFFFF"/>
        </w:rPr>
        <w:t>60</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69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1.</w:t>
      </w:r>
      <w:r w:rsidR="009C5529" w:rsidRPr="005E5D86">
        <w:rPr>
          <w:rFonts w:ascii="Book Antiqua" w:hAnsi="Book Antiqua"/>
          <w:color w:val="000000" w:themeColor="text1"/>
          <w:shd w:val="clear" w:color="auto" w:fill="FFFFFF"/>
        </w:rPr>
        <w:t>8</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3</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age </w:t>
      </w:r>
      <w:r w:rsidR="00575CFD" w:rsidRPr="005E5D86">
        <w:rPr>
          <w:rFonts w:ascii="Book Antiqua" w:hAnsi="Book Antiqua"/>
          <w:color w:val="000000" w:themeColor="text1"/>
          <w:shd w:val="clear" w:color="auto" w:fill="FFFFFF"/>
        </w:rPr>
        <w:t>70</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79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2</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5</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and</w:t>
      </w:r>
      <w:r w:rsidR="00575CFD" w:rsidRPr="005E5D86">
        <w:rPr>
          <w:rFonts w:ascii="Book Antiqua" w:hAnsi="Book Antiqua"/>
          <w:color w:val="000000" w:themeColor="text1"/>
          <w:shd w:val="clear" w:color="auto" w:fill="FFFFFF"/>
        </w:rPr>
        <w:t xml:space="preserve"> above 80</w:t>
      </w:r>
      <w:r w:rsidR="00647C2D" w:rsidRPr="005E5D86">
        <w:rPr>
          <w:rFonts w:ascii="Book Antiqua" w:hAnsi="Book Antiqua"/>
          <w:color w:val="000000" w:themeColor="text1"/>
          <w:shd w:val="clear" w:color="auto" w:fill="FFFFFF"/>
        </w:rPr>
        <w:t xml:space="preserve"> years</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1.9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4</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w:t>
      </w:r>
      <w:r w:rsidR="007159ED" w:rsidRPr="005E5D86">
        <w:rPr>
          <w:rFonts w:ascii="Book Antiqua" w:hAnsi="Book Antiqua"/>
          <w:color w:val="000000" w:themeColor="text1"/>
          <w:shd w:val="clear" w:color="auto" w:fill="FFFFFF"/>
        </w:rPr>
        <w:t xml:space="preserve"> (Figure </w:t>
      </w:r>
      <w:r w:rsidR="00575CFD" w:rsidRPr="005E5D86">
        <w:rPr>
          <w:rFonts w:ascii="Book Antiqua" w:hAnsi="Book Antiqua"/>
          <w:color w:val="000000" w:themeColor="text1"/>
          <w:shd w:val="clear" w:color="auto" w:fill="FFFFFF"/>
        </w:rPr>
        <w:t>1</w:t>
      </w:r>
      <w:r w:rsidR="007159ED"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w:t>
      </w:r>
    </w:p>
    <w:p w:rsidR="004433C8" w:rsidRPr="005E5D86" w:rsidRDefault="00DC4D08"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A</w:t>
      </w:r>
      <w:r w:rsidR="004433C8" w:rsidRPr="005E5D86">
        <w:rPr>
          <w:rFonts w:ascii="Book Antiqua" w:hAnsi="Book Antiqua"/>
          <w:color w:val="000000" w:themeColor="text1"/>
          <w:shd w:val="clear" w:color="auto" w:fill="FFFFFF"/>
        </w:rPr>
        <w:t xml:space="preserve">fter adjusting for age, gender, smoking, </w:t>
      </w:r>
      <w:r w:rsidR="00714715" w:rsidRPr="005E5D86">
        <w:rPr>
          <w:rFonts w:ascii="Book Antiqua" w:hAnsi="Book Antiqua"/>
          <w:color w:val="000000" w:themeColor="text1"/>
          <w:shd w:val="clear" w:color="auto" w:fill="FFFFFF"/>
        </w:rPr>
        <w:t>hyperlipidemi</w:t>
      </w:r>
      <w:r w:rsidR="004433C8" w:rsidRPr="005E5D86">
        <w:rPr>
          <w:rFonts w:ascii="Book Antiqua" w:hAnsi="Book Antiqua"/>
          <w:color w:val="000000" w:themeColor="text1"/>
          <w:shd w:val="clear" w:color="auto" w:fill="FFFFFF"/>
        </w:rPr>
        <w:t>a, hypertension, diabetes and smoking</w:t>
      </w:r>
      <w:r w:rsidR="003A438F" w:rsidRPr="005E5D86">
        <w:rPr>
          <w:rFonts w:ascii="Book Antiqua" w:hAnsi="Book Antiqua"/>
          <w:color w:val="000000" w:themeColor="text1"/>
          <w:shd w:val="clear" w:color="auto" w:fill="FFFFFF"/>
        </w:rPr>
        <w:t xml:space="preserve">, the </w:t>
      </w:r>
      <w:r w:rsidRPr="005E5D86">
        <w:rPr>
          <w:rFonts w:ascii="Book Antiqua" w:hAnsi="Book Antiqua"/>
          <w:color w:val="000000" w:themeColor="text1"/>
          <w:shd w:val="clear" w:color="auto" w:fill="FFFFFF"/>
        </w:rPr>
        <w:t>diagnosis</w:t>
      </w:r>
      <w:r w:rsidR="003A438F" w:rsidRPr="005E5D86">
        <w:rPr>
          <w:rFonts w:ascii="Book Antiqua" w:hAnsi="Book Antiqua"/>
          <w:color w:val="000000" w:themeColor="text1"/>
          <w:shd w:val="clear" w:color="auto" w:fill="FFFFFF"/>
        </w:rPr>
        <w:t xml:space="preserve"> of NASH had a</w:t>
      </w:r>
      <w:r w:rsidR="006D76AE" w:rsidRPr="005E5D86">
        <w:rPr>
          <w:rFonts w:ascii="Book Antiqua" w:hAnsi="Book Antiqua"/>
          <w:color w:val="000000" w:themeColor="text1"/>
          <w:shd w:val="clear" w:color="auto" w:fill="FFFFFF"/>
        </w:rPr>
        <w:t xml:space="preserve"> </w:t>
      </w:r>
      <w:r w:rsidR="00401A48" w:rsidRPr="005E5D86">
        <w:rPr>
          <w:rFonts w:ascii="Book Antiqua" w:hAnsi="Book Antiqua"/>
          <w:color w:val="000000" w:themeColor="text1"/>
          <w:shd w:val="clear" w:color="auto" w:fill="FFFFFF"/>
        </w:rPr>
        <w:t>significant</w:t>
      </w:r>
      <w:r w:rsidR="003A438F" w:rsidRPr="005E5D86">
        <w:rPr>
          <w:rFonts w:ascii="Book Antiqua" w:hAnsi="Book Antiqua"/>
          <w:color w:val="000000" w:themeColor="text1"/>
          <w:shd w:val="clear" w:color="auto" w:fill="FFFFFF"/>
        </w:rPr>
        <w:t xml:space="preserve"> </w:t>
      </w:r>
      <w:r w:rsidR="000C78FA" w:rsidRPr="005E5D86">
        <w:rPr>
          <w:rFonts w:ascii="Book Antiqua" w:hAnsi="Book Antiqua"/>
          <w:color w:val="000000" w:themeColor="text1"/>
          <w:shd w:val="clear" w:color="auto" w:fill="FFFFFF"/>
        </w:rPr>
        <w:t>association with</w:t>
      </w:r>
      <w:r w:rsidR="00976F78" w:rsidRPr="005E5D86">
        <w:rPr>
          <w:rFonts w:ascii="Book Antiqua" w:hAnsi="Book Antiqua"/>
          <w:color w:val="000000" w:themeColor="text1"/>
          <w:shd w:val="clear" w:color="auto" w:fill="FFFFFF"/>
        </w:rPr>
        <w:t xml:space="preserve"> </w:t>
      </w:r>
      <w:r w:rsidR="003A438F" w:rsidRPr="005E5D86">
        <w:rPr>
          <w:rFonts w:ascii="Book Antiqua" w:hAnsi="Book Antiqua"/>
          <w:color w:val="000000" w:themeColor="text1"/>
          <w:shd w:val="clear" w:color="auto" w:fill="FFFFFF"/>
        </w:rPr>
        <w:t>MI</w:t>
      </w:r>
      <w:r w:rsidRPr="005E5D86">
        <w:rPr>
          <w:rFonts w:ascii="Book Antiqua" w:hAnsi="Book Antiqua"/>
          <w:color w:val="000000" w:themeColor="text1"/>
          <w:shd w:val="clear" w:color="auto" w:fill="FFFFFF"/>
        </w:rPr>
        <w:t xml:space="preserve"> </w:t>
      </w:r>
      <w:r w:rsidR="003A438F" w:rsidRPr="005E5D86">
        <w:rPr>
          <w:rFonts w:ascii="Book Antiqua" w:hAnsi="Book Antiqua"/>
          <w:color w:val="000000" w:themeColor="text1"/>
          <w:shd w:val="clear" w:color="auto" w:fill="FFFFFF"/>
        </w:rPr>
        <w:t xml:space="preserve">OR 1.5 </w:t>
      </w:r>
      <w:r w:rsidRPr="005E5D86">
        <w:rPr>
          <w:rFonts w:ascii="Book Antiqua" w:hAnsi="Book Antiqua"/>
          <w:color w:val="000000" w:themeColor="text1"/>
          <w:shd w:val="clear" w:color="auto" w:fill="FFFFFF"/>
        </w:rPr>
        <w:t>(</w:t>
      </w:r>
      <w:r w:rsidR="003A438F" w:rsidRPr="005E5D86">
        <w:rPr>
          <w:rFonts w:ascii="Book Antiqua" w:hAnsi="Book Antiqua"/>
          <w:color w:val="000000" w:themeColor="text1"/>
          <w:shd w:val="clear" w:color="auto" w:fill="FFFFFF"/>
        </w:rPr>
        <w:t>95%CI: 1.40-1.62)</w:t>
      </w:r>
      <w:r w:rsidR="007159ED" w:rsidRPr="005E5D86">
        <w:rPr>
          <w:rFonts w:ascii="Book Antiqua" w:hAnsi="Book Antiqua"/>
          <w:color w:val="000000" w:themeColor="text1"/>
          <w:shd w:val="clear" w:color="auto" w:fill="FFFFFF"/>
        </w:rPr>
        <w:t xml:space="preserve"> (Table </w:t>
      </w:r>
      <w:r w:rsidR="00575CFD" w:rsidRPr="005E5D86">
        <w:rPr>
          <w:rFonts w:ascii="Book Antiqua" w:hAnsi="Book Antiqua"/>
          <w:color w:val="000000" w:themeColor="text1"/>
          <w:shd w:val="clear" w:color="auto" w:fill="FFFFFF"/>
        </w:rPr>
        <w:t>3</w:t>
      </w:r>
      <w:r w:rsidR="007159ED" w:rsidRPr="005E5D86">
        <w:rPr>
          <w:rFonts w:ascii="Book Antiqua" w:hAnsi="Book Antiqua"/>
          <w:color w:val="000000" w:themeColor="text1"/>
          <w:shd w:val="clear" w:color="auto" w:fill="FFFFFF"/>
        </w:rPr>
        <w:t>)</w:t>
      </w:r>
      <w:r w:rsidR="003A438F" w:rsidRPr="005E5D86">
        <w:rPr>
          <w:rFonts w:ascii="Book Antiqua" w:hAnsi="Book Antiqua"/>
          <w:color w:val="000000" w:themeColor="text1"/>
          <w:shd w:val="clear" w:color="auto" w:fill="FFFFFF"/>
        </w:rPr>
        <w:t>.</w:t>
      </w:r>
    </w:p>
    <w:p w:rsidR="003A438F" w:rsidRPr="005E5D86" w:rsidRDefault="003A438F"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H</w:t>
      </w:r>
      <w:r w:rsidR="00976F78" w:rsidRPr="005E5D86">
        <w:rPr>
          <w:rFonts w:ascii="Book Antiqua" w:hAnsi="Book Antiqua"/>
          <w:color w:val="000000" w:themeColor="text1"/>
          <w:shd w:val="clear" w:color="auto" w:fill="FFFFFF"/>
        </w:rPr>
        <w:t>yperlipidemia</w:t>
      </w:r>
      <w:r w:rsidRPr="005E5D86">
        <w:rPr>
          <w:rFonts w:ascii="Book Antiqua" w:hAnsi="Book Antiqua"/>
          <w:color w:val="000000" w:themeColor="text1"/>
          <w:shd w:val="clear" w:color="auto" w:fill="FFFFFF"/>
        </w:rPr>
        <w:t xml:space="preserve"> had the strongest </w:t>
      </w:r>
      <w:r w:rsidR="00B148B4" w:rsidRPr="005E5D86">
        <w:rPr>
          <w:rFonts w:ascii="Book Antiqua" w:hAnsi="Book Antiqua"/>
          <w:color w:val="000000" w:themeColor="text1"/>
          <w:shd w:val="clear" w:color="auto" w:fill="FFFFFF"/>
        </w:rPr>
        <w:t>association</w:t>
      </w:r>
      <w:r w:rsidR="00F61F4D" w:rsidRPr="005E5D86">
        <w:rPr>
          <w:rFonts w:ascii="Book Antiqua" w:hAnsi="Book Antiqua"/>
          <w:color w:val="000000" w:themeColor="text1"/>
          <w:shd w:val="clear" w:color="auto" w:fill="FFFFFF"/>
        </w:rPr>
        <w:t xml:space="preserve"> with</w:t>
      </w:r>
      <w:r w:rsidRPr="005E5D86">
        <w:rPr>
          <w:rFonts w:ascii="Book Antiqua" w:hAnsi="Book Antiqua"/>
          <w:color w:val="000000" w:themeColor="text1"/>
          <w:shd w:val="clear" w:color="auto" w:fill="FFFFFF"/>
        </w:rPr>
        <w:t xml:space="preserve"> MI OR</w:t>
      </w:r>
      <w:r w:rsidR="00A77A62"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8.39</w:t>
      </w:r>
      <w:r w:rsidR="0023051D"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95%CI: 8.21-8.58) </w:t>
      </w:r>
      <w:r w:rsidR="00166750" w:rsidRPr="005E5D86">
        <w:rPr>
          <w:rFonts w:ascii="Book Antiqua" w:hAnsi="Book Antiqua"/>
          <w:color w:val="000000" w:themeColor="text1"/>
          <w:shd w:val="clear" w:color="auto" w:fill="FFFFFF"/>
        </w:rPr>
        <w:t>followed by hypertension OR 3.11 [95%CI: 3.05-3.17</w:t>
      </w:r>
      <w:r w:rsidR="0023051D" w:rsidRPr="005E5D86">
        <w:rPr>
          <w:rFonts w:ascii="Book Antiqua" w:hAnsi="Book Antiqua"/>
          <w:color w:val="000000" w:themeColor="text1"/>
          <w:shd w:val="clear" w:color="auto" w:fill="FFFFFF"/>
        </w:rPr>
        <w:t>)</w:t>
      </w:r>
      <w:r w:rsidR="00166750" w:rsidRPr="005E5D86">
        <w:rPr>
          <w:rFonts w:ascii="Book Antiqua" w:hAnsi="Book Antiqua"/>
          <w:color w:val="000000" w:themeColor="text1"/>
          <w:shd w:val="clear" w:color="auto" w:fill="FFFFFF"/>
        </w:rPr>
        <w:t xml:space="preserve">, and </w:t>
      </w:r>
      <w:r w:rsidR="00942773" w:rsidRPr="005E5D86">
        <w:rPr>
          <w:rFonts w:ascii="Book Antiqua" w:hAnsi="Book Antiqua"/>
          <w:color w:val="000000" w:themeColor="text1"/>
          <w:shd w:val="clear" w:color="auto" w:fill="FFFFFF"/>
        </w:rPr>
        <w:t>smoking</w:t>
      </w:r>
      <w:r w:rsidR="00166750" w:rsidRPr="005E5D86">
        <w:rPr>
          <w:rFonts w:ascii="Book Antiqua" w:hAnsi="Book Antiqua"/>
          <w:color w:val="000000" w:themeColor="text1"/>
          <w:shd w:val="clear" w:color="auto" w:fill="FFFFFF"/>
        </w:rPr>
        <w:t xml:space="preserve"> </w:t>
      </w:r>
      <w:r w:rsidR="000470C4" w:rsidRPr="005E5D86">
        <w:rPr>
          <w:rFonts w:ascii="Book Antiqua" w:hAnsi="Book Antiqua"/>
          <w:color w:val="000000" w:themeColor="text1"/>
          <w:shd w:val="clear" w:color="auto" w:fill="FFFFFF"/>
        </w:rPr>
        <w:t xml:space="preserve">OR </w:t>
      </w:r>
      <w:r w:rsidR="00166750" w:rsidRPr="005E5D86">
        <w:rPr>
          <w:rFonts w:ascii="Book Antiqua" w:hAnsi="Book Antiqua"/>
          <w:color w:val="000000" w:themeColor="text1"/>
          <w:shd w:val="clear" w:color="auto" w:fill="FFFFFF"/>
        </w:rPr>
        <w:t>2.83 [95%CI: 2.79-2.87</w:t>
      </w:r>
      <w:r w:rsidR="0023051D" w:rsidRPr="005E5D86">
        <w:rPr>
          <w:rFonts w:ascii="Book Antiqua" w:hAnsi="Book Antiqua"/>
          <w:color w:val="000000" w:themeColor="text1"/>
          <w:shd w:val="clear" w:color="auto" w:fill="FFFFFF"/>
        </w:rPr>
        <w:t>)</w:t>
      </w:r>
      <w:r w:rsidR="00166750" w:rsidRPr="005E5D86">
        <w:rPr>
          <w:rFonts w:ascii="Book Antiqua" w:hAnsi="Book Antiqua"/>
          <w:color w:val="000000" w:themeColor="text1"/>
          <w:shd w:val="clear" w:color="auto" w:fill="FFFFFF"/>
        </w:rPr>
        <w:t xml:space="preserve"> (Figure </w:t>
      </w:r>
      <w:r w:rsidR="00BE32A5" w:rsidRPr="005E5D86">
        <w:rPr>
          <w:rFonts w:ascii="Book Antiqua" w:hAnsi="Book Antiqua"/>
          <w:color w:val="000000" w:themeColor="text1"/>
          <w:shd w:val="clear" w:color="auto" w:fill="FFFFFF"/>
        </w:rPr>
        <w:t>3</w:t>
      </w:r>
      <w:r w:rsidR="00166750" w:rsidRPr="005E5D86">
        <w:rPr>
          <w:rFonts w:ascii="Book Antiqua" w:hAnsi="Book Antiqua"/>
          <w:color w:val="000000" w:themeColor="text1"/>
          <w:shd w:val="clear" w:color="auto" w:fill="FFFFFF"/>
        </w:rPr>
        <w:t>).</w:t>
      </w:r>
      <w:r w:rsidR="008D46F0"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NASH</w:t>
      </w:r>
      <w:r w:rsidRPr="005E5D86">
        <w:rPr>
          <w:rFonts w:ascii="Book Antiqua" w:hAnsi="Book Antiqua"/>
          <w:color w:val="000000" w:themeColor="text1"/>
          <w:shd w:val="clear" w:color="auto" w:fill="FFFFFF"/>
        </w:rPr>
        <w:t xml:space="preserve"> ha</w:t>
      </w:r>
      <w:r w:rsidR="00166750" w:rsidRPr="005E5D86">
        <w:rPr>
          <w:rFonts w:ascii="Book Antiqua" w:hAnsi="Book Antiqua"/>
          <w:color w:val="000000" w:themeColor="text1"/>
          <w:shd w:val="clear" w:color="auto" w:fill="FFFFFF"/>
        </w:rPr>
        <w:t>d</w:t>
      </w:r>
      <w:r w:rsidRPr="005E5D86">
        <w:rPr>
          <w:rFonts w:ascii="Book Antiqua" w:hAnsi="Book Antiqua"/>
          <w:color w:val="000000" w:themeColor="text1"/>
          <w:shd w:val="clear" w:color="auto" w:fill="FFFFFF"/>
        </w:rPr>
        <w:t xml:space="preserve"> comparable </w:t>
      </w:r>
      <w:r w:rsidR="000C78FA" w:rsidRPr="005E5D86">
        <w:rPr>
          <w:rFonts w:ascii="Book Antiqua" w:hAnsi="Book Antiqua"/>
          <w:color w:val="000000" w:themeColor="text1"/>
          <w:shd w:val="clear" w:color="auto" w:fill="FFFFFF"/>
        </w:rPr>
        <w:t xml:space="preserve">association </w:t>
      </w:r>
      <w:r w:rsidR="00166750" w:rsidRPr="005E5D86">
        <w:rPr>
          <w:rFonts w:ascii="Book Antiqua" w:hAnsi="Book Antiqua"/>
          <w:color w:val="000000" w:themeColor="text1"/>
          <w:shd w:val="clear" w:color="auto" w:fill="FFFFFF"/>
        </w:rPr>
        <w:t xml:space="preserve">with MI </w:t>
      </w:r>
      <w:r w:rsidRPr="005E5D86">
        <w:rPr>
          <w:rFonts w:ascii="Book Antiqua" w:hAnsi="Book Antiqua"/>
          <w:color w:val="000000" w:themeColor="text1"/>
          <w:shd w:val="clear" w:color="auto" w:fill="FFFFFF"/>
        </w:rPr>
        <w:t xml:space="preserve">when compared to traditional risk factors </w:t>
      </w:r>
      <w:r w:rsidR="00166750" w:rsidRPr="005E5D86">
        <w:rPr>
          <w:rFonts w:ascii="Book Antiqua" w:hAnsi="Book Antiqua"/>
          <w:color w:val="000000" w:themeColor="text1"/>
          <w:shd w:val="clear" w:color="auto" w:fill="FFFFFF"/>
        </w:rPr>
        <w:t xml:space="preserve">such as </w:t>
      </w:r>
      <w:r w:rsidR="008806B9" w:rsidRPr="005E5D86">
        <w:rPr>
          <w:rFonts w:ascii="Book Antiqua" w:hAnsi="Book Antiqua"/>
          <w:color w:val="000000" w:themeColor="text1"/>
          <w:shd w:val="clear" w:color="auto" w:fill="FFFFFF"/>
        </w:rPr>
        <w:t>age above 65</w:t>
      </w:r>
      <w:r w:rsidR="006846FB" w:rsidRPr="005E5D86">
        <w:rPr>
          <w:rFonts w:ascii="Book Antiqua" w:hAnsi="Book Antiqua"/>
          <w:color w:val="000000" w:themeColor="text1"/>
          <w:shd w:val="clear" w:color="auto" w:fill="FFFFFF"/>
        </w:rPr>
        <w:t xml:space="preserve"> OR 1.47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 xml:space="preserve">95%CI: </w:t>
      </w:r>
      <w:r w:rsidR="006846FB" w:rsidRPr="005E5D86">
        <w:rPr>
          <w:rFonts w:ascii="Book Antiqua" w:hAnsi="Book Antiqua"/>
          <w:color w:val="000000" w:themeColor="text1"/>
          <w:shd w:val="clear" w:color="auto" w:fill="FFFFFF"/>
        </w:rPr>
        <w:t>1.45-1.49</w:t>
      </w:r>
      <w:r w:rsidR="0023051D"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male gender OR 1.53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 xml:space="preserve">95%CI: </w:t>
      </w:r>
      <w:r w:rsidR="006846FB" w:rsidRPr="005E5D86">
        <w:rPr>
          <w:rFonts w:ascii="Book Antiqua" w:hAnsi="Book Antiqua"/>
          <w:color w:val="000000" w:themeColor="text1"/>
          <w:shd w:val="clear" w:color="auto" w:fill="FFFFFF"/>
        </w:rPr>
        <w:t>1.51-1.55</w:t>
      </w:r>
      <w:r w:rsidR="00CF77EB">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 xml:space="preserve">and diabetes mellitus </w:t>
      </w:r>
      <w:r w:rsidR="006846FB" w:rsidRPr="005E5D86">
        <w:rPr>
          <w:rFonts w:ascii="Book Antiqua" w:hAnsi="Book Antiqua"/>
          <w:color w:val="000000" w:themeColor="text1"/>
          <w:shd w:val="clear" w:color="auto" w:fill="FFFFFF"/>
        </w:rPr>
        <w:t xml:space="preserve">OR 1.89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95%CI:</w:t>
      </w:r>
      <w:r w:rsidR="00CF77EB">
        <w:rPr>
          <w:rFonts w:ascii="Book Antiqua" w:hAnsi="Book Antiqua"/>
          <w:color w:val="000000" w:themeColor="text1"/>
          <w:shd w:val="clear" w:color="auto" w:fill="FFFFFF"/>
        </w:rPr>
        <w:t xml:space="preserve"> </w:t>
      </w:r>
      <w:r w:rsidR="006846FB" w:rsidRPr="005E5D86">
        <w:rPr>
          <w:rFonts w:ascii="Book Antiqua" w:hAnsi="Book Antiqua"/>
          <w:color w:val="000000" w:themeColor="text1"/>
          <w:shd w:val="clear" w:color="auto" w:fill="FFFFFF"/>
        </w:rPr>
        <w:t>1.86-1.91</w:t>
      </w:r>
      <w:r w:rsidR="007159ED" w:rsidRPr="005E5D86">
        <w:rPr>
          <w:rFonts w:ascii="Book Antiqua" w:hAnsi="Book Antiqua"/>
          <w:color w:val="000000" w:themeColor="text1"/>
          <w:shd w:val="clear" w:color="auto" w:fill="FFFFFF"/>
        </w:rPr>
        <w:t>)</w:t>
      </w:r>
      <w:r w:rsidR="00365CD4" w:rsidRPr="005E5D86">
        <w:rPr>
          <w:rFonts w:ascii="Book Antiqua" w:hAnsi="Book Antiqua"/>
          <w:color w:val="000000" w:themeColor="text1"/>
          <w:shd w:val="clear" w:color="auto" w:fill="FFFFFF"/>
        </w:rPr>
        <w:t xml:space="preserve"> (Table </w:t>
      </w:r>
      <w:r w:rsidR="00575CFD" w:rsidRPr="005E5D86">
        <w:rPr>
          <w:rFonts w:ascii="Book Antiqua" w:hAnsi="Book Antiqua"/>
          <w:color w:val="000000" w:themeColor="text1"/>
          <w:shd w:val="clear" w:color="auto" w:fill="FFFFFF"/>
        </w:rPr>
        <w:t>3</w:t>
      </w:r>
      <w:r w:rsidR="00365CD4"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w:t>
      </w:r>
    </w:p>
    <w:p w:rsidR="00EB1E63" w:rsidRPr="005E5D86" w:rsidRDefault="00EB1E63" w:rsidP="005E5D86">
      <w:pPr>
        <w:snapToGrid w:val="0"/>
        <w:spacing w:line="360" w:lineRule="auto"/>
        <w:ind w:firstLine="720"/>
        <w:jc w:val="both"/>
        <w:rPr>
          <w:rFonts w:ascii="Book Antiqua" w:hAnsi="Book Antiqua"/>
          <w:color w:val="000000" w:themeColor="text1"/>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DISCUSSION</w:t>
      </w:r>
    </w:p>
    <w:p w:rsidR="00CD3D08" w:rsidRPr="005E5D86" w:rsidRDefault="00E364F6" w:rsidP="005E5D86">
      <w:pPr>
        <w:snapToGrid w:val="0"/>
        <w:spacing w:line="360" w:lineRule="auto"/>
        <w:jc w:val="both"/>
        <w:rPr>
          <w:rFonts w:ascii="Book Antiqua" w:hAnsi="Book Antiqua"/>
        </w:rPr>
      </w:pPr>
      <w:r w:rsidRPr="005E5D86">
        <w:rPr>
          <w:rFonts w:ascii="Book Antiqua" w:hAnsi="Book Antiqua"/>
        </w:rPr>
        <w:t xml:space="preserve">There is increasing evidence suggesting </w:t>
      </w:r>
      <w:r w:rsidR="0045728B" w:rsidRPr="005E5D86">
        <w:rPr>
          <w:rFonts w:ascii="Book Antiqua" w:hAnsi="Book Antiqua"/>
        </w:rPr>
        <w:t>relationship</w:t>
      </w:r>
      <w:r w:rsidRPr="005E5D86">
        <w:rPr>
          <w:rFonts w:ascii="Book Antiqua" w:hAnsi="Book Antiqua"/>
        </w:rPr>
        <w:t xml:space="preserve"> between NAFLD and CVD that extends beyond risk factors common to both chronic </w:t>
      </w:r>
      <w:proofErr w:type="gramStart"/>
      <w:r w:rsidRPr="005E5D86">
        <w:rPr>
          <w:rFonts w:ascii="Book Antiqua" w:hAnsi="Book Antiqua"/>
        </w:rPr>
        <w:t>condition</w:t>
      </w:r>
      <w:r w:rsidR="0045728B" w:rsidRPr="005E5D86">
        <w:rPr>
          <w:rFonts w:ascii="Book Antiqua" w:hAnsi="Book Antiqua"/>
        </w:rPr>
        <w:t>s</w:t>
      </w:r>
      <w:r w:rsidR="00F33DC3" w:rsidRPr="005E5D86">
        <w:rPr>
          <w:rFonts w:ascii="Book Antiqua" w:hAnsi="Book Antiqua"/>
          <w:vertAlign w:val="superscript"/>
        </w:rPr>
        <w:t>[</w:t>
      </w:r>
      <w:proofErr w:type="gramEnd"/>
      <w:r w:rsidR="007C7A1F">
        <w:rPr>
          <w:rFonts w:ascii="Book Antiqua" w:hAnsi="Book Antiqua"/>
          <w:vertAlign w:val="superscript"/>
        </w:rPr>
        <w:t>22,</w:t>
      </w:r>
      <w:r w:rsidR="00F33DC3" w:rsidRPr="005E5D86">
        <w:rPr>
          <w:rFonts w:ascii="Book Antiqua" w:hAnsi="Book Antiqua"/>
          <w:vertAlign w:val="superscript"/>
        </w:rPr>
        <w:t>23]</w:t>
      </w:r>
      <w:r w:rsidRPr="005E5D86">
        <w:rPr>
          <w:rFonts w:ascii="Book Antiqua" w:hAnsi="Book Antiqua"/>
        </w:rPr>
        <w:t xml:space="preserve">. A number of population studies have also confirmed this association and have suggested that individuals with NAFLD should be screened for CVD. Other studies have shown that CVD risk increases with </w:t>
      </w:r>
      <w:r w:rsidR="007018A3" w:rsidRPr="005E5D86">
        <w:rPr>
          <w:rFonts w:ascii="Book Antiqua" w:hAnsi="Book Antiqua"/>
        </w:rPr>
        <w:t xml:space="preserve">the </w:t>
      </w:r>
      <w:r w:rsidRPr="005E5D86">
        <w:rPr>
          <w:rFonts w:ascii="Book Antiqua" w:hAnsi="Book Antiqua"/>
        </w:rPr>
        <w:t xml:space="preserve">severity of </w:t>
      </w:r>
      <w:proofErr w:type="gramStart"/>
      <w:r w:rsidRPr="005E5D86">
        <w:rPr>
          <w:rFonts w:ascii="Book Antiqua" w:hAnsi="Book Antiqua"/>
        </w:rPr>
        <w:t>NAFLD</w:t>
      </w:r>
      <w:r w:rsidR="00DB3E29" w:rsidRPr="005E5D86">
        <w:rPr>
          <w:rFonts w:ascii="Book Antiqua" w:hAnsi="Book Antiqua"/>
          <w:vertAlign w:val="superscript"/>
        </w:rPr>
        <w:t>[</w:t>
      </w:r>
      <w:proofErr w:type="gramEnd"/>
      <w:r w:rsidR="00DB3E29" w:rsidRPr="005E5D86">
        <w:rPr>
          <w:rFonts w:ascii="Book Antiqua" w:hAnsi="Book Antiqua"/>
          <w:vertAlign w:val="superscript"/>
        </w:rPr>
        <w:t>24</w:t>
      </w:r>
      <w:r w:rsidR="00BC19D6" w:rsidRPr="005E5D86">
        <w:rPr>
          <w:rFonts w:ascii="Book Antiqua" w:hAnsi="Book Antiqua"/>
          <w:vertAlign w:val="superscript"/>
        </w:rPr>
        <w:t>,25]</w:t>
      </w:r>
      <w:r w:rsidRPr="005E5D86">
        <w:rPr>
          <w:rFonts w:ascii="Book Antiqua" w:hAnsi="Book Antiqua"/>
        </w:rPr>
        <w:t xml:space="preserve">. </w:t>
      </w:r>
      <w:r w:rsidR="00115B07" w:rsidRPr="005E5D86">
        <w:rPr>
          <w:rFonts w:ascii="Book Antiqua" w:hAnsi="Book Antiqua"/>
        </w:rPr>
        <w:t>Our study used</w:t>
      </w:r>
      <w:r w:rsidR="00CD3D08" w:rsidRPr="005E5D86">
        <w:rPr>
          <w:rFonts w:ascii="Book Antiqua" w:hAnsi="Book Antiqua"/>
        </w:rPr>
        <w:t xml:space="preserve"> </w:t>
      </w:r>
      <w:r w:rsidR="00AE3FB4" w:rsidRPr="005E5D86">
        <w:rPr>
          <w:rFonts w:ascii="Book Antiqua" w:hAnsi="Book Antiqua"/>
        </w:rPr>
        <w:t xml:space="preserve">a large </w:t>
      </w:r>
      <w:r w:rsidR="00AE3FB4" w:rsidRPr="005E5D86">
        <w:rPr>
          <w:rFonts w:ascii="Book Antiqua" w:hAnsi="Book Antiqua"/>
        </w:rPr>
        <w:lastRenderedPageBreak/>
        <w:t>population-based database</w:t>
      </w:r>
      <w:r w:rsidR="00CD3D08" w:rsidRPr="005E5D86">
        <w:rPr>
          <w:rFonts w:ascii="Book Antiqua" w:hAnsi="Book Antiqua"/>
        </w:rPr>
        <w:t xml:space="preserve"> to evaluate the </w:t>
      </w:r>
      <w:r w:rsidR="001B39D4" w:rsidRPr="005E5D86">
        <w:rPr>
          <w:rFonts w:ascii="Book Antiqua" w:hAnsi="Book Antiqua"/>
        </w:rPr>
        <w:t>relationship</w:t>
      </w:r>
      <w:r w:rsidR="00CD3D08" w:rsidRPr="005E5D86">
        <w:rPr>
          <w:rFonts w:ascii="Book Antiqua" w:hAnsi="Book Antiqua"/>
        </w:rPr>
        <w:t xml:space="preserve"> between NASH and </w:t>
      </w:r>
      <w:r w:rsidR="00E81506" w:rsidRPr="005E5D86">
        <w:rPr>
          <w:rFonts w:ascii="Book Antiqua" w:hAnsi="Book Antiqua"/>
        </w:rPr>
        <w:t>MI</w:t>
      </w:r>
      <w:r w:rsidR="00115B07" w:rsidRPr="005E5D86">
        <w:rPr>
          <w:rFonts w:ascii="Book Antiqua" w:hAnsi="Book Antiqua"/>
        </w:rPr>
        <w:t xml:space="preserve"> in </w:t>
      </w:r>
      <w:r w:rsidR="00FE028A" w:rsidRPr="005E5D86">
        <w:rPr>
          <w:rFonts w:ascii="Book Antiqua" w:hAnsi="Book Antiqua"/>
        </w:rPr>
        <w:t xml:space="preserve">the </w:t>
      </w:r>
      <w:r w:rsidR="006B3F47" w:rsidRPr="005E5D86">
        <w:rPr>
          <w:rFonts w:ascii="Book Antiqua" w:hAnsi="Book Antiqua"/>
        </w:rPr>
        <w:t>United States</w:t>
      </w:r>
      <w:r w:rsidR="0027319C" w:rsidRPr="005E5D86">
        <w:rPr>
          <w:rFonts w:ascii="Book Antiqua" w:hAnsi="Book Antiqua"/>
        </w:rPr>
        <w:t>.</w:t>
      </w:r>
      <w:r w:rsidR="00BB0859" w:rsidRPr="005E5D86">
        <w:rPr>
          <w:rFonts w:ascii="Book Antiqua" w:hAnsi="Book Antiqua"/>
        </w:rPr>
        <w:t xml:space="preserve"> We included over 55 million patients </w:t>
      </w:r>
      <w:r w:rsidR="002978E2" w:rsidRPr="005E5D86">
        <w:rPr>
          <w:rFonts w:ascii="Book Antiqua" w:hAnsi="Book Antiqua"/>
        </w:rPr>
        <w:t>in our study, of which 43170 were diagnosed with NASH and 107000 had a</w:t>
      </w:r>
      <w:r w:rsidR="0015033F" w:rsidRPr="005E5D86">
        <w:rPr>
          <w:rFonts w:ascii="Book Antiqua" w:hAnsi="Book Antiqua"/>
        </w:rPr>
        <w:t xml:space="preserve">n acute </w:t>
      </w:r>
      <w:r w:rsidR="002978E2" w:rsidRPr="005E5D86">
        <w:rPr>
          <w:rFonts w:ascii="Book Antiqua" w:hAnsi="Book Antiqua"/>
        </w:rPr>
        <w:t>MI within</w:t>
      </w:r>
      <w:r w:rsidR="0015033F" w:rsidRPr="005E5D86">
        <w:rPr>
          <w:rFonts w:ascii="Book Antiqua" w:hAnsi="Book Antiqua"/>
        </w:rPr>
        <w:t xml:space="preserve"> 2018-2019</w:t>
      </w:r>
      <w:r w:rsidR="002978E2" w:rsidRPr="005E5D86">
        <w:rPr>
          <w:rFonts w:ascii="Book Antiqua" w:hAnsi="Book Antiqua"/>
        </w:rPr>
        <w:t>.</w:t>
      </w:r>
      <w:r w:rsidR="00BB0859" w:rsidRPr="005E5D86">
        <w:rPr>
          <w:rFonts w:ascii="Book Antiqua" w:hAnsi="Book Antiqua"/>
        </w:rPr>
        <w:t xml:space="preserve"> </w:t>
      </w:r>
    </w:p>
    <w:p w:rsidR="00940A79" w:rsidRPr="005E5D86" w:rsidRDefault="003D76D1" w:rsidP="005E5D86">
      <w:pPr>
        <w:snapToGrid w:val="0"/>
        <w:spacing w:line="360" w:lineRule="auto"/>
        <w:ind w:firstLine="720"/>
        <w:jc w:val="both"/>
        <w:rPr>
          <w:rFonts w:ascii="Book Antiqua" w:hAnsi="Book Antiqua"/>
        </w:rPr>
      </w:pPr>
      <w:r w:rsidRPr="005E5D86">
        <w:rPr>
          <w:rFonts w:ascii="Book Antiqua" w:hAnsi="Book Antiqua"/>
        </w:rPr>
        <w:t>The</w:t>
      </w:r>
      <w:r w:rsidR="00B95A59" w:rsidRPr="005E5D86">
        <w:rPr>
          <w:rFonts w:ascii="Book Antiqua" w:hAnsi="Book Antiqua"/>
        </w:rPr>
        <w:t xml:space="preserve"> main findings of</w:t>
      </w:r>
      <w:r w:rsidR="00E364F6" w:rsidRPr="005E5D86">
        <w:rPr>
          <w:rFonts w:ascii="Book Antiqua" w:hAnsi="Book Antiqua"/>
        </w:rPr>
        <w:t xml:space="preserve"> </w:t>
      </w:r>
      <w:r w:rsidR="00B95A59" w:rsidRPr="005E5D86">
        <w:rPr>
          <w:rFonts w:ascii="Book Antiqua" w:hAnsi="Book Antiqua"/>
        </w:rPr>
        <w:t xml:space="preserve">our study are: (1) </w:t>
      </w:r>
      <w:r w:rsidR="00BB0859" w:rsidRPr="005E5D86">
        <w:rPr>
          <w:rFonts w:ascii="Book Antiqua" w:hAnsi="Book Antiqua"/>
        </w:rPr>
        <w:t xml:space="preserve">NASH </w:t>
      </w:r>
      <w:r w:rsidR="00833C2B" w:rsidRPr="005E5D86">
        <w:rPr>
          <w:rFonts w:ascii="Book Antiqua" w:hAnsi="Book Antiqua"/>
        </w:rPr>
        <w:t xml:space="preserve">is </w:t>
      </w:r>
      <w:r w:rsidR="0015033F" w:rsidRPr="005E5D86">
        <w:rPr>
          <w:rFonts w:ascii="Book Antiqua" w:hAnsi="Book Antiqua"/>
        </w:rPr>
        <w:t>associated with MI independent of traditional risk factors</w:t>
      </w:r>
      <w:r w:rsidR="00B95A59" w:rsidRPr="005E5D86">
        <w:rPr>
          <w:rFonts w:ascii="Book Antiqua" w:hAnsi="Book Antiqua"/>
        </w:rPr>
        <w:t>; (2)</w:t>
      </w:r>
      <w:r w:rsidR="002E44AE" w:rsidRPr="005E5D86">
        <w:rPr>
          <w:rFonts w:ascii="Book Antiqua" w:hAnsi="Book Antiqua"/>
        </w:rPr>
        <w:t xml:space="preserve"> </w:t>
      </w:r>
      <w:r w:rsidR="006F4DE0" w:rsidRPr="005E5D86">
        <w:rPr>
          <w:rFonts w:ascii="Book Antiqua" w:hAnsi="Book Antiqua"/>
        </w:rPr>
        <w:t xml:space="preserve">Compared to the older NASH population, younger patients were more likely to have a higher </w:t>
      </w:r>
      <w:r w:rsidR="00422C71" w:rsidRPr="005E5D86">
        <w:rPr>
          <w:rFonts w:ascii="Book Antiqua" w:hAnsi="Book Antiqua"/>
        </w:rPr>
        <w:t xml:space="preserve">relative </w:t>
      </w:r>
      <w:r w:rsidR="006F4DE0" w:rsidRPr="005E5D86">
        <w:rPr>
          <w:rFonts w:ascii="Book Antiqua" w:hAnsi="Book Antiqua"/>
        </w:rPr>
        <w:t xml:space="preserve">risk of MI; </w:t>
      </w:r>
      <w:r w:rsidR="00CF77EB">
        <w:rPr>
          <w:rFonts w:ascii="Book Antiqua" w:hAnsi="Book Antiqua"/>
        </w:rPr>
        <w:t xml:space="preserve">and </w:t>
      </w:r>
      <w:r w:rsidR="006F4DE0" w:rsidRPr="005E5D86">
        <w:rPr>
          <w:rFonts w:ascii="Book Antiqua" w:hAnsi="Book Antiqua"/>
        </w:rPr>
        <w:t xml:space="preserve">(3) </w:t>
      </w:r>
      <w:r w:rsidR="000A39BF" w:rsidRPr="005E5D86">
        <w:rPr>
          <w:rFonts w:ascii="Book Antiqua" w:hAnsi="Book Antiqua"/>
        </w:rPr>
        <w:t>MI</w:t>
      </w:r>
      <w:r w:rsidR="00833C2B" w:rsidRPr="005E5D86">
        <w:rPr>
          <w:rFonts w:ascii="Book Antiqua" w:hAnsi="Book Antiqua"/>
        </w:rPr>
        <w:t xml:space="preserve"> is a prevalent </w:t>
      </w:r>
      <w:r w:rsidR="000A39BF" w:rsidRPr="005E5D86">
        <w:rPr>
          <w:rFonts w:ascii="Book Antiqua" w:hAnsi="Book Antiqua"/>
        </w:rPr>
        <w:t>outcome</w:t>
      </w:r>
      <w:r w:rsidR="00833C2B" w:rsidRPr="005E5D86">
        <w:rPr>
          <w:rFonts w:ascii="Book Antiqua" w:hAnsi="Book Antiqua"/>
        </w:rPr>
        <w:t xml:space="preserve"> </w:t>
      </w:r>
      <w:r w:rsidR="00BC3522" w:rsidRPr="005E5D86">
        <w:rPr>
          <w:rFonts w:ascii="Book Antiqua" w:hAnsi="Book Antiqua"/>
        </w:rPr>
        <w:t>among</w:t>
      </w:r>
      <w:r w:rsidR="00833C2B" w:rsidRPr="005E5D86">
        <w:rPr>
          <w:rFonts w:ascii="Book Antiqua" w:hAnsi="Book Antiqua"/>
        </w:rPr>
        <w:t xml:space="preserve"> patients with </w:t>
      </w:r>
      <w:r w:rsidR="000A39BF" w:rsidRPr="005E5D86">
        <w:rPr>
          <w:rFonts w:ascii="Book Antiqua" w:hAnsi="Book Antiqua"/>
        </w:rPr>
        <w:t>NASH</w:t>
      </w:r>
      <w:r w:rsidR="006F4DE0" w:rsidRPr="005E5D86">
        <w:rPr>
          <w:rFonts w:ascii="Book Antiqua" w:hAnsi="Book Antiqua"/>
        </w:rPr>
        <w:t>.</w:t>
      </w:r>
    </w:p>
    <w:p w:rsidR="00EB7B5F" w:rsidRPr="005E5D86" w:rsidRDefault="00CD3D08"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rPr>
        <w:t xml:space="preserve">Although an association between ischemic </w:t>
      </w:r>
      <w:r w:rsidR="00B37234" w:rsidRPr="005E5D86">
        <w:rPr>
          <w:rFonts w:ascii="Book Antiqua" w:hAnsi="Book Antiqua"/>
        </w:rPr>
        <w:t>heart</w:t>
      </w:r>
      <w:r w:rsidRPr="005E5D86">
        <w:rPr>
          <w:rFonts w:ascii="Book Antiqua" w:hAnsi="Book Antiqua"/>
        </w:rPr>
        <w:t xml:space="preserve"> disease and NAFLD has been suggested, the strength of this relationship remains controversial. </w:t>
      </w:r>
      <w:r w:rsidR="00FF1653" w:rsidRPr="005E5D86">
        <w:rPr>
          <w:rFonts w:ascii="Book Antiqua" w:hAnsi="Book Antiqua"/>
        </w:rPr>
        <w:t xml:space="preserve">In this study, NASH was </w:t>
      </w:r>
      <w:r w:rsidR="00C72767" w:rsidRPr="005E5D86">
        <w:rPr>
          <w:rFonts w:ascii="Book Antiqua" w:hAnsi="Book Antiqua"/>
        </w:rPr>
        <w:t xml:space="preserve">independently associated with </w:t>
      </w:r>
      <w:r w:rsidR="00FF1653" w:rsidRPr="005E5D86">
        <w:rPr>
          <w:rFonts w:ascii="Book Antiqua" w:hAnsi="Book Antiqua"/>
        </w:rPr>
        <w:t>MI</w:t>
      </w:r>
      <w:r w:rsidR="00833C2B" w:rsidRPr="005E5D86">
        <w:rPr>
          <w:rFonts w:ascii="Book Antiqua" w:hAnsi="Book Antiqua"/>
        </w:rPr>
        <w:t xml:space="preserve"> </w:t>
      </w:r>
      <w:r w:rsidR="00EE4523" w:rsidRPr="005E5D86">
        <w:rPr>
          <w:rFonts w:ascii="Book Antiqua" w:hAnsi="Book Antiqua"/>
        </w:rPr>
        <w:t xml:space="preserve">OR </w:t>
      </w:r>
      <w:r w:rsidR="00EE4523" w:rsidRPr="005E5D86">
        <w:rPr>
          <w:rFonts w:ascii="Book Antiqua" w:hAnsi="Book Antiqua"/>
          <w:color w:val="000000" w:themeColor="text1"/>
          <w:shd w:val="clear" w:color="auto" w:fill="FFFFFF"/>
        </w:rPr>
        <w:t>1.5</w:t>
      </w:r>
      <w:r w:rsidR="00833C2B" w:rsidRPr="005E5D86">
        <w:rPr>
          <w:rFonts w:ascii="Book Antiqua" w:hAnsi="Book Antiqua"/>
          <w:color w:val="000000" w:themeColor="text1"/>
          <w:shd w:val="clear" w:color="auto" w:fill="FFFFFF"/>
        </w:rPr>
        <w:t xml:space="preserve"> (</w:t>
      </w:r>
      <w:r w:rsidR="00EE4523" w:rsidRPr="005E5D86">
        <w:rPr>
          <w:rFonts w:ascii="Book Antiqua" w:hAnsi="Book Antiqua"/>
          <w:color w:val="000000" w:themeColor="text1"/>
          <w:shd w:val="clear" w:color="auto" w:fill="FFFFFF"/>
        </w:rPr>
        <w:t>95</w:t>
      </w:r>
      <w:r w:rsidR="002E44AE" w:rsidRPr="005E5D86">
        <w:rPr>
          <w:rFonts w:ascii="Book Antiqua" w:hAnsi="Book Antiqua"/>
          <w:color w:val="000000" w:themeColor="text1"/>
          <w:shd w:val="clear" w:color="auto" w:fill="FFFFFF"/>
        </w:rPr>
        <w:t>%</w:t>
      </w:r>
      <w:r w:rsidR="00EE4523" w:rsidRPr="005E5D86">
        <w:rPr>
          <w:rFonts w:ascii="Book Antiqua" w:hAnsi="Book Antiqua"/>
          <w:color w:val="000000" w:themeColor="text1"/>
          <w:shd w:val="clear" w:color="auto" w:fill="FFFFFF"/>
        </w:rPr>
        <w:t>CI</w:t>
      </w:r>
      <w:r w:rsidR="0091698F" w:rsidRPr="005E5D86">
        <w:rPr>
          <w:rFonts w:ascii="Book Antiqua" w:hAnsi="Book Antiqua"/>
          <w:color w:val="000000" w:themeColor="text1"/>
          <w:shd w:val="clear" w:color="auto" w:fill="FFFFFF"/>
        </w:rPr>
        <w:t xml:space="preserve">: </w:t>
      </w:r>
      <w:r w:rsidR="00EE4523" w:rsidRPr="005E5D86">
        <w:rPr>
          <w:rFonts w:ascii="Book Antiqua" w:hAnsi="Book Antiqua"/>
          <w:color w:val="000000" w:themeColor="text1"/>
          <w:shd w:val="clear" w:color="auto" w:fill="FFFFFF"/>
        </w:rPr>
        <w:t>1.40-1.62)</w:t>
      </w:r>
      <w:r w:rsidR="00166169" w:rsidRPr="005E5D86">
        <w:rPr>
          <w:rFonts w:ascii="Book Antiqua" w:hAnsi="Book Antiqua"/>
          <w:color w:val="000000" w:themeColor="text1"/>
          <w:shd w:val="clear" w:color="auto" w:fill="FFFFFF"/>
        </w:rPr>
        <w:t xml:space="preserve"> after adjusting for </w:t>
      </w:r>
      <w:r w:rsidR="00BD0E1F" w:rsidRPr="005E5D86">
        <w:rPr>
          <w:rFonts w:ascii="Book Antiqua" w:hAnsi="Book Antiqua"/>
          <w:color w:val="000000" w:themeColor="text1"/>
          <w:shd w:val="clear" w:color="auto" w:fill="FFFFFF"/>
        </w:rPr>
        <w:t>classically known</w:t>
      </w:r>
      <w:r w:rsidR="00166169" w:rsidRPr="005E5D86">
        <w:rPr>
          <w:rFonts w:ascii="Book Antiqua" w:hAnsi="Book Antiqua"/>
          <w:color w:val="000000" w:themeColor="text1"/>
          <w:shd w:val="clear" w:color="auto" w:fill="FFFFFF"/>
        </w:rPr>
        <w:t xml:space="preserve"> risk factors</w:t>
      </w:r>
      <w:r w:rsidR="00BD0E1F" w:rsidRPr="005E5D86">
        <w:rPr>
          <w:rFonts w:ascii="Book Antiqua" w:hAnsi="Book Antiqua"/>
          <w:color w:val="000000" w:themeColor="text1"/>
          <w:shd w:val="clear" w:color="auto" w:fill="FFFFFF"/>
        </w:rPr>
        <w:t xml:space="preserve"> for the latter</w:t>
      </w:r>
      <w:r w:rsidR="00EE4523" w:rsidRPr="005E5D86">
        <w:rPr>
          <w:rFonts w:ascii="Book Antiqua" w:hAnsi="Book Antiqua"/>
          <w:color w:val="000000" w:themeColor="text1"/>
          <w:shd w:val="clear" w:color="auto" w:fill="FFFFFF"/>
        </w:rPr>
        <w:t>.</w:t>
      </w:r>
      <w:r w:rsidR="0091698F" w:rsidRPr="005E5D86">
        <w:rPr>
          <w:rFonts w:ascii="Book Antiqua" w:hAnsi="Book Antiqua"/>
          <w:color w:val="000000" w:themeColor="text1"/>
          <w:shd w:val="clear" w:color="auto" w:fill="FFFFFF"/>
        </w:rPr>
        <w:t xml:space="preserve"> </w:t>
      </w:r>
      <w:r w:rsidR="00EB7B5F" w:rsidRPr="005E5D86">
        <w:rPr>
          <w:rFonts w:ascii="Book Antiqua" w:hAnsi="Book Antiqua"/>
          <w:color w:val="000000" w:themeColor="text1"/>
          <w:shd w:val="clear" w:color="auto" w:fill="FFFFFF"/>
        </w:rPr>
        <w:t>Our study is in line with other studies that have shown an association between NASH</w:t>
      </w:r>
      <w:r w:rsidR="00E04749" w:rsidRPr="005E5D86">
        <w:rPr>
          <w:rFonts w:ascii="Book Antiqua" w:hAnsi="Book Antiqua"/>
          <w:color w:val="000000" w:themeColor="text1"/>
          <w:shd w:val="clear" w:color="auto" w:fill="FFFFFF"/>
        </w:rPr>
        <w:t xml:space="preserve"> or </w:t>
      </w:r>
      <w:r w:rsidR="00891E8C" w:rsidRPr="005E5D86">
        <w:rPr>
          <w:rFonts w:ascii="Book Antiqua" w:hAnsi="Book Antiqua"/>
          <w:color w:val="000000" w:themeColor="text1"/>
          <w:shd w:val="clear" w:color="auto" w:fill="FFFFFF"/>
        </w:rPr>
        <w:t>NA</w:t>
      </w:r>
      <w:r w:rsidR="00E04749" w:rsidRPr="005E5D86">
        <w:rPr>
          <w:rFonts w:ascii="Book Antiqua" w:hAnsi="Book Antiqua"/>
          <w:color w:val="000000" w:themeColor="text1"/>
          <w:shd w:val="clear" w:color="auto" w:fill="FFFFFF"/>
        </w:rPr>
        <w:t xml:space="preserve">FLD </w:t>
      </w:r>
      <w:r w:rsidR="00EB7B5F" w:rsidRPr="005E5D86">
        <w:rPr>
          <w:rFonts w:ascii="Book Antiqua" w:hAnsi="Book Antiqua"/>
          <w:color w:val="000000" w:themeColor="text1"/>
          <w:shd w:val="clear" w:color="auto" w:fill="FFFFFF"/>
        </w:rPr>
        <w:t xml:space="preserve">and </w:t>
      </w:r>
      <w:r w:rsidR="00891E8C" w:rsidRPr="005E5D86">
        <w:rPr>
          <w:rFonts w:ascii="Book Antiqua" w:hAnsi="Book Antiqua"/>
          <w:color w:val="000000" w:themeColor="text1"/>
          <w:shd w:val="clear" w:color="auto" w:fill="FFFFFF"/>
        </w:rPr>
        <w:t xml:space="preserve">ischemic </w:t>
      </w:r>
      <w:r w:rsidR="00EA3B1D" w:rsidRPr="005E5D86">
        <w:rPr>
          <w:rFonts w:ascii="Book Antiqua" w:hAnsi="Book Antiqua"/>
          <w:color w:val="000000" w:themeColor="text1"/>
          <w:shd w:val="clear" w:color="auto" w:fill="FFFFFF"/>
        </w:rPr>
        <w:t xml:space="preserve">heart </w:t>
      </w:r>
      <w:proofErr w:type="gramStart"/>
      <w:r w:rsidR="00EA3B1D" w:rsidRPr="005E5D86">
        <w:rPr>
          <w:rFonts w:ascii="Book Antiqua" w:hAnsi="Book Antiqua"/>
          <w:color w:val="000000" w:themeColor="text1"/>
          <w:shd w:val="clear" w:color="auto" w:fill="FFFFFF"/>
        </w:rPr>
        <w:t>disease</w:t>
      </w:r>
      <w:r w:rsidR="00EB7B5F" w:rsidRPr="005E5D86">
        <w:rPr>
          <w:rFonts w:ascii="Book Antiqua" w:hAnsi="Book Antiqua"/>
          <w:color w:val="000000" w:themeColor="text1"/>
          <w:shd w:val="clear" w:color="auto" w:fill="FFFFFF"/>
          <w:vertAlign w:val="superscript"/>
        </w:rPr>
        <w:t>[</w:t>
      </w:r>
      <w:proofErr w:type="gramEnd"/>
      <w:r w:rsidR="00EB7B5F" w:rsidRPr="005E5D86">
        <w:rPr>
          <w:rFonts w:ascii="Book Antiqua" w:hAnsi="Book Antiqua"/>
          <w:color w:val="000000" w:themeColor="text1"/>
          <w:shd w:val="clear" w:color="auto" w:fill="FFFFFF"/>
          <w:vertAlign w:val="superscript"/>
        </w:rPr>
        <w:t>19,20]</w:t>
      </w:r>
      <w:r w:rsidR="00891E8C" w:rsidRPr="005E5D86">
        <w:rPr>
          <w:rFonts w:ascii="Book Antiqua" w:hAnsi="Book Antiqua"/>
          <w:color w:val="000000" w:themeColor="text1"/>
          <w:shd w:val="clear" w:color="auto" w:fill="FFFFFF"/>
        </w:rPr>
        <w:t>.</w:t>
      </w:r>
    </w:p>
    <w:p w:rsidR="00131552" w:rsidRPr="005E5D86" w:rsidRDefault="00BB0859"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At the pathophysiological level, this </w:t>
      </w:r>
      <w:r w:rsidR="00CE6519" w:rsidRPr="005E5D86">
        <w:rPr>
          <w:rFonts w:ascii="Book Antiqua" w:hAnsi="Book Antiqua"/>
          <w:color w:val="000000" w:themeColor="text1"/>
          <w:shd w:val="clear" w:color="auto" w:fill="FFFFFF"/>
        </w:rPr>
        <w:t xml:space="preserve">observation </w:t>
      </w:r>
      <w:r w:rsidRPr="005E5D86">
        <w:rPr>
          <w:rFonts w:ascii="Book Antiqua" w:hAnsi="Book Antiqua"/>
          <w:color w:val="000000" w:themeColor="text1"/>
          <w:shd w:val="clear" w:color="auto" w:fill="FFFFFF"/>
        </w:rPr>
        <w:t xml:space="preserve">could be explained by several mechanisms. First, NASH is considered a more severe manifestation of NAFLD with augmented hepatic steatosis and aberrant intrahepatic </w:t>
      </w:r>
      <w:proofErr w:type="gramStart"/>
      <w:r w:rsidRPr="005E5D86">
        <w:rPr>
          <w:rFonts w:ascii="Book Antiqua" w:hAnsi="Book Antiqua"/>
          <w:color w:val="000000" w:themeColor="text1"/>
          <w:shd w:val="clear" w:color="auto" w:fill="FFFFFF"/>
        </w:rPr>
        <w:t>inflammation</w:t>
      </w:r>
      <w:r w:rsidR="00891FD4" w:rsidRPr="005E5D86">
        <w:rPr>
          <w:rFonts w:ascii="Book Antiqua" w:hAnsi="Book Antiqua"/>
          <w:color w:val="000000" w:themeColor="text1"/>
          <w:shd w:val="clear" w:color="auto" w:fill="FFFFFF"/>
          <w:vertAlign w:val="superscript"/>
        </w:rPr>
        <w:t>[</w:t>
      </w:r>
      <w:proofErr w:type="gramEnd"/>
      <w:r w:rsidR="00891FD4" w:rsidRPr="005E5D86">
        <w:rPr>
          <w:rFonts w:ascii="Book Antiqua" w:hAnsi="Book Antiqua"/>
          <w:color w:val="000000" w:themeColor="text1"/>
          <w:shd w:val="clear" w:color="auto" w:fill="FFFFFF"/>
          <w:vertAlign w:val="superscript"/>
        </w:rPr>
        <w:t>26]</w:t>
      </w:r>
      <w:r w:rsidRPr="005E5D86">
        <w:rPr>
          <w:rFonts w:ascii="Book Antiqua" w:hAnsi="Book Antiqua"/>
          <w:color w:val="000000" w:themeColor="text1"/>
          <w:shd w:val="clear" w:color="auto" w:fill="FFFFFF"/>
        </w:rPr>
        <w:t xml:space="preserve">. </w:t>
      </w:r>
      <w:r w:rsidR="00166169" w:rsidRPr="005E5D86">
        <w:rPr>
          <w:rFonts w:ascii="Book Antiqua" w:hAnsi="Book Antiqua"/>
          <w:color w:val="000000" w:themeColor="text1"/>
          <w:shd w:val="clear" w:color="auto" w:fill="FFFFFF"/>
        </w:rPr>
        <w:t xml:space="preserve">Oxidative stress is thought to be the driving force of NASH propagating </w:t>
      </w:r>
      <w:r w:rsidR="00047BDB" w:rsidRPr="005E5D86">
        <w:rPr>
          <w:rFonts w:ascii="Book Antiqua" w:hAnsi="Book Antiqua"/>
          <w:color w:val="000000" w:themeColor="text1"/>
          <w:shd w:val="clear" w:color="auto" w:fill="FFFFFF"/>
        </w:rPr>
        <w:t xml:space="preserve">intra-hepatic </w:t>
      </w:r>
      <w:r w:rsidR="00166169" w:rsidRPr="005E5D86">
        <w:rPr>
          <w:rFonts w:ascii="Book Antiqua" w:hAnsi="Book Antiqua"/>
          <w:color w:val="000000" w:themeColor="text1"/>
          <w:shd w:val="clear" w:color="auto" w:fill="FFFFFF"/>
        </w:rPr>
        <w:t xml:space="preserve">proinflammatory </w:t>
      </w:r>
      <w:proofErr w:type="gramStart"/>
      <w:r w:rsidR="00166169" w:rsidRPr="005E5D86">
        <w:rPr>
          <w:rFonts w:ascii="Book Antiqua" w:hAnsi="Book Antiqua"/>
          <w:color w:val="000000" w:themeColor="text1"/>
          <w:shd w:val="clear" w:color="auto" w:fill="FFFFFF"/>
        </w:rPr>
        <w:t>cascades</w:t>
      </w:r>
      <w:r w:rsidR="00C459A2" w:rsidRPr="005E5D86">
        <w:rPr>
          <w:rFonts w:ascii="Book Antiqua" w:hAnsi="Book Antiqua"/>
          <w:color w:val="000000" w:themeColor="text1"/>
          <w:shd w:val="clear" w:color="auto" w:fill="FFFFFF"/>
          <w:vertAlign w:val="superscript"/>
        </w:rPr>
        <w:t>[</w:t>
      </w:r>
      <w:proofErr w:type="gramEnd"/>
      <w:r w:rsidR="00C459A2" w:rsidRPr="005E5D86">
        <w:rPr>
          <w:rFonts w:ascii="Book Antiqua" w:hAnsi="Book Antiqua"/>
          <w:color w:val="000000" w:themeColor="text1"/>
          <w:shd w:val="clear" w:color="auto" w:fill="FFFFFF"/>
          <w:vertAlign w:val="superscript"/>
        </w:rPr>
        <w:t>13,27-30]</w:t>
      </w:r>
      <w:r w:rsidR="00047BDB" w:rsidRPr="005E5D86">
        <w:rPr>
          <w:rFonts w:ascii="Book Antiqua" w:hAnsi="Book Antiqua"/>
          <w:color w:val="000000" w:themeColor="text1"/>
          <w:shd w:val="clear" w:color="auto" w:fill="FFFFFF"/>
        </w:rPr>
        <w:t>.</w:t>
      </w:r>
      <w:r w:rsidR="00F4164D" w:rsidRPr="005E5D86">
        <w:rPr>
          <w:rFonts w:ascii="Book Antiqua" w:hAnsi="Book Antiqua"/>
          <w:color w:val="000000" w:themeColor="text1"/>
          <w:shd w:val="clear" w:color="auto" w:fill="FFFFFF"/>
        </w:rPr>
        <w:t xml:space="preserve"> </w:t>
      </w:r>
      <w:r w:rsidR="00B37234" w:rsidRPr="005E5D86">
        <w:rPr>
          <w:rFonts w:ascii="Book Antiqua" w:hAnsi="Book Antiqua"/>
          <w:color w:val="000000" w:themeColor="text1"/>
          <w:shd w:val="clear" w:color="auto" w:fill="FFFFFF"/>
        </w:rPr>
        <w:t xml:space="preserve">Free fatty acids themselves contribute to inflammatory </w:t>
      </w:r>
      <w:r w:rsidR="00653AED" w:rsidRPr="005E5D86">
        <w:rPr>
          <w:rFonts w:ascii="Book Antiqua" w:hAnsi="Book Antiqua"/>
          <w:color w:val="000000" w:themeColor="text1"/>
          <w:shd w:val="clear" w:color="auto" w:fill="FFFFFF"/>
        </w:rPr>
        <w:t xml:space="preserve">mechanisms </w:t>
      </w:r>
      <w:r w:rsidR="00B37234" w:rsidRPr="005E5D86">
        <w:rPr>
          <w:rFonts w:ascii="Book Antiqua" w:hAnsi="Book Antiqua"/>
          <w:color w:val="000000" w:themeColor="text1"/>
          <w:shd w:val="clear" w:color="auto" w:fill="FFFFFF"/>
        </w:rPr>
        <w:t xml:space="preserve">when they undergo </w:t>
      </w:r>
      <w:proofErr w:type="gramStart"/>
      <w:r w:rsidR="00B37234" w:rsidRPr="005E5D86">
        <w:rPr>
          <w:rFonts w:ascii="Book Antiqua" w:hAnsi="Book Antiqua"/>
          <w:color w:val="000000" w:themeColor="text1"/>
          <w:shd w:val="clear" w:color="auto" w:fill="FFFFFF"/>
        </w:rPr>
        <w:t>esterification</w:t>
      </w:r>
      <w:r w:rsidR="00137BEC" w:rsidRPr="005E5D86">
        <w:rPr>
          <w:rFonts w:ascii="Book Antiqua" w:hAnsi="Book Antiqua"/>
          <w:color w:val="000000" w:themeColor="text1"/>
          <w:shd w:val="clear" w:color="auto" w:fill="FFFFFF"/>
          <w:vertAlign w:val="superscript"/>
        </w:rPr>
        <w:t>[</w:t>
      </w:r>
      <w:proofErr w:type="gramEnd"/>
      <w:r w:rsidR="00C459A2" w:rsidRPr="005E5D86">
        <w:rPr>
          <w:rFonts w:ascii="Book Antiqua" w:hAnsi="Book Antiqua"/>
          <w:color w:val="000000" w:themeColor="text1"/>
          <w:shd w:val="clear" w:color="auto" w:fill="FFFFFF"/>
          <w:vertAlign w:val="superscript"/>
        </w:rPr>
        <w:t>31]</w:t>
      </w:r>
      <w:r w:rsidR="00B37234" w:rsidRPr="005E5D86">
        <w:rPr>
          <w:rFonts w:ascii="Book Antiqua" w:hAnsi="Book Antiqua"/>
          <w:color w:val="000000" w:themeColor="text1"/>
          <w:shd w:val="clear" w:color="auto" w:fill="FFFFFF"/>
        </w:rPr>
        <w:t xml:space="preserve">. </w:t>
      </w:r>
      <w:r w:rsidR="00F4164D" w:rsidRPr="005E5D86">
        <w:rPr>
          <w:rFonts w:ascii="Book Antiqua" w:hAnsi="Book Antiqua"/>
          <w:color w:val="000000" w:themeColor="text1"/>
          <w:shd w:val="clear" w:color="auto" w:fill="FFFFFF"/>
        </w:rPr>
        <w:t>The</w:t>
      </w:r>
      <w:r w:rsidR="00047BDB" w:rsidRPr="005E5D86">
        <w:rPr>
          <w:rFonts w:ascii="Book Antiqua" w:hAnsi="Book Antiqua"/>
          <w:color w:val="000000" w:themeColor="text1"/>
          <w:shd w:val="clear" w:color="auto" w:fill="FFFFFF"/>
        </w:rPr>
        <w:t xml:space="preserve"> </w:t>
      </w:r>
      <w:r w:rsidR="00164166" w:rsidRPr="005E5D86">
        <w:rPr>
          <w:rFonts w:ascii="Book Antiqua" w:hAnsi="Book Antiqua"/>
          <w:color w:val="000000" w:themeColor="text1"/>
          <w:shd w:val="clear" w:color="auto" w:fill="FFFFFF"/>
        </w:rPr>
        <w:t xml:space="preserve">liver is an important immune tissue containing the largest number of macrophages and other immune </w:t>
      </w:r>
      <w:proofErr w:type="gramStart"/>
      <w:r w:rsidR="00164166" w:rsidRPr="005E5D86">
        <w:rPr>
          <w:rFonts w:ascii="Book Antiqua" w:hAnsi="Book Antiqua"/>
          <w:color w:val="000000" w:themeColor="text1"/>
          <w:shd w:val="clear" w:color="auto" w:fill="FFFFFF"/>
        </w:rPr>
        <w:t>cells</w:t>
      </w:r>
      <w:r w:rsidR="003B1D0B" w:rsidRPr="005E5D86">
        <w:rPr>
          <w:rFonts w:ascii="Book Antiqua" w:hAnsi="Book Antiqua"/>
          <w:color w:val="000000" w:themeColor="text1"/>
          <w:shd w:val="clear" w:color="auto" w:fill="FFFFFF"/>
          <w:vertAlign w:val="superscript"/>
        </w:rPr>
        <w:t>[</w:t>
      </w:r>
      <w:proofErr w:type="gramEnd"/>
      <w:r w:rsidR="003B1D0B" w:rsidRPr="005E5D86">
        <w:rPr>
          <w:rFonts w:ascii="Book Antiqua" w:hAnsi="Book Antiqua"/>
          <w:color w:val="000000" w:themeColor="text1"/>
          <w:shd w:val="clear" w:color="auto" w:fill="FFFFFF"/>
          <w:vertAlign w:val="superscript"/>
        </w:rPr>
        <w:t>32]</w:t>
      </w:r>
      <w:r w:rsidR="00164166" w:rsidRPr="005E5D86">
        <w:rPr>
          <w:rFonts w:ascii="Book Antiqua" w:hAnsi="Book Antiqua"/>
          <w:color w:val="000000" w:themeColor="text1"/>
          <w:shd w:val="clear" w:color="auto" w:fill="FFFFFF"/>
        </w:rPr>
        <w:t>.</w:t>
      </w:r>
      <w:r w:rsidR="00CE6519" w:rsidRPr="005E5D86">
        <w:rPr>
          <w:rFonts w:ascii="Book Antiqua" w:hAnsi="Book Antiqua"/>
          <w:color w:val="000000" w:themeColor="text1"/>
          <w:shd w:val="clear" w:color="auto" w:fill="FFFFFF"/>
        </w:rPr>
        <w:t xml:space="preserve"> </w:t>
      </w:r>
      <w:r w:rsidR="00747182" w:rsidRPr="005E5D86">
        <w:rPr>
          <w:rFonts w:ascii="Book Antiqua" w:hAnsi="Book Antiqua"/>
          <w:color w:val="000000" w:themeColor="text1"/>
          <w:shd w:val="clear" w:color="auto" w:fill="FFFFFF"/>
        </w:rPr>
        <w:t xml:space="preserve">Hence, </w:t>
      </w:r>
      <w:r w:rsidR="00CE6519" w:rsidRPr="005E5D86">
        <w:rPr>
          <w:rFonts w:ascii="Book Antiqua" w:hAnsi="Book Antiqua"/>
          <w:color w:val="000000" w:themeColor="text1"/>
          <w:shd w:val="clear" w:color="auto" w:fill="FFFFFF"/>
        </w:rPr>
        <w:t>d</w:t>
      </w:r>
      <w:r w:rsidR="00164166" w:rsidRPr="005E5D86">
        <w:rPr>
          <w:rFonts w:ascii="Book Antiqua" w:hAnsi="Book Antiqua"/>
          <w:color w:val="000000" w:themeColor="text1"/>
          <w:shd w:val="clear" w:color="auto" w:fill="FFFFFF"/>
        </w:rPr>
        <w:t xml:space="preserve">iseased liver will drain </w:t>
      </w:r>
      <w:r w:rsidR="00BA14C7" w:rsidRPr="005E5D86">
        <w:rPr>
          <w:rFonts w:ascii="Book Antiqua" w:hAnsi="Book Antiqua"/>
          <w:color w:val="000000" w:themeColor="text1"/>
          <w:shd w:val="clear" w:color="auto" w:fill="FFFFFF"/>
        </w:rPr>
        <w:t xml:space="preserve">an increasing number of </w:t>
      </w:r>
      <w:r w:rsidR="00164166" w:rsidRPr="005E5D86">
        <w:rPr>
          <w:rFonts w:ascii="Book Antiqua" w:hAnsi="Book Antiqua"/>
          <w:color w:val="000000" w:themeColor="text1"/>
          <w:shd w:val="clear" w:color="auto" w:fill="FFFFFF"/>
        </w:rPr>
        <w:t xml:space="preserve">cytokines into systemic circulation and </w:t>
      </w:r>
      <w:r w:rsidR="00CE6519" w:rsidRPr="005E5D86">
        <w:rPr>
          <w:rFonts w:ascii="Book Antiqua" w:hAnsi="Book Antiqua"/>
          <w:color w:val="000000" w:themeColor="text1"/>
          <w:shd w:val="clear" w:color="auto" w:fill="FFFFFF"/>
        </w:rPr>
        <w:t>promote</w:t>
      </w:r>
      <w:r w:rsidR="00164166" w:rsidRPr="005E5D86">
        <w:rPr>
          <w:rFonts w:ascii="Book Antiqua" w:hAnsi="Book Antiqua"/>
          <w:color w:val="000000" w:themeColor="text1"/>
          <w:shd w:val="clear" w:color="auto" w:fill="FFFFFF"/>
        </w:rPr>
        <w:t xml:space="preserve"> </w:t>
      </w:r>
      <w:r w:rsidR="00FF4BBD" w:rsidRPr="005E5D86">
        <w:rPr>
          <w:rFonts w:ascii="Book Antiqua" w:hAnsi="Book Antiqua"/>
          <w:color w:val="000000" w:themeColor="text1"/>
          <w:shd w:val="clear" w:color="auto" w:fill="FFFFFF"/>
        </w:rPr>
        <w:t>extrahepatic</w:t>
      </w:r>
      <w:r w:rsidR="00CE6519" w:rsidRPr="005E5D86">
        <w:rPr>
          <w:rFonts w:ascii="Book Antiqua" w:hAnsi="Book Antiqua"/>
          <w:color w:val="000000" w:themeColor="text1"/>
          <w:shd w:val="clear" w:color="auto" w:fill="FFFFFF"/>
        </w:rPr>
        <w:t xml:space="preserve"> </w:t>
      </w:r>
      <w:r w:rsidR="00164166" w:rsidRPr="005E5D86">
        <w:rPr>
          <w:rFonts w:ascii="Book Antiqua" w:hAnsi="Book Antiqua"/>
          <w:color w:val="000000" w:themeColor="text1"/>
          <w:shd w:val="clear" w:color="auto" w:fill="FFFFFF"/>
        </w:rPr>
        <w:t>inflammatio</w:t>
      </w:r>
      <w:r w:rsidR="00BA14C7" w:rsidRPr="005E5D86">
        <w:rPr>
          <w:rFonts w:ascii="Book Antiqua" w:hAnsi="Book Antiqua"/>
          <w:color w:val="000000" w:themeColor="text1"/>
          <w:shd w:val="clear" w:color="auto" w:fill="FFFFFF"/>
        </w:rPr>
        <w:t>n</w:t>
      </w:r>
      <w:r w:rsidR="00CE6519" w:rsidRPr="005E5D86">
        <w:rPr>
          <w:rFonts w:ascii="Book Antiqua" w:hAnsi="Book Antiqua"/>
          <w:color w:val="000000" w:themeColor="text1"/>
          <w:shd w:val="clear" w:color="auto" w:fill="FFFFFF"/>
        </w:rPr>
        <w:t>. Systemic cytokines and i</w:t>
      </w:r>
      <w:r w:rsidR="00047BDB" w:rsidRPr="005E5D86">
        <w:rPr>
          <w:rFonts w:ascii="Book Antiqua" w:hAnsi="Book Antiqua"/>
          <w:color w:val="000000" w:themeColor="text1"/>
          <w:shd w:val="clear" w:color="auto" w:fill="FFFFFF"/>
        </w:rPr>
        <w:t>nflammatory markers</w:t>
      </w:r>
      <w:r w:rsidR="00CE6519" w:rsidRPr="005E5D86">
        <w:rPr>
          <w:rFonts w:ascii="Book Antiqua" w:hAnsi="Book Antiqua"/>
          <w:color w:val="000000" w:themeColor="text1"/>
          <w:shd w:val="clear" w:color="auto" w:fill="FFFFFF"/>
        </w:rPr>
        <w:t xml:space="preserve"> are </w:t>
      </w:r>
      <w:r w:rsidR="00597113" w:rsidRPr="005E5D86">
        <w:rPr>
          <w:rFonts w:ascii="Book Antiqua" w:hAnsi="Book Antiqua"/>
          <w:color w:val="000000" w:themeColor="text1"/>
          <w:shd w:val="clear" w:color="auto" w:fill="FFFFFF"/>
        </w:rPr>
        <w:t xml:space="preserve">also </w:t>
      </w:r>
      <w:r w:rsidR="00CE6519" w:rsidRPr="005E5D86">
        <w:rPr>
          <w:rFonts w:ascii="Book Antiqua" w:hAnsi="Book Antiqua"/>
          <w:color w:val="000000" w:themeColor="text1"/>
          <w:shd w:val="clear" w:color="auto" w:fill="FFFFFF"/>
        </w:rPr>
        <w:t xml:space="preserve">associated with </w:t>
      </w:r>
      <w:r w:rsidR="00747182" w:rsidRPr="005E5D86">
        <w:rPr>
          <w:rFonts w:ascii="Book Antiqua" w:hAnsi="Book Antiqua"/>
          <w:color w:val="000000" w:themeColor="text1"/>
          <w:shd w:val="clear" w:color="auto" w:fill="FFFFFF"/>
        </w:rPr>
        <w:t xml:space="preserve">secondary cardiovascular </w:t>
      </w:r>
      <w:proofErr w:type="gramStart"/>
      <w:r w:rsidR="00747182" w:rsidRPr="005E5D86">
        <w:rPr>
          <w:rFonts w:ascii="Book Antiqua" w:hAnsi="Book Antiqua"/>
          <w:color w:val="000000" w:themeColor="text1"/>
          <w:shd w:val="clear" w:color="auto" w:fill="FFFFFF"/>
        </w:rPr>
        <w:t>effects</w:t>
      </w:r>
      <w:r w:rsidR="00C459A2" w:rsidRPr="005E5D86">
        <w:rPr>
          <w:rFonts w:ascii="Book Antiqua" w:hAnsi="Book Antiqua"/>
          <w:color w:val="000000" w:themeColor="text1"/>
          <w:shd w:val="clear" w:color="auto" w:fill="FFFFFF"/>
          <w:vertAlign w:val="superscript"/>
        </w:rPr>
        <w:t>[</w:t>
      </w:r>
      <w:proofErr w:type="gramEnd"/>
      <w:r w:rsidR="00C459A2" w:rsidRPr="005E5D86">
        <w:rPr>
          <w:rFonts w:ascii="Book Antiqua" w:hAnsi="Book Antiqua"/>
          <w:color w:val="000000" w:themeColor="text1"/>
          <w:shd w:val="clear" w:color="auto" w:fill="FFFFFF"/>
          <w:vertAlign w:val="superscript"/>
        </w:rPr>
        <w:t>29,30]</w:t>
      </w:r>
      <w:r w:rsidR="00CE6519" w:rsidRPr="005E5D86">
        <w:rPr>
          <w:rFonts w:ascii="Book Antiqua" w:hAnsi="Book Antiqua"/>
          <w:color w:val="000000" w:themeColor="text1"/>
          <w:shd w:val="clear" w:color="auto" w:fill="FFFFFF"/>
        </w:rPr>
        <w:t xml:space="preserve">. </w:t>
      </w:r>
      <w:r w:rsidR="0058017D" w:rsidRPr="005E5D86">
        <w:rPr>
          <w:rFonts w:ascii="Book Antiqua" w:hAnsi="Book Antiqua"/>
          <w:color w:val="000000" w:themeColor="text1"/>
          <w:shd w:val="clear" w:color="auto" w:fill="FFFFFF"/>
        </w:rPr>
        <w:t xml:space="preserve">Chronic inflammatory diseases such as rheumatoid arthritis and systemic lupus erythematosus have been associated with higher risks of </w:t>
      </w:r>
      <w:r w:rsidR="00FF1653" w:rsidRPr="005E5D86">
        <w:rPr>
          <w:rFonts w:ascii="Book Antiqua" w:hAnsi="Book Antiqua"/>
          <w:color w:val="000000" w:themeColor="text1"/>
          <w:shd w:val="clear" w:color="auto" w:fill="FFFFFF"/>
        </w:rPr>
        <w:t>atherosclerotic</w:t>
      </w:r>
      <w:r w:rsidR="0058017D" w:rsidRPr="005E5D86">
        <w:rPr>
          <w:rFonts w:ascii="Book Antiqua" w:hAnsi="Book Antiqua"/>
          <w:color w:val="000000" w:themeColor="text1"/>
          <w:shd w:val="clear" w:color="auto" w:fill="FFFFFF"/>
        </w:rPr>
        <w:t xml:space="preserve"> diseases and arterial thromboembolic events including </w:t>
      </w:r>
      <w:proofErr w:type="gramStart"/>
      <w:r w:rsidR="0058017D" w:rsidRPr="005E5D86">
        <w:rPr>
          <w:rFonts w:ascii="Book Antiqua" w:hAnsi="Book Antiqua"/>
          <w:color w:val="000000" w:themeColor="text1"/>
          <w:shd w:val="clear" w:color="auto" w:fill="FFFFFF"/>
        </w:rPr>
        <w:t>MI</w:t>
      </w:r>
      <w:r w:rsidR="009E69C3" w:rsidRPr="005E5D86">
        <w:rPr>
          <w:rFonts w:ascii="Book Antiqua" w:hAnsi="Book Antiqua"/>
          <w:color w:val="000000" w:themeColor="text1"/>
          <w:shd w:val="clear" w:color="auto" w:fill="FFFFFF"/>
          <w:vertAlign w:val="superscript"/>
        </w:rPr>
        <w:t>[</w:t>
      </w:r>
      <w:proofErr w:type="gramEnd"/>
      <w:r w:rsidR="009E69C3" w:rsidRPr="005E5D86">
        <w:rPr>
          <w:rFonts w:ascii="Book Antiqua" w:hAnsi="Book Antiqua"/>
          <w:color w:val="000000" w:themeColor="text1"/>
          <w:shd w:val="clear" w:color="auto" w:fill="FFFFFF"/>
          <w:vertAlign w:val="superscript"/>
        </w:rPr>
        <w:t>33</w:t>
      </w:r>
      <w:r w:rsidR="00CF77EB">
        <w:rPr>
          <w:rFonts w:ascii="Book Antiqua" w:hAnsi="Book Antiqua"/>
          <w:color w:val="000000" w:themeColor="text1"/>
          <w:shd w:val="clear" w:color="auto" w:fill="FFFFFF"/>
          <w:vertAlign w:val="superscript"/>
        </w:rPr>
        <w:t>,</w:t>
      </w:r>
      <w:r w:rsidR="003F2AF0" w:rsidRPr="005E5D86">
        <w:rPr>
          <w:rFonts w:ascii="Book Antiqua" w:hAnsi="Book Antiqua"/>
          <w:color w:val="000000" w:themeColor="text1"/>
          <w:shd w:val="clear" w:color="auto" w:fill="FFFFFF"/>
          <w:vertAlign w:val="superscript"/>
        </w:rPr>
        <w:t>34</w:t>
      </w:r>
      <w:r w:rsidR="009E69C3" w:rsidRPr="005E5D86">
        <w:rPr>
          <w:rFonts w:ascii="Book Antiqua" w:hAnsi="Book Antiqua"/>
          <w:color w:val="000000" w:themeColor="text1"/>
          <w:shd w:val="clear" w:color="auto" w:fill="FFFFFF"/>
          <w:vertAlign w:val="superscript"/>
        </w:rPr>
        <w:t>]</w:t>
      </w:r>
      <w:r w:rsidR="0058017D" w:rsidRPr="005E5D86">
        <w:rPr>
          <w:rFonts w:ascii="Book Antiqua" w:hAnsi="Book Antiqua"/>
          <w:color w:val="000000" w:themeColor="text1"/>
          <w:shd w:val="clear" w:color="auto" w:fill="FFFFFF"/>
        </w:rPr>
        <w:t xml:space="preserve">. </w:t>
      </w:r>
      <w:r w:rsidR="002F6143" w:rsidRPr="005E5D86">
        <w:rPr>
          <w:rFonts w:ascii="Book Antiqua" w:hAnsi="Book Antiqua"/>
          <w:color w:val="000000" w:themeColor="text1"/>
          <w:shd w:val="clear" w:color="auto" w:fill="FFFFFF"/>
        </w:rPr>
        <w:t xml:space="preserve">A procoagulant imbalance exists and is worse in </w:t>
      </w:r>
      <w:proofErr w:type="gramStart"/>
      <w:r w:rsidR="002F6143" w:rsidRPr="005E5D86">
        <w:rPr>
          <w:rFonts w:ascii="Book Antiqua" w:hAnsi="Book Antiqua"/>
          <w:color w:val="000000" w:themeColor="text1"/>
          <w:shd w:val="clear" w:color="auto" w:fill="FFFFFF"/>
        </w:rPr>
        <w:t>NASH</w:t>
      </w:r>
      <w:r w:rsidR="00856CFC" w:rsidRPr="005E5D86">
        <w:rPr>
          <w:rFonts w:ascii="Book Antiqua" w:hAnsi="Book Antiqua"/>
          <w:color w:val="000000" w:themeColor="text1"/>
          <w:shd w:val="clear" w:color="auto" w:fill="FFFFFF"/>
          <w:vertAlign w:val="superscript"/>
        </w:rPr>
        <w:t>[</w:t>
      </w:r>
      <w:proofErr w:type="gramEnd"/>
      <w:r w:rsidR="001E68ED" w:rsidRPr="005E5D86">
        <w:rPr>
          <w:rFonts w:ascii="Book Antiqua" w:hAnsi="Book Antiqua"/>
          <w:color w:val="000000" w:themeColor="text1"/>
          <w:shd w:val="clear" w:color="auto" w:fill="FFFFFF"/>
          <w:vertAlign w:val="superscript"/>
        </w:rPr>
        <w:t>18</w:t>
      </w:r>
      <w:r w:rsidR="00856CFC" w:rsidRPr="005E5D86">
        <w:rPr>
          <w:rFonts w:ascii="Book Antiqua" w:hAnsi="Book Antiqua"/>
          <w:color w:val="000000" w:themeColor="text1"/>
          <w:shd w:val="clear" w:color="auto" w:fill="FFFFFF"/>
          <w:vertAlign w:val="superscript"/>
        </w:rPr>
        <w:t>]</w:t>
      </w:r>
      <w:r w:rsidR="002F6143" w:rsidRPr="005E5D86">
        <w:rPr>
          <w:rFonts w:ascii="Book Antiqua" w:hAnsi="Book Antiqua"/>
          <w:color w:val="000000" w:themeColor="text1"/>
          <w:shd w:val="clear" w:color="auto" w:fill="FFFFFF"/>
        </w:rPr>
        <w:t xml:space="preserve">. </w:t>
      </w:r>
      <w:r w:rsidR="00CE6519" w:rsidRPr="005E5D86">
        <w:rPr>
          <w:rFonts w:ascii="Book Antiqua" w:hAnsi="Book Antiqua"/>
          <w:color w:val="000000" w:themeColor="text1"/>
          <w:shd w:val="clear" w:color="auto" w:fill="FFFFFF"/>
        </w:rPr>
        <w:t>Since</w:t>
      </w:r>
      <w:r w:rsidR="00FF1653" w:rsidRPr="005E5D86">
        <w:rPr>
          <w:rFonts w:ascii="Book Antiqua" w:hAnsi="Book Antiqua"/>
          <w:color w:val="000000" w:themeColor="text1"/>
          <w:shd w:val="clear" w:color="auto" w:fill="FFFFFF"/>
        </w:rPr>
        <w:t xml:space="preserve"> NASH is a </w:t>
      </w:r>
      <w:r w:rsidR="005F66E4" w:rsidRPr="005E5D86">
        <w:rPr>
          <w:rFonts w:ascii="Book Antiqua" w:hAnsi="Book Antiqua"/>
          <w:color w:val="000000" w:themeColor="text1"/>
          <w:shd w:val="clear" w:color="auto" w:fill="FFFFFF"/>
        </w:rPr>
        <w:t>severe</w:t>
      </w:r>
      <w:r w:rsidR="00FF1653" w:rsidRPr="005E5D86">
        <w:rPr>
          <w:rFonts w:ascii="Book Antiqua" w:hAnsi="Book Antiqua"/>
          <w:color w:val="000000" w:themeColor="text1"/>
          <w:shd w:val="clear" w:color="auto" w:fill="FFFFFF"/>
        </w:rPr>
        <w:t xml:space="preserve"> inflammatory </w:t>
      </w:r>
      <w:r w:rsidR="00CE6519" w:rsidRPr="005E5D86">
        <w:rPr>
          <w:rFonts w:ascii="Book Antiqua" w:hAnsi="Book Antiqua"/>
          <w:color w:val="000000" w:themeColor="text1"/>
          <w:shd w:val="clear" w:color="auto" w:fill="FFFFFF"/>
        </w:rPr>
        <w:t xml:space="preserve">subtype of NAFLD we </w:t>
      </w:r>
      <w:r w:rsidR="005F66E4" w:rsidRPr="005E5D86">
        <w:rPr>
          <w:rFonts w:ascii="Book Antiqua" w:hAnsi="Book Antiqua"/>
          <w:color w:val="000000" w:themeColor="text1"/>
          <w:shd w:val="clear" w:color="auto" w:fill="FFFFFF"/>
        </w:rPr>
        <w:t>hypothesize that</w:t>
      </w:r>
      <w:r w:rsidR="00BA14C7" w:rsidRPr="005E5D86">
        <w:rPr>
          <w:rFonts w:ascii="Book Antiqua" w:hAnsi="Book Antiqua"/>
          <w:color w:val="000000" w:themeColor="text1"/>
          <w:shd w:val="clear" w:color="auto" w:fill="FFFFFF"/>
        </w:rPr>
        <w:t xml:space="preserve"> NASH</w:t>
      </w:r>
      <w:r w:rsidR="003A467E" w:rsidRPr="005E5D86">
        <w:rPr>
          <w:rFonts w:ascii="Book Antiqua" w:hAnsi="Book Antiqua"/>
          <w:color w:val="000000" w:themeColor="text1"/>
          <w:shd w:val="clear" w:color="auto" w:fill="FFFFFF"/>
        </w:rPr>
        <w:t xml:space="preserve"> </w:t>
      </w:r>
      <w:r w:rsidR="005F66E4" w:rsidRPr="005E5D86">
        <w:rPr>
          <w:rFonts w:ascii="Book Antiqua" w:hAnsi="Book Antiqua"/>
          <w:color w:val="000000" w:themeColor="text1"/>
          <w:shd w:val="clear" w:color="auto" w:fill="FFFFFF"/>
        </w:rPr>
        <w:t>is an independent risk factor</w:t>
      </w:r>
      <w:r w:rsidR="00747182" w:rsidRPr="005E5D86">
        <w:rPr>
          <w:rFonts w:ascii="Book Antiqua" w:hAnsi="Book Antiqua"/>
          <w:color w:val="000000" w:themeColor="text1"/>
          <w:shd w:val="clear" w:color="auto" w:fill="FFFFFF"/>
        </w:rPr>
        <w:t xml:space="preserve"> MI</w:t>
      </w:r>
      <w:r w:rsidR="005F66E4" w:rsidRPr="005E5D86">
        <w:rPr>
          <w:rFonts w:ascii="Book Antiqua" w:hAnsi="Book Antiqua"/>
          <w:color w:val="000000" w:themeColor="text1"/>
          <w:shd w:val="clear" w:color="auto" w:fill="FFFFFF"/>
        </w:rPr>
        <w:t xml:space="preserve">. </w:t>
      </w:r>
      <w:r w:rsidR="00691BCB" w:rsidRPr="005E5D86">
        <w:rPr>
          <w:rFonts w:ascii="Book Antiqua" w:hAnsi="Book Antiqua"/>
          <w:color w:val="000000" w:themeColor="text1"/>
          <w:shd w:val="clear" w:color="auto" w:fill="FFFFFF"/>
        </w:rPr>
        <w:t xml:space="preserve">Previous </w:t>
      </w:r>
      <w:r w:rsidR="005F66E4" w:rsidRPr="005E5D86">
        <w:rPr>
          <w:rFonts w:ascii="Book Antiqua" w:hAnsi="Book Antiqua"/>
          <w:color w:val="000000" w:themeColor="text1"/>
          <w:shd w:val="clear" w:color="auto" w:fill="FFFFFF"/>
        </w:rPr>
        <w:t xml:space="preserve">cross-sectional studies have </w:t>
      </w:r>
      <w:r w:rsidR="002978E2" w:rsidRPr="005E5D86">
        <w:rPr>
          <w:rFonts w:ascii="Book Antiqua" w:hAnsi="Book Antiqua"/>
          <w:color w:val="000000" w:themeColor="text1"/>
          <w:shd w:val="clear" w:color="auto" w:fill="FFFFFF"/>
        </w:rPr>
        <w:t>grouped</w:t>
      </w:r>
      <w:r w:rsidR="00691BCB" w:rsidRPr="005E5D86">
        <w:rPr>
          <w:rFonts w:ascii="Book Antiqua" w:hAnsi="Book Antiqua"/>
          <w:color w:val="000000" w:themeColor="text1"/>
          <w:shd w:val="clear" w:color="auto" w:fill="FFFFFF"/>
        </w:rPr>
        <w:t xml:space="preserve"> NASH and </w:t>
      </w:r>
      <w:r w:rsidR="00EE7B70" w:rsidRPr="005E5D86">
        <w:rPr>
          <w:rFonts w:ascii="Book Antiqua" w:hAnsi="Book Antiqua"/>
          <w:color w:val="000000" w:themeColor="text1"/>
          <w:shd w:val="clear" w:color="auto" w:fill="FFFFFF"/>
        </w:rPr>
        <w:t>NAFLD</w:t>
      </w:r>
      <w:r w:rsidR="002978E2" w:rsidRPr="005E5D86">
        <w:rPr>
          <w:rFonts w:ascii="Book Antiqua" w:hAnsi="Book Antiqua"/>
          <w:color w:val="000000" w:themeColor="text1"/>
          <w:shd w:val="clear" w:color="auto" w:fill="FFFFFF"/>
        </w:rPr>
        <w:t xml:space="preserve"> as a single disease entity</w:t>
      </w:r>
      <w:r w:rsidR="00691BCB" w:rsidRPr="005E5D86">
        <w:rPr>
          <w:rFonts w:ascii="Book Antiqua" w:hAnsi="Book Antiqua"/>
          <w:color w:val="000000" w:themeColor="text1"/>
          <w:shd w:val="clear" w:color="auto" w:fill="FFFFFF"/>
        </w:rPr>
        <w:t xml:space="preserve">. We believe by doing so, </w:t>
      </w:r>
      <w:r w:rsidR="005F66E4" w:rsidRPr="005E5D86">
        <w:rPr>
          <w:rFonts w:ascii="Book Antiqua" w:hAnsi="Book Antiqua"/>
          <w:color w:val="000000" w:themeColor="text1"/>
          <w:shd w:val="clear" w:color="auto" w:fill="FFFFFF"/>
        </w:rPr>
        <w:t xml:space="preserve">the </w:t>
      </w:r>
      <w:r w:rsidR="00691BCB" w:rsidRPr="005E5D86">
        <w:rPr>
          <w:rFonts w:ascii="Book Antiqua" w:hAnsi="Book Antiqua"/>
          <w:color w:val="000000" w:themeColor="text1"/>
          <w:shd w:val="clear" w:color="auto" w:fill="FFFFFF"/>
        </w:rPr>
        <w:t>authors might have created a null effect and subsequently contributed to the heterogeneity</w:t>
      </w:r>
      <w:r w:rsidR="002978E2" w:rsidRPr="005E5D86">
        <w:rPr>
          <w:rFonts w:ascii="Book Antiqua" w:hAnsi="Book Antiqua"/>
          <w:color w:val="000000" w:themeColor="text1"/>
          <w:shd w:val="clear" w:color="auto" w:fill="FFFFFF"/>
        </w:rPr>
        <w:t xml:space="preserve"> in outcomes </w:t>
      </w:r>
      <w:r w:rsidR="002978E2" w:rsidRPr="005E5D86">
        <w:rPr>
          <w:rFonts w:ascii="Book Antiqua" w:hAnsi="Book Antiqua"/>
          <w:color w:val="000000" w:themeColor="text1"/>
          <w:shd w:val="clear" w:color="auto" w:fill="FFFFFF"/>
        </w:rPr>
        <w:lastRenderedPageBreak/>
        <w:t>reported</w:t>
      </w:r>
      <w:r w:rsidR="00691BCB" w:rsidRPr="005E5D86">
        <w:rPr>
          <w:rFonts w:ascii="Book Antiqua" w:hAnsi="Book Antiqua"/>
          <w:color w:val="000000" w:themeColor="text1"/>
          <w:shd w:val="clear" w:color="auto" w:fill="FFFFFF"/>
        </w:rPr>
        <w:t>.</w:t>
      </w:r>
      <w:r w:rsidR="00BF00F7" w:rsidRPr="005E5D86">
        <w:rPr>
          <w:rFonts w:ascii="Book Antiqua" w:hAnsi="Book Antiqua"/>
          <w:color w:val="000000" w:themeColor="text1"/>
          <w:shd w:val="clear" w:color="auto" w:fill="FFFFFF"/>
        </w:rPr>
        <w:t xml:space="preserve"> </w:t>
      </w:r>
      <w:r w:rsidR="00C81F22" w:rsidRPr="005E5D86">
        <w:rPr>
          <w:rFonts w:ascii="Book Antiqua" w:hAnsi="Book Antiqua"/>
          <w:color w:val="000000" w:themeColor="text1"/>
          <w:shd w:val="clear" w:color="auto" w:fill="FFFFFF"/>
        </w:rPr>
        <w:t>Hence, f</w:t>
      </w:r>
      <w:r w:rsidR="00131552" w:rsidRPr="005E5D86">
        <w:rPr>
          <w:rFonts w:ascii="Book Antiqua" w:hAnsi="Book Antiqua"/>
          <w:color w:val="000000" w:themeColor="text1"/>
          <w:shd w:val="clear" w:color="auto" w:fill="FFFFFF"/>
        </w:rPr>
        <w:t xml:space="preserve">urther </w:t>
      </w:r>
      <w:r w:rsidR="00D819A7" w:rsidRPr="005E5D86">
        <w:rPr>
          <w:rFonts w:ascii="Book Antiqua" w:hAnsi="Book Antiqua"/>
          <w:color w:val="000000" w:themeColor="text1"/>
          <w:shd w:val="clear" w:color="auto" w:fill="FFFFFF"/>
        </w:rPr>
        <w:t xml:space="preserve">methodologically stringent </w:t>
      </w:r>
      <w:r w:rsidR="00131552" w:rsidRPr="005E5D86">
        <w:rPr>
          <w:rFonts w:ascii="Book Antiqua" w:hAnsi="Book Antiqua"/>
          <w:color w:val="000000" w:themeColor="text1"/>
          <w:shd w:val="clear" w:color="auto" w:fill="FFFFFF"/>
        </w:rPr>
        <w:t xml:space="preserve">studies </w:t>
      </w:r>
      <w:r w:rsidR="00D819A7" w:rsidRPr="005E5D86">
        <w:rPr>
          <w:rFonts w:ascii="Book Antiqua" w:hAnsi="Book Antiqua"/>
          <w:color w:val="000000" w:themeColor="text1"/>
          <w:shd w:val="clear" w:color="auto" w:fill="FFFFFF"/>
        </w:rPr>
        <w:t xml:space="preserve">with long-term follow up </w:t>
      </w:r>
      <w:r w:rsidR="00131552" w:rsidRPr="005E5D86">
        <w:rPr>
          <w:rFonts w:ascii="Book Antiqua" w:hAnsi="Book Antiqua"/>
          <w:color w:val="000000" w:themeColor="text1"/>
          <w:shd w:val="clear" w:color="auto" w:fill="FFFFFF"/>
        </w:rPr>
        <w:t>are needed to gain mechanistic insight into</w:t>
      </w:r>
      <w:r w:rsidR="00BD0E1F" w:rsidRPr="005E5D86">
        <w:rPr>
          <w:rFonts w:ascii="Book Antiqua" w:hAnsi="Book Antiqua"/>
          <w:color w:val="000000" w:themeColor="text1"/>
          <w:shd w:val="clear" w:color="auto" w:fill="FFFFFF"/>
        </w:rPr>
        <w:t xml:space="preserve"> </w:t>
      </w:r>
      <w:r w:rsidR="008D5EC7" w:rsidRPr="005E5D86">
        <w:rPr>
          <w:rFonts w:ascii="Book Antiqua" w:hAnsi="Book Antiqua"/>
          <w:color w:val="000000" w:themeColor="text1"/>
          <w:shd w:val="clear" w:color="auto" w:fill="FFFFFF"/>
        </w:rPr>
        <w:t>the pathology of NASH-</w:t>
      </w:r>
      <w:r w:rsidR="00BD0E1F" w:rsidRPr="005E5D86">
        <w:rPr>
          <w:rFonts w:ascii="Book Antiqua" w:hAnsi="Book Antiqua"/>
          <w:color w:val="000000" w:themeColor="text1"/>
          <w:shd w:val="clear" w:color="auto" w:fill="FFFFFF"/>
        </w:rPr>
        <w:t>MI</w:t>
      </w:r>
      <w:r w:rsidR="008D5EC7" w:rsidRPr="005E5D86">
        <w:rPr>
          <w:rFonts w:ascii="Book Antiqua" w:hAnsi="Book Antiqua"/>
          <w:color w:val="000000" w:themeColor="text1"/>
          <w:shd w:val="clear" w:color="auto" w:fill="FFFFFF"/>
        </w:rPr>
        <w:t xml:space="preserve"> axis</w:t>
      </w:r>
      <w:r w:rsidR="00131552" w:rsidRPr="005E5D86">
        <w:rPr>
          <w:rFonts w:ascii="Book Antiqua" w:hAnsi="Book Antiqua"/>
          <w:color w:val="000000" w:themeColor="text1"/>
          <w:shd w:val="clear" w:color="auto" w:fill="FFFFFF"/>
        </w:rPr>
        <w:t>.</w:t>
      </w:r>
    </w:p>
    <w:p w:rsidR="008C51DC" w:rsidRPr="005E5D86" w:rsidRDefault="00704149" w:rsidP="005E5D86">
      <w:pPr>
        <w:snapToGrid w:val="0"/>
        <w:spacing w:line="360" w:lineRule="auto"/>
        <w:ind w:firstLine="720"/>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NAFLD</w:t>
      </w:r>
      <w:r w:rsidR="006A19A4" w:rsidRPr="005E5D86">
        <w:rPr>
          <w:rFonts w:ascii="Book Antiqua" w:hAnsi="Book Antiqua"/>
          <w:color w:val="000000" w:themeColor="text1"/>
          <w:shd w:val="clear" w:color="auto" w:fill="FFFFFF"/>
        </w:rPr>
        <w:t xml:space="preserve"> is </w:t>
      </w:r>
      <w:r w:rsidR="00486FB9" w:rsidRPr="005E5D86">
        <w:rPr>
          <w:rFonts w:ascii="Book Antiqua" w:hAnsi="Book Antiqua"/>
          <w:color w:val="000000" w:themeColor="text1"/>
          <w:shd w:val="clear" w:color="auto" w:fill="FFFFFF"/>
        </w:rPr>
        <w:t xml:space="preserve">part of a systemic disease </w:t>
      </w:r>
      <w:r w:rsidR="006A19A4" w:rsidRPr="005E5D86">
        <w:rPr>
          <w:rFonts w:ascii="Book Antiqua" w:hAnsi="Book Antiqua"/>
          <w:color w:val="000000" w:themeColor="text1"/>
          <w:shd w:val="clear" w:color="auto" w:fill="FFFFFF"/>
        </w:rPr>
        <w:t xml:space="preserve">with complex </w:t>
      </w:r>
      <w:r w:rsidR="00486FB9" w:rsidRPr="005E5D86">
        <w:rPr>
          <w:rFonts w:ascii="Book Antiqua" w:hAnsi="Book Antiqua"/>
          <w:color w:val="000000" w:themeColor="text1"/>
          <w:shd w:val="clear" w:color="auto" w:fill="FFFFFF"/>
        </w:rPr>
        <w:t>multi</w:t>
      </w:r>
      <w:r w:rsidR="006A19A4" w:rsidRPr="005E5D86">
        <w:rPr>
          <w:rFonts w:ascii="Book Antiqua" w:hAnsi="Book Antiqua"/>
          <w:color w:val="000000" w:themeColor="text1"/>
          <w:shd w:val="clear" w:color="auto" w:fill="FFFFFF"/>
        </w:rPr>
        <w:t>directional relationship</w:t>
      </w:r>
      <w:r w:rsidR="00486FB9" w:rsidRPr="005E5D86">
        <w:rPr>
          <w:rFonts w:ascii="Book Antiqua" w:hAnsi="Book Antiqua"/>
          <w:color w:val="000000" w:themeColor="text1"/>
          <w:shd w:val="clear" w:color="auto" w:fill="FFFFFF"/>
        </w:rPr>
        <w:t xml:space="preserve">s </w:t>
      </w:r>
      <w:r w:rsidR="0039718E" w:rsidRPr="005E5D86">
        <w:rPr>
          <w:rFonts w:ascii="Book Antiqua" w:hAnsi="Book Antiqua"/>
          <w:color w:val="000000" w:themeColor="text1"/>
          <w:shd w:val="clear" w:color="auto" w:fill="FFFFFF"/>
        </w:rPr>
        <w:t>between</w:t>
      </w:r>
      <w:r w:rsidR="00486FB9" w:rsidRPr="005E5D86">
        <w:rPr>
          <w:rFonts w:ascii="Book Antiqua" w:hAnsi="Book Antiqua"/>
          <w:color w:val="000000" w:themeColor="text1"/>
          <w:shd w:val="clear" w:color="auto" w:fill="FFFFFF"/>
        </w:rPr>
        <w:t xml:space="preserve"> </w:t>
      </w:r>
      <w:proofErr w:type="spellStart"/>
      <w:r w:rsidR="00486FB9" w:rsidRPr="005E5D86">
        <w:rPr>
          <w:rFonts w:ascii="Book Antiqua" w:hAnsi="Book Antiqua"/>
          <w:color w:val="000000" w:themeColor="text1"/>
          <w:shd w:val="clear" w:color="auto" w:fill="FFFFFF"/>
        </w:rPr>
        <w:t>MetS</w:t>
      </w:r>
      <w:proofErr w:type="spellEnd"/>
      <w:r w:rsidR="00486FB9" w:rsidRPr="005E5D86">
        <w:rPr>
          <w:rFonts w:ascii="Book Antiqua" w:hAnsi="Book Antiqua"/>
          <w:color w:val="000000" w:themeColor="text1"/>
          <w:shd w:val="clear" w:color="auto" w:fill="FFFFFF"/>
        </w:rPr>
        <w:t xml:space="preserve"> and CVD</w:t>
      </w:r>
      <w:r w:rsidR="006A19A4" w:rsidRPr="005E5D86">
        <w:rPr>
          <w:rFonts w:ascii="Book Antiqua" w:hAnsi="Book Antiqua"/>
          <w:color w:val="000000" w:themeColor="text1"/>
          <w:shd w:val="clear" w:color="auto" w:fill="FFFFFF"/>
        </w:rPr>
        <w:t xml:space="preserve">. </w:t>
      </w:r>
      <w:r w:rsidR="00486FB9" w:rsidRPr="005E5D86">
        <w:rPr>
          <w:rFonts w:ascii="Book Antiqua" w:hAnsi="Book Antiqua"/>
          <w:color w:val="000000" w:themeColor="text1"/>
          <w:shd w:val="clear" w:color="auto" w:fill="FFFFFF"/>
        </w:rPr>
        <w:t xml:space="preserve">The liver plays a crucial role in lipid and glucose metabolism. Even though dyslipidemia is an independent risk factor for </w:t>
      </w:r>
      <w:r w:rsidR="00191917" w:rsidRPr="005E5D86">
        <w:rPr>
          <w:rFonts w:ascii="Book Antiqua" w:hAnsi="Book Antiqua"/>
          <w:color w:val="000000" w:themeColor="text1"/>
          <w:shd w:val="clear" w:color="auto" w:fill="FFFFFF"/>
        </w:rPr>
        <w:t>CVD</w:t>
      </w:r>
      <w:r w:rsidR="00486FB9" w:rsidRPr="005E5D86">
        <w:rPr>
          <w:rFonts w:ascii="Book Antiqua" w:hAnsi="Book Antiqua"/>
          <w:color w:val="000000" w:themeColor="text1"/>
          <w:shd w:val="clear" w:color="auto" w:fill="FFFFFF"/>
        </w:rPr>
        <w:t xml:space="preserve">, abnormal lipid </w:t>
      </w:r>
      <w:r w:rsidR="00F84290" w:rsidRPr="005E5D86">
        <w:rPr>
          <w:rFonts w:ascii="Book Antiqua" w:hAnsi="Book Antiqua"/>
          <w:color w:val="000000" w:themeColor="text1"/>
          <w:shd w:val="clear" w:color="auto" w:fill="FFFFFF"/>
        </w:rPr>
        <w:t>profile</w:t>
      </w:r>
      <w:r w:rsidR="00486FB9" w:rsidRPr="005E5D86">
        <w:rPr>
          <w:rFonts w:ascii="Book Antiqua" w:hAnsi="Book Antiqua"/>
          <w:color w:val="000000" w:themeColor="text1"/>
          <w:shd w:val="clear" w:color="auto" w:fill="FFFFFF"/>
        </w:rPr>
        <w:t xml:space="preserve">s are </w:t>
      </w:r>
      <w:r w:rsidR="0019567F" w:rsidRPr="005E5D86">
        <w:rPr>
          <w:rFonts w:ascii="Book Antiqua" w:hAnsi="Book Antiqua"/>
          <w:color w:val="000000" w:themeColor="text1"/>
          <w:shd w:val="clear" w:color="auto" w:fill="FFFFFF"/>
        </w:rPr>
        <w:t>seen in</w:t>
      </w:r>
      <w:r w:rsidR="00486FB9" w:rsidRPr="005E5D86">
        <w:rPr>
          <w:rFonts w:ascii="Book Antiqua" w:hAnsi="Book Antiqua"/>
          <w:color w:val="000000" w:themeColor="text1"/>
          <w:shd w:val="clear" w:color="auto" w:fill="FFFFFF"/>
        </w:rPr>
        <w:t xml:space="preserve"> NAFLD</w:t>
      </w:r>
      <w:r w:rsidR="00F84290" w:rsidRPr="005E5D86">
        <w:rPr>
          <w:rFonts w:ascii="Book Antiqua" w:hAnsi="Book Antiqua"/>
          <w:color w:val="000000" w:themeColor="text1"/>
          <w:shd w:val="clear" w:color="auto" w:fill="FFFFFF"/>
        </w:rPr>
        <w:t xml:space="preserve"> and are more deranged with increased histological </w:t>
      </w:r>
      <w:proofErr w:type="gramStart"/>
      <w:r w:rsidR="00F84290" w:rsidRPr="005E5D86">
        <w:rPr>
          <w:rFonts w:ascii="Book Antiqua" w:hAnsi="Book Antiqua"/>
          <w:color w:val="000000" w:themeColor="text1"/>
          <w:shd w:val="clear" w:color="auto" w:fill="FFFFFF"/>
        </w:rPr>
        <w:t>inflammation</w:t>
      </w:r>
      <w:r w:rsidR="001E68ED" w:rsidRPr="005E5D86">
        <w:rPr>
          <w:rFonts w:ascii="Book Antiqua" w:hAnsi="Book Antiqua"/>
          <w:color w:val="000000" w:themeColor="text1"/>
          <w:shd w:val="clear" w:color="auto" w:fill="FFFFFF"/>
          <w:vertAlign w:val="superscript"/>
        </w:rPr>
        <w:t>[</w:t>
      </w:r>
      <w:proofErr w:type="gramEnd"/>
      <w:r w:rsidR="00646C57" w:rsidRPr="005E5D86">
        <w:rPr>
          <w:rFonts w:ascii="Book Antiqua" w:hAnsi="Book Antiqua"/>
          <w:color w:val="000000" w:themeColor="text1"/>
          <w:shd w:val="clear" w:color="auto" w:fill="FFFFFF"/>
          <w:vertAlign w:val="superscript"/>
        </w:rPr>
        <w:t>17</w:t>
      </w:r>
      <w:r w:rsidR="001E68ED" w:rsidRPr="005E5D86">
        <w:rPr>
          <w:rFonts w:ascii="Book Antiqua" w:hAnsi="Book Antiqua"/>
          <w:color w:val="000000" w:themeColor="text1"/>
          <w:shd w:val="clear" w:color="auto" w:fill="FFFFFF"/>
          <w:vertAlign w:val="superscript"/>
        </w:rPr>
        <w:t>]</w:t>
      </w:r>
      <w:r w:rsidR="00486FB9" w:rsidRPr="005E5D86">
        <w:rPr>
          <w:rFonts w:ascii="Book Antiqua" w:hAnsi="Book Antiqua"/>
          <w:color w:val="000000" w:themeColor="text1"/>
          <w:shd w:val="clear" w:color="auto" w:fill="FFFFFF"/>
        </w:rPr>
        <w:t>.</w:t>
      </w:r>
      <w:r w:rsidR="003D0885" w:rsidRPr="005E5D86">
        <w:rPr>
          <w:rFonts w:ascii="Book Antiqua" w:hAnsi="Book Antiqua"/>
          <w:color w:val="000000" w:themeColor="text1"/>
          <w:shd w:val="clear" w:color="auto" w:fill="FFFFFF"/>
        </w:rPr>
        <w:t xml:space="preserve"> </w:t>
      </w:r>
      <w:r w:rsidR="002D7E48" w:rsidRPr="005E5D86">
        <w:rPr>
          <w:rFonts w:ascii="Book Antiqua" w:hAnsi="Book Antiqua"/>
          <w:color w:val="000000" w:themeColor="text1"/>
          <w:shd w:val="clear" w:color="auto" w:fill="FFFFFF"/>
        </w:rPr>
        <w:t>A stepwise increase in lipid ratios correlate</w:t>
      </w:r>
      <w:r w:rsidR="000E28AC" w:rsidRPr="005E5D86">
        <w:rPr>
          <w:rFonts w:ascii="Book Antiqua" w:hAnsi="Book Antiqua"/>
          <w:color w:val="000000" w:themeColor="text1"/>
          <w:shd w:val="clear" w:color="auto" w:fill="FFFFFF"/>
        </w:rPr>
        <w:t>s</w:t>
      </w:r>
      <w:r w:rsidR="002D7E48" w:rsidRPr="005E5D86">
        <w:rPr>
          <w:rFonts w:ascii="Book Antiqua" w:hAnsi="Book Antiqua"/>
          <w:color w:val="000000" w:themeColor="text1"/>
          <w:shd w:val="clear" w:color="auto" w:fill="FFFFFF"/>
        </w:rPr>
        <w:t xml:space="preserve"> with histological severity of liver injury and </w:t>
      </w:r>
      <w:r w:rsidR="00872F80" w:rsidRPr="005E5D86">
        <w:rPr>
          <w:rFonts w:ascii="Book Antiqua" w:hAnsi="Book Antiqua"/>
          <w:color w:val="000000" w:themeColor="text1"/>
          <w:shd w:val="clear" w:color="auto" w:fill="FFFFFF"/>
        </w:rPr>
        <w:t>is</w:t>
      </w:r>
      <w:r w:rsidR="002D7E48" w:rsidRPr="005E5D86">
        <w:rPr>
          <w:rFonts w:ascii="Book Antiqua" w:hAnsi="Book Antiqua"/>
          <w:color w:val="000000" w:themeColor="text1"/>
          <w:shd w:val="clear" w:color="auto" w:fill="FFFFFF"/>
        </w:rPr>
        <w:t xml:space="preserve"> associated with</w:t>
      </w:r>
      <w:r w:rsidR="00872F80" w:rsidRPr="005E5D86">
        <w:rPr>
          <w:rFonts w:ascii="Book Antiqua" w:hAnsi="Book Antiqua"/>
          <w:color w:val="000000" w:themeColor="text1"/>
          <w:shd w:val="clear" w:color="auto" w:fill="FFFFFF"/>
        </w:rPr>
        <w:t xml:space="preserve"> </w:t>
      </w:r>
      <w:r w:rsidR="002D7E48" w:rsidRPr="005E5D86">
        <w:rPr>
          <w:rFonts w:ascii="Book Antiqua" w:hAnsi="Book Antiqua"/>
          <w:color w:val="000000" w:themeColor="text1"/>
          <w:shd w:val="clear" w:color="auto" w:fill="FFFFFF"/>
        </w:rPr>
        <w:t xml:space="preserve">increased risk of </w:t>
      </w:r>
      <w:r>
        <w:rPr>
          <w:rFonts w:ascii="Book Antiqua" w:hAnsi="Book Antiqua"/>
          <w:color w:val="000000" w:themeColor="text1"/>
          <w:shd w:val="clear" w:color="auto" w:fill="FFFFFF"/>
        </w:rPr>
        <w:t>CVD</w:t>
      </w:r>
      <w:r w:rsidR="002D7E48" w:rsidRPr="005E5D86">
        <w:rPr>
          <w:rFonts w:ascii="Book Antiqua" w:hAnsi="Book Antiqua"/>
          <w:color w:val="000000" w:themeColor="text1"/>
          <w:shd w:val="clear" w:color="auto" w:fill="FFFFFF"/>
        </w:rPr>
        <w:t xml:space="preserve"> and an atherogenic lipid </w:t>
      </w:r>
      <w:proofErr w:type="gramStart"/>
      <w:r w:rsidR="002D7E48" w:rsidRPr="005E5D86">
        <w:rPr>
          <w:rFonts w:ascii="Book Antiqua" w:hAnsi="Book Antiqua"/>
          <w:color w:val="000000" w:themeColor="text1"/>
          <w:shd w:val="clear" w:color="auto" w:fill="FFFFFF"/>
        </w:rPr>
        <w:t>profile</w:t>
      </w:r>
      <w:r w:rsidR="003D0885" w:rsidRPr="005E5D86">
        <w:rPr>
          <w:rFonts w:ascii="Book Antiqua" w:hAnsi="Book Antiqua"/>
          <w:color w:val="000000" w:themeColor="text1"/>
          <w:shd w:val="clear" w:color="auto" w:fill="FFFFFF"/>
          <w:vertAlign w:val="superscript"/>
        </w:rPr>
        <w:t>[</w:t>
      </w:r>
      <w:proofErr w:type="gramEnd"/>
      <w:r w:rsidR="003D0885" w:rsidRPr="005E5D86">
        <w:rPr>
          <w:rFonts w:ascii="Book Antiqua" w:hAnsi="Book Antiqua"/>
          <w:color w:val="000000" w:themeColor="text1"/>
          <w:shd w:val="clear" w:color="auto" w:fill="FFFFFF"/>
          <w:vertAlign w:val="superscript"/>
        </w:rPr>
        <w:t>17]</w:t>
      </w:r>
      <w:r w:rsidR="003D0885" w:rsidRPr="005E5D86">
        <w:rPr>
          <w:rFonts w:ascii="Book Antiqua" w:hAnsi="Book Antiqua"/>
          <w:color w:val="000000" w:themeColor="text1"/>
          <w:shd w:val="clear" w:color="auto" w:fill="FFFFFF"/>
        </w:rPr>
        <w:t xml:space="preserve">. </w:t>
      </w:r>
      <w:r w:rsidR="00486FB9" w:rsidRPr="005E5D86">
        <w:rPr>
          <w:rFonts w:ascii="Book Antiqua" w:hAnsi="Book Antiqua"/>
          <w:color w:val="000000" w:themeColor="text1"/>
          <w:shd w:val="clear" w:color="auto" w:fill="FFFFFF"/>
        </w:rPr>
        <w:t xml:space="preserve">Insulin resistance and alterations in lipid metabolism might also precede the development of hyperlipidemia and diabetes mellitus both of which are associated with increased risk of </w:t>
      </w:r>
      <w:r w:rsidR="00191917" w:rsidRPr="005E5D86">
        <w:rPr>
          <w:rFonts w:ascii="Book Antiqua" w:hAnsi="Book Antiqua"/>
          <w:color w:val="000000" w:themeColor="text1"/>
          <w:shd w:val="clear" w:color="auto" w:fill="FFFFFF"/>
        </w:rPr>
        <w:t xml:space="preserve">ischemic </w:t>
      </w:r>
      <w:r w:rsidR="00E93455" w:rsidRPr="005E5D86">
        <w:rPr>
          <w:rFonts w:ascii="Book Antiqua" w:hAnsi="Book Antiqua"/>
          <w:color w:val="000000" w:themeColor="text1"/>
          <w:shd w:val="clear" w:color="auto" w:fill="FFFFFF"/>
        </w:rPr>
        <w:t>heart</w:t>
      </w:r>
      <w:r w:rsidR="00191917" w:rsidRPr="005E5D86">
        <w:rPr>
          <w:rFonts w:ascii="Book Antiqua" w:hAnsi="Book Antiqua"/>
          <w:color w:val="000000" w:themeColor="text1"/>
          <w:shd w:val="clear" w:color="auto" w:fill="FFFFFF"/>
        </w:rPr>
        <w:t xml:space="preserve"> </w:t>
      </w:r>
      <w:proofErr w:type="gramStart"/>
      <w:r w:rsidR="00191917" w:rsidRPr="005E5D86">
        <w:rPr>
          <w:rFonts w:ascii="Book Antiqua" w:hAnsi="Book Antiqua"/>
          <w:color w:val="000000" w:themeColor="text1"/>
          <w:shd w:val="clear" w:color="auto" w:fill="FFFFFF"/>
        </w:rPr>
        <w:t>disease</w:t>
      </w:r>
      <w:r w:rsidR="001E68ED" w:rsidRPr="005E5D86">
        <w:rPr>
          <w:rFonts w:ascii="Book Antiqua" w:hAnsi="Book Antiqua"/>
          <w:color w:val="000000" w:themeColor="text1"/>
          <w:shd w:val="clear" w:color="auto" w:fill="FFFFFF"/>
          <w:vertAlign w:val="superscript"/>
        </w:rPr>
        <w:t>[</w:t>
      </w:r>
      <w:proofErr w:type="gramEnd"/>
      <w:r w:rsidR="001D246C" w:rsidRPr="005E5D86">
        <w:rPr>
          <w:rFonts w:ascii="Book Antiqua" w:hAnsi="Book Antiqua"/>
          <w:color w:val="000000" w:themeColor="text1"/>
          <w:shd w:val="clear" w:color="auto" w:fill="FFFFFF"/>
          <w:vertAlign w:val="superscript"/>
        </w:rPr>
        <w:t>11</w:t>
      </w:r>
      <w:r w:rsidR="001E68ED" w:rsidRPr="005E5D86">
        <w:rPr>
          <w:rFonts w:ascii="Book Antiqua" w:hAnsi="Book Antiqua"/>
          <w:color w:val="000000" w:themeColor="text1"/>
          <w:shd w:val="clear" w:color="auto" w:fill="FFFFFF"/>
          <w:vertAlign w:val="superscript"/>
        </w:rPr>
        <w:t>]</w:t>
      </w:r>
      <w:r w:rsidR="00486FB9" w:rsidRPr="005E5D86">
        <w:rPr>
          <w:rFonts w:ascii="Book Antiqua" w:hAnsi="Book Antiqua"/>
          <w:color w:val="000000" w:themeColor="text1"/>
          <w:shd w:val="clear" w:color="auto" w:fill="FFFFFF"/>
        </w:rPr>
        <w:t>.</w:t>
      </w:r>
      <w:r w:rsidR="00F84290" w:rsidRPr="005E5D86">
        <w:rPr>
          <w:rFonts w:ascii="Book Antiqua" w:hAnsi="Book Antiqua"/>
          <w:color w:val="000000" w:themeColor="text1"/>
          <w:shd w:val="clear" w:color="auto" w:fill="FFFFFF"/>
        </w:rPr>
        <w:t xml:space="preserve"> </w:t>
      </w:r>
      <w:r w:rsidR="00191917" w:rsidRPr="005E5D86">
        <w:rPr>
          <w:rFonts w:ascii="Book Antiqua" w:hAnsi="Book Antiqua"/>
          <w:color w:val="000000" w:themeColor="text1"/>
          <w:shd w:val="clear" w:color="auto" w:fill="FFFFFF"/>
        </w:rPr>
        <w:t xml:space="preserve">In our study, NASH </w:t>
      </w:r>
      <w:r w:rsidR="00F84290" w:rsidRPr="005E5D86">
        <w:rPr>
          <w:rFonts w:ascii="Book Antiqua" w:hAnsi="Book Antiqua"/>
          <w:color w:val="000000" w:themeColor="text1"/>
          <w:shd w:val="clear" w:color="auto" w:fill="FFFFFF"/>
        </w:rPr>
        <w:t xml:space="preserve">was significantly associated </w:t>
      </w:r>
      <w:r w:rsidR="00B84152" w:rsidRPr="005E5D86">
        <w:rPr>
          <w:rFonts w:ascii="Book Antiqua" w:hAnsi="Book Antiqua"/>
          <w:color w:val="000000" w:themeColor="text1"/>
          <w:shd w:val="clear" w:color="auto" w:fill="FFFFFF"/>
        </w:rPr>
        <w:t>with</w:t>
      </w:r>
      <w:r w:rsidR="00F84290" w:rsidRPr="005E5D86">
        <w:rPr>
          <w:rFonts w:ascii="Book Antiqua" w:hAnsi="Book Antiqua"/>
          <w:color w:val="000000" w:themeColor="text1"/>
          <w:shd w:val="clear" w:color="auto" w:fill="FFFFFF"/>
        </w:rPr>
        <w:t xml:space="preserve"> MI when these variables were partially controlled</w:t>
      </w:r>
      <w:r w:rsidR="00486FB9" w:rsidRPr="005E5D86">
        <w:rPr>
          <w:rFonts w:ascii="Book Antiqua" w:hAnsi="Book Antiqua"/>
          <w:color w:val="000000" w:themeColor="text1"/>
          <w:shd w:val="clear" w:color="auto" w:fill="FFFFFF"/>
        </w:rPr>
        <w:t>.</w:t>
      </w:r>
      <w:r w:rsidR="00F84290" w:rsidRPr="005E5D86">
        <w:rPr>
          <w:rFonts w:ascii="Book Antiqua" w:hAnsi="Book Antiqua"/>
          <w:color w:val="000000" w:themeColor="text1"/>
          <w:shd w:val="clear" w:color="auto" w:fill="FFFFFF"/>
        </w:rPr>
        <w:t xml:space="preserve"> Even though we observed an independent association between NASH and MI, to completely control these variables would blunt the </w:t>
      </w:r>
      <w:r w:rsidR="00EA3B1D" w:rsidRPr="005E5D86">
        <w:rPr>
          <w:rFonts w:ascii="Book Antiqua" w:hAnsi="Book Antiqua"/>
          <w:color w:val="000000" w:themeColor="text1"/>
          <w:shd w:val="clear" w:color="auto" w:fill="FFFFFF"/>
        </w:rPr>
        <w:t>contribution</w:t>
      </w:r>
      <w:r w:rsidR="00F84290" w:rsidRPr="005E5D86">
        <w:rPr>
          <w:rFonts w:ascii="Book Antiqua" w:hAnsi="Book Antiqua"/>
          <w:color w:val="000000" w:themeColor="text1"/>
          <w:shd w:val="clear" w:color="auto" w:fill="FFFFFF"/>
        </w:rPr>
        <w:t xml:space="preserve"> NASH </w:t>
      </w:r>
      <w:r w:rsidR="008178AE" w:rsidRPr="005E5D86">
        <w:rPr>
          <w:rFonts w:ascii="Book Antiqua" w:hAnsi="Book Antiqua"/>
          <w:color w:val="000000" w:themeColor="text1"/>
          <w:shd w:val="clear" w:color="auto" w:fill="FFFFFF"/>
        </w:rPr>
        <w:t>might have</w:t>
      </w:r>
      <w:r w:rsidR="00EA3B1D" w:rsidRPr="005E5D86">
        <w:rPr>
          <w:rFonts w:ascii="Book Antiqua" w:hAnsi="Book Antiqua"/>
          <w:color w:val="000000" w:themeColor="text1"/>
          <w:shd w:val="clear" w:color="auto" w:fill="FFFFFF"/>
        </w:rPr>
        <w:t xml:space="preserve"> on</w:t>
      </w:r>
      <w:r w:rsidR="008178AE" w:rsidRPr="005E5D86">
        <w:rPr>
          <w:rFonts w:ascii="Book Antiqua" w:hAnsi="Book Antiqua"/>
          <w:color w:val="000000" w:themeColor="text1"/>
          <w:shd w:val="clear" w:color="auto" w:fill="FFFFFF"/>
        </w:rPr>
        <w:t xml:space="preserve"> </w:t>
      </w:r>
      <w:r w:rsidR="00191917" w:rsidRPr="005E5D86">
        <w:rPr>
          <w:rFonts w:ascii="Book Antiqua" w:hAnsi="Book Antiqua"/>
          <w:color w:val="000000" w:themeColor="text1"/>
          <w:shd w:val="clear" w:color="auto" w:fill="FFFFFF"/>
        </w:rPr>
        <w:t xml:space="preserve">ischemic heart </w:t>
      </w:r>
      <w:proofErr w:type="gramStart"/>
      <w:r w:rsidR="00191917" w:rsidRPr="005E5D86">
        <w:rPr>
          <w:rFonts w:ascii="Book Antiqua" w:hAnsi="Book Antiqua"/>
          <w:color w:val="000000" w:themeColor="text1"/>
          <w:shd w:val="clear" w:color="auto" w:fill="FFFFFF"/>
        </w:rPr>
        <w:t>disease</w:t>
      </w:r>
      <w:r w:rsidR="00EB7B5F" w:rsidRPr="005E5D86">
        <w:rPr>
          <w:rFonts w:ascii="Book Antiqua" w:hAnsi="Book Antiqua"/>
          <w:color w:val="000000" w:themeColor="text1"/>
          <w:shd w:val="clear" w:color="auto" w:fill="FFFFFF"/>
          <w:vertAlign w:val="superscript"/>
        </w:rPr>
        <w:t>[</w:t>
      </w:r>
      <w:proofErr w:type="gramEnd"/>
      <w:r w:rsidR="00EB7B5F" w:rsidRPr="005E5D86">
        <w:rPr>
          <w:rFonts w:ascii="Book Antiqua" w:hAnsi="Book Antiqua"/>
          <w:color w:val="000000" w:themeColor="text1"/>
          <w:shd w:val="clear" w:color="auto" w:fill="FFFFFF"/>
          <w:vertAlign w:val="superscript"/>
        </w:rPr>
        <w:t>19,20]</w:t>
      </w:r>
      <w:r w:rsidR="00191917" w:rsidRPr="005E5D86">
        <w:rPr>
          <w:rFonts w:ascii="Book Antiqua" w:hAnsi="Book Antiqua"/>
          <w:color w:val="000000" w:themeColor="text1"/>
          <w:shd w:val="clear" w:color="auto" w:fill="FFFFFF"/>
        </w:rPr>
        <w:t xml:space="preserve">. </w:t>
      </w:r>
    </w:p>
    <w:p w:rsidR="000026BB" w:rsidRPr="005E5D86" w:rsidRDefault="00BE2979"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The prevalence of NASH </w:t>
      </w:r>
      <w:r w:rsidR="00DF2AD6" w:rsidRPr="005E5D86">
        <w:rPr>
          <w:rFonts w:ascii="Book Antiqua" w:hAnsi="Book Antiqua"/>
          <w:color w:val="000000" w:themeColor="text1"/>
          <w:shd w:val="clear" w:color="auto" w:fill="FFFFFF"/>
        </w:rPr>
        <w:t xml:space="preserve">is </w:t>
      </w:r>
      <w:r w:rsidRPr="005E5D86">
        <w:rPr>
          <w:rFonts w:ascii="Book Antiqua" w:hAnsi="Book Antiqua"/>
          <w:color w:val="000000" w:themeColor="text1"/>
          <w:shd w:val="clear" w:color="auto" w:fill="FFFFFF"/>
        </w:rPr>
        <w:t>reported to be</w:t>
      </w:r>
      <w:r w:rsidR="00161B4B" w:rsidRPr="005E5D86">
        <w:rPr>
          <w:rFonts w:ascii="Book Antiqua" w:hAnsi="Book Antiqua"/>
          <w:color w:val="000000" w:themeColor="text1"/>
          <w:shd w:val="clear" w:color="auto" w:fill="FFFFFF"/>
        </w:rPr>
        <w:t xml:space="preserve"> the greatest </w:t>
      </w:r>
      <w:r w:rsidRPr="005E5D86">
        <w:rPr>
          <w:rFonts w:ascii="Book Antiqua" w:hAnsi="Book Antiqua"/>
          <w:color w:val="000000" w:themeColor="text1"/>
          <w:shd w:val="clear" w:color="auto" w:fill="FFFFFF"/>
        </w:rPr>
        <w:t xml:space="preserve">among </w:t>
      </w:r>
      <w:r w:rsidR="003515DB" w:rsidRPr="005E5D86">
        <w:rPr>
          <w:rFonts w:ascii="Book Antiqua" w:hAnsi="Book Antiqua"/>
          <w:color w:val="000000" w:themeColor="text1"/>
          <w:shd w:val="clear" w:color="auto" w:fill="FFFFFF"/>
        </w:rPr>
        <w:t>subjects</w:t>
      </w:r>
      <w:r w:rsidRPr="005E5D86">
        <w:rPr>
          <w:rFonts w:ascii="Book Antiqua" w:hAnsi="Book Antiqua"/>
          <w:color w:val="000000" w:themeColor="text1"/>
          <w:shd w:val="clear" w:color="auto" w:fill="FFFFFF"/>
        </w:rPr>
        <w:t xml:space="preserve"> between the ages of</w:t>
      </w:r>
      <w:r w:rsidR="00066FA7" w:rsidRPr="005E5D86">
        <w:rPr>
          <w:rFonts w:ascii="Book Antiqua" w:hAnsi="Book Antiqua"/>
          <w:color w:val="000000" w:themeColor="text1"/>
          <w:shd w:val="clear" w:color="auto" w:fill="FFFFFF"/>
        </w:rPr>
        <w:t xml:space="preserve"> 40</w:t>
      </w:r>
      <w:r w:rsidR="00A20B72" w:rsidRPr="005E5D86">
        <w:rPr>
          <w:rFonts w:ascii="Book Antiqua" w:hAnsi="Book Antiqua"/>
          <w:color w:val="000000" w:themeColor="text1"/>
          <w:shd w:val="clear" w:color="auto" w:fill="FFFFFF"/>
        </w:rPr>
        <w:t>-</w:t>
      </w:r>
      <w:r w:rsidR="00066FA7" w:rsidRPr="005E5D86">
        <w:rPr>
          <w:rFonts w:ascii="Book Antiqua" w:hAnsi="Book Antiqua"/>
          <w:color w:val="000000" w:themeColor="text1"/>
          <w:shd w:val="clear" w:color="auto" w:fill="FFFFFF"/>
        </w:rPr>
        <w:t xml:space="preserve">49 </w:t>
      </w:r>
      <w:proofErr w:type="gramStart"/>
      <w:r w:rsidR="00066FA7" w:rsidRPr="005E5D86">
        <w:rPr>
          <w:rFonts w:ascii="Book Antiqua" w:hAnsi="Book Antiqua"/>
          <w:color w:val="000000" w:themeColor="text1"/>
          <w:shd w:val="clear" w:color="auto" w:fill="FFFFFF"/>
        </w:rPr>
        <w:t>years</w:t>
      </w:r>
      <w:r w:rsidR="001E68ED" w:rsidRPr="005E5D86">
        <w:rPr>
          <w:rFonts w:ascii="Book Antiqua" w:hAnsi="Book Antiqua"/>
          <w:color w:val="000000" w:themeColor="text1"/>
          <w:shd w:val="clear" w:color="auto" w:fill="FFFFFF"/>
          <w:vertAlign w:val="superscript"/>
        </w:rPr>
        <w:t>[</w:t>
      </w:r>
      <w:proofErr w:type="gramEnd"/>
      <w:r w:rsidR="001E68ED" w:rsidRPr="005E5D86">
        <w:rPr>
          <w:rFonts w:ascii="Book Antiqua" w:hAnsi="Book Antiqua"/>
          <w:color w:val="000000" w:themeColor="text1"/>
          <w:shd w:val="clear" w:color="auto" w:fill="FFFFFF"/>
          <w:vertAlign w:val="superscript"/>
        </w:rPr>
        <w:t>3</w:t>
      </w:r>
      <w:r w:rsidR="00646C57" w:rsidRPr="005E5D86">
        <w:rPr>
          <w:rFonts w:ascii="Book Antiqua" w:hAnsi="Book Antiqua"/>
          <w:color w:val="000000" w:themeColor="text1"/>
          <w:shd w:val="clear" w:color="auto" w:fill="FFFFFF"/>
          <w:vertAlign w:val="superscript"/>
        </w:rPr>
        <w:t>5</w:t>
      </w:r>
      <w:r w:rsidR="001E68ED" w:rsidRPr="005E5D86">
        <w:rPr>
          <w:rFonts w:ascii="Book Antiqua" w:hAnsi="Book Antiqua"/>
          <w:color w:val="000000" w:themeColor="text1"/>
          <w:shd w:val="clear" w:color="auto" w:fill="FFFFFF"/>
          <w:vertAlign w:val="superscript"/>
        </w:rPr>
        <w:t>]</w:t>
      </w:r>
      <w:r w:rsidR="00066FA7" w:rsidRPr="005E5D86">
        <w:rPr>
          <w:rFonts w:ascii="Book Antiqua" w:hAnsi="Book Antiqua"/>
          <w:color w:val="000000" w:themeColor="text1"/>
          <w:shd w:val="clear" w:color="auto" w:fill="FFFFFF"/>
        </w:rPr>
        <w:t>. It is conceivable to say</w:t>
      </w:r>
      <w:r w:rsidR="00836E4D" w:rsidRPr="005E5D86">
        <w:rPr>
          <w:rFonts w:ascii="Book Antiqua" w:hAnsi="Book Antiqua"/>
          <w:color w:val="000000" w:themeColor="text1"/>
          <w:shd w:val="clear" w:color="auto" w:fill="FFFFFF"/>
        </w:rPr>
        <w:t xml:space="preserve"> that the presence of NASH</w:t>
      </w:r>
      <w:r w:rsidR="00924218" w:rsidRPr="005E5D86">
        <w:rPr>
          <w:rFonts w:ascii="Book Antiqua" w:hAnsi="Book Antiqua"/>
          <w:color w:val="000000" w:themeColor="text1"/>
          <w:shd w:val="clear" w:color="auto" w:fill="FFFFFF"/>
        </w:rPr>
        <w:t xml:space="preserve"> in the younger population</w:t>
      </w:r>
      <w:r w:rsidR="00066FA7" w:rsidRPr="005E5D86">
        <w:rPr>
          <w:rFonts w:ascii="Book Antiqua" w:hAnsi="Book Antiqua"/>
          <w:color w:val="000000" w:themeColor="text1"/>
          <w:shd w:val="clear" w:color="auto" w:fill="FFFFFF"/>
        </w:rPr>
        <w:t xml:space="preserve"> </w:t>
      </w:r>
      <w:r w:rsidR="001115DA" w:rsidRPr="005E5D86">
        <w:rPr>
          <w:rFonts w:ascii="Book Antiqua" w:hAnsi="Book Antiqua"/>
          <w:color w:val="000000" w:themeColor="text1"/>
          <w:shd w:val="clear" w:color="auto" w:fill="FFFFFF"/>
        </w:rPr>
        <w:t>might</w:t>
      </w:r>
      <w:r w:rsidR="00836E4D" w:rsidRPr="005E5D86">
        <w:rPr>
          <w:rFonts w:ascii="Book Antiqua" w:hAnsi="Book Antiqua"/>
          <w:color w:val="000000" w:themeColor="text1"/>
          <w:shd w:val="clear" w:color="auto" w:fill="FFFFFF"/>
        </w:rPr>
        <w:t xml:space="preserve"> increase the</w:t>
      </w:r>
      <w:r w:rsidR="00924218" w:rsidRPr="005E5D86">
        <w:rPr>
          <w:rFonts w:ascii="Book Antiqua" w:hAnsi="Book Antiqua"/>
          <w:color w:val="000000" w:themeColor="text1"/>
          <w:shd w:val="clear" w:color="auto" w:fill="FFFFFF"/>
        </w:rPr>
        <w:t>ir</w:t>
      </w:r>
      <w:r w:rsidR="003515DB" w:rsidRPr="005E5D86">
        <w:rPr>
          <w:rFonts w:ascii="Book Antiqua" w:hAnsi="Book Antiqua"/>
          <w:color w:val="000000" w:themeColor="text1"/>
          <w:shd w:val="clear" w:color="auto" w:fill="FFFFFF"/>
        </w:rPr>
        <w:t xml:space="preserve"> relative</w:t>
      </w:r>
      <w:r w:rsidR="00066FA7" w:rsidRPr="005E5D86">
        <w:rPr>
          <w:rFonts w:ascii="Book Antiqua" w:hAnsi="Book Antiqua"/>
          <w:color w:val="000000" w:themeColor="text1"/>
          <w:shd w:val="clear" w:color="auto" w:fill="FFFFFF"/>
        </w:rPr>
        <w:t xml:space="preserve"> risk of MI</w:t>
      </w:r>
      <w:r w:rsidRPr="005E5D86">
        <w:rPr>
          <w:rFonts w:ascii="Book Antiqua" w:hAnsi="Book Antiqua"/>
          <w:color w:val="000000" w:themeColor="text1"/>
          <w:shd w:val="clear" w:color="auto" w:fill="FFFFFF"/>
        </w:rPr>
        <w:t xml:space="preserve"> compared to </w:t>
      </w:r>
      <w:r w:rsidR="0015033F" w:rsidRPr="005E5D86">
        <w:rPr>
          <w:rFonts w:ascii="Book Antiqua" w:hAnsi="Book Antiqua"/>
          <w:color w:val="000000" w:themeColor="text1"/>
          <w:shd w:val="clear" w:color="auto" w:fill="FFFFFF"/>
        </w:rPr>
        <w:t xml:space="preserve">those without NASH </w:t>
      </w:r>
      <w:r w:rsidR="00CA1ECE" w:rsidRPr="005E5D86">
        <w:rPr>
          <w:rFonts w:ascii="Book Antiqua" w:hAnsi="Book Antiqua"/>
          <w:color w:val="000000" w:themeColor="text1"/>
          <w:shd w:val="clear" w:color="auto" w:fill="FFFFFF"/>
        </w:rPr>
        <w:t>(Figure 1)</w:t>
      </w:r>
      <w:r w:rsidRPr="005E5D86">
        <w:rPr>
          <w:rFonts w:ascii="Book Antiqua" w:hAnsi="Book Antiqua"/>
          <w:color w:val="000000" w:themeColor="text1"/>
          <w:shd w:val="clear" w:color="auto" w:fill="FFFFFF"/>
        </w:rPr>
        <w:t xml:space="preserve">. In our study </w:t>
      </w:r>
      <w:r w:rsidR="00DF2AD6" w:rsidRPr="005E5D86">
        <w:rPr>
          <w:rFonts w:ascii="Book Antiqua" w:hAnsi="Book Antiqua"/>
          <w:color w:val="000000" w:themeColor="text1"/>
          <w:shd w:val="clear" w:color="auto" w:fill="FFFFFF"/>
        </w:rPr>
        <w:t xml:space="preserve">the </w:t>
      </w:r>
      <w:r w:rsidR="003515DB" w:rsidRPr="005E5D86">
        <w:rPr>
          <w:rFonts w:ascii="Book Antiqua" w:hAnsi="Book Antiqua"/>
          <w:color w:val="000000" w:themeColor="text1"/>
          <w:shd w:val="clear" w:color="auto" w:fill="FFFFFF"/>
        </w:rPr>
        <w:t xml:space="preserve">relative </w:t>
      </w:r>
      <w:r w:rsidR="00DF2AD6" w:rsidRPr="005E5D86">
        <w:rPr>
          <w:rFonts w:ascii="Book Antiqua" w:hAnsi="Book Antiqua"/>
          <w:color w:val="000000" w:themeColor="text1"/>
          <w:shd w:val="clear" w:color="auto" w:fill="FFFFFF"/>
        </w:rPr>
        <w:t>risk of MI was</w:t>
      </w:r>
      <w:r w:rsidR="005D7169" w:rsidRPr="005E5D86">
        <w:rPr>
          <w:rFonts w:ascii="Book Antiqua" w:hAnsi="Book Antiqua"/>
          <w:color w:val="000000" w:themeColor="text1"/>
          <w:shd w:val="clear" w:color="auto" w:fill="FFFFFF"/>
        </w:rPr>
        <w:t xml:space="preserve"> </w:t>
      </w:r>
      <w:r w:rsidR="00DF2AD6" w:rsidRPr="005E5D86">
        <w:rPr>
          <w:rFonts w:ascii="Book Antiqua" w:hAnsi="Book Antiqua"/>
          <w:color w:val="000000" w:themeColor="text1"/>
          <w:shd w:val="clear" w:color="auto" w:fill="FFFFFF"/>
        </w:rPr>
        <w:t>highest in the younger</w:t>
      </w:r>
      <w:r w:rsidR="00B20FB4" w:rsidRPr="005E5D86">
        <w:rPr>
          <w:rFonts w:ascii="Book Antiqua" w:hAnsi="Book Antiqua"/>
          <w:color w:val="000000" w:themeColor="text1"/>
          <w:shd w:val="clear" w:color="auto" w:fill="FFFFFF"/>
        </w:rPr>
        <w:t xml:space="preserve"> NASH </w:t>
      </w:r>
      <w:r w:rsidR="006D2396" w:rsidRPr="005E5D86">
        <w:rPr>
          <w:rFonts w:ascii="Book Antiqua" w:hAnsi="Book Antiqua"/>
          <w:color w:val="000000" w:themeColor="text1"/>
          <w:shd w:val="clear" w:color="auto" w:fill="FFFFFF"/>
        </w:rPr>
        <w:t>population</w:t>
      </w:r>
      <w:r w:rsidR="005D7169" w:rsidRPr="005E5D86">
        <w:rPr>
          <w:rFonts w:ascii="Book Antiqua" w:hAnsi="Book Antiqua"/>
          <w:color w:val="000000" w:themeColor="text1"/>
          <w:shd w:val="clear" w:color="auto" w:fill="FFFFFF"/>
        </w:rPr>
        <w:t xml:space="preserve">, </w:t>
      </w:r>
      <w:r w:rsidR="00924218" w:rsidRPr="005E5D86">
        <w:rPr>
          <w:rFonts w:ascii="Book Antiqua" w:hAnsi="Book Antiqua"/>
          <w:color w:val="000000" w:themeColor="text1"/>
          <w:shd w:val="clear" w:color="auto" w:fill="FFFFFF"/>
        </w:rPr>
        <w:t>suggesting</w:t>
      </w:r>
      <w:r w:rsidR="00742241" w:rsidRPr="005E5D86">
        <w:rPr>
          <w:rFonts w:ascii="Book Antiqua" w:hAnsi="Book Antiqua"/>
          <w:color w:val="000000" w:themeColor="text1"/>
          <w:shd w:val="clear" w:color="auto" w:fill="FFFFFF"/>
        </w:rPr>
        <w:t xml:space="preserve"> </w:t>
      </w:r>
      <w:r w:rsidR="00924218" w:rsidRPr="005E5D86">
        <w:rPr>
          <w:rFonts w:ascii="Book Antiqua" w:hAnsi="Book Antiqua"/>
          <w:color w:val="000000" w:themeColor="text1"/>
          <w:shd w:val="clear" w:color="auto" w:fill="FFFFFF"/>
        </w:rPr>
        <w:t xml:space="preserve">increased inflammation and </w:t>
      </w:r>
      <w:r w:rsidR="00742241" w:rsidRPr="005E5D86">
        <w:rPr>
          <w:rFonts w:ascii="Book Antiqua" w:hAnsi="Book Antiqua"/>
          <w:color w:val="000000" w:themeColor="text1"/>
          <w:shd w:val="clear" w:color="auto" w:fill="FFFFFF"/>
        </w:rPr>
        <w:t>more aggressive disease</w:t>
      </w:r>
      <w:r w:rsidR="007D2037" w:rsidRPr="005E5D86">
        <w:rPr>
          <w:rFonts w:ascii="Book Antiqua" w:hAnsi="Book Antiqua"/>
          <w:color w:val="000000" w:themeColor="text1"/>
          <w:shd w:val="clear" w:color="auto" w:fill="FFFFFF"/>
        </w:rPr>
        <w:t xml:space="preserve"> in the younger group</w:t>
      </w:r>
      <w:r w:rsidR="00742241" w:rsidRPr="005E5D86">
        <w:rPr>
          <w:rFonts w:ascii="Book Antiqua" w:hAnsi="Book Antiqua"/>
          <w:color w:val="000000" w:themeColor="text1"/>
          <w:shd w:val="clear" w:color="auto" w:fill="FFFFFF"/>
        </w:rPr>
        <w:t xml:space="preserve">. Although age correlates with the duration of </w:t>
      </w:r>
      <w:r w:rsidR="007D2037" w:rsidRPr="005E5D86">
        <w:rPr>
          <w:rFonts w:ascii="Book Antiqua" w:hAnsi="Book Antiqua"/>
          <w:color w:val="000000" w:themeColor="text1"/>
          <w:shd w:val="clear" w:color="auto" w:fill="FFFFFF"/>
        </w:rPr>
        <w:t>NAFLD</w:t>
      </w:r>
      <w:r w:rsidR="00742241" w:rsidRPr="005E5D86">
        <w:rPr>
          <w:rFonts w:ascii="Book Antiqua" w:hAnsi="Book Antiqua"/>
          <w:color w:val="000000" w:themeColor="text1"/>
          <w:shd w:val="clear" w:color="auto" w:fill="FFFFFF"/>
        </w:rPr>
        <w:t>, advanced disease may not be attributed to age alone.</w:t>
      </w:r>
      <w:r w:rsidR="00E56274" w:rsidRPr="005E5D86">
        <w:rPr>
          <w:rFonts w:ascii="Book Antiqua" w:hAnsi="Book Antiqua"/>
          <w:color w:val="000000" w:themeColor="text1"/>
          <w:shd w:val="clear" w:color="auto" w:fill="FFFFFF"/>
        </w:rPr>
        <w:t xml:space="preserve"> </w:t>
      </w:r>
      <w:r w:rsidR="00B83189" w:rsidRPr="005E5D86">
        <w:rPr>
          <w:rFonts w:ascii="Book Antiqua" w:hAnsi="Book Antiqua"/>
          <w:color w:val="000000" w:themeColor="text1"/>
          <w:shd w:val="clear" w:color="auto" w:fill="FFFFFF"/>
        </w:rPr>
        <w:t>Furthermore, w</w:t>
      </w:r>
      <w:r w:rsidR="00B20FB4" w:rsidRPr="005E5D86">
        <w:rPr>
          <w:rFonts w:ascii="Book Antiqua" w:hAnsi="Book Antiqua"/>
          <w:color w:val="000000" w:themeColor="text1"/>
          <w:shd w:val="clear" w:color="auto" w:fill="FFFFFF"/>
        </w:rPr>
        <w:t xml:space="preserve">ith aging, the non-NASH group </w:t>
      </w:r>
      <w:r w:rsidR="00E56274" w:rsidRPr="005E5D86">
        <w:rPr>
          <w:rFonts w:ascii="Book Antiqua" w:hAnsi="Book Antiqua"/>
          <w:color w:val="000000" w:themeColor="text1"/>
          <w:shd w:val="clear" w:color="auto" w:fill="FFFFFF"/>
        </w:rPr>
        <w:t xml:space="preserve">might have accumulated traditional factors that </w:t>
      </w:r>
      <w:r w:rsidR="00B20FB4" w:rsidRPr="005E5D86">
        <w:rPr>
          <w:rFonts w:ascii="Book Antiqua" w:hAnsi="Book Antiqua"/>
          <w:color w:val="000000" w:themeColor="text1"/>
          <w:shd w:val="clear" w:color="auto" w:fill="FFFFFF"/>
        </w:rPr>
        <w:t xml:space="preserve">may have </w:t>
      </w:r>
      <w:r w:rsidR="00E56274" w:rsidRPr="005E5D86">
        <w:rPr>
          <w:rFonts w:ascii="Book Antiqua" w:hAnsi="Book Antiqua"/>
          <w:color w:val="000000" w:themeColor="text1"/>
          <w:shd w:val="clear" w:color="auto" w:fill="FFFFFF"/>
        </w:rPr>
        <w:t>reduce</w:t>
      </w:r>
      <w:r w:rsidR="00B20FB4" w:rsidRPr="005E5D86">
        <w:rPr>
          <w:rFonts w:ascii="Book Antiqua" w:hAnsi="Book Antiqua"/>
          <w:color w:val="000000" w:themeColor="text1"/>
          <w:shd w:val="clear" w:color="auto" w:fill="FFFFFF"/>
        </w:rPr>
        <w:t>d</w:t>
      </w:r>
      <w:r w:rsidR="00E56274" w:rsidRPr="005E5D86">
        <w:rPr>
          <w:rFonts w:ascii="Book Antiqua" w:hAnsi="Book Antiqua"/>
          <w:color w:val="000000" w:themeColor="text1"/>
          <w:shd w:val="clear" w:color="auto" w:fill="FFFFFF"/>
        </w:rPr>
        <w:t xml:space="preserve"> the relative contribution of inflammation on arthrosclerosis. </w:t>
      </w:r>
      <w:r w:rsidR="00A1021F" w:rsidRPr="005E5D86">
        <w:rPr>
          <w:rFonts w:ascii="Book Antiqua" w:hAnsi="Book Antiqua"/>
          <w:color w:val="000000" w:themeColor="text1"/>
          <w:shd w:val="clear" w:color="auto" w:fill="FFFFFF"/>
        </w:rPr>
        <w:t xml:space="preserve">Hence the </w:t>
      </w:r>
      <w:r w:rsidR="00BD31E6" w:rsidRPr="005E5D86">
        <w:rPr>
          <w:rFonts w:ascii="Book Antiqua" w:hAnsi="Book Antiqua"/>
          <w:color w:val="000000" w:themeColor="text1"/>
          <w:shd w:val="clear" w:color="auto" w:fill="FFFFFF"/>
        </w:rPr>
        <w:t>contribution</w:t>
      </w:r>
      <w:r w:rsidR="00A1021F" w:rsidRPr="005E5D86">
        <w:rPr>
          <w:rFonts w:ascii="Book Antiqua" w:hAnsi="Book Antiqua"/>
          <w:color w:val="000000" w:themeColor="text1"/>
          <w:shd w:val="clear" w:color="auto" w:fill="FFFFFF"/>
        </w:rPr>
        <w:t xml:space="preserve"> of NASH towards the total burden of cardiovascular risk maybe </w:t>
      </w:r>
      <w:r w:rsidR="00BD31E6" w:rsidRPr="005E5D86">
        <w:rPr>
          <w:rFonts w:ascii="Book Antiqua" w:hAnsi="Book Antiqua"/>
          <w:color w:val="000000" w:themeColor="text1"/>
          <w:shd w:val="clear" w:color="auto" w:fill="FFFFFF"/>
        </w:rPr>
        <w:t>reduced</w:t>
      </w:r>
      <w:r w:rsidR="00A1021F" w:rsidRPr="005E5D86">
        <w:rPr>
          <w:rFonts w:ascii="Book Antiqua" w:hAnsi="Book Antiqua"/>
          <w:color w:val="000000" w:themeColor="text1"/>
          <w:shd w:val="clear" w:color="auto" w:fill="FFFFFF"/>
        </w:rPr>
        <w:t xml:space="preserve"> with advancing age. </w:t>
      </w:r>
      <w:r w:rsidR="00B83189" w:rsidRPr="005E5D86">
        <w:rPr>
          <w:rFonts w:ascii="Book Antiqua" w:hAnsi="Book Antiqua"/>
          <w:color w:val="000000" w:themeColor="text1"/>
          <w:shd w:val="clear" w:color="auto" w:fill="FFFFFF"/>
        </w:rPr>
        <w:t>This being said, w</w:t>
      </w:r>
      <w:r w:rsidR="00B20FB4" w:rsidRPr="005E5D86">
        <w:rPr>
          <w:rFonts w:ascii="Book Antiqua" w:hAnsi="Book Antiqua"/>
          <w:color w:val="000000" w:themeColor="text1"/>
          <w:shd w:val="clear" w:color="auto" w:fill="FFFFFF"/>
        </w:rPr>
        <w:t xml:space="preserve">e were not able to control for the duration </w:t>
      </w:r>
      <w:r w:rsidR="00BF5A5B" w:rsidRPr="005E5D86">
        <w:rPr>
          <w:rFonts w:ascii="Book Antiqua" w:hAnsi="Book Antiqua"/>
          <w:color w:val="000000" w:themeColor="text1"/>
          <w:shd w:val="clear" w:color="auto" w:fill="FFFFFF"/>
        </w:rPr>
        <w:t xml:space="preserve">or the severity </w:t>
      </w:r>
      <w:r w:rsidR="00B20FB4" w:rsidRPr="005E5D86">
        <w:rPr>
          <w:rFonts w:ascii="Book Antiqua" w:hAnsi="Book Antiqua"/>
          <w:color w:val="000000" w:themeColor="text1"/>
          <w:shd w:val="clear" w:color="auto" w:fill="FFFFFF"/>
        </w:rPr>
        <w:t xml:space="preserve">of disease as this </w:t>
      </w:r>
      <w:r w:rsidR="00B83189" w:rsidRPr="005E5D86">
        <w:rPr>
          <w:rFonts w:ascii="Book Antiqua" w:hAnsi="Book Antiqua"/>
          <w:color w:val="000000" w:themeColor="text1"/>
          <w:shd w:val="clear" w:color="auto" w:fill="FFFFFF"/>
        </w:rPr>
        <w:t>was</w:t>
      </w:r>
      <w:r w:rsidR="00B20FB4" w:rsidRPr="005E5D86">
        <w:rPr>
          <w:rFonts w:ascii="Book Antiqua" w:hAnsi="Book Antiqua"/>
          <w:color w:val="000000" w:themeColor="text1"/>
          <w:shd w:val="clear" w:color="auto" w:fill="FFFFFF"/>
        </w:rPr>
        <w:t xml:space="preserve"> a</w:t>
      </w:r>
      <w:r w:rsidR="00BF5A5B" w:rsidRPr="005E5D86">
        <w:rPr>
          <w:rFonts w:ascii="Book Antiqua" w:hAnsi="Book Antiqua"/>
          <w:color w:val="000000" w:themeColor="text1"/>
          <w:shd w:val="clear" w:color="auto" w:fill="FFFFFF"/>
        </w:rPr>
        <w:t>n observational study</w:t>
      </w:r>
      <w:r w:rsidR="00B20FB4" w:rsidRPr="005E5D86">
        <w:rPr>
          <w:rFonts w:ascii="Book Antiqua" w:hAnsi="Book Antiqua"/>
          <w:color w:val="000000" w:themeColor="text1"/>
          <w:shd w:val="clear" w:color="auto" w:fill="FFFFFF"/>
        </w:rPr>
        <w:t xml:space="preserve">. </w:t>
      </w:r>
      <w:r w:rsidR="00BF5A5B" w:rsidRPr="005E5D86">
        <w:rPr>
          <w:rFonts w:ascii="Book Antiqua" w:hAnsi="Book Antiqua"/>
          <w:color w:val="000000" w:themeColor="text1"/>
          <w:shd w:val="clear" w:color="auto" w:fill="FFFFFF"/>
        </w:rPr>
        <w:t>Nonetheless,</w:t>
      </w:r>
      <w:r w:rsidR="003515DB" w:rsidRPr="005E5D86">
        <w:rPr>
          <w:rFonts w:ascii="Book Antiqua" w:hAnsi="Book Antiqua"/>
          <w:color w:val="000000" w:themeColor="text1"/>
          <w:shd w:val="clear" w:color="auto" w:fill="FFFFFF"/>
        </w:rPr>
        <w:t xml:space="preserve"> </w:t>
      </w:r>
      <w:r w:rsidR="006C2B9F" w:rsidRPr="005E5D86">
        <w:rPr>
          <w:rFonts w:ascii="Book Antiqua" w:hAnsi="Book Antiqua"/>
          <w:color w:val="000000" w:themeColor="text1"/>
          <w:shd w:val="clear" w:color="auto" w:fill="FFFFFF"/>
        </w:rPr>
        <w:t xml:space="preserve">we observed a step wise increase in </w:t>
      </w:r>
      <w:r w:rsidR="003515DB" w:rsidRPr="005E5D86">
        <w:rPr>
          <w:rFonts w:ascii="Book Antiqua" w:hAnsi="Book Antiqua"/>
          <w:color w:val="000000" w:themeColor="text1"/>
          <w:shd w:val="clear" w:color="auto" w:fill="FFFFFF"/>
        </w:rPr>
        <w:t xml:space="preserve">the absolute risk of MI </w:t>
      </w:r>
      <w:r w:rsidR="007F2D90" w:rsidRPr="005E5D86">
        <w:rPr>
          <w:rFonts w:ascii="Book Antiqua" w:hAnsi="Book Antiqua"/>
          <w:color w:val="000000" w:themeColor="text1"/>
          <w:shd w:val="clear" w:color="auto" w:fill="FFFFFF"/>
        </w:rPr>
        <w:t xml:space="preserve">in both cohorts </w:t>
      </w:r>
      <w:r w:rsidR="00BF5A5B" w:rsidRPr="005E5D86">
        <w:rPr>
          <w:rFonts w:ascii="Book Antiqua" w:hAnsi="Book Antiqua"/>
          <w:color w:val="000000" w:themeColor="text1"/>
          <w:shd w:val="clear" w:color="auto" w:fill="FFFFFF"/>
        </w:rPr>
        <w:t xml:space="preserve">with </w:t>
      </w:r>
      <w:r w:rsidR="007F2D90" w:rsidRPr="005E5D86">
        <w:rPr>
          <w:rFonts w:ascii="Book Antiqua" w:hAnsi="Book Antiqua"/>
          <w:color w:val="000000" w:themeColor="text1"/>
          <w:shd w:val="clear" w:color="auto" w:fill="FFFFFF"/>
        </w:rPr>
        <w:t xml:space="preserve">increasing </w:t>
      </w:r>
      <w:r w:rsidR="006C2B9F" w:rsidRPr="005E5D86">
        <w:rPr>
          <w:rFonts w:ascii="Book Antiqua" w:hAnsi="Book Antiqua"/>
          <w:color w:val="000000" w:themeColor="text1"/>
          <w:shd w:val="clear" w:color="auto" w:fill="FFFFFF"/>
        </w:rPr>
        <w:t>ag</w:t>
      </w:r>
      <w:r w:rsidR="007F2D90" w:rsidRPr="005E5D86">
        <w:rPr>
          <w:rFonts w:ascii="Book Antiqua" w:hAnsi="Book Antiqua"/>
          <w:color w:val="000000" w:themeColor="text1"/>
          <w:shd w:val="clear" w:color="auto" w:fill="FFFFFF"/>
        </w:rPr>
        <w:t>e</w:t>
      </w:r>
      <w:r w:rsidR="003515DB" w:rsidRPr="005E5D86">
        <w:rPr>
          <w:rFonts w:ascii="Book Antiqua" w:hAnsi="Book Antiqua"/>
          <w:color w:val="000000" w:themeColor="text1"/>
          <w:shd w:val="clear" w:color="auto" w:fill="FFFFFF"/>
        </w:rPr>
        <w:t xml:space="preserve"> (Figure 1).</w:t>
      </w:r>
      <w:r w:rsidR="00FE23C1" w:rsidRPr="005E5D86">
        <w:rPr>
          <w:rFonts w:ascii="Book Antiqua" w:hAnsi="Book Antiqua"/>
          <w:color w:val="000000" w:themeColor="text1"/>
          <w:shd w:val="clear" w:color="auto" w:fill="FFFFFF"/>
        </w:rPr>
        <w:t xml:space="preserve"> </w:t>
      </w:r>
    </w:p>
    <w:p w:rsidR="00591E7C" w:rsidRPr="005E5D86" w:rsidRDefault="000026BB"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lastRenderedPageBreak/>
        <w:t xml:space="preserve">There is increasing evidence that menopause is associated with the progression of </w:t>
      </w:r>
      <w:proofErr w:type="gramStart"/>
      <w:r w:rsidRPr="005E5D86">
        <w:rPr>
          <w:rFonts w:ascii="Book Antiqua" w:hAnsi="Book Antiqua"/>
          <w:color w:val="000000" w:themeColor="text1"/>
          <w:shd w:val="clear" w:color="auto" w:fill="FFFFFF"/>
        </w:rPr>
        <w:t>NAFLD</w:t>
      </w:r>
      <w:r w:rsidRPr="005E5D86">
        <w:rPr>
          <w:rFonts w:ascii="Book Antiqua" w:hAnsi="Book Antiqua"/>
          <w:color w:val="000000" w:themeColor="text1"/>
          <w:shd w:val="clear" w:color="auto" w:fill="FFFFFF"/>
          <w:vertAlign w:val="superscript"/>
        </w:rPr>
        <w:t>[</w:t>
      </w:r>
      <w:proofErr w:type="gramEnd"/>
      <w:r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6</w:t>
      </w:r>
      <w:r w:rsidRPr="005E5D86">
        <w:rPr>
          <w:rFonts w:ascii="Book Antiqua" w:hAnsi="Book Antiqua"/>
          <w:color w:val="000000" w:themeColor="text1"/>
          <w:shd w:val="clear" w:color="auto" w:fill="FFFFFF"/>
          <w:vertAlign w:val="superscript"/>
        </w:rPr>
        <w:t>]</w:t>
      </w:r>
      <w:r w:rsidRPr="005E5D86">
        <w:rPr>
          <w:rFonts w:ascii="Book Antiqua" w:hAnsi="Book Antiqua"/>
          <w:color w:val="000000" w:themeColor="text1"/>
          <w:shd w:val="clear" w:color="auto" w:fill="FFFFFF"/>
        </w:rPr>
        <w:t xml:space="preserve">. Although more data is needed, this is likely </w:t>
      </w:r>
      <w:r w:rsidR="00CF77EB" w:rsidRPr="005E5D86">
        <w:rPr>
          <w:rFonts w:ascii="Book Antiqua" w:hAnsi="Book Antiqua"/>
          <w:color w:val="000000" w:themeColor="text1"/>
          <w:shd w:val="clear" w:color="auto" w:fill="FFFFFF"/>
        </w:rPr>
        <w:t>due the</w:t>
      </w:r>
      <w:r w:rsidRPr="005E5D86">
        <w:rPr>
          <w:rFonts w:ascii="Book Antiqua" w:hAnsi="Book Antiqua"/>
          <w:color w:val="000000" w:themeColor="text1"/>
          <w:shd w:val="clear" w:color="auto" w:fill="FFFFFF"/>
        </w:rPr>
        <w:t xml:space="preserve"> loss of estrogen’s hepato-protective role post menopause. In the current study, premenopausal females with NASH had a higher relative risk of MI compared to post-menopausal females (Figure 2). Our findings maybe partially explained by the lower CVD risk profile at baseline of the younger NASH females</w:t>
      </w:r>
      <w:r w:rsidR="00F92F05" w:rsidRPr="005E5D86">
        <w:rPr>
          <w:rFonts w:ascii="Book Antiqua" w:hAnsi="Book Antiqua"/>
          <w:color w:val="000000" w:themeColor="text1"/>
          <w:shd w:val="clear" w:color="auto" w:fill="FFFFFF"/>
        </w:rPr>
        <w:t xml:space="preserve"> compared to th</w:t>
      </w:r>
      <w:r w:rsidR="00BC6587" w:rsidRPr="005E5D86">
        <w:rPr>
          <w:rFonts w:ascii="Book Antiqua" w:hAnsi="Book Antiqua"/>
          <w:color w:val="000000" w:themeColor="text1"/>
          <w:shd w:val="clear" w:color="auto" w:fill="FFFFFF"/>
        </w:rPr>
        <w:t>eir older counterparts</w:t>
      </w:r>
      <w:r w:rsidRPr="005E5D86">
        <w:rPr>
          <w:rFonts w:ascii="Book Antiqua" w:hAnsi="Book Antiqua"/>
          <w:color w:val="000000" w:themeColor="text1"/>
          <w:shd w:val="clear" w:color="auto" w:fill="FFFFFF"/>
        </w:rPr>
        <w:t xml:space="preserve">. This supports the growing body of evidence suggesting a pathological association between inflammation and ischemic heart disease at least in the younger patient </w:t>
      </w:r>
      <w:proofErr w:type="gramStart"/>
      <w:r w:rsidRPr="005E5D86">
        <w:rPr>
          <w:rFonts w:ascii="Book Antiqua" w:hAnsi="Book Antiqua"/>
          <w:color w:val="000000" w:themeColor="text1"/>
          <w:shd w:val="clear" w:color="auto" w:fill="FFFFFF"/>
        </w:rPr>
        <w:t>group</w:t>
      </w:r>
      <w:r w:rsidRPr="005E5D86">
        <w:rPr>
          <w:rFonts w:ascii="Book Antiqua" w:hAnsi="Book Antiqua"/>
          <w:color w:val="000000" w:themeColor="text1"/>
          <w:shd w:val="clear" w:color="auto" w:fill="FFFFFF"/>
          <w:vertAlign w:val="superscript"/>
        </w:rPr>
        <w:t>[</w:t>
      </w:r>
      <w:proofErr w:type="gramEnd"/>
      <w:r w:rsidRPr="005E5D86">
        <w:rPr>
          <w:rFonts w:ascii="Book Antiqua" w:hAnsi="Book Antiqua"/>
          <w:color w:val="000000" w:themeColor="text1"/>
          <w:shd w:val="clear" w:color="auto" w:fill="FFFFFF"/>
          <w:vertAlign w:val="superscript"/>
        </w:rPr>
        <w:t>13,26-30]</w:t>
      </w:r>
      <w:r w:rsidRPr="005E5D86">
        <w:rPr>
          <w:rFonts w:ascii="Book Antiqua" w:hAnsi="Book Antiqua"/>
          <w:color w:val="000000" w:themeColor="text1"/>
          <w:shd w:val="clear" w:color="auto" w:fill="FFFFFF"/>
        </w:rPr>
        <w:t>.</w:t>
      </w:r>
    </w:p>
    <w:p w:rsidR="00B83189" w:rsidRPr="005E5D86" w:rsidRDefault="006D2396" w:rsidP="005E5D86">
      <w:pPr>
        <w:snapToGrid w:val="0"/>
        <w:spacing w:line="360" w:lineRule="auto"/>
        <w:ind w:firstLine="720"/>
        <w:jc w:val="both"/>
        <w:rPr>
          <w:rFonts w:ascii="Book Antiqua" w:hAnsi="Book Antiqua"/>
        </w:rPr>
      </w:pPr>
      <w:r w:rsidRPr="005E5D86">
        <w:rPr>
          <w:rFonts w:ascii="Book Antiqua" w:hAnsi="Book Antiqua"/>
          <w:color w:val="000000" w:themeColor="text1"/>
          <w:shd w:val="clear" w:color="auto" w:fill="FFFFFF"/>
        </w:rPr>
        <w:t>Across almost all age groups</w:t>
      </w:r>
      <w:r w:rsidR="009C0FDD"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the risk of MI was higher in females compared to their male counterparts</w:t>
      </w:r>
      <w:r w:rsidR="0019623D" w:rsidRPr="005E5D86">
        <w:rPr>
          <w:rFonts w:ascii="Book Antiqua" w:hAnsi="Book Antiqua"/>
          <w:color w:val="000000" w:themeColor="text1"/>
          <w:shd w:val="clear" w:color="auto" w:fill="FFFFFF"/>
        </w:rPr>
        <w:t xml:space="preserve">. </w:t>
      </w:r>
      <w:r w:rsidR="00703CF6" w:rsidRPr="005E5D86">
        <w:rPr>
          <w:rFonts w:ascii="Book Antiqua" w:hAnsi="Book Antiqua"/>
          <w:color w:val="000000" w:themeColor="text1"/>
          <w:shd w:val="clear" w:color="auto" w:fill="FFFFFF"/>
        </w:rPr>
        <w:t>The</w:t>
      </w:r>
      <w:r w:rsidR="002C651A" w:rsidRPr="005E5D86">
        <w:rPr>
          <w:rFonts w:ascii="Book Antiqua" w:hAnsi="Book Antiqua"/>
          <w:color w:val="000000" w:themeColor="text1"/>
          <w:shd w:val="clear" w:color="auto" w:fill="FFFFFF"/>
        </w:rPr>
        <w:t xml:space="preserve"> </w:t>
      </w:r>
      <w:r w:rsidR="00331871" w:rsidRPr="005E5D86">
        <w:rPr>
          <w:rFonts w:ascii="Book Antiqua" w:hAnsi="Book Antiqua"/>
          <w:color w:val="000000" w:themeColor="text1"/>
          <w:shd w:val="clear" w:color="auto" w:fill="FFFFFF"/>
        </w:rPr>
        <w:t xml:space="preserve">relative </w:t>
      </w:r>
      <w:r w:rsidR="00644591" w:rsidRPr="005E5D86">
        <w:rPr>
          <w:rFonts w:ascii="Book Antiqua" w:hAnsi="Book Antiqua"/>
          <w:color w:val="000000" w:themeColor="text1"/>
          <w:shd w:val="clear" w:color="auto" w:fill="FFFFFF"/>
        </w:rPr>
        <w:t>risk of MI</w:t>
      </w:r>
      <w:r w:rsidRPr="005E5D86">
        <w:rPr>
          <w:rFonts w:ascii="Book Antiqua" w:hAnsi="Book Antiqua"/>
          <w:color w:val="000000" w:themeColor="text1"/>
          <w:shd w:val="clear" w:color="auto" w:fill="FFFFFF"/>
        </w:rPr>
        <w:t xml:space="preserve"> in </w:t>
      </w:r>
      <w:r w:rsidR="00644591" w:rsidRPr="005E5D86">
        <w:rPr>
          <w:rFonts w:ascii="Book Antiqua" w:hAnsi="Book Antiqua"/>
          <w:color w:val="000000" w:themeColor="text1"/>
          <w:shd w:val="clear" w:color="auto" w:fill="FFFFFF"/>
        </w:rPr>
        <w:t>females</w:t>
      </w:r>
      <w:r w:rsidR="0019623D" w:rsidRPr="005E5D86">
        <w:rPr>
          <w:rFonts w:ascii="Book Antiqua" w:hAnsi="Book Antiqua"/>
          <w:color w:val="000000" w:themeColor="text1"/>
          <w:shd w:val="clear" w:color="auto" w:fill="FFFFFF"/>
        </w:rPr>
        <w:t xml:space="preserve"> with NASH</w:t>
      </w:r>
      <w:r w:rsidR="00703CF6" w:rsidRPr="005E5D86">
        <w:rPr>
          <w:rFonts w:ascii="Book Antiqua" w:hAnsi="Book Antiqua"/>
          <w:color w:val="000000" w:themeColor="text1"/>
          <w:shd w:val="clear" w:color="auto" w:fill="FFFFFF"/>
        </w:rPr>
        <w:t xml:space="preserve"> decreased</w:t>
      </w:r>
      <w:r w:rsidRPr="005E5D86">
        <w:rPr>
          <w:rFonts w:ascii="Book Antiqua" w:hAnsi="Book Antiqua"/>
          <w:color w:val="000000" w:themeColor="text1"/>
          <w:shd w:val="clear" w:color="auto" w:fill="FFFFFF"/>
        </w:rPr>
        <w:t xml:space="preserve"> with increasing</w:t>
      </w:r>
      <w:r w:rsidR="002C651A" w:rsidRPr="005E5D86">
        <w:rPr>
          <w:rFonts w:ascii="Book Antiqua" w:hAnsi="Book Antiqua"/>
          <w:color w:val="000000" w:themeColor="text1"/>
          <w:shd w:val="clear" w:color="auto" w:fill="FFFFFF"/>
        </w:rPr>
        <w:t xml:space="preserve"> age</w:t>
      </w:r>
      <w:r w:rsidR="00644591" w:rsidRPr="005E5D86">
        <w:rPr>
          <w:rFonts w:ascii="Book Antiqua" w:hAnsi="Book Antiqua"/>
          <w:color w:val="000000" w:themeColor="text1"/>
          <w:shd w:val="clear" w:color="auto" w:fill="FFFFFF"/>
        </w:rPr>
        <w:t>, while males</w:t>
      </w:r>
      <w:r w:rsidR="000F60A7" w:rsidRPr="005E5D86">
        <w:rPr>
          <w:rFonts w:ascii="Book Antiqua" w:hAnsi="Book Antiqua"/>
          <w:color w:val="000000" w:themeColor="text1"/>
          <w:shd w:val="clear" w:color="auto" w:fill="FFFFFF"/>
        </w:rPr>
        <w:t xml:space="preserve"> </w:t>
      </w:r>
      <w:r w:rsidR="00644591" w:rsidRPr="005E5D86">
        <w:rPr>
          <w:rFonts w:ascii="Book Antiqua" w:hAnsi="Book Antiqua"/>
          <w:color w:val="000000" w:themeColor="text1"/>
          <w:shd w:val="clear" w:color="auto" w:fill="FFFFFF"/>
        </w:rPr>
        <w:t xml:space="preserve">maintained a </w:t>
      </w:r>
      <w:r w:rsidR="000F60A7" w:rsidRPr="005E5D86">
        <w:rPr>
          <w:rFonts w:ascii="Book Antiqua" w:hAnsi="Book Antiqua"/>
          <w:color w:val="000000" w:themeColor="text1"/>
          <w:shd w:val="clear" w:color="auto" w:fill="FFFFFF"/>
        </w:rPr>
        <w:t xml:space="preserve">relatively </w:t>
      </w:r>
      <w:r w:rsidR="00644591" w:rsidRPr="005E5D86">
        <w:rPr>
          <w:rFonts w:ascii="Book Antiqua" w:hAnsi="Book Antiqua"/>
          <w:color w:val="000000" w:themeColor="text1"/>
          <w:shd w:val="clear" w:color="auto" w:fill="FFFFFF"/>
        </w:rPr>
        <w:t xml:space="preserve">more stable </w:t>
      </w:r>
      <w:r w:rsidR="00703CF6" w:rsidRPr="005E5D86">
        <w:rPr>
          <w:rFonts w:ascii="Book Antiqua" w:hAnsi="Book Antiqua"/>
          <w:color w:val="000000" w:themeColor="text1"/>
          <w:shd w:val="clear" w:color="auto" w:fill="FFFFFF"/>
        </w:rPr>
        <w:t xml:space="preserve">relative </w:t>
      </w:r>
      <w:r w:rsidR="00644591" w:rsidRPr="005E5D86">
        <w:rPr>
          <w:rFonts w:ascii="Book Antiqua" w:hAnsi="Book Antiqua"/>
          <w:color w:val="000000" w:themeColor="text1"/>
          <w:shd w:val="clear" w:color="auto" w:fill="FFFFFF"/>
        </w:rPr>
        <w:t>risk of MI th</w:t>
      </w:r>
      <w:r w:rsidR="00FD1044" w:rsidRPr="005E5D86">
        <w:rPr>
          <w:rFonts w:ascii="Book Antiqua" w:hAnsi="Book Antiqua"/>
          <w:color w:val="000000" w:themeColor="text1"/>
          <w:shd w:val="clear" w:color="auto" w:fill="FFFFFF"/>
        </w:rPr>
        <w:t>r</w:t>
      </w:r>
      <w:r w:rsidR="00644591" w:rsidRPr="005E5D86">
        <w:rPr>
          <w:rFonts w:ascii="Book Antiqua" w:hAnsi="Book Antiqua"/>
          <w:color w:val="000000" w:themeColor="text1"/>
          <w:shd w:val="clear" w:color="auto" w:fill="FFFFFF"/>
        </w:rPr>
        <w:t>ough</w:t>
      </w:r>
      <w:r w:rsidR="00591E7C" w:rsidRPr="005E5D86">
        <w:rPr>
          <w:rFonts w:ascii="Book Antiqua" w:hAnsi="Book Antiqua"/>
          <w:color w:val="000000" w:themeColor="text1"/>
          <w:shd w:val="clear" w:color="auto" w:fill="FFFFFF"/>
        </w:rPr>
        <w:t>o</w:t>
      </w:r>
      <w:r w:rsidR="00644591" w:rsidRPr="005E5D86">
        <w:rPr>
          <w:rFonts w:ascii="Book Antiqua" w:hAnsi="Book Antiqua"/>
          <w:color w:val="000000" w:themeColor="text1"/>
          <w:shd w:val="clear" w:color="auto" w:fill="FFFFFF"/>
        </w:rPr>
        <w:t>ut their lifetime</w:t>
      </w:r>
      <w:r w:rsidR="00703CF6" w:rsidRPr="005E5D86">
        <w:rPr>
          <w:rFonts w:ascii="Book Antiqua" w:hAnsi="Book Antiqua"/>
          <w:color w:val="000000" w:themeColor="text1"/>
          <w:shd w:val="clear" w:color="auto" w:fill="FFFFFF"/>
        </w:rPr>
        <w:t xml:space="preserve"> (Figure 2)</w:t>
      </w:r>
      <w:r w:rsidR="00644591" w:rsidRPr="005E5D86">
        <w:rPr>
          <w:rFonts w:ascii="Book Antiqua" w:hAnsi="Book Antiqua"/>
          <w:color w:val="000000" w:themeColor="text1"/>
          <w:shd w:val="clear" w:color="auto" w:fill="FFFFFF"/>
        </w:rPr>
        <w:t xml:space="preserve">. </w:t>
      </w:r>
      <w:r w:rsidR="00797CD2" w:rsidRPr="005E5D86">
        <w:rPr>
          <w:rFonts w:ascii="Book Antiqua" w:hAnsi="Book Antiqua"/>
          <w:color w:val="000000" w:themeColor="text1"/>
          <w:shd w:val="clear" w:color="auto" w:fill="FFFFFF"/>
        </w:rPr>
        <w:t>Current data suggests y</w:t>
      </w:r>
      <w:r w:rsidR="009C0FDD" w:rsidRPr="005E5D86">
        <w:rPr>
          <w:rFonts w:ascii="Book Antiqua" w:hAnsi="Book Antiqua"/>
          <w:color w:val="000000" w:themeColor="text1"/>
          <w:shd w:val="clear" w:color="auto" w:fill="FFFFFF"/>
        </w:rPr>
        <w:t>oung women with MI</w:t>
      </w:r>
      <w:r w:rsidR="00797CD2" w:rsidRPr="005E5D86">
        <w:rPr>
          <w:rFonts w:ascii="Book Antiqua" w:hAnsi="Book Antiqua"/>
          <w:color w:val="000000" w:themeColor="text1"/>
          <w:shd w:val="clear" w:color="auto" w:fill="FFFFFF"/>
        </w:rPr>
        <w:t xml:space="preserve"> are</w:t>
      </w:r>
      <w:r w:rsidR="009C0FDD" w:rsidRPr="005E5D86">
        <w:rPr>
          <w:rFonts w:ascii="Book Antiqua" w:hAnsi="Book Antiqua"/>
          <w:color w:val="000000" w:themeColor="text1"/>
          <w:shd w:val="clear" w:color="auto" w:fill="FFFFFF"/>
        </w:rPr>
        <w:t xml:space="preserve"> more likely</w:t>
      </w:r>
      <w:r w:rsidRPr="005E5D86">
        <w:rPr>
          <w:rFonts w:ascii="Book Antiqua" w:hAnsi="Book Antiqua"/>
          <w:color w:val="000000" w:themeColor="text1"/>
          <w:shd w:val="clear" w:color="auto" w:fill="FFFFFF"/>
        </w:rPr>
        <w:t xml:space="preserve"> </w:t>
      </w:r>
      <w:r w:rsidR="00797CD2" w:rsidRPr="005E5D86">
        <w:rPr>
          <w:rFonts w:ascii="Book Antiqua" w:hAnsi="Book Antiqua"/>
          <w:color w:val="000000" w:themeColor="text1"/>
          <w:shd w:val="clear" w:color="auto" w:fill="FFFFFF"/>
        </w:rPr>
        <w:t xml:space="preserve">than their </w:t>
      </w:r>
      <w:r w:rsidR="00703CF6" w:rsidRPr="005E5D86">
        <w:rPr>
          <w:rFonts w:ascii="Book Antiqua" w:hAnsi="Book Antiqua"/>
          <w:color w:val="000000" w:themeColor="text1"/>
          <w:shd w:val="clear" w:color="auto" w:fill="FFFFFF"/>
        </w:rPr>
        <w:t xml:space="preserve">male </w:t>
      </w:r>
      <w:r w:rsidR="00797CD2" w:rsidRPr="005E5D86">
        <w:rPr>
          <w:rFonts w:ascii="Book Antiqua" w:hAnsi="Book Antiqua"/>
          <w:color w:val="000000" w:themeColor="text1"/>
          <w:shd w:val="clear" w:color="auto" w:fill="FFFFFF"/>
        </w:rPr>
        <w:t xml:space="preserve">counterparts to have </w:t>
      </w:r>
      <w:proofErr w:type="gramStart"/>
      <w:r w:rsidR="009C0FDD" w:rsidRPr="005E5D86">
        <w:rPr>
          <w:rFonts w:ascii="Book Antiqua" w:hAnsi="Book Antiqua"/>
          <w:color w:val="000000" w:themeColor="text1"/>
          <w:shd w:val="clear" w:color="auto" w:fill="FFFFFF"/>
        </w:rPr>
        <w:t>comorbiditie</w:t>
      </w:r>
      <w:r w:rsidR="00797CD2" w:rsidRPr="005E5D86">
        <w:rPr>
          <w:rFonts w:ascii="Book Antiqua" w:hAnsi="Book Antiqua"/>
          <w:color w:val="000000" w:themeColor="text1"/>
          <w:shd w:val="clear" w:color="auto" w:fill="FFFFFF"/>
        </w:rPr>
        <w:t>s</w:t>
      </w:r>
      <w:r w:rsidR="009C0FDD" w:rsidRPr="005E5D86">
        <w:rPr>
          <w:rFonts w:ascii="Book Antiqua" w:hAnsi="Book Antiqua"/>
          <w:color w:val="000000" w:themeColor="text1"/>
          <w:shd w:val="clear" w:color="auto" w:fill="FFFFFF"/>
          <w:vertAlign w:val="superscript"/>
        </w:rPr>
        <w:t>[</w:t>
      </w:r>
      <w:proofErr w:type="gramEnd"/>
      <w:r w:rsidR="009C0FDD"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7</w:t>
      </w:r>
      <w:r w:rsidR="009C0FDD" w:rsidRPr="005E5D86">
        <w:rPr>
          <w:rFonts w:ascii="Book Antiqua" w:hAnsi="Book Antiqua"/>
          <w:color w:val="000000" w:themeColor="text1"/>
          <w:shd w:val="clear" w:color="auto" w:fill="FFFFFF"/>
          <w:vertAlign w:val="superscript"/>
        </w:rPr>
        <w:t>]</w:t>
      </w:r>
      <w:r w:rsidR="00D5519A" w:rsidRPr="005E5D86">
        <w:rPr>
          <w:rFonts w:ascii="Book Antiqua" w:hAnsi="Book Antiqua"/>
          <w:color w:val="000000" w:themeColor="text1"/>
          <w:shd w:val="clear" w:color="auto" w:fill="FFFFFF"/>
        </w:rPr>
        <w:t>.</w:t>
      </w:r>
      <w:r w:rsidR="009C0FDD" w:rsidRPr="005E5D86">
        <w:rPr>
          <w:rFonts w:ascii="Book Antiqua" w:hAnsi="Book Antiqua"/>
          <w:color w:val="000000" w:themeColor="text1"/>
          <w:shd w:val="clear" w:color="auto" w:fill="FFFFFF"/>
        </w:rPr>
        <w:t xml:space="preserve"> </w:t>
      </w:r>
      <w:r w:rsidR="00331871" w:rsidRPr="005E5D86">
        <w:rPr>
          <w:rFonts w:ascii="Book Antiqua" w:hAnsi="Book Antiqua"/>
          <w:color w:val="000000" w:themeColor="text1"/>
          <w:shd w:val="clear" w:color="auto" w:fill="FFFFFF"/>
        </w:rPr>
        <w:t>Additionally, a</w:t>
      </w:r>
      <w:r w:rsidR="00BC309D" w:rsidRPr="005E5D86">
        <w:rPr>
          <w:rFonts w:ascii="Book Antiqua" w:hAnsi="Book Antiqua"/>
          <w:color w:val="000000" w:themeColor="text1"/>
          <w:shd w:val="clear" w:color="auto" w:fill="FFFFFF"/>
        </w:rPr>
        <w:t xml:space="preserve">lthough the risk of MI on average is higher in men than women, the presence of comorbidities has been shown to confer an excess greater risk of MI in women than men and this risk doesn’t attenuate with </w:t>
      </w:r>
      <w:proofErr w:type="gramStart"/>
      <w:r w:rsidR="00BC309D" w:rsidRPr="005E5D86">
        <w:rPr>
          <w:rFonts w:ascii="Book Antiqua" w:hAnsi="Book Antiqua"/>
          <w:color w:val="000000" w:themeColor="text1"/>
          <w:shd w:val="clear" w:color="auto" w:fill="FFFFFF"/>
        </w:rPr>
        <w:t>age</w:t>
      </w:r>
      <w:r w:rsidR="00331871" w:rsidRPr="005E5D86">
        <w:rPr>
          <w:rFonts w:ascii="Book Antiqua" w:hAnsi="Book Antiqua"/>
          <w:color w:val="000000" w:themeColor="text1"/>
          <w:shd w:val="clear" w:color="auto" w:fill="FFFFFF"/>
          <w:vertAlign w:val="superscript"/>
        </w:rPr>
        <w:t>[</w:t>
      </w:r>
      <w:proofErr w:type="gramEnd"/>
      <w:r w:rsidR="00331871"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7</w:t>
      </w:r>
      <w:r w:rsidR="00331871" w:rsidRPr="005E5D86">
        <w:rPr>
          <w:rFonts w:ascii="Book Antiqua" w:hAnsi="Book Antiqua"/>
          <w:color w:val="000000" w:themeColor="text1"/>
          <w:shd w:val="clear" w:color="auto" w:fill="FFFFFF"/>
          <w:vertAlign w:val="superscript"/>
        </w:rPr>
        <w:t>]</w:t>
      </w:r>
      <w:r w:rsidR="00331871" w:rsidRPr="005E5D86">
        <w:rPr>
          <w:rFonts w:ascii="Book Antiqua" w:hAnsi="Book Antiqua"/>
          <w:color w:val="000000" w:themeColor="text1"/>
          <w:shd w:val="clear" w:color="auto" w:fill="FFFFFF"/>
        </w:rPr>
        <w:t xml:space="preserve">. </w:t>
      </w:r>
      <w:r w:rsidR="00AF31C8" w:rsidRPr="005E5D86">
        <w:rPr>
          <w:rFonts w:ascii="Book Antiqua" w:hAnsi="Book Antiqua"/>
          <w:color w:val="000000" w:themeColor="text1"/>
          <w:shd w:val="clear" w:color="auto" w:fill="FFFFFF"/>
        </w:rPr>
        <w:t xml:space="preserve">However given that data on time trends in risk factors was not available in </w:t>
      </w:r>
      <w:proofErr w:type="spellStart"/>
      <w:r w:rsidR="00AF31C8" w:rsidRPr="005E5D86">
        <w:rPr>
          <w:rFonts w:ascii="Book Antiqua" w:hAnsi="Book Antiqua"/>
          <w:color w:val="000000" w:themeColor="text1"/>
          <w:shd w:val="clear" w:color="auto" w:fill="FFFFFF"/>
        </w:rPr>
        <w:t>Explorys</w:t>
      </w:r>
      <w:proofErr w:type="spellEnd"/>
      <w:r w:rsidR="00AF31C8" w:rsidRPr="005E5D86">
        <w:rPr>
          <w:rFonts w:ascii="Book Antiqua" w:hAnsi="Book Antiqua"/>
          <w:color w:val="000000" w:themeColor="text1"/>
          <w:shd w:val="clear" w:color="auto" w:fill="FFFFFF"/>
        </w:rPr>
        <w:t xml:space="preserve">, </w:t>
      </w:r>
      <w:r w:rsidR="00797CD2" w:rsidRPr="005E5D86">
        <w:rPr>
          <w:rFonts w:ascii="Book Antiqua" w:hAnsi="Book Antiqua"/>
          <w:color w:val="000000"/>
          <w:shd w:val="clear" w:color="auto" w:fill="FFFFFF"/>
        </w:rPr>
        <w:t>we do not know whether there were sex-related differences in risk factor levels and risk factor control before</w:t>
      </w:r>
      <w:r w:rsidRPr="005E5D86">
        <w:rPr>
          <w:rFonts w:ascii="Book Antiqua" w:hAnsi="Book Antiqua"/>
          <w:color w:val="000000"/>
          <w:shd w:val="clear" w:color="auto" w:fill="FFFFFF"/>
        </w:rPr>
        <w:t xml:space="preserve"> </w:t>
      </w:r>
      <w:r w:rsidR="00797CD2" w:rsidRPr="005E5D86">
        <w:rPr>
          <w:rFonts w:ascii="Book Antiqua" w:hAnsi="Book Antiqua"/>
          <w:color w:val="000000"/>
          <w:shd w:val="clear" w:color="auto" w:fill="FFFFFF"/>
        </w:rPr>
        <w:t>MI</w:t>
      </w:r>
      <w:r w:rsidR="00797CD2" w:rsidRPr="005E5D86">
        <w:rPr>
          <w:rFonts w:ascii="Book Antiqua" w:hAnsi="Book Antiqua"/>
        </w:rPr>
        <w:t xml:space="preserve"> </w:t>
      </w:r>
      <w:r w:rsidR="00B83189" w:rsidRPr="005E5D86">
        <w:rPr>
          <w:rFonts w:ascii="Book Antiqua" w:hAnsi="Book Antiqua"/>
          <w:color w:val="000000" w:themeColor="text1"/>
          <w:shd w:val="clear" w:color="auto" w:fill="FFFFFF"/>
        </w:rPr>
        <w:t xml:space="preserve">and our findings </w:t>
      </w:r>
      <w:r w:rsidR="00FE1600" w:rsidRPr="005E5D86">
        <w:rPr>
          <w:rFonts w:ascii="Book Antiqua" w:hAnsi="Book Antiqua"/>
          <w:color w:val="000000" w:themeColor="text1"/>
          <w:shd w:val="clear" w:color="auto" w:fill="FFFFFF"/>
        </w:rPr>
        <w:t xml:space="preserve">indicate further </w:t>
      </w:r>
      <w:r w:rsidR="00797CD2" w:rsidRPr="005E5D86">
        <w:rPr>
          <w:rFonts w:ascii="Book Antiqua" w:hAnsi="Book Antiqua"/>
          <w:color w:val="000000" w:themeColor="text1"/>
          <w:shd w:val="clear" w:color="auto" w:fill="FFFFFF"/>
        </w:rPr>
        <w:t>studies are needed</w:t>
      </w:r>
      <w:r w:rsidR="0066168A" w:rsidRPr="005E5D86">
        <w:rPr>
          <w:rFonts w:ascii="Book Antiqua" w:hAnsi="Book Antiqua"/>
          <w:color w:val="000000" w:themeColor="text1"/>
          <w:shd w:val="clear" w:color="auto" w:fill="FFFFFF"/>
        </w:rPr>
        <w:t xml:space="preserve"> to investigate the phenomenon reported in the current study.</w:t>
      </w:r>
    </w:p>
    <w:p w:rsidR="00A22DDD" w:rsidRPr="005E5D86" w:rsidRDefault="00324C0D"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An important strength of our study is that we used a large national database and reported data on over 55 million active</w:t>
      </w:r>
      <w:r w:rsidR="00A020D8" w:rsidRPr="005E5D86">
        <w:rPr>
          <w:rFonts w:ascii="Book Antiqua" w:hAnsi="Book Antiqua"/>
          <w:color w:val="000000" w:themeColor="text1"/>
          <w:shd w:val="clear" w:color="auto" w:fill="FFFFFF"/>
        </w:rPr>
        <w:t xml:space="preserve"> adult</w:t>
      </w:r>
      <w:r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subjects</w:t>
      </w:r>
      <w:r w:rsidRPr="005E5D86">
        <w:rPr>
          <w:rFonts w:ascii="Book Antiqua" w:hAnsi="Book Antiqua"/>
          <w:color w:val="000000" w:themeColor="text1"/>
          <w:shd w:val="clear" w:color="auto" w:fill="FFFFFF"/>
        </w:rPr>
        <w:t xml:space="preserve">. We also provided comprehensive epidemiological information on the risk of MI in patients with NASH based on </w:t>
      </w:r>
      <w:r w:rsidR="00DF6CE9" w:rsidRPr="005E5D86">
        <w:rPr>
          <w:rFonts w:ascii="Book Antiqua" w:hAnsi="Book Antiqua"/>
          <w:color w:val="000000" w:themeColor="text1"/>
          <w:shd w:val="clear" w:color="auto" w:fill="FFFFFF"/>
        </w:rPr>
        <w:t>classical</w:t>
      </w:r>
      <w:r w:rsidR="009E6644" w:rsidRPr="005E5D86">
        <w:rPr>
          <w:rFonts w:ascii="Book Antiqua" w:hAnsi="Book Antiqua"/>
          <w:color w:val="000000" w:themeColor="text1"/>
          <w:shd w:val="clear" w:color="auto" w:fill="FFFFFF"/>
        </w:rPr>
        <w:t xml:space="preserve"> risk factors for both </w:t>
      </w:r>
      <w:r w:rsidR="00F84978" w:rsidRPr="005E5D86">
        <w:rPr>
          <w:rFonts w:ascii="Book Antiqua" w:hAnsi="Book Antiqua"/>
          <w:color w:val="000000" w:themeColor="text1"/>
          <w:shd w:val="clear" w:color="auto" w:fill="FFFFFF"/>
        </w:rPr>
        <w:t>entities</w:t>
      </w:r>
      <w:r w:rsidR="009E6644" w:rsidRPr="005E5D86">
        <w:rPr>
          <w:rFonts w:ascii="Book Antiqua" w:hAnsi="Book Antiqua"/>
          <w:color w:val="000000" w:themeColor="text1"/>
          <w:shd w:val="clear" w:color="auto" w:fill="FFFFFF"/>
        </w:rPr>
        <w:t xml:space="preserve">. Our results are therefore consistent with established data suggesting that NASH might be </w:t>
      </w:r>
      <w:r w:rsidR="00EA4BD1" w:rsidRPr="005E5D86">
        <w:rPr>
          <w:rFonts w:ascii="Book Antiqua" w:hAnsi="Book Antiqua"/>
          <w:color w:val="000000" w:themeColor="text1"/>
          <w:shd w:val="clear" w:color="auto" w:fill="FFFFFF"/>
        </w:rPr>
        <w:t>significantly associated</w:t>
      </w:r>
      <w:r w:rsidR="009E6644" w:rsidRPr="005E5D86">
        <w:rPr>
          <w:rFonts w:ascii="Book Antiqua" w:hAnsi="Book Antiqua"/>
          <w:color w:val="000000" w:themeColor="text1"/>
          <w:shd w:val="clear" w:color="auto" w:fill="FFFFFF"/>
        </w:rPr>
        <w:t xml:space="preserve"> </w:t>
      </w:r>
      <w:r w:rsidR="00EA4BD1" w:rsidRPr="005E5D86">
        <w:rPr>
          <w:rFonts w:ascii="Book Antiqua" w:hAnsi="Book Antiqua"/>
          <w:color w:val="000000" w:themeColor="text1"/>
          <w:shd w:val="clear" w:color="auto" w:fill="FFFFFF"/>
        </w:rPr>
        <w:t xml:space="preserve">with </w:t>
      </w:r>
      <w:r w:rsidR="006D3F5E" w:rsidRPr="005E5D86">
        <w:rPr>
          <w:rFonts w:ascii="Book Antiqua" w:hAnsi="Book Antiqua"/>
          <w:color w:val="000000" w:themeColor="text1"/>
          <w:shd w:val="clear" w:color="auto" w:fill="FFFFFF"/>
        </w:rPr>
        <w:t xml:space="preserve">acute </w:t>
      </w:r>
      <w:r w:rsidR="00704149">
        <w:rPr>
          <w:rFonts w:ascii="Book Antiqua" w:hAnsi="Book Antiqua"/>
          <w:color w:val="000000" w:themeColor="text1"/>
          <w:shd w:val="clear" w:color="auto" w:fill="FFFFFF"/>
        </w:rPr>
        <w:t>CVD</w:t>
      </w:r>
      <w:r w:rsidR="0093306D" w:rsidRPr="005E5D86">
        <w:rPr>
          <w:rFonts w:ascii="Book Antiqua" w:hAnsi="Book Antiqua"/>
          <w:color w:val="000000" w:themeColor="text1"/>
          <w:shd w:val="clear" w:color="auto" w:fill="FFFFFF"/>
        </w:rPr>
        <w:t xml:space="preserve"> events such as MI.</w:t>
      </w:r>
    </w:p>
    <w:p w:rsidR="00CA1ECE" w:rsidRPr="005E5D86" w:rsidRDefault="00F433A2"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There are several limitations to this study that should be addressed. </w:t>
      </w:r>
      <w:r w:rsidR="00565F97" w:rsidRPr="005E5D86">
        <w:rPr>
          <w:rFonts w:ascii="Book Antiqua" w:hAnsi="Book Antiqua"/>
          <w:color w:val="000000" w:themeColor="text1"/>
          <w:shd w:val="clear" w:color="auto" w:fill="FFFFFF"/>
        </w:rPr>
        <w:t xml:space="preserve">Observational </w:t>
      </w:r>
      <w:r w:rsidR="002C651A" w:rsidRPr="005E5D86">
        <w:rPr>
          <w:rFonts w:ascii="Book Antiqua" w:hAnsi="Book Antiqua"/>
          <w:color w:val="000000" w:themeColor="text1"/>
          <w:shd w:val="clear" w:color="auto" w:fill="FFFFFF"/>
        </w:rPr>
        <w:t xml:space="preserve">studies </w:t>
      </w:r>
      <w:r w:rsidR="00CF77EB" w:rsidRPr="005E5D86">
        <w:rPr>
          <w:rFonts w:ascii="Book Antiqua" w:hAnsi="Book Antiqua"/>
          <w:color w:val="000000" w:themeColor="text1"/>
          <w:shd w:val="clear" w:color="auto" w:fill="FFFFFF"/>
        </w:rPr>
        <w:t>preclude</w:t>
      </w:r>
      <w:r w:rsidR="002C651A" w:rsidRPr="005E5D86">
        <w:rPr>
          <w:rFonts w:ascii="Book Antiqua" w:hAnsi="Book Antiqua"/>
          <w:color w:val="000000" w:themeColor="text1"/>
          <w:shd w:val="clear" w:color="auto" w:fill="FFFFFF"/>
        </w:rPr>
        <w:t xml:space="preserve"> us from addressing causality. </w:t>
      </w:r>
      <w:r w:rsidR="00B1058F" w:rsidRPr="005E5D86">
        <w:rPr>
          <w:rFonts w:ascii="Book Antiqua" w:hAnsi="Book Antiqua"/>
          <w:color w:val="000000" w:themeColor="text1"/>
          <w:shd w:val="clear" w:color="auto" w:fill="FFFFFF"/>
        </w:rPr>
        <w:t xml:space="preserve">Due to the design of </w:t>
      </w:r>
      <w:proofErr w:type="spellStart"/>
      <w:r w:rsidR="00B1058F" w:rsidRPr="005E5D86">
        <w:rPr>
          <w:rFonts w:ascii="Book Antiqua" w:hAnsi="Book Antiqua"/>
          <w:color w:val="000000" w:themeColor="text1"/>
          <w:shd w:val="clear" w:color="auto" w:fill="FFFFFF"/>
        </w:rPr>
        <w:t>Explorys</w:t>
      </w:r>
      <w:proofErr w:type="spellEnd"/>
      <w:r w:rsidR="00B1058F" w:rsidRPr="005E5D86">
        <w:rPr>
          <w:rFonts w:ascii="Book Antiqua" w:hAnsi="Book Antiqua"/>
          <w:color w:val="000000" w:themeColor="text1"/>
          <w:shd w:val="clear" w:color="auto" w:fill="FFFFFF"/>
        </w:rPr>
        <w:t>, we</w:t>
      </w:r>
      <w:r w:rsidR="002D700D" w:rsidRPr="005E5D86">
        <w:rPr>
          <w:rFonts w:ascii="Book Antiqua" w:hAnsi="Book Antiqua"/>
          <w:color w:val="000000" w:themeColor="text1"/>
          <w:shd w:val="clear" w:color="auto" w:fill="FFFFFF"/>
        </w:rPr>
        <w:t xml:space="preserve"> c</w:t>
      </w:r>
      <w:r w:rsidR="0014175C" w:rsidRPr="005E5D86">
        <w:rPr>
          <w:rFonts w:ascii="Book Antiqua" w:hAnsi="Book Antiqua"/>
          <w:color w:val="000000" w:themeColor="text1"/>
          <w:shd w:val="clear" w:color="auto" w:fill="FFFFFF"/>
        </w:rPr>
        <w:t>ould not</w:t>
      </w:r>
      <w:r w:rsidR="002D700D" w:rsidRPr="005E5D86">
        <w:rPr>
          <w:rFonts w:ascii="Book Antiqua" w:hAnsi="Book Antiqua"/>
          <w:color w:val="000000" w:themeColor="text1"/>
          <w:shd w:val="clear" w:color="auto" w:fill="FFFFFF"/>
        </w:rPr>
        <w:t xml:space="preserve"> </w:t>
      </w:r>
      <w:r w:rsidR="00FB4A5E" w:rsidRPr="005E5D86">
        <w:rPr>
          <w:rFonts w:ascii="Book Antiqua" w:hAnsi="Book Antiqua"/>
          <w:color w:val="000000" w:themeColor="text1"/>
          <w:shd w:val="clear" w:color="auto" w:fill="FFFFFF"/>
        </w:rPr>
        <w:t>establish</w:t>
      </w:r>
      <w:r w:rsidR="0087343F" w:rsidRPr="005E5D86">
        <w:rPr>
          <w:rFonts w:ascii="Book Antiqua" w:hAnsi="Book Antiqua"/>
          <w:color w:val="000000" w:themeColor="text1"/>
          <w:shd w:val="clear" w:color="auto" w:fill="FFFFFF"/>
        </w:rPr>
        <w:t xml:space="preserve"> </w:t>
      </w:r>
      <w:r w:rsidR="00FB4A5E" w:rsidRPr="005E5D86">
        <w:rPr>
          <w:rFonts w:ascii="Book Antiqua" w:hAnsi="Book Antiqua"/>
          <w:color w:val="000000" w:themeColor="text1"/>
          <w:shd w:val="clear" w:color="auto" w:fill="FFFFFF"/>
        </w:rPr>
        <w:t>temporal relationships</w:t>
      </w:r>
      <w:r w:rsidR="002D700D" w:rsidRPr="005E5D86">
        <w:rPr>
          <w:rFonts w:ascii="Book Antiqua" w:hAnsi="Book Antiqua"/>
          <w:color w:val="000000" w:themeColor="text1"/>
          <w:shd w:val="clear" w:color="auto" w:fill="FFFFFF"/>
        </w:rPr>
        <w:t xml:space="preserve"> </w:t>
      </w:r>
      <w:r w:rsidR="00C61D8D" w:rsidRPr="005E5D86">
        <w:rPr>
          <w:rFonts w:ascii="Book Antiqua" w:hAnsi="Book Antiqua"/>
          <w:color w:val="000000" w:themeColor="text1"/>
          <w:shd w:val="clear" w:color="auto" w:fill="FFFFFF"/>
        </w:rPr>
        <w:t xml:space="preserve">between </w:t>
      </w:r>
      <w:r w:rsidR="002D700D" w:rsidRPr="005E5D86">
        <w:rPr>
          <w:rFonts w:ascii="Book Antiqua" w:hAnsi="Book Antiqua"/>
          <w:color w:val="000000" w:themeColor="text1"/>
          <w:shd w:val="clear" w:color="auto" w:fill="FFFFFF"/>
        </w:rPr>
        <w:t xml:space="preserve">the duration of NASH, </w:t>
      </w:r>
      <w:r w:rsidR="002D700D" w:rsidRPr="005E5D86">
        <w:rPr>
          <w:rFonts w:ascii="Book Antiqua" w:hAnsi="Book Antiqua"/>
          <w:color w:val="000000" w:themeColor="text1"/>
          <w:shd w:val="clear" w:color="auto" w:fill="FFFFFF"/>
        </w:rPr>
        <w:lastRenderedPageBreak/>
        <w:t>severit</w:t>
      </w:r>
      <w:r w:rsidR="0014175C" w:rsidRPr="005E5D86">
        <w:rPr>
          <w:rFonts w:ascii="Book Antiqua" w:hAnsi="Book Antiqua"/>
          <w:color w:val="000000" w:themeColor="text1"/>
          <w:shd w:val="clear" w:color="auto" w:fill="FFFFFF"/>
        </w:rPr>
        <w:t xml:space="preserve">y of the disease </w:t>
      </w:r>
      <w:r w:rsidR="00C61D8D" w:rsidRPr="005E5D86">
        <w:rPr>
          <w:rFonts w:ascii="Book Antiqua" w:hAnsi="Book Antiqua"/>
          <w:color w:val="000000" w:themeColor="text1"/>
          <w:shd w:val="clear" w:color="auto" w:fill="FFFFFF"/>
        </w:rPr>
        <w:t>and</w:t>
      </w:r>
      <w:r w:rsidR="002D700D" w:rsidRPr="005E5D86">
        <w:rPr>
          <w:rFonts w:ascii="Book Antiqua" w:hAnsi="Book Antiqua"/>
          <w:color w:val="000000" w:themeColor="text1"/>
          <w:shd w:val="clear" w:color="auto" w:fill="FFFFFF"/>
        </w:rPr>
        <w:t xml:space="preserve"> </w:t>
      </w:r>
      <w:r w:rsidR="00B1058F" w:rsidRPr="005E5D86">
        <w:rPr>
          <w:rFonts w:ascii="Book Antiqua" w:hAnsi="Book Antiqua"/>
          <w:color w:val="000000" w:themeColor="text1"/>
          <w:shd w:val="clear" w:color="auto" w:fill="FFFFFF"/>
        </w:rPr>
        <w:t xml:space="preserve">impact of </w:t>
      </w:r>
      <w:r w:rsidR="008A10A5" w:rsidRPr="005E5D86">
        <w:rPr>
          <w:rFonts w:ascii="Book Antiqua" w:hAnsi="Book Antiqua"/>
          <w:color w:val="000000" w:themeColor="text1"/>
          <w:shd w:val="clear" w:color="auto" w:fill="FFFFFF"/>
        </w:rPr>
        <w:t>interventions</w:t>
      </w:r>
      <w:r w:rsidR="00533350" w:rsidRPr="005E5D86">
        <w:rPr>
          <w:rFonts w:ascii="Book Antiqua" w:hAnsi="Book Antiqua"/>
          <w:color w:val="000000" w:themeColor="text1"/>
          <w:shd w:val="clear" w:color="auto" w:fill="FFFFFF"/>
        </w:rPr>
        <w:t xml:space="preserve"> on the</w:t>
      </w:r>
      <w:r w:rsidR="002D700D" w:rsidRPr="005E5D86">
        <w:rPr>
          <w:rFonts w:ascii="Book Antiqua" w:hAnsi="Book Antiqua"/>
          <w:color w:val="000000" w:themeColor="text1"/>
          <w:shd w:val="clear" w:color="auto" w:fill="FFFFFF"/>
        </w:rPr>
        <w:t xml:space="preserve"> risk of cardiovascular events</w:t>
      </w:r>
      <w:r w:rsidR="00145B92" w:rsidRPr="005E5D86">
        <w:rPr>
          <w:rFonts w:ascii="Book Antiqua" w:hAnsi="Book Antiqua"/>
          <w:color w:val="000000" w:themeColor="text1"/>
          <w:shd w:val="clear" w:color="auto" w:fill="FFFFFF"/>
        </w:rPr>
        <w:t xml:space="preserve"> </w:t>
      </w:r>
      <w:r w:rsidR="00B1058F" w:rsidRPr="005E5D86">
        <w:rPr>
          <w:rFonts w:ascii="Book Antiqua" w:hAnsi="Book Antiqua"/>
          <w:color w:val="000000" w:themeColor="text1"/>
          <w:shd w:val="clear" w:color="auto" w:fill="FFFFFF"/>
        </w:rPr>
        <w:t xml:space="preserve">in </w:t>
      </w:r>
      <w:r w:rsidR="008A10A5" w:rsidRPr="005E5D86">
        <w:rPr>
          <w:rFonts w:ascii="Book Antiqua" w:hAnsi="Book Antiqua"/>
          <w:color w:val="000000" w:themeColor="text1"/>
          <w:shd w:val="clear" w:color="auto" w:fill="FFFFFF"/>
        </w:rPr>
        <w:t>our cohort</w:t>
      </w:r>
      <w:r w:rsidR="00FB4A5E" w:rsidRPr="005E5D86">
        <w:rPr>
          <w:rFonts w:ascii="Book Antiqua" w:hAnsi="Book Antiqua"/>
          <w:color w:val="000000" w:themeColor="text1"/>
          <w:shd w:val="clear" w:color="auto" w:fill="FFFFFF"/>
        </w:rPr>
        <w:t>.</w:t>
      </w:r>
      <w:r w:rsidR="002D700D" w:rsidRPr="005E5D86">
        <w:rPr>
          <w:rFonts w:ascii="Book Antiqua" w:hAnsi="Book Antiqua"/>
          <w:color w:val="000000" w:themeColor="text1"/>
          <w:shd w:val="clear" w:color="auto" w:fill="FFFFFF"/>
        </w:rPr>
        <w:t xml:space="preserve"> </w:t>
      </w:r>
      <w:r w:rsidR="00D96A54" w:rsidRPr="005E5D86">
        <w:rPr>
          <w:rFonts w:ascii="Book Antiqua" w:hAnsi="Book Antiqua"/>
          <w:color w:val="000000" w:themeColor="text1"/>
          <w:shd w:val="clear" w:color="auto" w:fill="FFFFFF"/>
        </w:rPr>
        <w:t>Second, t</w:t>
      </w:r>
      <w:r w:rsidR="00464046" w:rsidRPr="005E5D86">
        <w:rPr>
          <w:rFonts w:ascii="Book Antiqua" w:hAnsi="Book Antiqua"/>
          <w:color w:val="000000" w:themeColor="text1"/>
          <w:shd w:val="clear" w:color="auto" w:fill="FFFFFF"/>
        </w:rPr>
        <w:t xml:space="preserve">he </w:t>
      </w:r>
      <w:r w:rsidR="00CA1ECE" w:rsidRPr="005E5D86">
        <w:rPr>
          <w:rFonts w:ascii="Book Antiqua" w:hAnsi="Book Antiqua"/>
          <w:color w:val="000000" w:themeColor="text1"/>
          <w:shd w:val="clear" w:color="auto" w:fill="FFFFFF"/>
        </w:rPr>
        <w:t xml:space="preserve">prevalence and natural disease progression of NAFLD is difficult to estimate as accurate diagnosis requires tissue </w:t>
      </w:r>
      <w:r w:rsidR="00DB796A" w:rsidRPr="005E5D86">
        <w:rPr>
          <w:rFonts w:ascii="Book Antiqua" w:hAnsi="Book Antiqua"/>
          <w:color w:val="000000" w:themeColor="text1"/>
          <w:shd w:val="clear" w:color="auto" w:fill="FFFFFF"/>
        </w:rPr>
        <w:t>analysis</w:t>
      </w:r>
      <w:r w:rsidR="00CA1ECE" w:rsidRPr="005E5D86">
        <w:rPr>
          <w:rFonts w:ascii="Book Antiqua" w:hAnsi="Book Antiqua"/>
          <w:color w:val="000000" w:themeColor="text1"/>
          <w:shd w:val="clear" w:color="auto" w:fill="FFFFFF"/>
        </w:rPr>
        <w:t>.</w:t>
      </w:r>
      <w:r w:rsidR="009E6644" w:rsidRPr="005E5D86">
        <w:rPr>
          <w:rFonts w:ascii="Book Antiqua" w:hAnsi="Book Antiqua"/>
          <w:color w:val="000000" w:themeColor="text1"/>
          <w:shd w:val="clear" w:color="auto" w:fill="FFFFFF"/>
        </w:rPr>
        <w:t xml:space="preserve"> </w:t>
      </w:r>
      <w:r w:rsidR="00F52D85" w:rsidRPr="005E5D86">
        <w:rPr>
          <w:rFonts w:ascii="Book Antiqua" w:hAnsi="Book Antiqua"/>
          <w:color w:val="000000" w:themeColor="text1"/>
          <w:shd w:val="clear" w:color="auto" w:fill="FFFFFF"/>
        </w:rPr>
        <w:t xml:space="preserve">The prevalence of NASH is estimated to be between 1.5%-6.45% based on a few biopsy </w:t>
      </w:r>
      <w:proofErr w:type="gramStart"/>
      <w:r w:rsidR="00F52D85" w:rsidRPr="005E5D86">
        <w:rPr>
          <w:rFonts w:ascii="Book Antiqua" w:hAnsi="Book Antiqua"/>
          <w:color w:val="000000" w:themeColor="text1"/>
          <w:shd w:val="clear" w:color="auto" w:fill="FFFFFF"/>
        </w:rPr>
        <w:t>series</w:t>
      </w:r>
      <w:r w:rsidR="001E68ED" w:rsidRPr="005E5D86">
        <w:rPr>
          <w:rFonts w:ascii="Book Antiqua" w:hAnsi="Book Antiqua"/>
          <w:color w:val="000000" w:themeColor="text1"/>
          <w:shd w:val="clear" w:color="auto" w:fill="FFFFFF"/>
          <w:vertAlign w:val="superscript"/>
        </w:rPr>
        <w:t>[</w:t>
      </w:r>
      <w:proofErr w:type="gramEnd"/>
      <w:r w:rsidR="001E68ED" w:rsidRPr="005E5D86">
        <w:rPr>
          <w:rFonts w:ascii="Book Antiqua" w:hAnsi="Book Antiqua"/>
          <w:color w:val="000000" w:themeColor="text1"/>
          <w:shd w:val="clear" w:color="auto" w:fill="FFFFFF"/>
          <w:vertAlign w:val="superscript"/>
        </w:rPr>
        <w:t>3</w:t>
      </w:r>
      <w:r w:rsidR="008B2FC2" w:rsidRPr="005E5D86">
        <w:rPr>
          <w:rFonts w:ascii="Book Antiqua" w:hAnsi="Book Antiqua"/>
          <w:color w:val="000000" w:themeColor="text1"/>
          <w:shd w:val="clear" w:color="auto" w:fill="FFFFFF"/>
          <w:vertAlign w:val="superscript"/>
        </w:rPr>
        <w:t>8</w:t>
      </w:r>
      <w:r w:rsidR="001E68ED" w:rsidRPr="005E5D86">
        <w:rPr>
          <w:rFonts w:ascii="Book Antiqua" w:hAnsi="Book Antiqua"/>
          <w:color w:val="000000" w:themeColor="text1"/>
          <w:shd w:val="clear" w:color="auto" w:fill="FFFFFF"/>
          <w:vertAlign w:val="superscript"/>
        </w:rPr>
        <w:t>]</w:t>
      </w:r>
      <w:r w:rsidR="00F52D85" w:rsidRPr="005E5D86">
        <w:rPr>
          <w:rFonts w:ascii="Book Antiqua" w:hAnsi="Book Antiqua"/>
          <w:color w:val="000000" w:themeColor="text1"/>
          <w:shd w:val="clear" w:color="auto" w:fill="FFFFFF"/>
        </w:rPr>
        <w:t xml:space="preserve">. </w:t>
      </w:r>
      <w:r w:rsidR="009E6644" w:rsidRPr="005E5D86">
        <w:rPr>
          <w:rFonts w:ascii="Book Antiqua" w:hAnsi="Book Antiqua"/>
          <w:color w:val="000000" w:themeColor="text1"/>
          <w:shd w:val="clear" w:color="auto" w:fill="FFFFFF"/>
        </w:rPr>
        <w:t xml:space="preserve">As this is a retrospective study reliant on </w:t>
      </w:r>
      <w:r w:rsidR="00A22DDD" w:rsidRPr="005E5D86">
        <w:rPr>
          <w:rFonts w:ascii="Book Antiqua" w:hAnsi="Book Antiqua"/>
          <w:color w:val="000000" w:themeColor="text1"/>
          <w:shd w:val="clear" w:color="auto" w:fill="FFFFFF"/>
        </w:rPr>
        <w:t>diagnosed</w:t>
      </w:r>
      <w:r w:rsidR="009E6644" w:rsidRPr="005E5D86">
        <w:rPr>
          <w:rFonts w:ascii="Book Antiqua" w:hAnsi="Book Antiqua"/>
          <w:color w:val="000000" w:themeColor="text1"/>
          <w:shd w:val="clear" w:color="auto" w:fill="FFFFFF"/>
        </w:rPr>
        <w:t xml:space="preserve"> SNOMED-CT codes, it is impossible to verify the accuracy of diagnoses and it is prone to coding errors.</w:t>
      </w:r>
      <w:r w:rsidR="00A96D3B" w:rsidRPr="005E5D86">
        <w:rPr>
          <w:rFonts w:ascii="Book Antiqua" w:hAnsi="Book Antiqua"/>
          <w:color w:val="000000" w:themeColor="text1"/>
          <w:shd w:val="clear" w:color="auto" w:fill="FFFFFF"/>
        </w:rPr>
        <w:t xml:space="preserve"> The reported</w:t>
      </w:r>
      <w:r w:rsidR="009E6644" w:rsidRPr="005E5D86">
        <w:rPr>
          <w:rFonts w:ascii="Book Antiqua" w:hAnsi="Book Antiqua"/>
          <w:color w:val="000000" w:themeColor="text1"/>
          <w:shd w:val="clear" w:color="auto" w:fill="FFFFFF"/>
        </w:rPr>
        <w:t xml:space="preserve"> </w:t>
      </w:r>
      <w:r w:rsidR="00A22DDD" w:rsidRPr="005E5D86">
        <w:rPr>
          <w:rFonts w:ascii="Book Antiqua" w:hAnsi="Book Antiqua"/>
          <w:color w:val="000000" w:themeColor="text1"/>
          <w:shd w:val="clear" w:color="auto" w:fill="FFFFFF"/>
        </w:rPr>
        <w:t>prevalence</w:t>
      </w:r>
      <w:r w:rsidR="009E6644" w:rsidRPr="005E5D86">
        <w:rPr>
          <w:rFonts w:ascii="Book Antiqua" w:hAnsi="Book Antiqua"/>
          <w:color w:val="000000" w:themeColor="text1"/>
          <w:shd w:val="clear" w:color="auto" w:fill="FFFFFF"/>
        </w:rPr>
        <w:t xml:space="preserve"> of NASH</w:t>
      </w:r>
      <w:r w:rsidR="00A96D3B" w:rsidRPr="005E5D86">
        <w:rPr>
          <w:rFonts w:ascii="Book Antiqua" w:hAnsi="Book Antiqua"/>
          <w:color w:val="000000" w:themeColor="text1"/>
          <w:shd w:val="clear" w:color="auto" w:fill="FFFFFF"/>
        </w:rPr>
        <w:t xml:space="preserve"> in our study</w:t>
      </w:r>
      <w:r w:rsidR="009E6644" w:rsidRPr="005E5D86">
        <w:rPr>
          <w:rFonts w:ascii="Book Antiqua" w:hAnsi="Book Antiqua"/>
          <w:color w:val="000000" w:themeColor="text1"/>
          <w:shd w:val="clear" w:color="auto" w:fill="FFFFFF"/>
        </w:rPr>
        <w:t xml:space="preserve"> </w:t>
      </w:r>
      <w:r w:rsidR="00A96D3B" w:rsidRPr="005E5D86">
        <w:rPr>
          <w:rFonts w:ascii="Book Antiqua" w:hAnsi="Book Antiqua"/>
          <w:color w:val="000000" w:themeColor="text1"/>
          <w:shd w:val="clear" w:color="auto" w:fill="FFFFFF"/>
        </w:rPr>
        <w:t xml:space="preserve">was </w:t>
      </w:r>
      <w:r w:rsidR="00A22DDD" w:rsidRPr="005E5D86">
        <w:rPr>
          <w:rFonts w:ascii="Book Antiqua" w:hAnsi="Book Antiqua"/>
          <w:color w:val="000000" w:themeColor="text1"/>
          <w:shd w:val="clear" w:color="auto" w:fill="FFFFFF"/>
        </w:rPr>
        <w:t>0.08</w:t>
      </w:r>
      <w:r w:rsidR="00F52D85" w:rsidRPr="005E5D86">
        <w:rPr>
          <w:rFonts w:ascii="Book Antiqua" w:hAnsi="Book Antiqua"/>
          <w:color w:val="000000" w:themeColor="text1"/>
          <w:shd w:val="clear" w:color="auto" w:fill="FFFFFF"/>
        </w:rPr>
        <w:t>%</w:t>
      </w:r>
      <w:r w:rsidR="00A22DDD" w:rsidRPr="005E5D86">
        <w:rPr>
          <w:rFonts w:ascii="Book Antiqua" w:hAnsi="Book Antiqua"/>
          <w:color w:val="000000" w:themeColor="text1"/>
          <w:shd w:val="clear" w:color="auto" w:fill="FFFFFF"/>
        </w:rPr>
        <w:t xml:space="preserve">. </w:t>
      </w:r>
      <w:r w:rsidR="00F52D85" w:rsidRPr="005E5D86">
        <w:rPr>
          <w:rFonts w:ascii="Book Antiqua" w:hAnsi="Book Antiqua"/>
          <w:color w:val="000000" w:themeColor="text1"/>
          <w:shd w:val="clear" w:color="auto" w:fill="FFFFFF"/>
        </w:rPr>
        <w:t xml:space="preserve">We excluded those </w:t>
      </w:r>
      <w:r w:rsidR="000D2505" w:rsidRPr="005E5D86">
        <w:rPr>
          <w:rFonts w:ascii="Book Antiqua" w:hAnsi="Book Antiqua"/>
          <w:color w:val="000000" w:themeColor="text1"/>
          <w:shd w:val="clear" w:color="auto" w:fill="FFFFFF"/>
        </w:rPr>
        <w:t xml:space="preserve">with the diagnosis of </w:t>
      </w:r>
      <w:r w:rsidR="00A20B72" w:rsidRPr="005E5D86">
        <w:rPr>
          <w:rFonts w:ascii="Book Antiqua" w:hAnsi="Book Antiqua"/>
          <w:color w:val="000000" w:themeColor="text1"/>
          <w:shd w:val="clear" w:color="auto" w:fill="FFFFFF"/>
        </w:rPr>
        <w:t xml:space="preserve">fatty liver disease </w:t>
      </w:r>
      <w:r w:rsidR="00F52D85" w:rsidRPr="005E5D86">
        <w:rPr>
          <w:rFonts w:ascii="Book Antiqua" w:hAnsi="Book Antiqua"/>
          <w:color w:val="000000" w:themeColor="text1"/>
          <w:shd w:val="clear" w:color="auto" w:fill="FFFFFF"/>
        </w:rPr>
        <w:t>in an attempt to increase accuracy in our reporting</w:t>
      </w:r>
      <w:r w:rsidR="002922E2" w:rsidRPr="005E5D86">
        <w:rPr>
          <w:rFonts w:ascii="Book Antiqua" w:hAnsi="Book Antiqua"/>
          <w:color w:val="000000" w:themeColor="text1"/>
          <w:shd w:val="clear" w:color="auto" w:fill="FFFFFF"/>
        </w:rPr>
        <w:t xml:space="preserve">; as </w:t>
      </w:r>
      <w:r w:rsidR="00361746" w:rsidRPr="005E5D86">
        <w:rPr>
          <w:rFonts w:ascii="Book Antiqua" w:hAnsi="Book Antiqua"/>
          <w:color w:val="000000" w:themeColor="text1"/>
          <w:shd w:val="clear" w:color="auto" w:fill="FFFFFF"/>
        </w:rPr>
        <w:t>the</w:t>
      </w:r>
      <w:r w:rsidR="00CF1870" w:rsidRPr="005E5D86">
        <w:rPr>
          <w:rFonts w:ascii="Book Antiqua" w:hAnsi="Book Antiqua"/>
          <w:color w:val="000000" w:themeColor="text1"/>
          <w:shd w:val="clear" w:color="auto" w:fill="FFFFFF"/>
        </w:rPr>
        <w:t xml:space="preserve"> latter</w:t>
      </w:r>
      <w:r w:rsidR="00361746" w:rsidRPr="005E5D86">
        <w:rPr>
          <w:rFonts w:ascii="Book Antiqua" w:hAnsi="Book Antiqua"/>
          <w:color w:val="000000" w:themeColor="text1"/>
          <w:shd w:val="clear" w:color="auto" w:fill="FFFFFF"/>
        </w:rPr>
        <w:t xml:space="preserve"> may be caused by drugs, viruses or alcohol. </w:t>
      </w:r>
      <w:r w:rsidR="00A17B5F" w:rsidRPr="005E5D86">
        <w:rPr>
          <w:rFonts w:ascii="Book Antiqua" w:hAnsi="Book Antiqua"/>
          <w:color w:val="000000" w:themeColor="text1"/>
          <w:shd w:val="clear" w:color="auto" w:fill="FFFFFF"/>
        </w:rPr>
        <w:t>But even though the NASH population was underrepresented</w:t>
      </w:r>
      <w:r w:rsidR="00A96D3B" w:rsidRPr="005E5D86">
        <w:rPr>
          <w:rFonts w:ascii="Book Antiqua" w:hAnsi="Book Antiqua"/>
          <w:color w:val="000000" w:themeColor="text1"/>
          <w:shd w:val="clear" w:color="auto" w:fill="FFFFFF"/>
        </w:rPr>
        <w:t xml:space="preserve"> in the current study</w:t>
      </w:r>
      <w:r w:rsidR="00A17B5F" w:rsidRPr="005E5D86">
        <w:rPr>
          <w:rFonts w:ascii="Book Antiqua" w:hAnsi="Book Antiqua"/>
          <w:color w:val="000000" w:themeColor="text1"/>
          <w:shd w:val="clear" w:color="auto" w:fill="FFFFFF"/>
        </w:rPr>
        <w:t>,</w:t>
      </w:r>
      <w:r w:rsidR="00A96D3B" w:rsidRPr="005E5D86">
        <w:rPr>
          <w:rFonts w:ascii="Book Antiqua" w:hAnsi="Book Antiqua"/>
          <w:color w:val="000000" w:themeColor="text1"/>
          <w:shd w:val="clear" w:color="auto" w:fill="FFFFFF"/>
        </w:rPr>
        <w:t xml:space="preserve"> </w:t>
      </w:r>
      <w:r w:rsidR="00F873C4" w:rsidRPr="005E5D86">
        <w:rPr>
          <w:rFonts w:ascii="Book Antiqua" w:hAnsi="Book Antiqua"/>
          <w:color w:val="000000" w:themeColor="text1"/>
          <w:shd w:val="clear" w:color="auto" w:fill="FFFFFF"/>
        </w:rPr>
        <w:t>MI was significantly associated with this disease entity.</w:t>
      </w:r>
    </w:p>
    <w:p w:rsidR="004124B6" w:rsidRPr="005E5D86" w:rsidRDefault="004124B6"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An </w:t>
      </w:r>
      <w:r w:rsidR="00431CB5" w:rsidRPr="005E5D86">
        <w:rPr>
          <w:rFonts w:ascii="Book Antiqua" w:hAnsi="Book Antiqua"/>
          <w:color w:val="000000" w:themeColor="text1"/>
          <w:shd w:val="clear" w:color="auto" w:fill="FFFFFF"/>
        </w:rPr>
        <w:t>important</w:t>
      </w:r>
      <w:r w:rsidRPr="005E5D86">
        <w:rPr>
          <w:rFonts w:ascii="Book Antiqua" w:hAnsi="Book Antiqua"/>
          <w:color w:val="000000" w:themeColor="text1"/>
          <w:shd w:val="clear" w:color="auto" w:fill="FFFFFF"/>
        </w:rPr>
        <w:t xml:space="preserve"> limitation of our study is the validity of diagnosis of </w:t>
      </w:r>
      <w:r w:rsidR="00EF518F" w:rsidRPr="005E5D86">
        <w:rPr>
          <w:rFonts w:ascii="Book Antiqua" w:hAnsi="Book Antiqua"/>
          <w:color w:val="000000" w:themeColor="text1"/>
          <w:shd w:val="clear" w:color="auto" w:fill="FFFFFF"/>
        </w:rPr>
        <w:t xml:space="preserve">acute </w:t>
      </w:r>
      <w:r w:rsidRPr="005E5D86">
        <w:rPr>
          <w:rFonts w:ascii="Book Antiqua" w:hAnsi="Book Antiqua"/>
          <w:color w:val="000000" w:themeColor="text1"/>
          <w:shd w:val="clear" w:color="auto" w:fill="FFFFFF"/>
        </w:rPr>
        <w:t>MI.</w:t>
      </w:r>
      <w:r w:rsidR="00AC7DE3" w:rsidRPr="005E5D86">
        <w:rPr>
          <w:rFonts w:ascii="Book Antiqua" w:hAnsi="Book Antiqua"/>
          <w:color w:val="000000" w:themeColor="text1"/>
          <w:shd w:val="clear" w:color="auto" w:fill="FFFFFF"/>
        </w:rPr>
        <w:t xml:space="preserve"> We were unable to differentiate between </w:t>
      </w:r>
      <w:r w:rsidR="0008116A" w:rsidRPr="005E5D86">
        <w:rPr>
          <w:rFonts w:ascii="Book Antiqua" w:hAnsi="Book Antiqua"/>
          <w:color w:val="000000" w:themeColor="text1"/>
          <w:shd w:val="clear" w:color="auto" w:fill="FFFFFF"/>
        </w:rPr>
        <w:t>MI</w:t>
      </w:r>
      <w:r w:rsidR="00AC7DE3" w:rsidRPr="005E5D86">
        <w:rPr>
          <w:rFonts w:ascii="Book Antiqua" w:hAnsi="Book Antiqua"/>
          <w:color w:val="000000" w:themeColor="text1"/>
          <w:shd w:val="clear" w:color="auto" w:fill="FFFFFF"/>
        </w:rPr>
        <w:t xml:space="preserve"> secondary to coronary artery disease and </w:t>
      </w:r>
      <w:r w:rsidR="00DB796A" w:rsidRPr="005E5D86">
        <w:rPr>
          <w:rFonts w:ascii="Book Antiqua" w:hAnsi="Book Antiqua"/>
          <w:color w:val="000000" w:themeColor="text1"/>
          <w:shd w:val="clear" w:color="auto" w:fill="FFFFFF"/>
        </w:rPr>
        <w:t xml:space="preserve">MI </w:t>
      </w:r>
      <w:r w:rsidR="00AC7DE3" w:rsidRPr="005E5D86">
        <w:rPr>
          <w:rFonts w:ascii="Book Antiqua" w:hAnsi="Book Antiqua"/>
          <w:color w:val="000000" w:themeColor="text1"/>
          <w:shd w:val="clear" w:color="auto" w:fill="FFFFFF"/>
        </w:rPr>
        <w:t>resulting from demand</w:t>
      </w:r>
      <w:r w:rsidR="00A020D8" w:rsidRPr="005E5D86">
        <w:rPr>
          <w:rFonts w:ascii="Book Antiqua" w:hAnsi="Book Antiqua"/>
          <w:color w:val="000000" w:themeColor="text1"/>
          <w:shd w:val="clear" w:color="auto" w:fill="FFFFFF"/>
        </w:rPr>
        <w:t>-</w:t>
      </w:r>
      <w:r w:rsidR="00AC7DE3" w:rsidRPr="005E5D86">
        <w:rPr>
          <w:rFonts w:ascii="Book Antiqua" w:hAnsi="Book Antiqua"/>
          <w:color w:val="000000" w:themeColor="text1"/>
          <w:shd w:val="clear" w:color="auto" w:fill="FFFFFF"/>
        </w:rPr>
        <w:t xml:space="preserve">related events (Type II MI). </w:t>
      </w:r>
      <w:r w:rsidR="00F873C4" w:rsidRPr="005E5D86">
        <w:rPr>
          <w:rFonts w:ascii="Book Antiqua" w:hAnsi="Book Antiqua"/>
          <w:color w:val="000000" w:themeColor="text1"/>
          <w:shd w:val="clear" w:color="auto" w:fill="FFFFFF"/>
        </w:rPr>
        <w:t>V</w:t>
      </w:r>
      <w:r w:rsidR="00AC7DE3" w:rsidRPr="005E5D86">
        <w:rPr>
          <w:rFonts w:ascii="Book Antiqua" w:hAnsi="Book Antiqua"/>
          <w:color w:val="000000" w:themeColor="text1"/>
          <w:shd w:val="clear" w:color="auto" w:fill="FFFFFF"/>
        </w:rPr>
        <w:t>alidation was also not possible a</w:t>
      </w:r>
      <w:r w:rsidR="0038120B" w:rsidRPr="005E5D86">
        <w:rPr>
          <w:rFonts w:ascii="Book Antiqua" w:hAnsi="Book Antiqua"/>
          <w:color w:val="000000" w:themeColor="text1"/>
          <w:shd w:val="clear" w:color="auto" w:fill="FFFFFF"/>
        </w:rPr>
        <w:t>s</w:t>
      </w:r>
      <w:r w:rsidR="00AC7DE3" w:rsidRPr="005E5D86">
        <w:rPr>
          <w:rFonts w:ascii="Book Antiqua" w:hAnsi="Book Antiqua"/>
          <w:color w:val="000000" w:themeColor="text1"/>
          <w:shd w:val="clear" w:color="auto" w:fill="FFFFFF"/>
        </w:rPr>
        <w:t xml:space="preserve"> patient information in this platform is de-identified. </w:t>
      </w:r>
      <w:r w:rsidR="00935B11" w:rsidRPr="005E5D86">
        <w:rPr>
          <w:rFonts w:ascii="Book Antiqua" w:hAnsi="Book Antiqua"/>
          <w:color w:val="000000" w:themeColor="text1"/>
          <w:shd w:val="clear" w:color="auto" w:fill="FFFFFF"/>
        </w:rPr>
        <w:t>Further,</w:t>
      </w:r>
      <w:r w:rsidR="00431CB5" w:rsidRPr="005E5D86">
        <w:rPr>
          <w:rFonts w:ascii="Book Antiqua" w:hAnsi="Book Antiqua"/>
          <w:color w:val="000000" w:themeColor="text1"/>
          <w:shd w:val="clear" w:color="auto" w:fill="FFFFFF"/>
        </w:rPr>
        <w:t xml:space="preserve"> direct </w:t>
      </w:r>
      <w:r w:rsidR="00AC7DE3" w:rsidRPr="005E5D86">
        <w:rPr>
          <w:rFonts w:ascii="Book Antiqua" w:hAnsi="Book Antiqua"/>
          <w:color w:val="000000" w:themeColor="text1"/>
          <w:shd w:val="clear" w:color="auto" w:fill="FFFFFF"/>
        </w:rPr>
        <w:t>temporal relationship</w:t>
      </w:r>
      <w:r w:rsidR="00A231DF" w:rsidRPr="005E5D86">
        <w:rPr>
          <w:rFonts w:ascii="Book Antiqua" w:hAnsi="Book Antiqua"/>
          <w:color w:val="000000" w:themeColor="text1"/>
          <w:shd w:val="clear" w:color="auto" w:fill="FFFFFF"/>
        </w:rPr>
        <w:t>s</w:t>
      </w:r>
      <w:r w:rsidR="00431CB5" w:rsidRPr="005E5D86">
        <w:rPr>
          <w:rFonts w:ascii="Book Antiqua" w:hAnsi="Book Antiqua"/>
          <w:color w:val="000000" w:themeColor="text1"/>
          <w:shd w:val="clear" w:color="auto" w:fill="FFFFFF"/>
        </w:rPr>
        <w:t xml:space="preserve"> </w:t>
      </w:r>
      <w:r w:rsidR="00AC7DE3" w:rsidRPr="005E5D86">
        <w:rPr>
          <w:rFonts w:ascii="Book Antiqua" w:hAnsi="Book Antiqua"/>
          <w:color w:val="000000" w:themeColor="text1"/>
          <w:shd w:val="clear" w:color="auto" w:fill="FFFFFF"/>
        </w:rPr>
        <w:t>between NASH and MI</w:t>
      </w:r>
      <w:r w:rsidR="00A231DF" w:rsidRPr="005E5D86">
        <w:rPr>
          <w:rFonts w:ascii="Book Antiqua" w:hAnsi="Book Antiqua"/>
          <w:color w:val="000000" w:themeColor="text1"/>
          <w:shd w:val="clear" w:color="auto" w:fill="FFFFFF"/>
        </w:rPr>
        <w:t xml:space="preserve"> cannot be d</w:t>
      </w:r>
      <w:r w:rsidR="00935B11" w:rsidRPr="005E5D86">
        <w:rPr>
          <w:rFonts w:ascii="Book Antiqua" w:hAnsi="Book Antiqua"/>
          <w:color w:val="000000" w:themeColor="text1"/>
          <w:shd w:val="clear" w:color="auto" w:fill="FFFFFF"/>
        </w:rPr>
        <w:t>efined</w:t>
      </w:r>
      <w:r w:rsidR="00A231DF" w:rsidRPr="005E5D86">
        <w:rPr>
          <w:rFonts w:ascii="Book Antiqua" w:hAnsi="Book Antiqua"/>
          <w:color w:val="000000" w:themeColor="text1"/>
          <w:shd w:val="clear" w:color="auto" w:fill="FFFFFF"/>
        </w:rPr>
        <w:t xml:space="preserve"> </w:t>
      </w:r>
      <w:r w:rsidR="00BB25B2" w:rsidRPr="005E5D86">
        <w:rPr>
          <w:rFonts w:ascii="Book Antiqua" w:hAnsi="Book Antiqua"/>
          <w:color w:val="000000" w:themeColor="text1"/>
          <w:shd w:val="clear" w:color="auto" w:fill="FFFFFF"/>
        </w:rPr>
        <w:t xml:space="preserve">due to the inherent design of </w:t>
      </w:r>
      <w:proofErr w:type="spellStart"/>
      <w:r w:rsidR="00BB25B2" w:rsidRPr="005E5D86">
        <w:rPr>
          <w:rFonts w:ascii="Book Antiqua" w:hAnsi="Book Antiqua"/>
          <w:color w:val="000000" w:themeColor="text1"/>
          <w:shd w:val="clear" w:color="auto" w:fill="FFFFFF"/>
        </w:rPr>
        <w:t>Explorys</w:t>
      </w:r>
      <w:proofErr w:type="spellEnd"/>
      <w:r w:rsidR="00AC7DE3" w:rsidRPr="005E5D86">
        <w:rPr>
          <w:rFonts w:ascii="Book Antiqua" w:hAnsi="Book Antiqua"/>
          <w:color w:val="000000" w:themeColor="text1"/>
          <w:shd w:val="clear" w:color="auto" w:fill="FFFFFF"/>
        </w:rPr>
        <w:t xml:space="preserve">. We </w:t>
      </w:r>
      <w:r w:rsidR="00A020D8" w:rsidRPr="005E5D86">
        <w:rPr>
          <w:rFonts w:ascii="Book Antiqua" w:hAnsi="Book Antiqua"/>
          <w:color w:val="000000" w:themeColor="text1"/>
          <w:shd w:val="clear" w:color="auto" w:fill="FFFFFF"/>
        </w:rPr>
        <w:t>acknowledged th</w:t>
      </w:r>
      <w:r w:rsidR="00CB0663" w:rsidRPr="005E5D86">
        <w:rPr>
          <w:rFonts w:ascii="Book Antiqua" w:hAnsi="Book Antiqua"/>
          <w:color w:val="000000" w:themeColor="text1"/>
          <w:shd w:val="clear" w:color="auto" w:fill="FFFFFF"/>
        </w:rPr>
        <w:t>is</w:t>
      </w:r>
      <w:r w:rsidR="00431CB5"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limitation</w:t>
      </w:r>
      <w:r w:rsidR="0008116A"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 xml:space="preserve">and included only those </w:t>
      </w:r>
      <w:r w:rsidR="00597609" w:rsidRPr="005E5D86">
        <w:rPr>
          <w:rFonts w:ascii="Book Antiqua" w:hAnsi="Book Antiqua"/>
          <w:color w:val="000000" w:themeColor="text1"/>
          <w:shd w:val="clear" w:color="auto" w:fill="FFFFFF"/>
        </w:rPr>
        <w:t>with a</w:t>
      </w:r>
      <w:r w:rsidR="00A020D8" w:rsidRPr="005E5D86">
        <w:rPr>
          <w:rFonts w:ascii="Book Antiqua" w:hAnsi="Book Antiqua"/>
          <w:color w:val="000000" w:themeColor="text1"/>
          <w:shd w:val="clear" w:color="auto" w:fill="FFFFFF"/>
        </w:rPr>
        <w:t xml:space="preserve"> diagnosis of </w:t>
      </w:r>
      <w:r w:rsidR="00902012" w:rsidRPr="005E5D86">
        <w:rPr>
          <w:rFonts w:ascii="Book Antiqua" w:hAnsi="Book Antiqua"/>
          <w:color w:val="000000" w:themeColor="text1"/>
          <w:shd w:val="clear" w:color="auto" w:fill="FFFFFF"/>
        </w:rPr>
        <w:t xml:space="preserve">acute </w:t>
      </w:r>
      <w:r w:rsidR="005D3348">
        <w:rPr>
          <w:rFonts w:ascii="Book Antiqua" w:hAnsi="Book Antiqua"/>
          <w:color w:val="000000" w:themeColor="text1"/>
          <w:shd w:val="clear" w:color="auto" w:fill="FFFFFF"/>
        </w:rPr>
        <w:t>MI</w:t>
      </w:r>
      <w:r w:rsidR="00A020D8" w:rsidRPr="005E5D86">
        <w:rPr>
          <w:rFonts w:ascii="Book Antiqua" w:hAnsi="Book Antiqua"/>
          <w:color w:val="000000" w:themeColor="text1"/>
          <w:shd w:val="clear" w:color="auto" w:fill="FFFFFF"/>
        </w:rPr>
        <w:t xml:space="preserve"> within the last year of the study</w:t>
      </w:r>
      <w:r w:rsidR="00636FFB" w:rsidRPr="005E5D86">
        <w:rPr>
          <w:rFonts w:ascii="Book Antiqua" w:hAnsi="Book Antiqua"/>
          <w:color w:val="000000" w:themeColor="text1"/>
          <w:shd w:val="clear" w:color="auto" w:fill="FFFFFF"/>
        </w:rPr>
        <w:t xml:space="preserve"> </w:t>
      </w:r>
      <w:r w:rsidR="00A231DF" w:rsidRPr="005E5D86">
        <w:rPr>
          <w:rFonts w:ascii="Book Antiqua" w:hAnsi="Book Antiqua"/>
          <w:color w:val="000000" w:themeColor="text1"/>
          <w:shd w:val="clear" w:color="auto" w:fill="FFFFFF"/>
        </w:rPr>
        <w:t xml:space="preserve">to circumvent this issue. </w:t>
      </w:r>
      <w:r w:rsidR="00A020D8" w:rsidRPr="005E5D86">
        <w:rPr>
          <w:rFonts w:ascii="Book Antiqua" w:hAnsi="Book Antiqua"/>
          <w:color w:val="000000" w:themeColor="text1"/>
          <w:shd w:val="clear" w:color="auto" w:fill="FFFFFF"/>
        </w:rPr>
        <w:t xml:space="preserve">However, using a large national </w:t>
      </w:r>
      <w:r w:rsidR="00CF77EB" w:rsidRPr="005E5D86">
        <w:rPr>
          <w:rFonts w:ascii="Book Antiqua" w:hAnsi="Book Antiqua"/>
          <w:color w:val="000000" w:themeColor="text1"/>
          <w:shd w:val="clear" w:color="auto" w:fill="FFFFFF"/>
        </w:rPr>
        <w:t>population-based</w:t>
      </w:r>
      <w:r w:rsidR="00A020D8" w:rsidRPr="005E5D86">
        <w:rPr>
          <w:rFonts w:ascii="Book Antiqua" w:hAnsi="Book Antiqua"/>
          <w:color w:val="000000" w:themeColor="text1"/>
          <w:shd w:val="clear" w:color="auto" w:fill="FFFFFF"/>
        </w:rPr>
        <w:t xml:space="preserve"> sample allows for the ability to generalize our results to the</w:t>
      </w:r>
      <w:r w:rsidR="005D3348">
        <w:rPr>
          <w:rFonts w:ascii="Book Antiqua" w:hAnsi="Book Antiqua"/>
          <w:color w:val="000000" w:themeColor="text1"/>
          <w:shd w:val="clear" w:color="auto" w:fill="FFFFFF"/>
        </w:rPr>
        <w:t xml:space="preserve"> United States</w:t>
      </w:r>
      <w:r w:rsidR="000731AE" w:rsidRPr="005E5D86">
        <w:rPr>
          <w:rFonts w:ascii="Book Antiqua" w:hAnsi="Book Antiqua"/>
          <w:color w:val="000000" w:themeColor="text1"/>
          <w:shd w:val="clear" w:color="auto" w:fill="FFFFFF"/>
        </w:rPr>
        <w:t xml:space="preserve"> population</w:t>
      </w:r>
      <w:r w:rsidR="00A020D8" w:rsidRPr="005E5D86">
        <w:rPr>
          <w:rFonts w:ascii="Book Antiqua" w:hAnsi="Book Antiqua"/>
          <w:color w:val="000000" w:themeColor="text1"/>
          <w:shd w:val="clear" w:color="auto" w:fill="FFFFFF"/>
        </w:rPr>
        <w:t xml:space="preserve"> and offset these limitations.</w:t>
      </w:r>
    </w:p>
    <w:p w:rsidR="00425F9D" w:rsidRPr="005E5D86" w:rsidRDefault="00876A81"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In</w:t>
      </w:r>
      <w:r w:rsidR="002F3455" w:rsidRPr="005E5D86">
        <w:rPr>
          <w:rFonts w:ascii="Book Antiqua" w:hAnsi="Book Antiqua"/>
          <w:color w:val="000000" w:themeColor="text1"/>
          <w:shd w:val="clear" w:color="auto" w:fill="FFFFFF"/>
        </w:rPr>
        <w:t xml:space="preserve"> our large</w:t>
      </w:r>
      <w:r w:rsidR="005D3348">
        <w:rPr>
          <w:rFonts w:ascii="Book Antiqua" w:hAnsi="Book Antiqua"/>
          <w:color w:val="000000" w:themeColor="text1"/>
          <w:shd w:val="clear" w:color="auto" w:fill="FFFFFF"/>
        </w:rPr>
        <w:t xml:space="preserve"> United States</w:t>
      </w:r>
      <w:r w:rsidR="002F3455" w:rsidRPr="005E5D86">
        <w:rPr>
          <w:rFonts w:ascii="Book Antiqua" w:hAnsi="Book Antiqua"/>
          <w:color w:val="000000" w:themeColor="text1"/>
          <w:shd w:val="clear" w:color="auto" w:fill="FFFFFF"/>
        </w:rPr>
        <w:t xml:space="preserve">-based cohort study, we found </w:t>
      </w:r>
      <w:r w:rsidR="0060221B" w:rsidRPr="005E5D86">
        <w:rPr>
          <w:rFonts w:ascii="Book Antiqua" w:hAnsi="Book Antiqua"/>
          <w:color w:val="000000" w:themeColor="text1"/>
          <w:shd w:val="clear" w:color="auto" w:fill="FFFFFF"/>
        </w:rPr>
        <w:t xml:space="preserve">acute </w:t>
      </w:r>
      <w:r w:rsidR="001252CD" w:rsidRPr="005E5D86">
        <w:rPr>
          <w:rFonts w:ascii="Book Antiqua" w:hAnsi="Book Antiqua"/>
          <w:color w:val="000000" w:themeColor="text1"/>
          <w:shd w:val="clear" w:color="auto" w:fill="FFFFFF"/>
        </w:rPr>
        <w:t xml:space="preserve">MI </w:t>
      </w:r>
      <w:r w:rsidR="005B3B77" w:rsidRPr="005E5D86">
        <w:rPr>
          <w:rFonts w:ascii="Book Antiqua" w:hAnsi="Book Antiqua"/>
          <w:color w:val="000000" w:themeColor="text1"/>
          <w:shd w:val="clear" w:color="auto" w:fill="FFFFFF"/>
        </w:rPr>
        <w:t>to be</w:t>
      </w:r>
      <w:r w:rsidR="001252CD" w:rsidRPr="005E5D86">
        <w:rPr>
          <w:rFonts w:ascii="Book Antiqua" w:hAnsi="Book Antiqua"/>
          <w:color w:val="000000" w:themeColor="text1"/>
          <w:shd w:val="clear" w:color="auto" w:fill="FFFFFF"/>
        </w:rPr>
        <w:t xml:space="preserve"> a prevalent diagnosis among patients with NASH</w:t>
      </w:r>
      <w:r w:rsidR="002F3455" w:rsidRPr="005E5D86">
        <w:rPr>
          <w:rFonts w:ascii="Book Antiqua" w:hAnsi="Book Antiqua"/>
          <w:color w:val="000000" w:themeColor="text1"/>
          <w:shd w:val="clear" w:color="auto" w:fill="FFFFFF"/>
        </w:rPr>
        <w:t xml:space="preserve">. </w:t>
      </w:r>
      <w:r w:rsidR="006B488A" w:rsidRPr="005E5D86">
        <w:rPr>
          <w:rFonts w:ascii="Book Antiqua" w:hAnsi="Book Antiqua"/>
          <w:color w:val="000000" w:themeColor="text1"/>
          <w:shd w:val="clear" w:color="auto" w:fill="FFFFFF"/>
        </w:rPr>
        <w:t>Although our findings need to be further confirmed by prospective studies, we propose that patients with</w:t>
      </w:r>
      <w:r w:rsidR="00240FB6" w:rsidRPr="005E5D86">
        <w:rPr>
          <w:rFonts w:ascii="Book Antiqua" w:hAnsi="Book Antiqua"/>
          <w:color w:val="000000" w:themeColor="text1"/>
          <w:shd w:val="clear" w:color="auto" w:fill="FFFFFF"/>
        </w:rPr>
        <w:t xml:space="preserve"> </w:t>
      </w:r>
      <w:r w:rsidR="00E51535" w:rsidRPr="005E5D86">
        <w:rPr>
          <w:rFonts w:ascii="Book Antiqua" w:hAnsi="Book Antiqua"/>
          <w:color w:val="000000" w:themeColor="text1"/>
          <w:shd w:val="clear" w:color="auto" w:fill="FFFFFF"/>
        </w:rPr>
        <w:t xml:space="preserve">NAFLD at risk of </w:t>
      </w:r>
      <w:proofErr w:type="gramStart"/>
      <w:r w:rsidR="00E51535" w:rsidRPr="005E5D86">
        <w:rPr>
          <w:rFonts w:ascii="Book Antiqua" w:hAnsi="Book Antiqua"/>
          <w:color w:val="000000" w:themeColor="text1"/>
          <w:shd w:val="clear" w:color="auto" w:fill="FFFFFF"/>
        </w:rPr>
        <w:t>NASH</w:t>
      </w:r>
      <w:r w:rsidR="00816191" w:rsidRPr="005E5D86">
        <w:rPr>
          <w:rFonts w:ascii="Book Antiqua" w:hAnsi="Book Antiqua"/>
          <w:color w:val="000000" w:themeColor="text1"/>
          <w:shd w:val="clear" w:color="auto" w:fill="FFFFFF"/>
        </w:rPr>
        <w:t>,</w:t>
      </w:r>
      <w:proofErr w:type="gramEnd"/>
      <w:r w:rsidR="00240FB6" w:rsidRPr="005E5D86">
        <w:rPr>
          <w:rFonts w:ascii="Book Antiqua" w:hAnsi="Book Antiqua"/>
          <w:color w:val="000000" w:themeColor="text1"/>
          <w:shd w:val="clear" w:color="auto" w:fill="FFFFFF"/>
        </w:rPr>
        <w:t xml:space="preserve"> should be identified early and </w:t>
      </w:r>
      <w:r w:rsidR="006B488A" w:rsidRPr="005E5D86">
        <w:rPr>
          <w:rFonts w:ascii="Book Antiqua" w:hAnsi="Book Antiqua"/>
          <w:color w:val="000000" w:themeColor="text1"/>
          <w:shd w:val="clear" w:color="auto" w:fill="FFFFFF"/>
        </w:rPr>
        <w:t xml:space="preserve">screened for associated cardiovascular risk factors. Current AASLD-AGA guidelines </w:t>
      </w:r>
      <w:r w:rsidR="00B55C91" w:rsidRPr="005E5D86">
        <w:rPr>
          <w:rFonts w:ascii="Book Antiqua" w:hAnsi="Book Antiqua"/>
          <w:color w:val="000000" w:themeColor="text1"/>
          <w:shd w:val="clear" w:color="auto" w:fill="FFFFFF"/>
        </w:rPr>
        <w:t xml:space="preserve">recommend modification of CVD risk factors in patients with </w:t>
      </w:r>
      <w:proofErr w:type="gramStart"/>
      <w:r w:rsidR="00B55C91" w:rsidRPr="005E5D86">
        <w:rPr>
          <w:rFonts w:ascii="Book Antiqua" w:hAnsi="Book Antiqua"/>
          <w:color w:val="000000" w:themeColor="text1"/>
          <w:shd w:val="clear" w:color="auto" w:fill="FFFFFF"/>
        </w:rPr>
        <w:t>NAFLD</w:t>
      </w:r>
      <w:r w:rsidR="00B55C91" w:rsidRPr="005E5D86">
        <w:rPr>
          <w:rFonts w:ascii="Book Antiqua" w:hAnsi="Book Antiqua"/>
          <w:color w:val="000000" w:themeColor="text1"/>
          <w:shd w:val="clear" w:color="auto" w:fill="FFFFFF"/>
          <w:vertAlign w:val="superscript"/>
        </w:rPr>
        <w:t>[</w:t>
      </w:r>
      <w:proofErr w:type="gramEnd"/>
      <w:r w:rsidR="00B55C91" w:rsidRPr="005E5D86">
        <w:rPr>
          <w:rFonts w:ascii="Book Antiqua" w:hAnsi="Book Antiqua"/>
          <w:color w:val="000000" w:themeColor="text1"/>
          <w:shd w:val="clear" w:color="auto" w:fill="FFFFFF"/>
          <w:vertAlign w:val="superscript"/>
        </w:rPr>
        <w:t>3</w:t>
      </w:r>
      <w:r w:rsidR="008B2FC2" w:rsidRPr="005E5D86">
        <w:rPr>
          <w:rFonts w:ascii="Book Antiqua" w:hAnsi="Book Antiqua"/>
          <w:color w:val="000000" w:themeColor="text1"/>
          <w:shd w:val="clear" w:color="auto" w:fill="FFFFFF"/>
          <w:vertAlign w:val="superscript"/>
        </w:rPr>
        <w:t>9</w:t>
      </w:r>
      <w:r w:rsidR="00B55C91" w:rsidRPr="005E5D86">
        <w:rPr>
          <w:rFonts w:ascii="Book Antiqua" w:hAnsi="Book Antiqua"/>
          <w:color w:val="000000" w:themeColor="text1"/>
          <w:shd w:val="clear" w:color="auto" w:fill="FFFFFF"/>
          <w:vertAlign w:val="superscript"/>
        </w:rPr>
        <w:t>]</w:t>
      </w:r>
      <w:r w:rsidRPr="005E5D86">
        <w:rPr>
          <w:rFonts w:ascii="Book Antiqua" w:hAnsi="Book Antiqua"/>
          <w:color w:val="000000" w:themeColor="text1"/>
          <w:shd w:val="clear" w:color="auto" w:fill="FFFFFF"/>
        </w:rPr>
        <w:t xml:space="preserve">. </w:t>
      </w:r>
      <w:r w:rsidR="006B488A" w:rsidRPr="005E5D86">
        <w:rPr>
          <w:rFonts w:ascii="Book Antiqua" w:hAnsi="Book Antiqua"/>
          <w:color w:val="000000" w:themeColor="text1"/>
          <w:shd w:val="clear" w:color="auto" w:fill="FFFFFF"/>
        </w:rPr>
        <w:t xml:space="preserve">Whereas, the </w:t>
      </w:r>
      <w:r w:rsidR="00CF77EB" w:rsidRPr="005E5D86">
        <w:rPr>
          <w:rFonts w:ascii="Book Antiqua" w:hAnsi="Book Antiqua"/>
          <w:color w:val="000000" w:themeColor="text1"/>
          <w:shd w:val="clear" w:color="auto" w:fill="FFFFFF"/>
        </w:rPr>
        <w:t>European association</w:t>
      </w:r>
      <w:r w:rsidR="00606316" w:rsidRPr="005E5D86">
        <w:rPr>
          <w:rFonts w:ascii="Book Antiqua" w:hAnsi="Book Antiqua"/>
          <w:color w:val="000000" w:themeColor="text1"/>
          <w:shd w:val="clear" w:color="auto" w:fill="FFFFFF"/>
        </w:rPr>
        <w:t xml:space="preserve"> for the study of liver view </w:t>
      </w:r>
      <w:r w:rsidR="00704149">
        <w:rPr>
          <w:rFonts w:ascii="Book Antiqua" w:hAnsi="Book Antiqua"/>
          <w:color w:val="000000" w:themeColor="text1"/>
          <w:shd w:val="clear" w:color="auto" w:fill="FFFFFF"/>
        </w:rPr>
        <w:t>CVD</w:t>
      </w:r>
      <w:r w:rsidR="00606316" w:rsidRPr="005E5D86">
        <w:rPr>
          <w:rFonts w:ascii="Book Antiqua" w:hAnsi="Book Antiqua"/>
          <w:color w:val="000000" w:themeColor="text1"/>
          <w:shd w:val="clear" w:color="auto" w:fill="FFFFFF"/>
        </w:rPr>
        <w:t xml:space="preserve"> as an extra</w:t>
      </w:r>
      <w:r w:rsidRPr="005E5D86">
        <w:rPr>
          <w:rFonts w:ascii="Book Antiqua" w:hAnsi="Book Antiqua"/>
          <w:color w:val="000000" w:themeColor="text1"/>
          <w:shd w:val="clear" w:color="auto" w:fill="FFFFFF"/>
        </w:rPr>
        <w:t>-</w:t>
      </w:r>
      <w:r w:rsidR="00606316" w:rsidRPr="005E5D86">
        <w:rPr>
          <w:rFonts w:ascii="Book Antiqua" w:hAnsi="Book Antiqua"/>
          <w:color w:val="000000" w:themeColor="text1"/>
          <w:shd w:val="clear" w:color="auto" w:fill="FFFFFF"/>
        </w:rPr>
        <w:t xml:space="preserve">hepatic manifestation of </w:t>
      </w:r>
      <w:proofErr w:type="gramStart"/>
      <w:r w:rsidR="00606316" w:rsidRPr="005E5D86">
        <w:rPr>
          <w:rFonts w:ascii="Book Antiqua" w:hAnsi="Book Antiqua"/>
          <w:color w:val="000000" w:themeColor="text1"/>
          <w:shd w:val="clear" w:color="auto" w:fill="FFFFFF"/>
        </w:rPr>
        <w:t>NAFLD</w:t>
      </w:r>
      <w:r w:rsidR="00B55C91" w:rsidRPr="005E5D86">
        <w:rPr>
          <w:rFonts w:ascii="Book Antiqua" w:hAnsi="Book Antiqua"/>
          <w:color w:val="000000" w:themeColor="text1"/>
          <w:shd w:val="clear" w:color="auto" w:fill="FFFFFF"/>
          <w:vertAlign w:val="superscript"/>
        </w:rPr>
        <w:t>[</w:t>
      </w:r>
      <w:proofErr w:type="gramEnd"/>
      <w:r w:rsidR="008B2FC2" w:rsidRPr="005E5D86">
        <w:rPr>
          <w:rFonts w:ascii="Book Antiqua" w:hAnsi="Book Antiqua"/>
          <w:color w:val="000000" w:themeColor="text1"/>
          <w:shd w:val="clear" w:color="auto" w:fill="FFFFFF"/>
          <w:vertAlign w:val="superscript"/>
        </w:rPr>
        <w:t>40</w:t>
      </w:r>
      <w:r w:rsidR="00B55C91" w:rsidRPr="005E5D86">
        <w:rPr>
          <w:rFonts w:ascii="Book Antiqua" w:hAnsi="Book Antiqua"/>
          <w:color w:val="000000" w:themeColor="text1"/>
          <w:shd w:val="clear" w:color="auto" w:fill="FFFFFF"/>
          <w:vertAlign w:val="superscript"/>
        </w:rPr>
        <w:t>]</w:t>
      </w:r>
      <w:r w:rsidR="00606316"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As we have mentioned above, severe inflammation</w:t>
      </w:r>
      <w:r w:rsidR="00E83A36"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as seen in patients with NAS</w:t>
      </w:r>
      <w:r w:rsidR="00902012" w:rsidRPr="005E5D86">
        <w:rPr>
          <w:rFonts w:ascii="Book Antiqua" w:hAnsi="Book Antiqua"/>
          <w:color w:val="000000" w:themeColor="text1"/>
          <w:shd w:val="clear" w:color="auto" w:fill="FFFFFF"/>
        </w:rPr>
        <w:t>H,</w:t>
      </w:r>
      <w:r w:rsidR="00E83A36" w:rsidRPr="005E5D86">
        <w:rPr>
          <w:rFonts w:ascii="Book Antiqua" w:hAnsi="Book Antiqua"/>
          <w:color w:val="000000" w:themeColor="text1"/>
          <w:shd w:val="clear" w:color="auto" w:fill="FFFFFF"/>
        </w:rPr>
        <w:t xml:space="preserve"> is associated with </w:t>
      </w:r>
      <w:r w:rsidR="00240FB6" w:rsidRPr="005E5D86">
        <w:rPr>
          <w:rFonts w:ascii="Book Antiqua" w:hAnsi="Book Antiqua"/>
          <w:color w:val="000000" w:themeColor="text1"/>
          <w:shd w:val="clear" w:color="auto" w:fill="FFFFFF"/>
        </w:rPr>
        <w:t>accelerated atherosclerosis</w:t>
      </w:r>
      <w:r w:rsidRPr="005E5D86">
        <w:rPr>
          <w:rFonts w:ascii="Book Antiqua" w:hAnsi="Book Antiqua"/>
          <w:color w:val="000000" w:themeColor="text1"/>
          <w:shd w:val="clear" w:color="auto" w:fill="FFFFFF"/>
        </w:rPr>
        <w:t xml:space="preserve">. </w:t>
      </w:r>
      <w:r w:rsidR="00650788" w:rsidRPr="005E5D86">
        <w:rPr>
          <w:rFonts w:ascii="Book Antiqua" w:hAnsi="Book Antiqua"/>
          <w:color w:val="000000" w:themeColor="text1"/>
          <w:shd w:val="clear" w:color="auto" w:fill="FFFFFF"/>
        </w:rPr>
        <w:t xml:space="preserve">A major </w:t>
      </w:r>
      <w:r w:rsidR="00E83A36" w:rsidRPr="005E5D86">
        <w:rPr>
          <w:rFonts w:ascii="Book Antiqua" w:hAnsi="Book Antiqua"/>
          <w:color w:val="000000" w:themeColor="text1"/>
          <w:shd w:val="clear" w:color="auto" w:fill="FFFFFF"/>
        </w:rPr>
        <w:t xml:space="preserve">problem that hampers screening for CVD in this </w:t>
      </w:r>
      <w:r w:rsidR="00E83A36" w:rsidRPr="005E5D86">
        <w:rPr>
          <w:rFonts w:ascii="Book Antiqua" w:hAnsi="Book Antiqua"/>
          <w:color w:val="000000" w:themeColor="text1"/>
          <w:shd w:val="clear" w:color="auto" w:fill="FFFFFF"/>
        </w:rPr>
        <w:lastRenderedPageBreak/>
        <w:t>subgroup is the unawareness of health care providers of the relevance of this disease, and as a consequence, NASH is und</w:t>
      </w:r>
      <w:r w:rsidR="0017228E" w:rsidRPr="005E5D86">
        <w:rPr>
          <w:rFonts w:ascii="Book Antiqua" w:hAnsi="Book Antiqua"/>
          <w:color w:val="000000" w:themeColor="text1"/>
          <w:shd w:val="clear" w:color="auto" w:fill="FFFFFF"/>
        </w:rPr>
        <w:t>er d</w:t>
      </w:r>
      <w:r w:rsidR="00E83A36" w:rsidRPr="005E5D86">
        <w:rPr>
          <w:rFonts w:ascii="Book Antiqua" w:hAnsi="Book Antiqua"/>
          <w:color w:val="000000" w:themeColor="text1"/>
          <w:shd w:val="clear" w:color="auto" w:fill="FFFFFF"/>
        </w:rPr>
        <w:t>iagnosed</w:t>
      </w:r>
      <w:r w:rsidR="00240FB6" w:rsidRPr="005E5D86">
        <w:rPr>
          <w:rFonts w:ascii="Book Antiqua" w:hAnsi="Book Antiqua"/>
          <w:color w:val="000000" w:themeColor="text1"/>
          <w:shd w:val="clear" w:color="auto" w:fill="FFFFFF"/>
        </w:rPr>
        <w:t xml:space="preserve"> in the general population</w:t>
      </w:r>
      <w:r w:rsidR="00E83A36" w:rsidRPr="005E5D86">
        <w:rPr>
          <w:rFonts w:ascii="Book Antiqua" w:hAnsi="Book Antiqua"/>
          <w:color w:val="000000" w:themeColor="text1"/>
          <w:shd w:val="clear" w:color="auto" w:fill="FFFFFF"/>
        </w:rPr>
        <w:t>. Even in our study, out of 55 million patients, only 43170</w:t>
      </w:r>
      <w:r w:rsidR="009C7798" w:rsidRPr="005E5D86">
        <w:rPr>
          <w:rFonts w:ascii="Book Antiqua" w:hAnsi="Book Antiqua"/>
          <w:color w:val="000000" w:themeColor="text1"/>
          <w:shd w:val="clear" w:color="auto" w:fill="FFFFFF"/>
        </w:rPr>
        <w:t xml:space="preserve"> </w:t>
      </w:r>
      <w:r w:rsidR="00E83A36" w:rsidRPr="005E5D86">
        <w:rPr>
          <w:rFonts w:ascii="Book Antiqua" w:hAnsi="Book Antiqua"/>
          <w:color w:val="000000" w:themeColor="text1"/>
          <w:shd w:val="clear" w:color="auto" w:fill="FFFFFF"/>
        </w:rPr>
        <w:t xml:space="preserve">(0.08%) </w:t>
      </w:r>
      <w:r w:rsidR="009C7798" w:rsidRPr="005E5D86">
        <w:rPr>
          <w:rFonts w:ascii="Book Antiqua" w:hAnsi="Book Antiqua"/>
          <w:color w:val="000000" w:themeColor="text1"/>
          <w:shd w:val="clear" w:color="auto" w:fill="FFFFFF"/>
        </w:rPr>
        <w:t xml:space="preserve">of patients </w:t>
      </w:r>
      <w:r w:rsidR="00E83A36" w:rsidRPr="005E5D86">
        <w:rPr>
          <w:rFonts w:ascii="Book Antiqua" w:hAnsi="Book Antiqua"/>
          <w:color w:val="000000" w:themeColor="text1"/>
          <w:shd w:val="clear" w:color="auto" w:fill="FFFFFF"/>
        </w:rPr>
        <w:t xml:space="preserve">had an ICD-coded diagnosis of NASH, </w:t>
      </w:r>
      <w:r w:rsidR="00902012" w:rsidRPr="005E5D86">
        <w:rPr>
          <w:rFonts w:ascii="Book Antiqua" w:hAnsi="Book Antiqua"/>
          <w:color w:val="000000" w:themeColor="text1"/>
          <w:shd w:val="clear" w:color="auto" w:fill="FFFFFF"/>
        </w:rPr>
        <w:t>despite a reported prevalence of NAFLD as high as 24</w:t>
      </w:r>
      <w:proofErr w:type="gramStart"/>
      <w:r w:rsidR="00240FB6" w:rsidRPr="005E5D86">
        <w:rPr>
          <w:rFonts w:ascii="Book Antiqua" w:hAnsi="Book Antiqua"/>
          <w:color w:val="000000" w:themeColor="text1"/>
          <w:shd w:val="clear" w:color="auto" w:fill="FFFFFF"/>
        </w:rPr>
        <w:t>%</w:t>
      </w:r>
      <w:r w:rsidR="00240FB6" w:rsidRPr="005E5D86">
        <w:rPr>
          <w:rFonts w:ascii="Book Antiqua" w:hAnsi="Book Antiqua"/>
          <w:color w:val="000000" w:themeColor="text1"/>
          <w:shd w:val="clear" w:color="auto" w:fill="FFFFFF"/>
          <w:vertAlign w:val="superscript"/>
        </w:rPr>
        <w:t>[</w:t>
      </w:r>
      <w:proofErr w:type="gramEnd"/>
      <w:r w:rsidR="00240FB6" w:rsidRPr="005E5D86">
        <w:rPr>
          <w:rFonts w:ascii="Book Antiqua" w:hAnsi="Book Antiqua"/>
          <w:color w:val="000000" w:themeColor="text1"/>
          <w:shd w:val="clear" w:color="auto" w:fill="FFFFFF"/>
          <w:vertAlign w:val="superscript"/>
        </w:rPr>
        <w:t>35]</w:t>
      </w:r>
      <w:r w:rsidR="00240FB6" w:rsidRPr="005E5D86">
        <w:rPr>
          <w:rFonts w:ascii="Book Antiqua" w:hAnsi="Book Antiqua"/>
          <w:color w:val="000000" w:themeColor="text1"/>
          <w:shd w:val="clear" w:color="auto" w:fill="FFFFFF"/>
        </w:rPr>
        <w:t>.</w:t>
      </w:r>
    </w:p>
    <w:p w:rsidR="00FF4BBD" w:rsidRPr="005E5D86" w:rsidRDefault="00240FB6"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In </w:t>
      </w:r>
      <w:r w:rsidR="0060221B" w:rsidRPr="005E5D86">
        <w:rPr>
          <w:rFonts w:ascii="Book Antiqua" w:hAnsi="Book Antiqua"/>
          <w:color w:val="000000" w:themeColor="text1"/>
          <w:shd w:val="clear" w:color="auto" w:fill="FFFFFF"/>
        </w:rPr>
        <w:t>conclusion</w:t>
      </w:r>
      <w:r w:rsidRPr="005E5D86">
        <w:rPr>
          <w:rFonts w:ascii="Book Antiqua" w:hAnsi="Book Antiqua"/>
          <w:color w:val="000000" w:themeColor="text1"/>
          <w:shd w:val="clear" w:color="auto" w:fill="FFFFFF"/>
        </w:rPr>
        <w:t xml:space="preserve">, </w:t>
      </w:r>
      <w:r w:rsidR="001252CD" w:rsidRPr="005E5D86">
        <w:rPr>
          <w:rFonts w:ascii="Book Antiqua" w:hAnsi="Book Antiqua"/>
          <w:color w:val="000000" w:themeColor="text1"/>
          <w:shd w:val="clear" w:color="auto" w:fill="FFFFFF"/>
        </w:rPr>
        <w:t xml:space="preserve">there is a significant </w:t>
      </w:r>
      <w:r w:rsidR="00142D04" w:rsidRPr="005E5D86">
        <w:rPr>
          <w:rFonts w:ascii="Book Antiqua" w:hAnsi="Book Antiqua"/>
          <w:color w:val="000000" w:themeColor="text1"/>
          <w:shd w:val="clear" w:color="auto" w:fill="FFFFFF"/>
        </w:rPr>
        <w:t>relationship</w:t>
      </w:r>
      <w:r w:rsidR="001252CD" w:rsidRPr="005E5D86">
        <w:rPr>
          <w:rFonts w:ascii="Book Antiqua" w:hAnsi="Book Antiqua"/>
          <w:color w:val="000000" w:themeColor="text1"/>
          <w:shd w:val="clear" w:color="auto" w:fill="FFFFFF"/>
        </w:rPr>
        <w:t xml:space="preserve"> between </w:t>
      </w:r>
      <w:r w:rsidR="009B09B4" w:rsidRPr="005E5D86">
        <w:rPr>
          <w:rFonts w:ascii="Book Antiqua" w:hAnsi="Book Antiqua"/>
          <w:color w:val="000000" w:themeColor="text1"/>
          <w:shd w:val="clear" w:color="auto" w:fill="FFFFFF"/>
        </w:rPr>
        <w:t xml:space="preserve">NASH and </w:t>
      </w:r>
      <w:r w:rsidR="0060221B" w:rsidRPr="005E5D86">
        <w:rPr>
          <w:rFonts w:ascii="Book Antiqua" w:hAnsi="Book Antiqua"/>
          <w:color w:val="000000" w:themeColor="text1"/>
          <w:shd w:val="clear" w:color="auto" w:fill="FFFFFF"/>
        </w:rPr>
        <w:t xml:space="preserve">acute </w:t>
      </w:r>
      <w:r w:rsidR="009B09B4" w:rsidRPr="005E5D86">
        <w:rPr>
          <w:rFonts w:ascii="Book Antiqua" w:hAnsi="Book Antiqua"/>
          <w:color w:val="000000" w:themeColor="text1"/>
          <w:shd w:val="clear" w:color="auto" w:fill="FFFFFF"/>
        </w:rPr>
        <w:t>MI</w:t>
      </w:r>
      <w:r w:rsidRPr="005E5D86">
        <w:rPr>
          <w:rFonts w:ascii="Book Antiqua" w:hAnsi="Book Antiqua"/>
          <w:color w:val="000000" w:themeColor="text1"/>
          <w:shd w:val="clear" w:color="auto" w:fill="FFFFFF"/>
        </w:rPr>
        <w:t xml:space="preserve">. </w:t>
      </w:r>
      <w:r w:rsidR="00A4300F" w:rsidRPr="005E5D86">
        <w:rPr>
          <w:rFonts w:ascii="Book Antiqua" w:hAnsi="Book Antiqua"/>
          <w:color w:val="000000" w:themeColor="text1"/>
          <w:shd w:val="clear" w:color="auto" w:fill="FFFFFF"/>
        </w:rPr>
        <w:t xml:space="preserve">The use of already existing non-invasive </w:t>
      </w:r>
      <w:r w:rsidR="004E02EB" w:rsidRPr="005E5D86">
        <w:rPr>
          <w:rFonts w:ascii="Book Antiqua" w:hAnsi="Book Antiqua"/>
          <w:color w:val="000000" w:themeColor="text1"/>
          <w:shd w:val="clear" w:color="auto" w:fill="FFFFFF"/>
        </w:rPr>
        <w:t>scoring systems</w:t>
      </w:r>
      <w:r w:rsidR="00A4300F" w:rsidRPr="005E5D86">
        <w:rPr>
          <w:rFonts w:ascii="Book Antiqua" w:hAnsi="Book Antiqua"/>
          <w:color w:val="000000" w:themeColor="text1"/>
          <w:shd w:val="clear" w:color="auto" w:fill="FFFFFF"/>
        </w:rPr>
        <w:t xml:space="preserve"> to </w:t>
      </w:r>
      <w:r w:rsidR="009C7798" w:rsidRPr="005E5D86">
        <w:rPr>
          <w:rFonts w:ascii="Book Antiqua" w:hAnsi="Book Antiqua"/>
          <w:color w:val="000000" w:themeColor="text1"/>
          <w:shd w:val="clear" w:color="auto" w:fill="FFFFFF"/>
        </w:rPr>
        <w:t>stratify</w:t>
      </w:r>
      <w:r w:rsidR="00A4300F" w:rsidRPr="005E5D86">
        <w:rPr>
          <w:rFonts w:ascii="Book Antiqua" w:hAnsi="Book Antiqua"/>
          <w:color w:val="000000" w:themeColor="text1"/>
          <w:shd w:val="clear" w:color="auto" w:fill="FFFFFF"/>
        </w:rPr>
        <w:t xml:space="preserve"> disease severity </w:t>
      </w:r>
      <w:r w:rsidR="009C7798" w:rsidRPr="005E5D86">
        <w:rPr>
          <w:rFonts w:ascii="Book Antiqua" w:hAnsi="Book Antiqua"/>
          <w:color w:val="000000" w:themeColor="text1"/>
          <w:shd w:val="clear" w:color="auto" w:fill="FFFFFF"/>
        </w:rPr>
        <w:t>in NAFLD</w:t>
      </w:r>
      <w:r w:rsidR="00681E11" w:rsidRPr="005E5D86">
        <w:rPr>
          <w:rFonts w:ascii="Book Antiqua" w:hAnsi="Book Antiqua"/>
          <w:color w:val="000000" w:themeColor="text1"/>
          <w:shd w:val="clear" w:color="auto" w:fill="FFFFFF"/>
        </w:rPr>
        <w:t xml:space="preserve"> can</w:t>
      </w:r>
      <w:r w:rsidR="00A4300F" w:rsidRPr="005E5D86">
        <w:rPr>
          <w:rFonts w:ascii="Book Antiqua" w:hAnsi="Book Antiqua"/>
          <w:color w:val="000000" w:themeColor="text1"/>
          <w:shd w:val="clear" w:color="auto" w:fill="FFFFFF"/>
        </w:rPr>
        <w:t xml:space="preserve"> overcome the need for liver biopsy and </w:t>
      </w:r>
      <w:r w:rsidR="009A3BF7" w:rsidRPr="005E5D86">
        <w:rPr>
          <w:rFonts w:ascii="Book Antiqua" w:hAnsi="Book Antiqua"/>
          <w:color w:val="000000" w:themeColor="text1"/>
          <w:shd w:val="clear" w:color="auto" w:fill="FFFFFF"/>
        </w:rPr>
        <w:t>allow</w:t>
      </w:r>
      <w:r w:rsidR="00B75296" w:rsidRPr="005E5D86">
        <w:rPr>
          <w:rFonts w:ascii="Book Antiqua" w:hAnsi="Book Antiqua"/>
          <w:color w:val="000000" w:themeColor="text1"/>
          <w:shd w:val="clear" w:color="auto" w:fill="FFFFFF"/>
        </w:rPr>
        <w:t xml:space="preserve"> </w:t>
      </w:r>
      <w:r w:rsidR="009A3BF7" w:rsidRPr="005E5D86">
        <w:rPr>
          <w:rFonts w:ascii="Book Antiqua" w:hAnsi="Book Antiqua"/>
          <w:color w:val="000000" w:themeColor="text1"/>
          <w:shd w:val="clear" w:color="auto" w:fill="FFFFFF"/>
        </w:rPr>
        <w:t xml:space="preserve">for </w:t>
      </w:r>
      <w:r w:rsidR="0085377D" w:rsidRPr="005E5D86">
        <w:rPr>
          <w:rFonts w:ascii="Book Antiqua" w:hAnsi="Book Antiqua"/>
          <w:color w:val="000000" w:themeColor="text1"/>
          <w:shd w:val="clear" w:color="auto" w:fill="FFFFFF"/>
        </w:rPr>
        <w:t xml:space="preserve">early </w:t>
      </w:r>
      <w:r w:rsidR="00834883" w:rsidRPr="005E5D86">
        <w:rPr>
          <w:rFonts w:ascii="Book Antiqua" w:hAnsi="Book Antiqua"/>
          <w:color w:val="000000" w:themeColor="text1"/>
          <w:shd w:val="clear" w:color="auto" w:fill="FFFFFF"/>
        </w:rPr>
        <w:t>detection</w:t>
      </w:r>
      <w:r w:rsidR="0085377D" w:rsidRPr="005E5D86">
        <w:rPr>
          <w:rFonts w:ascii="Book Antiqua" w:hAnsi="Book Antiqua"/>
          <w:color w:val="000000" w:themeColor="text1"/>
          <w:shd w:val="clear" w:color="auto" w:fill="FFFFFF"/>
        </w:rPr>
        <w:t xml:space="preserve"> </w:t>
      </w:r>
      <w:r w:rsidR="003E3C0B" w:rsidRPr="005E5D86">
        <w:rPr>
          <w:rFonts w:ascii="Book Antiqua" w:hAnsi="Book Antiqua"/>
          <w:color w:val="000000" w:themeColor="text1"/>
          <w:shd w:val="clear" w:color="auto" w:fill="FFFFFF"/>
        </w:rPr>
        <w:t xml:space="preserve">and </w:t>
      </w:r>
      <w:r w:rsidR="00B75296" w:rsidRPr="005E5D86">
        <w:rPr>
          <w:rFonts w:ascii="Book Antiqua" w:hAnsi="Book Antiqua"/>
          <w:color w:val="000000" w:themeColor="text1"/>
          <w:shd w:val="clear" w:color="auto" w:fill="FFFFFF"/>
        </w:rPr>
        <w:t xml:space="preserve">aggressive </w:t>
      </w:r>
      <w:r w:rsidR="009B09B4" w:rsidRPr="005E5D86">
        <w:rPr>
          <w:rFonts w:ascii="Book Antiqua" w:hAnsi="Book Antiqua"/>
          <w:color w:val="000000" w:themeColor="text1"/>
          <w:shd w:val="clear" w:color="auto" w:fill="FFFFFF"/>
        </w:rPr>
        <w:t>risk factor</w:t>
      </w:r>
      <w:r w:rsidR="004E02EB" w:rsidRPr="005E5D86">
        <w:rPr>
          <w:rFonts w:ascii="Book Antiqua" w:hAnsi="Book Antiqua"/>
          <w:color w:val="000000" w:themeColor="text1"/>
          <w:shd w:val="clear" w:color="auto" w:fill="FFFFFF"/>
        </w:rPr>
        <w:t xml:space="preserve"> </w:t>
      </w:r>
      <w:r w:rsidR="009B09B4" w:rsidRPr="005E5D86">
        <w:rPr>
          <w:rFonts w:ascii="Book Antiqua" w:hAnsi="Book Antiqua"/>
          <w:color w:val="000000" w:themeColor="text1"/>
          <w:shd w:val="clear" w:color="auto" w:fill="FFFFFF"/>
        </w:rPr>
        <w:t>modification</w:t>
      </w:r>
      <w:r w:rsidR="004E02EB" w:rsidRPr="005E5D86">
        <w:rPr>
          <w:rFonts w:ascii="Book Antiqua" w:hAnsi="Book Antiqua"/>
          <w:color w:val="000000" w:themeColor="text1"/>
          <w:shd w:val="clear" w:color="auto" w:fill="FFFFFF"/>
        </w:rPr>
        <w:t>.</w:t>
      </w:r>
    </w:p>
    <w:p w:rsidR="00FF4BBD" w:rsidRPr="005E5D86" w:rsidRDefault="00FF4BBD" w:rsidP="005E5D86">
      <w:pPr>
        <w:snapToGrid w:val="0"/>
        <w:spacing w:line="360" w:lineRule="auto"/>
        <w:jc w:val="both"/>
        <w:rPr>
          <w:rFonts w:ascii="Book Antiqua" w:hAnsi="Book Antiqua"/>
          <w:b/>
          <w:bCs/>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ARTICLE HIGHLIGHTS</w:t>
      </w: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background</w:t>
      </w:r>
    </w:p>
    <w:p w:rsidR="004C7CF1" w:rsidRPr="005E5D86" w:rsidRDefault="00CF77EB" w:rsidP="005E5D86">
      <w:pPr>
        <w:snapToGrid w:val="0"/>
        <w:spacing w:line="360" w:lineRule="auto"/>
        <w:jc w:val="both"/>
        <w:rPr>
          <w:rFonts w:ascii="Book Antiqua" w:hAnsi="Book Antiqua"/>
        </w:rPr>
      </w:pPr>
      <w:r w:rsidRPr="005E5D86">
        <w:rPr>
          <w:rFonts w:ascii="Book Antiqua" w:hAnsi="Book Antiqua"/>
        </w:rPr>
        <w:t>Non-alcoholic</w:t>
      </w:r>
      <w:r w:rsidR="004C7CF1" w:rsidRPr="005E5D86">
        <w:rPr>
          <w:rFonts w:ascii="Book Antiqua" w:hAnsi="Book Antiqua"/>
        </w:rPr>
        <w:t xml:space="preserve"> fatty liver disease</w:t>
      </w:r>
      <w:r>
        <w:rPr>
          <w:rFonts w:ascii="Book Antiqua" w:hAnsi="Book Antiqua"/>
        </w:rPr>
        <w:t xml:space="preserve"> (</w:t>
      </w:r>
      <w:r w:rsidRPr="005E5D86">
        <w:rPr>
          <w:rFonts w:ascii="Book Antiqua" w:hAnsi="Book Antiqua"/>
        </w:rPr>
        <w:t>NAFLD</w:t>
      </w:r>
      <w:r>
        <w:rPr>
          <w:rFonts w:ascii="Book Antiqua" w:hAnsi="Book Antiqua"/>
        </w:rPr>
        <w:t>)</w:t>
      </w:r>
      <w:r w:rsidR="004C7CF1" w:rsidRPr="005E5D86">
        <w:rPr>
          <w:rFonts w:ascii="Book Antiqua" w:hAnsi="Book Antiqua"/>
        </w:rPr>
        <w:t xml:space="preserve"> is the most common chronic liver disease in the United States. The severity of NAFLD ranges from simple steatosis to non-</w:t>
      </w:r>
      <w:r w:rsidR="0076517A" w:rsidRPr="005E5D86">
        <w:rPr>
          <w:rFonts w:ascii="Book Antiqua" w:hAnsi="Book Antiqua"/>
        </w:rPr>
        <w:t>alcoholic</w:t>
      </w:r>
      <w:r w:rsidR="004C7CF1" w:rsidRPr="005E5D86">
        <w:rPr>
          <w:rFonts w:ascii="Book Antiqua" w:hAnsi="Book Antiqua"/>
        </w:rPr>
        <w:t xml:space="preserve"> steatohepatitis</w:t>
      </w:r>
      <w:r w:rsidR="008516A5" w:rsidRPr="005E5D86">
        <w:rPr>
          <w:rFonts w:ascii="Book Antiqua" w:hAnsi="Book Antiqua"/>
        </w:rPr>
        <w:t xml:space="preserve"> which can progress to </w:t>
      </w:r>
      <w:r w:rsidR="004C7CF1" w:rsidRPr="005E5D86">
        <w:rPr>
          <w:rFonts w:ascii="Book Antiqua" w:hAnsi="Book Antiqua"/>
        </w:rPr>
        <w:t>fibrosis, cirrhosis and hepatocellular carcinoma.</w:t>
      </w:r>
      <w:r w:rsidR="0076517A" w:rsidRPr="005E5D86">
        <w:rPr>
          <w:rFonts w:ascii="Book Antiqua" w:hAnsi="Book Antiqua"/>
        </w:rPr>
        <w:t xml:space="preserve"> Recent evidence suggests</w:t>
      </w:r>
      <w:r w:rsidR="002C1F56" w:rsidRPr="005E5D86">
        <w:rPr>
          <w:rFonts w:ascii="Book Antiqua" w:hAnsi="Book Antiqua"/>
        </w:rPr>
        <w:t xml:space="preserve"> </w:t>
      </w:r>
      <w:r w:rsidR="00BB15AB" w:rsidRPr="005E5D86">
        <w:rPr>
          <w:rFonts w:ascii="Book Antiqua" w:hAnsi="Book Antiqua"/>
        </w:rPr>
        <w:t xml:space="preserve">that </w:t>
      </w:r>
      <w:r w:rsidR="002C1F56" w:rsidRPr="005E5D86">
        <w:rPr>
          <w:rFonts w:ascii="Book Antiqua" w:hAnsi="Book Antiqua"/>
        </w:rPr>
        <w:t>the diagnosis of</w:t>
      </w:r>
      <w:r w:rsidR="0076517A" w:rsidRPr="005E5D86">
        <w:rPr>
          <w:rFonts w:ascii="Book Antiqua" w:hAnsi="Book Antiqua"/>
        </w:rPr>
        <w:t xml:space="preserve"> NAFLD </w:t>
      </w:r>
      <w:r w:rsidR="002C1F56" w:rsidRPr="005E5D86">
        <w:rPr>
          <w:rFonts w:ascii="Book Antiqua" w:hAnsi="Book Antiqua"/>
        </w:rPr>
        <w:t>may be</w:t>
      </w:r>
      <w:r w:rsidR="0076517A" w:rsidRPr="005E5D86">
        <w:rPr>
          <w:rFonts w:ascii="Book Antiqua" w:hAnsi="Book Antiqua"/>
        </w:rPr>
        <w:t xml:space="preserve"> associated with an increased risk of </w:t>
      </w:r>
      <w:r w:rsidR="00A73796" w:rsidRPr="005E5D86">
        <w:rPr>
          <w:rFonts w:ascii="Book Antiqua" w:hAnsi="Book Antiqua"/>
        </w:rPr>
        <w:t>cardiovascular disease</w:t>
      </w:r>
      <w:r w:rsidR="00704149">
        <w:rPr>
          <w:rFonts w:ascii="Book Antiqua" w:hAnsi="Book Antiqua"/>
        </w:rPr>
        <w:t xml:space="preserve"> (CVD)</w:t>
      </w:r>
      <w:r w:rsidR="0076517A" w:rsidRPr="005E5D86">
        <w:rPr>
          <w:rFonts w:ascii="Book Antiqua" w:hAnsi="Book Antiqua"/>
        </w:rPr>
        <w:t xml:space="preserve"> independent of traditional risk factors. We believe that patients with </w:t>
      </w:r>
      <w:r w:rsidRPr="005E5D86">
        <w:rPr>
          <w:rFonts w:ascii="Book Antiqua" w:hAnsi="Book Antiqua"/>
        </w:rPr>
        <w:t>non-alcoholic steatohepatitis (NASH)</w:t>
      </w:r>
      <w:r>
        <w:rPr>
          <w:rFonts w:ascii="Book Antiqua" w:hAnsi="Book Antiqua"/>
        </w:rPr>
        <w:t xml:space="preserve"> </w:t>
      </w:r>
      <w:r w:rsidR="0076517A" w:rsidRPr="005E5D86">
        <w:rPr>
          <w:rFonts w:ascii="Book Antiqua" w:hAnsi="Book Antiqua"/>
        </w:rPr>
        <w:t xml:space="preserve">are at a higher risk of serious cardiovascular events such as </w:t>
      </w:r>
      <w:r w:rsidRPr="005E5D86">
        <w:rPr>
          <w:rFonts w:ascii="Book Antiqua" w:hAnsi="Book Antiqua"/>
        </w:rPr>
        <w:t>myocardial infarction</w:t>
      </w:r>
      <w:r>
        <w:rPr>
          <w:rFonts w:ascii="Book Antiqua" w:hAnsi="Book Antiqua"/>
        </w:rPr>
        <w:t xml:space="preserve"> (MI)</w:t>
      </w:r>
      <w:r w:rsidR="0076517A"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motivation</w:t>
      </w:r>
    </w:p>
    <w:p w:rsidR="0076517A" w:rsidRPr="005E5D86" w:rsidRDefault="005E5536" w:rsidP="005E5D86">
      <w:pPr>
        <w:snapToGrid w:val="0"/>
        <w:spacing w:line="360" w:lineRule="auto"/>
        <w:jc w:val="both"/>
        <w:rPr>
          <w:rFonts w:ascii="Book Antiqua" w:hAnsi="Book Antiqua"/>
        </w:rPr>
      </w:pPr>
      <w:r w:rsidRPr="005E5D86">
        <w:rPr>
          <w:rFonts w:ascii="Book Antiqua" w:hAnsi="Book Antiqua"/>
        </w:rPr>
        <w:t xml:space="preserve">There is an overlap between the risk factors that give rise to NAFLD and </w:t>
      </w:r>
      <w:r w:rsidR="00704149">
        <w:rPr>
          <w:rFonts w:ascii="Book Antiqua" w:hAnsi="Book Antiqua"/>
        </w:rPr>
        <w:t>CVD</w:t>
      </w:r>
      <w:r w:rsidRPr="005E5D86">
        <w:rPr>
          <w:rFonts w:ascii="Book Antiqua" w:hAnsi="Book Antiqua"/>
        </w:rPr>
        <w:t xml:space="preserve">. </w:t>
      </w:r>
      <w:r w:rsidR="00AD114F" w:rsidRPr="005E5D86">
        <w:rPr>
          <w:rFonts w:ascii="Book Antiqua" w:hAnsi="Book Antiqua"/>
        </w:rPr>
        <w:t xml:space="preserve">NASH </w:t>
      </w:r>
      <w:r w:rsidR="00D56116" w:rsidRPr="005E5D86">
        <w:rPr>
          <w:rFonts w:ascii="Book Antiqua" w:hAnsi="Book Antiqua"/>
        </w:rPr>
        <w:t>remains</w:t>
      </w:r>
      <w:r w:rsidR="00AD114F" w:rsidRPr="005E5D86">
        <w:rPr>
          <w:rFonts w:ascii="Book Antiqua" w:hAnsi="Book Antiqua"/>
        </w:rPr>
        <w:t xml:space="preserve"> underdiagnosed in the general population</w:t>
      </w:r>
      <w:r w:rsidR="00802E5D" w:rsidRPr="005E5D86">
        <w:rPr>
          <w:rFonts w:ascii="Book Antiqua" w:hAnsi="Book Antiqua"/>
        </w:rPr>
        <w:t xml:space="preserve"> as tissue analysis is needed for accurate diagnosis</w:t>
      </w:r>
      <w:r w:rsidRPr="005E5D86">
        <w:rPr>
          <w:rFonts w:ascii="Book Antiqua" w:hAnsi="Book Antiqua"/>
        </w:rPr>
        <w:t xml:space="preserve">. </w:t>
      </w:r>
      <w:r w:rsidR="00DB7BDD" w:rsidRPr="005E5D86">
        <w:rPr>
          <w:rFonts w:ascii="Book Antiqua" w:hAnsi="Book Antiqua"/>
        </w:rPr>
        <w:t>It</w:t>
      </w:r>
      <w:r w:rsidR="00924083" w:rsidRPr="005E5D86">
        <w:rPr>
          <w:rFonts w:ascii="Book Antiqua" w:hAnsi="Book Antiqua"/>
        </w:rPr>
        <w:t xml:space="preserve"> is a more severe subtype of NAFLD associated with hepatic and systemic inflammation. Inflammation </w:t>
      </w:r>
      <w:r w:rsidR="008B60E4" w:rsidRPr="005E5D86">
        <w:rPr>
          <w:rFonts w:ascii="Book Antiqua" w:hAnsi="Book Antiqua"/>
        </w:rPr>
        <w:t>is</w:t>
      </w:r>
      <w:r w:rsidR="00C91AB3" w:rsidRPr="005E5D86">
        <w:rPr>
          <w:rFonts w:ascii="Book Antiqua" w:hAnsi="Book Antiqua"/>
        </w:rPr>
        <w:t xml:space="preserve"> implicated in the pathogenesis of atherosclerosis</w:t>
      </w:r>
      <w:r w:rsidR="00924083" w:rsidRPr="005E5D86">
        <w:rPr>
          <w:rFonts w:ascii="Book Antiqua" w:hAnsi="Book Antiqua"/>
        </w:rPr>
        <w:t xml:space="preserve">. </w:t>
      </w:r>
      <w:r w:rsidR="00AD114F" w:rsidRPr="005E5D86">
        <w:rPr>
          <w:rFonts w:ascii="Book Antiqua" w:hAnsi="Book Antiqua"/>
        </w:rPr>
        <w:t xml:space="preserve">Whether NASH is associated with serious cardiovascular events such as </w:t>
      </w:r>
      <w:r w:rsidR="005D3348">
        <w:rPr>
          <w:rFonts w:ascii="Book Antiqua" w:hAnsi="Book Antiqua"/>
        </w:rPr>
        <w:t>MI</w:t>
      </w:r>
      <w:r w:rsidR="00AD114F" w:rsidRPr="005E5D86">
        <w:rPr>
          <w:rFonts w:ascii="Book Antiqua" w:hAnsi="Book Antiqua"/>
        </w:rPr>
        <w:t xml:space="preserve"> has </w:t>
      </w:r>
      <w:r w:rsidRPr="005E5D86">
        <w:rPr>
          <w:rFonts w:ascii="Book Antiqua" w:hAnsi="Book Antiqua"/>
        </w:rPr>
        <w:t xml:space="preserve">major </w:t>
      </w:r>
      <w:r w:rsidR="00AD114F" w:rsidRPr="005E5D86">
        <w:rPr>
          <w:rFonts w:ascii="Book Antiqua" w:hAnsi="Book Antiqua"/>
        </w:rPr>
        <w:t>economic and public health implications.</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 xml:space="preserve">Research objectives </w:t>
      </w:r>
    </w:p>
    <w:p w:rsidR="00AD114F" w:rsidRPr="005E5D86" w:rsidRDefault="005E5536" w:rsidP="005E5D86">
      <w:pPr>
        <w:snapToGrid w:val="0"/>
        <w:spacing w:line="360" w:lineRule="auto"/>
        <w:jc w:val="both"/>
        <w:rPr>
          <w:rFonts w:ascii="Book Antiqua" w:hAnsi="Book Antiqua"/>
        </w:rPr>
      </w:pPr>
      <w:r w:rsidRPr="005E5D86">
        <w:rPr>
          <w:rFonts w:ascii="Book Antiqua" w:hAnsi="Book Antiqua"/>
        </w:rPr>
        <w:lastRenderedPageBreak/>
        <w:t xml:space="preserve">The aim of this study was to </w:t>
      </w:r>
      <w:r w:rsidR="005F0ED8" w:rsidRPr="005E5D86">
        <w:rPr>
          <w:rFonts w:ascii="Book Antiqua" w:hAnsi="Book Antiqua"/>
        </w:rPr>
        <w:t xml:space="preserve">assess the prevalence of </w:t>
      </w:r>
      <w:r w:rsidR="00064D64" w:rsidRPr="005E5D86">
        <w:rPr>
          <w:rFonts w:ascii="Book Antiqua" w:hAnsi="Book Antiqua"/>
        </w:rPr>
        <w:t>acute MI</w:t>
      </w:r>
      <w:r w:rsidR="001D700E" w:rsidRPr="005E5D86">
        <w:rPr>
          <w:rFonts w:ascii="Book Antiqua" w:hAnsi="Book Antiqua"/>
        </w:rPr>
        <w:t xml:space="preserve"> </w:t>
      </w:r>
      <w:r w:rsidR="005F0ED8" w:rsidRPr="005E5D86">
        <w:rPr>
          <w:rFonts w:ascii="Book Antiqua" w:hAnsi="Book Antiqua"/>
        </w:rPr>
        <w:t>among patients</w:t>
      </w:r>
      <w:r w:rsidR="001D700E" w:rsidRPr="005E5D86">
        <w:rPr>
          <w:rFonts w:ascii="Book Antiqua" w:hAnsi="Book Antiqua"/>
        </w:rPr>
        <w:t xml:space="preserve"> </w:t>
      </w:r>
      <w:r w:rsidR="005F0ED8" w:rsidRPr="005E5D86">
        <w:rPr>
          <w:rFonts w:ascii="Book Antiqua" w:hAnsi="Book Antiqua"/>
        </w:rPr>
        <w:t xml:space="preserve">with </w:t>
      </w:r>
      <w:r w:rsidR="00064D64" w:rsidRPr="005E5D86">
        <w:rPr>
          <w:rFonts w:ascii="Book Antiqua" w:hAnsi="Book Antiqua"/>
        </w:rPr>
        <w:t>NASH</w:t>
      </w:r>
      <w:r w:rsidR="001D700E" w:rsidRPr="005E5D86">
        <w:rPr>
          <w:rFonts w:ascii="Book Antiqua" w:hAnsi="Book Antiqua"/>
        </w:rPr>
        <w:t xml:space="preserve"> </w:t>
      </w:r>
      <w:r w:rsidR="00233427" w:rsidRPr="005E5D86">
        <w:rPr>
          <w:rFonts w:ascii="Book Antiqua" w:hAnsi="Book Antiqua"/>
        </w:rPr>
        <w:t>a</w:t>
      </w:r>
      <w:r w:rsidR="005F0ED8" w:rsidRPr="005E5D86">
        <w:rPr>
          <w:rFonts w:ascii="Book Antiqua" w:hAnsi="Book Antiqua"/>
        </w:rPr>
        <w:t>nd to investigate</w:t>
      </w:r>
      <w:r w:rsidR="009F1BE2" w:rsidRPr="005E5D86">
        <w:rPr>
          <w:rFonts w:ascii="Book Antiqua" w:hAnsi="Book Antiqua"/>
        </w:rPr>
        <w:t xml:space="preserve"> the contribution of</w:t>
      </w:r>
      <w:r w:rsidR="005F0ED8" w:rsidRPr="005E5D86">
        <w:rPr>
          <w:rFonts w:ascii="Book Antiqua" w:hAnsi="Book Antiqua"/>
        </w:rPr>
        <w:t xml:space="preserve"> a</w:t>
      </w:r>
      <w:r w:rsidR="00233427" w:rsidRPr="005E5D86">
        <w:rPr>
          <w:rFonts w:ascii="Book Antiqua" w:hAnsi="Book Antiqua"/>
        </w:rPr>
        <w:t xml:space="preserve">ge and gender </w:t>
      </w:r>
      <w:r w:rsidR="005F0ED8" w:rsidRPr="005E5D86">
        <w:rPr>
          <w:rFonts w:ascii="Book Antiqua" w:hAnsi="Book Antiqua"/>
        </w:rPr>
        <w:t>on the</w:t>
      </w:r>
      <w:r w:rsidR="00233427" w:rsidRPr="005E5D86">
        <w:rPr>
          <w:rFonts w:ascii="Book Antiqua" w:hAnsi="Book Antiqua"/>
        </w:rPr>
        <w:t xml:space="preserve"> </w:t>
      </w:r>
      <w:r w:rsidR="009F1BE2" w:rsidRPr="005E5D86">
        <w:rPr>
          <w:rFonts w:ascii="Book Antiqua" w:hAnsi="Book Antiqua"/>
        </w:rPr>
        <w:t xml:space="preserve">relative </w:t>
      </w:r>
      <w:r w:rsidR="005F0ED8" w:rsidRPr="005E5D86">
        <w:rPr>
          <w:rFonts w:ascii="Book Antiqua" w:hAnsi="Book Antiqua"/>
        </w:rPr>
        <w:t xml:space="preserve">risk of </w:t>
      </w:r>
      <w:r w:rsidR="00233427" w:rsidRPr="005E5D86">
        <w:rPr>
          <w:rFonts w:ascii="Book Antiqua" w:hAnsi="Book Antiqua"/>
        </w:rPr>
        <w:t xml:space="preserve">MI in a large cohort of </w:t>
      </w:r>
      <w:r w:rsidR="00CB5CDC" w:rsidRPr="005E5D86">
        <w:rPr>
          <w:rFonts w:ascii="Book Antiqua" w:hAnsi="Book Antiqua"/>
        </w:rPr>
        <w:t>subjects</w:t>
      </w:r>
      <w:r w:rsidR="00233427" w:rsidRPr="005E5D86">
        <w:rPr>
          <w:rFonts w:ascii="Book Antiqua" w:hAnsi="Book Antiqua"/>
        </w:rPr>
        <w:t xml:space="preserve"> in the United States. </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methods</w:t>
      </w:r>
    </w:p>
    <w:p w:rsidR="005E5536" w:rsidRPr="005E5D86" w:rsidRDefault="002C1F56" w:rsidP="005E5D86">
      <w:pPr>
        <w:snapToGrid w:val="0"/>
        <w:spacing w:line="360" w:lineRule="auto"/>
        <w:jc w:val="both"/>
        <w:rPr>
          <w:rFonts w:ascii="Book Antiqua" w:hAnsi="Book Antiqua"/>
        </w:rPr>
      </w:pPr>
      <w:r w:rsidRPr="005E5D86">
        <w:rPr>
          <w:rFonts w:ascii="Book Antiqua" w:hAnsi="Book Antiqua"/>
        </w:rPr>
        <w:t xml:space="preserve">This was a large retrospective study that included over 50 million patients from over 50 states in the </w:t>
      </w:r>
      <w:r w:rsidR="00C23EB5" w:rsidRPr="005E5D86">
        <w:rPr>
          <w:rFonts w:ascii="Book Antiqua" w:hAnsi="Book Antiqua"/>
        </w:rPr>
        <w:t>United States</w:t>
      </w:r>
      <w:r w:rsidRPr="005E5D86">
        <w:rPr>
          <w:rFonts w:ascii="Book Antiqua" w:hAnsi="Book Antiqua"/>
        </w:rPr>
        <w:t xml:space="preserve">. </w:t>
      </w:r>
      <w:r w:rsidR="00C23EB5" w:rsidRPr="005E5D86">
        <w:rPr>
          <w:rFonts w:ascii="Book Antiqua" w:hAnsi="Book Antiqua"/>
        </w:rPr>
        <w:t xml:space="preserve">Patients </w:t>
      </w:r>
      <w:r w:rsidR="00D2790B" w:rsidRPr="005E5D86">
        <w:rPr>
          <w:rFonts w:ascii="Book Antiqua" w:hAnsi="Book Antiqua"/>
        </w:rPr>
        <w:t xml:space="preserve">diagnosed with NASH </w:t>
      </w:r>
      <w:proofErr w:type="gramStart"/>
      <w:r w:rsidR="00D2790B" w:rsidRPr="005E5D86">
        <w:rPr>
          <w:rFonts w:ascii="Book Antiqua" w:hAnsi="Book Antiqua"/>
        </w:rPr>
        <w:t>between 1999-2019</w:t>
      </w:r>
      <w:proofErr w:type="gramEnd"/>
      <w:r w:rsidR="00D2790B" w:rsidRPr="005E5D86">
        <w:rPr>
          <w:rFonts w:ascii="Book Antiqua" w:hAnsi="Book Antiqua"/>
        </w:rPr>
        <w:t xml:space="preserve"> </w:t>
      </w:r>
      <w:r w:rsidR="00C23EB5" w:rsidRPr="005E5D86">
        <w:rPr>
          <w:rFonts w:ascii="Book Antiqua" w:hAnsi="Book Antiqua"/>
        </w:rPr>
        <w:t xml:space="preserve">and those with acute </w:t>
      </w:r>
      <w:r w:rsidR="005D3348">
        <w:rPr>
          <w:rFonts w:ascii="Book Antiqua" w:hAnsi="Book Antiqua"/>
        </w:rPr>
        <w:t>MI</w:t>
      </w:r>
      <w:r w:rsidR="00C23EB5" w:rsidRPr="005E5D86">
        <w:rPr>
          <w:rFonts w:ascii="Book Antiqua" w:hAnsi="Book Antiqua"/>
        </w:rPr>
        <w:t xml:space="preserve"> within 2018-2019 were identified.</w:t>
      </w:r>
      <w:r w:rsidRPr="005E5D86">
        <w:rPr>
          <w:rFonts w:ascii="Book Antiqua" w:hAnsi="Book Antiqua"/>
        </w:rPr>
        <w:t xml:space="preserve"> </w:t>
      </w:r>
      <w:r w:rsidR="00B4143C" w:rsidRPr="005E5D86">
        <w:rPr>
          <w:rFonts w:ascii="Book Antiqua" w:hAnsi="Book Antiqua"/>
        </w:rPr>
        <w:t xml:space="preserve">Traditional risk factors associated with both diseases were </w:t>
      </w:r>
      <w:r w:rsidR="008C7F5C" w:rsidRPr="005E5D86">
        <w:rPr>
          <w:rFonts w:ascii="Book Antiqua" w:hAnsi="Book Antiqua"/>
        </w:rPr>
        <w:t>also collected</w:t>
      </w:r>
      <w:r w:rsidR="00B4143C" w:rsidRPr="005E5D86">
        <w:rPr>
          <w:rFonts w:ascii="Book Antiqua" w:hAnsi="Book Antiqua"/>
        </w:rPr>
        <w:t>. Univariable and multivariable analyses were performed to assess the association between NASH and MI.</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results</w:t>
      </w:r>
    </w:p>
    <w:p w:rsidR="00AE09E2" w:rsidRPr="005E5D86" w:rsidRDefault="00B4143C" w:rsidP="005E5D86">
      <w:pPr>
        <w:snapToGrid w:val="0"/>
        <w:spacing w:line="360" w:lineRule="auto"/>
        <w:jc w:val="both"/>
        <w:rPr>
          <w:rFonts w:ascii="Book Antiqua" w:hAnsi="Book Antiqua"/>
        </w:rPr>
      </w:pPr>
      <w:r w:rsidRPr="005E5D86">
        <w:rPr>
          <w:rFonts w:ascii="Book Antiqua" w:hAnsi="Book Antiqua"/>
        </w:rPr>
        <w:t>After adjusting</w:t>
      </w:r>
      <w:r w:rsidR="00A46CFB" w:rsidRPr="005E5D86">
        <w:rPr>
          <w:rFonts w:ascii="Book Antiqua" w:hAnsi="Book Antiqua"/>
        </w:rPr>
        <w:t xml:space="preserve"> for</w:t>
      </w:r>
      <w:r w:rsidRPr="005E5D86">
        <w:rPr>
          <w:rFonts w:ascii="Book Antiqua" w:hAnsi="Book Antiqua"/>
        </w:rPr>
        <w:t xml:space="preserve"> traditional risk factors</w:t>
      </w:r>
      <w:r w:rsidR="00A46CFB" w:rsidRPr="005E5D86">
        <w:rPr>
          <w:rFonts w:ascii="Book Antiqua" w:hAnsi="Book Antiqua"/>
        </w:rPr>
        <w:t>,</w:t>
      </w:r>
      <w:r w:rsidRPr="005E5D86">
        <w:rPr>
          <w:rFonts w:ascii="Book Antiqua" w:hAnsi="Book Antiqua"/>
        </w:rPr>
        <w:t xml:space="preserve"> t</w:t>
      </w:r>
      <w:r w:rsidR="00AE09E2" w:rsidRPr="005E5D86">
        <w:rPr>
          <w:rFonts w:ascii="Book Antiqua" w:hAnsi="Book Antiqua"/>
        </w:rPr>
        <w:t>here was a</w:t>
      </w:r>
      <w:r w:rsidR="00FB55B4" w:rsidRPr="005E5D86">
        <w:rPr>
          <w:rFonts w:ascii="Book Antiqua" w:hAnsi="Book Antiqua"/>
        </w:rPr>
        <w:t xml:space="preserve">n </w:t>
      </w:r>
      <w:r w:rsidR="006C54DD" w:rsidRPr="005E5D86">
        <w:rPr>
          <w:rFonts w:ascii="Book Antiqua" w:hAnsi="Book Antiqua"/>
        </w:rPr>
        <w:t xml:space="preserve">independent </w:t>
      </w:r>
      <w:r w:rsidR="00AE09E2" w:rsidRPr="005E5D86">
        <w:rPr>
          <w:rFonts w:ascii="Book Antiqua" w:hAnsi="Book Antiqua"/>
        </w:rPr>
        <w:t>associated between NASH and MI</w:t>
      </w:r>
      <w:r w:rsidR="00705766" w:rsidRPr="005E5D86">
        <w:rPr>
          <w:rFonts w:ascii="Book Antiqua" w:hAnsi="Book Antiqua"/>
        </w:rPr>
        <w:t xml:space="preserve"> (</w:t>
      </w:r>
      <w:r w:rsidR="002C2BF3" w:rsidRPr="005E5D86">
        <w:rPr>
          <w:rFonts w:ascii="Book Antiqua" w:hAnsi="Book Antiqua"/>
          <w:color w:val="000000" w:themeColor="text1"/>
          <w:shd w:val="clear" w:color="auto" w:fill="FFFFFF"/>
        </w:rPr>
        <w:t xml:space="preserve">1.5, 95%CI: 1.40-1.62, </w:t>
      </w:r>
      <w:r w:rsidR="00BA67DC" w:rsidRPr="005E5D86">
        <w:rPr>
          <w:rFonts w:ascii="Book Antiqua" w:hAnsi="Book Antiqua"/>
          <w:i/>
          <w:iCs/>
          <w:color w:val="000000" w:themeColor="text1"/>
          <w:shd w:val="clear" w:color="auto" w:fill="FFFFFF"/>
        </w:rPr>
        <w:t xml:space="preserve">P </w:t>
      </w:r>
      <w:r w:rsidR="002C2BF3" w:rsidRPr="005E5D86">
        <w:rPr>
          <w:rFonts w:ascii="Book Antiqua" w:hAnsi="Book Antiqua"/>
          <w:color w:val="000000" w:themeColor="text1"/>
          <w:shd w:val="clear" w:color="auto" w:fill="FFFFFF"/>
        </w:rPr>
        <w:t>&lt;</w:t>
      </w:r>
      <w:r w:rsidR="00B179F3" w:rsidRPr="005E5D86">
        <w:rPr>
          <w:rFonts w:ascii="Book Antiqua" w:hAnsi="Book Antiqua"/>
          <w:color w:val="000000" w:themeColor="text1"/>
          <w:shd w:val="clear" w:color="auto" w:fill="FFFFFF"/>
        </w:rPr>
        <w:t xml:space="preserve"> </w:t>
      </w:r>
      <w:r w:rsidR="002C2BF3" w:rsidRPr="005E5D86">
        <w:rPr>
          <w:rFonts w:ascii="Book Antiqua" w:hAnsi="Book Antiqua"/>
          <w:color w:val="000000" w:themeColor="text1"/>
          <w:shd w:val="clear" w:color="auto" w:fill="FFFFFF"/>
        </w:rPr>
        <w:t>0.0001</w:t>
      </w:r>
      <w:r w:rsidR="00705766" w:rsidRPr="005E5D86">
        <w:rPr>
          <w:rFonts w:ascii="Book Antiqua" w:hAnsi="Book Antiqua"/>
        </w:rPr>
        <w:t>)</w:t>
      </w:r>
      <w:r w:rsidR="00AE09E2" w:rsidRPr="005E5D86">
        <w:rPr>
          <w:rFonts w:ascii="Book Antiqua" w:hAnsi="Book Antiqua"/>
        </w:rPr>
        <w:t xml:space="preserve">. </w:t>
      </w:r>
      <w:r w:rsidR="006C54DD" w:rsidRPr="005E5D86">
        <w:rPr>
          <w:rFonts w:ascii="Book Antiqua" w:hAnsi="Book Antiqua"/>
        </w:rPr>
        <w:t xml:space="preserve">The </w:t>
      </w:r>
      <w:r w:rsidR="000019FE" w:rsidRPr="005E5D86">
        <w:rPr>
          <w:rFonts w:ascii="Book Antiqua" w:hAnsi="Book Antiqua"/>
        </w:rPr>
        <w:t xml:space="preserve">relative </w:t>
      </w:r>
      <w:r w:rsidR="006C54DD" w:rsidRPr="005E5D86">
        <w:rPr>
          <w:rFonts w:ascii="Book Antiqua" w:hAnsi="Book Antiqua"/>
        </w:rPr>
        <w:t xml:space="preserve">risk of MI in patients with NASH appeared to be the highest in the younger </w:t>
      </w:r>
      <w:r w:rsidR="00877D79" w:rsidRPr="005E5D86">
        <w:rPr>
          <w:rFonts w:ascii="Book Antiqua" w:hAnsi="Book Antiqua"/>
        </w:rPr>
        <w:t xml:space="preserve">patient </w:t>
      </w:r>
      <w:r w:rsidR="002C2BF3" w:rsidRPr="005E5D86">
        <w:rPr>
          <w:rFonts w:ascii="Book Antiqua" w:hAnsi="Book Antiqua"/>
        </w:rPr>
        <w:t>population</w:t>
      </w:r>
      <w:r w:rsidR="006C54DD" w:rsidRPr="005E5D86">
        <w:rPr>
          <w:rFonts w:ascii="Book Antiqua" w:hAnsi="Book Antiqua"/>
        </w:rPr>
        <w:t xml:space="preserve"> (&lt;</w:t>
      </w:r>
      <w:r w:rsidR="00B179F3" w:rsidRPr="005E5D86">
        <w:rPr>
          <w:rFonts w:ascii="Book Antiqua" w:hAnsi="Book Antiqua"/>
        </w:rPr>
        <w:t xml:space="preserve"> </w:t>
      </w:r>
      <w:r w:rsidR="006C54DD" w:rsidRPr="005E5D86">
        <w:rPr>
          <w:rFonts w:ascii="Book Antiqua" w:hAnsi="Book Antiqua"/>
        </w:rPr>
        <w:t>49 years old</w:t>
      </w:r>
      <w:r w:rsidR="002C2BF3" w:rsidRPr="005E5D86">
        <w:rPr>
          <w:rFonts w:ascii="Book Antiqua" w:hAnsi="Book Antiqua"/>
        </w:rPr>
        <w:t>, RR 10.</w:t>
      </w:r>
      <w:r w:rsidR="00A07B06" w:rsidRPr="005E5D86">
        <w:rPr>
          <w:rFonts w:ascii="Book Antiqua" w:hAnsi="Book Antiqua"/>
        </w:rPr>
        <w:t>1</w:t>
      </w:r>
      <w:r w:rsidR="002C2BF3" w:rsidRPr="005E5D86">
        <w:rPr>
          <w:rFonts w:ascii="Book Antiqua" w:hAnsi="Book Antiqua"/>
        </w:rPr>
        <w:t xml:space="preserve">, </w:t>
      </w:r>
      <w:r w:rsidR="000019FE" w:rsidRPr="005E5D86">
        <w:rPr>
          <w:rFonts w:ascii="Book Antiqua" w:hAnsi="Book Antiqua"/>
          <w:i/>
          <w:iCs/>
        </w:rPr>
        <w:t>P</w:t>
      </w:r>
      <w:r w:rsidR="000019FE" w:rsidRPr="005E5D86">
        <w:rPr>
          <w:rFonts w:ascii="Book Antiqua" w:hAnsi="Book Antiqua"/>
        </w:rPr>
        <w:t xml:space="preserve"> </w:t>
      </w:r>
      <w:r w:rsidR="002C2BF3" w:rsidRPr="005E5D86">
        <w:rPr>
          <w:rFonts w:ascii="Book Antiqua" w:hAnsi="Book Antiqua"/>
        </w:rPr>
        <w:t>&lt;</w:t>
      </w:r>
      <w:r w:rsidR="00B179F3" w:rsidRPr="005E5D86">
        <w:rPr>
          <w:rFonts w:ascii="Book Antiqua" w:hAnsi="Book Antiqua"/>
        </w:rPr>
        <w:t xml:space="preserve"> </w:t>
      </w:r>
      <w:r w:rsidR="002C2BF3" w:rsidRPr="005E5D86">
        <w:rPr>
          <w:rFonts w:ascii="Book Antiqua" w:hAnsi="Book Antiqua"/>
        </w:rPr>
        <w:t>0.0001</w:t>
      </w:r>
      <w:r w:rsidR="006C54DD" w:rsidRPr="005E5D86">
        <w:rPr>
          <w:rFonts w:ascii="Book Antiqua" w:hAnsi="Book Antiqua"/>
        </w:rPr>
        <w:t>) suggesting inflammation might be the driving force for this observation.</w:t>
      </w:r>
      <w:r w:rsidR="00BD7BC7" w:rsidRPr="005E5D86">
        <w:rPr>
          <w:rFonts w:ascii="Book Antiqua" w:hAnsi="Book Antiqua"/>
        </w:rPr>
        <w:t xml:space="preserve"> </w:t>
      </w:r>
      <w:r w:rsidR="00877D79" w:rsidRPr="005E5D86">
        <w:rPr>
          <w:rFonts w:ascii="Book Antiqua" w:hAnsi="Book Antiqua"/>
        </w:rPr>
        <w:t>Women</w:t>
      </w:r>
      <w:r w:rsidR="007B3E45" w:rsidRPr="005E5D86">
        <w:rPr>
          <w:rFonts w:ascii="Book Antiqua" w:hAnsi="Book Antiqua"/>
        </w:rPr>
        <w:t xml:space="preserve"> with NASH had </w:t>
      </w:r>
      <w:r w:rsidR="00877D79" w:rsidRPr="005E5D86">
        <w:rPr>
          <w:rFonts w:ascii="Book Antiqua" w:hAnsi="Book Antiqua"/>
        </w:rPr>
        <w:t xml:space="preserve">a </w:t>
      </w:r>
      <w:r w:rsidR="007B3E45" w:rsidRPr="005E5D86">
        <w:rPr>
          <w:rFonts w:ascii="Book Antiqua" w:hAnsi="Book Antiqua"/>
        </w:rPr>
        <w:t>higher relative risk of MI compared to their male counterparts</w:t>
      </w:r>
      <w:r w:rsidR="002C2BF3" w:rsidRPr="005E5D86">
        <w:rPr>
          <w:rFonts w:ascii="Book Antiqua" w:hAnsi="Book Antiqua"/>
        </w:rPr>
        <w:t xml:space="preserve"> (15.8 </w:t>
      </w:r>
      <w:r w:rsidR="002C2BF3" w:rsidRPr="00CF77EB">
        <w:rPr>
          <w:rFonts w:ascii="Book Antiqua" w:hAnsi="Book Antiqua"/>
          <w:i/>
          <w:iCs/>
        </w:rPr>
        <w:t>vs</w:t>
      </w:r>
      <w:r w:rsidR="002C2BF3" w:rsidRPr="005E5D86">
        <w:rPr>
          <w:rFonts w:ascii="Book Antiqua" w:hAnsi="Book Antiqua"/>
          <w:i/>
          <w:iCs/>
        </w:rPr>
        <w:t xml:space="preserve"> </w:t>
      </w:r>
      <w:r w:rsidR="002C2BF3" w:rsidRPr="005E5D86">
        <w:rPr>
          <w:rFonts w:ascii="Book Antiqua" w:hAnsi="Book Antiqua"/>
        </w:rPr>
        <w:t xml:space="preserve">11.6, </w:t>
      </w:r>
      <w:r w:rsidR="000019FE" w:rsidRPr="005E5D86">
        <w:rPr>
          <w:rFonts w:ascii="Book Antiqua" w:hAnsi="Book Antiqua"/>
          <w:i/>
          <w:iCs/>
        </w:rPr>
        <w:t xml:space="preserve">P </w:t>
      </w:r>
      <w:r w:rsidR="002C2BF3" w:rsidRPr="005E5D86">
        <w:rPr>
          <w:rFonts w:ascii="Book Antiqua" w:hAnsi="Book Antiqua"/>
        </w:rPr>
        <w:t>&lt;</w:t>
      </w:r>
      <w:r w:rsidR="00B179F3" w:rsidRPr="005E5D86">
        <w:rPr>
          <w:rFonts w:ascii="Book Antiqua" w:hAnsi="Book Antiqua"/>
        </w:rPr>
        <w:t xml:space="preserve"> </w:t>
      </w:r>
      <w:r w:rsidR="002C2BF3" w:rsidRPr="005E5D86">
        <w:rPr>
          <w:rFonts w:ascii="Book Antiqua" w:hAnsi="Book Antiqua"/>
        </w:rPr>
        <w:t>0.0001</w:t>
      </w:r>
      <w:r w:rsidR="00B179F3" w:rsidRPr="005E5D86">
        <w:rPr>
          <w:rFonts w:ascii="Book Antiqua" w:hAnsi="Book Antiqua"/>
        </w:rPr>
        <w:t>, respectively</w:t>
      </w:r>
      <w:r w:rsidR="002C2BF3" w:rsidRPr="005E5D86">
        <w:rPr>
          <w:rFonts w:ascii="Book Antiqua" w:hAnsi="Book Antiqua"/>
        </w:rPr>
        <w:t>)</w:t>
      </w:r>
      <w:r w:rsidR="007B3E45" w:rsidRPr="005E5D86">
        <w:rPr>
          <w:rFonts w:ascii="Book Antiqua" w:hAnsi="Book Antiqua"/>
        </w:rPr>
        <w:t>.</w:t>
      </w:r>
      <w:r w:rsidR="005413CC" w:rsidRPr="005E5D86">
        <w:rPr>
          <w:rFonts w:ascii="Book Antiqua" w:hAnsi="Book Antiqua"/>
        </w:rPr>
        <w:t xml:space="preserve"> </w:t>
      </w:r>
      <w:r w:rsidR="00AE256C" w:rsidRPr="005E5D86">
        <w:rPr>
          <w:rFonts w:ascii="Book Antiqua" w:hAnsi="Book Antiqua"/>
        </w:rPr>
        <w:t>Overall, the</w:t>
      </w:r>
      <w:r w:rsidR="005413CC" w:rsidRPr="005E5D86">
        <w:rPr>
          <w:rFonts w:ascii="Book Antiqua" w:hAnsi="Book Antiqua"/>
        </w:rPr>
        <w:t xml:space="preserve"> absolute risk of MI was higher </w:t>
      </w:r>
      <w:r w:rsidR="00802E5D" w:rsidRPr="005E5D86">
        <w:rPr>
          <w:rFonts w:ascii="Book Antiqua" w:hAnsi="Book Antiqua"/>
        </w:rPr>
        <w:t>in the older population.</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conclusions</w:t>
      </w:r>
    </w:p>
    <w:p w:rsidR="00772FD5" w:rsidRPr="005E5D86" w:rsidRDefault="008C35B9" w:rsidP="005E5D86">
      <w:pPr>
        <w:snapToGrid w:val="0"/>
        <w:spacing w:line="360" w:lineRule="auto"/>
        <w:jc w:val="both"/>
        <w:rPr>
          <w:rFonts w:ascii="Book Antiqua" w:hAnsi="Book Antiqua"/>
        </w:rPr>
      </w:pPr>
      <w:r w:rsidRPr="005E5D86">
        <w:rPr>
          <w:rFonts w:ascii="Book Antiqua" w:hAnsi="Book Antiqua"/>
        </w:rPr>
        <w:t>Acute MI</w:t>
      </w:r>
      <w:r w:rsidR="00A46CFB" w:rsidRPr="005E5D86">
        <w:rPr>
          <w:rFonts w:ascii="Book Antiqua" w:hAnsi="Book Antiqua"/>
        </w:rPr>
        <w:t xml:space="preserve"> is a prevalent </w:t>
      </w:r>
      <w:r w:rsidR="00A22237" w:rsidRPr="005E5D86">
        <w:rPr>
          <w:rFonts w:ascii="Book Antiqua" w:hAnsi="Book Antiqua"/>
        </w:rPr>
        <w:t>di</w:t>
      </w:r>
      <w:r w:rsidR="00BE1A24" w:rsidRPr="005E5D86">
        <w:rPr>
          <w:rFonts w:ascii="Book Antiqua" w:hAnsi="Book Antiqua"/>
        </w:rPr>
        <w:t>agnosis</w:t>
      </w:r>
      <w:r w:rsidR="001D1C71" w:rsidRPr="005E5D86">
        <w:rPr>
          <w:rFonts w:ascii="Book Antiqua" w:hAnsi="Book Antiqua"/>
        </w:rPr>
        <w:t xml:space="preserve"> </w:t>
      </w:r>
      <w:r w:rsidR="007B3E45" w:rsidRPr="005E5D86">
        <w:rPr>
          <w:rFonts w:ascii="Book Antiqua" w:hAnsi="Book Antiqua"/>
        </w:rPr>
        <w:t xml:space="preserve">among patients with </w:t>
      </w:r>
      <w:r w:rsidRPr="005E5D86">
        <w:rPr>
          <w:rFonts w:ascii="Book Antiqua" w:hAnsi="Book Antiqua"/>
        </w:rPr>
        <w:t>NASH</w:t>
      </w:r>
      <w:r w:rsidR="00A46CFB" w:rsidRPr="005E5D86">
        <w:rPr>
          <w:rFonts w:ascii="Book Antiqua" w:hAnsi="Book Antiqua"/>
        </w:rPr>
        <w:t xml:space="preserve">. </w:t>
      </w:r>
      <w:r w:rsidR="00651225" w:rsidRPr="005E5D86">
        <w:rPr>
          <w:rFonts w:ascii="Book Antiqua" w:hAnsi="Book Antiqua"/>
        </w:rPr>
        <w:t>According to</w:t>
      </w:r>
      <w:r w:rsidR="000E40A8" w:rsidRPr="005E5D86">
        <w:rPr>
          <w:rFonts w:ascii="Book Antiqua" w:hAnsi="Book Antiqua"/>
        </w:rPr>
        <w:t xml:space="preserve"> our dataset,</w:t>
      </w:r>
      <w:r w:rsidR="00FB55B4" w:rsidRPr="005E5D86">
        <w:rPr>
          <w:rFonts w:ascii="Book Antiqua" w:hAnsi="Book Antiqua"/>
        </w:rPr>
        <w:t xml:space="preserve"> NASH </w:t>
      </w:r>
      <w:r w:rsidR="007B3E45" w:rsidRPr="005E5D86">
        <w:rPr>
          <w:rFonts w:ascii="Book Antiqua" w:hAnsi="Book Antiqua"/>
        </w:rPr>
        <w:t>continues to be underdiagnosed in the</w:t>
      </w:r>
      <w:r w:rsidR="005D3348">
        <w:rPr>
          <w:rFonts w:ascii="Book Antiqua" w:hAnsi="Book Antiqua"/>
        </w:rPr>
        <w:t xml:space="preserve"> United States</w:t>
      </w:r>
      <w:r w:rsidR="007B3E45" w:rsidRPr="005E5D86">
        <w:rPr>
          <w:rFonts w:ascii="Book Antiqua" w:hAnsi="Book Antiqua"/>
        </w:rPr>
        <w:t xml:space="preserve"> populatio</w:t>
      </w:r>
      <w:r w:rsidR="00CA2DC1" w:rsidRPr="005E5D86">
        <w:rPr>
          <w:rFonts w:ascii="Book Antiqua" w:hAnsi="Book Antiqua"/>
        </w:rPr>
        <w:t xml:space="preserve">n. Systemic inflammatory cascades </w:t>
      </w:r>
      <w:r w:rsidR="000E40A8" w:rsidRPr="005E5D86">
        <w:rPr>
          <w:rFonts w:ascii="Book Antiqua" w:hAnsi="Book Antiqua"/>
        </w:rPr>
        <w:t xml:space="preserve">are </w:t>
      </w:r>
      <w:r w:rsidR="00651225" w:rsidRPr="005E5D86">
        <w:rPr>
          <w:rFonts w:ascii="Book Antiqua" w:hAnsi="Book Antiqua"/>
        </w:rPr>
        <w:t xml:space="preserve">exaggerated </w:t>
      </w:r>
      <w:r w:rsidR="000E40A8" w:rsidRPr="005E5D86">
        <w:rPr>
          <w:rFonts w:ascii="Book Antiqua" w:hAnsi="Book Antiqua"/>
        </w:rPr>
        <w:t xml:space="preserve">in NASH and </w:t>
      </w:r>
      <w:r w:rsidR="00761FAC" w:rsidRPr="005E5D86">
        <w:rPr>
          <w:rFonts w:ascii="Book Antiqua" w:hAnsi="Book Antiqua"/>
        </w:rPr>
        <w:t>might be implicated</w:t>
      </w:r>
      <w:r w:rsidR="00BF59B2" w:rsidRPr="005E5D86">
        <w:rPr>
          <w:rFonts w:ascii="Book Antiqua" w:hAnsi="Book Antiqua"/>
        </w:rPr>
        <w:t xml:space="preserve"> in the </w:t>
      </w:r>
      <w:r w:rsidR="00651225" w:rsidRPr="005E5D86">
        <w:rPr>
          <w:rFonts w:ascii="Book Antiqua" w:hAnsi="Book Antiqua"/>
        </w:rPr>
        <w:t xml:space="preserve">pathogenesis of </w:t>
      </w:r>
      <w:r w:rsidR="00802E5D" w:rsidRPr="005E5D86">
        <w:rPr>
          <w:rFonts w:ascii="Book Antiqua" w:hAnsi="Book Antiqua"/>
        </w:rPr>
        <w:t>arthrosclerosis</w:t>
      </w:r>
      <w:r w:rsidR="000E40A8" w:rsidRPr="005E5D86">
        <w:rPr>
          <w:rFonts w:ascii="Book Antiqua" w:hAnsi="Book Antiqua"/>
        </w:rPr>
        <w:t xml:space="preserve">. </w:t>
      </w:r>
      <w:r w:rsidR="00D854BC" w:rsidRPr="005E5D86">
        <w:rPr>
          <w:rFonts w:ascii="Book Antiqua" w:hAnsi="Book Antiqua"/>
        </w:rPr>
        <w:t xml:space="preserve">Identification of </w:t>
      </w:r>
      <w:r w:rsidR="00B26D03" w:rsidRPr="005E5D86">
        <w:rPr>
          <w:rFonts w:ascii="Book Antiqua" w:hAnsi="Book Antiqua"/>
        </w:rPr>
        <w:t xml:space="preserve">NAFLD </w:t>
      </w:r>
      <w:r w:rsidR="00D854BC" w:rsidRPr="005E5D86">
        <w:rPr>
          <w:rFonts w:ascii="Book Antiqua" w:hAnsi="Book Antiqua"/>
        </w:rPr>
        <w:t>patients at high risk of NASH might allow for primary prevention</w:t>
      </w:r>
      <w:r w:rsidR="00B26D03" w:rsidRPr="005E5D86">
        <w:rPr>
          <w:rFonts w:ascii="Book Antiqua" w:hAnsi="Book Antiqua"/>
        </w:rPr>
        <w:t xml:space="preserve"> and aggressive cardiovascular risk modification.</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perspectives</w:t>
      </w:r>
    </w:p>
    <w:p w:rsidR="00EB1E63" w:rsidRPr="005E5D86" w:rsidRDefault="00705766" w:rsidP="005E5D86">
      <w:pPr>
        <w:snapToGrid w:val="0"/>
        <w:spacing w:line="360" w:lineRule="auto"/>
        <w:jc w:val="both"/>
        <w:rPr>
          <w:rFonts w:ascii="Book Antiqua" w:hAnsi="Book Antiqua"/>
        </w:rPr>
      </w:pPr>
      <w:r w:rsidRPr="005E5D86">
        <w:rPr>
          <w:rFonts w:ascii="Book Antiqua" w:hAnsi="Book Antiqua"/>
        </w:rPr>
        <w:lastRenderedPageBreak/>
        <w:t>Performing large scale prospective studies</w:t>
      </w:r>
      <w:r w:rsidR="00651225" w:rsidRPr="005E5D86">
        <w:rPr>
          <w:rFonts w:ascii="Book Antiqua" w:hAnsi="Book Antiqua"/>
        </w:rPr>
        <w:t xml:space="preserve"> with long-term follow-up</w:t>
      </w:r>
      <w:r w:rsidRPr="005E5D86">
        <w:rPr>
          <w:rFonts w:ascii="Book Antiqua" w:hAnsi="Book Antiqua"/>
        </w:rPr>
        <w:t xml:space="preserve"> </w:t>
      </w:r>
      <w:r w:rsidR="00C51906" w:rsidRPr="005E5D86">
        <w:rPr>
          <w:rFonts w:ascii="Book Antiqua" w:hAnsi="Book Antiqua"/>
        </w:rPr>
        <w:t>are</w:t>
      </w:r>
      <w:r w:rsidR="00651225" w:rsidRPr="005E5D86">
        <w:rPr>
          <w:rFonts w:ascii="Book Antiqua" w:hAnsi="Book Antiqua"/>
        </w:rPr>
        <w:t xml:space="preserve"> needed to gain mechanistic insight into the </w:t>
      </w:r>
      <w:r w:rsidR="00552D5C" w:rsidRPr="005E5D86">
        <w:rPr>
          <w:rFonts w:ascii="Book Antiqua" w:hAnsi="Book Antiqua"/>
        </w:rPr>
        <w:t>pathology</w:t>
      </w:r>
      <w:r w:rsidR="00651225" w:rsidRPr="005E5D86">
        <w:rPr>
          <w:rFonts w:ascii="Book Antiqua" w:hAnsi="Book Antiqua"/>
        </w:rPr>
        <w:t xml:space="preserve"> of NASH</w:t>
      </w:r>
      <w:r w:rsidR="00552D5C" w:rsidRPr="005E5D86">
        <w:rPr>
          <w:rFonts w:ascii="Book Antiqua" w:hAnsi="Book Antiqua"/>
        </w:rPr>
        <w:t>-MI axis.</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ACKOWLEDGEMENTS</w:t>
      </w:r>
    </w:p>
    <w:p w:rsidR="00FF31B4" w:rsidRPr="005E5D86" w:rsidRDefault="00FF31B4"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We gratefully acknowledge Dr. Joseph </w:t>
      </w:r>
      <w:proofErr w:type="spellStart"/>
      <w:r w:rsidRPr="005E5D86">
        <w:rPr>
          <w:rFonts w:ascii="Book Antiqua" w:hAnsi="Book Antiqua"/>
          <w:color w:val="000000" w:themeColor="text1"/>
          <w:shd w:val="clear" w:color="auto" w:fill="FFFFFF"/>
        </w:rPr>
        <w:t>Sudano</w:t>
      </w:r>
      <w:proofErr w:type="spellEnd"/>
      <w:r w:rsidRPr="005E5D86">
        <w:rPr>
          <w:rFonts w:ascii="Book Antiqua" w:hAnsi="Book Antiqua"/>
          <w:color w:val="000000" w:themeColor="text1"/>
          <w:shd w:val="clear" w:color="auto" w:fill="FFFFFF"/>
        </w:rPr>
        <w:t xml:space="preserve"> for all ensuring the data analysis is appropriate for this research.</w:t>
      </w:r>
    </w:p>
    <w:p w:rsidR="00EB1E63" w:rsidRPr="005E5D86" w:rsidRDefault="00EB1E63" w:rsidP="005E5D86">
      <w:pPr>
        <w:snapToGrid w:val="0"/>
        <w:spacing w:line="360" w:lineRule="auto"/>
        <w:jc w:val="both"/>
        <w:rPr>
          <w:rFonts w:ascii="Book Antiqua" w:hAnsi="Book Antiqua"/>
          <w:b/>
          <w:bCs/>
        </w:rPr>
      </w:pP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REFERENCES</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 </w:t>
      </w:r>
      <w:proofErr w:type="spellStart"/>
      <w:r w:rsidRPr="005E5D86">
        <w:rPr>
          <w:rFonts w:ascii="Book Antiqua" w:hAnsi="Book Antiqua"/>
          <w:b/>
        </w:rPr>
        <w:t>Sayiner</w:t>
      </w:r>
      <w:proofErr w:type="spellEnd"/>
      <w:r w:rsidRPr="005E5D86">
        <w:rPr>
          <w:rFonts w:ascii="Book Antiqua" w:hAnsi="Book Antiqua"/>
          <w:b/>
        </w:rPr>
        <w:t xml:space="preserve"> M</w:t>
      </w:r>
      <w:r w:rsidRPr="005E5D86">
        <w:rPr>
          <w:rFonts w:ascii="Book Antiqua" w:hAnsi="Book Antiqua"/>
        </w:rPr>
        <w:t xml:space="preserve">, Koenig A, Henry L, </w:t>
      </w:r>
      <w:proofErr w:type="spellStart"/>
      <w:r w:rsidRPr="005E5D86">
        <w:rPr>
          <w:rFonts w:ascii="Book Antiqua" w:hAnsi="Book Antiqua"/>
        </w:rPr>
        <w:t>Younossi</w:t>
      </w:r>
      <w:proofErr w:type="spellEnd"/>
      <w:r w:rsidRPr="005E5D86">
        <w:rPr>
          <w:rFonts w:ascii="Book Antiqua" w:hAnsi="Book Antiqua"/>
        </w:rPr>
        <w:t xml:space="preserve"> ZM. </w:t>
      </w:r>
      <w:proofErr w:type="gramStart"/>
      <w:r w:rsidRPr="005E5D86">
        <w:rPr>
          <w:rFonts w:ascii="Book Antiqua" w:hAnsi="Book Antiqua"/>
        </w:rPr>
        <w:t>Epidemiology of Nonalcoholic Fatty Liver Disease and Nonalcoholic Steatohepatitis in the United States and the Rest of the World.</w:t>
      </w:r>
      <w:proofErr w:type="gramEnd"/>
      <w:r w:rsidRPr="005E5D86">
        <w:rPr>
          <w:rFonts w:ascii="Book Antiqua" w:hAnsi="Book Antiqua"/>
        </w:rPr>
        <w:t xml:space="preserve"> </w:t>
      </w:r>
      <w:proofErr w:type="spellStart"/>
      <w:r w:rsidRPr="005E5D86">
        <w:rPr>
          <w:rFonts w:ascii="Book Antiqua" w:hAnsi="Book Antiqua"/>
          <w:i/>
        </w:rPr>
        <w:t>Clin</w:t>
      </w:r>
      <w:proofErr w:type="spellEnd"/>
      <w:r w:rsidRPr="005E5D86">
        <w:rPr>
          <w:rFonts w:ascii="Book Antiqua" w:hAnsi="Book Antiqua"/>
          <w:i/>
        </w:rPr>
        <w:t xml:space="preserve"> Liver Dis</w:t>
      </w:r>
      <w:r w:rsidRPr="005E5D86">
        <w:rPr>
          <w:rFonts w:ascii="Book Antiqua" w:hAnsi="Book Antiqua"/>
        </w:rPr>
        <w:t xml:space="preserve"> 2016; </w:t>
      </w:r>
      <w:r w:rsidRPr="005E5D86">
        <w:rPr>
          <w:rFonts w:ascii="Book Antiqua" w:hAnsi="Book Antiqua"/>
          <w:b/>
        </w:rPr>
        <w:t>20</w:t>
      </w:r>
      <w:r w:rsidRPr="005E5D86">
        <w:rPr>
          <w:rFonts w:ascii="Book Antiqua" w:hAnsi="Book Antiqua"/>
        </w:rPr>
        <w:t>: 205-214 [PMID: 27063264 DOI: 10.1016/j.cld.2015.10.001]</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 </w:t>
      </w:r>
      <w:proofErr w:type="spellStart"/>
      <w:r w:rsidRPr="005E5D86">
        <w:rPr>
          <w:rFonts w:ascii="Book Antiqua" w:hAnsi="Book Antiqua"/>
          <w:b/>
        </w:rPr>
        <w:t>Kanwar</w:t>
      </w:r>
      <w:proofErr w:type="spellEnd"/>
      <w:r w:rsidRPr="005E5D86">
        <w:rPr>
          <w:rFonts w:ascii="Book Antiqua" w:hAnsi="Book Antiqua"/>
          <w:b/>
        </w:rPr>
        <w:t xml:space="preserve"> P</w:t>
      </w:r>
      <w:r w:rsidRPr="005E5D86">
        <w:rPr>
          <w:rFonts w:ascii="Book Antiqua" w:hAnsi="Book Antiqua"/>
        </w:rPr>
        <w:t xml:space="preserve">, </w:t>
      </w:r>
      <w:proofErr w:type="spellStart"/>
      <w:r w:rsidRPr="005E5D86">
        <w:rPr>
          <w:rFonts w:ascii="Book Antiqua" w:hAnsi="Book Antiqua"/>
        </w:rPr>
        <w:t>Kowdley</w:t>
      </w:r>
      <w:proofErr w:type="spellEnd"/>
      <w:r w:rsidRPr="005E5D86">
        <w:rPr>
          <w:rFonts w:ascii="Book Antiqua" w:hAnsi="Book Antiqua"/>
        </w:rPr>
        <w:t xml:space="preserve"> KV. </w:t>
      </w:r>
      <w:proofErr w:type="gramStart"/>
      <w:r w:rsidRPr="005E5D86">
        <w:rPr>
          <w:rFonts w:ascii="Book Antiqua" w:hAnsi="Book Antiqua"/>
        </w:rPr>
        <w:t>The Metabolic Syndrome and Its Influence on Nonalcoholic Steatohepatitis.</w:t>
      </w:r>
      <w:proofErr w:type="gramEnd"/>
      <w:r w:rsidRPr="005E5D86">
        <w:rPr>
          <w:rFonts w:ascii="Book Antiqua" w:hAnsi="Book Antiqua"/>
        </w:rPr>
        <w:t xml:space="preserve"> </w:t>
      </w:r>
      <w:proofErr w:type="spellStart"/>
      <w:r w:rsidRPr="005E5D86">
        <w:rPr>
          <w:rFonts w:ascii="Book Antiqua" w:hAnsi="Book Antiqua"/>
          <w:i/>
        </w:rPr>
        <w:t>Clin</w:t>
      </w:r>
      <w:proofErr w:type="spellEnd"/>
      <w:r w:rsidRPr="005E5D86">
        <w:rPr>
          <w:rFonts w:ascii="Book Antiqua" w:hAnsi="Book Antiqua"/>
          <w:i/>
        </w:rPr>
        <w:t xml:space="preserve"> Liver Dis</w:t>
      </w:r>
      <w:r w:rsidRPr="005E5D86">
        <w:rPr>
          <w:rFonts w:ascii="Book Antiqua" w:hAnsi="Book Antiqua"/>
        </w:rPr>
        <w:t xml:space="preserve"> 2016; </w:t>
      </w:r>
      <w:r w:rsidRPr="005E5D86">
        <w:rPr>
          <w:rFonts w:ascii="Book Antiqua" w:hAnsi="Book Antiqua"/>
          <w:b/>
        </w:rPr>
        <w:t>20</w:t>
      </w:r>
      <w:r w:rsidRPr="005E5D86">
        <w:rPr>
          <w:rFonts w:ascii="Book Antiqua" w:hAnsi="Book Antiqua"/>
        </w:rPr>
        <w:t>: 225-243 [PMID: 27063266 DOI: 10.1016/j.cld.2015.10.002]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 </w:t>
      </w:r>
      <w:r w:rsidRPr="005E5D86">
        <w:rPr>
          <w:rFonts w:ascii="Book Antiqua" w:hAnsi="Book Antiqua"/>
          <w:b/>
        </w:rPr>
        <w:t>Williams CD</w:t>
      </w:r>
      <w:r w:rsidRPr="005E5D86">
        <w:rPr>
          <w:rFonts w:ascii="Book Antiqua" w:hAnsi="Book Antiqua"/>
        </w:rPr>
        <w:t xml:space="preserve">, Stengel J, </w:t>
      </w:r>
      <w:proofErr w:type="spellStart"/>
      <w:r w:rsidRPr="005E5D86">
        <w:rPr>
          <w:rFonts w:ascii="Book Antiqua" w:hAnsi="Book Antiqua"/>
        </w:rPr>
        <w:t>Asike</w:t>
      </w:r>
      <w:proofErr w:type="spellEnd"/>
      <w:r w:rsidRPr="005E5D86">
        <w:rPr>
          <w:rFonts w:ascii="Book Antiqua" w:hAnsi="Book Antiqua"/>
        </w:rPr>
        <w:t xml:space="preserve"> MI, Torres DM, Shaw J, Contreras M, </w:t>
      </w:r>
      <w:proofErr w:type="spellStart"/>
      <w:r w:rsidRPr="005E5D86">
        <w:rPr>
          <w:rFonts w:ascii="Book Antiqua" w:hAnsi="Book Antiqua"/>
        </w:rPr>
        <w:t>Landt</w:t>
      </w:r>
      <w:proofErr w:type="spellEnd"/>
      <w:r w:rsidRPr="005E5D86">
        <w:rPr>
          <w:rFonts w:ascii="Book Antiqua" w:hAnsi="Book Antiqua"/>
        </w:rPr>
        <w:t xml:space="preserve"> CL, Harrison SA. Prevalence of nonalcoholic fatty liver disease and nonalcoholic steatohepatitis among a largely middle-aged population utilizing ultrasound and liver biopsy: a prospective study. </w:t>
      </w:r>
      <w:r w:rsidRPr="005E5D86">
        <w:rPr>
          <w:rFonts w:ascii="Book Antiqua" w:hAnsi="Book Antiqua"/>
          <w:i/>
        </w:rPr>
        <w:t>Gastroenterology</w:t>
      </w:r>
      <w:r w:rsidRPr="005E5D86">
        <w:rPr>
          <w:rFonts w:ascii="Book Antiqua" w:hAnsi="Book Antiqua"/>
        </w:rPr>
        <w:t xml:space="preserve"> 2011; </w:t>
      </w:r>
      <w:r w:rsidRPr="005E5D86">
        <w:rPr>
          <w:rFonts w:ascii="Book Antiqua" w:hAnsi="Book Antiqua"/>
          <w:b/>
        </w:rPr>
        <w:t>140</w:t>
      </w:r>
      <w:r w:rsidRPr="005E5D86">
        <w:rPr>
          <w:rFonts w:ascii="Book Antiqua" w:hAnsi="Book Antiqua"/>
        </w:rPr>
        <w:t>: 124-131 [PMID: 20858492 DOI: 10.1053/j.gastro.2010.09.038]</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4 </w:t>
      </w:r>
      <w:r w:rsidRPr="005E5D86">
        <w:rPr>
          <w:rFonts w:ascii="Book Antiqua" w:hAnsi="Book Antiqua"/>
          <w:b/>
        </w:rPr>
        <w:t>Vernon G</w:t>
      </w:r>
      <w:r w:rsidRPr="005E5D86">
        <w:rPr>
          <w:rFonts w:ascii="Book Antiqua" w:hAnsi="Book Antiqua"/>
        </w:rPr>
        <w:t xml:space="preserve">, </w:t>
      </w:r>
      <w:proofErr w:type="spellStart"/>
      <w:r w:rsidRPr="005E5D86">
        <w:rPr>
          <w:rFonts w:ascii="Book Antiqua" w:hAnsi="Book Antiqua"/>
        </w:rPr>
        <w:t>Baranova</w:t>
      </w:r>
      <w:proofErr w:type="spellEnd"/>
      <w:r w:rsidRPr="005E5D86">
        <w:rPr>
          <w:rFonts w:ascii="Book Antiqua" w:hAnsi="Book Antiqua"/>
        </w:rPr>
        <w:t xml:space="preserve"> A, </w:t>
      </w:r>
      <w:proofErr w:type="spellStart"/>
      <w:r w:rsidRPr="005E5D86">
        <w:rPr>
          <w:rFonts w:ascii="Book Antiqua" w:hAnsi="Book Antiqua"/>
        </w:rPr>
        <w:t>Younossi</w:t>
      </w:r>
      <w:proofErr w:type="spellEnd"/>
      <w:r w:rsidRPr="005E5D86">
        <w:rPr>
          <w:rFonts w:ascii="Book Antiqua" w:hAnsi="Book Antiqua"/>
        </w:rPr>
        <w:t xml:space="preserve"> ZM.</w:t>
      </w:r>
      <w:proofErr w:type="gramEnd"/>
      <w:r w:rsidRPr="005E5D86">
        <w:rPr>
          <w:rFonts w:ascii="Book Antiqua" w:hAnsi="Book Antiqua"/>
        </w:rPr>
        <w:t xml:space="preserve"> Systematic review: the epidemiology and natural history of non-alcoholic fatty liver disease and non-alcoholic steatohepatitis in adults. </w:t>
      </w:r>
      <w:r w:rsidRPr="005E5D86">
        <w:rPr>
          <w:rFonts w:ascii="Book Antiqua" w:hAnsi="Book Antiqua"/>
          <w:i/>
        </w:rPr>
        <w:t xml:space="preserve">Aliment </w:t>
      </w:r>
      <w:proofErr w:type="spellStart"/>
      <w:r w:rsidRPr="005E5D86">
        <w:rPr>
          <w:rFonts w:ascii="Book Antiqua" w:hAnsi="Book Antiqua"/>
          <w:i/>
        </w:rPr>
        <w:t>Pharmacol</w:t>
      </w:r>
      <w:proofErr w:type="spellEnd"/>
      <w:r w:rsidRPr="005E5D86">
        <w:rPr>
          <w:rFonts w:ascii="Book Antiqua" w:hAnsi="Book Antiqua"/>
          <w:i/>
        </w:rPr>
        <w:t xml:space="preserve"> </w:t>
      </w:r>
      <w:proofErr w:type="spellStart"/>
      <w:r w:rsidRPr="005E5D86">
        <w:rPr>
          <w:rFonts w:ascii="Book Antiqua" w:hAnsi="Book Antiqua"/>
          <w:i/>
        </w:rPr>
        <w:t>Ther</w:t>
      </w:r>
      <w:proofErr w:type="spellEnd"/>
      <w:r w:rsidRPr="005E5D86">
        <w:rPr>
          <w:rFonts w:ascii="Book Antiqua" w:hAnsi="Book Antiqua"/>
        </w:rPr>
        <w:t xml:space="preserve"> 2011; </w:t>
      </w:r>
      <w:r w:rsidRPr="005E5D86">
        <w:rPr>
          <w:rFonts w:ascii="Book Antiqua" w:hAnsi="Book Antiqua"/>
          <w:b/>
        </w:rPr>
        <w:t>34</w:t>
      </w:r>
      <w:r w:rsidRPr="005E5D86">
        <w:rPr>
          <w:rFonts w:ascii="Book Antiqua" w:hAnsi="Book Antiqua"/>
        </w:rPr>
        <w:t>: 274-285 [PMID: 21623852 DOI: 10.1111/j.1365-2036.2011.04724.x]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5 </w:t>
      </w:r>
      <w:proofErr w:type="spellStart"/>
      <w:r w:rsidRPr="005E5D86">
        <w:rPr>
          <w:rFonts w:ascii="Book Antiqua" w:hAnsi="Book Antiqua"/>
          <w:b/>
        </w:rPr>
        <w:t>Lazo</w:t>
      </w:r>
      <w:proofErr w:type="spellEnd"/>
      <w:r w:rsidRPr="005E5D86">
        <w:rPr>
          <w:rFonts w:ascii="Book Antiqua" w:hAnsi="Book Antiqua"/>
          <w:b/>
        </w:rPr>
        <w:t xml:space="preserve"> M</w:t>
      </w:r>
      <w:r w:rsidRPr="005E5D86">
        <w:rPr>
          <w:rFonts w:ascii="Book Antiqua" w:hAnsi="Book Antiqua"/>
        </w:rPr>
        <w:t xml:space="preserve">, </w:t>
      </w:r>
      <w:proofErr w:type="spellStart"/>
      <w:r w:rsidRPr="005E5D86">
        <w:rPr>
          <w:rFonts w:ascii="Book Antiqua" w:hAnsi="Book Antiqua"/>
        </w:rPr>
        <w:t>Hernaez</w:t>
      </w:r>
      <w:proofErr w:type="spellEnd"/>
      <w:r w:rsidRPr="005E5D86">
        <w:rPr>
          <w:rFonts w:ascii="Book Antiqua" w:hAnsi="Book Antiqua"/>
        </w:rPr>
        <w:t xml:space="preserve"> R, </w:t>
      </w:r>
      <w:proofErr w:type="spellStart"/>
      <w:r w:rsidRPr="005E5D86">
        <w:rPr>
          <w:rFonts w:ascii="Book Antiqua" w:hAnsi="Book Antiqua"/>
        </w:rPr>
        <w:t>Eberhardt</w:t>
      </w:r>
      <w:proofErr w:type="spellEnd"/>
      <w:r w:rsidRPr="005E5D86">
        <w:rPr>
          <w:rFonts w:ascii="Book Antiqua" w:hAnsi="Book Antiqua"/>
        </w:rPr>
        <w:t xml:space="preserve"> MS, </w:t>
      </w:r>
      <w:proofErr w:type="spellStart"/>
      <w:r w:rsidRPr="005E5D86">
        <w:rPr>
          <w:rFonts w:ascii="Book Antiqua" w:hAnsi="Book Antiqua"/>
        </w:rPr>
        <w:t>Bonekamp</w:t>
      </w:r>
      <w:proofErr w:type="spellEnd"/>
      <w:r w:rsidRPr="005E5D86">
        <w:rPr>
          <w:rFonts w:ascii="Book Antiqua" w:hAnsi="Book Antiqua"/>
        </w:rPr>
        <w:t xml:space="preserve"> S, </w:t>
      </w:r>
      <w:proofErr w:type="spellStart"/>
      <w:r w:rsidRPr="005E5D86">
        <w:rPr>
          <w:rFonts w:ascii="Book Antiqua" w:hAnsi="Book Antiqua"/>
        </w:rPr>
        <w:t>Kamel</w:t>
      </w:r>
      <w:proofErr w:type="spellEnd"/>
      <w:r w:rsidRPr="005E5D86">
        <w:rPr>
          <w:rFonts w:ascii="Book Antiqua" w:hAnsi="Book Antiqua"/>
        </w:rPr>
        <w:t xml:space="preserve"> I, </w:t>
      </w:r>
      <w:proofErr w:type="spellStart"/>
      <w:r w:rsidRPr="005E5D86">
        <w:rPr>
          <w:rFonts w:ascii="Book Antiqua" w:hAnsi="Book Antiqua"/>
        </w:rPr>
        <w:t>Guallar</w:t>
      </w:r>
      <w:proofErr w:type="spellEnd"/>
      <w:r w:rsidRPr="005E5D86">
        <w:rPr>
          <w:rFonts w:ascii="Book Antiqua" w:hAnsi="Book Antiqua"/>
        </w:rPr>
        <w:t xml:space="preserve"> E, </w:t>
      </w:r>
      <w:proofErr w:type="spellStart"/>
      <w:r w:rsidRPr="005E5D86">
        <w:rPr>
          <w:rFonts w:ascii="Book Antiqua" w:hAnsi="Book Antiqua"/>
        </w:rPr>
        <w:t>Koteish</w:t>
      </w:r>
      <w:proofErr w:type="spellEnd"/>
      <w:r w:rsidRPr="005E5D86">
        <w:rPr>
          <w:rFonts w:ascii="Book Antiqua" w:hAnsi="Book Antiqua"/>
        </w:rPr>
        <w:t xml:space="preserve"> A, </w:t>
      </w:r>
      <w:proofErr w:type="spellStart"/>
      <w:r w:rsidRPr="005E5D86">
        <w:rPr>
          <w:rFonts w:ascii="Book Antiqua" w:hAnsi="Book Antiqua"/>
        </w:rPr>
        <w:t>Brancati</w:t>
      </w:r>
      <w:proofErr w:type="spellEnd"/>
      <w:r w:rsidRPr="005E5D86">
        <w:rPr>
          <w:rFonts w:ascii="Book Antiqua" w:hAnsi="Book Antiqua"/>
        </w:rPr>
        <w:t xml:space="preserve"> FL, Clark JM. Prevalence of nonalcoholic fatty liver disease in the United States: the Third National Health and Nutrition Examination Survey, 1988-1994. </w:t>
      </w:r>
      <w:r w:rsidRPr="005E5D86">
        <w:rPr>
          <w:rFonts w:ascii="Book Antiqua" w:hAnsi="Book Antiqua"/>
          <w:i/>
        </w:rPr>
        <w:t>Am J Epidemiol</w:t>
      </w:r>
      <w:r w:rsidRPr="005E5D86">
        <w:rPr>
          <w:rFonts w:ascii="Book Antiqua" w:hAnsi="Book Antiqua"/>
        </w:rPr>
        <w:t xml:space="preserve"> 2013; </w:t>
      </w:r>
      <w:r w:rsidRPr="005E5D86">
        <w:rPr>
          <w:rFonts w:ascii="Book Antiqua" w:hAnsi="Book Antiqua"/>
          <w:b/>
        </w:rPr>
        <w:t>178</w:t>
      </w:r>
      <w:r w:rsidRPr="005E5D86">
        <w:rPr>
          <w:rFonts w:ascii="Book Antiqua" w:hAnsi="Book Antiqua"/>
        </w:rPr>
        <w:t>: 38-45 [PMID: 23703888 DOI: 10.1093/</w:t>
      </w:r>
      <w:proofErr w:type="spellStart"/>
      <w:r w:rsidRPr="005E5D86">
        <w:rPr>
          <w:rFonts w:ascii="Book Antiqua" w:hAnsi="Book Antiqua"/>
        </w:rPr>
        <w:t>aje</w:t>
      </w:r>
      <w:proofErr w:type="spellEnd"/>
      <w:r w:rsidRPr="005E5D86">
        <w:rPr>
          <w:rFonts w:ascii="Book Antiqua" w:hAnsi="Book Antiqua"/>
        </w:rPr>
        <w:t>/kws448]</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lastRenderedPageBreak/>
        <w:t xml:space="preserve">6 </w:t>
      </w:r>
      <w:r w:rsidRPr="005E5D86">
        <w:rPr>
          <w:rFonts w:ascii="Book Antiqua" w:hAnsi="Book Antiqua"/>
          <w:b/>
        </w:rPr>
        <w:t>Dixon JB</w:t>
      </w:r>
      <w:r w:rsidRPr="005E5D86">
        <w:rPr>
          <w:rFonts w:ascii="Book Antiqua" w:hAnsi="Book Antiqua"/>
        </w:rPr>
        <w:t xml:space="preserve">, </w:t>
      </w:r>
      <w:proofErr w:type="spellStart"/>
      <w:r w:rsidRPr="005E5D86">
        <w:rPr>
          <w:rFonts w:ascii="Book Antiqua" w:hAnsi="Book Antiqua"/>
        </w:rPr>
        <w:t>Bhathal</w:t>
      </w:r>
      <w:proofErr w:type="spellEnd"/>
      <w:r w:rsidRPr="005E5D86">
        <w:rPr>
          <w:rFonts w:ascii="Book Antiqua" w:hAnsi="Book Antiqua"/>
        </w:rPr>
        <w:t xml:space="preserve"> PS, O'Brien PE.</w:t>
      </w:r>
      <w:proofErr w:type="gramEnd"/>
      <w:r w:rsidRPr="005E5D86">
        <w:rPr>
          <w:rFonts w:ascii="Book Antiqua" w:hAnsi="Book Antiqua"/>
        </w:rPr>
        <w:t xml:space="preserve"> Nonalcoholic fatty liver disease: predictors of nonalcoholic steatohepatitis and liver fibrosis in the severely obese. </w:t>
      </w:r>
      <w:r w:rsidRPr="005E5D86">
        <w:rPr>
          <w:rFonts w:ascii="Book Antiqua" w:hAnsi="Book Antiqua"/>
          <w:i/>
        </w:rPr>
        <w:t>Gastroenterology</w:t>
      </w:r>
      <w:r w:rsidRPr="005E5D86">
        <w:rPr>
          <w:rFonts w:ascii="Book Antiqua" w:hAnsi="Book Antiqua"/>
        </w:rPr>
        <w:t xml:space="preserve"> 2001; </w:t>
      </w:r>
      <w:r w:rsidRPr="005E5D86">
        <w:rPr>
          <w:rFonts w:ascii="Book Antiqua" w:hAnsi="Book Antiqua"/>
          <w:b/>
        </w:rPr>
        <w:t>121</w:t>
      </w:r>
      <w:r w:rsidRPr="005E5D86">
        <w:rPr>
          <w:rFonts w:ascii="Book Antiqua" w:hAnsi="Book Antiqua"/>
        </w:rPr>
        <w:t>: 91-100 [PMID: 11438497 DOI: 10.1053/gast.2001.25540]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7 </w:t>
      </w:r>
      <w:proofErr w:type="spellStart"/>
      <w:r w:rsidRPr="005E5D86">
        <w:rPr>
          <w:rFonts w:ascii="Book Antiqua" w:hAnsi="Book Antiqua"/>
          <w:b/>
        </w:rPr>
        <w:t>Ekstedt</w:t>
      </w:r>
      <w:proofErr w:type="spellEnd"/>
      <w:r w:rsidRPr="005E5D86">
        <w:rPr>
          <w:rFonts w:ascii="Book Antiqua" w:hAnsi="Book Antiqua"/>
          <w:b/>
        </w:rPr>
        <w:t xml:space="preserve"> M</w:t>
      </w:r>
      <w:r w:rsidRPr="005E5D86">
        <w:rPr>
          <w:rFonts w:ascii="Book Antiqua" w:hAnsi="Book Antiqua"/>
        </w:rPr>
        <w:t xml:space="preserve">, </w:t>
      </w:r>
      <w:proofErr w:type="spellStart"/>
      <w:r w:rsidRPr="005E5D86">
        <w:rPr>
          <w:rFonts w:ascii="Book Antiqua" w:hAnsi="Book Antiqua"/>
        </w:rPr>
        <w:t>Hagström</w:t>
      </w:r>
      <w:proofErr w:type="spellEnd"/>
      <w:r w:rsidRPr="005E5D86">
        <w:rPr>
          <w:rFonts w:ascii="Book Antiqua" w:hAnsi="Book Antiqua"/>
        </w:rPr>
        <w:t xml:space="preserve"> H, Nasr P, </w:t>
      </w:r>
      <w:proofErr w:type="spellStart"/>
      <w:r w:rsidRPr="005E5D86">
        <w:rPr>
          <w:rFonts w:ascii="Book Antiqua" w:hAnsi="Book Antiqua"/>
        </w:rPr>
        <w:t>Fredrikson</w:t>
      </w:r>
      <w:proofErr w:type="spellEnd"/>
      <w:r w:rsidRPr="005E5D86">
        <w:rPr>
          <w:rFonts w:ascii="Book Antiqua" w:hAnsi="Book Antiqua"/>
        </w:rPr>
        <w:t xml:space="preserve"> M, </w:t>
      </w:r>
      <w:proofErr w:type="spellStart"/>
      <w:r w:rsidRPr="005E5D86">
        <w:rPr>
          <w:rFonts w:ascii="Book Antiqua" w:hAnsi="Book Antiqua"/>
        </w:rPr>
        <w:t>Stål</w:t>
      </w:r>
      <w:proofErr w:type="spellEnd"/>
      <w:r w:rsidRPr="005E5D86">
        <w:rPr>
          <w:rFonts w:ascii="Book Antiqua" w:hAnsi="Book Antiqua"/>
        </w:rPr>
        <w:t xml:space="preserve"> P, </w:t>
      </w:r>
      <w:proofErr w:type="spellStart"/>
      <w:r w:rsidRPr="005E5D86">
        <w:rPr>
          <w:rFonts w:ascii="Book Antiqua" w:hAnsi="Book Antiqua"/>
        </w:rPr>
        <w:t>Kechagias</w:t>
      </w:r>
      <w:proofErr w:type="spellEnd"/>
      <w:r w:rsidRPr="005E5D86">
        <w:rPr>
          <w:rFonts w:ascii="Book Antiqua" w:hAnsi="Book Antiqua"/>
        </w:rPr>
        <w:t xml:space="preserve"> S, </w:t>
      </w:r>
      <w:proofErr w:type="spellStart"/>
      <w:r w:rsidRPr="005E5D86">
        <w:rPr>
          <w:rFonts w:ascii="Book Antiqua" w:hAnsi="Book Antiqua"/>
        </w:rPr>
        <w:t>Hultcrantz</w:t>
      </w:r>
      <w:proofErr w:type="spellEnd"/>
      <w:r w:rsidRPr="005E5D86">
        <w:rPr>
          <w:rFonts w:ascii="Book Antiqua" w:hAnsi="Book Antiqua"/>
        </w:rPr>
        <w:t xml:space="preserve"> R. Fibrosis stage is the strongest predictor for disease-specific mortality in NAFLD after up to 33 years of follow-up. </w:t>
      </w:r>
      <w:r w:rsidRPr="005E5D86">
        <w:rPr>
          <w:rFonts w:ascii="Book Antiqua" w:hAnsi="Book Antiqua"/>
          <w:i/>
        </w:rPr>
        <w:t>Hepatology</w:t>
      </w:r>
      <w:r w:rsidRPr="005E5D86">
        <w:rPr>
          <w:rFonts w:ascii="Book Antiqua" w:hAnsi="Book Antiqua"/>
        </w:rPr>
        <w:t xml:space="preserve"> 2015; </w:t>
      </w:r>
      <w:r w:rsidRPr="005E5D86">
        <w:rPr>
          <w:rFonts w:ascii="Book Antiqua" w:hAnsi="Book Antiqua"/>
          <w:b/>
        </w:rPr>
        <w:t>61</w:t>
      </w:r>
      <w:r w:rsidRPr="005E5D86">
        <w:rPr>
          <w:rFonts w:ascii="Book Antiqua" w:hAnsi="Book Antiqua"/>
        </w:rPr>
        <w:t>: 1547-1554 [PMID: 25125077 DOI: 10.1002/hep.27368]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8 </w:t>
      </w:r>
      <w:proofErr w:type="spellStart"/>
      <w:r w:rsidRPr="005E5D86">
        <w:rPr>
          <w:rFonts w:ascii="Book Antiqua" w:hAnsi="Book Antiqua"/>
          <w:b/>
        </w:rPr>
        <w:t>Söderberg</w:t>
      </w:r>
      <w:proofErr w:type="spellEnd"/>
      <w:r w:rsidRPr="005E5D86">
        <w:rPr>
          <w:rFonts w:ascii="Book Antiqua" w:hAnsi="Book Antiqua"/>
          <w:b/>
        </w:rPr>
        <w:t xml:space="preserve"> C</w:t>
      </w:r>
      <w:r w:rsidRPr="005E5D86">
        <w:rPr>
          <w:rFonts w:ascii="Book Antiqua" w:hAnsi="Book Antiqua"/>
        </w:rPr>
        <w:t xml:space="preserve">, </w:t>
      </w:r>
      <w:proofErr w:type="spellStart"/>
      <w:r w:rsidRPr="005E5D86">
        <w:rPr>
          <w:rFonts w:ascii="Book Antiqua" w:hAnsi="Book Antiqua"/>
        </w:rPr>
        <w:t>Stål</w:t>
      </w:r>
      <w:proofErr w:type="spellEnd"/>
      <w:r w:rsidRPr="005E5D86">
        <w:rPr>
          <w:rFonts w:ascii="Book Antiqua" w:hAnsi="Book Antiqua"/>
        </w:rPr>
        <w:t xml:space="preserve"> P, </w:t>
      </w:r>
      <w:proofErr w:type="spellStart"/>
      <w:r w:rsidRPr="005E5D86">
        <w:rPr>
          <w:rFonts w:ascii="Book Antiqua" w:hAnsi="Book Antiqua"/>
        </w:rPr>
        <w:t>Askling</w:t>
      </w:r>
      <w:proofErr w:type="spellEnd"/>
      <w:r w:rsidRPr="005E5D86">
        <w:rPr>
          <w:rFonts w:ascii="Book Antiqua" w:hAnsi="Book Antiqua"/>
        </w:rPr>
        <w:t xml:space="preserve"> J, </w:t>
      </w:r>
      <w:proofErr w:type="spellStart"/>
      <w:r w:rsidRPr="005E5D86">
        <w:rPr>
          <w:rFonts w:ascii="Book Antiqua" w:hAnsi="Book Antiqua"/>
        </w:rPr>
        <w:t>Glaumann</w:t>
      </w:r>
      <w:proofErr w:type="spellEnd"/>
      <w:r w:rsidRPr="005E5D86">
        <w:rPr>
          <w:rFonts w:ascii="Book Antiqua" w:hAnsi="Book Antiqua"/>
        </w:rPr>
        <w:t xml:space="preserve"> H, Lindberg G, </w:t>
      </w:r>
      <w:proofErr w:type="spellStart"/>
      <w:r w:rsidRPr="005E5D86">
        <w:rPr>
          <w:rFonts w:ascii="Book Antiqua" w:hAnsi="Book Antiqua"/>
        </w:rPr>
        <w:t>Marmur</w:t>
      </w:r>
      <w:proofErr w:type="spellEnd"/>
      <w:r w:rsidRPr="005E5D86">
        <w:rPr>
          <w:rFonts w:ascii="Book Antiqua" w:hAnsi="Book Antiqua"/>
        </w:rPr>
        <w:t xml:space="preserve"> J, </w:t>
      </w:r>
      <w:proofErr w:type="spellStart"/>
      <w:r w:rsidRPr="005E5D86">
        <w:rPr>
          <w:rFonts w:ascii="Book Antiqua" w:hAnsi="Book Antiqua"/>
        </w:rPr>
        <w:t>Hultcrantz</w:t>
      </w:r>
      <w:proofErr w:type="spellEnd"/>
      <w:r w:rsidRPr="005E5D86">
        <w:rPr>
          <w:rFonts w:ascii="Book Antiqua" w:hAnsi="Book Antiqua"/>
        </w:rPr>
        <w:t xml:space="preserve"> R. Decreased survival of subjects with elevated liver function tests during a 28-year follow-up. </w:t>
      </w:r>
      <w:r w:rsidRPr="005E5D86">
        <w:rPr>
          <w:rFonts w:ascii="Book Antiqua" w:hAnsi="Book Antiqua"/>
          <w:i/>
        </w:rPr>
        <w:t>Hepatology</w:t>
      </w:r>
      <w:r w:rsidRPr="005E5D86">
        <w:rPr>
          <w:rFonts w:ascii="Book Antiqua" w:hAnsi="Book Antiqua"/>
        </w:rPr>
        <w:t xml:space="preserve"> 2010; </w:t>
      </w:r>
      <w:r w:rsidRPr="005E5D86">
        <w:rPr>
          <w:rFonts w:ascii="Book Antiqua" w:hAnsi="Book Antiqua"/>
          <w:b/>
        </w:rPr>
        <w:t>51</w:t>
      </w:r>
      <w:r w:rsidRPr="005E5D86">
        <w:rPr>
          <w:rFonts w:ascii="Book Antiqua" w:hAnsi="Book Antiqua"/>
        </w:rPr>
        <w:t>: 595-602 [PMID: 20014114 DOI: 10.1002/hep.23314]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9 </w:t>
      </w:r>
      <w:proofErr w:type="spellStart"/>
      <w:r w:rsidRPr="005E5D86">
        <w:rPr>
          <w:rFonts w:ascii="Book Antiqua" w:hAnsi="Book Antiqua"/>
          <w:b/>
        </w:rPr>
        <w:t>Angulo</w:t>
      </w:r>
      <w:proofErr w:type="spellEnd"/>
      <w:r w:rsidRPr="005E5D86">
        <w:rPr>
          <w:rFonts w:ascii="Book Antiqua" w:hAnsi="Book Antiqua"/>
          <w:b/>
        </w:rPr>
        <w:t xml:space="preserve"> P</w:t>
      </w:r>
      <w:r w:rsidRPr="005E5D86">
        <w:rPr>
          <w:rFonts w:ascii="Book Antiqua" w:hAnsi="Book Antiqua"/>
        </w:rPr>
        <w:t xml:space="preserve">, </w:t>
      </w:r>
      <w:proofErr w:type="spellStart"/>
      <w:r w:rsidRPr="005E5D86">
        <w:rPr>
          <w:rFonts w:ascii="Book Antiqua" w:hAnsi="Book Antiqua"/>
        </w:rPr>
        <w:t>Kleiner</w:t>
      </w:r>
      <w:proofErr w:type="spellEnd"/>
      <w:r w:rsidRPr="005E5D86">
        <w:rPr>
          <w:rFonts w:ascii="Book Antiqua" w:hAnsi="Book Antiqua"/>
        </w:rPr>
        <w:t xml:space="preserve"> DE, Dam-Larsen S, Adams LA, </w:t>
      </w:r>
      <w:proofErr w:type="spellStart"/>
      <w:r w:rsidRPr="005E5D86">
        <w:rPr>
          <w:rFonts w:ascii="Book Antiqua" w:hAnsi="Book Antiqua"/>
        </w:rPr>
        <w:t>Bjornsson</w:t>
      </w:r>
      <w:proofErr w:type="spellEnd"/>
      <w:r w:rsidRPr="005E5D86">
        <w:rPr>
          <w:rFonts w:ascii="Book Antiqua" w:hAnsi="Book Antiqua"/>
        </w:rPr>
        <w:t xml:space="preserve"> ES, </w:t>
      </w:r>
      <w:proofErr w:type="spellStart"/>
      <w:r w:rsidRPr="005E5D86">
        <w:rPr>
          <w:rFonts w:ascii="Book Antiqua" w:hAnsi="Book Antiqua"/>
        </w:rPr>
        <w:t>Charatcharoenwitthaya</w:t>
      </w:r>
      <w:proofErr w:type="spellEnd"/>
      <w:r w:rsidRPr="005E5D86">
        <w:rPr>
          <w:rFonts w:ascii="Book Antiqua" w:hAnsi="Book Antiqua"/>
        </w:rPr>
        <w:t xml:space="preserve"> P, Mills PR, </w:t>
      </w:r>
      <w:proofErr w:type="spellStart"/>
      <w:r w:rsidRPr="005E5D86">
        <w:rPr>
          <w:rFonts w:ascii="Book Antiqua" w:hAnsi="Book Antiqua"/>
        </w:rPr>
        <w:t>Keach</w:t>
      </w:r>
      <w:proofErr w:type="spellEnd"/>
      <w:r w:rsidRPr="005E5D86">
        <w:rPr>
          <w:rFonts w:ascii="Book Antiqua" w:hAnsi="Book Antiqua"/>
        </w:rPr>
        <w:t xml:space="preserve"> JC, Lafferty HD, </w:t>
      </w:r>
      <w:proofErr w:type="spellStart"/>
      <w:r w:rsidRPr="005E5D86">
        <w:rPr>
          <w:rFonts w:ascii="Book Antiqua" w:hAnsi="Book Antiqua"/>
        </w:rPr>
        <w:t>Stahler</w:t>
      </w:r>
      <w:proofErr w:type="spellEnd"/>
      <w:r w:rsidRPr="005E5D86">
        <w:rPr>
          <w:rFonts w:ascii="Book Antiqua" w:hAnsi="Book Antiqua"/>
        </w:rPr>
        <w:t xml:space="preserve"> A, </w:t>
      </w:r>
      <w:proofErr w:type="spellStart"/>
      <w:r w:rsidRPr="005E5D86">
        <w:rPr>
          <w:rFonts w:ascii="Book Antiqua" w:hAnsi="Book Antiqua"/>
        </w:rPr>
        <w:t>Haflidadottir</w:t>
      </w:r>
      <w:proofErr w:type="spellEnd"/>
      <w:r w:rsidRPr="005E5D86">
        <w:rPr>
          <w:rFonts w:ascii="Book Antiqua" w:hAnsi="Book Antiqua"/>
        </w:rPr>
        <w:t xml:space="preserve"> S, </w:t>
      </w:r>
      <w:proofErr w:type="spellStart"/>
      <w:r w:rsidRPr="005E5D86">
        <w:rPr>
          <w:rFonts w:ascii="Book Antiqua" w:hAnsi="Book Antiqua"/>
        </w:rPr>
        <w:t>Bendtsen</w:t>
      </w:r>
      <w:proofErr w:type="spellEnd"/>
      <w:r w:rsidRPr="005E5D86">
        <w:rPr>
          <w:rFonts w:ascii="Book Antiqua" w:hAnsi="Book Antiqua"/>
        </w:rPr>
        <w:t xml:space="preserve"> F. Liver Fibrosis, but No Other Histologic Features, Is Associated With Long-term Outcomes of Patients With Nonalcoholic Fatty Liver Disease. </w:t>
      </w:r>
      <w:r w:rsidRPr="005E5D86">
        <w:rPr>
          <w:rFonts w:ascii="Book Antiqua" w:hAnsi="Book Antiqua"/>
          <w:i/>
        </w:rPr>
        <w:t>Gastroenterology</w:t>
      </w:r>
      <w:r w:rsidRPr="005E5D86">
        <w:rPr>
          <w:rFonts w:ascii="Book Antiqua" w:hAnsi="Book Antiqua"/>
        </w:rPr>
        <w:t xml:space="preserve"> 2015; </w:t>
      </w:r>
      <w:r w:rsidRPr="005E5D86">
        <w:rPr>
          <w:rFonts w:ascii="Book Antiqua" w:hAnsi="Book Antiqua"/>
          <w:b/>
        </w:rPr>
        <w:t>149</w:t>
      </w:r>
      <w:r w:rsidRPr="005E5D86">
        <w:rPr>
          <w:rFonts w:ascii="Book Antiqua" w:hAnsi="Book Antiqua"/>
        </w:rPr>
        <w:t>: 389-97.e10 [PMID: 25935633 DOI: 10.1053/j.gastro.2015.04.043]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10 </w:t>
      </w:r>
      <w:proofErr w:type="spellStart"/>
      <w:r w:rsidRPr="005E5D86">
        <w:rPr>
          <w:rFonts w:ascii="Book Antiqua" w:hAnsi="Book Antiqua"/>
          <w:b/>
        </w:rPr>
        <w:t>Salvi</w:t>
      </w:r>
      <w:proofErr w:type="spellEnd"/>
      <w:r w:rsidRPr="005E5D86">
        <w:rPr>
          <w:rFonts w:ascii="Book Antiqua" w:hAnsi="Book Antiqua"/>
          <w:b/>
        </w:rPr>
        <w:t xml:space="preserve"> P</w:t>
      </w:r>
      <w:r w:rsidRPr="005E5D86">
        <w:rPr>
          <w:rFonts w:ascii="Book Antiqua" w:hAnsi="Book Antiqua"/>
        </w:rPr>
        <w:t xml:space="preserve">, </w:t>
      </w:r>
      <w:proofErr w:type="spellStart"/>
      <w:r w:rsidRPr="005E5D86">
        <w:rPr>
          <w:rFonts w:ascii="Book Antiqua" w:hAnsi="Book Antiqua"/>
        </w:rPr>
        <w:t>Ruffini</w:t>
      </w:r>
      <w:proofErr w:type="spellEnd"/>
      <w:r w:rsidRPr="005E5D86">
        <w:rPr>
          <w:rFonts w:ascii="Book Antiqua" w:hAnsi="Book Antiqua"/>
        </w:rPr>
        <w:t xml:space="preserve"> R, </w:t>
      </w:r>
      <w:proofErr w:type="spellStart"/>
      <w:r w:rsidRPr="005E5D86">
        <w:rPr>
          <w:rFonts w:ascii="Book Antiqua" w:hAnsi="Book Antiqua"/>
        </w:rPr>
        <w:t>Agnoletti</w:t>
      </w:r>
      <w:proofErr w:type="spellEnd"/>
      <w:r w:rsidRPr="005E5D86">
        <w:rPr>
          <w:rFonts w:ascii="Book Antiqua" w:hAnsi="Book Antiqua"/>
        </w:rPr>
        <w:t xml:space="preserve"> D, </w:t>
      </w:r>
      <w:proofErr w:type="spellStart"/>
      <w:r w:rsidRPr="005E5D86">
        <w:rPr>
          <w:rFonts w:ascii="Book Antiqua" w:hAnsi="Book Antiqua"/>
        </w:rPr>
        <w:t>Magnani</w:t>
      </w:r>
      <w:proofErr w:type="spellEnd"/>
      <w:r w:rsidRPr="005E5D86">
        <w:rPr>
          <w:rFonts w:ascii="Book Antiqua" w:hAnsi="Book Antiqua"/>
        </w:rPr>
        <w:t xml:space="preserve"> E, </w:t>
      </w:r>
      <w:proofErr w:type="spellStart"/>
      <w:r w:rsidRPr="005E5D86">
        <w:rPr>
          <w:rFonts w:ascii="Book Antiqua" w:hAnsi="Book Antiqua"/>
        </w:rPr>
        <w:t>Pagliarani</w:t>
      </w:r>
      <w:proofErr w:type="spellEnd"/>
      <w:r w:rsidRPr="005E5D86">
        <w:rPr>
          <w:rFonts w:ascii="Book Antiqua" w:hAnsi="Book Antiqua"/>
        </w:rPr>
        <w:t xml:space="preserve"> G, </w:t>
      </w:r>
      <w:proofErr w:type="spellStart"/>
      <w:r w:rsidRPr="005E5D86">
        <w:rPr>
          <w:rFonts w:ascii="Book Antiqua" w:hAnsi="Book Antiqua"/>
        </w:rPr>
        <w:t>Comandini</w:t>
      </w:r>
      <w:proofErr w:type="spellEnd"/>
      <w:r w:rsidRPr="005E5D86">
        <w:rPr>
          <w:rFonts w:ascii="Book Antiqua" w:hAnsi="Book Antiqua"/>
        </w:rPr>
        <w:t xml:space="preserve"> G, </w:t>
      </w:r>
      <w:proofErr w:type="spellStart"/>
      <w:r w:rsidRPr="005E5D86">
        <w:rPr>
          <w:rFonts w:ascii="Book Antiqua" w:hAnsi="Book Antiqua"/>
        </w:rPr>
        <w:t>Praticò</w:t>
      </w:r>
      <w:proofErr w:type="spellEnd"/>
      <w:r w:rsidRPr="005E5D86">
        <w:rPr>
          <w:rFonts w:ascii="Book Antiqua" w:hAnsi="Book Antiqua"/>
        </w:rPr>
        <w:t xml:space="preserve"> A, </w:t>
      </w:r>
      <w:proofErr w:type="spellStart"/>
      <w:r w:rsidRPr="005E5D86">
        <w:rPr>
          <w:rFonts w:ascii="Book Antiqua" w:hAnsi="Book Antiqua"/>
        </w:rPr>
        <w:t>Borghi</w:t>
      </w:r>
      <w:proofErr w:type="spellEnd"/>
      <w:r w:rsidRPr="005E5D86">
        <w:rPr>
          <w:rFonts w:ascii="Book Antiqua" w:hAnsi="Book Antiqua"/>
        </w:rPr>
        <w:t xml:space="preserve"> C, </w:t>
      </w:r>
      <w:proofErr w:type="spellStart"/>
      <w:r w:rsidRPr="005E5D86">
        <w:rPr>
          <w:rFonts w:ascii="Book Antiqua" w:hAnsi="Book Antiqua"/>
        </w:rPr>
        <w:t>Benetos</w:t>
      </w:r>
      <w:proofErr w:type="spellEnd"/>
      <w:r w:rsidRPr="005E5D86">
        <w:rPr>
          <w:rFonts w:ascii="Book Antiqua" w:hAnsi="Book Antiqua"/>
        </w:rPr>
        <w:t xml:space="preserve"> A, </w:t>
      </w:r>
      <w:proofErr w:type="spellStart"/>
      <w:r w:rsidRPr="005E5D86">
        <w:rPr>
          <w:rFonts w:ascii="Book Antiqua" w:hAnsi="Book Antiqua"/>
        </w:rPr>
        <w:t>Pazzi</w:t>
      </w:r>
      <w:proofErr w:type="spellEnd"/>
      <w:r w:rsidRPr="005E5D86">
        <w:rPr>
          <w:rFonts w:ascii="Book Antiqua" w:hAnsi="Book Antiqua"/>
        </w:rPr>
        <w:t xml:space="preserve"> P. Increased arterial stiffness in nonalcoholic fatty liver disease: the Cardio-GOOSE study. </w:t>
      </w:r>
      <w:r w:rsidRPr="005E5D86">
        <w:rPr>
          <w:rFonts w:ascii="Book Antiqua" w:hAnsi="Book Antiqua"/>
          <w:i/>
        </w:rPr>
        <w:t xml:space="preserve">J </w:t>
      </w:r>
      <w:proofErr w:type="spellStart"/>
      <w:r w:rsidRPr="005E5D86">
        <w:rPr>
          <w:rFonts w:ascii="Book Antiqua" w:hAnsi="Book Antiqua"/>
          <w:i/>
        </w:rPr>
        <w:t>Hypertens</w:t>
      </w:r>
      <w:proofErr w:type="spellEnd"/>
      <w:r w:rsidRPr="005E5D86">
        <w:rPr>
          <w:rFonts w:ascii="Book Antiqua" w:hAnsi="Book Antiqua"/>
        </w:rPr>
        <w:t xml:space="preserve"> 2010; </w:t>
      </w:r>
      <w:r w:rsidRPr="005E5D86">
        <w:rPr>
          <w:rFonts w:ascii="Book Antiqua" w:hAnsi="Book Antiqua"/>
          <w:b/>
        </w:rPr>
        <w:t>28</w:t>
      </w:r>
      <w:r w:rsidRPr="005E5D86">
        <w:rPr>
          <w:rFonts w:ascii="Book Antiqua" w:hAnsi="Book Antiqua"/>
        </w:rPr>
        <w:t>: 1699-1707 [PMID: 20467324 DOI: 10.1097/HJH.0b013e32833a7de6]</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11 </w:t>
      </w:r>
      <w:proofErr w:type="spellStart"/>
      <w:r w:rsidRPr="005E5D86">
        <w:rPr>
          <w:rFonts w:ascii="Book Antiqua" w:hAnsi="Book Antiqua"/>
          <w:b/>
        </w:rPr>
        <w:t>Mellinger</w:t>
      </w:r>
      <w:proofErr w:type="spellEnd"/>
      <w:r w:rsidRPr="005E5D86">
        <w:rPr>
          <w:rFonts w:ascii="Book Antiqua" w:hAnsi="Book Antiqua"/>
          <w:b/>
        </w:rPr>
        <w:t xml:space="preserve"> JL</w:t>
      </w:r>
      <w:r w:rsidRPr="005E5D86">
        <w:rPr>
          <w:rFonts w:ascii="Book Antiqua" w:hAnsi="Book Antiqua"/>
        </w:rPr>
        <w:t xml:space="preserve">, </w:t>
      </w:r>
      <w:proofErr w:type="spellStart"/>
      <w:r w:rsidRPr="005E5D86">
        <w:rPr>
          <w:rFonts w:ascii="Book Antiqua" w:hAnsi="Book Antiqua"/>
        </w:rPr>
        <w:t>Pencina</w:t>
      </w:r>
      <w:proofErr w:type="spellEnd"/>
      <w:r w:rsidRPr="005E5D86">
        <w:rPr>
          <w:rFonts w:ascii="Book Antiqua" w:hAnsi="Book Antiqua"/>
        </w:rPr>
        <w:t xml:space="preserve"> KM, </w:t>
      </w:r>
      <w:proofErr w:type="spellStart"/>
      <w:r w:rsidRPr="005E5D86">
        <w:rPr>
          <w:rFonts w:ascii="Book Antiqua" w:hAnsi="Book Antiqua"/>
        </w:rPr>
        <w:t>Massaro</w:t>
      </w:r>
      <w:proofErr w:type="spellEnd"/>
      <w:r w:rsidRPr="005E5D86">
        <w:rPr>
          <w:rFonts w:ascii="Book Antiqua" w:hAnsi="Book Antiqua"/>
        </w:rPr>
        <w:t xml:space="preserve"> JM, Hoffmann U, Seshadri S, Fox CS, O'Donnell CJ, </w:t>
      </w:r>
      <w:proofErr w:type="spellStart"/>
      <w:r w:rsidRPr="005E5D86">
        <w:rPr>
          <w:rFonts w:ascii="Book Antiqua" w:hAnsi="Book Antiqua"/>
        </w:rPr>
        <w:t>Speliotes</w:t>
      </w:r>
      <w:proofErr w:type="spellEnd"/>
      <w:r w:rsidRPr="005E5D86">
        <w:rPr>
          <w:rFonts w:ascii="Book Antiqua" w:hAnsi="Book Antiqua"/>
        </w:rPr>
        <w:t xml:space="preserve"> EK. Hepatic steatosis and cardiovascular disease outcomes: An analysis of the Framingham Heart Study.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2015; </w:t>
      </w:r>
      <w:r w:rsidRPr="005E5D86">
        <w:rPr>
          <w:rFonts w:ascii="Book Antiqua" w:hAnsi="Book Antiqua"/>
          <w:b/>
        </w:rPr>
        <w:t>63</w:t>
      </w:r>
      <w:r w:rsidRPr="005E5D86">
        <w:rPr>
          <w:rFonts w:ascii="Book Antiqua" w:hAnsi="Book Antiqua"/>
        </w:rPr>
        <w:t>: 470-476 [PMID: 25776891 DOI: 10.1016/j.jhep.2015.02.045]</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12 </w:t>
      </w:r>
      <w:r w:rsidRPr="005E5D86">
        <w:rPr>
          <w:rFonts w:ascii="Book Antiqua" w:hAnsi="Book Antiqua"/>
          <w:b/>
        </w:rPr>
        <w:t>Lee YJ</w:t>
      </w:r>
      <w:r w:rsidRPr="005E5D86">
        <w:rPr>
          <w:rFonts w:ascii="Book Antiqua" w:hAnsi="Book Antiqua"/>
        </w:rPr>
        <w:t xml:space="preserve">, Shim JY, Moon BS, Shin YH, Jung DH, Lee JH, Lee HR. </w:t>
      </w:r>
      <w:proofErr w:type="gramStart"/>
      <w:r w:rsidRPr="005E5D86">
        <w:rPr>
          <w:rFonts w:ascii="Book Antiqua" w:hAnsi="Book Antiqua"/>
        </w:rPr>
        <w:t>The relationship between arterial stiffness and nonalcoholic fatty liver disease.</w:t>
      </w:r>
      <w:proofErr w:type="gramEnd"/>
      <w:r w:rsidRPr="005E5D86">
        <w:rPr>
          <w:rFonts w:ascii="Book Antiqua" w:hAnsi="Book Antiqua"/>
        </w:rPr>
        <w:t xml:space="preserve"> </w:t>
      </w:r>
      <w:r w:rsidRPr="005E5D86">
        <w:rPr>
          <w:rFonts w:ascii="Book Antiqua" w:hAnsi="Book Antiqua"/>
          <w:i/>
        </w:rPr>
        <w:t>Dig Dis Sci</w:t>
      </w:r>
      <w:r w:rsidRPr="005E5D86">
        <w:rPr>
          <w:rFonts w:ascii="Book Antiqua" w:hAnsi="Book Antiqua"/>
        </w:rPr>
        <w:t xml:space="preserve"> 2012; </w:t>
      </w:r>
      <w:r w:rsidRPr="005E5D86">
        <w:rPr>
          <w:rFonts w:ascii="Book Antiqua" w:hAnsi="Book Antiqua"/>
          <w:b/>
        </w:rPr>
        <w:t>57</w:t>
      </w:r>
      <w:r w:rsidRPr="005E5D86">
        <w:rPr>
          <w:rFonts w:ascii="Book Antiqua" w:hAnsi="Book Antiqua"/>
        </w:rPr>
        <w:t>: 196-203 [PMID: 21750929 DOI: 10.1007/s10620-011-1819-3]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13 </w:t>
      </w:r>
      <w:proofErr w:type="spellStart"/>
      <w:r w:rsidRPr="005E5D86">
        <w:rPr>
          <w:rFonts w:ascii="Book Antiqua" w:hAnsi="Book Antiqua"/>
          <w:b/>
        </w:rPr>
        <w:t>Sookoian</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Pirola</w:t>
      </w:r>
      <w:proofErr w:type="spellEnd"/>
      <w:r w:rsidRPr="005E5D86">
        <w:rPr>
          <w:rFonts w:ascii="Book Antiqua" w:hAnsi="Book Antiqua"/>
        </w:rPr>
        <w:t xml:space="preserve"> CJ. Non-alcoholic fatty liver disease is strongly associated with carotid atherosclerosis: a systematic review.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2008; </w:t>
      </w:r>
      <w:r w:rsidRPr="005E5D86">
        <w:rPr>
          <w:rFonts w:ascii="Book Antiqua" w:hAnsi="Book Antiqua"/>
          <w:b/>
        </w:rPr>
        <w:t>49</w:t>
      </w:r>
      <w:r w:rsidRPr="005E5D86">
        <w:rPr>
          <w:rFonts w:ascii="Book Antiqua" w:hAnsi="Book Antiqua"/>
        </w:rPr>
        <w:t>: 600-607 [PMID: 18672311 DOI: 10.1016/j.jhep.2008.06.012]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14 </w:t>
      </w:r>
      <w:r w:rsidRPr="005E5D86">
        <w:rPr>
          <w:rFonts w:ascii="Book Antiqua" w:hAnsi="Book Antiqua"/>
          <w:b/>
        </w:rPr>
        <w:t>Ong JP</w:t>
      </w:r>
      <w:r w:rsidRPr="005E5D86">
        <w:rPr>
          <w:rFonts w:ascii="Book Antiqua" w:hAnsi="Book Antiqua"/>
        </w:rPr>
        <w:t xml:space="preserve">, Pitts A, </w:t>
      </w:r>
      <w:proofErr w:type="spellStart"/>
      <w:r w:rsidRPr="005E5D86">
        <w:rPr>
          <w:rFonts w:ascii="Book Antiqua" w:hAnsi="Book Antiqua"/>
        </w:rPr>
        <w:t>Younossi</w:t>
      </w:r>
      <w:proofErr w:type="spellEnd"/>
      <w:r w:rsidRPr="005E5D86">
        <w:rPr>
          <w:rFonts w:ascii="Book Antiqua" w:hAnsi="Book Antiqua"/>
        </w:rPr>
        <w:t xml:space="preserve"> ZM. </w:t>
      </w:r>
      <w:proofErr w:type="gramStart"/>
      <w:r w:rsidRPr="005E5D86">
        <w:rPr>
          <w:rFonts w:ascii="Book Antiqua" w:hAnsi="Book Antiqua"/>
        </w:rPr>
        <w:t>Increased overall mortality and liver-related mortality in non-alcoholic fatty liver disease.</w:t>
      </w:r>
      <w:proofErr w:type="gramEnd"/>
      <w:r w:rsidRPr="005E5D86">
        <w:rPr>
          <w:rFonts w:ascii="Book Antiqua" w:hAnsi="Book Antiqua"/>
        </w:rPr>
        <w:t xml:space="preserve">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2008; </w:t>
      </w:r>
      <w:r w:rsidRPr="005E5D86">
        <w:rPr>
          <w:rFonts w:ascii="Book Antiqua" w:hAnsi="Book Antiqua"/>
          <w:b/>
        </w:rPr>
        <w:t>49</w:t>
      </w:r>
      <w:r w:rsidRPr="005E5D86">
        <w:rPr>
          <w:rFonts w:ascii="Book Antiqua" w:hAnsi="Book Antiqua"/>
        </w:rPr>
        <w:t>: 608-612 [PMID: 18682312 DOI: 10.1016/j.jhep.2008.06.018]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15 </w:t>
      </w:r>
      <w:r w:rsidRPr="005E5D86">
        <w:rPr>
          <w:rFonts w:ascii="Book Antiqua" w:hAnsi="Book Antiqua"/>
          <w:b/>
        </w:rPr>
        <w:t>Villanova N</w:t>
      </w:r>
      <w:r w:rsidRPr="005E5D86">
        <w:rPr>
          <w:rFonts w:ascii="Book Antiqua" w:hAnsi="Book Antiqua"/>
        </w:rPr>
        <w:t xml:space="preserve">, </w:t>
      </w:r>
      <w:proofErr w:type="spellStart"/>
      <w:r w:rsidRPr="005E5D86">
        <w:rPr>
          <w:rFonts w:ascii="Book Antiqua" w:hAnsi="Book Antiqua"/>
        </w:rPr>
        <w:t>Moscatiello</w:t>
      </w:r>
      <w:proofErr w:type="spellEnd"/>
      <w:r w:rsidRPr="005E5D86">
        <w:rPr>
          <w:rFonts w:ascii="Book Antiqua" w:hAnsi="Book Antiqua"/>
        </w:rPr>
        <w:t xml:space="preserve"> S, </w:t>
      </w:r>
      <w:proofErr w:type="spellStart"/>
      <w:r w:rsidRPr="005E5D86">
        <w:rPr>
          <w:rFonts w:ascii="Book Antiqua" w:hAnsi="Book Antiqua"/>
        </w:rPr>
        <w:t>Ramilli</w:t>
      </w:r>
      <w:proofErr w:type="spellEnd"/>
      <w:r w:rsidRPr="005E5D86">
        <w:rPr>
          <w:rFonts w:ascii="Book Antiqua" w:hAnsi="Book Antiqua"/>
        </w:rPr>
        <w:t xml:space="preserve"> S, </w:t>
      </w:r>
      <w:proofErr w:type="spellStart"/>
      <w:r w:rsidRPr="005E5D86">
        <w:rPr>
          <w:rFonts w:ascii="Book Antiqua" w:hAnsi="Book Antiqua"/>
        </w:rPr>
        <w:t>Bugianesi</w:t>
      </w:r>
      <w:proofErr w:type="spellEnd"/>
      <w:r w:rsidRPr="005E5D86">
        <w:rPr>
          <w:rFonts w:ascii="Book Antiqua" w:hAnsi="Book Antiqua"/>
        </w:rPr>
        <w:t xml:space="preserve"> E, </w:t>
      </w:r>
      <w:proofErr w:type="spellStart"/>
      <w:r w:rsidRPr="005E5D86">
        <w:rPr>
          <w:rFonts w:ascii="Book Antiqua" w:hAnsi="Book Antiqua"/>
        </w:rPr>
        <w:t>Magalotti</w:t>
      </w:r>
      <w:proofErr w:type="spellEnd"/>
      <w:r w:rsidRPr="005E5D86">
        <w:rPr>
          <w:rFonts w:ascii="Book Antiqua" w:hAnsi="Book Antiqua"/>
        </w:rPr>
        <w:t xml:space="preserve"> D, </w:t>
      </w:r>
      <w:proofErr w:type="spellStart"/>
      <w:r w:rsidRPr="005E5D86">
        <w:rPr>
          <w:rFonts w:ascii="Book Antiqua" w:hAnsi="Book Antiqua"/>
        </w:rPr>
        <w:t>Vanni</w:t>
      </w:r>
      <w:proofErr w:type="spellEnd"/>
      <w:r w:rsidRPr="005E5D86">
        <w:rPr>
          <w:rFonts w:ascii="Book Antiqua" w:hAnsi="Book Antiqua"/>
        </w:rPr>
        <w:t xml:space="preserve"> E, </w:t>
      </w:r>
      <w:proofErr w:type="spellStart"/>
      <w:r w:rsidRPr="005E5D86">
        <w:rPr>
          <w:rFonts w:ascii="Book Antiqua" w:hAnsi="Book Antiqua"/>
        </w:rPr>
        <w:t>Zoli</w:t>
      </w:r>
      <w:proofErr w:type="spellEnd"/>
      <w:r w:rsidRPr="005E5D86">
        <w:rPr>
          <w:rFonts w:ascii="Book Antiqua" w:hAnsi="Book Antiqua"/>
        </w:rPr>
        <w:t xml:space="preserve"> M, </w:t>
      </w:r>
      <w:proofErr w:type="spellStart"/>
      <w:r w:rsidRPr="005E5D86">
        <w:rPr>
          <w:rFonts w:ascii="Book Antiqua" w:hAnsi="Book Antiqua"/>
        </w:rPr>
        <w:t>Marchesini</w:t>
      </w:r>
      <w:proofErr w:type="spellEnd"/>
      <w:r w:rsidRPr="005E5D86">
        <w:rPr>
          <w:rFonts w:ascii="Book Antiqua" w:hAnsi="Book Antiqua"/>
        </w:rPr>
        <w:t xml:space="preserve"> G. Endothelial dysfunction and cardiovascular risk profile in nonalcoholic fatty liver disease. </w:t>
      </w:r>
      <w:r w:rsidRPr="005E5D86">
        <w:rPr>
          <w:rFonts w:ascii="Book Antiqua" w:hAnsi="Book Antiqua"/>
          <w:i/>
        </w:rPr>
        <w:t>Hepatology</w:t>
      </w:r>
      <w:r w:rsidRPr="005E5D86">
        <w:rPr>
          <w:rFonts w:ascii="Book Antiqua" w:hAnsi="Book Antiqua"/>
        </w:rPr>
        <w:t xml:space="preserve"> 2005; </w:t>
      </w:r>
      <w:r w:rsidRPr="005E5D86">
        <w:rPr>
          <w:rFonts w:ascii="Book Antiqua" w:hAnsi="Book Antiqua"/>
          <w:b/>
        </w:rPr>
        <w:t>42</w:t>
      </w:r>
      <w:r w:rsidRPr="005E5D86">
        <w:rPr>
          <w:rFonts w:ascii="Book Antiqua" w:hAnsi="Book Antiqua"/>
        </w:rPr>
        <w:t>: 473-480 [PMID: 15981216 DOI: 10.1002/hep.20781]</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16 </w:t>
      </w:r>
      <w:proofErr w:type="spellStart"/>
      <w:r w:rsidRPr="005E5D86">
        <w:rPr>
          <w:rFonts w:ascii="Book Antiqua" w:hAnsi="Book Antiqua"/>
          <w:b/>
        </w:rPr>
        <w:t>Sookoian</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Gianotti</w:t>
      </w:r>
      <w:proofErr w:type="spellEnd"/>
      <w:r w:rsidRPr="005E5D86">
        <w:rPr>
          <w:rFonts w:ascii="Book Antiqua" w:hAnsi="Book Antiqua"/>
        </w:rPr>
        <w:t xml:space="preserve"> TF, </w:t>
      </w:r>
      <w:proofErr w:type="spellStart"/>
      <w:r w:rsidRPr="005E5D86">
        <w:rPr>
          <w:rFonts w:ascii="Book Antiqua" w:hAnsi="Book Antiqua"/>
        </w:rPr>
        <w:t>Rosselli</w:t>
      </w:r>
      <w:proofErr w:type="spellEnd"/>
      <w:r w:rsidRPr="005E5D86">
        <w:rPr>
          <w:rFonts w:ascii="Book Antiqua" w:hAnsi="Book Antiqua"/>
        </w:rPr>
        <w:t xml:space="preserve"> MS, </w:t>
      </w:r>
      <w:proofErr w:type="spellStart"/>
      <w:r w:rsidRPr="005E5D86">
        <w:rPr>
          <w:rFonts w:ascii="Book Antiqua" w:hAnsi="Book Antiqua"/>
        </w:rPr>
        <w:t>Burgueño</w:t>
      </w:r>
      <w:proofErr w:type="spellEnd"/>
      <w:r w:rsidRPr="005E5D86">
        <w:rPr>
          <w:rFonts w:ascii="Book Antiqua" w:hAnsi="Book Antiqua"/>
        </w:rPr>
        <w:t xml:space="preserve"> AL, </w:t>
      </w:r>
      <w:proofErr w:type="spellStart"/>
      <w:r w:rsidRPr="005E5D86">
        <w:rPr>
          <w:rFonts w:ascii="Book Antiqua" w:hAnsi="Book Antiqua"/>
        </w:rPr>
        <w:t>Castaño</w:t>
      </w:r>
      <w:proofErr w:type="spellEnd"/>
      <w:r w:rsidRPr="005E5D86">
        <w:rPr>
          <w:rFonts w:ascii="Book Antiqua" w:hAnsi="Book Antiqua"/>
        </w:rPr>
        <w:t xml:space="preserve"> GO, </w:t>
      </w:r>
      <w:proofErr w:type="spellStart"/>
      <w:r w:rsidRPr="005E5D86">
        <w:rPr>
          <w:rFonts w:ascii="Book Antiqua" w:hAnsi="Book Antiqua"/>
        </w:rPr>
        <w:t>Pirola</w:t>
      </w:r>
      <w:proofErr w:type="spellEnd"/>
      <w:r w:rsidRPr="005E5D86">
        <w:rPr>
          <w:rFonts w:ascii="Book Antiqua" w:hAnsi="Book Antiqua"/>
        </w:rPr>
        <w:t xml:space="preserve"> CJ. </w:t>
      </w:r>
      <w:proofErr w:type="gramStart"/>
      <w:r w:rsidRPr="005E5D86">
        <w:rPr>
          <w:rFonts w:ascii="Book Antiqua" w:hAnsi="Book Antiqua"/>
        </w:rPr>
        <w:t>Liver transcriptional profile of atherosclerosis-related genes in human nonalcoholic fatty liver disease.</w:t>
      </w:r>
      <w:proofErr w:type="gramEnd"/>
      <w:r w:rsidRPr="005E5D86">
        <w:rPr>
          <w:rFonts w:ascii="Book Antiqua" w:hAnsi="Book Antiqua"/>
        </w:rPr>
        <w:t xml:space="preserve"> </w:t>
      </w:r>
      <w:r w:rsidRPr="005E5D86">
        <w:rPr>
          <w:rFonts w:ascii="Book Antiqua" w:hAnsi="Book Antiqua"/>
          <w:i/>
        </w:rPr>
        <w:t>Atherosclerosis</w:t>
      </w:r>
      <w:r w:rsidRPr="005E5D86">
        <w:rPr>
          <w:rFonts w:ascii="Book Antiqua" w:hAnsi="Book Antiqua"/>
        </w:rPr>
        <w:t xml:space="preserve"> 2011; </w:t>
      </w:r>
      <w:r w:rsidRPr="005E5D86">
        <w:rPr>
          <w:rFonts w:ascii="Book Antiqua" w:hAnsi="Book Antiqua"/>
          <w:b/>
        </w:rPr>
        <w:t>218</w:t>
      </w:r>
      <w:r w:rsidRPr="005E5D86">
        <w:rPr>
          <w:rFonts w:ascii="Book Antiqua" w:hAnsi="Book Antiqua"/>
        </w:rPr>
        <w:t>: 378-385 [PMID: 21664615 DOI: 10.1016/j.atherosclerosis.2011.05.014]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17 </w:t>
      </w:r>
      <w:proofErr w:type="spellStart"/>
      <w:r w:rsidRPr="005E5D86">
        <w:rPr>
          <w:rFonts w:ascii="Book Antiqua" w:hAnsi="Book Antiqua"/>
          <w:b/>
        </w:rPr>
        <w:t>Alkhouri</w:t>
      </w:r>
      <w:proofErr w:type="spellEnd"/>
      <w:r w:rsidRPr="005E5D86">
        <w:rPr>
          <w:rFonts w:ascii="Book Antiqua" w:hAnsi="Book Antiqua"/>
          <w:b/>
        </w:rPr>
        <w:t xml:space="preserve"> N</w:t>
      </w:r>
      <w:r w:rsidRPr="005E5D86">
        <w:rPr>
          <w:rFonts w:ascii="Book Antiqua" w:hAnsi="Book Antiqua"/>
        </w:rPr>
        <w:t xml:space="preserve">, </w:t>
      </w:r>
      <w:proofErr w:type="spellStart"/>
      <w:r w:rsidRPr="005E5D86">
        <w:rPr>
          <w:rFonts w:ascii="Book Antiqua" w:hAnsi="Book Antiqua"/>
        </w:rPr>
        <w:t>Tamimi</w:t>
      </w:r>
      <w:proofErr w:type="spellEnd"/>
      <w:r w:rsidRPr="005E5D86">
        <w:rPr>
          <w:rFonts w:ascii="Book Antiqua" w:hAnsi="Book Antiqua"/>
        </w:rPr>
        <w:t xml:space="preserve"> TA, </w:t>
      </w:r>
      <w:proofErr w:type="spellStart"/>
      <w:r w:rsidRPr="005E5D86">
        <w:rPr>
          <w:rFonts w:ascii="Book Antiqua" w:hAnsi="Book Antiqua"/>
        </w:rPr>
        <w:t>Yerian</w:t>
      </w:r>
      <w:proofErr w:type="spellEnd"/>
      <w:r w:rsidRPr="005E5D86">
        <w:rPr>
          <w:rFonts w:ascii="Book Antiqua" w:hAnsi="Book Antiqua"/>
        </w:rPr>
        <w:t xml:space="preserve"> L, Lopez R, </w:t>
      </w:r>
      <w:proofErr w:type="spellStart"/>
      <w:r w:rsidRPr="005E5D86">
        <w:rPr>
          <w:rFonts w:ascii="Book Antiqua" w:hAnsi="Book Antiqua"/>
        </w:rPr>
        <w:t>Zein</w:t>
      </w:r>
      <w:proofErr w:type="spellEnd"/>
      <w:r w:rsidRPr="005E5D86">
        <w:rPr>
          <w:rFonts w:ascii="Book Antiqua" w:hAnsi="Book Antiqua"/>
        </w:rPr>
        <w:t xml:space="preserve"> NN, Feldstein AE. The inflamed liver and atherosclerosis: a link between histologic severity of nonalcoholic fatty liver disease and increased cardiovascular risk. </w:t>
      </w:r>
      <w:r w:rsidRPr="005E5D86">
        <w:rPr>
          <w:rFonts w:ascii="Book Antiqua" w:hAnsi="Book Antiqua"/>
          <w:i/>
        </w:rPr>
        <w:t>Dig Dis Sci</w:t>
      </w:r>
      <w:r w:rsidRPr="005E5D86">
        <w:rPr>
          <w:rFonts w:ascii="Book Antiqua" w:hAnsi="Book Antiqua"/>
        </w:rPr>
        <w:t xml:space="preserve"> 2010; </w:t>
      </w:r>
      <w:r w:rsidRPr="005E5D86">
        <w:rPr>
          <w:rFonts w:ascii="Book Antiqua" w:hAnsi="Book Antiqua"/>
          <w:b/>
        </w:rPr>
        <w:t>55</w:t>
      </w:r>
      <w:r w:rsidRPr="005E5D86">
        <w:rPr>
          <w:rFonts w:ascii="Book Antiqua" w:hAnsi="Book Antiqua"/>
        </w:rPr>
        <w:t>: 2644-2650 [PMID: 19960252 DOI: 10.1007/s10620-009-1075-y]</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18 </w:t>
      </w:r>
      <w:proofErr w:type="spellStart"/>
      <w:r w:rsidRPr="005E5D86">
        <w:rPr>
          <w:rFonts w:ascii="Book Antiqua" w:hAnsi="Book Antiqua"/>
          <w:b/>
        </w:rPr>
        <w:t>Verrijken</w:t>
      </w:r>
      <w:proofErr w:type="spellEnd"/>
      <w:r w:rsidRPr="005E5D86">
        <w:rPr>
          <w:rFonts w:ascii="Book Antiqua" w:hAnsi="Book Antiqua"/>
          <w:b/>
        </w:rPr>
        <w:t xml:space="preserve"> A</w:t>
      </w:r>
      <w:r w:rsidRPr="005E5D86">
        <w:rPr>
          <w:rFonts w:ascii="Book Antiqua" w:hAnsi="Book Antiqua"/>
        </w:rPr>
        <w:t xml:space="preserve">, </w:t>
      </w:r>
      <w:proofErr w:type="spellStart"/>
      <w:r w:rsidRPr="005E5D86">
        <w:rPr>
          <w:rFonts w:ascii="Book Antiqua" w:hAnsi="Book Antiqua"/>
        </w:rPr>
        <w:t>Francque</w:t>
      </w:r>
      <w:proofErr w:type="spellEnd"/>
      <w:r w:rsidRPr="005E5D86">
        <w:rPr>
          <w:rFonts w:ascii="Book Antiqua" w:hAnsi="Book Antiqua"/>
        </w:rPr>
        <w:t xml:space="preserve"> S, </w:t>
      </w:r>
      <w:proofErr w:type="spellStart"/>
      <w:r w:rsidRPr="005E5D86">
        <w:rPr>
          <w:rFonts w:ascii="Book Antiqua" w:hAnsi="Book Antiqua"/>
        </w:rPr>
        <w:t>Mertens</w:t>
      </w:r>
      <w:proofErr w:type="spellEnd"/>
      <w:r w:rsidRPr="005E5D86">
        <w:rPr>
          <w:rFonts w:ascii="Book Antiqua" w:hAnsi="Book Antiqua"/>
        </w:rPr>
        <w:t xml:space="preserve"> I, </w:t>
      </w:r>
      <w:proofErr w:type="spellStart"/>
      <w:r w:rsidRPr="005E5D86">
        <w:rPr>
          <w:rFonts w:ascii="Book Antiqua" w:hAnsi="Book Antiqua"/>
        </w:rPr>
        <w:t>Prawitt</w:t>
      </w:r>
      <w:proofErr w:type="spellEnd"/>
      <w:r w:rsidRPr="005E5D86">
        <w:rPr>
          <w:rFonts w:ascii="Book Antiqua" w:hAnsi="Book Antiqua"/>
        </w:rPr>
        <w:t xml:space="preserve"> J, Caron S, </w:t>
      </w:r>
      <w:proofErr w:type="spellStart"/>
      <w:r w:rsidRPr="005E5D86">
        <w:rPr>
          <w:rFonts w:ascii="Book Antiqua" w:hAnsi="Book Antiqua"/>
        </w:rPr>
        <w:t>Hubens</w:t>
      </w:r>
      <w:proofErr w:type="spellEnd"/>
      <w:r w:rsidRPr="005E5D86">
        <w:rPr>
          <w:rFonts w:ascii="Book Antiqua" w:hAnsi="Book Antiqua"/>
        </w:rPr>
        <w:t xml:space="preserve"> G, Van </w:t>
      </w:r>
      <w:proofErr w:type="spellStart"/>
      <w:r w:rsidRPr="005E5D86">
        <w:rPr>
          <w:rFonts w:ascii="Book Antiqua" w:hAnsi="Book Antiqua"/>
        </w:rPr>
        <w:t>Marck</w:t>
      </w:r>
      <w:proofErr w:type="spellEnd"/>
      <w:r w:rsidRPr="005E5D86">
        <w:rPr>
          <w:rFonts w:ascii="Book Antiqua" w:hAnsi="Book Antiqua"/>
        </w:rPr>
        <w:t xml:space="preserve"> E, </w:t>
      </w:r>
      <w:proofErr w:type="spellStart"/>
      <w:r w:rsidRPr="005E5D86">
        <w:rPr>
          <w:rFonts w:ascii="Book Antiqua" w:hAnsi="Book Antiqua"/>
        </w:rPr>
        <w:t>Staels</w:t>
      </w:r>
      <w:proofErr w:type="spellEnd"/>
      <w:r w:rsidRPr="005E5D86">
        <w:rPr>
          <w:rFonts w:ascii="Book Antiqua" w:hAnsi="Book Antiqua"/>
        </w:rPr>
        <w:t xml:space="preserve"> B, </w:t>
      </w:r>
      <w:proofErr w:type="spellStart"/>
      <w:r w:rsidRPr="005E5D86">
        <w:rPr>
          <w:rFonts w:ascii="Book Antiqua" w:hAnsi="Book Antiqua"/>
        </w:rPr>
        <w:t>Michielsen</w:t>
      </w:r>
      <w:proofErr w:type="spellEnd"/>
      <w:r w:rsidRPr="005E5D86">
        <w:rPr>
          <w:rFonts w:ascii="Book Antiqua" w:hAnsi="Book Antiqua"/>
        </w:rPr>
        <w:t xml:space="preserve"> P, Van </w:t>
      </w:r>
      <w:proofErr w:type="spellStart"/>
      <w:r w:rsidRPr="005E5D86">
        <w:rPr>
          <w:rFonts w:ascii="Book Antiqua" w:hAnsi="Book Antiqua"/>
        </w:rPr>
        <w:t>Gaal</w:t>
      </w:r>
      <w:proofErr w:type="spellEnd"/>
      <w:r w:rsidRPr="005E5D86">
        <w:rPr>
          <w:rFonts w:ascii="Book Antiqua" w:hAnsi="Book Antiqua"/>
        </w:rPr>
        <w:t xml:space="preserve"> L. Prothrombotic factors in histologically proven nonalcoholic fatty liver disease and nonalcoholic steatohepatitis. </w:t>
      </w:r>
      <w:r w:rsidRPr="005E5D86">
        <w:rPr>
          <w:rFonts w:ascii="Book Antiqua" w:hAnsi="Book Antiqua"/>
          <w:i/>
        </w:rPr>
        <w:t>Hepatology</w:t>
      </w:r>
      <w:r w:rsidRPr="005E5D86">
        <w:rPr>
          <w:rFonts w:ascii="Book Antiqua" w:hAnsi="Book Antiqua"/>
        </w:rPr>
        <w:t xml:space="preserve"> 2014; </w:t>
      </w:r>
      <w:r w:rsidRPr="005E5D86">
        <w:rPr>
          <w:rFonts w:ascii="Book Antiqua" w:hAnsi="Book Antiqua"/>
          <w:b/>
        </w:rPr>
        <w:t>59</w:t>
      </w:r>
      <w:r w:rsidRPr="005E5D86">
        <w:rPr>
          <w:rFonts w:ascii="Book Antiqua" w:hAnsi="Book Antiqua"/>
        </w:rPr>
        <w:t>: 121-129 [PMID: 24375485 DOI: 10.1002/hep.26510]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19 </w:t>
      </w:r>
      <w:proofErr w:type="spellStart"/>
      <w:r w:rsidRPr="005E5D86">
        <w:rPr>
          <w:rFonts w:ascii="Book Antiqua" w:hAnsi="Book Antiqua"/>
          <w:b/>
        </w:rPr>
        <w:t>Targher</w:t>
      </w:r>
      <w:proofErr w:type="spellEnd"/>
      <w:r w:rsidRPr="005E5D86">
        <w:rPr>
          <w:rFonts w:ascii="Book Antiqua" w:hAnsi="Book Antiqua"/>
          <w:b/>
        </w:rPr>
        <w:t xml:space="preserve"> G</w:t>
      </w:r>
      <w:r w:rsidRPr="005E5D86">
        <w:rPr>
          <w:rFonts w:ascii="Book Antiqua" w:hAnsi="Book Antiqua"/>
        </w:rPr>
        <w:t xml:space="preserve">, Byrne CD, </w:t>
      </w:r>
      <w:proofErr w:type="spellStart"/>
      <w:r w:rsidRPr="005E5D86">
        <w:rPr>
          <w:rFonts w:ascii="Book Antiqua" w:hAnsi="Book Antiqua"/>
        </w:rPr>
        <w:t>Lonardo</w:t>
      </w:r>
      <w:proofErr w:type="spellEnd"/>
      <w:r w:rsidRPr="005E5D86">
        <w:rPr>
          <w:rFonts w:ascii="Book Antiqua" w:hAnsi="Book Antiqua"/>
        </w:rPr>
        <w:t xml:space="preserve"> A, </w:t>
      </w:r>
      <w:proofErr w:type="spellStart"/>
      <w:r w:rsidRPr="005E5D86">
        <w:rPr>
          <w:rFonts w:ascii="Book Antiqua" w:hAnsi="Book Antiqua"/>
        </w:rPr>
        <w:t>Zoppini</w:t>
      </w:r>
      <w:proofErr w:type="spellEnd"/>
      <w:r w:rsidRPr="005E5D86">
        <w:rPr>
          <w:rFonts w:ascii="Book Antiqua" w:hAnsi="Book Antiqua"/>
        </w:rPr>
        <w:t xml:space="preserve"> G, </w:t>
      </w:r>
      <w:proofErr w:type="spellStart"/>
      <w:r w:rsidRPr="005E5D86">
        <w:rPr>
          <w:rFonts w:ascii="Book Antiqua" w:hAnsi="Book Antiqua"/>
        </w:rPr>
        <w:t>Barbui</w:t>
      </w:r>
      <w:proofErr w:type="spellEnd"/>
      <w:r w:rsidRPr="005E5D86">
        <w:rPr>
          <w:rFonts w:ascii="Book Antiqua" w:hAnsi="Book Antiqua"/>
        </w:rPr>
        <w:t xml:space="preserve"> C. Non-alcoholic fatty liver disease and risk of incident cardiovascular disease: A meta-analysis.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2016; </w:t>
      </w:r>
      <w:r w:rsidRPr="005E5D86">
        <w:rPr>
          <w:rFonts w:ascii="Book Antiqua" w:hAnsi="Book Antiqua"/>
          <w:b/>
        </w:rPr>
        <w:t>65</w:t>
      </w:r>
      <w:r w:rsidRPr="005E5D86">
        <w:rPr>
          <w:rFonts w:ascii="Book Antiqua" w:hAnsi="Book Antiqua"/>
        </w:rPr>
        <w:t>: 589-600 [PMID: 27212244 DOI: 10.1016/j.jhep.2016.05.013]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20 </w:t>
      </w:r>
      <w:proofErr w:type="spellStart"/>
      <w:r w:rsidRPr="005E5D86">
        <w:rPr>
          <w:rFonts w:ascii="Book Antiqua" w:hAnsi="Book Antiqua"/>
          <w:b/>
        </w:rPr>
        <w:t>Baratta</w:t>
      </w:r>
      <w:proofErr w:type="spellEnd"/>
      <w:r w:rsidRPr="005E5D86">
        <w:rPr>
          <w:rFonts w:ascii="Book Antiqua" w:hAnsi="Book Antiqua"/>
          <w:b/>
        </w:rPr>
        <w:t xml:space="preserve"> F</w:t>
      </w:r>
      <w:r w:rsidRPr="005E5D86">
        <w:rPr>
          <w:rFonts w:ascii="Book Antiqua" w:hAnsi="Book Antiqua"/>
        </w:rPr>
        <w:t xml:space="preserve">, </w:t>
      </w:r>
      <w:proofErr w:type="spellStart"/>
      <w:r w:rsidRPr="005E5D86">
        <w:rPr>
          <w:rFonts w:ascii="Book Antiqua" w:hAnsi="Book Antiqua"/>
        </w:rPr>
        <w:t>Pastori</w:t>
      </w:r>
      <w:proofErr w:type="spellEnd"/>
      <w:r w:rsidRPr="005E5D86">
        <w:rPr>
          <w:rFonts w:ascii="Book Antiqua" w:hAnsi="Book Antiqua"/>
        </w:rPr>
        <w:t xml:space="preserve"> D, Angelico F, </w:t>
      </w:r>
      <w:proofErr w:type="spellStart"/>
      <w:r w:rsidRPr="005E5D86">
        <w:rPr>
          <w:rFonts w:ascii="Book Antiqua" w:hAnsi="Book Antiqua"/>
        </w:rPr>
        <w:t>Balla</w:t>
      </w:r>
      <w:proofErr w:type="spellEnd"/>
      <w:r w:rsidRPr="005E5D86">
        <w:rPr>
          <w:rFonts w:ascii="Book Antiqua" w:hAnsi="Book Antiqua"/>
        </w:rPr>
        <w:t xml:space="preserve"> A, Paganini AM, </w:t>
      </w:r>
      <w:proofErr w:type="spellStart"/>
      <w:r w:rsidRPr="005E5D86">
        <w:rPr>
          <w:rFonts w:ascii="Book Antiqua" w:hAnsi="Book Antiqua"/>
        </w:rPr>
        <w:t>Cocomello</w:t>
      </w:r>
      <w:proofErr w:type="spellEnd"/>
      <w:r w:rsidRPr="005E5D86">
        <w:rPr>
          <w:rFonts w:ascii="Book Antiqua" w:hAnsi="Book Antiqua"/>
        </w:rPr>
        <w:t xml:space="preserve"> N, Ferro D, </w:t>
      </w:r>
      <w:proofErr w:type="spellStart"/>
      <w:r w:rsidRPr="005E5D86">
        <w:rPr>
          <w:rFonts w:ascii="Book Antiqua" w:hAnsi="Book Antiqua"/>
        </w:rPr>
        <w:t>Violi</w:t>
      </w:r>
      <w:proofErr w:type="spellEnd"/>
      <w:r w:rsidRPr="005E5D86">
        <w:rPr>
          <w:rFonts w:ascii="Book Antiqua" w:hAnsi="Book Antiqua"/>
        </w:rPr>
        <w:t xml:space="preserve"> F, </w:t>
      </w:r>
      <w:proofErr w:type="spellStart"/>
      <w:r w:rsidRPr="005E5D86">
        <w:rPr>
          <w:rFonts w:ascii="Book Antiqua" w:hAnsi="Book Antiqua"/>
        </w:rPr>
        <w:t>Sanyal</w:t>
      </w:r>
      <w:proofErr w:type="spellEnd"/>
      <w:r w:rsidRPr="005E5D86">
        <w:rPr>
          <w:rFonts w:ascii="Book Antiqua" w:hAnsi="Book Antiqua"/>
        </w:rPr>
        <w:t xml:space="preserve"> AJ, Del Ben M. Nonalcoholic Fatty Liver Disease and Fibrosis Associated With Increased Risk of Cardiovascular Events in a Prospective Study. </w:t>
      </w:r>
      <w:proofErr w:type="spellStart"/>
      <w:r w:rsidRPr="005E5D86">
        <w:rPr>
          <w:rFonts w:ascii="Book Antiqua" w:hAnsi="Book Antiqua"/>
          <w:i/>
        </w:rPr>
        <w:t>Clin</w:t>
      </w:r>
      <w:proofErr w:type="spellEnd"/>
      <w:r w:rsidRPr="005E5D86">
        <w:rPr>
          <w:rFonts w:ascii="Book Antiqua" w:hAnsi="Book Antiqua"/>
          <w:i/>
        </w:rPr>
        <w:t xml:space="preserve"> </w:t>
      </w:r>
      <w:proofErr w:type="spellStart"/>
      <w:r w:rsidRPr="005E5D86">
        <w:rPr>
          <w:rFonts w:ascii="Book Antiqua" w:hAnsi="Book Antiqua"/>
          <w:i/>
        </w:rPr>
        <w:t>Gastroenterol</w:t>
      </w:r>
      <w:proofErr w:type="spellEnd"/>
      <w:r w:rsidRPr="005E5D86">
        <w:rPr>
          <w:rFonts w:ascii="Book Antiqua" w:hAnsi="Book Antiqua"/>
          <w:i/>
        </w:rPr>
        <w:t xml:space="preserve"> </w:t>
      </w:r>
      <w:proofErr w:type="spellStart"/>
      <w:r w:rsidRPr="005E5D86">
        <w:rPr>
          <w:rFonts w:ascii="Book Antiqua" w:hAnsi="Book Antiqua"/>
          <w:i/>
        </w:rPr>
        <w:t>Hepatol</w:t>
      </w:r>
      <w:proofErr w:type="spellEnd"/>
      <w:r w:rsidRPr="005E5D86">
        <w:rPr>
          <w:rFonts w:ascii="Book Antiqua" w:hAnsi="Book Antiqua"/>
        </w:rPr>
        <w:t xml:space="preserve"> 2019 [PMID: 31887443 DOI: 10.1016/j.cgh.2019.12.026]</w:t>
      </w:r>
    </w:p>
    <w:p w:rsidR="005E5D86" w:rsidRPr="005E5D86" w:rsidRDefault="005E5D86" w:rsidP="005E5D86">
      <w:pPr>
        <w:snapToGrid w:val="0"/>
        <w:spacing w:line="360" w:lineRule="auto"/>
        <w:jc w:val="both"/>
        <w:rPr>
          <w:rFonts w:ascii="Book Antiqua" w:hAnsi="Book Antiqua"/>
        </w:rPr>
      </w:pPr>
      <w:proofErr w:type="gramStart"/>
      <w:r w:rsidRPr="00D148F3">
        <w:rPr>
          <w:rFonts w:ascii="Book Antiqua" w:hAnsi="Book Antiqua"/>
        </w:rPr>
        <w:t xml:space="preserve">21 </w:t>
      </w:r>
      <w:bookmarkStart w:id="2" w:name="OLE_LINK23"/>
      <w:bookmarkStart w:id="3" w:name="OLE_LINK24"/>
      <w:r w:rsidRPr="00D148F3">
        <w:rPr>
          <w:rFonts w:ascii="Book Antiqua" w:hAnsi="Book Antiqua"/>
        </w:rPr>
        <w:t xml:space="preserve">IBM </w:t>
      </w:r>
      <w:proofErr w:type="spellStart"/>
      <w:r w:rsidRPr="00D148F3">
        <w:rPr>
          <w:rFonts w:ascii="Book Antiqua" w:hAnsi="Book Antiqua"/>
        </w:rPr>
        <w:t>Explorys</w:t>
      </w:r>
      <w:proofErr w:type="spellEnd"/>
      <w:r w:rsidRPr="00D148F3">
        <w:rPr>
          <w:rFonts w:ascii="Book Antiqua" w:hAnsi="Book Antiqua"/>
        </w:rPr>
        <w:t>-Accelerating Insights from Real-World Evidence</w:t>
      </w:r>
      <w:bookmarkEnd w:id="2"/>
      <w:bookmarkEnd w:id="3"/>
      <w:r w:rsidRPr="00D148F3">
        <w:rPr>
          <w:rFonts w:ascii="Book Antiqua" w:hAnsi="Book Antiqua"/>
        </w:rPr>
        <w:t>.</w:t>
      </w:r>
      <w:proofErr w:type="gramEnd"/>
      <w:r w:rsidRPr="00D148F3">
        <w:rPr>
          <w:rFonts w:ascii="Book Antiqua" w:hAnsi="Book Antiqua"/>
        </w:rPr>
        <w:t xml:space="preserve"> 2019. Available from: </w:t>
      </w:r>
      <w:bookmarkStart w:id="4" w:name="OLE_LINK25"/>
      <w:bookmarkStart w:id="5" w:name="OLE_LINK26"/>
      <w:r w:rsidR="002E42FA" w:rsidRPr="00D148F3">
        <w:rPr>
          <w:rFonts w:ascii="Book Antiqua" w:eastAsiaTheme="minorEastAsia" w:hAnsi="Book Antiqua" w:hint="eastAsia"/>
          <w:lang w:eastAsia="zh-CN"/>
        </w:rPr>
        <w:t xml:space="preserve">URL: </w:t>
      </w:r>
      <w:r w:rsidR="007960B6" w:rsidRPr="00D148F3">
        <w:rPr>
          <w:rFonts w:ascii="Book Antiqua" w:hAnsi="Book Antiqua"/>
        </w:rPr>
        <w:t>http://www-01.ibm.com/common/ssi/cgi-bin/ssialias?htmlfid=HL912350U-SEN</w:t>
      </w:r>
      <w:r w:rsidR="007960B6">
        <w:rPr>
          <w:rFonts w:ascii="Book Antiqua" w:hAnsi="Book Antiqua"/>
        </w:rPr>
        <w:t xml:space="preserve"> </w:t>
      </w:r>
    </w:p>
    <w:bookmarkEnd w:id="4"/>
    <w:bookmarkEnd w:id="5"/>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22 </w:t>
      </w:r>
      <w:proofErr w:type="spellStart"/>
      <w:r w:rsidRPr="005E5D86">
        <w:rPr>
          <w:rFonts w:ascii="Book Antiqua" w:hAnsi="Book Antiqua"/>
          <w:b/>
        </w:rPr>
        <w:t>Kaelber</w:t>
      </w:r>
      <w:proofErr w:type="spellEnd"/>
      <w:r w:rsidRPr="005E5D86">
        <w:rPr>
          <w:rFonts w:ascii="Book Antiqua" w:hAnsi="Book Antiqua"/>
          <w:b/>
        </w:rPr>
        <w:t xml:space="preserve"> DC</w:t>
      </w:r>
      <w:r w:rsidRPr="005E5D86">
        <w:rPr>
          <w:rFonts w:ascii="Book Antiqua" w:hAnsi="Book Antiqua"/>
        </w:rPr>
        <w:t xml:space="preserve">, Foster W, Gilder J, Love TE, Jain AK. Patient characteristics associated with venous thromboembolic events: a cohort study using pooled electronic health record data. </w:t>
      </w:r>
      <w:r w:rsidRPr="005E5D86">
        <w:rPr>
          <w:rFonts w:ascii="Book Antiqua" w:hAnsi="Book Antiqua"/>
          <w:i/>
        </w:rPr>
        <w:t xml:space="preserve">J Am Med Inform </w:t>
      </w:r>
      <w:proofErr w:type="spellStart"/>
      <w:r w:rsidRPr="005E5D86">
        <w:rPr>
          <w:rFonts w:ascii="Book Antiqua" w:hAnsi="Book Antiqua"/>
          <w:i/>
        </w:rPr>
        <w:t>Assoc</w:t>
      </w:r>
      <w:proofErr w:type="spellEnd"/>
      <w:r w:rsidRPr="005E5D86">
        <w:rPr>
          <w:rFonts w:ascii="Book Antiqua" w:hAnsi="Book Antiqua"/>
        </w:rPr>
        <w:t xml:space="preserve"> 2012; </w:t>
      </w:r>
      <w:r w:rsidRPr="005E5D86">
        <w:rPr>
          <w:rFonts w:ascii="Book Antiqua" w:hAnsi="Book Antiqua"/>
          <w:b/>
        </w:rPr>
        <w:t>19</w:t>
      </w:r>
      <w:r w:rsidRPr="005E5D86">
        <w:rPr>
          <w:rFonts w:ascii="Book Antiqua" w:hAnsi="Book Antiqua"/>
        </w:rPr>
        <w:t>: 965-972 [PMID: 22759621 DOI: 10.1136/amiajnl-2011-000782]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23 </w:t>
      </w:r>
      <w:proofErr w:type="spellStart"/>
      <w:r w:rsidRPr="005E5D86">
        <w:rPr>
          <w:rFonts w:ascii="Book Antiqua" w:hAnsi="Book Antiqua"/>
          <w:b/>
        </w:rPr>
        <w:t>Satapathy</w:t>
      </w:r>
      <w:proofErr w:type="spellEnd"/>
      <w:r w:rsidRPr="005E5D86">
        <w:rPr>
          <w:rFonts w:ascii="Book Antiqua" w:hAnsi="Book Antiqua"/>
          <w:b/>
        </w:rPr>
        <w:t xml:space="preserve"> SK</w:t>
      </w:r>
      <w:r w:rsidRPr="005E5D86">
        <w:rPr>
          <w:rFonts w:ascii="Book Antiqua" w:hAnsi="Book Antiqua"/>
        </w:rPr>
        <w:t xml:space="preserve">, </w:t>
      </w:r>
      <w:proofErr w:type="spellStart"/>
      <w:r w:rsidRPr="005E5D86">
        <w:rPr>
          <w:rFonts w:ascii="Book Antiqua" w:hAnsi="Book Antiqua"/>
        </w:rPr>
        <w:t>Sanyal</w:t>
      </w:r>
      <w:proofErr w:type="spellEnd"/>
      <w:r w:rsidRPr="005E5D86">
        <w:rPr>
          <w:rFonts w:ascii="Book Antiqua" w:hAnsi="Book Antiqua"/>
        </w:rPr>
        <w:t xml:space="preserve"> AJ. </w:t>
      </w:r>
      <w:proofErr w:type="gramStart"/>
      <w:r w:rsidRPr="005E5D86">
        <w:rPr>
          <w:rFonts w:ascii="Book Antiqua" w:hAnsi="Book Antiqua"/>
        </w:rPr>
        <w:t>Epidemiology and Natural History of Nonalcoholic Fatty Liver Disease.</w:t>
      </w:r>
      <w:proofErr w:type="gramEnd"/>
      <w:r w:rsidRPr="005E5D86">
        <w:rPr>
          <w:rFonts w:ascii="Book Antiqua" w:hAnsi="Book Antiqua"/>
        </w:rPr>
        <w:t xml:space="preserve"> </w:t>
      </w:r>
      <w:proofErr w:type="spellStart"/>
      <w:r w:rsidRPr="005E5D86">
        <w:rPr>
          <w:rFonts w:ascii="Book Antiqua" w:hAnsi="Book Antiqua"/>
          <w:i/>
        </w:rPr>
        <w:t>Semin</w:t>
      </w:r>
      <w:proofErr w:type="spellEnd"/>
      <w:r w:rsidRPr="005E5D86">
        <w:rPr>
          <w:rFonts w:ascii="Book Antiqua" w:hAnsi="Book Antiqua"/>
          <w:i/>
        </w:rPr>
        <w:t xml:space="preserve"> Liver Dis</w:t>
      </w:r>
      <w:r w:rsidRPr="005E5D86">
        <w:rPr>
          <w:rFonts w:ascii="Book Antiqua" w:hAnsi="Book Antiqua"/>
        </w:rPr>
        <w:t xml:space="preserve"> 2015; </w:t>
      </w:r>
      <w:r w:rsidRPr="005E5D86">
        <w:rPr>
          <w:rFonts w:ascii="Book Antiqua" w:hAnsi="Book Antiqua"/>
          <w:b/>
        </w:rPr>
        <w:t>35</w:t>
      </w:r>
      <w:r w:rsidRPr="005E5D86">
        <w:rPr>
          <w:rFonts w:ascii="Book Antiqua" w:hAnsi="Book Antiqua"/>
        </w:rPr>
        <w:t>: 221-235 [PMID: 26378640 DOI: 10.1055/s-0035-1562943]</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24 </w:t>
      </w:r>
      <w:proofErr w:type="spellStart"/>
      <w:r w:rsidRPr="005E5D86">
        <w:rPr>
          <w:rFonts w:ascii="Book Antiqua" w:hAnsi="Book Antiqua"/>
          <w:b/>
        </w:rPr>
        <w:t>Perseghin</w:t>
      </w:r>
      <w:proofErr w:type="spellEnd"/>
      <w:r w:rsidRPr="005E5D86">
        <w:rPr>
          <w:rFonts w:ascii="Book Antiqua" w:hAnsi="Book Antiqua"/>
          <w:b/>
        </w:rPr>
        <w:t xml:space="preserve"> G</w:t>
      </w:r>
      <w:r w:rsidRPr="005E5D86">
        <w:rPr>
          <w:rFonts w:ascii="Book Antiqua" w:hAnsi="Book Antiqua"/>
        </w:rPr>
        <w:t>.</w:t>
      </w:r>
      <w:proofErr w:type="gramEnd"/>
      <w:r w:rsidRPr="005E5D86">
        <w:rPr>
          <w:rFonts w:ascii="Book Antiqua" w:hAnsi="Book Antiqua"/>
        </w:rPr>
        <w:t xml:space="preserve"> </w:t>
      </w:r>
      <w:proofErr w:type="gramStart"/>
      <w:r w:rsidRPr="005E5D86">
        <w:rPr>
          <w:rFonts w:ascii="Book Antiqua" w:hAnsi="Book Antiqua"/>
        </w:rPr>
        <w:t>The role of non-alcoholic fatty liver disease in cardiovascular disease.</w:t>
      </w:r>
      <w:proofErr w:type="gramEnd"/>
      <w:r w:rsidRPr="005E5D86">
        <w:rPr>
          <w:rFonts w:ascii="Book Antiqua" w:hAnsi="Book Antiqua"/>
        </w:rPr>
        <w:t xml:space="preserve"> </w:t>
      </w:r>
      <w:r w:rsidRPr="005E5D86">
        <w:rPr>
          <w:rFonts w:ascii="Book Antiqua" w:hAnsi="Book Antiqua"/>
          <w:i/>
        </w:rPr>
        <w:t>Dig Dis</w:t>
      </w:r>
      <w:r w:rsidRPr="005E5D86">
        <w:rPr>
          <w:rFonts w:ascii="Book Antiqua" w:hAnsi="Book Antiqua"/>
        </w:rPr>
        <w:t xml:space="preserve"> 2010; </w:t>
      </w:r>
      <w:r w:rsidRPr="005E5D86">
        <w:rPr>
          <w:rFonts w:ascii="Book Antiqua" w:hAnsi="Book Antiqua"/>
          <w:b/>
        </w:rPr>
        <w:t>28</w:t>
      </w:r>
      <w:r w:rsidRPr="005E5D86">
        <w:rPr>
          <w:rFonts w:ascii="Book Antiqua" w:hAnsi="Book Antiqua"/>
        </w:rPr>
        <w:t>: 210-213 [PMID: 20460913 DOI: 10.1159/000282088]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25 </w:t>
      </w:r>
      <w:r w:rsidRPr="005E5D86">
        <w:rPr>
          <w:rFonts w:ascii="Book Antiqua" w:hAnsi="Book Antiqua"/>
          <w:b/>
        </w:rPr>
        <w:t>Sung KC</w:t>
      </w:r>
      <w:r w:rsidRPr="005E5D86">
        <w:rPr>
          <w:rFonts w:ascii="Book Antiqua" w:hAnsi="Book Antiqua"/>
        </w:rPr>
        <w:t xml:space="preserve">, Ryan MC, Wilson AM. The severity of nonalcoholic fatty liver disease is associated with increased cardiovascular risk in a large cohort of non-obese Asian subjects. </w:t>
      </w:r>
      <w:r w:rsidRPr="005E5D86">
        <w:rPr>
          <w:rFonts w:ascii="Book Antiqua" w:hAnsi="Book Antiqua"/>
          <w:i/>
        </w:rPr>
        <w:t>Atherosclerosis</w:t>
      </w:r>
      <w:r w:rsidRPr="005E5D86">
        <w:rPr>
          <w:rFonts w:ascii="Book Antiqua" w:hAnsi="Book Antiqua"/>
        </w:rPr>
        <w:t xml:space="preserve"> 2009; </w:t>
      </w:r>
      <w:r w:rsidRPr="005E5D86">
        <w:rPr>
          <w:rFonts w:ascii="Book Antiqua" w:hAnsi="Book Antiqua"/>
          <w:b/>
        </w:rPr>
        <w:t>203</w:t>
      </w:r>
      <w:r w:rsidRPr="005E5D86">
        <w:rPr>
          <w:rFonts w:ascii="Book Antiqua" w:hAnsi="Book Antiqua"/>
        </w:rPr>
        <w:t>: 581-586 [PMID: 18774133 DOI: 10.1016/j.atherosclerosis.2008.07.024]</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26 </w:t>
      </w:r>
      <w:proofErr w:type="spellStart"/>
      <w:r w:rsidRPr="005E5D86">
        <w:rPr>
          <w:rFonts w:ascii="Book Antiqua" w:hAnsi="Book Antiqua"/>
          <w:b/>
        </w:rPr>
        <w:t>Targher</w:t>
      </w:r>
      <w:proofErr w:type="spellEnd"/>
      <w:r w:rsidRPr="005E5D86">
        <w:rPr>
          <w:rFonts w:ascii="Book Antiqua" w:hAnsi="Book Antiqua"/>
          <w:b/>
        </w:rPr>
        <w:t xml:space="preserve"> G</w:t>
      </w:r>
      <w:r w:rsidRPr="005E5D86">
        <w:rPr>
          <w:rFonts w:ascii="Book Antiqua" w:hAnsi="Book Antiqua"/>
        </w:rPr>
        <w:t xml:space="preserve">, Day CP, </w:t>
      </w:r>
      <w:proofErr w:type="spellStart"/>
      <w:r w:rsidRPr="005E5D86">
        <w:rPr>
          <w:rFonts w:ascii="Book Antiqua" w:hAnsi="Book Antiqua"/>
        </w:rPr>
        <w:t>Bonora</w:t>
      </w:r>
      <w:proofErr w:type="spellEnd"/>
      <w:r w:rsidRPr="005E5D86">
        <w:rPr>
          <w:rFonts w:ascii="Book Antiqua" w:hAnsi="Book Antiqua"/>
        </w:rPr>
        <w:t xml:space="preserve"> E. Risk of cardiovascular disease in patients with nonalcoholic fatty liver disease.</w:t>
      </w:r>
      <w:proofErr w:type="gramEnd"/>
      <w:r w:rsidRPr="005E5D86">
        <w:rPr>
          <w:rFonts w:ascii="Book Antiqua" w:hAnsi="Book Antiqua"/>
        </w:rPr>
        <w:t xml:space="preserve"> </w:t>
      </w:r>
      <w:r w:rsidRPr="005E5D86">
        <w:rPr>
          <w:rFonts w:ascii="Book Antiqua" w:hAnsi="Book Antiqua"/>
          <w:i/>
        </w:rPr>
        <w:t xml:space="preserve">N </w:t>
      </w:r>
      <w:proofErr w:type="spellStart"/>
      <w:r w:rsidRPr="005E5D86">
        <w:rPr>
          <w:rFonts w:ascii="Book Antiqua" w:hAnsi="Book Antiqua"/>
          <w:i/>
        </w:rPr>
        <w:t>Engl</w:t>
      </w:r>
      <w:proofErr w:type="spellEnd"/>
      <w:r w:rsidRPr="005E5D86">
        <w:rPr>
          <w:rFonts w:ascii="Book Antiqua" w:hAnsi="Book Antiqua"/>
          <w:i/>
        </w:rPr>
        <w:t xml:space="preserve"> J Med</w:t>
      </w:r>
      <w:r w:rsidRPr="005E5D86">
        <w:rPr>
          <w:rFonts w:ascii="Book Antiqua" w:hAnsi="Book Antiqua"/>
        </w:rPr>
        <w:t xml:space="preserve"> 2010; </w:t>
      </w:r>
      <w:r w:rsidRPr="005E5D86">
        <w:rPr>
          <w:rFonts w:ascii="Book Antiqua" w:hAnsi="Book Antiqua"/>
          <w:b/>
        </w:rPr>
        <w:t>363</w:t>
      </w:r>
      <w:r w:rsidRPr="005E5D86">
        <w:rPr>
          <w:rFonts w:ascii="Book Antiqua" w:hAnsi="Book Antiqua"/>
        </w:rPr>
        <w:t>: 1341-1350 [PMID: 20879883 DOI: 10.1056/NEJMra0912063]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27 </w:t>
      </w:r>
      <w:proofErr w:type="spellStart"/>
      <w:r w:rsidRPr="005E5D86">
        <w:rPr>
          <w:rFonts w:ascii="Book Antiqua" w:hAnsi="Book Antiqua"/>
          <w:b/>
        </w:rPr>
        <w:t>Chalasani</w:t>
      </w:r>
      <w:proofErr w:type="spellEnd"/>
      <w:r w:rsidRPr="005E5D86">
        <w:rPr>
          <w:rFonts w:ascii="Book Antiqua" w:hAnsi="Book Antiqua"/>
          <w:b/>
        </w:rPr>
        <w:t xml:space="preserve"> N</w:t>
      </w:r>
      <w:r w:rsidRPr="005E5D86">
        <w:rPr>
          <w:rFonts w:ascii="Book Antiqua" w:hAnsi="Book Antiqua"/>
        </w:rPr>
        <w:t xml:space="preserve">, </w:t>
      </w:r>
      <w:proofErr w:type="spellStart"/>
      <w:r w:rsidRPr="005E5D86">
        <w:rPr>
          <w:rFonts w:ascii="Book Antiqua" w:hAnsi="Book Antiqua"/>
        </w:rPr>
        <w:t>Deeg</w:t>
      </w:r>
      <w:proofErr w:type="spellEnd"/>
      <w:r w:rsidRPr="005E5D86">
        <w:rPr>
          <w:rFonts w:ascii="Book Antiqua" w:hAnsi="Book Antiqua"/>
        </w:rPr>
        <w:t xml:space="preserve"> MA, Crabb DW. Systemic levels of lipid peroxidation and its metabolic and dietary correlates in patients with nonalcoholic steatohepatitis. </w:t>
      </w:r>
      <w:r w:rsidRPr="005E5D86">
        <w:rPr>
          <w:rFonts w:ascii="Book Antiqua" w:hAnsi="Book Antiqua"/>
          <w:i/>
        </w:rPr>
        <w:t>Am J Gastroenterol</w:t>
      </w:r>
      <w:r w:rsidRPr="005E5D86">
        <w:rPr>
          <w:rFonts w:ascii="Book Antiqua" w:hAnsi="Book Antiqua"/>
        </w:rPr>
        <w:t xml:space="preserve"> 2004; </w:t>
      </w:r>
      <w:r w:rsidRPr="005E5D86">
        <w:rPr>
          <w:rFonts w:ascii="Book Antiqua" w:hAnsi="Book Antiqua"/>
          <w:b/>
        </w:rPr>
        <w:t>99</w:t>
      </w:r>
      <w:r w:rsidRPr="005E5D86">
        <w:rPr>
          <w:rFonts w:ascii="Book Antiqua" w:hAnsi="Book Antiqua"/>
        </w:rPr>
        <w:t>: 1497-1502 [PMID: 15307867 DOI: 10.1111/j.1572-0241.2004.30159.x]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28 </w:t>
      </w:r>
      <w:r w:rsidRPr="005E5D86">
        <w:rPr>
          <w:rFonts w:ascii="Book Antiqua" w:hAnsi="Book Antiqua"/>
          <w:b/>
        </w:rPr>
        <w:t>Stoner L</w:t>
      </w:r>
      <w:r w:rsidRPr="005E5D86">
        <w:rPr>
          <w:rFonts w:ascii="Book Antiqua" w:hAnsi="Book Antiqua"/>
        </w:rPr>
        <w:t xml:space="preserve">, Lucero AA, Palmer BR, Jones LM, Young JM, Faulkner J. Inflammatory biomarkers for predicting cardiovascular disease. </w:t>
      </w:r>
      <w:proofErr w:type="spellStart"/>
      <w:r w:rsidRPr="005E5D86">
        <w:rPr>
          <w:rFonts w:ascii="Book Antiqua" w:hAnsi="Book Antiqua"/>
          <w:i/>
        </w:rPr>
        <w:t>Clin</w:t>
      </w:r>
      <w:proofErr w:type="spellEnd"/>
      <w:r w:rsidRPr="005E5D86">
        <w:rPr>
          <w:rFonts w:ascii="Book Antiqua" w:hAnsi="Book Antiqua"/>
          <w:i/>
        </w:rPr>
        <w:t xml:space="preserve"> </w:t>
      </w:r>
      <w:proofErr w:type="spellStart"/>
      <w:r w:rsidRPr="005E5D86">
        <w:rPr>
          <w:rFonts w:ascii="Book Antiqua" w:hAnsi="Book Antiqua"/>
          <w:i/>
        </w:rPr>
        <w:t>Biochem</w:t>
      </w:r>
      <w:proofErr w:type="spellEnd"/>
      <w:r w:rsidRPr="005E5D86">
        <w:rPr>
          <w:rFonts w:ascii="Book Antiqua" w:hAnsi="Book Antiqua"/>
        </w:rPr>
        <w:t xml:space="preserve"> 2013; </w:t>
      </w:r>
      <w:r w:rsidRPr="005E5D86">
        <w:rPr>
          <w:rFonts w:ascii="Book Antiqua" w:hAnsi="Book Antiqua"/>
          <w:b/>
        </w:rPr>
        <w:t>46</w:t>
      </w:r>
      <w:r w:rsidRPr="005E5D86">
        <w:rPr>
          <w:rFonts w:ascii="Book Antiqua" w:hAnsi="Book Antiqua"/>
        </w:rPr>
        <w:t>: 1353-1371 [PMID: 23756129 DOI: 10.1016/j.clinbiochem.2013.05.070]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29 </w:t>
      </w:r>
      <w:proofErr w:type="spellStart"/>
      <w:r w:rsidRPr="005E5D86">
        <w:rPr>
          <w:rFonts w:ascii="Book Antiqua" w:hAnsi="Book Antiqua"/>
          <w:b/>
        </w:rPr>
        <w:t>Wieckowska</w:t>
      </w:r>
      <w:proofErr w:type="spellEnd"/>
      <w:r w:rsidRPr="005E5D86">
        <w:rPr>
          <w:rFonts w:ascii="Book Antiqua" w:hAnsi="Book Antiqua"/>
          <w:b/>
        </w:rPr>
        <w:t xml:space="preserve"> A</w:t>
      </w:r>
      <w:r w:rsidRPr="005E5D86">
        <w:rPr>
          <w:rFonts w:ascii="Book Antiqua" w:hAnsi="Book Antiqua"/>
        </w:rPr>
        <w:t xml:space="preserve">, </w:t>
      </w:r>
      <w:proofErr w:type="spellStart"/>
      <w:r w:rsidRPr="005E5D86">
        <w:rPr>
          <w:rFonts w:ascii="Book Antiqua" w:hAnsi="Book Antiqua"/>
        </w:rPr>
        <w:t>Papouchado</w:t>
      </w:r>
      <w:proofErr w:type="spellEnd"/>
      <w:r w:rsidRPr="005E5D86">
        <w:rPr>
          <w:rFonts w:ascii="Book Antiqua" w:hAnsi="Book Antiqua"/>
        </w:rPr>
        <w:t xml:space="preserve"> BG, Li Z, Lopez R, </w:t>
      </w:r>
      <w:proofErr w:type="spellStart"/>
      <w:r w:rsidRPr="005E5D86">
        <w:rPr>
          <w:rFonts w:ascii="Book Antiqua" w:hAnsi="Book Antiqua"/>
        </w:rPr>
        <w:t>Zein</w:t>
      </w:r>
      <w:proofErr w:type="spellEnd"/>
      <w:r w:rsidRPr="005E5D86">
        <w:rPr>
          <w:rFonts w:ascii="Book Antiqua" w:hAnsi="Book Antiqua"/>
        </w:rPr>
        <w:t xml:space="preserve"> NN, Feldstein AE. Increased hepatic and circulating interleukin-6 levels in human nonalcoholic steatohepatitis. </w:t>
      </w:r>
      <w:r w:rsidRPr="005E5D86">
        <w:rPr>
          <w:rFonts w:ascii="Book Antiqua" w:hAnsi="Book Antiqua"/>
          <w:i/>
        </w:rPr>
        <w:t>Am J Gastroenterol</w:t>
      </w:r>
      <w:r w:rsidRPr="005E5D86">
        <w:rPr>
          <w:rFonts w:ascii="Book Antiqua" w:hAnsi="Book Antiqua"/>
        </w:rPr>
        <w:t xml:space="preserve"> 2008; </w:t>
      </w:r>
      <w:r w:rsidRPr="005E5D86">
        <w:rPr>
          <w:rFonts w:ascii="Book Antiqua" w:hAnsi="Book Antiqua"/>
          <w:b/>
        </w:rPr>
        <w:t>103</w:t>
      </w:r>
      <w:r w:rsidRPr="005E5D86">
        <w:rPr>
          <w:rFonts w:ascii="Book Antiqua" w:hAnsi="Book Antiqua"/>
        </w:rPr>
        <w:t>: 1372-1379 [PMID: 18510618 DOI: 10.1111/j.1572-0241.2007.01774.x]</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30 </w:t>
      </w:r>
      <w:proofErr w:type="spellStart"/>
      <w:r w:rsidRPr="005E5D86">
        <w:rPr>
          <w:rFonts w:ascii="Book Antiqua" w:hAnsi="Book Antiqua"/>
          <w:b/>
        </w:rPr>
        <w:t>Hamirani</w:t>
      </w:r>
      <w:proofErr w:type="spellEnd"/>
      <w:r w:rsidRPr="005E5D86">
        <w:rPr>
          <w:rFonts w:ascii="Book Antiqua" w:hAnsi="Book Antiqua"/>
          <w:b/>
        </w:rPr>
        <w:t xml:space="preserve"> YS</w:t>
      </w:r>
      <w:r w:rsidRPr="005E5D86">
        <w:rPr>
          <w:rFonts w:ascii="Book Antiqua" w:hAnsi="Book Antiqua"/>
        </w:rPr>
        <w:t xml:space="preserve">, Katz R, Nasir K, Zeb I, Blaha MJ, Blumenthal RS, </w:t>
      </w:r>
      <w:proofErr w:type="spellStart"/>
      <w:r w:rsidRPr="005E5D86">
        <w:rPr>
          <w:rFonts w:ascii="Book Antiqua" w:hAnsi="Book Antiqua"/>
        </w:rPr>
        <w:t>Kronmal</w:t>
      </w:r>
      <w:proofErr w:type="spellEnd"/>
      <w:r w:rsidRPr="005E5D86">
        <w:rPr>
          <w:rFonts w:ascii="Book Antiqua" w:hAnsi="Book Antiqua"/>
        </w:rPr>
        <w:t xml:space="preserve"> RN, </w:t>
      </w:r>
      <w:proofErr w:type="spellStart"/>
      <w:r w:rsidRPr="005E5D86">
        <w:rPr>
          <w:rFonts w:ascii="Book Antiqua" w:hAnsi="Book Antiqua"/>
        </w:rPr>
        <w:t>Budoff</w:t>
      </w:r>
      <w:proofErr w:type="spellEnd"/>
      <w:r w:rsidRPr="005E5D86">
        <w:rPr>
          <w:rFonts w:ascii="Book Antiqua" w:hAnsi="Book Antiqua"/>
        </w:rPr>
        <w:t xml:space="preserve"> MJ.</w:t>
      </w:r>
      <w:proofErr w:type="gramEnd"/>
      <w:r w:rsidRPr="005E5D86">
        <w:rPr>
          <w:rFonts w:ascii="Book Antiqua" w:hAnsi="Book Antiqua"/>
        </w:rPr>
        <w:t xml:space="preserve"> Association between inflammatory markers and liver fat: The Multi-Ethnic Study of </w:t>
      </w:r>
      <w:r w:rsidRPr="005E5D86">
        <w:rPr>
          <w:rFonts w:ascii="Book Antiqua" w:hAnsi="Book Antiqua"/>
        </w:rPr>
        <w:lastRenderedPageBreak/>
        <w:t xml:space="preserve">Atherosclerosis. </w:t>
      </w:r>
      <w:r w:rsidRPr="005E5D86">
        <w:rPr>
          <w:rFonts w:ascii="Book Antiqua" w:hAnsi="Book Antiqua"/>
          <w:i/>
        </w:rPr>
        <w:t xml:space="preserve">J </w:t>
      </w:r>
      <w:proofErr w:type="spellStart"/>
      <w:r w:rsidRPr="005E5D86">
        <w:rPr>
          <w:rFonts w:ascii="Book Antiqua" w:hAnsi="Book Antiqua"/>
          <w:i/>
        </w:rPr>
        <w:t>Clin</w:t>
      </w:r>
      <w:proofErr w:type="spellEnd"/>
      <w:r w:rsidRPr="005E5D86">
        <w:rPr>
          <w:rFonts w:ascii="Book Antiqua" w:hAnsi="Book Antiqua"/>
          <w:i/>
        </w:rPr>
        <w:t xml:space="preserve"> </w:t>
      </w:r>
      <w:proofErr w:type="spellStart"/>
      <w:r w:rsidRPr="005E5D86">
        <w:rPr>
          <w:rFonts w:ascii="Book Antiqua" w:hAnsi="Book Antiqua"/>
          <w:i/>
        </w:rPr>
        <w:t>Exp</w:t>
      </w:r>
      <w:proofErr w:type="spellEnd"/>
      <w:r w:rsidRPr="005E5D86">
        <w:rPr>
          <w:rFonts w:ascii="Book Antiqua" w:hAnsi="Book Antiqua"/>
          <w:i/>
        </w:rPr>
        <w:t xml:space="preserve"> </w:t>
      </w:r>
      <w:proofErr w:type="spellStart"/>
      <w:r w:rsidRPr="005E5D86">
        <w:rPr>
          <w:rFonts w:ascii="Book Antiqua" w:hAnsi="Book Antiqua"/>
          <w:i/>
        </w:rPr>
        <w:t>Cardiolog</w:t>
      </w:r>
      <w:proofErr w:type="spellEnd"/>
      <w:r w:rsidRPr="005E5D86">
        <w:rPr>
          <w:rFonts w:ascii="Book Antiqua" w:hAnsi="Book Antiqua"/>
        </w:rPr>
        <w:t xml:space="preserve"> 2014; </w:t>
      </w:r>
      <w:r w:rsidRPr="005E5D86">
        <w:rPr>
          <w:rFonts w:ascii="Book Antiqua" w:hAnsi="Book Antiqua"/>
          <w:b/>
        </w:rPr>
        <w:t>5</w:t>
      </w:r>
      <w:r w:rsidRPr="005E5D86">
        <w:rPr>
          <w:rFonts w:ascii="Book Antiqua" w:hAnsi="Book Antiqua"/>
        </w:rPr>
        <w:t xml:space="preserve"> [PMID: 25598995 DOI: 10.4172/2155-9880.1000344]</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31 </w:t>
      </w:r>
      <w:proofErr w:type="spellStart"/>
      <w:r w:rsidRPr="005E5D86">
        <w:rPr>
          <w:rFonts w:ascii="Book Antiqua" w:hAnsi="Book Antiqua"/>
          <w:b/>
        </w:rPr>
        <w:t>Neuschwander-Tetri</w:t>
      </w:r>
      <w:proofErr w:type="spellEnd"/>
      <w:r w:rsidRPr="005E5D86">
        <w:rPr>
          <w:rFonts w:ascii="Book Antiqua" w:hAnsi="Book Antiqua"/>
          <w:b/>
        </w:rPr>
        <w:t xml:space="preserve"> BA</w:t>
      </w:r>
      <w:r w:rsidRPr="005E5D86">
        <w:rPr>
          <w:rFonts w:ascii="Book Antiqua" w:hAnsi="Book Antiqua"/>
        </w:rPr>
        <w:t>.</w:t>
      </w:r>
      <w:proofErr w:type="gramEnd"/>
      <w:r w:rsidRPr="005E5D86">
        <w:rPr>
          <w:rFonts w:ascii="Book Antiqua" w:hAnsi="Book Antiqua"/>
        </w:rPr>
        <w:t xml:space="preserve"> Hepatic </w:t>
      </w:r>
      <w:proofErr w:type="spellStart"/>
      <w:r w:rsidRPr="005E5D86">
        <w:rPr>
          <w:rFonts w:ascii="Book Antiqua" w:hAnsi="Book Antiqua"/>
        </w:rPr>
        <w:t>lipotoxicity</w:t>
      </w:r>
      <w:proofErr w:type="spellEnd"/>
      <w:r w:rsidRPr="005E5D86">
        <w:rPr>
          <w:rFonts w:ascii="Book Antiqua" w:hAnsi="Book Antiqua"/>
        </w:rPr>
        <w:t xml:space="preserve"> and the pathogenesis of nonalcoholic steatohepatitis: the central role of </w:t>
      </w:r>
      <w:proofErr w:type="spellStart"/>
      <w:r w:rsidRPr="005E5D86">
        <w:rPr>
          <w:rFonts w:ascii="Book Antiqua" w:hAnsi="Book Antiqua"/>
        </w:rPr>
        <w:t>nontriglyceride</w:t>
      </w:r>
      <w:proofErr w:type="spellEnd"/>
      <w:r w:rsidRPr="005E5D86">
        <w:rPr>
          <w:rFonts w:ascii="Book Antiqua" w:hAnsi="Book Antiqua"/>
        </w:rPr>
        <w:t xml:space="preserve"> fatty acid metabolites. </w:t>
      </w:r>
      <w:r w:rsidRPr="005E5D86">
        <w:rPr>
          <w:rFonts w:ascii="Book Antiqua" w:hAnsi="Book Antiqua"/>
          <w:i/>
        </w:rPr>
        <w:t>Hepatology</w:t>
      </w:r>
      <w:r w:rsidRPr="005E5D86">
        <w:rPr>
          <w:rFonts w:ascii="Book Antiqua" w:hAnsi="Book Antiqua"/>
        </w:rPr>
        <w:t xml:space="preserve"> 2010; </w:t>
      </w:r>
      <w:r w:rsidRPr="005E5D86">
        <w:rPr>
          <w:rFonts w:ascii="Book Antiqua" w:hAnsi="Book Antiqua"/>
          <w:b/>
        </w:rPr>
        <w:t>52</w:t>
      </w:r>
      <w:r w:rsidRPr="005E5D86">
        <w:rPr>
          <w:rFonts w:ascii="Book Antiqua" w:hAnsi="Book Antiqua"/>
        </w:rPr>
        <w:t>: 774-788 [PMID: 20683968 DOI: 10.1002/hep.23719]</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32 </w:t>
      </w:r>
      <w:proofErr w:type="spellStart"/>
      <w:r w:rsidRPr="005E5D86">
        <w:rPr>
          <w:rFonts w:ascii="Book Antiqua" w:hAnsi="Book Antiqua"/>
          <w:b/>
        </w:rPr>
        <w:t>Racanelli</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Rehermann</w:t>
      </w:r>
      <w:proofErr w:type="spellEnd"/>
      <w:r w:rsidRPr="005E5D86">
        <w:rPr>
          <w:rFonts w:ascii="Book Antiqua" w:hAnsi="Book Antiqua"/>
        </w:rPr>
        <w:t xml:space="preserve"> B.</w:t>
      </w:r>
      <w:proofErr w:type="gramEnd"/>
      <w:r w:rsidRPr="005E5D86">
        <w:rPr>
          <w:rFonts w:ascii="Book Antiqua" w:hAnsi="Book Antiqua"/>
        </w:rPr>
        <w:t xml:space="preserve"> </w:t>
      </w:r>
      <w:proofErr w:type="gramStart"/>
      <w:r w:rsidRPr="005E5D86">
        <w:rPr>
          <w:rFonts w:ascii="Book Antiqua" w:hAnsi="Book Antiqua"/>
        </w:rPr>
        <w:t>The liver as an immunological organ.</w:t>
      </w:r>
      <w:proofErr w:type="gramEnd"/>
      <w:r w:rsidRPr="005E5D86">
        <w:rPr>
          <w:rFonts w:ascii="Book Antiqua" w:hAnsi="Book Antiqua"/>
        </w:rPr>
        <w:t xml:space="preserve"> </w:t>
      </w:r>
      <w:r w:rsidRPr="005E5D86">
        <w:rPr>
          <w:rFonts w:ascii="Book Antiqua" w:hAnsi="Book Antiqua"/>
          <w:i/>
        </w:rPr>
        <w:t>Hepatology</w:t>
      </w:r>
      <w:r w:rsidRPr="005E5D86">
        <w:rPr>
          <w:rFonts w:ascii="Book Antiqua" w:hAnsi="Book Antiqua"/>
        </w:rPr>
        <w:t xml:space="preserve"> 2006; </w:t>
      </w:r>
      <w:r w:rsidRPr="005E5D86">
        <w:rPr>
          <w:rFonts w:ascii="Book Antiqua" w:hAnsi="Book Antiqua"/>
          <w:b/>
        </w:rPr>
        <w:t>43</w:t>
      </w:r>
      <w:r w:rsidRPr="005E5D86">
        <w:rPr>
          <w:rFonts w:ascii="Book Antiqua" w:hAnsi="Book Antiqua"/>
        </w:rPr>
        <w:t>: S54-S62 [PMID: 16447271 DOI: 10.1002/hep.21060]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33 </w:t>
      </w:r>
      <w:r w:rsidRPr="005E5D86">
        <w:rPr>
          <w:rFonts w:ascii="Book Antiqua" w:hAnsi="Book Antiqua"/>
          <w:b/>
        </w:rPr>
        <w:t>Solomon DH</w:t>
      </w:r>
      <w:r w:rsidRPr="005E5D86">
        <w:rPr>
          <w:rFonts w:ascii="Book Antiqua" w:hAnsi="Book Antiqua"/>
        </w:rPr>
        <w:t xml:space="preserve">, Reed GW, Kremer JM, Curtis JR, </w:t>
      </w:r>
      <w:proofErr w:type="spellStart"/>
      <w:r w:rsidRPr="005E5D86">
        <w:rPr>
          <w:rFonts w:ascii="Book Antiqua" w:hAnsi="Book Antiqua"/>
        </w:rPr>
        <w:t>Farkouh</w:t>
      </w:r>
      <w:proofErr w:type="spellEnd"/>
      <w:r w:rsidRPr="005E5D86">
        <w:rPr>
          <w:rFonts w:ascii="Book Antiqua" w:hAnsi="Book Antiqua"/>
        </w:rPr>
        <w:t xml:space="preserve"> ME, </w:t>
      </w:r>
      <w:proofErr w:type="spellStart"/>
      <w:r w:rsidRPr="005E5D86">
        <w:rPr>
          <w:rFonts w:ascii="Book Antiqua" w:hAnsi="Book Antiqua"/>
        </w:rPr>
        <w:t>Harrold</w:t>
      </w:r>
      <w:proofErr w:type="spellEnd"/>
      <w:r w:rsidRPr="005E5D86">
        <w:rPr>
          <w:rFonts w:ascii="Book Antiqua" w:hAnsi="Book Antiqua"/>
        </w:rPr>
        <w:t xml:space="preserve"> LR, Hochberg MC, Tsao P, Greenberg JD. </w:t>
      </w:r>
      <w:proofErr w:type="gramStart"/>
      <w:r w:rsidRPr="005E5D86">
        <w:rPr>
          <w:rFonts w:ascii="Book Antiqua" w:hAnsi="Book Antiqua"/>
        </w:rPr>
        <w:t>Disease activity in rheumatoid arthritis and the risk of cardiovascular events.</w:t>
      </w:r>
      <w:proofErr w:type="gramEnd"/>
      <w:r w:rsidRPr="005E5D86">
        <w:rPr>
          <w:rFonts w:ascii="Book Antiqua" w:hAnsi="Book Antiqua"/>
        </w:rPr>
        <w:t xml:space="preserve"> </w:t>
      </w:r>
      <w:r w:rsidRPr="005E5D86">
        <w:rPr>
          <w:rFonts w:ascii="Book Antiqua" w:hAnsi="Book Antiqua"/>
          <w:i/>
        </w:rPr>
        <w:t xml:space="preserve">Arthritis </w:t>
      </w:r>
      <w:proofErr w:type="spellStart"/>
      <w:r w:rsidRPr="005E5D86">
        <w:rPr>
          <w:rFonts w:ascii="Book Antiqua" w:hAnsi="Book Antiqua"/>
          <w:i/>
        </w:rPr>
        <w:t>Rheumatol</w:t>
      </w:r>
      <w:proofErr w:type="spellEnd"/>
      <w:r w:rsidRPr="005E5D86">
        <w:rPr>
          <w:rFonts w:ascii="Book Antiqua" w:hAnsi="Book Antiqua"/>
        </w:rPr>
        <w:t xml:space="preserve"> 2015; </w:t>
      </w:r>
      <w:r w:rsidRPr="005E5D86">
        <w:rPr>
          <w:rFonts w:ascii="Book Antiqua" w:hAnsi="Book Antiqua"/>
          <w:b/>
        </w:rPr>
        <w:t>67</w:t>
      </w:r>
      <w:r w:rsidRPr="005E5D86">
        <w:rPr>
          <w:rFonts w:ascii="Book Antiqua" w:hAnsi="Book Antiqua"/>
        </w:rPr>
        <w:t>: 1449-1455 [PMID: 25776112 DOI: 10.1002/art.39098]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34 </w:t>
      </w:r>
      <w:proofErr w:type="spellStart"/>
      <w:r w:rsidRPr="005E5D86">
        <w:rPr>
          <w:rFonts w:ascii="Book Antiqua" w:hAnsi="Book Antiqua"/>
          <w:b/>
        </w:rPr>
        <w:t>Manzi</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Meilahn</w:t>
      </w:r>
      <w:proofErr w:type="spellEnd"/>
      <w:r w:rsidRPr="005E5D86">
        <w:rPr>
          <w:rFonts w:ascii="Book Antiqua" w:hAnsi="Book Antiqua"/>
        </w:rPr>
        <w:t xml:space="preserve"> EN, </w:t>
      </w:r>
      <w:proofErr w:type="spellStart"/>
      <w:r w:rsidRPr="005E5D86">
        <w:rPr>
          <w:rFonts w:ascii="Book Antiqua" w:hAnsi="Book Antiqua"/>
        </w:rPr>
        <w:t>Rairie</w:t>
      </w:r>
      <w:proofErr w:type="spellEnd"/>
      <w:r w:rsidRPr="005E5D86">
        <w:rPr>
          <w:rFonts w:ascii="Book Antiqua" w:hAnsi="Book Antiqua"/>
        </w:rPr>
        <w:t xml:space="preserve"> JE, Conte CG, </w:t>
      </w:r>
      <w:proofErr w:type="spellStart"/>
      <w:r w:rsidRPr="005E5D86">
        <w:rPr>
          <w:rFonts w:ascii="Book Antiqua" w:hAnsi="Book Antiqua"/>
        </w:rPr>
        <w:t>Medsger</w:t>
      </w:r>
      <w:proofErr w:type="spellEnd"/>
      <w:r w:rsidRPr="005E5D86">
        <w:rPr>
          <w:rFonts w:ascii="Book Antiqua" w:hAnsi="Book Antiqua"/>
        </w:rPr>
        <w:t xml:space="preserve"> TA </w:t>
      </w:r>
      <w:proofErr w:type="spellStart"/>
      <w:r w:rsidRPr="005E5D86">
        <w:rPr>
          <w:rFonts w:ascii="Book Antiqua" w:hAnsi="Book Antiqua"/>
        </w:rPr>
        <w:t>Jr</w:t>
      </w:r>
      <w:proofErr w:type="spellEnd"/>
      <w:r w:rsidRPr="005E5D86">
        <w:rPr>
          <w:rFonts w:ascii="Book Antiqua" w:hAnsi="Book Antiqua"/>
        </w:rPr>
        <w:t xml:space="preserve">, Jansen-McWilliams L, </w:t>
      </w:r>
      <w:proofErr w:type="spellStart"/>
      <w:r w:rsidRPr="005E5D86">
        <w:rPr>
          <w:rFonts w:ascii="Book Antiqua" w:hAnsi="Book Antiqua"/>
        </w:rPr>
        <w:t>D'Agostino</w:t>
      </w:r>
      <w:proofErr w:type="spellEnd"/>
      <w:r w:rsidRPr="005E5D86">
        <w:rPr>
          <w:rFonts w:ascii="Book Antiqua" w:hAnsi="Book Antiqua"/>
        </w:rPr>
        <w:t xml:space="preserve"> RB, </w:t>
      </w:r>
      <w:proofErr w:type="spellStart"/>
      <w:r w:rsidRPr="005E5D86">
        <w:rPr>
          <w:rFonts w:ascii="Book Antiqua" w:hAnsi="Book Antiqua"/>
        </w:rPr>
        <w:t>Kuller</w:t>
      </w:r>
      <w:proofErr w:type="spellEnd"/>
      <w:r w:rsidRPr="005E5D86">
        <w:rPr>
          <w:rFonts w:ascii="Book Antiqua" w:hAnsi="Book Antiqua"/>
        </w:rPr>
        <w:t xml:space="preserve"> LH. Age-specific incidence rates of myocardial infarction and angina in women with systemic lupus erythematosus: comparison with the Framingham Study. </w:t>
      </w:r>
      <w:r w:rsidRPr="005E5D86">
        <w:rPr>
          <w:rFonts w:ascii="Book Antiqua" w:hAnsi="Book Antiqua"/>
          <w:i/>
        </w:rPr>
        <w:t>Am J Epidemiol</w:t>
      </w:r>
      <w:r w:rsidRPr="005E5D86">
        <w:rPr>
          <w:rFonts w:ascii="Book Antiqua" w:hAnsi="Book Antiqua"/>
        </w:rPr>
        <w:t xml:space="preserve"> 1997; </w:t>
      </w:r>
      <w:r w:rsidRPr="005E5D86">
        <w:rPr>
          <w:rFonts w:ascii="Book Antiqua" w:hAnsi="Book Antiqua"/>
          <w:b/>
        </w:rPr>
        <w:t>145</w:t>
      </w:r>
      <w:r w:rsidRPr="005E5D86">
        <w:rPr>
          <w:rFonts w:ascii="Book Antiqua" w:hAnsi="Book Antiqua"/>
        </w:rPr>
        <w:t>: 408-415 [PMID: 9048514 DOI: 10.1093/oxfordjournals.aje.a009122]</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35 </w:t>
      </w:r>
      <w:proofErr w:type="spellStart"/>
      <w:r w:rsidRPr="005E5D86">
        <w:rPr>
          <w:rFonts w:ascii="Book Antiqua" w:hAnsi="Book Antiqua"/>
          <w:b/>
        </w:rPr>
        <w:t>Sanyal</w:t>
      </w:r>
      <w:proofErr w:type="spellEnd"/>
      <w:r w:rsidRPr="005E5D86">
        <w:rPr>
          <w:rFonts w:ascii="Book Antiqua" w:hAnsi="Book Antiqua"/>
          <w:b/>
        </w:rPr>
        <w:t xml:space="preserve"> AJ</w:t>
      </w:r>
      <w:r w:rsidRPr="005E5D86">
        <w:rPr>
          <w:rFonts w:ascii="Book Antiqua" w:hAnsi="Book Antiqua"/>
        </w:rPr>
        <w:t>; American Gastroenterological Association.</w:t>
      </w:r>
      <w:proofErr w:type="gramEnd"/>
      <w:r w:rsidRPr="005E5D86">
        <w:rPr>
          <w:rFonts w:ascii="Book Antiqua" w:hAnsi="Book Antiqua"/>
        </w:rPr>
        <w:t xml:space="preserve"> </w:t>
      </w:r>
      <w:proofErr w:type="gramStart"/>
      <w:r w:rsidRPr="005E5D86">
        <w:rPr>
          <w:rFonts w:ascii="Book Antiqua" w:hAnsi="Book Antiqua"/>
        </w:rPr>
        <w:t>AGA technical review on nonalcoholic fatty liver disease.</w:t>
      </w:r>
      <w:proofErr w:type="gramEnd"/>
      <w:r w:rsidRPr="005E5D86">
        <w:rPr>
          <w:rFonts w:ascii="Book Antiqua" w:hAnsi="Book Antiqua"/>
        </w:rPr>
        <w:t xml:space="preserve"> </w:t>
      </w:r>
      <w:r w:rsidRPr="005E5D86">
        <w:rPr>
          <w:rFonts w:ascii="Book Antiqua" w:hAnsi="Book Antiqua"/>
          <w:i/>
        </w:rPr>
        <w:t>Gastroenterology</w:t>
      </w:r>
      <w:r w:rsidRPr="005E5D86">
        <w:rPr>
          <w:rFonts w:ascii="Book Antiqua" w:hAnsi="Book Antiqua"/>
        </w:rPr>
        <w:t xml:space="preserve"> 2002; </w:t>
      </w:r>
      <w:r w:rsidRPr="005E5D86">
        <w:rPr>
          <w:rFonts w:ascii="Book Antiqua" w:hAnsi="Book Antiqua"/>
          <w:b/>
        </w:rPr>
        <w:t>123</w:t>
      </w:r>
      <w:r w:rsidRPr="005E5D86">
        <w:rPr>
          <w:rFonts w:ascii="Book Antiqua" w:hAnsi="Book Antiqua"/>
        </w:rPr>
        <w:t>: 1705-1725 [PMID: 12404245 DOI: 10.1053/gast.2002.36572]</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3</w:t>
      </w:r>
      <w:r w:rsidR="007C7A1F">
        <w:rPr>
          <w:rFonts w:ascii="Book Antiqua" w:hAnsi="Book Antiqua"/>
        </w:rPr>
        <w:t>6</w:t>
      </w:r>
      <w:r w:rsidRPr="005E5D86">
        <w:rPr>
          <w:rFonts w:ascii="Book Antiqua" w:hAnsi="Book Antiqua"/>
        </w:rPr>
        <w:t xml:space="preserve"> </w:t>
      </w:r>
      <w:proofErr w:type="spellStart"/>
      <w:r w:rsidRPr="005E5D86">
        <w:rPr>
          <w:rFonts w:ascii="Book Antiqua" w:hAnsi="Book Antiqua"/>
          <w:b/>
        </w:rPr>
        <w:t>Venetsanaki</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Polyzos</w:t>
      </w:r>
      <w:proofErr w:type="spellEnd"/>
      <w:r w:rsidRPr="005E5D86">
        <w:rPr>
          <w:rFonts w:ascii="Book Antiqua" w:hAnsi="Book Antiqua"/>
        </w:rPr>
        <w:t xml:space="preserve"> SA.</w:t>
      </w:r>
      <w:proofErr w:type="gramEnd"/>
      <w:r w:rsidRPr="005E5D86">
        <w:rPr>
          <w:rFonts w:ascii="Book Antiqua" w:hAnsi="Book Antiqua"/>
        </w:rPr>
        <w:t xml:space="preserve"> Menopause and Non-Alcoholic Fatty Liver Disease: A Review Focusing on Therapeutic Perspectives. </w:t>
      </w:r>
      <w:proofErr w:type="spellStart"/>
      <w:r w:rsidRPr="005E5D86">
        <w:rPr>
          <w:rFonts w:ascii="Book Antiqua" w:hAnsi="Book Antiqua"/>
          <w:i/>
        </w:rPr>
        <w:t>Curr</w:t>
      </w:r>
      <w:proofErr w:type="spellEnd"/>
      <w:r w:rsidRPr="005E5D86">
        <w:rPr>
          <w:rFonts w:ascii="Book Antiqua" w:hAnsi="Book Antiqua"/>
          <w:i/>
        </w:rPr>
        <w:t xml:space="preserve"> </w:t>
      </w:r>
      <w:proofErr w:type="spellStart"/>
      <w:r w:rsidRPr="005E5D86">
        <w:rPr>
          <w:rFonts w:ascii="Book Antiqua" w:hAnsi="Book Antiqua"/>
          <w:i/>
        </w:rPr>
        <w:t>Vasc</w:t>
      </w:r>
      <w:proofErr w:type="spellEnd"/>
      <w:r w:rsidRPr="005E5D86">
        <w:rPr>
          <w:rFonts w:ascii="Book Antiqua" w:hAnsi="Book Antiqua"/>
          <w:i/>
        </w:rPr>
        <w:t xml:space="preserve"> </w:t>
      </w:r>
      <w:proofErr w:type="spellStart"/>
      <w:r w:rsidRPr="005E5D86">
        <w:rPr>
          <w:rFonts w:ascii="Book Antiqua" w:hAnsi="Book Antiqua"/>
          <w:i/>
        </w:rPr>
        <w:t>Pharmacol</w:t>
      </w:r>
      <w:proofErr w:type="spellEnd"/>
      <w:r w:rsidRPr="005E5D86">
        <w:rPr>
          <w:rFonts w:ascii="Book Antiqua" w:hAnsi="Book Antiqua"/>
        </w:rPr>
        <w:t xml:space="preserve"> 2019; </w:t>
      </w:r>
      <w:r w:rsidRPr="005E5D86">
        <w:rPr>
          <w:rFonts w:ascii="Book Antiqua" w:hAnsi="Book Antiqua"/>
          <w:b/>
        </w:rPr>
        <w:t>17</w:t>
      </w:r>
      <w:r w:rsidRPr="005E5D86">
        <w:rPr>
          <w:rFonts w:ascii="Book Antiqua" w:hAnsi="Book Antiqua"/>
        </w:rPr>
        <w:t>: 546-555 [PMID: 29992886 DOI: 10.2174/1570161116666180711121949]</w:t>
      </w:r>
    </w:p>
    <w:p w:rsidR="007C7A1F" w:rsidRPr="005E5D86" w:rsidRDefault="007C7A1F" w:rsidP="007C7A1F">
      <w:pPr>
        <w:snapToGrid w:val="0"/>
        <w:spacing w:line="360" w:lineRule="auto"/>
        <w:jc w:val="both"/>
        <w:rPr>
          <w:rFonts w:ascii="Book Antiqua" w:hAnsi="Book Antiqua"/>
        </w:rPr>
      </w:pPr>
      <w:r w:rsidRPr="005E5D86">
        <w:rPr>
          <w:rFonts w:ascii="Book Antiqua" w:hAnsi="Book Antiqua"/>
        </w:rPr>
        <w:t>3</w:t>
      </w:r>
      <w:r>
        <w:rPr>
          <w:rFonts w:ascii="Book Antiqua" w:hAnsi="Book Antiqua"/>
        </w:rPr>
        <w:t>7</w:t>
      </w:r>
      <w:r w:rsidRPr="005E5D86">
        <w:rPr>
          <w:rFonts w:ascii="Book Antiqua" w:hAnsi="Book Antiqua"/>
        </w:rPr>
        <w:t xml:space="preserve"> </w:t>
      </w:r>
      <w:r w:rsidRPr="005E5D86">
        <w:rPr>
          <w:rFonts w:ascii="Book Antiqua" w:hAnsi="Book Antiqua"/>
          <w:b/>
        </w:rPr>
        <w:t>Arora S</w:t>
      </w:r>
      <w:r w:rsidRPr="005E5D86">
        <w:rPr>
          <w:rFonts w:ascii="Book Antiqua" w:hAnsi="Book Antiqua"/>
        </w:rPr>
        <w:t xml:space="preserve">, Stouffer GA, </w:t>
      </w:r>
      <w:proofErr w:type="spellStart"/>
      <w:r w:rsidRPr="005E5D86">
        <w:rPr>
          <w:rFonts w:ascii="Book Antiqua" w:hAnsi="Book Antiqua"/>
        </w:rPr>
        <w:t>Kucharska</w:t>
      </w:r>
      <w:proofErr w:type="spellEnd"/>
      <w:r w:rsidRPr="005E5D86">
        <w:rPr>
          <w:rFonts w:ascii="Book Antiqua" w:hAnsi="Book Antiqua"/>
        </w:rPr>
        <w:t xml:space="preserve">-Newton AM, </w:t>
      </w:r>
      <w:proofErr w:type="spellStart"/>
      <w:r w:rsidRPr="005E5D86">
        <w:rPr>
          <w:rFonts w:ascii="Book Antiqua" w:hAnsi="Book Antiqua"/>
        </w:rPr>
        <w:t>Qamar</w:t>
      </w:r>
      <w:proofErr w:type="spellEnd"/>
      <w:r w:rsidRPr="005E5D86">
        <w:rPr>
          <w:rFonts w:ascii="Book Antiqua" w:hAnsi="Book Antiqua"/>
        </w:rPr>
        <w:t xml:space="preserve"> A, </w:t>
      </w:r>
      <w:proofErr w:type="spellStart"/>
      <w:r w:rsidRPr="005E5D86">
        <w:rPr>
          <w:rFonts w:ascii="Book Antiqua" w:hAnsi="Book Antiqua"/>
        </w:rPr>
        <w:t>Vaduganathan</w:t>
      </w:r>
      <w:proofErr w:type="spellEnd"/>
      <w:r w:rsidRPr="005E5D86">
        <w:rPr>
          <w:rFonts w:ascii="Book Antiqua" w:hAnsi="Book Antiqua"/>
        </w:rPr>
        <w:t xml:space="preserve"> M, </w:t>
      </w:r>
      <w:proofErr w:type="spellStart"/>
      <w:r w:rsidRPr="005E5D86">
        <w:rPr>
          <w:rFonts w:ascii="Book Antiqua" w:hAnsi="Book Antiqua"/>
        </w:rPr>
        <w:t>Pandey</w:t>
      </w:r>
      <w:proofErr w:type="spellEnd"/>
      <w:r w:rsidRPr="005E5D86">
        <w:rPr>
          <w:rFonts w:ascii="Book Antiqua" w:hAnsi="Book Antiqua"/>
        </w:rPr>
        <w:t xml:space="preserve"> A, Porterfield D, </w:t>
      </w:r>
      <w:proofErr w:type="spellStart"/>
      <w:r w:rsidRPr="005E5D86">
        <w:rPr>
          <w:rFonts w:ascii="Book Antiqua" w:hAnsi="Book Antiqua"/>
        </w:rPr>
        <w:t>Blankstein</w:t>
      </w:r>
      <w:proofErr w:type="spellEnd"/>
      <w:r w:rsidRPr="005E5D86">
        <w:rPr>
          <w:rFonts w:ascii="Book Antiqua" w:hAnsi="Book Antiqua"/>
        </w:rPr>
        <w:t xml:space="preserve"> R, Rosamond WD, Bhatt DL, </w:t>
      </w:r>
      <w:proofErr w:type="spellStart"/>
      <w:r w:rsidRPr="005E5D86">
        <w:rPr>
          <w:rFonts w:ascii="Book Antiqua" w:hAnsi="Book Antiqua"/>
        </w:rPr>
        <w:t>Caughey</w:t>
      </w:r>
      <w:proofErr w:type="spellEnd"/>
      <w:r w:rsidRPr="005E5D86">
        <w:rPr>
          <w:rFonts w:ascii="Book Antiqua" w:hAnsi="Book Antiqua"/>
        </w:rPr>
        <w:t xml:space="preserve"> MC. Twenty Year Trends and Sex Differences in Young Adults Hospitalized With Acute Myocardial Infarction. </w:t>
      </w:r>
      <w:r w:rsidRPr="005E5D86">
        <w:rPr>
          <w:rFonts w:ascii="Book Antiqua" w:hAnsi="Book Antiqua"/>
          <w:i/>
        </w:rPr>
        <w:t>Circulation</w:t>
      </w:r>
      <w:r w:rsidRPr="005E5D86">
        <w:rPr>
          <w:rFonts w:ascii="Book Antiqua" w:hAnsi="Book Antiqua"/>
        </w:rPr>
        <w:t xml:space="preserve"> 2019; </w:t>
      </w:r>
      <w:r w:rsidRPr="005E5D86">
        <w:rPr>
          <w:rFonts w:ascii="Book Antiqua" w:hAnsi="Book Antiqua"/>
          <w:b/>
        </w:rPr>
        <w:t>139</w:t>
      </w:r>
      <w:r w:rsidRPr="005E5D86">
        <w:rPr>
          <w:rFonts w:ascii="Book Antiqua" w:hAnsi="Book Antiqua"/>
        </w:rPr>
        <w:t>: 1047-1056 [PMID: 30586725 DOI: 10.1161/CIRCULATIONAHA.118.037137]</w:t>
      </w:r>
    </w:p>
    <w:p w:rsidR="005E5D86" w:rsidRPr="005E5D86" w:rsidRDefault="005E5D86" w:rsidP="005E5D86">
      <w:pPr>
        <w:snapToGrid w:val="0"/>
        <w:spacing w:line="360" w:lineRule="auto"/>
        <w:jc w:val="both"/>
        <w:rPr>
          <w:rFonts w:ascii="Book Antiqua" w:hAnsi="Book Antiqua"/>
        </w:rPr>
      </w:pPr>
      <w:proofErr w:type="gramStart"/>
      <w:r w:rsidRPr="005E5D86">
        <w:rPr>
          <w:rFonts w:ascii="Book Antiqua" w:hAnsi="Book Antiqua"/>
        </w:rPr>
        <w:t xml:space="preserve">38 </w:t>
      </w:r>
      <w:proofErr w:type="spellStart"/>
      <w:r w:rsidRPr="005E5D86">
        <w:rPr>
          <w:rFonts w:ascii="Book Antiqua" w:hAnsi="Book Antiqua"/>
          <w:b/>
        </w:rPr>
        <w:t>Younossi</w:t>
      </w:r>
      <w:proofErr w:type="spellEnd"/>
      <w:r w:rsidRPr="005E5D86">
        <w:rPr>
          <w:rFonts w:ascii="Book Antiqua" w:hAnsi="Book Antiqua"/>
          <w:b/>
        </w:rPr>
        <w:t xml:space="preserve"> ZM</w:t>
      </w:r>
      <w:r w:rsidRPr="005E5D86">
        <w:rPr>
          <w:rFonts w:ascii="Book Antiqua" w:hAnsi="Book Antiqua"/>
        </w:rPr>
        <w:t>.</w:t>
      </w:r>
      <w:proofErr w:type="gramEnd"/>
      <w:r w:rsidRPr="005E5D86">
        <w:rPr>
          <w:rFonts w:ascii="Book Antiqua" w:hAnsi="Book Antiqua"/>
        </w:rPr>
        <w:t xml:space="preserve"> </w:t>
      </w:r>
      <w:proofErr w:type="gramStart"/>
      <w:r w:rsidRPr="005E5D86">
        <w:rPr>
          <w:rFonts w:ascii="Book Antiqua" w:hAnsi="Book Antiqua"/>
        </w:rPr>
        <w:t>The epidemiology of nonalcoholic steatohepatitis.</w:t>
      </w:r>
      <w:proofErr w:type="gramEnd"/>
      <w:r w:rsidRPr="005E5D86">
        <w:rPr>
          <w:rFonts w:ascii="Book Antiqua" w:hAnsi="Book Antiqua"/>
        </w:rPr>
        <w:t xml:space="preserve"> </w:t>
      </w:r>
      <w:proofErr w:type="spellStart"/>
      <w:r w:rsidRPr="005E5D86">
        <w:rPr>
          <w:rFonts w:ascii="Book Antiqua" w:hAnsi="Book Antiqua"/>
          <w:i/>
        </w:rPr>
        <w:t>Clin</w:t>
      </w:r>
      <w:proofErr w:type="spellEnd"/>
      <w:r w:rsidRPr="005E5D86">
        <w:rPr>
          <w:rFonts w:ascii="Book Antiqua" w:hAnsi="Book Antiqua"/>
          <w:i/>
        </w:rPr>
        <w:t xml:space="preserve"> Liver Dis (Hoboken)</w:t>
      </w:r>
      <w:r w:rsidRPr="005E5D86">
        <w:rPr>
          <w:rFonts w:ascii="Book Antiqua" w:hAnsi="Book Antiqua"/>
        </w:rPr>
        <w:t xml:space="preserve"> 2018; </w:t>
      </w:r>
      <w:r w:rsidRPr="005E5D86">
        <w:rPr>
          <w:rFonts w:ascii="Book Antiqua" w:hAnsi="Book Antiqua"/>
          <w:b/>
        </w:rPr>
        <w:t>11</w:t>
      </w:r>
      <w:r w:rsidRPr="005E5D86">
        <w:rPr>
          <w:rFonts w:ascii="Book Antiqua" w:hAnsi="Book Antiqua"/>
        </w:rPr>
        <w:t>: 92-94 [PMID: 30992797 DOI: 10.1002/cld.710]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39 </w:t>
      </w:r>
      <w:proofErr w:type="spellStart"/>
      <w:r w:rsidRPr="005E5D86">
        <w:rPr>
          <w:rFonts w:ascii="Book Antiqua" w:hAnsi="Book Antiqua"/>
          <w:b/>
        </w:rPr>
        <w:t>Chalasani</w:t>
      </w:r>
      <w:proofErr w:type="spellEnd"/>
      <w:r w:rsidRPr="005E5D86">
        <w:rPr>
          <w:rFonts w:ascii="Book Antiqua" w:hAnsi="Book Antiqua"/>
          <w:b/>
        </w:rPr>
        <w:t xml:space="preserve"> N</w:t>
      </w:r>
      <w:r w:rsidRPr="005E5D86">
        <w:rPr>
          <w:rFonts w:ascii="Book Antiqua" w:hAnsi="Book Antiqua"/>
        </w:rPr>
        <w:t xml:space="preserve">, </w:t>
      </w:r>
      <w:proofErr w:type="spellStart"/>
      <w:r w:rsidRPr="005E5D86">
        <w:rPr>
          <w:rFonts w:ascii="Book Antiqua" w:hAnsi="Book Antiqua"/>
        </w:rPr>
        <w:t>Younossi</w:t>
      </w:r>
      <w:proofErr w:type="spellEnd"/>
      <w:r w:rsidRPr="005E5D86">
        <w:rPr>
          <w:rFonts w:ascii="Book Antiqua" w:hAnsi="Book Antiqua"/>
        </w:rPr>
        <w:t xml:space="preserve"> Z, Lavine JE, Charlton M, </w:t>
      </w:r>
      <w:proofErr w:type="spellStart"/>
      <w:r w:rsidRPr="005E5D86">
        <w:rPr>
          <w:rFonts w:ascii="Book Antiqua" w:hAnsi="Book Antiqua"/>
        </w:rPr>
        <w:t>Cusi</w:t>
      </w:r>
      <w:proofErr w:type="spellEnd"/>
      <w:r w:rsidRPr="005E5D86">
        <w:rPr>
          <w:rFonts w:ascii="Book Antiqua" w:hAnsi="Book Antiqua"/>
        </w:rPr>
        <w:t xml:space="preserve"> K, </w:t>
      </w:r>
      <w:proofErr w:type="spellStart"/>
      <w:r w:rsidRPr="005E5D86">
        <w:rPr>
          <w:rFonts w:ascii="Book Antiqua" w:hAnsi="Book Antiqua"/>
        </w:rPr>
        <w:t>Rinella</w:t>
      </w:r>
      <w:proofErr w:type="spellEnd"/>
      <w:r w:rsidRPr="005E5D86">
        <w:rPr>
          <w:rFonts w:ascii="Book Antiqua" w:hAnsi="Book Antiqua"/>
        </w:rPr>
        <w:t xml:space="preserve"> M, Harrison SA, Brunt EM, </w:t>
      </w:r>
      <w:proofErr w:type="spellStart"/>
      <w:r w:rsidRPr="005E5D86">
        <w:rPr>
          <w:rFonts w:ascii="Book Antiqua" w:hAnsi="Book Antiqua"/>
        </w:rPr>
        <w:t>Sanyal</w:t>
      </w:r>
      <w:proofErr w:type="spellEnd"/>
      <w:r w:rsidRPr="005E5D86">
        <w:rPr>
          <w:rFonts w:ascii="Book Antiqua" w:hAnsi="Book Antiqua"/>
        </w:rPr>
        <w:t xml:space="preserve"> AJ. The diagnosis and management of nonalcoholic fatty liver disease: Practice guidance from the American Association for the Study of Liver Diseases. </w:t>
      </w:r>
      <w:r w:rsidRPr="005E5D86">
        <w:rPr>
          <w:rFonts w:ascii="Book Antiqua" w:hAnsi="Book Antiqua"/>
          <w:i/>
        </w:rPr>
        <w:t>Hepatology</w:t>
      </w:r>
      <w:r w:rsidRPr="005E5D86">
        <w:rPr>
          <w:rFonts w:ascii="Book Antiqua" w:hAnsi="Book Antiqua"/>
        </w:rPr>
        <w:t xml:space="preserve"> 2018; </w:t>
      </w:r>
      <w:r w:rsidRPr="005E5D86">
        <w:rPr>
          <w:rFonts w:ascii="Book Antiqua" w:hAnsi="Book Antiqua"/>
          <w:b/>
        </w:rPr>
        <w:t>67</w:t>
      </w:r>
      <w:r w:rsidRPr="005E5D86">
        <w:rPr>
          <w:rFonts w:ascii="Book Antiqua" w:hAnsi="Book Antiqua"/>
        </w:rPr>
        <w:t>: 328-357 [PMID: 28714183 DOI: 10.1002/hep.29367]</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40 </w:t>
      </w:r>
      <w:proofErr w:type="spellStart"/>
      <w:r w:rsidRPr="005E5D86">
        <w:rPr>
          <w:rFonts w:ascii="Book Antiqua" w:hAnsi="Book Antiqua"/>
          <w:b/>
        </w:rPr>
        <w:t>Ratziu</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Bellentani</w:t>
      </w:r>
      <w:proofErr w:type="spellEnd"/>
      <w:r w:rsidRPr="005E5D86">
        <w:rPr>
          <w:rFonts w:ascii="Book Antiqua" w:hAnsi="Book Antiqua"/>
        </w:rPr>
        <w:t xml:space="preserve"> S, Cortez-Pinto H, Day C, </w:t>
      </w:r>
      <w:proofErr w:type="spellStart"/>
      <w:r w:rsidRPr="005E5D86">
        <w:rPr>
          <w:rFonts w:ascii="Book Antiqua" w:hAnsi="Book Antiqua"/>
        </w:rPr>
        <w:t>Marchesini</w:t>
      </w:r>
      <w:proofErr w:type="spellEnd"/>
      <w:r w:rsidRPr="005E5D86">
        <w:rPr>
          <w:rFonts w:ascii="Book Antiqua" w:hAnsi="Book Antiqua"/>
        </w:rPr>
        <w:t xml:space="preserve"> G. A position statement on NAFLD/NASH based on the EASL 2009 special conference.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2010; </w:t>
      </w:r>
      <w:r w:rsidRPr="005E5D86">
        <w:rPr>
          <w:rFonts w:ascii="Book Antiqua" w:hAnsi="Book Antiqua"/>
          <w:b/>
        </w:rPr>
        <w:t>53</w:t>
      </w:r>
      <w:r w:rsidRPr="005E5D86">
        <w:rPr>
          <w:rFonts w:ascii="Book Antiqua" w:hAnsi="Book Antiqua"/>
        </w:rPr>
        <w:t>: 372-384 [PMID: 20494470 DOI: 10.1016/j.jhep.2010.04.008]</w:t>
      </w:r>
    </w:p>
    <w:p w:rsidR="00B319F1" w:rsidRPr="005E5D86" w:rsidRDefault="00B319F1"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lastRenderedPageBreak/>
        <w:t>Footnotes</w:t>
      </w: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Institutional review board statement</w:t>
      </w:r>
      <w:r w:rsidRPr="005E5D86">
        <w:rPr>
          <w:rFonts w:ascii="Book Antiqua" w:hAnsi="Book Antiqua"/>
          <w:b/>
          <w:bCs/>
          <w:iCs/>
          <w:color w:val="000000"/>
        </w:rPr>
        <w:t xml:space="preserve">: </w:t>
      </w:r>
      <w:r w:rsidR="00B319F1" w:rsidRPr="005E5D86">
        <w:rPr>
          <w:rFonts w:ascii="Book Antiqua" w:hAnsi="Book Antiqua"/>
        </w:rPr>
        <w:t>This study is exempt from Case Western Reserve/</w:t>
      </w:r>
      <w:proofErr w:type="spellStart"/>
      <w:r w:rsidR="00B319F1" w:rsidRPr="005E5D86">
        <w:rPr>
          <w:rFonts w:ascii="Book Antiqua" w:hAnsi="Book Antiqua"/>
        </w:rPr>
        <w:t>Metrohealth</w:t>
      </w:r>
      <w:proofErr w:type="spellEnd"/>
      <w:r w:rsidR="00B319F1" w:rsidRPr="005E5D86">
        <w:rPr>
          <w:rFonts w:ascii="Book Antiqua" w:hAnsi="Book Antiqua"/>
        </w:rPr>
        <w:t xml:space="preserve"> Medical Center IRB approval as the dataset used by </w:t>
      </w:r>
      <w:proofErr w:type="spellStart"/>
      <w:r w:rsidR="00B319F1" w:rsidRPr="005E5D86">
        <w:rPr>
          <w:rFonts w:ascii="Book Antiqua" w:hAnsi="Book Antiqua"/>
        </w:rPr>
        <w:t>Explorys</w:t>
      </w:r>
      <w:proofErr w:type="spellEnd"/>
      <w:r w:rsidR="00B319F1" w:rsidRPr="005E5D86">
        <w:rPr>
          <w:rFonts w:ascii="Book Antiqua" w:hAnsi="Book Antiqua"/>
        </w:rPr>
        <w:t xml:space="preserve"> database is de-identified.</w:t>
      </w:r>
    </w:p>
    <w:p w:rsidR="00B319F1" w:rsidRPr="005E5D86" w:rsidRDefault="00B319F1" w:rsidP="005E5D86">
      <w:pPr>
        <w:snapToGrid w:val="0"/>
        <w:spacing w:line="360" w:lineRule="auto"/>
        <w:jc w:val="both"/>
        <w:rPr>
          <w:rFonts w:ascii="Book Antiqua" w:hAnsi="Book Antiqua"/>
        </w:rPr>
      </w:pP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Informed consent statement</w:t>
      </w:r>
      <w:r w:rsidRPr="005E5D86">
        <w:rPr>
          <w:rFonts w:ascii="Book Antiqua" w:hAnsi="Book Antiqua"/>
          <w:b/>
          <w:bCs/>
          <w:iCs/>
          <w:color w:val="000000"/>
        </w:rPr>
        <w:t xml:space="preserve">: </w:t>
      </w:r>
      <w:r w:rsidR="00B319F1" w:rsidRPr="005E5D86">
        <w:rPr>
          <w:rFonts w:ascii="Book Antiqua" w:hAnsi="Book Antiqua"/>
        </w:rPr>
        <w:t>Informed consent was not required for this study, as it is exempt from IRB approval because the data set used in the database is de-identified.</w:t>
      </w:r>
    </w:p>
    <w:p w:rsidR="00B319F1" w:rsidRPr="005E5D86" w:rsidRDefault="00B319F1" w:rsidP="005E5D86">
      <w:pPr>
        <w:snapToGrid w:val="0"/>
        <w:spacing w:line="360" w:lineRule="auto"/>
        <w:jc w:val="both"/>
        <w:rPr>
          <w:rFonts w:ascii="Book Antiqua" w:hAnsi="Book Antiqua"/>
        </w:rPr>
      </w:pP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Conflict-of-interest statement</w:t>
      </w:r>
      <w:r w:rsidRPr="005E5D86">
        <w:rPr>
          <w:rFonts w:ascii="Book Antiqua" w:hAnsi="Book Antiqua" w:cs="TimesNewRomanPS-BoldItalicMT"/>
          <w:b/>
          <w:bCs/>
          <w:iCs/>
          <w:color w:val="000000"/>
        </w:rPr>
        <w:t xml:space="preserve">: </w:t>
      </w:r>
      <w:r w:rsidR="00B319F1" w:rsidRPr="005E5D86">
        <w:rPr>
          <w:rFonts w:ascii="Book Antiqua" w:hAnsi="Book Antiqua"/>
        </w:rPr>
        <w:t>All authors have no conflict of interest and nothing to disclose.</w:t>
      </w:r>
    </w:p>
    <w:p w:rsidR="00B319F1" w:rsidRPr="005E5D86" w:rsidRDefault="00B319F1" w:rsidP="005E5D86">
      <w:pPr>
        <w:snapToGrid w:val="0"/>
        <w:spacing w:line="360" w:lineRule="auto"/>
        <w:jc w:val="both"/>
        <w:rPr>
          <w:rFonts w:ascii="Book Antiqua" w:hAnsi="Book Antiqua"/>
        </w:rPr>
      </w:pPr>
    </w:p>
    <w:p w:rsidR="00AE62DB" w:rsidRPr="005E5D86" w:rsidRDefault="00AE62DB" w:rsidP="005E5D86">
      <w:pPr>
        <w:autoSpaceDE w:val="0"/>
        <w:autoSpaceDN w:val="0"/>
        <w:adjustRightInd w:val="0"/>
        <w:snapToGrid w:val="0"/>
        <w:spacing w:line="360" w:lineRule="auto"/>
        <w:jc w:val="both"/>
        <w:rPr>
          <w:rFonts w:ascii="Book Antiqua" w:hAnsi="Book Antiqua"/>
          <w:color w:val="000000"/>
        </w:rPr>
      </w:pPr>
      <w:r w:rsidRPr="005E5D86">
        <w:rPr>
          <w:rFonts w:ascii="Book Antiqua" w:hAnsi="Book Antiqua"/>
          <w:b/>
          <w:color w:val="000000"/>
        </w:rPr>
        <w:t>Data sharing statement</w:t>
      </w:r>
      <w:r w:rsidRPr="005E5D86">
        <w:rPr>
          <w:rFonts w:ascii="Book Antiqua" w:hAnsi="Book Antiqua" w:cs="TimesNewRomanPS-BoldItalicMT"/>
          <w:b/>
          <w:bCs/>
          <w:iCs/>
          <w:color w:val="000000"/>
        </w:rPr>
        <w:t>:</w:t>
      </w:r>
      <w:r w:rsidRPr="005E5D86">
        <w:rPr>
          <w:rFonts w:ascii="Book Antiqua" w:hAnsi="Book Antiqua"/>
          <w:color w:val="000000"/>
        </w:rPr>
        <w:t xml:space="preserve"> </w:t>
      </w:r>
      <w:r w:rsidRPr="005E5D86">
        <w:rPr>
          <w:rFonts w:ascii="Book Antiqua" w:hAnsi="Book Antiqua"/>
          <w:bCs/>
          <w:iCs/>
          <w:color w:val="000000"/>
        </w:rPr>
        <w:t>No additional data are available.</w:t>
      </w:r>
    </w:p>
    <w:p w:rsidR="00AE62DB" w:rsidRPr="005E5D86" w:rsidRDefault="00AE62DB" w:rsidP="005E5D86">
      <w:pPr>
        <w:adjustRightInd w:val="0"/>
        <w:snapToGrid w:val="0"/>
        <w:spacing w:line="360" w:lineRule="auto"/>
        <w:jc w:val="both"/>
        <w:rPr>
          <w:rFonts w:ascii="Book Antiqua" w:hAnsi="Book Antiqua"/>
          <w:color w:val="000000"/>
        </w:rPr>
      </w:pPr>
    </w:p>
    <w:p w:rsidR="00AE62DB" w:rsidRPr="00704149" w:rsidRDefault="00AE62DB" w:rsidP="00704149">
      <w:pPr>
        <w:autoSpaceDE w:val="0"/>
        <w:autoSpaceDN w:val="0"/>
        <w:adjustRightInd w:val="0"/>
        <w:snapToGrid w:val="0"/>
        <w:spacing w:line="360" w:lineRule="auto"/>
        <w:rPr>
          <w:rFonts w:ascii="Book Antiqua" w:hAnsi="Book Antiqua" w:cs="Garamond-Bold"/>
          <w:bCs/>
          <w:color w:val="000000" w:themeColor="text1"/>
        </w:rPr>
      </w:pPr>
      <w:r w:rsidRPr="005E5D86">
        <w:rPr>
          <w:rFonts w:ascii="Book Antiqua" w:hAnsi="Book Antiqua"/>
          <w:b/>
          <w:color w:val="000000"/>
        </w:rPr>
        <w:t>STROBE statement:</w:t>
      </w:r>
      <w:r w:rsidR="00704149" w:rsidRPr="00704149">
        <w:rPr>
          <w:rFonts w:ascii="Book Antiqua" w:hAnsi="Book Antiqua" w:cs="Garamond-Bold"/>
          <w:bCs/>
          <w:color w:val="000000" w:themeColor="text1"/>
        </w:rPr>
        <w:t xml:space="preserve"> </w:t>
      </w:r>
      <w:r w:rsidR="00704149" w:rsidRPr="000E50DD">
        <w:rPr>
          <w:rFonts w:ascii="Book Antiqua" w:hAnsi="Book Antiqua" w:cs="Garamond-Bold"/>
          <w:bCs/>
          <w:color w:val="000000" w:themeColor="text1"/>
        </w:rPr>
        <w:t>The authors have read the STROBE Statement</w:t>
      </w:r>
      <w:r w:rsidR="00704149">
        <w:rPr>
          <w:rFonts w:ascii="Book Antiqua" w:hAnsi="Book Antiqua" w:cs="Garamond-Bold"/>
          <w:bCs/>
          <w:color w:val="000000" w:themeColor="text1"/>
        </w:rPr>
        <w:t>-</w:t>
      </w:r>
      <w:r w:rsidR="00704149" w:rsidRPr="000E50DD">
        <w:rPr>
          <w:rFonts w:ascii="Book Antiqua" w:hAnsi="Book Antiqua" w:cs="Garamond-Bold"/>
          <w:bCs/>
          <w:color w:val="000000" w:themeColor="text1"/>
        </w:rPr>
        <w:t>checklist of items, and the manuscript was prepared and revised according to the STROBE Statement</w:t>
      </w:r>
      <w:r w:rsidR="00704149">
        <w:rPr>
          <w:rFonts w:ascii="Book Antiqua" w:hAnsi="Book Antiqua" w:cs="Garamond-Bold"/>
          <w:bCs/>
          <w:color w:val="000000" w:themeColor="text1"/>
        </w:rPr>
        <w:t>-</w:t>
      </w:r>
      <w:r w:rsidR="00704149" w:rsidRPr="000E50DD">
        <w:rPr>
          <w:rFonts w:ascii="Book Antiqua" w:hAnsi="Book Antiqua" w:cs="Garamond-Bold"/>
          <w:bCs/>
          <w:color w:val="000000" w:themeColor="text1"/>
        </w:rPr>
        <w:t>checklist of items.</w:t>
      </w:r>
    </w:p>
    <w:p w:rsidR="00AE62DB" w:rsidRPr="005E5D86" w:rsidRDefault="00AE62DB" w:rsidP="005E5D86">
      <w:pPr>
        <w:snapToGrid w:val="0"/>
        <w:spacing w:line="360" w:lineRule="auto"/>
        <w:jc w:val="both"/>
        <w:rPr>
          <w:rFonts w:ascii="Book Antiqua" w:hAnsi="Book Antiqua"/>
        </w:rPr>
      </w:pPr>
    </w:p>
    <w:p w:rsidR="00AE62DB" w:rsidRPr="005E5D86" w:rsidRDefault="00AE62DB" w:rsidP="005E5D86">
      <w:pPr>
        <w:adjustRightInd w:val="0"/>
        <w:snapToGrid w:val="0"/>
        <w:spacing w:line="360" w:lineRule="auto"/>
        <w:jc w:val="both"/>
        <w:rPr>
          <w:rFonts w:ascii="Book Antiqua" w:hAnsi="Book Antiqua"/>
          <w:color w:val="000000"/>
        </w:rPr>
      </w:pPr>
      <w:r w:rsidRPr="005E5D86">
        <w:rPr>
          <w:rFonts w:ascii="Book Antiqua" w:hAnsi="Book Antiqua"/>
          <w:b/>
          <w:color w:val="000000"/>
        </w:rPr>
        <w:t>Open-Access:</w:t>
      </w:r>
      <w:r w:rsidRPr="005E5D86">
        <w:rPr>
          <w:rFonts w:ascii="Book Antiqua" w:hAnsi="Book Antiqua"/>
          <w:color w:val="000000"/>
        </w:rPr>
        <w:t xml:space="preserve"> This article is an open-access </w:t>
      </w:r>
      <w:r w:rsidRPr="005E5D86">
        <w:rPr>
          <w:rFonts w:ascii="Book Antiqua" w:hAnsi="Book Antiqua"/>
        </w:rPr>
        <w:t xml:space="preserve">article that was selected </w:t>
      </w:r>
      <w:r w:rsidRPr="005E5D86">
        <w:rPr>
          <w:rFonts w:ascii="Book Antiqua" w:hAnsi="Book Antiqua"/>
          <w:color w:val="000000"/>
        </w:rPr>
        <w:t xml:space="preserve">by an in-house editor and fully peer-reviewed by external reviewers. It is distributed in accordance with the Creative Commons Attribution </w:t>
      </w:r>
      <w:proofErr w:type="spellStart"/>
      <w:r w:rsidRPr="005E5D86">
        <w:rPr>
          <w:rFonts w:ascii="Book Antiqua" w:hAnsi="Book Antiqua"/>
          <w:color w:val="000000"/>
        </w:rPr>
        <w:t>NonCommercial</w:t>
      </w:r>
      <w:proofErr w:type="spellEnd"/>
      <w:r w:rsidRPr="005E5D86">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E62DB" w:rsidRPr="005E5D86" w:rsidRDefault="00AE62DB" w:rsidP="005E5D86">
      <w:pPr>
        <w:adjustRightInd w:val="0"/>
        <w:snapToGrid w:val="0"/>
        <w:spacing w:line="360" w:lineRule="auto"/>
        <w:jc w:val="both"/>
        <w:rPr>
          <w:rFonts w:ascii="Book Antiqua" w:hAnsi="Book Antiqua"/>
          <w:color w:val="000000"/>
        </w:rPr>
      </w:pPr>
    </w:p>
    <w:p w:rsidR="00AE62DB" w:rsidRPr="005E5D86" w:rsidRDefault="00AE62DB" w:rsidP="005E5D86">
      <w:pPr>
        <w:adjustRightInd w:val="0"/>
        <w:snapToGrid w:val="0"/>
        <w:spacing w:line="360" w:lineRule="auto"/>
        <w:jc w:val="both"/>
        <w:rPr>
          <w:rFonts w:ascii="Book Antiqua" w:hAnsi="Book Antiqua"/>
          <w:bCs/>
          <w:color w:val="000000"/>
        </w:rPr>
      </w:pPr>
      <w:r w:rsidRPr="005E5D86">
        <w:rPr>
          <w:rFonts w:ascii="Book Antiqua" w:hAnsi="Book Antiqua"/>
          <w:b/>
          <w:bCs/>
          <w:color w:val="000000"/>
          <w:lang w:eastAsia="pl-PL"/>
        </w:rPr>
        <w:t>Manuscript source:</w:t>
      </w:r>
      <w:r w:rsidRPr="005E5D86">
        <w:rPr>
          <w:rFonts w:ascii="Book Antiqua" w:hAnsi="Book Antiqua"/>
          <w:b/>
          <w:bCs/>
          <w:color w:val="000000"/>
        </w:rPr>
        <w:t xml:space="preserve"> </w:t>
      </w:r>
      <w:r w:rsidRPr="005E5D86">
        <w:rPr>
          <w:rFonts w:ascii="Book Antiqua" w:hAnsi="Book Antiqua"/>
          <w:bCs/>
          <w:color w:val="000000"/>
          <w:lang w:eastAsia="pl-PL"/>
        </w:rPr>
        <w:t>Unsolicited manuscript</w:t>
      </w:r>
    </w:p>
    <w:p w:rsidR="00AE62DB" w:rsidRPr="005E5D86" w:rsidRDefault="00AE62DB" w:rsidP="005E5D86">
      <w:pPr>
        <w:adjustRightInd w:val="0"/>
        <w:snapToGrid w:val="0"/>
        <w:spacing w:line="360" w:lineRule="auto"/>
        <w:jc w:val="both"/>
        <w:rPr>
          <w:rFonts w:ascii="Book Antiqua" w:hAnsi="Book Antiqua"/>
          <w:b/>
          <w:bCs/>
          <w:color w:val="000000"/>
        </w:rPr>
      </w:pP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t xml:space="preserve">Peer-review started: </w:t>
      </w:r>
      <w:r w:rsidRPr="005E5D86">
        <w:rPr>
          <w:rFonts w:ascii="Book Antiqua" w:hAnsi="Book Antiqua"/>
        </w:rPr>
        <w:t>January 11, 2020</w:t>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t xml:space="preserve">First decision: </w:t>
      </w:r>
      <w:r w:rsidRPr="005E5D86">
        <w:rPr>
          <w:rFonts w:ascii="Book Antiqua" w:hAnsi="Book Antiqua"/>
        </w:rPr>
        <w:t>April 18, 2020</w:t>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lastRenderedPageBreak/>
        <w:t>Article in press:</w:t>
      </w:r>
      <w:r w:rsidR="009540CE" w:rsidRPr="009540CE">
        <w:rPr>
          <w:rFonts w:ascii="Book Antiqua" w:hAnsi="Book Antiqua"/>
          <w:color w:val="000000"/>
        </w:rPr>
        <w:t xml:space="preserve"> </w:t>
      </w:r>
      <w:r w:rsidR="009540CE" w:rsidRPr="00FD0A07">
        <w:rPr>
          <w:rFonts w:ascii="Book Antiqua" w:hAnsi="Book Antiqua"/>
          <w:color w:val="000000"/>
        </w:rPr>
        <w:t>June 10, 2020</w:t>
      </w:r>
    </w:p>
    <w:p w:rsidR="00AE62DB" w:rsidRPr="005E5D86" w:rsidRDefault="00AE62DB" w:rsidP="005E5D86">
      <w:pPr>
        <w:adjustRightInd w:val="0"/>
        <w:snapToGrid w:val="0"/>
        <w:spacing w:line="360" w:lineRule="auto"/>
        <w:jc w:val="both"/>
        <w:rPr>
          <w:rFonts w:ascii="Book Antiqua" w:hAnsi="Book Antiqua"/>
          <w:b/>
        </w:rPr>
      </w:pPr>
    </w:p>
    <w:p w:rsidR="00AE62DB" w:rsidRPr="005E5D86" w:rsidRDefault="00AE62DB" w:rsidP="005E5D86">
      <w:pPr>
        <w:adjustRightInd w:val="0"/>
        <w:snapToGrid w:val="0"/>
        <w:spacing w:line="360" w:lineRule="auto"/>
        <w:jc w:val="both"/>
        <w:rPr>
          <w:rFonts w:ascii="Book Antiqua" w:eastAsia="微软雅黑" w:hAnsi="Book Antiqua" w:cs="宋体"/>
        </w:rPr>
      </w:pPr>
      <w:r w:rsidRPr="005E5D86">
        <w:rPr>
          <w:rFonts w:ascii="Book Antiqua" w:hAnsi="Book Antiqua" w:cs="宋体"/>
          <w:b/>
        </w:rPr>
        <w:t xml:space="preserve">Specialty type: </w:t>
      </w:r>
      <w:r w:rsidRPr="005E5D86">
        <w:rPr>
          <w:rFonts w:ascii="Book Antiqua" w:eastAsia="微软雅黑" w:hAnsi="Book Antiqua" w:cs="宋体"/>
        </w:rPr>
        <w:t>Gastroenterology and hepatology</w:t>
      </w:r>
    </w:p>
    <w:p w:rsidR="00AE62DB" w:rsidRPr="005E5D86" w:rsidRDefault="00AE62DB" w:rsidP="005E5D86">
      <w:pPr>
        <w:adjustRightInd w:val="0"/>
        <w:snapToGrid w:val="0"/>
        <w:spacing w:line="360" w:lineRule="auto"/>
        <w:jc w:val="both"/>
        <w:rPr>
          <w:rFonts w:ascii="Book Antiqua" w:hAnsi="Book Antiqua" w:cs="宋体"/>
        </w:rPr>
      </w:pPr>
      <w:r w:rsidRPr="005E5D86">
        <w:rPr>
          <w:rFonts w:ascii="Book Antiqua" w:hAnsi="Book Antiqua" w:cs="宋体"/>
          <w:b/>
        </w:rPr>
        <w:t xml:space="preserve">Country/Territory of origin: </w:t>
      </w:r>
      <w:r w:rsidRPr="005E5D86">
        <w:rPr>
          <w:rFonts w:ascii="Book Antiqua" w:hAnsi="Book Antiqua" w:cs="宋体"/>
        </w:rPr>
        <w:t>United States</w:t>
      </w:r>
    </w:p>
    <w:p w:rsidR="00AE62DB" w:rsidRPr="005E5D86" w:rsidRDefault="00AE62DB" w:rsidP="005E5D86">
      <w:pPr>
        <w:adjustRightInd w:val="0"/>
        <w:snapToGrid w:val="0"/>
        <w:spacing w:line="360" w:lineRule="auto"/>
        <w:jc w:val="both"/>
        <w:rPr>
          <w:rFonts w:ascii="Book Antiqua" w:hAnsi="Book Antiqua" w:cs="宋体"/>
          <w:b/>
        </w:rPr>
      </w:pPr>
      <w:r w:rsidRPr="005E5D86">
        <w:rPr>
          <w:rFonts w:ascii="Book Antiqua" w:hAnsi="Book Antiqua" w:cs="宋体"/>
          <w:b/>
        </w:rPr>
        <w:t>Peer-review report’s scientific quality classification</w:t>
      </w:r>
    </w:p>
    <w:p w:rsidR="00AE62DB" w:rsidRPr="005E5D86" w:rsidRDefault="00AE62DB" w:rsidP="005E5D86">
      <w:pPr>
        <w:adjustRightInd w:val="0"/>
        <w:snapToGrid w:val="0"/>
        <w:spacing w:line="360" w:lineRule="auto"/>
        <w:jc w:val="both"/>
        <w:rPr>
          <w:rFonts w:ascii="Book Antiqua" w:hAnsi="Book Antiqua" w:cs="宋体"/>
        </w:rPr>
      </w:pPr>
      <w:r w:rsidRPr="005E5D86">
        <w:rPr>
          <w:rFonts w:ascii="Book Antiqua" w:hAnsi="Book Antiqua" w:cs="宋体"/>
        </w:rPr>
        <w:t>Grade </w:t>
      </w:r>
      <w:proofErr w:type="gramStart"/>
      <w:r w:rsidRPr="005E5D86">
        <w:rPr>
          <w:rFonts w:ascii="Book Antiqua" w:hAnsi="Book Antiqua" w:cs="宋体"/>
        </w:rPr>
        <w:t>A</w:t>
      </w:r>
      <w:proofErr w:type="gramEnd"/>
      <w:r w:rsidRPr="005E5D86">
        <w:rPr>
          <w:rFonts w:ascii="Book Antiqua" w:hAnsi="Book Antiqua" w:cs="宋体"/>
        </w:rPr>
        <w:t> (Excellent): 0</w:t>
      </w:r>
    </w:p>
    <w:p w:rsidR="00AE62DB" w:rsidRPr="005E5D86" w:rsidRDefault="00AE62DB" w:rsidP="005E5D86">
      <w:pPr>
        <w:adjustRightInd w:val="0"/>
        <w:snapToGrid w:val="0"/>
        <w:spacing w:line="360" w:lineRule="auto"/>
        <w:jc w:val="both"/>
        <w:rPr>
          <w:rFonts w:ascii="Book Antiqua" w:hAnsi="Book Antiqua" w:cs="宋体"/>
        </w:rPr>
      </w:pPr>
      <w:r w:rsidRPr="005E5D86">
        <w:rPr>
          <w:rFonts w:ascii="Book Antiqua" w:hAnsi="Book Antiqua" w:cs="宋体"/>
        </w:rPr>
        <w:t>Grade B (Very good): B, B</w:t>
      </w:r>
    </w:p>
    <w:p w:rsidR="00AE62DB" w:rsidRPr="005E5D86" w:rsidRDefault="00AE62DB" w:rsidP="005E5D86">
      <w:pPr>
        <w:adjustRightInd w:val="0"/>
        <w:snapToGrid w:val="0"/>
        <w:spacing w:line="360" w:lineRule="auto"/>
        <w:jc w:val="both"/>
        <w:rPr>
          <w:rFonts w:ascii="Book Antiqua" w:hAnsi="Book Antiqua" w:cs="宋体"/>
        </w:rPr>
      </w:pPr>
      <w:r w:rsidRPr="005E5D86">
        <w:rPr>
          <w:rFonts w:ascii="Book Antiqua" w:hAnsi="Book Antiqua" w:cs="宋体"/>
        </w:rPr>
        <w:t>Grade C (Good): C, C</w:t>
      </w:r>
    </w:p>
    <w:p w:rsidR="00AE62DB" w:rsidRPr="005E5D86" w:rsidRDefault="00AE62DB" w:rsidP="005E5D86">
      <w:pPr>
        <w:adjustRightInd w:val="0"/>
        <w:snapToGrid w:val="0"/>
        <w:spacing w:line="360" w:lineRule="auto"/>
        <w:jc w:val="both"/>
        <w:rPr>
          <w:rFonts w:ascii="Book Antiqua" w:hAnsi="Book Antiqua" w:cs="宋体"/>
        </w:rPr>
      </w:pPr>
      <w:r w:rsidRPr="005E5D86">
        <w:rPr>
          <w:rFonts w:ascii="Book Antiqua" w:hAnsi="Book Antiqua" w:cs="宋体"/>
        </w:rPr>
        <w:t>Grade D (Fair): D</w:t>
      </w:r>
    </w:p>
    <w:p w:rsidR="00AE62DB" w:rsidRPr="005E5D86" w:rsidRDefault="00AE62DB" w:rsidP="005E5D86">
      <w:pPr>
        <w:adjustRightInd w:val="0"/>
        <w:snapToGrid w:val="0"/>
        <w:spacing w:line="360" w:lineRule="auto"/>
        <w:jc w:val="both"/>
        <w:rPr>
          <w:rFonts w:ascii="Book Antiqua" w:eastAsia="等线" w:hAnsi="Book Antiqua"/>
          <w:lang w:val="hu-HU"/>
        </w:rPr>
      </w:pPr>
      <w:r w:rsidRPr="005E5D86">
        <w:rPr>
          <w:rFonts w:ascii="Book Antiqua" w:hAnsi="Book Antiqua" w:cs="宋体"/>
        </w:rPr>
        <w:t>Grade E (Poor): 0</w:t>
      </w:r>
    </w:p>
    <w:p w:rsidR="00AE62DB" w:rsidRPr="005E5D86" w:rsidRDefault="00AE62DB" w:rsidP="005E5D86">
      <w:pPr>
        <w:adjustRightInd w:val="0"/>
        <w:snapToGrid w:val="0"/>
        <w:spacing w:line="360" w:lineRule="auto"/>
        <w:jc w:val="both"/>
        <w:rPr>
          <w:rFonts w:ascii="Book Antiqua" w:hAnsi="Book Antiqua"/>
          <w:b/>
          <w:bCs/>
          <w:color w:val="000000"/>
          <w:lang w:val="hu-HU"/>
        </w:rPr>
      </w:pPr>
    </w:p>
    <w:p w:rsidR="00AE62DB" w:rsidRPr="002E42FA" w:rsidRDefault="00AE62DB" w:rsidP="005E5D86">
      <w:pPr>
        <w:adjustRightInd w:val="0"/>
        <w:snapToGrid w:val="0"/>
        <w:spacing w:line="360" w:lineRule="auto"/>
        <w:jc w:val="both"/>
        <w:rPr>
          <w:rFonts w:ascii="Book Antiqua" w:eastAsiaTheme="minorEastAsia" w:hAnsi="Book Antiqua"/>
          <w:b/>
          <w:bCs/>
          <w:color w:val="000000"/>
          <w:lang w:eastAsia="zh-CN"/>
        </w:rPr>
      </w:pPr>
      <w:r w:rsidRPr="005E5D86">
        <w:rPr>
          <w:rFonts w:ascii="Book Antiqua" w:hAnsi="Book Antiqua"/>
          <w:b/>
          <w:bCs/>
          <w:color w:val="000000"/>
        </w:rPr>
        <w:t xml:space="preserve">P-Reviewer: </w:t>
      </w:r>
      <w:r w:rsidRPr="005E5D86">
        <w:rPr>
          <w:rFonts w:ascii="Book Antiqua" w:hAnsi="Book Antiqua"/>
          <w:bCs/>
          <w:color w:val="000000"/>
        </w:rPr>
        <w:t xml:space="preserve">Kim SE, </w:t>
      </w:r>
      <w:proofErr w:type="spellStart"/>
      <w:r w:rsidRPr="005E5D86">
        <w:rPr>
          <w:rFonts w:ascii="Book Antiqua" w:hAnsi="Book Antiqua"/>
          <w:bCs/>
          <w:color w:val="000000"/>
        </w:rPr>
        <w:t>Morozov</w:t>
      </w:r>
      <w:proofErr w:type="spellEnd"/>
      <w:r w:rsidRPr="005E5D86">
        <w:rPr>
          <w:rFonts w:ascii="Book Antiqua" w:hAnsi="Book Antiqua"/>
          <w:bCs/>
          <w:color w:val="000000"/>
        </w:rPr>
        <w:t xml:space="preserve"> S, </w:t>
      </w:r>
      <w:proofErr w:type="spellStart"/>
      <w:r w:rsidRPr="005E5D86">
        <w:rPr>
          <w:rFonts w:ascii="Book Antiqua" w:hAnsi="Book Antiqua"/>
          <w:bCs/>
          <w:color w:val="000000"/>
        </w:rPr>
        <w:t>Rezaee-Zavareh</w:t>
      </w:r>
      <w:proofErr w:type="spellEnd"/>
      <w:r w:rsidRPr="005E5D86">
        <w:rPr>
          <w:rFonts w:ascii="Book Antiqua" w:hAnsi="Book Antiqua"/>
          <w:bCs/>
          <w:color w:val="000000"/>
        </w:rPr>
        <w:t xml:space="preserve"> MS, </w:t>
      </w:r>
      <w:proofErr w:type="spellStart"/>
      <w:r w:rsidRPr="005E5D86">
        <w:rPr>
          <w:rFonts w:ascii="Book Antiqua" w:hAnsi="Book Antiqua"/>
          <w:bCs/>
          <w:color w:val="000000"/>
        </w:rPr>
        <w:t>Sirin</w:t>
      </w:r>
      <w:proofErr w:type="spellEnd"/>
      <w:r w:rsidRPr="005E5D86">
        <w:rPr>
          <w:rFonts w:ascii="Book Antiqua" w:hAnsi="Book Antiqua"/>
          <w:bCs/>
          <w:color w:val="000000"/>
        </w:rPr>
        <w:t xml:space="preserve"> G, </w:t>
      </w:r>
      <w:proofErr w:type="gramStart"/>
      <w:r w:rsidRPr="005E5D86">
        <w:rPr>
          <w:rFonts w:ascii="Book Antiqua" w:hAnsi="Book Antiqua"/>
          <w:bCs/>
          <w:color w:val="000000"/>
        </w:rPr>
        <w:t>Ta</w:t>
      </w:r>
      <w:proofErr w:type="gramEnd"/>
      <w:r w:rsidRPr="005E5D86">
        <w:rPr>
          <w:rFonts w:ascii="Book Antiqua" w:hAnsi="Book Antiqua"/>
          <w:bCs/>
          <w:color w:val="000000"/>
        </w:rPr>
        <w:t xml:space="preserve"> T</w:t>
      </w:r>
      <w:r w:rsidRPr="005E5D86">
        <w:rPr>
          <w:rFonts w:ascii="Book Antiqua" w:hAnsi="Book Antiqua"/>
          <w:b/>
          <w:bCs/>
          <w:color w:val="000000"/>
        </w:rPr>
        <w:t xml:space="preserve"> S-Editor:</w:t>
      </w:r>
      <w:r w:rsidRPr="005E5D86">
        <w:rPr>
          <w:rFonts w:ascii="Book Antiqua" w:hAnsi="Book Antiqua"/>
          <w:color w:val="000000"/>
        </w:rPr>
        <w:t xml:space="preserve"> Dou Y </w:t>
      </w:r>
      <w:r w:rsidRPr="005E5D86">
        <w:rPr>
          <w:rFonts w:ascii="Book Antiqua" w:hAnsi="Book Antiqua"/>
          <w:b/>
          <w:bCs/>
          <w:color w:val="000000"/>
        </w:rPr>
        <w:t>L-Editor:</w:t>
      </w:r>
      <w:r w:rsidRPr="005E5D86">
        <w:rPr>
          <w:rFonts w:ascii="Book Antiqua" w:hAnsi="Book Antiqua"/>
          <w:color w:val="000000"/>
        </w:rPr>
        <w:t xml:space="preserve"> </w:t>
      </w:r>
      <w:r w:rsidR="002E42FA" w:rsidRPr="002E42FA">
        <w:rPr>
          <w:rFonts w:ascii="Book Antiqua" w:eastAsiaTheme="minorEastAsia" w:hAnsi="Book Antiqua" w:hint="eastAsia"/>
          <w:color w:val="000000"/>
          <w:lang w:eastAsia="zh-CN"/>
        </w:rPr>
        <w:t>A</w:t>
      </w:r>
      <w:r w:rsidR="002E42FA">
        <w:rPr>
          <w:rFonts w:ascii="Book Antiqua" w:eastAsiaTheme="minorEastAsia" w:hAnsi="Book Antiqua" w:hint="eastAsia"/>
          <w:color w:val="000000"/>
          <w:lang w:eastAsia="zh-CN"/>
        </w:rPr>
        <w:t xml:space="preserve"> </w:t>
      </w:r>
      <w:r w:rsidRPr="005E5D86">
        <w:rPr>
          <w:rFonts w:ascii="Book Antiqua" w:hAnsi="Book Antiqua"/>
          <w:b/>
          <w:bCs/>
          <w:color w:val="000000"/>
        </w:rPr>
        <w:t>E-Editor:</w:t>
      </w:r>
      <w:r w:rsidR="002E42FA">
        <w:rPr>
          <w:rFonts w:ascii="Book Antiqua" w:eastAsiaTheme="minorEastAsia" w:hAnsi="Book Antiqua" w:hint="eastAsia"/>
          <w:b/>
          <w:bCs/>
          <w:color w:val="000000"/>
          <w:lang w:eastAsia="zh-CN"/>
        </w:rPr>
        <w:t xml:space="preserve"> </w:t>
      </w:r>
      <w:r w:rsidR="002E42FA" w:rsidRPr="002E42FA">
        <w:rPr>
          <w:rFonts w:ascii="Book Antiqua" w:eastAsiaTheme="minorEastAsia" w:hAnsi="Book Antiqua" w:hint="eastAsia"/>
          <w:bCs/>
          <w:color w:val="000000"/>
          <w:lang w:eastAsia="zh-CN"/>
        </w:rPr>
        <w:t>Li 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br w:type="page"/>
      </w:r>
    </w:p>
    <w:p w:rsidR="005E5D86" w:rsidRPr="005E5D86" w:rsidRDefault="005E5D86" w:rsidP="005E5D86">
      <w:pPr>
        <w:adjustRightInd w:val="0"/>
        <w:snapToGrid w:val="0"/>
        <w:spacing w:line="360" w:lineRule="auto"/>
        <w:jc w:val="both"/>
        <w:rPr>
          <w:rFonts w:ascii="Book Antiqua" w:hAnsi="Book Antiqua"/>
          <w:b/>
        </w:rPr>
      </w:pPr>
      <w:r w:rsidRPr="005E5D86">
        <w:rPr>
          <w:rFonts w:ascii="Book Antiqua" w:hAnsi="Book Antiqua"/>
          <w:b/>
        </w:rPr>
        <w:lastRenderedPageBreak/>
        <w:t>Figure Legends</w:t>
      </w:r>
    </w:p>
    <w:p w:rsidR="005E5D86" w:rsidRPr="005E5D86" w:rsidRDefault="005E5D86" w:rsidP="005E5D86">
      <w:pPr>
        <w:snapToGrid w:val="0"/>
        <w:spacing w:line="360" w:lineRule="auto"/>
        <w:jc w:val="both"/>
        <w:rPr>
          <w:rFonts w:ascii="Book Antiqua" w:hAnsi="Book Antiqua"/>
          <w:b/>
          <w:bCs/>
          <w:u w:val="single"/>
        </w:rPr>
      </w:pPr>
      <w:r w:rsidRPr="005E5D86">
        <w:rPr>
          <w:rFonts w:ascii="Book Antiqua" w:hAnsi="Book Antiqua"/>
          <w:b/>
          <w:bCs/>
          <w:noProof/>
          <w:u w:val="single"/>
          <w:lang w:val="en-US" w:eastAsia="zh-CN"/>
        </w:rPr>
        <w:drawing>
          <wp:inline distT="0" distB="0" distL="0" distR="0" wp14:anchorId="087EC846" wp14:editId="02D5DB62">
            <wp:extent cx="5943600" cy="2864485"/>
            <wp:effectExtent l="0" t="0" r="0" b="5715"/>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64485"/>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t xml:space="preserve">Figure 1 </w:t>
      </w:r>
      <w:proofErr w:type="gramStart"/>
      <w:r w:rsidRPr="005E5D86">
        <w:rPr>
          <w:rFonts w:ascii="Book Antiqua" w:hAnsi="Book Antiqua"/>
          <w:b/>
          <w:bCs/>
        </w:rPr>
        <w:t>The</w:t>
      </w:r>
      <w:proofErr w:type="gramEnd"/>
      <w:r w:rsidRPr="005E5D86">
        <w:rPr>
          <w:rFonts w:ascii="Book Antiqua" w:hAnsi="Book Antiqua"/>
          <w:b/>
          <w:bCs/>
        </w:rPr>
        <w:t xml:space="preserve"> relative and absolute risk of acute myocardial infarction in the study population. </w:t>
      </w:r>
      <w:r w:rsidRPr="005E5D86">
        <w:rPr>
          <w:rFonts w:ascii="Book Antiqua" w:hAnsi="Book Antiqua"/>
        </w:rPr>
        <w:t xml:space="preserve">The relative risk of </w:t>
      </w:r>
      <w:r w:rsidR="00704149">
        <w:rPr>
          <w:rFonts w:ascii="Book Antiqua" w:hAnsi="Book Antiqua"/>
        </w:rPr>
        <w:t>myocardial infarction</w:t>
      </w:r>
      <w:r w:rsidRPr="005E5D86">
        <w:rPr>
          <w:rFonts w:ascii="Book Antiqua" w:hAnsi="Book Antiqua"/>
        </w:rPr>
        <w:t xml:space="preserve"> is higher in the younger patient group compared to the older population. The absolute risk of </w:t>
      </w:r>
      <w:r w:rsidR="00704149">
        <w:rPr>
          <w:rFonts w:ascii="Book Antiqua" w:hAnsi="Book Antiqua"/>
        </w:rPr>
        <w:t>myocardial infarction</w:t>
      </w:r>
      <w:r w:rsidR="00704149" w:rsidRPr="005E5D86">
        <w:rPr>
          <w:rFonts w:ascii="Book Antiqua" w:hAnsi="Book Antiqua"/>
        </w:rPr>
        <w:t xml:space="preserve"> </w:t>
      </w:r>
      <w:r w:rsidRPr="005E5D86">
        <w:rPr>
          <w:rFonts w:ascii="Book Antiqua" w:hAnsi="Book Antiqua"/>
        </w:rPr>
        <w:t xml:space="preserve">however increases with aging. </w:t>
      </w:r>
      <w:r w:rsidRPr="005E5D86">
        <w:rPr>
          <w:rFonts w:ascii="Book Antiqua" w:eastAsia="Calibri" w:hAnsi="Book Antiqua" w:cs="Arial"/>
          <w:color w:val="000000" w:themeColor="text1"/>
          <w:kern w:val="24"/>
          <w:lang w:val="en-US"/>
        </w:rPr>
        <w:t>RR: relative risk</w:t>
      </w:r>
      <w:r w:rsidR="00704149">
        <w:rPr>
          <w:rFonts w:ascii="Book Antiqua" w:eastAsia="Calibri" w:hAnsi="Book Antiqua" w:cs="Arial"/>
          <w:color w:val="000000" w:themeColor="text1"/>
          <w:kern w:val="24"/>
          <w:lang w:val="en-US"/>
        </w:rPr>
        <w:t>;</w:t>
      </w:r>
      <w:r w:rsidRPr="005E5D86">
        <w:rPr>
          <w:rFonts w:ascii="Book Antiqua" w:eastAsia="Calibri" w:hAnsi="Book Antiqua" w:cs="Arial"/>
          <w:color w:val="000000" w:themeColor="text1"/>
          <w:kern w:val="24"/>
          <w:lang w:val="en-US"/>
        </w:rPr>
        <w:t xml:space="preserve"> </w:t>
      </w:r>
      <w:r w:rsidR="00704149">
        <w:rPr>
          <w:rFonts w:ascii="Book Antiqua" w:eastAsia="Calibri" w:hAnsi="Book Antiqua" w:cs="Arial"/>
          <w:color w:val="000000" w:themeColor="text1"/>
          <w:kern w:val="24"/>
          <w:lang w:val="en-US"/>
        </w:rPr>
        <w:t xml:space="preserve">NASH: </w:t>
      </w:r>
      <w:r w:rsidR="00704149" w:rsidRPr="005E5D86">
        <w:rPr>
          <w:rFonts w:ascii="Book Antiqua" w:hAnsi="Book Antiqua"/>
        </w:rPr>
        <w:t>Non-alcoholic steatohepatitis</w:t>
      </w:r>
      <w:r w:rsidR="00704149">
        <w:rPr>
          <w:rFonts w:ascii="Book Antiqua" w:hAnsi="Book Antiqua"/>
        </w:rPr>
        <w:t>.</w:t>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br w:type="page"/>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noProof/>
          <w:lang w:val="en-US" w:eastAsia="zh-CN"/>
        </w:rPr>
        <w:lastRenderedPageBreak/>
        <w:drawing>
          <wp:inline distT="0" distB="0" distL="0" distR="0" wp14:anchorId="614DE9AF" wp14:editId="050AC96E">
            <wp:extent cx="5943600" cy="2310130"/>
            <wp:effectExtent l="0" t="0" r="0" b="1270"/>
            <wp:docPr id="1" name="图片 1" descr="地图在雪地上&#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10130"/>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b/>
          <w:bCs/>
        </w:rPr>
        <w:t>Figure 2</w:t>
      </w:r>
      <w:r w:rsidR="00704149">
        <w:rPr>
          <w:rFonts w:ascii="Book Antiqua" w:hAnsi="Book Antiqua"/>
          <w:b/>
          <w:bCs/>
        </w:rPr>
        <w:t xml:space="preserve"> </w:t>
      </w:r>
      <w:r w:rsidRPr="005E5D86">
        <w:rPr>
          <w:rFonts w:ascii="Book Antiqua" w:hAnsi="Book Antiqua"/>
          <w:b/>
          <w:bCs/>
          <w:lang w:val="en-US"/>
        </w:rPr>
        <w:t xml:space="preserve">Gender based differences in relative risk of acute myocardial infarction in patients with </w:t>
      </w:r>
      <w:r w:rsidR="00704149" w:rsidRPr="00704149">
        <w:rPr>
          <w:rFonts w:ascii="Book Antiqua" w:hAnsi="Book Antiqua"/>
          <w:b/>
          <w:bCs/>
        </w:rPr>
        <w:t>non-alcoholic steatohepatitis</w:t>
      </w:r>
      <w:r w:rsidRPr="00704149">
        <w:rPr>
          <w:rFonts w:ascii="Book Antiqua" w:hAnsi="Book Antiqua"/>
          <w:b/>
          <w:bCs/>
          <w:lang w:val="en-US"/>
        </w:rPr>
        <w:t>.</w:t>
      </w:r>
      <w:r w:rsidRPr="005E5D86">
        <w:rPr>
          <w:rFonts w:ascii="Book Antiqua" w:hAnsi="Book Antiqua"/>
          <w:b/>
          <w:bCs/>
          <w:lang w:val="en-US"/>
        </w:rPr>
        <w:t xml:space="preserve"> </w:t>
      </w:r>
      <w:r w:rsidRPr="005E5D86">
        <w:rPr>
          <w:rFonts w:ascii="Book Antiqua" w:hAnsi="Book Antiqua"/>
          <w:lang w:val="en-US"/>
        </w:rPr>
        <w:t>Female patients had higher relative risk of myocardial infarction compared to their male counterparts in almost all age groups.</w:t>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br w:type="page"/>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noProof/>
        </w:rPr>
        <w:lastRenderedPageBreak/>
        <w:t xml:space="preserve"> </w:t>
      </w:r>
      <w:r w:rsidRPr="005E5D86">
        <w:rPr>
          <w:rFonts w:ascii="Book Antiqua" w:hAnsi="Book Antiqua"/>
          <w:b/>
          <w:bCs/>
          <w:noProof/>
          <w:lang w:val="en-US" w:eastAsia="zh-CN"/>
        </w:rPr>
        <w:drawing>
          <wp:inline distT="0" distB="0" distL="0" distR="0" wp14:anchorId="09DE25D4" wp14:editId="2A5DF794">
            <wp:extent cx="5943600" cy="2827655"/>
            <wp:effectExtent l="0" t="0" r="0" b="4445"/>
            <wp:docPr id="15" name="图片 15" descr="电脑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27655"/>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b/>
          <w:bCs/>
        </w:rPr>
        <w:t xml:space="preserve">Figure 3 Forest plot showing adjusted odds ratio of having myocardial infarction. </w:t>
      </w:r>
      <w:r w:rsidRPr="005E5D86">
        <w:rPr>
          <w:rFonts w:ascii="Book Antiqua" w:hAnsi="Book Antiqua"/>
        </w:rPr>
        <w:t>The dots represent the odds ratio and the horizontal line represents the 95% confidence interval.</w:t>
      </w:r>
      <w:r w:rsidRPr="005E5D86">
        <w:rPr>
          <w:rFonts w:ascii="Book Antiqua" w:hAnsi="Book Antiqua"/>
          <w:b/>
          <w:bCs/>
        </w:rPr>
        <w:t xml:space="preserve"> </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br w:type="page"/>
      </w:r>
    </w:p>
    <w:p w:rsidR="00BB0D29" w:rsidRPr="005E5D86" w:rsidRDefault="005E5D86" w:rsidP="005E5D86">
      <w:pPr>
        <w:snapToGrid w:val="0"/>
        <w:spacing w:line="360" w:lineRule="auto"/>
        <w:jc w:val="both"/>
        <w:rPr>
          <w:rFonts w:ascii="Book Antiqua" w:hAnsi="Book Antiqua"/>
          <w:b/>
          <w:bCs/>
        </w:rPr>
      </w:pPr>
      <w:r w:rsidRPr="005E5D86">
        <w:rPr>
          <w:rFonts w:ascii="Book Antiqua" w:hAnsi="Book Antiqua"/>
          <w:b/>
          <w:bCs/>
        </w:rPr>
        <w:lastRenderedPageBreak/>
        <w:t>Table 1 Baseline characteristics of subjects with co-morbidities included in this study</w:t>
      </w:r>
    </w:p>
    <w:tbl>
      <w:tblPr>
        <w:tblStyle w:val="ab"/>
        <w:tblpPr w:leftFromText="180" w:rightFromText="180" w:vertAnchor="page" w:horzAnchor="margin" w:tblpXSpec="center" w:tblpY="2141"/>
        <w:tblW w:w="104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984"/>
        <w:gridCol w:w="1701"/>
        <w:gridCol w:w="2268"/>
        <w:gridCol w:w="1793"/>
      </w:tblGrid>
      <w:tr w:rsidR="00BF2FFF" w:rsidRPr="005E5D86" w:rsidTr="0063439C">
        <w:tc>
          <w:tcPr>
            <w:tcW w:w="2694"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p>
        </w:tc>
        <w:tc>
          <w:tcPr>
            <w:tcW w:w="1984"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Total </w:t>
            </w:r>
            <w:r w:rsidR="00AE62DB" w:rsidRPr="005E5D86">
              <w:rPr>
                <w:rFonts w:ascii="Book Antiqua" w:hAnsi="Book Antiqua"/>
                <w:b/>
                <w:bCs/>
              </w:rPr>
              <w:t>cohort</w:t>
            </w:r>
          </w:p>
        </w:tc>
        <w:tc>
          <w:tcPr>
            <w:tcW w:w="1701"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Proportion </w:t>
            </w:r>
            <w:r w:rsidR="00704149">
              <w:rPr>
                <w:rFonts w:ascii="Book Antiqua" w:hAnsi="Book Antiqua"/>
                <w:b/>
                <w:bCs/>
              </w:rPr>
              <w:t>(%)</w:t>
            </w:r>
          </w:p>
        </w:tc>
        <w:tc>
          <w:tcPr>
            <w:tcW w:w="2268"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NASH </w:t>
            </w:r>
            <w:r w:rsidR="00AE62DB" w:rsidRPr="005E5D86">
              <w:rPr>
                <w:rFonts w:ascii="Book Antiqua" w:hAnsi="Book Antiqua"/>
                <w:b/>
                <w:bCs/>
              </w:rPr>
              <w:t>cohort</w:t>
            </w:r>
          </w:p>
        </w:tc>
        <w:tc>
          <w:tcPr>
            <w:tcW w:w="1793"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Proportion</w:t>
            </w:r>
            <w:r w:rsidR="00704149">
              <w:rPr>
                <w:rFonts w:ascii="Book Antiqua" w:hAnsi="Book Antiqua"/>
                <w:b/>
                <w:bCs/>
              </w:rPr>
              <w:t xml:space="preserve"> (%)</w:t>
            </w:r>
          </w:p>
        </w:tc>
      </w:tr>
      <w:tr w:rsidR="00BF2FFF" w:rsidRPr="005E5D86" w:rsidTr="0063439C">
        <w:tc>
          <w:tcPr>
            <w:tcW w:w="2694"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Total </w:t>
            </w:r>
            <w:r w:rsidR="00AE62DB" w:rsidRPr="005E5D86">
              <w:rPr>
                <w:rFonts w:ascii="Book Antiqua" w:hAnsi="Book Antiqua"/>
              </w:rPr>
              <w:t>cohort</w:t>
            </w:r>
          </w:p>
        </w:tc>
        <w:tc>
          <w:tcPr>
            <w:tcW w:w="1984"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55099280</w:t>
            </w:r>
          </w:p>
        </w:tc>
        <w:tc>
          <w:tcPr>
            <w:tcW w:w="1701"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p>
        </w:tc>
        <w:tc>
          <w:tcPr>
            <w:tcW w:w="2268"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43170</w:t>
            </w:r>
          </w:p>
        </w:tc>
        <w:tc>
          <w:tcPr>
            <w:tcW w:w="1793"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Male gender</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24569555</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45</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17380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40</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15333620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28</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17020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39</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Essential </w:t>
            </w:r>
            <w:r w:rsidR="00AE62DB" w:rsidRPr="005E5D86">
              <w:rPr>
                <w:rFonts w:ascii="Book Antiqua" w:hAnsi="Book Antiqua"/>
              </w:rPr>
              <w:t>hypertension</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11043970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20</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32040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74</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Hyperlipidemia</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9539460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31030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72</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Smoking</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4993910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9920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23</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Diabetes </w:t>
            </w:r>
            <w:r w:rsidR="00AE62DB" w:rsidRPr="005E5D86">
              <w:rPr>
                <w:rFonts w:ascii="Book Antiqua" w:hAnsi="Book Antiqua"/>
              </w:rPr>
              <w:t>mellitus</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4785840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24640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57</w:t>
            </w:r>
          </w:p>
        </w:tc>
      </w:tr>
      <w:tr w:rsidR="00BF2FFF" w:rsidRPr="005E5D86" w:rsidTr="0063439C">
        <w:tc>
          <w:tcPr>
            <w:tcW w:w="2694"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Obesity</w:t>
            </w:r>
          </w:p>
        </w:tc>
        <w:tc>
          <w:tcPr>
            <w:tcW w:w="1984"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4226640</w:t>
            </w:r>
          </w:p>
        </w:tc>
        <w:tc>
          <w:tcPr>
            <w:tcW w:w="1701"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8</w:t>
            </w:r>
          </w:p>
        </w:tc>
        <w:tc>
          <w:tcPr>
            <w:tcW w:w="2268"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25570</w:t>
            </w:r>
          </w:p>
        </w:tc>
        <w:tc>
          <w:tcPr>
            <w:tcW w:w="1793"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59</w:t>
            </w:r>
          </w:p>
        </w:tc>
      </w:tr>
    </w:tbl>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NASH: Non-alcoholic </w:t>
      </w:r>
      <w:r w:rsidR="0018543C" w:rsidRPr="005E5D86">
        <w:rPr>
          <w:rFonts w:ascii="Book Antiqua" w:hAnsi="Book Antiqua"/>
        </w:rPr>
        <w:t>s</w:t>
      </w:r>
      <w:r w:rsidRPr="005E5D86">
        <w:rPr>
          <w:rFonts w:ascii="Book Antiqua" w:hAnsi="Book Antiqua"/>
        </w:rPr>
        <w:t>teatohepatitis</w:t>
      </w:r>
      <w:r w:rsidR="00704149">
        <w:rPr>
          <w:rFonts w:ascii="Book Antiqua" w:hAnsi="Book Antiqua"/>
        </w:rPr>
        <w:t>.</w:t>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lastRenderedPageBreak/>
        <w:t xml:space="preserve">Table 2 Unadjusted odds ratio of having an associated diagnosis of myocardial infarction based on </w:t>
      </w:r>
      <w:r w:rsidR="005E5D86" w:rsidRPr="005E5D86">
        <w:rPr>
          <w:rFonts w:ascii="Book Antiqua" w:hAnsi="Book Antiqua"/>
          <w:b/>
          <w:bCs/>
        </w:rPr>
        <w:t>subjects’</w:t>
      </w:r>
      <w:r w:rsidRPr="005E5D86">
        <w:rPr>
          <w:rFonts w:ascii="Book Antiqua" w:hAnsi="Book Antiqua"/>
          <w:b/>
          <w:bCs/>
        </w:rPr>
        <w:t xml:space="preserve"> co-morbidities</w:t>
      </w:r>
    </w:p>
    <w:tbl>
      <w:tblPr>
        <w:tblStyle w:val="ab"/>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2547"/>
        <w:gridCol w:w="2414"/>
      </w:tblGrid>
      <w:tr w:rsidR="00AE62DB" w:rsidRPr="005E5D86" w:rsidTr="00AE62DB">
        <w:tc>
          <w:tcPr>
            <w:tcW w:w="3686"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rPr>
            </w:pPr>
          </w:p>
        </w:tc>
        <w:tc>
          <w:tcPr>
            <w:tcW w:w="2547"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Odds ratio</w:t>
            </w:r>
          </w:p>
        </w:tc>
        <w:tc>
          <w:tcPr>
            <w:tcW w:w="2414"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b/>
                <w:bCs/>
                <w:vertAlign w:val="superscript"/>
              </w:rPr>
            </w:pPr>
            <w:r w:rsidRPr="005E5D86">
              <w:rPr>
                <w:rFonts w:ascii="Book Antiqua" w:hAnsi="Book Antiqua"/>
                <w:b/>
                <w:bCs/>
              </w:rPr>
              <w:t xml:space="preserve">95% </w:t>
            </w:r>
            <w:proofErr w:type="spellStart"/>
            <w:r w:rsidRPr="005E5D86">
              <w:rPr>
                <w:rFonts w:ascii="Book Antiqua" w:hAnsi="Book Antiqua"/>
                <w:b/>
                <w:bCs/>
              </w:rPr>
              <w:t>CI</w:t>
            </w:r>
            <w:r w:rsidR="005E5D86" w:rsidRPr="005E5D86">
              <w:rPr>
                <w:rFonts w:ascii="Book Antiqua" w:hAnsi="Book Antiqua"/>
                <w:b/>
                <w:bCs/>
                <w:vertAlign w:val="superscript"/>
              </w:rPr>
              <w:t>b</w:t>
            </w:r>
            <w:proofErr w:type="spellEnd"/>
          </w:p>
        </w:tc>
      </w:tr>
      <w:tr w:rsidR="00AE62DB" w:rsidRPr="005E5D86" w:rsidTr="00AE62DB">
        <w:tc>
          <w:tcPr>
            <w:tcW w:w="3686"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Hyperlipidemia</w:t>
            </w:r>
          </w:p>
        </w:tc>
        <w:tc>
          <w:tcPr>
            <w:tcW w:w="2547"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40.13</w:t>
            </w:r>
          </w:p>
        </w:tc>
        <w:tc>
          <w:tcPr>
            <w:tcW w:w="2414"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39.47-40.79</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Essential hypertension</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27.43</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27.00-7.86</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Male gender</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17.61</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17.41-17.81</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Diabetes mellitus</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12.57</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12.44–12.71</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NASH</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10.66</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9.58-10.94</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Obesity</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8.19</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8.09-8.28</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Smoking</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6.71</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6.64-6.79</w:t>
            </w:r>
          </w:p>
        </w:tc>
      </w:tr>
      <w:tr w:rsidR="00AE62DB" w:rsidRPr="005E5D86" w:rsidTr="00AE62DB">
        <w:tc>
          <w:tcPr>
            <w:tcW w:w="3686"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2547"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4.97</w:t>
            </w:r>
          </w:p>
        </w:tc>
        <w:tc>
          <w:tcPr>
            <w:tcW w:w="2414"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4.92-5.03</w:t>
            </w:r>
          </w:p>
        </w:tc>
      </w:tr>
    </w:tbl>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73AA" w:rsidRDefault="00AE73AA" w:rsidP="005E5D86">
      <w:pPr>
        <w:snapToGrid w:val="0"/>
        <w:spacing w:line="360" w:lineRule="auto"/>
        <w:jc w:val="both"/>
        <w:rPr>
          <w:rFonts w:ascii="Book Antiqua" w:eastAsia="Calibri" w:hAnsi="Book Antiqua" w:cs="Arial"/>
          <w:color w:val="000000" w:themeColor="text1"/>
          <w:kern w:val="24"/>
          <w:vertAlign w:val="superscript"/>
          <w:lang w:val="en-US"/>
        </w:rPr>
      </w:pPr>
    </w:p>
    <w:p w:rsidR="00AE62DB" w:rsidRPr="00AE73AA" w:rsidRDefault="005E5D86" w:rsidP="005E5D86">
      <w:pPr>
        <w:snapToGrid w:val="0"/>
        <w:spacing w:line="360" w:lineRule="auto"/>
        <w:jc w:val="both"/>
        <w:rPr>
          <w:rFonts w:ascii="Book Antiqua" w:eastAsia="Calibri" w:hAnsi="Book Antiqua" w:cs="Arial"/>
          <w:i/>
          <w:iCs/>
          <w:color w:val="000000" w:themeColor="text1"/>
          <w:kern w:val="24"/>
          <w:lang w:val="en-US"/>
        </w:rPr>
      </w:pPr>
      <w:proofErr w:type="spellStart"/>
      <w:proofErr w:type="gramStart"/>
      <w:r>
        <w:rPr>
          <w:rFonts w:ascii="Book Antiqua" w:eastAsia="Calibri" w:hAnsi="Book Antiqua" w:cs="Arial"/>
          <w:color w:val="000000" w:themeColor="text1"/>
          <w:kern w:val="24"/>
          <w:vertAlign w:val="superscript"/>
          <w:lang w:val="en-US"/>
        </w:rPr>
        <w:t>b</w:t>
      </w:r>
      <w:r w:rsidR="00AE62DB" w:rsidRPr="005E5D86">
        <w:rPr>
          <w:rFonts w:ascii="Book Antiqua" w:eastAsia="Calibri" w:hAnsi="Book Antiqua" w:cs="Arial"/>
          <w:i/>
          <w:iCs/>
          <w:color w:val="000000" w:themeColor="text1"/>
          <w:kern w:val="24"/>
          <w:lang w:val="en-US"/>
        </w:rPr>
        <w:t>P</w:t>
      </w:r>
      <w:proofErr w:type="spellEnd"/>
      <w:proofErr w:type="gramEnd"/>
      <w:r w:rsidR="00AE62DB" w:rsidRPr="005E5D86">
        <w:rPr>
          <w:rFonts w:ascii="Book Antiqua" w:eastAsia="Calibri" w:hAnsi="Book Antiqua" w:cs="Arial"/>
          <w:color w:val="000000" w:themeColor="text1"/>
          <w:kern w:val="24"/>
          <w:lang w:val="en-US"/>
        </w:rPr>
        <w:t xml:space="preserve"> &lt; 0.01 unless otherwise stated.</w:t>
      </w:r>
      <w:r w:rsidR="00AE62DB" w:rsidRPr="005E5D86">
        <w:rPr>
          <w:rFonts w:ascii="Book Antiqua" w:eastAsia="Calibri" w:hAnsi="Book Antiqua" w:cs="Arial"/>
          <w:i/>
          <w:iCs/>
          <w:color w:val="000000" w:themeColor="text1"/>
          <w:kern w:val="24"/>
          <w:lang w:val="en-US"/>
        </w:rPr>
        <w:t xml:space="preserve"> </w:t>
      </w:r>
      <w:r w:rsidR="00AE62DB" w:rsidRPr="005E5D86">
        <w:rPr>
          <w:rFonts w:ascii="Book Antiqua" w:eastAsia="Calibri" w:hAnsi="Book Antiqua" w:cs="Arial"/>
          <w:color w:val="000000" w:themeColor="text1"/>
          <w:kern w:val="24"/>
          <w:lang w:val="en-US"/>
        </w:rPr>
        <w:t xml:space="preserve">NASH: </w:t>
      </w:r>
      <w:r w:rsidRPr="005E5D86">
        <w:rPr>
          <w:rFonts w:ascii="Book Antiqua" w:eastAsia="Calibri" w:hAnsi="Book Antiqua" w:cs="Arial"/>
          <w:color w:val="000000" w:themeColor="text1"/>
          <w:kern w:val="24"/>
          <w:lang w:val="en-US"/>
        </w:rPr>
        <w:t>Non</w:t>
      </w:r>
      <w:r w:rsidR="00AE62DB" w:rsidRPr="005E5D86">
        <w:rPr>
          <w:rFonts w:ascii="Book Antiqua" w:eastAsia="Calibri" w:hAnsi="Book Antiqua" w:cs="Arial"/>
          <w:color w:val="000000" w:themeColor="text1"/>
          <w:kern w:val="24"/>
          <w:lang w:val="en-US"/>
        </w:rPr>
        <w:t xml:space="preserve">-alcoholic steatohepatitis; CI: </w:t>
      </w:r>
      <w:r w:rsidRPr="005E5D86">
        <w:rPr>
          <w:rFonts w:ascii="Book Antiqua" w:eastAsia="Calibri" w:hAnsi="Book Antiqua" w:cs="Arial"/>
          <w:color w:val="000000" w:themeColor="text1"/>
          <w:kern w:val="24"/>
          <w:lang w:val="en-US"/>
        </w:rPr>
        <w:t xml:space="preserve">Confidence </w:t>
      </w:r>
      <w:r w:rsidR="00AE62DB" w:rsidRPr="005E5D86">
        <w:rPr>
          <w:rFonts w:ascii="Book Antiqua" w:eastAsia="Calibri" w:hAnsi="Book Antiqua" w:cs="Arial"/>
          <w:color w:val="000000" w:themeColor="text1"/>
          <w:kern w:val="24"/>
          <w:lang w:val="en-US"/>
        </w:rPr>
        <w:t>interval</w:t>
      </w:r>
      <w:r w:rsidRPr="005E5D86">
        <w:rPr>
          <w:rFonts w:ascii="Book Antiqua" w:hAnsi="Book Antiqua"/>
          <w:b/>
          <w:bCs/>
        </w:rPr>
        <w:t>.</w:t>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snapToGrid w:val="0"/>
        <w:spacing w:line="360" w:lineRule="auto"/>
        <w:jc w:val="both"/>
        <w:rPr>
          <w:rFonts w:ascii="Book Antiqua" w:eastAsia="Calibri" w:hAnsi="Book Antiqua" w:cs="Arial"/>
          <w:b/>
          <w:bCs/>
          <w:color w:val="000000" w:themeColor="text1"/>
          <w:kern w:val="24"/>
          <w:lang w:val="en-US"/>
        </w:rPr>
      </w:pPr>
      <w:r w:rsidRPr="005E5D86">
        <w:rPr>
          <w:rFonts w:ascii="Book Antiqua" w:eastAsia="Calibri" w:hAnsi="Book Antiqua" w:cs="Arial"/>
          <w:b/>
          <w:bCs/>
          <w:color w:val="000000" w:themeColor="text1"/>
          <w:kern w:val="24"/>
          <w:lang w:val="en-US"/>
        </w:rPr>
        <w:lastRenderedPageBreak/>
        <w:t>Table 3 Adjusted odds ratio for acute myocardial infarction based on subject co-morbidities</w:t>
      </w:r>
    </w:p>
    <w:tbl>
      <w:tblPr>
        <w:tblStyle w:val="ab"/>
        <w:tblpPr w:leftFromText="180" w:rightFromText="180" w:vertAnchor="text" w:horzAnchor="margin" w:tblpXSpec="center" w:tblpY="426"/>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61"/>
        <w:gridCol w:w="2960"/>
        <w:gridCol w:w="2960"/>
      </w:tblGrid>
      <w:tr w:rsidR="00AE62DB" w:rsidRPr="005E5D86" w:rsidTr="00CF77EB">
        <w:trPr>
          <w:trHeight w:val="484"/>
        </w:trPr>
        <w:tc>
          <w:tcPr>
            <w:tcW w:w="2961"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rPr>
            </w:pPr>
          </w:p>
        </w:tc>
        <w:tc>
          <w:tcPr>
            <w:tcW w:w="2960"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Odds ratio</w:t>
            </w:r>
          </w:p>
        </w:tc>
        <w:tc>
          <w:tcPr>
            <w:tcW w:w="2960"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95%CI</w:t>
            </w:r>
            <w:r w:rsidR="005E5D86" w:rsidRPr="005E5D86">
              <w:rPr>
                <w:rFonts w:ascii="Book Antiqua" w:hAnsi="Book Antiqua"/>
                <w:b/>
                <w:bCs/>
                <w:vertAlign w:val="superscript"/>
              </w:rPr>
              <w:t>b</w:t>
            </w:r>
          </w:p>
        </w:tc>
      </w:tr>
      <w:tr w:rsidR="00AE62DB" w:rsidRPr="005E5D86" w:rsidTr="00CF77EB">
        <w:trPr>
          <w:trHeight w:val="484"/>
        </w:trPr>
        <w:tc>
          <w:tcPr>
            <w:tcW w:w="2961"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Hyperlipidemia</w:t>
            </w:r>
          </w:p>
        </w:tc>
        <w:tc>
          <w:tcPr>
            <w:tcW w:w="2960"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8.39</w:t>
            </w:r>
          </w:p>
        </w:tc>
        <w:tc>
          <w:tcPr>
            <w:tcW w:w="2960"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8.21-8.58</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Hypertension</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3.11</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3.05-3.17</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Smoking</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2.83</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2.79-2.87</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Diabetes </w:t>
            </w:r>
            <w:r w:rsidR="00704149" w:rsidRPr="005E5D86">
              <w:rPr>
                <w:rFonts w:ascii="Book Antiqua" w:hAnsi="Book Antiqua"/>
              </w:rPr>
              <w:t>mellitus</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1.89</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1.86-1.91</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Obesity</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1.78</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1.75-1.80</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Male</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1.53</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1.51-1.55</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NASH</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1.50</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1.40-1.62</w:t>
            </w:r>
          </w:p>
        </w:tc>
      </w:tr>
      <w:tr w:rsidR="00AE62DB" w:rsidRPr="005E5D86" w:rsidTr="00CF77EB">
        <w:trPr>
          <w:trHeight w:val="484"/>
        </w:trPr>
        <w:tc>
          <w:tcPr>
            <w:tcW w:w="2961"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2960"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1.47</w:t>
            </w:r>
          </w:p>
        </w:tc>
        <w:tc>
          <w:tcPr>
            <w:tcW w:w="2960"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1.45-1.49</w:t>
            </w:r>
          </w:p>
        </w:tc>
      </w:tr>
    </w:tbl>
    <w:p w:rsidR="00AE62DB" w:rsidRPr="005E5D86" w:rsidRDefault="00AE62DB" w:rsidP="005E5D86">
      <w:pPr>
        <w:snapToGrid w:val="0"/>
        <w:spacing w:line="360" w:lineRule="auto"/>
        <w:jc w:val="both"/>
        <w:rPr>
          <w:rFonts w:ascii="Book Antiqua" w:eastAsia="Calibri" w:hAnsi="Book Antiqua" w:cs="Arial"/>
          <w:b/>
          <w:bCs/>
          <w:color w:val="000000" w:themeColor="text1"/>
          <w:kern w:val="24"/>
          <w:lang w:val="en-US"/>
        </w:rPr>
      </w:pPr>
    </w:p>
    <w:p w:rsidR="00AE62DB" w:rsidRPr="00271E12" w:rsidRDefault="005E5D86" w:rsidP="005E5D86">
      <w:pPr>
        <w:snapToGrid w:val="0"/>
        <w:spacing w:line="360" w:lineRule="auto"/>
        <w:jc w:val="both"/>
        <w:rPr>
          <w:rFonts w:ascii="Book Antiqua" w:eastAsia="Calibri" w:hAnsi="Book Antiqua" w:cs="Arial"/>
          <w:i/>
          <w:iCs/>
          <w:color w:val="000000" w:themeColor="text1"/>
          <w:kern w:val="24"/>
          <w:lang w:val="en-US"/>
        </w:rPr>
      </w:pPr>
      <w:proofErr w:type="spellStart"/>
      <w:proofErr w:type="gramStart"/>
      <w:r>
        <w:rPr>
          <w:rFonts w:ascii="Book Antiqua" w:eastAsia="Calibri" w:hAnsi="Book Antiqua" w:cs="Arial"/>
          <w:color w:val="000000" w:themeColor="text1"/>
          <w:kern w:val="24"/>
          <w:vertAlign w:val="superscript"/>
          <w:lang w:val="en-US"/>
        </w:rPr>
        <w:t>b</w:t>
      </w:r>
      <w:r w:rsidR="00AE62DB" w:rsidRPr="005E5D86">
        <w:rPr>
          <w:rFonts w:ascii="Book Antiqua" w:eastAsia="Calibri" w:hAnsi="Book Antiqua" w:cs="Arial"/>
          <w:i/>
          <w:iCs/>
          <w:color w:val="000000" w:themeColor="text1"/>
          <w:kern w:val="24"/>
          <w:lang w:val="en-US"/>
        </w:rPr>
        <w:t>P</w:t>
      </w:r>
      <w:proofErr w:type="spellEnd"/>
      <w:proofErr w:type="gramEnd"/>
      <w:r w:rsidR="00AE62DB" w:rsidRPr="005E5D86">
        <w:rPr>
          <w:rFonts w:ascii="Book Antiqua" w:eastAsia="Calibri" w:hAnsi="Book Antiqua" w:cs="Arial"/>
          <w:color w:val="000000" w:themeColor="text1"/>
          <w:kern w:val="24"/>
          <w:lang w:val="en-US"/>
        </w:rPr>
        <w:t xml:space="preserve"> &lt; 0.01 unless otherwise stated.</w:t>
      </w:r>
      <w:r w:rsidRPr="005E5D86">
        <w:rPr>
          <w:rFonts w:ascii="Book Antiqua" w:eastAsia="Calibri" w:hAnsi="Book Antiqua" w:cs="Arial"/>
          <w:i/>
          <w:iCs/>
          <w:color w:val="000000" w:themeColor="text1"/>
          <w:kern w:val="24"/>
          <w:lang w:val="en-US"/>
        </w:rPr>
        <w:t xml:space="preserve"> </w:t>
      </w:r>
      <w:r w:rsidR="00AE62DB" w:rsidRPr="005E5D86">
        <w:rPr>
          <w:rFonts w:ascii="Book Antiqua" w:eastAsia="Calibri" w:hAnsi="Book Antiqua" w:cs="Arial"/>
          <w:color w:val="000000" w:themeColor="text1"/>
          <w:kern w:val="24"/>
          <w:lang w:val="en-US"/>
        </w:rPr>
        <w:t xml:space="preserve">NASH: </w:t>
      </w:r>
      <w:r w:rsidRPr="005E5D86">
        <w:rPr>
          <w:rFonts w:ascii="Book Antiqua" w:eastAsia="Calibri" w:hAnsi="Book Antiqua" w:cs="Arial"/>
          <w:color w:val="000000" w:themeColor="text1"/>
          <w:kern w:val="24"/>
          <w:lang w:val="en-US"/>
        </w:rPr>
        <w:t>Non</w:t>
      </w:r>
      <w:r w:rsidR="00AE62DB" w:rsidRPr="005E5D86">
        <w:rPr>
          <w:rFonts w:ascii="Book Antiqua" w:eastAsia="Calibri" w:hAnsi="Book Antiqua" w:cs="Arial"/>
          <w:color w:val="000000" w:themeColor="text1"/>
          <w:kern w:val="24"/>
          <w:lang w:val="en-US"/>
        </w:rPr>
        <w:t xml:space="preserve">-alcoholic steatohepatitis; CI: </w:t>
      </w:r>
      <w:r w:rsidRPr="005E5D86">
        <w:rPr>
          <w:rFonts w:ascii="Book Antiqua" w:eastAsia="Calibri" w:hAnsi="Book Antiqua" w:cs="Arial"/>
          <w:color w:val="000000" w:themeColor="text1"/>
          <w:kern w:val="24"/>
          <w:lang w:val="en-US"/>
        </w:rPr>
        <w:t xml:space="preserve">Confidence </w:t>
      </w:r>
      <w:r w:rsidR="00AE62DB" w:rsidRPr="005E5D86">
        <w:rPr>
          <w:rFonts w:ascii="Book Antiqua" w:eastAsia="Calibri" w:hAnsi="Book Antiqua" w:cs="Arial"/>
          <w:color w:val="000000" w:themeColor="text1"/>
          <w:kern w:val="24"/>
          <w:lang w:val="en-US"/>
        </w:rPr>
        <w:t>interval</w:t>
      </w:r>
      <w:r w:rsidRPr="005E5D86">
        <w:rPr>
          <w:rFonts w:ascii="Book Antiqua" w:eastAsia="Calibri" w:hAnsi="Book Antiqua" w:cs="Arial"/>
          <w:color w:val="000000" w:themeColor="text1"/>
          <w:kern w:val="24"/>
          <w:lang w:val="en-US"/>
        </w:rPr>
        <w:t>.</w:t>
      </w:r>
    </w:p>
    <w:sectPr w:rsidR="00AE62DB" w:rsidRPr="00271E12" w:rsidSect="00D27618">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34" w:rsidRDefault="001A6734" w:rsidP="003C0046">
      <w:r>
        <w:separator/>
      </w:r>
    </w:p>
  </w:endnote>
  <w:endnote w:type="continuationSeparator" w:id="0">
    <w:p w:rsidR="001A6734" w:rsidRDefault="001A6734" w:rsidP="003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8496455"/>
      <w:docPartObj>
        <w:docPartGallery w:val="Page Numbers (Bottom of Page)"/>
        <w:docPartUnique/>
      </w:docPartObj>
    </w:sdtPr>
    <w:sdtEndPr>
      <w:rPr>
        <w:rStyle w:val="ac"/>
      </w:rPr>
    </w:sdtEndPr>
    <w:sdtContent>
      <w:p w:rsidR="00CF77EB" w:rsidRDefault="00CF77EB" w:rsidP="00CF77EB">
        <w:pPr>
          <w:pStyle w:val="a9"/>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CF77EB" w:rsidRDefault="00CF77EB" w:rsidP="00B319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EB" w:rsidRPr="005E5D86" w:rsidRDefault="00CF77EB" w:rsidP="005E5D86">
    <w:pPr>
      <w:pStyle w:val="a9"/>
      <w:jc w:val="right"/>
      <w:rPr>
        <w:rFonts w:ascii="Book Antiqua" w:hAnsi="Book Antiqua"/>
        <w:color w:val="000000" w:themeColor="text1"/>
      </w:rPr>
    </w:pPr>
    <w:r w:rsidRPr="005E5D86">
      <w:rPr>
        <w:rFonts w:ascii="Book Antiqua" w:hAnsi="Book Antiqua"/>
        <w:color w:val="000000" w:themeColor="text1"/>
      </w:rPr>
      <w:fldChar w:fldCharType="begin"/>
    </w:r>
    <w:r w:rsidRPr="005E5D86">
      <w:rPr>
        <w:rFonts w:ascii="Book Antiqua" w:hAnsi="Book Antiqua"/>
        <w:color w:val="000000" w:themeColor="text1"/>
      </w:rPr>
      <w:instrText>PAGE  \* Arabic  \* MERGEFORMAT</w:instrText>
    </w:r>
    <w:r w:rsidRPr="005E5D86">
      <w:rPr>
        <w:rFonts w:ascii="Book Antiqua" w:hAnsi="Book Antiqua"/>
        <w:color w:val="000000" w:themeColor="text1"/>
      </w:rPr>
      <w:fldChar w:fldCharType="separate"/>
    </w:r>
    <w:r w:rsidR="00DC187F" w:rsidRPr="00DC187F">
      <w:rPr>
        <w:rFonts w:ascii="Book Antiqua" w:hAnsi="Book Antiqua"/>
        <w:noProof/>
        <w:color w:val="000000" w:themeColor="text1"/>
        <w:lang w:val="zh-CN"/>
      </w:rPr>
      <w:t>4</w:t>
    </w:r>
    <w:r w:rsidRPr="005E5D86">
      <w:rPr>
        <w:rFonts w:ascii="Book Antiqua" w:hAnsi="Book Antiqua"/>
        <w:color w:val="000000" w:themeColor="text1"/>
      </w:rPr>
      <w:fldChar w:fldCharType="end"/>
    </w:r>
    <w:r w:rsidRPr="005E5D86">
      <w:rPr>
        <w:rFonts w:ascii="Book Antiqua" w:hAnsi="Book Antiqua"/>
        <w:color w:val="000000" w:themeColor="text1"/>
        <w:lang w:val="zh-CN"/>
      </w:rPr>
      <w:t>/</w:t>
    </w:r>
    <w:r w:rsidRPr="005E5D86">
      <w:rPr>
        <w:rFonts w:ascii="Book Antiqua" w:hAnsi="Book Antiqua"/>
        <w:color w:val="000000" w:themeColor="text1"/>
      </w:rPr>
      <w:fldChar w:fldCharType="begin"/>
    </w:r>
    <w:r w:rsidRPr="005E5D86">
      <w:rPr>
        <w:rFonts w:ascii="Book Antiqua" w:hAnsi="Book Antiqua"/>
        <w:color w:val="000000" w:themeColor="text1"/>
      </w:rPr>
      <w:instrText>NUMPAGES  \* Arabic  \* MERGEFORMAT</w:instrText>
    </w:r>
    <w:r w:rsidRPr="005E5D86">
      <w:rPr>
        <w:rFonts w:ascii="Book Antiqua" w:hAnsi="Book Antiqua"/>
        <w:color w:val="000000" w:themeColor="text1"/>
      </w:rPr>
      <w:fldChar w:fldCharType="separate"/>
    </w:r>
    <w:r w:rsidR="00DC187F" w:rsidRPr="00DC187F">
      <w:rPr>
        <w:rFonts w:ascii="Book Antiqua" w:hAnsi="Book Antiqua"/>
        <w:noProof/>
        <w:color w:val="000000" w:themeColor="text1"/>
        <w:lang w:val="zh-CN"/>
      </w:rPr>
      <w:t>29</w:t>
    </w:r>
    <w:r w:rsidRPr="005E5D86">
      <w:rPr>
        <w:rFonts w:ascii="Book Antiqua" w:hAnsi="Book Antiqua"/>
        <w:color w:val="000000" w:themeColor="text1"/>
      </w:rPr>
      <w:fldChar w:fldCharType="end"/>
    </w:r>
  </w:p>
  <w:p w:rsidR="00CF77EB" w:rsidRDefault="00CF77EB" w:rsidP="00B319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34" w:rsidRDefault="001A6734" w:rsidP="003C0046">
      <w:r>
        <w:separator/>
      </w:r>
    </w:p>
  </w:footnote>
  <w:footnote w:type="continuationSeparator" w:id="0">
    <w:p w:rsidR="001A6734" w:rsidRDefault="001A6734" w:rsidP="003C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0B5"/>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38F7"/>
    <w:multiLevelType w:val="hybridMultilevel"/>
    <w:tmpl w:val="351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751DD"/>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30B4A"/>
    <w:multiLevelType w:val="hybridMultilevel"/>
    <w:tmpl w:val="0556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B50DD"/>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6E"/>
    <w:rsid w:val="000019FE"/>
    <w:rsid w:val="000026BB"/>
    <w:rsid w:val="000035B7"/>
    <w:rsid w:val="00007256"/>
    <w:rsid w:val="00015140"/>
    <w:rsid w:val="000164FC"/>
    <w:rsid w:val="0002061C"/>
    <w:rsid w:val="000250E0"/>
    <w:rsid w:val="00025525"/>
    <w:rsid w:val="00025E9D"/>
    <w:rsid w:val="00030B16"/>
    <w:rsid w:val="00031855"/>
    <w:rsid w:val="0003282F"/>
    <w:rsid w:val="000376A0"/>
    <w:rsid w:val="000410B2"/>
    <w:rsid w:val="000470C4"/>
    <w:rsid w:val="00047BDB"/>
    <w:rsid w:val="00050382"/>
    <w:rsid w:val="00050508"/>
    <w:rsid w:val="000604E5"/>
    <w:rsid w:val="00064D64"/>
    <w:rsid w:val="00066F57"/>
    <w:rsid w:val="00066FA7"/>
    <w:rsid w:val="0007149B"/>
    <w:rsid w:val="000731AE"/>
    <w:rsid w:val="000745A4"/>
    <w:rsid w:val="0008116A"/>
    <w:rsid w:val="00081CE0"/>
    <w:rsid w:val="00082E08"/>
    <w:rsid w:val="0008301E"/>
    <w:rsid w:val="00091C61"/>
    <w:rsid w:val="00094466"/>
    <w:rsid w:val="000949F6"/>
    <w:rsid w:val="00096982"/>
    <w:rsid w:val="000A0D54"/>
    <w:rsid w:val="000A171D"/>
    <w:rsid w:val="000A3936"/>
    <w:rsid w:val="000A39BF"/>
    <w:rsid w:val="000A63C0"/>
    <w:rsid w:val="000B3BA6"/>
    <w:rsid w:val="000B45F2"/>
    <w:rsid w:val="000B68E7"/>
    <w:rsid w:val="000C01F0"/>
    <w:rsid w:val="000C2CA1"/>
    <w:rsid w:val="000C5612"/>
    <w:rsid w:val="000C78FA"/>
    <w:rsid w:val="000D0EF7"/>
    <w:rsid w:val="000D2505"/>
    <w:rsid w:val="000D388B"/>
    <w:rsid w:val="000D479F"/>
    <w:rsid w:val="000E0C3E"/>
    <w:rsid w:val="000E28AC"/>
    <w:rsid w:val="000E3D4C"/>
    <w:rsid w:val="000E40A8"/>
    <w:rsid w:val="000E4DAB"/>
    <w:rsid w:val="000F23C8"/>
    <w:rsid w:val="000F28B7"/>
    <w:rsid w:val="000F47D6"/>
    <w:rsid w:val="000F60A7"/>
    <w:rsid w:val="00101704"/>
    <w:rsid w:val="00102BB2"/>
    <w:rsid w:val="001044B3"/>
    <w:rsid w:val="001051D3"/>
    <w:rsid w:val="0010693E"/>
    <w:rsid w:val="00107F07"/>
    <w:rsid w:val="001115DA"/>
    <w:rsid w:val="00112A14"/>
    <w:rsid w:val="0011447B"/>
    <w:rsid w:val="00114BF3"/>
    <w:rsid w:val="001150AF"/>
    <w:rsid w:val="00115B07"/>
    <w:rsid w:val="001160E5"/>
    <w:rsid w:val="0012031A"/>
    <w:rsid w:val="001223FE"/>
    <w:rsid w:val="001252CD"/>
    <w:rsid w:val="00130842"/>
    <w:rsid w:val="00131552"/>
    <w:rsid w:val="00132B97"/>
    <w:rsid w:val="00136DC9"/>
    <w:rsid w:val="001372B7"/>
    <w:rsid w:val="00137BEC"/>
    <w:rsid w:val="001415CB"/>
    <w:rsid w:val="0014175C"/>
    <w:rsid w:val="001421E9"/>
    <w:rsid w:val="00142AFA"/>
    <w:rsid w:val="00142D04"/>
    <w:rsid w:val="001432A2"/>
    <w:rsid w:val="00145B92"/>
    <w:rsid w:val="0015033F"/>
    <w:rsid w:val="001513A2"/>
    <w:rsid w:val="00154AA4"/>
    <w:rsid w:val="00154C52"/>
    <w:rsid w:val="00156A4A"/>
    <w:rsid w:val="00161B4B"/>
    <w:rsid w:val="00163655"/>
    <w:rsid w:val="00164166"/>
    <w:rsid w:val="00165959"/>
    <w:rsid w:val="00166169"/>
    <w:rsid w:val="00166750"/>
    <w:rsid w:val="001670AC"/>
    <w:rsid w:val="00167E7C"/>
    <w:rsid w:val="00170B57"/>
    <w:rsid w:val="0017228E"/>
    <w:rsid w:val="00172A11"/>
    <w:rsid w:val="0018039F"/>
    <w:rsid w:val="00181FC7"/>
    <w:rsid w:val="00182D02"/>
    <w:rsid w:val="00184EDC"/>
    <w:rsid w:val="0018543C"/>
    <w:rsid w:val="0018612F"/>
    <w:rsid w:val="00186E73"/>
    <w:rsid w:val="00187161"/>
    <w:rsid w:val="00187C03"/>
    <w:rsid w:val="00191917"/>
    <w:rsid w:val="001929B8"/>
    <w:rsid w:val="0019567F"/>
    <w:rsid w:val="00195B0B"/>
    <w:rsid w:val="0019623D"/>
    <w:rsid w:val="001A240F"/>
    <w:rsid w:val="001A4403"/>
    <w:rsid w:val="001A5DA7"/>
    <w:rsid w:val="001A6734"/>
    <w:rsid w:val="001B0C82"/>
    <w:rsid w:val="001B32E8"/>
    <w:rsid w:val="001B39D4"/>
    <w:rsid w:val="001B3A89"/>
    <w:rsid w:val="001B697E"/>
    <w:rsid w:val="001C289E"/>
    <w:rsid w:val="001C3470"/>
    <w:rsid w:val="001D099D"/>
    <w:rsid w:val="001D1C71"/>
    <w:rsid w:val="001D246C"/>
    <w:rsid w:val="001D3D7D"/>
    <w:rsid w:val="001D432B"/>
    <w:rsid w:val="001D4571"/>
    <w:rsid w:val="001D700E"/>
    <w:rsid w:val="001D72D6"/>
    <w:rsid w:val="001D7542"/>
    <w:rsid w:val="001E014C"/>
    <w:rsid w:val="001E15D2"/>
    <w:rsid w:val="001E3103"/>
    <w:rsid w:val="001E3AF8"/>
    <w:rsid w:val="001E68ED"/>
    <w:rsid w:val="001E7B78"/>
    <w:rsid w:val="001F1506"/>
    <w:rsid w:val="001F32C3"/>
    <w:rsid w:val="001F7369"/>
    <w:rsid w:val="0020000E"/>
    <w:rsid w:val="00206F56"/>
    <w:rsid w:val="00207778"/>
    <w:rsid w:val="0021350F"/>
    <w:rsid w:val="00214255"/>
    <w:rsid w:val="00214AE8"/>
    <w:rsid w:val="00215DEC"/>
    <w:rsid w:val="00215E01"/>
    <w:rsid w:val="00215F5B"/>
    <w:rsid w:val="00221F13"/>
    <w:rsid w:val="002261EA"/>
    <w:rsid w:val="0023051D"/>
    <w:rsid w:val="00231639"/>
    <w:rsid w:val="00232054"/>
    <w:rsid w:val="00233278"/>
    <w:rsid w:val="00233427"/>
    <w:rsid w:val="002353AA"/>
    <w:rsid w:val="00240CF0"/>
    <w:rsid w:val="00240FB6"/>
    <w:rsid w:val="00241B82"/>
    <w:rsid w:val="00250047"/>
    <w:rsid w:val="00250E17"/>
    <w:rsid w:val="00251477"/>
    <w:rsid w:val="0025268A"/>
    <w:rsid w:val="002548B0"/>
    <w:rsid w:val="00254C20"/>
    <w:rsid w:val="002556CF"/>
    <w:rsid w:val="0025610A"/>
    <w:rsid w:val="00267586"/>
    <w:rsid w:val="002700A3"/>
    <w:rsid w:val="00270A85"/>
    <w:rsid w:val="00271E12"/>
    <w:rsid w:val="0027319C"/>
    <w:rsid w:val="00273708"/>
    <w:rsid w:val="002816C0"/>
    <w:rsid w:val="00282332"/>
    <w:rsid w:val="002834FF"/>
    <w:rsid w:val="00290C3F"/>
    <w:rsid w:val="002914AC"/>
    <w:rsid w:val="002915BF"/>
    <w:rsid w:val="002922E2"/>
    <w:rsid w:val="00292302"/>
    <w:rsid w:val="002962E3"/>
    <w:rsid w:val="002978E2"/>
    <w:rsid w:val="002A378E"/>
    <w:rsid w:val="002A450C"/>
    <w:rsid w:val="002B00ED"/>
    <w:rsid w:val="002B0608"/>
    <w:rsid w:val="002B1A84"/>
    <w:rsid w:val="002B316C"/>
    <w:rsid w:val="002B7B47"/>
    <w:rsid w:val="002C1F56"/>
    <w:rsid w:val="002C2BF3"/>
    <w:rsid w:val="002C450F"/>
    <w:rsid w:val="002C651A"/>
    <w:rsid w:val="002C6FAC"/>
    <w:rsid w:val="002C766C"/>
    <w:rsid w:val="002C7AFD"/>
    <w:rsid w:val="002C7C34"/>
    <w:rsid w:val="002D1549"/>
    <w:rsid w:val="002D399D"/>
    <w:rsid w:val="002D700D"/>
    <w:rsid w:val="002D745E"/>
    <w:rsid w:val="002D7E48"/>
    <w:rsid w:val="002E174C"/>
    <w:rsid w:val="002E42FA"/>
    <w:rsid w:val="002E44AE"/>
    <w:rsid w:val="002E662F"/>
    <w:rsid w:val="002F0B39"/>
    <w:rsid w:val="002F300C"/>
    <w:rsid w:val="002F326E"/>
    <w:rsid w:val="002F3455"/>
    <w:rsid w:val="002F36F4"/>
    <w:rsid w:val="002F6143"/>
    <w:rsid w:val="00301A95"/>
    <w:rsid w:val="00303405"/>
    <w:rsid w:val="00304167"/>
    <w:rsid w:val="003073F5"/>
    <w:rsid w:val="00310CEE"/>
    <w:rsid w:val="00313DCE"/>
    <w:rsid w:val="003208C9"/>
    <w:rsid w:val="00324C0D"/>
    <w:rsid w:val="00330B7F"/>
    <w:rsid w:val="00331871"/>
    <w:rsid w:val="00332439"/>
    <w:rsid w:val="00334D7F"/>
    <w:rsid w:val="00335E5E"/>
    <w:rsid w:val="00344719"/>
    <w:rsid w:val="00345AD8"/>
    <w:rsid w:val="003473B5"/>
    <w:rsid w:val="003515DB"/>
    <w:rsid w:val="00352020"/>
    <w:rsid w:val="00353717"/>
    <w:rsid w:val="0035376C"/>
    <w:rsid w:val="003549AE"/>
    <w:rsid w:val="00360423"/>
    <w:rsid w:val="00361746"/>
    <w:rsid w:val="00362071"/>
    <w:rsid w:val="003647DA"/>
    <w:rsid w:val="00365CD4"/>
    <w:rsid w:val="003711FD"/>
    <w:rsid w:val="0038079C"/>
    <w:rsid w:val="0038120B"/>
    <w:rsid w:val="00386626"/>
    <w:rsid w:val="00387EBF"/>
    <w:rsid w:val="00390856"/>
    <w:rsid w:val="00391584"/>
    <w:rsid w:val="00391EF2"/>
    <w:rsid w:val="0039592C"/>
    <w:rsid w:val="00396155"/>
    <w:rsid w:val="003967F9"/>
    <w:rsid w:val="0039718E"/>
    <w:rsid w:val="003A03EB"/>
    <w:rsid w:val="003A1C67"/>
    <w:rsid w:val="003A438F"/>
    <w:rsid w:val="003A467E"/>
    <w:rsid w:val="003A4E9C"/>
    <w:rsid w:val="003A6815"/>
    <w:rsid w:val="003A688C"/>
    <w:rsid w:val="003A7730"/>
    <w:rsid w:val="003B10F1"/>
    <w:rsid w:val="003B1D0B"/>
    <w:rsid w:val="003B3ABD"/>
    <w:rsid w:val="003B66B0"/>
    <w:rsid w:val="003C0046"/>
    <w:rsid w:val="003C17C5"/>
    <w:rsid w:val="003C6054"/>
    <w:rsid w:val="003C7F52"/>
    <w:rsid w:val="003D01B1"/>
    <w:rsid w:val="003D0885"/>
    <w:rsid w:val="003D25A1"/>
    <w:rsid w:val="003D31EF"/>
    <w:rsid w:val="003D3A9C"/>
    <w:rsid w:val="003D46B2"/>
    <w:rsid w:val="003D5038"/>
    <w:rsid w:val="003D5AE0"/>
    <w:rsid w:val="003D76D1"/>
    <w:rsid w:val="003E33AD"/>
    <w:rsid w:val="003E3C0B"/>
    <w:rsid w:val="003E45BA"/>
    <w:rsid w:val="003F2AF0"/>
    <w:rsid w:val="003F2D8E"/>
    <w:rsid w:val="003F3353"/>
    <w:rsid w:val="003F3EA5"/>
    <w:rsid w:val="003F6C03"/>
    <w:rsid w:val="00401A48"/>
    <w:rsid w:val="00402724"/>
    <w:rsid w:val="00405066"/>
    <w:rsid w:val="004051EE"/>
    <w:rsid w:val="004076C9"/>
    <w:rsid w:val="00407CD8"/>
    <w:rsid w:val="004124B6"/>
    <w:rsid w:val="00414166"/>
    <w:rsid w:val="00415F0B"/>
    <w:rsid w:val="00416582"/>
    <w:rsid w:val="00422C71"/>
    <w:rsid w:val="00424AC5"/>
    <w:rsid w:val="00425F9D"/>
    <w:rsid w:val="00431CB5"/>
    <w:rsid w:val="00432880"/>
    <w:rsid w:val="00442525"/>
    <w:rsid w:val="004433C8"/>
    <w:rsid w:val="00445D20"/>
    <w:rsid w:val="004524E3"/>
    <w:rsid w:val="004542F1"/>
    <w:rsid w:val="0045728B"/>
    <w:rsid w:val="0045797A"/>
    <w:rsid w:val="00460BE9"/>
    <w:rsid w:val="004627F0"/>
    <w:rsid w:val="00464046"/>
    <w:rsid w:val="004707D5"/>
    <w:rsid w:val="004744E4"/>
    <w:rsid w:val="00474C7C"/>
    <w:rsid w:val="00475708"/>
    <w:rsid w:val="004803FA"/>
    <w:rsid w:val="0048072D"/>
    <w:rsid w:val="00480A51"/>
    <w:rsid w:val="00483D47"/>
    <w:rsid w:val="00486FB9"/>
    <w:rsid w:val="00495F6A"/>
    <w:rsid w:val="004961F8"/>
    <w:rsid w:val="004A05F3"/>
    <w:rsid w:val="004A0A01"/>
    <w:rsid w:val="004A35B9"/>
    <w:rsid w:val="004A59E4"/>
    <w:rsid w:val="004A7350"/>
    <w:rsid w:val="004B0A2C"/>
    <w:rsid w:val="004B1339"/>
    <w:rsid w:val="004B2560"/>
    <w:rsid w:val="004B33A2"/>
    <w:rsid w:val="004B5558"/>
    <w:rsid w:val="004B6C06"/>
    <w:rsid w:val="004C2C0E"/>
    <w:rsid w:val="004C7CF1"/>
    <w:rsid w:val="004D5A5F"/>
    <w:rsid w:val="004D5B4A"/>
    <w:rsid w:val="004D6CE1"/>
    <w:rsid w:val="004E02EB"/>
    <w:rsid w:val="004E1B01"/>
    <w:rsid w:val="004E2040"/>
    <w:rsid w:val="004E3769"/>
    <w:rsid w:val="004E504F"/>
    <w:rsid w:val="004E61F3"/>
    <w:rsid w:val="004F1E3B"/>
    <w:rsid w:val="004F3698"/>
    <w:rsid w:val="004F3C55"/>
    <w:rsid w:val="004F516C"/>
    <w:rsid w:val="0050048E"/>
    <w:rsid w:val="00501838"/>
    <w:rsid w:val="0050247A"/>
    <w:rsid w:val="00504003"/>
    <w:rsid w:val="005104BA"/>
    <w:rsid w:val="00510806"/>
    <w:rsid w:val="00512436"/>
    <w:rsid w:val="00515226"/>
    <w:rsid w:val="005221B2"/>
    <w:rsid w:val="0052272C"/>
    <w:rsid w:val="00533350"/>
    <w:rsid w:val="005356EC"/>
    <w:rsid w:val="00536A8B"/>
    <w:rsid w:val="00537E15"/>
    <w:rsid w:val="005413CC"/>
    <w:rsid w:val="00541784"/>
    <w:rsid w:val="005459C6"/>
    <w:rsid w:val="00545B3F"/>
    <w:rsid w:val="0054666D"/>
    <w:rsid w:val="0055162A"/>
    <w:rsid w:val="005519F7"/>
    <w:rsid w:val="00552D5C"/>
    <w:rsid w:val="00553518"/>
    <w:rsid w:val="005544B3"/>
    <w:rsid w:val="00554F23"/>
    <w:rsid w:val="00560621"/>
    <w:rsid w:val="00563391"/>
    <w:rsid w:val="00563B80"/>
    <w:rsid w:val="00565F97"/>
    <w:rsid w:val="005674BB"/>
    <w:rsid w:val="00567655"/>
    <w:rsid w:val="0057230F"/>
    <w:rsid w:val="00575CFD"/>
    <w:rsid w:val="0057785D"/>
    <w:rsid w:val="0058017D"/>
    <w:rsid w:val="00581EB4"/>
    <w:rsid w:val="0058321F"/>
    <w:rsid w:val="005837D6"/>
    <w:rsid w:val="00585872"/>
    <w:rsid w:val="0058745D"/>
    <w:rsid w:val="00587513"/>
    <w:rsid w:val="00587741"/>
    <w:rsid w:val="00591E7C"/>
    <w:rsid w:val="00591FBD"/>
    <w:rsid w:val="00597113"/>
    <w:rsid w:val="00597609"/>
    <w:rsid w:val="005A0862"/>
    <w:rsid w:val="005A1138"/>
    <w:rsid w:val="005A43E2"/>
    <w:rsid w:val="005A77CC"/>
    <w:rsid w:val="005B14A9"/>
    <w:rsid w:val="005B14C1"/>
    <w:rsid w:val="005B21FF"/>
    <w:rsid w:val="005B3B77"/>
    <w:rsid w:val="005B4F43"/>
    <w:rsid w:val="005B6CE8"/>
    <w:rsid w:val="005C004E"/>
    <w:rsid w:val="005C1F88"/>
    <w:rsid w:val="005C7AEC"/>
    <w:rsid w:val="005D2ADB"/>
    <w:rsid w:val="005D3348"/>
    <w:rsid w:val="005D36AC"/>
    <w:rsid w:val="005D4664"/>
    <w:rsid w:val="005D677C"/>
    <w:rsid w:val="005D7169"/>
    <w:rsid w:val="005E05B2"/>
    <w:rsid w:val="005E0CA0"/>
    <w:rsid w:val="005E3720"/>
    <w:rsid w:val="005E5536"/>
    <w:rsid w:val="005E5D86"/>
    <w:rsid w:val="005E6D54"/>
    <w:rsid w:val="005F0ED8"/>
    <w:rsid w:val="005F17BB"/>
    <w:rsid w:val="005F246E"/>
    <w:rsid w:val="005F25C4"/>
    <w:rsid w:val="005F4C58"/>
    <w:rsid w:val="005F5D17"/>
    <w:rsid w:val="005F5E36"/>
    <w:rsid w:val="005F66E4"/>
    <w:rsid w:val="0060221B"/>
    <w:rsid w:val="006025BE"/>
    <w:rsid w:val="00605507"/>
    <w:rsid w:val="00605F9F"/>
    <w:rsid w:val="00606316"/>
    <w:rsid w:val="0061041B"/>
    <w:rsid w:val="00610619"/>
    <w:rsid w:val="006112CE"/>
    <w:rsid w:val="006137E8"/>
    <w:rsid w:val="00615077"/>
    <w:rsid w:val="00616861"/>
    <w:rsid w:val="006176F4"/>
    <w:rsid w:val="00623161"/>
    <w:rsid w:val="00625247"/>
    <w:rsid w:val="00626C9D"/>
    <w:rsid w:val="0063439C"/>
    <w:rsid w:val="00636FFB"/>
    <w:rsid w:val="00641383"/>
    <w:rsid w:val="00641CC7"/>
    <w:rsid w:val="0064234B"/>
    <w:rsid w:val="00644591"/>
    <w:rsid w:val="00644EB4"/>
    <w:rsid w:val="0064614B"/>
    <w:rsid w:val="00646C57"/>
    <w:rsid w:val="00647C2D"/>
    <w:rsid w:val="00650788"/>
    <w:rsid w:val="00650D11"/>
    <w:rsid w:val="00651225"/>
    <w:rsid w:val="006513F0"/>
    <w:rsid w:val="00653862"/>
    <w:rsid w:val="00653AED"/>
    <w:rsid w:val="00654FE9"/>
    <w:rsid w:val="00655E4B"/>
    <w:rsid w:val="00660FCA"/>
    <w:rsid w:val="0066168A"/>
    <w:rsid w:val="00663D3E"/>
    <w:rsid w:val="00664201"/>
    <w:rsid w:val="00666060"/>
    <w:rsid w:val="00670218"/>
    <w:rsid w:val="00670B77"/>
    <w:rsid w:val="00670D92"/>
    <w:rsid w:val="00672218"/>
    <w:rsid w:val="006727D6"/>
    <w:rsid w:val="00674121"/>
    <w:rsid w:val="0067567E"/>
    <w:rsid w:val="00681E11"/>
    <w:rsid w:val="006820AF"/>
    <w:rsid w:val="006846FB"/>
    <w:rsid w:val="0069054A"/>
    <w:rsid w:val="00691BCB"/>
    <w:rsid w:val="00693890"/>
    <w:rsid w:val="00694A16"/>
    <w:rsid w:val="00696BC0"/>
    <w:rsid w:val="00697307"/>
    <w:rsid w:val="006A186F"/>
    <w:rsid w:val="006A19A4"/>
    <w:rsid w:val="006A22D7"/>
    <w:rsid w:val="006A2646"/>
    <w:rsid w:val="006A73F0"/>
    <w:rsid w:val="006B11FE"/>
    <w:rsid w:val="006B1700"/>
    <w:rsid w:val="006B3F47"/>
    <w:rsid w:val="006B42DA"/>
    <w:rsid w:val="006B488A"/>
    <w:rsid w:val="006B4EE1"/>
    <w:rsid w:val="006B5DF8"/>
    <w:rsid w:val="006B5E6E"/>
    <w:rsid w:val="006B68EA"/>
    <w:rsid w:val="006C13BE"/>
    <w:rsid w:val="006C1CA0"/>
    <w:rsid w:val="006C2487"/>
    <w:rsid w:val="006C270F"/>
    <w:rsid w:val="006C2B9F"/>
    <w:rsid w:val="006C54DD"/>
    <w:rsid w:val="006C57F7"/>
    <w:rsid w:val="006D1FAC"/>
    <w:rsid w:val="006D2396"/>
    <w:rsid w:val="006D279E"/>
    <w:rsid w:val="006D32F8"/>
    <w:rsid w:val="006D3F5E"/>
    <w:rsid w:val="006D4537"/>
    <w:rsid w:val="006D532A"/>
    <w:rsid w:val="006D5FBA"/>
    <w:rsid w:val="006D6E2E"/>
    <w:rsid w:val="006D76AE"/>
    <w:rsid w:val="006D7D30"/>
    <w:rsid w:val="006E1B38"/>
    <w:rsid w:val="006E1BF4"/>
    <w:rsid w:val="006F0864"/>
    <w:rsid w:val="006F3B22"/>
    <w:rsid w:val="006F4DE0"/>
    <w:rsid w:val="007018A3"/>
    <w:rsid w:val="00702FE5"/>
    <w:rsid w:val="007036D6"/>
    <w:rsid w:val="0070376E"/>
    <w:rsid w:val="00703CF6"/>
    <w:rsid w:val="00704149"/>
    <w:rsid w:val="007043F3"/>
    <w:rsid w:val="00705766"/>
    <w:rsid w:val="0071251C"/>
    <w:rsid w:val="007125D6"/>
    <w:rsid w:val="0071417E"/>
    <w:rsid w:val="00714715"/>
    <w:rsid w:val="007159ED"/>
    <w:rsid w:val="00717B1F"/>
    <w:rsid w:val="007225E9"/>
    <w:rsid w:val="00722B13"/>
    <w:rsid w:val="00723FA4"/>
    <w:rsid w:val="00725590"/>
    <w:rsid w:val="00732481"/>
    <w:rsid w:val="0073418B"/>
    <w:rsid w:val="00740BE9"/>
    <w:rsid w:val="007418F2"/>
    <w:rsid w:val="00742241"/>
    <w:rsid w:val="00744E54"/>
    <w:rsid w:val="007466D7"/>
    <w:rsid w:val="00747182"/>
    <w:rsid w:val="00747ACE"/>
    <w:rsid w:val="0075290C"/>
    <w:rsid w:val="00752CC8"/>
    <w:rsid w:val="0075502A"/>
    <w:rsid w:val="00755282"/>
    <w:rsid w:val="00756334"/>
    <w:rsid w:val="007612D7"/>
    <w:rsid w:val="00761FAC"/>
    <w:rsid w:val="00764CEB"/>
    <w:rsid w:val="0076517A"/>
    <w:rsid w:val="00772FD5"/>
    <w:rsid w:val="00774F30"/>
    <w:rsid w:val="00777F7F"/>
    <w:rsid w:val="0078048B"/>
    <w:rsid w:val="007816B2"/>
    <w:rsid w:val="0078661E"/>
    <w:rsid w:val="00791E29"/>
    <w:rsid w:val="00794361"/>
    <w:rsid w:val="007958D5"/>
    <w:rsid w:val="007960B6"/>
    <w:rsid w:val="00797CD2"/>
    <w:rsid w:val="007A5156"/>
    <w:rsid w:val="007A649E"/>
    <w:rsid w:val="007A68D3"/>
    <w:rsid w:val="007A6BBB"/>
    <w:rsid w:val="007A71A9"/>
    <w:rsid w:val="007A73B7"/>
    <w:rsid w:val="007B0134"/>
    <w:rsid w:val="007B1AEB"/>
    <w:rsid w:val="007B1ECE"/>
    <w:rsid w:val="007B2C57"/>
    <w:rsid w:val="007B38D3"/>
    <w:rsid w:val="007B3E45"/>
    <w:rsid w:val="007C1D73"/>
    <w:rsid w:val="007C2397"/>
    <w:rsid w:val="007C7A1F"/>
    <w:rsid w:val="007D1264"/>
    <w:rsid w:val="007D2037"/>
    <w:rsid w:val="007D2639"/>
    <w:rsid w:val="007D3C2F"/>
    <w:rsid w:val="007D43BC"/>
    <w:rsid w:val="007D526A"/>
    <w:rsid w:val="007D6C26"/>
    <w:rsid w:val="007D7276"/>
    <w:rsid w:val="007E304B"/>
    <w:rsid w:val="007E47FD"/>
    <w:rsid w:val="007F0571"/>
    <w:rsid w:val="007F2D90"/>
    <w:rsid w:val="007F3F09"/>
    <w:rsid w:val="007F622E"/>
    <w:rsid w:val="00800745"/>
    <w:rsid w:val="00802DC8"/>
    <w:rsid w:val="00802E5D"/>
    <w:rsid w:val="008075E8"/>
    <w:rsid w:val="00810438"/>
    <w:rsid w:val="008113F7"/>
    <w:rsid w:val="0081411B"/>
    <w:rsid w:val="008145DE"/>
    <w:rsid w:val="00814987"/>
    <w:rsid w:val="00816191"/>
    <w:rsid w:val="008178AE"/>
    <w:rsid w:val="008178F4"/>
    <w:rsid w:val="008211E0"/>
    <w:rsid w:val="00823E82"/>
    <w:rsid w:val="00824EEB"/>
    <w:rsid w:val="00827D7F"/>
    <w:rsid w:val="00831555"/>
    <w:rsid w:val="0083182D"/>
    <w:rsid w:val="00833209"/>
    <w:rsid w:val="00833C2B"/>
    <w:rsid w:val="00834883"/>
    <w:rsid w:val="00836E4D"/>
    <w:rsid w:val="00842F58"/>
    <w:rsid w:val="00843940"/>
    <w:rsid w:val="00844388"/>
    <w:rsid w:val="00844B1A"/>
    <w:rsid w:val="00845ACA"/>
    <w:rsid w:val="0084669C"/>
    <w:rsid w:val="008511CA"/>
    <w:rsid w:val="008516A5"/>
    <w:rsid w:val="0085377D"/>
    <w:rsid w:val="0085393D"/>
    <w:rsid w:val="00856CFC"/>
    <w:rsid w:val="0086426A"/>
    <w:rsid w:val="00872F80"/>
    <w:rsid w:val="0087343F"/>
    <w:rsid w:val="00876A81"/>
    <w:rsid w:val="00877D79"/>
    <w:rsid w:val="00880087"/>
    <w:rsid w:val="008806B9"/>
    <w:rsid w:val="00884F69"/>
    <w:rsid w:val="00886372"/>
    <w:rsid w:val="008904C6"/>
    <w:rsid w:val="00891E8C"/>
    <w:rsid w:val="00891FD4"/>
    <w:rsid w:val="00893CEE"/>
    <w:rsid w:val="00894A1D"/>
    <w:rsid w:val="00895233"/>
    <w:rsid w:val="0089716F"/>
    <w:rsid w:val="008A05F9"/>
    <w:rsid w:val="008A0D8D"/>
    <w:rsid w:val="008A10A5"/>
    <w:rsid w:val="008A573F"/>
    <w:rsid w:val="008A7CFF"/>
    <w:rsid w:val="008B25F8"/>
    <w:rsid w:val="008B2FC2"/>
    <w:rsid w:val="008B34F3"/>
    <w:rsid w:val="008B4861"/>
    <w:rsid w:val="008B5FD3"/>
    <w:rsid w:val="008B603B"/>
    <w:rsid w:val="008B60E4"/>
    <w:rsid w:val="008C08B4"/>
    <w:rsid w:val="008C289E"/>
    <w:rsid w:val="008C35B7"/>
    <w:rsid w:val="008C35B9"/>
    <w:rsid w:val="008C38A2"/>
    <w:rsid w:val="008C51DC"/>
    <w:rsid w:val="008C6D8E"/>
    <w:rsid w:val="008C7087"/>
    <w:rsid w:val="008C7F5C"/>
    <w:rsid w:val="008D0168"/>
    <w:rsid w:val="008D1E2D"/>
    <w:rsid w:val="008D2090"/>
    <w:rsid w:val="008D2CCA"/>
    <w:rsid w:val="008D46F0"/>
    <w:rsid w:val="008D48F6"/>
    <w:rsid w:val="008D58A5"/>
    <w:rsid w:val="008D5EC7"/>
    <w:rsid w:val="008D7687"/>
    <w:rsid w:val="008E0B84"/>
    <w:rsid w:val="008E3E6C"/>
    <w:rsid w:val="008E54AE"/>
    <w:rsid w:val="008E58B5"/>
    <w:rsid w:val="008E6C65"/>
    <w:rsid w:val="008E711A"/>
    <w:rsid w:val="008F0ED4"/>
    <w:rsid w:val="008F16A3"/>
    <w:rsid w:val="008F1E0D"/>
    <w:rsid w:val="00901212"/>
    <w:rsid w:val="00902012"/>
    <w:rsid w:val="00902EB3"/>
    <w:rsid w:val="00911E1D"/>
    <w:rsid w:val="00912503"/>
    <w:rsid w:val="0091360B"/>
    <w:rsid w:val="00914374"/>
    <w:rsid w:val="009165D7"/>
    <w:rsid w:val="0091698F"/>
    <w:rsid w:val="00920110"/>
    <w:rsid w:val="0092119B"/>
    <w:rsid w:val="00921F77"/>
    <w:rsid w:val="00923525"/>
    <w:rsid w:val="00923E64"/>
    <w:rsid w:val="00924083"/>
    <w:rsid w:val="00924218"/>
    <w:rsid w:val="0092612D"/>
    <w:rsid w:val="0092625A"/>
    <w:rsid w:val="00927066"/>
    <w:rsid w:val="00927869"/>
    <w:rsid w:val="00930CD1"/>
    <w:rsid w:val="00930EFA"/>
    <w:rsid w:val="009316AE"/>
    <w:rsid w:val="0093306D"/>
    <w:rsid w:val="009346BE"/>
    <w:rsid w:val="00935B11"/>
    <w:rsid w:val="009366CB"/>
    <w:rsid w:val="00937629"/>
    <w:rsid w:val="00940A79"/>
    <w:rsid w:val="00941102"/>
    <w:rsid w:val="009426F2"/>
    <w:rsid w:val="00942773"/>
    <w:rsid w:val="0094313C"/>
    <w:rsid w:val="00950935"/>
    <w:rsid w:val="00951A81"/>
    <w:rsid w:val="00952813"/>
    <w:rsid w:val="00952F01"/>
    <w:rsid w:val="009540CE"/>
    <w:rsid w:val="00957661"/>
    <w:rsid w:val="00961380"/>
    <w:rsid w:val="00963DD4"/>
    <w:rsid w:val="0096506E"/>
    <w:rsid w:val="00966276"/>
    <w:rsid w:val="00966391"/>
    <w:rsid w:val="00967179"/>
    <w:rsid w:val="00971803"/>
    <w:rsid w:val="00973FED"/>
    <w:rsid w:val="00976F78"/>
    <w:rsid w:val="00980F3F"/>
    <w:rsid w:val="0098247A"/>
    <w:rsid w:val="0098269B"/>
    <w:rsid w:val="009874D4"/>
    <w:rsid w:val="00987B94"/>
    <w:rsid w:val="0099234D"/>
    <w:rsid w:val="009924F0"/>
    <w:rsid w:val="00994219"/>
    <w:rsid w:val="00997906"/>
    <w:rsid w:val="009A062D"/>
    <w:rsid w:val="009A3BF7"/>
    <w:rsid w:val="009A673C"/>
    <w:rsid w:val="009A6C76"/>
    <w:rsid w:val="009B09B4"/>
    <w:rsid w:val="009B247F"/>
    <w:rsid w:val="009B26CD"/>
    <w:rsid w:val="009B28D0"/>
    <w:rsid w:val="009B2A66"/>
    <w:rsid w:val="009B2AC2"/>
    <w:rsid w:val="009B535A"/>
    <w:rsid w:val="009C0FDD"/>
    <w:rsid w:val="009C11D2"/>
    <w:rsid w:val="009C4E4D"/>
    <w:rsid w:val="009C50A5"/>
    <w:rsid w:val="009C5529"/>
    <w:rsid w:val="009C6AE2"/>
    <w:rsid w:val="009C7798"/>
    <w:rsid w:val="009D1D16"/>
    <w:rsid w:val="009D6152"/>
    <w:rsid w:val="009D70EB"/>
    <w:rsid w:val="009E21D6"/>
    <w:rsid w:val="009E46AE"/>
    <w:rsid w:val="009E661F"/>
    <w:rsid w:val="009E6644"/>
    <w:rsid w:val="009E69C3"/>
    <w:rsid w:val="009F1BE2"/>
    <w:rsid w:val="009F6A23"/>
    <w:rsid w:val="009F7A0D"/>
    <w:rsid w:val="00A00C05"/>
    <w:rsid w:val="00A01FEA"/>
    <w:rsid w:val="00A020D8"/>
    <w:rsid w:val="00A0281A"/>
    <w:rsid w:val="00A07B06"/>
    <w:rsid w:val="00A1021F"/>
    <w:rsid w:val="00A104A3"/>
    <w:rsid w:val="00A1520B"/>
    <w:rsid w:val="00A17B5F"/>
    <w:rsid w:val="00A20B72"/>
    <w:rsid w:val="00A20CF7"/>
    <w:rsid w:val="00A22237"/>
    <w:rsid w:val="00A22DDD"/>
    <w:rsid w:val="00A22E48"/>
    <w:rsid w:val="00A231DF"/>
    <w:rsid w:val="00A23F8B"/>
    <w:rsid w:val="00A24373"/>
    <w:rsid w:val="00A25649"/>
    <w:rsid w:val="00A263B7"/>
    <w:rsid w:val="00A26CC5"/>
    <w:rsid w:val="00A27715"/>
    <w:rsid w:val="00A27936"/>
    <w:rsid w:val="00A31A26"/>
    <w:rsid w:val="00A33737"/>
    <w:rsid w:val="00A35B0F"/>
    <w:rsid w:val="00A368AE"/>
    <w:rsid w:val="00A369F4"/>
    <w:rsid w:val="00A413BD"/>
    <w:rsid w:val="00A4300F"/>
    <w:rsid w:val="00A44543"/>
    <w:rsid w:val="00A44810"/>
    <w:rsid w:val="00A46CFB"/>
    <w:rsid w:val="00A56200"/>
    <w:rsid w:val="00A56CFE"/>
    <w:rsid w:val="00A5711A"/>
    <w:rsid w:val="00A62176"/>
    <w:rsid w:val="00A65A84"/>
    <w:rsid w:val="00A66658"/>
    <w:rsid w:val="00A67077"/>
    <w:rsid w:val="00A675D1"/>
    <w:rsid w:val="00A72E82"/>
    <w:rsid w:val="00A7303C"/>
    <w:rsid w:val="00A73796"/>
    <w:rsid w:val="00A74F29"/>
    <w:rsid w:val="00A76BB5"/>
    <w:rsid w:val="00A76CB7"/>
    <w:rsid w:val="00A77A62"/>
    <w:rsid w:val="00A8273C"/>
    <w:rsid w:val="00A82A4E"/>
    <w:rsid w:val="00A83286"/>
    <w:rsid w:val="00A87311"/>
    <w:rsid w:val="00A90102"/>
    <w:rsid w:val="00A9137F"/>
    <w:rsid w:val="00A92893"/>
    <w:rsid w:val="00A96D3B"/>
    <w:rsid w:val="00A97C1D"/>
    <w:rsid w:val="00AA0860"/>
    <w:rsid w:val="00AA3BE0"/>
    <w:rsid w:val="00AA4A3C"/>
    <w:rsid w:val="00AA5772"/>
    <w:rsid w:val="00AA6249"/>
    <w:rsid w:val="00AB30A2"/>
    <w:rsid w:val="00AB33B7"/>
    <w:rsid w:val="00AB3F56"/>
    <w:rsid w:val="00AB7DAD"/>
    <w:rsid w:val="00AC1283"/>
    <w:rsid w:val="00AC27E4"/>
    <w:rsid w:val="00AC623A"/>
    <w:rsid w:val="00AC6CB3"/>
    <w:rsid w:val="00AC7DE3"/>
    <w:rsid w:val="00AD114F"/>
    <w:rsid w:val="00AD1499"/>
    <w:rsid w:val="00AD1C57"/>
    <w:rsid w:val="00AE09E2"/>
    <w:rsid w:val="00AE256C"/>
    <w:rsid w:val="00AE36CE"/>
    <w:rsid w:val="00AE3FB4"/>
    <w:rsid w:val="00AE416C"/>
    <w:rsid w:val="00AE62DB"/>
    <w:rsid w:val="00AE73AA"/>
    <w:rsid w:val="00AE7981"/>
    <w:rsid w:val="00AF31C8"/>
    <w:rsid w:val="00AF3809"/>
    <w:rsid w:val="00AF4441"/>
    <w:rsid w:val="00AF628B"/>
    <w:rsid w:val="00AF638A"/>
    <w:rsid w:val="00AF6A64"/>
    <w:rsid w:val="00AF76F0"/>
    <w:rsid w:val="00AF7E5D"/>
    <w:rsid w:val="00B02488"/>
    <w:rsid w:val="00B04FE2"/>
    <w:rsid w:val="00B05C52"/>
    <w:rsid w:val="00B1058F"/>
    <w:rsid w:val="00B1341A"/>
    <w:rsid w:val="00B13FB6"/>
    <w:rsid w:val="00B148B4"/>
    <w:rsid w:val="00B155B3"/>
    <w:rsid w:val="00B15911"/>
    <w:rsid w:val="00B15D0E"/>
    <w:rsid w:val="00B1607B"/>
    <w:rsid w:val="00B179F3"/>
    <w:rsid w:val="00B20FB4"/>
    <w:rsid w:val="00B212B6"/>
    <w:rsid w:val="00B2265C"/>
    <w:rsid w:val="00B234AF"/>
    <w:rsid w:val="00B260DF"/>
    <w:rsid w:val="00B26805"/>
    <w:rsid w:val="00B26D03"/>
    <w:rsid w:val="00B319F1"/>
    <w:rsid w:val="00B322BE"/>
    <w:rsid w:val="00B351B4"/>
    <w:rsid w:val="00B37234"/>
    <w:rsid w:val="00B411C9"/>
    <w:rsid w:val="00B4143C"/>
    <w:rsid w:val="00B433B8"/>
    <w:rsid w:val="00B446D2"/>
    <w:rsid w:val="00B46C32"/>
    <w:rsid w:val="00B47E09"/>
    <w:rsid w:val="00B500D1"/>
    <w:rsid w:val="00B50641"/>
    <w:rsid w:val="00B51D15"/>
    <w:rsid w:val="00B52214"/>
    <w:rsid w:val="00B52BC0"/>
    <w:rsid w:val="00B54096"/>
    <w:rsid w:val="00B54F95"/>
    <w:rsid w:val="00B55C91"/>
    <w:rsid w:val="00B56B5F"/>
    <w:rsid w:val="00B60F5D"/>
    <w:rsid w:val="00B6318F"/>
    <w:rsid w:val="00B64838"/>
    <w:rsid w:val="00B65748"/>
    <w:rsid w:val="00B70FA7"/>
    <w:rsid w:val="00B73115"/>
    <w:rsid w:val="00B7455B"/>
    <w:rsid w:val="00B75296"/>
    <w:rsid w:val="00B76219"/>
    <w:rsid w:val="00B77D41"/>
    <w:rsid w:val="00B808CC"/>
    <w:rsid w:val="00B82743"/>
    <w:rsid w:val="00B83189"/>
    <w:rsid w:val="00B836F3"/>
    <w:rsid w:val="00B84152"/>
    <w:rsid w:val="00B8589E"/>
    <w:rsid w:val="00B869D5"/>
    <w:rsid w:val="00B916B6"/>
    <w:rsid w:val="00B920A5"/>
    <w:rsid w:val="00B95A59"/>
    <w:rsid w:val="00B96AC1"/>
    <w:rsid w:val="00BA14C7"/>
    <w:rsid w:val="00BA1595"/>
    <w:rsid w:val="00BA67DC"/>
    <w:rsid w:val="00BA6EE0"/>
    <w:rsid w:val="00BA71B2"/>
    <w:rsid w:val="00BB01D4"/>
    <w:rsid w:val="00BB0859"/>
    <w:rsid w:val="00BB0D29"/>
    <w:rsid w:val="00BB0D87"/>
    <w:rsid w:val="00BB0ED6"/>
    <w:rsid w:val="00BB15AB"/>
    <w:rsid w:val="00BB25B2"/>
    <w:rsid w:val="00BB4233"/>
    <w:rsid w:val="00BB5832"/>
    <w:rsid w:val="00BB60B4"/>
    <w:rsid w:val="00BB6550"/>
    <w:rsid w:val="00BB6714"/>
    <w:rsid w:val="00BC19D6"/>
    <w:rsid w:val="00BC309D"/>
    <w:rsid w:val="00BC3522"/>
    <w:rsid w:val="00BC38B5"/>
    <w:rsid w:val="00BC495B"/>
    <w:rsid w:val="00BC5123"/>
    <w:rsid w:val="00BC6587"/>
    <w:rsid w:val="00BD0E1F"/>
    <w:rsid w:val="00BD31E6"/>
    <w:rsid w:val="00BD32FE"/>
    <w:rsid w:val="00BD4BCA"/>
    <w:rsid w:val="00BD6397"/>
    <w:rsid w:val="00BD6891"/>
    <w:rsid w:val="00BD7BC7"/>
    <w:rsid w:val="00BE1A24"/>
    <w:rsid w:val="00BE2979"/>
    <w:rsid w:val="00BE32A5"/>
    <w:rsid w:val="00BE3305"/>
    <w:rsid w:val="00BE3AE9"/>
    <w:rsid w:val="00BE3F53"/>
    <w:rsid w:val="00BE702A"/>
    <w:rsid w:val="00BF00F7"/>
    <w:rsid w:val="00BF082F"/>
    <w:rsid w:val="00BF0A91"/>
    <w:rsid w:val="00BF2593"/>
    <w:rsid w:val="00BF2FFF"/>
    <w:rsid w:val="00BF3802"/>
    <w:rsid w:val="00BF59B2"/>
    <w:rsid w:val="00BF5A5B"/>
    <w:rsid w:val="00BF5CA0"/>
    <w:rsid w:val="00BF6A5A"/>
    <w:rsid w:val="00BF6DF6"/>
    <w:rsid w:val="00C00042"/>
    <w:rsid w:val="00C01711"/>
    <w:rsid w:val="00C02810"/>
    <w:rsid w:val="00C06EF5"/>
    <w:rsid w:val="00C105A9"/>
    <w:rsid w:val="00C1270F"/>
    <w:rsid w:val="00C12862"/>
    <w:rsid w:val="00C20200"/>
    <w:rsid w:val="00C22706"/>
    <w:rsid w:val="00C23EB5"/>
    <w:rsid w:val="00C24662"/>
    <w:rsid w:val="00C342AD"/>
    <w:rsid w:val="00C35F27"/>
    <w:rsid w:val="00C36294"/>
    <w:rsid w:val="00C413E1"/>
    <w:rsid w:val="00C459A2"/>
    <w:rsid w:val="00C476D1"/>
    <w:rsid w:val="00C50394"/>
    <w:rsid w:val="00C51509"/>
    <w:rsid w:val="00C51906"/>
    <w:rsid w:val="00C574E6"/>
    <w:rsid w:val="00C57CF6"/>
    <w:rsid w:val="00C61D8D"/>
    <w:rsid w:val="00C63E35"/>
    <w:rsid w:val="00C668BE"/>
    <w:rsid w:val="00C70AED"/>
    <w:rsid w:val="00C711E0"/>
    <w:rsid w:val="00C714F9"/>
    <w:rsid w:val="00C72767"/>
    <w:rsid w:val="00C762DB"/>
    <w:rsid w:val="00C76981"/>
    <w:rsid w:val="00C778A5"/>
    <w:rsid w:val="00C818EE"/>
    <w:rsid w:val="00C81F22"/>
    <w:rsid w:val="00C8372E"/>
    <w:rsid w:val="00C8389C"/>
    <w:rsid w:val="00C850B3"/>
    <w:rsid w:val="00C91AB3"/>
    <w:rsid w:val="00C928CC"/>
    <w:rsid w:val="00C96144"/>
    <w:rsid w:val="00C97356"/>
    <w:rsid w:val="00CA1ECE"/>
    <w:rsid w:val="00CA2DC1"/>
    <w:rsid w:val="00CA31A2"/>
    <w:rsid w:val="00CB0663"/>
    <w:rsid w:val="00CB124B"/>
    <w:rsid w:val="00CB1CF4"/>
    <w:rsid w:val="00CB5139"/>
    <w:rsid w:val="00CB5CDC"/>
    <w:rsid w:val="00CB6D5F"/>
    <w:rsid w:val="00CB6DBD"/>
    <w:rsid w:val="00CC4508"/>
    <w:rsid w:val="00CC5A4E"/>
    <w:rsid w:val="00CD143C"/>
    <w:rsid w:val="00CD2928"/>
    <w:rsid w:val="00CD32C0"/>
    <w:rsid w:val="00CD3D08"/>
    <w:rsid w:val="00CD3EAD"/>
    <w:rsid w:val="00CD4228"/>
    <w:rsid w:val="00CD6E88"/>
    <w:rsid w:val="00CE6519"/>
    <w:rsid w:val="00CE7299"/>
    <w:rsid w:val="00CF0A7F"/>
    <w:rsid w:val="00CF1870"/>
    <w:rsid w:val="00CF1DCC"/>
    <w:rsid w:val="00CF712F"/>
    <w:rsid w:val="00CF77EB"/>
    <w:rsid w:val="00D002BD"/>
    <w:rsid w:val="00D00C35"/>
    <w:rsid w:val="00D0391E"/>
    <w:rsid w:val="00D04BF6"/>
    <w:rsid w:val="00D05E75"/>
    <w:rsid w:val="00D070B4"/>
    <w:rsid w:val="00D11E6E"/>
    <w:rsid w:val="00D13545"/>
    <w:rsid w:val="00D148F3"/>
    <w:rsid w:val="00D16483"/>
    <w:rsid w:val="00D17774"/>
    <w:rsid w:val="00D24A7A"/>
    <w:rsid w:val="00D2531C"/>
    <w:rsid w:val="00D25BCD"/>
    <w:rsid w:val="00D27618"/>
    <w:rsid w:val="00D2790B"/>
    <w:rsid w:val="00D3396E"/>
    <w:rsid w:val="00D34DC2"/>
    <w:rsid w:val="00D359D9"/>
    <w:rsid w:val="00D35D2D"/>
    <w:rsid w:val="00D40707"/>
    <w:rsid w:val="00D4144E"/>
    <w:rsid w:val="00D43C91"/>
    <w:rsid w:val="00D43FAB"/>
    <w:rsid w:val="00D44571"/>
    <w:rsid w:val="00D50011"/>
    <w:rsid w:val="00D536CF"/>
    <w:rsid w:val="00D53984"/>
    <w:rsid w:val="00D541FE"/>
    <w:rsid w:val="00D5519A"/>
    <w:rsid w:val="00D56116"/>
    <w:rsid w:val="00D70C97"/>
    <w:rsid w:val="00D75484"/>
    <w:rsid w:val="00D819A7"/>
    <w:rsid w:val="00D82C25"/>
    <w:rsid w:val="00D854BC"/>
    <w:rsid w:val="00D87F03"/>
    <w:rsid w:val="00D90E99"/>
    <w:rsid w:val="00D924B4"/>
    <w:rsid w:val="00D9314D"/>
    <w:rsid w:val="00D96A54"/>
    <w:rsid w:val="00DA0787"/>
    <w:rsid w:val="00DA20DE"/>
    <w:rsid w:val="00DA6A70"/>
    <w:rsid w:val="00DB1282"/>
    <w:rsid w:val="00DB3E29"/>
    <w:rsid w:val="00DB6B61"/>
    <w:rsid w:val="00DB796A"/>
    <w:rsid w:val="00DB7BDD"/>
    <w:rsid w:val="00DC187F"/>
    <w:rsid w:val="00DC18DB"/>
    <w:rsid w:val="00DC4D08"/>
    <w:rsid w:val="00DC661C"/>
    <w:rsid w:val="00DC7276"/>
    <w:rsid w:val="00DD4AEE"/>
    <w:rsid w:val="00DD53FE"/>
    <w:rsid w:val="00DD5F83"/>
    <w:rsid w:val="00DD6A78"/>
    <w:rsid w:val="00DE07E8"/>
    <w:rsid w:val="00DE25BA"/>
    <w:rsid w:val="00DE38F9"/>
    <w:rsid w:val="00DE7346"/>
    <w:rsid w:val="00DF1654"/>
    <w:rsid w:val="00DF2AD6"/>
    <w:rsid w:val="00DF6CE9"/>
    <w:rsid w:val="00E00811"/>
    <w:rsid w:val="00E0331F"/>
    <w:rsid w:val="00E03B28"/>
    <w:rsid w:val="00E04061"/>
    <w:rsid w:val="00E04749"/>
    <w:rsid w:val="00E11760"/>
    <w:rsid w:val="00E11D62"/>
    <w:rsid w:val="00E217B9"/>
    <w:rsid w:val="00E222F5"/>
    <w:rsid w:val="00E223E3"/>
    <w:rsid w:val="00E26012"/>
    <w:rsid w:val="00E26843"/>
    <w:rsid w:val="00E2688C"/>
    <w:rsid w:val="00E2753C"/>
    <w:rsid w:val="00E319F6"/>
    <w:rsid w:val="00E34C80"/>
    <w:rsid w:val="00E357C3"/>
    <w:rsid w:val="00E364EB"/>
    <w:rsid w:val="00E364F6"/>
    <w:rsid w:val="00E3710B"/>
    <w:rsid w:val="00E37DA5"/>
    <w:rsid w:val="00E41385"/>
    <w:rsid w:val="00E43A25"/>
    <w:rsid w:val="00E445B8"/>
    <w:rsid w:val="00E44C01"/>
    <w:rsid w:val="00E51535"/>
    <w:rsid w:val="00E5419C"/>
    <w:rsid w:val="00E55F57"/>
    <w:rsid w:val="00E56274"/>
    <w:rsid w:val="00E56C79"/>
    <w:rsid w:val="00E57227"/>
    <w:rsid w:val="00E578E7"/>
    <w:rsid w:val="00E71326"/>
    <w:rsid w:val="00E74144"/>
    <w:rsid w:val="00E77B45"/>
    <w:rsid w:val="00E80324"/>
    <w:rsid w:val="00E804EF"/>
    <w:rsid w:val="00E806CA"/>
    <w:rsid w:val="00E81506"/>
    <w:rsid w:val="00E835CC"/>
    <w:rsid w:val="00E83A36"/>
    <w:rsid w:val="00E93455"/>
    <w:rsid w:val="00E93566"/>
    <w:rsid w:val="00E94234"/>
    <w:rsid w:val="00EA3B1D"/>
    <w:rsid w:val="00EA4027"/>
    <w:rsid w:val="00EA4BD1"/>
    <w:rsid w:val="00EA55AD"/>
    <w:rsid w:val="00EB08EC"/>
    <w:rsid w:val="00EB1E63"/>
    <w:rsid w:val="00EB7737"/>
    <w:rsid w:val="00EB7B5F"/>
    <w:rsid w:val="00EB7E8D"/>
    <w:rsid w:val="00EC033E"/>
    <w:rsid w:val="00EC373E"/>
    <w:rsid w:val="00EC3DEB"/>
    <w:rsid w:val="00ED29A8"/>
    <w:rsid w:val="00ED3751"/>
    <w:rsid w:val="00EE2579"/>
    <w:rsid w:val="00EE4090"/>
    <w:rsid w:val="00EE4523"/>
    <w:rsid w:val="00EE543F"/>
    <w:rsid w:val="00EE54A2"/>
    <w:rsid w:val="00EE7B55"/>
    <w:rsid w:val="00EE7B70"/>
    <w:rsid w:val="00EF218C"/>
    <w:rsid w:val="00EF4C7E"/>
    <w:rsid w:val="00EF518F"/>
    <w:rsid w:val="00EF61C0"/>
    <w:rsid w:val="00F004B4"/>
    <w:rsid w:val="00F02499"/>
    <w:rsid w:val="00F02537"/>
    <w:rsid w:val="00F03A0F"/>
    <w:rsid w:val="00F06FDE"/>
    <w:rsid w:val="00F10A5C"/>
    <w:rsid w:val="00F136E5"/>
    <w:rsid w:val="00F15DF3"/>
    <w:rsid w:val="00F16511"/>
    <w:rsid w:val="00F2026E"/>
    <w:rsid w:val="00F21893"/>
    <w:rsid w:val="00F23027"/>
    <w:rsid w:val="00F33DC3"/>
    <w:rsid w:val="00F34C7D"/>
    <w:rsid w:val="00F37335"/>
    <w:rsid w:val="00F4164D"/>
    <w:rsid w:val="00F422B6"/>
    <w:rsid w:val="00F433A2"/>
    <w:rsid w:val="00F44609"/>
    <w:rsid w:val="00F46B59"/>
    <w:rsid w:val="00F50A13"/>
    <w:rsid w:val="00F51241"/>
    <w:rsid w:val="00F52D85"/>
    <w:rsid w:val="00F61F4D"/>
    <w:rsid w:val="00F6302C"/>
    <w:rsid w:val="00F639F8"/>
    <w:rsid w:val="00F63DDC"/>
    <w:rsid w:val="00F63F4D"/>
    <w:rsid w:val="00F64B91"/>
    <w:rsid w:val="00F65366"/>
    <w:rsid w:val="00F6642E"/>
    <w:rsid w:val="00F677A9"/>
    <w:rsid w:val="00F71359"/>
    <w:rsid w:val="00F74261"/>
    <w:rsid w:val="00F74FAE"/>
    <w:rsid w:val="00F7599E"/>
    <w:rsid w:val="00F84290"/>
    <w:rsid w:val="00F846F7"/>
    <w:rsid w:val="00F84978"/>
    <w:rsid w:val="00F856BF"/>
    <w:rsid w:val="00F86D83"/>
    <w:rsid w:val="00F86FED"/>
    <w:rsid w:val="00F872D7"/>
    <w:rsid w:val="00F873C4"/>
    <w:rsid w:val="00F92F05"/>
    <w:rsid w:val="00F9387F"/>
    <w:rsid w:val="00F93912"/>
    <w:rsid w:val="00FA15C2"/>
    <w:rsid w:val="00FA1F53"/>
    <w:rsid w:val="00FA2DA8"/>
    <w:rsid w:val="00FA44E5"/>
    <w:rsid w:val="00FB0B2A"/>
    <w:rsid w:val="00FB4A5E"/>
    <w:rsid w:val="00FB4EE1"/>
    <w:rsid w:val="00FB55B4"/>
    <w:rsid w:val="00FB7E82"/>
    <w:rsid w:val="00FC0A29"/>
    <w:rsid w:val="00FC198E"/>
    <w:rsid w:val="00FC2D43"/>
    <w:rsid w:val="00FD081D"/>
    <w:rsid w:val="00FD0A07"/>
    <w:rsid w:val="00FD1044"/>
    <w:rsid w:val="00FE028A"/>
    <w:rsid w:val="00FE09A5"/>
    <w:rsid w:val="00FE1417"/>
    <w:rsid w:val="00FE1600"/>
    <w:rsid w:val="00FE17FC"/>
    <w:rsid w:val="00FE193A"/>
    <w:rsid w:val="00FE23C1"/>
    <w:rsid w:val="00FE5D53"/>
    <w:rsid w:val="00FF1653"/>
    <w:rsid w:val="00FF31B4"/>
    <w:rsid w:val="00FF4BBD"/>
    <w:rsid w:val="00FF711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2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38F"/>
  </w:style>
  <w:style w:type="paragraph" w:styleId="a3">
    <w:name w:val="List Paragraph"/>
    <w:basedOn w:val="a"/>
    <w:uiPriority w:val="34"/>
    <w:qFormat/>
    <w:rsid w:val="00E357C3"/>
    <w:pPr>
      <w:ind w:left="720"/>
      <w:contextualSpacing/>
    </w:pPr>
  </w:style>
  <w:style w:type="character" w:customStyle="1" w:styleId="ref-journal">
    <w:name w:val="ref-journal"/>
    <w:basedOn w:val="a0"/>
    <w:rsid w:val="00E357C3"/>
  </w:style>
  <w:style w:type="character" w:customStyle="1" w:styleId="ref-vol">
    <w:name w:val="ref-vol"/>
    <w:basedOn w:val="a0"/>
    <w:rsid w:val="00E357C3"/>
  </w:style>
  <w:style w:type="character" w:customStyle="1" w:styleId="element-citation">
    <w:name w:val="element-citation"/>
    <w:basedOn w:val="a0"/>
    <w:rsid w:val="00B6318F"/>
  </w:style>
  <w:style w:type="character" w:styleId="a4">
    <w:name w:val="Strong"/>
    <w:basedOn w:val="a0"/>
    <w:uiPriority w:val="22"/>
    <w:qFormat/>
    <w:rsid w:val="0075290C"/>
    <w:rPr>
      <w:b/>
      <w:bCs/>
    </w:rPr>
  </w:style>
  <w:style w:type="character" w:styleId="a5">
    <w:name w:val="Hyperlink"/>
    <w:basedOn w:val="a0"/>
    <w:uiPriority w:val="99"/>
    <w:unhideWhenUsed/>
    <w:rsid w:val="00927066"/>
    <w:rPr>
      <w:color w:val="0563C1" w:themeColor="hyperlink"/>
      <w:u w:val="single"/>
    </w:rPr>
  </w:style>
  <w:style w:type="character" w:customStyle="1" w:styleId="UnresolvedMention1">
    <w:name w:val="Unresolved Mention1"/>
    <w:basedOn w:val="a0"/>
    <w:uiPriority w:val="99"/>
    <w:semiHidden/>
    <w:unhideWhenUsed/>
    <w:rsid w:val="00927066"/>
    <w:rPr>
      <w:color w:val="605E5C"/>
      <w:shd w:val="clear" w:color="auto" w:fill="E1DFDD"/>
    </w:rPr>
  </w:style>
  <w:style w:type="character" w:customStyle="1" w:styleId="refauthors">
    <w:name w:val="refauthors"/>
    <w:basedOn w:val="a0"/>
    <w:rsid w:val="00952F01"/>
  </w:style>
  <w:style w:type="character" w:customStyle="1" w:styleId="reftitle">
    <w:name w:val="reftitle"/>
    <w:basedOn w:val="a0"/>
    <w:rsid w:val="00952F01"/>
  </w:style>
  <w:style w:type="character" w:customStyle="1" w:styleId="refseriestitle">
    <w:name w:val="refseriestitle"/>
    <w:basedOn w:val="a0"/>
    <w:rsid w:val="00952F01"/>
  </w:style>
  <w:style w:type="character" w:customStyle="1" w:styleId="refseriesdate">
    <w:name w:val="refseriesdate"/>
    <w:basedOn w:val="a0"/>
    <w:rsid w:val="00952F01"/>
  </w:style>
  <w:style w:type="character" w:customStyle="1" w:styleId="refseriesvolume">
    <w:name w:val="refseriesvolume"/>
    <w:basedOn w:val="a0"/>
    <w:rsid w:val="00952F01"/>
  </w:style>
  <w:style w:type="character" w:customStyle="1" w:styleId="refpages">
    <w:name w:val="refpages"/>
    <w:basedOn w:val="a0"/>
    <w:rsid w:val="00952F01"/>
  </w:style>
  <w:style w:type="character" w:customStyle="1" w:styleId="artnumber">
    <w:name w:val="artnumber"/>
    <w:basedOn w:val="a0"/>
    <w:rsid w:val="00952F01"/>
  </w:style>
  <w:style w:type="paragraph" w:styleId="a6">
    <w:name w:val="Normal (Web)"/>
    <w:basedOn w:val="a"/>
    <w:uiPriority w:val="99"/>
    <w:semiHidden/>
    <w:unhideWhenUsed/>
    <w:rsid w:val="00DB3E29"/>
    <w:pPr>
      <w:spacing w:before="100" w:beforeAutospacing="1" w:after="100" w:afterAutospacing="1"/>
    </w:pPr>
  </w:style>
  <w:style w:type="character" w:styleId="a7">
    <w:name w:val="FollowedHyperlink"/>
    <w:basedOn w:val="a0"/>
    <w:uiPriority w:val="99"/>
    <w:semiHidden/>
    <w:unhideWhenUsed/>
    <w:rsid w:val="0070376E"/>
    <w:rPr>
      <w:color w:val="954F72" w:themeColor="followedHyperlink"/>
      <w:u w:val="single"/>
    </w:rPr>
  </w:style>
  <w:style w:type="paragraph" w:styleId="a8">
    <w:name w:val="header"/>
    <w:basedOn w:val="a"/>
    <w:link w:val="Char"/>
    <w:uiPriority w:val="99"/>
    <w:unhideWhenUsed/>
    <w:rsid w:val="003C0046"/>
    <w:pPr>
      <w:tabs>
        <w:tab w:val="center" w:pos="4680"/>
        <w:tab w:val="right" w:pos="9360"/>
      </w:tabs>
    </w:pPr>
  </w:style>
  <w:style w:type="character" w:customStyle="1" w:styleId="Char">
    <w:name w:val="页眉 Char"/>
    <w:basedOn w:val="a0"/>
    <w:link w:val="a8"/>
    <w:uiPriority w:val="99"/>
    <w:rsid w:val="003C0046"/>
    <w:rPr>
      <w:rFonts w:ascii="Times New Roman" w:eastAsia="Times New Roman" w:hAnsi="Times New Roman" w:cs="Times New Roman"/>
    </w:rPr>
  </w:style>
  <w:style w:type="paragraph" w:styleId="a9">
    <w:name w:val="footer"/>
    <w:basedOn w:val="a"/>
    <w:link w:val="Char0"/>
    <w:uiPriority w:val="99"/>
    <w:unhideWhenUsed/>
    <w:rsid w:val="003C0046"/>
    <w:pPr>
      <w:tabs>
        <w:tab w:val="center" w:pos="4680"/>
        <w:tab w:val="right" w:pos="9360"/>
      </w:tabs>
    </w:pPr>
  </w:style>
  <w:style w:type="character" w:customStyle="1" w:styleId="Char0">
    <w:name w:val="页脚 Char"/>
    <w:basedOn w:val="a0"/>
    <w:link w:val="a9"/>
    <w:uiPriority w:val="99"/>
    <w:rsid w:val="003C0046"/>
    <w:rPr>
      <w:rFonts w:ascii="Times New Roman" w:eastAsia="Times New Roman" w:hAnsi="Times New Roman" w:cs="Times New Roman"/>
    </w:rPr>
  </w:style>
  <w:style w:type="table" w:customStyle="1" w:styleId="GridTable4Accent2">
    <w:name w:val="Grid Table 4 Accent 2"/>
    <w:basedOn w:val="a1"/>
    <w:uiPriority w:val="49"/>
    <w:rsid w:val="003C0046"/>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4">
    <w:name w:val="Grid Table 3 Accent 4"/>
    <w:basedOn w:val="a1"/>
    <w:uiPriority w:val="48"/>
    <w:rsid w:val="006D532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6ColorfulAccent2">
    <w:name w:val="List Table 6 Colorful Accent 2"/>
    <w:basedOn w:val="a1"/>
    <w:uiPriority w:val="51"/>
    <w:rsid w:val="006D532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
    <w:name w:val="List Table 3 Accent 2"/>
    <w:basedOn w:val="a1"/>
    <w:uiPriority w:val="48"/>
    <w:rsid w:val="00A66658"/>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2Accent2">
    <w:name w:val="List Table 2 Accent 2"/>
    <w:basedOn w:val="a1"/>
    <w:uiPriority w:val="47"/>
    <w:rsid w:val="00A66658"/>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a1"/>
    <w:uiPriority w:val="51"/>
    <w:rsid w:val="00A66658"/>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
    <w:name w:val="List Table 4 Accent 2"/>
    <w:basedOn w:val="a1"/>
    <w:uiPriority w:val="49"/>
    <w:rsid w:val="00A6665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
    <w:name w:val="List Table 7 Colorful Accent 2"/>
    <w:basedOn w:val="a1"/>
    <w:uiPriority w:val="52"/>
    <w:rsid w:val="00A66658"/>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a1"/>
    <w:uiPriority w:val="46"/>
    <w:rsid w:val="008C7087"/>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2">
    <w:name w:val="Grid Table 2 Accent 2"/>
    <w:basedOn w:val="a1"/>
    <w:uiPriority w:val="47"/>
    <w:rsid w:val="008C708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2">
    <w:name w:val="List Table 1 Light Accent 2"/>
    <w:basedOn w:val="a1"/>
    <w:uiPriority w:val="46"/>
    <w:rsid w:val="009F7A0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lainTable3">
    <w:name w:val="Plain Table 3"/>
    <w:basedOn w:val="a1"/>
    <w:uiPriority w:val="43"/>
    <w:rsid w:val="001160E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1160E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A74F29"/>
    <w:rPr>
      <w:sz w:val="18"/>
      <w:szCs w:val="18"/>
    </w:rPr>
  </w:style>
  <w:style w:type="character" w:customStyle="1" w:styleId="Char1">
    <w:name w:val="批注框文本 Char"/>
    <w:basedOn w:val="a0"/>
    <w:link w:val="aa"/>
    <w:uiPriority w:val="99"/>
    <w:semiHidden/>
    <w:rsid w:val="00A74F29"/>
    <w:rPr>
      <w:rFonts w:ascii="Times New Roman" w:eastAsia="Times New Roman" w:hAnsi="Times New Roman" w:cs="Times New Roman"/>
      <w:sz w:val="18"/>
      <w:szCs w:val="18"/>
    </w:rPr>
  </w:style>
  <w:style w:type="table" w:styleId="ab">
    <w:name w:val="Table Grid"/>
    <w:basedOn w:val="a1"/>
    <w:uiPriority w:val="39"/>
    <w:rsid w:val="00BF2FF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B522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B522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B522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a1"/>
    <w:uiPriority w:val="45"/>
    <w:rsid w:val="00B522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B522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page number"/>
    <w:basedOn w:val="a0"/>
    <w:uiPriority w:val="99"/>
    <w:semiHidden/>
    <w:unhideWhenUsed/>
    <w:rsid w:val="00B319F1"/>
  </w:style>
  <w:style w:type="character" w:styleId="ad">
    <w:name w:val="line number"/>
    <w:basedOn w:val="a0"/>
    <w:uiPriority w:val="99"/>
    <w:semiHidden/>
    <w:unhideWhenUsed/>
    <w:rsid w:val="00C92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2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38F"/>
  </w:style>
  <w:style w:type="paragraph" w:styleId="a3">
    <w:name w:val="List Paragraph"/>
    <w:basedOn w:val="a"/>
    <w:uiPriority w:val="34"/>
    <w:qFormat/>
    <w:rsid w:val="00E357C3"/>
    <w:pPr>
      <w:ind w:left="720"/>
      <w:contextualSpacing/>
    </w:pPr>
  </w:style>
  <w:style w:type="character" w:customStyle="1" w:styleId="ref-journal">
    <w:name w:val="ref-journal"/>
    <w:basedOn w:val="a0"/>
    <w:rsid w:val="00E357C3"/>
  </w:style>
  <w:style w:type="character" w:customStyle="1" w:styleId="ref-vol">
    <w:name w:val="ref-vol"/>
    <w:basedOn w:val="a0"/>
    <w:rsid w:val="00E357C3"/>
  </w:style>
  <w:style w:type="character" w:customStyle="1" w:styleId="element-citation">
    <w:name w:val="element-citation"/>
    <w:basedOn w:val="a0"/>
    <w:rsid w:val="00B6318F"/>
  </w:style>
  <w:style w:type="character" w:styleId="a4">
    <w:name w:val="Strong"/>
    <w:basedOn w:val="a0"/>
    <w:uiPriority w:val="22"/>
    <w:qFormat/>
    <w:rsid w:val="0075290C"/>
    <w:rPr>
      <w:b/>
      <w:bCs/>
    </w:rPr>
  </w:style>
  <w:style w:type="character" w:styleId="a5">
    <w:name w:val="Hyperlink"/>
    <w:basedOn w:val="a0"/>
    <w:uiPriority w:val="99"/>
    <w:unhideWhenUsed/>
    <w:rsid w:val="00927066"/>
    <w:rPr>
      <w:color w:val="0563C1" w:themeColor="hyperlink"/>
      <w:u w:val="single"/>
    </w:rPr>
  </w:style>
  <w:style w:type="character" w:customStyle="1" w:styleId="UnresolvedMention1">
    <w:name w:val="Unresolved Mention1"/>
    <w:basedOn w:val="a0"/>
    <w:uiPriority w:val="99"/>
    <w:semiHidden/>
    <w:unhideWhenUsed/>
    <w:rsid w:val="00927066"/>
    <w:rPr>
      <w:color w:val="605E5C"/>
      <w:shd w:val="clear" w:color="auto" w:fill="E1DFDD"/>
    </w:rPr>
  </w:style>
  <w:style w:type="character" w:customStyle="1" w:styleId="refauthors">
    <w:name w:val="refauthors"/>
    <w:basedOn w:val="a0"/>
    <w:rsid w:val="00952F01"/>
  </w:style>
  <w:style w:type="character" w:customStyle="1" w:styleId="reftitle">
    <w:name w:val="reftitle"/>
    <w:basedOn w:val="a0"/>
    <w:rsid w:val="00952F01"/>
  </w:style>
  <w:style w:type="character" w:customStyle="1" w:styleId="refseriestitle">
    <w:name w:val="refseriestitle"/>
    <w:basedOn w:val="a0"/>
    <w:rsid w:val="00952F01"/>
  </w:style>
  <w:style w:type="character" w:customStyle="1" w:styleId="refseriesdate">
    <w:name w:val="refseriesdate"/>
    <w:basedOn w:val="a0"/>
    <w:rsid w:val="00952F01"/>
  </w:style>
  <w:style w:type="character" w:customStyle="1" w:styleId="refseriesvolume">
    <w:name w:val="refseriesvolume"/>
    <w:basedOn w:val="a0"/>
    <w:rsid w:val="00952F01"/>
  </w:style>
  <w:style w:type="character" w:customStyle="1" w:styleId="refpages">
    <w:name w:val="refpages"/>
    <w:basedOn w:val="a0"/>
    <w:rsid w:val="00952F01"/>
  </w:style>
  <w:style w:type="character" w:customStyle="1" w:styleId="artnumber">
    <w:name w:val="artnumber"/>
    <w:basedOn w:val="a0"/>
    <w:rsid w:val="00952F01"/>
  </w:style>
  <w:style w:type="paragraph" w:styleId="a6">
    <w:name w:val="Normal (Web)"/>
    <w:basedOn w:val="a"/>
    <w:uiPriority w:val="99"/>
    <w:semiHidden/>
    <w:unhideWhenUsed/>
    <w:rsid w:val="00DB3E29"/>
    <w:pPr>
      <w:spacing w:before="100" w:beforeAutospacing="1" w:after="100" w:afterAutospacing="1"/>
    </w:pPr>
  </w:style>
  <w:style w:type="character" w:styleId="a7">
    <w:name w:val="FollowedHyperlink"/>
    <w:basedOn w:val="a0"/>
    <w:uiPriority w:val="99"/>
    <w:semiHidden/>
    <w:unhideWhenUsed/>
    <w:rsid w:val="0070376E"/>
    <w:rPr>
      <w:color w:val="954F72" w:themeColor="followedHyperlink"/>
      <w:u w:val="single"/>
    </w:rPr>
  </w:style>
  <w:style w:type="paragraph" w:styleId="a8">
    <w:name w:val="header"/>
    <w:basedOn w:val="a"/>
    <w:link w:val="Char"/>
    <w:uiPriority w:val="99"/>
    <w:unhideWhenUsed/>
    <w:rsid w:val="003C0046"/>
    <w:pPr>
      <w:tabs>
        <w:tab w:val="center" w:pos="4680"/>
        <w:tab w:val="right" w:pos="9360"/>
      </w:tabs>
    </w:pPr>
  </w:style>
  <w:style w:type="character" w:customStyle="1" w:styleId="Char">
    <w:name w:val="页眉 Char"/>
    <w:basedOn w:val="a0"/>
    <w:link w:val="a8"/>
    <w:uiPriority w:val="99"/>
    <w:rsid w:val="003C0046"/>
    <w:rPr>
      <w:rFonts w:ascii="Times New Roman" w:eastAsia="Times New Roman" w:hAnsi="Times New Roman" w:cs="Times New Roman"/>
    </w:rPr>
  </w:style>
  <w:style w:type="paragraph" w:styleId="a9">
    <w:name w:val="footer"/>
    <w:basedOn w:val="a"/>
    <w:link w:val="Char0"/>
    <w:uiPriority w:val="99"/>
    <w:unhideWhenUsed/>
    <w:rsid w:val="003C0046"/>
    <w:pPr>
      <w:tabs>
        <w:tab w:val="center" w:pos="4680"/>
        <w:tab w:val="right" w:pos="9360"/>
      </w:tabs>
    </w:pPr>
  </w:style>
  <w:style w:type="character" w:customStyle="1" w:styleId="Char0">
    <w:name w:val="页脚 Char"/>
    <w:basedOn w:val="a0"/>
    <w:link w:val="a9"/>
    <w:uiPriority w:val="99"/>
    <w:rsid w:val="003C0046"/>
    <w:rPr>
      <w:rFonts w:ascii="Times New Roman" w:eastAsia="Times New Roman" w:hAnsi="Times New Roman" w:cs="Times New Roman"/>
    </w:rPr>
  </w:style>
  <w:style w:type="table" w:customStyle="1" w:styleId="GridTable4Accent2">
    <w:name w:val="Grid Table 4 Accent 2"/>
    <w:basedOn w:val="a1"/>
    <w:uiPriority w:val="49"/>
    <w:rsid w:val="003C0046"/>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4">
    <w:name w:val="Grid Table 3 Accent 4"/>
    <w:basedOn w:val="a1"/>
    <w:uiPriority w:val="48"/>
    <w:rsid w:val="006D532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6ColorfulAccent2">
    <w:name w:val="List Table 6 Colorful Accent 2"/>
    <w:basedOn w:val="a1"/>
    <w:uiPriority w:val="51"/>
    <w:rsid w:val="006D532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
    <w:name w:val="List Table 3 Accent 2"/>
    <w:basedOn w:val="a1"/>
    <w:uiPriority w:val="48"/>
    <w:rsid w:val="00A66658"/>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2Accent2">
    <w:name w:val="List Table 2 Accent 2"/>
    <w:basedOn w:val="a1"/>
    <w:uiPriority w:val="47"/>
    <w:rsid w:val="00A66658"/>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a1"/>
    <w:uiPriority w:val="51"/>
    <w:rsid w:val="00A66658"/>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
    <w:name w:val="List Table 4 Accent 2"/>
    <w:basedOn w:val="a1"/>
    <w:uiPriority w:val="49"/>
    <w:rsid w:val="00A6665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
    <w:name w:val="List Table 7 Colorful Accent 2"/>
    <w:basedOn w:val="a1"/>
    <w:uiPriority w:val="52"/>
    <w:rsid w:val="00A66658"/>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a1"/>
    <w:uiPriority w:val="46"/>
    <w:rsid w:val="008C7087"/>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2">
    <w:name w:val="Grid Table 2 Accent 2"/>
    <w:basedOn w:val="a1"/>
    <w:uiPriority w:val="47"/>
    <w:rsid w:val="008C708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2">
    <w:name w:val="List Table 1 Light Accent 2"/>
    <w:basedOn w:val="a1"/>
    <w:uiPriority w:val="46"/>
    <w:rsid w:val="009F7A0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lainTable3">
    <w:name w:val="Plain Table 3"/>
    <w:basedOn w:val="a1"/>
    <w:uiPriority w:val="43"/>
    <w:rsid w:val="001160E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1160E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Char1"/>
    <w:uiPriority w:val="99"/>
    <w:semiHidden/>
    <w:unhideWhenUsed/>
    <w:rsid w:val="00A74F29"/>
    <w:rPr>
      <w:sz w:val="18"/>
      <w:szCs w:val="18"/>
    </w:rPr>
  </w:style>
  <w:style w:type="character" w:customStyle="1" w:styleId="Char1">
    <w:name w:val="批注框文本 Char"/>
    <w:basedOn w:val="a0"/>
    <w:link w:val="aa"/>
    <w:uiPriority w:val="99"/>
    <w:semiHidden/>
    <w:rsid w:val="00A74F29"/>
    <w:rPr>
      <w:rFonts w:ascii="Times New Roman" w:eastAsia="Times New Roman" w:hAnsi="Times New Roman" w:cs="Times New Roman"/>
      <w:sz w:val="18"/>
      <w:szCs w:val="18"/>
    </w:rPr>
  </w:style>
  <w:style w:type="table" w:styleId="ab">
    <w:name w:val="Table Grid"/>
    <w:basedOn w:val="a1"/>
    <w:uiPriority w:val="39"/>
    <w:rsid w:val="00BF2FF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B522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B522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B522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a1"/>
    <w:uiPriority w:val="45"/>
    <w:rsid w:val="00B522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B522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page number"/>
    <w:basedOn w:val="a0"/>
    <w:uiPriority w:val="99"/>
    <w:semiHidden/>
    <w:unhideWhenUsed/>
    <w:rsid w:val="00B319F1"/>
  </w:style>
  <w:style w:type="character" w:styleId="ad">
    <w:name w:val="line number"/>
    <w:basedOn w:val="a0"/>
    <w:uiPriority w:val="99"/>
    <w:semiHidden/>
    <w:unhideWhenUsed/>
    <w:rsid w:val="00C9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41">
      <w:bodyDiv w:val="1"/>
      <w:marLeft w:val="0"/>
      <w:marRight w:val="0"/>
      <w:marTop w:val="0"/>
      <w:marBottom w:val="0"/>
      <w:divBdr>
        <w:top w:val="none" w:sz="0" w:space="0" w:color="auto"/>
        <w:left w:val="none" w:sz="0" w:space="0" w:color="auto"/>
        <w:bottom w:val="none" w:sz="0" w:space="0" w:color="auto"/>
        <w:right w:val="none" w:sz="0" w:space="0" w:color="auto"/>
      </w:divBdr>
    </w:div>
    <w:div w:id="61299580">
      <w:bodyDiv w:val="1"/>
      <w:marLeft w:val="0"/>
      <w:marRight w:val="0"/>
      <w:marTop w:val="0"/>
      <w:marBottom w:val="0"/>
      <w:divBdr>
        <w:top w:val="none" w:sz="0" w:space="0" w:color="auto"/>
        <w:left w:val="none" w:sz="0" w:space="0" w:color="auto"/>
        <w:bottom w:val="none" w:sz="0" w:space="0" w:color="auto"/>
        <w:right w:val="none" w:sz="0" w:space="0" w:color="auto"/>
      </w:divBdr>
    </w:div>
    <w:div w:id="191499796">
      <w:bodyDiv w:val="1"/>
      <w:marLeft w:val="0"/>
      <w:marRight w:val="0"/>
      <w:marTop w:val="0"/>
      <w:marBottom w:val="0"/>
      <w:divBdr>
        <w:top w:val="none" w:sz="0" w:space="0" w:color="auto"/>
        <w:left w:val="none" w:sz="0" w:space="0" w:color="auto"/>
        <w:bottom w:val="none" w:sz="0" w:space="0" w:color="auto"/>
        <w:right w:val="none" w:sz="0" w:space="0" w:color="auto"/>
      </w:divBdr>
    </w:div>
    <w:div w:id="191962947">
      <w:bodyDiv w:val="1"/>
      <w:marLeft w:val="0"/>
      <w:marRight w:val="0"/>
      <w:marTop w:val="0"/>
      <w:marBottom w:val="0"/>
      <w:divBdr>
        <w:top w:val="none" w:sz="0" w:space="0" w:color="auto"/>
        <w:left w:val="none" w:sz="0" w:space="0" w:color="auto"/>
        <w:bottom w:val="none" w:sz="0" w:space="0" w:color="auto"/>
        <w:right w:val="none" w:sz="0" w:space="0" w:color="auto"/>
      </w:divBdr>
    </w:div>
    <w:div w:id="237641465">
      <w:bodyDiv w:val="1"/>
      <w:marLeft w:val="0"/>
      <w:marRight w:val="0"/>
      <w:marTop w:val="0"/>
      <w:marBottom w:val="0"/>
      <w:divBdr>
        <w:top w:val="none" w:sz="0" w:space="0" w:color="auto"/>
        <w:left w:val="none" w:sz="0" w:space="0" w:color="auto"/>
        <w:bottom w:val="none" w:sz="0" w:space="0" w:color="auto"/>
        <w:right w:val="none" w:sz="0" w:space="0" w:color="auto"/>
      </w:divBdr>
    </w:div>
    <w:div w:id="247009054">
      <w:bodyDiv w:val="1"/>
      <w:marLeft w:val="0"/>
      <w:marRight w:val="0"/>
      <w:marTop w:val="0"/>
      <w:marBottom w:val="0"/>
      <w:divBdr>
        <w:top w:val="none" w:sz="0" w:space="0" w:color="auto"/>
        <w:left w:val="none" w:sz="0" w:space="0" w:color="auto"/>
        <w:bottom w:val="none" w:sz="0" w:space="0" w:color="auto"/>
        <w:right w:val="none" w:sz="0" w:space="0" w:color="auto"/>
      </w:divBdr>
    </w:div>
    <w:div w:id="273441689">
      <w:bodyDiv w:val="1"/>
      <w:marLeft w:val="0"/>
      <w:marRight w:val="0"/>
      <w:marTop w:val="0"/>
      <w:marBottom w:val="0"/>
      <w:divBdr>
        <w:top w:val="none" w:sz="0" w:space="0" w:color="auto"/>
        <w:left w:val="none" w:sz="0" w:space="0" w:color="auto"/>
        <w:bottom w:val="none" w:sz="0" w:space="0" w:color="auto"/>
        <w:right w:val="none" w:sz="0" w:space="0" w:color="auto"/>
      </w:divBdr>
    </w:div>
    <w:div w:id="301883595">
      <w:bodyDiv w:val="1"/>
      <w:marLeft w:val="0"/>
      <w:marRight w:val="0"/>
      <w:marTop w:val="0"/>
      <w:marBottom w:val="0"/>
      <w:divBdr>
        <w:top w:val="none" w:sz="0" w:space="0" w:color="auto"/>
        <w:left w:val="none" w:sz="0" w:space="0" w:color="auto"/>
        <w:bottom w:val="none" w:sz="0" w:space="0" w:color="auto"/>
        <w:right w:val="none" w:sz="0" w:space="0" w:color="auto"/>
      </w:divBdr>
    </w:div>
    <w:div w:id="373626728">
      <w:bodyDiv w:val="1"/>
      <w:marLeft w:val="0"/>
      <w:marRight w:val="0"/>
      <w:marTop w:val="0"/>
      <w:marBottom w:val="0"/>
      <w:divBdr>
        <w:top w:val="none" w:sz="0" w:space="0" w:color="auto"/>
        <w:left w:val="none" w:sz="0" w:space="0" w:color="auto"/>
        <w:bottom w:val="none" w:sz="0" w:space="0" w:color="auto"/>
        <w:right w:val="none" w:sz="0" w:space="0" w:color="auto"/>
      </w:divBdr>
      <w:divsChild>
        <w:div w:id="834339247">
          <w:marLeft w:val="0"/>
          <w:marRight w:val="0"/>
          <w:marTop w:val="0"/>
          <w:marBottom w:val="0"/>
          <w:divBdr>
            <w:top w:val="none" w:sz="0" w:space="0" w:color="auto"/>
            <w:left w:val="none" w:sz="0" w:space="0" w:color="auto"/>
            <w:bottom w:val="none" w:sz="0" w:space="0" w:color="auto"/>
            <w:right w:val="none" w:sz="0" w:space="0" w:color="auto"/>
          </w:divBdr>
          <w:divsChild>
            <w:div w:id="1697735371">
              <w:marLeft w:val="0"/>
              <w:marRight w:val="0"/>
              <w:marTop w:val="0"/>
              <w:marBottom w:val="0"/>
              <w:divBdr>
                <w:top w:val="none" w:sz="0" w:space="0" w:color="auto"/>
                <w:left w:val="none" w:sz="0" w:space="0" w:color="auto"/>
                <w:bottom w:val="none" w:sz="0" w:space="0" w:color="auto"/>
                <w:right w:val="none" w:sz="0" w:space="0" w:color="auto"/>
              </w:divBdr>
              <w:divsChild>
                <w:div w:id="124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752">
      <w:bodyDiv w:val="1"/>
      <w:marLeft w:val="0"/>
      <w:marRight w:val="0"/>
      <w:marTop w:val="0"/>
      <w:marBottom w:val="0"/>
      <w:divBdr>
        <w:top w:val="none" w:sz="0" w:space="0" w:color="auto"/>
        <w:left w:val="none" w:sz="0" w:space="0" w:color="auto"/>
        <w:bottom w:val="none" w:sz="0" w:space="0" w:color="auto"/>
        <w:right w:val="none" w:sz="0" w:space="0" w:color="auto"/>
      </w:divBdr>
    </w:div>
    <w:div w:id="389573586">
      <w:bodyDiv w:val="1"/>
      <w:marLeft w:val="0"/>
      <w:marRight w:val="0"/>
      <w:marTop w:val="0"/>
      <w:marBottom w:val="0"/>
      <w:divBdr>
        <w:top w:val="none" w:sz="0" w:space="0" w:color="auto"/>
        <w:left w:val="none" w:sz="0" w:space="0" w:color="auto"/>
        <w:bottom w:val="none" w:sz="0" w:space="0" w:color="auto"/>
        <w:right w:val="none" w:sz="0" w:space="0" w:color="auto"/>
      </w:divBdr>
    </w:div>
    <w:div w:id="430051634">
      <w:bodyDiv w:val="1"/>
      <w:marLeft w:val="0"/>
      <w:marRight w:val="0"/>
      <w:marTop w:val="0"/>
      <w:marBottom w:val="0"/>
      <w:divBdr>
        <w:top w:val="none" w:sz="0" w:space="0" w:color="auto"/>
        <w:left w:val="none" w:sz="0" w:space="0" w:color="auto"/>
        <w:bottom w:val="none" w:sz="0" w:space="0" w:color="auto"/>
        <w:right w:val="none" w:sz="0" w:space="0" w:color="auto"/>
      </w:divBdr>
    </w:div>
    <w:div w:id="571963118">
      <w:bodyDiv w:val="1"/>
      <w:marLeft w:val="0"/>
      <w:marRight w:val="0"/>
      <w:marTop w:val="0"/>
      <w:marBottom w:val="0"/>
      <w:divBdr>
        <w:top w:val="none" w:sz="0" w:space="0" w:color="auto"/>
        <w:left w:val="none" w:sz="0" w:space="0" w:color="auto"/>
        <w:bottom w:val="none" w:sz="0" w:space="0" w:color="auto"/>
        <w:right w:val="none" w:sz="0" w:space="0" w:color="auto"/>
      </w:divBdr>
    </w:div>
    <w:div w:id="583805648">
      <w:bodyDiv w:val="1"/>
      <w:marLeft w:val="0"/>
      <w:marRight w:val="0"/>
      <w:marTop w:val="0"/>
      <w:marBottom w:val="0"/>
      <w:divBdr>
        <w:top w:val="none" w:sz="0" w:space="0" w:color="auto"/>
        <w:left w:val="none" w:sz="0" w:space="0" w:color="auto"/>
        <w:bottom w:val="none" w:sz="0" w:space="0" w:color="auto"/>
        <w:right w:val="none" w:sz="0" w:space="0" w:color="auto"/>
      </w:divBdr>
    </w:div>
    <w:div w:id="589971405">
      <w:bodyDiv w:val="1"/>
      <w:marLeft w:val="0"/>
      <w:marRight w:val="0"/>
      <w:marTop w:val="0"/>
      <w:marBottom w:val="0"/>
      <w:divBdr>
        <w:top w:val="none" w:sz="0" w:space="0" w:color="auto"/>
        <w:left w:val="none" w:sz="0" w:space="0" w:color="auto"/>
        <w:bottom w:val="none" w:sz="0" w:space="0" w:color="auto"/>
        <w:right w:val="none" w:sz="0" w:space="0" w:color="auto"/>
      </w:divBdr>
    </w:div>
    <w:div w:id="599335803">
      <w:bodyDiv w:val="1"/>
      <w:marLeft w:val="0"/>
      <w:marRight w:val="0"/>
      <w:marTop w:val="0"/>
      <w:marBottom w:val="0"/>
      <w:divBdr>
        <w:top w:val="none" w:sz="0" w:space="0" w:color="auto"/>
        <w:left w:val="none" w:sz="0" w:space="0" w:color="auto"/>
        <w:bottom w:val="none" w:sz="0" w:space="0" w:color="auto"/>
        <w:right w:val="none" w:sz="0" w:space="0" w:color="auto"/>
      </w:divBdr>
    </w:div>
    <w:div w:id="641079058">
      <w:bodyDiv w:val="1"/>
      <w:marLeft w:val="0"/>
      <w:marRight w:val="0"/>
      <w:marTop w:val="0"/>
      <w:marBottom w:val="0"/>
      <w:divBdr>
        <w:top w:val="none" w:sz="0" w:space="0" w:color="auto"/>
        <w:left w:val="none" w:sz="0" w:space="0" w:color="auto"/>
        <w:bottom w:val="none" w:sz="0" w:space="0" w:color="auto"/>
        <w:right w:val="none" w:sz="0" w:space="0" w:color="auto"/>
      </w:divBdr>
    </w:div>
    <w:div w:id="671027867">
      <w:bodyDiv w:val="1"/>
      <w:marLeft w:val="0"/>
      <w:marRight w:val="0"/>
      <w:marTop w:val="0"/>
      <w:marBottom w:val="0"/>
      <w:divBdr>
        <w:top w:val="none" w:sz="0" w:space="0" w:color="auto"/>
        <w:left w:val="none" w:sz="0" w:space="0" w:color="auto"/>
        <w:bottom w:val="none" w:sz="0" w:space="0" w:color="auto"/>
        <w:right w:val="none" w:sz="0" w:space="0" w:color="auto"/>
      </w:divBdr>
    </w:div>
    <w:div w:id="674456402">
      <w:bodyDiv w:val="1"/>
      <w:marLeft w:val="0"/>
      <w:marRight w:val="0"/>
      <w:marTop w:val="0"/>
      <w:marBottom w:val="0"/>
      <w:divBdr>
        <w:top w:val="none" w:sz="0" w:space="0" w:color="auto"/>
        <w:left w:val="none" w:sz="0" w:space="0" w:color="auto"/>
        <w:bottom w:val="none" w:sz="0" w:space="0" w:color="auto"/>
        <w:right w:val="none" w:sz="0" w:space="0" w:color="auto"/>
      </w:divBdr>
    </w:div>
    <w:div w:id="683483819">
      <w:bodyDiv w:val="1"/>
      <w:marLeft w:val="0"/>
      <w:marRight w:val="0"/>
      <w:marTop w:val="0"/>
      <w:marBottom w:val="0"/>
      <w:divBdr>
        <w:top w:val="none" w:sz="0" w:space="0" w:color="auto"/>
        <w:left w:val="none" w:sz="0" w:space="0" w:color="auto"/>
        <w:bottom w:val="none" w:sz="0" w:space="0" w:color="auto"/>
        <w:right w:val="none" w:sz="0" w:space="0" w:color="auto"/>
      </w:divBdr>
    </w:div>
    <w:div w:id="807549865">
      <w:bodyDiv w:val="1"/>
      <w:marLeft w:val="0"/>
      <w:marRight w:val="0"/>
      <w:marTop w:val="0"/>
      <w:marBottom w:val="0"/>
      <w:divBdr>
        <w:top w:val="none" w:sz="0" w:space="0" w:color="auto"/>
        <w:left w:val="none" w:sz="0" w:space="0" w:color="auto"/>
        <w:bottom w:val="none" w:sz="0" w:space="0" w:color="auto"/>
        <w:right w:val="none" w:sz="0" w:space="0" w:color="auto"/>
      </w:divBdr>
    </w:div>
    <w:div w:id="820384792">
      <w:bodyDiv w:val="1"/>
      <w:marLeft w:val="0"/>
      <w:marRight w:val="0"/>
      <w:marTop w:val="0"/>
      <w:marBottom w:val="0"/>
      <w:divBdr>
        <w:top w:val="none" w:sz="0" w:space="0" w:color="auto"/>
        <w:left w:val="none" w:sz="0" w:space="0" w:color="auto"/>
        <w:bottom w:val="none" w:sz="0" w:space="0" w:color="auto"/>
        <w:right w:val="none" w:sz="0" w:space="0" w:color="auto"/>
      </w:divBdr>
    </w:div>
    <w:div w:id="849179080">
      <w:bodyDiv w:val="1"/>
      <w:marLeft w:val="0"/>
      <w:marRight w:val="0"/>
      <w:marTop w:val="0"/>
      <w:marBottom w:val="0"/>
      <w:divBdr>
        <w:top w:val="none" w:sz="0" w:space="0" w:color="auto"/>
        <w:left w:val="none" w:sz="0" w:space="0" w:color="auto"/>
        <w:bottom w:val="none" w:sz="0" w:space="0" w:color="auto"/>
        <w:right w:val="none" w:sz="0" w:space="0" w:color="auto"/>
      </w:divBdr>
    </w:div>
    <w:div w:id="880552292">
      <w:bodyDiv w:val="1"/>
      <w:marLeft w:val="0"/>
      <w:marRight w:val="0"/>
      <w:marTop w:val="0"/>
      <w:marBottom w:val="0"/>
      <w:divBdr>
        <w:top w:val="none" w:sz="0" w:space="0" w:color="auto"/>
        <w:left w:val="none" w:sz="0" w:space="0" w:color="auto"/>
        <w:bottom w:val="none" w:sz="0" w:space="0" w:color="auto"/>
        <w:right w:val="none" w:sz="0" w:space="0" w:color="auto"/>
      </w:divBdr>
    </w:div>
    <w:div w:id="925068433">
      <w:bodyDiv w:val="1"/>
      <w:marLeft w:val="0"/>
      <w:marRight w:val="0"/>
      <w:marTop w:val="0"/>
      <w:marBottom w:val="0"/>
      <w:divBdr>
        <w:top w:val="none" w:sz="0" w:space="0" w:color="auto"/>
        <w:left w:val="none" w:sz="0" w:space="0" w:color="auto"/>
        <w:bottom w:val="none" w:sz="0" w:space="0" w:color="auto"/>
        <w:right w:val="none" w:sz="0" w:space="0" w:color="auto"/>
      </w:divBdr>
    </w:div>
    <w:div w:id="990253987">
      <w:bodyDiv w:val="1"/>
      <w:marLeft w:val="0"/>
      <w:marRight w:val="0"/>
      <w:marTop w:val="0"/>
      <w:marBottom w:val="0"/>
      <w:divBdr>
        <w:top w:val="none" w:sz="0" w:space="0" w:color="auto"/>
        <w:left w:val="none" w:sz="0" w:space="0" w:color="auto"/>
        <w:bottom w:val="none" w:sz="0" w:space="0" w:color="auto"/>
        <w:right w:val="none" w:sz="0" w:space="0" w:color="auto"/>
      </w:divBdr>
    </w:div>
    <w:div w:id="1052655530">
      <w:bodyDiv w:val="1"/>
      <w:marLeft w:val="0"/>
      <w:marRight w:val="0"/>
      <w:marTop w:val="0"/>
      <w:marBottom w:val="0"/>
      <w:divBdr>
        <w:top w:val="none" w:sz="0" w:space="0" w:color="auto"/>
        <w:left w:val="none" w:sz="0" w:space="0" w:color="auto"/>
        <w:bottom w:val="none" w:sz="0" w:space="0" w:color="auto"/>
        <w:right w:val="none" w:sz="0" w:space="0" w:color="auto"/>
      </w:divBdr>
    </w:div>
    <w:div w:id="1054547957">
      <w:bodyDiv w:val="1"/>
      <w:marLeft w:val="0"/>
      <w:marRight w:val="0"/>
      <w:marTop w:val="0"/>
      <w:marBottom w:val="0"/>
      <w:divBdr>
        <w:top w:val="none" w:sz="0" w:space="0" w:color="auto"/>
        <w:left w:val="none" w:sz="0" w:space="0" w:color="auto"/>
        <w:bottom w:val="none" w:sz="0" w:space="0" w:color="auto"/>
        <w:right w:val="none" w:sz="0" w:space="0" w:color="auto"/>
      </w:divBdr>
    </w:div>
    <w:div w:id="1070468151">
      <w:bodyDiv w:val="1"/>
      <w:marLeft w:val="0"/>
      <w:marRight w:val="0"/>
      <w:marTop w:val="0"/>
      <w:marBottom w:val="0"/>
      <w:divBdr>
        <w:top w:val="none" w:sz="0" w:space="0" w:color="auto"/>
        <w:left w:val="none" w:sz="0" w:space="0" w:color="auto"/>
        <w:bottom w:val="none" w:sz="0" w:space="0" w:color="auto"/>
        <w:right w:val="none" w:sz="0" w:space="0" w:color="auto"/>
      </w:divBdr>
    </w:div>
    <w:div w:id="1105422319">
      <w:bodyDiv w:val="1"/>
      <w:marLeft w:val="0"/>
      <w:marRight w:val="0"/>
      <w:marTop w:val="0"/>
      <w:marBottom w:val="0"/>
      <w:divBdr>
        <w:top w:val="none" w:sz="0" w:space="0" w:color="auto"/>
        <w:left w:val="none" w:sz="0" w:space="0" w:color="auto"/>
        <w:bottom w:val="none" w:sz="0" w:space="0" w:color="auto"/>
        <w:right w:val="none" w:sz="0" w:space="0" w:color="auto"/>
      </w:divBdr>
    </w:div>
    <w:div w:id="1153183093">
      <w:bodyDiv w:val="1"/>
      <w:marLeft w:val="0"/>
      <w:marRight w:val="0"/>
      <w:marTop w:val="0"/>
      <w:marBottom w:val="0"/>
      <w:divBdr>
        <w:top w:val="none" w:sz="0" w:space="0" w:color="auto"/>
        <w:left w:val="none" w:sz="0" w:space="0" w:color="auto"/>
        <w:bottom w:val="none" w:sz="0" w:space="0" w:color="auto"/>
        <w:right w:val="none" w:sz="0" w:space="0" w:color="auto"/>
      </w:divBdr>
    </w:div>
    <w:div w:id="1225799339">
      <w:bodyDiv w:val="1"/>
      <w:marLeft w:val="0"/>
      <w:marRight w:val="0"/>
      <w:marTop w:val="0"/>
      <w:marBottom w:val="0"/>
      <w:divBdr>
        <w:top w:val="none" w:sz="0" w:space="0" w:color="auto"/>
        <w:left w:val="none" w:sz="0" w:space="0" w:color="auto"/>
        <w:bottom w:val="none" w:sz="0" w:space="0" w:color="auto"/>
        <w:right w:val="none" w:sz="0" w:space="0" w:color="auto"/>
      </w:divBdr>
    </w:div>
    <w:div w:id="1268654880">
      <w:bodyDiv w:val="1"/>
      <w:marLeft w:val="0"/>
      <w:marRight w:val="0"/>
      <w:marTop w:val="0"/>
      <w:marBottom w:val="0"/>
      <w:divBdr>
        <w:top w:val="none" w:sz="0" w:space="0" w:color="auto"/>
        <w:left w:val="none" w:sz="0" w:space="0" w:color="auto"/>
        <w:bottom w:val="none" w:sz="0" w:space="0" w:color="auto"/>
        <w:right w:val="none" w:sz="0" w:space="0" w:color="auto"/>
      </w:divBdr>
      <w:divsChild>
        <w:div w:id="947587084">
          <w:marLeft w:val="0"/>
          <w:marRight w:val="0"/>
          <w:marTop w:val="0"/>
          <w:marBottom w:val="0"/>
          <w:divBdr>
            <w:top w:val="none" w:sz="0" w:space="0" w:color="auto"/>
            <w:left w:val="none" w:sz="0" w:space="0" w:color="auto"/>
            <w:bottom w:val="none" w:sz="0" w:space="0" w:color="auto"/>
            <w:right w:val="none" w:sz="0" w:space="0" w:color="auto"/>
          </w:divBdr>
          <w:divsChild>
            <w:div w:id="1062215834">
              <w:marLeft w:val="0"/>
              <w:marRight w:val="0"/>
              <w:marTop w:val="0"/>
              <w:marBottom w:val="0"/>
              <w:divBdr>
                <w:top w:val="none" w:sz="0" w:space="0" w:color="auto"/>
                <w:left w:val="none" w:sz="0" w:space="0" w:color="auto"/>
                <w:bottom w:val="none" w:sz="0" w:space="0" w:color="auto"/>
                <w:right w:val="none" w:sz="0" w:space="0" w:color="auto"/>
              </w:divBdr>
              <w:divsChild>
                <w:div w:id="11899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1918">
      <w:bodyDiv w:val="1"/>
      <w:marLeft w:val="0"/>
      <w:marRight w:val="0"/>
      <w:marTop w:val="0"/>
      <w:marBottom w:val="0"/>
      <w:divBdr>
        <w:top w:val="none" w:sz="0" w:space="0" w:color="auto"/>
        <w:left w:val="none" w:sz="0" w:space="0" w:color="auto"/>
        <w:bottom w:val="none" w:sz="0" w:space="0" w:color="auto"/>
        <w:right w:val="none" w:sz="0" w:space="0" w:color="auto"/>
      </w:divBdr>
    </w:div>
    <w:div w:id="1370564692">
      <w:bodyDiv w:val="1"/>
      <w:marLeft w:val="0"/>
      <w:marRight w:val="0"/>
      <w:marTop w:val="0"/>
      <w:marBottom w:val="0"/>
      <w:divBdr>
        <w:top w:val="none" w:sz="0" w:space="0" w:color="auto"/>
        <w:left w:val="none" w:sz="0" w:space="0" w:color="auto"/>
        <w:bottom w:val="none" w:sz="0" w:space="0" w:color="auto"/>
        <w:right w:val="none" w:sz="0" w:space="0" w:color="auto"/>
      </w:divBdr>
    </w:div>
    <w:div w:id="1404912273">
      <w:bodyDiv w:val="1"/>
      <w:marLeft w:val="0"/>
      <w:marRight w:val="0"/>
      <w:marTop w:val="0"/>
      <w:marBottom w:val="0"/>
      <w:divBdr>
        <w:top w:val="none" w:sz="0" w:space="0" w:color="auto"/>
        <w:left w:val="none" w:sz="0" w:space="0" w:color="auto"/>
        <w:bottom w:val="none" w:sz="0" w:space="0" w:color="auto"/>
        <w:right w:val="none" w:sz="0" w:space="0" w:color="auto"/>
      </w:divBdr>
    </w:div>
    <w:div w:id="1442919532">
      <w:bodyDiv w:val="1"/>
      <w:marLeft w:val="0"/>
      <w:marRight w:val="0"/>
      <w:marTop w:val="0"/>
      <w:marBottom w:val="0"/>
      <w:divBdr>
        <w:top w:val="none" w:sz="0" w:space="0" w:color="auto"/>
        <w:left w:val="none" w:sz="0" w:space="0" w:color="auto"/>
        <w:bottom w:val="none" w:sz="0" w:space="0" w:color="auto"/>
        <w:right w:val="none" w:sz="0" w:space="0" w:color="auto"/>
      </w:divBdr>
    </w:div>
    <w:div w:id="1444422302">
      <w:bodyDiv w:val="1"/>
      <w:marLeft w:val="0"/>
      <w:marRight w:val="0"/>
      <w:marTop w:val="0"/>
      <w:marBottom w:val="0"/>
      <w:divBdr>
        <w:top w:val="none" w:sz="0" w:space="0" w:color="auto"/>
        <w:left w:val="none" w:sz="0" w:space="0" w:color="auto"/>
        <w:bottom w:val="none" w:sz="0" w:space="0" w:color="auto"/>
        <w:right w:val="none" w:sz="0" w:space="0" w:color="auto"/>
      </w:divBdr>
    </w:div>
    <w:div w:id="1466700414">
      <w:bodyDiv w:val="1"/>
      <w:marLeft w:val="0"/>
      <w:marRight w:val="0"/>
      <w:marTop w:val="0"/>
      <w:marBottom w:val="0"/>
      <w:divBdr>
        <w:top w:val="none" w:sz="0" w:space="0" w:color="auto"/>
        <w:left w:val="none" w:sz="0" w:space="0" w:color="auto"/>
        <w:bottom w:val="none" w:sz="0" w:space="0" w:color="auto"/>
        <w:right w:val="none" w:sz="0" w:space="0" w:color="auto"/>
      </w:divBdr>
    </w:div>
    <w:div w:id="1474178884">
      <w:bodyDiv w:val="1"/>
      <w:marLeft w:val="0"/>
      <w:marRight w:val="0"/>
      <w:marTop w:val="0"/>
      <w:marBottom w:val="0"/>
      <w:divBdr>
        <w:top w:val="none" w:sz="0" w:space="0" w:color="auto"/>
        <w:left w:val="none" w:sz="0" w:space="0" w:color="auto"/>
        <w:bottom w:val="none" w:sz="0" w:space="0" w:color="auto"/>
        <w:right w:val="none" w:sz="0" w:space="0" w:color="auto"/>
      </w:divBdr>
    </w:div>
    <w:div w:id="1495560669">
      <w:bodyDiv w:val="1"/>
      <w:marLeft w:val="0"/>
      <w:marRight w:val="0"/>
      <w:marTop w:val="0"/>
      <w:marBottom w:val="0"/>
      <w:divBdr>
        <w:top w:val="none" w:sz="0" w:space="0" w:color="auto"/>
        <w:left w:val="none" w:sz="0" w:space="0" w:color="auto"/>
        <w:bottom w:val="none" w:sz="0" w:space="0" w:color="auto"/>
        <w:right w:val="none" w:sz="0" w:space="0" w:color="auto"/>
      </w:divBdr>
    </w:div>
    <w:div w:id="1510482547">
      <w:bodyDiv w:val="1"/>
      <w:marLeft w:val="0"/>
      <w:marRight w:val="0"/>
      <w:marTop w:val="0"/>
      <w:marBottom w:val="0"/>
      <w:divBdr>
        <w:top w:val="none" w:sz="0" w:space="0" w:color="auto"/>
        <w:left w:val="none" w:sz="0" w:space="0" w:color="auto"/>
        <w:bottom w:val="none" w:sz="0" w:space="0" w:color="auto"/>
        <w:right w:val="none" w:sz="0" w:space="0" w:color="auto"/>
      </w:divBdr>
    </w:div>
    <w:div w:id="1520924779">
      <w:bodyDiv w:val="1"/>
      <w:marLeft w:val="0"/>
      <w:marRight w:val="0"/>
      <w:marTop w:val="0"/>
      <w:marBottom w:val="0"/>
      <w:divBdr>
        <w:top w:val="none" w:sz="0" w:space="0" w:color="auto"/>
        <w:left w:val="none" w:sz="0" w:space="0" w:color="auto"/>
        <w:bottom w:val="none" w:sz="0" w:space="0" w:color="auto"/>
        <w:right w:val="none" w:sz="0" w:space="0" w:color="auto"/>
      </w:divBdr>
    </w:div>
    <w:div w:id="1532954690">
      <w:bodyDiv w:val="1"/>
      <w:marLeft w:val="0"/>
      <w:marRight w:val="0"/>
      <w:marTop w:val="0"/>
      <w:marBottom w:val="0"/>
      <w:divBdr>
        <w:top w:val="none" w:sz="0" w:space="0" w:color="auto"/>
        <w:left w:val="none" w:sz="0" w:space="0" w:color="auto"/>
        <w:bottom w:val="none" w:sz="0" w:space="0" w:color="auto"/>
        <w:right w:val="none" w:sz="0" w:space="0" w:color="auto"/>
      </w:divBdr>
    </w:div>
    <w:div w:id="1554124319">
      <w:bodyDiv w:val="1"/>
      <w:marLeft w:val="0"/>
      <w:marRight w:val="0"/>
      <w:marTop w:val="0"/>
      <w:marBottom w:val="0"/>
      <w:divBdr>
        <w:top w:val="none" w:sz="0" w:space="0" w:color="auto"/>
        <w:left w:val="none" w:sz="0" w:space="0" w:color="auto"/>
        <w:bottom w:val="none" w:sz="0" w:space="0" w:color="auto"/>
        <w:right w:val="none" w:sz="0" w:space="0" w:color="auto"/>
      </w:divBdr>
    </w:div>
    <w:div w:id="1556114338">
      <w:bodyDiv w:val="1"/>
      <w:marLeft w:val="0"/>
      <w:marRight w:val="0"/>
      <w:marTop w:val="0"/>
      <w:marBottom w:val="0"/>
      <w:divBdr>
        <w:top w:val="none" w:sz="0" w:space="0" w:color="auto"/>
        <w:left w:val="none" w:sz="0" w:space="0" w:color="auto"/>
        <w:bottom w:val="none" w:sz="0" w:space="0" w:color="auto"/>
        <w:right w:val="none" w:sz="0" w:space="0" w:color="auto"/>
      </w:divBdr>
    </w:div>
    <w:div w:id="1560094739">
      <w:bodyDiv w:val="1"/>
      <w:marLeft w:val="0"/>
      <w:marRight w:val="0"/>
      <w:marTop w:val="0"/>
      <w:marBottom w:val="0"/>
      <w:divBdr>
        <w:top w:val="none" w:sz="0" w:space="0" w:color="auto"/>
        <w:left w:val="none" w:sz="0" w:space="0" w:color="auto"/>
        <w:bottom w:val="none" w:sz="0" w:space="0" w:color="auto"/>
        <w:right w:val="none" w:sz="0" w:space="0" w:color="auto"/>
      </w:divBdr>
    </w:div>
    <w:div w:id="1581022245">
      <w:bodyDiv w:val="1"/>
      <w:marLeft w:val="0"/>
      <w:marRight w:val="0"/>
      <w:marTop w:val="0"/>
      <w:marBottom w:val="0"/>
      <w:divBdr>
        <w:top w:val="none" w:sz="0" w:space="0" w:color="auto"/>
        <w:left w:val="none" w:sz="0" w:space="0" w:color="auto"/>
        <w:bottom w:val="none" w:sz="0" w:space="0" w:color="auto"/>
        <w:right w:val="none" w:sz="0" w:space="0" w:color="auto"/>
      </w:divBdr>
    </w:div>
    <w:div w:id="1604454307">
      <w:bodyDiv w:val="1"/>
      <w:marLeft w:val="0"/>
      <w:marRight w:val="0"/>
      <w:marTop w:val="0"/>
      <w:marBottom w:val="0"/>
      <w:divBdr>
        <w:top w:val="none" w:sz="0" w:space="0" w:color="auto"/>
        <w:left w:val="none" w:sz="0" w:space="0" w:color="auto"/>
        <w:bottom w:val="none" w:sz="0" w:space="0" w:color="auto"/>
        <w:right w:val="none" w:sz="0" w:space="0" w:color="auto"/>
      </w:divBdr>
    </w:div>
    <w:div w:id="1613129692">
      <w:bodyDiv w:val="1"/>
      <w:marLeft w:val="0"/>
      <w:marRight w:val="0"/>
      <w:marTop w:val="0"/>
      <w:marBottom w:val="0"/>
      <w:divBdr>
        <w:top w:val="none" w:sz="0" w:space="0" w:color="auto"/>
        <w:left w:val="none" w:sz="0" w:space="0" w:color="auto"/>
        <w:bottom w:val="none" w:sz="0" w:space="0" w:color="auto"/>
        <w:right w:val="none" w:sz="0" w:space="0" w:color="auto"/>
      </w:divBdr>
    </w:div>
    <w:div w:id="1616712751">
      <w:bodyDiv w:val="1"/>
      <w:marLeft w:val="0"/>
      <w:marRight w:val="0"/>
      <w:marTop w:val="0"/>
      <w:marBottom w:val="0"/>
      <w:divBdr>
        <w:top w:val="none" w:sz="0" w:space="0" w:color="auto"/>
        <w:left w:val="none" w:sz="0" w:space="0" w:color="auto"/>
        <w:bottom w:val="none" w:sz="0" w:space="0" w:color="auto"/>
        <w:right w:val="none" w:sz="0" w:space="0" w:color="auto"/>
      </w:divBdr>
    </w:div>
    <w:div w:id="1646202267">
      <w:bodyDiv w:val="1"/>
      <w:marLeft w:val="0"/>
      <w:marRight w:val="0"/>
      <w:marTop w:val="0"/>
      <w:marBottom w:val="0"/>
      <w:divBdr>
        <w:top w:val="none" w:sz="0" w:space="0" w:color="auto"/>
        <w:left w:val="none" w:sz="0" w:space="0" w:color="auto"/>
        <w:bottom w:val="none" w:sz="0" w:space="0" w:color="auto"/>
        <w:right w:val="none" w:sz="0" w:space="0" w:color="auto"/>
      </w:divBdr>
    </w:div>
    <w:div w:id="1648626013">
      <w:bodyDiv w:val="1"/>
      <w:marLeft w:val="0"/>
      <w:marRight w:val="0"/>
      <w:marTop w:val="0"/>
      <w:marBottom w:val="0"/>
      <w:divBdr>
        <w:top w:val="none" w:sz="0" w:space="0" w:color="auto"/>
        <w:left w:val="none" w:sz="0" w:space="0" w:color="auto"/>
        <w:bottom w:val="none" w:sz="0" w:space="0" w:color="auto"/>
        <w:right w:val="none" w:sz="0" w:space="0" w:color="auto"/>
      </w:divBdr>
    </w:div>
    <w:div w:id="1658799542">
      <w:bodyDiv w:val="1"/>
      <w:marLeft w:val="0"/>
      <w:marRight w:val="0"/>
      <w:marTop w:val="0"/>
      <w:marBottom w:val="0"/>
      <w:divBdr>
        <w:top w:val="none" w:sz="0" w:space="0" w:color="auto"/>
        <w:left w:val="none" w:sz="0" w:space="0" w:color="auto"/>
        <w:bottom w:val="none" w:sz="0" w:space="0" w:color="auto"/>
        <w:right w:val="none" w:sz="0" w:space="0" w:color="auto"/>
      </w:divBdr>
    </w:div>
    <w:div w:id="1672683963">
      <w:bodyDiv w:val="1"/>
      <w:marLeft w:val="0"/>
      <w:marRight w:val="0"/>
      <w:marTop w:val="0"/>
      <w:marBottom w:val="0"/>
      <w:divBdr>
        <w:top w:val="none" w:sz="0" w:space="0" w:color="auto"/>
        <w:left w:val="none" w:sz="0" w:space="0" w:color="auto"/>
        <w:bottom w:val="none" w:sz="0" w:space="0" w:color="auto"/>
        <w:right w:val="none" w:sz="0" w:space="0" w:color="auto"/>
      </w:divBdr>
    </w:div>
    <w:div w:id="1681816239">
      <w:bodyDiv w:val="1"/>
      <w:marLeft w:val="0"/>
      <w:marRight w:val="0"/>
      <w:marTop w:val="0"/>
      <w:marBottom w:val="0"/>
      <w:divBdr>
        <w:top w:val="none" w:sz="0" w:space="0" w:color="auto"/>
        <w:left w:val="none" w:sz="0" w:space="0" w:color="auto"/>
        <w:bottom w:val="none" w:sz="0" w:space="0" w:color="auto"/>
        <w:right w:val="none" w:sz="0" w:space="0" w:color="auto"/>
      </w:divBdr>
    </w:div>
    <w:div w:id="1734617466">
      <w:bodyDiv w:val="1"/>
      <w:marLeft w:val="0"/>
      <w:marRight w:val="0"/>
      <w:marTop w:val="0"/>
      <w:marBottom w:val="0"/>
      <w:divBdr>
        <w:top w:val="none" w:sz="0" w:space="0" w:color="auto"/>
        <w:left w:val="none" w:sz="0" w:space="0" w:color="auto"/>
        <w:bottom w:val="none" w:sz="0" w:space="0" w:color="auto"/>
        <w:right w:val="none" w:sz="0" w:space="0" w:color="auto"/>
      </w:divBdr>
    </w:div>
    <w:div w:id="1742293102">
      <w:bodyDiv w:val="1"/>
      <w:marLeft w:val="0"/>
      <w:marRight w:val="0"/>
      <w:marTop w:val="0"/>
      <w:marBottom w:val="0"/>
      <w:divBdr>
        <w:top w:val="none" w:sz="0" w:space="0" w:color="auto"/>
        <w:left w:val="none" w:sz="0" w:space="0" w:color="auto"/>
        <w:bottom w:val="none" w:sz="0" w:space="0" w:color="auto"/>
        <w:right w:val="none" w:sz="0" w:space="0" w:color="auto"/>
      </w:divBdr>
    </w:div>
    <w:div w:id="1743723279">
      <w:bodyDiv w:val="1"/>
      <w:marLeft w:val="0"/>
      <w:marRight w:val="0"/>
      <w:marTop w:val="0"/>
      <w:marBottom w:val="0"/>
      <w:divBdr>
        <w:top w:val="none" w:sz="0" w:space="0" w:color="auto"/>
        <w:left w:val="none" w:sz="0" w:space="0" w:color="auto"/>
        <w:bottom w:val="none" w:sz="0" w:space="0" w:color="auto"/>
        <w:right w:val="none" w:sz="0" w:space="0" w:color="auto"/>
      </w:divBdr>
    </w:div>
    <w:div w:id="1764908543">
      <w:bodyDiv w:val="1"/>
      <w:marLeft w:val="0"/>
      <w:marRight w:val="0"/>
      <w:marTop w:val="0"/>
      <w:marBottom w:val="0"/>
      <w:divBdr>
        <w:top w:val="none" w:sz="0" w:space="0" w:color="auto"/>
        <w:left w:val="none" w:sz="0" w:space="0" w:color="auto"/>
        <w:bottom w:val="none" w:sz="0" w:space="0" w:color="auto"/>
        <w:right w:val="none" w:sz="0" w:space="0" w:color="auto"/>
      </w:divBdr>
    </w:div>
    <w:div w:id="1866476451">
      <w:bodyDiv w:val="1"/>
      <w:marLeft w:val="0"/>
      <w:marRight w:val="0"/>
      <w:marTop w:val="0"/>
      <w:marBottom w:val="0"/>
      <w:divBdr>
        <w:top w:val="none" w:sz="0" w:space="0" w:color="auto"/>
        <w:left w:val="none" w:sz="0" w:space="0" w:color="auto"/>
        <w:bottom w:val="none" w:sz="0" w:space="0" w:color="auto"/>
        <w:right w:val="none" w:sz="0" w:space="0" w:color="auto"/>
      </w:divBdr>
      <w:divsChild>
        <w:div w:id="349992721">
          <w:marLeft w:val="0"/>
          <w:marRight w:val="0"/>
          <w:marTop w:val="0"/>
          <w:marBottom w:val="0"/>
          <w:divBdr>
            <w:top w:val="none" w:sz="0" w:space="0" w:color="auto"/>
            <w:left w:val="none" w:sz="0" w:space="0" w:color="auto"/>
            <w:bottom w:val="none" w:sz="0" w:space="0" w:color="auto"/>
            <w:right w:val="none" w:sz="0" w:space="0" w:color="auto"/>
          </w:divBdr>
        </w:div>
        <w:div w:id="1528135629">
          <w:marLeft w:val="0"/>
          <w:marRight w:val="0"/>
          <w:marTop w:val="0"/>
          <w:marBottom w:val="0"/>
          <w:divBdr>
            <w:top w:val="none" w:sz="0" w:space="0" w:color="auto"/>
            <w:left w:val="none" w:sz="0" w:space="0" w:color="auto"/>
            <w:bottom w:val="none" w:sz="0" w:space="0" w:color="auto"/>
            <w:right w:val="none" w:sz="0" w:space="0" w:color="auto"/>
          </w:divBdr>
        </w:div>
      </w:divsChild>
    </w:div>
    <w:div w:id="1888949276">
      <w:bodyDiv w:val="1"/>
      <w:marLeft w:val="0"/>
      <w:marRight w:val="0"/>
      <w:marTop w:val="0"/>
      <w:marBottom w:val="0"/>
      <w:divBdr>
        <w:top w:val="none" w:sz="0" w:space="0" w:color="auto"/>
        <w:left w:val="none" w:sz="0" w:space="0" w:color="auto"/>
        <w:bottom w:val="none" w:sz="0" w:space="0" w:color="auto"/>
        <w:right w:val="none" w:sz="0" w:space="0" w:color="auto"/>
      </w:divBdr>
    </w:div>
    <w:div w:id="1896815601">
      <w:bodyDiv w:val="1"/>
      <w:marLeft w:val="0"/>
      <w:marRight w:val="0"/>
      <w:marTop w:val="0"/>
      <w:marBottom w:val="0"/>
      <w:divBdr>
        <w:top w:val="none" w:sz="0" w:space="0" w:color="auto"/>
        <w:left w:val="none" w:sz="0" w:space="0" w:color="auto"/>
        <w:bottom w:val="none" w:sz="0" w:space="0" w:color="auto"/>
        <w:right w:val="none" w:sz="0" w:space="0" w:color="auto"/>
      </w:divBdr>
    </w:div>
    <w:div w:id="1897202285">
      <w:bodyDiv w:val="1"/>
      <w:marLeft w:val="0"/>
      <w:marRight w:val="0"/>
      <w:marTop w:val="0"/>
      <w:marBottom w:val="0"/>
      <w:divBdr>
        <w:top w:val="none" w:sz="0" w:space="0" w:color="auto"/>
        <w:left w:val="none" w:sz="0" w:space="0" w:color="auto"/>
        <w:bottom w:val="none" w:sz="0" w:space="0" w:color="auto"/>
        <w:right w:val="none" w:sz="0" w:space="0" w:color="auto"/>
      </w:divBdr>
    </w:div>
    <w:div w:id="1916939154">
      <w:bodyDiv w:val="1"/>
      <w:marLeft w:val="0"/>
      <w:marRight w:val="0"/>
      <w:marTop w:val="0"/>
      <w:marBottom w:val="0"/>
      <w:divBdr>
        <w:top w:val="none" w:sz="0" w:space="0" w:color="auto"/>
        <w:left w:val="none" w:sz="0" w:space="0" w:color="auto"/>
        <w:bottom w:val="none" w:sz="0" w:space="0" w:color="auto"/>
        <w:right w:val="none" w:sz="0" w:space="0" w:color="auto"/>
      </w:divBdr>
    </w:div>
    <w:div w:id="1938979285">
      <w:bodyDiv w:val="1"/>
      <w:marLeft w:val="0"/>
      <w:marRight w:val="0"/>
      <w:marTop w:val="0"/>
      <w:marBottom w:val="0"/>
      <w:divBdr>
        <w:top w:val="none" w:sz="0" w:space="0" w:color="auto"/>
        <w:left w:val="none" w:sz="0" w:space="0" w:color="auto"/>
        <w:bottom w:val="none" w:sz="0" w:space="0" w:color="auto"/>
        <w:right w:val="none" w:sz="0" w:space="0" w:color="auto"/>
      </w:divBdr>
    </w:div>
    <w:div w:id="1982345662">
      <w:bodyDiv w:val="1"/>
      <w:marLeft w:val="0"/>
      <w:marRight w:val="0"/>
      <w:marTop w:val="0"/>
      <w:marBottom w:val="0"/>
      <w:divBdr>
        <w:top w:val="none" w:sz="0" w:space="0" w:color="auto"/>
        <w:left w:val="none" w:sz="0" w:space="0" w:color="auto"/>
        <w:bottom w:val="none" w:sz="0" w:space="0" w:color="auto"/>
        <w:right w:val="none" w:sz="0" w:space="0" w:color="auto"/>
      </w:divBdr>
    </w:div>
    <w:div w:id="1991135726">
      <w:bodyDiv w:val="1"/>
      <w:marLeft w:val="0"/>
      <w:marRight w:val="0"/>
      <w:marTop w:val="0"/>
      <w:marBottom w:val="0"/>
      <w:divBdr>
        <w:top w:val="none" w:sz="0" w:space="0" w:color="auto"/>
        <w:left w:val="none" w:sz="0" w:space="0" w:color="auto"/>
        <w:bottom w:val="none" w:sz="0" w:space="0" w:color="auto"/>
        <w:right w:val="none" w:sz="0" w:space="0" w:color="auto"/>
      </w:divBdr>
      <w:divsChild>
        <w:div w:id="833567543">
          <w:marLeft w:val="0"/>
          <w:marRight w:val="0"/>
          <w:marTop w:val="0"/>
          <w:marBottom w:val="0"/>
          <w:divBdr>
            <w:top w:val="none" w:sz="0" w:space="0" w:color="auto"/>
            <w:left w:val="none" w:sz="0" w:space="0" w:color="auto"/>
            <w:bottom w:val="none" w:sz="0" w:space="0" w:color="auto"/>
            <w:right w:val="none" w:sz="0" w:space="0" w:color="auto"/>
          </w:divBdr>
        </w:div>
        <w:div w:id="1380010566">
          <w:marLeft w:val="0"/>
          <w:marRight w:val="0"/>
          <w:marTop w:val="0"/>
          <w:marBottom w:val="0"/>
          <w:divBdr>
            <w:top w:val="none" w:sz="0" w:space="0" w:color="auto"/>
            <w:left w:val="none" w:sz="0" w:space="0" w:color="auto"/>
            <w:bottom w:val="none" w:sz="0" w:space="0" w:color="auto"/>
            <w:right w:val="none" w:sz="0" w:space="0" w:color="auto"/>
          </w:divBdr>
        </w:div>
      </w:divsChild>
    </w:div>
    <w:div w:id="2038970265">
      <w:bodyDiv w:val="1"/>
      <w:marLeft w:val="0"/>
      <w:marRight w:val="0"/>
      <w:marTop w:val="0"/>
      <w:marBottom w:val="0"/>
      <w:divBdr>
        <w:top w:val="none" w:sz="0" w:space="0" w:color="auto"/>
        <w:left w:val="none" w:sz="0" w:space="0" w:color="auto"/>
        <w:bottom w:val="none" w:sz="0" w:space="0" w:color="auto"/>
        <w:right w:val="none" w:sz="0" w:space="0" w:color="auto"/>
      </w:divBdr>
    </w:div>
    <w:div w:id="2039309297">
      <w:bodyDiv w:val="1"/>
      <w:marLeft w:val="0"/>
      <w:marRight w:val="0"/>
      <w:marTop w:val="0"/>
      <w:marBottom w:val="0"/>
      <w:divBdr>
        <w:top w:val="none" w:sz="0" w:space="0" w:color="auto"/>
        <w:left w:val="none" w:sz="0" w:space="0" w:color="auto"/>
        <w:bottom w:val="none" w:sz="0" w:space="0" w:color="auto"/>
        <w:right w:val="none" w:sz="0" w:space="0" w:color="auto"/>
      </w:divBdr>
    </w:div>
    <w:div w:id="2061661105">
      <w:bodyDiv w:val="1"/>
      <w:marLeft w:val="0"/>
      <w:marRight w:val="0"/>
      <w:marTop w:val="0"/>
      <w:marBottom w:val="0"/>
      <w:divBdr>
        <w:top w:val="none" w:sz="0" w:space="0" w:color="auto"/>
        <w:left w:val="none" w:sz="0" w:space="0" w:color="auto"/>
        <w:bottom w:val="none" w:sz="0" w:space="0" w:color="auto"/>
        <w:right w:val="none" w:sz="0" w:space="0" w:color="auto"/>
      </w:divBdr>
    </w:div>
    <w:div w:id="2133015975">
      <w:bodyDiv w:val="1"/>
      <w:marLeft w:val="0"/>
      <w:marRight w:val="0"/>
      <w:marTop w:val="0"/>
      <w:marBottom w:val="0"/>
      <w:divBdr>
        <w:top w:val="none" w:sz="0" w:space="0" w:color="auto"/>
        <w:left w:val="none" w:sz="0" w:space="0" w:color="auto"/>
        <w:bottom w:val="none" w:sz="0" w:space="0" w:color="auto"/>
        <w:right w:val="none" w:sz="0" w:space="0" w:color="auto"/>
      </w:divBdr>
      <w:divsChild>
        <w:div w:id="1069689836">
          <w:marLeft w:val="0"/>
          <w:marRight w:val="0"/>
          <w:marTop w:val="0"/>
          <w:marBottom w:val="0"/>
          <w:divBdr>
            <w:top w:val="none" w:sz="0" w:space="0" w:color="auto"/>
            <w:left w:val="none" w:sz="0" w:space="0" w:color="auto"/>
            <w:bottom w:val="none" w:sz="0" w:space="0" w:color="auto"/>
            <w:right w:val="none" w:sz="0" w:space="0" w:color="auto"/>
          </w:divBdr>
          <w:divsChild>
            <w:div w:id="566113939">
              <w:marLeft w:val="0"/>
              <w:marRight w:val="0"/>
              <w:marTop w:val="0"/>
              <w:marBottom w:val="0"/>
              <w:divBdr>
                <w:top w:val="none" w:sz="0" w:space="0" w:color="auto"/>
                <w:left w:val="none" w:sz="0" w:space="0" w:color="auto"/>
                <w:bottom w:val="none" w:sz="0" w:space="0" w:color="auto"/>
                <w:right w:val="none" w:sz="0" w:space="0" w:color="auto"/>
              </w:divBdr>
              <w:divsChild>
                <w:div w:id="1518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50B7-B7CA-4C0B-A4F1-15A9D54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ghoneim</dc:creator>
  <cp:keywords/>
  <dc:description/>
  <cp:lastModifiedBy>China</cp:lastModifiedBy>
  <cp:revision>7</cp:revision>
  <dcterms:created xsi:type="dcterms:W3CDTF">2020-06-10T18:05:00Z</dcterms:created>
  <dcterms:modified xsi:type="dcterms:W3CDTF">2020-07-23T00:53:00Z</dcterms:modified>
</cp:coreProperties>
</file>