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7EDE0"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Name of Journal: </w:t>
      </w:r>
      <w:r w:rsidRPr="004E0B73">
        <w:rPr>
          <w:rFonts w:ascii="Book Antiqua" w:eastAsia="Book Antiqua" w:hAnsi="Book Antiqua" w:cs="Book Antiqua"/>
          <w:i/>
          <w:color w:val="000000"/>
        </w:rPr>
        <w:t>World Journal of Clinical Cases</w:t>
      </w:r>
    </w:p>
    <w:p w14:paraId="455D51C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Manuscript NO: </w:t>
      </w:r>
      <w:r w:rsidRPr="004E0B73">
        <w:rPr>
          <w:rFonts w:ascii="Book Antiqua" w:eastAsia="Book Antiqua" w:hAnsi="Book Antiqua" w:cs="Book Antiqua"/>
          <w:color w:val="000000"/>
        </w:rPr>
        <w:t>54147</w:t>
      </w:r>
    </w:p>
    <w:p w14:paraId="28177AB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Manuscript Type: </w:t>
      </w:r>
      <w:r w:rsidRPr="004E0B73">
        <w:rPr>
          <w:rFonts w:ascii="Book Antiqua" w:eastAsia="Book Antiqua" w:hAnsi="Book Antiqua" w:cs="Book Antiqua"/>
          <w:color w:val="000000"/>
        </w:rPr>
        <w:t>CASE REPORT</w:t>
      </w:r>
    </w:p>
    <w:p w14:paraId="27CAA21B" w14:textId="77777777" w:rsidR="00A77B3E" w:rsidRPr="004E0B73" w:rsidRDefault="00A77B3E" w:rsidP="004E0B73">
      <w:pPr>
        <w:snapToGrid w:val="0"/>
        <w:spacing w:line="360" w:lineRule="auto"/>
        <w:jc w:val="both"/>
        <w:rPr>
          <w:rFonts w:ascii="Book Antiqua" w:hAnsi="Book Antiqua"/>
        </w:rPr>
      </w:pPr>
    </w:p>
    <w:p w14:paraId="23B9BC6E" w14:textId="77777777" w:rsidR="00A77B3E" w:rsidRPr="004E0B73" w:rsidRDefault="00070DE6" w:rsidP="004E0B73">
      <w:pPr>
        <w:snapToGrid w:val="0"/>
        <w:spacing w:line="360" w:lineRule="auto"/>
        <w:jc w:val="both"/>
        <w:rPr>
          <w:rFonts w:ascii="Book Antiqua" w:eastAsia="Book Antiqua" w:hAnsi="Book Antiqua" w:cs="Book Antiqua"/>
          <w:b/>
          <w:bCs/>
          <w:color w:val="000000"/>
        </w:rPr>
      </w:pPr>
      <w:bookmarkStart w:id="0" w:name="OLE_LINK5"/>
      <w:bookmarkStart w:id="1" w:name="OLE_LINK1"/>
      <w:r w:rsidRPr="004E0B73">
        <w:rPr>
          <w:rFonts w:ascii="Book Antiqua" w:eastAsia="Book Antiqua" w:hAnsi="Book Antiqua" w:cs="Book Antiqua"/>
          <w:b/>
          <w:bCs/>
          <w:color w:val="000000"/>
        </w:rPr>
        <w:t xml:space="preserve">Rupture of carotid artery pseudoaneurysm in the modern era of definitive chemoradiation for head and neck cancer: </w:t>
      </w:r>
      <w:r w:rsidR="00D610FA" w:rsidRPr="004E0B73">
        <w:rPr>
          <w:rFonts w:ascii="Book Antiqua" w:eastAsia="Book Antiqua" w:hAnsi="Book Antiqua" w:cs="Book Antiqua"/>
          <w:b/>
          <w:bCs/>
          <w:color w:val="000000"/>
        </w:rPr>
        <w:t>Two c</w:t>
      </w:r>
      <w:r w:rsidRPr="004E0B73">
        <w:rPr>
          <w:rFonts w:ascii="Book Antiqua" w:eastAsia="Book Antiqua" w:hAnsi="Book Antiqua" w:cs="Book Antiqua"/>
          <w:b/>
          <w:bCs/>
          <w:color w:val="000000"/>
        </w:rPr>
        <w:t>ase reports</w:t>
      </w:r>
    </w:p>
    <w:bookmarkEnd w:id="0"/>
    <w:bookmarkEnd w:id="1"/>
    <w:p w14:paraId="277E7A8A" w14:textId="77777777" w:rsidR="00D610FA" w:rsidRPr="004E0B73" w:rsidRDefault="00D610FA" w:rsidP="004E0B73">
      <w:pPr>
        <w:snapToGrid w:val="0"/>
        <w:spacing w:line="360" w:lineRule="auto"/>
        <w:jc w:val="both"/>
        <w:rPr>
          <w:rFonts w:ascii="Book Antiqua" w:hAnsi="Book Antiqua"/>
        </w:rPr>
      </w:pPr>
    </w:p>
    <w:p w14:paraId="3A2FCAE9" w14:textId="77777777" w:rsidR="00A77B3E" w:rsidRPr="004E0B73" w:rsidRDefault="00866A12" w:rsidP="004E0B73">
      <w:pPr>
        <w:snapToGrid w:val="0"/>
        <w:spacing w:line="360" w:lineRule="auto"/>
        <w:jc w:val="both"/>
        <w:rPr>
          <w:rFonts w:ascii="Book Antiqua" w:hAnsi="Book Antiqua"/>
        </w:rPr>
      </w:pPr>
      <w:r w:rsidRPr="004E0B73">
        <w:rPr>
          <w:rFonts w:ascii="Book Antiqua" w:eastAsia="Book Antiqua" w:hAnsi="Book Antiqua" w:cs="Book Antiqua"/>
          <w:color w:val="000000"/>
        </w:rPr>
        <w:t>Kim M</w:t>
      </w:r>
      <w:r w:rsidRPr="004E0B73">
        <w:rPr>
          <w:rFonts w:ascii="Book Antiqua" w:hAnsi="Book Antiqua" w:cstheme="minorBidi"/>
          <w:bCs/>
          <w:i/>
        </w:rPr>
        <w:t xml:space="preserve"> et al.</w:t>
      </w:r>
      <w:r w:rsidRPr="004E0B73">
        <w:rPr>
          <w:rFonts w:ascii="Book Antiqua" w:hAnsi="Book Antiqua" w:cstheme="minorBidi"/>
          <w:bCs/>
        </w:rPr>
        <w:t xml:space="preserve"> </w:t>
      </w:r>
      <w:bookmarkStart w:id="2" w:name="OLE_LINK2"/>
      <w:bookmarkStart w:id="3" w:name="OLE_LINK12"/>
      <w:r w:rsidR="00070DE6" w:rsidRPr="004E0B73">
        <w:rPr>
          <w:rFonts w:ascii="Book Antiqua" w:eastAsia="Book Antiqua" w:hAnsi="Book Antiqua" w:cs="Book Antiqua"/>
          <w:color w:val="000000"/>
        </w:rPr>
        <w:t>CBS from head and neck chemoradiation</w:t>
      </w:r>
      <w:bookmarkEnd w:id="2"/>
      <w:bookmarkEnd w:id="3"/>
    </w:p>
    <w:p w14:paraId="5688311F" w14:textId="77777777" w:rsidR="00A77B3E" w:rsidRPr="004E0B73" w:rsidRDefault="00A77B3E" w:rsidP="004E0B73">
      <w:pPr>
        <w:snapToGrid w:val="0"/>
        <w:spacing w:line="360" w:lineRule="auto"/>
        <w:jc w:val="both"/>
        <w:rPr>
          <w:rFonts w:ascii="Book Antiqua" w:hAnsi="Book Antiqua"/>
        </w:rPr>
      </w:pPr>
    </w:p>
    <w:p w14:paraId="41D1625B" w14:textId="77777777" w:rsidR="00A77B3E" w:rsidRPr="004E0B73" w:rsidRDefault="00070DE6" w:rsidP="004E0B73">
      <w:pPr>
        <w:snapToGrid w:val="0"/>
        <w:spacing w:line="360" w:lineRule="auto"/>
        <w:jc w:val="both"/>
        <w:rPr>
          <w:rFonts w:ascii="Book Antiqua" w:hAnsi="Book Antiqua"/>
        </w:rPr>
      </w:pPr>
      <w:proofErr w:type="spellStart"/>
      <w:r w:rsidRPr="004E0B73">
        <w:rPr>
          <w:rFonts w:ascii="Book Antiqua" w:eastAsia="Book Antiqua" w:hAnsi="Book Antiqua" w:cs="Book Antiqua"/>
          <w:color w:val="000000"/>
        </w:rPr>
        <w:t>Myungsoo</w:t>
      </w:r>
      <w:proofErr w:type="spellEnd"/>
      <w:r w:rsidRPr="004E0B73">
        <w:rPr>
          <w:rFonts w:ascii="Book Antiqua" w:eastAsia="Book Antiqua" w:hAnsi="Book Antiqua" w:cs="Book Antiqua"/>
          <w:color w:val="000000"/>
        </w:rPr>
        <w:t xml:space="preserve"> Kim, Ji Hyung Hong, Sang Kyu Park, Sook Jung Kim, Jung </w:t>
      </w:r>
      <w:proofErr w:type="spellStart"/>
      <w:r w:rsidRPr="004E0B73">
        <w:rPr>
          <w:rFonts w:ascii="Book Antiqua" w:eastAsia="Book Antiqua" w:hAnsi="Book Antiqua" w:cs="Book Antiqua"/>
          <w:color w:val="000000"/>
        </w:rPr>
        <w:t>Hwi</w:t>
      </w:r>
      <w:proofErr w:type="spellEnd"/>
      <w:r w:rsidRPr="004E0B73">
        <w:rPr>
          <w:rFonts w:ascii="Book Antiqua" w:eastAsia="Book Antiqua" w:hAnsi="Book Antiqua" w:cs="Book Antiqua"/>
          <w:color w:val="000000"/>
        </w:rPr>
        <w:t xml:space="preserve"> Lee, JH Byun, Yoon Ho Ko</w:t>
      </w:r>
    </w:p>
    <w:p w14:paraId="18B70CB6" w14:textId="77777777" w:rsidR="00A77B3E" w:rsidRPr="004E0B73" w:rsidRDefault="00A77B3E" w:rsidP="004E0B73">
      <w:pPr>
        <w:snapToGrid w:val="0"/>
        <w:spacing w:line="360" w:lineRule="auto"/>
        <w:jc w:val="both"/>
        <w:rPr>
          <w:rFonts w:ascii="Book Antiqua" w:hAnsi="Book Antiqua"/>
        </w:rPr>
      </w:pPr>
    </w:p>
    <w:p w14:paraId="416F58D1" w14:textId="77777777" w:rsidR="00A77B3E" w:rsidRPr="004E0B73" w:rsidRDefault="00070DE6" w:rsidP="004E0B73">
      <w:pPr>
        <w:snapToGrid w:val="0"/>
        <w:spacing w:line="360" w:lineRule="auto"/>
        <w:jc w:val="both"/>
        <w:rPr>
          <w:rFonts w:ascii="Book Antiqua" w:hAnsi="Book Antiqua"/>
        </w:rPr>
      </w:pPr>
      <w:proofErr w:type="spellStart"/>
      <w:r w:rsidRPr="004E0B73">
        <w:rPr>
          <w:rFonts w:ascii="Book Antiqua" w:eastAsia="Book Antiqua" w:hAnsi="Book Antiqua" w:cs="Book Antiqua"/>
          <w:b/>
          <w:bCs/>
          <w:color w:val="000000"/>
        </w:rPr>
        <w:t>Myungsoo</w:t>
      </w:r>
      <w:proofErr w:type="spellEnd"/>
      <w:r w:rsidRPr="004E0B73">
        <w:rPr>
          <w:rFonts w:ascii="Book Antiqua" w:eastAsia="Book Antiqua" w:hAnsi="Book Antiqua" w:cs="Book Antiqua"/>
          <w:b/>
          <w:bCs/>
          <w:color w:val="000000"/>
        </w:rPr>
        <w:t xml:space="preserve"> Kim, </w:t>
      </w:r>
      <w:r w:rsidRPr="004E0B73">
        <w:rPr>
          <w:rFonts w:ascii="Book Antiqua" w:eastAsia="Book Antiqua" w:hAnsi="Book Antiqua" w:cs="Book Antiqua"/>
          <w:color w:val="000000"/>
        </w:rPr>
        <w:t>Department of Radiation Oncology, Incheon St. Mary’s Hospital, College of Medicine, The Catholic University of Korea, Incheon 403720, South Korea</w:t>
      </w:r>
    </w:p>
    <w:p w14:paraId="67AF1454" w14:textId="77777777" w:rsidR="00A77B3E" w:rsidRPr="004E0B73" w:rsidRDefault="00A77B3E" w:rsidP="004E0B73">
      <w:pPr>
        <w:snapToGrid w:val="0"/>
        <w:spacing w:line="360" w:lineRule="auto"/>
        <w:jc w:val="both"/>
        <w:rPr>
          <w:rFonts w:ascii="Book Antiqua" w:hAnsi="Book Antiqua"/>
        </w:rPr>
      </w:pPr>
    </w:p>
    <w:p w14:paraId="42ABC284"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Ji Hyung Hong, </w:t>
      </w:r>
      <w:r w:rsidRPr="004E0B73">
        <w:rPr>
          <w:rFonts w:ascii="Book Antiqua" w:eastAsia="Book Antiqua" w:hAnsi="Book Antiqua" w:cs="Book Antiqua"/>
          <w:color w:val="000000"/>
        </w:rPr>
        <w:t>Department of Internal Medicine, Incheon St. Mary’s Hospital, College of Medicine, The Catholic University of Korea, Incheon 21431, South Korea</w:t>
      </w:r>
    </w:p>
    <w:p w14:paraId="52522049" w14:textId="77777777" w:rsidR="00A77B3E" w:rsidRPr="004E0B73" w:rsidRDefault="00A77B3E" w:rsidP="004E0B73">
      <w:pPr>
        <w:snapToGrid w:val="0"/>
        <w:spacing w:line="360" w:lineRule="auto"/>
        <w:jc w:val="both"/>
        <w:rPr>
          <w:rFonts w:ascii="Book Antiqua" w:hAnsi="Book Antiqua"/>
        </w:rPr>
      </w:pPr>
    </w:p>
    <w:p w14:paraId="33AD84A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Sang Kyu Park, </w:t>
      </w:r>
      <w:r w:rsidRPr="004E0B73">
        <w:rPr>
          <w:rFonts w:ascii="Book Antiqua" w:eastAsia="Book Antiqua" w:hAnsi="Book Antiqua" w:cs="Book Antiqua"/>
          <w:color w:val="000000"/>
        </w:rPr>
        <w:t>Department of Neurosurgery, Gangnam Severance Hospital, Yonsei University College of Medicine, Seoul 06273, South Korea</w:t>
      </w:r>
    </w:p>
    <w:p w14:paraId="22C70FB4" w14:textId="77777777" w:rsidR="00A77B3E" w:rsidRPr="004E0B73" w:rsidRDefault="00A77B3E" w:rsidP="004E0B73">
      <w:pPr>
        <w:snapToGrid w:val="0"/>
        <w:spacing w:line="360" w:lineRule="auto"/>
        <w:jc w:val="both"/>
        <w:rPr>
          <w:rFonts w:ascii="Book Antiqua" w:hAnsi="Book Antiqua"/>
        </w:rPr>
      </w:pPr>
    </w:p>
    <w:p w14:paraId="49B22ABB"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Sook Jung Kim, JH Byun, </w:t>
      </w:r>
      <w:r w:rsidRPr="004E0B73">
        <w:rPr>
          <w:rFonts w:ascii="Book Antiqua" w:eastAsia="Book Antiqua" w:hAnsi="Book Antiqua" w:cs="Book Antiqua"/>
          <w:color w:val="000000"/>
        </w:rPr>
        <w:t>Department of Internal Medicine, Incheon St. Mary’s Hospital, College of Medicine, The Catholic University of Korea, Seoul 03312, South Korea</w:t>
      </w:r>
    </w:p>
    <w:p w14:paraId="531E2691" w14:textId="77777777" w:rsidR="00A77B3E" w:rsidRPr="004E0B73" w:rsidRDefault="00A77B3E" w:rsidP="004E0B73">
      <w:pPr>
        <w:snapToGrid w:val="0"/>
        <w:spacing w:line="360" w:lineRule="auto"/>
        <w:jc w:val="both"/>
        <w:rPr>
          <w:rFonts w:ascii="Book Antiqua" w:hAnsi="Book Antiqua"/>
        </w:rPr>
      </w:pPr>
    </w:p>
    <w:p w14:paraId="46BA725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Jung </w:t>
      </w:r>
      <w:proofErr w:type="spellStart"/>
      <w:r w:rsidRPr="004E0B73">
        <w:rPr>
          <w:rFonts w:ascii="Book Antiqua" w:eastAsia="Book Antiqua" w:hAnsi="Book Antiqua" w:cs="Book Antiqua"/>
          <w:b/>
          <w:bCs/>
          <w:color w:val="000000"/>
        </w:rPr>
        <w:t>Hwi</w:t>
      </w:r>
      <w:proofErr w:type="spellEnd"/>
      <w:r w:rsidRPr="004E0B73">
        <w:rPr>
          <w:rFonts w:ascii="Book Antiqua" w:eastAsia="Book Antiqua" w:hAnsi="Book Antiqua" w:cs="Book Antiqua"/>
          <w:b/>
          <w:bCs/>
          <w:color w:val="000000"/>
        </w:rPr>
        <w:t xml:space="preserve"> Lee, </w:t>
      </w:r>
      <w:r w:rsidRPr="004E0B73">
        <w:rPr>
          <w:rFonts w:ascii="Book Antiqua" w:eastAsia="Book Antiqua" w:hAnsi="Book Antiqua" w:cs="Book Antiqua"/>
          <w:color w:val="000000"/>
        </w:rPr>
        <w:t>Department of Radiology, Incheon St. Mary’s Hospital, College of Medicine, The Catholic University of Korea, Seoul 03312, South Korea</w:t>
      </w:r>
    </w:p>
    <w:p w14:paraId="79C0B856" w14:textId="77777777" w:rsidR="00A77B3E" w:rsidRPr="004E0B73" w:rsidRDefault="00A77B3E" w:rsidP="004E0B73">
      <w:pPr>
        <w:snapToGrid w:val="0"/>
        <w:spacing w:line="360" w:lineRule="auto"/>
        <w:jc w:val="both"/>
        <w:rPr>
          <w:rFonts w:ascii="Book Antiqua" w:hAnsi="Book Antiqua"/>
        </w:rPr>
      </w:pPr>
    </w:p>
    <w:p w14:paraId="716CA17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Yoon Ho Ko, </w:t>
      </w:r>
      <w:r w:rsidRPr="004E0B73">
        <w:rPr>
          <w:rFonts w:ascii="Book Antiqua" w:eastAsia="Book Antiqua" w:hAnsi="Book Antiqua" w:cs="Book Antiqua"/>
          <w:color w:val="000000"/>
        </w:rPr>
        <w:t xml:space="preserve">Department of Internal Medicine, </w:t>
      </w:r>
      <w:proofErr w:type="spellStart"/>
      <w:r w:rsidRPr="004E0B73">
        <w:rPr>
          <w:rFonts w:ascii="Book Antiqua" w:eastAsia="Book Antiqua" w:hAnsi="Book Antiqua" w:cs="Book Antiqua"/>
          <w:color w:val="000000"/>
        </w:rPr>
        <w:t>Eun-pyeoung</w:t>
      </w:r>
      <w:proofErr w:type="spellEnd"/>
      <w:r w:rsidRPr="004E0B73">
        <w:rPr>
          <w:rFonts w:ascii="Book Antiqua" w:eastAsia="Book Antiqua" w:hAnsi="Book Antiqua" w:cs="Book Antiqua"/>
          <w:color w:val="000000"/>
        </w:rPr>
        <w:t xml:space="preserve"> St. Mary’s Hospital, College of Medicine, The Catholic University of Korea, Seoul 03312, South Korea</w:t>
      </w:r>
    </w:p>
    <w:p w14:paraId="6F7A62F6" w14:textId="77777777" w:rsidR="00A77B3E" w:rsidRPr="004E0B73" w:rsidRDefault="00A77B3E" w:rsidP="004E0B73">
      <w:pPr>
        <w:snapToGrid w:val="0"/>
        <w:spacing w:line="360" w:lineRule="auto"/>
        <w:jc w:val="both"/>
        <w:rPr>
          <w:rFonts w:ascii="Book Antiqua" w:hAnsi="Book Antiqua"/>
        </w:rPr>
      </w:pPr>
    </w:p>
    <w:p w14:paraId="45335B65"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Author contributions: </w:t>
      </w:r>
      <w:bookmarkStart w:id="4" w:name="OLE_LINK13"/>
      <w:bookmarkStart w:id="5" w:name="OLE_LINK14"/>
      <w:r w:rsidRPr="004E0B73">
        <w:rPr>
          <w:rFonts w:ascii="Book Antiqua" w:eastAsia="Book Antiqua" w:hAnsi="Book Antiqua" w:cs="Book Antiqua"/>
          <w:color w:val="000000"/>
        </w:rPr>
        <w:t xml:space="preserve">Hong JH and Kim SJ who were the patients’ medical doctors, reviewed the literature and contributed to manuscript drafting; Kim M reviewed the literature and contributed to manuscript drafting; Park SK was the patient’s neurosurgeon and contributed to manuscript drafting for important intellectual content; Lee JH performed interpretation of data and contributed to manuscript drafting for important intellectual content; Ko YH and Byun JH were responsible for the conceptualization of this study; all authors issued final approval of the version to be submitted. </w:t>
      </w:r>
    </w:p>
    <w:bookmarkEnd w:id="4"/>
    <w:bookmarkEnd w:id="5"/>
    <w:p w14:paraId="5E461E69" w14:textId="77777777" w:rsidR="00A77B3E" w:rsidRPr="004E0B73" w:rsidRDefault="00A77B3E" w:rsidP="004E0B73">
      <w:pPr>
        <w:snapToGrid w:val="0"/>
        <w:spacing w:line="360" w:lineRule="auto"/>
        <w:jc w:val="both"/>
        <w:rPr>
          <w:rFonts w:ascii="Book Antiqua" w:hAnsi="Book Antiqua"/>
        </w:rPr>
      </w:pPr>
    </w:p>
    <w:p w14:paraId="4309917D" w14:textId="77777777" w:rsidR="00A77B3E" w:rsidRPr="004E0B73" w:rsidRDefault="00070DE6" w:rsidP="004E0B73">
      <w:pPr>
        <w:snapToGrid w:val="0"/>
        <w:spacing w:line="360" w:lineRule="auto"/>
        <w:jc w:val="both"/>
        <w:rPr>
          <w:rFonts w:ascii="Book Antiqua" w:hAnsi="Book Antiqua"/>
          <w:u w:val="single"/>
        </w:rPr>
      </w:pPr>
      <w:r w:rsidRPr="004E0B73">
        <w:rPr>
          <w:rFonts w:ascii="Book Antiqua" w:eastAsia="Book Antiqua" w:hAnsi="Book Antiqua" w:cs="Book Antiqua"/>
          <w:b/>
          <w:bCs/>
          <w:color w:val="000000"/>
        </w:rPr>
        <w:t xml:space="preserve">Corresponding author: Ji Hyung Hong, MD, PhD, Associate Professor, </w:t>
      </w:r>
      <w:r w:rsidRPr="004E0B73">
        <w:rPr>
          <w:rFonts w:ascii="Book Antiqua" w:eastAsia="Book Antiqua" w:hAnsi="Book Antiqua" w:cs="Book Antiqua"/>
          <w:color w:val="000000"/>
        </w:rPr>
        <w:t xml:space="preserve">Department of Internal Medicine, Incheon St. Mary’s Hospital, College of Medicine, The Catholic University of Korea, 56, </w:t>
      </w:r>
      <w:proofErr w:type="spellStart"/>
      <w:r w:rsidRPr="004E0B73">
        <w:rPr>
          <w:rFonts w:ascii="Book Antiqua" w:eastAsia="Book Antiqua" w:hAnsi="Book Antiqua" w:cs="Book Antiqua"/>
          <w:color w:val="000000"/>
        </w:rPr>
        <w:t>Dongsu</w:t>
      </w:r>
      <w:proofErr w:type="spellEnd"/>
      <w:r w:rsidRPr="004E0B73">
        <w:rPr>
          <w:rFonts w:ascii="Book Antiqua" w:eastAsia="Book Antiqua" w:hAnsi="Book Antiqua" w:cs="Book Antiqua"/>
          <w:color w:val="000000"/>
        </w:rPr>
        <w:t xml:space="preserve">-Ro, </w:t>
      </w:r>
      <w:proofErr w:type="spellStart"/>
      <w:r w:rsidRPr="004E0B73">
        <w:rPr>
          <w:rFonts w:ascii="Book Antiqua" w:eastAsia="Book Antiqua" w:hAnsi="Book Antiqua" w:cs="Book Antiqua"/>
          <w:color w:val="000000"/>
        </w:rPr>
        <w:t>Bupyeong</w:t>
      </w:r>
      <w:proofErr w:type="spellEnd"/>
      <w:r w:rsidRPr="004E0B73">
        <w:rPr>
          <w:rFonts w:ascii="Book Antiqua" w:eastAsia="Book Antiqua" w:hAnsi="Book Antiqua" w:cs="Book Antiqua"/>
          <w:color w:val="000000"/>
        </w:rPr>
        <w:t xml:space="preserve">-Gu, Incheon 21431, South Korea. </w:t>
      </w:r>
      <w:r w:rsidRPr="00E85795">
        <w:rPr>
          <w:rFonts w:ascii="Book Antiqua" w:eastAsia="Book Antiqua" w:hAnsi="Book Antiqua" w:cs="Book Antiqua"/>
          <w:color w:val="000000"/>
        </w:rPr>
        <w:t>jh_hong@catholic.ac.kr</w:t>
      </w:r>
    </w:p>
    <w:p w14:paraId="611F3F1A" w14:textId="77777777" w:rsidR="00A77B3E" w:rsidRPr="004E0B73" w:rsidRDefault="00A77B3E" w:rsidP="004E0B73">
      <w:pPr>
        <w:snapToGrid w:val="0"/>
        <w:spacing w:line="360" w:lineRule="auto"/>
        <w:jc w:val="both"/>
        <w:rPr>
          <w:rFonts w:ascii="Book Antiqua" w:hAnsi="Book Antiqua"/>
        </w:rPr>
      </w:pPr>
    </w:p>
    <w:p w14:paraId="06C4A85B"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Received: </w:t>
      </w:r>
      <w:r w:rsidRPr="004E0B73">
        <w:rPr>
          <w:rFonts w:ascii="Book Antiqua" w:eastAsia="Book Antiqua" w:hAnsi="Book Antiqua" w:cs="Book Antiqua"/>
          <w:color w:val="000000"/>
        </w:rPr>
        <w:t>August 25, 2020</w:t>
      </w:r>
    </w:p>
    <w:p w14:paraId="417B71B7"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Revised: </w:t>
      </w:r>
      <w:r w:rsidRPr="004E0B73">
        <w:rPr>
          <w:rFonts w:ascii="Book Antiqua" w:eastAsia="Book Antiqua" w:hAnsi="Book Antiqua" w:cs="Book Antiqua"/>
          <w:color w:val="000000"/>
        </w:rPr>
        <w:t>September 18, 2020</w:t>
      </w:r>
    </w:p>
    <w:p w14:paraId="37C65E56" w14:textId="7A803366"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Accepted: </w:t>
      </w:r>
      <w:r w:rsidR="00E85795" w:rsidRPr="00E85795">
        <w:rPr>
          <w:rFonts w:ascii="Book Antiqua" w:eastAsia="Book Antiqua" w:hAnsi="Book Antiqua" w:cs="Book Antiqua"/>
          <w:color w:val="000000"/>
        </w:rPr>
        <w:t>September 28, 2020</w:t>
      </w:r>
    </w:p>
    <w:p w14:paraId="501DCF7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Published online: </w:t>
      </w:r>
    </w:p>
    <w:p w14:paraId="22AC5030" w14:textId="77777777" w:rsidR="00A77B3E" w:rsidRPr="004E0B73" w:rsidRDefault="00A77B3E" w:rsidP="004E0B73">
      <w:pPr>
        <w:snapToGrid w:val="0"/>
        <w:spacing w:line="360" w:lineRule="auto"/>
        <w:jc w:val="both"/>
        <w:rPr>
          <w:rFonts w:ascii="Book Antiqua" w:hAnsi="Book Antiqua"/>
        </w:rPr>
        <w:sectPr w:rsidR="00A77B3E" w:rsidRPr="004E0B73" w:rsidSect="00E22267">
          <w:headerReference w:type="even" r:id="rId7"/>
          <w:headerReference w:type="default" r:id="rId8"/>
          <w:footerReference w:type="default" r:id="rId9"/>
          <w:type w:val="continuous"/>
          <w:pgSz w:w="12240" w:h="15840"/>
          <w:pgMar w:top="1440" w:right="1800" w:bottom="1440" w:left="1800" w:header="720" w:footer="720" w:gutter="0"/>
          <w:cols w:space="720"/>
          <w:docGrid w:linePitch="360"/>
        </w:sectPr>
      </w:pPr>
    </w:p>
    <w:p w14:paraId="478CFA02" w14:textId="77777777" w:rsidR="00A77B3E" w:rsidRPr="004E0B73" w:rsidRDefault="00D610FA"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br w:type="page"/>
      </w:r>
      <w:r w:rsidR="00070DE6" w:rsidRPr="004E0B73">
        <w:rPr>
          <w:rFonts w:ascii="Book Antiqua" w:eastAsia="Book Antiqua" w:hAnsi="Book Antiqua" w:cs="Book Antiqua"/>
          <w:b/>
          <w:color w:val="000000"/>
        </w:rPr>
        <w:lastRenderedPageBreak/>
        <w:t>Abstract</w:t>
      </w:r>
    </w:p>
    <w:p w14:paraId="065FFDE4"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BACKGROUND</w:t>
      </w:r>
    </w:p>
    <w:p w14:paraId="2B9BBB2B" w14:textId="77777777" w:rsidR="00A77B3E" w:rsidRPr="004E0B73" w:rsidRDefault="00070DE6" w:rsidP="004E0B73">
      <w:pPr>
        <w:snapToGrid w:val="0"/>
        <w:spacing w:line="360" w:lineRule="auto"/>
        <w:jc w:val="both"/>
        <w:rPr>
          <w:rFonts w:ascii="Book Antiqua" w:hAnsi="Book Antiqua"/>
        </w:rPr>
      </w:pPr>
      <w:bookmarkStart w:id="6" w:name="OLE_LINK17"/>
      <w:bookmarkStart w:id="7" w:name="OLE_LINK18"/>
      <w:r w:rsidRPr="004E0B73">
        <w:rPr>
          <w:rFonts w:ascii="Book Antiqua" w:eastAsia="Book Antiqua" w:hAnsi="Book Antiqua" w:cs="Book Antiqua"/>
          <w:color w:val="000000"/>
        </w:rPr>
        <w:t xml:space="preserve">Carotid blowout syndrome (CBS) is a rupture of the carotid artery and is mainly caused by radiation and resection of head and neck cancers or direct tumor invasion of the carotid artery wall. It is a life-threatening clinical situation. There is no established and effective mode of management of CBS. Furthermore, there is no established preceding sign or symptom; therefore, preventive efforts are not clinically meaningful. </w:t>
      </w:r>
    </w:p>
    <w:bookmarkEnd w:id="6"/>
    <w:bookmarkEnd w:id="7"/>
    <w:p w14:paraId="106821F6" w14:textId="77777777" w:rsidR="00A77B3E" w:rsidRPr="004E0B73" w:rsidRDefault="00A77B3E" w:rsidP="004E0B73">
      <w:pPr>
        <w:snapToGrid w:val="0"/>
        <w:spacing w:line="360" w:lineRule="auto"/>
        <w:jc w:val="both"/>
        <w:rPr>
          <w:rFonts w:ascii="Book Antiqua" w:hAnsi="Book Antiqua"/>
        </w:rPr>
      </w:pPr>
    </w:p>
    <w:p w14:paraId="05EB9CD5"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CASE SUMMARY</w:t>
      </w:r>
    </w:p>
    <w:p w14:paraId="3AEC4F47" w14:textId="77777777" w:rsidR="00A77B3E" w:rsidRPr="004E0B73" w:rsidRDefault="00070DE6" w:rsidP="004E0B73">
      <w:pPr>
        <w:snapToGrid w:val="0"/>
        <w:spacing w:line="360" w:lineRule="auto"/>
        <w:jc w:val="both"/>
        <w:rPr>
          <w:rFonts w:ascii="Book Antiqua" w:hAnsi="Book Antiqua"/>
        </w:rPr>
      </w:pPr>
      <w:bookmarkStart w:id="8" w:name="OLE_LINK19"/>
      <w:bookmarkStart w:id="9" w:name="OLE_LINK20"/>
      <w:r w:rsidRPr="004E0B73">
        <w:rPr>
          <w:rFonts w:ascii="Book Antiqua" w:eastAsia="Book Antiqua" w:hAnsi="Book Antiqua" w:cs="Book Antiqua"/>
          <w:color w:val="000000"/>
        </w:rPr>
        <w:t>We described two cases of CBS that occurred in patients with head and neck cancer after definitive chemoradiotherapy (CRT) using three-dimensional conformal intensity-modulated radiation therapy. Two men aged 61 and 56 years with locally advanced head and neck cancer were treated with definitive CRT. After completing CRT, both of them achieved complete remission. Subsequently, they had persistent severe pain in the oropharyngeal mucosal region and the irradiated neck despite the use of opioid analgesics and rehabilitation for relief of contracted skin. However, continuous follow-up imaging studies showed no evidence of cancer recurrence. Eleven to twelve months after completing CRT, the patients visited the emergency room complaining about massive oronasal bleeding. Angiograms showed rupture of carotid artery pseudoaneurysms on the irradiated side. Despite attempting to secure hemostasis with carotid arterial stent insertion and coil embolization, both patients died because of repeated bleeding from the pseudoaneurysms.</w:t>
      </w:r>
    </w:p>
    <w:bookmarkEnd w:id="8"/>
    <w:bookmarkEnd w:id="9"/>
    <w:p w14:paraId="16AA1D9A" w14:textId="77777777" w:rsidR="00A77B3E" w:rsidRPr="004E0B73" w:rsidRDefault="00A77B3E" w:rsidP="004E0B73">
      <w:pPr>
        <w:snapToGrid w:val="0"/>
        <w:spacing w:line="360" w:lineRule="auto"/>
        <w:jc w:val="both"/>
        <w:rPr>
          <w:rFonts w:ascii="Book Antiqua" w:hAnsi="Book Antiqua"/>
        </w:rPr>
      </w:pPr>
    </w:p>
    <w:p w14:paraId="173E6960"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CONCLUSION</w:t>
      </w:r>
    </w:p>
    <w:p w14:paraId="505D45D7" w14:textId="77777777" w:rsidR="00A77B3E" w:rsidRPr="004E0B73" w:rsidRDefault="00070DE6" w:rsidP="004E0B73">
      <w:pPr>
        <w:snapToGrid w:val="0"/>
        <w:spacing w:line="360" w:lineRule="auto"/>
        <w:jc w:val="both"/>
        <w:rPr>
          <w:rFonts w:ascii="Book Antiqua" w:hAnsi="Book Antiqua"/>
        </w:rPr>
      </w:pPr>
      <w:bookmarkStart w:id="10" w:name="OLE_LINK21"/>
      <w:bookmarkStart w:id="11" w:name="OLE_LINK22"/>
      <w:r w:rsidRPr="004E0B73">
        <w:rPr>
          <w:rFonts w:ascii="Book Antiqua" w:eastAsia="Book Antiqua" w:hAnsi="Book Antiqua" w:cs="Book Antiqua"/>
          <w:color w:val="000000"/>
        </w:rPr>
        <w:t xml:space="preserve">In patients with persistent pain in irradiated sites, clinicians should be suspicious of progressing or impending CBS, even in the </w:t>
      </w:r>
      <w:r w:rsidR="00772A6A" w:rsidRPr="004E0B73">
        <w:rPr>
          <w:rFonts w:ascii="Book Antiqua" w:eastAsia="Book Antiqua" w:hAnsi="Book Antiqua" w:cs="Book Antiqua"/>
          <w:color w:val="000000"/>
        </w:rPr>
        <w:t>three-dimensional</w:t>
      </w:r>
      <w:r w:rsidRPr="004E0B73">
        <w:rPr>
          <w:rFonts w:ascii="Book Antiqua" w:eastAsia="Book Antiqua" w:hAnsi="Book Antiqua" w:cs="Book Antiqua"/>
          <w:color w:val="000000"/>
        </w:rPr>
        <w:t xml:space="preserve"> conformal </w:t>
      </w:r>
      <w:r w:rsidR="00772A6A" w:rsidRPr="004E0B73">
        <w:rPr>
          <w:rFonts w:ascii="Book Antiqua" w:eastAsia="Book Antiqua" w:hAnsi="Book Antiqua" w:cs="Book Antiqua"/>
          <w:color w:val="000000"/>
        </w:rPr>
        <w:t>intensity-modulated radiation therapy</w:t>
      </w:r>
      <w:r w:rsidRPr="004E0B73">
        <w:rPr>
          <w:rFonts w:ascii="Book Antiqua" w:eastAsia="Book Antiqua" w:hAnsi="Book Antiqua" w:cs="Book Antiqua"/>
          <w:color w:val="000000"/>
        </w:rPr>
        <w:t xml:space="preserve"> era. </w:t>
      </w:r>
    </w:p>
    <w:bookmarkEnd w:id="10"/>
    <w:bookmarkEnd w:id="11"/>
    <w:p w14:paraId="254D2B43" w14:textId="77777777" w:rsidR="00A77B3E" w:rsidRPr="004E0B73" w:rsidRDefault="00A77B3E" w:rsidP="004E0B73">
      <w:pPr>
        <w:snapToGrid w:val="0"/>
        <w:spacing w:line="360" w:lineRule="auto"/>
        <w:jc w:val="both"/>
        <w:rPr>
          <w:rFonts w:ascii="Book Antiqua" w:hAnsi="Book Antiqua"/>
        </w:rPr>
      </w:pPr>
    </w:p>
    <w:p w14:paraId="1C81813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Key Words: </w:t>
      </w:r>
      <w:bookmarkStart w:id="12" w:name="OLE_LINK15"/>
      <w:bookmarkStart w:id="13" w:name="OLE_LINK16"/>
      <w:r w:rsidRPr="004E0B73">
        <w:rPr>
          <w:rFonts w:ascii="Book Antiqua" w:eastAsia="Book Antiqua" w:hAnsi="Book Antiqua" w:cs="Book Antiqua"/>
          <w:color w:val="000000"/>
        </w:rPr>
        <w:t xml:space="preserve">Carotid blow-out syndrome; Carotid pseudoaneurysm; </w:t>
      </w:r>
      <w:bookmarkStart w:id="14" w:name="OLE_LINK6"/>
      <w:bookmarkStart w:id="15" w:name="OLE_LINK7"/>
      <w:r w:rsidRPr="004E0B73">
        <w:rPr>
          <w:rFonts w:ascii="Book Antiqua" w:eastAsia="Book Antiqua" w:hAnsi="Book Antiqua" w:cs="Book Antiqua"/>
          <w:color w:val="000000"/>
        </w:rPr>
        <w:t>Head and neck neoplasms</w:t>
      </w:r>
      <w:bookmarkEnd w:id="14"/>
      <w:bookmarkEnd w:id="15"/>
      <w:r w:rsidRPr="004E0B73">
        <w:rPr>
          <w:rFonts w:ascii="Book Antiqua" w:eastAsia="Book Antiqua" w:hAnsi="Book Antiqua" w:cs="Book Antiqua"/>
          <w:color w:val="000000"/>
        </w:rPr>
        <w:t>; Radiation injuries; Severe pain</w:t>
      </w:r>
      <w:r w:rsidR="00DF6D50" w:rsidRPr="004E0B73">
        <w:rPr>
          <w:rFonts w:ascii="Book Antiqua" w:eastAsia="Book Antiqua" w:hAnsi="Book Antiqua" w:cs="Book Antiqua"/>
          <w:color w:val="000000"/>
        </w:rPr>
        <w:t>; Case report</w:t>
      </w:r>
    </w:p>
    <w:bookmarkEnd w:id="12"/>
    <w:bookmarkEnd w:id="13"/>
    <w:p w14:paraId="2F4790BF" w14:textId="77777777" w:rsidR="00A77B3E" w:rsidRPr="004E0B73" w:rsidRDefault="00A77B3E" w:rsidP="004E0B73">
      <w:pPr>
        <w:snapToGrid w:val="0"/>
        <w:spacing w:line="360" w:lineRule="auto"/>
        <w:jc w:val="both"/>
        <w:rPr>
          <w:rFonts w:ascii="Book Antiqua" w:hAnsi="Book Antiqua"/>
        </w:rPr>
      </w:pPr>
    </w:p>
    <w:p w14:paraId="6788C0D5" w14:textId="77777777" w:rsidR="00A77B3E" w:rsidRPr="004E0B73" w:rsidRDefault="00070DE6" w:rsidP="004E0B73">
      <w:pPr>
        <w:snapToGrid w:val="0"/>
        <w:spacing w:line="360" w:lineRule="auto"/>
        <w:jc w:val="both"/>
        <w:rPr>
          <w:rFonts w:ascii="Book Antiqua" w:hAnsi="Book Antiqua"/>
        </w:rPr>
      </w:pPr>
      <w:bookmarkStart w:id="16" w:name="OLE_LINK8"/>
      <w:bookmarkStart w:id="17" w:name="OLE_LINK9"/>
      <w:r w:rsidRPr="004E0B73">
        <w:rPr>
          <w:rFonts w:ascii="Book Antiqua" w:eastAsia="Book Antiqua" w:hAnsi="Book Antiqua" w:cs="Book Antiqua"/>
          <w:color w:val="000000"/>
        </w:rPr>
        <w:t xml:space="preserve">Kim M, Hong JH, Park SK, Kim SJ, Lee JH, Byun J, Ko YH. </w:t>
      </w:r>
      <w:r w:rsidR="00DF6D50" w:rsidRPr="004E0B73">
        <w:rPr>
          <w:rFonts w:ascii="Book Antiqua" w:eastAsia="Book Antiqua" w:hAnsi="Book Antiqua" w:cs="Book Antiqua"/>
          <w:color w:val="000000"/>
        </w:rPr>
        <w:t>Rupture of carotid artery pseudoaneurysm in the modern era of definitive chemoradia</w:t>
      </w:r>
      <w:r w:rsidR="00C82DB4">
        <w:rPr>
          <w:rFonts w:ascii="Book Antiqua" w:eastAsia="Book Antiqua" w:hAnsi="Book Antiqua" w:cs="Book Antiqua"/>
          <w:color w:val="000000"/>
        </w:rPr>
        <w:t xml:space="preserve">tion for head and neck cancer: </w:t>
      </w:r>
      <w:r w:rsidR="00DF6D50" w:rsidRPr="004E0B73">
        <w:rPr>
          <w:rFonts w:ascii="Book Antiqua" w:eastAsia="Book Antiqua" w:hAnsi="Book Antiqua" w:cs="Book Antiqua"/>
          <w:color w:val="000000"/>
        </w:rPr>
        <w:t>Two case reports</w:t>
      </w:r>
      <w:r w:rsidRPr="004E0B73">
        <w:rPr>
          <w:rFonts w:ascii="Book Antiqua" w:eastAsia="Book Antiqua" w:hAnsi="Book Antiqua" w:cs="Book Antiqua"/>
          <w:color w:val="000000"/>
        </w:rPr>
        <w:t xml:space="preserve">. </w:t>
      </w:r>
      <w:r w:rsidRPr="004E0B73">
        <w:rPr>
          <w:rFonts w:ascii="Book Antiqua" w:eastAsia="Book Antiqua" w:hAnsi="Book Antiqua" w:cs="Book Antiqua"/>
          <w:i/>
          <w:iCs/>
          <w:color w:val="000000"/>
        </w:rPr>
        <w:t>World J Clin Cases</w:t>
      </w:r>
      <w:r w:rsidRPr="004E0B73">
        <w:rPr>
          <w:rFonts w:ascii="Book Antiqua" w:eastAsia="Book Antiqua" w:hAnsi="Book Antiqua" w:cs="Book Antiqua"/>
          <w:color w:val="000000"/>
        </w:rPr>
        <w:t xml:space="preserve"> 2020; In press</w:t>
      </w:r>
    </w:p>
    <w:bookmarkEnd w:id="16"/>
    <w:bookmarkEnd w:id="17"/>
    <w:p w14:paraId="045A963B" w14:textId="77777777" w:rsidR="00A77B3E" w:rsidRPr="004E0B73" w:rsidRDefault="00A77B3E" w:rsidP="004E0B73">
      <w:pPr>
        <w:snapToGrid w:val="0"/>
        <w:spacing w:line="360" w:lineRule="auto"/>
        <w:jc w:val="both"/>
        <w:rPr>
          <w:rFonts w:ascii="Book Antiqua" w:hAnsi="Book Antiqua"/>
        </w:rPr>
      </w:pPr>
    </w:p>
    <w:p w14:paraId="224209A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Core Tip: </w:t>
      </w:r>
      <w:bookmarkStart w:id="18" w:name="OLE_LINK10"/>
      <w:bookmarkStart w:id="19" w:name="OLE_LINK11"/>
      <w:r w:rsidRPr="004E0B73">
        <w:rPr>
          <w:rFonts w:ascii="Book Antiqua" w:eastAsia="Book Antiqua" w:hAnsi="Book Antiqua" w:cs="Book Antiqua"/>
          <w:color w:val="000000"/>
        </w:rPr>
        <w:t xml:space="preserve">Even though recent endovascular interventions show a moderately successful hemostasis rate, </w:t>
      </w:r>
      <w:r w:rsidR="00DF6D50" w:rsidRPr="004E0B73">
        <w:rPr>
          <w:rFonts w:ascii="Book Antiqua" w:eastAsia="Book Antiqua" w:hAnsi="Book Antiqua" w:cs="Book Antiqua"/>
          <w:color w:val="000000"/>
        </w:rPr>
        <w:t>carotid blowout syndrome (CBS)</w:t>
      </w:r>
      <w:r w:rsidRPr="004E0B73">
        <w:rPr>
          <w:rFonts w:ascii="Book Antiqua" w:eastAsia="Book Antiqua" w:hAnsi="Book Antiqua" w:cs="Book Antiqua"/>
          <w:color w:val="000000"/>
        </w:rPr>
        <w:t xml:space="preserve"> is still a life-threatening complication of radiotherapy of head and neck cancer. Here, we described CBS in two patients who achieved complete remission after definitive </w:t>
      </w:r>
      <w:r w:rsidR="00DF6D50" w:rsidRPr="004E0B73">
        <w:rPr>
          <w:rFonts w:ascii="Book Antiqua" w:eastAsia="Book Antiqua" w:hAnsi="Book Antiqua" w:cs="Book Antiqua"/>
          <w:color w:val="000000"/>
        </w:rPr>
        <w:t>chemoradiotherapy</w:t>
      </w:r>
      <w:r w:rsidRPr="004E0B73">
        <w:rPr>
          <w:rFonts w:ascii="Book Antiqua" w:eastAsia="Book Antiqua" w:hAnsi="Book Antiqua" w:cs="Book Antiqua"/>
          <w:color w:val="000000"/>
        </w:rPr>
        <w:t xml:space="preserve"> but later developed persistent severe pain in the irradiated region. Clinicians should be suspicious that pain can be a sign of progressing or impending CBS, and in such cases, they should consider the rapid adoption of angiographic endovascular intervention to prevent patients from developing devastating hypovolemic shock.</w:t>
      </w:r>
    </w:p>
    <w:bookmarkEnd w:id="18"/>
    <w:bookmarkEnd w:id="19"/>
    <w:p w14:paraId="5A796306" w14:textId="77777777" w:rsidR="00A77B3E" w:rsidRPr="004E0B73" w:rsidRDefault="00A77B3E" w:rsidP="004E0B73">
      <w:pPr>
        <w:snapToGrid w:val="0"/>
        <w:spacing w:line="360" w:lineRule="auto"/>
        <w:jc w:val="both"/>
        <w:rPr>
          <w:rFonts w:ascii="Book Antiqua" w:hAnsi="Book Antiqua"/>
        </w:rPr>
      </w:pPr>
    </w:p>
    <w:p w14:paraId="7DD8B3B8" w14:textId="77777777" w:rsidR="00A77B3E" w:rsidRPr="004E0B73" w:rsidRDefault="00D610FA"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br w:type="page"/>
      </w:r>
      <w:r w:rsidR="00070DE6" w:rsidRPr="004E0B73">
        <w:rPr>
          <w:rFonts w:ascii="Book Antiqua" w:eastAsia="Book Antiqua" w:hAnsi="Book Antiqua" w:cs="Book Antiqua"/>
          <w:b/>
          <w:caps/>
          <w:color w:val="000000"/>
          <w:u w:val="single"/>
        </w:rPr>
        <w:lastRenderedPageBreak/>
        <w:t>INTRODUCTION</w:t>
      </w:r>
    </w:p>
    <w:p w14:paraId="7D73922D" w14:textId="77777777" w:rsidR="00A77B3E" w:rsidRPr="004E0B73" w:rsidRDefault="00070DE6" w:rsidP="004E0B73">
      <w:pPr>
        <w:snapToGrid w:val="0"/>
        <w:spacing w:line="360" w:lineRule="auto"/>
        <w:jc w:val="both"/>
        <w:rPr>
          <w:rFonts w:ascii="Book Antiqua" w:hAnsi="Book Antiqua"/>
        </w:rPr>
      </w:pPr>
      <w:bookmarkStart w:id="20" w:name="OLE_LINK23"/>
      <w:bookmarkStart w:id="21" w:name="OLE_LINK24"/>
      <w:r w:rsidRPr="004E0B73">
        <w:rPr>
          <w:rFonts w:ascii="Book Antiqua" w:eastAsia="Book Antiqua" w:hAnsi="Book Antiqua" w:cs="Book Antiqua"/>
          <w:color w:val="000000"/>
        </w:rPr>
        <w:t>Carotid blowout syndrome (CBS) is a rare but fatal condition because extensive bleeding leads to hypovolemic shock and sudden death. A carotid arterial wall, which has been weakened by radiotherapy or surgery due to cancer of the head and neck, cannot sustain its integrity against the patient’s blood pressure. Thus, patients who, after completion of concurrent chemoradiotherapy (CCRT), develop massive oronasal bleeding should be suspected of occurrence of CBS. However, because of the rare occurrence rate of CBS and the fact that there are no specific tools for the prediction of patients at high risk for CBS, rapid diagnosis is relatively difficult.</w:t>
      </w:r>
    </w:p>
    <w:p w14:paraId="55BBBDC2"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Herein, we describe two cases of massive oronasal bleeding in patients with hypopharyngeal and nasopharyngeal carcinoma who had achieved complete remission but developed severe pain in the irradiated area after completion of definitive CCRT. In both cases, the patients had persistent pain due to the progression of the carotid artery pseudoaneurysm, despite receiving opioid analgesics and interventional pain management. When patients with </w:t>
      </w:r>
      <w:r w:rsidR="00DF6D50" w:rsidRPr="004E0B73">
        <w:rPr>
          <w:rFonts w:ascii="Book Antiqua" w:eastAsia="Book Antiqua" w:hAnsi="Book Antiqua" w:cs="Book Antiqua"/>
          <w:color w:val="000000"/>
        </w:rPr>
        <w:t xml:space="preserve">head and neck </w:t>
      </w:r>
      <w:proofErr w:type="spellStart"/>
      <w:r w:rsidR="00DF6D50" w:rsidRPr="004E0B73">
        <w:rPr>
          <w:rFonts w:ascii="Book Antiqua" w:eastAsia="Book Antiqua" w:hAnsi="Book Antiqua" w:cs="Book Antiqua"/>
          <w:color w:val="000000"/>
        </w:rPr>
        <w:t>squanlous</w:t>
      </w:r>
      <w:proofErr w:type="spellEnd"/>
      <w:r w:rsidR="00DF6D50" w:rsidRPr="004E0B73">
        <w:rPr>
          <w:rFonts w:ascii="Book Antiqua" w:eastAsia="Book Antiqua" w:hAnsi="Book Antiqua" w:cs="Book Antiqua"/>
          <w:color w:val="000000"/>
        </w:rPr>
        <w:t xml:space="preserve"> cell carcinoma</w:t>
      </w:r>
      <w:r w:rsidRPr="004E0B73">
        <w:rPr>
          <w:rFonts w:ascii="Book Antiqua" w:eastAsia="Book Antiqua" w:hAnsi="Book Antiqua" w:cs="Book Antiqua"/>
          <w:color w:val="000000"/>
        </w:rPr>
        <w:t xml:space="preserve"> complained of persistent unexplained severe pain in the irradiated area after completion of CCRT, clinicians should consider that the pain might be from the ongoing development of CBS.</w:t>
      </w:r>
    </w:p>
    <w:bookmarkEnd w:id="20"/>
    <w:bookmarkEnd w:id="21"/>
    <w:p w14:paraId="1E6BAD98" w14:textId="77777777" w:rsidR="00A77B3E" w:rsidRPr="004E0B73" w:rsidRDefault="00A77B3E" w:rsidP="004E0B73">
      <w:pPr>
        <w:snapToGrid w:val="0"/>
        <w:spacing w:line="360" w:lineRule="auto"/>
        <w:jc w:val="both"/>
        <w:rPr>
          <w:rFonts w:ascii="Book Antiqua" w:hAnsi="Book Antiqua"/>
        </w:rPr>
      </w:pPr>
    </w:p>
    <w:p w14:paraId="23EF6C3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t>CASE PRESENTATION</w:t>
      </w:r>
    </w:p>
    <w:p w14:paraId="33169B0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i/>
          <w:color w:val="000000"/>
        </w:rPr>
        <w:t>Chief complaints</w:t>
      </w:r>
    </w:p>
    <w:p w14:paraId="0546EFE2" w14:textId="77777777" w:rsidR="00A77B3E" w:rsidRPr="004E0B73" w:rsidRDefault="00070DE6" w:rsidP="004E0B73">
      <w:pPr>
        <w:snapToGrid w:val="0"/>
        <w:spacing w:line="360" w:lineRule="auto"/>
        <w:jc w:val="both"/>
        <w:rPr>
          <w:rFonts w:ascii="Book Antiqua" w:hAnsi="Book Antiqua"/>
        </w:rPr>
      </w:pPr>
      <w:bookmarkStart w:id="22" w:name="OLE_LINK25"/>
      <w:bookmarkStart w:id="23" w:name="OLE_LINK26"/>
      <w:r w:rsidRPr="004E0B73">
        <w:rPr>
          <w:rFonts w:ascii="Book Antiqua" w:eastAsia="Book Antiqua" w:hAnsi="Book Antiqua" w:cs="Book Antiqua"/>
          <w:b/>
          <w:bCs/>
          <w:color w:val="000000"/>
        </w:rPr>
        <w:t>Case 1</w:t>
      </w:r>
      <w:r w:rsidR="00DF6D50" w:rsidRPr="004E0B73">
        <w:rPr>
          <w:rFonts w:ascii="Book Antiqua" w:eastAsia="Book Antiqua" w:hAnsi="Book Antiqua" w:cs="Book Antiqua"/>
          <w:b/>
          <w:bCs/>
          <w:color w:val="000000"/>
        </w:rPr>
        <w:t>:</w:t>
      </w:r>
      <w:r w:rsidR="00DF6D50" w:rsidRPr="004E0B73">
        <w:rPr>
          <w:rFonts w:ascii="Book Antiqua" w:hAnsi="Book Antiqua"/>
          <w:lang w:eastAsia="zh-CN"/>
        </w:rPr>
        <w:t xml:space="preserve"> </w:t>
      </w:r>
      <w:r w:rsidRPr="004E0B73">
        <w:rPr>
          <w:rFonts w:ascii="Book Antiqua" w:eastAsia="Book Antiqua" w:hAnsi="Book Antiqua" w:cs="Book Antiqua"/>
          <w:color w:val="000000"/>
        </w:rPr>
        <w:t>A 61-old-year man visited our emergency room (ER) complaining of extensive oral bleeding and syncope.</w:t>
      </w:r>
    </w:p>
    <w:p w14:paraId="0D6D6062" w14:textId="77777777" w:rsidR="00A77B3E" w:rsidRPr="004E0B73" w:rsidRDefault="00A77B3E" w:rsidP="004E0B73">
      <w:pPr>
        <w:snapToGrid w:val="0"/>
        <w:spacing w:line="360" w:lineRule="auto"/>
        <w:jc w:val="both"/>
        <w:rPr>
          <w:rFonts w:ascii="Book Antiqua" w:hAnsi="Book Antiqua"/>
        </w:rPr>
      </w:pPr>
    </w:p>
    <w:p w14:paraId="38175AAE"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Case 2</w:t>
      </w:r>
      <w:r w:rsidR="00DF6D50" w:rsidRPr="004E0B73">
        <w:rPr>
          <w:rFonts w:ascii="Book Antiqua" w:hAnsi="Book Antiqua"/>
          <w:lang w:eastAsia="zh-CN"/>
        </w:rPr>
        <w:t xml:space="preserve">: </w:t>
      </w:r>
      <w:r w:rsidRPr="004E0B73">
        <w:rPr>
          <w:rFonts w:ascii="Book Antiqua" w:eastAsia="Book Antiqua" w:hAnsi="Book Antiqua" w:cs="Book Antiqua"/>
          <w:color w:val="000000"/>
        </w:rPr>
        <w:t xml:space="preserve">A 56-year-old man visited the ER complaining of massive epistaxis. </w:t>
      </w:r>
    </w:p>
    <w:bookmarkEnd w:id="22"/>
    <w:bookmarkEnd w:id="23"/>
    <w:p w14:paraId="72FE9F32" w14:textId="77777777" w:rsidR="00A77B3E" w:rsidRPr="004E0B73" w:rsidRDefault="00A77B3E" w:rsidP="004E0B73">
      <w:pPr>
        <w:snapToGrid w:val="0"/>
        <w:spacing w:line="360" w:lineRule="auto"/>
        <w:jc w:val="both"/>
        <w:rPr>
          <w:rFonts w:ascii="Book Antiqua" w:hAnsi="Book Antiqua"/>
        </w:rPr>
      </w:pPr>
    </w:p>
    <w:p w14:paraId="2D2E472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i/>
          <w:color w:val="000000"/>
        </w:rPr>
        <w:t>History of present illness</w:t>
      </w:r>
    </w:p>
    <w:p w14:paraId="636BDADC" w14:textId="77777777" w:rsidR="00A77B3E" w:rsidRPr="004E0B73" w:rsidRDefault="00070DE6" w:rsidP="004E0B73">
      <w:pPr>
        <w:snapToGrid w:val="0"/>
        <w:spacing w:line="360" w:lineRule="auto"/>
        <w:jc w:val="both"/>
        <w:rPr>
          <w:rFonts w:ascii="Book Antiqua" w:hAnsi="Book Antiqua"/>
        </w:rPr>
      </w:pPr>
      <w:bookmarkStart w:id="24" w:name="OLE_LINK27"/>
      <w:bookmarkStart w:id="25" w:name="OLE_LINK28"/>
      <w:r w:rsidRPr="004E0B73">
        <w:rPr>
          <w:rFonts w:ascii="Book Antiqua" w:eastAsia="Book Antiqua" w:hAnsi="Book Antiqua" w:cs="Book Antiqua"/>
          <w:b/>
          <w:bCs/>
          <w:color w:val="000000"/>
        </w:rPr>
        <w:lastRenderedPageBreak/>
        <w:t>Case 1</w:t>
      </w:r>
      <w:r w:rsidR="00DF6D50" w:rsidRPr="004E0B73">
        <w:rPr>
          <w:rFonts w:ascii="Book Antiqua" w:hAnsi="Book Antiqua"/>
          <w:lang w:eastAsia="zh-CN"/>
        </w:rPr>
        <w:t xml:space="preserve">: </w:t>
      </w:r>
      <w:r w:rsidRPr="004E0B73">
        <w:rPr>
          <w:rFonts w:ascii="Book Antiqua" w:eastAsia="Book Antiqua" w:hAnsi="Book Antiqua" w:cs="Book Antiqua"/>
          <w:color w:val="000000"/>
        </w:rPr>
        <w:t>Thirteen months ago, he had been diagnosed with locally advanced hypopharyngeal cancer (cT1N2bM0) and had completed definitive CCRT with weekly 40 mg/m</w:t>
      </w:r>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doses of cisplatin for 7 wk. The patient received a prescription dose of 7425</w:t>
      </w:r>
      <w:r w:rsidRPr="004E0B73">
        <w:rPr>
          <w:rFonts w:ascii="MS Gothic" w:eastAsia="Book Antiqua" w:hAnsi="MS Gothic" w:cs="MS Gothic"/>
          <w:color w:val="000000"/>
        </w:rPr>
        <w:t>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in 33 fractions to the gross primary and nodal tumor, 6525</w:t>
      </w:r>
      <w:r w:rsidRPr="004E0B73">
        <w:rPr>
          <w:rFonts w:ascii="MS Gothic" w:eastAsia="Book Antiqua" w:hAnsi="MS Gothic" w:cs="MS Gothic"/>
          <w:color w:val="000000"/>
        </w:rPr>
        <w:t>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to the high-risk nodal region and 4950</w:t>
      </w:r>
      <w:r w:rsidRPr="004E0B73">
        <w:rPr>
          <w:rFonts w:ascii="MS Gothic" w:eastAsia="Book Antiqua" w:hAnsi="MS Gothic" w:cs="MS Gothic"/>
          <w:color w:val="000000"/>
        </w:rPr>
        <w:t>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to the low-risk nodal region. Routine surveillance conducted every 3 </w:t>
      </w:r>
      <w:proofErr w:type="spellStart"/>
      <w:r w:rsidRPr="004E0B73">
        <w:rPr>
          <w:rFonts w:ascii="Book Antiqua" w:eastAsia="Book Antiqua" w:hAnsi="Book Antiqua" w:cs="Book Antiqua"/>
          <w:color w:val="000000"/>
        </w:rPr>
        <w:t>mo</w:t>
      </w:r>
      <w:proofErr w:type="spellEnd"/>
      <w:r w:rsidRPr="004E0B73">
        <w:rPr>
          <w:rFonts w:ascii="Book Antiqua" w:eastAsia="Book Antiqua" w:hAnsi="Book Antiqua" w:cs="Book Antiqua"/>
          <w:color w:val="000000"/>
        </w:rPr>
        <w:t xml:space="preserve"> after CCRT showed complete remission; however, he developed severe pain around the right neck area. Despite the use of opioid analgesics and rehabilitation department consultation, his pain did not improve. He also had cause to visit the ER, complaining of severe pain and edema around the tongue and neck area. </w:t>
      </w:r>
    </w:p>
    <w:p w14:paraId="3BB81F43" w14:textId="77777777" w:rsidR="00A77B3E" w:rsidRPr="004E0B73" w:rsidRDefault="00860B0F" w:rsidP="004E0B73">
      <w:pPr>
        <w:tabs>
          <w:tab w:val="left" w:pos="2580"/>
        </w:tabs>
        <w:snapToGrid w:val="0"/>
        <w:spacing w:line="360" w:lineRule="auto"/>
        <w:jc w:val="both"/>
        <w:rPr>
          <w:rFonts w:ascii="Book Antiqua" w:hAnsi="Book Antiqua"/>
        </w:rPr>
      </w:pPr>
      <w:r w:rsidRPr="004E0B73">
        <w:rPr>
          <w:rFonts w:ascii="Book Antiqua" w:hAnsi="Book Antiqua"/>
        </w:rPr>
        <w:tab/>
      </w:r>
    </w:p>
    <w:p w14:paraId="2194120D"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Case 2</w:t>
      </w:r>
      <w:r w:rsidR="00DF6D50" w:rsidRPr="004E0B73">
        <w:rPr>
          <w:rFonts w:ascii="Book Antiqua" w:eastAsia="Book Antiqua" w:hAnsi="Book Antiqua" w:cs="Book Antiqua"/>
          <w:color w:val="000000"/>
        </w:rPr>
        <w:t>:</w:t>
      </w:r>
      <w:r w:rsidR="00DF6D50" w:rsidRPr="004E0B73">
        <w:rPr>
          <w:rFonts w:ascii="Book Antiqua" w:hAnsi="Book Antiqua"/>
          <w:lang w:eastAsia="zh-CN"/>
        </w:rPr>
        <w:t xml:space="preserve"> </w:t>
      </w:r>
      <w:r w:rsidRPr="004E0B73">
        <w:rPr>
          <w:rFonts w:ascii="Book Antiqua" w:eastAsia="Book Antiqua" w:hAnsi="Book Antiqua" w:cs="Book Antiqua"/>
          <w:color w:val="000000"/>
        </w:rPr>
        <w:t>One year before, he had been diagnosed with nasopharyngeal cancer (cT2N2M0) and received definitive CCRT with weekly doses of cisplatin 40 mg/m</w:t>
      </w:r>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Radiotherapy was delivered using a Hi-Art </w:t>
      </w:r>
      <w:proofErr w:type="spellStart"/>
      <w:r w:rsidRPr="004E0B73">
        <w:rPr>
          <w:rFonts w:ascii="Book Antiqua" w:eastAsia="Book Antiqua" w:hAnsi="Book Antiqua" w:cs="Book Antiqua"/>
          <w:color w:val="000000"/>
        </w:rPr>
        <w:t>Tomotherapy</w:t>
      </w:r>
      <w:proofErr w:type="spellEnd"/>
      <w:r w:rsidRPr="004E0B73">
        <w:rPr>
          <w:rFonts w:ascii="Book Antiqua" w:eastAsia="Book Antiqua" w:hAnsi="Book Antiqua" w:cs="Book Antiqua"/>
          <w:color w:val="000000"/>
        </w:rPr>
        <w:t xml:space="preserve"> system. The patient received a prescription dose of 7425</w:t>
      </w:r>
      <w:r w:rsidRPr="004E0B73">
        <w:rPr>
          <w:rFonts w:ascii="MS Gothic" w:eastAsia="Book Antiqua" w:hAnsi="MS Gothic" w:cs="MS Gothic"/>
          <w:color w:val="000000"/>
        </w:rPr>
        <w:t>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in 33 fractions to the gros</w:t>
      </w:r>
      <w:r w:rsidR="00DF6D50" w:rsidRPr="004E0B73">
        <w:rPr>
          <w:rFonts w:ascii="Book Antiqua" w:eastAsia="Book Antiqua" w:hAnsi="Book Antiqua" w:cs="Book Antiqua"/>
          <w:color w:val="000000"/>
        </w:rPr>
        <w:t xml:space="preserve">s primary and nodal tumor, 6075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to the high-risk nodal region and 4500</w:t>
      </w:r>
      <w:r w:rsidRPr="004E0B73">
        <w:rPr>
          <w:rFonts w:ascii="MS Gothic" w:eastAsia="Book Antiqua" w:hAnsi="MS Gothic" w:cs="MS Gothic"/>
          <w:color w:val="000000"/>
        </w:rPr>
        <w:t> </w:t>
      </w:r>
      <w:proofErr w:type="spellStart"/>
      <w:r w:rsidRPr="004E0B73">
        <w:rPr>
          <w:rFonts w:ascii="Book Antiqua" w:eastAsia="Book Antiqua" w:hAnsi="Book Antiqua" w:cs="Book Antiqua"/>
          <w:color w:val="000000"/>
        </w:rPr>
        <w:t>cGy</w:t>
      </w:r>
      <w:proofErr w:type="spellEnd"/>
      <w:r w:rsidRPr="004E0B73">
        <w:rPr>
          <w:rFonts w:ascii="Book Antiqua" w:eastAsia="Book Antiqua" w:hAnsi="Book Antiqua" w:cs="Book Antiqua"/>
          <w:color w:val="000000"/>
        </w:rPr>
        <w:t xml:space="preserve"> to the low-risk nodal region. After the completion of CCRT, he continuously experienced severe posterior neck pain and radiating headache, resulting in a severe reduction in his quality of life. However, </w:t>
      </w:r>
      <w:r w:rsidR="00D9056D" w:rsidRPr="004E0B73">
        <w:rPr>
          <w:rFonts w:ascii="Book Antiqua" w:eastAsia="Book Antiqua" w:hAnsi="Book Antiqua" w:cs="Book Antiqua"/>
          <w:color w:val="000000"/>
        </w:rPr>
        <w:t>computed tomography</w:t>
      </w:r>
      <w:r w:rsidRPr="004E0B73">
        <w:rPr>
          <w:rFonts w:ascii="Book Antiqua" w:eastAsia="Book Antiqua" w:hAnsi="Book Antiqua" w:cs="Book Antiqua"/>
          <w:color w:val="000000"/>
        </w:rPr>
        <w:t xml:space="preserve"> and </w:t>
      </w:r>
      <w:r w:rsidR="00D9056D" w:rsidRPr="004E0B73">
        <w:rPr>
          <w:rFonts w:ascii="Book Antiqua" w:eastAsia="Book Antiqua" w:hAnsi="Book Antiqua" w:cs="Book Antiqua"/>
          <w:color w:val="000000"/>
        </w:rPr>
        <w:t>m</w:t>
      </w:r>
      <w:r w:rsidR="00DF6D50" w:rsidRPr="004E0B73">
        <w:rPr>
          <w:rFonts w:ascii="Book Antiqua" w:eastAsia="Book Antiqua" w:hAnsi="Book Antiqua" w:cs="Book Antiqua"/>
          <w:color w:val="000000"/>
        </w:rPr>
        <w:t xml:space="preserve">agnetic resonance imaging (MRI) </w:t>
      </w:r>
      <w:r w:rsidRPr="004E0B73">
        <w:rPr>
          <w:rFonts w:ascii="Book Antiqua" w:eastAsia="Book Antiqua" w:hAnsi="Book Antiqua" w:cs="Book Antiqua"/>
          <w:color w:val="000000"/>
        </w:rPr>
        <w:t xml:space="preserve">follow-up scans showed no evidence of recurrence or other abnormal findings. </w:t>
      </w:r>
      <w:proofErr w:type="spellStart"/>
      <w:r w:rsidRPr="004E0B73">
        <w:rPr>
          <w:rFonts w:ascii="Book Antiqua" w:eastAsia="Book Antiqua" w:hAnsi="Book Antiqua" w:cs="Book Antiqua"/>
          <w:color w:val="000000"/>
        </w:rPr>
        <w:t>Laryngoscopic</w:t>
      </w:r>
      <w:proofErr w:type="spellEnd"/>
      <w:r w:rsidRPr="004E0B73">
        <w:rPr>
          <w:rFonts w:ascii="Book Antiqua" w:eastAsia="Book Antiqua" w:hAnsi="Book Antiqua" w:cs="Book Antiqua"/>
          <w:color w:val="000000"/>
        </w:rPr>
        <w:t xml:space="preserve"> surveillance revealed an ulcer on the posterior tongue, hard palate and posterior oropharyngeal wall. Repeated tissue biopsy of the ulcer showed inflammatory cells but no cancer cells.</w:t>
      </w:r>
    </w:p>
    <w:bookmarkEnd w:id="24"/>
    <w:bookmarkEnd w:id="25"/>
    <w:p w14:paraId="488545DA" w14:textId="77777777" w:rsidR="00A77B3E" w:rsidRPr="004E0B73" w:rsidRDefault="00A77B3E" w:rsidP="004E0B73">
      <w:pPr>
        <w:snapToGrid w:val="0"/>
        <w:spacing w:line="360" w:lineRule="auto"/>
        <w:jc w:val="both"/>
        <w:rPr>
          <w:rFonts w:ascii="Book Antiqua" w:hAnsi="Book Antiqua"/>
        </w:rPr>
      </w:pPr>
    </w:p>
    <w:p w14:paraId="3BD5A0D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i/>
          <w:color w:val="000000"/>
        </w:rPr>
        <w:t>Physical examination</w:t>
      </w:r>
    </w:p>
    <w:p w14:paraId="0D879652" w14:textId="77777777" w:rsidR="00A77B3E" w:rsidRPr="004E0B73" w:rsidRDefault="00070DE6" w:rsidP="004E0B73">
      <w:pPr>
        <w:snapToGrid w:val="0"/>
        <w:spacing w:line="360" w:lineRule="auto"/>
        <w:jc w:val="both"/>
        <w:rPr>
          <w:rFonts w:ascii="Book Antiqua" w:hAnsi="Book Antiqua"/>
        </w:rPr>
      </w:pPr>
      <w:bookmarkStart w:id="26" w:name="OLE_LINK29"/>
      <w:bookmarkStart w:id="27" w:name="OLE_LINK30"/>
      <w:r w:rsidRPr="004E0B73">
        <w:rPr>
          <w:rFonts w:ascii="Book Antiqua" w:eastAsia="Book Antiqua" w:hAnsi="Book Antiqua" w:cs="Book Antiqua"/>
          <w:b/>
          <w:bCs/>
          <w:color w:val="000000"/>
        </w:rPr>
        <w:t>Case 1</w:t>
      </w:r>
      <w:r w:rsidR="00D9056D" w:rsidRPr="004E0B73">
        <w:rPr>
          <w:rFonts w:ascii="Book Antiqua" w:eastAsia="Book Antiqua" w:hAnsi="Book Antiqua" w:cs="Book Antiqua"/>
          <w:color w:val="000000"/>
        </w:rPr>
        <w:t>:</w:t>
      </w:r>
      <w:r w:rsidR="00D9056D" w:rsidRPr="004E0B73">
        <w:rPr>
          <w:rFonts w:ascii="Book Antiqua" w:hAnsi="Book Antiqua"/>
          <w:lang w:eastAsia="zh-CN"/>
        </w:rPr>
        <w:t xml:space="preserve"> </w:t>
      </w:r>
      <w:r w:rsidRPr="004E0B73">
        <w:rPr>
          <w:rFonts w:ascii="Book Antiqua" w:eastAsia="Book Antiqua" w:hAnsi="Book Antiqua" w:cs="Book Antiqua"/>
          <w:color w:val="000000"/>
        </w:rPr>
        <w:t>His vital sign was stable.</w:t>
      </w:r>
    </w:p>
    <w:p w14:paraId="259E8F33" w14:textId="77777777" w:rsidR="00A77B3E" w:rsidRPr="004E0B73" w:rsidRDefault="00A77B3E" w:rsidP="004E0B73">
      <w:pPr>
        <w:snapToGrid w:val="0"/>
        <w:spacing w:line="360" w:lineRule="auto"/>
        <w:jc w:val="both"/>
        <w:rPr>
          <w:rFonts w:ascii="Book Antiqua" w:hAnsi="Book Antiqua"/>
        </w:rPr>
      </w:pPr>
    </w:p>
    <w:p w14:paraId="4EE84EF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lastRenderedPageBreak/>
        <w:t>Case 2</w:t>
      </w:r>
      <w:r w:rsidR="00D9056D" w:rsidRPr="004E0B73">
        <w:rPr>
          <w:rFonts w:ascii="Book Antiqua" w:eastAsia="Book Antiqua" w:hAnsi="Book Antiqua" w:cs="Book Antiqua"/>
          <w:color w:val="000000"/>
        </w:rPr>
        <w:t xml:space="preserve">: </w:t>
      </w:r>
      <w:r w:rsidRPr="004E0B73">
        <w:rPr>
          <w:rFonts w:ascii="Book Antiqua" w:eastAsia="Book Antiqua" w:hAnsi="Book Antiqua" w:cs="Book Antiqua"/>
          <w:color w:val="000000"/>
        </w:rPr>
        <w:t xml:space="preserve">In the ER, </w:t>
      </w:r>
      <w:proofErr w:type="spellStart"/>
      <w:r w:rsidRPr="004E0B73">
        <w:rPr>
          <w:rFonts w:ascii="Book Antiqua" w:eastAsia="Book Antiqua" w:hAnsi="Book Antiqua" w:cs="Book Antiqua"/>
          <w:color w:val="000000"/>
        </w:rPr>
        <w:t>laryngoscopic</w:t>
      </w:r>
      <w:proofErr w:type="spellEnd"/>
      <w:r w:rsidRPr="004E0B73">
        <w:rPr>
          <w:rFonts w:ascii="Book Antiqua" w:eastAsia="Book Antiqua" w:hAnsi="Book Antiqua" w:cs="Book Antiqua"/>
          <w:color w:val="000000"/>
        </w:rPr>
        <w:t xml:space="preserve"> evaluation failed to identify a definitive focus for the massive bleeding from the nasal cavity, and his blood pressure was 60/40 with a pulse rate &gt;</w:t>
      </w:r>
      <w:r w:rsidR="00772A6A" w:rsidRPr="004E0B73">
        <w:rPr>
          <w:rFonts w:ascii="Book Antiqua" w:hAnsi="Book Antiqua" w:cs="Book Antiqua"/>
          <w:color w:val="000000"/>
          <w:lang w:eastAsia="zh-CN"/>
        </w:rPr>
        <w:t xml:space="preserve"> </w:t>
      </w:r>
      <w:r w:rsidRPr="004E0B73">
        <w:rPr>
          <w:rFonts w:ascii="Book Antiqua" w:eastAsia="Book Antiqua" w:hAnsi="Book Antiqua" w:cs="Book Antiqua"/>
          <w:color w:val="000000"/>
        </w:rPr>
        <w:t xml:space="preserve">120 bpm. The patient subsequently fell into a mental stupor. </w:t>
      </w:r>
    </w:p>
    <w:bookmarkEnd w:id="26"/>
    <w:bookmarkEnd w:id="27"/>
    <w:p w14:paraId="412A902E" w14:textId="77777777" w:rsidR="00A77B3E" w:rsidRPr="004E0B73" w:rsidRDefault="00A77B3E" w:rsidP="004E0B73">
      <w:pPr>
        <w:snapToGrid w:val="0"/>
        <w:spacing w:line="360" w:lineRule="auto"/>
        <w:jc w:val="both"/>
        <w:rPr>
          <w:rFonts w:ascii="Book Antiqua" w:hAnsi="Book Antiqua"/>
        </w:rPr>
      </w:pPr>
    </w:p>
    <w:p w14:paraId="18EA19DE"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i/>
          <w:color w:val="000000"/>
        </w:rPr>
        <w:t>Imaging examinations</w:t>
      </w:r>
    </w:p>
    <w:p w14:paraId="67EF155D" w14:textId="77777777" w:rsidR="00A77B3E" w:rsidRPr="004E0B73" w:rsidRDefault="00070DE6" w:rsidP="004E0B73">
      <w:pPr>
        <w:snapToGrid w:val="0"/>
        <w:spacing w:line="360" w:lineRule="auto"/>
        <w:jc w:val="both"/>
        <w:rPr>
          <w:rFonts w:ascii="Book Antiqua" w:hAnsi="Book Antiqua"/>
        </w:rPr>
      </w:pPr>
      <w:bookmarkStart w:id="28" w:name="OLE_LINK31"/>
      <w:bookmarkStart w:id="29" w:name="OLE_LINK32"/>
      <w:r w:rsidRPr="004E0B73">
        <w:rPr>
          <w:rFonts w:ascii="Book Antiqua" w:eastAsia="Book Antiqua" w:hAnsi="Book Antiqua" w:cs="Book Antiqua"/>
          <w:b/>
          <w:bCs/>
          <w:color w:val="000000"/>
        </w:rPr>
        <w:t>Case 1</w:t>
      </w:r>
      <w:r w:rsidR="00D9056D" w:rsidRPr="004E0B73">
        <w:rPr>
          <w:rFonts w:ascii="Book Antiqua" w:eastAsia="Book Antiqua" w:hAnsi="Book Antiqua" w:cs="Book Antiqua"/>
          <w:color w:val="000000"/>
        </w:rPr>
        <w:t>:</w:t>
      </w:r>
      <w:r w:rsidR="00D9056D" w:rsidRPr="004E0B73">
        <w:rPr>
          <w:rFonts w:ascii="Book Antiqua" w:hAnsi="Book Antiqua"/>
          <w:lang w:eastAsia="zh-CN"/>
        </w:rPr>
        <w:t xml:space="preserve"> </w:t>
      </w:r>
      <w:r w:rsidRPr="004E0B73">
        <w:rPr>
          <w:rFonts w:ascii="Book Antiqua" w:eastAsia="Book Antiqua" w:hAnsi="Book Antiqua" w:cs="Book Antiqua"/>
          <w:color w:val="000000"/>
        </w:rPr>
        <w:t>In the ER, enhanced computed tomography angiography of the head and neck revealed a bulging contour in the right common carotid arterial lumen. An angiogram further revealed a ruptured pseudoaneurysm (6.8</w:t>
      </w:r>
      <w:r w:rsidR="00D9056D" w:rsidRPr="004E0B73">
        <w:rPr>
          <w:rFonts w:ascii="Book Antiqua" w:eastAsia="Book Antiqua" w:hAnsi="Book Antiqua" w:cs="Book Antiqua"/>
          <w:color w:val="000000"/>
        </w:rPr>
        <w:t xml:space="preserve"> mm</w:t>
      </w:r>
      <w:r w:rsidRPr="004E0B73">
        <w:rPr>
          <w:rFonts w:ascii="Book Antiqua" w:eastAsia="Book Antiqua" w:hAnsi="Book Antiqua" w:cs="Book Antiqua"/>
          <w:color w:val="000000"/>
        </w:rPr>
        <w:t xml:space="preserve"> × 3.4 mm) of the right common carotid artery (CCA).</w:t>
      </w:r>
    </w:p>
    <w:p w14:paraId="5A138812" w14:textId="77777777" w:rsidR="00A77B3E" w:rsidRPr="004E0B73" w:rsidRDefault="00A77B3E" w:rsidP="004E0B73">
      <w:pPr>
        <w:snapToGrid w:val="0"/>
        <w:spacing w:line="360" w:lineRule="auto"/>
        <w:jc w:val="both"/>
        <w:rPr>
          <w:rFonts w:ascii="Book Antiqua" w:hAnsi="Book Antiqua"/>
        </w:rPr>
      </w:pPr>
    </w:p>
    <w:p w14:paraId="3A57FAF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Case 2</w:t>
      </w:r>
      <w:r w:rsidR="00D9056D" w:rsidRPr="004E0B73">
        <w:rPr>
          <w:rFonts w:ascii="Book Antiqua" w:eastAsia="Book Antiqua" w:hAnsi="Book Antiqua" w:cs="Book Antiqua"/>
          <w:color w:val="000000"/>
        </w:rPr>
        <w:t>:</w:t>
      </w:r>
      <w:r w:rsidR="00D9056D" w:rsidRPr="004E0B73">
        <w:rPr>
          <w:rFonts w:ascii="Book Antiqua" w:hAnsi="Book Antiqua"/>
          <w:lang w:eastAsia="zh-CN"/>
        </w:rPr>
        <w:t xml:space="preserve"> </w:t>
      </w:r>
      <w:r w:rsidRPr="004E0B73">
        <w:rPr>
          <w:rFonts w:ascii="Book Antiqua" w:eastAsia="Book Antiqua" w:hAnsi="Book Antiqua" w:cs="Book Antiqua"/>
          <w:color w:val="000000"/>
        </w:rPr>
        <w:t>Suspicious of arterial rupture, we performed an angiogram of the carotid artery and detected a pseudoaneurysm (16</w:t>
      </w:r>
      <w:r w:rsidR="00D9056D" w:rsidRPr="004E0B73">
        <w:rPr>
          <w:rFonts w:ascii="Book Antiqua" w:eastAsia="Book Antiqua" w:hAnsi="Book Antiqua" w:cs="Book Antiqua"/>
          <w:color w:val="000000"/>
        </w:rPr>
        <w:t xml:space="preserve"> mm</w:t>
      </w:r>
      <w:r w:rsidRPr="004E0B73">
        <w:rPr>
          <w:rFonts w:ascii="Book Antiqua" w:eastAsia="Book Antiqua" w:hAnsi="Book Antiqua" w:cs="Book Antiqua"/>
          <w:color w:val="000000"/>
        </w:rPr>
        <w:t xml:space="preserve"> </w:t>
      </w:r>
      <w:r w:rsidR="00D9056D" w:rsidRPr="004E0B73">
        <w:rPr>
          <w:rFonts w:ascii="Book Antiqua" w:eastAsia="Book Antiqua" w:hAnsi="Book Antiqua" w:cs="Book Antiqua"/>
          <w:color w:val="000000"/>
        </w:rPr>
        <w:t>×</w:t>
      </w:r>
      <w:r w:rsidRPr="004E0B73">
        <w:rPr>
          <w:rFonts w:ascii="Book Antiqua" w:eastAsia="Book Antiqua" w:hAnsi="Book Antiqua" w:cs="Book Antiqua"/>
          <w:color w:val="000000"/>
        </w:rPr>
        <w:t xml:space="preserve"> 8.5 mm in size) in the right </w:t>
      </w:r>
      <w:r w:rsidR="00C33964" w:rsidRPr="004E0B73">
        <w:rPr>
          <w:rFonts w:ascii="Book Antiqua" w:eastAsia="Book Antiqua" w:hAnsi="Book Antiqua" w:cs="Book Antiqua"/>
          <w:color w:val="000000"/>
        </w:rPr>
        <w:t>internal carotid artery (ICA)</w:t>
      </w:r>
      <w:r w:rsidRPr="004E0B73">
        <w:rPr>
          <w:rFonts w:ascii="Book Antiqua" w:eastAsia="Book Antiqua" w:hAnsi="Book Antiqua" w:cs="Book Antiqua"/>
          <w:color w:val="000000"/>
        </w:rPr>
        <w:t xml:space="preserve"> with leakage of blood.</w:t>
      </w:r>
    </w:p>
    <w:bookmarkEnd w:id="28"/>
    <w:bookmarkEnd w:id="29"/>
    <w:p w14:paraId="5C43F387" w14:textId="77777777" w:rsidR="00A77B3E" w:rsidRPr="004E0B73" w:rsidRDefault="00A77B3E" w:rsidP="004E0B73">
      <w:pPr>
        <w:snapToGrid w:val="0"/>
        <w:spacing w:line="360" w:lineRule="auto"/>
        <w:jc w:val="both"/>
        <w:rPr>
          <w:rFonts w:ascii="Book Antiqua" w:hAnsi="Book Antiqua"/>
        </w:rPr>
      </w:pPr>
    </w:p>
    <w:p w14:paraId="35E2706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t>FINAL DIAGNOSIS</w:t>
      </w:r>
    </w:p>
    <w:p w14:paraId="4AFF5B56" w14:textId="77777777" w:rsidR="0003297E" w:rsidRPr="0003297E" w:rsidRDefault="00070DE6" w:rsidP="004E0B73">
      <w:pPr>
        <w:snapToGrid w:val="0"/>
        <w:spacing w:line="360" w:lineRule="auto"/>
        <w:jc w:val="both"/>
        <w:rPr>
          <w:rFonts w:ascii="Book Antiqua" w:eastAsia="Book Antiqua" w:hAnsi="Book Antiqua" w:cs="Book Antiqua"/>
          <w:i/>
          <w:color w:val="000000"/>
        </w:rPr>
      </w:pPr>
      <w:bookmarkStart w:id="30" w:name="OLE_LINK33"/>
      <w:bookmarkStart w:id="31" w:name="OLE_LINK34"/>
      <w:r w:rsidRPr="0003297E">
        <w:rPr>
          <w:rFonts w:ascii="Book Antiqua" w:eastAsia="Book Antiqua" w:hAnsi="Book Antiqua" w:cs="Book Antiqua"/>
          <w:b/>
          <w:bCs/>
          <w:i/>
          <w:color w:val="000000"/>
        </w:rPr>
        <w:t>Case 1</w:t>
      </w:r>
    </w:p>
    <w:p w14:paraId="415FE15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The final diagnosis made was ruptured pseudoaneurysm of the right CCA secondary to head and neck irradiation.</w:t>
      </w:r>
    </w:p>
    <w:p w14:paraId="16556E93" w14:textId="77777777" w:rsidR="00A77B3E" w:rsidRPr="004E0B73" w:rsidRDefault="00A77B3E" w:rsidP="004E0B73">
      <w:pPr>
        <w:snapToGrid w:val="0"/>
        <w:spacing w:line="360" w:lineRule="auto"/>
        <w:jc w:val="both"/>
        <w:rPr>
          <w:rFonts w:ascii="Book Antiqua" w:hAnsi="Book Antiqua"/>
        </w:rPr>
      </w:pPr>
    </w:p>
    <w:p w14:paraId="667FC34F" w14:textId="77777777" w:rsidR="0003297E" w:rsidRPr="0003297E" w:rsidRDefault="00070DE6" w:rsidP="004E0B73">
      <w:pPr>
        <w:snapToGrid w:val="0"/>
        <w:spacing w:line="360" w:lineRule="auto"/>
        <w:jc w:val="both"/>
        <w:rPr>
          <w:rFonts w:ascii="Book Antiqua" w:eastAsia="Book Antiqua" w:hAnsi="Book Antiqua" w:cs="Book Antiqua"/>
          <w:b/>
          <w:bCs/>
          <w:i/>
          <w:color w:val="000000"/>
        </w:rPr>
      </w:pPr>
      <w:r w:rsidRPr="0003297E">
        <w:rPr>
          <w:rFonts w:ascii="Book Antiqua" w:eastAsia="Book Antiqua" w:hAnsi="Book Antiqua" w:cs="Book Antiqua"/>
          <w:b/>
          <w:bCs/>
          <w:i/>
          <w:color w:val="000000"/>
        </w:rPr>
        <w:t>Case 2</w:t>
      </w:r>
    </w:p>
    <w:p w14:paraId="4E74999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The final diagnosis made was ruptured pseudoaneurysm of the right ICA secondary to head and neck irradiation.</w:t>
      </w:r>
    </w:p>
    <w:bookmarkEnd w:id="30"/>
    <w:bookmarkEnd w:id="31"/>
    <w:p w14:paraId="6A354BA3" w14:textId="77777777" w:rsidR="00A77B3E" w:rsidRPr="004E0B73" w:rsidRDefault="00A77B3E" w:rsidP="004E0B73">
      <w:pPr>
        <w:snapToGrid w:val="0"/>
        <w:spacing w:line="360" w:lineRule="auto"/>
        <w:jc w:val="both"/>
        <w:rPr>
          <w:rFonts w:ascii="Book Antiqua" w:hAnsi="Book Antiqua"/>
        </w:rPr>
      </w:pPr>
    </w:p>
    <w:p w14:paraId="19A389E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t>TREATMENT</w:t>
      </w:r>
    </w:p>
    <w:p w14:paraId="31ED322A" w14:textId="77777777" w:rsidR="0003297E" w:rsidRPr="0003297E" w:rsidRDefault="00070DE6" w:rsidP="004E0B73">
      <w:pPr>
        <w:snapToGrid w:val="0"/>
        <w:spacing w:line="360" w:lineRule="auto"/>
        <w:jc w:val="both"/>
        <w:rPr>
          <w:rFonts w:ascii="Book Antiqua" w:eastAsia="Book Antiqua" w:hAnsi="Book Antiqua" w:cs="Book Antiqua"/>
          <w:i/>
          <w:color w:val="000000"/>
        </w:rPr>
      </w:pPr>
      <w:bookmarkStart w:id="32" w:name="OLE_LINK35"/>
      <w:bookmarkStart w:id="33" w:name="OLE_LINK36"/>
      <w:r w:rsidRPr="0003297E">
        <w:rPr>
          <w:rFonts w:ascii="Book Antiqua" w:eastAsia="Book Antiqua" w:hAnsi="Book Antiqua" w:cs="Book Antiqua"/>
          <w:b/>
          <w:bCs/>
          <w:i/>
          <w:color w:val="000000"/>
        </w:rPr>
        <w:t>Case 1</w:t>
      </w:r>
    </w:p>
    <w:p w14:paraId="73AA3C4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Following the insertion of a covered stent (</w:t>
      </w:r>
      <w:proofErr w:type="spellStart"/>
      <w:r w:rsidRPr="004E0B73">
        <w:rPr>
          <w:rFonts w:ascii="Book Antiqua" w:eastAsia="Book Antiqua" w:hAnsi="Book Antiqua" w:cs="Book Antiqua"/>
          <w:color w:val="000000"/>
        </w:rPr>
        <w:t>Lifestream</w:t>
      </w:r>
      <w:proofErr w:type="spellEnd"/>
      <w:r w:rsidRPr="004E0B73">
        <w:rPr>
          <w:rFonts w:ascii="Book Antiqua" w:eastAsia="Book Antiqua" w:hAnsi="Book Antiqua" w:cs="Book Antiqua"/>
          <w:color w:val="000000"/>
          <w:vertAlign w:val="superscript"/>
        </w:rPr>
        <w:t>®</w:t>
      </w:r>
      <w:r w:rsidRPr="004E0B73">
        <w:rPr>
          <w:rFonts w:ascii="Book Antiqua" w:eastAsia="Book Antiqua" w:hAnsi="Book Antiqua" w:cs="Book Antiqua"/>
          <w:color w:val="000000"/>
        </w:rPr>
        <w:t xml:space="preserve"> balloon expandable vascular covered stent 9 </w:t>
      </w:r>
      <w:r w:rsidR="00D9056D" w:rsidRPr="004E0B73">
        <w:rPr>
          <w:rFonts w:ascii="Book Antiqua" w:eastAsia="Book Antiqua" w:hAnsi="Book Antiqua" w:cs="Book Antiqua"/>
          <w:color w:val="000000"/>
        </w:rPr>
        <w:t>×</w:t>
      </w:r>
      <w:r w:rsidRPr="004E0B73">
        <w:rPr>
          <w:rFonts w:ascii="Book Antiqua" w:eastAsia="Book Antiqua" w:hAnsi="Book Antiqua" w:cs="Book Antiqua"/>
          <w:color w:val="000000"/>
        </w:rPr>
        <w:t xml:space="preserve"> 58, Bard, Ireland) </w:t>
      </w:r>
      <w:r w:rsidRPr="004E0B73">
        <w:rPr>
          <w:rFonts w:ascii="Book Antiqua" w:eastAsia="Book Antiqua" w:hAnsi="Book Antiqua" w:cs="Book Antiqua"/>
          <w:i/>
          <w:color w:val="000000"/>
        </w:rPr>
        <w:t>via</w:t>
      </w:r>
      <w:r w:rsidRPr="004E0B73">
        <w:rPr>
          <w:rFonts w:ascii="Book Antiqua" w:eastAsia="Book Antiqua" w:hAnsi="Book Antiqua" w:cs="Book Antiqua"/>
          <w:color w:val="000000"/>
        </w:rPr>
        <w:t xml:space="preserve"> a femoral approach, the bleeding from the carotid arterial rupture site was controlled and his vital signs stabilized. However, one day later, he suddenly experienced weakness of his left upper arm. </w:t>
      </w:r>
      <w:r w:rsidRPr="004E0B73">
        <w:rPr>
          <w:rFonts w:ascii="Book Antiqua" w:eastAsia="Book Antiqua" w:hAnsi="Book Antiqua" w:cs="Book Antiqua"/>
          <w:color w:val="000000"/>
        </w:rPr>
        <w:lastRenderedPageBreak/>
        <w:t xml:space="preserve">MRI of the patient’s brain showed multifocal acute infarctions in the right cerebellum, and </w:t>
      </w:r>
      <w:proofErr w:type="spellStart"/>
      <w:r w:rsidRPr="004E0B73">
        <w:rPr>
          <w:rFonts w:ascii="Book Antiqua" w:eastAsia="Book Antiqua" w:hAnsi="Book Antiqua" w:cs="Book Antiqua"/>
          <w:color w:val="000000"/>
        </w:rPr>
        <w:t>fronto</w:t>
      </w:r>
      <w:proofErr w:type="spellEnd"/>
      <w:r w:rsidRPr="004E0B73">
        <w:rPr>
          <w:rFonts w:ascii="Book Antiqua" w:eastAsia="Book Antiqua" w:hAnsi="Book Antiqua" w:cs="Book Antiqua"/>
          <w:color w:val="000000"/>
        </w:rPr>
        <w:t>-parieto-occipital cortices originating from a thromboembolism at the stent site. Although we commenced anticoagulation with aspirin and clopidogrel, sequelae from the weakness in his upper arm remained. After 3 d in the intensive care unit (ICU), he was discharged.</w:t>
      </w:r>
    </w:p>
    <w:p w14:paraId="64D7C436" w14:textId="77777777" w:rsidR="00A77B3E" w:rsidRPr="004E0B73" w:rsidRDefault="00A77B3E" w:rsidP="004E0B73">
      <w:pPr>
        <w:snapToGrid w:val="0"/>
        <w:spacing w:line="360" w:lineRule="auto"/>
        <w:jc w:val="both"/>
        <w:rPr>
          <w:rFonts w:ascii="Book Antiqua" w:hAnsi="Book Antiqua"/>
        </w:rPr>
      </w:pPr>
    </w:p>
    <w:p w14:paraId="448F4A05" w14:textId="77777777" w:rsidR="0003297E" w:rsidRPr="0003297E" w:rsidRDefault="00070DE6" w:rsidP="004E0B73">
      <w:pPr>
        <w:snapToGrid w:val="0"/>
        <w:spacing w:line="360" w:lineRule="auto"/>
        <w:jc w:val="both"/>
        <w:rPr>
          <w:rFonts w:ascii="Book Antiqua" w:eastAsia="Book Antiqua" w:hAnsi="Book Antiqua" w:cs="Book Antiqua"/>
          <w:i/>
          <w:color w:val="000000"/>
        </w:rPr>
      </w:pPr>
      <w:r w:rsidRPr="0003297E">
        <w:rPr>
          <w:rFonts w:ascii="Book Antiqua" w:eastAsia="Book Antiqua" w:hAnsi="Book Antiqua" w:cs="Book Antiqua"/>
          <w:b/>
          <w:bCs/>
          <w:i/>
          <w:color w:val="000000"/>
        </w:rPr>
        <w:t>Case 2</w:t>
      </w:r>
    </w:p>
    <w:p w14:paraId="48178C1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A covered stent was not suitable for this patient due to a tortuous ICA. Stent-assisted coil embolization was performed urgently to preserve ICA flow, but this did not stop his nasal bleeding. The next day, a second angiogram showed that the pseudoaneurysm was re-growing in the right ICA. We performed total occlusion of the right ICA.</w:t>
      </w:r>
    </w:p>
    <w:bookmarkEnd w:id="32"/>
    <w:bookmarkEnd w:id="33"/>
    <w:p w14:paraId="4A653161" w14:textId="77777777" w:rsidR="00A77B3E" w:rsidRPr="004E0B73" w:rsidRDefault="00A77B3E" w:rsidP="004E0B73">
      <w:pPr>
        <w:snapToGrid w:val="0"/>
        <w:spacing w:line="360" w:lineRule="auto"/>
        <w:ind w:firstLine="120"/>
        <w:jc w:val="both"/>
        <w:rPr>
          <w:rFonts w:ascii="Book Antiqua" w:hAnsi="Book Antiqua"/>
        </w:rPr>
      </w:pPr>
    </w:p>
    <w:p w14:paraId="272441D6"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t>OUTCOME AND FOLLOW-UP</w:t>
      </w:r>
    </w:p>
    <w:p w14:paraId="34FE824A" w14:textId="77777777" w:rsidR="0003297E" w:rsidRPr="0003297E" w:rsidRDefault="00070DE6" w:rsidP="004E0B73">
      <w:pPr>
        <w:snapToGrid w:val="0"/>
        <w:spacing w:line="360" w:lineRule="auto"/>
        <w:jc w:val="both"/>
        <w:rPr>
          <w:rFonts w:ascii="Book Antiqua" w:eastAsia="Book Antiqua" w:hAnsi="Book Antiqua" w:cs="Book Antiqua"/>
          <w:i/>
          <w:color w:val="000000"/>
        </w:rPr>
      </w:pPr>
      <w:bookmarkStart w:id="34" w:name="OLE_LINK37"/>
      <w:bookmarkStart w:id="35" w:name="OLE_LINK38"/>
      <w:r w:rsidRPr="0003297E">
        <w:rPr>
          <w:rFonts w:ascii="Book Antiqua" w:eastAsia="Book Antiqua" w:hAnsi="Book Antiqua" w:cs="Book Antiqua"/>
          <w:b/>
          <w:bCs/>
          <w:i/>
          <w:color w:val="000000"/>
        </w:rPr>
        <w:t>Case 1</w:t>
      </w:r>
    </w:p>
    <w:p w14:paraId="22D918AB"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Four months later, he returned to the ER complaining of a small amount of hemoptysis. Angiography revealed complete occlusion of the right CCA due to in-stent thrombosis with collateral vessels to the distal </w:t>
      </w:r>
      <w:r w:rsidR="009E4C46" w:rsidRPr="004E0B73">
        <w:rPr>
          <w:rFonts w:ascii="Book Antiqua" w:eastAsia="Book Antiqua" w:hAnsi="Book Antiqua" w:cs="Book Antiqua"/>
          <w:color w:val="000000"/>
        </w:rPr>
        <w:t>ICA</w:t>
      </w:r>
      <w:r w:rsidRPr="004E0B73">
        <w:rPr>
          <w:rFonts w:ascii="Book Antiqua" w:eastAsia="Book Antiqua" w:hAnsi="Book Antiqua" w:cs="Book Antiqua"/>
          <w:color w:val="000000"/>
        </w:rPr>
        <w:t>. Consequently, we performed embolization with part</w:t>
      </w:r>
      <w:r w:rsidR="00D9056D" w:rsidRPr="004E0B73">
        <w:rPr>
          <w:rFonts w:ascii="Book Antiqua" w:eastAsia="Book Antiqua" w:hAnsi="Book Antiqua" w:cs="Book Antiqua"/>
          <w:color w:val="000000"/>
        </w:rPr>
        <w:t>icle embolic agent (</w:t>
      </w:r>
      <w:proofErr w:type="spellStart"/>
      <w:r w:rsidR="00D9056D" w:rsidRPr="004E0B73">
        <w:rPr>
          <w:rFonts w:ascii="Book Antiqua" w:eastAsia="Book Antiqua" w:hAnsi="Book Antiqua" w:cs="Book Antiqua"/>
          <w:color w:val="000000"/>
        </w:rPr>
        <w:t>Gelfoam</w:t>
      </w:r>
      <w:proofErr w:type="spellEnd"/>
      <w:r w:rsidR="00D9056D" w:rsidRPr="004E0B73">
        <w:rPr>
          <w:rFonts w:ascii="Book Antiqua" w:eastAsia="Book Antiqua" w:hAnsi="Book Antiqua" w:cs="Book Antiqua"/>
          <w:color w:val="000000"/>
        </w:rPr>
        <w:t xml:space="preserve"> 355-</w:t>
      </w:r>
      <w:r w:rsidRPr="004E0B73">
        <w:rPr>
          <w:rFonts w:ascii="Book Antiqua" w:eastAsia="Book Antiqua" w:hAnsi="Book Antiqua" w:cs="Book Antiqua"/>
          <w:color w:val="000000"/>
        </w:rPr>
        <w:t xml:space="preserve">500 µm, Boston Scientific, </w:t>
      </w:r>
      <w:r w:rsidR="009E4C46" w:rsidRPr="004E0B73">
        <w:rPr>
          <w:rFonts w:ascii="Book Antiqua" w:eastAsia="Book Antiqua" w:hAnsi="Book Antiqua" w:cs="Book Antiqua"/>
          <w:color w:val="000000"/>
        </w:rPr>
        <w:t>United States</w:t>
      </w:r>
      <w:r w:rsidRPr="004E0B73">
        <w:rPr>
          <w:rFonts w:ascii="Book Antiqua" w:eastAsia="Book Antiqua" w:hAnsi="Book Antiqua" w:cs="Book Antiqua"/>
          <w:color w:val="000000"/>
        </w:rPr>
        <w:t xml:space="preserve">). However, during a subsequent period of </w:t>
      </w:r>
      <w:r w:rsidR="00D9056D" w:rsidRPr="004E0B73">
        <w:rPr>
          <w:rFonts w:ascii="Book Antiqua" w:eastAsia="Book Antiqua" w:hAnsi="Book Antiqua" w:cs="Book Antiqua"/>
          <w:color w:val="000000"/>
        </w:rPr>
        <w:t>intensive care unit</w:t>
      </w:r>
      <w:r w:rsidRPr="004E0B73">
        <w:rPr>
          <w:rFonts w:ascii="Book Antiqua" w:eastAsia="Book Antiqua" w:hAnsi="Book Antiqua" w:cs="Book Antiqua"/>
          <w:color w:val="000000"/>
        </w:rPr>
        <w:t xml:space="preserve"> care, the patient experienced a repeat massive episode of bleeding and died from hypovolemic shock.</w:t>
      </w:r>
    </w:p>
    <w:p w14:paraId="7D940C0B" w14:textId="77777777" w:rsidR="00A77B3E" w:rsidRPr="004E0B73" w:rsidRDefault="00A77B3E" w:rsidP="004E0B73">
      <w:pPr>
        <w:snapToGrid w:val="0"/>
        <w:spacing w:line="360" w:lineRule="auto"/>
        <w:jc w:val="both"/>
        <w:rPr>
          <w:rFonts w:ascii="Book Antiqua" w:hAnsi="Book Antiqua"/>
        </w:rPr>
      </w:pPr>
    </w:p>
    <w:p w14:paraId="339EFD7B" w14:textId="77777777" w:rsidR="0003297E" w:rsidRPr="0003297E" w:rsidRDefault="00070DE6" w:rsidP="004E0B73">
      <w:pPr>
        <w:snapToGrid w:val="0"/>
        <w:spacing w:line="360" w:lineRule="auto"/>
        <w:jc w:val="both"/>
        <w:rPr>
          <w:rFonts w:ascii="Book Antiqua" w:eastAsia="Book Antiqua" w:hAnsi="Book Antiqua" w:cs="Book Antiqua"/>
          <w:b/>
          <w:bCs/>
          <w:i/>
          <w:color w:val="000000"/>
        </w:rPr>
      </w:pPr>
      <w:r w:rsidRPr="0003297E">
        <w:rPr>
          <w:rFonts w:ascii="Book Antiqua" w:eastAsia="Book Antiqua" w:hAnsi="Book Antiqua" w:cs="Book Antiqua"/>
          <w:b/>
          <w:bCs/>
          <w:i/>
          <w:color w:val="000000"/>
        </w:rPr>
        <w:t>Case 2</w:t>
      </w:r>
    </w:p>
    <w:p w14:paraId="756F185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An MRI of the patient’s brain subsequently revealed multifocal extensive acute infarctions in the area of the right middle cerebral artery and bilateral anterior cerebral arteries. After remaining unconscious for over 29 d, the patient died due to multi-organ failure caused by hypovolemic shock. </w:t>
      </w:r>
    </w:p>
    <w:bookmarkEnd w:id="34"/>
    <w:bookmarkEnd w:id="35"/>
    <w:p w14:paraId="4205DECE" w14:textId="77777777" w:rsidR="00A77B3E" w:rsidRPr="004E0B73" w:rsidRDefault="00A77B3E" w:rsidP="004E0B73">
      <w:pPr>
        <w:snapToGrid w:val="0"/>
        <w:spacing w:line="360" w:lineRule="auto"/>
        <w:ind w:firstLine="120"/>
        <w:jc w:val="both"/>
        <w:rPr>
          <w:rFonts w:ascii="Book Antiqua" w:hAnsi="Book Antiqua"/>
        </w:rPr>
      </w:pPr>
    </w:p>
    <w:p w14:paraId="764161F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lastRenderedPageBreak/>
        <w:t>DISCUSSION</w:t>
      </w:r>
    </w:p>
    <w:p w14:paraId="45585ED4" w14:textId="77777777" w:rsidR="00A77B3E" w:rsidRPr="004E0B73" w:rsidRDefault="00070DE6" w:rsidP="004E0B73">
      <w:pPr>
        <w:snapToGrid w:val="0"/>
        <w:spacing w:line="360" w:lineRule="auto"/>
        <w:jc w:val="both"/>
        <w:rPr>
          <w:rFonts w:ascii="Book Antiqua" w:hAnsi="Book Antiqua"/>
        </w:rPr>
      </w:pPr>
      <w:bookmarkStart w:id="36" w:name="OLE_LINK39"/>
      <w:bookmarkStart w:id="37" w:name="OLE_LINK40"/>
      <w:proofErr w:type="spellStart"/>
      <w:r w:rsidRPr="004E0B73">
        <w:rPr>
          <w:rFonts w:ascii="Book Antiqua" w:eastAsia="Book Antiqua" w:hAnsi="Book Antiqua" w:cs="Book Antiqua"/>
          <w:color w:val="000000"/>
        </w:rPr>
        <w:t>Pseudoaneurysmal</w:t>
      </w:r>
      <w:proofErr w:type="spellEnd"/>
      <w:r w:rsidRPr="004E0B73">
        <w:rPr>
          <w:rFonts w:ascii="Book Antiqua" w:eastAsia="Book Antiqua" w:hAnsi="Book Antiqua" w:cs="Book Antiqua"/>
          <w:color w:val="000000"/>
        </w:rPr>
        <w:t xml:space="preserve"> rupture of the carotid artery (carotid blow-out syndrome, CBS) is a rare but devastating complication in patients with head and neck cancer. CBS generally occurs as a postoperative complication, or when a tumor compromises the vascular </w:t>
      </w:r>
      <w:proofErr w:type="gramStart"/>
      <w:r w:rsidRPr="004E0B73">
        <w:rPr>
          <w:rFonts w:ascii="Book Antiqua" w:eastAsia="Book Antiqua" w:hAnsi="Book Antiqua" w:cs="Book Antiqua"/>
          <w:color w:val="000000"/>
        </w:rPr>
        <w:t>axis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w:t>
      </w:r>
      <w:r w:rsidRPr="004E0B73">
        <w:rPr>
          <w:rFonts w:ascii="Book Antiqua" w:eastAsia="Book Antiqua" w:hAnsi="Book Antiqua" w:cs="Book Antiqua"/>
          <w:color w:val="000000"/>
        </w:rPr>
        <w:t>. The overall incidence of pseudoaneurysm in the carotid artery has been reported to range from 3% to 4.5</w:t>
      </w:r>
      <w:proofErr w:type="gramStart"/>
      <w:r w:rsidRPr="004E0B73">
        <w:rPr>
          <w:rFonts w:ascii="Book Antiqua" w:eastAsia="Book Antiqua" w:hAnsi="Book Antiqua" w:cs="Book Antiqua"/>
          <w:color w:val="000000"/>
        </w:rPr>
        <w:t>%</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w:t>
      </w:r>
    </w:p>
    <w:p w14:paraId="6A3ACF0B"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CBS has been categorized into three severity </w:t>
      </w:r>
      <w:proofErr w:type="gramStart"/>
      <w:r w:rsidRPr="004E0B73">
        <w:rPr>
          <w:rFonts w:ascii="Book Antiqua" w:eastAsia="Book Antiqua" w:hAnsi="Book Antiqua" w:cs="Book Antiqua"/>
          <w:color w:val="000000"/>
        </w:rPr>
        <w:t>levels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1,2]</w:t>
      </w:r>
      <w:r w:rsidRPr="004E0B73">
        <w:rPr>
          <w:rFonts w:ascii="Book Antiqua" w:eastAsia="Book Antiqua" w:hAnsi="Book Antiqua" w:cs="Book Antiqua"/>
          <w:color w:val="000000"/>
        </w:rPr>
        <w:t xml:space="preserve">. The threatened type (type I) is characterized by carotid artery exposure without active bleeding. Impending blowouts (type II) show mild bleeding episodes that can be resolved temporarily. Type III CBS can cause death rapidly because massive bleeding can occur and may compromise the airway. It is associated with a higher re-bleeding rate than the other types. The two patients described above experienced severe pain in the irradiated area for around 1 year, despite pain management and as yet, no evidence of carotid artery bleeding. However, retrospectively, during the period when the patients complained of persistent severe pain, the pseudoaneurysm of the carotid artery might have been growing without notice. After bleeding occurred, the first patient was rapidly and successfully treated with insertion of a carotid arterial stent and he was alive, even experiencing neurological sequelae from thromboembolism of the stent. However, he died due to re-bleeding. In the second patient, bleeding was hardly controlled, and he finally expired because of sequelae of massive bleeding. </w:t>
      </w:r>
    </w:p>
    <w:p w14:paraId="6D25C5A4"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The risk factors for CBS include healing problems with wound dehiscence, cutaneous flap necrosis or </w:t>
      </w:r>
      <w:proofErr w:type="spellStart"/>
      <w:r w:rsidRPr="004E0B73">
        <w:rPr>
          <w:rFonts w:ascii="Book Antiqua" w:eastAsia="Book Antiqua" w:hAnsi="Book Antiqua" w:cs="Book Antiqua"/>
          <w:color w:val="000000"/>
        </w:rPr>
        <w:t>pharyngocutaneous</w:t>
      </w:r>
      <w:proofErr w:type="spellEnd"/>
      <w:r w:rsidRPr="004E0B73">
        <w:rPr>
          <w:rFonts w:ascii="Book Antiqua" w:eastAsia="Book Antiqua" w:hAnsi="Book Antiqua" w:cs="Book Antiqua"/>
          <w:color w:val="000000"/>
        </w:rPr>
        <w:t xml:space="preserve"> </w:t>
      </w:r>
      <w:proofErr w:type="gramStart"/>
      <w:r w:rsidRPr="004E0B73">
        <w:rPr>
          <w:rFonts w:ascii="Book Antiqua" w:eastAsia="Book Antiqua" w:hAnsi="Book Antiqua" w:cs="Book Antiqua"/>
          <w:color w:val="000000"/>
        </w:rPr>
        <w:t>fistulas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3]</w:t>
      </w:r>
      <w:r w:rsidRPr="004E0B73">
        <w:rPr>
          <w:rFonts w:ascii="Book Antiqua" w:eastAsia="Book Antiqua" w:hAnsi="Book Antiqua" w:cs="Book Antiqua"/>
          <w:color w:val="000000"/>
        </w:rPr>
        <w:t xml:space="preserve">. Other suggested causes include diabetes mellitus, poor nutrition, prolonged corticosteroid use, and uncontrolled </w:t>
      </w:r>
      <w:proofErr w:type="gramStart"/>
      <w:r w:rsidRPr="004E0B73">
        <w:rPr>
          <w:rFonts w:ascii="Book Antiqua" w:eastAsia="Book Antiqua" w:hAnsi="Book Antiqua" w:cs="Book Antiqua"/>
          <w:color w:val="000000"/>
        </w:rPr>
        <w:t>hypertension</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3]</w:t>
      </w:r>
      <w:r w:rsidRPr="004E0B73">
        <w:rPr>
          <w:rFonts w:ascii="Book Antiqua" w:eastAsia="Book Antiqua" w:hAnsi="Book Antiqua" w:cs="Book Antiqua"/>
          <w:color w:val="000000"/>
        </w:rPr>
        <w:t>. Previous irradiation also increases the CBS risk seven-</w:t>
      </w:r>
      <w:proofErr w:type="gramStart"/>
      <w:r w:rsidRPr="004E0B73">
        <w:rPr>
          <w:rFonts w:ascii="Book Antiqua" w:eastAsia="Book Antiqua" w:hAnsi="Book Antiqua" w:cs="Book Antiqua"/>
          <w:color w:val="000000"/>
        </w:rPr>
        <w:t>fold</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4]</w:t>
      </w:r>
      <w:r w:rsidRPr="004E0B73">
        <w:rPr>
          <w:rFonts w:ascii="Book Antiqua" w:eastAsia="Book Antiqua" w:hAnsi="Book Antiqua" w:cs="Book Antiqua"/>
          <w:color w:val="000000"/>
        </w:rPr>
        <w:t xml:space="preserve">. Vascular changes after radiotherapy induce premature atherosclerosis with stenosis, and adventitial fibrosis, with resulting arterial wall </w:t>
      </w:r>
      <w:proofErr w:type="gramStart"/>
      <w:r w:rsidRPr="004E0B73">
        <w:rPr>
          <w:rFonts w:ascii="Book Antiqua" w:eastAsia="Book Antiqua" w:hAnsi="Book Antiqua" w:cs="Book Antiqua"/>
          <w:color w:val="000000"/>
        </w:rPr>
        <w:t>weakening</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These post-radiogenic changes might have led to the subsequent devastating pain resulting from the developing pseudoaneurysm in our patients. </w:t>
      </w:r>
      <w:r w:rsidRPr="004E0B73">
        <w:rPr>
          <w:rFonts w:ascii="Book Antiqua" w:eastAsia="Book Antiqua" w:hAnsi="Book Antiqua" w:cs="Book Antiqua"/>
          <w:color w:val="000000"/>
        </w:rPr>
        <w:lastRenderedPageBreak/>
        <w:t xml:space="preserve">Actually, before bleeding occurred, both patients had complained of severe neck pain. The second patient subsequently presented with an ulcer on the posterior tongue, hard palate, and oropharyngeal posterior wall without evidence of recurrence of cancer. </w:t>
      </w:r>
    </w:p>
    <w:p w14:paraId="5D1C0CF4"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CBS was a rare event during the 3-D conformal radiotherapy era and was also reported rarely after the development of new radiation techniques such as</w:t>
      </w:r>
      <w:r w:rsidR="00D9056D" w:rsidRPr="004E0B73">
        <w:rPr>
          <w:rFonts w:ascii="Book Antiqua" w:hAnsi="Book Antiqua"/>
        </w:rPr>
        <w:t xml:space="preserve"> </w:t>
      </w:r>
      <w:r w:rsidR="00D9056D" w:rsidRPr="004E0B73">
        <w:rPr>
          <w:rFonts w:ascii="Book Antiqua" w:eastAsia="Book Antiqua" w:hAnsi="Book Antiqua" w:cs="Book Antiqua"/>
          <w:color w:val="000000"/>
        </w:rPr>
        <w:t>Intensity Modulated Radiation Therapy (</w:t>
      </w:r>
      <w:r w:rsidRPr="004E0B73">
        <w:rPr>
          <w:rFonts w:ascii="Book Antiqua" w:eastAsia="Book Antiqua" w:hAnsi="Book Antiqua" w:cs="Book Antiqua"/>
          <w:color w:val="000000"/>
        </w:rPr>
        <w:t>IMRT</w:t>
      </w:r>
      <w:r w:rsidR="00D9056D" w:rsidRPr="004E0B73">
        <w:rPr>
          <w:rFonts w:ascii="Book Antiqua" w:eastAsia="Book Antiqua" w:hAnsi="Book Antiqua" w:cs="Book Antiqua"/>
          <w:color w:val="000000"/>
        </w:rPr>
        <w:t>)</w:t>
      </w:r>
      <w:r w:rsidRPr="004E0B73">
        <w:rPr>
          <w:rFonts w:ascii="Book Antiqua" w:eastAsia="Book Antiqua" w:hAnsi="Book Antiqua" w:cs="Book Antiqua"/>
          <w:color w:val="000000"/>
        </w:rPr>
        <w:t xml:space="preserve">. Theoretically, IMRT can reduce the risk of radiation-induced complications by reducing the radiation dose absorbed by adjacent organs. However, some cases of CBS have been reported following IMRT with dose escalation. For example, </w:t>
      </w:r>
      <w:proofErr w:type="spellStart"/>
      <w:r w:rsidRPr="004E0B73">
        <w:rPr>
          <w:rFonts w:ascii="Book Antiqua" w:eastAsia="Book Antiqua" w:hAnsi="Book Antiqua" w:cs="Book Antiqua"/>
          <w:color w:val="000000"/>
        </w:rPr>
        <w:t>Kwong</w:t>
      </w:r>
      <w:proofErr w:type="spellEnd"/>
      <w:r w:rsidRPr="004E0B73">
        <w:rPr>
          <w:rFonts w:ascii="Book Antiqua" w:eastAsia="Book Antiqua" w:hAnsi="Book Antiqua" w:cs="Book Antiqua"/>
          <w:color w:val="000000"/>
        </w:rPr>
        <w:t xml:space="preserve"> </w:t>
      </w:r>
      <w:r w:rsidRPr="004E0B73">
        <w:rPr>
          <w:rFonts w:ascii="Book Antiqua" w:eastAsia="Book Antiqua" w:hAnsi="Book Antiqua" w:cs="Book Antiqua"/>
          <w:i/>
          <w:iCs/>
          <w:color w:val="000000"/>
        </w:rPr>
        <w:t xml:space="preserve">et </w:t>
      </w:r>
      <w:proofErr w:type="gramStart"/>
      <w:r w:rsidRPr="004E0B73">
        <w:rPr>
          <w:rFonts w:ascii="Book Antiqua" w:eastAsia="Book Antiqua" w:hAnsi="Book Antiqua" w:cs="Book Antiqua"/>
          <w:i/>
          <w:iCs/>
          <w:color w:val="000000"/>
        </w:rPr>
        <w:t>al</w:t>
      </w:r>
      <w:r w:rsidR="00D9056D" w:rsidRPr="004E0B73">
        <w:rPr>
          <w:rFonts w:ascii="Book Antiqua" w:eastAsia="Book Antiqua" w:hAnsi="Book Antiqua" w:cs="Book Antiqua"/>
          <w:iCs/>
          <w:color w:val="000000"/>
          <w:vertAlign w:val="superscript"/>
        </w:rPr>
        <w:t>[</w:t>
      </w:r>
      <w:proofErr w:type="gramEnd"/>
      <w:r w:rsidR="00D9056D" w:rsidRPr="004E0B73">
        <w:rPr>
          <w:rFonts w:ascii="Book Antiqua" w:eastAsia="Book Antiqua" w:hAnsi="Book Antiqua" w:cs="Book Antiqua"/>
          <w:iCs/>
          <w:color w:val="000000"/>
          <w:vertAlign w:val="superscript"/>
        </w:rPr>
        <w:t>5]</w:t>
      </w:r>
      <w:r w:rsidRPr="004E0B73">
        <w:rPr>
          <w:rFonts w:ascii="Book Antiqua" w:eastAsia="Book Antiqua" w:hAnsi="Book Antiqua" w:cs="Book Antiqua"/>
          <w:color w:val="000000"/>
          <w:vertAlign w:val="superscript"/>
        </w:rPr>
        <w:t xml:space="preserve"> </w:t>
      </w:r>
      <w:r w:rsidRPr="004E0B73">
        <w:rPr>
          <w:rFonts w:ascii="Book Antiqua" w:eastAsia="Book Antiqua" w:hAnsi="Book Antiqua" w:cs="Book Antiqua"/>
          <w:color w:val="000000"/>
        </w:rPr>
        <w:t xml:space="preserve">reported that dose escalation with IMRT (76 </w:t>
      </w:r>
      <w:proofErr w:type="spellStart"/>
      <w:r w:rsidRPr="004E0B73">
        <w:rPr>
          <w:rFonts w:ascii="Book Antiqua" w:eastAsia="Book Antiqua" w:hAnsi="Book Antiqua" w:cs="Book Antiqua"/>
          <w:color w:val="000000"/>
        </w:rPr>
        <w:t>Gy</w:t>
      </w:r>
      <w:proofErr w:type="spellEnd"/>
      <w:r w:rsidRPr="004E0B73">
        <w:rPr>
          <w:rFonts w:ascii="Book Antiqua" w:eastAsia="Book Antiqua" w:hAnsi="Book Antiqua" w:cs="Book Antiqua"/>
          <w:color w:val="000000"/>
        </w:rPr>
        <w:t>) for treating patients with nasopharyngeal cancer caused the development of pseudoaneurysm in 4% (2 of 50) patients</w:t>
      </w:r>
      <w:r w:rsidRPr="004E0B73">
        <w:rPr>
          <w:rFonts w:ascii="Book Antiqua" w:eastAsia="Book Antiqua" w:hAnsi="Book Antiqua" w:cs="Book Antiqua"/>
          <w:color w:val="000000"/>
          <w:vertAlign w:val="superscript"/>
        </w:rPr>
        <w:t>[5]</w:t>
      </w:r>
      <w:r w:rsidRPr="004E0B73">
        <w:rPr>
          <w:rFonts w:ascii="Book Antiqua" w:eastAsia="Book Antiqua" w:hAnsi="Book Antiqua" w:cs="Book Antiqua"/>
          <w:color w:val="000000"/>
        </w:rPr>
        <w:t xml:space="preserve">. Both patients presented with sudden onset of profuse bleeding around 7 </w:t>
      </w:r>
      <w:proofErr w:type="spellStart"/>
      <w:r w:rsidRPr="004E0B73">
        <w:rPr>
          <w:rFonts w:ascii="Book Antiqua" w:eastAsia="Book Antiqua" w:hAnsi="Book Antiqua" w:cs="Book Antiqua"/>
          <w:color w:val="000000"/>
        </w:rPr>
        <w:t>mo</w:t>
      </w:r>
      <w:proofErr w:type="spellEnd"/>
      <w:r w:rsidRPr="004E0B73">
        <w:rPr>
          <w:rFonts w:ascii="Book Antiqua" w:eastAsia="Book Antiqua" w:hAnsi="Book Antiqua" w:cs="Book Antiqua"/>
          <w:color w:val="000000"/>
        </w:rPr>
        <w:t xml:space="preserve"> after treatment. Similarly, our patients also received IMRT with dose escalations up to 74.25 </w:t>
      </w:r>
      <w:proofErr w:type="spellStart"/>
      <w:r w:rsidRPr="004E0B73">
        <w:rPr>
          <w:rFonts w:ascii="Book Antiqua" w:eastAsia="Book Antiqua" w:hAnsi="Book Antiqua" w:cs="Book Antiqua"/>
          <w:color w:val="000000"/>
        </w:rPr>
        <w:t>Gy</w:t>
      </w:r>
      <w:proofErr w:type="spellEnd"/>
      <w:r w:rsidRPr="004E0B73">
        <w:rPr>
          <w:rFonts w:ascii="Book Antiqua" w:eastAsia="Book Antiqua" w:hAnsi="Book Antiqua" w:cs="Book Antiqua"/>
          <w:color w:val="000000"/>
        </w:rPr>
        <w:t xml:space="preserve"> to the gross primary and nodal tumor. In cases of re-irradiation, CBS is reported more frequently, with 5.3% occurrence rate in patients receiving re-irradiation using 5 fraction stereotactic body radiation </w:t>
      </w:r>
      <w:proofErr w:type="gramStart"/>
      <w:r w:rsidRPr="004E0B73">
        <w:rPr>
          <w:rFonts w:ascii="Book Antiqua" w:eastAsia="Book Antiqua" w:hAnsi="Book Antiqua" w:cs="Book Antiqua"/>
          <w:color w:val="000000"/>
        </w:rPr>
        <w:t>therapy</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6]</w:t>
      </w:r>
      <w:r w:rsidRPr="004E0B73">
        <w:rPr>
          <w:rFonts w:ascii="Book Antiqua" w:eastAsia="Book Antiqua" w:hAnsi="Book Antiqua" w:cs="Book Antiqua"/>
          <w:color w:val="000000"/>
        </w:rPr>
        <w:t>.</w:t>
      </w:r>
    </w:p>
    <w:p w14:paraId="1829C788"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Angiography is the best method for diagnosis and treatment of </w:t>
      </w:r>
      <w:proofErr w:type="gramStart"/>
      <w:r w:rsidRPr="004E0B73">
        <w:rPr>
          <w:rFonts w:ascii="Book Antiqua" w:eastAsia="Book Antiqua" w:hAnsi="Book Antiqua" w:cs="Book Antiqua"/>
          <w:color w:val="000000"/>
        </w:rPr>
        <w:t>CBS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7]</w:t>
      </w:r>
      <w:r w:rsidRPr="004E0B73">
        <w:rPr>
          <w:rFonts w:ascii="Book Antiqua" w:eastAsia="Book Antiqua" w:hAnsi="Book Antiqua" w:cs="Book Antiqua"/>
          <w:color w:val="000000"/>
        </w:rPr>
        <w:t xml:space="preserve">. Endovascular techniques offer an efficient alternative to the classical surgical approach, and with much lower morbidity rates. However, the reported clinical outcomes of endovascular procedures have still been devastating. Mean postprocedural survival time was 10 </w:t>
      </w:r>
      <w:proofErr w:type="spellStart"/>
      <w:r w:rsidRPr="004E0B73">
        <w:rPr>
          <w:rFonts w:ascii="Book Antiqua" w:eastAsia="Book Antiqua" w:hAnsi="Book Antiqua" w:cs="Book Antiqua"/>
          <w:color w:val="000000"/>
        </w:rPr>
        <w:t>mo</w:t>
      </w:r>
      <w:proofErr w:type="spellEnd"/>
      <w:r w:rsidRPr="004E0B73">
        <w:rPr>
          <w:rFonts w:ascii="Book Antiqua" w:eastAsia="Book Antiqua" w:hAnsi="Book Antiqua" w:cs="Book Antiqua"/>
          <w:color w:val="000000"/>
        </w:rPr>
        <w:t>, and only 39% of patients survived to the time of the final follow-</w:t>
      </w:r>
      <w:proofErr w:type="gramStart"/>
      <w:r w:rsidRPr="004E0B73">
        <w:rPr>
          <w:rFonts w:ascii="Book Antiqua" w:eastAsia="Book Antiqua" w:hAnsi="Book Antiqua" w:cs="Book Antiqua"/>
          <w:color w:val="000000"/>
        </w:rPr>
        <w:t>up</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7]</w:t>
      </w:r>
      <w:r w:rsidRPr="004E0B73">
        <w:rPr>
          <w:rFonts w:ascii="Book Antiqua" w:eastAsia="Book Antiqua" w:hAnsi="Book Antiqua" w:cs="Book Antiqua"/>
          <w:color w:val="000000"/>
        </w:rPr>
        <w:t xml:space="preserve">. In addition, the re-bleeding rate was 27% after treatment. With respect to adverse effects, permanent vessel occlusion results in immediately higher cerebral ischemia, and stenting induces potentially delayed </w:t>
      </w:r>
      <w:proofErr w:type="gramStart"/>
      <w:r w:rsidRPr="004E0B73">
        <w:rPr>
          <w:rFonts w:ascii="Book Antiqua" w:eastAsia="Book Antiqua" w:hAnsi="Book Antiqua" w:cs="Book Antiqua"/>
          <w:color w:val="000000"/>
        </w:rPr>
        <w:t>complications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8,9]</w:t>
      </w:r>
      <w:r w:rsidRPr="004E0B73">
        <w:rPr>
          <w:rFonts w:ascii="Book Antiqua" w:eastAsia="Book Antiqua" w:hAnsi="Book Antiqua" w:cs="Book Antiqua"/>
          <w:color w:val="000000"/>
        </w:rPr>
        <w:t xml:space="preserve">. There are no randomized prospective studies evaluating differences in survival outcomes between coil embolization and stenting. Emergency open surgery is not recommended due to the poor outcomes associated with local wound infection, flap necrosis, hemodynamic instability, </w:t>
      </w:r>
      <w:r w:rsidRPr="004E0B73">
        <w:rPr>
          <w:rFonts w:ascii="Book Antiqua" w:eastAsia="Book Antiqua" w:hAnsi="Book Antiqua" w:cs="Book Antiqua"/>
          <w:color w:val="000000"/>
        </w:rPr>
        <w:lastRenderedPageBreak/>
        <w:t xml:space="preserve">global cerebral ischemia and consumptive coagulopathy secondary to extreme blood </w:t>
      </w:r>
      <w:proofErr w:type="gramStart"/>
      <w:r w:rsidRPr="004E0B73">
        <w:rPr>
          <w:rFonts w:ascii="Book Antiqua" w:eastAsia="Book Antiqua" w:hAnsi="Book Antiqua" w:cs="Book Antiqua"/>
          <w:color w:val="000000"/>
        </w:rPr>
        <w:t>loss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The mortality and neurovascular morbidity of CBS patients treated </w:t>
      </w:r>
      <w:r w:rsidRPr="004E0B73">
        <w:rPr>
          <w:rFonts w:ascii="Book Antiqua" w:eastAsia="Book Antiqua" w:hAnsi="Book Antiqua" w:cs="Book Antiqua"/>
          <w:i/>
          <w:color w:val="000000"/>
        </w:rPr>
        <w:t>via</w:t>
      </w:r>
      <w:r w:rsidRPr="004E0B73">
        <w:rPr>
          <w:rFonts w:ascii="Book Antiqua" w:eastAsia="Book Antiqua" w:hAnsi="Book Antiqua" w:cs="Book Antiqua"/>
          <w:color w:val="000000"/>
        </w:rPr>
        <w:t xml:space="preserve"> an open surgical approach can be as high as 40% and 60% </w:t>
      </w:r>
      <w:proofErr w:type="gramStart"/>
      <w:r w:rsidRPr="004E0B73">
        <w:rPr>
          <w:rFonts w:ascii="Book Antiqua" w:eastAsia="Book Antiqua" w:hAnsi="Book Antiqua" w:cs="Book Antiqua"/>
          <w:color w:val="000000"/>
        </w:rPr>
        <w:t>respectively</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1,10]</w:t>
      </w:r>
      <w:r w:rsidRPr="004E0B73">
        <w:rPr>
          <w:rFonts w:ascii="Book Antiqua" w:eastAsia="Book Antiqua" w:hAnsi="Book Antiqua" w:cs="Book Antiqua"/>
          <w:color w:val="000000"/>
        </w:rPr>
        <w:t>.</w:t>
      </w:r>
    </w:p>
    <w:p w14:paraId="15D86C8C"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Both patients described in this report manifested CBS at about one year after the completion of CRT. And during that period, they experienced persistent pain on ipsilateral neck area. The time interval between CBS and radiation was reported in the literature to vary from 1 to 20 </w:t>
      </w:r>
      <w:proofErr w:type="gramStart"/>
      <w:r w:rsidRPr="004E0B73">
        <w:rPr>
          <w:rFonts w:ascii="Book Antiqua" w:eastAsia="Book Antiqua" w:hAnsi="Book Antiqua" w:cs="Book Antiqua"/>
          <w:color w:val="000000"/>
        </w:rPr>
        <w:t>years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11]</w:t>
      </w:r>
      <w:r w:rsidRPr="004E0B73">
        <w:rPr>
          <w:rFonts w:ascii="Book Antiqua" w:eastAsia="Book Antiqua" w:hAnsi="Book Antiqua" w:cs="Book Antiqua"/>
          <w:color w:val="000000"/>
        </w:rPr>
        <w:t xml:space="preserve">. Characteristics of previous reports about CBS after radiotherapy are presented in Table 1. There are neither specific tools for the prediction of patients at a high risk for CBS nor tools for the prevention of massive bleeding. Besides, there have not been research evaluating the correlation between CBS occurrence and progressing pain. We suggest that clinicians should have a high index of suspicion of CBS in patients who, after completion of CCRT, develop unexplainable pain in the regions around the carotid arteries. If signs of acute bleeding are present, clinicians should establish an airway </w:t>
      </w:r>
      <w:r w:rsidRPr="004E0B73">
        <w:rPr>
          <w:rFonts w:ascii="Book Antiqua" w:eastAsia="Book Antiqua" w:hAnsi="Book Antiqua" w:cs="Book Antiqua"/>
          <w:i/>
          <w:color w:val="000000"/>
        </w:rPr>
        <w:t>via</w:t>
      </w:r>
      <w:r w:rsidRPr="004E0B73">
        <w:rPr>
          <w:rFonts w:ascii="Book Antiqua" w:eastAsia="Book Antiqua" w:hAnsi="Book Antiqua" w:cs="Book Antiqua"/>
          <w:color w:val="000000"/>
        </w:rPr>
        <w:t xml:space="preserve"> emergency tracheotomy or oral intubation. Following airway management, clinicians must establish large-bore intravenous access to facilitate rapid volume resuscitation. Then, emergency angiography should be considered to confirm the diagnosis and decide upon the appropriate course of intervention. Within our knowledge, this is the first case report describing the relevance between persistent pain on the irradiated region and CBS occurrence in patients with head and neck cancer. </w:t>
      </w:r>
    </w:p>
    <w:bookmarkEnd w:id="36"/>
    <w:bookmarkEnd w:id="37"/>
    <w:p w14:paraId="2AC8FCEB" w14:textId="77777777" w:rsidR="00A77B3E" w:rsidRPr="004E0B73" w:rsidRDefault="00A77B3E" w:rsidP="004E0B73">
      <w:pPr>
        <w:snapToGrid w:val="0"/>
        <w:spacing w:line="360" w:lineRule="auto"/>
        <w:ind w:firstLine="240"/>
        <w:jc w:val="both"/>
        <w:rPr>
          <w:rFonts w:ascii="Book Antiqua" w:hAnsi="Book Antiqua"/>
        </w:rPr>
      </w:pPr>
    </w:p>
    <w:p w14:paraId="7B9B96D7"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aps/>
          <w:color w:val="000000"/>
          <w:u w:val="single"/>
        </w:rPr>
        <w:t>CONCLUSION</w:t>
      </w:r>
    </w:p>
    <w:p w14:paraId="1AF69D49" w14:textId="77777777" w:rsidR="00A77B3E" w:rsidRPr="004E0B73" w:rsidRDefault="00070DE6" w:rsidP="004E0B73">
      <w:pPr>
        <w:snapToGrid w:val="0"/>
        <w:spacing w:line="360" w:lineRule="auto"/>
        <w:jc w:val="both"/>
        <w:rPr>
          <w:rFonts w:ascii="Book Antiqua" w:hAnsi="Book Antiqua"/>
        </w:rPr>
      </w:pPr>
      <w:bookmarkStart w:id="38" w:name="OLE_LINK41"/>
      <w:bookmarkStart w:id="39" w:name="OLE_LINK42"/>
      <w:proofErr w:type="spellStart"/>
      <w:r w:rsidRPr="004E0B73">
        <w:rPr>
          <w:rFonts w:ascii="Book Antiqua" w:eastAsia="Book Antiqua" w:hAnsi="Book Antiqua" w:cs="Book Antiqua"/>
          <w:color w:val="000000"/>
        </w:rPr>
        <w:t>Pseudoaneurysmal</w:t>
      </w:r>
      <w:proofErr w:type="spellEnd"/>
      <w:r w:rsidRPr="004E0B73">
        <w:rPr>
          <w:rFonts w:ascii="Book Antiqua" w:eastAsia="Book Antiqua" w:hAnsi="Book Antiqua" w:cs="Book Antiqua"/>
          <w:color w:val="000000"/>
        </w:rPr>
        <w:t xml:space="preserve"> rupture of the carotid artery (CBS) is a rare but devastating complication in patients with head and neck cancer. CBS generally occurs as a postoperative complication, or when a tumor compromises the vascular </w:t>
      </w:r>
      <w:proofErr w:type="gramStart"/>
      <w:r w:rsidRPr="004E0B73">
        <w:rPr>
          <w:rFonts w:ascii="Book Antiqua" w:eastAsia="Book Antiqua" w:hAnsi="Book Antiqua" w:cs="Book Antiqua"/>
          <w:color w:val="000000"/>
        </w:rPr>
        <w:t>axis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w:t>
      </w:r>
      <w:r w:rsidRPr="004E0B73">
        <w:rPr>
          <w:rFonts w:ascii="Book Antiqua" w:eastAsia="Book Antiqua" w:hAnsi="Book Antiqua" w:cs="Book Antiqua"/>
          <w:color w:val="000000"/>
        </w:rPr>
        <w:t>. The overall incidence of pseudoaneurysm in the carotid artery has been reported to range from 3% to 4.5</w:t>
      </w:r>
      <w:proofErr w:type="gramStart"/>
      <w:r w:rsidRPr="004E0B73">
        <w:rPr>
          <w:rFonts w:ascii="Book Antiqua" w:eastAsia="Book Antiqua" w:hAnsi="Book Antiqua" w:cs="Book Antiqua"/>
          <w:color w:val="000000"/>
        </w:rPr>
        <w:t>%</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w:t>
      </w:r>
    </w:p>
    <w:p w14:paraId="01FCB1A5"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lastRenderedPageBreak/>
        <w:t xml:space="preserve">CBS has been categorized into three severity </w:t>
      </w:r>
      <w:proofErr w:type="gramStart"/>
      <w:r w:rsidRPr="004E0B73">
        <w:rPr>
          <w:rFonts w:ascii="Book Antiqua" w:eastAsia="Book Antiqua" w:hAnsi="Book Antiqua" w:cs="Book Antiqua"/>
          <w:color w:val="000000"/>
        </w:rPr>
        <w:t>levels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1,2]</w:t>
      </w:r>
      <w:r w:rsidRPr="004E0B73">
        <w:rPr>
          <w:rFonts w:ascii="Book Antiqua" w:eastAsia="Book Antiqua" w:hAnsi="Book Antiqua" w:cs="Book Antiqua"/>
          <w:color w:val="000000"/>
        </w:rPr>
        <w:t xml:space="preserve">. The threatened type (type I) is characterized by carotid artery exposure without active bleeding. Impending blowouts (type II) show mild bleeding episodes that can be resolved temporarily. Type III CBS can cause death rapidly because massive bleeding can occur and may compromise the airway. It is associated with a higher re-bleeding rate than the other types. The two patients described above experienced severe pain in the irradiated area for around 1 year, despite pain management and as yet, no evidence of carotid artery bleeding. However, retrospectively, during the period when the patients complained of persistent severe pain, the pseudoaneurysm of the carotid artery might have been growing without notice. After bleeding occurred, the first patient was rapidly and successfully treated with insertion of a carotid arterial stent and he was alive, even experiencing neurological sequelae from thromboembolism of the stent. However, he died due to re-bleeding. In the second patient, bleeding was hardly controlled, and he finally expired because of sequelae of massive bleeding. </w:t>
      </w:r>
    </w:p>
    <w:p w14:paraId="5637BC4A"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The risk factors for CBS include healing problems with wound dehiscence, cutaneous flap necrosis or </w:t>
      </w:r>
      <w:proofErr w:type="spellStart"/>
      <w:r w:rsidRPr="004E0B73">
        <w:rPr>
          <w:rFonts w:ascii="Book Antiqua" w:eastAsia="Book Antiqua" w:hAnsi="Book Antiqua" w:cs="Book Antiqua"/>
          <w:color w:val="000000"/>
        </w:rPr>
        <w:t>pharyngocutaneous</w:t>
      </w:r>
      <w:proofErr w:type="spellEnd"/>
      <w:r w:rsidRPr="004E0B73">
        <w:rPr>
          <w:rFonts w:ascii="Book Antiqua" w:eastAsia="Book Antiqua" w:hAnsi="Book Antiqua" w:cs="Book Antiqua"/>
          <w:color w:val="000000"/>
        </w:rPr>
        <w:t xml:space="preserve"> </w:t>
      </w:r>
      <w:proofErr w:type="gramStart"/>
      <w:r w:rsidRPr="004E0B73">
        <w:rPr>
          <w:rFonts w:ascii="Book Antiqua" w:eastAsia="Book Antiqua" w:hAnsi="Book Antiqua" w:cs="Book Antiqua"/>
          <w:color w:val="000000"/>
        </w:rPr>
        <w:t>fistulas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3]</w:t>
      </w:r>
      <w:r w:rsidRPr="004E0B73">
        <w:rPr>
          <w:rFonts w:ascii="Book Antiqua" w:eastAsia="Book Antiqua" w:hAnsi="Book Antiqua" w:cs="Book Antiqua"/>
          <w:color w:val="000000"/>
        </w:rPr>
        <w:t xml:space="preserve">. Other suggested causes include diabetes mellitus, poor nutrition, prolonged corticosteroid use, and uncontrolled </w:t>
      </w:r>
      <w:proofErr w:type="gramStart"/>
      <w:r w:rsidRPr="004E0B73">
        <w:rPr>
          <w:rFonts w:ascii="Book Antiqua" w:eastAsia="Book Antiqua" w:hAnsi="Book Antiqua" w:cs="Book Antiqua"/>
          <w:color w:val="000000"/>
        </w:rPr>
        <w:t>hypertension</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3]</w:t>
      </w:r>
      <w:r w:rsidRPr="004E0B73">
        <w:rPr>
          <w:rFonts w:ascii="Book Antiqua" w:eastAsia="Book Antiqua" w:hAnsi="Book Antiqua" w:cs="Book Antiqua"/>
          <w:color w:val="000000"/>
        </w:rPr>
        <w:t>. Previous irradiation also increases the CBS risk seven-</w:t>
      </w:r>
      <w:proofErr w:type="gramStart"/>
      <w:r w:rsidRPr="004E0B73">
        <w:rPr>
          <w:rFonts w:ascii="Book Antiqua" w:eastAsia="Book Antiqua" w:hAnsi="Book Antiqua" w:cs="Book Antiqua"/>
          <w:color w:val="000000"/>
        </w:rPr>
        <w:t>fold</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4]</w:t>
      </w:r>
      <w:r w:rsidRPr="004E0B73">
        <w:rPr>
          <w:rFonts w:ascii="Book Antiqua" w:eastAsia="Book Antiqua" w:hAnsi="Book Antiqua" w:cs="Book Antiqua"/>
          <w:color w:val="000000"/>
        </w:rPr>
        <w:t xml:space="preserve">. Vascular changes after radiotherapy induce premature atherosclerosis with stenosis, and adventitial fibrosis, with resulting arterial wall </w:t>
      </w:r>
      <w:proofErr w:type="gramStart"/>
      <w:r w:rsidRPr="004E0B73">
        <w:rPr>
          <w:rFonts w:ascii="Book Antiqua" w:eastAsia="Book Antiqua" w:hAnsi="Book Antiqua" w:cs="Book Antiqua"/>
          <w:color w:val="000000"/>
        </w:rPr>
        <w:t>weakening</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These post-radiogenic changes might have led to the subsequent devastating pain resulting from the developing pseudoaneurysm in our patients. Actually, before bleeding occurred, both patients had complained of severe neck pain. The second patient subsequently presented with an ulcer on the posterior tongue, hard palate, and oropharyngeal posterior wall without evidence of recurrence of cancer. </w:t>
      </w:r>
    </w:p>
    <w:p w14:paraId="333F4950"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CBS was a rare event during the 3-D conformal radiotherapy era and was also reported rarely after the development of new radiation techniques such as IMRT. </w:t>
      </w:r>
      <w:r w:rsidRPr="004E0B73">
        <w:rPr>
          <w:rFonts w:ascii="Book Antiqua" w:eastAsia="Book Antiqua" w:hAnsi="Book Antiqua" w:cs="Book Antiqua"/>
          <w:color w:val="000000"/>
        </w:rPr>
        <w:lastRenderedPageBreak/>
        <w:t xml:space="preserve">Theoretically, IMRT can reduce the risk of radiation-induced complications by reducing the radiation dose absorbed by adjacent organs. However, some cases of CBS have been reported following IMRT with dose escalation. For example, </w:t>
      </w:r>
      <w:proofErr w:type="spellStart"/>
      <w:r w:rsidRPr="004E0B73">
        <w:rPr>
          <w:rFonts w:ascii="Book Antiqua" w:eastAsia="Book Antiqua" w:hAnsi="Book Antiqua" w:cs="Book Antiqua"/>
          <w:color w:val="000000"/>
        </w:rPr>
        <w:t>Kwong</w:t>
      </w:r>
      <w:proofErr w:type="spellEnd"/>
      <w:r w:rsidRPr="004E0B73">
        <w:rPr>
          <w:rFonts w:ascii="Book Antiqua" w:eastAsia="Book Antiqua" w:hAnsi="Book Antiqua" w:cs="Book Antiqua"/>
          <w:color w:val="000000"/>
        </w:rPr>
        <w:t xml:space="preserve"> </w:t>
      </w:r>
      <w:r w:rsidRPr="004E0B73">
        <w:rPr>
          <w:rFonts w:ascii="Book Antiqua" w:eastAsia="Book Antiqua" w:hAnsi="Book Antiqua" w:cs="Book Antiqua"/>
          <w:i/>
          <w:iCs/>
          <w:color w:val="000000"/>
        </w:rPr>
        <w:t xml:space="preserve">et </w:t>
      </w:r>
      <w:proofErr w:type="gramStart"/>
      <w:r w:rsidRPr="004E0B73">
        <w:rPr>
          <w:rFonts w:ascii="Book Antiqua" w:eastAsia="Book Antiqua" w:hAnsi="Book Antiqua" w:cs="Book Antiqua"/>
          <w:i/>
          <w:iCs/>
          <w:color w:val="000000"/>
        </w:rPr>
        <w:t>al</w:t>
      </w:r>
      <w:r w:rsidR="00D9056D" w:rsidRPr="004E0B73">
        <w:rPr>
          <w:rFonts w:ascii="Book Antiqua" w:eastAsia="Book Antiqua" w:hAnsi="Book Antiqua" w:cs="Book Antiqua"/>
          <w:iCs/>
          <w:color w:val="000000"/>
          <w:vertAlign w:val="superscript"/>
        </w:rPr>
        <w:t>[</w:t>
      </w:r>
      <w:proofErr w:type="gramEnd"/>
      <w:r w:rsidR="00D9056D" w:rsidRPr="004E0B73">
        <w:rPr>
          <w:rFonts w:ascii="Book Antiqua" w:eastAsia="Book Antiqua" w:hAnsi="Book Antiqua" w:cs="Book Antiqua"/>
          <w:iCs/>
          <w:color w:val="000000"/>
          <w:vertAlign w:val="superscript"/>
        </w:rPr>
        <w:t>5]</w:t>
      </w:r>
      <w:r w:rsidRPr="004E0B73">
        <w:rPr>
          <w:rFonts w:ascii="Book Antiqua" w:eastAsia="Book Antiqua" w:hAnsi="Book Antiqua" w:cs="Book Antiqua"/>
          <w:color w:val="000000"/>
        </w:rPr>
        <w:t xml:space="preserve"> reported that dose escalation with IMRT (76 </w:t>
      </w:r>
      <w:proofErr w:type="spellStart"/>
      <w:r w:rsidRPr="004E0B73">
        <w:rPr>
          <w:rFonts w:ascii="Book Antiqua" w:eastAsia="Book Antiqua" w:hAnsi="Book Antiqua" w:cs="Book Antiqua"/>
          <w:color w:val="000000"/>
        </w:rPr>
        <w:t>Gy</w:t>
      </w:r>
      <w:proofErr w:type="spellEnd"/>
      <w:r w:rsidRPr="004E0B73">
        <w:rPr>
          <w:rFonts w:ascii="Book Antiqua" w:eastAsia="Book Antiqua" w:hAnsi="Book Antiqua" w:cs="Book Antiqua"/>
          <w:color w:val="000000"/>
        </w:rPr>
        <w:t>) for treating patients with nasopharyngeal cancer caused the development of pseudoaneurysm in 4% (2 of 50) patients</w:t>
      </w:r>
      <w:r w:rsidRPr="004E0B73">
        <w:rPr>
          <w:rFonts w:ascii="Book Antiqua" w:eastAsia="Book Antiqua" w:hAnsi="Book Antiqua" w:cs="Book Antiqua"/>
          <w:color w:val="000000"/>
          <w:vertAlign w:val="superscript"/>
        </w:rPr>
        <w:t>[5]</w:t>
      </w:r>
      <w:r w:rsidRPr="004E0B73">
        <w:rPr>
          <w:rFonts w:ascii="Book Antiqua" w:eastAsia="Book Antiqua" w:hAnsi="Book Antiqua" w:cs="Book Antiqua"/>
          <w:color w:val="000000"/>
        </w:rPr>
        <w:t xml:space="preserve">. Both patients presented with sudden onset of profuse bleeding around 7 </w:t>
      </w:r>
      <w:proofErr w:type="spellStart"/>
      <w:r w:rsidRPr="004E0B73">
        <w:rPr>
          <w:rFonts w:ascii="Book Antiqua" w:eastAsia="Book Antiqua" w:hAnsi="Book Antiqua" w:cs="Book Antiqua"/>
          <w:color w:val="000000"/>
        </w:rPr>
        <w:t>mo</w:t>
      </w:r>
      <w:proofErr w:type="spellEnd"/>
      <w:r w:rsidRPr="004E0B73">
        <w:rPr>
          <w:rFonts w:ascii="Book Antiqua" w:eastAsia="Book Antiqua" w:hAnsi="Book Antiqua" w:cs="Book Antiqua"/>
          <w:color w:val="000000"/>
        </w:rPr>
        <w:t xml:space="preserve"> after treatment. Similarly, our patients also received IMRT with dose escalations up to 74.25 </w:t>
      </w:r>
      <w:proofErr w:type="spellStart"/>
      <w:r w:rsidRPr="004E0B73">
        <w:rPr>
          <w:rFonts w:ascii="Book Antiqua" w:eastAsia="Book Antiqua" w:hAnsi="Book Antiqua" w:cs="Book Antiqua"/>
          <w:color w:val="000000"/>
        </w:rPr>
        <w:t>Gy</w:t>
      </w:r>
      <w:proofErr w:type="spellEnd"/>
      <w:r w:rsidRPr="004E0B73">
        <w:rPr>
          <w:rFonts w:ascii="Book Antiqua" w:eastAsia="Book Antiqua" w:hAnsi="Book Antiqua" w:cs="Book Antiqua"/>
          <w:color w:val="000000"/>
        </w:rPr>
        <w:t xml:space="preserve"> to the gross primary and nodal tumor. In cases of re-irradiation, CBS is reported more frequently, with 5.3% occurrence rate in patients receiving re-irradiation using 5 fraction stereotactic body radiation </w:t>
      </w:r>
      <w:proofErr w:type="gramStart"/>
      <w:r w:rsidRPr="004E0B73">
        <w:rPr>
          <w:rFonts w:ascii="Book Antiqua" w:eastAsia="Book Antiqua" w:hAnsi="Book Antiqua" w:cs="Book Antiqua"/>
          <w:color w:val="000000"/>
        </w:rPr>
        <w:t>therapy</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6]</w:t>
      </w:r>
      <w:r w:rsidRPr="004E0B73">
        <w:rPr>
          <w:rFonts w:ascii="Book Antiqua" w:eastAsia="Book Antiqua" w:hAnsi="Book Antiqua" w:cs="Book Antiqua"/>
          <w:color w:val="000000"/>
        </w:rPr>
        <w:t>.</w:t>
      </w:r>
    </w:p>
    <w:p w14:paraId="1DEC5828"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Angiography is the best method for diagnosis and treatment of </w:t>
      </w:r>
      <w:proofErr w:type="gramStart"/>
      <w:r w:rsidRPr="004E0B73">
        <w:rPr>
          <w:rFonts w:ascii="Book Antiqua" w:eastAsia="Book Antiqua" w:hAnsi="Book Antiqua" w:cs="Book Antiqua"/>
          <w:color w:val="000000"/>
        </w:rPr>
        <w:t>CBS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7]</w:t>
      </w:r>
      <w:r w:rsidRPr="004E0B73">
        <w:rPr>
          <w:rFonts w:ascii="Book Antiqua" w:eastAsia="Book Antiqua" w:hAnsi="Book Antiqua" w:cs="Book Antiqua"/>
          <w:color w:val="000000"/>
        </w:rPr>
        <w:t xml:space="preserve">. Endovascular techniques offer an efficient alternative to the classical surgical approach, and with much lower morbidity rates. However, the reported clinical outcomes of endovascular procedures have still been devastating. Mean postprocedural survival time was 10 </w:t>
      </w:r>
      <w:proofErr w:type="spellStart"/>
      <w:r w:rsidRPr="004E0B73">
        <w:rPr>
          <w:rFonts w:ascii="Book Antiqua" w:eastAsia="Book Antiqua" w:hAnsi="Book Antiqua" w:cs="Book Antiqua"/>
          <w:color w:val="000000"/>
        </w:rPr>
        <w:t>mo</w:t>
      </w:r>
      <w:proofErr w:type="spellEnd"/>
      <w:r w:rsidRPr="004E0B73">
        <w:rPr>
          <w:rFonts w:ascii="Book Antiqua" w:eastAsia="Book Antiqua" w:hAnsi="Book Antiqua" w:cs="Book Antiqua"/>
          <w:color w:val="000000"/>
        </w:rPr>
        <w:t>, and only 39% of patients survived to the time of the final follow-</w:t>
      </w:r>
      <w:proofErr w:type="gramStart"/>
      <w:r w:rsidRPr="004E0B73">
        <w:rPr>
          <w:rFonts w:ascii="Book Antiqua" w:eastAsia="Book Antiqua" w:hAnsi="Book Antiqua" w:cs="Book Antiqua"/>
          <w:color w:val="000000"/>
        </w:rPr>
        <w:t>up</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7]</w:t>
      </w:r>
      <w:r w:rsidRPr="004E0B73">
        <w:rPr>
          <w:rFonts w:ascii="Book Antiqua" w:eastAsia="Book Antiqua" w:hAnsi="Book Antiqua" w:cs="Book Antiqua"/>
          <w:color w:val="000000"/>
        </w:rPr>
        <w:t xml:space="preserve">. In addition, the re-bleeding rate was 27% after treatment. With respect to adverse effects, permanent vessel occlusion results in immediately higher cerebral ischemia, and stenting induces potentially delayed </w:t>
      </w:r>
      <w:proofErr w:type="gramStart"/>
      <w:r w:rsidRPr="004E0B73">
        <w:rPr>
          <w:rFonts w:ascii="Book Antiqua" w:eastAsia="Book Antiqua" w:hAnsi="Book Antiqua" w:cs="Book Antiqua"/>
          <w:color w:val="000000"/>
        </w:rPr>
        <w:t>complications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8,9]</w:t>
      </w:r>
      <w:r w:rsidRPr="004E0B73">
        <w:rPr>
          <w:rFonts w:ascii="Book Antiqua" w:eastAsia="Book Antiqua" w:hAnsi="Book Antiqua" w:cs="Book Antiqua"/>
          <w:color w:val="000000"/>
        </w:rPr>
        <w:t xml:space="preserve">. There are no randomized prospective studies evaluating differences in survival outcomes between coil embolization and stenting. Emergency open surgery is not recommended due to the poor outcomes associated with local wound infection, flap necrosis, hemodynamic instability, global cerebral ischemia and consumptive coagulopathy secondary to extreme blood </w:t>
      </w:r>
      <w:proofErr w:type="gramStart"/>
      <w:r w:rsidRPr="004E0B73">
        <w:rPr>
          <w:rFonts w:ascii="Book Antiqua" w:eastAsia="Book Antiqua" w:hAnsi="Book Antiqua" w:cs="Book Antiqua"/>
          <w:color w:val="000000"/>
        </w:rPr>
        <w:t>loss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2]</w:t>
      </w:r>
      <w:r w:rsidRPr="004E0B73">
        <w:rPr>
          <w:rFonts w:ascii="Book Antiqua" w:eastAsia="Book Antiqua" w:hAnsi="Book Antiqua" w:cs="Book Antiqua"/>
          <w:color w:val="000000"/>
        </w:rPr>
        <w:t xml:space="preserve">. The mortality and neurovascular morbidity of CBS patients treated </w:t>
      </w:r>
      <w:r w:rsidRPr="004E0B73">
        <w:rPr>
          <w:rFonts w:ascii="Book Antiqua" w:eastAsia="Book Antiqua" w:hAnsi="Book Antiqua" w:cs="Book Antiqua"/>
          <w:i/>
          <w:color w:val="000000"/>
        </w:rPr>
        <w:t>via</w:t>
      </w:r>
      <w:r w:rsidRPr="004E0B73">
        <w:rPr>
          <w:rFonts w:ascii="Book Antiqua" w:eastAsia="Book Antiqua" w:hAnsi="Book Antiqua" w:cs="Book Antiqua"/>
          <w:color w:val="000000"/>
        </w:rPr>
        <w:t xml:space="preserve"> an open surgical approach can be as high as 40% and 60% </w:t>
      </w:r>
      <w:proofErr w:type="gramStart"/>
      <w:r w:rsidRPr="004E0B73">
        <w:rPr>
          <w:rFonts w:ascii="Book Antiqua" w:eastAsia="Book Antiqua" w:hAnsi="Book Antiqua" w:cs="Book Antiqua"/>
          <w:color w:val="000000"/>
        </w:rPr>
        <w:t>respectively</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1,10]</w:t>
      </w:r>
      <w:r w:rsidRPr="004E0B73">
        <w:rPr>
          <w:rFonts w:ascii="Book Antiqua" w:eastAsia="Book Antiqua" w:hAnsi="Book Antiqua" w:cs="Book Antiqua"/>
          <w:color w:val="000000"/>
        </w:rPr>
        <w:t>.</w:t>
      </w:r>
    </w:p>
    <w:p w14:paraId="0EFEC50F" w14:textId="77777777" w:rsidR="00A77B3E" w:rsidRPr="004E0B73" w:rsidRDefault="00070DE6" w:rsidP="004E0B73">
      <w:pPr>
        <w:snapToGrid w:val="0"/>
        <w:spacing w:line="360" w:lineRule="auto"/>
        <w:ind w:firstLineChars="100" w:firstLine="240"/>
        <w:jc w:val="both"/>
        <w:rPr>
          <w:rFonts w:ascii="Book Antiqua" w:hAnsi="Book Antiqua"/>
        </w:rPr>
      </w:pPr>
      <w:r w:rsidRPr="004E0B73">
        <w:rPr>
          <w:rFonts w:ascii="Book Antiqua" w:eastAsia="Book Antiqua" w:hAnsi="Book Antiqua" w:cs="Book Antiqua"/>
          <w:color w:val="000000"/>
        </w:rPr>
        <w:t xml:space="preserve">Both patients described in this report manifested CBS at about one year after the completion of CRT. And during that period, they experienced persistent pain on ipsilateral neck area. The time interval between CBS and radiation was </w:t>
      </w:r>
      <w:r w:rsidRPr="004E0B73">
        <w:rPr>
          <w:rFonts w:ascii="Book Antiqua" w:eastAsia="Book Antiqua" w:hAnsi="Book Antiqua" w:cs="Book Antiqua"/>
          <w:color w:val="000000"/>
        </w:rPr>
        <w:lastRenderedPageBreak/>
        <w:t xml:space="preserve">reported in the literature to vary from 1 to 20 </w:t>
      </w:r>
      <w:proofErr w:type="gramStart"/>
      <w:r w:rsidRPr="004E0B73">
        <w:rPr>
          <w:rFonts w:ascii="Book Antiqua" w:eastAsia="Book Antiqua" w:hAnsi="Book Antiqua" w:cs="Book Antiqua"/>
          <w:color w:val="000000"/>
        </w:rPr>
        <w:t>years</w:t>
      </w:r>
      <w:r w:rsidRPr="004E0B73">
        <w:rPr>
          <w:rFonts w:ascii="Book Antiqua" w:eastAsia="Book Antiqua" w:hAnsi="Book Antiqua" w:cs="Book Antiqua"/>
          <w:color w:val="000000"/>
          <w:vertAlign w:val="superscript"/>
        </w:rPr>
        <w:t>[</w:t>
      </w:r>
      <w:proofErr w:type="gramEnd"/>
      <w:r w:rsidRPr="004E0B73">
        <w:rPr>
          <w:rFonts w:ascii="Book Antiqua" w:eastAsia="Book Antiqua" w:hAnsi="Book Antiqua" w:cs="Book Antiqua"/>
          <w:color w:val="000000"/>
          <w:vertAlign w:val="superscript"/>
        </w:rPr>
        <w:t>11]</w:t>
      </w:r>
      <w:r w:rsidRPr="004E0B73">
        <w:rPr>
          <w:rFonts w:ascii="Book Antiqua" w:eastAsia="Book Antiqua" w:hAnsi="Book Antiqua" w:cs="Book Antiqua"/>
          <w:color w:val="000000"/>
        </w:rPr>
        <w:t xml:space="preserve">. Characteristics of previous reports about CBS after radiotherapy are presented in Table 1. There are neither specific tools for the prediction of patients at a high risk for CBS nor tools for the prevention of massive bleeding. Besides, there have not been research evaluating the correlation between CBS occurrence and progressing pain. We suggest that clinicians should have a high index of suspicion of CBS in patients who, after completion of CCRT, develop unexplainable pain in the regions around the carotid arteries. If signs of acute bleeding are present, clinicians should establish an airway </w:t>
      </w:r>
      <w:r w:rsidRPr="004E0B73">
        <w:rPr>
          <w:rFonts w:ascii="Book Antiqua" w:eastAsia="Book Antiqua" w:hAnsi="Book Antiqua" w:cs="Book Antiqua"/>
          <w:i/>
          <w:color w:val="000000"/>
        </w:rPr>
        <w:t>via</w:t>
      </w:r>
      <w:r w:rsidRPr="004E0B73">
        <w:rPr>
          <w:rFonts w:ascii="Book Antiqua" w:eastAsia="Book Antiqua" w:hAnsi="Book Antiqua" w:cs="Book Antiqua"/>
          <w:color w:val="000000"/>
        </w:rPr>
        <w:t xml:space="preserve"> emergency tracheotomy or oral intubation. Following airway management, clinicians must establish large-bore intravenous access to facilitate rapid volume resuscitation. Then, emergency angiography should be considered to confirm the diagnosis and decide upon the appropriate course of intervention. Within our knowledge, this is the first case report describing the relevance between persistent pain on the irradiated region and CBS occurrence in patients with head and neck cancer. </w:t>
      </w:r>
    </w:p>
    <w:bookmarkEnd w:id="38"/>
    <w:bookmarkEnd w:id="39"/>
    <w:p w14:paraId="5EDA91B6" w14:textId="77777777" w:rsidR="00A77B3E" w:rsidRPr="004E0B73" w:rsidRDefault="00A77B3E" w:rsidP="004E0B73">
      <w:pPr>
        <w:snapToGrid w:val="0"/>
        <w:spacing w:line="360" w:lineRule="auto"/>
        <w:jc w:val="both"/>
        <w:rPr>
          <w:rFonts w:ascii="Book Antiqua" w:hAnsi="Book Antiqua"/>
        </w:rPr>
      </w:pPr>
    </w:p>
    <w:p w14:paraId="0214D4F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REFERENCES</w:t>
      </w:r>
    </w:p>
    <w:p w14:paraId="743B36D6" w14:textId="77777777" w:rsidR="00A77B3E" w:rsidRPr="004E0B73" w:rsidRDefault="00070DE6" w:rsidP="004E0B73">
      <w:pPr>
        <w:snapToGrid w:val="0"/>
        <w:spacing w:line="360" w:lineRule="auto"/>
        <w:jc w:val="both"/>
        <w:rPr>
          <w:rFonts w:ascii="Book Antiqua" w:hAnsi="Book Antiqua"/>
        </w:rPr>
      </w:pPr>
      <w:bookmarkStart w:id="40" w:name="OLE_LINK3"/>
      <w:bookmarkStart w:id="41" w:name="OLE_LINK4"/>
      <w:r w:rsidRPr="004E0B73">
        <w:rPr>
          <w:rFonts w:ascii="Book Antiqua" w:eastAsia="Book Antiqua" w:hAnsi="Book Antiqua" w:cs="Book Antiqua"/>
          <w:color w:val="000000"/>
        </w:rPr>
        <w:t xml:space="preserve">1 </w:t>
      </w:r>
      <w:proofErr w:type="spellStart"/>
      <w:r w:rsidRPr="004E0B73">
        <w:rPr>
          <w:rFonts w:ascii="Book Antiqua" w:eastAsia="Book Antiqua" w:hAnsi="Book Antiqua" w:cs="Book Antiqua"/>
          <w:b/>
          <w:bCs/>
          <w:color w:val="000000"/>
        </w:rPr>
        <w:t>Esteller</w:t>
      </w:r>
      <w:proofErr w:type="spellEnd"/>
      <w:r w:rsidRPr="004E0B73">
        <w:rPr>
          <w:rFonts w:ascii="Book Antiqua" w:eastAsia="Book Antiqua" w:hAnsi="Book Antiqua" w:cs="Book Antiqua"/>
          <w:b/>
          <w:bCs/>
          <w:color w:val="000000"/>
        </w:rPr>
        <w:t xml:space="preserve"> E</w:t>
      </w:r>
      <w:r w:rsidRPr="004E0B73">
        <w:rPr>
          <w:rFonts w:ascii="Book Antiqua" w:eastAsia="Book Antiqua" w:hAnsi="Book Antiqua" w:cs="Book Antiqua"/>
          <w:color w:val="000000"/>
        </w:rPr>
        <w:t xml:space="preserve">, León X, de Juan M, </w:t>
      </w:r>
      <w:proofErr w:type="spellStart"/>
      <w:r w:rsidRPr="004E0B73">
        <w:rPr>
          <w:rFonts w:ascii="Book Antiqua" w:eastAsia="Book Antiqua" w:hAnsi="Book Antiqua" w:cs="Book Antiqua"/>
          <w:color w:val="000000"/>
        </w:rPr>
        <w:t>Quer</w:t>
      </w:r>
      <w:proofErr w:type="spellEnd"/>
      <w:r w:rsidRPr="004E0B73">
        <w:rPr>
          <w:rFonts w:ascii="Book Antiqua" w:eastAsia="Book Antiqua" w:hAnsi="Book Antiqua" w:cs="Book Antiqua"/>
          <w:color w:val="000000"/>
        </w:rPr>
        <w:t xml:space="preserve"> M. Delayed carotid blow-out syndrome: a new complication of chemoradiotherapy treatment in </w:t>
      </w:r>
      <w:proofErr w:type="spellStart"/>
      <w:r w:rsidRPr="004E0B73">
        <w:rPr>
          <w:rFonts w:ascii="Book Antiqua" w:eastAsia="Book Antiqua" w:hAnsi="Book Antiqua" w:cs="Book Antiqua"/>
          <w:color w:val="000000"/>
        </w:rPr>
        <w:t>pharyngolaryngeal</w:t>
      </w:r>
      <w:proofErr w:type="spellEnd"/>
      <w:r w:rsidRPr="004E0B73">
        <w:rPr>
          <w:rFonts w:ascii="Book Antiqua" w:eastAsia="Book Antiqua" w:hAnsi="Book Antiqua" w:cs="Book Antiqua"/>
          <w:color w:val="000000"/>
        </w:rPr>
        <w:t xml:space="preserve"> carcinoma. </w:t>
      </w:r>
      <w:r w:rsidRPr="004E0B73">
        <w:rPr>
          <w:rFonts w:ascii="Book Antiqua" w:eastAsia="Book Antiqua" w:hAnsi="Book Antiqua" w:cs="Book Antiqua"/>
          <w:i/>
          <w:iCs/>
          <w:color w:val="000000"/>
        </w:rPr>
        <w:t xml:space="preserve">J </w:t>
      </w:r>
      <w:proofErr w:type="spellStart"/>
      <w:r w:rsidRPr="004E0B73">
        <w:rPr>
          <w:rFonts w:ascii="Book Antiqua" w:eastAsia="Book Antiqua" w:hAnsi="Book Antiqua" w:cs="Book Antiqua"/>
          <w:i/>
          <w:iCs/>
          <w:color w:val="000000"/>
        </w:rPr>
        <w:t>Laryngol</w:t>
      </w:r>
      <w:proofErr w:type="spellEnd"/>
      <w:r w:rsidRPr="004E0B73">
        <w:rPr>
          <w:rFonts w:ascii="Book Antiqua" w:eastAsia="Book Antiqua" w:hAnsi="Book Antiqua" w:cs="Book Antiqua"/>
          <w:i/>
          <w:iCs/>
          <w:color w:val="000000"/>
        </w:rPr>
        <w:t xml:space="preserve"> </w:t>
      </w:r>
      <w:proofErr w:type="spellStart"/>
      <w:r w:rsidRPr="004E0B73">
        <w:rPr>
          <w:rFonts w:ascii="Book Antiqua" w:eastAsia="Book Antiqua" w:hAnsi="Book Antiqua" w:cs="Book Antiqua"/>
          <w:i/>
          <w:iCs/>
          <w:color w:val="000000"/>
        </w:rPr>
        <w:t>Otol</w:t>
      </w:r>
      <w:proofErr w:type="spellEnd"/>
      <w:r w:rsidRPr="004E0B73">
        <w:rPr>
          <w:rFonts w:ascii="Book Antiqua" w:eastAsia="Book Antiqua" w:hAnsi="Book Antiqua" w:cs="Book Antiqua"/>
          <w:color w:val="000000"/>
        </w:rPr>
        <w:t xml:space="preserve"> 2012; </w:t>
      </w:r>
      <w:r w:rsidRPr="004E0B73">
        <w:rPr>
          <w:rFonts w:ascii="Book Antiqua" w:eastAsia="Book Antiqua" w:hAnsi="Book Antiqua" w:cs="Book Antiqua"/>
          <w:b/>
          <w:bCs/>
          <w:color w:val="000000"/>
        </w:rPr>
        <w:t>126</w:t>
      </w:r>
      <w:r w:rsidRPr="004E0B73">
        <w:rPr>
          <w:rFonts w:ascii="Book Antiqua" w:eastAsia="Book Antiqua" w:hAnsi="Book Antiqua" w:cs="Book Antiqua"/>
          <w:color w:val="000000"/>
        </w:rPr>
        <w:t>: 1189-1191 [PMID: 22963758 DOI: 10.1017/S0022215112001910]</w:t>
      </w:r>
    </w:p>
    <w:p w14:paraId="1EB39C8B"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2 </w:t>
      </w:r>
      <w:r w:rsidRPr="004E0B73">
        <w:rPr>
          <w:rFonts w:ascii="Book Antiqua" w:eastAsia="Book Antiqua" w:hAnsi="Book Antiqua" w:cs="Book Antiqua"/>
          <w:b/>
          <w:bCs/>
          <w:color w:val="000000"/>
        </w:rPr>
        <w:t>Suárez C</w:t>
      </w:r>
      <w:r w:rsidRPr="004E0B73">
        <w:rPr>
          <w:rFonts w:ascii="Book Antiqua" w:eastAsia="Book Antiqua" w:hAnsi="Book Antiqua" w:cs="Book Antiqua"/>
          <w:color w:val="000000"/>
        </w:rPr>
        <w:t xml:space="preserve">, Fernández-Alvarez V, </w:t>
      </w:r>
      <w:proofErr w:type="spellStart"/>
      <w:r w:rsidRPr="004E0B73">
        <w:rPr>
          <w:rFonts w:ascii="Book Antiqua" w:eastAsia="Book Antiqua" w:hAnsi="Book Antiqua" w:cs="Book Antiqua"/>
          <w:color w:val="000000"/>
        </w:rPr>
        <w:t>Hamoir</w:t>
      </w:r>
      <w:proofErr w:type="spellEnd"/>
      <w:r w:rsidRPr="004E0B73">
        <w:rPr>
          <w:rFonts w:ascii="Book Antiqua" w:eastAsia="Book Antiqua" w:hAnsi="Book Antiqua" w:cs="Book Antiqua"/>
          <w:color w:val="000000"/>
        </w:rPr>
        <w:t xml:space="preserve"> M, Mendenhall WM, </w:t>
      </w:r>
      <w:proofErr w:type="spellStart"/>
      <w:r w:rsidRPr="004E0B73">
        <w:rPr>
          <w:rFonts w:ascii="Book Antiqua" w:eastAsia="Book Antiqua" w:hAnsi="Book Antiqua" w:cs="Book Antiqua"/>
          <w:color w:val="000000"/>
        </w:rPr>
        <w:t>Strojan</w:t>
      </w:r>
      <w:proofErr w:type="spellEnd"/>
      <w:r w:rsidRPr="004E0B73">
        <w:rPr>
          <w:rFonts w:ascii="Book Antiqua" w:eastAsia="Book Antiqua" w:hAnsi="Book Antiqua" w:cs="Book Antiqua"/>
          <w:color w:val="000000"/>
        </w:rPr>
        <w:t xml:space="preserve"> P, </w:t>
      </w:r>
      <w:proofErr w:type="spellStart"/>
      <w:r w:rsidRPr="004E0B73">
        <w:rPr>
          <w:rFonts w:ascii="Book Antiqua" w:eastAsia="Book Antiqua" w:hAnsi="Book Antiqua" w:cs="Book Antiqua"/>
          <w:color w:val="000000"/>
        </w:rPr>
        <w:t>Quer</w:t>
      </w:r>
      <w:proofErr w:type="spellEnd"/>
      <w:r w:rsidRPr="004E0B73">
        <w:rPr>
          <w:rFonts w:ascii="Book Antiqua" w:eastAsia="Book Antiqua" w:hAnsi="Book Antiqua" w:cs="Book Antiqua"/>
          <w:color w:val="000000"/>
        </w:rPr>
        <w:t xml:space="preserve"> M, Silver CE, Rodrigo JP, Rinaldo A, </w:t>
      </w:r>
      <w:proofErr w:type="spellStart"/>
      <w:r w:rsidRPr="004E0B73">
        <w:rPr>
          <w:rFonts w:ascii="Book Antiqua" w:eastAsia="Book Antiqua" w:hAnsi="Book Antiqua" w:cs="Book Antiqua"/>
          <w:color w:val="000000"/>
        </w:rPr>
        <w:t>Ferlito</w:t>
      </w:r>
      <w:proofErr w:type="spellEnd"/>
      <w:r w:rsidRPr="004E0B73">
        <w:rPr>
          <w:rFonts w:ascii="Book Antiqua" w:eastAsia="Book Antiqua" w:hAnsi="Book Antiqua" w:cs="Book Antiqua"/>
          <w:color w:val="000000"/>
        </w:rPr>
        <w:t xml:space="preserve"> A. Carotid blowout syndrome: modern trends in management. </w:t>
      </w:r>
      <w:r w:rsidRPr="004E0B73">
        <w:rPr>
          <w:rFonts w:ascii="Book Antiqua" w:eastAsia="Book Antiqua" w:hAnsi="Book Antiqua" w:cs="Book Antiqua"/>
          <w:i/>
          <w:iCs/>
          <w:color w:val="000000"/>
        </w:rPr>
        <w:t xml:space="preserve">Cancer </w:t>
      </w:r>
      <w:proofErr w:type="spellStart"/>
      <w:r w:rsidRPr="004E0B73">
        <w:rPr>
          <w:rFonts w:ascii="Book Antiqua" w:eastAsia="Book Antiqua" w:hAnsi="Book Antiqua" w:cs="Book Antiqua"/>
          <w:i/>
          <w:iCs/>
          <w:color w:val="000000"/>
        </w:rPr>
        <w:t>Manag</w:t>
      </w:r>
      <w:proofErr w:type="spellEnd"/>
      <w:r w:rsidRPr="004E0B73">
        <w:rPr>
          <w:rFonts w:ascii="Book Antiqua" w:eastAsia="Book Antiqua" w:hAnsi="Book Antiqua" w:cs="Book Antiqua"/>
          <w:i/>
          <w:iCs/>
          <w:color w:val="000000"/>
        </w:rPr>
        <w:t xml:space="preserve"> Res</w:t>
      </w:r>
      <w:r w:rsidRPr="004E0B73">
        <w:rPr>
          <w:rFonts w:ascii="Book Antiqua" w:eastAsia="Book Antiqua" w:hAnsi="Book Antiqua" w:cs="Book Antiqua"/>
          <w:color w:val="000000"/>
        </w:rPr>
        <w:t xml:space="preserve"> 2018; </w:t>
      </w:r>
      <w:r w:rsidRPr="004E0B73">
        <w:rPr>
          <w:rFonts w:ascii="Book Antiqua" w:eastAsia="Book Antiqua" w:hAnsi="Book Antiqua" w:cs="Book Antiqua"/>
          <w:b/>
          <w:bCs/>
          <w:color w:val="000000"/>
        </w:rPr>
        <w:t>10</w:t>
      </w:r>
      <w:r w:rsidRPr="004E0B73">
        <w:rPr>
          <w:rFonts w:ascii="Book Antiqua" w:eastAsia="Book Antiqua" w:hAnsi="Book Antiqua" w:cs="Book Antiqua"/>
          <w:color w:val="000000"/>
        </w:rPr>
        <w:t>: 5617-5628 [PMID: 30519108 DOI: 10.2147/CMAR.S180164]</w:t>
      </w:r>
    </w:p>
    <w:p w14:paraId="6B89412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3 </w:t>
      </w:r>
      <w:r w:rsidRPr="004E0B73">
        <w:rPr>
          <w:rFonts w:ascii="Book Antiqua" w:eastAsia="Book Antiqua" w:hAnsi="Book Antiqua" w:cs="Book Antiqua"/>
          <w:b/>
          <w:bCs/>
          <w:color w:val="000000"/>
        </w:rPr>
        <w:t>Wong DJY</w:t>
      </w:r>
      <w:r w:rsidRPr="004E0B73">
        <w:rPr>
          <w:rFonts w:ascii="Book Antiqua" w:eastAsia="Book Antiqua" w:hAnsi="Book Antiqua" w:cs="Book Antiqua"/>
          <w:color w:val="000000"/>
        </w:rPr>
        <w:t xml:space="preserve">, Donaldson C, Lai LT, Coleman A, Giddings C, Slater LA, Chandra RV. Safety and effectiveness of endovascular embolization or stent-graft reconstruction for treatment of acute carotid blowout syndrome in patients with </w:t>
      </w:r>
      <w:r w:rsidRPr="004E0B73">
        <w:rPr>
          <w:rFonts w:ascii="Book Antiqua" w:eastAsia="Book Antiqua" w:hAnsi="Book Antiqua" w:cs="Book Antiqua"/>
          <w:color w:val="000000"/>
        </w:rPr>
        <w:lastRenderedPageBreak/>
        <w:t xml:space="preserve">head and neck cancer: Case series and systematic review of observational studies. </w:t>
      </w:r>
      <w:r w:rsidRPr="004E0B73">
        <w:rPr>
          <w:rFonts w:ascii="Book Antiqua" w:eastAsia="Book Antiqua" w:hAnsi="Book Antiqua" w:cs="Book Antiqua"/>
          <w:i/>
          <w:iCs/>
          <w:color w:val="000000"/>
        </w:rPr>
        <w:t>Head Neck</w:t>
      </w:r>
      <w:r w:rsidRPr="004E0B73">
        <w:rPr>
          <w:rFonts w:ascii="Book Antiqua" w:eastAsia="Book Antiqua" w:hAnsi="Book Antiqua" w:cs="Book Antiqua"/>
          <w:color w:val="000000"/>
        </w:rPr>
        <w:t xml:space="preserve"> 2018; </w:t>
      </w:r>
      <w:r w:rsidRPr="004E0B73">
        <w:rPr>
          <w:rFonts w:ascii="Book Antiqua" w:eastAsia="Book Antiqua" w:hAnsi="Book Antiqua" w:cs="Book Antiqua"/>
          <w:b/>
          <w:bCs/>
          <w:color w:val="000000"/>
        </w:rPr>
        <w:t>40</w:t>
      </w:r>
      <w:r w:rsidRPr="004E0B73">
        <w:rPr>
          <w:rFonts w:ascii="Book Antiqua" w:eastAsia="Book Antiqua" w:hAnsi="Book Antiqua" w:cs="Book Antiqua"/>
          <w:color w:val="000000"/>
        </w:rPr>
        <w:t>: 846-854 [PMID: 29155470 DOI: 10.1002/hed.25018]</w:t>
      </w:r>
    </w:p>
    <w:p w14:paraId="0B95925F"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4 </w:t>
      </w:r>
      <w:r w:rsidRPr="004E0B73">
        <w:rPr>
          <w:rFonts w:ascii="Book Antiqua" w:eastAsia="Book Antiqua" w:hAnsi="Book Antiqua" w:cs="Book Antiqua"/>
          <w:b/>
          <w:bCs/>
          <w:color w:val="000000"/>
        </w:rPr>
        <w:t>Maran AG</w:t>
      </w:r>
      <w:r w:rsidRPr="004E0B73">
        <w:rPr>
          <w:rFonts w:ascii="Book Antiqua" w:eastAsia="Book Antiqua" w:hAnsi="Book Antiqua" w:cs="Book Antiqua"/>
          <w:color w:val="000000"/>
        </w:rPr>
        <w:t xml:space="preserve">, Amin M, Wilson JA. Radical neck dissection: a 19-year experience. </w:t>
      </w:r>
      <w:r w:rsidRPr="004E0B73">
        <w:rPr>
          <w:rFonts w:ascii="Book Antiqua" w:eastAsia="Book Antiqua" w:hAnsi="Book Antiqua" w:cs="Book Antiqua"/>
          <w:i/>
          <w:iCs/>
          <w:color w:val="000000"/>
        </w:rPr>
        <w:t xml:space="preserve">J </w:t>
      </w:r>
      <w:proofErr w:type="spellStart"/>
      <w:r w:rsidRPr="004E0B73">
        <w:rPr>
          <w:rFonts w:ascii="Book Antiqua" w:eastAsia="Book Antiqua" w:hAnsi="Book Antiqua" w:cs="Book Antiqua"/>
          <w:i/>
          <w:iCs/>
          <w:color w:val="000000"/>
        </w:rPr>
        <w:t>Laryngol</w:t>
      </w:r>
      <w:proofErr w:type="spellEnd"/>
      <w:r w:rsidRPr="004E0B73">
        <w:rPr>
          <w:rFonts w:ascii="Book Antiqua" w:eastAsia="Book Antiqua" w:hAnsi="Book Antiqua" w:cs="Book Antiqua"/>
          <w:i/>
          <w:iCs/>
          <w:color w:val="000000"/>
        </w:rPr>
        <w:t xml:space="preserve"> </w:t>
      </w:r>
      <w:proofErr w:type="spellStart"/>
      <w:r w:rsidRPr="004E0B73">
        <w:rPr>
          <w:rFonts w:ascii="Book Antiqua" w:eastAsia="Book Antiqua" w:hAnsi="Book Antiqua" w:cs="Book Antiqua"/>
          <w:i/>
          <w:iCs/>
          <w:color w:val="000000"/>
        </w:rPr>
        <w:t>Otol</w:t>
      </w:r>
      <w:proofErr w:type="spellEnd"/>
      <w:r w:rsidRPr="004E0B73">
        <w:rPr>
          <w:rFonts w:ascii="Book Antiqua" w:eastAsia="Book Antiqua" w:hAnsi="Book Antiqua" w:cs="Book Antiqua"/>
          <w:color w:val="000000"/>
        </w:rPr>
        <w:t xml:space="preserve"> 1989; </w:t>
      </w:r>
      <w:r w:rsidRPr="004E0B73">
        <w:rPr>
          <w:rFonts w:ascii="Book Antiqua" w:eastAsia="Book Antiqua" w:hAnsi="Book Antiqua" w:cs="Book Antiqua"/>
          <w:b/>
          <w:bCs/>
          <w:color w:val="000000"/>
        </w:rPr>
        <w:t>103</w:t>
      </w:r>
      <w:r w:rsidRPr="004E0B73">
        <w:rPr>
          <w:rFonts w:ascii="Book Antiqua" w:eastAsia="Book Antiqua" w:hAnsi="Book Antiqua" w:cs="Book Antiqua"/>
          <w:color w:val="000000"/>
        </w:rPr>
        <w:t>: 760-764 [PMID: 2769046 DOI: 10.1017/s002221510011000x]</w:t>
      </w:r>
    </w:p>
    <w:p w14:paraId="041CFD4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5 </w:t>
      </w:r>
      <w:proofErr w:type="spellStart"/>
      <w:r w:rsidRPr="004E0B73">
        <w:rPr>
          <w:rFonts w:ascii="Book Antiqua" w:eastAsia="Book Antiqua" w:hAnsi="Book Antiqua" w:cs="Book Antiqua"/>
          <w:b/>
          <w:bCs/>
          <w:color w:val="000000"/>
        </w:rPr>
        <w:t>Kwong</w:t>
      </w:r>
      <w:proofErr w:type="spellEnd"/>
      <w:r w:rsidRPr="004E0B73">
        <w:rPr>
          <w:rFonts w:ascii="Book Antiqua" w:eastAsia="Book Antiqua" w:hAnsi="Book Antiqua" w:cs="Book Antiqua"/>
          <w:b/>
          <w:bCs/>
          <w:color w:val="000000"/>
        </w:rPr>
        <w:t xml:space="preserve"> DL</w:t>
      </w:r>
      <w:r w:rsidRPr="004E0B73">
        <w:rPr>
          <w:rFonts w:ascii="Book Antiqua" w:eastAsia="Book Antiqua" w:hAnsi="Book Antiqua" w:cs="Book Antiqua"/>
          <w:color w:val="000000"/>
        </w:rPr>
        <w:t xml:space="preserve">, Sham JS, Leung LH, Cheng AC, Ng WM, </w:t>
      </w:r>
      <w:proofErr w:type="spellStart"/>
      <w:r w:rsidRPr="004E0B73">
        <w:rPr>
          <w:rFonts w:ascii="Book Antiqua" w:eastAsia="Book Antiqua" w:hAnsi="Book Antiqua" w:cs="Book Antiqua"/>
          <w:color w:val="000000"/>
        </w:rPr>
        <w:t>Kwong</w:t>
      </w:r>
      <w:proofErr w:type="spellEnd"/>
      <w:r w:rsidRPr="004E0B73">
        <w:rPr>
          <w:rFonts w:ascii="Book Antiqua" w:eastAsia="Book Antiqua" w:hAnsi="Book Antiqua" w:cs="Book Antiqua"/>
          <w:color w:val="000000"/>
        </w:rPr>
        <w:t xml:space="preserve"> PW, Lui WM, </w:t>
      </w:r>
      <w:proofErr w:type="spellStart"/>
      <w:r w:rsidRPr="004E0B73">
        <w:rPr>
          <w:rFonts w:ascii="Book Antiqua" w:eastAsia="Book Antiqua" w:hAnsi="Book Antiqua" w:cs="Book Antiqua"/>
          <w:color w:val="000000"/>
        </w:rPr>
        <w:t>Yau</w:t>
      </w:r>
      <w:proofErr w:type="spellEnd"/>
      <w:r w:rsidRPr="004E0B73">
        <w:rPr>
          <w:rFonts w:ascii="Book Antiqua" w:eastAsia="Book Antiqua" w:hAnsi="Book Antiqua" w:cs="Book Antiqua"/>
          <w:color w:val="000000"/>
        </w:rPr>
        <w:t xml:space="preserve"> CC, Wu PM, Wei W, Au G. Preliminary results of radiation dose escalation for locally advanced nasopharyngeal carcinoma. </w:t>
      </w:r>
      <w:r w:rsidRPr="004E0B73">
        <w:rPr>
          <w:rFonts w:ascii="Book Antiqua" w:eastAsia="Book Antiqua" w:hAnsi="Book Antiqua" w:cs="Book Antiqua"/>
          <w:i/>
          <w:iCs/>
          <w:color w:val="000000"/>
        </w:rPr>
        <w:t xml:space="preserve">Int J </w:t>
      </w:r>
      <w:proofErr w:type="spellStart"/>
      <w:r w:rsidRPr="004E0B73">
        <w:rPr>
          <w:rFonts w:ascii="Book Antiqua" w:eastAsia="Book Antiqua" w:hAnsi="Book Antiqua" w:cs="Book Antiqua"/>
          <w:i/>
          <w:iCs/>
          <w:color w:val="000000"/>
        </w:rPr>
        <w:t>Radiat</w:t>
      </w:r>
      <w:proofErr w:type="spellEnd"/>
      <w:r w:rsidRPr="004E0B73">
        <w:rPr>
          <w:rFonts w:ascii="Book Antiqua" w:eastAsia="Book Antiqua" w:hAnsi="Book Antiqua" w:cs="Book Antiqua"/>
          <w:i/>
          <w:iCs/>
          <w:color w:val="000000"/>
        </w:rPr>
        <w:t xml:space="preserve"> Oncol Biol Phys</w:t>
      </w:r>
      <w:r w:rsidRPr="004E0B73">
        <w:rPr>
          <w:rFonts w:ascii="Book Antiqua" w:eastAsia="Book Antiqua" w:hAnsi="Book Antiqua" w:cs="Book Antiqua"/>
          <w:color w:val="000000"/>
        </w:rPr>
        <w:t xml:space="preserve"> 2006; </w:t>
      </w:r>
      <w:r w:rsidRPr="004E0B73">
        <w:rPr>
          <w:rFonts w:ascii="Book Antiqua" w:eastAsia="Book Antiqua" w:hAnsi="Book Antiqua" w:cs="Book Antiqua"/>
          <w:b/>
          <w:bCs/>
          <w:color w:val="000000"/>
        </w:rPr>
        <w:t>64</w:t>
      </w:r>
      <w:r w:rsidRPr="004E0B73">
        <w:rPr>
          <w:rFonts w:ascii="Book Antiqua" w:eastAsia="Book Antiqua" w:hAnsi="Book Antiqua" w:cs="Book Antiqua"/>
          <w:color w:val="000000"/>
        </w:rPr>
        <w:t>: 374-381 [PMID: 16213105 DOI: 10.1016/j.ijrobp.2005.07.968]</w:t>
      </w:r>
    </w:p>
    <w:p w14:paraId="672DAAE4"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6 </w:t>
      </w:r>
      <w:r w:rsidRPr="004E0B73">
        <w:rPr>
          <w:rFonts w:ascii="Book Antiqua" w:eastAsia="Book Antiqua" w:hAnsi="Book Antiqua" w:cs="Book Antiqua"/>
          <w:b/>
          <w:bCs/>
          <w:color w:val="000000"/>
        </w:rPr>
        <w:t>Gebhardt BJ</w:t>
      </w:r>
      <w:r w:rsidRPr="004E0B73">
        <w:rPr>
          <w:rFonts w:ascii="Book Antiqua" w:eastAsia="Book Antiqua" w:hAnsi="Book Antiqua" w:cs="Book Antiqua"/>
          <w:color w:val="000000"/>
        </w:rPr>
        <w:t xml:space="preserve">, Vargo JA, Ling D, Jones B, </w:t>
      </w:r>
      <w:proofErr w:type="spellStart"/>
      <w:r w:rsidRPr="004E0B73">
        <w:rPr>
          <w:rFonts w:ascii="Book Antiqua" w:eastAsia="Book Antiqua" w:hAnsi="Book Antiqua" w:cs="Book Antiqua"/>
          <w:color w:val="000000"/>
        </w:rPr>
        <w:t>Mohney</w:t>
      </w:r>
      <w:proofErr w:type="spellEnd"/>
      <w:r w:rsidRPr="004E0B73">
        <w:rPr>
          <w:rFonts w:ascii="Book Antiqua" w:eastAsia="Book Antiqua" w:hAnsi="Book Antiqua" w:cs="Book Antiqua"/>
          <w:color w:val="000000"/>
        </w:rPr>
        <w:t xml:space="preserve"> M, Clump DA, </w:t>
      </w:r>
      <w:proofErr w:type="spellStart"/>
      <w:r w:rsidRPr="004E0B73">
        <w:rPr>
          <w:rFonts w:ascii="Book Antiqua" w:eastAsia="Book Antiqua" w:hAnsi="Book Antiqua" w:cs="Book Antiqua"/>
          <w:color w:val="000000"/>
        </w:rPr>
        <w:t>Ohr</w:t>
      </w:r>
      <w:proofErr w:type="spellEnd"/>
      <w:r w:rsidRPr="004E0B73">
        <w:rPr>
          <w:rFonts w:ascii="Book Antiqua" w:eastAsia="Book Antiqua" w:hAnsi="Book Antiqua" w:cs="Book Antiqua"/>
          <w:color w:val="000000"/>
        </w:rPr>
        <w:t xml:space="preserve"> JP, Ferris RL, Heron DE. Carotid Dosimetry and the Risk of Carotid Blowout Syndrome </w:t>
      </w:r>
      <w:r w:rsidR="004E0B73" w:rsidRPr="004E0B73">
        <w:rPr>
          <w:rFonts w:ascii="Book Antiqua" w:eastAsia="Book Antiqua" w:hAnsi="Book Antiqua" w:cs="Book Antiqua"/>
          <w:color w:val="000000"/>
        </w:rPr>
        <w:t>a</w:t>
      </w:r>
      <w:r w:rsidRPr="004E0B73">
        <w:rPr>
          <w:rFonts w:ascii="Book Antiqua" w:eastAsia="Book Antiqua" w:hAnsi="Book Antiqua" w:cs="Book Antiqua"/>
          <w:color w:val="000000"/>
        </w:rPr>
        <w:t xml:space="preserve">fter Reirradiation </w:t>
      </w:r>
      <w:r w:rsidR="004E0B73">
        <w:rPr>
          <w:rFonts w:ascii="Book Antiqua" w:eastAsia="Book Antiqua" w:hAnsi="Book Antiqua" w:cs="Book Antiqua"/>
          <w:color w:val="000000"/>
        </w:rPr>
        <w:t>w</w:t>
      </w:r>
      <w:r w:rsidRPr="004E0B73">
        <w:rPr>
          <w:rFonts w:ascii="Book Antiqua" w:eastAsia="Book Antiqua" w:hAnsi="Book Antiqua" w:cs="Book Antiqua"/>
          <w:color w:val="000000"/>
        </w:rPr>
        <w:t xml:space="preserve">ith Head and Neck Stereotactic Body Radiation Therapy. </w:t>
      </w:r>
      <w:r w:rsidRPr="004E0B73">
        <w:rPr>
          <w:rFonts w:ascii="Book Antiqua" w:eastAsia="Book Antiqua" w:hAnsi="Book Antiqua" w:cs="Book Antiqua"/>
          <w:i/>
          <w:iCs/>
          <w:color w:val="000000"/>
        </w:rPr>
        <w:t xml:space="preserve">Int J </w:t>
      </w:r>
      <w:proofErr w:type="spellStart"/>
      <w:r w:rsidRPr="004E0B73">
        <w:rPr>
          <w:rFonts w:ascii="Book Antiqua" w:eastAsia="Book Antiqua" w:hAnsi="Book Antiqua" w:cs="Book Antiqua"/>
          <w:i/>
          <w:iCs/>
          <w:color w:val="000000"/>
        </w:rPr>
        <w:t>Radiat</w:t>
      </w:r>
      <w:proofErr w:type="spellEnd"/>
      <w:r w:rsidRPr="004E0B73">
        <w:rPr>
          <w:rFonts w:ascii="Book Antiqua" w:eastAsia="Book Antiqua" w:hAnsi="Book Antiqua" w:cs="Book Antiqua"/>
          <w:i/>
          <w:iCs/>
          <w:color w:val="000000"/>
        </w:rPr>
        <w:t xml:space="preserve"> Oncol Biol Phys</w:t>
      </w:r>
      <w:r w:rsidRPr="004E0B73">
        <w:rPr>
          <w:rFonts w:ascii="Book Antiqua" w:eastAsia="Book Antiqua" w:hAnsi="Book Antiqua" w:cs="Book Antiqua"/>
          <w:color w:val="000000"/>
        </w:rPr>
        <w:t xml:space="preserve"> 2018; </w:t>
      </w:r>
      <w:r w:rsidRPr="004E0B73">
        <w:rPr>
          <w:rFonts w:ascii="Book Antiqua" w:eastAsia="Book Antiqua" w:hAnsi="Book Antiqua" w:cs="Book Antiqua"/>
          <w:b/>
          <w:bCs/>
          <w:color w:val="000000"/>
        </w:rPr>
        <w:t>101</w:t>
      </w:r>
      <w:r w:rsidRPr="004E0B73">
        <w:rPr>
          <w:rFonts w:ascii="Book Antiqua" w:eastAsia="Book Antiqua" w:hAnsi="Book Antiqua" w:cs="Book Antiqua"/>
          <w:color w:val="000000"/>
        </w:rPr>
        <w:t>: 195-200 [PMID: 29398127 DOI: 10.1016/j.ijrobp.2017.11.045]</w:t>
      </w:r>
    </w:p>
    <w:p w14:paraId="5E01D0B5"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7 </w:t>
      </w:r>
      <w:r w:rsidRPr="004E0B73">
        <w:rPr>
          <w:rFonts w:ascii="Book Antiqua" w:eastAsia="Book Antiqua" w:hAnsi="Book Antiqua" w:cs="Book Antiqua"/>
          <w:b/>
          <w:bCs/>
          <w:color w:val="000000"/>
        </w:rPr>
        <w:t>Bond KM</w:t>
      </w:r>
      <w:r w:rsidRPr="004E0B73">
        <w:rPr>
          <w:rFonts w:ascii="Book Antiqua" w:eastAsia="Book Antiqua" w:hAnsi="Book Antiqua" w:cs="Book Antiqua"/>
          <w:color w:val="000000"/>
        </w:rPr>
        <w:t xml:space="preserve">, </w:t>
      </w:r>
      <w:proofErr w:type="spellStart"/>
      <w:r w:rsidRPr="004E0B73">
        <w:rPr>
          <w:rFonts w:ascii="Book Antiqua" w:eastAsia="Book Antiqua" w:hAnsi="Book Antiqua" w:cs="Book Antiqua"/>
          <w:color w:val="000000"/>
        </w:rPr>
        <w:t>Brinjikji</w:t>
      </w:r>
      <w:proofErr w:type="spellEnd"/>
      <w:r w:rsidRPr="004E0B73">
        <w:rPr>
          <w:rFonts w:ascii="Book Antiqua" w:eastAsia="Book Antiqua" w:hAnsi="Book Antiqua" w:cs="Book Antiqua"/>
          <w:color w:val="000000"/>
        </w:rPr>
        <w:t xml:space="preserve"> W, Murad MH, </w:t>
      </w:r>
      <w:proofErr w:type="spellStart"/>
      <w:r w:rsidRPr="004E0B73">
        <w:rPr>
          <w:rFonts w:ascii="Book Antiqua" w:eastAsia="Book Antiqua" w:hAnsi="Book Antiqua" w:cs="Book Antiqua"/>
          <w:color w:val="000000"/>
        </w:rPr>
        <w:t>Cloft</w:t>
      </w:r>
      <w:proofErr w:type="spellEnd"/>
      <w:r w:rsidRPr="004E0B73">
        <w:rPr>
          <w:rFonts w:ascii="Book Antiqua" w:eastAsia="Book Antiqua" w:hAnsi="Book Antiqua" w:cs="Book Antiqua"/>
          <w:color w:val="000000"/>
        </w:rPr>
        <w:t xml:space="preserve"> HJ, </w:t>
      </w:r>
      <w:proofErr w:type="spellStart"/>
      <w:r w:rsidRPr="004E0B73">
        <w:rPr>
          <w:rFonts w:ascii="Book Antiqua" w:eastAsia="Book Antiqua" w:hAnsi="Book Antiqua" w:cs="Book Antiqua"/>
          <w:color w:val="000000"/>
        </w:rPr>
        <w:t>Lanzino</w:t>
      </w:r>
      <w:proofErr w:type="spellEnd"/>
      <w:r w:rsidRPr="004E0B73">
        <w:rPr>
          <w:rFonts w:ascii="Book Antiqua" w:eastAsia="Book Antiqua" w:hAnsi="Book Antiqua" w:cs="Book Antiqua"/>
          <w:color w:val="000000"/>
        </w:rPr>
        <w:t xml:space="preserve"> G. Endovascular treatment of carotid blowout syndrome. </w:t>
      </w:r>
      <w:r w:rsidRPr="004E0B73">
        <w:rPr>
          <w:rFonts w:ascii="Book Antiqua" w:eastAsia="Book Antiqua" w:hAnsi="Book Antiqua" w:cs="Book Antiqua"/>
          <w:i/>
          <w:iCs/>
          <w:color w:val="000000"/>
        </w:rPr>
        <w:t xml:space="preserve">J </w:t>
      </w:r>
      <w:proofErr w:type="spellStart"/>
      <w:r w:rsidRPr="004E0B73">
        <w:rPr>
          <w:rFonts w:ascii="Book Antiqua" w:eastAsia="Book Antiqua" w:hAnsi="Book Antiqua" w:cs="Book Antiqua"/>
          <w:i/>
          <w:iCs/>
          <w:color w:val="000000"/>
        </w:rPr>
        <w:t>Vasc</w:t>
      </w:r>
      <w:proofErr w:type="spellEnd"/>
      <w:r w:rsidRPr="004E0B73">
        <w:rPr>
          <w:rFonts w:ascii="Book Antiqua" w:eastAsia="Book Antiqua" w:hAnsi="Book Antiqua" w:cs="Book Antiqua"/>
          <w:i/>
          <w:iCs/>
          <w:color w:val="000000"/>
        </w:rPr>
        <w:t xml:space="preserve"> Surg</w:t>
      </w:r>
      <w:r w:rsidRPr="004E0B73">
        <w:rPr>
          <w:rFonts w:ascii="Book Antiqua" w:eastAsia="Book Antiqua" w:hAnsi="Book Antiqua" w:cs="Book Antiqua"/>
          <w:color w:val="000000"/>
        </w:rPr>
        <w:t xml:space="preserve"> 2017; </w:t>
      </w:r>
      <w:r w:rsidRPr="004E0B73">
        <w:rPr>
          <w:rFonts w:ascii="Book Antiqua" w:eastAsia="Book Antiqua" w:hAnsi="Book Antiqua" w:cs="Book Antiqua"/>
          <w:b/>
          <w:bCs/>
          <w:color w:val="000000"/>
        </w:rPr>
        <w:t>65</w:t>
      </w:r>
      <w:r w:rsidRPr="004E0B73">
        <w:rPr>
          <w:rFonts w:ascii="Book Antiqua" w:eastAsia="Book Antiqua" w:hAnsi="Book Antiqua" w:cs="Book Antiqua"/>
          <w:color w:val="000000"/>
        </w:rPr>
        <w:t>: 883-888 [PMID: 28236928 DOI: 10.1016/j.jvs.2016.11.024]</w:t>
      </w:r>
    </w:p>
    <w:p w14:paraId="06B08E7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8 </w:t>
      </w:r>
      <w:r w:rsidRPr="004E0B73">
        <w:rPr>
          <w:rFonts w:ascii="Book Antiqua" w:eastAsia="Book Antiqua" w:hAnsi="Book Antiqua" w:cs="Book Antiqua"/>
          <w:b/>
          <w:bCs/>
          <w:color w:val="000000"/>
        </w:rPr>
        <w:t xml:space="preserve">Chiesa </w:t>
      </w:r>
      <w:proofErr w:type="spellStart"/>
      <w:r w:rsidRPr="004E0B73">
        <w:rPr>
          <w:rFonts w:ascii="Book Antiqua" w:eastAsia="Book Antiqua" w:hAnsi="Book Antiqua" w:cs="Book Antiqua"/>
          <w:b/>
          <w:bCs/>
          <w:color w:val="000000"/>
        </w:rPr>
        <w:t>Estomba</w:t>
      </w:r>
      <w:proofErr w:type="spellEnd"/>
      <w:r w:rsidRPr="004E0B73">
        <w:rPr>
          <w:rFonts w:ascii="Book Antiqua" w:eastAsia="Book Antiqua" w:hAnsi="Book Antiqua" w:cs="Book Antiqua"/>
          <w:b/>
          <w:bCs/>
          <w:color w:val="000000"/>
        </w:rPr>
        <w:t xml:space="preserve"> CM</w:t>
      </w:r>
      <w:r w:rsidRPr="004E0B73">
        <w:rPr>
          <w:rFonts w:ascii="Book Antiqua" w:eastAsia="Book Antiqua" w:hAnsi="Book Antiqua" w:cs="Book Antiqua"/>
          <w:color w:val="000000"/>
        </w:rPr>
        <w:t xml:space="preserve">, Betances </w:t>
      </w:r>
      <w:proofErr w:type="spellStart"/>
      <w:r w:rsidRPr="004E0B73">
        <w:rPr>
          <w:rFonts w:ascii="Book Antiqua" w:eastAsia="Book Antiqua" w:hAnsi="Book Antiqua" w:cs="Book Antiqua"/>
          <w:color w:val="000000"/>
        </w:rPr>
        <w:t>Reinoso</w:t>
      </w:r>
      <w:proofErr w:type="spellEnd"/>
      <w:r w:rsidRPr="004E0B73">
        <w:rPr>
          <w:rFonts w:ascii="Book Antiqua" w:eastAsia="Book Antiqua" w:hAnsi="Book Antiqua" w:cs="Book Antiqua"/>
          <w:color w:val="000000"/>
        </w:rPr>
        <w:t xml:space="preserve"> FA, Osorio Velasquez A, Castro </w:t>
      </w:r>
      <w:proofErr w:type="spellStart"/>
      <w:r w:rsidRPr="004E0B73">
        <w:rPr>
          <w:rFonts w:ascii="Book Antiqua" w:eastAsia="Book Antiqua" w:hAnsi="Book Antiqua" w:cs="Book Antiqua"/>
          <w:color w:val="000000"/>
        </w:rPr>
        <w:t>Macia</w:t>
      </w:r>
      <w:proofErr w:type="spellEnd"/>
      <w:r w:rsidRPr="004E0B73">
        <w:rPr>
          <w:rFonts w:ascii="Book Antiqua" w:eastAsia="Book Antiqua" w:hAnsi="Book Antiqua" w:cs="Book Antiqua"/>
          <w:color w:val="000000"/>
        </w:rPr>
        <w:t xml:space="preserve"> O, Gonzalez Cortés MJ, Araujo </w:t>
      </w:r>
      <w:proofErr w:type="spellStart"/>
      <w:r w:rsidRPr="004E0B73">
        <w:rPr>
          <w:rFonts w:ascii="Book Antiqua" w:eastAsia="Book Antiqua" w:hAnsi="Book Antiqua" w:cs="Book Antiqua"/>
          <w:color w:val="000000"/>
        </w:rPr>
        <w:t>Nores</w:t>
      </w:r>
      <w:proofErr w:type="spellEnd"/>
      <w:r w:rsidRPr="004E0B73">
        <w:rPr>
          <w:rFonts w:ascii="Book Antiqua" w:eastAsia="Book Antiqua" w:hAnsi="Book Antiqua" w:cs="Book Antiqua"/>
          <w:color w:val="000000"/>
        </w:rPr>
        <w:t xml:space="preserve"> J. Carotid blowout syndrome in patients treated by larynx cancer. </w:t>
      </w:r>
      <w:proofErr w:type="spellStart"/>
      <w:r w:rsidRPr="004E0B73">
        <w:rPr>
          <w:rFonts w:ascii="Book Antiqua" w:eastAsia="Book Antiqua" w:hAnsi="Book Antiqua" w:cs="Book Antiqua"/>
          <w:i/>
          <w:iCs/>
          <w:color w:val="000000"/>
        </w:rPr>
        <w:t>Braz</w:t>
      </w:r>
      <w:proofErr w:type="spellEnd"/>
      <w:r w:rsidRPr="004E0B73">
        <w:rPr>
          <w:rFonts w:ascii="Book Antiqua" w:eastAsia="Book Antiqua" w:hAnsi="Book Antiqua" w:cs="Book Antiqua"/>
          <w:i/>
          <w:iCs/>
          <w:color w:val="000000"/>
        </w:rPr>
        <w:t xml:space="preserve"> J </w:t>
      </w:r>
      <w:proofErr w:type="spellStart"/>
      <w:r w:rsidRPr="004E0B73">
        <w:rPr>
          <w:rFonts w:ascii="Book Antiqua" w:eastAsia="Book Antiqua" w:hAnsi="Book Antiqua" w:cs="Book Antiqua"/>
          <w:i/>
          <w:iCs/>
          <w:color w:val="000000"/>
        </w:rPr>
        <w:t>Otorhinolaryngol</w:t>
      </w:r>
      <w:proofErr w:type="spellEnd"/>
      <w:r w:rsidRPr="004E0B73">
        <w:rPr>
          <w:rFonts w:ascii="Book Antiqua" w:eastAsia="Book Antiqua" w:hAnsi="Book Antiqua" w:cs="Book Antiqua"/>
          <w:color w:val="000000"/>
        </w:rPr>
        <w:t xml:space="preserve"> 2017; </w:t>
      </w:r>
      <w:r w:rsidRPr="004E0B73">
        <w:rPr>
          <w:rFonts w:ascii="Book Antiqua" w:eastAsia="Book Antiqua" w:hAnsi="Book Antiqua" w:cs="Book Antiqua"/>
          <w:b/>
          <w:bCs/>
          <w:color w:val="000000"/>
        </w:rPr>
        <w:t>83</w:t>
      </w:r>
      <w:r w:rsidRPr="004E0B73">
        <w:rPr>
          <w:rFonts w:ascii="Book Antiqua" w:eastAsia="Book Antiqua" w:hAnsi="Book Antiqua" w:cs="Book Antiqua"/>
          <w:color w:val="000000"/>
        </w:rPr>
        <w:t>: 653-658 [PMID: 27789194 DOI: 10.1016/j.bjorl.2016.08.013]</w:t>
      </w:r>
    </w:p>
    <w:p w14:paraId="3E56357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9 </w:t>
      </w:r>
      <w:r w:rsidRPr="004E0B73">
        <w:rPr>
          <w:rFonts w:ascii="Book Antiqua" w:eastAsia="Book Antiqua" w:hAnsi="Book Antiqua" w:cs="Book Antiqua"/>
          <w:b/>
          <w:bCs/>
          <w:color w:val="000000"/>
        </w:rPr>
        <w:t>Upile T</w:t>
      </w:r>
      <w:r w:rsidRPr="004E0B73">
        <w:rPr>
          <w:rFonts w:ascii="Book Antiqua" w:eastAsia="Book Antiqua" w:hAnsi="Book Antiqua" w:cs="Book Antiqua"/>
          <w:color w:val="000000"/>
        </w:rPr>
        <w:t xml:space="preserve">, </w:t>
      </w:r>
      <w:proofErr w:type="spellStart"/>
      <w:r w:rsidRPr="004E0B73">
        <w:rPr>
          <w:rFonts w:ascii="Book Antiqua" w:eastAsia="Book Antiqua" w:hAnsi="Book Antiqua" w:cs="Book Antiqua"/>
          <w:color w:val="000000"/>
        </w:rPr>
        <w:t>Triaridis</w:t>
      </w:r>
      <w:proofErr w:type="spellEnd"/>
      <w:r w:rsidRPr="004E0B73">
        <w:rPr>
          <w:rFonts w:ascii="Book Antiqua" w:eastAsia="Book Antiqua" w:hAnsi="Book Antiqua" w:cs="Book Antiqua"/>
          <w:color w:val="000000"/>
        </w:rPr>
        <w:t xml:space="preserve"> S, Kirkland P, Archer D, Searle A, Irving C, Rhys Evans P. The management of carotid artery rupture. </w:t>
      </w:r>
      <w:r w:rsidRPr="004E0B73">
        <w:rPr>
          <w:rFonts w:ascii="Book Antiqua" w:eastAsia="Book Antiqua" w:hAnsi="Book Antiqua" w:cs="Book Antiqua"/>
          <w:i/>
          <w:iCs/>
          <w:color w:val="000000"/>
        </w:rPr>
        <w:t xml:space="preserve">Eur Arch </w:t>
      </w:r>
      <w:proofErr w:type="spellStart"/>
      <w:r w:rsidRPr="004E0B73">
        <w:rPr>
          <w:rFonts w:ascii="Book Antiqua" w:eastAsia="Book Antiqua" w:hAnsi="Book Antiqua" w:cs="Book Antiqua"/>
          <w:i/>
          <w:iCs/>
          <w:color w:val="000000"/>
        </w:rPr>
        <w:t>Otorhinolaryngol</w:t>
      </w:r>
      <w:proofErr w:type="spellEnd"/>
      <w:r w:rsidRPr="004E0B73">
        <w:rPr>
          <w:rFonts w:ascii="Book Antiqua" w:eastAsia="Book Antiqua" w:hAnsi="Book Antiqua" w:cs="Book Antiqua"/>
          <w:color w:val="000000"/>
        </w:rPr>
        <w:t xml:space="preserve"> 2005; </w:t>
      </w:r>
      <w:r w:rsidRPr="004E0B73">
        <w:rPr>
          <w:rFonts w:ascii="Book Antiqua" w:eastAsia="Book Antiqua" w:hAnsi="Book Antiqua" w:cs="Book Antiqua"/>
          <w:b/>
          <w:bCs/>
          <w:color w:val="000000"/>
        </w:rPr>
        <w:t>262</w:t>
      </w:r>
      <w:r w:rsidRPr="004E0B73">
        <w:rPr>
          <w:rFonts w:ascii="Book Antiqua" w:eastAsia="Book Antiqua" w:hAnsi="Book Antiqua" w:cs="Book Antiqua"/>
          <w:color w:val="000000"/>
        </w:rPr>
        <w:t>: 555-560 [PMID: 15772844 DOI: 10.1007/s00405-004-0775-3]</w:t>
      </w:r>
    </w:p>
    <w:p w14:paraId="0C4EB01D"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10 </w:t>
      </w:r>
      <w:proofErr w:type="spellStart"/>
      <w:r w:rsidRPr="004E0B73">
        <w:rPr>
          <w:rFonts w:ascii="Book Antiqua" w:eastAsia="Book Antiqua" w:hAnsi="Book Antiqua" w:cs="Book Antiqua"/>
          <w:b/>
          <w:bCs/>
          <w:color w:val="000000"/>
        </w:rPr>
        <w:t>Roh</w:t>
      </w:r>
      <w:proofErr w:type="spellEnd"/>
      <w:r w:rsidRPr="004E0B73">
        <w:rPr>
          <w:rFonts w:ascii="Book Antiqua" w:eastAsia="Book Antiqua" w:hAnsi="Book Antiqua" w:cs="Book Antiqua"/>
          <w:b/>
          <w:bCs/>
          <w:color w:val="000000"/>
        </w:rPr>
        <w:t xml:space="preserve"> JL</w:t>
      </w:r>
      <w:r w:rsidRPr="004E0B73">
        <w:rPr>
          <w:rFonts w:ascii="Book Antiqua" w:eastAsia="Book Antiqua" w:hAnsi="Book Antiqua" w:cs="Book Antiqua"/>
          <w:color w:val="000000"/>
        </w:rPr>
        <w:t xml:space="preserve">, Suh DC, Kim MR, Lee JH, Choi JW, Choi SH, Nam SY, Kim SY. Endovascular management of carotid blowout syndrome in patients with head and neck cancers. </w:t>
      </w:r>
      <w:r w:rsidRPr="004E0B73">
        <w:rPr>
          <w:rFonts w:ascii="Book Antiqua" w:eastAsia="Book Antiqua" w:hAnsi="Book Antiqua" w:cs="Book Antiqua"/>
          <w:i/>
          <w:iCs/>
          <w:color w:val="000000"/>
        </w:rPr>
        <w:t>Oral Oncol</w:t>
      </w:r>
      <w:r w:rsidRPr="004E0B73">
        <w:rPr>
          <w:rFonts w:ascii="Book Antiqua" w:eastAsia="Book Antiqua" w:hAnsi="Book Antiqua" w:cs="Book Antiqua"/>
          <w:color w:val="000000"/>
        </w:rPr>
        <w:t xml:space="preserve"> 2008; </w:t>
      </w:r>
      <w:r w:rsidRPr="004E0B73">
        <w:rPr>
          <w:rFonts w:ascii="Book Antiqua" w:eastAsia="Book Antiqua" w:hAnsi="Book Antiqua" w:cs="Book Antiqua"/>
          <w:b/>
          <w:bCs/>
          <w:color w:val="000000"/>
        </w:rPr>
        <w:t>44</w:t>
      </w:r>
      <w:r w:rsidRPr="004E0B73">
        <w:rPr>
          <w:rFonts w:ascii="Book Antiqua" w:eastAsia="Book Antiqua" w:hAnsi="Book Antiqua" w:cs="Book Antiqua"/>
          <w:color w:val="000000"/>
        </w:rPr>
        <w:t>: 844-850 [PMID: 18218333 DOI: 10.1016/j.oraloncology.2007.11.003]</w:t>
      </w:r>
    </w:p>
    <w:p w14:paraId="41C708C0"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lastRenderedPageBreak/>
        <w:t xml:space="preserve">11 </w:t>
      </w:r>
      <w:r w:rsidRPr="004E0B73">
        <w:rPr>
          <w:rFonts w:ascii="Book Antiqua" w:eastAsia="Book Antiqua" w:hAnsi="Book Antiqua" w:cs="Book Antiqua"/>
          <w:b/>
          <w:bCs/>
          <w:color w:val="000000"/>
        </w:rPr>
        <w:t>Lee CW</w:t>
      </w:r>
      <w:r w:rsidRPr="004E0B73">
        <w:rPr>
          <w:rFonts w:ascii="Book Antiqua" w:eastAsia="Book Antiqua" w:hAnsi="Book Antiqua" w:cs="Book Antiqua"/>
          <w:color w:val="000000"/>
        </w:rPr>
        <w:t xml:space="preserve">, Yang CY, Chen YF, Huang A, Wang YH, Liu HM. CT angiography findings in carotid blowout syndrome and its role as a predictor of 1-year survival. </w:t>
      </w:r>
      <w:r w:rsidRPr="004E0B73">
        <w:rPr>
          <w:rFonts w:ascii="Book Antiqua" w:eastAsia="Book Antiqua" w:hAnsi="Book Antiqua" w:cs="Book Antiqua"/>
          <w:i/>
          <w:iCs/>
          <w:color w:val="000000"/>
        </w:rPr>
        <w:t xml:space="preserve">AJNR Am J </w:t>
      </w:r>
      <w:proofErr w:type="spellStart"/>
      <w:r w:rsidRPr="004E0B73">
        <w:rPr>
          <w:rFonts w:ascii="Book Antiqua" w:eastAsia="Book Antiqua" w:hAnsi="Book Antiqua" w:cs="Book Antiqua"/>
          <w:i/>
          <w:iCs/>
          <w:color w:val="000000"/>
        </w:rPr>
        <w:t>Neuroradiol</w:t>
      </w:r>
      <w:proofErr w:type="spellEnd"/>
      <w:r w:rsidRPr="004E0B73">
        <w:rPr>
          <w:rFonts w:ascii="Book Antiqua" w:eastAsia="Book Antiqua" w:hAnsi="Book Antiqua" w:cs="Book Antiqua"/>
          <w:color w:val="000000"/>
        </w:rPr>
        <w:t xml:space="preserve"> 2014; </w:t>
      </w:r>
      <w:r w:rsidRPr="004E0B73">
        <w:rPr>
          <w:rFonts w:ascii="Book Antiqua" w:eastAsia="Book Antiqua" w:hAnsi="Book Antiqua" w:cs="Book Antiqua"/>
          <w:b/>
          <w:bCs/>
          <w:color w:val="000000"/>
        </w:rPr>
        <w:t>35</w:t>
      </w:r>
      <w:r w:rsidRPr="004E0B73">
        <w:rPr>
          <w:rFonts w:ascii="Book Antiqua" w:eastAsia="Book Antiqua" w:hAnsi="Book Antiqua" w:cs="Book Antiqua"/>
          <w:color w:val="000000"/>
        </w:rPr>
        <w:t>: 562-567 [PMID: 23969344 DOI: 10.3174/ajnr.A3716]</w:t>
      </w:r>
    </w:p>
    <w:p w14:paraId="0BA77AC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12 </w:t>
      </w:r>
      <w:r w:rsidRPr="004E0B73">
        <w:rPr>
          <w:rFonts w:ascii="Book Antiqua" w:eastAsia="Book Antiqua" w:hAnsi="Book Antiqua" w:cs="Book Antiqua"/>
          <w:b/>
          <w:bCs/>
          <w:color w:val="000000"/>
        </w:rPr>
        <w:t>Luo CB</w:t>
      </w:r>
      <w:r w:rsidRPr="004E0B73">
        <w:rPr>
          <w:rFonts w:ascii="Book Antiqua" w:eastAsia="Book Antiqua" w:hAnsi="Book Antiqua" w:cs="Book Antiqua"/>
          <w:color w:val="000000"/>
        </w:rPr>
        <w:t xml:space="preserve">, Teng MM, Chang FC, Chang CY, Guo WY. Radiation carotid blowout syndrome in nasopharyngeal carcinoma: angiographic features and endovascular management. </w:t>
      </w:r>
      <w:proofErr w:type="spellStart"/>
      <w:r w:rsidRPr="004E0B73">
        <w:rPr>
          <w:rFonts w:ascii="Book Antiqua" w:eastAsia="Book Antiqua" w:hAnsi="Book Antiqua" w:cs="Book Antiqua"/>
          <w:i/>
          <w:iCs/>
          <w:color w:val="000000"/>
        </w:rPr>
        <w:t>Otolaryngol</w:t>
      </w:r>
      <w:proofErr w:type="spellEnd"/>
      <w:r w:rsidRPr="004E0B73">
        <w:rPr>
          <w:rFonts w:ascii="Book Antiqua" w:eastAsia="Book Antiqua" w:hAnsi="Book Antiqua" w:cs="Book Antiqua"/>
          <w:i/>
          <w:iCs/>
          <w:color w:val="000000"/>
        </w:rPr>
        <w:t xml:space="preserve"> Head Neck Surg</w:t>
      </w:r>
      <w:r w:rsidRPr="004E0B73">
        <w:rPr>
          <w:rFonts w:ascii="Book Antiqua" w:eastAsia="Book Antiqua" w:hAnsi="Book Antiqua" w:cs="Book Antiqua"/>
          <w:color w:val="000000"/>
        </w:rPr>
        <w:t xml:space="preserve"> 2008; </w:t>
      </w:r>
      <w:r w:rsidRPr="004E0B73">
        <w:rPr>
          <w:rFonts w:ascii="Book Antiqua" w:eastAsia="Book Antiqua" w:hAnsi="Book Antiqua" w:cs="Book Antiqua"/>
          <w:b/>
          <w:bCs/>
          <w:color w:val="000000"/>
        </w:rPr>
        <w:t>138</w:t>
      </w:r>
      <w:r w:rsidRPr="004E0B73">
        <w:rPr>
          <w:rFonts w:ascii="Book Antiqua" w:eastAsia="Book Antiqua" w:hAnsi="Book Antiqua" w:cs="Book Antiqua"/>
          <w:color w:val="000000"/>
        </w:rPr>
        <w:t>: 86-91 [PMID: 18164999 DOI: 10.1016/j.otohns.2007.10.013]</w:t>
      </w:r>
    </w:p>
    <w:p w14:paraId="331DF3A5"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13 </w:t>
      </w:r>
      <w:r w:rsidRPr="004E0B73">
        <w:rPr>
          <w:rFonts w:ascii="Book Antiqua" w:eastAsia="Book Antiqua" w:hAnsi="Book Antiqua" w:cs="Book Antiqua"/>
          <w:b/>
          <w:bCs/>
          <w:color w:val="000000"/>
        </w:rPr>
        <w:t>Chen YJ</w:t>
      </w:r>
      <w:r w:rsidRPr="004E0B73">
        <w:rPr>
          <w:rFonts w:ascii="Book Antiqua" w:eastAsia="Book Antiqua" w:hAnsi="Book Antiqua" w:cs="Book Antiqua"/>
          <w:color w:val="000000"/>
        </w:rPr>
        <w:t xml:space="preserve">, Wang CP, Wang CC, Jiang RS, Lin JC, Liu SA. Carotid blowout in patients with head and neck cancer: associated factors and treatment outcomes. </w:t>
      </w:r>
      <w:r w:rsidRPr="004E0B73">
        <w:rPr>
          <w:rFonts w:ascii="Book Antiqua" w:eastAsia="Book Antiqua" w:hAnsi="Book Antiqua" w:cs="Book Antiqua"/>
          <w:i/>
          <w:iCs/>
          <w:color w:val="000000"/>
        </w:rPr>
        <w:t>Head Neck</w:t>
      </w:r>
      <w:r w:rsidRPr="004E0B73">
        <w:rPr>
          <w:rFonts w:ascii="Book Antiqua" w:eastAsia="Book Antiqua" w:hAnsi="Book Antiqua" w:cs="Book Antiqua"/>
          <w:color w:val="000000"/>
        </w:rPr>
        <w:t xml:space="preserve"> 2015; </w:t>
      </w:r>
      <w:r w:rsidRPr="004E0B73">
        <w:rPr>
          <w:rFonts w:ascii="Book Antiqua" w:eastAsia="Book Antiqua" w:hAnsi="Book Antiqua" w:cs="Book Antiqua"/>
          <w:b/>
          <w:bCs/>
          <w:color w:val="000000"/>
        </w:rPr>
        <w:t>37</w:t>
      </w:r>
      <w:r w:rsidRPr="004E0B73">
        <w:rPr>
          <w:rFonts w:ascii="Book Antiqua" w:eastAsia="Book Antiqua" w:hAnsi="Book Antiqua" w:cs="Book Antiqua"/>
          <w:color w:val="000000"/>
        </w:rPr>
        <w:t>: 265-272 [PMID: 24375817 DOI: 10.1002/hed.23590]</w:t>
      </w:r>
    </w:p>
    <w:p w14:paraId="1F18C222"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14 </w:t>
      </w:r>
      <w:r w:rsidRPr="004E0B73">
        <w:rPr>
          <w:rFonts w:ascii="Book Antiqua" w:eastAsia="Book Antiqua" w:hAnsi="Book Antiqua" w:cs="Book Antiqua"/>
          <w:b/>
          <w:bCs/>
          <w:color w:val="000000"/>
        </w:rPr>
        <w:t>Chang FC</w:t>
      </w:r>
      <w:r w:rsidRPr="004E0B73">
        <w:rPr>
          <w:rFonts w:ascii="Book Antiqua" w:eastAsia="Book Antiqua" w:hAnsi="Book Antiqua" w:cs="Book Antiqua"/>
          <w:color w:val="000000"/>
        </w:rPr>
        <w:t xml:space="preserve">, Luo CB, </w:t>
      </w:r>
      <w:proofErr w:type="spellStart"/>
      <w:r w:rsidRPr="004E0B73">
        <w:rPr>
          <w:rFonts w:ascii="Book Antiqua" w:eastAsia="Book Antiqua" w:hAnsi="Book Antiqua" w:cs="Book Antiqua"/>
          <w:color w:val="000000"/>
        </w:rPr>
        <w:t>Lirng</w:t>
      </w:r>
      <w:proofErr w:type="spellEnd"/>
      <w:r w:rsidRPr="004E0B73">
        <w:rPr>
          <w:rFonts w:ascii="Book Antiqua" w:eastAsia="Book Antiqua" w:hAnsi="Book Antiqua" w:cs="Book Antiqua"/>
          <w:color w:val="000000"/>
        </w:rPr>
        <w:t xml:space="preserve"> JF, Lin CJ, Lee HJ, Wu CC, Hung SC, Guo WY. Endovascular Management of Post-Irradiated Carotid Blowout Syndrome. </w:t>
      </w:r>
      <w:proofErr w:type="spellStart"/>
      <w:r w:rsidRPr="004E0B73">
        <w:rPr>
          <w:rFonts w:ascii="Book Antiqua" w:eastAsia="Book Antiqua" w:hAnsi="Book Antiqua" w:cs="Book Antiqua"/>
          <w:i/>
          <w:iCs/>
          <w:color w:val="000000"/>
        </w:rPr>
        <w:t>PLoS</w:t>
      </w:r>
      <w:proofErr w:type="spellEnd"/>
      <w:r w:rsidRPr="004E0B73">
        <w:rPr>
          <w:rFonts w:ascii="Book Antiqua" w:eastAsia="Book Antiqua" w:hAnsi="Book Antiqua" w:cs="Book Antiqua"/>
          <w:i/>
          <w:iCs/>
          <w:color w:val="000000"/>
        </w:rPr>
        <w:t xml:space="preserve"> One</w:t>
      </w:r>
      <w:r w:rsidRPr="004E0B73">
        <w:rPr>
          <w:rFonts w:ascii="Book Antiqua" w:eastAsia="Book Antiqua" w:hAnsi="Book Antiqua" w:cs="Book Antiqua"/>
          <w:color w:val="000000"/>
        </w:rPr>
        <w:t xml:space="preserve"> 2015; </w:t>
      </w:r>
      <w:r w:rsidRPr="004E0B73">
        <w:rPr>
          <w:rFonts w:ascii="Book Antiqua" w:eastAsia="Book Antiqua" w:hAnsi="Book Antiqua" w:cs="Book Antiqua"/>
          <w:b/>
          <w:bCs/>
          <w:color w:val="000000"/>
        </w:rPr>
        <w:t>10</w:t>
      </w:r>
      <w:r w:rsidRPr="004E0B73">
        <w:rPr>
          <w:rFonts w:ascii="Book Antiqua" w:eastAsia="Book Antiqua" w:hAnsi="Book Antiqua" w:cs="Book Antiqua"/>
          <w:color w:val="000000"/>
        </w:rPr>
        <w:t>: e0139821 [PMID: 26439632 DOI: 10.1371/journal.pone.0139821]</w:t>
      </w:r>
    </w:p>
    <w:p w14:paraId="13DC46E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 xml:space="preserve">15 </w:t>
      </w:r>
      <w:r w:rsidRPr="004E0B73">
        <w:rPr>
          <w:rFonts w:ascii="Book Antiqua" w:eastAsia="Book Antiqua" w:hAnsi="Book Antiqua" w:cs="Book Antiqua"/>
          <w:b/>
          <w:bCs/>
          <w:color w:val="000000"/>
        </w:rPr>
        <w:t>Liang NL</w:t>
      </w:r>
      <w:r w:rsidRPr="004E0B73">
        <w:rPr>
          <w:rFonts w:ascii="Book Antiqua" w:eastAsia="Book Antiqua" w:hAnsi="Book Antiqua" w:cs="Book Antiqua"/>
          <w:color w:val="000000"/>
        </w:rPr>
        <w:t xml:space="preserve">, Guedes BD, </w:t>
      </w:r>
      <w:proofErr w:type="spellStart"/>
      <w:r w:rsidRPr="004E0B73">
        <w:rPr>
          <w:rFonts w:ascii="Book Antiqua" w:eastAsia="Book Antiqua" w:hAnsi="Book Antiqua" w:cs="Book Antiqua"/>
          <w:color w:val="000000"/>
        </w:rPr>
        <w:t>Duvvuri</w:t>
      </w:r>
      <w:proofErr w:type="spellEnd"/>
      <w:r w:rsidRPr="004E0B73">
        <w:rPr>
          <w:rFonts w:ascii="Book Antiqua" w:eastAsia="Book Antiqua" w:hAnsi="Book Antiqua" w:cs="Book Antiqua"/>
          <w:color w:val="000000"/>
        </w:rPr>
        <w:t xml:space="preserve"> U, Singh MJ, </w:t>
      </w:r>
      <w:proofErr w:type="spellStart"/>
      <w:r w:rsidRPr="004E0B73">
        <w:rPr>
          <w:rFonts w:ascii="Book Antiqua" w:eastAsia="Book Antiqua" w:hAnsi="Book Antiqua" w:cs="Book Antiqua"/>
          <w:color w:val="000000"/>
        </w:rPr>
        <w:t>Chaer</w:t>
      </w:r>
      <w:proofErr w:type="spellEnd"/>
      <w:r w:rsidRPr="004E0B73">
        <w:rPr>
          <w:rFonts w:ascii="Book Antiqua" w:eastAsia="Book Antiqua" w:hAnsi="Book Antiqua" w:cs="Book Antiqua"/>
          <w:color w:val="000000"/>
        </w:rPr>
        <w:t xml:space="preserve"> RA, </w:t>
      </w:r>
      <w:proofErr w:type="spellStart"/>
      <w:r w:rsidRPr="004E0B73">
        <w:rPr>
          <w:rFonts w:ascii="Book Antiqua" w:eastAsia="Book Antiqua" w:hAnsi="Book Antiqua" w:cs="Book Antiqua"/>
          <w:color w:val="000000"/>
        </w:rPr>
        <w:t>Makaroun</w:t>
      </w:r>
      <w:proofErr w:type="spellEnd"/>
      <w:r w:rsidRPr="004E0B73">
        <w:rPr>
          <w:rFonts w:ascii="Book Antiqua" w:eastAsia="Book Antiqua" w:hAnsi="Book Antiqua" w:cs="Book Antiqua"/>
          <w:color w:val="000000"/>
        </w:rPr>
        <w:t xml:space="preserve"> MS, Sachdev U. Outcomes of interventions for carotid blowout syndrome in patients with head and neck cancer. </w:t>
      </w:r>
      <w:r w:rsidRPr="004E0B73">
        <w:rPr>
          <w:rFonts w:ascii="Book Antiqua" w:eastAsia="Book Antiqua" w:hAnsi="Book Antiqua" w:cs="Book Antiqua"/>
          <w:i/>
          <w:iCs/>
          <w:color w:val="000000"/>
        </w:rPr>
        <w:t xml:space="preserve">J </w:t>
      </w:r>
      <w:proofErr w:type="spellStart"/>
      <w:r w:rsidRPr="004E0B73">
        <w:rPr>
          <w:rFonts w:ascii="Book Antiqua" w:eastAsia="Book Antiqua" w:hAnsi="Book Antiqua" w:cs="Book Antiqua"/>
          <w:i/>
          <w:iCs/>
          <w:color w:val="000000"/>
        </w:rPr>
        <w:t>Vasc</w:t>
      </w:r>
      <w:proofErr w:type="spellEnd"/>
      <w:r w:rsidRPr="004E0B73">
        <w:rPr>
          <w:rFonts w:ascii="Book Antiqua" w:eastAsia="Book Antiqua" w:hAnsi="Book Antiqua" w:cs="Book Antiqua"/>
          <w:i/>
          <w:iCs/>
          <w:color w:val="000000"/>
        </w:rPr>
        <w:t xml:space="preserve"> Surg</w:t>
      </w:r>
      <w:r w:rsidRPr="004E0B73">
        <w:rPr>
          <w:rFonts w:ascii="Book Antiqua" w:eastAsia="Book Antiqua" w:hAnsi="Book Antiqua" w:cs="Book Antiqua"/>
          <w:color w:val="000000"/>
        </w:rPr>
        <w:t xml:space="preserve"> 2016; </w:t>
      </w:r>
      <w:r w:rsidRPr="004E0B73">
        <w:rPr>
          <w:rFonts w:ascii="Book Antiqua" w:eastAsia="Book Antiqua" w:hAnsi="Book Antiqua" w:cs="Book Antiqua"/>
          <w:b/>
          <w:bCs/>
          <w:color w:val="000000"/>
        </w:rPr>
        <w:t>63</w:t>
      </w:r>
      <w:r w:rsidRPr="004E0B73">
        <w:rPr>
          <w:rFonts w:ascii="Book Antiqua" w:eastAsia="Book Antiqua" w:hAnsi="Book Antiqua" w:cs="Book Antiqua"/>
          <w:color w:val="000000"/>
        </w:rPr>
        <w:t>: 1525-1530 [PMID: 26926937 DOI: 10.1016/j.jvs.2015.12.047]</w:t>
      </w:r>
    </w:p>
    <w:bookmarkEnd w:id="40"/>
    <w:bookmarkEnd w:id="41"/>
    <w:p w14:paraId="0497E5E1" w14:textId="77777777" w:rsidR="00A77B3E" w:rsidRPr="004E0B73" w:rsidRDefault="00A77B3E" w:rsidP="004E0B73">
      <w:pPr>
        <w:snapToGrid w:val="0"/>
        <w:spacing w:line="360" w:lineRule="auto"/>
        <w:jc w:val="both"/>
        <w:rPr>
          <w:rFonts w:ascii="Book Antiqua" w:hAnsi="Book Antiqua"/>
        </w:rPr>
        <w:sectPr w:rsidR="00A77B3E" w:rsidRPr="004E0B73" w:rsidSect="00E22267">
          <w:type w:val="continuous"/>
          <w:pgSz w:w="12240" w:h="15840"/>
          <w:pgMar w:top="1440" w:right="1800" w:bottom="1440" w:left="1800" w:header="720" w:footer="720" w:gutter="0"/>
          <w:cols w:space="720"/>
          <w:docGrid w:linePitch="360"/>
        </w:sectPr>
      </w:pPr>
    </w:p>
    <w:p w14:paraId="525AAECC" w14:textId="77777777" w:rsidR="00A77B3E" w:rsidRPr="004E0B73" w:rsidRDefault="00DF6D50"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br w:type="page"/>
      </w:r>
      <w:r w:rsidR="00070DE6" w:rsidRPr="004E0B73">
        <w:rPr>
          <w:rFonts w:ascii="Book Antiqua" w:eastAsia="Book Antiqua" w:hAnsi="Book Antiqua" w:cs="Book Antiqua"/>
          <w:b/>
          <w:color w:val="000000"/>
        </w:rPr>
        <w:lastRenderedPageBreak/>
        <w:t>Footnotes</w:t>
      </w:r>
    </w:p>
    <w:p w14:paraId="7BF09B93"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Informed consent statement: </w:t>
      </w:r>
      <w:bookmarkStart w:id="42" w:name="OLE_LINK43"/>
      <w:bookmarkStart w:id="43" w:name="OLE_LINK44"/>
      <w:r w:rsidRPr="004E0B73">
        <w:rPr>
          <w:rFonts w:ascii="Book Antiqua" w:eastAsia="Book Antiqua" w:hAnsi="Book Antiqua" w:cs="Book Antiqua"/>
          <w:color w:val="000000"/>
        </w:rPr>
        <w:t>This case report was approved by the institutional review boards of The Catholic University of Korea, Incheon St. Mary's Hospital (No. PC19ZESE0074). Due to the nature of this study, the need for informed consent from the patients was waived.</w:t>
      </w:r>
    </w:p>
    <w:bookmarkEnd w:id="42"/>
    <w:bookmarkEnd w:id="43"/>
    <w:p w14:paraId="588D63F1" w14:textId="77777777" w:rsidR="00A77B3E" w:rsidRPr="004E0B73" w:rsidRDefault="00A77B3E" w:rsidP="004E0B73">
      <w:pPr>
        <w:snapToGrid w:val="0"/>
        <w:spacing w:line="360" w:lineRule="auto"/>
        <w:jc w:val="both"/>
        <w:rPr>
          <w:rFonts w:ascii="Book Antiqua" w:hAnsi="Book Antiqua"/>
        </w:rPr>
      </w:pPr>
    </w:p>
    <w:p w14:paraId="433FF30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Conflict-of-interest statement: </w:t>
      </w:r>
      <w:r w:rsidRPr="004E0B73">
        <w:rPr>
          <w:rFonts w:ascii="Book Antiqua" w:eastAsia="Book Antiqua" w:hAnsi="Book Antiqua" w:cs="Book Antiqua"/>
          <w:color w:val="000000"/>
        </w:rPr>
        <w:t>The authors disclose no potential conflicts of interest.</w:t>
      </w:r>
    </w:p>
    <w:p w14:paraId="075B7BFC" w14:textId="77777777" w:rsidR="00A77B3E" w:rsidRPr="004E0B73" w:rsidRDefault="00A77B3E" w:rsidP="004E0B73">
      <w:pPr>
        <w:snapToGrid w:val="0"/>
        <w:spacing w:line="360" w:lineRule="auto"/>
        <w:jc w:val="both"/>
        <w:rPr>
          <w:rFonts w:ascii="Book Antiqua" w:hAnsi="Book Antiqua"/>
        </w:rPr>
      </w:pPr>
    </w:p>
    <w:p w14:paraId="5BB0329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CARE Checklist (2016) statement: </w:t>
      </w:r>
      <w:bookmarkStart w:id="44" w:name="OLE_LINK45"/>
      <w:bookmarkStart w:id="45" w:name="OLE_LINK46"/>
      <w:r w:rsidRPr="004E0B73">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bookmarkEnd w:id="44"/>
    <w:bookmarkEnd w:id="45"/>
    <w:p w14:paraId="11927021" w14:textId="77777777" w:rsidR="00A77B3E" w:rsidRPr="004E0B73" w:rsidRDefault="00A77B3E" w:rsidP="004E0B73">
      <w:pPr>
        <w:snapToGrid w:val="0"/>
        <w:spacing w:line="360" w:lineRule="auto"/>
        <w:jc w:val="both"/>
        <w:rPr>
          <w:rFonts w:ascii="Book Antiqua" w:hAnsi="Book Antiqua"/>
        </w:rPr>
      </w:pPr>
    </w:p>
    <w:p w14:paraId="39E4533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bCs/>
          <w:color w:val="000000"/>
        </w:rPr>
        <w:t xml:space="preserve">Open-Access: </w:t>
      </w:r>
      <w:r w:rsidRPr="004E0B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0B73">
        <w:rPr>
          <w:rFonts w:ascii="Book Antiqua" w:eastAsia="Book Antiqua" w:hAnsi="Book Antiqua" w:cs="Book Antiqua"/>
          <w:color w:val="000000"/>
        </w:rPr>
        <w:t>NonCommercial</w:t>
      </w:r>
      <w:proofErr w:type="spellEnd"/>
      <w:r w:rsidRPr="004E0B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594BC9" w14:textId="77777777" w:rsidR="00A77B3E" w:rsidRPr="004E0B73" w:rsidRDefault="00A77B3E" w:rsidP="004E0B73">
      <w:pPr>
        <w:snapToGrid w:val="0"/>
        <w:spacing w:line="360" w:lineRule="auto"/>
        <w:jc w:val="both"/>
        <w:rPr>
          <w:rFonts w:ascii="Book Antiqua" w:hAnsi="Book Antiqua"/>
        </w:rPr>
      </w:pPr>
    </w:p>
    <w:p w14:paraId="07BD1997"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Manuscript source: </w:t>
      </w:r>
      <w:r w:rsidRPr="004E0B73">
        <w:rPr>
          <w:rFonts w:ascii="Book Antiqua" w:eastAsia="Book Antiqua" w:hAnsi="Book Antiqua" w:cs="Book Antiqua"/>
          <w:color w:val="000000"/>
        </w:rPr>
        <w:t xml:space="preserve">Unsolicited </w:t>
      </w:r>
      <w:r w:rsidR="004E0B73" w:rsidRPr="004E0B73">
        <w:rPr>
          <w:rFonts w:ascii="Book Antiqua" w:eastAsia="Book Antiqua" w:hAnsi="Book Antiqua" w:cs="Book Antiqua"/>
          <w:color w:val="000000"/>
        </w:rPr>
        <w:t>m</w:t>
      </w:r>
      <w:r w:rsidRPr="004E0B73">
        <w:rPr>
          <w:rFonts w:ascii="Book Antiqua" w:eastAsia="Book Antiqua" w:hAnsi="Book Antiqua" w:cs="Book Antiqua"/>
          <w:color w:val="000000"/>
        </w:rPr>
        <w:t>anuscript</w:t>
      </w:r>
    </w:p>
    <w:p w14:paraId="7C8B78D7" w14:textId="77777777" w:rsidR="00A77B3E" w:rsidRPr="004E0B73" w:rsidRDefault="00A77B3E" w:rsidP="004E0B73">
      <w:pPr>
        <w:snapToGrid w:val="0"/>
        <w:spacing w:line="360" w:lineRule="auto"/>
        <w:jc w:val="both"/>
        <w:rPr>
          <w:rFonts w:ascii="Book Antiqua" w:hAnsi="Book Antiqua"/>
        </w:rPr>
      </w:pPr>
    </w:p>
    <w:p w14:paraId="0DA7B8C9"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Peer-review started: </w:t>
      </w:r>
      <w:r w:rsidRPr="004E0B73">
        <w:rPr>
          <w:rFonts w:ascii="Book Antiqua" w:eastAsia="Book Antiqua" w:hAnsi="Book Antiqua" w:cs="Book Antiqua"/>
          <w:color w:val="000000"/>
        </w:rPr>
        <w:t>August 25, 2020</w:t>
      </w:r>
    </w:p>
    <w:p w14:paraId="7668A10D"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First decision: </w:t>
      </w:r>
      <w:r w:rsidRPr="004E0B73">
        <w:rPr>
          <w:rFonts w:ascii="Book Antiqua" w:eastAsia="Book Antiqua" w:hAnsi="Book Antiqua" w:cs="Book Antiqua"/>
          <w:color w:val="000000"/>
        </w:rPr>
        <w:t>September 12, 2020</w:t>
      </w:r>
    </w:p>
    <w:p w14:paraId="26F76C1B"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Article in press: </w:t>
      </w:r>
    </w:p>
    <w:p w14:paraId="7CFB0F5D" w14:textId="77777777" w:rsidR="00A77B3E" w:rsidRPr="004E0B73" w:rsidRDefault="00A77B3E" w:rsidP="004E0B73">
      <w:pPr>
        <w:snapToGrid w:val="0"/>
        <w:spacing w:line="360" w:lineRule="auto"/>
        <w:jc w:val="both"/>
        <w:rPr>
          <w:rFonts w:ascii="Book Antiqua" w:hAnsi="Book Antiqua"/>
        </w:rPr>
      </w:pPr>
    </w:p>
    <w:p w14:paraId="46894E88"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Specialty type: </w:t>
      </w:r>
      <w:r w:rsidRPr="004E0B73">
        <w:rPr>
          <w:rFonts w:ascii="Book Antiqua" w:eastAsia="微软雅黑" w:hAnsi="Book Antiqua" w:cs="宋体"/>
        </w:rPr>
        <w:t>Medicine, research and experimental</w:t>
      </w:r>
    </w:p>
    <w:p w14:paraId="1C96990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t xml:space="preserve">Country/Territory of origin: </w:t>
      </w:r>
      <w:r w:rsidRPr="004E0B73">
        <w:rPr>
          <w:rFonts w:ascii="Book Antiqua" w:eastAsia="Book Antiqua" w:hAnsi="Book Antiqua" w:cs="Book Antiqua"/>
          <w:color w:val="000000"/>
        </w:rPr>
        <w:t>South Korea</w:t>
      </w:r>
    </w:p>
    <w:p w14:paraId="5879E21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b/>
          <w:color w:val="000000"/>
        </w:rPr>
        <w:lastRenderedPageBreak/>
        <w:t>Peer-review report’s scientific quality classification</w:t>
      </w:r>
    </w:p>
    <w:p w14:paraId="56E41EF7"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Grade A (Excellent): 0</w:t>
      </w:r>
    </w:p>
    <w:p w14:paraId="0884DEE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Grade B (Very good): B, B</w:t>
      </w:r>
    </w:p>
    <w:p w14:paraId="6C68BA81"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Grade C (Good): C, C</w:t>
      </w:r>
    </w:p>
    <w:p w14:paraId="08C7DE9A"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Grade D (Fair): 0</w:t>
      </w:r>
    </w:p>
    <w:p w14:paraId="76B3779C" w14:textId="77777777" w:rsidR="00A77B3E" w:rsidRPr="004E0B73" w:rsidRDefault="00070DE6" w:rsidP="004E0B73">
      <w:pPr>
        <w:snapToGrid w:val="0"/>
        <w:spacing w:line="360" w:lineRule="auto"/>
        <w:jc w:val="both"/>
        <w:rPr>
          <w:rFonts w:ascii="Book Antiqua" w:hAnsi="Book Antiqua"/>
        </w:rPr>
      </w:pPr>
      <w:r w:rsidRPr="004E0B73">
        <w:rPr>
          <w:rFonts w:ascii="Book Antiqua" w:eastAsia="Book Antiqua" w:hAnsi="Book Antiqua" w:cs="Book Antiqua"/>
          <w:color w:val="000000"/>
        </w:rPr>
        <w:t>Grade E (Poor): 0</w:t>
      </w:r>
    </w:p>
    <w:p w14:paraId="5E008851" w14:textId="77777777" w:rsidR="00A77B3E" w:rsidRPr="004E0B73" w:rsidRDefault="00A77B3E" w:rsidP="004E0B73">
      <w:pPr>
        <w:snapToGrid w:val="0"/>
        <w:spacing w:line="360" w:lineRule="auto"/>
        <w:jc w:val="both"/>
        <w:rPr>
          <w:rFonts w:ascii="Book Antiqua" w:hAnsi="Book Antiqua"/>
        </w:rPr>
      </w:pPr>
    </w:p>
    <w:p w14:paraId="557A73F3" w14:textId="77777777" w:rsidR="00A77B3E" w:rsidRPr="004E0B73" w:rsidRDefault="00070DE6" w:rsidP="004E0B73">
      <w:pPr>
        <w:snapToGrid w:val="0"/>
        <w:spacing w:line="360" w:lineRule="auto"/>
        <w:jc w:val="both"/>
        <w:rPr>
          <w:rFonts w:ascii="Book Antiqua" w:hAnsi="Book Antiqua" w:cs="Book Antiqua"/>
          <w:b/>
          <w:color w:val="000000"/>
          <w:lang w:eastAsia="zh-CN"/>
        </w:rPr>
      </w:pPr>
      <w:r w:rsidRPr="004E0B73">
        <w:rPr>
          <w:rFonts w:ascii="Book Antiqua" w:eastAsia="Book Antiqua" w:hAnsi="Book Antiqua" w:cs="Book Antiqua"/>
          <w:b/>
          <w:color w:val="000000"/>
        </w:rPr>
        <w:t xml:space="preserve">P-Reviewer: </w:t>
      </w:r>
      <w:proofErr w:type="spellStart"/>
      <w:r w:rsidRPr="004E0B73">
        <w:rPr>
          <w:rFonts w:ascii="Book Antiqua" w:eastAsia="Book Antiqua" w:hAnsi="Book Antiqua" w:cs="Book Antiqua"/>
          <w:color w:val="000000"/>
        </w:rPr>
        <w:t>Trifan</w:t>
      </w:r>
      <w:proofErr w:type="spellEnd"/>
      <w:r w:rsidRPr="004E0B73">
        <w:rPr>
          <w:rFonts w:ascii="Book Antiqua" w:eastAsia="Book Antiqua" w:hAnsi="Book Antiqua" w:cs="Book Antiqua"/>
          <w:color w:val="000000"/>
        </w:rPr>
        <w:t xml:space="preserve"> A, Yang XJ</w:t>
      </w:r>
      <w:r w:rsidRPr="004E0B73">
        <w:rPr>
          <w:rFonts w:ascii="Book Antiqua" w:eastAsia="Book Antiqua" w:hAnsi="Book Antiqua" w:cs="Book Antiqua"/>
          <w:b/>
          <w:color w:val="000000"/>
        </w:rPr>
        <w:t xml:space="preserve"> S-Editor: </w:t>
      </w:r>
      <w:r w:rsidRPr="004E0B73">
        <w:rPr>
          <w:rFonts w:ascii="Book Antiqua" w:eastAsia="Book Antiqua" w:hAnsi="Book Antiqua" w:cs="Book Antiqua"/>
          <w:color w:val="000000"/>
        </w:rPr>
        <w:t>Zhang L</w:t>
      </w:r>
      <w:r w:rsidRPr="004E0B73">
        <w:rPr>
          <w:rFonts w:ascii="Book Antiqua" w:eastAsia="Book Antiqua" w:hAnsi="Book Antiqua" w:cs="Book Antiqua"/>
          <w:b/>
          <w:color w:val="000000"/>
        </w:rPr>
        <w:t xml:space="preserve"> L-Editor:  P-Editor: </w:t>
      </w:r>
    </w:p>
    <w:p w14:paraId="55BF1A07" w14:textId="77777777" w:rsidR="00627EF1" w:rsidRPr="004E0B73" w:rsidRDefault="00627EF1" w:rsidP="004E0B73">
      <w:pPr>
        <w:snapToGrid w:val="0"/>
        <w:spacing w:line="360" w:lineRule="auto"/>
        <w:jc w:val="both"/>
        <w:rPr>
          <w:rFonts w:ascii="Book Antiqua" w:hAnsi="Book Antiqua"/>
          <w:lang w:eastAsia="zh-CN"/>
        </w:rPr>
        <w:sectPr w:rsidR="00627EF1" w:rsidRPr="004E0B73" w:rsidSect="00E22267">
          <w:type w:val="continuous"/>
          <w:pgSz w:w="12240" w:h="15840"/>
          <w:pgMar w:top="1440" w:right="1800" w:bottom="1440" w:left="1800" w:header="720" w:footer="720" w:gutter="0"/>
          <w:cols w:space="720"/>
          <w:docGrid w:linePitch="360"/>
        </w:sectPr>
      </w:pPr>
    </w:p>
    <w:p w14:paraId="1F5655D6" w14:textId="77777777" w:rsidR="00A77B3E" w:rsidRPr="004E0B73" w:rsidRDefault="004E0B73" w:rsidP="004E0B73">
      <w:pPr>
        <w:snapToGrid w:val="0"/>
        <w:spacing w:line="360" w:lineRule="auto"/>
        <w:jc w:val="both"/>
        <w:rPr>
          <w:rFonts w:ascii="Book Antiqua" w:hAnsi="Book Antiqua" w:cs="Book Antiqua"/>
          <w:b/>
          <w:color w:val="000000"/>
          <w:lang w:eastAsia="zh-CN"/>
        </w:rPr>
      </w:pPr>
      <w:r w:rsidRPr="004E0B73">
        <w:rPr>
          <w:rFonts w:ascii="Book Antiqua" w:eastAsia="Book Antiqua" w:hAnsi="Book Antiqua" w:cs="Book Antiqua"/>
          <w:b/>
          <w:color w:val="000000"/>
        </w:rPr>
        <w:br w:type="page"/>
      </w:r>
      <w:r w:rsidR="00070DE6" w:rsidRPr="004E0B73">
        <w:rPr>
          <w:rFonts w:ascii="Book Antiqua" w:eastAsia="Book Antiqua" w:hAnsi="Book Antiqua" w:cs="Book Antiqua"/>
          <w:b/>
          <w:color w:val="000000"/>
        </w:rPr>
        <w:lastRenderedPageBreak/>
        <w:t>Figure Legends</w:t>
      </w:r>
    </w:p>
    <w:p w14:paraId="4E27BDAC" w14:textId="77777777" w:rsidR="00AF6D0B" w:rsidRPr="004E0B73" w:rsidRDefault="00AF6D0B" w:rsidP="004E0B73">
      <w:pPr>
        <w:snapToGrid w:val="0"/>
        <w:spacing w:line="360" w:lineRule="auto"/>
        <w:jc w:val="both"/>
        <w:rPr>
          <w:rFonts w:ascii="Book Antiqua" w:hAnsi="Book Antiqua"/>
          <w:lang w:eastAsia="zh-CN"/>
        </w:rPr>
      </w:pPr>
      <w:r w:rsidRPr="004E0B73">
        <w:rPr>
          <w:rFonts w:ascii="Book Antiqua" w:hAnsi="Book Antiqua"/>
          <w:noProof/>
          <w:lang w:eastAsia="zh-CN"/>
        </w:rPr>
        <w:drawing>
          <wp:inline distT="0" distB="0" distL="0" distR="0" wp14:anchorId="593A4CF5" wp14:editId="2CA73F20">
            <wp:extent cx="4986116" cy="58455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4986116" cy="5845581"/>
                    </a:xfrm>
                    <a:prstGeom prst="rect">
                      <a:avLst/>
                    </a:prstGeom>
                  </pic:spPr>
                </pic:pic>
              </a:graphicData>
            </a:graphic>
          </wp:inline>
        </w:drawing>
      </w:r>
    </w:p>
    <w:p w14:paraId="65A43B89" w14:textId="77777777" w:rsidR="000418BB" w:rsidRPr="004E0B73" w:rsidRDefault="00DF6D50" w:rsidP="004E0B73">
      <w:pPr>
        <w:snapToGrid w:val="0"/>
        <w:spacing w:line="360" w:lineRule="auto"/>
        <w:jc w:val="both"/>
        <w:rPr>
          <w:rFonts w:ascii="Book Antiqua" w:hAnsi="Book Antiqua" w:cs="Book Antiqua"/>
          <w:color w:val="000000"/>
          <w:lang w:eastAsia="zh-CN"/>
        </w:rPr>
      </w:pPr>
      <w:bookmarkStart w:id="46" w:name="OLE_LINK47"/>
      <w:bookmarkStart w:id="47" w:name="OLE_LINK48"/>
      <w:r w:rsidRPr="004E0B73">
        <w:rPr>
          <w:rFonts w:ascii="Book Antiqua" w:eastAsia="Book Antiqua" w:hAnsi="Book Antiqua" w:cs="Book Antiqua"/>
          <w:b/>
          <w:bCs/>
          <w:color w:val="000000"/>
        </w:rPr>
        <w:t>Figure 1</w:t>
      </w:r>
      <w:r w:rsidR="00070DE6" w:rsidRPr="004E0B73">
        <w:rPr>
          <w:rFonts w:ascii="Book Antiqua" w:eastAsia="Book Antiqua" w:hAnsi="Book Antiqua" w:cs="Book Antiqua"/>
          <w:b/>
          <w:bCs/>
          <w:color w:val="000000"/>
        </w:rPr>
        <w:t xml:space="preserve"> Flow of </w:t>
      </w:r>
      <w:r w:rsidR="004E0B73" w:rsidRPr="004E0B73">
        <w:rPr>
          <w:rFonts w:ascii="Book Antiqua" w:eastAsia="Book Antiqua" w:hAnsi="Book Antiqua" w:cs="Book Antiqua"/>
          <w:b/>
          <w:bCs/>
          <w:color w:val="000000"/>
        </w:rPr>
        <w:t>c</w:t>
      </w:r>
      <w:r w:rsidR="00AF6D0B" w:rsidRPr="004E0B73">
        <w:rPr>
          <w:rFonts w:ascii="Book Antiqua" w:eastAsia="Book Antiqua" w:hAnsi="Book Antiqua" w:cs="Book Antiqua"/>
          <w:b/>
          <w:bCs/>
          <w:color w:val="000000"/>
        </w:rPr>
        <w:t>arotid blowout syndrome</w:t>
      </w:r>
      <w:r w:rsidR="00070DE6" w:rsidRPr="004E0B73">
        <w:rPr>
          <w:rFonts w:ascii="Book Antiqua" w:eastAsia="Book Antiqua" w:hAnsi="Book Antiqua" w:cs="Book Antiqua"/>
          <w:b/>
          <w:bCs/>
          <w:color w:val="000000"/>
        </w:rPr>
        <w:t xml:space="preserve"> management in patients with severe pain following </w:t>
      </w:r>
      <w:r w:rsidR="00AF6D0B" w:rsidRPr="004E0B73">
        <w:rPr>
          <w:rFonts w:ascii="Book Antiqua" w:eastAsia="Book Antiqua" w:hAnsi="Book Antiqua" w:cs="Book Antiqua"/>
          <w:b/>
          <w:bCs/>
          <w:color w:val="000000"/>
        </w:rPr>
        <w:t>concurrent chemoradiotherapy</w:t>
      </w:r>
      <w:r w:rsidR="00070DE6" w:rsidRPr="004E0B73">
        <w:rPr>
          <w:rFonts w:ascii="Book Antiqua" w:eastAsia="Book Antiqua" w:hAnsi="Book Antiqua" w:cs="Book Antiqua"/>
          <w:b/>
          <w:bCs/>
          <w:color w:val="000000"/>
        </w:rPr>
        <w:t xml:space="preserve"> for </w:t>
      </w:r>
      <w:r w:rsidRPr="004E0B73">
        <w:rPr>
          <w:rFonts w:ascii="Book Antiqua" w:eastAsia="Book Antiqua" w:hAnsi="Book Antiqua" w:cs="Book Antiqua"/>
          <w:b/>
          <w:bCs/>
          <w:color w:val="000000"/>
        </w:rPr>
        <w:t xml:space="preserve">head and neck </w:t>
      </w:r>
      <w:proofErr w:type="spellStart"/>
      <w:r w:rsidRPr="004E0B73">
        <w:rPr>
          <w:rFonts w:ascii="Book Antiqua" w:eastAsia="Book Antiqua" w:hAnsi="Book Antiqua" w:cs="Book Antiqua"/>
          <w:b/>
          <w:bCs/>
          <w:color w:val="000000"/>
        </w:rPr>
        <w:t>squanlous</w:t>
      </w:r>
      <w:proofErr w:type="spellEnd"/>
      <w:r w:rsidRPr="004E0B73">
        <w:rPr>
          <w:rFonts w:ascii="Book Antiqua" w:eastAsia="Book Antiqua" w:hAnsi="Book Antiqua" w:cs="Book Antiqua"/>
          <w:b/>
          <w:bCs/>
          <w:color w:val="000000"/>
        </w:rPr>
        <w:t xml:space="preserve"> cell carcinoma</w:t>
      </w:r>
      <w:r w:rsidR="00AF6D0B" w:rsidRPr="004E0B73">
        <w:rPr>
          <w:rFonts w:ascii="Book Antiqua" w:hAnsi="Book Antiqua" w:cs="Book Antiqua"/>
          <w:b/>
          <w:bCs/>
          <w:color w:val="000000"/>
          <w:lang w:eastAsia="zh-CN"/>
        </w:rPr>
        <w:t>.</w:t>
      </w:r>
      <w:r w:rsidR="00851D1C" w:rsidRPr="004E0B73">
        <w:rPr>
          <w:rFonts w:ascii="Book Antiqua" w:eastAsia="Book Antiqua" w:hAnsi="Book Antiqua" w:cs="Book Antiqua"/>
          <w:color w:val="000000"/>
        </w:rPr>
        <w:t xml:space="preserve"> CBS</w:t>
      </w:r>
      <w:r w:rsidR="00851D1C" w:rsidRPr="004E0B73">
        <w:rPr>
          <w:rFonts w:ascii="Book Antiqua" w:hAnsi="Book Antiqua" w:cs="Book Antiqua"/>
          <w:color w:val="000000"/>
          <w:lang w:eastAsia="zh-CN"/>
        </w:rPr>
        <w:t xml:space="preserve">: </w:t>
      </w:r>
      <w:r w:rsidR="00851D1C" w:rsidRPr="004E0B73">
        <w:rPr>
          <w:rFonts w:ascii="Book Antiqua" w:eastAsia="Book Antiqua" w:hAnsi="Book Antiqua" w:cs="Book Antiqua"/>
          <w:color w:val="000000"/>
        </w:rPr>
        <w:t>Carotid blowout syndrome</w:t>
      </w:r>
      <w:r w:rsidR="00851D1C" w:rsidRPr="004E0B73">
        <w:rPr>
          <w:rFonts w:ascii="Book Antiqua" w:hAnsi="Book Antiqua" w:cs="Book Antiqua"/>
          <w:color w:val="000000"/>
          <w:lang w:eastAsia="zh-CN"/>
        </w:rPr>
        <w:t>.</w:t>
      </w:r>
    </w:p>
    <w:p w14:paraId="688CDE9E" w14:textId="77777777" w:rsidR="004E0B73" w:rsidRPr="004E0B73" w:rsidRDefault="004E0B73" w:rsidP="004E0B73">
      <w:pPr>
        <w:snapToGrid w:val="0"/>
        <w:spacing w:line="360" w:lineRule="auto"/>
        <w:jc w:val="both"/>
        <w:rPr>
          <w:rFonts w:ascii="Book Antiqua" w:hAnsi="Book Antiqua" w:cs="Book Antiqua"/>
          <w:color w:val="000000"/>
          <w:lang w:eastAsia="zh-CN"/>
        </w:rPr>
        <w:sectPr w:rsidR="004E0B73" w:rsidRPr="004E0B73" w:rsidSect="00E22267">
          <w:type w:val="continuous"/>
          <w:pgSz w:w="12240" w:h="15840"/>
          <w:pgMar w:top="1440" w:right="1800" w:bottom="1440" w:left="1800" w:header="720" w:footer="720" w:gutter="0"/>
          <w:cols w:space="720"/>
          <w:docGrid w:linePitch="360"/>
        </w:sectPr>
      </w:pPr>
    </w:p>
    <w:bookmarkEnd w:id="46"/>
    <w:bookmarkEnd w:id="47"/>
    <w:p w14:paraId="7F454A28" w14:textId="77777777" w:rsidR="000418BB" w:rsidRPr="004E0B73" w:rsidRDefault="004E0B73" w:rsidP="004E0B73">
      <w:pPr>
        <w:snapToGrid w:val="0"/>
        <w:spacing w:line="360" w:lineRule="auto"/>
        <w:jc w:val="both"/>
        <w:rPr>
          <w:rFonts w:ascii="Book Antiqua" w:hAnsi="Book Antiqua"/>
          <w:lang w:eastAsia="zh-CN"/>
        </w:rPr>
      </w:pPr>
      <w:r w:rsidRPr="004E0B73">
        <w:rPr>
          <w:rFonts w:ascii="Book Antiqua" w:hAnsi="Book Antiqua" w:cs="Book Antiqua"/>
          <w:b/>
          <w:color w:val="000000"/>
          <w:lang w:eastAsia="zh-CN"/>
        </w:rPr>
        <w:lastRenderedPageBreak/>
        <w:t xml:space="preserve">Table 1 </w:t>
      </w:r>
      <w:r w:rsidR="000418BB" w:rsidRPr="004E0B73">
        <w:rPr>
          <w:rFonts w:ascii="Book Antiqua" w:hAnsi="Book Antiqua" w:cs="Book Antiqua"/>
          <w:b/>
          <w:color w:val="000000"/>
          <w:lang w:eastAsia="zh-CN"/>
        </w:rPr>
        <w:t xml:space="preserve">Characteristics of previously reported </w:t>
      </w:r>
      <w:r w:rsidR="00B01D34" w:rsidRPr="004E0B73">
        <w:rPr>
          <w:rFonts w:ascii="Book Antiqua" w:hAnsi="Book Antiqua" w:cs="Book Antiqua"/>
          <w:b/>
          <w:color w:val="000000"/>
          <w:lang w:eastAsia="zh-CN"/>
        </w:rPr>
        <w:t xml:space="preserve">carotid blowout syndrome </w:t>
      </w:r>
      <w:r w:rsidR="000418BB" w:rsidRPr="004E0B73">
        <w:rPr>
          <w:rFonts w:ascii="Book Antiqua" w:hAnsi="Book Antiqua" w:cs="Book Antiqua"/>
          <w:b/>
          <w:color w:val="000000"/>
          <w:lang w:eastAsia="zh-CN"/>
        </w:rPr>
        <w:t xml:space="preserve">after completion of </w:t>
      </w:r>
      <w:r w:rsidR="00B01D34" w:rsidRPr="004E0B73">
        <w:rPr>
          <w:rFonts w:ascii="Book Antiqua" w:hAnsi="Book Antiqua" w:cs="Book Antiqua"/>
          <w:b/>
          <w:color w:val="000000"/>
          <w:lang w:eastAsia="zh-CN"/>
        </w:rPr>
        <w:t>concurrent chemoradiotherapy</w:t>
      </w:r>
    </w:p>
    <w:tbl>
      <w:tblPr>
        <w:tblStyle w:val="a7"/>
        <w:tblW w:w="137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
        <w:gridCol w:w="707"/>
        <w:gridCol w:w="782"/>
        <w:gridCol w:w="1985"/>
        <w:gridCol w:w="1261"/>
        <w:gridCol w:w="1682"/>
        <w:gridCol w:w="1726"/>
        <w:gridCol w:w="2101"/>
        <w:gridCol w:w="1451"/>
        <w:gridCol w:w="1134"/>
      </w:tblGrid>
      <w:tr w:rsidR="000418BB" w:rsidRPr="004E0B73" w14:paraId="2C655BCC" w14:textId="77777777" w:rsidTr="00FF1D64">
        <w:trPr>
          <w:trHeight w:val="1545"/>
        </w:trPr>
        <w:tc>
          <w:tcPr>
            <w:tcW w:w="921" w:type="dxa"/>
            <w:tcBorders>
              <w:top w:val="single" w:sz="4" w:space="0" w:color="auto"/>
              <w:bottom w:val="single" w:sz="4" w:space="0" w:color="auto"/>
            </w:tcBorders>
          </w:tcPr>
          <w:p w14:paraId="203ADCEA"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Ref.</w:t>
            </w:r>
          </w:p>
        </w:tc>
        <w:tc>
          <w:tcPr>
            <w:tcW w:w="707" w:type="dxa"/>
            <w:tcBorders>
              <w:top w:val="single" w:sz="4" w:space="0" w:color="auto"/>
              <w:bottom w:val="single" w:sz="4" w:space="0" w:color="auto"/>
            </w:tcBorders>
          </w:tcPr>
          <w:p w14:paraId="0D39C49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Year</w:t>
            </w:r>
          </w:p>
        </w:tc>
        <w:tc>
          <w:tcPr>
            <w:tcW w:w="782" w:type="dxa"/>
            <w:tcBorders>
              <w:top w:val="single" w:sz="4" w:space="0" w:color="auto"/>
              <w:bottom w:val="single" w:sz="4" w:space="0" w:color="auto"/>
            </w:tcBorders>
          </w:tcPr>
          <w:p w14:paraId="7C36B40E"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No. of Total Patients</w:t>
            </w:r>
          </w:p>
        </w:tc>
        <w:tc>
          <w:tcPr>
            <w:tcW w:w="1985" w:type="dxa"/>
            <w:tcBorders>
              <w:top w:val="single" w:sz="4" w:space="0" w:color="auto"/>
              <w:bottom w:val="single" w:sz="4" w:space="0" w:color="auto"/>
            </w:tcBorders>
          </w:tcPr>
          <w:p w14:paraId="59A684EE"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Rupture type, Acute/ impending/ threatened</w:t>
            </w:r>
          </w:p>
        </w:tc>
        <w:tc>
          <w:tcPr>
            <w:tcW w:w="1261" w:type="dxa"/>
            <w:tcBorders>
              <w:top w:val="single" w:sz="4" w:space="0" w:color="auto"/>
              <w:bottom w:val="single" w:sz="4" w:space="0" w:color="auto"/>
            </w:tcBorders>
          </w:tcPr>
          <w:p w14:paraId="64468470"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Radiation dose</w:t>
            </w:r>
          </w:p>
        </w:tc>
        <w:tc>
          <w:tcPr>
            <w:tcW w:w="1682" w:type="dxa"/>
            <w:tcBorders>
              <w:top w:val="single" w:sz="4" w:space="0" w:color="auto"/>
              <w:bottom w:val="single" w:sz="4" w:space="0" w:color="auto"/>
            </w:tcBorders>
          </w:tcPr>
          <w:p w14:paraId="00539EB3"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Time to develop CBS from diagnosis (</w:t>
            </w:r>
            <w:proofErr w:type="spellStart"/>
            <w:r w:rsidRPr="004E0B73">
              <w:rPr>
                <w:rFonts w:ascii="Book Antiqua" w:eastAsia="Malgun Gothic" w:hAnsi="Book Antiqua"/>
                <w:b/>
                <w:kern w:val="2"/>
                <w:lang w:eastAsia="ko-KR"/>
              </w:rPr>
              <w:t>mo</w:t>
            </w:r>
            <w:proofErr w:type="spellEnd"/>
            <w:r w:rsidRPr="004E0B73">
              <w:rPr>
                <w:rFonts w:ascii="Book Antiqua" w:eastAsia="Malgun Gothic" w:hAnsi="Book Antiqua"/>
                <w:b/>
                <w:kern w:val="2"/>
                <w:lang w:eastAsia="ko-KR"/>
              </w:rPr>
              <w:t>)</w:t>
            </w:r>
          </w:p>
        </w:tc>
        <w:tc>
          <w:tcPr>
            <w:tcW w:w="1726" w:type="dxa"/>
            <w:tcBorders>
              <w:top w:val="single" w:sz="4" w:space="0" w:color="auto"/>
              <w:bottom w:val="single" w:sz="4" w:space="0" w:color="auto"/>
            </w:tcBorders>
          </w:tcPr>
          <w:p w14:paraId="22FBDC9F"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 xml:space="preserve">Survival time </w:t>
            </w:r>
          </w:p>
        </w:tc>
        <w:tc>
          <w:tcPr>
            <w:tcW w:w="2101" w:type="dxa"/>
            <w:tcBorders>
              <w:top w:val="single" w:sz="4" w:space="0" w:color="auto"/>
              <w:bottom w:val="single" w:sz="4" w:space="0" w:color="auto"/>
            </w:tcBorders>
          </w:tcPr>
          <w:p w14:paraId="334B7DF4"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Treatment category</w:t>
            </w:r>
          </w:p>
        </w:tc>
        <w:tc>
          <w:tcPr>
            <w:tcW w:w="1451" w:type="dxa"/>
            <w:tcBorders>
              <w:top w:val="single" w:sz="4" w:space="0" w:color="auto"/>
              <w:bottom w:val="single" w:sz="4" w:space="0" w:color="auto"/>
            </w:tcBorders>
          </w:tcPr>
          <w:p w14:paraId="722BD8B9"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Re-bleeding after treatment (</w:t>
            </w:r>
            <w:r w:rsidR="004E0B73" w:rsidRPr="004E0B73">
              <w:rPr>
                <w:rFonts w:ascii="Book Antiqua" w:eastAsia="Malgun Gothic" w:hAnsi="Book Antiqua"/>
                <w:b/>
                <w:i/>
                <w:kern w:val="2"/>
                <w:lang w:eastAsia="ko-KR"/>
              </w:rPr>
              <w:t>n</w:t>
            </w:r>
            <w:r w:rsidRPr="004E0B73">
              <w:rPr>
                <w:rFonts w:ascii="Book Antiqua" w:eastAsia="Malgun Gothic" w:hAnsi="Book Antiqua"/>
                <w:b/>
                <w:kern w:val="2"/>
                <w:lang w:eastAsia="ko-KR"/>
              </w:rPr>
              <w:t>)</w:t>
            </w:r>
          </w:p>
        </w:tc>
        <w:tc>
          <w:tcPr>
            <w:tcW w:w="1134" w:type="dxa"/>
            <w:tcBorders>
              <w:top w:val="single" w:sz="4" w:space="0" w:color="auto"/>
              <w:bottom w:val="single" w:sz="4" w:space="0" w:color="auto"/>
            </w:tcBorders>
          </w:tcPr>
          <w:p w14:paraId="17261E4E"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b/>
                <w:kern w:val="2"/>
                <w:lang w:eastAsia="ko-KR"/>
              </w:rPr>
            </w:pPr>
            <w:r w:rsidRPr="004E0B73">
              <w:rPr>
                <w:rFonts w:ascii="Book Antiqua" w:eastAsia="Malgun Gothic" w:hAnsi="Book Antiqua"/>
                <w:b/>
                <w:kern w:val="2"/>
                <w:lang w:eastAsia="ko-KR"/>
              </w:rPr>
              <w:t>Neurological sequelae (</w:t>
            </w:r>
            <w:r w:rsidR="004E0B73" w:rsidRPr="004E0B73">
              <w:rPr>
                <w:rFonts w:ascii="Book Antiqua" w:eastAsia="Malgun Gothic" w:hAnsi="Book Antiqua"/>
                <w:b/>
                <w:i/>
                <w:kern w:val="2"/>
                <w:lang w:eastAsia="ko-KR"/>
              </w:rPr>
              <w:t>n</w:t>
            </w:r>
            <w:r w:rsidRPr="004E0B73">
              <w:rPr>
                <w:rFonts w:ascii="Book Antiqua" w:eastAsia="Malgun Gothic" w:hAnsi="Book Antiqua"/>
                <w:b/>
                <w:kern w:val="2"/>
                <w:lang w:eastAsia="ko-KR"/>
              </w:rPr>
              <w:t>)</w:t>
            </w:r>
          </w:p>
        </w:tc>
      </w:tr>
      <w:tr w:rsidR="000418BB" w:rsidRPr="004E0B73" w14:paraId="6D20B071" w14:textId="77777777" w:rsidTr="00FF1D64">
        <w:trPr>
          <w:trHeight w:val="1545"/>
        </w:trPr>
        <w:tc>
          <w:tcPr>
            <w:tcW w:w="921" w:type="dxa"/>
            <w:tcBorders>
              <w:top w:val="single" w:sz="4" w:space="0" w:color="auto"/>
            </w:tcBorders>
          </w:tcPr>
          <w:p w14:paraId="477F633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proofErr w:type="spellStart"/>
            <w:r w:rsidRPr="004E0B73">
              <w:rPr>
                <w:rFonts w:ascii="Book Antiqua" w:eastAsia="Malgun Gothic" w:hAnsi="Book Antiqua"/>
                <w:kern w:val="2"/>
                <w:lang w:eastAsia="ko-KR"/>
              </w:rPr>
              <w:t>Roh</w:t>
            </w:r>
            <w:proofErr w:type="spellEnd"/>
            <w:r w:rsidRPr="004E0B73">
              <w:rPr>
                <w:rFonts w:ascii="Book Antiqua" w:eastAsia="Malgun Gothic" w:hAnsi="Book Antiqua"/>
                <w:kern w:val="2"/>
                <w:lang w:eastAsia="ko-KR"/>
              </w:rPr>
              <w:t xml:space="preserve"> </w:t>
            </w:r>
            <w:r w:rsidRPr="004E0B73">
              <w:rPr>
                <w:rFonts w:ascii="Book Antiqua" w:eastAsia="Malgun Gothic" w:hAnsi="Book Antiqua"/>
                <w:i/>
                <w:kern w:val="2"/>
                <w:lang w:eastAsia="ko-KR"/>
              </w:rPr>
              <w:t>et al</w:t>
            </w:r>
            <w:r w:rsidRPr="004E0B73">
              <w:rPr>
                <w:rFonts w:ascii="Book Antiqua" w:eastAsia="Malgun Gothic" w:hAnsi="Book Antiqua"/>
                <w:kern w:val="2"/>
                <w:lang w:eastAsia="ko-KR"/>
              </w:rPr>
              <w:fldChar w:fldCharType="begin">
                <w:fldData xml:space="preserve">PEVuZE5vdGU+PENpdGU+PEF1dGhvcj5Sb2g8L0F1dGhvcj48WWVhcj4yMDA4PC9ZZWFyPjxSZWNO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</w:fldData>
              </w:fldChar>
            </w:r>
            <w:r w:rsidRPr="004E0B73">
              <w:rPr>
                <w:rFonts w:ascii="Book Antiqua" w:eastAsia="Malgun Gothic" w:hAnsi="Book Antiqua"/>
                <w:kern w:val="2"/>
                <w:lang w:eastAsia="ko-KR"/>
              </w:rPr>
              <w:instrText xml:space="preserve"> ADDIN EN.CITE </w:instrText>
            </w:r>
            <w:r w:rsidRPr="004E0B73">
              <w:rPr>
                <w:rFonts w:ascii="Book Antiqua" w:eastAsia="Malgun Gothic" w:hAnsi="Book Antiqua"/>
                <w:kern w:val="2"/>
                <w:lang w:eastAsia="ko-KR"/>
              </w:rPr>
              <w:fldChar w:fldCharType="begin">
                <w:fldData xml:space="preserve">PEVuZE5vdGU+PENpdGU+PEF1dGhvcj5Sb2g8L0F1dGhvcj48WWVhcj4yMDA4PC9ZZWFyPjxSZWNO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</w:fldData>
              </w:fldChar>
            </w:r>
            <w:r w:rsidRPr="004E0B73">
              <w:rPr>
                <w:rFonts w:ascii="Book Antiqua" w:eastAsia="Malgun Gothic" w:hAnsi="Book Antiqua"/>
                <w:kern w:val="2"/>
                <w:lang w:eastAsia="ko-KR"/>
              </w:rPr>
              <w:instrText xml:space="preserve"> ADDIN EN.CITE.DATA </w:instrText>
            </w:r>
            <w:r w:rsidRPr="004E0B73">
              <w:rPr>
                <w:rFonts w:ascii="Book Antiqua" w:eastAsia="Malgun Gothic" w:hAnsi="Book Antiqua"/>
                <w:kern w:val="2"/>
                <w:lang w:eastAsia="ko-KR"/>
              </w:rPr>
            </w:r>
            <w:r w:rsidRPr="004E0B73">
              <w:rPr>
                <w:rFonts w:ascii="Book Antiqua" w:eastAsia="Malgun Gothic" w:hAnsi="Book Antiqua"/>
                <w:kern w:val="2"/>
                <w:lang w:eastAsia="ko-KR"/>
              </w:rPr>
              <w:fldChar w:fldCharType="end"/>
            </w:r>
            <w:r w:rsidRPr="004E0B73">
              <w:rPr>
                <w:rFonts w:ascii="Book Antiqua" w:eastAsia="Malgun Gothic" w:hAnsi="Book Antiqua"/>
                <w:kern w:val="2"/>
                <w:lang w:eastAsia="ko-KR"/>
              </w:rPr>
            </w:r>
            <w:r w:rsidRPr="004E0B73">
              <w:rPr>
                <w:rFonts w:ascii="Book Antiqua" w:eastAsia="Malgun Gothic" w:hAnsi="Book Antiqua"/>
                <w:kern w:val="2"/>
                <w:lang w:eastAsia="ko-KR"/>
              </w:rPr>
              <w:fldChar w:fldCharType="separate"/>
            </w:r>
            <w:r w:rsidRPr="004E0B73">
              <w:rPr>
                <w:rFonts w:ascii="Book Antiqua" w:eastAsia="Malgun Gothic" w:hAnsi="Book Antiqua"/>
                <w:noProof/>
                <w:kern w:val="2"/>
                <w:vertAlign w:val="superscript"/>
                <w:lang w:eastAsia="ko-KR"/>
              </w:rPr>
              <w:t>[10]</w:t>
            </w:r>
            <w:r w:rsidRPr="004E0B73">
              <w:rPr>
                <w:rFonts w:ascii="Book Antiqua" w:eastAsia="Malgun Gothic" w:hAnsi="Book Antiqua"/>
                <w:kern w:val="2"/>
                <w:lang w:eastAsia="ko-KR"/>
              </w:rPr>
              <w:fldChar w:fldCharType="end"/>
            </w:r>
          </w:p>
        </w:tc>
        <w:tc>
          <w:tcPr>
            <w:tcW w:w="707" w:type="dxa"/>
            <w:tcBorders>
              <w:top w:val="single" w:sz="4" w:space="0" w:color="auto"/>
            </w:tcBorders>
          </w:tcPr>
          <w:p w14:paraId="7D0D56F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2008</w:t>
            </w:r>
          </w:p>
        </w:tc>
        <w:tc>
          <w:tcPr>
            <w:tcW w:w="782" w:type="dxa"/>
            <w:tcBorders>
              <w:top w:val="single" w:sz="4" w:space="0" w:color="auto"/>
            </w:tcBorders>
          </w:tcPr>
          <w:p w14:paraId="03CD5D55"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16</w:t>
            </w:r>
          </w:p>
        </w:tc>
        <w:tc>
          <w:tcPr>
            <w:tcW w:w="1985" w:type="dxa"/>
            <w:tcBorders>
              <w:top w:val="single" w:sz="4" w:space="0" w:color="auto"/>
            </w:tcBorders>
          </w:tcPr>
          <w:p w14:paraId="78822A11"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Acute</w:t>
            </w:r>
            <w:r w:rsidR="000418BB" w:rsidRPr="004E0B73">
              <w:rPr>
                <w:rFonts w:ascii="Book Antiqua" w:eastAsia="Malgun Gothic" w:hAnsi="Book Antiqua"/>
                <w:kern w:val="2"/>
                <w:lang w:eastAsia="ko-KR"/>
              </w:rPr>
              <w:t>:</w:t>
            </w:r>
            <w:r w:rsidRPr="004E0B73">
              <w:rPr>
                <w:rFonts w:ascii="Book Antiqua" w:eastAsia="Malgun Gothic" w:hAnsi="Book Antiqua"/>
                <w:kern w:val="2"/>
                <w:lang w:eastAsia="ko-KR"/>
              </w:rPr>
              <w:t xml:space="preserve"> </w:t>
            </w:r>
            <w:r w:rsidR="000418BB" w:rsidRPr="004E0B73">
              <w:rPr>
                <w:rFonts w:ascii="Book Antiqua" w:eastAsia="Malgun Gothic" w:hAnsi="Book Antiqua"/>
                <w:kern w:val="2"/>
                <w:lang w:eastAsia="ko-KR"/>
              </w:rPr>
              <w:t>8</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 xml:space="preserve">Impending: </w:t>
            </w:r>
            <w:r w:rsidR="000418BB" w:rsidRPr="004E0B73">
              <w:rPr>
                <w:rFonts w:ascii="Book Antiqua" w:eastAsia="Malgun Gothic" w:hAnsi="Book Antiqua"/>
                <w:kern w:val="2"/>
                <w:lang w:eastAsia="ko-KR"/>
              </w:rPr>
              <w:t>7</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Threatened</w:t>
            </w:r>
            <w:r w:rsidR="000418BB" w:rsidRPr="004E0B73">
              <w:rPr>
                <w:rFonts w:ascii="Book Antiqua" w:eastAsia="Malgun Gothic" w:hAnsi="Book Antiqua"/>
                <w:kern w:val="2"/>
                <w:lang w:eastAsia="ko-KR"/>
              </w:rPr>
              <w:t>:</w:t>
            </w:r>
            <w:r w:rsidRPr="004E0B73">
              <w:rPr>
                <w:rFonts w:ascii="Book Antiqua" w:eastAsia="Malgun Gothic" w:hAnsi="Book Antiqua"/>
                <w:kern w:val="2"/>
                <w:lang w:eastAsia="ko-KR"/>
              </w:rPr>
              <w:t xml:space="preserve"> </w:t>
            </w:r>
            <w:r w:rsidR="000418BB" w:rsidRPr="004E0B73">
              <w:rPr>
                <w:rFonts w:ascii="Book Antiqua" w:eastAsia="Malgun Gothic" w:hAnsi="Book Antiqua"/>
                <w:kern w:val="2"/>
                <w:lang w:eastAsia="ko-KR"/>
              </w:rPr>
              <w:t>7</w:t>
            </w:r>
          </w:p>
        </w:tc>
        <w:tc>
          <w:tcPr>
            <w:tcW w:w="1261" w:type="dxa"/>
            <w:tcBorders>
              <w:top w:val="single" w:sz="4" w:space="0" w:color="auto"/>
            </w:tcBorders>
          </w:tcPr>
          <w:p w14:paraId="3494C41D"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78.5 </w:t>
            </w:r>
            <w:proofErr w:type="spellStart"/>
            <w:r w:rsidRPr="004E0B73">
              <w:rPr>
                <w:rFonts w:ascii="Book Antiqua" w:eastAsia="Malgun Gothic" w:hAnsi="Book Antiqua"/>
                <w:kern w:val="2"/>
                <w:lang w:eastAsia="ko-KR"/>
              </w:rPr>
              <w:t>Gy</w:t>
            </w:r>
            <w:proofErr w:type="spellEnd"/>
            <w:r w:rsidRPr="004E0B73">
              <w:rPr>
                <w:rFonts w:ascii="Book Antiqua" w:eastAsia="Malgun Gothic" w:hAnsi="Book Antiqua"/>
                <w:kern w:val="2"/>
                <w:lang w:eastAsia="ko-KR"/>
              </w:rPr>
              <w:t xml:space="preserve"> (46–127)</w:t>
            </w:r>
          </w:p>
        </w:tc>
        <w:tc>
          <w:tcPr>
            <w:tcW w:w="1682" w:type="dxa"/>
            <w:tcBorders>
              <w:top w:val="single" w:sz="4" w:space="0" w:color="auto"/>
            </w:tcBorders>
          </w:tcPr>
          <w:p w14:paraId="4A3462C7"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23 </w:t>
            </w:r>
            <w:proofErr w:type="spellStart"/>
            <w:r w:rsidRPr="004E0B73">
              <w:rPr>
                <w:rFonts w:ascii="Book Antiqua" w:eastAsia="Malgun Gothic" w:hAnsi="Book Antiqua"/>
                <w:kern w:val="2"/>
                <w:lang w:eastAsia="ko-KR"/>
              </w:rPr>
              <w:t>mo</w:t>
            </w:r>
            <w:proofErr w:type="spellEnd"/>
            <w:r w:rsidRPr="004E0B73">
              <w:rPr>
                <w:rFonts w:ascii="Book Antiqua" w:eastAsia="Malgun Gothic" w:hAnsi="Book Antiqua"/>
                <w:kern w:val="2"/>
                <w:lang w:eastAsia="ko-KR"/>
              </w:rPr>
              <w:t xml:space="preserve"> </w:t>
            </w:r>
            <w:r w:rsidR="000418BB" w:rsidRPr="004E0B73">
              <w:rPr>
                <w:rFonts w:ascii="Book Antiqua" w:eastAsia="Malgun Gothic" w:hAnsi="Book Antiqua"/>
                <w:kern w:val="2"/>
                <w:lang w:eastAsia="ko-KR"/>
              </w:rPr>
              <w:t>(3-142)</w:t>
            </w:r>
          </w:p>
        </w:tc>
        <w:tc>
          <w:tcPr>
            <w:tcW w:w="1726" w:type="dxa"/>
            <w:tcBorders>
              <w:top w:val="single" w:sz="4" w:space="0" w:color="auto"/>
            </w:tcBorders>
          </w:tcPr>
          <w:p w14:paraId="56BE48C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5 </w:t>
            </w:r>
            <w:proofErr w:type="spellStart"/>
            <w:r w:rsidRPr="004E0B73">
              <w:rPr>
                <w:rFonts w:ascii="Book Antiqua" w:eastAsia="Malgun Gothic" w:hAnsi="Book Antiqua"/>
                <w:kern w:val="2"/>
                <w:lang w:eastAsia="ko-KR"/>
              </w:rPr>
              <w:t>mo</w:t>
            </w:r>
            <w:proofErr w:type="spellEnd"/>
            <w:r w:rsidR="004E0B73" w:rsidRPr="004E0B73">
              <w:rPr>
                <w:rFonts w:ascii="Book Antiqua" w:eastAsia="Malgun Gothic" w:hAnsi="Book Antiqua"/>
                <w:kern w:val="2"/>
                <w:lang w:eastAsia="ko-KR"/>
              </w:rPr>
              <w:t xml:space="preserve"> </w:t>
            </w:r>
            <w:r w:rsidRPr="004E0B73">
              <w:rPr>
                <w:rFonts w:ascii="Book Antiqua" w:eastAsia="Malgun Gothic" w:hAnsi="Book Antiqua"/>
                <w:kern w:val="2"/>
                <w:lang w:eastAsia="ko-KR"/>
              </w:rPr>
              <w:t>(1-21)</w:t>
            </w:r>
          </w:p>
        </w:tc>
        <w:tc>
          <w:tcPr>
            <w:tcW w:w="2101" w:type="dxa"/>
            <w:tcBorders>
              <w:top w:val="single" w:sz="4" w:space="0" w:color="auto"/>
            </w:tcBorders>
          </w:tcPr>
          <w:p w14:paraId="5CF9F37F"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Endovascular intervention:  16</w:t>
            </w:r>
          </w:p>
        </w:tc>
        <w:tc>
          <w:tcPr>
            <w:tcW w:w="1451" w:type="dxa"/>
            <w:tcBorders>
              <w:top w:val="single" w:sz="4" w:space="0" w:color="auto"/>
            </w:tcBorders>
          </w:tcPr>
          <w:p w14:paraId="7BFF31BD"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5</w:t>
            </w:r>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(31%)</w:t>
            </w:r>
          </w:p>
        </w:tc>
        <w:tc>
          <w:tcPr>
            <w:tcW w:w="1134" w:type="dxa"/>
            <w:tcBorders>
              <w:top w:val="single" w:sz="4" w:space="0" w:color="auto"/>
            </w:tcBorders>
          </w:tcPr>
          <w:p w14:paraId="0824215D"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3 (19%)</w:t>
            </w:r>
          </w:p>
        </w:tc>
      </w:tr>
      <w:tr w:rsidR="000418BB" w:rsidRPr="004E0B73" w14:paraId="656A9B8A" w14:textId="77777777" w:rsidTr="00FF1D64">
        <w:trPr>
          <w:trHeight w:val="618"/>
        </w:trPr>
        <w:tc>
          <w:tcPr>
            <w:tcW w:w="921" w:type="dxa"/>
          </w:tcPr>
          <w:p w14:paraId="1A1DE014"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Luo </w:t>
            </w:r>
            <w:r w:rsidRPr="004E0B73">
              <w:rPr>
                <w:rFonts w:ascii="Book Antiqua" w:eastAsia="Malgun Gothic" w:hAnsi="Book Antiqua"/>
                <w:i/>
                <w:kern w:val="2"/>
                <w:lang w:eastAsia="ko-KR"/>
              </w:rPr>
              <w:t>et al</w:t>
            </w:r>
            <w:r w:rsidRPr="004E0B73">
              <w:rPr>
                <w:rFonts w:ascii="Book Antiqua" w:eastAsia="Malgun Gothic" w:hAnsi="Book Antiqua"/>
                <w:kern w:val="2"/>
                <w:lang w:eastAsia="ko-KR"/>
              </w:rPr>
              <w:fldChar w:fldCharType="begin"/>
            </w:r>
            <w:r w:rsidRPr="004E0B73">
              <w:rPr>
                <w:rFonts w:ascii="Book Antiqua" w:eastAsia="Malgun Gothic" w:hAnsi="Book Antiqua"/>
                <w:kern w:val="2"/>
                <w:lang w:eastAsia="ko-KR"/>
              </w:rPr>
              <w:instrText xml:space="preserve"> ADDIN EN.CITE &lt;EndNote&gt;&lt;Cite&gt;&lt;Author&gt;Luo&lt;/Author&gt;&lt;Year&gt;2008&lt;/Year&gt;&lt;RecNum&gt;41&lt;/RecNum&gt;&lt;DisplayText&gt;&lt;style face="superscript"&gt;[12]&lt;/style&gt;&lt;/DisplayText&gt;&lt;record&gt;&lt;rec-number&gt;41&lt;/rec-number&gt;&lt;foreign-keys&gt;&lt;key app="EN" db-id="0edt2de2nf9t9le0spevtaxi2rz0drzrptda" timestamp="1597118227"&gt;41&lt;/key&gt;&lt;/foreign-keys&gt;&lt;ref-type name="Journal Article"&gt;17&lt;/ref-type&gt;&lt;contributors&gt;&lt;authors&gt;&lt;author&gt;Luo, Chao-Bao&lt;/author&gt;&lt;author&gt;Teng, Michael Mu-Huo&lt;/author&gt;&lt;author&gt;Chang, Feng-Chi&lt;/author&gt;&lt;author&gt;Chang, Cheng-Yen&lt;/author&gt;&lt;author&gt;Guo, Wan-You&lt;/author&gt;&lt;/authors&gt;&lt;/contributors&gt;&lt;titles&gt;&lt;title&gt;Radiation carotid blowout syndrome in nasopharyngeal carcinoma: angiographic features and endovascular management&lt;/title&gt;&lt;secondary-title&gt;Otolaryngology—Head and Neck Surgery&lt;/secondary-title&gt;&lt;/titles&gt;&lt;periodical&gt;&lt;full-title&gt;Otolaryngology—Head and Neck Surgery&lt;/full-title&gt;&lt;/periodical&gt;&lt;pages&gt;86-91&lt;/pages&gt;&lt;volume&gt;138&lt;/volume&gt;&lt;number&gt;1&lt;/number&gt;&lt;dates&gt;&lt;year&gt;2008&lt;/year&gt;&lt;/dates&gt;&lt;isbn&gt;0194-5998&lt;/isbn&gt;&lt;accession-num&gt;18164999&lt;/accession-num&gt;&lt;urls&gt;&lt;related-urls&gt;&lt;url&gt;https://journals.sagepub.com/doi/10.1016/j.otohns.2007.10.013?url_ver=Z39.88-2003&amp;amp;rfr_id=ori%3Arid%3Acrossref.org&amp;amp;rfr_dat=cr_pub%3Dpubmed&amp;amp;&lt;/url&gt;&lt;/related-urls&gt;&lt;/urls&gt;&lt;electronic-resource-num&gt;10.1016/j.otohns.2007.10.013&lt;/electronic-resource-num&gt;&lt;/record&gt;&lt;/Cite&gt;&lt;/EndNote&gt;</w:instrText>
            </w:r>
            <w:r w:rsidRPr="004E0B73">
              <w:rPr>
                <w:rFonts w:ascii="Book Antiqua" w:eastAsia="Malgun Gothic" w:hAnsi="Book Antiqua"/>
                <w:kern w:val="2"/>
                <w:lang w:eastAsia="ko-KR"/>
              </w:rPr>
              <w:fldChar w:fldCharType="separate"/>
            </w:r>
            <w:r w:rsidRPr="004E0B73">
              <w:rPr>
                <w:rFonts w:ascii="Book Antiqua" w:eastAsia="Malgun Gothic" w:hAnsi="Book Antiqua"/>
                <w:noProof/>
                <w:kern w:val="2"/>
                <w:vertAlign w:val="superscript"/>
                <w:lang w:eastAsia="ko-KR"/>
              </w:rPr>
              <w:t>[12]</w:t>
            </w:r>
            <w:r w:rsidRPr="004E0B73">
              <w:rPr>
                <w:rFonts w:ascii="Book Antiqua" w:eastAsia="Malgun Gothic" w:hAnsi="Book Antiqua"/>
                <w:kern w:val="2"/>
                <w:lang w:eastAsia="ko-KR"/>
              </w:rPr>
              <w:fldChar w:fldCharType="end"/>
            </w:r>
          </w:p>
        </w:tc>
        <w:tc>
          <w:tcPr>
            <w:tcW w:w="707" w:type="dxa"/>
          </w:tcPr>
          <w:p w14:paraId="072A3104"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2008</w:t>
            </w:r>
          </w:p>
        </w:tc>
        <w:tc>
          <w:tcPr>
            <w:tcW w:w="782" w:type="dxa"/>
          </w:tcPr>
          <w:p w14:paraId="78A7207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14</w:t>
            </w:r>
          </w:p>
        </w:tc>
        <w:tc>
          <w:tcPr>
            <w:tcW w:w="1985" w:type="dxa"/>
          </w:tcPr>
          <w:p w14:paraId="3E94A5E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w:t>
            </w:r>
          </w:p>
        </w:tc>
        <w:tc>
          <w:tcPr>
            <w:tcW w:w="1261" w:type="dxa"/>
          </w:tcPr>
          <w:p w14:paraId="67AC9B4D"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73 </w:t>
            </w:r>
            <w:proofErr w:type="spellStart"/>
            <w:r w:rsidRPr="004E0B73">
              <w:rPr>
                <w:rFonts w:ascii="Book Antiqua" w:eastAsia="Malgun Gothic" w:hAnsi="Book Antiqua"/>
                <w:kern w:val="2"/>
                <w:lang w:eastAsia="ko-KR"/>
              </w:rPr>
              <w:t>Gy</w:t>
            </w:r>
            <w:proofErr w:type="spellEnd"/>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(54-110)</w:t>
            </w:r>
          </w:p>
        </w:tc>
        <w:tc>
          <w:tcPr>
            <w:tcW w:w="1682" w:type="dxa"/>
          </w:tcPr>
          <w:p w14:paraId="63CECEC2"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33 </w:t>
            </w:r>
            <w:proofErr w:type="spellStart"/>
            <w:r w:rsidRPr="004E0B73">
              <w:rPr>
                <w:rFonts w:ascii="Book Antiqua" w:eastAsia="Malgun Gothic" w:hAnsi="Book Antiqua"/>
                <w:kern w:val="2"/>
                <w:lang w:eastAsia="ko-KR"/>
              </w:rPr>
              <w:t>mo</w:t>
            </w:r>
            <w:proofErr w:type="spellEnd"/>
            <w:r w:rsidRPr="004E0B73">
              <w:rPr>
                <w:rFonts w:ascii="Book Antiqua" w:hAnsi="Book Antiqua"/>
                <w:kern w:val="2"/>
                <w:lang w:eastAsia="zh-CN"/>
              </w:rPr>
              <w:t xml:space="preserve"> </w:t>
            </w:r>
            <w:r w:rsidR="000418BB" w:rsidRPr="004E0B73">
              <w:rPr>
                <w:rFonts w:ascii="Book Antiqua" w:eastAsia="Malgun Gothic" w:hAnsi="Book Antiqua"/>
                <w:kern w:val="2"/>
                <w:lang w:eastAsia="ko-KR"/>
              </w:rPr>
              <w:t>(8-70)</w:t>
            </w:r>
          </w:p>
        </w:tc>
        <w:tc>
          <w:tcPr>
            <w:tcW w:w="1726" w:type="dxa"/>
          </w:tcPr>
          <w:p w14:paraId="0FDED700"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21 </w:t>
            </w:r>
            <w:proofErr w:type="spellStart"/>
            <w:r w:rsidRPr="004E0B73">
              <w:rPr>
                <w:rFonts w:ascii="Book Antiqua" w:eastAsia="Malgun Gothic" w:hAnsi="Book Antiqua"/>
                <w:kern w:val="2"/>
                <w:lang w:eastAsia="ko-KR"/>
              </w:rPr>
              <w:t>mo</w:t>
            </w:r>
            <w:proofErr w:type="spellEnd"/>
            <w:r w:rsidRPr="004E0B73">
              <w:rPr>
                <w:rFonts w:ascii="Book Antiqua" w:eastAsia="Malgun Gothic" w:hAnsi="Book Antiqua"/>
                <w:kern w:val="2"/>
                <w:lang w:eastAsia="ko-KR"/>
              </w:rPr>
              <w:t xml:space="preserve"> (4-48)</w:t>
            </w:r>
          </w:p>
        </w:tc>
        <w:tc>
          <w:tcPr>
            <w:tcW w:w="2101" w:type="dxa"/>
          </w:tcPr>
          <w:p w14:paraId="72EACB67"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Endovascular intervention: 14</w:t>
            </w:r>
          </w:p>
        </w:tc>
        <w:tc>
          <w:tcPr>
            <w:tcW w:w="1451" w:type="dxa"/>
          </w:tcPr>
          <w:p w14:paraId="348A154C"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highlight w:val="cyan"/>
                <w:lang w:eastAsia="ko-KR"/>
              </w:rPr>
            </w:pPr>
            <w:r w:rsidRPr="004E0B73">
              <w:rPr>
                <w:rFonts w:ascii="Book Antiqua" w:eastAsia="Malgun Gothic" w:hAnsi="Book Antiqua"/>
                <w:kern w:val="2"/>
                <w:lang w:eastAsia="ko-KR"/>
              </w:rPr>
              <w:t>(-)</w:t>
            </w:r>
          </w:p>
        </w:tc>
        <w:tc>
          <w:tcPr>
            <w:tcW w:w="1134" w:type="dxa"/>
          </w:tcPr>
          <w:p w14:paraId="305FC739"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3 (21%)</w:t>
            </w:r>
          </w:p>
        </w:tc>
      </w:tr>
      <w:tr w:rsidR="000418BB" w:rsidRPr="004E0B73" w14:paraId="06E787BD" w14:textId="77777777" w:rsidTr="00FF1D64">
        <w:trPr>
          <w:trHeight w:val="928"/>
        </w:trPr>
        <w:tc>
          <w:tcPr>
            <w:tcW w:w="921" w:type="dxa"/>
          </w:tcPr>
          <w:p w14:paraId="45DDE210"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Chen </w:t>
            </w:r>
            <w:r w:rsidRPr="004E0B73">
              <w:rPr>
                <w:rFonts w:ascii="Book Antiqua" w:eastAsia="Malgun Gothic" w:hAnsi="Book Antiqua"/>
                <w:i/>
                <w:kern w:val="2"/>
                <w:lang w:eastAsia="ko-KR"/>
              </w:rPr>
              <w:t>et al</w:t>
            </w:r>
            <w:r w:rsidRPr="004E0B73">
              <w:rPr>
                <w:rFonts w:ascii="Book Antiqua" w:eastAsia="Malgun Gothic" w:hAnsi="Book Antiqua"/>
                <w:kern w:val="2"/>
                <w:lang w:eastAsia="ko-KR"/>
              </w:rPr>
              <w:fldChar w:fldCharType="begin"/>
            </w:r>
            <w:r w:rsidRPr="004E0B73">
              <w:rPr>
                <w:rFonts w:ascii="Book Antiqua" w:eastAsia="Malgun Gothic" w:hAnsi="Book Antiqua"/>
                <w:kern w:val="2"/>
                <w:lang w:eastAsia="ko-KR"/>
              </w:rPr>
              <w:instrText xml:space="preserve"> ADDIN EN.CITE &lt;EndNote&gt;&lt;Cite&gt;&lt;Author&gt;Chen&lt;/Author&gt;&lt;Year&gt;2015&lt;/Year&gt;&lt;RecNum&gt;42&lt;/RecNum&gt;&lt;DisplayText&gt;&lt;style face="superscript"&gt;[13]&lt;/style&gt;&lt;/DisplayText&gt;&lt;record&gt;&lt;rec-number&gt;42&lt;/rec-number&gt;&lt;foreign-keys&gt;&lt;key app="EN" db-id="0edt2de2nf9t9le0spevtaxi2rz0drzrptda" timestamp="1597118258"&gt;42&lt;/key&gt;&lt;/foreign-keys&gt;&lt;ref-type name="Journal Article"&gt;17&lt;/ref-type&gt;&lt;contributors&gt;&lt;authors&gt;&lt;author&gt;Chen, Yi</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Juin&lt;/author&gt;&lt;author&gt;Wang, Ching</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Ping&lt;/author&gt;&lt;author&gt;Wang, Chen</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Chi&lt;/author&gt;&lt;author&gt;Jiang, Rong</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San&lt;/author&gt;&lt;author&gt;Lin, Jin</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Ching&lt;/author&gt;&lt;author&gt;Liu, Shih</w:instrText>
            </w:r>
            <w:r w:rsidRPr="004E0B73">
              <w:rPr>
                <w:rFonts w:ascii="宋体" w:eastAsia="宋体" w:hAnsi="宋体" w:cs="宋体" w:hint="eastAsia"/>
                <w:kern w:val="2"/>
                <w:lang w:eastAsia="ko-KR"/>
              </w:rPr>
              <w:instrText>‐</w:instrText>
            </w:r>
            <w:r w:rsidRPr="004E0B73">
              <w:rPr>
                <w:rFonts w:ascii="Book Antiqua" w:eastAsia="Malgun Gothic" w:hAnsi="Book Antiqua"/>
                <w:kern w:val="2"/>
                <w:lang w:eastAsia="ko-KR"/>
              </w:rPr>
              <w:instrText>An&lt;/author&gt;&lt;/authors&gt;&lt;/contributors&gt;&lt;titles&gt;&lt;title&gt;Carotid blowout in patients with head and neck cancer: associated factors and treatment outcomes&lt;/title&gt;&lt;secondary-title&gt;Head &amp;amp; neck&lt;/secondary-title&gt;&lt;/titles&gt;&lt;periodical&gt;&lt;full-title&gt;Head &amp;amp; neck&lt;/full-title&gt;&lt;/periodical&gt;&lt;pages&gt;265-272&lt;/pages&gt;&lt;volume&gt;37&lt;/volume&gt;&lt;number&gt;2&lt;/number&gt;&lt;dates&gt;&lt;year&gt;2015&lt;/year&gt;&lt;/dates&gt;&lt;isbn&gt;1043-3074&lt;/isbn&gt;&lt;accession-num&gt;24375817&lt;/accession-num&gt;&lt;urls&gt;&lt;/urls&gt;&lt;electronic-resource-num&gt;10.1002/hed.23590&lt;/electronic-resource-num&gt;&lt;/record&gt;&lt;/Cite&gt;&lt;/EndNote&gt;</w:instrText>
            </w:r>
            <w:r w:rsidRPr="004E0B73">
              <w:rPr>
                <w:rFonts w:ascii="Book Antiqua" w:eastAsia="Malgun Gothic" w:hAnsi="Book Antiqua"/>
                <w:kern w:val="2"/>
                <w:lang w:eastAsia="ko-KR"/>
              </w:rPr>
              <w:fldChar w:fldCharType="separate"/>
            </w:r>
            <w:r w:rsidRPr="004E0B73">
              <w:rPr>
                <w:rFonts w:ascii="Book Antiqua" w:eastAsia="Malgun Gothic" w:hAnsi="Book Antiqua"/>
                <w:noProof/>
                <w:kern w:val="2"/>
                <w:vertAlign w:val="superscript"/>
                <w:lang w:eastAsia="ko-KR"/>
              </w:rPr>
              <w:t>[13]</w:t>
            </w:r>
            <w:r w:rsidRPr="004E0B73">
              <w:rPr>
                <w:rFonts w:ascii="Book Antiqua" w:eastAsia="Malgun Gothic" w:hAnsi="Book Antiqua"/>
                <w:kern w:val="2"/>
                <w:lang w:eastAsia="ko-KR"/>
              </w:rPr>
              <w:fldChar w:fldCharType="end"/>
            </w:r>
          </w:p>
        </w:tc>
        <w:tc>
          <w:tcPr>
            <w:tcW w:w="707" w:type="dxa"/>
          </w:tcPr>
          <w:p w14:paraId="6C364CFC"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2015</w:t>
            </w:r>
          </w:p>
        </w:tc>
        <w:tc>
          <w:tcPr>
            <w:tcW w:w="782" w:type="dxa"/>
          </w:tcPr>
          <w:p w14:paraId="7A34633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87</w:t>
            </w:r>
          </w:p>
        </w:tc>
        <w:tc>
          <w:tcPr>
            <w:tcW w:w="1985" w:type="dxa"/>
          </w:tcPr>
          <w:p w14:paraId="46CE548C"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Acute</w:t>
            </w:r>
            <w:r w:rsidR="000418BB" w:rsidRPr="004E0B73">
              <w:rPr>
                <w:rFonts w:ascii="Book Antiqua" w:eastAsia="Malgun Gothic" w:hAnsi="Book Antiqua"/>
                <w:kern w:val="2"/>
                <w:lang w:eastAsia="ko-KR"/>
              </w:rPr>
              <w:t>: 34</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Impending</w:t>
            </w:r>
            <w:r w:rsidR="000418BB" w:rsidRPr="004E0B73">
              <w:rPr>
                <w:rFonts w:ascii="Book Antiqua" w:eastAsia="Malgun Gothic" w:hAnsi="Book Antiqua"/>
                <w:kern w:val="2"/>
                <w:lang w:eastAsia="ko-KR"/>
              </w:rPr>
              <w:t>: 53</w:t>
            </w:r>
          </w:p>
        </w:tc>
        <w:tc>
          <w:tcPr>
            <w:tcW w:w="1261" w:type="dxa"/>
          </w:tcPr>
          <w:p w14:paraId="748E6189"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73 </w:t>
            </w:r>
            <w:proofErr w:type="spellStart"/>
            <w:r w:rsidRPr="004E0B73">
              <w:rPr>
                <w:rFonts w:ascii="Book Antiqua" w:eastAsia="Malgun Gothic" w:hAnsi="Book Antiqua"/>
                <w:kern w:val="2"/>
                <w:lang w:eastAsia="ko-KR"/>
              </w:rPr>
              <w:t>Gy</w:t>
            </w:r>
            <w:proofErr w:type="spellEnd"/>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(SD, 29.6)</w:t>
            </w:r>
          </w:p>
        </w:tc>
        <w:tc>
          <w:tcPr>
            <w:tcW w:w="1682" w:type="dxa"/>
          </w:tcPr>
          <w:p w14:paraId="1540CD7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31 </w:t>
            </w:r>
            <w:proofErr w:type="spellStart"/>
            <w:r w:rsidRPr="004E0B73">
              <w:rPr>
                <w:rFonts w:ascii="Book Antiqua" w:eastAsia="Malgun Gothic" w:hAnsi="Book Antiqua"/>
                <w:kern w:val="2"/>
                <w:lang w:eastAsia="ko-KR"/>
              </w:rPr>
              <w:t>mo</w:t>
            </w:r>
            <w:proofErr w:type="spellEnd"/>
            <w:r w:rsidRPr="004E0B73">
              <w:rPr>
                <w:rFonts w:ascii="Book Antiqua" w:eastAsia="Malgun Gothic" w:hAnsi="Book Antiqua"/>
                <w:kern w:val="2"/>
                <w:lang w:eastAsia="ko-KR"/>
              </w:rPr>
              <w:t xml:space="preserve"> (SD,</w:t>
            </w:r>
            <w:r w:rsidRPr="004E0B73">
              <w:rPr>
                <w:rFonts w:ascii="Book Antiqua" w:eastAsia="Dotum" w:hAnsi="Book Antiqua"/>
                <w:kern w:val="2"/>
                <w:lang w:eastAsia="ko-KR"/>
              </w:rPr>
              <w:t xml:space="preserve"> </w:t>
            </w:r>
            <w:r w:rsidRPr="004E0B73">
              <w:rPr>
                <w:rFonts w:ascii="Book Antiqua" w:eastAsia="Malgun Gothic" w:hAnsi="Book Antiqua"/>
                <w:kern w:val="2"/>
                <w:lang w:eastAsia="ko-KR"/>
              </w:rPr>
              <w:t>27.2)</w:t>
            </w:r>
          </w:p>
        </w:tc>
        <w:tc>
          <w:tcPr>
            <w:tcW w:w="1726" w:type="dxa"/>
          </w:tcPr>
          <w:p w14:paraId="72162783"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Died within 30 </w:t>
            </w:r>
            <w:r w:rsidR="004E0B73" w:rsidRPr="004E0B73">
              <w:rPr>
                <w:rFonts w:ascii="Book Antiqua" w:eastAsia="Malgun Gothic" w:hAnsi="Book Antiqua"/>
                <w:kern w:val="2"/>
                <w:lang w:eastAsia="ko-KR"/>
              </w:rPr>
              <w:t>d</w:t>
            </w:r>
            <w:r w:rsidRPr="004E0B73">
              <w:rPr>
                <w:rFonts w:ascii="Book Antiqua" w:eastAsia="Malgun Gothic" w:hAnsi="Book Antiqua"/>
                <w:kern w:val="2"/>
                <w:lang w:eastAsia="ko-KR"/>
              </w:rPr>
              <w:t>: 19 (52.9%)</w:t>
            </w:r>
          </w:p>
        </w:tc>
        <w:tc>
          <w:tcPr>
            <w:tcW w:w="2101" w:type="dxa"/>
          </w:tcPr>
          <w:p w14:paraId="56F6C706"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Endovascular intervention: 71</w:t>
            </w:r>
            <w:r w:rsidR="004E0B73" w:rsidRPr="004E0B73">
              <w:rPr>
                <w:rFonts w:ascii="Book Antiqua" w:eastAsia="Malgun Gothic" w:hAnsi="Book Antiqua"/>
                <w:kern w:val="2"/>
                <w:lang w:eastAsia="ko-KR"/>
              </w:rPr>
              <w:t>,</w:t>
            </w:r>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Surgery: 16</w:t>
            </w:r>
          </w:p>
        </w:tc>
        <w:tc>
          <w:tcPr>
            <w:tcW w:w="1451" w:type="dxa"/>
          </w:tcPr>
          <w:p w14:paraId="543E0386"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40 </w:t>
            </w:r>
            <w:r w:rsidR="000418BB" w:rsidRPr="004E0B73">
              <w:rPr>
                <w:rFonts w:ascii="Book Antiqua" w:eastAsia="Malgun Gothic" w:hAnsi="Book Antiqua"/>
                <w:kern w:val="2"/>
                <w:lang w:eastAsia="ko-KR"/>
              </w:rPr>
              <w:t>(46%)</w:t>
            </w:r>
          </w:p>
        </w:tc>
        <w:tc>
          <w:tcPr>
            <w:tcW w:w="1134" w:type="dxa"/>
          </w:tcPr>
          <w:p w14:paraId="6A1A1D6B"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13</w:t>
            </w:r>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(15%)</w:t>
            </w:r>
          </w:p>
        </w:tc>
      </w:tr>
      <w:tr w:rsidR="000418BB" w:rsidRPr="004E0B73" w14:paraId="2A31FC05" w14:textId="77777777" w:rsidTr="00FF1D64">
        <w:trPr>
          <w:trHeight w:val="1223"/>
        </w:trPr>
        <w:tc>
          <w:tcPr>
            <w:tcW w:w="921" w:type="dxa"/>
          </w:tcPr>
          <w:p w14:paraId="7B4F066B"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Chang </w:t>
            </w:r>
            <w:r w:rsidRPr="004E0B73">
              <w:rPr>
                <w:rFonts w:ascii="Book Antiqua" w:eastAsia="Malgun Gothic" w:hAnsi="Book Antiqua"/>
                <w:i/>
                <w:kern w:val="2"/>
                <w:lang w:eastAsia="ko-KR"/>
              </w:rPr>
              <w:t>et al</w:t>
            </w:r>
            <w:r w:rsidRPr="004E0B73">
              <w:rPr>
                <w:rFonts w:ascii="Book Antiqua" w:eastAsia="Malgun Gothic" w:hAnsi="Book Antiqua"/>
                <w:kern w:val="2"/>
                <w:lang w:eastAsia="ko-KR"/>
              </w:rPr>
              <w:fldChar w:fldCharType="begin"/>
            </w:r>
            <w:r w:rsidRPr="004E0B73">
              <w:rPr>
                <w:rFonts w:ascii="Book Antiqua" w:eastAsia="Malgun Gothic" w:hAnsi="Book Antiqua"/>
                <w:kern w:val="2"/>
                <w:lang w:eastAsia="ko-KR"/>
              </w:rPr>
              <w:instrText xml:space="preserve"> ADDIN EN.CITE &lt;EndNote&gt;&lt;Cite&gt;&lt;Author&gt;Chang&lt;/Author&gt;&lt;Year&gt;2015&lt;/Year&gt;&lt;RecNum&gt;43&lt;/RecNum&gt;&lt;DisplayText&gt;&lt;style face="superscript"&gt;[14]&lt;/style&gt;&lt;/DisplayText&gt;&lt;record&gt;&lt;rec-number&gt;43&lt;/rec-number&gt;&lt;foreign-keys&gt;&lt;key app="EN" db-id="0edt2de2nf9t9le0spevtaxi2rz0drzrptda" timestamp="1597118292"&gt;43&lt;/key&gt;&lt;/foreign-keys&gt;&lt;ref-type name="Journal Article"&gt;17&lt;/ref-type&gt;&lt;contributors&gt;&lt;authors&gt;&lt;author&gt;Chang, Feng-Chi&lt;/author&gt;&lt;author&gt;Luo, Chao-Bao&lt;/author&gt;&lt;author&gt;Lirng, Jiing-Feng&lt;/author&gt;&lt;author&gt;Lin, Chung-Jung&lt;/author&gt;&lt;author&gt;Lee, Han-Jui&lt;/author&gt;&lt;author&gt;Wu, Chih-Chun&lt;/author&gt;&lt;author&gt;Hung, Sheng-Che&lt;/author&gt;&lt;author&gt;Guo, Wan-Yuo&lt;/author&gt;&lt;/authors&gt;&lt;/contributors&gt;&lt;titles&gt;&lt;title&gt;Endovascular management of post-irradiated carotid blowout syndrome&lt;/title&gt;&lt;secondary-title&gt;PloS one&lt;/secondary-title&gt;&lt;/titles&gt;&lt;periodical&gt;&lt;full-title&gt;PLoS One&lt;/full-title&gt;&lt;/periodical&gt;&lt;pages&gt;e0139821&lt;/pages&gt;&lt;volume&gt;10&lt;/volume&gt;&lt;number&gt;10&lt;/number&gt;&lt;dates&gt;&lt;year&gt;2015&lt;/year&gt;&lt;/dates&gt;&lt;isbn&gt;1932-6203&lt;/isbn&gt;&lt;accession-num&gt;26439632&lt;/accession-num&gt;&lt;urls&gt;&lt;related-urls&gt;&lt;url&gt;https://www.ncbi.nlm.nih.gov/pmc/articles/PMC4595276/pdf/pone.0139821.pdf&lt;/url&gt;&lt;/related-urls&gt;&lt;/urls&gt;&lt;custom2&gt;PMC4595276&lt;/custom2&gt;&lt;electronic-resource-num&gt;10.1371/journal.pone.0139821&lt;/electronic-resource-num&gt;&lt;/record&gt;&lt;/Cite&gt;&lt;/EndNote&gt;</w:instrText>
            </w:r>
            <w:r w:rsidRPr="004E0B73">
              <w:rPr>
                <w:rFonts w:ascii="Book Antiqua" w:eastAsia="Malgun Gothic" w:hAnsi="Book Antiqua"/>
                <w:kern w:val="2"/>
                <w:lang w:eastAsia="ko-KR"/>
              </w:rPr>
              <w:fldChar w:fldCharType="separate"/>
            </w:r>
            <w:r w:rsidRPr="004E0B73">
              <w:rPr>
                <w:rFonts w:ascii="Book Antiqua" w:eastAsia="Malgun Gothic" w:hAnsi="Book Antiqua"/>
                <w:noProof/>
                <w:kern w:val="2"/>
                <w:vertAlign w:val="superscript"/>
                <w:lang w:eastAsia="ko-KR"/>
              </w:rPr>
              <w:t>[14]</w:t>
            </w:r>
            <w:r w:rsidRPr="004E0B73">
              <w:rPr>
                <w:rFonts w:ascii="Book Antiqua" w:eastAsia="Malgun Gothic" w:hAnsi="Book Antiqua"/>
                <w:kern w:val="2"/>
                <w:lang w:eastAsia="ko-KR"/>
              </w:rPr>
              <w:fldChar w:fldCharType="end"/>
            </w:r>
          </w:p>
        </w:tc>
        <w:tc>
          <w:tcPr>
            <w:tcW w:w="707" w:type="dxa"/>
          </w:tcPr>
          <w:p w14:paraId="21B62FE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2015</w:t>
            </w:r>
          </w:p>
        </w:tc>
        <w:tc>
          <w:tcPr>
            <w:tcW w:w="782" w:type="dxa"/>
          </w:tcPr>
          <w:p w14:paraId="6557B210"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96</w:t>
            </w:r>
          </w:p>
        </w:tc>
        <w:tc>
          <w:tcPr>
            <w:tcW w:w="1985" w:type="dxa"/>
          </w:tcPr>
          <w:p w14:paraId="7056FC28"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Acute</w:t>
            </w:r>
            <w:r w:rsidR="000418BB" w:rsidRPr="004E0B73">
              <w:rPr>
                <w:rFonts w:ascii="Book Antiqua" w:eastAsia="Malgun Gothic" w:hAnsi="Book Antiqua"/>
                <w:kern w:val="2"/>
                <w:lang w:eastAsia="ko-KR"/>
              </w:rPr>
              <w:t>: 47</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Ongoing</w:t>
            </w:r>
            <w:r w:rsidR="000418BB" w:rsidRPr="004E0B73">
              <w:rPr>
                <w:rFonts w:ascii="Book Antiqua" w:eastAsia="Malgun Gothic" w:hAnsi="Book Antiqua"/>
                <w:kern w:val="2"/>
                <w:lang w:eastAsia="ko-KR"/>
              </w:rPr>
              <w:t>: 49</w:t>
            </w:r>
          </w:p>
        </w:tc>
        <w:tc>
          <w:tcPr>
            <w:tcW w:w="1261" w:type="dxa"/>
          </w:tcPr>
          <w:p w14:paraId="54147D65"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w:t>
            </w:r>
          </w:p>
        </w:tc>
        <w:tc>
          <w:tcPr>
            <w:tcW w:w="1682" w:type="dxa"/>
          </w:tcPr>
          <w:p w14:paraId="311B771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3.5 </w:t>
            </w:r>
            <w:proofErr w:type="spellStart"/>
            <w:r w:rsidRPr="004E0B73">
              <w:rPr>
                <w:rFonts w:ascii="Book Antiqua" w:eastAsia="Malgun Gothic" w:hAnsi="Book Antiqua"/>
                <w:kern w:val="2"/>
                <w:lang w:eastAsia="ko-KR"/>
              </w:rPr>
              <w:t>y</w:t>
            </w:r>
            <w:r w:rsidR="004E0B73" w:rsidRPr="004E0B73">
              <w:rPr>
                <w:rFonts w:ascii="Book Antiqua" w:eastAsia="Malgun Gothic" w:hAnsi="Book Antiqua"/>
                <w:kern w:val="2"/>
                <w:lang w:eastAsia="ko-KR"/>
              </w:rPr>
              <w:t>r</w:t>
            </w:r>
            <w:proofErr w:type="spellEnd"/>
            <w:r w:rsidR="004E0B73" w:rsidRPr="004E0B73">
              <w:rPr>
                <w:rFonts w:ascii="Book Antiqua" w:hAnsi="Book Antiqua"/>
                <w:kern w:val="2"/>
                <w:lang w:eastAsia="zh-CN"/>
              </w:rPr>
              <w:t xml:space="preserve"> </w:t>
            </w:r>
            <w:r w:rsidRPr="004E0B73">
              <w:rPr>
                <w:rFonts w:ascii="Book Antiqua" w:eastAsia="Malgun Gothic" w:hAnsi="Book Antiqua"/>
                <w:kern w:val="2"/>
                <w:lang w:eastAsia="ko-KR"/>
              </w:rPr>
              <w:t>(0.2–34, SD 2.8)</w:t>
            </w:r>
          </w:p>
        </w:tc>
        <w:tc>
          <w:tcPr>
            <w:tcW w:w="1726" w:type="dxa"/>
          </w:tcPr>
          <w:p w14:paraId="05B385D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10 </w:t>
            </w:r>
            <w:proofErr w:type="spellStart"/>
            <w:r w:rsidRPr="004E0B73">
              <w:rPr>
                <w:rFonts w:ascii="Book Antiqua" w:eastAsia="Malgun Gothic" w:hAnsi="Book Antiqua"/>
                <w:kern w:val="2"/>
                <w:lang w:eastAsia="ko-KR"/>
              </w:rPr>
              <w:t>mo</w:t>
            </w:r>
            <w:proofErr w:type="spellEnd"/>
            <w:r w:rsidRPr="004E0B73">
              <w:rPr>
                <w:rFonts w:ascii="Book Antiqua" w:eastAsia="Malgun Gothic" w:hAnsi="Book Antiqua"/>
                <w:kern w:val="2"/>
                <w:lang w:eastAsia="ko-KR"/>
              </w:rPr>
              <w:t xml:space="preserve"> (0.07–110, SD 34.1)</w:t>
            </w:r>
          </w:p>
        </w:tc>
        <w:tc>
          <w:tcPr>
            <w:tcW w:w="2101" w:type="dxa"/>
          </w:tcPr>
          <w:p w14:paraId="53217712"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Endovascular intervention:  96</w:t>
            </w:r>
          </w:p>
        </w:tc>
        <w:tc>
          <w:tcPr>
            <w:tcW w:w="1451" w:type="dxa"/>
          </w:tcPr>
          <w:p w14:paraId="45E1C6B4"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26 (27%)</w:t>
            </w:r>
          </w:p>
        </w:tc>
        <w:tc>
          <w:tcPr>
            <w:tcW w:w="1134" w:type="dxa"/>
          </w:tcPr>
          <w:p w14:paraId="0190C714"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19 (20%)</w:t>
            </w:r>
          </w:p>
        </w:tc>
      </w:tr>
      <w:tr w:rsidR="000418BB" w:rsidRPr="004E0B73" w14:paraId="281313BF" w14:textId="77777777" w:rsidTr="00FF1D64">
        <w:trPr>
          <w:trHeight w:val="1868"/>
        </w:trPr>
        <w:tc>
          <w:tcPr>
            <w:tcW w:w="921" w:type="dxa"/>
          </w:tcPr>
          <w:p w14:paraId="5A9E16AB"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 xml:space="preserve">Liang </w:t>
            </w:r>
            <w:r w:rsidRPr="004E0B73">
              <w:rPr>
                <w:rFonts w:ascii="Book Antiqua" w:eastAsia="Malgun Gothic" w:hAnsi="Book Antiqua"/>
                <w:i/>
                <w:kern w:val="2"/>
                <w:lang w:eastAsia="ko-KR"/>
              </w:rPr>
              <w:t>et al</w:t>
            </w:r>
            <w:r w:rsidRPr="004E0B73">
              <w:rPr>
                <w:rFonts w:ascii="Book Antiqua" w:eastAsia="Malgun Gothic" w:hAnsi="Book Antiqua"/>
                <w:kern w:val="2"/>
                <w:lang w:eastAsia="ko-KR"/>
              </w:rPr>
              <w:fldChar w:fldCharType="begin"/>
            </w:r>
            <w:r w:rsidRPr="004E0B73">
              <w:rPr>
                <w:rFonts w:ascii="Book Antiqua" w:eastAsia="Malgun Gothic" w:hAnsi="Book Antiqua"/>
                <w:kern w:val="2"/>
                <w:lang w:eastAsia="ko-KR"/>
              </w:rPr>
              <w:instrText xml:space="preserve"> ADDIN EN.CITE &lt;EndNote&gt;&lt;Cite&gt;&lt;Author&gt;Liang&lt;/Author&gt;&lt;Year&gt;2016&lt;/Year&gt;&lt;RecNum&gt;44&lt;/RecNum&gt;&lt;DisplayText&gt;&lt;style face="superscript"&gt;[15]&lt;/style&gt;&lt;/DisplayText&gt;&lt;record&gt;&lt;rec-number&gt;44&lt;/rec-number&gt;&lt;foreign-keys&gt;&lt;key app="EN" db-id="0edt2de2nf9t9le0spevtaxi2rz0drzrptda" timestamp="1597118319"&gt;44&lt;/key&gt;&lt;/foreign-keys&gt;&lt;ref-type name="Journal Article"&gt;17&lt;/ref-type&gt;&lt;contributors&gt;&lt;authors&gt;&lt;author&gt;Liang, Nathan L&lt;/author&gt;&lt;author&gt;Guedes, Brian D&lt;/author&gt;&lt;author&gt;Duvvuri, Umamaheswar&lt;/author&gt;&lt;author&gt;Singh, Michael J&lt;/author&gt;&lt;author&gt;Chaer, Rabih A&lt;/author&gt;&lt;author&gt;Makaroun, Michel S&lt;/author&gt;&lt;author&gt;Sachdev, Ulka&lt;/author&gt;&lt;/authors&gt;&lt;/contributors&gt;&lt;titles&gt;&lt;title&gt;Outcomes of interventions for carotid blowout syndrome in patients with head and neck cancer&lt;/title&gt;&lt;secondary-title&gt;Journal of vascular surgery&lt;/secondary-title&gt;&lt;/titles&gt;&lt;periodical&gt;&lt;full-title&gt;Journal of vascular surgery&lt;/full-title&gt;&lt;/periodical&gt;&lt;pages&gt;1525-1530&lt;/pages&gt;&lt;volume&gt;63&lt;/volume&gt;&lt;number&gt;6&lt;/number&gt;&lt;dates&gt;&lt;year&gt;2016&lt;/year&gt;&lt;/dates&gt;&lt;isbn&gt;0741-5214&lt;/isbn&gt;&lt;accession-num&gt;26926937&lt;/accession-num&gt;&lt;urls&gt;&lt;related-urls&gt;&lt;url&gt;https://www.jvascsurg.org/article/S0741-5214(16)00105-1/pdf&lt;/url&gt;&lt;/related-urls&gt;&lt;/urls&gt;&lt;custom2&gt;PMC4884149&lt;/custom2&gt;&lt;electronic-resource-num&gt;10.1016/j.jvs.2015.12.047&lt;/electronic-resource-num&gt;&lt;/record&gt;&lt;/Cite&gt;&lt;/EndNote&gt;</w:instrText>
            </w:r>
            <w:r w:rsidRPr="004E0B73">
              <w:rPr>
                <w:rFonts w:ascii="Book Antiqua" w:eastAsia="Malgun Gothic" w:hAnsi="Book Antiqua"/>
                <w:kern w:val="2"/>
                <w:lang w:eastAsia="ko-KR"/>
              </w:rPr>
              <w:fldChar w:fldCharType="separate"/>
            </w:r>
            <w:r w:rsidRPr="004E0B73">
              <w:rPr>
                <w:rFonts w:ascii="Book Antiqua" w:eastAsia="Malgun Gothic" w:hAnsi="Book Antiqua"/>
                <w:noProof/>
                <w:kern w:val="2"/>
                <w:vertAlign w:val="superscript"/>
                <w:lang w:eastAsia="ko-KR"/>
              </w:rPr>
              <w:t>[15]</w:t>
            </w:r>
            <w:r w:rsidRPr="004E0B73">
              <w:rPr>
                <w:rFonts w:ascii="Book Antiqua" w:eastAsia="Malgun Gothic" w:hAnsi="Book Antiqua"/>
                <w:kern w:val="2"/>
                <w:lang w:eastAsia="ko-KR"/>
              </w:rPr>
              <w:fldChar w:fldCharType="end"/>
            </w:r>
          </w:p>
        </w:tc>
        <w:tc>
          <w:tcPr>
            <w:tcW w:w="707" w:type="dxa"/>
          </w:tcPr>
          <w:p w14:paraId="7DD8951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2016</w:t>
            </w:r>
          </w:p>
        </w:tc>
        <w:tc>
          <w:tcPr>
            <w:tcW w:w="782" w:type="dxa"/>
          </w:tcPr>
          <w:p w14:paraId="78DBA7C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37</w:t>
            </w:r>
          </w:p>
        </w:tc>
        <w:tc>
          <w:tcPr>
            <w:tcW w:w="1985" w:type="dxa"/>
          </w:tcPr>
          <w:p w14:paraId="1DBF9D9D"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Acute</w:t>
            </w:r>
            <w:r w:rsidR="000418BB" w:rsidRPr="004E0B73">
              <w:rPr>
                <w:rFonts w:ascii="Book Antiqua" w:eastAsia="Malgun Gothic" w:hAnsi="Book Antiqua"/>
                <w:kern w:val="2"/>
                <w:lang w:eastAsia="ko-KR"/>
              </w:rPr>
              <w:t>: 25</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Impending</w:t>
            </w:r>
            <w:r w:rsidR="000418BB" w:rsidRPr="004E0B73">
              <w:rPr>
                <w:rFonts w:ascii="Book Antiqua" w:eastAsia="Malgun Gothic" w:hAnsi="Book Antiqua"/>
                <w:kern w:val="2"/>
                <w:lang w:eastAsia="ko-KR"/>
              </w:rPr>
              <w:t>: 9</w:t>
            </w:r>
            <w:r w:rsidRPr="004E0B73">
              <w:rPr>
                <w:rFonts w:ascii="Book Antiqua" w:eastAsia="Malgun Gothic" w:hAnsi="Book Antiqua"/>
                <w:kern w:val="2"/>
                <w:lang w:eastAsia="ko-KR"/>
              </w:rPr>
              <w:t>;</w:t>
            </w:r>
            <w:r w:rsidRPr="004E0B73">
              <w:rPr>
                <w:rFonts w:ascii="Book Antiqua" w:hAnsi="Book Antiqua"/>
                <w:kern w:val="2"/>
                <w:lang w:eastAsia="zh-CN"/>
              </w:rPr>
              <w:t xml:space="preserve"> </w:t>
            </w:r>
            <w:r w:rsidRPr="004E0B73">
              <w:rPr>
                <w:rFonts w:ascii="Book Antiqua" w:eastAsia="Malgun Gothic" w:hAnsi="Book Antiqua"/>
                <w:kern w:val="2"/>
                <w:lang w:eastAsia="ko-KR"/>
              </w:rPr>
              <w:t>Threatened</w:t>
            </w:r>
            <w:r w:rsidR="000418BB" w:rsidRPr="004E0B73">
              <w:rPr>
                <w:rFonts w:ascii="Book Antiqua" w:eastAsia="Malgun Gothic" w:hAnsi="Book Antiqua"/>
                <w:kern w:val="2"/>
                <w:lang w:eastAsia="ko-KR"/>
              </w:rPr>
              <w:t>: 3</w:t>
            </w:r>
          </w:p>
        </w:tc>
        <w:tc>
          <w:tcPr>
            <w:tcW w:w="1261" w:type="dxa"/>
          </w:tcPr>
          <w:p w14:paraId="5B0E454F" w14:textId="77777777" w:rsidR="00E11A7F"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w:t>
            </w:r>
          </w:p>
        </w:tc>
        <w:tc>
          <w:tcPr>
            <w:tcW w:w="1682" w:type="dxa"/>
          </w:tcPr>
          <w:p w14:paraId="4D85C728"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478 d</w:t>
            </w:r>
            <w:r w:rsidRPr="004E0B73">
              <w:rPr>
                <w:rFonts w:ascii="Book Antiqua" w:hAnsi="Book Antiqua"/>
                <w:kern w:val="2"/>
                <w:lang w:eastAsia="zh-CN"/>
              </w:rPr>
              <w:t xml:space="preserve"> </w:t>
            </w:r>
            <w:r w:rsidRPr="004E0B73">
              <w:rPr>
                <w:rFonts w:ascii="Book Antiqua" w:eastAsia="Malgun Gothic" w:hAnsi="Book Antiqua"/>
                <w:kern w:val="2"/>
                <w:lang w:eastAsia="ko-KR"/>
              </w:rPr>
              <w:t>(</w:t>
            </w:r>
            <w:r w:rsidR="000418BB" w:rsidRPr="004E0B73">
              <w:rPr>
                <w:rFonts w:ascii="Book Antiqua" w:eastAsia="Malgun Gothic" w:hAnsi="Book Antiqua"/>
                <w:kern w:val="2"/>
                <w:lang w:eastAsia="ko-KR"/>
              </w:rPr>
              <w:t>246-1752 )</w:t>
            </w:r>
          </w:p>
        </w:tc>
        <w:tc>
          <w:tcPr>
            <w:tcW w:w="1726" w:type="dxa"/>
          </w:tcPr>
          <w:p w14:paraId="2036331C" w14:textId="77777777" w:rsidR="000418BB" w:rsidRPr="004E0B73" w:rsidRDefault="004E0B73" w:rsidP="004E0B73">
            <w:pPr>
              <w:widowControl w:val="0"/>
              <w:autoSpaceDE w:val="0"/>
              <w:autoSpaceDN w:val="0"/>
              <w:snapToGrid w:val="0"/>
              <w:spacing w:line="360" w:lineRule="auto"/>
              <w:jc w:val="both"/>
              <w:rPr>
                <w:rFonts w:ascii="Book Antiqua" w:eastAsia="Malgun Gothic" w:hAnsi="Book Antiqua"/>
                <w:kern w:val="2"/>
                <w:highlight w:val="cyan"/>
                <w:lang w:eastAsia="ko-KR"/>
              </w:rPr>
            </w:pPr>
            <w:r w:rsidRPr="004E0B73">
              <w:rPr>
                <w:rFonts w:ascii="Book Antiqua" w:eastAsia="Malgun Gothic" w:hAnsi="Book Antiqua"/>
                <w:kern w:val="2"/>
                <w:lang w:eastAsia="ko-KR"/>
              </w:rPr>
              <w:t>90-d/1-y</w:t>
            </w:r>
            <w:r w:rsidR="000418BB" w:rsidRPr="004E0B73">
              <w:rPr>
                <w:rFonts w:ascii="Book Antiqua" w:eastAsia="Malgun Gothic" w:hAnsi="Book Antiqua"/>
                <w:kern w:val="2"/>
                <w:lang w:eastAsia="ko-KR"/>
              </w:rPr>
              <w:t>r estimated survivals:</w:t>
            </w:r>
            <w:r w:rsidRPr="004E0B73">
              <w:rPr>
                <w:rFonts w:ascii="Book Antiqua" w:eastAsia="Malgun Gothic" w:hAnsi="Book Antiqua"/>
                <w:kern w:val="2"/>
                <w:lang w:eastAsia="ko-KR"/>
              </w:rPr>
              <w:t xml:space="preserve"> </w:t>
            </w:r>
            <w:r w:rsidR="000418BB" w:rsidRPr="004E0B73">
              <w:rPr>
                <w:rFonts w:ascii="Book Antiqua" w:eastAsia="Malgun Gothic" w:hAnsi="Book Antiqua"/>
                <w:kern w:val="2"/>
                <w:lang w:eastAsia="ko-KR"/>
              </w:rPr>
              <w:t>60.9%/36.6%</w:t>
            </w:r>
          </w:p>
        </w:tc>
        <w:tc>
          <w:tcPr>
            <w:tcW w:w="2101" w:type="dxa"/>
          </w:tcPr>
          <w:p w14:paraId="5A536A06"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Endovascular intervention: 25</w:t>
            </w:r>
            <w:r w:rsidR="004E0B73" w:rsidRPr="004E0B73">
              <w:rPr>
                <w:rFonts w:ascii="Book Antiqua" w:eastAsia="Malgun Gothic" w:hAnsi="Book Antiqua"/>
                <w:kern w:val="2"/>
                <w:lang w:eastAsia="ko-KR"/>
              </w:rPr>
              <w:t xml:space="preserve">; </w:t>
            </w:r>
            <w:r w:rsidRPr="004E0B73">
              <w:rPr>
                <w:rFonts w:ascii="Book Antiqua" w:eastAsia="Malgun Gothic" w:hAnsi="Book Antiqua"/>
                <w:kern w:val="2"/>
                <w:lang w:eastAsia="ko-KR"/>
              </w:rPr>
              <w:t>Surgery: 12</w:t>
            </w:r>
          </w:p>
        </w:tc>
        <w:tc>
          <w:tcPr>
            <w:tcW w:w="1451" w:type="dxa"/>
          </w:tcPr>
          <w:p w14:paraId="4D175281"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11 (30%)</w:t>
            </w:r>
          </w:p>
        </w:tc>
        <w:tc>
          <w:tcPr>
            <w:tcW w:w="1134" w:type="dxa"/>
          </w:tcPr>
          <w:p w14:paraId="12C4EF0A" w14:textId="77777777" w:rsidR="000418BB" w:rsidRPr="004E0B73" w:rsidRDefault="000418BB" w:rsidP="004E0B73">
            <w:pPr>
              <w:widowControl w:val="0"/>
              <w:autoSpaceDE w:val="0"/>
              <w:autoSpaceDN w:val="0"/>
              <w:snapToGrid w:val="0"/>
              <w:spacing w:line="360" w:lineRule="auto"/>
              <w:jc w:val="both"/>
              <w:rPr>
                <w:rFonts w:ascii="Book Antiqua" w:eastAsia="Malgun Gothic" w:hAnsi="Book Antiqua"/>
                <w:kern w:val="2"/>
                <w:lang w:eastAsia="ko-KR"/>
              </w:rPr>
            </w:pPr>
            <w:r w:rsidRPr="004E0B73">
              <w:rPr>
                <w:rFonts w:ascii="Book Antiqua" w:eastAsia="Malgun Gothic" w:hAnsi="Book Antiqua"/>
                <w:kern w:val="2"/>
                <w:lang w:eastAsia="ko-KR"/>
              </w:rPr>
              <w:t>4 (11%)</w:t>
            </w:r>
          </w:p>
        </w:tc>
      </w:tr>
    </w:tbl>
    <w:p w14:paraId="7EE95A4E" w14:textId="77777777" w:rsidR="00A77B3E" w:rsidRPr="004E0B73" w:rsidRDefault="00407E94" w:rsidP="004E0B73">
      <w:pPr>
        <w:snapToGrid w:val="0"/>
        <w:spacing w:line="360" w:lineRule="auto"/>
        <w:jc w:val="both"/>
        <w:rPr>
          <w:rFonts w:ascii="Book Antiqua" w:hAnsi="Book Antiqua"/>
          <w:lang w:eastAsia="zh-CN"/>
        </w:rPr>
      </w:pPr>
      <w:r w:rsidRPr="004E0B73">
        <w:rPr>
          <w:rFonts w:ascii="Book Antiqua" w:hAnsi="Book Antiqua"/>
          <w:lang w:eastAsia="zh-CN"/>
        </w:rPr>
        <w:t>CBS: Carotid blowout syndrome.</w:t>
      </w:r>
    </w:p>
    <w:sectPr w:rsidR="00A77B3E" w:rsidRPr="004E0B73" w:rsidSect="00E22267">
      <w:type w:val="continuous"/>
      <w:pgSz w:w="16839" w:h="23814" w:code="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7DD62" w14:textId="77777777" w:rsidR="00257B2B" w:rsidRDefault="00257B2B" w:rsidP="002D3484">
      <w:r>
        <w:separator/>
      </w:r>
    </w:p>
  </w:endnote>
  <w:endnote w:type="continuationSeparator" w:id="0">
    <w:p w14:paraId="22B0CF87" w14:textId="77777777" w:rsidR="00257B2B" w:rsidRDefault="00257B2B" w:rsidP="002D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16927"/>
      <w:docPartObj>
        <w:docPartGallery w:val="Page Numbers (Bottom of Page)"/>
        <w:docPartUnique/>
      </w:docPartObj>
    </w:sdtPr>
    <w:sdtEndPr/>
    <w:sdtContent>
      <w:sdt>
        <w:sdtPr>
          <w:id w:val="-1769616900"/>
          <w:docPartObj>
            <w:docPartGallery w:val="Page Numbers (Top of Page)"/>
            <w:docPartUnique/>
          </w:docPartObj>
        </w:sdtPr>
        <w:sdtEndPr/>
        <w:sdtContent>
          <w:p w14:paraId="47D47250" w14:textId="77777777" w:rsidR="004E0B73" w:rsidRDefault="004E0B73">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F1D64">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F1D64">
              <w:rPr>
                <w:b/>
                <w:bCs/>
                <w:noProof/>
              </w:rPr>
              <w:t>20</w:t>
            </w:r>
            <w:r>
              <w:rPr>
                <w:b/>
                <w:bCs/>
                <w:sz w:val="24"/>
                <w:szCs w:val="24"/>
              </w:rPr>
              <w:fldChar w:fldCharType="end"/>
            </w:r>
          </w:p>
        </w:sdtContent>
      </w:sdt>
    </w:sdtContent>
  </w:sdt>
  <w:p w14:paraId="3C324A31" w14:textId="77777777" w:rsidR="002D3484" w:rsidRDefault="002D34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EEF8" w14:textId="77777777" w:rsidR="00257B2B" w:rsidRDefault="00257B2B" w:rsidP="002D3484">
      <w:r>
        <w:separator/>
      </w:r>
    </w:p>
  </w:footnote>
  <w:footnote w:type="continuationSeparator" w:id="0">
    <w:p w14:paraId="21F19253" w14:textId="77777777" w:rsidR="00257B2B" w:rsidRDefault="00257B2B" w:rsidP="002D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FE8E" w14:textId="77777777" w:rsidR="004E0B73" w:rsidRDefault="004E0B73" w:rsidP="004E0B73">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DDCC" w14:textId="77777777" w:rsidR="004E0B73" w:rsidRDefault="004E0B73" w:rsidP="004E0B7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97E"/>
    <w:rsid w:val="000418BB"/>
    <w:rsid w:val="00070DE6"/>
    <w:rsid w:val="00086367"/>
    <w:rsid w:val="000B385B"/>
    <w:rsid w:val="000E1F0A"/>
    <w:rsid w:val="00201913"/>
    <w:rsid w:val="00257B2B"/>
    <w:rsid w:val="002D3484"/>
    <w:rsid w:val="003325BF"/>
    <w:rsid w:val="00385AAC"/>
    <w:rsid w:val="00407E94"/>
    <w:rsid w:val="004712EA"/>
    <w:rsid w:val="0048606B"/>
    <w:rsid w:val="004E0B73"/>
    <w:rsid w:val="00523BA7"/>
    <w:rsid w:val="00596B67"/>
    <w:rsid w:val="005A6F93"/>
    <w:rsid w:val="005C106E"/>
    <w:rsid w:val="005F73DC"/>
    <w:rsid w:val="00627EF1"/>
    <w:rsid w:val="006747DD"/>
    <w:rsid w:val="00772A6A"/>
    <w:rsid w:val="007945C3"/>
    <w:rsid w:val="00851D1C"/>
    <w:rsid w:val="00860B0F"/>
    <w:rsid w:val="00866A12"/>
    <w:rsid w:val="00881E1F"/>
    <w:rsid w:val="008E737C"/>
    <w:rsid w:val="009611FD"/>
    <w:rsid w:val="009833FE"/>
    <w:rsid w:val="009D04AF"/>
    <w:rsid w:val="009E4C46"/>
    <w:rsid w:val="00A67B01"/>
    <w:rsid w:val="00A77B3E"/>
    <w:rsid w:val="00AF6D0B"/>
    <w:rsid w:val="00B01D34"/>
    <w:rsid w:val="00C33964"/>
    <w:rsid w:val="00C4444A"/>
    <w:rsid w:val="00C82DB4"/>
    <w:rsid w:val="00CA2A55"/>
    <w:rsid w:val="00D277D0"/>
    <w:rsid w:val="00D610FA"/>
    <w:rsid w:val="00D9056D"/>
    <w:rsid w:val="00D95158"/>
    <w:rsid w:val="00DC5CD8"/>
    <w:rsid w:val="00DF6D50"/>
    <w:rsid w:val="00E11A7F"/>
    <w:rsid w:val="00E22267"/>
    <w:rsid w:val="00E85795"/>
    <w:rsid w:val="00FF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36DE9"/>
  <w15:docId w15:val="{FD9F1428-5C02-4B8B-A10C-28048FB3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F6D0B"/>
    <w:rPr>
      <w:sz w:val="18"/>
      <w:szCs w:val="18"/>
    </w:rPr>
  </w:style>
  <w:style w:type="character" w:customStyle="1" w:styleId="a4">
    <w:name w:val="批注框文本 字符"/>
    <w:basedOn w:val="a0"/>
    <w:link w:val="a3"/>
    <w:rsid w:val="00AF6D0B"/>
    <w:rPr>
      <w:sz w:val="18"/>
      <w:szCs w:val="18"/>
    </w:rPr>
  </w:style>
  <w:style w:type="table" w:styleId="a5">
    <w:name w:val="Table Grid"/>
    <w:basedOn w:val="a1"/>
    <w:uiPriority w:val="59"/>
    <w:rsid w:val="000418BB"/>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Elegant"/>
    <w:basedOn w:val="a1"/>
    <w:rsid w:val="000418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7">
    <w:name w:val="Table Theme"/>
    <w:basedOn w:val="a1"/>
    <w:rsid w:val="0004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2D348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D3484"/>
    <w:rPr>
      <w:sz w:val="18"/>
      <w:szCs w:val="18"/>
    </w:rPr>
  </w:style>
  <w:style w:type="paragraph" w:styleId="aa">
    <w:name w:val="footer"/>
    <w:basedOn w:val="a"/>
    <w:link w:val="ab"/>
    <w:uiPriority w:val="99"/>
    <w:unhideWhenUsed/>
    <w:rsid w:val="002D3484"/>
    <w:pPr>
      <w:tabs>
        <w:tab w:val="center" w:pos="4153"/>
        <w:tab w:val="right" w:pos="8306"/>
      </w:tabs>
      <w:snapToGrid w:val="0"/>
    </w:pPr>
    <w:rPr>
      <w:sz w:val="18"/>
      <w:szCs w:val="18"/>
    </w:rPr>
  </w:style>
  <w:style w:type="character" w:customStyle="1" w:styleId="ab">
    <w:name w:val="页脚 字符"/>
    <w:basedOn w:val="a0"/>
    <w:link w:val="aa"/>
    <w:uiPriority w:val="99"/>
    <w:rsid w:val="002D3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AEF64EC-A67A-4F28-9FE1-A86D9BA7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2020-09-28T05:26:00Z</dcterms:created>
  <dcterms:modified xsi:type="dcterms:W3CDTF">2020-09-28T05:26:00Z</dcterms:modified>
</cp:coreProperties>
</file>