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8E23" w14:textId="77777777" w:rsidR="00B31E93" w:rsidRPr="007F6B31" w:rsidRDefault="00B31E93" w:rsidP="00B31E93">
      <w:pPr>
        <w:widowControl w:val="0"/>
        <w:adjustRightInd w:val="0"/>
        <w:snapToGrid w:val="0"/>
        <w:spacing w:after="0" w:line="360" w:lineRule="auto"/>
        <w:rPr>
          <w:rFonts w:ascii="Book Antiqua" w:eastAsia="Times New Roman" w:hAnsi="Book Antiqua" w:cs="宋体"/>
          <w:b/>
          <w:i/>
          <w:kern w:val="2"/>
          <w:sz w:val="24"/>
          <w:szCs w:val="24"/>
          <w:lang w:val="en-US" w:eastAsia="zh-CN"/>
        </w:rPr>
      </w:pPr>
      <w:r w:rsidRPr="007F6B31">
        <w:rPr>
          <w:rFonts w:ascii="Book Antiqua" w:eastAsia="Times New Roman" w:hAnsi="Book Antiqua" w:cs="宋体"/>
          <w:b/>
          <w:kern w:val="2"/>
          <w:sz w:val="24"/>
          <w:szCs w:val="24"/>
          <w:lang w:val="en-US"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7F6B31">
        <w:rPr>
          <w:rFonts w:ascii="Book Antiqua" w:eastAsia="Times New Roman" w:hAnsi="Book Antiqua" w:cs="宋体"/>
          <w:i/>
          <w:kern w:val="2"/>
          <w:sz w:val="24"/>
          <w:szCs w:val="24"/>
          <w:lang w:val="en-US" w:eastAsia="zh-CN"/>
        </w:rPr>
        <w:t xml:space="preserve">World Journal of </w:t>
      </w:r>
      <w:bookmarkEnd w:id="0"/>
      <w:bookmarkEnd w:id="1"/>
      <w:bookmarkEnd w:id="2"/>
      <w:bookmarkEnd w:id="3"/>
      <w:bookmarkEnd w:id="4"/>
      <w:bookmarkEnd w:id="5"/>
      <w:bookmarkEnd w:id="6"/>
      <w:r w:rsidRPr="007F6B31">
        <w:rPr>
          <w:rFonts w:ascii="Book Antiqua" w:eastAsia="Times New Roman" w:hAnsi="Book Antiqua" w:cs="宋体"/>
          <w:i/>
          <w:kern w:val="2"/>
          <w:sz w:val="24"/>
          <w:szCs w:val="24"/>
          <w:lang w:val="en-US" w:eastAsia="zh-CN"/>
        </w:rPr>
        <w:t>Clinical Cases</w:t>
      </w:r>
    </w:p>
    <w:p w14:paraId="4FF49501" w14:textId="5F3DD539" w:rsidR="00B31E93" w:rsidRPr="007F6B31" w:rsidRDefault="00B31E93" w:rsidP="00B31E93">
      <w:pPr>
        <w:widowControl w:val="0"/>
        <w:adjustRightInd w:val="0"/>
        <w:snapToGrid w:val="0"/>
        <w:spacing w:after="0" w:line="360" w:lineRule="auto"/>
        <w:jc w:val="both"/>
        <w:rPr>
          <w:rFonts w:ascii="Book Antiqua" w:hAnsi="Book Antiqua" w:cs="Arial"/>
          <w:b/>
          <w:kern w:val="2"/>
          <w:sz w:val="24"/>
          <w:szCs w:val="24"/>
          <w:lang w:val="en-GB" w:eastAsia="zh-CN"/>
        </w:rPr>
      </w:pPr>
      <w:r w:rsidRPr="007F6B31">
        <w:rPr>
          <w:rFonts w:ascii="Book Antiqua" w:eastAsia="Times New Roman" w:hAnsi="Book Antiqua" w:cs="Times New Roman"/>
          <w:b/>
          <w:bCs/>
          <w:kern w:val="2"/>
          <w:sz w:val="24"/>
          <w:szCs w:val="24"/>
          <w:lang w:val="en-US" w:eastAsia="zh-CN"/>
        </w:rPr>
        <w:t>Manuscript NO</w:t>
      </w:r>
      <w:r w:rsidRPr="007F6B31">
        <w:rPr>
          <w:rFonts w:ascii="Book Antiqua" w:hAnsi="Book Antiqua" w:cs="Arial"/>
          <w:b/>
          <w:kern w:val="2"/>
          <w:sz w:val="24"/>
          <w:szCs w:val="24"/>
          <w:lang w:val="en" w:eastAsia="zh-CN"/>
        </w:rPr>
        <w:t xml:space="preserve">: </w:t>
      </w:r>
      <w:r w:rsidRPr="007F6B31">
        <w:rPr>
          <w:rFonts w:ascii="Book Antiqua" w:hAnsi="Book Antiqua" w:cs="Arial"/>
          <w:bCs/>
          <w:kern w:val="2"/>
          <w:sz w:val="24"/>
          <w:szCs w:val="24"/>
          <w:lang w:val="en" w:eastAsia="zh-CN"/>
        </w:rPr>
        <w:t>54228</w:t>
      </w:r>
    </w:p>
    <w:p w14:paraId="75051B5B" w14:textId="77777777" w:rsidR="00B31E93" w:rsidRPr="007F6B31" w:rsidRDefault="00B31E93" w:rsidP="00B31E93">
      <w:pPr>
        <w:widowControl w:val="0"/>
        <w:adjustRightInd w:val="0"/>
        <w:snapToGrid w:val="0"/>
        <w:spacing w:after="0" w:line="360" w:lineRule="auto"/>
        <w:jc w:val="both"/>
        <w:rPr>
          <w:rFonts w:ascii="Book Antiqua" w:hAnsi="Book Antiqua" w:cs="Times New Roman"/>
          <w:b/>
          <w:kern w:val="2"/>
          <w:sz w:val="24"/>
          <w:szCs w:val="24"/>
          <w:lang w:val="en-US" w:eastAsia="zh-CN"/>
        </w:rPr>
      </w:pPr>
      <w:bookmarkStart w:id="7" w:name="OLE_LINK4"/>
      <w:bookmarkStart w:id="8" w:name="OLE_LINK3"/>
      <w:r w:rsidRPr="007F6B31">
        <w:rPr>
          <w:rFonts w:ascii="Book Antiqua" w:hAnsi="Book Antiqua" w:cs="Times New Roman"/>
          <w:b/>
          <w:kern w:val="2"/>
          <w:sz w:val="24"/>
          <w:szCs w:val="24"/>
          <w:lang w:val="en-US" w:eastAsia="zh-CN"/>
        </w:rPr>
        <w:t xml:space="preserve">Manuscript Type: </w:t>
      </w:r>
      <w:bookmarkEnd w:id="7"/>
      <w:bookmarkEnd w:id="8"/>
      <w:r w:rsidRPr="007F6B31">
        <w:rPr>
          <w:rFonts w:ascii="Book Antiqua" w:hAnsi="Book Antiqua" w:cs="Times New Roman"/>
          <w:kern w:val="2"/>
          <w:sz w:val="24"/>
          <w:szCs w:val="24"/>
          <w:lang w:val="en-US" w:eastAsia="zh-CN"/>
        </w:rPr>
        <w:t>CASE REPORT</w:t>
      </w:r>
    </w:p>
    <w:p w14:paraId="555EB75E" w14:textId="77777777" w:rsidR="00B31E93" w:rsidRPr="007F6B31" w:rsidRDefault="00B31E93" w:rsidP="001F2C55">
      <w:pPr>
        <w:snapToGrid w:val="0"/>
        <w:spacing w:after="0" w:line="360" w:lineRule="auto"/>
        <w:jc w:val="both"/>
        <w:rPr>
          <w:rFonts w:ascii="Book Antiqua" w:hAnsi="Book Antiqua" w:cs="Arial"/>
          <w:b/>
          <w:bCs/>
          <w:sz w:val="24"/>
          <w:szCs w:val="24"/>
          <w:lang w:val="en-US"/>
        </w:rPr>
      </w:pPr>
    </w:p>
    <w:p w14:paraId="5571E2CC" w14:textId="6DD311CC" w:rsidR="006A1D34" w:rsidRPr="007F6B31" w:rsidRDefault="006A1D34" w:rsidP="001F2C55">
      <w:pPr>
        <w:snapToGrid w:val="0"/>
        <w:spacing w:after="0" w:line="360" w:lineRule="auto"/>
        <w:jc w:val="both"/>
        <w:rPr>
          <w:rFonts w:ascii="Book Antiqua" w:hAnsi="Book Antiqua" w:cs="Arial"/>
          <w:b/>
          <w:bCs/>
          <w:sz w:val="24"/>
          <w:szCs w:val="24"/>
          <w:lang w:val="en-GB"/>
        </w:rPr>
      </w:pPr>
      <w:r w:rsidRPr="007F6B31">
        <w:rPr>
          <w:rFonts w:ascii="Book Antiqua" w:hAnsi="Book Antiqua" w:cs="Arial"/>
          <w:b/>
          <w:bCs/>
          <w:sz w:val="24"/>
          <w:szCs w:val="24"/>
          <w:lang w:val="en-GB"/>
        </w:rPr>
        <w:t xml:space="preserve">Cholesteryl </w:t>
      </w:r>
      <w:r w:rsidR="00225324" w:rsidRPr="007F6B31">
        <w:rPr>
          <w:rFonts w:ascii="Book Antiqua" w:hAnsi="Book Antiqua" w:cs="Arial"/>
          <w:b/>
          <w:bCs/>
          <w:sz w:val="24"/>
          <w:szCs w:val="24"/>
          <w:lang w:val="en-GB"/>
        </w:rPr>
        <w:t xml:space="preserve">ester storage disease </w:t>
      </w:r>
      <w:r w:rsidR="006E57B2" w:rsidRPr="007F6B31">
        <w:rPr>
          <w:rFonts w:ascii="Book Antiqua" w:hAnsi="Book Antiqua" w:cs="Arial"/>
          <w:b/>
          <w:bCs/>
          <w:sz w:val="24"/>
          <w:szCs w:val="24"/>
          <w:lang w:val="en-GB"/>
        </w:rPr>
        <w:t>of c</w:t>
      </w:r>
      <w:r w:rsidR="00363A0B" w:rsidRPr="007F6B31">
        <w:rPr>
          <w:rFonts w:ascii="Book Antiqua" w:hAnsi="Book Antiqua" w:cs="Arial"/>
          <w:b/>
          <w:bCs/>
          <w:sz w:val="24"/>
          <w:szCs w:val="24"/>
          <w:lang w:val="en-GB"/>
        </w:rPr>
        <w:t>linical and genetic characterisation</w:t>
      </w:r>
      <w:r w:rsidR="006B0258" w:rsidRPr="007F6B31">
        <w:rPr>
          <w:rFonts w:ascii="Book Antiqua" w:hAnsi="Book Antiqua" w:cs="Arial"/>
          <w:b/>
          <w:bCs/>
          <w:sz w:val="24"/>
          <w:szCs w:val="24"/>
          <w:lang w:val="en-GB"/>
        </w:rPr>
        <w:t xml:space="preserve">: A case report </w:t>
      </w:r>
      <w:r w:rsidR="006B0258" w:rsidRPr="007F6B31">
        <w:rPr>
          <w:rFonts w:ascii="Book Antiqua" w:hAnsi="Book Antiqua" w:cs="Arial"/>
          <w:b/>
          <w:bCs/>
          <w:sz w:val="24"/>
          <w:szCs w:val="24"/>
          <w:lang w:val="en-GB" w:eastAsia="zh-CN"/>
        </w:rPr>
        <w:t>and review of literature</w:t>
      </w:r>
    </w:p>
    <w:p w14:paraId="35950D43" w14:textId="1E061EA7" w:rsidR="004F433F" w:rsidRPr="007F6B31" w:rsidRDefault="004F433F" w:rsidP="001F2C55">
      <w:pPr>
        <w:snapToGrid w:val="0"/>
        <w:spacing w:after="0" w:line="360" w:lineRule="auto"/>
        <w:jc w:val="both"/>
        <w:rPr>
          <w:rFonts w:ascii="Book Antiqua" w:hAnsi="Book Antiqua" w:cs="Arial"/>
          <w:b/>
          <w:bCs/>
          <w:sz w:val="24"/>
          <w:szCs w:val="24"/>
          <w:lang w:val="en-US"/>
        </w:rPr>
      </w:pPr>
    </w:p>
    <w:p w14:paraId="0F1F0606" w14:textId="29F354ED" w:rsidR="006B0258" w:rsidRPr="007F6B31" w:rsidRDefault="006B0258" w:rsidP="001F2C55">
      <w:pPr>
        <w:snapToGrid w:val="0"/>
        <w:spacing w:after="0" w:line="360" w:lineRule="auto"/>
        <w:jc w:val="both"/>
        <w:rPr>
          <w:rFonts w:ascii="Book Antiqua" w:hAnsi="Book Antiqua" w:cs="Arial"/>
          <w:iCs/>
          <w:sz w:val="24"/>
          <w:szCs w:val="24"/>
          <w:lang w:val="en-GB"/>
        </w:rPr>
      </w:pPr>
      <w:r w:rsidRPr="007F6B31">
        <w:rPr>
          <w:rFonts w:ascii="Book Antiqua" w:hAnsi="Book Antiqua" w:cs="Arial"/>
          <w:sz w:val="24"/>
          <w:szCs w:val="24"/>
        </w:rPr>
        <w:t>Rashu</w:t>
      </w:r>
      <w:r w:rsidRPr="007F6B31">
        <w:rPr>
          <w:rFonts w:ascii="Book Antiqua" w:hAnsi="Book Antiqua" w:cs="Arial"/>
          <w:iCs/>
          <w:sz w:val="24"/>
          <w:szCs w:val="24"/>
          <w:lang w:val="en-GB"/>
        </w:rPr>
        <w:t xml:space="preserve"> </w:t>
      </w:r>
      <w:r w:rsidRPr="007F6B31">
        <w:rPr>
          <w:rFonts w:ascii="Book Antiqua" w:hAnsi="Book Antiqua" w:cs="Arial"/>
          <w:iCs/>
          <w:sz w:val="24"/>
          <w:szCs w:val="24"/>
          <w:lang w:val="en-GB" w:eastAsia="zh-CN"/>
        </w:rPr>
        <w:t xml:space="preserve">EB </w:t>
      </w:r>
      <w:r w:rsidRPr="007F6B31">
        <w:rPr>
          <w:rFonts w:ascii="Book Antiqua" w:hAnsi="Book Antiqua" w:cs="Arial"/>
          <w:i/>
          <w:sz w:val="24"/>
          <w:szCs w:val="24"/>
          <w:lang w:val="en-GB" w:eastAsia="zh-CN"/>
        </w:rPr>
        <w:t>et al</w:t>
      </w:r>
      <w:r w:rsidRPr="007F6B31">
        <w:rPr>
          <w:rFonts w:ascii="Book Antiqua" w:hAnsi="Book Antiqua" w:cs="Arial"/>
          <w:iCs/>
          <w:sz w:val="24"/>
          <w:szCs w:val="24"/>
          <w:lang w:val="en-GB" w:eastAsia="zh-CN"/>
        </w:rPr>
        <w:t>. C</w:t>
      </w:r>
      <w:r w:rsidRPr="007F6B31">
        <w:rPr>
          <w:rFonts w:ascii="Book Antiqua" w:hAnsi="Book Antiqua" w:cs="Arial"/>
          <w:iCs/>
          <w:sz w:val="24"/>
          <w:szCs w:val="24"/>
          <w:lang w:val="en-GB"/>
        </w:rPr>
        <w:t>linical and genetic characterisation of CESD</w:t>
      </w:r>
    </w:p>
    <w:p w14:paraId="6BD2C010" w14:textId="77777777" w:rsidR="006B0258" w:rsidRPr="007F6B31" w:rsidRDefault="006B0258" w:rsidP="001F2C55">
      <w:pPr>
        <w:snapToGrid w:val="0"/>
        <w:spacing w:after="0" w:line="360" w:lineRule="auto"/>
        <w:jc w:val="both"/>
        <w:rPr>
          <w:rFonts w:ascii="Book Antiqua" w:hAnsi="Book Antiqua" w:cs="Arial"/>
          <w:b/>
          <w:bCs/>
          <w:sz w:val="24"/>
          <w:szCs w:val="24"/>
          <w:lang w:val="en-US"/>
        </w:rPr>
      </w:pPr>
    </w:p>
    <w:p w14:paraId="0D167C5C" w14:textId="2B6325E7" w:rsidR="006A1D34" w:rsidRPr="007F6B31" w:rsidRDefault="00804B77" w:rsidP="001F2C55">
      <w:pPr>
        <w:snapToGrid w:val="0"/>
        <w:spacing w:after="0" w:line="360" w:lineRule="auto"/>
        <w:jc w:val="both"/>
        <w:rPr>
          <w:rFonts w:ascii="Book Antiqua" w:hAnsi="Book Antiqua" w:cs="Arial"/>
          <w:sz w:val="24"/>
          <w:szCs w:val="24"/>
        </w:rPr>
      </w:pPr>
      <w:r w:rsidRPr="007F6B31">
        <w:rPr>
          <w:rFonts w:ascii="Book Antiqua" w:hAnsi="Book Antiqua" w:cs="Arial"/>
          <w:sz w:val="24"/>
          <w:szCs w:val="24"/>
        </w:rPr>
        <w:t>Elias</w:t>
      </w:r>
      <w:r w:rsidR="00154269" w:rsidRPr="007F6B31">
        <w:rPr>
          <w:rFonts w:ascii="Book Antiqua" w:hAnsi="Book Antiqua" w:cs="Arial"/>
          <w:sz w:val="24"/>
          <w:szCs w:val="24"/>
        </w:rPr>
        <w:t xml:space="preserve"> Badal</w:t>
      </w:r>
      <w:r w:rsidRPr="007F6B31">
        <w:rPr>
          <w:rFonts w:ascii="Book Antiqua" w:hAnsi="Book Antiqua" w:cs="Arial"/>
          <w:sz w:val="24"/>
          <w:szCs w:val="24"/>
        </w:rPr>
        <w:t xml:space="preserve"> </w:t>
      </w:r>
      <w:r w:rsidR="006A1D34" w:rsidRPr="007F6B31">
        <w:rPr>
          <w:rFonts w:ascii="Book Antiqua" w:hAnsi="Book Antiqua" w:cs="Arial"/>
          <w:sz w:val="24"/>
          <w:szCs w:val="24"/>
        </w:rPr>
        <w:t>Rashu,</w:t>
      </w:r>
      <w:r w:rsidR="006A1D34" w:rsidRPr="007F6B31">
        <w:rPr>
          <w:rFonts w:ascii="Book Antiqua" w:hAnsi="Book Antiqua" w:cs="Arial"/>
          <w:sz w:val="24"/>
          <w:szCs w:val="24"/>
          <w:vertAlign w:val="superscript"/>
        </w:rPr>
        <w:t xml:space="preserve"> </w:t>
      </w:r>
      <w:r w:rsidRPr="007F6B31">
        <w:rPr>
          <w:rFonts w:ascii="Book Antiqua" w:hAnsi="Book Antiqua" w:cs="Arial"/>
          <w:sz w:val="24"/>
          <w:szCs w:val="24"/>
        </w:rPr>
        <w:t>Anders</w:t>
      </w:r>
      <w:r w:rsidR="00154269" w:rsidRPr="007F6B31">
        <w:rPr>
          <w:rFonts w:ascii="Book Antiqua" w:hAnsi="Book Antiqua" w:cs="Arial"/>
          <w:sz w:val="24"/>
          <w:szCs w:val="24"/>
        </w:rPr>
        <w:t xml:space="preserve"> Ellekær</w:t>
      </w:r>
      <w:r w:rsidRPr="007F6B31">
        <w:rPr>
          <w:rFonts w:ascii="Book Antiqua" w:hAnsi="Book Antiqua" w:cs="Arial"/>
          <w:sz w:val="24"/>
          <w:szCs w:val="24"/>
        </w:rPr>
        <w:t xml:space="preserve"> </w:t>
      </w:r>
      <w:r w:rsidR="006A1D34" w:rsidRPr="007F6B31">
        <w:rPr>
          <w:rFonts w:ascii="Book Antiqua" w:hAnsi="Book Antiqua" w:cs="Arial"/>
          <w:sz w:val="24"/>
          <w:szCs w:val="24"/>
        </w:rPr>
        <w:t xml:space="preserve">Junker, </w:t>
      </w:r>
      <w:r w:rsidR="00C25EBC" w:rsidRPr="007F6B31">
        <w:rPr>
          <w:rFonts w:ascii="Book Antiqua" w:hAnsi="Book Antiqua" w:cs="Arial"/>
          <w:sz w:val="24"/>
          <w:szCs w:val="24"/>
        </w:rPr>
        <w:t xml:space="preserve">Karen Vagner Danielsen, </w:t>
      </w:r>
      <w:r w:rsidRPr="007F6B31">
        <w:rPr>
          <w:rFonts w:ascii="Book Antiqua" w:hAnsi="Book Antiqua" w:cs="Arial"/>
          <w:sz w:val="24"/>
          <w:szCs w:val="24"/>
        </w:rPr>
        <w:t xml:space="preserve">Emilie </w:t>
      </w:r>
      <w:r w:rsidR="006A1D34" w:rsidRPr="007F6B31">
        <w:rPr>
          <w:rFonts w:ascii="Book Antiqua" w:hAnsi="Book Antiqua" w:cs="Arial"/>
          <w:sz w:val="24"/>
          <w:szCs w:val="24"/>
        </w:rPr>
        <w:t xml:space="preserve">Dahl, </w:t>
      </w:r>
      <w:r w:rsidRPr="007F6B31">
        <w:rPr>
          <w:rFonts w:ascii="Book Antiqua" w:hAnsi="Book Antiqua" w:cs="Arial"/>
          <w:sz w:val="24"/>
          <w:szCs w:val="24"/>
        </w:rPr>
        <w:t xml:space="preserve">Ole </w:t>
      </w:r>
      <w:r w:rsidR="006A1D34" w:rsidRPr="007F6B31">
        <w:rPr>
          <w:rFonts w:ascii="Book Antiqua" w:hAnsi="Book Antiqua" w:cs="Arial"/>
          <w:sz w:val="24"/>
          <w:szCs w:val="24"/>
        </w:rPr>
        <w:t xml:space="preserve">Hamberg, </w:t>
      </w:r>
      <w:r w:rsidRPr="007F6B31">
        <w:rPr>
          <w:rFonts w:ascii="Book Antiqua" w:hAnsi="Book Antiqua" w:cs="Arial"/>
          <w:sz w:val="24"/>
          <w:szCs w:val="24"/>
        </w:rPr>
        <w:t xml:space="preserve">Line </w:t>
      </w:r>
      <w:r w:rsidR="006A1D34" w:rsidRPr="007F6B31">
        <w:rPr>
          <w:rFonts w:ascii="Book Antiqua" w:hAnsi="Book Antiqua" w:cs="Arial"/>
          <w:sz w:val="24"/>
          <w:szCs w:val="24"/>
        </w:rPr>
        <w:t xml:space="preserve">Borgwardt, </w:t>
      </w:r>
      <w:r w:rsidRPr="007F6B31">
        <w:rPr>
          <w:rFonts w:ascii="Book Antiqua" w:hAnsi="Book Antiqua" w:cs="Arial"/>
          <w:sz w:val="24"/>
          <w:szCs w:val="24"/>
        </w:rPr>
        <w:t xml:space="preserve">Vibeke Brix </w:t>
      </w:r>
      <w:r w:rsidR="006A1D34" w:rsidRPr="007F6B31">
        <w:rPr>
          <w:rFonts w:ascii="Book Antiqua" w:hAnsi="Book Antiqua" w:cs="Arial"/>
          <w:sz w:val="24"/>
          <w:szCs w:val="24"/>
        </w:rPr>
        <w:t xml:space="preserve">Christensen, </w:t>
      </w:r>
      <w:r w:rsidRPr="007F6B31">
        <w:rPr>
          <w:rFonts w:ascii="Book Antiqua" w:hAnsi="Book Antiqua" w:cs="Arial"/>
          <w:sz w:val="24"/>
          <w:szCs w:val="24"/>
        </w:rPr>
        <w:t>Nicolai</w:t>
      </w:r>
      <w:r w:rsidR="00EB1344" w:rsidRPr="007F6B31">
        <w:rPr>
          <w:rFonts w:ascii="Book Antiqua" w:hAnsi="Book Antiqua" w:cs="Arial"/>
          <w:sz w:val="24"/>
          <w:szCs w:val="24"/>
        </w:rPr>
        <w:t xml:space="preserve"> J Wewer</w:t>
      </w:r>
      <w:r w:rsidRPr="007F6B31">
        <w:rPr>
          <w:rFonts w:ascii="Book Antiqua" w:hAnsi="Book Antiqua" w:cs="Arial"/>
          <w:sz w:val="24"/>
          <w:szCs w:val="24"/>
        </w:rPr>
        <w:t xml:space="preserve"> </w:t>
      </w:r>
      <w:r w:rsidR="00794AA8" w:rsidRPr="007F6B31">
        <w:rPr>
          <w:rFonts w:ascii="Book Antiqua" w:hAnsi="Book Antiqua" w:cs="Arial"/>
          <w:sz w:val="24"/>
          <w:szCs w:val="24"/>
        </w:rPr>
        <w:t>Albrec</w:t>
      </w:r>
      <w:r w:rsidR="00EB1344" w:rsidRPr="007F6B31">
        <w:rPr>
          <w:rFonts w:ascii="Book Antiqua" w:hAnsi="Book Antiqua" w:cs="Arial"/>
          <w:sz w:val="24"/>
          <w:szCs w:val="24"/>
        </w:rPr>
        <w:t>h</w:t>
      </w:r>
      <w:r w:rsidR="00794AA8" w:rsidRPr="007F6B31">
        <w:rPr>
          <w:rFonts w:ascii="Book Antiqua" w:hAnsi="Book Antiqua" w:cs="Arial"/>
          <w:sz w:val="24"/>
          <w:szCs w:val="24"/>
        </w:rPr>
        <w:t>tsen</w:t>
      </w:r>
      <w:r w:rsidRPr="007F6B31">
        <w:rPr>
          <w:rFonts w:ascii="Book Antiqua" w:hAnsi="Book Antiqua" w:cs="Arial"/>
          <w:sz w:val="24"/>
          <w:szCs w:val="24"/>
        </w:rPr>
        <w:t xml:space="preserve">, </w:t>
      </w:r>
      <w:r w:rsidR="00E67271" w:rsidRPr="007F6B31">
        <w:rPr>
          <w:rFonts w:ascii="Book Antiqua" w:hAnsi="Book Antiqua" w:cs="Arial"/>
          <w:sz w:val="24"/>
          <w:szCs w:val="24"/>
        </w:rPr>
        <w:t xml:space="preserve">Lise </w:t>
      </w:r>
      <w:r w:rsidR="00794AA8" w:rsidRPr="007F6B31">
        <w:rPr>
          <w:rFonts w:ascii="Book Antiqua" w:hAnsi="Book Antiqua" w:cs="Arial"/>
          <w:sz w:val="24"/>
          <w:szCs w:val="24"/>
        </w:rPr>
        <w:t xml:space="preserve">L </w:t>
      </w:r>
      <w:r w:rsidR="006A1D34" w:rsidRPr="007F6B31">
        <w:rPr>
          <w:rFonts w:ascii="Book Antiqua" w:hAnsi="Book Antiqua" w:cs="Arial"/>
          <w:sz w:val="24"/>
          <w:szCs w:val="24"/>
        </w:rPr>
        <w:t>Gluud</w:t>
      </w:r>
    </w:p>
    <w:p w14:paraId="089E1843" w14:textId="77777777" w:rsidR="004F433F" w:rsidRPr="007F6B31" w:rsidRDefault="004F433F" w:rsidP="001F2C55">
      <w:pPr>
        <w:snapToGrid w:val="0"/>
        <w:spacing w:after="0" w:line="360" w:lineRule="auto"/>
        <w:jc w:val="both"/>
        <w:rPr>
          <w:rFonts w:ascii="Book Antiqua" w:hAnsi="Book Antiqua" w:cs="Arial"/>
          <w:bCs/>
          <w:i/>
          <w:sz w:val="24"/>
          <w:szCs w:val="24"/>
          <w:lang w:val="en-GB"/>
        </w:rPr>
      </w:pPr>
    </w:p>
    <w:p w14:paraId="5AB7AF3F" w14:textId="5C1E7834" w:rsidR="00804B77" w:rsidRPr="007F6B31" w:rsidRDefault="00804B77" w:rsidP="001F2C55">
      <w:pPr>
        <w:snapToGrid w:val="0"/>
        <w:spacing w:after="0" w:line="360" w:lineRule="auto"/>
        <w:jc w:val="both"/>
        <w:rPr>
          <w:rFonts w:ascii="Book Antiqua" w:hAnsi="Book Antiqua" w:cs="Arial"/>
          <w:bCs/>
          <w:sz w:val="24"/>
          <w:szCs w:val="24"/>
          <w:lang w:val="en-GB"/>
        </w:rPr>
      </w:pPr>
      <w:r w:rsidRPr="007F6B31">
        <w:rPr>
          <w:rFonts w:ascii="Book Antiqua" w:hAnsi="Book Antiqua" w:cs="Arial"/>
          <w:b/>
          <w:bCs/>
          <w:sz w:val="24"/>
          <w:szCs w:val="24"/>
          <w:lang w:val="en-GB"/>
        </w:rPr>
        <w:t xml:space="preserve">Elias </w:t>
      </w:r>
      <w:r w:rsidR="006B0258" w:rsidRPr="007F6B31">
        <w:rPr>
          <w:rFonts w:ascii="Book Antiqua" w:hAnsi="Book Antiqua" w:cs="Arial"/>
          <w:b/>
          <w:bCs/>
          <w:sz w:val="24"/>
          <w:szCs w:val="24"/>
        </w:rPr>
        <w:t xml:space="preserve">Badal </w:t>
      </w:r>
      <w:proofErr w:type="spellStart"/>
      <w:r w:rsidRPr="007F6B31">
        <w:rPr>
          <w:rFonts w:ascii="Book Antiqua" w:hAnsi="Book Antiqua" w:cs="Arial"/>
          <w:b/>
          <w:bCs/>
          <w:sz w:val="24"/>
          <w:szCs w:val="24"/>
          <w:lang w:val="en-GB"/>
        </w:rPr>
        <w:t>Rashu</w:t>
      </w:r>
      <w:proofErr w:type="spellEnd"/>
      <w:r w:rsidRPr="007F6B31">
        <w:rPr>
          <w:rFonts w:ascii="Book Antiqua" w:hAnsi="Book Antiqua" w:cs="Arial"/>
          <w:b/>
          <w:bCs/>
          <w:sz w:val="24"/>
          <w:szCs w:val="24"/>
          <w:lang w:val="en-GB"/>
        </w:rPr>
        <w:t xml:space="preserve">, Anders </w:t>
      </w:r>
      <w:r w:rsidR="006B0258" w:rsidRPr="007F6B31">
        <w:rPr>
          <w:rFonts w:ascii="Book Antiqua" w:hAnsi="Book Antiqua" w:cs="Arial"/>
          <w:b/>
          <w:bCs/>
          <w:sz w:val="24"/>
          <w:szCs w:val="24"/>
        </w:rPr>
        <w:t xml:space="preserve">Ellekær </w:t>
      </w:r>
      <w:r w:rsidRPr="007F6B31">
        <w:rPr>
          <w:rFonts w:ascii="Book Antiqua" w:hAnsi="Book Antiqua" w:cs="Arial"/>
          <w:b/>
          <w:bCs/>
          <w:sz w:val="24"/>
          <w:szCs w:val="24"/>
          <w:lang w:val="en-GB"/>
        </w:rPr>
        <w:t xml:space="preserve">Junker, </w:t>
      </w:r>
      <w:r w:rsidR="00C25EBC" w:rsidRPr="007F6B31">
        <w:rPr>
          <w:rFonts w:ascii="Book Antiqua" w:hAnsi="Book Antiqua" w:cs="Arial"/>
          <w:b/>
          <w:bCs/>
          <w:sz w:val="24"/>
          <w:szCs w:val="24"/>
          <w:lang w:val="en-GB"/>
        </w:rPr>
        <w:t xml:space="preserve">Karen </w:t>
      </w:r>
      <w:r w:rsidR="006B0258" w:rsidRPr="007F6B31">
        <w:rPr>
          <w:rFonts w:ascii="Book Antiqua" w:hAnsi="Book Antiqua" w:cs="Arial"/>
          <w:b/>
          <w:bCs/>
          <w:sz w:val="24"/>
          <w:szCs w:val="24"/>
        </w:rPr>
        <w:t xml:space="preserve">Vagner </w:t>
      </w:r>
      <w:r w:rsidR="00C25EBC" w:rsidRPr="007F6B31">
        <w:rPr>
          <w:rFonts w:ascii="Book Antiqua" w:hAnsi="Book Antiqua" w:cs="Arial"/>
          <w:b/>
          <w:bCs/>
          <w:sz w:val="24"/>
          <w:szCs w:val="24"/>
          <w:lang w:val="en-GB"/>
        </w:rPr>
        <w:t xml:space="preserve">Danielsen, </w:t>
      </w:r>
      <w:r w:rsidR="006E57B2" w:rsidRPr="007F6B31">
        <w:rPr>
          <w:rFonts w:ascii="Book Antiqua" w:hAnsi="Book Antiqua" w:cs="Arial"/>
          <w:b/>
          <w:bCs/>
          <w:sz w:val="24"/>
          <w:szCs w:val="24"/>
          <w:lang w:val="en-GB"/>
        </w:rPr>
        <w:t xml:space="preserve">Lise L </w:t>
      </w:r>
      <w:proofErr w:type="spellStart"/>
      <w:r w:rsidR="006E57B2" w:rsidRPr="007F6B31">
        <w:rPr>
          <w:rFonts w:ascii="Book Antiqua" w:hAnsi="Book Antiqua" w:cs="Arial"/>
          <w:b/>
          <w:bCs/>
          <w:sz w:val="24"/>
          <w:szCs w:val="24"/>
          <w:lang w:val="en-GB"/>
        </w:rPr>
        <w:t>Gluud</w:t>
      </w:r>
      <w:proofErr w:type="spellEnd"/>
      <w:r w:rsidRPr="007F6B31">
        <w:rPr>
          <w:rFonts w:ascii="Book Antiqua" w:hAnsi="Book Antiqua" w:cs="Arial"/>
          <w:b/>
          <w:bCs/>
          <w:sz w:val="24"/>
          <w:szCs w:val="24"/>
          <w:lang w:val="en-GB"/>
        </w:rPr>
        <w:t xml:space="preserve"> </w:t>
      </w:r>
      <w:proofErr w:type="spellStart"/>
      <w:r w:rsidR="006A1D34" w:rsidRPr="007F6B31">
        <w:rPr>
          <w:rFonts w:ascii="Book Antiqua" w:hAnsi="Book Antiqua" w:cs="Arial"/>
          <w:bCs/>
          <w:sz w:val="24"/>
          <w:szCs w:val="24"/>
          <w:lang w:val="en-GB"/>
        </w:rPr>
        <w:t>Gastrounit</w:t>
      </w:r>
      <w:proofErr w:type="spellEnd"/>
      <w:r w:rsidR="006A1D34" w:rsidRPr="007F6B31">
        <w:rPr>
          <w:rFonts w:ascii="Book Antiqua" w:hAnsi="Book Antiqua" w:cs="Arial"/>
          <w:bCs/>
          <w:sz w:val="24"/>
          <w:szCs w:val="24"/>
          <w:lang w:val="en-GB"/>
        </w:rPr>
        <w:t>, Copenhagen University Hospital Hvidovre</w:t>
      </w:r>
      <w:r w:rsidR="00E67271" w:rsidRPr="007F6B31">
        <w:rPr>
          <w:rFonts w:ascii="Book Antiqua" w:hAnsi="Book Antiqua" w:cs="Arial"/>
          <w:bCs/>
          <w:sz w:val="24"/>
          <w:szCs w:val="24"/>
          <w:lang w:val="en-GB"/>
        </w:rPr>
        <w:t xml:space="preserve">, </w:t>
      </w:r>
      <w:r w:rsidR="00225324" w:rsidRPr="007F6B31">
        <w:rPr>
          <w:rFonts w:ascii="Book Antiqua" w:hAnsi="Book Antiqua" w:cs="Arial"/>
          <w:bCs/>
          <w:sz w:val="24"/>
          <w:szCs w:val="24"/>
          <w:lang w:val="en-GB"/>
        </w:rPr>
        <w:t xml:space="preserve">Hvidovre 2650, </w:t>
      </w:r>
      <w:r w:rsidR="00E67271" w:rsidRPr="007F6B31">
        <w:rPr>
          <w:rFonts w:ascii="Book Antiqua" w:hAnsi="Book Antiqua" w:cs="Arial"/>
          <w:bCs/>
          <w:sz w:val="24"/>
          <w:szCs w:val="24"/>
          <w:lang w:val="en-GB"/>
        </w:rPr>
        <w:t>Denmark</w:t>
      </w:r>
    </w:p>
    <w:p w14:paraId="05FC60EA" w14:textId="77777777" w:rsidR="006B0258" w:rsidRPr="007F6B31" w:rsidRDefault="006B0258" w:rsidP="001F2C55">
      <w:pPr>
        <w:snapToGrid w:val="0"/>
        <w:spacing w:after="0" w:line="360" w:lineRule="auto"/>
        <w:jc w:val="both"/>
        <w:rPr>
          <w:rFonts w:ascii="Book Antiqua" w:hAnsi="Book Antiqua" w:cs="Arial"/>
          <w:bCs/>
          <w:sz w:val="24"/>
          <w:szCs w:val="24"/>
          <w:lang w:val="en-GB"/>
        </w:rPr>
      </w:pPr>
    </w:p>
    <w:p w14:paraId="55558028" w14:textId="6255B0AC" w:rsidR="00E67271" w:rsidRPr="007F6B31" w:rsidRDefault="00804B77" w:rsidP="001F2C55">
      <w:pPr>
        <w:snapToGrid w:val="0"/>
        <w:spacing w:after="0" w:line="360" w:lineRule="auto"/>
        <w:jc w:val="both"/>
        <w:rPr>
          <w:rFonts w:ascii="Book Antiqua" w:hAnsi="Book Antiqua" w:cs="Arial"/>
          <w:bCs/>
          <w:sz w:val="24"/>
          <w:szCs w:val="24"/>
          <w:lang w:val="en-GB"/>
        </w:rPr>
      </w:pPr>
      <w:r w:rsidRPr="007F6B31">
        <w:rPr>
          <w:rFonts w:ascii="Book Antiqua" w:hAnsi="Book Antiqua" w:cs="Arial"/>
          <w:b/>
          <w:bCs/>
          <w:sz w:val="24"/>
          <w:szCs w:val="24"/>
          <w:lang w:val="en-GB"/>
        </w:rPr>
        <w:t xml:space="preserve">Emilie </w:t>
      </w:r>
      <w:r w:rsidR="00E67271" w:rsidRPr="007F6B31">
        <w:rPr>
          <w:rFonts w:ascii="Book Antiqua" w:hAnsi="Book Antiqua" w:cs="Arial"/>
          <w:b/>
          <w:bCs/>
          <w:sz w:val="24"/>
          <w:szCs w:val="24"/>
          <w:lang w:val="en-GB"/>
        </w:rPr>
        <w:t xml:space="preserve">Dahl, Ole </w:t>
      </w:r>
      <w:proofErr w:type="spellStart"/>
      <w:r w:rsidR="00E67271" w:rsidRPr="007F6B31">
        <w:rPr>
          <w:rFonts w:ascii="Book Antiqua" w:hAnsi="Book Antiqua" w:cs="Arial"/>
          <w:b/>
          <w:bCs/>
          <w:sz w:val="24"/>
          <w:szCs w:val="24"/>
          <w:lang w:val="en-GB"/>
        </w:rPr>
        <w:t>Hamberg</w:t>
      </w:r>
      <w:proofErr w:type="spellEnd"/>
      <w:r w:rsidR="006B0258" w:rsidRPr="007F6B31">
        <w:rPr>
          <w:rFonts w:ascii="Book Antiqua" w:hAnsi="Book Antiqua" w:cs="Arial"/>
          <w:b/>
          <w:bCs/>
          <w:sz w:val="24"/>
          <w:szCs w:val="24"/>
          <w:lang w:val="en-GB"/>
        </w:rPr>
        <w:t>,</w:t>
      </w:r>
      <w:r w:rsidR="006A1D34" w:rsidRPr="007F6B31">
        <w:rPr>
          <w:rFonts w:ascii="Book Antiqua" w:hAnsi="Book Antiqua" w:cs="Arial"/>
          <w:bCs/>
          <w:sz w:val="24"/>
          <w:szCs w:val="24"/>
          <w:vertAlign w:val="superscript"/>
          <w:lang w:val="en-GB"/>
        </w:rPr>
        <w:t xml:space="preserve"> </w:t>
      </w:r>
      <w:r w:rsidR="00721DF7" w:rsidRPr="007F6B31">
        <w:rPr>
          <w:rFonts w:ascii="Book Antiqua" w:hAnsi="Book Antiqua" w:cs="Arial"/>
          <w:bCs/>
          <w:sz w:val="24"/>
          <w:szCs w:val="24"/>
          <w:lang w:val="en-GB"/>
        </w:rPr>
        <w:t>Department</w:t>
      </w:r>
      <w:r w:rsidR="006A1D34" w:rsidRPr="007F6B31">
        <w:rPr>
          <w:rFonts w:ascii="Book Antiqua" w:hAnsi="Book Antiqua" w:cs="Arial"/>
          <w:bCs/>
          <w:sz w:val="24"/>
          <w:szCs w:val="24"/>
          <w:lang w:val="en-GB"/>
        </w:rPr>
        <w:t xml:space="preserve"> of Hepatology, </w:t>
      </w:r>
      <w:proofErr w:type="spellStart"/>
      <w:r w:rsidR="006A1D34" w:rsidRPr="007F6B31">
        <w:rPr>
          <w:rFonts w:ascii="Book Antiqua" w:hAnsi="Book Antiqua" w:cs="Arial"/>
          <w:bCs/>
          <w:sz w:val="24"/>
          <w:szCs w:val="24"/>
          <w:lang w:val="en-GB"/>
        </w:rPr>
        <w:t>Rigshospitalet</w:t>
      </w:r>
      <w:proofErr w:type="spellEnd"/>
      <w:r w:rsidR="006A1D34" w:rsidRPr="007F6B31">
        <w:rPr>
          <w:rFonts w:ascii="Book Antiqua" w:hAnsi="Book Antiqua" w:cs="Arial"/>
          <w:bCs/>
          <w:sz w:val="24"/>
          <w:szCs w:val="24"/>
          <w:lang w:val="en-GB"/>
        </w:rPr>
        <w:t>, Copenhagen University</w:t>
      </w:r>
      <w:r w:rsidR="00E67271" w:rsidRPr="007F6B31">
        <w:rPr>
          <w:rFonts w:ascii="Book Antiqua" w:hAnsi="Book Antiqua" w:cs="Arial"/>
          <w:bCs/>
          <w:sz w:val="24"/>
          <w:szCs w:val="24"/>
          <w:lang w:val="en-GB"/>
        </w:rPr>
        <w:t xml:space="preserve">, </w:t>
      </w:r>
      <w:r w:rsidR="00225324" w:rsidRPr="007F6B31">
        <w:rPr>
          <w:rFonts w:ascii="Book Antiqua" w:hAnsi="Book Antiqua" w:cs="Arial"/>
          <w:bCs/>
          <w:sz w:val="24"/>
          <w:szCs w:val="24"/>
          <w:lang w:val="en-GB"/>
        </w:rPr>
        <w:t xml:space="preserve">Copenhagen 2100, </w:t>
      </w:r>
      <w:r w:rsidR="00E67271" w:rsidRPr="007F6B31">
        <w:rPr>
          <w:rFonts w:ascii="Book Antiqua" w:hAnsi="Book Antiqua" w:cs="Arial"/>
          <w:bCs/>
          <w:sz w:val="24"/>
          <w:szCs w:val="24"/>
          <w:lang w:val="en-GB"/>
        </w:rPr>
        <w:t>Denmark</w:t>
      </w:r>
    </w:p>
    <w:p w14:paraId="099E1CE0" w14:textId="77777777" w:rsidR="006B0258" w:rsidRPr="007F6B31" w:rsidRDefault="006B0258" w:rsidP="001F2C55">
      <w:pPr>
        <w:snapToGrid w:val="0"/>
        <w:spacing w:after="0" w:line="360" w:lineRule="auto"/>
        <w:jc w:val="both"/>
        <w:rPr>
          <w:rFonts w:ascii="Book Antiqua" w:hAnsi="Book Antiqua" w:cs="Arial"/>
          <w:bCs/>
          <w:sz w:val="24"/>
          <w:szCs w:val="24"/>
          <w:lang w:val="en-GB"/>
        </w:rPr>
      </w:pPr>
    </w:p>
    <w:p w14:paraId="2A4C9B9F" w14:textId="7889E61C" w:rsidR="00E67271" w:rsidRPr="007F6B31" w:rsidRDefault="00E67271" w:rsidP="001F2C55">
      <w:pPr>
        <w:snapToGrid w:val="0"/>
        <w:spacing w:after="0" w:line="360" w:lineRule="auto"/>
        <w:jc w:val="both"/>
        <w:rPr>
          <w:rFonts w:ascii="Book Antiqua" w:hAnsi="Book Antiqua" w:cs="Arial"/>
          <w:bCs/>
          <w:sz w:val="24"/>
          <w:szCs w:val="24"/>
          <w:lang w:val="en-GB"/>
        </w:rPr>
      </w:pPr>
      <w:r w:rsidRPr="007F6B31">
        <w:rPr>
          <w:rFonts w:ascii="Book Antiqua" w:hAnsi="Book Antiqua" w:cs="Arial"/>
          <w:b/>
          <w:bCs/>
          <w:sz w:val="24"/>
          <w:szCs w:val="24"/>
          <w:lang w:val="en-GB"/>
        </w:rPr>
        <w:t xml:space="preserve">Line </w:t>
      </w:r>
      <w:proofErr w:type="spellStart"/>
      <w:r w:rsidRPr="007F6B31">
        <w:rPr>
          <w:rFonts w:ascii="Book Antiqua" w:hAnsi="Book Antiqua" w:cs="Arial"/>
          <w:b/>
          <w:bCs/>
          <w:sz w:val="24"/>
          <w:szCs w:val="24"/>
          <w:lang w:val="en-GB"/>
        </w:rPr>
        <w:t>Borgwardt</w:t>
      </w:r>
      <w:proofErr w:type="spellEnd"/>
      <w:r w:rsidR="00225324" w:rsidRPr="007F6B31">
        <w:rPr>
          <w:rFonts w:ascii="Book Antiqua" w:hAnsi="Book Antiqua" w:cs="Arial"/>
          <w:b/>
          <w:bCs/>
          <w:sz w:val="24"/>
          <w:szCs w:val="24"/>
          <w:lang w:val="en-GB" w:eastAsia="zh-CN"/>
        </w:rPr>
        <w:t>,</w:t>
      </w:r>
      <w:r w:rsidR="006A1D34" w:rsidRPr="007F6B31">
        <w:rPr>
          <w:rFonts w:ascii="Book Antiqua" w:hAnsi="Book Antiqua" w:cs="Arial"/>
          <w:bCs/>
          <w:sz w:val="24"/>
          <w:szCs w:val="24"/>
          <w:vertAlign w:val="superscript"/>
          <w:lang w:val="en-GB"/>
        </w:rPr>
        <w:t xml:space="preserve"> </w:t>
      </w:r>
      <w:r w:rsidR="00721DF7" w:rsidRPr="007F6B31">
        <w:rPr>
          <w:rFonts w:ascii="Book Antiqua" w:hAnsi="Book Antiqua" w:cs="Arial"/>
          <w:bCs/>
          <w:sz w:val="24"/>
          <w:szCs w:val="24"/>
          <w:lang w:val="en-GB"/>
        </w:rPr>
        <w:t>Centre</w:t>
      </w:r>
      <w:r w:rsidR="006A1D34" w:rsidRPr="007F6B31">
        <w:rPr>
          <w:rFonts w:ascii="Book Antiqua" w:hAnsi="Book Antiqua" w:cs="Arial"/>
          <w:bCs/>
          <w:sz w:val="24"/>
          <w:szCs w:val="24"/>
          <w:lang w:val="en-GB"/>
        </w:rPr>
        <w:t xml:space="preserve"> of Genomic Medicine, </w:t>
      </w:r>
      <w:proofErr w:type="spellStart"/>
      <w:r w:rsidR="006A1D34" w:rsidRPr="007F6B31">
        <w:rPr>
          <w:rFonts w:ascii="Book Antiqua" w:hAnsi="Book Antiqua" w:cs="Arial"/>
          <w:bCs/>
          <w:sz w:val="24"/>
          <w:szCs w:val="24"/>
          <w:lang w:val="en-GB"/>
        </w:rPr>
        <w:t>Rigshospitalet</w:t>
      </w:r>
      <w:proofErr w:type="spellEnd"/>
      <w:r w:rsidR="006A1D34" w:rsidRPr="007F6B31">
        <w:rPr>
          <w:rFonts w:ascii="Book Antiqua" w:hAnsi="Book Antiqua" w:cs="Arial"/>
          <w:bCs/>
          <w:sz w:val="24"/>
          <w:szCs w:val="24"/>
          <w:lang w:val="en-GB"/>
        </w:rPr>
        <w:t xml:space="preserve">, Copenhagen University, </w:t>
      </w:r>
      <w:r w:rsidR="00225324" w:rsidRPr="007F6B31">
        <w:rPr>
          <w:rFonts w:ascii="Book Antiqua" w:hAnsi="Book Antiqua" w:cs="Arial"/>
          <w:bCs/>
          <w:sz w:val="24"/>
          <w:szCs w:val="24"/>
          <w:lang w:val="en-GB"/>
        </w:rPr>
        <w:t>Copenhagen 2100, Denmark</w:t>
      </w:r>
    </w:p>
    <w:p w14:paraId="0759B08C" w14:textId="77777777" w:rsidR="006B0258" w:rsidRPr="007F6B31" w:rsidRDefault="006B0258" w:rsidP="001F2C55">
      <w:pPr>
        <w:snapToGrid w:val="0"/>
        <w:spacing w:after="0" w:line="360" w:lineRule="auto"/>
        <w:jc w:val="both"/>
        <w:rPr>
          <w:rFonts w:ascii="Book Antiqua" w:hAnsi="Book Antiqua" w:cs="Arial"/>
          <w:bCs/>
          <w:sz w:val="24"/>
          <w:szCs w:val="24"/>
          <w:lang w:val="en-GB"/>
        </w:rPr>
      </w:pPr>
    </w:p>
    <w:p w14:paraId="47A83246" w14:textId="4335A7FD" w:rsidR="00DB788C" w:rsidRPr="007F6B31" w:rsidRDefault="00E67271" w:rsidP="001F2C55">
      <w:pPr>
        <w:snapToGrid w:val="0"/>
        <w:spacing w:after="0" w:line="360" w:lineRule="auto"/>
        <w:jc w:val="both"/>
        <w:rPr>
          <w:rFonts w:ascii="Book Antiqua" w:hAnsi="Book Antiqua" w:cs="Arial"/>
          <w:bCs/>
          <w:sz w:val="24"/>
          <w:szCs w:val="24"/>
          <w:lang w:val="en-GB" w:eastAsia="zh-CN"/>
        </w:rPr>
      </w:pPr>
      <w:proofErr w:type="spellStart"/>
      <w:r w:rsidRPr="007F6B31">
        <w:rPr>
          <w:rFonts w:ascii="Book Antiqua" w:hAnsi="Book Antiqua" w:cs="Arial"/>
          <w:b/>
          <w:bCs/>
          <w:sz w:val="24"/>
          <w:szCs w:val="24"/>
          <w:lang w:val="en-GB"/>
        </w:rPr>
        <w:t>Vibeke</w:t>
      </w:r>
      <w:proofErr w:type="spellEnd"/>
      <w:r w:rsidRPr="007F6B31">
        <w:rPr>
          <w:rFonts w:ascii="Book Antiqua" w:hAnsi="Book Antiqua" w:cs="Arial"/>
          <w:b/>
          <w:bCs/>
          <w:sz w:val="24"/>
          <w:szCs w:val="24"/>
          <w:lang w:val="en-GB"/>
        </w:rPr>
        <w:t xml:space="preserve"> </w:t>
      </w:r>
      <w:r w:rsidR="006B0258" w:rsidRPr="007F6B31">
        <w:rPr>
          <w:rFonts w:ascii="Book Antiqua" w:hAnsi="Book Antiqua" w:cs="Arial"/>
          <w:b/>
          <w:bCs/>
          <w:sz w:val="24"/>
          <w:szCs w:val="24"/>
        </w:rPr>
        <w:t xml:space="preserve">Brix </w:t>
      </w:r>
      <w:r w:rsidRPr="007F6B31">
        <w:rPr>
          <w:rFonts w:ascii="Book Antiqua" w:hAnsi="Book Antiqua" w:cs="Arial"/>
          <w:b/>
          <w:bCs/>
          <w:sz w:val="24"/>
          <w:szCs w:val="24"/>
          <w:lang w:val="en-GB"/>
        </w:rPr>
        <w:t>Christensen</w:t>
      </w:r>
      <w:r w:rsidR="006B0258" w:rsidRPr="007F6B31">
        <w:rPr>
          <w:rFonts w:ascii="Book Antiqua" w:hAnsi="Book Antiqua" w:cs="Arial"/>
          <w:b/>
          <w:bCs/>
          <w:sz w:val="24"/>
          <w:szCs w:val="24"/>
          <w:lang w:val="en-GB"/>
        </w:rPr>
        <w:t>,</w:t>
      </w:r>
      <w:r w:rsidRPr="007F6B31">
        <w:rPr>
          <w:rFonts w:ascii="Book Antiqua" w:hAnsi="Book Antiqua" w:cs="Arial"/>
          <w:bCs/>
          <w:sz w:val="24"/>
          <w:szCs w:val="24"/>
          <w:lang w:val="en-GB"/>
        </w:rPr>
        <w:t xml:space="preserve"> </w:t>
      </w:r>
      <w:r w:rsidR="006A1D34" w:rsidRPr="007F6B31">
        <w:rPr>
          <w:rFonts w:ascii="Book Antiqua" w:hAnsi="Book Antiqua" w:cs="Arial"/>
          <w:bCs/>
          <w:sz w:val="24"/>
          <w:szCs w:val="24"/>
          <w:lang w:val="en-GB"/>
        </w:rPr>
        <w:t>Department of Paediatrics</w:t>
      </w:r>
      <w:r w:rsidR="00D16605" w:rsidRPr="007F6B31">
        <w:rPr>
          <w:rFonts w:ascii="Book Antiqua" w:hAnsi="Book Antiqua" w:cs="Arial"/>
          <w:bCs/>
          <w:sz w:val="24"/>
          <w:szCs w:val="24"/>
          <w:lang w:val="en-GB"/>
        </w:rPr>
        <w:t xml:space="preserve"> and Adolescent Medicine</w:t>
      </w:r>
      <w:r w:rsidR="006A1D34" w:rsidRPr="007F6B31">
        <w:rPr>
          <w:rFonts w:ascii="Book Antiqua" w:hAnsi="Book Antiqua" w:cs="Arial"/>
          <w:bCs/>
          <w:sz w:val="24"/>
          <w:szCs w:val="24"/>
          <w:lang w:val="en-GB"/>
        </w:rPr>
        <w:t xml:space="preserve">, </w:t>
      </w:r>
      <w:proofErr w:type="spellStart"/>
      <w:r w:rsidR="006A1D34" w:rsidRPr="007F6B31">
        <w:rPr>
          <w:rFonts w:ascii="Book Antiqua" w:hAnsi="Book Antiqua" w:cs="Arial"/>
          <w:bCs/>
          <w:sz w:val="24"/>
          <w:szCs w:val="24"/>
          <w:lang w:val="en-GB"/>
        </w:rPr>
        <w:t>Rigshospitalet</w:t>
      </w:r>
      <w:proofErr w:type="spellEnd"/>
      <w:r w:rsidR="006A1D34" w:rsidRPr="007F6B31">
        <w:rPr>
          <w:rFonts w:ascii="Book Antiqua" w:hAnsi="Book Antiqua" w:cs="Arial"/>
          <w:bCs/>
          <w:sz w:val="24"/>
          <w:szCs w:val="24"/>
          <w:lang w:val="en-GB"/>
        </w:rPr>
        <w:t>, Copenhagen University</w:t>
      </w:r>
      <w:r w:rsidR="00225324" w:rsidRPr="007F6B31">
        <w:rPr>
          <w:rFonts w:ascii="Book Antiqua" w:hAnsi="Book Antiqua" w:cs="Arial"/>
          <w:bCs/>
          <w:sz w:val="24"/>
          <w:szCs w:val="24"/>
          <w:lang w:val="en-GB" w:eastAsia="zh-CN"/>
        </w:rPr>
        <w:t xml:space="preserve">, </w:t>
      </w:r>
      <w:r w:rsidR="00225324" w:rsidRPr="007F6B31">
        <w:rPr>
          <w:rFonts w:ascii="Book Antiqua" w:hAnsi="Book Antiqua" w:cs="Arial"/>
          <w:bCs/>
          <w:sz w:val="24"/>
          <w:szCs w:val="24"/>
          <w:lang w:val="en-GB"/>
        </w:rPr>
        <w:t>Copenhagen 2100, Denmark</w:t>
      </w:r>
    </w:p>
    <w:p w14:paraId="04524341" w14:textId="77777777" w:rsidR="006B0258" w:rsidRPr="007F6B31" w:rsidRDefault="006B0258" w:rsidP="001F2C55">
      <w:pPr>
        <w:snapToGrid w:val="0"/>
        <w:spacing w:after="0" w:line="360" w:lineRule="auto"/>
        <w:jc w:val="both"/>
        <w:rPr>
          <w:rFonts w:ascii="Book Antiqua" w:hAnsi="Book Antiqua" w:cs="Arial"/>
          <w:bCs/>
          <w:sz w:val="24"/>
          <w:szCs w:val="24"/>
          <w:lang w:val="en-GB"/>
        </w:rPr>
      </w:pPr>
    </w:p>
    <w:p w14:paraId="6F1E3F81" w14:textId="77777777" w:rsidR="00225324" w:rsidRPr="007F6B31" w:rsidRDefault="00E67271" w:rsidP="001F2C55">
      <w:pPr>
        <w:snapToGrid w:val="0"/>
        <w:spacing w:after="0" w:line="360" w:lineRule="auto"/>
        <w:jc w:val="both"/>
        <w:rPr>
          <w:rFonts w:ascii="Book Antiqua" w:hAnsi="Book Antiqua" w:cs="Arial"/>
          <w:sz w:val="24"/>
          <w:szCs w:val="24"/>
          <w:lang w:val="en-GB"/>
        </w:rPr>
      </w:pPr>
      <w:r w:rsidRPr="007F6B31">
        <w:rPr>
          <w:rFonts w:ascii="Book Antiqua" w:hAnsi="Book Antiqua" w:cs="Arial"/>
          <w:b/>
          <w:sz w:val="24"/>
          <w:szCs w:val="24"/>
          <w:lang w:val="en-GB"/>
        </w:rPr>
        <w:t>Nicolai</w:t>
      </w:r>
      <w:r w:rsidR="00794AA8" w:rsidRPr="007F6B31">
        <w:rPr>
          <w:rFonts w:ascii="Book Antiqua" w:hAnsi="Book Antiqua" w:cs="Arial"/>
          <w:b/>
          <w:sz w:val="24"/>
          <w:szCs w:val="24"/>
          <w:lang w:val="en-GB"/>
        </w:rPr>
        <w:t xml:space="preserve"> J </w:t>
      </w:r>
      <w:proofErr w:type="spellStart"/>
      <w:r w:rsidR="00794AA8" w:rsidRPr="007F6B31">
        <w:rPr>
          <w:rFonts w:ascii="Book Antiqua" w:hAnsi="Book Antiqua" w:cs="Arial"/>
          <w:b/>
          <w:sz w:val="24"/>
          <w:szCs w:val="24"/>
          <w:lang w:val="en-GB"/>
        </w:rPr>
        <w:t>We</w:t>
      </w:r>
      <w:r w:rsidR="00EB1344" w:rsidRPr="007F6B31">
        <w:rPr>
          <w:rFonts w:ascii="Book Antiqua" w:hAnsi="Book Antiqua" w:cs="Arial"/>
          <w:b/>
          <w:sz w:val="24"/>
          <w:szCs w:val="24"/>
          <w:lang w:val="en-GB"/>
        </w:rPr>
        <w:t>w</w:t>
      </w:r>
      <w:r w:rsidR="00794AA8" w:rsidRPr="007F6B31">
        <w:rPr>
          <w:rFonts w:ascii="Book Antiqua" w:hAnsi="Book Antiqua" w:cs="Arial"/>
          <w:b/>
          <w:sz w:val="24"/>
          <w:szCs w:val="24"/>
          <w:lang w:val="en-GB"/>
        </w:rPr>
        <w:t>er</w:t>
      </w:r>
      <w:proofErr w:type="spellEnd"/>
      <w:r w:rsidRPr="007F6B31">
        <w:rPr>
          <w:rFonts w:ascii="Book Antiqua" w:hAnsi="Book Antiqua" w:cs="Arial"/>
          <w:b/>
          <w:sz w:val="24"/>
          <w:szCs w:val="24"/>
          <w:lang w:val="en-GB"/>
        </w:rPr>
        <w:t xml:space="preserve"> </w:t>
      </w:r>
      <w:proofErr w:type="spellStart"/>
      <w:r w:rsidR="00794AA8" w:rsidRPr="007F6B31">
        <w:rPr>
          <w:rFonts w:ascii="Book Antiqua" w:hAnsi="Book Antiqua" w:cs="Arial"/>
          <w:b/>
          <w:sz w:val="24"/>
          <w:szCs w:val="24"/>
          <w:lang w:val="en-GB"/>
        </w:rPr>
        <w:t>Albrec</w:t>
      </w:r>
      <w:r w:rsidR="00EB1344" w:rsidRPr="007F6B31">
        <w:rPr>
          <w:rFonts w:ascii="Book Antiqua" w:hAnsi="Book Antiqua" w:cs="Arial"/>
          <w:b/>
          <w:sz w:val="24"/>
          <w:szCs w:val="24"/>
          <w:lang w:val="en-GB"/>
        </w:rPr>
        <w:t>h</w:t>
      </w:r>
      <w:r w:rsidR="00794AA8" w:rsidRPr="007F6B31">
        <w:rPr>
          <w:rFonts w:ascii="Book Antiqua" w:hAnsi="Book Antiqua" w:cs="Arial"/>
          <w:b/>
          <w:sz w:val="24"/>
          <w:szCs w:val="24"/>
          <w:lang w:val="en-GB"/>
        </w:rPr>
        <w:t>tsen</w:t>
      </w:r>
      <w:proofErr w:type="spellEnd"/>
      <w:r w:rsidR="00225324" w:rsidRPr="007F6B31">
        <w:rPr>
          <w:rFonts w:ascii="Book Antiqua" w:hAnsi="Book Antiqua" w:cs="Arial"/>
          <w:b/>
          <w:sz w:val="24"/>
          <w:szCs w:val="24"/>
          <w:lang w:val="en-GB"/>
        </w:rPr>
        <w:t>,</w:t>
      </w:r>
      <w:r w:rsidRPr="007F6B31">
        <w:rPr>
          <w:rFonts w:ascii="Book Antiqua" w:hAnsi="Book Antiqua" w:cs="Arial"/>
          <w:b/>
          <w:sz w:val="24"/>
          <w:szCs w:val="24"/>
          <w:lang w:val="en-GB"/>
        </w:rPr>
        <w:t xml:space="preserve"> </w:t>
      </w:r>
      <w:r w:rsidRPr="007F6B31">
        <w:rPr>
          <w:rFonts w:ascii="Book Antiqua" w:hAnsi="Book Antiqua" w:cs="Arial"/>
          <w:sz w:val="24"/>
          <w:szCs w:val="24"/>
          <w:lang w:val="en-GB"/>
        </w:rPr>
        <w:t xml:space="preserve">Novo Nordisk Foundation </w:t>
      </w:r>
      <w:proofErr w:type="spellStart"/>
      <w:r w:rsidRPr="007F6B31">
        <w:rPr>
          <w:rFonts w:ascii="Book Antiqua" w:hAnsi="Book Antiqua" w:cs="Arial"/>
          <w:sz w:val="24"/>
          <w:szCs w:val="24"/>
          <w:lang w:val="en-GB"/>
        </w:rPr>
        <w:t>Center</w:t>
      </w:r>
      <w:proofErr w:type="spellEnd"/>
      <w:r w:rsidRPr="007F6B31">
        <w:rPr>
          <w:rFonts w:ascii="Book Antiqua" w:hAnsi="Book Antiqua" w:cs="Arial"/>
          <w:sz w:val="24"/>
          <w:szCs w:val="24"/>
          <w:lang w:val="en-GB"/>
        </w:rPr>
        <w:t xml:space="preserve"> for Protein Research, Faculty of Health and Medical Sciences, University of Copenhagen, Copenhagen</w:t>
      </w:r>
      <w:r w:rsidR="00225324" w:rsidRPr="007F6B31">
        <w:rPr>
          <w:rFonts w:ascii="Book Antiqua" w:hAnsi="Book Antiqua" w:cs="Arial"/>
          <w:sz w:val="24"/>
          <w:szCs w:val="24"/>
          <w:lang w:val="en-GB"/>
        </w:rPr>
        <w:t xml:space="preserve"> 2200</w:t>
      </w:r>
      <w:r w:rsidRPr="007F6B31">
        <w:rPr>
          <w:rFonts w:ascii="Book Antiqua" w:hAnsi="Book Antiqua" w:cs="Arial"/>
          <w:sz w:val="24"/>
          <w:szCs w:val="24"/>
          <w:lang w:val="en-GB"/>
        </w:rPr>
        <w:t xml:space="preserve">, Denmark </w:t>
      </w:r>
    </w:p>
    <w:p w14:paraId="5389DA22" w14:textId="77777777" w:rsidR="00225324" w:rsidRPr="007F6B31" w:rsidRDefault="00225324" w:rsidP="001F2C55">
      <w:pPr>
        <w:snapToGrid w:val="0"/>
        <w:spacing w:after="0" w:line="360" w:lineRule="auto"/>
        <w:jc w:val="both"/>
        <w:rPr>
          <w:rFonts w:ascii="Book Antiqua" w:hAnsi="Book Antiqua" w:cs="Arial"/>
          <w:sz w:val="24"/>
          <w:szCs w:val="24"/>
          <w:lang w:val="en-GB"/>
        </w:rPr>
      </w:pPr>
    </w:p>
    <w:p w14:paraId="012BAAE6" w14:textId="1F232CEC" w:rsidR="0008363A" w:rsidRPr="007F6B31" w:rsidRDefault="00225324" w:rsidP="001F2C55">
      <w:pPr>
        <w:snapToGrid w:val="0"/>
        <w:spacing w:after="0" w:line="360" w:lineRule="auto"/>
        <w:jc w:val="both"/>
        <w:rPr>
          <w:rFonts w:ascii="Book Antiqua" w:hAnsi="Book Antiqua" w:cs="Arial"/>
          <w:sz w:val="24"/>
          <w:szCs w:val="24"/>
          <w:lang w:val="en-GB"/>
        </w:rPr>
      </w:pPr>
      <w:r w:rsidRPr="007F6B31">
        <w:rPr>
          <w:rFonts w:ascii="Book Antiqua" w:hAnsi="Book Antiqua" w:cs="Arial"/>
          <w:b/>
          <w:sz w:val="24"/>
          <w:szCs w:val="24"/>
          <w:lang w:val="en-GB"/>
        </w:rPr>
        <w:lastRenderedPageBreak/>
        <w:t xml:space="preserve">Nicolai J </w:t>
      </w:r>
      <w:proofErr w:type="spellStart"/>
      <w:r w:rsidRPr="007F6B31">
        <w:rPr>
          <w:rFonts w:ascii="Book Antiqua" w:hAnsi="Book Antiqua" w:cs="Arial"/>
          <w:b/>
          <w:sz w:val="24"/>
          <w:szCs w:val="24"/>
          <w:lang w:val="en-GB"/>
        </w:rPr>
        <w:t>Wewer</w:t>
      </w:r>
      <w:proofErr w:type="spellEnd"/>
      <w:r w:rsidRPr="007F6B31">
        <w:rPr>
          <w:rFonts w:ascii="Book Antiqua" w:hAnsi="Book Antiqua" w:cs="Arial"/>
          <w:b/>
          <w:sz w:val="24"/>
          <w:szCs w:val="24"/>
          <w:lang w:val="en-GB"/>
        </w:rPr>
        <w:t xml:space="preserve"> </w:t>
      </w:r>
      <w:proofErr w:type="spellStart"/>
      <w:r w:rsidRPr="007F6B31">
        <w:rPr>
          <w:rFonts w:ascii="Book Antiqua" w:hAnsi="Book Antiqua" w:cs="Arial"/>
          <w:b/>
          <w:sz w:val="24"/>
          <w:szCs w:val="24"/>
          <w:lang w:val="en-GB"/>
        </w:rPr>
        <w:t>Albrechtsen</w:t>
      </w:r>
      <w:proofErr w:type="spellEnd"/>
      <w:r w:rsidRPr="007F6B31">
        <w:rPr>
          <w:rFonts w:ascii="Book Antiqua" w:hAnsi="Book Antiqua" w:cs="Arial"/>
          <w:b/>
          <w:sz w:val="24"/>
          <w:szCs w:val="24"/>
          <w:lang w:val="en-GB"/>
        </w:rPr>
        <w:t xml:space="preserve">, </w:t>
      </w:r>
      <w:r w:rsidR="00E67271" w:rsidRPr="007F6B31">
        <w:rPr>
          <w:rFonts w:ascii="Book Antiqua" w:hAnsi="Book Antiqua" w:cs="Arial"/>
          <w:sz w:val="24"/>
          <w:szCs w:val="24"/>
          <w:lang w:val="en-GB"/>
        </w:rPr>
        <w:t xml:space="preserve">Department for Clinical Biochemistry, </w:t>
      </w:r>
      <w:proofErr w:type="spellStart"/>
      <w:r w:rsidR="00E67271" w:rsidRPr="007F6B31">
        <w:rPr>
          <w:rFonts w:ascii="Book Antiqua" w:hAnsi="Book Antiqua" w:cs="Arial"/>
          <w:sz w:val="24"/>
          <w:szCs w:val="24"/>
          <w:lang w:val="en-GB"/>
        </w:rPr>
        <w:t>Rigshospitalet</w:t>
      </w:r>
      <w:proofErr w:type="spellEnd"/>
      <w:r w:rsidR="00E67271" w:rsidRPr="007F6B31">
        <w:rPr>
          <w:rFonts w:ascii="Book Antiqua" w:hAnsi="Book Antiqua" w:cs="Arial"/>
          <w:sz w:val="24"/>
          <w:szCs w:val="24"/>
          <w:lang w:val="en-GB"/>
        </w:rPr>
        <w:t>, University of Copenhagen, Copenhagen</w:t>
      </w:r>
      <w:r w:rsidRPr="007F6B31">
        <w:rPr>
          <w:rFonts w:ascii="Book Antiqua" w:hAnsi="Book Antiqua" w:cs="Arial"/>
          <w:sz w:val="24"/>
          <w:szCs w:val="24"/>
          <w:lang w:val="en-GB"/>
        </w:rPr>
        <w:t xml:space="preserve"> 2200</w:t>
      </w:r>
      <w:r w:rsidR="00E67271" w:rsidRPr="007F6B31">
        <w:rPr>
          <w:rFonts w:ascii="Book Antiqua" w:hAnsi="Book Antiqua" w:cs="Arial"/>
          <w:sz w:val="24"/>
          <w:szCs w:val="24"/>
          <w:lang w:val="en-GB"/>
        </w:rPr>
        <w:t>, Denmark</w:t>
      </w:r>
    </w:p>
    <w:p w14:paraId="2B3C659A" w14:textId="77777777" w:rsidR="001B5106" w:rsidRPr="007F6B31" w:rsidRDefault="001B5106" w:rsidP="001F2C55">
      <w:pPr>
        <w:snapToGrid w:val="0"/>
        <w:spacing w:after="0" w:line="360" w:lineRule="auto"/>
        <w:jc w:val="both"/>
        <w:rPr>
          <w:rFonts w:ascii="Book Antiqua" w:hAnsi="Book Antiqua" w:cs="Arial"/>
          <w:sz w:val="24"/>
          <w:szCs w:val="24"/>
        </w:rPr>
      </w:pPr>
    </w:p>
    <w:p w14:paraId="2BADE207" w14:textId="741DFC37" w:rsidR="00B91CC7" w:rsidRPr="007F6B31" w:rsidRDefault="00B31E93" w:rsidP="001F2C55">
      <w:pPr>
        <w:snapToGrid w:val="0"/>
        <w:spacing w:after="0" w:line="360" w:lineRule="auto"/>
        <w:jc w:val="both"/>
        <w:rPr>
          <w:rFonts w:ascii="Book Antiqua" w:hAnsi="Book Antiqua" w:cs="Arial"/>
          <w:bCs/>
          <w:sz w:val="24"/>
          <w:szCs w:val="24"/>
          <w:lang w:val="en-GB"/>
        </w:rPr>
      </w:pPr>
      <w:r w:rsidRPr="007F6B31">
        <w:rPr>
          <w:rFonts w:ascii="Book Antiqua" w:hAnsi="Book Antiqua"/>
          <w:b/>
          <w:sz w:val="24"/>
          <w:szCs w:val="24"/>
          <w:lang w:val="en-GB"/>
        </w:rPr>
        <w:t>Author contributions:</w:t>
      </w:r>
      <w:r w:rsidR="00C25EBC" w:rsidRPr="007F6B31">
        <w:rPr>
          <w:rFonts w:ascii="Book Antiqua" w:hAnsi="Book Antiqua" w:cs="Arial"/>
          <w:sz w:val="24"/>
          <w:szCs w:val="24"/>
          <w:lang w:val="en-GB"/>
        </w:rPr>
        <w:t xml:space="preserve"> </w:t>
      </w:r>
      <w:r w:rsidR="00721DF7" w:rsidRPr="007F6B31">
        <w:rPr>
          <w:rFonts w:ascii="Book Antiqua" w:hAnsi="Book Antiqua" w:cs="Arial"/>
          <w:sz w:val="24"/>
          <w:szCs w:val="24"/>
          <w:lang w:val="en-GB"/>
        </w:rPr>
        <w:t>A</w:t>
      </w:r>
      <w:r w:rsidR="00C25EBC" w:rsidRPr="007F6B31">
        <w:rPr>
          <w:rFonts w:ascii="Book Antiqua" w:hAnsi="Book Antiqua" w:cs="Arial"/>
          <w:bCs/>
          <w:sz w:val="24"/>
          <w:szCs w:val="24"/>
          <w:lang w:val="en-GB"/>
        </w:rPr>
        <w:t>ll authors contributed to the design of the study</w:t>
      </w:r>
      <w:r w:rsidR="00363A0B" w:rsidRPr="007F6B31">
        <w:rPr>
          <w:rFonts w:ascii="Book Antiqua" w:hAnsi="Book Antiqua" w:cs="Arial"/>
          <w:bCs/>
          <w:sz w:val="24"/>
          <w:szCs w:val="24"/>
          <w:lang w:val="en-GB"/>
        </w:rPr>
        <w:t xml:space="preserve">; </w:t>
      </w:r>
      <w:proofErr w:type="spellStart"/>
      <w:r w:rsidR="00363A0B" w:rsidRPr="007F6B31">
        <w:rPr>
          <w:rFonts w:ascii="Book Antiqua" w:hAnsi="Book Antiqua" w:cs="Arial"/>
          <w:bCs/>
          <w:sz w:val="24"/>
          <w:szCs w:val="24"/>
          <w:lang w:val="en-GB"/>
        </w:rPr>
        <w:t>Rashu</w:t>
      </w:r>
      <w:proofErr w:type="spellEnd"/>
      <w:r w:rsidR="00225324" w:rsidRPr="007F6B31">
        <w:rPr>
          <w:rFonts w:ascii="Book Antiqua" w:hAnsi="Book Antiqua" w:cs="Arial"/>
          <w:bCs/>
          <w:sz w:val="24"/>
          <w:szCs w:val="24"/>
          <w:lang w:val="en-GB"/>
        </w:rPr>
        <w:t xml:space="preserve"> EB</w:t>
      </w:r>
      <w:r w:rsidR="00363A0B" w:rsidRPr="007F6B31">
        <w:rPr>
          <w:rFonts w:ascii="Book Antiqua" w:hAnsi="Book Antiqua" w:cs="Arial"/>
          <w:bCs/>
          <w:sz w:val="24"/>
          <w:szCs w:val="24"/>
          <w:lang w:val="en-GB"/>
        </w:rPr>
        <w:t xml:space="preserve">, </w:t>
      </w:r>
      <w:proofErr w:type="spellStart"/>
      <w:r w:rsidR="00363A0B" w:rsidRPr="007F6B31">
        <w:rPr>
          <w:rFonts w:ascii="Book Antiqua" w:hAnsi="Book Antiqua" w:cs="Arial"/>
          <w:bCs/>
          <w:sz w:val="24"/>
          <w:szCs w:val="24"/>
          <w:lang w:val="en-GB"/>
        </w:rPr>
        <w:t>Borgwardt</w:t>
      </w:r>
      <w:proofErr w:type="spellEnd"/>
      <w:r w:rsidR="00225324" w:rsidRPr="007F6B31">
        <w:rPr>
          <w:rFonts w:ascii="Book Antiqua" w:hAnsi="Book Antiqua" w:cs="Arial"/>
          <w:bCs/>
          <w:sz w:val="24"/>
          <w:szCs w:val="24"/>
          <w:lang w:val="en-GB"/>
        </w:rPr>
        <w:t xml:space="preserve"> L </w:t>
      </w:r>
      <w:r w:rsidR="00363A0B" w:rsidRPr="007F6B31">
        <w:rPr>
          <w:rFonts w:ascii="Book Antiqua" w:hAnsi="Book Antiqua" w:cs="Arial"/>
          <w:bCs/>
          <w:sz w:val="24"/>
          <w:szCs w:val="24"/>
          <w:lang w:val="en-GB"/>
        </w:rPr>
        <w:t xml:space="preserve">and </w:t>
      </w:r>
      <w:proofErr w:type="spellStart"/>
      <w:r w:rsidR="00363A0B" w:rsidRPr="007F6B31">
        <w:rPr>
          <w:rFonts w:ascii="Book Antiqua" w:hAnsi="Book Antiqua" w:cs="Arial"/>
          <w:bCs/>
          <w:sz w:val="24"/>
          <w:szCs w:val="24"/>
          <w:lang w:val="en-GB"/>
        </w:rPr>
        <w:t>Gluud</w:t>
      </w:r>
      <w:proofErr w:type="spellEnd"/>
      <w:r w:rsidR="00225324" w:rsidRPr="007F6B31">
        <w:rPr>
          <w:rFonts w:ascii="Book Antiqua" w:hAnsi="Book Antiqua" w:cs="Arial"/>
          <w:bCs/>
          <w:sz w:val="24"/>
          <w:szCs w:val="24"/>
          <w:lang w:val="en-GB"/>
        </w:rPr>
        <w:t xml:space="preserve"> L</w:t>
      </w:r>
      <w:r w:rsidR="00363A0B" w:rsidRPr="007F6B31">
        <w:rPr>
          <w:rFonts w:ascii="Book Antiqua" w:hAnsi="Book Antiqua" w:cs="Arial"/>
          <w:bCs/>
          <w:sz w:val="24"/>
          <w:szCs w:val="24"/>
          <w:lang w:val="en-GB"/>
        </w:rPr>
        <w:t xml:space="preserve"> undertook the </w:t>
      </w:r>
      <w:r w:rsidR="00C25EBC" w:rsidRPr="007F6B31">
        <w:rPr>
          <w:rFonts w:ascii="Book Antiqua" w:hAnsi="Book Antiqua" w:cs="Arial"/>
          <w:bCs/>
          <w:sz w:val="24"/>
          <w:szCs w:val="24"/>
          <w:lang w:val="en-GB"/>
        </w:rPr>
        <w:t>literature review</w:t>
      </w:r>
      <w:r w:rsidR="00363A0B" w:rsidRPr="007F6B31">
        <w:rPr>
          <w:rFonts w:ascii="Book Antiqua" w:hAnsi="Book Antiqua" w:cs="Arial"/>
          <w:bCs/>
          <w:sz w:val="24"/>
          <w:szCs w:val="24"/>
          <w:lang w:val="en-GB"/>
        </w:rPr>
        <w:t>;</w:t>
      </w:r>
      <w:r w:rsidR="00C25EBC" w:rsidRPr="007F6B31">
        <w:rPr>
          <w:rFonts w:ascii="Book Antiqua" w:hAnsi="Book Antiqua" w:cs="Arial"/>
          <w:bCs/>
          <w:sz w:val="24"/>
          <w:szCs w:val="24"/>
          <w:lang w:val="en-GB"/>
        </w:rPr>
        <w:t xml:space="preserve"> </w:t>
      </w:r>
      <w:proofErr w:type="spellStart"/>
      <w:r w:rsidR="00C25EBC" w:rsidRPr="007F6B31">
        <w:rPr>
          <w:rFonts w:ascii="Book Antiqua" w:hAnsi="Book Antiqua" w:cs="Arial"/>
          <w:bCs/>
          <w:sz w:val="24"/>
          <w:szCs w:val="24"/>
          <w:lang w:val="en-GB"/>
        </w:rPr>
        <w:t>Rashu</w:t>
      </w:r>
      <w:proofErr w:type="spellEnd"/>
      <w:r w:rsidR="00225324" w:rsidRPr="007F6B31">
        <w:rPr>
          <w:rFonts w:ascii="Book Antiqua" w:hAnsi="Book Antiqua" w:cs="Arial"/>
          <w:bCs/>
          <w:sz w:val="24"/>
          <w:szCs w:val="24"/>
          <w:lang w:val="en-GB"/>
        </w:rPr>
        <w:t xml:space="preserve"> EB</w:t>
      </w:r>
      <w:r w:rsidR="00C25EBC" w:rsidRPr="007F6B31">
        <w:rPr>
          <w:rFonts w:ascii="Book Antiqua" w:hAnsi="Book Antiqua" w:cs="Arial"/>
          <w:bCs/>
          <w:sz w:val="24"/>
          <w:szCs w:val="24"/>
          <w:lang w:val="en-GB"/>
        </w:rPr>
        <w:t>, Junker</w:t>
      </w:r>
      <w:r w:rsidR="00225324" w:rsidRPr="007F6B31">
        <w:rPr>
          <w:rFonts w:ascii="Book Antiqua" w:hAnsi="Book Antiqua" w:cs="Arial"/>
          <w:bCs/>
          <w:sz w:val="24"/>
          <w:szCs w:val="24"/>
          <w:lang w:val="en-GB"/>
        </w:rPr>
        <w:t xml:space="preserve"> AE</w:t>
      </w:r>
      <w:r w:rsidR="00C25EBC" w:rsidRPr="007F6B31">
        <w:rPr>
          <w:rFonts w:ascii="Book Antiqua" w:hAnsi="Book Antiqua" w:cs="Arial"/>
          <w:bCs/>
          <w:sz w:val="24"/>
          <w:szCs w:val="24"/>
          <w:lang w:val="en-GB"/>
        </w:rPr>
        <w:t xml:space="preserve"> and </w:t>
      </w:r>
      <w:proofErr w:type="spellStart"/>
      <w:r w:rsidR="00C25EBC" w:rsidRPr="007F6B31">
        <w:rPr>
          <w:rFonts w:ascii="Book Antiqua" w:hAnsi="Book Antiqua" w:cs="Arial"/>
          <w:bCs/>
          <w:sz w:val="24"/>
          <w:szCs w:val="24"/>
          <w:lang w:val="en-GB"/>
        </w:rPr>
        <w:t>Borgwardt</w:t>
      </w:r>
      <w:proofErr w:type="spellEnd"/>
      <w:r w:rsidR="00C25EBC" w:rsidRPr="007F6B31">
        <w:rPr>
          <w:rFonts w:ascii="Book Antiqua" w:hAnsi="Book Antiqua" w:cs="Arial"/>
          <w:bCs/>
          <w:sz w:val="24"/>
          <w:szCs w:val="24"/>
          <w:lang w:val="en-GB"/>
        </w:rPr>
        <w:t xml:space="preserve"> </w:t>
      </w:r>
      <w:r w:rsidR="00225324" w:rsidRPr="007F6B31">
        <w:rPr>
          <w:rFonts w:ascii="Book Antiqua" w:hAnsi="Book Antiqua" w:cs="Arial"/>
          <w:bCs/>
          <w:sz w:val="24"/>
          <w:szCs w:val="24"/>
          <w:lang w:val="en-GB"/>
        </w:rPr>
        <w:t xml:space="preserve">L </w:t>
      </w:r>
      <w:r w:rsidR="00C25EBC" w:rsidRPr="007F6B31">
        <w:rPr>
          <w:rFonts w:ascii="Book Antiqua" w:hAnsi="Book Antiqua" w:cs="Arial"/>
          <w:bCs/>
          <w:sz w:val="24"/>
          <w:szCs w:val="24"/>
          <w:lang w:val="en-GB"/>
        </w:rPr>
        <w:t>undertook the clinical and biochemical assessments and analyses</w:t>
      </w:r>
      <w:r w:rsidR="007770CF" w:rsidRPr="007F6B31">
        <w:rPr>
          <w:rFonts w:ascii="Book Antiqua" w:hAnsi="Book Antiqua" w:cs="Arial"/>
          <w:bCs/>
          <w:sz w:val="24"/>
          <w:szCs w:val="24"/>
          <w:lang w:val="en-GB"/>
        </w:rPr>
        <w:t>;</w:t>
      </w:r>
      <w:r w:rsidR="00C25EBC" w:rsidRPr="007F6B31">
        <w:rPr>
          <w:rFonts w:ascii="Book Antiqua" w:hAnsi="Book Antiqua" w:cs="Arial"/>
          <w:bCs/>
          <w:sz w:val="24"/>
          <w:szCs w:val="24"/>
          <w:lang w:val="en-GB"/>
        </w:rPr>
        <w:t xml:space="preserve"> </w:t>
      </w:r>
      <w:proofErr w:type="spellStart"/>
      <w:r w:rsidR="00C25EBC" w:rsidRPr="007F6B31">
        <w:rPr>
          <w:rFonts w:ascii="Book Antiqua" w:hAnsi="Book Antiqua" w:cs="Arial"/>
          <w:bCs/>
          <w:sz w:val="24"/>
          <w:szCs w:val="24"/>
          <w:lang w:val="en-GB"/>
        </w:rPr>
        <w:t>Rashu</w:t>
      </w:r>
      <w:proofErr w:type="spellEnd"/>
      <w:r w:rsidR="00225324" w:rsidRPr="007F6B31">
        <w:rPr>
          <w:rFonts w:ascii="Book Antiqua" w:hAnsi="Book Antiqua" w:cs="Arial"/>
          <w:bCs/>
          <w:sz w:val="24"/>
          <w:szCs w:val="24"/>
          <w:lang w:val="en-GB"/>
        </w:rPr>
        <w:t xml:space="preserve"> EB</w:t>
      </w:r>
      <w:r w:rsidR="00C25EBC" w:rsidRPr="007F6B31">
        <w:rPr>
          <w:rFonts w:ascii="Book Antiqua" w:hAnsi="Book Antiqua" w:cs="Arial"/>
          <w:bCs/>
          <w:sz w:val="24"/>
          <w:szCs w:val="24"/>
          <w:lang w:val="en-GB"/>
        </w:rPr>
        <w:t xml:space="preserve"> and </w:t>
      </w:r>
      <w:proofErr w:type="spellStart"/>
      <w:r w:rsidR="00C25EBC" w:rsidRPr="007F6B31">
        <w:rPr>
          <w:rFonts w:ascii="Book Antiqua" w:hAnsi="Book Antiqua" w:cs="Arial"/>
          <w:bCs/>
          <w:sz w:val="24"/>
          <w:szCs w:val="24"/>
          <w:lang w:val="en-GB"/>
        </w:rPr>
        <w:t>Gluud</w:t>
      </w:r>
      <w:proofErr w:type="spellEnd"/>
      <w:r w:rsidR="00225324" w:rsidRPr="007F6B31">
        <w:rPr>
          <w:rFonts w:ascii="Book Antiqua" w:hAnsi="Book Antiqua" w:cs="Arial"/>
          <w:bCs/>
          <w:sz w:val="24"/>
          <w:szCs w:val="24"/>
          <w:lang w:val="en-GB"/>
        </w:rPr>
        <w:t xml:space="preserve"> L</w:t>
      </w:r>
      <w:r w:rsidR="00C25EBC" w:rsidRPr="007F6B31">
        <w:rPr>
          <w:rFonts w:ascii="Book Antiqua" w:hAnsi="Book Antiqua" w:cs="Arial"/>
          <w:bCs/>
          <w:sz w:val="24"/>
          <w:szCs w:val="24"/>
          <w:lang w:val="en-GB"/>
        </w:rPr>
        <w:t xml:space="preserve"> drafted the paper</w:t>
      </w:r>
      <w:r w:rsidR="007770CF" w:rsidRPr="007F6B31">
        <w:rPr>
          <w:rFonts w:ascii="Book Antiqua" w:hAnsi="Book Antiqua" w:cs="Arial"/>
          <w:bCs/>
          <w:sz w:val="24"/>
          <w:szCs w:val="24"/>
          <w:lang w:val="en-GB"/>
        </w:rPr>
        <w:t>;</w:t>
      </w:r>
      <w:r w:rsidR="00C25EBC" w:rsidRPr="007F6B31">
        <w:rPr>
          <w:rFonts w:ascii="Book Antiqua" w:hAnsi="Book Antiqua" w:cs="Arial"/>
          <w:bCs/>
          <w:sz w:val="24"/>
          <w:szCs w:val="24"/>
          <w:lang w:val="en-GB"/>
        </w:rPr>
        <w:t xml:space="preserve"> all authors contributed to the interpretation of data and revision of the paper and all have approved the final version.</w:t>
      </w:r>
    </w:p>
    <w:p w14:paraId="2CE61246" w14:textId="77777777" w:rsidR="00DF2808" w:rsidRPr="007F6B31" w:rsidRDefault="00DF2808" w:rsidP="001F2C55">
      <w:pPr>
        <w:snapToGrid w:val="0"/>
        <w:spacing w:after="0" w:line="360" w:lineRule="auto"/>
        <w:jc w:val="both"/>
        <w:rPr>
          <w:rFonts w:ascii="Book Antiqua" w:hAnsi="Book Antiqua" w:cs="Arial"/>
          <w:bCs/>
          <w:sz w:val="24"/>
          <w:szCs w:val="24"/>
          <w:lang w:val="en-GB"/>
        </w:rPr>
      </w:pPr>
    </w:p>
    <w:p w14:paraId="0A0A00C4" w14:textId="1234BDD7" w:rsidR="004F433F" w:rsidRPr="007F6B31" w:rsidRDefault="00B31E93" w:rsidP="001F2C55">
      <w:pPr>
        <w:pStyle w:val="TableParagraph"/>
        <w:snapToGrid w:val="0"/>
        <w:spacing w:before="0" w:line="360" w:lineRule="auto"/>
        <w:ind w:left="0"/>
        <w:jc w:val="both"/>
        <w:rPr>
          <w:rFonts w:ascii="Book Antiqua" w:eastAsia="宋体" w:hAnsi="Book Antiqua" w:cs="Arial"/>
          <w:sz w:val="24"/>
          <w:szCs w:val="24"/>
          <w:lang w:val="en-GB"/>
        </w:rPr>
      </w:pPr>
      <w:r w:rsidRPr="007F6B31">
        <w:rPr>
          <w:rFonts w:ascii="Book Antiqua" w:hAnsi="Book Antiqua" w:cstheme="minorHAnsi"/>
          <w:b/>
          <w:sz w:val="24"/>
          <w:szCs w:val="24"/>
          <w:lang w:val="hu-HU"/>
        </w:rPr>
        <w:t xml:space="preserve">Corresponding author: </w:t>
      </w:r>
      <w:r w:rsidR="006A1D34" w:rsidRPr="007F6B31">
        <w:rPr>
          <w:rFonts w:ascii="Book Antiqua" w:eastAsia="宋体" w:hAnsi="Book Antiqua" w:cs="Arial"/>
          <w:b/>
          <w:bCs/>
          <w:sz w:val="24"/>
          <w:szCs w:val="24"/>
          <w:lang w:val="en-GB"/>
        </w:rPr>
        <w:t>L</w:t>
      </w:r>
      <w:r w:rsidR="00225324" w:rsidRPr="007F6B31">
        <w:rPr>
          <w:rFonts w:ascii="Book Antiqua" w:eastAsia="宋体" w:hAnsi="Book Antiqua" w:cs="Arial"/>
          <w:b/>
          <w:bCs/>
          <w:sz w:val="24"/>
          <w:szCs w:val="24"/>
          <w:lang w:val="en-GB"/>
        </w:rPr>
        <w:t xml:space="preserve">ise </w:t>
      </w:r>
      <w:r w:rsidR="006A1D34" w:rsidRPr="007F6B31">
        <w:rPr>
          <w:rFonts w:ascii="Book Antiqua" w:eastAsia="宋体" w:hAnsi="Book Antiqua" w:cs="Arial"/>
          <w:b/>
          <w:bCs/>
          <w:sz w:val="24"/>
          <w:szCs w:val="24"/>
          <w:lang w:val="en-GB"/>
        </w:rPr>
        <w:t xml:space="preserve">L </w:t>
      </w:r>
      <w:proofErr w:type="spellStart"/>
      <w:r w:rsidR="006A1D34" w:rsidRPr="007F6B31">
        <w:rPr>
          <w:rFonts w:ascii="Book Antiqua" w:eastAsia="宋体" w:hAnsi="Book Antiqua" w:cs="Arial"/>
          <w:b/>
          <w:bCs/>
          <w:sz w:val="24"/>
          <w:szCs w:val="24"/>
          <w:lang w:val="en-GB"/>
        </w:rPr>
        <w:t>Gluud</w:t>
      </w:r>
      <w:proofErr w:type="spellEnd"/>
      <w:r w:rsidR="006A1D34" w:rsidRPr="007F6B31">
        <w:rPr>
          <w:rFonts w:ascii="Book Antiqua" w:eastAsia="宋体" w:hAnsi="Book Antiqua" w:cs="Arial"/>
          <w:b/>
          <w:bCs/>
          <w:sz w:val="24"/>
          <w:szCs w:val="24"/>
          <w:lang w:val="en-GB"/>
        </w:rPr>
        <w:t xml:space="preserve">, </w:t>
      </w:r>
      <w:r w:rsidR="008E600F" w:rsidRPr="008E600F">
        <w:rPr>
          <w:rFonts w:ascii="Book Antiqua" w:eastAsia="宋体" w:hAnsi="Book Antiqua" w:cs="Arial"/>
          <w:b/>
          <w:bCs/>
          <w:sz w:val="24"/>
          <w:szCs w:val="24"/>
          <w:lang w:val="en-GB"/>
        </w:rPr>
        <w:t xml:space="preserve">DSc, MD, Chief Doctor, Professor, </w:t>
      </w:r>
      <w:proofErr w:type="spellStart"/>
      <w:r w:rsidR="006A1D34" w:rsidRPr="007F6B31">
        <w:rPr>
          <w:rFonts w:ascii="Book Antiqua" w:eastAsia="宋体" w:hAnsi="Book Antiqua" w:cs="Arial"/>
          <w:sz w:val="24"/>
          <w:szCs w:val="24"/>
          <w:lang w:val="en-GB"/>
        </w:rPr>
        <w:t>Gastrounit</w:t>
      </w:r>
      <w:proofErr w:type="spellEnd"/>
      <w:r w:rsidR="006A1D34" w:rsidRPr="007F6B31">
        <w:rPr>
          <w:rFonts w:ascii="Book Antiqua" w:eastAsia="宋体" w:hAnsi="Book Antiqua" w:cs="Arial"/>
          <w:sz w:val="24"/>
          <w:szCs w:val="24"/>
          <w:lang w:val="en-GB"/>
        </w:rPr>
        <w:t xml:space="preserve">, Copenhagen University Hospital Hvidovre, </w:t>
      </w:r>
      <w:proofErr w:type="spellStart"/>
      <w:r w:rsidR="006A1D34" w:rsidRPr="007F6B31">
        <w:rPr>
          <w:rFonts w:ascii="Book Antiqua" w:eastAsia="宋体" w:hAnsi="Book Antiqua" w:cs="Arial"/>
          <w:sz w:val="24"/>
          <w:szCs w:val="24"/>
          <w:lang w:val="en-GB"/>
        </w:rPr>
        <w:t>Kettegaard</w:t>
      </w:r>
      <w:proofErr w:type="spellEnd"/>
      <w:r w:rsidR="006A1D34" w:rsidRPr="007F6B31">
        <w:rPr>
          <w:rFonts w:ascii="Book Antiqua" w:eastAsia="宋体" w:hAnsi="Book Antiqua" w:cs="Arial"/>
          <w:sz w:val="24"/>
          <w:szCs w:val="24"/>
          <w:lang w:val="en-GB"/>
        </w:rPr>
        <w:t xml:space="preserve"> </w:t>
      </w:r>
      <w:proofErr w:type="spellStart"/>
      <w:r w:rsidR="006A1D34" w:rsidRPr="007F6B31">
        <w:rPr>
          <w:rFonts w:ascii="Book Antiqua" w:eastAsia="宋体" w:hAnsi="Book Antiqua" w:cs="Arial"/>
          <w:sz w:val="24"/>
          <w:szCs w:val="24"/>
          <w:lang w:val="en-GB"/>
        </w:rPr>
        <w:t>Alle</w:t>
      </w:r>
      <w:proofErr w:type="spellEnd"/>
      <w:r w:rsidR="006A1D34" w:rsidRPr="007F6B31">
        <w:rPr>
          <w:rFonts w:ascii="Book Antiqua" w:eastAsia="宋体" w:hAnsi="Book Antiqua" w:cs="Arial"/>
          <w:sz w:val="24"/>
          <w:szCs w:val="24"/>
          <w:lang w:val="en-GB"/>
        </w:rPr>
        <w:t xml:space="preserve"> 30, </w:t>
      </w:r>
      <w:r w:rsidR="008E600F" w:rsidRPr="007F6B31">
        <w:rPr>
          <w:rFonts w:ascii="Book Antiqua" w:hAnsi="Book Antiqua" w:cs="Arial"/>
          <w:bCs/>
          <w:sz w:val="24"/>
          <w:szCs w:val="24"/>
          <w:lang w:val="en-GB"/>
        </w:rPr>
        <w:t>Hvidovre 2650, Denmark</w:t>
      </w:r>
      <w:r w:rsidR="00225324" w:rsidRPr="007F6B31">
        <w:rPr>
          <w:rFonts w:ascii="Book Antiqua" w:eastAsia="宋体" w:hAnsi="Book Antiqua" w:cs="Arial"/>
          <w:sz w:val="24"/>
          <w:szCs w:val="24"/>
          <w:lang w:val="en-GB"/>
        </w:rPr>
        <w:t xml:space="preserve">. </w:t>
      </w:r>
      <w:r w:rsidR="00225324" w:rsidRPr="007F6B31">
        <w:rPr>
          <w:rFonts w:ascii="Book Antiqua" w:eastAsia="宋体" w:hAnsi="Book Antiqua" w:cs="Arial"/>
          <w:sz w:val="24"/>
          <w:szCs w:val="24"/>
          <w:u w:val="single"/>
          <w:lang w:val="en-GB"/>
        </w:rPr>
        <w:t>lise.lotte.gluud.01@regionh.dk</w:t>
      </w:r>
    </w:p>
    <w:p w14:paraId="45C82C90" w14:textId="77777777" w:rsidR="00FA0336" w:rsidRPr="007F6B31" w:rsidRDefault="00FA0336" w:rsidP="001F2C55">
      <w:pPr>
        <w:pStyle w:val="TableParagraph"/>
        <w:snapToGrid w:val="0"/>
        <w:spacing w:before="0" w:line="360" w:lineRule="auto"/>
        <w:ind w:left="0"/>
        <w:jc w:val="both"/>
        <w:rPr>
          <w:rFonts w:ascii="Book Antiqua" w:hAnsi="Book Antiqua"/>
          <w:b/>
          <w:sz w:val="24"/>
          <w:szCs w:val="24"/>
          <w:u w:val="single"/>
          <w:lang w:val="en-GB"/>
        </w:rPr>
      </w:pPr>
    </w:p>
    <w:p w14:paraId="7DB6C30C" w14:textId="17FE17C2" w:rsidR="00B31E93" w:rsidRPr="007F6B31" w:rsidRDefault="00B31E93" w:rsidP="00B31E93">
      <w:pPr>
        <w:spacing w:after="0" w:line="360" w:lineRule="auto"/>
        <w:jc w:val="both"/>
        <w:rPr>
          <w:rFonts w:ascii="Book Antiqua" w:hAnsi="Book Antiqua"/>
          <w:b/>
          <w:sz w:val="24"/>
          <w:szCs w:val="24"/>
          <w:lang w:val="en-GB"/>
        </w:rPr>
      </w:pPr>
      <w:r w:rsidRPr="007F6B31">
        <w:rPr>
          <w:rFonts w:ascii="Book Antiqua" w:hAnsi="Book Antiqua"/>
          <w:b/>
          <w:sz w:val="24"/>
          <w:szCs w:val="24"/>
          <w:lang w:val="en-GB"/>
        </w:rPr>
        <w:t xml:space="preserve">Received: </w:t>
      </w:r>
      <w:r w:rsidRPr="007F6B31">
        <w:rPr>
          <w:rFonts w:ascii="Book Antiqua" w:hAnsi="Book Antiqua"/>
          <w:sz w:val="24"/>
          <w:szCs w:val="24"/>
          <w:lang w:val="en-GB" w:eastAsia="zh-CN"/>
        </w:rPr>
        <w:t>January 15, 2020</w:t>
      </w:r>
    </w:p>
    <w:p w14:paraId="6765A848" w14:textId="5DA4A64D" w:rsidR="00B31E93" w:rsidRPr="007F6B31" w:rsidRDefault="00B31E93" w:rsidP="00B31E93">
      <w:pPr>
        <w:spacing w:after="0" w:line="360" w:lineRule="auto"/>
        <w:jc w:val="both"/>
        <w:rPr>
          <w:rFonts w:ascii="Book Antiqua" w:hAnsi="Book Antiqua"/>
          <w:b/>
          <w:sz w:val="24"/>
          <w:szCs w:val="24"/>
          <w:lang w:val="en-GB"/>
        </w:rPr>
      </w:pPr>
      <w:r w:rsidRPr="007F6B31">
        <w:rPr>
          <w:rFonts w:ascii="Book Antiqua" w:hAnsi="Book Antiqua"/>
          <w:b/>
          <w:sz w:val="24"/>
          <w:szCs w:val="24"/>
          <w:lang w:val="en-GB"/>
        </w:rPr>
        <w:t xml:space="preserve">Revised: </w:t>
      </w:r>
      <w:r w:rsidRPr="007F6B31">
        <w:rPr>
          <w:rFonts w:ascii="Book Antiqua" w:hAnsi="Book Antiqua"/>
          <w:sz w:val="24"/>
          <w:szCs w:val="24"/>
          <w:lang w:val="en-GB" w:eastAsia="zh-CN"/>
        </w:rPr>
        <w:t>March 26, 2020</w:t>
      </w:r>
    </w:p>
    <w:p w14:paraId="41F5B4FD" w14:textId="45B4BA27" w:rsidR="00B31E93" w:rsidRPr="007F6B31" w:rsidRDefault="00B31E93" w:rsidP="00B31E93">
      <w:pPr>
        <w:spacing w:after="0" w:line="360" w:lineRule="auto"/>
        <w:jc w:val="both"/>
        <w:rPr>
          <w:rFonts w:ascii="Book Antiqua" w:hAnsi="Book Antiqua"/>
          <w:b/>
          <w:sz w:val="24"/>
          <w:szCs w:val="24"/>
          <w:lang w:val="en-GB"/>
        </w:rPr>
      </w:pPr>
      <w:r w:rsidRPr="007F6B31">
        <w:rPr>
          <w:rFonts w:ascii="Book Antiqua" w:hAnsi="Book Antiqua"/>
          <w:b/>
          <w:sz w:val="24"/>
          <w:szCs w:val="24"/>
          <w:lang w:val="en-GB"/>
        </w:rPr>
        <w:t>Accepted:</w:t>
      </w:r>
      <w:r w:rsidR="00DB4EEB" w:rsidRPr="00DB4EEB">
        <w:t xml:space="preserve"> </w:t>
      </w:r>
      <w:r w:rsidR="00DB4EEB" w:rsidRPr="00DB4EEB">
        <w:rPr>
          <w:rFonts w:ascii="Book Antiqua" w:hAnsi="Book Antiqua"/>
          <w:bCs/>
          <w:sz w:val="24"/>
          <w:szCs w:val="24"/>
          <w:lang w:val="en-GB"/>
        </w:rPr>
        <w:t>April 17, 2020</w:t>
      </w:r>
      <w:r w:rsidRPr="00DB4EEB">
        <w:rPr>
          <w:bCs/>
        </w:rPr>
        <w:t xml:space="preserve"> </w:t>
      </w:r>
    </w:p>
    <w:p w14:paraId="0A2D17CB" w14:textId="77777777" w:rsidR="00B31E93" w:rsidRPr="007F6B31" w:rsidRDefault="00B31E93" w:rsidP="00B31E93">
      <w:pPr>
        <w:spacing w:after="0" w:line="360" w:lineRule="auto"/>
        <w:jc w:val="both"/>
        <w:rPr>
          <w:rFonts w:ascii="Book Antiqua" w:hAnsi="Book Antiqua"/>
          <w:b/>
          <w:sz w:val="24"/>
          <w:szCs w:val="24"/>
          <w:lang w:val="en-GB" w:eastAsia="zh-CN"/>
        </w:rPr>
      </w:pPr>
      <w:r w:rsidRPr="007F6B31">
        <w:rPr>
          <w:rFonts w:ascii="Book Antiqua" w:hAnsi="Book Antiqua"/>
          <w:b/>
          <w:sz w:val="24"/>
          <w:szCs w:val="24"/>
          <w:lang w:val="en-GB"/>
        </w:rPr>
        <w:t xml:space="preserve">Published online: </w:t>
      </w:r>
    </w:p>
    <w:p w14:paraId="04FE6FEA" w14:textId="77777777" w:rsidR="00225324" w:rsidRPr="007F6B31" w:rsidRDefault="00225324" w:rsidP="001F2C55">
      <w:pPr>
        <w:snapToGrid w:val="0"/>
        <w:spacing w:after="0" w:line="360" w:lineRule="auto"/>
        <w:jc w:val="both"/>
        <w:rPr>
          <w:rFonts w:ascii="Book Antiqua" w:eastAsia="Georgia" w:hAnsi="Book Antiqua" w:cs="Georgia"/>
          <w:b/>
          <w:sz w:val="24"/>
          <w:szCs w:val="24"/>
          <w:u w:val="single"/>
          <w:lang w:val="en-GB" w:eastAsia="zh-CN" w:bidi="zh-CN"/>
        </w:rPr>
      </w:pPr>
      <w:r w:rsidRPr="007F6B31">
        <w:rPr>
          <w:rFonts w:ascii="Book Antiqua" w:hAnsi="Book Antiqua"/>
          <w:b/>
          <w:sz w:val="24"/>
          <w:szCs w:val="24"/>
          <w:u w:val="single"/>
          <w:lang w:val="en-GB"/>
        </w:rPr>
        <w:br w:type="page"/>
      </w:r>
    </w:p>
    <w:p w14:paraId="374E83E3" w14:textId="77777777" w:rsidR="00B31E93" w:rsidRPr="007F6B31" w:rsidRDefault="00B31E93" w:rsidP="00B31E93">
      <w:pPr>
        <w:autoSpaceDE w:val="0"/>
        <w:autoSpaceDN w:val="0"/>
        <w:adjustRightInd w:val="0"/>
        <w:spacing w:after="0" w:line="360" w:lineRule="auto"/>
        <w:jc w:val="both"/>
        <w:rPr>
          <w:rFonts w:ascii="Book Antiqua" w:hAnsi="Book Antiqua" w:cstheme="minorHAnsi"/>
          <w:b/>
          <w:sz w:val="24"/>
          <w:szCs w:val="24"/>
          <w:lang w:val="en-US"/>
        </w:rPr>
      </w:pPr>
      <w:r w:rsidRPr="007F6B31">
        <w:rPr>
          <w:rFonts w:ascii="Book Antiqua" w:hAnsi="Book Antiqua" w:cstheme="minorHAnsi"/>
          <w:b/>
          <w:sz w:val="24"/>
          <w:szCs w:val="24"/>
          <w:lang w:val="en-US"/>
        </w:rPr>
        <w:lastRenderedPageBreak/>
        <w:t>Abstract</w:t>
      </w:r>
    </w:p>
    <w:p w14:paraId="5A267AC6" w14:textId="77777777" w:rsidR="00B31E93" w:rsidRPr="007F6B31" w:rsidRDefault="00B31E93" w:rsidP="00B31E93">
      <w:pPr>
        <w:autoSpaceDE w:val="0"/>
        <w:autoSpaceDN w:val="0"/>
        <w:adjustRightInd w:val="0"/>
        <w:spacing w:after="0" w:line="360" w:lineRule="auto"/>
        <w:jc w:val="both"/>
        <w:rPr>
          <w:rFonts w:ascii="Book Antiqua" w:hAnsi="Book Antiqua" w:cstheme="minorHAnsi"/>
          <w:sz w:val="24"/>
          <w:szCs w:val="24"/>
          <w:lang w:val="en-US" w:eastAsia="zh-CN"/>
        </w:rPr>
      </w:pPr>
      <w:r w:rsidRPr="007F6B31">
        <w:rPr>
          <w:rFonts w:ascii="Book Antiqua" w:hAnsi="Book Antiqua" w:cstheme="minorHAnsi"/>
          <w:sz w:val="24"/>
          <w:szCs w:val="24"/>
          <w:lang w:val="en-US"/>
        </w:rPr>
        <w:t>BACKGROUND</w:t>
      </w:r>
    </w:p>
    <w:p w14:paraId="21E54ACA" w14:textId="272A2325" w:rsidR="00155A5D" w:rsidRPr="007F6B31" w:rsidRDefault="00276F4A" w:rsidP="001F2C55">
      <w:pPr>
        <w:snapToGrid w:val="0"/>
        <w:spacing w:after="0" w:line="360" w:lineRule="auto"/>
        <w:jc w:val="both"/>
        <w:rPr>
          <w:rFonts w:ascii="Book Antiqua" w:hAnsi="Book Antiqua"/>
          <w:i/>
          <w:sz w:val="24"/>
          <w:szCs w:val="24"/>
          <w:lang w:val="en-GB"/>
        </w:rPr>
      </w:pPr>
      <w:r w:rsidRPr="007F6B31">
        <w:rPr>
          <w:rFonts w:ascii="Book Antiqua" w:hAnsi="Book Antiqua" w:cs="Arial"/>
          <w:sz w:val="24"/>
          <w:szCs w:val="24"/>
          <w:lang w:val="en-US"/>
        </w:rPr>
        <w:t xml:space="preserve">Cholesteryl ester storage disease (CESD) is a rare genetic disease. </w:t>
      </w:r>
      <w:r w:rsidR="001A0324" w:rsidRPr="007F6B31">
        <w:rPr>
          <w:rFonts w:ascii="Book Antiqua" w:hAnsi="Book Antiqua" w:cs="Arial"/>
          <w:sz w:val="24"/>
          <w:szCs w:val="24"/>
          <w:lang w:val="en-GB"/>
        </w:rPr>
        <w:t xml:space="preserve">Its </w:t>
      </w:r>
      <w:r w:rsidRPr="007F6B31">
        <w:rPr>
          <w:rFonts w:ascii="Book Antiqua" w:hAnsi="Book Antiqua" w:cs="Arial"/>
          <w:sz w:val="24"/>
          <w:szCs w:val="24"/>
          <w:lang w:val="en-GB"/>
        </w:rPr>
        <w:t>symptoms and severity are highly variable.</w:t>
      </w:r>
      <w:r w:rsidRPr="007F6B31">
        <w:rPr>
          <w:rFonts w:ascii="Book Antiqua" w:hAnsi="Book Antiqua" w:cs="Arial"/>
          <w:sz w:val="24"/>
          <w:szCs w:val="24"/>
          <w:lang w:val="en-US"/>
        </w:rPr>
        <w:t xml:space="preserve"> </w:t>
      </w:r>
      <w:r w:rsidRPr="007F6B31">
        <w:rPr>
          <w:rFonts w:ascii="Book Antiqua" w:hAnsi="Book Antiqua" w:cs="Arial"/>
          <w:sz w:val="24"/>
          <w:szCs w:val="24"/>
          <w:lang w:val="en-GB"/>
        </w:rPr>
        <w:t>CESD is a systemic disease that can lead to the accumulation of fat and inflammation in the liver</w:t>
      </w:r>
      <w:r w:rsidR="001A0324" w:rsidRPr="007F6B31">
        <w:rPr>
          <w:rFonts w:ascii="Book Antiqua" w:hAnsi="Book Antiqua" w:cs="Arial"/>
          <w:sz w:val="24"/>
          <w:szCs w:val="24"/>
          <w:lang w:val="en-GB"/>
        </w:rPr>
        <w:t>,</w:t>
      </w:r>
      <w:r w:rsidRPr="007F6B31">
        <w:rPr>
          <w:rFonts w:ascii="Book Antiqua" w:hAnsi="Book Antiqua" w:cs="Arial"/>
          <w:sz w:val="24"/>
          <w:szCs w:val="24"/>
          <w:lang w:val="en-GB"/>
        </w:rPr>
        <w:t xml:space="preserve"> as well as gastrointestinal and cardiovascular disease. </w:t>
      </w:r>
      <w:r w:rsidR="00B91CC7" w:rsidRPr="007F6B31">
        <w:rPr>
          <w:rFonts w:ascii="Book Antiqua" w:hAnsi="Book Antiqua" w:cs="Arial"/>
          <w:sz w:val="24"/>
          <w:szCs w:val="24"/>
          <w:lang w:val="en-GB"/>
        </w:rPr>
        <w:t>The m</w:t>
      </w:r>
      <w:r w:rsidRPr="007F6B31">
        <w:rPr>
          <w:rFonts w:ascii="Book Antiqua" w:hAnsi="Book Antiqua" w:cs="Arial"/>
          <w:sz w:val="24"/>
          <w:szCs w:val="24"/>
          <w:lang w:val="en-GB"/>
        </w:rPr>
        <w:t xml:space="preserve">ajority of patients require liver transplantation due to decompensated cirrhosis. </w:t>
      </w:r>
      <w:r w:rsidRPr="007F6B31">
        <w:rPr>
          <w:rFonts w:ascii="Book Antiqua" w:hAnsi="Book Antiqua" w:cs="Arial"/>
          <w:sz w:val="24"/>
          <w:szCs w:val="24"/>
          <w:lang w:val="en-US"/>
        </w:rPr>
        <w:t>Enzyme replacement therapy has been approved based on a randomi</w:t>
      </w:r>
      <w:r w:rsidR="009A77E6" w:rsidRPr="007F6B31">
        <w:rPr>
          <w:rFonts w:ascii="Book Antiqua" w:hAnsi="Book Antiqua" w:cs="Arial"/>
          <w:sz w:val="24"/>
          <w:szCs w:val="24"/>
          <w:lang w:val="en-US"/>
        </w:rPr>
        <w:t>z</w:t>
      </w:r>
      <w:r w:rsidRPr="007F6B31">
        <w:rPr>
          <w:rFonts w:ascii="Book Antiqua" w:hAnsi="Book Antiqua" w:cs="Arial"/>
          <w:sz w:val="24"/>
          <w:szCs w:val="24"/>
          <w:lang w:val="en-US"/>
        </w:rPr>
        <w:t>ed trial. Our study aims to clinically and genetically evaluate two siblings with CESD who underwent liver transplantation</w:t>
      </w:r>
      <w:r w:rsidR="001A0324" w:rsidRPr="007F6B31">
        <w:rPr>
          <w:rFonts w:ascii="Book Antiqua" w:hAnsi="Book Antiqua" w:cs="Arial"/>
          <w:sz w:val="24"/>
          <w:szCs w:val="24"/>
          <w:lang w:val="en-US"/>
        </w:rPr>
        <w:t>,</w:t>
      </w:r>
      <w:r w:rsidRPr="007F6B31">
        <w:rPr>
          <w:rFonts w:ascii="Book Antiqua" w:hAnsi="Book Antiqua" w:cs="Arial"/>
          <w:sz w:val="24"/>
          <w:szCs w:val="24"/>
          <w:lang w:val="en-US"/>
        </w:rPr>
        <w:t xml:space="preserve"> </w:t>
      </w:r>
      <w:r w:rsidR="001A0324" w:rsidRPr="007F6B31">
        <w:rPr>
          <w:rFonts w:ascii="Book Antiqua" w:hAnsi="Book Antiqua" w:cs="Arial"/>
          <w:sz w:val="24"/>
          <w:szCs w:val="24"/>
          <w:lang w:val="en-US"/>
        </w:rPr>
        <w:t xml:space="preserve">as well as </w:t>
      </w:r>
      <w:r w:rsidRPr="007F6B31">
        <w:rPr>
          <w:rFonts w:ascii="Book Antiqua" w:hAnsi="Book Antiqua" w:cs="Arial"/>
          <w:sz w:val="24"/>
          <w:szCs w:val="24"/>
          <w:lang w:val="en-US"/>
        </w:rPr>
        <w:t>their first-</w:t>
      </w:r>
      <w:r w:rsidR="00D52970" w:rsidRPr="007F6B31">
        <w:rPr>
          <w:rFonts w:ascii="Book Antiqua" w:hAnsi="Book Antiqua" w:cs="Arial"/>
          <w:sz w:val="24"/>
          <w:szCs w:val="24"/>
          <w:lang w:val="en-US"/>
        </w:rPr>
        <w:t xml:space="preserve">degree </w:t>
      </w:r>
      <w:r w:rsidRPr="007F6B31">
        <w:rPr>
          <w:rFonts w:ascii="Book Antiqua" w:hAnsi="Book Antiqua" w:cs="Arial"/>
          <w:sz w:val="24"/>
          <w:szCs w:val="24"/>
          <w:lang w:val="en-US"/>
        </w:rPr>
        <w:t xml:space="preserve">family members. </w:t>
      </w:r>
    </w:p>
    <w:p w14:paraId="40C52C41" w14:textId="77777777" w:rsidR="00276F4A" w:rsidRPr="007F6B31" w:rsidRDefault="00276F4A" w:rsidP="001F2C55">
      <w:pPr>
        <w:snapToGrid w:val="0"/>
        <w:spacing w:after="0" w:line="360" w:lineRule="auto"/>
        <w:jc w:val="both"/>
        <w:rPr>
          <w:rFonts w:ascii="Book Antiqua" w:hAnsi="Book Antiqua" w:cs="Arial"/>
          <w:b/>
          <w:sz w:val="24"/>
          <w:szCs w:val="24"/>
          <w:lang w:val="en-US"/>
        </w:rPr>
      </w:pPr>
    </w:p>
    <w:p w14:paraId="3789DF64" w14:textId="77777777" w:rsidR="00B31E93" w:rsidRPr="007F6B31" w:rsidRDefault="00B31E93" w:rsidP="00B31E93">
      <w:pPr>
        <w:autoSpaceDE w:val="0"/>
        <w:autoSpaceDN w:val="0"/>
        <w:adjustRightInd w:val="0"/>
        <w:spacing w:after="0" w:line="360" w:lineRule="auto"/>
        <w:jc w:val="both"/>
        <w:rPr>
          <w:rFonts w:ascii="Book Antiqua" w:hAnsi="Book Antiqua" w:cstheme="minorHAnsi"/>
          <w:sz w:val="24"/>
          <w:szCs w:val="24"/>
          <w:lang w:val="en-US" w:eastAsia="zh-CN"/>
        </w:rPr>
      </w:pPr>
      <w:r w:rsidRPr="007F6B31">
        <w:rPr>
          <w:rFonts w:ascii="Book Antiqua" w:hAnsi="Book Antiqua" w:cstheme="minorHAnsi"/>
          <w:sz w:val="24"/>
          <w:szCs w:val="24"/>
          <w:lang w:val="en-US"/>
        </w:rPr>
        <w:t>CASE SUMMARY</w:t>
      </w:r>
    </w:p>
    <w:p w14:paraId="0C48037B" w14:textId="20F75D4D" w:rsidR="00276F4A" w:rsidRPr="007F6B31" w:rsidRDefault="00276F4A" w:rsidP="001F2C55">
      <w:pPr>
        <w:snapToGrid w:val="0"/>
        <w:spacing w:after="0" w:line="360" w:lineRule="auto"/>
        <w:jc w:val="both"/>
        <w:rPr>
          <w:rFonts w:ascii="Book Antiqua" w:hAnsi="Book Antiqua" w:cs="Arial"/>
          <w:sz w:val="24"/>
          <w:szCs w:val="24"/>
          <w:lang w:val="en-US"/>
        </w:rPr>
      </w:pPr>
      <w:r w:rsidRPr="007F6B31">
        <w:rPr>
          <w:rFonts w:ascii="Book Antiqua" w:hAnsi="Book Antiqua" w:cs="Arial"/>
          <w:sz w:val="24"/>
          <w:szCs w:val="24"/>
          <w:lang w:val="en-US"/>
        </w:rPr>
        <w:t>The siblings were compound heterozyg</w:t>
      </w:r>
      <w:r w:rsidR="006151BF" w:rsidRPr="007F6B31">
        <w:rPr>
          <w:rFonts w:ascii="Book Antiqua" w:hAnsi="Book Antiqua" w:cs="Arial"/>
          <w:sz w:val="24"/>
          <w:szCs w:val="24"/>
          <w:lang w:val="en-US"/>
        </w:rPr>
        <w:t>ous</w:t>
      </w:r>
      <w:r w:rsidRPr="007F6B31">
        <w:rPr>
          <w:rFonts w:ascii="Book Antiqua" w:hAnsi="Book Antiqua" w:cs="Arial"/>
          <w:sz w:val="24"/>
          <w:szCs w:val="24"/>
          <w:lang w:val="en-US"/>
        </w:rPr>
        <w:t xml:space="preserve"> for the missense variant in </w:t>
      </w:r>
      <w:r w:rsidRPr="007F6B31">
        <w:rPr>
          <w:rFonts w:ascii="Book Antiqua" w:hAnsi="Book Antiqua" w:cs="Arial"/>
          <w:i/>
          <w:iCs/>
          <w:sz w:val="24"/>
          <w:szCs w:val="24"/>
          <w:lang w:val="en-US"/>
        </w:rPr>
        <w:t>LIPA</w:t>
      </w:r>
      <w:r w:rsidRPr="007F6B31">
        <w:rPr>
          <w:rFonts w:ascii="Book Antiqua" w:hAnsi="Book Antiqua" w:cs="Arial"/>
          <w:sz w:val="24"/>
          <w:szCs w:val="24"/>
          <w:lang w:val="en-US"/>
        </w:rPr>
        <w:t xml:space="preserve"> exon 8, c.894G&gt;A, (</w:t>
      </w:r>
      <w:proofErr w:type="gramStart"/>
      <w:r w:rsidRPr="007F6B31">
        <w:rPr>
          <w:rFonts w:ascii="Book Antiqua" w:hAnsi="Book Antiqua" w:cs="Arial"/>
          <w:sz w:val="24"/>
          <w:szCs w:val="24"/>
          <w:lang w:val="en-US"/>
        </w:rPr>
        <w:t>p.Gln</w:t>
      </w:r>
      <w:proofErr w:type="gramEnd"/>
      <w:r w:rsidRPr="007F6B31">
        <w:rPr>
          <w:rFonts w:ascii="Book Antiqua" w:hAnsi="Book Antiqua" w:cs="Arial"/>
          <w:sz w:val="24"/>
          <w:szCs w:val="24"/>
          <w:lang w:val="en-US"/>
        </w:rPr>
        <w:t>298Gln) and a single base pair deletion</w:t>
      </w:r>
      <w:r w:rsidR="001A0324" w:rsidRPr="007F6B31">
        <w:rPr>
          <w:rFonts w:ascii="Book Antiqua" w:hAnsi="Book Antiqua" w:cs="Arial"/>
          <w:sz w:val="24"/>
          <w:szCs w:val="24"/>
          <w:lang w:val="en-US"/>
        </w:rPr>
        <w:t>,</w:t>
      </w:r>
      <w:r w:rsidRPr="007F6B31">
        <w:rPr>
          <w:rFonts w:ascii="Book Antiqua" w:hAnsi="Book Antiqua" w:cs="Arial"/>
          <w:sz w:val="24"/>
          <w:szCs w:val="24"/>
          <w:lang w:val="en-US"/>
        </w:rPr>
        <w:t xml:space="preserve"> c.482del (p.Asn161Ilefs*19). Analyses of </w:t>
      </w:r>
      <w:r w:rsidR="001E50D4" w:rsidRPr="007F6B31">
        <w:rPr>
          <w:rFonts w:ascii="Book Antiqua" w:hAnsi="Book Antiqua" w:cs="Arial"/>
          <w:sz w:val="24"/>
          <w:szCs w:val="24"/>
          <w:lang w:val="en-US"/>
        </w:rPr>
        <w:t>single nucleotide polymorphism</w:t>
      </w:r>
      <w:r w:rsidR="009A77E6" w:rsidRPr="007F6B31">
        <w:rPr>
          <w:rFonts w:ascii="Book Antiqua" w:hAnsi="Book Antiqua" w:cs="Arial"/>
          <w:sz w:val="24"/>
          <w:szCs w:val="24"/>
          <w:lang w:val="en-US"/>
        </w:rPr>
        <w:t>s</w:t>
      </w:r>
      <w:r w:rsidR="00D64498" w:rsidRPr="007F6B31">
        <w:rPr>
          <w:rFonts w:ascii="Book Antiqua" w:hAnsi="Book Antiqua" w:cs="Arial"/>
          <w:sz w:val="24"/>
          <w:szCs w:val="24"/>
          <w:lang w:val="en-US"/>
        </w:rPr>
        <w:t xml:space="preserve"> </w:t>
      </w:r>
      <w:r w:rsidRPr="007F6B31">
        <w:rPr>
          <w:rFonts w:ascii="Book Antiqua" w:hAnsi="Book Antiqua" w:cs="Arial"/>
          <w:sz w:val="24"/>
          <w:szCs w:val="24"/>
          <w:lang w:val="en-US"/>
        </w:rPr>
        <w:t>showed variant</w:t>
      </w:r>
      <w:r w:rsidR="00444F4A" w:rsidRPr="007F6B31">
        <w:rPr>
          <w:rFonts w:ascii="Book Antiqua" w:hAnsi="Book Antiqua" w:cs="Arial"/>
          <w:sz w:val="24"/>
          <w:szCs w:val="24"/>
          <w:lang w:val="en-US"/>
        </w:rPr>
        <w:t>s</w:t>
      </w:r>
      <w:r w:rsidRPr="007F6B31">
        <w:rPr>
          <w:rFonts w:ascii="Book Antiqua" w:hAnsi="Book Antiqua" w:cs="Arial"/>
          <w:sz w:val="24"/>
          <w:szCs w:val="24"/>
          <w:lang w:val="en-US"/>
        </w:rPr>
        <w:t xml:space="preserve"> with an increased risk of fatty liver disease and fibrosis for both patients. Clinically, both patients show signs of recurrence of CESD in the liver after transplantation and additional gastrointestinal and cardiovascular signs of CESD. Three family members who were </w:t>
      </w:r>
      <w:r w:rsidRPr="007F6B31">
        <w:rPr>
          <w:rFonts w:ascii="Book Antiqua" w:hAnsi="Book Antiqua" w:cs="Arial"/>
          <w:i/>
          <w:iCs/>
          <w:sz w:val="24"/>
          <w:szCs w:val="24"/>
          <w:lang w:val="en-US"/>
        </w:rPr>
        <w:t>LIPA</w:t>
      </w:r>
      <w:r w:rsidRPr="007F6B31">
        <w:rPr>
          <w:rFonts w:ascii="Book Antiqua" w:hAnsi="Book Antiqua" w:cs="Arial"/>
          <w:sz w:val="24"/>
          <w:szCs w:val="24"/>
          <w:lang w:val="en-US"/>
        </w:rPr>
        <w:t xml:space="preserve"> heterozyg</w:t>
      </w:r>
      <w:r w:rsidR="006151BF" w:rsidRPr="007F6B31">
        <w:rPr>
          <w:rFonts w:ascii="Book Antiqua" w:hAnsi="Book Antiqua" w:cs="Arial"/>
          <w:sz w:val="24"/>
          <w:szCs w:val="24"/>
          <w:lang w:val="en-US"/>
        </w:rPr>
        <w:t>ous</w:t>
      </w:r>
      <w:r w:rsidRPr="007F6B31">
        <w:rPr>
          <w:rFonts w:ascii="Book Antiqua" w:hAnsi="Book Antiqua" w:cs="Arial"/>
          <w:sz w:val="24"/>
          <w:szCs w:val="24"/>
          <w:lang w:val="en-US"/>
        </w:rPr>
        <w:t xml:space="preserve"> had a lysosomal acid lipase activity below the reference value. One of these carriers, a seven-year-old boy</w:t>
      </w:r>
      <w:r w:rsidR="00B91CC7" w:rsidRPr="007F6B31">
        <w:rPr>
          <w:rFonts w:ascii="Book Antiqua" w:hAnsi="Book Antiqua" w:cs="Arial"/>
          <w:sz w:val="24"/>
          <w:szCs w:val="24"/>
          <w:lang w:val="en-US"/>
        </w:rPr>
        <w:t>,</w:t>
      </w:r>
      <w:r w:rsidRPr="007F6B31">
        <w:rPr>
          <w:rFonts w:ascii="Book Antiqua" w:hAnsi="Book Antiqua" w:cs="Arial"/>
          <w:sz w:val="24"/>
          <w:szCs w:val="24"/>
          <w:lang w:val="en-US"/>
        </w:rPr>
        <w:t xml:space="preserve"> was found</w:t>
      </w:r>
      <w:r w:rsidR="00B91CC7" w:rsidRPr="007F6B31">
        <w:rPr>
          <w:rFonts w:ascii="Book Antiqua" w:hAnsi="Book Antiqua" w:cs="Arial"/>
          <w:sz w:val="24"/>
          <w:szCs w:val="24"/>
          <w:lang w:val="en-US"/>
        </w:rPr>
        <w:t xml:space="preserve"> to have</w:t>
      </w:r>
      <w:r w:rsidRPr="007F6B31">
        <w:rPr>
          <w:rFonts w:ascii="Book Antiqua" w:hAnsi="Book Antiqua" w:cs="Arial"/>
          <w:sz w:val="24"/>
          <w:szCs w:val="24"/>
          <w:lang w:val="en-US"/>
        </w:rPr>
        <w:t xml:space="preserve"> severe dyslipidemia and </w:t>
      </w:r>
      <w:r w:rsidR="00B91CC7" w:rsidRPr="007F6B31">
        <w:rPr>
          <w:rFonts w:ascii="Book Antiqua" w:hAnsi="Book Antiqua" w:cs="Arial"/>
          <w:sz w:val="24"/>
          <w:szCs w:val="24"/>
          <w:lang w:val="en-US"/>
        </w:rPr>
        <w:t xml:space="preserve">was subsequently </w:t>
      </w:r>
      <w:r w:rsidRPr="007F6B31">
        <w:rPr>
          <w:rFonts w:ascii="Book Antiqua" w:hAnsi="Book Antiqua" w:cs="Arial"/>
          <w:sz w:val="24"/>
          <w:szCs w:val="24"/>
          <w:lang w:val="en-US"/>
        </w:rPr>
        <w:t>treat</w:t>
      </w:r>
      <w:r w:rsidR="00B91CC7" w:rsidRPr="007F6B31">
        <w:rPr>
          <w:rFonts w:ascii="Book Antiqua" w:hAnsi="Book Antiqua" w:cs="Arial"/>
          <w:sz w:val="24"/>
          <w:szCs w:val="24"/>
          <w:lang w:val="en-US"/>
        </w:rPr>
        <w:t>ed</w:t>
      </w:r>
      <w:r w:rsidRPr="007F6B31">
        <w:rPr>
          <w:rFonts w:ascii="Book Antiqua" w:hAnsi="Book Antiqua" w:cs="Arial"/>
          <w:sz w:val="24"/>
          <w:szCs w:val="24"/>
          <w:lang w:val="en-US"/>
        </w:rPr>
        <w:t xml:space="preserve"> with statins. </w:t>
      </w:r>
    </w:p>
    <w:p w14:paraId="14767617" w14:textId="77777777" w:rsidR="00444F4A" w:rsidRPr="007F6B31" w:rsidRDefault="00444F4A" w:rsidP="001F2C55">
      <w:pPr>
        <w:snapToGrid w:val="0"/>
        <w:spacing w:after="0" w:line="360" w:lineRule="auto"/>
        <w:jc w:val="both"/>
        <w:rPr>
          <w:rFonts w:ascii="Book Antiqua" w:hAnsi="Book Antiqua" w:cs="Arial"/>
          <w:sz w:val="24"/>
          <w:szCs w:val="24"/>
          <w:lang w:val="en-US"/>
        </w:rPr>
      </w:pPr>
    </w:p>
    <w:p w14:paraId="49BD094B" w14:textId="77777777" w:rsidR="00B31E93" w:rsidRPr="007F6B31" w:rsidRDefault="00B31E93" w:rsidP="00B31E93">
      <w:pPr>
        <w:spacing w:after="0" w:line="360" w:lineRule="auto"/>
        <w:jc w:val="both"/>
        <w:rPr>
          <w:rFonts w:ascii="Book Antiqua" w:hAnsi="Book Antiqua" w:cstheme="minorHAnsi"/>
          <w:sz w:val="24"/>
          <w:szCs w:val="24"/>
          <w:lang w:val="en-US" w:eastAsia="zh-CN"/>
        </w:rPr>
      </w:pPr>
      <w:r w:rsidRPr="007F6B31">
        <w:rPr>
          <w:rFonts w:ascii="Book Antiqua" w:hAnsi="Book Antiqua" w:cstheme="minorHAnsi"/>
          <w:sz w:val="24"/>
          <w:szCs w:val="24"/>
          <w:lang w:val="en-US"/>
        </w:rPr>
        <w:t>CONCLUSION</w:t>
      </w:r>
    </w:p>
    <w:p w14:paraId="2EF33457" w14:textId="2F4B106A" w:rsidR="004725EC" w:rsidRPr="007F6B31" w:rsidRDefault="00057250" w:rsidP="001F2C55">
      <w:pPr>
        <w:snapToGrid w:val="0"/>
        <w:spacing w:after="0" w:line="360" w:lineRule="auto"/>
        <w:jc w:val="both"/>
        <w:rPr>
          <w:rFonts w:ascii="Book Antiqua" w:hAnsi="Book Antiqua" w:cs="Arial"/>
          <w:bCs/>
          <w:sz w:val="24"/>
          <w:szCs w:val="24"/>
          <w:lang w:val="en-US"/>
        </w:rPr>
      </w:pPr>
      <w:r w:rsidRPr="007F6B31">
        <w:rPr>
          <w:rFonts w:ascii="Book Antiqua" w:hAnsi="Book Antiqua" w:cs="Arial"/>
          <w:bCs/>
          <w:sz w:val="24"/>
          <w:szCs w:val="24"/>
          <w:lang w:val="en-US"/>
        </w:rPr>
        <w:t>O</w:t>
      </w:r>
      <w:r w:rsidR="00B30A9A" w:rsidRPr="007F6B31">
        <w:rPr>
          <w:rFonts w:ascii="Book Antiqua" w:hAnsi="Book Antiqua" w:cs="Arial"/>
          <w:bCs/>
          <w:sz w:val="24"/>
          <w:szCs w:val="24"/>
          <w:lang w:val="en-US"/>
        </w:rPr>
        <w:t>ur study underlines that CESD is a multi</w:t>
      </w:r>
      <w:r w:rsidR="000A46C3" w:rsidRPr="007F6B31">
        <w:rPr>
          <w:rFonts w:ascii="Book Antiqua" w:hAnsi="Book Antiqua" w:cs="Arial"/>
          <w:bCs/>
          <w:sz w:val="24"/>
          <w:szCs w:val="24"/>
          <w:lang w:val="en-US"/>
        </w:rPr>
        <w:t>-</w:t>
      </w:r>
      <w:r w:rsidR="00B30A9A" w:rsidRPr="007F6B31">
        <w:rPr>
          <w:rFonts w:ascii="Book Antiqua" w:hAnsi="Book Antiqua" w:cs="Arial"/>
          <w:bCs/>
          <w:sz w:val="24"/>
          <w:szCs w:val="24"/>
          <w:lang w:val="en-US"/>
        </w:rPr>
        <w:t>organ disease</w:t>
      </w:r>
      <w:r w:rsidR="00B91CC7" w:rsidRPr="007F6B31">
        <w:rPr>
          <w:rFonts w:ascii="Book Antiqua" w:hAnsi="Book Antiqua" w:cs="Arial"/>
          <w:bCs/>
          <w:sz w:val="24"/>
          <w:szCs w:val="24"/>
          <w:lang w:val="en-US"/>
        </w:rPr>
        <w:t xml:space="preserve">, the </w:t>
      </w:r>
      <w:r w:rsidR="00B30A9A" w:rsidRPr="007F6B31">
        <w:rPr>
          <w:rFonts w:ascii="Book Antiqua" w:hAnsi="Book Antiqua" w:cs="Arial"/>
          <w:bCs/>
          <w:sz w:val="24"/>
          <w:szCs w:val="24"/>
          <w:lang w:val="en-US"/>
        </w:rPr>
        <w:t>progression</w:t>
      </w:r>
      <w:r w:rsidR="00B91CC7" w:rsidRPr="007F6B31">
        <w:rPr>
          <w:rFonts w:ascii="Book Antiqua" w:hAnsi="Book Antiqua" w:cs="Arial"/>
          <w:bCs/>
          <w:sz w:val="24"/>
          <w:szCs w:val="24"/>
          <w:lang w:val="en-US"/>
        </w:rPr>
        <w:t xml:space="preserve"> of which</w:t>
      </w:r>
      <w:r w:rsidR="00B30A9A" w:rsidRPr="007F6B31">
        <w:rPr>
          <w:rFonts w:ascii="Book Antiqua" w:hAnsi="Book Antiqua" w:cs="Arial"/>
          <w:bCs/>
          <w:sz w:val="24"/>
          <w:szCs w:val="24"/>
          <w:lang w:val="en-US"/>
        </w:rPr>
        <w:t xml:space="preserve"> may occur post</w:t>
      </w:r>
      <w:r w:rsidR="00B91CC7" w:rsidRPr="007F6B31">
        <w:rPr>
          <w:rFonts w:ascii="Book Antiqua" w:hAnsi="Book Antiqua" w:cs="Arial"/>
          <w:bCs/>
          <w:sz w:val="24"/>
          <w:szCs w:val="24"/>
          <w:lang w:val="en-US"/>
        </w:rPr>
        <w:t>-</w:t>
      </w:r>
      <w:r w:rsidRPr="007F6B31">
        <w:rPr>
          <w:rFonts w:ascii="Book Antiqua" w:hAnsi="Book Antiqua" w:cs="Arial"/>
          <w:bCs/>
          <w:sz w:val="24"/>
          <w:szCs w:val="24"/>
          <w:lang w:val="en-US"/>
        </w:rPr>
        <w:t xml:space="preserve">liver </w:t>
      </w:r>
      <w:r w:rsidR="00B30A9A" w:rsidRPr="007F6B31">
        <w:rPr>
          <w:rFonts w:ascii="Book Antiqua" w:hAnsi="Book Antiqua" w:cs="Arial"/>
          <w:bCs/>
          <w:sz w:val="24"/>
          <w:szCs w:val="24"/>
          <w:lang w:val="en-US"/>
        </w:rPr>
        <w:t xml:space="preserve">transplantation. </w:t>
      </w:r>
      <w:r w:rsidR="00B91CC7" w:rsidRPr="007F6B31">
        <w:rPr>
          <w:rFonts w:ascii="Book Antiqua" w:hAnsi="Book Antiqua" w:cs="Arial"/>
          <w:bCs/>
          <w:sz w:val="24"/>
          <w:szCs w:val="24"/>
          <w:lang w:val="en-US"/>
        </w:rPr>
        <w:t xml:space="preserve">Our </w:t>
      </w:r>
      <w:r w:rsidR="00B30A9A" w:rsidRPr="007F6B31">
        <w:rPr>
          <w:rFonts w:ascii="Book Antiqua" w:hAnsi="Book Antiqua" w:cs="Arial"/>
          <w:bCs/>
          <w:sz w:val="24"/>
          <w:szCs w:val="24"/>
          <w:lang w:val="en-US"/>
        </w:rPr>
        <w:t xml:space="preserve">findings underline the need for monitoring of complications and assessment of possible </w:t>
      </w:r>
      <w:r w:rsidRPr="007F6B31">
        <w:rPr>
          <w:rFonts w:ascii="Book Antiqua" w:hAnsi="Book Antiqua" w:cs="Arial"/>
          <w:bCs/>
          <w:sz w:val="24"/>
          <w:szCs w:val="24"/>
          <w:lang w:val="en-US"/>
        </w:rPr>
        <w:t xml:space="preserve">further </w:t>
      </w:r>
      <w:r w:rsidR="00B30A9A" w:rsidRPr="007F6B31">
        <w:rPr>
          <w:rFonts w:ascii="Book Antiqua" w:hAnsi="Book Antiqua" w:cs="Arial"/>
          <w:bCs/>
          <w:sz w:val="24"/>
          <w:szCs w:val="24"/>
          <w:lang w:val="en-US"/>
        </w:rPr>
        <w:t xml:space="preserve">treatment. </w:t>
      </w:r>
    </w:p>
    <w:p w14:paraId="6DC16FDF" w14:textId="24B43408" w:rsidR="004F433F" w:rsidRPr="007F6B31" w:rsidRDefault="004F433F" w:rsidP="001F2C55">
      <w:pPr>
        <w:snapToGrid w:val="0"/>
        <w:spacing w:after="0" w:line="360" w:lineRule="auto"/>
        <w:jc w:val="both"/>
        <w:rPr>
          <w:rFonts w:ascii="Book Antiqua" w:hAnsi="Book Antiqua" w:cs="Arial"/>
          <w:bCs/>
          <w:sz w:val="24"/>
          <w:szCs w:val="24"/>
          <w:lang w:val="en-US"/>
        </w:rPr>
      </w:pPr>
    </w:p>
    <w:p w14:paraId="4A5CC0CF" w14:textId="1913E480" w:rsidR="00874122" w:rsidRPr="007F6B31" w:rsidRDefault="00B31E93" w:rsidP="001F2C55">
      <w:pPr>
        <w:snapToGrid w:val="0"/>
        <w:spacing w:after="0" w:line="360" w:lineRule="auto"/>
        <w:jc w:val="both"/>
        <w:rPr>
          <w:rFonts w:ascii="Book Antiqua" w:hAnsi="Book Antiqua" w:cs="Arial"/>
          <w:sz w:val="24"/>
          <w:szCs w:val="24"/>
          <w:lang w:val="en-GB"/>
        </w:rPr>
      </w:pPr>
      <w:r w:rsidRPr="007F6B31">
        <w:rPr>
          <w:rFonts w:ascii="Book Antiqua" w:hAnsi="Book Antiqua" w:cstheme="minorHAnsi"/>
          <w:b/>
          <w:sz w:val="24"/>
          <w:szCs w:val="24"/>
          <w:lang w:val="en-US"/>
        </w:rPr>
        <w:t>Key</w:t>
      </w:r>
      <w:r w:rsidRPr="007F6B31">
        <w:rPr>
          <w:rFonts w:ascii="Book Antiqua" w:hAnsi="Book Antiqua" w:cstheme="minorHAnsi"/>
          <w:b/>
          <w:sz w:val="24"/>
          <w:szCs w:val="24"/>
          <w:lang w:val="en-US" w:eastAsia="zh-CN"/>
        </w:rPr>
        <w:t xml:space="preserve"> </w:t>
      </w:r>
      <w:r w:rsidRPr="007F6B31">
        <w:rPr>
          <w:rFonts w:ascii="Book Antiqua" w:hAnsi="Book Antiqua" w:cstheme="minorHAnsi"/>
          <w:b/>
          <w:sz w:val="24"/>
          <w:szCs w:val="24"/>
          <w:lang w:val="en-US"/>
        </w:rPr>
        <w:t>words:</w:t>
      </w:r>
      <w:r w:rsidR="009F5A23" w:rsidRPr="007F6B31">
        <w:rPr>
          <w:rFonts w:ascii="Book Antiqua" w:hAnsi="Book Antiqua" w:cs="Arial"/>
          <w:sz w:val="24"/>
          <w:szCs w:val="24"/>
          <w:lang w:val="en-GB"/>
        </w:rPr>
        <w:t xml:space="preserve"> Lysosomal acid lipase deficiency</w:t>
      </w:r>
      <w:r w:rsidR="00225324" w:rsidRPr="007F6B31">
        <w:rPr>
          <w:rFonts w:ascii="Book Antiqua" w:hAnsi="Book Antiqua" w:cs="Arial"/>
          <w:sz w:val="24"/>
          <w:szCs w:val="24"/>
          <w:lang w:val="en-GB"/>
        </w:rPr>
        <w:t xml:space="preserve">; Lysosomal </w:t>
      </w:r>
      <w:r w:rsidR="009F5A23" w:rsidRPr="007F6B31">
        <w:rPr>
          <w:rFonts w:ascii="Book Antiqua" w:hAnsi="Book Antiqua" w:cs="Arial"/>
          <w:sz w:val="24"/>
          <w:szCs w:val="24"/>
          <w:lang w:val="en-GB"/>
        </w:rPr>
        <w:t>storage disease</w:t>
      </w:r>
      <w:r w:rsidR="00225324" w:rsidRPr="007F6B31">
        <w:rPr>
          <w:rFonts w:ascii="Book Antiqua" w:hAnsi="Book Antiqua" w:cs="Arial"/>
          <w:sz w:val="24"/>
          <w:szCs w:val="24"/>
          <w:lang w:val="en-GB"/>
        </w:rPr>
        <w:t>;</w:t>
      </w:r>
      <w:r w:rsidR="009F5A23" w:rsidRPr="007F6B31">
        <w:rPr>
          <w:rFonts w:ascii="Book Antiqua" w:hAnsi="Book Antiqua" w:cs="Arial"/>
          <w:sz w:val="24"/>
          <w:szCs w:val="24"/>
          <w:lang w:val="en-GB"/>
        </w:rPr>
        <w:t xml:space="preserve"> </w:t>
      </w:r>
      <w:r w:rsidR="00225324" w:rsidRPr="007F6B31">
        <w:rPr>
          <w:rFonts w:ascii="Book Antiqua" w:hAnsi="Book Antiqua" w:cs="Arial"/>
          <w:sz w:val="24"/>
          <w:szCs w:val="24"/>
          <w:lang w:val="en-GB"/>
        </w:rPr>
        <w:t>Non-</w:t>
      </w:r>
      <w:r w:rsidR="009F5A23" w:rsidRPr="007F6B31">
        <w:rPr>
          <w:rFonts w:ascii="Book Antiqua" w:hAnsi="Book Antiqua" w:cs="Arial"/>
          <w:sz w:val="24"/>
          <w:szCs w:val="24"/>
          <w:lang w:val="en-GB"/>
        </w:rPr>
        <w:t>alcoholic fatty liver disease</w:t>
      </w:r>
      <w:r w:rsidR="00225324" w:rsidRPr="007F6B31">
        <w:rPr>
          <w:rFonts w:ascii="Book Antiqua" w:hAnsi="Book Antiqua" w:cs="Arial"/>
          <w:sz w:val="24"/>
          <w:szCs w:val="24"/>
          <w:lang w:val="en-GB"/>
        </w:rPr>
        <w:t>;</w:t>
      </w:r>
      <w:r w:rsidR="009F5A23" w:rsidRPr="007F6B31">
        <w:rPr>
          <w:rFonts w:ascii="Book Antiqua" w:hAnsi="Book Antiqua" w:cs="Arial"/>
          <w:sz w:val="24"/>
          <w:szCs w:val="24"/>
          <w:lang w:val="en-GB"/>
        </w:rPr>
        <w:t xml:space="preserve"> </w:t>
      </w:r>
      <w:r w:rsidR="00225324" w:rsidRPr="007F6B31">
        <w:rPr>
          <w:rFonts w:ascii="Book Antiqua" w:hAnsi="Book Antiqua" w:cs="Arial"/>
          <w:sz w:val="24"/>
          <w:szCs w:val="24"/>
          <w:lang w:val="en-GB"/>
        </w:rPr>
        <w:t xml:space="preserve">Liver </w:t>
      </w:r>
      <w:r w:rsidR="009F5A23" w:rsidRPr="007F6B31">
        <w:rPr>
          <w:rFonts w:ascii="Book Antiqua" w:hAnsi="Book Antiqua" w:cs="Arial"/>
          <w:sz w:val="24"/>
          <w:szCs w:val="24"/>
          <w:lang w:val="en-GB"/>
        </w:rPr>
        <w:t>transplantation</w:t>
      </w:r>
      <w:r w:rsidR="00225324" w:rsidRPr="007F6B31">
        <w:rPr>
          <w:rFonts w:ascii="Book Antiqua" w:hAnsi="Book Antiqua" w:cs="Arial"/>
          <w:sz w:val="24"/>
          <w:szCs w:val="24"/>
          <w:lang w:val="en-GB"/>
        </w:rPr>
        <w:t>;</w:t>
      </w:r>
      <w:r w:rsidR="009F5A23" w:rsidRPr="007F6B31">
        <w:rPr>
          <w:rFonts w:ascii="Book Antiqua" w:hAnsi="Book Antiqua" w:cs="Arial"/>
          <w:sz w:val="24"/>
          <w:szCs w:val="24"/>
          <w:lang w:val="en-GB"/>
        </w:rPr>
        <w:t xml:space="preserve"> </w:t>
      </w:r>
      <w:proofErr w:type="spellStart"/>
      <w:r w:rsidR="00225324" w:rsidRPr="007F6B31">
        <w:rPr>
          <w:rFonts w:ascii="Book Antiqua" w:hAnsi="Book Antiqua" w:cs="Arial"/>
          <w:sz w:val="24"/>
          <w:szCs w:val="24"/>
          <w:lang w:val="en-GB"/>
        </w:rPr>
        <w:t>Sebelipase</w:t>
      </w:r>
      <w:proofErr w:type="spellEnd"/>
      <w:r w:rsidR="00225324" w:rsidRPr="007F6B31">
        <w:rPr>
          <w:rFonts w:ascii="Book Antiqua" w:hAnsi="Book Antiqua" w:cs="Arial"/>
          <w:sz w:val="24"/>
          <w:szCs w:val="24"/>
          <w:lang w:val="en-GB"/>
        </w:rPr>
        <w:t xml:space="preserve"> </w:t>
      </w:r>
      <w:r w:rsidR="00057250" w:rsidRPr="007F6B31">
        <w:rPr>
          <w:rFonts w:ascii="Book Antiqua" w:hAnsi="Book Antiqua" w:cs="Arial"/>
          <w:sz w:val="24"/>
          <w:szCs w:val="24"/>
          <w:lang w:val="en-GB"/>
        </w:rPr>
        <w:t>alfa</w:t>
      </w:r>
      <w:r w:rsidR="00225324" w:rsidRPr="007F6B31">
        <w:rPr>
          <w:rFonts w:ascii="Book Antiqua" w:hAnsi="Book Antiqua" w:cs="Arial"/>
          <w:sz w:val="24"/>
          <w:szCs w:val="24"/>
          <w:lang w:val="en-GB"/>
        </w:rPr>
        <w:t>;</w:t>
      </w:r>
      <w:r w:rsidR="00010B22" w:rsidRPr="007F6B31">
        <w:rPr>
          <w:rFonts w:ascii="Book Antiqua" w:hAnsi="Book Antiqua" w:cs="Arial"/>
          <w:sz w:val="24"/>
          <w:szCs w:val="24"/>
          <w:lang w:val="en-GB"/>
        </w:rPr>
        <w:t xml:space="preserve"> </w:t>
      </w:r>
      <w:r w:rsidR="00225324" w:rsidRPr="007F6B31">
        <w:rPr>
          <w:rFonts w:ascii="Book Antiqua" w:hAnsi="Book Antiqua" w:cs="Arial"/>
          <w:sz w:val="24"/>
          <w:szCs w:val="24"/>
          <w:lang w:val="en-GB"/>
        </w:rPr>
        <w:t xml:space="preserve">Case </w:t>
      </w:r>
      <w:r w:rsidR="00010B22" w:rsidRPr="007F6B31">
        <w:rPr>
          <w:rFonts w:ascii="Book Antiqua" w:hAnsi="Book Antiqua" w:cs="Arial"/>
          <w:sz w:val="24"/>
          <w:szCs w:val="24"/>
          <w:lang w:val="en-GB"/>
        </w:rPr>
        <w:t>report</w:t>
      </w:r>
    </w:p>
    <w:p w14:paraId="3B973C92" w14:textId="77777777" w:rsidR="002F737B" w:rsidRPr="007F6B31" w:rsidRDefault="002F737B" w:rsidP="001F2C55">
      <w:pPr>
        <w:snapToGrid w:val="0"/>
        <w:spacing w:after="0" w:line="360" w:lineRule="auto"/>
        <w:jc w:val="both"/>
        <w:rPr>
          <w:rFonts w:ascii="Book Antiqua" w:hAnsi="Book Antiqua" w:cs="Arial"/>
          <w:b/>
          <w:bCs/>
          <w:sz w:val="24"/>
          <w:szCs w:val="24"/>
          <w:lang w:val="en-US"/>
        </w:rPr>
      </w:pPr>
    </w:p>
    <w:p w14:paraId="3272F97C" w14:textId="62D6190A" w:rsidR="002F737B" w:rsidRPr="007F6B31" w:rsidRDefault="002F737B" w:rsidP="00B31E93">
      <w:pPr>
        <w:adjustRightInd w:val="0"/>
        <w:snapToGrid w:val="0"/>
        <w:spacing w:after="0" w:line="360" w:lineRule="auto"/>
        <w:jc w:val="both"/>
        <w:rPr>
          <w:rFonts w:ascii="Book Antiqua" w:hAnsi="Book Antiqua"/>
          <w:bCs/>
          <w:sz w:val="24"/>
          <w:szCs w:val="24"/>
          <w:lang w:eastAsia="zh-CN"/>
        </w:rPr>
      </w:pPr>
      <w:r w:rsidRPr="007F6B31">
        <w:rPr>
          <w:rFonts w:ascii="Book Antiqua" w:hAnsi="Book Antiqua" w:cs="Arial"/>
          <w:sz w:val="24"/>
          <w:szCs w:val="24"/>
        </w:rPr>
        <w:lastRenderedPageBreak/>
        <w:t>Rashu EB,</w:t>
      </w:r>
      <w:r w:rsidRPr="007F6B31">
        <w:rPr>
          <w:rFonts w:ascii="Book Antiqua" w:hAnsi="Book Antiqua" w:cs="Arial"/>
          <w:sz w:val="24"/>
          <w:szCs w:val="24"/>
          <w:vertAlign w:val="superscript"/>
        </w:rPr>
        <w:t xml:space="preserve"> </w:t>
      </w:r>
      <w:r w:rsidRPr="007F6B31">
        <w:rPr>
          <w:rFonts w:ascii="Book Antiqua" w:hAnsi="Book Antiqua" w:cs="Arial"/>
          <w:sz w:val="24"/>
          <w:szCs w:val="24"/>
        </w:rPr>
        <w:t xml:space="preserve">Junker AE, Danielsen KV, Dahl E, Hamberg O, Borgwardt L, Christensen VB, Wewer Albrechtsen NJ, Gluud LL. </w:t>
      </w:r>
      <w:r w:rsidRPr="007F6B31">
        <w:rPr>
          <w:rFonts w:ascii="Book Antiqua" w:hAnsi="Book Antiqua" w:cs="Arial"/>
          <w:sz w:val="24"/>
          <w:szCs w:val="24"/>
          <w:lang w:val="en-GB"/>
        </w:rPr>
        <w:t xml:space="preserve">Cholesteryl ester storage disease of clinical and genetic characterisation: A case report </w:t>
      </w:r>
      <w:r w:rsidRPr="007F6B31">
        <w:rPr>
          <w:rFonts w:ascii="Book Antiqua" w:hAnsi="Book Antiqua" w:cs="Arial"/>
          <w:sz w:val="24"/>
          <w:szCs w:val="24"/>
          <w:lang w:val="en-GB" w:eastAsia="zh-CN"/>
        </w:rPr>
        <w:t>and review of literature</w:t>
      </w:r>
      <w:r w:rsidR="00B31E93" w:rsidRPr="007F6B31">
        <w:rPr>
          <w:rFonts w:ascii="Book Antiqua" w:hAnsi="Book Antiqua" w:cs="Arial"/>
          <w:sz w:val="24"/>
          <w:szCs w:val="24"/>
          <w:lang w:val="en-GB" w:eastAsia="zh-CN"/>
        </w:rPr>
        <w:t xml:space="preserve">. </w:t>
      </w:r>
      <w:r w:rsidR="00B31E93" w:rsidRPr="007F6B31">
        <w:rPr>
          <w:rFonts w:ascii="Book Antiqua" w:hAnsi="Book Antiqua"/>
          <w:i/>
          <w:iCs/>
          <w:sz w:val="24"/>
          <w:szCs w:val="24"/>
        </w:rPr>
        <w:t>World J Clin Cases</w:t>
      </w:r>
      <w:r w:rsidR="00B31E93" w:rsidRPr="007F6B31">
        <w:rPr>
          <w:rFonts w:ascii="Book Antiqua" w:hAnsi="Book Antiqua"/>
          <w:i/>
          <w:iCs/>
          <w:sz w:val="24"/>
          <w:szCs w:val="24"/>
          <w:lang w:eastAsia="zh-CN"/>
        </w:rPr>
        <w:t xml:space="preserve"> </w:t>
      </w:r>
      <w:r w:rsidR="00B31E93" w:rsidRPr="007F6B31">
        <w:rPr>
          <w:rFonts w:ascii="Book Antiqua" w:hAnsi="Book Antiqua"/>
          <w:iCs/>
          <w:sz w:val="24"/>
          <w:szCs w:val="24"/>
          <w:lang w:eastAsia="zh-CN"/>
        </w:rPr>
        <w:t>2020</w:t>
      </w:r>
      <w:r w:rsidR="00B31E93" w:rsidRPr="007F6B31">
        <w:rPr>
          <w:rFonts w:ascii="Book Antiqua" w:hAnsi="Book Antiqua"/>
          <w:bCs/>
          <w:sz w:val="24"/>
          <w:szCs w:val="24"/>
        </w:rPr>
        <w:t xml:space="preserve">; </w:t>
      </w:r>
      <w:r w:rsidR="00B31E93" w:rsidRPr="007F6B31">
        <w:rPr>
          <w:rFonts w:ascii="Book Antiqua" w:hAnsi="Book Antiqua" w:hint="eastAsia"/>
          <w:bCs/>
          <w:sz w:val="24"/>
          <w:szCs w:val="24"/>
          <w:lang w:eastAsia="zh-CN"/>
        </w:rPr>
        <w:t>In press</w:t>
      </w:r>
    </w:p>
    <w:p w14:paraId="33FB75CC" w14:textId="7FD9D1FA" w:rsidR="002F737B" w:rsidRPr="007F6B31" w:rsidRDefault="002F737B" w:rsidP="001F2C55">
      <w:pPr>
        <w:snapToGrid w:val="0"/>
        <w:spacing w:after="0" w:line="360" w:lineRule="auto"/>
        <w:jc w:val="both"/>
        <w:rPr>
          <w:rFonts w:ascii="Book Antiqua" w:hAnsi="Book Antiqua" w:cs="Arial"/>
          <w:b/>
          <w:bCs/>
          <w:sz w:val="24"/>
          <w:szCs w:val="24"/>
        </w:rPr>
      </w:pPr>
    </w:p>
    <w:p w14:paraId="31C8E2C0" w14:textId="71A75244" w:rsidR="002F737B" w:rsidRPr="007F6B31" w:rsidRDefault="00B31E93" w:rsidP="001F2C55">
      <w:pPr>
        <w:snapToGrid w:val="0"/>
        <w:spacing w:after="0" w:line="360" w:lineRule="auto"/>
        <w:jc w:val="both"/>
        <w:rPr>
          <w:rFonts w:ascii="Book Antiqua" w:hAnsi="Book Antiqua" w:cs="Arial"/>
          <w:sz w:val="24"/>
          <w:szCs w:val="24"/>
          <w:lang w:val="en-GB"/>
        </w:rPr>
      </w:pPr>
      <w:r w:rsidRPr="007F6B31">
        <w:rPr>
          <w:rFonts w:ascii="Book Antiqua" w:hAnsi="Book Antiqua"/>
          <w:b/>
          <w:sz w:val="24"/>
          <w:szCs w:val="24"/>
          <w:lang w:val="en-US"/>
        </w:rPr>
        <w:t>Core tip</w:t>
      </w:r>
      <w:r w:rsidRPr="007F6B31">
        <w:rPr>
          <w:rFonts w:ascii="Book Antiqua" w:hAnsi="Book Antiqua"/>
          <w:b/>
          <w:sz w:val="24"/>
          <w:szCs w:val="24"/>
          <w:lang w:val="en-US" w:eastAsia="zh-CN"/>
        </w:rPr>
        <w:t>:</w:t>
      </w:r>
      <w:r w:rsidR="00EC227D" w:rsidRPr="007F6B31">
        <w:rPr>
          <w:rFonts w:ascii="Book Antiqua" w:hAnsi="Book Antiqua" w:cs="Arial"/>
          <w:b/>
          <w:sz w:val="24"/>
          <w:szCs w:val="24"/>
          <w:lang w:val="en-GB"/>
        </w:rPr>
        <w:t xml:space="preserve"> </w:t>
      </w:r>
      <w:r w:rsidR="00D64498" w:rsidRPr="007F6B31">
        <w:rPr>
          <w:rFonts w:ascii="Book Antiqua" w:hAnsi="Book Antiqua" w:cs="Arial"/>
          <w:sz w:val="24"/>
          <w:szCs w:val="24"/>
          <w:lang w:val="en-GB"/>
        </w:rPr>
        <w:t xml:space="preserve">Cholesteryl ester storage disease is a multisystemic disease affecting several organs. Accordingly, the disease will progress after liver transplantation and may recur in the transplanted liver. Abnormal lipid accumulation in the vascular endothelium causes cardiovascular diseases. The occurrence of </w:t>
      </w:r>
      <w:r w:rsidR="001E50D4" w:rsidRPr="007F6B31">
        <w:rPr>
          <w:rFonts w:ascii="Book Antiqua" w:hAnsi="Book Antiqua" w:cs="Arial"/>
          <w:sz w:val="24"/>
          <w:szCs w:val="24"/>
          <w:lang w:val="en-GB"/>
        </w:rPr>
        <w:t>single nucleotide polymorphism</w:t>
      </w:r>
      <w:r w:rsidR="00225324" w:rsidRPr="007F6B31">
        <w:rPr>
          <w:rFonts w:ascii="Book Antiqua" w:hAnsi="Book Antiqua" w:cs="Arial"/>
          <w:sz w:val="24"/>
          <w:szCs w:val="24"/>
          <w:lang w:val="en-US"/>
        </w:rPr>
        <w:t xml:space="preserve">s </w:t>
      </w:r>
      <w:r w:rsidR="00D64498" w:rsidRPr="007F6B31">
        <w:rPr>
          <w:rFonts w:ascii="Book Antiqua" w:hAnsi="Book Antiqua" w:cs="Arial"/>
          <w:sz w:val="24"/>
          <w:szCs w:val="24"/>
          <w:lang w:val="en-US"/>
        </w:rPr>
        <w:t xml:space="preserve">associated with fatty liver disease may increase the risk of cirrhosis and of recurrence of fatty liver disease after transplantation. </w:t>
      </w:r>
      <w:r w:rsidR="00D64498" w:rsidRPr="007F6B31">
        <w:rPr>
          <w:rFonts w:ascii="Book Antiqua" w:hAnsi="Book Antiqua" w:cs="Arial"/>
          <w:sz w:val="24"/>
          <w:szCs w:val="24"/>
          <w:lang w:val="en-GB"/>
        </w:rPr>
        <w:t>Our case presents findings that underline the importance of monitoring and treatment.</w:t>
      </w:r>
    </w:p>
    <w:p w14:paraId="26BB1235" w14:textId="77777777" w:rsidR="002F737B" w:rsidRPr="007F6B31" w:rsidRDefault="002F737B" w:rsidP="001F2C55">
      <w:pPr>
        <w:snapToGrid w:val="0"/>
        <w:spacing w:after="0" w:line="360" w:lineRule="auto"/>
        <w:jc w:val="both"/>
        <w:rPr>
          <w:rFonts w:ascii="Book Antiqua" w:hAnsi="Book Antiqua" w:cs="Arial"/>
          <w:sz w:val="24"/>
          <w:szCs w:val="24"/>
          <w:lang w:val="en-GB"/>
        </w:rPr>
      </w:pPr>
      <w:r w:rsidRPr="007F6B31">
        <w:rPr>
          <w:rFonts w:ascii="Book Antiqua" w:hAnsi="Book Antiqua" w:cs="Arial"/>
          <w:sz w:val="24"/>
          <w:szCs w:val="24"/>
          <w:lang w:val="en-GB"/>
        </w:rPr>
        <w:br w:type="page"/>
      </w:r>
    </w:p>
    <w:p w14:paraId="6045C870" w14:textId="77777777" w:rsidR="001E50D4" w:rsidRPr="007F6B31" w:rsidRDefault="001E50D4" w:rsidP="001E50D4">
      <w:pPr>
        <w:autoSpaceDE w:val="0"/>
        <w:autoSpaceDN w:val="0"/>
        <w:adjustRightInd w:val="0"/>
        <w:spacing w:after="0" w:line="360" w:lineRule="auto"/>
        <w:jc w:val="both"/>
        <w:rPr>
          <w:rFonts w:ascii="Book Antiqua" w:hAnsi="Book Antiqua" w:cstheme="minorHAnsi"/>
          <w:b/>
          <w:sz w:val="24"/>
          <w:szCs w:val="24"/>
          <w:u w:val="single"/>
          <w:lang w:val="en-GB"/>
        </w:rPr>
      </w:pPr>
      <w:r w:rsidRPr="007F6B31">
        <w:rPr>
          <w:rFonts w:ascii="Book Antiqua" w:hAnsi="Book Antiqua" w:cstheme="minorHAnsi"/>
          <w:b/>
          <w:sz w:val="24"/>
          <w:szCs w:val="24"/>
          <w:u w:val="single"/>
          <w:lang w:val="en-GB"/>
        </w:rPr>
        <w:lastRenderedPageBreak/>
        <w:t>INTRODUCTION</w:t>
      </w:r>
    </w:p>
    <w:p w14:paraId="61C19A6A" w14:textId="4530CE36" w:rsidR="006A1D34" w:rsidRPr="007F6B31" w:rsidRDefault="00C36B61" w:rsidP="001F2C55">
      <w:pPr>
        <w:snapToGrid w:val="0"/>
        <w:spacing w:after="0" w:line="360" w:lineRule="auto"/>
        <w:jc w:val="both"/>
        <w:rPr>
          <w:rFonts w:ascii="Book Antiqua" w:hAnsi="Book Antiqua" w:cs="Arial"/>
          <w:sz w:val="24"/>
          <w:szCs w:val="24"/>
          <w:lang w:val="en-GB"/>
        </w:rPr>
      </w:pPr>
      <w:r w:rsidRPr="007F6B31">
        <w:rPr>
          <w:rFonts w:ascii="Book Antiqua" w:hAnsi="Book Antiqua" w:cs="Arial"/>
          <w:sz w:val="24"/>
          <w:szCs w:val="24"/>
          <w:shd w:val="clear" w:color="auto" w:fill="FFFFFF"/>
          <w:lang w:val="en-US"/>
        </w:rPr>
        <w:t xml:space="preserve">Cholesteryl ester storage disease (CESD) is a type of lysosomal acid lipase (LAL) deficiency. </w:t>
      </w:r>
      <w:r w:rsidR="001D4DB7" w:rsidRPr="007F6B31">
        <w:rPr>
          <w:rFonts w:ascii="Book Antiqua" w:hAnsi="Book Antiqua" w:cs="Arial"/>
          <w:sz w:val="24"/>
          <w:szCs w:val="24"/>
          <w:lang w:val="en-GB"/>
        </w:rPr>
        <w:t xml:space="preserve">LAL </w:t>
      </w:r>
      <w:r w:rsidR="00B91CC7" w:rsidRPr="007F6B31">
        <w:rPr>
          <w:rFonts w:ascii="Book Antiqua" w:hAnsi="Book Antiqua" w:cs="Arial"/>
          <w:sz w:val="24"/>
          <w:szCs w:val="24"/>
          <w:lang w:val="en-GB"/>
        </w:rPr>
        <w:t>d</w:t>
      </w:r>
      <w:r w:rsidR="001D4DB7" w:rsidRPr="007F6B31">
        <w:rPr>
          <w:rFonts w:ascii="Book Antiqua" w:hAnsi="Book Antiqua" w:cs="Arial"/>
          <w:sz w:val="24"/>
          <w:szCs w:val="24"/>
          <w:lang w:val="en-GB"/>
        </w:rPr>
        <w:t>eficiency</w:t>
      </w:r>
      <w:r w:rsidR="00057250" w:rsidRPr="007F6B31">
        <w:rPr>
          <w:rFonts w:ascii="Book Antiqua" w:hAnsi="Book Antiqua" w:cs="Arial"/>
          <w:sz w:val="24"/>
          <w:szCs w:val="24"/>
          <w:lang w:val="en-GB"/>
        </w:rPr>
        <w:t xml:space="preserve"> (LAL-D)</w:t>
      </w:r>
      <w:r w:rsidR="006A1D34" w:rsidRPr="007F6B31">
        <w:rPr>
          <w:rFonts w:ascii="Book Antiqua" w:hAnsi="Book Antiqua" w:cs="Arial"/>
          <w:sz w:val="24"/>
          <w:szCs w:val="24"/>
          <w:lang w:val="en-GB"/>
        </w:rPr>
        <w:t xml:space="preserve"> is caused by pathogenic variants in the </w:t>
      </w:r>
      <w:r w:rsidR="006A1D34" w:rsidRPr="007F6B31">
        <w:rPr>
          <w:rFonts w:ascii="Book Antiqua" w:hAnsi="Book Antiqua" w:cs="Arial"/>
          <w:i/>
          <w:sz w:val="24"/>
          <w:szCs w:val="24"/>
          <w:lang w:val="en-GB"/>
        </w:rPr>
        <w:t>LIPA</w:t>
      </w:r>
      <w:r w:rsidR="006A1D34" w:rsidRPr="007F6B31">
        <w:rPr>
          <w:rFonts w:ascii="Book Antiqua" w:hAnsi="Book Antiqua" w:cs="Arial"/>
          <w:sz w:val="24"/>
          <w:szCs w:val="24"/>
          <w:lang w:val="en-GB"/>
        </w:rPr>
        <w:t xml:space="preserve">, which encodes the enzyme </w:t>
      </w:r>
      <w:r w:rsidR="00225324" w:rsidRPr="007F6B31">
        <w:rPr>
          <w:rFonts w:ascii="Book Antiqua" w:hAnsi="Book Antiqua" w:cs="Arial"/>
          <w:sz w:val="24"/>
          <w:szCs w:val="24"/>
          <w:lang w:val="en-GB"/>
        </w:rPr>
        <w:t>LAL</w:t>
      </w:r>
      <w:r w:rsidR="002F737B" w:rsidRPr="007F6B31">
        <w:rPr>
          <w:rFonts w:ascii="Book Antiqua" w:hAnsi="Book Antiqua" w:cs="Arial"/>
          <w:sz w:val="24"/>
          <w:szCs w:val="24"/>
          <w:vertAlign w:val="superscript"/>
          <w:lang w:val="en-GB"/>
        </w:rPr>
        <w:t>[</w:t>
      </w:r>
      <w:r w:rsidR="002F737B" w:rsidRPr="007F6B31">
        <w:rPr>
          <w:rFonts w:ascii="Book Antiqua" w:hAnsi="Book Antiqua" w:cs="Arial"/>
          <w:sz w:val="24"/>
          <w:szCs w:val="24"/>
          <w:vertAlign w:val="superscript"/>
          <w:lang w:val="en-GB"/>
        </w:rPr>
        <w:fldChar w:fldCharType="begin" w:fldLock="1"/>
      </w:r>
      <w:r w:rsidR="002F737B" w:rsidRPr="007F6B31">
        <w:rPr>
          <w:rFonts w:ascii="Book Antiqua" w:hAnsi="Book Antiqua" w:cs="Arial"/>
          <w:sz w:val="24"/>
          <w:szCs w:val="24"/>
          <w:vertAlign w:val="superscript"/>
          <w:lang w:val="en-GB"/>
        </w:rPr>
        <w:instrText>ADDIN CSL_CITATION {"citationItems":[{"id":"ITEM-1","itemData":{"DOI":"10.5546/aap.2017.eng.287","ISSN":"1668-3501 (Electronic)","PMID":"28504497","abstract":"Lysosomal acid lipase deficiency (LAL-D) is still a little recognized genetic disease with significant morbidity and mortality in children and adults. This document provides guidance on when to suspect LAL-D and how to diagnose it. It is recommended to add lysosomal acid lipase deficiency to the List of differential diagnoses of sepsis, oncological diseases, storage diseases, persistent diarrhea, chronic malnutrition, and hemophagocytic lymphohistiocytosis. It should also be considered in young patients with dyslipidemia and atherosclerosis as well as diseases associated with fatty liver and/or hepatomegaly. LAL-D should be suspected in patients with hepatomegaly, hyperlipidemia and /or elevated transaminases found during routine checks or testing for other conditions, and in patients with cryptogenic cirrhosis. At present, there is the option of a specific enzyme replacement treatment.","author":[{"dropping-particle":"","family":"Bay","given":"Luisa","non-dropping-particle":"","parse-names":false,"suffix":""},{"dropping-particle":"","family":"Canero Velasco","given":"Cristina","non-dropping-particle":"","parse-names":false,"suffix":""},{"dropping-particle":"","family":"Ciocca","given":"Mirta","non-dropping-particle":"","parse-names":false,"suffix":""},{"dropping-particle":"","family":"Cotti","given":"Andrea","non-dropping-particle":"","parse-names":false,"suffix":""},{"dropping-particle":"","family":"Cuarterolo","given":"Miriam","non-dropping-particle":"","parse-names":false,"suffix":""},{"dropping-particle":"","family":"Fainboim","given":"Alejandro","non-dropping-particle":"","parse-names":false,"suffix":""},{"dropping-particle":"","family":"Fassio","given":"Eduardo","non-dropping-particle":"","parse-names":false,"suffix":""},{"dropping-particle":"","family":"Galoppo","given":"Marcela","non-dropping-particle":"","parse-names":false,"suffix":""},{"dropping-particle":"","family":"Pinero","given":"Federico","non-dropping-particle":"","parse-names":false,"suffix":""},{"dropping-particle":"","family":"Rozenfeld","given":"Paula","non-dropping-particle":"","parse-names":false,"suffix":""}],"container-title":"Archivos argentinos de pediatria","id":"ITEM-1","issue":"3","issued":{"date-parts":[["2017","6"]]},"language":"eng","page":"287-293","publisher-place":"Argentina","title":"Liver disease and dyslipidemia as a manifestation of lysosomal acid lipase deficiency (LAL-D). Clinical and diagnostic aspects, and a new treatment. An update.","type":"article-journal","volume":"115"},"uris":["http://www.mendeley.com/documents/?uuid=31204216-d430-4f79-8e86-747014f938d8"]},{"id":"ITEM-2","itemData":{"DOI":"10.1016/j.jacl.2017.02.006","ISSN":"1933-2874 (Print)","PMID":"28502515","abstract":"We present 4 normal-weight sibling children with lysosomal acid lipase deficiency (LAL-D). LAL-D was considered in the differential diagnosis based on the absence of secondary causes and primary inherited traits for their marked hyperlipidemia, together with unexplained hepatic transaminase elevation. Residual lysosomal acid lipase activity confirmed the diagnosis. DNA sequencing of LIPA indicated that the siblings were compound heterozygotes (c.894G&gt;A and c.428+1G&gt;A). This case describes the unusual occurrence of all offspring from the same nonconsanguineous mother and father inheriting compound heterozygosity of a recessive trait and the identification of an apparently unique LIPA mutation (c.428+1G&gt;A). It highlights the collaborative effort between a lipidologist and gastroenterologist in developing a differential diagnosis leading to the confirmatory diagnosis of this rare, life-threatening disease. With the availability of an effective enzyme replacement therapy (sebelipase alfa), LAL-D should be entertained in the differential diagnosis of children, adolescents, and young adults with idiopathic hyperlipidemia and unexplained hepatic transaminase elevation.","author":[{"dropping-particle":"","family":"Maciejko","given":"James J","non-dropping-particle":"","parse-names":false,"suffix":""},{"dropping-particle":"","family":"Anne","given":"Premchand","non-dropping-particle":"","parse-names":false,"suffix":""},{"dropping-particle":"","family":"Raza","given":"Saleem","non-dropping-particle":"","parse-names":false,"suffix":""},{"dropping-particle":"","family":"Lyons","given":"Hernando J","non-dropping-particle":"","parse-names":false,"suffix":""}],"container-title":"Journal of clinical lipidology","id":"ITEM-2","issue":"2","issued":{"date-parts":[["2017","3"]]},"language":"eng","page":"567-574","publisher-place":"United States","title":"Lysosomal acid lipase deficiency in all siblings of the same parents.","type":"article-journal","volume":"11"},"uris":["http://www.mendeley.com/documents/?uuid=a6c78636-d4bb-4249-b729-756aa0ab508f"]},{"id":"ITEM-3","itemData":{"DOI":"10.1080/03007995.2017.1309371","ISSN":"1473-4877 (Electronic)","PMID":"28320214","abstract":"BACKGROUND AND OBJECTIVE: Manifestations of the autosomal recessive disorder lysosomal acid lipase deficiency (LAL-D) include hepatomegaly, elevated serum liver enzymes, and progressive liver disease. We report an analysis of time to progression from first clinical manifestation to first documentation of hepatic fibrosis, cirrhosis, or liver transplantation from an observational study of pediatric and adult patients with LAL-D (clinical trial registration: NCT01528917). METHODS: Data were analyzed from 31 patients with available biopsy data and 1 patient without biopsy data who had undergone liver transplantation. Time to first documentation of fibrosis, cirrhosis, or liver transplantation following the first LAL-D clinical manifestation was estimated using Kaplan-Meier analysis. RESULTS: The median time to an event was 3.1 years. CONCLUSIONS: These findings illustrate the progression of liver damage in LAL-D and the elevated risk for liver transplantation among children and adults with LAL-D.","author":[{"dropping-particle":"","family":"Burton","given":"Barbara K","non-dropping-particle":"","parse-names":false,"suffix":""},{"dropping-particle":"","family":"Silliman","given":"Nancy","non-dropping-particle":"","parse-names":false,"suffix":""},{"dropping-particle":"","family":"Marulkar","given":"Sachin","non-dropping-particle":"","parse-names":false,"suffix":""}],"container-title":"Current medical research and opinion","id":"ITEM-3","issue":"7","issued":{"date-parts":[["2017","7"]]},"language":"eng","page":"1211-1214","publisher-place":"England","title":"Progression of liver disease in children and adults with lysosomal acid lipase deficiency.","type":"article-journal","volume":"33"},"uris":["http://www.mendeley.com/documents/?uuid=1f616ad2-8066-4632-9758-5eabab389eb5"]}],"mendeley":{"formattedCitation":"&lt;sup&gt;1–3&lt;/sup&gt;","plainTextFormattedCitation":"1–3","previouslyFormattedCitation":"&lt;sup&gt;1–3&lt;/sup&gt;"},"properties":{"noteIndex":0},"schema":"https://github.com/citation-style-language/schema/raw/master/csl-citation.json"}</w:instrText>
      </w:r>
      <w:r w:rsidR="002F737B" w:rsidRPr="007F6B31">
        <w:rPr>
          <w:rFonts w:ascii="Book Antiqua" w:hAnsi="Book Antiqua" w:cs="Arial"/>
          <w:sz w:val="24"/>
          <w:szCs w:val="24"/>
          <w:vertAlign w:val="superscript"/>
          <w:lang w:val="en-GB"/>
        </w:rPr>
        <w:fldChar w:fldCharType="separate"/>
      </w:r>
      <w:r w:rsidR="002F737B" w:rsidRPr="007F6B31">
        <w:rPr>
          <w:rFonts w:ascii="Book Antiqua" w:hAnsi="Book Antiqua" w:cs="Arial"/>
          <w:noProof/>
          <w:sz w:val="24"/>
          <w:szCs w:val="24"/>
          <w:vertAlign w:val="superscript"/>
          <w:lang w:val="en-GB"/>
        </w:rPr>
        <w:t>1-3</w:t>
      </w:r>
      <w:r w:rsidR="002F737B" w:rsidRPr="007F6B31">
        <w:rPr>
          <w:rFonts w:ascii="Book Antiqua" w:hAnsi="Book Antiqua" w:cs="Arial"/>
          <w:sz w:val="24"/>
          <w:szCs w:val="24"/>
          <w:vertAlign w:val="superscript"/>
          <w:lang w:val="en-GB"/>
        </w:rPr>
        <w:fldChar w:fldCharType="end"/>
      </w:r>
      <w:r w:rsidR="002F737B" w:rsidRPr="007F6B31">
        <w:rPr>
          <w:rFonts w:ascii="Book Antiqua" w:hAnsi="Book Antiqua" w:cs="Arial"/>
          <w:sz w:val="24"/>
          <w:szCs w:val="24"/>
          <w:vertAlign w:val="superscript"/>
          <w:lang w:val="en-GB"/>
        </w:rPr>
        <w:t>]</w:t>
      </w:r>
      <w:r w:rsidR="006A1D34" w:rsidRPr="007F6B31">
        <w:rPr>
          <w:rFonts w:ascii="Book Antiqua" w:hAnsi="Book Antiqua" w:cs="Arial"/>
          <w:sz w:val="24"/>
          <w:szCs w:val="24"/>
          <w:lang w:val="en-GB"/>
        </w:rPr>
        <w:t xml:space="preserve">. LAL-D is inherited in an autosomal recessive manner. Affected individuals are homozygous or compound heterozygous for pathogenic variants in </w:t>
      </w:r>
      <w:r w:rsidR="006A1D34" w:rsidRPr="007F6B31">
        <w:rPr>
          <w:rFonts w:ascii="Book Antiqua" w:hAnsi="Book Antiqua" w:cs="Arial"/>
          <w:i/>
          <w:sz w:val="24"/>
          <w:szCs w:val="24"/>
          <w:lang w:val="en-GB"/>
        </w:rPr>
        <w:t>LIPA</w:t>
      </w:r>
      <w:r w:rsidR="006A1D34" w:rsidRPr="007F6B31">
        <w:rPr>
          <w:rFonts w:ascii="Book Antiqua" w:hAnsi="Book Antiqua" w:cs="Arial"/>
          <w:sz w:val="24"/>
          <w:szCs w:val="24"/>
          <w:lang w:val="en-GB"/>
        </w:rPr>
        <w:t>. The LAL enzyme is required for intracellular hydrolysis of cholesteryl esters and triglycerides within low</w:t>
      </w:r>
      <w:r w:rsidR="000A46C3" w:rsidRPr="007F6B31">
        <w:rPr>
          <w:rFonts w:ascii="Book Antiqua" w:hAnsi="Book Antiqua" w:cs="Arial"/>
          <w:sz w:val="24"/>
          <w:szCs w:val="24"/>
          <w:lang w:val="en-GB"/>
        </w:rPr>
        <w:t>-</w:t>
      </w:r>
      <w:r w:rsidR="006A1D34" w:rsidRPr="007F6B31">
        <w:rPr>
          <w:rFonts w:ascii="Book Antiqua" w:hAnsi="Book Antiqua" w:cs="Arial"/>
          <w:sz w:val="24"/>
          <w:szCs w:val="24"/>
          <w:lang w:val="en-GB"/>
        </w:rPr>
        <w:t>density lipoprotein (LDL) particles into free cholesterol and free fatty acids</w:t>
      </w:r>
      <w:r w:rsidR="002F737B" w:rsidRPr="007F6B31">
        <w:rPr>
          <w:rFonts w:ascii="Book Antiqua" w:hAnsi="Book Antiqua" w:cs="Arial"/>
          <w:sz w:val="24"/>
          <w:szCs w:val="24"/>
          <w:vertAlign w:val="superscript"/>
          <w:lang w:val="en-GB"/>
        </w:rPr>
        <w:t>[</w:t>
      </w:r>
      <w:r w:rsidR="002F737B" w:rsidRPr="007F6B31">
        <w:rPr>
          <w:rFonts w:ascii="Book Antiqua" w:hAnsi="Book Antiqua" w:cs="Arial"/>
          <w:sz w:val="24"/>
          <w:szCs w:val="24"/>
          <w:vertAlign w:val="superscript"/>
          <w:lang w:val="en-GB"/>
        </w:rPr>
        <w:fldChar w:fldCharType="begin" w:fldLock="1"/>
      </w:r>
      <w:r w:rsidR="002F737B" w:rsidRPr="007F6B31">
        <w:rPr>
          <w:rFonts w:ascii="Book Antiqua" w:hAnsi="Book Antiqua" w:cs="Arial"/>
          <w:sz w:val="24"/>
          <w:szCs w:val="24"/>
          <w:vertAlign w:val="superscript"/>
          <w:lang w:val="en-GB"/>
        </w:rPr>
        <w:instrText>ADDIN CSL_CITATION {"citationItems":[{"id":"ITEM-1","itemData":{"ISSN":"0378-1119 (Print)","PMID":"9524282","abstract":"Lysosomal acid lipase (LAL) is required for the hydrolysis of intracellular cholesteryl esters and triglycerides that are delivered to lysosomes by low density lipoprotein (LDL) receptor-mediated endocytosis. To understand that the expression of LAL mRNA and protein is tissue and cell specifically regulated in mice, genomic clones for the mouse lysosomal acid lipase (mLAL) gene were isolated and characterized. The 6.8 kb of the mLAL gene 5'-flanking region was sequenced. Comparisons of mouse and human LAL genes organization revealed identical intron/exon boundaries, except for intron 1 of the mouse gene, and identical exonic length of exons 3-9. The transcription start sites and exon 1 of mLAL were characterized by 5'-RACE-PCR and S1 nuclease mapping. Transfection of 5' flanking deletions of mLAL luciferase reporter gene construct identified positive and negative regulatory elements that varied with cell type. Transfection of three progressively smaller pieces of intron 1 inserted into an SV40 promoter and luciferase reporter gene revealed an enhancer-like activity in intron 1 that is also cell type specific. These studies provide insight into the basis for regulation of this critical enzyme in lipid metabolism.","author":[{"dropping-particle":"","family":"Du","given":"H","non-dropping-particle":"","parse-names":false,"suffix":""},{"dropping-particle":"","family":"Duanmu","given":"M","non-dropping-particle":"","parse-names":false,"suffix":""},{"dropping-particle":"","family":"Rosa","given":"L R","non-dropping-particle":"","parse-names":false,"suffix":""}],"container-title":"Gene","id":"ITEM-1","issue":"2","issued":{"date-parts":[["1998","2"]]},"language":"eng","page":"285-295","publisher-place":"Netherlands","title":"Mouse lysosomal acid lipase: characterization of the gene and analysis of promoter activity.","type":"article-journal","volume":"208"},"uris":["http://www.mendeley.com/documents/?uuid=a457e233-aea6-44e7-b29c-b4ce2bcfe2cf"]}],"mendeley":{"formattedCitation":"&lt;sup&gt;4&lt;/sup&gt;","plainTextFormattedCitation":"4","previouslyFormattedCitation":"&lt;sup&gt;4&lt;/sup&gt;"},"properties":{"noteIndex":0},"schema":"https://github.com/citation-style-language/schema/raw/master/csl-citation.json"}</w:instrText>
      </w:r>
      <w:r w:rsidR="002F737B" w:rsidRPr="007F6B31">
        <w:rPr>
          <w:rFonts w:ascii="Book Antiqua" w:hAnsi="Book Antiqua" w:cs="Arial"/>
          <w:sz w:val="24"/>
          <w:szCs w:val="24"/>
          <w:vertAlign w:val="superscript"/>
          <w:lang w:val="en-GB"/>
        </w:rPr>
        <w:fldChar w:fldCharType="separate"/>
      </w:r>
      <w:r w:rsidR="002F737B" w:rsidRPr="007F6B31">
        <w:rPr>
          <w:rFonts w:ascii="Book Antiqua" w:hAnsi="Book Antiqua" w:cs="Arial"/>
          <w:noProof/>
          <w:sz w:val="24"/>
          <w:szCs w:val="24"/>
          <w:vertAlign w:val="superscript"/>
          <w:lang w:val="en-GB"/>
        </w:rPr>
        <w:t>4</w:t>
      </w:r>
      <w:r w:rsidR="002F737B" w:rsidRPr="007F6B31">
        <w:rPr>
          <w:rFonts w:ascii="Book Antiqua" w:hAnsi="Book Antiqua" w:cs="Arial"/>
          <w:sz w:val="24"/>
          <w:szCs w:val="24"/>
          <w:vertAlign w:val="superscript"/>
          <w:lang w:val="en-GB"/>
        </w:rPr>
        <w:fldChar w:fldCharType="end"/>
      </w:r>
      <w:r w:rsidR="002F737B" w:rsidRPr="007F6B31">
        <w:rPr>
          <w:rFonts w:ascii="Book Antiqua" w:hAnsi="Book Antiqua" w:cs="Arial"/>
          <w:sz w:val="24"/>
          <w:szCs w:val="24"/>
          <w:vertAlign w:val="superscript"/>
          <w:lang w:val="en-GB"/>
        </w:rPr>
        <w:t>]</w:t>
      </w:r>
      <w:r w:rsidR="006A1D34" w:rsidRPr="007F6B31">
        <w:rPr>
          <w:rFonts w:ascii="Book Antiqua" w:hAnsi="Book Antiqua" w:cs="Arial"/>
          <w:sz w:val="24"/>
          <w:szCs w:val="24"/>
          <w:lang w:val="en-GB"/>
        </w:rPr>
        <w:t xml:space="preserve">. Deficiency of the enzyme leads to accumulation of </w:t>
      </w:r>
      <w:proofErr w:type="spellStart"/>
      <w:r w:rsidR="006A1D34" w:rsidRPr="007F6B31">
        <w:rPr>
          <w:rFonts w:ascii="Book Antiqua" w:hAnsi="Book Antiqua" w:cs="Arial"/>
          <w:sz w:val="24"/>
          <w:szCs w:val="24"/>
          <w:lang w:val="en-GB"/>
        </w:rPr>
        <w:t>mucolipids</w:t>
      </w:r>
      <w:proofErr w:type="spellEnd"/>
      <w:r w:rsidR="006A1D34" w:rsidRPr="007F6B31">
        <w:rPr>
          <w:rFonts w:ascii="Book Antiqua" w:hAnsi="Book Antiqua" w:cs="Arial"/>
          <w:sz w:val="24"/>
          <w:szCs w:val="24"/>
          <w:lang w:val="en-GB"/>
        </w:rPr>
        <w:t xml:space="preserve"> and mucopolysaccharides. The most common </w:t>
      </w:r>
      <w:r w:rsidRPr="007F6B31">
        <w:rPr>
          <w:rFonts w:ascii="Book Antiqua" w:hAnsi="Book Antiqua" w:cs="Arial"/>
          <w:sz w:val="24"/>
          <w:szCs w:val="24"/>
          <w:lang w:val="en-GB"/>
        </w:rPr>
        <w:t>pathogenic variant</w:t>
      </w:r>
      <w:r w:rsidR="004C5E28" w:rsidRPr="007F6B31">
        <w:rPr>
          <w:rFonts w:ascii="Book Antiqua" w:hAnsi="Book Antiqua" w:cs="Arial"/>
          <w:sz w:val="24"/>
          <w:szCs w:val="24"/>
          <w:lang w:val="en-GB"/>
        </w:rPr>
        <w:t xml:space="preserve"> associated with CESD is variant</w:t>
      </w:r>
      <w:r w:rsidR="00857875" w:rsidRPr="007F6B31">
        <w:rPr>
          <w:rFonts w:ascii="Book Antiqua" w:hAnsi="Book Antiqua" w:cs="Arial"/>
          <w:sz w:val="24"/>
          <w:szCs w:val="24"/>
          <w:lang w:val="en-GB"/>
        </w:rPr>
        <w:t xml:space="preserve"> </w:t>
      </w:r>
      <w:r w:rsidR="004C5E28" w:rsidRPr="007F6B31">
        <w:rPr>
          <w:rFonts w:ascii="Book Antiqua" w:hAnsi="Book Antiqua" w:cs="Arial"/>
          <w:sz w:val="24"/>
          <w:szCs w:val="24"/>
          <w:lang w:val="en-GB"/>
        </w:rPr>
        <w:t>c.894G&gt;A, p.(Gln298Gln),</w:t>
      </w:r>
      <w:r w:rsidR="006A1D34" w:rsidRPr="007F6B31">
        <w:rPr>
          <w:rFonts w:ascii="Book Antiqua" w:hAnsi="Book Antiqua" w:cs="Arial"/>
          <w:sz w:val="24"/>
          <w:szCs w:val="24"/>
          <w:lang w:val="en-GB"/>
        </w:rPr>
        <w:t xml:space="preserve"> </w:t>
      </w:r>
      <w:r w:rsidR="004C5E28" w:rsidRPr="007F6B31">
        <w:rPr>
          <w:rFonts w:ascii="Book Antiqua" w:hAnsi="Book Antiqua" w:cs="Arial"/>
          <w:sz w:val="24"/>
          <w:szCs w:val="24"/>
          <w:lang w:val="en-GB"/>
        </w:rPr>
        <w:t xml:space="preserve">also named </w:t>
      </w:r>
      <w:r w:rsidR="006A1D34" w:rsidRPr="007F6B31">
        <w:rPr>
          <w:rFonts w:ascii="Book Antiqua" w:hAnsi="Book Antiqua" w:cs="Arial"/>
          <w:sz w:val="24"/>
          <w:szCs w:val="24"/>
          <w:lang w:val="en-GB"/>
        </w:rPr>
        <w:t>E8SJM</w:t>
      </w:r>
      <w:r w:rsidR="00857875" w:rsidRPr="007F6B31">
        <w:rPr>
          <w:rFonts w:ascii="Book Antiqua" w:hAnsi="Book Antiqua" w:cs="Arial"/>
          <w:sz w:val="24"/>
          <w:szCs w:val="24"/>
          <w:lang w:val="en-GB"/>
        </w:rPr>
        <w:t>,</w:t>
      </w:r>
      <w:r w:rsidR="004C5E28" w:rsidRPr="007F6B31">
        <w:rPr>
          <w:rFonts w:ascii="Book Antiqua" w:hAnsi="Book Antiqua" w:cs="Arial"/>
          <w:sz w:val="24"/>
          <w:szCs w:val="24"/>
          <w:lang w:val="en-GB"/>
        </w:rPr>
        <w:t xml:space="preserve"> in exon 8 in </w:t>
      </w:r>
      <w:r w:rsidR="004C5E28" w:rsidRPr="007F6B31">
        <w:rPr>
          <w:rFonts w:ascii="Book Antiqua" w:hAnsi="Book Antiqua" w:cs="Arial"/>
          <w:i/>
          <w:iCs/>
          <w:sz w:val="24"/>
          <w:szCs w:val="24"/>
          <w:lang w:val="en-GB"/>
        </w:rPr>
        <w:t>LIPA</w:t>
      </w:r>
      <w:r w:rsidR="002F737B" w:rsidRPr="007F6B31">
        <w:rPr>
          <w:rFonts w:ascii="Book Antiqua" w:hAnsi="Book Antiqua" w:cs="Arial"/>
          <w:sz w:val="24"/>
          <w:szCs w:val="24"/>
          <w:vertAlign w:val="superscript"/>
          <w:lang w:val="en-GB"/>
        </w:rPr>
        <w:t>[</w:t>
      </w:r>
      <w:r w:rsidR="002F737B" w:rsidRPr="007F6B31">
        <w:rPr>
          <w:rFonts w:ascii="Book Antiqua" w:hAnsi="Book Antiqua" w:cs="Arial"/>
          <w:i/>
          <w:iCs/>
          <w:sz w:val="24"/>
          <w:szCs w:val="24"/>
          <w:vertAlign w:val="superscript"/>
          <w:lang w:val="en-GB"/>
        </w:rPr>
        <w:fldChar w:fldCharType="begin" w:fldLock="1"/>
      </w:r>
      <w:r w:rsidR="002F737B" w:rsidRPr="007F6B31">
        <w:rPr>
          <w:rFonts w:ascii="Book Antiqua" w:hAnsi="Book Antiqua" w:cs="Arial"/>
          <w:sz w:val="24"/>
          <w:szCs w:val="24"/>
          <w:vertAlign w:val="superscript"/>
          <w:lang w:val="en-GB"/>
        </w:rPr>
        <w:instrText>ADDIN CSL_CITATION {"citationItems":[{"id":"ITEM-1","itemData":{"DOI":"10.1161/ATVBAHA.113.302426","ISSN":"1524-4636 (Electronic)","PMID":"24072694","abstract":"OBJECTIVE: Autosomal recessive hypercholesterolemia is a rare inherited disorder, characterized by extremely high total and low-density lipoprotein cholesterol levels, that has been previously linked to mutations in LDLRAP1. We identified a family with autosomal recessive hypercholesterolemia not explained by mutations in LDLRAP1 or other genes known to cause monogenic hypercholesterolemia. The aim of this study was to identify the molecular pathogenesis of autosomal recessive hypercholesterolemia in this family. APPROACH AND RESULTS: We used exome sequencing to assess all protein-coding regions of the genome in 3 family members and identified a homozygous exon 8 splice junction mutation (c.894G&gt;A, also known as E8SJM) in LIPA that segregated with the diagnosis of hypercholesterolemia. Because homozygosity for mutations in LIPA is known to cause cholesterol ester storage disease, we performed directed follow-up phenotyping by noninvasively measuring hepatic cholesterol content. We observed abnormal hepatic accumulation of cholesterol in the homozygote individuals, supporting the diagnosis of cholesterol ester storage disease. Given previous suggestions of cardiovascular disease risk in heterozygous LIPA mutation carriers, we genotyped E8SJM in &gt;27 000 individuals and found no association with plasma lipid levels or risk of myocardial infarction, confirming a true recessive mode of inheritance. CONCLUSIONS: By integrating observations from Mendelian and population genetics along with directed clinical phenotyping, we diagnosed clinically unapparent cholesterol ester storage disease in the affected individuals from this kindred and addressed an outstanding question about risk of cardiovascular disease in LIPA E8SJM heterozygous carriers.","author":[{"dropping-particle":"","family":"Stitziel","given":"Nathan O","non-dropping-particle":"","parse-names":false,"suffix":""},{"dropping-particle":"","family":"Fouchier","given":"Sigrid W","non-dropping-particle":"","parse-names":false,"suffix":""},{"dropping-particle":"","family":"Sjouke","given":"Barbara","non-dropping-particle":"","parse-names":false,"suffix":""},{"dropping-particle":"","family":"Peloso","given":"Gina M","non-dropping-particle":"","parse-names":false,"suffix":""},{"dropping-particle":"","family":"Moscoso","given":"Alessa M","non-dropping-particle":"","parse-names":false,"suffix":""},{"dropping-particle":"","family":"Auer","given":"Paul L","non-dropping-particle":"","parse-names":false,"suffix":""},{"dropping-particle":"","family":"Goel","given":"Anuj","non-dropping-particle":"","parse-names":false,"suffix":""},{"dropping-particle":"","family":"Gigante","given":"Bruna","non-dropping-particle":"","parse-names":false,"suffix":""},{"dropping-particle":"","family":"Barnes","given":"Timothy A","non-dropping-particle":"","parse-names":false,"suffix":""},{"dropping-particle":"","family":"Melander","given":"Olle","non-dropping-particle":"","parse-names":false,"suffix":""},{"dropping-particle":"","family":"Orho-Melander","given":"Marju","non-dropping-particle":"","parse-names":false,"suffix":""},{"dropping-particle":"","family":"Duga","given":"Stefano","non-dropping-particle":"","parse-names":false,"suffix":""},{"dropping-particle":"","family":"Sivapalaratnam","given":"Suthesh","non-dropping-particle":"","parse-names":false,"suffix":""},{"dropping-particle":"","family":"Nikpay","given":"Majid","non-dropping-particle":"","parse-names":false,"suffix":""},{"dropping-particle":"","family":"Martinelli","given":"Nicola","non-dropping-particle":"","parse-names":false,"suffix":""},{"dropping-particle":"","family":"Girelli","given":"Domenico","non-dropping-particle":"","parse-names":false,"suffix":""},{"dropping-particle":"","family":"Jackson","given":"Rebecca D","non-dropping-particle":"","parse-names":false,"suffix":""},{"dropping-particle":"","family":"Kooperberg","given":"Charles","non-dropping-particle":"","parse-names":false,"suffix":""},{"dropping-particle":"","family":"Lange","given":"Leslie A","non-dropping-particle":"","parse-names":false,"suffix":""},{"dropping-particle":"","family":"Ardissino","given":"Diego","non-dropping-particle":"","parse-names":false,"suffix":""},{"dropping-particle":"","family":"McPherson","given":"Ruth","non-dropping-particle":"","parse-names":false,"suffix":""},{"dropping-particle":"","family":"Farrall","given":"Martin","non-dropping-particle":"","parse-names":false,"suffix":""},{"dropping-particle":"","family":"Watkins","given":"Hugh","non-dropping-particle":"","parse-names":false,"suffix":""},{"dropping-particle":"","family":"Reilly","given":"Muredach P","non-dropping-particle":"","parse-names":false,"suffix":""},{"dropping-particle":"","family":"Rader","given":"Daniel J","non-dropping-particle":"","parse-names":false,"suffix":""},{"dropping-particle":"","family":"Faire","given":"Ulf","non-dropping-particle":"de","parse-names":false,"suffix":""},{"dropping-particle":"","family":"Schunkert","given":"Heribert","non-dropping-particle":"","parse-names":false,"suffix":""},{"dropping-particle":"","family":"Erdmann","given":"Jeanette","non-dropping-particle":"","parse-names":false,"suffix":""},{"dropping-particle":"","family":"Samani","given":"Nilesh J","non-dropping-particle":"","parse-names":false,"suffix":""},{"dropping-particle":"","family":"Charnas","given":"Lawrence","non-dropping-particle":"","parse-names":false,"suffix":""},{"dropping-particle":"","family":"Altshuler","given":"David","non-dropping-particle":"","parse-names":false,"suffix":""},{"dropping-particle":"","family":"Gabriel","given":"Stacey","non-dropping-particle":"","parse-names":false,"suffix":""},{"dropping-particle":"","family":"Kastelein","given":"John J P","non-dropping-particle":"","parse-names":false,"suffix":""},{"dropping-particle":"","family":"Defesche","given":"Joep C","non-dropping-particle":"","parse-names":false,"suffix":""},{"dropping-particle":"","family":"Nederveen","given":"Aart J","non-dropping-particle":"","parse-names":false,"suffix":""},{"dropping-particle":"","family":"Kathiresan","given":"Sekar","non-dropping-particle":"","parse-names":false,"suffix":""},{"dropping-particle":"","family":"Hovingh","given":"G Kees","non-dropping-particle":"","parse-names":false,"suffix":""}],"container-title":"Arteriosclerosis, thrombosis, and vascular biology","id":"ITEM-1","issue":"12","issued":{"date-parts":[["2013","12"]]},"language":"eng","page":"2909-2914","publisher-place":"United States","title":"Exome sequencing and directed clinical phenotyping diagnose cholesterol ester storage disease presenting as autosomal recessive hypercholesterolemia.","type":"article-journal","volume":"33"},"uris":["http://www.mendeley.com/documents/?uuid=9d024d20-52d0-4042-94bb-1760c9dac31d"]},{"id":"ITEM-2","itemData":{"DOI":"10.1002/hep.26327","ISSN":"1527-3350 (Electronic)","PMID":"23424026","abstract":"UNLABELLED: Cholesteryl ester storage disease (CESD) and Wolman disease are autosomal recessive later-onset and severe infantile disorders, respectively, which result from the deficient activity of lysosomal acid lipase (LAL). LAL is encoded by LIPA (10q23.31) and the most common mutation associated with CESD is an exon 8 splice junction mutation (c.894G&gt;A; E8SJM), which expresses only approximately 3%-5% of normally spliced LAL. However, the frequency of c.894G&gt;A is unknown in most populations. To estimate the prevalence of CESD in different populations, the frequencies of the c.894G&gt;A mutation were determined in 10,000 LIPA alleles from healthy African-American, Asian, Caucasian, Hispanic, and Ashkenazi Jewish individuals from the greater New York metropolitan area and 6,578 LIPA alleles from African-American, Caucasian, and Hispanic subjects enrolled in the Dallas Heart Study. The combined c.894G&gt;A allele frequencies from the two cohorts ranged from 0.0005 (Asian) to 0.0017 (Caucasian and Hispanic), which translated to carrier frequencies of 1 in 1,000 to approximately 1 in 300, respectively. No African-American heterozygotes were detected. Additionally, by surveying the available literature, c.894G&gt;A was estimated to account for 60% (95% confidence interval [CI]: 51%-69%) of reported mutations among multiethnic CESD patients. Using this estimate, the predicted prevalence of CESD in the Caucasian and Hispanic populations is approximately 0.8 per 100,000 ( approximately 1 in 130,000; 95% CI: approximately 1 in 90,000 to 1 in 170,000). CONCLUSION: These data indicate that CESD may be underdiagnosed in the general Caucasian and Hispanic populations, which is important since clinical trials of enzyme replacement therapy for LAL deficiency are currently being developed. Moreover, future studies on CESD prevalence in African and Asian populations may require full-gene LIPA sequencing to determine heterozygote frequencies, since c.894G&gt;A is not common in these racial groups.","author":[{"dropping-particle":"","family":"Scott","given":"Stuart A","non-dropping-particle":"","parse-names":false,"suffix":""},{"dropping-particle":"","family":"Liu","given":"Benny","non-dropping-particle":"","parse-names":false,"suffix":""},{"dropping-particle":"","family":"Nazarenko","given":"Irina","non-dropping-particle":"","parse-names":false,"suffix":""},{"dropping-particle":"","family":"Martis","given":"Suparna","non-dropping-particle":"","parse-names":false,"suffix":""},{"dropping-particle":"","family":"Kozlitina","given":"Julia","non-dropping-particle":"","parse-names":false,"suffix":""},{"dropping-particle":"","family":"Yang","given":"Yao","non-dropping-particle":"","parse-names":false,"suffix":""},{"dropping-particle":"","family":"Ramirez","given":"Charina","non-dropping-particle":"","parse-names":false,"suffix":""},{"dropping-particle":"","family":"Kasai","given":"Yumi","non-dropping-particle":"","parse-names":false,"suffix":""},{"dropping-particle":"","family":"Hyatt","given":"Tommy","non-dropping-particle":"","parse-names":false,"suffix":""},{"dropping-particle":"","family":"Peter","given":"Inga","non-dropping-particle":"","parse-names":false,"suffix":""},{"dropping-particle":"","family":"Desnick","given":"Robert J","non-dropping-particle":"","parse-names":false,"suffix":""}],"container-title":"Hepatology (Baltimore, Md.)","id":"ITEM-2","issue":"3","issued":{"date-parts":[["2013","9"]]},"language":"eng","page":"958-965","publisher-place":"United States","title":"Frequency of the cholesteryl ester storage disease common LIPA E8SJM mutation (c.894G&gt;A) in various racial and ethnic groups.","type":"article-journal","volume":"58"},"uris":["http://www.mendeley.com/documents/?uuid=71e809a8-fb1f-40f3-a823-b0caaa70748f"]},{"id":"ITEM-3","itemData":{"DOI":"10.1016/j.numecd.2012.05.009","ISSN":"09394753","PMID":"22795295","abstract":"Background and aim: The complete absence of the lysosomal acid lipase (LAL) enzyme function causes Wolman's Disease that is fatal within the first six months of life. Subtotal defects cause Cholesteryl ester storage disease (CESD), an autosomal recessive disorder leading to hepatic steatosis, fibrosis, micronodular cirrhosis, combined hyperlipidemia with low HDL-cholesterol, increased risk for atherosclerosis, premature death. Since the frequency of the Exon 8 splice junction mutation (c.894G&gt;A, E8SJM), the CESD leading mutation, is not rare in the general population (allele frequency 0.0025), we investigated the impact of this mutation on serum lipid profile in E8SJM carriers. Methods and results: We collected E8SJM carriers both form genetic study-population analysis and from Outpatient Lipid Clinics and then we assessed their serum lipid profile. We found thirteen individuals heterozygote for E8SJM. Most of them were Germans, three Spanish and two Italian. We found a significant increase in total cholesterol levels in both sexes with E8SJM mutation, leading to a significant increase in LDL cholesterol in males. Conclusions: Our results show that LAL E8SJM carriers have an alteration in lipid profile with a Polygenic Hypercholesterolemia phenotype, leading to an increase in cardiovascular risk profile. References to electronic databases: lysosomal acid lipase; EC 3.1.1.13. © 2012 Elsevier B.V.","author":[{"dropping-particle":"","family":"Muntoni","given":"Sa","non-dropping-particle":"","parse-names":false,"suffix":""},{"dropping-particle":"","family":"Wiebusch","given":"H.","non-dropping-particle":"","parse-names":false,"suffix":""},{"dropping-particle":"","family":"Jansen-Rust","given":"M.","non-dropping-particle":"","parse-names":false,"suffix":""},{"dropping-particle":"","family":"Rust","given":"S.","non-dropping-particle":"","parse-names":false,"suffix":""},{"dropping-particle":"","family":"Schulte","given":"H.","non-dropping-particle":"","parse-names":false,"suffix":""},{"dropping-particle":"","family":"Berger","given":"K.","non-dropping-particle":"","parse-names":false,"suffix":""},{"dropping-particle":"","family":"Pisciotta","given":"L.","non-dropping-particle":"","parse-names":false,"suffix":""},{"dropping-particle":"","family":"Bertolini","given":"S.","non-dropping-particle":"","parse-names":false,"suffix":""},{"dropping-particle":"","family":"Funke","given":"H.","non-dropping-particle":"","parse-names":false,"suffix":""},{"dropping-particle":"","family":"Seedorf","given":"U.","non-dropping-particle":"","parse-names":false,"suffix":""},{"dropping-particle":"","family":"Assmann","given":"G.","non-dropping-particle":"","parse-names":false,"suffix":""}],"container-title":"Nutrition, Metabolism and Cardiovascular Diseases","id":"ITEM-3","issued":{"date-parts":[["2013"]]},"title":"Heterozygosity for lysosomal acid lipase E8SJM mutation and serum lipid concentrations","type":"article-journal"},"uris":["http://www.mendeley.com/documents/?uuid=3f1dc237-1213-4c9a-b40f-b1582f27baab"]},{"id":"ITEM-4","itemData":{"DOI":"10.1016/j.atherosclerosis.2014.04.003","ISBN":"1879-1484 (Electronic)\\r0021-9150 (Linking)","ISSN":"18791484","PMID":"24792990","abstract":"Lysosomal acid lipase deficiency (LAL-D) is a rare autosomal recessive lysosomal storage disease caused by deleterious mutations in the LIPA gene. The age at onset and rate of progression vary greatly and this may relate to the nature of the underlying mutations. Patients presenting in infancy have the most rapidly progressive disease, developing signs and symptoms in the first weeks of life and rarely surviving beyond 6 months of age. Children and adults typically present with some combination of dyslipidaemia, hepatomegaly, elevated transaminases, and microvesicular hepatosteatosis on biopsy. Liver damage with progression to fibrosis, cirrhosis and liver failure occurs in a large proportion of patients. Elevated low-density lipoprotein cholesterol levels and decreased high-density lipoprotein cholesterol levels are common features, and cardiovascular disease may manifest as early as childhood. Given that these clinical manifestations are shared with other cardiovascular, liver and metabolic diseases, it is not surprising that LAL-D is under-recognized in clinical practice. This article provides practical guidance to lipidologists, endocrinologists, cardiologists and hepatologists on how to recognize individuals with this life-limiting disease. A diagnostic algorithm is proposed with a view to achieving definitive diagnosis using a recently developed blood test for lysosomal acid lipase. Finally, current management options are reviewed in light of the ongoing development of enzyme replacement therapy with sebelipase alfa (Synageva BioPharma Corp., Lexington, MA, USA), a recombinant human lysosomal acid lipase enzyme. © 2014 The Authors.","author":[{"dropping-particle":"","family":"Reiner","given":"Željko","non-dropping-particle":"","parse-names":false,"suffix":""},{"dropping-particle":"","family":"Guardamagna","given":"Ornella","non-dropping-particle":"","parse-names":false,"suffix":""},{"dropping-particle":"","family":"Nair","given":"Devaki","non-dropping-particle":"","parse-names":false,"suffix":""},{"dropping-particle":"","family":"Soran","given":"Handrean","non-dropping-particle":"","parse-names":false,"suffix":""},{"dropping-particle":"","family":"Hovingh","given":"Kees","non-dropping-particle":"","parse-names":false,"suffix":""},{"dropping-particle":"","family":"Bertolini","given":"Stefano","non-dropping-particle":"","parse-names":false,"suffix":""},{"dropping-particle":"","family":"Jones","given":"Simon","non-dropping-particle":"","parse-names":false,"suffix":""},{"dropping-particle":"","family":"Ćorić","given":"Marijana","non-dropping-particle":"","parse-names":false,"suffix":""},{"dropping-particle":"","family":"Calandra","given":"Sebastiano","non-dropping-particle":"","parse-names":false,"suffix":""},{"dropping-particle":"","family":"Hamilton","given":"John","non-dropping-particle":"","parse-names":false,"suffix":""},{"dropping-particle":"","family":"Eagleton","given":"Terence","non-dropping-particle":"","parse-names":false,"suffix":""},{"dropping-particle":"","family":"Ros","given":"Emilio","non-dropping-particle":"","parse-names":false,"suffix":""}],"container-title":"Atherosclerosis","id":"ITEM-4","issue":"1","issued":{"date-parts":[["2014","7"]]},"language":"eng","page":"21-30","publisher-place":"Ireland","title":"Lysosomal acid lipase deficiency - An under-recognized cause of dyslipidaemia and liver dysfunction","type":"article","volume":"235"},"uris":["http://www.mendeley.com/documents/?uuid=bd9ee095-d349-4d55-b2f2-bded476b67fe"]}],"mendeley":{"formattedCitation":"&lt;sup&gt;5–8&lt;/sup&gt;","plainTextFormattedCitation":"5–8","previouslyFormattedCitation":"&lt;sup&gt;5–8&lt;/sup&gt;"},"properties":{"noteIndex":0},"schema":"https://github.com/citation-style-language/schema/raw/master/csl-citation.json"}</w:instrText>
      </w:r>
      <w:r w:rsidR="002F737B" w:rsidRPr="007F6B31">
        <w:rPr>
          <w:rFonts w:ascii="Book Antiqua" w:hAnsi="Book Antiqua" w:cs="Arial"/>
          <w:i/>
          <w:iCs/>
          <w:sz w:val="24"/>
          <w:szCs w:val="24"/>
          <w:vertAlign w:val="superscript"/>
          <w:lang w:val="en-GB"/>
        </w:rPr>
        <w:fldChar w:fldCharType="separate"/>
      </w:r>
      <w:r w:rsidR="002F737B" w:rsidRPr="007F6B31">
        <w:rPr>
          <w:rFonts w:ascii="Book Antiqua" w:hAnsi="Book Antiqua" w:cs="Arial"/>
          <w:noProof/>
          <w:sz w:val="24"/>
          <w:szCs w:val="24"/>
          <w:vertAlign w:val="superscript"/>
          <w:lang w:val="en-GB"/>
        </w:rPr>
        <w:t>5-8</w:t>
      </w:r>
      <w:r w:rsidR="002F737B" w:rsidRPr="007F6B31">
        <w:rPr>
          <w:rFonts w:ascii="Book Antiqua" w:hAnsi="Book Antiqua" w:cs="Arial"/>
          <w:i/>
          <w:iCs/>
          <w:sz w:val="24"/>
          <w:szCs w:val="24"/>
          <w:vertAlign w:val="superscript"/>
          <w:lang w:val="en-GB"/>
        </w:rPr>
        <w:fldChar w:fldCharType="end"/>
      </w:r>
      <w:r w:rsidR="002F737B" w:rsidRPr="007F6B31">
        <w:rPr>
          <w:rFonts w:ascii="Book Antiqua" w:hAnsi="Book Antiqua" w:cs="Arial"/>
          <w:sz w:val="24"/>
          <w:szCs w:val="24"/>
          <w:vertAlign w:val="superscript"/>
          <w:lang w:val="en-GB"/>
        </w:rPr>
        <w:t>]</w:t>
      </w:r>
      <w:r w:rsidR="006A1D34" w:rsidRPr="007F6B31">
        <w:rPr>
          <w:rFonts w:ascii="Book Antiqua" w:hAnsi="Book Antiqua" w:cs="Arial"/>
          <w:sz w:val="24"/>
          <w:szCs w:val="24"/>
          <w:lang w:val="en-GB"/>
        </w:rPr>
        <w:t>.</w:t>
      </w:r>
      <w:bookmarkStart w:id="9" w:name="bbib21"/>
      <w:r w:rsidR="006A1D34" w:rsidRPr="007F6B31">
        <w:rPr>
          <w:rFonts w:ascii="Book Antiqua" w:hAnsi="Book Antiqua" w:cs="Arial"/>
          <w:sz w:val="24"/>
          <w:szCs w:val="24"/>
          <w:lang w:val="en-GB"/>
        </w:rPr>
        <w:t xml:space="preserve"> In Western countries, the </w:t>
      </w:r>
      <w:r w:rsidR="009D71D5" w:rsidRPr="007F6B31">
        <w:rPr>
          <w:rFonts w:ascii="Book Antiqua" w:hAnsi="Book Antiqua" w:cs="Arial"/>
          <w:sz w:val="24"/>
          <w:szCs w:val="24"/>
          <w:lang w:val="en-GB"/>
        </w:rPr>
        <w:t xml:space="preserve">allele </w:t>
      </w:r>
      <w:r w:rsidR="006A1D34" w:rsidRPr="007F6B31">
        <w:rPr>
          <w:rFonts w:ascii="Book Antiqua" w:hAnsi="Book Antiqua" w:cs="Arial"/>
          <w:sz w:val="24"/>
          <w:szCs w:val="24"/>
          <w:lang w:val="en-GB"/>
        </w:rPr>
        <w:t xml:space="preserve">frequency </w:t>
      </w:r>
      <w:r w:rsidR="004C5E28" w:rsidRPr="007F6B31">
        <w:rPr>
          <w:rFonts w:ascii="Book Antiqua" w:hAnsi="Book Antiqua" w:cs="Arial"/>
          <w:sz w:val="24"/>
          <w:szCs w:val="24"/>
          <w:shd w:val="clear" w:color="auto" w:fill="FFFFFF"/>
          <w:lang w:val="en-GB"/>
        </w:rPr>
        <w:t xml:space="preserve">in </w:t>
      </w:r>
      <w:r w:rsidR="004C5E28" w:rsidRPr="007F6B31">
        <w:rPr>
          <w:rFonts w:ascii="Book Antiqua" w:hAnsi="Book Antiqua" w:cs="Arial"/>
          <w:sz w:val="24"/>
          <w:szCs w:val="24"/>
          <w:lang w:val="en-GB"/>
        </w:rPr>
        <w:t xml:space="preserve">the general population </w:t>
      </w:r>
      <w:r w:rsidR="006A1D34" w:rsidRPr="007F6B31">
        <w:rPr>
          <w:rFonts w:ascii="Book Antiqua" w:hAnsi="Book Antiqua" w:cs="Arial"/>
          <w:sz w:val="24"/>
          <w:szCs w:val="24"/>
          <w:lang w:val="en-GB"/>
        </w:rPr>
        <w:t xml:space="preserve">is about </w:t>
      </w:r>
      <w:r w:rsidR="006A1D34" w:rsidRPr="007F6B31">
        <w:rPr>
          <w:rFonts w:ascii="Book Antiqua" w:hAnsi="Book Antiqua" w:cs="Arial"/>
          <w:sz w:val="24"/>
          <w:szCs w:val="24"/>
          <w:shd w:val="clear" w:color="auto" w:fill="FFFFFF"/>
          <w:lang w:val="en-GB"/>
        </w:rPr>
        <w:t xml:space="preserve">0.0025, corresponding to a carrier frequency of about one in 200. </w:t>
      </w:r>
      <w:r w:rsidR="006A1D34" w:rsidRPr="007F6B31">
        <w:rPr>
          <w:rFonts w:ascii="Book Antiqua" w:hAnsi="Book Antiqua" w:cs="Arial"/>
          <w:sz w:val="24"/>
          <w:szCs w:val="24"/>
          <w:lang w:val="en-GB"/>
        </w:rPr>
        <w:t xml:space="preserve">The </w:t>
      </w:r>
      <w:r w:rsidR="000B38F1" w:rsidRPr="007F6B31">
        <w:rPr>
          <w:rFonts w:ascii="Book Antiqua" w:hAnsi="Book Antiqua" w:cs="Arial"/>
          <w:sz w:val="24"/>
          <w:szCs w:val="24"/>
          <w:lang w:val="en-GB"/>
        </w:rPr>
        <w:t>variant results</w:t>
      </w:r>
      <w:r w:rsidR="00271E75" w:rsidRPr="007F6B31">
        <w:rPr>
          <w:rFonts w:ascii="Book Antiqua" w:hAnsi="Book Antiqua" w:cs="Arial"/>
          <w:sz w:val="24"/>
          <w:szCs w:val="24"/>
          <w:lang w:val="en-GB"/>
        </w:rPr>
        <w:t xml:space="preserve"> </w:t>
      </w:r>
      <w:r w:rsidR="000B38F1" w:rsidRPr="007F6B31">
        <w:rPr>
          <w:rFonts w:ascii="Book Antiqua" w:hAnsi="Book Antiqua" w:cs="Arial"/>
          <w:sz w:val="24"/>
          <w:szCs w:val="24"/>
          <w:lang w:val="en-GB"/>
        </w:rPr>
        <w:t xml:space="preserve">in a transcript with an in-frame </w:t>
      </w:r>
      <w:r w:rsidR="006A1D34" w:rsidRPr="007F6B31">
        <w:rPr>
          <w:rFonts w:ascii="Book Antiqua" w:hAnsi="Book Antiqua" w:cs="Arial"/>
          <w:sz w:val="24"/>
          <w:szCs w:val="24"/>
          <w:lang w:val="en-GB"/>
        </w:rPr>
        <w:t>deletion of exon 8</w:t>
      </w:r>
      <w:r w:rsidR="00271E75" w:rsidRPr="007F6B31">
        <w:rPr>
          <w:rFonts w:ascii="Book Antiqua" w:hAnsi="Book Antiqua" w:cs="Arial"/>
          <w:sz w:val="24"/>
          <w:szCs w:val="24"/>
          <w:lang w:val="en-GB"/>
        </w:rPr>
        <w:t xml:space="preserve"> </w:t>
      </w:r>
      <w:r w:rsidR="006A1D34" w:rsidRPr="007F6B31">
        <w:rPr>
          <w:rFonts w:ascii="Book Antiqua" w:hAnsi="Book Antiqua" w:cs="Arial"/>
          <w:sz w:val="24"/>
          <w:szCs w:val="24"/>
          <w:lang w:val="en-GB"/>
        </w:rPr>
        <w:t>and can result in some residual LAL activity when only small amounts</w:t>
      </w:r>
      <w:r w:rsidR="000A46C3" w:rsidRPr="007F6B31">
        <w:rPr>
          <w:rFonts w:ascii="Book Antiqua" w:hAnsi="Book Antiqua" w:cs="Arial"/>
          <w:sz w:val="24"/>
          <w:szCs w:val="24"/>
          <w:lang w:val="en-GB"/>
        </w:rPr>
        <w:t xml:space="preserve"> of</w:t>
      </w:r>
      <w:r w:rsidR="006A1D34" w:rsidRPr="007F6B31">
        <w:rPr>
          <w:rFonts w:ascii="Book Antiqua" w:hAnsi="Book Antiqua" w:cs="Arial"/>
          <w:sz w:val="24"/>
          <w:szCs w:val="24"/>
          <w:lang w:val="en-GB"/>
        </w:rPr>
        <w:t xml:space="preserve"> mRNA are spliced correctly</w:t>
      </w:r>
      <w:r w:rsidR="002F737B" w:rsidRPr="007F6B31">
        <w:rPr>
          <w:rFonts w:ascii="Book Antiqua" w:hAnsi="Book Antiqua" w:cs="Arial"/>
          <w:sz w:val="24"/>
          <w:szCs w:val="24"/>
          <w:vertAlign w:val="superscript"/>
          <w:lang w:val="en-GB"/>
        </w:rPr>
        <w:t>[</w:t>
      </w:r>
      <w:r w:rsidR="002F737B" w:rsidRPr="007F6B31">
        <w:rPr>
          <w:rFonts w:ascii="Book Antiqua" w:hAnsi="Book Antiqua" w:cs="Arial"/>
          <w:sz w:val="24"/>
          <w:szCs w:val="24"/>
          <w:vertAlign w:val="superscript"/>
          <w:lang w:val="en-GB"/>
        </w:rPr>
        <w:fldChar w:fldCharType="begin" w:fldLock="1"/>
      </w:r>
      <w:r w:rsidR="002F737B" w:rsidRPr="007F6B31">
        <w:rPr>
          <w:rFonts w:ascii="Book Antiqua" w:hAnsi="Book Antiqua" w:cs="Arial"/>
          <w:sz w:val="24"/>
          <w:szCs w:val="24"/>
          <w:vertAlign w:val="superscript"/>
          <w:lang w:val="en-GB"/>
        </w:rPr>
        <w:instrText>ADDIN CSL_CITATION {"citationItems":[{"id":"ITEM-1","itemData":{"ISSN":"0022-2275 (Print)","PMID":"9684740","abstract":"Deficiency of lysosomal acid lipase (LAL) leads to either Wolman disease (WD) or  the more benign cholesteryl ester storage disease (CESD). To identify the molecular basis of the different phenotypes we have characterised the LAL gene mutations in three new patients with LAL deficiency. A patient with WD was homozygote for a null allele Y303X. The other two patients, with CESD, presented either homozygosity for T267I or compound heterozygosity consisting of Q64R and an exon 8 donor splice site substitution (G--&gt;A in position -1). The mutants T267I and Q64R and the previously reported L273S, G66V, and H274Y CESD substitutions, overexpressed in stable clones, were found to be fully glycosylated and show an enzymatic activity of 3-8% of that of normal LAL. On the other hand, the delta254-277 mutant protein derived from exon 8 skipping and the Y303X protein were totally inactive. By transient transfection of hybrid minigene constructs, the CESD G--&gt;A (-1) substitution resulted in partial exon inclusion, thus allowing the production of a small amount of normal LAL mRNA and hence of a functional enzyme. In contrast, a G--&gt;A substitution observed in WD at position + 1 of the same exon 8 donor site resulted in complete exon skipping and the sole production of an inactive delta254-277 protein. In conclusion, LAL genotypes determine the level of residual enzymatic activity, thus explaining the severity of the phenotype.","author":[{"dropping-particle":"","family":"Pagani","given":"F","non-dropping-particle":"","parse-names":false,"suffix":""},{"dropping-particle":"","family":"Pariyarath","given":"R","non-dropping-particle":"","parse-names":false,"suffix":""},{"dropping-particle":"","family":"Garcia","given":"R","non-dropping-particle":"","parse-names":false,"suffix":""},{"dropping-particle":"","family":"Stuani","given":"C","non-dropping-particle":"","parse-names":false,"suffix":""},{"dropping-particle":"","family":"Burlina","given":"A B","non-dropping-particle":"","parse-names":false,"suffix":""},{"dropping-particle":"","family":"Ruotolo","given":"G","non-dropping-particle":"","parse-names":false,"suffix":""},{"dropping-particle":"","family":"Rabusin","given":"M","non-dropping-particle":"","parse-names":false,"suffix":""},{"dropping-particle":"","family":"Baralle","given":"F E","non-dropping-particle":"","parse-names":false,"suffix":""}],"container-title":"Journal of lipid research","id":"ITEM-1","issue":"7","issued":{"date-parts":[["1998","7"]]},"language":"eng","page":"1382-1388","publisher-place":"United States","title":"New lysosomal acid lipase gene mutants explain the phenotype of Wolman disease and cholesteryl ester storage disease.","type":"article-journal","volume":"39"},"uris":["http://www.mendeley.com/documents/?uuid=f55b8db3-9c6b-4e4a-bc4b-bbe54b6b98a4"]}],"mendeley":{"formattedCitation":"&lt;sup&gt;9&lt;/sup&gt;","plainTextFormattedCitation":"9","previouslyFormattedCitation":"&lt;sup&gt;9&lt;/sup&gt;"},"properties":{"noteIndex":0},"schema":"https://github.com/citation-style-language/schema/raw/master/csl-citation.json"}</w:instrText>
      </w:r>
      <w:r w:rsidR="002F737B" w:rsidRPr="007F6B31">
        <w:rPr>
          <w:rFonts w:ascii="Book Antiqua" w:hAnsi="Book Antiqua" w:cs="Arial"/>
          <w:sz w:val="24"/>
          <w:szCs w:val="24"/>
          <w:vertAlign w:val="superscript"/>
          <w:lang w:val="en-GB"/>
        </w:rPr>
        <w:fldChar w:fldCharType="separate"/>
      </w:r>
      <w:r w:rsidR="002F737B" w:rsidRPr="007F6B31">
        <w:rPr>
          <w:rFonts w:ascii="Book Antiqua" w:hAnsi="Book Antiqua" w:cs="Arial"/>
          <w:noProof/>
          <w:sz w:val="24"/>
          <w:szCs w:val="24"/>
          <w:vertAlign w:val="superscript"/>
          <w:lang w:val="en-GB"/>
        </w:rPr>
        <w:t>9</w:t>
      </w:r>
      <w:r w:rsidR="002F737B" w:rsidRPr="007F6B31">
        <w:rPr>
          <w:rFonts w:ascii="Book Antiqua" w:hAnsi="Book Antiqua" w:cs="Arial"/>
          <w:sz w:val="24"/>
          <w:szCs w:val="24"/>
          <w:vertAlign w:val="superscript"/>
          <w:lang w:val="en-GB"/>
        </w:rPr>
        <w:fldChar w:fldCharType="end"/>
      </w:r>
      <w:r w:rsidR="002F737B" w:rsidRPr="007F6B31">
        <w:rPr>
          <w:rFonts w:ascii="Book Antiqua" w:hAnsi="Book Antiqua" w:cs="Arial"/>
          <w:sz w:val="24"/>
          <w:szCs w:val="24"/>
          <w:vertAlign w:val="superscript"/>
          <w:lang w:val="en-GB"/>
        </w:rPr>
        <w:t>]</w:t>
      </w:r>
      <w:r w:rsidR="006A1D34" w:rsidRPr="007F6B31">
        <w:rPr>
          <w:rFonts w:ascii="Book Antiqua" w:hAnsi="Book Antiqua" w:cs="Arial"/>
          <w:sz w:val="24"/>
          <w:szCs w:val="24"/>
          <w:lang w:val="en-GB"/>
        </w:rPr>
        <w:t>. About 50</w:t>
      </w:r>
      <w:r w:rsidR="002F737B" w:rsidRPr="007F6B31">
        <w:rPr>
          <w:rFonts w:ascii="Book Antiqua" w:hAnsi="Book Antiqua" w:cs="Arial"/>
          <w:sz w:val="24"/>
          <w:szCs w:val="24"/>
          <w:lang w:val="en-GB"/>
        </w:rPr>
        <w:t>%-</w:t>
      </w:r>
      <w:r w:rsidR="006A1D34" w:rsidRPr="007F6B31">
        <w:rPr>
          <w:rFonts w:ascii="Book Antiqua" w:hAnsi="Book Antiqua" w:cs="Arial"/>
          <w:sz w:val="24"/>
          <w:szCs w:val="24"/>
          <w:lang w:val="en-GB"/>
        </w:rPr>
        <w:t xml:space="preserve">70% of patients with CESD have the </w:t>
      </w:r>
      <w:r w:rsidR="000B38F1" w:rsidRPr="007F6B31">
        <w:rPr>
          <w:rFonts w:ascii="Book Antiqua" w:hAnsi="Book Antiqua" w:cs="Arial"/>
          <w:sz w:val="24"/>
          <w:szCs w:val="24"/>
          <w:lang w:val="en-GB"/>
        </w:rPr>
        <w:t>c.894G&gt;A, p.(Gln298Gln) variant</w:t>
      </w:r>
      <w:r w:rsidR="006A1D34" w:rsidRPr="007F6B31">
        <w:rPr>
          <w:rFonts w:ascii="Book Antiqua" w:hAnsi="Book Antiqua" w:cs="Arial"/>
          <w:sz w:val="24"/>
          <w:szCs w:val="24"/>
          <w:lang w:val="en-GB"/>
        </w:rPr>
        <w:t>, which corresponds to a prevalence of the disease ranging from 1 in 40000 to 1 in 300000</w:t>
      </w:r>
      <w:r w:rsidR="002F737B" w:rsidRPr="007F6B31">
        <w:rPr>
          <w:rFonts w:ascii="Book Antiqua" w:hAnsi="Book Antiqua" w:cs="Arial"/>
          <w:sz w:val="24"/>
          <w:szCs w:val="24"/>
          <w:vertAlign w:val="superscript"/>
          <w:lang w:val="en-GB"/>
        </w:rPr>
        <w:t>[</w:t>
      </w:r>
      <w:r w:rsidR="002F737B" w:rsidRPr="007F6B31">
        <w:rPr>
          <w:rFonts w:ascii="Book Antiqua" w:hAnsi="Book Antiqua" w:cs="Arial"/>
          <w:sz w:val="24"/>
          <w:szCs w:val="24"/>
          <w:vertAlign w:val="superscript"/>
          <w:lang w:val="en-GB"/>
        </w:rPr>
        <w:fldChar w:fldCharType="begin" w:fldLock="1"/>
      </w:r>
      <w:r w:rsidR="002F737B" w:rsidRPr="007F6B31">
        <w:rPr>
          <w:rFonts w:ascii="Book Antiqua" w:hAnsi="Book Antiqua" w:cs="Arial"/>
          <w:sz w:val="24"/>
          <w:szCs w:val="24"/>
          <w:vertAlign w:val="superscript"/>
          <w:lang w:val="en-GB"/>
        </w:rPr>
        <w:instrText>ADDIN CSL_CITATION {"citationItems":[{"id":"ITEM-1","itemData":{"DOI":"10.1161/ATVBAHA.107.146639","ISBN":"1524-4636 (Electronic) 1079-5642 (Linking)","ISSN":"10795642","PMID":"17634524","abstract":"Cholesteryl ester storage disease (CESD) is an autosomal recessive chronic liver disease caused by lysosomal acid lipase (LAL) deficiency. The gene is located on chromosome 10q23.2-q23.3, and the enzyme is essential for triglycerides and cholesteryl ester hydrolysis in lysosomes. CESD is characterized by hypercholesterolemia, hypertriglyceridemia, HDL deficiency, and abnormal lipid deposition in many organs. In the liver this results in hepatomegaly caused by hepatic steatosis and fibrosis that can lead to micronodular cirrhosis.1 Disease onset takes place during childhood or adolescence. Males and females are affected in about equal numbers. Patients rarely reach the age of 30. Biochemically, the disorder is recognized by largely reduced lysosomal acid lipase activity.2,3 Complete absence of LAL activity causes Wolman Disease, which is normally fatal within the first 6 months of life.1,4 Several groups have identified mutations in the LAL gene underlying CESD and Wolman disease.5–9 Mutations causing Wolman disease produce an enzyme with no residual activity or no enzyme at all, whereas CESD-causing mutations encode for LAL which retains some enzyme activity.4,10 A G-to-A transition at position −1 of the exon 8 splice donor (E8SJM, E xon 8 S plice J unction M utation) leads to an in-frame deletion of exon 8. The resulting protein is 24 amino acids shorter and has no residual LAL activity, however E8SJM does not cause Wolman Disease because 2% to 4% of normally spliced LAL is present in homozygote carriers.11,12 The vast majority of CESD …","author":[{"dropping-particle":"","family":"Muntoni","given":"Sandro","non-dropping-particle":"","parse-names":false,"suffix":""},{"dropping-particle":"","family":"Wiebusch","given":"Heiko","non-dropping-particle":"","parse-names":false,"suffix":""},{"dropping-particle":"","family":"Jansen-Rust","given":"Marianne","non-dropping-particle":"","parse-names":false,"suffix":""},{"dropping-particle":"","family":"Rust","given":"Stephan","non-dropping-particle":"","parse-names":false,"suffix":""},{"dropping-particle":"","family":"Seedorf","given":"Udo","non-dropping-particle":"","parse-names":false,"suffix":""},{"dropping-particle":"","family":"Schulte","given":"Helmut","non-dropping-particle":"","parse-names":false,"suffix":""},{"dropping-particle":"","family":"Berger","given":"Klaus","non-dropping-particle":"","parse-names":false,"suffix":""},{"dropping-particle":"","family":"Funke","given":"Harald","non-dropping-particle":"","parse-names":false,"suffix":""},{"dropping-particle":"","family":"Assmann","given":"Gerd","non-dropping-particle":"","parse-names":false,"suffix":""}],"container-title":"Arteriosclerosis, Thrombosis, and Vascular Biology","id":"ITEM-1","issued":{"date-parts":[["2007"]]},"title":"Prevalence of cholesteryl ester storage disease [2]","type":"article"},"uris":["http://www.mendeley.com/documents/?uuid=0e899bfc-87b4-45ce-97e0-3d16c99fd30d"]},{"id":"ITEM-2","itemData":{"DOI":"10.1016/j.ymgme.2017.11.008","ISSN":"1096-7206 (Electronic)","PMID":"29196158","abstract":"Lysosomal acid lipase hydrolyzes cholesteryl esters and triglycerides contained in low density lipoprotein. Patients who are homozygous or compound heterozygous for mutations in the lysosomal acid lipase gene (LIPA), and have some residual enzymatic activity, have cholesteryl ester storage disease. One of the clinical features of this disease is hypercholesterolemia. Thus, patients with hypercholesterolemia who do not carry a mutation as a cause of autosomal dominant hypercholesterolemia, may actually have cholesteryl ester storage disease. In this study we have performed DNA sequencing of LIPA in 3027 hypercholesterolemic patients who did not carry a mutation as a cause of autosomal dominant hypercholesterolemia. Functional analyses of possibly pathogenic mutations and of all mutations in LIPA listed in The Human Genome Mutation Database were performed to determine the pathogenicity of these mutations. For these studies, HeLa T-REx cells were transiently transfected with mutant LIPA plasmids and Western blot analysis of cell lysates was performed to determine if the mutants were synthesized in a normal fashion. The enzymatic activity of the mutants was determined in lysates of the transfected cells using 4-methylumbelliferone-palmitate as the substrate. A total of 41 mutations in LIPA were studied, of which 32 mutations were considered pathogenic by having an enzymatic activity &lt;10% of normal. However, none of the 3027 hypercholesterolemic patients were homozygous or compound heterozygous for a pathogenic mutation. Thus, cholesteryl ester storage disease must be a very rare cause of hypercholesterolemia in Norway.","author":[{"dropping-particle":"","family":"Vinje","given":"Terje","non-dropping-particle":"","parse-names":false,"suffix":""},{"dropping-particle":"","family":"Wierod","given":"Lene","non-dropping-particle":"","parse-names":false,"suffix":""},{"dropping-particle":"","family":"Leren","given":"Trond P","non-dropping-particle":"","parse-names":false,"suffix":""},{"dropping-particle":"","family":"Strom","given":"Thea Bismo","non-dropping-particle":"","parse-names":false,"suffix":""}],"container-title":"Molecular genetics and metabolism","id":"ITEM-2","issue":"2","issued":{"date-parts":[["2018","2"]]},"language":"eng","page":"169-176","publisher-place":"United States","title":"Prevalence of cholesteryl ester storage disease among hypercholesterolemic subjects and functional characterization of mutations in the lysosomal acid lipase gene.","type":"article-journal","volume":"123"},"uris":["http://www.mendeley.com/documents/?uuid=8bb03578-f99d-4528-9f68-586ef12f71a5"]}],"mendeley":{"formattedCitation":"&lt;sup&gt;10,11&lt;/sup&gt;","plainTextFormattedCitation":"10,11","previouslyFormattedCitation":"&lt;sup&gt;10,11&lt;/sup&gt;"},"properties":{"noteIndex":0},"schema":"https://github.com/citation-style-language/schema/raw/master/csl-citation.json"}</w:instrText>
      </w:r>
      <w:r w:rsidR="002F737B" w:rsidRPr="007F6B31">
        <w:rPr>
          <w:rFonts w:ascii="Book Antiqua" w:hAnsi="Book Antiqua" w:cs="Arial"/>
          <w:sz w:val="24"/>
          <w:szCs w:val="24"/>
          <w:vertAlign w:val="superscript"/>
          <w:lang w:val="en-GB"/>
        </w:rPr>
        <w:fldChar w:fldCharType="separate"/>
      </w:r>
      <w:r w:rsidR="002F737B" w:rsidRPr="007F6B31">
        <w:rPr>
          <w:rFonts w:ascii="Book Antiqua" w:hAnsi="Book Antiqua" w:cs="Arial"/>
          <w:noProof/>
          <w:sz w:val="24"/>
          <w:szCs w:val="24"/>
          <w:vertAlign w:val="superscript"/>
          <w:lang w:val="en-GB"/>
        </w:rPr>
        <w:t>10,11</w:t>
      </w:r>
      <w:r w:rsidR="002F737B" w:rsidRPr="007F6B31">
        <w:rPr>
          <w:rFonts w:ascii="Book Antiqua" w:hAnsi="Book Antiqua" w:cs="Arial"/>
          <w:sz w:val="24"/>
          <w:szCs w:val="24"/>
          <w:vertAlign w:val="superscript"/>
          <w:lang w:val="en-GB"/>
        </w:rPr>
        <w:fldChar w:fldCharType="end"/>
      </w:r>
      <w:r w:rsidR="002F737B" w:rsidRPr="007F6B31">
        <w:rPr>
          <w:rFonts w:ascii="Book Antiqua" w:hAnsi="Book Antiqua" w:cs="Arial"/>
          <w:sz w:val="24"/>
          <w:szCs w:val="24"/>
          <w:vertAlign w:val="superscript"/>
          <w:lang w:val="en-GB"/>
        </w:rPr>
        <w:t>]</w:t>
      </w:r>
      <w:r w:rsidR="006A1D34" w:rsidRPr="007F6B31">
        <w:rPr>
          <w:rFonts w:ascii="Book Antiqua" w:hAnsi="Book Antiqua" w:cs="Arial"/>
          <w:sz w:val="24"/>
          <w:szCs w:val="24"/>
          <w:lang w:val="en-GB"/>
        </w:rPr>
        <w:t>.</w:t>
      </w:r>
    </w:p>
    <w:bookmarkEnd w:id="9"/>
    <w:p w14:paraId="4F8ACDF8" w14:textId="3EB8C699" w:rsidR="006A1D34" w:rsidRPr="007F6B31" w:rsidRDefault="006A1D34" w:rsidP="001F2C55">
      <w:pPr>
        <w:snapToGrid w:val="0"/>
        <w:spacing w:after="0" w:line="360" w:lineRule="auto"/>
        <w:ind w:firstLineChars="100" w:firstLine="240"/>
        <w:jc w:val="both"/>
        <w:rPr>
          <w:rFonts w:ascii="Book Antiqua" w:hAnsi="Book Antiqua" w:cs="Arial"/>
          <w:sz w:val="24"/>
          <w:szCs w:val="24"/>
          <w:lang w:val="en-GB"/>
        </w:rPr>
      </w:pPr>
      <w:r w:rsidRPr="007F6B31">
        <w:rPr>
          <w:rFonts w:ascii="Book Antiqua" w:hAnsi="Book Antiqua" w:cs="Arial"/>
          <w:sz w:val="24"/>
          <w:szCs w:val="24"/>
          <w:lang w:val="en-GB"/>
        </w:rPr>
        <w:t>The clinical spectrum and rate of progression of LAL-D is wide</w:t>
      </w:r>
      <w:r w:rsidR="002F737B" w:rsidRPr="007F6B31">
        <w:rPr>
          <w:rFonts w:ascii="Book Antiqua" w:hAnsi="Book Antiqua" w:cs="Arial"/>
          <w:sz w:val="24"/>
          <w:szCs w:val="24"/>
          <w:vertAlign w:val="superscript"/>
          <w:lang w:val="en-GB"/>
        </w:rPr>
        <w:t>[</w:t>
      </w:r>
      <w:r w:rsidR="002F737B" w:rsidRPr="007F6B31">
        <w:rPr>
          <w:rFonts w:ascii="Book Antiqua" w:hAnsi="Book Antiqua" w:cs="Arial"/>
          <w:sz w:val="24"/>
          <w:szCs w:val="24"/>
          <w:vertAlign w:val="superscript"/>
          <w:lang w:val="en-GB"/>
        </w:rPr>
        <w:fldChar w:fldCharType="begin" w:fldLock="1"/>
      </w:r>
      <w:r w:rsidR="002F737B" w:rsidRPr="007F6B31">
        <w:rPr>
          <w:rFonts w:ascii="Book Antiqua" w:hAnsi="Book Antiqua" w:cs="Arial"/>
          <w:sz w:val="24"/>
          <w:szCs w:val="24"/>
          <w:vertAlign w:val="superscript"/>
          <w:lang w:val="en-GB"/>
        </w:rPr>
        <w:instrText>ADDIN CSL_CITATION {"citationItems":[{"id":"ITEM-1","itemData":{"DOI":"10.1016/j.ymgme.2009.02.007","ISSN":"1096-7206 (Electronic)","PMID":"19307143","abstract":"Cholesteryl Ester Storage Disease (CESD) is a rare recessive disorder due to mutations in LIPA gene encoding the lysosomal acidic lipase (LAL). CESD patients have liver disease associated with mixed hyperlipidemia and low plasma levels of high-density lipoproteins (HDL). The aim of this study was the molecular characterization of three patients with CESD. LAL activity was measured in blood leukocytes. In two patients (twin sisters) the clinical diagnosis of CESD was made at 9 years of age, following the fortuitous discovery of elevated serum liver enzymes in apparently healthy children. They had mixed hyperlipidemia, hepatosplenomegaly, reduced LAL activity (approximately 5% of control) and heteroalleic mutations in LIPA gene coding sequence: (i) the common c.894 G&gt;A mutation and (ii) a novel nonsense mutation c.652 C&gt;T (p.R218X). The other patient was an 80 year-old female who for several years had been treated with simvastatin because of severe hyperlipidemia associated with low plasma HDL. In this patient the sequence of major candidate genes for monogenic hypercholesterolemia and hypoalphalipoproteinemia was negative. She was found to be a compound heterozygote for two LIPA gene mutations resulting in 5% LAL activity: (i) c.894 G&gt;A and (ii) a novel complex insertion/deletion leading to a premature termination codon at position 82. These findings suggest that, in view of the variable severity of its phenotypic expression, CESD may sometimes be difficult to diagnose, but it should be considered in patients with severe type IIb hyperlipidemia associated with low HDL, mildly elevated serum liver enzymes and hepatomegaly.","author":[{"dropping-particle":"","family":"Pisciotta","given":"Livia","non-dropping-particle":"","parse-names":false,"suffix":""},{"dropping-particle":"","family":"Fresa","given":"Raffaele","non-dropping-particle":"","parse-names":false,"suffix":""},{"dropping-particle":"","family":"Bellocchio","given":"Antonella","non-dropping-particle":"","parse-names":false,"suffix":""},{"dropping-particle":"","family":"Pino","given":"Elisabetta","non-dropping-particle":"","parse-names":false,"suffix":""},{"dropping-particle":"","family":"Guido","given":"Virgilia","non-dropping-particle":"","parse-names":false,"suffix":""},{"dropping-particle":"","family":"Cantafora","given":"Alfredo","non-dropping-particle":"","parse-names":false,"suffix":""},{"dropping-particle":"","family":"Rocco","given":"Maja","non-dropping-particle":"Di","parse-names":false,"suffix":""},{"dropping-particle":"","family":"Calandra","given":"Sebastiano","non-dropping-particle":"","parse-names":false,"suffix":""},{"dropping-particle":"","family":"Bertolini","given":"Stefano","non-dropping-particle":"","parse-names":false,"suffix":""}],"container-title":"Molecular genetics and metabolism","id":"ITEM-1","issue":"2","issued":{"date-parts":[["2009","6"]]},"language":"eng","page":"143-148","publisher-place":"United States","title":"Cholesteryl Ester Storage Disease (CESD) due to novel mutations in the LIPA gene.","type":"article-journal","volume":"97"},"uris":["http://www.mendeley.com/documents/?uuid=e938e8bd-9adc-4801-a960-ca29fe437b20"]},{"id":"ITEM-2","itemData":{"DOI":"10.1080/03007995.2017.1309371","ISSN":"1473-4877 (Electronic)","PMID":"28320214","abstract":"BACKGROUND AND OBJECTIVE: Manifestations of the autosomal recessive disorder lysosomal acid lipase deficiency (LAL-D) include hepatomegaly, elevated serum liver enzymes, and progressive liver disease. We report an analysis of time to progression from first clinical manifestation to first documentation of hepatic fibrosis, cirrhosis, or liver transplantation from an observational study of pediatric and adult patients with LAL-D (clinical trial registration: NCT01528917). METHODS: Data were analyzed from 31 patients with available biopsy data and 1 patient without biopsy data who had undergone liver transplantation. Time to first documentation of fibrosis, cirrhosis, or liver transplantation following the first LAL-D clinical manifestation was estimated using Kaplan-Meier analysis. RESULTS: The median time to an event was 3.1 years. CONCLUSIONS: These findings illustrate the progression of liver damage in LAL-D and the elevated risk for liver transplantation among children and adults with LAL-D.","author":[{"dropping-particle":"","family":"Burton","given":"Barbara K","non-dropping-particle":"","parse-names":false,"suffix":""},{"dropping-particle":"","family":"Silliman","given":"Nancy","non-dropping-particle":"","parse-names":false,"suffix":""},{"dropping-particle":"","family":"Marulkar","given":"Sachin","non-dropping-particle":"","parse-names":false,"suffix":""}],"container-title":"Current medical research and opinion","id":"ITEM-2","issue":"7","issued":{"date-parts":[["2017","7"]]},"language":"eng","page":"1211-1214","publisher-place":"England","title":"Progression of liver disease in children and adults with lysosomal acid lipase deficiency.","type":"article-journal","volume":"33"},"uris":["http://www.mendeley.com/documents/?uuid=1f616ad2-8066-4632-9758-5eabab389eb5"]}],"mendeley":{"formattedCitation":"&lt;sup&gt;3,12&lt;/sup&gt;","plainTextFormattedCitation":"3,12","previouslyFormattedCitation":"&lt;sup&gt;3,12&lt;/sup&gt;"},"properties":{"noteIndex":0},"schema":"https://github.com/citation-style-language/schema/raw/master/csl-citation.json"}</w:instrText>
      </w:r>
      <w:r w:rsidR="002F737B" w:rsidRPr="007F6B31">
        <w:rPr>
          <w:rFonts w:ascii="Book Antiqua" w:hAnsi="Book Antiqua" w:cs="Arial"/>
          <w:sz w:val="24"/>
          <w:szCs w:val="24"/>
          <w:vertAlign w:val="superscript"/>
          <w:lang w:val="en-GB"/>
        </w:rPr>
        <w:fldChar w:fldCharType="separate"/>
      </w:r>
      <w:r w:rsidR="002F737B" w:rsidRPr="007F6B31">
        <w:rPr>
          <w:rFonts w:ascii="Book Antiqua" w:hAnsi="Book Antiqua" w:cs="Arial"/>
          <w:noProof/>
          <w:sz w:val="24"/>
          <w:szCs w:val="24"/>
          <w:vertAlign w:val="superscript"/>
          <w:lang w:val="en-GB"/>
        </w:rPr>
        <w:t>3,12</w:t>
      </w:r>
      <w:r w:rsidR="002F737B" w:rsidRPr="007F6B31">
        <w:rPr>
          <w:rFonts w:ascii="Book Antiqua" w:hAnsi="Book Antiqua" w:cs="Arial"/>
          <w:sz w:val="24"/>
          <w:szCs w:val="24"/>
          <w:vertAlign w:val="superscript"/>
          <w:lang w:val="en-GB"/>
        </w:rPr>
        <w:fldChar w:fldCharType="end"/>
      </w:r>
      <w:r w:rsidR="002F737B"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 xml:space="preserve">. </w:t>
      </w:r>
      <w:r w:rsidR="000A46C3" w:rsidRPr="007F6B31">
        <w:rPr>
          <w:rFonts w:ascii="Book Antiqua" w:hAnsi="Book Antiqua" w:cs="Arial"/>
          <w:color w:val="000000"/>
          <w:sz w:val="24"/>
          <w:szCs w:val="24"/>
          <w:shd w:val="clear" w:color="auto" w:fill="FFFFFF"/>
          <w:lang w:val="en-GB"/>
        </w:rPr>
        <w:t>Wolman disease,</w:t>
      </w:r>
      <w:r w:rsidR="000A46C3" w:rsidRPr="007F6B31">
        <w:rPr>
          <w:rFonts w:ascii="Book Antiqua" w:hAnsi="Book Antiqua" w:cs="Arial"/>
          <w:sz w:val="24"/>
          <w:szCs w:val="24"/>
          <w:lang w:val="en-GB"/>
        </w:rPr>
        <w:t xml:space="preserve"> t</w:t>
      </w:r>
      <w:r w:rsidRPr="007F6B31">
        <w:rPr>
          <w:rFonts w:ascii="Book Antiqua" w:hAnsi="Book Antiqua" w:cs="Arial"/>
          <w:sz w:val="24"/>
          <w:szCs w:val="24"/>
          <w:lang w:val="en-GB"/>
        </w:rPr>
        <w:t xml:space="preserve">he </w:t>
      </w:r>
      <w:r w:rsidRPr="007F6B31">
        <w:rPr>
          <w:rFonts w:ascii="Book Antiqua" w:hAnsi="Book Antiqua" w:cs="Arial"/>
          <w:color w:val="000000"/>
          <w:sz w:val="24"/>
          <w:szCs w:val="24"/>
          <w:shd w:val="clear" w:color="auto" w:fill="FFFFFF"/>
          <w:lang w:val="en-GB"/>
        </w:rPr>
        <w:t>severe infantile and rapidly progressive disorder</w:t>
      </w:r>
      <w:r w:rsidR="000A46C3" w:rsidRPr="007F6B31">
        <w:rPr>
          <w:rFonts w:ascii="Book Antiqua" w:hAnsi="Book Antiqua" w:cs="Arial"/>
          <w:color w:val="000000"/>
          <w:sz w:val="24"/>
          <w:szCs w:val="24"/>
          <w:shd w:val="clear" w:color="auto" w:fill="FFFFFF"/>
          <w:lang w:val="en-GB"/>
        </w:rPr>
        <w:t>,</w:t>
      </w:r>
      <w:r w:rsidRPr="007F6B31">
        <w:rPr>
          <w:rFonts w:ascii="Book Antiqua" w:hAnsi="Book Antiqua" w:cs="Arial"/>
          <w:color w:val="000000"/>
          <w:sz w:val="24"/>
          <w:szCs w:val="24"/>
          <w:shd w:val="clear" w:color="auto" w:fill="FFFFFF"/>
          <w:lang w:val="en-GB"/>
        </w:rPr>
        <w:t xml:space="preserve"> </w:t>
      </w:r>
      <w:r w:rsidR="00363A0B" w:rsidRPr="007F6B31">
        <w:rPr>
          <w:rFonts w:ascii="Book Antiqua" w:hAnsi="Book Antiqua" w:cs="Arial"/>
          <w:color w:val="000000"/>
          <w:sz w:val="24"/>
          <w:szCs w:val="24"/>
          <w:shd w:val="clear" w:color="auto" w:fill="FFFFFF"/>
          <w:lang w:val="en-GB"/>
        </w:rPr>
        <w:t xml:space="preserve">is </w:t>
      </w:r>
      <w:r w:rsidRPr="007F6B31">
        <w:rPr>
          <w:rFonts w:ascii="Book Antiqua" w:hAnsi="Book Antiqua" w:cs="Arial"/>
          <w:color w:val="000000"/>
          <w:sz w:val="24"/>
          <w:szCs w:val="24"/>
          <w:shd w:val="clear" w:color="auto" w:fill="FFFFFF"/>
          <w:lang w:val="en-GB"/>
        </w:rPr>
        <w:t>associated with complete loss of enzyme activity</w:t>
      </w:r>
      <w:r w:rsidR="002F737B" w:rsidRPr="007F6B31">
        <w:rPr>
          <w:rFonts w:ascii="Book Antiqua" w:hAnsi="Book Antiqua" w:cs="Arial"/>
          <w:color w:val="000000"/>
          <w:sz w:val="24"/>
          <w:szCs w:val="24"/>
          <w:shd w:val="clear" w:color="auto" w:fill="FFFFFF"/>
          <w:vertAlign w:val="superscript"/>
          <w:lang w:val="en-GB"/>
        </w:rPr>
        <w:t>[</w:t>
      </w:r>
      <w:r w:rsidR="002F737B" w:rsidRPr="007F6B31">
        <w:rPr>
          <w:rFonts w:ascii="Book Antiqua" w:hAnsi="Book Antiqua" w:cs="Arial"/>
          <w:color w:val="000000"/>
          <w:sz w:val="24"/>
          <w:szCs w:val="24"/>
          <w:shd w:val="clear" w:color="auto" w:fill="FFFFFF"/>
          <w:vertAlign w:val="superscript"/>
          <w:lang w:val="en-GB"/>
        </w:rPr>
        <w:fldChar w:fldCharType="begin" w:fldLock="1"/>
      </w:r>
      <w:r w:rsidR="002F737B" w:rsidRPr="007F6B31">
        <w:rPr>
          <w:rFonts w:ascii="Book Antiqua" w:hAnsi="Book Antiqua" w:cs="Arial"/>
          <w:color w:val="000000"/>
          <w:sz w:val="24"/>
          <w:szCs w:val="24"/>
          <w:shd w:val="clear" w:color="auto" w:fill="FFFFFF"/>
          <w:vertAlign w:val="superscript"/>
          <w:lang w:val="en-GB"/>
        </w:rPr>
        <w:instrText>ADDIN CSL_CITATION {"citationItems":[{"id":"ITEM-1","itemData":{"DOI":"10.1001/archpedi.1956.02060020284010","ISBN":"1432-2072 (Electronic)\\r0033-3158 (Linking)","ISSN":"15383628","PMID":"13301142","abstract":"BACKGROUND: Mapping metabolic \"signatures\" can provide new insights into addictive mechanisms and potentially identify biomarkers and therapeutic targets. OBJECTIVE: We examined the differences in metabolites related to the tyrosine, tryptophan, purine, and oxidative stress pathways between cocaine-dependent subjects and healthy controls. Several of these metabolites serve as biological indices underlying the mechanisms of reinforcement, toxicity, and oxidative stress. METHODS: Metabolomic analysis was performed in 18 DSM-IV-diagnosed cocaine-dependent individuals with at least 2 weeks of abstinence and ten drug-free controls. Plasma concentrations of 37 known metabolites were analyzed and compared using a liquid chromatography electrochemical array platform. Multivariate analyses were used to study the relationship between severity of drug use [Addiction Severity Index (ASI) scores] and biological measures. RESULTS: Cocaine subjects showed significantly higher levels of n-methylserotonin (p &lt; 0.0017) and guanine (p &lt; 0.0031) and lower concentrations of hypoxanthine (p &lt; 0.0002), anthranilate (p &lt; 0.0024), and xanthine (p &lt; 0.012), compared to controls. Multivariate analyses showed that a combination of n-methylserotonin and xanthine contributed to 73% of the variance in predicting the ASI scores (p &lt; 0.0001). Logistic regression showed that a model combining n-methylserotonin, xanthine, xanthosine, and guanine differentiated cocaine and control groups with no overlap. CONCLUSIONS: Alterations in the methylation processes in the serotonin pathways and purine metabolism seem to be associated with chronic exposure to cocaine. Given the preliminary nature and cross-sectional design of the study, the findings need to be confirmed in larger samples of cocaine-dependent subjects, preferably in a longitudinal design.","author":[{"dropping-particle":"","family":"Abramov","given":"A.","non-dropping-particle":"","parse-names":false,"suffix":""},{"dropping-particle":"","family":"Schorr","given":"S.","non-dropping-particle":"","parse-names":false,"suffix":""},{"dropping-particle":"","family":"Wolman","given":"M.","non-dropping-particle":"","parse-names":false,"suffix":""}],"container-title":"A.M.A. Journal of Diseases of Children","id":"ITEM-1","issue":"3","issued":{"date-parts":[["1956","3"]]},"language":"eng","page":"282-286","publisher-place":"United States","title":"Generalized xanthomatosis with calcified adrenals","type":"article-journal","volume":"91"},"uris":["http://www.mendeley.com/documents/?uuid=a91a0217-177a-4716-8353-2af8caed906a"]},{"id":"ITEM-2","itemData":{"ISSN":"1565-4753 (Print)","PMID":"25345094","abstract":"Lysosomal acid lipase (LAL) is responsible for the hydrolysis of cholesterol esters and triglycerides. LAL is coded by the LIPA gene on chromosome 10q23.31. Its deficiency leads to two autosomal recessive disorders, Wolman disease (WD) and Cholesteryl Ester Storage Disease (CESD). WD has an estimated incidence of 1 in 500,000 live births and is the result of a complete loss of LAL and presents in infancy with vomiting, diarrhea, poor weight gain and hepatomegaly subsequently leading to death. CESD is the result of partial loss of LAL and its presentation is more variable. Patients may be asymptomatic or present with nonspecific gastrointestinal symptoms, hepatomegaly, elevated transaminases and dystipidemia which may be confused with the diagnosis of Non-alcoholic Fatty Liver Disease. CESD is currently underdiagnosed and has an estimated prevalence as high as I in 40,000 individuals. Radiologic findings in WD is calcification of the adrenal glands. Hepatomegaly is noted on CT scan in both WD and CESD. MRI may demonstrate accumulation of cholesterol esters and may be useful to study effects of potential medical therapies. The diagnosis of WD and CESD is based on LIPA gene sequencing and the measurement of LAL levels in peripheral blood leukocytes. Treatment of LAL deficiency is currently limited to control of cholesterol levels and to prevent premature atherosclerosis. Use of enzyme replacement therapy with recombinant human LAL in short-term studies has shown to be safe and effective.","author":[{"dropping-particle":"","family":"Porto","given":"Anthony F","non-dropping-particle":"","parse-names":false,"suffix":""}],"container-title":"Pediatric endocrinology reviews : PER","id":"ITEM-2","issued":{"date-parts":[["2014","9"]]},"language":"eng","page":"125-132","publisher-place":"Israel","title":"Lysosomal acid lipase deficiency: diagnosis and treatment of Wolman and Cholesteryl Ester Storage Diseases.","type":"article-journal","volume":"12 Suppl 1"},"uris":["http://www.mendeley.com/documents/?uuid=0f2b1734-1f76-4e70-bb45-0e68ca7efbd5"]}],"mendeley":{"formattedCitation":"&lt;sup&gt;13,14&lt;/sup&gt;","plainTextFormattedCitation":"13,14","previouslyFormattedCitation":"&lt;sup&gt;13,14&lt;/sup&gt;"},"properties":{"noteIndex":0},"schema":"https://github.com/citation-style-language/schema/raw/master/csl-citation.json"}</w:instrText>
      </w:r>
      <w:r w:rsidR="002F737B" w:rsidRPr="007F6B31">
        <w:rPr>
          <w:rFonts w:ascii="Book Antiqua" w:hAnsi="Book Antiqua" w:cs="Arial"/>
          <w:color w:val="000000"/>
          <w:sz w:val="24"/>
          <w:szCs w:val="24"/>
          <w:shd w:val="clear" w:color="auto" w:fill="FFFFFF"/>
          <w:vertAlign w:val="superscript"/>
          <w:lang w:val="en-GB"/>
        </w:rPr>
        <w:fldChar w:fldCharType="separate"/>
      </w:r>
      <w:r w:rsidR="002F737B" w:rsidRPr="007F6B31">
        <w:rPr>
          <w:rFonts w:ascii="Book Antiqua" w:hAnsi="Book Antiqua" w:cs="Arial"/>
          <w:noProof/>
          <w:color w:val="000000"/>
          <w:sz w:val="24"/>
          <w:szCs w:val="24"/>
          <w:shd w:val="clear" w:color="auto" w:fill="FFFFFF"/>
          <w:vertAlign w:val="superscript"/>
          <w:lang w:val="en-GB"/>
        </w:rPr>
        <w:t>13,14</w:t>
      </w:r>
      <w:r w:rsidR="002F737B" w:rsidRPr="007F6B31">
        <w:rPr>
          <w:rFonts w:ascii="Book Antiqua" w:hAnsi="Book Antiqua" w:cs="Arial"/>
          <w:color w:val="000000"/>
          <w:sz w:val="24"/>
          <w:szCs w:val="24"/>
          <w:shd w:val="clear" w:color="auto" w:fill="FFFFFF"/>
          <w:vertAlign w:val="superscript"/>
          <w:lang w:val="en-GB"/>
        </w:rPr>
        <w:fldChar w:fldCharType="end"/>
      </w:r>
      <w:r w:rsidR="002F737B" w:rsidRPr="007F6B31">
        <w:rPr>
          <w:rFonts w:ascii="Book Antiqua" w:hAnsi="Book Antiqua" w:cs="Arial"/>
          <w:color w:val="000000"/>
          <w:sz w:val="24"/>
          <w:szCs w:val="24"/>
          <w:shd w:val="clear" w:color="auto" w:fill="FFFFFF"/>
          <w:vertAlign w:val="superscript"/>
          <w:lang w:val="en-GB"/>
        </w:rPr>
        <w:t>]</w:t>
      </w:r>
      <w:r w:rsidR="000A46C3" w:rsidRPr="007F6B31">
        <w:rPr>
          <w:rFonts w:ascii="Book Antiqua" w:hAnsi="Book Antiqua" w:cs="Arial"/>
          <w:color w:val="000000"/>
          <w:sz w:val="24"/>
          <w:szCs w:val="24"/>
          <w:shd w:val="clear" w:color="auto" w:fill="FFFFFF"/>
          <w:lang w:val="en-GB"/>
        </w:rPr>
        <w:t>;</w:t>
      </w:r>
      <w:r w:rsidRPr="007F6B31">
        <w:rPr>
          <w:rFonts w:ascii="Book Antiqua" w:hAnsi="Book Antiqua" w:cs="Arial"/>
          <w:color w:val="000000"/>
          <w:sz w:val="24"/>
          <w:szCs w:val="24"/>
          <w:shd w:val="clear" w:color="auto" w:fill="FFFFFF"/>
          <w:lang w:val="en-GB"/>
        </w:rPr>
        <w:t xml:space="preserve"> </w:t>
      </w:r>
      <w:r w:rsidR="000A46C3" w:rsidRPr="007F6B31">
        <w:rPr>
          <w:rFonts w:ascii="Book Antiqua" w:hAnsi="Book Antiqua" w:cs="Arial"/>
          <w:color w:val="000000"/>
          <w:sz w:val="24"/>
          <w:szCs w:val="24"/>
          <w:shd w:val="clear" w:color="auto" w:fill="FFFFFF"/>
          <w:lang w:val="en-GB"/>
        </w:rPr>
        <w:t>s</w:t>
      </w:r>
      <w:r w:rsidRPr="007F6B31">
        <w:rPr>
          <w:rFonts w:ascii="Book Antiqua" w:hAnsi="Book Antiqua" w:cs="Arial"/>
          <w:color w:val="000000"/>
          <w:sz w:val="24"/>
          <w:szCs w:val="24"/>
          <w:shd w:val="clear" w:color="auto" w:fill="FFFFFF"/>
          <w:lang w:val="en-GB"/>
        </w:rPr>
        <w:t>urvival beyond one year is rare</w:t>
      </w:r>
      <w:r w:rsidR="002F737B" w:rsidRPr="007F6B31">
        <w:rPr>
          <w:rFonts w:ascii="Book Antiqua" w:hAnsi="Book Antiqua" w:cs="Arial"/>
          <w:sz w:val="24"/>
          <w:szCs w:val="24"/>
          <w:vertAlign w:val="superscript"/>
          <w:lang w:val="en-GB"/>
        </w:rPr>
        <w:t>[</w:t>
      </w:r>
      <w:r w:rsidR="002F737B" w:rsidRPr="007F6B31">
        <w:rPr>
          <w:rFonts w:ascii="Book Antiqua" w:hAnsi="Book Antiqua" w:cs="Arial"/>
          <w:sz w:val="24"/>
          <w:szCs w:val="24"/>
          <w:vertAlign w:val="superscript"/>
          <w:lang w:val="en-GB"/>
        </w:rPr>
        <w:fldChar w:fldCharType="begin" w:fldLock="1"/>
      </w:r>
      <w:r w:rsidR="002F737B" w:rsidRPr="007F6B31">
        <w:rPr>
          <w:rFonts w:ascii="Book Antiqua" w:hAnsi="Book Antiqua" w:cs="Arial"/>
          <w:sz w:val="24"/>
          <w:szCs w:val="24"/>
          <w:vertAlign w:val="superscript"/>
          <w:lang w:val="en-GB"/>
        </w:rPr>
        <w:instrText>ADDIN CSL_CITATION {"citationItems":[{"id":"ITEM-1","itemData":{"DOI":"10.1016/S2468-1253(17)30052-3","ISSN":"24681253","PMID":"28786388","abstract":"Lysosomal acid lipase deficiency is a rare, autosomal recessive condition caused by mutations in the gene encoding lysosomal acid lipase (LIPA) that result in reduced or absent activity of this essential enzyme. The severity of the resulting disease depends on the nature of the underlying mutation and magnitude of its effect on enzymatic function. Wolman's disease is a severe disorder that presents during infancy, resulting in failure to thrive, hepatomegaly, and hepatic failure, and an average life expectancy of less than 4 months. Cholesteryl ester storage disorder arises later in life and is less severe, although the two diseases share many common features, including dyslipidaemia and transaminitis. The prevalence of these diseases has been estimated at one in 40 000 to 300 000, but many cases are undiagnosed and unreported, and awareness among clinicians is low. Lysosomal acid lipase deficiency-which can be diagnosed using dry blood spot testing-is often misdiagnosed as non-alcoholic fatty liver disease (NAFLD), non-alcoholic steatohepatitis (NASH), hereditary dyslipidaemia, or cryptogenic cirrhosis. There are no formal guidelines for treatment of these patients, and treatment options are limited. In this Review we appraise the existing literature on Wolman's disease and cholesteryl ester storage disease, and discuss available treatments, including enzyme replacement therapy, oral lipid-lowering therapy, stem-cell transplantation, and liver transplantation.","author":[{"dropping-particle":"","family":"Pericleous","given":"Marinos","non-dropping-particle":"","parse-names":false,"suffix":""},{"dropping-particle":"","family":"Kelly","given":"Claire","non-dropping-particle":"","parse-names":false,"suffix":""},{"dropping-particle":"","family":"Wang","given":"Tim","non-dropping-particle":"","parse-names":false,"suffix":""},{"dropping-particle":"","family":"Livingstone","given":"Callum","non-dropping-particle":"","parse-names":false,"suffix":""},{"dropping-particle":"","family":"Ala","given":"Aftab","non-dropping-particle":"","parse-names":false,"suffix":""}],"container-title":"The Lancet Gastroenterology &amp; Hepatology","id":"ITEM-1","issue":"9","issued":{"date-parts":[["2017","9"]]},"page":"670-679","title":"Wolman's disease and cholesteryl ester storage disorder: the phenotypic spectrum of lysosomal acid lipase deficiency","type":"article-journal","volume":"2"},"uris":["http://www.mendeley.com/documents/?uuid=4e6d3327-443d-4606-8a92-5b706e8b5c52"]}],"mendeley":{"formattedCitation":"&lt;sup&gt;15&lt;/sup&gt;","plainTextFormattedCitation":"15","previouslyFormattedCitation":"&lt;sup&gt;15&lt;/sup&gt;"},"properties":{"noteIndex":0},"schema":"https://github.com/citation-style-language/schema/raw/master/csl-citation.json"}</w:instrText>
      </w:r>
      <w:r w:rsidR="002F737B" w:rsidRPr="007F6B31">
        <w:rPr>
          <w:rFonts w:ascii="Book Antiqua" w:hAnsi="Book Antiqua" w:cs="Arial"/>
          <w:sz w:val="24"/>
          <w:szCs w:val="24"/>
          <w:vertAlign w:val="superscript"/>
          <w:lang w:val="en-GB"/>
        </w:rPr>
        <w:fldChar w:fldCharType="separate"/>
      </w:r>
      <w:r w:rsidR="002F737B" w:rsidRPr="007F6B31">
        <w:rPr>
          <w:rFonts w:ascii="Book Antiqua" w:hAnsi="Book Antiqua" w:cs="Arial"/>
          <w:noProof/>
          <w:sz w:val="24"/>
          <w:szCs w:val="24"/>
          <w:vertAlign w:val="superscript"/>
          <w:lang w:val="en-GB"/>
        </w:rPr>
        <w:t>15</w:t>
      </w:r>
      <w:r w:rsidR="002F737B" w:rsidRPr="007F6B31">
        <w:rPr>
          <w:rFonts w:ascii="Book Antiqua" w:hAnsi="Book Antiqua" w:cs="Arial"/>
          <w:sz w:val="24"/>
          <w:szCs w:val="24"/>
          <w:vertAlign w:val="superscript"/>
          <w:lang w:val="en-GB"/>
        </w:rPr>
        <w:fldChar w:fldCharType="end"/>
      </w:r>
      <w:r w:rsidR="002F737B"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 xml:space="preserve">. </w:t>
      </w:r>
      <w:r w:rsidR="00363A0B" w:rsidRPr="007F6B31">
        <w:rPr>
          <w:rFonts w:ascii="Book Antiqua" w:hAnsi="Book Antiqua" w:cs="Arial"/>
          <w:sz w:val="24"/>
          <w:szCs w:val="24"/>
          <w:lang w:val="en-GB"/>
        </w:rPr>
        <w:t>CESD</w:t>
      </w:r>
      <w:r w:rsidR="00C36B61" w:rsidRPr="007F6B31">
        <w:rPr>
          <w:rFonts w:ascii="Book Antiqua" w:hAnsi="Book Antiqua" w:cs="Arial"/>
          <w:sz w:val="24"/>
          <w:szCs w:val="24"/>
          <w:lang w:val="en-GB"/>
        </w:rPr>
        <w:t>, the attenuated form</w:t>
      </w:r>
      <w:r w:rsidR="000A46C3" w:rsidRPr="007F6B31">
        <w:rPr>
          <w:rFonts w:ascii="Book Antiqua" w:hAnsi="Book Antiqua" w:cs="Arial"/>
          <w:sz w:val="24"/>
          <w:szCs w:val="24"/>
          <w:lang w:val="en-GB"/>
        </w:rPr>
        <w:t xml:space="preserve"> of the disease</w:t>
      </w:r>
      <w:r w:rsidR="00C36B61" w:rsidRPr="007F6B31">
        <w:rPr>
          <w:rFonts w:ascii="Book Antiqua" w:hAnsi="Book Antiqua" w:cs="Arial"/>
          <w:sz w:val="24"/>
          <w:szCs w:val="24"/>
          <w:lang w:val="en-GB"/>
        </w:rPr>
        <w:t>,</w:t>
      </w:r>
      <w:r w:rsidR="00363A0B" w:rsidRPr="007F6B31">
        <w:rPr>
          <w:rFonts w:ascii="Book Antiqua" w:hAnsi="Book Antiqua" w:cs="Arial"/>
          <w:sz w:val="24"/>
          <w:szCs w:val="24"/>
          <w:lang w:val="en-GB"/>
        </w:rPr>
        <w:t xml:space="preserve"> </w:t>
      </w:r>
      <w:r w:rsidR="00C36B61" w:rsidRPr="007F6B31">
        <w:rPr>
          <w:rFonts w:ascii="Book Antiqua" w:hAnsi="Book Antiqua" w:cs="Arial"/>
          <w:sz w:val="24"/>
          <w:szCs w:val="24"/>
          <w:lang w:val="en-GB"/>
        </w:rPr>
        <w:t xml:space="preserve">may manifest in childhood or adulthood as </w:t>
      </w:r>
      <w:r w:rsidRPr="007F6B31">
        <w:rPr>
          <w:rFonts w:ascii="Book Antiqua" w:hAnsi="Book Antiqua" w:cs="Arial"/>
          <w:color w:val="000000"/>
          <w:sz w:val="24"/>
          <w:szCs w:val="24"/>
          <w:shd w:val="clear" w:color="auto" w:fill="FFFFFF"/>
          <w:lang w:val="en-GB"/>
        </w:rPr>
        <w:t>a progressive multi-organ disease</w:t>
      </w:r>
      <w:r w:rsidR="00363A0B" w:rsidRPr="007F6B31">
        <w:rPr>
          <w:rFonts w:ascii="Book Antiqua" w:hAnsi="Book Antiqua" w:cs="Arial"/>
          <w:color w:val="000000"/>
          <w:sz w:val="24"/>
          <w:szCs w:val="24"/>
          <w:shd w:val="clear" w:color="auto" w:fill="FFFFFF"/>
          <w:lang w:val="en-GB"/>
        </w:rPr>
        <w:t xml:space="preserve"> </w:t>
      </w:r>
      <w:r w:rsidR="00857875" w:rsidRPr="007F6B31">
        <w:rPr>
          <w:rFonts w:ascii="Book Antiqua" w:hAnsi="Book Antiqua" w:cs="Arial"/>
          <w:color w:val="000000"/>
          <w:sz w:val="24"/>
          <w:szCs w:val="24"/>
          <w:shd w:val="clear" w:color="auto" w:fill="FFFFFF"/>
          <w:lang w:val="en-GB"/>
        </w:rPr>
        <w:t xml:space="preserve">and </w:t>
      </w:r>
      <w:r w:rsidRPr="007F6B31">
        <w:rPr>
          <w:rFonts w:ascii="Book Antiqua" w:hAnsi="Book Antiqua" w:cs="Arial"/>
          <w:sz w:val="24"/>
          <w:szCs w:val="24"/>
          <w:lang w:val="en-GB"/>
        </w:rPr>
        <w:t>is associated with a variation in LAL activity from 1% to 12%</w:t>
      </w:r>
      <w:r w:rsidR="002F737B" w:rsidRPr="007F6B31">
        <w:rPr>
          <w:rFonts w:ascii="Book Antiqua" w:hAnsi="Book Antiqua" w:cs="Arial"/>
          <w:sz w:val="24"/>
          <w:szCs w:val="24"/>
          <w:vertAlign w:val="superscript"/>
          <w:lang w:val="en-GB"/>
        </w:rPr>
        <w:t>[</w:t>
      </w:r>
      <w:r w:rsidR="002F737B" w:rsidRPr="007F6B31">
        <w:rPr>
          <w:rFonts w:ascii="Book Antiqua" w:hAnsi="Book Antiqua" w:cs="Arial"/>
          <w:sz w:val="24"/>
          <w:szCs w:val="24"/>
          <w:vertAlign w:val="superscript"/>
          <w:lang w:val="en-GB"/>
        </w:rPr>
        <w:fldChar w:fldCharType="begin" w:fldLock="1"/>
      </w:r>
      <w:r w:rsidR="002F737B" w:rsidRPr="007F6B31">
        <w:rPr>
          <w:rFonts w:ascii="Book Antiqua" w:hAnsi="Book Antiqua" w:cs="Arial"/>
          <w:sz w:val="24"/>
          <w:szCs w:val="24"/>
          <w:vertAlign w:val="superscript"/>
          <w:lang w:val="en-GB"/>
        </w:rPr>
        <w:instrText>ADDIN CSL_CITATION {"citationItems":[{"id":"ITEM-1","itemData":{"DOI":"10.1016/j.jhep.2013.02.014","ISBN":"0168-8278","ISSN":"01688278","PMID":"23485521","abstract":"Cholesteryl ester storage disease (CESD) is caused by deficient lysosomal acid lipase (LAL) activity, predominantly resulting in cholesteryl ester (CE) accumulation, particularly in the liver, spleen, and macrophages throughout the body. The disease is characterized by microvesicular steatosis leading to liver failure, accelerated atherosclerosis and premature demise. Although CESD is rare, it is likely that many patients are unrecognized or misdiagnosed. Here, the findings in 135 CESD patients described in the literature are reviewed. Diagnoses were based on liver biopsies, LAL deficiency and/or LAL gene (LIPA) mutations. Hepatomegaly was present in 99.3% of patients; 74% also had splenomegaly. When reported, most patients had elevated serum total cholesterol, LDL-cholesterol, triglycerides, and transaminases (AST, ALT, or both), while HDL-cholesterol was decreased. All 112 liver biopsied patients had the characteristic pathology, which is progressive, and includes microvesicular steatosis, which leads to fibrosis, micronodular cirrhosis, and ultimately to liver failure. Pathognomonic birefringent CE crystals or their remnant clefts were observed in hepatic cells. Extrahepatic manifestations included portal hypertension, esophageal varices, and accelerated atherosclerosis. Liver failure in 17 reported patients resulted in liver transplantation and/or death. Genotyping identified 31 LIPA mutations in 55 patients; 61% of mutations were the common exon 8 splice-junction mutation (E8SJM-1G&gt;A), for which 18 patients were homozygous. Genotype/phenotype correlations were limited; however, E8SJM-1G&gt;Ahomozygotes typically had early-onset, slowly progressive disease. Supportive treatment included cholestyramine, statins, and, ultimately, liver transplantation. Recombinant LAL replacement was shown to be effective in animal models, and recently, a phase I/II clinical trial demonstrated its safety and indicated its potential metabolic efficacy. © 2013 European Association for the Study of the Liver. Published by Elsevier B.V. All rights reserved.","author":[{"dropping-particle":"","family":"Bernstein","given":"Donna L.","non-dropping-particle":"","parse-names":false,"suffix":""},{"dropping-particle":"","family":"Hülkova","given":"Helena","non-dropping-particle":"","parse-names":false,"suffix":""},{"dropping-particle":"","family":"Bialer","given":"Martin G.","non-dropping-particle":"","parse-names":false,"suffix":""},{"dropping-particle":"","family":"Desnick","given":"Robert J.","non-dropping-particle":"","parse-names":false,"suffix":""}],"container-title":"Journal of Hepatology","id":"ITEM-1","issue":"6","issued":{"date-parts":[["2013","6"]]},"page":"1230-1243","title":"Cholesteryl ester storage disease: Review of the findings in 135 reported patients with an underdiagnosed disease","type":"article-journal","volume":"58"},"uris":["http://www.mendeley.com/documents/?uuid=9be8b44a-fd42-4812-ab39-722fe7bdc933"]},{"id":"ITEM-2","itemData":{"DOI":"10.2174/2213988501711010001","ISSN":"2213-9885 (Print)","PMID":"28401034","abstract":"Wolman disease (WD) and cholesteryl ester storage disease (CESD) are lysosomal storage diseases (LSDs) caused by a deficiency in lysosomal acid lipase (LAL) due to mutations in the LIPA gene. This enzyme is critical to the proper degradation of cholesterol in the lysosome. LAL function is completely lost in WD while some residual activity remains in CESD. Both are rare diseases with an incidence rate of less than 1/100,000 births for WD and approximate 2.5/100,000 births for CESD. Clinical manifestation of WD includes hepatosplenomegaly, calcified adrenal glands, severe malabsorption and a failure to thrive. As in CESD, histological analysis of WD tissues reveals the accumulation of triglycerides (TGs) and esterified cholesterol (EC) in cellular lysosomes. However, the clinical presentation of CESD is less severe and more variable than WD. This review is to provide an overview of the disease pathophysiology and the current state of therapeutic development for both of WD and CESD. The review will also discuss the application of patient derived iPSCs for further drug discovery.","author":[{"dropping-particle":"","family":"Aguisanda","given":"Francis","non-dropping-particle":"","parse-names":false,"suffix":""},{"dropping-particle":"","family":"Thorne","given":"Natasha","non-dropping-particle":"","parse-names":false,"suffix":""},{"dropping-particle":"","family":"Zheng","given":"Wei","non-dropping-particle":"","parse-names":false,"suffix":""}],"container-title":"Current chemical genomics and translational medicine","id":"ITEM-2","issued":{"date-parts":[["2017"]]},"language":"eng","page":"1-18","publisher-place":"Netherlands","title":"Targeting Wolman Disease and Cholesteryl Ester Storage Disease: Disease Pathogenesis and Therapeutic Development.","type":"article-journal","volume":"11"},"uris":["http://www.mendeley.com/documents/?uuid=1599608a-3b1b-4831-aaa9-c0747ec488b6"]},{"id":"ITEM-3","itemData":{"ISSN":"1565-4753 (Print)","PMID":"25345094","abstract":"Lysosomal acid lipase (LAL) is responsible for the hydrolysis of cholesterol esters and triglycerides. LAL is coded by the LIPA gene on chromosome 10q23.31. Its deficiency leads to two autosomal recessive disorders, Wolman disease (WD) and Cholesteryl Ester Storage Disease (CESD). WD has an estimated incidence of 1 in 500,000 live births and is the result of a complete loss of LAL and presents in infancy with vomiting, diarrhea, poor weight gain and hepatomegaly subsequently leading to death. CESD is the result of partial loss of LAL and its presentation is more variable. Patients may be asymptomatic or present with nonspecific gastrointestinal symptoms, hepatomegaly, elevated transaminases and dystipidemia which may be confused with the diagnosis of Non-alcoholic Fatty Liver Disease. CESD is currently underdiagnosed and has an estimated prevalence as high as I in 40,000 individuals. Radiologic findings in WD is calcification of the adrenal glands. Hepatomegaly is noted on CT scan in both WD and CESD. MRI may demonstrate accumulation of cholesterol esters and may be useful to study effects of potential medical therapies. The diagnosis of WD and CESD is based on LIPA gene sequencing and the measurement of LAL levels in peripheral blood leukocytes. Treatment of LAL deficiency is currently limited to control of cholesterol levels and to prevent premature atherosclerosis. Use of enzyme replacement therapy with recombinant human LAL in short-term studies has shown to be safe and effective.","author":[{"dropping-particle":"","family":"Porto","given":"Anthony F","non-dropping-particle":"","parse-names":false,"suffix":""}],"container-title":"Pediatric endocrinology reviews : PER","id":"ITEM-3","issued":{"date-parts":[["2014","9"]]},"language":"eng","page":"125-132","publisher-place":"Israel","title":"Lysosomal acid lipase deficiency: diagnosis and treatment of Wolman and Cholesteryl Ester Storage Diseases.","type":"article-journal","volume":"12 Suppl 1"},"uris":["http://www.mendeley.com/documents/?uuid=0f2b1734-1f76-4e70-bb45-0e68ca7efbd5"]}],"mendeley":{"formattedCitation":"&lt;sup&gt;14,16,17&lt;/sup&gt;","plainTextFormattedCitation":"14,16,17","previouslyFormattedCitation":"&lt;sup&gt;14,16,17&lt;/sup&gt;"},"properties":{"noteIndex":0},"schema":"https://github.com/citation-style-language/schema/raw/master/csl-citation.json"}</w:instrText>
      </w:r>
      <w:r w:rsidR="002F737B" w:rsidRPr="007F6B31">
        <w:rPr>
          <w:rFonts w:ascii="Book Antiqua" w:hAnsi="Book Antiqua" w:cs="Arial"/>
          <w:sz w:val="24"/>
          <w:szCs w:val="24"/>
          <w:vertAlign w:val="superscript"/>
          <w:lang w:val="en-GB"/>
        </w:rPr>
        <w:fldChar w:fldCharType="separate"/>
      </w:r>
      <w:r w:rsidR="002F737B" w:rsidRPr="007F6B31">
        <w:rPr>
          <w:rFonts w:ascii="Book Antiqua" w:hAnsi="Book Antiqua" w:cs="Arial"/>
          <w:noProof/>
          <w:sz w:val="24"/>
          <w:szCs w:val="24"/>
          <w:vertAlign w:val="superscript"/>
          <w:lang w:val="en-GB"/>
        </w:rPr>
        <w:t>14,16,17</w:t>
      </w:r>
      <w:r w:rsidR="002F737B" w:rsidRPr="007F6B31">
        <w:rPr>
          <w:rFonts w:ascii="Book Antiqua" w:hAnsi="Book Antiqua" w:cs="Arial"/>
          <w:sz w:val="24"/>
          <w:szCs w:val="24"/>
          <w:vertAlign w:val="superscript"/>
          <w:lang w:val="en-GB"/>
        </w:rPr>
        <w:fldChar w:fldCharType="end"/>
      </w:r>
      <w:r w:rsidR="002F737B"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 xml:space="preserve">. </w:t>
      </w:r>
      <w:r w:rsidR="00857875" w:rsidRPr="007F6B31">
        <w:rPr>
          <w:rFonts w:ascii="Book Antiqua" w:hAnsi="Book Antiqua" w:cs="Arial"/>
          <w:color w:val="000000"/>
          <w:sz w:val="24"/>
          <w:szCs w:val="24"/>
          <w:shd w:val="clear" w:color="auto" w:fill="FFFFFF"/>
          <w:lang w:val="en-GB"/>
        </w:rPr>
        <w:t xml:space="preserve">Its </w:t>
      </w:r>
      <w:r w:rsidRPr="007F6B31">
        <w:rPr>
          <w:rFonts w:ascii="Book Antiqua" w:hAnsi="Book Antiqua" w:cs="Arial"/>
          <w:color w:val="000000"/>
          <w:sz w:val="24"/>
          <w:szCs w:val="24"/>
          <w:shd w:val="clear" w:color="auto" w:fill="FFFFFF"/>
          <w:lang w:val="en-GB"/>
        </w:rPr>
        <w:t>clinical manifestations are less well defined than</w:t>
      </w:r>
      <w:r w:rsidR="000A46C3" w:rsidRPr="007F6B31">
        <w:rPr>
          <w:rFonts w:ascii="Book Antiqua" w:hAnsi="Book Antiqua" w:cs="Arial"/>
          <w:color w:val="000000"/>
          <w:sz w:val="24"/>
          <w:szCs w:val="24"/>
          <w:shd w:val="clear" w:color="auto" w:fill="FFFFFF"/>
          <w:lang w:val="en-GB"/>
        </w:rPr>
        <w:t xml:space="preserve"> in</w:t>
      </w:r>
      <w:r w:rsidRPr="007F6B31">
        <w:rPr>
          <w:rFonts w:ascii="Book Antiqua" w:hAnsi="Book Antiqua" w:cs="Arial"/>
          <w:color w:val="000000"/>
          <w:sz w:val="24"/>
          <w:szCs w:val="24"/>
          <w:shd w:val="clear" w:color="auto" w:fill="FFFFFF"/>
          <w:lang w:val="en-GB"/>
        </w:rPr>
        <w:t xml:space="preserve"> Wolman disease and the diagnosis</w:t>
      </w:r>
      <w:r w:rsidR="000A46C3" w:rsidRPr="007F6B31">
        <w:rPr>
          <w:rFonts w:ascii="Book Antiqua" w:hAnsi="Book Antiqua" w:cs="Arial"/>
          <w:color w:val="000000"/>
          <w:sz w:val="24"/>
          <w:szCs w:val="24"/>
          <w:shd w:val="clear" w:color="auto" w:fill="FFFFFF"/>
          <w:lang w:val="en-GB"/>
        </w:rPr>
        <w:t xml:space="preserve"> of CESD</w:t>
      </w:r>
      <w:r w:rsidRPr="007F6B31">
        <w:rPr>
          <w:rFonts w:ascii="Book Antiqua" w:hAnsi="Book Antiqua" w:cs="Arial"/>
          <w:color w:val="000000"/>
          <w:sz w:val="24"/>
          <w:szCs w:val="24"/>
          <w:shd w:val="clear" w:color="auto" w:fill="FFFFFF"/>
          <w:lang w:val="en-GB"/>
        </w:rPr>
        <w:t xml:space="preserve"> is often incidental</w:t>
      </w:r>
      <w:r w:rsidR="002F737B" w:rsidRPr="007F6B31">
        <w:rPr>
          <w:rFonts w:ascii="Book Antiqua" w:hAnsi="Book Antiqua" w:cs="Arial"/>
          <w:color w:val="000000"/>
          <w:sz w:val="24"/>
          <w:szCs w:val="24"/>
          <w:shd w:val="clear" w:color="auto" w:fill="FFFFFF"/>
          <w:vertAlign w:val="superscript"/>
          <w:lang w:val="en-GB"/>
        </w:rPr>
        <w:t>[</w:t>
      </w:r>
      <w:r w:rsidR="002F737B" w:rsidRPr="007F6B31">
        <w:rPr>
          <w:rFonts w:ascii="Book Antiqua" w:hAnsi="Book Antiqua" w:cs="Arial"/>
          <w:color w:val="000000"/>
          <w:sz w:val="24"/>
          <w:szCs w:val="24"/>
          <w:shd w:val="clear" w:color="auto" w:fill="FFFFFF"/>
          <w:vertAlign w:val="superscript"/>
          <w:lang w:val="en-GB"/>
        </w:rPr>
        <w:fldChar w:fldCharType="begin" w:fldLock="1"/>
      </w:r>
      <w:r w:rsidR="002F737B" w:rsidRPr="007F6B31">
        <w:rPr>
          <w:rFonts w:ascii="Book Antiqua" w:hAnsi="Book Antiqua" w:cs="Arial"/>
          <w:color w:val="000000"/>
          <w:sz w:val="24"/>
          <w:szCs w:val="24"/>
          <w:shd w:val="clear" w:color="auto" w:fill="FFFFFF"/>
          <w:vertAlign w:val="superscript"/>
          <w:lang w:val="en-GB"/>
        </w:rPr>
        <w:instrText>ADDIN CSL_CITATION {"citationItems":[{"id":"ITEM-1","itemData":{"DOI":"10.1016/j.ymgme.2009.02.007","ISSN":"1096-7206 (Electronic)","PMID":"19307143","abstract":"Cholesteryl Ester Storage Disease (CESD) is a rare recessive disorder due to mutations in LIPA gene encoding the lysosomal acidic lipase (LAL). CESD patients have liver disease associated with mixed hyperlipidemia and low plasma levels of high-density lipoproteins (HDL). The aim of this study was the molecular characterization of three patients with CESD. LAL activity was measured in blood leukocytes. In two patients (twin sisters) the clinical diagnosis of CESD was made at 9 years of age, following the fortuitous discovery of elevated serum liver enzymes in apparently healthy children. They had mixed hyperlipidemia, hepatosplenomegaly, reduced LAL activity (approximately 5% of control) and heteroalleic mutations in LIPA gene coding sequence: (i) the common c.894 G&gt;A mutation and (ii) a novel nonsense mutation c.652 C&gt;T (p.R218X). The other patient was an 80 year-old female who for several years had been treated with simvastatin because of severe hyperlipidemia associated with low plasma HDL. In this patient the sequence of major candidate genes for monogenic hypercholesterolemia and hypoalphalipoproteinemia was negative. She was found to be a compound heterozygote for two LIPA gene mutations resulting in 5% LAL activity: (i) c.894 G&gt;A and (ii) a novel complex insertion/deletion leading to a premature termination codon at position 82. These findings suggest that, in view of the variable severity of its phenotypic expression, CESD may sometimes be difficult to diagnose, but it should be considered in patients with severe type IIb hyperlipidemia associated with low HDL, mildly elevated serum liver enzymes and hepatomegaly.","author":[{"dropping-particle":"","family":"Pisciotta","given":"Livia","non-dropping-particle":"","parse-names":false,"suffix":""},{"dropping-particle":"","family":"Fresa","given":"Raffaele","non-dropping-particle":"","parse-names":false,"suffix":""},{"dropping-particle":"","family":"Bellocchio","given":"Antonella","non-dropping-particle":"","parse-names":false,"suffix":""},{"dropping-particle":"","family":"Pino","given":"Elisabetta","non-dropping-particle":"","parse-names":false,"suffix":""},{"dropping-particle":"","family":"Guido","given":"Virgilia","non-dropping-particle":"","parse-names":false,"suffix":""},{"dropping-particle":"","family":"Cantafora","given":"Alfredo","non-dropping-particle":"","parse-names":false,"suffix":""},{"dropping-particle":"","family":"Rocco","given":"Maja","non-dropping-particle":"Di","parse-names":false,"suffix":""},{"dropping-particle":"","family":"Calandra","given":"Sebastiano","non-dropping-particle":"","parse-names":false,"suffix":""},{"dropping-particle":"","family":"Bertolini","given":"Stefano","non-dropping-particle":"","parse-names":false,"suffix":""}],"container-title":"Molecular genetics and metabolism","id":"ITEM-1","issue":"2","issued":{"date-parts":[["2009","6"]]},"language":"eng","page":"143-148","publisher-place":"United States","title":"Cholesteryl Ester Storage Disease (CESD) due to novel mutations in the LIPA gene.","type":"article-journal","volume":"97"},"uris":["http://www.mendeley.com/documents/?uuid=e938e8bd-9adc-4801-a960-ca29fe437b20"]}],"mendeley":{"formattedCitation":"&lt;sup&gt;12&lt;/sup&gt;","plainTextFormattedCitation":"12","previouslyFormattedCitation":"&lt;sup&gt;12&lt;/sup&gt;"},"properties":{"noteIndex":0},"schema":"https://github.com/citation-style-language/schema/raw/master/csl-citation.json"}</w:instrText>
      </w:r>
      <w:r w:rsidR="002F737B" w:rsidRPr="007F6B31">
        <w:rPr>
          <w:rFonts w:ascii="Book Antiqua" w:hAnsi="Book Antiqua" w:cs="Arial"/>
          <w:color w:val="000000"/>
          <w:sz w:val="24"/>
          <w:szCs w:val="24"/>
          <w:shd w:val="clear" w:color="auto" w:fill="FFFFFF"/>
          <w:vertAlign w:val="superscript"/>
          <w:lang w:val="en-GB"/>
        </w:rPr>
        <w:fldChar w:fldCharType="separate"/>
      </w:r>
      <w:r w:rsidR="002F737B" w:rsidRPr="007F6B31">
        <w:rPr>
          <w:rFonts w:ascii="Book Antiqua" w:hAnsi="Book Antiqua" w:cs="Arial"/>
          <w:noProof/>
          <w:color w:val="000000"/>
          <w:sz w:val="24"/>
          <w:szCs w:val="24"/>
          <w:shd w:val="clear" w:color="auto" w:fill="FFFFFF"/>
          <w:vertAlign w:val="superscript"/>
          <w:lang w:val="en-GB"/>
        </w:rPr>
        <w:t>12</w:t>
      </w:r>
      <w:r w:rsidR="002F737B" w:rsidRPr="007F6B31">
        <w:rPr>
          <w:rFonts w:ascii="Book Antiqua" w:hAnsi="Book Antiqua" w:cs="Arial"/>
          <w:color w:val="000000"/>
          <w:sz w:val="24"/>
          <w:szCs w:val="24"/>
          <w:shd w:val="clear" w:color="auto" w:fill="FFFFFF"/>
          <w:vertAlign w:val="superscript"/>
          <w:lang w:val="en-GB"/>
        </w:rPr>
        <w:fldChar w:fldCharType="end"/>
      </w:r>
      <w:r w:rsidR="002F737B" w:rsidRPr="007F6B31">
        <w:rPr>
          <w:rFonts w:ascii="Book Antiqua" w:hAnsi="Book Antiqua" w:cs="Arial"/>
          <w:color w:val="000000"/>
          <w:sz w:val="24"/>
          <w:szCs w:val="24"/>
          <w:shd w:val="clear" w:color="auto" w:fill="FFFFFF"/>
          <w:vertAlign w:val="superscript"/>
          <w:lang w:val="en-GB"/>
        </w:rPr>
        <w:t>]</w:t>
      </w:r>
      <w:r w:rsidRPr="007F6B31">
        <w:rPr>
          <w:rFonts w:ascii="Book Antiqua" w:hAnsi="Book Antiqua" w:cs="Arial"/>
          <w:color w:val="000000"/>
          <w:sz w:val="24"/>
          <w:szCs w:val="24"/>
          <w:shd w:val="clear" w:color="auto" w:fill="FFFFFF"/>
          <w:lang w:val="en-GB"/>
        </w:rPr>
        <w:t xml:space="preserve">. </w:t>
      </w:r>
      <w:r w:rsidRPr="007F6B31">
        <w:rPr>
          <w:rFonts w:ascii="Book Antiqua" w:hAnsi="Book Antiqua" w:cs="Arial"/>
          <w:sz w:val="24"/>
          <w:szCs w:val="24"/>
          <w:lang w:val="en-GB"/>
        </w:rPr>
        <w:t>Abnormal lipid accumulation occurs in the liver, spleen, adrenal glands, lymph nodes, intestinal mucosa, vascular endothelium, and skeletal muscle.</w:t>
      </w:r>
      <w:r w:rsidRPr="007F6B31">
        <w:rPr>
          <w:rFonts w:ascii="Book Antiqua" w:hAnsi="Book Antiqua" w:cs="Arial"/>
          <w:color w:val="505050"/>
          <w:sz w:val="24"/>
          <w:szCs w:val="24"/>
          <w:lang w:val="en-GB"/>
        </w:rPr>
        <w:t xml:space="preserve"> </w:t>
      </w:r>
      <w:r w:rsidRPr="007F6B31">
        <w:rPr>
          <w:rFonts w:ascii="Book Antiqua" w:hAnsi="Book Antiqua" w:cs="Arial"/>
          <w:color w:val="000000"/>
          <w:sz w:val="24"/>
          <w:szCs w:val="24"/>
          <w:shd w:val="clear" w:color="auto" w:fill="FFFFFF"/>
          <w:lang w:val="en-GB"/>
        </w:rPr>
        <w:t>Lipid abnormalities are common, and patients may present early signs of atherosclerosis</w:t>
      </w:r>
      <w:r w:rsidR="000A46C3" w:rsidRPr="007F6B31">
        <w:rPr>
          <w:rFonts w:ascii="Book Antiqua" w:hAnsi="Book Antiqua" w:cs="Arial"/>
          <w:color w:val="000000"/>
          <w:sz w:val="24"/>
          <w:szCs w:val="24"/>
          <w:shd w:val="clear" w:color="auto" w:fill="FFFFFF"/>
          <w:lang w:val="en-GB"/>
        </w:rPr>
        <w:t>,</w:t>
      </w:r>
      <w:r w:rsidRPr="007F6B31">
        <w:rPr>
          <w:rFonts w:ascii="Book Antiqua" w:hAnsi="Book Antiqua" w:cs="Arial"/>
          <w:color w:val="000000"/>
          <w:sz w:val="24"/>
          <w:szCs w:val="24"/>
          <w:shd w:val="clear" w:color="auto" w:fill="FFFFFF"/>
          <w:lang w:val="en-GB"/>
        </w:rPr>
        <w:t xml:space="preserve"> including presence of m</w:t>
      </w:r>
      <w:r w:rsidRPr="007F6B31">
        <w:rPr>
          <w:rFonts w:ascii="Book Antiqua" w:hAnsi="Book Antiqua" w:cs="Arial"/>
          <w:color w:val="000000"/>
          <w:sz w:val="24"/>
          <w:szCs w:val="24"/>
          <w:lang w:val="en-GB"/>
        </w:rPr>
        <w:t>acrophage foam cells when cholesteryl ester accumulates in foam cell lysosomes</w:t>
      </w:r>
      <w:r w:rsidR="002F737B" w:rsidRPr="007F6B31">
        <w:rPr>
          <w:rFonts w:ascii="Book Antiqua" w:hAnsi="Book Antiqua" w:cs="Arial"/>
          <w:color w:val="000000"/>
          <w:sz w:val="24"/>
          <w:szCs w:val="24"/>
          <w:vertAlign w:val="superscript"/>
          <w:lang w:val="en-GB"/>
        </w:rPr>
        <w:t>[</w:t>
      </w:r>
      <w:r w:rsidR="002F737B" w:rsidRPr="007F6B31">
        <w:rPr>
          <w:rFonts w:ascii="Book Antiqua" w:hAnsi="Book Antiqua" w:cs="Arial"/>
          <w:color w:val="000000"/>
          <w:sz w:val="24"/>
          <w:szCs w:val="24"/>
          <w:vertAlign w:val="superscript"/>
          <w:lang w:val="en-GB"/>
        </w:rPr>
        <w:fldChar w:fldCharType="begin" w:fldLock="1"/>
      </w:r>
      <w:r w:rsidR="002F737B" w:rsidRPr="007F6B31">
        <w:rPr>
          <w:rFonts w:ascii="Book Antiqua" w:hAnsi="Book Antiqua" w:cs="Arial"/>
          <w:color w:val="000000"/>
          <w:sz w:val="24"/>
          <w:szCs w:val="24"/>
          <w:vertAlign w:val="superscript"/>
          <w:lang w:val="en-GB"/>
        </w:rPr>
        <w:instrText>ADDIN CSL_CITATION {"citationItems":[{"id":"ITEM-1","itemData":{"DOI":"10.1016/j.clinbiochem.2018.02.008","ISSN":"18732933","PMID":"29452073","abstract":"Obesity is one of the major public health concerns that is closely associated with obesity-related disorders such as type 2 diabetes mellitus (T2DM), hypertension, and atherosclerosis. Atherosclerosis is a chronic disease characterized by excess cholesterol deposition in the arterial intima and the formation of foam cells. Adipocytokines or adipokines are secreted by the adipose tissue as endocrine glands; adiponectin and adipolin are among these adipokines that are associated with obese and insulin-resistant phenotypes. Adipolin and adiponectin are cytokines that exert substantial impact on obesity, progression of atherosclerosis, insulin resistance, and glucose metabolism. In this paper, we review the formation of macrophage foam cells, which are associated with atherosclerosis, and the macrophage mechanism, which includes uptake, esterification, and release. We also summarize current information on adipose tissue-derived hormone and energy homeostasis in obesity. Finally, the role of adipokines, e.g., adipoline and adiponectin, in regulating metabolic, cardiovascular diseases is discussed.","author":[{"dropping-particle":"","family":"Sargolzaei","given":"Javad","non-dropping-particle":"","parse-names":false,"suffix":""},{"dropping-particle":"","family":"Chamani","given":"Elham","non-dropping-particle":"","parse-names":false,"suffix":""},{"dropping-particle":"","family":"Kazemi","given":"Tooba","non-dropping-particle":"","parse-names":false,"suffix":""},{"dropping-particle":"","family":"Fallah","given":"Soudabeh","non-dropping-particle":"","parse-names":false,"suffix":""},{"dropping-particle":"","family":"Soori","given":"Hosna","non-dropping-particle":"","parse-names":false,"suffix":""}],"container-title":"Clinical Biochemistry","id":"ITEM-1","issued":{"date-parts":[["2018","2"]]},"language":"eng","page":"1-10","publisher-place":"United States","title":"The role of adiponectin and adipolin as anti-inflammatory adipokines in the formation of macrophage foam cells and their association with cardiovascular diseases","type":"article","volume":"54"},"uris":["http://www.mendeley.com/documents/?uuid=d13496e4-72d4-48f2-aea3-622cd7083454"]}],"mendeley":{"formattedCitation":"&lt;sup&gt;18&lt;/sup&gt;","plainTextFormattedCitation":"18","previouslyFormattedCitation":"&lt;sup&gt;18&lt;/sup&gt;"},"properties":{"noteIndex":0},"schema":"https://github.com/citation-style-language/schema/raw/master/csl-citation.json"}</w:instrText>
      </w:r>
      <w:r w:rsidR="002F737B" w:rsidRPr="007F6B31">
        <w:rPr>
          <w:rFonts w:ascii="Book Antiqua" w:hAnsi="Book Antiqua" w:cs="Arial"/>
          <w:color w:val="000000"/>
          <w:sz w:val="24"/>
          <w:szCs w:val="24"/>
          <w:vertAlign w:val="superscript"/>
          <w:lang w:val="en-GB"/>
        </w:rPr>
        <w:fldChar w:fldCharType="separate"/>
      </w:r>
      <w:r w:rsidR="002F737B" w:rsidRPr="007F6B31">
        <w:rPr>
          <w:rFonts w:ascii="Book Antiqua" w:hAnsi="Book Antiqua" w:cs="Arial"/>
          <w:noProof/>
          <w:color w:val="000000"/>
          <w:sz w:val="24"/>
          <w:szCs w:val="24"/>
          <w:vertAlign w:val="superscript"/>
          <w:lang w:val="en-GB"/>
        </w:rPr>
        <w:t>18</w:t>
      </w:r>
      <w:r w:rsidR="002F737B" w:rsidRPr="007F6B31">
        <w:rPr>
          <w:rFonts w:ascii="Book Antiqua" w:hAnsi="Book Antiqua" w:cs="Arial"/>
          <w:color w:val="000000"/>
          <w:sz w:val="24"/>
          <w:szCs w:val="24"/>
          <w:vertAlign w:val="superscript"/>
          <w:lang w:val="en-GB"/>
        </w:rPr>
        <w:fldChar w:fldCharType="end"/>
      </w:r>
      <w:r w:rsidR="002F737B" w:rsidRPr="007F6B31">
        <w:rPr>
          <w:rFonts w:ascii="Book Antiqua" w:hAnsi="Book Antiqua" w:cs="Arial"/>
          <w:color w:val="000000"/>
          <w:sz w:val="24"/>
          <w:szCs w:val="24"/>
          <w:vertAlign w:val="superscript"/>
          <w:lang w:val="en-GB"/>
        </w:rPr>
        <w:t>]</w:t>
      </w:r>
      <w:r w:rsidRPr="007F6B31">
        <w:rPr>
          <w:rFonts w:ascii="Book Antiqua" w:hAnsi="Book Antiqua" w:cs="Arial"/>
          <w:color w:val="000000"/>
          <w:sz w:val="24"/>
          <w:szCs w:val="24"/>
          <w:lang w:val="en-GB"/>
        </w:rPr>
        <w:t xml:space="preserve">. </w:t>
      </w:r>
      <w:r w:rsidRPr="007F6B31">
        <w:rPr>
          <w:rFonts w:ascii="Book Antiqua" w:hAnsi="Book Antiqua" w:cs="Arial"/>
          <w:sz w:val="24"/>
          <w:szCs w:val="24"/>
          <w:lang w:val="en-GB"/>
        </w:rPr>
        <w:t>CESD leads to progressive liver damage with cirrhosis and liver failure</w:t>
      </w:r>
      <w:r w:rsidR="000A46C3" w:rsidRPr="007F6B31">
        <w:rPr>
          <w:rFonts w:ascii="Book Antiqua" w:hAnsi="Book Antiqua" w:cs="Arial"/>
          <w:sz w:val="24"/>
          <w:szCs w:val="24"/>
          <w:lang w:val="en-GB"/>
        </w:rPr>
        <w:t>,</w:t>
      </w:r>
      <w:r w:rsidRPr="007F6B31">
        <w:rPr>
          <w:rFonts w:ascii="Book Antiqua" w:hAnsi="Book Antiqua" w:cs="Arial"/>
          <w:sz w:val="24"/>
          <w:szCs w:val="24"/>
          <w:lang w:val="en-GB"/>
        </w:rPr>
        <w:t xml:space="preserve"> as well as atherosclerosis with a risk of stroke, heart disease and aneurysms</w:t>
      </w:r>
      <w:r w:rsidR="002F737B" w:rsidRPr="007F6B31">
        <w:rPr>
          <w:rFonts w:ascii="Book Antiqua" w:hAnsi="Book Antiqua" w:cs="Arial"/>
          <w:sz w:val="24"/>
          <w:szCs w:val="24"/>
          <w:vertAlign w:val="superscript"/>
          <w:lang w:val="en-GB"/>
        </w:rPr>
        <w:t>[</w:t>
      </w:r>
      <w:r w:rsidR="002F737B" w:rsidRPr="007F6B31">
        <w:rPr>
          <w:rFonts w:ascii="Book Antiqua" w:hAnsi="Book Antiqua" w:cs="Arial"/>
          <w:sz w:val="24"/>
          <w:szCs w:val="24"/>
          <w:vertAlign w:val="superscript"/>
          <w:lang w:val="en-GB"/>
        </w:rPr>
        <w:fldChar w:fldCharType="begin" w:fldLock="1"/>
      </w:r>
      <w:r w:rsidR="002F737B" w:rsidRPr="007F6B31">
        <w:rPr>
          <w:rFonts w:ascii="Book Antiqua" w:hAnsi="Book Antiqua" w:cs="Arial"/>
          <w:sz w:val="24"/>
          <w:szCs w:val="24"/>
          <w:vertAlign w:val="superscript"/>
          <w:lang w:val="en-GB"/>
        </w:rPr>
        <w:instrText>ADDIN CSL_CITATION {"citationItems":[{"id":"ITEM-1","itemData":{"ISSN":"1565-4753 (Print)","PMID":"25345094","abstract":"Lysosomal acid lipase (LAL) is responsible for the hydrolysis of cholesterol esters and triglycerides. LAL is coded by the LIPA gene on chromosome 10q23.31. Its deficiency leads to two autosomal recessive disorders, Wolman disease (WD) and Cholesteryl Ester Storage Disease (CESD). WD has an estimated incidence of 1 in 500,000 live births and is the result of a complete loss of LAL and presents in infancy with vomiting, diarrhea, poor weight gain and hepatomegaly subsequently leading to death. CESD is the result of partial loss of LAL and its presentation is more variable. Patients may be asymptomatic or present with nonspecific gastrointestinal symptoms, hepatomegaly, elevated transaminases and dystipidemia which may be confused with the diagnosis of Non-alcoholic Fatty Liver Disease. CESD is currently underdiagnosed and has an estimated prevalence as high as I in 40,000 individuals. Radiologic findings in WD is calcification of the adrenal glands. Hepatomegaly is noted on CT scan in both WD and CESD. MRI may demonstrate accumulation of cholesterol esters and may be useful to study effects of potential medical therapies. The diagnosis of WD and CESD is based on LIPA gene sequencing and the measurement of LAL levels in peripheral blood leukocytes. Treatment of LAL deficiency is currently limited to control of cholesterol levels and to prevent premature atherosclerosis. Use of enzyme replacement therapy with recombinant human LAL in short-term studies has shown to be safe and effective.","author":[{"dropping-particle":"","family":"Porto","given":"Anthony F","non-dropping-particle":"","parse-names":false,"suffix":""}],"container-title":"Pediatric endocrinology reviews : PER","id":"ITEM-1","issued":{"date-parts":[["2014","9"]]},"language":"eng","page":"125-132","publisher-place":"Israel","title":"Lysosomal acid lipase deficiency: diagnosis and treatment of Wolman and Cholesteryl Ester Storage Diseases.","type":"article-journal","volume":"12 Suppl 1"},"uris":["http://www.mendeley.com/documents/?uuid=0f2b1734-1f76-4e70-bb45-0e68ca7efbd5"]},{"id":"ITEM-2","itemData":{"DOI":"10.1016/j.ymgme.2009.02.007","ISSN":"1096-7206 (Electronic)","PMID":"19307143","abstract":"Cholesteryl Ester Storage Disease (CESD) is a rare recessive disorder due to mutations in LIPA gene encoding the lysosomal acidic lipase (LAL). CESD patients have liver disease associated with mixed hyperlipidemia and low plasma levels of high-density lipoproteins (HDL). The aim of this study was the molecular characterization of three patients with CESD. LAL activity was measured in blood leukocytes. In two patients (twin sisters) the clinical diagnosis of CESD was made at 9 years of age, following the fortuitous discovery of elevated serum liver enzymes in apparently healthy children. They had mixed hyperlipidemia, hepatosplenomegaly, reduced LAL activity (approximately 5% of control) and heteroalleic mutations in LIPA gene coding sequence: (i) the common c.894 G&gt;A mutation and (ii) a novel nonsense mutation c.652 C&gt;T (p.R218X). The other patient was an 80 year-old female who for several years had been treated with simvastatin because of severe hyperlipidemia associated with low plasma HDL. In this patient the sequence of major candidate genes for monogenic hypercholesterolemia and hypoalphalipoproteinemia was negative. She was found to be a compound heterozygote for two LIPA gene mutations resulting in 5% LAL activity: (i) c.894 G&gt;A and (ii) a novel complex insertion/deletion leading to a premature termination codon at position 82. These findings suggest that, in view of the variable severity of its phenotypic expression, CESD may sometimes be difficult to diagnose, but it should be considered in patients with severe type IIb hyperlipidemia associated with low HDL, mildly elevated serum liver enzymes and hepatomegaly.","author":[{"dropping-particle":"","family":"Pisciotta","given":"Livia","non-dropping-particle":"","parse-names":false,"suffix":""},{"dropping-particle":"","family":"Fresa","given":"Raffaele","non-dropping-particle":"","parse-names":false,"suffix":""},{"dropping-particle":"","family":"Bellocchio","given":"Antonella","non-dropping-particle":"","parse-names":false,"suffix":""},{"dropping-particle":"","family":"Pino","given":"Elisabetta","non-dropping-particle":"","parse-names":false,"suffix":""},{"dropping-particle":"","family":"Guido","given":"Virgilia","non-dropping-particle":"","parse-names":false,"suffix":""},{"dropping-particle":"","family":"Cantafora","given":"Alfredo","non-dropping-particle":"","parse-names":false,"suffix":""},{"dropping-particle":"","family":"Rocco","given":"Maja","non-dropping-particle":"Di","parse-names":false,"suffix":""},{"dropping-particle":"","family":"Calandra","given":"Sebastiano","non-dropping-particle":"","parse-names":false,"suffix":""},{"dropping-particle":"","family":"Bertolini","given":"Stefano","non-dropping-particle":"","parse-names":false,"suffix":""}],"container-title":"Molecular genetics and metabolism","id":"ITEM-2","issue":"2","issued":{"date-parts":[["2009","6"]]},"language":"eng","page":"143-148","publisher-place":"United States","title":"Cholesteryl Ester Storage Disease (CESD) due to novel mutations in the LIPA gene.","type":"article-journal","volume":"97"},"uris":["http://www.mendeley.com/documents/?uuid=e938e8bd-9adc-4801-a960-ca29fe437b20"]},{"id":"ITEM-3","itemData":{"DOI":"10.1016/S2468-1253(17)30052-3","ISSN":"24681253","PMID":"28786388","abstract":"Lysosomal acid lipase deficiency is a rare, autosomal recessive condition caused by mutations in the gene encoding lysosomal acid lipase (LIPA) that result in reduced or absent activity of this essential enzyme. The severity of the resulting disease depends on the nature of the underlying mutation and magnitude of its effect on enzymatic function. Wolman's disease is a severe disorder that presents during infancy, resulting in failure to thrive, hepatomegaly, and hepatic failure, and an average life expectancy of less than 4 months. Cholesteryl ester storage disorder arises later in life and is less severe, although the two diseases share many common features, including dyslipidaemia and transaminitis. The prevalence of these diseases has been estimated at one in 40 000 to 300 000, but many cases are undiagnosed and unreported, and awareness among clinicians is low. Lysosomal acid lipase deficiency-which can be diagnosed using dry blood spot testing-is often misdiagnosed as non-alcoholic fatty liver disease (NAFLD), non-alcoholic steatohepatitis (NASH), hereditary dyslipidaemia, or cryptogenic cirrhosis. There are no formal guidelines for treatment of these patients, and treatment options are limited. In this Review we appraise the existing literature on Wolman's disease and cholesteryl ester storage disease, and discuss available treatments, including enzyme replacement therapy, oral lipid-lowering therapy, stem-cell transplantation, and liver transplantation.","author":[{"dropping-particle":"","family":"Pericleous","given":"Marinos","non-dropping-particle":"","parse-names":false,"suffix":""},{"dropping-particle":"","family":"Kelly","given":"Claire","non-dropping-particle":"","parse-names":false,"suffix":""},{"dropping-particle":"","family":"Wang","given":"Tim","non-dropping-particle":"","parse-names":false,"suffix":""},{"dropping-particle":"","family":"Livingstone","given":"Callum","non-dropping-particle":"","parse-names":false,"suffix":""},{"dropping-particle":"","family":"Ala","given":"Aftab","non-dropping-particle":"","parse-names":false,"suffix":""}],"container-title":"The Lancet Gastroenterology &amp; Hepatology","id":"ITEM-3","issue":"9","issued":{"date-parts":[["2017","9"]]},"page":"670-679","title":"Wolman's disease and cholesteryl ester storage disorder: the phenotypic spectrum of lysosomal acid lipase deficiency","type":"article-journal","volume":"2"},"uris":["http://www.mendeley.com/documents/?uuid=4e6d3327-443d-4606-8a92-5b706e8b5c52"]},{"id":"ITEM-4","itemData":{"DOI":"10.1016/j.jhep.2013.02.014","ISBN":"0168-8278","ISSN":"01688278","PMID":"23485521","abstract":"Cholesteryl ester storage disease (CESD) is caused by deficient lysosomal acid lipase (LAL) activity, predominantly resulting in cholesteryl ester (CE) accumulation, particularly in the liver, spleen, and macrophages throughout the body. The disease is characterized by microvesicular steatosis leading to liver failure, accelerated atherosclerosis and premature demise. Although CESD is rare, it is likely that many patients are unrecognized or misdiagnosed. Here, the findings in 135 CESD patients described in the literature are reviewed. Diagnoses were based on liver biopsies, LAL deficiency and/or LAL gene (LIPA) mutations. Hepatomegaly was present in 99.3% of patients; 74% also had splenomegaly. When reported, most patients had elevated serum total cholesterol, LDL-cholesterol, triglycerides, and transaminases (AST, ALT, or both), while HDL-cholesterol was decreased. All 112 liver biopsied patients had the characteristic pathology, which is progressive, and includes microvesicular steatosis, which leads to fibrosis, micronodular cirrhosis, and ultimately to liver failure. Pathognomonic birefringent CE crystals or their remnant clefts were observed in hepatic cells. Extrahepatic manifestations included portal hypertension, esophageal varices, and accelerated atherosclerosis. Liver failure in 17 reported patients resulted in liver transplantation and/or death. Genotyping identified 31 LIPA mutations in 55 patients; 61% of mutations were the common exon 8 splice-junction mutation (E8SJM-1G&gt;A), for which 18 patients were homozygous. Genotype/phenotype correlations were limited; however, E8SJM-1G&gt;Ahomozygotes typically had early-onset, slowly progressive disease. Supportive treatment included cholestyramine, statins, and, ultimately, liver transplantation. Recombinant LAL replacement was shown to be effective in animal models, and recently, a phase I/II clinical trial demonstrated its safety and indicated its potential metabolic efficacy. © 2013 European Association for the Study of the Liver. Published by Elsevier B.V. All rights reserved.","author":[{"dropping-particle":"","family":"Bernstein","given":"Donna L.","non-dropping-particle":"","parse-names":false,"suffix":""},{"dropping-particle":"","family":"Hülkova","given":"Helena","non-dropping-particle":"","parse-names":false,"suffix":""},{"dropping-particle":"","family":"Bialer","given":"Martin G.","non-dropping-particle":"","parse-names":false,"suffix":""},{"dropping-particle":"","family":"Desnick","given":"Robert J.","non-dropping-particle":"","parse-names":false,"suffix":""}],"container-title":"Journal of Hepatology","id":"ITEM-4","issue":"6","issued":{"date-parts":[["2013","6"]]},"page":"1230-1243","title":"Cholesteryl ester storage disease: Review of the findings in 135 reported patients with an underdiagnosed disease","type":"article-journal","volume":"58"},"uris":["http://www.mendeley.com/documents/?uuid=9be8b44a-fd42-4812-ab39-722fe7bdc933"]}],"mendeley":{"formattedCitation":"&lt;sup&gt;12,14–16&lt;/sup&gt;","plainTextFormattedCitation":"12,14–16","previouslyFormattedCitation":"&lt;sup&gt;12,14–16&lt;/sup&gt;"},"properties":{"noteIndex":0},"schema":"https://github.com/citation-style-language/schema/raw/master/csl-citation.json"}</w:instrText>
      </w:r>
      <w:r w:rsidR="002F737B" w:rsidRPr="007F6B31">
        <w:rPr>
          <w:rFonts w:ascii="Book Antiqua" w:hAnsi="Book Antiqua" w:cs="Arial"/>
          <w:sz w:val="24"/>
          <w:szCs w:val="24"/>
          <w:vertAlign w:val="superscript"/>
          <w:lang w:val="en-GB"/>
        </w:rPr>
        <w:fldChar w:fldCharType="separate"/>
      </w:r>
      <w:r w:rsidR="002F737B" w:rsidRPr="007F6B31">
        <w:rPr>
          <w:rFonts w:ascii="Book Antiqua" w:hAnsi="Book Antiqua" w:cs="Arial"/>
          <w:noProof/>
          <w:sz w:val="24"/>
          <w:szCs w:val="24"/>
          <w:vertAlign w:val="superscript"/>
          <w:lang w:val="en-GB"/>
        </w:rPr>
        <w:t>12,14-16</w:t>
      </w:r>
      <w:r w:rsidR="002F737B" w:rsidRPr="007F6B31">
        <w:rPr>
          <w:rFonts w:ascii="Book Antiqua" w:hAnsi="Book Antiqua" w:cs="Arial"/>
          <w:sz w:val="24"/>
          <w:szCs w:val="24"/>
          <w:vertAlign w:val="superscript"/>
          <w:lang w:val="en-GB"/>
        </w:rPr>
        <w:fldChar w:fldCharType="end"/>
      </w:r>
      <w:r w:rsidR="002F737B"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 The disease is often misdiagnosed as non-alcoholic fatty liver disease, non-alcoholic steatohepatitis</w:t>
      </w:r>
      <w:r w:rsidR="000A46C3" w:rsidRPr="007F6B31">
        <w:rPr>
          <w:rFonts w:ascii="Book Antiqua" w:hAnsi="Book Antiqua" w:cs="Arial"/>
          <w:sz w:val="24"/>
          <w:szCs w:val="24"/>
          <w:lang w:val="en-GB"/>
        </w:rPr>
        <w:t>,</w:t>
      </w:r>
      <w:r w:rsidRPr="007F6B31">
        <w:rPr>
          <w:rFonts w:ascii="Book Antiqua" w:hAnsi="Book Antiqua" w:cs="Arial"/>
          <w:sz w:val="24"/>
          <w:szCs w:val="24"/>
          <w:lang w:val="en-GB"/>
        </w:rPr>
        <w:t xml:space="preserve"> or cryptogenic cirrhosis</w:t>
      </w:r>
      <w:r w:rsidR="002F737B" w:rsidRPr="007F6B31">
        <w:rPr>
          <w:rFonts w:ascii="Book Antiqua" w:hAnsi="Book Antiqua" w:cs="Arial"/>
          <w:sz w:val="24"/>
          <w:szCs w:val="24"/>
          <w:vertAlign w:val="superscript"/>
          <w:lang w:val="en-GB"/>
        </w:rPr>
        <w:t>[</w:t>
      </w:r>
      <w:r w:rsidR="002F737B" w:rsidRPr="007F6B31">
        <w:rPr>
          <w:rFonts w:ascii="Book Antiqua" w:hAnsi="Book Antiqua" w:cs="Arial"/>
          <w:sz w:val="24"/>
          <w:szCs w:val="24"/>
          <w:vertAlign w:val="superscript"/>
          <w:lang w:val="en-GB"/>
        </w:rPr>
        <w:fldChar w:fldCharType="begin" w:fldLock="1"/>
      </w:r>
      <w:r w:rsidR="002F737B" w:rsidRPr="007F6B31">
        <w:rPr>
          <w:rFonts w:ascii="Book Antiqua" w:hAnsi="Book Antiqua" w:cs="Arial"/>
          <w:sz w:val="24"/>
          <w:szCs w:val="24"/>
          <w:vertAlign w:val="superscript"/>
          <w:lang w:val="en-GB"/>
        </w:rPr>
        <w:instrText>ADDIN CSL_CITATION {"citationItems":[{"id":"ITEM-1","itemData":{"DOI":"10.1016/S2468-1253(17)30052-3","ISSN":"24681253","PMID":"28786388","abstract":"Lysosomal acid lipase deficiency is a rare, autosomal recessive condition caused by mutations in the gene encoding lysosomal acid lipase (LIPA) that result in reduced or absent activity of this essential enzyme. The severity of the resulting disease depends on the nature of the underlying mutation and magnitude of its effect on enzymatic function. Wolman's disease is a severe disorder that presents during infancy, resulting in failure to thrive, hepatomegaly, and hepatic failure, and an average life expectancy of less than 4 months. Cholesteryl ester storage disorder arises later in life and is less severe, although the two diseases share many common features, including dyslipidaemia and transaminitis. The prevalence of these diseases has been estimated at one in 40 000 to 300 000, but many cases are undiagnosed and unreported, and awareness among clinicians is low. Lysosomal acid lipase deficiency-which can be diagnosed using dry blood spot testing-is often misdiagnosed as non-alcoholic fatty liver disease (NAFLD), non-alcoholic steatohepatitis (NASH), hereditary dyslipidaemia, or cryptogenic cirrhosis. There are no formal guidelines for treatment of these patients, and treatment options are limited. In this Review we appraise the existing literature on Wolman's disease and cholesteryl ester storage disease, and discuss available treatments, including enzyme replacement therapy, oral lipid-lowering therapy, stem-cell transplantation, and liver transplantation.","author":[{"dropping-particle":"","family":"Pericleous","given":"Marinos","non-dropping-particle":"","parse-names":false,"suffix":""},{"dropping-particle":"","family":"Kelly","given":"Claire","non-dropping-particle":"","parse-names":false,"suffix":""},{"dropping-particle":"","family":"Wang","given":"Tim","non-dropping-particle":"","parse-names":false,"suffix":""},{"dropping-particle":"","family":"Livingstone","given":"Callum","non-dropping-particle":"","parse-names":false,"suffix":""},{"dropping-particle":"","family":"Ala","given":"Aftab","non-dropping-particle":"","parse-names":false,"suffix":""}],"container-title":"The Lancet Gastroenterology &amp; Hepatology","id":"ITEM-1","issue":"9","issued":{"date-parts":[["2017","9"]]},"page":"670-679","title":"Wolman's disease and cholesteryl ester storage disorder: the phenotypic spectrum of lysosomal acid lipase deficiency","type":"article-journal","volume":"2"},"uris":["http://www.mendeley.com/documents/?uuid=4e6d3327-443d-4606-8a92-5b706e8b5c52"]}],"mendeley":{"formattedCitation":"&lt;sup&gt;15&lt;/sup&gt;","plainTextFormattedCitation":"15","previouslyFormattedCitation":"&lt;sup&gt;15&lt;/sup&gt;"},"properties":{"noteIndex":0},"schema":"https://github.com/citation-style-language/schema/raw/master/csl-citation.json"}</w:instrText>
      </w:r>
      <w:r w:rsidR="002F737B" w:rsidRPr="007F6B31">
        <w:rPr>
          <w:rFonts w:ascii="Book Antiqua" w:hAnsi="Book Antiqua" w:cs="Arial"/>
          <w:sz w:val="24"/>
          <w:szCs w:val="24"/>
          <w:vertAlign w:val="superscript"/>
          <w:lang w:val="en-GB"/>
        </w:rPr>
        <w:fldChar w:fldCharType="separate"/>
      </w:r>
      <w:r w:rsidR="002F737B" w:rsidRPr="007F6B31">
        <w:rPr>
          <w:rFonts w:ascii="Book Antiqua" w:hAnsi="Book Antiqua" w:cs="Arial"/>
          <w:noProof/>
          <w:sz w:val="24"/>
          <w:szCs w:val="24"/>
          <w:vertAlign w:val="superscript"/>
          <w:lang w:val="en-GB"/>
        </w:rPr>
        <w:t>15</w:t>
      </w:r>
      <w:r w:rsidR="002F737B" w:rsidRPr="007F6B31">
        <w:rPr>
          <w:rFonts w:ascii="Book Antiqua" w:hAnsi="Book Antiqua" w:cs="Arial"/>
          <w:sz w:val="24"/>
          <w:szCs w:val="24"/>
          <w:vertAlign w:val="superscript"/>
          <w:lang w:val="en-GB"/>
        </w:rPr>
        <w:fldChar w:fldCharType="end"/>
      </w:r>
      <w:r w:rsidR="002F737B"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 xml:space="preserve">. In addition, patients with CESD may experience </w:t>
      </w:r>
      <w:r w:rsidRPr="007F6B31">
        <w:rPr>
          <w:rFonts w:ascii="Book Antiqua" w:hAnsi="Book Antiqua" w:cs="Arial"/>
          <w:sz w:val="24"/>
          <w:szCs w:val="24"/>
          <w:lang w:val="en-GB"/>
        </w:rPr>
        <w:lastRenderedPageBreak/>
        <w:t>gastrointestinal symptoms including diarrhoea, abdominal pain, and malabsorption</w:t>
      </w:r>
      <w:r w:rsidR="002F737B" w:rsidRPr="007F6B31">
        <w:rPr>
          <w:rFonts w:ascii="Book Antiqua" w:hAnsi="Book Antiqua" w:cs="Arial"/>
          <w:sz w:val="24"/>
          <w:szCs w:val="24"/>
          <w:vertAlign w:val="superscript"/>
          <w:lang w:val="en-GB"/>
        </w:rPr>
        <w:t>[</w:t>
      </w:r>
      <w:r w:rsidR="002F737B" w:rsidRPr="007F6B31">
        <w:rPr>
          <w:rFonts w:ascii="Book Antiqua" w:hAnsi="Book Antiqua" w:cs="Arial"/>
          <w:sz w:val="24"/>
          <w:szCs w:val="24"/>
          <w:vertAlign w:val="superscript"/>
          <w:lang w:val="en-GB"/>
        </w:rPr>
        <w:fldChar w:fldCharType="begin" w:fldLock="1"/>
      </w:r>
      <w:r w:rsidR="002F737B" w:rsidRPr="007F6B31">
        <w:rPr>
          <w:rFonts w:ascii="Book Antiqua" w:hAnsi="Book Antiqua" w:cs="Arial"/>
          <w:sz w:val="24"/>
          <w:szCs w:val="24"/>
          <w:vertAlign w:val="superscript"/>
          <w:lang w:val="en-GB"/>
        </w:rPr>
        <w:instrText>ADDIN CSL_CITATION {"citationItems":[{"id":"ITEM-1","itemData":{"DOI":"10.1016/j.atherosclerosis.2014.04.003","ISBN":"1879-1484 (Electronic)\\r0021-9150 (Linking)","ISSN":"18791484","PMID":"24792990","abstract":"Lysosomal acid lipase deficiency (LAL-D) is a rare autosomal recessive lysosomal storage disease caused by deleterious mutations in the LIPA gene. The age at onset and rate of progression vary greatly and this may relate to the nature of the underlying mutations. Patients presenting in infancy have the most rapidly progressive disease, developing signs and symptoms in the first weeks of life and rarely surviving beyond 6 months of age. Children and adults typically present with some combination of dyslipidaemia, hepatomegaly, elevated transaminases, and microvesicular hepatosteatosis on biopsy. Liver damage with progression to fibrosis, cirrhosis and liver failure occurs in a large proportion of patients. Elevated low-density lipoprotein cholesterol levels and decreased high-density lipoprotein cholesterol levels are common features, and cardiovascular disease may manifest as early as childhood. Given that these clinical manifestations are shared with other cardiovascular, liver and metabolic diseases, it is not surprising that LAL-D is under-recognized in clinical practice. This article provides practical guidance to lipidologists, endocrinologists, cardiologists and hepatologists on how to recognize individuals with this life-limiting disease. A diagnostic algorithm is proposed with a view to achieving definitive diagnosis using a recently developed blood test for lysosomal acid lipase. Finally, current management options are reviewed in light of the ongoing development of enzyme replacement therapy with sebelipase alfa (Synageva BioPharma Corp., Lexington, MA, USA), a recombinant human lysosomal acid lipase enzyme. © 2014 The Authors.","author":[{"dropping-particle":"","family":"Reiner","given":"Željko","non-dropping-particle":"","parse-names":false,"suffix":""},{"dropping-particle":"","family":"Guardamagna","given":"Ornella","non-dropping-particle":"","parse-names":false,"suffix":""},{"dropping-particle":"","family":"Nair","given":"Devaki","non-dropping-particle":"","parse-names":false,"suffix":""},{"dropping-particle":"","family":"Soran","given":"Handrean","non-dropping-particle":"","parse-names":false,"suffix":""},{"dropping-particle":"","family":"Hovingh","given":"Kees","non-dropping-particle":"","parse-names":false,"suffix":""},{"dropping-particle":"","family":"Bertolini","given":"Stefano","non-dropping-particle":"","parse-names":false,"suffix":""},{"dropping-particle":"","family":"Jones","given":"Simon","non-dropping-particle":"","parse-names":false,"suffix":""},{"dropping-particle":"","family":"Ćorić","given":"Marijana","non-dropping-particle":"","parse-names":false,"suffix":""},{"dropping-particle":"","family":"Calandra","given":"Sebastiano","non-dropping-particle":"","parse-names":false,"suffix":""},{"dropping-particle":"","family":"Hamilton","given":"John","non-dropping-particle":"","parse-names":false,"suffix":""},{"dropping-particle":"","family":"Eagleton","given":"Terence","non-dropping-particle":"","parse-names":false,"suffix":""},{"dropping-particle":"","family":"Ros","given":"Emilio","non-dropping-particle":"","parse-names":false,"suffix":""}],"container-title":"Atherosclerosis","id":"ITEM-1","issue":"1","issued":{"date-parts":[["2014","7"]]},"language":"eng","page":"21-30","publisher-place":"Ireland","title":"Lysosomal acid lipase deficiency - An under-recognized cause of dyslipidaemia and liver dysfunction","type":"article","volume":"235"},"uris":["http://www.mendeley.com/documents/?uuid=bd9ee095-d349-4d55-b2f2-bded476b67fe"]}],"mendeley":{"formattedCitation":"&lt;sup&gt;8&lt;/sup&gt;","plainTextFormattedCitation":"8","previouslyFormattedCitation":"&lt;sup&gt;8&lt;/sup&gt;"},"properties":{"noteIndex":0},"schema":"https://github.com/citation-style-language/schema/raw/master/csl-citation.json"}</w:instrText>
      </w:r>
      <w:r w:rsidR="002F737B" w:rsidRPr="007F6B31">
        <w:rPr>
          <w:rFonts w:ascii="Book Antiqua" w:hAnsi="Book Antiqua" w:cs="Arial"/>
          <w:sz w:val="24"/>
          <w:szCs w:val="24"/>
          <w:vertAlign w:val="superscript"/>
          <w:lang w:val="en-GB"/>
        </w:rPr>
        <w:fldChar w:fldCharType="separate"/>
      </w:r>
      <w:r w:rsidR="002F737B" w:rsidRPr="007F6B31">
        <w:rPr>
          <w:rFonts w:ascii="Book Antiqua" w:hAnsi="Book Antiqua" w:cs="Arial"/>
          <w:noProof/>
          <w:sz w:val="24"/>
          <w:szCs w:val="24"/>
          <w:vertAlign w:val="superscript"/>
          <w:lang w:val="en-GB"/>
        </w:rPr>
        <w:t>8</w:t>
      </w:r>
      <w:r w:rsidR="002F737B" w:rsidRPr="007F6B31">
        <w:rPr>
          <w:rFonts w:ascii="Book Antiqua" w:hAnsi="Book Antiqua" w:cs="Arial"/>
          <w:sz w:val="24"/>
          <w:szCs w:val="24"/>
          <w:vertAlign w:val="superscript"/>
          <w:lang w:val="en-GB"/>
        </w:rPr>
        <w:fldChar w:fldCharType="end"/>
      </w:r>
      <w:r w:rsidR="002F737B"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 Individuals with CESD often have elevated transaminases and hypercholesterolemia</w:t>
      </w:r>
      <w:r w:rsidR="00857875" w:rsidRPr="007F6B31">
        <w:rPr>
          <w:rFonts w:ascii="Book Antiqua" w:hAnsi="Book Antiqua" w:cs="Arial"/>
          <w:sz w:val="24"/>
          <w:szCs w:val="24"/>
          <w:lang w:val="en-GB"/>
        </w:rPr>
        <w:t>,</w:t>
      </w:r>
      <w:r w:rsidRPr="007F6B31">
        <w:rPr>
          <w:rFonts w:ascii="Book Antiqua" w:hAnsi="Book Antiqua" w:cs="Arial"/>
          <w:sz w:val="24"/>
          <w:szCs w:val="24"/>
          <w:lang w:val="en-GB"/>
        </w:rPr>
        <w:t xml:space="preserve"> with elevated serum low-density and very </w:t>
      </w:r>
      <w:r w:rsidR="00CD50FF" w:rsidRPr="007F6B31">
        <w:rPr>
          <w:rFonts w:ascii="Book Antiqua" w:hAnsi="Book Antiqua" w:cs="Arial"/>
          <w:sz w:val="24"/>
          <w:szCs w:val="24"/>
          <w:lang w:val="en-GB"/>
        </w:rPr>
        <w:t>LDL</w:t>
      </w:r>
      <w:r w:rsidRPr="007F6B31">
        <w:rPr>
          <w:rFonts w:ascii="Book Antiqua" w:hAnsi="Book Antiqua" w:cs="Arial"/>
          <w:sz w:val="24"/>
          <w:szCs w:val="24"/>
          <w:lang w:val="en-GB"/>
        </w:rPr>
        <w:t>-cholesterol and normal or elevated triglycerides</w:t>
      </w:r>
      <w:r w:rsidR="002F737B" w:rsidRPr="007F6B31">
        <w:rPr>
          <w:rFonts w:ascii="Book Antiqua" w:hAnsi="Book Antiqua" w:cs="Arial"/>
          <w:sz w:val="24"/>
          <w:szCs w:val="24"/>
          <w:vertAlign w:val="superscript"/>
          <w:lang w:val="en-GB"/>
        </w:rPr>
        <w:t>[</w:t>
      </w:r>
      <w:r w:rsidR="002F737B" w:rsidRPr="007F6B31">
        <w:rPr>
          <w:rFonts w:ascii="Book Antiqua" w:hAnsi="Book Antiqua" w:cs="Arial"/>
          <w:sz w:val="24"/>
          <w:szCs w:val="24"/>
          <w:vertAlign w:val="superscript"/>
          <w:lang w:val="en-GB"/>
        </w:rPr>
        <w:fldChar w:fldCharType="begin" w:fldLock="1"/>
      </w:r>
      <w:r w:rsidR="002F737B" w:rsidRPr="007F6B31">
        <w:rPr>
          <w:rFonts w:ascii="Book Antiqua" w:hAnsi="Book Antiqua" w:cs="Arial"/>
          <w:sz w:val="24"/>
          <w:szCs w:val="24"/>
          <w:vertAlign w:val="superscript"/>
          <w:lang w:val="en-GB"/>
        </w:rPr>
        <w:instrText>ADDIN CSL_CITATION {"citationItems":[{"id":"ITEM-1","itemData":{"DOI":"10.1016/j.jacl.2016.11.002","ISSN":"18764789","PMID":"28502505","abstract":"Background Lysosomal acid lipase deficiency (LALD) is an autosomal recessive disorder and an unrecognized cause of dyslipidemia. Patients usually present with dyslipidemia and altered liver function and mutations in LIPA gene are the underlying cause of LALD. Objective The aim of this study was to investigate LALD in individuals with severe dyslipidemia and/or liver steatosis. Methods Coding, splice regions, and promoter region of LIPA were sequenced by Sanger sequencing in a cohort of mutation-negative familial hypercholesterolemia (FH) patients (n = 492) and in a population sample comprising individuals with several types of dyslipidemia and/or liver steatosis (n = 258). Results This study led to the identification of LALD in 4 children referred to the Portuguese FH Study, all with a clinical diagnosis of FH. Mild liver dysfunction was present at the age of FH diagnosis; however, a diagnosis of LALD was not considered. No adults at the time of referral have been identified with LALD. Conclusion LALD is a life-threatening disorder, and early identification is crucial for the implementation of specific treatment to avoid premature mortality. FH cohorts should be investigated to identify possible LALD patients, who will need appropriate treatment. These results highlight the importance of correctly identifying the etiology of the dyslipidemia.","author":[{"dropping-particle":"","family":"Chora","given":"Joana Rita","non-dropping-particle":"","parse-names":false,"suffix":""},{"dropping-particle":"","family":"Alves","given":"Ana Catarina","non-dropping-particle":"","parse-names":false,"suffix":""},{"dropping-particle":"","family":"Medeiros","given":"Ana Margarida","non-dropping-particle":"","parse-names":false,"suffix":""},{"dropping-particle":"","family":"Mariano","given":"Cibelle","non-dropping-particle":"","parse-names":false,"suffix":""},{"dropping-particle":"","family":"Lobarinhas","given":"Goreti","non-dropping-particle":"","parse-names":false,"suffix":""},{"dropping-particle":"","family":"Guerra","given":"António","non-dropping-particle":"","parse-names":false,"suffix":""},{"dropping-particle":"","family":"Mansilha","given":"Helena","non-dropping-particle":"","parse-names":false,"suffix":""},{"dropping-particle":"","family":"Cortez-Pinto","given":"Helena","non-dropping-particle":"","parse-names":false,"suffix":""},{"dropping-particle":"","family":"Bourbon","given":"Mafalda","non-dropping-particle":"","parse-names":false,"suffix":""}],"container-title":"Journal of Clinical Lipidology","id":"ITEM-1","issued":{"date-parts":[["2017"]]},"title":"Lysosomal acid lipase deficiency: A hidden disease among cohorts of familial hypercholesterolemia?","type":"article-journal"},"uris":["http://www.mendeley.com/documents/?uuid=5a21cca3-d6d9-49db-9b69-422c5405843b"]}],"mendeley":{"formattedCitation":"&lt;sup&gt;19&lt;/sup&gt;","plainTextFormattedCitation":"19","previouslyFormattedCitation":"&lt;sup&gt;19&lt;/sup&gt;"},"properties":{"noteIndex":0},"schema":"https://github.com/citation-style-language/schema/raw/master/csl-citation.json"}</w:instrText>
      </w:r>
      <w:r w:rsidR="002F737B" w:rsidRPr="007F6B31">
        <w:rPr>
          <w:rFonts w:ascii="Book Antiqua" w:hAnsi="Book Antiqua" w:cs="Arial"/>
          <w:sz w:val="24"/>
          <w:szCs w:val="24"/>
          <w:vertAlign w:val="superscript"/>
          <w:lang w:val="en-GB"/>
        </w:rPr>
        <w:fldChar w:fldCharType="separate"/>
      </w:r>
      <w:r w:rsidR="002F737B" w:rsidRPr="007F6B31">
        <w:rPr>
          <w:rFonts w:ascii="Book Antiqua" w:hAnsi="Book Antiqua" w:cs="Arial"/>
          <w:noProof/>
          <w:sz w:val="24"/>
          <w:szCs w:val="24"/>
          <w:vertAlign w:val="superscript"/>
          <w:lang w:val="en-GB"/>
        </w:rPr>
        <w:t>19</w:t>
      </w:r>
      <w:r w:rsidR="002F737B" w:rsidRPr="007F6B31">
        <w:rPr>
          <w:rFonts w:ascii="Book Antiqua" w:hAnsi="Book Antiqua" w:cs="Arial"/>
          <w:sz w:val="24"/>
          <w:szCs w:val="24"/>
          <w:vertAlign w:val="superscript"/>
          <w:lang w:val="en-GB"/>
        </w:rPr>
        <w:fldChar w:fldCharType="end"/>
      </w:r>
      <w:r w:rsidR="002F737B"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 xml:space="preserve">. High-density lipoprotein-cholesterol is typically low. Hepatomegaly and hyperlipidaemia may be the only abnormalities </w:t>
      </w:r>
      <w:r w:rsidR="000A46C3" w:rsidRPr="007F6B31">
        <w:rPr>
          <w:rFonts w:ascii="Book Antiqua" w:hAnsi="Book Antiqua" w:cs="Arial"/>
          <w:sz w:val="24"/>
          <w:szCs w:val="24"/>
          <w:lang w:val="en-GB"/>
        </w:rPr>
        <w:t xml:space="preserve">prompting </w:t>
      </w:r>
      <w:r w:rsidRPr="007F6B31">
        <w:rPr>
          <w:rFonts w:ascii="Book Antiqua" w:hAnsi="Book Antiqua" w:cs="Arial"/>
          <w:sz w:val="24"/>
          <w:szCs w:val="24"/>
          <w:lang w:val="en-GB"/>
        </w:rPr>
        <w:t>the diagnosis</w:t>
      </w:r>
      <w:r w:rsidR="00C62A00" w:rsidRPr="007F6B31">
        <w:rPr>
          <w:rFonts w:ascii="Book Antiqua" w:hAnsi="Book Antiqua" w:cs="Arial"/>
          <w:sz w:val="24"/>
          <w:szCs w:val="24"/>
          <w:lang w:val="en-GB"/>
        </w:rPr>
        <w:t>, which could explain why LAL</w:t>
      </w:r>
      <w:r w:rsidR="00350917" w:rsidRPr="007F6B31">
        <w:rPr>
          <w:rFonts w:ascii="Book Antiqua" w:hAnsi="Book Antiqua" w:cs="Arial"/>
          <w:sz w:val="24"/>
          <w:szCs w:val="24"/>
          <w:lang w:val="en-GB"/>
        </w:rPr>
        <w:t>-</w:t>
      </w:r>
      <w:r w:rsidR="00C62A00" w:rsidRPr="007F6B31">
        <w:rPr>
          <w:rFonts w:ascii="Book Antiqua" w:hAnsi="Book Antiqua" w:cs="Arial"/>
          <w:sz w:val="24"/>
          <w:szCs w:val="24"/>
          <w:lang w:val="en-GB"/>
        </w:rPr>
        <w:t>D is underdiagnosed</w:t>
      </w:r>
      <w:r w:rsidRPr="007F6B31">
        <w:rPr>
          <w:rFonts w:ascii="Book Antiqua" w:hAnsi="Book Antiqua" w:cs="Arial"/>
          <w:sz w:val="24"/>
          <w:szCs w:val="24"/>
          <w:lang w:val="en-GB"/>
        </w:rPr>
        <w:t xml:space="preserve">. </w:t>
      </w:r>
    </w:p>
    <w:p w14:paraId="6B34BFCD" w14:textId="713A641B" w:rsidR="005B270D" w:rsidRPr="007F6B31" w:rsidRDefault="006A1D34" w:rsidP="001F2C55">
      <w:pPr>
        <w:snapToGrid w:val="0"/>
        <w:spacing w:after="0" w:line="360" w:lineRule="auto"/>
        <w:ind w:firstLineChars="100" w:firstLine="240"/>
        <w:jc w:val="both"/>
        <w:rPr>
          <w:rFonts w:ascii="Book Antiqua" w:hAnsi="Book Antiqua" w:cs="Arial"/>
          <w:sz w:val="24"/>
          <w:szCs w:val="24"/>
          <w:lang w:val="en-GB"/>
        </w:rPr>
      </w:pPr>
      <w:r w:rsidRPr="007F6B31">
        <w:rPr>
          <w:rFonts w:ascii="Book Antiqua" w:hAnsi="Book Antiqua" w:cs="Arial"/>
          <w:color w:val="000000"/>
          <w:sz w:val="24"/>
          <w:szCs w:val="24"/>
          <w:shd w:val="clear" w:color="auto" w:fill="FFFFFF"/>
          <w:lang w:val="en-GB"/>
        </w:rPr>
        <w:t xml:space="preserve">The initial test </w:t>
      </w:r>
      <w:r w:rsidR="000A46C3" w:rsidRPr="007F6B31">
        <w:rPr>
          <w:rFonts w:ascii="Book Antiqua" w:hAnsi="Book Antiqua" w:cs="Arial"/>
          <w:color w:val="000000"/>
          <w:sz w:val="24"/>
          <w:szCs w:val="24"/>
          <w:shd w:val="clear" w:color="auto" w:fill="FFFFFF"/>
          <w:lang w:val="en-GB"/>
        </w:rPr>
        <w:t xml:space="preserve">recommended </w:t>
      </w:r>
      <w:r w:rsidRPr="007F6B31">
        <w:rPr>
          <w:rFonts w:ascii="Book Antiqua" w:hAnsi="Book Antiqua" w:cs="Arial"/>
          <w:color w:val="000000"/>
          <w:sz w:val="24"/>
          <w:szCs w:val="24"/>
          <w:shd w:val="clear" w:color="auto" w:fill="FFFFFF"/>
          <w:lang w:val="en-GB"/>
        </w:rPr>
        <w:t xml:space="preserve">to establish </w:t>
      </w:r>
      <w:r w:rsidR="000A46C3" w:rsidRPr="007F6B31">
        <w:rPr>
          <w:rFonts w:ascii="Book Antiqua" w:hAnsi="Book Antiqua" w:cs="Arial"/>
          <w:color w:val="000000"/>
          <w:sz w:val="24"/>
          <w:szCs w:val="24"/>
          <w:shd w:val="clear" w:color="auto" w:fill="FFFFFF"/>
          <w:lang w:val="en-GB"/>
        </w:rPr>
        <w:t xml:space="preserve">a </w:t>
      </w:r>
      <w:r w:rsidRPr="007F6B31">
        <w:rPr>
          <w:rFonts w:ascii="Book Antiqua" w:hAnsi="Book Antiqua" w:cs="Arial"/>
          <w:color w:val="000000"/>
          <w:sz w:val="24"/>
          <w:szCs w:val="24"/>
          <w:shd w:val="clear" w:color="auto" w:fill="FFFFFF"/>
          <w:lang w:val="en-GB"/>
        </w:rPr>
        <w:t>diagnosis of LAL</w:t>
      </w:r>
      <w:r w:rsidR="00857875" w:rsidRPr="007F6B31">
        <w:rPr>
          <w:rFonts w:ascii="Book Antiqua" w:hAnsi="Book Antiqua" w:cs="Arial"/>
          <w:color w:val="000000"/>
          <w:sz w:val="24"/>
          <w:szCs w:val="24"/>
          <w:shd w:val="clear" w:color="auto" w:fill="FFFFFF"/>
          <w:lang w:val="en-GB"/>
        </w:rPr>
        <w:t>-</w:t>
      </w:r>
      <w:r w:rsidRPr="007F6B31">
        <w:rPr>
          <w:rFonts w:ascii="Book Antiqua" w:hAnsi="Book Antiqua" w:cs="Arial"/>
          <w:color w:val="000000"/>
          <w:sz w:val="24"/>
          <w:szCs w:val="24"/>
          <w:shd w:val="clear" w:color="auto" w:fill="FFFFFF"/>
          <w:lang w:val="en-GB"/>
        </w:rPr>
        <w:t>D is measurement of the enzymatic activity of LAL in leukocytes in a blood sample or on a dried blood spot</w:t>
      </w:r>
      <w:r w:rsidR="002F737B" w:rsidRPr="007F6B31">
        <w:rPr>
          <w:rFonts w:ascii="Book Antiqua" w:hAnsi="Book Antiqua" w:cs="Arial"/>
          <w:color w:val="000000"/>
          <w:sz w:val="24"/>
          <w:szCs w:val="24"/>
          <w:shd w:val="clear" w:color="auto" w:fill="FFFFFF"/>
          <w:vertAlign w:val="superscript"/>
          <w:lang w:val="en-GB"/>
        </w:rPr>
        <w:t>[</w:t>
      </w:r>
      <w:r w:rsidR="002F737B" w:rsidRPr="007F6B31">
        <w:rPr>
          <w:rFonts w:ascii="Book Antiqua" w:hAnsi="Book Antiqua" w:cs="Arial"/>
          <w:color w:val="000000"/>
          <w:sz w:val="24"/>
          <w:szCs w:val="24"/>
          <w:shd w:val="clear" w:color="auto" w:fill="FFFFFF"/>
          <w:vertAlign w:val="superscript"/>
          <w:lang w:val="en-GB"/>
        </w:rPr>
        <w:fldChar w:fldCharType="begin" w:fldLock="1"/>
      </w:r>
      <w:r w:rsidR="002F737B" w:rsidRPr="007F6B31">
        <w:rPr>
          <w:rFonts w:ascii="Book Antiqua" w:hAnsi="Book Antiqua" w:cs="Arial"/>
          <w:color w:val="000000"/>
          <w:sz w:val="24"/>
          <w:szCs w:val="24"/>
          <w:shd w:val="clear" w:color="auto" w:fill="FFFFFF"/>
          <w:vertAlign w:val="superscript"/>
          <w:lang w:val="en-GB"/>
        </w:rPr>
        <w:instrText>ADDIN CSL_CITATION {"citationItems":[{"id":"ITEM-1","itemData":{"DOI":"10.1016/j.ymgme.2013.11.003","ISSN":"1096-7206 (Electronic)","PMID":"24295952","abstract":"Fluorometric measurements of 4-methylumbelliferone (4-MU) are generally used to screen lysosomal storage diseases (LSDs) using dried blood spots (DBSs). However, in DBS, it is difficult to measure lysosomal acid lipase (LAL) activity due to the influence of other lipases in whole blood. Recently, Hamilton used a fluorometric enzyme assay with 4-MU derivatives to measure the LAL activity in DBS. This method requires mercury chloride as stopping reagent, and the fluorescence intensity of 4-MU was measured at an acidic pH. We report a revised method to measure the LAL activity without using toxic mercury chloride and to measure the fluorescence intensity of 4-MU at a basic pH. For this measurement, we established a more practical method that does not require mercury chloride. The LAL activity in DBS was measured in 51 normal controls, seven obligate carriers and seven patients with CESD. The average LAL activities +/- SD in the DBS from the normal, obligate carriers and CESD patients were 0.68 +/- 0.2 (range: 0.3-1.08), 0.21 +/- 0.1 (range: 0.11-0.41) and 0.02 +/- 0.02 (range: 0-0.06) nmol/punch/h, respectively. There was a significant difference between the normal and the CESD. Our method does not require toxic mercury chloride and is an appropriate revised enzyme assay using DBS for screening patients with CESD.","author":[{"dropping-particle":"","family":"Dairaku","given":"Takenori","non-dropping-particle":"","parse-names":false,"suffix":""},{"dropping-particle":"","family":"Iwamoto","given":"Takeo","non-dropping-particle":"","parse-names":false,"suffix":""},{"dropping-particle":"","family":"Nishimura","given":"Minami","non-dropping-particle":"","parse-names":false,"suffix":""},{"dropping-particle":"","family":"Endo","given":"Masahiro","non-dropping-particle":"","parse-names":false,"suffix":""},{"dropping-particle":"","family":"Ohashi","given":"Toya","non-dropping-particle":"","parse-names":false,"suffix":""},{"dropping-particle":"","family":"Eto","given":"Yoshikatu","non-dropping-particle":"","parse-names":false,"suffix":""}],"container-title":"Molecular genetics and metabolism","id":"ITEM-1","issue":"2","issued":{"date-parts":[["2014","2"]]},"language":"eng","page":"193-196","publisher-place":"United States","title":"A practical fluorometric assay method to measure lysosomal acid lipase activity in dried blood spots for the screening of cholesteryl ester storage disease and Wolman disease.","type":"article-journal","volume":"111"},"uris":["http://www.mendeley.com/documents/?uuid=f0870bf2-c20d-4926-a2b2-63430e0e748b"]},{"id":"ITEM-2","itemData":{"DOI":"10.1016/j.cca.2017.05.027","ISSN":"1873-3492 (Electronic)","PMID":"28532785","abstract":"Lysosomal acid lipase deficiency (LAL-D) is an inherited, autosomal recessive lysosomal storage disorder characterized by progressive damage in multiple organ systems. Diagnosis is especially important in infants, in whom the course of disease is rapidly lethal without treatment. The recent regulatory approval of recombinant human lysosomal acid lipase (LAL), sebelipase alfa, merits rapid diagnosis in clinical routine, particularly in infants. A method for measuring LAL activity in dried blood spot (DBS) samples using the highly specific LAL inhibitor Lalistat 2 is available. This method is shown to effectively discriminate between individuals with LAL-D and unaffected controls. With the increase in DBS LAL testing since the original publication of this method, a need to optimise assay performance has been identified. Here, we describe refinements to the DBS assay, including technical modifications, quality control measures and best-practice guidance for interpreting and reporting results. Particular attention is paid to alternatives to the use of mercuric chloride as the stop reagent and the choice of excitation wavelength for 4-methylumbelliferone palmitate under assay conditions at pH4.0. In addition, a simpler method of reporting results is proposed using cutoffs based on percentage mean normal enzyme activity.","author":[{"dropping-particle":"","family":"Lukacs","given":"Zoltan","non-dropping-particle":"","parse-names":false,"suffix":""},{"dropping-particle":"","family":"Barr","given":"Marianne","non-dropping-particle":"","parse-names":false,"suffix":""},{"dropping-particle":"","family":"Hamilton","given":"John","non-dropping-particle":"","parse-names":false,"suffix":""}],"container-title":"Clinica chimica acta; international journal of clinical chemistry","id":"ITEM-2","issued":{"date-parts":[["2017","8"]]},"language":"eng","page":"201-205","publisher-place":"Netherlands","title":"Best practice in the measurement and interpretation of lysosomal acid lipase in dried blood spots using the inhibitor Lalistat 2.","type":"article-journal","volume":"471"},"uris":["http://www.mendeley.com/documents/?uuid=5d1bce71-2bbf-40fd-9b29-570f3844a3d2"]}],"mendeley":{"formattedCitation":"&lt;sup&gt;20,21&lt;/sup&gt;","plainTextFormattedCitation":"20,21","previouslyFormattedCitation":"&lt;sup&gt;20,21&lt;/sup&gt;"},"properties":{"noteIndex":0},"schema":"https://github.com/citation-style-language/schema/raw/master/csl-citation.json"}</w:instrText>
      </w:r>
      <w:r w:rsidR="002F737B" w:rsidRPr="007F6B31">
        <w:rPr>
          <w:rFonts w:ascii="Book Antiqua" w:hAnsi="Book Antiqua" w:cs="Arial"/>
          <w:color w:val="000000"/>
          <w:sz w:val="24"/>
          <w:szCs w:val="24"/>
          <w:shd w:val="clear" w:color="auto" w:fill="FFFFFF"/>
          <w:vertAlign w:val="superscript"/>
          <w:lang w:val="en-GB"/>
        </w:rPr>
        <w:fldChar w:fldCharType="separate"/>
      </w:r>
      <w:r w:rsidR="002F737B" w:rsidRPr="007F6B31">
        <w:rPr>
          <w:rFonts w:ascii="Book Antiqua" w:hAnsi="Book Antiqua" w:cs="Arial"/>
          <w:noProof/>
          <w:color w:val="000000"/>
          <w:sz w:val="24"/>
          <w:szCs w:val="24"/>
          <w:shd w:val="clear" w:color="auto" w:fill="FFFFFF"/>
          <w:vertAlign w:val="superscript"/>
          <w:lang w:val="en-GB"/>
        </w:rPr>
        <w:t>20,21</w:t>
      </w:r>
      <w:r w:rsidR="002F737B" w:rsidRPr="007F6B31">
        <w:rPr>
          <w:rFonts w:ascii="Book Antiqua" w:hAnsi="Book Antiqua" w:cs="Arial"/>
          <w:color w:val="000000"/>
          <w:sz w:val="24"/>
          <w:szCs w:val="24"/>
          <w:shd w:val="clear" w:color="auto" w:fill="FFFFFF"/>
          <w:vertAlign w:val="superscript"/>
          <w:lang w:val="en-GB"/>
        </w:rPr>
        <w:fldChar w:fldCharType="end"/>
      </w:r>
      <w:r w:rsidR="002F737B" w:rsidRPr="007F6B31">
        <w:rPr>
          <w:rFonts w:ascii="Book Antiqua" w:hAnsi="Book Antiqua" w:cs="Arial"/>
          <w:color w:val="000000"/>
          <w:sz w:val="24"/>
          <w:szCs w:val="24"/>
          <w:shd w:val="clear" w:color="auto" w:fill="FFFFFF"/>
          <w:vertAlign w:val="superscript"/>
          <w:lang w:val="en-GB"/>
        </w:rPr>
        <w:t>]</w:t>
      </w:r>
      <w:r w:rsidR="000A46C3" w:rsidRPr="007F6B31">
        <w:rPr>
          <w:rFonts w:ascii="Book Antiqua" w:hAnsi="Book Antiqua" w:cs="Arial"/>
          <w:color w:val="000000"/>
          <w:sz w:val="24"/>
          <w:szCs w:val="24"/>
          <w:shd w:val="clear" w:color="auto" w:fill="FFFFFF"/>
          <w:lang w:val="en-GB"/>
        </w:rPr>
        <w:t>,</w:t>
      </w:r>
      <w:r w:rsidRPr="007F6B31">
        <w:rPr>
          <w:rFonts w:ascii="Book Antiqua" w:hAnsi="Book Antiqua" w:cs="Arial"/>
          <w:color w:val="000000"/>
          <w:sz w:val="24"/>
          <w:szCs w:val="24"/>
          <w:shd w:val="clear" w:color="auto" w:fill="FFFFFF"/>
          <w:lang w:val="en-GB"/>
        </w:rPr>
        <w:t xml:space="preserve"> </w:t>
      </w:r>
      <w:r w:rsidR="000B38F1" w:rsidRPr="007F6B31">
        <w:rPr>
          <w:rFonts w:ascii="Book Antiqua" w:hAnsi="Book Antiqua" w:cs="Arial"/>
          <w:color w:val="000000"/>
          <w:sz w:val="24"/>
          <w:szCs w:val="24"/>
          <w:shd w:val="clear" w:color="auto" w:fill="FFFFFF"/>
          <w:lang w:val="en-GB"/>
        </w:rPr>
        <w:t xml:space="preserve">followed by </w:t>
      </w:r>
      <w:r w:rsidR="000B38F1" w:rsidRPr="007F6B31">
        <w:rPr>
          <w:rFonts w:ascii="Book Antiqua" w:hAnsi="Book Antiqua" w:cs="Arial"/>
          <w:sz w:val="24"/>
          <w:szCs w:val="24"/>
          <w:lang w:val="en-GB"/>
        </w:rPr>
        <w:t xml:space="preserve">targeted DNA sequencing of </w:t>
      </w:r>
      <w:r w:rsidR="000B38F1" w:rsidRPr="007F6B31">
        <w:rPr>
          <w:rFonts w:ascii="Book Antiqua" w:hAnsi="Book Antiqua" w:cs="Arial"/>
          <w:i/>
          <w:iCs/>
          <w:sz w:val="24"/>
          <w:szCs w:val="24"/>
          <w:lang w:val="en-GB"/>
        </w:rPr>
        <w:t>LIPA</w:t>
      </w:r>
      <w:r w:rsidR="000B38F1" w:rsidRPr="007F6B31">
        <w:rPr>
          <w:rFonts w:ascii="Book Antiqua" w:hAnsi="Book Antiqua" w:cs="Arial"/>
          <w:sz w:val="24"/>
          <w:szCs w:val="24"/>
          <w:lang w:val="en-GB"/>
        </w:rPr>
        <w:t xml:space="preserve"> to identify the pathogenic variant(s). </w:t>
      </w:r>
    </w:p>
    <w:p w14:paraId="2447D116" w14:textId="603DFD71" w:rsidR="005B270D" w:rsidRPr="007F6B31" w:rsidRDefault="006A1D34" w:rsidP="001F2C55">
      <w:pPr>
        <w:snapToGrid w:val="0"/>
        <w:spacing w:after="0" w:line="360" w:lineRule="auto"/>
        <w:ind w:firstLineChars="100" w:firstLine="240"/>
        <w:jc w:val="both"/>
        <w:rPr>
          <w:rFonts w:ascii="Book Antiqua" w:hAnsi="Book Antiqua" w:cs="Arial"/>
          <w:sz w:val="24"/>
          <w:szCs w:val="24"/>
          <w:lang w:val="en-GB"/>
        </w:rPr>
      </w:pPr>
      <w:r w:rsidRPr="007F6B31">
        <w:rPr>
          <w:rFonts w:ascii="Book Antiqua" w:hAnsi="Book Antiqua" w:cs="Arial"/>
          <w:sz w:val="24"/>
          <w:szCs w:val="24"/>
          <w:lang w:val="en-GB"/>
        </w:rPr>
        <w:t>Dietary interventions may help alleviate gastrointestinal symptoms associated with LAL-D</w:t>
      </w:r>
      <w:r w:rsidR="00B227A9" w:rsidRPr="007F6B31">
        <w:rPr>
          <w:rFonts w:ascii="Book Antiqua" w:hAnsi="Book Antiqua" w:cs="Arial"/>
          <w:sz w:val="24"/>
          <w:szCs w:val="24"/>
          <w:vertAlign w:val="superscript"/>
          <w:lang w:val="en-GB"/>
        </w:rPr>
        <w:t>[</w:t>
      </w:r>
      <w:r w:rsidR="00B227A9" w:rsidRPr="007F6B31">
        <w:rPr>
          <w:rFonts w:ascii="Book Antiqua" w:hAnsi="Book Antiqua" w:cs="Arial"/>
          <w:sz w:val="24"/>
          <w:szCs w:val="24"/>
          <w:vertAlign w:val="superscript"/>
          <w:lang w:val="en-GB"/>
        </w:rPr>
        <w:fldChar w:fldCharType="begin" w:fldLock="1"/>
      </w:r>
      <w:r w:rsidR="00B227A9" w:rsidRPr="007F6B31">
        <w:rPr>
          <w:rFonts w:ascii="Book Antiqua" w:hAnsi="Book Antiqua" w:cs="Arial"/>
          <w:sz w:val="24"/>
          <w:szCs w:val="24"/>
          <w:vertAlign w:val="superscript"/>
          <w:lang w:val="en-GB"/>
        </w:rPr>
        <w:instrText>ADDIN CSL_CITATION {"citationItems":[{"id":"ITEM-1","itemData":{"DOI":"10.1177/1756283X17705775","ISSN":"1756-283X (Print)","PMID":"28804516","abstract":"Lysosomal acid lipase deficiency (LALD) is a lysosomal storage disorder (LSD) characterized either by infantile onset with fulminant clinical course and very poor prognosis or childhood/adult-onset disease with an attenuated phenotype. The disorder is often misdiagnosed or remains undiagnosed in children and adults due to a rather unspecific clinical presentation with dyslipidemia and steatohepatitis. Until recently, no good treatment options were available for LALD. Despite supportive and symptomatic therapies, death occurred before 1 year of age in patients with infantile-onset disease and patients with childhood/adult-onset LALD suffered from significant complications, such as liver cirrhosis, requiring liver transplantation and early-onset cardiovascular disease. With the recent approval of sebelipase alfa for clinical use in infantile- as well as childhood/adult-onset LALD, a new treatment era for this disorder has begun. Sebelipase alfa is a recombinant human lysosomal acid lipase (LAL), which is administered via the intravenous route. Clinical trials have shown significant improvement of disease parameters such as liver transaminases, hepatomegaly, and dyslipidemia in childhood/adult-onset LALD patients. Treatment of infants with the severe infantile-onset form of the disease has led to improved survival beyond the age of 1 year, and also showed improvement of hepatic and gastrointestinal symptoms, as well as growth. Overall, sebelipase alfa has a favorable safety profile and promises to be a good long-term treatment option for patients with LALD, with significant reduction of disease burden and increased life expectancy.","author":[{"dropping-particle":"","family":"Erwin","given":"Angelika L","non-dropping-particle":"","parse-names":false,"suffix":""}],"container-title":"Therapeutic advances in gastroenterology","id":"ITEM-1","issue":"7","issued":{"date-parts":[["2017","7"]]},"language":"eng","page":"553-562","publisher-place":"England","title":"The role of sebelipase alfa in the treatment of lysosomal acid lipase deficiency.","type":"article-journal","volume":"10"},"uris":["http://www.mendeley.com/documents/?uuid=cc981bdc-4a51-4d79-a76e-c28037d1e747"]}],"mendeley":{"formattedCitation":"&lt;sup&gt;22&lt;/sup&gt;","plainTextFormattedCitation":"22","previouslyFormattedCitation":"&lt;sup&gt;22&lt;/sup&gt;"},"properties":{"noteIndex":0},"schema":"https://github.com/citation-style-language/schema/raw/master/csl-citation.json"}</w:instrText>
      </w:r>
      <w:r w:rsidR="00B227A9" w:rsidRPr="007F6B31">
        <w:rPr>
          <w:rFonts w:ascii="Book Antiqua" w:hAnsi="Book Antiqua" w:cs="Arial"/>
          <w:sz w:val="24"/>
          <w:szCs w:val="24"/>
          <w:vertAlign w:val="superscript"/>
          <w:lang w:val="en-GB"/>
        </w:rPr>
        <w:fldChar w:fldCharType="separate"/>
      </w:r>
      <w:r w:rsidR="00B227A9" w:rsidRPr="007F6B31">
        <w:rPr>
          <w:rFonts w:ascii="Book Antiqua" w:hAnsi="Book Antiqua" w:cs="Arial"/>
          <w:noProof/>
          <w:sz w:val="24"/>
          <w:szCs w:val="24"/>
          <w:vertAlign w:val="superscript"/>
          <w:lang w:val="en-GB"/>
        </w:rPr>
        <w:t>22</w:t>
      </w:r>
      <w:r w:rsidR="00B227A9" w:rsidRPr="007F6B31">
        <w:rPr>
          <w:rFonts w:ascii="Book Antiqua" w:hAnsi="Book Antiqua" w:cs="Arial"/>
          <w:sz w:val="24"/>
          <w:szCs w:val="24"/>
          <w:vertAlign w:val="superscript"/>
          <w:lang w:val="en-GB"/>
        </w:rPr>
        <w:fldChar w:fldCharType="end"/>
      </w:r>
      <w:r w:rsidR="00B227A9"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 In addition, treatment with statins is needed to reduce the risk of cardiovascular disease</w:t>
      </w:r>
      <w:r w:rsidR="00B227A9" w:rsidRPr="007F6B31">
        <w:rPr>
          <w:rFonts w:ascii="Book Antiqua" w:hAnsi="Book Antiqua" w:cs="Arial"/>
          <w:sz w:val="24"/>
          <w:szCs w:val="24"/>
          <w:vertAlign w:val="superscript"/>
          <w:lang w:val="en-GB"/>
        </w:rPr>
        <w:t>[</w:t>
      </w:r>
      <w:r w:rsidR="00B227A9" w:rsidRPr="007F6B31">
        <w:rPr>
          <w:rFonts w:ascii="Book Antiqua" w:hAnsi="Book Antiqua" w:cs="Arial"/>
          <w:sz w:val="24"/>
          <w:szCs w:val="24"/>
          <w:vertAlign w:val="superscript"/>
          <w:lang w:val="en-GB"/>
        </w:rPr>
        <w:fldChar w:fldCharType="begin" w:fldLock="1"/>
      </w:r>
      <w:r w:rsidR="00B227A9" w:rsidRPr="007F6B31">
        <w:rPr>
          <w:rFonts w:ascii="Book Antiqua" w:hAnsi="Book Antiqua" w:cs="Arial"/>
          <w:sz w:val="24"/>
          <w:szCs w:val="24"/>
          <w:vertAlign w:val="superscript"/>
          <w:lang w:val="en-GB"/>
        </w:rPr>
        <w:instrText>ADDIN CSL_CITATION {"citationItems":[{"id":"ITEM-1","itemData":{"ISSN":"0168-8278 (Print)","PMID":"9365051","abstract":"Cholesterol ester storage disease (CESD) is a rare congenital disorder of lipid metabolism, with mutation of the lysosomal acid lipase gene, causing chronic liver disease, usually before adolescence. We here describe three adult siblings with CESD diagnosed by light microscopic demonstration of excessive lysosomal storage of lipids with accumulation of foamy cells in liver biopsies and by a decrease in acid lipase activity (2-3% of controls). One patient (male, 46a) had extensive liver fibrosis, another (female, 58a) had cirrhosis of the liver. The third patient had died from variceal haemorrhage (female, 56a). Using sequence analysis of RT-PCR products of LAL mRNA, the patients were identified as compound heterozygotes for a G--&gt;A substitution at position -1 of the exon 8 splice donor site and a point mutation at the second allele, resulting in a His108--&gt;Pro shift. In two patients, therapy with lovastatin was initiated, which led to normalisation of serum cholesterol and triglyceride levels. After 12 months, liver biopsy demonstrated a significant decrease in vacuolisation of hepatocytes, with fewer and smaller droplets. Semi-automated computer-assisted image analysis of electron microscopic sections demonstrated a decrease in the hepatocellular lysosomal area from 20.5+/-7.1% to 11.7+/-6.5% (p&lt;0.05) and 41.7+/-5.1% to 33.4+/-4.4% (p&lt;0.01). We conclude that in two siblings with a novel LAL variant and mild phenotype of CESD, lovastatin decreased both serum lipid concentrations and hepatocellular lysosomal content.","author":[{"dropping-particle":"","family":"Gasche","given":"C","non-dropping-particle":"","parse-names":false,"suffix":""},{"dropping-particle":"","family":"Aslanidis","given":"C","non-dropping-particle":"","parse-names":false,"suffix":""},{"dropping-particle":"","family":"Kain","given":"R","non-dropping-particle":"","parse-names":false,"suffix":""},{"dropping-particle":"","family":"Exner","given":"M","non-dropping-particle":"","parse-names":false,"suffix":""},{"dropping-particle":"","family":"Helbich","given":"T","non-dropping-particle":"","parse-names":false,"suffix":""},{"dropping-particle":"","family":"Dejaco","given":"C","non-dropping-particle":"","parse-names":false,"suffix":""},{"dropping-particle":"","family":"Schmitz","given":"G","non-dropping-particle":"","parse-names":false,"suffix":""},{"dropping-particle":"","family":"Ferenci","given":"P","non-dropping-particle":"","parse-names":false,"suffix":""}],"container-title":"Journal of hepatology","id":"ITEM-1","issue":"4","issued":{"date-parts":[["1997","10"]]},"language":"eng","page":"744-750","publisher-place":"Netherlands","title":"A novel variant of lysosomal acid lipase in cholesteryl ester storage disease associated with mild phenotype and improvement on lovastatin.","type":"article-journal","volume":"27"},"uris":["http://www.mendeley.com/documents/?uuid=93e9b51b-f588-4e15-832d-8febc98e27ad"]}],"mendeley":{"formattedCitation":"&lt;sup&gt;23&lt;/sup&gt;","plainTextFormattedCitation":"23","previouslyFormattedCitation":"&lt;sup&gt;23&lt;/sup&gt;"},"properties":{"noteIndex":0},"schema":"https://github.com/citation-style-language/schema/raw/master/csl-citation.json"}</w:instrText>
      </w:r>
      <w:r w:rsidR="00B227A9" w:rsidRPr="007F6B31">
        <w:rPr>
          <w:rFonts w:ascii="Book Antiqua" w:hAnsi="Book Antiqua" w:cs="Arial"/>
          <w:sz w:val="24"/>
          <w:szCs w:val="24"/>
          <w:vertAlign w:val="superscript"/>
          <w:lang w:val="en-GB"/>
        </w:rPr>
        <w:fldChar w:fldCharType="separate"/>
      </w:r>
      <w:r w:rsidR="00B227A9" w:rsidRPr="007F6B31">
        <w:rPr>
          <w:rFonts w:ascii="Book Antiqua" w:hAnsi="Book Antiqua" w:cs="Arial"/>
          <w:noProof/>
          <w:sz w:val="24"/>
          <w:szCs w:val="24"/>
          <w:vertAlign w:val="superscript"/>
          <w:lang w:val="en-GB"/>
        </w:rPr>
        <w:t>23</w:t>
      </w:r>
      <w:r w:rsidR="00B227A9" w:rsidRPr="007F6B31">
        <w:rPr>
          <w:rFonts w:ascii="Book Antiqua" w:hAnsi="Book Antiqua" w:cs="Arial"/>
          <w:sz w:val="24"/>
          <w:szCs w:val="24"/>
          <w:vertAlign w:val="superscript"/>
          <w:lang w:val="en-GB"/>
        </w:rPr>
        <w:fldChar w:fldCharType="end"/>
      </w:r>
      <w:r w:rsidR="00B227A9"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 xml:space="preserve">. Unfortunately, the therapeutic response is often insufficient </w:t>
      </w:r>
      <w:r w:rsidR="00857875" w:rsidRPr="007F6B31">
        <w:rPr>
          <w:rFonts w:ascii="Book Antiqua" w:hAnsi="Book Antiqua" w:cs="Arial"/>
          <w:sz w:val="24"/>
          <w:szCs w:val="24"/>
          <w:lang w:val="en-GB"/>
        </w:rPr>
        <w:t>de</w:t>
      </w:r>
      <w:r w:rsidRPr="007F6B31">
        <w:rPr>
          <w:rFonts w:ascii="Book Antiqua" w:hAnsi="Book Antiqua" w:cs="Arial"/>
          <w:sz w:val="24"/>
          <w:szCs w:val="24"/>
          <w:lang w:val="en-GB"/>
        </w:rPr>
        <w:t>spite high</w:t>
      </w:r>
      <w:r w:rsidR="000A46C3" w:rsidRPr="007F6B31">
        <w:rPr>
          <w:rFonts w:ascii="Book Antiqua" w:hAnsi="Book Antiqua" w:cs="Arial"/>
          <w:sz w:val="24"/>
          <w:szCs w:val="24"/>
          <w:lang w:val="en-GB"/>
        </w:rPr>
        <w:t>-</w:t>
      </w:r>
      <w:r w:rsidRPr="007F6B31">
        <w:rPr>
          <w:rFonts w:ascii="Book Antiqua" w:hAnsi="Book Antiqua" w:cs="Arial"/>
          <w:sz w:val="24"/>
          <w:szCs w:val="24"/>
          <w:lang w:val="en-GB"/>
        </w:rPr>
        <w:t>dose treatment</w:t>
      </w:r>
      <w:r w:rsidR="000A46C3" w:rsidRPr="007F6B31">
        <w:rPr>
          <w:rFonts w:ascii="Book Antiqua" w:hAnsi="Book Antiqua" w:cs="Arial"/>
          <w:sz w:val="24"/>
          <w:szCs w:val="24"/>
          <w:lang w:val="en-GB"/>
        </w:rPr>
        <w:t>,</w:t>
      </w:r>
      <w:r w:rsidRPr="007F6B31">
        <w:rPr>
          <w:rFonts w:ascii="Book Antiqua" w:hAnsi="Book Antiqua" w:cs="Arial"/>
          <w:sz w:val="24"/>
          <w:szCs w:val="24"/>
          <w:lang w:val="en-GB"/>
        </w:rPr>
        <w:t xml:space="preserve"> and upregulation of </w:t>
      </w:r>
      <w:r w:rsidR="00CD50FF" w:rsidRPr="007F6B31">
        <w:rPr>
          <w:rFonts w:ascii="Book Antiqua" w:hAnsi="Book Antiqua" w:cs="Arial"/>
          <w:sz w:val="24"/>
          <w:szCs w:val="24"/>
          <w:lang w:val="en-GB"/>
        </w:rPr>
        <w:t>LDL</w:t>
      </w:r>
      <w:r w:rsidRPr="007F6B31">
        <w:rPr>
          <w:rFonts w:ascii="Book Antiqua" w:hAnsi="Book Antiqua" w:cs="Arial"/>
          <w:sz w:val="24"/>
          <w:szCs w:val="24"/>
          <w:lang w:val="en-GB"/>
        </w:rPr>
        <w:t xml:space="preserve"> receptors in hepatocytes may occur. Liver transplantation may be necessary</w:t>
      </w:r>
      <w:r w:rsidR="000A46C3" w:rsidRPr="007F6B31">
        <w:rPr>
          <w:rFonts w:ascii="Book Antiqua" w:hAnsi="Book Antiqua" w:cs="Arial"/>
          <w:sz w:val="24"/>
          <w:szCs w:val="24"/>
          <w:lang w:val="en-GB"/>
        </w:rPr>
        <w:t>,</w:t>
      </w:r>
      <w:r w:rsidRPr="007F6B31">
        <w:rPr>
          <w:rFonts w:ascii="Book Antiqua" w:hAnsi="Book Antiqua" w:cs="Arial"/>
          <w:sz w:val="24"/>
          <w:szCs w:val="24"/>
          <w:lang w:val="en-GB"/>
        </w:rPr>
        <w:t xml:space="preserve"> although </w:t>
      </w:r>
      <w:r w:rsidR="00F85662" w:rsidRPr="007F6B31">
        <w:rPr>
          <w:rFonts w:ascii="Book Antiqua" w:hAnsi="Book Antiqua" w:cs="Arial"/>
          <w:sz w:val="24"/>
          <w:szCs w:val="24"/>
          <w:lang w:val="en-GB"/>
        </w:rPr>
        <w:t>longitudinal data</w:t>
      </w:r>
      <w:r w:rsidRPr="007F6B31">
        <w:rPr>
          <w:rFonts w:ascii="Book Antiqua" w:hAnsi="Book Antiqua" w:cs="Arial"/>
          <w:sz w:val="24"/>
          <w:szCs w:val="24"/>
          <w:lang w:val="en-GB"/>
        </w:rPr>
        <w:t xml:space="preserve"> about subsequent transplant rejection </w:t>
      </w:r>
      <w:r w:rsidR="00F85662" w:rsidRPr="007F6B31">
        <w:rPr>
          <w:rFonts w:ascii="Book Antiqua" w:hAnsi="Book Antiqua" w:cs="Arial"/>
          <w:sz w:val="24"/>
          <w:szCs w:val="24"/>
          <w:lang w:val="en-GB"/>
        </w:rPr>
        <w:t>are</w:t>
      </w:r>
      <w:r w:rsidRPr="007F6B31">
        <w:rPr>
          <w:rFonts w:ascii="Book Antiqua" w:hAnsi="Book Antiqua" w:cs="Arial"/>
          <w:sz w:val="24"/>
          <w:szCs w:val="24"/>
          <w:lang w:val="en-GB"/>
        </w:rPr>
        <w:t xml:space="preserve"> scarce</w:t>
      </w:r>
      <w:r w:rsidR="00B227A9" w:rsidRPr="007F6B31">
        <w:rPr>
          <w:rFonts w:ascii="Book Antiqua" w:hAnsi="Book Antiqua" w:cs="Arial"/>
          <w:sz w:val="24"/>
          <w:szCs w:val="24"/>
          <w:vertAlign w:val="superscript"/>
          <w:lang w:val="en-GB"/>
        </w:rPr>
        <w:t>[</w:t>
      </w:r>
      <w:r w:rsidR="00B227A9" w:rsidRPr="007F6B31">
        <w:rPr>
          <w:rFonts w:ascii="Book Antiqua" w:hAnsi="Book Antiqua" w:cs="Arial"/>
          <w:sz w:val="24"/>
          <w:szCs w:val="24"/>
          <w:vertAlign w:val="superscript"/>
          <w:lang w:val="en-GB"/>
        </w:rPr>
        <w:fldChar w:fldCharType="begin" w:fldLock="1"/>
      </w:r>
      <w:r w:rsidR="00B227A9" w:rsidRPr="007F6B31">
        <w:rPr>
          <w:rFonts w:ascii="Book Antiqua" w:hAnsi="Book Antiqua" w:cs="Arial"/>
          <w:sz w:val="24"/>
          <w:szCs w:val="24"/>
          <w:vertAlign w:val="superscript"/>
          <w:lang w:val="en-GB"/>
        </w:rPr>
        <w:instrText>ADDIN CSL_CITATION {"citationItems":[{"id":"ITEM-1","itemData":{"DOI":"10.1111/petr.12748","ISSN":"1399-3046 (Electronic)","PMID":"27392817","abstract":"Late-onset LAL deficiency, previously referred to as cholesteryl ester storage disorder, is a rare lysosomal storage disorder characterized by accumulation of cholesteryl esters. It has a heterogeneous clinical phenotype including abdominal pain, poor growth, hyperlipidemia with vascular complications and hepatosplenomegaly. End-stage liver disease may occur, but there are few reports of successful LT. There are also concerns that systemic manifestations of the disease might persist post-LT. We report a case with excellent outcome eight yr following LT. The subject was noted to have asymptomatic hepatosplenomegaly during an intercurrent illness, and LAL deficiency was confirmed with compound heterozygosity in the LIPA. Despite dietary fat restriction, he developed signs of progressive liver disease and subsequently developed hepatopulmonary syndrome. He underwent cadaveric LT at the age of nine and a half yr and recovered with prompt resolution of hepatopulmonary syndrome. Eight yr post-transplant he has normal growth, normal lipid profile, and liver and renal function tests. Liver histology showed no evidence of disease recurrence at this stage. LT in this subject resulted in an excellent functional correction of late-onset LAL deficiency.","author":[{"dropping-particle":"","family":"Sreekantam","given":"S","non-dropping-particle":"","parse-names":false,"suffix":""},{"dropping-particle":"","family":"Nicklaus-Wollenteit","given":"I","non-dropping-particle":"","parse-names":false,"suffix":""},{"dropping-particle":"","family":"Orr","given":"J","non-dropping-particle":"","parse-names":false,"suffix":""},{"dropping-particle":"","family":"Sharif","given":"K","non-dropping-particle":"","parse-names":false,"suffix":""},{"dropping-particle":"","family":"Vijay","given":"S","non-dropping-particle":"","parse-names":false,"suffix":""},{"dropping-particle":"","family":"McKiernan","given":"P J","non-dropping-particle":"","parse-names":false,"suffix":""},{"dropping-particle":"","family":"Santra","given":"S","non-dropping-particle":"","parse-names":false,"suffix":""}],"container-title":"Pediatric transplantation","id":"ITEM-1","issue":"6","issued":{"date-parts":[["2016","9"]]},"language":"eng","page":"851-854","publisher-place":"Denmark","title":"Successful long-term outcome of liver transplantation in late-onset lysosomal acid lipase deficiency.","type":"article","volume":"20"},"uris":["http://www.mendeley.com/documents/?uuid=9cf5fac1-72fa-4db5-a554-d2be2a46184d"]}],"mendeley":{"formattedCitation":"&lt;sup&gt;24&lt;/sup&gt;","plainTextFormattedCitation":"24","previouslyFormattedCitation":"&lt;sup&gt;24&lt;/sup&gt;"},"properties":{"noteIndex":0},"schema":"https://github.com/citation-style-language/schema/raw/master/csl-citation.json"}</w:instrText>
      </w:r>
      <w:r w:rsidR="00B227A9" w:rsidRPr="007F6B31">
        <w:rPr>
          <w:rFonts w:ascii="Book Antiqua" w:hAnsi="Book Antiqua" w:cs="Arial"/>
          <w:sz w:val="24"/>
          <w:szCs w:val="24"/>
          <w:vertAlign w:val="superscript"/>
          <w:lang w:val="en-GB"/>
        </w:rPr>
        <w:fldChar w:fldCharType="separate"/>
      </w:r>
      <w:r w:rsidR="00B227A9" w:rsidRPr="007F6B31">
        <w:rPr>
          <w:rFonts w:ascii="Book Antiqua" w:hAnsi="Book Antiqua" w:cs="Arial"/>
          <w:noProof/>
          <w:sz w:val="24"/>
          <w:szCs w:val="24"/>
          <w:vertAlign w:val="superscript"/>
          <w:lang w:val="en-GB"/>
        </w:rPr>
        <w:t>24</w:t>
      </w:r>
      <w:r w:rsidR="00B227A9" w:rsidRPr="007F6B31">
        <w:rPr>
          <w:rFonts w:ascii="Book Antiqua" w:hAnsi="Book Antiqua" w:cs="Arial"/>
          <w:sz w:val="24"/>
          <w:szCs w:val="24"/>
          <w:vertAlign w:val="superscript"/>
          <w:lang w:val="en-GB"/>
        </w:rPr>
        <w:fldChar w:fldCharType="end"/>
      </w:r>
      <w:r w:rsidR="00B227A9"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w:t>
      </w:r>
      <w:r w:rsidR="00B227A9" w:rsidRPr="007F6B31">
        <w:rPr>
          <w:rFonts w:ascii="Book Antiqua" w:hAnsi="Book Antiqua" w:cs="Arial"/>
          <w:sz w:val="24"/>
          <w:szCs w:val="24"/>
          <w:lang w:val="en-GB"/>
        </w:rPr>
        <w:t xml:space="preserve"> </w:t>
      </w:r>
      <w:proofErr w:type="spellStart"/>
      <w:r w:rsidR="009426AF" w:rsidRPr="007F6B31">
        <w:rPr>
          <w:rFonts w:ascii="Book Antiqua" w:hAnsi="Book Antiqua" w:cs="Arial"/>
          <w:sz w:val="24"/>
          <w:szCs w:val="24"/>
          <w:lang w:val="en-GB"/>
        </w:rPr>
        <w:t>Sebelipase</w:t>
      </w:r>
      <w:proofErr w:type="spellEnd"/>
      <w:r w:rsidR="009426AF" w:rsidRPr="007F6B31">
        <w:rPr>
          <w:rFonts w:ascii="Book Antiqua" w:hAnsi="Book Antiqua" w:cs="Arial"/>
          <w:sz w:val="24"/>
          <w:szCs w:val="24"/>
          <w:lang w:val="en-GB"/>
        </w:rPr>
        <w:t xml:space="preserve"> alfa is a recombinant human LAL that is produced in egg white from transgenic hens</w:t>
      </w:r>
      <w:r w:rsidR="00B227A9" w:rsidRPr="007F6B31">
        <w:rPr>
          <w:rFonts w:ascii="Book Antiqua" w:hAnsi="Book Antiqua" w:cs="Arial"/>
          <w:sz w:val="24"/>
          <w:szCs w:val="24"/>
          <w:vertAlign w:val="superscript"/>
          <w:lang w:val="en-GB"/>
        </w:rPr>
        <w:t>[</w:t>
      </w:r>
      <w:r w:rsidR="00B227A9" w:rsidRPr="007F6B31">
        <w:rPr>
          <w:rFonts w:ascii="Book Antiqua" w:hAnsi="Book Antiqua" w:cs="Arial"/>
          <w:sz w:val="24"/>
          <w:szCs w:val="24"/>
          <w:vertAlign w:val="superscript"/>
          <w:lang w:val="en-GB"/>
        </w:rPr>
        <w:fldChar w:fldCharType="begin" w:fldLock="1"/>
      </w:r>
      <w:r w:rsidR="00B227A9" w:rsidRPr="007F6B31">
        <w:rPr>
          <w:rFonts w:ascii="Book Antiqua" w:hAnsi="Book Antiqua" w:cs="Arial"/>
          <w:sz w:val="24"/>
          <w:szCs w:val="24"/>
          <w:vertAlign w:val="superscript"/>
          <w:lang w:val="en-GB"/>
        </w:rPr>
        <w:instrText>ADDIN CSL_CITATION {"citationItems":[{"id":"ITEM-1","itemData":{"DOI":"10.1002/hep.26289","ISSN":"1527-3350 (Electronic)","PMID":"23348766","abstract":"UNLABELLED: Cholesteryl ester storage disease (CESD), an inherited deficiency of  lysosomal acid lipase (LAL), is an underappreciated cause of progressive liver disease with no approved therapy. Presenting features include dyslipidemia, elevated transaminases, and hepatomegaly. To assess the clinical effects and safety of the recombinant human LAL, sebelipase alfa, nine patients received four once-weekly infusions (0.35, 1, or 3 mg.kg(-1) ) in LAL-CL01, which is the first human study of this investigational agent. Patients completing LAL-CL01 were eligible to enroll in the extension study (LAL-CL04) in which they again received four once-weekly infusions of sebelipase alfa (0.35, 1, or 3 mg.kg(-1) ) before transitioning to long-term every-other-week infusions (1 or 3 mg.kg(-1) ). Sebelipase alfa was well tolerated, with mostly mild adverse events unrelated to sebelipase alfa. No antidrug antibodies were detected. Transaminases decreased in patients in LAL-CL01 and increased between studies. In seven patients receiving ongoing sebelipase alfa treatment in LAL-CL04, the mean +/- standard deviation (SD) decreases for alanine transaminase and aspartate aminotransferase at week 12 compared to the baseline values in LAL-CL01 were 46 +/- 21 U/L (-52%) and 21 +/- 14 U/L (-36%), respectively (P &lt;/= 0.05). Through week 12 of LAL-CL04, these seven patients also showed mean decreases from baseline in total cholesterol of 44 +/- 41 mg/dL (-22%; P = 0.047), low density lipoprotein-cholesterol of 29 +/- 31 mg/dL (-27%; P = 0.078), and triglycerides of 50 +/- 38 mg/dL (-28%, P = 0.016) and increases in high density lipoprotein-cholesterol of 5 mg/dL (15%; P = 0.016). CONCLUSION: These data establish that sebelipase alfa, an investigational enzyme replacement, in patients with CESD is well tolerated, rapidly decreases serum transaminases, and that these improvements are sustained with long-term dosing and are accompanied by improvements in serum lipid profile.","author":[{"dropping-particle":"","family":"Balwani","given":"Manisha","non-dropping-particle":"","parse-names":false,"suffix":""},{"dropping-particle":"","family":"Breen","given":"Catherine","non-dropping-particle":"","parse-names":false,"suffix":""},{"dropping-particle":"","family":"Enns","given":"Gregory M","non-dropping-particle":"","parse-names":false,"suffix":""},{"dropping-particle":"","family":"Deegan","given":"Patrick B","non-dropping-particle":"","parse-names":false,"suffix":""},{"dropping-particle":"","family":"Honzik","given":"Tomas","non-dropping-particle":"","parse-names":false,"suffix":""},{"dropping-particle":"","family":"Jones","given":"Simon","non-dropping-particle":"","parse-names":false,"suffix":""},{"dropping-particle":"","family":"Kane","given":"John P","non-dropping-particle":"","parse-names":false,"suffix":""},{"dropping-particle":"","family":"Malinova","given":"Vera","non-dropping-particle":"","parse-names":false,"suffix":""},{"dropping-particle":"","family":"Sharma","given":"Reena","non-dropping-particle":"","parse-names":false,"suffix":""},{"dropping-particle":"","family":"Stock","given":"Eveline O","non-dropping-particle":"","parse-names":false,"suffix":""},{"dropping-particle":"","family":"Valayannopoulos","given":"Vassili","non-dropping-particle":"","parse-names":false,"suffix":""},{"dropping-particle":"","family":"Wraith","given":"J Edmond","non-dropping-particle":"","parse-names":false,"suffix":""},{"dropping-particle":"","family":"Burg","given":"Jennifer","non-dropping-particle":"","parse-names":false,"suffix":""},{"dropping-particle":"","family":"Eckert","given":"Stephen","non-dropping-particle":"","parse-names":false,"suffix":""},{"dropping-particle":"","family":"Schneider","given":"Eugene","non-dropping-particle":"","parse-names":false,"suffix":""},{"dropping-particle":"","family":"Quinn","given":"Anthony G","non-dropping-particle":"","parse-names":false,"suffix":""}],"container-title":"Hepatology (Baltimore, Md.)","id":"ITEM-1","issue":"3","issued":{"date-parts":[["2013","9"]]},"language":"eng","page":"950-957","publisher-place":"United States","title":"Clinical effect and safety profile of recombinant human lysosomal acid lipase in  patients with cholesteryl ester storage disease.","type":"article-journal","volume":"58"},"uris":["http://www.mendeley.com/documents/?uuid=4113189c-c110-48ce-9a49-274fdacdca98"]}],"mendeley":{"formattedCitation":"&lt;sup&gt;25&lt;/sup&gt;","plainTextFormattedCitation":"25","previouslyFormattedCitation":"&lt;sup&gt;25&lt;/sup&gt;"},"properties":{"noteIndex":0},"schema":"https://github.com/citation-style-language/schema/raw/master/csl-citation.json"}</w:instrText>
      </w:r>
      <w:r w:rsidR="00B227A9" w:rsidRPr="007F6B31">
        <w:rPr>
          <w:rFonts w:ascii="Book Antiqua" w:hAnsi="Book Antiqua" w:cs="Arial"/>
          <w:sz w:val="24"/>
          <w:szCs w:val="24"/>
          <w:vertAlign w:val="superscript"/>
          <w:lang w:val="en-GB"/>
        </w:rPr>
        <w:fldChar w:fldCharType="separate"/>
      </w:r>
      <w:r w:rsidR="00B227A9" w:rsidRPr="007F6B31">
        <w:rPr>
          <w:rFonts w:ascii="Book Antiqua" w:hAnsi="Book Antiqua" w:cs="Arial"/>
          <w:noProof/>
          <w:sz w:val="24"/>
          <w:szCs w:val="24"/>
          <w:vertAlign w:val="superscript"/>
          <w:lang w:val="en-GB"/>
        </w:rPr>
        <w:t>25</w:t>
      </w:r>
      <w:r w:rsidR="00B227A9" w:rsidRPr="007F6B31">
        <w:rPr>
          <w:rFonts w:ascii="Book Antiqua" w:hAnsi="Book Antiqua" w:cs="Arial"/>
          <w:sz w:val="24"/>
          <w:szCs w:val="24"/>
          <w:vertAlign w:val="superscript"/>
          <w:lang w:val="en-GB"/>
        </w:rPr>
        <w:fldChar w:fldCharType="end"/>
      </w:r>
      <w:r w:rsidR="00B227A9" w:rsidRPr="007F6B31">
        <w:rPr>
          <w:rFonts w:ascii="Book Antiqua" w:hAnsi="Book Antiqua" w:cs="Arial"/>
          <w:sz w:val="24"/>
          <w:szCs w:val="24"/>
          <w:vertAlign w:val="superscript"/>
          <w:lang w:val="en-GB"/>
        </w:rPr>
        <w:t>]</w:t>
      </w:r>
      <w:r w:rsidR="009426AF" w:rsidRPr="007F6B31">
        <w:rPr>
          <w:rFonts w:ascii="Book Antiqua" w:hAnsi="Book Antiqua" w:cs="Arial"/>
          <w:sz w:val="24"/>
          <w:szCs w:val="24"/>
          <w:lang w:val="en-GB"/>
        </w:rPr>
        <w:t>. The attached mannose-6-phosphate residue facilitates the lysosomal uptake of the recombinant enzyme, leading to hydrolysis of cholesteryl esters and triglycerides. The drug was approved for the treatment of LAL-D in 2015.</w:t>
      </w:r>
    </w:p>
    <w:p w14:paraId="09A0B874" w14:textId="51F9723E" w:rsidR="008602CE" w:rsidRPr="007F6B31" w:rsidRDefault="006A1D34" w:rsidP="001F2C55">
      <w:pPr>
        <w:snapToGrid w:val="0"/>
        <w:spacing w:after="0" w:line="360" w:lineRule="auto"/>
        <w:ind w:firstLineChars="100" w:firstLine="240"/>
        <w:jc w:val="both"/>
        <w:rPr>
          <w:rFonts w:ascii="Book Antiqua" w:hAnsi="Book Antiqua" w:cs="Arial"/>
          <w:color w:val="000000"/>
          <w:sz w:val="24"/>
          <w:szCs w:val="24"/>
          <w:shd w:val="clear" w:color="auto" w:fill="FFFFFF"/>
          <w:lang w:val="en-GB"/>
        </w:rPr>
      </w:pPr>
      <w:r w:rsidRPr="007F6B31">
        <w:rPr>
          <w:rFonts w:ascii="Book Antiqua" w:hAnsi="Book Antiqua" w:cs="Arial"/>
          <w:sz w:val="24"/>
          <w:szCs w:val="24"/>
          <w:lang w:val="en-GB"/>
        </w:rPr>
        <w:t>We undert</w:t>
      </w:r>
      <w:r w:rsidR="007770CF" w:rsidRPr="007F6B31">
        <w:rPr>
          <w:rFonts w:ascii="Book Antiqua" w:hAnsi="Book Antiqua" w:cs="Arial"/>
          <w:sz w:val="24"/>
          <w:szCs w:val="24"/>
          <w:lang w:val="en-GB"/>
        </w:rPr>
        <w:t xml:space="preserve">ook a cross-sectional </w:t>
      </w:r>
      <w:r w:rsidRPr="007F6B31">
        <w:rPr>
          <w:rFonts w:ascii="Book Antiqua" w:hAnsi="Book Antiqua" w:cs="Arial"/>
          <w:sz w:val="24"/>
          <w:szCs w:val="24"/>
          <w:lang w:val="en-GB"/>
        </w:rPr>
        <w:t xml:space="preserve">study evaluating </w:t>
      </w:r>
      <w:r w:rsidR="007770CF" w:rsidRPr="007F6B31">
        <w:rPr>
          <w:rFonts w:ascii="Book Antiqua" w:hAnsi="Book Antiqua" w:cs="Arial"/>
          <w:sz w:val="24"/>
          <w:szCs w:val="24"/>
          <w:lang w:val="en-GB"/>
        </w:rPr>
        <w:t>t</w:t>
      </w:r>
      <w:r w:rsidR="00181A4E" w:rsidRPr="007F6B31">
        <w:rPr>
          <w:rFonts w:ascii="Book Antiqua" w:hAnsi="Book Antiqua" w:cs="Arial"/>
          <w:sz w:val="24"/>
          <w:szCs w:val="24"/>
          <w:lang w:val="en-GB"/>
        </w:rPr>
        <w:t>w</w:t>
      </w:r>
      <w:r w:rsidR="00EA5034" w:rsidRPr="007F6B31">
        <w:rPr>
          <w:rFonts w:ascii="Book Antiqua" w:hAnsi="Book Antiqua" w:cs="Arial"/>
          <w:sz w:val="24"/>
          <w:szCs w:val="24"/>
          <w:lang w:val="en-GB"/>
        </w:rPr>
        <w:t>o siblings</w:t>
      </w:r>
      <w:r w:rsidR="007770CF" w:rsidRPr="007F6B31">
        <w:rPr>
          <w:rFonts w:ascii="Book Antiqua" w:hAnsi="Book Antiqua" w:cs="Arial"/>
          <w:sz w:val="24"/>
          <w:szCs w:val="24"/>
          <w:lang w:val="en-GB"/>
        </w:rPr>
        <w:t xml:space="preserve"> with </w:t>
      </w:r>
      <w:r w:rsidRPr="007F6B31">
        <w:rPr>
          <w:rFonts w:ascii="Book Antiqua" w:hAnsi="Book Antiqua" w:cs="Arial"/>
          <w:sz w:val="24"/>
          <w:szCs w:val="24"/>
          <w:lang w:val="en-GB"/>
        </w:rPr>
        <w:t xml:space="preserve">CESD and their first-line family members. The protocol </w:t>
      </w:r>
      <w:r w:rsidR="007770CF" w:rsidRPr="007F6B31">
        <w:rPr>
          <w:rFonts w:ascii="Book Antiqua" w:hAnsi="Book Antiqua" w:cs="Arial"/>
          <w:sz w:val="24"/>
          <w:szCs w:val="24"/>
          <w:lang w:val="en-GB"/>
        </w:rPr>
        <w:t>wa</w:t>
      </w:r>
      <w:r w:rsidRPr="007F6B31">
        <w:rPr>
          <w:rFonts w:ascii="Book Antiqua" w:hAnsi="Book Antiqua" w:cs="Arial"/>
          <w:sz w:val="24"/>
          <w:szCs w:val="24"/>
          <w:lang w:val="en-GB"/>
        </w:rPr>
        <w:t>s approved by the Danish Regional Ethics Committee (</w:t>
      </w:r>
      <w:r w:rsidR="007770CF" w:rsidRPr="007F6B31">
        <w:rPr>
          <w:rFonts w:ascii="Book Antiqua" w:hAnsi="Book Antiqua" w:cs="Arial"/>
          <w:sz w:val="24"/>
          <w:szCs w:val="24"/>
          <w:lang w:val="en-GB"/>
        </w:rPr>
        <w:t>H-18020170</w:t>
      </w:r>
      <w:r w:rsidRPr="007F6B31">
        <w:rPr>
          <w:rFonts w:ascii="Book Antiqua" w:hAnsi="Book Antiqua" w:cs="Arial"/>
          <w:sz w:val="24"/>
          <w:szCs w:val="24"/>
          <w:lang w:val="en-GB"/>
        </w:rPr>
        <w:t>)</w:t>
      </w:r>
      <w:r w:rsidR="007770CF" w:rsidRPr="007F6B31">
        <w:rPr>
          <w:rFonts w:ascii="Book Antiqua" w:hAnsi="Book Antiqua" w:cs="Arial"/>
          <w:sz w:val="24"/>
          <w:szCs w:val="24"/>
          <w:lang w:val="en-GB"/>
        </w:rPr>
        <w:t>. All participants gave their informed consent.</w:t>
      </w:r>
      <w:bookmarkStart w:id="10" w:name="_Hlk36062294"/>
      <w:r w:rsidR="00D432E1" w:rsidRPr="007F6B31">
        <w:rPr>
          <w:rFonts w:ascii="Book Antiqua" w:hAnsi="Book Antiqua" w:cs="Arial"/>
          <w:sz w:val="24"/>
          <w:szCs w:val="24"/>
          <w:lang w:val="en-GB"/>
        </w:rPr>
        <w:t xml:space="preserve"> </w:t>
      </w:r>
      <w:r w:rsidR="007770CF" w:rsidRPr="007F6B31">
        <w:rPr>
          <w:rFonts w:ascii="Book Antiqua" w:hAnsi="Book Antiqua" w:cs="Arial"/>
          <w:sz w:val="24"/>
          <w:szCs w:val="24"/>
          <w:lang w:val="en-GB"/>
        </w:rPr>
        <w:t xml:space="preserve">All participants underwent </w:t>
      </w:r>
      <w:r w:rsidRPr="007F6B31">
        <w:rPr>
          <w:rFonts w:ascii="Book Antiqua" w:hAnsi="Book Antiqua" w:cs="Arial"/>
          <w:sz w:val="24"/>
          <w:szCs w:val="24"/>
          <w:lang w:val="en-GB"/>
        </w:rPr>
        <w:t>abdominal ultrasound</w:t>
      </w:r>
      <w:r w:rsidR="00F85662" w:rsidRPr="007F6B31">
        <w:rPr>
          <w:rFonts w:ascii="Book Antiqua" w:hAnsi="Book Antiqua" w:cs="Arial"/>
          <w:sz w:val="24"/>
          <w:szCs w:val="24"/>
          <w:lang w:val="en-GB"/>
        </w:rPr>
        <w:t xml:space="preserve"> and</w:t>
      </w:r>
      <w:r w:rsidRPr="007F6B31">
        <w:rPr>
          <w:rFonts w:ascii="Book Antiqua" w:hAnsi="Book Antiqua" w:cs="Arial"/>
          <w:sz w:val="24"/>
          <w:szCs w:val="24"/>
          <w:lang w:val="en-GB"/>
        </w:rPr>
        <w:t xml:space="preserve"> </w:t>
      </w:r>
      <w:proofErr w:type="spellStart"/>
      <w:r w:rsidRPr="007F6B31">
        <w:rPr>
          <w:rFonts w:ascii="Book Antiqua" w:hAnsi="Book Antiqua" w:cs="Arial"/>
          <w:sz w:val="24"/>
          <w:szCs w:val="24"/>
          <w:lang w:val="en-GB"/>
        </w:rPr>
        <w:t>fibroscan</w:t>
      </w:r>
      <w:proofErr w:type="spellEnd"/>
      <w:r w:rsidRPr="007F6B31">
        <w:rPr>
          <w:rFonts w:ascii="Book Antiqua" w:hAnsi="Book Antiqua" w:cs="Arial"/>
          <w:sz w:val="24"/>
          <w:szCs w:val="24"/>
          <w:lang w:val="en-GB"/>
        </w:rPr>
        <w:t xml:space="preserve"> with </w:t>
      </w:r>
      <w:r w:rsidR="00CD50FF" w:rsidRPr="007F6B31">
        <w:rPr>
          <w:rFonts w:ascii="Book Antiqua" w:hAnsi="Book Antiqua" w:cs="Arial"/>
          <w:sz w:val="24"/>
          <w:szCs w:val="24"/>
          <w:lang w:val="en-GB"/>
        </w:rPr>
        <w:t>controlled attenuation parameter</w:t>
      </w:r>
      <w:r w:rsidR="00350917" w:rsidRPr="007F6B31">
        <w:rPr>
          <w:rFonts w:ascii="Book Antiqua" w:hAnsi="Book Antiqua" w:cs="Arial"/>
          <w:sz w:val="24"/>
          <w:szCs w:val="24"/>
          <w:lang w:val="en-GB"/>
        </w:rPr>
        <w:t xml:space="preserve"> (</w:t>
      </w:r>
      <w:r w:rsidRPr="007F6B31">
        <w:rPr>
          <w:rFonts w:ascii="Book Antiqua" w:hAnsi="Book Antiqua" w:cs="Arial"/>
          <w:sz w:val="24"/>
          <w:szCs w:val="24"/>
          <w:lang w:val="en-GB"/>
        </w:rPr>
        <w:t>CAP</w:t>
      </w:r>
      <w:r w:rsidR="00350917" w:rsidRPr="007F6B31">
        <w:rPr>
          <w:rFonts w:ascii="Book Antiqua" w:hAnsi="Book Antiqua" w:cs="Arial"/>
          <w:sz w:val="24"/>
          <w:szCs w:val="24"/>
          <w:lang w:val="en-GB"/>
        </w:rPr>
        <w:t>) and</w:t>
      </w:r>
      <w:r w:rsidR="008602CE" w:rsidRPr="007F6B31">
        <w:rPr>
          <w:rFonts w:ascii="Book Antiqua" w:hAnsi="Book Antiqua" w:cs="Arial"/>
          <w:i/>
          <w:iCs/>
          <w:sz w:val="24"/>
          <w:szCs w:val="24"/>
          <w:lang w:val="en-GB"/>
        </w:rPr>
        <w:t xml:space="preserve"> </w:t>
      </w:r>
      <w:r w:rsidR="008602CE" w:rsidRPr="007F6B31">
        <w:rPr>
          <w:rFonts w:ascii="Book Antiqua" w:hAnsi="Book Antiqua" w:cs="Arial"/>
          <w:sz w:val="24"/>
          <w:szCs w:val="24"/>
          <w:lang w:val="en-GB"/>
        </w:rPr>
        <w:t>routine blood test</w:t>
      </w:r>
      <w:r w:rsidR="00350917" w:rsidRPr="007F6B31">
        <w:rPr>
          <w:rFonts w:ascii="Book Antiqua" w:hAnsi="Book Antiqua" w:cs="Arial"/>
          <w:sz w:val="24"/>
          <w:szCs w:val="24"/>
          <w:lang w:val="en-GB"/>
        </w:rPr>
        <w:t xml:space="preserve">. </w:t>
      </w:r>
      <w:r w:rsidR="007D4328" w:rsidRPr="007F6B31">
        <w:rPr>
          <w:rFonts w:ascii="Book Antiqua" w:hAnsi="Book Antiqua" w:cs="Arial"/>
          <w:sz w:val="24"/>
          <w:szCs w:val="24"/>
          <w:lang w:val="en-GB"/>
        </w:rPr>
        <w:t>LAL activity was determined in</w:t>
      </w:r>
      <w:r w:rsidR="00350917" w:rsidRPr="007F6B31">
        <w:rPr>
          <w:rFonts w:ascii="Book Antiqua" w:hAnsi="Book Antiqua" w:cs="Arial"/>
          <w:sz w:val="24"/>
          <w:szCs w:val="24"/>
          <w:lang w:val="en-GB"/>
        </w:rPr>
        <w:t xml:space="preserve"> dried blood test</w:t>
      </w:r>
      <w:r w:rsidR="007D4328" w:rsidRPr="007F6B31">
        <w:rPr>
          <w:rFonts w:ascii="Book Antiqua" w:hAnsi="Book Antiqua" w:cs="Arial"/>
          <w:sz w:val="24"/>
          <w:szCs w:val="24"/>
          <w:lang w:val="en-GB"/>
        </w:rPr>
        <w:t xml:space="preserve"> (DBS) samples</w:t>
      </w:r>
      <w:r w:rsidR="008602CE" w:rsidRPr="007F6B31">
        <w:rPr>
          <w:rFonts w:ascii="Book Antiqua" w:hAnsi="Book Antiqua" w:cs="Arial"/>
          <w:sz w:val="24"/>
          <w:szCs w:val="24"/>
          <w:lang w:val="en-GB"/>
        </w:rPr>
        <w:t xml:space="preserve">. Further, genetic tests were carried out with targeted DNA sequencing of </w:t>
      </w:r>
      <w:r w:rsidR="008602CE" w:rsidRPr="007F6B31">
        <w:rPr>
          <w:rFonts w:ascii="Book Antiqua" w:hAnsi="Book Antiqua" w:cs="Arial"/>
          <w:i/>
          <w:iCs/>
          <w:sz w:val="24"/>
          <w:szCs w:val="24"/>
          <w:lang w:val="en-GB"/>
        </w:rPr>
        <w:t>LIPA</w:t>
      </w:r>
      <w:r w:rsidR="008602CE" w:rsidRPr="007F6B31">
        <w:rPr>
          <w:rFonts w:ascii="Book Antiqua" w:hAnsi="Book Antiqua" w:cs="Arial"/>
          <w:sz w:val="24"/>
          <w:szCs w:val="24"/>
          <w:lang w:val="en-GB"/>
        </w:rPr>
        <w:t xml:space="preserve"> to identify the variant(s) causing LAL-D in the siblings, and potential variants in the family members, was undertaken with whole genome sequencing</w:t>
      </w:r>
      <w:r w:rsidR="00B227A9" w:rsidRPr="007F6B31">
        <w:rPr>
          <w:rFonts w:ascii="Book Antiqua" w:hAnsi="Book Antiqua" w:cs="Arial"/>
          <w:sz w:val="24"/>
          <w:szCs w:val="24"/>
          <w:vertAlign w:val="superscript"/>
          <w:lang w:val="en-GB"/>
        </w:rPr>
        <w:t>[</w:t>
      </w:r>
      <w:r w:rsidR="00B227A9" w:rsidRPr="007F6B31">
        <w:rPr>
          <w:rFonts w:ascii="Book Antiqua" w:hAnsi="Book Antiqua" w:cs="Arial"/>
          <w:sz w:val="24"/>
          <w:szCs w:val="24"/>
          <w:vertAlign w:val="superscript"/>
          <w:lang w:val="en-GB"/>
        </w:rPr>
        <w:fldChar w:fldCharType="begin" w:fldLock="1"/>
      </w:r>
      <w:r w:rsidR="00B227A9" w:rsidRPr="007F6B31">
        <w:rPr>
          <w:rFonts w:ascii="Book Antiqua" w:hAnsi="Book Antiqua" w:cs="Arial"/>
          <w:sz w:val="24"/>
          <w:szCs w:val="24"/>
          <w:vertAlign w:val="superscript"/>
          <w:lang w:val="en-GB"/>
        </w:rPr>
        <w:instrText>ADDIN CSL_CITATION {"citationItems":[{"id":"ITEM-1","itemData":{"DOI":"10.1016/j.ymgme.2009.02.007","ISSN":"1096-7206 (Electronic)","PMID":"19307143","abstract":"Cholesteryl Ester Storage Disease (CESD) is a rare recessive disorder due to mutations in LIPA gene encoding the lysosomal acidic lipase (LAL). CESD patients have liver disease associated with mixed hyperlipidemia and low plasma levels of high-density lipoproteins (HDL). The aim of this study was the molecular characterization of three patients with CESD. LAL activity was measured in blood leukocytes. In two patients (twin sisters) the clinical diagnosis of CESD was made at 9 years of age, following the fortuitous discovery of elevated serum liver enzymes in apparently healthy children. They had mixed hyperlipidemia, hepatosplenomegaly, reduced LAL activity (approximately 5% of control) and heteroalleic mutations in LIPA gene coding sequence: (i) the common c.894 G&gt;A mutation and (ii) a novel nonsense mutation c.652 C&gt;T (p.R218X). The other patient was an 80 year-old female who for several years had been treated with simvastatin because of severe hyperlipidemia associated with low plasma HDL. In this patient the sequence of major candidate genes for monogenic hypercholesterolemia and hypoalphalipoproteinemia was negative. She was found to be a compound heterozygote for two LIPA gene mutations resulting in 5% LAL activity: (i) c.894 G&gt;A and (ii) a novel complex insertion/deletion leading to a premature termination codon at position 82. These findings suggest that, in view of the variable severity of its phenotypic expression, CESD may sometimes be difficult to diagnose, but it should be considered in patients with severe type IIb hyperlipidemia associated with low HDL, mildly elevated serum liver enzymes and hepatomegaly.","author":[{"dropping-particle":"","family":"Pisciotta","given":"Livia","non-dropping-particle":"","parse-names":false,"suffix":""},{"dropping-particle":"","family":"Fresa","given":"Raffaele","non-dropping-particle":"","parse-names":false,"suffix":""},{"dropping-particle":"","family":"Bellocchio","given":"Antonella","non-dropping-particle":"","parse-names":false,"suffix":""},{"dropping-particle":"","family":"Pino","given":"Elisabetta","non-dropping-particle":"","parse-names":false,"suffix":""},{"dropping-particle":"","family":"Guido","given":"Virgilia","non-dropping-particle":"","parse-names":false,"suffix":""},{"dropping-particle":"","family":"Cantafora","given":"Alfredo","non-dropping-particle":"","parse-names":false,"suffix":""},{"dropping-particle":"","family":"Rocco","given":"Maja","non-dropping-particle":"Di","parse-names":false,"suffix":""},{"dropping-particle":"","family":"Calandra","given":"Sebastiano","non-dropping-particle":"","parse-names":false,"suffix":""},{"dropping-particle":"","family":"Bertolini","given":"Stefano","non-dropping-particle":"","parse-names":false,"suffix":""}],"container-title":"Molecular genetics and metabolism","id":"ITEM-1","issue":"2","issued":{"date-parts":[["2009","6"]]},"language":"eng","page":"143-148","publisher-place":"United States","title":"Cholesteryl Ester Storage Disease (CESD) due to novel mutations in the LIPA gene.","type":"article-journal","volume":"97"},"uris":["http://www.mendeley.com/documents/?uuid=e938e8bd-9adc-4801-a960-ca29fe437b20"]}],"mendeley":{"formattedCitation":"&lt;sup&gt;12&lt;/sup&gt;","plainTextFormattedCitation":"12","previouslyFormattedCitation":"&lt;sup&gt;12&lt;/sup&gt;"},"properties":{"noteIndex":0},"schema":"https://github.com/citation-style-language/schema/raw/master/csl-citation.json"}</w:instrText>
      </w:r>
      <w:r w:rsidR="00B227A9" w:rsidRPr="007F6B31">
        <w:rPr>
          <w:rFonts w:ascii="Book Antiqua" w:hAnsi="Book Antiqua" w:cs="Arial"/>
          <w:sz w:val="24"/>
          <w:szCs w:val="24"/>
          <w:vertAlign w:val="superscript"/>
          <w:lang w:val="en-GB"/>
        </w:rPr>
        <w:fldChar w:fldCharType="separate"/>
      </w:r>
      <w:r w:rsidR="00B227A9" w:rsidRPr="007F6B31">
        <w:rPr>
          <w:rFonts w:ascii="Book Antiqua" w:hAnsi="Book Antiqua" w:cs="Arial"/>
          <w:noProof/>
          <w:sz w:val="24"/>
          <w:szCs w:val="24"/>
          <w:vertAlign w:val="superscript"/>
          <w:lang w:val="en-GB"/>
        </w:rPr>
        <w:t>12</w:t>
      </w:r>
      <w:r w:rsidR="00B227A9" w:rsidRPr="007F6B31">
        <w:rPr>
          <w:rFonts w:ascii="Book Antiqua" w:hAnsi="Book Antiqua" w:cs="Arial"/>
          <w:sz w:val="24"/>
          <w:szCs w:val="24"/>
          <w:vertAlign w:val="superscript"/>
          <w:lang w:val="en-GB"/>
        </w:rPr>
        <w:fldChar w:fldCharType="end"/>
      </w:r>
      <w:r w:rsidR="00B227A9" w:rsidRPr="007F6B31">
        <w:rPr>
          <w:rFonts w:ascii="Book Antiqua" w:hAnsi="Book Antiqua" w:cs="Arial"/>
          <w:sz w:val="24"/>
          <w:szCs w:val="24"/>
          <w:vertAlign w:val="superscript"/>
          <w:lang w:val="en-GB"/>
        </w:rPr>
        <w:t>]</w:t>
      </w:r>
      <w:r w:rsidR="008602CE" w:rsidRPr="007F6B31">
        <w:rPr>
          <w:rFonts w:ascii="Book Antiqua" w:hAnsi="Book Antiqua" w:cs="Arial"/>
          <w:sz w:val="24"/>
          <w:szCs w:val="24"/>
          <w:lang w:val="en-GB"/>
        </w:rPr>
        <w:t xml:space="preserve">. In addition, genetic variants affecting the interaction between pathways that could increase the risk of developing fibrosis and cirrhosis in CESD were assessed based on analyses for </w:t>
      </w:r>
      <w:r w:rsidR="001E50D4" w:rsidRPr="007F6B31">
        <w:rPr>
          <w:rFonts w:ascii="Book Antiqua" w:hAnsi="Book Antiqua" w:cs="Arial"/>
          <w:sz w:val="24"/>
          <w:szCs w:val="24"/>
          <w:lang w:val="en-GB"/>
        </w:rPr>
        <w:t>single nucleotide polymorphism</w:t>
      </w:r>
      <w:r w:rsidR="00225324" w:rsidRPr="007F6B31">
        <w:rPr>
          <w:rFonts w:ascii="Book Antiqua" w:hAnsi="Book Antiqua" w:cs="Arial"/>
          <w:sz w:val="24"/>
          <w:szCs w:val="24"/>
          <w:lang w:val="en-US"/>
        </w:rPr>
        <w:t>s (</w:t>
      </w:r>
      <w:r w:rsidR="008602CE" w:rsidRPr="007F6B31">
        <w:rPr>
          <w:rFonts w:ascii="Book Antiqua" w:hAnsi="Book Antiqua" w:cs="Arial"/>
          <w:sz w:val="24"/>
          <w:szCs w:val="24"/>
          <w:lang w:val="en-GB"/>
        </w:rPr>
        <w:t>SNPs</w:t>
      </w:r>
      <w:proofErr w:type="gramStart"/>
      <w:r w:rsidR="00225324" w:rsidRPr="007F6B31">
        <w:rPr>
          <w:rFonts w:ascii="Book Antiqua" w:hAnsi="Book Antiqua" w:cs="Arial"/>
          <w:sz w:val="24"/>
          <w:szCs w:val="24"/>
          <w:lang w:val="en-GB"/>
        </w:rPr>
        <w:t>)</w:t>
      </w:r>
      <w:r w:rsidR="00B42869" w:rsidRPr="007F6B31">
        <w:rPr>
          <w:rFonts w:ascii="Book Antiqua" w:hAnsi="Book Antiqua" w:cs="Arial"/>
          <w:sz w:val="24"/>
          <w:szCs w:val="24"/>
          <w:vertAlign w:val="superscript"/>
          <w:lang w:val="en-GB"/>
        </w:rPr>
        <w:t>[</w:t>
      </w:r>
      <w:proofErr w:type="gramEnd"/>
      <w:r w:rsidR="00B42869" w:rsidRPr="007F6B31">
        <w:rPr>
          <w:rFonts w:ascii="Book Antiqua" w:hAnsi="Book Antiqua" w:cs="Arial"/>
          <w:sz w:val="24"/>
          <w:szCs w:val="24"/>
          <w:vertAlign w:val="superscript"/>
          <w:lang w:val="en-GB"/>
        </w:rPr>
        <w:t>26-29]</w:t>
      </w:r>
      <w:r w:rsidR="009426AF" w:rsidRPr="007F6B31">
        <w:rPr>
          <w:rFonts w:ascii="Book Antiqua" w:hAnsi="Book Antiqua" w:cs="Arial"/>
          <w:sz w:val="24"/>
          <w:szCs w:val="24"/>
          <w:lang w:val="en-GB"/>
        </w:rPr>
        <w:t>.</w:t>
      </w:r>
    </w:p>
    <w:p w14:paraId="2F8FB096" w14:textId="16336180" w:rsidR="00D432E1" w:rsidRPr="007F6B31" w:rsidRDefault="00CA6F16" w:rsidP="001F2C55">
      <w:pPr>
        <w:snapToGrid w:val="0"/>
        <w:spacing w:after="0" w:line="360" w:lineRule="auto"/>
        <w:ind w:firstLineChars="100" w:firstLine="240"/>
        <w:jc w:val="both"/>
        <w:rPr>
          <w:rFonts w:ascii="Book Antiqua" w:hAnsi="Book Antiqua" w:cs="Arial"/>
          <w:sz w:val="24"/>
          <w:szCs w:val="24"/>
          <w:lang w:val="en-GB"/>
        </w:rPr>
      </w:pPr>
      <w:r w:rsidRPr="007F6B31">
        <w:rPr>
          <w:rFonts w:ascii="Book Antiqua" w:hAnsi="Book Antiqua" w:cs="Arial"/>
          <w:sz w:val="24"/>
          <w:szCs w:val="24"/>
          <w:lang w:val="en-GB"/>
        </w:rPr>
        <w:lastRenderedPageBreak/>
        <w:t>CESD</w:t>
      </w:r>
      <w:r w:rsidR="00350917" w:rsidRPr="007F6B31">
        <w:rPr>
          <w:rFonts w:ascii="Book Antiqua" w:hAnsi="Book Antiqua" w:cs="Arial"/>
          <w:sz w:val="24"/>
          <w:szCs w:val="24"/>
          <w:lang w:val="en-GB"/>
        </w:rPr>
        <w:t xml:space="preserve"> </w:t>
      </w:r>
      <w:r w:rsidR="00D432E1" w:rsidRPr="007F6B31">
        <w:rPr>
          <w:rFonts w:ascii="Book Antiqua" w:hAnsi="Book Antiqua" w:cs="Arial"/>
          <w:sz w:val="24"/>
          <w:szCs w:val="24"/>
          <w:lang w:val="en-GB"/>
        </w:rPr>
        <w:t xml:space="preserve">patients </w:t>
      </w:r>
      <w:r w:rsidRPr="007F6B31">
        <w:rPr>
          <w:rFonts w:ascii="Book Antiqua" w:hAnsi="Book Antiqua" w:cs="Arial"/>
          <w:sz w:val="24"/>
          <w:szCs w:val="24"/>
          <w:lang w:val="en-GB"/>
        </w:rPr>
        <w:t>underwent</w:t>
      </w:r>
      <w:r w:rsidR="008602CE" w:rsidRPr="007F6B31">
        <w:rPr>
          <w:rFonts w:ascii="Book Antiqua" w:hAnsi="Book Antiqua" w:cs="Arial"/>
          <w:sz w:val="24"/>
          <w:szCs w:val="24"/>
          <w:lang w:val="en-GB"/>
        </w:rPr>
        <w:t xml:space="preserve"> </w:t>
      </w:r>
      <w:r w:rsidR="009426AF" w:rsidRPr="007F6B31">
        <w:rPr>
          <w:rFonts w:ascii="Book Antiqua" w:hAnsi="Book Antiqua" w:cs="Arial"/>
          <w:sz w:val="24"/>
          <w:szCs w:val="24"/>
          <w:lang w:val="en-GB"/>
        </w:rPr>
        <w:t>extended diagnostic imaging with</w:t>
      </w:r>
      <w:r w:rsidRPr="007F6B31">
        <w:rPr>
          <w:rFonts w:ascii="Book Antiqua" w:hAnsi="Book Antiqua" w:cs="Arial"/>
          <w:sz w:val="24"/>
          <w:szCs w:val="24"/>
          <w:lang w:val="en-GB"/>
        </w:rPr>
        <w:t xml:space="preserve"> myocardial perfusion </w:t>
      </w:r>
      <w:r w:rsidR="0080524D" w:rsidRPr="007F6B31">
        <w:rPr>
          <w:rFonts w:ascii="Book Antiqua" w:hAnsi="Book Antiqua" w:cs="Arial"/>
          <w:sz w:val="24"/>
          <w:szCs w:val="24"/>
          <w:lang w:val="en-GB"/>
        </w:rPr>
        <w:t>s</w:t>
      </w:r>
      <w:r w:rsidRPr="007F6B31">
        <w:rPr>
          <w:rFonts w:ascii="Book Antiqua" w:hAnsi="Book Antiqua" w:cs="Arial"/>
          <w:sz w:val="24"/>
          <w:szCs w:val="24"/>
          <w:lang w:val="en-GB"/>
        </w:rPr>
        <w:t>cintigraphy</w:t>
      </w:r>
      <w:r w:rsidR="0080524D" w:rsidRPr="007F6B31">
        <w:rPr>
          <w:rFonts w:ascii="Book Antiqua" w:hAnsi="Book Antiqua" w:cs="Arial"/>
          <w:sz w:val="24"/>
          <w:szCs w:val="24"/>
          <w:lang w:val="en-GB"/>
        </w:rPr>
        <w:t>,</w:t>
      </w:r>
      <w:r w:rsidRPr="007F6B31">
        <w:rPr>
          <w:rFonts w:ascii="Book Antiqua" w:hAnsi="Book Antiqua" w:cs="Arial"/>
          <w:sz w:val="24"/>
          <w:szCs w:val="24"/>
          <w:lang w:val="en-GB"/>
        </w:rPr>
        <w:t xml:space="preserve"> combined with a cardiac single </w:t>
      </w:r>
      <w:r w:rsidR="0080524D" w:rsidRPr="007F6B31">
        <w:rPr>
          <w:rFonts w:ascii="Book Antiqua" w:hAnsi="Book Antiqua" w:cs="Arial"/>
          <w:sz w:val="24"/>
          <w:szCs w:val="24"/>
          <w:lang w:val="en-GB"/>
        </w:rPr>
        <w:t>p</w:t>
      </w:r>
      <w:r w:rsidRPr="007F6B31">
        <w:rPr>
          <w:rFonts w:ascii="Book Antiqua" w:hAnsi="Book Antiqua" w:cs="Arial"/>
          <w:sz w:val="24"/>
          <w:szCs w:val="24"/>
          <w:lang w:val="en-GB"/>
        </w:rPr>
        <w:t xml:space="preserve">hoton </w:t>
      </w:r>
      <w:r w:rsidR="0080524D" w:rsidRPr="007F6B31">
        <w:rPr>
          <w:rFonts w:ascii="Book Antiqua" w:hAnsi="Book Antiqua" w:cs="Arial"/>
          <w:sz w:val="24"/>
          <w:szCs w:val="24"/>
          <w:lang w:val="en-GB"/>
        </w:rPr>
        <w:t>e</w:t>
      </w:r>
      <w:r w:rsidRPr="007F6B31">
        <w:rPr>
          <w:rFonts w:ascii="Book Antiqua" w:hAnsi="Book Antiqua" w:cs="Arial"/>
          <w:sz w:val="24"/>
          <w:szCs w:val="24"/>
          <w:lang w:val="en-GB"/>
        </w:rPr>
        <w:t xml:space="preserve">mission </w:t>
      </w:r>
      <w:r w:rsidR="0080524D" w:rsidRPr="007F6B31">
        <w:rPr>
          <w:rFonts w:ascii="Book Antiqua" w:hAnsi="Book Antiqua" w:cs="Arial"/>
          <w:sz w:val="24"/>
          <w:szCs w:val="24"/>
          <w:lang w:val="en-GB"/>
        </w:rPr>
        <w:t>c</w:t>
      </w:r>
      <w:r w:rsidRPr="007F6B31">
        <w:rPr>
          <w:rFonts w:ascii="Book Antiqua" w:hAnsi="Book Antiqua" w:cs="Arial"/>
          <w:sz w:val="24"/>
          <w:szCs w:val="24"/>
          <w:lang w:val="en-GB"/>
        </w:rPr>
        <w:t xml:space="preserve">omputed </w:t>
      </w:r>
      <w:r w:rsidR="0080524D" w:rsidRPr="007F6B31">
        <w:rPr>
          <w:rFonts w:ascii="Book Antiqua" w:hAnsi="Book Antiqua" w:cs="Arial"/>
          <w:sz w:val="24"/>
          <w:szCs w:val="24"/>
          <w:lang w:val="en-GB"/>
        </w:rPr>
        <w:t>t</w:t>
      </w:r>
      <w:r w:rsidRPr="007F6B31">
        <w:rPr>
          <w:rFonts w:ascii="Book Antiqua" w:hAnsi="Book Antiqua" w:cs="Arial"/>
          <w:sz w:val="24"/>
          <w:szCs w:val="24"/>
          <w:lang w:val="en-GB"/>
        </w:rPr>
        <w:t>omography (SPECT)</w:t>
      </w:r>
      <w:r w:rsidR="00F85662" w:rsidRPr="007F6B31">
        <w:rPr>
          <w:rFonts w:ascii="Book Antiqua" w:hAnsi="Book Antiqua" w:cs="Arial"/>
          <w:sz w:val="24"/>
          <w:szCs w:val="24"/>
          <w:lang w:val="en-GB"/>
        </w:rPr>
        <w:t>,</w:t>
      </w:r>
      <w:r w:rsidRPr="007F6B31">
        <w:rPr>
          <w:rFonts w:ascii="Book Antiqua" w:hAnsi="Book Antiqua" w:cs="Arial"/>
          <w:sz w:val="24"/>
          <w:szCs w:val="24"/>
          <w:lang w:val="en-GB"/>
        </w:rPr>
        <w:t xml:space="preserve"> with stress test as indicated for the diagnosis of coronary artery diseases and to evaluate myocardial blood flow, </w:t>
      </w:r>
      <w:r w:rsidR="00F85662" w:rsidRPr="007F6B31">
        <w:rPr>
          <w:rFonts w:ascii="Book Antiqua" w:hAnsi="Book Antiqua" w:cs="Arial"/>
          <w:sz w:val="24"/>
          <w:szCs w:val="24"/>
          <w:lang w:val="en-GB"/>
        </w:rPr>
        <w:t xml:space="preserve">as well as </w:t>
      </w:r>
      <w:r w:rsidRPr="007F6B31">
        <w:rPr>
          <w:rFonts w:ascii="Book Antiqua" w:hAnsi="Book Antiqua" w:cs="Arial"/>
          <w:sz w:val="24"/>
          <w:szCs w:val="24"/>
          <w:lang w:val="en-GB"/>
        </w:rPr>
        <w:t>cardiac magnetic resonance imaging</w:t>
      </w:r>
      <w:r w:rsidR="00EC38DC" w:rsidRPr="007F6B31">
        <w:rPr>
          <w:rFonts w:ascii="Book Antiqua" w:hAnsi="Book Antiqua" w:cs="Arial"/>
          <w:sz w:val="24"/>
          <w:szCs w:val="24"/>
          <w:lang w:val="en-GB"/>
        </w:rPr>
        <w:t xml:space="preserve"> (MRI)</w:t>
      </w:r>
      <w:r w:rsidRPr="007F6B31">
        <w:rPr>
          <w:rFonts w:ascii="Book Antiqua" w:hAnsi="Book Antiqua" w:cs="Arial"/>
          <w:sz w:val="24"/>
          <w:szCs w:val="24"/>
          <w:lang w:val="en-GB"/>
        </w:rPr>
        <w:t xml:space="preserve"> and gastroduodenoscopy. </w:t>
      </w:r>
      <w:bookmarkEnd w:id="10"/>
    </w:p>
    <w:p w14:paraId="70FA7021" w14:textId="77777777" w:rsidR="00D432E1" w:rsidRPr="007F6B31" w:rsidRDefault="00D432E1" w:rsidP="001F2C55">
      <w:pPr>
        <w:snapToGrid w:val="0"/>
        <w:spacing w:after="0" w:line="360" w:lineRule="auto"/>
        <w:jc w:val="both"/>
        <w:rPr>
          <w:rFonts w:ascii="Book Antiqua" w:hAnsi="Book Antiqua" w:cs="Arial"/>
          <w:b/>
          <w:sz w:val="24"/>
          <w:szCs w:val="24"/>
          <w:lang w:val="en-GB"/>
        </w:rPr>
      </w:pPr>
    </w:p>
    <w:p w14:paraId="21B33916" w14:textId="77777777" w:rsidR="001E50D4" w:rsidRPr="007F6B31" w:rsidRDefault="001E50D4" w:rsidP="001E50D4">
      <w:pPr>
        <w:spacing w:after="0" w:line="360" w:lineRule="auto"/>
        <w:jc w:val="both"/>
        <w:rPr>
          <w:rFonts w:ascii="Book Antiqua" w:hAnsi="Book Antiqua" w:cstheme="minorHAnsi"/>
          <w:b/>
          <w:sz w:val="24"/>
          <w:szCs w:val="24"/>
          <w:u w:val="single"/>
          <w:lang w:val="en-US"/>
        </w:rPr>
      </w:pPr>
      <w:r w:rsidRPr="007F6B31">
        <w:rPr>
          <w:rFonts w:ascii="Book Antiqua" w:hAnsi="Book Antiqua" w:cstheme="minorHAnsi"/>
          <w:b/>
          <w:sz w:val="24"/>
          <w:szCs w:val="24"/>
          <w:u w:val="single"/>
          <w:lang w:val="en-US"/>
        </w:rPr>
        <w:t>CASE PRESENTATION</w:t>
      </w:r>
    </w:p>
    <w:p w14:paraId="208B4447" w14:textId="076CA2FC" w:rsidR="005F42F3" w:rsidRPr="007F6B31" w:rsidRDefault="005F42F3" w:rsidP="001F2C55">
      <w:pPr>
        <w:snapToGrid w:val="0"/>
        <w:spacing w:after="0" w:line="360" w:lineRule="auto"/>
        <w:jc w:val="both"/>
        <w:rPr>
          <w:rFonts w:ascii="Book Antiqua" w:hAnsi="Book Antiqua" w:cs="Arial"/>
          <w:b/>
          <w:i/>
          <w:iCs/>
          <w:sz w:val="24"/>
          <w:szCs w:val="24"/>
          <w:lang w:val="en-GB"/>
        </w:rPr>
      </w:pPr>
      <w:r w:rsidRPr="007F6B31">
        <w:rPr>
          <w:rFonts w:ascii="Book Antiqua" w:hAnsi="Book Antiqua" w:cs="Arial"/>
          <w:b/>
          <w:i/>
          <w:iCs/>
          <w:sz w:val="24"/>
          <w:szCs w:val="24"/>
          <w:lang w:val="en-GB"/>
        </w:rPr>
        <w:t>Chief complaints</w:t>
      </w:r>
    </w:p>
    <w:p w14:paraId="77F46C6D" w14:textId="4E9007DE" w:rsidR="004409B7" w:rsidRPr="007F6B31" w:rsidRDefault="00E3219A" w:rsidP="001F2C55">
      <w:pPr>
        <w:snapToGrid w:val="0"/>
        <w:spacing w:after="0" w:line="360" w:lineRule="auto"/>
        <w:jc w:val="both"/>
        <w:rPr>
          <w:rFonts w:ascii="Book Antiqua" w:hAnsi="Book Antiqua" w:cs="Arial"/>
          <w:bCs/>
          <w:sz w:val="24"/>
          <w:szCs w:val="24"/>
          <w:lang w:val="en-GB"/>
        </w:rPr>
      </w:pPr>
      <w:r w:rsidRPr="007F6B31">
        <w:rPr>
          <w:rFonts w:ascii="Book Antiqua" w:hAnsi="Book Antiqua" w:cs="Arial"/>
          <w:sz w:val="24"/>
          <w:szCs w:val="24"/>
          <w:lang w:val="en-GB"/>
        </w:rPr>
        <w:t>We assessed two siblings with confirmed CESD, a 59-year-old female and a 61-year-old male, of Scandinavian heritage,</w:t>
      </w:r>
      <w:r w:rsidR="004409B7" w:rsidRPr="007F6B31">
        <w:rPr>
          <w:rFonts w:ascii="Book Antiqua" w:hAnsi="Book Antiqua" w:cs="Arial"/>
          <w:sz w:val="24"/>
          <w:szCs w:val="24"/>
          <w:lang w:val="en-GB"/>
        </w:rPr>
        <w:t xml:space="preserve"> in order to </w:t>
      </w:r>
      <w:r w:rsidR="004409B7" w:rsidRPr="007F6B31">
        <w:rPr>
          <w:rFonts w:ascii="Book Antiqua" w:hAnsi="Book Antiqua" w:cs="Arial"/>
          <w:bCs/>
          <w:sz w:val="24"/>
          <w:szCs w:val="24"/>
          <w:lang w:val="en-GB"/>
        </w:rPr>
        <w:t xml:space="preserve">systematically evaluate CESD in these patients, and evaluate possible </w:t>
      </w:r>
      <w:r w:rsidR="004409B7" w:rsidRPr="007F6B31">
        <w:rPr>
          <w:rFonts w:ascii="Book Antiqua" w:hAnsi="Book Antiqua" w:cs="Arial"/>
          <w:bCs/>
          <w:i/>
          <w:iCs/>
          <w:sz w:val="24"/>
          <w:szCs w:val="24"/>
          <w:lang w:val="en-GB"/>
        </w:rPr>
        <w:t>LIPA</w:t>
      </w:r>
      <w:r w:rsidR="004409B7" w:rsidRPr="007F6B31">
        <w:rPr>
          <w:rFonts w:ascii="Book Antiqua" w:hAnsi="Book Antiqua" w:cs="Arial"/>
          <w:bCs/>
          <w:sz w:val="24"/>
          <w:szCs w:val="24"/>
          <w:lang w:val="en-GB"/>
        </w:rPr>
        <w:t xml:space="preserve"> carriers.</w:t>
      </w:r>
    </w:p>
    <w:p w14:paraId="068AAE49" w14:textId="77777777" w:rsidR="00B227A9" w:rsidRPr="007F6B31" w:rsidRDefault="00B227A9" w:rsidP="001F2C55">
      <w:pPr>
        <w:snapToGrid w:val="0"/>
        <w:spacing w:after="0" w:line="360" w:lineRule="auto"/>
        <w:jc w:val="both"/>
        <w:rPr>
          <w:rFonts w:ascii="Book Antiqua" w:hAnsi="Book Antiqua" w:cs="Arial"/>
          <w:sz w:val="24"/>
          <w:szCs w:val="24"/>
          <w:lang w:val="en-GB"/>
        </w:rPr>
      </w:pPr>
    </w:p>
    <w:p w14:paraId="4F1369D4" w14:textId="6B7445F2" w:rsidR="005F42F3" w:rsidRPr="007F6B31" w:rsidRDefault="005F42F3" w:rsidP="001F2C55">
      <w:pPr>
        <w:snapToGrid w:val="0"/>
        <w:spacing w:after="0" w:line="360" w:lineRule="auto"/>
        <w:jc w:val="both"/>
        <w:rPr>
          <w:rFonts w:ascii="Book Antiqua" w:hAnsi="Book Antiqua" w:cs="Arial"/>
          <w:b/>
          <w:i/>
          <w:iCs/>
          <w:sz w:val="24"/>
          <w:szCs w:val="24"/>
          <w:lang w:val="en-GB"/>
        </w:rPr>
      </w:pPr>
      <w:r w:rsidRPr="007F6B31">
        <w:rPr>
          <w:rFonts w:ascii="Book Antiqua" w:hAnsi="Book Antiqua" w:cs="Arial"/>
          <w:b/>
          <w:i/>
          <w:iCs/>
          <w:sz w:val="24"/>
          <w:szCs w:val="24"/>
          <w:lang w:val="en-GB"/>
        </w:rPr>
        <w:t>History of present illness</w:t>
      </w:r>
    </w:p>
    <w:p w14:paraId="06B216D5" w14:textId="114CE9CF" w:rsidR="004409B7" w:rsidRPr="007F6B31" w:rsidRDefault="008536ED" w:rsidP="001F2C55">
      <w:pPr>
        <w:snapToGrid w:val="0"/>
        <w:spacing w:after="0" w:line="360" w:lineRule="auto"/>
        <w:jc w:val="both"/>
        <w:rPr>
          <w:rFonts w:ascii="Book Antiqua" w:hAnsi="Book Antiqua" w:cs="Arial"/>
          <w:bCs/>
          <w:sz w:val="24"/>
          <w:szCs w:val="24"/>
          <w:lang w:val="en-GB"/>
        </w:rPr>
      </w:pPr>
      <w:r w:rsidRPr="007F6B31">
        <w:rPr>
          <w:rFonts w:ascii="Book Antiqua" w:hAnsi="Book Antiqua" w:cs="Arial"/>
          <w:bCs/>
          <w:sz w:val="24"/>
          <w:szCs w:val="24"/>
          <w:lang w:val="en-GB"/>
        </w:rPr>
        <w:t xml:space="preserve">The </w:t>
      </w:r>
      <w:r w:rsidR="002C54F7" w:rsidRPr="007F6B31">
        <w:rPr>
          <w:rFonts w:ascii="Book Antiqua" w:hAnsi="Book Antiqua" w:cs="Arial"/>
          <w:bCs/>
          <w:sz w:val="24"/>
          <w:szCs w:val="24"/>
          <w:lang w:val="en-GB"/>
        </w:rPr>
        <w:t xml:space="preserve">patients have </w:t>
      </w:r>
      <w:r w:rsidR="004409B7" w:rsidRPr="007F6B31">
        <w:rPr>
          <w:rFonts w:ascii="Book Antiqua" w:hAnsi="Book Antiqua" w:cs="Arial"/>
          <w:bCs/>
          <w:sz w:val="24"/>
          <w:szCs w:val="24"/>
          <w:lang w:val="en-GB"/>
        </w:rPr>
        <w:t xml:space="preserve">experienced persisting gastrointestinal symptoms ever since </w:t>
      </w:r>
      <w:r w:rsidR="00FA0336" w:rsidRPr="007F6B31">
        <w:rPr>
          <w:rFonts w:ascii="Book Antiqua" w:hAnsi="Book Antiqua" w:cs="Arial"/>
          <w:bCs/>
          <w:sz w:val="24"/>
          <w:szCs w:val="24"/>
          <w:lang w:val="en-GB"/>
        </w:rPr>
        <w:t xml:space="preserve">the </w:t>
      </w:r>
      <w:r w:rsidR="004409B7" w:rsidRPr="007F6B31">
        <w:rPr>
          <w:rFonts w:ascii="Book Antiqua" w:hAnsi="Book Antiqua" w:cs="Arial"/>
          <w:bCs/>
          <w:sz w:val="24"/>
          <w:szCs w:val="24"/>
          <w:lang w:val="en-GB"/>
        </w:rPr>
        <w:t>first diagnosis.</w:t>
      </w:r>
    </w:p>
    <w:p w14:paraId="4EB26205" w14:textId="77777777" w:rsidR="00B227A9" w:rsidRPr="007F6B31" w:rsidRDefault="00B227A9" w:rsidP="001F2C55">
      <w:pPr>
        <w:snapToGrid w:val="0"/>
        <w:spacing w:after="0" w:line="360" w:lineRule="auto"/>
        <w:jc w:val="both"/>
        <w:rPr>
          <w:rFonts w:ascii="Book Antiqua" w:hAnsi="Book Antiqua" w:cs="Arial"/>
          <w:bCs/>
          <w:sz w:val="24"/>
          <w:szCs w:val="24"/>
          <w:lang w:val="en-GB"/>
        </w:rPr>
      </w:pPr>
    </w:p>
    <w:p w14:paraId="57AF4805" w14:textId="50F0FBA4" w:rsidR="005F42F3" w:rsidRPr="007F6B31" w:rsidRDefault="005F42F3" w:rsidP="001F2C55">
      <w:pPr>
        <w:snapToGrid w:val="0"/>
        <w:spacing w:after="0" w:line="360" w:lineRule="auto"/>
        <w:jc w:val="both"/>
        <w:rPr>
          <w:rFonts w:ascii="Book Antiqua" w:hAnsi="Book Antiqua" w:cs="Arial"/>
          <w:b/>
          <w:i/>
          <w:iCs/>
          <w:sz w:val="24"/>
          <w:szCs w:val="24"/>
          <w:lang w:val="en-GB"/>
        </w:rPr>
      </w:pPr>
      <w:r w:rsidRPr="007F6B31">
        <w:rPr>
          <w:rFonts w:ascii="Book Antiqua" w:hAnsi="Book Antiqua" w:cs="Arial"/>
          <w:b/>
          <w:i/>
          <w:iCs/>
          <w:sz w:val="24"/>
          <w:szCs w:val="24"/>
          <w:lang w:val="en-GB"/>
        </w:rPr>
        <w:t>History of past illness</w:t>
      </w:r>
    </w:p>
    <w:p w14:paraId="5712EAAB" w14:textId="42110BD9" w:rsidR="00E3219A" w:rsidRPr="007F6B31" w:rsidRDefault="00E3219A" w:rsidP="001F2C55">
      <w:pPr>
        <w:snapToGrid w:val="0"/>
        <w:spacing w:after="0" w:line="360" w:lineRule="auto"/>
        <w:jc w:val="both"/>
        <w:rPr>
          <w:rFonts w:ascii="Book Antiqua" w:hAnsi="Book Antiqua" w:cs="Arial"/>
          <w:sz w:val="24"/>
          <w:szCs w:val="24"/>
          <w:lang w:val="en-GB"/>
        </w:rPr>
      </w:pPr>
      <w:r w:rsidRPr="007F6B31">
        <w:rPr>
          <w:rFonts w:ascii="Book Antiqua" w:hAnsi="Book Antiqua" w:cs="Arial"/>
          <w:bCs/>
          <w:sz w:val="24"/>
          <w:szCs w:val="24"/>
          <w:lang w:val="en-GB"/>
        </w:rPr>
        <w:t xml:space="preserve">The female patient with CESD was diagnosed as a child after developing symptoms at the age of eight. Symptoms included hepatosplenomegaly, malabsorption and diarrhoea, combined with elevated transaminases and </w:t>
      </w:r>
      <w:proofErr w:type="spellStart"/>
      <w:r w:rsidRPr="007F6B31">
        <w:rPr>
          <w:rFonts w:ascii="Book Antiqua" w:hAnsi="Book Antiqua" w:cs="Arial"/>
          <w:bCs/>
          <w:sz w:val="24"/>
          <w:szCs w:val="24"/>
          <w:lang w:val="en-GB"/>
        </w:rPr>
        <w:t>dyslipidemia</w:t>
      </w:r>
      <w:proofErr w:type="spellEnd"/>
      <w:r w:rsidRPr="007F6B31">
        <w:rPr>
          <w:rFonts w:ascii="Book Antiqua" w:hAnsi="Book Antiqua" w:cs="Arial"/>
          <w:bCs/>
          <w:sz w:val="24"/>
          <w:szCs w:val="24"/>
          <w:lang w:val="en-GB"/>
        </w:rPr>
        <w:t xml:space="preserve">. As an adult, the female patient underwent surgery for an arterial aneurism in her leg and adrenal insufficiency. At the age of 45, the patient developed progressive liver failure. A liver biopsy revealed </w:t>
      </w:r>
      <w:proofErr w:type="spellStart"/>
      <w:r w:rsidRPr="007F6B31">
        <w:rPr>
          <w:rFonts w:ascii="Book Antiqua" w:hAnsi="Book Antiqua" w:cs="Arial"/>
          <w:sz w:val="24"/>
          <w:szCs w:val="24"/>
          <w:lang w:val="en-GB"/>
        </w:rPr>
        <w:t>microvesicular</w:t>
      </w:r>
      <w:proofErr w:type="spellEnd"/>
      <w:r w:rsidRPr="007F6B31">
        <w:rPr>
          <w:rFonts w:ascii="Book Antiqua" w:hAnsi="Book Antiqua" w:cs="Arial"/>
          <w:sz w:val="24"/>
          <w:szCs w:val="24"/>
          <w:lang w:val="en-GB"/>
        </w:rPr>
        <w:t xml:space="preserve"> and micronodular cirrhosis, lobular inflammation and hepatocyte ballooning, and numerous macrophages with Periodic Acid-Schiff positive and diastase-resistant material. The patient</w:t>
      </w:r>
      <w:r w:rsidRPr="007F6B31">
        <w:rPr>
          <w:rFonts w:ascii="Book Antiqua" w:hAnsi="Book Antiqua" w:cs="Arial"/>
          <w:bCs/>
          <w:sz w:val="24"/>
          <w:szCs w:val="24"/>
          <w:lang w:val="en-GB"/>
        </w:rPr>
        <w:t xml:space="preserve"> underwent liver transplantation. Afterwards, hepato</w:t>
      </w:r>
      <w:r w:rsidRPr="007F6B31">
        <w:rPr>
          <w:rFonts w:ascii="Book Antiqua" w:hAnsi="Book Antiqua" w:cs="Arial"/>
          <w:sz w:val="24"/>
          <w:szCs w:val="24"/>
          <w:lang w:val="en-GB"/>
        </w:rPr>
        <w:t xml:space="preserve">splenomegaly recurred and a post-transplant biopsy in 2018 showed 60% </w:t>
      </w:r>
      <w:proofErr w:type="spellStart"/>
      <w:r w:rsidRPr="007F6B31">
        <w:rPr>
          <w:rFonts w:ascii="Book Antiqua" w:hAnsi="Book Antiqua" w:cs="Arial"/>
          <w:sz w:val="24"/>
          <w:szCs w:val="24"/>
          <w:lang w:val="en-GB"/>
        </w:rPr>
        <w:t>macrovesicular</w:t>
      </w:r>
      <w:proofErr w:type="spellEnd"/>
      <w:r w:rsidRPr="007F6B31">
        <w:rPr>
          <w:rFonts w:ascii="Book Antiqua" w:hAnsi="Book Antiqua" w:cs="Arial"/>
          <w:sz w:val="24"/>
          <w:szCs w:val="24"/>
          <w:lang w:val="en-GB"/>
        </w:rPr>
        <w:t xml:space="preserve"> and </w:t>
      </w:r>
      <w:proofErr w:type="spellStart"/>
      <w:r w:rsidRPr="007F6B31">
        <w:rPr>
          <w:rFonts w:ascii="Book Antiqua" w:hAnsi="Book Antiqua" w:cs="Arial"/>
          <w:sz w:val="24"/>
          <w:szCs w:val="24"/>
          <w:lang w:val="en-GB"/>
        </w:rPr>
        <w:t>microvesicular</w:t>
      </w:r>
      <w:proofErr w:type="spellEnd"/>
      <w:r w:rsidRPr="007F6B31">
        <w:rPr>
          <w:rFonts w:ascii="Book Antiqua" w:hAnsi="Book Antiqua" w:cs="Arial"/>
          <w:sz w:val="24"/>
          <w:szCs w:val="24"/>
          <w:lang w:val="en-GB"/>
        </w:rPr>
        <w:t xml:space="preserve"> steatosis, a mild degree of ballooning and lobular inflammation, as well as perisinusoidal fibrosis. The findings were consistent with LAL-D</w:t>
      </w:r>
      <w:r w:rsidR="00A61591" w:rsidRPr="007F6B31">
        <w:rPr>
          <w:rFonts w:ascii="Book Antiqua" w:hAnsi="Book Antiqua" w:cs="Arial"/>
          <w:sz w:val="24"/>
          <w:szCs w:val="24"/>
          <w:lang w:val="en-GB"/>
        </w:rPr>
        <w:t xml:space="preserve"> liver pathology.</w:t>
      </w:r>
    </w:p>
    <w:p w14:paraId="30271129" w14:textId="1522264A" w:rsidR="004409B7" w:rsidRPr="007F6B31" w:rsidRDefault="00E3219A" w:rsidP="001F2C55">
      <w:pPr>
        <w:pStyle w:val="a5"/>
        <w:snapToGrid w:val="0"/>
        <w:spacing w:line="360" w:lineRule="auto"/>
        <w:ind w:firstLineChars="100" w:firstLine="240"/>
        <w:jc w:val="both"/>
        <w:rPr>
          <w:rFonts w:ascii="Book Antiqua" w:hAnsi="Book Antiqua" w:cs="Arial"/>
          <w:lang w:val="en-GB"/>
        </w:rPr>
      </w:pPr>
      <w:r w:rsidRPr="007F6B31">
        <w:rPr>
          <w:rFonts w:ascii="Book Antiqua" w:hAnsi="Book Antiqua" w:cs="Arial"/>
          <w:lang w:val="en-GB"/>
        </w:rPr>
        <w:t xml:space="preserve">The male patient with CESD was diagnosed as an adolescent, following his sister’s diagnosis. The patient had elevated transaminases and </w:t>
      </w:r>
      <w:r w:rsidR="00D432E1" w:rsidRPr="007F6B31">
        <w:rPr>
          <w:rFonts w:ascii="Book Antiqua" w:hAnsi="Book Antiqua" w:cs="Arial"/>
          <w:lang w:val="en-GB"/>
        </w:rPr>
        <w:t>dyslipidaemia</w:t>
      </w:r>
      <w:r w:rsidRPr="007F6B31">
        <w:rPr>
          <w:rFonts w:ascii="Book Antiqua" w:hAnsi="Book Antiqua" w:cs="Arial"/>
          <w:lang w:val="en-GB"/>
        </w:rPr>
        <w:t xml:space="preserve"> at the time of the </w:t>
      </w:r>
      <w:r w:rsidRPr="007F6B31">
        <w:rPr>
          <w:rFonts w:ascii="Book Antiqua" w:hAnsi="Book Antiqua" w:cs="Arial"/>
          <w:lang w:val="en-GB"/>
        </w:rPr>
        <w:lastRenderedPageBreak/>
        <w:t xml:space="preserve">diagnosis, but no clinical symptoms. As an adult, the patient developed </w:t>
      </w:r>
      <w:r w:rsidRPr="007F6B31">
        <w:rPr>
          <w:rFonts w:ascii="Book Antiqua" w:eastAsia="TimesNewRomanPSMT" w:hAnsi="Book Antiqua" w:cs="Arial"/>
          <w:lang w:val="en-GB"/>
        </w:rPr>
        <w:t xml:space="preserve">progressive liver failure and a liver biopsy found </w:t>
      </w:r>
      <w:r w:rsidRPr="007F6B31">
        <w:rPr>
          <w:rFonts w:ascii="Book Antiqua" w:hAnsi="Book Antiqua" w:cs="Arial"/>
          <w:lang w:val="en-GB"/>
        </w:rPr>
        <w:t xml:space="preserve">severe </w:t>
      </w:r>
      <w:proofErr w:type="spellStart"/>
      <w:r w:rsidRPr="007F6B31">
        <w:rPr>
          <w:rFonts w:ascii="Book Antiqua" w:hAnsi="Book Antiqua" w:cs="Arial"/>
          <w:lang w:val="en-GB"/>
        </w:rPr>
        <w:t>microvesicular</w:t>
      </w:r>
      <w:proofErr w:type="spellEnd"/>
      <w:r w:rsidRPr="007F6B31">
        <w:rPr>
          <w:rFonts w:ascii="Book Antiqua" w:hAnsi="Book Antiqua" w:cs="Arial"/>
          <w:lang w:val="en-GB"/>
        </w:rPr>
        <w:t xml:space="preserve"> and micronodular cirrhosis and inflammation consistent with CESD. The patient</w:t>
      </w:r>
      <w:r w:rsidRPr="007F6B31">
        <w:rPr>
          <w:rFonts w:ascii="Book Antiqua" w:eastAsia="TimesNewRomanPSMT" w:hAnsi="Book Antiqua" w:cs="Arial"/>
          <w:lang w:val="en-GB"/>
        </w:rPr>
        <w:t xml:space="preserve"> underwent</w:t>
      </w:r>
      <w:r w:rsidRPr="007F6B31">
        <w:rPr>
          <w:rFonts w:ascii="Book Antiqua" w:hAnsi="Book Antiqua" w:cs="Arial"/>
          <w:lang w:val="en-GB"/>
        </w:rPr>
        <w:t xml:space="preserve"> liver transplantation at the age of 53. A post-transplant liver biopsy showed mild-to-moderate inflammation and F1 fibrosis. After the liver transplant, the patient also developed cardiovascular disease with an abdominal aortic aneurysm and underwent an endovascular abdominal aortic aneurysm repair. </w:t>
      </w:r>
      <w:bookmarkStart w:id="11" w:name="_Hlk19632921"/>
    </w:p>
    <w:p w14:paraId="557B10E0" w14:textId="77777777" w:rsidR="004409B7" w:rsidRPr="007F6B31" w:rsidRDefault="004409B7" w:rsidP="001F2C55">
      <w:pPr>
        <w:pStyle w:val="a5"/>
        <w:snapToGrid w:val="0"/>
        <w:spacing w:line="360" w:lineRule="auto"/>
        <w:jc w:val="both"/>
        <w:rPr>
          <w:rFonts w:ascii="Book Antiqua" w:hAnsi="Book Antiqua" w:cs="Arial"/>
          <w:lang w:val="en-GB"/>
        </w:rPr>
      </w:pPr>
    </w:p>
    <w:p w14:paraId="3C5B6354" w14:textId="3317D527" w:rsidR="00822BAF" w:rsidRPr="007F6B31" w:rsidRDefault="00822BAF" w:rsidP="001F2C55">
      <w:pPr>
        <w:adjustRightInd w:val="0"/>
        <w:snapToGrid w:val="0"/>
        <w:spacing w:after="0" w:line="360" w:lineRule="auto"/>
        <w:jc w:val="both"/>
        <w:rPr>
          <w:rFonts w:ascii="Book Antiqua" w:eastAsia="TimesNewRomanPSMT" w:hAnsi="Book Antiqua" w:cs="Arial"/>
          <w:b/>
          <w:bCs/>
          <w:i/>
          <w:iCs/>
          <w:sz w:val="24"/>
          <w:szCs w:val="24"/>
          <w:lang w:val="en-GB"/>
        </w:rPr>
      </w:pPr>
      <w:r w:rsidRPr="007F6B31">
        <w:rPr>
          <w:rFonts w:ascii="Book Antiqua" w:eastAsia="TimesNewRomanPSMT" w:hAnsi="Book Antiqua" w:cs="Arial"/>
          <w:b/>
          <w:bCs/>
          <w:i/>
          <w:iCs/>
          <w:sz w:val="24"/>
          <w:szCs w:val="24"/>
          <w:lang w:val="en-GB"/>
        </w:rPr>
        <w:t>Physical examination</w:t>
      </w:r>
      <w:r w:rsidR="005F42F3" w:rsidRPr="007F6B31">
        <w:rPr>
          <w:rFonts w:ascii="Book Antiqua" w:eastAsia="TimesNewRomanPSMT" w:hAnsi="Book Antiqua" w:cs="Arial"/>
          <w:b/>
          <w:bCs/>
          <w:i/>
          <w:iCs/>
          <w:sz w:val="24"/>
          <w:szCs w:val="24"/>
          <w:lang w:val="en-GB"/>
        </w:rPr>
        <w:t xml:space="preserve"> upon admission</w:t>
      </w:r>
    </w:p>
    <w:p w14:paraId="34590D77" w14:textId="5A746006" w:rsidR="00E3219A" w:rsidRPr="007F6B31" w:rsidRDefault="00E3219A" w:rsidP="001F2C55">
      <w:pPr>
        <w:adjustRightInd w:val="0"/>
        <w:snapToGrid w:val="0"/>
        <w:spacing w:after="0" w:line="360" w:lineRule="auto"/>
        <w:jc w:val="both"/>
        <w:rPr>
          <w:rFonts w:ascii="Book Antiqua" w:eastAsia="TimesNewRomanPSMT" w:hAnsi="Book Antiqua" w:cs="Arial"/>
          <w:sz w:val="24"/>
          <w:szCs w:val="24"/>
          <w:lang w:val="en-GB"/>
        </w:rPr>
      </w:pPr>
      <w:r w:rsidRPr="007F6B31">
        <w:rPr>
          <w:rFonts w:ascii="Book Antiqua" w:eastAsia="TimesNewRomanPSMT" w:hAnsi="Book Antiqua" w:cs="Arial"/>
          <w:sz w:val="24"/>
          <w:szCs w:val="24"/>
          <w:lang w:val="en-GB"/>
        </w:rPr>
        <w:t xml:space="preserve">Both patients presented with steatorrhea and upper abdominal discomfort. The female patient suffered from abdominal pain. </w:t>
      </w:r>
    </w:p>
    <w:p w14:paraId="036647AC" w14:textId="77777777" w:rsidR="00D432E1" w:rsidRPr="007F6B31" w:rsidRDefault="00D432E1" w:rsidP="001F2C55">
      <w:pPr>
        <w:adjustRightInd w:val="0"/>
        <w:snapToGrid w:val="0"/>
        <w:spacing w:after="0" w:line="360" w:lineRule="auto"/>
        <w:jc w:val="both"/>
        <w:rPr>
          <w:rFonts w:ascii="Book Antiqua" w:eastAsia="TimesNewRomanPSMT" w:hAnsi="Book Antiqua" w:cs="Arial"/>
          <w:b/>
          <w:bCs/>
          <w:i/>
          <w:iCs/>
          <w:sz w:val="24"/>
          <w:szCs w:val="24"/>
          <w:lang w:val="en-GB"/>
        </w:rPr>
      </w:pPr>
    </w:p>
    <w:p w14:paraId="23F1E7DE" w14:textId="21EC5ADB" w:rsidR="005F42F3" w:rsidRPr="007F6B31" w:rsidRDefault="005F42F3" w:rsidP="001F2C55">
      <w:pPr>
        <w:adjustRightInd w:val="0"/>
        <w:snapToGrid w:val="0"/>
        <w:spacing w:after="0" w:line="360" w:lineRule="auto"/>
        <w:jc w:val="both"/>
        <w:rPr>
          <w:rFonts w:ascii="Book Antiqua" w:eastAsia="TimesNewRomanPSMT" w:hAnsi="Book Antiqua" w:cs="Arial"/>
          <w:b/>
          <w:bCs/>
          <w:i/>
          <w:iCs/>
          <w:sz w:val="24"/>
          <w:szCs w:val="24"/>
          <w:lang w:val="en-GB"/>
        </w:rPr>
      </w:pPr>
      <w:r w:rsidRPr="007F6B31">
        <w:rPr>
          <w:rFonts w:ascii="Book Antiqua" w:eastAsia="TimesNewRomanPSMT" w:hAnsi="Book Antiqua" w:cs="Arial"/>
          <w:b/>
          <w:bCs/>
          <w:i/>
          <w:iCs/>
          <w:sz w:val="24"/>
          <w:szCs w:val="24"/>
          <w:lang w:val="en-GB"/>
        </w:rPr>
        <w:t>Laboratory examinations</w:t>
      </w:r>
    </w:p>
    <w:p w14:paraId="2EAD33F5" w14:textId="2B7FBCE9" w:rsidR="00DF0667" w:rsidRPr="007F6B31" w:rsidRDefault="005F42F3"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The LAL activity was &lt;</w:t>
      </w:r>
      <w:r w:rsidR="00B227A9" w:rsidRPr="007F6B31">
        <w:rPr>
          <w:rFonts w:ascii="Book Antiqua" w:hAnsi="Book Antiqua" w:cs="Arial"/>
          <w:lang w:val="en-GB"/>
        </w:rPr>
        <w:t xml:space="preserve"> </w:t>
      </w:r>
      <w:r w:rsidRPr="007F6B31">
        <w:rPr>
          <w:rFonts w:ascii="Book Antiqua" w:hAnsi="Book Antiqua" w:cs="Arial"/>
          <w:lang w:val="en-GB"/>
        </w:rPr>
        <w:t>0.01 nmol/</w:t>
      </w:r>
      <w:r w:rsidR="00EC38DC" w:rsidRPr="007F6B31">
        <w:rPr>
          <w:rFonts w:ascii="Book Antiqua" w:hAnsi="Book Antiqua" w:cs="Arial"/>
          <w:lang w:val="en-GB"/>
        </w:rPr>
        <w:t>(</w:t>
      </w:r>
      <w:r w:rsidRPr="007F6B31">
        <w:rPr>
          <w:rFonts w:ascii="Book Antiqua" w:hAnsi="Book Antiqua" w:cs="Arial"/>
          <w:lang w:val="en-GB"/>
        </w:rPr>
        <w:t>punch</w:t>
      </w:r>
      <w:r w:rsidR="00EC38DC" w:rsidRPr="007F6B31">
        <w:rPr>
          <w:rFonts w:ascii="Book Antiqua" w:eastAsia="微软雅黑" w:hAnsi="Book Antiqua" w:cs="微软雅黑"/>
          <w:lang w:eastAsia="ja-JP"/>
        </w:rPr>
        <w:t>∙</w:t>
      </w:r>
      <w:r w:rsidRPr="007F6B31">
        <w:rPr>
          <w:rFonts w:ascii="Book Antiqua" w:hAnsi="Book Antiqua" w:cs="Arial"/>
          <w:lang w:val="en-GB"/>
        </w:rPr>
        <w:t>h</w:t>
      </w:r>
      <w:r w:rsidR="00EC38DC" w:rsidRPr="007F6B31">
        <w:rPr>
          <w:rFonts w:ascii="Book Antiqua" w:hAnsi="Book Antiqua" w:cs="Arial"/>
          <w:lang w:val="en-GB"/>
        </w:rPr>
        <w:t>)</w:t>
      </w:r>
      <w:r w:rsidRPr="007F6B31">
        <w:rPr>
          <w:rFonts w:ascii="Book Antiqua" w:hAnsi="Book Antiqua" w:cs="Arial"/>
          <w:lang w:val="en-GB"/>
        </w:rPr>
        <w:t xml:space="preserve"> for both siblings </w:t>
      </w:r>
      <w:r w:rsidR="00EC38DC" w:rsidRPr="007F6B31">
        <w:rPr>
          <w:rFonts w:ascii="Book Antiqua" w:hAnsi="Book Antiqua" w:cs="Arial"/>
          <w:lang w:val="en-GB"/>
        </w:rPr>
        <w:t>[</w:t>
      </w:r>
      <w:r w:rsidRPr="007F6B31">
        <w:rPr>
          <w:rFonts w:ascii="Book Antiqua" w:hAnsi="Book Antiqua" w:cs="Arial"/>
          <w:lang w:val="en-GB"/>
        </w:rPr>
        <w:t>normal range: 0.37-2.30 nmol/</w:t>
      </w:r>
      <w:r w:rsidR="00EC38DC" w:rsidRPr="007F6B31">
        <w:rPr>
          <w:rFonts w:ascii="Book Antiqua" w:hAnsi="Book Antiqua" w:cs="Arial"/>
          <w:lang w:val="en-GB"/>
        </w:rPr>
        <w:t>(punch</w:t>
      </w:r>
      <w:r w:rsidR="00EC38DC" w:rsidRPr="007F6B31">
        <w:rPr>
          <w:rFonts w:ascii="Book Antiqua" w:eastAsia="微软雅黑" w:hAnsi="Book Antiqua" w:cs="微软雅黑"/>
          <w:lang w:eastAsia="ja-JP"/>
        </w:rPr>
        <w:t>∙</w:t>
      </w:r>
      <w:r w:rsidR="00EC38DC" w:rsidRPr="007F6B31">
        <w:rPr>
          <w:rFonts w:ascii="Book Antiqua" w:hAnsi="Book Antiqua" w:cs="Arial"/>
          <w:lang w:val="en-GB"/>
        </w:rPr>
        <w:t>h)]</w:t>
      </w:r>
      <w:r w:rsidRPr="007F6B31">
        <w:rPr>
          <w:rFonts w:ascii="Book Antiqua" w:hAnsi="Book Antiqua" w:cs="Arial"/>
          <w:lang w:val="en-GB"/>
        </w:rPr>
        <w:t xml:space="preserve">. Routine laboratory tests showed that the female patient had mildly elevated ALT, VLDL, and triglycerides, as well as low platelets. </w:t>
      </w:r>
      <w:r w:rsidR="00A61591" w:rsidRPr="007F6B31">
        <w:rPr>
          <w:rFonts w:ascii="Book Antiqua" w:hAnsi="Book Antiqua" w:cs="Arial"/>
          <w:lang w:val="en-GB"/>
        </w:rPr>
        <w:t>The male patient had normal blood tests.</w:t>
      </w:r>
    </w:p>
    <w:p w14:paraId="4C581D54" w14:textId="25B1B1ED" w:rsidR="00A61591" w:rsidRPr="007F6B31" w:rsidRDefault="00A61591" w:rsidP="001F2C55">
      <w:pPr>
        <w:pStyle w:val="a5"/>
        <w:snapToGrid w:val="0"/>
        <w:spacing w:line="360" w:lineRule="auto"/>
        <w:ind w:firstLineChars="100" w:firstLine="240"/>
        <w:jc w:val="both"/>
        <w:rPr>
          <w:rFonts w:ascii="Book Antiqua" w:hAnsi="Book Antiqua" w:cs="Arial"/>
          <w:lang w:val="en-GB"/>
        </w:rPr>
      </w:pPr>
      <w:r w:rsidRPr="007F6B31">
        <w:rPr>
          <w:rFonts w:ascii="Book Antiqua" w:hAnsi="Book Antiqua" w:cs="Arial"/>
          <w:bCs/>
          <w:i/>
          <w:lang w:val="en-GB"/>
        </w:rPr>
        <w:t>LIPA</w:t>
      </w:r>
      <w:r w:rsidRPr="007F6B31">
        <w:rPr>
          <w:rFonts w:ascii="Book Antiqua" w:hAnsi="Book Antiqua" w:cs="Arial"/>
          <w:bCs/>
          <w:iCs/>
          <w:lang w:val="en-GB"/>
        </w:rPr>
        <w:t xml:space="preserve"> gene </w:t>
      </w:r>
      <w:r w:rsidRPr="007F6B31">
        <w:rPr>
          <w:rFonts w:ascii="Book Antiqua" w:hAnsi="Book Antiqua" w:cs="Arial"/>
          <w:lang w:val="en-GB"/>
        </w:rPr>
        <w:t xml:space="preserve">sequencing revealed two previously reported variants, including the well-known missense variant in exon 8, </w:t>
      </w:r>
      <w:r w:rsidRPr="007F6B31">
        <w:rPr>
          <w:rFonts w:ascii="Book Antiqua" w:hAnsi="Book Antiqua" w:cs="Arial"/>
          <w:bCs/>
          <w:lang w:val="en-GB"/>
        </w:rPr>
        <w:t>c.894G&gt;A, (</w:t>
      </w:r>
      <w:proofErr w:type="gramStart"/>
      <w:r w:rsidRPr="007F6B31">
        <w:rPr>
          <w:rFonts w:ascii="Book Antiqua" w:hAnsi="Book Antiqua" w:cs="Arial"/>
          <w:bCs/>
          <w:lang w:val="en-GB"/>
        </w:rPr>
        <w:t>p.Gln</w:t>
      </w:r>
      <w:proofErr w:type="gramEnd"/>
      <w:r w:rsidRPr="007F6B31">
        <w:rPr>
          <w:rFonts w:ascii="Book Antiqua" w:hAnsi="Book Antiqua" w:cs="Arial"/>
          <w:bCs/>
          <w:lang w:val="en-GB"/>
        </w:rPr>
        <w:t xml:space="preserve">298Gln), and a single base pair deletion, c.482del (p.Asn161Ilefs*19). Accordingly, the siblings were compound heterozygote for these variants (Table </w:t>
      </w:r>
      <w:r w:rsidR="007F6B31">
        <w:rPr>
          <w:rFonts w:ascii="Book Antiqua" w:hAnsi="Book Antiqua" w:cs="Arial"/>
          <w:bCs/>
          <w:lang w:val="en-GB"/>
        </w:rPr>
        <w:t>1</w:t>
      </w:r>
      <w:r w:rsidRPr="007F6B31">
        <w:rPr>
          <w:rFonts w:ascii="Book Antiqua" w:hAnsi="Book Antiqua" w:cs="Arial"/>
          <w:bCs/>
          <w:lang w:val="en-GB"/>
        </w:rPr>
        <w:t xml:space="preserve">). Additional analyses showed that the female patient had two SNP polymorphisms in the TM6SF2 </w:t>
      </w:r>
      <w:r w:rsidR="00EC38DC" w:rsidRPr="007F6B31">
        <w:rPr>
          <w:rFonts w:ascii="Book Antiqua" w:hAnsi="Book Antiqua" w:cs="Arial"/>
          <w:bCs/>
          <w:lang w:val="en-GB"/>
        </w:rPr>
        <w:t>[</w:t>
      </w:r>
      <w:r w:rsidRPr="007F6B31">
        <w:rPr>
          <w:rFonts w:ascii="Book Antiqua" w:hAnsi="Book Antiqua" w:cs="Arial"/>
          <w:lang w:val="en-GB"/>
        </w:rPr>
        <w:t xml:space="preserve">Rs641738 </w:t>
      </w:r>
      <w:r w:rsidR="00EC38DC" w:rsidRPr="007F6B31">
        <w:rPr>
          <w:rFonts w:ascii="Book Antiqua" w:hAnsi="Book Antiqua" w:cs="Arial"/>
          <w:lang w:val="en-GB"/>
        </w:rPr>
        <w:t>(</w:t>
      </w:r>
      <w:r w:rsidRPr="007F6B31">
        <w:rPr>
          <w:rFonts w:ascii="Book Antiqua" w:hAnsi="Book Antiqua" w:cs="Arial"/>
          <w:lang w:val="en-GB"/>
        </w:rPr>
        <w:t>C/T</w:t>
      </w:r>
      <w:r w:rsidR="00EC38DC" w:rsidRPr="007F6B31">
        <w:rPr>
          <w:rFonts w:ascii="Book Antiqua" w:hAnsi="Book Antiqua" w:cs="Arial"/>
          <w:lang w:val="en-GB"/>
        </w:rPr>
        <w:t>)</w:t>
      </w:r>
      <w:r w:rsidRPr="007F6B31">
        <w:rPr>
          <w:rFonts w:ascii="Book Antiqua" w:hAnsi="Book Antiqua" w:cs="Arial"/>
          <w:lang w:val="en-GB"/>
        </w:rPr>
        <w:t xml:space="preserve"> type CC</w:t>
      </w:r>
      <w:r w:rsidR="00EC38DC" w:rsidRPr="007F6B31">
        <w:rPr>
          <w:rFonts w:ascii="Book Antiqua" w:hAnsi="Book Antiqua" w:cs="Arial"/>
          <w:lang w:val="en-GB"/>
        </w:rPr>
        <w:t>]</w:t>
      </w:r>
      <w:r w:rsidRPr="007F6B31">
        <w:rPr>
          <w:rFonts w:ascii="Book Antiqua" w:hAnsi="Book Antiqua" w:cs="Arial"/>
          <w:bCs/>
          <w:lang w:val="en-GB"/>
        </w:rPr>
        <w:t xml:space="preserve"> and in MBOAT7 </w:t>
      </w:r>
      <w:r w:rsidR="00EC38DC" w:rsidRPr="007F6B31">
        <w:rPr>
          <w:rFonts w:ascii="Book Antiqua" w:hAnsi="Book Antiqua" w:cs="Arial"/>
          <w:bCs/>
          <w:lang w:val="en-GB"/>
        </w:rPr>
        <w:t>[</w:t>
      </w:r>
      <w:r w:rsidRPr="007F6B31">
        <w:rPr>
          <w:rFonts w:ascii="Book Antiqua" w:hAnsi="Book Antiqua" w:cs="Arial"/>
          <w:lang w:val="en-GB"/>
        </w:rPr>
        <w:t xml:space="preserve">Rs58542926 </w:t>
      </w:r>
      <w:r w:rsidR="00EC38DC" w:rsidRPr="007F6B31">
        <w:rPr>
          <w:rFonts w:ascii="Book Antiqua" w:hAnsi="Book Antiqua" w:cs="Arial"/>
          <w:lang w:val="en-GB"/>
        </w:rPr>
        <w:t>(</w:t>
      </w:r>
      <w:r w:rsidRPr="007F6B31">
        <w:rPr>
          <w:rFonts w:ascii="Book Antiqua" w:hAnsi="Book Antiqua" w:cs="Arial"/>
          <w:lang w:val="en-GB"/>
        </w:rPr>
        <w:t>C/T</w:t>
      </w:r>
      <w:r w:rsidR="00EC38DC" w:rsidRPr="007F6B31">
        <w:rPr>
          <w:rFonts w:ascii="Book Antiqua" w:hAnsi="Book Antiqua" w:cs="Arial"/>
          <w:lang w:val="en-GB"/>
        </w:rPr>
        <w:t>)</w:t>
      </w:r>
      <w:r w:rsidRPr="007F6B31">
        <w:rPr>
          <w:rFonts w:ascii="Book Antiqua" w:hAnsi="Book Antiqua" w:cs="Arial"/>
          <w:lang w:val="en-GB"/>
        </w:rPr>
        <w:t xml:space="preserve"> type CT</w:t>
      </w:r>
      <w:r w:rsidR="00EC38DC" w:rsidRPr="007F6B31">
        <w:rPr>
          <w:rFonts w:ascii="Book Antiqua" w:hAnsi="Book Antiqua" w:cs="Arial"/>
          <w:lang w:val="en-GB"/>
        </w:rPr>
        <w:t>]</w:t>
      </w:r>
      <w:r w:rsidRPr="007F6B31">
        <w:rPr>
          <w:rFonts w:ascii="Book Antiqua" w:hAnsi="Book Antiqua" w:cs="Arial"/>
          <w:lang w:val="en-GB"/>
        </w:rPr>
        <w:t xml:space="preserve">, suggesting an increased risk of fatty liver disease. The male patient had Rs738409 </w:t>
      </w:r>
      <w:r w:rsidR="00EC38DC" w:rsidRPr="007F6B31">
        <w:rPr>
          <w:rFonts w:ascii="Book Antiqua" w:hAnsi="Book Antiqua" w:cs="Arial"/>
          <w:lang w:val="en-GB"/>
        </w:rPr>
        <w:t>(</w:t>
      </w:r>
      <w:r w:rsidRPr="007F6B31">
        <w:rPr>
          <w:rFonts w:ascii="Book Antiqua" w:hAnsi="Book Antiqua" w:cs="Arial"/>
          <w:lang w:val="en-GB"/>
        </w:rPr>
        <w:t>C/G</w:t>
      </w:r>
      <w:r w:rsidR="00EC38DC" w:rsidRPr="007F6B31">
        <w:rPr>
          <w:rFonts w:ascii="Book Antiqua" w:hAnsi="Book Antiqua" w:cs="Arial"/>
          <w:lang w:val="en-GB"/>
        </w:rPr>
        <w:t>)</w:t>
      </w:r>
      <w:r w:rsidRPr="007F6B31">
        <w:rPr>
          <w:rFonts w:ascii="Book Antiqua" w:hAnsi="Book Antiqua" w:cs="Arial"/>
          <w:lang w:val="en-GB"/>
        </w:rPr>
        <w:t xml:space="preserve"> type CG, suggesting an increased risk of fibrosis</w:t>
      </w:r>
      <w:r w:rsidR="00B227A9" w:rsidRPr="007F6B31">
        <w:rPr>
          <w:rFonts w:ascii="Book Antiqua" w:hAnsi="Book Antiqua" w:cs="Arial"/>
          <w:vertAlign w:val="superscript"/>
          <w:lang w:val="en-GB"/>
        </w:rPr>
        <w:t>[</w:t>
      </w:r>
      <w:r w:rsidR="00B227A9" w:rsidRPr="007F6B31">
        <w:rPr>
          <w:rFonts w:ascii="Book Antiqua" w:hAnsi="Book Antiqua" w:cs="Arial"/>
          <w:vertAlign w:val="superscript"/>
          <w:lang w:val="en-GB"/>
        </w:rPr>
        <w:fldChar w:fldCharType="begin" w:fldLock="1"/>
      </w:r>
      <w:r w:rsidR="00B227A9" w:rsidRPr="007F6B31">
        <w:rPr>
          <w:rFonts w:ascii="Book Antiqua" w:hAnsi="Book Antiqua" w:cs="Arial"/>
          <w:vertAlign w:val="superscript"/>
          <w:lang w:val="en-GB"/>
        </w:rPr>
        <w:instrText>ADDIN CSL_CITATION {"citationItems":[{"id":"ITEM-1","itemData":{"DOI":"10.1002/ijc.31910","ISSN":"10970215","abstract":"© 2018 UICC Few single nucleotide polymorphisms (SNPs) have been reproducibly associated with hepatocellular carcinoma (HCC). Our aim was to test the association between nine SNPs and HCC occurrence. SNPs in genes linked to HCC (DEPDC5, GRIK1, KIF1B, STAT4, MICA, DLC1, DDX18) or to liver damage (PNPLA3-rs738409, TM6SF2-rs58542926) in GWAS were genotyped in discovery cohorts including 1,020 HCC, 2,021 controls with chronic liver disease and 2,484 healthy individuals and replication was performed in prospective cohorts of cirrhotic patients with alcoholic liver disease (ALD, n = 249) and hepatitis C (n = 268). In the discovery cohort, PNPLA3 and TM6SF2 SNPs were associated with HCC (OR = 1.67 [CI95%:1.16–2.40], p = 0.005; OR = 1.45 [CI95%:1.08–1.94], p = 0.01) after adjustment for fibrosis, age, gender and etiology. In contrast, STAT4-rs7574865 was associated with HCC only in HBV infected patients (p = 0.03) and the other tested SNP were not linked with HCC risk. PNPLA3 and TM6SF2 variants were independently associated with HCC in patients with ALD (OR = 3.91 [CI95%:2.52–6.06], p = 1.14E-09; OR = 1.79 [CI95%:1.25–2.56], p = 0.001) but not with other etiologies. PNPLA3 SNP was also significantly associated with HCC developed on a nonfibrotic liver (OR = 2.19 [CI95%:1.22–3.92], p = 0.007). The association of PNPLA3 and TM6SF2 with HCC risk was confirmed in the prospective cohort with ALD. A genetic score including PNPLA3 and TM6SF2 minor alleles showed a progressive significant increased risk of HCC in ALD patients. In conclusion, PNPLA3-rs738409 and TM6SF2-rs58542926 are inherited risk variants of HCC development in patients with ALD in a dose dependent manner. The link between PNPLA3 and HCC on nonfibrotic liver suggests a direct role in liver carcinogenesis.","author":[{"dropping-particle":"","family":"Yang","given":"Jie","non-dropping-particle":"","parse-names":false,"suffix":""},{"dropping-particle":"","family":"Trépo","given":"Eric","non-dropping-particle":"","parse-names":false,"suffix":""},{"dropping-particle":"","family":"Nahon","given":"Pierre","non-dropping-particle":"","parse-names":false,"suffix":""},{"dropping-particle":"","family":"Cao","given":"Qian","non-dropping-particle":"","parse-names":false,"suffix":""},{"dropping-particle":"","family":"Moreno","given":"Christophe","non-dropping-particle":"","parse-names":false,"suffix":""},{"dropping-particle":"","family":"Letouzé","given":"Eric","non-dropping-particle":"","parse-names":false,"suffix":""},{"dropping-particle":"","family":"Imbeaud","given":"Sandrine","non-dropping-particle":"","parse-names":false,"suffix":""},{"dropping-particle":"","family":"Gustot","given":"Thierry","non-dropping-particle":"","parse-names":false,"suffix":""},{"dropping-particle":"","family":"Deviere","given":"Jacques","non-dropping-particle":"","parse-names":false,"suffix":""},{"dropping-particle":"","family":"Debette","given":"Stéphanie","non-dropping-particle":"","parse-names":false,"suffix":""},{"dropping-particle":"","family":"Amouyel","given":"Philippe","non-dropping-particle":"","parse-names":false,"suffix":""},{"dropping-particle":"","family":"Bioulac-Sage","given":"Paulette","non-dropping-particle":"","parse-names":false,"suffix":""},{"dropping-particle":"","family":"Calderaro","given":"Julien","non-dropping-particle":"","parse-names":false,"suffix":""},{"dropping-particle":"","family":"Ganne-Carrié","given":"Nathalie","non-dropping-particle":"","parse-names":false,"suffix":""},{"dropping-particle":"","family":"Laurent","given":"Alexis","non-dropping-particle":"","parse-names":false,"suffix":""},{"dropping-particle":"","family":"Blanc","given":"Jean Frédéric","non-dropping-particle":"","parse-names":false,"suffix":""},{"dropping-particle":"","family":"Guyot","given":"Erwan","non-dropping-particle":"","parse-names":false,"suffix":""},{"dropping-particle":"","family":"Sutton","given":"Angela","non-dropping-particle":"","parse-names":false,"suffix":""},{"dropping-particle":"","family":"Ziol","given":"Marianne","non-dropping-particle":"","parse-names":false,"suffix":""},{"dropping-particle":"","family":"Zucman-Rossi","given":"Jessica","non-dropping-particle":"","parse-names":false,"suffix":""},{"dropping-particle":"","family":"Nault","given":"Jean Charles","non-dropping-particle":"","parse-names":false,"suffix":""}],"container-title":"International Journal of Cancer","id":"ITEM-1","issued":{"date-parts":[["2019"]]},"title":"PNPLA3 and TM6SF2 variants as risk factors of hepatocellular carcinoma across various etiologies and severity of underlying liver diseases","type":"article-journal"},"uris":["http://www.mendeley.com/documents/?uuid=ea89017e-0108-4b37-a380-c92517bc701f"]},{"id":"ITEM-2","itemData":{"DOI":"10.1038/ng.3417","ISSN":"1546-1718 (Electronic)","PMID":"26482880","abstract":"Alcohol misuse is the leading cause of cirrhosis and the second most common indication for liver transplantation in the Western world. We performed a genome-wide association study for alcohol-related cirrhosis in individuals of European descent (712 cases and 1,426 controls) with subsequent validation in two independent European cohorts (1,148 cases and 922 controls). We identified variants in the MBOAT7 (P = 1.03 x 10(-9)) and TM6SF2 (P = 7.89 x 10(-10)) genes as new risk loci and confirmed rs738409 in PNPLA3 as an important risk locus for alcohol-related cirrhosis (P = 1.54 x 10(-48)) at a genome-wide level of significance. These three loci have a role in lipid processing, suggesting that lipid turnover is important in the pathogenesis of alcohol-related cirrhosis.","author":[{"dropping-particle":"","family":"Buch","given":"Stephan","non-dropping-particle":"","parse-names":false,"suffix":""},{"dropping-particle":"","family":"Stickel","given":"Felix","non-dropping-particle":"","parse-names":false,"suffix":""},{"dropping-particle":"","family":"Trepo","given":"Eric","non-dropping-particle":"","parse-names":false,"suffix":""},{"dropping-particle":"","family":"Way","given":"Michael","non-dropping-particle":"","parse-names":false,"suffix":""},{"dropping-particle":"","family":"Herrmann","given":"Alexander","non-dropping-particle":"","parse-names":false,"suffix":""},{"dropping-particle":"","family":"Nischalke","given":"Hans Dieter","non-dropping-particle":"","parse-names":false,"suffix":""},{"dropping-particle":"","family":"Brosch","given":"Mario","non-dropping-particle":"","parse-names":false,"suffix":""},{"dropping-particle":"","family":"Rosendahl","given":"Jonas","non-dropping-particle":"","parse-names":false,"suffix":""},{"dropping-particle":"","family":"Berg","given":"Thomas","non-dropping-particle":"","parse-names":false,"suffix":""},{"dropping-particle":"","family":"Ridinger","given":"Monika","non-dropping-particle":"","parse-names":false,"suffix":""},{"dropping-particle":"","family":"Rietschel","given":"Marcella","non-dropping-particle":"","parse-names":false,"suffix":""},{"dropping-particle":"","family":"McQuillin","given":"Andrew","non-dropping-particle":"","parse-names":false,"suffix":""},{"dropping-particle":"","family":"Frank","given":"Josef","non-dropping-particle":"","parse-names":false,"suffix":""},{"dropping-particle":"","family":"Kiefer","given":"Falk","non-dropping-particle":"","parse-names":false,"suffix":""},{"dropping-particle":"","family":"Schreiber","given":"Stefan","non-dropping-particle":"","parse-names":false,"suffix":""},{"dropping-particle":"","family":"Lieb","given":"Wolfgang","non-dropping-particle":"","parse-names":false,"suffix":""},{"dropping-particle":"","family":"Soyka","given":"Michael","non-dropping-particle":"","parse-names":false,"suffix":""},{"dropping-particle":"","family":"Semmo","given":"Nasser","non-dropping-particle":"","parse-names":false,"suffix":""},{"dropping-particle":"","family":"Aigner","given":"Elmar","non-dropping-particle":"","parse-names":false,"suffix":""},{"dropping-particle":"","family":"Datz","given":"Christian","non-dropping-particle":"","parse-names":false,"suffix":""},{"dropping-particle":"","family":"Schmelz","given":"Renate","non-dropping-particle":"","parse-names":false,"suffix":""},{"dropping-particle":"","family":"Bruckner","given":"Stefan","non-dropping-particle":"","parse-names":false,"suffix":""},{"dropping-particle":"","family":"Zeissig","given":"Sebastian","non-dropping-particle":"","parse-names":false,"suffix":""},{"dropping-particle":"","family":"Stephan","given":"Anna-Magdalena","non-dropping-particle":"","parse-names":false,"suffix":""},{"dropping-particle":"","family":"Wodarz","given":"Norbert","non-dropping-particle":"","parse-names":false,"suffix":""},{"dropping-particle":"","family":"Deviere","given":"Jacques","non-dropping-particle":"","parse-names":false,"suffix":""},{"dropping-particle":"","family":"Clumeck","given":"Nicolas","non-dropping-particle":"","parse-names":false,"suffix":""},{"dropping-particle":"","family":"Sarrazin","given":"Christoph","non-dropping-particle":"","parse-names":false,"suffix":""},{"dropping-particle":"","family":"Lammert","given":"Frank","non-dropping-particle":"","parse-names":false,"suffix":""},{"dropping-particle":"","family":"Gustot","given":"Thierry","non-dropping-particle":"","parse-names":false,"suffix":""},{"dropping-particle":"","family":"Deltenre","given":"Pierre","non-dropping-particle":"","parse-names":false,"suffix":""},{"dropping-particle":"","family":"Volzke","given":"Henry","non-dropping-particle":"","parse-names":false,"suffix":""},{"dropping-particle":"","family":"Lerch","given":"Markus M","non-dropping-particle":"","parse-names":false,"suffix":""},{"dropping-particle":"","family":"Mayerle","given":"Julia","non-dropping-particle":"","parse-names":false,"suffix":""},{"dropping-particle":"","family":"Eyer","given":"Florian","non-dropping-particle":"","parse-names":false,"suffix":""},{"dropping-particle":"","family":"Schafmayer","given":"Clemens","non-dropping-particle":"","parse-names":false,"suffix":""},{"dropping-particle":"","family":"Cichon","given":"Sven","non-dropping-particle":"","parse-names":false,"suffix":""},{"dropping-particle":"","family":"Nothen","given":"Markus M","non-dropping-particle":"","parse-names":false,"suffix":""},{"dropping-particle":"","family":"Nothnagel","given":"Michael","non-dropping-particle":"","parse-names":false,"suffix":""},{"dropping-particle":"","family":"Ellinghaus","given":"David","non-dropping-particle":"","parse-names":false,"suffix":""},{"dropping-particle":"","family":"Huse","given":"Klaus","non-dropping-particle":"","parse-names":false,"suffix":""},{"dropping-particle":"","family":"Franke","given":"Andre","non-dropping-particle":"","parse-names":false,"suffix":""},{"dropping-particle":"","family":"Zopf","given":"Steffen","non-dropping-particle":"","parse-names":false,"suffix":""},{"dropping-particle":"","family":"Hellerbrand","given":"Claus","non-dropping-particle":"","parse-names":false,"suffix":""},{"dropping-particle":"","family":"Moreno","given":"Christophe","non-dropping-particle":"","parse-names":false,"suffix":""},{"dropping-particle":"","family":"Franchimont","given":"Denis","non-dropping-particle":"","parse-names":false,"suffix":""},{"dropping-particle":"","family":"Morgan","given":"Marsha Y","non-dropping-particle":"","parse-names":false,"suffix":""},{"dropping-particle":"","family":"Hampe","given":"Jochen","non-dropping-particle":"","parse-names":false,"suffix":""}],"container-title":"Nature genetics","id":"ITEM-2","issue":"12","issued":{"date-parts":[["2015","12"]]},"language":"eng","page":"1443-1448","publisher-place":"United States","title":"A genome-wide association study confirms PNPLA3 and identifies TM6SF2 and MBOAT7  as risk loci for alcohol-related cirrhosis.","type":"article-journal","volume":"47"},"uris":["http://www.mendeley.com/documents/?uuid=0fd7949b-16cc-4eaa-a867-2bbfdb756faa"]}],"mendeley":{"formattedCitation":"&lt;sup&gt;28,30&lt;/sup&gt;","plainTextFormattedCitation":"28,30","previouslyFormattedCitation":"&lt;sup&gt;28,30&lt;/sup&gt;"},"properties":{"noteIndex":0},"schema":"https://github.com/citation-style-language/schema/raw/master/csl-citation.json"}</w:instrText>
      </w:r>
      <w:r w:rsidR="00B227A9" w:rsidRPr="007F6B31">
        <w:rPr>
          <w:rFonts w:ascii="Book Antiqua" w:hAnsi="Book Antiqua" w:cs="Arial"/>
          <w:vertAlign w:val="superscript"/>
          <w:lang w:val="en-GB"/>
        </w:rPr>
        <w:fldChar w:fldCharType="separate"/>
      </w:r>
      <w:r w:rsidR="00B227A9" w:rsidRPr="007F6B31">
        <w:rPr>
          <w:rFonts w:ascii="Book Antiqua" w:hAnsi="Book Antiqua" w:cs="Arial"/>
          <w:noProof/>
          <w:vertAlign w:val="superscript"/>
          <w:lang w:val="en-GB"/>
        </w:rPr>
        <w:t>28</w:t>
      </w:r>
      <w:r w:rsidR="00B42869" w:rsidRPr="007F6B31">
        <w:rPr>
          <w:rFonts w:ascii="Book Antiqua" w:hAnsi="Book Antiqua" w:cs="Arial"/>
          <w:noProof/>
          <w:vertAlign w:val="superscript"/>
          <w:lang w:val="en-GB"/>
        </w:rPr>
        <w:t>,</w:t>
      </w:r>
      <w:r w:rsidR="00B227A9" w:rsidRPr="007F6B31">
        <w:rPr>
          <w:rFonts w:ascii="Book Antiqua" w:hAnsi="Book Antiqua" w:cs="Arial"/>
          <w:noProof/>
          <w:vertAlign w:val="superscript"/>
          <w:lang w:val="en-GB"/>
        </w:rPr>
        <w:t>30</w:t>
      </w:r>
      <w:r w:rsidR="00B227A9" w:rsidRPr="007F6B31">
        <w:rPr>
          <w:rFonts w:ascii="Book Antiqua" w:hAnsi="Book Antiqua" w:cs="Arial"/>
          <w:vertAlign w:val="superscript"/>
          <w:lang w:val="en-GB"/>
        </w:rPr>
        <w:fldChar w:fldCharType="end"/>
      </w:r>
      <w:r w:rsidR="00B227A9" w:rsidRPr="007F6B31">
        <w:rPr>
          <w:rFonts w:ascii="Book Antiqua" w:hAnsi="Book Antiqua" w:cs="Arial"/>
          <w:vertAlign w:val="superscript"/>
          <w:lang w:val="en-GB"/>
        </w:rPr>
        <w:t>]</w:t>
      </w:r>
      <w:r w:rsidRPr="007F6B31">
        <w:rPr>
          <w:rFonts w:ascii="Book Antiqua" w:hAnsi="Book Antiqua" w:cs="Arial"/>
          <w:lang w:val="en-GB"/>
        </w:rPr>
        <w:t>.</w:t>
      </w:r>
    </w:p>
    <w:p w14:paraId="2A897AB4" w14:textId="77777777" w:rsidR="00350917" w:rsidRPr="007F6B31" w:rsidRDefault="00350917" w:rsidP="001F2C55">
      <w:pPr>
        <w:pStyle w:val="a5"/>
        <w:snapToGrid w:val="0"/>
        <w:spacing w:line="360" w:lineRule="auto"/>
        <w:jc w:val="both"/>
        <w:rPr>
          <w:rFonts w:ascii="Book Antiqua" w:hAnsi="Book Antiqua" w:cs="Arial"/>
          <w:bCs/>
          <w:lang w:val="en-GB"/>
        </w:rPr>
      </w:pPr>
    </w:p>
    <w:p w14:paraId="2628AC4D" w14:textId="44566DD8" w:rsidR="005F42F3" w:rsidRPr="007F6B31" w:rsidRDefault="005F42F3" w:rsidP="001F2C55">
      <w:pPr>
        <w:adjustRightInd w:val="0"/>
        <w:snapToGrid w:val="0"/>
        <w:spacing w:after="0" w:line="360" w:lineRule="auto"/>
        <w:jc w:val="both"/>
        <w:rPr>
          <w:rFonts w:ascii="Book Antiqua" w:eastAsia="TimesNewRomanPSMT" w:hAnsi="Book Antiqua" w:cs="Arial"/>
          <w:b/>
          <w:bCs/>
          <w:i/>
          <w:iCs/>
          <w:sz w:val="24"/>
          <w:szCs w:val="24"/>
          <w:lang w:val="en-GB"/>
        </w:rPr>
      </w:pPr>
      <w:r w:rsidRPr="007F6B31">
        <w:rPr>
          <w:rFonts w:ascii="Book Antiqua" w:eastAsia="TimesNewRomanPSMT" w:hAnsi="Book Antiqua" w:cs="Arial"/>
          <w:b/>
          <w:bCs/>
          <w:i/>
          <w:iCs/>
          <w:sz w:val="24"/>
          <w:szCs w:val="24"/>
          <w:lang w:val="en-GB"/>
        </w:rPr>
        <w:t>Imaging examinations</w:t>
      </w:r>
    </w:p>
    <w:p w14:paraId="4949AEAF" w14:textId="69DD2B7B" w:rsidR="00096DE1" w:rsidRPr="007F6B31" w:rsidRDefault="00096DE1" w:rsidP="001F2C55">
      <w:pPr>
        <w:pStyle w:val="a5"/>
        <w:snapToGrid w:val="0"/>
        <w:spacing w:line="360" w:lineRule="auto"/>
        <w:jc w:val="both"/>
        <w:rPr>
          <w:rFonts w:ascii="Book Antiqua" w:hAnsi="Book Antiqua" w:cs="Arial"/>
          <w:lang w:val="en-GB"/>
        </w:rPr>
      </w:pPr>
      <w:bookmarkStart w:id="12" w:name="_Hlk19634376"/>
      <w:r w:rsidRPr="007F6B31">
        <w:rPr>
          <w:rFonts w:ascii="Book Antiqua" w:hAnsi="Book Antiqua" w:cs="Arial"/>
          <w:lang w:val="en-GB"/>
        </w:rPr>
        <w:t xml:space="preserve">The abdominal ultrasound and </w:t>
      </w:r>
      <w:proofErr w:type="spellStart"/>
      <w:r w:rsidRPr="007F6B31">
        <w:rPr>
          <w:rFonts w:ascii="Book Antiqua" w:hAnsi="Book Antiqua" w:cs="Arial"/>
          <w:lang w:val="en-GB"/>
        </w:rPr>
        <w:t>Fibro</w:t>
      </w:r>
      <w:r w:rsidR="009709D2" w:rsidRPr="007F6B31">
        <w:rPr>
          <w:rFonts w:ascii="Book Antiqua" w:hAnsi="Book Antiqua" w:cs="Arial"/>
          <w:lang w:val="en-GB"/>
        </w:rPr>
        <w:t>s</w:t>
      </w:r>
      <w:r w:rsidRPr="007F6B31">
        <w:rPr>
          <w:rFonts w:ascii="Book Antiqua" w:hAnsi="Book Antiqua" w:cs="Arial"/>
          <w:lang w:val="en-GB"/>
        </w:rPr>
        <w:t>can</w:t>
      </w:r>
      <w:proofErr w:type="spellEnd"/>
      <w:r w:rsidRPr="007F6B31">
        <w:rPr>
          <w:rFonts w:ascii="Book Antiqua" w:hAnsi="Book Antiqua" w:cs="Arial"/>
          <w:lang w:val="en-GB"/>
        </w:rPr>
        <w:t xml:space="preserve"> confirmed that the patients had steatosis with Cap values</w:t>
      </w:r>
      <w:r w:rsidR="002A0D35" w:rsidRPr="007F6B31">
        <w:rPr>
          <w:rFonts w:ascii="Book Antiqua" w:hAnsi="Book Antiqua" w:cs="Arial"/>
          <w:lang w:val="en-GB"/>
        </w:rPr>
        <w:t xml:space="preserve"> of</w:t>
      </w:r>
      <w:r w:rsidRPr="007F6B31">
        <w:rPr>
          <w:rFonts w:ascii="Book Antiqua" w:hAnsi="Book Antiqua" w:cs="Arial"/>
          <w:lang w:val="en-GB"/>
        </w:rPr>
        <w:t xml:space="preserve"> 281 and 342 dB/m for the female and male patient</w:t>
      </w:r>
      <w:r w:rsidR="00F85662" w:rsidRPr="007F6B31">
        <w:rPr>
          <w:rFonts w:ascii="Book Antiqua" w:hAnsi="Book Antiqua" w:cs="Arial"/>
          <w:lang w:val="en-GB"/>
        </w:rPr>
        <w:t>,</w:t>
      </w:r>
      <w:r w:rsidRPr="007F6B31">
        <w:rPr>
          <w:rFonts w:ascii="Book Antiqua" w:hAnsi="Book Antiqua" w:cs="Arial"/>
          <w:lang w:val="en-GB"/>
        </w:rPr>
        <w:t xml:space="preserve"> respectively. The male patient also had evidence of mild fibrosis</w:t>
      </w:r>
      <w:r w:rsidR="00F85662" w:rsidRPr="007F6B31">
        <w:rPr>
          <w:rFonts w:ascii="Book Antiqua" w:hAnsi="Book Antiqua" w:cs="Arial"/>
          <w:lang w:val="en-GB"/>
        </w:rPr>
        <w:t>,</w:t>
      </w:r>
      <w:r w:rsidRPr="007F6B31">
        <w:rPr>
          <w:rFonts w:ascii="Book Antiqua" w:hAnsi="Book Antiqua" w:cs="Arial"/>
          <w:lang w:val="en-GB"/>
        </w:rPr>
        <w:t xml:space="preserve"> with a median score of 9.2 kPa in the </w:t>
      </w:r>
      <w:proofErr w:type="spellStart"/>
      <w:r w:rsidRPr="007F6B31">
        <w:rPr>
          <w:rFonts w:ascii="Book Antiqua" w:hAnsi="Book Antiqua" w:cs="Arial"/>
          <w:lang w:val="en-GB"/>
        </w:rPr>
        <w:t>Fibro</w:t>
      </w:r>
      <w:r w:rsidR="009709D2" w:rsidRPr="007F6B31">
        <w:rPr>
          <w:rFonts w:ascii="Book Antiqua" w:hAnsi="Book Antiqua" w:cs="Arial"/>
          <w:lang w:val="en-GB"/>
        </w:rPr>
        <w:t>s</w:t>
      </w:r>
      <w:r w:rsidRPr="007F6B31">
        <w:rPr>
          <w:rFonts w:ascii="Book Antiqua" w:hAnsi="Book Antiqua" w:cs="Arial"/>
          <w:lang w:val="en-GB"/>
        </w:rPr>
        <w:t>can</w:t>
      </w:r>
      <w:proofErr w:type="spellEnd"/>
      <w:r w:rsidRPr="007F6B31">
        <w:rPr>
          <w:rFonts w:ascii="Book Antiqua" w:hAnsi="Book Antiqua" w:cs="Arial"/>
          <w:lang w:val="en-GB"/>
        </w:rPr>
        <w:t xml:space="preserve">. </w:t>
      </w:r>
    </w:p>
    <w:p w14:paraId="0288D13B" w14:textId="6EF5B969" w:rsidR="00F770C8" w:rsidRPr="007F6B31" w:rsidRDefault="00E205D7" w:rsidP="001F2C55">
      <w:pPr>
        <w:snapToGrid w:val="0"/>
        <w:spacing w:after="0" w:line="360" w:lineRule="auto"/>
        <w:ind w:firstLineChars="100" w:firstLine="240"/>
        <w:jc w:val="both"/>
        <w:rPr>
          <w:rFonts w:ascii="Book Antiqua" w:hAnsi="Book Antiqua" w:cs="Arial"/>
          <w:sz w:val="24"/>
          <w:szCs w:val="24"/>
          <w:lang w:val="en-GB"/>
        </w:rPr>
      </w:pPr>
      <w:r w:rsidRPr="007F6B31">
        <w:rPr>
          <w:rFonts w:ascii="Book Antiqua" w:hAnsi="Book Antiqua" w:cs="Arial"/>
          <w:sz w:val="24"/>
          <w:szCs w:val="24"/>
          <w:lang w:val="en-GB"/>
        </w:rPr>
        <w:lastRenderedPageBreak/>
        <w:t xml:space="preserve">Both patients underwent additional tests to </w:t>
      </w:r>
      <w:r w:rsidR="00096DE1" w:rsidRPr="007F6B31">
        <w:rPr>
          <w:rFonts w:ascii="Book Antiqua" w:hAnsi="Book Antiqua" w:cs="Arial"/>
          <w:sz w:val="24"/>
          <w:szCs w:val="24"/>
          <w:lang w:val="en-GB"/>
        </w:rPr>
        <w:t>assess evidence of cardiovascular disease</w:t>
      </w:r>
      <w:r w:rsidRPr="007F6B31">
        <w:rPr>
          <w:rFonts w:ascii="Book Antiqua" w:hAnsi="Book Antiqua" w:cs="Arial"/>
          <w:sz w:val="24"/>
          <w:szCs w:val="24"/>
          <w:lang w:val="en-GB"/>
        </w:rPr>
        <w:t xml:space="preserve">. The female patient had a moderate stenosis of up to 70% on ultrasound imaging of the carotid arteries. </w:t>
      </w:r>
      <w:r w:rsidR="006C20FA" w:rsidRPr="007F6B31">
        <w:rPr>
          <w:rFonts w:ascii="Book Antiqua" w:hAnsi="Book Antiqua" w:cs="Arial"/>
          <w:sz w:val="24"/>
          <w:szCs w:val="24"/>
          <w:lang w:val="en-GB"/>
        </w:rPr>
        <w:t>T</w:t>
      </w:r>
      <w:r w:rsidR="001A0566" w:rsidRPr="007F6B31">
        <w:rPr>
          <w:rFonts w:ascii="Book Antiqua" w:hAnsi="Book Antiqua" w:cs="Arial"/>
          <w:sz w:val="24"/>
          <w:szCs w:val="24"/>
          <w:lang w:val="en-GB"/>
        </w:rPr>
        <w:t>rans</w:t>
      </w:r>
      <w:r w:rsidR="0027291B" w:rsidRPr="007F6B31">
        <w:rPr>
          <w:rFonts w:ascii="Book Antiqua" w:hAnsi="Book Antiqua" w:cs="Arial"/>
          <w:sz w:val="24"/>
          <w:szCs w:val="24"/>
          <w:lang w:val="en-GB"/>
        </w:rPr>
        <w:t>thoracic echocardiogra</w:t>
      </w:r>
      <w:r w:rsidRPr="007F6B31">
        <w:rPr>
          <w:rFonts w:ascii="Book Antiqua" w:hAnsi="Book Antiqua" w:cs="Arial"/>
          <w:sz w:val="24"/>
          <w:szCs w:val="24"/>
          <w:lang w:val="en-GB"/>
        </w:rPr>
        <w:t>phy</w:t>
      </w:r>
      <w:bookmarkEnd w:id="11"/>
      <w:r w:rsidR="006C20FA" w:rsidRPr="007F6B31">
        <w:rPr>
          <w:rFonts w:ascii="Book Antiqua" w:hAnsi="Book Antiqua" w:cs="Arial"/>
          <w:sz w:val="24"/>
          <w:szCs w:val="24"/>
          <w:lang w:val="en-GB"/>
        </w:rPr>
        <w:t xml:space="preserve"> </w:t>
      </w:r>
      <w:r w:rsidRPr="007F6B31">
        <w:rPr>
          <w:rFonts w:ascii="Book Antiqua" w:hAnsi="Book Antiqua" w:cs="Arial"/>
          <w:sz w:val="24"/>
          <w:szCs w:val="24"/>
          <w:lang w:val="en-GB"/>
        </w:rPr>
        <w:t xml:space="preserve">identified a </w:t>
      </w:r>
      <w:r w:rsidR="001A0566" w:rsidRPr="007F6B31">
        <w:rPr>
          <w:rFonts w:ascii="Book Antiqua" w:hAnsi="Book Antiqua" w:cs="Arial"/>
          <w:sz w:val="24"/>
          <w:szCs w:val="24"/>
          <w:lang w:val="en-GB"/>
        </w:rPr>
        <w:t xml:space="preserve">sclerotic </w:t>
      </w:r>
      <w:r w:rsidR="00BD0D0F" w:rsidRPr="007F6B31">
        <w:rPr>
          <w:rFonts w:ascii="Book Antiqua" w:hAnsi="Book Antiqua" w:cs="Arial"/>
          <w:sz w:val="24"/>
          <w:szCs w:val="24"/>
          <w:lang w:val="en-GB"/>
        </w:rPr>
        <w:t>aorta valve</w:t>
      </w:r>
      <w:r w:rsidRPr="007F6B31">
        <w:rPr>
          <w:rFonts w:ascii="Book Antiqua" w:hAnsi="Book Antiqua" w:cs="Arial"/>
          <w:sz w:val="24"/>
          <w:szCs w:val="24"/>
          <w:lang w:val="en-GB"/>
        </w:rPr>
        <w:t xml:space="preserve">, </w:t>
      </w:r>
      <w:r w:rsidR="001A0566" w:rsidRPr="007F6B31">
        <w:rPr>
          <w:rFonts w:ascii="Book Antiqua" w:hAnsi="Book Antiqua" w:cs="Arial"/>
          <w:sz w:val="24"/>
          <w:szCs w:val="24"/>
          <w:lang w:val="en-GB"/>
        </w:rPr>
        <w:t>mitral annular calcification</w:t>
      </w:r>
      <w:r w:rsidRPr="007F6B31">
        <w:rPr>
          <w:rFonts w:ascii="Book Antiqua" w:hAnsi="Book Antiqua" w:cs="Arial"/>
          <w:sz w:val="24"/>
          <w:szCs w:val="24"/>
          <w:lang w:val="en-GB"/>
        </w:rPr>
        <w:t xml:space="preserve">, and </w:t>
      </w:r>
      <w:r w:rsidR="00BD0D0F" w:rsidRPr="007F6B31">
        <w:rPr>
          <w:rFonts w:ascii="Book Antiqua" w:hAnsi="Book Antiqua" w:cs="Arial"/>
          <w:sz w:val="24"/>
          <w:szCs w:val="24"/>
          <w:lang w:val="en-GB"/>
        </w:rPr>
        <w:t xml:space="preserve">mild left ventricular hypertrophy. </w:t>
      </w:r>
      <w:r w:rsidRPr="007F6B31">
        <w:rPr>
          <w:rFonts w:ascii="Book Antiqua" w:hAnsi="Book Antiqua" w:cs="Arial"/>
          <w:sz w:val="24"/>
          <w:szCs w:val="24"/>
          <w:lang w:val="en-GB"/>
        </w:rPr>
        <w:t>M</w:t>
      </w:r>
      <w:r w:rsidR="00BC4A53" w:rsidRPr="007F6B31">
        <w:rPr>
          <w:rFonts w:ascii="Book Antiqua" w:hAnsi="Book Antiqua" w:cs="Arial"/>
          <w:sz w:val="24"/>
          <w:szCs w:val="24"/>
          <w:lang w:val="en-GB"/>
        </w:rPr>
        <w:t xml:space="preserve">yocardial perfusion </w:t>
      </w:r>
      <w:r w:rsidR="00794AA8" w:rsidRPr="007F6B31">
        <w:rPr>
          <w:rFonts w:ascii="Book Antiqua" w:hAnsi="Book Antiqua" w:cs="Arial"/>
          <w:sz w:val="24"/>
          <w:szCs w:val="24"/>
          <w:lang w:val="en-GB"/>
        </w:rPr>
        <w:t>s</w:t>
      </w:r>
      <w:r w:rsidR="00BC4A53" w:rsidRPr="007F6B31">
        <w:rPr>
          <w:rFonts w:ascii="Book Antiqua" w:hAnsi="Book Antiqua" w:cs="Arial"/>
          <w:sz w:val="24"/>
          <w:szCs w:val="24"/>
          <w:lang w:val="en-GB"/>
        </w:rPr>
        <w:t>cintigraphy combined with SPECT</w:t>
      </w:r>
      <w:r w:rsidR="00EC64C8" w:rsidRPr="007F6B31">
        <w:rPr>
          <w:rFonts w:ascii="Book Antiqua" w:hAnsi="Book Antiqua" w:cs="Arial"/>
          <w:sz w:val="24"/>
          <w:szCs w:val="24"/>
          <w:lang w:val="en-GB"/>
        </w:rPr>
        <w:t xml:space="preserve"> </w:t>
      </w:r>
      <w:r w:rsidRPr="007F6B31">
        <w:rPr>
          <w:rFonts w:ascii="Book Antiqua" w:hAnsi="Book Antiqua" w:cs="Arial"/>
          <w:sz w:val="24"/>
          <w:szCs w:val="24"/>
          <w:lang w:val="en-GB"/>
        </w:rPr>
        <w:t xml:space="preserve">showed </w:t>
      </w:r>
      <w:r w:rsidR="00815F0F" w:rsidRPr="007F6B31">
        <w:rPr>
          <w:rFonts w:ascii="Book Antiqua" w:hAnsi="Book Antiqua" w:cs="Arial"/>
          <w:sz w:val="24"/>
          <w:szCs w:val="24"/>
          <w:lang w:val="en-GB"/>
        </w:rPr>
        <w:t>a small</w:t>
      </w:r>
      <w:r w:rsidR="00F85662" w:rsidRPr="007F6B31">
        <w:rPr>
          <w:rFonts w:ascii="Book Antiqua" w:hAnsi="Book Antiqua" w:cs="Arial"/>
          <w:sz w:val="24"/>
          <w:szCs w:val="24"/>
          <w:lang w:val="en-GB"/>
        </w:rPr>
        <w:t>,</w:t>
      </w:r>
      <w:r w:rsidR="00815F0F" w:rsidRPr="007F6B31">
        <w:rPr>
          <w:rFonts w:ascii="Book Antiqua" w:hAnsi="Book Antiqua" w:cs="Arial"/>
          <w:sz w:val="24"/>
          <w:szCs w:val="24"/>
          <w:lang w:val="en-GB"/>
        </w:rPr>
        <w:t xml:space="preserve"> reversible perfusion</w:t>
      </w:r>
      <w:r w:rsidR="00DB12C0" w:rsidRPr="007F6B31">
        <w:rPr>
          <w:rFonts w:ascii="Book Antiqua" w:hAnsi="Book Antiqua" w:cs="Arial"/>
          <w:sz w:val="24"/>
          <w:szCs w:val="24"/>
          <w:lang w:val="en-GB"/>
        </w:rPr>
        <w:t xml:space="preserve"> </w:t>
      </w:r>
      <w:r w:rsidR="00815F0F" w:rsidRPr="007F6B31">
        <w:rPr>
          <w:rFonts w:ascii="Book Antiqua" w:hAnsi="Book Antiqua" w:cs="Arial"/>
          <w:sz w:val="24"/>
          <w:szCs w:val="24"/>
          <w:lang w:val="en-GB"/>
        </w:rPr>
        <w:t xml:space="preserve">defect near </w:t>
      </w:r>
      <w:r w:rsidR="005E3ABA" w:rsidRPr="007F6B31">
        <w:rPr>
          <w:rFonts w:ascii="Book Antiqua" w:hAnsi="Book Antiqua" w:cs="Arial"/>
          <w:sz w:val="24"/>
          <w:szCs w:val="24"/>
          <w:lang w:val="en-GB"/>
        </w:rPr>
        <w:t xml:space="preserve">the </w:t>
      </w:r>
      <w:r w:rsidR="00815F0F" w:rsidRPr="007F6B31">
        <w:rPr>
          <w:rFonts w:ascii="Book Antiqua" w:hAnsi="Book Antiqua" w:cs="Arial"/>
          <w:sz w:val="24"/>
          <w:szCs w:val="24"/>
          <w:lang w:val="en-GB"/>
        </w:rPr>
        <w:t xml:space="preserve">septal basis and a </w:t>
      </w:r>
      <w:r w:rsidRPr="007F6B31">
        <w:rPr>
          <w:rFonts w:ascii="Book Antiqua" w:hAnsi="Book Antiqua" w:cs="Arial"/>
          <w:sz w:val="24"/>
          <w:szCs w:val="24"/>
          <w:lang w:val="en-GB"/>
        </w:rPr>
        <w:t xml:space="preserve">moderately elevated </w:t>
      </w:r>
      <w:r w:rsidR="00815F0F" w:rsidRPr="007F6B31">
        <w:rPr>
          <w:rFonts w:ascii="Book Antiqua" w:hAnsi="Book Antiqua" w:cs="Arial"/>
          <w:sz w:val="24"/>
          <w:szCs w:val="24"/>
          <w:lang w:val="en-GB"/>
        </w:rPr>
        <w:t xml:space="preserve">coronary </w:t>
      </w:r>
      <w:r w:rsidRPr="007F6B31">
        <w:rPr>
          <w:rFonts w:ascii="Book Antiqua" w:hAnsi="Book Antiqua" w:cs="Arial"/>
          <w:sz w:val="24"/>
          <w:szCs w:val="24"/>
          <w:lang w:val="en-GB"/>
        </w:rPr>
        <w:t>artery calcium score</w:t>
      </w:r>
      <w:r w:rsidR="00815F0F" w:rsidRPr="007F6B31">
        <w:rPr>
          <w:rFonts w:ascii="Book Antiqua" w:hAnsi="Book Antiqua" w:cs="Arial"/>
          <w:sz w:val="24"/>
          <w:szCs w:val="24"/>
          <w:lang w:val="en-GB"/>
        </w:rPr>
        <w:t>.</w:t>
      </w:r>
      <w:r w:rsidR="00551D51" w:rsidRPr="007F6B31">
        <w:rPr>
          <w:rFonts w:ascii="Book Antiqua" w:hAnsi="Book Antiqua" w:cs="Arial"/>
          <w:sz w:val="24"/>
          <w:szCs w:val="24"/>
          <w:lang w:val="en-GB"/>
        </w:rPr>
        <w:t xml:space="preserve"> </w:t>
      </w:r>
      <w:r w:rsidRPr="007F6B31">
        <w:rPr>
          <w:rFonts w:ascii="Book Antiqua" w:hAnsi="Book Antiqua" w:cs="Arial"/>
          <w:sz w:val="24"/>
          <w:szCs w:val="24"/>
          <w:lang w:val="en-GB"/>
        </w:rPr>
        <w:t xml:space="preserve">The findings were confirmed </w:t>
      </w:r>
      <w:r w:rsidR="00F85662" w:rsidRPr="007F6B31">
        <w:rPr>
          <w:rFonts w:ascii="Book Antiqua" w:hAnsi="Book Antiqua" w:cs="Arial"/>
          <w:sz w:val="24"/>
          <w:szCs w:val="24"/>
          <w:lang w:val="en-GB"/>
        </w:rPr>
        <w:t xml:space="preserve">with </w:t>
      </w:r>
      <w:r w:rsidR="00EC64C8" w:rsidRPr="007F6B31">
        <w:rPr>
          <w:rFonts w:ascii="Book Antiqua" w:hAnsi="Book Antiqua" w:cs="Arial"/>
          <w:sz w:val="24"/>
          <w:szCs w:val="24"/>
          <w:lang w:val="en-GB"/>
        </w:rPr>
        <w:t xml:space="preserve">cardiac </w:t>
      </w:r>
      <w:r w:rsidRPr="007F6B31">
        <w:rPr>
          <w:rFonts w:ascii="Book Antiqua" w:hAnsi="Book Antiqua" w:cs="Arial"/>
          <w:sz w:val="24"/>
          <w:szCs w:val="24"/>
          <w:lang w:val="en-GB"/>
        </w:rPr>
        <w:t>MRI</w:t>
      </w:r>
      <w:r w:rsidR="00EC64C8" w:rsidRPr="007F6B31">
        <w:rPr>
          <w:rFonts w:ascii="Book Antiqua" w:hAnsi="Book Antiqua" w:cs="Arial"/>
          <w:sz w:val="24"/>
          <w:szCs w:val="24"/>
          <w:lang w:val="en-GB"/>
        </w:rPr>
        <w:t>, which found the same reversible</w:t>
      </w:r>
      <w:r w:rsidR="007528C7" w:rsidRPr="007F6B31">
        <w:rPr>
          <w:rFonts w:ascii="Book Antiqua" w:hAnsi="Book Antiqua" w:cs="Arial"/>
          <w:sz w:val="24"/>
          <w:szCs w:val="24"/>
          <w:lang w:val="en-GB"/>
        </w:rPr>
        <w:t xml:space="preserve"> perfusion defect</w:t>
      </w:r>
      <w:r w:rsidR="00EC64C8" w:rsidRPr="007F6B31">
        <w:rPr>
          <w:rFonts w:ascii="Book Antiqua" w:hAnsi="Book Antiqua" w:cs="Arial"/>
          <w:sz w:val="24"/>
          <w:szCs w:val="24"/>
          <w:lang w:val="en-GB"/>
        </w:rPr>
        <w:t xml:space="preserve"> </w:t>
      </w:r>
      <w:r w:rsidRPr="007F6B31">
        <w:rPr>
          <w:rFonts w:ascii="Book Antiqua" w:hAnsi="Book Antiqua" w:cs="Arial"/>
          <w:sz w:val="24"/>
          <w:szCs w:val="24"/>
          <w:lang w:val="en-GB"/>
        </w:rPr>
        <w:t xml:space="preserve">near the septal basis </w:t>
      </w:r>
      <w:r w:rsidR="00EC64C8" w:rsidRPr="007F6B31">
        <w:rPr>
          <w:rFonts w:ascii="Book Antiqua" w:hAnsi="Book Antiqua" w:cs="Arial"/>
          <w:sz w:val="24"/>
          <w:szCs w:val="24"/>
          <w:lang w:val="en-GB"/>
        </w:rPr>
        <w:t>and</w:t>
      </w:r>
      <w:r w:rsidR="001A0566" w:rsidRPr="007F6B31">
        <w:rPr>
          <w:rFonts w:ascii="Book Antiqua" w:hAnsi="Book Antiqua" w:cs="Arial"/>
          <w:sz w:val="24"/>
          <w:szCs w:val="24"/>
          <w:lang w:val="en-GB"/>
        </w:rPr>
        <w:t xml:space="preserve"> </w:t>
      </w:r>
      <w:r w:rsidR="007528C7" w:rsidRPr="007F6B31">
        <w:rPr>
          <w:rFonts w:ascii="Book Antiqua" w:hAnsi="Book Antiqua" w:cs="Arial"/>
          <w:sz w:val="24"/>
          <w:szCs w:val="24"/>
          <w:lang w:val="en-GB"/>
        </w:rPr>
        <w:t xml:space="preserve">mild </w:t>
      </w:r>
      <w:r w:rsidR="00EC64C8" w:rsidRPr="007F6B31">
        <w:rPr>
          <w:rFonts w:ascii="Book Antiqua" w:hAnsi="Book Antiqua" w:cs="Arial"/>
          <w:sz w:val="24"/>
          <w:szCs w:val="24"/>
          <w:lang w:val="en-GB"/>
        </w:rPr>
        <w:t>left ventric</w:t>
      </w:r>
      <w:r w:rsidR="005A11C7" w:rsidRPr="007F6B31">
        <w:rPr>
          <w:rFonts w:ascii="Book Antiqua" w:hAnsi="Book Antiqua" w:cs="Arial"/>
          <w:sz w:val="24"/>
          <w:szCs w:val="24"/>
          <w:lang w:val="en-GB"/>
        </w:rPr>
        <w:t>ular</w:t>
      </w:r>
      <w:r w:rsidR="00EC64C8" w:rsidRPr="007F6B31">
        <w:rPr>
          <w:rFonts w:ascii="Book Antiqua" w:hAnsi="Book Antiqua" w:cs="Arial"/>
          <w:sz w:val="24"/>
          <w:szCs w:val="24"/>
          <w:lang w:val="en-GB"/>
        </w:rPr>
        <w:t xml:space="preserve"> hypertrophy</w:t>
      </w:r>
      <w:r w:rsidR="00734535" w:rsidRPr="007F6B31">
        <w:rPr>
          <w:rFonts w:ascii="Book Antiqua" w:hAnsi="Book Antiqua" w:cs="Arial"/>
          <w:sz w:val="24"/>
          <w:szCs w:val="24"/>
          <w:lang w:val="en-GB"/>
        </w:rPr>
        <w:t xml:space="preserve"> </w:t>
      </w:r>
      <w:r w:rsidR="00BA2400" w:rsidRPr="007F6B31">
        <w:rPr>
          <w:rFonts w:ascii="Book Antiqua" w:hAnsi="Book Antiqua" w:cs="Arial"/>
          <w:sz w:val="24"/>
          <w:szCs w:val="24"/>
          <w:lang w:val="en-GB"/>
        </w:rPr>
        <w:t>(Space between the CESD patients)</w:t>
      </w:r>
      <w:r w:rsidR="00EC38DC" w:rsidRPr="007F6B31">
        <w:rPr>
          <w:rFonts w:ascii="Book Antiqua" w:hAnsi="Book Antiqua" w:cs="Arial"/>
          <w:sz w:val="24"/>
          <w:szCs w:val="24"/>
          <w:lang w:val="en-GB"/>
        </w:rPr>
        <w:t>.</w:t>
      </w:r>
    </w:p>
    <w:p w14:paraId="3B16472F" w14:textId="4B7977FB" w:rsidR="00B227A9" w:rsidRPr="007F6B31" w:rsidRDefault="00E205D7" w:rsidP="001F2C55">
      <w:pPr>
        <w:snapToGrid w:val="0"/>
        <w:spacing w:after="0" w:line="360" w:lineRule="auto"/>
        <w:ind w:firstLineChars="100" w:firstLine="240"/>
        <w:jc w:val="both"/>
        <w:rPr>
          <w:rFonts w:ascii="Book Antiqua" w:eastAsia="TimesNewRomanPSMT" w:hAnsi="Book Antiqua" w:cs="Arial"/>
          <w:sz w:val="24"/>
          <w:szCs w:val="24"/>
          <w:lang w:val="en-GB"/>
        </w:rPr>
      </w:pPr>
      <w:r w:rsidRPr="007F6B31">
        <w:rPr>
          <w:rFonts w:ascii="Book Antiqua" w:hAnsi="Book Antiqua" w:cs="Arial"/>
          <w:sz w:val="24"/>
          <w:szCs w:val="24"/>
          <w:lang w:val="en-GB"/>
        </w:rPr>
        <w:t xml:space="preserve">The male patient had no evidence of stenosis </w:t>
      </w:r>
      <w:r w:rsidR="00F85662" w:rsidRPr="007F6B31">
        <w:rPr>
          <w:rFonts w:ascii="Book Antiqua" w:hAnsi="Book Antiqua" w:cs="Arial"/>
          <w:sz w:val="24"/>
          <w:szCs w:val="24"/>
          <w:lang w:val="en-GB"/>
        </w:rPr>
        <w:t xml:space="preserve">in a </w:t>
      </w:r>
      <w:r w:rsidRPr="007F6B31">
        <w:rPr>
          <w:rFonts w:ascii="Book Antiqua" w:hAnsi="Book Antiqua" w:cs="Arial"/>
          <w:sz w:val="24"/>
          <w:szCs w:val="24"/>
          <w:lang w:val="en-GB"/>
        </w:rPr>
        <w:t xml:space="preserve">carotid artery ultrasound. </w:t>
      </w:r>
      <w:bookmarkEnd w:id="12"/>
      <w:r w:rsidR="00EC38DC" w:rsidRPr="007F6B31">
        <w:rPr>
          <w:rFonts w:ascii="Book Antiqua" w:hAnsi="Book Antiqua" w:cs="Arial"/>
          <w:sz w:val="24"/>
          <w:szCs w:val="24"/>
          <w:lang w:val="en-GB"/>
        </w:rPr>
        <w:t xml:space="preserve">Transthoracic echocardiography </w:t>
      </w:r>
      <w:r w:rsidR="00451C2A" w:rsidRPr="007F6B31">
        <w:rPr>
          <w:rFonts w:ascii="Book Antiqua" w:hAnsi="Book Antiqua" w:cs="Arial"/>
          <w:sz w:val="24"/>
          <w:szCs w:val="24"/>
          <w:lang w:val="en-GB"/>
        </w:rPr>
        <w:t xml:space="preserve">found severe aortic </w:t>
      </w:r>
      <w:r w:rsidRPr="007F6B31">
        <w:rPr>
          <w:rFonts w:ascii="Book Antiqua" w:hAnsi="Book Antiqua" w:cs="Arial"/>
          <w:sz w:val="24"/>
          <w:szCs w:val="24"/>
          <w:lang w:val="en-GB"/>
        </w:rPr>
        <w:t xml:space="preserve">valve </w:t>
      </w:r>
      <w:r w:rsidR="00451C2A" w:rsidRPr="007F6B31">
        <w:rPr>
          <w:rFonts w:ascii="Book Antiqua" w:hAnsi="Book Antiqua" w:cs="Arial"/>
          <w:sz w:val="24"/>
          <w:szCs w:val="24"/>
          <w:lang w:val="en-GB"/>
        </w:rPr>
        <w:t>stenosis with calcified cusps</w:t>
      </w:r>
      <w:r w:rsidRPr="007F6B31">
        <w:rPr>
          <w:rFonts w:ascii="Book Antiqua" w:hAnsi="Book Antiqua" w:cs="Arial"/>
          <w:sz w:val="24"/>
          <w:szCs w:val="24"/>
          <w:lang w:val="en-GB"/>
        </w:rPr>
        <w:t xml:space="preserve"> and </w:t>
      </w:r>
      <w:r w:rsidR="00451C2A" w:rsidRPr="007F6B31">
        <w:rPr>
          <w:rFonts w:ascii="Book Antiqua" w:hAnsi="Book Antiqua" w:cs="Arial"/>
          <w:sz w:val="24"/>
          <w:szCs w:val="24"/>
          <w:lang w:val="en-GB"/>
        </w:rPr>
        <w:t xml:space="preserve">mild left ventricular hypertrophy. </w:t>
      </w:r>
      <w:r w:rsidR="002F7DD0" w:rsidRPr="007F6B31">
        <w:rPr>
          <w:rFonts w:ascii="Book Antiqua" w:hAnsi="Book Antiqua" w:cs="Arial"/>
          <w:sz w:val="24"/>
          <w:szCs w:val="24"/>
          <w:lang w:val="en-GB"/>
        </w:rPr>
        <w:t>M</w:t>
      </w:r>
      <w:r w:rsidR="00E0219F" w:rsidRPr="007F6B31">
        <w:rPr>
          <w:rFonts w:ascii="Book Antiqua" w:hAnsi="Book Antiqua" w:cs="Arial"/>
          <w:sz w:val="24"/>
          <w:szCs w:val="24"/>
          <w:lang w:val="en-GB"/>
        </w:rPr>
        <w:t>yocardial scintigraphy with SPECT showed a small</w:t>
      </w:r>
      <w:r w:rsidR="00F85662" w:rsidRPr="007F6B31">
        <w:rPr>
          <w:rFonts w:ascii="Book Antiqua" w:hAnsi="Book Antiqua" w:cs="Arial"/>
          <w:sz w:val="24"/>
          <w:szCs w:val="24"/>
          <w:lang w:val="en-GB"/>
        </w:rPr>
        <w:t>,</w:t>
      </w:r>
      <w:r w:rsidR="00E0219F" w:rsidRPr="007F6B31">
        <w:rPr>
          <w:rFonts w:ascii="Book Antiqua" w:hAnsi="Book Antiqua" w:cs="Arial"/>
          <w:sz w:val="24"/>
          <w:szCs w:val="24"/>
          <w:lang w:val="en-GB"/>
        </w:rPr>
        <w:t xml:space="preserve"> reversible perfusion defect in the inferior lateral left ventricle</w:t>
      </w:r>
      <w:r w:rsidRPr="007F6B31">
        <w:rPr>
          <w:rFonts w:ascii="Book Antiqua" w:hAnsi="Book Antiqua" w:cs="Arial"/>
          <w:sz w:val="24"/>
          <w:szCs w:val="24"/>
          <w:lang w:val="en-GB"/>
        </w:rPr>
        <w:t xml:space="preserve"> and a moderately elevated calcium score</w:t>
      </w:r>
      <w:r w:rsidR="00E0219F" w:rsidRPr="007F6B31">
        <w:rPr>
          <w:rFonts w:ascii="Book Antiqua" w:hAnsi="Book Antiqua" w:cs="Arial"/>
          <w:sz w:val="24"/>
          <w:szCs w:val="24"/>
          <w:lang w:val="en-GB"/>
        </w:rPr>
        <w:t xml:space="preserve">. </w:t>
      </w:r>
      <w:r w:rsidR="002F7DD0" w:rsidRPr="007F6B31">
        <w:rPr>
          <w:rFonts w:ascii="Book Antiqua" w:hAnsi="Book Antiqua" w:cs="Arial"/>
          <w:sz w:val="24"/>
          <w:szCs w:val="24"/>
          <w:lang w:val="en-GB"/>
        </w:rPr>
        <w:t>Cardiac MR</w:t>
      </w:r>
      <w:r w:rsidRPr="007F6B31">
        <w:rPr>
          <w:rFonts w:ascii="Book Antiqua" w:hAnsi="Book Antiqua" w:cs="Arial"/>
          <w:sz w:val="24"/>
          <w:szCs w:val="24"/>
          <w:lang w:val="en-GB"/>
        </w:rPr>
        <w:t>I</w:t>
      </w:r>
      <w:r w:rsidR="002F7DD0" w:rsidRPr="007F6B31">
        <w:rPr>
          <w:rFonts w:ascii="Book Antiqua" w:hAnsi="Book Antiqua" w:cs="Arial"/>
          <w:sz w:val="24"/>
          <w:szCs w:val="24"/>
          <w:lang w:val="en-GB"/>
        </w:rPr>
        <w:t xml:space="preserve"> </w:t>
      </w:r>
      <w:r w:rsidR="0058313B" w:rsidRPr="007F6B31">
        <w:rPr>
          <w:rFonts w:ascii="Book Antiqua" w:hAnsi="Book Antiqua" w:cs="Arial"/>
          <w:sz w:val="24"/>
          <w:szCs w:val="24"/>
          <w:lang w:val="en-GB"/>
        </w:rPr>
        <w:t xml:space="preserve">showed </w:t>
      </w:r>
      <w:r w:rsidR="00F1273D" w:rsidRPr="007F6B31">
        <w:rPr>
          <w:rFonts w:ascii="Book Antiqua" w:hAnsi="Book Antiqua" w:cs="Arial"/>
          <w:sz w:val="24"/>
          <w:szCs w:val="24"/>
          <w:lang w:val="en-GB"/>
        </w:rPr>
        <w:t>aort</w:t>
      </w:r>
      <w:r w:rsidR="0058313B" w:rsidRPr="007F6B31">
        <w:rPr>
          <w:rFonts w:ascii="Book Antiqua" w:hAnsi="Book Antiqua" w:cs="Arial"/>
          <w:sz w:val="24"/>
          <w:szCs w:val="24"/>
          <w:lang w:val="en-GB"/>
        </w:rPr>
        <w:t xml:space="preserve">ic </w:t>
      </w:r>
      <w:r w:rsidR="00F1273D" w:rsidRPr="007F6B31">
        <w:rPr>
          <w:rFonts w:ascii="Book Antiqua" w:hAnsi="Book Antiqua" w:cs="Arial"/>
          <w:sz w:val="24"/>
          <w:szCs w:val="24"/>
          <w:lang w:val="en-GB"/>
        </w:rPr>
        <w:t>valve</w:t>
      </w:r>
      <w:r w:rsidR="0058313B" w:rsidRPr="007F6B31">
        <w:rPr>
          <w:rFonts w:ascii="Book Antiqua" w:hAnsi="Book Antiqua" w:cs="Arial"/>
          <w:sz w:val="24"/>
          <w:szCs w:val="24"/>
          <w:lang w:val="en-GB"/>
        </w:rPr>
        <w:t>s</w:t>
      </w:r>
      <w:r w:rsidR="00F1273D" w:rsidRPr="007F6B31">
        <w:rPr>
          <w:rFonts w:ascii="Book Antiqua" w:hAnsi="Book Antiqua" w:cs="Arial"/>
          <w:sz w:val="24"/>
          <w:szCs w:val="24"/>
          <w:lang w:val="en-GB"/>
        </w:rPr>
        <w:t xml:space="preserve"> with restrictive movement due to calcified cups</w:t>
      </w:r>
      <w:r w:rsidR="00F85662" w:rsidRPr="007F6B31">
        <w:rPr>
          <w:rFonts w:ascii="Book Antiqua" w:hAnsi="Book Antiqua" w:cs="Arial"/>
          <w:sz w:val="24"/>
          <w:szCs w:val="24"/>
          <w:lang w:val="en-GB"/>
        </w:rPr>
        <w:t>,</w:t>
      </w:r>
      <w:r w:rsidR="00F1273D" w:rsidRPr="007F6B31">
        <w:rPr>
          <w:rFonts w:ascii="Book Antiqua" w:hAnsi="Book Antiqua" w:cs="Arial"/>
          <w:sz w:val="24"/>
          <w:szCs w:val="24"/>
          <w:lang w:val="en-GB"/>
        </w:rPr>
        <w:t xml:space="preserve"> resulting in severe aorta stenosis</w:t>
      </w:r>
      <w:r w:rsidR="0058313B" w:rsidRPr="007F6B31">
        <w:rPr>
          <w:rFonts w:ascii="Book Antiqua" w:hAnsi="Book Antiqua" w:cs="Arial"/>
          <w:sz w:val="24"/>
          <w:szCs w:val="24"/>
          <w:lang w:val="en-GB"/>
        </w:rPr>
        <w:t xml:space="preserve"> and left ventric</w:t>
      </w:r>
      <w:r w:rsidR="001E28D8" w:rsidRPr="007F6B31">
        <w:rPr>
          <w:rFonts w:ascii="Book Antiqua" w:hAnsi="Book Antiqua" w:cs="Arial"/>
          <w:sz w:val="24"/>
          <w:szCs w:val="24"/>
          <w:lang w:val="en-GB"/>
        </w:rPr>
        <w:t>ular</w:t>
      </w:r>
      <w:r w:rsidR="0058313B" w:rsidRPr="007F6B31">
        <w:rPr>
          <w:rFonts w:ascii="Book Antiqua" w:hAnsi="Book Antiqua" w:cs="Arial"/>
          <w:sz w:val="24"/>
          <w:szCs w:val="24"/>
          <w:lang w:val="en-GB"/>
        </w:rPr>
        <w:t xml:space="preserve"> hypertrophy</w:t>
      </w:r>
      <w:r w:rsidR="00F1273D" w:rsidRPr="007F6B31">
        <w:rPr>
          <w:rFonts w:ascii="Book Antiqua" w:hAnsi="Book Antiqua" w:cs="Arial"/>
          <w:sz w:val="24"/>
          <w:szCs w:val="24"/>
          <w:lang w:val="en-GB"/>
        </w:rPr>
        <w:t xml:space="preserve">. </w:t>
      </w:r>
      <w:r w:rsidR="009E211C" w:rsidRPr="007F6B31">
        <w:rPr>
          <w:rFonts w:ascii="Book Antiqua" w:eastAsia="TimesNewRomanPSMT" w:hAnsi="Book Antiqua" w:cs="Arial"/>
          <w:sz w:val="24"/>
          <w:szCs w:val="24"/>
          <w:lang w:val="en-GB"/>
        </w:rPr>
        <w:t>Gastroduodenoscopy was normal. Duodenal biopsies showed no inflammation of foamy cells.</w:t>
      </w:r>
    </w:p>
    <w:p w14:paraId="31CEFC59" w14:textId="77777777" w:rsidR="00B227A9" w:rsidRPr="007F6B31" w:rsidRDefault="00B227A9" w:rsidP="001F2C55">
      <w:pPr>
        <w:snapToGrid w:val="0"/>
        <w:spacing w:after="0" w:line="360" w:lineRule="auto"/>
        <w:jc w:val="both"/>
        <w:rPr>
          <w:rFonts w:ascii="Book Antiqua" w:eastAsia="TimesNewRomanPSMT" w:hAnsi="Book Antiqua" w:cs="Arial"/>
          <w:sz w:val="24"/>
          <w:szCs w:val="24"/>
          <w:lang w:val="en-GB"/>
        </w:rPr>
      </w:pPr>
    </w:p>
    <w:p w14:paraId="52D4877B" w14:textId="77777777" w:rsidR="00B227A9" w:rsidRPr="007F6B31" w:rsidRDefault="004C57CC" w:rsidP="001F2C55">
      <w:pPr>
        <w:snapToGrid w:val="0"/>
        <w:spacing w:after="0" w:line="360" w:lineRule="auto"/>
        <w:jc w:val="both"/>
        <w:rPr>
          <w:rFonts w:ascii="Book Antiqua" w:hAnsi="Book Antiqua"/>
          <w:b/>
          <w:i/>
          <w:iCs/>
          <w:sz w:val="24"/>
          <w:szCs w:val="24"/>
          <w:lang w:val="en-GB"/>
        </w:rPr>
      </w:pPr>
      <w:r w:rsidRPr="007F6B31">
        <w:rPr>
          <w:rFonts w:ascii="Book Antiqua" w:hAnsi="Book Antiqua"/>
          <w:b/>
          <w:i/>
          <w:iCs/>
          <w:sz w:val="24"/>
          <w:szCs w:val="24"/>
          <w:lang w:val="en-GB"/>
        </w:rPr>
        <w:t>F</w:t>
      </w:r>
      <w:r w:rsidR="00DF0667" w:rsidRPr="007F6B31">
        <w:rPr>
          <w:rFonts w:ascii="Book Antiqua" w:hAnsi="Book Antiqua"/>
          <w:b/>
          <w:i/>
          <w:iCs/>
          <w:sz w:val="24"/>
          <w:szCs w:val="24"/>
          <w:lang w:val="en-GB"/>
        </w:rPr>
        <w:t>amily members</w:t>
      </w:r>
    </w:p>
    <w:p w14:paraId="6D67BB15" w14:textId="115DC142" w:rsidR="00674FCA" w:rsidRPr="007F6B31" w:rsidRDefault="009C7A30" w:rsidP="001F2C55">
      <w:pPr>
        <w:snapToGrid w:val="0"/>
        <w:spacing w:after="0" w:line="360" w:lineRule="auto"/>
        <w:jc w:val="both"/>
        <w:rPr>
          <w:rFonts w:ascii="Book Antiqua" w:eastAsia="TimesNewRomanPSMT" w:hAnsi="Book Antiqua" w:cs="Arial"/>
          <w:sz w:val="24"/>
          <w:szCs w:val="24"/>
          <w:lang w:val="en-GB"/>
        </w:rPr>
      </w:pPr>
      <w:r w:rsidRPr="007F6B31">
        <w:rPr>
          <w:rFonts w:ascii="Book Antiqua" w:hAnsi="Book Antiqua" w:cs="Arial"/>
          <w:bCs/>
          <w:sz w:val="24"/>
          <w:szCs w:val="24"/>
          <w:lang w:val="en-GB"/>
        </w:rPr>
        <w:t xml:space="preserve">None of the </w:t>
      </w:r>
      <w:r w:rsidR="00F230C1" w:rsidRPr="007F6B31">
        <w:rPr>
          <w:rFonts w:ascii="Book Antiqua" w:hAnsi="Book Antiqua" w:cs="Arial"/>
          <w:bCs/>
          <w:sz w:val="24"/>
          <w:szCs w:val="24"/>
          <w:lang w:val="en-GB"/>
        </w:rPr>
        <w:t xml:space="preserve">six </w:t>
      </w:r>
      <w:r w:rsidRPr="007F6B31">
        <w:rPr>
          <w:rFonts w:ascii="Book Antiqua" w:hAnsi="Book Antiqua" w:cs="Arial"/>
          <w:bCs/>
          <w:sz w:val="24"/>
          <w:szCs w:val="24"/>
          <w:lang w:val="en-GB"/>
        </w:rPr>
        <w:t xml:space="preserve">family members showed evidence of LAL-D in </w:t>
      </w:r>
      <w:r w:rsidR="00CD50FF" w:rsidRPr="007F6B31">
        <w:rPr>
          <w:rFonts w:ascii="Book Antiqua" w:hAnsi="Book Antiqua" w:cs="Arial"/>
          <w:sz w:val="24"/>
          <w:szCs w:val="24"/>
          <w:lang w:val="en-GB"/>
        </w:rPr>
        <w:t>dried blood test</w:t>
      </w:r>
      <w:r w:rsidR="00CD50FF" w:rsidRPr="007F6B31">
        <w:rPr>
          <w:rFonts w:ascii="Book Antiqua" w:hAnsi="Book Antiqua" w:cs="Arial"/>
          <w:bCs/>
          <w:sz w:val="24"/>
          <w:szCs w:val="24"/>
          <w:lang w:val="en-GB"/>
        </w:rPr>
        <w:t xml:space="preserve"> </w:t>
      </w:r>
      <w:r w:rsidR="004627E6" w:rsidRPr="007F6B31">
        <w:rPr>
          <w:rFonts w:ascii="Book Antiqua" w:hAnsi="Book Antiqua" w:cs="Arial"/>
          <w:bCs/>
          <w:sz w:val="24"/>
          <w:szCs w:val="24"/>
          <w:lang w:val="en-GB"/>
        </w:rPr>
        <w:t xml:space="preserve">(Table </w:t>
      </w:r>
      <w:r w:rsidR="001652F6" w:rsidRPr="007F6B31">
        <w:rPr>
          <w:rFonts w:ascii="Book Antiqua" w:hAnsi="Book Antiqua" w:cs="Arial"/>
          <w:bCs/>
          <w:sz w:val="24"/>
          <w:szCs w:val="24"/>
          <w:lang w:val="en-GB"/>
        </w:rPr>
        <w:t>2</w:t>
      </w:r>
      <w:r w:rsidR="004627E6" w:rsidRPr="007F6B31">
        <w:rPr>
          <w:rFonts w:ascii="Book Antiqua" w:hAnsi="Book Antiqua" w:cs="Arial"/>
          <w:bCs/>
          <w:sz w:val="24"/>
          <w:szCs w:val="24"/>
          <w:lang w:val="en-GB"/>
        </w:rPr>
        <w:t>)</w:t>
      </w:r>
      <w:r w:rsidRPr="007F6B31">
        <w:rPr>
          <w:rFonts w:ascii="Book Antiqua" w:hAnsi="Book Antiqua" w:cs="Arial"/>
          <w:bCs/>
          <w:sz w:val="24"/>
          <w:szCs w:val="24"/>
          <w:lang w:val="en-GB"/>
        </w:rPr>
        <w:t xml:space="preserve">. </w:t>
      </w:r>
      <w:r w:rsidR="00F230C1" w:rsidRPr="007F6B31">
        <w:rPr>
          <w:rFonts w:ascii="Book Antiqua" w:hAnsi="Book Antiqua" w:cs="Arial"/>
          <w:bCs/>
          <w:sz w:val="24"/>
          <w:szCs w:val="24"/>
          <w:lang w:val="en-GB"/>
        </w:rPr>
        <w:t>T</w:t>
      </w:r>
      <w:r w:rsidR="001D5D28" w:rsidRPr="007F6B31">
        <w:rPr>
          <w:rFonts w:ascii="Book Antiqua" w:hAnsi="Book Antiqua" w:cs="Arial"/>
          <w:sz w:val="24"/>
          <w:szCs w:val="24"/>
          <w:lang w:val="en-GB"/>
        </w:rPr>
        <w:t xml:space="preserve">wo adult family members and one child were </w:t>
      </w:r>
      <w:r w:rsidR="00674FCA" w:rsidRPr="007F6B31">
        <w:rPr>
          <w:rFonts w:ascii="Book Antiqua" w:hAnsi="Book Antiqua" w:cs="Arial"/>
          <w:sz w:val="24"/>
          <w:szCs w:val="24"/>
          <w:lang w:val="en-GB"/>
        </w:rPr>
        <w:t>heterozygote</w:t>
      </w:r>
      <w:r w:rsidR="00F575BD" w:rsidRPr="007F6B31">
        <w:rPr>
          <w:rFonts w:ascii="Book Antiqua" w:hAnsi="Book Antiqua" w:cs="Arial"/>
          <w:sz w:val="24"/>
          <w:szCs w:val="24"/>
          <w:lang w:val="en-GB"/>
        </w:rPr>
        <w:t>s</w:t>
      </w:r>
      <w:r w:rsidR="00674FCA" w:rsidRPr="007F6B31">
        <w:rPr>
          <w:rFonts w:ascii="Book Antiqua" w:hAnsi="Book Antiqua" w:cs="Arial"/>
          <w:sz w:val="24"/>
          <w:szCs w:val="24"/>
          <w:lang w:val="en-GB"/>
        </w:rPr>
        <w:t xml:space="preserve"> and had</w:t>
      </w:r>
      <w:r w:rsidRPr="007F6B31">
        <w:rPr>
          <w:rFonts w:ascii="Book Antiqua" w:hAnsi="Book Antiqua" w:cs="Arial"/>
          <w:sz w:val="24"/>
          <w:szCs w:val="24"/>
          <w:lang w:val="en-GB"/>
        </w:rPr>
        <w:t xml:space="preserve"> LAL activity below the reference value of 0.37 (Table </w:t>
      </w:r>
      <w:r w:rsidR="007F6B31">
        <w:rPr>
          <w:rFonts w:ascii="Book Antiqua" w:hAnsi="Book Antiqua" w:cs="Arial"/>
          <w:sz w:val="24"/>
          <w:szCs w:val="24"/>
          <w:lang w:val="en-GB"/>
        </w:rPr>
        <w:t>1</w:t>
      </w:r>
      <w:r w:rsidRPr="007F6B31">
        <w:rPr>
          <w:rFonts w:ascii="Book Antiqua" w:hAnsi="Book Antiqua" w:cs="Arial"/>
          <w:sz w:val="24"/>
          <w:szCs w:val="24"/>
          <w:lang w:val="en-GB"/>
        </w:rPr>
        <w:t xml:space="preserve">). </w:t>
      </w:r>
      <w:r w:rsidR="001D5D28" w:rsidRPr="007F6B31">
        <w:rPr>
          <w:rFonts w:ascii="Book Antiqua" w:hAnsi="Book Antiqua" w:cs="Arial"/>
          <w:sz w:val="24"/>
          <w:szCs w:val="24"/>
          <w:lang w:val="en-GB"/>
        </w:rPr>
        <w:t xml:space="preserve">The </w:t>
      </w:r>
      <w:r w:rsidR="00674FCA" w:rsidRPr="007F6B31">
        <w:rPr>
          <w:rFonts w:ascii="Book Antiqua" w:hAnsi="Book Antiqua" w:cs="Arial"/>
          <w:sz w:val="24"/>
          <w:szCs w:val="24"/>
          <w:lang w:val="en-GB"/>
        </w:rPr>
        <w:t>child, a seven-year-old boy</w:t>
      </w:r>
      <w:r w:rsidR="00D52970" w:rsidRPr="007F6B31">
        <w:rPr>
          <w:rFonts w:ascii="Book Antiqua" w:hAnsi="Book Antiqua" w:cs="Arial"/>
          <w:sz w:val="24"/>
          <w:szCs w:val="24"/>
          <w:lang w:val="en-GB"/>
        </w:rPr>
        <w:t>,</w:t>
      </w:r>
      <w:r w:rsidR="00585E42" w:rsidRPr="007F6B31">
        <w:rPr>
          <w:rFonts w:ascii="Book Antiqua" w:hAnsi="Book Antiqua" w:cs="Arial"/>
          <w:sz w:val="24"/>
          <w:szCs w:val="24"/>
          <w:lang w:val="en-GB"/>
        </w:rPr>
        <w:t xml:space="preserve"> </w:t>
      </w:r>
      <w:r w:rsidR="001D5D28" w:rsidRPr="007F6B31">
        <w:rPr>
          <w:rFonts w:ascii="Book Antiqua" w:hAnsi="Book Antiqua" w:cs="Arial"/>
          <w:sz w:val="24"/>
          <w:szCs w:val="24"/>
          <w:lang w:val="en-GB"/>
        </w:rPr>
        <w:t xml:space="preserve">also </w:t>
      </w:r>
      <w:r w:rsidR="00585E42" w:rsidRPr="007F6B31">
        <w:rPr>
          <w:rFonts w:ascii="Book Antiqua" w:hAnsi="Book Antiqua" w:cs="Arial"/>
          <w:sz w:val="24"/>
          <w:szCs w:val="24"/>
          <w:lang w:val="en-GB"/>
        </w:rPr>
        <w:t xml:space="preserve">had </w:t>
      </w:r>
      <w:r w:rsidR="00674FCA" w:rsidRPr="007F6B31">
        <w:rPr>
          <w:rFonts w:ascii="Book Antiqua" w:hAnsi="Book Antiqua" w:cs="Arial"/>
          <w:sz w:val="24"/>
          <w:szCs w:val="24"/>
          <w:lang w:val="en-GB"/>
        </w:rPr>
        <w:t xml:space="preserve">elevated LDL cholesterol </w:t>
      </w:r>
      <w:r w:rsidR="00585E42" w:rsidRPr="007F6B31">
        <w:rPr>
          <w:rFonts w:ascii="Book Antiqua" w:hAnsi="Book Antiqua" w:cs="Arial"/>
          <w:sz w:val="24"/>
          <w:szCs w:val="24"/>
          <w:lang w:val="en-GB"/>
        </w:rPr>
        <w:t>(</w:t>
      </w:r>
      <w:r w:rsidR="00674FCA" w:rsidRPr="007F6B31">
        <w:rPr>
          <w:rFonts w:ascii="Book Antiqua" w:hAnsi="Book Antiqua" w:cs="Arial"/>
          <w:sz w:val="24"/>
          <w:szCs w:val="24"/>
          <w:lang w:val="en-GB"/>
        </w:rPr>
        <w:t>166.3 mg/dL</w:t>
      </w:r>
      <w:r w:rsidR="00585E42" w:rsidRPr="007F6B31">
        <w:rPr>
          <w:rFonts w:ascii="Book Antiqua" w:hAnsi="Book Antiqua" w:cs="Arial"/>
          <w:sz w:val="24"/>
          <w:szCs w:val="24"/>
          <w:lang w:val="en-GB"/>
        </w:rPr>
        <w:t>;</w:t>
      </w:r>
      <w:r w:rsidR="00674FCA" w:rsidRPr="007F6B31">
        <w:rPr>
          <w:rFonts w:ascii="Book Antiqua" w:hAnsi="Book Antiqua" w:cs="Arial"/>
          <w:sz w:val="24"/>
          <w:szCs w:val="24"/>
          <w:lang w:val="en-GB"/>
        </w:rPr>
        <w:t xml:space="preserve"> reference value &lt;</w:t>
      </w:r>
      <w:r w:rsidR="00B227A9" w:rsidRPr="007F6B31">
        <w:rPr>
          <w:rFonts w:ascii="Book Antiqua" w:hAnsi="Book Antiqua" w:cs="Arial"/>
          <w:sz w:val="24"/>
          <w:szCs w:val="24"/>
          <w:lang w:val="en-GB"/>
        </w:rPr>
        <w:t xml:space="preserve"> </w:t>
      </w:r>
      <w:r w:rsidR="00674FCA" w:rsidRPr="007F6B31">
        <w:rPr>
          <w:rFonts w:ascii="Book Antiqua" w:hAnsi="Book Antiqua" w:cs="Arial"/>
          <w:sz w:val="24"/>
          <w:szCs w:val="24"/>
          <w:lang w:val="en-GB"/>
        </w:rPr>
        <w:t xml:space="preserve">116). </w:t>
      </w:r>
      <w:r w:rsidR="004E1642" w:rsidRPr="007F6B31">
        <w:rPr>
          <w:rFonts w:ascii="Book Antiqua" w:hAnsi="Book Antiqua" w:cs="Arial"/>
          <w:sz w:val="24"/>
          <w:szCs w:val="24"/>
          <w:lang w:val="en-GB"/>
        </w:rPr>
        <w:t xml:space="preserve">Both 34-year-old males </w:t>
      </w:r>
      <w:r w:rsidR="001D5D28" w:rsidRPr="007F6B31">
        <w:rPr>
          <w:rFonts w:ascii="Book Antiqua" w:hAnsi="Book Antiqua" w:cs="Arial"/>
          <w:sz w:val="24"/>
          <w:szCs w:val="24"/>
          <w:lang w:val="en-GB"/>
        </w:rPr>
        <w:t xml:space="preserve">had increased </w:t>
      </w:r>
      <w:r w:rsidR="00CD50FF" w:rsidRPr="007F6B31">
        <w:rPr>
          <w:rFonts w:ascii="Book Antiqua" w:hAnsi="Book Antiqua" w:cs="Arial"/>
          <w:sz w:val="24"/>
          <w:szCs w:val="24"/>
          <w:lang w:val="en-GB"/>
        </w:rPr>
        <w:t xml:space="preserve">controlled attenuation parameter </w:t>
      </w:r>
      <w:r w:rsidR="001D5D28" w:rsidRPr="007F6B31">
        <w:rPr>
          <w:rFonts w:ascii="Book Antiqua" w:hAnsi="Book Antiqua" w:cs="Arial"/>
          <w:sz w:val="24"/>
          <w:szCs w:val="24"/>
          <w:lang w:val="en-GB"/>
        </w:rPr>
        <w:t xml:space="preserve">values of </w:t>
      </w:r>
      <w:r w:rsidR="004E1642" w:rsidRPr="007F6B31">
        <w:rPr>
          <w:rFonts w:ascii="Book Antiqua" w:hAnsi="Book Antiqua" w:cs="Arial"/>
          <w:sz w:val="24"/>
          <w:szCs w:val="24"/>
          <w:lang w:val="en-GB"/>
        </w:rPr>
        <w:t>330</w:t>
      </w:r>
      <w:r w:rsidR="001D5D28" w:rsidRPr="007F6B31">
        <w:rPr>
          <w:rFonts w:ascii="Book Antiqua" w:hAnsi="Book Antiqua" w:cs="Arial"/>
          <w:sz w:val="24"/>
          <w:szCs w:val="24"/>
          <w:lang w:val="en-GB"/>
        </w:rPr>
        <w:t xml:space="preserve"> and</w:t>
      </w:r>
      <w:r w:rsidR="004E1642" w:rsidRPr="007F6B31">
        <w:rPr>
          <w:rFonts w:ascii="Book Antiqua" w:hAnsi="Book Antiqua" w:cs="Arial"/>
          <w:sz w:val="24"/>
          <w:szCs w:val="24"/>
          <w:lang w:val="en-GB"/>
        </w:rPr>
        <w:t xml:space="preserve"> 400</w:t>
      </w:r>
      <w:r w:rsidR="00556D40" w:rsidRPr="007F6B31">
        <w:rPr>
          <w:rFonts w:ascii="Book Antiqua" w:hAnsi="Book Antiqua" w:cs="Arial"/>
          <w:sz w:val="24"/>
          <w:szCs w:val="24"/>
          <w:lang w:val="en-GB"/>
        </w:rPr>
        <w:t>,</w:t>
      </w:r>
      <w:r w:rsidR="00857B41" w:rsidRPr="007F6B31">
        <w:rPr>
          <w:rFonts w:ascii="Book Antiqua" w:hAnsi="Book Antiqua" w:cs="Arial"/>
          <w:sz w:val="24"/>
          <w:szCs w:val="24"/>
          <w:lang w:val="en-GB"/>
        </w:rPr>
        <w:t xml:space="preserve"> respectively they had LAL activity of 0.37 and 0.51 nmol/</w:t>
      </w:r>
      <w:r w:rsidR="00EC38DC" w:rsidRPr="007F6B31">
        <w:rPr>
          <w:rFonts w:ascii="Book Antiqua" w:hAnsi="Book Antiqua" w:cs="Arial"/>
          <w:sz w:val="24"/>
          <w:szCs w:val="24"/>
          <w:lang w:val="en-GB"/>
        </w:rPr>
        <w:t>(punch</w:t>
      </w:r>
      <w:r w:rsidR="00EC38DC" w:rsidRPr="007F6B31">
        <w:rPr>
          <w:rFonts w:ascii="Book Antiqua" w:eastAsia="微软雅黑" w:hAnsi="Book Antiqua" w:cs="微软雅黑"/>
          <w:sz w:val="24"/>
          <w:szCs w:val="24"/>
          <w:lang w:eastAsia="ja-JP"/>
        </w:rPr>
        <w:t>∙</w:t>
      </w:r>
      <w:r w:rsidR="00EC38DC" w:rsidRPr="007F6B31">
        <w:rPr>
          <w:rFonts w:ascii="Book Antiqua" w:hAnsi="Book Antiqua" w:cs="Arial"/>
          <w:sz w:val="24"/>
          <w:szCs w:val="24"/>
          <w:lang w:val="en-GB"/>
        </w:rPr>
        <w:t>h)</w:t>
      </w:r>
      <w:r w:rsidR="00857B41" w:rsidRPr="007F6B31">
        <w:rPr>
          <w:rFonts w:ascii="Book Antiqua" w:hAnsi="Book Antiqua" w:cs="Arial"/>
          <w:sz w:val="24"/>
          <w:szCs w:val="24"/>
          <w:lang w:val="en-GB"/>
        </w:rPr>
        <w:t xml:space="preserve"> (</w:t>
      </w:r>
      <w:r w:rsidR="00EC38DC" w:rsidRPr="007F6B31">
        <w:rPr>
          <w:rFonts w:ascii="Book Antiqua" w:hAnsi="Book Antiqua" w:cs="Arial"/>
          <w:sz w:val="24"/>
          <w:szCs w:val="24"/>
          <w:lang w:val="en-GB"/>
        </w:rPr>
        <w:t xml:space="preserve">Table </w:t>
      </w:r>
      <w:r w:rsidR="007F6B31">
        <w:rPr>
          <w:rFonts w:ascii="Book Antiqua" w:hAnsi="Book Antiqua" w:cs="Arial"/>
          <w:sz w:val="24"/>
          <w:szCs w:val="24"/>
          <w:lang w:val="en-GB"/>
        </w:rPr>
        <w:t>3</w:t>
      </w:r>
      <w:r w:rsidR="004E1642" w:rsidRPr="007F6B31">
        <w:rPr>
          <w:rFonts w:ascii="Book Antiqua" w:hAnsi="Book Antiqua" w:cs="Arial"/>
          <w:sz w:val="24"/>
          <w:szCs w:val="24"/>
          <w:lang w:val="en-GB"/>
        </w:rPr>
        <w:t>)</w:t>
      </w:r>
      <w:r w:rsidR="001D5D28" w:rsidRPr="007F6B31">
        <w:rPr>
          <w:rFonts w:ascii="Book Antiqua" w:hAnsi="Book Antiqua" w:cs="Arial"/>
          <w:sz w:val="24"/>
          <w:szCs w:val="24"/>
          <w:lang w:val="en-GB"/>
        </w:rPr>
        <w:t>.</w:t>
      </w:r>
      <w:r w:rsidR="004E1642" w:rsidRPr="007F6B31">
        <w:rPr>
          <w:rFonts w:ascii="Book Antiqua" w:hAnsi="Book Antiqua" w:cs="Arial"/>
          <w:sz w:val="24"/>
          <w:szCs w:val="24"/>
          <w:lang w:val="en-GB"/>
        </w:rPr>
        <w:t xml:space="preserve"> The latter </w:t>
      </w:r>
      <w:r w:rsidR="001D5D28" w:rsidRPr="007F6B31">
        <w:rPr>
          <w:rFonts w:ascii="Book Antiqua" w:hAnsi="Book Antiqua" w:cs="Arial"/>
          <w:sz w:val="24"/>
          <w:szCs w:val="24"/>
          <w:lang w:val="en-GB"/>
        </w:rPr>
        <w:t>was</w:t>
      </w:r>
      <w:r w:rsidR="004E1642" w:rsidRPr="007F6B31">
        <w:rPr>
          <w:rFonts w:ascii="Book Antiqua" w:hAnsi="Book Antiqua" w:cs="Arial"/>
          <w:sz w:val="24"/>
          <w:szCs w:val="24"/>
          <w:lang w:val="en-GB"/>
        </w:rPr>
        <w:t xml:space="preserve"> also</w:t>
      </w:r>
      <w:r w:rsidR="001D5D28" w:rsidRPr="007F6B31">
        <w:rPr>
          <w:rFonts w:ascii="Book Antiqua" w:hAnsi="Book Antiqua" w:cs="Arial"/>
          <w:sz w:val="24"/>
          <w:szCs w:val="24"/>
          <w:lang w:val="en-GB"/>
        </w:rPr>
        <w:t xml:space="preserve"> morbidly obese with a body mass index of 58 kg/</w:t>
      </w:r>
      <w:r w:rsidR="004E1642" w:rsidRPr="007F6B31">
        <w:rPr>
          <w:rFonts w:ascii="Book Antiqua" w:hAnsi="Book Antiqua" w:cs="Arial"/>
          <w:sz w:val="24"/>
          <w:szCs w:val="24"/>
          <w:lang w:val="en-GB"/>
        </w:rPr>
        <w:t>m</w:t>
      </w:r>
      <w:r w:rsidR="004E1642" w:rsidRPr="007F6B31">
        <w:rPr>
          <w:rFonts w:ascii="Book Antiqua" w:hAnsi="Book Antiqua" w:cs="Arial"/>
          <w:sz w:val="24"/>
          <w:szCs w:val="24"/>
          <w:vertAlign w:val="superscript"/>
          <w:lang w:val="en-GB"/>
        </w:rPr>
        <w:t>2</w:t>
      </w:r>
      <w:r w:rsidR="004E1642" w:rsidRPr="007F6B31">
        <w:rPr>
          <w:rFonts w:ascii="Book Antiqua" w:hAnsi="Book Antiqua" w:cs="Arial"/>
          <w:sz w:val="24"/>
          <w:szCs w:val="24"/>
          <w:lang w:val="en-GB"/>
        </w:rPr>
        <w:t xml:space="preserve"> and</w:t>
      </w:r>
      <w:r w:rsidR="001D5D28" w:rsidRPr="007F6B31">
        <w:rPr>
          <w:rFonts w:ascii="Book Antiqua" w:hAnsi="Book Antiqua" w:cs="Arial"/>
          <w:sz w:val="24"/>
          <w:szCs w:val="24"/>
          <w:lang w:val="en-GB"/>
        </w:rPr>
        <w:t xml:space="preserve"> had an increased median value of 24.2 </w:t>
      </w:r>
      <w:proofErr w:type="spellStart"/>
      <w:r w:rsidR="001D5D28" w:rsidRPr="007F6B31">
        <w:rPr>
          <w:rFonts w:ascii="Book Antiqua" w:hAnsi="Book Antiqua" w:cs="Arial"/>
          <w:sz w:val="24"/>
          <w:szCs w:val="24"/>
          <w:lang w:val="en-GB"/>
        </w:rPr>
        <w:t>Kpa</w:t>
      </w:r>
      <w:proofErr w:type="spellEnd"/>
      <w:r w:rsidR="001D5D28" w:rsidRPr="007F6B31">
        <w:rPr>
          <w:rFonts w:ascii="Book Antiqua" w:hAnsi="Book Antiqua" w:cs="Arial"/>
          <w:sz w:val="24"/>
          <w:szCs w:val="24"/>
          <w:lang w:val="en-GB"/>
        </w:rPr>
        <w:t xml:space="preserve"> on the </w:t>
      </w:r>
      <w:proofErr w:type="spellStart"/>
      <w:r w:rsidR="001D5D28" w:rsidRPr="007F6B31">
        <w:rPr>
          <w:rFonts w:ascii="Book Antiqua" w:hAnsi="Book Antiqua" w:cs="Arial"/>
          <w:sz w:val="24"/>
          <w:szCs w:val="24"/>
          <w:lang w:val="en-GB"/>
        </w:rPr>
        <w:t>Fibro</w:t>
      </w:r>
      <w:r w:rsidR="00953FC8" w:rsidRPr="007F6B31">
        <w:rPr>
          <w:rFonts w:ascii="Book Antiqua" w:hAnsi="Book Antiqua" w:cs="Arial"/>
          <w:sz w:val="24"/>
          <w:szCs w:val="24"/>
          <w:lang w:val="en-GB"/>
        </w:rPr>
        <w:t>s</w:t>
      </w:r>
      <w:r w:rsidR="001D5D28" w:rsidRPr="007F6B31">
        <w:rPr>
          <w:rFonts w:ascii="Book Antiqua" w:hAnsi="Book Antiqua" w:cs="Arial"/>
          <w:sz w:val="24"/>
          <w:szCs w:val="24"/>
          <w:lang w:val="en-GB"/>
        </w:rPr>
        <w:t>can</w:t>
      </w:r>
      <w:proofErr w:type="spellEnd"/>
      <w:r w:rsidR="001D5D28" w:rsidRPr="007F6B31">
        <w:rPr>
          <w:rFonts w:ascii="Book Antiqua" w:hAnsi="Book Antiqua" w:cs="Arial"/>
          <w:sz w:val="24"/>
          <w:szCs w:val="24"/>
          <w:lang w:val="en-GB"/>
        </w:rPr>
        <w:t>. A percutaneous liver biopsy showed steatosis and inflammation, but no</w:t>
      </w:r>
      <w:r w:rsidR="00684924" w:rsidRPr="007F6B31">
        <w:rPr>
          <w:rFonts w:ascii="Book Antiqua" w:hAnsi="Book Antiqua" w:cs="Arial"/>
          <w:sz w:val="24"/>
          <w:szCs w:val="24"/>
          <w:lang w:val="en-GB"/>
        </w:rPr>
        <w:t xml:space="preserve"> </w:t>
      </w:r>
      <w:r w:rsidR="001D5D28" w:rsidRPr="007F6B31">
        <w:rPr>
          <w:rFonts w:ascii="Book Antiqua" w:hAnsi="Book Antiqua" w:cs="Arial"/>
          <w:sz w:val="24"/>
          <w:szCs w:val="24"/>
          <w:lang w:val="en-GB"/>
        </w:rPr>
        <w:t xml:space="preserve">fibrosis. Lifestyle interventions were </w:t>
      </w:r>
      <w:r w:rsidR="00B227A9" w:rsidRPr="007F6B31">
        <w:rPr>
          <w:rFonts w:ascii="Book Antiqua" w:hAnsi="Book Antiqua" w:cs="Arial"/>
          <w:sz w:val="24"/>
          <w:szCs w:val="24"/>
          <w:lang w:val="en-GB"/>
        </w:rPr>
        <w:t>initiated,</w:t>
      </w:r>
      <w:r w:rsidR="001D5D28" w:rsidRPr="007F6B31">
        <w:rPr>
          <w:rFonts w:ascii="Book Antiqua" w:hAnsi="Book Antiqua" w:cs="Arial"/>
          <w:sz w:val="24"/>
          <w:szCs w:val="24"/>
          <w:lang w:val="en-GB"/>
        </w:rPr>
        <w:t xml:space="preserve"> and the patient </w:t>
      </w:r>
      <w:r w:rsidR="00D52970" w:rsidRPr="007F6B31">
        <w:rPr>
          <w:rFonts w:ascii="Book Antiqua" w:hAnsi="Book Antiqua" w:cs="Arial"/>
          <w:sz w:val="24"/>
          <w:szCs w:val="24"/>
          <w:lang w:val="en-GB"/>
        </w:rPr>
        <w:t xml:space="preserve">was </w:t>
      </w:r>
      <w:r w:rsidR="001D5D28" w:rsidRPr="007F6B31">
        <w:rPr>
          <w:rFonts w:ascii="Book Antiqua" w:hAnsi="Book Antiqua" w:cs="Arial"/>
          <w:sz w:val="24"/>
          <w:szCs w:val="24"/>
          <w:lang w:val="en-GB"/>
        </w:rPr>
        <w:t xml:space="preserve">referred for assessment </w:t>
      </w:r>
      <w:r w:rsidR="00D52970" w:rsidRPr="007F6B31">
        <w:rPr>
          <w:rFonts w:ascii="Book Antiqua" w:hAnsi="Book Antiqua" w:cs="Arial"/>
          <w:sz w:val="24"/>
          <w:szCs w:val="24"/>
          <w:lang w:val="en-GB"/>
        </w:rPr>
        <w:t xml:space="preserve">for </w:t>
      </w:r>
      <w:r w:rsidR="001D5D28" w:rsidRPr="007F6B31">
        <w:rPr>
          <w:rFonts w:ascii="Book Antiqua" w:hAnsi="Book Antiqua" w:cs="Arial"/>
          <w:sz w:val="24"/>
          <w:szCs w:val="24"/>
          <w:lang w:val="en-GB"/>
        </w:rPr>
        <w:t xml:space="preserve">possible bariatric surgery. </w:t>
      </w:r>
    </w:p>
    <w:p w14:paraId="569152AC" w14:textId="3601B3E7" w:rsidR="00CF4FB5" w:rsidRPr="007F6B31" w:rsidRDefault="00CF4FB5" w:rsidP="001F2C55">
      <w:pPr>
        <w:pStyle w:val="a5"/>
        <w:snapToGrid w:val="0"/>
        <w:spacing w:line="360" w:lineRule="auto"/>
        <w:jc w:val="both"/>
        <w:rPr>
          <w:rFonts w:ascii="Book Antiqua" w:hAnsi="Book Antiqua" w:cs="Arial"/>
          <w:lang w:val="en-GB"/>
        </w:rPr>
      </w:pPr>
    </w:p>
    <w:p w14:paraId="6F920AAE" w14:textId="77777777" w:rsidR="001E50D4" w:rsidRPr="007F6B31" w:rsidRDefault="001E50D4" w:rsidP="001E50D4">
      <w:pPr>
        <w:spacing w:after="0" w:line="360" w:lineRule="auto"/>
        <w:jc w:val="both"/>
        <w:rPr>
          <w:rFonts w:ascii="Book Antiqua" w:hAnsi="Book Antiqua"/>
          <w:b/>
          <w:sz w:val="24"/>
          <w:szCs w:val="24"/>
          <w:u w:val="single"/>
          <w:lang w:val="en-GB"/>
        </w:rPr>
      </w:pPr>
      <w:r w:rsidRPr="007F6B31">
        <w:rPr>
          <w:rFonts w:ascii="Book Antiqua" w:hAnsi="Book Antiqua"/>
          <w:b/>
          <w:sz w:val="24"/>
          <w:szCs w:val="24"/>
          <w:u w:val="single"/>
          <w:lang w:val="en-GB"/>
        </w:rPr>
        <w:t>FINAL DIAGNOSIS</w:t>
      </w:r>
    </w:p>
    <w:p w14:paraId="7EA1E003" w14:textId="008180B3" w:rsidR="00DF0667" w:rsidRPr="007F6B31" w:rsidRDefault="004409B7"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 xml:space="preserve">The final diagnosis of this presented case is LAL-D and its attenuated phenotype CESD </w:t>
      </w:r>
      <w:r w:rsidRPr="007F6B31">
        <w:rPr>
          <w:rFonts w:ascii="Book Antiqua" w:hAnsi="Book Antiqua" w:cs="Arial"/>
          <w:lang w:val="en-GB"/>
        </w:rPr>
        <w:lastRenderedPageBreak/>
        <w:t>disease.</w:t>
      </w:r>
      <w:r w:rsidR="00DF0667" w:rsidRPr="007F6B31">
        <w:rPr>
          <w:rFonts w:ascii="Book Antiqua" w:hAnsi="Book Antiqua" w:cs="Arial"/>
          <w:lang w:val="en-GB"/>
        </w:rPr>
        <w:t xml:space="preserve"> </w:t>
      </w:r>
      <w:r w:rsidR="00FF09B4" w:rsidRPr="007F6B31">
        <w:rPr>
          <w:rFonts w:ascii="Book Antiqua" w:hAnsi="Book Antiqua" w:cs="Arial"/>
          <w:lang w:val="en-GB"/>
        </w:rPr>
        <w:t>SNPs variants associated with development of</w:t>
      </w:r>
      <w:r w:rsidR="00E22C91" w:rsidRPr="007F6B31">
        <w:rPr>
          <w:rFonts w:ascii="Book Antiqua" w:hAnsi="Book Antiqua" w:cs="Arial"/>
          <w:lang w:val="en-GB"/>
        </w:rPr>
        <w:t xml:space="preserve"> </w:t>
      </w:r>
      <w:r w:rsidR="00FF09B4" w:rsidRPr="007F6B31">
        <w:rPr>
          <w:rFonts w:ascii="Book Antiqua" w:hAnsi="Book Antiqua" w:cs="Arial"/>
          <w:lang w:val="en-GB"/>
        </w:rPr>
        <w:t>fatty liver disease</w:t>
      </w:r>
      <w:r w:rsidRPr="007F6B31">
        <w:rPr>
          <w:rFonts w:ascii="Book Antiqua" w:hAnsi="Book Antiqua" w:cs="Arial"/>
          <w:lang w:val="en-GB"/>
        </w:rPr>
        <w:t xml:space="preserve"> were also found in all the participants.</w:t>
      </w:r>
    </w:p>
    <w:p w14:paraId="7C076744" w14:textId="77777777" w:rsidR="00DF0667" w:rsidRPr="007F6B31" w:rsidRDefault="00DF0667" w:rsidP="001F2C55">
      <w:pPr>
        <w:pStyle w:val="a5"/>
        <w:snapToGrid w:val="0"/>
        <w:spacing w:line="360" w:lineRule="auto"/>
        <w:jc w:val="both"/>
        <w:rPr>
          <w:rFonts w:ascii="Book Antiqua" w:hAnsi="Book Antiqua" w:cs="Arial"/>
          <w:lang w:val="en-GB"/>
        </w:rPr>
      </w:pPr>
    </w:p>
    <w:p w14:paraId="3E031F45" w14:textId="77777777" w:rsidR="001E50D4" w:rsidRPr="007F6B31" w:rsidRDefault="001E50D4" w:rsidP="001E50D4">
      <w:pPr>
        <w:spacing w:after="0" w:line="360" w:lineRule="auto"/>
        <w:jc w:val="both"/>
        <w:rPr>
          <w:rFonts w:ascii="Book Antiqua" w:hAnsi="Book Antiqua"/>
          <w:b/>
          <w:sz w:val="24"/>
          <w:szCs w:val="24"/>
          <w:u w:val="single"/>
          <w:lang w:val="en-GB"/>
        </w:rPr>
      </w:pPr>
      <w:r w:rsidRPr="007F6B31">
        <w:rPr>
          <w:rFonts w:ascii="Book Antiqua" w:hAnsi="Book Antiqua"/>
          <w:b/>
          <w:sz w:val="24"/>
          <w:szCs w:val="24"/>
          <w:u w:val="single"/>
          <w:lang w:val="en-GB"/>
        </w:rPr>
        <w:t>TREATMENT</w:t>
      </w:r>
    </w:p>
    <w:p w14:paraId="36AE5D55" w14:textId="557E3BAB" w:rsidR="00A61591" w:rsidRPr="007F6B31" w:rsidRDefault="003472F5"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Treatment has been limited to statins</w:t>
      </w:r>
      <w:r w:rsidR="00350917" w:rsidRPr="007F6B31">
        <w:rPr>
          <w:rFonts w:ascii="Book Antiqua" w:hAnsi="Book Antiqua" w:cs="Arial"/>
          <w:lang w:val="en-GB"/>
        </w:rPr>
        <w:t>. B</w:t>
      </w:r>
      <w:r w:rsidR="00A61591" w:rsidRPr="007F6B31">
        <w:rPr>
          <w:rFonts w:ascii="Book Antiqua" w:hAnsi="Book Antiqua" w:cs="Arial"/>
          <w:lang w:val="en-GB"/>
        </w:rPr>
        <w:t>oth patients</w:t>
      </w:r>
      <w:r w:rsidR="00350917" w:rsidRPr="007F6B31">
        <w:rPr>
          <w:rFonts w:ascii="Book Antiqua" w:hAnsi="Book Antiqua" w:cs="Arial"/>
          <w:lang w:val="en-GB"/>
        </w:rPr>
        <w:t xml:space="preserve"> </w:t>
      </w:r>
      <w:r w:rsidR="00A61591" w:rsidRPr="007F6B31">
        <w:rPr>
          <w:rFonts w:ascii="Book Antiqua" w:hAnsi="Book Antiqua" w:cs="Arial"/>
          <w:lang w:val="en-GB"/>
        </w:rPr>
        <w:t>receive</w:t>
      </w:r>
      <w:r w:rsidR="00350917" w:rsidRPr="007F6B31">
        <w:rPr>
          <w:rFonts w:ascii="Book Antiqua" w:hAnsi="Book Antiqua" w:cs="Arial"/>
          <w:lang w:val="en-GB"/>
        </w:rPr>
        <w:t xml:space="preserve"> ongoing</w:t>
      </w:r>
      <w:r w:rsidR="00A61591" w:rsidRPr="007F6B31">
        <w:rPr>
          <w:rFonts w:ascii="Book Antiqua" w:hAnsi="Book Antiqua" w:cs="Arial"/>
          <w:lang w:val="en-GB"/>
        </w:rPr>
        <w:t xml:space="preserve"> treatment with</w:t>
      </w:r>
      <w:r w:rsidR="00D432E1" w:rsidRPr="007F6B31">
        <w:rPr>
          <w:rFonts w:ascii="Book Antiqua" w:hAnsi="Book Antiqua" w:cs="Arial"/>
          <w:lang w:val="en-GB"/>
        </w:rPr>
        <w:t xml:space="preserve"> </w:t>
      </w:r>
      <w:r w:rsidR="00350917" w:rsidRPr="007F6B31">
        <w:rPr>
          <w:rFonts w:ascii="Book Antiqua" w:hAnsi="Book Antiqua" w:cs="Arial"/>
          <w:lang w:val="en-GB"/>
        </w:rPr>
        <w:t>statin.</w:t>
      </w:r>
      <w:r w:rsidR="00A61591" w:rsidRPr="007F6B31">
        <w:rPr>
          <w:rFonts w:ascii="Book Antiqua" w:hAnsi="Book Antiqua" w:cs="Arial"/>
          <w:lang w:val="en-GB"/>
        </w:rPr>
        <w:t xml:space="preserve"> </w:t>
      </w:r>
      <w:r w:rsidR="00494CDE" w:rsidRPr="007F6B31">
        <w:rPr>
          <w:rFonts w:ascii="Book Antiqua" w:hAnsi="Book Antiqua" w:cs="Arial"/>
          <w:lang w:val="en-GB"/>
        </w:rPr>
        <w:t xml:space="preserve">However, the female patient has </w:t>
      </w:r>
      <w:proofErr w:type="spellStart"/>
      <w:r w:rsidR="00494CDE" w:rsidRPr="007F6B31">
        <w:rPr>
          <w:rFonts w:ascii="Book Antiqua" w:hAnsi="Book Antiqua" w:cs="Arial"/>
          <w:lang w:val="en-GB"/>
        </w:rPr>
        <w:t>dyslipidemia</w:t>
      </w:r>
      <w:proofErr w:type="spellEnd"/>
      <w:r w:rsidR="00494CDE" w:rsidRPr="007F6B31">
        <w:rPr>
          <w:rFonts w:ascii="Book Antiqua" w:hAnsi="Book Antiqua" w:cs="Arial"/>
          <w:lang w:val="en-GB"/>
        </w:rPr>
        <w:t xml:space="preserve"> and does not respond to statin medication. The male patient shows effect of the </w:t>
      </w:r>
      <w:r w:rsidR="00E64D8A" w:rsidRPr="007F6B31">
        <w:rPr>
          <w:rFonts w:ascii="Book Antiqua" w:hAnsi="Book Antiqua" w:cs="Arial"/>
          <w:lang w:val="en-GB"/>
        </w:rPr>
        <w:t>latter and</w:t>
      </w:r>
      <w:r w:rsidR="00A61591" w:rsidRPr="007F6B31">
        <w:rPr>
          <w:rFonts w:ascii="Book Antiqua" w:hAnsi="Book Antiqua" w:cs="Arial"/>
          <w:lang w:val="en-GB"/>
        </w:rPr>
        <w:t xml:space="preserve"> </w:t>
      </w:r>
      <w:r w:rsidR="00E64D8A" w:rsidRPr="007F6B31">
        <w:rPr>
          <w:rFonts w:ascii="Book Antiqua" w:hAnsi="Book Antiqua" w:cs="Arial"/>
          <w:lang w:val="en-GB"/>
        </w:rPr>
        <w:t>has</w:t>
      </w:r>
      <w:r w:rsidR="00A61591" w:rsidRPr="007F6B31">
        <w:rPr>
          <w:rFonts w:ascii="Book Antiqua" w:hAnsi="Book Antiqua" w:cs="Arial"/>
          <w:lang w:val="en-GB"/>
        </w:rPr>
        <w:t xml:space="preserve"> normal </w:t>
      </w:r>
      <w:r w:rsidR="00E64D8A" w:rsidRPr="007F6B31">
        <w:rPr>
          <w:rFonts w:ascii="Book Antiqua" w:hAnsi="Book Antiqua" w:cs="Arial"/>
          <w:lang w:val="en-GB"/>
        </w:rPr>
        <w:t xml:space="preserve">blood </w:t>
      </w:r>
      <w:r w:rsidR="00A61591" w:rsidRPr="007F6B31">
        <w:rPr>
          <w:rFonts w:ascii="Book Antiqua" w:hAnsi="Book Antiqua" w:cs="Arial"/>
          <w:lang w:val="en-GB"/>
        </w:rPr>
        <w:t xml:space="preserve">concentration of lipids. Previously, </w:t>
      </w:r>
      <w:r w:rsidR="00E64D8A" w:rsidRPr="007F6B31">
        <w:rPr>
          <w:rFonts w:ascii="Book Antiqua" w:hAnsi="Book Antiqua" w:cs="Arial"/>
          <w:lang w:val="en-GB"/>
        </w:rPr>
        <w:t>t</w:t>
      </w:r>
      <w:r w:rsidR="00A61591" w:rsidRPr="007F6B31">
        <w:rPr>
          <w:rFonts w:ascii="Book Antiqua" w:hAnsi="Book Antiqua" w:cs="Arial"/>
          <w:lang w:val="en-GB"/>
        </w:rPr>
        <w:t xml:space="preserve">he female patient had received treatment with enzyme replacement therapy, </w:t>
      </w:r>
      <w:proofErr w:type="spellStart"/>
      <w:r w:rsidR="00A61591" w:rsidRPr="007F6B31">
        <w:rPr>
          <w:rFonts w:ascii="Book Antiqua" w:hAnsi="Book Antiqua" w:cs="Arial"/>
          <w:lang w:val="en-GB"/>
        </w:rPr>
        <w:t>Sebelipase</w:t>
      </w:r>
      <w:proofErr w:type="spellEnd"/>
      <w:r w:rsidR="00A61591" w:rsidRPr="007F6B31">
        <w:rPr>
          <w:rFonts w:ascii="Book Antiqua" w:hAnsi="Book Antiqua" w:cs="Arial"/>
          <w:lang w:val="en-GB"/>
        </w:rPr>
        <w:t xml:space="preserve"> alfa.</w:t>
      </w:r>
      <w:r w:rsidR="00E64D8A" w:rsidRPr="007F6B31">
        <w:rPr>
          <w:rFonts w:ascii="Book Antiqua" w:hAnsi="Book Antiqua" w:cs="Arial"/>
          <w:lang w:val="en-GB"/>
        </w:rPr>
        <w:t xml:space="preserve"> </w:t>
      </w:r>
      <w:r w:rsidR="00A61591" w:rsidRPr="007F6B31">
        <w:rPr>
          <w:rFonts w:ascii="Book Antiqua" w:hAnsi="Book Antiqua" w:cs="Arial"/>
          <w:lang w:val="en-GB"/>
        </w:rPr>
        <w:t>Unfortunately, the treatment was assessed as having no clear effect and treatment was stopped.</w:t>
      </w:r>
      <w:r w:rsidR="00E64D8A" w:rsidRPr="007F6B31">
        <w:rPr>
          <w:rFonts w:ascii="Book Antiqua" w:hAnsi="Book Antiqua" w:cs="Arial"/>
          <w:lang w:val="en-GB"/>
        </w:rPr>
        <w:t xml:space="preserve"> The price and availability of the medicine have blocked </w:t>
      </w:r>
      <w:r w:rsidR="004409B7" w:rsidRPr="007F6B31">
        <w:rPr>
          <w:rFonts w:ascii="Book Antiqua" w:hAnsi="Book Antiqua" w:cs="Arial"/>
          <w:lang w:val="en-GB"/>
        </w:rPr>
        <w:t xml:space="preserve">new </w:t>
      </w:r>
      <w:r w:rsidR="00E64D8A" w:rsidRPr="007F6B31">
        <w:rPr>
          <w:rFonts w:ascii="Book Antiqua" w:hAnsi="Book Antiqua" w:cs="Arial"/>
          <w:lang w:val="en-GB"/>
        </w:rPr>
        <w:t>attempts to retry the enzyme replacement therapy.</w:t>
      </w:r>
    </w:p>
    <w:p w14:paraId="79CC8470" w14:textId="77777777" w:rsidR="00822BAF" w:rsidRPr="007F6B31" w:rsidRDefault="00822BAF" w:rsidP="001F2C55">
      <w:pPr>
        <w:pStyle w:val="a5"/>
        <w:snapToGrid w:val="0"/>
        <w:spacing w:line="360" w:lineRule="auto"/>
        <w:jc w:val="both"/>
        <w:rPr>
          <w:rFonts w:ascii="Book Antiqua" w:hAnsi="Book Antiqua" w:cs="Arial"/>
          <w:lang w:val="en-GB"/>
        </w:rPr>
      </w:pPr>
    </w:p>
    <w:p w14:paraId="40C80404" w14:textId="77777777" w:rsidR="001E50D4" w:rsidRPr="007F6B31" w:rsidRDefault="001E50D4" w:rsidP="001E50D4">
      <w:pPr>
        <w:pStyle w:val="Normal1"/>
        <w:spacing w:after="0" w:line="360" w:lineRule="auto"/>
        <w:jc w:val="both"/>
        <w:rPr>
          <w:rFonts w:ascii="Book Antiqua" w:hAnsi="Book Antiqua" w:cstheme="minorHAnsi"/>
          <w:b/>
          <w:sz w:val="24"/>
          <w:szCs w:val="24"/>
          <w:u w:val="single"/>
        </w:rPr>
      </w:pPr>
      <w:r w:rsidRPr="007F6B31">
        <w:rPr>
          <w:rFonts w:ascii="Book Antiqua" w:hAnsi="Book Antiqua"/>
          <w:b/>
          <w:sz w:val="24"/>
          <w:szCs w:val="24"/>
          <w:u w:val="single"/>
        </w:rPr>
        <w:t xml:space="preserve">OUTCOME AND FOLLOW-UP </w:t>
      </w:r>
    </w:p>
    <w:p w14:paraId="7BC7F13A" w14:textId="77777777" w:rsidR="00B227A9" w:rsidRPr="007F6B31" w:rsidRDefault="00DC2230"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 xml:space="preserve">Our </w:t>
      </w:r>
      <w:r w:rsidR="00350917" w:rsidRPr="007F6B31">
        <w:rPr>
          <w:rFonts w:ascii="Book Antiqua" w:hAnsi="Book Antiqua" w:cs="Arial"/>
          <w:lang w:val="en-GB"/>
        </w:rPr>
        <w:t>clinical wo</w:t>
      </w:r>
      <w:r w:rsidR="00FC51F4" w:rsidRPr="007F6B31">
        <w:rPr>
          <w:rFonts w:ascii="Book Antiqua" w:hAnsi="Book Antiqua" w:cs="Arial"/>
          <w:lang w:val="en-GB"/>
        </w:rPr>
        <w:t xml:space="preserve">rk-up </w:t>
      </w:r>
      <w:r w:rsidRPr="007F6B31">
        <w:rPr>
          <w:rFonts w:ascii="Book Antiqua" w:hAnsi="Book Antiqua" w:cs="Arial"/>
          <w:lang w:val="en-GB"/>
        </w:rPr>
        <w:t xml:space="preserve">showed evidence </w:t>
      </w:r>
      <w:r w:rsidR="00FC51F4" w:rsidRPr="007F6B31">
        <w:rPr>
          <w:rFonts w:ascii="Book Antiqua" w:hAnsi="Book Antiqua" w:cs="Arial"/>
          <w:lang w:val="en-GB"/>
        </w:rPr>
        <w:t xml:space="preserve">of </w:t>
      </w:r>
      <w:r w:rsidRPr="007F6B31">
        <w:rPr>
          <w:rFonts w:ascii="Book Antiqua" w:hAnsi="Book Antiqua" w:cs="Arial"/>
          <w:lang w:val="en-GB"/>
        </w:rPr>
        <w:t xml:space="preserve">recurrence of LAL-D pathology in liver and abnormal lipid accumulation in the vascular endothelium leading to cardiovascular diseases in both patients. </w:t>
      </w:r>
      <w:r w:rsidR="007E4401" w:rsidRPr="007F6B31">
        <w:rPr>
          <w:rFonts w:ascii="Book Antiqua" w:hAnsi="Book Antiqua" w:cs="Arial"/>
          <w:lang w:val="en-GB"/>
        </w:rPr>
        <w:t xml:space="preserve">Consequently, these findings </w:t>
      </w:r>
      <w:r w:rsidRPr="007F6B31">
        <w:rPr>
          <w:rFonts w:ascii="Book Antiqua" w:hAnsi="Book Antiqua" w:cs="Arial"/>
          <w:lang w:val="en-GB"/>
        </w:rPr>
        <w:t>have led to</w:t>
      </w:r>
      <w:r w:rsidR="003472F5" w:rsidRPr="007F6B31">
        <w:rPr>
          <w:rFonts w:ascii="Book Antiqua" w:hAnsi="Book Antiqua" w:cs="Arial"/>
          <w:lang w:val="en-GB"/>
        </w:rPr>
        <w:t xml:space="preserve"> </w:t>
      </w:r>
      <w:r w:rsidRPr="007F6B31">
        <w:rPr>
          <w:rFonts w:ascii="Book Antiqua" w:hAnsi="Book Antiqua" w:cs="Arial"/>
          <w:lang w:val="en-GB"/>
        </w:rPr>
        <w:t>multidisciplinary follow up</w:t>
      </w:r>
      <w:r w:rsidR="007E4401" w:rsidRPr="007F6B31">
        <w:rPr>
          <w:rFonts w:ascii="Book Antiqua" w:hAnsi="Book Antiqua" w:cs="Arial"/>
          <w:lang w:val="en-GB"/>
        </w:rPr>
        <w:t xml:space="preserve"> control </w:t>
      </w:r>
      <w:r w:rsidRPr="007F6B31">
        <w:rPr>
          <w:rFonts w:ascii="Book Antiqua" w:hAnsi="Book Antiqua" w:cs="Arial"/>
          <w:lang w:val="en-GB"/>
        </w:rPr>
        <w:t xml:space="preserve">of the patients by </w:t>
      </w:r>
      <w:r w:rsidR="007E4401" w:rsidRPr="007F6B31">
        <w:rPr>
          <w:rFonts w:ascii="Book Antiqua" w:hAnsi="Book Antiqua" w:cs="Arial"/>
          <w:lang w:val="en-GB"/>
        </w:rPr>
        <w:t xml:space="preserve">the </w:t>
      </w:r>
      <w:r w:rsidR="003472F5" w:rsidRPr="007F6B31">
        <w:rPr>
          <w:rFonts w:ascii="Book Antiqua" w:hAnsi="Book Antiqua" w:cs="Arial"/>
          <w:lang w:val="en-GB"/>
        </w:rPr>
        <w:t>department</w:t>
      </w:r>
      <w:r w:rsidRPr="007F6B31">
        <w:rPr>
          <w:rFonts w:ascii="Book Antiqua" w:hAnsi="Book Antiqua" w:cs="Arial"/>
          <w:lang w:val="en-GB"/>
        </w:rPr>
        <w:t xml:space="preserve"> of hepatology and cardiolog</w:t>
      </w:r>
      <w:r w:rsidR="003472F5" w:rsidRPr="007F6B31">
        <w:rPr>
          <w:rFonts w:ascii="Book Antiqua" w:hAnsi="Book Antiqua" w:cs="Arial"/>
          <w:lang w:val="en-GB"/>
        </w:rPr>
        <w:t xml:space="preserve">y. They will be </w:t>
      </w:r>
      <w:r w:rsidR="007E4401" w:rsidRPr="007F6B31">
        <w:rPr>
          <w:rFonts w:ascii="Book Antiqua" w:hAnsi="Book Antiqua" w:cs="Arial"/>
          <w:lang w:val="en-GB"/>
        </w:rPr>
        <w:t xml:space="preserve">assessed </w:t>
      </w:r>
      <w:r w:rsidR="003472F5" w:rsidRPr="007F6B31">
        <w:rPr>
          <w:rFonts w:ascii="Book Antiqua" w:hAnsi="Book Antiqua" w:cs="Arial"/>
          <w:lang w:val="en-GB"/>
        </w:rPr>
        <w:t>once a year to monitor the disease progression.</w:t>
      </w:r>
      <w:r w:rsidR="005B270D" w:rsidRPr="007F6B31">
        <w:rPr>
          <w:rFonts w:ascii="Book Antiqua" w:hAnsi="Book Antiqua" w:cs="Arial"/>
          <w:lang w:val="en-GB"/>
        </w:rPr>
        <w:t xml:space="preserve"> </w:t>
      </w:r>
      <w:r w:rsidR="004409B7" w:rsidRPr="007F6B31">
        <w:rPr>
          <w:rFonts w:ascii="Book Antiqua" w:hAnsi="Book Antiqua" w:cs="Arial"/>
          <w:lang w:val="en-GB"/>
        </w:rPr>
        <w:t>None of the family members showed any symptoms and they all had normal LAL activity</w:t>
      </w:r>
      <w:r w:rsidR="00397A5C" w:rsidRPr="007F6B31">
        <w:rPr>
          <w:rFonts w:ascii="Book Antiqua" w:hAnsi="Book Antiqua" w:cs="Arial"/>
          <w:lang w:val="en-GB"/>
        </w:rPr>
        <w:t xml:space="preserve">. </w:t>
      </w:r>
      <w:r w:rsidR="004409B7" w:rsidRPr="007F6B31">
        <w:rPr>
          <w:rFonts w:ascii="Book Antiqua" w:hAnsi="Book Antiqua" w:cs="Arial"/>
          <w:lang w:val="en-GB"/>
        </w:rPr>
        <w:t>One of the family members, the seven-year-old boy was referred for treatment with statins</w:t>
      </w:r>
      <w:r w:rsidR="005B270D" w:rsidRPr="007F6B31">
        <w:rPr>
          <w:rFonts w:ascii="Book Antiqua" w:hAnsi="Book Antiqua" w:cs="Arial"/>
          <w:lang w:val="en-GB"/>
        </w:rPr>
        <w:t>.</w:t>
      </w:r>
    </w:p>
    <w:p w14:paraId="46B78EB6" w14:textId="77777777" w:rsidR="00B227A9" w:rsidRPr="007F6B31" w:rsidRDefault="00B227A9" w:rsidP="001F2C55">
      <w:pPr>
        <w:pStyle w:val="a5"/>
        <w:snapToGrid w:val="0"/>
        <w:spacing w:line="360" w:lineRule="auto"/>
        <w:jc w:val="both"/>
        <w:rPr>
          <w:rFonts w:ascii="Book Antiqua" w:hAnsi="Book Antiqua" w:cs="Arial"/>
          <w:lang w:val="en-GB"/>
        </w:rPr>
      </w:pPr>
    </w:p>
    <w:p w14:paraId="73118E26" w14:textId="77777777" w:rsidR="001E50D4" w:rsidRPr="007F6B31" w:rsidRDefault="001E50D4" w:rsidP="001E50D4">
      <w:pPr>
        <w:pStyle w:val="Normal1"/>
        <w:spacing w:after="0" w:line="360" w:lineRule="auto"/>
        <w:jc w:val="both"/>
        <w:rPr>
          <w:rFonts w:ascii="Book Antiqua" w:hAnsi="Book Antiqua" w:cstheme="minorHAnsi"/>
          <w:sz w:val="24"/>
          <w:szCs w:val="24"/>
          <w:u w:val="single"/>
        </w:rPr>
      </w:pPr>
      <w:r w:rsidRPr="007F6B31">
        <w:rPr>
          <w:rFonts w:ascii="Book Antiqua" w:hAnsi="Book Antiqua" w:cstheme="minorHAnsi"/>
          <w:b/>
          <w:sz w:val="24"/>
          <w:szCs w:val="24"/>
          <w:u w:val="single"/>
        </w:rPr>
        <w:t>DISCUSSION</w:t>
      </w:r>
    </w:p>
    <w:p w14:paraId="5B49100F" w14:textId="66C3E3CA" w:rsidR="00444850" w:rsidRPr="007F6B31" w:rsidRDefault="00444850" w:rsidP="001F2C55">
      <w:pPr>
        <w:snapToGrid w:val="0"/>
        <w:spacing w:after="0" w:line="360" w:lineRule="auto"/>
        <w:jc w:val="both"/>
        <w:rPr>
          <w:rFonts w:ascii="Book Antiqua" w:eastAsia="TimesNewRomanPSMT" w:hAnsi="Book Antiqua" w:cs="Arial"/>
          <w:sz w:val="24"/>
          <w:szCs w:val="24"/>
          <w:lang w:val="en-GB"/>
        </w:rPr>
      </w:pPr>
      <w:r w:rsidRPr="007F6B31">
        <w:rPr>
          <w:rFonts w:ascii="Book Antiqua" w:eastAsia="TimesNewRomanPSMT" w:hAnsi="Book Antiqua" w:cs="Arial"/>
          <w:sz w:val="24"/>
          <w:szCs w:val="24"/>
          <w:lang w:val="en-GB"/>
        </w:rPr>
        <w:t>This is a clinical and genetic study of two siblings with CESD and their first-degree family members. The siblings were compound heterozygote</w:t>
      </w:r>
      <w:r w:rsidR="001900EE" w:rsidRPr="007F6B31">
        <w:rPr>
          <w:rFonts w:ascii="Book Antiqua" w:eastAsia="TimesNewRomanPSMT" w:hAnsi="Book Antiqua" w:cs="Arial"/>
          <w:sz w:val="24"/>
          <w:szCs w:val="24"/>
          <w:lang w:val="en-GB"/>
        </w:rPr>
        <w:t>s</w:t>
      </w:r>
      <w:r w:rsidRPr="007F6B31">
        <w:rPr>
          <w:rFonts w:ascii="Book Antiqua" w:eastAsia="TimesNewRomanPSMT" w:hAnsi="Book Antiqua" w:cs="Arial"/>
          <w:sz w:val="24"/>
          <w:szCs w:val="24"/>
          <w:lang w:val="en-GB"/>
        </w:rPr>
        <w:t xml:space="preserve"> for the </w:t>
      </w:r>
      <w:r w:rsidRPr="007F6B31">
        <w:rPr>
          <w:rFonts w:ascii="Book Antiqua" w:hAnsi="Book Antiqua" w:cs="Arial"/>
          <w:sz w:val="24"/>
          <w:szCs w:val="24"/>
          <w:lang w:val="en-GB"/>
        </w:rPr>
        <w:t>missense variant in</w:t>
      </w:r>
      <w:r w:rsidR="00B507F1" w:rsidRPr="007F6B31">
        <w:rPr>
          <w:rFonts w:ascii="Book Antiqua" w:hAnsi="Book Antiqua" w:cs="Arial"/>
          <w:sz w:val="24"/>
          <w:szCs w:val="24"/>
          <w:lang w:val="en-GB"/>
        </w:rPr>
        <w:t xml:space="preserve"> </w:t>
      </w:r>
      <w:r w:rsidR="00B507F1" w:rsidRPr="007F6B31">
        <w:rPr>
          <w:rFonts w:ascii="Book Antiqua" w:hAnsi="Book Antiqua" w:cs="Arial"/>
          <w:i/>
          <w:sz w:val="24"/>
          <w:szCs w:val="24"/>
          <w:lang w:val="en-GB"/>
        </w:rPr>
        <w:t>LIPA</w:t>
      </w:r>
      <w:r w:rsidRPr="007F6B31">
        <w:rPr>
          <w:rFonts w:ascii="Book Antiqua" w:hAnsi="Book Antiqua" w:cs="Arial"/>
          <w:sz w:val="24"/>
          <w:szCs w:val="24"/>
          <w:lang w:val="en-GB"/>
        </w:rPr>
        <w:t xml:space="preserve">, </w:t>
      </w:r>
      <w:r w:rsidRPr="007F6B31">
        <w:rPr>
          <w:rFonts w:ascii="Book Antiqua" w:hAnsi="Book Antiqua" w:cs="Arial"/>
          <w:bCs/>
          <w:sz w:val="24"/>
          <w:szCs w:val="24"/>
          <w:lang w:val="en-GB"/>
        </w:rPr>
        <w:t>c.894G&gt;A, (</w:t>
      </w:r>
      <w:proofErr w:type="gramStart"/>
      <w:r w:rsidRPr="007F6B31">
        <w:rPr>
          <w:rFonts w:ascii="Book Antiqua" w:hAnsi="Book Antiqua" w:cs="Arial"/>
          <w:bCs/>
          <w:sz w:val="24"/>
          <w:szCs w:val="24"/>
          <w:lang w:val="en-GB"/>
        </w:rPr>
        <w:t>p.Gln</w:t>
      </w:r>
      <w:proofErr w:type="gramEnd"/>
      <w:r w:rsidRPr="007F6B31">
        <w:rPr>
          <w:rFonts w:ascii="Book Antiqua" w:hAnsi="Book Antiqua" w:cs="Arial"/>
          <w:bCs/>
          <w:sz w:val="24"/>
          <w:szCs w:val="24"/>
          <w:lang w:val="en-GB"/>
        </w:rPr>
        <w:t>298Gln) and a single base pair deletion</w:t>
      </w:r>
      <w:r w:rsidR="00D52970" w:rsidRPr="007F6B31">
        <w:rPr>
          <w:rFonts w:ascii="Book Antiqua" w:hAnsi="Book Antiqua" w:cs="Arial"/>
          <w:bCs/>
          <w:sz w:val="24"/>
          <w:szCs w:val="24"/>
          <w:lang w:val="en-GB"/>
        </w:rPr>
        <w:t>,</w:t>
      </w:r>
      <w:r w:rsidRPr="007F6B31">
        <w:rPr>
          <w:rFonts w:ascii="Book Antiqua" w:hAnsi="Book Antiqua" w:cs="Arial"/>
          <w:bCs/>
          <w:sz w:val="24"/>
          <w:szCs w:val="24"/>
          <w:lang w:val="en-GB"/>
        </w:rPr>
        <w:t xml:space="preserve"> c.482del (p.Asn161Ilefs*19). Analyses of SNPs</w:t>
      </w:r>
      <w:r w:rsidR="001E1B5E" w:rsidRPr="007F6B31">
        <w:rPr>
          <w:rFonts w:ascii="Book Antiqua" w:hAnsi="Book Antiqua" w:cs="Arial"/>
          <w:bCs/>
          <w:sz w:val="24"/>
          <w:szCs w:val="24"/>
          <w:lang w:val="en-GB"/>
        </w:rPr>
        <w:t xml:space="preserve"> showed</w:t>
      </w:r>
      <w:r w:rsidRPr="007F6B31">
        <w:rPr>
          <w:rFonts w:ascii="Book Antiqua" w:hAnsi="Book Antiqua" w:cs="Arial"/>
          <w:bCs/>
          <w:sz w:val="24"/>
          <w:szCs w:val="24"/>
          <w:lang w:val="en-GB"/>
        </w:rPr>
        <w:t xml:space="preserve"> an increased risk of fatty liver disease and fibrosis. One patient was treated with </w:t>
      </w:r>
      <w:proofErr w:type="spellStart"/>
      <w:r w:rsidRPr="007F6B31">
        <w:rPr>
          <w:rFonts w:ascii="Book Antiqua" w:hAnsi="Book Antiqua" w:cs="Arial"/>
          <w:bCs/>
          <w:sz w:val="24"/>
          <w:szCs w:val="24"/>
          <w:lang w:val="en-GB"/>
        </w:rPr>
        <w:t>Sebelipase</w:t>
      </w:r>
      <w:proofErr w:type="spellEnd"/>
      <w:r w:rsidRPr="007F6B31">
        <w:rPr>
          <w:rFonts w:ascii="Book Antiqua" w:hAnsi="Book Antiqua" w:cs="Arial"/>
          <w:bCs/>
          <w:sz w:val="24"/>
          <w:szCs w:val="24"/>
          <w:lang w:val="en-GB"/>
        </w:rPr>
        <w:t xml:space="preserve"> al</w:t>
      </w:r>
      <w:r w:rsidR="00857875" w:rsidRPr="007F6B31">
        <w:rPr>
          <w:rFonts w:ascii="Book Antiqua" w:hAnsi="Book Antiqua" w:cs="Arial"/>
          <w:bCs/>
          <w:sz w:val="24"/>
          <w:szCs w:val="24"/>
          <w:lang w:val="en-GB"/>
        </w:rPr>
        <w:t>f</w:t>
      </w:r>
      <w:r w:rsidRPr="007F6B31">
        <w:rPr>
          <w:rFonts w:ascii="Book Antiqua" w:hAnsi="Book Antiqua" w:cs="Arial"/>
          <w:bCs/>
          <w:sz w:val="24"/>
          <w:szCs w:val="24"/>
          <w:lang w:val="en-GB"/>
        </w:rPr>
        <w:t>a and was classified as non-respon</w:t>
      </w:r>
      <w:r w:rsidR="00D52970" w:rsidRPr="007F6B31">
        <w:rPr>
          <w:rFonts w:ascii="Book Antiqua" w:hAnsi="Book Antiqua" w:cs="Arial"/>
          <w:bCs/>
          <w:sz w:val="24"/>
          <w:szCs w:val="24"/>
          <w:lang w:val="en-GB"/>
        </w:rPr>
        <w:t>sive</w:t>
      </w:r>
      <w:r w:rsidRPr="007F6B31">
        <w:rPr>
          <w:rFonts w:ascii="Book Antiqua" w:hAnsi="Book Antiqua" w:cs="Arial"/>
          <w:bCs/>
          <w:sz w:val="24"/>
          <w:szCs w:val="24"/>
          <w:lang w:val="en-GB"/>
        </w:rPr>
        <w:t>. It</w:t>
      </w:r>
      <w:r w:rsidR="00D52970" w:rsidRPr="007F6B31">
        <w:rPr>
          <w:rFonts w:ascii="Book Antiqua" w:hAnsi="Book Antiqua" w:cs="Arial"/>
          <w:bCs/>
          <w:sz w:val="24"/>
          <w:szCs w:val="24"/>
          <w:lang w:val="en-GB"/>
        </w:rPr>
        <w:t xml:space="preserve"> is</w:t>
      </w:r>
      <w:r w:rsidRPr="007F6B31">
        <w:rPr>
          <w:rFonts w:ascii="Book Antiqua" w:hAnsi="Book Antiqua" w:cs="Arial"/>
          <w:bCs/>
          <w:sz w:val="24"/>
          <w:szCs w:val="24"/>
          <w:lang w:val="en-GB"/>
        </w:rPr>
        <w:t xml:space="preserve"> </w:t>
      </w:r>
      <w:r w:rsidR="00D52970" w:rsidRPr="007F6B31">
        <w:rPr>
          <w:rFonts w:ascii="Book Antiqua" w:hAnsi="Book Antiqua" w:cs="Arial"/>
          <w:bCs/>
          <w:sz w:val="24"/>
          <w:szCs w:val="24"/>
          <w:lang w:val="en-GB"/>
        </w:rPr>
        <w:t>possible</w:t>
      </w:r>
      <w:r w:rsidRPr="007F6B31">
        <w:rPr>
          <w:rFonts w:ascii="Book Antiqua" w:hAnsi="Book Antiqua" w:cs="Arial"/>
          <w:bCs/>
          <w:sz w:val="24"/>
          <w:szCs w:val="24"/>
          <w:lang w:val="en-GB"/>
        </w:rPr>
        <w:t xml:space="preserve"> that genetic factors influence the response to therapy. Both patients underwent liver transplantation, and both had symptoms </w:t>
      </w:r>
      <w:r w:rsidR="00D52970" w:rsidRPr="007F6B31">
        <w:rPr>
          <w:rFonts w:ascii="Book Antiqua" w:hAnsi="Book Antiqua" w:cs="Arial"/>
          <w:bCs/>
          <w:sz w:val="24"/>
          <w:szCs w:val="24"/>
          <w:lang w:val="en-GB"/>
        </w:rPr>
        <w:t xml:space="preserve">in </w:t>
      </w:r>
      <w:r w:rsidRPr="007F6B31">
        <w:rPr>
          <w:rFonts w:ascii="Book Antiqua" w:hAnsi="Book Antiqua" w:cs="Arial"/>
          <w:bCs/>
          <w:sz w:val="24"/>
          <w:szCs w:val="24"/>
          <w:lang w:val="en-GB"/>
        </w:rPr>
        <w:t>the gastrointestinal tract</w:t>
      </w:r>
      <w:r w:rsidR="00D52970" w:rsidRPr="007F6B31">
        <w:rPr>
          <w:rFonts w:ascii="Book Antiqua" w:hAnsi="Book Antiqua" w:cs="Arial"/>
          <w:bCs/>
          <w:sz w:val="24"/>
          <w:szCs w:val="24"/>
          <w:lang w:val="en-GB"/>
        </w:rPr>
        <w:t>,</w:t>
      </w:r>
      <w:r w:rsidRPr="007F6B31">
        <w:rPr>
          <w:rFonts w:ascii="Book Antiqua" w:hAnsi="Book Antiqua" w:cs="Arial"/>
          <w:bCs/>
          <w:sz w:val="24"/>
          <w:szCs w:val="24"/>
          <w:lang w:val="en-GB"/>
        </w:rPr>
        <w:t xml:space="preserve"> as well as </w:t>
      </w:r>
      <w:r w:rsidRPr="007F6B31">
        <w:rPr>
          <w:rFonts w:ascii="Book Antiqua" w:hAnsi="Book Antiqua" w:cs="Arial"/>
          <w:bCs/>
          <w:sz w:val="24"/>
          <w:szCs w:val="24"/>
          <w:lang w:val="en-GB"/>
        </w:rPr>
        <w:lastRenderedPageBreak/>
        <w:t xml:space="preserve">cardiovascular disease, underlining that CESD is a systemic disease. None of the family members had CESD, but one child had </w:t>
      </w:r>
      <w:proofErr w:type="spellStart"/>
      <w:r w:rsidRPr="007F6B31">
        <w:rPr>
          <w:rFonts w:ascii="Book Antiqua" w:hAnsi="Book Antiqua" w:cs="Arial"/>
          <w:bCs/>
          <w:sz w:val="24"/>
          <w:szCs w:val="24"/>
          <w:lang w:val="en-GB"/>
        </w:rPr>
        <w:t>dyslipidemia</w:t>
      </w:r>
      <w:proofErr w:type="spellEnd"/>
      <w:r w:rsidR="00D52970" w:rsidRPr="007F6B31">
        <w:rPr>
          <w:rFonts w:ascii="Book Antiqua" w:hAnsi="Book Antiqua" w:cs="Arial"/>
          <w:bCs/>
          <w:sz w:val="24"/>
          <w:szCs w:val="24"/>
          <w:lang w:val="en-GB"/>
        </w:rPr>
        <w:t xml:space="preserve"> and</w:t>
      </w:r>
      <w:r w:rsidRPr="007F6B31">
        <w:rPr>
          <w:rFonts w:ascii="Book Antiqua" w:hAnsi="Book Antiqua" w:cs="Arial"/>
          <w:bCs/>
          <w:sz w:val="24"/>
          <w:szCs w:val="24"/>
          <w:lang w:val="en-GB"/>
        </w:rPr>
        <w:t xml:space="preserve"> requir</w:t>
      </w:r>
      <w:r w:rsidR="00D52970" w:rsidRPr="007F6B31">
        <w:rPr>
          <w:rFonts w:ascii="Book Antiqua" w:hAnsi="Book Antiqua" w:cs="Arial"/>
          <w:bCs/>
          <w:sz w:val="24"/>
          <w:szCs w:val="24"/>
          <w:lang w:val="en-GB"/>
        </w:rPr>
        <w:t>ed</w:t>
      </w:r>
      <w:r w:rsidRPr="007F6B31">
        <w:rPr>
          <w:rFonts w:ascii="Book Antiqua" w:hAnsi="Book Antiqua" w:cs="Arial"/>
          <w:bCs/>
          <w:sz w:val="24"/>
          <w:szCs w:val="24"/>
          <w:lang w:val="en-GB"/>
        </w:rPr>
        <w:t xml:space="preserve"> treatment. </w:t>
      </w:r>
    </w:p>
    <w:p w14:paraId="4E0FED79" w14:textId="318C024C" w:rsidR="009E67DE" w:rsidRPr="007F6B31" w:rsidRDefault="00444850" w:rsidP="001F2C55">
      <w:pPr>
        <w:snapToGrid w:val="0"/>
        <w:spacing w:after="0" w:line="360" w:lineRule="auto"/>
        <w:ind w:firstLineChars="100" w:firstLine="240"/>
        <w:jc w:val="both"/>
        <w:rPr>
          <w:rFonts w:ascii="Book Antiqua" w:hAnsi="Book Antiqua" w:cs="Arial"/>
          <w:bCs/>
          <w:sz w:val="24"/>
          <w:szCs w:val="24"/>
          <w:lang w:val="en-GB"/>
        </w:rPr>
      </w:pPr>
      <w:r w:rsidRPr="007F6B31">
        <w:rPr>
          <w:rFonts w:ascii="Book Antiqua" w:eastAsia="TimesNewRomanPSMT" w:hAnsi="Book Antiqua" w:cs="Arial"/>
          <w:sz w:val="24"/>
          <w:szCs w:val="24"/>
          <w:lang w:val="en-GB"/>
        </w:rPr>
        <w:t xml:space="preserve">Our clinical examinations showed evidence of abnormal lipid accumulation in the transplanted liver and vascular endothelium </w:t>
      </w:r>
      <w:r w:rsidR="001900EE" w:rsidRPr="007F6B31">
        <w:rPr>
          <w:rFonts w:ascii="Book Antiqua" w:eastAsia="TimesNewRomanPSMT" w:hAnsi="Book Antiqua" w:cs="Arial"/>
          <w:sz w:val="24"/>
          <w:szCs w:val="24"/>
          <w:lang w:val="en-GB"/>
        </w:rPr>
        <w:t xml:space="preserve">in </w:t>
      </w:r>
      <w:r w:rsidRPr="007F6B31">
        <w:rPr>
          <w:rFonts w:ascii="Book Antiqua" w:eastAsia="TimesNewRomanPSMT" w:hAnsi="Book Antiqua" w:cs="Arial"/>
          <w:sz w:val="24"/>
          <w:szCs w:val="24"/>
          <w:lang w:val="en-GB"/>
        </w:rPr>
        <w:t>both patients. Our f</w:t>
      </w:r>
      <w:r w:rsidRPr="007F6B31">
        <w:rPr>
          <w:rFonts w:ascii="Book Antiqua" w:hAnsi="Book Antiqua" w:cs="Arial"/>
          <w:bCs/>
          <w:sz w:val="24"/>
          <w:szCs w:val="24"/>
          <w:lang w:val="en-GB"/>
        </w:rPr>
        <w:t>indings included reversible perfusion defects in coronary arteries and severe aorta valve stenosis</w:t>
      </w:r>
      <w:r w:rsidR="00D52970" w:rsidRPr="007F6B31">
        <w:rPr>
          <w:rFonts w:ascii="Book Antiqua" w:hAnsi="Book Antiqua" w:cs="Arial"/>
          <w:bCs/>
          <w:sz w:val="24"/>
          <w:szCs w:val="24"/>
          <w:lang w:val="en-GB"/>
        </w:rPr>
        <w:t>,</w:t>
      </w:r>
      <w:r w:rsidRPr="007F6B31">
        <w:rPr>
          <w:rFonts w:ascii="Book Antiqua" w:hAnsi="Book Antiqua" w:cs="Arial"/>
          <w:bCs/>
          <w:sz w:val="24"/>
          <w:szCs w:val="24"/>
          <w:lang w:val="en-GB"/>
        </w:rPr>
        <w:t xml:space="preserve"> with calcified cusps and mild left ventricular hypertrophy in the male patient. Both patients underwent surgery for arterial aneurysms. </w:t>
      </w:r>
      <w:r w:rsidR="001E1B5E" w:rsidRPr="007F6B31">
        <w:rPr>
          <w:rFonts w:ascii="Book Antiqua" w:hAnsi="Book Antiqua" w:cs="Arial"/>
          <w:bCs/>
          <w:sz w:val="24"/>
          <w:szCs w:val="24"/>
          <w:lang w:val="en-GB"/>
        </w:rPr>
        <w:t>Additionally</w:t>
      </w:r>
      <w:r w:rsidR="00D52970" w:rsidRPr="007F6B31">
        <w:rPr>
          <w:rFonts w:ascii="Book Antiqua" w:hAnsi="Book Antiqua" w:cs="Arial"/>
          <w:bCs/>
          <w:sz w:val="24"/>
          <w:szCs w:val="24"/>
          <w:lang w:val="en-GB"/>
        </w:rPr>
        <w:t>,</w:t>
      </w:r>
      <w:r w:rsidR="001E1B5E" w:rsidRPr="007F6B31">
        <w:rPr>
          <w:rFonts w:ascii="Book Antiqua" w:hAnsi="Book Antiqua" w:cs="Arial"/>
          <w:bCs/>
          <w:sz w:val="24"/>
          <w:szCs w:val="24"/>
          <w:lang w:val="en-GB"/>
        </w:rPr>
        <w:t xml:space="preserve"> </w:t>
      </w:r>
      <w:bookmarkStart w:id="13" w:name="_Hlk29806812"/>
      <w:r w:rsidR="001E1B5E" w:rsidRPr="007F6B31">
        <w:rPr>
          <w:rFonts w:ascii="Book Antiqua" w:hAnsi="Book Antiqua" w:cs="Arial"/>
          <w:bCs/>
          <w:sz w:val="24"/>
          <w:szCs w:val="24"/>
          <w:lang w:val="en-GB"/>
        </w:rPr>
        <w:t>o</w:t>
      </w:r>
      <w:r w:rsidRPr="007F6B31">
        <w:rPr>
          <w:rFonts w:ascii="Book Antiqua" w:hAnsi="Book Antiqua" w:cs="Arial"/>
          <w:bCs/>
          <w:sz w:val="24"/>
          <w:szCs w:val="24"/>
          <w:lang w:val="en-GB"/>
        </w:rPr>
        <w:t xml:space="preserve">ur findings confirm previous evidence that liver transplantation does not prevent </w:t>
      </w:r>
      <w:r w:rsidR="00294832" w:rsidRPr="007F6B31">
        <w:rPr>
          <w:rFonts w:ascii="Book Antiqua" w:hAnsi="Book Antiqua" w:cs="Arial"/>
          <w:bCs/>
          <w:sz w:val="24"/>
          <w:szCs w:val="24"/>
          <w:lang w:val="en-GB"/>
        </w:rPr>
        <w:t xml:space="preserve">the </w:t>
      </w:r>
      <w:r w:rsidRPr="007F6B31">
        <w:rPr>
          <w:rFonts w:ascii="Book Antiqua" w:hAnsi="Book Antiqua" w:cs="Arial"/>
          <w:bCs/>
          <w:sz w:val="24"/>
          <w:szCs w:val="24"/>
          <w:lang w:val="en-GB"/>
        </w:rPr>
        <w:t>multi-systemic progression of CESD</w:t>
      </w:r>
      <w:r w:rsidR="00B227A9" w:rsidRPr="007F6B31">
        <w:rPr>
          <w:rFonts w:ascii="Book Antiqua" w:hAnsi="Book Antiqua" w:cs="Arial"/>
          <w:bCs/>
          <w:sz w:val="24"/>
          <w:szCs w:val="24"/>
          <w:vertAlign w:val="superscript"/>
          <w:lang w:val="en-GB" w:eastAsia="zh-CN"/>
        </w:rPr>
        <w:t>[</w:t>
      </w:r>
      <w:r w:rsidR="00B227A9" w:rsidRPr="007F6B31">
        <w:rPr>
          <w:rFonts w:ascii="Book Antiqua" w:hAnsi="Book Antiqua" w:cs="Arial"/>
          <w:bCs/>
          <w:sz w:val="24"/>
          <w:szCs w:val="24"/>
          <w:vertAlign w:val="superscript"/>
          <w:lang w:val="en-GB"/>
        </w:rPr>
        <w:fldChar w:fldCharType="begin" w:fldLock="1"/>
      </w:r>
      <w:r w:rsidR="00B227A9" w:rsidRPr="007F6B31">
        <w:rPr>
          <w:rFonts w:ascii="Book Antiqua" w:hAnsi="Book Antiqua" w:cs="Arial"/>
          <w:bCs/>
          <w:sz w:val="24"/>
          <w:szCs w:val="24"/>
          <w:vertAlign w:val="superscript"/>
          <w:lang w:val="en-GB"/>
        </w:rPr>
        <w:instrText>ADDIN CSL_CITATION {"citationItems":[{"id":"ITEM-1","itemData":{"DOI":"10.1016/j.jhep.2013.02.014","ISBN":"0168-8278","ISSN":"01688278","PMID":"23485521","abstract":"Cholesteryl ester storage disease (CESD) is caused by deficient lysosomal acid lipase (LAL) activity, predominantly resulting in cholesteryl ester (CE) accumulation, particularly in the liver, spleen, and macrophages throughout the body. The disease is characterized by microvesicular steatosis leading to liver failure, accelerated atherosclerosis and premature demise. Although CESD is rare, it is likely that many patients are unrecognized or misdiagnosed. Here, the findings in 135 CESD patients described in the literature are reviewed. Diagnoses were based on liver biopsies, LAL deficiency and/or LAL gene (LIPA) mutations. Hepatomegaly was present in 99.3% of patients; 74% also had splenomegaly. When reported, most patients had elevated serum total cholesterol, LDL-cholesterol, triglycerides, and transaminases (AST, ALT, or both), while HDL-cholesterol was decreased. All 112 liver biopsied patients had the characteristic pathology, which is progressive, and includes microvesicular steatosis, which leads to fibrosis, micronodular cirrhosis, and ultimately to liver failure. Pathognomonic birefringent CE crystals or their remnant clefts were observed in hepatic cells. Extrahepatic manifestations included portal hypertension, esophageal varices, and accelerated atherosclerosis. Liver failure in 17 reported patients resulted in liver transplantation and/or death. Genotyping identified 31 LIPA mutations in 55 patients; 61% of mutations were the common exon 8 splice-junction mutation (E8SJM-1G&gt;A), for which 18 patients were homozygous. Genotype/phenotype correlations were limited; however, E8SJM-1G&gt;Ahomozygotes typically had early-onset, slowly progressive disease. Supportive treatment included cholestyramine, statins, and, ultimately, liver transplantation. Recombinant LAL replacement was shown to be effective in animal models, and recently, a phase I/II clinical trial demonstrated its safety and indicated its potential metabolic efficacy. © 2013 European Association for the Study of the Liver. Published by Elsevier B.V. All rights reserved.","author":[{"dropping-particle":"","family":"Bernstein","given":"Donna L.","non-dropping-particle":"","parse-names":false,"suffix":""},{"dropping-particle":"","family":"Hülkova","given":"Helena","non-dropping-particle":"","parse-names":false,"suffix":""},{"dropping-particle":"","family":"Bialer","given":"Martin G.","non-dropping-particle":"","parse-names":false,"suffix":""},{"dropping-particle":"","family":"Desnick","given":"Robert J.","non-dropping-particle":"","parse-names":false,"suffix":""}],"container-title":"Journal of Hepatology","id":"ITEM-1","issue":"6","issued":{"date-parts":[["2013","6"]]},"page":"1230-1243","title":"Cholesteryl ester storage disease: Review of the findings in 135 reported patients with an underdiagnosed disease","type":"article-journal","volume":"58"},"uris":["http://www.mendeley.com/documents/?uuid=9be8b44a-fd42-4812-ab39-722fe7bdc933"]}],"mendeley":{"formattedCitation":"&lt;sup&gt;16&lt;/sup&gt;","plainTextFormattedCitation":"16","previouslyFormattedCitation":"&lt;sup&gt;16&lt;/sup&gt;"},"properties":{"noteIndex":0},"schema":"https://github.com/citation-style-language/schema/raw/master/csl-citation.json"}</w:instrText>
      </w:r>
      <w:r w:rsidR="00B227A9" w:rsidRPr="007F6B31">
        <w:rPr>
          <w:rFonts w:ascii="Book Antiqua" w:hAnsi="Book Antiqua" w:cs="Arial"/>
          <w:bCs/>
          <w:sz w:val="24"/>
          <w:szCs w:val="24"/>
          <w:vertAlign w:val="superscript"/>
          <w:lang w:val="en-GB"/>
        </w:rPr>
        <w:fldChar w:fldCharType="separate"/>
      </w:r>
      <w:r w:rsidR="00B227A9" w:rsidRPr="007F6B31">
        <w:rPr>
          <w:rFonts w:ascii="Book Antiqua" w:hAnsi="Book Antiqua" w:cs="Arial"/>
          <w:bCs/>
          <w:noProof/>
          <w:sz w:val="24"/>
          <w:szCs w:val="24"/>
          <w:vertAlign w:val="superscript"/>
          <w:lang w:val="en-GB"/>
        </w:rPr>
        <w:t>16</w:t>
      </w:r>
      <w:r w:rsidR="00B227A9" w:rsidRPr="007F6B31">
        <w:rPr>
          <w:rFonts w:ascii="Book Antiqua" w:hAnsi="Book Antiqua" w:cs="Arial"/>
          <w:bCs/>
          <w:sz w:val="24"/>
          <w:szCs w:val="24"/>
          <w:vertAlign w:val="superscript"/>
          <w:lang w:val="en-GB"/>
        </w:rPr>
        <w:fldChar w:fldCharType="end"/>
      </w:r>
      <w:r w:rsidR="00B227A9" w:rsidRPr="007F6B31">
        <w:rPr>
          <w:rFonts w:ascii="Book Antiqua" w:hAnsi="Book Antiqua" w:cs="Arial"/>
          <w:bCs/>
          <w:sz w:val="24"/>
          <w:szCs w:val="24"/>
          <w:vertAlign w:val="superscript"/>
          <w:lang w:val="en-GB"/>
        </w:rPr>
        <w:t>]</w:t>
      </w:r>
      <w:r w:rsidRPr="007F6B31">
        <w:rPr>
          <w:rFonts w:ascii="Book Antiqua" w:hAnsi="Book Antiqua" w:cs="Arial"/>
          <w:bCs/>
          <w:sz w:val="24"/>
          <w:szCs w:val="24"/>
          <w:lang w:val="en-GB"/>
        </w:rPr>
        <w:t xml:space="preserve">. </w:t>
      </w:r>
      <w:r w:rsidR="00294832" w:rsidRPr="007F6B31">
        <w:rPr>
          <w:rFonts w:ascii="Book Antiqua" w:hAnsi="Book Antiqua" w:cs="Arial"/>
          <w:bCs/>
          <w:sz w:val="24"/>
          <w:szCs w:val="24"/>
          <w:lang w:val="en-GB"/>
        </w:rPr>
        <w:t xml:space="preserve">Patients have increased mortality and morbidity post-transplantation, which underlines the importance of adequate monitoring and treatment of complications. </w:t>
      </w:r>
      <w:bookmarkEnd w:id="13"/>
    </w:p>
    <w:p w14:paraId="3D17C7CA" w14:textId="1C3B7167" w:rsidR="00427188" w:rsidRPr="007F6B31" w:rsidRDefault="009E67DE" w:rsidP="001F2C55">
      <w:pPr>
        <w:snapToGrid w:val="0"/>
        <w:spacing w:after="0" w:line="360" w:lineRule="auto"/>
        <w:ind w:firstLineChars="100" w:firstLine="240"/>
        <w:jc w:val="both"/>
        <w:rPr>
          <w:rFonts w:ascii="Book Antiqua" w:hAnsi="Book Antiqua" w:cs="Arial"/>
          <w:bCs/>
          <w:sz w:val="24"/>
          <w:szCs w:val="24"/>
          <w:lang w:val="en-GB"/>
        </w:rPr>
      </w:pPr>
      <w:r w:rsidRPr="007F6B31">
        <w:rPr>
          <w:rFonts w:ascii="Book Antiqua" w:hAnsi="Book Antiqua" w:cs="Arial"/>
          <w:bCs/>
          <w:sz w:val="24"/>
          <w:szCs w:val="24"/>
          <w:lang w:val="en-GB"/>
        </w:rPr>
        <w:t>Recurrence of CESD in a transplanted liver may occur when deficient bone marrow</w:t>
      </w:r>
      <w:r w:rsidR="00D52970" w:rsidRPr="007F6B31">
        <w:rPr>
          <w:rFonts w:ascii="Book Antiqua" w:hAnsi="Book Antiqua" w:cs="Arial"/>
          <w:bCs/>
          <w:sz w:val="24"/>
          <w:szCs w:val="24"/>
          <w:lang w:val="en-GB"/>
        </w:rPr>
        <w:t>-</w:t>
      </w:r>
      <w:r w:rsidRPr="007F6B31">
        <w:rPr>
          <w:rFonts w:ascii="Book Antiqua" w:hAnsi="Book Antiqua" w:cs="Arial"/>
          <w:bCs/>
          <w:sz w:val="24"/>
          <w:szCs w:val="24"/>
          <w:lang w:val="en-GB"/>
        </w:rPr>
        <w:t xml:space="preserve">derived monocyte macrophages migrate to the liver and mature to Kupffer cells, thereby repeating </w:t>
      </w:r>
      <w:r w:rsidR="00427188" w:rsidRPr="007F6B31">
        <w:rPr>
          <w:rFonts w:ascii="Book Antiqua" w:hAnsi="Book Antiqua" w:cs="Arial"/>
          <w:bCs/>
          <w:sz w:val="24"/>
          <w:szCs w:val="24"/>
          <w:lang w:val="en-GB"/>
        </w:rPr>
        <w:t xml:space="preserve">the </w:t>
      </w:r>
      <w:r w:rsidRPr="007F6B31">
        <w:rPr>
          <w:rFonts w:ascii="Book Antiqua" w:hAnsi="Book Antiqua" w:cs="Arial"/>
          <w:bCs/>
          <w:sz w:val="24"/>
          <w:szCs w:val="24"/>
          <w:lang w:val="en-GB"/>
        </w:rPr>
        <w:t>pre-liver transplantation</w:t>
      </w:r>
      <w:r w:rsidR="00D52970" w:rsidRPr="007F6B31">
        <w:rPr>
          <w:rFonts w:ascii="Book Antiqua" w:hAnsi="Book Antiqua" w:cs="Arial"/>
          <w:bCs/>
          <w:sz w:val="24"/>
          <w:szCs w:val="24"/>
          <w:lang w:val="en-GB"/>
        </w:rPr>
        <w:t xml:space="preserve"> pathophysiology</w:t>
      </w:r>
      <w:r w:rsidR="00B227A9" w:rsidRPr="007F6B31">
        <w:rPr>
          <w:rFonts w:ascii="Book Antiqua" w:hAnsi="Book Antiqua" w:cs="Arial"/>
          <w:bCs/>
          <w:sz w:val="24"/>
          <w:szCs w:val="24"/>
          <w:vertAlign w:val="superscript"/>
          <w:lang w:val="en-GB"/>
        </w:rPr>
        <w:t>[</w:t>
      </w:r>
      <w:r w:rsidR="00B227A9" w:rsidRPr="007F6B31">
        <w:rPr>
          <w:rFonts w:ascii="Book Antiqua" w:hAnsi="Book Antiqua" w:cs="Arial"/>
          <w:bCs/>
          <w:sz w:val="24"/>
          <w:szCs w:val="24"/>
          <w:vertAlign w:val="superscript"/>
          <w:lang w:val="en-GB"/>
        </w:rPr>
        <w:fldChar w:fldCharType="begin" w:fldLock="1"/>
      </w:r>
      <w:r w:rsidR="00B227A9" w:rsidRPr="007F6B31">
        <w:rPr>
          <w:rFonts w:ascii="Book Antiqua" w:hAnsi="Book Antiqua" w:cs="Arial"/>
          <w:bCs/>
          <w:sz w:val="24"/>
          <w:szCs w:val="24"/>
          <w:vertAlign w:val="superscript"/>
          <w:lang w:val="en-GB"/>
        </w:rPr>
        <w:instrText>ADDIN CSL_CITATION {"citationItems":[{"id":"ITEM-1","itemData":{"DOI":"10.1002/cphy.c120026","ISSN":"20404603","abstract":"Kupffer cells are a critical component of the mononuclear phagocytic system and are central to both the hepatic and systemic response to pathogens. Kupffer cells are reemerging as critical mediators of both liver injury and repair. Kupffer cells exhibit a tremendous plasticity; depending on the local metabolic and immune environment, then can express a range of polarized phenotypes, from the proinflammatory M1 phenotype to the alternative/M2 phenotype. Multiple M2 phenotypes can be distinguished, each involved in the resolution of inflammation and wound healing. Here, we have provided an update on recent research that has contributed to the developing delineation of the contribution of Kupffer cells to different types of liver injury, with an emphasis on alcoholic and nonalcoholic liver diseases. These recent advances in our understanding of Kupffer cell function and regulation will likely provide new insights into the potential for therapeutic manipulation of Kupffer cells to promote the resolution of inflammation and enhance wound healing in liver disease. © 2013 American Physiological Society.","author":[{"dropping-particle":"","family":"Dixon","given":"Laura J.","non-dropping-particle":"","parse-names":false,"suffix":""},{"dropping-particle":"","family":"Barnes","given":"Mark","non-dropping-particle":"","parse-names":false,"suffix":""},{"dropping-particle":"","family":"Tang","given":"Hui","non-dropping-particle":"","parse-names":false,"suffix":""},{"dropping-particle":"","family":"Pritchard","given":"Michele T.","non-dropping-particle":"","parse-names":false,"suffix":""},{"dropping-particle":"","family":"Nagy","given":"Laura E.","non-dropping-particle":"","parse-names":false,"suffix":""}],"container-title":"Comprehensive Physiology","id":"ITEM-1","issued":{"date-parts":[["2013"]]},"title":"Kupffer cells in the liver","type":"article-journal"},"uris":["http://www.mendeley.com/documents/?uuid=7dba5970-63df-46bb-a741-7d3b73e6f413","http://www.mendeley.com/documents/?uuid=be4b1648-d21a-4717-805a-8d88065e5799"]},{"id":"ITEM-2","itemData":{"DOI":"10.1016/j.ymgme.2018.03.010","ISSN":"10967206","abstract":"Lysosomal acid lipase deficiency (LAL-D) results in progressive microvesicular hepatosteatosis, fibrosis, cirrhosis, dyslipidemia, and vascular disease. Interventions available prior to enzyme replacement therapy development, including lipid lowering medications, splenectomy, hematopoietic stem cell and liver transplantation were unsuccessful at preventing multi-systemic disease progression, and were associated with significant morbidity and mortality. We report two sisters, diagnosed in infancy, who succumbed to LAL-D with accelerated disease progression following splenectomy and liver transplantation. The index patient died one year after hematopoietic stem cell transplant and liver transplantation. Her younger sister survived five years post liver-transplantation, complicated by intermittent, acute rejection. Typical LAL-D hepatopathology, including progressive, microvesicular steatosis, foamy macrophage aggregates, vacuolated Kupffer cells, advanced fibrosis and micronodular cirrhosis recurred in the liver allograft. She died before a second liver transplant could occur for decompensated liver failure. Neither patient received sebelipase alfa enzyme replacement therapy, human, recombinant, lysosomal acid lipase enzyme, FDA approved in 2015. Here are reviewed 18 LAL-D post-liver transplantation cases described in the literature. Multi-systemic LAL-D progression occurred in 11 patients (61%) and death in six (33%). These reports demonstrate that liver transplantation may be necessary for LAL-D-associated liver failure, but is not sufficient to prevent disease progression, or liver disease recurrence, since the pathophysiology is predominantly mediated by deficient enzyme activity in bone marrow-derived monocyte-macrophages. Enzyme replacement therapy addresses systemic disease and hepatopathology, potentially improving liver-transplantation outcomes. This is the first systematic review of liver transplantation for LAL-D, and the first account of liver allograft LAL-D-associated hepatopathology recurrence.","author":[{"dropping-particle":"","family":"Bernstein","given":"Donna Lee","non-dropping-particle":"","parse-names":false,"suffix":""},{"dropping-particle":"","family":"Lobritto","given":"Steven","non-dropping-particle":"","parse-names":false,"suffix":""},{"dropping-particle":"","family":"Iuga","given":"Alina","non-dropping-particle":"","parse-names":false,"suffix":""},{"dropping-particle":"","family":"Remotti","given":"Helen","non-dropping-particle":"","parse-names":false,"suffix":""},{"dropping-particle":"","family":"Schiano","given":"Thomas","non-dropping-particle":"","parse-names":false,"suffix":""},{"dropping-particle":"","family":"Fiel","given":"Maria Isabel","non-dropping-particle":"","parse-names":false,"suffix":""},{"dropping-particle":"","family":"Balwani","given":"Manisha","non-dropping-particle":"","parse-names":false,"suffix":""}],"container-title":"Molecular Genetics and Metabolism","id":"ITEM-2","issued":{"date-parts":[["2018"]]},"title":"Lysosomal acid lipase deficiency allograft recurrence and liver failure- clinical outcomes of 18 liver transplantation patients","type":"article"},"uris":["http://www.mendeley.com/documents/?uuid=2f985474-3a37-47c7-8ee8-173558efddbd","http://www.mendeley.com/documents/?uuid=6b581815-34bb-4363-bfe8-d64900f88d72"]}],"mendeley":{"formattedCitation":"&lt;sup&gt;31,32&lt;/sup&gt;","plainTextFormattedCitation":"31,32","previouslyFormattedCitation":"&lt;sup&gt;31,32&lt;/sup&gt;"},"properties":{"noteIndex":0},"schema":"https://github.com/citation-style-language/schema/raw/master/csl-citation.json"}</w:instrText>
      </w:r>
      <w:r w:rsidR="00B227A9" w:rsidRPr="007F6B31">
        <w:rPr>
          <w:rFonts w:ascii="Book Antiqua" w:hAnsi="Book Antiqua" w:cs="Arial"/>
          <w:bCs/>
          <w:sz w:val="24"/>
          <w:szCs w:val="24"/>
          <w:vertAlign w:val="superscript"/>
          <w:lang w:val="en-GB"/>
        </w:rPr>
        <w:fldChar w:fldCharType="separate"/>
      </w:r>
      <w:r w:rsidR="00B227A9" w:rsidRPr="007F6B31">
        <w:rPr>
          <w:rFonts w:ascii="Book Antiqua" w:hAnsi="Book Antiqua" w:cs="Arial"/>
          <w:bCs/>
          <w:noProof/>
          <w:sz w:val="24"/>
          <w:szCs w:val="24"/>
          <w:vertAlign w:val="superscript"/>
          <w:lang w:val="en-GB"/>
        </w:rPr>
        <w:t>31,32</w:t>
      </w:r>
      <w:r w:rsidR="00B227A9" w:rsidRPr="007F6B31">
        <w:rPr>
          <w:rFonts w:ascii="Book Antiqua" w:hAnsi="Book Antiqua" w:cs="Arial"/>
          <w:bCs/>
          <w:sz w:val="24"/>
          <w:szCs w:val="24"/>
          <w:vertAlign w:val="superscript"/>
          <w:lang w:val="en-GB"/>
        </w:rPr>
        <w:fldChar w:fldCharType="end"/>
      </w:r>
      <w:r w:rsidR="00B227A9" w:rsidRPr="007F6B31">
        <w:rPr>
          <w:rFonts w:ascii="Book Antiqua" w:hAnsi="Book Antiqua" w:cs="Arial"/>
          <w:bCs/>
          <w:sz w:val="24"/>
          <w:szCs w:val="24"/>
          <w:vertAlign w:val="superscript"/>
          <w:lang w:val="en-GB"/>
        </w:rPr>
        <w:t>]</w:t>
      </w:r>
      <w:r w:rsidRPr="007F6B31">
        <w:rPr>
          <w:rFonts w:ascii="Book Antiqua" w:hAnsi="Book Antiqua" w:cs="Arial"/>
          <w:bCs/>
          <w:sz w:val="24"/>
          <w:szCs w:val="24"/>
          <w:lang w:val="en-GB"/>
        </w:rPr>
        <w:t>.</w:t>
      </w:r>
      <w:r w:rsidR="00427188" w:rsidRPr="007F6B31">
        <w:rPr>
          <w:rFonts w:ascii="Book Antiqua" w:hAnsi="Book Antiqua" w:cs="Arial"/>
          <w:bCs/>
          <w:sz w:val="24"/>
          <w:szCs w:val="24"/>
          <w:lang w:val="en-GB"/>
        </w:rPr>
        <w:t xml:space="preserve"> </w:t>
      </w:r>
      <w:r w:rsidR="00294832" w:rsidRPr="007F6B31">
        <w:rPr>
          <w:rFonts w:ascii="Book Antiqua" w:hAnsi="Book Antiqua" w:cs="Arial"/>
          <w:bCs/>
          <w:sz w:val="24"/>
          <w:szCs w:val="24"/>
          <w:lang w:val="en-GB"/>
        </w:rPr>
        <w:t xml:space="preserve">In our patients, the histological assessment found </w:t>
      </w:r>
      <w:r w:rsidR="00444850" w:rsidRPr="007F6B31">
        <w:rPr>
          <w:rFonts w:ascii="Book Antiqua" w:hAnsi="Book Antiqua" w:cs="Arial"/>
          <w:bCs/>
          <w:sz w:val="24"/>
          <w:szCs w:val="24"/>
          <w:lang w:val="en-GB"/>
        </w:rPr>
        <w:t>mild</w:t>
      </w:r>
      <w:r w:rsidR="00135CA9" w:rsidRPr="007F6B31">
        <w:rPr>
          <w:rFonts w:ascii="Book Antiqua" w:hAnsi="Book Antiqua" w:cs="Arial"/>
          <w:bCs/>
          <w:sz w:val="24"/>
          <w:szCs w:val="24"/>
          <w:lang w:val="en-GB"/>
        </w:rPr>
        <w:t>-</w:t>
      </w:r>
      <w:r w:rsidR="00444850" w:rsidRPr="007F6B31">
        <w:rPr>
          <w:rFonts w:ascii="Book Antiqua" w:hAnsi="Book Antiqua" w:cs="Arial"/>
          <w:bCs/>
          <w:sz w:val="24"/>
          <w:szCs w:val="24"/>
          <w:lang w:val="en-GB"/>
        </w:rPr>
        <w:t>to</w:t>
      </w:r>
      <w:r w:rsidR="00135CA9" w:rsidRPr="007F6B31">
        <w:rPr>
          <w:rFonts w:ascii="Book Antiqua" w:hAnsi="Book Antiqua" w:cs="Arial"/>
          <w:bCs/>
          <w:sz w:val="24"/>
          <w:szCs w:val="24"/>
          <w:lang w:val="en-GB"/>
        </w:rPr>
        <w:t>-</w:t>
      </w:r>
      <w:r w:rsidR="00444850" w:rsidRPr="007F6B31">
        <w:rPr>
          <w:rFonts w:ascii="Book Antiqua" w:hAnsi="Book Antiqua" w:cs="Arial"/>
          <w:bCs/>
          <w:sz w:val="24"/>
          <w:szCs w:val="24"/>
          <w:lang w:val="en-GB"/>
        </w:rPr>
        <w:t xml:space="preserve">moderate inflammation, fibrosis, and </w:t>
      </w:r>
      <w:proofErr w:type="spellStart"/>
      <w:r w:rsidR="00444850" w:rsidRPr="007F6B31">
        <w:rPr>
          <w:rFonts w:ascii="Book Antiqua" w:hAnsi="Book Antiqua" w:cs="Arial"/>
          <w:bCs/>
          <w:sz w:val="24"/>
          <w:szCs w:val="24"/>
          <w:lang w:val="en-GB"/>
        </w:rPr>
        <w:t>microvesicular</w:t>
      </w:r>
      <w:proofErr w:type="spellEnd"/>
      <w:r w:rsidR="00444850" w:rsidRPr="007F6B31">
        <w:rPr>
          <w:rFonts w:ascii="Book Antiqua" w:hAnsi="Book Antiqua" w:cs="Arial"/>
          <w:bCs/>
          <w:sz w:val="24"/>
          <w:szCs w:val="24"/>
          <w:lang w:val="en-GB"/>
        </w:rPr>
        <w:t xml:space="preserve"> steatosis</w:t>
      </w:r>
      <w:r w:rsidR="00294832" w:rsidRPr="007F6B31">
        <w:rPr>
          <w:rFonts w:ascii="Book Antiqua" w:hAnsi="Book Antiqua" w:cs="Arial"/>
          <w:bCs/>
          <w:sz w:val="24"/>
          <w:szCs w:val="24"/>
          <w:lang w:val="en-GB"/>
        </w:rPr>
        <w:t xml:space="preserve">, which is likely </w:t>
      </w:r>
      <w:r w:rsidR="00135CA9" w:rsidRPr="007F6B31">
        <w:rPr>
          <w:rFonts w:ascii="Book Antiqua" w:hAnsi="Book Antiqua" w:cs="Arial"/>
          <w:bCs/>
          <w:sz w:val="24"/>
          <w:szCs w:val="24"/>
          <w:lang w:val="en-GB"/>
        </w:rPr>
        <w:t xml:space="preserve">an outcome of the </w:t>
      </w:r>
      <w:r w:rsidR="00294832" w:rsidRPr="007F6B31">
        <w:rPr>
          <w:rFonts w:ascii="Book Antiqua" w:hAnsi="Book Antiqua" w:cs="Arial"/>
          <w:bCs/>
          <w:sz w:val="24"/>
          <w:szCs w:val="24"/>
          <w:lang w:val="en-GB"/>
        </w:rPr>
        <w:t xml:space="preserve">combination of </w:t>
      </w:r>
      <w:r w:rsidR="00135CA9" w:rsidRPr="007F6B31">
        <w:rPr>
          <w:rFonts w:ascii="Book Antiqua" w:hAnsi="Book Antiqua" w:cs="Arial"/>
          <w:bCs/>
          <w:sz w:val="24"/>
          <w:szCs w:val="24"/>
          <w:lang w:val="en-GB"/>
        </w:rPr>
        <w:t xml:space="preserve">their </w:t>
      </w:r>
      <w:r w:rsidR="00294832" w:rsidRPr="007F6B31">
        <w:rPr>
          <w:rFonts w:ascii="Book Antiqua" w:hAnsi="Book Antiqua" w:cs="Arial"/>
          <w:bCs/>
          <w:sz w:val="24"/>
          <w:szCs w:val="24"/>
          <w:lang w:val="en-GB"/>
        </w:rPr>
        <w:t>medication and</w:t>
      </w:r>
      <w:r w:rsidR="00135CA9" w:rsidRPr="007F6B31">
        <w:rPr>
          <w:rFonts w:ascii="Book Antiqua" w:hAnsi="Book Antiqua" w:cs="Arial"/>
          <w:bCs/>
          <w:sz w:val="24"/>
          <w:szCs w:val="24"/>
          <w:lang w:val="en-GB"/>
        </w:rPr>
        <w:t>,</w:t>
      </w:r>
      <w:r w:rsidR="00294832" w:rsidRPr="007F6B31">
        <w:rPr>
          <w:rFonts w:ascii="Book Antiqua" w:hAnsi="Book Antiqua" w:cs="Arial"/>
          <w:bCs/>
          <w:sz w:val="24"/>
          <w:szCs w:val="24"/>
          <w:lang w:val="en-GB"/>
        </w:rPr>
        <w:t xml:space="preserve"> for one patient</w:t>
      </w:r>
      <w:r w:rsidR="0078655D" w:rsidRPr="007F6B31">
        <w:rPr>
          <w:rFonts w:ascii="Book Antiqua" w:hAnsi="Book Antiqua" w:cs="Arial"/>
          <w:bCs/>
          <w:sz w:val="24"/>
          <w:szCs w:val="24"/>
          <w:lang w:val="en-GB"/>
        </w:rPr>
        <w:t>, her</w:t>
      </w:r>
      <w:r w:rsidR="00135CA9" w:rsidRPr="007F6B31">
        <w:rPr>
          <w:rFonts w:ascii="Book Antiqua" w:hAnsi="Book Antiqua" w:cs="Arial"/>
          <w:bCs/>
          <w:sz w:val="24"/>
          <w:szCs w:val="24"/>
          <w:lang w:val="en-GB"/>
        </w:rPr>
        <w:t xml:space="preserve"> </w:t>
      </w:r>
      <w:r w:rsidR="00294832" w:rsidRPr="007F6B31">
        <w:rPr>
          <w:rFonts w:ascii="Book Antiqua" w:hAnsi="Book Antiqua" w:cs="Arial"/>
          <w:bCs/>
          <w:sz w:val="24"/>
          <w:szCs w:val="24"/>
          <w:lang w:val="en-GB"/>
        </w:rPr>
        <w:t>obesity, but is also consistent with recurrent CESD in the transplanted liver</w:t>
      </w:r>
      <w:r w:rsidR="00B227A9" w:rsidRPr="007F6B31">
        <w:rPr>
          <w:rFonts w:ascii="Book Antiqua" w:hAnsi="Book Antiqua" w:cs="Arial"/>
          <w:bCs/>
          <w:sz w:val="24"/>
          <w:szCs w:val="24"/>
          <w:vertAlign w:val="superscript"/>
          <w:lang w:val="en-GB"/>
        </w:rPr>
        <w:t>[</w:t>
      </w:r>
      <w:r w:rsidR="00B227A9" w:rsidRPr="007F6B31">
        <w:rPr>
          <w:rFonts w:ascii="Book Antiqua" w:hAnsi="Book Antiqua" w:cs="Arial"/>
          <w:bCs/>
          <w:sz w:val="24"/>
          <w:szCs w:val="24"/>
          <w:vertAlign w:val="superscript"/>
          <w:lang w:val="en-GB"/>
        </w:rPr>
        <w:fldChar w:fldCharType="begin" w:fldLock="1"/>
      </w:r>
      <w:r w:rsidR="00B227A9" w:rsidRPr="007F6B31">
        <w:rPr>
          <w:rFonts w:ascii="Book Antiqua" w:hAnsi="Book Antiqua" w:cs="Arial"/>
          <w:bCs/>
          <w:sz w:val="24"/>
          <w:szCs w:val="24"/>
          <w:vertAlign w:val="superscript"/>
          <w:lang w:val="en-GB"/>
        </w:rPr>
        <w:instrText>ADDIN CSL_CITATION {"citationItems":[{"id":"ITEM-1","itemData":{"DOI":"10.1016/j.jhep.2013.02.014","ISBN":"0168-8278","ISSN":"01688278","PMID":"23485521","abstract":"Cholesteryl ester storage disease (CESD) is caused by deficient lysosomal acid lipase (LAL) activity, predominantly resulting in cholesteryl ester (CE) accumulation, particularly in the liver, spleen, and macrophages throughout the body. The disease is characterized by microvesicular steatosis leading to liver failure, accelerated atherosclerosis and premature demise. Although CESD is rare, it is likely that many patients are unrecognized or misdiagnosed. Here, the findings in 135 CESD patients described in the literature are reviewed. Diagnoses were based on liver biopsies, LAL deficiency and/or LAL gene (LIPA) mutations. Hepatomegaly was present in 99.3% of patients; 74% also had splenomegaly. When reported, most patients had elevated serum total cholesterol, LDL-cholesterol, triglycerides, and transaminases (AST, ALT, or both), while HDL-cholesterol was decreased. All 112 liver biopsied patients had the characteristic pathology, which is progressive, and includes microvesicular steatosis, which leads to fibrosis, micronodular cirrhosis, and ultimately to liver failure. Pathognomonic birefringent CE crystals or their remnant clefts were observed in hepatic cells. Extrahepatic manifestations included portal hypertension, esophageal varices, and accelerated atherosclerosis. Liver failure in 17 reported patients resulted in liver transplantation and/or death. Genotyping identified 31 LIPA mutations in 55 patients; 61% of mutations were the common exon 8 splice-junction mutation (E8SJM-1G&gt;A), for which 18 patients were homozygous. Genotype/phenotype correlations were limited; however, E8SJM-1G&gt;Ahomozygotes typically had early-onset, slowly progressive disease. Supportive treatment included cholestyramine, statins, and, ultimately, liver transplantation. Recombinant LAL replacement was shown to be effective in animal models, and recently, a phase I/II clinical trial demonstrated its safety and indicated its potential metabolic efficacy. © 2013 European Association for the Study of the Liver. Published by Elsevier B.V. All rights reserved.","author":[{"dropping-particle":"","family":"Bernstein","given":"Donna L.","non-dropping-particle":"","parse-names":false,"suffix":""},{"dropping-particle":"","family":"Hülkova","given":"Helena","non-dropping-particle":"","parse-names":false,"suffix":""},{"dropping-particle":"","family":"Bialer","given":"Martin G.","non-dropping-particle":"","parse-names":false,"suffix":""},{"dropping-particle":"","family":"Desnick","given":"Robert J.","non-dropping-particle":"","parse-names":false,"suffix":""}],"container-title":"Journal of Hepatology","id":"ITEM-1","issue":"6","issued":{"date-parts":[["2013","6"]]},"page":"1230-1243","title":"Cholesteryl ester storage disease: Review of the findings in 135 reported patients with an underdiagnosed disease","type":"article-journal","volume":"58"},"uris":["http://www.mendeley.com/documents/?uuid=9be8b44a-fd42-4812-ab39-722fe7bdc933"]}],"mendeley":{"formattedCitation":"&lt;sup&gt;16&lt;/sup&gt;","plainTextFormattedCitation":"16","previouslyFormattedCitation":"&lt;sup&gt;16&lt;/sup&gt;"},"properties":{"noteIndex":0},"schema":"https://github.com/citation-style-language/schema/raw/master/csl-citation.json"}</w:instrText>
      </w:r>
      <w:r w:rsidR="00B227A9" w:rsidRPr="007F6B31">
        <w:rPr>
          <w:rFonts w:ascii="Book Antiqua" w:hAnsi="Book Antiqua" w:cs="Arial"/>
          <w:bCs/>
          <w:sz w:val="24"/>
          <w:szCs w:val="24"/>
          <w:vertAlign w:val="superscript"/>
          <w:lang w:val="en-GB"/>
        </w:rPr>
        <w:fldChar w:fldCharType="separate"/>
      </w:r>
      <w:r w:rsidR="00B227A9" w:rsidRPr="007F6B31">
        <w:rPr>
          <w:rFonts w:ascii="Book Antiqua" w:hAnsi="Book Antiqua" w:cs="Arial"/>
          <w:bCs/>
          <w:noProof/>
          <w:sz w:val="24"/>
          <w:szCs w:val="24"/>
          <w:vertAlign w:val="superscript"/>
          <w:lang w:val="en-GB"/>
        </w:rPr>
        <w:t>16</w:t>
      </w:r>
      <w:r w:rsidR="00B227A9" w:rsidRPr="007F6B31">
        <w:rPr>
          <w:rFonts w:ascii="Book Antiqua" w:hAnsi="Book Antiqua" w:cs="Arial"/>
          <w:bCs/>
          <w:sz w:val="24"/>
          <w:szCs w:val="24"/>
          <w:vertAlign w:val="superscript"/>
          <w:lang w:val="en-GB"/>
        </w:rPr>
        <w:fldChar w:fldCharType="end"/>
      </w:r>
      <w:r w:rsidR="00B227A9" w:rsidRPr="007F6B31">
        <w:rPr>
          <w:rFonts w:ascii="Book Antiqua" w:hAnsi="Book Antiqua" w:cs="Arial"/>
          <w:bCs/>
          <w:sz w:val="24"/>
          <w:szCs w:val="24"/>
          <w:vertAlign w:val="superscript"/>
          <w:lang w:val="en-GB"/>
        </w:rPr>
        <w:t>]</w:t>
      </w:r>
      <w:r w:rsidR="00294832" w:rsidRPr="007F6B31">
        <w:rPr>
          <w:rFonts w:ascii="Book Antiqua" w:hAnsi="Book Antiqua" w:cs="Arial"/>
          <w:bCs/>
          <w:sz w:val="24"/>
          <w:szCs w:val="24"/>
          <w:lang w:val="en-GB"/>
        </w:rPr>
        <w:t>.</w:t>
      </w:r>
      <w:r w:rsidR="00444850" w:rsidRPr="007F6B31">
        <w:rPr>
          <w:rFonts w:ascii="Book Antiqua" w:eastAsia="TimesNewRomanPSMT" w:hAnsi="Book Antiqua" w:cs="Arial"/>
          <w:sz w:val="24"/>
          <w:szCs w:val="24"/>
          <w:lang w:val="en-GB"/>
        </w:rPr>
        <w:t xml:space="preserve"> </w:t>
      </w:r>
      <w:r w:rsidR="00294832" w:rsidRPr="007F6B31">
        <w:rPr>
          <w:rFonts w:ascii="Book Antiqua" w:eastAsia="TimesNewRomanPSMT" w:hAnsi="Book Antiqua" w:cs="Arial"/>
          <w:sz w:val="24"/>
          <w:szCs w:val="24"/>
          <w:lang w:val="en-GB"/>
        </w:rPr>
        <w:t xml:space="preserve">A previous study </w:t>
      </w:r>
      <w:r w:rsidRPr="007F6B31">
        <w:rPr>
          <w:rFonts w:ascii="Book Antiqua" w:eastAsia="TimesNewRomanPSMT" w:hAnsi="Book Antiqua" w:cs="Arial"/>
          <w:sz w:val="24"/>
          <w:szCs w:val="24"/>
          <w:lang w:val="en-GB"/>
        </w:rPr>
        <w:t>assess</w:t>
      </w:r>
      <w:r w:rsidR="00427188" w:rsidRPr="007F6B31">
        <w:rPr>
          <w:rFonts w:ascii="Book Antiqua" w:eastAsia="TimesNewRomanPSMT" w:hAnsi="Book Antiqua" w:cs="Arial"/>
          <w:sz w:val="24"/>
          <w:szCs w:val="24"/>
          <w:lang w:val="en-GB"/>
        </w:rPr>
        <w:t xml:space="preserve">ing </w:t>
      </w:r>
      <w:r w:rsidRPr="007F6B31">
        <w:rPr>
          <w:rFonts w:ascii="Book Antiqua" w:hAnsi="Book Antiqua" w:cs="Arial"/>
          <w:bCs/>
          <w:sz w:val="24"/>
          <w:szCs w:val="24"/>
          <w:lang w:val="en-GB"/>
        </w:rPr>
        <w:t>18 patients with LAL-</w:t>
      </w:r>
      <w:r w:rsidR="00D52970" w:rsidRPr="007F6B31">
        <w:rPr>
          <w:rFonts w:ascii="Book Antiqua" w:hAnsi="Book Antiqua" w:cs="Arial"/>
          <w:bCs/>
          <w:sz w:val="24"/>
          <w:szCs w:val="24"/>
          <w:lang w:val="en-GB"/>
        </w:rPr>
        <w:t>D</w:t>
      </w:r>
      <w:r w:rsidR="00427188" w:rsidRPr="007F6B31">
        <w:rPr>
          <w:rFonts w:ascii="Book Antiqua" w:hAnsi="Book Antiqua" w:cs="Arial"/>
          <w:bCs/>
          <w:sz w:val="24"/>
          <w:szCs w:val="24"/>
          <w:lang w:val="en-GB"/>
        </w:rPr>
        <w:t xml:space="preserve"> who underwent liver transplantation found severe disease progression post-transplant</w:t>
      </w:r>
      <w:r w:rsidR="00B227A9" w:rsidRPr="007F6B31">
        <w:rPr>
          <w:rFonts w:ascii="Book Antiqua" w:hAnsi="Book Antiqua" w:cs="Arial"/>
          <w:bCs/>
          <w:sz w:val="24"/>
          <w:szCs w:val="24"/>
          <w:vertAlign w:val="superscript"/>
          <w:lang w:val="en-GB"/>
        </w:rPr>
        <w:t>[</w:t>
      </w:r>
      <w:r w:rsidR="00B227A9" w:rsidRPr="007F6B31">
        <w:rPr>
          <w:rFonts w:ascii="Book Antiqua" w:hAnsi="Book Antiqua" w:cs="Arial"/>
          <w:bCs/>
          <w:sz w:val="24"/>
          <w:szCs w:val="24"/>
          <w:vertAlign w:val="superscript"/>
          <w:lang w:val="en-GB"/>
        </w:rPr>
        <w:fldChar w:fldCharType="begin" w:fldLock="1"/>
      </w:r>
      <w:r w:rsidR="00B227A9" w:rsidRPr="007F6B31">
        <w:rPr>
          <w:rFonts w:ascii="Book Antiqua" w:hAnsi="Book Antiqua" w:cs="Arial"/>
          <w:bCs/>
          <w:sz w:val="24"/>
          <w:szCs w:val="24"/>
          <w:vertAlign w:val="superscript"/>
          <w:lang w:val="en-GB"/>
        </w:rPr>
        <w:instrText>ADDIN CSL_CITATION {"citationItems":[{"id":"ITEM-1","itemData":{"DOI":"10.1016/j.ymgme.2018.03.010","ISSN":"10967206","abstract":"Lysosomal acid lipase deficiency (LAL-D) results in progressive microvesicular hepatosteatosis, fibrosis, cirrhosis, dyslipidemia, and vascular disease. Interventions available prior to enzyme replacement therapy development, including lipid lowering medications, splenectomy, hematopoietic stem cell and liver transplantation were unsuccessful at preventing multi-systemic disease progression, and were associated with significant morbidity and mortality. We report two sisters, diagnosed in infancy, who succumbed to LAL-D with accelerated disease progression following splenectomy and liver transplantation. The index patient died one year after hematopoietic stem cell transplant and liver transplantation. Her younger sister survived five years post liver-transplantation, complicated by intermittent, acute rejection. Typical LAL-D hepatopathology, including progressive, microvesicular steatosis, foamy macrophage aggregates, vacuolated Kupffer cells, advanced fibrosis and micronodular cirrhosis recurred in the liver allograft. She died before a second liver transplant could occur for decompensated liver failure. Neither patient received sebelipase alfa enzyme replacement therapy, human, recombinant, lysosomal acid lipase enzyme, FDA approved in 2015. Here are reviewed 18 LAL-D post-liver transplantation cases described in the literature. Multi-systemic LAL-D progression occurred in 11 patients (61%) and death in six (33%). These reports demonstrate that liver transplantation may be necessary for LAL-D-associated liver failure, but is not sufficient to prevent disease progression, or liver disease recurrence, since the pathophysiology is predominantly mediated by deficient enzyme activity in bone marrow-derived monocyte-macrophages. Enzyme replacement therapy addresses systemic disease and hepatopathology, potentially improving liver-transplantation outcomes. This is the first systematic review of liver transplantation for LAL-D, and the first account of liver allograft LAL-D-associated hepatopathology recurrence.","author":[{"dropping-particle":"","family":"Bernstein","given":"Donna Lee","non-dropping-particle":"","parse-names":false,"suffix":""},{"dropping-particle":"","family":"Lobritto","given":"Steven","non-dropping-particle":"","parse-names":false,"suffix":""},{"dropping-particle":"","family":"Iuga","given":"Alina","non-dropping-particle":"","parse-names":false,"suffix":""},{"dropping-particle":"","family":"Remotti","given":"Helen","non-dropping-particle":"","parse-names":false,"suffix":""},{"dropping-particle":"","family":"Schiano","given":"Thomas","non-dropping-particle":"","parse-names":false,"suffix":""},{"dropping-particle":"","family":"Fiel","given":"Maria Isabel","non-dropping-particle":"","parse-names":false,"suffix":""},{"dropping-particle":"","family":"Balwani","given":"Manisha","non-dropping-particle":"","parse-names":false,"suffix":""}],"container-title":"Molecular Genetics and Metabolism","id":"ITEM-1","issued":{"date-parts":[["2018"]]},"title":"Lysosomal acid lipase deficiency allograft recurrence and liver failure- clinical outcomes of 18 liver transplantation patients","type":"article"},"uris":["http://www.mendeley.com/documents/?uuid=6b581815-34bb-4363-bfe8-d64900f88d72","http://www.mendeley.com/documents/?uuid=2f985474-3a37-47c7-8ee8-173558efddbd"]}],"mendeley":{"formattedCitation":"&lt;sup&gt;32&lt;/sup&gt;","plainTextFormattedCitation":"32","previouslyFormattedCitation":"&lt;sup&gt;32&lt;/sup&gt;"},"properties":{"noteIndex":0},"schema":"https://github.com/citation-style-language/schema/raw/master/csl-citation.json"}</w:instrText>
      </w:r>
      <w:r w:rsidR="00B227A9" w:rsidRPr="007F6B31">
        <w:rPr>
          <w:rFonts w:ascii="Book Antiqua" w:hAnsi="Book Antiqua" w:cs="Arial"/>
          <w:bCs/>
          <w:sz w:val="24"/>
          <w:szCs w:val="24"/>
          <w:vertAlign w:val="superscript"/>
          <w:lang w:val="en-GB"/>
        </w:rPr>
        <w:fldChar w:fldCharType="separate"/>
      </w:r>
      <w:r w:rsidR="00B227A9" w:rsidRPr="007F6B31">
        <w:rPr>
          <w:rFonts w:ascii="Book Antiqua" w:hAnsi="Book Antiqua" w:cs="Arial"/>
          <w:bCs/>
          <w:noProof/>
          <w:sz w:val="24"/>
          <w:szCs w:val="24"/>
          <w:vertAlign w:val="superscript"/>
          <w:lang w:val="en-GB"/>
        </w:rPr>
        <w:t>32</w:t>
      </w:r>
      <w:r w:rsidR="00B227A9" w:rsidRPr="007F6B31">
        <w:rPr>
          <w:rFonts w:ascii="Book Antiqua" w:hAnsi="Book Antiqua" w:cs="Arial"/>
          <w:bCs/>
          <w:sz w:val="24"/>
          <w:szCs w:val="24"/>
          <w:vertAlign w:val="superscript"/>
          <w:lang w:val="en-GB"/>
        </w:rPr>
        <w:fldChar w:fldCharType="end"/>
      </w:r>
      <w:r w:rsidR="00B227A9" w:rsidRPr="007F6B31">
        <w:rPr>
          <w:rFonts w:ascii="Book Antiqua" w:hAnsi="Book Antiqua" w:cs="Arial"/>
          <w:bCs/>
          <w:sz w:val="24"/>
          <w:szCs w:val="24"/>
          <w:vertAlign w:val="superscript"/>
          <w:lang w:val="en-GB"/>
        </w:rPr>
        <w:t>]</w:t>
      </w:r>
      <w:r w:rsidR="00427188" w:rsidRPr="007F6B31">
        <w:rPr>
          <w:rFonts w:ascii="Book Antiqua" w:hAnsi="Book Antiqua" w:cs="Arial"/>
          <w:bCs/>
          <w:sz w:val="24"/>
          <w:szCs w:val="24"/>
          <w:lang w:val="en-GB"/>
        </w:rPr>
        <w:t>;</w:t>
      </w:r>
      <w:r w:rsidR="00444850" w:rsidRPr="007F6B31">
        <w:rPr>
          <w:rFonts w:ascii="Book Antiqua" w:hAnsi="Book Antiqua" w:cs="Arial"/>
          <w:bCs/>
          <w:sz w:val="24"/>
          <w:szCs w:val="24"/>
          <w:lang w:val="en-GB"/>
        </w:rPr>
        <w:t xml:space="preserve"> six </w:t>
      </w:r>
      <w:r w:rsidR="00135CA9" w:rsidRPr="007F6B31">
        <w:rPr>
          <w:rFonts w:ascii="Book Antiqua" w:hAnsi="Book Antiqua" w:cs="Arial"/>
          <w:bCs/>
          <w:sz w:val="24"/>
          <w:szCs w:val="24"/>
          <w:lang w:val="en-GB"/>
        </w:rPr>
        <w:t xml:space="preserve">of these </w:t>
      </w:r>
      <w:r w:rsidR="00444850" w:rsidRPr="007F6B31">
        <w:rPr>
          <w:rFonts w:ascii="Book Antiqua" w:hAnsi="Book Antiqua" w:cs="Arial"/>
          <w:bCs/>
          <w:sz w:val="24"/>
          <w:szCs w:val="24"/>
          <w:lang w:val="en-GB"/>
        </w:rPr>
        <w:t>patients died.</w:t>
      </w:r>
    </w:p>
    <w:p w14:paraId="693B2227" w14:textId="23004A31" w:rsidR="00444850" w:rsidRPr="007F6B31" w:rsidRDefault="00427188" w:rsidP="001F2C55">
      <w:pPr>
        <w:snapToGrid w:val="0"/>
        <w:spacing w:after="0" w:line="360" w:lineRule="auto"/>
        <w:ind w:firstLineChars="100" w:firstLine="240"/>
        <w:jc w:val="both"/>
        <w:rPr>
          <w:rFonts w:ascii="Book Antiqua" w:eastAsia="TimesNewRomanPSMT" w:hAnsi="Book Antiqua" w:cs="Arial"/>
          <w:sz w:val="24"/>
          <w:szCs w:val="24"/>
          <w:lang w:val="en-GB"/>
        </w:rPr>
      </w:pPr>
      <w:r w:rsidRPr="007F6B31">
        <w:rPr>
          <w:rFonts w:ascii="Book Antiqua" w:eastAsia="TimesNewRomanPSMT" w:hAnsi="Book Antiqua" w:cs="Arial"/>
          <w:sz w:val="24"/>
          <w:szCs w:val="24"/>
          <w:lang w:val="en-GB"/>
        </w:rPr>
        <w:t>The</w:t>
      </w:r>
      <w:r w:rsidR="00444850" w:rsidRPr="007F6B31">
        <w:rPr>
          <w:rFonts w:ascii="Book Antiqua" w:eastAsia="TimesNewRomanPSMT" w:hAnsi="Book Antiqua" w:cs="Arial"/>
          <w:sz w:val="24"/>
          <w:szCs w:val="24"/>
          <w:lang w:val="en-GB"/>
        </w:rPr>
        <w:t xml:space="preserve"> siblings </w:t>
      </w:r>
      <w:r w:rsidRPr="007F6B31">
        <w:rPr>
          <w:rFonts w:ascii="Book Antiqua" w:eastAsia="TimesNewRomanPSMT" w:hAnsi="Book Antiqua" w:cs="Arial"/>
          <w:sz w:val="24"/>
          <w:szCs w:val="24"/>
          <w:lang w:val="en-GB"/>
        </w:rPr>
        <w:t>described in our paper we</w:t>
      </w:r>
      <w:r w:rsidR="00444850" w:rsidRPr="007F6B31">
        <w:rPr>
          <w:rFonts w:ascii="Book Antiqua" w:eastAsia="TimesNewRomanPSMT" w:hAnsi="Book Antiqua" w:cs="Arial"/>
          <w:sz w:val="24"/>
          <w:szCs w:val="24"/>
          <w:lang w:val="en-GB"/>
        </w:rPr>
        <w:t xml:space="preserve">re </w:t>
      </w:r>
      <w:r w:rsidR="001E1B5E" w:rsidRPr="007F6B31">
        <w:rPr>
          <w:rFonts w:ascii="Book Antiqua" w:eastAsia="TimesNewRomanPSMT" w:hAnsi="Book Antiqua" w:cs="Arial"/>
          <w:sz w:val="24"/>
          <w:szCs w:val="24"/>
          <w:lang w:val="en-GB"/>
        </w:rPr>
        <w:t>carrie</w:t>
      </w:r>
      <w:r w:rsidR="00D52970" w:rsidRPr="007F6B31">
        <w:rPr>
          <w:rFonts w:ascii="Book Antiqua" w:eastAsia="TimesNewRomanPSMT" w:hAnsi="Book Antiqua" w:cs="Arial"/>
          <w:sz w:val="24"/>
          <w:szCs w:val="24"/>
          <w:lang w:val="en-GB"/>
        </w:rPr>
        <w:t>r</w:t>
      </w:r>
      <w:r w:rsidR="001E1B5E" w:rsidRPr="007F6B31">
        <w:rPr>
          <w:rFonts w:ascii="Book Antiqua" w:eastAsia="TimesNewRomanPSMT" w:hAnsi="Book Antiqua" w:cs="Arial"/>
          <w:sz w:val="24"/>
          <w:szCs w:val="24"/>
          <w:lang w:val="en-GB"/>
        </w:rPr>
        <w:t>s</w:t>
      </w:r>
      <w:r w:rsidR="00D52970" w:rsidRPr="007F6B31">
        <w:rPr>
          <w:rFonts w:ascii="Book Antiqua" w:eastAsia="TimesNewRomanPSMT" w:hAnsi="Book Antiqua" w:cs="Arial"/>
          <w:sz w:val="24"/>
          <w:szCs w:val="24"/>
          <w:lang w:val="en-GB"/>
        </w:rPr>
        <w:t xml:space="preserve"> of</w:t>
      </w:r>
      <w:r w:rsidR="001E1B5E" w:rsidRPr="007F6B31">
        <w:rPr>
          <w:rFonts w:ascii="Book Antiqua" w:eastAsia="TimesNewRomanPSMT" w:hAnsi="Book Antiqua" w:cs="Arial"/>
          <w:sz w:val="24"/>
          <w:szCs w:val="24"/>
          <w:lang w:val="en-GB"/>
        </w:rPr>
        <w:t xml:space="preserve"> </w:t>
      </w:r>
      <w:r w:rsidR="00444850" w:rsidRPr="007F6B31">
        <w:rPr>
          <w:rFonts w:ascii="Book Antiqua" w:eastAsia="TimesNewRomanPSMT" w:hAnsi="Book Antiqua" w:cs="Arial"/>
          <w:sz w:val="24"/>
          <w:szCs w:val="24"/>
          <w:lang w:val="en-GB"/>
        </w:rPr>
        <w:t>the most common</w:t>
      </w:r>
      <w:r w:rsidR="00D52970" w:rsidRPr="007F6B31">
        <w:rPr>
          <w:rFonts w:ascii="Book Antiqua" w:eastAsia="TimesNewRomanPSMT" w:hAnsi="Book Antiqua" w:cs="Arial"/>
          <w:sz w:val="24"/>
          <w:szCs w:val="24"/>
          <w:lang w:val="en-GB"/>
        </w:rPr>
        <w:t>ly</w:t>
      </w:r>
      <w:r w:rsidR="00444850" w:rsidRPr="007F6B31">
        <w:rPr>
          <w:rFonts w:ascii="Book Antiqua" w:eastAsia="TimesNewRomanPSMT" w:hAnsi="Book Antiqua" w:cs="Arial"/>
          <w:sz w:val="24"/>
          <w:szCs w:val="24"/>
          <w:lang w:val="en-GB"/>
        </w:rPr>
        <w:t xml:space="preserve"> reported </w:t>
      </w:r>
      <w:r w:rsidR="001E1B5E" w:rsidRPr="007F6B31">
        <w:rPr>
          <w:rFonts w:ascii="Book Antiqua" w:eastAsia="TimesNewRomanPSMT" w:hAnsi="Book Antiqua" w:cs="Arial"/>
          <w:sz w:val="24"/>
          <w:szCs w:val="24"/>
          <w:lang w:val="en-GB"/>
        </w:rPr>
        <w:t xml:space="preserve">variant </w:t>
      </w:r>
      <w:r w:rsidR="00444850" w:rsidRPr="007F6B31">
        <w:rPr>
          <w:rFonts w:ascii="Book Antiqua" w:eastAsia="TimesNewRomanPSMT" w:hAnsi="Book Antiqua" w:cs="Arial"/>
          <w:sz w:val="24"/>
          <w:szCs w:val="24"/>
          <w:lang w:val="en-GB"/>
        </w:rPr>
        <w:t>in</w:t>
      </w:r>
      <w:r w:rsidR="00D52970" w:rsidRPr="007F6B31">
        <w:rPr>
          <w:rFonts w:ascii="Book Antiqua" w:eastAsia="TimesNewRomanPSMT" w:hAnsi="Book Antiqua" w:cs="Arial"/>
          <w:sz w:val="24"/>
          <w:szCs w:val="24"/>
          <w:lang w:val="en-GB"/>
        </w:rPr>
        <w:t xml:space="preserve"> the</w:t>
      </w:r>
      <w:r w:rsidR="00444850" w:rsidRPr="007F6B31">
        <w:rPr>
          <w:rFonts w:ascii="Book Antiqua" w:eastAsia="TimesNewRomanPSMT" w:hAnsi="Book Antiqua" w:cs="Arial"/>
          <w:sz w:val="24"/>
          <w:szCs w:val="24"/>
          <w:lang w:val="en-GB"/>
        </w:rPr>
        <w:t xml:space="preserve"> literature, </w:t>
      </w:r>
      <w:r w:rsidR="001E1B5E" w:rsidRPr="007F6B31">
        <w:rPr>
          <w:rFonts w:ascii="Book Antiqua" w:hAnsi="Book Antiqua" w:cs="Arial"/>
          <w:bCs/>
          <w:sz w:val="24"/>
          <w:szCs w:val="24"/>
          <w:lang w:val="en-GB"/>
        </w:rPr>
        <w:t>c.894G&gt;A, (p.Gln298Gln)</w:t>
      </w:r>
      <w:r w:rsidR="001E1B5E" w:rsidRPr="007F6B31">
        <w:rPr>
          <w:rFonts w:ascii="Book Antiqua" w:eastAsia="TimesNewRomanPSMT" w:hAnsi="Book Antiqua" w:cs="Arial"/>
          <w:sz w:val="24"/>
          <w:szCs w:val="24"/>
          <w:lang w:val="en-GB"/>
        </w:rPr>
        <w:t xml:space="preserve"> in a compound heterozygous state</w:t>
      </w:r>
      <w:r w:rsidR="00B227A9" w:rsidRPr="007F6B31">
        <w:rPr>
          <w:rFonts w:ascii="Book Antiqua" w:eastAsia="TimesNewRomanPSMT" w:hAnsi="Book Antiqua" w:cs="Arial"/>
          <w:sz w:val="24"/>
          <w:szCs w:val="24"/>
          <w:vertAlign w:val="superscript"/>
          <w:lang w:val="en-GB"/>
        </w:rPr>
        <w:t>[</w:t>
      </w:r>
      <w:r w:rsidR="00B227A9" w:rsidRPr="007F6B31">
        <w:rPr>
          <w:rFonts w:ascii="Book Antiqua" w:eastAsia="TimesNewRomanPSMT" w:hAnsi="Book Antiqua" w:cs="Arial"/>
          <w:sz w:val="24"/>
          <w:szCs w:val="24"/>
          <w:vertAlign w:val="superscript"/>
          <w:lang w:val="en-GB"/>
        </w:rPr>
        <w:fldChar w:fldCharType="begin" w:fldLock="1"/>
      </w:r>
      <w:r w:rsidR="00B227A9" w:rsidRPr="007F6B31">
        <w:rPr>
          <w:rFonts w:ascii="Book Antiqua" w:eastAsia="TimesNewRomanPSMT" w:hAnsi="Book Antiqua" w:cs="Arial"/>
          <w:sz w:val="24"/>
          <w:szCs w:val="24"/>
          <w:vertAlign w:val="superscript"/>
          <w:lang w:val="en-GB"/>
        </w:rPr>
        <w:instrText>ADDIN CSL_CITATION {"citationItems":[{"id":"ITEM-1","itemData":{"DOI":"10.1097/MPG.0b013e31828b36ac","ISSN":"02772116","PMID":"23403440","abstract":"OBJECTIVE: LIPA gene mutations result in deficiency of lysosomal acid lipase and present phenotypically as Wolman disease or cholesteryl ester storage disease (CESD) depending on the level of deficiency. Patients with CESD may often be misdiagnosed because symptoms may be nonspecific. Symptoms may present in infancy if there is complete loss of lysosomal acid lipase or in early childhood or adulthood when there is partial loss. The purpose of the present study is to review the literature for pediatric cases of CESD to better understand the phenotype of CESD.\\n\\nMETHODS: A PubMed search of all English-language publications from 1966 through June 2012 for pediatric CESD case reports using the following key words CESD, fatty liver, and NAFLD was performed. All of the cases were reviewed and information regarding age, sex, presenting symptoms, and pertinent laboratory tests were recorded.\\n\\nRESULTS: Seventy-one cases were culled from 39 published case reports. Nearly two-thirds of these patients presented with their first symptoms when they were younger than 5 years. Hepatomegaly and splenomegaly were common features. Serum transaminases and lipids were often elevated. Gastrointestinal symptoms were noted in approximately one-third of cases. Two-thirds of patients had liver fibrosis.\\n\\nCONCLUSIONS: CESD has an estimated incidence as high as 1 in 40,000, which means that it is presently underdiagnosed. Education about common symptoms of CESD as well as a higher level of suspicion for screening for CESD will lead to earlier diagnosis. New treatments for CESD including possible enzyme replacement therapy make early diagnosis especially important.","author":[{"dropping-particle":"","family":"Zhang","given":"Bingnan","non-dropping-particle":"","parse-names":false,"suffix":""},{"dropping-particle":"","family":"Porto","given":"Anthony F.","non-dropping-particle":"","parse-names":false,"suffix":""}],"container-title":"Journal of Pediatric Gastroenterology and Nutrition","id":"ITEM-1","issued":{"date-parts":[["2013"]]},"title":"Cholesteryl ester storage disease: Protean presentations of lysosomal acid lipase deficiency","type":"article-journal"},"uris":["http://www.mendeley.com/documents/?uuid=4ff184c8-bf0d-3426-b83d-654f478715f9"]},{"id":"ITEM-2","itemData":{"DOI":"10.2174/2213988501711010001","ISSN":"2213-9885 (Print)","PMID":"28401034","abstract":"Wolman disease (WD) and cholesteryl ester storage disease (CESD) are lysosomal storage diseases (LSDs) caused by a deficiency in lysosomal acid lipase (LAL) due to mutations in the LIPA gene. This enzyme is critical to the proper degradation of cholesterol in the lysosome. LAL function is completely lost in WD while some residual activity remains in CESD. Both are rare diseases with an incidence rate of less than 1/100,000 births for WD and approximate 2.5/100,000 births for CESD. Clinical manifestation of WD includes hepatosplenomegaly, calcified adrenal glands, severe malabsorption and a failure to thrive. As in CESD, histological analysis of WD tissues reveals the accumulation of triglycerides (TGs) and esterified cholesterol (EC) in cellular lysosomes. However, the clinical presentation of CESD is less severe and more variable than WD. This review is to provide an overview of the disease pathophysiology and the current state of therapeutic development for both of WD and CESD. The review will also discuss the application of patient derived iPSCs for further drug discovery.","author":[{"dropping-particle":"","family":"Aguisanda","given":"Francis","non-dropping-particle":"","parse-names":false,"suffix":""},{"dropping-particle":"","family":"Thorne","given":"Natasha","non-dropping-particle":"","parse-names":false,"suffix":""},{"dropping-particle":"","family":"Zheng","given":"Wei","non-dropping-particle":"","parse-names":false,"suffix":""}],"container-title":"Current chemical genomics and translational medicine","id":"ITEM-2","issued":{"date-parts":[["2017"]]},"language":"eng","page":"1-18","publisher-place":"Netherlands","title":"Targeting Wolman Disease and Cholesteryl Ester Storage Disease: Disease Pathogenesis and Therapeutic Development.","type":"article-journal","volume":"11"},"uris":["http://www.mendeley.com/documents/?uuid=1599608a-3b1b-4831-aaa9-c0747ec488b6","http://www.mendeley.com/documents/?uuid=11cad901-be1e-4757-bd3f-c7ace0695387"]}],"mendeley":{"formattedCitation":"&lt;sup&gt;17,33&lt;/sup&gt;","plainTextFormattedCitation":"17,33","previouslyFormattedCitation":"&lt;sup&gt;17,33&lt;/sup&gt;"},"properties":{"noteIndex":0},"schema":"https://github.com/citation-style-language/schema/raw/master/csl-citation.json"}</w:instrText>
      </w:r>
      <w:r w:rsidR="00B227A9" w:rsidRPr="007F6B31">
        <w:rPr>
          <w:rFonts w:ascii="Book Antiqua" w:eastAsia="TimesNewRomanPSMT" w:hAnsi="Book Antiqua" w:cs="Arial"/>
          <w:sz w:val="24"/>
          <w:szCs w:val="24"/>
          <w:vertAlign w:val="superscript"/>
          <w:lang w:val="en-GB"/>
        </w:rPr>
        <w:fldChar w:fldCharType="separate"/>
      </w:r>
      <w:r w:rsidR="00B227A9" w:rsidRPr="007F6B31">
        <w:rPr>
          <w:rFonts w:ascii="Book Antiqua" w:eastAsia="TimesNewRomanPSMT" w:hAnsi="Book Antiqua" w:cs="Arial"/>
          <w:noProof/>
          <w:sz w:val="24"/>
          <w:szCs w:val="24"/>
          <w:vertAlign w:val="superscript"/>
          <w:lang w:val="en-GB"/>
        </w:rPr>
        <w:t>17,33</w:t>
      </w:r>
      <w:r w:rsidR="00B227A9" w:rsidRPr="007F6B31">
        <w:rPr>
          <w:rFonts w:ascii="Book Antiqua" w:eastAsia="TimesNewRomanPSMT" w:hAnsi="Book Antiqua" w:cs="Arial"/>
          <w:sz w:val="24"/>
          <w:szCs w:val="24"/>
          <w:vertAlign w:val="superscript"/>
          <w:lang w:val="en-GB"/>
        </w:rPr>
        <w:fldChar w:fldCharType="end"/>
      </w:r>
      <w:r w:rsidR="00B227A9" w:rsidRPr="007F6B31">
        <w:rPr>
          <w:rFonts w:ascii="Book Antiqua" w:eastAsia="TimesNewRomanPSMT" w:hAnsi="Book Antiqua" w:cs="Arial"/>
          <w:sz w:val="24"/>
          <w:szCs w:val="24"/>
          <w:vertAlign w:val="superscript"/>
          <w:lang w:val="en-GB"/>
        </w:rPr>
        <w:t>]</w:t>
      </w:r>
      <w:r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The other variant</w:t>
      </w:r>
      <w:r w:rsidRPr="007F6B31">
        <w:rPr>
          <w:rFonts w:ascii="Book Antiqua" w:eastAsia="TimesNewRomanPSMT" w:hAnsi="Book Antiqua" w:cs="Arial"/>
          <w:sz w:val="24"/>
          <w:szCs w:val="24"/>
          <w:lang w:val="en-GB"/>
        </w:rPr>
        <w:t xml:space="preserve"> wa</w:t>
      </w:r>
      <w:r w:rsidR="00444850" w:rsidRPr="007F6B31">
        <w:rPr>
          <w:rFonts w:ascii="Book Antiqua" w:eastAsia="TimesNewRomanPSMT" w:hAnsi="Book Antiqua" w:cs="Arial"/>
          <w:sz w:val="24"/>
          <w:szCs w:val="24"/>
          <w:lang w:val="en-GB"/>
        </w:rPr>
        <w:t>s a single base pair deletion</w:t>
      </w:r>
      <w:r w:rsidR="00D52970"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c.482del (p.Asn161Ilefs*19), which has an allele frequency rate of 0.0032%</w:t>
      </w:r>
      <w:r w:rsidR="00B227A9" w:rsidRPr="007F6B31">
        <w:rPr>
          <w:rFonts w:ascii="Book Antiqua" w:eastAsia="TimesNewRomanPSMT" w:hAnsi="Book Antiqua" w:cs="Arial"/>
          <w:sz w:val="24"/>
          <w:szCs w:val="24"/>
          <w:vertAlign w:val="superscript"/>
          <w:lang w:val="en-GB"/>
        </w:rPr>
        <w:t>[</w:t>
      </w:r>
      <w:r w:rsidR="00B227A9" w:rsidRPr="007F6B31">
        <w:rPr>
          <w:rFonts w:ascii="Book Antiqua" w:eastAsia="TimesNewRomanPSMT" w:hAnsi="Book Antiqua" w:cs="Arial"/>
          <w:sz w:val="24"/>
          <w:szCs w:val="24"/>
          <w:vertAlign w:val="superscript"/>
          <w:lang w:val="en-GB"/>
        </w:rPr>
        <w:fldChar w:fldCharType="begin" w:fldLock="1"/>
      </w:r>
      <w:r w:rsidR="00B227A9" w:rsidRPr="007F6B31">
        <w:rPr>
          <w:rFonts w:ascii="Book Antiqua" w:eastAsia="TimesNewRomanPSMT" w:hAnsi="Book Antiqua" w:cs="Arial"/>
          <w:sz w:val="24"/>
          <w:szCs w:val="24"/>
          <w:vertAlign w:val="superscript"/>
          <w:lang w:val="en-GB"/>
        </w:rPr>
        <w:instrText>ADDIN CSL_CITATION {"citationItems":[{"id":"ITEM-1","itemData":{"DOI":"10.1016/j.numecd.2012.05.009","ISSN":"09394753","PMID":"22795295","abstract":"Background and aim: The complete absence of the lysosomal acid lipase (LAL) enzyme function causes Wolman's Disease that is fatal within the first six months of life. Subtotal defects cause Cholesteryl ester storage disease (CESD), an autosomal recessive disorder leading to hepatic steatosis, fibrosis, micronodular cirrhosis, combined hyperlipidemia with low HDL-cholesterol, increased risk for atherosclerosis, premature death. Since the frequency of the Exon 8 splice junction mutation (c.894G&gt;A, E8SJM), the CESD leading mutation, is not rare in the general population (allele frequency 0.0025), we investigated the impact of this mutation on serum lipid profile in E8SJM carriers. Methods and results: We collected E8SJM carriers both form genetic study-population analysis and from Outpatient Lipid Clinics and then we assessed their serum lipid profile. We found thirteen individuals heterozygote for E8SJM. Most of them were Germans, three Spanish and two Italian. We found a significant increase in total cholesterol levels in both sexes with E8SJM mutation, leading to a significant increase in LDL cholesterol in males. Conclusions: Our results show that LAL E8SJM carriers have an alteration in lipid profile with a Polygenic Hypercholesterolemia phenotype, leading to an increase in cardiovascular risk profile. References to electronic databases: lysosomal acid lipase; EC 3.1.1.13. © 2012 Elsevier B.V.","author":[{"dropping-particle":"","family":"Muntoni","given":"Sa","non-dropping-particle":"","parse-names":false,"suffix":""},{"dropping-particle":"","family":"Wiebusch","given":"H.","non-dropping-particle":"","parse-names":false,"suffix":""},{"dropping-particle":"","family":"Jansen-Rust","given":"M.","non-dropping-particle":"","parse-names":false,"suffix":""},{"dropping-particle":"","family":"Rust","given":"S.","non-dropping-particle":"","parse-names":false,"suffix":""},{"dropping-particle":"","family":"Schulte","given":"H.","non-dropping-particle":"","parse-names":false,"suffix":""},{"dropping-particle":"","family":"Berger","given":"K.","non-dropping-particle":"","parse-names":false,"suffix":""},{"dropping-particle":"","family":"Pisciotta","given":"L.","non-dropping-particle":"","parse-names":false,"suffix":""},{"dropping-particle":"","family":"Bertolini","given":"S.","non-dropping-particle":"","parse-names":false,"suffix":""},{"dropping-particle":"","family":"Funke","given":"H.","non-dropping-particle":"","parse-names":false,"suffix":""},{"dropping-particle":"","family":"Seedorf","given":"U.","non-dropping-particle":"","parse-names":false,"suffix":""},{"dropping-particle":"","family":"Assmann","given":"G.","non-dropping-particle":"","parse-names":false,"suffix":""}],"container-title":"Nutrition, Metabolism and Cardiovascular Diseases","id":"ITEM-1","issued":{"date-parts":[["2013"]]},"title":"Heterozygosity for lysosomal acid lipase E8SJM mutation and serum lipid concentrations","type":"article-journal"},"uris":["http://www.mendeley.com/documents/?uuid=3f1dc237-1213-4c9a-b40f-b1582f27baab"]},{"id":"ITEM-2","itemData":{"DOI":"10.1016/j.jhep.2018.09.028","ISSN":"16000641","abstract":"Background &amp; Aims: Lysosomal acid lipase deficiency (LAL-D) is an autosomal recessive condition that may present in a mild form (cholesteryl ester storage disease [CESD]), which mimics non-alcoholic fatty liver disease (NAFLD). It has been suggested that CESD may affect 1 in 40,000 and is under-diagnosed in NAFLD clinics. Therefore, we aimed to estimate the prevalence of LAL-D using analysis of genetic variation in LIPA. Methods: MEDLINE and EMBASE were systematically searched for previously reported disease variants and prevalence estimates. Previous prevalence estimates were meta-analysed. Disease variants in LIPA were annotated with allele frequencies from gnomAD and combined with unreported major functional variants found in humans. Pooled ethnicity-specific prevalences for LAL-D and CESD were calculated using the Hardy-Weinberg equation. Results: Meta-analysis of existing genetic studies estimated the prevalence of LAL-D as 1 per 160,000 (95% CI 1 per 65,025–761,652) using the allele frequency of c.894G&gt;A in LIPA. A total of 98 previously reported disease variants in LIPA were identified, of which 32/98 were present in gnomAD, giving a prevalence of 1 per 307,482 (95% CI 257,672–366,865). Wolman disease was associated with more loss-of-function variants than CESD. When this was combined with 22 previously unreported major functional variants in LIPA identified in humans, the pooled prevalence of LAL-D was 1 per 177,452 (95% CI 149,467–210,683) with a carrier frequency of 1 per 421. The prevalence is lowest in those of East Asian, South Asian, and Finnish ancestry. Conclusion: Using 120 disease variants in LIPA, these data can reassure clinicians that LAL-D is an ultra-rare disorder. Given the therapeutic capability of sebelipase alpha, investigation for LAL-D might be included in second-line metabolic screening in NAFLD. Lay summary: Lysosomal Acid Lipase Deficiency (LAL-D) is a rare genetic condition that can cause severe liver disease, but it is difficult to diagnose and sometimes can look like simple fatty liver. It was not clear how common LAL-D was and whether many cases were being missed. To study this, we searched for all genetic mutations that could cause LAL-D, calculated how common those mutations were, and added them up. This let us estimate that LAL-D affects roughly 1 in 175,000 people. We conclude that LAL-D is a very rare condition, but it is treatable so may be included in a 'second-line’ of tests for causes of fatty liver.","author":[{"dropping-particle":"","family":"Carter","given":"Anna","non-dropping-particle":"","parse-names":false,"suffix":""},{"dropping-particle":"","family":"Brackley","given":"Simon Mark","non-dropping-particle":"","parse-names":false,"suffix":""},{"dropping-particle":"","family":"Gao","given":"Jiali","non-dropping-particle":"","parse-names":false,"suffix":""},{"dropping-particle":"","family":"Mann","given":"Jake Peter","non-dropping-particle":"","parse-names":false,"suffix":""}],"container-title":"Journal of Hepatology","id":"ITEM-2","issued":{"date-parts":[["2019"]]},"title":"The global prevalence and genetic spectrum of lysosomal acid lipase deficiency: A rare condition that mimics NAFLD","type":"article-journal"},"uris":["http://www.mendeley.com/documents/?uuid=99854e27-f3b7-4db2-bca8-c8e6842afb40","http://www.mendeley.com/documents/?uuid=4b48a287-17b1-400d-afa3-f6069d37370d"]}],"mendeley":{"formattedCitation":"&lt;sup&gt;7,34&lt;/sup&gt;","plainTextFormattedCitation":"7,34","previouslyFormattedCitation":"&lt;sup&gt;7,34&lt;/sup&gt;"},"properties":{"noteIndex":0},"schema":"https://github.com/citation-style-language/schema/raw/master/csl-citation.json"}</w:instrText>
      </w:r>
      <w:r w:rsidR="00B227A9" w:rsidRPr="007F6B31">
        <w:rPr>
          <w:rFonts w:ascii="Book Antiqua" w:eastAsia="TimesNewRomanPSMT" w:hAnsi="Book Antiqua" w:cs="Arial"/>
          <w:sz w:val="24"/>
          <w:szCs w:val="24"/>
          <w:vertAlign w:val="superscript"/>
          <w:lang w:val="en-GB"/>
        </w:rPr>
        <w:fldChar w:fldCharType="separate"/>
      </w:r>
      <w:r w:rsidR="00B227A9" w:rsidRPr="007F6B31">
        <w:rPr>
          <w:rFonts w:ascii="Book Antiqua" w:eastAsia="TimesNewRomanPSMT" w:hAnsi="Book Antiqua" w:cs="Arial"/>
          <w:noProof/>
          <w:sz w:val="24"/>
          <w:szCs w:val="24"/>
          <w:vertAlign w:val="superscript"/>
          <w:lang w:val="en-GB"/>
        </w:rPr>
        <w:t>7,34</w:t>
      </w:r>
      <w:r w:rsidR="00B227A9" w:rsidRPr="007F6B31">
        <w:rPr>
          <w:rFonts w:ascii="Book Antiqua" w:eastAsia="TimesNewRomanPSMT" w:hAnsi="Book Antiqua" w:cs="Arial"/>
          <w:sz w:val="24"/>
          <w:szCs w:val="24"/>
          <w:vertAlign w:val="superscript"/>
          <w:lang w:val="en-GB"/>
        </w:rPr>
        <w:fldChar w:fldCharType="end"/>
      </w:r>
      <w:r w:rsidR="00B227A9" w:rsidRPr="007F6B31">
        <w:rPr>
          <w:rFonts w:ascii="Book Antiqua" w:eastAsia="TimesNewRomanPSMT" w:hAnsi="Book Antiqua" w:cs="Arial"/>
          <w:sz w:val="24"/>
          <w:szCs w:val="24"/>
          <w:vertAlign w:val="superscript"/>
          <w:lang w:val="en-GB"/>
        </w:rPr>
        <w:t>]</w:t>
      </w:r>
      <w:r w:rsidR="00135CA9"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w:t>
      </w:r>
      <w:r w:rsidRPr="007F6B31">
        <w:rPr>
          <w:rFonts w:ascii="Book Antiqua" w:eastAsia="TimesNewRomanPSMT" w:hAnsi="Book Antiqua" w:cs="Arial"/>
          <w:sz w:val="24"/>
          <w:szCs w:val="24"/>
          <w:lang w:val="en-GB"/>
        </w:rPr>
        <w:t xml:space="preserve">compared with </w:t>
      </w:r>
      <w:r w:rsidR="00444850" w:rsidRPr="007F6B31">
        <w:rPr>
          <w:rFonts w:ascii="Book Antiqua" w:eastAsia="TimesNewRomanPSMT" w:hAnsi="Book Antiqua" w:cs="Arial"/>
          <w:sz w:val="24"/>
          <w:szCs w:val="24"/>
          <w:lang w:val="en-GB"/>
        </w:rPr>
        <w:t>0.00</w:t>
      </w:r>
      <w:r w:rsidR="001E1B5E" w:rsidRPr="007F6B31">
        <w:rPr>
          <w:rFonts w:ascii="Book Antiqua" w:eastAsia="TimesNewRomanPSMT" w:hAnsi="Book Antiqua" w:cs="Arial"/>
          <w:sz w:val="24"/>
          <w:szCs w:val="24"/>
          <w:lang w:val="en-GB"/>
        </w:rPr>
        <w:t>90</w:t>
      </w:r>
      <w:r w:rsidR="00444850" w:rsidRPr="007F6B31">
        <w:rPr>
          <w:rFonts w:ascii="Book Antiqua" w:eastAsia="TimesNewRomanPSMT" w:hAnsi="Book Antiqua" w:cs="Arial"/>
          <w:sz w:val="24"/>
          <w:szCs w:val="24"/>
          <w:lang w:val="en-GB"/>
        </w:rPr>
        <w:t xml:space="preserve">% for </w:t>
      </w:r>
      <w:r w:rsidR="001E1B5E" w:rsidRPr="007F6B31">
        <w:rPr>
          <w:rFonts w:ascii="Book Antiqua" w:hAnsi="Book Antiqua" w:cs="Arial"/>
          <w:bCs/>
          <w:sz w:val="24"/>
          <w:szCs w:val="24"/>
          <w:lang w:val="en-GB"/>
        </w:rPr>
        <w:t>c.894G&gt;A, (p.Gln298Gln)</w:t>
      </w:r>
      <w:r w:rsidR="00444850" w:rsidRPr="007F6B31">
        <w:rPr>
          <w:rFonts w:ascii="Book Antiqua" w:eastAsia="TimesNewRomanPSMT" w:hAnsi="Book Antiqua" w:cs="Arial"/>
          <w:sz w:val="24"/>
          <w:szCs w:val="24"/>
          <w:lang w:val="en-GB"/>
        </w:rPr>
        <w:t>. This corresponds with the critically low LAL activity of &lt;</w:t>
      </w:r>
      <w:r w:rsidR="00B227A9" w:rsidRPr="007F6B31">
        <w:rPr>
          <w:rFonts w:ascii="Book Antiqua" w:eastAsia="TimesNewRomanPSMT" w:hAnsi="Book Antiqua" w:cs="Arial"/>
          <w:sz w:val="24"/>
          <w:szCs w:val="24"/>
          <w:lang w:val="en-GB"/>
        </w:rPr>
        <w:t xml:space="preserve"> </w:t>
      </w:r>
      <w:r w:rsidR="00444850" w:rsidRPr="007F6B31">
        <w:rPr>
          <w:rFonts w:ascii="Book Antiqua" w:eastAsia="TimesNewRomanPSMT" w:hAnsi="Book Antiqua" w:cs="Arial"/>
          <w:sz w:val="24"/>
          <w:szCs w:val="24"/>
          <w:lang w:val="en-GB"/>
        </w:rPr>
        <w:t>0.01 nmol/</w:t>
      </w:r>
      <w:r w:rsidR="001F2C55" w:rsidRPr="007F6B31">
        <w:rPr>
          <w:rFonts w:ascii="Book Antiqua" w:hAnsi="Book Antiqua" w:cs="Arial"/>
          <w:sz w:val="24"/>
          <w:szCs w:val="24"/>
          <w:lang w:val="en-GB"/>
        </w:rPr>
        <w:t>(punch</w:t>
      </w:r>
      <w:r w:rsidR="001F2C55" w:rsidRPr="007F6B31">
        <w:rPr>
          <w:rFonts w:ascii="Book Antiqua" w:eastAsia="微软雅黑" w:hAnsi="Book Antiqua" w:cs="微软雅黑"/>
          <w:sz w:val="24"/>
          <w:szCs w:val="24"/>
          <w:lang w:eastAsia="ja-JP"/>
        </w:rPr>
        <w:t>∙</w:t>
      </w:r>
      <w:r w:rsidR="001F2C55" w:rsidRPr="007F6B31">
        <w:rPr>
          <w:rFonts w:ascii="Book Antiqua" w:hAnsi="Book Antiqua" w:cs="Arial"/>
          <w:sz w:val="24"/>
          <w:szCs w:val="24"/>
          <w:lang w:val="en-GB"/>
        </w:rPr>
        <w:t>h)</w:t>
      </w:r>
      <w:r w:rsidR="00444850" w:rsidRPr="007F6B31">
        <w:rPr>
          <w:rFonts w:ascii="Book Antiqua" w:eastAsia="TimesNewRomanPSMT" w:hAnsi="Book Antiqua" w:cs="Arial"/>
          <w:sz w:val="24"/>
          <w:szCs w:val="24"/>
          <w:lang w:val="en-GB"/>
        </w:rPr>
        <w:t xml:space="preserve">. </w:t>
      </w:r>
      <w:r w:rsidRPr="007F6B31">
        <w:rPr>
          <w:rFonts w:ascii="Book Antiqua" w:eastAsia="TimesNewRomanPSMT" w:hAnsi="Book Antiqua" w:cs="Arial"/>
          <w:sz w:val="24"/>
          <w:szCs w:val="24"/>
          <w:lang w:val="en-GB"/>
        </w:rPr>
        <w:t xml:space="preserve">In addition, </w:t>
      </w:r>
      <w:r w:rsidR="00D52970" w:rsidRPr="007F6B31">
        <w:rPr>
          <w:rFonts w:ascii="Book Antiqua" w:eastAsia="TimesNewRomanPSMT" w:hAnsi="Book Antiqua" w:cs="Arial"/>
          <w:sz w:val="24"/>
          <w:szCs w:val="24"/>
          <w:lang w:val="en-GB"/>
        </w:rPr>
        <w:t xml:space="preserve">our </w:t>
      </w:r>
      <w:r w:rsidR="00444850" w:rsidRPr="007F6B31">
        <w:rPr>
          <w:rFonts w:ascii="Book Antiqua" w:eastAsia="TimesNewRomanPSMT" w:hAnsi="Book Antiqua" w:cs="Arial"/>
          <w:sz w:val="24"/>
          <w:szCs w:val="24"/>
          <w:lang w:val="en-GB"/>
        </w:rPr>
        <w:t>female</w:t>
      </w:r>
      <w:r w:rsidRPr="007F6B31">
        <w:rPr>
          <w:rFonts w:ascii="Book Antiqua" w:eastAsia="TimesNewRomanPSMT" w:hAnsi="Book Antiqua" w:cs="Arial"/>
          <w:sz w:val="24"/>
          <w:szCs w:val="24"/>
          <w:lang w:val="en-GB"/>
        </w:rPr>
        <w:t xml:space="preserve"> patient</w:t>
      </w:r>
      <w:r w:rsidR="00444850" w:rsidRPr="007F6B31">
        <w:rPr>
          <w:rFonts w:ascii="Book Antiqua" w:eastAsia="TimesNewRomanPSMT" w:hAnsi="Book Antiqua" w:cs="Arial"/>
          <w:sz w:val="24"/>
          <w:szCs w:val="24"/>
          <w:lang w:val="en-GB"/>
        </w:rPr>
        <w:t xml:space="preserve"> had two SNP polymorphisms in </w:t>
      </w:r>
      <w:r w:rsidR="00444850" w:rsidRPr="007F6B31">
        <w:rPr>
          <w:rFonts w:ascii="Book Antiqua" w:eastAsia="TimesNewRomanPSMT" w:hAnsi="Book Antiqua" w:cs="Arial"/>
          <w:iCs/>
          <w:sz w:val="24"/>
          <w:szCs w:val="24"/>
          <w:lang w:val="en-GB"/>
        </w:rPr>
        <w:t>TM6SF2</w:t>
      </w:r>
      <w:r w:rsidR="00444850" w:rsidRPr="007F6B31">
        <w:rPr>
          <w:rFonts w:ascii="Book Antiqua" w:eastAsia="TimesNewRomanPSMT" w:hAnsi="Book Antiqua" w:cs="Arial"/>
          <w:sz w:val="24"/>
          <w:szCs w:val="24"/>
          <w:lang w:val="en-GB"/>
        </w:rPr>
        <w:t xml:space="preserve"> </w:t>
      </w:r>
      <w:r w:rsidR="001F2C55"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Rs641738 </w:t>
      </w:r>
      <w:r w:rsidR="001F2C55"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C/T</w:t>
      </w:r>
      <w:r w:rsidR="001F2C55"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type CC</w:t>
      </w:r>
      <w:r w:rsidR="001F2C55"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and </w:t>
      </w:r>
      <w:r w:rsidR="00444850" w:rsidRPr="007F6B31">
        <w:rPr>
          <w:rFonts w:ascii="Book Antiqua" w:eastAsia="TimesNewRomanPSMT" w:hAnsi="Book Antiqua" w:cs="Arial"/>
          <w:iCs/>
          <w:sz w:val="24"/>
          <w:szCs w:val="24"/>
          <w:lang w:val="en-GB"/>
        </w:rPr>
        <w:t>MBOAT7</w:t>
      </w:r>
      <w:r w:rsidR="00444850" w:rsidRPr="007F6B31">
        <w:rPr>
          <w:rFonts w:ascii="Book Antiqua" w:eastAsia="TimesNewRomanPSMT" w:hAnsi="Book Antiqua" w:cs="Arial"/>
          <w:sz w:val="24"/>
          <w:szCs w:val="24"/>
          <w:lang w:val="en-GB"/>
        </w:rPr>
        <w:t xml:space="preserve"> </w:t>
      </w:r>
      <w:r w:rsidR="001F2C55"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Rs58542926 </w:t>
      </w:r>
      <w:r w:rsidR="001F2C55"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C/T</w:t>
      </w:r>
      <w:r w:rsidR="001F2C55"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type CT</w:t>
      </w:r>
      <w:r w:rsidR="001F2C55" w:rsidRPr="007F6B31">
        <w:rPr>
          <w:rFonts w:ascii="Book Antiqua" w:eastAsia="TimesNewRomanPSMT" w:hAnsi="Book Antiqua" w:cs="Arial"/>
          <w:sz w:val="24"/>
          <w:szCs w:val="24"/>
          <w:lang w:val="en-GB"/>
        </w:rPr>
        <w:t>]</w:t>
      </w:r>
      <w:r w:rsidR="00D52970"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suggesting </w:t>
      </w:r>
      <w:r w:rsidRPr="007F6B31">
        <w:rPr>
          <w:rFonts w:ascii="Book Antiqua" w:eastAsia="TimesNewRomanPSMT" w:hAnsi="Book Antiqua" w:cs="Arial"/>
          <w:sz w:val="24"/>
          <w:szCs w:val="24"/>
          <w:lang w:val="en-GB"/>
        </w:rPr>
        <w:t xml:space="preserve">a significant </w:t>
      </w:r>
      <w:r w:rsidR="00444850" w:rsidRPr="007F6B31">
        <w:rPr>
          <w:rFonts w:ascii="Book Antiqua" w:eastAsia="TimesNewRomanPSMT" w:hAnsi="Book Antiqua" w:cs="Arial"/>
          <w:sz w:val="24"/>
          <w:szCs w:val="24"/>
          <w:lang w:val="en-GB"/>
        </w:rPr>
        <w:t>predispos</w:t>
      </w:r>
      <w:r w:rsidRPr="007F6B31">
        <w:rPr>
          <w:rFonts w:ascii="Book Antiqua" w:eastAsia="TimesNewRomanPSMT" w:hAnsi="Book Antiqua" w:cs="Arial"/>
          <w:sz w:val="24"/>
          <w:szCs w:val="24"/>
          <w:lang w:val="en-GB"/>
        </w:rPr>
        <w:t xml:space="preserve">ition to </w:t>
      </w:r>
      <w:r w:rsidR="00444850" w:rsidRPr="007F6B31">
        <w:rPr>
          <w:rFonts w:ascii="Book Antiqua" w:eastAsia="TimesNewRomanPSMT" w:hAnsi="Book Antiqua" w:cs="Arial"/>
          <w:sz w:val="24"/>
          <w:szCs w:val="24"/>
          <w:lang w:val="en-GB"/>
        </w:rPr>
        <w:t>fatty liver disease development</w:t>
      </w:r>
      <w:r w:rsidR="00E9221E"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in addition to the impact of </w:t>
      </w:r>
      <w:r w:rsidRPr="007F6B31">
        <w:rPr>
          <w:rFonts w:ascii="Book Antiqua" w:eastAsia="TimesNewRomanPSMT" w:hAnsi="Book Antiqua" w:cs="Arial"/>
          <w:sz w:val="24"/>
          <w:szCs w:val="24"/>
          <w:lang w:val="en-GB"/>
        </w:rPr>
        <w:t xml:space="preserve">the pathogenic </w:t>
      </w:r>
      <w:r w:rsidRPr="007F6B31">
        <w:rPr>
          <w:rFonts w:ascii="Book Antiqua" w:eastAsia="TimesNewRomanPSMT" w:hAnsi="Book Antiqua" w:cs="Arial"/>
          <w:i/>
          <w:sz w:val="24"/>
          <w:szCs w:val="24"/>
          <w:lang w:val="en-GB"/>
        </w:rPr>
        <w:t>LIPA</w:t>
      </w:r>
      <w:r w:rsidRPr="007F6B31">
        <w:rPr>
          <w:rFonts w:ascii="Book Antiqua" w:eastAsia="TimesNewRomanPSMT" w:hAnsi="Book Antiqua" w:cs="Arial"/>
          <w:sz w:val="24"/>
          <w:szCs w:val="24"/>
          <w:lang w:val="en-GB"/>
        </w:rPr>
        <w:t xml:space="preserve"> variants</w:t>
      </w:r>
      <w:r w:rsidR="00B227A9" w:rsidRPr="007F6B31">
        <w:rPr>
          <w:rFonts w:ascii="Book Antiqua" w:eastAsia="TimesNewRomanPSMT" w:hAnsi="Book Antiqua" w:cs="Arial"/>
          <w:sz w:val="24"/>
          <w:szCs w:val="24"/>
          <w:vertAlign w:val="superscript"/>
          <w:lang w:val="en-GB"/>
        </w:rPr>
        <w:t>[</w:t>
      </w:r>
      <w:r w:rsidR="00B227A9" w:rsidRPr="007F6B31">
        <w:rPr>
          <w:rFonts w:ascii="Book Antiqua" w:eastAsia="TimesNewRomanPSMT" w:hAnsi="Book Antiqua" w:cs="Arial"/>
          <w:sz w:val="24"/>
          <w:szCs w:val="24"/>
          <w:vertAlign w:val="superscript"/>
          <w:lang w:val="en-GB"/>
        </w:rPr>
        <w:fldChar w:fldCharType="begin" w:fldLock="1"/>
      </w:r>
      <w:r w:rsidR="00B227A9" w:rsidRPr="007F6B31">
        <w:rPr>
          <w:rFonts w:ascii="Book Antiqua" w:eastAsia="TimesNewRomanPSMT" w:hAnsi="Book Antiqua" w:cs="Arial"/>
          <w:sz w:val="24"/>
          <w:szCs w:val="24"/>
          <w:vertAlign w:val="superscript"/>
          <w:lang w:val="en-GB"/>
        </w:rPr>
        <w:instrText>ADDIN CSL_CITATION {"citationItems":[{"id":"ITEM-1","itemData":{"DOI":"10.1038/ncomms12757","ISSN":"20411723","abstract":"© 2016 The Author(s).Cirrhosis likely shares common pathophysiological pathways despite arising from a variety of liver diseases. A recent GWAS identified rs641738, a polymorphism in the MBOAT7 locus, as being associated with the development of alcoholic cirrhosis. Here we explore the role of this variant on liver inflammation and fibrosis in two cohorts of patients with chronic hepatitis C. In 2,051 patients, rs641738 associated with severe hepatic inflammation and increased risk of fibrosis, as well as fast fibrosis progression. At functional level, rs641738 associated with MBOAT7 transcript and protein levels in liver and blood, and with serum inflammatory, oxidative stress and macrophage activation markers. MBOAT7 was expressed in immune cell subsets, implying a role in hepatic inflammation. We conclude that the MBOAT7 rs641738 polymorphism is a novel risk variant for liver inflammation in hepatitis C, and thereby for liver fibrosis.","author":[{"dropping-particle":"","family":"Thabet","given":"Khaled","non-dropping-particle":"","parse-names":false,"suffix":""},{"dropping-particle":"","family":"Asimakopoulos","given":"Anastasia","non-dropping-particle":"","parse-names":false,"suffix":""},{"dropping-particle":"","family":"Shojaei","given":"Maryam","non-dropping-particle":"","parse-names":false,"suffix":""},{"dropping-particle":"","family":"Romero-Gomez","given":"Manuel","non-dropping-particle":"","parse-names":false,"suffix":""},{"dropping-particle":"","family":"Mangia","given":"Alessandra","non-dropping-particle":"","parse-names":false,"suffix":""},{"dropping-particle":"","family":"Irving","given":"William L.","non-dropping-particle":"","parse-names":false,"suffix":""},{"dropping-particle":"","family":"Berg","given":"Thomas","non-dropping-particle":"","parse-names":false,"suffix":""},{"dropping-particle":"","family":"Dore","given":"Gregory J.","non-dropping-particle":"","parse-names":false,"suffix":""},{"dropping-particle":"","family":"Grønbæk","given":"Henning","non-dropping-particle":"","parse-names":false,"suffix":""},{"dropping-particle":"","family":"Sheridan","given":"David","non-dropping-particle":"","parse-names":false,"suffix":""},{"dropping-particle":"","family":"Abate","given":"Maria Lorena","non-dropping-particle":"","parse-names":false,"suffix":""},{"dropping-particle":"","family":"Bugianesi","given":"Elisabetta","non-dropping-particle":"","parse-names":false,"suffix":""},{"dropping-particle":"","family":"Weltman","given":"Martin","non-dropping-particle":"","parse-names":false,"suffix":""},{"dropping-particle":"","family":"Mollison","given":"Lindsay","non-dropping-particle":"","parse-names":false,"suffix":""},{"dropping-particle":"","family":"Cheng","given":"Wendy","non-dropping-particle":"","parse-names":false,"suffix":""},{"dropping-particle":"","family":"Riordan","given":"Stephen","non-dropping-particle":"","parse-names":false,"suffix":""},{"dropping-particle":"","family":"Fischer","given":"Janett","non-dropping-particle":"","parse-names":false,"suffix":""},{"dropping-particle":"","family":"Spengler","given":"Ulrich","non-dropping-particle":"","parse-names":false,"suffix":""},{"dropping-particle":"","family":"Nattermann","given":"Jacob","non-dropping-particle":"","parse-names":false,"suffix":""},{"dropping-particle":"","family":"Wahid","given":"Ahmed","non-dropping-particle":"","parse-names":false,"suffix":""},{"dropping-particle":"","family":"Rojas","given":"Angela","non-dropping-particle":"","parse-names":false,"suffix":""},{"dropping-particle":"","family":"White","given":"Rose","non-dropping-particle":"","parse-names":false,"suffix":""},{"dropping-particle":"","family":"Douglas","given":"Mark W.","non-dropping-particle":"","parse-names":false,"suffix":""},{"dropping-particle":"","family":"McLeod","given":"Duncan","non-dropping-particle":"","parse-names":false,"suffix":""},{"dropping-particle":"","family":"Powell","given":"Elizabeth","non-dropping-particle":"","parse-names":false,"suffix":""},{"dropping-particle":"","family":"Liddle","given":"Christopher","non-dropping-particle":"","parse-names":false,"suffix":""},{"dropping-particle":"","family":"Poorten","given":"David","non-dropping-particle":"Van Der","parse-names":false,"suffix":""},{"dropping-particle":"","family":"George","given":"Jacob","non-dropping-particle":"","parse-names":false,"suffix":""},{"dropping-particle":"","family":"Eslam","given":"Mohammed","non-dropping-particle":"","parse-names":false,"suffix":""},{"dropping-particle":"","family":"Gallego-Duran","given":"Rocio","non-dropping-particle":"","parse-names":false,"suffix":""},{"dropping-particle":"","family":"Applegate","given":"Tanya","non-dropping-particle":"","parse-names":false,"suffix":""},{"dropping-particle":"","family":"Bassendine","given":"Margaret","non-dropping-particle":"","parse-names":false,"suffix":""},{"dropping-particle":"","family":"Rosso","given":"Chiara","non-dropping-particle":"","parse-names":false,"suffix":""},{"dropping-particle":"","family":"Mezzabotta","given":"Lavinia","non-dropping-particle":"","parse-names":false,"suffix":""},{"dropping-particle":"","family":"Leung","given":"Reynold","non-dropping-particle":"","parse-names":false,"suffix":""},{"dropping-particle":"","family":"Malik","given":"Barbara","non-dropping-particle":"","parse-names":false,"suffix":""},{"dropping-particle":"","family":"Matthews","given":"Gail","non-dropping-particle":"","parse-names":false,"suffix":""},{"dropping-particle":"","family":"Grebely","given":"Jason","non-dropping-particle":"","parse-names":false,"suffix":""},{"dropping-particle":"","family":"Fragomeli","given":"Vincenzo","non-dropping-particle":"","parse-names":false,"suffix":""},{"dropping-particle":"","family":"Jonsson","given":"Julie R.","non-dropping-particle":"","parse-names":false,"suffix":""},{"dropping-particle":"","family":"Santaro","given":"Rosanna","non-dropping-particle":"","parse-names":false,"suffix":""}],"container-title":"Nature Communications","id":"ITEM-1","issued":{"date-parts":[["2016"]]},"title":"MBOAT7 rs641738 increases risk of liver inflammation and transition to fibrosis in chronic hepatitis C","type":"article-journal"},"uris":["http://www.mendeley.com/documents/?uuid=8d850674-d5bc-4824-9a35-711360057502","http://www.mendeley.com/documents/?uuid=46ddbb8a-7599-4eda-9aef-084c1753dc89"]},{"id":"ITEM-2","itemData":{"DOI":"10.1002/ijc.31910","ISSN":"10970215","abstract":"© 2018 UICC Few single nucleotide polymorphisms (SNPs) have been reproducibly associated with hepatocellular carcinoma (HCC). Our aim was to test the association between nine SNPs and HCC occurrence. SNPs in genes linked to HCC (DEPDC5, GRIK1, KIF1B, STAT4, MICA, DLC1, DDX18) or to liver damage (PNPLA3-rs738409, TM6SF2-rs58542926) in GWAS were genotyped in discovery cohorts including 1,020 HCC, 2,021 controls with chronic liver disease and 2,484 healthy individuals and replication was performed in prospective cohorts of cirrhotic patients with alcoholic liver disease (ALD, n = 249) and hepatitis C (n = 268). In the discovery cohort, PNPLA3 and TM6SF2 SNPs were associated with HCC (OR = 1.67 [CI95%:1.16–2.40], p = 0.005; OR = 1.45 [CI95%:1.08–1.94], p = 0.01) after adjustment for fibrosis, age, gender and etiology. In contrast, STAT4-rs7574865 was associated with HCC only in HBV infected patients (p = 0.03) and the other tested SNP were not linked with HCC risk. PNPLA3 and TM6SF2 variants were independently associated with HCC in patients with ALD (OR = 3.91 [CI95%:2.52–6.06], p = 1.14E-09; OR = 1.79 [CI95%:1.25–2.56], p = 0.001) but not with other etiologies. PNPLA3 SNP was also significantly associated with HCC developed on a nonfibrotic liver (OR = 2.19 [CI95%:1.22–3.92], p = 0.007). The association of PNPLA3 and TM6SF2 with HCC risk was confirmed in the prospective cohort with ALD. A genetic score including PNPLA3 and TM6SF2 minor alleles showed a progressive significant increased risk of HCC in ALD patients. In conclusion, PNPLA3-rs738409 and TM6SF2-rs58542926 are inherited risk variants of HCC development in patients with ALD in a dose dependent manner. The link between PNPLA3 and HCC on nonfibrotic liver suggests a direct role in liver carcinogenesis.","author":[{"dropping-particle":"","family":"Yang","given":"Jie","non-dropping-particle":"","parse-names":false,"suffix":""},{"dropping-particle":"","family":"Trépo","given":"Eric","non-dropping-particle":"","parse-names":false,"suffix":""},{"dropping-particle":"","family":"Nahon","given":"Pierre","non-dropping-particle":"","parse-names":false,"suffix":""},{"dropping-particle":"","family":"Cao","given":"Qian","non-dropping-particle":"","parse-names":false,"suffix":""},{"dropping-particle":"","family":"Moreno","given":"Christophe","non-dropping-particle":"","parse-names":false,"suffix":""},{"dropping-particle":"","family":"Letouzé","given":"Eric","non-dropping-particle":"","parse-names":false,"suffix":""},{"dropping-particle":"","family":"Imbeaud","given":"Sandrine","non-dropping-particle":"","parse-names":false,"suffix":""},{"dropping-particle":"","family":"Gustot","given":"Thierry","non-dropping-particle":"","parse-names":false,"suffix":""},{"dropping-particle":"","family":"Deviere","given":"Jacques","non-dropping-particle":"","parse-names":false,"suffix":""},{"dropping-particle":"","family":"Debette","given":"Stéphanie","non-dropping-particle":"","parse-names":false,"suffix":""},{"dropping-particle":"","family":"Amouyel","given":"Philippe","non-dropping-particle":"","parse-names":false,"suffix":""},{"dropping-particle":"","family":"Bioulac-Sage","given":"Paulette","non-dropping-particle":"","parse-names":false,"suffix":""},{"dropping-particle":"","family":"Calderaro","given":"Julien","non-dropping-particle":"","parse-names":false,"suffix":""},{"dropping-particle":"","family":"Ganne-Carrié","given":"Nathalie","non-dropping-particle":"","parse-names":false,"suffix":""},{"dropping-particle":"","family":"Laurent","given":"Alexis","non-dropping-particle":"","parse-names":false,"suffix":""},{"dropping-particle":"","family":"Blanc","given":"Jean Frédéric","non-dropping-particle":"","parse-names":false,"suffix":""},{"dropping-particle":"","family":"Guyot","given":"Erwan","non-dropping-particle":"","parse-names":false,"suffix":""},{"dropping-particle":"","family":"Sutton","given":"Angela","non-dropping-particle":"","parse-names":false,"suffix":""},{"dropping-particle":"","family":"Ziol","given":"Marianne","non-dropping-particle":"","parse-names":false,"suffix":""},{"dropping-particle":"","family":"Zucman-Rossi","given":"Jessica","non-dropping-particle":"","parse-names":false,"suffix":""},{"dropping-particle":"","family":"Nault","given":"Jean Charles","non-dropping-particle":"","parse-names":false,"suffix":""}],"container-title":"International Journal of Cancer","id":"ITEM-2","issued":{"date-parts":[["2019"]]},"title":"PNPLA3 and TM6SF2 variants as risk factors of hepatocellular carcinoma across various etiologies and severity of underlying liver diseases","type":"article-journal"},"uris":["http://www.mendeley.com/documents/?uuid=309959e1-1990-4416-8c97-4efbd3b166cd","http://www.mendeley.com/documents/?uuid=ea89017e-0108-4b37-a380-c92517bc701f"]}],"mendeley":{"formattedCitation":"&lt;sup&gt;30,35&lt;/sup&gt;","plainTextFormattedCitation":"30,35","previouslyFormattedCitation":"&lt;sup&gt;30,35&lt;/sup&gt;"},"properties":{"noteIndex":0},"schema":"https://github.com/citation-style-language/schema/raw/master/csl-citation.json"}</w:instrText>
      </w:r>
      <w:r w:rsidR="00B227A9" w:rsidRPr="007F6B31">
        <w:rPr>
          <w:rFonts w:ascii="Book Antiqua" w:eastAsia="TimesNewRomanPSMT" w:hAnsi="Book Antiqua" w:cs="Arial"/>
          <w:sz w:val="24"/>
          <w:szCs w:val="24"/>
          <w:vertAlign w:val="superscript"/>
          <w:lang w:val="en-GB"/>
        </w:rPr>
        <w:fldChar w:fldCharType="separate"/>
      </w:r>
      <w:r w:rsidR="00B227A9" w:rsidRPr="007F6B31">
        <w:rPr>
          <w:rFonts w:ascii="Book Antiqua" w:eastAsia="TimesNewRomanPSMT" w:hAnsi="Book Antiqua" w:cs="Arial"/>
          <w:noProof/>
          <w:sz w:val="24"/>
          <w:szCs w:val="24"/>
          <w:vertAlign w:val="superscript"/>
          <w:lang w:val="en-GB"/>
        </w:rPr>
        <w:t>30,35</w:t>
      </w:r>
      <w:r w:rsidR="00B227A9" w:rsidRPr="007F6B31">
        <w:rPr>
          <w:rFonts w:ascii="Book Antiqua" w:eastAsia="TimesNewRomanPSMT" w:hAnsi="Book Antiqua" w:cs="Arial"/>
          <w:sz w:val="24"/>
          <w:szCs w:val="24"/>
          <w:vertAlign w:val="superscript"/>
          <w:lang w:val="en-GB"/>
        </w:rPr>
        <w:fldChar w:fldCharType="end"/>
      </w:r>
      <w:r w:rsidR="00B227A9" w:rsidRPr="007F6B31">
        <w:rPr>
          <w:rFonts w:ascii="Book Antiqua" w:eastAsia="TimesNewRomanPSMT" w:hAnsi="Book Antiqua" w:cs="Arial"/>
          <w:sz w:val="24"/>
          <w:szCs w:val="24"/>
          <w:vertAlign w:val="superscript"/>
          <w:lang w:val="en-GB"/>
        </w:rPr>
        <w:t>]</w:t>
      </w:r>
      <w:r w:rsidR="00444850" w:rsidRPr="007F6B31">
        <w:rPr>
          <w:rFonts w:ascii="Book Antiqua" w:eastAsia="TimesNewRomanPSMT" w:hAnsi="Book Antiqua" w:cs="Arial"/>
          <w:sz w:val="24"/>
          <w:szCs w:val="24"/>
          <w:lang w:val="en-GB"/>
        </w:rPr>
        <w:t>.</w:t>
      </w:r>
      <w:r w:rsidR="007D44FF" w:rsidRPr="007F6B31">
        <w:rPr>
          <w:rFonts w:ascii="Book Antiqua" w:eastAsia="TimesNewRomanPSMT" w:hAnsi="Book Antiqua" w:cs="Arial"/>
          <w:sz w:val="24"/>
          <w:szCs w:val="24"/>
          <w:lang w:val="en-GB"/>
        </w:rPr>
        <w:t xml:space="preserve"> </w:t>
      </w:r>
      <w:r w:rsidR="00444850" w:rsidRPr="007F6B31">
        <w:rPr>
          <w:rFonts w:ascii="Book Antiqua" w:eastAsia="TimesNewRomanPSMT" w:hAnsi="Book Antiqua" w:cs="Arial"/>
          <w:sz w:val="24"/>
          <w:szCs w:val="24"/>
          <w:lang w:val="en-GB"/>
        </w:rPr>
        <w:t>The male patient ha</w:t>
      </w:r>
      <w:r w:rsidRPr="007F6B31">
        <w:rPr>
          <w:rFonts w:ascii="Book Antiqua" w:eastAsia="TimesNewRomanPSMT" w:hAnsi="Book Antiqua" w:cs="Arial"/>
          <w:sz w:val="24"/>
          <w:szCs w:val="24"/>
          <w:lang w:val="en-GB"/>
        </w:rPr>
        <w:t xml:space="preserve">d </w:t>
      </w:r>
      <w:r w:rsidR="00444850" w:rsidRPr="007F6B31">
        <w:rPr>
          <w:rFonts w:ascii="Book Antiqua" w:eastAsia="TimesNewRomanPSMT" w:hAnsi="Book Antiqua" w:cs="Arial"/>
          <w:sz w:val="24"/>
          <w:szCs w:val="24"/>
          <w:lang w:val="en-GB"/>
        </w:rPr>
        <w:t xml:space="preserve">CG genotype in Rs738409 </w:t>
      </w:r>
      <w:r w:rsidR="001F2C55"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C/G</w:t>
      </w:r>
      <w:r w:rsidR="001F2C55" w:rsidRPr="007F6B31">
        <w:rPr>
          <w:rFonts w:ascii="Book Antiqua" w:eastAsia="TimesNewRomanPSMT" w:hAnsi="Book Antiqua" w:cs="Arial"/>
          <w:sz w:val="24"/>
          <w:szCs w:val="24"/>
          <w:lang w:val="en-GB"/>
        </w:rPr>
        <w:t>)</w:t>
      </w:r>
      <w:r w:rsidR="000C4766"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suggesting an increased risk of fibrosis in alcoholic liver </w:t>
      </w:r>
      <w:proofErr w:type="gramStart"/>
      <w:r w:rsidR="00444850" w:rsidRPr="007F6B31">
        <w:rPr>
          <w:rFonts w:ascii="Book Antiqua" w:eastAsia="TimesNewRomanPSMT" w:hAnsi="Book Antiqua" w:cs="Arial"/>
          <w:sz w:val="24"/>
          <w:szCs w:val="24"/>
          <w:lang w:val="en-GB"/>
        </w:rPr>
        <w:t>disease</w:t>
      </w:r>
      <w:r w:rsidR="00B227A9" w:rsidRPr="007F6B31">
        <w:rPr>
          <w:rFonts w:ascii="Book Antiqua" w:eastAsia="TimesNewRomanPSMT" w:hAnsi="Book Antiqua" w:cs="Arial"/>
          <w:sz w:val="24"/>
          <w:szCs w:val="24"/>
          <w:vertAlign w:val="superscript"/>
          <w:lang w:val="en-GB"/>
        </w:rPr>
        <w:t>[</w:t>
      </w:r>
      <w:proofErr w:type="gramEnd"/>
      <w:r w:rsidR="00B42869" w:rsidRPr="007F6B31">
        <w:rPr>
          <w:rFonts w:ascii="Book Antiqua" w:eastAsia="TimesNewRomanPSMT" w:hAnsi="Book Antiqua" w:cs="Arial"/>
          <w:sz w:val="24"/>
          <w:szCs w:val="24"/>
          <w:vertAlign w:val="superscript"/>
          <w:lang w:val="en-GB"/>
        </w:rPr>
        <w:t>27,30</w:t>
      </w:r>
      <w:r w:rsidR="00B227A9" w:rsidRPr="007F6B31">
        <w:rPr>
          <w:rFonts w:ascii="Book Antiqua" w:eastAsia="TimesNewRomanPSMT" w:hAnsi="Book Antiqua" w:cs="Arial"/>
          <w:sz w:val="24"/>
          <w:szCs w:val="24"/>
          <w:vertAlign w:val="superscript"/>
          <w:lang w:val="en-GB"/>
        </w:rPr>
        <w:t>]</w:t>
      </w:r>
      <w:r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w:t>
      </w:r>
      <w:bookmarkStart w:id="14" w:name="_Hlk29806994"/>
      <w:r w:rsidRPr="007F6B31">
        <w:rPr>
          <w:rFonts w:ascii="Book Antiqua" w:eastAsia="TimesNewRomanPSMT" w:hAnsi="Book Antiqua" w:cs="Arial"/>
          <w:sz w:val="24"/>
          <w:szCs w:val="24"/>
          <w:lang w:val="en-GB"/>
        </w:rPr>
        <w:t>It is possible that the additional genetic assessment of patients with LAL-</w:t>
      </w:r>
      <w:r w:rsidR="00535F13" w:rsidRPr="007F6B31">
        <w:rPr>
          <w:rFonts w:ascii="Book Antiqua" w:eastAsia="TimesNewRomanPSMT" w:hAnsi="Book Antiqua" w:cs="Arial"/>
          <w:sz w:val="24"/>
          <w:szCs w:val="24"/>
          <w:lang w:val="en-GB"/>
        </w:rPr>
        <w:t>D</w:t>
      </w:r>
      <w:r w:rsidR="000C4766" w:rsidRPr="007F6B31">
        <w:rPr>
          <w:rFonts w:ascii="Book Antiqua" w:eastAsia="TimesNewRomanPSMT" w:hAnsi="Book Antiqua" w:cs="Arial"/>
          <w:sz w:val="24"/>
          <w:szCs w:val="24"/>
          <w:lang w:val="en-GB"/>
        </w:rPr>
        <w:t>,</w:t>
      </w:r>
      <w:r w:rsidRPr="007F6B31">
        <w:rPr>
          <w:rFonts w:ascii="Book Antiqua" w:eastAsia="TimesNewRomanPSMT" w:hAnsi="Book Antiqua" w:cs="Arial"/>
          <w:sz w:val="24"/>
          <w:szCs w:val="24"/>
          <w:lang w:val="en-GB"/>
        </w:rPr>
        <w:t xml:space="preserve"> including SNPs associated with liver disease</w:t>
      </w:r>
      <w:r w:rsidR="000C4766" w:rsidRPr="007F6B31">
        <w:rPr>
          <w:rFonts w:ascii="Book Antiqua" w:eastAsia="TimesNewRomanPSMT" w:hAnsi="Book Antiqua" w:cs="Arial"/>
          <w:sz w:val="24"/>
          <w:szCs w:val="24"/>
          <w:lang w:val="en-GB"/>
        </w:rPr>
        <w:t>,</w:t>
      </w:r>
      <w:r w:rsidRPr="007F6B31">
        <w:rPr>
          <w:rFonts w:ascii="Book Antiqua" w:eastAsia="TimesNewRomanPSMT" w:hAnsi="Book Antiqua" w:cs="Arial"/>
          <w:sz w:val="24"/>
          <w:szCs w:val="24"/>
          <w:lang w:val="en-GB"/>
        </w:rPr>
        <w:t xml:space="preserve"> may provide important prognostic information and be an indicator of treatment requirements.</w:t>
      </w:r>
    </w:p>
    <w:bookmarkEnd w:id="14"/>
    <w:p w14:paraId="6251BAC5" w14:textId="0AA58D66" w:rsidR="00444850" w:rsidRPr="007F6B31" w:rsidRDefault="00444850" w:rsidP="001F2C55">
      <w:pPr>
        <w:snapToGrid w:val="0"/>
        <w:spacing w:after="0" w:line="360" w:lineRule="auto"/>
        <w:ind w:firstLineChars="100" w:firstLine="240"/>
        <w:jc w:val="both"/>
        <w:rPr>
          <w:rFonts w:ascii="Book Antiqua" w:eastAsia="TimesNewRomanPSMT" w:hAnsi="Book Antiqua" w:cs="Arial"/>
          <w:sz w:val="24"/>
          <w:szCs w:val="24"/>
          <w:lang w:val="en-GB"/>
        </w:rPr>
      </w:pPr>
      <w:r w:rsidRPr="007F6B31">
        <w:rPr>
          <w:rFonts w:ascii="Book Antiqua" w:eastAsia="TimesNewRomanPSMT" w:hAnsi="Book Antiqua" w:cs="Arial"/>
          <w:sz w:val="24"/>
          <w:szCs w:val="24"/>
          <w:lang w:val="en-GB"/>
        </w:rPr>
        <w:lastRenderedPageBreak/>
        <w:t>The role of LAL-</w:t>
      </w:r>
      <w:r w:rsidR="00535F13" w:rsidRPr="007F6B31">
        <w:rPr>
          <w:rFonts w:ascii="Book Antiqua" w:eastAsia="TimesNewRomanPSMT" w:hAnsi="Book Antiqua" w:cs="Arial"/>
          <w:sz w:val="24"/>
          <w:szCs w:val="24"/>
          <w:lang w:val="en-GB"/>
        </w:rPr>
        <w:t>D</w:t>
      </w:r>
      <w:r w:rsidRPr="007F6B31">
        <w:rPr>
          <w:rFonts w:ascii="Book Antiqua" w:eastAsia="TimesNewRomanPSMT" w:hAnsi="Book Antiqua" w:cs="Arial"/>
          <w:sz w:val="24"/>
          <w:szCs w:val="24"/>
          <w:lang w:val="en-GB"/>
        </w:rPr>
        <w:t xml:space="preserve"> heterozygosity in presenting LAL-</w:t>
      </w:r>
      <w:r w:rsidR="00535F13" w:rsidRPr="007F6B31">
        <w:rPr>
          <w:rFonts w:ascii="Book Antiqua" w:eastAsia="TimesNewRomanPSMT" w:hAnsi="Book Antiqua" w:cs="Arial"/>
          <w:sz w:val="24"/>
          <w:szCs w:val="24"/>
          <w:lang w:val="en-GB"/>
        </w:rPr>
        <w:t>D</w:t>
      </w:r>
      <w:r w:rsidRPr="007F6B31">
        <w:rPr>
          <w:rFonts w:ascii="Book Antiqua" w:eastAsia="TimesNewRomanPSMT" w:hAnsi="Book Antiqua" w:cs="Arial"/>
          <w:sz w:val="24"/>
          <w:szCs w:val="24"/>
          <w:lang w:val="en-GB"/>
        </w:rPr>
        <w:t xml:space="preserve"> phenomena has </w:t>
      </w:r>
      <w:r w:rsidR="000C4766" w:rsidRPr="007F6B31">
        <w:rPr>
          <w:rFonts w:ascii="Book Antiqua" w:eastAsia="TimesNewRomanPSMT" w:hAnsi="Book Antiqua" w:cs="Arial"/>
          <w:sz w:val="24"/>
          <w:szCs w:val="24"/>
          <w:lang w:val="en-GB"/>
        </w:rPr>
        <w:t xml:space="preserve">not </w:t>
      </w:r>
      <w:r w:rsidRPr="007F6B31">
        <w:rPr>
          <w:rFonts w:ascii="Book Antiqua" w:eastAsia="TimesNewRomanPSMT" w:hAnsi="Book Antiqua" w:cs="Arial"/>
          <w:sz w:val="24"/>
          <w:szCs w:val="24"/>
          <w:lang w:val="en-GB"/>
        </w:rPr>
        <w:t xml:space="preserve">yet been defined, and there are </w:t>
      </w:r>
      <w:r w:rsidR="000C4766" w:rsidRPr="007F6B31">
        <w:rPr>
          <w:rFonts w:ascii="Book Antiqua" w:eastAsia="TimesNewRomanPSMT" w:hAnsi="Book Antiqua" w:cs="Arial"/>
          <w:sz w:val="24"/>
          <w:szCs w:val="24"/>
          <w:lang w:val="en-GB"/>
        </w:rPr>
        <w:t xml:space="preserve">few </w:t>
      </w:r>
      <w:r w:rsidRPr="007F6B31">
        <w:rPr>
          <w:rFonts w:ascii="Book Antiqua" w:eastAsia="TimesNewRomanPSMT" w:hAnsi="Book Antiqua" w:cs="Arial"/>
          <w:sz w:val="24"/>
          <w:szCs w:val="24"/>
          <w:lang w:val="en-GB"/>
        </w:rPr>
        <w:t>reports assessing LAL-</w:t>
      </w:r>
      <w:r w:rsidR="00535F13" w:rsidRPr="007F6B31">
        <w:rPr>
          <w:rFonts w:ascii="Book Antiqua" w:eastAsia="TimesNewRomanPSMT" w:hAnsi="Book Antiqua" w:cs="Arial"/>
          <w:sz w:val="24"/>
          <w:szCs w:val="24"/>
          <w:lang w:val="en-GB"/>
        </w:rPr>
        <w:t>D</w:t>
      </w:r>
      <w:r w:rsidRPr="007F6B31">
        <w:rPr>
          <w:rFonts w:ascii="Book Antiqua" w:eastAsia="TimesNewRomanPSMT" w:hAnsi="Book Antiqua" w:cs="Arial"/>
          <w:sz w:val="24"/>
          <w:szCs w:val="24"/>
          <w:lang w:val="en-GB"/>
        </w:rPr>
        <w:t xml:space="preserve"> carriers. </w:t>
      </w:r>
      <w:r w:rsidR="000C4766" w:rsidRPr="007F6B31">
        <w:rPr>
          <w:rFonts w:ascii="Book Antiqua" w:eastAsia="TimesNewRomanPSMT" w:hAnsi="Book Antiqua" w:cs="Arial"/>
          <w:sz w:val="24"/>
          <w:szCs w:val="24"/>
          <w:lang w:val="en-GB"/>
        </w:rPr>
        <w:t>However, w</w:t>
      </w:r>
      <w:r w:rsidRPr="007F6B31">
        <w:rPr>
          <w:rFonts w:ascii="Book Antiqua" w:eastAsia="TimesNewRomanPSMT" w:hAnsi="Book Antiqua" w:cs="Arial"/>
          <w:sz w:val="24"/>
          <w:szCs w:val="24"/>
          <w:lang w:val="en-GB"/>
        </w:rPr>
        <w:t>e found a correlation between heterozygosity and LAL activity.</w:t>
      </w:r>
      <w:r w:rsidR="000665D0" w:rsidRPr="007F6B31">
        <w:rPr>
          <w:rFonts w:ascii="Book Antiqua" w:eastAsia="TimesNewRomanPSMT" w:hAnsi="Book Antiqua" w:cs="Arial"/>
          <w:sz w:val="24"/>
          <w:szCs w:val="24"/>
          <w:lang w:val="en-GB"/>
        </w:rPr>
        <w:t xml:space="preserve"> </w:t>
      </w:r>
      <w:r w:rsidR="00497D42" w:rsidRPr="007F6B31">
        <w:rPr>
          <w:rFonts w:ascii="Book Antiqua" w:eastAsia="TimesNewRomanPSMT" w:hAnsi="Book Antiqua" w:cs="Arial"/>
          <w:sz w:val="24"/>
          <w:szCs w:val="24"/>
          <w:lang w:val="en-GB"/>
        </w:rPr>
        <w:t>Three</w:t>
      </w:r>
      <w:r w:rsidRPr="007F6B31">
        <w:rPr>
          <w:rFonts w:ascii="Book Antiqua" w:eastAsia="TimesNewRomanPSMT" w:hAnsi="Book Antiqua" w:cs="Arial"/>
          <w:sz w:val="24"/>
          <w:szCs w:val="24"/>
          <w:lang w:val="en-GB"/>
        </w:rPr>
        <w:t xml:space="preserve"> </w:t>
      </w:r>
      <w:r w:rsidR="0047011E" w:rsidRPr="007F6B31">
        <w:rPr>
          <w:rFonts w:ascii="Book Antiqua" w:eastAsia="TimesNewRomanPSMT" w:hAnsi="Book Antiqua" w:cs="Arial"/>
          <w:sz w:val="24"/>
          <w:szCs w:val="24"/>
          <w:lang w:val="en-GB"/>
        </w:rPr>
        <w:t xml:space="preserve">heterozygous </w:t>
      </w:r>
      <w:r w:rsidRPr="007F6B31">
        <w:rPr>
          <w:rFonts w:ascii="Book Antiqua" w:eastAsia="TimesNewRomanPSMT" w:hAnsi="Book Antiqua" w:cs="Arial"/>
          <w:sz w:val="24"/>
          <w:szCs w:val="24"/>
          <w:lang w:val="en-GB"/>
        </w:rPr>
        <w:t>family members presented</w:t>
      </w:r>
      <w:r w:rsidR="000C4766" w:rsidRPr="007F6B31">
        <w:rPr>
          <w:rFonts w:ascii="Book Antiqua" w:eastAsia="TimesNewRomanPSMT" w:hAnsi="Book Antiqua" w:cs="Arial"/>
          <w:sz w:val="24"/>
          <w:szCs w:val="24"/>
          <w:lang w:val="en-GB"/>
        </w:rPr>
        <w:t xml:space="preserve"> a</w:t>
      </w:r>
      <w:r w:rsidRPr="007F6B31">
        <w:rPr>
          <w:rFonts w:ascii="Book Antiqua" w:eastAsia="TimesNewRomanPSMT" w:hAnsi="Book Antiqua" w:cs="Arial"/>
          <w:sz w:val="24"/>
          <w:szCs w:val="24"/>
          <w:lang w:val="en-GB"/>
        </w:rPr>
        <w:t xml:space="preserve"> LAL activity value below the reference value of 0.37 nmol/</w:t>
      </w:r>
      <w:r w:rsidR="001F2C55" w:rsidRPr="007F6B31">
        <w:rPr>
          <w:rFonts w:ascii="Book Antiqua" w:hAnsi="Book Antiqua" w:cs="Arial"/>
          <w:sz w:val="24"/>
          <w:szCs w:val="24"/>
          <w:lang w:val="en-GB"/>
        </w:rPr>
        <w:t>(punch</w:t>
      </w:r>
      <w:r w:rsidR="001F2C55" w:rsidRPr="007F6B31">
        <w:rPr>
          <w:rFonts w:ascii="Book Antiqua" w:eastAsia="微软雅黑" w:hAnsi="Book Antiqua" w:cs="微软雅黑"/>
          <w:sz w:val="24"/>
          <w:szCs w:val="24"/>
          <w:lang w:eastAsia="ja-JP"/>
        </w:rPr>
        <w:t>∙</w:t>
      </w:r>
      <w:r w:rsidR="001F2C55" w:rsidRPr="007F6B31">
        <w:rPr>
          <w:rFonts w:ascii="Book Antiqua" w:hAnsi="Book Antiqua" w:cs="Arial"/>
          <w:sz w:val="24"/>
          <w:szCs w:val="24"/>
          <w:lang w:val="en-GB"/>
        </w:rPr>
        <w:t>h)</w:t>
      </w:r>
      <w:r w:rsidR="00497D42" w:rsidRPr="007F6B31">
        <w:rPr>
          <w:rFonts w:ascii="Book Antiqua" w:eastAsia="TimesNewRomanPSMT" w:hAnsi="Book Antiqua" w:cs="Arial"/>
          <w:sz w:val="24"/>
          <w:szCs w:val="24"/>
          <w:lang w:val="en-GB"/>
        </w:rPr>
        <w:t xml:space="preserve"> (Figure 1)</w:t>
      </w:r>
      <w:r w:rsidRPr="007F6B31">
        <w:rPr>
          <w:rFonts w:ascii="Book Antiqua" w:eastAsia="TimesNewRomanPSMT" w:hAnsi="Book Antiqua" w:cs="Arial"/>
          <w:sz w:val="24"/>
          <w:szCs w:val="24"/>
          <w:lang w:val="en-GB"/>
        </w:rPr>
        <w:t xml:space="preserve">. </w:t>
      </w:r>
      <w:r w:rsidR="000665D0" w:rsidRPr="007F6B31">
        <w:rPr>
          <w:rFonts w:ascii="Book Antiqua" w:eastAsia="TimesNewRomanPSMT" w:hAnsi="Book Antiqua" w:cs="Arial"/>
          <w:sz w:val="24"/>
          <w:szCs w:val="24"/>
          <w:lang w:val="en-GB"/>
        </w:rPr>
        <w:t>Two of the</w:t>
      </w:r>
      <w:r w:rsidRPr="007F6B31">
        <w:rPr>
          <w:rFonts w:ascii="Book Antiqua" w:eastAsia="TimesNewRomanPSMT" w:hAnsi="Book Antiqua" w:cs="Arial"/>
          <w:sz w:val="24"/>
          <w:szCs w:val="24"/>
          <w:lang w:val="en-GB"/>
        </w:rPr>
        <w:t xml:space="preserve"> adult </w:t>
      </w:r>
      <w:r w:rsidR="0047011E" w:rsidRPr="007F6B31">
        <w:rPr>
          <w:rFonts w:ascii="Book Antiqua" w:eastAsia="TimesNewRomanPSMT" w:hAnsi="Book Antiqua" w:cs="Arial"/>
          <w:sz w:val="24"/>
          <w:szCs w:val="24"/>
          <w:lang w:val="en-GB"/>
        </w:rPr>
        <w:t xml:space="preserve">heterozygous </w:t>
      </w:r>
      <w:r w:rsidRPr="007F6B31">
        <w:rPr>
          <w:rFonts w:ascii="Book Antiqua" w:eastAsia="TimesNewRomanPSMT" w:hAnsi="Book Antiqua" w:cs="Arial"/>
          <w:sz w:val="24"/>
          <w:szCs w:val="24"/>
          <w:lang w:val="en-GB"/>
        </w:rPr>
        <w:t>family members had moderate steatosis, one of them</w:t>
      </w:r>
      <w:r w:rsidR="000C4766" w:rsidRPr="007F6B31">
        <w:rPr>
          <w:rFonts w:ascii="Book Antiqua" w:eastAsia="TimesNewRomanPSMT" w:hAnsi="Book Antiqua" w:cs="Arial"/>
          <w:sz w:val="24"/>
          <w:szCs w:val="24"/>
          <w:lang w:val="en-GB"/>
        </w:rPr>
        <w:t xml:space="preserve"> verified</w:t>
      </w:r>
      <w:r w:rsidRPr="007F6B31">
        <w:rPr>
          <w:rFonts w:ascii="Book Antiqua" w:eastAsia="TimesNewRomanPSMT" w:hAnsi="Book Antiqua" w:cs="Arial"/>
          <w:sz w:val="24"/>
          <w:szCs w:val="24"/>
          <w:lang w:val="en-GB"/>
        </w:rPr>
        <w:t xml:space="preserve"> with</w:t>
      </w:r>
      <w:r w:rsidR="000C4766" w:rsidRPr="007F6B31">
        <w:rPr>
          <w:rFonts w:ascii="Book Antiqua" w:eastAsia="TimesNewRomanPSMT" w:hAnsi="Book Antiqua" w:cs="Arial"/>
          <w:sz w:val="24"/>
          <w:szCs w:val="24"/>
          <w:lang w:val="en-GB"/>
        </w:rPr>
        <w:t xml:space="preserve"> a </w:t>
      </w:r>
      <w:r w:rsidRPr="007F6B31">
        <w:rPr>
          <w:rFonts w:ascii="Book Antiqua" w:eastAsia="TimesNewRomanPSMT" w:hAnsi="Book Antiqua" w:cs="Arial"/>
          <w:sz w:val="24"/>
          <w:szCs w:val="24"/>
          <w:lang w:val="en-GB"/>
        </w:rPr>
        <w:t xml:space="preserve">liver biopsy showing severe steatosis and inflammation. </w:t>
      </w:r>
      <w:r w:rsidR="00427188" w:rsidRPr="007F6B31">
        <w:rPr>
          <w:rFonts w:ascii="Book Antiqua" w:eastAsia="TimesNewRomanPSMT" w:hAnsi="Book Antiqua" w:cs="Arial"/>
          <w:sz w:val="24"/>
          <w:szCs w:val="24"/>
          <w:lang w:val="en-GB"/>
        </w:rPr>
        <w:t>It is possible that LAL activity can be used as a biomarker in heterozygote</w:t>
      </w:r>
      <w:r w:rsidR="0047011E" w:rsidRPr="007F6B31">
        <w:rPr>
          <w:rFonts w:ascii="Book Antiqua" w:eastAsia="TimesNewRomanPSMT" w:hAnsi="Book Antiqua" w:cs="Arial"/>
          <w:sz w:val="24"/>
          <w:szCs w:val="24"/>
          <w:lang w:val="en-GB"/>
        </w:rPr>
        <w:t>s</w:t>
      </w:r>
      <w:r w:rsidR="00B227A9" w:rsidRPr="007F6B31">
        <w:rPr>
          <w:rFonts w:ascii="Book Antiqua" w:eastAsia="TimesNewRomanPSMT" w:hAnsi="Book Antiqua" w:cs="Arial"/>
          <w:sz w:val="24"/>
          <w:szCs w:val="24"/>
          <w:vertAlign w:val="superscript"/>
          <w:lang w:val="en-GB"/>
        </w:rPr>
        <w:t>[</w:t>
      </w:r>
      <w:r w:rsidR="00B227A9" w:rsidRPr="007F6B31">
        <w:rPr>
          <w:rFonts w:ascii="Book Antiqua" w:eastAsia="TimesNewRomanPSMT" w:hAnsi="Book Antiqua" w:cs="Arial"/>
          <w:sz w:val="24"/>
          <w:szCs w:val="24"/>
          <w:vertAlign w:val="superscript"/>
          <w:lang w:val="en-GB"/>
        </w:rPr>
        <w:fldChar w:fldCharType="begin" w:fldLock="1"/>
      </w:r>
      <w:r w:rsidR="00B227A9" w:rsidRPr="007F6B31">
        <w:rPr>
          <w:rFonts w:ascii="Book Antiqua" w:eastAsia="TimesNewRomanPSMT" w:hAnsi="Book Antiqua" w:cs="Arial"/>
          <w:sz w:val="24"/>
          <w:szCs w:val="24"/>
          <w:vertAlign w:val="superscript"/>
          <w:lang w:val="en-GB"/>
        </w:rPr>
        <w:instrText>ADDIN CSL_CITATION {"citationItems":[{"id":"ITEM-1","itemData":{"DOI":"10.1016/j.jhep.2013.02.014","ISBN":"0168-8278","ISSN":"01688278","PMID":"23485521","abstract":"Cholesteryl ester storage disease (CESD) is caused by deficient lysosomal acid lipase (LAL) activity, predominantly resulting in cholesteryl ester (CE) accumulation, particularly in the liver, spleen, and macrophages throughout the body. The disease is characterized by microvesicular steatosis leading to liver failure, accelerated atherosclerosis and premature demise. Although CESD is rare, it is likely that many patients are unrecognized or misdiagnosed. Here, the findings in 135 CESD patients described in the literature are reviewed. Diagnoses were based on liver biopsies, LAL deficiency and/or LAL gene (LIPA) mutations. Hepatomegaly was present in 99.3% of patients; 74% also had splenomegaly. When reported, most patients had elevated serum total cholesterol, LDL-cholesterol, triglycerides, and transaminases (AST, ALT, or both), while HDL-cholesterol was decreased. All 112 liver biopsied patients had the characteristic pathology, which is progressive, and includes microvesicular steatosis, which leads to fibrosis, micronodular cirrhosis, and ultimately to liver failure. Pathognomonic birefringent CE crystals or their remnant clefts were observed in hepatic cells. Extrahepatic manifestations included portal hypertension, esophageal varices, and accelerated atherosclerosis. Liver failure in 17 reported patients resulted in liver transplantation and/or death. Genotyping identified 31 LIPA mutations in 55 patients; 61% of mutations were the common exon 8 splice-junction mutation (E8SJM-1G&gt;A), for which 18 patients were homozygous. Genotype/phenotype correlations were limited; however, E8SJM-1G&gt;Ahomozygotes typically had early-onset, slowly progressive disease. Supportive treatment included cholestyramine, statins, and, ultimately, liver transplantation. Recombinant LAL replacement was shown to be effective in animal models, and recently, a phase I/II clinical trial demonstrated its safety and indicated its potential metabolic efficacy. © 2013 European Association for the Study of the Liver. Published by Elsevier B.V. All rights reserved.","author":[{"dropping-particle":"","family":"Bernstein","given":"Donna L.","non-dropping-particle":"","parse-names":false,"suffix":""},{"dropping-particle":"","family":"Hülkova","given":"Helena","non-dropping-particle":"","parse-names":false,"suffix":""},{"dropping-particle":"","family":"Bialer","given":"Martin G.","non-dropping-particle":"","parse-names":false,"suffix":""},{"dropping-particle":"","family":"Desnick","given":"Robert J.","non-dropping-particle":"","parse-names":false,"suffix":""}],"container-title":"Journal of Hepatology","id":"ITEM-1","issue":"6","issued":{"date-parts":[["2013","6"]]},"page":"1230-1243","title":"Cholesteryl ester storage disease: Review of the findings in 135 reported patients with an underdiagnosed disease","type":"article-journal","volume":"58"},"uris":["http://www.mendeley.com/documents/?uuid=9be8b44a-fd42-4812-ab39-722fe7bdc933"]},{"id":"ITEM-2","itemData":{"DOI":"10.3748/wjg.v25.i30.4172","ISSN":"22192840","abstract":"Lysosomal acid lipase (LAL) plays a key role in intracellular lipid metabolism. Reduced LAL activity promotes increased multi-organ lysosomal cholesterol ester storage, as observed in two recessive autosomal genetic diseases, Wolman disease and Cholesterol ester storage disease. Severe liver steatosis and accelerated liver fibrosis are common features in patients with genetic LAL deficiency. By contrast, few reliable data are available on the modulation of LAL activity in vivo and on the epigenetic and metabolic factors capable of regulating its activity in subjects without homozygous mutations of the Lipase A gene. In the last few years, a less severe and non-genetic reduction of LAL activity was reported in children and adults with non-alcoholic fatty liver disease (NAFLD), suggesting a possible role of LAL reduction in the pathogenesis and progression of the disease. Patients with NAFLD show a significant, progressive reduction of LAL activity from simple steatosis to non-alcoholic steatohepatitis and cryptogenic cirrhosis. Among cirrhosis of different etiologies, those with cryptogenic cirrhosis show the most significant reductions of LAL activity. These findings suggest that the modulation of LAL activity may become a possible new therapeutic target for patients with more advanced forms of NAFLD. Moreover, the measurement of LAL activity may represent a possible new marker of disease severity in this clinical setting.","author":[{"dropping-particle":"","family":"Baratta","given":"Francesco","non-dropping-particle":"","parse-names":false,"suffix":""},{"dropping-particle":"","family":"Pastori","given":"Daniele","non-dropping-particle":"","parse-names":false,"suffix":""},{"dropping-particle":"","family":"Ferro","given":"Domenico","non-dropping-particle":"","parse-names":false,"suffix":""},{"dropping-particle":"","family":"Carluccio","given":"Giovanna","non-dropping-particle":"","parse-names":false,"suffix":""},{"dropping-particle":"","family":"Tozzi","given":"Giulia","non-dropping-particle":"","parse-names":false,"suffix":""},{"dropping-particle":"","family":"Angelico","given":"Francesco","non-dropping-particle":"","parse-names":false,"suffix":""},{"dropping-particle":"","family":"Violi","given":"Francesco","non-dropping-particle":"","parse-names":false,"suffix":""},{"dropping-particle":"","family":"Ben","given":"Maria","non-dropping-particle":"Del","parse-names":false,"suffix":""}],"container-title":"World Journal of Gastroenterology","id":"ITEM-2","issued":{"date-parts":[["2019"]]},"title":"Reduced lysosomal acid lipase activity: A new marker of liver disease severity across the clinical continuum of non-alcoholic fatty liver disease?","type":"article"},"uris":["http://www.mendeley.com/documents/?uuid=6653b773-066d-418e-af27-277bb63fb2cf"]},{"id":"ITEM-3","itemData":{"DOI":"10.1016/j.atherosclerosis.2019.06.356","ISSN":"00219150","abstract":"Background and Aims: Lysosomal acid lipase (LAL) is a key enzyme in intracellular cholesterol trafficking and LAL deficiency is associated with fatty liver. A previous study showed a correlation between serum LAL activity and histological fibrosis stage in child with non-alcoholic fatty liver disease (NAFLD). Aim of the study was to investigate the association between serum LAL activity and liver fibrosis in adult patients with different degree of NAFLD Methods: We consecutively screened outpatients referred to the internal medicine clinic of Policlinico Umberto I – Sapienza in Rome. We enrolled 643 patients with no history of alcohol abuse, negative for HBV and HCV, and not using steatogenic drugs. Non-cirrhotic patients were screened with liver ultrasonography (US). Patients with persistent liver enzyme elevation (&gt; 6 months) underwent to liver biopsy. Fib-4 were calculated. Patients with Fib-4&gt;3.25 were considered cirrhotic. Patients with Fib-4&lt;1.45 Were defined as “non-fibrotic patients”. Serum LAL activity was tested on dried blood spot Results: 60 patients were cirrhotic, 60 had NASH, 453 had simple steatosis, and 70 didn’t have steatosis at US. LAL activity in these groups was 0.47 [0.37-0.65] vs 0.77 [0.61-1.05] vs 0.90 [0.67-1.18] vs 0.95 [0.73-1.21] nmol/spot/h, respectively (p&lt;0.001). LAL activity was 0.93 [0.70-1.20] and 0.48 [0.39-0.72] in non-fibrotic patients and in cirrhotic, respectively (p&lt;0.001). At multivariate analysis cirrhosis correlates with sex (female) OR: 0.515 [0.271-0.978], diabetes OR: 3.971 [2.208-7.141] and LAL activity OR: 0.008 [0.002-0.030]. Conclusions: LAL activity correlates inversely with liver fibrosis, suggesting a possible role of impaired intracellular cholesterol trafficking in NAFLD pathogenesis and progression","author":[{"dropping-particle":"","family":"Baratta","given":"F.","non-dropping-particle":"","parse-names":false,"suffix":""},{"dropping-particle":"","family":"Pastori","given":"D.","non-dropping-particle":"","parse-names":false,"suffix":""},{"dropping-particle":"","family":"Tozzi","given":"G.","non-dropping-particle":"","parse-names":false,"suffix":""},{"dropping-particle":"","family":"Corradini","given":"S. Ginanni","non-dropping-particle":"","parse-names":false,"suffix":""},{"dropping-particle":"","family":"Violi","given":"F.","non-dropping-particle":"","parse-names":false,"suffix":""},{"dropping-particle":"","family":"Angelico","given":"F.","non-dropping-particle":"","parse-names":false,"suffix":""},{"dropping-particle":"","family":"Ben","given":"M.","non-dropping-particle":"Del","parse-names":false,"suffix":""}],"container-title":"Atherosclerosis","id":"ITEM-3","issued":{"date-parts":[["2019"]]},"title":"Lysosomal Acid Lipase Activity And Hepatic Fibrosis In Non-Alcoholic Fatty Liver Disease","type":"article-journal"},"uris":["http://www.mendeley.com/documents/?uuid=0ab5d33a-2a1b-4fc8-a2e0-461196530afb"]},{"id":"ITEM-4","itemData":{"DOI":"10.1016/j.atherosclerosis.2017.03.038","ISSN":"18791484","abstract":"Background and aims Blood lysosomal acid lipase (LAL) is reduced in non-alcoholic steatohepatitis, which is the major cause of cryptogenic cirrhosis (CC); few data on LAL activity in CC do exist. We investigated LAL activity in a cohort of patients with liver cirrhosis. Methods This is a multicentre cohort study including 274 patients with liver cirrhosis of different aetiology from 19 centres of Internal Medicine, Gastroenterology and Hepatology distributed throughout Italy. Blood LAL activity (nmol/spot/h) was measured with dried blood spot extracts using Lalistat 2. Results Overall, 133 patients had CC, and 141 patients had cirrhosis by other causes (61 viral, 53 alcoholic, 20 alcoholic + viral, 7 autoimmune). Mean age was 64.2 ± 13.4 years, and 28.5% were women. Patients with CC were older compared to other aetiology-cirrhosis, with a lower Child-Turcotte-Pugh (CTP, p=0.003) and MELD (p=0.009) score, and a higher prevalence of cardio-metabolic risk factors and previous ischemic events. In the whole cohort, median LAL activity value was 0.58 nmol/spot/h, 0.49 and 0.65 in the groups of CC and known-aetiology cirrhosis, respectively (p=0.002). The difference remained significant after adjustment for white blood cells count (p=0.001). Multivariable linear regression analysis showed that CC (vs. known aetiology, Beta = −0.144, p=0.018), platelet count (Beta = 0.398, p &lt; 0.001) and CTP score (Beta = −0.133, p=0.022) were associated with log-LAL activity. Similar results were found using MELD as covariate. Conclusions We found a marked reduction of LAL activity in patients with cryptogenic cirrhosis compared to the other known aetiologies. A prospective study will clarify the role of LAL in chronic liver diseases.","author":[{"dropping-particle":"","family":"Angelico","given":"Francesco","non-dropping-particle":"","parse-names":false,"suffix":""},{"dropping-particle":"","family":"Corradini","given":"Stefano Ginanni","non-dropping-particle":"","parse-names":false,"suffix":""},{"dropping-particle":"","family":"Pastori","given":"Daniele","non-dropping-particle":"","parse-names":false,"suffix":""},{"dropping-particle":"","family":"Fargion","given":"Silvia","non-dropping-particle":"","parse-names":false,"suffix":""},{"dropping-particle":"","family":"Fracanzani","given":"Anna Ludovica","non-dropping-particle":"","parse-names":false,"suffix":""},{"dropping-particle":"","family":"Angelico","given":"Mario","non-dropping-particle":"","parse-names":false,"suffix":""},{"dropping-particle":"","family":"Bolondi","given":"Luigi","non-dropping-particle":"","parse-names":false,"suffix":""},{"dropping-particle":"","family":"Tozzi","given":"Giulia","non-dropping-particle":"","parse-names":false,"suffix":""},{"dropping-particle":"","family":"Pujatti","given":"Pietro Luigi","non-dropping-particle":"","parse-names":false,"suffix":""},{"dropping-particle":"","family":"Labbadia","given":"Giancarlo","non-dropping-particle":"","parse-names":false,"suffix":""},{"dropping-particle":"","family":"Corazza","given":"Gino Roberto","non-dropping-particle":"","parse-names":false,"suffix":""},{"dropping-particle":"","family":"Averna","given":"Maurizio","non-dropping-particle":"","parse-names":false,"suffix":""},{"dropping-particle":"","family":"Perticone","given":"Francesco","non-dropping-particle":"","parse-names":false,"suffix":""},{"dropping-particle":"","family":"Croce","given":"Giuseppe","non-dropping-particle":"","parse-names":false,"suffix":""},{"dropping-particle":"","family":"Persico","given":"Marcello","non-dropping-particle":"","parse-names":false,"suffix":""},{"dropping-particle":"","family":"Bucci","given":"Tommaso","non-dropping-particle":"","parse-names":false,"suffix":""},{"dropping-particle":"","family":"Baratta","given":"Francesco","non-dropping-particle":"","parse-names":false,"suffix":""},{"dropping-particle":"","family":"Polimeni","given":"Licia","non-dropping-particle":"","parse-names":false,"suffix":""},{"dropping-particle":"","family":"Ben","given":"Maria","non-dropping-particle":"Del","parse-names":false,"suffix":""},{"dropping-particle":"","family":"Violi","given":"Francesco","non-dropping-particle":"","parse-names":false,"suffix":""},{"dropping-particle":"","family":"Basili","given":"Stefania","non-dropping-particle":"","parse-names":false,"suffix":""},{"dropping-particle":"","family":"Raparelli","given":"Valeria","non-dropping-particle":"","parse-names":false,"suffix":""},{"dropping-particle":"","family":"Napoleone","given":"Laura","non-dropping-particle":"","parse-names":false,"suffix":""},{"dropping-particle":"","family":"Ferri","given":"Flaminia","non-dropping-particle":"","parse-names":false,"suffix":""},{"dropping-particle":"","family":"Pellone","given":"Monica","non-dropping-particle":"","parse-names":false,"suffix":""},{"dropping-particle":"","family":"Mischitelli","given":"Monica","non-dropping-particle":"","parse-names":false,"suffix":""},{"dropping-particle":"","family":"Parlati","given":"Lucia","non-dropping-particle":"","parse-names":false,"suffix":""},{"dropping-particle":"","family":"D'Amico","given":"Jessica","non-dropping-particle":"","parse-names":false,"suffix":""},{"dropping-particle":"","family":"Colzi","given":"Marina","non-dropping-particle":"","parse-names":false,"suffix":""},{"dropping-particle":"","family":"Andreozzi","given":"Paola","non-dropping-particle":"","parse-names":false,"suffix":""},{"dropping-particle":"","family":"Masotti","given":"Michela","non-dropping-particle":"","parse-names":false,"suffix":""},{"dropping-particle":"","family":"Bergamaschi","given":"Gaetano","non-dropping-particle":"","parse-names":false,"suffix":""},{"dropping-particle":"","family":"Santopaolo","given":"Francesco","non-dropping-particle":"","parse-names":false,"suffix":""},{"dropping-particle":"","family":"Francioso","given":"Simona","non-dropping-particle":"","parse-names":false,"suffix":""},{"dropping-particle":"","family":"Faedo","given":"Alessandra","non-dropping-particle":"","parse-names":false,"suffix":""},{"dropping-particle":"","family":"Andriulli","given":"Angelo","non-dropping-particle":"","parse-names":false,"suffix":""},{"dropping-particle":"","family":"Ippolito","given":"Antonio M.","non-dropping-particle":"","parse-names":false,"suffix":""},{"dropping-particle":"","family":"Tovoli","given":"Francesco","non-dropping-particle":"","parse-names":false,"suffix":""},{"dropping-particle":"","family":"Davì","given":"Giovanni","non-dropping-particle":"","parse-names":false,"suffix":""},{"dropping-particle":"","family":"Michele","given":"Dario","non-dropping-particle":"Di","parse-names":false,"suffix":""},{"dropping-particle":"","family":"Giammanco","given":"Antonina","non-dropping-particle":"","parse-names":false,"suffix":""},{"dropping-particle":"","family":"Iuliano","given":"Luigi","non-dropping-particle":"","parse-names":false,"suffix":""},{"dropping-particle":"","family":"Ciacciarelli","given":"Marco","non-dropping-particle":"","parse-names":false,"suffix":""}],"container-title":"Atherosclerosis","id":"ITEM-4","issued":{"date-parts":[["2017"]]},"title":"Severe reduction of blood lysosomal acid lipase activity in cryptogenic cirrhosis: A nationwide multicentre cohort study","type":"article-journal"},"uris":["http://www.mendeley.com/documents/?uuid=513a937f-1c07-45c0-8086-d680b47460a9"]}],"mendeley":{"formattedCitation":"&lt;sup&gt;16,37–39&lt;/sup&gt;","plainTextFormattedCitation":"16,37–39","previouslyFormattedCitation":"&lt;sup&gt;16,37–39&lt;/sup&gt;"},"properties":{"noteIndex":0},"schema":"https://github.com/citation-style-language/schema/raw/master/csl-citation.json"}</w:instrText>
      </w:r>
      <w:r w:rsidR="00B227A9" w:rsidRPr="007F6B31">
        <w:rPr>
          <w:rFonts w:ascii="Book Antiqua" w:eastAsia="TimesNewRomanPSMT" w:hAnsi="Book Antiqua" w:cs="Arial"/>
          <w:sz w:val="24"/>
          <w:szCs w:val="24"/>
          <w:vertAlign w:val="superscript"/>
          <w:lang w:val="en-GB"/>
        </w:rPr>
        <w:fldChar w:fldCharType="separate"/>
      </w:r>
      <w:r w:rsidR="00B227A9" w:rsidRPr="007F6B31">
        <w:rPr>
          <w:rFonts w:ascii="Book Antiqua" w:eastAsia="TimesNewRomanPSMT" w:hAnsi="Book Antiqua" w:cs="Arial"/>
          <w:noProof/>
          <w:sz w:val="24"/>
          <w:szCs w:val="24"/>
          <w:vertAlign w:val="superscript"/>
          <w:lang w:val="en-GB"/>
        </w:rPr>
        <w:t>16,3</w:t>
      </w:r>
      <w:r w:rsidR="00B42869" w:rsidRPr="007F6B31">
        <w:rPr>
          <w:rFonts w:ascii="Book Antiqua" w:eastAsia="TimesNewRomanPSMT" w:hAnsi="Book Antiqua" w:cs="Arial"/>
          <w:noProof/>
          <w:sz w:val="24"/>
          <w:szCs w:val="24"/>
          <w:vertAlign w:val="superscript"/>
          <w:lang w:val="en-GB"/>
        </w:rPr>
        <w:t>6-</w:t>
      </w:r>
      <w:r w:rsidR="00B227A9" w:rsidRPr="007F6B31">
        <w:rPr>
          <w:rFonts w:ascii="Book Antiqua" w:eastAsia="TimesNewRomanPSMT" w:hAnsi="Book Antiqua" w:cs="Arial"/>
          <w:noProof/>
          <w:sz w:val="24"/>
          <w:szCs w:val="24"/>
          <w:vertAlign w:val="superscript"/>
          <w:lang w:val="en-GB"/>
        </w:rPr>
        <w:t>3</w:t>
      </w:r>
      <w:r w:rsidR="00B42869" w:rsidRPr="007F6B31">
        <w:rPr>
          <w:rFonts w:ascii="Book Antiqua" w:eastAsia="TimesNewRomanPSMT" w:hAnsi="Book Antiqua" w:cs="Arial"/>
          <w:noProof/>
          <w:sz w:val="24"/>
          <w:szCs w:val="24"/>
          <w:vertAlign w:val="superscript"/>
          <w:lang w:val="en-GB"/>
        </w:rPr>
        <w:t>8</w:t>
      </w:r>
      <w:r w:rsidR="00B227A9" w:rsidRPr="007F6B31">
        <w:rPr>
          <w:rFonts w:ascii="Book Antiqua" w:eastAsia="TimesNewRomanPSMT" w:hAnsi="Book Antiqua" w:cs="Arial"/>
          <w:sz w:val="24"/>
          <w:szCs w:val="24"/>
          <w:vertAlign w:val="superscript"/>
          <w:lang w:val="en-GB"/>
        </w:rPr>
        <w:fldChar w:fldCharType="end"/>
      </w:r>
      <w:r w:rsidR="00B227A9" w:rsidRPr="007F6B31">
        <w:rPr>
          <w:rFonts w:ascii="Book Antiqua" w:eastAsia="TimesNewRomanPSMT" w:hAnsi="Book Antiqua" w:cs="Arial"/>
          <w:sz w:val="24"/>
          <w:szCs w:val="24"/>
          <w:vertAlign w:val="superscript"/>
          <w:lang w:val="en-GB"/>
        </w:rPr>
        <w:t>]</w:t>
      </w:r>
      <w:r w:rsidR="00427188" w:rsidRPr="007F6B31">
        <w:rPr>
          <w:rFonts w:ascii="Book Antiqua" w:eastAsia="TimesNewRomanPSMT" w:hAnsi="Book Antiqua" w:cs="Arial"/>
          <w:sz w:val="24"/>
          <w:szCs w:val="24"/>
          <w:lang w:val="en-GB"/>
        </w:rPr>
        <w:t>.</w:t>
      </w:r>
      <w:r w:rsidRPr="007F6B31">
        <w:rPr>
          <w:rFonts w:ascii="Book Antiqua" w:eastAsia="TimesNewRomanPSMT" w:hAnsi="Book Antiqua" w:cs="Arial"/>
          <w:sz w:val="24"/>
          <w:szCs w:val="24"/>
          <w:lang w:val="en-GB"/>
        </w:rPr>
        <w:t xml:space="preserve"> </w:t>
      </w:r>
      <w:r w:rsidR="007D44FF" w:rsidRPr="007F6B31">
        <w:rPr>
          <w:rFonts w:ascii="Book Antiqua" w:eastAsia="TimesNewRomanPSMT" w:hAnsi="Book Antiqua" w:cs="Arial"/>
          <w:sz w:val="24"/>
          <w:szCs w:val="24"/>
          <w:lang w:val="en-GB"/>
        </w:rPr>
        <w:t xml:space="preserve">In addition, one of the family members in the study was a </w:t>
      </w:r>
      <w:r w:rsidRPr="007F6B31">
        <w:rPr>
          <w:rFonts w:ascii="Book Antiqua" w:eastAsia="TimesNewRomanPSMT" w:hAnsi="Book Antiqua" w:cs="Arial"/>
          <w:sz w:val="24"/>
          <w:szCs w:val="24"/>
          <w:lang w:val="en-GB"/>
        </w:rPr>
        <w:t xml:space="preserve">seven-year-old boy </w:t>
      </w:r>
      <w:r w:rsidR="007D44FF" w:rsidRPr="007F6B31">
        <w:rPr>
          <w:rFonts w:ascii="Book Antiqua" w:eastAsia="TimesNewRomanPSMT" w:hAnsi="Book Antiqua" w:cs="Arial"/>
          <w:sz w:val="24"/>
          <w:szCs w:val="24"/>
          <w:lang w:val="en-GB"/>
        </w:rPr>
        <w:t xml:space="preserve">with </w:t>
      </w:r>
      <w:r w:rsidRPr="007F6B31">
        <w:rPr>
          <w:rFonts w:ascii="Book Antiqua" w:eastAsia="TimesNewRomanPSMT" w:hAnsi="Book Antiqua" w:cs="Arial"/>
          <w:sz w:val="24"/>
          <w:szCs w:val="24"/>
          <w:lang w:val="en-GB"/>
        </w:rPr>
        <w:t>LAL activity of 0.34</w:t>
      </w:r>
      <w:r w:rsidR="007D44FF" w:rsidRPr="007F6B31">
        <w:rPr>
          <w:rFonts w:ascii="Book Antiqua" w:eastAsia="TimesNewRomanPSMT" w:hAnsi="Book Antiqua" w:cs="Arial"/>
          <w:sz w:val="24"/>
          <w:szCs w:val="24"/>
          <w:lang w:val="en-GB"/>
        </w:rPr>
        <w:t xml:space="preserve"> nmol/</w:t>
      </w:r>
      <w:r w:rsidR="001F2C55" w:rsidRPr="007F6B31">
        <w:rPr>
          <w:rFonts w:ascii="Book Antiqua" w:hAnsi="Book Antiqua" w:cs="Arial"/>
          <w:sz w:val="24"/>
          <w:szCs w:val="24"/>
          <w:lang w:val="en-GB"/>
        </w:rPr>
        <w:t>(punch</w:t>
      </w:r>
      <w:r w:rsidR="001F2C55" w:rsidRPr="007F6B31">
        <w:rPr>
          <w:rFonts w:ascii="Book Antiqua" w:eastAsia="微软雅黑" w:hAnsi="Book Antiqua" w:cs="微软雅黑"/>
          <w:sz w:val="24"/>
          <w:szCs w:val="24"/>
          <w:lang w:eastAsia="ja-JP"/>
        </w:rPr>
        <w:t>∙</w:t>
      </w:r>
      <w:r w:rsidR="001F2C55" w:rsidRPr="007F6B31">
        <w:rPr>
          <w:rFonts w:ascii="Book Antiqua" w:hAnsi="Book Antiqua" w:cs="Arial"/>
          <w:sz w:val="24"/>
          <w:szCs w:val="24"/>
          <w:lang w:val="en-GB"/>
        </w:rPr>
        <w:t>h)</w:t>
      </w:r>
      <w:r w:rsidRPr="007F6B31">
        <w:rPr>
          <w:rFonts w:ascii="Book Antiqua" w:eastAsia="TimesNewRomanPSMT" w:hAnsi="Book Antiqua" w:cs="Arial"/>
          <w:sz w:val="24"/>
          <w:szCs w:val="24"/>
          <w:lang w:val="en-GB"/>
        </w:rPr>
        <w:t xml:space="preserve">. </w:t>
      </w:r>
      <w:r w:rsidR="007D44FF" w:rsidRPr="007F6B31">
        <w:rPr>
          <w:rFonts w:ascii="Book Antiqua" w:eastAsia="TimesNewRomanPSMT" w:hAnsi="Book Antiqua" w:cs="Arial"/>
          <w:sz w:val="24"/>
          <w:szCs w:val="24"/>
          <w:lang w:val="en-GB"/>
        </w:rPr>
        <w:t xml:space="preserve">The child also had </w:t>
      </w:r>
      <w:r w:rsidRPr="007F6B31">
        <w:rPr>
          <w:rFonts w:ascii="Book Antiqua" w:eastAsia="TimesNewRomanPSMT" w:hAnsi="Book Antiqua" w:cs="Arial"/>
          <w:sz w:val="24"/>
          <w:szCs w:val="24"/>
          <w:lang w:val="en-GB"/>
        </w:rPr>
        <w:t xml:space="preserve">severe </w:t>
      </w:r>
      <w:proofErr w:type="spellStart"/>
      <w:r w:rsidRPr="007F6B31">
        <w:rPr>
          <w:rFonts w:ascii="Book Antiqua" w:eastAsia="TimesNewRomanPSMT" w:hAnsi="Book Antiqua" w:cs="Arial"/>
          <w:sz w:val="24"/>
          <w:szCs w:val="24"/>
          <w:lang w:val="en-GB"/>
        </w:rPr>
        <w:t>dyslipidemia</w:t>
      </w:r>
      <w:proofErr w:type="spellEnd"/>
      <w:r w:rsidR="000C4766" w:rsidRPr="007F6B31">
        <w:rPr>
          <w:rFonts w:ascii="Book Antiqua" w:eastAsia="TimesNewRomanPSMT" w:hAnsi="Book Antiqua" w:cs="Arial"/>
          <w:sz w:val="24"/>
          <w:szCs w:val="24"/>
          <w:lang w:val="en-GB"/>
        </w:rPr>
        <w:t>,</w:t>
      </w:r>
      <w:r w:rsidR="007D44FF" w:rsidRPr="007F6B31">
        <w:rPr>
          <w:rFonts w:ascii="Book Antiqua" w:eastAsia="TimesNewRomanPSMT" w:hAnsi="Book Antiqua" w:cs="Arial"/>
          <w:sz w:val="24"/>
          <w:szCs w:val="24"/>
          <w:lang w:val="en-GB"/>
        </w:rPr>
        <w:t xml:space="preserve"> indicating that</w:t>
      </w:r>
      <w:r w:rsidR="000C4766" w:rsidRPr="007F6B31">
        <w:rPr>
          <w:rFonts w:ascii="Book Antiqua" w:eastAsia="TimesNewRomanPSMT" w:hAnsi="Book Antiqua" w:cs="Arial"/>
          <w:sz w:val="24"/>
          <w:szCs w:val="24"/>
          <w:lang w:val="en-GB"/>
        </w:rPr>
        <w:t xml:space="preserve"> (as previously suggested</w:t>
      </w:r>
      <w:r w:rsidR="00B227A9" w:rsidRPr="007F6B31">
        <w:rPr>
          <w:rFonts w:ascii="Book Antiqua" w:eastAsia="TimesNewRomanPSMT" w:hAnsi="Book Antiqua" w:cs="Arial"/>
          <w:sz w:val="24"/>
          <w:szCs w:val="24"/>
          <w:vertAlign w:val="superscript"/>
          <w:lang w:val="en-GB"/>
        </w:rPr>
        <w:t>[</w:t>
      </w:r>
      <w:r w:rsidR="000C4766" w:rsidRPr="007F6B31">
        <w:rPr>
          <w:rFonts w:ascii="Book Antiqua" w:eastAsia="TimesNewRomanPSMT" w:hAnsi="Book Antiqua" w:cs="Arial"/>
          <w:sz w:val="24"/>
          <w:szCs w:val="24"/>
          <w:vertAlign w:val="superscript"/>
          <w:lang w:val="en-GB"/>
        </w:rPr>
        <w:fldChar w:fldCharType="begin" w:fldLock="1"/>
      </w:r>
      <w:r w:rsidR="000C4766" w:rsidRPr="007F6B31">
        <w:rPr>
          <w:rFonts w:ascii="Book Antiqua" w:eastAsia="TimesNewRomanPSMT" w:hAnsi="Book Antiqua" w:cs="Arial"/>
          <w:sz w:val="24"/>
          <w:szCs w:val="24"/>
          <w:vertAlign w:val="superscript"/>
          <w:lang w:val="en-GB"/>
        </w:rPr>
        <w:instrText>ADDIN CSL_CITATION {"citationItems":[{"id":"ITEM-1","itemData":{"DOI":"10.1016/j.jacl.2016.11.002","ISSN":"18764789","PMID":"28502505","abstract":"Background Lysosomal acid lipase deficiency (LALD) is an autosomal recessive disorder and an unrecognized cause of dyslipidemia. Patients usually present with dyslipidemia and altered liver function and mutations in LIPA gene are the underlying cause of LALD. Objective The aim of this study was to investigate LALD in individuals with severe dyslipidemia and/or liver steatosis. Methods Coding, splice regions, and promoter region of LIPA were sequenced by Sanger sequencing in a cohort of mutation-negative familial hypercholesterolemia (FH) patients (n = 492) and in a population sample comprising individuals with several types of dyslipidemia and/or liver steatosis (n = 258). Results This study led to the identification of LALD in 4 children referred to the Portuguese FH Study, all with a clinical diagnosis of FH. Mild liver dysfunction was present at the age of FH diagnosis; however, a diagnosis of LALD was not considered. No adults at the time of referral have been identified with LALD. Conclusion LALD is a life-threatening disorder, and early identification is crucial for the implementation of specific treatment to avoid premature mortality. FH cohorts should be investigated to identify possible LALD patients, who will need appropriate treatment. These results highlight the importance of correctly identifying the etiology of the dyslipidemia.","author":[{"dropping-particle":"","family":"Chora","given":"Joana Rita","non-dropping-particle":"","parse-names":false,"suffix":""},{"dropping-particle":"","family":"Alves","given":"Ana Catarina","non-dropping-particle":"","parse-names":false,"suffix":""},{"dropping-particle":"","family":"Medeiros","given":"Ana Margarida","non-dropping-particle":"","parse-names":false,"suffix":""},{"dropping-particle":"","family":"Mariano","given":"Cibelle","non-dropping-particle":"","parse-names":false,"suffix":""},{"dropping-particle":"","family":"Lobarinhas","given":"Goreti","non-dropping-particle":"","parse-names":false,"suffix":""},{"dropping-particle":"","family":"Guerra","given":"António","non-dropping-particle":"","parse-names":false,"suffix":""},{"dropping-particle":"","family":"Mansilha","given":"Helena","non-dropping-particle":"","parse-names":false,"suffix":""},{"dropping-particle":"","family":"Cortez-Pinto","given":"Helena","non-dropping-particle":"","parse-names":false,"suffix":""},{"dropping-particle":"","family":"Bourbon","given":"Mafalda","non-dropping-particle":"","parse-names":false,"suffix":""}],"container-title":"Journal of Clinical Lipidology","id":"ITEM-1","issued":{"date-parts":[["2017"]]},"title":"Lysosomal acid lipase deficiency: A hidden disease among cohorts of familial hypercholesterolemia?","type":"article-journal"},"uris":["http://www.mendeley.com/documents/?uuid=5a21cca3-d6d9-49db-9b69-422c5405843b"]}],"mendeley":{"formattedCitation":"&lt;sup&gt;19&lt;/sup&gt;","plainTextFormattedCitation":"19","previouslyFormattedCitation":"&lt;sup&gt;19&lt;/sup&gt;"},"properties":{"noteIndex":0},"schema":"https://github.com/citation-style-language/schema/raw/master/csl-citation.json"}</w:instrText>
      </w:r>
      <w:r w:rsidR="000C4766" w:rsidRPr="007F6B31">
        <w:rPr>
          <w:rFonts w:ascii="Book Antiqua" w:eastAsia="TimesNewRomanPSMT" w:hAnsi="Book Antiqua" w:cs="Arial"/>
          <w:sz w:val="24"/>
          <w:szCs w:val="24"/>
          <w:vertAlign w:val="superscript"/>
          <w:lang w:val="en-GB"/>
        </w:rPr>
        <w:fldChar w:fldCharType="separate"/>
      </w:r>
      <w:r w:rsidR="000C4766" w:rsidRPr="007F6B31">
        <w:rPr>
          <w:rFonts w:ascii="Book Antiqua" w:eastAsia="TimesNewRomanPSMT" w:hAnsi="Book Antiqua" w:cs="Arial"/>
          <w:noProof/>
          <w:sz w:val="24"/>
          <w:szCs w:val="24"/>
          <w:vertAlign w:val="superscript"/>
          <w:lang w:val="en-GB"/>
        </w:rPr>
        <w:t>19</w:t>
      </w:r>
      <w:r w:rsidR="000C4766" w:rsidRPr="007F6B31">
        <w:rPr>
          <w:rFonts w:ascii="Book Antiqua" w:eastAsia="TimesNewRomanPSMT" w:hAnsi="Book Antiqua" w:cs="Arial"/>
          <w:sz w:val="24"/>
          <w:szCs w:val="24"/>
          <w:vertAlign w:val="superscript"/>
          <w:lang w:val="en-GB"/>
        </w:rPr>
        <w:fldChar w:fldCharType="end"/>
      </w:r>
      <w:r w:rsidR="00B227A9" w:rsidRPr="007F6B31">
        <w:rPr>
          <w:rFonts w:ascii="Book Antiqua" w:eastAsia="TimesNewRomanPSMT" w:hAnsi="Book Antiqua" w:cs="Arial"/>
          <w:sz w:val="24"/>
          <w:szCs w:val="24"/>
          <w:vertAlign w:val="superscript"/>
          <w:lang w:val="en-GB"/>
        </w:rPr>
        <w:t>]</w:t>
      </w:r>
      <w:r w:rsidR="000C4766" w:rsidRPr="007F6B31">
        <w:rPr>
          <w:rFonts w:ascii="Book Antiqua" w:eastAsia="TimesNewRomanPSMT" w:hAnsi="Book Antiqua" w:cs="Arial"/>
          <w:sz w:val="24"/>
          <w:szCs w:val="24"/>
          <w:lang w:val="en-GB"/>
        </w:rPr>
        <w:t>)</w:t>
      </w:r>
      <w:r w:rsidR="007D44FF" w:rsidRPr="007F6B31">
        <w:rPr>
          <w:rFonts w:ascii="Book Antiqua" w:eastAsia="TimesNewRomanPSMT" w:hAnsi="Book Antiqua" w:cs="Arial"/>
          <w:sz w:val="24"/>
          <w:szCs w:val="24"/>
          <w:lang w:val="en-GB"/>
        </w:rPr>
        <w:t xml:space="preserve"> </w:t>
      </w:r>
      <w:r w:rsidRPr="007F6B31">
        <w:rPr>
          <w:rFonts w:ascii="Book Antiqua" w:eastAsia="TimesNewRomanPSMT" w:hAnsi="Book Antiqua" w:cs="Arial"/>
          <w:sz w:val="24"/>
          <w:szCs w:val="24"/>
          <w:lang w:val="en-GB"/>
        </w:rPr>
        <w:t xml:space="preserve">reduced </w:t>
      </w:r>
      <w:r w:rsidR="007D44FF" w:rsidRPr="007F6B31">
        <w:rPr>
          <w:rFonts w:ascii="Book Antiqua" w:eastAsia="TimesNewRomanPSMT" w:hAnsi="Book Antiqua" w:cs="Arial"/>
          <w:sz w:val="24"/>
          <w:szCs w:val="24"/>
          <w:lang w:val="en-GB"/>
        </w:rPr>
        <w:t xml:space="preserve">LAL </w:t>
      </w:r>
      <w:r w:rsidRPr="007F6B31">
        <w:rPr>
          <w:rFonts w:ascii="Book Antiqua" w:eastAsia="TimesNewRomanPSMT" w:hAnsi="Book Antiqua" w:cs="Arial"/>
          <w:sz w:val="24"/>
          <w:szCs w:val="24"/>
          <w:lang w:val="en-GB"/>
        </w:rPr>
        <w:t xml:space="preserve">activity </w:t>
      </w:r>
      <w:r w:rsidR="007D44FF" w:rsidRPr="007F6B31">
        <w:rPr>
          <w:rFonts w:ascii="Book Antiqua" w:eastAsia="TimesNewRomanPSMT" w:hAnsi="Book Antiqua" w:cs="Arial"/>
          <w:sz w:val="24"/>
          <w:szCs w:val="24"/>
          <w:lang w:val="en-GB"/>
        </w:rPr>
        <w:t xml:space="preserve">may </w:t>
      </w:r>
      <w:r w:rsidRPr="007F6B31">
        <w:rPr>
          <w:rFonts w:ascii="Book Antiqua" w:eastAsia="TimesNewRomanPSMT" w:hAnsi="Book Antiqua" w:cs="Arial"/>
          <w:sz w:val="24"/>
          <w:szCs w:val="24"/>
          <w:lang w:val="en-GB"/>
        </w:rPr>
        <w:t xml:space="preserve">contribute to </w:t>
      </w:r>
      <w:proofErr w:type="spellStart"/>
      <w:r w:rsidR="007D44FF" w:rsidRPr="007F6B31">
        <w:rPr>
          <w:rFonts w:ascii="Book Antiqua" w:eastAsia="TimesNewRomanPSMT" w:hAnsi="Book Antiqua" w:cs="Arial"/>
          <w:sz w:val="24"/>
          <w:szCs w:val="24"/>
          <w:lang w:val="en-GB"/>
        </w:rPr>
        <w:t>dyslipidemia</w:t>
      </w:r>
      <w:proofErr w:type="spellEnd"/>
      <w:r w:rsidR="000C4766" w:rsidRPr="007F6B31">
        <w:rPr>
          <w:rFonts w:ascii="Book Antiqua" w:eastAsia="TimesNewRomanPSMT" w:hAnsi="Book Antiqua" w:cs="Arial"/>
          <w:sz w:val="24"/>
          <w:szCs w:val="24"/>
          <w:lang w:val="en-GB"/>
        </w:rPr>
        <w:t>,</w:t>
      </w:r>
      <w:r w:rsidR="007D44FF" w:rsidRPr="007F6B31">
        <w:rPr>
          <w:rFonts w:ascii="Book Antiqua" w:eastAsia="TimesNewRomanPSMT" w:hAnsi="Book Antiqua" w:cs="Arial"/>
          <w:sz w:val="24"/>
          <w:szCs w:val="24"/>
          <w:lang w:val="en-GB"/>
        </w:rPr>
        <w:t xml:space="preserve"> as well as</w:t>
      </w:r>
      <w:r w:rsidR="000C4766" w:rsidRPr="007F6B31">
        <w:rPr>
          <w:rFonts w:ascii="Book Antiqua" w:eastAsia="TimesNewRomanPSMT" w:hAnsi="Book Antiqua" w:cs="Arial"/>
          <w:sz w:val="24"/>
          <w:szCs w:val="24"/>
          <w:lang w:val="en-GB"/>
        </w:rPr>
        <w:t xml:space="preserve"> to</w:t>
      </w:r>
      <w:r w:rsidR="007D44FF" w:rsidRPr="007F6B31">
        <w:rPr>
          <w:rFonts w:ascii="Book Antiqua" w:eastAsia="TimesNewRomanPSMT" w:hAnsi="Book Antiqua" w:cs="Arial"/>
          <w:sz w:val="24"/>
          <w:szCs w:val="24"/>
          <w:lang w:val="en-GB"/>
        </w:rPr>
        <w:t xml:space="preserve"> non-specific</w:t>
      </w:r>
      <w:r w:rsidRPr="007F6B31">
        <w:rPr>
          <w:rFonts w:ascii="Book Antiqua" w:eastAsia="TimesNewRomanPSMT" w:hAnsi="Book Antiqua" w:cs="Arial"/>
          <w:sz w:val="24"/>
          <w:szCs w:val="24"/>
          <w:lang w:val="en-GB"/>
        </w:rPr>
        <w:t xml:space="preserve"> symptoms</w:t>
      </w:r>
      <w:r w:rsidR="00B227A9" w:rsidRPr="007F6B31">
        <w:rPr>
          <w:rFonts w:ascii="Book Antiqua" w:eastAsia="TimesNewRomanPSMT" w:hAnsi="Book Antiqua" w:cs="Arial"/>
          <w:sz w:val="24"/>
          <w:szCs w:val="24"/>
          <w:vertAlign w:val="superscript"/>
          <w:lang w:val="en-GB"/>
        </w:rPr>
        <w:t>[</w:t>
      </w:r>
      <w:r w:rsidR="00B227A9" w:rsidRPr="007F6B31">
        <w:rPr>
          <w:rFonts w:ascii="Book Antiqua" w:eastAsia="TimesNewRomanPSMT" w:hAnsi="Book Antiqua" w:cs="Arial"/>
          <w:sz w:val="24"/>
          <w:szCs w:val="24"/>
          <w:vertAlign w:val="superscript"/>
          <w:lang w:val="en-GB"/>
        </w:rPr>
        <w:fldChar w:fldCharType="begin" w:fldLock="1"/>
      </w:r>
      <w:r w:rsidR="00B227A9" w:rsidRPr="007F6B31">
        <w:rPr>
          <w:rFonts w:ascii="Book Antiqua" w:eastAsia="TimesNewRomanPSMT" w:hAnsi="Book Antiqua" w:cs="Arial"/>
          <w:sz w:val="24"/>
          <w:szCs w:val="24"/>
          <w:vertAlign w:val="superscript"/>
          <w:lang w:val="en-GB"/>
        </w:rPr>
        <w:instrText>ADDIN CSL_CITATION {"citationItems":[{"id":"ITEM-1","itemData":{"DOI":"10.1016/j.ymgme.2009.02.007","ISSN":"1096-7206 (Electronic)","PMID":"19307143","abstract":"Cholesteryl Ester Storage Disease (CESD) is a rare recessive disorder due to mutations in LIPA gene encoding the lysosomal acidic lipase (LAL). CESD patients have liver disease associated with mixed hyperlipidemia and low plasma levels of high-density lipoproteins (HDL). The aim of this study was the molecular characterization of three patients with CESD. LAL activity was measured in blood leukocytes. In two patients (twin sisters) the clinical diagnosis of CESD was made at 9 years of age, following the fortuitous discovery of elevated serum liver enzymes in apparently healthy children. They had mixed hyperlipidemia, hepatosplenomegaly, reduced LAL activity (approximately 5% of control) and heteroalleic mutations in LIPA gene coding sequence: (i) the common c.894 G&gt;A mutation and (ii) a novel nonsense mutation c.652 C&gt;T (p.R218X). The other patient was an 80 year-old female who for several years had been treated with simvastatin because of severe hyperlipidemia associated with low plasma HDL. In this patient the sequence of major candidate genes for monogenic hypercholesterolemia and hypoalphalipoproteinemia was negative. She was found to be a compound heterozygote for two LIPA gene mutations resulting in 5% LAL activity: (i) c.894 G&gt;A and (ii) a novel complex insertion/deletion leading to a premature termination codon at position 82. These findings suggest that, in view of the variable severity of its phenotypic expression, CESD may sometimes be difficult to diagnose, but it should be considered in patients with severe type IIb hyperlipidemia associated with low HDL, mildly elevated serum liver enzymes and hepatomegaly.","author":[{"dropping-particle":"","family":"Pisciotta","given":"Livia","non-dropping-particle":"","parse-names":false,"suffix":""},{"dropping-particle":"","family":"Fresa","given":"Raffaele","non-dropping-particle":"","parse-names":false,"suffix":""},{"dropping-particle":"","family":"Bellocchio","given":"Antonella","non-dropping-particle":"","parse-names":false,"suffix":""},{"dropping-particle":"","family":"Pino","given":"Elisabetta","non-dropping-particle":"","parse-names":false,"suffix":""},{"dropping-particle":"","family":"Guido","given":"Virgilia","non-dropping-particle":"","parse-names":false,"suffix":""},{"dropping-particle":"","family":"Cantafora","given":"Alfredo","non-dropping-particle":"","parse-names":false,"suffix":""},{"dropping-particle":"","family":"Rocco","given":"Maja","non-dropping-particle":"Di","parse-names":false,"suffix":""},{"dropping-particle":"","family":"Calandra","given":"Sebastiano","non-dropping-particle":"","parse-names":false,"suffix":""},{"dropping-particle":"","family":"Bertolini","given":"Stefano","non-dropping-particle":"","parse-names":false,"suffix":""}],"container-title":"Molecular genetics and metabolism","id":"ITEM-1","issue":"2","issued":{"date-parts":[["2009","6"]]},"language":"eng","page":"143-148","publisher-place":"United States","title":"Cholesteryl Ester Storage Disease (CESD) due to novel mutations in the LIPA gene.","type":"article-journal","volume":"97"},"uris":["http://www.mendeley.com/documents/?uuid=e938e8bd-9adc-4801-a960-ca29fe437b20","http://www.mendeley.com/documents/?uuid=3f0c5c61-6ee3-4228-8e24-b17958bf90a3"]},{"id":"ITEM-2","itemData":{"DOI":"10.1371/journal.pone.0156113","ISBN":"1945-3027","ISSN":"19326203","abstract":"Lysosomal acid lipase deficiency (LAL-d) is a rare autosomal recessive disease in which LAL activity is almost absent, with consequent massive microvesicular steatosis evolving to cirrhosis and liver failure. We aimed to determine LAL-activity, and to investigate the most common single nucleotide polymorphism (SNP) affecting the LIPA gene and responsible for 50-70% of LAL-d cases (rs116928232 c.894G&gt;A), in patients with cryptogenic cirrhosis. Sixty-three patients with cryptogenic cirrhosis, 88 cirrhotics of known etiology, and 97 healthy subjects were enrolled. LAL-activity was determined in dried-blood-spot (DBS). The c.894G&gt;A mutation was analyzed by pyrosequencing method in SNP mode. LAL-activity was severely reduced in patients with cryptogenic cirrhosis with respect to healthy subjects [0.62 (0.44-0.86) Vs 0.96 (0.75-1.25) nmol/spot/h, p&lt;0.001)], but it was also reduced in known-etiology cirrhotics [0.54 (0.42-0.79) nmol/spot/h, p&lt;0.001 Vs healthy subjects; p = 0.5 Vs cryptogenic cirrhotics]. Fourteen percent of cryptogenic cirrhotics and 20% of knownetiology cirrhotics showed a LAL-activity in the range of heterozygous carriers of LIPA gene mutations (0.15-0.40 nmol/spot/h). However, none of the subjects with reduced LAL-activity carried the c.894G&gt;A SNP except for one patient with HCV cirrhosis. By multivariate analysis, LAL-activity was not associated with age, sex, liver enzymes, liver function or lipid parameters, while it was independently associated with white blood cell (β = 0.2; p&lt;0.01) and platelet (β = 0.4; p&lt;0.001) counts and with the condition of cirrhosis (β = -0.2; p = 0.04). Conclusion: Liver cirrhosis is characterized by a severe acquired reduction of LAL-activity, the precise causes and consequences of which need to be further addressed. DBS-determined lysosomal enzyme activities seem to be affected by white blood cell and platelet counts, and the specificity of these tests can be reduced when applied to determined populations, such as cirrhotics.","author":[{"dropping-particle":"","family":"Vespasiani-Gentilucci","given":"Umberto","non-dropping-particle":"","parse-names":false,"suffix":""},{"dropping-particle":"","family":"Gallo","given":"Paolo","non-dropping-particle":"","parse-names":false,"suffix":""},{"dropping-particle":"","family":"Piemonte","given":"Fiorella","non-dropping-particle":"","parse-names":false,"suffix":""},{"dropping-particle":"","family":"Riva","given":"Elisabetta","non-dropping-particle":"","parse-names":false,"suffix":""},{"dropping-particle":"","family":"Porcari","given":"Aldostefano","non-dropping-particle":"","parse-names":false,"suffix":""},{"dropping-particle":"","family":"Vorini","given":"Ferruccio","non-dropping-particle":"","parse-names":false,"suffix":""},{"dropping-particle":"","family":"Tozzi","given":"Giulia","non-dropping-particle":"","parse-names":false,"suffix":""},{"dropping-particle":"","family":"Piccioni","given":"Livia","non-dropping-particle":"","parse-names":false,"suffix":""},{"dropping-particle":"","family":"Galati","given":"Giovanni","non-dropping-particle":"","parse-names":false,"suffix":""},{"dropping-particle":"","family":"Vincentis","given":"Antonio","non-dropping-particle":"De","parse-names":false,"suffix":""},{"dropping-particle":"","family":"Carotti","given":"Simone","non-dropping-particle":"","parse-names":false,"suffix":""},{"dropping-particle":"","family":"Morini","given":"Sergio","non-dropping-particle":"","parse-names":false,"suffix":""},{"dropping-particle":"","family":"D'Amico","given":"Jessica","non-dropping-particle":"","parse-names":false,"suffix":""},{"dropping-particle":"","family":"Angeletti","given":"Silvia","non-dropping-particle":"","parse-names":false,"suffix":""},{"dropping-particle":"","family":"Pedone","given":"Claudio","non-dropping-particle":"","parse-names":false,"suffix":""},{"dropping-particle":"","family":"Picardi","given":"Antonio","non-dropping-particle":"","parse-names":false,"suffix":""}],"container-title":"PLoS ONE","id":"ITEM-2","issued":{"date-parts":[["2016"]]},"title":"Lysosomal acid lipase activity is reduced both in cryptogenic cirrhosis and in cirrhosis of known etiology","type":"article-journal"},"uris":["http://www.mendeley.com/documents/?uuid=3bc815bc-649c-46d4-a012-f26a8f18ec9e"]},{"id":"ITEM-3","itemData":{"DOI":"10.1016/j.atherosclerosis.2014.04.003","ISBN":"1879-1484 (Electronic)\\r0021-9150 (Linking)","ISSN":"18791484","PMID":"24792990","abstract":"Lysosomal acid lipase deficiency (LAL-D) is a rare autosomal recessive lysosomal storage disease caused by deleterious mutations in the LIPA gene. The age at onset and rate of progression vary greatly and this may relate to the nature of the underlying mutations. Patients presenting in infancy have the most rapidly progressive disease, developing signs and symptoms in the first weeks of life and rarely surviving beyond 6 months of age. Children and adults typically present with some combination of dyslipidaemia, hepatomegaly, elevated transaminases, and microvesicular hepatosteatosis on biopsy. Liver damage with progression to fibrosis, cirrhosis and liver failure occurs in a large proportion of patients. Elevated low-density lipoprotein cholesterol levels and decreased high-density lipoprotein cholesterol levels are common features, and cardiovascular disease may manifest as early as childhood. Given that these clinical manifestations are shared with other cardiovascular, liver and metabolic diseases, it is not surprising that LAL-D is under-recognized in clinical practice. This article provides practical guidance to lipidologists, endocrinologists, cardiologists and hepatologists on how to recognize individuals with this life-limiting disease. A diagnostic algorithm is proposed with a view to achieving definitive diagnosis using a recently developed blood test for lysosomal acid lipase. Finally, current management options are reviewed in light of the ongoing development of enzyme replacement therapy with sebelipase alfa (Synageva BioPharma Corp., Lexington, MA, USA), a recombinant human lysosomal acid lipase enzyme. © 2014 The Authors.","author":[{"dropping-particle":"","family":"Reiner","given":"Željko","non-dropping-particle":"","parse-names":false,"suffix":""},{"dropping-particle":"","family":"Guardamagna","given":"Ornella","non-dropping-particle":"","parse-names":false,"suffix":""},{"dropping-particle":"","family":"Nair","given":"Devaki","non-dropping-particle":"","parse-names":false,"suffix":""},{"dropping-particle":"","family":"Soran","given":"Handrean","non-dropping-particle":"","parse-names":false,"suffix":""},{"dropping-particle":"","family":"Hovingh","given":"Kees","non-dropping-particle":"","parse-names":false,"suffix":""},{"dropping-particle":"","family":"Bertolini","given":"Stefano","non-dropping-particle":"","parse-names":false,"suffix":""},{"dropping-particle":"","family":"Jones","given":"Simon","non-dropping-particle":"","parse-names":false,"suffix":""},{"dropping-particle":"","family":"Ćorić","given":"Marijana","non-dropping-particle":"","parse-names":false,"suffix":""},{"dropping-particle":"","family":"Calandra","given":"Sebastiano","non-dropping-particle":"","parse-names":false,"suffix":""},{"dropping-particle":"","family":"Hamilton","given":"John","non-dropping-particle":"","parse-names":false,"suffix":""},{"dropping-particle":"","family":"Eagleton","given":"Terence","non-dropping-particle":"","parse-names":false,"suffix":""},{"dropping-particle":"","family":"Ros","given":"Emilio","non-dropping-particle":"","parse-names":false,"suffix":""}],"container-title":"Atherosclerosis","id":"ITEM-3","issue":"1","issued":{"date-parts":[["2014","7"]]},"language":"eng","page":"21-30","publisher-place":"Ireland","title":"Lysosomal acid lipase deficiency - An under-recognized cause of dyslipidaemia and liver dysfunction","type":"article","volume":"235"},"uris":["http://www.mendeley.com/documents/?uuid=bd9ee095-d349-4d55-b2f2-bded476b67fe"]},{"id":"ITEM-4","itemData":{"DOI":"10.1016/j.jhep.2013.02.014","ISBN":"0168-8278","ISSN":"01688278","PMID":"23485521","abstract":"Cholesteryl ester storage disease (CESD) is caused by deficient lysosomal acid lipase (LAL) activity, predominantly resulting in cholesteryl ester (CE) accumulation, particularly in the liver, spleen, and macrophages throughout the body. The disease is characterized by microvesicular steatosis leading to liver failure, accelerated atherosclerosis and premature demise. Although CESD is rare, it is likely that many patients are unrecognized or misdiagnosed. Here, the findings in 135 CESD patients described in the literature are reviewed. Diagnoses were based on liver biopsies, LAL deficiency and/or LAL gene (LIPA) mutations. Hepatomegaly was present in 99.3% of patients; 74% also had splenomegaly. When reported, most patients had elevated serum total cholesterol, LDL-cholesterol, triglycerides, and transaminases (AST, ALT, or both), while HDL-cholesterol was decreased. All 112 liver biopsied patients had the characteristic pathology, which is progressive, and includes microvesicular steatosis, which leads to fibrosis, micronodular cirrhosis, and ultimately to liver failure. Pathognomonic birefringent CE crystals or their remnant clefts were observed in hepatic cells. Extrahepatic manifestations included portal hypertension, esophageal varices, and accelerated atherosclerosis. Liver failure in 17 reported patients resulted in liver transplantation and/or death. Genotyping identified 31 LIPA mutations in 55 patients; 61% of mutations were the common exon 8 splice-junction mutation (E8SJM-1G&gt;A), for which 18 patients were homozygous. Genotype/phenotype correlations were limited; however, E8SJM-1G&gt;Ahomozygotes typically had early-onset, slowly progressive disease. Supportive treatment included cholestyramine, statins, and, ultimately, liver transplantation. Recombinant LAL replacement was shown to be effective in animal models, and recently, a phase I/II clinical trial demonstrated its safety and indicated its potential metabolic efficacy. © 2013 European Association for the Study of the Liver. Published by Elsevier B.V. All rights reserved.","author":[{"dropping-particle":"","family":"Bernstein","given":"Donna L.","non-dropping-particle":"","parse-names":false,"suffix":""},{"dropping-particle":"","family":"Hülkova","given":"Helena","non-dropping-particle":"","parse-names":false,"suffix":""},{"dropping-particle":"","family":"Bialer","given":"Martin G.","non-dropping-particle":"","parse-names":false,"suffix":""},{"dropping-particle":"","family":"Desnick","given":"Robert J.","non-dropping-particle":"","parse-names":false,"suffix":""}],"container-title":"Journal of Hepatology","id":"ITEM-4","issue":"6","issued":{"date-parts":[["2013","6"]]},"page":"1230-1243","title":"Cholesteryl ester storage disease: Review of the findings in 135 reported patients with an underdiagnosed disease","type":"article-journal","volume":"58"},"uris":["http://www.mendeley.com/documents/?uuid=9be8b44a-fd42-4812-ab39-722fe7bdc933"]}],"mendeley":{"formattedCitation":"&lt;sup&gt;8,12,16,40&lt;/sup&gt;","plainTextFormattedCitation":"8,12,16,40","previouslyFormattedCitation":"&lt;sup&gt;8,12,16,40&lt;/sup&gt;"},"properties":{"noteIndex":0},"schema":"https://github.com/citation-style-language/schema/raw/master/csl-citation.json"}</w:instrText>
      </w:r>
      <w:r w:rsidR="00B227A9" w:rsidRPr="007F6B31">
        <w:rPr>
          <w:rFonts w:ascii="Book Antiqua" w:eastAsia="TimesNewRomanPSMT" w:hAnsi="Book Antiqua" w:cs="Arial"/>
          <w:sz w:val="24"/>
          <w:szCs w:val="24"/>
          <w:vertAlign w:val="superscript"/>
          <w:lang w:val="en-GB"/>
        </w:rPr>
        <w:fldChar w:fldCharType="separate"/>
      </w:r>
      <w:r w:rsidR="00B227A9" w:rsidRPr="007F6B31">
        <w:rPr>
          <w:rFonts w:ascii="Book Antiqua" w:eastAsia="TimesNewRomanPSMT" w:hAnsi="Book Antiqua" w:cs="Arial"/>
          <w:noProof/>
          <w:sz w:val="24"/>
          <w:szCs w:val="24"/>
          <w:vertAlign w:val="superscript"/>
          <w:lang w:val="en-GB"/>
        </w:rPr>
        <w:t>8,12,16,</w:t>
      </w:r>
      <w:r w:rsidR="00B42869" w:rsidRPr="007F6B31">
        <w:rPr>
          <w:rFonts w:ascii="Book Antiqua" w:eastAsia="TimesNewRomanPSMT" w:hAnsi="Book Antiqua" w:cs="Arial"/>
          <w:noProof/>
          <w:sz w:val="24"/>
          <w:szCs w:val="24"/>
          <w:vertAlign w:val="superscript"/>
          <w:lang w:val="en-GB"/>
        </w:rPr>
        <w:t>39</w:t>
      </w:r>
      <w:r w:rsidR="00B227A9" w:rsidRPr="007F6B31">
        <w:rPr>
          <w:rFonts w:ascii="Book Antiqua" w:eastAsia="TimesNewRomanPSMT" w:hAnsi="Book Antiqua" w:cs="Arial"/>
          <w:sz w:val="24"/>
          <w:szCs w:val="24"/>
          <w:vertAlign w:val="superscript"/>
          <w:lang w:val="en-GB"/>
        </w:rPr>
        <w:fldChar w:fldCharType="end"/>
      </w:r>
      <w:r w:rsidR="00B227A9" w:rsidRPr="007F6B31">
        <w:rPr>
          <w:rFonts w:ascii="Book Antiqua" w:eastAsia="TimesNewRomanPSMT" w:hAnsi="Book Antiqua" w:cs="Arial"/>
          <w:sz w:val="24"/>
          <w:szCs w:val="24"/>
          <w:vertAlign w:val="superscript"/>
          <w:lang w:val="en-GB"/>
        </w:rPr>
        <w:t>]</w:t>
      </w:r>
      <w:r w:rsidR="007D44FF" w:rsidRPr="007F6B31">
        <w:rPr>
          <w:rFonts w:ascii="Book Antiqua" w:eastAsia="TimesNewRomanPSMT" w:hAnsi="Book Antiqua" w:cs="Arial"/>
          <w:sz w:val="24"/>
          <w:szCs w:val="24"/>
          <w:lang w:val="en-GB"/>
        </w:rPr>
        <w:t>.</w:t>
      </w:r>
      <w:r w:rsidRPr="007F6B31">
        <w:rPr>
          <w:rFonts w:ascii="Book Antiqua" w:eastAsia="TimesNewRomanPSMT" w:hAnsi="Book Antiqua" w:cs="Arial"/>
          <w:sz w:val="24"/>
          <w:szCs w:val="24"/>
          <w:lang w:val="en-GB"/>
        </w:rPr>
        <w:t xml:space="preserve"> </w:t>
      </w:r>
      <w:r w:rsidR="007D44FF" w:rsidRPr="007F6B31">
        <w:rPr>
          <w:rFonts w:ascii="Book Antiqua" w:eastAsia="TimesNewRomanPSMT" w:hAnsi="Book Antiqua" w:cs="Arial"/>
          <w:sz w:val="24"/>
          <w:szCs w:val="24"/>
          <w:lang w:val="en-GB"/>
        </w:rPr>
        <w:t xml:space="preserve">The choice was therefore made to </w:t>
      </w:r>
      <w:r w:rsidRPr="007F6B31">
        <w:rPr>
          <w:rFonts w:ascii="Book Antiqua" w:eastAsia="TimesNewRomanPSMT" w:hAnsi="Book Antiqua" w:cs="Arial"/>
          <w:sz w:val="24"/>
          <w:szCs w:val="24"/>
          <w:lang w:val="en-GB"/>
        </w:rPr>
        <w:t>monitor</w:t>
      </w:r>
      <w:r w:rsidR="007D44FF" w:rsidRPr="007F6B31">
        <w:rPr>
          <w:rFonts w:ascii="Book Antiqua" w:eastAsia="TimesNewRomanPSMT" w:hAnsi="Book Antiqua" w:cs="Arial"/>
          <w:sz w:val="24"/>
          <w:szCs w:val="24"/>
          <w:lang w:val="en-GB"/>
        </w:rPr>
        <w:t xml:space="preserve"> the child</w:t>
      </w:r>
      <w:r w:rsidRPr="007F6B31">
        <w:rPr>
          <w:rFonts w:ascii="Book Antiqua" w:eastAsia="TimesNewRomanPSMT" w:hAnsi="Book Antiqua" w:cs="Arial"/>
          <w:sz w:val="24"/>
          <w:szCs w:val="24"/>
          <w:lang w:val="en-GB"/>
        </w:rPr>
        <w:t xml:space="preserve"> </w:t>
      </w:r>
      <w:r w:rsidR="007D44FF" w:rsidRPr="007F6B31">
        <w:rPr>
          <w:rFonts w:ascii="Book Antiqua" w:eastAsia="TimesNewRomanPSMT" w:hAnsi="Book Antiqua" w:cs="Arial"/>
          <w:sz w:val="24"/>
          <w:szCs w:val="24"/>
          <w:lang w:val="en-GB"/>
        </w:rPr>
        <w:t>closely</w:t>
      </w:r>
      <w:r w:rsidR="00BE3883" w:rsidRPr="007F6B31">
        <w:rPr>
          <w:rFonts w:ascii="Book Antiqua" w:eastAsia="TimesNewRomanPSMT" w:hAnsi="Book Antiqua" w:cs="Arial"/>
          <w:sz w:val="24"/>
          <w:szCs w:val="24"/>
          <w:lang w:val="en-GB"/>
        </w:rPr>
        <w:t xml:space="preserve">. </w:t>
      </w:r>
    </w:p>
    <w:p w14:paraId="12E12B67" w14:textId="55E0FF4A" w:rsidR="00444850" w:rsidRPr="007F6B31" w:rsidRDefault="00444850" w:rsidP="001F2C55">
      <w:pPr>
        <w:snapToGrid w:val="0"/>
        <w:spacing w:after="0" w:line="360" w:lineRule="auto"/>
        <w:ind w:firstLineChars="100" w:firstLine="240"/>
        <w:jc w:val="both"/>
        <w:rPr>
          <w:rFonts w:ascii="Book Antiqua" w:eastAsia="TimesNewRomanPSMT" w:hAnsi="Book Antiqua" w:cs="Arial"/>
          <w:sz w:val="24"/>
          <w:szCs w:val="24"/>
          <w:lang w:val="en-GB"/>
        </w:rPr>
      </w:pPr>
      <w:r w:rsidRPr="007F6B31">
        <w:rPr>
          <w:rFonts w:ascii="Book Antiqua" w:hAnsi="Book Antiqua" w:cs="Arial"/>
          <w:bCs/>
          <w:sz w:val="24"/>
          <w:szCs w:val="24"/>
          <w:lang w:val="en-GB"/>
        </w:rPr>
        <w:t>Treatment for LAL-</w:t>
      </w:r>
      <w:r w:rsidR="0047011E" w:rsidRPr="007F6B31">
        <w:rPr>
          <w:rFonts w:ascii="Book Antiqua" w:hAnsi="Book Antiqua" w:cs="Arial"/>
          <w:bCs/>
          <w:sz w:val="24"/>
          <w:szCs w:val="24"/>
          <w:lang w:val="en-GB"/>
        </w:rPr>
        <w:t>D</w:t>
      </w:r>
      <w:r w:rsidRPr="007F6B31">
        <w:rPr>
          <w:rFonts w:ascii="Book Antiqua" w:hAnsi="Book Antiqua" w:cs="Arial"/>
          <w:bCs/>
          <w:sz w:val="24"/>
          <w:szCs w:val="24"/>
          <w:lang w:val="en-GB"/>
        </w:rPr>
        <w:t xml:space="preserve"> has been limited to lipid-lowering medications, statins, or liver transplantation. The patients in our study have been treated with statins for more than 15 years. </w:t>
      </w:r>
      <w:r w:rsidR="007D44FF" w:rsidRPr="007F6B31">
        <w:rPr>
          <w:rFonts w:ascii="Book Antiqua" w:hAnsi="Book Antiqua" w:cs="Arial"/>
          <w:bCs/>
          <w:sz w:val="24"/>
          <w:szCs w:val="24"/>
          <w:lang w:val="en-GB"/>
        </w:rPr>
        <w:t>O</w:t>
      </w:r>
      <w:r w:rsidRPr="007F6B31">
        <w:rPr>
          <w:rFonts w:ascii="Book Antiqua" w:hAnsi="Book Antiqua" w:cs="Arial"/>
          <w:bCs/>
          <w:sz w:val="24"/>
          <w:szCs w:val="24"/>
          <w:lang w:val="en-GB"/>
        </w:rPr>
        <w:t xml:space="preserve">ur results indicate that this treatment </w:t>
      </w:r>
      <w:r w:rsidR="007D44FF" w:rsidRPr="007F6B31">
        <w:rPr>
          <w:rFonts w:ascii="Book Antiqua" w:hAnsi="Book Antiqua" w:cs="Arial"/>
          <w:bCs/>
          <w:sz w:val="24"/>
          <w:szCs w:val="24"/>
          <w:lang w:val="en-GB"/>
        </w:rPr>
        <w:t xml:space="preserve">does not prevent </w:t>
      </w:r>
      <w:r w:rsidRPr="007F6B31">
        <w:rPr>
          <w:rFonts w:ascii="Book Antiqua" w:hAnsi="Book Antiqua" w:cs="Arial"/>
          <w:bCs/>
          <w:sz w:val="24"/>
          <w:szCs w:val="24"/>
          <w:lang w:val="en-GB"/>
        </w:rPr>
        <w:t xml:space="preserve">the progression of </w:t>
      </w:r>
      <w:r w:rsidR="007D44FF" w:rsidRPr="007F6B31">
        <w:rPr>
          <w:rFonts w:ascii="Book Antiqua" w:hAnsi="Book Antiqua" w:cs="Arial"/>
          <w:bCs/>
          <w:sz w:val="24"/>
          <w:szCs w:val="24"/>
          <w:lang w:val="en-GB"/>
        </w:rPr>
        <w:t>CESD</w:t>
      </w:r>
      <w:r w:rsidRPr="007F6B31">
        <w:rPr>
          <w:rFonts w:ascii="Book Antiqua" w:hAnsi="Book Antiqua" w:cs="Arial"/>
          <w:bCs/>
          <w:sz w:val="24"/>
          <w:szCs w:val="24"/>
          <w:lang w:val="en-GB"/>
        </w:rPr>
        <w:t xml:space="preserve">. </w:t>
      </w:r>
      <w:r w:rsidR="007D44FF" w:rsidRPr="007F6B31">
        <w:rPr>
          <w:rFonts w:ascii="Book Antiqua" w:hAnsi="Book Antiqua" w:cs="Arial"/>
          <w:bCs/>
          <w:sz w:val="24"/>
          <w:szCs w:val="24"/>
          <w:lang w:val="en-GB"/>
        </w:rPr>
        <w:t xml:space="preserve">Even with statins, the </w:t>
      </w:r>
      <w:r w:rsidRPr="007F6B31">
        <w:rPr>
          <w:rFonts w:ascii="Book Antiqua" w:hAnsi="Book Antiqua" w:cs="Arial"/>
          <w:bCs/>
          <w:sz w:val="24"/>
          <w:szCs w:val="24"/>
          <w:lang w:val="en-GB"/>
        </w:rPr>
        <w:t>female patient continue</w:t>
      </w:r>
      <w:r w:rsidR="007D44FF" w:rsidRPr="007F6B31">
        <w:rPr>
          <w:rFonts w:ascii="Book Antiqua" w:hAnsi="Book Antiqua" w:cs="Arial"/>
          <w:bCs/>
          <w:sz w:val="24"/>
          <w:szCs w:val="24"/>
          <w:lang w:val="en-GB"/>
        </w:rPr>
        <w:t>d</w:t>
      </w:r>
      <w:r w:rsidRPr="007F6B31">
        <w:rPr>
          <w:rFonts w:ascii="Book Antiqua" w:hAnsi="Book Antiqua" w:cs="Arial"/>
          <w:bCs/>
          <w:sz w:val="24"/>
          <w:szCs w:val="24"/>
          <w:lang w:val="en-GB"/>
        </w:rPr>
        <w:t xml:space="preserve"> to have elevated VLDL and triglycerides. These findings </w:t>
      </w:r>
      <w:r w:rsidR="000C4766" w:rsidRPr="007F6B31">
        <w:rPr>
          <w:rFonts w:ascii="Book Antiqua" w:hAnsi="Book Antiqua" w:cs="Arial"/>
          <w:bCs/>
          <w:sz w:val="24"/>
          <w:szCs w:val="24"/>
          <w:lang w:val="en-GB"/>
        </w:rPr>
        <w:t>accord with</w:t>
      </w:r>
      <w:r w:rsidRPr="007F6B31">
        <w:rPr>
          <w:rFonts w:ascii="Book Antiqua" w:hAnsi="Book Antiqua" w:cs="Arial"/>
          <w:bCs/>
          <w:sz w:val="24"/>
          <w:szCs w:val="24"/>
          <w:lang w:val="en-GB"/>
        </w:rPr>
        <w:t xml:space="preserve"> </w:t>
      </w:r>
      <w:r w:rsidR="000C4766" w:rsidRPr="007F6B31">
        <w:rPr>
          <w:rFonts w:ascii="Book Antiqua" w:hAnsi="Book Antiqua" w:cs="Arial"/>
          <w:bCs/>
          <w:sz w:val="24"/>
          <w:szCs w:val="24"/>
          <w:lang w:val="en-GB"/>
        </w:rPr>
        <w:t xml:space="preserve">the conclusions of </w:t>
      </w:r>
      <w:r w:rsidRPr="007F6B31">
        <w:rPr>
          <w:rFonts w:ascii="Book Antiqua" w:hAnsi="Book Antiqua" w:cs="Arial"/>
          <w:bCs/>
          <w:sz w:val="24"/>
          <w:szCs w:val="24"/>
          <w:lang w:val="en-GB"/>
        </w:rPr>
        <w:t>previous studies that</w:t>
      </w:r>
      <w:r w:rsidR="000C4766" w:rsidRPr="007F6B31">
        <w:rPr>
          <w:rFonts w:ascii="Book Antiqua" w:hAnsi="Book Antiqua" w:cs="Arial"/>
          <w:bCs/>
          <w:sz w:val="24"/>
          <w:szCs w:val="24"/>
          <w:lang w:val="en-GB"/>
        </w:rPr>
        <w:t xml:space="preserve"> </w:t>
      </w:r>
      <w:r w:rsidRPr="007F6B31">
        <w:rPr>
          <w:rFonts w:ascii="Book Antiqua" w:hAnsi="Book Antiqua" w:cs="Arial"/>
          <w:bCs/>
          <w:sz w:val="24"/>
          <w:szCs w:val="24"/>
          <w:lang w:val="en-GB"/>
        </w:rPr>
        <w:t xml:space="preserve">treatment with statins </w:t>
      </w:r>
      <w:r w:rsidR="000C4766" w:rsidRPr="007F6B31">
        <w:rPr>
          <w:rFonts w:ascii="Book Antiqua" w:hAnsi="Book Antiqua" w:cs="Arial"/>
          <w:bCs/>
          <w:sz w:val="24"/>
          <w:szCs w:val="24"/>
          <w:lang w:val="en-GB"/>
        </w:rPr>
        <w:t>is not</w:t>
      </w:r>
      <w:r w:rsidRPr="007F6B31">
        <w:rPr>
          <w:rFonts w:ascii="Book Antiqua" w:hAnsi="Book Antiqua" w:cs="Arial"/>
          <w:bCs/>
          <w:sz w:val="24"/>
          <w:szCs w:val="24"/>
          <w:lang w:val="en-GB"/>
        </w:rPr>
        <w:t xml:space="preserve"> beneficial </w:t>
      </w:r>
      <w:r w:rsidR="000C4766" w:rsidRPr="007F6B31">
        <w:rPr>
          <w:rFonts w:ascii="Book Antiqua" w:hAnsi="Book Antiqua" w:cs="Arial"/>
          <w:bCs/>
          <w:sz w:val="24"/>
          <w:szCs w:val="24"/>
          <w:lang w:val="en-GB"/>
        </w:rPr>
        <w:t>to</w:t>
      </w:r>
      <w:r w:rsidRPr="007F6B31">
        <w:rPr>
          <w:rFonts w:ascii="Book Antiqua" w:hAnsi="Book Antiqua" w:cs="Arial"/>
          <w:bCs/>
          <w:sz w:val="24"/>
          <w:szCs w:val="24"/>
          <w:lang w:val="en-GB"/>
        </w:rPr>
        <w:t xml:space="preserve"> the progression of liver diseases associated with LAL-</w:t>
      </w:r>
      <w:r w:rsidR="0047011E" w:rsidRPr="007F6B31">
        <w:rPr>
          <w:rFonts w:ascii="Book Antiqua" w:hAnsi="Book Antiqua" w:cs="Arial"/>
          <w:bCs/>
          <w:sz w:val="24"/>
          <w:szCs w:val="24"/>
          <w:lang w:val="en-GB"/>
        </w:rPr>
        <w:t>D</w:t>
      </w:r>
      <w:r w:rsidRPr="007F6B31">
        <w:rPr>
          <w:rFonts w:ascii="Book Antiqua" w:hAnsi="Book Antiqua" w:cs="Arial"/>
          <w:bCs/>
          <w:sz w:val="24"/>
          <w:szCs w:val="24"/>
          <w:lang w:val="en-GB"/>
        </w:rPr>
        <w:t xml:space="preserve"> due to enhanced acceleration of intracellular accumulation of cholesterol ester</w:t>
      </w:r>
      <w:r w:rsidR="001F2C55" w:rsidRPr="007F6B31">
        <w:rPr>
          <w:rFonts w:ascii="Book Antiqua" w:hAnsi="Book Antiqua" w:cs="Arial"/>
          <w:bCs/>
          <w:sz w:val="24"/>
          <w:szCs w:val="24"/>
          <w:vertAlign w:val="superscript"/>
          <w:lang w:val="en-GB"/>
        </w:rPr>
        <w:t>[</w:t>
      </w:r>
      <w:r w:rsidR="001F2C55" w:rsidRPr="007F6B31">
        <w:rPr>
          <w:rFonts w:ascii="Book Antiqua" w:hAnsi="Book Antiqua" w:cs="Arial"/>
          <w:bCs/>
          <w:sz w:val="24"/>
          <w:szCs w:val="24"/>
          <w:vertAlign w:val="superscript"/>
          <w:lang w:val="en-GB"/>
        </w:rPr>
        <w:fldChar w:fldCharType="begin" w:fldLock="1"/>
      </w:r>
      <w:r w:rsidR="001F2C55" w:rsidRPr="007F6B31">
        <w:rPr>
          <w:rFonts w:ascii="Book Antiqua" w:hAnsi="Book Antiqua" w:cs="Arial"/>
          <w:bCs/>
          <w:sz w:val="24"/>
          <w:szCs w:val="24"/>
          <w:vertAlign w:val="superscript"/>
          <w:lang w:val="en-GB"/>
        </w:rPr>
        <w:instrText>ADDIN CSL_CITATION {"citationItems":[{"id":"ITEM-1","itemData":{"DOI":"10.1016/j.jacl.2016.11.002","ISSN":"18764789","PMID":"28502505","abstract":"Background Lysosomal acid lipase deficiency (LALD) is an autosomal recessive disorder and an unrecognized cause of dyslipidemia. Patients usually present with dyslipidemia and altered liver function and mutations in LIPA gene are the underlying cause of LALD. Objective The aim of this study was to investigate LALD in individuals with severe dyslipidemia and/or liver steatosis. Methods Coding, splice regions, and promoter region of LIPA were sequenced by Sanger sequencing in a cohort of mutation-negative familial hypercholesterolemia (FH) patients (n = 492) and in a population sample comprising individuals with several types of dyslipidemia and/or liver steatosis (n = 258). Results This study led to the identification of LALD in 4 children referred to the Portuguese FH Study, all with a clinical diagnosis of FH. Mild liver dysfunction was present at the age of FH diagnosis; however, a diagnosis of LALD was not considered. No adults at the time of referral have been identified with LALD. Conclusion LALD is a life-threatening disorder, and early identification is crucial for the implementation of specific treatment to avoid premature mortality. FH cohorts should be investigated to identify possible LALD patients, who will need appropriate treatment. These results highlight the importance of correctly identifying the etiology of the dyslipidemia.","author":[{"dropping-particle":"","family":"Chora","given":"Joana Rita","non-dropping-particle":"","parse-names":false,"suffix":""},{"dropping-particle":"","family":"Alves","given":"Ana Catarina","non-dropping-particle":"","parse-names":false,"suffix":""},{"dropping-particle":"","family":"Medeiros","given":"Ana Margarida","non-dropping-particle":"","parse-names":false,"suffix":""},{"dropping-particle":"","family":"Mariano","given":"Cibelle","non-dropping-particle":"","parse-names":false,"suffix":""},{"dropping-particle":"","family":"Lobarinhas","given":"Goreti","non-dropping-particle":"","parse-names":false,"suffix":""},{"dropping-particle":"","family":"Guerra","given":"António","non-dropping-particle":"","parse-names":false,"suffix":""},{"dropping-particle":"","family":"Mansilha","given":"Helena","non-dropping-particle":"","parse-names":false,"suffix":""},{"dropping-particle":"","family":"Cortez-Pinto","given":"Helena","non-dropping-particle":"","parse-names":false,"suffix":""},{"dropping-particle":"","family":"Bourbon","given":"Mafalda","non-dropping-particle":"","parse-names":false,"suffix":""}],"container-title":"Journal of Clinical Lipidology","id":"ITEM-1","issued":{"date-parts":[["2017"]]},"title":"Lysosomal acid lipase deficiency: A hidden disease among cohorts of familial hypercholesterolemia?","type":"article-journal"},"uris":["http://www.mendeley.com/documents/?uuid=5a21cca3-d6d9-49db-9b69-422c5405843b"]},{"id":"ITEM-2","itemData":{"DOI":"10.1016/j.jhep.2013.02.014","ISBN":"0168-8278","ISSN":"01688278","PMID":"23485521","abstract":"Cholesteryl ester storage disease (CESD) is caused by deficient lysosomal acid lipase (LAL) activity, predominantly resulting in cholesteryl ester (CE) accumulation, particularly in the liver, spleen, and macrophages throughout the body. The disease is characterized by microvesicular steatosis leading to liver failure, accelerated atherosclerosis and premature demise. Although CESD is rare, it is likely that many patients are unrecognized or misdiagnosed. Here, the findings in 135 CESD patients described in the literature are reviewed. Diagnoses were based on liver biopsies, LAL deficiency and/or LAL gene (LIPA) mutations. Hepatomegaly was present in 99.3% of patients; 74% also had splenomegaly. When reported, most patients had elevated serum total cholesterol, LDL-cholesterol, triglycerides, and transaminases (AST, ALT, or both), while HDL-cholesterol was decreased. All 112 liver biopsied patients had the characteristic pathology, which is progressive, and includes microvesicular steatosis, which leads to fibrosis, micronodular cirrhosis, and ultimately to liver failure. Pathognomonic birefringent CE crystals or their remnant clefts were observed in hepatic cells. Extrahepatic manifestations included portal hypertension, esophageal varices, and accelerated atherosclerosis. Liver failure in 17 reported patients resulted in liver transplantation and/or death. Genotyping identified 31 LIPA mutations in 55 patients; 61% of mutations were the common exon 8 splice-junction mutation (E8SJM-1G&gt;A), for which 18 patients were homozygous. Genotype/phenotype correlations were limited; however, E8SJM-1G&gt;Ahomozygotes typically had early-onset, slowly progressive disease. Supportive treatment included cholestyramine, statins, and, ultimately, liver transplantation. Recombinant LAL replacement was shown to be effective in animal models, and recently, a phase I/II clinical trial demonstrated its safety and indicated its potential metabolic efficacy. © 2013 European Association for the Study of the Liver. Published by Elsevier B.V. All rights reserved.","author":[{"dropping-particle":"","family":"Bernstein","given":"Donna L.","non-dropping-particle":"","parse-names":false,"suffix":""},{"dropping-particle":"","family":"Hülkova","given":"Helena","non-dropping-particle":"","parse-names":false,"suffix":""},{"dropping-particle":"","family":"Bialer","given":"Martin G.","non-dropping-particle":"","parse-names":false,"suffix":""},{"dropping-particle":"","family":"Desnick","given":"Robert J.","non-dropping-particle":"","parse-names":false,"suffix":""}],"container-title":"Journal of Hepatology","id":"ITEM-2","issue":"6","issued":{"date-parts":[["2013","6"]]},"page":"1230-1243","title":"Cholesteryl ester storage disease: Review of the findings in 135 reported patients with an underdiagnosed disease","type":"article-journal","volume":"58"},"uris":["http://www.mendeley.com/documents/?uuid=9be8b44a-fd42-4812-ab39-722fe7bdc933"]},{"id":"ITEM-3","itemData":{"DOI":"10.1016/j.atherosclerosis.2014.04.003","ISBN":"1879-1484 (Electronic)\\r0021-9150 (Linking)","ISSN":"18791484","PMID":"24792990","abstract":"Lysosomal acid lipase deficiency (LAL-D) is a rare autosomal recessive lysosomal storage disease caused by deleterious mutations in the LIPA gene. The age at onset and rate of progression vary greatly and this may relate to the nature of the underlying mutations. Patients presenting in infancy have the most rapidly progressive disease, developing signs and symptoms in the first weeks of life and rarely surviving beyond 6 months of age. Children and adults typically present with some combination of dyslipidaemia, hepatomegaly, elevated transaminases, and microvesicular hepatosteatosis on biopsy. Liver damage with progression to fibrosis, cirrhosis and liver failure occurs in a large proportion of patients. Elevated low-density lipoprotein cholesterol levels and decreased high-density lipoprotein cholesterol levels are common features, and cardiovascular disease may manifest as early as childhood. Given that these clinical manifestations are shared with other cardiovascular, liver and metabolic diseases, it is not surprising that LAL-D is under-recognized in clinical practice. This article provides practical guidance to lipidologists, endocrinologists, cardiologists and hepatologists on how to recognize individuals with this life-limiting disease. A diagnostic algorithm is proposed with a view to achieving definitive diagnosis using a recently developed blood test for lysosomal acid lipase. Finally, current management options are reviewed in light of the ongoing development of enzyme replacement therapy with sebelipase alfa (Synageva BioPharma Corp., Lexington, MA, USA), a recombinant human lysosomal acid lipase enzyme. © 2014 The Authors.","author":[{"dropping-particle":"","family":"Reiner","given":"Željko","non-dropping-particle":"","parse-names":false,"suffix":""},{"dropping-particle":"","family":"Guardamagna","given":"Ornella","non-dropping-particle":"","parse-names":false,"suffix":""},{"dropping-particle":"","family":"Nair","given":"Devaki","non-dropping-particle":"","parse-names":false,"suffix":""},{"dropping-particle":"","family":"Soran","given":"Handrean","non-dropping-particle":"","parse-names":false,"suffix":""},{"dropping-particle":"","family":"Hovingh","given":"Kees","non-dropping-particle":"","parse-names":false,"suffix":""},{"dropping-particle":"","family":"Bertolini","given":"Stefano","non-dropping-particle":"","parse-names":false,"suffix":""},{"dropping-particle":"","family":"Jones","given":"Simon","non-dropping-particle":"","parse-names":false,"suffix":""},{"dropping-particle":"","family":"Ćorić","given":"Marijana","non-dropping-particle":"","parse-names":false,"suffix":""},{"dropping-particle":"","family":"Calandra","given":"Sebastiano","non-dropping-particle":"","parse-names":false,"suffix":""},{"dropping-particle":"","family":"Hamilton","given":"John","non-dropping-particle":"","parse-names":false,"suffix":""},{"dropping-particle":"","family":"Eagleton","given":"Terence","non-dropping-particle":"","parse-names":false,"suffix":""},{"dropping-particle":"","family":"Ros","given":"Emilio","non-dropping-particle":"","parse-names":false,"suffix":""}],"container-title":"Atherosclerosis","id":"ITEM-3","issue":"1","issued":{"date-parts":[["2014","7"]]},"language":"eng","page":"21-30","publisher-place":"Ireland","title":"Lysosomal acid lipase deficiency - An under-recognized cause of dyslipidaemia and liver dysfunction","type":"article","volume":"235"},"uris":["http://www.mendeley.com/documents/?uuid=bd9ee095-d349-4d55-b2f2-bded476b67fe"]},{"id":"ITEM-4","itemData":{"DOI":"10.1371/journal.pone.0156113","ISBN":"1945-3027","ISSN":"19326203","abstract":"Lysosomal acid lipase deficiency (LAL-d) is a rare autosomal recessive disease in which LAL activity is almost absent, with consequent massive microvesicular steatosis evolving to cirrhosis and liver failure. We aimed to determine LAL-activity, and to investigate the most common single nucleotide polymorphism (SNP) affecting the LIPA gene and responsible for 50-70% of LAL-d cases (rs116928232 c.894G&gt;A), in patients with cryptogenic cirrhosis. Sixty-three patients with cryptogenic cirrhosis, 88 cirrhotics of known etiology, and 97 healthy subjects were enrolled. LAL-activity was determined in dried-blood-spot (DBS). The c.894G&gt;A mutation was analyzed by pyrosequencing method in SNP mode. LAL-activity was severely reduced in patients with cryptogenic cirrhosis with respect to healthy subjects [0.62 (0.44-0.86) Vs 0.96 (0.75-1.25) nmol/spot/h, p&lt;0.001)], but it was also reduced in known-etiology cirrhotics [0.54 (0.42-0.79) nmol/spot/h, p&lt;0.001 Vs healthy subjects; p = 0.5 Vs cryptogenic cirrhotics]. Fourteen percent of cryptogenic cirrhotics and 20% of knownetiology cirrhotics showed a LAL-activity in the range of heterozygous carriers of LIPA gene mutations (0.15-0.40 nmol/spot/h). However, none of the subjects with reduced LAL-activity carried the c.894G&gt;A SNP except for one patient with HCV cirrhosis. By multivariate analysis, LAL-activity was not associated with age, sex, liver enzymes, liver function or lipid parameters, while it was independently associated with white blood cell (β = 0.2; p&lt;0.01) and platelet (β = 0.4; p&lt;0.001) counts and with the condition of cirrhosis (β = -0.2; p = 0.04). Conclusion: Liver cirrhosis is characterized by a severe acquired reduction of LAL-activity, the precise causes and consequences of which need to be further addressed. DBS-determined lysosomal enzyme activities seem to be affected by white blood cell and platelet counts, and the specificity of these tests can be reduced when applied to determined populations, such as cirrhotics.","author":[{"dropping-particle":"","family":"Vespasiani-Gentilucci","given":"Umberto","non-dropping-particle":"","parse-names":false,"suffix":""},{"dropping-particle":"","family":"Gallo","given":"Paolo","non-dropping-particle":"","parse-names":false,"suffix":""},{"dropping-particle":"","family":"Piemonte","given":"Fiorella","non-dropping-particle":"","parse-names":false,"suffix":""},{"dropping-particle":"","family":"Riva","given":"Elisabetta","non-dropping-particle":"","parse-names":false,"suffix":""},{"dropping-particle":"","family":"Porcari","given":"Aldostefano","non-dropping-particle":"","parse-names":false,"suffix":""},{"dropping-particle":"","family":"Vorini","given":"Ferruccio","non-dropping-particle":"","parse-names":false,"suffix":""},{"dropping-particle":"","family":"Tozzi","given":"Giulia","non-dropping-particle":"","parse-names":false,"suffix":""},{"dropping-particle":"","family":"Piccioni","given":"Livia","non-dropping-particle":"","parse-names":false,"suffix":""},{"dropping-particle":"","family":"Galati","given":"Giovanni","non-dropping-particle":"","parse-names":false,"suffix":""},{"dropping-particle":"","family":"Vincentis","given":"Antonio","non-dropping-particle":"De","parse-names":false,"suffix":""},{"dropping-particle":"","family":"Carotti","given":"Simone","non-dropping-particle":"","parse-names":false,"suffix":""},{"dropping-particle":"","family":"Morini","given":"Sergio","non-dropping-particle":"","parse-names":false,"suffix":""},{"dropping-particle":"","family":"D'Amico","given":"Jessica","non-dropping-particle":"","parse-names":false,"suffix":""},{"dropping-particle":"","family":"Angeletti","given":"Silvia","non-dropping-particle":"","parse-names":false,"suffix":""},{"dropping-particle":"","family":"Pedone","given":"Claudio","non-dropping-particle":"","parse-names":false,"suffix":""},{"dropping-particle":"","family":"Picardi","given":"Antonio","non-dropping-particle":"","parse-names":false,"suffix":""}],"container-title":"PLoS ONE","id":"ITEM-4","issued":{"date-parts":[["2016"]]},"title":"Lysosomal acid lipase activity is reduced both in cryptogenic cirrhosis and in cirrhosis of known etiology","type":"article-journal"},"uris":["http://www.mendeley.com/documents/?uuid=3bc815bc-649c-46d4-a012-f26a8f18ec9e"]},{"id":"ITEM-5","itemData":{"DOI":"10.1016/j.atherosclerosis.2019.06.356","ISSN":"00219150","abstract":"Background and Aims: Lysosomal acid lipase (LAL) is a key enzyme in intracellular cholesterol trafficking and LAL deficiency is associated with fatty liver. A previous study showed a correlation between serum LAL activity and histological fibrosis stage in child with non-alcoholic fatty liver disease (NAFLD). Aim of the study was to investigate the association between serum LAL activity and liver fibrosis in adult patients with different degree of NAFLD Methods: We consecutively screened outpatients referred to the internal medicine clinic of Policlinico Umberto I – Sapienza in Rome. We enrolled 643 patients with no history of alcohol abuse, negative for HBV and HCV, and not using steatogenic drugs. Non-cirrhotic patients were screened with liver ultrasonography (US). Patients with persistent liver enzyme elevation (&gt; 6 months) underwent to liver biopsy. Fib-4 were calculated. Patients with Fib-4&gt;3.25 were considered cirrhotic. Patients with Fib-4&lt;1.45 Were defined as “non-fibrotic patients”. Serum LAL activity was tested on dried blood spot Results: 60 patients were cirrhotic, 60 had NASH, 453 had simple steatosis, and 70 didn’t have steatosis at US. LAL activity in these groups was 0.47 [0.37-0.65] vs 0.77 [0.61-1.05] vs 0.90 [0.67-1.18] vs 0.95 [0.73-1.21] nmol/spot/h, respectively (p&lt;0.001). LAL activity was 0.93 [0.70-1.20] and 0.48 [0.39-0.72] in non-fibrotic patients and in cirrhotic, respectively (p&lt;0.001). At multivariate analysis cirrhosis correlates with sex (female) OR: 0.515 [0.271-0.978], diabetes OR: 3.971 [2.208-7.141] and LAL activity OR: 0.008 [0.002-0.030]. Conclusions: LAL activity correlates inversely with liver fibrosis, suggesting a possible role of impaired intracellular cholesterol trafficking in NAFLD pathogenesis and progression","author":[{"dropping-particle":"","family":"Baratta","given":"F.","non-dropping-particle":"","parse-names":false,"suffix":""},{"dropping-particle":"","family":"Pastori","given":"D.","non-dropping-particle":"","parse-names":false,"suffix":""},{"dropping-particle":"","family":"Tozzi","given":"G.","non-dropping-particle":"","parse-names":false,"suffix":""},{"dropping-particle":"","family":"Corradini","given":"S. Ginanni","non-dropping-particle":"","parse-names":false,"suffix":""},{"dropping-particle":"","family":"Violi","given":"F.","non-dropping-particle":"","parse-names":false,"suffix":""},{"dropping-particle":"","family":"Angelico","given":"F.","non-dropping-particle":"","parse-names":false,"suffix":""},{"dropping-particle":"","family":"Ben","given":"M.","non-dropping-particle":"Del","parse-names":false,"suffix":""}],"container-title":"Atherosclerosis","id":"ITEM-5","issued":{"date-parts":[["2019"]]},"title":"Lysosomal Acid Lipase Activity And Hepatic Fibrosis In Non-Alcoholic Fatty Liver Disease","type":"article-journal"},"uris":["http://www.mendeley.com/documents/?uuid=0ab5d33a-2a1b-4fc8-a2e0-461196530afb"]},{"id":"ITEM-6","itemData":{"DOI":"10.1016/j.atherosclerosis.2017.03.038","ISSN":"18791484","abstract":"Background and aims Blood lysosomal acid lipase (LAL) is reduced in non-alcoholic steatohepatitis, which is the major cause of cryptogenic cirrhosis (CC); few data on LAL activity in CC do exist. We investigated LAL activity in a cohort of patients with liver cirrhosis. Methods This is a multicentre cohort study including 274 patients with liver cirrhosis of different aetiology from 19 centres of Internal Medicine, Gastroenterology and Hepatology distributed throughout Italy. Blood LAL activity (nmol/spot/h) was measured with dried blood spot extracts using Lalistat 2. Results Overall, 133 patients had CC, and 141 patients had cirrhosis by other causes (61 viral, 53 alcoholic, 20 alcoholic + viral, 7 autoimmune). Mean age was 64.2 ± 13.4 years, and 28.5% were women. Patients with CC were older compared to other aetiology-cirrhosis, with a lower Child-Turcotte-Pugh (CTP, p=0.003) and MELD (p=0.009) score, and a higher prevalence of cardio-metabolic risk factors and previous ischemic events. In the whole cohort, median LAL activity value was 0.58 nmol/spot/h, 0.49 and 0.65 in the groups of CC and known-aetiology cirrhosis, respectively (p=0.002). The difference remained significant after adjustment for white blood cells count (p=0.001). Multivariable linear regression analysis showed that CC (vs. known aetiology, Beta = −0.144, p=0.018), platelet count (Beta = 0.398, p &lt; 0.001) and CTP score (Beta = −0.133, p=0.022) were associated with log-LAL activity. Similar results were found using MELD as covariate. Conclusions We found a marked reduction of LAL activity in patients with cryptogenic cirrhosis compared to the other known aetiologies. A prospective study will clarify the role of LAL in chronic liver diseases.","author":[{"dropping-particle":"","family":"Angelico","given":"Francesco","non-dropping-particle":"","parse-names":false,"suffix":""},{"dropping-particle":"","family":"Corradini","given":"Stefano Ginanni","non-dropping-particle":"","parse-names":false,"suffix":""},{"dropping-particle":"","family":"Pastori","given":"Daniele","non-dropping-particle":"","parse-names":false,"suffix":""},{"dropping-particle":"","family":"Fargion","given":"Silvia","non-dropping-particle":"","parse-names":false,"suffix":""},{"dropping-particle":"","family":"Fracanzani","given":"Anna Ludovica","non-dropping-particle":"","parse-names":false,"suffix":""},{"dropping-particle":"","family":"Angelico","given":"Mario","non-dropping-particle":"","parse-names":false,"suffix":""},{"dropping-particle":"","family":"Bolondi","given":"Luigi","non-dropping-particle":"","parse-names":false,"suffix":""},{"dropping-particle":"","family":"Tozzi","given":"Giulia","non-dropping-particle":"","parse-names":false,"suffix":""},{"dropping-particle":"","family":"Pujatti","given":"Pietro Luigi","non-dropping-particle":"","parse-names":false,"suffix":""},{"dropping-particle":"","family":"Labbadia","given":"Giancarlo","non-dropping-particle":"","parse-names":false,"suffix":""},{"dropping-particle":"","family":"Corazza","given":"Gino Roberto","non-dropping-particle":"","parse-names":false,"suffix":""},{"dropping-particle":"","family":"Averna","given":"Maurizio","non-dropping-particle":"","parse-names":false,"suffix":""},{"dropping-particle":"","family":"Perticone","given":"Francesco","non-dropping-particle":"","parse-names":false,"suffix":""},{"dropping-particle":"","family":"Croce","given":"Giuseppe","non-dropping-particle":"","parse-names":false,"suffix":""},{"dropping-particle":"","family":"Persico","given":"Marcello","non-dropping-particle":"","parse-names":false,"suffix":""},{"dropping-particle":"","family":"Bucci","given":"Tommaso","non-dropping-particle":"","parse-names":false,"suffix":""},{"dropping-particle":"","family":"Baratta","given":"Francesco","non-dropping-particle":"","parse-names":false,"suffix":""},{"dropping-particle":"","family":"Polimeni","given":"Licia","non-dropping-particle":"","parse-names":false,"suffix":""},{"dropping-particle":"","family":"Ben","given":"Maria","non-dropping-particle":"Del","parse-names":false,"suffix":""},{"dropping-particle":"","family":"Violi","given":"Francesco","non-dropping-particle":"","parse-names":false,"suffix":""},{"dropping-particle":"","family":"Basili","given":"Stefania","non-dropping-particle":"","parse-names":false,"suffix":""},{"dropping-particle":"","family":"Raparelli","given":"Valeria","non-dropping-particle":"","parse-names":false,"suffix":""},{"dropping-particle":"","family":"Napoleone","given":"Laura","non-dropping-particle":"","parse-names":false,"suffix":""},{"dropping-particle":"","family":"Ferri","given":"Flaminia","non-dropping-particle":"","parse-names":false,"suffix":""},{"dropping-particle":"","family":"Pellone","given":"Monica","non-dropping-particle":"","parse-names":false,"suffix":""},{"dropping-particle":"","family":"Mischitelli","given":"Monica","non-dropping-particle":"","parse-names":false,"suffix":""},{"dropping-particle":"","family":"Parlati","given":"Lucia","non-dropping-particle":"","parse-names":false,"suffix":""},{"dropping-particle":"","family":"D'Amico","given":"Jessica","non-dropping-particle":"","parse-names":false,"suffix":""},{"dropping-particle":"","family":"Colzi","given":"Marina","non-dropping-particle":"","parse-names":false,"suffix":""},{"dropping-particle":"","family":"Andreozzi","given":"Paola","non-dropping-particle":"","parse-names":false,"suffix":""},{"dropping-particle":"","family":"Masotti","given":"Michela","non-dropping-particle":"","parse-names":false,"suffix":""},{"dropping-particle":"","family":"Bergamaschi","given":"Gaetano","non-dropping-particle":"","parse-names":false,"suffix":""},{"dropping-particle":"","family":"Santopaolo","given":"Francesco","non-dropping-particle":"","parse-names":false,"suffix":""},{"dropping-particle":"","family":"Francioso","given":"Simona","non-dropping-particle":"","parse-names":false,"suffix":""},{"dropping-particle":"","family":"Faedo","given":"Alessandra","non-dropping-particle":"","parse-names":false,"suffix":""},{"dropping-particle":"","family":"Andriulli","given":"Angelo","non-dropping-particle":"","parse-names":false,"suffix":""},{"dropping-particle":"","family":"Ippolito","given":"Antonio M.","non-dropping-particle":"","parse-names":false,"suffix":""},{"dropping-particle":"","family":"Tovoli","given":"Francesco","non-dropping-particle":"","parse-names":false,"suffix":""},{"dropping-particle":"","family":"Davì","given":"Giovanni","non-dropping-particle":"","parse-names":false,"suffix":""},{"dropping-particle":"","family":"Michele","given":"Dario","non-dropping-particle":"Di","parse-names":false,"suffix":""},{"dropping-particle":"","family":"Giammanco","given":"Antonina","non-dropping-particle":"","parse-names":false,"suffix":""},{"dropping-particle":"","family":"Iuliano","given":"Luigi","non-dropping-particle":"","parse-names":false,"suffix":""},{"dropping-particle":"","family":"Ciacciarelli","given":"Marco","non-dropping-particle":"","parse-names":false,"suffix":""}],"container-title":"Atherosclerosis","id":"ITEM-6","issued":{"date-parts":[["2017"]]},"title":"Severe reduction of blood lysosomal acid lipase activity in cryptogenic cirrhosis: A nationwide multicentre cohort study","type":"article-journal"},"uris":["http://www.mendeley.com/documents/?uuid=513a937f-1c07-45c0-8086-d680b47460a9"]}],"mendeley":{"formattedCitation":"&lt;sup&gt;8,16,19,38–40&lt;/sup&gt;","plainTextFormattedCitation":"8,16,19,38–40"},"properties":{"noteIndex":0},"schema":"https://github.com/citation-style-language/schema/raw/master/csl-citation.json"}</w:instrText>
      </w:r>
      <w:r w:rsidR="001F2C55" w:rsidRPr="007F6B31">
        <w:rPr>
          <w:rFonts w:ascii="Book Antiqua" w:hAnsi="Book Antiqua" w:cs="Arial"/>
          <w:bCs/>
          <w:sz w:val="24"/>
          <w:szCs w:val="24"/>
          <w:vertAlign w:val="superscript"/>
          <w:lang w:val="en-GB"/>
        </w:rPr>
        <w:fldChar w:fldCharType="separate"/>
      </w:r>
      <w:r w:rsidR="001F2C55" w:rsidRPr="007F6B31">
        <w:rPr>
          <w:rFonts w:ascii="Book Antiqua" w:hAnsi="Book Antiqua" w:cs="Arial"/>
          <w:bCs/>
          <w:noProof/>
          <w:sz w:val="24"/>
          <w:szCs w:val="24"/>
          <w:vertAlign w:val="superscript"/>
          <w:lang w:val="en-GB"/>
        </w:rPr>
        <w:t>8,16,19,3</w:t>
      </w:r>
      <w:r w:rsidR="00B42869" w:rsidRPr="007F6B31">
        <w:rPr>
          <w:rFonts w:ascii="Book Antiqua" w:hAnsi="Book Antiqua" w:cs="Arial"/>
          <w:bCs/>
          <w:noProof/>
          <w:sz w:val="24"/>
          <w:szCs w:val="24"/>
          <w:vertAlign w:val="superscript"/>
          <w:lang w:val="en-GB"/>
        </w:rPr>
        <w:t>7</w:t>
      </w:r>
      <w:r w:rsidR="001F2C55" w:rsidRPr="007F6B31">
        <w:rPr>
          <w:rFonts w:ascii="Book Antiqua" w:hAnsi="Book Antiqua" w:cs="Arial"/>
          <w:bCs/>
          <w:noProof/>
          <w:sz w:val="24"/>
          <w:szCs w:val="24"/>
          <w:vertAlign w:val="superscript"/>
          <w:lang w:val="en-GB"/>
        </w:rPr>
        <w:t>-</w:t>
      </w:r>
      <w:r w:rsidR="00B42869" w:rsidRPr="007F6B31">
        <w:rPr>
          <w:rFonts w:ascii="Book Antiqua" w:hAnsi="Book Antiqua" w:cs="Arial"/>
          <w:bCs/>
          <w:noProof/>
          <w:sz w:val="24"/>
          <w:szCs w:val="24"/>
          <w:vertAlign w:val="superscript"/>
          <w:lang w:val="en-GB"/>
        </w:rPr>
        <w:t>39</w:t>
      </w:r>
      <w:r w:rsidR="001F2C55" w:rsidRPr="007F6B31">
        <w:rPr>
          <w:rFonts w:ascii="Book Antiqua" w:hAnsi="Book Antiqua" w:cs="Arial"/>
          <w:bCs/>
          <w:sz w:val="24"/>
          <w:szCs w:val="24"/>
          <w:vertAlign w:val="superscript"/>
          <w:lang w:val="en-GB"/>
        </w:rPr>
        <w:fldChar w:fldCharType="end"/>
      </w:r>
      <w:r w:rsidR="001F2C55" w:rsidRPr="007F6B31">
        <w:rPr>
          <w:rFonts w:ascii="Book Antiqua" w:hAnsi="Book Antiqua" w:cs="Arial"/>
          <w:bCs/>
          <w:sz w:val="24"/>
          <w:szCs w:val="24"/>
          <w:vertAlign w:val="superscript"/>
          <w:lang w:val="en-GB"/>
        </w:rPr>
        <w:t>]</w:t>
      </w:r>
      <w:r w:rsidR="007D44FF" w:rsidRPr="007F6B31">
        <w:rPr>
          <w:rFonts w:ascii="Book Antiqua" w:hAnsi="Book Antiqua" w:cs="Arial"/>
          <w:bCs/>
          <w:sz w:val="24"/>
          <w:szCs w:val="24"/>
          <w:lang w:val="en-GB"/>
        </w:rPr>
        <w:t>.</w:t>
      </w:r>
      <w:r w:rsidRPr="007F6B31">
        <w:rPr>
          <w:rFonts w:ascii="Book Antiqua" w:hAnsi="Book Antiqua" w:cs="Arial"/>
          <w:bCs/>
          <w:sz w:val="24"/>
          <w:szCs w:val="24"/>
          <w:lang w:val="en-GB"/>
        </w:rPr>
        <w:t xml:space="preserve"> </w:t>
      </w:r>
      <w:r w:rsidR="007D44FF" w:rsidRPr="007F6B31">
        <w:rPr>
          <w:rFonts w:ascii="Book Antiqua" w:hAnsi="Book Antiqua" w:cs="Arial"/>
          <w:bCs/>
          <w:sz w:val="24"/>
          <w:szCs w:val="24"/>
          <w:lang w:val="en-GB"/>
        </w:rPr>
        <w:t xml:space="preserve">The current treatment of choice is </w:t>
      </w:r>
      <w:proofErr w:type="spellStart"/>
      <w:r w:rsidR="007D44FF" w:rsidRPr="007F6B31">
        <w:rPr>
          <w:rFonts w:ascii="Book Antiqua" w:hAnsi="Book Antiqua" w:cs="Arial"/>
          <w:bCs/>
          <w:sz w:val="24"/>
          <w:szCs w:val="24"/>
          <w:lang w:val="en-GB"/>
        </w:rPr>
        <w:t>Sebelipase</w:t>
      </w:r>
      <w:proofErr w:type="spellEnd"/>
      <w:r w:rsidR="007D44FF" w:rsidRPr="007F6B31">
        <w:rPr>
          <w:rFonts w:ascii="Book Antiqua" w:hAnsi="Book Antiqua" w:cs="Arial"/>
          <w:bCs/>
          <w:sz w:val="24"/>
          <w:szCs w:val="24"/>
          <w:lang w:val="en-GB"/>
        </w:rPr>
        <w:t xml:space="preserve"> alfa</w:t>
      </w:r>
      <w:r w:rsidR="000C4766" w:rsidRPr="007F6B31">
        <w:rPr>
          <w:rFonts w:ascii="Book Antiqua" w:hAnsi="Book Antiqua" w:cs="Arial"/>
          <w:bCs/>
          <w:sz w:val="24"/>
          <w:szCs w:val="24"/>
          <w:lang w:val="en-GB"/>
        </w:rPr>
        <w:t>,</w:t>
      </w:r>
      <w:r w:rsidR="007D44FF" w:rsidRPr="007F6B31">
        <w:rPr>
          <w:rFonts w:ascii="Book Antiqua" w:hAnsi="Book Antiqua" w:cs="Arial"/>
          <w:bCs/>
          <w:sz w:val="24"/>
          <w:szCs w:val="24"/>
          <w:lang w:val="en-GB"/>
        </w:rPr>
        <w:t xml:space="preserve"> based on a randomi</w:t>
      </w:r>
      <w:r w:rsidR="00047FA1" w:rsidRPr="007F6B31">
        <w:rPr>
          <w:rFonts w:ascii="Book Antiqua" w:hAnsi="Book Antiqua" w:cs="Arial"/>
          <w:bCs/>
          <w:sz w:val="24"/>
          <w:szCs w:val="24"/>
          <w:lang w:val="en-GB"/>
        </w:rPr>
        <w:t>z</w:t>
      </w:r>
      <w:r w:rsidR="007D44FF" w:rsidRPr="007F6B31">
        <w:rPr>
          <w:rFonts w:ascii="Book Antiqua" w:hAnsi="Book Antiqua" w:cs="Arial"/>
          <w:bCs/>
          <w:sz w:val="24"/>
          <w:szCs w:val="24"/>
          <w:lang w:val="en-GB"/>
        </w:rPr>
        <w:t>ed controlled trial showing beneficial effects on several clinical outcomes</w:t>
      </w:r>
      <w:r w:rsidR="00B227A9" w:rsidRPr="007F6B31">
        <w:rPr>
          <w:rFonts w:ascii="Book Antiqua" w:hAnsi="Book Antiqua" w:cs="Arial"/>
          <w:bCs/>
          <w:sz w:val="24"/>
          <w:szCs w:val="24"/>
          <w:vertAlign w:val="superscript"/>
          <w:lang w:val="en-GB"/>
        </w:rPr>
        <w:t>[</w:t>
      </w:r>
      <w:r w:rsidR="00B227A9" w:rsidRPr="007F6B31">
        <w:rPr>
          <w:rFonts w:ascii="Book Antiqua" w:hAnsi="Book Antiqua" w:cs="Arial"/>
          <w:bCs/>
          <w:sz w:val="24"/>
          <w:szCs w:val="24"/>
          <w:vertAlign w:val="superscript"/>
          <w:lang w:val="en-GB"/>
        </w:rPr>
        <w:fldChar w:fldCharType="begin" w:fldLock="1"/>
      </w:r>
      <w:r w:rsidR="00B227A9" w:rsidRPr="007F6B31">
        <w:rPr>
          <w:rFonts w:ascii="Book Antiqua" w:hAnsi="Book Antiqua" w:cs="Arial"/>
          <w:bCs/>
          <w:sz w:val="24"/>
          <w:szCs w:val="24"/>
          <w:vertAlign w:val="superscript"/>
          <w:lang w:val="en-GB"/>
        </w:rPr>
        <w:instrText>ADDIN CSL_CITATION {"citationItems":[{"id":"ITEM-1","itemData":{"DOI":"10.1056/NEJMoa1501365","ISSN":"1533-4406 (Electronic)","PMID":"26352813","abstract":"BACKGROUND: Lysosomal acid lipase is an essential lipid-metabolizing enzyme that  breaks down endocytosed lipid particles and regulates lipid metabolism. We conducted a phase 3 trial of enzyme-replacement therapy in children and adults with lysosomal acid lipase deficiency, an underappreciated cause of cirrhosis and severe dyslipidemia. METHODS: In this multicenter, randomized, double-blind, placebo-controlled study involving 66 patients, we evaluated the safety and effectiveness of enzyme-replacement therapy with sebelipase alfa (administered intravenously at a dose of 1 mg per kilogram of body weight every other week); the placebo-controlled phase of the study was 20 weeks long and was followed by open-label treatment for all patients. The primary end point was normalization of the alanine aminotransferase level. Secondary end points included additional disease-related efficacy assessments, safety, and side-effect profile. RESULTS: Substantial disease burden at baseline included a very high level of low-density lipoprotein cholesterol (&gt;/=190 mg per deciliter) in 38 of 66 patients (58%) and cirrhosis in 10 of 32 patients (31%) who underwent biopsy. A total of 65 of the 66 patients who underwent randomization completed the double-blind portion of the trial and continued with open-label treatment. At 20 weeks, the alanine aminotransferase level was normal in 11 of 36 patients (31%) in the sebelipase alfa group and in 2 of 30 (7%) in the placebo group (P=0.03), with mean changes from baseline of -58 U per liter versus -7 U per liter (P&lt;0.001). With respect to prespecified key secondary efficacy end points, we observed improvements in lipid levels and reduction in hepatic fat content (P&lt;0.001 for all comparisons, except P=0.04 for triglycerides). The number of patients with adverse events was similar in the two groups; most events were mild and were considered by the investigator to be unrelated to treatment. CONCLUSIONS: Sebelipase alfa therapy resulted in a reduction in multiple disease-related hepatic and lipid abnormalities in children and adults with lysosomal acid lipase deficiency. (Funded by Synageva BioPharma and others; ARISE ClinicalTrials.gov number, NCT01757184.).","author":[{"dropping-particle":"","family":"Burton","given":"Barbara K","non-dropping-particle":"","parse-names":false,"suffix":""},{"dropping-particle":"","family":"Balwani","given":"Manisha","non-dropping-particle":"","parse-names":false,"suffix":""},{"dropping-particle":"","family":"Feillet","given":"Francois","non-dropping-particle":"","parse-names":false,"suffix":""},{"dropping-particle":"","family":"Baric","given":"Ivo","non-dropping-particle":"","parse-names":false,"suffix":""},{"dropping-particle":"","family":"Burrow","given":"T Andrew","non-dropping-particle":"","parse-names":false,"suffix":""},{"dropping-particle":"","family":"Camarena Grande","given":"Carmen","non-dropping-particle":"","parse-names":false,"suffix":""},{"dropping-particle":"","family":"Coker","given":"Mahmut","non-dropping-particle":"","parse-names":false,"suffix":""},{"dropping-particle":"","family":"Consuelo-Sanchez","given":"Alejandra","non-dropping-particle":"","parse-names":false,"suffix":""},{"dropping-particle":"","family":"Deegan","given":"Patrick","non-dropping-particle":"","parse-names":false,"suffix":""},{"dropping-particle":"","family":"Rocco","given":"Maja","non-dropping-particle":"Di","parse-names":false,"suffix":""},{"dropping-particle":"","family":"Enns","given":"Gregory M","non-dropping-particle":"","parse-names":false,"suffix":""},{"dropping-particle":"","family":"Erbe","given":"Richard","non-dropping-particle":"","parse-names":false,"suffix":""},{"dropping-particle":"","family":"Ezgu","given":"Fatih","non-dropping-particle":"","parse-names":false,"suffix":""},{"dropping-particle":"","family":"Ficicioglu","given":"Can","non-dropping-particle":"","parse-names":false,"suffix":""},{"dropping-particle":"","family":"Furuya","given":"Katryn N","non-dropping-particle":"","parse-names":false,"suffix":""},{"dropping-particle":"","family":"Kane","given":"John","non-dropping-particle":"","parse-names":false,"suffix":""},{"dropping-particle":"","family":"Laukaitis","given":"Christina","non-dropping-particle":"","parse-names":false,"suffix":""},{"dropping-particle":"","family":"Mengel","given":"Eugen","non-dropping-particle":"","parse-names":false,"suffix":""},{"dropping-particle":"","family":"Neilan","given":"Edward G","non-dropping-particle":"","parse-names":false,"suffix":""},{"dropping-particle":"","family":"Nightingale","given":"Scott","non-dropping-particle":"","parse-names":false,"suffix":""},{"dropping-particle":"","family":"Peters","given":"Heidi","non-dropping-particle":"","parse-names":false,"suffix":""},{"dropping-particle":"","family":"Scarpa","given":"Maurizio","non-dropping-particle":"","parse-names":false,"suffix":""},{"dropping-particle":"","family":"Schwab","given":"K Otfried","non-dropping-particle":"","parse-names":false,"suffix":""},{"dropping-particle":"","family":"Smolka","given":"Vratislav","non-dropping-particle":"","parse-names":false,"suffix":""},{"dropping-particle":"","family":"Valayannopoulos","given":"Vassili","non-dropping-particle":"","parse-names":false,"suffix":""},{"dropping-particle":"","family":"Wood","given":"Marnie","non-dropping-particle":"","parse-names":false,"suffix":""},{"dropping-particle":"","family":"Goodman","given":"Zachary","non-dropping-particle":"","parse-names":false,"suffix":""},{"dropping-particle":"","family":"Yang","given":"Yijun","non-dropping-particle":"","parse-names":false,"suffix":""},{"dropping-particle":"","family":"Eckert","given":"Stephen","non-dropping-particle":"","parse-names":false,"suffix":""},{"dropping-particle":"","family":"Rojas-Caro","given":"Sandra","non-dropping-particle":"","parse-names":false,"suffix":""},{"dropping-particle":"","family":"Quinn","given":"Anthony G","non-dropping-particle":"","parse-names":false,"suffix":""}],"container-title":"The New England journal of medicine","id":"ITEM-1","issue":"11","issued":{"date-parts":[["2015","9"]]},"language":"eng","page":"1010-1020","publisher-place":"United States","title":"A Phase 3 Trial of Sebelipase Alfa in Lysosomal Acid Lipase Deficiency.","type":"article-journal","volume":"373"},"uris":["http://www.mendeley.com/documents/?uuid=39c7b7ee-cc12-4f7c-bbd9-e4468b4e4c91"]}],"mendeley":{"formattedCitation":"&lt;sup&gt;41&lt;/sup&gt;","plainTextFormattedCitation":"41","previouslyFormattedCitation":"&lt;sup&gt;41&lt;/sup&gt;"},"properties":{"noteIndex":0},"schema":"https://github.com/citation-style-language/schema/raw/master/csl-citation.json"}</w:instrText>
      </w:r>
      <w:r w:rsidR="00B227A9" w:rsidRPr="007F6B31">
        <w:rPr>
          <w:rFonts w:ascii="Book Antiqua" w:hAnsi="Book Antiqua" w:cs="Arial"/>
          <w:bCs/>
          <w:sz w:val="24"/>
          <w:szCs w:val="24"/>
          <w:vertAlign w:val="superscript"/>
          <w:lang w:val="en-GB"/>
        </w:rPr>
        <w:fldChar w:fldCharType="separate"/>
      </w:r>
      <w:r w:rsidR="00B227A9" w:rsidRPr="007F6B31">
        <w:rPr>
          <w:rFonts w:ascii="Book Antiqua" w:hAnsi="Book Antiqua" w:cs="Arial"/>
          <w:bCs/>
          <w:noProof/>
          <w:sz w:val="24"/>
          <w:szCs w:val="24"/>
          <w:vertAlign w:val="superscript"/>
          <w:lang w:val="en-GB"/>
        </w:rPr>
        <w:t>4</w:t>
      </w:r>
      <w:r w:rsidR="00B42869" w:rsidRPr="007F6B31">
        <w:rPr>
          <w:rFonts w:ascii="Book Antiqua" w:hAnsi="Book Antiqua" w:cs="Arial"/>
          <w:bCs/>
          <w:noProof/>
          <w:sz w:val="24"/>
          <w:szCs w:val="24"/>
          <w:vertAlign w:val="superscript"/>
          <w:lang w:val="en-GB"/>
        </w:rPr>
        <w:t>0</w:t>
      </w:r>
      <w:r w:rsidR="00B227A9" w:rsidRPr="007F6B31">
        <w:rPr>
          <w:rFonts w:ascii="Book Antiqua" w:hAnsi="Book Antiqua" w:cs="Arial"/>
          <w:bCs/>
          <w:sz w:val="24"/>
          <w:szCs w:val="24"/>
          <w:vertAlign w:val="superscript"/>
          <w:lang w:val="en-GB"/>
        </w:rPr>
        <w:fldChar w:fldCharType="end"/>
      </w:r>
      <w:r w:rsidR="00B227A9" w:rsidRPr="007F6B31">
        <w:rPr>
          <w:rFonts w:ascii="Book Antiqua" w:hAnsi="Book Antiqua" w:cs="Arial"/>
          <w:bCs/>
          <w:sz w:val="24"/>
          <w:szCs w:val="24"/>
          <w:vertAlign w:val="superscript"/>
          <w:lang w:val="en-GB"/>
        </w:rPr>
        <w:t>]</w:t>
      </w:r>
      <w:r w:rsidR="007D44FF" w:rsidRPr="007F6B31">
        <w:rPr>
          <w:rFonts w:ascii="Book Antiqua" w:hAnsi="Book Antiqua" w:cs="Arial"/>
          <w:bCs/>
          <w:sz w:val="24"/>
          <w:szCs w:val="24"/>
          <w:lang w:val="en-GB"/>
        </w:rPr>
        <w:t xml:space="preserve">. </w:t>
      </w:r>
      <w:r w:rsidRPr="007F6B31">
        <w:rPr>
          <w:rFonts w:ascii="Book Antiqua" w:eastAsia="TimesNewRomanPSMT" w:hAnsi="Book Antiqua" w:cs="Arial"/>
          <w:sz w:val="24"/>
          <w:szCs w:val="24"/>
          <w:lang w:val="en-GB"/>
        </w:rPr>
        <w:t>Our assessment of the male patient suggest</w:t>
      </w:r>
      <w:r w:rsidR="0047011E" w:rsidRPr="007F6B31">
        <w:rPr>
          <w:rFonts w:ascii="Book Antiqua" w:eastAsia="TimesNewRomanPSMT" w:hAnsi="Book Antiqua" w:cs="Arial"/>
          <w:sz w:val="24"/>
          <w:szCs w:val="24"/>
          <w:lang w:val="en-GB"/>
        </w:rPr>
        <w:t>s</w:t>
      </w:r>
      <w:r w:rsidRPr="007F6B31">
        <w:rPr>
          <w:rFonts w:ascii="Book Antiqua" w:eastAsia="TimesNewRomanPSMT" w:hAnsi="Book Antiqua" w:cs="Arial"/>
          <w:sz w:val="24"/>
          <w:szCs w:val="24"/>
          <w:lang w:val="en-GB"/>
        </w:rPr>
        <w:t xml:space="preserve"> that </w:t>
      </w:r>
      <w:proofErr w:type="spellStart"/>
      <w:r w:rsidR="007D44FF" w:rsidRPr="007F6B31">
        <w:rPr>
          <w:rFonts w:ascii="Book Antiqua" w:eastAsia="TimesNewRomanPSMT" w:hAnsi="Book Antiqua" w:cs="Arial"/>
          <w:sz w:val="24"/>
          <w:szCs w:val="24"/>
          <w:lang w:val="en-GB"/>
        </w:rPr>
        <w:t>Sebelipase</w:t>
      </w:r>
      <w:proofErr w:type="spellEnd"/>
      <w:r w:rsidR="007D44FF" w:rsidRPr="007F6B31">
        <w:rPr>
          <w:rFonts w:ascii="Book Antiqua" w:eastAsia="TimesNewRomanPSMT" w:hAnsi="Book Antiqua" w:cs="Arial"/>
          <w:sz w:val="24"/>
          <w:szCs w:val="24"/>
          <w:lang w:val="en-GB"/>
        </w:rPr>
        <w:t xml:space="preserve"> alfa should be considered </w:t>
      </w:r>
      <w:r w:rsidR="000C4766" w:rsidRPr="007F6B31">
        <w:rPr>
          <w:rFonts w:ascii="Book Antiqua" w:eastAsia="TimesNewRomanPSMT" w:hAnsi="Book Antiqua" w:cs="Arial"/>
          <w:sz w:val="24"/>
          <w:szCs w:val="24"/>
          <w:lang w:val="en-GB"/>
        </w:rPr>
        <w:t xml:space="preserve">for use </w:t>
      </w:r>
      <w:r w:rsidR="007D44FF" w:rsidRPr="007F6B31">
        <w:rPr>
          <w:rFonts w:ascii="Book Antiqua" w:eastAsia="TimesNewRomanPSMT" w:hAnsi="Book Antiqua" w:cs="Arial"/>
          <w:sz w:val="24"/>
          <w:szCs w:val="24"/>
          <w:lang w:val="en-GB"/>
        </w:rPr>
        <w:t xml:space="preserve">based on a high risk of </w:t>
      </w:r>
      <w:r w:rsidRPr="007F6B31">
        <w:rPr>
          <w:rFonts w:ascii="Book Antiqua" w:eastAsia="TimesNewRomanPSMT" w:hAnsi="Book Antiqua" w:cs="Arial"/>
          <w:sz w:val="24"/>
          <w:szCs w:val="24"/>
          <w:lang w:val="en-GB"/>
        </w:rPr>
        <w:t xml:space="preserve">recurrence of </w:t>
      </w:r>
      <w:r w:rsidR="007D44FF" w:rsidRPr="007F6B31">
        <w:rPr>
          <w:rFonts w:ascii="Book Antiqua" w:eastAsia="TimesNewRomanPSMT" w:hAnsi="Book Antiqua" w:cs="Arial"/>
          <w:sz w:val="24"/>
          <w:szCs w:val="24"/>
          <w:lang w:val="en-GB"/>
        </w:rPr>
        <w:t>cirrhosis in the transplanted liver</w:t>
      </w:r>
      <w:r w:rsidRPr="007F6B31">
        <w:rPr>
          <w:rFonts w:ascii="Book Antiqua" w:eastAsia="TimesNewRomanPSMT" w:hAnsi="Book Antiqua" w:cs="Arial"/>
          <w:sz w:val="24"/>
          <w:szCs w:val="24"/>
          <w:lang w:val="en-GB"/>
        </w:rPr>
        <w:t>.</w:t>
      </w:r>
      <w:r w:rsidR="007D44FF" w:rsidRPr="007F6B31">
        <w:rPr>
          <w:rFonts w:ascii="Book Antiqua" w:eastAsia="TimesNewRomanPSMT" w:hAnsi="Book Antiqua" w:cs="Arial"/>
          <w:sz w:val="24"/>
          <w:szCs w:val="24"/>
          <w:lang w:val="en-GB"/>
        </w:rPr>
        <w:t xml:space="preserve"> </w:t>
      </w:r>
      <w:r w:rsidR="000C4766" w:rsidRPr="007F6B31">
        <w:rPr>
          <w:rFonts w:ascii="Book Antiqua" w:eastAsia="TimesNewRomanPSMT" w:hAnsi="Book Antiqua" w:cs="Arial"/>
          <w:sz w:val="24"/>
          <w:szCs w:val="24"/>
          <w:lang w:val="en-GB"/>
        </w:rPr>
        <w:t xml:space="preserve">Furthermore, </w:t>
      </w:r>
      <w:proofErr w:type="spellStart"/>
      <w:r w:rsidR="000C4766" w:rsidRPr="007F6B31">
        <w:rPr>
          <w:rFonts w:ascii="Book Antiqua" w:eastAsia="TimesNewRomanPSMT" w:hAnsi="Book Antiqua" w:cs="Arial"/>
          <w:sz w:val="24"/>
          <w:szCs w:val="24"/>
          <w:lang w:val="en-GB"/>
        </w:rPr>
        <w:t>Sebelipase</w:t>
      </w:r>
      <w:proofErr w:type="spellEnd"/>
      <w:r w:rsidR="000C4766" w:rsidRPr="007F6B31">
        <w:rPr>
          <w:rFonts w:ascii="Book Antiqua" w:eastAsia="TimesNewRomanPSMT" w:hAnsi="Book Antiqua" w:cs="Arial"/>
          <w:sz w:val="24"/>
          <w:szCs w:val="24"/>
          <w:lang w:val="en-GB"/>
        </w:rPr>
        <w:t xml:space="preserve"> alfa might have b</w:t>
      </w:r>
      <w:r w:rsidR="007D44FF" w:rsidRPr="007F6B31">
        <w:rPr>
          <w:rFonts w:ascii="Book Antiqua" w:eastAsia="TimesNewRomanPSMT" w:hAnsi="Book Antiqua" w:cs="Arial"/>
          <w:sz w:val="24"/>
          <w:szCs w:val="24"/>
          <w:lang w:val="en-GB"/>
        </w:rPr>
        <w:t xml:space="preserve">eneficial effects on cardiovascular outcomes. </w:t>
      </w:r>
      <w:r w:rsidR="000C4766" w:rsidRPr="007F6B31">
        <w:rPr>
          <w:rFonts w:ascii="Book Antiqua" w:eastAsia="TimesNewRomanPSMT" w:hAnsi="Book Antiqua" w:cs="Arial"/>
          <w:sz w:val="24"/>
          <w:szCs w:val="24"/>
          <w:lang w:val="en-GB"/>
        </w:rPr>
        <w:t>However, b</w:t>
      </w:r>
      <w:r w:rsidR="005D09FC" w:rsidRPr="007F6B31">
        <w:rPr>
          <w:rFonts w:ascii="Book Antiqua" w:eastAsia="TimesNewRomanPSMT" w:hAnsi="Book Antiqua" w:cs="Arial"/>
          <w:sz w:val="24"/>
          <w:szCs w:val="24"/>
          <w:lang w:val="en-GB"/>
        </w:rPr>
        <w:t xml:space="preserve">ased on </w:t>
      </w:r>
      <w:r w:rsidR="000C4766" w:rsidRPr="007F6B31">
        <w:rPr>
          <w:rFonts w:ascii="Book Antiqua" w:eastAsia="TimesNewRomanPSMT" w:hAnsi="Book Antiqua" w:cs="Arial"/>
          <w:sz w:val="24"/>
          <w:szCs w:val="24"/>
          <w:lang w:val="en-GB"/>
        </w:rPr>
        <w:t xml:space="preserve">its </w:t>
      </w:r>
      <w:r w:rsidR="005D09FC" w:rsidRPr="007F6B31">
        <w:rPr>
          <w:rFonts w:ascii="Book Antiqua" w:eastAsia="TimesNewRomanPSMT" w:hAnsi="Book Antiqua" w:cs="Arial"/>
          <w:sz w:val="24"/>
          <w:szCs w:val="24"/>
          <w:lang w:val="en-GB"/>
        </w:rPr>
        <w:t>price and availability in Denmark, treatment is not readily available without prior approval.</w:t>
      </w:r>
    </w:p>
    <w:p w14:paraId="71660D0D" w14:textId="77777777" w:rsidR="00B227A9" w:rsidRPr="007F6B31" w:rsidRDefault="00B227A9" w:rsidP="001F2C55">
      <w:pPr>
        <w:snapToGrid w:val="0"/>
        <w:spacing w:after="0" w:line="360" w:lineRule="auto"/>
        <w:jc w:val="both"/>
        <w:rPr>
          <w:rFonts w:ascii="Book Antiqua" w:hAnsi="Book Antiqua" w:cs="Arial"/>
          <w:bCs/>
          <w:sz w:val="24"/>
          <w:szCs w:val="24"/>
          <w:lang w:val="en-GB"/>
        </w:rPr>
      </w:pPr>
    </w:p>
    <w:p w14:paraId="5896F213" w14:textId="77777777" w:rsidR="001E50D4" w:rsidRPr="007F6B31" w:rsidRDefault="001E50D4" w:rsidP="001E50D4">
      <w:pPr>
        <w:pStyle w:val="af9"/>
        <w:autoSpaceDE w:val="0"/>
        <w:autoSpaceDN w:val="0"/>
        <w:adjustRightInd w:val="0"/>
        <w:spacing w:after="0" w:line="360" w:lineRule="auto"/>
        <w:ind w:left="0"/>
        <w:jc w:val="both"/>
        <w:rPr>
          <w:rFonts w:ascii="Book Antiqua" w:eastAsia="Calibri" w:hAnsi="Book Antiqua" w:cstheme="minorHAnsi"/>
          <w:b/>
          <w:szCs w:val="24"/>
          <w:u w:val="single"/>
        </w:rPr>
      </w:pPr>
      <w:r w:rsidRPr="007F6B31">
        <w:rPr>
          <w:rFonts w:ascii="Book Antiqua" w:eastAsia="Calibri" w:hAnsi="Book Antiqua" w:cstheme="minorHAnsi"/>
          <w:b/>
          <w:szCs w:val="24"/>
          <w:u w:val="single"/>
        </w:rPr>
        <w:t>CONCLUSION</w:t>
      </w:r>
    </w:p>
    <w:p w14:paraId="3BD4FB5B" w14:textId="3ABEFF51" w:rsidR="000D7430" w:rsidRPr="007F6B31" w:rsidRDefault="00B227A9" w:rsidP="001F2C55">
      <w:pPr>
        <w:snapToGrid w:val="0"/>
        <w:spacing w:after="0" w:line="360" w:lineRule="auto"/>
        <w:jc w:val="both"/>
        <w:rPr>
          <w:rFonts w:ascii="Book Antiqua" w:hAnsi="Book Antiqua" w:cs="Arial"/>
          <w:bCs/>
          <w:sz w:val="24"/>
          <w:szCs w:val="24"/>
          <w:lang w:val="en-GB"/>
        </w:rPr>
      </w:pPr>
      <w:r w:rsidRPr="007F6B31">
        <w:rPr>
          <w:rFonts w:ascii="Book Antiqua" w:hAnsi="Book Antiqua" w:cs="Arial"/>
          <w:bCs/>
          <w:sz w:val="24"/>
          <w:szCs w:val="24"/>
          <w:lang w:val="en-GB"/>
        </w:rPr>
        <w:t xml:space="preserve">Our </w:t>
      </w:r>
      <w:r w:rsidR="00072776" w:rsidRPr="007F6B31">
        <w:rPr>
          <w:rFonts w:ascii="Book Antiqua" w:hAnsi="Book Antiqua" w:cs="Arial"/>
          <w:bCs/>
          <w:sz w:val="24"/>
          <w:szCs w:val="24"/>
          <w:lang w:val="en-GB"/>
        </w:rPr>
        <w:t>study underlines that CESD is a multi</w:t>
      </w:r>
      <w:r w:rsidR="000C4766" w:rsidRPr="007F6B31">
        <w:rPr>
          <w:rFonts w:ascii="Book Antiqua" w:hAnsi="Book Antiqua" w:cs="Arial"/>
          <w:bCs/>
          <w:sz w:val="24"/>
          <w:szCs w:val="24"/>
          <w:lang w:val="en-GB"/>
        </w:rPr>
        <w:t>-</w:t>
      </w:r>
      <w:r w:rsidR="00072776" w:rsidRPr="007F6B31">
        <w:rPr>
          <w:rFonts w:ascii="Book Antiqua" w:hAnsi="Book Antiqua" w:cs="Arial"/>
          <w:bCs/>
          <w:sz w:val="24"/>
          <w:szCs w:val="24"/>
          <w:lang w:val="en-GB"/>
        </w:rPr>
        <w:t>organ disease</w:t>
      </w:r>
      <w:r w:rsidR="000C4766" w:rsidRPr="007F6B31">
        <w:rPr>
          <w:rFonts w:ascii="Book Antiqua" w:hAnsi="Book Antiqua" w:cs="Arial"/>
          <w:bCs/>
          <w:sz w:val="24"/>
          <w:szCs w:val="24"/>
          <w:lang w:val="en-GB"/>
        </w:rPr>
        <w:t>, the</w:t>
      </w:r>
      <w:r w:rsidR="00072776" w:rsidRPr="007F6B31">
        <w:rPr>
          <w:rFonts w:ascii="Book Antiqua" w:hAnsi="Book Antiqua" w:cs="Arial"/>
          <w:bCs/>
          <w:sz w:val="24"/>
          <w:szCs w:val="24"/>
          <w:lang w:val="en-GB"/>
        </w:rPr>
        <w:t xml:space="preserve"> progression</w:t>
      </w:r>
      <w:r w:rsidR="000C4766" w:rsidRPr="007F6B31">
        <w:rPr>
          <w:rFonts w:ascii="Book Antiqua" w:hAnsi="Book Antiqua" w:cs="Arial"/>
          <w:bCs/>
          <w:sz w:val="24"/>
          <w:szCs w:val="24"/>
          <w:lang w:val="en-GB"/>
        </w:rPr>
        <w:t xml:space="preserve"> of which</w:t>
      </w:r>
      <w:r w:rsidR="00072776" w:rsidRPr="007F6B31">
        <w:rPr>
          <w:rFonts w:ascii="Book Antiqua" w:hAnsi="Book Antiqua" w:cs="Arial"/>
          <w:bCs/>
          <w:sz w:val="24"/>
          <w:szCs w:val="24"/>
          <w:lang w:val="en-GB"/>
        </w:rPr>
        <w:t xml:space="preserve"> may occur post</w:t>
      </w:r>
      <w:r w:rsidR="000C4766" w:rsidRPr="007F6B31">
        <w:rPr>
          <w:rFonts w:ascii="Book Antiqua" w:hAnsi="Book Antiqua" w:cs="Arial"/>
          <w:bCs/>
          <w:sz w:val="24"/>
          <w:szCs w:val="24"/>
          <w:lang w:val="en-GB"/>
        </w:rPr>
        <w:t>-</w:t>
      </w:r>
      <w:r w:rsidR="00072776" w:rsidRPr="007F6B31">
        <w:rPr>
          <w:rFonts w:ascii="Book Antiqua" w:hAnsi="Book Antiqua" w:cs="Arial"/>
          <w:bCs/>
          <w:sz w:val="24"/>
          <w:szCs w:val="24"/>
          <w:lang w:val="en-GB"/>
        </w:rPr>
        <w:t xml:space="preserve">transplantation. </w:t>
      </w:r>
      <w:bookmarkStart w:id="15" w:name="_Hlk29807153"/>
      <w:r w:rsidR="00072776" w:rsidRPr="007F6B31">
        <w:rPr>
          <w:rFonts w:ascii="Book Antiqua" w:hAnsi="Book Antiqua" w:cs="Arial"/>
          <w:bCs/>
          <w:sz w:val="24"/>
          <w:szCs w:val="24"/>
          <w:lang w:val="en-GB"/>
        </w:rPr>
        <w:t xml:space="preserve">The findings </w:t>
      </w:r>
      <w:r w:rsidR="002D40C7" w:rsidRPr="007F6B31">
        <w:rPr>
          <w:rFonts w:ascii="Book Antiqua" w:hAnsi="Book Antiqua" w:cs="Arial"/>
          <w:bCs/>
          <w:sz w:val="24"/>
          <w:szCs w:val="24"/>
          <w:lang w:val="en-GB"/>
        </w:rPr>
        <w:t xml:space="preserve">reiterate </w:t>
      </w:r>
      <w:r w:rsidR="00072776" w:rsidRPr="007F6B31">
        <w:rPr>
          <w:rFonts w:ascii="Book Antiqua" w:hAnsi="Book Antiqua" w:cs="Arial"/>
          <w:bCs/>
          <w:sz w:val="24"/>
          <w:szCs w:val="24"/>
          <w:lang w:val="en-GB"/>
        </w:rPr>
        <w:t>the need for monitoring of complications and assessment of</w:t>
      </w:r>
      <w:r w:rsidR="002D40C7" w:rsidRPr="007F6B31">
        <w:rPr>
          <w:rFonts w:ascii="Book Antiqua" w:hAnsi="Book Antiqua" w:cs="Arial"/>
          <w:bCs/>
          <w:sz w:val="24"/>
          <w:szCs w:val="24"/>
          <w:lang w:val="en-GB"/>
        </w:rPr>
        <w:t xml:space="preserve"> possible</w:t>
      </w:r>
      <w:r w:rsidR="00072776" w:rsidRPr="007F6B31">
        <w:rPr>
          <w:rFonts w:ascii="Book Antiqua" w:hAnsi="Book Antiqua" w:cs="Arial"/>
          <w:bCs/>
          <w:sz w:val="24"/>
          <w:szCs w:val="24"/>
          <w:lang w:val="en-GB"/>
        </w:rPr>
        <w:t xml:space="preserve"> </w:t>
      </w:r>
      <w:r w:rsidR="002D40C7" w:rsidRPr="007F6B31">
        <w:rPr>
          <w:rFonts w:ascii="Book Antiqua" w:hAnsi="Book Antiqua" w:cs="Arial"/>
          <w:bCs/>
          <w:sz w:val="24"/>
          <w:szCs w:val="24"/>
          <w:lang w:val="en-GB"/>
        </w:rPr>
        <w:t xml:space="preserve">additional </w:t>
      </w:r>
      <w:r w:rsidR="00072776" w:rsidRPr="007F6B31">
        <w:rPr>
          <w:rFonts w:ascii="Book Antiqua" w:hAnsi="Book Antiqua" w:cs="Arial"/>
          <w:bCs/>
          <w:sz w:val="24"/>
          <w:szCs w:val="24"/>
          <w:lang w:val="en-GB"/>
        </w:rPr>
        <w:t xml:space="preserve">treatment. The findings also suggest that </w:t>
      </w:r>
      <w:r w:rsidR="002257AD" w:rsidRPr="007F6B31">
        <w:rPr>
          <w:rFonts w:ascii="Book Antiqua" w:hAnsi="Book Antiqua" w:cs="Arial"/>
          <w:bCs/>
          <w:sz w:val="24"/>
          <w:szCs w:val="24"/>
          <w:lang w:val="en-GB"/>
        </w:rPr>
        <w:t xml:space="preserve">despite the high carrier frequency for CESD, one must consider testing </w:t>
      </w:r>
      <w:r w:rsidR="00072776" w:rsidRPr="007F6B31">
        <w:rPr>
          <w:rFonts w:ascii="Book Antiqua" w:hAnsi="Book Antiqua" w:cs="Arial"/>
          <w:bCs/>
          <w:sz w:val="24"/>
          <w:szCs w:val="24"/>
          <w:lang w:val="en-GB"/>
        </w:rPr>
        <w:t xml:space="preserve">family members for possible </w:t>
      </w:r>
      <w:proofErr w:type="spellStart"/>
      <w:r w:rsidR="00072776" w:rsidRPr="007F6B31">
        <w:rPr>
          <w:rFonts w:ascii="Book Antiqua" w:hAnsi="Book Antiqua" w:cs="Arial"/>
          <w:bCs/>
          <w:sz w:val="24"/>
          <w:szCs w:val="24"/>
          <w:lang w:val="en-GB"/>
        </w:rPr>
        <w:lastRenderedPageBreak/>
        <w:t>dyslipidemia</w:t>
      </w:r>
      <w:proofErr w:type="spellEnd"/>
      <w:r w:rsidR="002D40C7" w:rsidRPr="007F6B31">
        <w:rPr>
          <w:rFonts w:ascii="Book Antiqua" w:hAnsi="Book Antiqua" w:cs="Arial"/>
          <w:bCs/>
          <w:sz w:val="24"/>
          <w:szCs w:val="24"/>
          <w:lang w:val="en-GB"/>
        </w:rPr>
        <w:t>,</w:t>
      </w:r>
      <w:r w:rsidR="00072776" w:rsidRPr="007F6B31">
        <w:rPr>
          <w:rFonts w:ascii="Book Antiqua" w:hAnsi="Book Antiqua" w:cs="Arial"/>
          <w:bCs/>
          <w:sz w:val="24"/>
          <w:szCs w:val="24"/>
          <w:lang w:val="en-GB"/>
        </w:rPr>
        <w:t xml:space="preserve"> as well as LAL-</w:t>
      </w:r>
      <w:r w:rsidR="0047011E" w:rsidRPr="007F6B31">
        <w:rPr>
          <w:rFonts w:ascii="Book Antiqua" w:hAnsi="Book Antiqua" w:cs="Arial"/>
          <w:bCs/>
          <w:sz w:val="24"/>
          <w:szCs w:val="24"/>
          <w:lang w:val="en-GB"/>
        </w:rPr>
        <w:t>D</w:t>
      </w:r>
      <w:r w:rsidR="002D40C7" w:rsidRPr="007F6B31">
        <w:rPr>
          <w:rFonts w:ascii="Book Antiqua" w:hAnsi="Book Antiqua" w:cs="Arial"/>
          <w:bCs/>
          <w:sz w:val="24"/>
          <w:szCs w:val="24"/>
          <w:lang w:val="en-GB"/>
        </w:rPr>
        <w:t>,</w:t>
      </w:r>
      <w:r w:rsidR="00072776" w:rsidRPr="007F6B31">
        <w:rPr>
          <w:rFonts w:ascii="Book Antiqua" w:hAnsi="Book Antiqua" w:cs="Arial"/>
          <w:bCs/>
          <w:sz w:val="24"/>
          <w:szCs w:val="24"/>
          <w:lang w:val="en-GB"/>
        </w:rPr>
        <w:t xml:space="preserve"> as even heterozygote patients m</w:t>
      </w:r>
      <w:r w:rsidR="002257AD" w:rsidRPr="007F6B31">
        <w:rPr>
          <w:rFonts w:ascii="Book Antiqua" w:hAnsi="Book Antiqua" w:cs="Arial"/>
          <w:bCs/>
          <w:sz w:val="24"/>
          <w:szCs w:val="24"/>
          <w:lang w:val="en-GB"/>
        </w:rPr>
        <w:t xml:space="preserve">ight </w:t>
      </w:r>
      <w:r w:rsidR="00072776" w:rsidRPr="007F6B31">
        <w:rPr>
          <w:rFonts w:ascii="Book Antiqua" w:hAnsi="Book Antiqua" w:cs="Arial"/>
          <w:bCs/>
          <w:sz w:val="24"/>
          <w:szCs w:val="24"/>
          <w:lang w:val="en-GB"/>
        </w:rPr>
        <w:t xml:space="preserve">present with </w:t>
      </w:r>
      <w:proofErr w:type="spellStart"/>
      <w:r w:rsidR="00072776" w:rsidRPr="007F6B31">
        <w:rPr>
          <w:rFonts w:ascii="Book Antiqua" w:hAnsi="Book Antiqua" w:cs="Arial"/>
          <w:bCs/>
          <w:sz w:val="24"/>
          <w:szCs w:val="24"/>
          <w:lang w:val="en-GB"/>
        </w:rPr>
        <w:t>dyslipidemia</w:t>
      </w:r>
      <w:proofErr w:type="spellEnd"/>
      <w:r w:rsidR="00072776" w:rsidRPr="007F6B31">
        <w:rPr>
          <w:rFonts w:ascii="Book Antiqua" w:hAnsi="Book Antiqua" w:cs="Arial"/>
          <w:bCs/>
          <w:sz w:val="24"/>
          <w:szCs w:val="24"/>
          <w:lang w:val="en-GB"/>
        </w:rPr>
        <w:t>.</w:t>
      </w:r>
      <w:bookmarkEnd w:id="15"/>
    </w:p>
    <w:p w14:paraId="5EECEFEF" w14:textId="77777777" w:rsidR="002132D0" w:rsidRPr="007F6B31" w:rsidRDefault="002132D0" w:rsidP="001F2C55">
      <w:pPr>
        <w:snapToGrid w:val="0"/>
        <w:spacing w:after="0" w:line="360" w:lineRule="auto"/>
        <w:jc w:val="both"/>
        <w:rPr>
          <w:rFonts w:ascii="Book Antiqua" w:hAnsi="Book Antiqua" w:cs="Arial"/>
          <w:bCs/>
          <w:sz w:val="24"/>
          <w:szCs w:val="24"/>
          <w:lang w:val="en-GB"/>
        </w:rPr>
      </w:pPr>
    </w:p>
    <w:p w14:paraId="19D62A4D" w14:textId="77777777" w:rsidR="001E50D4" w:rsidRPr="007F6B31" w:rsidRDefault="001E50D4" w:rsidP="001E50D4">
      <w:pPr>
        <w:pStyle w:val="af9"/>
        <w:autoSpaceDE w:val="0"/>
        <w:autoSpaceDN w:val="0"/>
        <w:adjustRightInd w:val="0"/>
        <w:spacing w:after="0" w:line="360" w:lineRule="auto"/>
        <w:ind w:left="0"/>
        <w:jc w:val="both"/>
        <w:rPr>
          <w:rFonts w:ascii="Book Antiqua" w:hAnsi="Book Antiqua" w:cs="Calibri"/>
          <w:noProof/>
          <w:szCs w:val="24"/>
        </w:rPr>
      </w:pPr>
      <w:r w:rsidRPr="007F6B31">
        <w:rPr>
          <w:rFonts w:ascii="Book Antiqua" w:hAnsi="Book Antiqua" w:cstheme="minorHAnsi"/>
          <w:b/>
          <w:szCs w:val="24"/>
        </w:rPr>
        <w:t>REFERENCES</w:t>
      </w:r>
    </w:p>
    <w:p w14:paraId="47FE3846"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 </w:t>
      </w:r>
      <w:r w:rsidRPr="007F6B31">
        <w:rPr>
          <w:rFonts w:ascii="Book Antiqua" w:hAnsi="Book Antiqua"/>
          <w:b/>
          <w:sz w:val="24"/>
          <w:szCs w:val="24"/>
        </w:rPr>
        <w:t>Bay L</w:t>
      </w:r>
      <w:r w:rsidRPr="007F6B31">
        <w:rPr>
          <w:rFonts w:ascii="Book Antiqua" w:hAnsi="Book Antiqua"/>
          <w:sz w:val="24"/>
          <w:szCs w:val="24"/>
        </w:rPr>
        <w:t xml:space="preserve">, Canero Velasco C, Ciocca M, Cotti A, Cuarterolo M, Fainboim A, Fassio E, Galoppo M, Pinero F, Rozenfeld P. Liver disease and dyslipidemia as a manifestation of lysosomal acid lipase deficiency (LAL-D). Clinical and diagnostic aspects, and a new treatment. An update. </w:t>
      </w:r>
      <w:r w:rsidRPr="007F6B31">
        <w:rPr>
          <w:rFonts w:ascii="Book Antiqua" w:hAnsi="Book Antiqua"/>
          <w:i/>
          <w:sz w:val="24"/>
          <w:szCs w:val="24"/>
        </w:rPr>
        <w:t>Arch Argent Pediatr</w:t>
      </w:r>
      <w:r w:rsidRPr="007F6B31">
        <w:rPr>
          <w:rFonts w:ascii="Book Antiqua" w:hAnsi="Book Antiqua"/>
          <w:sz w:val="24"/>
          <w:szCs w:val="24"/>
        </w:rPr>
        <w:t xml:space="preserve"> 2017; </w:t>
      </w:r>
      <w:r w:rsidRPr="007F6B31">
        <w:rPr>
          <w:rFonts w:ascii="Book Antiqua" w:hAnsi="Book Antiqua"/>
          <w:b/>
          <w:sz w:val="24"/>
          <w:szCs w:val="24"/>
        </w:rPr>
        <w:t>115</w:t>
      </w:r>
      <w:r w:rsidRPr="007F6B31">
        <w:rPr>
          <w:rFonts w:ascii="Book Antiqua" w:hAnsi="Book Antiqua"/>
          <w:sz w:val="24"/>
          <w:szCs w:val="24"/>
        </w:rPr>
        <w:t>: 287-293 [PMID: 28504497 DOI: 10.5546/aap.2017.eng.287]</w:t>
      </w:r>
    </w:p>
    <w:p w14:paraId="7EC1AF1E"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 </w:t>
      </w:r>
      <w:r w:rsidRPr="007F6B31">
        <w:rPr>
          <w:rFonts w:ascii="Book Antiqua" w:hAnsi="Book Antiqua"/>
          <w:b/>
          <w:sz w:val="24"/>
          <w:szCs w:val="24"/>
        </w:rPr>
        <w:t>Maciejko JJ</w:t>
      </w:r>
      <w:r w:rsidRPr="007F6B31">
        <w:rPr>
          <w:rFonts w:ascii="Book Antiqua" w:hAnsi="Book Antiqua"/>
          <w:sz w:val="24"/>
          <w:szCs w:val="24"/>
        </w:rPr>
        <w:t xml:space="preserve">, Anne P, Raza S, Lyons HJ. Lysosomal acid lipase deficiency in all siblings of the same parents. </w:t>
      </w:r>
      <w:r w:rsidRPr="007F6B31">
        <w:rPr>
          <w:rFonts w:ascii="Book Antiqua" w:hAnsi="Book Antiqua"/>
          <w:i/>
          <w:sz w:val="24"/>
          <w:szCs w:val="24"/>
        </w:rPr>
        <w:t>J Clin Lipidol</w:t>
      </w:r>
      <w:r w:rsidRPr="007F6B31">
        <w:rPr>
          <w:rFonts w:ascii="Book Antiqua" w:hAnsi="Book Antiqua"/>
          <w:sz w:val="24"/>
          <w:szCs w:val="24"/>
        </w:rPr>
        <w:t xml:space="preserve"> 2017; </w:t>
      </w:r>
      <w:r w:rsidRPr="007F6B31">
        <w:rPr>
          <w:rFonts w:ascii="Book Antiqua" w:hAnsi="Book Antiqua"/>
          <w:b/>
          <w:sz w:val="24"/>
          <w:szCs w:val="24"/>
        </w:rPr>
        <w:t>11</w:t>
      </w:r>
      <w:r w:rsidRPr="007F6B31">
        <w:rPr>
          <w:rFonts w:ascii="Book Antiqua" w:hAnsi="Book Antiqua"/>
          <w:sz w:val="24"/>
          <w:szCs w:val="24"/>
        </w:rPr>
        <w:t>: 567-574 [PMID: 28502515 DOI: 10.1016/j.jacl.2017.02.006]</w:t>
      </w:r>
    </w:p>
    <w:p w14:paraId="6767FBFF"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3 </w:t>
      </w:r>
      <w:r w:rsidRPr="007F6B31">
        <w:rPr>
          <w:rFonts w:ascii="Book Antiqua" w:hAnsi="Book Antiqua"/>
          <w:b/>
          <w:sz w:val="24"/>
          <w:szCs w:val="24"/>
        </w:rPr>
        <w:t>Burton BK</w:t>
      </w:r>
      <w:r w:rsidRPr="007F6B31">
        <w:rPr>
          <w:rFonts w:ascii="Book Antiqua" w:hAnsi="Book Antiqua"/>
          <w:sz w:val="24"/>
          <w:szCs w:val="24"/>
        </w:rPr>
        <w:t xml:space="preserve">, Silliman N, Marulkar S. Progression of liver disease in children and adults with lysosomal acid lipase deficiency. </w:t>
      </w:r>
      <w:r w:rsidRPr="007F6B31">
        <w:rPr>
          <w:rFonts w:ascii="Book Antiqua" w:hAnsi="Book Antiqua"/>
          <w:i/>
          <w:sz w:val="24"/>
          <w:szCs w:val="24"/>
        </w:rPr>
        <w:t>Curr Med Res Opin</w:t>
      </w:r>
      <w:r w:rsidRPr="007F6B31">
        <w:rPr>
          <w:rFonts w:ascii="Book Antiqua" w:hAnsi="Book Antiqua"/>
          <w:sz w:val="24"/>
          <w:szCs w:val="24"/>
        </w:rPr>
        <w:t xml:space="preserve"> 2017; </w:t>
      </w:r>
      <w:r w:rsidRPr="007F6B31">
        <w:rPr>
          <w:rFonts w:ascii="Book Antiqua" w:hAnsi="Book Antiqua"/>
          <w:b/>
          <w:sz w:val="24"/>
          <w:szCs w:val="24"/>
        </w:rPr>
        <w:t>33</w:t>
      </w:r>
      <w:r w:rsidRPr="007F6B31">
        <w:rPr>
          <w:rFonts w:ascii="Book Antiqua" w:hAnsi="Book Antiqua"/>
          <w:sz w:val="24"/>
          <w:szCs w:val="24"/>
        </w:rPr>
        <w:t>: 1211-1214 [PMID: 28320214 DOI: 10.1080/03007995.2017.1309371]</w:t>
      </w:r>
    </w:p>
    <w:p w14:paraId="1B3B4745"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4 </w:t>
      </w:r>
      <w:r w:rsidRPr="007F6B31">
        <w:rPr>
          <w:rFonts w:ascii="Book Antiqua" w:hAnsi="Book Antiqua"/>
          <w:b/>
          <w:sz w:val="24"/>
          <w:szCs w:val="24"/>
        </w:rPr>
        <w:t>Du H</w:t>
      </w:r>
      <w:r w:rsidRPr="007F6B31">
        <w:rPr>
          <w:rFonts w:ascii="Book Antiqua" w:hAnsi="Book Antiqua"/>
          <w:sz w:val="24"/>
          <w:szCs w:val="24"/>
        </w:rPr>
        <w:t xml:space="preserve">, Duanmu M, Rosa LR. Mouse lysosomal acid lipase: characterization of the gene and analysis of promoter activity. </w:t>
      </w:r>
      <w:r w:rsidRPr="007F6B31">
        <w:rPr>
          <w:rFonts w:ascii="Book Antiqua" w:hAnsi="Book Antiqua"/>
          <w:i/>
          <w:sz w:val="24"/>
          <w:szCs w:val="24"/>
        </w:rPr>
        <w:t>Gene</w:t>
      </w:r>
      <w:r w:rsidRPr="007F6B31">
        <w:rPr>
          <w:rFonts w:ascii="Book Antiqua" w:hAnsi="Book Antiqua"/>
          <w:sz w:val="24"/>
          <w:szCs w:val="24"/>
        </w:rPr>
        <w:t xml:space="preserve"> 1998; </w:t>
      </w:r>
      <w:r w:rsidRPr="007F6B31">
        <w:rPr>
          <w:rFonts w:ascii="Book Antiqua" w:hAnsi="Book Antiqua"/>
          <w:b/>
          <w:sz w:val="24"/>
          <w:szCs w:val="24"/>
        </w:rPr>
        <w:t>208</w:t>
      </w:r>
      <w:r w:rsidRPr="007F6B31">
        <w:rPr>
          <w:rFonts w:ascii="Book Antiqua" w:hAnsi="Book Antiqua"/>
          <w:sz w:val="24"/>
          <w:szCs w:val="24"/>
        </w:rPr>
        <w:t>: 285-295 [PMID: 9524282 DOI: 10.1016/s0378-1119(98)00019-5]</w:t>
      </w:r>
    </w:p>
    <w:p w14:paraId="4C29EF8B"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5 </w:t>
      </w:r>
      <w:r w:rsidRPr="007F6B31">
        <w:rPr>
          <w:rFonts w:ascii="Book Antiqua" w:hAnsi="Book Antiqua"/>
          <w:b/>
          <w:sz w:val="24"/>
          <w:szCs w:val="24"/>
        </w:rPr>
        <w:t>Stitziel NO</w:t>
      </w:r>
      <w:r w:rsidRPr="007F6B31">
        <w:rPr>
          <w:rFonts w:ascii="Book Antiqua" w:hAnsi="Book Antiqua"/>
          <w:sz w:val="24"/>
          <w:szCs w:val="24"/>
        </w:rPr>
        <w:t xml:space="preserve">, Fouchier SW, Sjouke B, Peloso GM, Moscoso AM, Auer PL, Goel A, Gigante B, Barnes TA, Melander O, Orho-Melander M, Duga S, Sivapalaratnam S, Nikpay M, Martinelli N, Girelli D, Jackson RD, Kooperberg C, Lange LA, Ardissino D, McPherson R, Farrall M, Watkins H, Reilly MP, Rader DJ, de Faire U, Schunkert H, Erdmann J, Samani NJ, Charnas L, Altshuler D, Gabriel S, Kastelein JJ, Defesche JC, Nederveen AJ, Kathiresan S, Hovingh GK; National Heart, Lung, and Blood Institute GO Exome Sequencing Project. Exome sequencing and directed clinical phenotyping diagnose cholesterol ester storage disease presenting as autosomal recessive hypercholesterolemia. </w:t>
      </w:r>
      <w:r w:rsidRPr="007F6B31">
        <w:rPr>
          <w:rFonts w:ascii="Book Antiqua" w:hAnsi="Book Antiqua"/>
          <w:i/>
          <w:sz w:val="24"/>
          <w:szCs w:val="24"/>
        </w:rPr>
        <w:t>Arterioscler Thromb Vasc Biol</w:t>
      </w:r>
      <w:r w:rsidRPr="007F6B31">
        <w:rPr>
          <w:rFonts w:ascii="Book Antiqua" w:hAnsi="Book Antiqua"/>
          <w:sz w:val="24"/>
          <w:szCs w:val="24"/>
        </w:rPr>
        <w:t xml:space="preserve"> 2013; </w:t>
      </w:r>
      <w:r w:rsidRPr="007F6B31">
        <w:rPr>
          <w:rFonts w:ascii="Book Antiqua" w:hAnsi="Book Antiqua"/>
          <w:b/>
          <w:sz w:val="24"/>
          <w:szCs w:val="24"/>
        </w:rPr>
        <w:t>33</w:t>
      </w:r>
      <w:r w:rsidRPr="007F6B31">
        <w:rPr>
          <w:rFonts w:ascii="Book Antiqua" w:hAnsi="Book Antiqua"/>
          <w:sz w:val="24"/>
          <w:szCs w:val="24"/>
        </w:rPr>
        <w:t>: 2909-2914 [PMID: 24072694 DOI: 10.1161/ATVBAHA.113.302426]</w:t>
      </w:r>
    </w:p>
    <w:p w14:paraId="7FD77A4A"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6 </w:t>
      </w:r>
      <w:r w:rsidRPr="007F6B31">
        <w:rPr>
          <w:rFonts w:ascii="Book Antiqua" w:hAnsi="Book Antiqua"/>
          <w:b/>
          <w:sz w:val="24"/>
          <w:szCs w:val="24"/>
        </w:rPr>
        <w:t>Scott SA</w:t>
      </w:r>
      <w:r w:rsidRPr="007F6B31">
        <w:rPr>
          <w:rFonts w:ascii="Book Antiqua" w:hAnsi="Book Antiqua"/>
          <w:sz w:val="24"/>
          <w:szCs w:val="24"/>
        </w:rPr>
        <w:t xml:space="preserve">, Liu B, Nazarenko I, Martis S, Kozlitina J, Yang Y, Ramirez C, Kasai Y, Hyatt T, Peter I, Desnick RJ. Frequency of the cholesteryl ester storage disease common LIPA E8SJM </w:t>
      </w:r>
      <w:r w:rsidRPr="007F6B31">
        <w:rPr>
          <w:rFonts w:ascii="Book Antiqua" w:hAnsi="Book Antiqua"/>
          <w:sz w:val="24"/>
          <w:szCs w:val="24"/>
        </w:rPr>
        <w:lastRenderedPageBreak/>
        <w:t xml:space="preserve">mutation (c.894G&gt;A) in various racial and ethnic groups. </w:t>
      </w:r>
      <w:r w:rsidRPr="007F6B31">
        <w:rPr>
          <w:rFonts w:ascii="Book Antiqua" w:hAnsi="Book Antiqua"/>
          <w:i/>
          <w:sz w:val="24"/>
          <w:szCs w:val="24"/>
        </w:rPr>
        <w:t>Hepatology</w:t>
      </w:r>
      <w:r w:rsidRPr="007F6B31">
        <w:rPr>
          <w:rFonts w:ascii="Book Antiqua" w:hAnsi="Book Antiqua"/>
          <w:sz w:val="24"/>
          <w:szCs w:val="24"/>
        </w:rPr>
        <w:t xml:space="preserve"> 2013; </w:t>
      </w:r>
      <w:r w:rsidRPr="007F6B31">
        <w:rPr>
          <w:rFonts w:ascii="Book Antiqua" w:hAnsi="Book Antiqua"/>
          <w:b/>
          <w:sz w:val="24"/>
          <w:szCs w:val="24"/>
        </w:rPr>
        <w:t>58</w:t>
      </w:r>
      <w:r w:rsidRPr="007F6B31">
        <w:rPr>
          <w:rFonts w:ascii="Book Antiqua" w:hAnsi="Book Antiqua"/>
          <w:sz w:val="24"/>
          <w:szCs w:val="24"/>
        </w:rPr>
        <w:t>: 958-965 [PMID: 23424026 DOI: 10.1002/hep.26327]</w:t>
      </w:r>
    </w:p>
    <w:p w14:paraId="087B5E13"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7 </w:t>
      </w:r>
      <w:r w:rsidRPr="007F6B31">
        <w:rPr>
          <w:rFonts w:ascii="Book Antiqua" w:hAnsi="Book Antiqua"/>
          <w:b/>
          <w:sz w:val="24"/>
          <w:szCs w:val="24"/>
        </w:rPr>
        <w:t>Muntoni S</w:t>
      </w:r>
      <w:r w:rsidRPr="007F6B31">
        <w:rPr>
          <w:rFonts w:ascii="Book Antiqua" w:hAnsi="Book Antiqua"/>
          <w:sz w:val="24"/>
          <w:szCs w:val="24"/>
        </w:rPr>
        <w:t xml:space="preserve">, Wiebusch H, Jansen-Rust M, Rust S, Schulte H, Berger K, Pisciotta L, Bertolini S, Funke H, Seedorf U, Assmann G. Heterozygosity for lysosomal acid lipase E8SJM mutation and serum lipid concentrations. </w:t>
      </w:r>
      <w:r w:rsidRPr="007F6B31">
        <w:rPr>
          <w:rFonts w:ascii="Book Antiqua" w:hAnsi="Book Antiqua"/>
          <w:i/>
          <w:sz w:val="24"/>
          <w:szCs w:val="24"/>
        </w:rPr>
        <w:t>Nutr Metab Cardiovasc Dis</w:t>
      </w:r>
      <w:r w:rsidRPr="007F6B31">
        <w:rPr>
          <w:rFonts w:ascii="Book Antiqua" w:hAnsi="Book Antiqua"/>
          <w:sz w:val="24"/>
          <w:szCs w:val="24"/>
        </w:rPr>
        <w:t xml:space="preserve"> 2013; </w:t>
      </w:r>
      <w:r w:rsidRPr="007F6B31">
        <w:rPr>
          <w:rFonts w:ascii="Book Antiqua" w:hAnsi="Book Antiqua"/>
          <w:b/>
          <w:sz w:val="24"/>
          <w:szCs w:val="24"/>
        </w:rPr>
        <w:t>23</w:t>
      </w:r>
      <w:r w:rsidRPr="007F6B31">
        <w:rPr>
          <w:rFonts w:ascii="Book Antiqua" w:hAnsi="Book Antiqua"/>
          <w:sz w:val="24"/>
          <w:szCs w:val="24"/>
        </w:rPr>
        <w:t>: 732-736 [PMID: 22795295 DOI: 10.1016/j.numecd.2012.05.009]</w:t>
      </w:r>
    </w:p>
    <w:p w14:paraId="7FD4B5AC"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8 </w:t>
      </w:r>
      <w:r w:rsidRPr="007F6B31">
        <w:rPr>
          <w:rFonts w:ascii="Book Antiqua" w:hAnsi="Book Antiqua"/>
          <w:b/>
          <w:sz w:val="24"/>
          <w:szCs w:val="24"/>
        </w:rPr>
        <w:t>Reiner Ž</w:t>
      </w:r>
      <w:r w:rsidRPr="007F6B31">
        <w:rPr>
          <w:rFonts w:ascii="Book Antiqua" w:hAnsi="Book Antiqua"/>
          <w:sz w:val="24"/>
          <w:szCs w:val="24"/>
        </w:rPr>
        <w:t xml:space="preserve">, Guardamagna O, Nair D, Soran H, Hovingh K, Bertolini S, Jones S, Ćorić M, Calandra S, Hamilton J, Eagleton T, Ros E. Lysosomal acid lipase deficiency--an under-recognized cause of dyslipidaemia and liver dysfunction. </w:t>
      </w:r>
      <w:r w:rsidRPr="007F6B31">
        <w:rPr>
          <w:rFonts w:ascii="Book Antiqua" w:hAnsi="Book Antiqua"/>
          <w:i/>
          <w:sz w:val="24"/>
          <w:szCs w:val="24"/>
        </w:rPr>
        <w:t>Atherosclerosis</w:t>
      </w:r>
      <w:r w:rsidRPr="007F6B31">
        <w:rPr>
          <w:rFonts w:ascii="Book Antiqua" w:hAnsi="Book Antiqua"/>
          <w:sz w:val="24"/>
          <w:szCs w:val="24"/>
        </w:rPr>
        <w:t xml:space="preserve"> 2014; </w:t>
      </w:r>
      <w:r w:rsidRPr="007F6B31">
        <w:rPr>
          <w:rFonts w:ascii="Book Antiqua" w:hAnsi="Book Antiqua"/>
          <w:b/>
          <w:sz w:val="24"/>
          <w:szCs w:val="24"/>
        </w:rPr>
        <w:t>235</w:t>
      </w:r>
      <w:r w:rsidRPr="007F6B31">
        <w:rPr>
          <w:rFonts w:ascii="Book Antiqua" w:hAnsi="Book Antiqua"/>
          <w:sz w:val="24"/>
          <w:szCs w:val="24"/>
        </w:rPr>
        <w:t>: 21-30 [PMID: 24792990 DOI: 10.1016/j.atherosclerosis.2014.04.003]</w:t>
      </w:r>
    </w:p>
    <w:p w14:paraId="1E4A7F39"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9 </w:t>
      </w:r>
      <w:r w:rsidRPr="007F6B31">
        <w:rPr>
          <w:rFonts w:ascii="Book Antiqua" w:hAnsi="Book Antiqua"/>
          <w:b/>
          <w:sz w:val="24"/>
          <w:szCs w:val="24"/>
        </w:rPr>
        <w:t>Pagani F</w:t>
      </w:r>
      <w:r w:rsidRPr="007F6B31">
        <w:rPr>
          <w:rFonts w:ascii="Book Antiqua" w:hAnsi="Book Antiqua"/>
          <w:sz w:val="24"/>
          <w:szCs w:val="24"/>
        </w:rPr>
        <w:t xml:space="preserve">, Pariyarath R, Garcia R, Stuani C, Burlina AB, Ruotolo G, Rabusin M, Baralle FE. New lysosomal acid lipase gene mutants explain the phenotype of Wolman disease and cholesteryl ester storage disease. </w:t>
      </w:r>
      <w:r w:rsidRPr="007F6B31">
        <w:rPr>
          <w:rFonts w:ascii="Book Antiqua" w:hAnsi="Book Antiqua"/>
          <w:i/>
          <w:sz w:val="24"/>
          <w:szCs w:val="24"/>
        </w:rPr>
        <w:t>J Lipid Res</w:t>
      </w:r>
      <w:r w:rsidRPr="007F6B31">
        <w:rPr>
          <w:rFonts w:ascii="Book Antiqua" w:hAnsi="Book Antiqua"/>
          <w:sz w:val="24"/>
          <w:szCs w:val="24"/>
        </w:rPr>
        <w:t xml:space="preserve"> 1998; </w:t>
      </w:r>
      <w:r w:rsidRPr="007F6B31">
        <w:rPr>
          <w:rFonts w:ascii="Book Antiqua" w:hAnsi="Book Antiqua"/>
          <w:b/>
          <w:sz w:val="24"/>
          <w:szCs w:val="24"/>
        </w:rPr>
        <w:t>39</w:t>
      </w:r>
      <w:r w:rsidRPr="007F6B31">
        <w:rPr>
          <w:rFonts w:ascii="Book Antiqua" w:hAnsi="Book Antiqua"/>
          <w:sz w:val="24"/>
          <w:szCs w:val="24"/>
        </w:rPr>
        <w:t>: 1382-1388 [PMID: 9684740]</w:t>
      </w:r>
    </w:p>
    <w:p w14:paraId="2AFF6B60"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10 </w:t>
      </w:r>
      <w:r w:rsidRPr="007F6B31">
        <w:rPr>
          <w:rFonts w:ascii="Book Antiqua" w:hAnsi="Book Antiqua"/>
          <w:b/>
          <w:sz w:val="24"/>
          <w:szCs w:val="24"/>
        </w:rPr>
        <w:t>Muntoni S</w:t>
      </w:r>
      <w:r w:rsidRPr="007F6B31">
        <w:rPr>
          <w:rFonts w:ascii="Book Antiqua" w:hAnsi="Book Antiqua"/>
          <w:sz w:val="24"/>
          <w:szCs w:val="24"/>
        </w:rPr>
        <w:t xml:space="preserve">, Wiebusch H, Jansen-Rust M, Rust S, Seedorf U, Schulte H, Berger K, Funke H, Assmann G. Prevalence of cholesteryl ester storage disease. </w:t>
      </w:r>
      <w:r w:rsidRPr="007F6B31">
        <w:rPr>
          <w:rFonts w:ascii="Book Antiqua" w:hAnsi="Book Antiqua"/>
          <w:i/>
          <w:sz w:val="24"/>
          <w:szCs w:val="24"/>
        </w:rPr>
        <w:t>Arterioscler Thromb Vasc Biol</w:t>
      </w:r>
      <w:r w:rsidRPr="007F6B31">
        <w:rPr>
          <w:rFonts w:ascii="Book Antiqua" w:hAnsi="Book Antiqua"/>
          <w:sz w:val="24"/>
          <w:szCs w:val="24"/>
        </w:rPr>
        <w:t xml:space="preserve"> 2007; </w:t>
      </w:r>
      <w:r w:rsidRPr="007F6B31">
        <w:rPr>
          <w:rFonts w:ascii="Book Antiqua" w:hAnsi="Book Antiqua"/>
          <w:b/>
          <w:sz w:val="24"/>
          <w:szCs w:val="24"/>
        </w:rPr>
        <w:t>27</w:t>
      </w:r>
      <w:r w:rsidRPr="007F6B31">
        <w:rPr>
          <w:rFonts w:ascii="Book Antiqua" w:hAnsi="Book Antiqua"/>
          <w:sz w:val="24"/>
          <w:szCs w:val="24"/>
        </w:rPr>
        <w:t>: 1866-1868 [PMID: 17634524 DOI: 10.1161/ATVBAHA.107.146639]</w:t>
      </w:r>
    </w:p>
    <w:p w14:paraId="23C70829"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11 </w:t>
      </w:r>
      <w:r w:rsidRPr="007F6B31">
        <w:rPr>
          <w:rFonts w:ascii="Book Antiqua" w:hAnsi="Book Antiqua"/>
          <w:b/>
          <w:sz w:val="24"/>
          <w:szCs w:val="24"/>
        </w:rPr>
        <w:t>Vinje T</w:t>
      </w:r>
      <w:r w:rsidRPr="007F6B31">
        <w:rPr>
          <w:rFonts w:ascii="Book Antiqua" w:hAnsi="Book Antiqua"/>
          <w:sz w:val="24"/>
          <w:szCs w:val="24"/>
        </w:rPr>
        <w:t xml:space="preserve">, Wierød L, Leren TP, Strøm TB. Prevalence of cholesteryl ester storage disease among hypercholesterolemic subjects and functional characterization of mutations in the lysosomal acid lipase gene. </w:t>
      </w:r>
      <w:r w:rsidRPr="007F6B31">
        <w:rPr>
          <w:rFonts w:ascii="Book Antiqua" w:hAnsi="Book Antiqua"/>
          <w:i/>
          <w:sz w:val="24"/>
          <w:szCs w:val="24"/>
        </w:rPr>
        <w:t>Mol Genet Metab</w:t>
      </w:r>
      <w:r w:rsidRPr="007F6B31">
        <w:rPr>
          <w:rFonts w:ascii="Book Antiqua" w:hAnsi="Book Antiqua"/>
          <w:sz w:val="24"/>
          <w:szCs w:val="24"/>
        </w:rPr>
        <w:t xml:space="preserve"> 2018; </w:t>
      </w:r>
      <w:r w:rsidRPr="007F6B31">
        <w:rPr>
          <w:rFonts w:ascii="Book Antiqua" w:hAnsi="Book Antiqua"/>
          <w:b/>
          <w:sz w:val="24"/>
          <w:szCs w:val="24"/>
        </w:rPr>
        <w:t>123</w:t>
      </w:r>
      <w:r w:rsidRPr="007F6B31">
        <w:rPr>
          <w:rFonts w:ascii="Book Antiqua" w:hAnsi="Book Antiqua"/>
          <w:sz w:val="24"/>
          <w:szCs w:val="24"/>
        </w:rPr>
        <w:t>: 169-176 [PMID: 29196158 DOI: 10.1016/j.ymgme.2017.11.008]</w:t>
      </w:r>
    </w:p>
    <w:p w14:paraId="2590CEE9"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12 </w:t>
      </w:r>
      <w:r w:rsidRPr="007F6B31">
        <w:rPr>
          <w:rFonts w:ascii="Book Antiqua" w:hAnsi="Book Antiqua"/>
          <w:b/>
          <w:sz w:val="24"/>
          <w:szCs w:val="24"/>
        </w:rPr>
        <w:t>Pisciotta L</w:t>
      </w:r>
      <w:r w:rsidRPr="007F6B31">
        <w:rPr>
          <w:rFonts w:ascii="Book Antiqua" w:hAnsi="Book Antiqua"/>
          <w:sz w:val="24"/>
          <w:szCs w:val="24"/>
        </w:rPr>
        <w:t xml:space="preserve">, Fresa R, Bellocchio A, Pino E, Guido V, Cantafora A, Di Rocco M, Calandra S, Bertolini S. Cholesteryl Ester Storage Disease (CESD) due to novel mutations in the LIPA gene. </w:t>
      </w:r>
      <w:r w:rsidRPr="007F6B31">
        <w:rPr>
          <w:rFonts w:ascii="Book Antiqua" w:hAnsi="Book Antiqua"/>
          <w:i/>
          <w:sz w:val="24"/>
          <w:szCs w:val="24"/>
        </w:rPr>
        <w:t>Mol Genet Metab</w:t>
      </w:r>
      <w:r w:rsidRPr="007F6B31">
        <w:rPr>
          <w:rFonts w:ascii="Book Antiqua" w:hAnsi="Book Antiqua"/>
          <w:sz w:val="24"/>
          <w:szCs w:val="24"/>
        </w:rPr>
        <w:t xml:space="preserve"> 2009; </w:t>
      </w:r>
      <w:r w:rsidRPr="007F6B31">
        <w:rPr>
          <w:rFonts w:ascii="Book Antiqua" w:hAnsi="Book Antiqua"/>
          <w:b/>
          <w:sz w:val="24"/>
          <w:szCs w:val="24"/>
        </w:rPr>
        <w:t>97</w:t>
      </w:r>
      <w:r w:rsidRPr="007F6B31">
        <w:rPr>
          <w:rFonts w:ascii="Book Antiqua" w:hAnsi="Book Antiqua"/>
          <w:sz w:val="24"/>
          <w:szCs w:val="24"/>
        </w:rPr>
        <w:t>: 143-148 [PMID: 19307143 DOI: 10.1016/j.ymgme.2009.02.007]</w:t>
      </w:r>
    </w:p>
    <w:p w14:paraId="3F5E7518"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13 </w:t>
      </w:r>
      <w:r w:rsidRPr="007F6B31">
        <w:rPr>
          <w:rFonts w:ascii="Book Antiqua" w:hAnsi="Book Antiqua"/>
          <w:b/>
          <w:sz w:val="24"/>
          <w:szCs w:val="24"/>
        </w:rPr>
        <w:t>ABRAMOV A</w:t>
      </w:r>
      <w:r w:rsidRPr="007F6B31">
        <w:rPr>
          <w:rFonts w:ascii="Book Antiqua" w:hAnsi="Book Antiqua"/>
          <w:sz w:val="24"/>
          <w:szCs w:val="24"/>
        </w:rPr>
        <w:t xml:space="preserve">, SCHORR S, WOLMAN M. Generalized xanthomatosis with calcified adrenals. </w:t>
      </w:r>
      <w:r w:rsidRPr="007F6B31">
        <w:rPr>
          <w:rFonts w:ascii="Book Antiqua" w:hAnsi="Book Antiqua"/>
          <w:i/>
          <w:sz w:val="24"/>
          <w:szCs w:val="24"/>
        </w:rPr>
        <w:t>AMA J Dis Child</w:t>
      </w:r>
      <w:r w:rsidRPr="007F6B31">
        <w:rPr>
          <w:rFonts w:ascii="Book Antiqua" w:hAnsi="Book Antiqua"/>
          <w:sz w:val="24"/>
          <w:szCs w:val="24"/>
        </w:rPr>
        <w:t xml:space="preserve"> 1956; </w:t>
      </w:r>
      <w:r w:rsidRPr="007F6B31">
        <w:rPr>
          <w:rFonts w:ascii="Book Antiqua" w:hAnsi="Book Antiqua"/>
          <w:b/>
          <w:sz w:val="24"/>
          <w:szCs w:val="24"/>
        </w:rPr>
        <w:t>91</w:t>
      </w:r>
      <w:r w:rsidRPr="007F6B31">
        <w:rPr>
          <w:rFonts w:ascii="Book Antiqua" w:hAnsi="Book Antiqua"/>
          <w:sz w:val="24"/>
          <w:szCs w:val="24"/>
        </w:rPr>
        <w:t>: 282-286 [PMID: 13301142 DOI: 10.1001/archpedi.1956.02060020284010]</w:t>
      </w:r>
    </w:p>
    <w:p w14:paraId="25BEF941"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14 </w:t>
      </w:r>
      <w:r w:rsidRPr="007F6B31">
        <w:rPr>
          <w:rFonts w:ascii="Book Antiqua" w:hAnsi="Book Antiqua"/>
          <w:b/>
          <w:sz w:val="24"/>
          <w:szCs w:val="24"/>
        </w:rPr>
        <w:t>Porto AF</w:t>
      </w:r>
      <w:r w:rsidRPr="007F6B31">
        <w:rPr>
          <w:rFonts w:ascii="Book Antiqua" w:hAnsi="Book Antiqua"/>
          <w:sz w:val="24"/>
          <w:szCs w:val="24"/>
        </w:rPr>
        <w:t xml:space="preserve">. Lysosomal acid lipase deficiency: diagnosis and treatment of Wolman and Cholesteryl Ester Storage Diseases. </w:t>
      </w:r>
      <w:r w:rsidRPr="007F6B31">
        <w:rPr>
          <w:rFonts w:ascii="Book Antiqua" w:hAnsi="Book Antiqua"/>
          <w:i/>
          <w:sz w:val="24"/>
          <w:szCs w:val="24"/>
        </w:rPr>
        <w:t>Pediatr Endocrinol Rev</w:t>
      </w:r>
      <w:r w:rsidRPr="007F6B31">
        <w:rPr>
          <w:rFonts w:ascii="Book Antiqua" w:hAnsi="Book Antiqua"/>
          <w:sz w:val="24"/>
          <w:szCs w:val="24"/>
        </w:rPr>
        <w:t xml:space="preserve"> 2014; </w:t>
      </w:r>
      <w:r w:rsidRPr="007F6B31">
        <w:rPr>
          <w:rFonts w:ascii="Book Antiqua" w:hAnsi="Book Antiqua"/>
          <w:b/>
          <w:sz w:val="24"/>
          <w:szCs w:val="24"/>
        </w:rPr>
        <w:t>12 Suppl 1</w:t>
      </w:r>
      <w:r w:rsidRPr="007F6B31">
        <w:rPr>
          <w:rFonts w:ascii="Book Antiqua" w:hAnsi="Book Antiqua"/>
          <w:sz w:val="24"/>
          <w:szCs w:val="24"/>
        </w:rPr>
        <w:t>: 125-132 [PMID: 25345094]</w:t>
      </w:r>
    </w:p>
    <w:p w14:paraId="2A6CFCCB"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lastRenderedPageBreak/>
        <w:t xml:space="preserve">15 </w:t>
      </w:r>
      <w:r w:rsidRPr="007F6B31">
        <w:rPr>
          <w:rFonts w:ascii="Book Antiqua" w:hAnsi="Book Antiqua"/>
          <w:b/>
          <w:sz w:val="24"/>
          <w:szCs w:val="24"/>
        </w:rPr>
        <w:t>Pericleous M</w:t>
      </w:r>
      <w:r w:rsidRPr="007F6B31">
        <w:rPr>
          <w:rFonts w:ascii="Book Antiqua" w:hAnsi="Book Antiqua"/>
          <w:sz w:val="24"/>
          <w:szCs w:val="24"/>
        </w:rPr>
        <w:t xml:space="preserve">, Kelly C, Wang T, Livingstone C, Ala A. Wolman's disease and cholesteryl ester storage disorder: the phenotypic spectrum of lysosomal acid lipase deficiency. </w:t>
      </w:r>
      <w:r w:rsidRPr="007F6B31">
        <w:rPr>
          <w:rFonts w:ascii="Book Antiqua" w:hAnsi="Book Antiqua"/>
          <w:i/>
          <w:sz w:val="24"/>
          <w:szCs w:val="24"/>
        </w:rPr>
        <w:t>Lancet Gastroenterol Hepatol</w:t>
      </w:r>
      <w:r w:rsidRPr="007F6B31">
        <w:rPr>
          <w:rFonts w:ascii="Book Antiqua" w:hAnsi="Book Antiqua"/>
          <w:sz w:val="24"/>
          <w:szCs w:val="24"/>
        </w:rPr>
        <w:t xml:space="preserve"> 2017; </w:t>
      </w:r>
      <w:r w:rsidRPr="007F6B31">
        <w:rPr>
          <w:rFonts w:ascii="Book Antiqua" w:hAnsi="Book Antiqua"/>
          <w:b/>
          <w:sz w:val="24"/>
          <w:szCs w:val="24"/>
        </w:rPr>
        <w:t>2</w:t>
      </w:r>
      <w:r w:rsidRPr="007F6B31">
        <w:rPr>
          <w:rFonts w:ascii="Book Antiqua" w:hAnsi="Book Antiqua"/>
          <w:sz w:val="24"/>
          <w:szCs w:val="24"/>
        </w:rPr>
        <w:t>: 670-679 [PMID: 28786388 DOI: 10.1016/S2468-1253(17)30052-3]</w:t>
      </w:r>
    </w:p>
    <w:p w14:paraId="322ACAD8"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16 </w:t>
      </w:r>
      <w:r w:rsidRPr="007F6B31">
        <w:rPr>
          <w:rFonts w:ascii="Book Antiqua" w:hAnsi="Book Antiqua"/>
          <w:b/>
          <w:sz w:val="24"/>
          <w:szCs w:val="24"/>
        </w:rPr>
        <w:t>Bernstein DL</w:t>
      </w:r>
      <w:r w:rsidRPr="007F6B31">
        <w:rPr>
          <w:rFonts w:ascii="Book Antiqua" w:hAnsi="Book Antiqua"/>
          <w:sz w:val="24"/>
          <w:szCs w:val="24"/>
        </w:rPr>
        <w:t xml:space="preserve">, Hülkova H, Bialer MG, Desnick RJ. Cholesteryl ester storage disease: review of the findings in 135 reported patients with an underdiagnosed disease. </w:t>
      </w:r>
      <w:r w:rsidRPr="007F6B31">
        <w:rPr>
          <w:rFonts w:ascii="Book Antiqua" w:hAnsi="Book Antiqua"/>
          <w:i/>
          <w:sz w:val="24"/>
          <w:szCs w:val="24"/>
        </w:rPr>
        <w:t>J Hepatol</w:t>
      </w:r>
      <w:r w:rsidRPr="007F6B31">
        <w:rPr>
          <w:rFonts w:ascii="Book Antiqua" w:hAnsi="Book Antiqua"/>
          <w:sz w:val="24"/>
          <w:szCs w:val="24"/>
        </w:rPr>
        <w:t xml:space="preserve"> 2013; </w:t>
      </w:r>
      <w:r w:rsidRPr="007F6B31">
        <w:rPr>
          <w:rFonts w:ascii="Book Antiqua" w:hAnsi="Book Antiqua"/>
          <w:b/>
          <w:sz w:val="24"/>
          <w:szCs w:val="24"/>
        </w:rPr>
        <w:t>58</w:t>
      </w:r>
      <w:r w:rsidRPr="007F6B31">
        <w:rPr>
          <w:rFonts w:ascii="Book Antiqua" w:hAnsi="Book Antiqua"/>
          <w:sz w:val="24"/>
          <w:szCs w:val="24"/>
        </w:rPr>
        <w:t>: 1230-1243 [PMID: 23485521 DOI: 10.1016/j.jhep.2013.02.014]</w:t>
      </w:r>
    </w:p>
    <w:p w14:paraId="2EB484CE"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17 </w:t>
      </w:r>
      <w:r w:rsidRPr="007F6B31">
        <w:rPr>
          <w:rFonts w:ascii="Book Antiqua" w:hAnsi="Book Antiqua"/>
          <w:b/>
          <w:sz w:val="24"/>
          <w:szCs w:val="24"/>
        </w:rPr>
        <w:t>Aguisanda F</w:t>
      </w:r>
      <w:r w:rsidRPr="007F6B31">
        <w:rPr>
          <w:rFonts w:ascii="Book Antiqua" w:hAnsi="Book Antiqua"/>
          <w:sz w:val="24"/>
          <w:szCs w:val="24"/>
        </w:rPr>
        <w:t xml:space="preserve">, Thorne N, Zheng W. Targeting Wolman Disease and Cholesteryl Ester Storage Disease: Disease Pathogenesis and Therapeutic Development. </w:t>
      </w:r>
      <w:r w:rsidRPr="007F6B31">
        <w:rPr>
          <w:rFonts w:ascii="Book Antiqua" w:hAnsi="Book Antiqua"/>
          <w:i/>
          <w:sz w:val="24"/>
          <w:szCs w:val="24"/>
        </w:rPr>
        <w:t>Curr Chem Genom Transl Med</w:t>
      </w:r>
      <w:r w:rsidRPr="007F6B31">
        <w:rPr>
          <w:rFonts w:ascii="Book Antiqua" w:hAnsi="Book Antiqua"/>
          <w:sz w:val="24"/>
          <w:szCs w:val="24"/>
        </w:rPr>
        <w:t xml:space="preserve"> 2017; </w:t>
      </w:r>
      <w:r w:rsidRPr="007F6B31">
        <w:rPr>
          <w:rFonts w:ascii="Book Antiqua" w:hAnsi="Book Antiqua"/>
          <w:b/>
          <w:sz w:val="24"/>
          <w:szCs w:val="24"/>
        </w:rPr>
        <w:t>11</w:t>
      </w:r>
      <w:r w:rsidRPr="007F6B31">
        <w:rPr>
          <w:rFonts w:ascii="Book Antiqua" w:hAnsi="Book Antiqua"/>
          <w:sz w:val="24"/>
          <w:szCs w:val="24"/>
        </w:rPr>
        <w:t>: 1-18 [PMID: 28401034 DOI: 10.2174/2213988501711010001]</w:t>
      </w:r>
    </w:p>
    <w:p w14:paraId="5E579F7C"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18 </w:t>
      </w:r>
      <w:r w:rsidRPr="007F6B31">
        <w:rPr>
          <w:rFonts w:ascii="Book Antiqua" w:hAnsi="Book Antiqua"/>
          <w:b/>
          <w:sz w:val="24"/>
          <w:szCs w:val="24"/>
        </w:rPr>
        <w:t>Sargolzaei J</w:t>
      </w:r>
      <w:r w:rsidRPr="007F6B31">
        <w:rPr>
          <w:rFonts w:ascii="Book Antiqua" w:hAnsi="Book Antiqua"/>
          <w:sz w:val="24"/>
          <w:szCs w:val="24"/>
        </w:rPr>
        <w:t xml:space="preserve">, Chamani E, Kazemi T, Fallah S, Soori H. The role of adiponectin and adipolin as anti-inflammatory adipokines in the formation of macrophage foam cells and their association with cardiovascular diseases. </w:t>
      </w:r>
      <w:r w:rsidRPr="007F6B31">
        <w:rPr>
          <w:rFonts w:ascii="Book Antiqua" w:hAnsi="Book Antiqua"/>
          <w:i/>
          <w:sz w:val="24"/>
          <w:szCs w:val="24"/>
        </w:rPr>
        <w:t>Clin Biochem</w:t>
      </w:r>
      <w:r w:rsidRPr="007F6B31">
        <w:rPr>
          <w:rFonts w:ascii="Book Antiqua" w:hAnsi="Book Antiqua"/>
          <w:sz w:val="24"/>
          <w:szCs w:val="24"/>
        </w:rPr>
        <w:t xml:space="preserve"> 2018; </w:t>
      </w:r>
      <w:r w:rsidRPr="007F6B31">
        <w:rPr>
          <w:rFonts w:ascii="Book Antiqua" w:hAnsi="Book Antiqua"/>
          <w:b/>
          <w:sz w:val="24"/>
          <w:szCs w:val="24"/>
        </w:rPr>
        <w:t>54</w:t>
      </w:r>
      <w:r w:rsidRPr="007F6B31">
        <w:rPr>
          <w:rFonts w:ascii="Book Antiqua" w:hAnsi="Book Antiqua"/>
          <w:sz w:val="24"/>
          <w:szCs w:val="24"/>
        </w:rPr>
        <w:t>: 1-10 [PMID: 29452073 DOI: 10.1016/j.clinbiochem.2018.02.008]</w:t>
      </w:r>
    </w:p>
    <w:p w14:paraId="628E5147"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19 </w:t>
      </w:r>
      <w:r w:rsidRPr="007F6B31">
        <w:rPr>
          <w:rFonts w:ascii="Book Antiqua" w:hAnsi="Book Antiqua"/>
          <w:b/>
          <w:sz w:val="24"/>
          <w:szCs w:val="24"/>
        </w:rPr>
        <w:t>Chora JR</w:t>
      </w:r>
      <w:r w:rsidRPr="007F6B31">
        <w:rPr>
          <w:rFonts w:ascii="Book Antiqua" w:hAnsi="Book Antiqua"/>
          <w:sz w:val="24"/>
          <w:szCs w:val="24"/>
        </w:rPr>
        <w:t xml:space="preserve">, Alves AC, Medeiros AM, Mariano C, Lobarinhas G, Guerra A, Mansilha H, Cortez-Pinto H, Bourbon M. Lysosomal acid lipase deficiency: A hidden disease among cohorts of familial hypercholesterolemia? </w:t>
      </w:r>
      <w:r w:rsidRPr="007F6B31">
        <w:rPr>
          <w:rFonts w:ascii="Book Antiqua" w:hAnsi="Book Antiqua"/>
          <w:i/>
          <w:sz w:val="24"/>
          <w:szCs w:val="24"/>
        </w:rPr>
        <w:t>J Clin Lipidol</w:t>
      </w:r>
      <w:r w:rsidRPr="007F6B31">
        <w:rPr>
          <w:rFonts w:ascii="Book Antiqua" w:hAnsi="Book Antiqua"/>
          <w:sz w:val="24"/>
          <w:szCs w:val="24"/>
        </w:rPr>
        <w:t xml:space="preserve"> 2017; </w:t>
      </w:r>
      <w:r w:rsidRPr="007F6B31">
        <w:rPr>
          <w:rFonts w:ascii="Book Antiqua" w:hAnsi="Book Antiqua"/>
          <w:b/>
          <w:sz w:val="24"/>
          <w:szCs w:val="24"/>
        </w:rPr>
        <w:t>11</w:t>
      </w:r>
      <w:r w:rsidRPr="007F6B31">
        <w:rPr>
          <w:rFonts w:ascii="Book Antiqua" w:hAnsi="Book Antiqua"/>
          <w:sz w:val="24"/>
          <w:szCs w:val="24"/>
        </w:rPr>
        <w:t>: 477-484.e2 [PMID: 28502505 DOI: 10.1016/j.jacl.2016.11.002]</w:t>
      </w:r>
    </w:p>
    <w:p w14:paraId="08D10CF4"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20 </w:t>
      </w:r>
      <w:r w:rsidRPr="007F6B31">
        <w:rPr>
          <w:rFonts w:ascii="Book Antiqua" w:hAnsi="Book Antiqua"/>
          <w:b/>
          <w:sz w:val="24"/>
          <w:szCs w:val="24"/>
        </w:rPr>
        <w:t>Dairaku T</w:t>
      </w:r>
      <w:r w:rsidRPr="007F6B31">
        <w:rPr>
          <w:rFonts w:ascii="Book Antiqua" w:hAnsi="Book Antiqua"/>
          <w:sz w:val="24"/>
          <w:szCs w:val="24"/>
        </w:rPr>
        <w:t xml:space="preserve">, Iwamoto T, Nishimura M, Endo M, Ohashi T, Eto Y. A practical fluorometric assay method to measure lysosomal acid lipase activity in dried blood spots for the screening of cholesteryl ester storage disease and Wolman disease. </w:t>
      </w:r>
      <w:r w:rsidRPr="007F6B31">
        <w:rPr>
          <w:rFonts w:ascii="Book Antiqua" w:hAnsi="Book Antiqua"/>
          <w:i/>
          <w:sz w:val="24"/>
          <w:szCs w:val="24"/>
        </w:rPr>
        <w:t>Mol Genet Metab</w:t>
      </w:r>
      <w:r w:rsidRPr="007F6B31">
        <w:rPr>
          <w:rFonts w:ascii="Book Antiqua" w:hAnsi="Book Antiqua"/>
          <w:sz w:val="24"/>
          <w:szCs w:val="24"/>
        </w:rPr>
        <w:t xml:space="preserve"> 2014; </w:t>
      </w:r>
      <w:r w:rsidRPr="007F6B31">
        <w:rPr>
          <w:rFonts w:ascii="Book Antiqua" w:hAnsi="Book Antiqua"/>
          <w:b/>
          <w:sz w:val="24"/>
          <w:szCs w:val="24"/>
        </w:rPr>
        <w:t>111</w:t>
      </w:r>
      <w:r w:rsidRPr="007F6B31">
        <w:rPr>
          <w:rFonts w:ascii="Book Antiqua" w:hAnsi="Book Antiqua"/>
          <w:sz w:val="24"/>
          <w:szCs w:val="24"/>
        </w:rPr>
        <w:t>: 193-196 [PMID: 24295952 DOI: 10.1016/j.ymgme.2013.11.003]</w:t>
      </w:r>
    </w:p>
    <w:p w14:paraId="56EA9F4B"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21 </w:t>
      </w:r>
      <w:r w:rsidRPr="007F6B31">
        <w:rPr>
          <w:rFonts w:ascii="Book Antiqua" w:hAnsi="Book Antiqua"/>
          <w:b/>
          <w:sz w:val="24"/>
          <w:szCs w:val="24"/>
        </w:rPr>
        <w:t>Lukacs Z</w:t>
      </w:r>
      <w:r w:rsidRPr="007F6B31">
        <w:rPr>
          <w:rFonts w:ascii="Book Antiqua" w:hAnsi="Book Antiqua"/>
          <w:sz w:val="24"/>
          <w:szCs w:val="24"/>
        </w:rPr>
        <w:t xml:space="preserve">, Barr M, Hamilton J. Best practice in the measurement and interpretation of lysosomal acid lipase in dried blood spots using the inhibitor Lalistat 2. </w:t>
      </w:r>
      <w:r w:rsidRPr="007F6B31">
        <w:rPr>
          <w:rFonts w:ascii="Book Antiqua" w:hAnsi="Book Antiqua"/>
          <w:i/>
          <w:sz w:val="24"/>
          <w:szCs w:val="24"/>
        </w:rPr>
        <w:t>Clin Chim Acta</w:t>
      </w:r>
      <w:r w:rsidRPr="007F6B31">
        <w:rPr>
          <w:rFonts w:ascii="Book Antiqua" w:hAnsi="Book Antiqua"/>
          <w:sz w:val="24"/>
          <w:szCs w:val="24"/>
        </w:rPr>
        <w:t xml:space="preserve"> 2017; </w:t>
      </w:r>
      <w:r w:rsidRPr="007F6B31">
        <w:rPr>
          <w:rFonts w:ascii="Book Antiqua" w:hAnsi="Book Antiqua"/>
          <w:b/>
          <w:sz w:val="24"/>
          <w:szCs w:val="24"/>
        </w:rPr>
        <w:t>471</w:t>
      </w:r>
      <w:r w:rsidRPr="007F6B31">
        <w:rPr>
          <w:rFonts w:ascii="Book Antiqua" w:hAnsi="Book Antiqua"/>
          <w:sz w:val="24"/>
          <w:szCs w:val="24"/>
        </w:rPr>
        <w:t>: 201-205 [PMID: 28532785 DOI: 10.1016/j.cca.2017.05.027]</w:t>
      </w:r>
    </w:p>
    <w:p w14:paraId="01EDD1FF"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22 </w:t>
      </w:r>
      <w:r w:rsidRPr="007F6B31">
        <w:rPr>
          <w:rFonts w:ascii="Book Antiqua" w:hAnsi="Book Antiqua"/>
          <w:b/>
          <w:sz w:val="24"/>
          <w:szCs w:val="24"/>
        </w:rPr>
        <w:t>Erwin AL</w:t>
      </w:r>
      <w:r w:rsidRPr="007F6B31">
        <w:rPr>
          <w:rFonts w:ascii="Book Antiqua" w:hAnsi="Book Antiqua"/>
          <w:sz w:val="24"/>
          <w:szCs w:val="24"/>
        </w:rPr>
        <w:t xml:space="preserve">. The role of sebelipase alfa in the treatment of lysosomal acid lipase deficiency. </w:t>
      </w:r>
      <w:r w:rsidRPr="007F6B31">
        <w:rPr>
          <w:rFonts w:ascii="Book Antiqua" w:hAnsi="Book Antiqua"/>
          <w:i/>
          <w:sz w:val="24"/>
          <w:szCs w:val="24"/>
        </w:rPr>
        <w:t>Therap Adv Gastroenterol</w:t>
      </w:r>
      <w:r w:rsidRPr="007F6B31">
        <w:rPr>
          <w:rFonts w:ascii="Book Antiqua" w:hAnsi="Book Antiqua"/>
          <w:sz w:val="24"/>
          <w:szCs w:val="24"/>
        </w:rPr>
        <w:t xml:space="preserve"> 2017; </w:t>
      </w:r>
      <w:r w:rsidRPr="007F6B31">
        <w:rPr>
          <w:rFonts w:ascii="Book Antiqua" w:hAnsi="Book Antiqua"/>
          <w:b/>
          <w:sz w:val="24"/>
          <w:szCs w:val="24"/>
        </w:rPr>
        <w:t>10</w:t>
      </w:r>
      <w:r w:rsidRPr="007F6B31">
        <w:rPr>
          <w:rFonts w:ascii="Book Antiqua" w:hAnsi="Book Antiqua"/>
          <w:sz w:val="24"/>
          <w:szCs w:val="24"/>
        </w:rPr>
        <w:t>: 553-562 [PMID: 28804516 DOI: 10.1177/1756283X17705775]</w:t>
      </w:r>
    </w:p>
    <w:p w14:paraId="1B9DDDA2"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23 </w:t>
      </w:r>
      <w:r w:rsidRPr="007F6B31">
        <w:rPr>
          <w:rFonts w:ascii="Book Antiqua" w:hAnsi="Book Antiqua"/>
          <w:b/>
          <w:sz w:val="24"/>
          <w:szCs w:val="24"/>
        </w:rPr>
        <w:t>Gasche C</w:t>
      </w:r>
      <w:r w:rsidRPr="007F6B31">
        <w:rPr>
          <w:rFonts w:ascii="Book Antiqua" w:hAnsi="Book Antiqua"/>
          <w:sz w:val="24"/>
          <w:szCs w:val="24"/>
        </w:rPr>
        <w:t xml:space="preserve">, Aslanidis C, Kain R, Exner M, Helbich T, Dejaco C, Schmitz G, Ferenci P. A novel variant of lysosomal acid lipase in cholesteryl ester storage disease associated with mild phenotype and improvement on lovastatin. </w:t>
      </w:r>
      <w:r w:rsidRPr="007F6B31">
        <w:rPr>
          <w:rFonts w:ascii="Book Antiqua" w:hAnsi="Book Antiqua"/>
          <w:i/>
          <w:sz w:val="24"/>
          <w:szCs w:val="24"/>
        </w:rPr>
        <w:t>J Hepatol</w:t>
      </w:r>
      <w:r w:rsidRPr="007F6B31">
        <w:rPr>
          <w:rFonts w:ascii="Book Antiqua" w:hAnsi="Book Antiqua"/>
          <w:sz w:val="24"/>
          <w:szCs w:val="24"/>
        </w:rPr>
        <w:t xml:space="preserve"> 1997; </w:t>
      </w:r>
      <w:r w:rsidRPr="007F6B31">
        <w:rPr>
          <w:rFonts w:ascii="Book Antiqua" w:hAnsi="Book Antiqua"/>
          <w:b/>
          <w:sz w:val="24"/>
          <w:szCs w:val="24"/>
        </w:rPr>
        <w:t>27</w:t>
      </w:r>
      <w:r w:rsidRPr="007F6B31">
        <w:rPr>
          <w:rFonts w:ascii="Book Antiqua" w:hAnsi="Book Antiqua"/>
          <w:sz w:val="24"/>
          <w:szCs w:val="24"/>
        </w:rPr>
        <w:t>: 744-750 [PMID: 9365051 DOI: 10.1016/s0168-8278(97)80092-x]</w:t>
      </w:r>
    </w:p>
    <w:p w14:paraId="124C59F6"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lastRenderedPageBreak/>
        <w:t xml:space="preserve">24 </w:t>
      </w:r>
      <w:r w:rsidRPr="007F6B31">
        <w:rPr>
          <w:rFonts w:ascii="Book Antiqua" w:hAnsi="Book Antiqua"/>
          <w:b/>
          <w:sz w:val="24"/>
          <w:szCs w:val="24"/>
        </w:rPr>
        <w:t>Sreekantam S</w:t>
      </w:r>
      <w:r w:rsidRPr="007F6B31">
        <w:rPr>
          <w:rFonts w:ascii="Book Antiqua" w:hAnsi="Book Antiqua"/>
          <w:sz w:val="24"/>
          <w:szCs w:val="24"/>
        </w:rPr>
        <w:t xml:space="preserve">, Nicklaus-Wollenteit I, Orr J, Sharif K, Vijay S, McKiernan PJ, Santra S. Successful long-term outcome of liver transplantation in late-onset lysosomal acid lipase deficiency. </w:t>
      </w:r>
      <w:r w:rsidRPr="007F6B31">
        <w:rPr>
          <w:rFonts w:ascii="Book Antiqua" w:hAnsi="Book Antiqua"/>
          <w:i/>
          <w:sz w:val="24"/>
          <w:szCs w:val="24"/>
        </w:rPr>
        <w:t>Pediatr Transplant</w:t>
      </w:r>
      <w:r w:rsidRPr="007F6B31">
        <w:rPr>
          <w:rFonts w:ascii="Book Antiqua" w:hAnsi="Book Antiqua"/>
          <w:sz w:val="24"/>
          <w:szCs w:val="24"/>
        </w:rPr>
        <w:t xml:space="preserve"> 2016; </w:t>
      </w:r>
      <w:r w:rsidRPr="007F6B31">
        <w:rPr>
          <w:rFonts w:ascii="Book Antiqua" w:hAnsi="Book Antiqua"/>
          <w:b/>
          <w:sz w:val="24"/>
          <w:szCs w:val="24"/>
        </w:rPr>
        <w:t>20</w:t>
      </w:r>
      <w:r w:rsidRPr="007F6B31">
        <w:rPr>
          <w:rFonts w:ascii="Book Antiqua" w:hAnsi="Book Antiqua"/>
          <w:sz w:val="24"/>
          <w:szCs w:val="24"/>
        </w:rPr>
        <w:t>: 851-854 [PMID: 27392817 DOI: 10.1111/petr.12748]</w:t>
      </w:r>
    </w:p>
    <w:p w14:paraId="1623EF23"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25 </w:t>
      </w:r>
      <w:r w:rsidRPr="007F6B31">
        <w:rPr>
          <w:rFonts w:ascii="Book Antiqua" w:hAnsi="Book Antiqua"/>
          <w:b/>
          <w:sz w:val="24"/>
          <w:szCs w:val="24"/>
        </w:rPr>
        <w:t>Balwani M</w:t>
      </w:r>
      <w:r w:rsidRPr="007F6B31">
        <w:rPr>
          <w:rFonts w:ascii="Book Antiqua" w:hAnsi="Book Antiqua"/>
          <w:sz w:val="24"/>
          <w:szCs w:val="24"/>
        </w:rPr>
        <w:t xml:space="preserve">, Breen C, Enns GM, Deegan PB, Honzík T, Jones S, Kane JP, Malinova V, Sharma R, Stock EO, Valayannopoulos V, Wraith JE, Burg J, Eckert S, Schneider E, Quinn AG. Clinical effect and safety profile of recombinant human lysosomal acid lipase in patients with cholesteryl ester storage disease. </w:t>
      </w:r>
      <w:r w:rsidRPr="007F6B31">
        <w:rPr>
          <w:rFonts w:ascii="Book Antiqua" w:hAnsi="Book Antiqua"/>
          <w:i/>
          <w:sz w:val="24"/>
          <w:szCs w:val="24"/>
        </w:rPr>
        <w:t>Hepatology</w:t>
      </w:r>
      <w:r w:rsidRPr="007F6B31">
        <w:rPr>
          <w:rFonts w:ascii="Book Antiqua" w:hAnsi="Book Antiqua"/>
          <w:sz w:val="24"/>
          <w:szCs w:val="24"/>
        </w:rPr>
        <w:t xml:space="preserve"> 2013; </w:t>
      </w:r>
      <w:r w:rsidRPr="007F6B31">
        <w:rPr>
          <w:rFonts w:ascii="Book Antiqua" w:hAnsi="Book Antiqua"/>
          <w:b/>
          <w:sz w:val="24"/>
          <w:szCs w:val="24"/>
        </w:rPr>
        <w:t>58</w:t>
      </w:r>
      <w:r w:rsidRPr="007F6B31">
        <w:rPr>
          <w:rFonts w:ascii="Book Antiqua" w:hAnsi="Book Antiqua"/>
          <w:sz w:val="24"/>
          <w:szCs w:val="24"/>
        </w:rPr>
        <w:t>: 950-957 [PMID: 23348766 DOI: 10.1002/hep.26289]</w:t>
      </w:r>
    </w:p>
    <w:p w14:paraId="7B99D11A"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26 </w:t>
      </w:r>
      <w:r w:rsidRPr="007F6B31">
        <w:rPr>
          <w:rFonts w:ascii="Book Antiqua" w:hAnsi="Book Antiqua"/>
          <w:b/>
          <w:sz w:val="24"/>
          <w:szCs w:val="24"/>
        </w:rPr>
        <w:t>Falleti E</w:t>
      </w:r>
      <w:r w:rsidRPr="007F6B31">
        <w:rPr>
          <w:rFonts w:ascii="Book Antiqua" w:hAnsi="Book Antiqua"/>
          <w:sz w:val="24"/>
          <w:szCs w:val="24"/>
        </w:rPr>
        <w:t xml:space="preserve">, Fabris C, Cmet S, Cussigh A, Bitetto D, Fontanini E, Fornasiere E, Bignulin S, Fumolo E, Bignulin E, Pirisi M, Toniutto P. PNPLA3 rs738409C/G polymorphism in cirrhosis: relationship with the aetiology of liver disease and hepatocellular carcinoma occurrence. </w:t>
      </w:r>
      <w:r w:rsidRPr="007F6B31">
        <w:rPr>
          <w:rFonts w:ascii="Book Antiqua" w:hAnsi="Book Antiqua"/>
          <w:i/>
          <w:sz w:val="24"/>
          <w:szCs w:val="24"/>
        </w:rPr>
        <w:t>Liver Int</w:t>
      </w:r>
      <w:r w:rsidRPr="007F6B31">
        <w:rPr>
          <w:rFonts w:ascii="Book Antiqua" w:hAnsi="Book Antiqua"/>
          <w:sz w:val="24"/>
          <w:szCs w:val="24"/>
        </w:rPr>
        <w:t xml:space="preserve"> 2011; </w:t>
      </w:r>
      <w:r w:rsidRPr="007F6B31">
        <w:rPr>
          <w:rFonts w:ascii="Book Antiqua" w:hAnsi="Book Antiqua"/>
          <w:b/>
          <w:sz w:val="24"/>
          <w:szCs w:val="24"/>
        </w:rPr>
        <w:t>31</w:t>
      </w:r>
      <w:r w:rsidRPr="007F6B31">
        <w:rPr>
          <w:rFonts w:ascii="Book Antiqua" w:hAnsi="Book Antiqua"/>
          <w:sz w:val="24"/>
          <w:szCs w:val="24"/>
        </w:rPr>
        <w:t>: 1137-1143 [PMID: 21745286 DOI: 10.1111/j.1478-3231.2011.02534.x]</w:t>
      </w:r>
    </w:p>
    <w:p w14:paraId="56F7C5E9"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27 </w:t>
      </w:r>
      <w:r w:rsidRPr="007F6B31">
        <w:rPr>
          <w:rFonts w:ascii="Book Antiqua" w:hAnsi="Book Antiqua"/>
          <w:b/>
          <w:sz w:val="24"/>
          <w:szCs w:val="24"/>
        </w:rPr>
        <w:t>Salameh H</w:t>
      </w:r>
      <w:r w:rsidRPr="007F6B31">
        <w:rPr>
          <w:rFonts w:ascii="Book Antiqua" w:hAnsi="Book Antiqua"/>
          <w:sz w:val="24"/>
          <w:szCs w:val="24"/>
        </w:rPr>
        <w:t xml:space="preserve">, Raff E, Erwin A, Seth D, Nischalke HD, Falleti E, Burza MA, Leathert J, Romeo S, Molinaro A, Corradini SG, Toniutto P, Spengler U, Daly A, Day CP, Kuo YF, Singal AK. PNPLA3 Gene Polymorphism Is Associated With Predisposition to and Severity of Alcoholic Liver Disease. </w:t>
      </w:r>
      <w:r w:rsidRPr="007F6B31">
        <w:rPr>
          <w:rFonts w:ascii="Book Antiqua" w:hAnsi="Book Antiqua"/>
          <w:i/>
          <w:sz w:val="24"/>
          <w:szCs w:val="24"/>
        </w:rPr>
        <w:t>Am J Gastroenterol</w:t>
      </w:r>
      <w:r w:rsidRPr="007F6B31">
        <w:rPr>
          <w:rFonts w:ascii="Book Antiqua" w:hAnsi="Book Antiqua"/>
          <w:sz w:val="24"/>
          <w:szCs w:val="24"/>
        </w:rPr>
        <w:t xml:space="preserve"> 2015; </w:t>
      </w:r>
      <w:r w:rsidRPr="007F6B31">
        <w:rPr>
          <w:rFonts w:ascii="Book Antiqua" w:hAnsi="Book Antiqua"/>
          <w:b/>
          <w:sz w:val="24"/>
          <w:szCs w:val="24"/>
        </w:rPr>
        <w:t>110</w:t>
      </w:r>
      <w:r w:rsidRPr="007F6B31">
        <w:rPr>
          <w:rFonts w:ascii="Book Antiqua" w:hAnsi="Book Antiqua"/>
          <w:sz w:val="24"/>
          <w:szCs w:val="24"/>
        </w:rPr>
        <w:t>: 846-856 [PMID: 25964223 DOI: 10.1038/ajg.2015.137]</w:t>
      </w:r>
    </w:p>
    <w:p w14:paraId="7A705209"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28 </w:t>
      </w:r>
      <w:r w:rsidRPr="007F6B31">
        <w:rPr>
          <w:rFonts w:ascii="Book Antiqua" w:hAnsi="Book Antiqua"/>
          <w:b/>
          <w:sz w:val="24"/>
          <w:szCs w:val="24"/>
        </w:rPr>
        <w:t>Buch S</w:t>
      </w:r>
      <w:r w:rsidRPr="007F6B31">
        <w:rPr>
          <w:rFonts w:ascii="Book Antiqua" w:hAnsi="Book Antiqua"/>
          <w:sz w:val="24"/>
          <w:szCs w:val="24"/>
        </w:rPr>
        <w:t xml:space="preserve">, Stickel F, Trépo E, Way M, Herrmann A, Nischalke HD, Brosch M, Rosendahl J, Berg T, Ridinger M, Rietschel M, McQuillin A, Frank J, Kiefer F, Schreiber S, Lieb W, Soyka M, Semmo N, Aigner E, Datz C, Schmelz R, Brückner S, Zeissig S, Stephan AM, Wodarz N, Devière J, Clumeck N, Sarrazin C, Lammert F, Gustot T, Deltenre P, Völzke H, Lerch MM, Mayerle J, Eyer F, Schafmayer C, Cichon S, Nöthen MM, Nothnagel M, Ellinghaus D, Huse K, Franke A, Zopf S, Hellerbrand C, Moreno C, Franchimont D, Morgan MY, Hampe J. A genome-wide association study confirms PNPLA3 and identifies TM6SF2 and MBOAT7 as risk loci for alcohol-related cirrhosis. </w:t>
      </w:r>
      <w:r w:rsidRPr="007F6B31">
        <w:rPr>
          <w:rFonts w:ascii="Book Antiqua" w:hAnsi="Book Antiqua"/>
          <w:i/>
          <w:sz w:val="24"/>
          <w:szCs w:val="24"/>
        </w:rPr>
        <w:t>Nat Genet</w:t>
      </w:r>
      <w:r w:rsidRPr="007F6B31">
        <w:rPr>
          <w:rFonts w:ascii="Book Antiqua" w:hAnsi="Book Antiqua"/>
          <w:sz w:val="24"/>
          <w:szCs w:val="24"/>
        </w:rPr>
        <w:t xml:space="preserve"> 2015; </w:t>
      </w:r>
      <w:r w:rsidRPr="007F6B31">
        <w:rPr>
          <w:rFonts w:ascii="Book Antiqua" w:hAnsi="Book Antiqua"/>
          <w:b/>
          <w:sz w:val="24"/>
          <w:szCs w:val="24"/>
        </w:rPr>
        <w:t>47</w:t>
      </w:r>
      <w:r w:rsidRPr="007F6B31">
        <w:rPr>
          <w:rFonts w:ascii="Book Antiqua" w:hAnsi="Book Antiqua"/>
          <w:sz w:val="24"/>
          <w:szCs w:val="24"/>
        </w:rPr>
        <w:t>: 1443-1448 [PMID: 26482880 DOI: 10.1038/ng.3417]</w:t>
      </w:r>
    </w:p>
    <w:p w14:paraId="42080DAB"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29 </w:t>
      </w:r>
      <w:r w:rsidRPr="007F6B31">
        <w:rPr>
          <w:rFonts w:ascii="Book Antiqua" w:hAnsi="Book Antiqua"/>
          <w:b/>
          <w:sz w:val="24"/>
          <w:szCs w:val="24"/>
        </w:rPr>
        <w:t>Mancina RM</w:t>
      </w:r>
      <w:r w:rsidRPr="007F6B31">
        <w:rPr>
          <w:rFonts w:ascii="Book Antiqua" w:hAnsi="Book Antiqua"/>
          <w:sz w:val="24"/>
          <w:szCs w:val="24"/>
        </w:rPr>
        <w:t xml:space="preserve">, Dongiovanni P, Petta S, Pingitore P, Meroni M, Rametta R, Borén J, Montalcini T, Pujia A, Wiklund O, Hindy G, Spagnuolo R, Motta BM, Pipitone RM, Craxì A, Fargion S, Nobili V, Käkelä P, Kärjä V, Männistö V, Pihlajamäki J, Reilly DF, Castro-Perez J, </w:t>
      </w:r>
      <w:r w:rsidRPr="007F6B31">
        <w:rPr>
          <w:rFonts w:ascii="Book Antiqua" w:hAnsi="Book Antiqua"/>
          <w:sz w:val="24"/>
          <w:szCs w:val="24"/>
        </w:rPr>
        <w:lastRenderedPageBreak/>
        <w:t xml:space="preserve">Kozlitina J, Valenti L, Romeo S. The MBOAT7-TMC4 Variant rs641738 Increases Risk of Nonalcoholic Fatty Liver Disease in Individuals of European Descent. </w:t>
      </w:r>
      <w:r w:rsidRPr="007F6B31">
        <w:rPr>
          <w:rFonts w:ascii="Book Antiqua" w:hAnsi="Book Antiqua"/>
          <w:i/>
          <w:sz w:val="24"/>
          <w:szCs w:val="24"/>
        </w:rPr>
        <w:t>Gastroenterology</w:t>
      </w:r>
      <w:r w:rsidRPr="007F6B31">
        <w:rPr>
          <w:rFonts w:ascii="Book Antiqua" w:hAnsi="Book Antiqua"/>
          <w:sz w:val="24"/>
          <w:szCs w:val="24"/>
        </w:rPr>
        <w:t xml:space="preserve"> 2016; </w:t>
      </w:r>
      <w:r w:rsidRPr="007F6B31">
        <w:rPr>
          <w:rFonts w:ascii="Book Antiqua" w:hAnsi="Book Antiqua"/>
          <w:b/>
          <w:sz w:val="24"/>
          <w:szCs w:val="24"/>
        </w:rPr>
        <w:t>150</w:t>
      </w:r>
      <w:r w:rsidRPr="007F6B31">
        <w:rPr>
          <w:rFonts w:ascii="Book Antiqua" w:hAnsi="Book Antiqua"/>
          <w:sz w:val="24"/>
          <w:szCs w:val="24"/>
        </w:rPr>
        <w:t>: 1219-1230.e6 [PMID: 26850495 DOI: 10.1053/j.gastro.2016.01.032]</w:t>
      </w:r>
    </w:p>
    <w:p w14:paraId="4A013043"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30 </w:t>
      </w:r>
      <w:r w:rsidRPr="007F6B31">
        <w:rPr>
          <w:rFonts w:ascii="Book Antiqua" w:hAnsi="Book Antiqua"/>
          <w:b/>
          <w:sz w:val="24"/>
          <w:szCs w:val="24"/>
        </w:rPr>
        <w:t>Yang J</w:t>
      </w:r>
      <w:r w:rsidRPr="007F6B31">
        <w:rPr>
          <w:rFonts w:ascii="Book Antiqua" w:hAnsi="Book Antiqua"/>
          <w:sz w:val="24"/>
          <w:szCs w:val="24"/>
        </w:rPr>
        <w:t xml:space="preserve">, Trépo E, Nahon P, Cao Q, Moreno C, Letouzé E, Imbeaud S, Gustot T, Deviere J, Debette S, Amouyel P, Bioulac-Sage P, Calderaro J, Ganne-Carrié N, Laurent A, Blanc JF, Guyot E, Sutton A, Ziol M, Zucman-Rossi J, Nault JC. PNPLA3 and TM6SF2 variants as risk factors of hepatocellular carcinoma across various etiologies and severity of underlying liver diseases. </w:t>
      </w:r>
      <w:r w:rsidRPr="007F6B31">
        <w:rPr>
          <w:rFonts w:ascii="Book Antiqua" w:hAnsi="Book Antiqua"/>
          <w:i/>
          <w:sz w:val="24"/>
          <w:szCs w:val="24"/>
        </w:rPr>
        <w:t>Int J Cancer</w:t>
      </w:r>
      <w:r w:rsidRPr="007F6B31">
        <w:rPr>
          <w:rFonts w:ascii="Book Antiqua" w:hAnsi="Book Antiqua"/>
          <w:sz w:val="24"/>
          <w:szCs w:val="24"/>
        </w:rPr>
        <w:t xml:space="preserve"> 2019; </w:t>
      </w:r>
      <w:r w:rsidRPr="007F6B31">
        <w:rPr>
          <w:rFonts w:ascii="Book Antiqua" w:hAnsi="Book Antiqua"/>
          <w:b/>
          <w:sz w:val="24"/>
          <w:szCs w:val="24"/>
        </w:rPr>
        <w:t>144</w:t>
      </w:r>
      <w:r w:rsidRPr="007F6B31">
        <w:rPr>
          <w:rFonts w:ascii="Book Antiqua" w:hAnsi="Book Antiqua"/>
          <w:sz w:val="24"/>
          <w:szCs w:val="24"/>
        </w:rPr>
        <w:t>: 533-544 [PMID: 30289982 DOI: 10.1002/ijc.31910]</w:t>
      </w:r>
    </w:p>
    <w:p w14:paraId="2AA55DB2"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31 </w:t>
      </w:r>
      <w:r w:rsidRPr="007F6B31">
        <w:rPr>
          <w:rFonts w:ascii="Book Antiqua" w:hAnsi="Book Antiqua"/>
          <w:b/>
          <w:sz w:val="24"/>
          <w:szCs w:val="24"/>
        </w:rPr>
        <w:t>Dixon LJ</w:t>
      </w:r>
      <w:r w:rsidRPr="007F6B31">
        <w:rPr>
          <w:rFonts w:ascii="Book Antiqua" w:hAnsi="Book Antiqua"/>
          <w:sz w:val="24"/>
          <w:szCs w:val="24"/>
        </w:rPr>
        <w:t xml:space="preserve">, Barnes M, Tang H, Pritchard MT, Nagy LE. Kupffer cells in the liver. </w:t>
      </w:r>
      <w:r w:rsidRPr="007F6B31">
        <w:rPr>
          <w:rFonts w:ascii="Book Antiqua" w:hAnsi="Book Antiqua"/>
          <w:i/>
          <w:sz w:val="24"/>
          <w:szCs w:val="24"/>
        </w:rPr>
        <w:t>Compr Physiol</w:t>
      </w:r>
      <w:r w:rsidRPr="007F6B31">
        <w:rPr>
          <w:rFonts w:ascii="Book Antiqua" w:hAnsi="Book Antiqua"/>
          <w:sz w:val="24"/>
          <w:szCs w:val="24"/>
        </w:rPr>
        <w:t xml:space="preserve"> 2013; </w:t>
      </w:r>
      <w:r w:rsidRPr="007F6B31">
        <w:rPr>
          <w:rFonts w:ascii="Book Antiqua" w:hAnsi="Book Antiqua"/>
          <w:b/>
          <w:sz w:val="24"/>
          <w:szCs w:val="24"/>
        </w:rPr>
        <w:t>3</w:t>
      </w:r>
      <w:r w:rsidRPr="007F6B31">
        <w:rPr>
          <w:rFonts w:ascii="Book Antiqua" w:hAnsi="Book Antiqua"/>
          <w:sz w:val="24"/>
          <w:szCs w:val="24"/>
        </w:rPr>
        <w:t>: 785-797 [PMID: 23720329 DOI: 10.1002/cphy.c120026]</w:t>
      </w:r>
    </w:p>
    <w:p w14:paraId="250849F6"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32 </w:t>
      </w:r>
      <w:r w:rsidRPr="007F6B31">
        <w:rPr>
          <w:rFonts w:ascii="Book Antiqua" w:hAnsi="Book Antiqua"/>
          <w:b/>
          <w:sz w:val="24"/>
          <w:szCs w:val="24"/>
        </w:rPr>
        <w:t>Bernstein DL</w:t>
      </w:r>
      <w:r w:rsidRPr="007F6B31">
        <w:rPr>
          <w:rFonts w:ascii="Book Antiqua" w:hAnsi="Book Antiqua"/>
          <w:sz w:val="24"/>
          <w:szCs w:val="24"/>
        </w:rPr>
        <w:t xml:space="preserve">, Lobritto S, Iuga A, Remotti H, Schiano T, Fiel MI, Balwani M. Lysosomal acid lipase deficiency allograft recurrence and liver failure- clinical outcomes of 18 liver transplantation patients. </w:t>
      </w:r>
      <w:r w:rsidRPr="007F6B31">
        <w:rPr>
          <w:rFonts w:ascii="Book Antiqua" w:hAnsi="Book Antiqua"/>
          <w:i/>
          <w:sz w:val="24"/>
          <w:szCs w:val="24"/>
        </w:rPr>
        <w:t>Mol Genet Metab</w:t>
      </w:r>
      <w:r w:rsidRPr="007F6B31">
        <w:rPr>
          <w:rFonts w:ascii="Book Antiqua" w:hAnsi="Book Antiqua"/>
          <w:sz w:val="24"/>
          <w:szCs w:val="24"/>
        </w:rPr>
        <w:t xml:space="preserve"> 2018; </w:t>
      </w:r>
      <w:r w:rsidRPr="007F6B31">
        <w:rPr>
          <w:rFonts w:ascii="Book Antiqua" w:hAnsi="Book Antiqua"/>
          <w:b/>
          <w:sz w:val="24"/>
          <w:szCs w:val="24"/>
        </w:rPr>
        <w:t>124</w:t>
      </w:r>
      <w:r w:rsidRPr="007F6B31">
        <w:rPr>
          <w:rFonts w:ascii="Book Antiqua" w:hAnsi="Book Antiqua"/>
          <w:sz w:val="24"/>
          <w:szCs w:val="24"/>
        </w:rPr>
        <w:t>: 11-19 [PMID: 29655841 DOI: 10.1016/j.ymgme.2018.03.010]</w:t>
      </w:r>
    </w:p>
    <w:p w14:paraId="4A0A231B"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33 </w:t>
      </w:r>
      <w:r w:rsidRPr="007F6B31">
        <w:rPr>
          <w:rFonts w:ascii="Book Antiqua" w:hAnsi="Book Antiqua"/>
          <w:b/>
          <w:sz w:val="24"/>
          <w:szCs w:val="24"/>
        </w:rPr>
        <w:t>Zhang B</w:t>
      </w:r>
      <w:r w:rsidRPr="007F6B31">
        <w:rPr>
          <w:rFonts w:ascii="Book Antiqua" w:hAnsi="Book Antiqua"/>
          <w:sz w:val="24"/>
          <w:szCs w:val="24"/>
        </w:rPr>
        <w:t xml:space="preserve">, Porto AF. Cholesteryl ester storage disease: protean presentations of lysosomal acid lipase deficiency. </w:t>
      </w:r>
      <w:r w:rsidRPr="007F6B31">
        <w:rPr>
          <w:rFonts w:ascii="Book Antiqua" w:hAnsi="Book Antiqua"/>
          <w:i/>
          <w:sz w:val="24"/>
          <w:szCs w:val="24"/>
        </w:rPr>
        <w:t>J Pediatr Gastroenterol Nutr</w:t>
      </w:r>
      <w:r w:rsidRPr="007F6B31">
        <w:rPr>
          <w:rFonts w:ascii="Book Antiqua" w:hAnsi="Book Antiqua"/>
          <w:sz w:val="24"/>
          <w:szCs w:val="24"/>
        </w:rPr>
        <w:t xml:space="preserve"> 2013; </w:t>
      </w:r>
      <w:r w:rsidRPr="007F6B31">
        <w:rPr>
          <w:rFonts w:ascii="Book Antiqua" w:hAnsi="Book Antiqua"/>
          <w:b/>
          <w:sz w:val="24"/>
          <w:szCs w:val="24"/>
        </w:rPr>
        <w:t>56</w:t>
      </w:r>
      <w:r w:rsidRPr="007F6B31">
        <w:rPr>
          <w:rFonts w:ascii="Book Antiqua" w:hAnsi="Book Antiqua"/>
          <w:sz w:val="24"/>
          <w:szCs w:val="24"/>
        </w:rPr>
        <w:t>: 682-685 [PMID: 23403440 DOI: 10.1097/MPG.0b013e31828b36ac]</w:t>
      </w:r>
    </w:p>
    <w:p w14:paraId="01F19A41"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34 </w:t>
      </w:r>
      <w:r w:rsidRPr="007F6B31">
        <w:rPr>
          <w:rFonts w:ascii="Book Antiqua" w:hAnsi="Book Antiqua"/>
          <w:b/>
          <w:sz w:val="24"/>
          <w:szCs w:val="24"/>
        </w:rPr>
        <w:t>Carter A</w:t>
      </w:r>
      <w:r w:rsidRPr="007F6B31">
        <w:rPr>
          <w:rFonts w:ascii="Book Antiqua" w:hAnsi="Book Antiqua"/>
          <w:sz w:val="24"/>
          <w:szCs w:val="24"/>
        </w:rPr>
        <w:t xml:space="preserve">, Brackley SM, Gao J, Mann JP. The global prevalence and genetic spectrum of lysosomal acid lipase deficiency: A rare condition that mimics NAFLD. </w:t>
      </w:r>
      <w:r w:rsidRPr="007F6B31">
        <w:rPr>
          <w:rFonts w:ascii="Book Antiqua" w:hAnsi="Book Antiqua"/>
          <w:i/>
          <w:sz w:val="24"/>
          <w:szCs w:val="24"/>
        </w:rPr>
        <w:t>J Hepatol</w:t>
      </w:r>
      <w:r w:rsidRPr="007F6B31">
        <w:rPr>
          <w:rFonts w:ascii="Book Antiqua" w:hAnsi="Book Antiqua"/>
          <w:sz w:val="24"/>
          <w:szCs w:val="24"/>
        </w:rPr>
        <w:t xml:space="preserve"> 2019; </w:t>
      </w:r>
      <w:r w:rsidRPr="007F6B31">
        <w:rPr>
          <w:rFonts w:ascii="Book Antiqua" w:hAnsi="Book Antiqua"/>
          <w:b/>
          <w:sz w:val="24"/>
          <w:szCs w:val="24"/>
        </w:rPr>
        <w:t>70</w:t>
      </w:r>
      <w:r w:rsidRPr="007F6B31">
        <w:rPr>
          <w:rFonts w:ascii="Book Antiqua" w:hAnsi="Book Antiqua"/>
          <w:sz w:val="24"/>
          <w:szCs w:val="24"/>
        </w:rPr>
        <w:t>: 142-150 [PMID: 30315827 DOI: 10.1016/j.jhep.2018.09.028]</w:t>
      </w:r>
    </w:p>
    <w:p w14:paraId="2CB7621E"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35 </w:t>
      </w:r>
      <w:r w:rsidRPr="007F6B31">
        <w:rPr>
          <w:rFonts w:ascii="Book Antiqua" w:hAnsi="Book Antiqua"/>
          <w:b/>
          <w:sz w:val="24"/>
          <w:szCs w:val="24"/>
        </w:rPr>
        <w:t>Thabet K</w:t>
      </w:r>
      <w:r w:rsidRPr="007F6B31">
        <w:rPr>
          <w:rFonts w:ascii="Book Antiqua" w:hAnsi="Book Antiqua"/>
          <w:sz w:val="24"/>
          <w:szCs w:val="24"/>
        </w:rPr>
        <w:t xml:space="preserve">, Asimakopoulos A, Shojaei M, Romero-Gomez M, Mangia A, Irving WL, Berg T, Dore GJ, Grønbæk H, Sheridan D, Abate ML, Bugianesi E, Weltman M, Mollison L, Cheng W, Riordan S, Fischer J, Spengler U, Nattermann J, Wahid A, Rojas A, White R, Douglas MW, McLeod D, Powell E, Liddle C, van der Poorten D, George J, Eslam M; International Liver Disease Genetics Consortium. MBOAT7 rs641738 increases risk of liver inflammation and transition to fibrosis in chronic hepatitis C. </w:t>
      </w:r>
      <w:r w:rsidRPr="007F6B31">
        <w:rPr>
          <w:rFonts w:ascii="Book Antiqua" w:hAnsi="Book Antiqua"/>
          <w:i/>
          <w:sz w:val="24"/>
          <w:szCs w:val="24"/>
        </w:rPr>
        <w:t>Nat Commun</w:t>
      </w:r>
      <w:r w:rsidRPr="007F6B31">
        <w:rPr>
          <w:rFonts w:ascii="Book Antiqua" w:hAnsi="Book Antiqua"/>
          <w:sz w:val="24"/>
          <w:szCs w:val="24"/>
        </w:rPr>
        <w:t xml:space="preserve"> 2016; </w:t>
      </w:r>
      <w:r w:rsidRPr="007F6B31">
        <w:rPr>
          <w:rFonts w:ascii="Book Antiqua" w:hAnsi="Book Antiqua"/>
          <w:b/>
          <w:sz w:val="24"/>
          <w:szCs w:val="24"/>
        </w:rPr>
        <w:t>7</w:t>
      </w:r>
      <w:r w:rsidRPr="007F6B31">
        <w:rPr>
          <w:rFonts w:ascii="Book Antiqua" w:hAnsi="Book Antiqua"/>
          <w:sz w:val="24"/>
          <w:szCs w:val="24"/>
        </w:rPr>
        <w:t>: 12757 [PMID: 27630043 DOI: 10.1038/ncomms12757]</w:t>
      </w:r>
    </w:p>
    <w:p w14:paraId="1D8F0B5C" w14:textId="7271E213"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3</w:t>
      </w:r>
      <w:r w:rsidR="00B42869" w:rsidRPr="007F6B31">
        <w:rPr>
          <w:rFonts w:ascii="Book Antiqua" w:hAnsi="Book Antiqua"/>
          <w:sz w:val="24"/>
          <w:szCs w:val="24"/>
        </w:rPr>
        <w:t>6</w:t>
      </w:r>
      <w:r w:rsidRPr="007F6B31">
        <w:rPr>
          <w:rFonts w:ascii="Book Antiqua" w:hAnsi="Book Antiqua"/>
          <w:sz w:val="24"/>
          <w:szCs w:val="24"/>
        </w:rPr>
        <w:t xml:space="preserve"> </w:t>
      </w:r>
      <w:r w:rsidRPr="007F6B31">
        <w:rPr>
          <w:rFonts w:ascii="Book Antiqua" w:hAnsi="Book Antiqua"/>
          <w:b/>
          <w:sz w:val="24"/>
          <w:szCs w:val="24"/>
        </w:rPr>
        <w:t>Baratta F</w:t>
      </w:r>
      <w:r w:rsidRPr="007F6B31">
        <w:rPr>
          <w:rFonts w:ascii="Book Antiqua" w:hAnsi="Book Antiqua"/>
          <w:sz w:val="24"/>
          <w:szCs w:val="24"/>
        </w:rPr>
        <w:t xml:space="preserve">, Pastori D, Ferro D, Carluccio G, Tozzi G, Angelico F, Violi F, Del Ben M. Reduced lysosomal acid lipase activity: A new marker of liver disease severity across the </w:t>
      </w:r>
      <w:r w:rsidRPr="007F6B31">
        <w:rPr>
          <w:rFonts w:ascii="Book Antiqua" w:hAnsi="Book Antiqua"/>
          <w:sz w:val="24"/>
          <w:szCs w:val="24"/>
        </w:rPr>
        <w:lastRenderedPageBreak/>
        <w:t xml:space="preserve">clinical continuum of non-alcoholic fatty liver disease? </w:t>
      </w:r>
      <w:r w:rsidRPr="007F6B31">
        <w:rPr>
          <w:rFonts w:ascii="Book Antiqua" w:hAnsi="Book Antiqua"/>
          <w:i/>
          <w:sz w:val="24"/>
          <w:szCs w:val="24"/>
        </w:rPr>
        <w:t>World J Gastroenterol</w:t>
      </w:r>
      <w:r w:rsidRPr="007F6B31">
        <w:rPr>
          <w:rFonts w:ascii="Book Antiqua" w:hAnsi="Book Antiqua"/>
          <w:sz w:val="24"/>
          <w:szCs w:val="24"/>
        </w:rPr>
        <w:t xml:space="preserve"> 2019; </w:t>
      </w:r>
      <w:r w:rsidRPr="007F6B31">
        <w:rPr>
          <w:rFonts w:ascii="Book Antiqua" w:hAnsi="Book Antiqua"/>
          <w:b/>
          <w:sz w:val="24"/>
          <w:szCs w:val="24"/>
        </w:rPr>
        <w:t>25</w:t>
      </w:r>
      <w:r w:rsidRPr="007F6B31">
        <w:rPr>
          <w:rFonts w:ascii="Book Antiqua" w:hAnsi="Book Antiqua"/>
          <w:sz w:val="24"/>
          <w:szCs w:val="24"/>
        </w:rPr>
        <w:t>: 4172-4180 [PMID: 31435171 DOI: 10.3748/wjg.v25.i30.4172]</w:t>
      </w:r>
    </w:p>
    <w:p w14:paraId="13B388B7" w14:textId="53D20CA5"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3</w:t>
      </w:r>
      <w:r w:rsidR="00B42869" w:rsidRPr="007F6B31">
        <w:rPr>
          <w:rFonts w:ascii="Book Antiqua" w:hAnsi="Book Antiqua"/>
          <w:sz w:val="24"/>
          <w:szCs w:val="24"/>
        </w:rPr>
        <w:t>7</w:t>
      </w:r>
      <w:r w:rsidRPr="007F6B31">
        <w:rPr>
          <w:rFonts w:ascii="Book Antiqua" w:hAnsi="Book Antiqua"/>
          <w:sz w:val="24"/>
          <w:szCs w:val="24"/>
        </w:rPr>
        <w:t xml:space="preserve"> </w:t>
      </w:r>
      <w:r w:rsidRPr="007F6B31">
        <w:rPr>
          <w:rFonts w:ascii="Book Antiqua" w:hAnsi="Book Antiqua"/>
          <w:b/>
          <w:sz w:val="24"/>
          <w:szCs w:val="24"/>
        </w:rPr>
        <w:t>Baratta F</w:t>
      </w:r>
      <w:r w:rsidRPr="007F6B31">
        <w:rPr>
          <w:rFonts w:ascii="Book Antiqua" w:hAnsi="Book Antiqua"/>
          <w:sz w:val="24"/>
          <w:szCs w:val="24"/>
        </w:rPr>
        <w:t xml:space="preserve">, Pastori D, Tozzi G, D'Erasmo L, Di Costanzo A, Arca M, Ettorre E, Ginanni Corradini S, Violi F, Angelico F, Del Ben M. Lysosomal acid lipase activity and liver fibrosis in the clinical continuum of non-alcoholic fatty liver disease. </w:t>
      </w:r>
      <w:r w:rsidRPr="007F6B31">
        <w:rPr>
          <w:rFonts w:ascii="Book Antiqua" w:hAnsi="Book Antiqua"/>
          <w:i/>
          <w:sz w:val="24"/>
          <w:szCs w:val="24"/>
        </w:rPr>
        <w:t>Liver Int</w:t>
      </w:r>
      <w:r w:rsidRPr="007F6B31">
        <w:rPr>
          <w:rFonts w:ascii="Book Antiqua" w:hAnsi="Book Antiqua"/>
          <w:sz w:val="24"/>
          <w:szCs w:val="24"/>
        </w:rPr>
        <w:t xml:space="preserve"> 2019; </w:t>
      </w:r>
      <w:r w:rsidRPr="007F6B31">
        <w:rPr>
          <w:rFonts w:ascii="Book Antiqua" w:hAnsi="Book Antiqua"/>
          <w:b/>
          <w:sz w:val="24"/>
          <w:szCs w:val="24"/>
        </w:rPr>
        <w:t>39</w:t>
      </w:r>
      <w:r w:rsidRPr="007F6B31">
        <w:rPr>
          <w:rFonts w:ascii="Book Antiqua" w:hAnsi="Book Antiqua"/>
          <w:sz w:val="24"/>
          <w:szCs w:val="24"/>
        </w:rPr>
        <w:t>: 2301-2308 [PMID: 31392821 DOI: 10.1111/liv.14206]</w:t>
      </w:r>
    </w:p>
    <w:p w14:paraId="6990821C" w14:textId="651F5E29"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3</w:t>
      </w:r>
      <w:r w:rsidR="00B42869" w:rsidRPr="007F6B31">
        <w:rPr>
          <w:rFonts w:ascii="Book Antiqua" w:hAnsi="Book Antiqua"/>
          <w:sz w:val="24"/>
          <w:szCs w:val="24"/>
        </w:rPr>
        <w:t>8</w:t>
      </w:r>
      <w:r w:rsidRPr="007F6B31">
        <w:rPr>
          <w:rFonts w:ascii="Book Antiqua" w:hAnsi="Book Antiqua"/>
          <w:sz w:val="24"/>
          <w:szCs w:val="24"/>
        </w:rPr>
        <w:t xml:space="preserve"> </w:t>
      </w:r>
      <w:r w:rsidRPr="007F6B31">
        <w:rPr>
          <w:rFonts w:ascii="Book Antiqua" w:hAnsi="Book Antiqua"/>
          <w:b/>
          <w:sz w:val="24"/>
          <w:szCs w:val="24"/>
        </w:rPr>
        <w:t>Angelico F</w:t>
      </w:r>
      <w:r w:rsidRPr="007F6B31">
        <w:rPr>
          <w:rFonts w:ascii="Book Antiqua" w:hAnsi="Book Antiqua"/>
          <w:sz w:val="24"/>
          <w:szCs w:val="24"/>
        </w:rPr>
        <w:t xml:space="preserve">, Corradini SG, Pastori D, Fargion S, Fracanzani AL, Angelico M, Bolondi L, Tozzi G, Pujatti PL, Labbadia G, Corazza GR, Averna M, Perticone F, Croce G, Persico M, Bucci T, Baratta F, Polimeni L, Del Ben M, Violi F; LAL-Cirrhosis Collaborative Research Group. Severe reduction of blood lysosomal acid lipase activity in cryptogenic cirrhosis: A nationwide multicentre cohort study. </w:t>
      </w:r>
      <w:r w:rsidRPr="007F6B31">
        <w:rPr>
          <w:rFonts w:ascii="Book Antiqua" w:hAnsi="Book Antiqua"/>
          <w:i/>
          <w:sz w:val="24"/>
          <w:szCs w:val="24"/>
        </w:rPr>
        <w:t>Atherosclerosis</w:t>
      </w:r>
      <w:r w:rsidRPr="007F6B31">
        <w:rPr>
          <w:rFonts w:ascii="Book Antiqua" w:hAnsi="Book Antiqua"/>
          <w:sz w:val="24"/>
          <w:szCs w:val="24"/>
        </w:rPr>
        <w:t xml:space="preserve"> 2017; </w:t>
      </w:r>
      <w:r w:rsidRPr="007F6B31">
        <w:rPr>
          <w:rFonts w:ascii="Book Antiqua" w:hAnsi="Book Antiqua"/>
          <w:b/>
          <w:sz w:val="24"/>
          <w:szCs w:val="24"/>
        </w:rPr>
        <w:t>262</w:t>
      </w:r>
      <w:r w:rsidRPr="007F6B31">
        <w:rPr>
          <w:rFonts w:ascii="Book Antiqua" w:hAnsi="Book Antiqua"/>
          <w:sz w:val="24"/>
          <w:szCs w:val="24"/>
        </w:rPr>
        <w:t>: 179-184 [PMID: 28396038 DOI: 10.1016/j.atherosclerosis.2017.03.038]</w:t>
      </w:r>
    </w:p>
    <w:p w14:paraId="67DC5DC3" w14:textId="0F27AD90" w:rsidR="002F737B" w:rsidRPr="007F6B31" w:rsidRDefault="00B42869" w:rsidP="001F2C55">
      <w:pPr>
        <w:snapToGrid w:val="0"/>
        <w:spacing w:after="0" w:line="360" w:lineRule="auto"/>
        <w:jc w:val="both"/>
        <w:rPr>
          <w:rFonts w:ascii="Book Antiqua" w:hAnsi="Book Antiqua"/>
          <w:sz w:val="24"/>
          <w:szCs w:val="24"/>
        </w:rPr>
      </w:pPr>
      <w:r w:rsidRPr="007F6B31">
        <w:rPr>
          <w:rFonts w:ascii="Book Antiqua" w:hAnsi="Book Antiqua"/>
          <w:sz w:val="24"/>
          <w:szCs w:val="24"/>
        </w:rPr>
        <w:t>39</w:t>
      </w:r>
      <w:r w:rsidR="002F737B" w:rsidRPr="007F6B31">
        <w:rPr>
          <w:rFonts w:ascii="Book Antiqua" w:hAnsi="Book Antiqua"/>
          <w:sz w:val="24"/>
          <w:szCs w:val="24"/>
        </w:rPr>
        <w:t xml:space="preserve"> </w:t>
      </w:r>
      <w:r w:rsidR="002F737B" w:rsidRPr="007F6B31">
        <w:rPr>
          <w:rFonts w:ascii="Book Antiqua" w:hAnsi="Book Antiqua"/>
          <w:b/>
          <w:sz w:val="24"/>
          <w:szCs w:val="24"/>
        </w:rPr>
        <w:t>Vespasiani-Gentilucci U</w:t>
      </w:r>
      <w:r w:rsidR="002F737B" w:rsidRPr="007F6B31">
        <w:rPr>
          <w:rFonts w:ascii="Book Antiqua" w:hAnsi="Book Antiqua"/>
          <w:sz w:val="24"/>
          <w:szCs w:val="24"/>
        </w:rPr>
        <w:t xml:space="preserve">, Gallo P, Piemonte F, Riva E, Porcari A, Vorini F, Tozzi G, Piccioni L, Galati G, De Vincentis A, Carotti S, Morini S, D'Amico J, Angeletti S, Pedone C, Picardi A. Lysosomal Acid Lipase Activity Is Reduced Both in Cryptogenic Cirrhosis and in Cirrhosis of Known Etiology. </w:t>
      </w:r>
      <w:r w:rsidR="002F737B" w:rsidRPr="007F6B31">
        <w:rPr>
          <w:rFonts w:ascii="Book Antiqua" w:hAnsi="Book Antiqua"/>
          <w:i/>
          <w:sz w:val="24"/>
          <w:szCs w:val="24"/>
        </w:rPr>
        <w:t>PLoS One</w:t>
      </w:r>
      <w:r w:rsidR="002F737B" w:rsidRPr="007F6B31">
        <w:rPr>
          <w:rFonts w:ascii="Book Antiqua" w:hAnsi="Book Antiqua"/>
          <w:sz w:val="24"/>
          <w:szCs w:val="24"/>
        </w:rPr>
        <w:t xml:space="preserve"> 2016; </w:t>
      </w:r>
      <w:r w:rsidR="002F737B" w:rsidRPr="007F6B31">
        <w:rPr>
          <w:rFonts w:ascii="Book Antiqua" w:hAnsi="Book Antiqua"/>
          <w:b/>
          <w:sz w:val="24"/>
          <w:szCs w:val="24"/>
        </w:rPr>
        <w:t>11</w:t>
      </w:r>
      <w:r w:rsidR="002F737B" w:rsidRPr="007F6B31">
        <w:rPr>
          <w:rFonts w:ascii="Book Antiqua" w:hAnsi="Book Antiqua"/>
          <w:sz w:val="24"/>
          <w:szCs w:val="24"/>
        </w:rPr>
        <w:t>: e0156113 [PMID: 27219619 DOI: 10.1371/journal.pone.0156113]</w:t>
      </w:r>
    </w:p>
    <w:p w14:paraId="2E361544" w14:textId="47F3F607" w:rsidR="00FC544B" w:rsidRPr="007F6B31" w:rsidRDefault="002F737B" w:rsidP="001E50D4">
      <w:pPr>
        <w:snapToGrid w:val="0"/>
        <w:spacing w:after="0" w:line="360" w:lineRule="auto"/>
        <w:jc w:val="both"/>
        <w:rPr>
          <w:rFonts w:ascii="Book Antiqua" w:hAnsi="Book Antiqua"/>
          <w:sz w:val="24"/>
          <w:szCs w:val="24"/>
        </w:rPr>
      </w:pPr>
      <w:r w:rsidRPr="007F6B31">
        <w:rPr>
          <w:rFonts w:ascii="Book Antiqua" w:hAnsi="Book Antiqua"/>
          <w:sz w:val="24"/>
          <w:szCs w:val="24"/>
        </w:rPr>
        <w:t>4</w:t>
      </w:r>
      <w:r w:rsidR="00B42869" w:rsidRPr="007F6B31">
        <w:rPr>
          <w:rFonts w:ascii="Book Antiqua" w:hAnsi="Book Antiqua"/>
          <w:sz w:val="24"/>
          <w:szCs w:val="24"/>
        </w:rPr>
        <w:t>0</w:t>
      </w:r>
      <w:r w:rsidRPr="007F6B31">
        <w:rPr>
          <w:rFonts w:ascii="Book Antiqua" w:hAnsi="Book Antiqua"/>
          <w:sz w:val="24"/>
          <w:szCs w:val="24"/>
        </w:rPr>
        <w:t xml:space="preserve"> </w:t>
      </w:r>
      <w:r w:rsidRPr="007F6B31">
        <w:rPr>
          <w:rFonts w:ascii="Book Antiqua" w:hAnsi="Book Antiqua"/>
          <w:b/>
          <w:sz w:val="24"/>
          <w:szCs w:val="24"/>
        </w:rPr>
        <w:t>Burton BK</w:t>
      </w:r>
      <w:r w:rsidRPr="007F6B31">
        <w:rPr>
          <w:rFonts w:ascii="Book Antiqua" w:hAnsi="Book Antiqua"/>
          <w:sz w:val="24"/>
          <w:szCs w:val="24"/>
        </w:rPr>
        <w:t xml:space="preserve">, Balwani M, Feillet F, Barić I, Burrow TA, Camarena Grande C, Coker M, Consuelo-Sánchez A, Deegan P, Di Rocco M, Enns GM, Erbe R, Ezgu F, Ficicioglu C, Furuya KN, Kane J, Laukaitis C, Mengel E, Neilan EG, Nightingale S, Peters H, Scarpa M, Schwab KO, Smolka V, Valayannopoulos V, Wood M, Goodman Z, Yang Y, Eckert S, Rojas-Caro S, Quinn AG. A Phase 3 Trial of Sebelipase Alfa in Lysosomal Acid Lipase Deficiency. </w:t>
      </w:r>
      <w:r w:rsidRPr="007F6B31">
        <w:rPr>
          <w:rFonts w:ascii="Book Antiqua" w:hAnsi="Book Antiqua"/>
          <w:i/>
          <w:sz w:val="24"/>
          <w:szCs w:val="24"/>
        </w:rPr>
        <w:t>N Engl J Med</w:t>
      </w:r>
      <w:r w:rsidRPr="007F6B31">
        <w:rPr>
          <w:rFonts w:ascii="Book Antiqua" w:hAnsi="Book Antiqua"/>
          <w:sz w:val="24"/>
          <w:szCs w:val="24"/>
        </w:rPr>
        <w:t xml:space="preserve"> 2015; </w:t>
      </w:r>
      <w:r w:rsidRPr="007F6B31">
        <w:rPr>
          <w:rFonts w:ascii="Book Antiqua" w:hAnsi="Book Antiqua"/>
          <w:b/>
          <w:sz w:val="24"/>
          <w:szCs w:val="24"/>
        </w:rPr>
        <w:t>373</w:t>
      </w:r>
      <w:r w:rsidRPr="007F6B31">
        <w:rPr>
          <w:rFonts w:ascii="Book Antiqua" w:hAnsi="Book Antiqua"/>
          <w:sz w:val="24"/>
          <w:szCs w:val="24"/>
        </w:rPr>
        <w:t>: 1010-1020 [PMID: 26352813 DOI: 10.1056/NEJMoa1501365]</w:t>
      </w:r>
    </w:p>
    <w:p w14:paraId="6A4BD091" w14:textId="77777777" w:rsidR="00B42869" w:rsidRPr="007F6B31" w:rsidRDefault="00B42869">
      <w:pPr>
        <w:rPr>
          <w:rFonts w:ascii="Book Antiqua" w:hAnsi="Book Antiqua" w:cs="Book Antiqua"/>
          <w:b/>
          <w:bCs/>
          <w:color w:val="000000"/>
          <w:sz w:val="24"/>
          <w:szCs w:val="24"/>
          <w:lang w:val="en-US"/>
        </w:rPr>
      </w:pPr>
      <w:r w:rsidRPr="007F6B31">
        <w:rPr>
          <w:b/>
          <w:bCs/>
          <w:lang w:val="en-US"/>
        </w:rPr>
        <w:br w:type="page"/>
      </w:r>
    </w:p>
    <w:p w14:paraId="6239F17A" w14:textId="77777777" w:rsidR="001E50D4" w:rsidRPr="007F6B31" w:rsidRDefault="001E50D4" w:rsidP="001E50D4">
      <w:pPr>
        <w:adjustRightInd w:val="0"/>
        <w:snapToGrid w:val="0"/>
        <w:spacing w:after="0" w:line="360" w:lineRule="auto"/>
        <w:jc w:val="both"/>
        <w:rPr>
          <w:rFonts w:ascii="Book Antiqua" w:hAnsi="Book Antiqua"/>
          <w:b/>
          <w:sz w:val="24"/>
          <w:szCs w:val="24"/>
        </w:rPr>
      </w:pPr>
      <w:r w:rsidRPr="007F6B31">
        <w:rPr>
          <w:rFonts w:ascii="Book Antiqua" w:hAnsi="Book Antiqua"/>
          <w:b/>
          <w:sz w:val="24"/>
          <w:szCs w:val="24"/>
        </w:rPr>
        <w:lastRenderedPageBreak/>
        <w:t>Footnotes</w:t>
      </w:r>
    </w:p>
    <w:p w14:paraId="2CFCD391" w14:textId="63F1B201" w:rsidR="00225324" w:rsidRPr="007F6B31" w:rsidRDefault="001E50D4" w:rsidP="001E50D4">
      <w:pPr>
        <w:pStyle w:val="Default"/>
        <w:snapToGrid w:val="0"/>
        <w:spacing w:line="360" w:lineRule="auto"/>
        <w:jc w:val="both"/>
        <w:rPr>
          <w:lang w:val="en-US"/>
        </w:rPr>
      </w:pPr>
      <w:r w:rsidRPr="007F6B31">
        <w:rPr>
          <w:rFonts w:cs="Tahoma"/>
          <w:b/>
          <w:lang w:val="en-GB"/>
        </w:rPr>
        <w:t>Informed consent statement:</w:t>
      </w:r>
      <w:r w:rsidR="00225324" w:rsidRPr="007F6B31">
        <w:rPr>
          <w:b/>
          <w:bCs/>
          <w:lang w:val="en-US"/>
        </w:rPr>
        <w:t xml:space="preserve"> </w:t>
      </w:r>
      <w:r w:rsidR="00225324" w:rsidRPr="007F6B31">
        <w:rPr>
          <w:lang w:val="en-US"/>
        </w:rPr>
        <w:t xml:space="preserve">Informed written consent was obtained from the patients for their inclusion in this report, including any accompanying images. </w:t>
      </w:r>
    </w:p>
    <w:p w14:paraId="7A4D2688" w14:textId="77777777" w:rsidR="00225324" w:rsidRPr="007F6B31" w:rsidRDefault="00225324" w:rsidP="001F2C55">
      <w:pPr>
        <w:snapToGrid w:val="0"/>
        <w:spacing w:after="0" w:line="360" w:lineRule="auto"/>
        <w:jc w:val="both"/>
        <w:rPr>
          <w:rFonts w:ascii="Book Antiqua" w:hAnsi="Book Antiqua" w:cs="Arial"/>
          <w:b/>
          <w:sz w:val="24"/>
          <w:szCs w:val="24"/>
          <w:lang w:val="en-GB"/>
        </w:rPr>
      </w:pPr>
    </w:p>
    <w:p w14:paraId="7CCC2CD5" w14:textId="0002DE4A" w:rsidR="00225324" w:rsidRPr="007F6B31" w:rsidRDefault="001E50D4" w:rsidP="001F2C55">
      <w:pPr>
        <w:snapToGrid w:val="0"/>
        <w:spacing w:after="0" w:line="360" w:lineRule="auto"/>
        <w:jc w:val="both"/>
        <w:rPr>
          <w:rFonts w:ascii="Book Antiqua" w:hAnsi="Book Antiqua" w:cs="Arial"/>
          <w:sz w:val="24"/>
          <w:szCs w:val="24"/>
          <w:lang w:val="en-GB"/>
        </w:rPr>
      </w:pPr>
      <w:r w:rsidRPr="007F6B31">
        <w:rPr>
          <w:rFonts w:ascii="Book Antiqua" w:hAnsi="Book Antiqua" w:cs="Tahoma"/>
          <w:b/>
          <w:sz w:val="24"/>
          <w:szCs w:val="24"/>
          <w:lang w:val="en-GB"/>
        </w:rPr>
        <w:t>Conflict-of-interest statement:</w:t>
      </w:r>
      <w:r w:rsidRPr="007F6B31">
        <w:rPr>
          <w:rFonts w:ascii="Book Antiqua" w:hAnsi="Book Antiqua" w:cs="Tahoma"/>
          <w:sz w:val="24"/>
          <w:szCs w:val="24"/>
          <w:lang w:val="en-GB"/>
        </w:rPr>
        <w:t xml:space="preserve"> </w:t>
      </w:r>
      <w:r w:rsidR="00225324" w:rsidRPr="007F6B31">
        <w:rPr>
          <w:rFonts w:ascii="Book Antiqua" w:hAnsi="Book Antiqua" w:cs="Arial"/>
          <w:sz w:val="24"/>
          <w:szCs w:val="24"/>
          <w:lang w:val="en-GB"/>
        </w:rPr>
        <w:t>This study has received financial support for research from Alexion in the form of an unrestricted grant.</w:t>
      </w:r>
    </w:p>
    <w:p w14:paraId="09165EFB" w14:textId="77777777" w:rsidR="001E50D4" w:rsidRPr="007F6B31" w:rsidRDefault="001E50D4" w:rsidP="001F2C55">
      <w:pPr>
        <w:snapToGrid w:val="0"/>
        <w:spacing w:after="0" w:line="360" w:lineRule="auto"/>
        <w:jc w:val="both"/>
        <w:rPr>
          <w:rFonts w:ascii="Book Antiqua" w:hAnsi="Book Antiqua" w:cs="Arial"/>
          <w:sz w:val="24"/>
          <w:szCs w:val="24"/>
          <w:lang w:val="en-GB"/>
        </w:rPr>
      </w:pPr>
    </w:p>
    <w:p w14:paraId="3FE0EA47" w14:textId="001DD370" w:rsidR="00225324" w:rsidRPr="007F6B31" w:rsidRDefault="001E50D4" w:rsidP="001F2C55">
      <w:pPr>
        <w:pStyle w:val="TableParagraph"/>
        <w:snapToGrid w:val="0"/>
        <w:spacing w:before="0" w:line="360" w:lineRule="auto"/>
        <w:ind w:left="0"/>
        <w:jc w:val="both"/>
        <w:rPr>
          <w:rFonts w:ascii="Book Antiqua" w:eastAsia="等线" w:hAnsi="Book Antiqua"/>
          <w:sz w:val="24"/>
          <w:szCs w:val="24"/>
          <w:lang w:val="en-US"/>
        </w:rPr>
      </w:pPr>
      <w:r w:rsidRPr="007F6B31">
        <w:rPr>
          <w:rFonts w:ascii="Book Antiqua" w:hAnsi="Book Antiqua" w:cs="Tahoma"/>
          <w:b/>
          <w:sz w:val="24"/>
          <w:szCs w:val="24"/>
          <w:lang w:val="en-GB"/>
        </w:rPr>
        <w:t>CARE Checklist (2016) statement:</w:t>
      </w:r>
      <w:r w:rsidRPr="007F6B31">
        <w:rPr>
          <w:rFonts w:ascii="Book Antiqua" w:hAnsi="Book Antiqua" w:cs="Tahoma"/>
          <w:sz w:val="24"/>
          <w:szCs w:val="24"/>
          <w:lang w:val="en-GB"/>
        </w:rPr>
        <w:t xml:space="preserve"> </w:t>
      </w:r>
      <w:r w:rsidR="00225324" w:rsidRPr="007F6B31">
        <w:rPr>
          <w:rFonts w:ascii="Book Antiqua" w:hAnsi="Book Antiqua"/>
          <w:sz w:val="24"/>
          <w:szCs w:val="24"/>
          <w:lang w:val="en-US"/>
        </w:rPr>
        <w:t>The authors have read the CARE Checklist (201</w:t>
      </w:r>
      <w:r w:rsidRPr="007F6B31">
        <w:rPr>
          <w:rFonts w:ascii="Book Antiqua" w:hAnsi="Book Antiqua"/>
          <w:sz w:val="24"/>
          <w:szCs w:val="24"/>
          <w:lang w:val="en-US"/>
        </w:rPr>
        <w:t>6</w:t>
      </w:r>
      <w:r w:rsidR="00225324" w:rsidRPr="007F6B31">
        <w:rPr>
          <w:rFonts w:ascii="Book Antiqua" w:hAnsi="Book Antiqua"/>
          <w:sz w:val="24"/>
          <w:szCs w:val="24"/>
          <w:lang w:val="en-US"/>
        </w:rPr>
        <w:t>), and the manuscript was prepared and revised according to the CARE Checklist (2016).</w:t>
      </w:r>
    </w:p>
    <w:p w14:paraId="32888C39" w14:textId="77777777" w:rsidR="00225324" w:rsidRPr="007F6B31" w:rsidRDefault="00225324" w:rsidP="001F2C55">
      <w:pPr>
        <w:pStyle w:val="TableParagraph"/>
        <w:snapToGrid w:val="0"/>
        <w:spacing w:before="0" w:line="360" w:lineRule="auto"/>
        <w:ind w:left="0"/>
        <w:jc w:val="both"/>
        <w:rPr>
          <w:rFonts w:ascii="Book Antiqua" w:eastAsia="宋体" w:hAnsi="Book Antiqua" w:cs="Arial"/>
          <w:b/>
          <w:sz w:val="24"/>
          <w:szCs w:val="24"/>
          <w:lang w:val="en-GB"/>
        </w:rPr>
      </w:pPr>
    </w:p>
    <w:p w14:paraId="266528F4" w14:textId="77777777" w:rsidR="001E50D4" w:rsidRPr="007F6B31" w:rsidRDefault="001E50D4" w:rsidP="001E50D4">
      <w:pPr>
        <w:adjustRightInd w:val="0"/>
        <w:snapToGrid w:val="0"/>
        <w:spacing w:after="0" w:line="360" w:lineRule="auto"/>
        <w:jc w:val="both"/>
        <w:rPr>
          <w:rFonts w:ascii="Book Antiqua" w:hAnsi="Book Antiqua"/>
          <w:sz w:val="24"/>
          <w:szCs w:val="24"/>
          <w:lang w:val="en-GB"/>
        </w:rPr>
      </w:pPr>
      <w:r w:rsidRPr="007F6B31">
        <w:rPr>
          <w:rFonts w:ascii="Book Antiqua" w:hAnsi="Book Antiqua"/>
          <w:b/>
          <w:color w:val="000000"/>
          <w:sz w:val="24"/>
          <w:szCs w:val="24"/>
        </w:rPr>
        <w:t>Open-Access:</w:t>
      </w:r>
      <w:r w:rsidRPr="007F6B31">
        <w:rPr>
          <w:rFonts w:ascii="Book Antiqua" w:hAnsi="Book Antiqua"/>
          <w:color w:val="000000"/>
          <w:sz w:val="24"/>
          <w:szCs w:val="24"/>
        </w:rPr>
        <w:t xml:space="preserve"> This article is an open-access </w:t>
      </w:r>
      <w:r w:rsidRPr="007F6B31">
        <w:rPr>
          <w:rFonts w:ascii="Book Antiqua" w:hAnsi="Book Antiqua"/>
          <w:sz w:val="24"/>
          <w:szCs w:val="24"/>
        </w:rPr>
        <w:t xml:space="preserve">article that was selected </w:t>
      </w:r>
      <w:r w:rsidRPr="007F6B31">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E0EFEF" w14:textId="77777777" w:rsidR="001E50D4" w:rsidRPr="007F6B31" w:rsidRDefault="001E50D4" w:rsidP="001E50D4">
      <w:pPr>
        <w:widowControl w:val="0"/>
        <w:adjustRightInd w:val="0"/>
        <w:snapToGrid w:val="0"/>
        <w:spacing w:after="0" w:line="360" w:lineRule="auto"/>
        <w:jc w:val="both"/>
        <w:rPr>
          <w:rFonts w:ascii="Book Antiqua" w:hAnsi="Book Antiqua" w:cstheme="minorHAnsi"/>
          <w:b/>
          <w:bCs/>
          <w:sz w:val="24"/>
          <w:szCs w:val="24"/>
          <w:lang w:val="en-GB" w:eastAsia="zh-CN"/>
        </w:rPr>
      </w:pPr>
    </w:p>
    <w:p w14:paraId="7D616EC0" w14:textId="21DC1A9F" w:rsidR="001E50D4" w:rsidRPr="007F6B31" w:rsidRDefault="001E50D4" w:rsidP="001E50D4">
      <w:pPr>
        <w:widowControl w:val="0"/>
        <w:adjustRightInd w:val="0"/>
        <w:snapToGrid w:val="0"/>
        <w:spacing w:after="0" w:line="360" w:lineRule="auto"/>
        <w:jc w:val="both"/>
        <w:rPr>
          <w:rFonts w:ascii="Book Antiqua" w:hAnsi="Book Antiqua" w:cs="宋体"/>
          <w:sz w:val="24"/>
          <w:szCs w:val="24"/>
          <w:lang w:val="en-GB" w:eastAsia="zh-CN"/>
        </w:rPr>
      </w:pPr>
      <w:r w:rsidRPr="007F6B31">
        <w:rPr>
          <w:rFonts w:ascii="Book Antiqua" w:hAnsi="Book Antiqua" w:cs="宋体"/>
          <w:b/>
          <w:sz w:val="24"/>
          <w:szCs w:val="24"/>
          <w:lang w:val="en-GB"/>
        </w:rPr>
        <w:t>Manuscript source:</w:t>
      </w:r>
      <w:r w:rsidRPr="007F6B31">
        <w:rPr>
          <w:rFonts w:ascii="Book Antiqua" w:hAnsi="Book Antiqua" w:cs="宋体"/>
          <w:sz w:val="24"/>
          <w:szCs w:val="24"/>
          <w:lang w:val="en-GB"/>
        </w:rPr>
        <w:t> Unsolicited manuscript</w:t>
      </w:r>
    </w:p>
    <w:p w14:paraId="1DE2AE2B" w14:textId="77777777" w:rsidR="001E50D4" w:rsidRPr="007F6B31" w:rsidRDefault="001E50D4" w:rsidP="001E50D4">
      <w:pPr>
        <w:widowControl w:val="0"/>
        <w:adjustRightInd w:val="0"/>
        <w:snapToGrid w:val="0"/>
        <w:spacing w:after="0" w:line="360" w:lineRule="auto"/>
        <w:jc w:val="both"/>
        <w:rPr>
          <w:rFonts w:ascii="Book Antiqua" w:hAnsi="Book Antiqua" w:cs="宋体"/>
          <w:sz w:val="24"/>
          <w:szCs w:val="24"/>
          <w:lang w:val="en-GB" w:eastAsia="zh-CN"/>
        </w:rPr>
      </w:pPr>
    </w:p>
    <w:p w14:paraId="77FA4BF2" w14:textId="3E1CD6FC" w:rsidR="001E50D4" w:rsidRPr="007F6B31" w:rsidRDefault="001E50D4" w:rsidP="001E50D4">
      <w:pPr>
        <w:spacing w:after="0" w:line="360" w:lineRule="auto"/>
        <w:jc w:val="both"/>
        <w:rPr>
          <w:rFonts w:ascii="Book Antiqua" w:hAnsi="Book Antiqua"/>
          <w:b/>
          <w:sz w:val="24"/>
          <w:szCs w:val="24"/>
          <w:lang w:val="en-GB"/>
        </w:rPr>
      </w:pPr>
      <w:r w:rsidRPr="007F6B31">
        <w:rPr>
          <w:rFonts w:ascii="Book Antiqua" w:hAnsi="Book Antiqua"/>
          <w:b/>
          <w:sz w:val="24"/>
          <w:szCs w:val="24"/>
          <w:lang w:val="en-GB"/>
        </w:rPr>
        <w:t>Peer-review started:</w:t>
      </w:r>
      <w:r w:rsidRPr="007F6B31">
        <w:rPr>
          <w:rFonts w:ascii="Book Antiqua" w:hAnsi="Book Antiqua"/>
          <w:sz w:val="24"/>
          <w:szCs w:val="24"/>
          <w:lang w:val="en-GB" w:eastAsia="zh-CN"/>
        </w:rPr>
        <w:t xml:space="preserve"> January 15, 2020</w:t>
      </w:r>
    </w:p>
    <w:p w14:paraId="58407148" w14:textId="17AD1C22" w:rsidR="001E50D4" w:rsidRPr="007F6B31" w:rsidRDefault="001E50D4" w:rsidP="001E50D4">
      <w:pPr>
        <w:spacing w:after="0" w:line="360" w:lineRule="auto"/>
        <w:jc w:val="both"/>
        <w:rPr>
          <w:rFonts w:ascii="Book Antiqua" w:hAnsi="Book Antiqua"/>
          <w:b/>
          <w:sz w:val="24"/>
          <w:szCs w:val="24"/>
          <w:lang w:val="en-GB"/>
        </w:rPr>
      </w:pPr>
      <w:r w:rsidRPr="007F6B31">
        <w:rPr>
          <w:rFonts w:ascii="Book Antiqua" w:hAnsi="Book Antiqua"/>
          <w:b/>
          <w:sz w:val="24"/>
          <w:szCs w:val="24"/>
          <w:lang w:val="en-GB"/>
        </w:rPr>
        <w:t>First decision:</w:t>
      </w:r>
      <w:r w:rsidRPr="007F6B31">
        <w:rPr>
          <w:rFonts w:ascii="Book Antiqua" w:hAnsi="Book Antiqua"/>
          <w:sz w:val="24"/>
          <w:szCs w:val="24"/>
          <w:lang w:val="en-GB" w:eastAsia="zh-CN"/>
        </w:rPr>
        <w:t xml:space="preserve"> February 29, 2020</w:t>
      </w:r>
    </w:p>
    <w:p w14:paraId="3B46C66D" w14:textId="77777777" w:rsidR="001E50D4" w:rsidRPr="007F6B31" w:rsidRDefault="001E50D4" w:rsidP="001E50D4">
      <w:pPr>
        <w:spacing w:after="0" w:line="360" w:lineRule="auto"/>
        <w:jc w:val="both"/>
        <w:rPr>
          <w:rFonts w:ascii="Book Antiqua" w:hAnsi="Book Antiqua"/>
          <w:sz w:val="24"/>
          <w:szCs w:val="24"/>
          <w:lang w:val="en-GB" w:eastAsia="zh-CN"/>
        </w:rPr>
      </w:pPr>
      <w:r w:rsidRPr="007F6B31">
        <w:rPr>
          <w:rFonts w:ascii="Book Antiqua" w:hAnsi="Book Antiqua"/>
          <w:b/>
          <w:sz w:val="24"/>
          <w:szCs w:val="24"/>
          <w:lang w:val="en-GB"/>
        </w:rPr>
        <w:t>Article in press:</w:t>
      </w:r>
      <w:r w:rsidRPr="007F6B31">
        <w:rPr>
          <w:rFonts w:ascii="Book Antiqua" w:hAnsi="Book Antiqua"/>
          <w:sz w:val="24"/>
          <w:szCs w:val="24"/>
          <w:lang w:val="en-GB"/>
        </w:rPr>
        <w:t xml:space="preserve"> </w:t>
      </w:r>
    </w:p>
    <w:p w14:paraId="25371353" w14:textId="77777777" w:rsidR="001E50D4" w:rsidRPr="007F6B31" w:rsidRDefault="001E50D4" w:rsidP="001E50D4">
      <w:pPr>
        <w:spacing w:after="0" w:line="360" w:lineRule="auto"/>
        <w:jc w:val="both"/>
        <w:rPr>
          <w:rFonts w:ascii="Book Antiqua" w:hAnsi="Book Antiqua"/>
          <w:sz w:val="24"/>
          <w:szCs w:val="24"/>
          <w:lang w:val="en-GB" w:eastAsia="zh-CN"/>
        </w:rPr>
      </w:pPr>
    </w:p>
    <w:p w14:paraId="4CED14D1" w14:textId="77777777" w:rsidR="001E50D4" w:rsidRPr="007F6B31" w:rsidRDefault="001E50D4" w:rsidP="001E50D4">
      <w:pPr>
        <w:snapToGrid w:val="0"/>
        <w:spacing w:after="0" w:line="360" w:lineRule="auto"/>
        <w:jc w:val="both"/>
        <w:rPr>
          <w:rFonts w:ascii="Book Antiqua" w:hAnsi="Book Antiqua" w:cs="Helvetica"/>
          <w:b/>
          <w:sz w:val="24"/>
          <w:szCs w:val="24"/>
        </w:rPr>
      </w:pPr>
      <w:r w:rsidRPr="007F6B31">
        <w:rPr>
          <w:rFonts w:ascii="Book Antiqua" w:hAnsi="Book Antiqua" w:cs="Helvetica"/>
          <w:b/>
          <w:sz w:val="24"/>
          <w:szCs w:val="24"/>
        </w:rPr>
        <w:t xml:space="preserve">Specialty type: </w:t>
      </w:r>
      <w:r w:rsidRPr="007F6B31">
        <w:rPr>
          <w:rFonts w:ascii="Book Antiqua" w:eastAsia="微软雅黑" w:hAnsi="Book Antiqua" w:cs="宋体"/>
          <w:sz w:val="24"/>
          <w:szCs w:val="24"/>
        </w:rPr>
        <w:t>Medicine, research and experimental</w:t>
      </w:r>
    </w:p>
    <w:p w14:paraId="3E448292" w14:textId="745A46FF" w:rsidR="001E50D4" w:rsidRPr="007F6B31" w:rsidRDefault="001E50D4" w:rsidP="001E50D4">
      <w:pPr>
        <w:snapToGrid w:val="0"/>
        <w:spacing w:after="0" w:line="360" w:lineRule="auto"/>
        <w:jc w:val="both"/>
        <w:rPr>
          <w:rFonts w:ascii="Book Antiqua" w:hAnsi="Book Antiqua" w:cs="Helvetica"/>
          <w:b/>
          <w:sz w:val="24"/>
          <w:szCs w:val="24"/>
        </w:rPr>
      </w:pPr>
      <w:r w:rsidRPr="007F6B31">
        <w:rPr>
          <w:rFonts w:ascii="Book Antiqua" w:hAnsi="Book Antiqua" w:cs="宋体"/>
          <w:b/>
          <w:sz w:val="24"/>
          <w:szCs w:val="24"/>
          <w:lang w:eastAsia="zh-CN"/>
        </w:rPr>
        <w:t>Country/Territory</w:t>
      </w:r>
      <w:r w:rsidRPr="007F6B31">
        <w:rPr>
          <w:rFonts w:ascii="Book Antiqua" w:hAnsi="Book Antiqua" w:cs="Helvetica"/>
          <w:b/>
          <w:sz w:val="24"/>
          <w:szCs w:val="24"/>
        </w:rPr>
        <w:t xml:space="preserve"> of origin: </w:t>
      </w:r>
      <w:r w:rsidRPr="007F6B31">
        <w:rPr>
          <w:rFonts w:ascii="Book Antiqua" w:hAnsi="Book Antiqua"/>
          <w:sz w:val="24"/>
          <w:szCs w:val="24"/>
        </w:rPr>
        <w:t>Denmark</w:t>
      </w:r>
    </w:p>
    <w:p w14:paraId="6552036A" w14:textId="77777777" w:rsidR="001E50D4" w:rsidRPr="007F6B31" w:rsidRDefault="001E50D4" w:rsidP="001E50D4">
      <w:pPr>
        <w:widowControl w:val="0"/>
        <w:adjustRightInd w:val="0"/>
        <w:snapToGrid w:val="0"/>
        <w:spacing w:after="0" w:line="360" w:lineRule="auto"/>
        <w:jc w:val="both"/>
        <w:rPr>
          <w:rFonts w:ascii="Book Antiqua" w:hAnsi="Book Antiqua" w:cs="宋体"/>
          <w:b/>
          <w:sz w:val="24"/>
          <w:szCs w:val="24"/>
          <w:lang w:eastAsia="zh-CN"/>
        </w:rPr>
      </w:pPr>
      <w:r w:rsidRPr="007F6B31">
        <w:rPr>
          <w:rFonts w:ascii="Book Antiqua" w:hAnsi="Book Antiqua" w:cs="宋体"/>
          <w:b/>
          <w:sz w:val="24"/>
          <w:szCs w:val="24"/>
          <w:lang w:eastAsia="zh-CN"/>
        </w:rPr>
        <w:t>Peer-review report’s scientific quality classification</w:t>
      </w:r>
    </w:p>
    <w:p w14:paraId="1659D453" w14:textId="77777777" w:rsidR="001E50D4" w:rsidRPr="007F6B31" w:rsidRDefault="001E50D4" w:rsidP="001E50D4">
      <w:pPr>
        <w:snapToGrid w:val="0"/>
        <w:spacing w:after="0" w:line="360" w:lineRule="auto"/>
        <w:jc w:val="both"/>
        <w:rPr>
          <w:rFonts w:ascii="Book Antiqua" w:hAnsi="Book Antiqua" w:cs="Helvetica"/>
          <w:sz w:val="24"/>
          <w:szCs w:val="24"/>
          <w:lang w:eastAsia="zh-CN"/>
        </w:rPr>
      </w:pPr>
      <w:r w:rsidRPr="007F6B31">
        <w:rPr>
          <w:rFonts w:ascii="Book Antiqua" w:hAnsi="Book Antiqua" w:cs="Helvetica"/>
          <w:sz w:val="24"/>
          <w:szCs w:val="24"/>
        </w:rPr>
        <w:t xml:space="preserve">Grade A (Excellent): </w:t>
      </w:r>
      <w:r w:rsidRPr="007F6B31">
        <w:rPr>
          <w:rFonts w:ascii="Book Antiqua" w:hAnsi="Book Antiqua" w:cs="Helvetica"/>
          <w:sz w:val="24"/>
          <w:szCs w:val="24"/>
          <w:lang w:eastAsia="zh-CN"/>
        </w:rPr>
        <w:t>0</w:t>
      </w:r>
    </w:p>
    <w:p w14:paraId="0F332D53" w14:textId="77777777" w:rsidR="001E50D4" w:rsidRPr="007F6B31" w:rsidRDefault="001E50D4" w:rsidP="001E50D4">
      <w:pPr>
        <w:snapToGrid w:val="0"/>
        <w:spacing w:after="0" w:line="360" w:lineRule="auto"/>
        <w:jc w:val="both"/>
        <w:rPr>
          <w:rFonts w:ascii="Book Antiqua" w:hAnsi="Book Antiqua" w:cs="Helvetica"/>
          <w:sz w:val="24"/>
          <w:szCs w:val="24"/>
        </w:rPr>
      </w:pPr>
      <w:r w:rsidRPr="007F6B31">
        <w:rPr>
          <w:rFonts w:ascii="Book Antiqua" w:hAnsi="Book Antiqua" w:cs="Helvetica"/>
          <w:sz w:val="24"/>
          <w:szCs w:val="24"/>
        </w:rPr>
        <w:t>Grade B (Very good): B</w:t>
      </w:r>
    </w:p>
    <w:p w14:paraId="395E9355" w14:textId="4FA8914E" w:rsidR="001E50D4" w:rsidRPr="007F6B31" w:rsidRDefault="001E50D4" w:rsidP="001E50D4">
      <w:pPr>
        <w:snapToGrid w:val="0"/>
        <w:spacing w:after="0" w:line="360" w:lineRule="auto"/>
        <w:jc w:val="both"/>
        <w:rPr>
          <w:rFonts w:ascii="Book Antiqua" w:hAnsi="Book Antiqua" w:cs="Helvetica"/>
          <w:sz w:val="24"/>
          <w:szCs w:val="24"/>
        </w:rPr>
      </w:pPr>
      <w:r w:rsidRPr="007F6B31">
        <w:rPr>
          <w:rFonts w:ascii="Book Antiqua" w:hAnsi="Book Antiqua" w:cs="Helvetica"/>
          <w:sz w:val="24"/>
          <w:szCs w:val="24"/>
        </w:rPr>
        <w:t>Grade C (Good): 0</w:t>
      </w:r>
    </w:p>
    <w:p w14:paraId="7C46F6F9" w14:textId="0CB05A83" w:rsidR="001E50D4" w:rsidRPr="007F6B31" w:rsidRDefault="001E50D4" w:rsidP="001E50D4">
      <w:pPr>
        <w:snapToGrid w:val="0"/>
        <w:spacing w:after="0" w:line="360" w:lineRule="auto"/>
        <w:jc w:val="both"/>
        <w:rPr>
          <w:rFonts w:ascii="Book Antiqua" w:hAnsi="Book Antiqua" w:cs="Helvetica"/>
          <w:sz w:val="24"/>
          <w:szCs w:val="24"/>
        </w:rPr>
      </w:pPr>
      <w:r w:rsidRPr="007F6B31">
        <w:rPr>
          <w:rFonts w:ascii="Book Antiqua" w:hAnsi="Book Antiqua" w:cs="Helvetica"/>
          <w:sz w:val="24"/>
          <w:szCs w:val="24"/>
        </w:rPr>
        <w:t>Grade D (Fair): D</w:t>
      </w:r>
    </w:p>
    <w:p w14:paraId="497D9928" w14:textId="77777777" w:rsidR="001E50D4" w:rsidRPr="007F6B31" w:rsidRDefault="001E50D4" w:rsidP="001E50D4">
      <w:pPr>
        <w:spacing w:after="0" w:line="360" w:lineRule="auto"/>
        <w:jc w:val="both"/>
        <w:rPr>
          <w:rFonts w:ascii="Book Antiqua" w:hAnsi="Book Antiqua" w:cs="Calibri"/>
          <w:noProof/>
          <w:sz w:val="24"/>
          <w:szCs w:val="24"/>
          <w:lang w:val="en-US"/>
        </w:rPr>
      </w:pPr>
      <w:r w:rsidRPr="007F6B31">
        <w:rPr>
          <w:rFonts w:ascii="Book Antiqua" w:hAnsi="Book Antiqua" w:cs="Helvetica"/>
          <w:sz w:val="24"/>
          <w:szCs w:val="24"/>
        </w:rPr>
        <w:lastRenderedPageBreak/>
        <w:t>Grade E (Poor): 0</w:t>
      </w:r>
    </w:p>
    <w:p w14:paraId="7269602E" w14:textId="77777777" w:rsidR="001E50D4" w:rsidRPr="007F6B31" w:rsidRDefault="001E50D4" w:rsidP="001E50D4">
      <w:pPr>
        <w:pStyle w:val="af9"/>
        <w:spacing w:after="0" w:line="360" w:lineRule="auto"/>
        <w:ind w:left="0"/>
        <w:jc w:val="both"/>
        <w:rPr>
          <w:rFonts w:ascii="Book Antiqua" w:hAnsi="Book Antiqua" w:cs="Calibri"/>
          <w:noProof/>
          <w:szCs w:val="24"/>
          <w:lang w:val="en-GB" w:eastAsia="zh-CN"/>
        </w:rPr>
      </w:pPr>
    </w:p>
    <w:p w14:paraId="4F9BBDF2" w14:textId="19D9FF84" w:rsidR="001E50D4" w:rsidRPr="007F6B31" w:rsidRDefault="001E50D4" w:rsidP="001E50D4">
      <w:pPr>
        <w:pStyle w:val="afb"/>
        <w:spacing w:line="360" w:lineRule="auto"/>
        <w:ind w:right="120"/>
        <w:jc w:val="left"/>
        <w:rPr>
          <w:rFonts w:ascii="Book Antiqua" w:hAnsi="Book Antiqua"/>
          <w:b/>
          <w:sz w:val="24"/>
          <w:szCs w:val="24"/>
        </w:rPr>
      </w:pPr>
      <w:r w:rsidRPr="007F6B31">
        <w:rPr>
          <w:rFonts w:ascii="Book Antiqua" w:hAnsi="Book Antiqua"/>
          <w:b/>
          <w:sz w:val="24"/>
          <w:szCs w:val="24"/>
        </w:rPr>
        <w:t xml:space="preserve">P-Reviewer: </w:t>
      </w:r>
      <w:r w:rsidRPr="007F6B31">
        <w:rPr>
          <w:rFonts w:ascii="Book Antiqua" w:hAnsi="Book Antiqua"/>
          <w:color w:val="000000"/>
          <w:sz w:val="24"/>
          <w:szCs w:val="24"/>
        </w:rPr>
        <w:t xml:space="preserve">Angelico F, </w:t>
      </w:r>
      <w:proofErr w:type="spellStart"/>
      <w:r w:rsidRPr="007F6B31">
        <w:rPr>
          <w:rFonts w:ascii="Book Antiqua" w:hAnsi="Book Antiqua"/>
          <w:color w:val="000000"/>
          <w:sz w:val="24"/>
          <w:szCs w:val="24"/>
        </w:rPr>
        <w:t>Morini</w:t>
      </w:r>
      <w:proofErr w:type="spellEnd"/>
      <w:r w:rsidRPr="007F6B31">
        <w:rPr>
          <w:rFonts w:ascii="Book Antiqua" w:hAnsi="Book Antiqua"/>
          <w:color w:val="000000"/>
          <w:sz w:val="24"/>
          <w:szCs w:val="24"/>
        </w:rPr>
        <w:t xml:space="preserve"> S </w:t>
      </w:r>
      <w:r w:rsidRPr="007F6B31">
        <w:rPr>
          <w:rFonts w:ascii="Book Antiqua" w:hAnsi="Book Antiqua"/>
          <w:b/>
          <w:sz w:val="24"/>
          <w:szCs w:val="24"/>
        </w:rPr>
        <w:t xml:space="preserve">S-Editor: </w:t>
      </w:r>
      <w:r w:rsidRPr="007F6B31">
        <w:rPr>
          <w:rFonts w:ascii="Book Antiqua" w:hAnsi="Book Antiqua" w:hint="eastAsia"/>
          <w:bCs/>
          <w:sz w:val="24"/>
          <w:szCs w:val="24"/>
        </w:rPr>
        <w:t>Dou</w:t>
      </w:r>
      <w:r w:rsidRPr="007F6B31">
        <w:rPr>
          <w:rFonts w:ascii="Book Antiqua" w:hAnsi="Book Antiqua"/>
          <w:bCs/>
          <w:sz w:val="24"/>
          <w:szCs w:val="24"/>
        </w:rPr>
        <w:t xml:space="preserve"> </w:t>
      </w:r>
      <w:r w:rsidRPr="007F6B31">
        <w:rPr>
          <w:rFonts w:ascii="Book Antiqua" w:hAnsi="Book Antiqua" w:hint="eastAsia"/>
          <w:bCs/>
          <w:sz w:val="24"/>
          <w:szCs w:val="24"/>
        </w:rPr>
        <w:t>Y</w:t>
      </w:r>
      <w:r w:rsidRPr="007F6B31">
        <w:rPr>
          <w:rFonts w:ascii="Book Antiqua" w:hAnsi="Book Antiqua"/>
          <w:b/>
          <w:sz w:val="24"/>
          <w:szCs w:val="24"/>
        </w:rPr>
        <w:t xml:space="preserve"> L-Editor: E-Editor: </w:t>
      </w:r>
    </w:p>
    <w:p w14:paraId="24D2C2DC" w14:textId="77777777" w:rsidR="001E50D4" w:rsidRPr="007F6B31" w:rsidRDefault="001E50D4" w:rsidP="001E50D4">
      <w:pPr>
        <w:rPr>
          <w:rFonts w:ascii="Book Antiqua" w:hAnsi="Book Antiqua" w:cs="Courier New"/>
          <w:b/>
          <w:kern w:val="2"/>
          <w:sz w:val="24"/>
          <w:szCs w:val="24"/>
          <w:lang w:val="en-US" w:eastAsia="zh-CN"/>
        </w:rPr>
      </w:pPr>
      <w:r w:rsidRPr="007F6B31">
        <w:rPr>
          <w:rFonts w:ascii="Book Antiqua" w:hAnsi="Book Antiqua"/>
          <w:b/>
          <w:sz w:val="24"/>
          <w:szCs w:val="24"/>
        </w:rPr>
        <w:br w:type="page"/>
      </w:r>
    </w:p>
    <w:p w14:paraId="448A3283" w14:textId="77777777" w:rsidR="001E50D4" w:rsidRPr="007F6B31" w:rsidRDefault="001E50D4" w:rsidP="001E50D4">
      <w:pPr>
        <w:adjustRightInd w:val="0"/>
        <w:snapToGrid w:val="0"/>
        <w:spacing w:after="0" w:line="360" w:lineRule="auto"/>
        <w:jc w:val="both"/>
        <w:rPr>
          <w:rFonts w:ascii="Book Antiqua" w:hAnsi="Book Antiqua"/>
          <w:b/>
          <w:sz w:val="24"/>
          <w:szCs w:val="24"/>
          <w:lang w:eastAsia="zh-CN"/>
        </w:rPr>
      </w:pPr>
      <w:r w:rsidRPr="007F6B31">
        <w:rPr>
          <w:rFonts w:ascii="Book Antiqua" w:hAnsi="Book Antiqua"/>
          <w:b/>
          <w:sz w:val="24"/>
          <w:szCs w:val="24"/>
        </w:rPr>
        <w:lastRenderedPageBreak/>
        <w:t>Figure Legends</w:t>
      </w:r>
    </w:p>
    <w:p w14:paraId="48B49B52" w14:textId="56168959" w:rsidR="001E50D4" w:rsidRPr="007F6B31" w:rsidRDefault="001434B5" w:rsidP="001F2C55">
      <w:pPr>
        <w:snapToGrid w:val="0"/>
        <w:spacing w:after="0" w:line="360" w:lineRule="auto"/>
        <w:jc w:val="both"/>
        <w:rPr>
          <w:rFonts w:ascii="Book Antiqua" w:hAnsi="Book Antiqua" w:cs="Arial"/>
          <w:b/>
          <w:bCs/>
          <w:sz w:val="24"/>
          <w:szCs w:val="24"/>
          <w:lang w:val="en-GB"/>
        </w:rPr>
      </w:pPr>
      <w:r>
        <w:rPr>
          <w:rFonts w:ascii="Book Antiqua" w:hAnsi="Book Antiqua" w:cs="Arial"/>
          <w:b/>
          <w:bCs/>
          <w:noProof/>
          <w:sz w:val="24"/>
          <w:szCs w:val="24"/>
          <w:lang w:val="en-GB"/>
        </w:rPr>
        <w:drawing>
          <wp:inline distT="0" distB="0" distL="0" distR="0" wp14:anchorId="399FFB3E" wp14:editId="1C40C5E3">
            <wp:extent cx="612013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3304540"/>
                    </a:xfrm>
                    <a:prstGeom prst="rect">
                      <a:avLst/>
                    </a:prstGeom>
                  </pic:spPr>
                </pic:pic>
              </a:graphicData>
            </a:graphic>
          </wp:inline>
        </w:drawing>
      </w:r>
    </w:p>
    <w:p w14:paraId="44BDF198" w14:textId="28658263" w:rsidR="00B227A9" w:rsidRPr="007F6B31" w:rsidRDefault="00B227A9" w:rsidP="001F2C55">
      <w:pPr>
        <w:snapToGrid w:val="0"/>
        <w:spacing w:after="0" w:line="360" w:lineRule="auto"/>
        <w:jc w:val="both"/>
        <w:rPr>
          <w:rFonts w:ascii="Book Antiqua" w:hAnsi="Book Antiqua" w:cs="Arial"/>
          <w:b/>
          <w:bCs/>
          <w:sz w:val="24"/>
          <w:szCs w:val="24"/>
          <w:lang w:val="en-GB"/>
        </w:rPr>
      </w:pPr>
      <w:r w:rsidRPr="007F6B31">
        <w:rPr>
          <w:rFonts w:ascii="Book Antiqua" w:hAnsi="Book Antiqua" w:cs="Arial"/>
          <w:b/>
          <w:bCs/>
          <w:sz w:val="24"/>
          <w:szCs w:val="24"/>
          <w:lang w:val="en-GB"/>
        </w:rPr>
        <w:t xml:space="preserve">Figure 1 Family pedigree with </w:t>
      </w:r>
      <w:r w:rsidR="00CD50FF" w:rsidRPr="007F6B31">
        <w:rPr>
          <w:rFonts w:ascii="Book Antiqua" w:hAnsi="Book Antiqua" w:cs="Arial"/>
          <w:b/>
          <w:bCs/>
          <w:sz w:val="24"/>
          <w:szCs w:val="24"/>
          <w:shd w:val="clear" w:color="auto" w:fill="FFFFFF"/>
          <w:lang w:val="en-US"/>
        </w:rPr>
        <w:t>lysosomal acid lipase</w:t>
      </w:r>
      <w:r w:rsidR="00CD50FF" w:rsidRPr="007F6B31">
        <w:rPr>
          <w:rFonts w:ascii="Book Antiqua" w:hAnsi="Book Antiqua" w:cs="Arial"/>
          <w:b/>
          <w:bCs/>
          <w:sz w:val="24"/>
          <w:szCs w:val="24"/>
          <w:lang w:val="en-GB"/>
        </w:rPr>
        <w:t xml:space="preserve"> </w:t>
      </w:r>
      <w:r w:rsidRPr="007F6B31">
        <w:rPr>
          <w:rFonts w:ascii="Book Antiqua" w:hAnsi="Book Antiqua" w:cs="Arial"/>
          <w:b/>
          <w:bCs/>
          <w:sz w:val="24"/>
          <w:szCs w:val="24"/>
          <w:lang w:val="en-GB"/>
        </w:rPr>
        <w:t xml:space="preserve">activity and </w:t>
      </w:r>
      <w:r w:rsidR="001E50D4" w:rsidRPr="007F6B31">
        <w:rPr>
          <w:rFonts w:ascii="Book Antiqua" w:hAnsi="Book Antiqua" w:cs="Arial"/>
          <w:b/>
          <w:bCs/>
          <w:sz w:val="24"/>
          <w:szCs w:val="24"/>
          <w:lang w:val="en-US"/>
        </w:rPr>
        <w:t>single nucleotide polymorphism</w:t>
      </w:r>
      <w:r w:rsidR="00CD50FF" w:rsidRPr="007F6B31">
        <w:rPr>
          <w:rFonts w:ascii="Book Antiqua" w:hAnsi="Book Antiqua" w:cs="Arial"/>
          <w:b/>
          <w:bCs/>
          <w:sz w:val="24"/>
          <w:szCs w:val="24"/>
          <w:lang w:val="en-US"/>
        </w:rPr>
        <w:t>s</w:t>
      </w:r>
      <w:r w:rsidRPr="007F6B31">
        <w:rPr>
          <w:rFonts w:ascii="Book Antiqua" w:hAnsi="Book Antiqua" w:cs="Arial"/>
          <w:b/>
          <w:bCs/>
          <w:sz w:val="24"/>
          <w:szCs w:val="24"/>
          <w:lang w:val="en-GB"/>
        </w:rPr>
        <w:t>.</w:t>
      </w:r>
      <w:r w:rsidR="001434B5">
        <w:rPr>
          <w:rFonts w:ascii="Book Antiqua" w:hAnsi="Book Antiqua" w:cs="Arial"/>
          <w:b/>
          <w:bCs/>
          <w:sz w:val="24"/>
          <w:szCs w:val="24"/>
          <w:lang w:val="en-GB"/>
        </w:rPr>
        <w:t xml:space="preserve"> </w:t>
      </w:r>
      <w:r w:rsidR="001434B5" w:rsidRPr="001434B5">
        <w:rPr>
          <w:rFonts w:ascii="Book Antiqua" w:hAnsi="Book Antiqua" w:cs="Arial"/>
          <w:sz w:val="24"/>
          <w:szCs w:val="24"/>
          <w:lang w:val="en-GB"/>
        </w:rPr>
        <w:t xml:space="preserve">CESD: </w:t>
      </w:r>
      <w:r w:rsidR="001434B5" w:rsidRPr="001434B5">
        <w:rPr>
          <w:rFonts w:ascii="Book Antiqua" w:hAnsi="Book Antiqua" w:cs="Arial"/>
          <w:sz w:val="24"/>
          <w:szCs w:val="24"/>
          <w:shd w:val="clear" w:color="auto" w:fill="FFFFFF"/>
          <w:lang w:val="en-US"/>
        </w:rPr>
        <w:t>Cholesteryl ester storage disease;</w:t>
      </w:r>
      <w:r w:rsidR="001434B5" w:rsidRPr="001434B5">
        <w:rPr>
          <w:rFonts w:ascii="Book Antiqua" w:eastAsia="TimesNewRomanPSMT" w:hAnsi="Book Antiqua"/>
          <w:sz w:val="24"/>
          <w:szCs w:val="24"/>
          <w:lang w:val="en-GB"/>
        </w:rPr>
        <w:t xml:space="preserve"> </w:t>
      </w:r>
      <w:r w:rsidR="001434B5" w:rsidRPr="001434B5">
        <w:rPr>
          <w:rFonts w:ascii="Book Antiqua" w:hAnsi="Book Antiqua" w:cs="Arial"/>
          <w:sz w:val="24"/>
          <w:szCs w:val="24"/>
          <w:lang w:val="en-GB"/>
        </w:rPr>
        <w:t xml:space="preserve">LAL: </w:t>
      </w:r>
      <w:r w:rsidR="001434B5" w:rsidRPr="001434B5">
        <w:rPr>
          <w:rFonts w:ascii="Book Antiqua" w:hAnsi="Book Antiqua" w:cs="Arial"/>
          <w:sz w:val="24"/>
          <w:szCs w:val="24"/>
          <w:shd w:val="clear" w:color="auto" w:fill="FFFFFF"/>
        </w:rPr>
        <w:t xml:space="preserve">Lysosomal </w:t>
      </w:r>
      <w:r w:rsidR="001434B5" w:rsidRPr="001434B5">
        <w:rPr>
          <w:rFonts w:ascii="Book Antiqua" w:hAnsi="Book Antiqua" w:cs="Arial"/>
          <w:sz w:val="24"/>
          <w:szCs w:val="24"/>
          <w:shd w:val="clear" w:color="auto" w:fill="FFFFFF"/>
          <w:lang w:val="en-US"/>
        </w:rPr>
        <w:t>acid lipase.</w:t>
      </w:r>
    </w:p>
    <w:p w14:paraId="218570DE" w14:textId="77777777" w:rsidR="00B227A9" w:rsidRPr="007F6B31" w:rsidRDefault="00B227A9" w:rsidP="001F2C55">
      <w:pPr>
        <w:snapToGrid w:val="0"/>
        <w:spacing w:after="0" w:line="360" w:lineRule="auto"/>
        <w:jc w:val="both"/>
        <w:rPr>
          <w:rFonts w:ascii="Book Antiqua" w:eastAsia="TimesNewRomanPSMT" w:hAnsi="Book Antiqua"/>
          <w:sz w:val="24"/>
          <w:szCs w:val="24"/>
          <w:lang w:val="en-GB"/>
        </w:rPr>
      </w:pPr>
      <w:r w:rsidRPr="007F6B31">
        <w:rPr>
          <w:rFonts w:ascii="Book Antiqua" w:eastAsia="TimesNewRomanPSMT" w:hAnsi="Book Antiqua"/>
          <w:sz w:val="24"/>
          <w:szCs w:val="24"/>
          <w:lang w:val="en-GB"/>
        </w:rPr>
        <w:br w:type="page"/>
      </w:r>
    </w:p>
    <w:p w14:paraId="6E5A0C02" w14:textId="3337F857" w:rsidR="00D927A4" w:rsidRPr="007F6B31" w:rsidRDefault="00072776" w:rsidP="001F2C55">
      <w:pPr>
        <w:snapToGrid w:val="0"/>
        <w:spacing w:after="0" w:line="360" w:lineRule="auto"/>
        <w:jc w:val="both"/>
        <w:rPr>
          <w:rFonts w:ascii="Book Antiqua" w:eastAsia="TimesNewRomanPSMT" w:hAnsi="Book Antiqua"/>
          <w:b/>
          <w:bCs/>
          <w:sz w:val="24"/>
          <w:szCs w:val="24"/>
          <w:lang w:val="en-GB"/>
        </w:rPr>
      </w:pPr>
      <w:r w:rsidRPr="007F6B31">
        <w:rPr>
          <w:rFonts w:ascii="Book Antiqua" w:eastAsia="TimesNewRomanPSMT" w:hAnsi="Book Antiqua"/>
          <w:b/>
          <w:bCs/>
          <w:sz w:val="24"/>
          <w:szCs w:val="24"/>
          <w:lang w:val="en-GB"/>
        </w:rPr>
        <w:lastRenderedPageBreak/>
        <w:t xml:space="preserve">Table 1 Routine blood tests of patients with </w:t>
      </w:r>
      <w:r w:rsidR="00CD50FF" w:rsidRPr="007F6B31">
        <w:rPr>
          <w:rFonts w:ascii="Book Antiqua" w:hAnsi="Book Antiqua" w:cs="Arial"/>
          <w:b/>
          <w:bCs/>
          <w:sz w:val="24"/>
          <w:szCs w:val="24"/>
          <w:shd w:val="clear" w:color="auto" w:fill="FFFFFF"/>
          <w:lang w:val="en-US"/>
        </w:rPr>
        <w:t>cholesteryl ester storage disease</w:t>
      </w:r>
      <w:r w:rsidR="00CD50FF" w:rsidRPr="007F6B31">
        <w:rPr>
          <w:rFonts w:ascii="Book Antiqua" w:eastAsia="TimesNewRomanPSMT" w:hAnsi="Book Antiqua"/>
          <w:b/>
          <w:bCs/>
          <w:sz w:val="24"/>
          <w:szCs w:val="24"/>
          <w:lang w:val="en-GB"/>
        </w:rPr>
        <w:t xml:space="preserve"> </w:t>
      </w:r>
      <w:r w:rsidRPr="007F6B31">
        <w:rPr>
          <w:rFonts w:ascii="Book Antiqua" w:eastAsia="TimesNewRomanPSMT" w:hAnsi="Book Antiqua"/>
          <w:b/>
          <w:bCs/>
          <w:sz w:val="24"/>
          <w:szCs w:val="24"/>
          <w:lang w:val="en-GB"/>
        </w:rPr>
        <w:t>and</w:t>
      </w:r>
      <w:r w:rsidR="002D40C7" w:rsidRPr="007F6B31">
        <w:rPr>
          <w:rFonts w:ascii="Book Antiqua" w:eastAsia="TimesNewRomanPSMT" w:hAnsi="Book Antiqua"/>
          <w:b/>
          <w:bCs/>
          <w:sz w:val="24"/>
          <w:szCs w:val="24"/>
          <w:lang w:val="en-GB"/>
        </w:rPr>
        <w:t xml:space="preserve"> their</w:t>
      </w:r>
      <w:r w:rsidRPr="007F6B31">
        <w:rPr>
          <w:rFonts w:ascii="Book Antiqua" w:eastAsia="TimesNewRomanPSMT" w:hAnsi="Book Antiqua"/>
          <w:b/>
          <w:bCs/>
          <w:sz w:val="24"/>
          <w:szCs w:val="24"/>
          <w:lang w:val="en-GB"/>
        </w:rPr>
        <w:t xml:space="preserve"> adult family members</w:t>
      </w:r>
    </w:p>
    <w:tbl>
      <w:tblPr>
        <w:tblStyle w:val="ad"/>
        <w:tblW w:w="991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851"/>
        <w:gridCol w:w="708"/>
        <w:gridCol w:w="993"/>
        <w:gridCol w:w="992"/>
        <w:gridCol w:w="1134"/>
        <w:gridCol w:w="1134"/>
        <w:gridCol w:w="1134"/>
      </w:tblGrid>
      <w:tr w:rsidR="00B227A9" w:rsidRPr="007F6B31" w14:paraId="60798199" w14:textId="6F7ED18A" w:rsidTr="001F2C55">
        <w:trPr>
          <w:trHeight w:val="562"/>
          <w:jc w:val="center"/>
        </w:trPr>
        <w:tc>
          <w:tcPr>
            <w:tcW w:w="2972" w:type="dxa"/>
            <w:vMerge w:val="restart"/>
            <w:tcBorders>
              <w:top w:val="single" w:sz="4" w:space="0" w:color="auto"/>
              <w:bottom w:val="single" w:sz="4" w:space="0" w:color="auto"/>
            </w:tcBorders>
            <w:shd w:val="clear" w:color="auto" w:fill="auto"/>
            <w:vAlign w:val="center"/>
          </w:tcPr>
          <w:p w14:paraId="5D7F18DD" w14:textId="2CAE152D" w:rsidR="00B227A9" w:rsidRPr="007F6B31" w:rsidRDefault="00B227A9" w:rsidP="001F2C55">
            <w:pPr>
              <w:snapToGrid w:val="0"/>
              <w:spacing w:line="360" w:lineRule="auto"/>
              <w:jc w:val="both"/>
              <w:rPr>
                <w:rFonts w:ascii="Book Antiqua" w:hAnsi="Book Antiqua" w:cs="Arial"/>
                <w:b/>
                <w:sz w:val="24"/>
                <w:szCs w:val="24"/>
                <w:lang w:val="en-GB"/>
              </w:rPr>
            </w:pPr>
            <w:r w:rsidRPr="007F6B31">
              <w:rPr>
                <w:rFonts w:ascii="Book Antiqua" w:hAnsi="Book Antiqua" w:cs="Arial"/>
                <w:b/>
                <w:sz w:val="24"/>
                <w:szCs w:val="24"/>
                <w:lang w:val="en-GB"/>
              </w:rPr>
              <w:t>Blood tests</w:t>
            </w:r>
          </w:p>
        </w:tc>
        <w:tc>
          <w:tcPr>
            <w:tcW w:w="6946" w:type="dxa"/>
            <w:gridSpan w:val="7"/>
            <w:tcBorders>
              <w:top w:val="single" w:sz="4" w:space="0" w:color="auto"/>
              <w:bottom w:val="single" w:sz="4" w:space="0" w:color="auto"/>
            </w:tcBorders>
            <w:shd w:val="clear" w:color="auto" w:fill="auto"/>
            <w:vAlign w:val="center"/>
          </w:tcPr>
          <w:p w14:paraId="6F3996FD" w14:textId="0599CA7D" w:rsidR="00B227A9" w:rsidRPr="007F6B31" w:rsidRDefault="00B227A9" w:rsidP="001F2C55">
            <w:pPr>
              <w:snapToGrid w:val="0"/>
              <w:spacing w:line="360" w:lineRule="auto"/>
              <w:jc w:val="both"/>
              <w:rPr>
                <w:rFonts w:ascii="Book Antiqua" w:hAnsi="Book Antiqua" w:cs="Arial"/>
                <w:b/>
                <w:sz w:val="24"/>
                <w:szCs w:val="24"/>
                <w:lang w:val="en-GB"/>
              </w:rPr>
            </w:pPr>
            <w:r w:rsidRPr="007F6B31">
              <w:rPr>
                <w:rFonts w:ascii="Book Antiqua" w:hAnsi="Book Antiqua" w:cs="Arial"/>
                <w:b/>
                <w:sz w:val="24"/>
                <w:szCs w:val="24"/>
                <w:lang w:val="en-GB"/>
              </w:rPr>
              <w:t>Patients</w:t>
            </w:r>
          </w:p>
        </w:tc>
      </w:tr>
      <w:tr w:rsidR="00B227A9" w:rsidRPr="007F6B31" w14:paraId="5E5733F8" w14:textId="0F624B7E" w:rsidTr="001F2C55">
        <w:trPr>
          <w:trHeight w:val="562"/>
          <w:jc w:val="center"/>
        </w:trPr>
        <w:tc>
          <w:tcPr>
            <w:tcW w:w="2972" w:type="dxa"/>
            <w:vMerge/>
            <w:tcBorders>
              <w:top w:val="single" w:sz="4" w:space="0" w:color="auto"/>
              <w:bottom w:val="single" w:sz="4" w:space="0" w:color="auto"/>
            </w:tcBorders>
            <w:shd w:val="clear" w:color="auto" w:fill="auto"/>
            <w:vAlign w:val="center"/>
          </w:tcPr>
          <w:p w14:paraId="306DAAB7" w14:textId="29047FF8" w:rsidR="00B227A9" w:rsidRPr="007F6B31" w:rsidRDefault="00B227A9" w:rsidP="001F2C55">
            <w:pPr>
              <w:snapToGrid w:val="0"/>
              <w:spacing w:line="360" w:lineRule="auto"/>
              <w:jc w:val="both"/>
              <w:rPr>
                <w:rFonts w:ascii="Book Antiqua" w:hAnsi="Book Antiqua" w:cs="Arial"/>
                <w:b/>
                <w:sz w:val="24"/>
                <w:szCs w:val="24"/>
                <w:lang w:val="en-GB"/>
              </w:rPr>
            </w:pPr>
          </w:p>
        </w:tc>
        <w:tc>
          <w:tcPr>
            <w:tcW w:w="851" w:type="dxa"/>
            <w:tcBorders>
              <w:top w:val="single" w:sz="4" w:space="0" w:color="auto"/>
              <w:bottom w:val="single" w:sz="4" w:space="0" w:color="auto"/>
            </w:tcBorders>
            <w:shd w:val="clear" w:color="auto" w:fill="auto"/>
            <w:vAlign w:val="center"/>
          </w:tcPr>
          <w:p w14:paraId="7A3B0A0A" w14:textId="1D708971" w:rsidR="00B227A9" w:rsidRPr="007F6B31" w:rsidRDefault="00B227A9" w:rsidP="001F2C55">
            <w:pPr>
              <w:snapToGrid w:val="0"/>
              <w:spacing w:line="360" w:lineRule="auto"/>
              <w:jc w:val="both"/>
              <w:rPr>
                <w:rFonts w:ascii="Book Antiqua" w:hAnsi="Book Antiqua" w:cs="Arial"/>
                <w:b/>
                <w:sz w:val="24"/>
                <w:szCs w:val="24"/>
                <w:lang w:val="en-GB"/>
              </w:rPr>
            </w:pPr>
            <w:r w:rsidRPr="007F6B31">
              <w:rPr>
                <w:rFonts w:ascii="Book Antiqua" w:hAnsi="Book Antiqua" w:cs="Arial"/>
                <w:b/>
                <w:sz w:val="24"/>
                <w:szCs w:val="24"/>
                <w:lang w:val="en-GB"/>
              </w:rPr>
              <w:t>F</w:t>
            </w:r>
          </w:p>
        </w:tc>
        <w:tc>
          <w:tcPr>
            <w:tcW w:w="708" w:type="dxa"/>
            <w:tcBorders>
              <w:top w:val="single" w:sz="4" w:space="0" w:color="auto"/>
              <w:bottom w:val="single" w:sz="4" w:space="0" w:color="auto"/>
            </w:tcBorders>
            <w:shd w:val="clear" w:color="auto" w:fill="auto"/>
            <w:vAlign w:val="center"/>
          </w:tcPr>
          <w:p w14:paraId="45FD207D" w14:textId="01557637" w:rsidR="00B227A9" w:rsidRPr="007F6B31" w:rsidRDefault="00B227A9" w:rsidP="001F2C55">
            <w:pPr>
              <w:snapToGrid w:val="0"/>
              <w:spacing w:line="360" w:lineRule="auto"/>
              <w:jc w:val="both"/>
              <w:rPr>
                <w:rFonts w:ascii="Book Antiqua" w:hAnsi="Book Antiqua" w:cs="Arial"/>
                <w:b/>
                <w:sz w:val="24"/>
                <w:szCs w:val="24"/>
                <w:lang w:val="en-GB"/>
              </w:rPr>
            </w:pPr>
            <w:r w:rsidRPr="007F6B31">
              <w:rPr>
                <w:rFonts w:ascii="Book Antiqua" w:hAnsi="Book Antiqua" w:cs="Arial"/>
                <w:b/>
                <w:sz w:val="24"/>
                <w:szCs w:val="24"/>
                <w:lang w:val="en-GB"/>
              </w:rPr>
              <w:t>M</w:t>
            </w:r>
          </w:p>
        </w:tc>
        <w:tc>
          <w:tcPr>
            <w:tcW w:w="993" w:type="dxa"/>
            <w:tcBorders>
              <w:top w:val="single" w:sz="4" w:space="0" w:color="auto"/>
              <w:bottom w:val="single" w:sz="4" w:space="0" w:color="auto"/>
            </w:tcBorders>
            <w:shd w:val="clear" w:color="auto" w:fill="auto"/>
            <w:vAlign w:val="center"/>
          </w:tcPr>
          <w:p w14:paraId="1AD422D2" w14:textId="46A4DE5E" w:rsidR="00B227A9" w:rsidRPr="007F6B31" w:rsidRDefault="00B227A9" w:rsidP="001F2C55">
            <w:pPr>
              <w:snapToGrid w:val="0"/>
              <w:spacing w:line="360" w:lineRule="auto"/>
              <w:jc w:val="both"/>
              <w:rPr>
                <w:rFonts w:ascii="Book Antiqua" w:hAnsi="Book Antiqua" w:cs="Arial"/>
                <w:b/>
                <w:sz w:val="24"/>
                <w:szCs w:val="24"/>
                <w:lang w:val="en-GB"/>
              </w:rPr>
            </w:pPr>
            <w:r w:rsidRPr="007F6B31">
              <w:rPr>
                <w:rFonts w:ascii="Book Antiqua" w:hAnsi="Book Antiqua" w:cs="Arial"/>
                <w:b/>
                <w:sz w:val="24"/>
                <w:szCs w:val="24"/>
                <w:lang w:val="en-GB"/>
              </w:rPr>
              <w:t xml:space="preserve">M, 5 </w:t>
            </w:r>
            <w:proofErr w:type="spellStart"/>
            <w:r w:rsidRPr="007F6B31">
              <w:rPr>
                <w:rFonts w:ascii="Book Antiqua" w:hAnsi="Book Antiqua" w:cs="Arial"/>
                <w:b/>
                <w:sz w:val="24"/>
                <w:szCs w:val="24"/>
                <w:lang w:val="en-GB"/>
              </w:rPr>
              <w:t>yr</w:t>
            </w:r>
            <w:proofErr w:type="spellEnd"/>
          </w:p>
        </w:tc>
        <w:tc>
          <w:tcPr>
            <w:tcW w:w="992" w:type="dxa"/>
            <w:tcBorders>
              <w:top w:val="single" w:sz="4" w:space="0" w:color="auto"/>
              <w:bottom w:val="single" w:sz="4" w:space="0" w:color="auto"/>
            </w:tcBorders>
            <w:shd w:val="clear" w:color="auto" w:fill="auto"/>
            <w:vAlign w:val="center"/>
          </w:tcPr>
          <w:p w14:paraId="14D8DB06" w14:textId="3DF39371" w:rsidR="00B227A9" w:rsidRPr="007F6B31" w:rsidRDefault="00B227A9" w:rsidP="001F2C55">
            <w:pPr>
              <w:snapToGrid w:val="0"/>
              <w:spacing w:line="360" w:lineRule="auto"/>
              <w:jc w:val="both"/>
              <w:rPr>
                <w:rFonts w:ascii="Book Antiqua" w:hAnsi="Book Antiqua" w:cs="Arial"/>
                <w:b/>
                <w:sz w:val="24"/>
                <w:szCs w:val="24"/>
                <w:lang w:val="en-GB"/>
              </w:rPr>
            </w:pPr>
            <w:r w:rsidRPr="007F6B31">
              <w:rPr>
                <w:rFonts w:ascii="Book Antiqua" w:hAnsi="Book Antiqua" w:cs="Arial"/>
                <w:b/>
                <w:sz w:val="24"/>
                <w:szCs w:val="24"/>
                <w:lang w:val="en-GB"/>
              </w:rPr>
              <w:t xml:space="preserve">F, 9 </w:t>
            </w:r>
            <w:proofErr w:type="spellStart"/>
            <w:r w:rsidRPr="007F6B31">
              <w:rPr>
                <w:rFonts w:ascii="Book Antiqua" w:hAnsi="Book Antiqua" w:cs="Arial"/>
                <w:b/>
                <w:sz w:val="24"/>
                <w:szCs w:val="24"/>
                <w:lang w:val="en-GB"/>
              </w:rPr>
              <w:t>yr</w:t>
            </w:r>
            <w:proofErr w:type="spellEnd"/>
          </w:p>
        </w:tc>
        <w:tc>
          <w:tcPr>
            <w:tcW w:w="1134" w:type="dxa"/>
            <w:tcBorders>
              <w:top w:val="single" w:sz="4" w:space="0" w:color="auto"/>
              <w:bottom w:val="single" w:sz="4" w:space="0" w:color="auto"/>
            </w:tcBorders>
            <w:shd w:val="clear" w:color="auto" w:fill="auto"/>
            <w:vAlign w:val="center"/>
          </w:tcPr>
          <w:p w14:paraId="012397B7" w14:textId="446C2C71" w:rsidR="00B227A9" w:rsidRPr="007F6B31" w:rsidRDefault="00B227A9" w:rsidP="001F2C55">
            <w:pPr>
              <w:snapToGrid w:val="0"/>
              <w:spacing w:line="360" w:lineRule="auto"/>
              <w:jc w:val="both"/>
              <w:rPr>
                <w:rFonts w:ascii="Book Antiqua" w:hAnsi="Book Antiqua" w:cs="Arial"/>
                <w:b/>
                <w:sz w:val="24"/>
                <w:szCs w:val="24"/>
                <w:lang w:val="en-GB"/>
              </w:rPr>
            </w:pPr>
            <w:r w:rsidRPr="007F6B31">
              <w:rPr>
                <w:rFonts w:ascii="Book Antiqua" w:hAnsi="Book Antiqua" w:cs="Arial"/>
                <w:b/>
                <w:sz w:val="24"/>
                <w:szCs w:val="24"/>
                <w:lang w:val="en-GB"/>
              </w:rPr>
              <w:t xml:space="preserve">M, 31 </w:t>
            </w:r>
            <w:proofErr w:type="spellStart"/>
            <w:r w:rsidRPr="007F6B31">
              <w:rPr>
                <w:rFonts w:ascii="Book Antiqua" w:hAnsi="Book Antiqua" w:cs="Arial"/>
                <w:b/>
                <w:sz w:val="24"/>
                <w:szCs w:val="24"/>
                <w:lang w:val="en-GB"/>
              </w:rPr>
              <w:t>yr</w:t>
            </w:r>
            <w:proofErr w:type="spellEnd"/>
          </w:p>
        </w:tc>
        <w:tc>
          <w:tcPr>
            <w:tcW w:w="1134" w:type="dxa"/>
            <w:tcBorders>
              <w:top w:val="single" w:sz="4" w:space="0" w:color="auto"/>
              <w:bottom w:val="single" w:sz="4" w:space="0" w:color="auto"/>
            </w:tcBorders>
            <w:shd w:val="clear" w:color="auto" w:fill="auto"/>
            <w:vAlign w:val="center"/>
          </w:tcPr>
          <w:p w14:paraId="3796C404" w14:textId="04F1D574" w:rsidR="00B227A9" w:rsidRPr="007F6B31" w:rsidRDefault="00B227A9" w:rsidP="001F2C55">
            <w:pPr>
              <w:snapToGrid w:val="0"/>
              <w:spacing w:line="360" w:lineRule="auto"/>
              <w:jc w:val="both"/>
              <w:rPr>
                <w:rFonts w:ascii="Book Antiqua" w:hAnsi="Book Antiqua" w:cs="Arial"/>
                <w:b/>
                <w:sz w:val="24"/>
                <w:szCs w:val="24"/>
                <w:lang w:val="en-GB"/>
              </w:rPr>
            </w:pPr>
            <w:r w:rsidRPr="007F6B31">
              <w:rPr>
                <w:rFonts w:ascii="Book Antiqua" w:hAnsi="Book Antiqua" w:cs="Arial"/>
                <w:b/>
                <w:sz w:val="24"/>
                <w:szCs w:val="24"/>
                <w:lang w:val="en-GB"/>
              </w:rPr>
              <w:t xml:space="preserve">M, 34 </w:t>
            </w:r>
            <w:proofErr w:type="spellStart"/>
            <w:r w:rsidRPr="007F6B31">
              <w:rPr>
                <w:rFonts w:ascii="Book Antiqua" w:hAnsi="Book Antiqua" w:cs="Arial"/>
                <w:b/>
                <w:sz w:val="24"/>
                <w:szCs w:val="24"/>
                <w:lang w:val="en-GB"/>
              </w:rPr>
              <w:t>yr</w:t>
            </w:r>
            <w:proofErr w:type="spellEnd"/>
          </w:p>
        </w:tc>
        <w:tc>
          <w:tcPr>
            <w:tcW w:w="1134" w:type="dxa"/>
            <w:tcBorders>
              <w:top w:val="single" w:sz="4" w:space="0" w:color="auto"/>
              <w:bottom w:val="single" w:sz="4" w:space="0" w:color="auto"/>
            </w:tcBorders>
            <w:shd w:val="clear" w:color="auto" w:fill="auto"/>
            <w:vAlign w:val="center"/>
          </w:tcPr>
          <w:p w14:paraId="48F6E3AF" w14:textId="4C9673EB" w:rsidR="00B227A9" w:rsidRPr="007F6B31" w:rsidRDefault="00B227A9" w:rsidP="001F2C55">
            <w:pPr>
              <w:snapToGrid w:val="0"/>
              <w:spacing w:line="360" w:lineRule="auto"/>
              <w:jc w:val="both"/>
              <w:rPr>
                <w:rFonts w:ascii="Book Antiqua" w:hAnsi="Book Antiqua" w:cs="Arial"/>
                <w:b/>
                <w:sz w:val="24"/>
                <w:szCs w:val="24"/>
                <w:lang w:val="en-GB"/>
              </w:rPr>
            </w:pPr>
            <w:r w:rsidRPr="007F6B31">
              <w:rPr>
                <w:rFonts w:ascii="Book Antiqua" w:hAnsi="Book Antiqua" w:cs="Arial"/>
                <w:b/>
                <w:sz w:val="24"/>
                <w:szCs w:val="24"/>
                <w:lang w:val="en-GB"/>
              </w:rPr>
              <w:t xml:space="preserve">M, 34 </w:t>
            </w:r>
            <w:proofErr w:type="spellStart"/>
            <w:r w:rsidRPr="007F6B31">
              <w:rPr>
                <w:rFonts w:ascii="Book Antiqua" w:hAnsi="Book Antiqua" w:cs="Arial"/>
                <w:b/>
                <w:sz w:val="24"/>
                <w:szCs w:val="24"/>
                <w:lang w:val="en-GB"/>
              </w:rPr>
              <w:t>yr</w:t>
            </w:r>
            <w:proofErr w:type="spellEnd"/>
          </w:p>
        </w:tc>
      </w:tr>
      <w:tr w:rsidR="00F1641C" w:rsidRPr="007F6B31" w14:paraId="7EE15A92" w14:textId="42899248" w:rsidTr="001F2C55">
        <w:trPr>
          <w:trHeight w:val="839"/>
          <w:jc w:val="center"/>
        </w:trPr>
        <w:tc>
          <w:tcPr>
            <w:tcW w:w="2972" w:type="dxa"/>
            <w:tcBorders>
              <w:top w:val="single" w:sz="4" w:space="0" w:color="auto"/>
            </w:tcBorders>
            <w:shd w:val="clear" w:color="auto" w:fill="auto"/>
            <w:vAlign w:val="center"/>
          </w:tcPr>
          <w:p w14:paraId="5271932D" w14:textId="5E719539"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 xml:space="preserve">Alanine </w:t>
            </w:r>
            <w:r w:rsidR="001F2C55" w:rsidRPr="007F6B31">
              <w:rPr>
                <w:rFonts w:ascii="Book Antiqua" w:hAnsi="Book Antiqua" w:cs="Arial"/>
                <w:sz w:val="24"/>
                <w:szCs w:val="24"/>
                <w:lang w:val="en-GB"/>
              </w:rPr>
              <w:t xml:space="preserve">amino transferase </w:t>
            </w:r>
            <w:r w:rsidRPr="007F6B31">
              <w:rPr>
                <w:rFonts w:ascii="Book Antiqua" w:hAnsi="Book Antiqua" w:cs="Arial"/>
                <w:sz w:val="24"/>
                <w:szCs w:val="24"/>
                <w:lang w:val="en-GB"/>
              </w:rPr>
              <w:t>(U/L)</w:t>
            </w:r>
          </w:p>
        </w:tc>
        <w:tc>
          <w:tcPr>
            <w:tcW w:w="851" w:type="dxa"/>
            <w:tcBorders>
              <w:top w:val="single" w:sz="4" w:space="0" w:color="auto"/>
            </w:tcBorders>
            <w:shd w:val="clear" w:color="auto" w:fill="auto"/>
            <w:vAlign w:val="center"/>
          </w:tcPr>
          <w:p w14:paraId="6A27F645"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86</w:t>
            </w:r>
          </w:p>
        </w:tc>
        <w:tc>
          <w:tcPr>
            <w:tcW w:w="708" w:type="dxa"/>
            <w:tcBorders>
              <w:top w:val="single" w:sz="4" w:space="0" w:color="auto"/>
            </w:tcBorders>
            <w:shd w:val="clear" w:color="auto" w:fill="auto"/>
            <w:vAlign w:val="center"/>
          </w:tcPr>
          <w:p w14:paraId="1A1F9580"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38</w:t>
            </w:r>
          </w:p>
        </w:tc>
        <w:tc>
          <w:tcPr>
            <w:tcW w:w="993" w:type="dxa"/>
            <w:tcBorders>
              <w:top w:val="single" w:sz="4" w:space="0" w:color="auto"/>
            </w:tcBorders>
            <w:shd w:val="clear" w:color="auto" w:fill="auto"/>
            <w:vAlign w:val="center"/>
          </w:tcPr>
          <w:p w14:paraId="48B72092" w14:textId="4862D13F"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19</w:t>
            </w:r>
          </w:p>
        </w:tc>
        <w:tc>
          <w:tcPr>
            <w:tcW w:w="992" w:type="dxa"/>
            <w:tcBorders>
              <w:top w:val="single" w:sz="4" w:space="0" w:color="auto"/>
            </w:tcBorders>
            <w:shd w:val="clear" w:color="auto" w:fill="auto"/>
            <w:vAlign w:val="center"/>
          </w:tcPr>
          <w:p w14:paraId="4BE3D7F9" w14:textId="061F61CA"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19</w:t>
            </w:r>
          </w:p>
        </w:tc>
        <w:tc>
          <w:tcPr>
            <w:tcW w:w="1134" w:type="dxa"/>
            <w:tcBorders>
              <w:top w:val="single" w:sz="4" w:space="0" w:color="auto"/>
            </w:tcBorders>
            <w:shd w:val="clear" w:color="auto" w:fill="auto"/>
            <w:vAlign w:val="center"/>
          </w:tcPr>
          <w:p w14:paraId="42D6AEA6" w14:textId="3CAE6742"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66</w:t>
            </w:r>
          </w:p>
        </w:tc>
        <w:tc>
          <w:tcPr>
            <w:tcW w:w="1134" w:type="dxa"/>
            <w:tcBorders>
              <w:top w:val="single" w:sz="4" w:space="0" w:color="auto"/>
            </w:tcBorders>
            <w:shd w:val="clear" w:color="auto" w:fill="auto"/>
            <w:vAlign w:val="center"/>
          </w:tcPr>
          <w:p w14:paraId="1C26D0AF" w14:textId="203DCE35"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28</w:t>
            </w:r>
          </w:p>
        </w:tc>
        <w:tc>
          <w:tcPr>
            <w:tcW w:w="1134" w:type="dxa"/>
            <w:tcBorders>
              <w:top w:val="single" w:sz="4" w:space="0" w:color="auto"/>
            </w:tcBorders>
            <w:shd w:val="clear" w:color="auto" w:fill="auto"/>
            <w:vAlign w:val="center"/>
          </w:tcPr>
          <w:p w14:paraId="32BDA89A" w14:textId="340B282D"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18</w:t>
            </w:r>
          </w:p>
        </w:tc>
      </w:tr>
      <w:tr w:rsidR="00F1641C" w:rsidRPr="007F6B31" w14:paraId="6EFDAC9D" w14:textId="30F9EA9F" w:rsidTr="001F2C55">
        <w:trPr>
          <w:trHeight w:val="420"/>
          <w:jc w:val="center"/>
        </w:trPr>
        <w:tc>
          <w:tcPr>
            <w:tcW w:w="2972" w:type="dxa"/>
            <w:shd w:val="clear" w:color="auto" w:fill="auto"/>
            <w:vAlign w:val="center"/>
          </w:tcPr>
          <w:p w14:paraId="265CA18E" w14:textId="61DFBEB0"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 xml:space="preserve">Alkaline </w:t>
            </w:r>
            <w:r w:rsidR="001F2C55" w:rsidRPr="007F6B31">
              <w:rPr>
                <w:rFonts w:ascii="Book Antiqua" w:hAnsi="Book Antiqua" w:cs="Arial"/>
                <w:sz w:val="24"/>
                <w:szCs w:val="24"/>
                <w:lang w:val="en-GB"/>
              </w:rPr>
              <w:t xml:space="preserve">phosphatase </w:t>
            </w:r>
            <w:r w:rsidRPr="007F6B31">
              <w:rPr>
                <w:rFonts w:ascii="Book Antiqua" w:hAnsi="Book Antiqua" w:cs="Arial"/>
                <w:sz w:val="24"/>
                <w:szCs w:val="24"/>
                <w:lang w:val="en-GB"/>
              </w:rPr>
              <w:t>(U/L)</w:t>
            </w:r>
          </w:p>
        </w:tc>
        <w:tc>
          <w:tcPr>
            <w:tcW w:w="851" w:type="dxa"/>
            <w:shd w:val="clear" w:color="auto" w:fill="auto"/>
            <w:vAlign w:val="center"/>
          </w:tcPr>
          <w:p w14:paraId="4AAE8AA5"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49</w:t>
            </w:r>
          </w:p>
        </w:tc>
        <w:tc>
          <w:tcPr>
            <w:tcW w:w="708" w:type="dxa"/>
            <w:shd w:val="clear" w:color="auto" w:fill="auto"/>
            <w:vAlign w:val="center"/>
          </w:tcPr>
          <w:p w14:paraId="2509AF6A"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96</w:t>
            </w:r>
          </w:p>
        </w:tc>
        <w:tc>
          <w:tcPr>
            <w:tcW w:w="993" w:type="dxa"/>
            <w:shd w:val="clear" w:color="auto" w:fill="auto"/>
            <w:vAlign w:val="center"/>
          </w:tcPr>
          <w:p w14:paraId="7F9B3651" w14:textId="4E63E0AF"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269</w:t>
            </w:r>
          </w:p>
        </w:tc>
        <w:tc>
          <w:tcPr>
            <w:tcW w:w="992" w:type="dxa"/>
            <w:shd w:val="clear" w:color="auto" w:fill="auto"/>
            <w:vAlign w:val="center"/>
          </w:tcPr>
          <w:p w14:paraId="40E36746" w14:textId="2C7876FE"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234</w:t>
            </w:r>
          </w:p>
        </w:tc>
        <w:tc>
          <w:tcPr>
            <w:tcW w:w="1134" w:type="dxa"/>
            <w:shd w:val="clear" w:color="auto" w:fill="auto"/>
            <w:vAlign w:val="center"/>
          </w:tcPr>
          <w:p w14:paraId="5E1C7974" w14:textId="123D2E30"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61</w:t>
            </w:r>
          </w:p>
        </w:tc>
        <w:tc>
          <w:tcPr>
            <w:tcW w:w="1134" w:type="dxa"/>
            <w:shd w:val="clear" w:color="auto" w:fill="auto"/>
            <w:vAlign w:val="center"/>
          </w:tcPr>
          <w:p w14:paraId="30CEF461" w14:textId="2613044E"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79</w:t>
            </w:r>
          </w:p>
        </w:tc>
        <w:tc>
          <w:tcPr>
            <w:tcW w:w="1134" w:type="dxa"/>
            <w:shd w:val="clear" w:color="auto" w:fill="auto"/>
            <w:vAlign w:val="center"/>
          </w:tcPr>
          <w:p w14:paraId="7EAAA4F5" w14:textId="173050AA"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52</w:t>
            </w:r>
          </w:p>
        </w:tc>
      </w:tr>
      <w:tr w:rsidR="00F1641C" w:rsidRPr="007F6B31" w14:paraId="56B58EBC" w14:textId="73874AFB" w:rsidTr="001F2C55">
        <w:trPr>
          <w:trHeight w:val="593"/>
          <w:jc w:val="center"/>
        </w:trPr>
        <w:tc>
          <w:tcPr>
            <w:tcW w:w="2972" w:type="dxa"/>
            <w:shd w:val="clear" w:color="auto" w:fill="auto"/>
            <w:vAlign w:val="center"/>
          </w:tcPr>
          <w:p w14:paraId="14D3F395"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Total bilirubin (mg/dL)</w:t>
            </w:r>
          </w:p>
        </w:tc>
        <w:tc>
          <w:tcPr>
            <w:tcW w:w="851" w:type="dxa"/>
            <w:shd w:val="clear" w:color="auto" w:fill="auto"/>
            <w:vAlign w:val="center"/>
          </w:tcPr>
          <w:p w14:paraId="22344803"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0.94</w:t>
            </w:r>
          </w:p>
        </w:tc>
        <w:tc>
          <w:tcPr>
            <w:tcW w:w="708" w:type="dxa"/>
            <w:shd w:val="clear" w:color="auto" w:fill="auto"/>
            <w:vAlign w:val="center"/>
          </w:tcPr>
          <w:p w14:paraId="4ABB6D5C"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0.35</w:t>
            </w:r>
          </w:p>
        </w:tc>
        <w:tc>
          <w:tcPr>
            <w:tcW w:w="993" w:type="dxa"/>
            <w:shd w:val="clear" w:color="auto" w:fill="auto"/>
            <w:vAlign w:val="center"/>
          </w:tcPr>
          <w:p w14:paraId="135F4D33" w14:textId="75821A7E"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0.58</w:t>
            </w:r>
          </w:p>
        </w:tc>
        <w:tc>
          <w:tcPr>
            <w:tcW w:w="992" w:type="dxa"/>
            <w:shd w:val="clear" w:color="auto" w:fill="auto"/>
            <w:vAlign w:val="center"/>
          </w:tcPr>
          <w:p w14:paraId="7A3ECFC4" w14:textId="09B34666"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0.29</w:t>
            </w:r>
          </w:p>
        </w:tc>
        <w:tc>
          <w:tcPr>
            <w:tcW w:w="1134" w:type="dxa"/>
            <w:shd w:val="clear" w:color="auto" w:fill="auto"/>
            <w:vAlign w:val="center"/>
          </w:tcPr>
          <w:p w14:paraId="266B7325" w14:textId="3598005D"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0.41</w:t>
            </w:r>
          </w:p>
        </w:tc>
        <w:tc>
          <w:tcPr>
            <w:tcW w:w="1134" w:type="dxa"/>
            <w:shd w:val="clear" w:color="auto" w:fill="auto"/>
            <w:vAlign w:val="center"/>
          </w:tcPr>
          <w:p w14:paraId="2C1FE9E8" w14:textId="1AC2A74E"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0.94</w:t>
            </w:r>
          </w:p>
        </w:tc>
        <w:tc>
          <w:tcPr>
            <w:tcW w:w="1134" w:type="dxa"/>
            <w:shd w:val="clear" w:color="auto" w:fill="auto"/>
          </w:tcPr>
          <w:p w14:paraId="28546251" w14:textId="2280457C" w:rsidR="00F1641C" w:rsidRPr="007F6B31" w:rsidRDefault="00A21109"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0.41</w:t>
            </w:r>
          </w:p>
        </w:tc>
      </w:tr>
      <w:tr w:rsidR="00F1641C" w:rsidRPr="007F6B31" w14:paraId="732F8EE2" w14:textId="484C7CE4" w:rsidTr="001F2C55">
        <w:trPr>
          <w:trHeight w:val="942"/>
          <w:jc w:val="center"/>
        </w:trPr>
        <w:tc>
          <w:tcPr>
            <w:tcW w:w="2972" w:type="dxa"/>
            <w:shd w:val="clear" w:color="auto" w:fill="auto"/>
            <w:vAlign w:val="center"/>
          </w:tcPr>
          <w:p w14:paraId="0E3197F1" w14:textId="5D66234A"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 xml:space="preserve">International </w:t>
            </w:r>
            <w:r w:rsidR="001F2C55" w:rsidRPr="007F6B31">
              <w:rPr>
                <w:rFonts w:ascii="Book Antiqua" w:hAnsi="Book Antiqua" w:cs="Arial"/>
                <w:sz w:val="24"/>
                <w:szCs w:val="24"/>
                <w:lang w:val="en-GB"/>
              </w:rPr>
              <w:t xml:space="preserve">normalised ratio </w:t>
            </w:r>
            <w:r w:rsidRPr="007F6B31">
              <w:rPr>
                <w:rFonts w:ascii="Book Antiqua" w:hAnsi="Book Antiqua" w:cs="Arial"/>
                <w:sz w:val="24"/>
                <w:szCs w:val="24"/>
                <w:lang w:val="en-GB"/>
              </w:rPr>
              <w:t>(INR)</w:t>
            </w:r>
          </w:p>
        </w:tc>
        <w:tc>
          <w:tcPr>
            <w:tcW w:w="851" w:type="dxa"/>
            <w:shd w:val="clear" w:color="auto" w:fill="auto"/>
            <w:vAlign w:val="center"/>
          </w:tcPr>
          <w:p w14:paraId="1F9EC3A2"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0.9</w:t>
            </w:r>
          </w:p>
        </w:tc>
        <w:tc>
          <w:tcPr>
            <w:tcW w:w="708" w:type="dxa"/>
            <w:shd w:val="clear" w:color="auto" w:fill="auto"/>
            <w:vAlign w:val="center"/>
          </w:tcPr>
          <w:p w14:paraId="28C3D17B"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1.0</w:t>
            </w:r>
          </w:p>
        </w:tc>
        <w:tc>
          <w:tcPr>
            <w:tcW w:w="993" w:type="dxa"/>
            <w:shd w:val="clear" w:color="auto" w:fill="auto"/>
            <w:vAlign w:val="center"/>
          </w:tcPr>
          <w:p w14:paraId="7B4814ED" w14:textId="0921F061"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1.1</w:t>
            </w:r>
          </w:p>
        </w:tc>
        <w:tc>
          <w:tcPr>
            <w:tcW w:w="992" w:type="dxa"/>
            <w:shd w:val="clear" w:color="auto" w:fill="auto"/>
            <w:vAlign w:val="center"/>
          </w:tcPr>
          <w:p w14:paraId="1C5E92B9" w14:textId="6216A1BE"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1.1</w:t>
            </w:r>
          </w:p>
        </w:tc>
        <w:tc>
          <w:tcPr>
            <w:tcW w:w="1134" w:type="dxa"/>
            <w:shd w:val="clear" w:color="auto" w:fill="auto"/>
            <w:vAlign w:val="center"/>
          </w:tcPr>
          <w:p w14:paraId="75312D09" w14:textId="08A37771"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0.9</w:t>
            </w:r>
          </w:p>
        </w:tc>
        <w:tc>
          <w:tcPr>
            <w:tcW w:w="1134" w:type="dxa"/>
            <w:shd w:val="clear" w:color="auto" w:fill="auto"/>
            <w:vAlign w:val="center"/>
          </w:tcPr>
          <w:p w14:paraId="15892918" w14:textId="45DEA663"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1.0</w:t>
            </w:r>
          </w:p>
        </w:tc>
        <w:tc>
          <w:tcPr>
            <w:tcW w:w="1134" w:type="dxa"/>
            <w:shd w:val="clear" w:color="auto" w:fill="auto"/>
            <w:vAlign w:val="center"/>
          </w:tcPr>
          <w:p w14:paraId="39600AE6" w14:textId="7B50BDC5"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0.9</w:t>
            </w:r>
          </w:p>
        </w:tc>
      </w:tr>
      <w:tr w:rsidR="00F1641C" w:rsidRPr="007F6B31" w14:paraId="4DC830AF" w14:textId="348EEBC1" w:rsidTr="001F2C55">
        <w:trPr>
          <w:trHeight w:val="418"/>
          <w:jc w:val="center"/>
        </w:trPr>
        <w:tc>
          <w:tcPr>
            <w:tcW w:w="2972" w:type="dxa"/>
            <w:shd w:val="clear" w:color="auto" w:fill="auto"/>
            <w:vAlign w:val="center"/>
          </w:tcPr>
          <w:p w14:paraId="10ACDEFD" w14:textId="3D9BE0AA"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Haemoglobin (g/L)</w:t>
            </w:r>
          </w:p>
        </w:tc>
        <w:tc>
          <w:tcPr>
            <w:tcW w:w="851" w:type="dxa"/>
            <w:shd w:val="clear" w:color="auto" w:fill="auto"/>
            <w:vAlign w:val="center"/>
          </w:tcPr>
          <w:p w14:paraId="52F359CA"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132.1</w:t>
            </w:r>
          </w:p>
        </w:tc>
        <w:tc>
          <w:tcPr>
            <w:tcW w:w="708" w:type="dxa"/>
            <w:shd w:val="clear" w:color="auto" w:fill="auto"/>
            <w:vAlign w:val="center"/>
          </w:tcPr>
          <w:p w14:paraId="5CC877F8"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137</w:t>
            </w:r>
          </w:p>
        </w:tc>
        <w:tc>
          <w:tcPr>
            <w:tcW w:w="993" w:type="dxa"/>
            <w:shd w:val="clear" w:color="auto" w:fill="auto"/>
            <w:vAlign w:val="center"/>
          </w:tcPr>
          <w:p w14:paraId="11AF39EA" w14:textId="7E209D4E"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120.8</w:t>
            </w:r>
          </w:p>
        </w:tc>
        <w:tc>
          <w:tcPr>
            <w:tcW w:w="992" w:type="dxa"/>
            <w:shd w:val="clear" w:color="auto" w:fill="auto"/>
            <w:vAlign w:val="center"/>
          </w:tcPr>
          <w:p w14:paraId="5CC6B2DA" w14:textId="727ED935"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127.3</w:t>
            </w:r>
          </w:p>
        </w:tc>
        <w:tc>
          <w:tcPr>
            <w:tcW w:w="1134" w:type="dxa"/>
            <w:shd w:val="clear" w:color="auto" w:fill="auto"/>
            <w:vAlign w:val="center"/>
          </w:tcPr>
          <w:p w14:paraId="731C0EC1" w14:textId="7396EA7D"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133.7</w:t>
            </w:r>
          </w:p>
        </w:tc>
        <w:tc>
          <w:tcPr>
            <w:tcW w:w="1134" w:type="dxa"/>
            <w:shd w:val="clear" w:color="auto" w:fill="auto"/>
            <w:vAlign w:val="center"/>
          </w:tcPr>
          <w:p w14:paraId="2162F8A0" w14:textId="4CCD2DB5"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148.2</w:t>
            </w:r>
          </w:p>
        </w:tc>
        <w:tc>
          <w:tcPr>
            <w:tcW w:w="1134" w:type="dxa"/>
            <w:shd w:val="clear" w:color="auto" w:fill="auto"/>
          </w:tcPr>
          <w:p w14:paraId="69F7088D" w14:textId="24E7365C"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161.1</w:t>
            </w:r>
          </w:p>
        </w:tc>
      </w:tr>
      <w:tr w:rsidR="00F1641C" w:rsidRPr="007F6B31" w14:paraId="71570C99" w14:textId="45100754" w:rsidTr="001F2C55">
        <w:trPr>
          <w:trHeight w:val="418"/>
          <w:jc w:val="center"/>
        </w:trPr>
        <w:tc>
          <w:tcPr>
            <w:tcW w:w="2972" w:type="dxa"/>
            <w:shd w:val="clear" w:color="auto" w:fill="auto"/>
            <w:vAlign w:val="center"/>
          </w:tcPr>
          <w:p w14:paraId="14007B19"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Platelets (10</w:t>
            </w:r>
            <w:r w:rsidRPr="007F6B31">
              <w:rPr>
                <w:rFonts w:ascii="Book Antiqua" w:hAnsi="Book Antiqua" w:cs="Arial"/>
                <w:sz w:val="24"/>
                <w:szCs w:val="24"/>
                <w:vertAlign w:val="superscript"/>
                <w:lang w:val="en-GB"/>
              </w:rPr>
              <w:t>9</w:t>
            </w:r>
            <w:r w:rsidRPr="007F6B31">
              <w:rPr>
                <w:rFonts w:ascii="Book Antiqua" w:hAnsi="Book Antiqua" w:cs="Arial"/>
                <w:sz w:val="24"/>
                <w:szCs w:val="24"/>
                <w:lang w:val="en-GB"/>
              </w:rPr>
              <w:t>/L)</w:t>
            </w:r>
          </w:p>
        </w:tc>
        <w:tc>
          <w:tcPr>
            <w:tcW w:w="851" w:type="dxa"/>
            <w:shd w:val="clear" w:color="auto" w:fill="auto"/>
            <w:vAlign w:val="center"/>
          </w:tcPr>
          <w:p w14:paraId="717F3988"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121</w:t>
            </w:r>
          </w:p>
        </w:tc>
        <w:tc>
          <w:tcPr>
            <w:tcW w:w="708" w:type="dxa"/>
            <w:shd w:val="clear" w:color="auto" w:fill="auto"/>
            <w:vAlign w:val="center"/>
          </w:tcPr>
          <w:p w14:paraId="38CF133D"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168</w:t>
            </w:r>
          </w:p>
        </w:tc>
        <w:tc>
          <w:tcPr>
            <w:tcW w:w="993" w:type="dxa"/>
            <w:shd w:val="clear" w:color="auto" w:fill="auto"/>
            <w:vAlign w:val="center"/>
          </w:tcPr>
          <w:p w14:paraId="7B21D64F" w14:textId="0BC93250"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230</w:t>
            </w:r>
          </w:p>
        </w:tc>
        <w:tc>
          <w:tcPr>
            <w:tcW w:w="992" w:type="dxa"/>
            <w:shd w:val="clear" w:color="auto" w:fill="auto"/>
            <w:vAlign w:val="center"/>
          </w:tcPr>
          <w:p w14:paraId="76994773" w14:textId="029753BF"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329</w:t>
            </w:r>
          </w:p>
        </w:tc>
        <w:tc>
          <w:tcPr>
            <w:tcW w:w="1134" w:type="dxa"/>
            <w:shd w:val="clear" w:color="auto" w:fill="auto"/>
            <w:vAlign w:val="center"/>
          </w:tcPr>
          <w:p w14:paraId="3893D362" w14:textId="01E50932"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234</w:t>
            </w:r>
          </w:p>
        </w:tc>
        <w:tc>
          <w:tcPr>
            <w:tcW w:w="1134" w:type="dxa"/>
            <w:shd w:val="clear" w:color="auto" w:fill="auto"/>
            <w:vAlign w:val="center"/>
          </w:tcPr>
          <w:p w14:paraId="3E2CFA5A" w14:textId="52D58C91"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192</w:t>
            </w:r>
          </w:p>
        </w:tc>
        <w:tc>
          <w:tcPr>
            <w:tcW w:w="1134" w:type="dxa"/>
            <w:shd w:val="clear" w:color="auto" w:fill="auto"/>
          </w:tcPr>
          <w:p w14:paraId="12F5EFE5" w14:textId="35E63F3F"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229</w:t>
            </w:r>
          </w:p>
        </w:tc>
      </w:tr>
    </w:tbl>
    <w:p w14:paraId="4FB237AF" w14:textId="3264C193" w:rsidR="00A21109" w:rsidRPr="007F6B31" w:rsidRDefault="00814098" w:rsidP="001F2C55">
      <w:pPr>
        <w:adjustRightInd w:val="0"/>
        <w:snapToGrid w:val="0"/>
        <w:spacing w:after="0" w:line="360" w:lineRule="auto"/>
        <w:jc w:val="both"/>
        <w:rPr>
          <w:rFonts w:ascii="Book Antiqua" w:eastAsia="TimesNewRomanPSMT" w:hAnsi="Book Antiqua" w:cs="Arial"/>
          <w:sz w:val="24"/>
          <w:szCs w:val="24"/>
          <w:lang w:val="en-GB"/>
        </w:rPr>
      </w:pPr>
      <w:r w:rsidRPr="007F6B31">
        <w:rPr>
          <w:rFonts w:ascii="Book Antiqua" w:eastAsia="TimesNewRomanPSMT" w:hAnsi="Book Antiqua" w:cs="Arial"/>
          <w:sz w:val="24"/>
          <w:szCs w:val="24"/>
          <w:lang w:val="en-GB"/>
        </w:rPr>
        <w:t>F</w:t>
      </w:r>
      <w:r w:rsidR="00B227A9" w:rsidRPr="007F6B31">
        <w:rPr>
          <w:rFonts w:ascii="Book Antiqua" w:eastAsia="TimesNewRomanPSMT" w:hAnsi="Book Antiqua" w:cs="Arial"/>
          <w:sz w:val="24"/>
          <w:szCs w:val="24"/>
          <w:lang w:val="en-GB" w:eastAsia="zh-CN"/>
        </w:rPr>
        <w:t>:</w:t>
      </w:r>
      <w:r w:rsidRPr="007F6B31">
        <w:rPr>
          <w:rFonts w:ascii="Book Antiqua" w:eastAsia="TimesNewRomanPSMT" w:hAnsi="Book Antiqua" w:cs="Arial"/>
          <w:sz w:val="24"/>
          <w:szCs w:val="24"/>
          <w:lang w:val="en-GB"/>
        </w:rPr>
        <w:t xml:space="preserve"> </w:t>
      </w:r>
      <w:r w:rsidR="00B227A9" w:rsidRPr="007F6B31">
        <w:rPr>
          <w:rFonts w:ascii="Book Antiqua" w:eastAsia="TimesNewRomanPSMT" w:hAnsi="Book Antiqua" w:cs="Arial"/>
          <w:sz w:val="24"/>
          <w:szCs w:val="24"/>
          <w:lang w:val="en-GB"/>
        </w:rPr>
        <w:t>Female</w:t>
      </w:r>
      <w:r w:rsidR="00D927A4" w:rsidRPr="007F6B31">
        <w:rPr>
          <w:rFonts w:ascii="Book Antiqua" w:eastAsia="TimesNewRomanPSMT" w:hAnsi="Book Antiqua" w:cs="Arial"/>
          <w:sz w:val="24"/>
          <w:szCs w:val="24"/>
          <w:lang w:val="en-GB"/>
        </w:rPr>
        <w:t>;</w:t>
      </w:r>
      <w:r w:rsidRPr="007F6B31">
        <w:rPr>
          <w:rFonts w:ascii="Book Antiqua" w:eastAsia="TimesNewRomanPSMT" w:hAnsi="Book Antiqua" w:cs="Arial"/>
          <w:sz w:val="24"/>
          <w:szCs w:val="24"/>
          <w:lang w:val="en-GB"/>
        </w:rPr>
        <w:t xml:space="preserve"> M</w:t>
      </w:r>
      <w:r w:rsidR="00B227A9" w:rsidRPr="007F6B31">
        <w:rPr>
          <w:rFonts w:ascii="Book Antiqua" w:eastAsia="TimesNewRomanPSMT" w:hAnsi="Book Antiqua" w:cs="Arial"/>
          <w:sz w:val="24"/>
          <w:szCs w:val="24"/>
          <w:lang w:val="en-GB"/>
        </w:rPr>
        <w:t>:</w:t>
      </w:r>
      <w:r w:rsidR="003553A9" w:rsidRPr="007F6B31">
        <w:rPr>
          <w:rFonts w:ascii="Book Antiqua" w:eastAsia="TimesNewRomanPSMT" w:hAnsi="Book Antiqua" w:cs="Arial"/>
          <w:sz w:val="24"/>
          <w:szCs w:val="24"/>
          <w:lang w:val="en-GB"/>
        </w:rPr>
        <w:t xml:space="preserve"> </w:t>
      </w:r>
      <w:r w:rsidR="00B227A9" w:rsidRPr="007F6B31">
        <w:rPr>
          <w:rFonts w:ascii="Book Antiqua" w:eastAsia="TimesNewRomanPSMT" w:hAnsi="Book Antiqua" w:cs="Arial"/>
          <w:sz w:val="24"/>
          <w:szCs w:val="24"/>
          <w:lang w:val="en-GB"/>
        </w:rPr>
        <w:t>Male</w:t>
      </w:r>
      <w:r w:rsidR="00C97162" w:rsidRPr="007F6B31">
        <w:rPr>
          <w:rFonts w:ascii="Book Antiqua" w:eastAsia="TimesNewRomanPSMT" w:hAnsi="Book Antiqua" w:cs="Arial"/>
          <w:sz w:val="24"/>
          <w:szCs w:val="24"/>
          <w:lang w:val="en-GB"/>
        </w:rPr>
        <w:t>. Blood test</w:t>
      </w:r>
      <w:r w:rsidR="002132D0" w:rsidRPr="007F6B31">
        <w:rPr>
          <w:rFonts w:ascii="Book Antiqua" w:eastAsia="TimesNewRomanPSMT" w:hAnsi="Book Antiqua" w:cs="Arial"/>
          <w:sz w:val="24"/>
          <w:szCs w:val="24"/>
          <w:lang w:val="en-GB"/>
        </w:rPr>
        <w:t>s</w:t>
      </w:r>
      <w:r w:rsidR="00C97162" w:rsidRPr="007F6B31">
        <w:rPr>
          <w:rFonts w:ascii="Book Antiqua" w:eastAsia="TimesNewRomanPSMT" w:hAnsi="Book Antiqua" w:cs="Arial"/>
          <w:sz w:val="24"/>
          <w:szCs w:val="24"/>
          <w:lang w:val="en-GB"/>
        </w:rPr>
        <w:t xml:space="preserve"> for 7 y</w:t>
      </w:r>
      <w:r w:rsidR="00B227A9" w:rsidRPr="007F6B31">
        <w:rPr>
          <w:rFonts w:ascii="Book Antiqua" w:eastAsia="TimesNewRomanPSMT" w:hAnsi="Book Antiqua" w:cs="Arial"/>
          <w:sz w:val="24"/>
          <w:szCs w:val="24"/>
          <w:lang w:val="en-GB"/>
        </w:rPr>
        <w:t>ea</w:t>
      </w:r>
      <w:r w:rsidR="00C97162" w:rsidRPr="007F6B31">
        <w:rPr>
          <w:rFonts w:ascii="Book Antiqua" w:eastAsia="TimesNewRomanPSMT" w:hAnsi="Book Antiqua" w:cs="Arial"/>
          <w:sz w:val="24"/>
          <w:szCs w:val="24"/>
          <w:lang w:val="en-GB"/>
        </w:rPr>
        <w:t>r</w:t>
      </w:r>
      <w:r w:rsidR="001F2C55" w:rsidRPr="007F6B31">
        <w:rPr>
          <w:rFonts w:ascii="Book Antiqua" w:eastAsia="TimesNewRomanPSMT" w:hAnsi="Book Antiqua" w:cs="Arial"/>
          <w:sz w:val="24"/>
          <w:szCs w:val="24"/>
          <w:lang w:val="en-GB"/>
        </w:rPr>
        <w:t>s</w:t>
      </w:r>
      <w:r w:rsidR="00C97162" w:rsidRPr="007F6B31">
        <w:rPr>
          <w:rFonts w:ascii="Book Antiqua" w:eastAsia="TimesNewRomanPSMT" w:hAnsi="Book Antiqua" w:cs="Arial"/>
          <w:sz w:val="24"/>
          <w:szCs w:val="24"/>
          <w:lang w:val="en-GB"/>
        </w:rPr>
        <w:t xml:space="preserve"> child unavailable. </w:t>
      </w:r>
    </w:p>
    <w:p w14:paraId="66284A14" w14:textId="77777777" w:rsidR="00B227A9" w:rsidRPr="007F6B31" w:rsidRDefault="00B227A9" w:rsidP="001F2C55">
      <w:pPr>
        <w:snapToGrid w:val="0"/>
        <w:spacing w:after="0" w:line="360" w:lineRule="auto"/>
        <w:jc w:val="both"/>
        <w:rPr>
          <w:rFonts w:ascii="Book Antiqua" w:eastAsia="Times New Roman" w:hAnsi="Book Antiqua" w:cs="Arial"/>
          <w:sz w:val="24"/>
          <w:szCs w:val="24"/>
          <w:lang w:val="en-GB"/>
        </w:rPr>
      </w:pPr>
      <w:r w:rsidRPr="007F6B31">
        <w:rPr>
          <w:rFonts w:ascii="Book Antiqua" w:hAnsi="Book Antiqua" w:cs="Arial"/>
          <w:sz w:val="24"/>
          <w:szCs w:val="24"/>
          <w:lang w:val="en-GB"/>
        </w:rPr>
        <w:br w:type="page"/>
      </w:r>
    </w:p>
    <w:p w14:paraId="76523236" w14:textId="5CEBCB8E" w:rsidR="00E63A39" w:rsidRPr="007F6B31" w:rsidRDefault="001B05DC" w:rsidP="001F2C55">
      <w:pPr>
        <w:pStyle w:val="a5"/>
        <w:snapToGrid w:val="0"/>
        <w:spacing w:line="360" w:lineRule="auto"/>
        <w:jc w:val="both"/>
        <w:rPr>
          <w:rFonts w:ascii="Book Antiqua" w:hAnsi="Book Antiqua" w:cs="Arial"/>
          <w:b/>
          <w:bCs/>
          <w:lang w:val="en-GB"/>
        </w:rPr>
      </w:pPr>
      <w:r w:rsidRPr="007F6B31">
        <w:rPr>
          <w:rFonts w:ascii="Book Antiqua" w:hAnsi="Book Antiqua" w:cs="Arial"/>
          <w:b/>
          <w:bCs/>
          <w:lang w:val="en-GB"/>
        </w:rPr>
        <w:lastRenderedPageBreak/>
        <w:t xml:space="preserve">Table </w:t>
      </w:r>
      <w:r w:rsidR="00E61765" w:rsidRPr="007F6B31">
        <w:rPr>
          <w:rFonts w:ascii="Book Antiqua" w:hAnsi="Book Antiqua" w:cs="Arial"/>
          <w:b/>
          <w:bCs/>
          <w:lang w:val="en-GB"/>
        </w:rPr>
        <w:t>2</w:t>
      </w:r>
      <w:r w:rsidR="00497D42" w:rsidRPr="007F6B31">
        <w:rPr>
          <w:rFonts w:ascii="Book Antiqua" w:hAnsi="Book Antiqua" w:cs="Arial"/>
          <w:b/>
          <w:bCs/>
          <w:lang w:val="en-GB"/>
        </w:rPr>
        <w:t xml:space="preserve"> </w:t>
      </w:r>
      <w:r w:rsidR="00CD50FF" w:rsidRPr="007F6B31">
        <w:rPr>
          <w:rFonts w:ascii="Book Antiqua" w:hAnsi="Book Antiqua" w:cs="Arial"/>
          <w:b/>
          <w:bCs/>
          <w:shd w:val="clear" w:color="auto" w:fill="FFFFFF"/>
        </w:rPr>
        <w:t>Lysosomal acid lipase</w:t>
      </w:r>
      <w:r w:rsidR="00CD50FF" w:rsidRPr="007F6B31">
        <w:rPr>
          <w:rFonts w:ascii="Book Antiqua" w:hAnsi="Book Antiqua" w:cs="Arial"/>
          <w:b/>
          <w:bCs/>
          <w:lang w:val="en-GB"/>
        </w:rPr>
        <w:t xml:space="preserve"> </w:t>
      </w:r>
      <w:r w:rsidR="00506DE3" w:rsidRPr="007F6B31">
        <w:rPr>
          <w:rFonts w:ascii="Book Antiqua" w:hAnsi="Book Antiqua" w:cs="Arial"/>
          <w:b/>
          <w:bCs/>
          <w:lang w:val="en-GB"/>
        </w:rPr>
        <w:t xml:space="preserve">activity and </w:t>
      </w:r>
      <w:r w:rsidR="00506DE3" w:rsidRPr="007F6B31">
        <w:rPr>
          <w:rFonts w:ascii="Book Antiqua" w:hAnsi="Book Antiqua" w:cs="Arial"/>
          <w:b/>
          <w:bCs/>
          <w:i/>
          <w:lang w:val="en-GB"/>
        </w:rPr>
        <w:t>LIPA</w:t>
      </w:r>
      <w:r w:rsidR="00506DE3" w:rsidRPr="007F6B31">
        <w:rPr>
          <w:rFonts w:ascii="Book Antiqua" w:hAnsi="Book Antiqua" w:cs="Arial"/>
          <w:b/>
          <w:bCs/>
          <w:lang w:val="en-GB"/>
        </w:rPr>
        <w:t xml:space="preserve"> variants in family members </w:t>
      </w:r>
      <w:r w:rsidR="002D40C7" w:rsidRPr="007F6B31">
        <w:rPr>
          <w:rFonts w:ascii="Book Antiqua" w:hAnsi="Book Antiqua" w:cs="Arial"/>
          <w:b/>
          <w:bCs/>
          <w:lang w:val="en-GB"/>
        </w:rPr>
        <w:t xml:space="preserve">of </w:t>
      </w:r>
      <w:r w:rsidR="00506DE3" w:rsidRPr="007F6B31">
        <w:rPr>
          <w:rFonts w:ascii="Book Antiqua" w:hAnsi="Book Antiqua" w:cs="Arial"/>
          <w:b/>
          <w:bCs/>
          <w:lang w:val="en-GB"/>
        </w:rPr>
        <w:t xml:space="preserve">two patients with </w:t>
      </w:r>
      <w:r w:rsidR="00CD50FF" w:rsidRPr="007F6B31">
        <w:rPr>
          <w:rFonts w:ascii="Book Antiqua" w:hAnsi="Book Antiqua" w:cs="Arial"/>
          <w:b/>
          <w:bCs/>
          <w:shd w:val="clear" w:color="auto" w:fill="FFFFFF"/>
        </w:rPr>
        <w:t>cholesteryl ester storage disease</w:t>
      </w:r>
    </w:p>
    <w:tbl>
      <w:tblPr>
        <w:tblStyle w:val="ad"/>
        <w:tblW w:w="96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134"/>
        <w:gridCol w:w="992"/>
        <w:gridCol w:w="4536"/>
        <w:gridCol w:w="2268"/>
      </w:tblGrid>
      <w:tr w:rsidR="00506DE3" w:rsidRPr="007F6B31" w14:paraId="67EB7889" w14:textId="77777777" w:rsidTr="00674FCA">
        <w:tc>
          <w:tcPr>
            <w:tcW w:w="704" w:type="dxa"/>
            <w:tcBorders>
              <w:top w:val="single" w:sz="4" w:space="0" w:color="auto"/>
              <w:bottom w:val="single" w:sz="4" w:space="0" w:color="auto"/>
            </w:tcBorders>
          </w:tcPr>
          <w:p w14:paraId="14B79F18" w14:textId="6FD44A2C" w:rsidR="00506DE3" w:rsidRPr="007F6B31" w:rsidRDefault="00506DE3" w:rsidP="001F2C55">
            <w:pPr>
              <w:pStyle w:val="a5"/>
              <w:snapToGrid w:val="0"/>
              <w:spacing w:line="360" w:lineRule="auto"/>
              <w:jc w:val="both"/>
              <w:rPr>
                <w:rFonts w:ascii="Book Antiqua" w:hAnsi="Book Antiqua" w:cs="Arial"/>
                <w:b/>
                <w:bCs/>
                <w:lang w:val="en-GB"/>
              </w:rPr>
            </w:pPr>
            <w:r w:rsidRPr="007F6B31">
              <w:rPr>
                <w:rFonts w:ascii="Book Antiqua" w:hAnsi="Book Antiqua" w:cs="Arial"/>
                <w:b/>
                <w:bCs/>
                <w:lang w:val="en-GB"/>
              </w:rPr>
              <w:t>Age</w:t>
            </w:r>
          </w:p>
        </w:tc>
        <w:tc>
          <w:tcPr>
            <w:tcW w:w="1134" w:type="dxa"/>
            <w:tcBorders>
              <w:top w:val="single" w:sz="4" w:space="0" w:color="auto"/>
              <w:bottom w:val="single" w:sz="4" w:space="0" w:color="auto"/>
            </w:tcBorders>
          </w:tcPr>
          <w:p w14:paraId="635F0D65" w14:textId="19D14EB3" w:rsidR="00506DE3" w:rsidRPr="007F6B31" w:rsidRDefault="00506DE3" w:rsidP="001F2C55">
            <w:pPr>
              <w:pStyle w:val="a5"/>
              <w:snapToGrid w:val="0"/>
              <w:spacing w:line="360" w:lineRule="auto"/>
              <w:jc w:val="both"/>
              <w:rPr>
                <w:rFonts w:ascii="Book Antiqua" w:hAnsi="Book Antiqua" w:cs="Arial"/>
                <w:b/>
                <w:bCs/>
                <w:lang w:val="en-GB"/>
              </w:rPr>
            </w:pPr>
            <w:r w:rsidRPr="007F6B31">
              <w:rPr>
                <w:rFonts w:ascii="Book Antiqua" w:hAnsi="Book Antiqua" w:cs="Arial"/>
                <w:b/>
                <w:bCs/>
                <w:lang w:val="en-GB"/>
              </w:rPr>
              <w:t>Gender</w:t>
            </w:r>
          </w:p>
        </w:tc>
        <w:tc>
          <w:tcPr>
            <w:tcW w:w="992" w:type="dxa"/>
            <w:tcBorders>
              <w:top w:val="single" w:sz="4" w:space="0" w:color="auto"/>
              <w:bottom w:val="single" w:sz="4" w:space="0" w:color="auto"/>
            </w:tcBorders>
          </w:tcPr>
          <w:p w14:paraId="5091C5F0" w14:textId="658C4CDA" w:rsidR="00506DE3" w:rsidRPr="007F6B31" w:rsidRDefault="00506DE3" w:rsidP="001F2C55">
            <w:pPr>
              <w:pStyle w:val="a5"/>
              <w:snapToGrid w:val="0"/>
              <w:spacing w:line="360" w:lineRule="auto"/>
              <w:jc w:val="both"/>
              <w:rPr>
                <w:rFonts w:ascii="Book Antiqua" w:hAnsi="Book Antiqua" w:cs="Arial"/>
                <w:b/>
                <w:bCs/>
                <w:lang w:val="en-GB"/>
              </w:rPr>
            </w:pPr>
            <w:r w:rsidRPr="007F6B31">
              <w:rPr>
                <w:rFonts w:ascii="Book Antiqua" w:hAnsi="Book Antiqua" w:cs="Arial"/>
                <w:b/>
                <w:bCs/>
                <w:lang w:val="en-GB"/>
              </w:rPr>
              <w:t>DBS</w:t>
            </w:r>
          </w:p>
        </w:tc>
        <w:tc>
          <w:tcPr>
            <w:tcW w:w="4536" w:type="dxa"/>
            <w:tcBorders>
              <w:top w:val="single" w:sz="4" w:space="0" w:color="auto"/>
              <w:bottom w:val="single" w:sz="4" w:space="0" w:color="auto"/>
            </w:tcBorders>
          </w:tcPr>
          <w:p w14:paraId="036377C2" w14:textId="2EB4263F" w:rsidR="00506DE3" w:rsidRPr="007F6B31" w:rsidRDefault="00506DE3" w:rsidP="001F2C55">
            <w:pPr>
              <w:pStyle w:val="a5"/>
              <w:snapToGrid w:val="0"/>
              <w:spacing w:line="360" w:lineRule="auto"/>
              <w:jc w:val="both"/>
              <w:rPr>
                <w:rFonts w:ascii="Book Antiqua" w:hAnsi="Book Antiqua" w:cs="Arial"/>
                <w:b/>
                <w:bCs/>
                <w:lang w:val="en-GB"/>
              </w:rPr>
            </w:pPr>
            <w:r w:rsidRPr="007F6B31">
              <w:rPr>
                <w:rFonts w:ascii="Book Antiqua" w:hAnsi="Book Antiqua" w:cs="Arial"/>
                <w:b/>
                <w:bCs/>
                <w:i/>
                <w:lang w:val="en-GB"/>
              </w:rPr>
              <w:t>L</w:t>
            </w:r>
            <w:r w:rsidR="00251DFB" w:rsidRPr="007F6B31">
              <w:rPr>
                <w:rFonts w:ascii="Book Antiqua" w:hAnsi="Book Antiqua" w:cs="Arial"/>
                <w:b/>
                <w:bCs/>
                <w:i/>
                <w:lang w:val="en-GB"/>
              </w:rPr>
              <w:t>IPA</w:t>
            </w:r>
            <w:r w:rsidRPr="007F6B31">
              <w:rPr>
                <w:rFonts w:ascii="Book Antiqua" w:hAnsi="Book Antiqua" w:cs="Arial"/>
                <w:b/>
                <w:bCs/>
                <w:lang w:val="en-GB"/>
              </w:rPr>
              <w:t xml:space="preserve"> variant</w:t>
            </w:r>
          </w:p>
        </w:tc>
        <w:tc>
          <w:tcPr>
            <w:tcW w:w="2268" w:type="dxa"/>
            <w:tcBorders>
              <w:top w:val="single" w:sz="4" w:space="0" w:color="auto"/>
              <w:bottom w:val="single" w:sz="4" w:space="0" w:color="auto"/>
            </w:tcBorders>
          </w:tcPr>
          <w:p w14:paraId="19F612B7" w14:textId="142A6373" w:rsidR="00506DE3" w:rsidRPr="007F6B31" w:rsidRDefault="00506DE3" w:rsidP="001F2C55">
            <w:pPr>
              <w:pStyle w:val="a5"/>
              <w:snapToGrid w:val="0"/>
              <w:spacing w:line="360" w:lineRule="auto"/>
              <w:jc w:val="both"/>
              <w:rPr>
                <w:rFonts w:ascii="Book Antiqua" w:hAnsi="Book Antiqua" w:cs="Arial"/>
                <w:b/>
                <w:bCs/>
                <w:lang w:val="en-GB"/>
              </w:rPr>
            </w:pPr>
            <w:r w:rsidRPr="007F6B31">
              <w:rPr>
                <w:rFonts w:ascii="Book Antiqua" w:hAnsi="Book Antiqua" w:cs="Arial"/>
                <w:b/>
                <w:bCs/>
                <w:lang w:val="en-GB"/>
              </w:rPr>
              <w:t>Genotype</w:t>
            </w:r>
          </w:p>
        </w:tc>
      </w:tr>
      <w:tr w:rsidR="00506DE3" w:rsidRPr="007F6B31" w14:paraId="33C8D86F" w14:textId="77777777" w:rsidTr="00674FCA">
        <w:tc>
          <w:tcPr>
            <w:tcW w:w="704" w:type="dxa"/>
            <w:tcBorders>
              <w:top w:val="single" w:sz="4" w:space="0" w:color="auto"/>
            </w:tcBorders>
          </w:tcPr>
          <w:p w14:paraId="4F7C206C" w14:textId="1D1FEAF4" w:rsidR="00506DE3" w:rsidRPr="007F6B31" w:rsidRDefault="00506DE3"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5</w:t>
            </w:r>
          </w:p>
        </w:tc>
        <w:tc>
          <w:tcPr>
            <w:tcW w:w="1134" w:type="dxa"/>
            <w:tcBorders>
              <w:top w:val="single" w:sz="4" w:space="0" w:color="auto"/>
            </w:tcBorders>
          </w:tcPr>
          <w:p w14:paraId="67F4A45A" w14:textId="13B5F349"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w:t>
            </w:r>
            <w:r w:rsidR="00506DE3" w:rsidRPr="007F6B31">
              <w:rPr>
                <w:rFonts w:ascii="Book Antiqua" w:hAnsi="Book Antiqua" w:cs="Arial"/>
                <w:lang w:val="en-GB"/>
              </w:rPr>
              <w:t>ale</w:t>
            </w:r>
          </w:p>
        </w:tc>
        <w:tc>
          <w:tcPr>
            <w:tcW w:w="992" w:type="dxa"/>
            <w:tcBorders>
              <w:top w:val="single" w:sz="4" w:space="0" w:color="auto"/>
            </w:tcBorders>
          </w:tcPr>
          <w:p w14:paraId="2F51F7B9" w14:textId="2F6F9B5B" w:rsidR="00506DE3" w:rsidRPr="007F6B31" w:rsidRDefault="00506DE3"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1.03</w:t>
            </w:r>
          </w:p>
        </w:tc>
        <w:tc>
          <w:tcPr>
            <w:tcW w:w="4536" w:type="dxa"/>
            <w:tcBorders>
              <w:top w:val="single" w:sz="4" w:space="0" w:color="auto"/>
            </w:tcBorders>
          </w:tcPr>
          <w:p w14:paraId="769944AD" w14:textId="05AF8ABF" w:rsidR="00506DE3" w:rsidRPr="007F6B31" w:rsidRDefault="00506DE3" w:rsidP="001F2C55">
            <w:pPr>
              <w:pStyle w:val="a5"/>
              <w:snapToGrid w:val="0"/>
              <w:spacing w:line="360" w:lineRule="auto"/>
              <w:jc w:val="both"/>
              <w:rPr>
                <w:rFonts w:ascii="Book Antiqua" w:hAnsi="Book Antiqua" w:cs="Arial"/>
                <w:lang w:val="en-GB"/>
              </w:rPr>
            </w:pPr>
            <w:r w:rsidRPr="007F6B31">
              <w:rPr>
                <w:rFonts w:ascii="Book Antiqua" w:hAnsi="Book Antiqua" w:cs="Arial"/>
                <w:bCs/>
                <w:lang w:val="en-GB"/>
              </w:rPr>
              <w:t xml:space="preserve">c.482del, </w:t>
            </w:r>
            <w:proofErr w:type="gramStart"/>
            <w:r w:rsidRPr="007F6B31">
              <w:rPr>
                <w:rFonts w:ascii="Book Antiqua" w:hAnsi="Book Antiqua" w:cs="Arial"/>
                <w:bCs/>
                <w:lang w:val="en-GB"/>
              </w:rPr>
              <w:t>p.Asn</w:t>
            </w:r>
            <w:proofErr w:type="gramEnd"/>
            <w:r w:rsidRPr="007F6B31">
              <w:rPr>
                <w:rFonts w:ascii="Book Antiqua" w:hAnsi="Book Antiqua" w:cs="Arial"/>
                <w:bCs/>
                <w:lang w:val="en-GB"/>
              </w:rPr>
              <w:t>161Ilefs*19</w:t>
            </w:r>
          </w:p>
        </w:tc>
        <w:tc>
          <w:tcPr>
            <w:tcW w:w="2268" w:type="dxa"/>
            <w:tcBorders>
              <w:top w:val="single" w:sz="4" w:space="0" w:color="auto"/>
            </w:tcBorders>
          </w:tcPr>
          <w:p w14:paraId="70ECA432" w14:textId="34AEA51A" w:rsidR="00506DE3" w:rsidRPr="007F6B31" w:rsidRDefault="009067E8"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Heterozygote</w:t>
            </w:r>
          </w:p>
        </w:tc>
      </w:tr>
      <w:tr w:rsidR="00506DE3" w:rsidRPr="007F6B31" w14:paraId="37B22EDC" w14:textId="77777777" w:rsidTr="00674FCA">
        <w:tc>
          <w:tcPr>
            <w:tcW w:w="704" w:type="dxa"/>
          </w:tcPr>
          <w:p w14:paraId="3B23FB22" w14:textId="665823CA"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7</w:t>
            </w:r>
          </w:p>
        </w:tc>
        <w:tc>
          <w:tcPr>
            <w:tcW w:w="1134" w:type="dxa"/>
          </w:tcPr>
          <w:p w14:paraId="6E6614E6" w14:textId="4642FCD4"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Male</w:t>
            </w:r>
          </w:p>
        </w:tc>
        <w:tc>
          <w:tcPr>
            <w:tcW w:w="992" w:type="dxa"/>
          </w:tcPr>
          <w:p w14:paraId="5D3CBBAE" w14:textId="037A066D"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0.34</w:t>
            </w:r>
          </w:p>
        </w:tc>
        <w:tc>
          <w:tcPr>
            <w:tcW w:w="4536" w:type="dxa"/>
          </w:tcPr>
          <w:p w14:paraId="7DF8F36D" w14:textId="7B552636"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bCs/>
                <w:lang w:val="en-GB"/>
              </w:rPr>
              <w:t xml:space="preserve">c.894G&gt;A, </w:t>
            </w:r>
            <w:proofErr w:type="gramStart"/>
            <w:r w:rsidRPr="007F6B31">
              <w:rPr>
                <w:rFonts w:ascii="Book Antiqua" w:hAnsi="Book Antiqua" w:cs="Arial"/>
                <w:bCs/>
                <w:lang w:val="en-GB"/>
              </w:rPr>
              <w:t>p.Gln</w:t>
            </w:r>
            <w:proofErr w:type="gramEnd"/>
            <w:r w:rsidRPr="007F6B31">
              <w:rPr>
                <w:rFonts w:ascii="Book Antiqua" w:hAnsi="Book Antiqua" w:cs="Arial"/>
                <w:bCs/>
                <w:lang w:val="en-GB"/>
              </w:rPr>
              <w:t>298Gln</w:t>
            </w:r>
          </w:p>
        </w:tc>
        <w:tc>
          <w:tcPr>
            <w:tcW w:w="2268" w:type="dxa"/>
          </w:tcPr>
          <w:p w14:paraId="529F880B" w14:textId="3C94C411"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Heterozygote</w:t>
            </w:r>
          </w:p>
        </w:tc>
      </w:tr>
      <w:tr w:rsidR="00506DE3" w:rsidRPr="007F6B31" w14:paraId="2A9C28AF" w14:textId="77777777" w:rsidTr="00674FCA">
        <w:tc>
          <w:tcPr>
            <w:tcW w:w="704" w:type="dxa"/>
          </w:tcPr>
          <w:p w14:paraId="49BC7F38" w14:textId="32329AD7"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9</w:t>
            </w:r>
          </w:p>
        </w:tc>
        <w:tc>
          <w:tcPr>
            <w:tcW w:w="1134" w:type="dxa"/>
          </w:tcPr>
          <w:p w14:paraId="5F696441" w14:textId="2DDF9456"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Female</w:t>
            </w:r>
          </w:p>
        </w:tc>
        <w:tc>
          <w:tcPr>
            <w:tcW w:w="992" w:type="dxa"/>
          </w:tcPr>
          <w:p w14:paraId="6937F471" w14:textId="7930D548"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1.33</w:t>
            </w:r>
          </w:p>
        </w:tc>
        <w:tc>
          <w:tcPr>
            <w:tcW w:w="4536" w:type="dxa"/>
          </w:tcPr>
          <w:p w14:paraId="22A9834C" w14:textId="09836132" w:rsidR="00506DE3" w:rsidRPr="007F6B31" w:rsidRDefault="00FC57D6"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WT</w:t>
            </w:r>
          </w:p>
        </w:tc>
        <w:tc>
          <w:tcPr>
            <w:tcW w:w="2268" w:type="dxa"/>
          </w:tcPr>
          <w:p w14:paraId="5C1EB1D5" w14:textId="631E5781"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Normal</w:t>
            </w:r>
          </w:p>
        </w:tc>
      </w:tr>
      <w:tr w:rsidR="00506DE3" w:rsidRPr="007F6B31" w14:paraId="52D65530" w14:textId="77777777" w:rsidTr="00674FCA">
        <w:tc>
          <w:tcPr>
            <w:tcW w:w="704" w:type="dxa"/>
          </w:tcPr>
          <w:p w14:paraId="43D17C2B" w14:textId="5F2F3AC5"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31</w:t>
            </w:r>
          </w:p>
        </w:tc>
        <w:tc>
          <w:tcPr>
            <w:tcW w:w="1134" w:type="dxa"/>
          </w:tcPr>
          <w:p w14:paraId="5695591C" w14:textId="77941A5F"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Male</w:t>
            </w:r>
          </w:p>
        </w:tc>
        <w:tc>
          <w:tcPr>
            <w:tcW w:w="992" w:type="dxa"/>
          </w:tcPr>
          <w:p w14:paraId="3A8858B2" w14:textId="34441769"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0.22</w:t>
            </w:r>
          </w:p>
        </w:tc>
        <w:tc>
          <w:tcPr>
            <w:tcW w:w="4536" w:type="dxa"/>
          </w:tcPr>
          <w:p w14:paraId="1BBF701F" w14:textId="07C4A0EE"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bCs/>
                <w:lang w:val="en-GB"/>
              </w:rPr>
              <w:t xml:space="preserve">c.894G&gt;A, </w:t>
            </w:r>
            <w:proofErr w:type="gramStart"/>
            <w:r w:rsidRPr="007F6B31">
              <w:rPr>
                <w:rFonts w:ascii="Book Antiqua" w:hAnsi="Book Antiqua" w:cs="Arial"/>
                <w:bCs/>
                <w:lang w:val="en-GB"/>
              </w:rPr>
              <w:t>p.Gln</w:t>
            </w:r>
            <w:proofErr w:type="gramEnd"/>
            <w:r w:rsidRPr="007F6B31">
              <w:rPr>
                <w:rFonts w:ascii="Book Antiqua" w:hAnsi="Book Antiqua" w:cs="Arial"/>
                <w:bCs/>
                <w:lang w:val="en-GB"/>
              </w:rPr>
              <w:t>298Gln</w:t>
            </w:r>
          </w:p>
        </w:tc>
        <w:tc>
          <w:tcPr>
            <w:tcW w:w="2268" w:type="dxa"/>
          </w:tcPr>
          <w:p w14:paraId="1A3D055E" w14:textId="4E8D5D1A"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Heterozygote</w:t>
            </w:r>
          </w:p>
        </w:tc>
      </w:tr>
      <w:tr w:rsidR="00506DE3" w:rsidRPr="007F6B31" w14:paraId="7057DF91" w14:textId="77777777" w:rsidTr="00674FCA">
        <w:tc>
          <w:tcPr>
            <w:tcW w:w="704" w:type="dxa"/>
          </w:tcPr>
          <w:p w14:paraId="07094A8B" w14:textId="060A01A5"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3</w:t>
            </w:r>
            <w:r w:rsidR="00CD4732" w:rsidRPr="007F6B31">
              <w:rPr>
                <w:rFonts w:ascii="Book Antiqua" w:hAnsi="Book Antiqua" w:cs="Arial"/>
                <w:lang w:val="en-GB"/>
              </w:rPr>
              <w:t>4</w:t>
            </w:r>
          </w:p>
          <w:p w14:paraId="038EF62C" w14:textId="65899BE5" w:rsidR="00CD4732" w:rsidRPr="007F6B31" w:rsidRDefault="00CD473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34</w:t>
            </w:r>
          </w:p>
        </w:tc>
        <w:tc>
          <w:tcPr>
            <w:tcW w:w="1134" w:type="dxa"/>
          </w:tcPr>
          <w:p w14:paraId="226D8D7A" w14:textId="77777777"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Male</w:t>
            </w:r>
          </w:p>
          <w:p w14:paraId="1E86A065" w14:textId="49C78727" w:rsidR="00CD4732" w:rsidRPr="007F6B31" w:rsidRDefault="00CD473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Male</w:t>
            </w:r>
          </w:p>
        </w:tc>
        <w:tc>
          <w:tcPr>
            <w:tcW w:w="992" w:type="dxa"/>
          </w:tcPr>
          <w:p w14:paraId="578FACF6" w14:textId="0C3D7793"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0.3</w:t>
            </w:r>
            <w:r w:rsidR="00FB18DC" w:rsidRPr="007F6B31">
              <w:rPr>
                <w:rFonts w:ascii="Book Antiqua" w:hAnsi="Book Antiqua" w:cs="Arial"/>
                <w:lang w:val="en-GB"/>
              </w:rPr>
              <w:t>7</w:t>
            </w:r>
          </w:p>
          <w:p w14:paraId="2DC41530" w14:textId="3FD7902C" w:rsidR="00CD4732" w:rsidRPr="007F6B31" w:rsidRDefault="00CD473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0.51</w:t>
            </w:r>
          </w:p>
        </w:tc>
        <w:tc>
          <w:tcPr>
            <w:tcW w:w="4536" w:type="dxa"/>
          </w:tcPr>
          <w:p w14:paraId="5422E1F1" w14:textId="77777777" w:rsidR="00506DE3" w:rsidRPr="007F6B31" w:rsidRDefault="00AE5B4E" w:rsidP="001F2C55">
            <w:pPr>
              <w:pStyle w:val="a5"/>
              <w:snapToGrid w:val="0"/>
              <w:spacing w:line="360" w:lineRule="auto"/>
              <w:jc w:val="both"/>
              <w:rPr>
                <w:rFonts w:ascii="Book Antiqua" w:hAnsi="Book Antiqua" w:cs="Arial"/>
                <w:bCs/>
                <w:lang w:val="da-DK"/>
              </w:rPr>
            </w:pPr>
            <w:r w:rsidRPr="007F6B31">
              <w:rPr>
                <w:rFonts w:ascii="Book Antiqua" w:hAnsi="Book Antiqua" w:cs="Arial"/>
                <w:bCs/>
                <w:lang w:val="da-DK"/>
              </w:rPr>
              <w:t>c.482del, p.Asn161Ilefs*19</w:t>
            </w:r>
          </w:p>
          <w:p w14:paraId="566DABC0" w14:textId="2FE7496E" w:rsidR="00CD4732" w:rsidRPr="007F6B31" w:rsidRDefault="00CD4732" w:rsidP="001F2C55">
            <w:pPr>
              <w:pStyle w:val="a5"/>
              <w:snapToGrid w:val="0"/>
              <w:spacing w:line="360" w:lineRule="auto"/>
              <w:jc w:val="both"/>
              <w:rPr>
                <w:rFonts w:ascii="Book Antiqua" w:hAnsi="Book Antiqua" w:cs="Arial"/>
                <w:bCs/>
                <w:lang w:val="da-DK"/>
              </w:rPr>
            </w:pPr>
            <w:r w:rsidRPr="007F6B31">
              <w:rPr>
                <w:rFonts w:ascii="Book Antiqua" w:hAnsi="Book Antiqua" w:cs="Arial"/>
                <w:bCs/>
                <w:lang w:val="da-DK"/>
              </w:rPr>
              <w:t>c.482del, p.Asn161Ilefs*19</w:t>
            </w:r>
          </w:p>
        </w:tc>
        <w:tc>
          <w:tcPr>
            <w:tcW w:w="2268" w:type="dxa"/>
          </w:tcPr>
          <w:p w14:paraId="6AAB6CB0" w14:textId="4D75922D"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Heterozygote</w:t>
            </w:r>
          </w:p>
          <w:p w14:paraId="4862D25F" w14:textId="6144A1D0" w:rsidR="00CD4732" w:rsidRPr="007F6B31" w:rsidRDefault="00CD473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Heterozygote</w:t>
            </w:r>
          </w:p>
        </w:tc>
      </w:tr>
    </w:tbl>
    <w:p w14:paraId="71FBFA8F" w14:textId="60CF43A4" w:rsidR="00A21109"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 xml:space="preserve">DBS: Dried </w:t>
      </w:r>
      <w:r w:rsidR="001F2C55" w:rsidRPr="007F6B31">
        <w:rPr>
          <w:rFonts w:ascii="Book Antiqua" w:hAnsi="Book Antiqua" w:cs="Arial"/>
          <w:lang w:val="en-GB"/>
        </w:rPr>
        <w:t xml:space="preserve">blood spot </w:t>
      </w:r>
      <w:r w:rsidR="00674FCA" w:rsidRPr="007F6B31">
        <w:rPr>
          <w:rFonts w:ascii="Book Antiqua" w:hAnsi="Book Antiqua" w:cs="Arial"/>
          <w:lang w:val="en-GB"/>
        </w:rPr>
        <w:t>nmol/</w:t>
      </w:r>
      <w:r w:rsidRPr="007F6B31">
        <w:rPr>
          <w:rFonts w:ascii="Book Antiqua" w:hAnsi="Book Antiqua" w:cs="Arial"/>
          <w:lang w:val="en-GB"/>
        </w:rPr>
        <w:t>punch</w:t>
      </w:r>
      <w:r w:rsidR="001F2C55" w:rsidRPr="007F6B31">
        <w:rPr>
          <w:rFonts w:ascii="Book Antiqua" w:hAnsi="Book Antiqua" w:cs="Arial"/>
          <w:lang w:val="en-GB"/>
        </w:rPr>
        <w:t xml:space="preserve"> per </w:t>
      </w:r>
      <w:r w:rsidRPr="007F6B31">
        <w:rPr>
          <w:rFonts w:ascii="Book Antiqua" w:hAnsi="Book Antiqua" w:cs="Arial"/>
          <w:lang w:val="en-GB"/>
        </w:rPr>
        <w:t>hour</w:t>
      </w:r>
      <w:r w:rsidR="00FC57D6" w:rsidRPr="007F6B31">
        <w:rPr>
          <w:rFonts w:ascii="Book Antiqua" w:hAnsi="Book Antiqua" w:cs="Arial"/>
          <w:lang w:val="en-GB"/>
        </w:rPr>
        <w:t>; WT: Wildtype</w:t>
      </w:r>
      <w:r w:rsidR="00B227A9" w:rsidRPr="007F6B31">
        <w:rPr>
          <w:rFonts w:ascii="Book Antiqua" w:hAnsi="Book Antiqua" w:cs="Arial"/>
          <w:lang w:val="en-GB"/>
        </w:rPr>
        <w:t>.</w:t>
      </w:r>
    </w:p>
    <w:p w14:paraId="5C9F5ADF" w14:textId="77777777" w:rsidR="00B227A9" w:rsidRPr="007F6B31" w:rsidRDefault="00B227A9" w:rsidP="001F2C55">
      <w:pPr>
        <w:snapToGrid w:val="0"/>
        <w:spacing w:after="0" w:line="360" w:lineRule="auto"/>
        <w:jc w:val="both"/>
        <w:rPr>
          <w:rFonts w:ascii="Book Antiqua" w:eastAsia="Times New Roman" w:hAnsi="Book Antiqua" w:cs="Arial"/>
          <w:bCs/>
          <w:sz w:val="24"/>
          <w:szCs w:val="24"/>
          <w:lang w:val="en-GB"/>
        </w:rPr>
      </w:pPr>
      <w:r w:rsidRPr="007F6B31">
        <w:rPr>
          <w:rFonts w:ascii="Book Antiqua" w:hAnsi="Book Antiqua" w:cs="Arial"/>
          <w:bCs/>
          <w:sz w:val="24"/>
          <w:szCs w:val="24"/>
          <w:lang w:val="en-GB"/>
        </w:rPr>
        <w:br w:type="page"/>
      </w:r>
    </w:p>
    <w:p w14:paraId="34597E4E" w14:textId="4AC62761" w:rsidR="000457D7" w:rsidRPr="007F6B31" w:rsidRDefault="00013616" w:rsidP="001F2C55">
      <w:pPr>
        <w:pStyle w:val="a5"/>
        <w:snapToGrid w:val="0"/>
        <w:spacing w:line="360" w:lineRule="auto"/>
        <w:jc w:val="both"/>
        <w:rPr>
          <w:rFonts w:ascii="Book Antiqua" w:hAnsi="Book Antiqua" w:cs="Arial"/>
          <w:b/>
          <w:lang w:val="en-GB"/>
        </w:rPr>
      </w:pPr>
      <w:r w:rsidRPr="007F6B31">
        <w:rPr>
          <w:rFonts w:ascii="Book Antiqua" w:hAnsi="Book Antiqua" w:cs="Arial"/>
          <w:b/>
          <w:lang w:val="en-GB"/>
        </w:rPr>
        <w:lastRenderedPageBreak/>
        <w:t xml:space="preserve">Table </w:t>
      </w:r>
      <w:r w:rsidR="00E61765" w:rsidRPr="007F6B31">
        <w:rPr>
          <w:rFonts w:ascii="Book Antiqua" w:hAnsi="Book Antiqua" w:cs="Arial"/>
          <w:b/>
          <w:lang w:val="en-GB"/>
        </w:rPr>
        <w:t>3</w:t>
      </w:r>
      <w:r w:rsidRPr="007F6B31">
        <w:rPr>
          <w:rFonts w:ascii="Book Antiqua" w:hAnsi="Book Antiqua" w:cs="Arial"/>
          <w:b/>
          <w:lang w:val="en-GB"/>
        </w:rPr>
        <w:t xml:space="preserve"> Analysis of </w:t>
      </w:r>
      <w:r w:rsidR="001E50D4" w:rsidRPr="007F6B31">
        <w:rPr>
          <w:rFonts w:ascii="Book Antiqua" w:hAnsi="Book Antiqua" w:cs="Arial"/>
          <w:b/>
        </w:rPr>
        <w:t>single nucleotide polymorphism</w:t>
      </w:r>
      <w:r w:rsidR="00CD50FF" w:rsidRPr="007F6B31">
        <w:rPr>
          <w:rFonts w:ascii="Book Antiqua" w:hAnsi="Book Antiqua" w:cs="Arial"/>
          <w:b/>
        </w:rPr>
        <w:t xml:space="preserve">s </w:t>
      </w:r>
      <w:r w:rsidRPr="007F6B31">
        <w:rPr>
          <w:rFonts w:ascii="Book Antiqua" w:hAnsi="Book Antiqua" w:cs="Arial"/>
          <w:b/>
          <w:lang w:val="en-GB"/>
        </w:rPr>
        <w:t xml:space="preserve">in family members </w:t>
      </w:r>
      <w:r w:rsidR="002D40C7" w:rsidRPr="007F6B31">
        <w:rPr>
          <w:rFonts w:ascii="Book Antiqua" w:hAnsi="Book Antiqua" w:cs="Arial"/>
          <w:b/>
          <w:lang w:val="en-GB"/>
        </w:rPr>
        <w:t xml:space="preserve">of </w:t>
      </w:r>
      <w:r w:rsidRPr="007F6B31">
        <w:rPr>
          <w:rFonts w:ascii="Book Antiqua" w:hAnsi="Book Antiqua" w:cs="Arial"/>
          <w:b/>
          <w:lang w:val="en-GB"/>
        </w:rPr>
        <w:t xml:space="preserve">patients with </w:t>
      </w:r>
      <w:r w:rsidR="00CD50FF" w:rsidRPr="007F6B31">
        <w:rPr>
          <w:rFonts w:ascii="Book Antiqua" w:hAnsi="Book Antiqua" w:cs="Arial"/>
          <w:b/>
          <w:shd w:val="clear" w:color="auto" w:fill="FFFFFF"/>
        </w:rPr>
        <w:t>cholesteryl ester storage disease</w:t>
      </w:r>
    </w:p>
    <w:tbl>
      <w:tblPr>
        <w:tblStyle w:val="ad"/>
        <w:tblW w:w="86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134"/>
        <w:gridCol w:w="3402"/>
        <w:gridCol w:w="3402"/>
      </w:tblGrid>
      <w:tr w:rsidR="00585E42" w:rsidRPr="007F6B31" w14:paraId="2D6F479E" w14:textId="77777777" w:rsidTr="00585E42">
        <w:tc>
          <w:tcPr>
            <w:tcW w:w="704" w:type="dxa"/>
            <w:tcBorders>
              <w:top w:val="single" w:sz="4" w:space="0" w:color="auto"/>
              <w:bottom w:val="single" w:sz="4" w:space="0" w:color="auto"/>
            </w:tcBorders>
          </w:tcPr>
          <w:p w14:paraId="064BDF91" w14:textId="77777777" w:rsidR="00585E42" w:rsidRPr="007F6B31" w:rsidRDefault="00585E42" w:rsidP="001F2C55">
            <w:pPr>
              <w:pStyle w:val="a5"/>
              <w:snapToGrid w:val="0"/>
              <w:spacing w:line="360" w:lineRule="auto"/>
              <w:jc w:val="both"/>
              <w:rPr>
                <w:rFonts w:ascii="Book Antiqua" w:hAnsi="Book Antiqua" w:cs="Arial"/>
                <w:b/>
                <w:lang w:val="en-GB"/>
              </w:rPr>
            </w:pPr>
            <w:r w:rsidRPr="007F6B31">
              <w:rPr>
                <w:rFonts w:ascii="Book Antiqua" w:hAnsi="Book Antiqua" w:cs="Arial"/>
                <w:b/>
                <w:lang w:val="en-GB"/>
              </w:rPr>
              <w:t>Age</w:t>
            </w:r>
          </w:p>
        </w:tc>
        <w:tc>
          <w:tcPr>
            <w:tcW w:w="1134" w:type="dxa"/>
            <w:tcBorders>
              <w:top w:val="single" w:sz="4" w:space="0" w:color="auto"/>
              <w:bottom w:val="single" w:sz="4" w:space="0" w:color="auto"/>
            </w:tcBorders>
          </w:tcPr>
          <w:p w14:paraId="27CC66D0" w14:textId="77777777" w:rsidR="00585E42" w:rsidRPr="007F6B31" w:rsidRDefault="00585E42" w:rsidP="001F2C55">
            <w:pPr>
              <w:pStyle w:val="a5"/>
              <w:snapToGrid w:val="0"/>
              <w:spacing w:line="360" w:lineRule="auto"/>
              <w:jc w:val="both"/>
              <w:rPr>
                <w:rFonts w:ascii="Book Antiqua" w:hAnsi="Book Antiqua" w:cs="Arial"/>
                <w:b/>
                <w:lang w:val="en-GB"/>
              </w:rPr>
            </w:pPr>
            <w:r w:rsidRPr="007F6B31">
              <w:rPr>
                <w:rFonts w:ascii="Book Antiqua" w:hAnsi="Book Antiqua" w:cs="Arial"/>
                <w:b/>
                <w:lang w:val="en-GB"/>
              </w:rPr>
              <w:t>Gender</w:t>
            </w:r>
          </w:p>
        </w:tc>
        <w:tc>
          <w:tcPr>
            <w:tcW w:w="3402" w:type="dxa"/>
            <w:tcBorders>
              <w:top w:val="single" w:sz="4" w:space="0" w:color="auto"/>
              <w:bottom w:val="single" w:sz="4" w:space="0" w:color="auto"/>
            </w:tcBorders>
          </w:tcPr>
          <w:p w14:paraId="42071A95" w14:textId="6DDD869A" w:rsidR="00585E42" w:rsidRPr="007F6B31" w:rsidRDefault="00585E42" w:rsidP="001F2C55">
            <w:pPr>
              <w:pStyle w:val="a5"/>
              <w:snapToGrid w:val="0"/>
              <w:spacing w:line="360" w:lineRule="auto"/>
              <w:jc w:val="both"/>
              <w:rPr>
                <w:rFonts w:ascii="Book Antiqua" w:hAnsi="Book Antiqua" w:cs="Arial"/>
                <w:b/>
                <w:lang w:val="en-GB"/>
              </w:rPr>
            </w:pPr>
            <w:r w:rsidRPr="007F6B31">
              <w:rPr>
                <w:rFonts w:ascii="Book Antiqua" w:hAnsi="Book Antiqua" w:cs="Arial"/>
                <w:b/>
                <w:lang w:val="en-GB"/>
              </w:rPr>
              <w:t>MBOAT7</w:t>
            </w:r>
          </w:p>
        </w:tc>
        <w:tc>
          <w:tcPr>
            <w:tcW w:w="3402" w:type="dxa"/>
            <w:tcBorders>
              <w:top w:val="single" w:sz="4" w:space="0" w:color="auto"/>
              <w:bottom w:val="single" w:sz="4" w:space="0" w:color="auto"/>
            </w:tcBorders>
          </w:tcPr>
          <w:p w14:paraId="2593AD62" w14:textId="0C18F4FE" w:rsidR="00585E42" w:rsidRPr="007F6B31" w:rsidRDefault="00585E42" w:rsidP="001F2C55">
            <w:pPr>
              <w:pStyle w:val="a5"/>
              <w:snapToGrid w:val="0"/>
              <w:spacing w:line="360" w:lineRule="auto"/>
              <w:jc w:val="both"/>
              <w:rPr>
                <w:rFonts w:ascii="Book Antiqua" w:hAnsi="Book Antiqua" w:cs="Arial"/>
                <w:b/>
                <w:lang w:val="en-GB"/>
              </w:rPr>
            </w:pPr>
            <w:r w:rsidRPr="007F6B31">
              <w:rPr>
                <w:rFonts w:ascii="Book Antiqua" w:hAnsi="Book Antiqua" w:cs="Arial"/>
                <w:b/>
                <w:lang w:val="en-GB"/>
              </w:rPr>
              <w:t>PNPLA3</w:t>
            </w:r>
          </w:p>
        </w:tc>
      </w:tr>
      <w:tr w:rsidR="00585E42" w:rsidRPr="007F6B31" w14:paraId="2D5FBDFD" w14:textId="77777777" w:rsidTr="00585E42">
        <w:tc>
          <w:tcPr>
            <w:tcW w:w="704" w:type="dxa"/>
            <w:tcBorders>
              <w:top w:val="single" w:sz="4" w:space="0" w:color="auto"/>
            </w:tcBorders>
          </w:tcPr>
          <w:p w14:paraId="211B4906" w14:textId="77777777"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5</w:t>
            </w:r>
          </w:p>
        </w:tc>
        <w:tc>
          <w:tcPr>
            <w:tcW w:w="1134" w:type="dxa"/>
            <w:tcBorders>
              <w:top w:val="single" w:sz="4" w:space="0" w:color="auto"/>
            </w:tcBorders>
          </w:tcPr>
          <w:p w14:paraId="2ECD2FBE" w14:textId="77777777"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Male</w:t>
            </w:r>
          </w:p>
        </w:tc>
        <w:tc>
          <w:tcPr>
            <w:tcW w:w="3402" w:type="dxa"/>
            <w:tcBorders>
              <w:top w:val="single" w:sz="4" w:space="0" w:color="auto"/>
            </w:tcBorders>
          </w:tcPr>
          <w:p w14:paraId="6291F5D9" w14:textId="3FCA4AAB" w:rsidR="00585E42" w:rsidRPr="007F6B31" w:rsidRDefault="00585E42" w:rsidP="001F2C55">
            <w:pPr>
              <w:pStyle w:val="xxmsonormal"/>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Rs641738 [C/T]; CT</w:t>
            </w:r>
          </w:p>
        </w:tc>
        <w:tc>
          <w:tcPr>
            <w:tcW w:w="3402" w:type="dxa"/>
            <w:tcBorders>
              <w:top w:val="single" w:sz="4" w:space="0" w:color="auto"/>
            </w:tcBorders>
          </w:tcPr>
          <w:p w14:paraId="1491831D" w14:textId="6C1D8F1A" w:rsidR="00585E42" w:rsidRPr="007F6B31" w:rsidRDefault="00585E42" w:rsidP="001F2C55">
            <w:pPr>
              <w:pStyle w:val="a5"/>
              <w:snapToGrid w:val="0"/>
              <w:spacing w:line="360" w:lineRule="auto"/>
              <w:jc w:val="both"/>
              <w:rPr>
                <w:rFonts w:ascii="Book Antiqua" w:hAnsi="Book Antiqua" w:cs="Arial"/>
                <w:lang w:val="en-GB"/>
              </w:rPr>
            </w:pPr>
          </w:p>
        </w:tc>
      </w:tr>
      <w:tr w:rsidR="00585E42" w:rsidRPr="007F6B31" w14:paraId="78599B24" w14:textId="77777777" w:rsidTr="00585E42">
        <w:tc>
          <w:tcPr>
            <w:tcW w:w="704" w:type="dxa"/>
          </w:tcPr>
          <w:p w14:paraId="4D084D34" w14:textId="77777777"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7</w:t>
            </w:r>
          </w:p>
        </w:tc>
        <w:tc>
          <w:tcPr>
            <w:tcW w:w="1134" w:type="dxa"/>
          </w:tcPr>
          <w:p w14:paraId="5286A9DE" w14:textId="77777777"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Male</w:t>
            </w:r>
          </w:p>
        </w:tc>
        <w:tc>
          <w:tcPr>
            <w:tcW w:w="3402" w:type="dxa"/>
          </w:tcPr>
          <w:p w14:paraId="220D75FD" w14:textId="7A67D37F"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Rs641738</w:t>
            </w:r>
            <w:r w:rsidR="004D1D6B" w:rsidRPr="007F6B31">
              <w:rPr>
                <w:rFonts w:ascii="Book Antiqua" w:hAnsi="Book Antiqua" w:cs="Arial"/>
                <w:lang w:val="en-GB"/>
              </w:rPr>
              <w:t xml:space="preserve"> </w:t>
            </w:r>
            <w:r w:rsidRPr="007F6B31">
              <w:rPr>
                <w:rFonts w:ascii="Book Antiqua" w:hAnsi="Book Antiqua" w:cs="Arial"/>
                <w:lang w:val="en-GB"/>
              </w:rPr>
              <w:t>[C/T]; CT</w:t>
            </w:r>
          </w:p>
        </w:tc>
        <w:tc>
          <w:tcPr>
            <w:tcW w:w="3402" w:type="dxa"/>
          </w:tcPr>
          <w:p w14:paraId="79742919" w14:textId="58ECAB9A" w:rsidR="00585E42" w:rsidRPr="007F6B31" w:rsidRDefault="00585E42" w:rsidP="001F2C55">
            <w:pPr>
              <w:pStyle w:val="a5"/>
              <w:snapToGrid w:val="0"/>
              <w:spacing w:line="360" w:lineRule="auto"/>
              <w:jc w:val="both"/>
              <w:rPr>
                <w:rFonts w:ascii="Book Antiqua" w:hAnsi="Book Antiqua" w:cs="Arial"/>
                <w:lang w:val="en-GB"/>
              </w:rPr>
            </w:pPr>
          </w:p>
        </w:tc>
      </w:tr>
      <w:tr w:rsidR="00585E42" w:rsidRPr="007F6B31" w14:paraId="6F1FEACE" w14:textId="77777777" w:rsidTr="00585E42">
        <w:tc>
          <w:tcPr>
            <w:tcW w:w="704" w:type="dxa"/>
          </w:tcPr>
          <w:p w14:paraId="20A1A60C" w14:textId="77777777"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9</w:t>
            </w:r>
          </w:p>
        </w:tc>
        <w:tc>
          <w:tcPr>
            <w:tcW w:w="1134" w:type="dxa"/>
          </w:tcPr>
          <w:p w14:paraId="746BD879" w14:textId="77777777"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Female</w:t>
            </w:r>
          </w:p>
        </w:tc>
        <w:tc>
          <w:tcPr>
            <w:tcW w:w="3402" w:type="dxa"/>
          </w:tcPr>
          <w:p w14:paraId="4128E45F" w14:textId="5B44D337" w:rsidR="00585E42" w:rsidRPr="007F6B31" w:rsidRDefault="00585E42" w:rsidP="001F2C55">
            <w:pPr>
              <w:pStyle w:val="xxmsonormal"/>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Rs641738</w:t>
            </w:r>
            <w:r w:rsidR="004D1D6B" w:rsidRPr="007F6B31">
              <w:rPr>
                <w:rFonts w:ascii="Book Antiqua" w:hAnsi="Book Antiqua" w:cs="Arial"/>
                <w:sz w:val="24"/>
                <w:szCs w:val="24"/>
                <w:lang w:val="en-GB"/>
              </w:rPr>
              <w:t xml:space="preserve"> </w:t>
            </w:r>
            <w:r w:rsidRPr="007F6B31">
              <w:rPr>
                <w:rFonts w:ascii="Book Antiqua" w:hAnsi="Book Antiqua" w:cs="Arial"/>
                <w:sz w:val="24"/>
                <w:szCs w:val="24"/>
                <w:lang w:val="en-GB"/>
              </w:rPr>
              <w:t>[C/T]; TT</w:t>
            </w:r>
          </w:p>
        </w:tc>
        <w:tc>
          <w:tcPr>
            <w:tcW w:w="3402" w:type="dxa"/>
          </w:tcPr>
          <w:p w14:paraId="58CDED92" w14:textId="701ACE4C" w:rsidR="00585E42" w:rsidRPr="007F6B31" w:rsidRDefault="00585E42" w:rsidP="001F2C55">
            <w:pPr>
              <w:pStyle w:val="a5"/>
              <w:snapToGrid w:val="0"/>
              <w:spacing w:line="360" w:lineRule="auto"/>
              <w:jc w:val="both"/>
              <w:rPr>
                <w:rFonts w:ascii="Book Antiqua" w:hAnsi="Book Antiqua" w:cs="Arial"/>
                <w:lang w:val="en-GB"/>
              </w:rPr>
            </w:pPr>
          </w:p>
        </w:tc>
      </w:tr>
      <w:tr w:rsidR="00585E42" w:rsidRPr="007F6B31" w14:paraId="60CB185A" w14:textId="77777777" w:rsidTr="00585E42">
        <w:tc>
          <w:tcPr>
            <w:tcW w:w="704" w:type="dxa"/>
          </w:tcPr>
          <w:p w14:paraId="2BE31C8B" w14:textId="77777777"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31</w:t>
            </w:r>
          </w:p>
          <w:p w14:paraId="367FC8D6" w14:textId="7849FEE4" w:rsidR="00CD4732" w:rsidRPr="007F6B31" w:rsidRDefault="00CD473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34</w:t>
            </w:r>
          </w:p>
        </w:tc>
        <w:tc>
          <w:tcPr>
            <w:tcW w:w="1134" w:type="dxa"/>
          </w:tcPr>
          <w:p w14:paraId="1105C816" w14:textId="77777777"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Male</w:t>
            </w:r>
          </w:p>
          <w:p w14:paraId="5F489813" w14:textId="3ADAA7DB" w:rsidR="00CD4732" w:rsidRPr="007F6B31" w:rsidRDefault="00CD473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Male</w:t>
            </w:r>
          </w:p>
        </w:tc>
        <w:tc>
          <w:tcPr>
            <w:tcW w:w="3402" w:type="dxa"/>
          </w:tcPr>
          <w:p w14:paraId="513D0FCF" w14:textId="7C29AC43"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Rs641738</w:t>
            </w:r>
            <w:r w:rsidR="004D1D6B" w:rsidRPr="007F6B31">
              <w:rPr>
                <w:rFonts w:ascii="Book Antiqua" w:hAnsi="Book Antiqua" w:cs="Arial"/>
                <w:lang w:val="en-GB"/>
              </w:rPr>
              <w:t xml:space="preserve"> </w:t>
            </w:r>
            <w:r w:rsidRPr="007F6B31">
              <w:rPr>
                <w:rFonts w:ascii="Book Antiqua" w:hAnsi="Book Antiqua" w:cs="Arial"/>
                <w:lang w:val="en-GB"/>
              </w:rPr>
              <w:t>[C/T]; CT</w:t>
            </w:r>
          </w:p>
          <w:p w14:paraId="18713F4E" w14:textId="65C293BA" w:rsidR="00CD4732" w:rsidRPr="007F6B31" w:rsidRDefault="00CD473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Rs641738</w:t>
            </w:r>
            <w:r w:rsidR="004D1D6B" w:rsidRPr="007F6B31">
              <w:rPr>
                <w:rFonts w:ascii="Book Antiqua" w:hAnsi="Book Antiqua" w:cs="Arial"/>
                <w:lang w:val="en-GB"/>
              </w:rPr>
              <w:t xml:space="preserve"> </w:t>
            </w:r>
            <w:r w:rsidRPr="007F6B31">
              <w:rPr>
                <w:rFonts w:ascii="Book Antiqua" w:hAnsi="Book Antiqua" w:cs="Arial"/>
                <w:lang w:val="en-GB"/>
              </w:rPr>
              <w:t>[C/T]; CT</w:t>
            </w:r>
          </w:p>
        </w:tc>
        <w:tc>
          <w:tcPr>
            <w:tcW w:w="3402" w:type="dxa"/>
          </w:tcPr>
          <w:p w14:paraId="73A458B3" w14:textId="685A9D2E"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Rs738409 [C/G]; CG</w:t>
            </w:r>
          </w:p>
          <w:p w14:paraId="4B9651C0" w14:textId="6B2E8B56" w:rsidR="00CD4732" w:rsidRPr="007F6B31" w:rsidRDefault="00CD4732" w:rsidP="001F2C55">
            <w:pPr>
              <w:pStyle w:val="a5"/>
              <w:snapToGrid w:val="0"/>
              <w:spacing w:line="360" w:lineRule="auto"/>
              <w:jc w:val="both"/>
              <w:rPr>
                <w:rFonts w:ascii="Book Antiqua" w:hAnsi="Book Antiqua" w:cs="Arial"/>
                <w:lang w:val="en-GB"/>
              </w:rPr>
            </w:pPr>
          </w:p>
        </w:tc>
      </w:tr>
      <w:tr w:rsidR="00585E42" w:rsidRPr="007F6B31" w14:paraId="740ECB50" w14:textId="77777777" w:rsidTr="00585E42">
        <w:tc>
          <w:tcPr>
            <w:tcW w:w="704" w:type="dxa"/>
          </w:tcPr>
          <w:p w14:paraId="6A721A39" w14:textId="46FB82C3"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34</w:t>
            </w:r>
            <w:r w:rsidR="00B227A9" w:rsidRPr="007F6B31">
              <w:rPr>
                <w:rFonts w:ascii="Book Antiqua" w:hAnsi="Book Antiqua" w:cs="Arial"/>
                <w:bCs/>
                <w:vertAlign w:val="superscript"/>
                <w:lang w:val="en-GB"/>
              </w:rPr>
              <w:t>1</w:t>
            </w:r>
          </w:p>
        </w:tc>
        <w:tc>
          <w:tcPr>
            <w:tcW w:w="1134" w:type="dxa"/>
          </w:tcPr>
          <w:p w14:paraId="3664DB44" w14:textId="77777777"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Male</w:t>
            </w:r>
          </w:p>
        </w:tc>
        <w:tc>
          <w:tcPr>
            <w:tcW w:w="3402" w:type="dxa"/>
          </w:tcPr>
          <w:p w14:paraId="6F2E6BE8" w14:textId="2D21035E" w:rsidR="00585E42" w:rsidRPr="007F6B31" w:rsidRDefault="00585E42" w:rsidP="001F2C55">
            <w:pPr>
              <w:pStyle w:val="a5"/>
              <w:snapToGrid w:val="0"/>
              <w:spacing w:line="360" w:lineRule="auto"/>
              <w:jc w:val="both"/>
              <w:rPr>
                <w:rFonts w:ascii="Book Antiqua" w:hAnsi="Book Antiqua" w:cs="Arial"/>
                <w:lang w:val="en-GB"/>
              </w:rPr>
            </w:pPr>
          </w:p>
        </w:tc>
        <w:tc>
          <w:tcPr>
            <w:tcW w:w="3402" w:type="dxa"/>
          </w:tcPr>
          <w:p w14:paraId="62EE891B" w14:textId="2ECB9FC4"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Rs738409 [C/G]; GG</w:t>
            </w:r>
          </w:p>
        </w:tc>
      </w:tr>
    </w:tbl>
    <w:p w14:paraId="5991967F" w14:textId="534ACA38" w:rsidR="00647829" w:rsidRPr="001F2C55" w:rsidRDefault="00B227A9" w:rsidP="001F2C55">
      <w:pPr>
        <w:snapToGrid w:val="0"/>
        <w:spacing w:after="0" w:line="360" w:lineRule="auto"/>
        <w:jc w:val="both"/>
        <w:rPr>
          <w:rFonts w:ascii="Book Antiqua" w:hAnsi="Book Antiqua" w:cs="Arial"/>
          <w:sz w:val="24"/>
          <w:szCs w:val="24"/>
          <w:lang w:val="en-GB"/>
        </w:rPr>
      </w:pPr>
      <w:r w:rsidRPr="007F6B31">
        <w:rPr>
          <w:rFonts w:ascii="Book Antiqua" w:hAnsi="Book Antiqua" w:cs="Arial"/>
          <w:bCs/>
          <w:sz w:val="24"/>
          <w:szCs w:val="24"/>
          <w:vertAlign w:val="superscript"/>
          <w:lang w:val="en-GB"/>
        </w:rPr>
        <w:t>1</w:t>
      </w:r>
      <w:r w:rsidR="00585E42" w:rsidRPr="007F6B31">
        <w:rPr>
          <w:rFonts w:ascii="Book Antiqua" w:hAnsi="Book Antiqua" w:cs="Arial"/>
          <w:bCs/>
          <w:sz w:val="24"/>
          <w:szCs w:val="24"/>
          <w:lang w:val="en-GB"/>
        </w:rPr>
        <w:t xml:space="preserve">The patient also had TM6SF2 </w:t>
      </w:r>
      <w:r w:rsidR="00585E42" w:rsidRPr="007F6B31">
        <w:rPr>
          <w:rFonts w:ascii="Book Antiqua" w:hAnsi="Book Antiqua" w:cs="Arial"/>
          <w:sz w:val="24"/>
          <w:szCs w:val="24"/>
          <w:lang w:val="en-GB"/>
        </w:rPr>
        <w:t>Rs58542926 [C/T]; CT</w:t>
      </w:r>
      <w:r w:rsidR="001F2C55" w:rsidRPr="007F6B31">
        <w:rPr>
          <w:rFonts w:ascii="Book Antiqua" w:hAnsi="Book Antiqua" w:cs="Arial"/>
          <w:sz w:val="24"/>
          <w:szCs w:val="24"/>
          <w:lang w:val="en-GB"/>
        </w:rPr>
        <w:t>.</w:t>
      </w:r>
    </w:p>
    <w:sectPr w:rsidR="00647829" w:rsidRPr="001F2C55" w:rsidSect="00721DF7">
      <w:headerReference w:type="default" r:id="rId9"/>
      <w:footerReference w:type="defaul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81C8" w14:textId="77777777" w:rsidR="002F6BD1" w:rsidRDefault="002F6BD1" w:rsidP="00E224E3">
      <w:pPr>
        <w:spacing w:after="0" w:line="240" w:lineRule="auto"/>
      </w:pPr>
      <w:r>
        <w:separator/>
      </w:r>
    </w:p>
  </w:endnote>
  <w:endnote w:type="continuationSeparator" w:id="0">
    <w:p w14:paraId="43F04765" w14:textId="77777777" w:rsidR="002F6BD1" w:rsidRDefault="002F6BD1" w:rsidP="00E2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96531"/>
      <w:docPartObj>
        <w:docPartGallery w:val="Page Numbers (Bottom of Page)"/>
        <w:docPartUnique/>
      </w:docPartObj>
    </w:sdtPr>
    <w:sdtEndPr/>
    <w:sdtContent>
      <w:p w14:paraId="58E21774" w14:textId="5196D406" w:rsidR="002F737B" w:rsidRDefault="002F737B">
        <w:pPr>
          <w:pStyle w:val="ab"/>
          <w:jc w:val="right"/>
        </w:pPr>
        <w:r>
          <w:fldChar w:fldCharType="begin"/>
        </w:r>
        <w:r>
          <w:instrText>PAGE   \* MERGEFORMAT</w:instrText>
        </w:r>
        <w:r>
          <w:fldChar w:fldCharType="separate"/>
        </w:r>
        <w:r>
          <w:t>2</w:t>
        </w:r>
        <w:r>
          <w:fldChar w:fldCharType="end"/>
        </w:r>
      </w:p>
    </w:sdtContent>
  </w:sdt>
  <w:p w14:paraId="158E5DEE" w14:textId="77777777" w:rsidR="002F737B" w:rsidRDefault="002F737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F4005" w14:textId="77777777" w:rsidR="002F6BD1" w:rsidRDefault="002F6BD1" w:rsidP="00E224E3">
      <w:pPr>
        <w:spacing w:after="0" w:line="240" w:lineRule="auto"/>
      </w:pPr>
      <w:r>
        <w:separator/>
      </w:r>
    </w:p>
  </w:footnote>
  <w:footnote w:type="continuationSeparator" w:id="0">
    <w:p w14:paraId="2658076F" w14:textId="77777777" w:rsidR="002F6BD1" w:rsidRDefault="002F6BD1" w:rsidP="00E22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E9AB" w14:textId="237F165A" w:rsidR="002F737B" w:rsidRPr="00721DF7" w:rsidRDefault="002F737B" w:rsidP="00721DF7">
    <w:pPr>
      <w:pStyle w:val="a9"/>
      <w:jc w:val="center"/>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F76F624"/>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17EAEACE"/>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36046424"/>
    <w:multiLevelType w:val="hybridMultilevel"/>
    <w:tmpl w:val="0EC0337A"/>
    <w:lvl w:ilvl="0" w:tplc="5D8E7C1C">
      <w:numFmt w:val="bullet"/>
      <w:lvlText w:val="•"/>
      <w:lvlJc w:val="left"/>
      <w:pPr>
        <w:ind w:left="314" w:hanging="207"/>
      </w:pPr>
      <w:rPr>
        <w:rFonts w:ascii="Georgia" w:eastAsia="Georgia" w:hAnsi="Georgia" w:cs="Georgia" w:hint="default"/>
        <w:w w:val="154"/>
        <w:sz w:val="24"/>
        <w:szCs w:val="24"/>
        <w:lang w:val="zh-CN" w:eastAsia="zh-CN" w:bidi="zh-CN"/>
      </w:rPr>
    </w:lvl>
    <w:lvl w:ilvl="1" w:tplc="B42A4A96">
      <w:numFmt w:val="bullet"/>
      <w:lvlText w:val="•"/>
      <w:lvlJc w:val="left"/>
      <w:pPr>
        <w:ind w:left="1222" w:hanging="207"/>
      </w:pPr>
      <w:rPr>
        <w:rFonts w:hint="default"/>
        <w:lang w:val="zh-CN" w:eastAsia="zh-CN" w:bidi="zh-CN"/>
      </w:rPr>
    </w:lvl>
    <w:lvl w:ilvl="2" w:tplc="F416BB8E">
      <w:numFmt w:val="bullet"/>
      <w:lvlText w:val="•"/>
      <w:lvlJc w:val="left"/>
      <w:pPr>
        <w:ind w:left="2124" w:hanging="207"/>
      </w:pPr>
      <w:rPr>
        <w:rFonts w:hint="default"/>
        <w:lang w:val="zh-CN" w:eastAsia="zh-CN" w:bidi="zh-CN"/>
      </w:rPr>
    </w:lvl>
    <w:lvl w:ilvl="3" w:tplc="DA64BB08">
      <w:numFmt w:val="bullet"/>
      <w:lvlText w:val="•"/>
      <w:lvlJc w:val="left"/>
      <w:pPr>
        <w:ind w:left="3026" w:hanging="207"/>
      </w:pPr>
      <w:rPr>
        <w:rFonts w:hint="default"/>
        <w:lang w:val="zh-CN" w:eastAsia="zh-CN" w:bidi="zh-CN"/>
      </w:rPr>
    </w:lvl>
    <w:lvl w:ilvl="4" w:tplc="90A8F0F6">
      <w:numFmt w:val="bullet"/>
      <w:lvlText w:val="•"/>
      <w:lvlJc w:val="left"/>
      <w:pPr>
        <w:ind w:left="3928" w:hanging="207"/>
      </w:pPr>
      <w:rPr>
        <w:rFonts w:hint="default"/>
        <w:lang w:val="zh-CN" w:eastAsia="zh-CN" w:bidi="zh-CN"/>
      </w:rPr>
    </w:lvl>
    <w:lvl w:ilvl="5" w:tplc="927AD008">
      <w:numFmt w:val="bullet"/>
      <w:lvlText w:val="•"/>
      <w:lvlJc w:val="left"/>
      <w:pPr>
        <w:ind w:left="4831" w:hanging="207"/>
      </w:pPr>
      <w:rPr>
        <w:rFonts w:hint="default"/>
        <w:lang w:val="zh-CN" w:eastAsia="zh-CN" w:bidi="zh-CN"/>
      </w:rPr>
    </w:lvl>
    <w:lvl w:ilvl="6" w:tplc="802482BC">
      <w:numFmt w:val="bullet"/>
      <w:lvlText w:val="•"/>
      <w:lvlJc w:val="left"/>
      <w:pPr>
        <w:ind w:left="5733" w:hanging="207"/>
      </w:pPr>
      <w:rPr>
        <w:rFonts w:hint="default"/>
        <w:lang w:val="zh-CN" w:eastAsia="zh-CN" w:bidi="zh-CN"/>
      </w:rPr>
    </w:lvl>
    <w:lvl w:ilvl="7" w:tplc="CBC02C5E">
      <w:numFmt w:val="bullet"/>
      <w:lvlText w:val="•"/>
      <w:lvlJc w:val="left"/>
      <w:pPr>
        <w:ind w:left="6635" w:hanging="207"/>
      </w:pPr>
      <w:rPr>
        <w:rFonts w:hint="default"/>
        <w:lang w:val="zh-CN" w:eastAsia="zh-CN" w:bidi="zh-CN"/>
      </w:rPr>
    </w:lvl>
    <w:lvl w:ilvl="8" w:tplc="68FABB16">
      <w:numFmt w:val="bullet"/>
      <w:lvlText w:val="•"/>
      <w:lvlJc w:val="left"/>
      <w:pPr>
        <w:ind w:left="7537" w:hanging="207"/>
      </w:pPr>
      <w:rPr>
        <w:rFonts w:hint="default"/>
        <w:lang w:val="zh-CN" w:eastAsia="zh-CN" w:bidi="zh-CN"/>
      </w:rPr>
    </w:lvl>
  </w:abstractNum>
  <w:abstractNum w:abstractNumId="3" w15:restartNumberingAfterBreak="0">
    <w:nsid w:val="45A503A6"/>
    <w:multiLevelType w:val="hybridMultilevel"/>
    <w:tmpl w:val="E3ACC7A2"/>
    <w:lvl w:ilvl="0" w:tplc="B27238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64"/>
    <w:rsid w:val="00003813"/>
    <w:rsid w:val="00010B22"/>
    <w:rsid w:val="00013616"/>
    <w:rsid w:val="00016AF5"/>
    <w:rsid w:val="00024769"/>
    <w:rsid w:val="00033F59"/>
    <w:rsid w:val="00034E93"/>
    <w:rsid w:val="000405A3"/>
    <w:rsid w:val="00041232"/>
    <w:rsid w:val="000457D7"/>
    <w:rsid w:val="00045910"/>
    <w:rsid w:val="00047FA1"/>
    <w:rsid w:val="00057250"/>
    <w:rsid w:val="00063035"/>
    <w:rsid w:val="000665D0"/>
    <w:rsid w:val="00072776"/>
    <w:rsid w:val="000729B9"/>
    <w:rsid w:val="0007375C"/>
    <w:rsid w:val="0008363A"/>
    <w:rsid w:val="00087337"/>
    <w:rsid w:val="00094F4E"/>
    <w:rsid w:val="00096DE1"/>
    <w:rsid w:val="000A46C3"/>
    <w:rsid w:val="000B38F1"/>
    <w:rsid w:val="000B56FB"/>
    <w:rsid w:val="000C1B17"/>
    <w:rsid w:val="000C4766"/>
    <w:rsid w:val="000D7430"/>
    <w:rsid w:val="000F0333"/>
    <w:rsid w:val="000F092B"/>
    <w:rsid w:val="00103664"/>
    <w:rsid w:val="00104207"/>
    <w:rsid w:val="0011205A"/>
    <w:rsid w:val="00113FAB"/>
    <w:rsid w:val="00116908"/>
    <w:rsid w:val="00116A10"/>
    <w:rsid w:val="00122743"/>
    <w:rsid w:val="001273B8"/>
    <w:rsid w:val="00135CA9"/>
    <w:rsid w:val="001373E8"/>
    <w:rsid w:val="001434B5"/>
    <w:rsid w:val="001510BC"/>
    <w:rsid w:val="00154269"/>
    <w:rsid w:val="00155A5D"/>
    <w:rsid w:val="00162627"/>
    <w:rsid w:val="001652F6"/>
    <w:rsid w:val="001662AE"/>
    <w:rsid w:val="00181A4E"/>
    <w:rsid w:val="001900EE"/>
    <w:rsid w:val="001A0324"/>
    <w:rsid w:val="001A0566"/>
    <w:rsid w:val="001A19CB"/>
    <w:rsid w:val="001B05DC"/>
    <w:rsid w:val="001B5106"/>
    <w:rsid w:val="001B6052"/>
    <w:rsid w:val="001C3FCB"/>
    <w:rsid w:val="001C7184"/>
    <w:rsid w:val="001C7AB9"/>
    <w:rsid w:val="001D3241"/>
    <w:rsid w:val="001D47C5"/>
    <w:rsid w:val="001D4DB7"/>
    <w:rsid w:val="001D5D28"/>
    <w:rsid w:val="001E1B5E"/>
    <w:rsid w:val="001E28D8"/>
    <w:rsid w:val="001E50D4"/>
    <w:rsid w:val="001F2C55"/>
    <w:rsid w:val="00210381"/>
    <w:rsid w:val="002132D0"/>
    <w:rsid w:val="0022040D"/>
    <w:rsid w:val="00221F48"/>
    <w:rsid w:val="00225324"/>
    <w:rsid w:val="002257AD"/>
    <w:rsid w:val="002464BA"/>
    <w:rsid w:val="00251DFB"/>
    <w:rsid w:val="00256E8C"/>
    <w:rsid w:val="002636F3"/>
    <w:rsid w:val="00271E75"/>
    <w:rsid w:val="0027291B"/>
    <w:rsid w:val="00276F4A"/>
    <w:rsid w:val="0027735B"/>
    <w:rsid w:val="002801DF"/>
    <w:rsid w:val="00282541"/>
    <w:rsid w:val="00283D9E"/>
    <w:rsid w:val="00286873"/>
    <w:rsid w:val="00286A56"/>
    <w:rsid w:val="00294832"/>
    <w:rsid w:val="00296125"/>
    <w:rsid w:val="002A0D35"/>
    <w:rsid w:val="002A1A68"/>
    <w:rsid w:val="002A20A2"/>
    <w:rsid w:val="002B4249"/>
    <w:rsid w:val="002B50B1"/>
    <w:rsid w:val="002C09A0"/>
    <w:rsid w:val="002C2EDF"/>
    <w:rsid w:val="002C5450"/>
    <w:rsid w:val="002C54F7"/>
    <w:rsid w:val="002D40C7"/>
    <w:rsid w:val="002E52A7"/>
    <w:rsid w:val="002F0124"/>
    <w:rsid w:val="002F6BD1"/>
    <w:rsid w:val="002F737B"/>
    <w:rsid w:val="002F7DD0"/>
    <w:rsid w:val="003051B5"/>
    <w:rsid w:val="0031277E"/>
    <w:rsid w:val="00326D6A"/>
    <w:rsid w:val="003446E7"/>
    <w:rsid w:val="003472F5"/>
    <w:rsid w:val="003478F2"/>
    <w:rsid w:val="00350917"/>
    <w:rsid w:val="00352C2F"/>
    <w:rsid w:val="003553A9"/>
    <w:rsid w:val="003612CD"/>
    <w:rsid w:val="00363A0B"/>
    <w:rsid w:val="00375895"/>
    <w:rsid w:val="003770BB"/>
    <w:rsid w:val="00377CA2"/>
    <w:rsid w:val="00397A5C"/>
    <w:rsid w:val="003A3EED"/>
    <w:rsid w:val="003A5A09"/>
    <w:rsid w:val="003A77B0"/>
    <w:rsid w:val="003B590B"/>
    <w:rsid w:val="003D3C39"/>
    <w:rsid w:val="003E353D"/>
    <w:rsid w:val="00414DFC"/>
    <w:rsid w:val="00425121"/>
    <w:rsid w:val="00426373"/>
    <w:rsid w:val="00427188"/>
    <w:rsid w:val="0043243B"/>
    <w:rsid w:val="004342D6"/>
    <w:rsid w:val="0043442E"/>
    <w:rsid w:val="004409B7"/>
    <w:rsid w:val="00444850"/>
    <w:rsid w:val="00444F4A"/>
    <w:rsid w:val="00447BD8"/>
    <w:rsid w:val="00451C2A"/>
    <w:rsid w:val="00454DC4"/>
    <w:rsid w:val="004627E6"/>
    <w:rsid w:val="00465468"/>
    <w:rsid w:val="0047011E"/>
    <w:rsid w:val="00472167"/>
    <w:rsid w:val="004725EC"/>
    <w:rsid w:val="004740E1"/>
    <w:rsid w:val="00492616"/>
    <w:rsid w:val="00493EFF"/>
    <w:rsid w:val="00494CDE"/>
    <w:rsid w:val="00497D42"/>
    <w:rsid w:val="004B3233"/>
    <w:rsid w:val="004C57CC"/>
    <w:rsid w:val="004C5E28"/>
    <w:rsid w:val="004D1D6B"/>
    <w:rsid w:val="004D33F5"/>
    <w:rsid w:val="004E1642"/>
    <w:rsid w:val="004F3F3A"/>
    <w:rsid w:val="004F433F"/>
    <w:rsid w:val="00506DE3"/>
    <w:rsid w:val="005173B0"/>
    <w:rsid w:val="00525337"/>
    <w:rsid w:val="00535F13"/>
    <w:rsid w:val="0054297F"/>
    <w:rsid w:val="00551D51"/>
    <w:rsid w:val="0055287D"/>
    <w:rsid w:val="00552C36"/>
    <w:rsid w:val="005552FB"/>
    <w:rsid w:val="005567CA"/>
    <w:rsid w:val="00556D40"/>
    <w:rsid w:val="00560771"/>
    <w:rsid w:val="005778E0"/>
    <w:rsid w:val="0058313B"/>
    <w:rsid w:val="00585E42"/>
    <w:rsid w:val="00591F98"/>
    <w:rsid w:val="005A11C7"/>
    <w:rsid w:val="005A6C50"/>
    <w:rsid w:val="005B270D"/>
    <w:rsid w:val="005C00D5"/>
    <w:rsid w:val="005C177D"/>
    <w:rsid w:val="005D09FC"/>
    <w:rsid w:val="005E2D6E"/>
    <w:rsid w:val="005E31BC"/>
    <w:rsid w:val="005E3ABA"/>
    <w:rsid w:val="005E6D84"/>
    <w:rsid w:val="005F1953"/>
    <w:rsid w:val="005F3697"/>
    <w:rsid w:val="005F42F3"/>
    <w:rsid w:val="005F5E7A"/>
    <w:rsid w:val="005F64CE"/>
    <w:rsid w:val="00607312"/>
    <w:rsid w:val="006123B2"/>
    <w:rsid w:val="006151BF"/>
    <w:rsid w:val="006277DA"/>
    <w:rsid w:val="006458ED"/>
    <w:rsid w:val="00647829"/>
    <w:rsid w:val="00673179"/>
    <w:rsid w:val="00674FCA"/>
    <w:rsid w:val="00677B17"/>
    <w:rsid w:val="00680889"/>
    <w:rsid w:val="00681D7C"/>
    <w:rsid w:val="00684924"/>
    <w:rsid w:val="00695FBD"/>
    <w:rsid w:val="006A160B"/>
    <w:rsid w:val="006A1D34"/>
    <w:rsid w:val="006B0258"/>
    <w:rsid w:val="006B6057"/>
    <w:rsid w:val="006C20FA"/>
    <w:rsid w:val="006D0088"/>
    <w:rsid w:val="006D38D5"/>
    <w:rsid w:val="006E110A"/>
    <w:rsid w:val="006E57B2"/>
    <w:rsid w:val="006E5DE3"/>
    <w:rsid w:val="006F06C9"/>
    <w:rsid w:val="006F4A8C"/>
    <w:rsid w:val="006F6CE8"/>
    <w:rsid w:val="0070287D"/>
    <w:rsid w:val="00702C6F"/>
    <w:rsid w:val="007039AF"/>
    <w:rsid w:val="00710FAC"/>
    <w:rsid w:val="00721DF7"/>
    <w:rsid w:val="00724FCA"/>
    <w:rsid w:val="00734535"/>
    <w:rsid w:val="00745675"/>
    <w:rsid w:val="007514BF"/>
    <w:rsid w:val="007528C7"/>
    <w:rsid w:val="0075296A"/>
    <w:rsid w:val="007611A0"/>
    <w:rsid w:val="007635DD"/>
    <w:rsid w:val="00767440"/>
    <w:rsid w:val="00767E87"/>
    <w:rsid w:val="0077079E"/>
    <w:rsid w:val="00773BD7"/>
    <w:rsid w:val="007770CF"/>
    <w:rsid w:val="0078655D"/>
    <w:rsid w:val="00794AA8"/>
    <w:rsid w:val="00797458"/>
    <w:rsid w:val="007A2B5A"/>
    <w:rsid w:val="007A4FC1"/>
    <w:rsid w:val="007D4328"/>
    <w:rsid w:val="007D44FF"/>
    <w:rsid w:val="007E4401"/>
    <w:rsid w:val="007E459A"/>
    <w:rsid w:val="007F6B31"/>
    <w:rsid w:val="00801EA5"/>
    <w:rsid w:val="00804B77"/>
    <w:rsid w:val="0080524D"/>
    <w:rsid w:val="00810D28"/>
    <w:rsid w:val="0081260A"/>
    <w:rsid w:val="00814098"/>
    <w:rsid w:val="00815F0F"/>
    <w:rsid w:val="0082164D"/>
    <w:rsid w:val="00822181"/>
    <w:rsid w:val="00822BAF"/>
    <w:rsid w:val="00827530"/>
    <w:rsid w:val="008536ED"/>
    <w:rsid w:val="00856768"/>
    <w:rsid w:val="00857875"/>
    <w:rsid w:val="00857B41"/>
    <w:rsid w:val="008602CE"/>
    <w:rsid w:val="00863698"/>
    <w:rsid w:val="00863F6E"/>
    <w:rsid w:val="00870E70"/>
    <w:rsid w:val="00872602"/>
    <w:rsid w:val="00874122"/>
    <w:rsid w:val="00876E11"/>
    <w:rsid w:val="00885F26"/>
    <w:rsid w:val="008B40A2"/>
    <w:rsid w:val="008B661E"/>
    <w:rsid w:val="008C29F9"/>
    <w:rsid w:val="008C5B89"/>
    <w:rsid w:val="008D11DB"/>
    <w:rsid w:val="008E600F"/>
    <w:rsid w:val="008F21DB"/>
    <w:rsid w:val="008F37C3"/>
    <w:rsid w:val="009067E8"/>
    <w:rsid w:val="00917E37"/>
    <w:rsid w:val="0093354F"/>
    <w:rsid w:val="009426AF"/>
    <w:rsid w:val="00953FC8"/>
    <w:rsid w:val="00961EEC"/>
    <w:rsid w:val="009634C9"/>
    <w:rsid w:val="0096449C"/>
    <w:rsid w:val="009709D2"/>
    <w:rsid w:val="00973769"/>
    <w:rsid w:val="00993D60"/>
    <w:rsid w:val="00996F55"/>
    <w:rsid w:val="009973F6"/>
    <w:rsid w:val="009A15DB"/>
    <w:rsid w:val="009A1F8A"/>
    <w:rsid w:val="009A77E6"/>
    <w:rsid w:val="009C3084"/>
    <w:rsid w:val="009C7A30"/>
    <w:rsid w:val="009D360B"/>
    <w:rsid w:val="009D4F12"/>
    <w:rsid w:val="009D71D5"/>
    <w:rsid w:val="009E211C"/>
    <w:rsid w:val="009E37EC"/>
    <w:rsid w:val="009E67DE"/>
    <w:rsid w:val="009F2ABD"/>
    <w:rsid w:val="009F5A23"/>
    <w:rsid w:val="00A01AF7"/>
    <w:rsid w:val="00A077B9"/>
    <w:rsid w:val="00A10EEF"/>
    <w:rsid w:val="00A11ADC"/>
    <w:rsid w:val="00A12E93"/>
    <w:rsid w:val="00A14AAC"/>
    <w:rsid w:val="00A1681D"/>
    <w:rsid w:val="00A21109"/>
    <w:rsid w:val="00A34AD9"/>
    <w:rsid w:val="00A41759"/>
    <w:rsid w:val="00A4216F"/>
    <w:rsid w:val="00A437A1"/>
    <w:rsid w:val="00A61591"/>
    <w:rsid w:val="00A635B8"/>
    <w:rsid w:val="00A63A55"/>
    <w:rsid w:val="00A66D1C"/>
    <w:rsid w:val="00A73823"/>
    <w:rsid w:val="00A80D1A"/>
    <w:rsid w:val="00A97A50"/>
    <w:rsid w:val="00AB45C4"/>
    <w:rsid w:val="00AB58F5"/>
    <w:rsid w:val="00AC008B"/>
    <w:rsid w:val="00AC3178"/>
    <w:rsid w:val="00AC3A98"/>
    <w:rsid w:val="00AE0695"/>
    <w:rsid w:val="00AE5B4E"/>
    <w:rsid w:val="00AF074A"/>
    <w:rsid w:val="00AF12F1"/>
    <w:rsid w:val="00B00339"/>
    <w:rsid w:val="00B204E4"/>
    <w:rsid w:val="00B21192"/>
    <w:rsid w:val="00B227A9"/>
    <w:rsid w:val="00B25B7B"/>
    <w:rsid w:val="00B26D43"/>
    <w:rsid w:val="00B30A9A"/>
    <w:rsid w:val="00B31E93"/>
    <w:rsid w:val="00B40D3A"/>
    <w:rsid w:val="00B42869"/>
    <w:rsid w:val="00B507F1"/>
    <w:rsid w:val="00B5371E"/>
    <w:rsid w:val="00B55430"/>
    <w:rsid w:val="00B57300"/>
    <w:rsid w:val="00B65EE1"/>
    <w:rsid w:val="00B81444"/>
    <w:rsid w:val="00B86527"/>
    <w:rsid w:val="00B8696F"/>
    <w:rsid w:val="00B91CC7"/>
    <w:rsid w:val="00B92B91"/>
    <w:rsid w:val="00B9313E"/>
    <w:rsid w:val="00BA1567"/>
    <w:rsid w:val="00BA2400"/>
    <w:rsid w:val="00BB61F7"/>
    <w:rsid w:val="00BC2947"/>
    <w:rsid w:val="00BC3ED4"/>
    <w:rsid w:val="00BC4A53"/>
    <w:rsid w:val="00BD0D0F"/>
    <w:rsid w:val="00BD7AF6"/>
    <w:rsid w:val="00BE3883"/>
    <w:rsid w:val="00BE496B"/>
    <w:rsid w:val="00BE5D54"/>
    <w:rsid w:val="00BF4C01"/>
    <w:rsid w:val="00BF6F97"/>
    <w:rsid w:val="00C033AD"/>
    <w:rsid w:val="00C10491"/>
    <w:rsid w:val="00C21CDD"/>
    <w:rsid w:val="00C25EBC"/>
    <w:rsid w:val="00C26DEE"/>
    <w:rsid w:val="00C327F4"/>
    <w:rsid w:val="00C3335E"/>
    <w:rsid w:val="00C36B61"/>
    <w:rsid w:val="00C42300"/>
    <w:rsid w:val="00C60228"/>
    <w:rsid w:val="00C62A00"/>
    <w:rsid w:val="00C63789"/>
    <w:rsid w:val="00C64FCF"/>
    <w:rsid w:val="00C751C7"/>
    <w:rsid w:val="00C815CF"/>
    <w:rsid w:val="00C82F73"/>
    <w:rsid w:val="00C86ACA"/>
    <w:rsid w:val="00C91365"/>
    <w:rsid w:val="00C92A54"/>
    <w:rsid w:val="00C97162"/>
    <w:rsid w:val="00CA14ED"/>
    <w:rsid w:val="00CA3914"/>
    <w:rsid w:val="00CA41FE"/>
    <w:rsid w:val="00CA6F16"/>
    <w:rsid w:val="00CB24AF"/>
    <w:rsid w:val="00CB534A"/>
    <w:rsid w:val="00CC6B64"/>
    <w:rsid w:val="00CD01DC"/>
    <w:rsid w:val="00CD4732"/>
    <w:rsid w:val="00CD50FF"/>
    <w:rsid w:val="00CE52FE"/>
    <w:rsid w:val="00CE7C17"/>
    <w:rsid w:val="00CF10AA"/>
    <w:rsid w:val="00CF24F4"/>
    <w:rsid w:val="00CF4FB5"/>
    <w:rsid w:val="00D16605"/>
    <w:rsid w:val="00D1734F"/>
    <w:rsid w:val="00D22558"/>
    <w:rsid w:val="00D24596"/>
    <w:rsid w:val="00D3402F"/>
    <w:rsid w:val="00D432E1"/>
    <w:rsid w:val="00D52970"/>
    <w:rsid w:val="00D54631"/>
    <w:rsid w:val="00D64498"/>
    <w:rsid w:val="00D70A7D"/>
    <w:rsid w:val="00D71213"/>
    <w:rsid w:val="00D770F3"/>
    <w:rsid w:val="00D84185"/>
    <w:rsid w:val="00D84845"/>
    <w:rsid w:val="00D86140"/>
    <w:rsid w:val="00D927A4"/>
    <w:rsid w:val="00D975BA"/>
    <w:rsid w:val="00DA0A07"/>
    <w:rsid w:val="00DA67AD"/>
    <w:rsid w:val="00DA6E7E"/>
    <w:rsid w:val="00DA7448"/>
    <w:rsid w:val="00DB09DE"/>
    <w:rsid w:val="00DB12C0"/>
    <w:rsid w:val="00DB18B0"/>
    <w:rsid w:val="00DB4EEB"/>
    <w:rsid w:val="00DB750D"/>
    <w:rsid w:val="00DB788C"/>
    <w:rsid w:val="00DC2230"/>
    <w:rsid w:val="00DC5234"/>
    <w:rsid w:val="00DD11A3"/>
    <w:rsid w:val="00DE30D0"/>
    <w:rsid w:val="00DE3904"/>
    <w:rsid w:val="00DE525D"/>
    <w:rsid w:val="00DF0667"/>
    <w:rsid w:val="00DF2808"/>
    <w:rsid w:val="00DF75DB"/>
    <w:rsid w:val="00DF765E"/>
    <w:rsid w:val="00E0219F"/>
    <w:rsid w:val="00E10EE2"/>
    <w:rsid w:val="00E1208E"/>
    <w:rsid w:val="00E169CA"/>
    <w:rsid w:val="00E205D7"/>
    <w:rsid w:val="00E211EB"/>
    <w:rsid w:val="00E224E3"/>
    <w:rsid w:val="00E22C91"/>
    <w:rsid w:val="00E2572E"/>
    <w:rsid w:val="00E30284"/>
    <w:rsid w:val="00E30AAA"/>
    <w:rsid w:val="00E3219A"/>
    <w:rsid w:val="00E33E9E"/>
    <w:rsid w:val="00E37F59"/>
    <w:rsid w:val="00E442A4"/>
    <w:rsid w:val="00E473C3"/>
    <w:rsid w:val="00E61765"/>
    <w:rsid w:val="00E63A39"/>
    <w:rsid w:val="00E64D38"/>
    <w:rsid w:val="00E64D8A"/>
    <w:rsid w:val="00E67271"/>
    <w:rsid w:val="00E72566"/>
    <w:rsid w:val="00E7672F"/>
    <w:rsid w:val="00E80208"/>
    <w:rsid w:val="00E9221E"/>
    <w:rsid w:val="00EA1652"/>
    <w:rsid w:val="00EA5034"/>
    <w:rsid w:val="00EA6355"/>
    <w:rsid w:val="00EA71CC"/>
    <w:rsid w:val="00EB1344"/>
    <w:rsid w:val="00EB2BEF"/>
    <w:rsid w:val="00EC227D"/>
    <w:rsid w:val="00EC38DC"/>
    <w:rsid w:val="00EC64C8"/>
    <w:rsid w:val="00ED1B45"/>
    <w:rsid w:val="00ED2414"/>
    <w:rsid w:val="00ED6C67"/>
    <w:rsid w:val="00F10F97"/>
    <w:rsid w:val="00F1273D"/>
    <w:rsid w:val="00F1641C"/>
    <w:rsid w:val="00F208F7"/>
    <w:rsid w:val="00F215A5"/>
    <w:rsid w:val="00F230C1"/>
    <w:rsid w:val="00F256DC"/>
    <w:rsid w:val="00F4074A"/>
    <w:rsid w:val="00F46797"/>
    <w:rsid w:val="00F47784"/>
    <w:rsid w:val="00F5456C"/>
    <w:rsid w:val="00F575BD"/>
    <w:rsid w:val="00F57E49"/>
    <w:rsid w:val="00F63459"/>
    <w:rsid w:val="00F73E5D"/>
    <w:rsid w:val="00F770C8"/>
    <w:rsid w:val="00F81711"/>
    <w:rsid w:val="00F85662"/>
    <w:rsid w:val="00F87548"/>
    <w:rsid w:val="00FA0336"/>
    <w:rsid w:val="00FA163E"/>
    <w:rsid w:val="00FA4F74"/>
    <w:rsid w:val="00FA6A1A"/>
    <w:rsid w:val="00FB18DC"/>
    <w:rsid w:val="00FB6DC8"/>
    <w:rsid w:val="00FC1708"/>
    <w:rsid w:val="00FC51F4"/>
    <w:rsid w:val="00FC544B"/>
    <w:rsid w:val="00FC57D6"/>
    <w:rsid w:val="00FD1214"/>
    <w:rsid w:val="00FD436C"/>
    <w:rsid w:val="00FE24BE"/>
    <w:rsid w:val="00FF0105"/>
    <w:rsid w:val="00FF09B4"/>
    <w:rsid w:val="00FF434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BCD9D"/>
  <w15:chartTrackingRefBased/>
  <w15:docId w15:val="{C93470F4-B318-4D3F-B9B0-465063D5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E224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
    <w:unhideWhenUsed/>
    <w:qFormat/>
    <w:rsid w:val="00CA14ED"/>
    <w:pPr>
      <w:keepNext/>
      <w:keepLines/>
      <w:spacing w:before="120" w:after="120" w:line="480" w:lineRule="auto"/>
      <w:outlineLvl w:val="1"/>
    </w:pPr>
    <w:rPr>
      <w:rFonts w:ascii="Arial" w:eastAsiaTheme="majorEastAsia" w:hAnsi="Arial" w:cstheme="majorBidi"/>
      <w:color w:val="000000" w:themeColor="text1"/>
      <w:sz w:val="28"/>
      <w:szCs w:val="26"/>
    </w:rPr>
  </w:style>
  <w:style w:type="paragraph" w:styleId="3">
    <w:name w:val="heading 3"/>
    <w:basedOn w:val="a1"/>
    <w:next w:val="a1"/>
    <w:link w:val="30"/>
    <w:uiPriority w:val="9"/>
    <w:semiHidden/>
    <w:unhideWhenUsed/>
    <w:qFormat/>
    <w:rsid w:val="00E224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ableParagraph">
    <w:name w:val="Table Paragraph"/>
    <w:basedOn w:val="a1"/>
    <w:uiPriority w:val="1"/>
    <w:qFormat/>
    <w:rsid w:val="00CC6B64"/>
    <w:pPr>
      <w:widowControl w:val="0"/>
      <w:autoSpaceDE w:val="0"/>
      <w:autoSpaceDN w:val="0"/>
      <w:spacing w:before="1" w:after="0" w:line="240" w:lineRule="auto"/>
      <w:ind w:left="107"/>
    </w:pPr>
    <w:rPr>
      <w:rFonts w:ascii="Georgia" w:eastAsia="Georgia" w:hAnsi="Georgia" w:cs="Georgia"/>
      <w:lang w:val="zh-CN" w:eastAsia="zh-CN" w:bidi="zh-CN"/>
    </w:rPr>
  </w:style>
  <w:style w:type="table" w:customStyle="1" w:styleId="TableNormal1">
    <w:name w:val="Table Normal1"/>
    <w:uiPriority w:val="2"/>
    <w:semiHidden/>
    <w:unhideWhenUsed/>
    <w:qFormat/>
    <w:rsid w:val="00CC6B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1"/>
    <w:link w:val="a6"/>
    <w:uiPriority w:val="1"/>
    <w:qFormat/>
    <w:rsid w:val="00F5456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6">
    <w:name w:val="正文文本 字符"/>
    <w:basedOn w:val="a2"/>
    <w:link w:val="a5"/>
    <w:uiPriority w:val="1"/>
    <w:rsid w:val="00F5456C"/>
    <w:rPr>
      <w:rFonts w:ascii="Times New Roman" w:eastAsia="Times New Roman" w:hAnsi="Times New Roman" w:cs="Times New Roman"/>
      <w:sz w:val="24"/>
      <w:szCs w:val="24"/>
      <w:lang w:val="en-US"/>
    </w:rPr>
  </w:style>
  <w:style w:type="character" w:styleId="a7">
    <w:name w:val="Hyperlink"/>
    <w:basedOn w:val="a2"/>
    <w:uiPriority w:val="99"/>
    <w:unhideWhenUsed/>
    <w:rsid w:val="00560771"/>
    <w:rPr>
      <w:color w:val="0563C1" w:themeColor="hyperlink"/>
      <w:u w:val="single"/>
    </w:rPr>
  </w:style>
  <w:style w:type="character" w:styleId="a8">
    <w:name w:val="Unresolved Mention"/>
    <w:basedOn w:val="a2"/>
    <w:uiPriority w:val="99"/>
    <w:semiHidden/>
    <w:unhideWhenUsed/>
    <w:rsid w:val="00560771"/>
    <w:rPr>
      <w:color w:val="605E5C"/>
      <w:shd w:val="clear" w:color="auto" w:fill="E1DFDD"/>
    </w:rPr>
  </w:style>
  <w:style w:type="paragraph" w:customStyle="1" w:styleId="xxmsonormal">
    <w:name w:val="x_x_msonormal"/>
    <w:basedOn w:val="a1"/>
    <w:rsid w:val="00734535"/>
    <w:pPr>
      <w:spacing w:after="0" w:line="240" w:lineRule="auto"/>
    </w:pPr>
    <w:rPr>
      <w:rFonts w:ascii="Calibri" w:eastAsiaTheme="minorHAnsi" w:hAnsi="Calibri" w:cs="Times New Roman"/>
      <w:lang w:eastAsia="da-DK"/>
    </w:rPr>
  </w:style>
  <w:style w:type="paragraph" w:styleId="a0">
    <w:name w:val="List Bullet"/>
    <w:basedOn w:val="a1"/>
    <w:uiPriority w:val="99"/>
    <w:semiHidden/>
    <w:unhideWhenUsed/>
    <w:rsid w:val="00E224E3"/>
    <w:pPr>
      <w:numPr>
        <w:numId w:val="2"/>
      </w:numPr>
      <w:contextualSpacing/>
    </w:pPr>
  </w:style>
  <w:style w:type="paragraph" w:styleId="a">
    <w:name w:val="List Number"/>
    <w:basedOn w:val="a1"/>
    <w:uiPriority w:val="99"/>
    <w:semiHidden/>
    <w:unhideWhenUsed/>
    <w:rsid w:val="00E224E3"/>
    <w:pPr>
      <w:numPr>
        <w:numId w:val="3"/>
      </w:numPr>
      <w:contextualSpacing/>
    </w:pPr>
  </w:style>
  <w:style w:type="character" w:customStyle="1" w:styleId="10">
    <w:name w:val="标题 1 字符"/>
    <w:basedOn w:val="a2"/>
    <w:link w:val="1"/>
    <w:uiPriority w:val="9"/>
    <w:rsid w:val="00E224E3"/>
    <w:rPr>
      <w:rFonts w:asciiTheme="majorHAnsi" w:eastAsiaTheme="majorEastAsia" w:hAnsiTheme="majorHAnsi" w:cstheme="majorBidi"/>
      <w:color w:val="2F5496" w:themeColor="accent1" w:themeShade="BF"/>
      <w:sz w:val="32"/>
      <w:szCs w:val="32"/>
    </w:rPr>
  </w:style>
  <w:style w:type="character" w:customStyle="1" w:styleId="20">
    <w:name w:val="标题 2 字符"/>
    <w:basedOn w:val="a2"/>
    <w:link w:val="2"/>
    <w:uiPriority w:val="9"/>
    <w:rsid w:val="00CA14ED"/>
    <w:rPr>
      <w:rFonts w:ascii="Arial" w:eastAsiaTheme="majorEastAsia" w:hAnsi="Arial" w:cstheme="majorBidi"/>
      <w:color w:val="000000" w:themeColor="text1"/>
      <w:sz w:val="28"/>
      <w:szCs w:val="26"/>
    </w:rPr>
  </w:style>
  <w:style w:type="character" w:customStyle="1" w:styleId="30">
    <w:name w:val="标题 3 字符"/>
    <w:basedOn w:val="a2"/>
    <w:link w:val="3"/>
    <w:uiPriority w:val="9"/>
    <w:semiHidden/>
    <w:rsid w:val="00E224E3"/>
    <w:rPr>
      <w:rFonts w:asciiTheme="majorHAnsi" w:eastAsiaTheme="majorEastAsia" w:hAnsiTheme="majorHAnsi" w:cstheme="majorBidi"/>
      <w:color w:val="1F3763" w:themeColor="accent1" w:themeShade="7F"/>
      <w:sz w:val="24"/>
      <w:szCs w:val="24"/>
    </w:rPr>
  </w:style>
  <w:style w:type="paragraph" w:styleId="a9">
    <w:name w:val="header"/>
    <w:basedOn w:val="a1"/>
    <w:link w:val="aa"/>
    <w:uiPriority w:val="99"/>
    <w:unhideWhenUsed/>
    <w:rsid w:val="00E224E3"/>
    <w:pPr>
      <w:tabs>
        <w:tab w:val="center" w:pos="4819"/>
        <w:tab w:val="right" w:pos="9638"/>
      </w:tabs>
      <w:spacing w:after="0" w:line="240" w:lineRule="auto"/>
    </w:pPr>
  </w:style>
  <w:style w:type="character" w:customStyle="1" w:styleId="aa">
    <w:name w:val="页眉 字符"/>
    <w:basedOn w:val="a2"/>
    <w:link w:val="a9"/>
    <w:uiPriority w:val="99"/>
    <w:rsid w:val="00E224E3"/>
  </w:style>
  <w:style w:type="paragraph" w:styleId="ab">
    <w:name w:val="footer"/>
    <w:basedOn w:val="a1"/>
    <w:link w:val="ac"/>
    <w:uiPriority w:val="99"/>
    <w:unhideWhenUsed/>
    <w:rsid w:val="00E224E3"/>
    <w:pPr>
      <w:tabs>
        <w:tab w:val="center" w:pos="4819"/>
        <w:tab w:val="right" w:pos="9638"/>
      </w:tabs>
      <w:spacing w:after="0" w:line="240" w:lineRule="auto"/>
    </w:pPr>
  </w:style>
  <w:style w:type="character" w:customStyle="1" w:styleId="ac">
    <w:name w:val="页脚 字符"/>
    <w:basedOn w:val="a2"/>
    <w:link w:val="ab"/>
    <w:uiPriority w:val="99"/>
    <w:rsid w:val="00E224E3"/>
  </w:style>
  <w:style w:type="table" w:styleId="ad">
    <w:name w:val="Table Grid"/>
    <w:basedOn w:val="a3"/>
    <w:uiPriority w:val="39"/>
    <w:rsid w:val="00493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1"/>
    <w:link w:val="af"/>
    <w:uiPriority w:val="99"/>
    <w:semiHidden/>
    <w:unhideWhenUsed/>
    <w:rsid w:val="00F208F7"/>
    <w:pPr>
      <w:spacing w:after="0" w:line="240" w:lineRule="auto"/>
    </w:pPr>
    <w:rPr>
      <w:sz w:val="20"/>
      <w:szCs w:val="20"/>
    </w:rPr>
  </w:style>
  <w:style w:type="character" w:customStyle="1" w:styleId="af">
    <w:name w:val="脚注文本 字符"/>
    <w:basedOn w:val="a2"/>
    <w:link w:val="ae"/>
    <w:uiPriority w:val="99"/>
    <w:semiHidden/>
    <w:rsid w:val="00F208F7"/>
    <w:rPr>
      <w:sz w:val="20"/>
      <w:szCs w:val="20"/>
    </w:rPr>
  </w:style>
  <w:style w:type="character" w:styleId="af0">
    <w:name w:val="footnote reference"/>
    <w:basedOn w:val="a2"/>
    <w:uiPriority w:val="99"/>
    <w:semiHidden/>
    <w:unhideWhenUsed/>
    <w:rsid w:val="00F208F7"/>
    <w:rPr>
      <w:vertAlign w:val="superscript"/>
    </w:rPr>
  </w:style>
  <w:style w:type="character" w:styleId="af1">
    <w:name w:val="annotation reference"/>
    <w:basedOn w:val="a2"/>
    <w:uiPriority w:val="99"/>
    <w:semiHidden/>
    <w:unhideWhenUsed/>
    <w:rsid w:val="006277DA"/>
    <w:rPr>
      <w:sz w:val="16"/>
      <w:szCs w:val="16"/>
    </w:rPr>
  </w:style>
  <w:style w:type="paragraph" w:styleId="af2">
    <w:name w:val="annotation text"/>
    <w:basedOn w:val="a1"/>
    <w:link w:val="af3"/>
    <w:uiPriority w:val="99"/>
    <w:semiHidden/>
    <w:unhideWhenUsed/>
    <w:rsid w:val="006277DA"/>
    <w:pPr>
      <w:spacing w:line="240" w:lineRule="auto"/>
    </w:pPr>
    <w:rPr>
      <w:sz w:val="20"/>
      <w:szCs w:val="20"/>
    </w:rPr>
  </w:style>
  <w:style w:type="character" w:customStyle="1" w:styleId="af3">
    <w:name w:val="批注文字 字符"/>
    <w:basedOn w:val="a2"/>
    <w:link w:val="af2"/>
    <w:uiPriority w:val="99"/>
    <w:semiHidden/>
    <w:rsid w:val="006277DA"/>
    <w:rPr>
      <w:sz w:val="20"/>
      <w:szCs w:val="20"/>
    </w:rPr>
  </w:style>
  <w:style w:type="paragraph" w:styleId="af4">
    <w:name w:val="annotation subject"/>
    <w:basedOn w:val="af2"/>
    <w:next w:val="af2"/>
    <w:link w:val="af5"/>
    <w:uiPriority w:val="99"/>
    <w:semiHidden/>
    <w:unhideWhenUsed/>
    <w:rsid w:val="006277DA"/>
    <w:rPr>
      <w:b/>
      <w:bCs/>
    </w:rPr>
  </w:style>
  <w:style w:type="character" w:customStyle="1" w:styleId="af5">
    <w:name w:val="批注主题 字符"/>
    <w:basedOn w:val="af3"/>
    <w:link w:val="af4"/>
    <w:uiPriority w:val="99"/>
    <w:semiHidden/>
    <w:rsid w:val="006277DA"/>
    <w:rPr>
      <w:b/>
      <w:bCs/>
      <w:sz w:val="20"/>
      <w:szCs w:val="20"/>
    </w:rPr>
  </w:style>
  <w:style w:type="paragraph" w:styleId="af6">
    <w:name w:val="Balloon Text"/>
    <w:basedOn w:val="a1"/>
    <w:link w:val="af7"/>
    <w:uiPriority w:val="99"/>
    <w:semiHidden/>
    <w:unhideWhenUsed/>
    <w:rsid w:val="006277DA"/>
    <w:pPr>
      <w:spacing w:after="0" w:line="240" w:lineRule="auto"/>
    </w:pPr>
    <w:rPr>
      <w:rFonts w:ascii="Segoe UI" w:hAnsi="Segoe UI" w:cs="Segoe UI"/>
      <w:sz w:val="18"/>
      <w:szCs w:val="18"/>
    </w:rPr>
  </w:style>
  <w:style w:type="character" w:customStyle="1" w:styleId="af7">
    <w:name w:val="批注框文本 字符"/>
    <w:basedOn w:val="a2"/>
    <w:link w:val="af6"/>
    <w:uiPriority w:val="99"/>
    <w:semiHidden/>
    <w:rsid w:val="006277DA"/>
    <w:rPr>
      <w:rFonts w:ascii="Segoe UI" w:hAnsi="Segoe UI" w:cs="Segoe UI"/>
      <w:sz w:val="18"/>
      <w:szCs w:val="18"/>
    </w:rPr>
  </w:style>
  <w:style w:type="character" w:styleId="af8">
    <w:name w:val="Emphasis"/>
    <w:basedOn w:val="a2"/>
    <w:uiPriority w:val="20"/>
    <w:qFormat/>
    <w:rsid w:val="006A1D34"/>
    <w:rPr>
      <w:b/>
      <w:bCs/>
      <w:i w:val="0"/>
      <w:iCs w:val="0"/>
    </w:rPr>
  </w:style>
  <w:style w:type="character" w:customStyle="1" w:styleId="st1">
    <w:name w:val="st1"/>
    <w:basedOn w:val="a2"/>
    <w:rsid w:val="006A1D34"/>
  </w:style>
  <w:style w:type="paragraph" w:styleId="af9">
    <w:name w:val="List Paragraph"/>
    <w:basedOn w:val="a1"/>
    <w:uiPriority w:val="34"/>
    <w:qFormat/>
    <w:rsid w:val="006A1D34"/>
    <w:pPr>
      <w:spacing w:after="200" w:line="480" w:lineRule="auto"/>
      <w:ind w:left="720"/>
      <w:contextualSpacing/>
    </w:pPr>
    <w:rPr>
      <w:rFonts w:ascii="Arial" w:eastAsiaTheme="minorHAnsi" w:hAnsi="Arial"/>
      <w:sz w:val="24"/>
      <w:lang w:val="en-US"/>
    </w:rPr>
  </w:style>
  <w:style w:type="paragraph" w:styleId="afa">
    <w:name w:val="Revision"/>
    <w:hidden/>
    <w:uiPriority w:val="99"/>
    <w:semiHidden/>
    <w:rsid w:val="001E1B5E"/>
    <w:pPr>
      <w:spacing w:after="0" w:line="240" w:lineRule="auto"/>
    </w:pPr>
  </w:style>
  <w:style w:type="paragraph" w:customStyle="1" w:styleId="Default">
    <w:name w:val="Default"/>
    <w:rsid w:val="0008363A"/>
    <w:pPr>
      <w:autoSpaceDE w:val="0"/>
      <w:autoSpaceDN w:val="0"/>
      <w:adjustRightInd w:val="0"/>
      <w:spacing w:after="0" w:line="240" w:lineRule="auto"/>
    </w:pPr>
    <w:rPr>
      <w:rFonts w:ascii="Book Antiqua" w:hAnsi="Book Antiqua" w:cs="Book Antiqua"/>
      <w:color w:val="000000"/>
      <w:sz w:val="24"/>
      <w:szCs w:val="24"/>
    </w:rPr>
  </w:style>
  <w:style w:type="paragraph" w:customStyle="1" w:styleId="Normal1">
    <w:name w:val="Normal1"/>
    <w:rsid w:val="001E50D4"/>
    <w:pPr>
      <w:spacing w:after="200" w:line="276" w:lineRule="auto"/>
    </w:pPr>
    <w:rPr>
      <w:rFonts w:ascii="Calibri" w:eastAsia="Calibri" w:hAnsi="Calibri" w:cs="Calibri"/>
      <w:lang w:val="en-US"/>
    </w:rPr>
  </w:style>
  <w:style w:type="paragraph" w:styleId="afb">
    <w:name w:val="Plain Text"/>
    <w:basedOn w:val="a1"/>
    <w:link w:val="afc"/>
    <w:rsid w:val="001E50D4"/>
    <w:pPr>
      <w:widowControl w:val="0"/>
      <w:spacing w:after="0" w:line="240" w:lineRule="auto"/>
      <w:jc w:val="both"/>
    </w:pPr>
    <w:rPr>
      <w:rFonts w:ascii="宋体" w:hAnsi="Courier New" w:cs="Courier New"/>
      <w:kern w:val="2"/>
      <w:sz w:val="21"/>
      <w:szCs w:val="21"/>
      <w:lang w:val="en-US" w:eastAsia="zh-CN"/>
    </w:rPr>
  </w:style>
  <w:style w:type="character" w:customStyle="1" w:styleId="afc">
    <w:name w:val="纯文本 字符"/>
    <w:basedOn w:val="a2"/>
    <w:link w:val="afb"/>
    <w:rsid w:val="001E50D4"/>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3609">
      <w:bodyDiv w:val="1"/>
      <w:marLeft w:val="0"/>
      <w:marRight w:val="0"/>
      <w:marTop w:val="0"/>
      <w:marBottom w:val="0"/>
      <w:divBdr>
        <w:top w:val="none" w:sz="0" w:space="0" w:color="auto"/>
        <w:left w:val="none" w:sz="0" w:space="0" w:color="auto"/>
        <w:bottom w:val="none" w:sz="0" w:space="0" w:color="auto"/>
        <w:right w:val="none" w:sz="0" w:space="0" w:color="auto"/>
      </w:divBdr>
      <w:divsChild>
        <w:div w:id="1016538585">
          <w:marLeft w:val="0"/>
          <w:marRight w:val="0"/>
          <w:marTop w:val="0"/>
          <w:marBottom w:val="0"/>
          <w:divBdr>
            <w:top w:val="none" w:sz="0" w:space="0" w:color="auto"/>
            <w:left w:val="none" w:sz="0" w:space="0" w:color="auto"/>
            <w:bottom w:val="none" w:sz="0" w:space="0" w:color="auto"/>
            <w:right w:val="none" w:sz="0" w:space="0" w:color="auto"/>
          </w:divBdr>
          <w:divsChild>
            <w:div w:id="1988242176">
              <w:marLeft w:val="0"/>
              <w:marRight w:val="0"/>
              <w:marTop w:val="0"/>
              <w:marBottom w:val="0"/>
              <w:divBdr>
                <w:top w:val="none" w:sz="0" w:space="0" w:color="auto"/>
                <w:left w:val="none" w:sz="0" w:space="0" w:color="auto"/>
                <w:bottom w:val="none" w:sz="0" w:space="0" w:color="auto"/>
                <w:right w:val="none" w:sz="0" w:space="0" w:color="auto"/>
              </w:divBdr>
              <w:divsChild>
                <w:div w:id="894663646">
                  <w:marLeft w:val="0"/>
                  <w:marRight w:val="0"/>
                  <w:marTop w:val="0"/>
                  <w:marBottom w:val="0"/>
                  <w:divBdr>
                    <w:top w:val="none" w:sz="0" w:space="0" w:color="auto"/>
                    <w:left w:val="none" w:sz="0" w:space="0" w:color="auto"/>
                    <w:bottom w:val="none" w:sz="0" w:space="0" w:color="auto"/>
                    <w:right w:val="none" w:sz="0" w:space="0" w:color="auto"/>
                  </w:divBdr>
                  <w:divsChild>
                    <w:div w:id="742727743">
                      <w:marLeft w:val="0"/>
                      <w:marRight w:val="0"/>
                      <w:marTop w:val="0"/>
                      <w:marBottom w:val="0"/>
                      <w:divBdr>
                        <w:top w:val="none" w:sz="0" w:space="0" w:color="auto"/>
                        <w:left w:val="none" w:sz="0" w:space="0" w:color="auto"/>
                        <w:bottom w:val="none" w:sz="0" w:space="0" w:color="auto"/>
                        <w:right w:val="none" w:sz="0" w:space="0" w:color="auto"/>
                      </w:divBdr>
                      <w:divsChild>
                        <w:div w:id="7499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9920">
      <w:bodyDiv w:val="1"/>
      <w:marLeft w:val="0"/>
      <w:marRight w:val="0"/>
      <w:marTop w:val="0"/>
      <w:marBottom w:val="0"/>
      <w:divBdr>
        <w:top w:val="none" w:sz="0" w:space="0" w:color="auto"/>
        <w:left w:val="none" w:sz="0" w:space="0" w:color="auto"/>
        <w:bottom w:val="none" w:sz="0" w:space="0" w:color="auto"/>
        <w:right w:val="none" w:sz="0" w:space="0" w:color="auto"/>
      </w:divBdr>
      <w:divsChild>
        <w:div w:id="703821619">
          <w:marLeft w:val="0"/>
          <w:marRight w:val="0"/>
          <w:marTop w:val="0"/>
          <w:marBottom w:val="0"/>
          <w:divBdr>
            <w:top w:val="none" w:sz="0" w:space="0" w:color="auto"/>
            <w:left w:val="none" w:sz="0" w:space="0" w:color="auto"/>
            <w:bottom w:val="none" w:sz="0" w:space="0" w:color="auto"/>
            <w:right w:val="none" w:sz="0" w:space="0" w:color="auto"/>
          </w:divBdr>
          <w:divsChild>
            <w:div w:id="1379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0789">
      <w:bodyDiv w:val="1"/>
      <w:marLeft w:val="0"/>
      <w:marRight w:val="0"/>
      <w:marTop w:val="0"/>
      <w:marBottom w:val="0"/>
      <w:divBdr>
        <w:top w:val="none" w:sz="0" w:space="0" w:color="auto"/>
        <w:left w:val="none" w:sz="0" w:space="0" w:color="auto"/>
        <w:bottom w:val="none" w:sz="0" w:space="0" w:color="auto"/>
        <w:right w:val="none" w:sz="0" w:space="0" w:color="auto"/>
      </w:divBdr>
      <w:divsChild>
        <w:div w:id="1579359691">
          <w:marLeft w:val="0"/>
          <w:marRight w:val="0"/>
          <w:marTop w:val="0"/>
          <w:marBottom w:val="0"/>
          <w:divBdr>
            <w:top w:val="none" w:sz="0" w:space="0" w:color="auto"/>
            <w:left w:val="none" w:sz="0" w:space="0" w:color="auto"/>
            <w:bottom w:val="none" w:sz="0" w:space="0" w:color="auto"/>
            <w:right w:val="none" w:sz="0" w:space="0" w:color="auto"/>
          </w:divBdr>
          <w:divsChild>
            <w:div w:id="2055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0896">
      <w:bodyDiv w:val="1"/>
      <w:marLeft w:val="0"/>
      <w:marRight w:val="0"/>
      <w:marTop w:val="0"/>
      <w:marBottom w:val="0"/>
      <w:divBdr>
        <w:top w:val="none" w:sz="0" w:space="0" w:color="auto"/>
        <w:left w:val="none" w:sz="0" w:space="0" w:color="auto"/>
        <w:bottom w:val="none" w:sz="0" w:space="0" w:color="auto"/>
        <w:right w:val="none" w:sz="0" w:space="0" w:color="auto"/>
      </w:divBdr>
      <w:divsChild>
        <w:div w:id="1461993440">
          <w:marLeft w:val="0"/>
          <w:marRight w:val="0"/>
          <w:marTop w:val="0"/>
          <w:marBottom w:val="0"/>
          <w:divBdr>
            <w:top w:val="none" w:sz="0" w:space="0" w:color="auto"/>
            <w:left w:val="none" w:sz="0" w:space="0" w:color="auto"/>
            <w:bottom w:val="none" w:sz="0" w:space="0" w:color="auto"/>
            <w:right w:val="none" w:sz="0" w:space="0" w:color="auto"/>
          </w:divBdr>
          <w:divsChild>
            <w:div w:id="649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0180">
      <w:bodyDiv w:val="1"/>
      <w:marLeft w:val="0"/>
      <w:marRight w:val="0"/>
      <w:marTop w:val="0"/>
      <w:marBottom w:val="0"/>
      <w:divBdr>
        <w:top w:val="none" w:sz="0" w:space="0" w:color="auto"/>
        <w:left w:val="none" w:sz="0" w:space="0" w:color="auto"/>
        <w:bottom w:val="none" w:sz="0" w:space="0" w:color="auto"/>
        <w:right w:val="none" w:sz="0" w:space="0" w:color="auto"/>
      </w:divBdr>
      <w:divsChild>
        <w:div w:id="2005234119">
          <w:marLeft w:val="0"/>
          <w:marRight w:val="0"/>
          <w:marTop w:val="0"/>
          <w:marBottom w:val="0"/>
          <w:divBdr>
            <w:top w:val="none" w:sz="0" w:space="0" w:color="auto"/>
            <w:left w:val="none" w:sz="0" w:space="0" w:color="auto"/>
            <w:bottom w:val="none" w:sz="0" w:space="0" w:color="auto"/>
            <w:right w:val="none" w:sz="0" w:space="0" w:color="auto"/>
          </w:divBdr>
          <w:divsChild>
            <w:div w:id="15098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3592">
      <w:bodyDiv w:val="1"/>
      <w:marLeft w:val="0"/>
      <w:marRight w:val="0"/>
      <w:marTop w:val="0"/>
      <w:marBottom w:val="0"/>
      <w:divBdr>
        <w:top w:val="none" w:sz="0" w:space="0" w:color="auto"/>
        <w:left w:val="none" w:sz="0" w:space="0" w:color="auto"/>
        <w:bottom w:val="none" w:sz="0" w:space="0" w:color="auto"/>
        <w:right w:val="none" w:sz="0" w:space="0" w:color="auto"/>
      </w:divBdr>
      <w:divsChild>
        <w:div w:id="1570917155">
          <w:marLeft w:val="0"/>
          <w:marRight w:val="0"/>
          <w:marTop w:val="0"/>
          <w:marBottom w:val="0"/>
          <w:divBdr>
            <w:top w:val="none" w:sz="0" w:space="0" w:color="auto"/>
            <w:left w:val="none" w:sz="0" w:space="0" w:color="auto"/>
            <w:bottom w:val="none" w:sz="0" w:space="0" w:color="auto"/>
            <w:right w:val="none" w:sz="0" w:space="0" w:color="auto"/>
          </w:divBdr>
          <w:divsChild>
            <w:div w:id="21370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3693">
      <w:bodyDiv w:val="1"/>
      <w:marLeft w:val="0"/>
      <w:marRight w:val="0"/>
      <w:marTop w:val="0"/>
      <w:marBottom w:val="0"/>
      <w:divBdr>
        <w:top w:val="none" w:sz="0" w:space="0" w:color="auto"/>
        <w:left w:val="none" w:sz="0" w:space="0" w:color="auto"/>
        <w:bottom w:val="none" w:sz="0" w:space="0" w:color="auto"/>
        <w:right w:val="none" w:sz="0" w:space="0" w:color="auto"/>
      </w:divBdr>
      <w:divsChild>
        <w:div w:id="515342115">
          <w:marLeft w:val="0"/>
          <w:marRight w:val="0"/>
          <w:marTop w:val="0"/>
          <w:marBottom w:val="0"/>
          <w:divBdr>
            <w:top w:val="none" w:sz="0" w:space="0" w:color="auto"/>
            <w:left w:val="none" w:sz="0" w:space="0" w:color="auto"/>
            <w:bottom w:val="none" w:sz="0" w:space="0" w:color="auto"/>
            <w:right w:val="none" w:sz="0" w:space="0" w:color="auto"/>
          </w:divBdr>
          <w:divsChild>
            <w:div w:id="10318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1415">
      <w:bodyDiv w:val="1"/>
      <w:marLeft w:val="0"/>
      <w:marRight w:val="0"/>
      <w:marTop w:val="0"/>
      <w:marBottom w:val="0"/>
      <w:divBdr>
        <w:top w:val="none" w:sz="0" w:space="0" w:color="auto"/>
        <w:left w:val="none" w:sz="0" w:space="0" w:color="auto"/>
        <w:bottom w:val="none" w:sz="0" w:space="0" w:color="auto"/>
        <w:right w:val="none" w:sz="0" w:space="0" w:color="auto"/>
      </w:divBdr>
      <w:divsChild>
        <w:div w:id="1342128213">
          <w:marLeft w:val="0"/>
          <w:marRight w:val="0"/>
          <w:marTop w:val="0"/>
          <w:marBottom w:val="0"/>
          <w:divBdr>
            <w:top w:val="none" w:sz="0" w:space="0" w:color="auto"/>
            <w:left w:val="none" w:sz="0" w:space="0" w:color="auto"/>
            <w:bottom w:val="none" w:sz="0" w:space="0" w:color="auto"/>
            <w:right w:val="none" w:sz="0" w:space="0" w:color="auto"/>
          </w:divBdr>
          <w:divsChild>
            <w:div w:id="12480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87719">
      <w:bodyDiv w:val="1"/>
      <w:marLeft w:val="0"/>
      <w:marRight w:val="0"/>
      <w:marTop w:val="0"/>
      <w:marBottom w:val="0"/>
      <w:divBdr>
        <w:top w:val="none" w:sz="0" w:space="0" w:color="auto"/>
        <w:left w:val="none" w:sz="0" w:space="0" w:color="auto"/>
        <w:bottom w:val="none" w:sz="0" w:space="0" w:color="auto"/>
        <w:right w:val="none" w:sz="0" w:space="0" w:color="auto"/>
      </w:divBdr>
      <w:divsChild>
        <w:div w:id="635524883">
          <w:marLeft w:val="0"/>
          <w:marRight w:val="0"/>
          <w:marTop w:val="0"/>
          <w:marBottom w:val="0"/>
          <w:divBdr>
            <w:top w:val="none" w:sz="0" w:space="0" w:color="auto"/>
            <w:left w:val="none" w:sz="0" w:space="0" w:color="auto"/>
            <w:bottom w:val="none" w:sz="0" w:space="0" w:color="auto"/>
            <w:right w:val="none" w:sz="0" w:space="0" w:color="auto"/>
          </w:divBdr>
          <w:divsChild>
            <w:div w:id="1010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4735">
      <w:bodyDiv w:val="1"/>
      <w:marLeft w:val="0"/>
      <w:marRight w:val="0"/>
      <w:marTop w:val="0"/>
      <w:marBottom w:val="0"/>
      <w:divBdr>
        <w:top w:val="none" w:sz="0" w:space="0" w:color="auto"/>
        <w:left w:val="none" w:sz="0" w:space="0" w:color="auto"/>
        <w:bottom w:val="none" w:sz="0" w:space="0" w:color="auto"/>
        <w:right w:val="none" w:sz="0" w:space="0" w:color="auto"/>
      </w:divBdr>
      <w:divsChild>
        <w:div w:id="1122461774">
          <w:marLeft w:val="0"/>
          <w:marRight w:val="0"/>
          <w:marTop w:val="0"/>
          <w:marBottom w:val="0"/>
          <w:divBdr>
            <w:top w:val="none" w:sz="0" w:space="0" w:color="auto"/>
            <w:left w:val="none" w:sz="0" w:space="0" w:color="auto"/>
            <w:bottom w:val="none" w:sz="0" w:space="0" w:color="auto"/>
            <w:right w:val="none" w:sz="0" w:space="0" w:color="auto"/>
          </w:divBdr>
          <w:divsChild>
            <w:div w:id="4652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00155">
      <w:bodyDiv w:val="1"/>
      <w:marLeft w:val="0"/>
      <w:marRight w:val="0"/>
      <w:marTop w:val="0"/>
      <w:marBottom w:val="0"/>
      <w:divBdr>
        <w:top w:val="none" w:sz="0" w:space="0" w:color="auto"/>
        <w:left w:val="none" w:sz="0" w:space="0" w:color="auto"/>
        <w:bottom w:val="none" w:sz="0" w:space="0" w:color="auto"/>
        <w:right w:val="none" w:sz="0" w:space="0" w:color="auto"/>
      </w:divBdr>
      <w:divsChild>
        <w:div w:id="1896625216">
          <w:marLeft w:val="0"/>
          <w:marRight w:val="0"/>
          <w:marTop w:val="0"/>
          <w:marBottom w:val="0"/>
          <w:divBdr>
            <w:top w:val="none" w:sz="0" w:space="0" w:color="auto"/>
            <w:left w:val="none" w:sz="0" w:space="0" w:color="auto"/>
            <w:bottom w:val="none" w:sz="0" w:space="0" w:color="auto"/>
            <w:right w:val="none" w:sz="0" w:space="0" w:color="auto"/>
          </w:divBdr>
          <w:divsChild>
            <w:div w:id="9248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6072">
      <w:bodyDiv w:val="1"/>
      <w:marLeft w:val="0"/>
      <w:marRight w:val="0"/>
      <w:marTop w:val="0"/>
      <w:marBottom w:val="0"/>
      <w:divBdr>
        <w:top w:val="none" w:sz="0" w:space="0" w:color="auto"/>
        <w:left w:val="none" w:sz="0" w:space="0" w:color="auto"/>
        <w:bottom w:val="none" w:sz="0" w:space="0" w:color="auto"/>
        <w:right w:val="none" w:sz="0" w:space="0" w:color="auto"/>
      </w:divBdr>
      <w:divsChild>
        <w:div w:id="1229918246">
          <w:marLeft w:val="0"/>
          <w:marRight w:val="0"/>
          <w:marTop w:val="0"/>
          <w:marBottom w:val="0"/>
          <w:divBdr>
            <w:top w:val="none" w:sz="0" w:space="0" w:color="auto"/>
            <w:left w:val="none" w:sz="0" w:space="0" w:color="auto"/>
            <w:bottom w:val="none" w:sz="0" w:space="0" w:color="auto"/>
            <w:right w:val="none" w:sz="0" w:space="0" w:color="auto"/>
          </w:divBdr>
          <w:divsChild>
            <w:div w:id="11391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5557">
      <w:bodyDiv w:val="1"/>
      <w:marLeft w:val="0"/>
      <w:marRight w:val="0"/>
      <w:marTop w:val="0"/>
      <w:marBottom w:val="0"/>
      <w:divBdr>
        <w:top w:val="none" w:sz="0" w:space="0" w:color="auto"/>
        <w:left w:val="none" w:sz="0" w:space="0" w:color="auto"/>
        <w:bottom w:val="none" w:sz="0" w:space="0" w:color="auto"/>
        <w:right w:val="none" w:sz="0" w:space="0" w:color="auto"/>
      </w:divBdr>
      <w:divsChild>
        <w:div w:id="1800805392">
          <w:marLeft w:val="0"/>
          <w:marRight w:val="0"/>
          <w:marTop w:val="0"/>
          <w:marBottom w:val="0"/>
          <w:divBdr>
            <w:top w:val="none" w:sz="0" w:space="0" w:color="auto"/>
            <w:left w:val="none" w:sz="0" w:space="0" w:color="auto"/>
            <w:bottom w:val="none" w:sz="0" w:space="0" w:color="auto"/>
            <w:right w:val="none" w:sz="0" w:space="0" w:color="auto"/>
          </w:divBdr>
          <w:divsChild>
            <w:div w:id="11004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8556">
      <w:bodyDiv w:val="1"/>
      <w:marLeft w:val="0"/>
      <w:marRight w:val="0"/>
      <w:marTop w:val="0"/>
      <w:marBottom w:val="0"/>
      <w:divBdr>
        <w:top w:val="none" w:sz="0" w:space="0" w:color="auto"/>
        <w:left w:val="none" w:sz="0" w:space="0" w:color="auto"/>
        <w:bottom w:val="none" w:sz="0" w:space="0" w:color="auto"/>
        <w:right w:val="none" w:sz="0" w:space="0" w:color="auto"/>
      </w:divBdr>
      <w:divsChild>
        <w:div w:id="1677924148">
          <w:marLeft w:val="0"/>
          <w:marRight w:val="0"/>
          <w:marTop w:val="0"/>
          <w:marBottom w:val="0"/>
          <w:divBdr>
            <w:top w:val="none" w:sz="0" w:space="0" w:color="auto"/>
            <w:left w:val="none" w:sz="0" w:space="0" w:color="auto"/>
            <w:bottom w:val="none" w:sz="0" w:space="0" w:color="auto"/>
            <w:right w:val="none" w:sz="0" w:space="0" w:color="auto"/>
          </w:divBdr>
          <w:divsChild>
            <w:div w:id="17960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704">
      <w:bodyDiv w:val="1"/>
      <w:marLeft w:val="0"/>
      <w:marRight w:val="0"/>
      <w:marTop w:val="0"/>
      <w:marBottom w:val="0"/>
      <w:divBdr>
        <w:top w:val="none" w:sz="0" w:space="0" w:color="auto"/>
        <w:left w:val="none" w:sz="0" w:space="0" w:color="auto"/>
        <w:bottom w:val="none" w:sz="0" w:space="0" w:color="auto"/>
        <w:right w:val="none" w:sz="0" w:space="0" w:color="auto"/>
      </w:divBdr>
      <w:divsChild>
        <w:div w:id="1936012169">
          <w:marLeft w:val="0"/>
          <w:marRight w:val="0"/>
          <w:marTop w:val="0"/>
          <w:marBottom w:val="0"/>
          <w:divBdr>
            <w:top w:val="none" w:sz="0" w:space="0" w:color="auto"/>
            <w:left w:val="none" w:sz="0" w:space="0" w:color="auto"/>
            <w:bottom w:val="none" w:sz="0" w:space="0" w:color="auto"/>
            <w:right w:val="none" w:sz="0" w:space="0" w:color="auto"/>
          </w:divBdr>
          <w:divsChild>
            <w:div w:id="1555042652">
              <w:marLeft w:val="0"/>
              <w:marRight w:val="0"/>
              <w:marTop w:val="0"/>
              <w:marBottom w:val="0"/>
              <w:divBdr>
                <w:top w:val="none" w:sz="0" w:space="0" w:color="auto"/>
                <w:left w:val="none" w:sz="0" w:space="0" w:color="auto"/>
                <w:bottom w:val="none" w:sz="0" w:space="0" w:color="auto"/>
                <w:right w:val="none" w:sz="0" w:space="0" w:color="auto"/>
              </w:divBdr>
              <w:divsChild>
                <w:div w:id="1497501346">
                  <w:marLeft w:val="0"/>
                  <w:marRight w:val="0"/>
                  <w:marTop w:val="0"/>
                  <w:marBottom w:val="0"/>
                  <w:divBdr>
                    <w:top w:val="none" w:sz="0" w:space="0" w:color="auto"/>
                    <w:left w:val="none" w:sz="0" w:space="0" w:color="auto"/>
                    <w:bottom w:val="none" w:sz="0" w:space="0" w:color="auto"/>
                    <w:right w:val="none" w:sz="0" w:space="0" w:color="auto"/>
                  </w:divBdr>
                  <w:divsChild>
                    <w:div w:id="2129200981">
                      <w:marLeft w:val="0"/>
                      <w:marRight w:val="0"/>
                      <w:marTop w:val="0"/>
                      <w:marBottom w:val="0"/>
                      <w:divBdr>
                        <w:top w:val="none" w:sz="0" w:space="0" w:color="auto"/>
                        <w:left w:val="none" w:sz="0" w:space="0" w:color="auto"/>
                        <w:bottom w:val="none" w:sz="0" w:space="0" w:color="auto"/>
                        <w:right w:val="none" w:sz="0" w:space="0" w:color="auto"/>
                      </w:divBdr>
                      <w:divsChild>
                        <w:div w:id="1109591113">
                          <w:marLeft w:val="0"/>
                          <w:marRight w:val="0"/>
                          <w:marTop w:val="0"/>
                          <w:marBottom w:val="0"/>
                          <w:divBdr>
                            <w:top w:val="single" w:sz="12" w:space="0" w:color="CCCCCC"/>
                            <w:left w:val="single" w:sz="12" w:space="0" w:color="CCCCCC"/>
                            <w:bottom w:val="single" w:sz="12" w:space="0" w:color="CCCCCC"/>
                            <w:right w:val="single" w:sz="12" w:space="0" w:color="CCCCCC"/>
                          </w:divBdr>
                          <w:divsChild>
                            <w:div w:id="270747718">
                              <w:marLeft w:val="0"/>
                              <w:marRight w:val="0"/>
                              <w:marTop w:val="0"/>
                              <w:marBottom w:val="0"/>
                              <w:divBdr>
                                <w:top w:val="none" w:sz="0" w:space="0" w:color="auto"/>
                                <w:left w:val="none" w:sz="0" w:space="0" w:color="auto"/>
                                <w:bottom w:val="none" w:sz="0" w:space="0" w:color="auto"/>
                                <w:right w:val="none" w:sz="0" w:space="0" w:color="auto"/>
                              </w:divBdr>
                              <w:divsChild>
                                <w:div w:id="651984178">
                                  <w:marLeft w:val="0"/>
                                  <w:marRight w:val="0"/>
                                  <w:marTop w:val="0"/>
                                  <w:marBottom w:val="0"/>
                                  <w:divBdr>
                                    <w:top w:val="none" w:sz="0" w:space="0" w:color="auto"/>
                                    <w:left w:val="none" w:sz="0" w:space="0" w:color="auto"/>
                                    <w:bottom w:val="none" w:sz="0" w:space="0" w:color="auto"/>
                                    <w:right w:val="none" w:sz="0" w:space="0" w:color="auto"/>
                                  </w:divBdr>
                                  <w:divsChild>
                                    <w:div w:id="1141387338">
                                      <w:marLeft w:val="0"/>
                                      <w:marRight w:val="0"/>
                                      <w:marTop w:val="0"/>
                                      <w:marBottom w:val="0"/>
                                      <w:divBdr>
                                        <w:top w:val="none" w:sz="0" w:space="0" w:color="auto"/>
                                        <w:left w:val="none" w:sz="0" w:space="0" w:color="auto"/>
                                        <w:bottom w:val="none" w:sz="0" w:space="0" w:color="auto"/>
                                        <w:right w:val="none" w:sz="0" w:space="0" w:color="auto"/>
                                      </w:divBdr>
                                      <w:divsChild>
                                        <w:div w:id="88746392">
                                          <w:marLeft w:val="0"/>
                                          <w:marRight w:val="0"/>
                                          <w:marTop w:val="0"/>
                                          <w:marBottom w:val="0"/>
                                          <w:divBdr>
                                            <w:top w:val="none" w:sz="0" w:space="0" w:color="auto"/>
                                            <w:left w:val="none" w:sz="0" w:space="0" w:color="auto"/>
                                            <w:bottom w:val="none" w:sz="0" w:space="0" w:color="auto"/>
                                            <w:right w:val="none" w:sz="0" w:space="0" w:color="auto"/>
                                          </w:divBdr>
                                          <w:divsChild>
                                            <w:div w:id="1161581727">
                                              <w:marLeft w:val="0"/>
                                              <w:marRight w:val="0"/>
                                              <w:marTop w:val="0"/>
                                              <w:marBottom w:val="0"/>
                                              <w:divBdr>
                                                <w:top w:val="none" w:sz="0" w:space="0" w:color="auto"/>
                                                <w:left w:val="none" w:sz="0" w:space="0" w:color="auto"/>
                                                <w:bottom w:val="none" w:sz="0" w:space="0" w:color="auto"/>
                                                <w:right w:val="none" w:sz="0" w:space="0" w:color="auto"/>
                                              </w:divBdr>
                                              <w:divsChild>
                                                <w:div w:id="17237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442116">
      <w:bodyDiv w:val="1"/>
      <w:marLeft w:val="0"/>
      <w:marRight w:val="0"/>
      <w:marTop w:val="0"/>
      <w:marBottom w:val="0"/>
      <w:divBdr>
        <w:top w:val="none" w:sz="0" w:space="0" w:color="auto"/>
        <w:left w:val="none" w:sz="0" w:space="0" w:color="auto"/>
        <w:bottom w:val="none" w:sz="0" w:space="0" w:color="auto"/>
        <w:right w:val="none" w:sz="0" w:space="0" w:color="auto"/>
      </w:divBdr>
      <w:divsChild>
        <w:div w:id="1716076212">
          <w:marLeft w:val="0"/>
          <w:marRight w:val="0"/>
          <w:marTop w:val="0"/>
          <w:marBottom w:val="0"/>
          <w:divBdr>
            <w:top w:val="none" w:sz="0" w:space="0" w:color="auto"/>
            <w:left w:val="none" w:sz="0" w:space="0" w:color="auto"/>
            <w:bottom w:val="none" w:sz="0" w:space="0" w:color="auto"/>
            <w:right w:val="none" w:sz="0" w:space="0" w:color="auto"/>
          </w:divBdr>
          <w:divsChild>
            <w:div w:id="18533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206">
      <w:bodyDiv w:val="1"/>
      <w:marLeft w:val="0"/>
      <w:marRight w:val="0"/>
      <w:marTop w:val="0"/>
      <w:marBottom w:val="0"/>
      <w:divBdr>
        <w:top w:val="none" w:sz="0" w:space="0" w:color="auto"/>
        <w:left w:val="none" w:sz="0" w:space="0" w:color="auto"/>
        <w:bottom w:val="none" w:sz="0" w:space="0" w:color="auto"/>
        <w:right w:val="none" w:sz="0" w:space="0" w:color="auto"/>
      </w:divBdr>
      <w:divsChild>
        <w:div w:id="1342663332">
          <w:marLeft w:val="0"/>
          <w:marRight w:val="0"/>
          <w:marTop w:val="0"/>
          <w:marBottom w:val="0"/>
          <w:divBdr>
            <w:top w:val="none" w:sz="0" w:space="0" w:color="auto"/>
            <w:left w:val="none" w:sz="0" w:space="0" w:color="auto"/>
            <w:bottom w:val="none" w:sz="0" w:space="0" w:color="auto"/>
            <w:right w:val="none" w:sz="0" w:space="0" w:color="auto"/>
          </w:divBdr>
          <w:divsChild>
            <w:div w:id="8161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9331">
      <w:bodyDiv w:val="1"/>
      <w:marLeft w:val="0"/>
      <w:marRight w:val="0"/>
      <w:marTop w:val="0"/>
      <w:marBottom w:val="0"/>
      <w:divBdr>
        <w:top w:val="none" w:sz="0" w:space="0" w:color="auto"/>
        <w:left w:val="none" w:sz="0" w:space="0" w:color="auto"/>
        <w:bottom w:val="none" w:sz="0" w:space="0" w:color="auto"/>
        <w:right w:val="none" w:sz="0" w:space="0" w:color="auto"/>
      </w:divBdr>
      <w:divsChild>
        <w:div w:id="1520393834">
          <w:marLeft w:val="0"/>
          <w:marRight w:val="0"/>
          <w:marTop w:val="0"/>
          <w:marBottom w:val="0"/>
          <w:divBdr>
            <w:top w:val="none" w:sz="0" w:space="0" w:color="auto"/>
            <w:left w:val="none" w:sz="0" w:space="0" w:color="auto"/>
            <w:bottom w:val="none" w:sz="0" w:space="0" w:color="auto"/>
            <w:right w:val="none" w:sz="0" w:space="0" w:color="auto"/>
          </w:divBdr>
          <w:divsChild>
            <w:div w:id="1854562730">
              <w:marLeft w:val="0"/>
              <w:marRight w:val="0"/>
              <w:marTop w:val="0"/>
              <w:marBottom w:val="0"/>
              <w:divBdr>
                <w:top w:val="none" w:sz="0" w:space="0" w:color="auto"/>
                <w:left w:val="none" w:sz="0" w:space="0" w:color="auto"/>
                <w:bottom w:val="none" w:sz="0" w:space="0" w:color="auto"/>
                <w:right w:val="none" w:sz="0" w:space="0" w:color="auto"/>
              </w:divBdr>
              <w:divsChild>
                <w:div w:id="1752582346">
                  <w:marLeft w:val="0"/>
                  <w:marRight w:val="0"/>
                  <w:marTop w:val="0"/>
                  <w:marBottom w:val="0"/>
                  <w:divBdr>
                    <w:top w:val="none" w:sz="0" w:space="0" w:color="auto"/>
                    <w:left w:val="none" w:sz="0" w:space="0" w:color="auto"/>
                    <w:bottom w:val="none" w:sz="0" w:space="0" w:color="auto"/>
                    <w:right w:val="none" w:sz="0" w:space="0" w:color="auto"/>
                  </w:divBdr>
                  <w:divsChild>
                    <w:div w:id="732853863">
                      <w:marLeft w:val="0"/>
                      <w:marRight w:val="0"/>
                      <w:marTop w:val="0"/>
                      <w:marBottom w:val="0"/>
                      <w:divBdr>
                        <w:top w:val="none" w:sz="0" w:space="0" w:color="auto"/>
                        <w:left w:val="none" w:sz="0" w:space="0" w:color="auto"/>
                        <w:bottom w:val="none" w:sz="0" w:space="0" w:color="auto"/>
                        <w:right w:val="none" w:sz="0" w:space="0" w:color="auto"/>
                      </w:divBdr>
                      <w:divsChild>
                        <w:div w:id="6663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762293">
      <w:bodyDiv w:val="1"/>
      <w:marLeft w:val="0"/>
      <w:marRight w:val="0"/>
      <w:marTop w:val="0"/>
      <w:marBottom w:val="0"/>
      <w:divBdr>
        <w:top w:val="none" w:sz="0" w:space="0" w:color="auto"/>
        <w:left w:val="none" w:sz="0" w:space="0" w:color="auto"/>
        <w:bottom w:val="none" w:sz="0" w:space="0" w:color="auto"/>
        <w:right w:val="none" w:sz="0" w:space="0" w:color="auto"/>
      </w:divBdr>
      <w:divsChild>
        <w:div w:id="1380087774">
          <w:marLeft w:val="0"/>
          <w:marRight w:val="0"/>
          <w:marTop w:val="0"/>
          <w:marBottom w:val="0"/>
          <w:divBdr>
            <w:top w:val="none" w:sz="0" w:space="0" w:color="auto"/>
            <w:left w:val="none" w:sz="0" w:space="0" w:color="auto"/>
            <w:bottom w:val="none" w:sz="0" w:space="0" w:color="auto"/>
            <w:right w:val="none" w:sz="0" w:space="0" w:color="auto"/>
          </w:divBdr>
          <w:divsChild>
            <w:div w:id="10417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6395">
      <w:bodyDiv w:val="1"/>
      <w:marLeft w:val="0"/>
      <w:marRight w:val="0"/>
      <w:marTop w:val="0"/>
      <w:marBottom w:val="0"/>
      <w:divBdr>
        <w:top w:val="none" w:sz="0" w:space="0" w:color="auto"/>
        <w:left w:val="none" w:sz="0" w:space="0" w:color="auto"/>
        <w:bottom w:val="none" w:sz="0" w:space="0" w:color="auto"/>
        <w:right w:val="none" w:sz="0" w:space="0" w:color="auto"/>
      </w:divBdr>
      <w:divsChild>
        <w:div w:id="1255436848">
          <w:marLeft w:val="0"/>
          <w:marRight w:val="0"/>
          <w:marTop w:val="0"/>
          <w:marBottom w:val="0"/>
          <w:divBdr>
            <w:top w:val="none" w:sz="0" w:space="0" w:color="auto"/>
            <w:left w:val="none" w:sz="0" w:space="0" w:color="auto"/>
            <w:bottom w:val="none" w:sz="0" w:space="0" w:color="auto"/>
            <w:right w:val="none" w:sz="0" w:space="0" w:color="auto"/>
          </w:divBdr>
          <w:divsChild>
            <w:div w:id="18941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876">
      <w:bodyDiv w:val="1"/>
      <w:marLeft w:val="0"/>
      <w:marRight w:val="0"/>
      <w:marTop w:val="0"/>
      <w:marBottom w:val="0"/>
      <w:divBdr>
        <w:top w:val="none" w:sz="0" w:space="0" w:color="auto"/>
        <w:left w:val="none" w:sz="0" w:space="0" w:color="auto"/>
        <w:bottom w:val="none" w:sz="0" w:space="0" w:color="auto"/>
        <w:right w:val="none" w:sz="0" w:space="0" w:color="auto"/>
      </w:divBdr>
      <w:divsChild>
        <w:div w:id="209657586">
          <w:marLeft w:val="0"/>
          <w:marRight w:val="0"/>
          <w:marTop w:val="0"/>
          <w:marBottom w:val="0"/>
          <w:divBdr>
            <w:top w:val="none" w:sz="0" w:space="0" w:color="auto"/>
            <w:left w:val="none" w:sz="0" w:space="0" w:color="auto"/>
            <w:bottom w:val="none" w:sz="0" w:space="0" w:color="auto"/>
            <w:right w:val="none" w:sz="0" w:space="0" w:color="auto"/>
          </w:divBdr>
          <w:divsChild>
            <w:div w:id="13665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5735">
      <w:bodyDiv w:val="1"/>
      <w:marLeft w:val="0"/>
      <w:marRight w:val="0"/>
      <w:marTop w:val="0"/>
      <w:marBottom w:val="0"/>
      <w:divBdr>
        <w:top w:val="none" w:sz="0" w:space="0" w:color="auto"/>
        <w:left w:val="none" w:sz="0" w:space="0" w:color="auto"/>
        <w:bottom w:val="none" w:sz="0" w:space="0" w:color="auto"/>
        <w:right w:val="none" w:sz="0" w:space="0" w:color="auto"/>
      </w:divBdr>
      <w:divsChild>
        <w:div w:id="1161694037">
          <w:marLeft w:val="0"/>
          <w:marRight w:val="0"/>
          <w:marTop w:val="0"/>
          <w:marBottom w:val="0"/>
          <w:divBdr>
            <w:top w:val="none" w:sz="0" w:space="0" w:color="auto"/>
            <w:left w:val="none" w:sz="0" w:space="0" w:color="auto"/>
            <w:bottom w:val="none" w:sz="0" w:space="0" w:color="auto"/>
            <w:right w:val="none" w:sz="0" w:space="0" w:color="auto"/>
          </w:divBdr>
          <w:divsChild>
            <w:div w:id="1813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5532">
      <w:bodyDiv w:val="1"/>
      <w:marLeft w:val="0"/>
      <w:marRight w:val="0"/>
      <w:marTop w:val="0"/>
      <w:marBottom w:val="0"/>
      <w:divBdr>
        <w:top w:val="none" w:sz="0" w:space="0" w:color="auto"/>
        <w:left w:val="none" w:sz="0" w:space="0" w:color="auto"/>
        <w:bottom w:val="none" w:sz="0" w:space="0" w:color="auto"/>
        <w:right w:val="none" w:sz="0" w:space="0" w:color="auto"/>
      </w:divBdr>
      <w:divsChild>
        <w:div w:id="1076629677">
          <w:marLeft w:val="0"/>
          <w:marRight w:val="0"/>
          <w:marTop w:val="0"/>
          <w:marBottom w:val="0"/>
          <w:divBdr>
            <w:top w:val="none" w:sz="0" w:space="0" w:color="auto"/>
            <w:left w:val="none" w:sz="0" w:space="0" w:color="auto"/>
            <w:bottom w:val="none" w:sz="0" w:space="0" w:color="auto"/>
            <w:right w:val="none" w:sz="0" w:space="0" w:color="auto"/>
          </w:divBdr>
          <w:divsChild>
            <w:div w:id="13037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964">
      <w:bodyDiv w:val="1"/>
      <w:marLeft w:val="0"/>
      <w:marRight w:val="0"/>
      <w:marTop w:val="0"/>
      <w:marBottom w:val="0"/>
      <w:divBdr>
        <w:top w:val="none" w:sz="0" w:space="0" w:color="auto"/>
        <w:left w:val="none" w:sz="0" w:space="0" w:color="auto"/>
        <w:bottom w:val="none" w:sz="0" w:space="0" w:color="auto"/>
        <w:right w:val="none" w:sz="0" w:space="0" w:color="auto"/>
      </w:divBdr>
    </w:div>
    <w:div w:id="1174102254">
      <w:bodyDiv w:val="1"/>
      <w:marLeft w:val="0"/>
      <w:marRight w:val="0"/>
      <w:marTop w:val="0"/>
      <w:marBottom w:val="0"/>
      <w:divBdr>
        <w:top w:val="none" w:sz="0" w:space="0" w:color="auto"/>
        <w:left w:val="none" w:sz="0" w:space="0" w:color="auto"/>
        <w:bottom w:val="none" w:sz="0" w:space="0" w:color="auto"/>
        <w:right w:val="none" w:sz="0" w:space="0" w:color="auto"/>
      </w:divBdr>
      <w:divsChild>
        <w:div w:id="1837527954">
          <w:marLeft w:val="0"/>
          <w:marRight w:val="0"/>
          <w:marTop w:val="0"/>
          <w:marBottom w:val="0"/>
          <w:divBdr>
            <w:top w:val="none" w:sz="0" w:space="0" w:color="auto"/>
            <w:left w:val="none" w:sz="0" w:space="0" w:color="auto"/>
            <w:bottom w:val="none" w:sz="0" w:space="0" w:color="auto"/>
            <w:right w:val="none" w:sz="0" w:space="0" w:color="auto"/>
          </w:divBdr>
          <w:divsChild>
            <w:div w:id="1488596097">
              <w:marLeft w:val="0"/>
              <w:marRight w:val="0"/>
              <w:marTop w:val="0"/>
              <w:marBottom w:val="0"/>
              <w:divBdr>
                <w:top w:val="none" w:sz="0" w:space="0" w:color="auto"/>
                <w:left w:val="none" w:sz="0" w:space="0" w:color="auto"/>
                <w:bottom w:val="none" w:sz="0" w:space="0" w:color="auto"/>
                <w:right w:val="none" w:sz="0" w:space="0" w:color="auto"/>
              </w:divBdr>
              <w:divsChild>
                <w:div w:id="43717786">
                  <w:marLeft w:val="0"/>
                  <w:marRight w:val="0"/>
                  <w:marTop w:val="0"/>
                  <w:marBottom w:val="0"/>
                  <w:divBdr>
                    <w:top w:val="none" w:sz="0" w:space="0" w:color="auto"/>
                    <w:left w:val="none" w:sz="0" w:space="0" w:color="auto"/>
                    <w:bottom w:val="none" w:sz="0" w:space="0" w:color="auto"/>
                    <w:right w:val="none" w:sz="0" w:space="0" w:color="auto"/>
                  </w:divBdr>
                  <w:divsChild>
                    <w:div w:id="578827605">
                      <w:marLeft w:val="0"/>
                      <w:marRight w:val="0"/>
                      <w:marTop w:val="0"/>
                      <w:marBottom w:val="0"/>
                      <w:divBdr>
                        <w:top w:val="none" w:sz="0" w:space="0" w:color="auto"/>
                        <w:left w:val="none" w:sz="0" w:space="0" w:color="auto"/>
                        <w:bottom w:val="none" w:sz="0" w:space="0" w:color="auto"/>
                        <w:right w:val="none" w:sz="0" w:space="0" w:color="auto"/>
                      </w:divBdr>
                      <w:divsChild>
                        <w:div w:id="1259022126">
                          <w:marLeft w:val="0"/>
                          <w:marRight w:val="0"/>
                          <w:marTop w:val="0"/>
                          <w:marBottom w:val="0"/>
                          <w:divBdr>
                            <w:top w:val="single" w:sz="12" w:space="0" w:color="CCCCCC"/>
                            <w:left w:val="single" w:sz="12" w:space="0" w:color="CCCCCC"/>
                            <w:bottom w:val="single" w:sz="12" w:space="0" w:color="CCCCCC"/>
                            <w:right w:val="single" w:sz="12" w:space="0" w:color="CCCCCC"/>
                          </w:divBdr>
                          <w:divsChild>
                            <w:div w:id="278757070">
                              <w:marLeft w:val="0"/>
                              <w:marRight w:val="0"/>
                              <w:marTop w:val="0"/>
                              <w:marBottom w:val="0"/>
                              <w:divBdr>
                                <w:top w:val="none" w:sz="0" w:space="0" w:color="auto"/>
                                <w:left w:val="none" w:sz="0" w:space="0" w:color="auto"/>
                                <w:bottom w:val="none" w:sz="0" w:space="0" w:color="auto"/>
                                <w:right w:val="none" w:sz="0" w:space="0" w:color="auto"/>
                              </w:divBdr>
                              <w:divsChild>
                                <w:div w:id="1724870307">
                                  <w:marLeft w:val="0"/>
                                  <w:marRight w:val="0"/>
                                  <w:marTop w:val="0"/>
                                  <w:marBottom w:val="0"/>
                                  <w:divBdr>
                                    <w:top w:val="none" w:sz="0" w:space="0" w:color="auto"/>
                                    <w:left w:val="none" w:sz="0" w:space="0" w:color="auto"/>
                                    <w:bottom w:val="none" w:sz="0" w:space="0" w:color="auto"/>
                                    <w:right w:val="none" w:sz="0" w:space="0" w:color="auto"/>
                                  </w:divBdr>
                                  <w:divsChild>
                                    <w:div w:id="272324046">
                                      <w:marLeft w:val="0"/>
                                      <w:marRight w:val="0"/>
                                      <w:marTop w:val="0"/>
                                      <w:marBottom w:val="0"/>
                                      <w:divBdr>
                                        <w:top w:val="none" w:sz="0" w:space="0" w:color="auto"/>
                                        <w:left w:val="none" w:sz="0" w:space="0" w:color="auto"/>
                                        <w:bottom w:val="none" w:sz="0" w:space="0" w:color="auto"/>
                                        <w:right w:val="none" w:sz="0" w:space="0" w:color="auto"/>
                                      </w:divBdr>
                                      <w:divsChild>
                                        <w:div w:id="841629854">
                                          <w:marLeft w:val="0"/>
                                          <w:marRight w:val="0"/>
                                          <w:marTop w:val="0"/>
                                          <w:marBottom w:val="0"/>
                                          <w:divBdr>
                                            <w:top w:val="none" w:sz="0" w:space="0" w:color="auto"/>
                                            <w:left w:val="none" w:sz="0" w:space="0" w:color="auto"/>
                                            <w:bottom w:val="none" w:sz="0" w:space="0" w:color="auto"/>
                                            <w:right w:val="none" w:sz="0" w:space="0" w:color="auto"/>
                                          </w:divBdr>
                                          <w:divsChild>
                                            <w:div w:id="2061242253">
                                              <w:marLeft w:val="0"/>
                                              <w:marRight w:val="0"/>
                                              <w:marTop w:val="0"/>
                                              <w:marBottom w:val="0"/>
                                              <w:divBdr>
                                                <w:top w:val="none" w:sz="0" w:space="0" w:color="auto"/>
                                                <w:left w:val="none" w:sz="0" w:space="0" w:color="auto"/>
                                                <w:bottom w:val="none" w:sz="0" w:space="0" w:color="auto"/>
                                                <w:right w:val="none" w:sz="0" w:space="0" w:color="auto"/>
                                              </w:divBdr>
                                              <w:divsChild>
                                                <w:div w:id="18349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075778">
      <w:bodyDiv w:val="1"/>
      <w:marLeft w:val="0"/>
      <w:marRight w:val="0"/>
      <w:marTop w:val="0"/>
      <w:marBottom w:val="0"/>
      <w:divBdr>
        <w:top w:val="none" w:sz="0" w:space="0" w:color="auto"/>
        <w:left w:val="none" w:sz="0" w:space="0" w:color="auto"/>
        <w:bottom w:val="none" w:sz="0" w:space="0" w:color="auto"/>
        <w:right w:val="none" w:sz="0" w:space="0" w:color="auto"/>
      </w:divBdr>
      <w:divsChild>
        <w:div w:id="1681927513">
          <w:marLeft w:val="0"/>
          <w:marRight w:val="0"/>
          <w:marTop w:val="0"/>
          <w:marBottom w:val="0"/>
          <w:divBdr>
            <w:top w:val="none" w:sz="0" w:space="0" w:color="auto"/>
            <w:left w:val="none" w:sz="0" w:space="0" w:color="auto"/>
            <w:bottom w:val="none" w:sz="0" w:space="0" w:color="auto"/>
            <w:right w:val="none" w:sz="0" w:space="0" w:color="auto"/>
          </w:divBdr>
          <w:divsChild>
            <w:div w:id="8151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1961">
      <w:bodyDiv w:val="1"/>
      <w:marLeft w:val="0"/>
      <w:marRight w:val="0"/>
      <w:marTop w:val="0"/>
      <w:marBottom w:val="0"/>
      <w:divBdr>
        <w:top w:val="none" w:sz="0" w:space="0" w:color="auto"/>
        <w:left w:val="none" w:sz="0" w:space="0" w:color="auto"/>
        <w:bottom w:val="none" w:sz="0" w:space="0" w:color="auto"/>
        <w:right w:val="none" w:sz="0" w:space="0" w:color="auto"/>
      </w:divBdr>
      <w:divsChild>
        <w:div w:id="1376850293">
          <w:marLeft w:val="0"/>
          <w:marRight w:val="0"/>
          <w:marTop w:val="0"/>
          <w:marBottom w:val="0"/>
          <w:divBdr>
            <w:top w:val="none" w:sz="0" w:space="0" w:color="auto"/>
            <w:left w:val="none" w:sz="0" w:space="0" w:color="auto"/>
            <w:bottom w:val="none" w:sz="0" w:space="0" w:color="auto"/>
            <w:right w:val="none" w:sz="0" w:space="0" w:color="auto"/>
          </w:divBdr>
          <w:divsChild>
            <w:div w:id="616912424">
              <w:marLeft w:val="0"/>
              <w:marRight w:val="0"/>
              <w:marTop w:val="300"/>
              <w:marBottom w:val="0"/>
              <w:divBdr>
                <w:top w:val="single" w:sz="6" w:space="0" w:color="DDDDDD"/>
                <w:left w:val="single" w:sz="6" w:space="0" w:color="DDDDDD"/>
                <w:bottom w:val="single" w:sz="6" w:space="0" w:color="DDDDDD"/>
                <w:right w:val="single" w:sz="6" w:space="0" w:color="DDDDDD"/>
              </w:divBdr>
              <w:divsChild>
                <w:div w:id="1801529381">
                  <w:marLeft w:val="0"/>
                  <w:marRight w:val="0"/>
                  <w:marTop w:val="0"/>
                  <w:marBottom w:val="0"/>
                  <w:divBdr>
                    <w:top w:val="none" w:sz="0" w:space="0" w:color="auto"/>
                    <w:left w:val="none" w:sz="0" w:space="0" w:color="auto"/>
                    <w:bottom w:val="none" w:sz="0" w:space="0" w:color="auto"/>
                    <w:right w:val="none" w:sz="0" w:space="0" w:color="auto"/>
                  </w:divBdr>
                  <w:divsChild>
                    <w:div w:id="1788281665">
                      <w:marLeft w:val="0"/>
                      <w:marRight w:val="0"/>
                      <w:marTop w:val="0"/>
                      <w:marBottom w:val="0"/>
                      <w:divBdr>
                        <w:top w:val="none" w:sz="0" w:space="0" w:color="auto"/>
                        <w:left w:val="none" w:sz="0" w:space="0" w:color="auto"/>
                        <w:bottom w:val="none" w:sz="0" w:space="0" w:color="auto"/>
                        <w:right w:val="none" w:sz="0" w:space="0" w:color="auto"/>
                      </w:divBdr>
                      <w:divsChild>
                        <w:div w:id="1681421062">
                          <w:marLeft w:val="0"/>
                          <w:marRight w:val="0"/>
                          <w:marTop w:val="0"/>
                          <w:marBottom w:val="0"/>
                          <w:divBdr>
                            <w:top w:val="none" w:sz="0" w:space="0" w:color="auto"/>
                            <w:left w:val="none" w:sz="0" w:space="0" w:color="auto"/>
                            <w:bottom w:val="none" w:sz="0" w:space="0" w:color="auto"/>
                            <w:right w:val="none" w:sz="0" w:space="0" w:color="auto"/>
                          </w:divBdr>
                          <w:divsChild>
                            <w:div w:id="2125880846">
                              <w:marLeft w:val="0"/>
                              <w:marRight w:val="0"/>
                              <w:marTop w:val="0"/>
                              <w:marBottom w:val="0"/>
                              <w:divBdr>
                                <w:top w:val="none" w:sz="0" w:space="0" w:color="auto"/>
                                <w:left w:val="none" w:sz="0" w:space="0" w:color="auto"/>
                                <w:bottom w:val="none" w:sz="0" w:space="0" w:color="auto"/>
                                <w:right w:val="none" w:sz="0" w:space="0" w:color="auto"/>
                              </w:divBdr>
                              <w:divsChild>
                                <w:div w:id="2073774852">
                                  <w:marLeft w:val="0"/>
                                  <w:marRight w:val="0"/>
                                  <w:marTop w:val="0"/>
                                  <w:marBottom w:val="0"/>
                                  <w:divBdr>
                                    <w:top w:val="none" w:sz="0" w:space="0" w:color="auto"/>
                                    <w:left w:val="none" w:sz="0" w:space="0" w:color="auto"/>
                                    <w:bottom w:val="none" w:sz="0" w:space="0" w:color="auto"/>
                                    <w:right w:val="none" w:sz="0" w:space="0" w:color="auto"/>
                                  </w:divBdr>
                                  <w:divsChild>
                                    <w:div w:id="1844203652">
                                      <w:marLeft w:val="0"/>
                                      <w:marRight w:val="0"/>
                                      <w:marTop w:val="0"/>
                                      <w:marBottom w:val="0"/>
                                      <w:divBdr>
                                        <w:top w:val="none" w:sz="0" w:space="0" w:color="auto"/>
                                        <w:left w:val="none" w:sz="0" w:space="0" w:color="auto"/>
                                        <w:bottom w:val="none" w:sz="0" w:space="0" w:color="auto"/>
                                        <w:right w:val="none" w:sz="0" w:space="0" w:color="auto"/>
                                      </w:divBdr>
                                      <w:divsChild>
                                        <w:div w:id="554244484">
                                          <w:marLeft w:val="0"/>
                                          <w:marRight w:val="0"/>
                                          <w:marTop w:val="0"/>
                                          <w:marBottom w:val="0"/>
                                          <w:divBdr>
                                            <w:top w:val="none" w:sz="0" w:space="0" w:color="auto"/>
                                            <w:left w:val="none" w:sz="0" w:space="0" w:color="auto"/>
                                            <w:bottom w:val="none" w:sz="0" w:space="0" w:color="auto"/>
                                            <w:right w:val="none" w:sz="0" w:space="0" w:color="auto"/>
                                          </w:divBdr>
                                        </w:div>
                                        <w:div w:id="19765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202212">
      <w:bodyDiv w:val="1"/>
      <w:marLeft w:val="0"/>
      <w:marRight w:val="0"/>
      <w:marTop w:val="0"/>
      <w:marBottom w:val="0"/>
      <w:divBdr>
        <w:top w:val="none" w:sz="0" w:space="0" w:color="auto"/>
        <w:left w:val="none" w:sz="0" w:space="0" w:color="auto"/>
        <w:bottom w:val="none" w:sz="0" w:space="0" w:color="auto"/>
        <w:right w:val="none" w:sz="0" w:space="0" w:color="auto"/>
      </w:divBdr>
      <w:divsChild>
        <w:div w:id="2075200208">
          <w:marLeft w:val="0"/>
          <w:marRight w:val="0"/>
          <w:marTop w:val="0"/>
          <w:marBottom w:val="0"/>
          <w:divBdr>
            <w:top w:val="none" w:sz="0" w:space="0" w:color="auto"/>
            <w:left w:val="none" w:sz="0" w:space="0" w:color="auto"/>
            <w:bottom w:val="none" w:sz="0" w:space="0" w:color="auto"/>
            <w:right w:val="none" w:sz="0" w:space="0" w:color="auto"/>
          </w:divBdr>
          <w:divsChild>
            <w:div w:id="19912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2274">
      <w:bodyDiv w:val="1"/>
      <w:marLeft w:val="0"/>
      <w:marRight w:val="0"/>
      <w:marTop w:val="0"/>
      <w:marBottom w:val="0"/>
      <w:divBdr>
        <w:top w:val="none" w:sz="0" w:space="0" w:color="auto"/>
        <w:left w:val="none" w:sz="0" w:space="0" w:color="auto"/>
        <w:bottom w:val="none" w:sz="0" w:space="0" w:color="auto"/>
        <w:right w:val="none" w:sz="0" w:space="0" w:color="auto"/>
      </w:divBdr>
      <w:divsChild>
        <w:div w:id="1891186357">
          <w:marLeft w:val="0"/>
          <w:marRight w:val="0"/>
          <w:marTop w:val="0"/>
          <w:marBottom w:val="0"/>
          <w:divBdr>
            <w:top w:val="none" w:sz="0" w:space="0" w:color="auto"/>
            <w:left w:val="none" w:sz="0" w:space="0" w:color="auto"/>
            <w:bottom w:val="none" w:sz="0" w:space="0" w:color="auto"/>
            <w:right w:val="none" w:sz="0" w:space="0" w:color="auto"/>
          </w:divBdr>
          <w:divsChild>
            <w:div w:id="7665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6825">
      <w:bodyDiv w:val="1"/>
      <w:marLeft w:val="0"/>
      <w:marRight w:val="0"/>
      <w:marTop w:val="0"/>
      <w:marBottom w:val="0"/>
      <w:divBdr>
        <w:top w:val="none" w:sz="0" w:space="0" w:color="auto"/>
        <w:left w:val="none" w:sz="0" w:space="0" w:color="auto"/>
        <w:bottom w:val="none" w:sz="0" w:space="0" w:color="auto"/>
        <w:right w:val="none" w:sz="0" w:space="0" w:color="auto"/>
      </w:divBdr>
    </w:div>
    <w:div w:id="1474371727">
      <w:bodyDiv w:val="1"/>
      <w:marLeft w:val="0"/>
      <w:marRight w:val="0"/>
      <w:marTop w:val="0"/>
      <w:marBottom w:val="0"/>
      <w:divBdr>
        <w:top w:val="none" w:sz="0" w:space="0" w:color="auto"/>
        <w:left w:val="none" w:sz="0" w:space="0" w:color="auto"/>
        <w:bottom w:val="none" w:sz="0" w:space="0" w:color="auto"/>
        <w:right w:val="none" w:sz="0" w:space="0" w:color="auto"/>
      </w:divBdr>
    </w:div>
    <w:div w:id="1537162158">
      <w:bodyDiv w:val="1"/>
      <w:marLeft w:val="0"/>
      <w:marRight w:val="0"/>
      <w:marTop w:val="0"/>
      <w:marBottom w:val="0"/>
      <w:divBdr>
        <w:top w:val="none" w:sz="0" w:space="0" w:color="auto"/>
        <w:left w:val="none" w:sz="0" w:space="0" w:color="auto"/>
        <w:bottom w:val="none" w:sz="0" w:space="0" w:color="auto"/>
        <w:right w:val="none" w:sz="0" w:space="0" w:color="auto"/>
      </w:divBdr>
      <w:divsChild>
        <w:div w:id="460805488">
          <w:marLeft w:val="0"/>
          <w:marRight w:val="0"/>
          <w:marTop w:val="0"/>
          <w:marBottom w:val="0"/>
          <w:divBdr>
            <w:top w:val="none" w:sz="0" w:space="0" w:color="auto"/>
            <w:left w:val="none" w:sz="0" w:space="0" w:color="auto"/>
            <w:bottom w:val="none" w:sz="0" w:space="0" w:color="auto"/>
            <w:right w:val="none" w:sz="0" w:space="0" w:color="auto"/>
          </w:divBdr>
          <w:divsChild>
            <w:div w:id="20358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8396">
      <w:bodyDiv w:val="1"/>
      <w:marLeft w:val="0"/>
      <w:marRight w:val="0"/>
      <w:marTop w:val="0"/>
      <w:marBottom w:val="0"/>
      <w:divBdr>
        <w:top w:val="none" w:sz="0" w:space="0" w:color="auto"/>
        <w:left w:val="none" w:sz="0" w:space="0" w:color="auto"/>
        <w:bottom w:val="none" w:sz="0" w:space="0" w:color="auto"/>
        <w:right w:val="none" w:sz="0" w:space="0" w:color="auto"/>
      </w:divBdr>
      <w:divsChild>
        <w:div w:id="783310890">
          <w:marLeft w:val="0"/>
          <w:marRight w:val="0"/>
          <w:marTop w:val="0"/>
          <w:marBottom w:val="0"/>
          <w:divBdr>
            <w:top w:val="none" w:sz="0" w:space="0" w:color="auto"/>
            <w:left w:val="none" w:sz="0" w:space="0" w:color="auto"/>
            <w:bottom w:val="none" w:sz="0" w:space="0" w:color="auto"/>
            <w:right w:val="none" w:sz="0" w:space="0" w:color="auto"/>
          </w:divBdr>
          <w:divsChild>
            <w:div w:id="19155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4254">
      <w:bodyDiv w:val="1"/>
      <w:marLeft w:val="0"/>
      <w:marRight w:val="0"/>
      <w:marTop w:val="0"/>
      <w:marBottom w:val="0"/>
      <w:divBdr>
        <w:top w:val="none" w:sz="0" w:space="0" w:color="auto"/>
        <w:left w:val="none" w:sz="0" w:space="0" w:color="auto"/>
        <w:bottom w:val="none" w:sz="0" w:space="0" w:color="auto"/>
        <w:right w:val="none" w:sz="0" w:space="0" w:color="auto"/>
      </w:divBdr>
      <w:divsChild>
        <w:div w:id="396319656">
          <w:marLeft w:val="0"/>
          <w:marRight w:val="0"/>
          <w:marTop w:val="0"/>
          <w:marBottom w:val="0"/>
          <w:divBdr>
            <w:top w:val="none" w:sz="0" w:space="0" w:color="auto"/>
            <w:left w:val="none" w:sz="0" w:space="0" w:color="auto"/>
            <w:bottom w:val="none" w:sz="0" w:space="0" w:color="auto"/>
            <w:right w:val="none" w:sz="0" w:space="0" w:color="auto"/>
          </w:divBdr>
          <w:divsChild>
            <w:div w:id="8204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2592">
      <w:bodyDiv w:val="1"/>
      <w:marLeft w:val="0"/>
      <w:marRight w:val="0"/>
      <w:marTop w:val="0"/>
      <w:marBottom w:val="0"/>
      <w:divBdr>
        <w:top w:val="none" w:sz="0" w:space="0" w:color="auto"/>
        <w:left w:val="none" w:sz="0" w:space="0" w:color="auto"/>
        <w:bottom w:val="none" w:sz="0" w:space="0" w:color="auto"/>
        <w:right w:val="none" w:sz="0" w:space="0" w:color="auto"/>
      </w:divBdr>
      <w:divsChild>
        <w:div w:id="487788457">
          <w:marLeft w:val="0"/>
          <w:marRight w:val="0"/>
          <w:marTop w:val="0"/>
          <w:marBottom w:val="0"/>
          <w:divBdr>
            <w:top w:val="none" w:sz="0" w:space="0" w:color="auto"/>
            <w:left w:val="none" w:sz="0" w:space="0" w:color="auto"/>
            <w:bottom w:val="none" w:sz="0" w:space="0" w:color="auto"/>
            <w:right w:val="none" w:sz="0" w:space="0" w:color="auto"/>
          </w:divBdr>
          <w:divsChild>
            <w:div w:id="21231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3197">
      <w:bodyDiv w:val="1"/>
      <w:marLeft w:val="0"/>
      <w:marRight w:val="0"/>
      <w:marTop w:val="0"/>
      <w:marBottom w:val="0"/>
      <w:divBdr>
        <w:top w:val="none" w:sz="0" w:space="0" w:color="auto"/>
        <w:left w:val="none" w:sz="0" w:space="0" w:color="auto"/>
        <w:bottom w:val="none" w:sz="0" w:space="0" w:color="auto"/>
        <w:right w:val="none" w:sz="0" w:space="0" w:color="auto"/>
      </w:divBdr>
      <w:divsChild>
        <w:div w:id="1566068103">
          <w:marLeft w:val="0"/>
          <w:marRight w:val="0"/>
          <w:marTop w:val="0"/>
          <w:marBottom w:val="0"/>
          <w:divBdr>
            <w:top w:val="none" w:sz="0" w:space="0" w:color="auto"/>
            <w:left w:val="none" w:sz="0" w:space="0" w:color="auto"/>
            <w:bottom w:val="none" w:sz="0" w:space="0" w:color="auto"/>
            <w:right w:val="none" w:sz="0" w:space="0" w:color="auto"/>
          </w:divBdr>
          <w:divsChild>
            <w:div w:id="2481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1151">
      <w:bodyDiv w:val="1"/>
      <w:marLeft w:val="0"/>
      <w:marRight w:val="0"/>
      <w:marTop w:val="0"/>
      <w:marBottom w:val="0"/>
      <w:divBdr>
        <w:top w:val="none" w:sz="0" w:space="0" w:color="auto"/>
        <w:left w:val="none" w:sz="0" w:space="0" w:color="auto"/>
        <w:bottom w:val="none" w:sz="0" w:space="0" w:color="auto"/>
        <w:right w:val="none" w:sz="0" w:space="0" w:color="auto"/>
      </w:divBdr>
      <w:divsChild>
        <w:div w:id="375399269">
          <w:marLeft w:val="0"/>
          <w:marRight w:val="0"/>
          <w:marTop w:val="0"/>
          <w:marBottom w:val="0"/>
          <w:divBdr>
            <w:top w:val="none" w:sz="0" w:space="0" w:color="auto"/>
            <w:left w:val="none" w:sz="0" w:space="0" w:color="auto"/>
            <w:bottom w:val="none" w:sz="0" w:space="0" w:color="auto"/>
            <w:right w:val="none" w:sz="0" w:space="0" w:color="auto"/>
          </w:divBdr>
          <w:divsChild>
            <w:div w:id="5638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0176">
      <w:bodyDiv w:val="1"/>
      <w:marLeft w:val="0"/>
      <w:marRight w:val="0"/>
      <w:marTop w:val="0"/>
      <w:marBottom w:val="0"/>
      <w:divBdr>
        <w:top w:val="none" w:sz="0" w:space="0" w:color="auto"/>
        <w:left w:val="none" w:sz="0" w:space="0" w:color="auto"/>
        <w:bottom w:val="none" w:sz="0" w:space="0" w:color="auto"/>
        <w:right w:val="none" w:sz="0" w:space="0" w:color="auto"/>
      </w:divBdr>
      <w:divsChild>
        <w:div w:id="614604605">
          <w:marLeft w:val="0"/>
          <w:marRight w:val="0"/>
          <w:marTop w:val="0"/>
          <w:marBottom w:val="0"/>
          <w:divBdr>
            <w:top w:val="none" w:sz="0" w:space="0" w:color="auto"/>
            <w:left w:val="none" w:sz="0" w:space="0" w:color="auto"/>
            <w:bottom w:val="none" w:sz="0" w:space="0" w:color="auto"/>
            <w:right w:val="none" w:sz="0" w:space="0" w:color="auto"/>
          </w:divBdr>
          <w:divsChild>
            <w:div w:id="2039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5815">
      <w:bodyDiv w:val="1"/>
      <w:marLeft w:val="0"/>
      <w:marRight w:val="0"/>
      <w:marTop w:val="0"/>
      <w:marBottom w:val="0"/>
      <w:divBdr>
        <w:top w:val="none" w:sz="0" w:space="0" w:color="auto"/>
        <w:left w:val="none" w:sz="0" w:space="0" w:color="auto"/>
        <w:bottom w:val="none" w:sz="0" w:space="0" w:color="auto"/>
        <w:right w:val="none" w:sz="0" w:space="0" w:color="auto"/>
      </w:divBdr>
      <w:divsChild>
        <w:div w:id="836193531">
          <w:marLeft w:val="0"/>
          <w:marRight w:val="0"/>
          <w:marTop w:val="0"/>
          <w:marBottom w:val="0"/>
          <w:divBdr>
            <w:top w:val="none" w:sz="0" w:space="0" w:color="auto"/>
            <w:left w:val="none" w:sz="0" w:space="0" w:color="auto"/>
            <w:bottom w:val="none" w:sz="0" w:space="0" w:color="auto"/>
            <w:right w:val="none" w:sz="0" w:space="0" w:color="auto"/>
          </w:divBdr>
          <w:divsChild>
            <w:div w:id="9791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6052">
      <w:bodyDiv w:val="1"/>
      <w:marLeft w:val="0"/>
      <w:marRight w:val="0"/>
      <w:marTop w:val="0"/>
      <w:marBottom w:val="0"/>
      <w:divBdr>
        <w:top w:val="none" w:sz="0" w:space="0" w:color="auto"/>
        <w:left w:val="none" w:sz="0" w:space="0" w:color="auto"/>
        <w:bottom w:val="none" w:sz="0" w:space="0" w:color="auto"/>
        <w:right w:val="none" w:sz="0" w:space="0" w:color="auto"/>
      </w:divBdr>
      <w:divsChild>
        <w:div w:id="598566418">
          <w:marLeft w:val="0"/>
          <w:marRight w:val="0"/>
          <w:marTop w:val="0"/>
          <w:marBottom w:val="0"/>
          <w:divBdr>
            <w:top w:val="none" w:sz="0" w:space="0" w:color="auto"/>
            <w:left w:val="none" w:sz="0" w:space="0" w:color="auto"/>
            <w:bottom w:val="none" w:sz="0" w:space="0" w:color="auto"/>
            <w:right w:val="none" w:sz="0" w:space="0" w:color="auto"/>
          </w:divBdr>
          <w:divsChild>
            <w:div w:id="1731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5118">
      <w:bodyDiv w:val="1"/>
      <w:marLeft w:val="0"/>
      <w:marRight w:val="0"/>
      <w:marTop w:val="0"/>
      <w:marBottom w:val="0"/>
      <w:divBdr>
        <w:top w:val="none" w:sz="0" w:space="0" w:color="auto"/>
        <w:left w:val="none" w:sz="0" w:space="0" w:color="auto"/>
        <w:bottom w:val="none" w:sz="0" w:space="0" w:color="auto"/>
        <w:right w:val="none" w:sz="0" w:space="0" w:color="auto"/>
      </w:divBdr>
      <w:divsChild>
        <w:div w:id="430975956">
          <w:marLeft w:val="0"/>
          <w:marRight w:val="0"/>
          <w:marTop w:val="0"/>
          <w:marBottom w:val="0"/>
          <w:divBdr>
            <w:top w:val="none" w:sz="0" w:space="0" w:color="auto"/>
            <w:left w:val="none" w:sz="0" w:space="0" w:color="auto"/>
            <w:bottom w:val="none" w:sz="0" w:space="0" w:color="auto"/>
            <w:right w:val="none" w:sz="0" w:space="0" w:color="auto"/>
          </w:divBdr>
          <w:divsChild>
            <w:div w:id="17483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520">
      <w:bodyDiv w:val="1"/>
      <w:marLeft w:val="0"/>
      <w:marRight w:val="0"/>
      <w:marTop w:val="0"/>
      <w:marBottom w:val="0"/>
      <w:divBdr>
        <w:top w:val="none" w:sz="0" w:space="0" w:color="auto"/>
        <w:left w:val="none" w:sz="0" w:space="0" w:color="auto"/>
        <w:bottom w:val="none" w:sz="0" w:space="0" w:color="auto"/>
        <w:right w:val="none" w:sz="0" w:space="0" w:color="auto"/>
      </w:divBdr>
      <w:divsChild>
        <w:div w:id="1019888531">
          <w:marLeft w:val="0"/>
          <w:marRight w:val="0"/>
          <w:marTop w:val="0"/>
          <w:marBottom w:val="0"/>
          <w:divBdr>
            <w:top w:val="none" w:sz="0" w:space="0" w:color="auto"/>
            <w:left w:val="none" w:sz="0" w:space="0" w:color="auto"/>
            <w:bottom w:val="none" w:sz="0" w:space="0" w:color="auto"/>
            <w:right w:val="none" w:sz="0" w:space="0" w:color="auto"/>
          </w:divBdr>
          <w:divsChild>
            <w:div w:id="15902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6795">
      <w:bodyDiv w:val="1"/>
      <w:marLeft w:val="0"/>
      <w:marRight w:val="0"/>
      <w:marTop w:val="0"/>
      <w:marBottom w:val="0"/>
      <w:divBdr>
        <w:top w:val="none" w:sz="0" w:space="0" w:color="auto"/>
        <w:left w:val="none" w:sz="0" w:space="0" w:color="auto"/>
        <w:bottom w:val="none" w:sz="0" w:space="0" w:color="auto"/>
        <w:right w:val="none" w:sz="0" w:space="0" w:color="auto"/>
      </w:divBdr>
      <w:divsChild>
        <w:div w:id="1358194795">
          <w:marLeft w:val="0"/>
          <w:marRight w:val="0"/>
          <w:marTop w:val="0"/>
          <w:marBottom w:val="0"/>
          <w:divBdr>
            <w:top w:val="none" w:sz="0" w:space="0" w:color="auto"/>
            <w:left w:val="none" w:sz="0" w:space="0" w:color="auto"/>
            <w:bottom w:val="none" w:sz="0" w:space="0" w:color="auto"/>
            <w:right w:val="none" w:sz="0" w:space="0" w:color="auto"/>
          </w:divBdr>
          <w:divsChild>
            <w:div w:id="14664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0569">
      <w:bodyDiv w:val="1"/>
      <w:marLeft w:val="0"/>
      <w:marRight w:val="0"/>
      <w:marTop w:val="0"/>
      <w:marBottom w:val="0"/>
      <w:divBdr>
        <w:top w:val="none" w:sz="0" w:space="0" w:color="auto"/>
        <w:left w:val="none" w:sz="0" w:space="0" w:color="auto"/>
        <w:bottom w:val="none" w:sz="0" w:space="0" w:color="auto"/>
        <w:right w:val="none" w:sz="0" w:space="0" w:color="auto"/>
      </w:divBdr>
      <w:divsChild>
        <w:div w:id="1593661055">
          <w:marLeft w:val="0"/>
          <w:marRight w:val="0"/>
          <w:marTop w:val="0"/>
          <w:marBottom w:val="0"/>
          <w:divBdr>
            <w:top w:val="none" w:sz="0" w:space="0" w:color="auto"/>
            <w:left w:val="none" w:sz="0" w:space="0" w:color="auto"/>
            <w:bottom w:val="none" w:sz="0" w:space="0" w:color="auto"/>
            <w:right w:val="none" w:sz="0" w:space="0" w:color="auto"/>
          </w:divBdr>
          <w:divsChild>
            <w:div w:id="18550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6472">
      <w:bodyDiv w:val="1"/>
      <w:marLeft w:val="0"/>
      <w:marRight w:val="0"/>
      <w:marTop w:val="0"/>
      <w:marBottom w:val="0"/>
      <w:divBdr>
        <w:top w:val="none" w:sz="0" w:space="0" w:color="auto"/>
        <w:left w:val="none" w:sz="0" w:space="0" w:color="auto"/>
        <w:bottom w:val="none" w:sz="0" w:space="0" w:color="auto"/>
        <w:right w:val="none" w:sz="0" w:space="0" w:color="auto"/>
      </w:divBdr>
      <w:divsChild>
        <w:div w:id="989023174">
          <w:marLeft w:val="0"/>
          <w:marRight w:val="0"/>
          <w:marTop w:val="0"/>
          <w:marBottom w:val="0"/>
          <w:divBdr>
            <w:top w:val="none" w:sz="0" w:space="0" w:color="auto"/>
            <w:left w:val="none" w:sz="0" w:space="0" w:color="auto"/>
            <w:bottom w:val="none" w:sz="0" w:space="0" w:color="auto"/>
            <w:right w:val="none" w:sz="0" w:space="0" w:color="auto"/>
          </w:divBdr>
          <w:divsChild>
            <w:div w:id="18567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E7D62-5281-44D7-ABFF-8C772932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39513</Words>
  <Characters>225225</Characters>
  <Application>Microsoft Office Word</Application>
  <DocSecurity>0</DocSecurity>
  <Lines>1876</Lines>
  <Paragraphs>528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Badal Rashu</dc:creator>
  <cp:keywords/>
  <dc:description/>
  <cp:lastModifiedBy>Liansheng Ma</cp:lastModifiedBy>
  <cp:revision>2</cp:revision>
  <dcterms:created xsi:type="dcterms:W3CDTF">2020-04-16T22:34:00Z</dcterms:created>
  <dcterms:modified xsi:type="dcterms:W3CDTF">2020-04-16T22:34:00Z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http://www.zotero.org/styles/american-medical-association</vt:lpwstr>
  </property>
  <property fmtid="{D5CDD505-2E9C-101B-9397-08002B2CF9AE}" pid="24" name="Mendeley Unique User Id_1">
    <vt:lpwstr>aa860024-8e47-3152-855c-c96aca455e56</vt:lpwstr>
  </property>
</Properties>
</file>