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8010E" w14:textId="2C25AA1F" w:rsidR="00D86B60" w:rsidRPr="004E79AD" w:rsidRDefault="00CD542D" w:rsidP="004E79AD">
      <w:pPr>
        <w:snapToGrid w:val="0"/>
        <w:spacing w:after="0" w:line="360" w:lineRule="auto"/>
        <w:jc w:val="both"/>
        <w:rPr>
          <w:rFonts w:ascii="Book Antiqua" w:hAnsi="Book Antiqua" w:cs="Times New Roman"/>
          <w:i/>
          <w:sz w:val="24"/>
          <w:szCs w:val="24"/>
        </w:rPr>
      </w:pPr>
      <w:r w:rsidRPr="004E79AD">
        <w:rPr>
          <w:rFonts w:ascii="Book Antiqua" w:hAnsi="Book Antiqua" w:cs="Times New Roman"/>
          <w:b/>
          <w:sz w:val="24"/>
          <w:szCs w:val="24"/>
        </w:rPr>
        <w:t>Name of J</w:t>
      </w:r>
      <w:r w:rsidR="00D86B60" w:rsidRPr="004E79AD">
        <w:rPr>
          <w:rFonts w:ascii="Book Antiqua" w:hAnsi="Book Antiqua" w:cs="Times New Roman"/>
          <w:b/>
          <w:sz w:val="24"/>
          <w:szCs w:val="24"/>
        </w:rPr>
        <w:t xml:space="preserve">ournal: </w:t>
      </w:r>
      <w:r w:rsidR="00D86B60" w:rsidRPr="004E79AD">
        <w:rPr>
          <w:rFonts w:ascii="Book Antiqua" w:hAnsi="Book Antiqua" w:cs="Times New Roman"/>
          <w:i/>
          <w:sz w:val="24"/>
          <w:szCs w:val="24"/>
        </w:rPr>
        <w:t>World Journal of Gastrointestinal Oncology</w:t>
      </w:r>
    </w:p>
    <w:p w14:paraId="5AFC0834" w14:textId="5749D5A1" w:rsidR="00D86B60" w:rsidRPr="004E79AD" w:rsidRDefault="00D54444"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Manuscript NO:</w:t>
      </w:r>
      <w:r w:rsidRPr="004E79AD">
        <w:rPr>
          <w:rFonts w:ascii="Book Antiqua" w:hAnsi="Book Antiqua" w:cs="Times New Roman"/>
          <w:sz w:val="24"/>
          <w:szCs w:val="24"/>
        </w:rPr>
        <w:t xml:space="preserve"> 54408</w:t>
      </w:r>
    </w:p>
    <w:p w14:paraId="6204C89D" w14:textId="77777777" w:rsidR="0057548C" w:rsidRPr="004E79AD" w:rsidRDefault="0057548C" w:rsidP="004E79AD">
      <w:pPr>
        <w:adjustRightInd w:val="0"/>
        <w:snapToGrid w:val="0"/>
        <w:spacing w:after="0" w:line="360" w:lineRule="auto"/>
        <w:jc w:val="both"/>
        <w:rPr>
          <w:rFonts w:ascii="Book Antiqua" w:eastAsia="幼圆" w:hAnsi="Book Antiqua"/>
          <w:sz w:val="24"/>
          <w:szCs w:val="24"/>
          <w:lang w:eastAsia="zh-CN"/>
        </w:rPr>
      </w:pPr>
      <w:bookmarkStart w:id="0" w:name="OLE_LINK3"/>
      <w:bookmarkStart w:id="1" w:name="OLE_LINK4"/>
      <w:r w:rsidRPr="004E79AD">
        <w:rPr>
          <w:rFonts w:ascii="Book Antiqua" w:hAnsi="Book Antiqua"/>
          <w:b/>
          <w:sz w:val="24"/>
          <w:szCs w:val="24"/>
          <w:shd w:val="clear" w:color="auto" w:fill="FFFFFF"/>
        </w:rPr>
        <w:t>Manuscript Type</w:t>
      </w:r>
      <w:r w:rsidRPr="004E79AD">
        <w:rPr>
          <w:rFonts w:ascii="Book Antiqua" w:hAnsi="Book Antiqua"/>
          <w:b/>
          <w:sz w:val="24"/>
          <w:szCs w:val="24"/>
        </w:rPr>
        <w:t>:</w:t>
      </w:r>
      <w:bookmarkEnd w:id="0"/>
      <w:bookmarkEnd w:id="1"/>
      <w:r w:rsidRPr="004E79AD">
        <w:rPr>
          <w:rFonts w:ascii="Book Antiqua" w:hAnsi="Book Antiqua" w:cs="Arial"/>
          <w:b/>
          <w:sz w:val="24"/>
          <w:szCs w:val="24"/>
          <w:shd w:val="clear" w:color="auto" w:fill="FFFFFF"/>
          <w:lang w:eastAsia="zh-CN"/>
        </w:rPr>
        <w:t xml:space="preserve"> </w:t>
      </w:r>
      <w:r w:rsidRPr="004E79AD">
        <w:rPr>
          <w:rFonts w:ascii="Book Antiqua" w:hAnsi="Book Antiqua"/>
          <w:sz w:val="24"/>
          <w:szCs w:val="24"/>
        </w:rPr>
        <w:t>ORIGINAL ARTICLE</w:t>
      </w:r>
      <w:r w:rsidRPr="004E79AD">
        <w:rPr>
          <w:rFonts w:ascii="Book Antiqua" w:eastAsia="幼圆" w:hAnsi="Book Antiqua"/>
          <w:sz w:val="24"/>
          <w:szCs w:val="24"/>
        </w:rPr>
        <w:t xml:space="preserve"> </w:t>
      </w:r>
    </w:p>
    <w:p w14:paraId="6C91280B" w14:textId="77777777" w:rsidR="0057548C" w:rsidRPr="004E79AD" w:rsidRDefault="0057548C" w:rsidP="004E79AD">
      <w:pPr>
        <w:adjustRightInd w:val="0"/>
        <w:snapToGrid w:val="0"/>
        <w:spacing w:after="0" w:line="360" w:lineRule="auto"/>
        <w:jc w:val="both"/>
        <w:rPr>
          <w:rFonts w:ascii="Book Antiqua" w:eastAsia="幼圆" w:hAnsi="Book Antiqua"/>
          <w:b/>
          <w:i/>
          <w:sz w:val="24"/>
          <w:szCs w:val="24"/>
          <w:lang w:eastAsia="zh-CN"/>
        </w:rPr>
      </w:pPr>
    </w:p>
    <w:p w14:paraId="70997C11" w14:textId="77777777" w:rsidR="0057548C" w:rsidRPr="004E79AD" w:rsidRDefault="0057548C" w:rsidP="004E79AD">
      <w:pPr>
        <w:adjustRightInd w:val="0"/>
        <w:snapToGrid w:val="0"/>
        <w:spacing w:after="0" w:line="360" w:lineRule="auto"/>
        <w:jc w:val="both"/>
        <w:rPr>
          <w:rFonts w:ascii="Book Antiqua" w:eastAsia="幼圆" w:hAnsi="Book Antiqua"/>
          <w:b/>
          <w:i/>
          <w:sz w:val="24"/>
          <w:szCs w:val="24"/>
        </w:rPr>
      </w:pPr>
      <w:r w:rsidRPr="004E79AD">
        <w:rPr>
          <w:rFonts w:ascii="Book Antiqua" w:eastAsia="幼圆" w:hAnsi="Book Antiqua"/>
          <w:b/>
          <w:i/>
          <w:sz w:val="24"/>
          <w:szCs w:val="24"/>
        </w:rPr>
        <w:t>Retrospective Study</w:t>
      </w:r>
    </w:p>
    <w:p w14:paraId="18CC7E58" w14:textId="61ACC4DC" w:rsidR="00FE4B16" w:rsidRPr="004E79AD" w:rsidRDefault="00CA54AB" w:rsidP="004E79AD">
      <w:pPr>
        <w:adjustRightInd w:val="0"/>
        <w:snapToGrid w:val="0"/>
        <w:spacing w:after="0" w:line="360" w:lineRule="auto"/>
        <w:jc w:val="both"/>
        <w:rPr>
          <w:rFonts w:ascii="Book Antiqua" w:eastAsia="幼圆" w:hAnsi="Book Antiqua"/>
          <w:b/>
          <w:i/>
          <w:sz w:val="24"/>
          <w:szCs w:val="24"/>
        </w:rPr>
      </w:pPr>
      <w:bookmarkStart w:id="2" w:name="OLE_LINK13"/>
      <w:r w:rsidRPr="004E79AD">
        <w:rPr>
          <w:rFonts w:ascii="Book Antiqua" w:hAnsi="Book Antiqua" w:cs="Times New Roman"/>
          <w:b/>
          <w:sz w:val="24"/>
          <w:szCs w:val="24"/>
        </w:rPr>
        <w:t xml:space="preserve">Comparison of </w:t>
      </w:r>
      <w:r w:rsidR="0057548C" w:rsidRPr="004E79AD">
        <w:rPr>
          <w:rFonts w:ascii="Book Antiqua" w:hAnsi="Book Antiqua" w:cs="Times New Roman"/>
          <w:b/>
          <w:sz w:val="24"/>
          <w:szCs w:val="24"/>
        </w:rPr>
        <w:t xml:space="preserve">open </w:t>
      </w:r>
      <w:r w:rsidRPr="004E79AD">
        <w:rPr>
          <w:rFonts w:ascii="Book Antiqua" w:hAnsi="Book Antiqua" w:cs="Times New Roman"/>
          <w:b/>
          <w:sz w:val="24"/>
          <w:szCs w:val="24"/>
        </w:rPr>
        <w:t xml:space="preserve">and </w:t>
      </w:r>
      <w:r w:rsidR="0057548C" w:rsidRPr="004E79AD">
        <w:rPr>
          <w:rFonts w:ascii="Book Antiqua" w:hAnsi="Book Antiqua" w:cs="Times New Roman"/>
          <w:b/>
          <w:sz w:val="24"/>
          <w:szCs w:val="24"/>
        </w:rPr>
        <w:t>closed hyperthermic intraperitoneal chemotherapy</w:t>
      </w:r>
      <w:r w:rsidR="00FE4B16" w:rsidRPr="004E79AD">
        <w:rPr>
          <w:rFonts w:ascii="Book Antiqua" w:hAnsi="Book Antiqua" w:cs="Times New Roman"/>
          <w:b/>
          <w:sz w:val="24"/>
          <w:szCs w:val="24"/>
        </w:rPr>
        <w:t xml:space="preserve">: </w:t>
      </w:r>
      <w:r w:rsidR="0057548C" w:rsidRPr="004E79AD">
        <w:rPr>
          <w:rFonts w:ascii="Book Antiqua" w:hAnsi="Book Antiqua" w:cs="Times New Roman"/>
          <w:b/>
          <w:sz w:val="24"/>
          <w:szCs w:val="24"/>
        </w:rPr>
        <w:t xml:space="preserve">Results </w:t>
      </w:r>
      <w:r w:rsidR="00FE4B16" w:rsidRPr="004E79AD">
        <w:rPr>
          <w:rFonts w:ascii="Book Antiqua" w:hAnsi="Book Antiqua" w:cs="Times New Roman"/>
          <w:b/>
          <w:sz w:val="24"/>
          <w:szCs w:val="24"/>
        </w:rPr>
        <w:t>from the U</w:t>
      </w:r>
      <w:r w:rsidR="0057548C" w:rsidRPr="004E79AD">
        <w:rPr>
          <w:rFonts w:ascii="Book Antiqua" w:hAnsi="Book Antiqua" w:cs="Times New Roman"/>
          <w:b/>
          <w:sz w:val="24"/>
          <w:szCs w:val="24"/>
        </w:rPr>
        <w:t xml:space="preserve">nited </w:t>
      </w:r>
      <w:r w:rsidR="00FE4B16" w:rsidRPr="004E79AD">
        <w:rPr>
          <w:rFonts w:ascii="Book Antiqua" w:hAnsi="Book Antiqua" w:cs="Times New Roman"/>
          <w:b/>
          <w:sz w:val="24"/>
          <w:szCs w:val="24"/>
        </w:rPr>
        <w:t>S</w:t>
      </w:r>
      <w:r w:rsidR="0057548C" w:rsidRPr="004E79AD">
        <w:rPr>
          <w:rFonts w:ascii="Book Antiqua" w:hAnsi="Book Antiqua" w:cs="Times New Roman"/>
          <w:b/>
          <w:sz w:val="24"/>
          <w:szCs w:val="24"/>
        </w:rPr>
        <w:t>tates</w:t>
      </w:r>
      <w:r w:rsidR="00FE4B16" w:rsidRPr="004E79AD">
        <w:rPr>
          <w:rFonts w:ascii="Book Antiqua" w:hAnsi="Book Antiqua" w:cs="Times New Roman"/>
          <w:b/>
          <w:sz w:val="24"/>
          <w:szCs w:val="24"/>
        </w:rPr>
        <w:t xml:space="preserve"> </w:t>
      </w:r>
      <w:r w:rsidR="0057548C" w:rsidRPr="004E79AD">
        <w:rPr>
          <w:rFonts w:ascii="Book Antiqua" w:hAnsi="Book Antiqua" w:cs="Times New Roman"/>
          <w:b/>
          <w:sz w:val="24"/>
          <w:szCs w:val="24"/>
        </w:rPr>
        <w:t>hyperthermic intraperitoneal chemotherapy</w:t>
      </w:r>
      <w:r w:rsidR="00FE4B16" w:rsidRPr="004E79AD">
        <w:rPr>
          <w:rFonts w:ascii="Book Antiqua" w:hAnsi="Book Antiqua" w:cs="Times New Roman"/>
          <w:b/>
          <w:sz w:val="24"/>
          <w:szCs w:val="24"/>
        </w:rPr>
        <w:t xml:space="preserve"> </w:t>
      </w:r>
      <w:r w:rsidR="0057548C" w:rsidRPr="004E79AD">
        <w:rPr>
          <w:rFonts w:ascii="Book Antiqua" w:hAnsi="Book Antiqua" w:cs="Times New Roman"/>
          <w:b/>
          <w:sz w:val="24"/>
          <w:szCs w:val="24"/>
        </w:rPr>
        <w:t>collaborative</w:t>
      </w:r>
    </w:p>
    <w:bookmarkEnd w:id="2"/>
    <w:p w14:paraId="3C02B4EA" w14:textId="77777777" w:rsidR="00853EF6" w:rsidRPr="004E79AD" w:rsidRDefault="00853EF6" w:rsidP="004E79AD">
      <w:pPr>
        <w:snapToGrid w:val="0"/>
        <w:spacing w:after="0" w:line="360" w:lineRule="auto"/>
        <w:jc w:val="both"/>
        <w:rPr>
          <w:rFonts w:ascii="Book Antiqua" w:hAnsi="Book Antiqua" w:cs="Times New Roman"/>
          <w:sz w:val="24"/>
          <w:szCs w:val="24"/>
        </w:rPr>
      </w:pPr>
    </w:p>
    <w:p w14:paraId="396642BD" w14:textId="450F5FB2" w:rsidR="00F75212" w:rsidRPr="004E79AD" w:rsidRDefault="00853EF6" w:rsidP="004E79AD">
      <w:pPr>
        <w:snapToGrid w:val="0"/>
        <w:spacing w:after="0" w:line="360" w:lineRule="auto"/>
        <w:jc w:val="both"/>
        <w:rPr>
          <w:rFonts w:ascii="Book Antiqua" w:hAnsi="Book Antiqua" w:cs="Times New Roman"/>
          <w:sz w:val="24"/>
          <w:szCs w:val="24"/>
        </w:rPr>
      </w:pPr>
      <w:proofErr w:type="spellStart"/>
      <w:r w:rsidRPr="004E79AD">
        <w:rPr>
          <w:rFonts w:ascii="Book Antiqua" w:hAnsi="Book Antiqua" w:cs="Times New Roman"/>
          <w:sz w:val="24"/>
          <w:szCs w:val="24"/>
        </w:rPr>
        <w:t>Leiting</w:t>
      </w:r>
      <w:proofErr w:type="spellEnd"/>
      <w:r w:rsidRPr="004E79AD">
        <w:rPr>
          <w:rFonts w:ascii="Book Antiqua" w:hAnsi="Book Antiqua" w:cs="Times New Roman"/>
          <w:sz w:val="24"/>
          <w:szCs w:val="24"/>
        </w:rPr>
        <w:t xml:space="preserve"> J</w:t>
      </w:r>
      <w:r w:rsidR="0057548C" w:rsidRPr="004E79AD">
        <w:rPr>
          <w:rFonts w:ascii="Book Antiqua" w:hAnsi="Book Antiqua" w:cs="Times New Roman"/>
          <w:sz w:val="24"/>
          <w:szCs w:val="24"/>
        </w:rPr>
        <w:t>L</w:t>
      </w:r>
      <w:r w:rsidRPr="004E79AD">
        <w:rPr>
          <w:rFonts w:ascii="Book Antiqua" w:hAnsi="Book Antiqua" w:cs="Times New Roman"/>
          <w:sz w:val="24"/>
          <w:szCs w:val="24"/>
        </w:rPr>
        <w:t xml:space="preserve"> </w:t>
      </w:r>
      <w:r w:rsidRPr="004E79AD">
        <w:rPr>
          <w:rFonts w:ascii="Book Antiqua" w:hAnsi="Book Antiqua" w:cs="Times New Roman"/>
          <w:i/>
          <w:sz w:val="24"/>
          <w:szCs w:val="24"/>
        </w:rPr>
        <w:t>et al</w:t>
      </w:r>
      <w:r w:rsidRPr="004E79AD">
        <w:rPr>
          <w:rFonts w:ascii="Book Antiqua" w:hAnsi="Book Antiqua" w:cs="Times New Roman"/>
          <w:sz w:val="24"/>
          <w:szCs w:val="24"/>
        </w:rPr>
        <w:t xml:space="preserve">. Comparison of </w:t>
      </w:r>
      <w:r w:rsidR="0057548C" w:rsidRPr="004E79AD">
        <w:rPr>
          <w:rFonts w:ascii="Book Antiqua" w:hAnsi="Book Antiqua" w:cs="Times New Roman"/>
          <w:sz w:val="24"/>
          <w:szCs w:val="24"/>
        </w:rPr>
        <w:t xml:space="preserve">open </w:t>
      </w:r>
      <w:r w:rsidRPr="004E79AD">
        <w:rPr>
          <w:rFonts w:ascii="Book Antiqua" w:hAnsi="Book Antiqua" w:cs="Times New Roman"/>
          <w:sz w:val="24"/>
          <w:szCs w:val="24"/>
        </w:rPr>
        <w:t xml:space="preserve">and </w:t>
      </w:r>
      <w:r w:rsidR="0057548C" w:rsidRPr="004E79AD">
        <w:rPr>
          <w:rFonts w:ascii="Book Antiqua" w:hAnsi="Book Antiqua" w:cs="Times New Roman"/>
          <w:sz w:val="24"/>
          <w:szCs w:val="24"/>
        </w:rPr>
        <w:t xml:space="preserve">closed </w:t>
      </w:r>
      <w:r w:rsidRPr="004E79AD">
        <w:rPr>
          <w:rFonts w:ascii="Book Antiqua" w:hAnsi="Book Antiqua" w:cs="Times New Roman"/>
          <w:sz w:val="24"/>
          <w:szCs w:val="24"/>
        </w:rPr>
        <w:t>HIPEC</w:t>
      </w:r>
    </w:p>
    <w:p w14:paraId="7B1CC619" w14:textId="77777777" w:rsidR="00CD542D" w:rsidRPr="004E79AD" w:rsidRDefault="00CD542D" w:rsidP="004E79AD">
      <w:pPr>
        <w:snapToGrid w:val="0"/>
        <w:spacing w:after="0" w:line="360" w:lineRule="auto"/>
        <w:jc w:val="both"/>
        <w:rPr>
          <w:rFonts w:ascii="Book Antiqua" w:hAnsi="Book Antiqua" w:cs="Times New Roman"/>
          <w:sz w:val="24"/>
          <w:szCs w:val="24"/>
        </w:rPr>
      </w:pPr>
    </w:p>
    <w:p w14:paraId="2A1B79CF" w14:textId="19835F35" w:rsidR="00CD542D" w:rsidRPr="004E79AD" w:rsidRDefault="00CD542D"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 xml:space="preserve">Jennifer L </w:t>
      </w:r>
      <w:proofErr w:type="spellStart"/>
      <w:r w:rsidRPr="004E79AD">
        <w:rPr>
          <w:rFonts w:ascii="Book Antiqua" w:hAnsi="Book Antiqua" w:cs="Times New Roman"/>
          <w:sz w:val="24"/>
          <w:szCs w:val="24"/>
        </w:rPr>
        <w:t>Leiting</w:t>
      </w:r>
      <w:proofErr w:type="spellEnd"/>
      <w:r w:rsidRPr="004E79AD">
        <w:rPr>
          <w:rFonts w:ascii="Book Antiqua" w:hAnsi="Book Antiqua" w:cs="Times New Roman"/>
          <w:sz w:val="24"/>
          <w:szCs w:val="24"/>
        </w:rPr>
        <w:t xml:space="preserve">, Jordan M </w:t>
      </w:r>
      <w:proofErr w:type="spellStart"/>
      <w:r w:rsidRPr="004E79AD">
        <w:rPr>
          <w:rFonts w:ascii="Book Antiqua" w:hAnsi="Book Antiqua" w:cs="Times New Roman"/>
          <w:sz w:val="24"/>
          <w:szCs w:val="24"/>
        </w:rPr>
        <w:t>Cloyd</w:t>
      </w:r>
      <w:proofErr w:type="spellEnd"/>
      <w:r w:rsidRPr="004E79AD">
        <w:rPr>
          <w:rFonts w:ascii="Book Antiqua" w:hAnsi="Book Antiqua" w:cs="Times New Roman"/>
          <w:sz w:val="24"/>
          <w:szCs w:val="24"/>
        </w:rPr>
        <w:t xml:space="preserve">, Ahmed </w:t>
      </w:r>
      <w:proofErr w:type="spellStart"/>
      <w:r w:rsidRPr="004E79AD">
        <w:rPr>
          <w:rFonts w:ascii="Book Antiqua" w:hAnsi="Book Antiqua" w:cs="Times New Roman"/>
          <w:sz w:val="24"/>
          <w:szCs w:val="24"/>
        </w:rPr>
        <w:t>Ahmed</w:t>
      </w:r>
      <w:proofErr w:type="spellEnd"/>
      <w:r w:rsidRPr="004E79AD">
        <w:rPr>
          <w:rFonts w:ascii="Book Antiqua" w:hAnsi="Book Antiqua" w:cs="Times New Roman"/>
          <w:sz w:val="24"/>
          <w:szCs w:val="24"/>
        </w:rPr>
        <w:t xml:space="preserve">, Keith Fournier, Andrew J Lee, Sophie </w:t>
      </w:r>
      <w:proofErr w:type="spellStart"/>
      <w:r w:rsidRPr="004E79AD">
        <w:rPr>
          <w:rFonts w:ascii="Book Antiqua" w:hAnsi="Book Antiqua" w:cs="Times New Roman"/>
          <w:sz w:val="24"/>
          <w:szCs w:val="24"/>
        </w:rPr>
        <w:t>Dessureault</w:t>
      </w:r>
      <w:proofErr w:type="spellEnd"/>
      <w:r w:rsidRPr="004E79AD">
        <w:rPr>
          <w:rFonts w:ascii="Book Antiqua" w:hAnsi="Book Antiqua" w:cs="Times New Roman"/>
          <w:sz w:val="24"/>
          <w:szCs w:val="24"/>
        </w:rPr>
        <w:t xml:space="preserve">, Seth Felder, </w:t>
      </w:r>
      <w:proofErr w:type="spellStart"/>
      <w:r w:rsidRPr="004E79AD">
        <w:rPr>
          <w:rFonts w:ascii="Book Antiqua" w:hAnsi="Book Antiqua" w:cs="Times New Roman"/>
          <w:sz w:val="24"/>
          <w:szCs w:val="24"/>
        </w:rPr>
        <w:t>Jula</w:t>
      </w:r>
      <w:proofErr w:type="spellEnd"/>
      <w:r w:rsidRPr="004E79AD">
        <w:rPr>
          <w:rFonts w:ascii="Book Antiqua" w:hAnsi="Book Antiqua" w:cs="Times New Roman"/>
          <w:sz w:val="24"/>
          <w:szCs w:val="24"/>
        </w:rPr>
        <w:t xml:space="preserve"> </w:t>
      </w:r>
      <w:proofErr w:type="spellStart"/>
      <w:r w:rsidRPr="004E79AD">
        <w:rPr>
          <w:rFonts w:ascii="Book Antiqua" w:hAnsi="Book Antiqua" w:cs="Times New Roman"/>
          <w:sz w:val="24"/>
          <w:szCs w:val="24"/>
        </w:rPr>
        <w:t>Veerapong</w:t>
      </w:r>
      <w:proofErr w:type="spellEnd"/>
      <w:r w:rsidRPr="004E79AD">
        <w:rPr>
          <w:rFonts w:ascii="Book Antiqua" w:hAnsi="Book Antiqua" w:cs="Times New Roman"/>
          <w:sz w:val="24"/>
          <w:szCs w:val="24"/>
        </w:rPr>
        <w:t xml:space="preserve">, Joel M Baumgartner, </w:t>
      </w:r>
      <w:proofErr w:type="spellStart"/>
      <w:r w:rsidRPr="004E79AD">
        <w:rPr>
          <w:rFonts w:ascii="Book Antiqua" w:hAnsi="Book Antiqua" w:cs="Times New Roman"/>
          <w:sz w:val="24"/>
          <w:szCs w:val="24"/>
        </w:rPr>
        <w:t>Callisia</w:t>
      </w:r>
      <w:proofErr w:type="spellEnd"/>
      <w:r w:rsidRPr="004E79AD">
        <w:rPr>
          <w:rFonts w:ascii="Book Antiqua" w:hAnsi="Book Antiqua" w:cs="Times New Roman"/>
          <w:sz w:val="24"/>
          <w:szCs w:val="24"/>
        </w:rPr>
        <w:t xml:space="preserve"> Clarke, </w:t>
      </w:r>
      <w:proofErr w:type="spellStart"/>
      <w:r w:rsidRPr="004E79AD">
        <w:rPr>
          <w:rFonts w:ascii="Book Antiqua" w:hAnsi="Book Antiqua" w:cs="Times New Roman"/>
          <w:sz w:val="24"/>
          <w:szCs w:val="24"/>
        </w:rPr>
        <w:t>Harveshp</w:t>
      </w:r>
      <w:proofErr w:type="spellEnd"/>
      <w:r w:rsidRPr="004E79AD">
        <w:rPr>
          <w:rFonts w:ascii="Book Antiqua" w:hAnsi="Book Antiqua" w:cs="Times New Roman"/>
          <w:sz w:val="24"/>
          <w:szCs w:val="24"/>
        </w:rPr>
        <w:t xml:space="preserve"> </w:t>
      </w:r>
      <w:proofErr w:type="spellStart"/>
      <w:r w:rsidRPr="004E79AD">
        <w:rPr>
          <w:rFonts w:ascii="Book Antiqua" w:hAnsi="Book Antiqua" w:cs="Times New Roman"/>
          <w:sz w:val="24"/>
          <w:szCs w:val="24"/>
        </w:rPr>
        <w:t>Mogal</w:t>
      </w:r>
      <w:proofErr w:type="spellEnd"/>
      <w:r w:rsidRPr="004E79AD">
        <w:rPr>
          <w:rFonts w:ascii="Book Antiqua" w:hAnsi="Book Antiqua" w:cs="Times New Roman"/>
          <w:sz w:val="24"/>
          <w:szCs w:val="24"/>
        </w:rPr>
        <w:t xml:space="preserve">, Charles A Staley, Mohammad Y Zaidi, Sameer H Patel, Syed A Ahmad, Ryan J Hendrix, Laura Lambert, Daniel E Abbott, Courtney </w:t>
      </w:r>
      <w:proofErr w:type="spellStart"/>
      <w:r w:rsidRPr="004E79AD">
        <w:rPr>
          <w:rFonts w:ascii="Book Antiqua" w:hAnsi="Book Antiqua" w:cs="Times New Roman"/>
          <w:sz w:val="24"/>
          <w:szCs w:val="24"/>
        </w:rPr>
        <w:t>Pokrzywa</w:t>
      </w:r>
      <w:proofErr w:type="spellEnd"/>
      <w:r w:rsidRPr="004E79AD">
        <w:rPr>
          <w:rFonts w:ascii="Book Antiqua" w:hAnsi="Book Antiqua" w:cs="Times New Roman"/>
          <w:sz w:val="24"/>
          <w:szCs w:val="24"/>
        </w:rPr>
        <w:t xml:space="preserve">, Mustafa </w:t>
      </w:r>
      <w:proofErr w:type="spellStart"/>
      <w:r w:rsidRPr="004E79AD">
        <w:rPr>
          <w:rFonts w:ascii="Book Antiqua" w:hAnsi="Book Antiqua" w:cs="Times New Roman"/>
          <w:sz w:val="24"/>
          <w:szCs w:val="24"/>
        </w:rPr>
        <w:t>Raoof</w:t>
      </w:r>
      <w:proofErr w:type="spellEnd"/>
      <w:r w:rsidRPr="004E79AD">
        <w:rPr>
          <w:rFonts w:ascii="Book Antiqua" w:hAnsi="Book Antiqua" w:cs="Times New Roman"/>
          <w:sz w:val="24"/>
          <w:szCs w:val="24"/>
        </w:rPr>
        <w:t xml:space="preserve">, Christopher </w:t>
      </w:r>
      <w:r w:rsidR="00580121" w:rsidRPr="004E79AD">
        <w:rPr>
          <w:rFonts w:ascii="Book Antiqua" w:hAnsi="Book Antiqua" w:cs="Times New Roman"/>
          <w:sz w:val="24"/>
          <w:szCs w:val="24"/>
        </w:rPr>
        <w:t xml:space="preserve">J </w:t>
      </w:r>
      <w:r w:rsidRPr="004E79AD">
        <w:rPr>
          <w:rFonts w:ascii="Book Antiqua" w:hAnsi="Book Antiqua" w:cs="Times New Roman"/>
          <w:sz w:val="24"/>
          <w:szCs w:val="24"/>
        </w:rPr>
        <w:t xml:space="preserve">LaRocca, Fabian M Johnston, Jonathan Greer, Travis E </w:t>
      </w:r>
      <w:proofErr w:type="spellStart"/>
      <w:r w:rsidRPr="004E79AD">
        <w:rPr>
          <w:rFonts w:ascii="Book Antiqua" w:hAnsi="Book Antiqua" w:cs="Times New Roman"/>
          <w:sz w:val="24"/>
          <w:szCs w:val="24"/>
        </w:rPr>
        <w:t>Grotz</w:t>
      </w:r>
      <w:proofErr w:type="spellEnd"/>
    </w:p>
    <w:p w14:paraId="153F7658" w14:textId="77777777" w:rsidR="00853EF6" w:rsidRPr="004E79AD" w:rsidRDefault="00853EF6" w:rsidP="004E79AD">
      <w:pPr>
        <w:snapToGrid w:val="0"/>
        <w:spacing w:after="0" w:line="360" w:lineRule="auto"/>
        <w:jc w:val="both"/>
        <w:rPr>
          <w:rFonts w:ascii="Book Antiqua" w:hAnsi="Book Antiqua" w:cs="Times New Roman"/>
          <w:b/>
          <w:sz w:val="24"/>
          <w:szCs w:val="24"/>
        </w:rPr>
      </w:pPr>
    </w:p>
    <w:p w14:paraId="452F1212" w14:textId="06C8259C" w:rsidR="00853EF6"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Jennifer L </w:t>
      </w:r>
      <w:proofErr w:type="spellStart"/>
      <w:r w:rsidRPr="004E79AD">
        <w:rPr>
          <w:rFonts w:ascii="Book Antiqua" w:hAnsi="Book Antiqua" w:cs="Times New Roman"/>
          <w:b/>
          <w:sz w:val="24"/>
          <w:szCs w:val="24"/>
        </w:rPr>
        <w:t>Leiting</w:t>
      </w:r>
      <w:proofErr w:type="spellEnd"/>
      <w:r w:rsidRPr="004E79AD">
        <w:rPr>
          <w:rFonts w:ascii="Book Antiqua" w:hAnsi="Book Antiqua" w:cs="Times New Roman"/>
          <w:b/>
          <w:sz w:val="24"/>
          <w:szCs w:val="24"/>
        </w:rPr>
        <w:t xml:space="preserve">, Travis E </w:t>
      </w:r>
      <w:proofErr w:type="spellStart"/>
      <w:r w:rsidRPr="004E79AD">
        <w:rPr>
          <w:rFonts w:ascii="Book Antiqua" w:hAnsi="Book Antiqua" w:cs="Times New Roman"/>
          <w:b/>
          <w:sz w:val="24"/>
          <w:szCs w:val="24"/>
        </w:rPr>
        <w:t>Grotz</w:t>
      </w:r>
      <w:proofErr w:type="spellEnd"/>
      <w:r w:rsidRPr="004E79AD">
        <w:rPr>
          <w:rFonts w:ascii="Book Antiqua" w:hAnsi="Book Antiqua" w:cs="Times New Roman"/>
          <w:sz w:val="24"/>
          <w:szCs w:val="24"/>
        </w:rPr>
        <w:t>, Division of Hepatobiliary and Pancreas Surgery, Mayo Clinic, Rochester, MN</w:t>
      </w:r>
      <w:r w:rsidR="0057548C" w:rsidRPr="004E79AD">
        <w:rPr>
          <w:rFonts w:ascii="Book Antiqua" w:hAnsi="Book Antiqua" w:cs="Times New Roman"/>
          <w:sz w:val="24"/>
          <w:szCs w:val="24"/>
        </w:rPr>
        <w:t xml:space="preserve"> 55901, </w:t>
      </w:r>
      <w:bookmarkStart w:id="3" w:name="OLE_LINK1"/>
      <w:bookmarkStart w:id="4" w:name="OLE_LINK2"/>
      <w:r w:rsidR="0057548C" w:rsidRPr="004E79AD">
        <w:rPr>
          <w:rFonts w:ascii="Book Antiqua" w:hAnsi="Book Antiqua" w:cs="Times New Roman"/>
          <w:sz w:val="24"/>
          <w:szCs w:val="24"/>
        </w:rPr>
        <w:t>United States</w:t>
      </w:r>
      <w:bookmarkEnd w:id="3"/>
      <w:bookmarkEnd w:id="4"/>
    </w:p>
    <w:p w14:paraId="6A107A0D" w14:textId="77777777" w:rsidR="0057548C" w:rsidRPr="004E79AD" w:rsidRDefault="0057548C" w:rsidP="004E79AD">
      <w:pPr>
        <w:snapToGrid w:val="0"/>
        <w:spacing w:after="0" w:line="360" w:lineRule="auto"/>
        <w:jc w:val="both"/>
        <w:rPr>
          <w:rFonts w:ascii="Book Antiqua" w:hAnsi="Book Antiqua" w:cs="Times New Roman"/>
          <w:b/>
          <w:sz w:val="24"/>
          <w:szCs w:val="24"/>
        </w:rPr>
      </w:pPr>
    </w:p>
    <w:p w14:paraId="4829941C" w14:textId="0D9A6F60"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Jordan M </w:t>
      </w:r>
      <w:proofErr w:type="spellStart"/>
      <w:r w:rsidRPr="004E79AD">
        <w:rPr>
          <w:rFonts w:ascii="Book Antiqua" w:hAnsi="Book Antiqua" w:cs="Times New Roman"/>
          <w:b/>
          <w:sz w:val="24"/>
          <w:szCs w:val="24"/>
        </w:rPr>
        <w:t>Cloyd</w:t>
      </w:r>
      <w:proofErr w:type="spellEnd"/>
      <w:r w:rsidRPr="004E79AD">
        <w:rPr>
          <w:rFonts w:ascii="Book Antiqua" w:hAnsi="Book Antiqua" w:cs="Times New Roman"/>
          <w:b/>
          <w:sz w:val="24"/>
          <w:szCs w:val="24"/>
        </w:rPr>
        <w:t xml:space="preserve">, Ahmed </w:t>
      </w:r>
      <w:proofErr w:type="spellStart"/>
      <w:r w:rsidRPr="004E79AD">
        <w:rPr>
          <w:rFonts w:ascii="Book Antiqua" w:hAnsi="Book Antiqua" w:cs="Times New Roman"/>
          <w:b/>
          <w:sz w:val="24"/>
          <w:szCs w:val="24"/>
        </w:rPr>
        <w:t>Ahmed</w:t>
      </w:r>
      <w:proofErr w:type="spellEnd"/>
      <w:r w:rsidRPr="004E79AD">
        <w:rPr>
          <w:rFonts w:ascii="Book Antiqua" w:hAnsi="Book Antiqua" w:cs="Times New Roman"/>
          <w:sz w:val="24"/>
          <w:szCs w:val="24"/>
        </w:rPr>
        <w:t>,</w:t>
      </w:r>
      <w:r w:rsidRPr="004E79AD">
        <w:rPr>
          <w:rFonts w:ascii="Book Antiqua" w:hAnsi="Book Antiqua" w:cs="Times New Roman"/>
          <w:b/>
          <w:sz w:val="24"/>
          <w:szCs w:val="24"/>
        </w:rPr>
        <w:t xml:space="preserve"> </w:t>
      </w:r>
      <w:r w:rsidR="00B92BF8" w:rsidRPr="004E79AD">
        <w:rPr>
          <w:rFonts w:ascii="Book Antiqua" w:hAnsi="Book Antiqua" w:cs="Times New Roman"/>
          <w:sz w:val="24"/>
          <w:szCs w:val="24"/>
        </w:rPr>
        <w:t>Division of Surgical Oncology, Department of Surgery, The Ohio State University Wexner Medical Center, Columbus, OH</w:t>
      </w:r>
      <w:r w:rsidR="0057548C" w:rsidRPr="004E79AD">
        <w:rPr>
          <w:rFonts w:ascii="Book Antiqua" w:hAnsi="Book Antiqua" w:cs="Times New Roman"/>
          <w:sz w:val="24"/>
          <w:szCs w:val="24"/>
        </w:rPr>
        <w:t xml:space="preserve"> 43210, </w:t>
      </w:r>
      <w:bookmarkStart w:id="5" w:name="OLE_LINK5"/>
      <w:bookmarkStart w:id="6" w:name="OLE_LINK6"/>
      <w:r w:rsidR="0057548C" w:rsidRPr="004E79AD">
        <w:rPr>
          <w:rFonts w:ascii="Book Antiqua" w:hAnsi="Book Antiqua" w:cs="Times New Roman"/>
          <w:sz w:val="24"/>
          <w:szCs w:val="24"/>
        </w:rPr>
        <w:t>United States</w:t>
      </w:r>
      <w:bookmarkEnd w:id="5"/>
      <w:bookmarkEnd w:id="6"/>
    </w:p>
    <w:p w14:paraId="15273A37" w14:textId="77777777" w:rsidR="0057548C" w:rsidRPr="004E79AD" w:rsidRDefault="0057548C" w:rsidP="004E79AD">
      <w:pPr>
        <w:snapToGrid w:val="0"/>
        <w:spacing w:after="0" w:line="360" w:lineRule="auto"/>
        <w:jc w:val="both"/>
        <w:rPr>
          <w:rFonts w:ascii="Book Antiqua" w:hAnsi="Book Antiqua" w:cs="Times New Roman"/>
          <w:b/>
          <w:sz w:val="24"/>
          <w:szCs w:val="24"/>
        </w:rPr>
      </w:pPr>
    </w:p>
    <w:p w14:paraId="7E23C1B2" w14:textId="7A90ED95"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Keith Fournier, Andrew J Lee</w:t>
      </w:r>
      <w:r w:rsidRPr="004E79AD">
        <w:rPr>
          <w:rFonts w:ascii="Book Antiqua" w:hAnsi="Book Antiqua" w:cs="Times New Roman"/>
          <w:sz w:val="24"/>
          <w:szCs w:val="24"/>
        </w:rPr>
        <w:t xml:space="preserve">, </w:t>
      </w:r>
      <w:r w:rsidR="00B92BF8" w:rsidRPr="004E79AD">
        <w:rPr>
          <w:rFonts w:ascii="Book Antiqua" w:hAnsi="Book Antiqua" w:cs="Times New Roman"/>
          <w:sz w:val="24"/>
          <w:szCs w:val="24"/>
        </w:rPr>
        <w:t>Department of Surgical Oncology, University of Texas MD Anderson Cancer Center, Houston, TX</w:t>
      </w:r>
      <w:r w:rsidR="0057548C" w:rsidRPr="004E79AD">
        <w:rPr>
          <w:rFonts w:ascii="Book Antiqua" w:hAnsi="Book Antiqua" w:cs="Times New Roman"/>
          <w:sz w:val="24"/>
          <w:szCs w:val="24"/>
        </w:rPr>
        <w:t xml:space="preserve"> 77030, United States</w:t>
      </w:r>
    </w:p>
    <w:p w14:paraId="1CF0FC44" w14:textId="77777777" w:rsidR="0057548C" w:rsidRPr="004E79AD" w:rsidRDefault="0057548C" w:rsidP="004E79AD">
      <w:pPr>
        <w:snapToGrid w:val="0"/>
        <w:spacing w:after="0" w:line="360" w:lineRule="auto"/>
        <w:jc w:val="both"/>
        <w:rPr>
          <w:rFonts w:ascii="Book Antiqua" w:hAnsi="Book Antiqua" w:cs="Times New Roman"/>
          <w:b/>
          <w:sz w:val="24"/>
          <w:szCs w:val="24"/>
        </w:rPr>
      </w:pPr>
    </w:p>
    <w:p w14:paraId="3CCACD77" w14:textId="1664F16E"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lastRenderedPageBreak/>
        <w:t xml:space="preserve">Sophie </w:t>
      </w:r>
      <w:proofErr w:type="spellStart"/>
      <w:r w:rsidRPr="004E79AD">
        <w:rPr>
          <w:rFonts w:ascii="Book Antiqua" w:hAnsi="Book Antiqua" w:cs="Times New Roman"/>
          <w:b/>
          <w:sz w:val="24"/>
          <w:szCs w:val="24"/>
        </w:rPr>
        <w:t>Dessureault</w:t>
      </w:r>
      <w:proofErr w:type="spellEnd"/>
      <w:r w:rsidRPr="004E79AD">
        <w:rPr>
          <w:rFonts w:ascii="Book Antiqua" w:hAnsi="Book Antiqua" w:cs="Times New Roman"/>
          <w:b/>
          <w:sz w:val="24"/>
          <w:szCs w:val="24"/>
        </w:rPr>
        <w:t>, Seth Felder</w:t>
      </w:r>
      <w:r w:rsidRPr="004E79AD">
        <w:rPr>
          <w:rFonts w:ascii="Book Antiqua" w:hAnsi="Book Antiqua" w:cs="Times New Roman"/>
          <w:sz w:val="24"/>
          <w:szCs w:val="24"/>
        </w:rPr>
        <w:t xml:space="preserve">, </w:t>
      </w:r>
      <w:r w:rsidR="00B92BF8" w:rsidRPr="004E79AD">
        <w:rPr>
          <w:rFonts w:ascii="Book Antiqua" w:hAnsi="Book Antiqua" w:cs="Times New Roman"/>
          <w:sz w:val="24"/>
          <w:szCs w:val="24"/>
        </w:rPr>
        <w:t xml:space="preserve">Department of Gastrointestinal Oncology, Moffitt Cancer Center, Department of Oncologic Sciences, </w:t>
      </w:r>
      <w:proofErr w:type="spellStart"/>
      <w:r w:rsidR="00B92BF8" w:rsidRPr="004E79AD">
        <w:rPr>
          <w:rFonts w:ascii="Book Antiqua" w:hAnsi="Book Antiqua" w:cs="Times New Roman"/>
          <w:sz w:val="24"/>
          <w:szCs w:val="24"/>
        </w:rPr>
        <w:t>Morsani</w:t>
      </w:r>
      <w:proofErr w:type="spellEnd"/>
      <w:r w:rsidR="00B92BF8" w:rsidRPr="004E79AD">
        <w:rPr>
          <w:rFonts w:ascii="Book Antiqua" w:hAnsi="Book Antiqua" w:cs="Times New Roman"/>
          <w:sz w:val="24"/>
          <w:szCs w:val="24"/>
        </w:rPr>
        <w:t xml:space="preserve"> College of Medicine, Tampa, FL</w:t>
      </w:r>
      <w:r w:rsidR="0057548C" w:rsidRPr="004E79AD">
        <w:rPr>
          <w:rFonts w:ascii="Book Antiqua" w:hAnsi="Book Antiqua" w:cs="Times New Roman"/>
          <w:sz w:val="24"/>
          <w:szCs w:val="24"/>
        </w:rPr>
        <w:t xml:space="preserve"> 33612, United States</w:t>
      </w:r>
    </w:p>
    <w:p w14:paraId="24F76B76" w14:textId="77777777" w:rsidR="0057548C" w:rsidRPr="004E79AD" w:rsidRDefault="0057548C" w:rsidP="004E79AD">
      <w:pPr>
        <w:snapToGrid w:val="0"/>
        <w:spacing w:after="0" w:line="360" w:lineRule="auto"/>
        <w:jc w:val="both"/>
        <w:rPr>
          <w:rFonts w:ascii="Book Antiqua" w:hAnsi="Book Antiqua" w:cs="Times New Roman"/>
          <w:b/>
          <w:sz w:val="24"/>
          <w:szCs w:val="24"/>
        </w:rPr>
      </w:pPr>
    </w:p>
    <w:p w14:paraId="4B391530" w14:textId="2CFAA8F2" w:rsidR="00B92BF8" w:rsidRPr="004E79AD" w:rsidRDefault="00853EF6" w:rsidP="004E79AD">
      <w:pPr>
        <w:snapToGrid w:val="0"/>
        <w:spacing w:after="0" w:line="360" w:lineRule="auto"/>
        <w:jc w:val="both"/>
        <w:rPr>
          <w:rFonts w:ascii="Book Antiqua" w:hAnsi="Book Antiqua" w:cs="Times New Roman"/>
          <w:b/>
          <w:sz w:val="24"/>
          <w:szCs w:val="24"/>
        </w:rPr>
      </w:pPr>
      <w:proofErr w:type="spellStart"/>
      <w:r w:rsidRPr="004E79AD">
        <w:rPr>
          <w:rFonts w:ascii="Book Antiqua" w:hAnsi="Book Antiqua" w:cs="Times New Roman"/>
          <w:b/>
          <w:sz w:val="24"/>
          <w:szCs w:val="24"/>
        </w:rPr>
        <w:t>Jula</w:t>
      </w:r>
      <w:proofErr w:type="spellEnd"/>
      <w:r w:rsidRPr="004E79AD">
        <w:rPr>
          <w:rFonts w:ascii="Book Antiqua" w:hAnsi="Book Antiqua" w:cs="Times New Roman"/>
          <w:b/>
          <w:sz w:val="24"/>
          <w:szCs w:val="24"/>
        </w:rPr>
        <w:t xml:space="preserve"> </w:t>
      </w:r>
      <w:proofErr w:type="spellStart"/>
      <w:r w:rsidRPr="004E79AD">
        <w:rPr>
          <w:rFonts w:ascii="Book Antiqua" w:hAnsi="Book Antiqua" w:cs="Times New Roman"/>
          <w:b/>
          <w:sz w:val="24"/>
          <w:szCs w:val="24"/>
        </w:rPr>
        <w:t>Veerapong</w:t>
      </w:r>
      <w:proofErr w:type="spellEnd"/>
      <w:r w:rsidRPr="004E79AD">
        <w:rPr>
          <w:rFonts w:ascii="Book Antiqua" w:hAnsi="Book Antiqua" w:cs="Times New Roman"/>
          <w:b/>
          <w:sz w:val="24"/>
          <w:szCs w:val="24"/>
        </w:rPr>
        <w:t xml:space="preserve">, Joel M Baumgartner, </w:t>
      </w:r>
      <w:r w:rsidR="00B92BF8" w:rsidRPr="004E79AD">
        <w:rPr>
          <w:rFonts w:ascii="Book Antiqua" w:hAnsi="Book Antiqua" w:cs="Times New Roman"/>
          <w:sz w:val="24"/>
          <w:szCs w:val="24"/>
        </w:rPr>
        <w:t>Division of Surgical Oncology, Department of Surgery, University of California, San Diego, CA</w:t>
      </w:r>
      <w:r w:rsidR="0057548C" w:rsidRPr="004E79AD">
        <w:rPr>
          <w:rFonts w:ascii="Book Antiqua" w:hAnsi="Book Antiqua" w:cs="Times New Roman"/>
          <w:sz w:val="24"/>
          <w:szCs w:val="24"/>
        </w:rPr>
        <w:t xml:space="preserve"> 92093, United States</w:t>
      </w:r>
    </w:p>
    <w:p w14:paraId="42E24AEF" w14:textId="77777777" w:rsidR="0057548C" w:rsidRPr="004E79AD" w:rsidRDefault="0057548C" w:rsidP="004E79AD">
      <w:pPr>
        <w:snapToGrid w:val="0"/>
        <w:spacing w:after="0" w:line="360" w:lineRule="auto"/>
        <w:jc w:val="both"/>
        <w:rPr>
          <w:rFonts w:ascii="Book Antiqua" w:hAnsi="Book Antiqua" w:cs="Times New Roman"/>
          <w:b/>
          <w:sz w:val="24"/>
          <w:szCs w:val="24"/>
        </w:rPr>
      </w:pPr>
    </w:p>
    <w:p w14:paraId="67EEACCD" w14:textId="50C5D2A4" w:rsidR="00B92BF8" w:rsidRPr="004E79AD" w:rsidRDefault="00853EF6" w:rsidP="004E79AD">
      <w:pPr>
        <w:snapToGrid w:val="0"/>
        <w:spacing w:after="0" w:line="360" w:lineRule="auto"/>
        <w:jc w:val="both"/>
        <w:rPr>
          <w:rFonts w:ascii="Book Antiqua" w:hAnsi="Book Antiqua" w:cs="Times New Roman"/>
          <w:sz w:val="24"/>
          <w:szCs w:val="24"/>
        </w:rPr>
      </w:pPr>
      <w:proofErr w:type="spellStart"/>
      <w:r w:rsidRPr="004E79AD">
        <w:rPr>
          <w:rFonts w:ascii="Book Antiqua" w:hAnsi="Book Antiqua" w:cs="Times New Roman"/>
          <w:b/>
          <w:sz w:val="24"/>
          <w:szCs w:val="24"/>
        </w:rPr>
        <w:t>Callisia</w:t>
      </w:r>
      <w:proofErr w:type="spellEnd"/>
      <w:r w:rsidRPr="004E79AD">
        <w:rPr>
          <w:rFonts w:ascii="Book Antiqua" w:hAnsi="Book Antiqua" w:cs="Times New Roman"/>
          <w:b/>
          <w:sz w:val="24"/>
          <w:szCs w:val="24"/>
        </w:rPr>
        <w:t xml:space="preserve"> Clarke, </w:t>
      </w:r>
      <w:proofErr w:type="spellStart"/>
      <w:r w:rsidRPr="004E79AD">
        <w:rPr>
          <w:rFonts w:ascii="Book Antiqua" w:hAnsi="Book Antiqua" w:cs="Times New Roman"/>
          <w:b/>
          <w:sz w:val="24"/>
          <w:szCs w:val="24"/>
        </w:rPr>
        <w:t>Harveshp</w:t>
      </w:r>
      <w:proofErr w:type="spellEnd"/>
      <w:r w:rsidRPr="004E79AD">
        <w:rPr>
          <w:rFonts w:ascii="Book Antiqua" w:hAnsi="Book Antiqua" w:cs="Times New Roman"/>
          <w:b/>
          <w:sz w:val="24"/>
          <w:szCs w:val="24"/>
        </w:rPr>
        <w:t xml:space="preserve"> </w:t>
      </w:r>
      <w:proofErr w:type="spellStart"/>
      <w:r w:rsidRPr="004E79AD">
        <w:rPr>
          <w:rFonts w:ascii="Book Antiqua" w:hAnsi="Book Antiqua" w:cs="Times New Roman"/>
          <w:b/>
          <w:sz w:val="24"/>
          <w:szCs w:val="24"/>
        </w:rPr>
        <w:t>Mogal</w:t>
      </w:r>
      <w:proofErr w:type="spellEnd"/>
      <w:r w:rsidRPr="004E79AD">
        <w:rPr>
          <w:rFonts w:ascii="Book Antiqua" w:hAnsi="Book Antiqua" w:cs="Times New Roman"/>
          <w:b/>
          <w:sz w:val="24"/>
          <w:szCs w:val="24"/>
        </w:rPr>
        <w:t xml:space="preserve">, </w:t>
      </w:r>
      <w:r w:rsidR="00B92BF8" w:rsidRPr="004E79AD">
        <w:rPr>
          <w:rFonts w:ascii="Book Antiqua" w:hAnsi="Book Antiqua" w:cs="Times New Roman"/>
          <w:sz w:val="24"/>
          <w:szCs w:val="24"/>
        </w:rPr>
        <w:t>Division of Surgical Oncology, Department of Surgery, Medical College of Wisconsin, Milwaukee, WI</w:t>
      </w:r>
      <w:r w:rsidR="0057548C" w:rsidRPr="004E79AD">
        <w:rPr>
          <w:rFonts w:ascii="Book Antiqua" w:hAnsi="Book Antiqua" w:cs="Times New Roman"/>
          <w:sz w:val="24"/>
          <w:szCs w:val="24"/>
        </w:rPr>
        <w:t xml:space="preserve"> 53226, United States</w:t>
      </w:r>
    </w:p>
    <w:p w14:paraId="7E618E15" w14:textId="77777777" w:rsidR="0057548C" w:rsidRPr="004E79AD" w:rsidRDefault="0057548C" w:rsidP="004E79AD">
      <w:pPr>
        <w:snapToGrid w:val="0"/>
        <w:spacing w:after="0" w:line="360" w:lineRule="auto"/>
        <w:jc w:val="both"/>
        <w:rPr>
          <w:rFonts w:ascii="Book Antiqua" w:hAnsi="Book Antiqua" w:cs="Times New Roman"/>
          <w:b/>
          <w:sz w:val="24"/>
          <w:szCs w:val="24"/>
        </w:rPr>
      </w:pPr>
    </w:p>
    <w:p w14:paraId="4A68108F" w14:textId="1E0AEE9C"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Charles A Staley, Mohammad Y Zaidi, </w:t>
      </w:r>
      <w:r w:rsidR="00B92BF8" w:rsidRPr="004E79AD">
        <w:rPr>
          <w:rFonts w:ascii="Book Antiqua" w:hAnsi="Book Antiqua" w:cs="Times New Roman"/>
          <w:sz w:val="24"/>
          <w:szCs w:val="24"/>
        </w:rPr>
        <w:t>Division of Surgical Oncology, Winship Cancer Institute, Emory University, Atlanta, GA</w:t>
      </w:r>
      <w:r w:rsidR="0057548C" w:rsidRPr="004E79AD">
        <w:rPr>
          <w:rFonts w:ascii="Book Antiqua" w:hAnsi="Book Antiqua" w:cs="Times New Roman"/>
          <w:sz w:val="24"/>
          <w:szCs w:val="24"/>
        </w:rPr>
        <w:t xml:space="preserve"> 30322, </w:t>
      </w:r>
      <w:bookmarkStart w:id="7" w:name="OLE_LINK7"/>
      <w:r w:rsidR="0057548C" w:rsidRPr="004E79AD">
        <w:rPr>
          <w:rFonts w:ascii="Book Antiqua" w:hAnsi="Book Antiqua" w:cs="Times New Roman"/>
          <w:sz w:val="24"/>
          <w:szCs w:val="24"/>
        </w:rPr>
        <w:t>United States</w:t>
      </w:r>
      <w:bookmarkEnd w:id="7"/>
    </w:p>
    <w:p w14:paraId="7F94C4F8" w14:textId="77777777" w:rsidR="0057548C" w:rsidRPr="004E79AD" w:rsidRDefault="0057548C" w:rsidP="004E79AD">
      <w:pPr>
        <w:snapToGrid w:val="0"/>
        <w:spacing w:after="0" w:line="360" w:lineRule="auto"/>
        <w:jc w:val="both"/>
        <w:rPr>
          <w:rFonts w:ascii="Book Antiqua" w:hAnsi="Book Antiqua" w:cs="Times New Roman"/>
          <w:b/>
          <w:sz w:val="24"/>
          <w:szCs w:val="24"/>
        </w:rPr>
      </w:pPr>
    </w:p>
    <w:p w14:paraId="155020DC" w14:textId="0D26A488"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Sameer H Patel, Syed A Ahmad, </w:t>
      </w:r>
      <w:r w:rsidR="00B92BF8" w:rsidRPr="004E79AD">
        <w:rPr>
          <w:rFonts w:ascii="Book Antiqua" w:hAnsi="Book Antiqua" w:cs="Times New Roman"/>
          <w:sz w:val="24"/>
          <w:szCs w:val="24"/>
        </w:rPr>
        <w:t>Department of Surgery, University of Cincinnati College of Medicine, Cincinnati, OH</w:t>
      </w:r>
      <w:r w:rsidR="00700F05" w:rsidRPr="004E79AD">
        <w:rPr>
          <w:rFonts w:ascii="Book Antiqua" w:hAnsi="Book Antiqua" w:cs="Times New Roman"/>
          <w:sz w:val="24"/>
          <w:szCs w:val="24"/>
        </w:rPr>
        <w:t xml:space="preserve"> 45267, United States</w:t>
      </w:r>
    </w:p>
    <w:p w14:paraId="09555C5A" w14:textId="77777777" w:rsidR="0057548C" w:rsidRPr="004E79AD" w:rsidRDefault="0057548C" w:rsidP="004E79AD">
      <w:pPr>
        <w:snapToGrid w:val="0"/>
        <w:spacing w:after="0" w:line="360" w:lineRule="auto"/>
        <w:jc w:val="both"/>
        <w:rPr>
          <w:rFonts w:ascii="Book Antiqua" w:hAnsi="Book Antiqua" w:cs="Times New Roman"/>
          <w:b/>
          <w:sz w:val="24"/>
          <w:szCs w:val="24"/>
        </w:rPr>
      </w:pPr>
    </w:p>
    <w:p w14:paraId="3E094268" w14:textId="3653F81B"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Ryan J Hendrix, </w:t>
      </w:r>
      <w:r w:rsidR="00B92BF8" w:rsidRPr="004E79AD">
        <w:rPr>
          <w:rFonts w:ascii="Book Antiqua" w:hAnsi="Book Antiqua" w:cs="Times New Roman"/>
          <w:sz w:val="24"/>
          <w:szCs w:val="24"/>
        </w:rPr>
        <w:t>Division of Surgical Oncology, Department of Surgery, University of Massachusetts Medical School, Worcester, MA</w:t>
      </w:r>
      <w:r w:rsidR="00700F05" w:rsidRPr="004E79AD">
        <w:rPr>
          <w:rFonts w:ascii="Book Antiqua" w:hAnsi="Book Antiqua" w:cs="Times New Roman"/>
          <w:sz w:val="24"/>
          <w:szCs w:val="24"/>
        </w:rPr>
        <w:t xml:space="preserve"> 01655, United States</w:t>
      </w:r>
    </w:p>
    <w:p w14:paraId="1E82B612" w14:textId="77777777" w:rsidR="00700F05" w:rsidRPr="004E79AD" w:rsidRDefault="00700F05" w:rsidP="004E79AD">
      <w:pPr>
        <w:snapToGrid w:val="0"/>
        <w:spacing w:after="0" w:line="360" w:lineRule="auto"/>
        <w:jc w:val="both"/>
        <w:rPr>
          <w:rFonts w:ascii="Book Antiqua" w:hAnsi="Book Antiqua" w:cs="Times New Roman"/>
          <w:b/>
          <w:sz w:val="24"/>
          <w:szCs w:val="24"/>
        </w:rPr>
      </w:pPr>
    </w:p>
    <w:p w14:paraId="04456940" w14:textId="1B59CB10"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Laura Lambert</w:t>
      </w:r>
      <w:r w:rsidRPr="004E79AD">
        <w:rPr>
          <w:rFonts w:ascii="Book Antiqua" w:hAnsi="Book Antiqua" w:cs="Times New Roman"/>
          <w:sz w:val="24"/>
          <w:szCs w:val="24"/>
        </w:rPr>
        <w:t>, P</w:t>
      </w:r>
      <w:r w:rsidR="00B92BF8" w:rsidRPr="004E79AD">
        <w:rPr>
          <w:rFonts w:ascii="Book Antiqua" w:hAnsi="Book Antiqua" w:cs="Times New Roman"/>
          <w:sz w:val="24"/>
          <w:szCs w:val="24"/>
        </w:rPr>
        <w:t>eritoneal Surface Malignancy Program Section of Surgical Oncology, Huntsman Cancer Institute, University of Utah, Salt Lake City, UT</w:t>
      </w:r>
      <w:r w:rsidR="00700F05" w:rsidRPr="004E79AD">
        <w:rPr>
          <w:rFonts w:ascii="Book Antiqua" w:hAnsi="Book Antiqua" w:cs="Times New Roman"/>
          <w:sz w:val="24"/>
          <w:szCs w:val="24"/>
        </w:rPr>
        <w:t xml:space="preserve"> 84112, United States</w:t>
      </w:r>
    </w:p>
    <w:p w14:paraId="178FA104" w14:textId="77777777" w:rsidR="00700F05" w:rsidRPr="004E79AD" w:rsidRDefault="00700F05" w:rsidP="004E79AD">
      <w:pPr>
        <w:snapToGrid w:val="0"/>
        <w:spacing w:after="0" w:line="360" w:lineRule="auto"/>
        <w:jc w:val="both"/>
        <w:rPr>
          <w:rFonts w:ascii="Book Antiqua" w:hAnsi="Book Antiqua" w:cs="Times New Roman"/>
          <w:b/>
          <w:sz w:val="24"/>
          <w:szCs w:val="24"/>
        </w:rPr>
      </w:pPr>
    </w:p>
    <w:p w14:paraId="75E36B14" w14:textId="431C28F4"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Daniel E Abbott, Courtney </w:t>
      </w:r>
      <w:proofErr w:type="spellStart"/>
      <w:r w:rsidRPr="004E79AD">
        <w:rPr>
          <w:rFonts w:ascii="Book Antiqua" w:hAnsi="Book Antiqua" w:cs="Times New Roman"/>
          <w:b/>
          <w:sz w:val="24"/>
          <w:szCs w:val="24"/>
        </w:rPr>
        <w:t>Pokrzywa</w:t>
      </w:r>
      <w:proofErr w:type="spellEnd"/>
      <w:r w:rsidRPr="004E79AD">
        <w:rPr>
          <w:rFonts w:ascii="Book Antiqua" w:hAnsi="Book Antiqua" w:cs="Times New Roman"/>
          <w:b/>
          <w:sz w:val="24"/>
          <w:szCs w:val="24"/>
        </w:rPr>
        <w:t xml:space="preserve">, </w:t>
      </w:r>
      <w:r w:rsidR="00B92BF8" w:rsidRPr="004E79AD">
        <w:rPr>
          <w:rFonts w:ascii="Book Antiqua" w:hAnsi="Book Antiqua" w:cs="Times New Roman"/>
          <w:sz w:val="24"/>
          <w:szCs w:val="24"/>
        </w:rPr>
        <w:t>Division of Surgical Oncology, Department of Surgery, University of Wisconsin, Madison, WI</w:t>
      </w:r>
      <w:r w:rsidR="00700F05" w:rsidRPr="004E79AD">
        <w:rPr>
          <w:rFonts w:ascii="Book Antiqua" w:hAnsi="Book Antiqua" w:cs="Times New Roman"/>
          <w:sz w:val="24"/>
          <w:szCs w:val="24"/>
        </w:rPr>
        <w:t xml:space="preserve"> 53792, United States</w:t>
      </w:r>
    </w:p>
    <w:p w14:paraId="7C20CD13" w14:textId="77777777" w:rsidR="00700F05" w:rsidRPr="004E79AD" w:rsidRDefault="00700F05" w:rsidP="004E79AD">
      <w:pPr>
        <w:snapToGrid w:val="0"/>
        <w:spacing w:after="0" w:line="360" w:lineRule="auto"/>
        <w:jc w:val="both"/>
        <w:rPr>
          <w:rFonts w:ascii="Book Antiqua" w:hAnsi="Book Antiqua" w:cs="Times New Roman"/>
          <w:b/>
          <w:sz w:val="24"/>
          <w:szCs w:val="24"/>
        </w:rPr>
      </w:pPr>
    </w:p>
    <w:p w14:paraId="308FCC43" w14:textId="79D0F696"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lastRenderedPageBreak/>
        <w:t xml:space="preserve">Mustafa </w:t>
      </w:r>
      <w:proofErr w:type="spellStart"/>
      <w:r w:rsidRPr="004E79AD">
        <w:rPr>
          <w:rFonts w:ascii="Book Antiqua" w:hAnsi="Book Antiqua" w:cs="Times New Roman"/>
          <w:b/>
          <w:sz w:val="24"/>
          <w:szCs w:val="24"/>
        </w:rPr>
        <w:t>Raoof</w:t>
      </w:r>
      <w:proofErr w:type="spellEnd"/>
      <w:r w:rsidRPr="004E79AD">
        <w:rPr>
          <w:rFonts w:ascii="Book Antiqua" w:hAnsi="Book Antiqua" w:cs="Times New Roman"/>
          <w:b/>
          <w:sz w:val="24"/>
          <w:szCs w:val="24"/>
        </w:rPr>
        <w:t xml:space="preserve">, Christopher </w:t>
      </w:r>
      <w:proofErr w:type="spellStart"/>
      <w:r w:rsidRPr="004E79AD">
        <w:rPr>
          <w:rFonts w:ascii="Book Antiqua" w:hAnsi="Book Antiqua" w:cs="Times New Roman"/>
          <w:b/>
          <w:sz w:val="24"/>
          <w:szCs w:val="24"/>
        </w:rPr>
        <w:t>LaRocca</w:t>
      </w:r>
      <w:proofErr w:type="spellEnd"/>
      <w:r w:rsidRPr="004E79AD">
        <w:rPr>
          <w:rFonts w:ascii="Book Antiqua" w:hAnsi="Book Antiqua" w:cs="Times New Roman"/>
          <w:b/>
          <w:sz w:val="24"/>
          <w:szCs w:val="24"/>
        </w:rPr>
        <w:t xml:space="preserve">, </w:t>
      </w:r>
      <w:r w:rsidR="00B92BF8" w:rsidRPr="004E79AD">
        <w:rPr>
          <w:rFonts w:ascii="Book Antiqua" w:hAnsi="Book Antiqua" w:cs="Times New Roman"/>
          <w:sz w:val="24"/>
          <w:szCs w:val="24"/>
        </w:rPr>
        <w:t>Division of Surgical Oncology, Department of Surgery, City of Hope National Medical Center, Duarte, CA</w:t>
      </w:r>
      <w:r w:rsidR="00700F05" w:rsidRPr="004E79AD">
        <w:rPr>
          <w:rFonts w:ascii="Book Antiqua" w:hAnsi="Book Antiqua" w:cs="Times New Roman"/>
          <w:sz w:val="24"/>
          <w:szCs w:val="24"/>
        </w:rPr>
        <w:t xml:space="preserve"> 91010, United States</w:t>
      </w:r>
    </w:p>
    <w:p w14:paraId="2A5BEAEA" w14:textId="77777777" w:rsidR="00700F05" w:rsidRPr="004E79AD" w:rsidRDefault="00700F05" w:rsidP="004E79AD">
      <w:pPr>
        <w:snapToGrid w:val="0"/>
        <w:spacing w:after="0" w:line="360" w:lineRule="auto"/>
        <w:jc w:val="both"/>
        <w:rPr>
          <w:rFonts w:ascii="Book Antiqua" w:hAnsi="Book Antiqua" w:cs="Times New Roman"/>
          <w:b/>
          <w:sz w:val="24"/>
          <w:szCs w:val="24"/>
        </w:rPr>
      </w:pPr>
    </w:p>
    <w:p w14:paraId="179BF2B2" w14:textId="2AC2556A" w:rsidR="00B92BF8" w:rsidRPr="004E79AD" w:rsidRDefault="00853EF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Fabian M Johnston, Jonathan Greer, </w:t>
      </w:r>
      <w:r w:rsidR="00B92BF8" w:rsidRPr="004E79AD">
        <w:rPr>
          <w:rFonts w:ascii="Book Antiqua" w:hAnsi="Book Antiqua" w:cs="Times New Roman"/>
          <w:sz w:val="24"/>
          <w:szCs w:val="24"/>
        </w:rPr>
        <w:t>Department of Surgery, Johns Hopkins University, Baltimore, MD</w:t>
      </w:r>
      <w:r w:rsidR="00700F05" w:rsidRPr="004E79AD">
        <w:rPr>
          <w:rFonts w:ascii="Book Antiqua" w:hAnsi="Book Antiqua" w:cs="Times New Roman"/>
          <w:sz w:val="24"/>
          <w:szCs w:val="24"/>
        </w:rPr>
        <w:t xml:space="preserve"> 21287, </w:t>
      </w:r>
      <w:bookmarkStart w:id="8" w:name="OLE_LINK8"/>
      <w:bookmarkStart w:id="9" w:name="OLE_LINK9"/>
      <w:r w:rsidR="00700F05" w:rsidRPr="004E79AD">
        <w:rPr>
          <w:rFonts w:ascii="Book Antiqua" w:hAnsi="Book Antiqua" w:cs="Times New Roman"/>
          <w:sz w:val="24"/>
          <w:szCs w:val="24"/>
        </w:rPr>
        <w:t>United States</w:t>
      </w:r>
      <w:bookmarkEnd w:id="8"/>
      <w:bookmarkEnd w:id="9"/>
    </w:p>
    <w:p w14:paraId="356FAB7E" w14:textId="77777777" w:rsidR="00F52E4A" w:rsidRPr="004E79AD" w:rsidRDefault="00F52E4A" w:rsidP="004E79AD">
      <w:pPr>
        <w:snapToGrid w:val="0"/>
        <w:spacing w:after="0" w:line="360" w:lineRule="auto"/>
        <w:jc w:val="both"/>
        <w:rPr>
          <w:rFonts w:ascii="Book Antiqua" w:hAnsi="Book Antiqua" w:cs="Times New Roman"/>
          <w:b/>
          <w:sz w:val="24"/>
          <w:szCs w:val="24"/>
        </w:rPr>
      </w:pPr>
    </w:p>
    <w:p w14:paraId="1FFA5744" w14:textId="7A1C9C5D" w:rsidR="00F52E4A" w:rsidRPr="004E79AD" w:rsidRDefault="00F52E4A"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Author contributions:</w:t>
      </w:r>
      <w:r w:rsidRPr="004E79AD">
        <w:rPr>
          <w:rFonts w:ascii="Book Antiqua" w:hAnsi="Book Antiqua" w:cs="Times New Roman"/>
          <w:sz w:val="24"/>
          <w:szCs w:val="24"/>
        </w:rPr>
        <w:t xml:space="preserve"> </w:t>
      </w:r>
      <w:proofErr w:type="spellStart"/>
      <w:r w:rsidRPr="004E79AD">
        <w:rPr>
          <w:rFonts w:ascii="Book Antiqua" w:hAnsi="Book Antiqua" w:cs="Times New Roman"/>
          <w:sz w:val="24"/>
          <w:szCs w:val="24"/>
        </w:rPr>
        <w:t>Leiting</w:t>
      </w:r>
      <w:proofErr w:type="spellEnd"/>
      <w:r w:rsidRPr="004E79AD">
        <w:rPr>
          <w:rFonts w:ascii="Book Antiqua" w:hAnsi="Book Antiqua" w:cs="Times New Roman"/>
          <w:sz w:val="24"/>
          <w:szCs w:val="24"/>
        </w:rPr>
        <w:t xml:space="preserve"> J</w:t>
      </w:r>
      <w:r w:rsidR="00700F05" w:rsidRPr="004E79AD">
        <w:rPr>
          <w:rFonts w:ascii="Book Antiqua" w:hAnsi="Book Antiqua" w:cs="Times New Roman"/>
          <w:sz w:val="24"/>
          <w:szCs w:val="24"/>
        </w:rPr>
        <w:t>L</w:t>
      </w:r>
      <w:r w:rsidRPr="004E79AD">
        <w:rPr>
          <w:rFonts w:ascii="Book Antiqua" w:hAnsi="Book Antiqua" w:cs="Times New Roman"/>
          <w:sz w:val="24"/>
          <w:szCs w:val="24"/>
        </w:rPr>
        <w:t xml:space="preserve"> designed and performed the research and wrote the paper; </w:t>
      </w:r>
      <w:proofErr w:type="spellStart"/>
      <w:r w:rsidRPr="004E79AD">
        <w:rPr>
          <w:rFonts w:ascii="Book Antiqua" w:hAnsi="Book Antiqua" w:cs="Times New Roman"/>
          <w:sz w:val="24"/>
          <w:szCs w:val="24"/>
        </w:rPr>
        <w:t>Grotz</w:t>
      </w:r>
      <w:proofErr w:type="spellEnd"/>
      <w:r w:rsidRPr="004E79AD">
        <w:rPr>
          <w:rFonts w:ascii="Book Antiqua" w:hAnsi="Book Antiqua" w:cs="Times New Roman"/>
          <w:sz w:val="24"/>
          <w:szCs w:val="24"/>
        </w:rPr>
        <w:t xml:space="preserve"> T</w:t>
      </w:r>
      <w:r w:rsidR="00700F05" w:rsidRPr="004E79AD">
        <w:rPr>
          <w:rFonts w:ascii="Book Antiqua" w:hAnsi="Book Antiqua" w:cs="Times New Roman"/>
          <w:sz w:val="24"/>
          <w:szCs w:val="24"/>
        </w:rPr>
        <w:t>E</w:t>
      </w:r>
      <w:r w:rsidRPr="004E79AD">
        <w:rPr>
          <w:rFonts w:ascii="Book Antiqua" w:hAnsi="Book Antiqua" w:cs="Times New Roman"/>
          <w:sz w:val="24"/>
          <w:szCs w:val="24"/>
        </w:rPr>
        <w:t xml:space="preserve"> designed the research and wrote the paper; </w:t>
      </w:r>
      <w:proofErr w:type="spellStart"/>
      <w:r w:rsidRPr="004E79AD">
        <w:rPr>
          <w:rFonts w:ascii="Book Antiqua" w:hAnsi="Book Antiqua" w:cs="Times New Roman"/>
          <w:sz w:val="24"/>
          <w:szCs w:val="24"/>
        </w:rPr>
        <w:t>Cloyd</w:t>
      </w:r>
      <w:proofErr w:type="spellEnd"/>
      <w:r w:rsidRPr="004E79AD">
        <w:rPr>
          <w:rFonts w:ascii="Book Antiqua" w:hAnsi="Book Antiqua" w:cs="Times New Roman"/>
          <w:sz w:val="24"/>
          <w:szCs w:val="24"/>
        </w:rPr>
        <w:t xml:space="preserve"> J</w:t>
      </w:r>
      <w:r w:rsidR="00700F05" w:rsidRPr="004E79AD">
        <w:rPr>
          <w:rFonts w:ascii="Book Antiqua" w:hAnsi="Book Antiqua" w:cs="Times New Roman"/>
          <w:sz w:val="24"/>
          <w:szCs w:val="24"/>
        </w:rPr>
        <w:t>M</w:t>
      </w:r>
      <w:r w:rsidRPr="004E79AD">
        <w:rPr>
          <w:rFonts w:ascii="Book Antiqua" w:hAnsi="Book Antiqua" w:cs="Times New Roman"/>
          <w:sz w:val="24"/>
          <w:szCs w:val="24"/>
        </w:rPr>
        <w:t>, Ahmed A, Fournier K, Lee A</w:t>
      </w:r>
      <w:r w:rsidR="00700F05" w:rsidRPr="004E79AD">
        <w:rPr>
          <w:rFonts w:ascii="Book Antiqua" w:hAnsi="Book Antiqua" w:cs="Times New Roman"/>
          <w:sz w:val="24"/>
          <w:szCs w:val="24"/>
        </w:rPr>
        <w:t>J</w:t>
      </w:r>
      <w:r w:rsidRPr="004E79AD">
        <w:rPr>
          <w:rFonts w:ascii="Book Antiqua" w:hAnsi="Book Antiqua" w:cs="Times New Roman"/>
          <w:sz w:val="24"/>
          <w:szCs w:val="24"/>
        </w:rPr>
        <w:t xml:space="preserve">, </w:t>
      </w:r>
      <w:proofErr w:type="spellStart"/>
      <w:r w:rsidRPr="004E79AD">
        <w:rPr>
          <w:rFonts w:ascii="Book Antiqua" w:hAnsi="Book Antiqua" w:cs="Times New Roman"/>
          <w:sz w:val="24"/>
          <w:szCs w:val="24"/>
        </w:rPr>
        <w:t>Dessureault</w:t>
      </w:r>
      <w:proofErr w:type="spellEnd"/>
      <w:r w:rsidRPr="004E79AD">
        <w:rPr>
          <w:rFonts w:ascii="Book Antiqua" w:hAnsi="Book Antiqua" w:cs="Times New Roman"/>
          <w:sz w:val="24"/>
          <w:szCs w:val="24"/>
        </w:rPr>
        <w:t xml:space="preserve"> S, Felder S, </w:t>
      </w:r>
      <w:proofErr w:type="spellStart"/>
      <w:r w:rsidRPr="004E79AD">
        <w:rPr>
          <w:rFonts w:ascii="Book Antiqua" w:hAnsi="Book Antiqua" w:cs="Times New Roman"/>
          <w:sz w:val="24"/>
          <w:szCs w:val="24"/>
        </w:rPr>
        <w:t>Veerapong</w:t>
      </w:r>
      <w:proofErr w:type="spellEnd"/>
      <w:r w:rsidRPr="004E79AD">
        <w:rPr>
          <w:rFonts w:ascii="Book Antiqua" w:hAnsi="Book Antiqua" w:cs="Times New Roman"/>
          <w:sz w:val="24"/>
          <w:szCs w:val="24"/>
        </w:rPr>
        <w:t xml:space="preserve"> J, Baumgartner J</w:t>
      </w:r>
      <w:r w:rsidR="00700F05" w:rsidRPr="004E79AD">
        <w:rPr>
          <w:rFonts w:ascii="Book Antiqua" w:hAnsi="Book Antiqua" w:cs="Times New Roman"/>
          <w:sz w:val="24"/>
          <w:szCs w:val="24"/>
        </w:rPr>
        <w:t>M</w:t>
      </w:r>
      <w:r w:rsidRPr="004E79AD">
        <w:rPr>
          <w:rFonts w:ascii="Book Antiqua" w:hAnsi="Book Antiqua" w:cs="Times New Roman"/>
          <w:sz w:val="24"/>
          <w:szCs w:val="24"/>
        </w:rPr>
        <w:t xml:space="preserve">, Clarke C, </w:t>
      </w:r>
      <w:proofErr w:type="spellStart"/>
      <w:r w:rsidRPr="004E79AD">
        <w:rPr>
          <w:rFonts w:ascii="Book Antiqua" w:hAnsi="Book Antiqua" w:cs="Times New Roman"/>
          <w:sz w:val="24"/>
          <w:szCs w:val="24"/>
        </w:rPr>
        <w:t>Mogal</w:t>
      </w:r>
      <w:proofErr w:type="spellEnd"/>
      <w:r w:rsidRPr="004E79AD">
        <w:rPr>
          <w:rFonts w:ascii="Book Antiqua" w:hAnsi="Book Antiqua" w:cs="Times New Roman"/>
          <w:sz w:val="24"/>
          <w:szCs w:val="24"/>
        </w:rPr>
        <w:t xml:space="preserve"> H, Staley C</w:t>
      </w:r>
      <w:r w:rsidR="00700F05" w:rsidRPr="004E79AD">
        <w:rPr>
          <w:rFonts w:ascii="Book Antiqua" w:hAnsi="Book Antiqua" w:cs="Times New Roman"/>
          <w:sz w:val="24"/>
          <w:szCs w:val="24"/>
        </w:rPr>
        <w:t>A</w:t>
      </w:r>
      <w:r w:rsidRPr="004E79AD">
        <w:rPr>
          <w:rFonts w:ascii="Book Antiqua" w:hAnsi="Book Antiqua" w:cs="Times New Roman"/>
          <w:sz w:val="24"/>
          <w:szCs w:val="24"/>
        </w:rPr>
        <w:t>, Zaidi M</w:t>
      </w:r>
      <w:r w:rsidR="00700F05" w:rsidRPr="004E79AD">
        <w:rPr>
          <w:rFonts w:ascii="Book Antiqua" w:hAnsi="Book Antiqua" w:cs="Times New Roman"/>
          <w:sz w:val="24"/>
          <w:szCs w:val="24"/>
        </w:rPr>
        <w:t>Y</w:t>
      </w:r>
      <w:r w:rsidRPr="004E79AD">
        <w:rPr>
          <w:rFonts w:ascii="Book Antiqua" w:hAnsi="Book Antiqua" w:cs="Times New Roman"/>
          <w:sz w:val="24"/>
          <w:szCs w:val="24"/>
        </w:rPr>
        <w:t>, Patel S</w:t>
      </w:r>
      <w:r w:rsidR="00700F05" w:rsidRPr="004E79AD">
        <w:rPr>
          <w:rFonts w:ascii="Book Antiqua" w:hAnsi="Book Antiqua" w:cs="Times New Roman"/>
          <w:sz w:val="24"/>
          <w:szCs w:val="24"/>
        </w:rPr>
        <w:t>H</w:t>
      </w:r>
      <w:r w:rsidRPr="004E79AD">
        <w:rPr>
          <w:rFonts w:ascii="Book Antiqua" w:hAnsi="Book Antiqua" w:cs="Times New Roman"/>
          <w:sz w:val="24"/>
          <w:szCs w:val="24"/>
        </w:rPr>
        <w:t>, Ahmad S</w:t>
      </w:r>
      <w:r w:rsidR="00700F05" w:rsidRPr="004E79AD">
        <w:rPr>
          <w:rFonts w:ascii="Book Antiqua" w:hAnsi="Book Antiqua" w:cs="Times New Roman"/>
          <w:sz w:val="24"/>
          <w:szCs w:val="24"/>
        </w:rPr>
        <w:t>A</w:t>
      </w:r>
      <w:r w:rsidRPr="004E79AD">
        <w:rPr>
          <w:rFonts w:ascii="Book Antiqua" w:hAnsi="Book Antiqua" w:cs="Times New Roman"/>
          <w:sz w:val="24"/>
          <w:szCs w:val="24"/>
        </w:rPr>
        <w:t>, Hendrix R</w:t>
      </w:r>
      <w:r w:rsidR="00700F05" w:rsidRPr="004E79AD">
        <w:rPr>
          <w:rFonts w:ascii="Book Antiqua" w:hAnsi="Book Antiqua" w:cs="Times New Roman"/>
          <w:sz w:val="24"/>
          <w:szCs w:val="24"/>
        </w:rPr>
        <w:t>J</w:t>
      </w:r>
      <w:r w:rsidRPr="004E79AD">
        <w:rPr>
          <w:rFonts w:ascii="Book Antiqua" w:hAnsi="Book Antiqua" w:cs="Times New Roman"/>
          <w:sz w:val="24"/>
          <w:szCs w:val="24"/>
        </w:rPr>
        <w:t>, Lambert L, Abbott D</w:t>
      </w:r>
      <w:r w:rsidR="00700F05" w:rsidRPr="004E79AD">
        <w:rPr>
          <w:rFonts w:ascii="Book Antiqua" w:hAnsi="Book Antiqua" w:cs="Times New Roman"/>
          <w:sz w:val="24"/>
          <w:szCs w:val="24"/>
        </w:rPr>
        <w:t>E</w:t>
      </w:r>
      <w:r w:rsidRPr="004E79AD">
        <w:rPr>
          <w:rFonts w:ascii="Book Antiqua" w:hAnsi="Book Antiqua" w:cs="Times New Roman"/>
          <w:sz w:val="24"/>
          <w:szCs w:val="24"/>
        </w:rPr>
        <w:t xml:space="preserve">, </w:t>
      </w:r>
      <w:proofErr w:type="spellStart"/>
      <w:r w:rsidRPr="004E79AD">
        <w:rPr>
          <w:rFonts w:ascii="Book Antiqua" w:hAnsi="Book Antiqua" w:cs="Times New Roman"/>
          <w:sz w:val="24"/>
          <w:szCs w:val="24"/>
        </w:rPr>
        <w:t>Pokrzywa</w:t>
      </w:r>
      <w:proofErr w:type="spellEnd"/>
      <w:r w:rsidRPr="004E79AD">
        <w:rPr>
          <w:rFonts w:ascii="Book Antiqua" w:hAnsi="Book Antiqua" w:cs="Times New Roman"/>
          <w:sz w:val="24"/>
          <w:szCs w:val="24"/>
        </w:rPr>
        <w:t xml:space="preserve"> C, </w:t>
      </w:r>
      <w:proofErr w:type="spellStart"/>
      <w:r w:rsidRPr="004E79AD">
        <w:rPr>
          <w:rFonts w:ascii="Book Antiqua" w:hAnsi="Book Antiqua" w:cs="Times New Roman"/>
          <w:sz w:val="24"/>
          <w:szCs w:val="24"/>
        </w:rPr>
        <w:t>Raoof</w:t>
      </w:r>
      <w:proofErr w:type="spellEnd"/>
      <w:r w:rsidRPr="004E79AD">
        <w:rPr>
          <w:rFonts w:ascii="Book Antiqua" w:hAnsi="Book Antiqua" w:cs="Times New Roman"/>
          <w:sz w:val="24"/>
          <w:szCs w:val="24"/>
        </w:rPr>
        <w:t xml:space="preserve"> M, LaRocca C</w:t>
      </w:r>
      <w:r w:rsidR="00700F05" w:rsidRPr="004E79AD">
        <w:rPr>
          <w:rFonts w:ascii="Book Antiqua" w:hAnsi="Book Antiqua" w:cs="Times New Roman"/>
          <w:sz w:val="24"/>
          <w:szCs w:val="24"/>
        </w:rPr>
        <w:t>J</w:t>
      </w:r>
      <w:r w:rsidRPr="004E79AD">
        <w:rPr>
          <w:rFonts w:ascii="Book Antiqua" w:hAnsi="Book Antiqua" w:cs="Times New Roman"/>
          <w:sz w:val="24"/>
          <w:szCs w:val="24"/>
        </w:rPr>
        <w:t>, Johnston F</w:t>
      </w:r>
      <w:r w:rsidR="00700F05" w:rsidRPr="004E79AD">
        <w:rPr>
          <w:rFonts w:ascii="Book Antiqua" w:hAnsi="Book Antiqua" w:cs="Times New Roman"/>
          <w:sz w:val="24"/>
          <w:szCs w:val="24"/>
        </w:rPr>
        <w:t>M</w:t>
      </w:r>
      <w:r w:rsidR="005F71A3">
        <w:rPr>
          <w:rFonts w:ascii="Book Antiqua" w:hAnsi="Book Antiqua" w:cs="Times New Roman"/>
          <w:sz w:val="24"/>
          <w:szCs w:val="24"/>
        </w:rPr>
        <w:t xml:space="preserve"> </w:t>
      </w:r>
      <w:r w:rsidRPr="004E79AD">
        <w:rPr>
          <w:rFonts w:ascii="Book Antiqua" w:hAnsi="Book Antiqua" w:cs="Times New Roman"/>
          <w:sz w:val="24"/>
          <w:szCs w:val="24"/>
        </w:rPr>
        <w:t xml:space="preserve">and Greer J </w:t>
      </w:r>
      <w:r w:rsidR="0012509F" w:rsidRPr="004E79AD">
        <w:rPr>
          <w:rFonts w:ascii="Book Antiqua" w:hAnsi="Book Antiqua" w:cs="Times New Roman"/>
          <w:sz w:val="24"/>
          <w:szCs w:val="24"/>
        </w:rPr>
        <w:t>analyzed the</w:t>
      </w:r>
      <w:r w:rsidRPr="004E79AD">
        <w:rPr>
          <w:rFonts w:ascii="Book Antiqua" w:hAnsi="Book Antiqua" w:cs="Times New Roman"/>
          <w:sz w:val="24"/>
          <w:szCs w:val="24"/>
        </w:rPr>
        <w:t xml:space="preserve"> data </w:t>
      </w:r>
      <w:r w:rsidR="0012509F" w:rsidRPr="004E79AD">
        <w:rPr>
          <w:rFonts w:ascii="Book Antiqua" w:hAnsi="Book Antiqua" w:cs="Times New Roman"/>
          <w:sz w:val="24"/>
          <w:szCs w:val="24"/>
        </w:rPr>
        <w:t>and critically revised</w:t>
      </w:r>
      <w:r w:rsidR="00700F05" w:rsidRPr="004E79AD">
        <w:rPr>
          <w:rFonts w:ascii="Book Antiqua" w:hAnsi="Book Antiqua" w:cs="Times New Roman"/>
          <w:sz w:val="24"/>
          <w:szCs w:val="24"/>
        </w:rPr>
        <w:t xml:space="preserve"> the manuscript.</w:t>
      </w:r>
    </w:p>
    <w:p w14:paraId="741AE418" w14:textId="77777777" w:rsidR="00F52E4A" w:rsidRPr="004E79AD" w:rsidRDefault="00F52E4A" w:rsidP="004E79AD">
      <w:pPr>
        <w:snapToGrid w:val="0"/>
        <w:spacing w:after="0" w:line="360" w:lineRule="auto"/>
        <w:jc w:val="both"/>
        <w:rPr>
          <w:rFonts w:ascii="Book Antiqua" w:hAnsi="Book Antiqua" w:cs="Times New Roman"/>
          <w:b/>
          <w:sz w:val="24"/>
          <w:szCs w:val="24"/>
        </w:rPr>
      </w:pPr>
    </w:p>
    <w:p w14:paraId="6558B690" w14:textId="491334F0" w:rsidR="0012509F" w:rsidRPr="004E79AD" w:rsidRDefault="00CD542D" w:rsidP="004E79AD">
      <w:pPr>
        <w:snapToGrid w:val="0"/>
        <w:spacing w:after="0" w:line="360" w:lineRule="auto"/>
        <w:jc w:val="both"/>
        <w:rPr>
          <w:rFonts w:ascii="Book Antiqua" w:hAnsi="Book Antiqua" w:cs="Times New Roman"/>
          <w:sz w:val="24"/>
          <w:szCs w:val="24"/>
        </w:rPr>
      </w:pPr>
      <w:proofErr w:type="gramStart"/>
      <w:r w:rsidRPr="004E79AD">
        <w:rPr>
          <w:rFonts w:ascii="Book Antiqua" w:hAnsi="Book Antiqua" w:cs="Times New Roman"/>
          <w:b/>
          <w:sz w:val="24"/>
          <w:szCs w:val="24"/>
        </w:rPr>
        <w:t>Supported by</w:t>
      </w:r>
      <w:r w:rsidRPr="004E79AD">
        <w:rPr>
          <w:rFonts w:ascii="Book Antiqua" w:hAnsi="Book Antiqua" w:cs="Times New Roman"/>
          <w:sz w:val="24"/>
          <w:szCs w:val="24"/>
        </w:rPr>
        <w:t xml:space="preserve"> the National Center for A</w:t>
      </w:r>
      <w:r w:rsidR="00700F05" w:rsidRPr="004E79AD">
        <w:rPr>
          <w:rFonts w:ascii="Book Antiqua" w:hAnsi="Book Antiqua" w:cs="Times New Roman"/>
          <w:sz w:val="24"/>
          <w:szCs w:val="24"/>
        </w:rPr>
        <w:t>dvancing Translational Sciences, No.</w:t>
      </w:r>
      <w:proofErr w:type="gramEnd"/>
      <w:r w:rsidR="00700F05" w:rsidRPr="004E79AD">
        <w:rPr>
          <w:rFonts w:ascii="Book Antiqua" w:hAnsi="Book Antiqua" w:cs="Times New Roman"/>
          <w:sz w:val="24"/>
          <w:szCs w:val="24"/>
        </w:rPr>
        <w:t xml:space="preserve"> UL1TR002377.</w:t>
      </w:r>
    </w:p>
    <w:p w14:paraId="52639D5D" w14:textId="77777777" w:rsidR="00404B2C" w:rsidRPr="004E79AD" w:rsidRDefault="00404B2C" w:rsidP="004E79AD">
      <w:pPr>
        <w:snapToGrid w:val="0"/>
        <w:spacing w:after="0" w:line="360" w:lineRule="auto"/>
        <w:jc w:val="both"/>
        <w:rPr>
          <w:rFonts w:ascii="Book Antiqua" w:hAnsi="Book Antiqua" w:cs="Times New Roman"/>
          <w:sz w:val="24"/>
          <w:szCs w:val="24"/>
        </w:rPr>
      </w:pPr>
    </w:p>
    <w:p w14:paraId="601A011B" w14:textId="6123B88D" w:rsidR="00221506" w:rsidRPr="004E79AD" w:rsidRDefault="00221506" w:rsidP="004E79AD">
      <w:pPr>
        <w:snapToGrid w:val="0"/>
        <w:spacing w:after="0" w:line="360" w:lineRule="auto"/>
        <w:jc w:val="both"/>
        <w:rPr>
          <w:rFonts w:ascii="Book Antiqua" w:hAnsi="Book Antiqua" w:cs="Times New Roman"/>
          <w:sz w:val="24"/>
          <w:szCs w:val="24"/>
          <w:u w:val="single"/>
        </w:rPr>
      </w:pPr>
      <w:r w:rsidRPr="004E79AD">
        <w:rPr>
          <w:rFonts w:ascii="Book Antiqua" w:hAnsi="Book Antiqua" w:cs="Times New Roman"/>
          <w:b/>
          <w:sz w:val="24"/>
          <w:szCs w:val="24"/>
        </w:rPr>
        <w:t xml:space="preserve">Corresponding author: </w:t>
      </w:r>
      <w:r w:rsidR="00F52D24" w:rsidRPr="004E79AD">
        <w:rPr>
          <w:rFonts w:ascii="Book Antiqua" w:hAnsi="Book Antiqua" w:cs="Times New Roman"/>
          <w:b/>
          <w:sz w:val="24"/>
          <w:szCs w:val="24"/>
        </w:rPr>
        <w:t xml:space="preserve">Travis E </w:t>
      </w:r>
      <w:proofErr w:type="spellStart"/>
      <w:r w:rsidR="00F52D24" w:rsidRPr="004E79AD">
        <w:rPr>
          <w:rFonts w:ascii="Book Antiqua" w:hAnsi="Book Antiqua" w:cs="Times New Roman"/>
          <w:b/>
          <w:sz w:val="24"/>
          <w:szCs w:val="24"/>
        </w:rPr>
        <w:t>Grotz</w:t>
      </w:r>
      <w:proofErr w:type="spellEnd"/>
      <w:r w:rsidR="00F52D24" w:rsidRPr="004E79AD">
        <w:rPr>
          <w:rFonts w:ascii="Book Antiqua" w:hAnsi="Book Antiqua" w:cs="Times New Roman"/>
          <w:b/>
          <w:sz w:val="24"/>
          <w:szCs w:val="24"/>
        </w:rPr>
        <w:t>, MD</w:t>
      </w:r>
      <w:r w:rsidRPr="004E79AD">
        <w:rPr>
          <w:rFonts w:ascii="Book Antiqua" w:hAnsi="Book Antiqua" w:cs="Times New Roman"/>
          <w:sz w:val="24"/>
          <w:szCs w:val="24"/>
        </w:rPr>
        <w:t xml:space="preserve">, </w:t>
      </w:r>
      <w:r w:rsidR="00005A58" w:rsidRPr="004E79AD">
        <w:rPr>
          <w:rFonts w:ascii="Book Antiqua" w:hAnsi="Book Antiqua" w:cs="Times New Roman"/>
          <w:b/>
          <w:sz w:val="24"/>
          <w:szCs w:val="24"/>
        </w:rPr>
        <w:t>Assistant Professor</w:t>
      </w:r>
      <w:r w:rsidRPr="004E79AD">
        <w:rPr>
          <w:rFonts w:ascii="Book Antiqua" w:hAnsi="Book Antiqua" w:cs="Times New Roman"/>
          <w:b/>
          <w:sz w:val="24"/>
          <w:szCs w:val="24"/>
        </w:rPr>
        <w:t xml:space="preserve">, </w:t>
      </w:r>
      <w:r w:rsidR="00F52D24" w:rsidRPr="004E79AD">
        <w:rPr>
          <w:rFonts w:ascii="Book Antiqua" w:hAnsi="Book Antiqua" w:cs="Times New Roman"/>
          <w:sz w:val="24"/>
          <w:szCs w:val="24"/>
        </w:rPr>
        <w:t>Division of Hepatobiliary and Pancreas Surgery</w:t>
      </w:r>
      <w:r w:rsidRPr="004E79AD">
        <w:rPr>
          <w:rFonts w:ascii="Book Antiqua" w:hAnsi="Book Antiqua" w:cs="Times New Roman"/>
          <w:sz w:val="24"/>
          <w:szCs w:val="24"/>
        </w:rPr>
        <w:t xml:space="preserve">, Mayo Clinic, </w:t>
      </w:r>
      <w:bookmarkStart w:id="10" w:name="OLE_LINK10"/>
      <w:r w:rsidR="00F52D24" w:rsidRPr="004E79AD">
        <w:rPr>
          <w:rFonts w:ascii="Book Antiqua" w:hAnsi="Book Antiqua" w:cs="Times New Roman"/>
          <w:sz w:val="24"/>
          <w:szCs w:val="24"/>
        </w:rPr>
        <w:t xml:space="preserve">200 First </w:t>
      </w:r>
      <w:proofErr w:type="spellStart"/>
      <w:r w:rsidR="004D6001" w:rsidRPr="004E79AD">
        <w:rPr>
          <w:rFonts w:ascii="Book Antiqua" w:hAnsi="Book Antiqua" w:cs="Times New Roman"/>
          <w:sz w:val="24"/>
          <w:szCs w:val="24"/>
        </w:rPr>
        <w:t>Stteer</w:t>
      </w:r>
      <w:proofErr w:type="spellEnd"/>
      <w:r w:rsidR="00F52D24" w:rsidRPr="004E79AD">
        <w:rPr>
          <w:rFonts w:ascii="Book Antiqua" w:hAnsi="Book Antiqua" w:cs="Times New Roman"/>
          <w:sz w:val="24"/>
          <w:szCs w:val="24"/>
        </w:rPr>
        <w:t xml:space="preserve"> Southwest</w:t>
      </w:r>
      <w:bookmarkEnd w:id="10"/>
      <w:r w:rsidRPr="004E79AD">
        <w:rPr>
          <w:rFonts w:ascii="Book Antiqua" w:hAnsi="Book Antiqua" w:cs="Times New Roman"/>
          <w:sz w:val="24"/>
          <w:szCs w:val="24"/>
        </w:rPr>
        <w:t xml:space="preserve">, </w:t>
      </w:r>
      <w:r w:rsidR="00F52D24" w:rsidRPr="004E79AD">
        <w:rPr>
          <w:rFonts w:ascii="Book Antiqua" w:hAnsi="Book Antiqua" w:cs="Times New Roman"/>
          <w:sz w:val="24"/>
          <w:szCs w:val="24"/>
        </w:rPr>
        <w:t>Rochester, MN 55905</w:t>
      </w:r>
      <w:r w:rsidR="004D6001" w:rsidRPr="004E79AD">
        <w:rPr>
          <w:rFonts w:ascii="Book Antiqua" w:hAnsi="Book Antiqua" w:cs="Times New Roman"/>
          <w:sz w:val="24"/>
          <w:szCs w:val="24"/>
        </w:rPr>
        <w:t>, United States</w:t>
      </w:r>
      <w:r w:rsidRPr="004E79AD">
        <w:rPr>
          <w:rFonts w:ascii="Book Antiqua" w:hAnsi="Book Antiqua" w:cs="Times New Roman"/>
          <w:sz w:val="24"/>
          <w:szCs w:val="24"/>
        </w:rPr>
        <w:t xml:space="preserve">. </w:t>
      </w:r>
      <w:r w:rsidR="004D6001" w:rsidRPr="004134DE">
        <w:rPr>
          <w:rFonts w:ascii="Book Antiqua" w:hAnsi="Book Antiqua" w:cs="Times New Roman"/>
          <w:sz w:val="24"/>
          <w:szCs w:val="24"/>
        </w:rPr>
        <w:t>grotz.travis@mayo.edu</w:t>
      </w:r>
    </w:p>
    <w:p w14:paraId="4DA61E32" w14:textId="77777777" w:rsidR="004D6001" w:rsidRPr="004E79AD" w:rsidRDefault="004D6001" w:rsidP="004E79AD">
      <w:pPr>
        <w:snapToGrid w:val="0"/>
        <w:spacing w:after="0" w:line="360" w:lineRule="auto"/>
        <w:jc w:val="both"/>
        <w:rPr>
          <w:rFonts w:ascii="Book Antiqua" w:hAnsi="Book Antiqua" w:cs="Times New Roman"/>
          <w:sz w:val="24"/>
          <w:szCs w:val="24"/>
          <w:u w:val="single"/>
        </w:rPr>
      </w:pPr>
    </w:p>
    <w:p w14:paraId="04E3E05A" w14:textId="401E819B" w:rsidR="004D6001" w:rsidRPr="004E79AD" w:rsidRDefault="004D6001" w:rsidP="004E79AD">
      <w:pPr>
        <w:adjustRightInd w:val="0"/>
        <w:snapToGrid w:val="0"/>
        <w:spacing w:after="0" w:line="360" w:lineRule="auto"/>
        <w:jc w:val="both"/>
        <w:rPr>
          <w:rFonts w:ascii="Book Antiqua" w:hAnsi="Book Antiqua"/>
          <w:b/>
          <w:sz w:val="24"/>
          <w:szCs w:val="24"/>
        </w:rPr>
      </w:pPr>
      <w:r w:rsidRPr="004E79AD">
        <w:rPr>
          <w:rFonts w:ascii="Book Antiqua" w:hAnsi="Book Antiqua"/>
          <w:b/>
          <w:sz w:val="24"/>
          <w:szCs w:val="24"/>
        </w:rPr>
        <w:t xml:space="preserve">Received: </w:t>
      </w:r>
      <w:r w:rsidRPr="004E79AD">
        <w:rPr>
          <w:rFonts w:ascii="Book Antiqua" w:hAnsi="Book Antiqua"/>
          <w:sz w:val="24"/>
          <w:szCs w:val="24"/>
        </w:rPr>
        <w:t>March</w:t>
      </w:r>
      <w:r w:rsidRPr="004E79AD">
        <w:rPr>
          <w:rFonts w:ascii="Book Antiqua" w:hAnsi="Book Antiqua"/>
          <w:sz w:val="24"/>
          <w:szCs w:val="24"/>
          <w:lang w:eastAsia="zh-CN"/>
        </w:rPr>
        <w:t xml:space="preserve"> 3, 2020</w:t>
      </w:r>
    </w:p>
    <w:p w14:paraId="352281F0" w14:textId="5300EFB4" w:rsidR="004D6001" w:rsidRPr="004E79AD" w:rsidRDefault="004D6001" w:rsidP="004E79AD">
      <w:pPr>
        <w:adjustRightInd w:val="0"/>
        <w:snapToGrid w:val="0"/>
        <w:spacing w:after="0" w:line="360" w:lineRule="auto"/>
        <w:jc w:val="both"/>
        <w:rPr>
          <w:rFonts w:ascii="Book Antiqua" w:hAnsi="Book Antiqua"/>
          <w:b/>
          <w:sz w:val="24"/>
          <w:szCs w:val="24"/>
        </w:rPr>
      </w:pPr>
      <w:r w:rsidRPr="004E79AD">
        <w:rPr>
          <w:rFonts w:ascii="Book Antiqua" w:hAnsi="Book Antiqua"/>
          <w:b/>
          <w:sz w:val="24"/>
          <w:szCs w:val="24"/>
        </w:rPr>
        <w:t xml:space="preserve">Revised: </w:t>
      </w:r>
      <w:r w:rsidRPr="004E79AD">
        <w:rPr>
          <w:rFonts w:ascii="Book Antiqua" w:hAnsi="Book Antiqua"/>
          <w:sz w:val="24"/>
          <w:szCs w:val="24"/>
        </w:rPr>
        <w:t>May 1, 2020</w:t>
      </w:r>
    </w:p>
    <w:p w14:paraId="07DF923B" w14:textId="01E887C7" w:rsidR="004D6001" w:rsidRPr="004E79AD" w:rsidRDefault="004D6001" w:rsidP="004E79AD">
      <w:pPr>
        <w:adjustRightInd w:val="0"/>
        <w:snapToGrid w:val="0"/>
        <w:spacing w:after="0" w:line="360" w:lineRule="auto"/>
        <w:jc w:val="both"/>
        <w:rPr>
          <w:rFonts w:ascii="Book Antiqua" w:hAnsi="Book Antiqua"/>
          <w:b/>
          <w:sz w:val="24"/>
          <w:szCs w:val="24"/>
        </w:rPr>
      </w:pPr>
      <w:r w:rsidRPr="004E79AD">
        <w:rPr>
          <w:rFonts w:ascii="Book Antiqua" w:hAnsi="Book Antiqua"/>
          <w:b/>
          <w:sz w:val="24"/>
          <w:szCs w:val="24"/>
        </w:rPr>
        <w:t xml:space="preserve">Accepted: </w:t>
      </w:r>
      <w:r w:rsidR="0079669F" w:rsidRPr="0079669F">
        <w:rPr>
          <w:rFonts w:ascii="Book Antiqua" w:hAnsi="Book Antiqua"/>
          <w:sz w:val="24"/>
          <w:szCs w:val="24"/>
        </w:rPr>
        <w:t>June 2, 2020</w:t>
      </w:r>
    </w:p>
    <w:p w14:paraId="26F9A432" w14:textId="0F2D485E" w:rsidR="004D6001" w:rsidRPr="004E79AD" w:rsidRDefault="004D6001" w:rsidP="004E79AD">
      <w:pPr>
        <w:adjustRightInd w:val="0"/>
        <w:snapToGrid w:val="0"/>
        <w:spacing w:after="0" w:line="360" w:lineRule="auto"/>
        <w:jc w:val="both"/>
        <w:rPr>
          <w:rFonts w:ascii="Book Antiqua" w:hAnsi="Book Antiqua"/>
          <w:b/>
          <w:sz w:val="24"/>
          <w:szCs w:val="24"/>
        </w:rPr>
      </w:pPr>
      <w:r w:rsidRPr="004E79AD">
        <w:rPr>
          <w:rFonts w:ascii="Book Antiqua" w:hAnsi="Book Antiqua"/>
          <w:b/>
          <w:sz w:val="24"/>
          <w:szCs w:val="24"/>
        </w:rPr>
        <w:t>Published online:</w:t>
      </w:r>
      <w:r w:rsidR="00E76BB4" w:rsidRPr="00E76BB4">
        <w:rPr>
          <w:rFonts w:ascii="Book Antiqua" w:hAnsi="Book Antiqua"/>
          <w:sz w:val="24"/>
          <w:szCs w:val="24"/>
        </w:rPr>
        <w:t xml:space="preserve"> </w:t>
      </w:r>
      <w:r w:rsidR="00E76BB4" w:rsidRPr="0079669F">
        <w:rPr>
          <w:rFonts w:ascii="Book Antiqua" w:hAnsi="Book Antiqua"/>
          <w:sz w:val="24"/>
          <w:szCs w:val="24"/>
        </w:rPr>
        <w:t>Ju</w:t>
      </w:r>
      <w:r w:rsidR="00F74D01">
        <w:rPr>
          <w:rFonts w:ascii="Book Antiqua" w:hAnsi="Book Antiqua" w:hint="eastAsia"/>
          <w:sz w:val="24"/>
          <w:szCs w:val="24"/>
          <w:lang w:eastAsia="zh-CN"/>
        </w:rPr>
        <w:t>ly</w:t>
      </w:r>
      <w:r w:rsidR="00E76BB4" w:rsidRPr="0079669F">
        <w:rPr>
          <w:rFonts w:ascii="Book Antiqua" w:hAnsi="Book Antiqua"/>
          <w:sz w:val="24"/>
          <w:szCs w:val="24"/>
        </w:rPr>
        <w:t xml:space="preserve"> </w:t>
      </w:r>
      <w:r w:rsidR="00E76BB4">
        <w:rPr>
          <w:rFonts w:ascii="Book Antiqua" w:hAnsi="Book Antiqua"/>
          <w:sz w:val="24"/>
          <w:szCs w:val="24"/>
        </w:rPr>
        <w:t>15</w:t>
      </w:r>
      <w:r w:rsidR="00E76BB4" w:rsidRPr="0079669F">
        <w:rPr>
          <w:rFonts w:ascii="Book Antiqua" w:hAnsi="Book Antiqua"/>
          <w:sz w:val="24"/>
          <w:szCs w:val="24"/>
        </w:rPr>
        <w:t>, 2020</w:t>
      </w:r>
    </w:p>
    <w:p w14:paraId="296438CD" w14:textId="77777777" w:rsidR="004D6001" w:rsidRPr="004E79AD" w:rsidRDefault="004D6001" w:rsidP="004E79AD">
      <w:pPr>
        <w:snapToGrid w:val="0"/>
        <w:spacing w:after="0" w:line="360" w:lineRule="auto"/>
        <w:jc w:val="both"/>
        <w:rPr>
          <w:rFonts w:ascii="Book Antiqua" w:hAnsi="Book Antiqua" w:cs="Times New Roman"/>
          <w:sz w:val="24"/>
          <w:szCs w:val="24"/>
          <w:u w:val="single"/>
        </w:rPr>
      </w:pPr>
    </w:p>
    <w:p w14:paraId="16B565E0" w14:textId="77777777" w:rsidR="00676D80" w:rsidRPr="004E79AD" w:rsidRDefault="00676D80"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b/>
          <w:sz w:val="24"/>
          <w:szCs w:val="24"/>
        </w:rPr>
        <w:br w:type="page"/>
      </w:r>
    </w:p>
    <w:p w14:paraId="371D0F61" w14:textId="77777777" w:rsidR="004D6001" w:rsidRPr="004E79AD" w:rsidRDefault="004D6001" w:rsidP="004E79AD">
      <w:pPr>
        <w:adjustRightInd w:val="0"/>
        <w:snapToGrid w:val="0"/>
        <w:spacing w:after="0" w:line="360" w:lineRule="auto"/>
        <w:jc w:val="both"/>
        <w:rPr>
          <w:rFonts w:ascii="Book Antiqua" w:hAnsi="Book Antiqua"/>
          <w:b/>
          <w:sz w:val="24"/>
          <w:szCs w:val="24"/>
          <w:lang w:eastAsia="zh-CN"/>
        </w:rPr>
      </w:pPr>
      <w:r w:rsidRPr="004E79AD">
        <w:rPr>
          <w:rFonts w:ascii="Book Antiqua" w:hAnsi="Book Antiqua"/>
          <w:b/>
          <w:sz w:val="24"/>
          <w:szCs w:val="24"/>
        </w:rPr>
        <w:lastRenderedPageBreak/>
        <w:t>Abstract</w:t>
      </w:r>
    </w:p>
    <w:p w14:paraId="70E3C5D1" w14:textId="77777777" w:rsidR="004D6001" w:rsidRPr="004E79AD" w:rsidRDefault="004D6001" w:rsidP="004E79AD">
      <w:pPr>
        <w:adjustRightInd w:val="0"/>
        <w:snapToGrid w:val="0"/>
        <w:spacing w:after="0" w:line="360" w:lineRule="auto"/>
        <w:jc w:val="both"/>
        <w:rPr>
          <w:rFonts w:ascii="Book Antiqua" w:hAnsi="Book Antiqua"/>
          <w:sz w:val="24"/>
          <w:szCs w:val="24"/>
          <w:lang w:eastAsia="zh-CN"/>
        </w:rPr>
      </w:pPr>
      <w:r w:rsidRPr="004E79AD">
        <w:rPr>
          <w:rFonts w:ascii="Book Antiqua" w:hAnsi="Book Antiqua"/>
          <w:sz w:val="24"/>
          <w:szCs w:val="24"/>
        </w:rPr>
        <w:t>BACKGROUND</w:t>
      </w:r>
    </w:p>
    <w:p w14:paraId="2E5F7D4C" w14:textId="36E89A9B" w:rsidR="00CD542D" w:rsidRPr="004E79AD" w:rsidRDefault="00BC2E4B"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 xml:space="preserve">Cytoreductive surgery (CRS) with hyperthermic intraperitoneal chemotherapy (HIPEC) for peritoneal carcinomatosis can be performed in two ways: open </w:t>
      </w:r>
      <w:r w:rsidR="00ED6E0E" w:rsidRPr="004E79AD">
        <w:rPr>
          <w:rFonts w:ascii="Book Antiqua" w:hAnsi="Book Antiqua" w:cs="Times New Roman"/>
          <w:sz w:val="24"/>
          <w:szCs w:val="24"/>
        </w:rPr>
        <w:t>o</w:t>
      </w:r>
      <w:r w:rsidRPr="004E79AD">
        <w:rPr>
          <w:rFonts w:ascii="Book Antiqua" w:hAnsi="Book Antiqua" w:cs="Times New Roman"/>
          <w:sz w:val="24"/>
          <w:szCs w:val="24"/>
        </w:rPr>
        <w:t xml:space="preserve">r closed abdominal technique. </w:t>
      </w:r>
    </w:p>
    <w:p w14:paraId="7356144C" w14:textId="77777777" w:rsidR="00775AB4" w:rsidRPr="004E79AD" w:rsidRDefault="00775AB4" w:rsidP="004E79AD">
      <w:pPr>
        <w:snapToGrid w:val="0"/>
        <w:spacing w:after="0" w:line="360" w:lineRule="auto"/>
        <w:jc w:val="both"/>
        <w:rPr>
          <w:rFonts w:ascii="Book Antiqua" w:hAnsi="Book Antiqua" w:cs="Times New Roman"/>
          <w:sz w:val="24"/>
          <w:szCs w:val="24"/>
        </w:rPr>
      </w:pPr>
    </w:p>
    <w:p w14:paraId="6CB69C19" w14:textId="31D3A70F" w:rsidR="00404B2C" w:rsidRPr="004E79AD" w:rsidRDefault="00404B2C"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AIM</w:t>
      </w:r>
    </w:p>
    <w:p w14:paraId="0FFCA8C4" w14:textId="58714EE1" w:rsidR="00BC2E4B" w:rsidRPr="004E79AD" w:rsidRDefault="004D6001" w:rsidP="004E79AD">
      <w:pPr>
        <w:snapToGrid w:val="0"/>
        <w:spacing w:after="0" w:line="360" w:lineRule="auto"/>
        <w:jc w:val="both"/>
        <w:rPr>
          <w:rFonts w:ascii="Book Antiqua" w:hAnsi="Book Antiqua" w:cs="Times New Roman"/>
          <w:sz w:val="24"/>
          <w:szCs w:val="24"/>
        </w:rPr>
      </w:pPr>
      <w:proofErr w:type="gramStart"/>
      <w:r w:rsidRPr="004E79AD">
        <w:rPr>
          <w:rFonts w:ascii="Book Antiqua" w:hAnsi="Book Antiqua" w:cs="Times New Roman"/>
          <w:sz w:val="24"/>
          <w:szCs w:val="24"/>
        </w:rPr>
        <w:t xml:space="preserve">To </w:t>
      </w:r>
      <w:r w:rsidR="00BC2E4B" w:rsidRPr="004E79AD">
        <w:rPr>
          <w:rFonts w:ascii="Book Antiqua" w:hAnsi="Book Antiqua" w:cs="Times New Roman"/>
          <w:sz w:val="24"/>
          <w:szCs w:val="24"/>
        </w:rPr>
        <w:t xml:space="preserve">evaluate the impact of HIPEC </w:t>
      </w:r>
      <w:r w:rsidR="00ED6E0E" w:rsidRPr="004E79AD">
        <w:rPr>
          <w:rFonts w:ascii="Book Antiqua" w:hAnsi="Book Antiqua" w:cs="Times New Roman"/>
          <w:sz w:val="24"/>
          <w:szCs w:val="24"/>
        </w:rPr>
        <w:t xml:space="preserve">method on </w:t>
      </w:r>
      <w:r w:rsidR="009532B9" w:rsidRPr="004E79AD">
        <w:rPr>
          <w:rFonts w:ascii="Book Antiqua" w:hAnsi="Book Antiqua" w:cs="Times New Roman"/>
          <w:sz w:val="24"/>
          <w:szCs w:val="24"/>
        </w:rPr>
        <w:t>post-ope</w:t>
      </w:r>
      <w:r w:rsidR="00BC2E4B" w:rsidRPr="004E79AD">
        <w:rPr>
          <w:rFonts w:ascii="Book Antiqua" w:hAnsi="Book Antiqua" w:cs="Times New Roman"/>
          <w:sz w:val="24"/>
          <w:szCs w:val="24"/>
        </w:rPr>
        <w:t>rative and long-term su</w:t>
      </w:r>
      <w:r w:rsidRPr="004E79AD">
        <w:rPr>
          <w:rFonts w:ascii="Book Antiqua" w:hAnsi="Book Antiqua" w:cs="Times New Roman"/>
          <w:sz w:val="24"/>
          <w:szCs w:val="24"/>
        </w:rPr>
        <w:t>rvival outcomes.</w:t>
      </w:r>
      <w:proofErr w:type="gramEnd"/>
    </w:p>
    <w:p w14:paraId="48559CA6" w14:textId="77777777" w:rsidR="00775AB4" w:rsidRPr="004E79AD" w:rsidRDefault="00775AB4" w:rsidP="004E79AD">
      <w:pPr>
        <w:snapToGrid w:val="0"/>
        <w:spacing w:after="0" w:line="360" w:lineRule="auto"/>
        <w:jc w:val="both"/>
        <w:rPr>
          <w:rFonts w:ascii="Book Antiqua" w:hAnsi="Book Antiqua" w:cs="Times New Roman"/>
          <w:sz w:val="24"/>
          <w:szCs w:val="24"/>
        </w:rPr>
      </w:pPr>
    </w:p>
    <w:p w14:paraId="2056AACC" w14:textId="1FBCC830" w:rsidR="00CD542D" w:rsidRPr="004E79AD" w:rsidRDefault="00404B2C"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METHODS</w:t>
      </w:r>
    </w:p>
    <w:p w14:paraId="26BCA8CA" w14:textId="2BFA471A" w:rsidR="00BC2E4B" w:rsidRPr="004E79AD" w:rsidRDefault="00BC2E4B"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Patients undergoing CRS with HIPEC from 2000-2017 were identified in the U</w:t>
      </w:r>
      <w:r w:rsidR="004D6001" w:rsidRPr="004E79AD">
        <w:rPr>
          <w:rFonts w:ascii="Book Antiqua" w:hAnsi="Book Antiqua" w:cs="Times New Roman"/>
          <w:sz w:val="24"/>
          <w:szCs w:val="24"/>
        </w:rPr>
        <w:t xml:space="preserve">nited </w:t>
      </w:r>
      <w:r w:rsidRPr="004E79AD">
        <w:rPr>
          <w:rFonts w:ascii="Book Antiqua" w:hAnsi="Book Antiqua" w:cs="Times New Roman"/>
          <w:sz w:val="24"/>
          <w:szCs w:val="24"/>
        </w:rPr>
        <w:t>S</w:t>
      </w:r>
      <w:r w:rsidR="004D6001" w:rsidRPr="004E79AD">
        <w:rPr>
          <w:rFonts w:ascii="Book Antiqua" w:hAnsi="Book Antiqua" w:cs="Times New Roman"/>
          <w:sz w:val="24"/>
          <w:szCs w:val="24"/>
        </w:rPr>
        <w:t>tates</w:t>
      </w:r>
      <w:r w:rsidRPr="004E79AD">
        <w:rPr>
          <w:rFonts w:ascii="Book Antiqua" w:hAnsi="Book Antiqua" w:cs="Times New Roman"/>
          <w:sz w:val="24"/>
          <w:szCs w:val="24"/>
        </w:rPr>
        <w:t xml:space="preserve"> HIPEC </w:t>
      </w:r>
      <w:r w:rsidR="004D6001" w:rsidRPr="004E79AD">
        <w:rPr>
          <w:rFonts w:ascii="Book Antiqua" w:hAnsi="Book Antiqua" w:cs="Times New Roman"/>
          <w:sz w:val="24"/>
          <w:szCs w:val="24"/>
        </w:rPr>
        <w:t xml:space="preserve">collaborative </w:t>
      </w:r>
      <w:r w:rsidRPr="004E79AD">
        <w:rPr>
          <w:rFonts w:ascii="Book Antiqua" w:hAnsi="Book Antiqua" w:cs="Times New Roman"/>
          <w:sz w:val="24"/>
          <w:szCs w:val="24"/>
        </w:rPr>
        <w:t xml:space="preserve">database. Post-operative, recurrence, and overall survival outcomes were compared </w:t>
      </w:r>
      <w:r w:rsidR="00ED6E0E" w:rsidRPr="004E79AD">
        <w:rPr>
          <w:rFonts w:ascii="Book Antiqua" w:hAnsi="Book Antiqua" w:cs="Times New Roman"/>
          <w:sz w:val="24"/>
          <w:szCs w:val="24"/>
        </w:rPr>
        <w:t xml:space="preserve">between those who received open </w:t>
      </w:r>
      <w:r w:rsidR="00ED6E0E" w:rsidRPr="004E79AD">
        <w:rPr>
          <w:rFonts w:ascii="Book Antiqua" w:hAnsi="Book Antiqua" w:cs="Times New Roman"/>
          <w:i/>
          <w:sz w:val="24"/>
          <w:szCs w:val="24"/>
        </w:rPr>
        <w:t>vs</w:t>
      </w:r>
      <w:r w:rsidRPr="004E79AD">
        <w:rPr>
          <w:rFonts w:ascii="Book Antiqua" w:hAnsi="Book Antiqua" w:cs="Times New Roman"/>
          <w:sz w:val="24"/>
          <w:szCs w:val="24"/>
        </w:rPr>
        <w:t xml:space="preserve"> closed HIPEC.</w:t>
      </w:r>
    </w:p>
    <w:p w14:paraId="37E313F3" w14:textId="77777777" w:rsidR="00CD542D" w:rsidRPr="004E79AD" w:rsidRDefault="00CD542D" w:rsidP="004E79AD">
      <w:pPr>
        <w:snapToGrid w:val="0"/>
        <w:spacing w:after="0" w:line="360" w:lineRule="auto"/>
        <w:jc w:val="both"/>
        <w:rPr>
          <w:rFonts w:ascii="Book Antiqua" w:hAnsi="Book Antiqua" w:cs="Times New Roman"/>
          <w:sz w:val="24"/>
          <w:szCs w:val="24"/>
        </w:rPr>
      </w:pPr>
    </w:p>
    <w:p w14:paraId="17675B82" w14:textId="732E3D7A" w:rsidR="00775AB4" w:rsidRPr="004E79AD" w:rsidRDefault="00775AB4"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RESULTS</w:t>
      </w:r>
    </w:p>
    <w:p w14:paraId="665FB6F8" w14:textId="0693E24D" w:rsidR="00BC2E4B" w:rsidRPr="004E79AD" w:rsidRDefault="00BC2E4B"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 xml:space="preserve">Of the 1812 patients undergoing curative-intent CRS and HIPEC, </w:t>
      </w:r>
      <w:r w:rsidR="002C6374" w:rsidRPr="004E79AD">
        <w:rPr>
          <w:rFonts w:ascii="Book Antiqua" w:hAnsi="Book Antiqua" w:cs="Times New Roman"/>
          <w:sz w:val="24"/>
          <w:szCs w:val="24"/>
        </w:rPr>
        <w:t>372 (21</w:t>
      </w:r>
      <w:r w:rsidR="00CA54AB" w:rsidRPr="004E79AD">
        <w:rPr>
          <w:rFonts w:ascii="Book Antiqua" w:hAnsi="Book Antiqua" w:cs="Times New Roman"/>
          <w:sz w:val="24"/>
          <w:szCs w:val="24"/>
        </w:rPr>
        <w:t xml:space="preserve">%) patients underwent open HIPEC and </w:t>
      </w:r>
      <w:r w:rsidRPr="004E79AD">
        <w:rPr>
          <w:rFonts w:ascii="Book Antiqua" w:hAnsi="Book Antiqua" w:cs="Times New Roman"/>
          <w:sz w:val="24"/>
          <w:szCs w:val="24"/>
        </w:rPr>
        <w:t>1</w:t>
      </w:r>
      <w:r w:rsidR="002C6374" w:rsidRPr="004E79AD">
        <w:rPr>
          <w:rFonts w:ascii="Book Antiqua" w:hAnsi="Book Antiqua" w:cs="Times New Roman"/>
          <w:sz w:val="24"/>
          <w:szCs w:val="24"/>
        </w:rPr>
        <w:t>440 (79</w:t>
      </w:r>
      <w:r w:rsidRPr="004E79AD">
        <w:rPr>
          <w:rFonts w:ascii="Book Antiqua" w:hAnsi="Book Antiqua" w:cs="Times New Roman"/>
          <w:sz w:val="24"/>
          <w:szCs w:val="24"/>
        </w:rPr>
        <w:t>%) underwent</w:t>
      </w:r>
      <w:r w:rsidR="002D0AE9" w:rsidRPr="004E79AD">
        <w:rPr>
          <w:rFonts w:ascii="Book Antiqua" w:hAnsi="Book Antiqua" w:cs="Times New Roman"/>
          <w:sz w:val="24"/>
          <w:szCs w:val="24"/>
        </w:rPr>
        <w:t xml:space="preserve"> closed HIPEC</w:t>
      </w:r>
      <w:r w:rsidRPr="004E79AD">
        <w:rPr>
          <w:rFonts w:ascii="Book Antiqua" w:hAnsi="Book Antiqua" w:cs="Times New Roman"/>
          <w:sz w:val="24"/>
          <w:szCs w:val="24"/>
        </w:rPr>
        <w:t xml:space="preserve">. </w:t>
      </w:r>
      <w:r w:rsidR="00ED6E0E" w:rsidRPr="004E79AD">
        <w:rPr>
          <w:rFonts w:ascii="Book Antiqua" w:hAnsi="Book Antiqua" w:cs="Times New Roman"/>
          <w:sz w:val="24"/>
          <w:szCs w:val="24"/>
        </w:rPr>
        <w:t>T</w:t>
      </w:r>
      <w:r w:rsidR="00DA7254" w:rsidRPr="004E79AD">
        <w:rPr>
          <w:rFonts w:ascii="Book Antiqua" w:hAnsi="Book Antiqua" w:cs="Times New Roman"/>
          <w:sz w:val="24"/>
          <w:szCs w:val="24"/>
        </w:rPr>
        <w:t>here was no difference in re</w:t>
      </w:r>
      <w:r w:rsidR="00095A5E" w:rsidRPr="004E79AD">
        <w:rPr>
          <w:rFonts w:ascii="Book Antiqua" w:hAnsi="Book Antiqua" w:cs="Times New Roman"/>
          <w:sz w:val="24"/>
          <w:szCs w:val="24"/>
        </w:rPr>
        <w:t>-</w:t>
      </w:r>
      <w:r w:rsidR="00DA7254" w:rsidRPr="004E79AD">
        <w:rPr>
          <w:rFonts w:ascii="Book Antiqua" w:hAnsi="Book Antiqua" w:cs="Times New Roman"/>
          <w:sz w:val="24"/>
          <w:szCs w:val="24"/>
        </w:rPr>
        <w:t xml:space="preserve">operation or severe complications between the two groups. </w:t>
      </w:r>
      <w:r w:rsidR="00095A5E" w:rsidRPr="004E79AD">
        <w:rPr>
          <w:rFonts w:ascii="Book Antiqua" w:hAnsi="Book Antiqua" w:cs="Times New Roman"/>
          <w:sz w:val="24"/>
          <w:szCs w:val="24"/>
        </w:rPr>
        <w:t>Closed HIPEC</w:t>
      </w:r>
      <w:r w:rsidR="004D6001" w:rsidRPr="004E79AD">
        <w:rPr>
          <w:rFonts w:ascii="Book Antiqua" w:hAnsi="Book Antiqua" w:cs="Times New Roman"/>
          <w:sz w:val="24"/>
          <w:szCs w:val="24"/>
        </w:rPr>
        <w:t xml:space="preserve"> had higher rates of 90-d</w:t>
      </w:r>
      <w:r w:rsidR="00095A5E" w:rsidRPr="004E79AD">
        <w:rPr>
          <w:rFonts w:ascii="Book Antiqua" w:hAnsi="Book Antiqua" w:cs="Times New Roman"/>
          <w:sz w:val="24"/>
          <w:szCs w:val="24"/>
        </w:rPr>
        <w:t xml:space="preserve"> readmission while open H</w:t>
      </w:r>
      <w:r w:rsidR="004D6001" w:rsidRPr="004E79AD">
        <w:rPr>
          <w:rFonts w:ascii="Book Antiqua" w:hAnsi="Book Antiqua" w:cs="Times New Roman"/>
          <w:sz w:val="24"/>
          <w:szCs w:val="24"/>
        </w:rPr>
        <w:t>IPEC had a higher rate of 90-d</w:t>
      </w:r>
      <w:r w:rsidR="00095A5E" w:rsidRPr="004E79AD">
        <w:rPr>
          <w:rFonts w:ascii="Book Antiqua" w:hAnsi="Book Antiqua" w:cs="Times New Roman"/>
          <w:sz w:val="24"/>
          <w:szCs w:val="24"/>
        </w:rPr>
        <w:t xml:space="preserve"> mortalities. </w:t>
      </w:r>
      <w:r w:rsidRPr="004E79AD">
        <w:rPr>
          <w:rFonts w:ascii="Book Antiqua" w:hAnsi="Book Antiqua" w:cs="Times New Roman"/>
          <w:sz w:val="24"/>
          <w:szCs w:val="24"/>
        </w:rPr>
        <w:t>On multi</w:t>
      </w:r>
      <w:r w:rsidR="002D0AE9" w:rsidRPr="004E79AD">
        <w:rPr>
          <w:rFonts w:ascii="Book Antiqua" w:hAnsi="Book Antiqua" w:cs="Times New Roman"/>
          <w:sz w:val="24"/>
          <w:szCs w:val="24"/>
        </w:rPr>
        <w:t>-</w:t>
      </w:r>
      <w:r w:rsidRPr="004E79AD">
        <w:rPr>
          <w:rFonts w:ascii="Book Antiqua" w:hAnsi="Book Antiqua" w:cs="Times New Roman"/>
          <w:sz w:val="24"/>
          <w:szCs w:val="24"/>
        </w:rPr>
        <w:t xml:space="preserve">variable </w:t>
      </w:r>
      <w:r w:rsidR="00ED6E0E" w:rsidRPr="004E79AD">
        <w:rPr>
          <w:rFonts w:ascii="Book Antiqua" w:hAnsi="Book Antiqua" w:cs="Times New Roman"/>
          <w:sz w:val="24"/>
          <w:szCs w:val="24"/>
        </w:rPr>
        <w:t>analysis</w:t>
      </w:r>
      <w:r w:rsidRPr="004E79AD">
        <w:rPr>
          <w:rFonts w:ascii="Book Antiqua" w:hAnsi="Book Antiqua" w:cs="Times New Roman"/>
          <w:sz w:val="24"/>
          <w:szCs w:val="24"/>
        </w:rPr>
        <w:t xml:space="preserve">, </w:t>
      </w:r>
      <w:r w:rsidR="00095A5E" w:rsidRPr="004E79AD">
        <w:rPr>
          <w:rFonts w:ascii="Book Antiqua" w:hAnsi="Book Antiqua" w:cs="Times New Roman"/>
          <w:sz w:val="24"/>
          <w:szCs w:val="24"/>
        </w:rPr>
        <w:t>closed HIPEC</w:t>
      </w:r>
      <w:r w:rsidRPr="004E79AD">
        <w:rPr>
          <w:rFonts w:ascii="Book Antiqua" w:hAnsi="Book Antiqua" w:cs="Times New Roman"/>
          <w:sz w:val="24"/>
          <w:szCs w:val="24"/>
        </w:rPr>
        <w:t xml:space="preserve"> technique was not a significant predictor for overall survival</w:t>
      </w:r>
      <w:r w:rsidR="00721478" w:rsidRPr="004E79AD">
        <w:rPr>
          <w:rFonts w:ascii="Book Antiqua" w:hAnsi="Book Antiqua" w:cs="Times New Roman"/>
          <w:sz w:val="24"/>
          <w:szCs w:val="24"/>
        </w:rPr>
        <w:t xml:space="preserve"> (</w:t>
      </w:r>
      <w:r w:rsidR="00217A06" w:rsidRPr="004E79AD">
        <w:rPr>
          <w:rFonts w:ascii="Book Antiqua" w:hAnsi="Book Antiqua" w:cs="Times New Roman"/>
          <w:noProof/>
          <w:sz w:val="24"/>
          <w:szCs w:val="24"/>
        </w:rPr>
        <w:t>hazards ratio</w:t>
      </w:r>
      <w:r w:rsidR="004D6001" w:rsidRPr="004E79AD">
        <w:rPr>
          <w:rFonts w:ascii="Book Antiqua" w:hAnsi="Book Antiqua" w:cs="Times New Roman"/>
          <w:sz w:val="24"/>
          <w:szCs w:val="24"/>
        </w:rPr>
        <w:t>:</w:t>
      </w:r>
      <w:r w:rsidR="00721478" w:rsidRPr="004E79AD">
        <w:rPr>
          <w:rFonts w:ascii="Book Antiqua" w:hAnsi="Book Antiqua" w:cs="Times New Roman"/>
          <w:sz w:val="24"/>
          <w:szCs w:val="24"/>
        </w:rPr>
        <w:t xml:space="preserve"> </w:t>
      </w:r>
      <w:r w:rsidR="00095A5E" w:rsidRPr="004E79AD">
        <w:rPr>
          <w:rFonts w:ascii="Book Antiqua" w:hAnsi="Book Antiqua" w:cs="Times New Roman"/>
          <w:sz w:val="24"/>
          <w:szCs w:val="24"/>
        </w:rPr>
        <w:t>0.75</w:t>
      </w:r>
      <w:r w:rsidR="004D6001" w:rsidRPr="004E79AD">
        <w:rPr>
          <w:rFonts w:ascii="Book Antiqua" w:hAnsi="Book Antiqua" w:cs="Times New Roman"/>
          <w:sz w:val="24"/>
          <w:szCs w:val="24"/>
        </w:rPr>
        <w:t>, 95%</w:t>
      </w:r>
      <w:r w:rsidR="007250D8" w:rsidRPr="004E79AD">
        <w:rPr>
          <w:rFonts w:ascii="Book Antiqua" w:hAnsi="Book Antiqua" w:cs="Times New Roman"/>
          <w:sz w:val="24"/>
          <w:szCs w:val="24"/>
        </w:rPr>
        <w:t>confidence interval</w:t>
      </w:r>
      <w:r w:rsidR="007250D8" w:rsidRPr="004E79AD">
        <w:rPr>
          <w:rFonts w:ascii="Book Antiqua" w:hAnsi="Book Antiqua" w:cs="Times New Roman"/>
          <w:sz w:val="24"/>
          <w:szCs w:val="24"/>
          <w:lang w:eastAsia="zh-CN"/>
        </w:rPr>
        <w:t>:</w:t>
      </w:r>
      <w:r w:rsidR="00721478" w:rsidRPr="004E79AD">
        <w:rPr>
          <w:rFonts w:ascii="Book Antiqua" w:hAnsi="Book Antiqua" w:cs="Times New Roman"/>
          <w:sz w:val="24"/>
          <w:szCs w:val="24"/>
        </w:rPr>
        <w:t xml:space="preserve"> 0.</w:t>
      </w:r>
      <w:r w:rsidR="00095A5E" w:rsidRPr="004E79AD">
        <w:rPr>
          <w:rFonts w:ascii="Book Antiqua" w:hAnsi="Book Antiqua" w:cs="Times New Roman"/>
          <w:sz w:val="24"/>
          <w:szCs w:val="24"/>
        </w:rPr>
        <w:t>51-1.10</w:t>
      </w:r>
      <w:r w:rsidR="007E517A" w:rsidRPr="004E79AD">
        <w:rPr>
          <w:rFonts w:ascii="Book Antiqua" w:hAnsi="Book Antiqua" w:cs="Times New Roman"/>
          <w:sz w:val="24"/>
          <w:szCs w:val="24"/>
        </w:rPr>
        <w:t xml:space="preserve">, </w:t>
      </w:r>
      <w:r w:rsidR="007E517A" w:rsidRPr="004E79AD">
        <w:rPr>
          <w:rFonts w:ascii="Book Antiqua" w:hAnsi="Book Antiqua" w:cs="Times New Roman"/>
          <w:i/>
          <w:caps/>
          <w:sz w:val="24"/>
          <w:szCs w:val="24"/>
        </w:rPr>
        <w:t>p</w:t>
      </w:r>
      <w:r w:rsidR="007E517A" w:rsidRPr="004E79AD">
        <w:rPr>
          <w:rFonts w:ascii="Book Antiqua" w:hAnsi="Book Antiqua" w:cs="Times New Roman"/>
          <w:sz w:val="24"/>
          <w:szCs w:val="24"/>
        </w:rPr>
        <w:t xml:space="preserve"> = 0.14</w:t>
      </w:r>
      <w:r w:rsidR="00721478" w:rsidRPr="004E79AD">
        <w:rPr>
          <w:rFonts w:ascii="Book Antiqua" w:hAnsi="Book Antiqua" w:cs="Times New Roman"/>
          <w:sz w:val="24"/>
          <w:szCs w:val="24"/>
        </w:rPr>
        <w:t>)</w:t>
      </w:r>
      <w:r w:rsidRPr="004E79AD">
        <w:rPr>
          <w:rFonts w:ascii="Book Antiqua" w:hAnsi="Book Antiqua" w:cs="Times New Roman"/>
          <w:sz w:val="24"/>
          <w:szCs w:val="24"/>
        </w:rPr>
        <w:t xml:space="preserve"> or recurrence-free survival</w:t>
      </w:r>
      <w:r w:rsidR="00721478" w:rsidRPr="004E79AD">
        <w:rPr>
          <w:rFonts w:ascii="Book Antiqua" w:hAnsi="Book Antiqua" w:cs="Times New Roman"/>
          <w:sz w:val="24"/>
          <w:szCs w:val="24"/>
        </w:rPr>
        <w:t xml:space="preserve"> (</w:t>
      </w:r>
      <w:r w:rsidR="00217A06" w:rsidRPr="004E79AD">
        <w:rPr>
          <w:rFonts w:ascii="Book Antiqua" w:hAnsi="Book Antiqua" w:cs="Times New Roman"/>
          <w:noProof/>
          <w:sz w:val="24"/>
          <w:szCs w:val="24"/>
        </w:rPr>
        <w:t>hazards ratio</w:t>
      </w:r>
      <w:r w:rsidR="004D6001" w:rsidRPr="004E79AD">
        <w:rPr>
          <w:rFonts w:ascii="Book Antiqua" w:hAnsi="Book Antiqua" w:cs="Times New Roman"/>
          <w:sz w:val="24"/>
          <w:szCs w:val="24"/>
        </w:rPr>
        <w:t>:</w:t>
      </w:r>
      <w:r w:rsidR="00721478" w:rsidRPr="004E79AD">
        <w:rPr>
          <w:rFonts w:ascii="Book Antiqua" w:hAnsi="Book Antiqua" w:cs="Times New Roman"/>
          <w:sz w:val="24"/>
          <w:szCs w:val="24"/>
        </w:rPr>
        <w:t xml:space="preserve"> </w:t>
      </w:r>
      <w:r w:rsidR="00095A5E" w:rsidRPr="004E79AD">
        <w:rPr>
          <w:rFonts w:ascii="Book Antiqua" w:hAnsi="Book Antiqua" w:cs="Times New Roman"/>
          <w:sz w:val="24"/>
          <w:szCs w:val="24"/>
        </w:rPr>
        <w:t>1.39</w:t>
      </w:r>
      <w:r w:rsidR="00721478" w:rsidRPr="004E79AD">
        <w:rPr>
          <w:rFonts w:ascii="Book Antiqua" w:hAnsi="Book Antiqua" w:cs="Times New Roman"/>
          <w:sz w:val="24"/>
          <w:szCs w:val="24"/>
        </w:rPr>
        <w:t xml:space="preserve">, </w:t>
      </w:r>
      <w:r w:rsidR="004D6001" w:rsidRPr="004E79AD">
        <w:rPr>
          <w:rFonts w:ascii="Book Antiqua" w:hAnsi="Book Antiqua" w:cs="Times New Roman"/>
          <w:sz w:val="24"/>
          <w:szCs w:val="24"/>
        </w:rPr>
        <w:t>95%</w:t>
      </w:r>
      <w:r w:rsidR="007250D8" w:rsidRPr="004E79AD">
        <w:rPr>
          <w:rFonts w:ascii="Book Antiqua" w:hAnsi="Book Antiqua" w:cs="Times New Roman"/>
          <w:sz w:val="24"/>
          <w:szCs w:val="24"/>
        </w:rPr>
        <w:t>confidence interval</w:t>
      </w:r>
      <w:r w:rsidR="004D6001" w:rsidRPr="004E79AD">
        <w:rPr>
          <w:rFonts w:ascii="Book Antiqua" w:hAnsi="Book Antiqua" w:cs="Times New Roman"/>
          <w:sz w:val="24"/>
          <w:szCs w:val="24"/>
        </w:rPr>
        <w:t xml:space="preserve">: </w:t>
      </w:r>
      <w:r w:rsidR="00095A5E" w:rsidRPr="004E79AD">
        <w:rPr>
          <w:rFonts w:ascii="Book Antiqua" w:hAnsi="Book Antiqua" w:cs="Times New Roman"/>
          <w:sz w:val="24"/>
          <w:szCs w:val="24"/>
        </w:rPr>
        <w:t>1.0</w:t>
      </w:r>
      <w:r w:rsidR="00154C2D" w:rsidRPr="004E79AD">
        <w:rPr>
          <w:rFonts w:ascii="Book Antiqua" w:hAnsi="Book Antiqua" w:cs="Times New Roman"/>
          <w:sz w:val="24"/>
          <w:szCs w:val="24"/>
        </w:rPr>
        <w:t>0</w:t>
      </w:r>
      <w:r w:rsidR="00095A5E" w:rsidRPr="004E79AD">
        <w:rPr>
          <w:rFonts w:ascii="Book Antiqua" w:hAnsi="Book Antiqua" w:cs="Times New Roman"/>
          <w:sz w:val="24"/>
          <w:szCs w:val="24"/>
        </w:rPr>
        <w:t xml:space="preserve">-1.93, </w:t>
      </w:r>
      <w:r w:rsidR="00095A5E" w:rsidRPr="004E79AD">
        <w:rPr>
          <w:rFonts w:ascii="Book Antiqua" w:hAnsi="Book Antiqua" w:cs="Times New Roman"/>
          <w:i/>
          <w:caps/>
          <w:sz w:val="24"/>
          <w:szCs w:val="24"/>
        </w:rPr>
        <w:t>p</w:t>
      </w:r>
      <w:r w:rsidR="00095A5E" w:rsidRPr="004E79AD">
        <w:rPr>
          <w:rFonts w:ascii="Book Antiqua" w:hAnsi="Book Antiqua" w:cs="Times New Roman"/>
          <w:sz w:val="24"/>
          <w:szCs w:val="24"/>
        </w:rPr>
        <w:t xml:space="preserve"> = 0.05</w:t>
      </w:r>
      <w:r w:rsidR="00721478" w:rsidRPr="004E79AD">
        <w:rPr>
          <w:rFonts w:ascii="Book Antiqua" w:hAnsi="Book Antiqua" w:cs="Times New Roman"/>
          <w:sz w:val="24"/>
          <w:szCs w:val="24"/>
        </w:rPr>
        <w:t>) i</w:t>
      </w:r>
      <w:r w:rsidRPr="004E79AD">
        <w:rPr>
          <w:rFonts w:ascii="Book Antiqua" w:hAnsi="Book Antiqua" w:cs="Times New Roman"/>
          <w:sz w:val="24"/>
          <w:szCs w:val="24"/>
        </w:rPr>
        <w:t xml:space="preserve">n the entire cohort. </w:t>
      </w:r>
      <w:r w:rsidR="002D1803" w:rsidRPr="004E79AD">
        <w:rPr>
          <w:rFonts w:ascii="Book Antiqua" w:hAnsi="Book Antiqua" w:cs="Times New Roman"/>
          <w:sz w:val="24"/>
          <w:szCs w:val="24"/>
        </w:rPr>
        <w:t>These findings remained</w:t>
      </w:r>
      <w:r w:rsidR="002D0AE9" w:rsidRPr="004E79AD">
        <w:rPr>
          <w:rFonts w:ascii="Book Antiqua" w:hAnsi="Book Antiqua" w:cs="Times New Roman"/>
          <w:sz w:val="24"/>
          <w:szCs w:val="24"/>
        </w:rPr>
        <w:t xml:space="preserve"> </w:t>
      </w:r>
      <w:r w:rsidRPr="004E79AD">
        <w:rPr>
          <w:rFonts w:ascii="Book Antiqua" w:hAnsi="Book Antiqua" w:cs="Times New Roman"/>
          <w:sz w:val="24"/>
          <w:szCs w:val="24"/>
        </w:rPr>
        <w:t>consistent in the appendiceal and the</w:t>
      </w:r>
      <w:r w:rsidR="002D0AE9" w:rsidRPr="004E79AD">
        <w:rPr>
          <w:rFonts w:ascii="Book Antiqua" w:hAnsi="Book Antiqua" w:cs="Times New Roman"/>
          <w:sz w:val="24"/>
          <w:szCs w:val="24"/>
        </w:rPr>
        <w:t xml:space="preserve"> colorectal subgroups</w:t>
      </w:r>
      <w:r w:rsidR="004D6001" w:rsidRPr="004E79AD">
        <w:rPr>
          <w:rFonts w:ascii="Book Antiqua" w:hAnsi="Book Antiqua" w:cs="Times New Roman"/>
          <w:sz w:val="24"/>
          <w:szCs w:val="24"/>
        </w:rPr>
        <w:t>.</w:t>
      </w:r>
    </w:p>
    <w:p w14:paraId="1D8121D4" w14:textId="77777777" w:rsidR="00CD542D" w:rsidRPr="004E79AD" w:rsidRDefault="00CD542D" w:rsidP="004E79AD">
      <w:pPr>
        <w:snapToGrid w:val="0"/>
        <w:spacing w:after="0" w:line="360" w:lineRule="auto"/>
        <w:jc w:val="both"/>
        <w:rPr>
          <w:rFonts w:ascii="Book Antiqua" w:hAnsi="Book Antiqua" w:cs="Times New Roman"/>
          <w:sz w:val="24"/>
          <w:szCs w:val="24"/>
        </w:rPr>
      </w:pPr>
    </w:p>
    <w:p w14:paraId="2B29A59B" w14:textId="04B7260D" w:rsidR="00775AB4" w:rsidRPr="004E79AD" w:rsidRDefault="004D6001"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CONCLUSION</w:t>
      </w:r>
    </w:p>
    <w:p w14:paraId="404E3D18" w14:textId="0ECBFE70" w:rsidR="00674D43" w:rsidRPr="004E79AD" w:rsidRDefault="002D180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lastRenderedPageBreak/>
        <w:t xml:space="preserve">In this multi-institutional analysis, the </w:t>
      </w:r>
      <w:r w:rsidR="005B4CAF" w:rsidRPr="004E79AD">
        <w:rPr>
          <w:rFonts w:ascii="Book Antiqua" w:hAnsi="Book Antiqua" w:cs="Times New Roman"/>
          <w:sz w:val="24"/>
          <w:szCs w:val="24"/>
        </w:rPr>
        <w:t xml:space="preserve">HIPEC method </w:t>
      </w:r>
      <w:r w:rsidRPr="004E79AD">
        <w:rPr>
          <w:rFonts w:ascii="Book Antiqua" w:hAnsi="Book Antiqua" w:cs="Times New Roman"/>
          <w:sz w:val="24"/>
          <w:szCs w:val="24"/>
        </w:rPr>
        <w:t xml:space="preserve">was not independently associated with relevant </w:t>
      </w:r>
      <w:r w:rsidR="002C6374" w:rsidRPr="004E79AD">
        <w:rPr>
          <w:rFonts w:ascii="Book Antiqua" w:hAnsi="Book Antiqua" w:cs="Times New Roman"/>
          <w:sz w:val="24"/>
          <w:szCs w:val="24"/>
        </w:rPr>
        <w:t>post-</w:t>
      </w:r>
      <w:r w:rsidRPr="004E79AD">
        <w:rPr>
          <w:rFonts w:ascii="Book Antiqua" w:hAnsi="Book Antiqua" w:cs="Times New Roman"/>
          <w:sz w:val="24"/>
          <w:szCs w:val="24"/>
        </w:rPr>
        <w:t xml:space="preserve">operative or long-term outcomes. </w:t>
      </w:r>
      <w:r w:rsidR="00BC2E4B" w:rsidRPr="004E79AD">
        <w:rPr>
          <w:rFonts w:ascii="Book Antiqua" w:hAnsi="Book Antiqua" w:cs="Times New Roman"/>
          <w:sz w:val="24"/>
          <w:szCs w:val="24"/>
        </w:rPr>
        <w:t xml:space="preserve">HIPEC technique </w:t>
      </w:r>
      <w:r w:rsidRPr="004E79AD">
        <w:rPr>
          <w:rFonts w:ascii="Book Antiqua" w:hAnsi="Book Antiqua" w:cs="Times New Roman"/>
          <w:sz w:val="24"/>
          <w:szCs w:val="24"/>
        </w:rPr>
        <w:t xml:space="preserve">may </w:t>
      </w:r>
      <w:r w:rsidR="00BC2E4B" w:rsidRPr="004E79AD">
        <w:rPr>
          <w:rFonts w:ascii="Book Antiqua" w:hAnsi="Book Antiqua" w:cs="Times New Roman"/>
          <w:sz w:val="24"/>
          <w:szCs w:val="24"/>
        </w:rPr>
        <w:t>be left to the discretion of the operating surgeon.</w:t>
      </w:r>
    </w:p>
    <w:p w14:paraId="56A8AAED" w14:textId="77777777" w:rsidR="005B4CAF" w:rsidRPr="004E79AD" w:rsidRDefault="005B4CAF" w:rsidP="004E79AD">
      <w:pPr>
        <w:snapToGrid w:val="0"/>
        <w:spacing w:after="0" w:line="360" w:lineRule="auto"/>
        <w:jc w:val="both"/>
        <w:rPr>
          <w:rFonts w:ascii="Book Antiqua" w:hAnsi="Book Antiqua" w:cs="Times New Roman"/>
          <w:b/>
          <w:sz w:val="24"/>
          <w:szCs w:val="24"/>
        </w:rPr>
      </w:pPr>
    </w:p>
    <w:p w14:paraId="00968658" w14:textId="38E9B3A6" w:rsidR="00BB5A6A" w:rsidRPr="004E79AD" w:rsidRDefault="00BB5A6A"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Key </w:t>
      </w:r>
      <w:r w:rsidR="004D6001" w:rsidRPr="004E79AD">
        <w:rPr>
          <w:rFonts w:ascii="Book Antiqua" w:hAnsi="Book Antiqua" w:cs="Times New Roman"/>
          <w:b/>
          <w:sz w:val="24"/>
          <w:szCs w:val="24"/>
        </w:rPr>
        <w:t>words</w:t>
      </w:r>
      <w:r w:rsidRPr="004E79AD">
        <w:rPr>
          <w:rFonts w:ascii="Book Antiqua" w:hAnsi="Book Antiqua" w:cs="Times New Roman"/>
          <w:b/>
          <w:sz w:val="24"/>
          <w:szCs w:val="24"/>
        </w:rPr>
        <w:t>:</w:t>
      </w:r>
      <w:r w:rsidRPr="004E79AD">
        <w:rPr>
          <w:rFonts w:ascii="Book Antiqua" w:hAnsi="Book Antiqua" w:cs="Times New Roman"/>
          <w:sz w:val="24"/>
          <w:szCs w:val="24"/>
        </w:rPr>
        <w:t xml:space="preserve"> Mucinous appendiceal carcinoma</w:t>
      </w:r>
      <w:r w:rsidR="004D6001" w:rsidRPr="004E79AD">
        <w:rPr>
          <w:rFonts w:ascii="Book Antiqua" w:hAnsi="Book Antiqua" w:cs="Times New Roman"/>
          <w:sz w:val="24"/>
          <w:szCs w:val="24"/>
        </w:rPr>
        <w:t>;</w:t>
      </w:r>
      <w:r w:rsidR="005B4CAF" w:rsidRPr="004E79AD">
        <w:rPr>
          <w:rFonts w:ascii="Book Antiqua" w:hAnsi="Book Antiqua" w:cs="Times New Roman"/>
          <w:sz w:val="24"/>
          <w:szCs w:val="24"/>
        </w:rPr>
        <w:t xml:space="preserve"> </w:t>
      </w:r>
      <w:r w:rsidR="004D6001" w:rsidRPr="004E79AD">
        <w:rPr>
          <w:rFonts w:ascii="Book Antiqua" w:hAnsi="Book Antiqua" w:cs="Times New Roman"/>
          <w:sz w:val="24"/>
          <w:szCs w:val="24"/>
        </w:rPr>
        <w:t xml:space="preserve">Cytoreductive </w:t>
      </w:r>
      <w:r w:rsidR="005B4CAF" w:rsidRPr="004E79AD">
        <w:rPr>
          <w:rFonts w:ascii="Book Antiqua" w:hAnsi="Book Antiqua" w:cs="Times New Roman"/>
          <w:sz w:val="24"/>
          <w:szCs w:val="24"/>
        </w:rPr>
        <w:t>surgery</w:t>
      </w:r>
      <w:r w:rsidR="004D6001" w:rsidRPr="004E79AD">
        <w:rPr>
          <w:rFonts w:ascii="Book Antiqua" w:hAnsi="Book Antiqua" w:cs="Times New Roman"/>
          <w:sz w:val="24"/>
          <w:szCs w:val="24"/>
        </w:rPr>
        <w:t>;</w:t>
      </w:r>
      <w:r w:rsidR="000F69C0" w:rsidRPr="004E79AD">
        <w:rPr>
          <w:rFonts w:ascii="Book Antiqua" w:hAnsi="Book Antiqua" w:cs="Times New Roman"/>
          <w:sz w:val="24"/>
          <w:szCs w:val="24"/>
        </w:rPr>
        <w:t xml:space="preserve"> </w:t>
      </w:r>
      <w:r w:rsidR="004D6001" w:rsidRPr="004E79AD">
        <w:rPr>
          <w:rFonts w:ascii="Book Antiqua" w:hAnsi="Book Antiqua" w:cs="Times New Roman"/>
          <w:sz w:val="24"/>
          <w:szCs w:val="24"/>
        </w:rPr>
        <w:t>Multi</w:t>
      </w:r>
      <w:r w:rsidR="000F69C0" w:rsidRPr="004E79AD">
        <w:rPr>
          <w:rFonts w:ascii="Book Antiqua" w:hAnsi="Book Antiqua" w:cs="Times New Roman"/>
          <w:sz w:val="24"/>
          <w:szCs w:val="24"/>
        </w:rPr>
        <w:t>-institutional</w:t>
      </w:r>
    </w:p>
    <w:p w14:paraId="55F3C63A" w14:textId="77777777" w:rsidR="00775AB4" w:rsidRPr="004E79AD" w:rsidRDefault="00775AB4" w:rsidP="004E79AD">
      <w:pPr>
        <w:snapToGrid w:val="0"/>
        <w:spacing w:after="0" w:line="360" w:lineRule="auto"/>
        <w:jc w:val="both"/>
        <w:rPr>
          <w:rFonts w:ascii="Book Antiqua" w:hAnsi="Book Antiqua" w:cs="Times New Roman"/>
          <w:sz w:val="24"/>
          <w:szCs w:val="24"/>
        </w:rPr>
      </w:pPr>
    </w:p>
    <w:p w14:paraId="181003ED" w14:textId="57297F17" w:rsidR="004134DE" w:rsidRDefault="00775AB4" w:rsidP="004E79AD">
      <w:pPr>
        <w:adjustRightInd w:val="0"/>
        <w:snapToGrid w:val="0"/>
        <w:spacing w:after="0" w:line="360" w:lineRule="auto"/>
        <w:jc w:val="both"/>
        <w:rPr>
          <w:rFonts w:ascii="Book Antiqua" w:hAnsi="Book Antiqua" w:hint="eastAsia"/>
          <w:sz w:val="24"/>
          <w:szCs w:val="24"/>
          <w:lang w:eastAsia="zh-CN"/>
        </w:rPr>
      </w:pPr>
      <w:proofErr w:type="spellStart"/>
      <w:r w:rsidRPr="004E79AD">
        <w:rPr>
          <w:rFonts w:ascii="Book Antiqua" w:hAnsi="Book Antiqua" w:cs="Times New Roman"/>
          <w:sz w:val="24"/>
          <w:szCs w:val="24"/>
        </w:rPr>
        <w:t>Leiting</w:t>
      </w:r>
      <w:proofErr w:type="spellEnd"/>
      <w:r w:rsidRPr="004E79AD">
        <w:rPr>
          <w:rFonts w:ascii="Book Antiqua" w:hAnsi="Book Antiqua" w:cs="Times New Roman"/>
          <w:sz w:val="24"/>
          <w:szCs w:val="24"/>
        </w:rPr>
        <w:t xml:space="preserve"> J</w:t>
      </w:r>
      <w:r w:rsidR="004D6001" w:rsidRPr="004E79AD">
        <w:rPr>
          <w:rFonts w:ascii="Book Antiqua" w:hAnsi="Book Antiqua" w:cs="Times New Roman"/>
          <w:sz w:val="24"/>
          <w:szCs w:val="24"/>
        </w:rPr>
        <w:t>L</w:t>
      </w:r>
      <w:r w:rsidRPr="004E79AD">
        <w:rPr>
          <w:rFonts w:ascii="Book Antiqua" w:hAnsi="Book Antiqua" w:cs="Times New Roman"/>
          <w:sz w:val="24"/>
          <w:szCs w:val="24"/>
        </w:rPr>
        <w:t xml:space="preserve">, </w:t>
      </w:r>
      <w:proofErr w:type="spellStart"/>
      <w:r w:rsidRPr="004E79AD">
        <w:rPr>
          <w:rFonts w:ascii="Book Antiqua" w:hAnsi="Book Antiqua" w:cs="Times New Roman"/>
          <w:sz w:val="24"/>
          <w:szCs w:val="24"/>
        </w:rPr>
        <w:t>Cloyd</w:t>
      </w:r>
      <w:proofErr w:type="spellEnd"/>
      <w:r w:rsidRPr="004E79AD">
        <w:rPr>
          <w:rFonts w:ascii="Book Antiqua" w:hAnsi="Book Antiqua" w:cs="Times New Roman"/>
          <w:sz w:val="24"/>
          <w:szCs w:val="24"/>
        </w:rPr>
        <w:t xml:space="preserve"> J</w:t>
      </w:r>
      <w:r w:rsidR="004D6001" w:rsidRPr="004E79AD">
        <w:rPr>
          <w:rFonts w:ascii="Book Antiqua" w:hAnsi="Book Antiqua" w:cs="Times New Roman"/>
          <w:sz w:val="24"/>
          <w:szCs w:val="24"/>
        </w:rPr>
        <w:t>M</w:t>
      </w:r>
      <w:r w:rsidRPr="004E79AD">
        <w:rPr>
          <w:rFonts w:ascii="Book Antiqua" w:hAnsi="Book Antiqua" w:cs="Times New Roman"/>
          <w:sz w:val="24"/>
          <w:szCs w:val="24"/>
        </w:rPr>
        <w:t>, Ahmed A, Fournier K, Lee A</w:t>
      </w:r>
      <w:r w:rsidR="004D6001" w:rsidRPr="004E79AD">
        <w:rPr>
          <w:rFonts w:ascii="Book Antiqua" w:hAnsi="Book Antiqua" w:cs="Times New Roman"/>
          <w:sz w:val="24"/>
          <w:szCs w:val="24"/>
        </w:rPr>
        <w:t>J</w:t>
      </w:r>
      <w:r w:rsidRPr="004E79AD">
        <w:rPr>
          <w:rFonts w:ascii="Book Antiqua" w:hAnsi="Book Antiqua" w:cs="Times New Roman"/>
          <w:sz w:val="24"/>
          <w:szCs w:val="24"/>
        </w:rPr>
        <w:t xml:space="preserve">, </w:t>
      </w:r>
      <w:proofErr w:type="spellStart"/>
      <w:r w:rsidRPr="004E79AD">
        <w:rPr>
          <w:rFonts w:ascii="Book Antiqua" w:hAnsi="Book Antiqua" w:cs="Times New Roman"/>
          <w:sz w:val="24"/>
          <w:szCs w:val="24"/>
        </w:rPr>
        <w:t>Dessureault</w:t>
      </w:r>
      <w:proofErr w:type="spellEnd"/>
      <w:r w:rsidRPr="004E79AD">
        <w:rPr>
          <w:rFonts w:ascii="Book Antiqua" w:hAnsi="Book Antiqua" w:cs="Times New Roman"/>
          <w:sz w:val="24"/>
          <w:szCs w:val="24"/>
        </w:rPr>
        <w:t xml:space="preserve"> S, Felder S, </w:t>
      </w:r>
      <w:proofErr w:type="spellStart"/>
      <w:r w:rsidRPr="004E79AD">
        <w:rPr>
          <w:rFonts w:ascii="Book Antiqua" w:hAnsi="Book Antiqua" w:cs="Times New Roman"/>
          <w:sz w:val="24"/>
          <w:szCs w:val="24"/>
        </w:rPr>
        <w:t>Veerapong</w:t>
      </w:r>
      <w:proofErr w:type="spellEnd"/>
      <w:r w:rsidRPr="004E79AD">
        <w:rPr>
          <w:rFonts w:ascii="Book Antiqua" w:hAnsi="Book Antiqua" w:cs="Times New Roman"/>
          <w:sz w:val="24"/>
          <w:szCs w:val="24"/>
        </w:rPr>
        <w:t xml:space="preserve"> J, Baumgartner J</w:t>
      </w:r>
      <w:r w:rsidR="004D6001" w:rsidRPr="004E79AD">
        <w:rPr>
          <w:rFonts w:ascii="Book Antiqua" w:hAnsi="Book Antiqua" w:cs="Times New Roman"/>
          <w:sz w:val="24"/>
          <w:szCs w:val="24"/>
        </w:rPr>
        <w:t>M</w:t>
      </w:r>
      <w:r w:rsidRPr="004E79AD">
        <w:rPr>
          <w:rFonts w:ascii="Book Antiqua" w:hAnsi="Book Antiqua" w:cs="Times New Roman"/>
          <w:sz w:val="24"/>
          <w:szCs w:val="24"/>
        </w:rPr>
        <w:t xml:space="preserve">, Clarke C, </w:t>
      </w:r>
      <w:proofErr w:type="spellStart"/>
      <w:r w:rsidRPr="004E79AD">
        <w:rPr>
          <w:rFonts w:ascii="Book Antiqua" w:hAnsi="Book Antiqua" w:cs="Times New Roman"/>
          <w:sz w:val="24"/>
          <w:szCs w:val="24"/>
        </w:rPr>
        <w:t>Mogal</w:t>
      </w:r>
      <w:proofErr w:type="spellEnd"/>
      <w:r w:rsidRPr="004E79AD">
        <w:rPr>
          <w:rFonts w:ascii="Book Antiqua" w:hAnsi="Book Antiqua" w:cs="Times New Roman"/>
          <w:sz w:val="24"/>
          <w:szCs w:val="24"/>
        </w:rPr>
        <w:t xml:space="preserve"> H, Staley C</w:t>
      </w:r>
      <w:r w:rsidR="004D6001" w:rsidRPr="004E79AD">
        <w:rPr>
          <w:rFonts w:ascii="Book Antiqua" w:hAnsi="Book Antiqua" w:cs="Times New Roman"/>
          <w:sz w:val="24"/>
          <w:szCs w:val="24"/>
        </w:rPr>
        <w:t>A</w:t>
      </w:r>
      <w:r w:rsidRPr="004E79AD">
        <w:rPr>
          <w:rFonts w:ascii="Book Antiqua" w:hAnsi="Book Antiqua" w:cs="Times New Roman"/>
          <w:sz w:val="24"/>
          <w:szCs w:val="24"/>
        </w:rPr>
        <w:t>, Zaidi M</w:t>
      </w:r>
      <w:r w:rsidR="00B32E53" w:rsidRPr="004E79AD">
        <w:rPr>
          <w:rFonts w:ascii="Book Antiqua" w:hAnsi="Book Antiqua" w:cs="Times New Roman"/>
          <w:sz w:val="24"/>
          <w:szCs w:val="24"/>
        </w:rPr>
        <w:t>Y</w:t>
      </w:r>
      <w:r w:rsidRPr="004E79AD">
        <w:rPr>
          <w:rFonts w:ascii="Book Antiqua" w:hAnsi="Book Antiqua" w:cs="Times New Roman"/>
          <w:sz w:val="24"/>
          <w:szCs w:val="24"/>
        </w:rPr>
        <w:t>, Patel S</w:t>
      </w:r>
      <w:r w:rsidR="00B32E53" w:rsidRPr="004E79AD">
        <w:rPr>
          <w:rFonts w:ascii="Book Antiqua" w:hAnsi="Book Antiqua" w:cs="Times New Roman"/>
          <w:sz w:val="24"/>
          <w:szCs w:val="24"/>
        </w:rPr>
        <w:t>H</w:t>
      </w:r>
      <w:r w:rsidRPr="004E79AD">
        <w:rPr>
          <w:rFonts w:ascii="Book Antiqua" w:hAnsi="Book Antiqua" w:cs="Times New Roman"/>
          <w:sz w:val="24"/>
          <w:szCs w:val="24"/>
        </w:rPr>
        <w:t>, Ahmad S</w:t>
      </w:r>
      <w:r w:rsidR="00B32E53" w:rsidRPr="004E79AD">
        <w:rPr>
          <w:rFonts w:ascii="Book Antiqua" w:hAnsi="Book Antiqua" w:cs="Times New Roman"/>
          <w:sz w:val="24"/>
          <w:szCs w:val="24"/>
        </w:rPr>
        <w:t>A</w:t>
      </w:r>
      <w:r w:rsidRPr="004E79AD">
        <w:rPr>
          <w:rFonts w:ascii="Book Antiqua" w:hAnsi="Book Antiqua" w:cs="Times New Roman"/>
          <w:sz w:val="24"/>
          <w:szCs w:val="24"/>
        </w:rPr>
        <w:t>, Hendrix R</w:t>
      </w:r>
      <w:r w:rsidR="00B32E53" w:rsidRPr="004E79AD">
        <w:rPr>
          <w:rFonts w:ascii="Book Antiqua" w:hAnsi="Book Antiqua" w:cs="Times New Roman"/>
          <w:sz w:val="24"/>
          <w:szCs w:val="24"/>
        </w:rPr>
        <w:t>J</w:t>
      </w:r>
      <w:r w:rsidRPr="004E79AD">
        <w:rPr>
          <w:rFonts w:ascii="Book Antiqua" w:hAnsi="Book Antiqua" w:cs="Times New Roman"/>
          <w:sz w:val="24"/>
          <w:szCs w:val="24"/>
        </w:rPr>
        <w:t>, Lambert L, Abbott D</w:t>
      </w:r>
      <w:r w:rsidR="00B32E53" w:rsidRPr="004E79AD">
        <w:rPr>
          <w:rFonts w:ascii="Book Antiqua" w:hAnsi="Book Antiqua" w:cs="Times New Roman"/>
          <w:sz w:val="24"/>
          <w:szCs w:val="24"/>
        </w:rPr>
        <w:t>E</w:t>
      </w:r>
      <w:r w:rsidRPr="004E79AD">
        <w:rPr>
          <w:rFonts w:ascii="Book Antiqua" w:hAnsi="Book Antiqua" w:cs="Times New Roman"/>
          <w:sz w:val="24"/>
          <w:szCs w:val="24"/>
        </w:rPr>
        <w:t xml:space="preserve">, </w:t>
      </w:r>
      <w:proofErr w:type="spellStart"/>
      <w:r w:rsidRPr="004E79AD">
        <w:rPr>
          <w:rFonts w:ascii="Book Antiqua" w:hAnsi="Book Antiqua" w:cs="Times New Roman"/>
          <w:sz w:val="24"/>
          <w:szCs w:val="24"/>
        </w:rPr>
        <w:t>Pokrzywa</w:t>
      </w:r>
      <w:proofErr w:type="spellEnd"/>
      <w:r w:rsidRPr="004E79AD">
        <w:rPr>
          <w:rFonts w:ascii="Book Antiqua" w:hAnsi="Book Antiqua" w:cs="Times New Roman"/>
          <w:sz w:val="24"/>
          <w:szCs w:val="24"/>
        </w:rPr>
        <w:t xml:space="preserve"> C, </w:t>
      </w:r>
      <w:proofErr w:type="spellStart"/>
      <w:r w:rsidRPr="004E79AD">
        <w:rPr>
          <w:rFonts w:ascii="Book Antiqua" w:hAnsi="Book Antiqua" w:cs="Times New Roman"/>
          <w:sz w:val="24"/>
          <w:szCs w:val="24"/>
        </w:rPr>
        <w:t>Raoof</w:t>
      </w:r>
      <w:proofErr w:type="spellEnd"/>
      <w:r w:rsidRPr="004E79AD">
        <w:rPr>
          <w:rFonts w:ascii="Book Antiqua" w:hAnsi="Book Antiqua" w:cs="Times New Roman"/>
          <w:sz w:val="24"/>
          <w:szCs w:val="24"/>
        </w:rPr>
        <w:t xml:space="preserve"> M, LaRocca C</w:t>
      </w:r>
      <w:r w:rsidR="00B32E53" w:rsidRPr="004E79AD">
        <w:rPr>
          <w:rFonts w:ascii="Book Antiqua" w:hAnsi="Book Antiqua" w:cs="Times New Roman"/>
          <w:sz w:val="24"/>
          <w:szCs w:val="24"/>
        </w:rPr>
        <w:t>J</w:t>
      </w:r>
      <w:r w:rsidRPr="004E79AD">
        <w:rPr>
          <w:rFonts w:ascii="Book Antiqua" w:hAnsi="Book Antiqua" w:cs="Times New Roman"/>
          <w:sz w:val="24"/>
          <w:szCs w:val="24"/>
        </w:rPr>
        <w:t>, Johnston F</w:t>
      </w:r>
      <w:r w:rsidR="00B32E53" w:rsidRPr="004E79AD">
        <w:rPr>
          <w:rFonts w:ascii="Book Antiqua" w:hAnsi="Book Antiqua" w:cs="Times New Roman"/>
          <w:sz w:val="24"/>
          <w:szCs w:val="24"/>
        </w:rPr>
        <w:t>M</w:t>
      </w:r>
      <w:r w:rsidRPr="004E79AD">
        <w:rPr>
          <w:rFonts w:ascii="Book Antiqua" w:hAnsi="Book Antiqua" w:cs="Times New Roman"/>
          <w:sz w:val="24"/>
          <w:szCs w:val="24"/>
        </w:rPr>
        <w:t xml:space="preserve">, Greer J, </w:t>
      </w:r>
      <w:proofErr w:type="spellStart"/>
      <w:r w:rsidRPr="004E79AD">
        <w:rPr>
          <w:rFonts w:ascii="Book Antiqua" w:hAnsi="Book Antiqua" w:cs="Times New Roman"/>
          <w:sz w:val="24"/>
          <w:szCs w:val="24"/>
        </w:rPr>
        <w:t>Grotz</w:t>
      </w:r>
      <w:proofErr w:type="spellEnd"/>
      <w:r w:rsidRPr="004E79AD">
        <w:rPr>
          <w:rFonts w:ascii="Book Antiqua" w:hAnsi="Book Antiqua" w:cs="Times New Roman"/>
          <w:sz w:val="24"/>
          <w:szCs w:val="24"/>
        </w:rPr>
        <w:t xml:space="preserve"> T</w:t>
      </w:r>
      <w:r w:rsidR="00B32E53" w:rsidRPr="004E79AD">
        <w:rPr>
          <w:rFonts w:ascii="Book Antiqua" w:hAnsi="Book Antiqua" w:cs="Times New Roman"/>
          <w:sz w:val="24"/>
          <w:szCs w:val="24"/>
        </w:rPr>
        <w:t>E</w:t>
      </w:r>
      <w:r w:rsidRPr="004E79AD">
        <w:rPr>
          <w:rFonts w:ascii="Book Antiqua" w:hAnsi="Book Antiqua" w:cs="Times New Roman"/>
          <w:sz w:val="24"/>
          <w:szCs w:val="24"/>
        </w:rPr>
        <w:t xml:space="preserve">. </w:t>
      </w:r>
      <w:r w:rsidR="00B32E53" w:rsidRPr="004E79AD">
        <w:rPr>
          <w:rFonts w:ascii="Book Antiqua" w:hAnsi="Book Antiqua" w:cs="Times New Roman"/>
          <w:sz w:val="24"/>
          <w:szCs w:val="24"/>
        </w:rPr>
        <w:t>Comparison of open and closed hyperthermic intraperitoneal chemotherapy: Results from the United States hyperthermic intraperitoneal chemotherapy collaborative.</w:t>
      </w:r>
      <w:r w:rsidR="00B32E53" w:rsidRPr="004E79AD">
        <w:rPr>
          <w:rFonts w:ascii="Book Antiqua" w:hAnsi="Book Antiqua"/>
          <w:sz w:val="24"/>
          <w:szCs w:val="24"/>
        </w:rPr>
        <w:t xml:space="preserve"> </w:t>
      </w:r>
      <w:r w:rsidR="00B32E53" w:rsidRPr="004E79AD">
        <w:rPr>
          <w:rFonts w:ascii="Book Antiqua" w:hAnsi="Book Antiqua" w:cs="Times New Roman"/>
          <w:i/>
          <w:sz w:val="24"/>
          <w:szCs w:val="24"/>
        </w:rPr>
        <w:t xml:space="preserve">World J </w:t>
      </w:r>
      <w:proofErr w:type="spellStart"/>
      <w:r w:rsidR="00B32E53" w:rsidRPr="004E79AD">
        <w:rPr>
          <w:rFonts w:ascii="Book Antiqua" w:hAnsi="Book Antiqua" w:cs="Times New Roman"/>
          <w:i/>
          <w:sz w:val="24"/>
          <w:szCs w:val="24"/>
        </w:rPr>
        <w:t>Gastrointest</w:t>
      </w:r>
      <w:proofErr w:type="spellEnd"/>
      <w:r w:rsidR="00B32E53" w:rsidRPr="004E79AD">
        <w:rPr>
          <w:rFonts w:ascii="Book Antiqua" w:hAnsi="Book Antiqua" w:cs="Times New Roman"/>
          <w:i/>
          <w:sz w:val="24"/>
          <w:szCs w:val="24"/>
        </w:rPr>
        <w:t xml:space="preserve"> </w:t>
      </w:r>
      <w:proofErr w:type="spellStart"/>
      <w:r w:rsidR="00B32E53" w:rsidRPr="004E79AD">
        <w:rPr>
          <w:rFonts w:ascii="Book Antiqua" w:hAnsi="Book Antiqua" w:cs="Times New Roman"/>
          <w:i/>
          <w:sz w:val="24"/>
          <w:szCs w:val="24"/>
        </w:rPr>
        <w:t>Oncol</w:t>
      </w:r>
      <w:proofErr w:type="spellEnd"/>
      <w:r w:rsidR="00B32E53" w:rsidRPr="004E79AD">
        <w:rPr>
          <w:rFonts w:ascii="Book Antiqua" w:hAnsi="Book Antiqua" w:cs="Times New Roman"/>
          <w:i/>
          <w:sz w:val="24"/>
          <w:szCs w:val="24"/>
        </w:rPr>
        <w:t xml:space="preserve"> </w:t>
      </w:r>
      <w:r w:rsidR="001F0851" w:rsidRPr="001F0851">
        <w:rPr>
          <w:rFonts w:ascii="Book Antiqua" w:hAnsi="Book Antiqua"/>
          <w:sz w:val="24"/>
          <w:szCs w:val="24"/>
          <w:lang w:eastAsia="zh-CN"/>
        </w:rPr>
        <w:t>20</w:t>
      </w:r>
      <w:r w:rsidR="001F0851">
        <w:rPr>
          <w:rFonts w:ascii="Book Antiqua" w:hAnsi="Book Antiqua" w:hint="eastAsia"/>
          <w:sz w:val="24"/>
          <w:szCs w:val="24"/>
          <w:lang w:eastAsia="zh-CN"/>
        </w:rPr>
        <w:t>20</w:t>
      </w:r>
      <w:r w:rsidR="001F0851" w:rsidRPr="001F0851">
        <w:rPr>
          <w:rFonts w:ascii="Book Antiqua" w:hAnsi="Book Antiqua"/>
          <w:sz w:val="24"/>
          <w:szCs w:val="24"/>
          <w:lang w:eastAsia="zh-CN"/>
        </w:rPr>
        <w:t>; 1</w:t>
      </w:r>
      <w:r w:rsidR="001F0851">
        <w:rPr>
          <w:rFonts w:ascii="Book Antiqua" w:hAnsi="Book Antiqua" w:hint="eastAsia"/>
          <w:sz w:val="24"/>
          <w:szCs w:val="24"/>
          <w:lang w:eastAsia="zh-CN"/>
        </w:rPr>
        <w:t>2</w:t>
      </w:r>
      <w:r w:rsidR="001F0851" w:rsidRPr="001F0851">
        <w:rPr>
          <w:rFonts w:ascii="Book Antiqua" w:hAnsi="Book Antiqua"/>
          <w:sz w:val="24"/>
          <w:szCs w:val="24"/>
          <w:lang w:eastAsia="zh-CN"/>
        </w:rPr>
        <w:t>(</w:t>
      </w:r>
      <w:r w:rsidR="003F65EE">
        <w:rPr>
          <w:rFonts w:ascii="Book Antiqua" w:hAnsi="Book Antiqua" w:hint="eastAsia"/>
          <w:sz w:val="24"/>
          <w:szCs w:val="24"/>
          <w:lang w:eastAsia="zh-CN"/>
        </w:rPr>
        <w:t>7</w:t>
      </w:r>
      <w:r w:rsidR="001F0851" w:rsidRPr="001F0851">
        <w:rPr>
          <w:rFonts w:ascii="Book Antiqua" w:hAnsi="Book Antiqua"/>
          <w:sz w:val="24"/>
          <w:szCs w:val="24"/>
          <w:lang w:eastAsia="zh-CN"/>
        </w:rPr>
        <w:t xml:space="preserve">): </w:t>
      </w:r>
      <w:r w:rsidR="004134DE">
        <w:rPr>
          <w:rFonts w:ascii="Book Antiqua" w:hAnsi="Book Antiqua"/>
          <w:sz w:val="24"/>
          <w:szCs w:val="24"/>
          <w:lang w:eastAsia="zh-CN"/>
        </w:rPr>
        <w:t>756</w:t>
      </w:r>
      <w:r w:rsidR="001F0851" w:rsidRPr="001F0851">
        <w:rPr>
          <w:rFonts w:ascii="Book Antiqua" w:hAnsi="Book Antiqua"/>
          <w:sz w:val="24"/>
          <w:szCs w:val="24"/>
          <w:lang w:eastAsia="zh-CN"/>
        </w:rPr>
        <w:t>-</w:t>
      </w:r>
      <w:r w:rsidR="004134DE">
        <w:rPr>
          <w:rFonts w:ascii="Book Antiqua" w:hAnsi="Book Antiqua"/>
          <w:sz w:val="24"/>
          <w:szCs w:val="24"/>
          <w:lang w:eastAsia="zh-CN"/>
        </w:rPr>
        <w:t>767</w:t>
      </w:r>
    </w:p>
    <w:p w14:paraId="31FD7BEA" w14:textId="62867131" w:rsidR="004134DE" w:rsidRDefault="001F0851" w:rsidP="004E79AD">
      <w:pPr>
        <w:adjustRightInd w:val="0"/>
        <w:snapToGrid w:val="0"/>
        <w:spacing w:after="0" w:line="360" w:lineRule="auto"/>
        <w:jc w:val="both"/>
        <w:rPr>
          <w:rFonts w:ascii="Book Antiqua" w:hAnsi="Book Antiqua" w:hint="eastAsia"/>
          <w:sz w:val="24"/>
          <w:szCs w:val="24"/>
          <w:lang w:eastAsia="zh-CN"/>
        </w:rPr>
      </w:pPr>
      <w:r w:rsidRPr="001F0851">
        <w:rPr>
          <w:rFonts w:ascii="Book Antiqua" w:hAnsi="Book Antiqua"/>
          <w:sz w:val="24"/>
          <w:szCs w:val="24"/>
          <w:lang w:eastAsia="zh-CN"/>
        </w:rPr>
        <w:t xml:space="preserve">URL: </w:t>
      </w:r>
      <w:r w:rsidR="004134DE" w:rsidRPr="004134DE">
        <w:rPr>
          <w:rFonts w:ascii="Book Antiqua" w:hAnsi="Book Antiqua"/>
          <w:sz w:val="24"/>
          <w:szCs w:val="24"/>
          <w:lang w:eastAsia="zh-CN"/>
        </w:rPr>
        <w:t>https://www.wjgnet.com/1948-5204/full/v1</w:t>
      </w:r>
      <w:r w:rsidR="004134DE" w:rsidRPr="004134DE">
        <w:rPr>
          <w:rFonts w:ascii="Book Antiqua" w:hAnsi="Book Antiqua" w:hint="eastAsia"/>
          <w:sz w:val="24"/>
          <w:szCs w:val="24"/>
          <w:lang w:eastAsia="zh-CN"/>
        </w:rPr>
        <w:t>2</w:t>
      </w:r>
      <w:r w:rsidR="004134DE" w:rsidRPr="004134DE">
        <w:rPr>
          <w:rFonts w:ascii="Book Antiqua" w:hAnsi="Book Antiqua"/>
          <w:sz w:val="24"/>
          <w:szCs w:val="24"/>
          <w:lang w:eastAsia="zh-CN"/>
        </w:rPr>
        <w:t>/i</w:t>
      </w:r>
      <w:r w:rsidR="004134DE" w:rsidRPr="004134DE">
        <w:rPr>
          <w:rFonts w:ascii="Book Antiqua" w:hAnsi="Book Antiqua" w:hint="eastAsia"/>
          <w:sz w:val="24"/>
          <w:szCs w:val="24"/>
          <w:lang w:eastAsia="zh-CN"/>
        </w:rPr>
        <w:t>7</w:t>
      </w:r>
      <w:r w:rsidR="004134DE" w:rsidRPr="004134DE">
        <w:rPr>
          <w:rFonts w:ascii="Book Antiqua" w:hAnsi="Book Antiqua"/>
          <w:sz w:val="24"/>
          <w:szCs w:val="24"/>
          <w:lang w:eastAsia="zh-CN"/>
        </w:rPr>
        <w:t>/756.htm</w:t>
      </w:r>
    </w:p>
    <w:p w14:paraId="73547548" w14:textId="04893443" w:rsidR="00B32E53" w:rsidRPr="004E79AD" w:rsidRDefault="001F0851" w:rsidP="004E79AD">
      <w:pPr>
        <w:adjustRightInd w:val="0"/>
        <w:snapToGrid w:val="0"/>
        <w:spacing w:after="0" w:line="360" w:lineRule="auto"/>
        <w:jc w:val="both"/>
        <w:rPr>
          <w:rFonts w:ascii="Book Antiqua" w:hAnsi="Book Antiqua"/>
          <w:bCs/>
          <w:sz w:val="24"/>
          <w:szCs w:val="24"/>
          <w:lang w:eastAsia="zh-CN"/>
        </w:rPr>
      </w:pPr>
      <w:r w:rsidRPr="001F0851">
        <w:rPr>
          <w:rFonts w:ascii="Book Antiqua" w:hAnsi="Book Antiqua"/>
          <w:sz w:val="24"/>
          <w:szCs w:val="24"/>
          <w:lang w:eastAsia="zh-CN"/>
        </w:rPr>
        <w:t>DOI: https://dx.doi.org/10.4251/wjgo.v1</w:t>
      </w:r>
      <w:r w:rsidR="007330C3">
        <w:rPr>
          <w:rFonts w:ascii="Book Antiqua" w:hAnsi="Book Antiqua"/>
          <w:sz w:val="24"/>
          <w:szCs w:val="24"/>
          <w:lang w:eastAsia="zh-CN"/>
        </w:rPr>
        <w:t>2</w:t>
      </w:r>
      <w:r w:rsidRPr="001F0851">
        <w:rPr>
          <w:rFonts w:ascii="Book Antiqua" w:hAnsi="Book Antiqua"/>
          <w:sz w:val="24"/>
          <w:szCs w:val="24"/>
          <w:lang w:eastAsia="zh-CN"/>
        </w:rPr>
        <w:t>.i</w:t>
      </w:r>
      <w:r w:rsidR="003F65EE">
        <w:rPr>
          <w:rFonts w:ascii="Book Antiqua" w:hAnsi="Book Antiqua" w:hint="eastAsia"/>
          <w:sz w:val="24"/>
          <w:szCs w:val="24"/>
          <w:lang w:eastAsia="zh-CN"/>
        </w:rPr>
        <w:t>7</w:t>
      </w:r>
      <w:r w:rsidRPr="001F0851">
        <w:rPr>
          <w:rFonts w:ascii="Book Antiqua" w:hAnsi="Book Antiqua"/>
          <w:sz w:val="24"/>
          <w:szCs w:val="24"/>
          <w:lang w:eastAsia="zh-CN"/>
        </w:rPr>
        <w:t>.</w:t>
      </w:r>
      <w:r w:rsidR="004134DE">
        <w:rPr>
          <w:rFonts w:ascii="Book Antiqua" w:hAnsi="Book Antiqua"/>
          <w:sz w:val="24"/>
          <w:szCs w:val="24"/>
          <w:lang w:eastAsia="zh-CN"/>
        </w:rPr>
        <w:t>756</w:t>
      </w:r>
    </w:p>
    <w:p w14:paraId="1411A7C0" w14:textId="77777777" w:rsidR="00775AB4" w:rsidRPr="004E79AD" w:rsidRDefault="00775AB4" w:rsidP="004E79AD">
      <w:pPr>
        <w:snapToGrid w:val="0"/>
        <w:spacing w:after="0" w:line="360" w:lineRule="auto"/>
        <w:jc w:val="both"/>
        <w:rPr>
          <w:rFonts w:ascii="Book Antiqua" w:hAnsi="Book Antiqua" w:cs="Times New Roman"/>
          <w:b/>
          <w:sz w:val="24"/>
          <w:szCs w:val="24"/>
        </w:rPr>
      </w:pPr>
    </w:p>
    <w:p w14:paraId="196C143E" w14:textId="3F29281B" w:rsidR="00221506" w:rsidRPr="004E79AD" w:rsidRDefault="00221506"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b/>
          <w:sz w:val="24"/>
          <w:szCs w:val="24"/>
        </w:rPr>
        <w:t xml:space="preserve">Core </w:t>
      </w:r>
      <w:r w:rsidR="004D6001" w:rsidRPr="004E79AD">
        <w:rPr>
          <w:rFonts w:ascii="Book Antiqua" w:hAnsi="Book Antiqua" w:cs="Times New Roman"/>
          <w:b/>
          <w:sz w:val="24"/>
          <w:szCs w:val="24"/>
        </w:rPr>
        <w:t>tip</w:t>
      </w:r>
      <w:r w:rsidRPr="004E79AD">
        <w:rPr>
          <w:rFonts w:ascii="Book Antiqua" w:hAnsi="Book Antiqua" w:cs="Times New Roman"/>
          <w:b/>
          <w:sz w:val="24"/>
          <w:szCs w:val="24"/>
        </w:rPr>
        <w:t xml:space="preserve">: </w:t>
      </w:r>
      <w:r w:rsidR="00B32E53" w:rsidRPr="004E79AD">
        <w:rPr>
          <w:rFonts w:ascii="Book Antiqua" w:hAnsi="Book Antiqua" w:cs="Times New Roman"/>
          <w:sz w:val="24"/>
          <w:szCs w:val="24"/>
        </w:rPr>
        <w:t xml:space="preserve">Cytoreductive surgery </w:t>
      </w:r>
      <w:r w:rsidR="0002460D" w:rsidRPr="004E79AD">
        <w:rPr>
          <w:rFonts w:ascii="Book Antiqua" w:hAnsi="Book Antiqua" w:cs="Times New Roman"/>
          <w:sz w:val="24"/>
          <w:szCs w:val="24"/>
        </w:rPr>
        <w:t xml:space="preserve">with hyperthermic intraperitoneal chemotherapy (HIPEC) is the standard of care for carefully selected patients with peritoneal carcinomatosis. HIPEC can be performed in one of two ways: open or closed abdominal technique. Our goal was to use a multi-institutional database to determine the impact of HIPEC method on post-operative and long-term survival outcomes. </w:t>
      </w:r>
      <w:r w:rsidR="00B32E53" w:rsidRPr="004E79AD">
        <w:rPr>
          <w:rFonts w:ascii="Book Antiqua" w:hAnsi="Book Antiqua" w:cs="Times New Roman"/>
          <w:sz w:val="24"/>
          <w:szCs w:val="24"/>
        </w:rPr>
        <w:t>Among 1</w:t>
      </w:r>
      <w:r w:rsidRPr="004E79AD">
        <w:rPr>
          <w:rFonts w:ascii="Book Antiqua" w:hAnsi="Book Antiqua" w:cs="Times New Roman"/>
          <w:sz w:val="24"/>
          <w:szCs w:val="24"/>
        </w:rPr>
        <w:t xml:space="preserve">812 patients undergoing </w:t>
      </w:r>
      <w:r w:rsidR="00B32E53" w:rsidRPr="004E79AD">
        <w:rPr>
          <w:rFonts w:ascii="Book Antiqua" w:hAnsi="Book Antiqua" w:cs="Times New Roman"/>
          <w:sz w:val="24"/>
          <w:szCs w:val="24"/>
        </w:rPr>
        <w:t>cytoreductive surgery-</w:t>
      </w:r>
      <w:r w:rsidRPr="004E79AD">
        <w:rPr>
          <w:rFonts w:ascii="Book Antiqua" w:hAnsi="Book Antiqua" w:cs="Times New Roman"/>
          <w:sz w:val="24"/>
          <w:szCs w:val="24"/>
        </w:rPr>
        <w:t>HIPEC in this multi-institutional analysis, the method of HIPEC delivery was not independently associated with relevant post-operative or long-term survival outcomes. The method of HIPEC may be left to the discretion of the primary surgeon.</w:t>
      </w:r>
    </w:p>
    <w:p w14:paraId="144D9F84" w14:textId="77777777" w:rsidR="004D6001" w:rsidRPr="004E79AD" w:rsidRDefault="004D6001"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b/>
          <w:sz w:val="24"/>
          <w:szCs w:val="24"/>
        </w:rPr>
        <w:br w:type="page"/>
      </w:r>
    </w:p>
    <w:p w14:paraId="3B059CE5" w14:textId="77777777" w:rsidR="00B32E53" w:rsidRPr="004E79AD" w:rsidRDefault="00B32E53" w:rsidP="004E79AD">
      <w:pPr>
        <w:adjustRightInd w:val="0"/>
        <w:snapToGrid w:val="0"/>
        <w:spacing w:after="0" w:line="360" w:lineRule="auto"/>
        <w:jc w:val="both"/>
        <w:rPr>
          <w:rFonts w:ascii="Book Antiqua" w:hAnsi="Book Antiqua"/>
          <w:b/>
          <w:sz w:val="24"/>
          <w:szCs w:val="24"/>
          <w:u w:val="single"/>
        </w:rPr>
      </w:pPr>
      <w:r w:rsidRPr="004E79AD">
        <w:rPr>
          <w:rFonts w:ascii="Book Antiqua" w:hAnsi="Book Antiqua"/>
          <w:b/>
          <w:sz w:val="24"/>
          <w:szCs w:val="24"/>
          <w:u w:val="single"/>
        </w:rPr>
        <w:lastRenderedPageBreak/>
        <w:t>INTRODUCTION</w:t>
      </w:r>
    </w:p>
    <w:p w14:paraId="7A39C02F" w14:textId="031E3523" w:rsidR="004337EC" w:rsidRPr="004E79AD" w:rsidRDefault="002C305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 xml:space="preserve">Cytoreductive surgery (CRS) </w:t>
      </w:r>
      <w:r w:rsidR="004A2870" w:rsidRPr="004E79AD">
        <w:rPr>
          <w:rFonts w:ascii="Book Antiqua" w:hAnsi="Book Antiqua" w:cs="Times New Roman"/>
          <w:sz w:val="24"/>
          <w:szCs w:val="24"/>
        </w:rPr>
        <w:t>with</w:t>
      </w:r>
      <w:r w:rsidRPr="004E79AD">
        <w:rPr>
          <w:rFonts w:ascii="Book Antiqua" w:hAnsi="Book Antiqua" w:cs="Times New Roman"/>
          <w:sz w:val="24"/>
          <w:szCs w:val="24"/>
        </w:rPr>
        <w:t xml:space="preserve"> hyperthermic intraperitoneal </w:t>
      </w:r>
      <w:r w:rsidR="004A2870" w:rsidRPr="004E79AD">
        <w:rPr>
          <w:rFonts w:ascii="Book Antiqua" w:hAnsi="Book Antiqua" w:cs="Times New Roman"/>
          <w:sz w:val="24"/>
          <w:szCs w:val="24"/>
        </w:rPr>
        <w:t>chemotherapy (HIPEC) has</w:t>
      </w:r>
      <w:r w:rsidRPr="004E79AD">
        <w:rPr>
          <w:rFonts w:ascii="Book Antiqua" w:hAnsi="Book Antiqua" w:cs="Times New Roman"/>
          <w:sz w:val="24"/>
          <w:szCs w:val="24"/>
        </w:rPr>
        <w:t xml:space="preserve"> become a </w:t>
      </w:r>
      <w:r w:rsidR="004A2870" w:rsidRPr="004E79AD">
        <w:rPr>
          <w:rFonts w:ascii="Book Antiqua" w:hAnsi="Book Antiqua" w:cs="Times New Roman"/>
          <w:sz w:val="24"/>
          <w:szCs w:val="24"/>
        </w:rPr>
        <w:t xml:space="preserve">recognized </w:t>
      </w:r>
      <w:r w:rsidRPr="004E79AD">
        <w:rPr>
          <w:rFonts w:ascii="Book Antiqua" w:hAnsi="Book Antiqua" w:cs="Times New Roman"/>
          <w:sz w:val="24"/>
          <w:szCs w:val="24"/>
        </w:rPr>
        <w:t xml:space="preserve">treatment option for well-selected patients with peritoneal </w:t>
      </w:r>
      <w:proofErr w:type="spellStart"/>
      <w:proofErr w:type="gramStart"/>
      <w:r w:rsidRPr="004E79AD">
        <w:rPr>
          <w:rFonts w:ascii="Book Antiqua" w:hAnsi="Book Antiqua" w:cs="Times New Roman"/>
          <w:sz w:val="24"/>
          <w:szCs w:val="24"/>
        </w:rPr>
        <w:t>carcinomatosis</w:t>
      </w:r>
      <w:proofErr w:type="spellEnd"/>
      <w:r w:rsidR="004E79AD" w:rsidRPr="004E79AD">
        <w:rPr>
          <w:rFonts w:ascii="Book Antiqua" w:hAnsi="Book Antiqua" w:cs="Times New Roman"/>
          <w:noProof/>
          <w:sz w:val="24"/>
          <w:szCs w:val="24"/>
          <w:vertAlign w:val="superscript"/>
        </w:rPr>
        <w:t>[</w:t>
      </w:r>
      <w:proofErr w:type="gramEnd"/>
      <w:r w:rsidR="004E79AD" w:rsidRPr="004E79AD">
        <w:rPr>
          <w:rFonts w:ascii="Book Antiqua" w:hAnsi="Book Antiqua" w:cs="Times New Roman"/>
          <w:noProof/>
          <w:sz w:val="24"/>
          <w:szCs w:val="24"/>
          <w:vertAlign w:val="superscript"/>
        </w:rPr>
        <w:t>1-</w:t>
      </w:r>
      <w:r w:rsidR="00E2169C" w:rsidRPr="004E79AD">
        <w:rPr>
          <w:rFonts w:ascii="Book Antiqua" w:hAnsi="Book Antiqua" w:cs="Times New Roman"/>
          <w:noProof/>
          <w:sz w:val="24"/>
          <w:szCs w:val="24"/>
          <w:vertAlign w:val="superscript"/>
        </w:rPr>
        <w:t>3</w:t>
      </w:r>
      <w:r w:rsidR="00932EC8" w:rsidRPr="004E79AD">
        <w:rPr>
          <w:rFonts w:ascii="Book Antiqua" w:hAnsi="Book Antiqua" w:cs="Times New Roman"/>
          <w:noProof/>
          <w:sz w:val="24"/>
          <w:szCs w:val="24"/>
          <w:vertAlign w:val="superscript"/>
        </w:rPr>
        <w:t>]</w:t>
      </w:r>
      <w:r w:rsidR="00B32E53" w:rsidRPr="004E79AD">
        <w:rPr>
          <w:rFonts w:ascii="Book Antiqua" w:hAnsi="Book Antiqua" w:cs="Times New Roman"/>
          <w:sz w:val="24"/>
          <w:szCs w:val="24"/>
        </w:rPr>
        <w:t xml:space="preserve">. </w:t>
      </w:r>
      <w:r w:rsidR="00005A58" w:rsidRPr="004E79AD">
        <w:rPr>
          <w:rFonts w:ascii="Book Antiqua" w:hAnsi="Book Antiqua" w:cs="Times New Roman"/>
          <w:sz w:val="24"/>
          <w:szCs w:val="24"/>
        </w:rPr>
        <w:t xml:space="preserve">HIPEC </w:t>
      </w:r>
      <w:r w:rsidR="002634ED" w:rsidRPr="004E79AD">
        <w:rPr>
          <w:rFonts w:ascii="Book Antiqua" w:hAnsi="Book Antiqua" w:cs="Times New Roman"/>
          <w:sz w:val="24"/>
          <w:szCs w:val="24"/>
        </w:rPr>
        <w:t>permits</w:t>
      </w:r>
      <w:r w:rsidR="00005A58" w:rsidRPr="004E79AD">
        <w:rPr>
          <w:rFonts w:ascii="Book Antiqua" w:hAnsi="Book Antiqua" w:cs="Times New Roman"/>
          <w:sz w:val="24"/>
          <w:szCs w:val="24"/>
        </w:rPr>
        <w:t xml:space="preserve"> the pharmacokinetic advantages of dose intensification, direct administration, enhanced tissue penetration</w:t>
      </w:r>
      <w:r w:rsidR="004337EC" w:rsidRPr="004E79AD">
        <w:rPr>
          <w:rFonts w:ascii="Book Antiqua" w:hAnsi="Book Antiqua" w:cs="Times New Roman"/>
          <w:sz w:val="24"/>
          <w:szCs w:val="24"/>
        </w:rPr>
        <w:t>,</w:t>
      </w:r>
      <w:r w:rsidR="00005A58" w:rsidRPr="004E79AD">
        <w:rPr>
          <w:rFonts w:ascii="Book Antiqua" w:hAnsi="Book Antiqua" w:cs="Times New Roman"/>
          <w:sz w:val="24"/>
          <w:szCs w:val="24"/>
        </w:rPr>
        <w:t xml:space="preserve"> and synergistic cytotoxic effects of regional hyperthermia. </w:t>
      </w:r>
      <w:r w:rsidRPr="004E79AD">
        <w:rPr>
          <w:rFonts w:ascii="Book Antiqua" w:hAnsi="Book Antiqua" w:cs="Times New Roman"/>
          <w:sz w:val="24"/>
          <w:szCs w:val="24"/>
        </w:rPr>
        <w:t xml:space="preserve">The administration of HIPEC </w:t>
      </w:r>
      <w:r w:rsidR="004A2870" w:rsidRPr="004E79AD">
        <w:rPr>
          <w:rFonts w:ascii="Book Antiqua" w:hAnsi="Book Antiqua" w:cs="Times New Roman"/>
          <w:sz w:val="24"/>
          <w:szCs w:val="24"/>
        </w:rPr>
        <w:t>is generally done</w:t>
      </w:r>
      <w:r w:rsidR="00EC745D" w:rsidRPr="004E79AD">
        <w:rPr>
          <w:rFonts w:ascii="Book Antiqua" w:hAnsi="Book Antiqua" w:cs="Times New Roman"/>
          <w:sz w:val="24"/>
          <w:szCs w:val="24"/>
        </w:rPr>
        <w:t xml:space="preserve"> with</w:t>
      </w:r>
      <w:r w:rsidRPr="004E79AD">
        <w:rPr>
          <w:rFonts w:ascii="Book Antiqua" w:hAnsi="Book Antiqua" w:cs="Times New Roman"/>
          <w:sz w:val="24"/>
          <w:szCs w:val="24"/>
        </w:rPr>
        <w:t xml:space="preserve"> eit</w:t>
      </w:r>
      <w:r w:rsidR="00EC745D" w:rsidRPr="004E79AD">
        <w:rPr>
          <w:rFonts w:ascii="Book Antiqua" w:hAnsi="Book Antiqua" w:cs="Times New Roman"/>
          <w:sz w:val="24"/>
          <w:szCs w:val="24"/>
        </w:rPr>
        <w:t>her an open</w:t>
      </w:r>
      <w:r w:rsidR="00005A58" w:rsidRPr="004E79AD">
        <w:rPr>
          <w:rFonts w:ascii="Book Antiqua" w:hAnsi="Book Antiqua" w:cs="Times New Roman"/>
          <w:sz w:val="24"/>
          <w:szCs w:val="24"/>
        </w:rPr>
        <w:t xml:space="preserve"> abdominal technique</w:t>
      </w:r>
      <w:r w:rsidR="00EC745D" w:rsidRPr="004E79AD">
        <w:rPr>
          <w:rFonts w:ascii="Book Antiqua" w:hAnsi="Book Antiqua" w:cs="Times New Roman"/>
          <w:sz w:val="24"/>
          <w:szCs w:val="24"/>
        </w:rPr>
        <w:t xml:space="preserve"> or </w:t>
      </w:r>
      <w:r w:rsidRPr="004E79AD">
        <w:rPr>
          <w:rFonts w:ascii="Book Antiqua" w:hAnsi="Book Antiqua" w:cs="Times New Roman"/>
          <w:sz w:val="24"/>
          <w:szCs w:val="24"/>
        </w:rPr>
        <w:t xml:space="preserve">a closed </w:t>
      </w:r>
      <w:r w:rsidR="00005A58" w:rsidRPr="004E79AD">
        <w:rPr>
          <w:rFonts w:ascii="Book Antiqua" w:hAnsi="Book Antiqua" w:cs="Times New Roman"/>
          <w:sz w:val="24"/>
          <w:szCs w:val="24"/>
        </w:rPr>
        <w:t xml:space="preserve">abdominal </w:t>
      </w:r>
      <w:proofErr w:type="gramStart"/>
      <w:r w:rsidR="00005A58" w:rsidRPr="004E79AD">
        <w:rPr>
          <w:rFonts w:ascii="Book Antiqua" w:hAnsi="Book Antiqua" w:cs="Times New Roman"/>
          <w:sz w:val="24"/>
          <w:szCs w:val="24"/>
        </w:rPr>
        <w:t>technique</w:t>
      </w:r>
      <w:r w:rsidR="00E2169C" w:rsidRPr="004E79AD">
        <w:rPr>
          <w:rFonts w:ascii="Book Antiqua" w:hAnsi="Book Antiqua" w:cs="Times New Roman"/>
          <w:noProof/>
          <w:sz w:val="24"/>
          <w:szCs w:val="24"/>
          <w:vertAlign w:val="superscript"/>
        </w:rPr>
        <w:t>[</w:t>
      </w:r>
      <w:proofErr w:type="gramEnd"/>
      <w:r w:rsidR="00E2169C" w:rsidRPr="004E79AD">
        <w:rPr>
          <w:rFonts w:ascii="Book Antiqua" w:hAnsi="Book Antiqua" w:cs="Times New Roman"/>
          <w:noProof/>
          <w:sz w:val="24"/>
          <w:szCs w:val="24"/>
          <w:vertAlign w:val="superscript"/>
        </w:rPr>
        <w:t>4</w:t>
      </w:r>
      <w:r w:rsidR="00932EC8" w:rsidRPr="004E79AD">
        <w:rPr>
          <w:rFonts w:ascii="Book Antiqua" w:hAnsi="Book Antiqua" w:cs="Times New Roman"/>
          <w:noProof/>
          <w:sz w:val="24"/>
          <w:szCs w:val="24"/>
          <w:vertAlign w:val="superscript"/>
        </w:rPr>
        <w:t>]</w:t>
      </w:r>
      <w:r w:rsidR="00B32E53" w:rsidRPr="004E79AD">
        <w:rPr>
          <w:rFonts w:ascii="Book Antiqua" w:hAnsi="Book Antiqua" w:cs="Times New Roman"/>
          <w:sz w:val="24"/>
          <w:szCs w:val="24"/>
        </w:rPr>
        <w:t>.</w:t>
      </w:r>
    </w:p>
    <w:p w14:paraId="148EB1A7" w14:textId="1AB8C977" w:rsidR="002C3056" w:rsidRPr="004E79AD" w:rsidRDefault="00005A58"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The</w:t>
      </w:r>
      <w:r w:rsidR="004337EC" w:rsidRPr="004E79AD">
        <w:rPr>
          <w:rFonts w:ascii="Book Antiqua" w:hAnsi="Book Antiqua" w:cs="Times New Roman"/>
          <w:sz w:val="24"/>
          <w:szCs w:val="24"/>
        </w:rPr>
        <w:t xml:space="preserve"> </w:t>
      </w:r>
      <w:r w:rsidR="002C3056" w:rsidRPr="004E79AD">
        <w:rPr>
          <w:rFonts w:ascii="Book Antiqua" w:hAnsi="Book Antiqua" w:cs="Times New Roman"/>
          <w:sz w:val="24"/>
          <w:szCs w:val="24"/>
        </w:rPr>
        <w:t xml:space="preserve">open </w:t>
      </w:r>
      <w:r w:rsidRPr="004E79AD">
        <w:rPr>
          <w:rFonts w:ascii="Book Antiqua" w:hAnsi="Book Antiqua" w:cs="Times New Roman"/>
          <w:sz w:val="24"/>
          <w:szCs w:val="24"/>
        </w:rPr>
        <w:t>abdominal technique</w:t>
      </w:r>
      <w:r w:rsidR="00A06B50" w:rsidRPr="004E79AD">
        <w:rPr>
          <w:rFonts w:ascii="Book Antiqua" w:hAnsi="Book Antiqua" w:cs="Times New Roman"/>
          <w:sz w:val="24"/>
          <w:szCs w:val="24"/>
        </w:rPr>
        <w:t>,</w:t>
      </w:r>
      <w:r w:rsidRPr="004E79AD">
        <w:rPr>
          <w:rFonts w:ascii="Book Antiqua" w:hAnsi="Book Antiqua" w:cs="Times New Roman"/>
          <w:sz w:val="24"/>
          <w:szCs w:val="24"/>
        </w:rPr>
        <w:t xml:space="preserve"> or “coliseum technique”</w:t>
      </w:r>
      <w:r w:rsidR="00A06B50" w:rsidRPr="004E79AD">
        <w:rPr>
          <w:rFonts w:ascii="Book Antiqua" w:hAnsi="Book Antiqua" w:cs="Times New Roman"/>
          <w:sz w:val="24"/>
          <w:szCs w:val="24"/>
        </w:rPr>
        <w:t>,</w:t>
      </w:r>
      <w:r w:rsidRPr="004E79AD">
        <w:rPr>
          <w:rFonts w:ascii="Book Antiqua" w:hAnsi="Book Antiqua" w:cs="Times New Roman"/>
          <w:sz w:val="24"/>
          <w:szCs w:val="24"/>
        </w:rPr>
        <w:t xml:space="preserve"> is well described by </w:t>
      </w:r>
      <w:proofErr w:type="spellStart"/>
      <w:proofErr w:type="gramStart"/>
      <w:r w:rsidRPr="004E79AD">
        <w:rPr>
          <w:rFonts w:ascii="Book Antiqua" w:hAnsi="Book Antiqua" w:cs="Times New Roman"/>
          <w:sz w:val="24"/>
          <w:szCs w:val="24"/>
        </w:rPr>
        <w:t>Sugarbaker</w:t>
      </w:r>
      <w:proofErr w:type="spellEnd"/>
      <w:r w:rsidR="00E2169C" w:rsidRPr="004E79AD">
        <w:rPr>
          <w:rFonts w:ascii="Book Antiqua" w:hAnsi="Book Antiqua" w:cs="Times New Roman"/>
          <w:noProof/>
          <w:sz w:val="24"/>
          <w:szCs w:val="24"/>
          <w:vertAlign w:val="superscript"/>
        </w:rPr>
        <w:t>[</w:t>
      </w:r>
      <w:proofErr w:type="gramEnd"/>
      <w:r w:rsidR="00E2169C" w:rsidRPr="004E79AD">
        <w:rPr>
          <w:rFonts w:ascii="Book Antiqua" w:hAnsi="Book Antiqua" w:cs="Times New Roman"/>
          <w:noProof/>
          <w:sz w:val="24"/>
          <w:szCs w:val="24"/>
          <w:vertAlign w:val="superscript"/>
        </w:rPr>
        <w:t>5</w:t>
      </w:r>
      <w:r w:rsidR="00932EC8" w:rsidRPr="004E79AD">
        <w:rPr>
          <w:rFonts w:ascii="Book Antiqua" w:hAnsi="Book Antiqua" w:cs="Times New Roman"/>
          <w:noProof/>
          <w:sz w:val="24"/>
          <w:szCs w:val="24"/>
          <w:vertAlign w:val="superscript"/>
        </w:rPr>
        <w:t>]</w:t>
      </w:r>
      <w:r w:rsidR="004E79AD" w:rsidRPr="004E79AD">
        <w:rPr>
          <w:rFonts w:ascii="Book Antiqua" w:hAnsi="Book Antiqua" w:cs="Times New Roman"/>
          <w:sz w:val="24"/>
          <w:szCs w:val="24"/>
        </w:rPr>
        <w:t xml:space="preserve">. </w:t>
      </w:r>
      <w:r w:rsidRPr="004E79AD">
        <w:rPr>
          <w:rFonts w:ascii="Book Antiqua" w:hAnsi="Book Antiqua" w:cs="Times New Roman"/>
          <w:sz w:val="24"/>
          <w:szCs w:val="24"/>
        </w:rPr>
        <w:t>Briefly, closed suction drains are placed for inflow and outflow</w:t>
      </w:r>
      <w:r w:rsidR="004E79AD" w:rsidRPr="004E79AD">
        <w:rPr>
          <w:rFonts w:ascii="Book Antiqua" w:hAnsi="Book Antiqua" w:cs="Times New Roman"/>
          <w:sz w:val="24"/>
          <w:szCs w:val="24"/>
        </w:rPr>
        <w:t xml:space="preserve"> of hyperthermic chemotherapy. </w:t>
      </w:r>
      <w:r w:rsidRPr="004E79AD">
        <w:rPr>
          <w:rFonts w:ascii="Book Antiqua" w:hAnsi="Book Antiqua" w:cs="Times New Roman"/>
          <w:sz w:val="24"/>
          <w:szCs w:val="24"/>
        </w:rPr>
        <w:t xml:space="preserve">The abdominal wall skin edges are elevated with a retractor and the abdominal contents are </w:t>
      </w:r>
      <w:r w:rsidR="00A06B50" w:rsidRPr="004E79AD">
        <w:rPr>
          <w:rFonts w:ascii="Book Antiqua" w:hAnsi="Book Antiqua" w:cs="Times New Roman"/>
          <w:sz w:val="24"/>
          <w:szCs w:val="24"/>
        </w:rPr>
        <w:t>directly</w:t>
      </w:r>
      <w:r w:rsidR="004337EC" w:rsidRPr="004E79AD">
        <w:rPr>
          <w:rFonts w:ascii="Book Antiqua" w:hAnsi="Book Antiqua" w:cs="Times New Roman"/>
          <w:sz w:val="24"/>
          <w:szCs w:val="24"/>
        </w:rPr>
        <w:t xml:space="preserve"> </w:t>
      </w:r>
      <w:r w:rsidRPr="004E79AD">
        <w:rPr>
          <w:rFonts w:ascii="Book Antiqua" w:hAnsi="Book Antiqua" w:cs="Times New Roman"/>
          <w:sz w:val="24"/>
          <w:szCs w:val="24"/>
        </w:rPr>
        <w:t>agitated</w:t>
      </w:r>
      <w:r w:rsidR="00A06B50" w:rsidRPr="004E79AD">
        <w:rPr>
          <w:rFonts w:ascii="Book Antiqua" w:hAnsi="Book Antiqua" w:cs="Times New Roman"/>
          <w:sz w:val="24"/>
          <w:szCs w:val="24"/>
        </w:rPr>
        <w:t xml:space="preserve"> manually</w:t>
      </w:r>
      <w:r w:rsidR="004E79AD" w:rsidRPr="004E79AD">
        <w:rPr>
          <w:rFonts w:ascii="Book Antiqua" w:hAnsi="Book Antiqua" w:cs="Times New Roman"/>
          <w:sz w:val="24"/>
          <w:szCs w:val="24"/>
        </w:rPr>
        <w:t xml:space="preserve">. </w:t>
      </w:r>
      <w:r w:rsidRPr="004E79AD">
        <w:rPr>
          <w:rFonts w:ascii="Book Antiqua" w:hAnsi="Book Antiqua" w:cs="Times New Roman"/>
          <w:sz w:val="24"/>
          <w:szCs w:val="24"/>
        </w:rPr>
        <w:t>In contrast, the closed</w:t>
      </w:r>
      <w:r w:rsidR="00A06B50" w:rsidRPr="004E79AD">
        <w:rPr>
          <w:rFonts w:ascii="Book Antiqua" w:hAnsi="Book Antiqua" w:cs="Times New Roman"/>
          <w:sz w:val="24"/>
          <w:szCs w:val="24"/>
        </w:rPr>
        <w:t xml:space="preserve"> technique</w:t>
      </w:r>
      <w:r w:rsidRPr="004E79AD">
        <w:rPr>
          <w:rFonts w:ascii="Book Antiqua" w:hAnsi="Book Antiqua" w:cs="Times New Roman"/>
          <w:sz w:val="24"/>
          <w:szCs w:val="24"/>
        </w:rPr>
        <w:t xml:space="preserve"> </w:t>
      </w:r>
      <w:r w:rsidR="00EC21D7" w:rsidRPr="004E79AD">
        <w:rPr>
          <w:rFonts w:ascii="Book Antiqua" w:hAnsi="Book Antiqua" w:cs="Times New Roman"/>
          <w:sz w:val="24"/>
          <w:szCs w:val="24"/>
        </w:rPr>
        <w:t xml:space="preserve">involves placement of inflow and outflow catheters </w:t>
      </w:r>
      <w:r w:rsidR="00A06B50" w:rsidRPr="004E79AD">
        <w:rPr>
          <w:rFonts w:ascii="Book Antiqua" w:hAnsi="Book Antiqua" w:cs="Times New Roman"/>
          <w:sz w:val="24"/>
          <w:szCs w:val="24"/>
        </w:rPr>
        <w:t xml:space="preserve">with temporary closure of the </w:t>
      </w:r>
      <w:r w:rsidR="00EC21D7" w:rsidRPr="004E79AD">
        <w:rPr>
          <w:rFonts w:ascii="Book Antiqua" w:hAnsi="Book Antiqua" w:cs="Times New Roman"/>
          <w:sz w:val="24"/>
          <w:szCs w:val="24"/>
        </w:rPr>
        <w:t>skin edges</w:t>
      </w:r>
      <w:r w:rsidR="00A06B50" w:rsidRPr="004E79AD">
        <w:rPr>
          <w:rFonts w:ascii="Book Antiqua" w:hAnsi="Book Antiqua" w:cs="Times New Roman"/>
          <w:sz w:val="24"/>
          <w:szCs w:val="24"/>
        </w:rPr>
        <w:t>.</w:t>
      </w:r>
      <w:r w:rsidR="00EC21D7" w:rsidRPr="004E79AD">
        <w:rPr>
          <w:rFonts w:ascii="Book Antiqua" w:hAnsi="Book Antiqua" w:cs="Times New Roman"/>
          <w:sz w:val="24"/>
          <w:szCs w:val="24"/>
        </w:rPr>
        <w:t xml:space="preserve"> </w:t>
      </w:r>
      <w:r w:rsidR="00A06B50" w:rsidRPr="004E79AD">
        <w:rPr>
          <w:rFonts w:ascii="Book Antiqua" w:hAnsi="Book Antiqua" w:cs="Times New Roman"/>
          <w:sz w:val="24"/>
          <w:szCs w:val="24"/>
        </w:rPr>
        <w:t>T</w:t>
      </w:r>
      <w:r w:rsidR="00EC21D7" w:rsidRPr="004E79AD">
        <w:rPr>
          <w:rFonts w:ascii="Book Antiqua" w:hAnsi="Book Antiqua" w:cs="Times New Roman"/>
          <w:sz w:val="24"/>
          <w:szCs w:val="24"/>
        </w:rPr>
        <w:t>he abdominal contents are agitated externa</w:t>
      </w:r>
      <w:r w:rsidR="00B32E53" w:rsidRPr="004E79AD">
        <w:rPr>
          <w:rFonts w:ascii="Book Antiqua" w:hAnsi="Book Antiqua" w:cs="Times New Roman"/>
          <w:sz w:val="24"/>
          <w:szCs w:val="24"/>
        </w:rPr>
        <w:t xml:space="preserve">lly through the abdominal </w:t>
      </w:r>
      <w:proofErr w:type="gramStart"/>
      <w:r w:rsidR="00B32E53" w:rsidRPr="004E79AD">
        <w:rPr>
          <w:rFonts w:ascii="Book Antiqua" w:hAnsi="Book Antiqua" w:cs="Times New Roman"/>
          <w:sz w:val="24"/>
          <w:szCs w:val="24"/>
        </w:rPr>
        <w:t>wall</w:t>
      </w:r>
      <w:r w:rsidR="00E2169C" w:rsidRPr="004E79AD">
        <w:rPr>
          <w:rFonts w:ascii="Book Antiqua" w:hAnsi="Book Antiqua" w:cs="Times New Roman"/>
          <w:noProof/>
          <w:sz w:val="24"/>
          <w:szCs w:val="24"/>
          <w:vertAlign w:val="superscript"/>
        </w:rPr>
        <w:t>[</w:t>
      </w:r>
      <w:proofErr w:type="gramEnd"/>
      <w:r w:rsidR="00E2169C" w:rsidRPr="004E79AD">
        <w:rPr>
          <w:rFonts w:ascii="Book Antiqua" w:hAnsi="Book Antiqua" w:cs="Times New Roman"/>
          <w:noProof/>
          <w:sz w:val="24"/>
          <w:szCs w:val="24"/>
          <w:vertAlign w:val="superscript"/>
        </w:rPr>
        <w:t>6</w:t>
      </w:r>
      <w:r w:rsidR="00932EC8" w:rsidRPr="004E79AD">
        <w:rPr>
          <w:rFonts w:ascii="Book Antiqua" w:hAnsi="Book Antiqua" w:cs="Times New Roman"/>
          <w:noProof/>
          <w:sz w:val="24"/>
          <w:szCs w:val="24"/>
          <w:vertAlign w:val="superscript"/>
        </w:rPr>
        <w:t>]</w:t>
      </w:r>
      <w:r w:rsidR="002C3056" w:rsidRPr="004E79AD">
        <w:rPr>
          <w:rFonts w:ascii="Book Antiqua" w:hAnsi="Book Antiqua" w:cs="Times New Roman"/>
          <w:sz w:val="24"/>
          <w:szCs w:val="24"/>
        </w:rPr>
        <w:t>.</w:t>
      </w:r>
    </w:p>
    <w:p w14:paraId="414220C5" w14:textId="607F38FC" w:rsidR="002C3056" w:rsidRPr="004E79AD" w:rsidRDefault="002C3056"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Proponents of the open method would argue that this technique allows for</w:t>
      </w:r>
      <w:r w:rsidR="00EC21D7" w:rsidRPr="004E79AD">
        <w:rPr>
          <w:rFonts w:ascii="Book Antiqua" w:hAnsi="Book Antiqua" w:cs="Times New Roman"/>
          <w:sz w:val="24"/>
          <w:szCs w:val="24"/>
        </w:rPr>
        <w:t xml:space="preserve"> </w:t>
      </w:r>
      <w:r w:rsidRPr="004E79AD">
        <w:rPr>
          <w:rFonts w:ascii="Book Antiqua" w:hAnsi="Book Antiqua" w:cs="Times New Roman"/>
          <w:sz w:val="24"/>
          <w:szCs w:val="24"/>
        </w:rPr>
        <w:t xml:space="preserve">visualization of the abdominal cavity throughout the course of the treatment, allowing for </w:t>
      </w:r>
      <w:r w:rsidR="00EC21D7" w:rsidRPr="004E79AD">
        <w:rPr>
          <w:rFonts w:ascii="Book Antiqua" w:hAnsi="Book Antiqua" w:cs="Times New Roman"/>
          <w:sz w:val="24"/>
          <w:szCs w:val="24"/>
        </w:rPr>
        <w:t xml:space="preserve">more uniform distribution of heat and </w:t>
      </w:r>
      <w:proofErr w:type="gramStart"/>
      <w:r w:rsidR="00EC21D7" w:rsidRPr="004E79AD">
        <w:rPr>
          <w:rFonts w:ascii="Book Antiqua" w:hAnsi="Book Antiqua" w:cs="Times New Roman"/>
          <w:sz w:val="24"/>
          <w:szCs w:val="24"/>
        </w:rPr>
        <w:t>chemotherapy</w:t>
      </w:r>
      <w:r w:rsidR="00932EC8" w:rsidRPr="004E79AD">
        <w:rPr>
          <w:rFonts w:ascii="Book Antiqua" w:hAnsi="Book Antiqua" w:cs="Times New Roman"/>
          <w:noProof/>
          <w:sz w:val="24"/>
          <w:szCs w:val="24"/>
          <w:vertAlign w:val="superscript"/>
        </w:rPr>
        <w:t>[</w:t>
      </w:r>
      <w:proofErr w:type="gramEnd"/>
      <w:r w:rsidR="00E2169C" w:rsidRPr="004E79AD">
        <w:rPr>
          <w:rFonts w:ascii="Book Antiqua" w:hAnsi="Book Antiqua" w:cs="Times New Roman"/>
          <w:noProof/>
          <w:sz w:val="24"/>
          <w:szCs w:val="24"/>
          <w:vertAlign w:val="superscript"/>
        </w:rPr>
        <w:t>7</w:t>
      </w:r>
      <w:r w:rsidR="00932EC8" w:rsidRPr="004E79AD">
        <w:rPr>
          <w:rFonts w:ascii="Book Antiqua" w:hAnsi="Book Antiqua" w:cs="Times New Roman"/>
          <w:noProof/>
          <w:sz w:val="24"/>
          <w:szCs w:val="24"/>
          <w:vertAlign w:val="superscript"/>
        </w:rPr>
        <w:t>]</w:t>
      </w:r>
      <w:r w:rsidRPr="004E79AD">
        <w:rPr>
          <w:rFonts w:ascii="Book Antiqua" w:hAnsi="Book Antiqua" w:cs="Times New Roman"/>
          <w:sz w:val="24"/>
          <w:szCs w:val="24"/>
        </w:rPr>
        <w:t xml:space="preserve">. The disadvantages of this technique are </w:t>
      </w:r>
      <w:r w:rsidR="00EC21D7" w:rsidRPr="004E79AD">
        <w:rPr>
          <w:rFonts w:ascii="Book Antiqua" w:hAnsi="Book Antiqua" w:cs="Times New Roman"/>
          <w:sz w:val="24"/>
          <w:szCs w:val="24"/>
        </w:rPr>
        <w:t>that because of heat dissipation</w:t>
      </w:r>
      <w:r w:rsidR="004337EC" w:rsidRPr="004E79AD">
        <w:rPr>
          <w:rFonts w:ascii="Book Antiqua" w:hAnsi="Book Antiqua" w:cs="Times New Roman"/>
          <w:sz w:val="24"/>
          <w:szCs w:val="24"/>
        </w:rPr>
        <w:t>,</w:t>
      </w:r>
      <w:r w:rsidR="00EC21D7" w:rsidRPr="004E79AD">
        <w:rPr>
          <w:rFonts w:ascii="Book Antiqua" w:hAnsi="Book Antiqua" w:cs="Times New Roman"/>
          <w:sz w:val="24"/>
          <w:szCs w:val="24"/>
        </w:rPr>
        <w:t xml:space="preserve"> it is more difficult to initially achieve a </w:t>
      </w:r>
      <w:r w:rsidR="00A37AE3" w:rsidRPr="004E79AD">
        <w:rPr>
          <w:rFonts w:ascii="Book Antiqua" w:hAnsi="Book Antiqua" w:cs="Times New Roman"/>
          <w:sz w:val="24"/>
          <w:szCs w:val="24"/>
        </w:rPr>
        <w:t>hyperthermic</w:t>
      </w:r>
      <w:r w:rsidR="00EC21D7" w:rsidRPr="004E79AD">
        <w:rPr>
          <w:rFonts w:ascii="Book Antiqua" w:hAnsi="Book Antiqua" w:cs="Times New Roman"/>
          <w:sz w:val="24"/>
          <w:szCs w:val="24"/>
        </w:rPr>
        <w:t xml:space="preserve"> state</w:t>
      </w:r>
      <w:r w:rsidR="004337EC" w:rsidRPr="004E79AD">
        <w:rPr>
          <w:rFonts w:ascii="Book Antiqua" w:hAnsi="Book Antiqua" w:cs="Times New Roman"/>
          <w:sz w:val="24"/>
          <w:szCs w:val="24"/>
        </w:rPr>
        <w:t>,</w:t>
      </w:r>
      <w:r w:rsidR="00EC21D7" w:rsidRPr="004E79AD">
        <w:rPr>
          <w:rFonts w:ascii="Book Antiqua" w:hAnsi="Book Antiqua" w:cs="Times New Roman"/>
          <w:sz w:val="24"/>
          <w:szCs w:val="24"/>
        </w:rPr>
        <w:t xml:space="preserve"> as well as the potential for contact, splash</w:t>
      </w:r>
      <w:r w:rsidR="00A06B50" w:rsidRPr="004E79AD">
        <w:rPr>
          <w:rFonts w:ascii="Book Antiqua" w:hAnsi="Book Antiqua" w:cs="Times New Roman"/>
          <w:sz w:val="24"/>
          <w:szCs w:val="24"/>
        </w:rPr>
        <w:t>,</w:t>
      </w:r>
      <w:r w:rsidR="00EC21D7" w:rsidRPr="004E79AD">
        <w:rPr>
          <w:rFonts w:ascii="Book Antiqua" w:hAnsi="Book Antiqua" w:cs="Times New Roman"/>
          <w:sz w:val="24"/>
          <w:szCs w:val="24"/>
        </w:rPr>
        <w:t xml:space="preserve"> and aerosolization exposure of cytotoxic agents to </w:t>
      </w:r>
      <w:r w:rsidRPr="004E79AD">
        <w:rPr>
          <w:rFonts w:ascii="Book Antiqua" w:hAnsi="Book Antiqua" w:cs="Times New Roman"/>
          <w:sz w:val="24"/>
          <w:szCs w:val="24"/>
        </w:rPr>
        <w:t>the operating team</w:t>
      </w:r>
      <w:r w:rsidR="00EC21D7" w:rsidRPr="004E79AD">
        <w:rPr>
          <w:rFonts w:ascii="Book Antiqua" w:hAnsi="Book Antiqua" w:cs="Times New Roman"/>
          <w:sz w:val="24"/>
          <w:szCs w:val="24"/>
        </w:rPr>
        <w:t>.</w:t>
      </w:r>
      <w:r w:rsidR="004337EC" w:rsidRPr="004E79AD">
        <w:rPr>
          <w:rFonts w:ascii="Book Antiqua" w:hAnsi="Book Antiqua" w:cs="Times New Roman"/>
          <w:sz w:val="24"/>
          <w:szCs w:val="24"/>
        </w:rPr>
        <w:t xml:space="preserve"> </w:t>
      </w:r>
      <w:r w:rsidRPr="004E79AD">
        <w:rPr>
          <w:rFonts w:ascii="Book Antiqua" w:hAnsi="Book Antiqua" w:cs="Times New Roman"/>
          <w:sz w:val="24"/>
          <w:szCs w:val="24"/>
        </w:rPr>
        <w:t xml:space="preserve">The closed technique greatly limits the risk of </w:t>
      </w:r>
      <w:r w:rsidR="0002184D" w:rsidRPr="004E79AD">
        <w:rPr>
          <w:rFonts w:ascii="Book Antiqua" w:hAnsi="Book Antiqua" w:cs="Times New Roman"/>
          <w:sz w:val="24"/>
          <w:szCs w:val="24"/>
        </w:rPr>
        <w:t xml:space="preserve">exposure to the chemotherapy agent by </w:t>
      </w:r>
      <w:r w:rsidRPr="004E79AD">
        <w:rPr>
          <w:rFonts w:ascii="Book Antiqua" w:hAnsi="Book Antiqua" w:cs="Times New Roman"/>
          <w:sz w:val="24"/>
          <w:szCs w:val="24"/>
        </w:rPr>
        <w:t>the operating room staff</w:t>
      </w:r>
      <w:r w:rsidR="002C6374" w:rsidRPr="004E79AD">
        <w:rPr>
          <w:rFonts w:ascii="Book Antiqua" w:hAnsi="Book Antiqua" w:cs="Times New Roman"/>
          <w:sz w:val="24"/>
          <w:szCs w:val="24"/>
        </w:rPr>
        <w:t>,</w:t>
      </w:r>
      <w:r w:rsidRPr="004E79AD">
        <w:rPr>
          <w:rFonts w:ascii="Book Antiqua" w:hAnsi="Book Antiqua" w:cs="Times New Roman"/>
          <w:sz w:val="24"/>
          <w:szCs w:val="24"/>
        </w:rPr>
        <w:t xml:space="preserve"> though </w:t>
      </w:r>
      <w:r w:rsidR="00A06B50" w:rsidRPr="004E79AD">
        <w:rPr>
          <w:rFonts w:ascii="Book Antiqua" w:hAnsi="Book Antiqua" w:cs="Times New Roman"/>
          <w:sz w:val="24"/>
          <w:szCs w:val="24"/>
        </w:rPr>
        <w:t xml:space="preserve">it </w:t>
      </w:r>
      <w:r w:rsidRPr="004E79AD">
        <w:rPr>
          <w:rFonts w:ascii="Book Antiqua" w:hAnsi="Book Antiqua" w:cs="Times New Roman"/>
          <w:sz w:val="24"/>
          <w:szCs w:val="24"/>
        </w:rPr>
        <w:t>sacrifices visibility of the ab</w:t>
      </w:r>
      <w:r w:rsidR="009A622A" w:rsidRPr="004E79AD">
        <w:rPr>
          <w:rFonts w:ascii="Book Antiqua" w:hAnsi="Book Antiqua" w:cs="Times New Roman"/>
          <w:sz w:val="24"/>
          <w:szCs w:val="24"/>
        </w:rPr>
        <w:t>dominal cavity in the process</w:t>
      </w:r>
      <w:r w:rsidR="004337EC" w:rsidRPr="004E79AD">
        <w:rPr>
          <w:rFonts w:ascii="Book Antiqua" w:hAnsi="Book Antiqua" w:cs="Times New Roman"/>
          <w:sz w:val="24"/>
          <w:szCs w:val="24"/>
        </w:rPr>
        <w:t>,</w:t>
      </w:r>
      <w:r w:rsidR="00EC21D7" w:rsidRPr="004E79AD">
        <w:rPr>
          <w:rFonts w:ascii="Book Antiqua" w:hAnsi="Book Antiqua" w:cs="Times New Roman"/>
          <w:sz w:val="24"/>
          <w:szCs w:val="24"/>
        </w:rPr>
        <w:t xml:space="preserve"> potentially allowing for pooling of heat and chemotherapy</w:t>
      </w:r>
      <w:r w:rsidR="009A622A" w:rsidRPr="004E79AD">
        <w:rPr>
          <w:rFonts w:ascii="Book Antiqua" w:hAnsi="Book Antiqua" w:cs="Times New Roman"/>
          <w:sz w:val="24"/>
          <w:szCs w:val="24"/>
        </w:rPr>
        <w:t xml:space="preserve">. </w:t>
      </w:r>
      <w:r w:rsidR="00A37AE3" w:rsidRPr="004E79AD">
        <w:rPr>
          <w:rFonts w:ascii="Book Antiqua" w:hAnsi="Book Antiqua" w:cs="Times New Roman"/>
          <w:sz w:val="24"/>
          <w:szCs w:val="24"/>
        </w:rPr>
        <w:t xml:space="preserve">Another major advantage of the closed technique is the ability to rapidly achieve and maintain hyperthermia as there is minimal heat loss and the elevated intraabdominal pressure associated with the closed technique may improve tissue </w:t>
      </w:r>
      <w:proofErr w:type="gramStart"/>
      <w:r w:rsidR="00A37AE3" w:rsidRPr="004E79AD">
        <w:rPr>
          <w:rFonts w:ascii="Book Antiqua" w:hAnsi="Book Antiqua" w:cs="Times New Roman"/>
          <w:sz w:val="24"/>
          <w:szCs w:val="24"/>
        </w:rPr>
        <w:t>penetration</w:t>
      </w:r>
      <w:r w:rsidR="00E2169C" w:rsidRPr="004E79AD">
        <w:rPr>
          <w:rFonts w:ascii="Book Antiqua" w:hAnsi="Book Antiqua" w:cs="Times New Roman"/>
          <w:noProof/>
          <w:sz w:val="24"/>
          <w:szCs w:val="24"/>
          <w:vertAlign w:val="superscript"/>
        </w:rPr>
        <w:t>[</w:t>
      </w:r>
      <w:proofErr w:type="gramEnd"/>
      <w:r w:rsidR="00E2169C" w:rsidRPr="004E79AD">
        <w:rPr>
          <w:rFonts w:ascii="Book Antiqua" w:hAnsi="Book Antiqua" w:cs="Times New Roman"/>
          <w:noProof/>
          <w:sz w:val="24"/>
          <w:szCs w:val="24"/>
          <w:vertAlign w:val="superscript"/>
        </w:rPr>
        <w:t>8</w:t>
      </w:r>
      <w:r w:rsidR="00932EC8" w:rsidRPr="004E79AD">
        <w:rPr>
          <w:rFonts w:ascii="Book Antiqua" w:hAnsi="Book Antiqua" w:cs="Times New Roman"/>
          <w:noProof/>
          <w:sz w:val="24"/>
          <w:szCs w:val="24"/>
          <w:vertAlign w:val="superscript"/>
        </w:rPr>
        <w:t>]</w:t>
      </w:r>
      <w:r w:rsidR="00B32E53" w:rsidRPr="004E79AD">
        <w:rPr>
          <w:rFonts w:ascii="Book Antiqua" w:hAnsi="Book Antiqua" w:cs="Times New Roman"/>
          <w:sz w:val="24"/>
          <w:szCs w:val="24"/>
        </w:rPr>
        <w:t>.</w:t>
      </w:r>
    </w:p>
    <w:p w14:paraId="20EFFBE3" w14:textId="3D3DA83B" w:rsidR="0002184D" w:rsidRPr="004E79AD" w:rsidRDefault="0002184D"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lastRenderedPageBreak/>
        <w:t xml:space="preserve">The </w:t>
      </w:r>
      <w:r w:rsidR="00A37AE3" w:rsidRPr="004E79AD">
        <w:rPr>
          <w:rFonts w:ascii="Book Antiqua" w:hAnsi="Book Antiqua" w:cs="Times New Roman"/>
          <w:sz w:val="24"/>
          <w:szCs w:val="24"/>
        </w:rPr>
        <w:t xml:space="preserve">optimal method of </w:t>
      </w:r>
      <w:r w:rsidR="002C6374" w:rsidRPr="004E79AD">
        <w:rPr>
          <w:rFonts w:ascii="Book Antiqua" w:hAnsi="Book Antiqua" w:cs="Times New Roman"/>
          <w:sz w:val="24"/>
          <w:szCs w:val="24"/>
        </w:rPr>
        <w:t>HIPEC delivery</w:t>
      </w:r>
      <w:r w:rsidR="00A37AE3" w:rsidRPr="004E79AD">
        <w:rPr>
          <w:rFonts w:ascii="Book Antiqua" w:hAnsi="Book Antiqua" w:cs="Times New Roman"/>
          <w:sz w:val="24"/>
          <w:szCs w:val="24"/>
        </w:rPr>
        <w:t xml:space="preserve"> </w:t>
      </w:r>
      <w:r w:rsidR="002634ED" w:rsidRPr="004E79AD">
        <w:rPr>
          <w:rFonts w:ascii="Book Antiqua" w:hAnsi="Book Antiqua" w:cs="Times New Roman"/>
          <w:sz w:val="24"/>
          <w:szCs w:val="24"/>
        </w:rPr>
        <w:t>h</w:t>
      </w:r>
      <w:r w:rsidR="00B32E53" w:rsidRPr="004E79AD">
        <w:rPr>
          <w:rFonts w:ascii="Book Antiqua" w:hAnsi="Book Antiqua" w:cs="Times New Roman"/>
          <w:sz w:val="24"/>
          <w:szCs w:val="24"/>
        </w:rPr>
        <w:t xml:space="preserve">as long been debated. </w:t>
      </w:r>
      <w:r w:rsidR="00A37AE3" w:rsidRPr="004E79AD">
        <w:rPr>
          <w:rFonts w:ascii="Book Antiqua" w:hAnsi="Book Antiqua" w:cs="Times New Roman"/>
          <w:sz w:val="24"/>
          <w:szCs w:val="24"/>
        </w:rPr>
        <w:t xml:space="preserve">Previous investigations have been limited to small single center retrospective </w:t>
      </w:r>
      <w:proofErr w:type="gramStart"/>
      <w:r w:rsidR="00A37AE3" w:rsidRPr="004E79AD">
        <w:rPr>
          <w:rFonts w:ascii="Book Antiqua" w:hAnsi="Book Antiqua" w:cs="Times New Roman"/>
          <w:sz w:val="24"/>
          <w:szCs w:val="24"/>
        </w:rPr>
        <w:t>reviews</w:t>
      </w:r>
      <w:r w:rsidR="00932EC8" w:rsidRPr="004E79AD">
        <w:rPr>
          <w:rFonts w:ascii="Book Antiqua" w:hAnsi="Book Antiqua" w:cs="Times New Roman"/>
          <w:noProof/>
          <w:sz w:val="24"/>
          <w:szCs w:val="24"/>
          <w:vertAlign w:val="superscript"/>
        </w:rPr>
        <w:t>[</w:t>
      </w:r>
      <w:proofErr w:type="gramEnd"/>
      <w:r w:rsidR="00E2169C" w:rsidRPr="004E79AD">
        <w:rPr>
          <w:rFonts w:ascii="Book Antiqua" w:hAnsi="Book Antiqua" w:cs="Times New Roman"/>
          <w:noProof/>
          <w:sz w:val="24"/>
          <w:szCs w:val="24"/>
          <w:vertAlign w:val="superscript"/>
        </w:rPr>
        <w:t>9,10</w:t>
      </w:r>
      <w:r w:rsidR="00932EC8" w:rsidRPr="004E79AD">
        <w:rPr>
          <w:rFonts w:ascii="Book Antiqua" w:hAnsi="Book Antiqua" w:cs="Times New Roman"/>
          <w:noProof/>
          <w:sz w:val="24"/>
          <w:szCs w:val="24"/>
          <w:vertAlign w:val="superscript"/>
        </w:rPr>
        <w:t>]</w:t>
      </w:r>
      <w:r w:rsidR="00977E72" w:rsidRPr="004E79AD">
        <w:rPr>
          <w:rFonts w:ascii="Book Antiqua" w:hAnsi="Book Antiqua" w:cs="Times New Roman"/>
          <w:sz w:val="24"/>
          <w:szCs w:val="24"/>
        </w:rPr>
        <w:t xml:space="preserve"> </w:t>
      </w:r>
      <w:r w:rsidR="00C7081E" w:rsidRPr="004E79AD">
        <w:rPr>
          <w:rFonts w:ascii="Book Antiqua" w:hAnsi="Book Antiqua" w:cs="Times New Roman"/>
          <w:sz w:val="24"/>
          <w:szCs w:val="24"/>
        </w:rPr>
        <w:t>or preclinical animal models</w:t>
      </w:r>
      <w:r w:rsidR="00932EC8" w:rsidRPr="004E79AD">
        <w:rPr>
          <w:rFonts w:ascii="Book Antiqua" w:hAnsi="Book Antiqua" w:cs="Times New Roman"/>
          <w:noProof/>
          <w:sz w:val="24"/>
          <w:szCs w:val="24"/>
          <w:vertAlign w:val="superscript"/>
        </w:rPr>
        <w:t>[</w:t>
      </w:r>
      <w:r w:rsidR="00E2169C" w:rsidRPr="004E79AD">
        <w:rPr>
          <w:rFonts w:ascii="Book Antiqua" w:hAnsi="Book Antiqua" w:cs="Times New Roman"/>
          <w:noProof/>
          <w:sz w:val="24"/>
          <w:szCs w:val="24"/>
          <w:vertAlign w:val="superscript"/>
        </w:rPr>
        <w:t>11-13</w:t>
      </w:r>
      <w:r w:rsidR="00932EC8" w:rsidRPr="004E79AD">
        <w:rPr>
          <w:rFonts w:ascii="Book Antiqua" w:hAnsi="Book Antiqua" w:cs="Times New Roman"/>
          <w:noProof/>
          <w:sz w:val="24"/>
          <w:szCs w:val="24"/>
          <w:vertAlign w:val="superscript"/>
        </w:rPr>
        <w:t>]</w:t>
      </w:r>
      <w:r w:rsidR="00B32E53" w:rsidRPr="004E79AD">
        <w:rPr>
          <w:rFonts w:ascii="Book Antiqua" w:hAnsi="Book Antiqua" w:cs="Times New Roman"/>
          <w:sz w:val="24"/>
          <w:szCs w:val="24"/>
        </w:rPr>
        <w:t xml:space="preserve">. </w:t>
      </w:r>
      <w:r w:rsidR="00C7081E" w:rsidRPr="004E79AD">
        <w:rPr>
          <w:rFonts w:ascii="Book Antiqua" w:hAnsi="Book Antiqua" w:cs="Times New Roman"/>
          <w:sz w:val="24"/>
          <w:szCs w:val="24"/>
        </w:rPr>
        <w:t xml:space="preserve">Therefore, we sought to evaluate the </w:t>
      </w:r>
      <w:r w:rsidR="00B32E53" w:rsidRPr="004E79AD">
        <w:rPr>
          <w:rFonts w:ascii="Book Antiqua" w:hAnsi="Book Antiqua" w:cs="Times New Roman"/>
          <w:sz w:val="24"/>
          <w:szCs w:val="24"/>
        </w:rPr>
        <w:t xml:space="preserve">impact of open </w:t>
      </w:r>
      <w:r w:rsidR="00B32E53" w:rsidRPr="004E79AD">
        <w:rPr>
          <w:rFonts w:ascii="Book Antiqua" w:hAnsi="Book Antiqua" w:cs="Times New Roman"/>
          <w:i/>
          <w:sz w:val="24"/>
          <w:szCs w:val="24"/>
        </w:rPr>
        <w:t>vs</w:t>
      </w:r>
      <w:r w:rsidRPr="004E79AD">
        <w:rPr>
          <w:rFonts w:ascii="Book Antiqua" w:hAnsi="Book Antiqua" w:cs="Times New Roman"/>
          <w:sz w:val="24"/>
          <w:szCs w:val="24"/>
        </w:rPr>
        <w:t xml:space="preserve"> closed HIPEC </w:t>
      </w:r>
      <w:r w:rsidR="00C7081E" w:rsidRPr="004E79AD">
        <w:rPr>
          <w:rFonts w:ascii="Book Antiqua" w:hAnsi="Book Antiqua" w:cs="Times New Roman"/>
          <w:sz w:val="24"/>
          <w:szCs w:val="24"/>
        </w:rPr>
        <w:t xml:space="preserve">technique </w:t>
      </w:r>
      <w:r w:rsidRPr="004E79AD">
        <w:rPr>
          <w:rFonts w:ascii="Book Antiqua" w:hAnsi="Book Antiqua" w:cs="Times New Roman"/>
          <w:sz w:val="24"/>
          <w:szCs w:val="24"/>
        </w:rPr>
        <w:t xml:space="preserve">on </w:t>
      </w:r>
      <w:r w:rsidR="002634ED" w:rsidRPr="004E79AD">
        <w:rPr>
          <w:rFonts w:ascii="Book Antiqua" w:hAnsi="Book Antiqua" w:cs="Times New Roman"/>
          <w:sz w:val="24"/>
          <w:szCs w:val="24"/>
        </w:rPr>
        <w:t>short- and long-term</w:t>
      </w:r>
      <w:r w:rsidR="00C7081E" w:rsidRPr="004E79AD">
        <w:rPr>
          <w:rFonts w:ascii="Book Antiqua" w:hAnsi="Book Antiqua" w:cs="Times New Roman"/>
          <w:sz w:val="24"/>
          <w:szCs w:val="24"/>
        </w:rPr>
        <w:t xml:space="preserve"> outcomes</w:t>
      </w:r>
      <w:r w:rsidR="004337EC" w:rsidRPr="004E79AD">
        <w:rPr>
          <w:rFonts w:ascii="Book Antiqua" w:hAnsi="Book Antiqua" w:cs="Times New Roman"/>
          <w:sz w:val="24"/>
          <w:szCs w:val="24"/>
        </w:rPr>
        <w:t>,</w:t>
      </w:r>
      <w:r w:rsidR="00C7081E" w:rsidRPr="004E79AD">
        <w:rPr>
          <w:rFonts w:ascii="Book Antiqua" w:hAnsi="Book Antiqua" w:cs="Times New Roman"/>
          <w:sz w:val="24"/>
          <w:szCs w:val="24"/>
        </w:rPr>
        <w:t xml:space="preserve"> using a large multi-institutional database</w:t>
      </w:r>
      <w:r w:rsidR="00B32E53" w:rsidRPr="004E79AD">
        <w:rPr>
          <w:rFonts w:ascii="Book Antiqua" w:hAnsi="Book Antiqua" w:cs="Times New Roman"/>
          <w:sz w:val="24"/>
          <w:szCs w:val="24"/>
        </w:rPr>
        <w:t>.</w:t>
      </w:r>
    </w:p>
    <w:p w14:paraId="4CB9316E" w14:textId="77777777" w:rsidR="00B32E53" w:rsidRPr="004E79AD" w:rsidRDefault="00B32E53" w:rsidP="004E79AD">
      <w:pPr>
        <w:snapToGrid w:val="0"/>
        <w:spacing w:after="0" w:line="360" w:lineRule="auto"/>
        <w:jc w:val="both"/>
        <w:rPr>
          <w:rFonts w:ascii="Book Antiqua" w:hAnsi="Book Antiqua" w:cs="Times New Roman"/>
          <w:sz w:val="24"/>
          <w:szCs w:val="24"/>
        </w:rPr>
      </w:pPr>
    </w:p>
    <w:p w14:paraId="53779FA4" w14:textId="77777777" w:rsidR="00B32E53" w:rsidRPr="004E79AD" w:rsidRDefault="00B32E53" w:rsidP="004E79AD">
      <w:pPr>
        <w:adjustRightInd w:val="0"/>
        <w:snapToGrid w:val="0"/>
        <w:spacing w:after="0" w:line="360" w:lineRule="auto"/>
        <w:jc w:val="both"/>
        <w:rPr>
          <w:rFonts w:ascii="Book Antiqua" w:hAnsi="Book Antiqua"/>
          <w:b/>
          <w:sz w:val="24"/>
          <w:szCs w:val="24"/>
          <w:u w:val="single"/>
        </w:rPr>
      </w:pPr>
      <w:r w:rsidRPr="004E79AD">
        <w:rPr>
          <w:rFonts w:ascii="Book Antiqua" w:hAnsi="Book Antiqua"/>
          <w:b/>
          <w:sz w:val="24"/>
          <w:szCs w:val="24"/>
          <w:u w:val="single"/>
        </w:rPr>
        <w:t>MATERIALS AND METHODS</w:t>
      </w:r>
    </w:p>
    <w:p w14:paraId="397E6CAB" w14:textId="769C3904" w:rsidR="00D407A4" w:rsidRPr="004E79AD" w:rsidRDefault="009A622A"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 xml:space="preserve">Patients who underwent curative-intent CRS and HIPEC </w:t>
      </w:r>
      <w:r w:rsidR="00D407A4" w:rsidRPr="004E79AD">
        <w:rPr>
          <w:rFonts w:ascii="Book Antiqua" w:hAnsi="Book Antiqua" w:cs="Times New Roman"/>
          <w:sz w:val="24"/>
          <w:szCs w:val="24"/>
        </w:rPr>
        <w:t xml:space="preserve">from 2000 to 2017 </w:t>
      </w:r>
      <w:r w:rsidRPr="004E79AD">
        <w:rPr>
          <w:rFonts w:ascii="Book Antiqua" w:hAnsi="Book Antiqua" w:cs="Times New Roman"/>
          <w:sz w:val="24"/>
          <w:szCs w:val="24"/>
        </w:rPr>
        <w:t>were identified in the U</w:t>
      </w:r>
      <w:r w:rsidR="00B32E53" w:rsidRPr="004E79AD">
        <w:rPr>
          <w:rFonts w:ascii="Book Antiqua" w:hAnsi="Book Antiqua" w:cs="Times New Roman"/>
          <w:sz w:val="24"/>
          <w:szCs w:val="24"/>
        </w:rPr>
        <w:t xml:space="preserve">nited </w:t>
      </w:r>
      <w:r w:rsidRPr="004E79AD">
        <w:rPr>
          <w:rFonts w:ascii="Book Antiqua" w:hAnsi="Book Antiqua" w:cs="Times New Roman"/>
          <w:sz w:val="24"/>
          <w:szCs w:val="24"/>
        </w:rPr>
        <w:t>S</w:t>
      </w:r>
      <w:bookmarkStart w:id="11" w:name="OLE_LINK12"/>
      <w:r w:rsidR="00B32E53" w:rsidRPr="004E79AD">
        <w:rPr>
          <w:rFonts w:ascii="Book Antiqua" w:hAnsi="Book Antiqua" w:cs="Times New Roman"/>
          <w:sz w:val="24"/>
          <w:szCs w:val="24"/>
        </w:rPr>
        <w:t>tates</w:t>
      </w:r>
      <w:r w:rsidRPr="004E79AD">
        <w:rPr>
          <w:rFonts w:ascii="Book Antiqua" w:hAnsi="Book Antiqua" w:cs="Times New Roman"/>
          <w:sz w:val="24"/>
          <w:szCs w:val="24"/>
        </w:rPr>
        <w:t xml:space="preserve"> HIPEC </w:t>
      </w:r>
      <w:r w:rsidR="004D6001" w:rsidRPr="004E79AD">
        <w:rPr>
          <w:rFonts w:ascii="Book Antiqua" w:hAnsi="Book Antiqua" w:cs="Times New Roman"/>
          <w:sz w:val="24"/>
          <w:szCs w:val="24"/>
        </w:rPr>
        <w:t xml:space="preserve">collaborative </w:t>
      </w:r>
      <w:r w:rsidRPr="004E79AD">
        <w:rPr>
          <w:rFonts w:ascii="Book Antiqua" w:hAnsi="Book Antiqua" w:cs="Times New Roman"/>
          <w:sz w:val="24"/>
          <w:szCs w:val="24"/>
        </w:rPr>
        <w:t>database</w:t>
      </w:r>
      <w:bookmarkEnd w:id="11"/>
      <w:r w:rsidRPr="004E79AD">
        <w:rPr>
          <w:rFonts w:ascii="Book Antiqua" w:hAnsi="Book Antiqua" w:cs="Times New Roman"/>
          <w:sz w:val="24"/>
          <w:szCs w:val="24"/>
        </w:rPr>
        <w:t xml:space="preserve">, a retrospectively-collected database from 12 high-volume institutions. </w:t>
      </w:r>
      <w:r w:rsidR="00D407A4" w:rsidRPr="004E79AD">
        <w:rPr>
          <w:rFonts w:ascii="Book Antiqua" w:hAnsi="Book Antiqua" w:cs="Times New Roman"/>
          <w:sz w:val="24"/>
          <w:szCs w:val="24"/>
        </w:rPr>
        <w:t xml:space="preserve">Demographic, clinical, pathological, </w:t>
      </w:r>
      <w:r w:rsidR="00C85A03" w:rsidRPr="004E79AD">
        <w:rPr>
          <w:rFonts w:ascii="Book Antiqua" w:hAnsi="Book Antiqua" w:cs="Times New Roman"/>
          <w:sz w:val="24"/>
          <w:szCs w:val="24"/>
        </w:rPr>
        <w:t>post-o</w:t>
      </w:r>
      <w:r w:rsidR="00D407A4" w:rsidRPr="004E79AD">
        <w:rPr>
          <w:rFonts w:ascii="Book Antiqua" w:hAnsi="Book Antiqua" w:cs="Times New Roman"/>
          <w:sz w:val="24"/>
          <w:szCs w:val="24"/>
        </w:rPr>
        <w:t>perative, and survival data was collected. Patients were divided into those who underwent open HIPEC and those who underwent closed HIPEC.</w:t>
      </w:r>
      <w:r w:rsidR="00D33673" w:rsidRPr="004E79AD">
        <w:rPr>
          <w:rFonts w:ascii="Book Antiqua" w:hAnsi="Book Antiqua" w:cs="Times New Roman"/>
          <w:sz w:val="24"/>
          <w:szCs w:val="24"/>
        </w:rPr>
        <w:t xml:space="preserve"> Patients without available histology or overall survival data w</w:t>
      </w:r>
      <w:r w:rsidR="00B32E53" w:rsidRPr="004E79AD">
        <w:rPr>
          <w:rFonts w:ascii="Book Antiqua" w:hAnsi="Book Antiqua" w:cs="Times New Roman"/>
          <w:sz w:val="24"/>
          <w:szCs w:val="24"/>
        </w:rPr>
        <w:t>ere excluded from the analysis.</w:t>
      </w:r>
    </w:p>
    <w:p w14:paraId="6244522D" w14:textId="77777777" w:rsidR="00B32E53" w:rsidRPr="004E79AD" w:rsidRDefault="00B32E53" w:rsidP="004E79AD">
      <w:pPr>
        <w:snapToGrid w:val="0"/>
        <w:spacing w:after="0" w:line="360" w:lineRule="auto"/>
        <w:jc w:val="both"/>
        <w:rPr>
          <w:rFonts w:ascii="Book Antiqua" w:hAnsi="Book Antiqua" w:cs="Times New Roman"/>
          <w:sz w:val="24"/>
          <w:szCs w:val="24"/>
        </w:rPr>
      </w:pPr>
    </w:p>
    <w:p w14:paraId="421BBF1A" w14:textId="5320F1A8" w:rsidR="00D407A4" w:rsidRPr="004E79AD" w:rsidRDefault="00D407A4"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t xml:space="preserve">Statistical </w:t>
      </w:r>
      <w:r w:rsidR="00B32E53" w:rsidRPr="004E79AD">
        <w:rPr>
          <w:rFonts w:ascii="Book Antiqua" w:hAnsi="Book Antiqua" w:cs="Times New Roman"/>
          <w:b/>
          <w:i/>
          <w:sz w:val="24"/>
          <w:szCs w:val="24"/>
        </w:rPr>
        <w:t>analysis</w:t>
      </w:r>
    </w:p>
    <w:p w14:paraId="3D7F2043" w14:textId="321AF69B" w:rsidR="009A622A" w:rsidRPr="004E79AD" w:rsidRDefault="00D407A4"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Continuous variables were presented as mean and SD if normally distributed and median with interquartile range (IQR) if they were not norm</w:t>
      </w:r>
      <w:r w:rsidR="004E79AD" w:rsidRPr="004E79AD">
        <w:rPr>
          <w:rFonts w:ascii="Book Antiqua" w:hAnsi="Book Antiqua" w:cs="Times New Roman"/>
          <w:sz w:val="24"/>
          <w:szCs w:val="24"/>
        </w:rPr>
        <w:t xml:space="preserve">ally distributed. </w:t>
      </w:r>
      <w:r w:rsidRPr="004E79AD">
        <w:rPr>
          <w:rFonts w:ascii="Book Antiqua" w:hAnsi="Book Antiqua" w:cs="Times New Roman"/>
          <w:sz w:val="24"/>
          <w:szCs w:val="24"/>
        </w:rPr>
        <w:t xml:space="preserve">Student’s </w:t>
      </w:r>
      <w:r w:rsidR="00217A06" w:rsidRPr="004E79AD">
        <w:rPr>
          <w:rFonts w:ascii="Book Antiqua" w:hAnsi="Book Antiqua" w:cs="Times New Roman"/>
          <w:i/>
          <w:sz w:val="24"/>
          <w:szCs w:val="24"/>
        </w:rPr>
        <w:t>t</w:t>
      </w:r>
      <w:r w:rsidRPr="004E79AD">
        <w:rPr>
          <w:rFonts w:ascii="Book Antiqua" w:hAnsi="Book Antiqua" w:cs="Times New Roman"/>
          <w:sz w:val="24"/>
          <w:szCs w:val="24"/>
        </w:rPr>
        <w:t xml:space="preserve">-test was used to compare continuous variables. Categorical variables were presented as total count and percentage and </w:t>
      </w:r>
      <w:r w:rsidR="00217A06" w:rsidRPr="004E79AD">
        <w:rPr>
          <w:rFonts w:ascii="Book Antiqua" w:hAnsi="Book Antiqua" w:cs="Times New Roman"/>
          <w:i/>
          <w:sz w:val="24"/>
          <w:szCs w:val="24"/>
        </w:rPr>
        <w:t>χ</w:t>
      </w:r>
      <w:r w:rsidR="00217A06" w:rsidRPr="004E79AD">
        <w:rPr>
          <w:rFonts w:ascii="Book Antiqua" w:hAnsi="Book Antiqua" w:cs="Times New Roman"/>
          <w:sz w:val="24"/>
          <w:szCs w:val="24"/>
          <w:vertAlign w:val="superscript"/>
        </w:rPr>
        <w:t>2</w:t>
      </w:r>
      <w:r w:rsidRPr="004E79AD">
        <w:rPr>
          <w:rFonts w:ascii="Book Antiqua" w:hAnsi="Book Antiqua" w:cs="Times New Roman"/>
          <w:sz w:val="24"/>
          <w:szCs w:val="24"/>
        </w:rPr>
        <w:t xml:space="preserve"> or Fisher’s Exact Test </w:t>
      </w:r>
      <w:proofErr w:type="gramStart"/>
      <w:r w:rsidRPr="004E79AD">
        <w:rPr>
          <w:rFonts w:ascii="Book Antiqua" w:hAnsi="Book Antiqua" w:cs="Times New Roman"/>
          <w:sz w:val="24"/>
          <w:szCs w:val="24"/>
        </w:rPr>
        <w:t>were</w:t>
      </w:r>
      <w:proofErr w:type="gramEnd"/>
      <w:r w:rsidRPr="004E79AD">
        <w:rPr>
          <w:rFonts w:ascii="Book Antiqua" w:hAnsi="Book Antiqua" w:cs="Times New Roman"/>
          <w:sz w:val="24"/>
          <w:szCs w:val="24"/>
        </w:rPr>
        <w:t xml:space="preserve"> used for comparison.</w:t>
      </w:r>
      <w:r w:rsidR="00D33673" w:rsidRPr="004E79AD">
        <w:rPr>
          <w:rFonts w:ascii="Book Antiqua" w:hAnsi="Book Antiqua" w:cs="Times New Roman"/>
          <w:sz w:val="24"/>
          <w:szCs w:val="24"/>
        </w:rPr>
        <w:t xml:space="preserve"> </w:t>
      </w:r>
      <w:r w:rsidR="00217A06" w:rsidRPr="004E79AD">
        <w:rPr>
          <w:rFonts w:ascii="Book Antiqua" w:hAnsi="Book Antiqua" w:cs="Times New Roman"/>
          <w:sz w:val="24"/>
          <w:szCs w:val="24"/>
        </w:rPr>
        <w:t>Length of stay</w:t>
      </w:r>
      <w:r w:rsidR="00C6240F" w:rsidRPr="004E79AD">
        <w:rPr>
          <w:rFonts w:ascii="Book Antiqua" w:hAnsi="Book Antiqua" w:cs="Times New Roman"/>
          <w:sz w:val="24"/>
          <w:szCs w:val="24"/>
        </w:rPr>
        <w:t xml:space="preserve"> and </w:t>
      </w:r>
      <w:r w:rsidR="00217A06" w:rsidRPr="004E79AD">
        <w:rPr>
          <w:rFonts w:ascii="Book Antiqua" w:hAnsi="Book Antiqua" w:cs="Times New Roman"/>
          <w:sz w:val="24"/>
          <w:szCs w:val="24"/>
        </w:rPr>
        <w:t>intensive care unit (</w:t>
      </w:r>
      <w:r w:rsidR="00C6240F" w:rsidRPr="004E79AD">
        <w:rPr>
          <w:rFonts w:ascii="Book Antiqua" w:hAnsi="Book Antiqua" w:cs="Times New Roman"/>
          <w:sz w:val="24"/>
          <w:szCs w:val="24"/>
        </w:rPr>
        <w:t>ICU</w:t>
      </w:r>
      <w:r w:rsidR="00217A06" w:rsidRPr="004E79AD">
        <w:rPr>
          <w:rFonts w:ascii="Book Antiqua" w:hAnsi="Book Antiqua" w:cs="Times New Roman"/>
          <w:sz w:val="24"/>
          <w:szCs w:val="24"/>
        </w:rPr>
        <w:t>)</w:t>
      </w:r>
      <w:r w:rsidR="00C6240F" w:rsidRPr="004E79AD">
        <w:rPr>
          <w:rFonts w:ascii="Book Antiqua" w:hAnsi="Book Antiqua" w:cs="Times New Roman"/>
          <w:sz w:val="24"/>
          <w:szCs w:val="24"/>
        </w:rPr>
        <w:t xml:space="preserve"> </w:t>
      </w:r>
      <w:r w:rsidR="00217A06" w:rsidRPr="004E79AD">
        <w:rPr>
          <w:rFonts w:ascii="Book Antiqua" w:hAnsi="Book Antiqua" w:cs="Times New Roman"/>
          <w:sz w:val="24"/>
          <w:szCs w:val="24"/>
        </w:rPr>
        <w:t>length of stay</w:t>
      </w:r>
      <w:r w:rsidR="00C6240F" w:rsidRPr="004E79AD">
        <w:rPr>
          <w:rFonts w:ascii="Book Antiqua" w:hAnsi="Book Antiqua" w:cs="Times New Roman"/>
          <w:sz w:val="24"/>
          <w:szCs w:val="24"/>
        </w:rPr>
        <w:t xml:space="preserve"> were dichotomized at &gt; 75</w:t>
      </w:r>
      <w:r w:rsidR="00C6240F" w:rsidRPr="004E79AD">
        <w:rPr>
          <w:rFonts w:ascii="Book Antiqua" w:hAnsi="Book Antiqua" w:cs="Times New Roman"/>
          <w:sz w:val="24"/>
          <w:szCs w:val="24"/>
          <w:vertAlign w:val="superscript"/>
        </w:rPr>
        <w:t>th</w:t>
      </w:r>
      <w:r w:rsidR="00C6240F" w:rsidRPr="004E79AD">
        <w:rPr>
          <w:rFonts w:ascii="Book Antiqua" w:hAnsi="Book Antiqua" w:cs="Times New Roman"/>
          <w:sz w:val="24"/>
          <w:szCs w:val="24"/>
        </w:rPr>
        <w:t xml:space="preserve"> percentile and ≤ 75</w:t>
      </w:r>
      <w:r w:rsidR="00C6240F" w:rsidRPr="004E79AD">
        <w:rPr>
          <w:rFonts w:ascii="Book Antiqua" w:hAnsi="Book Antiqua" w:cs="Times New Roman"/>
          <w:sz w:val="24"/>
          <w:szCs w:val="24"/>
          <w:vertAlign w:val="superscript"/>
        </w:rPr>
        <w:t>th</w:t>
      </w:r>
      <w:r w:rsidR="00C6240F" w:rsidRPr="004E79AD">
        <w:rPr>
          <w:rFonts w:ascii="Book Antiqua" w:hAnsi="Book Antiqua" w:cs="Times New Roman"/>
          <w:sz w:val="24"/>
          <w:szCs w:val="24"/>
        </w:rPr>
        <w:t xml:space="preserve"> percentile f</w:t>
      </w:r>
      <w:r w:rsidR="00D33673" w:rsidRPr="004E79AD">
        <w:rPr>
          <w:rFonts w:ascii="Book Antiqua" w:hAnsi="Book Antiqua" w:cs="Times New Roman"/>
          <w:sz w:val="24"/>
          <w:szCs w:val="24"/>
        </w:rPr>
        <w:t xml:space="preserve">or logistic </w:t>
      </w:r>
      <w:r w:rsidR="00C6240F" w:rsidRPr="004E79AD">
        <w:rPr>
          <w:rFonts w:ascii="Book Antiqua" w:hAnsi="Book Antiqua" w:cs="Times New Roman"/>
          <w:sz w:val="24"/>
          <w:szCs w:val="24"/>
        </w:rPr>
        <w:t>regression models</w:t>
      </w:r>
      <w:r w:rsidR="00D33673" w:rsidRPr="004E79AD">
        <w:rPr>
          <w:rFonts w:ascii="Book Antiqua" w:hAnsi="Book Antiqua" w:cs="Times New Roman"/>
          <w:sz w:val="24"/>
          <w:szCs w:val="24"/>
        </w:rPr>
        <w:t>.</w:t>
      </w:r>
      <w:bookmarkStart w:id="12" w:name="OLE_LINK11"/>
      <w:bookmarkStart w:id="13" w:name="OLE_LINK14"/>
      <w:r w:rsidR="00D33673" w:rsidRPr="004E79AD">
        <w:rPr>
          <w:rFonts w:ascii="Book Antiqua" w:hAnsi="Book Antiqua" w:cs="Times New Roman"/>
          <w:sz w:val="24"/>
          <w:szCs w:val="24"/>
        </w:rPr>
        <w:t xml:space="preserve"> </w:t>
      </w:r>
      <w:r w:rsidR="00C4094B" w:rsidRPr="004E79AD">
        <w:rPr>
          <w:rFonts w:ascii="Book Antiqua" w:hAnsi="Book Antiqua" w:cs="Times New Roman"/>
          <w:sz w:val="24"/>
          <w:szCs w:val="24"/>
        </w:rPr>
        <w:t xml:space="preserve">PIC </w:t>
      </w:r>
      <w:r w:rsidR="00B92BF8" w:rsidRPr="004E79AD">
        <w:rPr>
          <w:rFonts w:ascii="Book Antiqua" w:hAnsi="Book Antiqua" w:cs="Times New Roman"/>
          <w:sz w:val="24"/>
          <w:szCs w:val="24"/>
        </w:rPr>
        <w:t>dose was dichotomized at &gt; 90</w:t>
      </w:r>
      <w:r w:rsidR="00B92BF8" w:rsidRPr="004E79AD">
        <w:rPr>
          <w:rFonts w:ascii="Book Antiqua" w:hAnsi="Book Antiqua" w:cs="Times New Roman"/>
          <w:sz w:val="24"/>
          <w:szCs w:val="24"/>
          <w:vertAlign w:val="superscript"/>
        </w:rPr>
        <w:t>th</w:t>
      </w:r>
      <w:r w:rsidR="00B92BF8" w:rsidRPr="004E79AD">
        <w:rPr>
          <w:rFonts w:ascii="Book Antiqua" w:hAnsi="Book Antiqua" w:cs="Times New Roman"/>
          <w:sz w:val="24"/>
          <w:szCs w:val="24"/>
        </w:rPr>
        <w:t xml:space="preserve"> percentile and ≤ 90</w:t>
      </w:r>
      <w:r w:rsidR="00B92BF8" w:rsidRPr="004E79AD">
        <w:rPr>
          <w:rFonts w:ascii="Book Antiqua" w:hAnsi="Book Antiqua" w:cs="Times New Roman"/>
          <w:sz w:val="24"/>
          <w:szCs w:val="24"/>
          <w:vertAlign w:val="superscript"/>
        </w:rPr>
        <w:t>th</w:t>
      </w:r>
      <w:r w:rsidR="00B92BF8" w:rsidRPr="004E79AD">
        <w:rPr>
          <w:rFonts w:ascii="Book Antiqua" w:hAnsi="Book Antiqua" w:cs="Times New Roman"/>
          <w:sz w:val="24"/>
          <w:szCs w:val="24"/>
        </w:rPr>
        <w:t xml:space="preserve"> percentile for multivariable analysis.</w:t>
      </w:r>
    </w:p>
    <w:bookmarkEnd w:id="12"/>
    <w:bookmarkEnd w:id="13"/>
    <w:p w14:paraId="51057FAF" w14:textId="36A77C76" w:rsidR="00D407A4" w:rsidRPr="004E79AD" w:rsidRDefault="00C6240F"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 xml:space="preserve">Multi-variable </w:t>
      </w:r>
      <w:r w:rsidR="00D407A4" w:rsidRPr="004E79AD">
        <w:rPr>
          <w:rFonts w:ascii="Book Antiqua" w:hAnsi="Book Antiqua" w:cs="Times New Roman"/>
          <w:sz w:val="24"/>
          <w:szCs w:val="24"/>
        </w:rPr>
        <w:t xml:space="preserve">logistic regression models were used for </w:t>
      </w:r>
      <w:r w:rsidR="00C85A03" w:rsidRPr="004E79AD">
        <w:rPr>
          <w:rFonts w:ascii="Book Antiqua" w:hAnsi="Book Antiqua" w:cs="Times New Roman"/>
          <w:sz w:val="24"/>
          <w:szCs w:val="24"/>
        </w:rPr>
        <w:t>post-o</w:t>
      </w:r>
      <w:r w:rsidR="00D407A4" w:rsidRPr="004E79AD">
        <w:rPr>
          <w:rFonts w:ascii="Book Antiqua" w:hAnsi="Book Antiqua" w:cs="Times New Roman"/>
          <w:sz w:val="24"/>
          <w:szCs w:val="24"/>
        </w:rPr>
        <w:t xml:space="preserve">perative outcomes using clinically relevant variables and possible confounders. </w:t>
      </w:r>
      <w:r w:rsidRPr="004E79AD">
        <w:rPr>
          <w:rFonts w:ascii="Book Antiqua" w:hAnsi="Book Antiqua" w:cs="Times New Roman"/>
          <w:sz w:val="24"/>
          <w:szCs w:val="24"/>
        </w:rPr>
        <w:t xml:space="preserve">Estimates for overall survival (OS) and recurrence-free survival </w:t>
      </w:r>
      <w:r w:rsidR="00904C1D" w:rsidRPr="004E79AD">
        <w:rPr>
          <w:rFonts w:ascii="Book Antiqua" w:hAnsi="Book Antiqua" w:cs="Times New Roman"/>
          <w:sz w:val="24"/>
          <w:szCs w:val="24"/>
        </w:rPr>
        <w:t xml:space="preserve">(RFS) </w:t>
      </w:r>
      <w:r w:rsidRPr="004E79AD">
        <w:rPr>
          <w:rFonts w:ascii="Book Antiqua" w:hAnsi="Book Antiqua" w:cs="Times New Roman"/>
          <w:sz w:val="24"/>
          <w:szCs w:val="24"/>
        </w:rPr>
        <w:t xml:space="preserve">were calculated using the </w:t>
      </w:r>
      <w:r w:rsidR="00D407A4" w:rsidRPr="004E79AD">
        <w:rPr>
          <w:rFonts w:ascii="Book Antiqua" w:hAnsi="Book Antiqua" w:cs="Times New Roman"/>
          <w:sz w:val="24"/>
          <w:szCs w:val="24"/>
        </w:rPr>
        <w:t xml:space="preserve">Kaplan-Meier survival </w:t>
      </w:r>
      <w:r w:rsidRPr="004E79AD">
        <w:rPr>
          <w:rFonts w:ascii="Book Antiqua" w:hAnsi="Book Antiqua" w:cs="Times New Roman"/>
          <w:sz w:val="24"/>
          <w:szCs w:val="24"/>
        </w:rPr>
        <w:t>method. Univariate tests of association were made using a log-rank</w:t>
      </w:r>
      <w:r w:rsidR="005A06B9" w:rsidRPr="004E79AD">
        <w:rPr>
          <w:rFonts w:ascii="Book Antiqua" w:hAnsi="Book Antiqua" w:cs="Times New Roman"/>
          <w:sz w:val="24"/>
          <w:szCs w:val="24"/>
        </w:rPr>
        <w:t xml:space="preserve"> test</w:t>
      </w:r>
      <w:r w:rsidRPr="004E79AD">
        <w:rPr>
          <w:rFonts w:ascii="Book Antiqua" w:hAnsi="Book Antiqua" w:cs="Times New Roman"/>
          <w:sz w:val="24"/>
          <w:szCs w:val="24"/>
        </w:rPr>
        <w:t>.</w:t>
      </w:r>
      <w:r w:rsidR="00D407A4" w:rsidRPr="004E79AD">
        <w:rPr>
          <w:rFonts w:ascii="Book Antiqua" w:hAnsi="Book Antiqua" w:cs="Times New Roman"/>
          <w:sz w:val="24"/>
          <w:szCs w:val="24"/>
        </w:rPr>
        <w:t xml:space="preserve"> </w:t>
      </w:r>
      <w:r w:rsidR="00904C1D" w:rsidRPr="004E79AD">
        <w:rPr>
          <w:rFonts w:ascii="Book Antiqua" w:hAnsi="Book Antiqua" w:cs="Times New Roman"/>
          <w:sz w:val="24"/>
          <w:szCs w:val="24"/>
        </w:rPr>
        <w:t>OS</w:t>
      </w:r>
      <w:r w:rsidR="00D407A4" w:rsidRPr="004E79AD">
        <w:rPr>
          <w:rFonts w:ascii="Book Antiqua" w:hAnsi="Book Antiqua" w:cs="Times New Roman"/>
          <w:sz w:val="24"/>
          <w:szCs w:val="24"/>
        </w:rPr>
        <w:t xml:space="preserve"> was </w:t>
      </w:r>
      <w:r w:rsidRPr="004E79AD">
        <w:rPr>
          <w:rFonts w:ascii="Book Antiqua" w:hAnsi="Book Antiqua" w:cs="Times New Roman"/>
          <w:sz w:val="24"/>
          <w:szCs w:val="24"/>
        </w:rPr>
        <w:t xml:space="preserve">assessed </w:t>
      </w:r>
      <w:r w:rsidR="00D407A4" w:rsidRPr="004E79AD">
        <w:rPr>
          <w:rFonts w:ascii="Book Antiqua" w:hAnsi="Book Antiqua" w:cs="Times New Roman"/>
          <w:sz w:val="24"/>
          <w:szCs w:val="24"/>
        </w:rPr>
        <w:t>fr</w:t>
      </w:r>
      <w:r w:rsidR="00904C1D" w:rsidRPr="004E79AD">
        <w:rPr>
          <w:rFonts w:ascii="Book Antiqua" w:hAnsi="Book Antiqua" w:cs="Times New Roman"/>
          <w:sz w:val="24"/>
          <w:szCs w:val="24"/>
        </w:rPr>
        <w:t xml:space="preserve">om the time of surgery to death </w:t>
      </w:r>
      <w:r w:rsidR="00904C1D" w:rsidRPr="004E79AD">
        <w:rPr>
          <w:rFonts w:ascii="Book Antiqua" w:hAnsi="Book Antiqua" w:cs="Times New Roman"/>
          <w:sz w:val="24"/>
          <w:szCs w:val="24"/>
        </w:rPr>
        <w:lastRenderedPageBreak/>
        <w:t>and</w:t>
      </w:r>
      <w:r w:rsidR="00D407A4" w:rsidRPr="004E79AD">
        <w:rPr>
          <w:rFonts w:ascii="Book Antiqua" w:hAnsi="Book Antiqua" w:cs="Times New Roman"/>
          <w:sz w:val="24"/>
          <w:szCs w:val="24"/>
        </w:rPr>
        <w:t xml:space="preserve"> </w:t>
      </w:r>
      <w:r w:rsidR="00904C1D" w:rsidRPr="004E79AD">
        <w:rPr>
          <w:rFonts w:ascii="Book Antiqua" w:hAnsi="Book Antiqua" w:cs="Times New Roman"/>
          <w:sz w:val="24"/>
          <w:szCs w:val="24"/>
        </w:rPr>
        <w:t>RFS</w:t>
      </w:r>
      <w:r w:rsidR="00D33673" w:rsidRPr="004E79AD">
        <w:rPr>
          <w:rFonts w:ascii="Book Antiqua" w:hAnsi="Book Antiqua" w:cs="Times New Roman"/>
          <w:sz w:val="24"/>
          <w:szCs w:val="24"/>
        </w:rPr>
        <w:t xml:space="preserve"> was </w:t>
      </w:r>
      <w:r w:rsidRPr="004E79AD">
        <w:rPr>
          <w:rFonts w:ascii="Book Antiqua" w:hAnsi="Book Antiqua" w:cs="Times New Roman"/>
          <w:sz w:val="24"/>
          <w:szCs w:val="24"/>
        </w:rPr>
        <w:t xml:space="preserve">assessed </w:t>
      </w:r>
      <w:r w:rsidR="00D33673" w:rsidRPr="004E79AD">
        <w:rPr>
          <w:rFonts w:ascii="Book Antiqua" w:hAnsi="Book Antiqua" w:cs="Times New Roman"/>
          <w:sz w:val="24"/>
          <w:szCs w:val="24"/>
        </w:rPr>
        <w:t>from the time of surgery to the time of documented recurrence</w:t>
      </w:r>
      <w:r w:rsidRPr="004E79AD">
        <w:rPr>
          <w:rFonts w:ascii="Book Antiqua" w:hAnsi="Book Antiqua" w:cs="Times New Roman"/>
          <w:sz w:val="24"/>
          <w:szCs w:val="24"/>
        </w:rPr>
        <w:t xml:space="preserve"> or last follow-up</w:t>
      </w:r>
      <w:r w:rsidR="00D33673" w:rsidRPr="004E79AD">
        <w:rPr>
          <w:rFonts w:ascii="Book Antiqua" w:hAnsi="Book Antiqua" w:cs="Times New Roman"/>
          <w:sz w:val="24"/>
          <w:szCs w:val="24"/>
        </w:rPr>
        <w:t xml:space="preserve">. </w:t>
      </w:r>
      <w:r w:rsidR="00D407A4" w:rsidRPr="004E79AD">
        <w:rPr>
          <w:rFonts w:ascii="Book Antiqua" w:hAnsi="Book Antiqua" w:cs="Times New Roman"/>
          <w:sz w:val="24"/>
          <w:szCs w:val="24"/>
        </w:rPr>
        <w:t>Cox proportional hazard regression was used for multi</w:t>
      </w:r>
      <w:r w:rsidR="00AB35A8" w:rsidRPr="004E79AD">
        <w:rPr>
          <w:rFonts w:ascii="Book Antiqua" w:hAnsi="Book Antiqua" w:cs="Times New Roman"/>
          <w:sz w:val="24"/>
          <w:szCs w:val="24"/>
        </w:rPr>
        <w:t>-</w:t>
      </w:r>
      <w:r w:rsidR="00D407A4" w:rsidRPr="004E79AD">
        <w:rPr>
          <w:rFonts w:ascii="Book Antiqua" w:hAnsi="Book Antiqua" w:cs="Times New Roman"/>
          <w:sz w:val="24"/>
          <w:szCs w:val="24"/>
        </w:rPr>
        <w:t>va</w:t>
      </w:r>
      <w:r w:rsidRPr="004E79AD">
        <w:rPr>
          <w:rFonts w:ascii="Book Antiqua" w:hAnsi="Book Antiqua" w:cs="Times New Roman"/>
          <w:sz w:val="24"/>
          <w:szCs w:val="24"/>
        </w:rPr>
        <w:t>riable</w:t>
      </w:r>
      <w:r w:rsidR="00D407A4" w:rsidRPr="004E79AD">
        <w:rPr>
          <w:rFonts w:ascii="Book Antiqua" w:hAnsi="Book Antiqua" w:cs="Times New Roman"/>
          <w:sz w:val="24"/>
          <w:szCs w:val="24"/>
        </w:rPr>
        <w:t xml:space="preserve"> analysis of </w:t>
      </w:r>
      <w:r w:rsidR="00AB35A8" w:rsidRPr="004E79AD">
        <w:rPr>
          <w:rFonts w:ascii="Book Antiqua" w:hAnsi="Book Antiqua" w:cs="Times New Roman"/>
          <w:sz w:val="24"/>
          <w:szCs w:val="24"/>
        </w:rPr>
        <w:t>OS</w:t>
      </w:r>
      <w:r w:rsidR="00D407A4" w:rsidRPr="004E79AD">
        <w:rPr>
          <w:rFonts w:ascii="Book Antiqua" w:hAnsi="Book Antiqua" w:cs="Times New Roman"/>
          <w:sz w:val="24"/>
          <w:szCs w:val="24"/>
        </w:rPr>
        <w:t xml:space="preserve"> and </w:t>
      </w:r>
      <w:r w:rsidR="00AB35A8" w:rsidRPr="004E79AD">
        <w:rPr>
          <w:rFonts w:ascii="Book Antiqua" w:hAnsi="Book Antiqua" w:cs="Times New Roman"/>
          <w:sz w:val="24"/>
          <w:szCs w:val="24"/>
        </w:rPr>
        <w:t>RFS</w:t>
      </w:r>
      <w:r w:rsidR="00D33673" w:rsidRPr="004E79AD">
        <w:rPr>
          <w:rFonts w:ascii="Book Antiqua" w:hAnsi="Book Antiqua" w:cs="Times New Roman"/>
          <w:sz w:val="24"/>
          <w:szCs w:val="24"/>
        </w:rPr>
        <w:t xml:space="preserve"> using </w:t>
      </w:r>
      <w:r w:rsidR="00F8593B" w:rsidRPr="004E79AD">
        <w:rPr>
          <w:rFonts w:ascii="Book Antiqua" w:hAnsi="Book Antiqua" w:cs="Times New Roman"/>
          <w:sz w:val="24"/>
          <w:szCs w:val="24"/>
        </w:rPr>
        <w:t>variables with univariate significance (</w:t>
      </w:r>
      <w:r w:rsidR="00F8593B" w:rsidRPr="004E79AD">
        <w:rPr>
          <w:rFonts w:ascii="Book Antiqua" w:hAnsi="Book Antiqua" w:cs="Times New Roman"/>
          <w:i/>
          <w:caps/>
          <w:sz w:val="24"/>
          <w:szCs w:val="24"/>
        </w:rPr>
        <w:t>p</w:t>
      </w:r>
      <w:r w:rsidR="00F8593B" w:rsidRPr="004E79AD">
        <w:rPr>
          <w:rFonts w:ascii="Book Antiqua" w:hAnsi="Book Antiqua" w:cs="Times New Roman"/>
          <w:sz w:val="24"/>
          <w:szCs w:val="24"/>
        </w:rPr>
        <w:t xml:space="preserve"> &lt; 0.05) and </w:t>
      </w:r>
      <w:r w:rsidR="00D33673" w:rsidRPr="004E79AD">
        <w:rPr>
          <w:rFonts w:ascii="Book Antiqua" w:hAnsi="Book Antiqua" w:cs="Times New Roman"/>
          <w:sz w:val="24"/>
          <w:szCs w:val="24"/>
        </w:rPr>
        <w:t>clinically relevant factors</w:t>
      </w:r>
      <w:r w:rsidR="00D407A4" w:rsidRPr="004E79AD">
        <w:rPr>
          <w:rFonts w:ascii="Book Antiqua" w:hAnsi="Book Antiqua" w:cs="Times New Roman"/>
          <w:sz w:val="24"/>
          <w:szCs w:val="24"/>
        </w:rPr>
        <w:t>.</w:t>
      </w:r>
      <w:r w:rsidR="00D33673" w:rsidRPr="004E79AD">
        <w:rPr>
          <w:rFonts w:ascii="Book Antiqua" w:hAnsi="Book Antiqua" w:cs="Times New Roman"/>
          <w:sz w:val="24"/>
          <w:szCs w:val="24"/>
        </w:rPr>
        <w:t xml:space="preserve"> </w:t>
      </w:r>
      <w:r w:rsidR="00D33673" w:rsidRPr="004E79AD">
        <w:rPr>
          <w:rFonts w:ascii="Book Antiqua" w:hAnsi="Book Antiqua" w:cs="Times New Roman"/>
          <w:i/>
          <w:sz w:val="24"/>
          <w:szCs w:val="24"/>
        </w:rPr>
        <w:t>P</w:t>
      </w:r>
      <w:r w:rsidR="00D33673" w:rsidRPr="004E79AD">
        <w:rPr>
          <w:rFonts w:ascii="Book Antiqua" w:hAnsi="Book Antiqua" w:cs="Times New Roman"/>
          <w:sz w:val="24"/>
          <w:szCs w:val="24"/>
        </w:rPr>
        <w:t xml:space="preserve"> values of &lt; 0.05 were considered statistically significant and all tests were 2-sided.</w:t>
      </w:r>
      <w:r w:rsidR="00D407A4" w:rsidRPr="004E79AD">
        <w:rPr>
          <w:rFonts w:ascii="Book Antiqua" w:hAnsi="Book Antiqua" w:cs="Times New Roman"/>
          <w:sz w:val="24"/>
          <w:szCs w:val="24"/>
        </w:rPr>
        <w:t xml:space="preserve"> </w:t>
      </w:r>
      <w:r w:rsidR="0002184D" w:rsidRPr="004E79AD">
        <w:rPr>
          <w:rFonts w:ascii="Book Antiqua" w:hAnsi="Book Antiqua" w:cs="Times New Roman"/>
          <w:sz w:val="24"/>
          <w:szCs w:val="24"/>
        </w:rPr>
        <w:t>Statistical analysis was performed on JMP</w:t>
      </w:r>
      <w:r w:rsidR="00D33673" w:rsidRPr="004E79AD">
        <w:rPr>
          <w:rFonts w:ascii="Book Antiqua" w:hAnsi="Book Antiqua" w:cs="Times New Roman"/>
          <w:sz w:val="24"/>
          <w:szCs w:val="24"/>
        </w:rPr>
        <w:t xml:space="preserve"> software (JMP® Pro, Version 13.0.0, SAS Institute Inc., Cary, NC, U</w:t>
      </w:r>
      <w:r w:rsidR="00E6724B" w:rsidRPr="004E79AD">
        <w:rPr>
          <w:rFonts w:ascii="Book Antiqua" w:hAnsi="Book Antiqua" w:cs="Times New Roman"/>
          <w:sz w:val="24"/>
          <w:szCs w:val="24"/>
        </w:rPr>
        <w:t>nited States</w:t>
      </w:r>
      <w:r w:rsidR="00D33673" w:rsidRPr="004E79AD">
        <w:rPr>
          <w:rFonts w:ascii="Book Antiqua" w:hAnsi="Book Antiqua" w:cs="Times New Roman"/>
          <w:sz w:val="24"/>
          <w:szCs w:val="24"/>
        </w:rPr>
        <w:t>)</w:t>
      </w:r>
      <w:r w:rsidR="0002184D" w:rsidRPr="004E79AD">
        <w:rPr>
          <w:rFonts w:ascii="Book Antiqua" w:hAnsi="Book Antiqua" w:cs="Times New Roman"/>
          <w:sz w:val="24"/>
          <w:szCs w:val="24"/>
        </w:rPr>
        <w:t>. This study was approved by the Institutional Review Board</w:t>
      </w:r>
      <w:r w:rsidR="00D33673" w:rsidRPr="004E79AD">
        <w:rPr>
          <w:rFonts w:ascii="Book Antiqua" w:hAnsi="Book Antiqua" w:cs="Times New Roman"/>
          <w:sz w:val="24"/>
          <w:szCs w:val="24"/>
        </w:rPr>
        <w:t xml:space="preserve"> at all participating institutions</w:t>
      </w:r>
      <w:r w:rsidRPr="004E79AD">
        <w:rPr>
          <w:rFonts w:ascii="Book Antiqua" w:hAnsi="Book Antiqua" w:cs="Times New Roman"/>
          <w:sz w:val="24"/>
          <w:szCs w:val="24"/>
        </w:rPr>
        <w:t xml:space="preserve">. No propensity score adjustment was made in the analyses as there were no variables available that were useful in the prediction of the use of </w:t>
      </w:r>
      <w:r w:rsidR="00AB35A8" w:rsidRPr="004E79AD">
        <w:rPr>
          <w:rFonts w:ascii="Book Antiqua" w:hAnsi="Book Antiqua" w:cs="Times New Roman"/>
          <w:sz w:val="24"/>
          <w:szCs w:val="24"/>
        </w:rPr>
        <w:t xml:space="preserve">open </w:t>
      </w:r>
      <w:r w:rsidR="00AB35A8" w:rsidRPr="004E79AD">
        <w:rPr>
          <w:rFonts w:ascii="Book Antiqua" w:hAnsi="Book Antiqua" w:cs="Times New Roman"/>
          <w:i/>
          <w:sz w:val="24"/>
          <w:szCs w:val="24"/>
        </w:rPr>
        <w:t>vs</w:t>
      </w:r>
      <w:r w:rsidR="00AB35A8" w:rsidRPr="004E79AD">
        <w:rPr>
          <w:rFonts w:ascii="Book Antiqua" w:hAnsi="Book Antiqua" w:cs="Times New Roman"/>
          <w:sz w:val="24"/>
          <w:szCs w:val="24"/>
        </w:rPr>
        <w:t xml:space="preserve"> closed</w:t>
      </w:r>
      <w:r w:rsidRPr="004E79AD">
        <w:rPr>
          <w:rFonts w:ascii="Book Antiqua" w:hAnsi="Book Antiqua" w:cs="Times New Roman"/>
          <w:sz w:val="24"/>
          <w:szCs w:val="24"/>
        </w:rPr>
        <w:t xml:space="preserve"> HIPEC.</w:t>
      </w:r>
      <w:r w:rsidR="00676D80" w:rsidRPr="004E79AD">
        <w:rPr>
          <w:rFonts w:ascii="Book Antiqua" w:hAnsi="Book Antiqua" w:cs="Times New Roman"/>
          <w:sz w:val="24"/>
          <w:szCs w:val="24"/>
        </w:rPr>
        <w:t xml:space="preserve"> Statistical methods were reviewed by </w:t>
      </w:r>
      <w:r w:rsidR="00341E3F" w:rsidRPr="004E79AD">
        <w:rPr>
          <w:rFonts w:ascii="Book Antiqua" w:hAnsi="Book Antiqua" w:cs="Times New Roman"/>
          <w:sz w:val="24"/>
          <w:szCs w:val="24"/>
        </w:rPr>
        <w:t>biomedical statisticians.</w:t>
      </w:r>
    </w:p>
    <w:p w14:paraId="7CB2EDEE" w14:textId="77777777" w:rsidR="00E6724B" w:rsidRPr="004E79AD" w:rsidRDefault="00E6724B" w:rsidP="004E79AD">
      <w:pPr>
        <w:snapToGrid w:val="0"/>
        <w:spacing w:after="0" w:line="360" w:lineRule="auto"/>
        <w:jc w:val="both"/>
        <w:rPr>
          <w:rFonts w:ascii="Book Antiqua" w:hAnsi="Book Antiqua" w:cs="Times New Roman"/>
          <w:sz w:val="24"/>
          <w:szCs w:val="24"/>
        </w:rPr>
      </w:pPr>
    </w:p>
    <w:p w14:paraId="5B003224" w14:textId="77777777" w:rsidR="001764E3" w:rsidRPr="004E79AD" w:rsidRDefault="001764E3" w:rsidP="004E79AD">
      <w:pPr>
        <w:snapToGrid w:val="0"/>
        <w:spacing w:after="0" w:line="360" w:lineRule="auto"/>
        <w:jc w:val="both"/>
        <w:rPr>
          <w:rFonts w:ascii="Book Antiqua" w:hAnsi="Book Antiqua" w:cs="Times New Roman"/>
          <w:b/>
          <w:caps/>
          <w:sz w:val="24"/>
          <w:szCs w:val="24"/>
          <w:u w:val="single"/>
        </w:rPr>
      </w:pPr>
      <w:r w:rsidRPr="004E79AD">
        <w:rPr>
          <w:rFonts w:ascii="Book Antiqua" w:hAnsi="Book Antiqua" w:cs="Times New Roman"/>
          <w:b/>
          <w:caps/>
          <w:sz w:val="24"/>
          <w:szCs w:val="24"/>
          <w:u w:val="single"/>
        </w:rPr>
        <w:t>Results</w:t>
      </w:r>
    </w:p>
    <w:p w14:paraId="3190798D" w14:textId="363BD1D7" w:rsidR="00B51ADB" w:rsidRPr="004E79AD" w:rsidRDefault="00B51ADB"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t xml:space="preserve">Demographic and </w:t>
      </w:r>
      <w:r w:rsidR="00E6724B" w:rsidRPr="004E79AD">
        <w:rPr>
          <w:rFonts w:ascii="Book Antiqua" w:hAnsi="Book Antiqua" w:cs="Times New Roman"/>
          <w:b/>
          <w:i/>
          <w:sz w:val="24"/>
          <w:szCs w:val="24"/>
        </w:rPr>
        <w:t>clinicopathologic factors</w:t>
      </w:r>
    </w:p>
    <w:p w14:paraId="0E93F456" w14:textId="6DB57AED" w:rsidR="009F1FF2" w:rsidRPr="004E79AD" w:rsidRDefault="00FD654B"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 xml:space="preserve">From 2000-2017, 1812 patients </w:t>
      </w:r>
      <w:r w:rsidR="002634ED" w:rsidRPr="004E79AD">
        <w:rPr>
          <w:rFonts w:ascii="Book Antiqua" w:hAnsi="Book Antiqua" w:cs="Times New Roman"/>
          <w:sz w:val="24"/>
          <w:szCs w:val="24"/>
        </w:rPr>
        <w:t>underwent</w:t>
      </w:r>
      <w:r w:rsidR="00FD4AF0" w:rsidRPr="004E79AD">
        <w:rPr>
          <w:rFonts w:ascii="Book Antiqua" w:hAnsi="Book Antiqua" w:cs="Times New Roman"/>
          <w:sz w:val="24"/>
          <w:szCs w:val="24"/>
        </w:rPr>
        <w:t xml:space="preserve"> curative-intent CRS with</w:t>
      </w:r>
      <w:r w:rsidRPr="004E79AD">
        <w:rPr>
          <w:rFonts w:ascii="Book Antiqua" w:hAnsi="Book Antiqua" w:cs="Times New Roman"/>
          <w:sz w:val="24"/>
          <w:szCs w:val="24"/>
        </w:rPr>
        <w:t xml:space="preserve"> HIPEC. Of these, 372 (20.5%) underwent open HIPEC</w:t>
      </w:r>
      <w:r w:rsidR="00CA54AB" w:rsidRPr="004E79AD">
        <w:rPr>
          <w:rFonts w:ascii="Book Antiqua" w:hAnsi="Book Antiqua" w:cs="Times New Roman"/>
          <w:sz w:val="24"/>
          <w:szCs w:val="24"/>
        </w:rPr>
        <w:t xml:space="preserve"> and 1440 (79.5%) underwent closed HIPEC</w:t>
      </w:r>
      <w:r w:rsidRPr="004E79AD">
        <w:rPr>
          <w:rFonts w:ascii="Book Antiqua" w:hAnsi="Book Antiqua" w:cs="Times New Roman"/>
          <w:sz w:val="24"/>
          <w:szCs w:val="24"/>
        </w:rPr>
        <w:t xml:space="preserve">. </w:t>
      </w:r>
      <w:r w:rsidR="00412CEF" w:rsidRPr="004E79AD">
        <w:rPr>
          <w:rFonts w:ascii="Book Antiqua" w:hAnsi="Book Antiqua" w:cs="Times New Roman"/>
          <w:sz w:val="24"/>
          <w:szCs w:val="24"/>
        </w:rPr>
        <w:t xml:space="preserve">The frequency of technique changed </w:t>
      </w:r>
      <w:r w:rsidR="00E67B6D" w:rsidRPr="004E79AD">
        <w:rPr>
          <w:rFonts w:ascii="Book Antiqua" w:hAnsi="Book Antiqua" w:cs="Times New Roman"/>
          <w:sz w:val="24"/>
          <w:szCs w:val="24"/>
        </w:rPr>
        <w:t xml:space="preserve">over time. </w:t>
      </w:r>
      <w:r w:rsidR="00DA34EB" w:rsidRPr="004E79AD">
        <w:rPr>
          <w:rFonts w:ascii="Book Antiqua" w:hAnsi="Book Antiqua" w:cs="Times New Roman"/>
          <w:sz w:val="24"/>
          <w:szCs w:val="24"/>
        </w:rPr>
        <w:t>From 2000-2009, 80% of HIPEC procedures were done with an open abdomen compared to only 17% from 2010-2017 (</w:t>
      </w:r>
      <w:r w:rsidR="00DA34EB" w:rsidRPr="004E79AD">
        <w:rPr>
          <w:rFonts w:ascii="Book Antiqua" w:hAnsi="Book Antiqua" w:cs="Times New Roman"/>
          <w:i/>
          <w:caps/>
          <w:sz w:val="24"/>
          <w:szCs w:val="24"/>
        </w:rPr>
        <w:t>p</w:t>
      </w:r>
      <w:r w:rsidR="00DA34EB" w:rsidRPr="004E79AD">
        <w:rPr>
          <w:rFonts w:ascii="Book Antiqua" w:hAnsi="Book Antiqua" w:cs="Times New Roman"/>
          <w:sz w:val="24"/>
          <w:szCs w:val="24"/>
        </w:rPr>
        <w:t xml:space="preserve"> &lt; 0.01). </w:t>
      </w:r>
      <w:r w:rsidR="003936B9" w:rsidRPr="004E79AD">
        <w:rPr>
          <w:rFonts w:ascii="Book Antiqua" w:hAnsi="Book Antiqua" w:cs="Times New Roman"/>
          <w:sz w:val="24"/>
          <w:szCs w:val="24"/>
        </w:rPr>
        <w:t>Univariate analysis revealed significant differences between the two groups</w:t>
      </w:r>
      <w:r w:rsidR="00986BC4" w:rsidRPr="004E79AD">
        <w:rPr>
          <w:rFonts w:ascii="Book Antiqua" w:hAnsi="Book Antiqua" w:cs="Times New Roman"/>
          <w:sz w:val="24"/>
          <w:szCs w:val="24"/>
        </w:rPr>
        <w:t xml:space="preserve"> (Table 1)</w:t>
      </w:r>
      <w:r w:rsidR="003936B9" w:rsidRPr="004E79AD">
        <w:rPr>
          <w:rFonts w:ascii="Book Antiqua" w:hAnsi="Book Antiqua" w:cs="Times New Roman"/>
          <w:sz w:val="24"/>
          <w:szCs w:val="24"/>
        </w:rPr>
        <w:t xml:space="preserve">. </w:t>
      </w:r>
      <w:r w:rsidR="00AB35A8" w:rsidRPr="004E79AD">
        <w:rPr>
          <w:rFonts w:ascii="Book Antiqua" w:hAnsi="Book Antiqua" w:cs="Times New Roman"/>
          <w:sz w:val="24"/>
          <w:szCs w:val="24"/>
        </w:rPr>
        <w:t>Open HIPEC patients were more likely to be under</w:t>
      </w:r>
      <w:r w:rsidR="00E6724B" w:rsidRPr="004E79AD">
        <w:rPr>
          <w:rFonts w:ascii="Book Antiqua" w:hAnsi="Book Antiqua" w:cs="Times New Roman"/>
          <w:sz w:val="24"/>
          <w:szCs w:val="24"/>
        </w:rPr>
        <w:t xml:space="preserve">going their first CRS (88.1% </w:t>
      </w:r>
      <w:r w:rsidR="00E6724B" w:rsidRPr="004E79AD">
        <w:rPr>
          <w:rFonts w:ascii="Book Antiqua" w:hAnsi="Book Antiqua" w:cs="Times New Roman"/>
          <w:i/>
          <w:sz w:val="24"/>
          <w:szCs w:val="24"/>
        </w:rPr>
        <w:t>vs</w:t>
      </w:r>
      <w:r w:rsidR="00AB35A8" w:rsidRPr="004E79AD">
        <w:rPr>
          <w:rFonts w:ascii="Book Antiqua" w:hAnsi="Book Antiqua" w:cs="Times New Roman"/>
          <w:i/>
          <w:sz w:val="24"/>
          <w:szCs w:val="24"/>
        </w:rPr>
        <w:t xml:space="preserve"> </w:t>
      </w:r>
      <w:r w:rsidR="00AB35A8" w:rsidRPr="004E79AD">
        <w:rPr>
          <w:rFonts w:ascii="Book Antiqua" w:hAnsi="Book Antiqua" w:cs="Times New Roman"/>
          <w:sz w:val="24"/>
          <w:szCs w:val="24"/>
        </w:rPr>
        <w:t xml:space="preserve">75.6%, </w:t>
      </w:r>
      <w:r w:rsidR="00AB35A8" w:rsidRPr="004E79AD">
        <w:rPr>
          <w:rFonts w:ascii="Book Antiqua" w:hAnsi="Book Antiqua" w:cs="Times New Roman"/>
          <w:i/>
          <w:caps/>
          <w:sz w:val="24"/>
          <w:szCs w:val="24"/>
        </w:rPr>
        <w:t>p</w:t>
      </w:r>
      <w:r w:rsidR="00AB35A8" w:rsidRPr="004E79AD">
        <w:rPr>
          <w:rFonts w:ascii="Book Antiqua" w:hAnsi="Book Antiqua" w:cs="Times New Roman"/>
          <w:sz w:val="24"/>
          <w:szCs w:val="24"/>
        </w:rPr>
        <w:t xml:space="preserve"> &lt; 0.01) and had better tumor biology with a greater prev</w:t>
      </w:r>
      <w:r w:rsidR="00E6724B" w:rsidRPr="004E79AD">
        <w:rPr>
          <w:rFonts w:ascii="Book Antiqua" w:hAnsi="Book Antiqua" w:cs="Times New Roman"/>
          <w:sz w:val="24"/>
          <w:szCs w:val="24"/>
        </w:rPr>
        <w:t xml:space="preserve">alence of appendiceal (83.6% </w:t>
      </w:r>
      <w:r w:rsidR="00E6724B" w:rsidRPr="004E79AD">
        <w:rPr>
          <w:rFonts w:ascii="Book Antiqua" w:hAnsi="Book Antiqua" w:cs="Times New Roman"/>
          <w:i/>
          <w:sz w:val="24"/>
          <w:szCs w:val="24"/>
        </w:rPr>
        <w:t>vs</w:t>
      </w:r>
      <w:r w:rsidR="00AB35A8" w:rsidRPr="004E79AD">
        <w:rPr>
          <w:rFonts w:ascii="Book Antiqua" w:hAnsi="Book Antiqua" w:cs="Times New Roman"/>
          <w:sz w:val="24"/>
          <w:szCs w:val="24"/>
        </w:rPr>
        <w:t xml:space="preserve"> 60.4%, </w:t>
      </w:r>
      <w:r w:rsidR="00AB35A8" w:rsidRPr="004E79AD">
        <w:rPr>
          <w:rFonts w:ascii="Book Antiqua" w:hAnsi="Book Antiqua" w:cs="Times New Roman"/>
          <w:i/>
          <w:caps/>
          <w:sz w:val="24"/>
          <w:szCs w:val="24"/>
        </w:rPr>
        <w:t>p</w:t>
      </w:r>
      <w:r w:rsidR="00AB35A8" w:rsidRPr="004E79AD">
        <w:rPr>
          <w:rFonts w:ascii="Book Antiqua" w:hAnsi="Book Antiqua" w:cs="Times New Roman"/>
          <w:sz w:val="24"/>
          <w:szCs w:val="24"/>
        </w:rPr>
        <w:t xml:space="preserve"> &lt; 0.01) and well differentiated (</w:t>
      </w:r>
      <w:r w:rsidR="007E517A" w:rsidRPr="004E79AD">
        <w:rPr>
          <w:rFonts w:ascii="Book Antiqua" w:hAnsi="Book Antiqua" w:cs="Times New Roman"/>
          <w:sz w:val="24"/>
          <w:szCs w:val="24"/>
        </w:rPr>
        <w:t>60.6</w:t>
      </w:r>
      <w:r w:rsidR="00E6724B" w:rsidRPr="004E79AD">
        <w:rPr>
          <w:rFonts w:ascii="Book Antiqua" w:hAnsi="Book Antiqua" w:cs="Times New Roman"/>
          <w:sz w:val="24"/>
          <w:szCs w:val="24"/>
        </w:rPr>
        <w:t xml:space="preserve">% </w:t>
      </w:r>
      <w:r w:rsidR="00E6724B" w:rsidRPr="004E79AD">
        <w:rPr>
          <w:rFonts w:ascii="Book Antiqua" w:hAnsi="Book Antiqua" w:cs="Times New Roman"/>
          <w:i/>
          <w:sz w:val="24"/>
          <w:szCs w:val="24"/>
        </w:rPr>
        <w:t>vs</w:t>
      </w:r>
      <w:r w:rsidR="00AB35A8" w:rsidRPr="004E79AD">
        <w:rPr>
          <w:rFonts w:ascii="Book Antiqua" w:hAnsi="Book Antiqua" w:cs="Times New Roman"/>
          <w:sz w:val="24"/>
          <w:szCs w:val="24"/>
        </w:rPr>
        <w:t xml:space="preserve"> </w:t>
      </w:r>
      <w:r w:rsidR="007E517A" w:rsidRPr="004E79AD">
        <w:rPr>
          <w:rFonts w:ascii="Book Antiqua" w:hAnsi="Book Antiqua" w:cs="Times New Roman"/>
          <w:sz w:val="24"/>
          <w:szCs w:val="24"/>
        </w:rPr>
        <w:t>51.9</w:t>
      </w:r>
      <w:r w:rsidR="00AB35A8" w:rsidRPr="004E79AD">
        <w:rPr>
          <w:rFonts w:ascii="Book Antiqua" w:hAnsi="Book Antiqua" w:cs="Times New Roman"/>
          <w:sz w:val="24"/>
          <w:szCs w:val="24"/>
        </w:rPr>
        <w:t xml:space="preserve">%, </w:t>
      </w:r>
      <w:r w:rsidR="00AB35A8" w:rsidRPr="004E79AD">
        <w:rPr>
          <w:rFonts w:ascii="Book Antiqua" w:hAnsi="Book Antiqua" w:cs="Times New Roman"/>
          <w:i/>
          <w:caps/>
          <w:sz w:val="24"/>
          <w:szCs w:val="24"/>
        </w:rPr>
        <w:t>p</w:t>
      </w:r>
      <w:r w:rsidR="00AB35A8" w:rsidRPr="004E79AD">
        <w:rPr>
          <w:rFonts w:ascii="Book Antiqua" w:hAnsi="Book Antiqua" w:cs="Times New Roman"/>
          <w:sz w:val="24"/>
          <w:szCs w:val="24"/>
        </w:rPr>
        <w:t xml:space="preserve"> &lt; 0.01) tumors. </w:t>
      </w:r>
      <w:r w:rsidR="003936B9" w:rsidRPr="004E79AD">
        <w:rPr>
          <w:rFonts w:ascii="Book Antiqua" w:hAnsi="Book Antiqua" w:cs="Times New Roman"/>
          <w:sz w:val="24"/>
          <w:szCs w:val="24"/>
        </w:rPr>
        <w:t xml:space="preserve">Patients undergoing closed HIPEC were older (54.6 </w:t>
      </w:r>
      <w:r w:rsidR="00E6724B" w:rsidRPr="004E79AD">
        <w:rPr>
          <w:rFonts w:ascii="Book Antiqua" w:hAnsi="Book Antiqua" w:cs="Times New Roman"/>
          <w:sz w:val="24"/>
          <w:szCs w:val="24"/>
        </w:rPr>
        <w:t xml:space="preserve">years </w:t>
      </w:r>
      <w:r w:rsidR="00E6724B" w:rsidRPr="004E79AD">
        <w:rPr>
          <w:rFonts w:ascii="Book Antiqua" w:hAnsi="Book Antiqua" w:cs="Times New Roman"/>
          <w:i/>
          <w:sz w:val="24"/>
          <w:szCs w:val="24"/>
        </w:rPr>
        <w:t>vs</w:t>
      </w:r>
      <w:r w:rsidR="003936B9" w:rsidRPr="004E79AD">
        <w:rPr>
          <w:rFonts w:ascii="Book Antiqua" w:hAnsi="Book Antiqua" w:cs="Times New Roman"/>
          <w:sz w:val="24"/>
          <w:szCs w:val="24"/>
        </w:rPr>
        <w:t xml:space="preserve"> 52.7 years, </w:t>
      </w:r>
      <w:r w:rsidR="003936B9" w:rsidRPr="004E79AD">
        <w:rPr>
          <w:rFonts w:ascii="Book Antiqua" w:hAnsi="Book Antiqua" w:cs="Times New Roman"/>
          <w:i/>
          <w:caps/>
          <w:sz w:val="24"/>
          <w:szCs w:val="24"/>
        </w:rPr>
        <w:t>p</w:t>
      </w:r>
      <w:r w:rsidR="003936B9" w:rsidRPr="004E79AD">
        <w:rPr>
          <w:rFonts w:ascii="Book Antiqua" w:hAnsi="Book Antiqua" w:cs="Times New Roman"/>
          <w:sz w:val="24"/>
          <w:szCs w:val="24"/>
        </w:rPr>
        <w:t xml:space="preserve"> = 0.02) with more racia</w:t>
      </w:r>
      <w:r w:rsidR="00E6724B" w:rsidRPr="004E79AD">
        <w:rPr>
          <w:rFonts w:ascii="Book Antiqua" w:hAnsi="Book Antiqua" w:cs="Times New Roman"/>
          <w:sz w:val="24"/>
          <w:szCs w:val="24"/>
        </w:rPr>
        <w:t xml:space="preserve">l diversity (79.2% white </w:t>
      </w:r>
      <w:r w:rsidR="00E6724B" w:rsidRPr="004E79AD">
        <w:rPr>
          <w:rFonts w:ascii="Book Antiqua" w:hAnsi="Book Antiqua" w:cs="Times New Roman"/>
          <w:i/>
          <w:sz w:val="24"/>
          <w:szCs w:val="24"/>
        </w:rPr>
        <w:t>vs</w:t>
      </w:r>
      <w:r w:rsidR="003936B9" w:rsidRPr="004E79AD">
        <w:rPr>
          <w:rFonts w:ascii="Book Antiqua" w:hAnsi="Book Antiqua" w:cs="Times New Roman"/>
          <w:sz w:val="24"/>
          <w:szCs w:val="24"/>
        </w:rPr>
        <w:t xml:space="preserve"> 94.1%, </w:t>
      </w:r>
      <w:r w:rsidR="003936B9" w:rsidRPr="004E79AD">
        <w:rPr>
          <w:rFonts w:ascii="Book Antiqua" w:hAnsi="Book Antiqua" w:cs="Times New Roman"/>
          <w:i/>
          <w:caps/>
          <w:sz w:val="24"/>
          <w:szCs w:val="24"/>
        </w:rPr>
        <w:t>p</w:t>
      </w:r>
      <w:r w:rsidR="003936B9" w:rsidRPr="004E79AD">
        <w:rPr>
          <w:rFonts w:ascii="Book Antiqua" w:hAnsi="Book Antiqua" w:cs="Times New Roman"/>
          <w:sz w:val="24"/>
          <w:szCs w:val="24"/>
        </w:rPr>
        <w:t xml:space="preserve"> &lt; 0.01). </w:t>
      </w:r>
      <w:r w:rsidR="00AB35A8" w:rsidRPr="004E79AD">
        <w:rPr>
          <w:rFonts w:ascii="Book Antiqua" w:hAnsi="Book Antiqua" w:cs="Times New Roman"/>
          <w:sz w:val="24"/>
          <w:szCs w:val="24"/>
        </w:rPr>
        <w:t>M</w:t>
      </w:r>
      <w:r w:rsidR="00412CEF" w:rsidRPr="004E79AD">
        <w:rPr>
          <w:rFonts w:ascii="Book Antiqua" w:hAnsi="Book Antiqua" w:cs="Times New Roman"/>
          <w:sz w:val="24"/>
          <w:szCs w:val="24"/>
        </w:rPr>
        <w:t xml:space="preserve">ean </w:t>
      </w:r>
      <w:r w:rsidR="00E6724B" w:rsidRPr="004E79AD">
        <w:rPr>
          <w:rFonts w:ascii="Book Antiqua" w:hAnsi="Book Antiqua" w:cs="Times New Roman"/>
          <w:sz w:val="24"/>
          <w:szCs w:val="24"/>
        </w:rPr>
        <w:t>peritoneal carcinomatosis index (</w:t>
      </w:r>
      <w:r w:rsidR="00412CEF" w:rsidRPr="004E79AD">
        <w:rPr>
          <w:rFonts w:ascii="Book Antiqua" w:hAnsi="Book Antiqua" w:cs="Times New Roman"/>
          <w:sz w:val="24"/>
          <w:szCs w:val="24"/>
        </w:rPr>
        <w:t>PCI</w:t>
      </w:r>
      <w:r w:rsidR="00E6724B" w:rsidRPr="004E79AD">
        <w:rPr>
          <w:rFonts w:ascii="Book Antiqua" w:hAnsi="Book Antiqua" w:cs="Times New Roman"/>
          <w:sz w:val="24"/>
          <w:szCs w:val="24"/>
        </w:rPr>
        <w:t>)</w:t>
      </w:r>
      <w:r w:rsidR="00412CEF" w:rsidRPr="004E79AD">
        <w:rPr>
          <w:rFonts w:ascii="Book Antiqua" w:hAnsi="Book Antiqua" w:cs="Times New Roman"/>
          <w:sz w:val="24"/>
          <w:szCs w:val="24"/>
        </w:rPr>
        <w:t xml:space="preserve"> was </w:t>
      </w:r>
      <w:r w:rsidR="00AB35A8" w:rsidRPr="004E79AD">
        <w:rPr>
          <w:rFonts w:ascii="Book Antiqua" w:hAnsi="Book Antiqua" w:cs="Times New Roman"/>
          <w:sz w:val="24"/>
          <w:szCs w:val="24"/>
        </w:rPr>
        <w:t xml:space="preserve">also </w:t>
      </w:r>
      <w:r w:rsidR="00412CEF" w:rsidRPr="004E79AD">
        <w:rPr>
          <w:rFonts w:ascii="Book Antiqua" w:hAnsi="Book Antiqua" w:cs="Times New Roman"/>
          <w:sz w:val="24"/>
          <w:szCs w:val="24"/>
        </w:rPr>
        <w:t xml:space="preserve">higher in </w:t>
      </w:r>
      <w:r w:rsidR="00E6724B" w:rsidRPr="004E79AD">
        <w:rPr>
          <w:rFonts w:ascii="Book Antiqua" w:hAnsi="Book Antiqua" w:cs="Times New Roman"/>
          <w:sz w:val="24"/>
          <w:szCs w:val="24"/>
        </w:rPr>
        <w:t xml:space="preserve">the closed HIPEC group (14.7 </w:t>
      </w:r>
      <w:r w:rsidR="00E6724B" w:rsidRPr="004E79AD">
        <w:rPr>
          <w:rFonts w:ascii="Book Antiqua" w:hAnsi="Book Antiqua" w:cs="Times New Roman"/>
          <w:i/>
          <w:sz w:val="24"/>
          <w:szCs w:val="24"/>
        </w:rPr>
        <w:t>vs</w:t>
      </w:r>
      <w:r w:rsidR="00412CEF" w:rsidRPr="004E79AD">
        <w:rPr>
          <w:rFonts w:ascii="Book Antiqua" w:hAnsi="Book Antiqua" w:cs="Times New Roman"/>
          <w:sz w:val="24"/>
          <w:szCs w:val="24"/>
        </w:rPr>
        <w:t xml:space="preserve"> 10.8, </w:t>
      </w:r>
      <w:r w:rsidR="00412CEF" w:rsidRPr="004E79AD">
        <w:rPr>
          <w:rFonts w:ascii="Book Antiqua" w:hAnsi="Book Antiqua" w:cs="Times New Roman"/>
          <w:i/>
          <w:caps/>
          <w:sz w:val="24"/>
          <w:szCs w:val="24"/>
        </w:rPr>
        <w:t>p</w:t>
      </w:r>
      <w:r w:rsidR="00412CEF" w:rsidRPr="004E79AD">
        <w:rPr>
          <w:rFonts w:ascii="Book Antiqua" w:hAnsi="Book Antiqua" w:cs="Times New Roman"/>
          <w:sz w:val="24"/>
          <w:szCs w:val="24"/>
        </w:rPr>
        <w:t xml:space="preserve"> &lt; 0.01) though there </w:t>
      </w:r>
      <w:proofErr w:type="gramStart"/>
      <w:r w:rsidR="00CE0440" w:rsidRPr="004E79AD">
        <w:rPr>
          <w:rFonts w:ascii="Book Antiqua" w:hAnsi="Book Antiqua" w:cs="Times New Roman"/>
          <w:sz w:val="24"/>
          <w:szCs w:val="24"/>
        </w:rPr>
        <w:t>were</w:t>
      </w:r>
      <w:proofErr w:type="gramEnd"/>
      <w:r w:rsidR="00CE0440" w:rsidRPr="004E79AD">
        <w:rPr>
          <w:rFonts w:ascii="Book Antiqua" w:hAnsi="Book Antiqua" w:cs="Times New Roman"/>
          <w:sz w:val="24"/>
          <w:szCs w:val="24"/>
        </w:rPr>
        <w:t xml:space="preserve"> fewer </w:t>
      </w:r>
      <w:r w:rsidR="00412CEF" w:rsidRPr="004E79AD">
        <w:rPr>
          <w:rFonts w:ascii="Book Antiqua" w:hAnsi="Book Antiqua" w:cs="Times New Roman"/>
          <w:sz w:val="24"/>
          <w:szCs w:val="24"/>
        </w:rPr>
        <w:t xml:space="preserve">completeness of cytoreduction (CC) scores of </w:t>
      </w:r>
      <w:r w:rsidR="00CE0440" w:rsidRPr="004E79AD">
        <w:rPr>
          <w:rFonts w:ascii="Book Antiqua" w:hAnsi="Book Antiqua" w:cs="Times New Roman"/>
          <w:sz w:val="24"/>
          <w:szCs w:val="24"/>
        </w:rPr>
        <w:t>2 or 3</w:t>
      </w:r>
      <w:r w:rsidR="00412CEF" w:rsidRPr="004E79AD">
        <w:rPr>
          <w:rFonts w:ascii="Book Antiqua" w:hAnsi="Book Antiqua" w:cs="Times New Roman"/>
          <w:sz w:val="24"/>
          <w:szCs w:val="24"/>
        </w:rPr>
        <w:t xml:space="preserve"> </w:t>
      </w:r>
      <w:r w:rsidR="00E6724B" w:rsidRPr="004E79AD">
        <w:rPr>
          <w:rFonts w:ascii="Book Antiqua" w:hAnsi="Book Antiqua" w:cs="Times New Roman"/>
          <w:sz w:val="24"/>
          <w:szCs w:val="24"/>
        </w:rPr>
        <w:t xml:space="preserve">(5% </w:t>
      </w:r>
      <w:r w:rsidR="00E6724B" w:rsidRPr="004E79AD">
        <w:rPr>
          <w:rFonts w:ascii="Book Antiqua" w:hAnsi="Book Antiqua" w:cs="Times New Roman"/>
          <w:i/>
          <w:sz w:val="24"/>
          <w:szCs w:val="24"/>
        </w:rPr>
        <w:t>vs</w:t>
      </w:r>
      <w:r w:rsidR="00CE0440" w:rsidRPr="004E79AD">
        <w:rPr>
          <w:rFonts w:ascii="Book Antiqua" w:hAnsi="Book Antiqua" w:cs="Times New Roman"/>
          <w:sz w:val="24"/>
          <w:szCs w:val="24"/>
        </w:rPr>
        <w:t xml:space="preserve"> 14%, </w:t>
      </w:r>
      <w:r w:rsidR="00CE0440" w:rsidRPr="004E79AD">
        <w:rPr>
          <w:rFonts w:ascii="Book Antiqua" w:hAnsi="Book Antiqua" w:cs="Times New Roman"/>
          <w:i/>
          <w:caps/>
          <w:sz w:val="24"/>
          <w:szCs w:val="24"/>
        </w:rPr>
        <w:t>p</w:t>
      </w:r>
      <w:r w:rsidR="00CE0440" w:rsidRPr="004E79AD">
        <w:rPr>
          <w:rFonts w:ascii="Book Antiqua" w:hAnsi="Book Antiqua" w:cs="Times New Roman"/>
          <w:sz w:val="24"/>
          <w:szCs w:val="24"/>
        </w:rPr>
        <w:t xml:space="preserve"> &lt; 0.01).</w:t>
      </w:r>
      <w:r w:rsidR="00E6724B" w:rsidRPr="004E79AD">
        <w:rPr>
          <w:rFonts w:ascii="Book Antiqua" w:hAnsi="Book Antiqua" w:cs="Times New Roman"/>
          <w:sz w:val="24"/>
          <w:szCs w:val="24"/>
        </w:rPr>
        <w:t xml:space="preserve"> Mitomycin-C </w:t>
      </w:r>
      <w:r w:rsidR="007E517A" w:rsidRPr="004E79AD">
        <w:rPr>
          <w:rFonts w:ascii="Book Antiqua" w:hAnsi="Book Antiqua" w:cs="Times New Roman"/>
          <w:sz w:val="24"/>
          <w:szCs w:val="24"/>
        </w:rPr>
        <w:t xml:space="preserve">was the most commonly used agent in both groups, though the </w:t>
      </w:r>
      <w:r w:rsidR="007E517A" w:rsidRPr="004E79AD">
        <w:rPr>
          <w:rFonts w:ascii="Book Antiqua" w:hAnsi="Book Antiqua" w:cs="Times New Roman"/>
          <w:sz w:val="24"/>
          <w:szCs w:val="24"/>
        </w:rPr>
        <w:lastRenderedPageBreak/>
        <w:t xml:space="preserve">average dose of </w:t>
      </w:r>
      <w:r w:rsidR="00E6724B" w:rsidRPr="004E79AD">
        <w:rPr>
          <w:rFonts w:ascii="Book Antiqua" w:hAnsi="Book Antiqua" w:cs="Times New Roman"/>
          <w:sz w:val="24"/>
          <w:szCs w:val="24"/>
        </w:rPr>
        <w:t>Mitomycin-C</w:t>
      </w:r>
      <w:r w:rsidR="00412CEF" w:rsidRPr="004E79AD">
        <w:rPr>
          <w:rFonts w:ascii="Book Antiqua" w:hAnsi="Book Antiqua" w:cs="Times New Roman"/>
          <w:sz w:val="24"/>
          <w:szCs w:val="24"/>
        </w:rPr>
        <w:t xml:space="preserve"> </w:t>
      </w:r>
      <w:r w:rsidR="007E517A" w:rsidRPr="004E79AD">
        <w:rPr>
          <w:rFonts w:ascii="Book Antiqua" w:hAnsi="Book Antiqua" w:cs="Times New Roman"/>
          <w:sz w:val="24"/>
          <w:szCs w:val="24"/>
        </w:rPr>
        <w:t>was higher in</w:t>
      </w:r>
      <w:r w:rsidR="00E6724B" w:rsidRPr="004E79AD">
        <w:rPr>
          <w:rFonts w:ascii="Book Antiqua" w:hAnsi="Book Antiqua" w:cs="Times New Roman"/>
          <w:sz w:val="24"/>
          <w:szCs w:val="24"/>
        </w:rPr>
        <w:t xml:space="preserve"> the open HIPEC group (54 mg </w:t>
      </w:r>
      <w:r w:rsidR="00E6724B" w:rsidRPr="004E79AD">
        <w:rPr>
          <w:rFonts w:ascii="Book Antiqua" w:hAnsi="Book Antiqua" w:cs="Times New Roman"/>
          <w:i/>
          <w:sz w:val="24"/>
          <w:szCs w:val="24"/>
        </w:rPr>
        <w:t>vs</w:t>
      </w:r>
      <w:r w:rsidR="007E517A" w:rsidRPr="004E79AD">
        <w:rPr>
          <w:rFonts w:ascii="Book Antiqua" w:hAnsi="Book Antiqua" w:cs="Times New Roman"/>
          <w:sz w:val="24"/>
          <w:szCs w:val="24"/>
        </w:rPr>
        <w:t xml:space="preserve"> 40 mg, </w:t>
      </w:r>
      <w:r w:rsidR="007E517A" w:rsidRPr="004E79AD">
        <w:rPr>
          <w:rFonts w:ascii="Book Antiqua" w:hAnsi="Book Antiqua" w:cs="Times New Roman"/>
          <w:i/>
          <w:caps/>
          <w:sz w:val="24"/>
          <w:szCs w:val="24"/>
        </w:rPr>
        <w:t>p</w:t>
      </w:r>
      <w:r w:rsidR="007E517A" w:rsidRPr="004E79AD">
        <w:rPr>
          <w:rFonts w:ascii="Book Antiqua" w:hAnsi="Book Antiqua" w:cs="Times New Roman"/>
          <w:sz w:val="24"/>
          <w:szCs w:val="24"/>
        </w:rPr>
        <w:t xml:space="preserve"> &lt; 0.01).</w:t>
      </w:r>
    </w:p>
    <w:p w14:paraId="6639C60A" w14:textId="77777777" w:rsidR="00E6724B" w:rsidRPr="004E79AD" w:rsidRDefault="00E6724B" w:rsidP="004E79AD">
      <w:pPr>
        <w:snapToGrid w:val="0"/>
        <w:spacing w:after="0" w:line="360" w:lineRule="auto"/>
        <w:jc w:val="both"/>
        <w:rPr>
          <w:rFonts w:ascii="Book Antiqua" w:hAnsi="Book Antiqua" w:cs="Times New Roman"/>
          <w:sz w:val="24"/>
          <w:szCs w:val="24"/>
        </w:rPr>
      </w:pPr>
    </w:p>
    <w:p w14:paraId="5D11401C" w14:textId="5E30DE54" w:rsidR="00B51ADB" w:rsidRPr="004E79AD" w:rsidRDefault="00B51ADB"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t>P</w:t>
      </w:r>
      <w:r w:rsidR="00C85A03" w:rsidRPr="004E79AD">
        <w:rPr>
          <w:rFonts w:ascii="Book Antiqua" w:hAnsi="Book Antiqua" w:cs="Times New Roman"/>
          <w:b/>
          <w:i/>
          <w:sz w:val="24"/>
          <w:szCs w:val="24"/>
        </w:rPr>
        <w:t>ost-</w:t>
      </w:r>
      <w:r w:rsidRPr="004E79AD">
        <w:rPr>
          <w:rFonts w:ascii="Book Antiqua" w:hAnsi="Book Antiqua" w:cs="Times New Roman"/>
          <w:b/>
          <w:i/>
          <w:sz w:val="24"/>
          <w:szCs w:val="24"/>
        </w:rPr>
        <w:t xml:space="preserve">operative </w:t>
      </w:r>
      <w:r w:rsidR="00E6724B" w:rsidRPr="004E79AD">
        <w:rPr>
          <w:rFonts w:ascii="Book Antiqua" w:hAnsi="Book Antiqua" w:cs="Times New Roman"/>
          <w:b/>
          <w:i/>
          <w:sz w:val="24"/>
          <w:szCs w:val="24"/>
        </w:rPr>
        <w:t>outcomes</w:t>
      </w:r>
    </w:p>
    <w:p w14:paraId="64C0CC70" w14:textId="1FB922EC" w:rsidR="002A1F88" w:rsidRPr="004E79AD" w:rsidRDefault="00BF3846"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 xml:space="preserve">Differences in short-term outcomes between patients undergoing open </w:t>
      </w:r>
      <w:r w:rsidR="00CE0440" w:rsidRPr="004E79AD">
        <w:rPr>
          <w:rFonts w:ascii="Book Antiqua" w:hAnsi="Book Antiqua" w:cs="Times New Roman"/>
          <w:i/>
          <w:sz w:val="24"/>
          <w:szCs w:val="24"/>
        </w:rPr>
        <w:t>vs</w:t>
      </w:r>
      <w:r w:rsidRPr="004E79AD">
        <w:rPr>
          <w:rFonts w:ascii="Book Antiqua" w:hAnsi="Book Antiqua" w:cs="Times New Roman"/>
          <w:sz w:val="24"/>
          <w:szCs w:val="24"/>
        </w:rPr>
        <w:t xml:space="preserve"> closed technique are reported in Table 1.</w:t>
      </w:r>
      <w:r w:rsidR="00BA2A05" w:rsidRPr="004E79AD">
        <w:rPr>
          <w:rFonts w:ascii="Book Antiqua" w:hAnsi="Book Antiqua" w:cs="Times New Roman"/>
          <w:sz w:val="24"/>
          <w:szCs w:val="24"/>
        </w:rPr>
        <w:t xml:space="preserve"> Grade III or higher complications were similar between the two g</w:t>
      </w:r>
      <w:r w:rsidR="00D87B9D" w:rsidRPr="004E79AD">
        <w:rPr>
          <w:rFonts w:ascii="Book Antiqua" w:hAnsi="Book Antiqua" w:cs="Times New Roman"/>
          <w:sz w:val="24"/>
          <w:szCs w:val="24"/>
        </w:rPr>
        <w:t xml:space="preserve">roups (17.7% </w:t>
      </w:r>
      <w:r w:rsidR="00D87B9D" w:rsidRPr="004E79AD">
        <w:rPr>
          <w:rFonts w:ascii="Book Antiqua" w:hAnsi="Book Antiqua" w:cs="Times New Roman"/>
          <w:i/>
          <w:sz w:val="24"/>
          <w:szCs w:val="24"/>
        </w:rPr>
        <w:t>vs</w:t>
      </w:r>
      <w:r w:rsidR="00154C2D" w:rsidRPr="004E79AD">
        <w:rPr>
          <w:rFonts w:ascii="Book Antiqua" w:hAnsi="Book Antiqua" w:cs="Times New Roman"/>
          <w:sz w:val="24"/>
          <w:szCs w:val="24"/>
        </w:rPr>
        <w:t xml:space="preserve"> 20.4%, </w:t>
      </w:r>
      <w:r w:rsidR="00154C2D" w:rsidRPr="004E79AD">
        <w:rPr>
          <w:rFonts w:ascii="Book Antiqua" w:hAnsi="Book Antiqua" w:cs="Times New Roman"/>
          <w:i/>
          <w:caps/>
          <w:sz w:val="24"/>
          <w:szCs w:val="24"/>
        </w:rPr>
        <w:t>p</w:t>
      </w:r>
      <w:r w:rsidR="00154C2D" w:rsidRPr="004E79AD">
        <w:rPr>
          <w:rFonts w:ascii="Book Antiqua" w:hAnsi="Book Antiqua" w:cs="Times New Roman"/>
          <w:sz w:val="24"/>
          <w:szCs w:val="24"/>
        </w:rPr>
        <w:t xml:space="preserve"> = 0.27</w:t>
      </w:r>
      <w:r w:rsidR="00BA2A05" w:rsidRPr="004E79AD">
        <w:rPr>
          <w:rFonts w:ascii="Book Antiqua" w:hAnsi="Book Antiqua" w:cs="Times New Roman"/>
          <w:sz w:val="24"/>
          <w:szCs w:val="24"/>
        </w:rPr>
        <w:t>).</w:t>
      </w:r>
      <w:r w:rsidR="002A1F88" w:rsidRPr="004E79AD">
        <w:rPr>
          <w:rFonts w:ascii="Book Antiqua" w:hAnsi="Book Antiqua" w:cs="Times New Roman"/>
          <w:sz w:val="24"/>
          <w:szCs w:val="24"/>
        </w:rPr>
        <w:t xml:space="preserve"> Open HIPEC patients had shorter operative times (6.7 h</w:t>
      </w:r>
      <w:r w:rsidR="00D87B9D" w:rsidRPr="004E79AD">
        <w:rPr>
          <w:rFonts w:ascii="Book Antiqua" w:hAnsi="Book Antiqua" w:cs="Times New Roman"/>
          <w:sz w:val="24"/>
          <w:szCs w:val="24"/>
        </w:rPr>
        <w:t xml:space="preserve"> </w:t>
      </w:r>
      <w:r w:rsidR="00D87B9D" w:rsidRPr="004E79AD">
        <w:rPr>
          <w:rFonts w:ascii="Book Antiqua" w:hAnsi="Book Antiqua" w:cs="Times New Roman"/>
          <w:i/>
          <w:sz w:val="24"/>
          <w:szCs w:val="24"/>
        </w:rPr>
        <w:t>vs</w:t>
      </w:r>
      <w:r w:rsidR="002A1F88" w:rsidRPr="004E79AD">
        <w:rPr>
          <w:rFonts w:ascii="Book Antiqua" w:hAnsi="Book Antiqua" w:cs="Times New Roman"/>
          <w:sz w:val="24"/>
          <w:szCs w:val="24"/>
        </w:rPr>
        <w:t xml:space="preserve"> 8.5 h, </w:t>
      </w:r>
      <w:r w:rsidR="002A1F88" w:rsidRPr="004E79AD">
        <w:rPr>
          <w:rFonts w:ascii="Book Antiqua" w:hAnsi="Book Antiqua" w:cs="Times New Roman"/>
          <w:i/>
          <w:caps/>
          <w:sz w:val="24"/>
          <w:szCs w:val="24"/>
        </w:rPr>
        <w:t>p</w:t>
      </w:r>
      <w:r w:rsidR="002A1F88" w:rsidRPr="004E79AD">
        <w:rPr>
          <w:rFonts w:ascii="Book Antiqua" w:hAnsi="Book Antiqua" w:cs="Times New Roman"/>
          <w:sz w:val="24"/>
          <w:szCs w:val="24"/>
        </w:rPr>
        <w:t xml:space="preserve"> &lt; 0.01) a</w:t>
      </w:r>
      <w:r w:rsidR="00D87B9D" w:rsidRPr="004E79AD">
        <w:rPr>
          <w:rFonts w:ascii="Book Antiqua" w:hAnsi="Book Antiqua" w:cs="Times New Roman"/>
          <w:sz w:val="24"/>
          <w:szCs w:val="24"/>
        </w:rPr>
        <w:t xml:space="preserve">nd fewer readmissions (12.6% </w:t>
      </w:r>
      <w:r w:rsidR="00D87B9D" w:rsidRPr="004E79AD">
        <w:rPr>
          <w:rFonts w:ascii="Book Antiqua" w:hAnsi="Book Antiqua" w:cs="Times New Roman"/>
          <w:i/>
          <w:sz w:val="24"/>
          <w:szCs w:val="24"/>
        </w:rPr>
        <w:t>vs</w:t>
      </w:r>
      <w:r w:rsidR="002A1F88" w:rsidRPr="004E79AD">
        <w:rPr>
          <w:rFonts w:ascii="Book Antiqua" w:hAnsi="Book Antiqua" w:cs="Times New Roman"/>
          <w:sz w:val="24"/>
          <w:szCs w:val="24"/>
        </w:rPr>
        <w:t xml:space="preserve"> 23.7%, </w:t>
      </w:r>
      <w:r w:rsidR="002A1F88" w:rsidRPr="004E79AD">
        <w:rPr>
          <w:rFonts w:ascii="Book Antiqua" w:hAnsi="Book Antiqua" w:cs="Times New Roman"/>
          <w:i/>
          <w:caps/>
          <w:sz w:val="24"/>
          <w:szCs w:val="24"/>
        </w:rPr>
        <w:t>p</w:t>
      </w:r>
      <w:r w:rsidR="002A1F88" w:rsidRPr="004E79AD">
        <w:rPr>
          <w:rFonts w:ascii="Book Antiqua" w:hAnsi="Book Antiqua" w:cs="Times New Roman"/>
          <w:sz w:val="24"/>
          <w:szCs w:val="24"/>
        </w:rPr>
        <w:t xml:space="preserve"> &lt; 0.01) though the</w:t>
      </w:r>
      <w:r w:rsidR="00CE0440" w:rsidRPr="004E79AD">
        <w:rPr>
          <w:rFonts w:ascii="Book Antiqua" w:hAnsi="Book Antiqua" w:cs="Times New Roman"/>
          <w:sz w:val="24"/>
          <w:szCs w:val="24"/>
        </w:rPr>
        <w:t>ir</w:t>
      </w:r>
      <w:r w:rsidR="00D87B9D" w:rsidRPr="004E79AD">
        <w:rPr>
          <w:rFonts w:ascii="Book Antiqua" w:hAnsi="Book Antiqua" w:cs="Times New Roman"/>
          <w:sz w:val="24"/>
          <w:szCs w:val="24"/>
        </w:rPr>
        <w:t xml:space="preserve"> 90-d</w:t>
      </w:r>
      <w:r w:rsidR="002A1F88" w:rsidRPr="004E79AD">
        <w:rPr>
          <w:rFonts w:ascii="Book Antiqua" w:hAnsi="Book Antiqua" w:cs="Times New Roman"/>
          <w:sz w:val="24"/>
          <w:szCs w:val="24"/>
        </w:rPr>
        <w:t xml:space="preserve"> mor</w:t>
      </w:r>
      <w:r w:rsidR="00D87B9D" w:rsidRPr="004E79AD">
        <w:rPr>
          <w:rFonts w:ascii="Book Antiqua" w:hAnsi="Book Antiqua" w:cs="Times New Roman"/>
          <w:sz w:val="24"/>
          <w:szCs w:val="24"/>
        </w:rPr>
        <w:t xml:space="preserve">tality rate was higher (3.8% </w:t>
      </w:r>
      <w:r w:rsidR="00D87B9D" w:rsidRPr="004E79AD">
        <w:rPr>
          <w:rFonts w:ascii="Book Antiqua" w:hAnsi="Book Antiqua" w:cs="Times New Roman"/>
          <w:i/>
          <w:sz w:val="24"/>
          <w:szCs w:val="24"/>
        </w:rPr>
        <w:t>vs</w:t>
      </w:r>
      <w:r w:rsidR="002A1F88" w:rsidRPr="004E79AD">
        <w:rPr>
          <w:rFonts w:ascii="Book Antiqua" w:hAnsi="Book Antiqua" w:cs="Times New Roman"/>
          <w:sz w:val="24"/>
          <w:szCs w:val="24"/>
        </w:rPr>
        <w:t xml:space="preserve"> 1.7%, </w:t>
      </w:r>
      <w:r w:rsidR="002A1F88" w:rsidRPr="004E79AD">
        <w:rPr>
          <w:rFonts w:ascii="Book Antiqua" w:hAnsi="Book Antiqua" w:cs="Times New Roman"/>
          <w:i/>
          <w:caps/>
          <w:sz w:val="24"/>
          <w:szCs w:val="24"/>
        </w:rPr>
        <w:t>p</w:t>
      </w:r>
      <w:r w:rsidR="002A1F88" w:rsidRPr="004E79AD">
        <w:rPr>
          <w:rFonts w:ascii="Book Antiqua" w:hAnsi="Book Antiqua" w:cs="Times New Roman"/>
          <w:sz w:val="24"/>
          <w:szCs w:val="24"/>
        </w:rPr>
        <w:t xml:space="preserve"> = 0.03). There was no significant difference in estimated blood loss and reoperation rates between the two groups. </w:t>
      </w:r>
    </w:p>
    <w:p w14:paraId="0BCB4779" w14:textId="5F20A1B8" w:rsidR="00B51ADB" w:rsidRPr="004E79AD" w:rsidRDefault="00B51ADB"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 xml:space="preserve">The impact of open </w:t>
      </w:r>
      <w:r w:rsidR="00904C1D" w:rsidRPr="004E79AD">
        <w:rPr>
          <w:rFonts w:ascii="Book Antiqua" w:hAnsi="Book Antiqua" w:cs="Times New Roman"/>
          <w:i/>
          <w:sz w:val="24"/>
          <w:szCs w:val="24"/>
        </w:rPr>
        <w:t>vs</w:t>
      </w:r>
      <w:r w:rsidRPr="004E79AD">
        <w:rPr>
          <w:rFonts w:ascii="Book Antiqua" w:hAnsi="Book Antiqua" w:cs="Times New Roman"/>
          <w:sz w:val="24"/>
          <w:szCs w:val="24"/>
        </w:rPr>
        <w:t xml:space="preserve"> closed HIPEC was assessed by logistic re</w:t>
      </w:r>
      <w:r w:rsidR="008C6A07" w:rsidRPr="004E79AD">
        <w:rPr>
          <w:rFonts w:ascii="Book Antiqua" w:hAnsi="Book Antiqua" w:cs="Times New Roman"/>
          <w:sz w:val="24"/>
          <w:szCs w:val="24"/>
        </w:rPr>
        <w:t>gression for the following p</w:t>
      </w:r>
      <w:r w:rsidR="00C85A03" w:rsidRPr="004E79AD">
        <w:rPr>
          <w:rFonts w:ascii="Book Antiqua" w:hAnsi="Book Antiqua" w:cs="Times New Roman"/>
          <w:sz w:val="24"/>
          <w:szCs w:val="24"/>
        </w:rPr>
        <w:t>ost-o</w:t>
      </w:r>
      <w:r w:rsidRPr="004E79AD">
        <w:rPr>
          <w:rFonts w:ascii="Book Antiqua" w:hAnsi="Book Antiqua" w:cs="Times New Roman"/>
          <w:sz w:val="24"/>
          <w:szCs w:val="24"/>
        </w:rPr>
        <w:t>perative factors: 90-d readmission, grade III or IV post-operative complication, reoperation, length of stay longer than the 75</w:t>
      </w:r>
      <w:r w:rsidRPr="004E79AD">
        <w:rPr>
          <w:rFonts w:ascii="Book Antiqua" w:hAnsi="Book Antiqua" w:cs="Times New Roman"/>
          <w:sz w:val="24"/>
          <w:szCs w:val="24"/>
          <w:vertAlign w:val="superscript"/>
        </w:rPr>
        <w:t>th</w:t>
      </w:r>
      <w:r w:rsidRPr="004E79AD">
        <w:rPr>
          <w:rFonts w:ascii="Book Antiqua" w:hAnsi="Book Antiqua" w:cs="Times New Roman"/>
          <w:sz w:val="24"/>
          <w:szCs w:val="24"/>
        </w:rPr>
        <w:t xml:space="preserve"> percentile (13 d), 90-d mortality, and ICU stay longer than the 75</w:t>
      </w:r>
      <w:r w:rsidRPr="004E79AD">
        <w:rPr>
          <w:rFonts w:ascii="Book Antiqua" w:hAnsi="Book Antiqua" w:cs="Times New Roman"/>
          <w:sz w:val="24"/>
          <w:szCs w:val="24"/>
          <w:vertAlign w:val="superscript"/>
        </w:rPr>
        <w:t>th</w:t>
      </w:r>
      <w:r w:rsidRPr="004E79AD">
        <w:rPr>
          <w:rFonts w:ascii="Book Antiqua" w:hAnsi="Book Antiqua" w:cs="Times New Roman"/>
          <w:sz w:val="24"/>
          <w:szCs w:val="24"/>
        </w:rPr>
        <w:t xml:space="preserve"> percentile (3 d). The odds ratio for open HIPEC when compared to closed HIPEC for individual multivariable models are seen in </w:t>
      </w:r>
      <w:r w:rsidR="007173DE" w:rsidRPr="004E79AD">
        <w:rPr>
          <w:rFonts w:ascii="Book Antiqua" w:hAnsi="Book Antiqua" w:cs="Times New Roman"/>
          <w:sz w:val="24"/>
          <w:szCs w:val="24"/>
        </w:rPr>
        <w:t>Figure 1</w:t>
      </w:r>
      <w:r w:rsidRPr="004E79AD">
        <w:rPr>
          <w:rFonts w:ascii="Book Antiqua" w:hAnsi="Book Antiqua" w:cs="Times New Roman"/>
          <w:sz w:val="24"/>
          <w:szCs w:val="24"/>
        </w:rPr>
        <w:t xml:space="preserve">. </w:t>
      </w:r>
      <w:r w:rsidR="00751A33" w:rsidRPr="004E79AD">
        <w:rPr>
          <w:rFonts w:ascii="Book Antiqua" w:hAnsi="Book Antiqua" w:cs="Times New Roman"/>
          <w:sz w:val="24"/>
          <w:szCs w:val="24"/>
        </w:rPr>
        <w:t xml:space="preserve">On logistic regression, </w:t>
      </w:r>
      <w:r w:rsidR="004337EC" w:rsidRPr="004E79AD">
        <w:rPr>
          <w:rFonts w:ascii="Book Antiqua" w:hAnsi="Book Antiqua" w:cs="Times New Roman"/>
          <w:sz w:val="24"/>
          <w:szCs w:val="24"/>
        </w:rPr>
        <w:t xml:space="preserve">the only post-operative outcome that was significant for HIPEC method was length of ICU stay where </w:t>
      </w:r>
      <w:r w:rsidRPr="004E79AD">
        <w:rPr>
          <w:rFonts w:ascii="Book Antiqua" w:hAnsi="Book Antiqua" w:cs="Times New Roman"/>
          <w:sz w:val="24"/>
          <w:szCs w:val="24"/>
        </w:rPr>
        <w:t xml:space="preserve">open HIPEC </w:t>
      </w:r>
      <w:r w:rsidR="00751A33" w:rsidRPr="004E79AD">
        <w:rPr>
          <w:rFonts w:ascii="Book Antiqua" w:hAnsi="Book Antiqua" w:cs="Times New Roman"/>
          <w:sz w:val="24"/>
          <w:szCs w:val="24"/>
        </w:rPr>
        <w:t>remained</w:t>
      </w:r>
      <w:r w:rsidRPr="004E79AD">
        <w:rPr>
          <w:rFonts w:ascii="Book Antiqua" w:hAnsi="Book Antiqua" w:cs="Times New Roman"/>
          <w:sz w:val="24"/>
          <w:szCs w:val="24"/>
        </w:rPr>
        <w:t xml:space="preserve"> an independent predictor</w:t>
      </w:r>
      <w:r w:rsidR="004337EC" w:rsidRPr="004E79AD">
        <w:rPr>
          <w:rFonts w:ascii="Book Antiqua" w:hAnsi="Book Antiqua" w:cs="Times New Roman"/>
          <w:sz w:val="24"/>
          <w:szCs w:val="24"/>
        </w:rPr>
        <w:t xml:space="preserve"> for longer stays in the ICU</w:t>
      </w:r>
      <w:r w:rsidR="00D87B9D" w:rsidRPr="004E79AD">
        <w:rPr>
          <w:rFonts w:ascii="Book Antiqua" w:hAnsi="Book Antiqua" w:cs="Times New Roman"/>
          <w:sz w:val="24"/>
          <w:szCs w:val="24"/>
        </w:rPr>
        <w:t xml:space="preserve"> (OR: 2.67, 95%</w:t>
      </w:r>
      <w:r w:rsidR="00C85A03" w:rsidRPr="004E79AD">
        <w:rPr>
          <w:rFonts w:ascii="Book Antiqua" w:hAnsi="Book Antiqua" w:cs="Times New Roman"/>
          <w:sz w:val="24"/>
          <w:szCs w:val="24"/>
        </w:rPr>
        <w:t>CI</w:t>
      </w:r>
      <w:r w:rsidR="00D87B9D" w:rsidRPr="004E79AD">
        <w:rPr>
          <w:rFonts w:ascii="Book Antiqua" w:hAnsi="Book Antiqua" w:cs="Times New Roman"/>
          <w:sz w:val="24"/>
          <w:szCs w:val="24"/>
        </w:rPr>
        <w:t>:</w:t>
      </w:r>
      <w:r w:rsidR="00C85A03" w:rsidRPr="004E79AD">
        <w:rPr>
          <w:rFonts w:ascii="Book Antiqua" w:hAnsi="Book Antiqua" w:cs="Times New Roman"/>
          <w:sz w:val="24"/>
          <w:szCs w:val="24"/>
        </w:rPr>
        <w:t xml:space="preserve"> 1.81-3.93, </w:t>
      </w:r>
      <w:r w:rsidR="00C85A03" w:rsidRPr="004E79AD">
        <w:rPr>
          <w:rFonts w:ascii="Book Antiqua" w:hAnsi="Book Antiqua" w:cs="Times New Roman"/>
          <w:i/>
          <w:caps/>
          <w:sz w:val="24"/>
          <w:szCs w:val="24"/>
        </w:rPr>
        <w:t>p</w:t>
      </w:r>
      <w:r w:rsidR="00C85A03" w:rsidRPr="004E79AD">
        <w:rPr>
          <w:rFonts w:ascii="Book Antiqua" w:hAnsi="Book Antiqua" w:cs="Times New Roman"/>
          <w:sz w:val="24"/>
          <w:szCs w:val="24"/>
        </w:rPr>
        <w:t xml:space="preserve"> &lt;</w:t>
      </w:r>
      <w:r w:rsidR="00D87B9D" w:rsidRPr="004E79AD">
        <w:rPr>
          <w:rFonts w:ascii="Book Antiqua" w:hAnsi="Book Antiqua" w:cs="Times New Roman"/>
          <w:sz w:val="24"/>
          <w:szCs w:val="24"/>
        </w:rPr>
        <w:t xml:space="preserve"> </w:t>
      </w:r>
      <w:r w:rsidR="00C85A03" w:rsidRPr="004E79AD">
        <w:rPr>
          <w:rFonts w:ascii="Book Antiqua" w:hAnsi="Book Antiqua" w:cs="Times New Roman"/>
          <w:sz w:val="24"/>
          <w:szCs w:val="24"/>
        </w:rPr>
        <w:t>0.01)</w:t>
      </w:r>
      <w:r w:rsidR="00D87B9D" w:rsidRPr="004E79AD">
        <w:rPr>
          <w:rFonts w:ascii="Book Antiqua" w:hAnsi="Book Antiqua" w:cs="Times New Roman"/>
          <w:sz w:val="24"/>
          <w:szCs w:val="24"/>
        </w:rPr>
        <w:t>.</w:t>
      </w:r>
    </w:p>
    <w:p w14:paraId="650BE210" w14:textId="77777777" w:rsidR="00D87B9D" w:rsidRPr="004E79AD" w:rsidRDefault="00D87B9D" w:rsidP="004E79AD">
      <w:pPr>
        <w:snapToGrid w:val="0"/>
        <w:spacing w:after="0" w:line="360" w:lineRule="auto"/>
        <w:jc w:val="both"/>
        <w:rPr>
          <w:rFonts w:ascii="Book Antiqua" w:hAnsi="Book Antiqua" w:cs="Times New Roman"/>
          <w:i/>
          <w:sz w:val="24"/>
          <w:szCs w:val="24"/>
        </w:rPr>
      </w:pPr>
    </w:p>
    <w:p w14:paraId="1081AFDF" w14:textId="77777777" w:rsidR="00B51ADB" w:rsidRPr="004E79AD" w:rsidRDefault="00B51ADB"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b/>
          <w:i/>
          <w:sz w:val="24"/>
          <w:szCs w:val="24"/>
        </w:rPr>
        <w:t>Survival</w:t>
      </w:r>
    </w:p>
    <w:p w14:paraId="5A44B95B" w14:textId="6D96C003" w:rsidR="00986BC4" w:rsidRPr="004E79AD" w:rsidRDefault="00904C1D"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 xml:space="preserve">Median follow-up for the </w:t>
      </w:r>
      <w:r w:rsidR="00436514" w:rsidRPr="004E79AD">
        <w:rPr>
          <w:rFonts w:ascii="Book Antiqua" w:hAnsi="Book Antiqua" w:cs="Times New Roman"/>
          <w:sz w:val="24"/>
          <w:szCs w:val="24"/>
        </w:rPr>
        <w:t xml:space="preserve">entire cohort was 20 </w:t>
      </w:r>
      <w:proofErr w:type="spellStart"/>
      <w:proofErr w:type="gramStart"/>
      <w:r w:rsidR="00436514" w:rsidRPr="004E79AD">
        <w:rPr>
          <w:rFonts w:ascii="Book Antiqua" w:hAnsi="Book Antiqua" w:cs="Times New Roman"/>
          <w:sz w:val="24"/>
          <w:szCs w:val="24"/>
        </w:rPr>
        <w:t>mo</w:t>
      </w:r>
      <w:proofErr w:type="spellEnd"/>
      <w:proofErr w:type="gramEnd"/>
      <w:r w:rsidR="00D87B9D" w:rsidRPr="004E79AD">
        <w:rPr>
          <w:rFonts w:ascii="Book Antiqua" w:hAnsi="Book Antiqua" w:cs="Times New Roman"/>
          <w:sz w:val="24"/>
          <w:szCs w:val="24"/>
        </w:rPr>
        <w:t xml:space="preserve"> </w:t>
      </w:r>
      <w:r w:rsidR="004E79AD" w:rsidRPr="004E79AD">
        <w:rPr>
          <w:rFonts w:ascii="Book Antiqua" w:hAnsi="Book Antiqua" w:cs="Times New Roman"/>
          <w:sz w:val="24"/>
          <w:szCs w:val="24"/>
        </w:rPr>
        <w:t>(</w:t>
      </w:r>
      <w:r w:rsidR="00436514" w:rsidRPr="004E79AD">
        <w:rPr>
          <w:rFonts w:ascii="Book Antiqua" w:hAnsi="Book Antiqua" w:cs="Times New Roman"/>
          <w:sz w:val="24"/>
          <w:szCs w:val="24"/>
        </w:rPr>
        <w:t>IQR</w:t>
      </w:r>
      <w:r w:rsidR="00D87B9D" w:rsidRPr="004E79AD">
        <w:rPr>
          <w:rFonts w:ascii="Book Antiqua" w:hAnsi="Book Antiqua" w:cs="Times New Roman"/>
          <w:sz w:val="24"/>
          <w:szCs w:val="24"/>
        </w:rPr>
        <w:t>: 8-</w:t>
      </w:r>
      <w:r w:rsidR="00436514" w:rsidRPr="004E79AD">
        <w:rPr>
          <w:rFonts w:ascii="Book Antiqua" w:hAnsi="Book Antiqua" w:cs="Times New Roman"/>
          <w:sz w:val="24"/>
          <w:szCs w:val="24"/>
        </w:rPr>
        <w:t>39</w:t>
      </w:r>
      <w:r w:rsidR="004E79AD" w:rsidRPr="004E79AD">
        <w:rPr>
          <w:rFonts w:ascii="Book Antiqua" w:hAnsi="Book Antiqua" w:cs="Times New Roman"/>
          <w:sz w:val="24"/>
          <w:szCs w:val="24"/>
        </w:rPr>
        <w:t>)</w:t>
      </w:r>
      <w:r w:rsidR="00436514" w:rsidRPr="004E79AD">
        <w:rPr>
          <w:rFonts w:ascii="Book Antiqua" w:hAnsi="Book Antiqua" w:cs="Times New Roman"/>
          <w:sz w:val="24"/>
          <w:szCs w:val="24"/>
        </w:rPr>
        <w:t xml:space="preserve">. </w:t>
      </w:r>
      <w:r w:rsidR="00B51ADB" w:rsidRPr="004E79AD">
        <w:rPr>
          <w:rFonts w:ascii="Book Antiqua" w:hAnsi="Book Antiqua" w:cs="Times New Roman"/>
          <w:sz w:val="24"/>
          <w:szCs w:val="24"/>
        </w:rPr>
        <w:t xml:space="preserve">On unadjusted Kaplan-Meier analysis of OS, there was no difference between open and closed HIPEC (Figure </w:t>
      </w:r>
      <w:r w:rsidR="007173DE" w:rsidRPr="004E79AD">
        <w:rPr>
          <w:rFonts w:ascii="Book Antiqua" w:hAnsi="Book Antiqua" w:cs="Times New Roman"/>
          <w:sz w:val="24"/>
          <w:szCs w:val="24"/>
        </w:rPr>
        <w:t>2</w:t>
      </w:r>
      <w:r w:rsidR="00D87B9D" w:rsidRPr="004E79AD">
        <w:rPr>
          <w:rFonts w:ascii="Book Antiqua" w:hAnsi="Book Antiqua" w:cs="Times New Roman"/>
          <w:sz w:val="24"/>
          <w:szCs w:val="24"/>
        </w:rPr>
        <w:t>A</w:t>
      </w:r>
      <w:r w:rsidR="00B51ADB" w:rsidRPr="004E79AD">
        <w:rPr>
          <w:rFonts w:ascii="Book Antiqua" w:hAnsi="Book Antiqua" w:cs="Times New Roman"/>
          <w:sz w:val="24"/>
          <w:szCs w:val="24"/>
        </w:rPr>
        <w:t xml:space="preserve">). Median OS for the open HIPEC group was 85 </w:t>
      </w:r>
      <w:proofErr w:type="spellStart"/>
      <w:r w:rsidR="00B51ADB" w:rsidRPr="004E79AD">
        <w:rPr>
          <w:rFonts w:ascii="Book Antiqua" w:hAnsi="Book Antiqua" w:cs="Times New Roman"/>
          <w:sz w:val="24"/>
          <w:szCs w:val="24"/>
        </w:rPr>
        <w:t>mo</w:t>
      </w:r>
      <w:proofErr w:type="spellEnd"/>
      <w:r w:rsidR="00B51ADB" w:rsidRPr="004E79AD">
        <w:rPr>
          <w:rFonts w:ascii="Book Antiqua" w:hAnsi="Book Antiqua" w:cs="Times New Roman"/>
          <w:sz w:val="24"/>
          <w:szCs w:val="24"/>
        </w:rPr>
        <w:t xml:space="preserve"> and 73 </w:t>
      </w:r>
      <w:proofErr w:type="spellStart"/>
      <w:r w:rsidR="00B51ADB" w:rsidRPr="004E79AD">
        <w:rPr>
          <w:rFonts w:ascii="Book Antiqua" w:hAnsi="Book Antiqua" w:cs="Times New Roman"/>
          <w:sz w:val="24"/>
          <w:szCs w:val="24"/>
        </w:rPr>
        <w:t>mo</w:t>
      </w:r>
      <w:proofErr w:type="spellEnd"/>
      <w:r w:rsidR="00B51ADB" w:rsidRPr="004E79AD">
        <w:rPr>
          <w:rFonts w:ascii="Book Antiqua" w:hAnsi="Book Antiqua" w:cs="Times New Roman"/>
          <w:sz w:val="24"/>
          <w:szCs w:val="24"/>
        </w:rPr>
        <w:t xml:space="preserve"> for the closed HIPEC group (log-rank </w:t>
      </w:r>
      <w:r w:rsidR="00B51ADB" w:rsidRPr="004E79AD">
        <w:rPr>
          <w:rFonts w:ascii="Book Antiqua" w:hAnsi="Book Antiqua" w:cs="Times New Roman"/>
          <w:i/>
          <w:caps/>
          <w:sz w:val="24"/>
          <w:szCs w:val="24"/>
        </w:rPr>
        <w:t>p</w:t>
      </w:r>
      <w:r w:rsidR="00B51ADB" w:rsidRPr="004E79AD">
        <w:rPr>
          <w:rFonts w:ascii="Book Antiqua" w:hAnsi="Book Antiqua" w:cs="Times New Roman"/>
          <w:sz w:val="24"/>
          <w:szCs w:val="24"/>
        </w:rPr>
        <w:t xml:space="preserve"> = 0.80). For RFS, patients undergoing open HIPEC did better with a median RFS of 92 </w:t>
      </w:r>
      <w:proofErr w:type="spellStart"/>
      <w:r w:rsidR="00B51ADB" w:rsidRPr="004E79AD">
        <w:rPr>
          <w:rFonts w:ascii="Book Antiqua" w:hAnsi="Book Antiqua" w:cs="Times New Roman"/>
          <w:sz w:val="24"/>
          <w:szCs w:val="24"/>
        </w:rPr>
        <w:t>mo</w:t>
      </w:r>
      <w:proofErr w:type="spellEnd"/>
      <w:r w:rsidR="00B51ADB" w:rsidRPr="004E79AD">
        <w:rPr>
          <w:rFonts w:ascii="Book Antiqua" w:hAnsi="Book Antiqua" w:cs="Times New Roman"/>
          <w:sz w:val="24"/>
          <w:szCs w:val="24"/>
        </w:rPr>
        <w:t xml:space="preserve"> compared to 22 </w:t>
      </w:r>
      <w:proofErr w:type="spellStart"/>
      <w:r w:rsidR="00B51ADB" w:rsidRPr="004E79AD">
        <w:rPr>
          <w:rFonts w:ascii="Book Antiqua" w:hAnsi="Book Antiqua" w:cs="Times New Roman"/>
          <w:sz w:val="24"/>
          <w:szCs w:val="24"/>
        </w:rPr>
        <w:t>mo</w:t>
      </w:r>
      <w:proofErr w:type="spellEnd"/>
      <w:r w:rsidR="00B51ADB" w:rsidRPr="004E79AD">
        <w:rPr>
          <w:rFonts w:ascii="Book Antiqua" w:hAnsi="Book Antiqua" w:cs="Times New Roman"/>
          <w:sz w:val="24"/>
          <w:szCs w:val="24"/>
        </w:rPr>
        <w:t xml:space="preserve"> in the closed HIPEC group (log-rank </w:t>
      </w:r>
      <w:r w:rsidR="00B51ADB" w:rsidRPr="004E79AD">
        <w:rPr>
          <w:rFonts w:ascii="Book Antiqua" w:hAnsi="Book Antiqua" w:cs="Times New Roman"/>
          <w:i/>
          <w:caps/>
          <w:sz w:val="24"/>
          <w:szCs w:val="24"/>
        </w:rPr>
        <w:t>p</w:t>
      </w:r>
      <w:r w:rsidR="00B51ADB" w:rsidRPr="004E79AD">
        <w:rPr>
          <w:rFonts w:ascii="Book Antiqua" w:hAnsi="Book Antiqua" w:cs="Times New Roman"/>
          <w:sz w:val="24"/>
          <w:szCs w:val="24"/>
        </w:rPr>
        <w:t xml:space="preserve"> &lt; 0.01) (Figure </w:t>
      </w:r>
      <w:r w:rsidR="007173DE" w:rsidRPr="004E79AD">
        <w:rPr>
          <w:rFonts w:ascii="Book Antiqua" w:hAnsi="Book Antiqua" w:cs="Times New Roman"/>
          <w:sz w:val="24"/>
          <w:szCs w:val="24"/>
        </w:rPr>
        <w:t>2</w:t>
      </w:r>
      <w:r w:rsidR="00D87B9D" w:rsidRPr="004E79AD">
        <w:rPr>
          <w:rFonts w:ascii="Book Antiqua" w:hAnsi="Book Antiqua" w:cs="Times New Roman"/>
          <w:sz w:val="24"/>
          <w:szCs w:val="24"/>
        </w:rPr>
        <w:t>B</w:t>
      </w:r>
      <w:r w:rsidR="00B51ADB" w:rsidRPr="004E79AD">
        <w:rPr>
          <w:rFonts w:ascii="Book Antiqua" w:hAnsi="Book Antiqua" w:cs="Times New Roman"/>
          <w:sz w:val="24"/>
          <w:szCs w:val="24"/>
        </w:rPr>
        <w:t xml:space="preserve">). In </w:t>
      </w:r>
      <w:r w:rsidR="0099758A" w:rsidRPr="004E79AD">
        <w:rPr>
          <w:rFonts w:ascii="Book Antiqua" w:hAnsi="Book Antiqua" w:cs="Times New Roman"/>
          <w:sz w:val="24"/>
          <w:szCs w:val="24"/>
        </w:rPr>
        <w:t xml:space="preserve">an analysis of </w:t>
      </w:r>
      <w:r w:rsidR="00857A77" w:rsidRPr="004E79AD">
        <w:rPr>
          <w:rFonts w:ascii="Book Antiqua" w:hAnsi="Book Antiqua" w:cs="Times New Roman"/>
          <w:sz w:val="24"/>
          <w:szCs w:val="24"/>
        </w:rPr>
        <w:t xml:space="preserve">the </w:t>
      </w:r>
      <w:r w:rsidR="00154C2D" w:rsidRPr="004E79AD">
        <w:rPr>
          <w:rFonts w:ascii="Book Antiqua" w:hAnsi="Book Antiqua" w:cs="Times New Roman"/>
          <w:sz w:val="24"/>
          <w:szCs w:val="24"/>
        </w:rPr>
        <w:t xml:space="preserve">well-differentiated </w:t>
      </w:r>
      <w:r w:rsidR="0099758A" w:rsidRPr="004E79AD">
        <w:rPr>
          <w:rFonts w:ascii="Book Antiqua" w:hAnsi="Book Antiqua" w:cs="Times New Roman"/>
          <w:sz w:val="24"/>
          <w:szCs w:val="24"/>
        </w:rPr>
        <w:t>appendiceal cancer</w:t>
      </w:r>
      <w:r w:rsidR="00751A33" w:rsidRPr="004E79AD">
        <w:rPr>
          <w:rFonts w:ascii="Book Antiqua" w:hAnsi="Book Antiqua" w:cs="Times New Roman"/>
          <w:sz w:val="24"/>
          <w:szCs w:val="24"/>
        </w:rPr>
        <w:t xml:space="preserve"> subgroup</w:t>
      </w:r>
      <w:r w:rsidR="0099758A" w:rsidRPr="004E79AD">
        <w:rPr>
          <w:rFonts w:ascii="Book Antiqua" w:hAnsi="Book Antiqua" w:cs="Times New Roman"/>
          <w:sz w:val="24"/>
          <w:szCs w:val="24"/>
        </w:rPr>
        <w:t xml:space="preserve"> (</w:t>
      </w:r>
      <w:r w:rsidR="0099758A" w:rsidRPr="004E79AD">
        <w:rPr>
          <w:rFonts w:ascii="Book Antiqua" w:hAnsi="Book Antiqua" w:cs="Times New Roman"/>
          <w:i/>
          <w:sz w:val="24"/>
          <w:szCs w:val="24"/>
        </w:rPr>
        <w:t>n</w:t>
      </w:r>
      <w:r w:rsidR="0099758A" w:rsidRPr="004E79AD">
        <w:rPr>
          <w:rFonts w:ascii="Book Antiqua" w:hAnsi="Book Antiqua" w:cs="Times New Roman"/>
          <w:sz w:val="24"/>
          <w:szCs w:val="24"/>
        </w:rPr>
        <w:t xml:space="preserve"> = </w:t>
      </w:r>
      <w:r w:rsidR="00154C2D" w:rsidRPr="004E79AD">
        <w:rPr>
          <w:rFonts w:ascii="Book Antiqua" w:hAnsi="Book Antiqua" w:cs="Times New Roman"/>
          <w:sz w:val="24"/>
          <w:szCs w:val="24"/>
        </w:rPr>
        <w:t>710</w:t>
      </w:r>
      <w:r w:rsidR="0099758A" w:rsidRPr="004E79AD">
        <w:rPr>
          <w:rFonts w:ascii="Book Antiqua" w:hAnsi="Book Antiqua" w:cs="Times New Roman"/>
          <w:sz w:val="24"/>
          <w:szCs w:val="24"/>
        </w:rPr>
        <w:t>)</w:t>
      </w:r>
      <w:r w:rsidR="00154C2D" w:rsidRPr="004E79AD">
        <w:rPr>
          <w:rFonts w:ascii="Book Antiqua" w:hAnsi="Book Antiqua" w:cs="Times New Roman"/>
          <w:sz w:val="24"/>
          <w:szCs w:val="24"/>
        </w:rPr>
        <w:t xml:space="preserve"> and the moderate to poorly </w:t>
      </w:r>
      <w:r w:rsidR="00154C2D" w:rsidRPr="004E79AD">
        <w:rPr>
          <w:rFonts w:ascii="Book Antiqua" w:hAnsi="Book Antiqua" w:cs="Times New Roman"/>
          <w:sz w:val="24"/>
          <w:szCs w:val="24"/>
        </w:rPr>
        <w:lastRenderedPageBreak/>
        <w:t>differentiated subgroup (</w:t>
      </w:r>
      <w:r w:rsidR="00154C2D" w:rsidRPr="004E79AD">
        <w:rPr>
          <w:rFonts w:ascii="Book Antiqua" w:hAnsi="Book Antiqua" w:cs="Times New Roman"/>
          <w:i/>
          <w:sz w:val="24"/>
          <w:szCs w:val="24"/>
        </w:rPr>
        <w:t>n</w:t>
      </w:r>
      <w:r w:rsidR="00154C2D" w:rsidRPr="004E79AD">
        <w:rPr>
          <w:rFonts w:ascii="Book Antiqua" w:hAnsi="Book Antiqua" w:cs="Times New Roman"/>
          <w:sz w:val="24"/>
          <w:szCs w:val="24"/>
        </w:rPr>
        <w:t xml:space="preserve"> = 290)</w:t>
      </w:r>
      <w:r w:rsidR="0099758A" w:rsidRPr="004E79AD">
        <w:rPr>
          <w:rFonts w:ascii="Book Antiqua" w:hAnsi="Book Antiqua" w:cs="Times New Roman"/>
          <w:sz w:val="24"/>
          <w:szCs w:val="24"/>
        </w:rPr>
        <w:t>, unadjusted OS was not significantly different</w:t>
      </w:r>
      <w:r w:rsidR="00154C2D" w:rsidRPr="004E79AD">
        <w:rPr>
          <w:rFonts w:ascii="Book Antiqua" w:hAnsi="Book Antiqua" w:cs="Times New Roman"/>
          <w:sz w:val="24"/>
          <w:szCs w:val="24"/>
        </w:rPr>
        <w:t xml:space="preserve"> (Figure 2</w:t>
      </w:r>
      <w:r w:rsidR="00D87B9D" w:rsidRPr="004E79AD">
        <w:rPr>
          <w:rFonts w:ascii="Book Antiqua" w:hAnsi="Book Antiqua" w:cs="Times New Roman"/>
          <w:sz w:val="24"/>
          <w:szCs w:val="24"/>
        </w:rPr>
        <w:t>C and E</w:t>
      </w:r>
      <w:r w:rsidR="00154C2D" w:rsidRPr="004E79AD">
        <w:rPr>
          <w:rFonts w:ascii="Book Antiqua" w:hAnsi="Book Antiqua" w:cs="Times New Roman"/>
          <w:sz w:val="24"/>
          <w:szCs w:val="24"/>
        </w:rPr>
        <w:t>)</w:t>
      </w:r>
      <w:r w:rsidR="005A12E6" w:rsidRPr="004E79AD">
        <w:rPr>
          <w:rFonts w:ascii="Book Antiqua" w:hAnsi="Book Antiqua" w:cs="Times New Roman"/>
          <w:sz w:val="24"/>
          <w:szCs w:val="24"/>
        </w:rPr>
        <w:t>,</w:t>
      </w:r>
      <w:r w:rsidR="0099758A" w:rsidRPr="004E79AD">
        <w:rPr>
          <w:rFonts w:ascii="Book Antiqua" w:hAnsi="Book Antiqua" w:cs="Times New Roman"/>
          <w:sz w:val="24"/>
          <w:szCs w:val="24"/>
        </w:rPr>
        <w:t xml:space="preserve"> </w:t>
      </w:r>
      <w:r w:rsidR="00751A33" w:rsidRPr="004E79AD">
        <w:rPr>
          <w:rFonts w:ascii="Book Antiqua" w:hAnsi="Book Antiqua" w:cs="Times New Roman"/>
          <w:sz w:val="24"/>
          <w:szCs w:val="24"/>
        </w:rPr>
        <w:t>however, the</w:t>
      </w:r>
      <w:r w:rsidR="00857A77" w:rsidRPr="004E79AD">
        <w:rPr>
          <w:rFonts w:ascii="Book Antiqua" w:hAnsi="Book Antiqua" w:cs="Times New Roman"/>
          <w:sz w:val="24"/>
          <w:szCs w:val="24"/>
        </w:rPr>
        <w:t xml:space="preserve"> </w:t>
      </w:r>
      <w:r w:rsidR="0099758A" w:rsidRPr="004E79AD">
        <w:rPr>
          <w:rFonts w:ascii="Book Antiqua" w:hAnsi="Book Antiqua" w:cs="Times New Roman"/>
          <w:sz w:val="24"/>
          <w:szCs w:val="24"/>
        </w:rPr>
        <w:t xml:space="preserve">RFS </w:t>
      </w:r>
      <w:r w:rsidR="00751A33" w:rsidRPr="004E79AD">
        <w:rPr>
          <w:rFonts w:ascii="Book Antiqua" w:hAnsi="Book Antiqua" w:cs="Times New Roman"/>
          <w:sz w:val="24"/>
          <w:szCs w:val="24"/>
        </w:rPr>
        <w:t>was</w:t>
      </w:r>
      <w:r w:rsidR="0099758A" w:rsidRPr="004E79AD">
        <w:rPr>
          <w:rFonts w:ascii="Book Antiqua" w:hAnsi="Book Antiqua" w:cs="Times New Roman"/>
          <w:sz w:val="24"/>
          <w:szCs w:val="24"/>
        </w:rPr>
        <w:t xml:space="preserve"> significantly better in the open HIPEC group</w:t>
      </w:r>
      <w:r w:rsidR="00154C2D" w:rsidRPr="004E79AD">
        <w:rPr>
          <w:rFonts w:ascii="Book Antiqua" w:hAnsi="Book Antiqua" w:cs="Times New Roman"/>
          <w:sz w:val="24"/>
          <w:szCs w:val="24"/>
        </w:rPr>
        <w:t xml:space="preserve"> for the moderate to poorly differentiated tumors </w:t>
      </w:r>
      <w:r w:rsidR="0099758A" w:rsidRPr="004E79AD">
        <w:rPr>
          <w:rFonts w:ascii="Book Antiqua" w:hAnsi="Book Antiqua" w:cs="Times New Roman"/>
          <w:sz w:val="24"/>
          <w:szCs w:val="24"/>
        </w:rPr>
        <w:t>(</w:t>
      </w:r>
      <w:r w:rsidR="00986BC4" w:rsidRPr="004E79AD">
        <w:rPr>
          <w:rFonts w:ascii="Book Antiqua" w:hAnsi="Book Antiqua" w:cs="Times New Roman"/>
          <w:sz w:val="24"/>
          <w:szCs w:val="24"/>
        </w:rPr>
        <w:t xml:space="preserve">Figure </w:t>
      </w:r>
      <w:r w:rsidR="007173DE" w:rsidRPr="004E79AD">
        <w:rPr>
          <w:rFonts w:ascii="Book Antiqua" w:hAnsi="Book Antiqua" w:cs="Times New Roman"/>
          <w:sz w:val="24"/>
          <w:szCs w:val="24"/>
        </w:rPr>
        <w:t>2</w:t>
      </w:r>
      <w:r w:rsidR="00D87B9D" w:rsidRPr="004E79AD">
        <w:rPr>
          <w:rFonts w:ascii="Book Antiqua" w:hAnsi="Book Antiqua" w:cs="Times New Roman"/>
          <w:sz w:val="24"/>
          <w:szCs w:val="24"/>
        </w:rPr>
        <w:t>F</w:t>
      </w:r>
      <w:r w:rsidR="00986BC4" w:rsidRPr="004E79AD">
        <w:rPr>
          <w:rFonts w:ascii="Book Antiqua" w:hAnsi="Book Antiqua" w:cs="Times New Roman"/>
          <w:sz w:val="24"/>
          <w:szCs w:val="24"/>
        </w:rPr>
        <w:t>)</w:t>
      </w:r>
      <w:r w:rsidR="0099758A" w:rsidRPr="004E79AD">
        <w:rPr>
          <w:rFonts w:ascii="Book Antiqua" w:hAnsi="Book Antiqua" w:cs="Times New Roman"/>
          <w:sz w:val="24"/>
          <w:szCs w:val="24"/>
        </w:rPr>
        <w:t xml:space="preserve">. </w:t>
      </w:r>
      <w:r w:rsidR="00751A33" w:rsidRPr="004E79AD">
        <w:rPr>
          <w:rFonts w:ascii="Book Antiqua" w:hAnsi="Book Antiqua" w:cs="Times New Roman"/>
          <w:sz w:val="24"/>
          <w:szCs w:val="24"/>
        </w:rPr>
        <w:t>Similarly, f</w:t>
      </w:r>
      <w:r w:rsidR="0099758A" w:rsidRPr="004E79AD">
        <w:rPr>
          <w:rFonts w:ascii="Book Antiqua" w:hAnsi="Book Antiqua" w:cs="Times New Roman"/>
          <w:sz w:val="24"/>
          <w:szCs w:val="24"/>
        </w:rPr>
        <w:t xml:space="preserve">or </w:t>
      </w:r>
      <w:r w:rsidR="007F0C91" w:rsidRPr="004E79AD">
        <w:rPr>
          <w:rFonts w:ascii="Book Antiqua" w:hAnsi="Book Antiqua" w:cs="Times New Roman"/>
          <w:sz w:val="24"/>
          <w:szCs w:val="24"/>
        </w:rPr>
        <w:t xml:space="preserve">the </w:t>
      </w:r>
      <w:r w:rsidR="0099758A" w:rsidRPr="004E79AD">
        <w:rPr>
          <w:rFonts w:ascii="Book Antiqua" w:hAnsi="Book Antiqua" w:cs="Times New Roman"/>
          <w:sz w:val="24"/>
          <w:szCs w:val="24"/>
        </w:rPr>
        <w:t>colorectal cancer</w:t>
      </w:r>
      <w:r w:rsidR="00751A33" w:rsidRPr="004E79AD">
        <w:rPr>
          <w:rFonts w:ascii="Book Antiqua" w:hAnsi="Book Antiqua" w:cs="Times New Roman"/>
          <w:sz w:val="24"/>
          <w:szCs w:val="24"/>
        </w:rPr>
        <w:t xml:space="preserve"> subgroup</w:t>
      </w:r>
      <w:r w:rsidR="0099758A" w:rsidRPr="004E79AD">
        <w:rPr>
          <w:rFonts w:ascii="Book Antiqua" w:hAnsi="Book Antiqua" w:cs="Times New Roman"/>
          <w:sz w:val="24"/>
          <w:szCs w:val="24"/>
        </w:rPr>
        <w:t xml:space="preserve"> (</w:t>
      </w:r>
      <w:r w:rsidR="0099758A" w:rsidRPr="004E79AD">
        <w:rPr>
          <w:rFonts w:ascii="Book Antiqua" w:hAnsi="Book Antiqua" w:cs="Times New Roman"/>
          <w:i/>
          <w:sz w:val="24"/>
          <w:szCs w:val="24"/>
        </w:rPr>
        <w:t>n</w:t>
      </w:r>
      <w:r w:rsidR="0099758A" w:rsidRPr="004E79AD">
        <w:rPr>
          <w:rFonts w:ascii="Book Antiqua" w:hAnsi="Book Antiqua" w:cs="Times New Roman"/>
          <w:sz w:val="24"/>
          <w:szCs w:val="24"/>
        </w:rPr>
        <w:t xml:space="preserve"> = 418), OS was again not significant</w:t>
      </w:r>
      <w:r w:rsidR="00436514" w:rsidRPr="004E79AD">
        <w:rPr>
          <w:rFonts w:ascii="Book Antiqua" w:hAnsi="Book Antiqua" w:cs="Times New Roman"/>
          <w:sz w:val="24"/>
          <w:szCs w:val="24"/>
        </w:rPr>
        <w:t>ly different</w:t>
      </w:r>
      <w:r w:rsidR="0099758A" w:rsidRPr="004E79AD">
        <w:rPr>
          <w:rFonts w:ascii="Book Antiqua" w:hAnsi="Book Antiqua" w:cs="Times New Roman"/>
          <w:sz w:val="24"/>
          <w:szCs w:val="24"/>
        </w:rPr>
        <w:t xml:space="preserve"> between the two groups </w:t>
      </w:r>
      <w:r w:rsidR="00436514" w:rsidRPr="004E79AD">
        <w:rPr>
          <w:rFonts w:ascii="Book Antiqua" w:hAnsi="Book Antiqua" w:cs="Times New Roman"/>
          <w:sz w:val="24"/>
          <w:szCs w:val="24"/>
        </w:rPr>
        <w:t>with better</w:t>
      </w:r>
      <w:r w:rsidR="00154C2D" w:rsidRPr="004E79AD">
        <w:rPr>
          <w:rFonts w:ascii="Book Antiqua" w:hAnsi="Book Antiqua" w:cs="Times New Roman"/>
          <w:sz w:val="24"/>
          <w:szCs w:val="24"/>
        </w:rPr>
        <w:t xml:space="preserve"> RFS in the open group</w:t>
      </w:r>
      <w:r w:rsidR="00986BC4" w:rsidRPr="004E79AD">
        <w:rPr>
          <w:rFonts w:ascii="Book Antiqua" w:hAnsi="Book Antiqua" w:cs="Times New Roman"/>
          <w:sz w:val="24"/>
          <w:szCs w:val="24"/>
        </w:rPr>
        <w:t xml:space="preserve"> (Figure </w:t>
      </w:r>
      <w:r w:rsidR="007173DE" w:rsidRPr="004E79AD">
        <w:rPr>
          <w:rFonts w:ascii="Book Antiqua" w:hAnsi="Book Antiqua" w:cs="Times New Roman"/>
          <w:sz w:val="24"/>
          <w:szCs w:val="24"/>
        </w:rPr>
        <w:t>2</w:t>
      </w:r>
      <w:r w:rsidR="00D87B9D" w:rsidRPr="004E79AD">
        <w:rPr>
          <w:rFonts w:ascii="Book Antiqua" w:hAnsi="Book Antiqua" w:cs="Times New Roman"/>
          <w:sz w:val="24"/>
          <w:szCs w:val="24"/>
        </w:rPr>
        <w:t>G and H</w:t>
      </w:r>
      <w:r w:rsidR="00986BC4" w:rsidRPr="004E79AD">
        <w:rPr>
          <w:rFonts w:ascii="Book Antiqua" w:hAnsi="Book Antiqua" w:cs="Times New Roman"/>
          <w:sz w:val="24"/>
          <w:szCs w:val="24"/>
        </w:rPr>
        <w:t>)</w:t>
      </w:r>
      <w:r w:rsidR="0099758A" w:rsidRPr="004E79AD">
        <w:rPr>
          <w:rFonts w:ascii="Book Antiqua" w:hAnsi="Book Antiqua" w:cs="Times New Roman"/>
          <w:sz w:val="24"/>
          <w:szCs w:val="24"/>
        </w:rPr>
        <w:t>.</w:t>
      </w:r>
    </w:p>
    <w:p w14:paraId="1987AC81" w14:textId="52B8001F" w:rsidR="001764E3" w:rsidRPr="004E79AD" w:rsidRDefault="00D20453"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To better understand the impact of HIPEC method on survival, multi</w:t>
      </w:r>
      <w:r w:rsidR="00E5401D" w:rsidRPr="004E79AD">
        <w:rPr>
          <w:rFonts w:ascii="Book Antiqua" w:hAnsi="Book Antiqua" w:cs="Times New Roman"/>
          <w:sz w:val="24"/>
          <w:szCs w:val="24"/>
        </w:rPr>
        <w:t>-variable</w:t>
      </w:r>
      <w:r w:rsidRPr="004E79AD">
        <w:rPr>
          <w:rFonts w:ascii="Book Antiqua" w:hAnsi="Book Antiqua" w:cs="Times New Roman"/>
          <w:sz w:val="24"/>
          <w:szCs w:val="24"/>
        </w:rPr>
        <w:t xml:space="preserve"> Cox proportional regression analysis was done for </w:t>
      </w:r>
      <w:r w:rsidR="00E5401D" w:rsidRPr="004E79AD">
        <w:rPr>
          <w:rFonts w:ascii="Book Antiqua" w:hAnsi="Book Antiqua" w:cs="Times New Roman"/>
          <w:sz w:val="24"/>
          <w:szCs w:val="24"/>
        </w:rPr>
        <w:t>OS</w:t>
      </w:r>
      <w:r w:rsidRPr="004E79AD">
        <w:rPr>
          <w:rFonts w:ascii="Book Antiqua" w:hAnsi="Book Antiqua" w:cs="Times New Roman"/>
          <w:sz w:val="24"/>
          <w:szCs w:val="24"/>
        </w:rPr>
        <w:t xml:space="preserve"> </w:t>
      </w:r>
      <w:r w:rsidR="00E5401D" w:rsidRPr="004E79AD">
        <w:rPr>
          <w:rFonts w:ascii="Book Antiqua" w:hAnsi="Book Antiqua" w:cs="Times New Roman"/>
          <w:sz w:val="24"/>
          <w:szCs w:val="24"/>
        </w:rPr>
        <w:t>of</w:t>
      </w:r>
      <w:r w:rsidRPr="004E79AD">
        <w:rPr>
          <w:rFonts w:ascii="Book Antiqua" w:hAnsi="Book Antiqua" w:cs="Times New Roman"/>
          <w:sz w:val="24"/>
          <w:szCs w:val="24"/>
        </w:rPr>
        <w:t xml:space="preserve"> the entire cohort, appendiceal cohort, and colorectal cohort (</w:t>
      </w:r>
      <w:r w:rsidR="00997C39" w:rsidRPr="004E79AD">
        <w:rPr>
          <w:rFonts w:ascii="Book Antiqua" w:hAnsi="Book Antiqua" w:cs="Times New Roman"/>
          <w:sz w:val="24"/>
          <w:szCs w:val="24"/>
        </w:rPr>
        <w:t>Table</w:t>
      </w:r>
      <w:r w:rsidR="00387BDC" w:rsidRPr="004E79AD">
        <w:rPr>
          <w:rFonts w:ascii="Book Antiqua" w:hAnsi="Book Antiqua" w:cs="Times New Roman"/>
          <w:sz w:val="24"/>
          <w:szCs w:val="24"/>
        </w:rPr>
        <w:t xml:space="preserve"> 2</w:t>
      </w:r>
      <w:r w:rsidRPr="004E79AD">
        <w:rPr>
          <w:rFonts w:ascii="Book Antiqua" w:hAnsi="Book Antiqua" w:cs="Times New Roman"/>
          <w:sz w:val="24"/>
          <w:szCs w:val="24"/>
        </w:rPr>
        <w:t xml:space="preserve">). In all three cohorts, HIPEC method was not an independent predictor for </w:t>
      </w:r>
      <w:r w:rsidR="00E5401D" w:rsidRPr="004E79AD">
        <w:rPr>
          <w:rFonts w:ascii="Book Antiqua" w:hAnsi="Book Antiqua" w:cs="Times New Roman"/>
          <w:sz w:val="24"/>
          <w:szCs w:val="24"/>
        </w:rPr>
        <w:t>OS</w:t>
      </w:r>
      <w:r w:rsidRPr="004E79AD">
        <w:rPr>
          <w:rFonts w:ascii="Book Antiqua" w:hAnsi="Book Antiqua" w:cs="Times New Roman"/>
          <w:sz w:val="24"/>
          <w:szCs w:val="24"/>
        </w:rPr>
        <w:t xml:space="preserve">. </w:t>
      </w:r>
      <w:r w:rsidR="001764E3" w:rsidRPr="004E79AD">
        <w:rPr>
          <w:rFonts w:ascii="Book Antiqua" w:hAnsi="Book Antiqua" w:cs="Times New Roman"/>
          <w:sz w:val="24"/>
          <w:szCs w:val="24"/>
        </w:rPr>
        <w:t xml:space="preserve">Predictors of worse OS in all three </w:t>
      </w:r>
      <w:r w:rsidR="00624238" w:rsidRPr="004E79AD">
        <w:rPr>
          <w:rFonts w:ascii="Book Antiqua" w:hAnsi="Book Antiqua" w:cs="Times New Roman"/>
          <w:sz w:val="24"/>
          <w:szCs w:val="24"/>
        </w:rPr>
        <w:t>cohorts</w:t>
      </w:r>
      <w:r w:rsidR="001764E3" w:rsidRPr="004E79AD">
        <w:rPr>
          <w:rFonts w:ascii="Book Antiqua" w:hAnsi="Book Antiqua" w:cs="Times New Roman"/>
          <w:sz w:val="24"/>
          <w:szCs w:val="24"/>
        </w:rPr>
        <w:t xml:space="preserve"> </w:t>
      </w:r>
      <w:r w:rsidR="00154C2D" w:rsidRPr="004E79AD">
        <w:rPr>
          <w:rFonts w:ascii="Book Antiqua" w:hAnsi="Book Antiqua" w:cs="Times New Roman"/>
          <w:sz w:val="24"/>
          <w:szCs w:val="24"/>
        </w:rPr>
        <w:t>were PCI ≥ 20 and a CC score of 2 or 3.</w:t>
      </w:r>
    </w:p>
    <w:p w14:paraId="04F19F8B" w14:textId="5CBE8610" w:rsidR="001764E3" w:rsidRPr="004E79AD" w:rsidRDefault="001764E3"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Similarly, a multi</w:t>
      </w:r>
      <w:r w:rsidR="00624238" w:rsidRPr="004E79AD">
        <w:rPr>
          <w:rFonts w:ascii="Book Antiqua" w:hAnsi="Book Antiqua" w:cs="Times New Roman"/>
          <w:sz w:val="24"/>
          <w:szCs w:val="24"/>
        </w:rPr>
        <w:t>-variable</w:t>
      </w:r>
      <w:r w:rsidRPr="004E79AD">
        <w:rPr>
          <w:rFonts w:ascii="Book Antiqua" w:hAnsi="Book Antiqua" w:cs="Times New Roman"/>
          <w:sz w:val="24"/>
          <w:szCs w:val="24"/>
        </w:rPr>
        <w:t xml:space="preserve"> regression analysis was done for RFS on the three groups: entire cohort, appendiceal only, and colorectal only (</w:t>
      </w:r>
      <w:r w:rsidR="00997C39" w:rsidRPr="004E79AD">
        <w:rPr>
          <w:rFonts w:ascii="Book Antiqua" w:hAnsi="Book Antiqua" w:cs="Times New Roman"/>
          <w:sz w:val="24"/>
          <w:szCs w:val="24"/>
        </w:rPr>
        <w:t>Tabl</w:t>
      </w:r>
      <w:r w:rsidR="007173DE" w:rsidRPr="004E79AD">
        <w:rPr>
          <w:rFonts w:ascii="Book Antiqua" w:hAnsi="Book Antiqua" w:cs="Times New Roman"/>
          <w:sz w:val="24"/>
          <w:szCs w:val="24"/>
        </w:rPr>
        <w:t>e</w:t>
      </w:r>
      <w:r w:rsidR="00387BDC" w:rsidRPr="004E79AD">
        <w:rPr>
          <w:rFonts w:ascii="Book Antiqua" w:hAnsi="Book Antiqua" w:cs="Times New Roman"/>
          <w:sz w:val="24"/>
          <w:szCs w:val="24"/>
        </w:rPr>
        <w:t xml:space="preserve"> 3</w:t>
      </w:r>
      <w:r w:rsidRPr="004E79AD">
        <w:rPr>
          <w:rFonts w:ascii="Book Antiqua" w:hAnsi="Book Antiqua" w:cs="Times New Roman"/>
          <w:sz w:val="24"/>
          <w:szCs w:val="24"/>
        </w:rPr>
        <w:t>). Again, HIPEC method was found to be an insignificant factor in RFS (entire cohort: HR</w:t>
      </w:r>
      <w:r w:rsidR="00D87B9D" w:rsidRPr="004E79AD">
        <w:rPr>
          <w:rFonts w:ascii="Book Antiqua" w:hAnsi="Book Antiqua" w:cs="Times New Roman"/>
          <w:sz w:val="24"/>
          <w:szCs w:val="24"/>
        </w:rPr>
        <w:t>:</w:t>
      </w:r>
      <w:r w:rsidRPr="004E79AD">
        <w:rPr>
          <w:rFonts w:ascii="Book Antiqua" w:hAnsi="Book Antiqua" w:cs="Times New Roman"/>
          <w:sz w:val="24"/>
          <w:szCs w:val="24"/>
        </w:rPr>
        <w:t xml:space="preserve"> </w:t>
      </w:r>
      <w:r w:rsidR="00154C2D" w:rsidRPr="004E79AD">
        <w:rPr>
          <w:rFonts w:ascii="Book Antiqua" w:hAnsi="Book Antiqua" w:cs="Times New Roman"/>
          <w:sz w:val="24"/>
          <w:szCs w:val="24"/>
        </w:rPr>
        <w:t xml:space="preserve">1.36, </w:t>
      </w:r>
      <w:r w:rsidR="00154C2D" w:rsidRPr="004E79AD">
        <w:rPr>
          <w:rFonts w:ascii="Book Antiqua" w:hAnsi="Book Antiqua" w:cs="Times New Roman"/>
          <w:i/>
          <w:caps/>
          <w:sz w:val="24"/>
          <w:szCs w:val="24"/>
        </w:rPr>
        <w:t>p</w:t>
      </w:r>
      <w:r w:rsidR="00154C2D" w:rsidRPr="004E79AD">
        <w:rPr>
          <w:rFonts w:ascii="Book Antiqua" w:hAnsi="Book Antiqua" w:cs="Times New Roman"/>
          <w:sz w:val="24"/>
          <w:szCs w:val="24"/>
        </w:rPr>
        <w:t xml:space="preserve"> = 0.05</w:t>
      </w:r>
      <w:r w:rsidRPr="004E79AD">
        <w:rPr>
          <w:rFonts w:ascii="Book Antiqua" w:hAnsi="Book Antiqua" w:cs="Times New Roman"/>
          <w:sz w:val="24"/>
          <w:szCs w:val="24"/>
        </w:rPr>
        <w:t>; appendiceal: HR</w:t>
      </w:r>
      <w:r w:rsidR="00D87B9D" w:rsidRPr="004E79AD">
        <w:rPr>
          <w:rFonts w:ascii="Book Antiqua" w:hAnsi="Book Antiqua" w:cs="Times New Roman"/>
          <w:sz w:val="24"/>
          <w:szCs w:val="24"/>
        </w:rPr>
        <w:t>:</w:t>
      </w:r>
      <w:r w:rsidRPr="004E79AD">
        <w:rPr>
          <w:rFonts w:ascii="Book Antiqua" w:hAnsi="Book Antiqua" w:cs="Times New Roman"/>
          <w:sz w:val="24"/>
          <w:szCs w:val="24"/>
        </w:rPr>
        <w:t xml:space="preserve"> </w:t>
      </w:r>
      <w:r w:rsidR="00154C2D" w:rsidRPr="004E79AD">
        <w:rPr>
          <w:rFonts w:ascii="Book Antiqua" w:hAnsi="Book Antiqua" w:cs="Times New Roman"/>
          <w:sz w:val="24"/>
          <w:szCs w:val="24"/>
        </w:rPr>
        <w:t>1.13</w:t>
      </w:r>
      <w:r w:rsidRPr="004E79AD">
        <w:rPr>
          <w:rFonts w:ascii="Book Antiqua" w:hAnsi="Book Antiqua" w:cs="Times New Roman"/>
          <w:sz w:val="24"/>
          <w:szCs w:val="24"/>
        </w:rPr>
        <w:t xml:space="preserve">, </w:t>
      </w:r>
      <w:r w:rsidRPr="004E79AD">
        <w:rPr>
          <w:rFonts w:ascii="Book Antiqua" w:hAnsi="Book Antiqua" w:cs="Times New Roman"/>
          <w:i/>
          <w:caps/>
          <w:sz w:val="24"/>
          <w:szCs w:val="24"/>
        </w:rPr>
        <w:t>p</w:t>
      </w:r>
      <w:r w:rsidRPr="004E79AD">
        <w:rPr>
          <w:rFonts w:ascii="Book Antiqua" w:hAnsi="Book Antiqua" w:cs="Times New Roman"/>
          <w:sz w:val="24"/>
          <w:szCs w:val="24"/>
        </w:rPr>
        <w:t xml:space="preserve"> = 0.</w:t>
      </w:r>
      <w:r w:rsidR="00154C2D" w:rsidRPr="004E79AD">
        <w:rPr>
          <w:rFonts w:ascii="Book Antiqua" w:hAnsi="Book Antiqua" w:cs="Times New Roman"/>
          <w:sz w:val="24"/>
          <w:szCs w:val="24"/>
        </w:rPr>
        <w:t>52</w:t>
      </w:r>
      <w:r w:rsidRPr="004E79AD">
        <w:rPr>
          <w:rFonts w:ascii="Book Antiqua" w:hAnsi="Book Antiqua" w:cs="Times New Roman"/>
          <w:sz w:val="24"/>
          <w:szCs w:val="24"/>
        </w:rPr>
        <w:t>, colorectal: HR</w:t>
      </w:r>
      <w:r w:rsidR="00D87B9D" w:rsidRPr="004E79AD">
        <w:rPr>
          <w:rFonts w:ascii="Book Antiqua" w:hAnsi="Book Antiqua" w:cs="Times New Roman"/>
          <w:sz w:val="24"/>
          <w:szCs w:val="24"/>
        </w:rPr>
        <w:t>:</w:t>
      </w:r>
      <w:r w:rsidRPr="004E79AD">
        <w:rPr>
          <w:rFonts w:ascii="Book Antiqua" w:hAnsi="Book Antiqua" w:cs="Times New Roman"/>
          <w:sz w:val="24"/>
          <w:szCs w:val="24"/>
        </w:rPr>
        <w:t xml:space="preserve"> </w:t>
      </w:r>
      <w:r w:rsidR="00154C2D" w:rsidRPr="004E79AD">
        <w:rPr>
          <w:rFonts w:ascii="Book Antiqua" w:hAnsi="Book Antiqua" w:cs="Times New Roman"/>
          <w:sz w:val="24"/>
          <w:szCs w:val="24"/>
        </w:rPr>
        <w:t>1.75</w:t>
      </w:r>
      <w:r w:rsidRPr="004E79AD">
        <w:rPr>
          <w:rFonts w:ascii="Book Antiqua" w:hAnsi="Book Antiqua" w:cs="Times New Roman"/>
          <w:sz w:val="24"/>
          <w:szCs w:val="24"/>
        </w:rPr>
        <w:t xml:space="preserve">, </w:t>
      </w:r>
      <w:r w:rsidRPr="004E79AD">
        <w:rPr>
          <w:rFonts w:ascii="Book Antiqua" w:hAnsi="Book Antiqua" w:cs="Times New Roman"/>
          <w:i/>
          <w:caps/>
          <w:sz w:val="24"/>
          <w:szCs w:val="24"/>
        </w:rPr>
        <w:t>p</w:t>
      </w:r>
      <w:r w:rsidRPr="004E79AD">
        <w:rPr>
          <w:rFonts w:ascii="Book Antiqua" w:hAnsi="Book Antiqua" w:cs="Times New Roman"/>
          <w:sz w:val="24"/>
          <w:szCs w:val="24"/>
        </w:rPr>
        <w:t xml:space="preserve"> = 0.</w:t>
      </w:r>
      <w:r w:rsidR="00154C2D" w:rsidRPr="004E79AD">
        <w:rPr>
          <w:rFonts w:ascii="Book Antiqua" w:hAnsi="Book Antiqua" w:cs="Times New Roman"/>
          <w:sz w:val="24"/>
          <w:szCs w:val="24"/>
        </w:rPr>
        <w:t>08</w:t>
      </w:r>
      <w:r w:rsidRPr="004E79AD">
        <w:rPr>
          <w:rFonts w:ascii="Book Antiqua" w:hAnsi="Book Antiqua" w:cs="Times New Roman"/>
          <w:sz w:val="24"/>
          <w:szCs w:val="24"/>
        </w:rPr>
        <w:t xml:space="preserve">). Predictors of worse </w:t>
      </w:r>
      <w:r w:rsidR="00E76090" w:rsidRPr="004E79AD">
        <w:rPr>
          <w:rFonts w:ascii="Book Antiqua" w:hAnsi="Book Antiqua" w:cs="Times New Roman"/>
          <w:sz w:val="24"/>
          <w:szCs w:val="24"/>
        </w:rPr>
        <w:t>RFS</w:t>
      </w:r>
      <w:r w:rsidRPr="004E79AD">
        <w:rPr>
          <w:rFonts w:ascii="Book Antiqua" w:hAnsi="Book Antiqua" w:cs="Times New Roman"/>
          <w:sz w:val="24"/>
          <w:szCs w:val="24"/>
        </w:rPr>
        <w:t xml:space="preserve"> in the </w:t>
      </w:r>
      <w:r w:rsidR="00624238" w:rsidRPr="004E79AD">
        <w:rPr>
          <w:rFonts w:ascii="Book Antiqua" w:hAnsi="Book Antiqua" w:cs="Times New Roman"/>
          <w:sz w:val="24"/>
          <w:szCs w:val="24"/>
        </w:rPr>
        <w:t>entire cohort</w:t>
      </w:r>
      <w:r w:rsidRPr="004E79AD">
        <w:rPr>
          <w:rFonts w:ascii="Book Antiqua" w:hAnsi="Book Antiqua" w:cs="Times New Roman"/>
          <w:sz w:val="24"/>
          <w:szCs w:val="24"/>
        </w:rPr>
        <w:t xml:space="preserve"> </w:t>
      </w:r>
      <w:r w:rsidR="00154C2D" w:rsidRPr="004E79AD">
        <w:rPr>
          <w:rFonts w:ascii="Book Antiqua" w:hAnsi="Book Antiqua" w:cs="Times New Roman"/>
          <w:sz w:val="24"/>
          <w:szCs w:val="24"/>
        </w:rPr>
        <w:t>were previous CRS, colorectal histology, moderate to poor differentiation, ASA ≥ 3, PCI ≥ 20, and CC score of 2 or 3</w:t>
      </w:r>
      <w:r w:rsidR="00D87B9D" w:rsidRPr="004E79AD">
        <w:rPr>
          <w:rFonts w:ascii="Book Antiqua" w:hAnsi="Book Antiqua" w:cs="Times New Roman"/>
          <w:sz w:val="24"/>
          <w:szCs w:val="24"/>
        </w:rPr>
        <w:t>.</w:t>
      </w:r>
    </w:p>
    <w:p w14:paraId="53731D7B" w14:textId="77777777" w:rsidR="00D87B9D" w:rsidRPr="004E79AD" w:rsidRDefault="00D87B9D" w:rsidP="004E79AD">
      <w:pPr>
        <w:snapToGrid w:val="0"/>
        <w:spacing w:after="0" w:line="360" w:lineRule="auto"/>
        <w:jc w:val="both"/>
        <w:rPr>
          <w:rFonts w:ascii="Book Antiqua" w:hAnsi="Book Antiqua" w:cs="Times New Roman"/>
          <w:b/>
          <w:sz w:val="24"/>
          <w:szCs w:val="24"/>
        </w:rPr>
      </w:pPr>
    </w:p>
    <w:p w14:paraId="44824055" w14:textId="77777777" w:rsidR="001764E3" w:rsidRPr="004E79AD" w:rsidRDefault="001764E3" w:rsidP="004E79AD">
      <w:pPr>
        <w:snapToGrid w:val="0"/>
        <w:spacing w:after="0" w:line="360" w:lineRule="auto"/>
        <w:jc w:val="both"/>
        <w:rPr>
          <w:rFonts w:ascii="Book Antiqua" w:hAnsi="Book Antiqua" w:cs="Times New Roman"/>
          <w:caps/>
          <w:sz w:val="24"/>
          <w:szCs w:val="24"/>
          <w:u w:val="single"/>
        </w:rPr>
      </w:pPr>
      <w:r w:rsidRPr="004E79AD">
        <w:rPr>
          <w:rFonts w:ascii="Book Antiqua" w:hAnsi="Book Antiqua" w:cs="Times New Roman"/>
          <w:b/>
          <w:caps/>
          <w:sz w:val="24"/>
          <w:szCs w:val="24"/>
          <w:u w:val="single"/>
        </w:rPr>
        <w:t>Discussion</w:t>
      </w:r>
    </w:p>
    <w:p w14:paraId="53EAD67E" w14:textId="2C463B06" w:rsidR="001764E3" w:rsidRPr="004E79AD" w:rsidRDefault="001764E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The optimal method for HIPEC admin</w:t>
      </w:r>
      <w:r w:rsidR="001C0899" w:rsidRPr="004E79AD">
        <w:rPr>
          <w:rFonts w:ascii="Book Antiqua" w:hAnsi="Book Antiqua" w:cs="Times New Roman"/>
          <w:sz w:val="24"/>
          <w:szCs w:val="24"/>
        </w:rPr>
        <w:t xml:space="preserve">istration has </w:t>
      </w:r>
      <w:r w:rsidR="00E76090" w:rsidRPr="004E79AD">
        <w:rPr>
          <w:rFonts w:ascii="Book Antiqua" w:hAnsi="Book Antiqua" w:cs="Times New Roman"/>
          <w:sz w:val="24"/>
          <w:szCs w:val="24"/>
        </w:rPr>
        <w:t xml:space="preserve">long </w:t>
      </w:r>
      <w:r w:rsidR="001C0899" w:rsidRPr="004E79AD">
        <w:rPr>
          <w:rFonts w:ascii="Book Antiqua" w:hAnsi="Book Antiqua" w:cs="Times New Roman"/>
          <w:sz w:val="24"/>
          <w:szCs w:val="24"/>
        </w:rPr>
        <w:t xml:space="preserve">been debated </w:t>
      </w:r>
      <w:r w:rsidR="00117C36" w:rsidRPr="004E79AD">
        <w:rPr>
          <w:rFonts w:ascii="Book Antiqua" w:hAnsi="Book Antiqua" w:cs="Times New Roman"/>
          <w:sz w:val="24"/>
          <w:szCs w:val="24"/>
        </w:rPr>
        <w:t>without a clear answer</w:t>
      </w:r>
      <w:r w:rsidR="001C0899" w:rsidRPr="004E79AD">
        <w:rPr>
          <w:rFonts w:ascii="Book Antiqua" w:hAnsi="Book Antiqua" w:cs="Times New Roman"/>
          <w:sz w:val="24"/>
          <w:szCs w:val="24"/>
        </w:rPr>
        <w:t xml:space="preserve">. This study is the first to </w:t>
      </w:r>
      <w:r w:rsidR="00412CEF" w:rsidRPr="004E79AD">
        <w:rPr>
          <w:rFonts w:ascii="Book Antiqua" w:hAnsi="Book Antiqua" w:cs="Times New Roman"/>
          <w:sz w:val="24"/>
          <w:szCs w:val="24"/>
        </w:rPr>
        <w:t xml:space="preserve">directly </w:t>
      </w:r>
      <w:r w:rsidR="001C0899" w:rsidRPr="004E79AD">
        <w:rPr>
          <w:rFonts w:ascii="Book Antiqua" w:hAnsi="Book Antiqua" w:cs="Times New Roman"/>
          <w:sz w:val="24"/>
          <w:szCs w:val="24"/>
        </w:rPr>
        <w:t xml:space="preserve">compare both </w:t>
      </w:r>
      <w:r w:rsidR="00C85A03" w:rsidRPr="004E79AD">
        <w:rPr>
          <w:rFonts w:ascii="Book Antiqua" w:hAnsi="Book Antiqua" w:cs="Times New Roman"/>
          <w:sz w:val="24"/>
          <w:szCs w:val="24"/>
        </w:rPr>
        <w:t>post-o</w:t>
      </w:r>
      <w:r w:rsidR="001C0899" w:rsidRPr="004E79AD">
        <w:rPr>
          <w:rFonts w:ascii="Book Antiqua" w:hAnsi="Book Antiqua" w:cs="Times New Roman"/>
          <w:sz w:val="24"/>
          <w:szCs w:val="24"/>
        </w:rPr>
        <w:t>perative and long-term survival outcomes between these two methods</w:t>
      </w:r>
      <w:r w:rsidR="00117C36" w:rsidRPr="004E79AD">
        <w:rPr>
          <w:rFonts w:ascii="Book Antiqua" w:hAnsi="Book Antiqua" w:cs="Times New Roman"/>
          <w:sz w:val="24"/>
          <w:szCs w:val="24"/>
        </w:rPr>
        <w:t xml:space="preserve"> in a large cohort of patients</w:t>
      </w:r>
      <w:r w:rsidR="00751A33" w:rsidRPr="004E79AD">
        <w:rPr>
          <w:rFonts w:ascii="Book Antiqua" w:hAnsi="Book Antiqua" w:cs="Times New Roman"/>
          <w:sz w:val="24"/>
          <w:szCs w:val="24"/>
        </w:rPr>
        <w:t xml:space="preserve"> across multiple institutions</w:t>
      </w:r>
      <w:r w:rsidR="001C0899" w:rsidRPr="004E79AD">
        <w:rPr>
          <w:rFonts w:ascii="Book Antiqua" w:hAnsi="Book Antiqua" w:cs="Times New Roman"/>
          <w:sz w:val="24"/>
          <w:szCs w:val="24"/>
        </w:rPr>
        <w:t>. We have demonstrated that in this mixed histological cohort, HIPEC method has little, if any, impact on p</w:t>
      </w:r>
      <w:r w:rsidR="00751A33" w:rsidRPr="004E79AD">
        <w:rPr>
          <w:rFonts w:ascii="Book Antiqua" w:hAnsi="Book Antiqua" w:cs="Times New Roman"/>
          <w:sz w:val="24"/>
          <w:szCs w:val="24"/>
        </w:rPr>
        <w:t>ost</w:t>
      </w:r>
      <w:r w:rsidR="009532B9" w:rsidRPr="004E79AD">
        <w:rPr>
          <w:rFonts w:ascii="Book Antiqua" w:hAnsi="Book Antiqua" w:cs="Times New Roman"/>
          <w:sz w:val="24"/>
          <w:szCs w:val="24"/>
        </w:rPr>
        <w:t>-</w:t>
      </w:r>
      <w:r w:rsidR="001C0899" w:rsidRPr="004E79AD">
        <w:rPr>
          <w:rFonts w:ascii="Book Antiqua" w:hAnsi="Book Antiqua" w:cs="Times New Roman"/>
          <w:sz w:val="24"/>
          <w:szCs w:val="24"/>
        </w:rPr>
        <w:t xml:space="preserve">operative outcomes. </w:t>
      </w:r>
      <w:r w:rsidR="00117C36" w:rsidRPr="004E79AD">
        <w:rPr>
          <w:rFonts w:ascii="Book Antiqua" w:hAnsi="Book Antiqua" w:cs="Times New Roman"/>
          <w:sz w:val="24"/>
          <w:szCs w:val="24"/>
        </w:rPr>
        <w:t>Additionally, we have shown</w:t>
      </w:r>
      <w:r w:rsidR="00624238" w:rsidRPr="004E79AD">
        <w:rPr>
          <w:rFonts w:ascii="Book Antiqua" w:hAnsi="Book Antiqua" w:cs="Times New Roman"/>
          <w:sz w:val="24"/>
          <w:szCs w:val="24"/>
        </w:rPr>
        <w:t xml:space="preserve"> that</w:t>
      </w:r>
      <w:r w:rsidR="001C0899" w:rsidRPr="004E79AD">
        <w:rPr>
          <w:rFonts w:ascii="Book Antiqua" w:hAnsi="Book Antiqua" w:cs="Times New Roman"/>
          <w:sz w:val="24"/>
          <w:szCs w:val="24"/>
        </w:rPr>
        <w:t xml:space="preserve"> after accounting for significant confounding variables, HIPEC method did not impact overall </w:t>
      </w:r>
      <w:r w:rsidR="00117C36" w:rsidRPr="004E79AD">
        <w:rPr>
          <w:rFonts w:ascii="Book Antiqua" w:hAnsi="Book Antiqua" w:cs="Times New Roman"/>
          <w:sz w:val="24"/>
          <w:szCs w:val="24"/>
        </w:rPr>
        <w:t>or recurrence free survival for</w:t>
      </w:r>
      <w:r w:rsidR="001C0899" w:rsidRPr="004E79AD">
        <w:rPr>
          <w:rFonts w:ascii="Book Antiqua" w:hAnsi="Book Antiqua" w:cs="Times New Roman"/>
          <w:sz w:val="24"/>
          <w:szCs w:val="24"/>
        </w:rPr>
        <w:t xml:space="preserve"> the entire group, as well </w:t>
      </w:r>
      <w:r w:rsidR="00412CEF" w:rsidRPr="004E79AD">
        <w:rPr>
          <w:rFonts w:ascii="Book Antiqua" w:hAnsi="Book Antiqua" w:cs="Times New Roman"/>
          <w:sz w:val="24"/>
          <w:szCs w:val="24"/>
        </w:rPr>
        <w:t xml:space="preserve">as </w:t>
      </w:r>
      <w:r w:rsidR="00117C36" w:rsidRPr="004E79AD">
        <w:rPr>
          <w:rFonts w:ascii="Book Antiqua" w:hAnsi="Book Antiqua" w:cs="Times New Roman"/>
          <w:sz w:val="24"/>
          <w:szCs w:val="24"/>
        </w:rPr>
        <w:t>having no impact on</w:t>
      </w:r>
      <w:r w:rsidR="001C0899" w:rsidRPr="004E79AD">
        <w:rPr>
          <w:rFonts w:ascii="Book Antiqua" w:hAnsi="Book Antiqua" w:cs="Times New Roman"/>
          <w:sz w:val="24"/>
          <w:szCs w:val="24"/>
        </w:rPr>
        <w:t xml:space="preserve"> survival in the appendiceal and the colorectal subgroups. </w:t>
      </w:r>
      <w:r w:rsidR="00B92784" w:rsidRPr="004E79AD">
        <w:rPr>
          <w:rFonts w:ascii="Book Antiqua" w:hAnsi="Book Antiqua" w:cs="Times New Roman"/>
          <w:sz w:val="24"/>
          <w:szCs w:val="24"/>
        </w:rPr>
        <w:t>Therefore</w:t>
      </w:r>
      <w:r w:rsidR="00117C36" w:rsidRPr="004E79AD">
        <w:rPr>
          <w:rFonts w:ascii="Book Antiqua" w:hAnsi="Book Antiqua" w:cs="Times New Roman"/>
          <w:sz w:val="24"/>
          <w:szCs w:val="24"/>
        </w:rPr>
        <w:t>,</w:t>
      </w:r>
      <w:r w:rsidR="001C0899" w:rsidRPr="004E79AD">
        <w:rPr>
          <w:rFonts w:ascii="Book Antiqua" w:hAnsi="Book Antiqua" w:cs="Times New Roman"/>
          <w:sz w:val="24"/>
          <w:szCs w:val="24"/>
        </w:rPr>
        <w:t xml:space="preserve"> </w:t>
      </w:r>
      <w:r w:rsidR="002A1F88" w:rsidRPr="004E79AD">
        <w:rPr>
          <w:rFonts w:ascii="Book Antiqua" w:hAnsi="Book Antiqua" w:cs="Times New Roman"/>
          <w:sz w:val="24"/>
          <w:szCs w:val="24"/>
        </w:rPr>
        <w:t>the method</w:t>
      </w:r>
      <w:r w:rsidR="00B92784" w:rsidRPr="004E79AD">
        <w:rPr>
          <w:rFonts w:ascii="Book Antiqua" w:hAnsi="Book Antiqua" w:cs="Times New Roman"/>
          <w:sz w:val="24"/>
          <w:szCs w:val="24"/>
        </w:rPr>
        <w:t xml:space="preserve"> of </w:t>
      </w:r>
      <w:r w:rsidR="001C0899" w:rsidRPr="004E79AD">
        <w:rPr>
          <w:rFonts w:ascii="Book Antiqua" w:hAnsi="Book Antiqua" w:cs="Times New Roman"/>
          <w:sz w:val="24"/>
          <w:szCs w:val="24"/>
        </w:rPr>
        <w:t xml:space="preserve">HIPEC </w:t>
      </w:r>
      <w:r w:rsidR="00B92784" w:rsidRPr="004E79AD">
        <w:rPr>
          <w:rFonts w:ascii="Book Antiqua" w:hAnsi="Book Antiqua" w:cs="Times New Roman"/>
          <w:sz w:val="24"/>
          <w:szCs w:val="24"/>
        </w:rPr>
        <w:t xml:space="preserve">delivery </w:t>
      </w:r>
      <w:r w:rsidR="00E46C66" w:rsidRPr="004E79AD">
        <w:rPr>
          <w:rFonts w:ascii="Book Antiqua" w:hAnsi="Book Antiqua" w:cs="Times New Roman"/>
          <w:sz w:val="24"/>
          <w:szCs w:val="24"/>
        </w:rPr>
        <w:t>may</w:t>
      </w:r>
      <w:r w:rsidR="001C0899" w:rsidRPr="004E79AD">
        <w:rPr>
          <w:rFonts w:ascii="Book Antiqua" w:hAnsi="Book Antiqua" w:cs="Times New Roman"/>
          <w:sz w:val="24"/>
          <w:szCs w:val="24"/>
        </w:rPr>
        <w:t xml:space="preserve"> be left to the discretion of the operating surgeon as it </w:t>
      </w:r>
      <w:r w:rsidR="00117C36" w:rsidRPr="004E79AD">
        <w:rPr>
          <w:rFonts w:ascii="Book Antiqua" w:hAnsi="Book Antiqua" w:cs="Times New Roman"/>
          <w:sz w:val="24"/>
          <w:szCs w:val="24"/>
        </w:rPr>
        <w:t xml:space="preserve">does not </w:t>
      </w:r>
      <w:r w:rsidR="00117C36" w:rsidRPr="004E79AD">
        <w:rPr>
          <w:rFonts w:ascii="Book Antiqua" w:hAnsi="Book Antiqua" w:cs="Times New Roman"/>
          <w:sz w:val="24"/>
          <w:szCs w:val="24"/>
        </w:rPr>
        <w:lastRenderedPageBreak/>
        <w:t>appear to</w:t>
      </w:r>
      <w:r w:rsidR="00624238" w:rsidRPr="004E79AD">
        <w:rPr>
          <w:rFonts w:ascii="Book Antiqua" w:hAnsi="Book Antiqua" w:cs="Times New Roman"/>
          <w:sz w:val="24"/>
          <w:szCs w:val="24"/>
        </w:rPr>
        <w:t xml:space="preserve"> </w:t>
      </w:r>
      <w:r w:rsidR="00B92784" w:rsidRPr="004E79AD">
        <w:rPr>
          <w:rFonts w:ascii="Book Antiqua" w:hAnsi="Book Antiqua" w:cs="Times New Roman"/>
          <w:sz w:val="24"/>
          <w:szCs w:val="24"/>
        </w:rPr>
        <w:t>significantly influence short- or long-term outcomes</w:t>
      </w:r>
      <w:r w:rsidR="00B025D9" w:rsidRPr="004E79AD">
        <w:rPr>
          <w:rFonts w:ascii="Book Antiqua" w:hAnsi="Book Antiqua" w:cs="Times New Roman"/>
          <w:sz w:val="24"/>
          <w:szCs w:val="24"/>
        </w:rPr>
        <w:t>, though</w:t>
      </w:r>
      <w:r w:rsidR="00E46C66" w:rsidRPr="004E79AD">
        <w:rPr>
          <w:rFonts w:ascii="Book Antiqua" w:hAnsi="Book Antiqua" w:cs="Times New Roman"/>
          <w:sz w:val="24"/>
          <w:szCs w:val="24"/>
        </w:rPr>
        <w:t xml:space="preserve"> there is a growing need to standardize HIPEC technique as we continue to move forward with clinical trials</w:t>
      </w:r>
      <w:r w:rsidR="00117C36" w:rsidRPr="004E79AD">
        <w:rPr>
          <w:rFonts w:ascii="Book Antiqua" w:hAnsi="Book Antiqua" w:cs="Times New Roman"/>
          <w:sz w:val="24"/>
          <w:szCs w:val="24"/>
        </w:rPr>
        <w:t>.</w:t>
      </w:r>
    </w:p>
    <w:p w14:paraId="733382E7" w14:textId="170E9228" w:rsidR="00117C36" w:rsidRPr="004E79AD" w:rsidRDefault="00117C36"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 xml:space="preserve">One of the major arguments for open HIPEC is that </w:t>
      </w:r>
      <w:r w:rsidR="00D24A0C" w:rsidRPr="004E79AD">
        <w:rPr>
          <w:rFonts w:ascii="Book Antiqua" w:hAnsi="Book Antiqua" w:cs="Times New Roman"/>
          <w:sz w:val="24"/>
          <w:szCs w:val="24"/>
        </w:rPr>
        <w:t>it</w:t>
      </w:r>
      <w:r w:rsidRPr="004E79AD">
        <w:rPr>
          <w:rFonts w:ascii="Book Antiqua" w:hAnsi="Book Antiqua" w:cs="Times New Roman"/>
          <w:sz w:val="24"/>
          <w:szCs w:val="24"/>
        </w:rPr>
        <w:t xml:space="preserve"> </w:t>
      </w:r>
      <w:r w:rsidR="00D24A0C" w:rsidRPr="004E79AD">
        <w:rPr>
          <w:rFonts w:ascii="Book Antiqua" w:hAnsi="Book Antiqua" w:cs="Times New Roman"/>
          <w:sz w:val="24"/>
          <w:szCs w:val="24"/>
        </w:rPr>
        <w:t>result</w:t>
      </w:r>
      <w:r w:rsidRPr="004E79AD">
        <w:rPr>
          <w:rFonts w:ascii="Book Antiqua" w:hAnsi="Book Antiqua" w:cs="Times New Roman"/>
          <w:sz w:val="24"/>
          <w:szCs w:val="24"/>
        </w:rPr>
        <w:t>s</w:t>
      </w:r>
      <w:r w:rsidR="00D24A0C" w:rsidRPr="004E79AD">
        <w:rPr>
          <w:rFonts w:ascii="Book Antiqua" w:hAnsi="Book Antiqua" w:cs="Times New Roman"/>
          <w:sz w:val="24"/>
          <w:szCs w:val="24"/>
        </w:rPr>
        <w:t xml:space="preserve"> in</w:t>
      </w:r>
      <w:r w:rsidRPr="004E79AD">
        <w:rPr>
          <w:rFonts w:ascii="Book Antiqua" w:hAnsi="Book Antiqua" w:cs="Times New Roman"/>
          <w:sz w:val="24"/>
          <w:szCs w:val="24"/>
        </w:rPr>
        <w:t xml:space="preserve"> better tissue penetration </w:t>
      </w:r>
      <w:r w:rsidR="00D24A0C" w:rsidRPr="004E79AD">
        <w:rPr>
          <w:rFonts w:ascii="Book Antiqua" w:hAnsi="Book Antiqua" w:cs="Times New Roman"/>
          <w:sz w:val="24"/>
          <w:szCs w:val="24"/>
        </w:rPr>
        <w:t>when compared to</w:t>
      </w:r>
      <w:r w:rsidRPr="004E79AD">
        <w:rPr>
          <w:rFonts w:ascii="Book Antiqua" w:hAnsi="Book Antiqua" w:cs="Times New Roman"/>
          <w:sz w:val="24"/>
          <w:szCs w:val="24"/>
        </w:rPr>
        <w:t xml:space="preserve"> </w:t>
      </w:r>
      <w:proofErr w:type="gramStart"/>
      <w:r w:rsidRPr="004E79AD">
        <w:rPr>
          <w:rFonts w:ascii="Book Antiqua" w:hAnsi="Book Antiqua" w:cs="Times New Roman"/>
          <w:sz w:val="24"/>
          <w:szCs w:val="24"/>
        </w:rPr>
        <w:t>closed</w:t>
      </w:r>
      <w:proofErr w:type="gramEnd"/>
      <w:r w:rsidRPr="004E79AD">
        <w:rPr>
          <w:rFonts w:ascii="Book Antiqua" w:hAnsi="Book Antiqua" w:cs="Times New Roman"/>
          <w:sz w:val="24"/>
          <w:szCs w:val="24"/>
        </w:rPr>
        <w:t xml:space="preserve"> HIPEC. A preclinical study in pigs demonstrated better tissue penetration and higher systemic concentrations </w:t>
      </w:r>
      <w:r w:rsidR="00D24A0C" w:rsidRPr="004E79AD">
        <w:rPr>
          <w:rFonts w:ascii="Book Antiqua" w:hAnsi="Book Antiqua" w:cs="Times New Roman"/>
          <w:sz w:val="24"/>
          <w:szCs w:val="24"/>
        </w:rPr>
        <w:t>with</w:t>
      </w:r>
      <w:r w:rsidRPr="004E79AD">
        <w:rPr>
          <w:rFonts w:ascii="Book Antiqua" w:hAnsi="Book Antiqua" w:cs="Times New Roman"/>
          <w:sz w:val="24"/>
          <w:szCs w:val="24"/>
        </w:rPr>
        <w:t xml:space="preserve"> an open technique</w:t>
      </w:r>
      <w:r w:rsidR="00D87B9D" w:rsidRPr="004E79AD">
        <w:rPr>
          <w:rFonts w:ascii="Book Antiqua" w:hAnsi="Book Antiqua" w:cs="Times New Roman"/>
          <w:sz w:val="24"/>
          <w:szCs w:val="24"/>
        </w:rPr>
        <w:t xml:space="preserve"> compared to a closed </w:t>
      </w:r>
      <w:proofErr w:type="gramStart"/>
      <w:r w:rsidR="00D87B9D" w:rsidRPr="004E79AD">
        <w:rPr>
          <w:rFonts w:ascii="Book Antiqua" w:hAnsi="Book Antiqua" w:cs="Times New Roman"/>
          <w:sz w:val="24"/>
          <w:szCs w:val="24"/>
        </w:rPr>
        <w:t>technique</w:t>
      </w:r>
      <w:r w:rsidR="00932EC8" w:rsidRPr="004E79AD">
        <w:rPr>
          <w:rFonts w:ascii="Book Antiqua" w:hAnsi="Book Antiqua" w:cs="Times New Roman"/>
          <w:noProof/>
          <w:sz w:val="24"/>
          <w:szCs w:val="24"/>
          <w:vertAlign w:val="superscript"/>
        </w:rPr>
        <w:t>[</w:t>
      </w:r>
      <w:proofErr w:type="gramEnd"/>
      <w:r w:rsidR="00932EC8" w:rsidRPr="004E79AD">
        <w:rPr>
          <w:rFonts w:ascii="Book Antiqua" w:hAnsi="Book Antiqua" w:cs="Times New Roman"/>
          <w:noProof/>
          <w:sz w:val="24"/>
          <w:szCs w:val="24"/>
          <w:vertAlign w:val="superscript"/>
        </w:rPr>
        <w:t>1</w:t>
      </w:r>
      <w:r w:rsidR="00E2169C" w:rsidRPr="004E79AD">
        <w:rPr>
          <w:rFonts w:ascii="Book Antiqua" w:hAnsi="Book Antiqua" w:cs="Times New Roman"/>
          <w:noProof/>
          <w:sz w:val="24"/>
          <w:szCs w:val="24"/>
          <w:vertAlign w:val="superscript"/>
        </w:rPr>
        <w:t>3</w:t>
      </w:r>
      <w:r w:rsidR="00932EC8" w:rsidRPr="004E79AD">
        <w:rPr>
          <w:rFonts w:ascii="Book Antiqua" w:hAnsi="Book Antiqua" w:cs="Times New Roman"/>
          <w:noProof/>
          <w:sz w:val="24"/>
          <w:szCs w:val="24"/>
          <w:vertAlign w:val="superscript"/>
        </w:rPr>
        <w:t>]</w:t>
      </w:r>
      <w:r w:rsidRPr="004E79AD">
        <w:rPr>
          <w:rFonts w:ascii="Book Antiqua" w:hAnsi="Book Antiqua" w:cs="Times New Roman"/>
          <w:sz w:val="24"/>
          <w:szCs w:val="24"/>
        </w:rPr>
        <w:t>. A</w:t>
      </w:r>
      <w:r w:rsidR="00EC745D" w:rsidRPr="004E79AD">
        <w:rPr>
          <w:rFonts w:ascii="Book Antiqua" w:hAnsi="Book Antiqua" w:cs="Times New Roman"/>
          <w:sz w:val="24"/>
          <w:szCs w:val="24"/>
        </w:rPr>
        <w:t xml:space="preserve"> second </w:t>
      </w:r>
      <w:r w:rsidRPr="004E79AD">
        <w:rPr>
          <w:rFonts w:ascii="Book Antiqua" w:hAnsi="Book Antiqua" w:cs="Times New Roman"/>
          <w:sz w:val="24"/>
          <w:szCs w:val="24"/>
        </w:rPr>
        <w:t xml:space="preserve">preclinical study from the same group again showed </w:t>
      </w:r>
      <w:r w:rsidR="00D24A0C" w:rsidRPr="004E79AD">
        <w:rPr>
          <w:rFonts w:ascii="Book Antiqua" w:hAnsi="Book Antiqua" w:cs="Times New Roman"/>
          <w:sz w:val="24"/>
          <w:szCs w:val="24"/>
        </w:rPr>
        <w:t xml:space="preserve">a deeper penetration of </w:t>
      </w:r>
      <w:r w:rsidRPr="004E79AD">
        <w:rPr>
          <w:rFonts w:ascii="Book Antiqua" w:hAnsi="Book Antiqua" w:cs="Times New Roman"/>
          <w:sz w:val="24"/>
          <w:szCs w:val="24"/>
        </w:rPr>
        <w:t>oxaliplatin w</w:t>
      </w:r>
      <w:r w:rsidR="00D87B9D" w:rsidRPr="004E79AD">
        <w:rPr>
          <w:rFonts w:ascii="Book Antiqua" w:hAnsi="Book Antiqua" w:cs="Times New Roman"/>
          <w:sz w:val="24"/>
          <w:szCs w:val="24"/>
        </w:rPr>
        <w:t xml:space="preserve">hen the open technique was </w:t>
      </w:r>
      <w:proofErr w:type="gramStart"/>
      <w:r w:rsidR="00D87B9D" w:rsidRPr="004E79AD">
        <w:rPr>
          <w:rFonts w:ascii="Book Antiqua" w:hAnsi="Book Antiqua" w:cs="Times New Roman"/>
          <w:sz w:val="24"/>
          <w:szCs w:val="24"/>
        </w:rPr>
        <w:t>used</w:t>
      </w:r>
      <w:r w:rsidR="00E2169C" w:rsidRPr="004E79AD">
        <w:rPr>
          <w:rFonts w:ascii="Book Antiqua" w:hAnsi="Book Antiqua" w:cs="Times New Roman"/>
          <w:noProof/>
          <w:sz w:val="24"/>
          <w:szCs w:val="24"/>
          <w:vertAlign w:val="superscript"/>
        </w:rPr>
        <w:t>[</w:t>
      </w:r>
      <w:proofErr w:type="gramEnd"/>
      <w:r w:rsidR="00E2169C" w:rsidRPr="004E79AD">
        <w:rPr>
          <w:rFonts w:ascii="Book Antiqua" w:hAnsi="Book Antiqua" w:cs="Times New Roman"/>
          <w:noProof/>
          <w:sz w:val="24"/>
          <w:szCs w:val="24"/>
          <w:vertAlign w:val="superscript"/>
        </w:rPr>
        <w:t>11</w:t>
      </w:r>
      <w:r w:rsidR="00932EC8" w:rsidRPr="004E79AD">
        <w:rPr>
          <w:rFonts w:ascii="Book Antiqua" w:hAnsi="Book Antiqua" w:cs="Times New Roman"/>
          <w:noProof/>
          <w:sz w:val="24"/>
          <w:szCs w:val="24"/>
          <w:vertAlign w:val="superscript"/>
        </w:rPr>
        <w:t>]</w:t>
      </w:r>
      <w:r w:rsidRPr="004E79AD">
        <w:rPr>
          <w:rFonts w:ascii="Book Antiqua" w:hAnsi="Book Antiqua" w:cs="Times New Roman"/>
          <w:sz w:val="24"/>
          <w:szCs w:val="24"/>
        </w:rPr>
        <w:t xml:space="preserve">. </w:t>
      </w:r>
      <w:r w:rsidR="00D24A0C" w:rsidRPr="004E79AD">
        <w:rPr>
          <w:rFonts w:ascii="Book Antiqua" w:hAnsi="Book Antiqua" w:cs="Times New Roman"/>
          <w:sz w:val="24"/>
          <w:szCs w:val="24"/>
        </w:rPr>
        <w:t>Another argument for open HIPEC is the ability for</w:t>
      </w:r>
      <w:r w:rsidR="00D87B9D" w:rsidRPr="004E79AD">
        <w:rPr>
          <w:rFonts w:ascii="Book Antiqua" w:hAnsi="Book Antiqua" w:cs="Times New Roman"/>
          <w:sz w:val="24"/>
          <w:szCs w:val="24"/>
        </w:rPr>
        <w:t xml:space="preserve"> better temperature </w:t>
      </w:r>
      <w:proofErr w:type="gramStart"/>
      <w:r w:rsidR="00D87B9D" w:rsidRPr="004E79AD">
        <w:rPr>
          <w:rFonts w:ascii="Book Antiqua" w:hAnsi="Book Antiqua" w:cs="Times New Roman"/>
          <w:sz w:val="24"/>
          <w:szCs w:val="24"/>
        </w:rPr>
        <w:t>homogeneity</w:t>
      </w:r>
      <w:r w:rsidR="00932EC8" w:rsidRPr="004E79AD">
        <w:rPr>
          <w:rFonts w:ascii="Book Antiqua" w:hAnsi="Book Antiqua" w:cs="Times New Roman"/>
          <w:noProof/>
          <w:sz w:val="24"/>
          <w:szCs w:val="24"/>
          <w:vertAlign w:val="superscript"/>
        </w:rPr>
        <w:t>[</w:t>
      </w:r>
      <w:proofErr w:type="gramEnd"/>
      <w:r w:rsidR="00E2169C" w:rsidRPr="004E79AD">
        <w:rPr>
          <w:rFonts w:ascii="Book Antiqua" w:hAnsi="Book Antiqua" w:cs="Times New Roman"/>
          <w:noProof/>
          <w:sz w:val="24"/>
          <w:szCs w:val="24"/>
          <w:vertAlign w:val="superscript"/>
        </w:rPr>
        <w:t>7</w:t>
      </w:r>
      <w:r w:rsidR="00932EC8" w:rsidRPr="004E79AD">
        <w:rPr>
          <w:rFonts w:ascii="Book Antiqua" w:hAnsi="Book Antiqua" w:cs="Times New Roman"/>
          <w:noProof/>
          <w:sz w:val="24"/>
          <w:szCs w:val="24"/>
          <w:vertAlign w:val="superscript"/>
        </w:rPr>
        <w:t>]</w:t>
      </w:r>
      <w:r w:rsidR="00D24A0C" w:rsidRPr="004E79AD">
        <w:rPr>
          <w:rFonts w:ascii="Book Antiqua" w:hAnsi="Book Antiqua" w:cs="Times New Roman"/>
          <w:sz w:val="24"/>
          <w:szCs w:val="24"/>
        </w:rPr>
        <w:t xml:space="preserve">. On the other </w:t>
      </w:r>
      <w:r w:rsidR="00E76090" w:rsidRPr="004E79AD">
        <w:rPr>
          <w:rFonts w:ascii="Book Antiqua" w:hAnsi="Book Antiqua" w:cs="Times New Roman"/>
          <w:sz w:val="24"/>
          <w:szCs w:val="24"/>
        </w:rPr>
        <w:t>hand</w:t>
      </w:r>
      <w:r w:rsidR="00D24A0C" w:rsidRPr="004E79AD">
        <w:rPr>
          <w:rFonts w:ascii="Book Antiqua" w:hAnsi="Book Antiqua" w:cs="Times New Roman"/>
          <w:sz w:val="24"/>
          <w:szCs w:val="24"/>
        </w:rPr>
        <w:t>, a downside of open HIPEC is achieving and maintaining hyperthermic temperatures given the dissipatio</w:t>
      </w:r>
      <w:r w:rsidR="00D87B9D" w:rsidRPr="004E79AD">
        <w:rPr>
          <w:rFonts w:ascii="Book Antiqua" w:hAnsi="Book Antiqua" w:cs="Times New Roman"/>
          <w:sz w:val="24"/>
          <w:szCs w:val="24"/>
        </w:rPr>
        <w:t xml:space="preserve">n of heat from the open </w:t>
      </w:r>
      <w:proofErr w:type="gramStart"/>
      <w:r w:rsidR="00D87B9D" w:rsidRPr="004E79AD">
        <w:rPr>
          <w:rFonts w:ascii="Book Antiqua" w:hAnsi="Book Antiqua" w:cs="Times New Roman"/>
          <w:sz w:val="24"/>
          <w:szCs w:val="24"/>
        </w:rPr>
        <w:t>abdomen</w:t>
      </w:r>
      <w:r w:rsidR="00E2169C" w:rsidRPr="004E79AD">
        <w:rPr>
          <w:rFonts w:ascii="Book Antiqua" w:hAnsi="Book Antiqua" w:cs="Times New Roman"/>
          <w:noProof/>
          <w:sz w:val="24"/>
          <w:szCs w:val="24"/>
          <w:vertAlign w:val="superscript"/>
        </w:rPr>
        <w:t>[</w:t>
      </w:r>
      <w:proofErr w:type="gramEnd"/>
      <w:r w:rsidR="00E2169C" w:rsidRPr="004E79AD">
        <w:rPr>
          <w:rFonts w:ascii="Book Antiqua" w:hAnsi="Book Antiqua" w:cs="Times New Roman"/>
          <w:noProof/>
          <w:sz w:val="24"/>
          <w:szCs w:val="24"/>
          <w:vertAlign w:val="superscript"/>
        </w:rPr>
        <w:t>10</w:t>
      </w:r>
      <w:r w:rsidR="00932EC8" w:rsidRPr="004E79AD">
        <w:rPr>
          <w:rFonts w:ascii="Book Antiqua" w:hAnsi="Book Antiqua" w:cs="Times New Roman"/>
          <w:noProof/>
          <w:sz w:val="24"/>
          <w:szCs w:val="24"/>
          <w:vertAlign w:val="superscript"/>
        </w:rPr>
        <w:t>]</w:t>
      </w:r>
      <w:r w:rsidR="00D24A0C" w:rsidRPr="004E79AD">
        <w:rPr>
          <w:rFonts w:ascii="Book Antiqua" w:hAnsi="Book Antiqua" w:cs="Times New Roman"/>
          <w:sz w:val="24"/>
          <w:szCs w:val="24"/>
        </w:rPr>
        <w:t xml:space="preserve">. </w:t>
      </w:r>
      <w:r w:rsidRPr="004E79AD">
        <w:rPr>
          <w:rFonts w:ascii="Book Antiqua" w:hAnsi="Book Antiqua" w:cs="Times New Roman"/>
          <w:sz w:val="24"/>
          <w:szCs w:val="24"/>
        </w:rPr>
        <w:t xml:space="preserve">Our study would suggest that </w:t>
      </w:r>
      <w:r w:rsidR="009A622A" w:rsidRPr="004E79AD">
        <w:rPr>
          <w:rFonts w:ascii="Book Antiqua" w:hAnsi="Book Antiqua" w:cs="Times New Roman"/>
          <w:sz w:val="24"/>
          <w:szCs w:val="24"/>
        </w:rPr>
        <w:t xml:space="preserve">these different parameters </w:t>
      </w:r>
      <w:r w:rsidR="00624238" w:rsidRPr="004E79AD">
        <w:rPr>
          <w:rFonts w:ascii="Book Antiqua" w:hAnsi="Book Antiqua" w:cs="Times New Roman"/>
          <w:sz w:val="24"/>
          <w:szCs w:val="24"/>
        </w:rPr>
        <w:t>are un</w:t>
      </w:r>
      <w:r w:rsidR="009A622A" w:rsidRPr="004E79AD">
        <w:rPr>
          <w:rFonts w:ascii="Book Antiqua" w:hAnsi="Book Antiqua" w:cs="Times New Roman"/>
          <w:sz w:val="24"/>
          <w:szCs w:val="24"/>
        </w:rPr>
        <w:t>likely to confer a survival advantage for either HIPEC method. T</w:t>
      </w:r>
      <w:r w:rsidRPr="004E79AD">
        <w:rPr>
          <w:rFonts w:ascii="Book Antiqua" w:hAnsi="Book Antiqua" w:cs="Times New Roman"/>
          <w:sz w:val="24"/>
          <w:szCs w:val="24"/>
        </w:rPr>
        <w:t>he method of HIPEC used</w:t>
      </w:r>
      <w:r w:rsidR="009A622A" w:rsidRPr="004E79AD">
        <w:rPr>
          <w:rFonts w:ascii="Book Antiqua" w:hAnsi="Book Antiqua" w:cs="Times New Roman"/>
          <w:sz w:val="24"/>
          <w:szCs w:val="24"/>
        </w:rPr>
        <w:t xml:space="preserve"> was</w:t>
      </w:r>
      <w:r w:rsidRPr="004E79AD">
        <w:rPr>
          <w:rFonts w:ascii="Book Antiqua" w:hAnsi="Book Antiqua" w:cs="Times New Roman"/>
          <w:sz w:val="24"/>
          <w:szCs w:val="24"/>
        </w:rPr>
        <w:t xml:space="preserve"> not a significant factor when other confounding variables </w:t>
      </w:r>
      <w:r w:rsidR="00E76090" w:rsidRPr="004E79AD">
        <w:rPr>
          <w:rFonts w:ascii="Book Antiqua" w:hAnsi="Book Antiqua" w:cs="Times New Roman"/>
          <w:sz w:val="24"/>
          <w:szCs w:val="24"/>
        </w:rPr>
        <w:t xml:space="preserve">were </w:t>
      </w:r>
      <w:r w:rsidRPr="004E79AD">
        <w:rPr>
          <w:rFonts w:ascii="Book Antiqua" w:hAnsi="Book Antiqua" w:cs="Times New Roman"/>
          <w:sz w:val="24"/>
          <w:szCs w:val="24"/>
        </w:rPr>
        <w:t xml:space="preserve">accounted for. </w:t>
      </w:r>
      <w:r w:rsidR="009A622A" w:rsidRPr="004E79AD">
        <w:rPr>
          <w:rFonts w:ascii="Book Antiqua" w:hAnsi="Book Antiqua" w:cs="Times New Roman"/>
          <w:sz w:val="24"/>
          <w:szCs w:val="24"/>
        </w:rPr>
        <w:t>Other factors</w:t>
      </w:r>
      <w:r w:rsidR="0002184D" w:rsidRPr="004E79AD">
        <w:rPr>
          <w:rFonts w:ascii="Book Antiqua" w:hAnsi="Book Antiqua" w:cs="Times New Roman"/>
          <w:sz w:val="24"/>
          <w:szCs w:val="24"/>
        </w:rPr>
        <w:t xml:space="preserve"> that have </w:t>
      </w:r>
      <w:r w:rsidR="00624238" w:rsidRPr="004E79AD">
        <w:rPr>
          <w:rFonts w:ascii="Book Antiqua" w:hAnsi="Book Antiqua" w:cs="Times New Roman"/>
          <w:sz w:val="24"/>
          <w:szCs w:val="24"/>
        </w:rPr>
        <w:t xml:space="preserve">previously been </w:t>
      </w:r>
      <w:r w:rsidR="0002184D" w:rsidRPr="004E79AD">
        <w:rPr>
          <w:rFonts w:ascii="Book Antiqua" w:hAnsi="Book Antiqua" w:cs="Times New Roman"/>
          <w:sz w:val="24"/>
          <w:szCs w:val="24"/>
        </w:rPr>
        <w:t>shown to significantly impact survival</w:t>
      </w:r>
      <w:r w:rsidR="009A622A" w:rsidRPr="004E79AD">
        <w:rPr>
          <w:rFonts w:ascii="Book Antiqua" w:hAnsi="Book Antiqua" w:cs="Times New Roman"/>
          <w:sz w:val="24"/>
          <w:szCs w:val="24"/>
        </w:rPr>
        <w:t>, particularly PCI, completeness of cytoreduction, and pos</w:t>
      </w:r>
      <w:r w:rsidR="0002184D" w:rsidRPr="004E79AD">
        <w:rPr>
          <w:rFonts w:ascii="Book Antiqua" w:hAnsi="Book Antiqua" w:cs="Times New Roman"/>
          <w:sz w:val="24"/>
          <w:szCs w:val="24"/>
        </w:rPr>
        <w:t>t-operative complications</w:t>
      </w:r>
      <w:r w:rsidR="00624238" w:rsidRPr="004E79AD">
        <w:rPr>
          <w:rFonts w:ascii="Book Antiqua" w:hAnsi="Book Antiqua" w:cs="Times New Roman"/>
          <w:sz w:val="24"/>
          <w:szCs w:val="24"/>
        </w:rPr>
        <w:t>,</w:t>
      </w:r>
      <w:r w:rsidR="0002184D" w:rsidRPr="004E79AD">
        <w:rPr>
          <w:rFonts w:ascii="Book Antiqua" w:hAnsi="Book Antiqua" w:cs="Times New Roman"/>
          <w:sz w:val="24"/>
          <w:szCs w:val="24"/>
        </w:rPr>
        <w:t xml:space="preserve"> </w:t>
      </w:r>
      <w:r w:rsidR="00624238" w:rsidRPr="004E79AD">
        <w:rPr>
          <w:rFonts w:ascii="Book Antiqua" w:hAnsi="Book Antiqua" w:cs="Times New Roman"/>
          <w:sz w:val="24"/>
          <w:szCs w:val="24"/>
        </w:rPr>
        <w:t>were</w:t>
      </w:r>
      <w:r w:rsidR="0002184D" w:rsidRPr="004E79AD">
        <w:rPr>
          <w:rFonts w:ascii="Book Antiqua" w:hAnsi="Book Antiqua" w:cs="Times New Roman"/>
          <w:sz w:val="24"/>
          <w:szCs w:val="24"/>
        </w:rPr>
        <w:t xml:space="preserve"> found to be</w:t>
      </w:r>
      <w:r w:rsidR="009A622A" w:rsidRPr="004E79AD">
        <w:rPr>
          <w:rFonts w:ascii="Book Antiqua" w:hAnsi="Book Antiqua" w:cs="Times New Roman"/>
          <w:sz w:val="24"/>
          <w:szCs w:val="24"/>
        </w:rPr>
        <w:t xml:space="preserve"> significant</w:t>
      </w:r>
      <w:r w:rsidR="0002184D" w:rsidRPr="004E79AD">
        <w:rPr>
          <w:rFonts w:ascii="Book Antiqua" w:hAnsi="Book Antiqua" w:cs="Times New Roman"/>
          <w:sz w:val="24"/>
          <w:szCs w:val="24"/>
        </w:rPr>
        <w:t xml:space="preserve"> in this </w:t>
      </w:r>
      <w:proofErr w:type="gramStart"/>
      <w:r w:rsidR="0002184D" w:rsidRPr="004E79AD">
        <w:rPr>
          <w:rFonts w:ascii="Book Antiqua" w:hAnsi="Book Antiqua" w:cs="Times New Roman"/>
          <w:sz w:val="24"/>
          <w:szCs w:val="24"/>
        </w:rPr>
        <w:t>study</w:t>
      </w:r>
      <w:r w:rsidR="00932EC8" w:rsidRPr="004E79AD">
        <w:rPr>
          <w:rFonts w:ascii="Book Antiqua" w:hAnsi="Book Antiqua" w:cs="Times New Roman"/>
          <w:noProof/>
          <w:sz w:val="24"/>
          <w:szCs w:val="24"/>
          <w:vertAlign w:val="superscript"/>
        </w:rPr>
        <w:t>[</w:t>
      </w:r>
      <w:proofErr w:type="gramEnd"/>
      <w:r w:rsidR="00E2169C" w:rsidRPr="004E79AD">
        <w:rPr>
          <w:rFonts w:ascii="Book Antiqua" w:hAnsi="Book Antiqua" w:cs="Times New Roman"/>
          <w:noProof/>
          <w:sz w:val="24"/>
          <w:szCs w:val="24"/>
          <w:vertAlign w:val="superscript"/>
        </w:rPr>
        <w:t>14-16</w:t>
      </w:r>
      <w:r w:rsidR="00932EC8" w:rsidRPr="004E79AD">
        <w:rPr>
          <w:rFonts w:ascii="Book Antiqua" w:hAnsi="Book Antiqua" w:cs="Times New Roman"/>
          <w:noProof/>
          <w:sz w:val="24"/>
          <w:szCs w:val="24"/>
          <w:vertAlign w:val="superscript"/>
        </w:rPr>
        <w:t>]</w:t>
      </w:r>
      <w:r w:rsidR="00D87B9D" w:rsidRPr="004E79AD">
        <w:rPr>
          <w:rFonts w:ascii="Book Antiqua" w:hAnsi="Book Antiqua" w:cs="Times New Roman"/>
          <w:sz w:val="24"/>
          <w:szCs w:val="24"/>
        </w:rPr>
        <w:t>.</w:t>
      </w:r>
    </w:p>
    <w:p w14:paraId="1A31BDAC" w14:textId="2D90580C" w:rsidR="00117C36" w:rsidRPr="004E79AD" w:rsidRDefault="00117C36"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A concern with open HIPEC remains the lack of barrier between the cytotoxic agents and the operating staff. In a small preclinical study, analysis of operating room gloves after administration of open HIPEC was unable to detect chemotherapeutics on</w:t>
      </w:r>
      <w:r w:rsidR="00D87B9D" w:rsidRPr="004E79AD">
        <w:rPr>
          <w:rFonts w:ascii="Book Antiqua" w:hAnsi="Book Antiqua" w:cs="Times New Roman"/>
          <w:sz w:val="24"/>
          <w:szCs w:val="24"/>
        </w:rPr>
        <w:t xml:space="preserve"> the inner surface of the </w:t>
      </w:r>
      <w:proofErr w:type="gramStart"/>
      <w:r w:rsidR="00D87B9D" w:rsidRPr="004E79AD">
        <w:rPr>
          <w:rFonts w:ascii="Book Antiqua" w:hAnsi="Book Antiqua" w:cs="Times New Roman"/>
          <w:sz w:val="24"/>
          <w:szCs w:val="24"/>
        </w:rPr>
        <w:t>glove</w:t>
      </w:r>
      <w:r w:rsidR="00E2169C" w:rsidRPr="004E79AD">
        <w:rPr>
          <w:rFonts w:ascii="Book Antiqua" w:hAnsi="Book Antiqua" w:cs="Times New Roman"/>
          <w:noProof/>
          <w:sz w:val="24"/>
          <w:szCs w:val="24"/>
          <w:vertAlign w:val="superscript"/>
        </w:rPr>
        <w:t>[</w:t>
      </w:r>
      <w:proofErr w:type="gramEnd"/>
      <w:r w:rsidR="00E2169C" w:rsidRPr="004E79AD">
        <w:rPr>
          <w:rFonts w:ascii="Book Antiqua" w:hAnsi="Book Antiqua" w:cs="Times New Roman"/>
          <w:noProof/>
          <w:sz w:val="24"/>
          <w:szCs w:val="24"/>
          <w:vertAlign w:val="superscript"/>
        </w:rPr>
        <w:t>11</w:t>
      </w:r>
      <w:r w:rsidR="00932EC8" w:rsidRPr="004E79AD">
        <w:rPr>
          <w:rFonts w:ascii="Book Antiqua" w:hAnsi="Book Antiqua" w:cs="Times New Roman"/>
          <w:noProof/>
          <w:sz w:val="24"/>
          <w:szCs w:val="24"/>
          <w:vertAlign w:val="superscript"/>
        </w:rPr>
        <w:t>]</w:t>
      </w:r>
      <w:r w:rsidRPr="004E79AD">
        <w:rPr>
          <w:rFonts w:ascii="Book Antiqua" w:hAnsi="Book Antiqua" w:cs="Times New Roman"/>
          <w:sz w:val="24"/>
          <w:szCs w:val="24"/>
        </w:rPr>
        <w:t xml:space="preserve">. </w:t>
      </w:r>
      <w:r w:rsidR="00EC745D" w:rsidRPr="004E79AD">
        <w:rPr>
          <w:rFonts w:ascii="Book Antiqua" w:hAnsi="Book Antiqua" w:cs="Times New Roman"/>
          <w:sz w:val="24"/>
          <w:szCs w:val="24"/>
        </w:rPr>
        <w:t>Other</w:t>
      </w:r>
      <w:r w:rsidR="00961B72" w:rsidRPr="004E79AD">
        <w:rPr>
          <w:rFonts w:ascii="Book Antiqua" w:hAnsi="Book Antiqua" w:cs="Times New Roman"/>
          <w:sz w:val="24"/>
          <w:szCs w:val="24"/>
        </w:rPr>
        <w:t xml:space="preserve"> </w:t>
      </w:r>
      <w:r w:rsidR="00EC745D" w:rsidRPr="004E79AD">
        <w:rPr>
          <w:rFonts w:ascii="Book Antiqua" w:hAnsi="Book Antiqua" w:cs="Times New Roman"/>
          <w:sz w:val="24"/>
          <w:szCs w:val="24"/>
        </w:rPr>
        <w:t>studies have been</w:t>
      </w:r>
      <w:r w:rsidR="00961B72" w:rsidRPr="004E79AD">
        <w:rPr>
          <w:rFonts w:ascii="Book Antiqua" w:hAnsi="Book Antiqua" w:cs="Times New Roman"/>
          <w:sz w:val="24"/>
          <w:szCs w:val="24"/>
        </w:rPr>
        <w:t xml:space="preserve"> unable to detect cytotoxic therapeutics in the blood or urine </w:t>
      </w:r>
      <w:r w:rsidR="00EC745D" w:rsidRPr="004E79AD">
        <w:rPr>
          <w:rFonts w:ascii="Book Antiqua" w:hAnsi="Book Antiqua" w:cs="Times New Roman"/>
          <w:sz w:val="24"/>
          <w:szCs w:val="24"/>
        </w:rPr>
        <w:t xml:space="preserve">of individuals involved in the administration of open </w:t>
      </w:r>
      <w:proofErr w:type="gramStart"/>
      <w:r w:rsidR="00EC745D" w:rsidRPr="004E79AD">
        <w:rPr>
          <w:rFonts w:ascii="Book Antiqua" w:hAnsi="Book Antiqua" w:cs="Times New Roman"/>
          <w:sz w:val="24"/>
          <w:szCs w:val="24"/>
        </w:rPr>
        <w:t>HIPEC</w:t>
      </w:r>
      <w:r w:rsidR="00E2169C" w:rsidRPr="004E79AD">
        <w:rPr>
          <w:rFonts w:ascii="Book Antiqua" w:hAnsi="Book Antiqua" w:cs="Times New Roman"/>
          <w:noProof/>
          <w:sz w:val="24"/>
          <w:szCs w:val="24"/>
          <w:vertAlign w:val="superscript"/>
        </w:rPr>
        <w:t>[</w:t>
      </w:r>
      <w:proofErr w:type="gramEnd"/>
      <w:r w:rsidR="00E2169C" w:rsidRPr="004E79AD">
        <w:rPr>
          <w:rFonts w:ascii="Book Antiqua" w:hAnsi="Book Antiqua" w:cs="Times New Roman"/>
          <w:noProof/>
          <w:sz w:val="24"/>
          <w:szCs w:val="24"/>
          <w:vertAlign w:val="superscript"/>
        </w:rPr>
        <w:t>17,18</w:t>
      </w:r>
      <w:r w:rsidR="00932EC8" w:rsidRPr="004E79AD">
        <w:rPr>
          <w:rFonts w:ascii="Book Antiqua" w:hAnsi="Book Antiqua" w:cs="Times New Roman"/>
          <w:noProof/>
          <w:sz w:val="24"/>
          <w:szCs w:val="24"/>
          <w:vertAlign w:val="superscript"/>
        </w:rPr>
        <w:t>]</w:t>
      </w:r>
      <w:r w:rsidR="00961B72" w:rsidRPr="004E79AD">
        <w:rPr>
          <w:rFonts w:ascii="Book Antiqua" w:hAnsi="Book Antiqua" w:cs="Times New Roman"/>
          <w:sz w:val="24"/>
          <w:szCs w:val="24"/>
        </w:rPr>
        <w:t xml:space="preserve">. This would suggest that there is limited risk </w:t>
      </w:r>
      <w:r w:rsidR="00E76090" w:rsidRPr="004E79AD">
        <w:rPr>
          <w:rFonts w:ascii="Book Antiqua" w:hAnsi="Book Antiqua" w:cs="Times New Roman"/>
          <w:sz w:val="24"/>
          <w:szCs w:val="24"/>
        </w:rPr>
        <w:t>of</w:t>
      </w:r>
      <w:r w:rsidR="00961B72" w:rsidRPr="004E79AD">
        <w:rPr>
          <w:rFonts w:ascii="Book Antiqua" w:hAnsi="Book Antiqua" w:cs="Times New Roman"/>
          <w:sz w:val="24"/>
          <w:szCs w:val="24"/>
        </w:rPr>
        <w:t xml:space="preserve"> contamination with cytotoxic agents if appropriate precautions are taken when dealing with these toxic compounds</w:t>
      </w:r>
      <w:r w:rsidR="005A06B9" w:rsidRPr="004E79AD">
        <w:rPr>
          <w:rFonts w:ascii="Book Antiqua" w:hAnsi="Book Antiqua" w:cs="Times New Roman"/>
          <w:sz w:val="24"/>
          <w:szCs w:val="24"/>
        </w:rPr>
        <w:t xml:space="preserve">, </w:t>
      </w:r>
      <w:r w:rsidR="00E76090" w:rsidRPr="004E79AD">
        <w:rPr>
          <w:rFonts w:ascii="Book Antiqua" w:hAnsi="Book Antiqua" w:cs="Times New Roman"/>
          <w:sz w:val="24"/>
          <w:szCs w:val="24"/>
        </w:rPr>
        <w:t>al</w:t>
      </w:r>
      <w:r w:rsidR="005A06B9" w:rsidRPr="004E79AD">
        <w:rPr>
          <w:rFonts w:ascii="Book Antiqua" w:hAnsi="Book Antiqua" w:cs="Times New Roman"/>
          <w:sz w:val="24"/>
          <w:szCs w:val="24"/>
        </w:rPr>
        <w:t xml:space="preserve">though no official </w:t>
      </w:r>
      <w:r w:rsidR="00E76090" w:rsidRPr="004E79AD">
        <w:rPr>
          <w:rFonts w:ascii="Book Antiqua" w:hAnsi="Book Antiqua" w:cs="Times New Roman"/>
          <w:sz w:val="24"/>
          <w:szCs w:val="24"/>
        </w:rPr>
        <w:t xml:space="preserve">guidelines exist </w:t>
      </w:r>
      <w:r w:rsidR="005A06B9" w:rsidRPr="004E79AD">
        <w:rPr>
          <w:rFonts w:ascii="Book Antiqua" w:hAnsi="Book Antiqua" w:cs="Times New Roman"/>
          <w:sz w:val="24"/>
          <w:szCs w:val="24"/>
        </w:rPr>
        <w:t>as to w</w:t>
      </w:r>
      <w:r w:rsidR="00D87B9D" w:rsidRPr="004E79AD">
        <w:rPr>
          <w:rFonts w:ascii="Book Antiqua" w:hAnsi="Book Antiqua" w:cs="Times New Roman"/>
          <w:sz w:val="24"/>
          <w:szCs w:val="24"/>
        </w:rPr>
        <w:t xml:space="preserve">hat these precautions should </w:t>
      </w:r>
      <w:proofErr w:type="gramStart"/>
      <w:r w:rsidR="00D87B9D" w:rsidRPr="004E79AD">
        <w:rPr>
          <w:rFonts w:ascii="Book Antiqua" w:hAnsi="Book Antiqua" w:cs="Times New Roman"/>
          <w:sz w:val="24"/>
          <w:szCs w:val="24"/>
        </w:rPr>
        <w:t>be</w:t>
      </w:r>
      <w:r w:rsidR="00E2169C" w:rsidRPr="004E79AD">
        <w:rPr>
          <w:rFonts w:ascii="Book Antiqua" w:hAnsi="Book Antiqua" w:cs="Times New Roman"/>
          <w:noProof/>
          <w:sz w:val="24"/>
          <w:szCs w:val="24"/>
          <w:vertAlign w:val="superscript"/>
        </w:rPr>
        <w:t>[</w:t>
      </w:r>
      <w:proofErr w:type="gramEnd"/>
      <w:r w:rsidR="00E2169C" w:rsidRPr="004E79AD">
        <w:rPr>
          <w:rFonts w:ascii="Book Antiqua" w:hAnsi="Book Antiqua" w:cs="Times New Roman"/>
          <w:noProof/>
          <w:sz w:val="24"/>
          <w:szCs w:val="24"/>
          <w:vertAlign w:val="superscript"/>
        </w:rPr>
        <w:t>19</w:t>
      </w:r>
      <w:r w:rsidR="00932EC8" w:rsidRPr="004E79AD">
        <w:rPr>
          <w:rFonts w:ascii="Book Antiqua" w:hAnsi="Book Antiqua" w:cs="Times New Roman"/>
          <w:noProof/>
          <w:sz w:val="24"/>
          <w:szCs w:val="24"/>
          <w:vertAlign w:val="superscript"/>
        </w:rPr>
        <w:t>]</w:t>
      </w:r>
      <w:r w:rsidR="005A06B9" w:rsidRPr="004E79AD">
        <w:rPr>
          <w:rFonts w:ascii="Book Antiqua" w:hAnsi="Book Antiqua" w:cs="Times New Roman"/>
          <w:sz w:val="24"/>
          <w:szCs w:val="24"/>
        </w:rPr>
        <w:t>.</w:t>
      </w:r>
    </w:p>
    <w:p w14:paraId="01463CBD" w14:textId="393F53A7" w:rsidR="00117C36" w:rsidRPr="004E79AD" w:rsidRDefault="00117C36"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One previous retrospective study of around 100 patients compared intraoperative patient parameters bet</w:t>
      </w:r>
      <w:r w:rsidR="00D87B9D" w:rsidRPr="004E79AD">
        <w:rPr>
          <w:rFonts w:ascii="Book Antiqua" w:hAnsi="Book Antiqua" w:cs="Times New Roman"/>
          <w:sz w:val="24"/>
          <w:szCs w:val="24"/>
        </w:rPr>
        <w:t xml:space="preserve">ween open HIPEC to closed </w:t>
      </w:r>
      <w:proofErr w:type="gramStart"/>
      <w:r w:rsidR="00D87B9D" w:rsidRPr="004E79AD">
        <w:rPr>
          <w:rFonts w:ascii="Book Antiqua" w:hAnsi="Book Antiqua" w:cs="Times New Roman"/>
          <w:sz w:val="24"/>
          <w:szCs w:val="24"/>
        </w:rPr>
        <w:t>HIPEC</w:t>
      </w:r>
      <w:r w:rsidR="00E2169C" w:rsidRPr="004E79AD">
        <w:rPr>
          <w:rFonts w:ascii="Book Antiqua" w:hAnsi="Book Antiqua" w:cs="Times New Roman"/>
          <w:noProof/>
          <w:sz w:val="24"/>
          <w:szCs w:val="24"/>
          <w:vertAlign w:val="superscript"/>
        </w:rPr>
        <w:t>[</w:t>
      </w:r>
      <w:proofErr w:type="gramEnd"/>
      <w:r w:rsidR="00E2169C" w:rsidRPr="004E79AD">
        <w:rPr>
          <w:rFonts w:ascii="Book Antiqua" w:hAnsi="Book Antiqua" w:cs="Times New Roman"/>
          <w:noProof/>
          <w:sz w:val="24"/>
          <w:szCs w:val="24"/>
          <w:vertAlign w:val="superscript"/>
        </w:rPr>
        <w:t>9</w:t>
      </w:r>
      <w:r w:rsidR="00932EC8" w:rsidRPr="004E79AD">
        <w:rPr>
          <w:rFonts w:ascii="Book Antiqua" w:hAnsi="Book Antiqua" w:cs="Times New Roman"/>
          <w:noProof/>
          <w:sz w:val="24"/>
          <w:szCs w:val="24"/>
          <w:vertAlign w:val="superscript"/>
        </w:rPr>
        <w:t>]</w:t>
      </w:r>
      <w:r w:rsidRPr="004E79AD">
        <w:rPr>
          <w:rFonts w:ascii="Book Antiqua" w:hAnsi="Book Antiqua" w:cs="Times New Roman"/>
          <w:sz w:val="24"/>
          <w:szCs w:val="24"/>
        </w:rPr>
        <w:t xml:space="preserve">. They </w:t>
      </w:r>
      <w:r w:rsidRPr="004E79AD">
        <w:rPr>
          <w:rFonts w:ascii="Book Antiqua" w:hAnsi="Book Antiqua" w:cs="Times New Roman"/>
          <w:sz w:val="24"/>
          <w:szCs w:val="24"/>
        </w:rPr>
        <w:lastRenderedPageBreak/>
        <w:t>did not find any differences in morbidity or mortality</w:t>
      </w:r>
      <w:r w:rsidR="00624238" w:rsidRPr="004E79AD">
        <w:rPr>
          <w:rFonts w:ascii="Book Antiqua" w:hAnsi="Book Antiqua" w:cs="Times New Roman"/>
          <w:sz w:val="24"/>
          <w:szCs w:val="24"/>
        </w:rPr>
        <w:t>,</w:t>
      </w:r>
      <w:r w:rsidRPr="004E79AD">
        <w:rPr>
          <w:rFonts w:ascii="Book Antiqua" w:hAnsi="Book Antiqua" w:cs="Times New Roman"/>
          <w:sz w:val="24"/>
          <w:szCs w:val="24"/>
        </w:rPr>
        <w:t xml:space="preserve"> and though patients who underwent closed HIPEC tended toward more stable hemodynamics than those undergoing open HIPEC, this did not</w:t>
      </w:r>
      <w:r w:rsidR="00D87B9D" w:rsidRPr="004E79AD">
        <w:rPr>
          <w:rFonts w:ascii="Book Antiqua" w:hAnsi="Book Antiqua" w:cs="Times New Roman"/>
          <w:sz w:val="24"/>
          <w:szCs w:val="24"/>
        </w:rPr>
        <w:t xml:space="preserve"> reach statistical </w:t>
      </w:r>
      <w:proofErr w:type="gramStart"/>
      <w:r w:rsidR="00D87B9D" w:rsidRPr="004E79AD">
        <w:rPr>
          <w:rFonts w:ascii="Book Antiqua" w:hAnsi="Book Antiqua" w:cs="Times New Roman"/>
          <w:sz w:val="24"/>
          <w:szCs w:val="24"/>
        </w:rPr>
        <w:t>significance</w:t>
      </w:r>
      <w:r w:rsidR="00E2169C" w:rsidRPr="004E79AD">
        <w:rPr>
          <w:rFonts w:ascii="Book Antiqua" w:hAnsi="Book Antiqua" w:cs="Times New Roman"/>
          <w:noProof/>
          <w:sz w:val="24"/>
          <w:szCs w:val="24"/>
          <w:vertAlign w:val="superscript"/>
        </w:rPr>
        <w:t>[</w:t>
      </w:r>
      <w:proofErr w:type="gramEnd"/>
      <w:r w:rsidR="00E2169C" w:rsidRPr="004E79AD">
        <w:rPr>
          <w:rFonts w:ascii="Book Antiqua" w:hAnsi="Book Antiqua" w:cs="Times New Roman"/>
          <w:noProof/>
          <w:sz w:val="24"/>
          <w:szCs w:val="24"/>
          <w:vertAlign w:val="superscript"/>
        </w:rPr>
        <w:t>9</w:t>
      </w:r>
      <w:r w:rsidR="00932EC8" w:rsidRPr="004E79AD">
        <w:rPr>
          <w:rFonts w:ascii="Book Antiqua" w:hAnsi="Book Antiqua" w:cs="Times New Roman"/>
          <w:noProof/>
          <w:sz w:val="24"/>
          <w:szCs w:val="24"/>
          <w:vertAlign w:val="superscript"/>
        </w:rPr>
        <w:t>]</w:t>
      </w:r>
      <w:r w:rsidR="00624238" w:rsidRPr="004E79AD">
        <w:rPr>
          <w:rFonts w:ascii="Book Antiqua" w:hAnsi="Book Antiqua" w:cs="Times New Roman"/>
          <w:sz w:val="24"/>
          <w:szCs w:val="24"/>
        </w:rPr>
        <w:t>. O</w:t>
      </w:r>
      <w:r w:rsidRPr="004E79AD">
        <w:rPr>
          <w:rFonts w:ascii="Book Antiqua" w:hAnsi="Book Antiqua" w:cs="Times New Roman"/>
          <w:sz w:val="24"/>
          <w:szCs w:val="24"/>
        </w:rPr>
        <w:t>ur study did no</w:t>
      </w:r>
      <w:r w:rsidR="00624238" w:rsidRPr="004E79AD">
        <w:rPr>
          <w:rFonts w:ascii="Book Antiqua" w:hAnsi="Book Antiqua" w:cs="Times New Roman"/>
          <w:sz w:val="24"/>
          <w:szCs w:val="24"/>
        </w:rPr>
        <w:t>t look at specific hemodynamics but</w:t>
      </w:r>
      <w:r w:rsidRPr="004E79AD">
        <w:rPr>
          <w:rFonts w:ascii="Book Antiqua" w:hAnsi="Book Antiqua" w:cs="Times New Roman"/>
          <w:sz w:val="24"/>
          <w:szCs w:val="24"/>
        </w:rPr>
        <w:t xml:space="preserve"> we found no difference in EBL</w:t>
      </w:r>
      <w:r w:rsidR="005A12E6" w:rsidRPr="004E79AD">
        <w:rPr>
          <w:rFonts w:ascii="Book Antiqua" w:hAnsi="Book Antiqua" w:cs="Times New Roman"/>
          <w:sz w:val="24"/>
          <w:szCs w:val="24"/>
        </w:rPr>
        <w:t xml:space="preserve"> between patients in the open </w:t>
      </w:r>
      <w:r w:rsidR="005A12E6" w:rsidRPr="004E79AD">
        <w:rPr>
          <w:rFonts w:ascii="Book Antiqua" w:hAnsi="Book Antiqua" w:cs="Times New Roman"/>
          <w:i/>
          <w:sz w:val="24"/>
          <w:szCs w:val="24"/>
        </w:rPr>
        <w:t>vs</w:t>
      </w:r>
      <w:r w:rsidR="004E79AD" w:rsidRPr="004E79AD">
        <w:rPr>
          <w:rFonts w:ascii="Book Antiqua" w:hAnsi="Book Antiqua" w:cs="Times New Roman"/>
          <w:sz w:val="24"/>
          <w:szCs w:val="24"/>
        </w:rPr>
        <w:t xml:space="preserve"> the closed HIPEC groups. </w:t>
      </w:r>
      <w:r w:rsidR="00D87B9D" w:rsidRPr="004E79AD">
        <w:rPr>
          <w:rFonts w:ascii="Book Antiqua" w:hAnsi="Book Antiqua" w:cs="Times New Roman"/>
          <w:sz w:val="24"/>
          <w:szCs w:val="24"/>
        </w:rPr>
        <w:t xml:space="preserve">Time </w:t>
      </w:r>
      <w:r w:rsidRPr="004E79AD">
        <w:rPr>
          <w:rFonts w:ascii="Book Antiqua" w:hAnsi="Book Antiqua" w:cs="Times New Roman"/>
          <w:sz w:val="24"/>
          <w:szCs w:val="24"/>
        </w:rPr>
        <w:t>was longer in the c</w:t>
      </w:r>
      <w:r w:rsidR="002B2E55" w:rsidRPr="004E79AD">
        <w:rPr>
          <w:rFonts w:ascii="Book Antiqua" w:hAnsi="Book Antiqua" w:cs="Times New Roman"/>
          <w:sz w:val="24"/>
          <w:szCs w:val="24"/>
        </w:rPr>
        <w:t xml:space="preserve">losed HIPEC group (8.5 h </w:t>
      </w:r>
      <w:r w:rsidR="002B2E55" w:rsidRPr="004E79AD">
        <w:rPr>
          <w:rFonts w:ascii="Book Antiqua" w:hAnsi="Book Antiqua" w:cs="Times New Roman"/>
          <w:i/>
          <w:sz w:val="24"/>
          <w:szCs w:val="24"/>
        </w:rPr>
        <w:t>vs</w:t>
      </w:r>
      <w:r w:rsidRPr="004E79AD">
        <w:rPr>
          <w:rFonts w:ascii="Book Antiqua" w:hAnsi="Book Antiqua" w:cs="Times New Roman"/>
          <w:sz w:val="24"/>
          <w:szCs w:val="24"/>
        </w:rPr>
        <w:t xml:space="preserve"> 6.7 h) though this </w:t>
      </w:r>
      <w:r w:rsidR="00E76090" w:rsidRPr="004E79AD">
        <w:rPr>
          <w:rFonts w:ascii="Book Antiqua" w:hAnsi="Book Antiqua" w:cs="Times New Roman"/>
          <w:sz w:val="24"/>
          <w:szCs w:val="24"/>
        </w:rPr>
        <w:t xml:space="preserve">may have been more </w:t>
      </w:r>
      <w:r w:rsidR="005A12E6" w:rsidRPr="004E79AD">
        <w:rPr>
          <w:rFonts w:ascii="Book Antiqua" w:hAnsi="Book Antiqua" w:cs="Times New Roman"/>
          <w:sz w:val="24"/>
          <w:szCs w:val="24"/>
        </w:rPr>
        <w:t xml:space="preserve">of </w:t>
      </w:r>
      <w:r w:rsidR="00E76090" w:rsidRPr="004E79AD">
        <w:rPr>
          <w:rFonts w:ascii="Book Antiqua" w:hAnsi="Book Antiqua" w:cs="Times New Roman"/>
          <w:sz w:val="24"/>
          <w:szCs w:val="24"/>
        </w:rPr>
        <w:t>a result of the greater PCI and need for operative procedures than the technical aspects of HIPEC administration.</w:t>
      </w:r>
      <w:r w:rsidR="007769B4" w:rsidRPr="004E79AD">
        <w:rPr>
          <w:rFonts w:ascii="Book Antiqua" w:hAnsi="Book Antiqua" w:cs="Times New Roman"/>
          <w:sz w:val="24"/>
          <w:szCs w:val="24"/>
        </w:rPr>
        <w:t xml:space="preserve"> </w:t>
      </w:r>
      <w:r w:rsidR="002E31A7" w:rsidRPr="004E79AD">
        <w:rPr>
          <w:rFonts w:ascii="Book Antiqua" w:hAnsi="Book Antiqua" w:cs="Times New Roman"/>
          <w:sz w:val="24"/>
          <w:szCs w:val="24"/>
        </w:rPr>
        <w:t>Additionally, p</w:t>
      </w:r>
      <w:r w:rsidR="007769B4" w:rsidRPr="004E79AD">
        <w:rPr>
          <w:rFonts w:ascii="Book Antiqua" w:hAnsi="Book Antiqua" w:cs="Times New Roman"/>
          <w:sz w:val="24"/>
          <w:szCs w:val="24"/>
        </w:rPr>
        <w:t>atients undergoing open HIP</w:t>
      </w:r>
      <w:r w:rsidR="002E31A7" w:rsidRPr="004E79AD">
        <w:rPr>
          <w:rFonts w:ascii="Book Antiqua" w:hAnsi="Book Antiqua" w:cs="Times New Roman"/>
          <w:sz w:val="24"/>
          <w:szCs w:val="24"/>
        </w:rPr>
        <w:t>E</w:t>
      </w:r>
      <w:r w:rsidR="007769B4" w:rsidRPr="004E79AD">
        <w:rPr>
          <w:rFonts w:ascii="Book Antiqua" w:hAnsi="Book Antiqua" w:cs="Times New Roman"/>
          <w:sz w:val="24"/>
          <w:szCs w:val="24"/>
        </w:rPr>
        <w:t>C in our study were more likely to have extended stays in the ICU</w:t>
      </w:r>
      <w:r w:rsidR="005B0E0B" w:rsidRPr="004E79AD">
        <w:rPr>
          <w:rFonts w:ascii="Book Antiqua" w:hAnsi="Book Antiqua" w:cs="Times New Roman"/>
          <w:sz w:val="24"/>
          <w:szCs w:val="24"/>
        </w:rPr>
        <w:t xml:space="preserve"> and higher 90-d mortality</w:t>
      </w:r>
      <w:r w:rsidR="002E31A7" w:rsidRPr="004E79AD">
        <w:rPr>
          <w:rFonts w:ascii="Book Antiqua" w:hAnsi="Book Antiqua" w:cs="Times New Roman"/>
          <w:sz w:val="24"/>
          <w:szCs w:val="24"/>
        </w:rPr>
        <w:t>. This may be a reflection in practice differences with routine admission to the ICU</w:t>
      </w:r>
      <w:r w:rsidR="005B0E0B" w:rsidRPr="004E79AD">
        <w:rPr>
          <w:rFonts w:ascii="Book Antiqua" w:hAnsi="Book Antiqua" w:cs="Times New Roman"/>
          <w:sz w:val="24"/>
          <w:szCs w:val="24"/>
        </w:rPr>
        <w:t xml:space="preserve"> and higher mortality </w:t>
      </w:r>
      <w:r w:rsidR="004E79AD" w:rsidRPr="004E79AD">
        <w:rPr>
          <w:rFonts w:ascii="Book Antiqua" w:hAnsi="Book Antiqua" w:cs="Times New Roman"/>
          <w:sz w:val="24"/>
          <w:szCs w:val="24"/>
        </w:rPr>
        <w:t xml:space="preserve">early in the HIPEC experience. </w:t>
      </w:r>
      <w:r w:rsidR="00E67B6D" w:rsidRPr="004E79AD">
        <w:rPr>
          <w:rFonts w:ascii="Book Antiqua" w:hAnsi="Book Antiqua" w:cs="Times New Roman"/>
          <w:sz w:val="24"/>
          <w:szCs w:val="24"/>
        </w:rPr>
        <w:t>There were no other</w:t>
      </w:r>
      <w:r w:rsidR="005B0E0B" w:rsidRPr="004E79AD">
        <w:rPr>
          <w:rFonts w:ascii="Book Antiqua" w:hAnsi="Book Antiqua" w:cs="Times New Roman"/>
          <w:sz w:val="24"/>
          <w:szCs w:val="24"/>
        </w:rPr>
        <w:t xml:space="preserve"> difference</w:t>
      </w:r>
      <w:r w:rsidR="00E67B6D" w:rsidRPr="004E79AD">
        <w:rPr>
          <w:rFonts w:ascii="Book Antiqua" w:hAnsi="Book Antiqua" w:cs="Times New Roman"/>
          <w:sz w:val="24"/>
          <w:szCs w:val="24"/>
        </w:rPr>
        <w:t>s</w:t>
      </w:r>
      <w:r w:rsidR="005B0E0B" w:rsidRPr="004E79AD">
        <w:rPr>
          <w:rFonts w:ascii="Book Antiqua" w:hAnsi="Book Antiqua" w:cs="Times New Roman"/>
          <w:sz w:val="24"/>
          <w:szCs w:val="24"/>
        </w:rPr>
        <w:t xml:space="preserve"> in post</w:t>
      </w:r>
      <w:r w:rsidR="00E67B6D" w:rsidRPr="004E79AD">
        <w:rPr>
          <w:rFonts w:ascii="Book Antiqua" w:hAnsi="Book Antiqua" w:cs="Times New Roman"/>
          <w:sz w:val="24"/>
          <w:szCs w:val="24"/>
        </w:rPr>
        <w:t>-</w:t>
      </w:r>
      <w:r w:rsidR="005B0E0B" w:rsidRPr="004E79AD">
        <w:rPr>
          <w:rFonts w:ascii="Book Antiqua" w:hAnsi="Book Antiqua" w:cs="Times New Roman"/>
          <w:sz w:val="24"/>
          <w:szCs w:val="24"/>
        </w:rPr>
        <w:t>operative outcomes between the two techniques.</w:t>
      </w:r>
    </w:p>
    <w:p w14:paraId="06B05A14" w14:textId="7DF6BA65" w:rsidR="00B025D9" w:rsidRPr="004E79AD" w:rsidRDefault="00B025D9"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With regards to intraoperative parameters, the vast majority of patients in both groups received Mitomycin-C with a small percentage of patients receiving Cisplatin. Patients in the open HIPEC group had a higher averag</w:t>
      </w:r>
      <w:r w:rsidR="002B2E55" w:rsidRPr="004E79AD">
        <w:rPr>
          <w:rFonts w:ascii="Book Antiqua" w:hAnsi="Book Antiqua" w:cs="Times New Roman"/>
          <w:sz w:val="24"/>
          <w:szCs w:val="24"/>
        </w:rPr>
        <w:t xml:space="preserve">e dose of Mitomycin-C (54 mg </w:t>
      </w:r>
      <w:r w:rsidR="002B2E55" w:rsidRPr="004E79AD">
        <w:rPr>
          <w:rFonts w:ascii="Book Antiqua" w:hAnsi="Book Antiqua" w:cs="Times New Roman"/>
          <w:i/>
          <w:sz w:val="24"/>
          <w:szCs w:val="24"/>
        </w:rPr>
        <w:t>vs</w:t>
      </w:r>
      <w:r w:rsidRPr="004E79AD">
        <w:rPr>
          <w:rFonts w:ascii="Book Antiqua" w:hAnsi="Book Antiqua" w:cs="Times New Roman"/>
          <w:sz w:val="24"/>
          <w:szCs w:val="24"/>
        </w:rPr>
        <w:t xml:space="preserve"> 40 mg) when compared to patients in the closed HIPEC group, which may be accounted for by the fact that the majority of the open HIPEC cases were performed early in the experience. There were no differences in temperature or duration.</w:t>
      </w:r>
    </w:p>
    <w:p w14:paraId="4682E71D" w14:textId="35C17496" w:rsidR="00D80D73" w:rsidRPr="004E79AD" w:rsidRDefault="00F82534"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The method of HIPEC was not associated with any significant difference</w:t>
      </w:r>
      <w:r w:rsidR="000A43CE" w:rsidRPr="004E79AD">
        <w:rPr>
          <w:rFonts w:ascii="Book Antiqua" w:hAnsi="Book Antiqua" w:cs="Times New Roman"/>
          <w:sz w:val="24"/>
          <w:szCs w:val="24"/>
        </w:rPr>
        <w:t>s</w:t>
      </w:r>
      <w:r w:rsidRPr="004E79AD">
        <w:rPr>
          <w:rFonts w:ascii="Book Antiqua" w:hAnsi="Book Antiqua" w:cs="Times New Roman"/>
          <w:sz w:val="24"/>
          <w:szCs w:val="24"/>
        </w:rPr>
        <w:t xml:space="preserve"> in OS on</w:t>
      </w:r>
      <w:r w:rsidR="000A43CE" w:rsidRPr="004E79AD">
        <w:rPr>
          <w:rFonts w:ascii="Book Antiqua" w:hAnsi="Book Antiqua" w:cs="Times New Roman"/>
          <w:sz w:val="24"/>
          <w:szCs w:val="24"/>
        </w:rPr>
        <w:t xml:space="preserve"> univariate or multi-variable analysis.</w:t>
      </w:r>
      <w:r w:rsidRPr="004E79AD">
        <w:rPr>
          <w:rFonts w:ascii="Book Antiqua" w:hAnsi="Book Antiqua" w:cs="Times New Roman"/>
          <w:sz w:val="24"/>
          <w:szCs w:val="24"/>
        </w:rPr>
        <w:t xml:space="preserve"> </w:t>
      </w:r>
      <w:r w:rsidR="000A43CE" w:rsidRPr="004E79AD">
        <w:rPr>
          <w:rFonts w:ascii="Book Antiqua" w:hAnsi="Book Antiqua" w:cs="Times New Roman"/>
          <w:sz w:val="24"/>
          <w:szCs w:val="24"/>
        </w:rPr>
        <w:t xml:space="preserve">There was a difference </w:t>
      </w:r>
      <w:r w:rsidRPr="004E79AD">
        <w:rPr>
          <w:rFonts w:ascii="Book Antiqua" w:hAnsi="Book Antiqua" w:cs="Times New Roman"/>
          <w:sz w:val="24"/>
          <w:szCs w:val="24"/>
        </w:rPr>
        <w:t xml:space="preserve">in RFS </w:t>
      </w:r>
      <w:r w:rsidR="000A43CE" w:rsidRPr="004E79AD">
        <w:rPr>
          <w:rFonts w:ascii="Book Antiqua" w:hAnsi="Book Antiqua" w:cs="Times New Roman"/>
          <w:sz w:val="24"/>
          <w:szCs w:val="24"/>
        </w:rPr>
        <w:t xml:space="preserve">on univariate analysis </w:t>
      </w:r>
      <w:r w:rsidRPr="004E79AD">
        <w:rPr>
          <w:rFonts w:ascii="Book Antiqua" w:hAnsi="Book Antiqua" w:cs="Times New Roman"/>
          <w:sz w:val="24"/>
          <w:szCs w:val="24"/>
        </w:rPr>
        <w:t>with better RFS for patients undergoing open HIPEC</w:t>
      </w:r>
      <w:r w:rsidR="000A43CE" w:rsidRPr="004E79AD">
        <w:rPr>
          <w:rFonts w:ascii="Book Antiqua" w:hAnsi="Book Antiqua" w:cs="Times New Roman"/>
          <w:sz w:val="24"/>
          <w:szCs w:val="24"/>
        </w:rPr>
        <w:t xml:space="preserve"> </w:t>
      </w:r>
      <w:r w:rsidRPr="004E79AD">
        <w:rPr>
          <w:rFonts w:ascii="Book Antiqua" w:hAnsi="Book Antiqua" w:cs="Times New Roman"/>
          <w:sz w:val="24"/>
          <w:szCs w:val="24"/>
        </w:rPr>
        <w:t xml:space="preserve">(92 </w:t>
      </w:r>
      <w:proofErr w:type="spellStart"/>
      <w:r w:rsidRPr="004E79AD">
        <w:rPr>
          <w:rFonts w:ascii="Book Antiqua" w:hAnsi="Book Antiqua" w:cs="Times New Roman"/>
          <w:sz w:val="24"/>
          <w:szCs w:val="24"/>
        </w:rPr>
        <w:t>mo</w:t>
      </w:r>
      <w:proofErr w:type="spellEnd"/>
      <w:r w:rsidR="002B2E55" w:rsidRPr="004E79AD">
        <w:rPr>
          <w:rFonts w:ascii="Book Antiqua" w:hAnsi="Book Antiqua" w:cs="Times New Roman"/>
          <w:sz w:val="24"/>
          <w:szCs w:val="24"/>
        </w:rPr>
        <w:t xml:space="preserve"> </w:t>
      </w:r>
      <w:r w:rsidR="002B2E55" w:rsidRPr="004E79AD">
        <w:rPr>
          <w:rFonts w:ascii="Book Antiqua" w:hAnsi="Book Antiqua" w:cs="Times New Roman"/>
          <w:i/>
          <w:sz w:val="24"/>
          <w:szCs w:val="24"/>
        </w:rPr>
        <w:t>vs</w:t>
      </w:r>
      <w:r w:rsidRPr="004E79AD">
        <w:rPr>
          <w:rFonts w:ascii="Book Antiqua" w:hAnsi="Book Antiqua" w:cs="Times New Roman"/>
          <w:sz w:val="24"/>
          <w:szCs w:val="24"/>
        </w:rPr>
        <w:t xml:space="preserve"> 22 </w:t>
      </w:r>
      <w:proofErr w:type="spellStart"/>
      <w:r w:rsidRPr="004E79AD">
        <w:rPr>
          <w:rFonts w:ascii="Book Antiqua" w:hAnsi="Book Antiqua" w:cs="Times New Roman"/>
          <w:sz w:val="24"/>
          <w:szCs w:val="24"/>
        </w:rPr>
        <w:t>mo</w:t>
      </w:r>
      <w:proofErr w:type="spellEnd"/>
      <w:r w:rsidRPr="004E79AD">
        <w:rPr>
          <w:rFonts w:ascii="Book Antiqua" w:hAnsi="Book Antiqua" w:cs="Times New Roman"/>
          <w:sz w:val="24"/>
          <w:szCs w:val="24"/>
        </w:rPr>
        <w:t xml:space="preserve">, </w:t>
      </w:r>
      <w:r w:rsidRPr="004E79AD">
        <w:rPr>
          <w:rFonts w:ascii="Book Antiqua" w:hAnsi="Book Antiqua" w:cs="Times New Roman"/>
          <w:i/>
          <w:caps/>
          <w:sz w:val="24"/>
          <w:szCs w:val="24"/>
        </w:rPr>
        <w:t>p</w:t>
      </w:r>
      <w:r w:rsidRPr="004E79AD">
        <w:rPr>
          <w:rFonts w:ascii="Book Antiqua" w:hAnsi="Book Antiqua" w:cs="Times New Roman"/>
          <w:sz w:val="24"/>
          <w:szCs w:val="24"/>
        </w:rPr>
        <w:t xml:space="preserve"> &lt; 0.01). This s</w:t>
      </w:r>
      <w:r w:rsidR="000A43CE" w:rsidRPr="004E79AD">
        <w:rPr>
          <w:rFonts w:ascii="Book Antiqua" w:hAnsi="Book Antiqua" w:cs="Times New Roman"/>
          <w:sz w:val="24"/>
          <w:szCs w:val="24"/>
        </w:rPr>
        <w:t xml:space="preserve">ignificance did not, however, remain on multi-variable analysis after controlling for other significant variables, including differentiation, histology, and PCI. </w:t>
      </w:r>
      <w:r w:rsidR="00D80D73" w:rsidRPr="004E79AD">
        <w:rPr>
          <w:rFonts w:ascii="Book Antiqua" w:hAnsi="Book Antiqua" w:cs="Times New Roman"/>
          <w:sz w:val="24"/>
          <w:szCs w:val="24"/>
        </w:rPr>
        <w:t xml:space="preserve">This is likely due to the fact that patients in the open HIPEC group were </w:t>
      </w:r>
      <w:r w:rsidR="000A43CE" w:rsidRPr="004E79AD">
        <w:rPr>
          <w:rFonts w:ascii="Book Antiqua" w:hAnsi="Book Antiqua" w:cs="Times New Roman"/>
          <w:sz w:val="24"/>
          <w:szCs w:val="24"/>
        </w:rPr>
        <w:t>more likely to have well differentiated</w:t>
      </w:r>
      <w:r w:rsidR="00D80D73" w:rsidRPr="004E79AD">
        <w:rPr>
          <w:rFonts w:ascii="Book Antiqua" w:hAnsi="Book Antiqua" w:cs="Times New Roman"/>
          <w:sz w:val="24"/>
          <w:szCs w:val="24"/>
        </w:rPr>
        <w:t xml:space="preserve"> appendiceal </w:t>
      </w:r>
      <w:r w:rsidR="000A43CE" w:rsidRPr="004E79AD">
        <w:rPr>
          <w:rFonts w:ascii="Book Antiqua" w:hAnsi="Book Antiqua" w:cs="Times New Roman"/>
          <w:sz w:val="24"/>
          <w:szCs w:val="24"/>
        </w:rPr>
        <w:t>tumors</w:t>
      </w:r>
      <w:r w:rsidR="00D80D73" w:rsidRPr="004E79AD">
        <w:rPr>
          <w:rFonts w:ascii="Book Antiqua" w:hAnsi="Book Antiqua" w:cs="Times New Roman"/>
          <w:sz w:val="24"/>
          <w:szCs w:val="24"/>
        </w:rPr>
        <w:t xml:space="preserve"> with lower average PCIs.</w:t>
      </w:r>
    </w:p>
    <w:p w14:paraId="2FDDE86A" w14:textId="0C568C2B" w:rsidR="00961B72" w:rsidRPr="004E79AD" w:rsidRDefault="00961B72"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There are several limitations in</w:t>
      </w:r>
      <w:r w:rsidR="006805E7" w:rsidRPr="004E79AD">
        <w:rPr>
          <w:rFonts w:ascii="Book Antiqua" w:hAnsi="Book Antiqua" w:cs="Times New Roman"/>
          <w:sz w:val="24"/>
          <w:szCs w:val="24"/>
        </w:rPr>
        <w:t xml:space="preserve"> this</w:t>
      </w:r>
      <w:r w:rsidRPr="004E79AD">
        <w:rPr>
          <w:rFonts w:ascii="Book Antiqua" w:hAnsi="Book Antiqua" w:cs="Times New Roman"/>
          <w:sz w:val="24"/>
          <w:szCs w:val="24"/>
        </w:rPr>
        <w:t xml:space="preserve"> </w:t>
      </w:r>
      <w:r w:rsidR="006805E7" w:rsidRPr="004E79AD">
        <w:rPr>
          <w:rFonts w:ascii="Book Antiqua" w:hAnsi="Book Antiqua" w:cs="Times New Roman"/>
          <w:sz w:val="24"/>
          <w:szCs w:val="24"/>
        </w:rPr>
        <w:t xml:space="preserve">multi-institutional </w:t>
      </w:r>
      <w:r w:rsidRPr="004E79AD">
        <w:rPr>
          <w:rFonts w:ascii="Book Antiqua" w:hAnsi="Book Antiqua" w:cs="Times New Roman"/>
          <w:sz w:val="24"/>
          <w:szCs w:val="24"/>
        </w:rPr>
        <w:t xml:space="preserve">study. </w:t>
      </w:r>
      <w:r w:rsidR="006805E7" w:rsidRPr="004E79AD">
        <w:rPr>
          <w:rFonts w:ascii="Book Antiqua" w:hAnsi="Book Antiqua" w:cs="Times New Roman"/>
          <w:sz w:val="24"/>
          <w:szCs w:val="24"/>
        </w:rPr>
        <w:t>Practice and treatment algorithm</w:t>
      </w:r>
      <w:r w:rsidR="00B025D9" w:rsidRPr="004E79AD">
        <w:rPr>
          <w:rFonts w:ascii="Book Antiqua" w:hAnsi="Book Antiqua" w:cs="Times New Roman"/>
          <w:sz w:val="24"/>
          <w:szCs w:val="24"/>
        </w:rPr>
        <w:t>s</w:t>
      </w:r>
      <w:r w:rsidR="003764C5" w:rsidRPr="004E79AD">
        <w:rPr>
          <w:rFonts w:ascii="Book Antiqua" w:hAnsi="Book Antiqua" w:cs="Times New Roman"/>
          <w:sz w:val="24"/>
          <w:szCs w:val="24"/>
        </w:rPr>
        <w:t>, including indications for surgery,</w:t>
      </w:r>
      <w:r w:rsidR="006805E7" w:rsidRPr="004E79AD">
        <w:rPr>
          <w:rFonts w:ascii="Book Antiqua" w:hAnsi="Book Antiqua" w:cs="Times New Roman"/>
          <w:sz w:val="24"/>
          <w:szCs w:val="24"/>
        </w:rPr>
        <w:t xml:space="preserve"> likely </w:t>
      </w:r>
      <w:r w:rsidR="00440BEA" w:rsidRPr="004E79AD">
        <w:rPr>
          <w:rFonts w:ascii="Book Antiqua" w:hAnsi="Book Antiqua" w:cs="Times New Roman"/>
          <w:sz w:val="24"/>
          <w:szCs w:val="24"/>
        </w:rPr>
        <w:t xml:space="preserve">differed across </w:t>
      </w:r>
      <w:r w:rsidR="00440BEA" w:rsidRPr="004E79AD">
        <w:rPr>
          <w:rFonts w:ascii="Book Antiqua" w:hAnsi="Book Antiqua" w:cs="Times New Roman"/>
          <w:sz w:val="24"/>
          <w:szCs w:val="24"/>
        </w:rPr>
        <w:lastRenderedPageBreak/>
        <w:t>time and</w:t>
      </w:r>
      <w:r w:rsidR="006805E7" w:rsidRPr="004E79AD">
        <w:rPr>
          <w:rFonts w:ascii="Book Antiqua" w:hAnsi="Book Antiqua" w:cs="Times New Roman"/>
          <w:sz w:val="24"/>
          <w:szCs w:val="24"/>
        </w:rPr>
        <w:t xml:space="preserve"> between institutions in this study</w:t>
      </w:r>
      <w:r w:rsidR="0007449E" w:rsidRPr="004E79AD">
        <w:rPr>
          <w:rFonts w:ascii="Book Antiqua" w:hAnsi="Book Antiqua" w:cs="Times New Roman"/>
          <w:sz w:val="24"/>
          <w:szCs w:val="24"/>
        </w:rPr>
        <w:t>,</w:t>
      </w:r>
      <w:r w:rsidR="006805E7" w:rsidRPr="004E79AD">
        <w:rPr>
          <w:rFonts w:ascii="Book Antiqua" w:hAnsi="Book Antiqua" w:cs="Times New Roman"/>
          <w:sz w:val="24"/>
          <w:szCs w:val="24"/>
        </w:rPr>
        <w:t xml:space="preserve"> though this allows the results to be more generalizable to the entire country, rather than representing a single institution. </w:t>
      </w:r>
      <w:r w:rsidRPr="004E79AD">
        <w:rPr>
          <w:rFonts w:ascii="Book Antiqua" w:hAnsi="Book Antiqua" w:cs="Times New Roman"/>
          <w:sz w:val="24"/>
          <w:szCs w:val="24"/>
        </w:rPr>
        <w:t xml:space="preserve">Selection bias is always a risk with retrospective studies. We did </w:t>
      </w:r>
      <w:r w:rsidR="006805E7" w:rsidRPr="004E79AD">
        <w:rPr>
          <w:rFonts w:ascii="Book Antiqua" w:hAnsi="Book Antiqua" w:cs="Times New Roman"/>
          <w:sz w:val="24"/>
          <w:szCs w:val="24"/>
        </w:rPr>
        <w:t>investigate the use of</w:t>
      </w:r>
      <w:r w:rsidRPr="004E79AD">
        <w:rPr>
          <w:rFonts w:ascii="Book Antiqua" w:hAnsi="Book Antiqua" w:cs="Times New Roman"/>
          <w:sz w:val="24"/>
          <w:szCs w:val="24"/>
        </w:rPr>
        <w:t xml:space="preserve"> propensity scoring to </w:t>
      </w:r>
      <w:r w:rsidR="006805E7" w:rsidRPr="004E79AD">
        <w:rPr>
          <w:rFonts w:ascii="Book Antiqua" w:hAnsi="Book Antiqua" w:cs="Times New Roman"/>
          <w:sz w:val="24"/>
          <w:szCs w:val="24"/>
        </w:rPr>
        <w:t>account for these factors</w:t>
      </w:r>
      <w:r w:rsidRPr="004E79AD">
        <w:rPr>
          <w:rFonts w:ascii="Book Antiqua" w:hAnsi="Book Antiqua" w:cs="Times New Roman"/>
          <w:sz w:val="24"/>
          <w:szCs w:val="24"/>
        </w:rPr>
        <w:t xml:space="preserve"> but found that it was not particularly helpful in this analysis given the lack of </w:t>
      </w:r>
      <w:r w:rsidR="00E76090" w:rsidRPr="004E79AD">
        <w:rPr>
          <w:rFonts w:ascii="Book Antiqua" w:hAnsi="Book Antiqua" w:cs="Times New Roman"/>
          <w:sz w:val="24"/>
          <w:szCs w:val="24"/>
        </w:rPr>
        <w:t>reliable factors that influenced the</w:t>
      </w:r>
      <w:r w:rsidRPr="004E79AD">
        <w:rPr>
          <w:rFonts w:ascii="Book Antiqua" w:hAnsi="Book Antiqua" w:cs="Times New Roman"/>
          <w:sz w:val="24"/>
          <w:szCs w:val="24"/>
        </w:rPr>
        <w:t xml:space="preserve"> HIPEC method </w:t>
      </w:r>
      <w:r w:rsidR="00E76090" w:rsidRPr="004E79AD">
        <w:rPr>
          <w:rFonts w:ascii="Book Antiqua" w:hAnsi="Book Antiqua" w:cs="Times New Roman"/>
          <w:sz w:val="24"/>
          <w:szCs w:val="24"/>
        </w:rPr>
        <w:t>received</w:t>
      </w:r>
      <w:r w:rsidRPr="004E79AD">
        <w:rPr>
          <w:rFonts w:ascii="Book Antiqua" w:hAnsi="Book Antiqua" w:cs="Times New Roman"/>
          <w:sz w:val="24"/>
          <w:szCs w:val="24"/>
        </w:rPr>
        <w:t>. This is likely due to the fact that surgeons perform one method or the other based on training and not on patient or tumor factors. We utilized multi</w:t>
      </w:r>
      <w:r w:rsidR="0007449E" w:rsidRPr="004E79AD">
        <w:rPr>
          <w:rFonts w:ascii="Book Antiqua" w:hAnsi="Book Antiqua" w:cs="Times New Roman"/>
          <w:sz w:val="24"/>
          <w:szCs w:val="24"/>
        </w:rPr>
        <w:t>-</w:t>
      </w:r>
      <w:r w:rsidRPr="004E79AD">
        <w:rPr>
          <w:rFonts w:ascii="Book Antiqua" w:hAnsi="Book Antiqua" w:cs="Times New Roman"/>
          <w:sz w:val="24"/>
          <w:szCs w:val="24"/>
        </w:rPr>
        <w:t xml:space="preserve">variable analyses in an attempt to mitigate this bias. </w:t>
      </w:r>
      <w:r w:rsidR="00293AF3" w:rsidRPr="004E79AD">
        <w:rPr>
          <w:rFonts w:ascii="Book Antiqua" w:hAnsi="Book Antiqua" w:cs="Times New Roman"/>
          <w:sz w:val="24"/>
          <w:szCs w:val="24"/>
        </w:rPr>
        <w:t>T</w:t>
      </w:r>
      <w:r w:rsidRPr="004E79AD">
        <w:rPr>
          <w:rFonts w:ascii="Book Antiqua" w:hAnsi="Book Antiqua" w:cs="Times New Roman"/>
          <w:sz w:val="24"/>
          <w:szCs w:val="24"/>
        </w:rPr>
        <w:t xml:space="preserve">he study population was a heterogeneous </w:t>
      </w:r>
      <w:r w:rsidR="00E76090" w:rsidRPr="004E79AD">
        <w:rPr>
          <w:rFonts w:ascii="Book Antiqua" w:hAnsi="Book Antiqua" w:cs="Times New Roman"/>
          <w:sz w:val="24"/>
          <w:szCs w:val="24"/>
        </w:rPr>
        <w:t xml:space="preserve">group of diverse </w:t>
      </w:r>
      <w:proofErr w:type="spellStart"/>
      <w:r w:rsidR="00E76090" w:rsidRPr="004E79AD">
        <w:rPr>
          <w:rFonts w:ascii="Book Antiqua" w:hAnsi="Book Antiqua" w:cs="Times New Roman"/>
          <w:sz w:val="24"/>
          <w:szCs w:val="24"/>
        </w:rPr>
        <w:t>histologies</w:t>
      </w:r>
      <w:proofErr w:type="spellEnd"/>
      <w:r w:rsidR="006805E7" w:rsidRPr="004E79AD">
        <w:rPr>
          <w:rFonts w:ascii="Book Antiqua" w:hAnsi="Book Antiqua" w:cs="Times New Roman"/>
          <w:sz w:val="24"/>
          <w:szCs w:val="24"/>
        </w:rPr>
        <w:t xml:space="preserve">, though subgroup analysis was performed on </w:t>
      </w:r>
      <w:r w:rsidR="00E76090" w:rsidRPr="004E79AD">
        <w:rPr>
          <w:rFonts w:ascii="Book Antiqua" w:hAnsi="Book Antiqua" w:cs="Times New Roman"/>
          <w:sz w:val="24"/>
          <w:szCs w:val="24"/>
        </w:rPr>
        <w:t xml:space="preserve">those </w:t>
      </w:r>
      <w:proofErr w:type="spellStart"/>
      <w:r w:rsidR="00E76090" w:rsidRPr="004E79AD">
        <w:rPr>
          <w:rFonts w:ascii="Book Antiqua" w:hAnsi="Book Antiqua" w:cs="Times New Roman"/>
          <w:sz w:val="24"/>
          <w:szCs w:val="24"/>
        </w:rPr>
        <w:t>histologies</w:t>
      </w:r>
      <w:proofErr w:type="spellEnd"/>
      <w:r w:rsidR="006805E7" w:rsidRPr="004E79AD">
        <w:rPr>
          <w:rFonts w:ascii="Book Antiqua" w:hAnsi="Book Antiqua" w:cs="Times New Roman"/>
          <w:sz w:val="24"/>
          <w:szCs w:val="24"/>
        </w:rPr>
        <w:t xml:space="preserve"> with adequate numbers for analysis (</w:t>
      </w:r>
      <w:r w:rsidR="00E76090" w:rsidRPr="004E79AD">
        <w:rPr>
          <w:rFonts w:ascii="Book Antiqua" w:hAnsi="Book Antiqua" w:cs="Times New Roman"/>
          <w:i/>
          <w:sz w:val="24"/>
          <w:szCs w:val="24"/>
        </w:rPr>
        <w:t>e.g.</w:t>
      </w:r>
      <w:r w:rsidR="00E76090" w:rsidRPr="004E79AD">
        <w:rPr>
          <w:rFonts w:ascii="Book Antiqua" w:hAnsi="Book Antiqua" w:cs="Times New Roman"/>
          <w:sz w:val="24"/>
          <w:szCs w:val="24"/>
        </w:rPr>
        <w:t xml:space="preserve"> </w:t>
      </w:r>
      <w:r w:rsidR="006805E7" w:rsidRPr="004E79AD">
        <w:rPr>
          <w:rFonts w:ascii="Book Antiqua" w:hAnsi="Book Antiqua" w:cs="Times New Roman"/>
          <w:sz w:val="24"/>
          <w:szCs w:val="24"/>
        </w:rPr>
        <w:t xml:space="preserve">appendiceal and colorectal). </w:t>
      </w:r>
      <w:r w:rsidR="00440BEA" w:rsidRPr="004E79AD">
        <w:rPr>
          <w:rFonts w:ascii="Book Antiqua" w:hAnsi="Book Antiqua" w:cs="Times New Roman"/>
          <w:sz w:val="24"/>
          <w:szCs w:val="24"/>
        </w:rPr>
        <w:t>Lastly, we could not address the impact of HIPEC technique on incisional or wound recurrences as the database did not</w:t>
      </w:r>
      <w:r w:rsidR="002B2E55" w:rsidRPr="004E79AD">
        <w:rPr>
          <w:rFonts w:ascii="Book Antiqua" w:hAnsi="Book Antiqua" w:cs="Times New Roman"/>
          <w:sz w:val="24"/>
          <w:szCs w:val="24"/>
        </w:rPr>
        <w:t xml:space="preserve"> have that granularity of data.</w:t>
      </w:r>
    </w:p>
    <w:p w14:paraId="3646C66C" w14:textId="532EBE1B" w:rsidR="006805E7" w:rsidRPr="004E79AD" w:rsidRDefault="00B92784" w:rsidP="004E79AD">
      <w:pPr>
        <w:snapToGrid w:val="0"/>
        <w:spacing w:after="0" w:line="360" w:lineRule="auto"/>
        <w:ind w:firstLineChars="100" w:firstLine="240"/>
        <w:jc w:val="both"/>
        <w:rPr>
          <w:rFonts w:ascii="Book Antiqua" w:hAnsi="Book Antiqua" w:cs="Times New Roman"/>
          <w:sz w:val="24"/>
          <w:szCs w:val="24"/>
        </w:rPr>
      </w:pPr>
      <w:r w:rsidRPr="004E79AD">
        <w:rPr>
          <w:rFonts w:ascii="Book Antiqua" w:hAnsi="Book Antiqua" w:cs="Times New Roman"/>
          <w:sz w:val="24"/>
          <w:szCs w:val="24"/>
        </w:rPr>
        <w:t xml:space="preserve">In conclusion, the method of </w:t>
      </w:r>
      <w:r w:rsidR="006805E7" w:rsidRPr="004E79AD">
        <w:rPr>
          <w:rFonts w:ascii="Book Antiqua" w:hAnsi="Book Antiqua" w:cs="Times New Roman"/>
          <w:sz w:val="24"/>
          <w:szCs w:val="24"/>
        </w:rPr>
        <w:t>HIPEC</w:t>
      </w:r>
      <w:r w:rsidRPr="004E79AD">
        <w:rPr>
          <w:rFonts w:ascii="Book Antiqua" w:hAnsi="Book Antiqua" w:cs="Times New Roman"/>
          <w:sz w:val="24"/>
          <w:szCs w:val="24"/>
        </w:rPr>
        <w:t xml:space="preserve">, open </w:t>
      </w:r>
      <w:r w:rsidRPr="004E79AD">
        <w:rPr>
          <w:rFonts w:ascii="Book Antiqua" w:hAnsi="Book Antiqua" w:cs="Times New Roman"/>
          <w:i/>
          <w:sz w:val="24"/>
          <w:szCs w:val="24"/>
        </w:rPr>
        <w:t>vs</w:t>
      </w:r>
      <w:r w:rsidRPr="004E79AD">
        <w:rPr>
          <w:rFonts w:ascii="Book Antiqua" w:hAnsi="Book Antiqua" w:cs="Times New Roman"/>
          <w:sz w:val="24"/>
          <w:szCs w:val="24"/>
        </w:rPr>
        <w:t xml:space="preserve"> closed technique, was not independently associated with relevant </w:t>
      </w:r>
      <w:r w:rsidR="00BD252C" w:rsidRPr="004E79AD">
        <w:rPr>
          <w:rFonts w:ascii="Book Antiqua" w:hAnsi="Book Antiqua" w:cs="Times New Roman"/>
          <w:sz w:val="24"/>
          <w:szCs w:val="24"/>
        </w:rPr>
        <w:t>post-</w:t>
      </w:r>
      <w:r w:rsidRPr="004E79AD">
        <w:rPr>
          <w:rFonts w:ascii="Book Antiqua" w:hAnsi="Book Antiqua" w:cs="Times New Roman"/>
          <w:sz w:val="24"/>
          <w:szCs w:val="24"/>
        </w:rPr>
        <w:t>operative or long-term outcomes</w:t>
      </w:r>
      <w:r w:rsidR="006805E7" w:rsidRPr="004E79AD">
        <w:rPr>
          <w:rFonts w:ascii="Book Antiqua" w:hAnsi="Book Antiqua" w:cs="Times New Roman"/>
          <w:sz w:val="24"/>
          <w:szCs w:val="24"/>
        </w:rPr>
        <w:t xml:space="preserve"> </w:t>
      </w:r>
      <w:r w:rsidRPr="004E79AD">
        <w:rPr>
          <w:rFonts w:ascii="Book Antiqua" w:hAnsi="Book Antiqua" w:cs="Times New Roman"/>
          <w:sz w:val="24"/>
          <w:szCs w:val="24"/>
        </w:rPr>
        <w:t>in this multi-institutional analysis of</w:t>
      </w:r>
      <w:r w:rsidR="006805E7" w:rsidRPr="004E79AD">
        <w:rPr>
          <w:rFonts w:ascii="Book Antiqua" w:hAnsi="Book Antiqua" w:cs="Times New Roman"/>
          <w:sz w:val="24"/>
          <w:szCs w:val="24"/>
        </w:rPr>
        <w:t xml:space="preserve"> patients undergoing CRS and HIPEC for peritoneal carcinomatosis. </w:t>
      </w:r>
      <w:r w:rsidR="00496A25" w:rsidRPr="004E79AD">
        <w:rPr>
          <w:rFonts w:ascii="Book Antiqua" w:hAnsi="Book Antiqua" w:cs="Times New Roman"/>
          <w:sz w:val="24"/>
          <w:szCs w:val="24"/>
        </w:rPr>
        <w:t>While t</w:t>
      </w:r>
      <w:r w:rsidR="006805E7" w:rsidRPr="004E79AD">
        <w:rPr>
          <w:rFonts w:ascii="Book Antiqua" w:hAnsi="Book Antiqua" w:cs="Times New Roman"/>
          <w:sz w:val="24"/>
          <w:szCs w:val="24"/>
        </w:rPr>
        <w:t xml:space="preserve">he </w:t>
      </w:r>
      <w:r w:rsidR="00CE3194" w:rsidRPr="004E79AD">
        <w:rPr>
          <w:rFonts w:ascii="Book Antiqua" w:hAnsi="Book Antiqua" w:cs="Times New Roman"/>
          <w:sz w:val="24"/>
          <w:szCs w:val="24"/>
        </w:rPr>
        <w:t>technique</w:t>
      </w:r>
      <w:r w:rsidR="00751A33" w:rsidRPr="004E79AD">
        <w:rPr>
          <w:rFonts w:ascii="Book Antiqua" w:hAnsi="Book Antiqua" w:cs="Times New Roman"/>
          <w:sz w:val="24"/>
          <w:szCs w:val="24"/>
        </w:rPr>
        <w:t xml:space="preserve"> </w:t>
      </w:r>
      <w:r w:rsidR="006805E7" w:rsidRPr="004E79AD">
        <w:rPr>
          <w:rFonts w:ascii="Book Antiqua" w:hAnsi="Book Antiqua" w:cs="Times New Roman"/>
          <w:sz w:val="24"/>
          <w:szCs w:val="24"/>
        </w:rPr>
        <w:t xml:space="preserve">of HIPEC </w:t>
      </w:r>
      <w:r w:rsidR="00496A25" w:rsidRPr="004E79AD">
        <w:rPr>
          <w:rFonts w:ascii="Book Antiqua" w:hAnsi="Book Antiqua" w:cs="Times New Roman"/>
          <w:sz w:val="24"/>
          <w:szCs w:val="24"/>
        </w:rPr>
        <w:t>may</w:t>
      </w:r>
      <w:r w:rsidR="006805E7" w:rsidRPr="004E79AD">
        <w:rPr>
          <w:rFonts w:ascii="Book Antiqua" w:hAnsi="Book Antiqua" w:cs="Times New Roman"/>
          <w:sz w:val="24"/>
          <w:szCs w:val="24"/>
        </w:rPr>
        <w:t xml:space="preserve"> be left to the discretion of the surgeon</w:t>
      </w:r>
      <w:r w:rsidR="00496A25" w:rsidRPr="004E79AD">
        <w:rPr>
          <w:rFonts w:ascii="Book Antiqua" w:hAnsi="Book Antiqua" w:cs="Times New Roman"/>
          <w:sz w:val="24"/>
          <w:szCs w:val="24"/>
        </w:rPr>
        <w:t>, a</w:t>
      </w:r>
      <w:r w:rsidR="006805E7" w:rsidRPr="004E79AD">
        <w:rPr>
          <w:rFonts w:ascii="Book Antiqua" w:hAnsi="Book Antiqua" w:cs="Times New Roman"/>
          <w:sz w:val="24"/>
          <w:szCs w:val="24"/>
        </w:rPr>
        <w:t xml:space="preserve"> continued emphasis on patient selection, obtaining a comple</w:t>
      </w:r>
      <w:r w:rsidR="004A2870" w:rsidRPr="004E79AD">
        <w:rPr>
          <w:rFonts w:ascii="Book Antiqua" w:hAnsi="Book Antiqua" w:cs="Times New Roman"/>
          <w:sz w:val="24"/>
          <w:szCs w:val="24"/>
        </w:rPr>
        <w:t>te cytoreduction, and prevention of clinically relevant post-operative complications</w:t>
      </w:r>
      <w:r w:rsidR="00CE3194" w:rsidRPr="004E79AD">
        <w:rPr>
          <w:rFonts w:ascii="Book Antiqua" w:hAnsi="Book Antiqua" w:cs="Times New Roman"/>
          <w:sz w:val="24"/>
          <w:szCs w:val="24"/>
        </w:rPr>
        <w:t xml:space="preserve"> </w:t>
      </w:r>
      <w:r w:rsidR="00496A25" w:rsidRPr="004E79AD">
        <w:rPr>
          <w:rFonts w:ascii="Book Antiqua" w:hAnsi="Book Antiqua" w:cs="Times New Roman"/>
          <w:sz w:val="24"/>
          <w:szCs w:val="24"/>
        </w:rPr>
        <w:t>will optimize patient outcomes</w:t>
      </w:r>
      <w:r w:rsidR="004A2870" w:rsidRPr="004E79AD">
        <w:rPr>
          <w:rFonts w:ascii="Book Antiqua" w:hAnsi="Book Antiqua" w:cs="Times New Roman"/>
          <w:sz w:val="24"/>
          <w:szCs w:val="24"/>
        </w:rPr>
        <w:t>.</w:t>
      </w:r>
    </w:p>
    <w:p w14:paraId="75A6F293" w14:textId="77777777" w:rsidR="003609A6" w:rsidRPr="004E79AD" w:rsidRDefault="003609A6" w:rsidP="004E79AD">
      <w:pPr>
        <w:snapToGrid w:val="0"/>
        <w:spacing w:after="0" w:line="360" w:lineRule="auto"/>
        <w:jc w:val="both"/>
        <w:rPr>
          <w:rFonts w:ascii="Book Antiqua" w:hAnsi="Book Antiqua" w:cs="Times New Roman"/>
          <w:b/>
          <w:sz w:val="24"/>
          <w:szCs w:val="24"/>
        </w:rPr>
      </w:pPr>
    </w:p>
    <w:p w14:paraId="5240FF8D" w14:textId="77777777" w:rsidR="00861B6E" w:rsidRPr="004E79AD" w:rsidRDefault="00861B6E" w:rsidP="004E79AD">
      <w:pPr>
        <w:adjustRightInd w:val="0"/>
        <w:snapToGrid w:val="0"/>
        <w:spacing w:after="0" w:line="360" w:lineRule="auto"/>
        <w:jc w:val="both"/>
        <w:rPr>
          <w:rFonts w:ascii="Book Antiqua" w:hAnsi="Book Antiqua"/>
          <w:b/>
          <w:color w:val="000000"/>
          <w:sz w:val="24"/>
          <w:szCs w:val="24"/>
          <w:u w:val="single"/>
          <w:lang w:eastAsia="zh-CN"/>
        </w:rPr>
      </w:pPr>
      <w:r w:rsidRPr="004E79AD">
        <w:rPr>
          <w:rFonts w:ascii="Book Antiqua" w:hAnsi="Book Antiqua"/>
          <w:b/>
          <w:color w:val="000000"/>
          <w:sz w:val="24"/>
          <w:szCs w:val="24"/>
          <w:u w:val="single"/>
        </w:rPr>
        <w:t>ARTICLE HIGHLIGHTS</w:t>
      </w:r>
    </w:p>
    <w:p w14:paraId="496A48A8" w14:textId="77777777" w:rsidR="00121BB3" w:rsidRPr="004E79AD" w:rsidRDefault="00121BB3"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t>Research background</w:t>
      </w:r>
    </w:p>
    <w:p w14:paraId="0D723491" w14:textId="4D086BD6" w:rsidR="00121BB3" w:rsidRPr="004E79AD" w:rsidRDefault="00121BB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Appropriately selected patients with peritoneal carcinomatosis are treated with cytoreductive surgery (CRS) and hyperthermic intraperitoneal chemotherapy (HIPEC). HIPEC is administered in either an open or a closed fashion.</w:t>
      </w:r>
    </w:p>
    <w:p w14:paraId="715768DA" w14:textId="77777777" w:rsidR="00121BB3" w:rsidRPr="004E79AD" w:rsidRDefault="00121BB3" w:rsidP="004E79AD">
      <w:pPr>
        <w:snapToGrid w:val="0"/>
        <w:spacing w:after="0" w:line="360" w:lineRule="auto"/>
        <w:jc w:val="both"/>
        <w:rPr>
          <w:rFonts w:ascii="Book Antiqua" w:hAnsi="Book Antiqua" w:cs="Times New Roman"/>
          <w:sz w:val="24"/>
          <w:szCs w:val="24"/>
        </w:rPr>
      </w:pPr>
    </w:p>
    <w:p w14:paraId="415E6CA8" w14:textId="77777777" w:rsidR="00121BB3" w:rsidRPr="004E79AD" w:rsidRDefault="00121BB3"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t>Research motivation</w:t>
      </w:r>
    </w:p>
    <w:p w14:paraId="5E7B2D70" w14:textId="77777777" w:rsidR="00121BB3" w:rsidRPr="004E79AD" w:rsidRDefault="00121BB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lastRenderedPageBreak/>
        <w:t>The two techniques to administer HIPEC both have advantages and disadvantages. The open technique allows for full visualization of the abdomen during the HIPEC administration, though it is more difficult to maintain hyperthermia as well as increased potential for contamination with cytotoxic agents. The closed technique, on the other hand, allows for greater ability for temperature control and limits exposure though at the cost of visibility.</w:t>
      </w:r>
    </w:p>
    <w:p w14:paraId="368B1BAC" w14:textId="77777777" w:rsidR="00121BB3" w:rsidRPr="004E79AD" w:rsidRDefault="00121BB3" w:rsidP="004E79AD">
      <w:pPr>
        <w:snapToGrid w:val="0"/>
        <w:spacing w:after="0" w:line="360" w:lineRule="auto"/>
        <w:jc w:val="both"/>
        <w:rPr>
          <w:rFonts w:ascii="Book Antiqua" w:hAnsi="Book Antiqua" w:cs="Times New Roman"/>
          <w:sz w:val="24"/>
          <w:szCs w:val="24"/>
        </w:rPr>
      </w:pPr>
    </w:p>
    <w:p w14:paraId="11B1643D" w14:textId="77777777" w:rsidR="00121BB3" w:rsidRPr="004E79AD" w:rsidRDefault="00121BB3"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t>Research objectives</w:t>
      </w:r>
    </w:p>
    <w:p w14:paraId="5D5F27F7" w14:textId="2E47986A" w:rsidR="00121BB3" w:rsidRPr="004E79AD" w:rsidRDefault="00121BB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The objective of this study was to determine if one of these techniques was superior to the other in terms of both short- and long-term outcomes. Previous studies have been limited either preclinical animal m</w:t>
      </w:r>
      <w:r w:rsidR="00861B6E" w:rsidRPr="004E79AD">
        <w:rPr>
          <w:rFonts w:ascii="Book Antiqua" w:hAnsi="Book Antiqua" w:cs="Times New Roman"/>
          <w:sz w:val="24"/>
          <w:szCs w:val="24"/>
        </w:rPr>
        <w:t>odels or single-center studies.</w:t>
      </w:r>
    </w:p>
    <w:p w14:paraId="268D043A" w14:textId="77777777" w:rsidR="00121BB3" w:rsidRPr="004E79AD" w:rsidRDefault="00121BB3" w:rsidP="004E79AD">
      <w:pPr>
        <w:snapToGrid w:val="0"/>
        <w:spacing w:after="0" w:line="360" w:lineRule="auto"/>
        <w:jc w:val="both"/>
        <w:rPr>
          <w:rFonts w:ascii="Book Antiqua" w:hAnsi="Book Antiqua" w:cs="Times New Roman"/>
          <w:sz w:val="24"/>
          <w:szCs w:val="24"/>
        </w:rPr>
      </w:pPr>
    </w:p>
    <w:p w14:paraId="0AE7E237" w14:textId="77777777" w:rsidR="00121BB3" w:rsidRPr="004E79AD" w:rsidRDefault="00121BB3"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t>Research methods</w:t>
      </w:r>
    </w:p>
    <w:p w14:paraId="7CDE13D8" w14:textId="77777777" w:rsidR="00121BB3" w:rsidRPr="004E79AD" w:rsidRDefault="00121BB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A multi-institutional database from 12 academic institutions across the country was utilized for this study. Patients who underwent curative-intent CRS and HIPEC were identified and demographic, clinical, post-operative, and survival data was obtained. Kaplan-Meier survival method was used to determine estimates for overall and recurrence-free survival. Cox proportional hazard regression was used for multi-variable analysis was also used for overall and recurrence-free survival.</w:t>
      </w:r>
    </w:p>
    <w:p w14:paraId="6EAC4AB0" w14:textId="77777777" w:rsidR="00121BB3" w:rsidRPr="004E79AD" w:rsidRDefault="00121BB3" w:rsidP="004E79AD">
      <w:pPr>
        <w:snapToGrid w:val="0"/>
        <w:spacing w:after="0" w:line="360" w:lineRule="auto"/>
        <w:jc w:val="both"/>
        <w:rPr>
          <w:rFonts w:ascii="Book Antiqua" w:hAnsi="Book Antiqua" w:cs="Times New Roman"/>
          <w:sz w:val="24"/>
          <w:szCs w:val="24"/>
        </w:rPr>
      </w:pPr>
    </w:p>
    <w:p w14:paraId="62BA407D" w14:textId="77777777" w:rsidR="00121BB3" w:rsidRPr="004E79AD" w:rsidRDefault="00121BB3"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b/>
          <w:i/>
          <w:sz w:val="24"/>
          <w:szCs w:val="24"/>
        </w:rPr>
        <w:t>Research results</w:t>
      </w:r>
    </w:p>
    <w:p w14:paraId="1E48F3AC" w14:textId="0BAED5DB" w:rsidR="00121BB3" w:rsidRPr="004E79AD" w:rsidRDefault="00121BB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There was no difference in severe complications or rates of re-operation between the open and the closed HIPEC groups. Open HIPEC had higher mortality within 90 d while closed HIPEC had higher rates of readmission. The HIPEC technique used was also not an independent factor for overall or recurrence-free survival on multi-variable analysis.</w:t>
      </w:r>
    </w:p>
    <w:p w14:paraId="6FB8D56A" w14:textId="77777777" w:rsidR="00121BB3" w:rsidRPr="004E79AD" w:rsidRDefault="00121BB3" w:rsidP="004E79AD">
      <w:pPr>
        <w:snapToGrid w:val="0"/>
        <w:spacing w:after="0" w:line="360" w:lineRule="auto"/>
        <w:jc w:val="both"/>
        <w:rPr>
          <w:rFonts w:ascii="Book Antiqua" w:hAnsi="Book Antiqua" w:cs="Times New Roman"/>
          <w:i/>
          <w:sz w:val="24"/>
          <w:szCs w:val="24"/>
        </w:rPr>
      </w:pPr>
    </w:p>
    <w:p w14:paraId="20E02BBC" w14:textId="660CC240" w:rsidR="00121BB3" w:rsidRPr="004E79AD" w:rsidRDefault="00861B6E"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lastRenderedPageBreak/>
        <w:t>Research conclusions</w:t>
      </w:r>
    </w:p>
    <w:p w14:paraId="52FA983F" w14:textId="1463332E" w:rsidR="00121BB3" w:rsidRPr="004E79AD" w:rsidRDefault="00121BB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We found that HIPEC technique was not an independent factor for overall or recurrence-free survival, as well as not contributing significantly to relevant post-operative outcomes. Our goal was to determine if there was an optimal HIPEC regimen in order to provide patients w</w:t>
      </w:r>
      <w:r w:rsidR="00861B6E" w:rsidRPr="004E79AD">
        <w:rPr>
          <w:rFonts w:ascii="Book Antiqua" w:hAnsi="Book Antiqua" w:cs="Times New Roman"/>
          <w:sz w:val="24"/>
          <w:szCs w:val="24"/>
        </w:rPr>
        <w:t>ith the best possible outcomes.</w:t>
      </w:r>
    </w:p>
    <w:p w14:paraId="72AF97A1" w14:textId="77777777" w:rsidR="00121BB3" w:rsidRPr="004E79AD" w:rsidRDefault="00121BB3" w:rsidP="004E79AD">
      <w:pPr>
        <w:snapToGrid w:val="0"/>
        <w:spacing w:after="0" w:line="360" w:lineRule="auto"/>
        <w:jc w:val="both"/>
        <w:rPr>
          <w:rFonts w:ascii="Book Antiqua" w:hAnsi="Book Antiqua" w:cs="Times New Roman"/>
          <w:sz w:val="24"/>
          <w:szCs w:val="24"/>
        </w:rPr>
      </w:pPr>
    </w:p>
    <w:p w14:paraId="5558E729" w14:textId="77777777" w:rsidR="00121BB3" w:rsidRPr="004E79AD" w:rsidRDefault="00121BB3" w:rsidP="004E79AD">
      <w:pPr>
        <w:snapToGrid w:val="0"/>
        <w:spacing w:after="0" w:line="360" w:lineRule="auto"/>
        <w:jc w:val="both"/>
        <w:rPr>
          <w:rFonts w:ascii="Book Antiqua" w:hAnsi="Book Antiqua" w:cs="Times New Roman"/>
          <w:b/>
          <w:i/>
          <w:sz w:val="24"/>
          <w:szCs w:val="24"/>
        </w:rPr>
      </w:pPr>
      <w:r w:rsidRPr="004E79AD">
        <w:rPr>
          <w:rFonts w:ascii="Book Antiqua" w:hAnsi="Book Antiqua" w:cs="Times New Roman"/>
          <w:b/>
          <w:i/>
          <w:sz w:val="24"/>
          <w:szCs w:val="24"/>
        </w:rPr>
        <w:t>Research perspectives</w:t>
      </w:r>
    </w:p>
    <w:p w14:paraId="4EA8EA7B" w14:textId="77777777" w:rsidR="00121BB3" w:rsidRPr="004E79AD" w:rsidRDefault="00121BB3"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The HIPEC technique used can be left to the discretion of the operating surgeon, though continued effort to standardize HIPEC administration would benefit our ability to study patient outcomes. The optimal HIPEC regimen remains unknown and may vary depending on the clinical situation.</w:t>
      </w:r>
    </w:p>
    <w:p w14:paraId="60988C7C" w14:textId="77777777" w:rsidR="00C211A8" w:rsidRPr="004E79AD" w:rsidRDefault="00C211A8" w:rsidP="004E79AD">
      <w:pPr>
        <w:snapToGrid w:val="0"/>
        <w:spacing w:after="0" w:line="360" w:lineRule="auto"/>
        <w:jc w:val="both"/>
        <w:rPr>
          <w:rFonts w:ascii="Book Antiqua" w:hAnsi="Book Antiqua" w:cs="Times New Roman"/>
          <w:i/>
          <w:sz w:val="24"/>
          <w:szCs w:val="24"/>
        </w:rPr>
      </w:pPr>
    </w:p>
    <w:p w14:paraId="02854ED0" w14:textId="77777777" w:rsidR="00861B6E" w:rsidRPr="004E79AD" w:rsidRDefault="00861B6E" w:rsidP="004E79AD">
      <w:pPr>
        <w:pStyle w:val="paragraph"/>
        <w:adjustRightInd w:val="0"/>
        <w:snapToGrid w:val="0"/>
        <w:spacing w:before="0" w:beforeAutospacing="0" w:after="0" w:afterAutospacing="0" w:line="360" w:lineRule="auto"/>
        <w:jc w:val="both"/>
        <w:textAlignment w:val="baseline"/>
        <w:rPr>
          <w:rFonts w:ascii="Book Antiqua" w:hAnsi="Book Antiqua" w:cstheme="minorHAnsi"/>
          <w:b/>
          <w:u w:val="single"/>
        </w:rPr>
      </w:pPr>
      <w:r w:rsidRPr="004E79AD">
        <w:rPr>
          <w:rStyle w:val="normaltextrun"/>
          <w:rFonts w:ascii="Book Antiqua" w:hAnsi="Book Antiqua" w:cstheme="minorHAnsi"/>
          <w:b/>
          <w:u w:val="single"/>
        </w:rPr>
        <w:t>ACKNOWLEDGEMENTS</w:t>
      </w:r>
    </w:p>
    <w:p w14:paraId="1EEC9273" w14:textId="3CAF287A" w:rsidR="00D54444" w:rsidRPr="004E79AD" w:rsidRDefault="00BE4C69"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This work was presented at the 2019 International Symposium on Regional Cancer Therapies in Phoenix, AZ.</w:t>
      </w:r>
    </w:p>
    <w:p w14:paraId="26B0B613" w14:textId="77777777" w:rsidR="00861B6E" w:rsidRPr="004E79AD" w:rsidRDefault="00861B6E" w:rsidP="004E79AD">
      <w:pPr>
        <w:snapToGrid w:val="0"/>
        <w:spacing w:after="0" w:line="360" w:lineRule="auto"/>
        <w:jc w:val="both"/>
        <w:rPr>
          <w:rFonts w:ascii="Book Antiqua" w:hAnsi="Book Antiqua" w:cs="Times New Roman"/>
          <w:b/>
          <w:sz w:val="24"/>
          <w:szCs w:val="24"/>
        </w:rPr>
      </w:pPr>
    </w:p>
    <w:p w14:paraId="13E59D6E" w14:textId="77777777" w:rsidR="00861B6E" w:rsidRPr="004E79AD" w:rsidRDefault="00861B6E" w:rsidP="004E79AD">
      <w:pPr>
        <w:adjustRightInd w:val="0"/>
        <w:snapToGrid w:val="0"/>
        <w:spacing w:after="0" w:line="360" w:lineRule="auto"/>
        <w:jc w:val="both"/>
        <w:rPr>
          <w:rFonts w:ascii="Book Antiqua" w:hAnsi="Book Antiqua"/>
          <w:b/>
          <w:sz w:val="24"/>
          <w:szCs w:val="24"/>
        </w:rPr>
      </w:pPr>
      <w:r w:rsidRPr="004E79AD">
        <w:rPr>
          <w:rFonts w:ascii="Book Antiqua" w:hAnsi="Book Antiqua"/>
          <w:b/>
          <w:sz w:val="24"/>
          <w:szCs w:val="24"/>
        </w:rPr>
        <w:t>REFERENCES</w:t>
      </w:r>
    </w:p>
    <w:p w14:paraId="7F6B817A"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 </w:t>
      </w:r>
      <w:r w:rsidRPr="004E79AD">
        <w:rPr>
          <w:rFonts w:ascii="Book Antiqua" w:hAnsi="Book Antiqua"/>
          <w:b/>
          <w:sz w:val="24"/>
          <w:szCs w:val="24"/>
        </w:rPr>
        <w:t>Yan TD</w:t>
      </w:r>
      <w:r w:rsidRPr="004E79AD">
        <w:rPr>
          <w:rFonts w:ascii="Book Antiqua" w:hAnsi="Book Antiqua"/>
          <w:sz w:val="24"/>
          <w:szCs w:val="24"/>
        </w:rPr>
        <w:t xml:space="preserve">, Black D, </w:t>
      </w:r>
      <w:proofErr w:type="spellStart"/>
      <w:r w:rsidRPr="004E79AD">
        <w:rPr>
          <w:rFonts w:ascii="Book Antiqua" w:hAnsi="Book Antiqua"/>
          <w:sz w:val="24"/>
          <w:szCs w:val="24"/>
        </w:rPr>
        <w:t>Savady</w:t>
      </w:r>
      <w:proofErr w:type="spellEnd"/>
      <w:r w:rsidRPr="004E79AD">
        <w:rPr>
          <w:rFonts w:ascii="Book Antiqua" w:hAnsi="Book Antiqua"/>
          <w:sz w:val="24"/>
          <w:szCs w:val="24"/>
        </w:rPr>
        <w:t xml:space="preserve"> R, </w:t>
      </w:r>
      <w:proofErr w:type="spellStart"/>
      <w:r w:rsidRPr="004E79AD">
        <w:rPr>
          <w:rFonts w:ascii="Book Antiqua" w:hAnsi="Book Antiqua"/>
          <w:sz w:val="24"/>
          <w:szCs w:val="24"/>
        </w:rPr>
        <w:t>Sugarbaker</w:t>
      </w:r>
      <w:proofErr w:type="spellEnd"/>
      <w:r w:rsidRPr="004E79AD">
        <w:rPr>
          <w:rFonts w:ascii="Book Antiqua" w:hAnsi="Book Antiqua"/>
          <w:sz w:val="24"/>
          <w:szCs w:val="24"/>
        </w:rPr>
        <w:t xml:space="preserve"> PH. Systematic review on the efficacy of cytoreductive surgery combined with perioperative intraperitoneal chemotherapy for peritoneal carcinomatosis from colorectal carcinoma. </w:t>
      </w:r>
      <w:r w:rsidRPr="004E79AD">
        <w:rPr>
          <w:rFonts w:ascii="Book Antiqua" w:hAnsi="Book Antiqua"/>
          <w:i/>
          <w:sz w:val="24"/>
          <w:szCs w:val="24"/>
        </w:rPr>
        <w:t xml:space="preserve">J </w:t>
      </w:r>
      <w:proofErr w:type="spellStart"/>
      <w:r w:rsidRPr="004E79AD">
        <w:rPr>
          <w:rFonts w:ascii="Book Antiqua" w:hAnsi="Book Antiqua"/>
          <w:i/>
          <w:sz w:val="24"/>
          <w:szCs w:val="24"/>
        </w:rPr>
        <w:t>Clin</w:t>
      </w:r>
      <w:proofErr w:type="spellEnd"/>
      <w:r w:rsidRPr="004E79AD">
        <w:rPr>
          <w:rFonts w:ascii="Book Antiqua" w:hAnsi="Book Antiqua"/>
          <w:i/>
          <w:sz w:val="24"/>
          <w:szCs w:val="24"/>
        </w:rPr>
        <w:t xml:space="preserve"> </w:t>
      </w:r>
      <w:proofErr w:type="spellStart"/>
      <w:r w:rsidRPr="004E79AD">
        <w:rPr>
          <w:rFonts w:ascii="Book Antiqua" w:hAnsi="Book Antiqua"/>
          <w:i/>
          <w:sz w:val="24"/>
          <w:szCs w:val="24"/>
        </w:rPr>
        <w:t>Oncol</w:t>
      </w:r>
      <w:proofErr w:type="spellEnd"/>
      <w:r w:rsidRPr="004E79AD">
        <w:rPr>
          <w:rFonts w:ascii="Book Antiqua" w:hAnsi="Book Antiqua"/>
          <w:sz w:val="24"/>
          <w:szCs w:val="24"/>
        </w:rPr>
        <w:t xml:space="preserve"> 2006; </w:t>
      </w:r>
      <w:r w:rsidRPr="004E79AD">
        <w:rPr>
          <w:rFonts w:ascii="Book Antiqua" w:hAnsi="Book Antiqua"/>
          <w:b/>
          <w:sz w:val="24"/>
          <w:szCs w:val="24"/>
        </w:rPr>
        <w:t>24</w:t>
      </w:r>
      <w:r w:rsidRPr="004E79AD">
        <w:rPr>
          <w:rFonts w:ascii="Book Antiqua" w:hAnsi="Book Antiqua"/>
          <w:sz w:val="24"/>
          <w:szCs w:val="24"/>
        </w:rPr>
        <w:t>: 4011-4019 [PMID: 16921055 DOI: 10.1200/JCO.2006.07.1142]</w:t>
      </w:r>
    </w:p>
    <w:p w14:paraId="5A531689"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2 </w:t>
      </w:r>
      <w:r w:rsidRPr="004E79AD">
        <w:rPr>
          <w:rFonts w:ascii="Book Antiqua" w:hAnsi="Book Antiqua"/>
          <w:b/>
          <w:sz w:val="24"/>
          <w:szCs w:val="24"/>
        </w:rPr>
        <w:t>Yan TD</w:t>
      </w:r>
      <w:r w:rsidRPr="004E79AD">
        <w:rPr>
          <w:rFonts w:ascii="Book Antiqua" w:hAnsi="Book Antiqua"/>
          <w:sz w:val="24"/>
          <w:szCs w:val="24"/>
        </w:rPr>
        <w:t xml:space="preserve">, Black D, </w:t>
      </w:r>
      <w:proofErr w:type="spellStart"/>
      <w:r w:rsidRPr="004E79AD">
        <w:rPr>
          <w:rFonts w:ascii="Book Antiqua" w:hAnsi="Book Antiqua"/>
          <w:sz w:val="24"/>
          <w:szCs w:val="24"/>
        </w:rPr>
        <w:t>Savady</w:t>
      </w:r>
      <w:proofErr w:type="spellEnd"/>
      <w:r w:rsidRPr="004E79AD">
        <w:rPr>
          <w:rFonts w:ascii="Book Antiqua" w:hAnsi="Book Antiqua"/>
          <w:sz w:val="24"/>
          <w:szCs w:val="24"/>
        </w:rPr>
        <w:t xml:space="preserve"> R, </w:t>
      </w:r>
      <w:proofErr w:type="spellStart"/>
      <w:r w:rsidRPr="004E79AD">
        <w:rPr>
          <w:rFonts w:ascii="Book Antiqua" w:hAnsi="Book Antiqua"/>
          <w:sz w:val="24"/>
          <w:szCs w:val="24"/>
        </w:rPr>
        <w:t>Sugarbaker</w:t>
      </w:r>
      <w:proofErr w:type="spellEnd"/>
      <w:r w:rsidRPr="004E79AD">
        <w:rPr>
          <w:rFonts w:ascii="Book Antiqua" w:hAnsi="Book Antiqua"/>
          <w:sz w:val="24"/>
          <w:szCs w:val="24"/>
        </w:rPr>
        <w:t xml:space="preserve"> PH. </w:t>
      </w:r>
      <w:proofErr w:type="gramStart"/>
      <w:r w:rsidRPr="004E79AD">
        <w:rPr>
          <w:rFonts w:ascii="Book Antiqua" w:hAnsi="Book Antiqua"/>
          <w:sz w:val="24"/>
          <w:szCs w:val="24"/>
        </w:rPr>
        <w:t>A systematic review on the efficacy of cytoreductive surgery and perioperative intraperitoneal chemotherapy for pseudomyxoma peritonei.</w:t>
      </w:r>
      <w:proofErr w:type="gramEnd"/>
      <w:r w:rsidRPr="004E79AD">
        <w:rPr>
          <w:rFonts w:ascii="Book Antiqua" w:hAnsi="Book Antiqua"/>
          <w:sz w:val="24"/>
          <w:szCs w:val="24"/>
        </w:rPr>
        <w:t xml:space="preserve"> </w:t>
      </w:r>
      <w:r w:rsidRPr="004E79AD">
        <w:rPr>
          <w:rFonts w:ascii="Book Antiqua" w:hAnsi="Book Antiqua"/>
          <w:i/>
          <w:sz w:val="24"/>
          <w:szCs w:val="24"/>
        </w:rPr>
        <w:t xml:space="preserve">Ann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w:t>
      </w:r>
      <w:proofErr w:type="spellStart"/>
      <w:r w:rsidRPr="004E79AD">
        <w:rPr>
          <w:rFonts w:ascii="Book Antiqua" w:hAnsi="Book Antiqua"/>
          <w:i/>
          <w:sz w:val="24"/>
          <w:szCs w:val="24"/>
        </w:rPr>
        <w:t>Oncol</w:t>
      </w:r>
      <w:proofErr w:type="spellEnd"/>
      <w:r w:rsidRPr="004E79AD">
        <w:rPr>
          <w:rFonts w:ascii="Book Antiqua" w:hAnsi="Book Antiqua"/>
          <w:sz w:val="24"/>
          <w:szCs w:val="24"/>
        </w:rPr>
        <w:t xml:space="preserve"> 2007; </w:t>
      </w:r>
      <w:r w:rsidRPr="004E79AD">
        <w:rPr>
          <w:rFonts w:ascii="Book Antiqua" w:hAnsi="Book Antiqua"/>
          <w:b/>
          <w:sz w:val="24"/>
          <w:szCs w:val="24"/>
        </w:rPr>
        <w:t>14</w:t>
      </w:r>
      <w:r w:rsidRPr="004E79AD">
        <w:rPr>
          <w:rFonts w:ascii="Book Antiqua" w:hAnsi="Book Antiqua"/>
          <w:sz w:val="24"/>
          <w:szCs w:val="24"/>
        </w:rPr>
        <w:t>: 484-492 [PMID: 17054002 DOI: 10.1245/s10434-006-9182-x]</w:t>
      </w:r>
    </w:p>
    <w:p w14:paraId="4094714B"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3 </w:t>
      </w:r>
      <w:r w:rsidRPr="004E79AD">
        <w:rPr>
          <w:rFonts w:ascii="Book Antiqua" w:hAnsi="Book Antiqua"/>
          <w:b/>
          <w:sz w:val="24"/>
          <w:szCs w:val="24"/>
        </w:rPr>
        <w:t>Helm JH</w:t>
      </w:r>
      <w:r w:rsidRPr="004E79AD">
        <w:rPr>
          <w:rFonts w:ascii="Book Antiqua" w:hAnsi="Book Antiqua"/>
          <w:sz w:val="24"/>
          <w:szCs w:val="24"/>
        </w:rPr>
        <w:t xml:space="preserve">, Miura JT, Glenn JA, Marcus RK, </w:t>
      </w:r>
      <w:proofErr w:type="spellStart"/>
      <w:r w:rsidRPr="004E79AD">
        <w:rPr>
          <w:rFonts w:ascii="Book Antiqua" w:hAnsi="Book Antiqua"/>
          <w:sz w:val="24"/>
          <w:szCs w:val="24"/>
        </w:rPr>
        <w:t>Larrieux</w:t>
      </w:r>
      <w:proofErr w:type="spellEnd"/>
      <w:r w:rsidRPr="004E79AD">
        <w:rPr>
          <w:rFonts w:ascii="Book Antiqua" w:hAnsi="Book Antiqua"/>
          <w:sz w:val="24"/>
          <w:szCs w:val="24"/>
        </w:rPr>
        <w:t xml:space="preserve"> G, </w:t>
      </w:r>
      <w:proofErr w:type="spellStart"/>
      <w:r w:rsidRPr="004E79AD">
        <w:rPr>
          <w:rFonts w:ascii="Book Antiqua" w:hAnsi="Book Antiqua"/>
          <w:sz w:val="24"/>
          <w:szCs w:val="24"/>
        </w:rPr>
        <w:t>Jayakrishnan</w:t>
      </w:r>
      <w:proofErr w:type="spellEnd"/>
      <w:r w:rsidRPr="004E79AD">
        <w:rPr>
          <w:rFonts w:ascii="Book Antiqua" w:hAnsi="Book Antiqua"/>
          <w:sz w:val="24"/>
          <w:szCs w:val="24"/>
        </w:rPr>
        <w:t xml:space="preserve"> TT, Donahue AE, </w:t>
      </w:r>
      <w:proofErr w:type="spellStart"/>
      <w:r w:rsidRPr="004E79AD">
        <w:rPr>
          <w:rFonts w:ascii="Book Antiqua" w:hAnsi="Book Antiqua"/>
          <w:sz w:val="24"/>
          <w:szCs w:val="24"/>
        </w:rPr>
        <w:t>Gamblin</w:t>
      </w:r>
      <w:proofErr w:type="spellEnd"/>
      <w:r w:rsidRPr="004E79AD">
        <w:rPr>
          <w:rFonts w:ascii="Book Antiqua" w:hAnsi="Book Antiqua"/>
          <w:sz w:val="24"/>
          <w:szCs w:val="24"/>
        </w:rPr>
        <w:t xml:space="preserve"> TC, </w:t>
      </w:r>
      <w:proofErr w:type="spellStart"/>
      <w:r w:rsidRPr="004E79AD">
        <w:rPr>
          <w:rFonts w:ascii="Book Antiqua" w:hAnsi="Book Antiqua"/>
          <w:sz w:val="24"/>
          <w:szCs w:val="24"/>
        </w:rPr>
        <w:t>Turaga</w:t>
      </w:r>
      <w:proofErr w:type="spellEnd"/>
      <w:r w:rsidRPr="004E79AD">
        <w:rPr>
          <w:rFonts w:ascii="Book Antiqua" w:hAnsi="Book Antiqua"/>
          <w:sz w:val="24"/>
          <w:szCs w:val="24"/>
        </w:rPr>
        <w:t xml:space="preserve"> KK, Johnston FM. Cytoreductive surgery and hyperthermic intraperitoneal chemotherapy for malignant peritoneal </w:t>
      </w:r>
      <w:r w:rsidRPr="004E79AD">
        <w:rPr>
          <w:rFonts w:ascii="Book Antiqua" w:hAnsi="Book Antiqua"/>
          <w:sz w:val="24"/>
          <w:szCs w:val="24"/>
        </w:rPr>
        <w:lastRenderedPageBreak/>
        <w:t xml:space="preserve">mesothelioma: a systematic review and meta-analysis. </w:t>
      </w:r>
      <w:r w:rsidRPr="004E79AD">
        <w:rPr>
          <w:rFonts w:ascii="Book Antiqua" w:hAnsi="Book Antiqua"/>
          <w:i/>
          <w:sz w:val="24"/>
          <w:szCs w:val="24"/>
        </w:rPr>
        <w:t xml:space="preserve">Ann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w:t>
      </w:r>
      <w:proofErr w:type="spellStart"/>
      <w:r w:rsidRPr="004E79AD">
        <w:rPr>
          <w:rFonts w:ascii="Book Antiqua" w:hAnsi="Book Antiqua"/>
          <w:i/>
          <w:sz w:val="24"/>
          <w:szCs w:val="24"/>
        </w:rPr>
        <w:t>Oncol</w:t>
      </w:r>
      <w:proofErr w:type="spellEnd"/>
      <w:r w:rsidRPr="004E79AD">
        <w:rPr>
          <w:rFonts w:ascii="Book Antiqua" w:hAnsi="Book Antiqua"/>
          <w:sz w:val="24"/>
          <w:szCs w:val="24"/>
        </w:rPr>
        <w:t xml:space="preserve"> 2015; </w:t>
      </w:r>
      <w:r w:rsidRPr="004E79AD">
        <w:rPr>
          <w:rFonts w:ascii="Book Antiqua" w:hAnsi="Book Antiqua"/>
          <w:b/>
          <w:sz w:val="24"/>
          <w:szCs w:val="24"/>
        </w:rPr>
        <w:t>22</w:t>
      </w:r>
      <w:r w:rsidRPr="004E79AD">
        <w:rPr>
          <w:rFonts w:ascii="Book Antiqua" w:hAnsi="Book Antiqua"/>
          <w:sz w:val="24"/>
          <w:szCs w:val="24"/>
        </w:rPr>
        <w:t>: 1686-1693 [PMID: 25124472 DOI: 10.1245/s10434-014-3978-x]</w:t>
      </w:r>
    </w:p>
    <w:p w14:paraId="19CB16D3"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4 </w:t>
      </w:r>
      <w:proofErr w:type="spellStart"/>
      <w:r w:rsidRPr="004E79AD">
        <w:rPr>
          <w:rFonts w:ascii="Book Antiqua" w:hAnsi="Book Antiqua"/>
          <w:b/>
          <w:sz w:val="24"/>
          <w:szCs w:val="24"/>
        </w:rPr>
        <w:t>Glehen</w:t>
      </w:r>
      <w:proofErr w:type="spellEnd"/>
      <w:r w:rsidRPr="004E79AD">
        <w:rPr>
          <w:rFonts w:ascii="Book Antiqua" w:hAnsi="Book Antiqua"/>
          <w:b/>
          <w:sz w:val="24"/>
          <w:szCs w:val="24"/>
        </w:rPr>
        <w:t xml:space="preserve"> O</w:t>
      </w:r>
      <w:r w:rsidRPr="004E79AD">
        <w:rPr>
          <w:rFonts w:ascii="Book Antiqua" w:hAnsi="Book Antiqua"/>
          <w:sz w:val="24"/>
          <w:szCs w:val="24"/>
        </w:rPr>
        <w:t xml:space="preserve">, </w:t>
      </w:r>
      <w:proofErr w:type="spellStart"/>
      <w:r w:rsidRPr="004E79AD">
        <w:rPr>
          <w:rFonts w:ascii="Book Antiqua" w:hAnsi="Book Antiqua"/>
          <w:sz w:val="24"/>
          <w:szCs w:val="24"/>
        </w:rPr>
        <w:t>Cotte</w:t>
      </w:r>
      <w:proofErr w:type="spellEnd"/>
      <w:r w:rsidRPr="004E79AD">
        <w:rPr>
          <w:rFonts w:ascii="Book Antiqua" w:hAnsi="Book Antiqua"/>
          <w:sz w:val="24"/>
          <w:szCs w:val="24"/>
        </w:rPr>
        <w:t xml:space="preserve"> E, </w:t>
      </w:r>
      <w:proofErr w:type="spellStart"/>
      <w:r w:rsidRPr="004E79AD">
        <w:rPr>
          <w:rFonts w:ascii="Book Antiqua" w:hAnsi="Book Antiqua"/>
          <w:sz w:val="24"/>
          <w:szCs w:val="24"/>
        </w:rPr>
        <w:t>Kusamura</w:t>
      </w:r>
      <w:proofErr w:type="spellEnd"/>
      <w:r w:rsidRPr="004E79AD">
        <w:rPr>
          <w:rFonts w:ascii="Book Antiqua" w:hAnsi="Book Antiqua"/>
          <w:sz w:val="24"/>
          <w:szCs w:val="24"/>
        </w:rPr>
        <w:t xml:space="preserve"> S, </w:t>
      </w:r>
      <w:proofErr w:type="spellStart"/>
      <w:r w:rsidRPr="004E79AD">
        <w:rPr>
          <w:rFonts w:ascii="Book Antiqua" w:hAnsi="Book Antiqua"/>
          <w:sz w:val="24"/>
          <w:szCs w:val="24"/>
        </w:rPr>
        <w:t>Deraco</w:t>
      </w:r>
      <w:proofErr w:type="spellEnd"/>
      <w:r w:rsidRPr="004E79AD">
        <w:rPr>
          <w:rFonts w:ascii="Book Antiqua" w:hAnsi="Book Antiqua"/>
          <w:sz w:val="24"/>
          <w:szCs w:val="24"/>
        </w:rPr>
        <w:t xml:space="preserve"> M, </w:t>
      </w:r>
      <w:proofErr w:type="spellStart"/>
      <w:r w:rsidRPr="004E79AD">
        <w:rPr>
          <w:rFonts w:ascii="Book Antiqua" w:hAnsi="Book Antiqua"/>
          <w:sz w:val="24"/>
          <w:szCs w:val="24"/>
        </w:rPr>
        <w:t>Baratti</w:t>
      </w:r>
      <w:proofErr w:type="spellEnd"/>
      <w:r w:rsidRPr="004E79AD">
        <w:rPr>
          <w:rFonts w:ascii="Book Antiqua" w:hAnsi="Book Antiqua"/>
          <w:sz w:val="24"/>
          <w:szCs w:val="24"/>
        </w:rPr>
        <w:t xml:space="preserve"> D, </w:t>
      </w:r>
      <w:proofErr w:type="spellStart"/>
      <w:r w:rsidRPr="004E79AD">
        <w:rPr>
          <w:rFonts w:ascii="Book Antiqua" w:hAnsi="Book Antiqua"/>
          <w:sz w:val="24"/>
          <w:szCs w:val="24"/>
        </w:rPr>
        <w:t>Passot</w:t>
      </w:r>
      <w:proofErr w:type="spellEnd"/>
      <w:r w:rsidRPr="004E79AD">
        <w:rPr>
          <w:rFonts w:ascii="Book Antiqua" w:hAnsi="Book Antiqua"/>
          <w:sz w:val="24"/>
          <w:szCs w:val="24"/>
        </w:rPr>
        <w:t xml:space="preserve"> G, </w:t>
      </w:r>
      <w:proofErr w:type="spellStart"/>
      <w:r w:rsidRPr="004E79AD">
        <w:rPr>
          <w:rFonts w:ascii="Book Antiqua" w:hAnsi="Book Antiqua"/>
          <w:sz w:val="24"/>
          <w:szCs w:val="24"/>
        </w:rPr>
        <w:t>Beaujard</w:t>
      </w:r>
      <w:proofErr w:type="spellEnd"/>
      <w:r w:rsidRPr="004E79AD">
        <w:rPr>
          <w:rFonts w:ascii="Book Antiqua" w:hAnsi="Book Antiqua"/>
          <w:sz w:val="24"/>
          <w:szCs w:val="24"/>
        </w:rPr>
        <w:t xml:space="preserve"> AC, Noel GF. Hyperthermic intraperitoneal chemotherapy: nomenclature and modalities of perfusion. </w:t>
      </w:r>
      <w:r w:rsidRPr="004E79AD">
        <w:rPr>
          <w:rFonts w:ascii="Book Antiqua" w:hAnsi="Book Antiqua"/>
          <w:i/>
          <w:sz w:val="24"/>
          <w:szCs w:val="24"/>
        </w:rPr>
        <w:t xml:space="preserve">J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w:t>
      </w:r>
      <w:proofErr w:type="spellStart"/>
      <w:r w:rsidRPr="004E79AD">
        <w:rPr>
          <w:rFonts w:ascii="Book Antiqua" w:hAnsi="Book Antiqua"/>
          <w:i/>
          <w:sz w:val="24"/>
          <w:szCs w:val="24"/>
        </w:rPr>
        <w:t>Oncol</w:t>
      </w:r>
      <w:proofErr w:type="spellEnd"/>
      <w:r w:rsidRPr="004E79AD">
        <w:rPr>
          <w:rFonts w:ascii="Book Antiqua" w:hAnsi="Book Antiqua"/>
          <w:sz w:val="24"/>
          <w:szCs w:val="24"/>
        </w:rPr>
        <w:t xml:space="preserve"> 2008; </w:t>
      </w:r>
      <w:r w:rsidRPr="004E79AD">
        <w:rPr>
          <w:rFonts w:ascii="Book Antiqua" w:hAnsi="Book Antiqua"/>
          <w:b/>
          <w:sz w:val="24"/>
          <w:szCs w:val="24"/>
        </w:rPr>
        <w:t>98</w:t>
      </w:r>
      <w:r w:rsidRPr="004E79AD">
        <w:rPr>
          <w:rFonts w:ascii="Book Antiqua" w:hAnsi="Book Antiqua"/>
          <w:sz w:val="24"/>
          <w:szCs w:val="24"/>
        </w:rPr>
        <w:t>: 242-246 [PMID: 18726885 DOI: 10.1002/jso.21061]</w:t>
      </w:r>
    </w:p>
    <w:p w14:paraId="1F37688F" w14:textId="53336A35" w:rsidR="00547688" w:rsidRPr="004E79AD" w:rsidRDefault="00547688" w:rsidP="004E79AD">
      <w:pPr>
        <w:snapToGrid w:val="0"/>
        <w:spacing w:after="0" w:line="360" w:lineRule="auto"/>
        <w:jc w:val="both"/>
        <w:rPr>
          <w:rFonts w:ascii="Book Antiqua" w:hAnsi="Book Antiqua"/>
          <w:sz w:val="24"/>
          <w:szCs w:val="24"/>
        </w:rPr>
      </w:pPr>
      <w:bookmarkStart w:id="14" w:name="_GoBack"/>
      <w:bookmarkEnd w:id="14"/>
      <w:r w:rsidRPr="001D1111">
        <w:rPr>
          <w:rFonts w:ascii="Book Antiqua" w:hAnsi="Book Antiqua"/>
          <w:sz w:val="24"/>
          <w:szCs w:val="24"/>
        </w:rPr>
        <w:t xml:space="preserve">5 </w:t>
      </w:r>
      <w:proofErr w:type="spellStart"/>
      <w:r w:rsidRPr="001D1111">
        <w:rPr>
          <w:rFonts w:ascii="Book Antiqua" w:hAnsi="Book Antiqua"/>
          <w:b/>
          <w:sz w:val="24"/>
          <w:szCs w:val="24"/>
        </w:rPr>
        <w:t>Sugarbaker</w:t>
      </w:r>
      <w:proofErr w:type="spellEnd"/>
      <w:r w:rsidRPr="001D1111">
        <w:rPr>
          <w:rFonts w:ascii="Book Antiqua" w:hAnsi="Book Antiqua"/>
          <w:b/>
          <w:sz w:val="24"/>
          <w:szCs w:val="24"/>
        </w:rPr>
        <w:t xml:space="preserve"> PH. </w:t>
      </w:r>
      <w:r w:rsidRPr="001D1111">
        <w:rPr>
          <w:rFonts w:ascii="Book Antiqua" w:hAnsi="Book Antiqua"/>
          <w:sz w:val="24"/>
          <w:szCs w:val="24"/>
        </w:rPr>
        <w:t xml:space="preserve">Technical </w:t>
      </w:r>
      <w:proofErr w:type="gramStart"/>
      <w:r w:rsidRPr="001D1111">
        <w:rPr>
          <w:rFonts w:ascii="Book Antiqua" w:hAnsi="Book Antiqua"/>
          <w:sz w:val="24"/>
          <w:szCs w:val="24"/>
        </w:rPr>
        <w:t>Handbook</w:t>
      </w:r>
      <w:proofErr w:type="gramEnd"/>
      <w:r w:rsidRPr="001D1111">
        <w:rPr>
          <w:rFonts w:ascii="Book Antiqua" w:hAnsi="Book Antiqua"/>
          <w:sz w:val="24"/>
          <w:szCs w:val="24"/>
        </w:rPr>
        <w:t xml:space="preserve"> for the Integration of Cytoreductive Surgery and Perioperative Intraperitoneal Chemotherapy into the Surgical Management of Gastrointestinal and Gynecologic Malignancy</w:t>
      </w:r>
      <w:r w:rsidR="0079669F" w:rsidRPr="001D1111">
        <w:rPr>
          <w:rFonts w:ascii="Book Antiqua" w:hAnsi="Book Antiqua"/>
          <w:sz w:val="24"/>
          <w:szCs w:val="24"/>
        </w:rPr>
        <w:t>.</w:t>
      </w:r>
      <w:r w:rsidRPr="001D1111">
        <w:rPr>
          <w:rFonts w:ascii="Book Antiqua" w:hAnsi="Book Antiqua"/>
          <w:sz w:val="24"/>
          <w:szCs w:val="24"/>
        </w:rPr>
        <w:t xml:space="preserve"> 4th </w:t>
      </w:r>
      <w:r w:rsidR="0079669F" w:rsidRPr="001D1111">
        <w:rPr>
          <w:rFonts w:ascii="Book Antiqua" w:hAnsi="Book Antiqua"/>
          <w:sz w:val="24"/>
          <w:szCs w:val="24"/>
        </w:rPr>
        <w:t>ed</w:t>
      </w:r>
      <w:r w:rsidRPr="001D1111">
        <w:rPr>
          <w:rFonts w:ascii="Book Antiqua" w:hAnsi="Book Antiqua"/>
          <w:sz w:val="24"/>
          <w:szCs w:val="24"/>
        </w:rPr>
        <w:t xml:space="preserve">. Michigan: </w:t>
      </w:r>
      <w:proofErr w:type="spellStart"/>
      <w:r w:rsidRPr="001D1111">
        <w:rPr>
          <w:rFonts w:ascii="Book Antiqua" w:hAnsi="Book Antiqua"/>
          <w:sz w:val="24"/>
          <w:szCs w:val="24"/>
        </w:rPr>
        <w:t>Laudann</w:t>
      </w:r>
      <w:proofErr w:type="spellEnd"/>
      <w:r w:rsidRPr="001D1111">
        <w:rPr>
          <w:rFonts w:ascii="Book Antiqua" w:hAnsi="Book Antiqua"/>
          <w:sz w:val="24"/>
          <w:szCs w:val="24"/>
        </w:rPr>
        <w:t xml:space="preserve"> Company; 2005</w:t>
      </w:r>
    </w:p>
    <w:p w14:paraId="2BB2E980"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6 </w:t>
      </w:r>
      <w:proofErr w:type="spellStart"/>
      <w:r w:rsidRPr="004E79AD">
        <w:rPr>
          <w:rFonts w:ascii="Book Antiqua" w:hAnsi="Book Antiqua"/>
          <w:b/>
          <w:sz w:val="24"/>
          <w:szCs w:val="24"/>
        </w:rPr>
        <w:t>Glehen</w:t>
      </w:r>
      <w:proofErr w:type="spellEnd"/>
      <w:r w:rsidRPr="004E79AD">
        <w:rPr>
          <w:rFonts w:ascii="Book Antiqua" w:hAnsi="Book Antiqua"/>
          <w:b/>
          <w:sz w:val="24"/>
          <w:szCs w:val="24"/>
        </w:rPr>
        <w:t xml:space="preserve"> O</w:t>
      </w:r>
      <w:r w:rsidRPr="004E79AD">
        <w:rPr>
          <w:rFonts w:ascii="Book Antiqua" w:hAnsi="Book Antiqua"/>
          <w:sz w:val="24"/>
          <w:szCs w:val="24"/>
        </w:rPr>
        <w:t xml:space="preserve">, </w:t>
      </w:r>
      <w:proofErr w:type="spellStart"/>
      <w:r w:rsidRPr="004E79AD">
        <w:rPr>
          <w:rFonts w:ascii="Book Antiqua" w:hAnsi="Book Antiqua"/>
          <w:sz w:val="24"/>
          <w:szCs w:val="24"/>
        </w:rPr>
        <w:t>Osinsky</w:t>
      </w:r>
      <w:proofErr w:type="spellEnd"/>
      <w:r w:rsidRPr="004E79AD">
        <w:rPr>
          <w:rFonts w:ascii="Book Antiqua" w:hAnsi="Book Antiqua"/>
          <w:sz w:val="24"/>
          <w:szCs w:val="24"/>
        </w:rPr>
        <w:t xml:space="preserve"> D, </w:t>
      </w:r>
      <w:proofErr w:type="spellStart"/>
      <w:r w:rsidRPr="004E79AD">
        <w:rPr>
          <w:rFonts w:ascii="Book Antiqua" w:hAnsi="Book Antiqua"/>
          <w:sz w:val="24"/>
          <w:szCs w:val="24"/>
        </w:rPr>
        <w:t>Cotte</w:t>
      </w:r>
      <w:proofErr w:type="spellEnd"/>
      <w:r w:rsidRPr="004E79AD">
        <w:rPr>
          <w:rFonts w:ascii="Book Antiqua" w:hAnsi="Book Antiqua"/>
          <w:sz w:val="24"/>
          <w:szCs w:val="24"/>
        </w:rPr>
        <w:t xml:space="preserve"> E, Kwiatkowski F, </w:t>
      </w:r>
      <w:proofErr w:type="spellStart"/>
      <w:r w:rsidRPr="004E79AD">
        <w:rPr>
          <w:rFonts w:ascii="Book Antiqua" w:hAnsi="Book Antiqua"/>
          <w:sz w:val="24"/>
          <w:szCs w:val="24"/>
        </w:rPr>
        <w:t>Freyer</w:t>
      </w:r>
      <w:proofErr w:type="spellEnd"/>
      <w:r w:rsidRPr="004E79AD">
        <w:rPr>
          <w:rFonts w:ascii="Book Antiqua" w:hAnsi="Book Antiqua"/>
          <w:sz w:val="24"/>
          <w:szCs w:val="24"/>
        </w:rPr>
        <w:t xml:space="preserve"> G, Isaac S, </w:t>
      </w:r>
      <w:proofErr w:type="spellStart"/>
      <w:r w:rsidRPr="004E79AD">
        <w:rPr>
          <w:rFonts w:ascii="Book Antiqua" w:hAnsi="Book Antiqua"/>
          <w:sz w:val="24"/>
          <w:szCs w:val="24"/>
        </w:rPr>
        <w:t>Trillet</w:t>
      </w:r>
      <w:proofErr w:type="spellEnd"/>
      <w:r w:rsidRPr="004E79AD">
        <w:rPr>
          <w:rFonts w:ascii="Book Antiqua" w:hAnsi="Book Antiqua"/>
          <w:sz w:val="24"/>
          <w:szCs w:val="24"/>
        </w:rPr>
        <w:t xml:space="preserve">-Lenoir V, </w:t>
      </w:r>
      <w:proofErr w:type="spellStart"/>
      <w:r w:rsidRPr="004E79AD">
        <w:rPr>
          <w:rFonts w:ascii="Book Antiqua" w:hAnsi="Book Antiqua"/>
          <w:sz w:val="24"/>
          <w:szCs w:val="24"/>
        </w:rPr>
        <w:t>Sayag-Beaujard</w:t>
      </w:r>
      <w:proofErr w:type="spellEnd"/>
      <w:r w:rsidRPr="004E79AD">
        <w:rPr>
          <w:rFonts w:ascii="Book Antiqua" w:hAnsi="Book Antiqua"/>
          <w:sz w:val="24"/>
          <w:szCs w:val="24"/>
        </w:rPr>
        <w:t xml:space="preserve"> AC, François Y, </w:t>
      </w:r>
      <w:proofErr w:type="spellStart"/>
      <w:r w:rsidRPr="004E79AD">
        <w:rPr>
          <w:rFonts w:ascii="Book Antiqua" w:hAnsi="Book Antiqua"/>
          <w:sz w:val="24"/>
          <w:szCs w:val="24"/>
        </w:rPr>
        <w:t>Vignal</w:t>
      </w:r>
      <w:proofErr w:type="spellEnd"/>
      <w:r w:rsidRPr="004E79AD">
        <w:rPr>
          <w:rFonts w:ascii="Book Antiqua" w:hAnsi="Book Antiqua"/>
          <w:sz w:val="24"/>
          <w:szCs w:val="24"/>
        </w:rPr>
        <w:t xml:space="preserve"> J, Gilly FN. Intraperitoneal </w:t>
      </w:r>
      <w:proofErr w:type="spellStart"/>
      <w:r w:rsidRPr="004E79AD">
        <w:rPr>
          <w:rFonts w:ascii="Book Antiqua" w:hAnsi="Book Antiqua"/>
          <w:sz w:val="24"/>
          <w:szCs w:val="24"/>
        </w:rPr>
        <w:t>chemohyperthermia</w:t>
      </w:r>
      <w:proofErr w:type="spellEnd"/>
      <w:r w:rsidRPr="004E79AD">
        <w:rPr>
          <w:rFonts w:ascii="Book Antiqua" w:hAnsi="Book Antiqua"/>
          <w:sz w:val="24"/>
          <w:szCs w:val="24"/>
        </w:rPr>
        <w:t xml:space="preserve"> using a closed abdominal procedure and cytoreductive surgery for the treatment of peritoneal carcinomatosis: morbidity and mortality analysis of 216 consecutive procedures. </w:t>
      </w:r>
      <w:r w:rsidRPr="004E79AD">
        <w:rPr>
          <w:rFonts w:ascii="Book Antiqua" w:hAnsi="Book Antiqua"/>
          <w:i/>
          <w:sz w:val="24"/>
          <w:szCs w:val="24"/>
        </w:rPr>
        <w:t xml:space="preserve">Ann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w:t>
      </w:r>
      <w:proofErr w:type="spellStart"/>
      <w:r w:rsidRPr="004E79AD">
        <w:rPr>
          <w:rFonts w:ascii="Book Antiqua" w:hAnsi="Book Antiqua"/>
          <w:i/>
          <w:sz w:val="24"/>
          <w:szCs w:val="24"/>
        </w:rPr>
        <w:t>Oncol</w:t>
      </w:r>
      <w:proofErr w:type="spellEnd"/>
      <w:r w:rsidRPr="004E79AD">
        <w:rPr>
          <w:rFonts w:ascii="Book Antiqua" w:hAnsi="Book Antiqua"/>
          <w:sz w:val="24"/>
          <w:szCs w:val="24"/>
        </w:rPr>
        <w:t xml:space="preserve"> 2003; </w:t>
      </w:r>
      <w:r w:rsidRPr="004E79AD">
        <w:rPr>
          <w:rFonts w:ascii="Book Antiqua" w:hAnsi="Book Antiqua"/>
          <w:b/>
          <w:sz w:val="24"/>
          <w:szCs w:val="24"/>
        </w:rPr>
        <w:t>10</w:t>
      </w:r>
      <w:r w:rsidRPr="004E79AD">
        <w:rPr>
          <w:rFonts w:ascii="Book Antiqua" w:hAnsi="Book Antiqua"/>
          <w:sz w:val="24"/>
          <w:szCs w:val="24"/>
        </w:rPr>
        <w:t>: 863-869 [PMID: 14527903 DOI: 10.1245/aso.2003.01.018]</w:t>
      </w:r>
    </w:p>
    <w:p w14:paraId="09B4AC25"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7 </w:t>
      </w:r>
      <w:r w:rsidRPr="004E79AD">
        <w:rPr>
          <w:rFonts w:ascii="Book Antiqua" w:hAnsi="Book Antiqua"/>
          <w:b/>
          <w:sz w:val="24"/>
          <w:szCs w:val="24"/>
        </w:rPr>
        <w:t>Elias D</w:t>
      </w:r>
      <w:r w:rsidRPr="004E79AD">
        <w:rPr>
          <w:rFonts w:ascii="Book Antiqua" w:hAnsi="Book Antiqua"/>
          <w:sz w:val="24"/>
          <w:szCs w:val="24"/>
        </w:rPr>
        <w:t xml:space="preserve">, </w:t>
      </w:r>
      <w:proofErr w:type="spellStart"/>
      <w:r w:rsidRPr="004E79AD">
        <w:rPr>
          <w:rFonts w:ascii="Book Antiqua" w:hAnsi="Book Antiqua"/>
          <w:sz w:val="24"/>
          <w:szCs w:val="24"/>
        </w:rPr>
        <w:t>Antoun</w:t>
      </w:r>
      <w:proofErr w:type="spellEnd"/>
      <w:r w:rsidRPr="004E79AD">
        <w:rPr>
          <w:rFonts w:ascii="Book Antiqua" w:hAnsi="Book Antiqua"/>
          <w:sz w:val="24"/>
          <w:szCs w:val="24"/>
        </w:rPr>
        <w:t xml:space="preserve"> S, </w:t>
      </w:r>
      <w:proofErr w:type="spellStart"/>
      <w:r w:rsidRPr="004E79AD">
        <w:rPr>
          <w:rFonts w:ascii="Book Antiqua" w:hAnsi="Book Antiqua"/>
          <w:sz w:val="24"/>
          <w:szCs w:val="24"/>
        </w:rPr>
        <w:t>Goharin</w:t>
      </w:r>
      <w:proofErr w:type="spellEnd"/>
      <w:r w:rsidRPr="004E79AD">
        <w:rPr>
          <w:rFonts w:ascii="Book Antiqua" w:hAnsi="Book Antiqua"/>
          <w:sz w:val="24"/>
          <w:szCs w:val="24"/>
        </w:rPr>
        <w:t xml:space="preserve"> A, </w:t>
      </w:r>
      <w:proofErr w:type="spellStart"/>
      <w:r w:rsidRPr="004E79AD">
        <w:rPr>
          <w:rFonts w:ascii="Book Antiqua" w:hAnsi="Book Antiqua"/>
          <w:sz w:val="24"/>
          <w:szCs w:val="24"/>
        </w:rPr>
        <w:t>Otmany</w:t>
      </w:r>
      <w:proofErr w:type="spellEnd"/>
      <w:r w:rsidRPr="004E79AD">
        <w:rPr>
          <w:rFonts w:ascii="Book Antiqua" w:hAnsi="Book Antiqua"/>
          <w:sz w:val="24"/>
          <w:szCs w:val="24"/>
        </w:rPr>
        <w:t xml:space="preserve"> AE, </w:t>
      </w:r>
      <w:proofErr w:type="spellStart"/>
      <w:r w:rsidRPr="004E79AD">
        <w:rPr>
          <w:rFonts w:ascii="Book Antiqua" w:hAnsi="Book Antiqua"/>
          <w:sz w:val="24"/>
          <w:szCs w:val="24"/>
        </w:rPr>
        <w:t>Puizillout</w:t>
      </w:r>
      <w:proofErr w:type="spellEnd"/>
      <w:r w:rsidRPr="004E79AD">
        <w:rPr>
          <w:rFonts w:ascii="Book Antiqua" w:hAnsi="Book Antiqua"/>
          <w:sz w:val="24"/>
          <w:szCs w:val="24"/>
        </w:rPr>
        <w:t xml:space="preserve"> JM, </w:t>
      </w:r>
      <w:proofErr w:type="spellStart"/>
      <w:r w:rsidRPr="004E79AD">
        <w:rPr>
          <w:rFonts w:ascii="Book Antiqua" w:hAnsi="Book Antiqua"/>
          <w:sz w:val="24"/>
          <w:szCs w:val="24"/>
        </w:rPr>
        <w:t>Lasser</w:t>
      </w:r>
      <w:proofErr w:type="spellEnd"/>
      <w:r w:rsidRPr="004E79AD">
        <w:rPr>
          <w:rFonts w:ascii="Book Antiqua" w:hAnsi="Book Antiqua"/>
          <w:sz w:val="24"/>
          <w:szCs w:val="24"/>
        </w:rPr>
        <w:t xml:space="preserve"> P. Research on the best </w:t>
      </w:r>
      <w:proofErr w:type="spellStart"/>
      <w:r w:rsidRPr="004E79AD">
        <w:rPr>
          <w:rFonts w:ascii="Book Antiqua" w:hAnsi="Book Antiqua"/>
          <w:sz w:val="24"/>
          <w:szCs w:val="24"/>
        </w:rPr>
        <w:t>chemohyperthermia</w:t>
      </w:r>
      <w:proofErr w:type="spellEnd"/>
      <w:r w:rsidRPr="004E79AD">
        <w:rPr>
          <w:rFonts w:ascii="Book Antiqua" w:hAnsi="Book Antiqua"/>
          <w:sz w:val="24"/>
          <w:szCs w:val="24"/>
        </w:rPr>
        <w:t xml:space="preserve"> technique of treatment of peritoneal carcinomatosis after complete resection. </w:t>
      </w:r>
      <w:proofErr w:type="spellStart"/>
      <w:r w:rsidRPr="004E79AD">
        <w:rPr>
          <w:rFonts w:ascii="Book Antiqua" w:hAnsi="Book Antiqua"/>
          <w:i/>
          <w:sz w:val="24"/>
          <w:szCs w:val="24"/>
        </w:rPr>
        <w:t>Int</w:t>
      </w:r>
      <w:proofErr w:type="spellEnd"/>
      <w:r w:rsidRPr="004E79AD">
        <w:rPr>
          <w:rFonts w:ascii="Book Antiqua" w:hAnsi="Book Antiqua"/>
          <w:i/>
          <w:sz w:val="24"/>
          <w:szCs w:val="24"/>
        </w:rPr>
        <w:t xml:space="preserve"> J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w:t>
      </w:r>
      <w:proofErr w:type="spellStart"/>
      <w:r w:rsidRPr="004E79AD">
        <w:rPr>
          <w:rFonts w:ascii="Book Antiqua" w:hAnsi="Book Antiqua"/>
          <w:i/>
          <w:sz w:val="24"/>
          <w:szCs w:val="24"/>
        </w:rPr>
        <w:t>Investig</w:t>
      </w:r>
      <w:proofErr w:type="spellEnd"/>
      <w:r w:rsidRPr="004E79AD">
        <w:rPr>
          <w:rFonts w:ascii="Book Antiqua" w:hAnsi="Book Antiqua"/>
          <w:sz w:val="24"/>
          <w:szCs w:val="24"/>
        </w:rPr>
        <w:t xml:space="preserve"> 2000; </w:t>
      </w:r>
      <w:r w:rsidRPr="004E79AD">
        <w:rPr>
          <w:rFonts w:ascii="Book Antiqua" w:hAnsi="Book Antiqua"/>
          <w:b/>
          <w:sz w:val="24"/>
          <w:szCs w:val="24"/>
        </w:rPr>
        <w:t>1</w:t>
      </w:r>
      <w:r w:rsidRPr="004E79AD">
        <w:rPr>
          <w:rFonts w:ascii="Book Antiqua" w:hAnsi="Book Antiqua"/>
          <w:sz w:val="24"/>
          <w:szCs w:val="24"/>
        </w:rPr>
        <w:t>: 431-439 [PMID: 11341599]</w:t>
      </w:r>
    </w:p>
    <w:p w14:paraId="733CB658"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8 </w:t>
      </w:r>
      <w:proofErr w:type="spellStart"/>
      <w:r w:rsidRPr="004E79AD">
        <w:rPr>
          <w:rFonts w:ascii="Book Antiqua" w:hAnsi="Book Antiqua"/>
          <w:b/>
          <w:sz w:val="24"/>
          <w:szCs w:val="24"/>
        </w:rPr>
        <w:t>Goldenshluger</w:t>
      </w:r>
      <w:proofErr w:type="spellEnd"/>
      <w:r w:rsidRPr="004E79AD">
        <w:rPr>
          <w:rFonts w:ascii="Book Antiqua" w:hAnsi="Book Antiqua"/>
          <w:b/>
          <w:sz w:val="24"/>
          <w:szCs w:val="24"/>
        </w:rPr>
        <w:t xml:space="preserve"> M</w:t>
      </w:r>
      <w:r w:rsidRPr="004E79AD">
        <w:rPr>
          <w:rFonts w:ascii="Book Antiqua" w:hAnsi="Book Antiqua"/>
          <w:sz w:val="24"/>
          <w:szCs w:val="24"/>
        </w:rPr>
        <w:t xml:space="preserve">, Zippel D, Ben-Yaacov A, Dux J, </w:t>
      </w:r>
      <w:proofErr w:type="spellStart"/>
      <w:r w:rsidRPr="004E79AD">
        <w:rPr>
          <w:rFonts w:ascii="Book Antiqua" w:hAnsi="Book Antiqua"/>
          <w:sz w:val="24"/>
          <w:szCs w:val="24"/>
        </w:rPr>
        <w:t>Yalon</w:t>
      </w:r>
      <w:proofErr w:type="spellEnd"/>
      <w:r w:rsidRPr="004E79AD">
        <w:rPr>
          <w:rFonts w:ascii="Book Antiqua" w:hAnsi="Book Antiqua"/>
          <w:sz w:val="24"/>
          <w:szCs w:val="24"/>
        </w:rPr>
        <w:t xml:space="preserve"> T, </w:t>
      </w:r>
      <w:proofErr w:type="spellStart"/>
      <w:r w:rsidRPr="004E79AD">
        <w:rPr>
          <w:rFonts w:ascii="Book Antiqua" w:hAnsi="Book Antiqua"/>
          <w:sz w:val="24"/>
          <w:szCs w:val="24"/>
        </w:rPr>
        <w:t>Zendel</w:t>
      </w:r>
      <w:proofErr w:type="spellEnd"/>
      <w:r w:rsidRPr="004E79AD">
        <w:rPr>
          <w:rFonts w:ascii="Book Antiqua" w:hAnsi="Book Antiqua"/>
          <w:sz w:val="24"/>
          <w:szCs w:val="24"/>
        </w:rPr>
        <w:t xml:space="preserve"> A, </w:t>
      </w:r>
      <w:proofErr w:type="spellStart"/>
      <w:r w:rsidRPr="004E79AD">
        <w:rPr>
          <w:rFonts w:ascii="Book Antiqua" w:hAnsi="Book Antiqua"/>
          <w:sz w:val="24"/>
          <w:szCs w:val="24"/>
        </w:rPr>
        <w:t>Rayman</w:t>
      </w:r>
      <w:proofErr w:type="spellEnd"/>
      <w:r w:rsidRPr="004E79AD">
        <w:rPr>
          <w:rFonts w:ascii="Book Antiqua" w:hAnsi="Book Antiqua"/>
          <w:sz w:val="24"/>
          <w:szCs w:val="24"/>
        </w:rPr>
        <w:t xml:space="preserve"> S, </w:t>
      </w:r>
      <w:proofErr w:type="spellStart"/>
      <w:r w:rsidRPr="004E79AD">
        <w:rPr>
          <w:rFonts w:ascii="Book Antiqua" w:hAnsi="Book Antiqua"/>
          <w:sz w:val="24"/>
          <w:szCs w:val="24"/>
        </w:rPr>
        <w:t>Mor</w:t>
      </w:r>
      <w:proofErr w:type="spellEnd"/>
      <w:r w:rsidRPr="004E79AD">
        <w:rPr>
          <w:rFonts w:ascii="Book Antiqua" w:hAnsi="Book Antiqua"/>
          <w:sz w:val="24"/>
          <w:szCs w:val="24"/>
        </w:rPr>
        <w:t xml:space="preserve"> E, </w:t>
      </w:r>
      <w:proofErr w:type="spellStart"/>
      <w:r w:rsidRPr="004E79AD">
        <w:rPr>
          <w:rFonts w:ascii="Book Antiqua" w:hAnsi="Book Antiqua"/>
          <w:sz w:val="24"/>
          <w:szCs w:val="24"/>
        </w:rPr>
        <w:t>Berkenstadt</w:t>
      </w:r>
      <w:proofErr w:type="spellEnd"/>
      <w:r w:rsidRPr="004E79AD">
        <w:rPr>
          <w:rFonts w:ascii="Book Antiqua" w:hAnsi="Book Antiqua"/>
          <w:sz w:val="24"/>
          <w:szCs w:val="24"/>
        </w:rPr>
        <w:t xml:space="preserve"> H, </w:t>
      </w:r>
      <w:proofErr w:type="spellStart"/>
      <w:r w:rsidRPr="004E79AD">
        <w:rPr>
          <w:rFonts w:ascii="Book Antiqua" w:hAnsi="Book Antiqua"/>
          <w:sz w:val="24"/>
          <w:szCs w:val="24"/>
        </w:rPr>
        <w:t>Fogel-Grinvald</w:t>
      </w:r>
      <w:proofErr w:type="spellEnd"/>
      <w:r w:rsidRPr="004E79AD">
        <w:rPr>
          <w:rFonts w:ascii="Book Antiqua" w:hAnsi="Book Antiqua"/>
          <w:sz w:val="24"/>
          <w:szCs w:val="24"/>
        </w:rPr>
        <w:t xml:space="preserve"> H, </w:t>
      </w:r>
      <w:proofErr w:type="spellStart"/>
      <w:r w:rsidRPr="004E79AD">
        <w:rPr>
          <w:rFonts w:ascii="Book Antiqua" w:hAnsi="Book Antiqua"/>
          <w:sz w:val="24"/>
          <w:szCs w:val="24"/>
        </w:rPr>
        <w:t>Ventorrero</w:t>
      </w:r>
      <w:proofErr w:type="spellEnd"/>
      <w:r w:rsidRPr="004E79AD">
        <w:rPr>
          <w:rFonts w:ascii="Book Antiqua" w:hAnsi="Book Antiqua"/>
          <w:sz w:val="24"/>
          <w:szCs w:val="24"/>
        </w:rPr>
        <w:t xml:space="preserve"> M, Nissan A. Core Body Temperature but Not Intraabdominal Pressure Predicts Postoperative Complications Following Closed-System Hyperthermic Intraperitoneal Chemotherapy (HIPEC) Administration. </w:t>
      </w:r>
      <w:r w:rsidRPr="004E79AD">
        <w:rPr>
          <w:rFonts w:ascii="Book Antiqua" w:hAnsi="Book Antiqua"/>
          <w:i/>
          <w:sz w:val="24"/>
          <w:szCs w:val="24"/>
        </w:rPr>
        <w:t xml:space="preserve">Ann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w:t>
      </w:r>
      <w:proofErr w:type="spellStart"/>
      <w:r w:rsidRPr="004E79AD">
        <w:rPr>
          <w:rFonts w:ascii="Book Antiqua" w:hAnsi="Book Antiqua"/>
          <w:i/>
          <w:sz w:val="24"/>
          <w:szCs w:val="24"/>
        </w:rPr>
        <w:t>Oncol</w:t>
      </w:r>
      <w:proofErr w:type="spellEnd"/>
      <w:r w:rsidRPr="004E79AD">
        <w:rPr>
          <w:rFonts w:ascii="Book Antiqua" w:hAnsi="Book Antiqua"/>
          <w:sz w:val="24"/>
          <w:szCs w:val="24"/>
        </w:rPr>
        <w:t xml:space="preserve"> 2018; </w:t>
      </w:r>
      <w:r w:rsidRPr="004E79AD">
        <w:rPr>
          <w:rFonts w:ascii="Book Antiqua" w:hAnsi="Book Antiqua"/>
          <w:b/>
          <w:sz w:val="24"/>
          <w:szCs w:val="24"/>
        </w:rPr>
        <w:t>25</w:t>
      </w:r>
      <w:r w:rsidRPr="004E79AD">
        <w:rPr>
          <w:rFonts w:ascii="Book Antiqua" w:hAnsi="Book Antiqua"/>
          <w:sz w:val="24"/>
          <w:szCs w:val="24"/>
        </w:rPr>
        <w:t>: 660-666 [PMID: 29285641 DOI: 10.1245/s10434-017-6279-3]</w:t>
      </w:r>
    </w:p>
    <w:p w14:paraId="7B2C42EE"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9 </w:t>
      </w:r>
      <w:proofErr w:type="spellStart"/>
      <w:r w:rsidRPr="004E79AD">
        <w:rPr>
          <w:rFonts w:ascii="Book Antiqua" w:hAnsi="Book Antiqua"/>
          <w:b/>
          <w:sz w:val="24"/>
          <w:szCs w:val="24"/>
        </w:rPr>
        <w:t>Halkia</w:t>
      </w:r>
      <w:proofErr w:type="spellEnd"/>
      <w:r w:rsidRPr="004E79AD">
        <w:rPr>
          <w:rFonts w:ascii="Book Antiqua" w:hAnsi="Book Antiqua"/>
          <w:b/>
          <w:sz w:val="24"/>
          <w:szCs w:val="24"/>
        </w:rPr>
        <w:t xml:space="preserve"> E</w:t>
      </w:r>
      <w:r w:rsidRPr="004E79AD">
        <w:rPr>
          <w:rFonts w:ascii="Book Antiqua" w:hAnsi="Book Antiqua"/>
          <w:sz w:val="24"/>
          <w:szCs w:val="24"/>
        </w:rPr>
        <w:t xml:space="preserve">, </w:t>
      </w:r>
      <w:proofErr w:type="spellStart"/>
      <w:r w:rsidRPr="004E79AD">
        <w:rPr>
          <w:rFonts w:ascii="Book Antiqua" w:hAnsi="Book Antiqua"/>
          <w:sz w:val="24"/>
          <w:szCs w:val="24"/>
        </w:rPr>
        <w:t>Tsochrinis</w:t>
      </w:r>
      <w:proofErr w:type="spellEnd"/>
      <w:r w:rsidRPr="004E79AD">
        <w:rPr>
          <w:rFonts w:ascii="Book Antiqua" w:hAnsi="Book Antiqua"/>
          <w:sz w:val="24"/>
          <w:szCs w:val="24"/>
        </w:rPr>
        <w:t xml:space="preserve"> A, </w:t>
      </w:r>
      <w:proofErr w:type="spellStart"/>
      <w:r w:rsidRPr="004E79AD">
        <w:rPr>
          <w:rFonts w:ascii="Book Antiqua" w:hAnsi="Book Antiqua"/>
          <w:sz w:val="24"/>
          <w:szCs w:val="24"/>
        </w:rPr>
        <w:t>Vassiliadou</w:t>
      </w:r>
      <w:proofErr w:type="spellEnd"/>
      <w:r w:rsidRPr="004E79AD">
        <w:rPr>
          <w:rFonts w:ascii="Book Antiqua" w:hAnsi="Book Antiqua"/>
          <w:sz w:val="24"/>
          <w:szCs w:val="24"/>
        </w:rPr>
        <w:t xml:space="preserve"> DT, </w:t>
      </w:r>
      <w:proofErr w:type="spellStart"/>
      <w:r w:rsidRPr="004E79AD">
        <w:rPr>
          <w:rFonts w:ascii="Book Antiqua" w:hAnsi="Book Antiqua"/>
          <w:sz w:val="24"/>
          <w:szCs w:val="24"/>
        </w:rPr>
        <w:t>Pavlakou</w:t>
      </w:r>
      <w:proofErr w:type="spellEnd"/>
      <w:r w:rsidRPr="004E79AD">
        <w:rPr>
          <w:rFonts w:ascii="Book Antiqua" w:hAnsi="Book Antiqua"/>
          <w:sz w:val="24"/>
          <w:szCs w:val="24"/>
        </w:rPr>
        <w:t xml:space="preserve"> A, </w:t>
      </w:r>
      <w:proofErr w:type="spellStart"/>
      <w:r w:rsidRPr="004E79AD">
        <w:rPr>
          <w:rFonts w:ascii="Book Antiqua" w:hAnsi="Book Antiqua"/>
          <w:sz w:val="24"/>
          <w:szCs w:val="24"/>
        </w:rPr>
        <w:t>Vaxevanidou</w:t>
      </w:r>
      <w:proofErr w:type="spellEnd"/>
      <w:r w:rsidRPr="004E79AD">
        <w:rPr>
          <w:rFonts w:ascii="Book Antiqua" w:hAnsi="Book Antiqua"/>
          <w:sz w:val="24"/>
          <w:szCs w:val="24"/>
        </w:rPr>
        <w:t xml:space="preserve"> A, </w:t>
      </w:r>
      <w:proofErr w:type="spellStart"/>
      <w:r w:rsidRPr="004E79AD">
        <w:rPr>
          <w:rFonts w:ascii="Book Antiqua" w:hAnsi="Book Antiqua"/>
          <w:sz w:val="24"/>
          <w:szCs w:val="24"/>
        </w:rPr>
        <w:t>Datsis</w:t>
      </w:r>
      <w:proofErr w:type="spellEnd"/>
      <w:r w:rsidRPr="004E79AD">
        <w:rPr>
          <w:rFonts w:ascii="Book Antiqua" w:hAnsi="Book Antiqua"/>
          <w:sz w:val="24"/>
          <w:szCs w:val="24"/>
        </w:rPr>
        <w:t xml:space="preserve"> A, </w:t>
      </w:r>
      <w:proofErr w:type="spellStart"/>
      <w:proofErr w:type="gramStart"/>
      <w:r w:rsidRPr="004E79AD">
        <w:rPr>
          <w:rFonts w:ascii="Book Antiqua" w:hAnsi="Book Antiqua"/>
          <w:sz w:val="24"/>
          <w:szCs w:val="24"/>
        </w:rPr>
        <w:t>Efstathiou</w:t>
      </w:r>
      <w:proofErr w:type="spellEnd"/>
      <w:proofErr w:type="gramEnd"/>
      <w:r w:rsidRPr="004E79AD">
        <w:rPr>
          <w:rFonts w:ascii="Book Antiqua" w:hAnsi="Book Antiqua"/>
          <w:sz w:val="24"/>
          <w:szCs w:val="24"/>
        </w:rPr>
        <w:t xml:space="preserve"> E, </w:t>
      </w:r>
      <w:proofErr w:type="spellStart"/>
      <w:r w:rsidRPr="004E79AD">
        <w:rPr>
          <w:rFonts w:ascii="Book Antiqua" w:hAnsi="Book Antiqua"/>
          <w:sz w:val="24"/>
          <w:szCs w:val="24"/>
        </w:rPr>
        <w:t>Spiliotis</w:t>
      </w:r>
      <w:proofErr w:type="spellEnd"/>
      <w:r w:rsidRPr="004E79AD">
        <w:rPr>
          <w:rFonts w:ascii="Book Antiqua" w:hAnsi="Book Antiqua"/>
          <w:sz w:val="24"/>
          <w:szCs w:val="24"/>
        </w:rPr>
        <w:t xml:space="preserve"> J. Peritoneal carcinomatosis: intraoperative parameters in </w:t>
      </w:r>
      <w:r w:rsidRPr="004E79AD">
        <w:rPr>
          <w:rFonts w:ascii="Book Antiqua" w:hAnsi="Book Antiqua"/>
          <w:sz w:val="24"/>
          <w:szCs w:val="24"/>
        </w:rPr>
        <w:lastRenderedPageBreak/>
        <w:t xml:space="preserve">open (coliseum) versus closed abdomen HIPEC. </w:t>
      </w:r>
      <w:proofErr w:type="spellStart"/>
      <w:r w:rsidRPr="004E79AD">
        <w:rPr>
          <w:rFonts w:ascii="Book Antiqua" w:hAnsi="Book Antiqua"/>
          <w:i/>
          <w:sz w:val="24"/>
          <w:szCs w:val="24"/>
        </w:rPr>
        <w:t>Int</w:t>
      </w:r>
      <w:proofErr w:type="spellEnd"/>
      <w:r w:rsidRPr="004E79AD">
        <w:rPr>
          <w:rFonts w:ascii="Book Antiqua" w:hAnsi="Book Antiqua"/>
          <w:i/>
          <w:sz w:val="24"/>
          <w:szCs w:val="24"/>
        </w:rPr>
        <w:t xml:space="preserve"> J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w:t>
      </w:r>
      <w:proofErr w:type="spellStart"/>
      <w:r w:rsidRPr="004E79AD">
        <w:rPr>
          <w:rFonts w:ascii="Book Antiqua" w:hAnsi="Book Antiqua"/>
          <w:i/>
          <w:sz w:val="24"/>
          <w:szCs w:val="24"/>
        </w:rPr>
        <w:t>Oncol</w:t>
      </w:r>
      <w:proofErr w:type="spellEnd"/>
      <w:r w:rsidRPr="004E79AD">
        <w:rPr>
          <w:rFonts w:ascii="Book Antiqua" w:hAnsi="Book Antiqua"/>
          <w:sz w:val="24"/>
          <w:szCs w:val="24"/>
        </w:rPr>
        <w:t xml:space="preserve"> 2015; </w:t>
      </w:r>
      <w:r w:rsidRPr="004E79AD">
        <w:rPr>
          <w:rFonts w:ascii="Book Antiqua" w:hAnsi="Book Antiqua"/>
          <w:b/>
          <w:sz w:val="24"/>
          <w:szCs w:val="24"/>
        </w:rPr>
        <w:t>2015</w:t>
      </w:r>
      <w:r w:rsidRPr="004E79AD">
        <w:rPr>
          <w:rFonts w:ascii="Book Antiqua" w:hAnsi="Book Antiqua"/>
          <w:sz w:val="24"/>
          <w:szCs w:val="24"/>
        </w:rPr>
        <w:t>: 610597 [PMID: 25785194 DOI: 10.1155/2015/610597]</w:t>
      </w:r>
    </w:p>
    <w:p w14:paraId="6C109321"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10 </w:t>
      </w:r>
      <w:r w:rsidRPr="004E79AD">
        <w:rPr>
          <w:rFonts w:ascii="Book Antiqua" w:hAnsi="Book Antiqua"/>
          <w:b/>
          <w:sz w:val="24"/>
          <w:szCs w:val="24"/>
        </w:rPr>
        <w:t>Rodríguez Silva C</w:t>
      </w:r>
      <w:r w:rsidRPr="004E79AD">
        <w:rPr>
          <w:rFonts w:ascii="Book Antiqua" w:hAnsi="Book Antiqua"/>
          <w:sz w:val="24"/>
          <w:szCs w:val="24"/>
        </w:rPr>
        <w:t xml:space="preserve">, Moreno Ruiz FJ, </w:t>
      </w:r>
      <w:proofErr w:type="spellStart"/>
      <w:r w:rsidRPr="004E79AD">
        <w:rPr>
          <w:rFonts w:ascii="Book Antiqua" w:hAnsi="Book Antiqua"/>
          <w:sz w:val="24"/>
          <w:szCs w:val="24"/>
        </w:rPr>
        <w:t>Bellido</w:t>
      </w:r>
      <w:proofErr w:type="spellEnd"/>
      <w:r w:rsidRPr="004E79AD">
        <w:rPr>
          <w:rFonts w:ascii="Book Antiqua" w:hAnsi="Book Antiqua"/>
          <w:sz w:val="24"/>
          <w:szCs w:val="24"/>
        </w:rPr>
        <w:t xml:space="preserve"> </w:t>
      </w:r>
      <w:proofErr w:type="spellStart"/>
      <w:r w:rsidRPr="004E79AD">
        <w:rPr>
          <w:rFonts w:ascii="Book Antiqua" w:hAnsi="Book Antiqua"/>
          <w:sz w:val="24"/>
          <w:szCs w:val="24"/>
        </w:rPr>
        <w:t>Estévez</w:t>
      </w:r>
      <w:proofErr w:type="spellEnd"/>
      <w:r w:rsidRPr="004E79AD">
        <w:rPr>
          <w:rFonts w:ascii="Book Antiqua" w:hAnsi="Book Antiqua"/>
          <w:sz w:val="24"/>
          <w:szCs w:val="24"/>
        </w:rPr>
        <w:t xml:space="preserve"> I, Carrasco Campos J, </w:t>
      </w:r>
      <w:proofErr w:type="spellStart"/>
      <w:r w:rsidRPr="004E79AD">
        <w:rPr>
          <w:rFonts w:ascii="Book Antiqua" w:hAnsi="Book Antiqua"/>
          <w:sz w:val="24"/>
          <w:szCs w:val="24"/>
        </w:rPr>
        <w:t>Titos</w:t>
      </w:r>
      <w:proofErr w:type="spellEnd"/>
      <w:r w:rsidRPr="004E79AD">
        <w:rPr>
          <w:rFonts w:ascii="Book Antiqua" w:hAnsi="Book Antiqua"/>
          <w:sz w:val="24"/>
          <w:szCs w:val="24"/>
        </w:rPr>
        <w:t xml:space="preserve"> </w:t>
      </w:r>
      <w:proofErr w:type="spellStart"/>
      <w:r w:rsidRPr="004E79AD">
        <w:rPr>
          <w:rFonts w:ascii="Book Antiqua" w:hAnsi="Book Antiqua"/>
          <w:sz w:val="24"/>
          <w:szCs w:val="24"/>
        </w:rPr>
        <w:t>García</w:t>
      </w:r>
      <w:proofErr w:type="spellEnd"/>
      <w:r w:rsidRPr="004E79AD">
        <w:rPr>
          <w:rFonts w:ascii="Book Antiqua" w:hAnsi="Book Antiqua"/>
          <w:sz w:val="24"/>
          <w:szCs w:val="24"/>
        </w:rPr>
        <w:t xml:space="preserve"> A, Ruiz </w:t>
      </w:r>
      <w:proofErr w:type="spellStart"/>
      <w:r w:rsidRPr="004E79AD">
        <w:rPr>
          <w:rFonts w:ascii="Book Antiqua" w:hAnsi="Book Antiqua"/>
          <w:sz w:val="24"/>
          <w:szCs w:val="24"/>
        </w:rPr>
        <w:t>López</w:t>
      </w:r>
      <w:proofErr w:type="spellEnd"/>
      <w:r w:rsidRPr="004E79AD">
        <w:rPr>
          <w:rFonts w:ascii="Book Antiqua" w:hAnsi="Book Antiqua"/>
          <w:sz w:val="24"/>
          <w:szCs w:val="24"/>
        </w:rPr>
        <w:t xml:space="preserve"> M, González </w:t>
      </w:r>
      <w:proofErr w:type="spellStart"/>
      <w:r w:rsidRPr="004E79AD">
        <w:rPr>
          <w:rFonts w:ascii="Book Antiqua" w:hAnsi="Book Antiqua"/>
          <w:sz w:val="24"/>
          <w:szCs w:val="24"/>
        </w:rPr>
        <w:t>Poveda</w:t>
      </w:r>
      <w:proofErr w:type="spellEnd"/>
      <w:r w:rsidRPr="004E79AD">
        <w:rPr>
          <w:rFonts w:ascii="Book Antiqua" w:hAnsi="Book Antiqua"/>
          <w:sz w:val="24"/>
          <w:szCs w:val="24"/>
        </w:rPr>
        <w:t xml:space="preserve"> I, </w:t>
      </w:r>
      <w:proofErr w:type="spellStart"/>
      <w:r w:rsidRPr="004E79AD">
        <w:rPr>
          <w:rFonts w:ascii="Book Antiqua" w:hAnsi="Book Antiqua"/>
          <w:sz w:val="24"/>
          <w:szCs w:val="24"/>
        </w:rPr>
        <w:t>Toval</w:t>
      </w:r>
      <w:proofErr w:type="spellEnd"/>
      <w:r w:rsidRPr="004E79AD">
        <w:rPr>
          <w:rFonts w:ascii="Book Antiqua" w:hAnsi="Book Antiqua"/>
          <w:sz w:val="24"/>
          <w:szCs w:val="24"/>
        </w:rPr>
        <w:t xml:space="preserve"> Mata JA, </w:t>
      </w:r>
      <w:proofErr w:type="spellStart"/>
      <w:r w:rsidRPr="004E79AD">
        <w:rPr>
          <w:rFonts w:ascii="Book Antiqua" w:hAnsi="Book Antiqua"/>
          <w:sz w:val="24"/>
          <w:szCs w:val="24"/>
        </w:rPr>
        <w:t>Mera</w:t>
      </w:r>
      <w:proofErr w:type="spellEnd"/>
      <w:r w:rsidRPr="004E79AD">
        <w:rPr>
          <w:rFonts w:ascii="Book Antiqua" w:hAnsi="Book Antiqua"/>
          <w:sz w:val="24"/>
          <w:szCs w:val="24"/>
        </w:rPr>
        <w:t xml:space="preserve"> Velasco S, </w:t>
      </w:r>
      <w:proofErr w:type="spellStart"/>
      <w:r w:rsidRPr="004E79AD">
        <w:rPr>
          <w:rFonts w:ascii="Book Antiqua" w:hAnsi="Book Antiqua"/>
          <w:sz w:val="24"/>
          <w:szCs w:val="24"/>
        </w:rPr>
        <w:t>Santoyo</w:t>
      </w:r>
      <w:proofErr w:type="spellEnd"/>
      <w:r w:rsidRPr="004E79AD">
        <w:rPr>
          <w:rFonts w:ascii="Book Antiqua" w:hAnsi="Book Antiqua"/>
          <w:sz w:val="24"/>
          <w:szCs w:val="24"/>
        </w:rPr>
        <w:t xml:space="preserve"> </w:t>
      </w:r>
      <w:proofErr w:type="spellStart"/>
      <w:r w:rsidRPr="004E79AD">
        <w:rPr>
          <w:rFonts w:ascii="Book Antiqua" w:hAnsi="Book Antiqua"/>
          <w:sz w:val="24"/>
          <w:szCs w:val="24"/>
        </w:rPr>
        <w:t>Santoyo</w:t>
      </w:r>
      <w:proofErr w:type="spellEnd"/>
      <w:r w:rsidRPr="004E79AD">
        <w:rPr>
          <w:rFonts w:ascii="Book Antiqua" w:hAnsi="Book Antiqua"/>
          <w:sz w:val="24"/>
          <w:szCs w:val="24"/>
        </w:rPr>
        <w:t xml:space="preserve"> J. Are there intra-operative hemodynamic differences between the Coliseum and closed HIPEC techniques in the treatment of peritoneal metastasis? </w:t>
      </w:r>
      <w:proofErr w:type="gramStart"/>
      <w:r w:rsidRPr="004E79AD">
        <w:rPr>
          <w:rFonts w:ascii="Book Antiqua" w:hAnsi="Book Antiqua"/>
          <w:sz w:val="24"/>
          <w:szCs w:val="24"/>
        </w:rPr>
        <w:t>A retrospective cohort study.</w:t>
      </w:r>
      <w:proofErr w:type="gramEnd"/>
      <w:r w:rsidRPr="004E79AD">
        <w:rPr>
          <w:rFonts w:ascii="Book Antiqua" w:hAnsi="Book Antiqua"/>
          <w:sz w:val="24"/>
          <w:szCs w:val="24"/>
        </w:rPr>
        <w:t xml:space="preserve"> </w:t>
      </w:r>
      <w:r w:rsidRPr="004E79AD">
        <w:rPr>
          <w:rFonts w:ascii="Book Antiqua" w:hAnsi="Book Antiqua"/>
          <w:i/>
          <w:sz w:val="24"/>
          <w:szCs w:val="24"/>
        </w:rPr>
        <w:t xml:space="preserve">World J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w:t>
      </w:r>
      <w:proofErr w:type="spellStart"/>
      <w:r w:rsidRPr="004E79AD">
        <w:rPr>
          <w:rFonts w:ascii="Book Antiqua" w:hAnsi="Book Antiqua"/>
          <w:i/>
          <w:sz w:val="24"/>
          <w:szCs w:val="24"/>
        </w:rPr>
        <w:t>Oncol</w:t>
      </w:r>
      <w:proofErr w:type="spellEnd"/>
      <w:r w:rsidRPr="004E79AD">
        <w:rPr>
          <w:rFonts w:ascii="Book Antiqua" w:hAnsi="Book Antiqua"/>
          <w:sz w:val="24"/>
          <w:szCs w:val="24"/>
        </w:rPr>
        <w:t xml:space="preserve"> 2017; </w:t>
      </w:r>
      <w:r w:rsidRPr="004E79AD">
        <w:rPr>
          <w:rFonts w:ascii="Book Antiqua" w:hAnsi="Book Antiqua"/>
          <w:b/>
          <w:sz w:val="24"/>
          <w:szCs w:val="24"/>
        </w:rPr>
        <w:t>15</w:t>
      </w:r>
      <w:r w:rsidRPr="004E79AD">
        <w:rPr>
          <w:rFonts w:ascii="Book Antiqua" w:hAnsi="Book Antiqua"/>
          <w:sz w:val="24"/>
          <w:szCs w:val="24"/>
        </w:rPr>
        <w:t>: 51 [PMID: 28222738 DOI: 10.1186/s12957-017-1119-2]</w:t>
      </w:r>
    </w:p>
    <w:p w14:paraId="52E93DC4"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11 </w:t>
      </w:r>
      <w:proofErr w:type="spellStart"/>
      <w:r w:rsidRPr="004E79AD">
        <w:rPr>
          <w:rFonts w:ascii="Book Antiqua" w:hAnsi="Book Antiqua"/>
          <w:b/>
          <w:sz w:val="24"/>
          <w:szCs w:val="24"/>
        </w:rPr>
        <w:t>Facy</w:t>
      </w:r>
      <w:proofErr w:type="spellEnd"/>
      <w:r w:rsidRPr="004E79AD">
        <w:rPr>
          <w:rFonts w:ascii="Book Antiqua" w:hAnsi="Book Antiqua"/>
          <w:b/>
          <w:sz w:val="24"/>
          <w:szCs w:val="24"/>
        </w:rPr>
        <w:t xml:space="preserve"> O</w:t>
      </w:r>
      <w:r w:rsidRPr="004E79AD">
        <w:rPr>
          <w:rFonts w:ascii="Book Antiqua" w:hAnsi="Book Antiqua"/>
          <w:sz w:val="24"/>
          <w:szCs w:val="24"/>
        </w:rPr>
        <w:t xml:space="preserve">, </w:t>
      </w:r>
      <w:proofErr w:type="spellStart"/>
      <w:r w:rsidRPr="004E79AD">
        <w:rPr>
          <w:rFonts w:ascii="Book Antiqua" w:hAnsi="Book Antiqua"/>
          <w:sz w:val="24"/>
          <w:szCs w:val="24"/>
        </w:rPr>
        <w:t>Combier</w:t>
      </w:r>
      <w:proofErr w:type="spellEnd"/>
      <w:r w:rsidRPr="004E79AD">
        <w:rPr>
          <w:rFonts w:ascii="Book Antiqua" w:hAnsi="Book Antiqua"/>
          <w:sz w:val="24"/>
          <w:szCs w:val="24"/>
        </w:rPr>
        <w:t xml:space="preserve"> C, </w:t>
      </w:r>
      <w:proofErr w:type="spellStart"/>
      <w:r w:rsidRPr="004E79AD">
        <w:rPr>
          <w:rFonts w:ascii="Book Antiqua" w:hAnsi="Book Antiqua"/>
          <w:sz w:val="24"/>
          <w:szCs w:val="24"/>
        </w:rPr>
        <w:t>Poussier</w:t>
      </w:r>
      <w:proofErr w:type="spellEnd"/>
      <w:r w:rsidRPr="004E79AD">
        <w:rPr>
          <w:rFonts w:ascii="Book Antiqua" w:hAnsi="Book Antiqua"/>
          <w:sz w:val="24"/>
          <w:szCs w:val="24"/>
        </w:rPr>
        <w:t xml:space="preserve"> M, </w:t>
      </w:r>
      <w:proofErr w:type="spellStart"/>
      <w:r w:rsidRPr="004E79AD">
        <w:rPr>
          <w:rFonts w:ascii="Book Antiqua" w:hAnsi="Book Antiqua"/>
          <w:sz w:val="24"/>
          <w:szCs w:val="24"/>
        </w:rPr>
        <w:t>Magnin</w:t>
      </w:r>
      <w:proofErr w:type="spellEnd"/>
      <w:r w:rsidRPr="004E79AD">
        <w:rPr>
          <w:rFonts w:ascii="Book Antiqua" w:hAnsi="Book Antiqua"/>
          <w:sz w:val="24"/>
          <w:szCs w:val="24"/>
        </w:rPr>
        <w:t xml:space="preserve"> G, </w:t>
      </w:r>
      <w:proofErr w:type="spellStart"/>
      <w:r w:rsidRPr="004E79AD">
        <w:rPr>
          <w:rFonts w:ascii="Book Antiqua" w:hAnsi="Book Antiqua"/>
          <w:sz w:val="24"/>
          <w:szCs w:val="24"/>
        </w:rPr>
        <w:t>Ladoire</w:t>
      </w:r>
      <w:proofErr w:type="spellEnd"/>
      <w:r w:rsidRPr="004E79AD">
        <w:rPr>
          <w:rFonts w:ascii="Book Antiqua" w:hAnsi="Book Antiqua"/>
          <w:sz w:val="24"/>
          <w:szCs w:val="24"/>
        </w:rPr>
        <w:t xml:space="preserve"> S, </w:t>
      </w:r>
      <w:proofErr w:type="spellStart"/>
      <w:r w:rsidRPr="004E79AD">
        <w:rPr>
          <w:rFonts w:ascii="Book Antiqua" w:hAnsi="Book Antiqua"/>
          <w:sz w:val="24"/>
          <w:szCs w:val="24"/>
        </w:rPr>
        <w:t>Ghiringhelli</w:t>
      </w:r>
      <w:proofErr w:type="spellEnd"/>
      <w:r w:rsidRPr="004E79AD">
        <w:rPr>
          <w:rFonts w:ascii="Book Antiqua" w:hAnsi="Book Antiqua"/>
          <w:sz w:val="24"/>
          <w:szCs w:val="24"/>
        </w:rPr>
        <w:t xml:space="preserve"> F, </w:t>
      </w:r>
      <w:proofErr w:type="spellStart"/>
      <w:r w:rsidRPr="004E79AD">
        <w:rPr>
          <w:rFonts w:ascii="Book Antiqua" w:hAnsi="Book Antiqua"/>
          <w:sz w:val="24"/>
          <w:szCs w:val="24"/>
        </w:rPr>
        <w:t>Chauffert</w:t>
      </w:r>
      <w:proofErr w:type="spellEnd"/>
      <w:r w:rsidRPr="004E79AD">
        <w:rPr>
          <w:rFonts w:ascii="Book Antiqua" w:hAnsi="Book Antiqua"/>
          <w:sz w:val="24"/>
          <w:szCs w:val="24"/>
        </w:rPr>
        <w:t xml:space="preserve"> B, Rat P, Ortega-</w:t>
      </w:r>
      <w:proofErr w:type="spellStart"/>
      <w:r w:rsidRPr="004E79AD">
        <w:rPr>
          <w:rFonts w:ascii="Book Antiqua" w:hAnsi="Book Antiqua"/>
          <w:sz w:val="24"/>
          <w:szCs w:val="24"/>
        </w:rPr>
        <w:t>Deballon</w:t>
      </w:r>
      <w:proofErr w:type="spellEnd"/>
      <w:r w:rsidRPr="004E79AD">
        <w:rPr>
          <w:rFonts w:ascii="Book Antiqua" w:hAnsi="Book Antiqua"/>
          <w:sz w:val="24"/>
          <w:szCs w:val="24"/>
        </w:rPr>
        <w:t xml:space="preserve"> P. High pressure does not counterbalance the advantages of open techniques over closed techniques during heated intraperitoneal chemotherapy with oxaliplatin. </w:t>
      </w:r>
      <w:r w:rsidRPr="004E79AD">
        <w:rPr>
          <w:rFonts w:ascii="Book Antiqua" w:hAnsi="Book Antiqua"/>
          <w:i/>
          <w:sz w:val="24"/>
          <w:szCs w:val="24"/>
        </w:rPr>
        <w:t>Surgery</w:t>
      </w:r>
      <w:r w:rsidRPr="004E79AD">
        <w:rPr>
          <w:rFonts w:ascii="Book Antiqua" w:hAnsi="Book Antiqua"/>
          <w:sz w:val="24"/>
          <w:szCs w:val="24"/>
        </w:rPr>
        <w:t xml:space="preserve"> 2015; </w:t>
      </w:r>
      <w:r w:rsidRPr="004E79AD">
        <w:rPr>
          <w:rFonts w:ascii="Book Antiqua" w:hAnsi="Book Antiqua"/>
          <w:b/>
          <w:sz w:val="24"/>
          <w:szCs w:val="24"/>
        </w:rPr>
        <w:t>157</w:t>
      </w:r>
      <w:r w:rsidRPr="004E79AD">
        <w:rPr>
          <w:rFonts w:ascii="Book Antiqua" w:hAnsi="Book Antiqua"/>
          <w:sz w:val="24"/>
          <w:szCs w:val="24"/>
        </w:rPr>
        <w:t>: 72-78 [PMID: 25027716 DOI: 10.1016/j.surg.2014.06.006]</w:t>
      </w:r>
    </w:p>
    <w:p w14:paraId="58F36DE1"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12 </w:t>
      </w:r>
      <w:proofErr w:type="spellStart"/>
      <w:r w:rsidRPr="004E79AD">
        <w:rPr>
          <w:rFonts w:ascii="Book Antiqua" w:hAnsi="Book Antiqua"/>
          <w:b/>
          <w:sz w:val="24"/>
          <w:szCs w:val="24"/>
        </w:rPr>
        <w:t>Badrudin</w:t>
      </w:r>
      <w:proofErr w:type="spellEnd"/>
      <w:r w:rsidRPr="004E79AD">
        <w:rPr>
          <w:rFonts w:ascii="Book Antiqua" w:hAnsi="Book Antiqua"/>
          <w:b/>
          <w:sz w:val="24"/>
          <w:szCs w:val="24"/>
        </w:rPr>
        <w:t xml:space="preserve"> D</w:t>
      </w:r>
      <w:r w:rsidRPr="004E79AD">
        <w:rPr>
          <w:rFonts w:ascii="Book Antiqua" w:hAnsi="Book Antiqua"/>
          <w:sz w:val="24"/>
          <w:szCs w:val="24"/>
        </w:rPr>
        <w:t xml:space="preserve">, Sideris L, Perrault-Mercier C, Hubert J, </w:t>
      </w:r>
      <w:proofErr w:type="spellStart"/>
      <w:r w:rsidRPr="004E79AD">
        <w:rPr>
          <w:rFonts w:ascii="Book Antiqua" w:hAnsi="Book Antiqua"/>
          <w:sz w:val="24"/>
          <w:szCs w:val="24"/>
        </w:rPr>
        <w:t>Leblond</w:t>
      </w:r>
      <w:proofErr w:type="spellEnd"/>
      <w:r w:rsidRPr="004E79AD">
        <w:rPr>
          <w:rFonts w:ascii="Book Antiqua" w:hAnsi="Book Antiqua"/>
          <w:sz w:val="24"/>
          <w:szCs w:val="24"/>
        </w:rPr>
        <w:t xml:space="preserve"> FA, </w:t>
      </w:r>
      <w:proofErr w:type="spellStart"/>
      <w:r w:rsidRPr="004E79AD">
        <w:rPr>
          <w:rFonts w:ascii="Book Antiqua" w:hAnsi="Book Antiqua"/>
          <w:sz w:val="24"/>
          <w:szCs w:val="24"/>
        </w:rPr>
        <w:t>Dubé</w:t>
      </w:r>
      <w:proofErr w:type="spellEnd"/>
      <w:r w:rsidRPr="004E79AD">
        <w:rPr>
          <w:rFonts w:ascii="Book Antiqua" w:hAnsi="Book Antiqua"/>
          <w:sz w:val="24"/>
          <w:szCs w:val="24"/>
        </w:rPr>
        <w:t xml:space="preserve"> P. Comparison of open and closed abdomen techniques for the delivery of intraperitoneal pemetrexed using a murine model. </w:t>
      </w:r>
      <w:r w:rsidRPr="004E79AD">
        <w:rPr>
          <w:rFonts w:ascii="Book Antiqua" w:hAnsi="Book Antiqua"/>
          <w:i/>
          <w:sz w:val="24"/>
          <w:szCs w:val="24"/>
        </w:rPr>
        <w:t xml:space="preserve">J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w:t>
      </w:r>
      <w:proofErr w:type="spellStart"/>
      <w:r w:rsidRPr="004E79AD">
        <w:rPr>
          <w:rFonts w:ascii="Book Antiqua" w:hAnsi="Book Antiqua"/>
          <w:i/>
          <w:sz w:val="24"/>
          <w:szCs w:val="24"/>
        </w:rPr>
        <w:t>Oncol</w:t>
      </w:r>
      <w:proofErr w:type="spellEnd"/>
      <w:r w:rsidRPr="004E79AD">
        <w:rPr>
          <w:rFonts w:ascii="Book Antiqua" w:hAnsi="Book Antiqua"/>
          <w:sz w:val="24"/>
          <w:szCs w:val="24"/>
        </w:rPr>
        <w:t xml:space="preserve"> 2018; </w:t>
      </w:r>
      <w:r w:rsidRPr="004E79AD">
        <w:rPr>
          <w:rFonts w:ascii="Book Antiqua" w:hAnsi="Book Antiqua"/>
          <w:b/>
          <w:sz w:val="24"/>
          <w:szCs w:val="24"/>
        </w:rPr>
        <w:t>117</w:t>
      </w:r>
      <w:r w:rsidRPr="004E79AD">
        <w:rPr>
          <w:rFonts w:ascii="Book Antiqua" w:hAnsi="Book Antiqua"/>
          <w:sz w:val="24"/>
          <w:szCs w:val="24"/>
        </w:rPr>
        <w:t>: 1318-1322 [PMID: 29355970 DOI: 10.1002/jso.24960]</w:t>
      </w:r>
    </w:p>
    <w:p w14:paraId="0DCB3D3D"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13 </w:t>
      </w:r>
      <w:r w:rsidRPr="004E79AD">
        <w:rPr>
          <w:rFonts w:ascii="Book Antiqua" w:hAnsi="Book Antiqua"/>
          <w:b/>
          <w:sz w:val="24"/>
          <w:szCs w:val="24"/>
        </w:rPr>
        <w:t>Ortega-</w:t>
      </w:r>
      <w:proofErr w:type="spellStart"/>
      <w:r w:rsidRPr="004E79AD">
        <w:rPr>
          <w:rFonts w:ascii="Book Antiqua" w:hAnsi="Book Antiqua"/>
          <w:b/>
          <w:sz w:val="24"/>
          <w:szCs w:val="24"/>
        </w:rPr>
        <w:t>Deballon</w:t>
      </w:r>
      <w:proofErr w:type="spellEnd"/>
      <w:r w:rsidRPr="004E79AD">
        <w:rPr>
          <w:rFonts w:ascii="Book Antiqua" w:hAnsi="Book Antiqua"/>
          <w:b/>
          <w:sz w:val="24"/>
          <w:szCs w:val="24"/>
        </w:rPr>
        <w:t xml:space="preserve"> P</w:t>
      </w:r>
      <w:r w:rsidRPr="004E79AD">
        <w:rPr>
          <w:rFonts w:ascii="Book Antiqua" w:hAnsi="Book Antiqua"/>
          <w:sz w:val="24"/>
          <w:szCs w:val="24"/>
        </w:rPr>
        <w:t xml:space="preserve">, </w:t>
      </w:r>
      <w:proofErr w:type="spellStart"/>
      <w:r w:rsidRPr="004E79AD">
        <w:rPr>
          <w:rFonts w:ascii="Book Antiqua" w:hAnsi="Book Antiqua"/>
          <w:sz w:val="24"/>
          <w:szCs w:val="24"/>
        </w:rPr>
        <w:t>Facy</w:t>
      </w:r>
      <w:proofErr w:type="spellEnd"/>
      <w:r w:rsidRPr="004E79AD">
        <w:rPr>
          <w:rFonts w:ascii="Book Antiqua" w:hAnsi="Book Antiqua"/>
          <w:sz w:val="24"/>
          <w:szCs w:val="24"/>
        </w:rPr>
        <w:t xml:space="preserve"> O, </w:t>
      </w:r>
      <w:proofErr w:type="spellStart"/>
      <w:r w:rsidRPr="004E79AD">
        <w:rPr>
          <w:rFonts w:ascii="Book Antiqua" w:hAnsi="Book Antiqua"/>
          <w:sz w:val="24"/>
          <w:szCs w:val="24"/>
        </w:rPr>
        <w:t>Jambet</w:t>
      </w:r>
      <w:proofErr w:type="spellEnd"/>
      <w:r w:rsidRPr="004E79AD">
        <w:rPr>
          <w:rFonts w:ascii="Book Antiqua" w:hAnsi="Book Antiqua"/>
          <w:sz w:val="24"/>
          <w:szCs w:val="24"/>
        </w:rPr>
        <w:t xml:space="preserve"> S, </w:t>
      </w:r>
      <w:proofErr w:type="spellStart"/>
      <w:r w:rsidRPr="004E79AD">
        <w:rPr>
          <w:rFonts w:ascii="Book Antiqua" w:hAnsi="Book Antiqua"/>
          <w:sz w:val="24"/>
          <w:szCs w:val="24"/>
        </w:rPr>
        <w:t>Magnin</w:t>
      </w:r>
      <w:proofErr w:type="spellEnd"/>
      <w:r w:rsidRPr="004E79AD">
        <w:rPr>
          <w:rFonts w:ascii="Book Antiqua" w:hAnsi="Book Antiqua"/>
          <w:sz w:val="24"/>
          <w:szCs w:val="24"/>
        </w:rPr>
        <w:t xml:space="preserve"> G, </w:t>
      </w:r>
      <w:proofErr w:type="spellStart"/>
      <w:r w:rsidRPr="004E79AD">
        <w:rPr>
          <w:rFonts w:ascii="Book Antiqua" w:hAnsi="Book Antiqua"/>
          <w:sz w:val="24"/>
          <w:szCs w:val="24"/>
        </w:rPr>
        <w:t>Cotte</w:t>
      </w:r>
      <w:proofErr w:type="spellEnd"/>
      <w:r w:rsidRPr="004E79AD">
        <w:rPr>
          <w:rFonts w:ascii="Book Antiqua" w:hAnsi="Book Antiqua"/>
          <w:sz w:val="24"/>
          <w:szCs w:val="24"/>
        </w:rPr>
        <w:t xml:space="preserve"> E, </w:t>
      </w:r>
      <w:proofErr w:type="spellStart"/>
      <w:r w:rsidRPr="004E79AD">
        <w:rPr>
          <w:rFonts w:ascii="Book Antiqua" w:hAnsi="Book Antiqua"/>
          <w:sz w:val="24"/>
          <w:szCs w:val="24"/>
        </w:rPr>
        <w:t>Beltramo</w:t>
      </w:r>
      <w:proofErr w:type="spellEnd"/>
      <w:r w:rsidRPr="004E79AD">
        <w:rPr>
          <w:rFonts w:ascii="Book Antiqua" w:hAnsi="Book Antiqua"/>
          <w:sz w:val="24"/>
          <w:szCs w:val="24"/>
        </w:rPr>
        <w:t xml:space="preserve"> JL, </w:t>
      </w:r>
      <w:proofErr w:type="spellStart"/>
      <w:r w:rsidRPr="004E79AD">
        <w:rPr>
          <w:rFonts w:ascii="Book Antiqua" w:hAnsi="Book Antiqua"/>
          <w:sz w:val="24"/>
          <w:szCs w:val="24"/>
        </w:rPr>
        <w:t>Chauffert</w:t>
      </w:r>
      <w:proofErr w:type="spellEnd"/>
      <w:r w:rsidRPr="004E79AD">
        <w:rPr>
          <w:rFonts w:ascii="Book Antiqua" w:hAnsi="Book Antiqua"/>
          <w:sz w:val="24"/>
          <w:szCs w:val="24"/>
        </w:rPr>
        <w:t xml:space="preserve"> B, Rat P. Which method to deliver hyperthermic intraperitoneal chemotherapy with oxaliplatin? </w:t>
      </w:r>
      <w:proofErr w:type="gramStart"/>
      <w:r w:rsidRPr="004E79AD">
        <w:rPr>
          <w:rFonts w:ascii="Book Antiqua" w:hAnsi="Book Antiqua"/>
          <w:sz w:val="24"/>
          <w:szCs w:val="24"/>
        </w:rPr>
        <w:t>An experimental comparison of open and closed techniques.</w:t>
      </w:r>
      <w:proofErr w:type="gramEnd"/>
      <w:r w:rsidRPr="004E79AD">
        <w:rPr>
          <w:rFonts w:ascii="Book Antiqua" w:hAnsi="Book Antiqua"/>
          <w:sz w:val="24"/>
          <w:szCs w:val="24"/>
        </w:rPr>
        <w:t xml:space="preserve"> </w:t>
      </w:r>
      <w:r w:rsidRPr="004E79AD">
        <w:rPr>
          <w:rFonts w:ascii="Book Antiqua" w:hAnsi="Book Antiqua"/>
          <w:i/>
          <w:sz w:val="24"/>
          <w:szCs w:val="24"/>
        </w:rPr>
        <w:t xml:space="preserve">Ann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w:t>
      </w:r>
      <w:proofErr w:type="spellStart"/>
      <w:r w:rsidRPr="004E79AD">
        <w:rPr>
          <w:rFonts w:ascii="Book Antiqua" w:hAnsi="Book Antiqua"/>
          <w:i/>
          <w:sz w:val="24"/>
          <w:szCs w:val="24"/>
        </w:rPr>
        <w:t>Oncol</w:t>
      </w:r>
      <w:proofErr w:type="spellEnd"/>
      <w:r w:rsidRPr="004E79AD">
        <w:rPr>
          <w:rFonts w:ascii="Book Antiqua" w:hAnsi="Book Antiqua"/>
          <w:sz w:val="24"/>
          <w:szCs w:val="24"/>
        </w:rPr>
        <w:t xml:space="preserve"> 2010; </w:t>
      </w:r>
      <w:r w:rsidRPr="004E79AD">
        <w:rPr>
          <w:rFonts w:ascii="Book Antiqua" w:hAnsi="Book Antiqua"/>
          <w:b/>
          <w:sz w:val="24"/>
          <w:szCs w:val="24"/>
        </w:rPr>
        <w:t>17</w:t>
      </w:r>
      <w:r w:rsidRPr="004E79AD">
        <w:rPr>
          <w:rFonts w:ascii="Book Antiqua" w:hAnsi="Book Antiqua"/>
          <w:sz w:val="24"/>
          <w:szCs w:val="24"/>
        </w:rPr>
        <w:t>: 1957-1963 [PMID: 20143265 DOI: 10.1245/s10434-010-0937-z]</w:t>
      </w:r>
    </w:p>
    <w:p w14:paraId="48F9013C"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14 </w:t>
      </w:r>
      <w:proofErr w:type="spellStart"/>
      <w:r w:rsidRPr="004E79AD">
        <w:rPr>
          <w:rFonts w:ascii="Book Antiqua" w:hAnsi="Book Antiqua"/>
          <w:b/>
          <w:sz w:val="24"/>
          <w:szCs w:val="24"/>
        </w:rPr>
        <w:t>Baratti</w:t>
      </w:r>
      <w:proofErr w:type="spellEnd"/>
      <w:r w:rsidRPr="004E79AD">
        <w:rPr>
          <w:rFonts w:ascii="Book Antiqua" w:hAnsi="Book Antiqua"/>
          <w:b/>
          <w:sz w:val="24"/>
          <w:szCs w:val="24"/>
        </w:rPr>
        <w:t xml:space="preserve"> D</w:t>
      </w:r>
      <w:r w:rsidRPr="004E79AD">
        <w:rPr>
          <w:rFonts w:ascii="Book Antiqua" w:hAnsi="Book Antiqua"/>
          <w:sz w:val="24"/>
          <w:szCs w:val="24"/>
        </w:rPr>
        <w:t xml:space="preserve">, </w:t>
      </w:r>
      <w:proofErr w:type="spellStart"/>
      <w:r w:rsidRPr="004E79AD">
        <w:rPr>
          <w:rFonts w:ascii="Book Antiqua" w:hAnsi="Book Antiqua"/>
          <w:sz w:val="24"/>
          <w:szCs w:val="24"/>
        </w:rPr>
        <w:t>Kusamura</w:t>
      </w:r>
      <w:proofErr w:type="spellEnd"/>
      <w:r w:rsidRPr="004E79AD">
        <w:rPr>
          <w:rFonts w:ascii="Book Antiqua" w:hAnsi="Book Antiqua"/>
          <w:sz w:val="24"/>
          <w:szCs w:val="24"/>
        </w:rPr>
        <w:t xml:space="preserve"> S, </w:t>
      </w:r>
      <w:proofErr w:type="spellStart"/>
      <w:r w:rsidRPr="004E79AD">
        <w:rPr>
          <w:rFonts w:ascii="Book Antiqua" w:hAnsi="Book Antiqua"/>
          <w:sz w:val="24"/>
          <w:szCs w:val="24"/>
        </w:rPr>
        <w:t>Iusco</w:t>
      </w:r>
      <w:proofErr w:type="spellEnd"/>
      <w:r w:rsidRPr="004E79AD">
        <w:rPr>
          <w:rFonts w:ascii="Book Antiqua" w:hAnsi="Book Antiqua"/>
          <w:sz w:val="24"/>
          <w:szCs w:val="24"/>
        </w:rPr>
        <w:t xml:space="preserve"> D, Bonomi S, </w:t>
      </w:r>
      <w:proofErr w:type="spellStart"/>
      <w:r w:rsidRPr="004E79AD">
        <w:rPr>
          <w:rFonts w:ascii="Book Antiqua" w:hAnsi="Book Antiqua"/>
          <w:sz w:val="24"/>
          <w:szCs w:val="24"/>
        </w:rPr>
        <w:t>Grassi</w:t>
      </w:r>
      <w:proofErr w:type="spellEnd"/>
      <w:r w:rsidRPr="004E79AD">
        <w:rPr>
          <w:rFonts w:ascii="Book Antiqua" w:hAnsi="Book Antiqua"/>
          <w:sz w:val="24"/>
          <w:szCs w:val="24"/>
        </w:rPr>
        <w:t xml:space="preserve"> A, </w:t>
      </w:r>
      <w:proofErr w:type="spellStart"/>
      <w:r w:rsidRPr="004E79AD">
        <w:rPr>
          <w:rFonts w:ascii="Book Antiqua" w:hAnsi="Book Antiqua"/>
          <w:sz w:val="24"/>
          <w:szCs w:val="24"/>
        </w:rPr>
        <w:t>Virzì</w:t>
      </w:r>
      <w:proofErr w:type="spellEnd"/>
      <w:r w:rsidRPr="004E79AD">
        <w:rPr>
          <w:rFonts w:ascii="Book Antiqua" w:hAnsi="Book Antiqua"/>
          <w:sz w:val="24"/>
          <w:szCs w:val="24"/>
        </w:rPr>
        <w:t xml:space="preserve"> S, Leo E, </w:t>
      </w:r>
      <w:proofErr w:type="spellStart"/>
      <w:r w:rsidRPr="004E79AD">
        <w:rPr>
          <w:rFonts w:ascii="Book Antiqua" w:hAnsi="Book Antiqua"/>
          <w:sz w:val="24"/>
          <w:szCs w:val="24"/>
        </w:rPr>
        <w:t>Deraco</w:t>
      </w:r>
      <w:proofErr w:type="spellEnd"/>
      <w:r w:rsidRPr="004E79AD">
        <w:rPr>
          <w:rFonts w:ascii="Book Antiqua" w:hAnsi="Book Antiqua"/>
          <w:sz w:val="24"/>
          <w:szCs w:val="24"/>
        </w:rPr>
        <w:t xml:space="preserve"> M. Postoperative complications after cytoreductive surgery and hyperthermic intraperitoneal chemotherapy affect long-term outcome of patients with peritoneal metastases from colorectal cancer: a two-center study of 101 patients. </w:t>
      </w:r>
      <w:r w:rsidRPr="004E79AD">
        <w:rPr>
          <w:rFonts w:ascii="Book Antiqua" w:hAnsi="Book Antiqua"/>
          <w:i/>
          <w:sz w:val="24"/>
          <w:szCs w:val="24"/>
        </w:rPr>
        <w:t>Dis Colon Rectum</w:t>
      </w:r>
      <w:r w:rsidRPr="004E79AD">
        <w:rPr>
          <w:rFonts w:ascii="Book Antiqua" w:hAnsi="Book Antiqua"/>
          <w:sz w:val="24"/>
          <w:szCs w:val="24"/>
        </w:rPr>
        <w:t xml:space="preserve"> 2014; </w:t>
      </w:r>
      <w:r w:rsidRPr="004E79AD">
        <w:rPr>
          <w:rFonts w:ascii="Book Antiqua" w:hAnsi="Book Antiqua"/>
          <w:b/>
          <w:sz w:val="24"/>
          <w:szCs w:val="24"/>
        </w:rPr>
        <w:t>57</w:t>
      </w:r>
      <w:r w:rsidRPr="004E79AD">
        <w:rPr>
          <w:rFonts w:ascii="Book Antiqua" w:hAnsi="Book Antiqua"/>
          <w:sz w:val="24"/>
          <w:szCs w:val="24"/>
        </w:rPr>
        <w:t>: 858-868 [PMID: 24901687 DOI: 10.1097/DCR.0000000000000149]</w:t>
      </w:r>
    </w:p>
    <w:p w14:paraId="13B13DDB" w14:textId="77777777" w:rsidR="00547688" w:rsidRPr="004E79AD" w:rsidRDefault="00547688" w:rsidP="004E79AD">
      <w:pPr>
        <w:snapToGrid w:val="0"/>
        <w:spacing w:after="0" w:line="360" w:lineRule="auto"/>
        <w:jc w:val="both"/>
        <w:rPr>
          <w:rFonts w:ascii="Book Antiqua" w:hAnsi="Book Antiqua"/>
          <w:sz w:val="24"/>
          <w:szCs w:val="24"/>
        </w:rPr>
      </w:pPr>
      <w:proofErr w:type="gramStart"/>
      <w:r w:rsidRPr="004E79AD">
        <w:rPr>
          <w:rFonts w:ascii="Book Antiqua" w:hAnsi="Book Antiqua"/>
          <w:sz w:val="24"/>
          <w:szCs w:val="24"/>
        </w:rPr>
        <w:lastRenderedPageBreak/>
        <w:t xml:space="preserve">15 </w:t>
      </w:r>
      <w:r w:rsidRPr="004E79AD">
        <w:rPr>
          <w:rFonts w:ascii="Book Antiqua" w:hAnsi="Book Antiqua"/>
          <w:b/>
          <w:sz w:val="24"/>
          <w:szCs w:val="24"/>
        </w:rPr>
        <w:t>da Silva RG</w:t>
      </w:r>
      <w:r w:rsidRPr="004E79AD">
        <w:rPr>
          <w:rFonts w:ascii="Book Antiqua" w:hAnsi="Book Antiqua"/>
          <w:sz w:val="24"/>
          <w:szCs w:val="24"/>
        </w:rPr>
        <w:t xml:space="preserve">, </w:t>
      </w:r>
      <w:proofErr w:type="spellStart"/>
      <w:r w:rsidRPr="004E79AD">
        <w:rPr>
          <w:rFonts w:ascii="Book Antiqua" w:hAnsi="Book Antiqua"/>
          <w:sz w:val="24"/>
          <w:szCs w:val="24"/>
        </w:rPr>
        <w:t>Sugarbaker</w:t>
      </w:r>
      <w:proofErr w:type="spellEnd"/>
      <w:r w:rsidRPr="004E79AD">
        <w:rPr>
          <w:rFonts w:ascii="Book Antiqua" w:hAnsi="Book Antiqua"/>
          <w:sz w:val="24"/>
          <w:szCs w:val="24"/>
        </w:rPr>
        <w:t xml:space="preserve"> PH. Analysis of prognostic factors in seventy patients having a complete cytoreduction plus perioperative intraperitoneal chemotherapy for carcinomatosis from colorectal cancer.</w:t>
      </w:r>
      <w:proofErr w:type="gramEnd"/>
      <w:r w:rsidRPr="004E79AD">
        <w:rPr>
          <w:rFonts w:ascii="Book Antiqua" w:hAnsi="Book Antiqua"/>
          <w:sz w:val="24"/>
          <w:szCs w:val="24"/>
        </w:rPr>
        <w:t xml:space="preserve"> </w:t>
      </w:r>
      <w:r w:rsidRPr="004E79AD">
        <w:rPr>
          <w:rFonts w:ascii="Book Antiqua" w:hAnsi="Book Antiqua"/>
          <w:i/>
          <w:sz w:val="24"/>
          <w:szCs w:val="24"/>
        </w:rPr>
        <w:t xml:space="preserve">J Am </w:t>
      </w:r>
      <w:proofErr w:type="spellStart"/>
      <w:r w:rsidRPr="004E79AD">
        <w:rPr>
          <w:rFonts w:ascii="Book Antiqua" w:hAnsi="Book Antiqua"/>
          <w:i/>
          <w:sz w:val="24"/>
          <w:szCs w:val="24"/>
        </w:rPr>
        <w:t>Coll</w:t>
      </w:r>
      <w:proofErr w:type="spellEnd"/>
      <w:r w:rsidRPr="004E79AD">
        <w:rPr>
          <w:rFonts w:ascii="Book Antiqua" w:hAnsi="Book Antiqua"/>
          <w:i/>
          <w:sz w:val="24"/>
          <w:szCs w:val="24"/>
        </w:rPr>
        <w:t xml:space="preserve"> </w:t>
      </w:r>
      <w:proofErr w:type="spellStart"/>
      <w:r w:rsidRPr="004E79AD">
        <w:rPr>
          <w:rFonts w:ascii="Book Antiqua" w:hAnsi="Book Antiqua"/>
          <w:i/>
          <w:sz w:val="24"/>
          <w:szCs w:val="24"/>
        </w:rPr>
        <w:t>Surg</w:t>
      </w:r>
      <w:proofErr w:type="spellEnd"/>
      <w:r w:rsidRPr="004E79AD">
        <w:rPr>
          <w:rFonts w:ascii="Book Antiqua" w:hAnsi="Book Antiqua"/>
          <w:sz w:val="24"/>
          <w:szCs w:val="24"/>
        </w:rPr>
        <w:t xml:space="preserve"> 2006; </w:t>
      </w:r>
      <w:r w:rsidRPr="004E79AD">
        <w:rPr>
          <w:rFonts w:ascii="Book Antiqua" w:hAnsi="Book Antiqua"/>
          <w:b/>
          <w:sz w:val="24"/>
          <w:szCs w:val="24"/>
        </w:rPr>
        <w:t>203</w:t>
      </w:r>
      <w:r w:rsidRPr="004E79AD">
        <w:rPr>
          <w:rFonts w:ascii="Book Antiqua" w:hAnsi="Book Antiqua"/>
          <w:sz w:val="24"/>
          <w:szCs w:val="24"/>
        </w:rPr>
        <w:t>: 878-886 [PMID: 17116556 DOI: 10.1016/j.jamcollsurg.2006.08.024]</w:t>
      </w:r>
    </w:p>
    <w:p w14:paraId="119EB2FC"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16 </w:t>
      </w:r>
      <w:proofErr w:type="spellStart"/>
      <w:r w:rsidRPr="004E79AD">
        <w:rPr>
          <w:rFonts w:ascii="Book Antiqua" w:hAnsi="Book Antiqua"/>
          <w:b/>
          <w:sz w:val="24"/>
          <w:szCs w:val="24"/>
        </w:rPr>
        <w:t>Coccolini</w:t>
      </w:r>
      <w:proofErr w:type="spellEnd"/>
      <w:r w:rsidRPr="004E79AD">
        <w:rPr>
          <w:rFonts w:ascii="Book Antiqua" w:hAnsi="Book Antiqua"/>
          <w:b/>
          <w:sz w:val="24"/>
          <w:szCs w:val="24"/>
        </w:rPr>
        <w:t xml:space="preserve"> F</w:t>
      </w:r>
      <w:r w:rsidRPr="004E79AD">
        <w:rPr>
          <w:rFonts w:ascii="Book Antiqua" w:hAnsi="Book Antiqua"/>
          <w:sz w:val="24"/>
          <w:szCs w:val="24"/>
        </w:rPr>
        <w:t xml:space="preserve">, Catena F, </w:t>
      </w:r>
      <w:proofErr w:type="spellStart"/>
      <w:r w:rsidRPr="004E79AD">
        <w:rPr>
          <w:rFonts w:ascii="Book Antiqua" w:hAnsi="Book Antiqua"/>
          <w:sz w:val="24"/>
          <w:szCs w:val="24"/>
        </w:rPr>
        <w:t>Glehen</w:t>
      </w:r>
      <w:proofErr w:type="spellEnd"/>
      <w:r w:rsidRPr="004E79AD">
        <w:rPr>
          <w:rFonts w:ascii="Book Antiqua" w:hAnsi="Book Antiqua"/>
          <w:sz w:val="24"/>
          <w:szCs w:val="24"/>
        </w:rPr>
        <w:t xml:space="preserve"> O, </w:t>
      </w:r>
      <w:proofErr w:type="spellStart"/>
      <w:r w:rsidRPr="004E79AD">
        <w:rPr>
          <w:rFonts w:ascii="Book Antiqua" w:hAnsi="Book Antiqua"/>
          <w:sz w:val="24"/>
          <w:szCs w:val="24"/>
        </w:rPr>
        <w:t>Yonemura</w:t>
      </w:r>
      <w:proofErr w:type="spellEnd"/>
      <w:r w:rsidRPr="004E79AD">
        <w:rPr>
          <w:rFonts w:ascii="Book Antiqua" w:hAnsi="Book Antiqua"/>
          <w:sz w:val="24"/>
          <w:szCs w:val="24"/>
        </w:rPr>
        <w:t xml:space="preserve"> Y, </w:t>
      </w:r>
      <w:proofErr w:type="spellStart"/>
      <w:r w:rsidRPr="004E79AD">
        <w:rPr>
          <w:rFonts w:ascii="Book Antiqua" w:hAnsi="Book Antiqua"/>
          <w:sz w:val="24"/>
          <w:szCs w:val="24"/>
        </w:rPr>
        <w:t>Sugarbaker</w:t>
      </w:r>
      <w:proofErr w:type="spellEnd"/>
      <w:r w:rsidRPr="004E79AD">
        <w:rPr>
          <w:rFonts w:ascii="Book Antiqua" w:hAnsi="Book Antiqua"/>
          <w:sz w:val="24"/>
          <w:szCs w:val="24"/>
        </w:rPr>
        <w:t xml:space="preserve"> PH, </w:t>
      </w:r>
      <w:proofErr w:type="spellStart"/>
      <w:r w:rsidRPr="004E79AD">
        <w:rPr>
          <w:rFonts w:ascii="Book Antiqua" w:hAnsi="Book Antiqua"/>
          <w:sz w:val="24"/>
          <w:szCs w:val="24"/>
        </w:rPr>
        <w:t>Piso</w:t>
      </w:r>
      <w:proofErr w:type="spellEnd"/>
      <w:r w:rsidRPr="004E79AD">
        <w:rPr>
          <w:rFonts w:ascii="Book Antiqua" w:hAnsi="Book Antiqua"/>
          <w:sz w:val="24"/>
          <w:szCs w:val="24"/>
        </w:rPr>
        <w:t xml:space="preserve"> P, </w:t>
      </w:r>
      <w:proofErr w:type="spellStart"/>
      <w:r w:rsidRPr="004E79AD">
        <w:rPr>
          <w:rFonts w:ascii="Book Antiqua" w:hAnsi="Book Antiqua"/>
          <w:sz w:val="24"/>
          <w:szCs w:val="24"/>
        </w:rPr>
        <w:t>Montori</w:t>
      </w:r>
      <w:proofErr w:type="spellEnd"/>
      <w:r w:rsidRPr="004E79AD">
        <w:rPr>
          <w:rFonts w:ascii="Book Antiqua" w:hAnsi="Book Antiqua"/>
          <w:sz w:val="24"/>
          <w:szCs w:val="24"/>
        </w:rPr>
        <w:t xml:space="preserve"> G, </w:t>
      </w:r>
      <w:proofErr w:type="spellStart"/>
      <w:r w:rsidRPr="004E79AD">
        <w:rPr>
          <w:rFonts w:ascii="Book Antiqua" w:hAnsi="Book Antiqua"/>
          <w:sz w:val="24"/>
          <w:szCs w:val="24"/>
        </w:rPr>
        <w:t>Ansaloni</w:t>
      </w:r>
      <w:proofErr w:type="spellEnd"/>
      <w:r w:rsidRPr="004E79AD">
        <w:rPr>
          <w:rFonts w:ascii="Book Antiqua" w:hAnsi="Book Antiqua"/>
          <w:sz w:val="24"/>
          <w:szCs w:val="24"/>
        </w:rPr>
        <w:t xml:space="preserve"> L. Complete versus incomplete </w:t>
      </w:r>
      <w:proofErr w:type="spellStart"/>
      <w:r w:rsidRPr="004E79AD">
        <w:rPr>
          <w:rFonts w:ascii="Book Antiqua" w:hAnsi="Book Antiqua"/>
          <w:sz w:val="24"/>
          <w:szCs w:val="24"/>
        </w:rPr>
        <w:t>cytoreduction</w:t>
      </w:r>
      <w:proofErr w:type="spellEnd"/>
      <w:r w:rsidRPr="004E79AD">
        <w:rPr>
          <w:rFonts w:ascii="Book Antiqua" w:hAnsi="Book Antiqua"/>
          <w:sz w:val="24"/>
          <w:szCs w:val="24"/>
        </w:rPr>
        <w:t xml:space="preserve"> in peritoneal </w:t>
      </w:r>
      <w:proofErr w:type="spellStart"/>
      <w:r w:rsidRPr="004E79AD">
        <w:rPr>
          <w:rFonts w:ascii="Book Antiqua" w:hAnsi="Book Antiqua"/>
          <w:sz w:val="24"/>
          <w:szCs w:val="24"/>
        </w:rPr>
        <w:t>carcinosis</w:t>
      </w:r>
      <w:proofErr w:type="spellEnd"/>
      <w:r w:rsidRPr="004E79AD">
        <w:rPr>
          <w:rFonts w:ascii="Book Antiqua" w:hAnsi="Book Antiqua"/>
          <w:sz w:val="24"/>
          <w:szCs w:val="24"/>
        </w:rPr>
        <w:t xml:space="preserve"> from gastric cancer, with consideration to PCI cut-off. </w:t>
      </w:r>
      <w:proofErr w:type="gramStart"/>
      <w:r w:rsidRPr="004E79AD">
        <w:rPr>
          <w:rFonts w:ascii="Book Antiqua" w:hAnsi="Book Antiqua"/>
          <w:sz w:val="24"/>
          <w:szCs w:val="24"/>
        </w:rPr>
        <w:t>Systematic review and meta-analysis.</w:t>
      </w:r>
      <w:proofErr w:type="gramEnd"/>
      <w:r w:rsidRPr="004E79AD">
        <w:rPr>
          <w:rFonts w:ascii="Book Antiqua" w:hAnsi="Book Antiqua"/>
          <w:sz w:val="24"/>
          <w:szCs w:val="24"/>
        </w:rPr>
        <w:t xml:space="preserve"> </w:t>
      </w:r>
      <w:proofErr w:type="spellStart"/>
      <w:r w:rsidRPr="004E79AD">
        <w:rPr>
          <w:rFonts w:ascii="Book Antiqua" w:hAnsi="Book Antiqua"/>
          <w:i/>
          <w:sz w:val="24"/>
          <w:szCs w:val="24"/>
        </w:rPr>
        <w:t>Eur</w:t>
      </w:r>
      <w:proofErr w:type="spellEnd"/>
      <w:r w:rsidRPr="004E79AD">
        <w:rPr>
          <w:rFonts w:ascii="Book Antiqua" w:hAnsi="Book Antiqua"/>
          <w:i/>
          <w:sz w:val="24"/>
          <w:szCs w:val="24"/>
        </w:rPr>
        <w:t xml:space="preserve"> J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w:t>
      </w:r>
      <w:proofErr w:type="spellStart"/>
      <w:r w:rsidRPr="004E79AD">
        <w:rPr>
          <w:rFonts w:ascii="Book Antiqua" w:hAnsi="Book Antiqua"/>
          <w:i/>
          <w:sz w:val="24"/>
          <w:szCs w:val="24"/>
        </w:rPr>
        <w:t>Oncol</w:t>
      </w:r>
      <w:proofErr w:type="spellEnd"/>
      <w:r w:rsidRPr="004E79AD">
        <w:rPr>
          <w:rFonts w:ascii="Book Antiqua" w:hAnsi="Book Antiqua"/>
          <w:sz w:val="24"/>
          <w:szCs w:val="24"/>
        </w:rPr>
        <w:t xml:space="preserve"> 2015; </w:t>
      </w:r>
      <w:r w:rsidRPr="004E79AD">
        <w:rPr>
          <w:rFonts w:ascii="Book Antiqua" w:hAnsi="Book Antiqua"/>
          <w:b/>
          <w:sz w:val="24"/>
          <w:szCs w:val="24"/>
        </w:rPr>
        <w:t>41</w:t>
      </w:r>
      <w:r w:rsidRPr="004E79AD">
        <w:rPr>
          <w:rFonts w:ascii="Book Antiqua" w:hAnsi="Book Antiqua"/>
          <w:sz w:val="24"/>
          <w:szCs w:val="24"/>
        </w:rPr>
        <w:t>: 911-919 [PMID: 25936764 DOI: 10.1016/j.ejso.2015.03.231]</w:t>
      </w:r>
    </w:p>
    <w:p w14:paraId="10451869"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17 </w:t>
      </w:r>
      <w:proofErr w:type="spellStart"/>
      <w:r w:rsidRPr="004E79AD">
        <w:rPr>
          <w:rFonts w:ascii="Book Antiqua" w:hAnsi="Book Antiqua"/>
          <w:b/>
          <w:sz w:val="24"/>
          <w:szCs w:val="24"/>
        </w:rPr>
        <w:t>Näslund</w:t>
      </w:r>
      <w:proofErr w:type="spellEnd"/>
      <w:r w:rsidRPr="004E79AD">
        <w:rPr>
          <w:rFonts w:ascii="Book Antiqua" w:hAnsi="Book Antiqua"/>
          <w:b/>
          <w:sz w:val="24"/>
          <w:szCs w:val="24"/>
        </w:rPr>
        <w:t xml:space="preserve"> </w:t>
      </w:r>
      <w:proofErr w:type="spellStart"/>
      <w:r w:rsidRPr="004E79AD">
        <w:rPr>
          <w:rFonts w:ascii="Book Antiqua" w:hAnsi="Book Antiqua"/>
          <w:b/>
          <w:sz w:val="24"/>
          <w:szCs w:val="24"/>
        </w:rPr>
        <w:t>Andréasson</w:t>
      </w:r>
      <w:proofErr w:type="spellEnd"/>
      <w:r w:rsidRPr="004E79AD">
        <w:rPr>
          <w:rFonts w:ascii="Book Antiqua" w:hAnsi="Book Antiqua"/>
          <w:b/>
          <w:sz w:val="24"/>
          <w:szCs w:val="24"/>
        </w:rPr>
        <w:t xml:space="preserve"> S</w:t>
      </w:r>
      <w:r w:rsidRPr="004E79AD">
        <w:rPr>
          <w:rFonts w:ascii="Book Antiqua" w:hAnsi="Book Antiqua"/>
          <w:sz w:val="24"/>
          <w:szCs w:val="24"/>
        </w:rPr>
        <w:t xml:space="preserve">, </w:t>
      </w:r>
      <w:proofErr w:type="spellStart"/>
      <w:r w:rsidRPr="004E79AD">
        <w:rPr>
          <w:rFonts w:ascii="Book Antiqua" w:hAnsi="Book Antiqua"/>
          <w:sz w:val="24"/>
          <w:szCs w:val="24"/>
        </w:rPr>
        <w:t>Anundi</w:t>
      </w:r>
      <w:proofErr w:type="spellEnd"/>
      <w:r w:rsidRPr="004E79AD">
        <w:rPr>
          <w:rFonts w:ascii="Book Antiqua" w:hAnsi="Book Antiqua"/>
          <w:sz w:val="24"/>
          <w:szCs w:val="24"/>
        </w:rPr>
        <w:t xml:space="preserve"> H, </w:t>
      </w:r>
      <w:proofErr w:type="spellStart"/>
      <w:r w:rsidRPr="004E79AD">
        <w:rPr>
          <w:rFonts w:ascii="Book Antiqua" w:hAnsi="Book Antiqua"/>
          <w:sz w:val="24"/>
          <w:szCs w:val="24"/>
        </w:rPr>
        <w:t>Thorén</w:t>
      </w:r>
      <w:proofErr w:type="spellEnd"/>
      <w:r w:rsidRPr="004E79AD">
        <w:rPr>
          <w:rFonts w:ascii="Book Antiqua" w:hAnsi="Book Antiqua"/>
          <w:sz w:val="24"/>
          <w:szCs w:val="24"/>
        </w:rPr>
        <w:t xml:space="preserve"> SB, </w:t>
      </w:r>
      <w:proofErr w:type="spellStart"/>
      <w:r w:rsidRPr="004E79AD">
        <w:rPr>
          <w:rFonts w:ascii="Book Antiqua" w:hAnsi="Book Antiqua"/>
          <w:sz w:val="24"/>
          <w:szCs w:val="24"/>
        </w:rPr>
        <w:t>Ehrsson</w:t>
      </w:r>
      <w:proofErr w:type="spellEnd"/>
      <w:r w:rsidRPr="004E79AD">
        <w:rPr>
          <w:rFonts w:ascii="Book Antiqua" w:hAnsi="Book Antiqua"/>
          <w:sz w:val="24"/>
          <w:szCs w:val="24"/>
        </w:rPr>
        <w:t xml:space="preserve"> H, </w:t>
      </w:r>
      <w:proofErr w:type="spellStart"/>
      <w:r w:rsidRPr="004E79AD">
        <w:rPr>
          <w:rFonts w:ascii="Book Antiqua" w:hAnsi="Book Antiqua"/>
          <w:sz w:val="24"/>
          <w:szCs w:val="24"/>
        </w:rPr>
        <w:t>Mahteme</w:t>
      </w:r>
      <w:proofErr w:type="spellEnd"/>
      <w:r w:rsidRPr="004E79AD">
        <w:rPr>
          <w:rFonts w:ascii="Book Antiqua" w:hAnsi="Book Antiqua"/>
          <w:sz w:val="24"/>
          <w:szCs w:val="24"/>
        </w:rPr>
        <w:t xml:space="preserve"> H. Is Platinum Present in Blood and Urine from Treatment Givers during Hyperthermic Intraperitoneal Chemotherapy? </w:t>
      </w:r>
      <w:r w:rsidRPr="004E79AD">
        <w:rPr>
          <w:rFonts w:ascii="Book Antiqua" w:hAnsi="Book Antiqua"/>
          <w:i/>
          <w:sz w:val="24"/>
          <w:szCs w:val="24"/>
        </w:rPr>
        <w:t>J Oncol</w:t>
      </w:r>
      <w:r w:rsidRPr="004E79AD">
        <w:rPr>
          <w:rFonts w:ascii="Book Antiqua" w:hAnsi="Book Antiqua"/>
          <w:sz w:val="24"/>
          <w:szCs w:val="24"/>
        </w:rPr>
        <w:t xml:space="preserve"> 2010; </w:t>
      </w:r>
      <w:r w:rsidRPr="004E79AD">
        <w:rPr>
          <w:rFonts w:ascii="Book Antiqua" w:hAnsi="Book Antiqua"/>
          <w:b/>
          <w:sz w:val="24"/>
          <w:szCs w:val="24"/>
        </w:rPr>
        <w:t>2010</w:t>
      </w:r>
      <w:r w:rsidRPr="004E79AD">
        <w:rPr>
          <w:rFonts w:ascii="Book Antiqua" w:hAnsi="Book Antiqua"/>
          <w:sz w:val="24"/>
          <w:szCs w:val="24"/>
        </w:rPr>
        <w:t>: 649719 [PMID: 20631909 DOI: 10.1155/2010/649719]</w:t>
      </w:r>
    </w:p>
    <w:p w14:paraId="45C623B9" w14:textId="77777777" w:rsidR="00547688" w:rsidRPr="004E79AD"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18 </w:t>
      </w:r>
      <w:r w:rsidRPr="004E79AD">
        <w:rPr>
          <w:rFonts w:ascii="Book Antiqua" w:hAnsi="Book Antiqua"/>
          <w:b/>
          <w:sz w:val="24"/>
          <w:szCs w:val="24"/>
        </w:rPr>
        <w:t>Stuart OA</w:t>
      </w:r>
      <w:r w:rsidRPr="004E79AD">
        <w:rPr>
          <w:rFonts w:ascii="Book Antiqua" w:hAnsi="Book Antiqua"/>
          <w:sz w:val="24"/>
          <w:szCs w:val="24"/>
        </w:rPr>
        <w:t xml:space="preserve">, Stephens AD, Welch L, </w:t>
      </w:r>
      <w:proofErr w:type="spellStart"/>
      <w:r w:rsidRPr="004E79AD">
        <w:rPr>
          <w:rFonts w:ascii="Book Antiqua" w:hAnsi="Book Antiqua"/>
          <w:sz w:val="24"/>
          <w:szCs w:val="24"/>
        </w:rPr>
        <w:t>Sugarbaker</w:t>
      </w:r>
      <w:proofErr w:type="spellEnd"/>
      <w:r w:rsidRPr="004E79AD">
        <w:rPr>
          <w:rFonts w:ascii="Book Antiqua" w:hAnsi="Book Antiqua"/>
          <w:sz w:val="24"/>
          <w:szCs w:val="24"/>
        </w:rPr>
        <w:t xml:space="preserve"> PH. Safety monitoring of the coliseum technique for heated intraoperative intraperitoneal chemotherapy with mitomycin C. </w:t>
      </w:r>
      <w:r w:rsidRPr="004E79AD">
        <w:rPr>
          <w:rFonts w:ascii="Book Antiqua" w:hAnsi="Book Antiqua"/>
          <w:i/>
          <w:sz w:val="24"/>
          <w:szCs w:val="24"/>
        </w:rPr>
        <w:t xml:space="preserve">Ann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w:t>
      </w:r>
      <w:proofErr w:type="spellStart"/>
      <w:r w:rsidRPr="004E79AD">
        <w:rPr>
          <w:rFonts w:ascii="Book Antiqua" w:hAnsi="Book Antiqua"/>
          <w:i/>
          <w:sz w:val="24"/>
          <w:szCs w:val="24"/>
        </w:rPr>
        <w:t>Oncol</w:t>
      </w:r>
      <w:proofErr w:type="spellEnd"/>
      <w:r w:rsidRPr="004E79AD">
        <w:rPr>
          <w:rFonts w:ascii="Book Antiqua" w:hAnsi="Book Antiqua"/>
          <w:sz w:val="24"/>
          <w:szCs w:val="24"/>
        </w:rPr>
        <w:t xml:space="preserve"> 2002; </w:t>
      </w:r>
      <w:r w:rsidRPr="004E79AD">
        <w:rPr>
          <w:rFonts w:ascii="Book Antiqua" w:hAnsi="Book Antiqua"/>
          <w:b/>
          <w:sz w:val="24"/>
          <w:szCs w:val="24"/>
        </w:rPr>
        <w:t>9</w:t>
      </w:r>
      <w:r w:rsidRPr="004E79AD">
        <w:rPr>
          <w:rFonts w:ascii="Book Antiqua" w:hAnsi="Book Antiqua"/>
          <w:sz w:val="24"/>
          <w:szCs w:val="24"/>
        </w:rPr>
        <w:t>: 186-191 [PMID: 11888877 DOI: 10.1007/BF02557372]</w:t>
      </w:r>
    </w:p>
    <w:p w14:paraId="5D555728" w14:textId="767E4F56" w:rsidR="00547688" w:rsidRDefault="00547688" w:rsidP="004E79AD">
      <w:pPr>
        <w:snapToGrid w:val="0"/>
        <w:spacing w:after="0" w:line="360" w:lineRule="auto"/>
        <w:jc w:val="both"/>
        <w:rPr>
          <w:rFonts w:ascii="Book Antiqua" w:hAnsi="Book Antiqua"/>
          <w:sz w:val="24"/>
          <w:szCs w:val="24"/>
        </w:rPr>
      </w:pPr>
      <w:r w:rsidRPr="004E79AD">
        <w:rPr>
          <w:rFonts w:ascii="Book Antiqua" w:hAnsi="Book Antiqua"/>
          <w:sz w:val="24"/>
          <w:szCs w:val="24"/>
        </w:rPr>
        <w:t xml:space="preserve">19 </w:t>
      </w:r>
      <w:r w:rsidRPr="004E79AD">
        <w:rPr>
          <w:rFonts w:ascii="Book Antiqua" w:hAnsi="Book Antiqua"/>
          <w:b/>
          <w:sz w:val="24"/>
          <w:szCs w:val="24"/>
        </w:rPr>
        <w:t>Ferron G</w:t>
      </w:r>
      <w:r w:rsidRPr="004E79AD">
        <w:rPr>
          <w:rFonts w:ascii="Book Antiqua" w:hAnsi="Book Antiqua"/>
          <w:sz w:val="24"/>
          <w:szCs w:val="24"/>
        </w:rPr>
        <w:t xml:space="preserve">, Simon L, </w:t>
      </w:r>
      <w:proofErr w:type="spellStart"/>
      <w:r w:rsidRPr="004E79AD">
        <w:rPr>
          <w:rFonts w:ascii="Book Antiqua" w:hAnsi="Book Antiqua"/>
          <w:sz w:val="24"/>
          <w:szCs w:val="24"/>
        </w:rPr>
        <w:t>Guyon</w:t>
      </w:r>
      <w:proofErr w:type="spellEnd"/>
      <w:r w:rsidRPr="004E79AD">
        <w:rPr>
          <w:rFonts w:ascii="Book Antiqua" w:hAnsi="Book Antiqua"/>
          <w:sz w:val="24"/>
          <w:szCs w:val="24"/>
        </w:rPr>
        <w:t xml:space="preserve"> F, </w:t>
      </w:r>
      <w:proofErr w:type="spellStart"/>
      <w:r w:rsidRPr="004E79AD">
        <w:rPr>
          <w:rFonts w:ascii="Book Antiqua" w:hAnsi="Book Antiqua"/>
          <w:sz w:val="24"/>
          <w:szCs w:val="24"/>
        </w:rPr>
        <w:t>Glehen</w:t>
      </w:r>
      <w:proofErr w:type="spellEnd"/>
      <w:r w:rsidRPr="004E79AD">
        <w:rPr>
          <w:rFonts w:ascii="Book Antiqua" w:hAnsi="Book Antiqua"/>
          <w:sz w:val="24"/>
          <w:szCs w:val="24"/>
        </w:rPr>
        <w:t xml:space="preserve"> O, </w:t>
      </w:r>
      <w:proofErr w:type="spellStart"/>
      <w:r w:rsidRPr="004E79AD">
        <w:rPr>
          <w:rFonts w:ascii="Book Antiqua" w:hAnsi="Book Antiqua"/>
          <w:sz w:val="24"/>
          <w:szCs w:val="24"/>
        </w:rPr>
        <w:t>Goere</w:t>
      </w:r>
      <w:proofErr w:type="spellEnd"/>
      <w:r w:rsidRPr="004E79AD">
        <w:rPr>
          <w:rFonts w:ascii="Book Antiqua" w:hAnsi="Book Antiqua"/>
          <w:sz w:val="24"/>
          <w:szCs w:val="24"/>
        </w:rPr>
        <w:t xml:space="preserve"> D, Elias D, </w:t>
      </w:r>
      <w:proofErr w:type="spellStart"/>
      <w:r w:rsidRPr="004E79AD">
        <w:rPr>
          <w:rFonts w:ascii="Book Antiqua" w:hAnsi="Book Antiqua"/>
          <w:sz w:val="24"/>
          <w:szCs w:val="24"/>
        </w:rPr>
        <w:t>Pocard</w:t>
      </w:r>
      <w:proofErr w:type="spellEnd"/>
      <w:r w:rsidRPr="004E79AD">
        <w:rPr>
          <w:rFonts w:ascii="Book Antiqua" w:hAnsi="Book Antiqua"/>
          <w:sz w:val="24"/>
          <w:szCs w:val="24"/>
        </w:rPr>
        <w:t xml:space="preserve"> M, </w:t>
      </w:r>
      <w:proofErr w:type="spellStart"/>
      <w:r w:rsidRPr="004E79AD">
        <w:rPr>
          <w:rFonts w:ascii="Book Antiqua" w:hAnsi="Book Antiqua"/>
          <w:sz w:val="24"/>
          <w:szCs w:val="24"/>
        </w:rPr>
        <w:t>Gladieff</w:t>
      </w:r>
      <w:proofErr w:type="spellEnd"/>
      <w:r w:rsidRPr="004E79AD">
        <w:rPr>
          <w:rFonts w:ascii="Book Antiqua" w:hAnsi="Book Antiqua"/>
          <w:sz w:val="24"/>
          <w:szCs w:val="24"/>
        </w:rPr>
        <w:t xml:space="preserve"> L, </w:t>
      </w:r>
      <w:proofErr w:type="spellStart"/>
      <w:r w:rsidRPr="004E79AD">
        <w:rPr>
          <w:rFonts w:ascii="Book Antiqua" w:hAnsi="Book Antiqua"/>
          <w:sz w:val="24"/>
          <w:szCs w:val="24"/>
        </w:rPr>
        <w:t>Bereder</w:t>
      </w:r>
      <w:proofErr w:type="spellEnd"/>
      <w:r w:rsidRPr="004E79AD">
        <w:rPr>
          <w:rFonts w:ascii="Book Antiqua" w:hAnsi="Book Antiqua"/>
          <w:sz w:val="24"/>
          <w:szCs w:val="24"/>
        </w:rPr>
        <w:t xml:space="preserve"> JM, Brigand C, </w:t>
      </w:r>
      <w:proofErr w:type="spellStart"/>
      <w:r w:rsidRPr="004E79AD">
        <w:rPr>
          <w:rFonts w:ascii="Book Antiqua" w:hAnsi="Book Antiqua"/>
          <w:sz w:val="24"/>
          <w:szCs w:val="24"/>
        </w:rPr>
        <w:t>Classe</w:t>
      </w:r>
      <w:proofErr w:type="spellEnd"/>
      <w:r w:rsidRPr="004E79AD">
        <w:rPr>
          <w:rFonts w:ascii="Book Antiqua" w:hAnsi="Book Antiqua"/>
          <w:sz w:val="24"/>
          <w:szCs w:val="24"/>
        </w:rPr>
        <w:t xml:space="preserve"> JM, </w:t>
      </w:r>
      <w:proofErr w:type="spellStart"/>
      <w:r w:rsidRPr="004E79AD">
        <w:rPr>
          <w:rFonts w:ascii="Book Antiqua" w:hAnsi="Book Antiqua"/>
          <w:sz w:val="24"/>
          <w:szCs w:val="24"/>
        </w:rPr>
        <w:t>Guilloit</w:t>
      </w:r>
      <w:proofErr w:type="spellEnd"/>
      <w:r w:rsidRPr="004E79AD">
        <w:rPr>
          <w:rFonts w:ascii="Book Antiqua" w:hAnsi="Book Antiqua"/>
          <w:sz w:val="24"/>
          <w:szCs w:val="24"/>
        </w:rPr>
        <w:t xml:space="preserve"> JM, </w:t>
      </w:r>
      <w:proofErr w:type="spellStart"/>
      <w:r w:rsidRPr="004E79AD">
        <w:rPr>
          <w:rFonts w:ascii="Book Antiqua" w:hAnsi="Book Antiqua"/>
          <w:sz w:val="24"/>
          <w:szCs w:val="24"/>
        </w:rPr>
        <w:t>Quenet</w:t>
      </w:r>
      <w:proofErr w:type="spellEnd"/>
      <w:r w:rsidRPr="004E79AD">
        <w:rPr>
          <w:rFonts w:ascii="Book Antiqua" w:hAnsi="Book Antiqua"/>
          <w:sz w:val="24"/>
          <w:szCs w:val="24"/>
        </w:rPr>
        <w:t xml:space="preserve"> F, </w:t>
      </w:r>
      <w:proofErr w:type="spellStart"/>
      <w:r w:rsidRPr="004E79AD">
        <w:rPr>
          <w:rFonts w:ascii="Book Antiqua" w:hAnsi="Book Antiqua"/>
          <w:sz w:val="24"/>
          <w:szCs w:val="24"/>
        </w:rPr>
        <w:t>Abboud</w:t>
      </w:r>
      <w:proofErr w:type="spellEnd"/>
      <w:r w:rsidRPr="004E79AD">
        <w:rPr>
          <w:rFonts w:ascii="Book Antiqua" w:hAnsi="Book Antiqua"/>
          <w:sz w:val="24"/>
          <w:szCs w:val="24"/>
        </w:rPr>
        <w:t xml:space="preserve"> K, </w:t>
      </w:r>
      <w:proofErr w:type="spellStart"/>
      <w:r w:rsidRPr="004E79AD">
        <w:rPr>
          <w:rFonts w:ascii="Book Antiqua" w:hAnsi="Book Antiqua"/>
          <w:sz w:val="24"/>
          <w:szCs w:val="24"/>
        </w:rPr>
        <w:t>Arvieux</w:t>
      </w:r>
      <w:proofErr w:type="spellEnd"/>
      <w:r w:rsidRPr="004E79AD">
        <w:rPr>
          <w:rFonts w:ascii="Book Antiqua" w:hAnsi="Book Antiqua"/>
          <w:sz w:val="24"/>
          <w:szCs w:val="24"/>
        </w:rPr>
        <w:t xml:space="preserve"> C, </w:t>
      </w:r>
      <w:proofErr w:type="spellStart"/>
      <w:r w:rsidRPr="004E79AD">
        <w:rPr>
          <w:rFonts w:ascii="Book Antiqua" w:hAnsi="Book Antiqua"/>
          <w:sz w:val="24"/>
          <w:szCs w:val="24"/>
        </w:rPr>
        <w:t>Bibeau</w:t>
      </w:r>
      <w:proofErr w:type="spellEnd"/>
      <w:r w:rsidRPr="004E79AD">
        <w:rPr>
          <w:rFonts w:ascii="Book Antiqua" w:hAnsi="Book Antiqua"/>
          <w:sz w:val="24"/>
          <w:szCs w:val="24"/>
        </w:rPr>
        <w:t xml:space="preserve"> F, De </w:t>
      </w:r>
      <w:proofErr w:type="spellStart"/>
      <w:r w:rsidRPr="004E79AD">
        <w:rPr>
          <w:rFonts w:ascii="Book Antiqua" w:hAnsi="Book Antiqua"/>
          <w:sz w:val="24"/>
          <w:szCs w:val="24"/>
        </w:rPr>
        <w:t>Chaisemartin</w:t>
      </w:r>
      <w:proofErr w:type="spellEnd"/>
      <w:r w:rsidRPr="004E79AD">
        <w:rPr>
          <w:rFonts w:ascii="Book Antiqua" w:hAnsi="Book Antiqua"/>
          <w:sz w:val="24"/>
          <w:szCs w:val="24"/>
        </w:rPr>
        <w:t xml:space="preserve"> C, </w:t>
      </w:r>
      <w:proofErr w:type="spellStart"/>
      <w:r w:rsidRPr="004E79AD">
        <w:rPr>
          <w:rFonts w:ascii="Book Antiqua" w:hAnsi="Book Antiqua"/>
          <w:sz w:val="24"/>
          <w:szCs w:val="24"/>
        </w:rPr>
        <w:t>Delroeux</w:t>
      </w:r>
      <w:proofErr w:type="spellEnd"/>
      <w:r w:rsidRPr="004E79AD">
        <w:rPr>
          <w:rFonts w:ascii="Book Antiqua" w:hAnsi="Book Antiqua"/>
          <w:sz w:val="24"/>
          <w:szCs w:val="24"/>
        </w:rPr>
        <w:t xml:space="preserve"> D, Durand-</w:t>
      </w:r>
      <w:proofErr w:type="spellStart"/>
      <w:r w:rsidRPr="004E79AD">
        <w:rPr>
          <w:rFonts w:ascii="Book Antiqua" w:hAnsi="Book Antiqua"/>
          <w:sz w:val="24"/>
          <w:szCs w:val="24"/>
        </w:rPr>
        <w:t>Fontanier</w:t>
      </w:r>
      <w:proofErr w:type="spellEnd"/>
      <w:r w:rsidRPr="004E79AD">
        <w:rPr>
          <w:rFonts w:ascii="Book Antiqua" w:hAnsi="Book Antiqua"/>
          <w:sz w:val="24"/>
          <w:szCs w:val="24"/>
        </w:rPr>
        <w:t xml:space="preserve"> S, </w:t>
      </w:r>
      <w:proofErr w:type="spellStart"/>
      <w:r w:rsidRPr="004E79AD">
        <w:rPr>
          <w:rFonts w:ascii="Book Antiqua" w:hAnsi="Book Antiqua"/>
          <w:sz w:val="24"/>
          <w:szCs w:val="24"/>
        </w:rPr>
        <w:t>Goasguen</w:t>
      </w:r>
      <w:proofErr w:type="spellEnd"/>
      <w:r w:rsidRPr="004E79AD">
        <w:rPr>
          <w:rFonts w:ascii="Book Antiqua" w:hAnsi="Book Antiqua"/>
          <w:sz w:val="24"/>
          <w:szCs w:val="24"/>
        </w:rPr>
        <w:t xml:space="preserve"> N, </w:t>
      </w:r>
      <w:proofErr w:type="spellStart"/>
      <w:r w:rsidRPr="004E79AD">
        <w:rPr>
          <w:rFonts w:ascii="Book Antiqua" w:hAnsi="Book Antiqua"/>
          <w:sz w:val="24"/>
          <w:szCs w:val="24"/>
        </w:rPr>
        <w:t>Gouthi</w:t>
      </w:r>
      <w:proofErr w:type="spellEnd"/>
      <w:r w:rsidRPr="004E79AD">
        <w:rPr>
          <w:rFonts w:ascii="Book Antiqua" w:hAnsi="Book Antiqua"/>
          <w:sz w:val="24"/>
          <w:szCs w:val="24"/>
        </w:rPr>
        <w:t xml:space="preserve"> L, </w:t>
      </w:r>
      <w:proofErr w:type="spellStart"/>
      <w:r w:rsidRPr="004E79AD">
        <w:rPr>
          <w:rFonts w:ascii="Book Antiqua" w:hAnsi="Book Antiqua"/>
          <w:sz w:val="24"/>
          <w:szCs w:val="24"/>
        </w:rPr>
        <w:t>Heyd</w:t>
      </w:r>
      <w:proofErr w:type="spellEnd"/>
      <w:r w:rsidRPr="004E79AD">
        <w:rPr>
          <w:rFonts w:ascii="Book Antiqua" w:hAnsi="Book Antiqua"/>
          <w:sz w:val="24"/>
          <w:szCs w:val="24"/>
        </w:rPr>
        <w:t xml:space="preserve"> B, </w:t>
      </w:r>
      <w:proofErr w:type="spellStart"/>
      <w:r w:rsidRPr="004E79AD">
        <w:rPr>
          <w:rFonts w:ascii="Book Antiqua" w:hAnsi="Book Antiqua"/>
          <w:sz w:val="24"/>
          <w:szCs w:val="24"/>
        </w:rPr>
        <w:t>Kianmanesh</w:t>
      </w:r>
      <w:proofErr w:type="spellEnd"/>
      <w:r w:rsidRPr="004E79AD">
        <w:rPr>
          <w:rFonts w:ascii="Book Antiqua" w:hAnsi="Book Antiqua"/>
          <w:sz w:val="24"/>
          <w:szCs w:val="24"/>
        </w:rPr>
        <w:t xml:space="preserve"> R, Leblanc E, </w:t>
      </w:r>
      <w:proofErr w:type="spellStart"/>
      <w:r w:rsidRPr="004E79AD">
        <w:rPr>
          <w:rFonts w:ascii="Book Antiqua" w:hAnsi="Book Antiqua"/>
          <w:sz w:val="24"/>
          <w:szCs w:val="24"/>
        </w:rPr>
        <w:t>Loi</w:t>
      </w:r>
      <w:proofErr w:type="spellEnd"/>
      <w:r w:rsidRPr="004E79AD">
        <w:rPr>
          <w:rFonts w:ascii="Book Antiqua" w:hAnsi="Book Antiqua"/>
          <w:sz w:val="24"/>
          <w:szCs w:val="24"/>
        </w:rPr>
        <w:t xml:space="preserve"> V, </w:t>
      </w:r>
      <w:proofErr w:type="spellStart"/>
      <w:r w:rsidRPr="004E79AD">
        <w:rPr>
          <w:rFonts w:ascii="Book Antiqua" w:hAnsi="Book Antiqua"/>
          <w:sz w:val="24"/>
          <w:szCs w:val="24"/>
        </w:rPr>
        <w:t>Lorimier</w:t>
      </w:r>
      <w:proofErr w:type="spellEnd"/>
      <w:r w:rsidRPr="004E79AD">
        <w:rPr>
          <w:rFonts w:ascii="Book Antiqua" w:hAnsi="Book Antiqua"/>
          <w:sz w:val="24"/>
          <w:szCs w:val="24"/>
        </w:rPr>
        <w:t xml:space="preserve"> G, </w:t>
      </w:r>
      <w:proofErr w:type="spellStart"/>
      <w:r w:rsidRPr="004E79AD">
        <w:rPr>
          <w:rFonts w:ascii="Book Antiqua" w:hAnsi="Book Antiqua"/>
          <w:sz w:val="24"/>
          <w:szCs w:val="24"/>
        </w:rPr>
        <w:t>Marchal</w:t>
      </w:r>
      <w:proofErr w:type="spellEnd"/>
      <w:r w:rsidRPr="004E79AD">
        <w:rPr>
          <w:rFonts w:ascii="Book Antiqua" w:hAnsi="Book Antiqua"/>
          <w:sz w:val="24"/>
          <w:szCs w:val="24"/>
        </w:rPr>
        <w:t xml:space="preserve"> F, </w:t>
      </w:r>
      <w:proofErr w:type="spellStart"/>
      <w:r w:rsidRPr="004E79AD">
        <w:rPr>
          <w:rFonts w:ascii="Book Antiqua" w:hAnsi="Book Antiqua"/>
          <w:sz w:val="24"/>
          <w:szCs w:val="24"/>
        </w:rPr>
        <w:t>Mariani</w:t>
      </w:r>
      <w:proofErr w:type="spellEnd"/>
      <w:r w:rsidRPr="004E79AD">
        <w:rPr>
          <w:rFonts w:ascii="Book Antiqua" w:hAnsi="Book Antiqua"/>
          <w:sz w:val="24"/>
          <w:szCs w:val="24"/>
        </w:rPr>
        <w:t xml:space="preserve"> P, Mariette C, </w:t>
      </w:r>
      <w:proofErr w:type="spellStart"/>
      <w:r w:rsidRPr="004E79AD">
        <w:rPr>
          <w:rFonts w:ascii="Book Antiqua" w:hAnsi="Book Antiqua"/>
          <w:sz w:val="24"/>
          <w:szCs w:val="24"/>
        </w:rPr>
        <w:t>Meeus</w:t>
      </w:r>
      <w:proofErr w:type="spellEnd"/>
      <w:r w:rsidRPr="004E79AD">
        <w:rPr>
          <w:rFonts w:ascii="Book Antiqua" w:hAnsi="Book Antiqua"/>
          <w:sz w:val="24"/>
          <w:szCs w:val="24"/>
        </w:rPr>
        <w:t xml:space="preserve"> P, </w:t>
      </w:r>
      <w:proofErr w:type="spellStart"/>
      <w:r w:rsidRPr="004E79AD">
        <w:rPr>
          <w:rFonts w:ascii="Book Antiqua" w:hAnsi="Book Antiqua"/>
          <w:sz w:val="24"/>
          <w:szCs w:val="24"/>
        </w:rPr>
        <w:t>Msika</w:t>
      </w:r>
      <w:proofErr w:type="spellEnd"/>
      <w:r w:rsidRPr="004E79AD">
        <w:rPr>
          <w:rFonts w:ascii="Book Antiqua" w:hAnsi="Book Antiqua"/>
          <w:sz w:val="24"/>
          <w:szCs w:val="24"/>
        </w:rPr>
        <w:t xml:space="preserve"> S, Ortega-</w:t>
      </w:r>
      <w:proofErr w:type="spellStart"/>
      <w:r w:rsidRPr="004E79AD">
        <w:rPr>
          <w:rFonts w:ascii="Book Antiqua" w:hAnsi="Book Antiqua"/>
          <w:sz w:val="24"/>
          <w:szCs w:val="24"/>
        </w:rPr>
        <w:t>Deballon</w:t>
      </w:r>
      <w:proofErr w:type="spellEnd"/>
      <w:r w:rsidRPr="004E79AD">
        <w:rPr>
          <w:rFonts w:ascii="Book Antiqua" w:hAnsi="Book Antiqua"/>
          <w:sz w:val="24"/>
          <w:szCs w:val="24"/>
        </w:rPr>
        <w:t xml:space="preserve"> P, </w:t>
      </w:r>
      <w:proofErr w:type="spellStart"/>
      <w:r w:rsidRPr="004E79AD">
        <w:rPr>
          <w:rFonts w:ascii="Book Antiqua" w:hAnsi="Book Antiqua"/>
          <w:sz w:val="24"/>
          <w:szCs w:val="24"/>
        </w:rPr>
        <w:t>Paineau</w:t>
      </w:r>
      <w:proofErr w:type="spellEnd"/>
      <w:r w:rsidRPr="004E79AD">
        <w:rPr>
          <w:rFonts w:ascii="Book Antiqua" w:hAnsi="Book Antiqua"/>
          <w:sz w:val="24"/>
          <w:szCs w:val="24"/>
        </w:rPr>
        <w:t xml:space="preserve"> J, </w:t>
      </w:r>
      <w:proofErr w:type="spellStart"/>
      <w:r w:rsidRPr="004E79AD">
        <w:rPr>
          <w:rFonts w:ascii="Book Antiqua" w:hAnsi="Book Antiqua"/>
          <w:sz w:val="24"/>
          <w:szCs w:val="24"/>
        </w:rPr>
        <w:t>Pezet</w:t>
      </w:r>
      <w:proofErr w:type="spellEnd"/>
      <w:r w:rsidRPr="004E79AD">
        <w:rPr>
          <w:rFonts w:ascii="Book Antiqua" w:hAnsi="Book Antiqua"/>
          <w:sz w:val="24"/>
          <w:szCs w:val="24"/>
        </w:rPr>
        <w:t xml:space="preserve"> D, </w:t>
      </w:r>
      <w:proofErr w:type="spellStart"/>
      <w:r w:rsidRPr="004E79AD">
        <w:rPr>
          <w:rFonts w:ascii="Book Antiqua" w:hAnsi="Book Antiqua"/>
          <w:sz w:val="24"/>
          <w:szCs w:val="24"/>
        </w:rPr>
        <w:t>Piessen</w:t>
      </w:r>
      <w:proofErr w:type="spellEnd"/>
      <w:r w:rsidRPr="004E79AD">
        <w:rPr>
          <w:rFonts w:ascii="Book Antiqua" w:hAnsi="Book Antiqua"/>
          <w:sz w:val="24"/>
          <w:szCs w:val="24"/>
        </w:rPr>
        <w:t xml:space="preserve"> G, </w:t>
      </w:r>
      <w:proofErr w:type="spellStart"/>
      <w:r w:rsidRPr="004E79AD">
        <w:rPr>
          <w:rFonts w:ascii="Book Antiqua" w:hAnsi="Book Antiqua"/>
          <w:sz w:val="24"/>
          <w:szCs w:val="24"/>
        </w:rPr>
        <w:t>Pirro</w:t>
      </w:r>
      <w:proofErr w:type="spellEnd"/>
      <w:r w:rsidRPr="004E79AD">
        <w:rPr>
          <w:rFonts w:ascii="Book Antiqua" w:hAnsi="Book Antiqua"/>
          <w:sz w:val="24"/>
          <w:szCs w:val="24"/>
        </w:rPr>
        <w:t xml:space="preserve"> N, </w:t>
      </w:r>
      <w:proofErr w:type="spellStart"/>
      <w:r w:rsidRPr="004E79AD">
        <w:rPr>
          <w:rFonts w:ascii="Book Antiqua" w:hAnsi="Book Antiqua"/>
          <w:sz w:val="24"/>
          <w:szCs w:val="24"/>
        </w:rPr>
        <w:t>Pomel</w:t>
      </w:r>
      <w:proofErr w:type="spellEnd"/>
      <w:r w:rsidRPr="004E79AD">
        <w:rPr>
          <w:rFonts w:ascii="Book Antiqua" w:hAnsi="Book Antiqua"/>
          <w:sz w:val="24"/>
          <w:szCs w:val="24"/>
        </w:rPr>
        <w:t xml:space="preserve"> C, </w:t>
      </w:r>
      <w:proofErr w:type="spellStart"/>
      <w:r w:rsidRPr="004E79AD">
        <w:rPr>
          <w:rFonts w:ascii="Book Antiqua" w:hAnsi="Book Antiqua"/>
          <w:sz w:val="24"/>
          <w:szCs w:val="24"/>
        </w:rPr>
        <w:t>Porcheron</w:t>
      </w:r>
      <w:proofErr w:type="spellEnd"/>
      <w:r w:rsidRPr="004E79AD">
        <w:rPr>
          <w:rFonts w:ascii="Book Antiqua" w:hAnsi="Book Antiqua"/>
          <w:sz w:val="24"/>
          <w:szCs w:val="24"/>
        </w:rPr>
        <w:t xml:space="preserve"> J, </w:t>
      </w:r>
      <w:proofErr w:type="spellStart"/>
      <w:r w:rsidRPr="004E79AD">
        <w:rPr>
          <w:rFonts w:ascii="Book Antiqua" w:hAnsi="Book Antiqua"/>
          <w:sz w:val="24"/>
          <w:szCs w:val="24"/>
        </w:rPr>
        <w:t>Pourcher</w:t>
      </w:r>
      <w:proofErr w:type="spellEnd"/>
      <w:r w:rsidRPr="004E79AD">
        <w:rPr>
          <w:rFonts w:ascii="Book Antiqua" w:hAnsi="Book Antiqua"/>
          <w:sz w:val="24"/>
          <w:szCs w:val="24"/>
        </w:rPr>
        <w:t xml:space="preserve"> G, Rat P, </w:t>
      </w:r>
      <w:proofErr w:type="spellStart"/>
      <w:r w:rsidRPr="004E79AD">
        <w:rPr>
          <w:rFonts w:ascii="Book Antiqua" w:hAnsi="Book Antiqua"/>
          <w:sz w:val="24"/>
          <w:szCs w:val="24"/>
        </w:rPr>
        <w:t>Regimbeau</w:t>
      </w:r>
      <w:proofErr w:type="spellEnd"/>
      <w:r w:rsidRPr="004E79AD">
        <w:rPr>
          <w:rFonts w:ascii="Book Antiqua" w:hAnsi="Book Antiqua"/>
          <w:sz w:val="24"/>
          <w:szCs w:val="24"/>
        </w:rPr>
        <w:t xml:space="preserve"> JM, </w:t>
      </w:r>
      <w:proofErr w:type="spellStart"/>
      <w:r w:rsidRPr="004E79AD">
        <w:rPr>
          <w:rFonts w:ascii="Book Antiqua" w:hAnsi="Book Antiqua"/>
          <w:sz w:val="24"/>
          <w:szCs w:val="24"/>
        </w:rPr>
        <w:t>Sabbagh</w:t>
      </w:r>
      <w:proofErr w:type="spellEnd"/>
      <w:r w:rsidRPr="004E79AD">
        <w:rPr>
          <w:rFonts w:ascii="Book Antiqua" w:hAnsi="Book Antiqua"/>
          <w:sz w:val="24"/>
          <w:szCs w:val="24"/>
        </w:rPr>
        <w:t xml:space="preserve"> C, </w:t>
      </w:r>
      <w:proofErr w:type="spellStart"/>
      <w:r w:rsidRPr="004E79AD">
        <w:rPr>
          <w:rFonts w:ascii="Book Antiqua" w:hAnsi="Book Antiqua"/>
          <w:sz w:val="24"/>
          <w:szCs w:val="24"/>
        </w:rPr>
        <w:t>Thibaudeau</w:t>
      </w:r>
      <w:proofErr w:type="spellEnd"/>
      <w:r w:rsidRPr="004E79AD">
        <w:rPr>
          <w:rFonts w:ascii="Book Antiqua" w:hAnsi="Book Antiqua"/>
          <w:sz w:val="24"/>
          <w:szCs w:val="24"/>
        </w:rPr>
        <w:t xml:space="preserve"> E, Torrent JJ, </w:t>
      </w:r>
      <w:proofErr w:type="spellStart"/>
      <w:r w:rsidRPr="004E79AD">
        <w:rPr>
          <w:rFonts w:ascii="Book Antiqua" w:hAnsi="Book Antiqua"/>
          <w:sz w:val="24"/>
          <w:szCs w:val="24"/>
        </w:rPr>
        <w:t>Tougeron</w:t>
      </w:r>
      <w:proofErr w:type="spellEnd"/>
      <w:r w:rsidRPr="004E79AD">
        <w:rPr>
          <w:rFonts w:ascii="Book Antiqua" w:hAnsi="Book Antiqua"/>
          <w:sz w:val="24"/>
          <w:szCs w:val="24"/>
        </w:rPr>
        <w:t xml:space="preserve"> D, </w:t>
      </w:r>
      <w:proofErr w:type="spellStart"/>
      <w:r w:rsidRPr="004E79AD">
        <w:rPr>
          <w:rFonts w:ascii="Book Antiqua" w:hAnsi="Book Antiqua"/>
          <w:sz w:val="24"/>
          <w:szCs w:val="24"/>
        </w:rPr>
        <w:t>Tuech</w:t>
      </w:r>
      <w:proofErr w:type="spellEnd"/>
      <w:r w:rsidRPr="004E79AD">
        <w:rPr>
          <w:rFonts w:ascii="Book Antiqua" w:hAnsi="Book Antiqua"/>
          <w:sz w:val="24"/>
          <w:szCs w:val="24"/>
        </w:rPr>
        <w:t xml:space="preserve"> JJ, </w:t>
      </w:r>
      <w:proofErr w:type="spellStart"/>
      <w:r w:rsidRPr="004E79AD">
        <w:rPr>
          <w:rFonts w:ascii="Book Antiqua" w:hAnsi="Book Antiqua"/>
          <w:sz w:val="24"/>
          <w:szCs w:val="24"/>
        </w:rPr>
        <w:t>Zinzindohoue</w:t>
      </w:r>
      <w:proofErr w:type="spellEnd"/>
      <w:r w:rsidRPr="004E79AD">
        <w:rPr>
          <w:rFonts w:ascii="Book Antiqua" w:hAnsi="Book Antiqua"/>
          <w:sz w:val="24"/>
          <w:szCs w:val="24"/>
        </w:rPr>
        <w:t xml:space="preserve"> F, Lundberg P, </w:t>
      </w:r>
      <w:proofErr w:type="spellStart"/>
      <w:r w:rsidRPr="004E79AD">
        <w:rPr>
          <w:rFonts w:ascii="Book Antiqua" w:hAnsi="Book Antiqua"/>
          <w:sz w:val="24"/>
          <w:szCs w:val="24"/>
        </w:rPr>
        <w:t>Herin</w:t>
      </w:r>
      <w:proofErr w:type="spellEnd"/>
      <w:r w:rsidRPr="004E79AD">
        <w:rPr>
          <w:rFonts w:ascii="Book Antiqua" w:hAnsi="Book Antiqua"/>
          <w:sz w:val="24"/>
          <w:szCs w:val="24"/>
        </w:rPr>
        <w:t xml:space="preserve"> F, Villeneuve L; BIG-RENAPE Working Group. Professional risks when carrying out cytoreductive surgery for peritoneal malignancy with hyperthermic intraperitoneal chemotherapy (HIPEC): A French multicentric survey. </w:t>
      </w:r>
      <w:proofErr w:type="spellStart"/>
      <w:r w:rsidRPr="004E79AD">
        <w:rPr>
          <w:rFonts w:ascii="Book Antiqua" w:hAnsi="Book Antiqua"/>
          <w:i/>
          <w:sz w:val="24"/>
          <w:szCs w:val="24"/>
        </w:rPr>
        <w:t>Eur</w:t>
      </w:r>
      <w:proofErr w:type="spellEnd"/>
      <w:r w:rsidRPr="004E79AD">
        <w:rPr>
          <w:rFonts w:ascii="Book Antiqua" w:hAnsi="Book Antiqua"/>
          <w:i/>
          <w:sz w:val="24"/>
          <w:szCs w:val="24"/>
        </w:rPr>
        <w:t xml:space="preserve"> J </w:t>
      </w:r>
      <w:proofErr w:type="spellStart"/>
      <w:r w:rsidRPr="004E79AD">
        <w:rPr>
          <w:rFonts w:ascii="Book Antiqua" w:hAnsi="Book Antiqua"/>
          <w:i/>
          <w:sz w:val="24"/>
          <w:szCs w:val="24"/>
        </w:rPr>
        <w:t>Surg</w:t>
      </w:r>
      <w:proofErr w:type="spellEnd"/>
      <w:r w:rsidRPr="004E79AD">
        <w:rPr>
          <w:rFonts w:ascii="Book Antiqua" w:hAnsi="Book Antiqua"/>
          <w:i/>
          <w:sz w:val="24"/>
          <w:szCs w:val="24"/>
        </w:rPr>
        <w:t xml:space="preserve"> </w:t>
      </w:r>
      <w:proofErr w:type="spellStart"/>
      <w:r w:rsidRPr="004E79AD">
        <w:rPr>
          <w:rFonts w:ascii="Book Antiqua" w:hAnsi="Book Antiqua"/>
          <w:i/>
          <w:sz w:val="24"/>
          <w:szCs w:val="24"/>
        </w:rPr>
        <w:t>Oncol</w:t>
      </w:r>
      <w:proofErr w:type="spellEnd"/>
      <w:r w:rsidRPr="004E79AD">
        <w:rPr>
          <w:rFonts w:ascii="Book Antiqua" w:hAnsi="Book Antiqua"/>
          <w:sz w:val="24"/>
          <w:szCs w:val="24"/>
        </w:rPr>
        <w:t xml:space="preserve"> 2015; </w:t>
      </w:r>
      <w:r w:rsidRPr="004E79AD">
        <w:rPr>
          <w:rFonts w:ascii="Book Antiqua" w:hAnsi="Book Antiqua"/>
          <w:b/>
          <w:sz w:val="24"/>
          <w:szCs w:val="24"/>
        </w:rPr>
        <w:t>41</w:t>
      </w:r>
      <w:r w:rsidRPr="004E79AD">
        <w:rPr>
          <w:rFonts w:ascii="Book Antiqua" w:hAnsi="Book Antiqua"/>
          <w:sz w:val="24"/>
          <w:szCs w:val="24"/>
        </w:rPr>
        <w:t>: 1361-1367 [PMID: 26263848 DOI: 10.1016/j.ejso.2015.07.012]</w:t>
      </w:r>
    </w:p>
    <w:p w14:paraId="66B69F82" w14:textId="77777777" w:rsidR="0079669F" w:rsidRPr="004E79AD" w:rsidRDefault="0079669F" w:rsidP="004E79AD">
      <w:pPr>
        <w:snapToGrid w:val="0"/>
        <w:spacing w:after="0" w:line="360" w:lineRule="auto"/>
        <w:jc w:val="both"/>
        <w:rPr>
          <w:rFonts w:ascii="Book Antiqua" w:hAnsi="Book Antiqua"/>
          <w:sz w:val="24"/>
          <w:szCs w:val="24"/>
        </w:rPr>
      </w:pPr>
    </w:p>
    <w:p w14:paraId="60D683B5" w14:textId="6E058900" w:rsidR="00547688" w:rsidRPr="004E79AD" w:rsidRDefault="00547688" w:rsidP="004E79AD">
      <w:pPr>
        <w:adjustRightInd w:val="0"/>
        <w:snapToGrid w:val="0"/>
        <w:spacing w:after="0" w:line="360" w:lineRule="auto"/>
        <w:jc w:val="both"/>
        <w:rPr>
          <w:rFonts w:ascii="Book Antiqua" w:hAnsi="Book Antiqua"/>
          <w:b/>
          <w:sz w:val="24"/>
          <w:szCs w:val="24"/>
        </w:rPr>
      </w:pPr>
      <w:r w:rsidRPr="004E79AD">
        <w:rPr>
          <w:rFonts w:ascii="Book Antiqua" w:hAnsi="Book Antiqua"/>
          <w:b/>
          <w:sz w:val="24"/>
          <w:szCs w:val="24"/>
        </w:rPr>
        <w:t>Footnotes</w:t>
      </w:r>
    </w:p>
    <w:p w14:paraId="2CED98A0" w14:textId="63AF8D8F" w:rsidR="00700F05" w:rsidRPr="004E79AD" w:rsidRDefault="00700F05" w:rsidP="004E79AD">
      <w:pPr>
        <w:snapToGrid w:val="0"/>
        <w:spacing w:after="0" w:line="360" w:lineRule="auto"/>
        <w:jc w:val="both"/>
        <w:rPr>
          <w:rFonts w:ascii="Book Antiqua" w:hAnsi="Book Antiqua"/>
          <w:b/>
          <w:sz w:val="24"/>
          <w:szCs w:val="24"/>
        </w:rPr>
      </w:pPr>
      <w:r w:rsidRPr="004E79AD">
        <w:rPr>
          <w:rFonts w:ascii="Book Antiqua" w:hAnsi="Book Antiqua" w:cs="Times New Roman"/>
          <w:b/>
          <w:sz w:val="24"/>
          <w:szCs w:val="24"/>
        </w:rPr>
        <w:t>Institutional review board statement:</w:t>
      </w:r>
      <w:r w:rsidRPr="004E79AD">
        <w:rPr>
          <w:rFonts w:ascii="Book Antiqua" w:hAnsi="Book Antiqua" w:cs="Times New Roman"/>
          <w:sz w:val="24"/>
          <w:szCs w:val="24"/>
        </w:rPr>
        <w:t xml:space="preserve"> This study was reviewed and approved by the Institutional Review board at all participating institutions.</w:t>
      </w:r>
    </w:p>
    <w:p w14:paraId="3204FBEE" w14:textId="77777777" w:rsidR="00700F05" w:rsidRPr="004E79AD" w:rsidRDefault="00700F05" w:rsidP="004E79AD">
      <w:pPr>
        <w:snapToGrid w:val="0"/>
        <w:spacing w:after="0" w:line="360" w:lineRule="auto"/>
        <w:jc w:val="both"/>
        <w:rPr>
          <w:rFonts w:ascii="Book Antiqua" w:hAnsi="Book Antiqua" w:cs="Times New Roman"/>
          <w:sz w:val="24"/>
          <w:szCs w:val="24"/>
        </w:rPr>
      </w:pPr>
    </w:p>
    <w:p w14:paraId="0441B015" w14:textId="77777777" w:rsidR="00700F05" w:rsidRPr="004E79AD" w:rsidRDefault="00700F05"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Informed consent statement:</w:t>
      </w:r>
      <w:r w:rsidRPr="004E79AD">
        <w:rPr>
          <w:rFonts w:ascii="Book Antiqua" w:hAnsi="Book Antiqua" w:cs="Times New Roman"/>
          <w:sz w:val="24"/>
          <w:szCs w:val="24"/>
        </w:rPr>
        <w:t xml:space="preserve"> The requirement to obtain informed consent was waived by each participating Institutional Review Board.</w:t>
      </w:r>
    </w:p>
    <w:p w14:paraId="670CC834" w14:textId="77777777" w:rsidR="00700F05" w:rsidRPr="004E79AD" w:rsidRDefault="00700F05" w:rsidP="004E79AD">
      <w:pPr>
        <w:snapToGrid w:val="0"/>
        <w:spacing w:after="0" w:line="360" w:lineRule="auto"/>
        <w:jc w:val="both"/>
        <w:rPr>
          <w:rFonts w:ascii="Book Antiqua" w:hAnsi="Book Antiqua" w:cs="Times New Roman"/>
          <w:b/>
          <w:sz w:val="24"/>
          <w:szCs w:val="24"/>
        </w:rPr>
      </w:pPr>
    </w:p>
    <w:p w14:paraId="70696408" w14:textId="77777777" w:rsidR="00700F05" w:rsidRPr="004E79AD" w:rsidRDefault="00700F05"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Conflict-of-interest statement</w:t>
      </w:r>
      <w:r w:rsidRPr="004E79AD">
        <w:rPr>
          <w:rFonts w:ascii="Book Antiqua" w:hAnsi="Book Antiqua" w:cs="Times New Roman"/>
          <w:sz w:val="24"/>
          <w:szCs w:val="24"/>
        </w:rPr>
        <w:t>: We have no financial relationships to disclose.</w:t>
      </w:r>
    </w:p>
    <w:p w14:paraId="162F6B63" w14:textId="77777777" w:rsidR="00700F05" w:rsidRPr="004E79AD" w:rsidRDefault="00700F05" w:rsidP="004E79AD">
      <w:pPr>
        <w:snapToGrid w:val="0"/>
        <w:spacing w:after="0" w:line="360" w:lineRule="auto"/>
        <w:jc w:val="both"/>
        <w:rPr>
          <w:rFonts w:ascii="Book Antiqua" w:hAnsi="Book Antiqua" w:cs="Times New Roman"/>
          <w:b/>
          <w:sz w:val="24"/>
          <w:szCs w:val="24"/>
        </w:rPr>
      </w:pPr>
    </w:p>
    <w:p w14:paraId="34377EC5" w14:textId="77777777" w:rsidR="00700F05" w:rsidRPr="004E79AD" w:rsidRDefault="00700F05"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Data sharing:</w:t>
      </w:r>
      <w:r w:rsidRPr="004E79AD">
        <w:rPr>
          <w:rFonts w:ascii="Book Antiqua" w:hAnsi="Book Antiqua" w:cs="Times New Roman"/>
          <w:sz w:val="24"/>
          <w:szCs w:val="24"/>
        </w:rPr>
        <w:t xml:space="preserve"> No additional data are available.</w:t>
      </w:r>
    </w:p>
    <w:p w14:paraId="5007222F" w14:textId="77777777" w:rsidR="00700F05" w:rsidRPr="004E79AD" w:rsidRDefault="00700F05" w:rsidP="004E79AD">
      <w:pPr>
        <w:snapToGrid w:val="0"/>
        <w:spacing w:after="0" w:line="360" w:lineRule="auto"/>
        <w:jc w:val="both"/>
        <w:rPr>
          <w:rFonts w:ascii="Book Antiqua" w:hAnsi="Book Antiqua" w:cs="Times New Roman"/>
          <w:sz w:val="24"/>
          <w:szCs w:val="24"/>
        </w:rPr>
      </w:pPr>
    </w:p>
    <w:p w14:paraId="0A8AC1D1" w14:textId="77777777" w:rsidR="00547688" w:rsidRPr="004E79AD" w:rsidRDefault="00547688" w:rsidP="004E79AD">
      <w:pPr>
        <w:adjustRightInd w:val="0"/>
        <w:snapToGrid w:val="0"/>
        <w:spacing w:after="0" w:line="360" w:lineRule="auto"/>
        <w:jc w:val="both"/>
        <w:rPr>
          <w:rFonts w:ascii="Book Antiqua" w:hAnsi="Book Antiqua" w:cs="宋体"/>
          <w:sz w:val="24"/>
          <w:szCs w:val="24"/>
        </w:rPr>
      </w:pPr>
      <w:r w:rsidRPr="004E79AD">
        <w:rPr>
          <w:rFonts w:ascii="Book Antiqua" w:hAnsi="Book Antiqua"/>
          <w:b/>
          <w:color w:val="000000"/>
          <w:sz w:val="24"/>
          <w:szCs w:val="24"/>
        </w:rPr>
        <w:t>Open-Access:</w:t>
      </w:r>
      <w:r w:rsidRPr="004E79AD">
        <w:rPr>
          <w:rFonts w:ascii="Book Antiqua" w:hAnsi="Book Antiqua"/>
          <w:color w:val="000000"/>
          <w:sz w:val="24"/>
          <w:szCs w:val="24"/>
        </w:rPr>
        <w:t xml:space="preserve"> This article is an open-access </w:t>
      </w:r>
      <w:r w:rsidRPr="004E79AD">
        <w:rPr>
          <w:rFonts w:ascii="Book Antiqua" w:hAnsi="Book Antiqua"/>
          <w:sz w:val="24"/>
          <w:szCs w:val="24"/>
        </w:rPr>
        <w:t xml:space="preserve">article that was selected </w:t>
      </w:r>
      <w:r w:rsidRPr="004E79AD">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4E79AD">
        <w:rPr>
          <w:rFonts w:ascii="Book Antiqua" w:hAnsi="Book Antiqua"/>
          <w:color w:val="000000"/>
          <w:sz w:val="24"/>
          <w:szCs w:val="24"/>
        </w:rPr>
        <w:t>NonCommercial</w:t>
      </w:r>
      <w:proofErr w:type="spellEnd"/>
      <w:r w:rsidRPr="004E79AD">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D2EA3B" w14:textId="77777777" w:rsidR="00700F05" w:rsidRPr="004E79AD" w:rsidRDefault="00700F05" w:rsidP="004E79AD">
      <w:pPr>
        <w:snapToGrid w:val="0"/>
        <w:spacing w:after="0" w:line="360" w:lineRule="auto"/>
        <w:jc w:val="both"/>
        <w:rPr>
          <w:rFonts w:ascii="Book Antiqua" w:hAnsi="Book Antiqua" w:cs="Times New Roman"/>
          <w:sz w:val="24"/>
          <w:szCs w:val="24"/>
        </w:rPr>
      </w:pPr>
    </w:p>
    <w:p w14:paraId="38DC3FE0" w14:textId="77777777" w:rsidR="00547688" w:rsidRPr="004E79AD" w:rsidRDefault="00547688" w:rsidP="004E79AD">
      <w:pPr>
        <w:adjustRightInd w:val="0"/>
        <w:snapToGrid w:val="0"/>
        <w:spacing w:after="0" w:line="360" w:lineRule="auto"/>
        <w:jc w:val="both"/>
        <w:rPr>
          <w:rFonts w:ascii="Book Antiqua" w:hAnsi="Book Antiqua"/>
          <w:bCs/>
          <w:color w:val="000000"/>
          <w:sz w:val="24"/>
          <w:szCs w:val="24"/>
          <w:lang w:eastAsia="zh-CN"/>
        </w:rPr>
      </w:pPr>
      <w:r w:rsidRPr="004E79AD">
        <w:rPr>
          <w:rFonts w:ascii="Book Antiqua" w:hAnsi="Book Antiqua"/>
          <w:b/>
          <w:color w:val="000000"/>
          <w:sz w:val="24"/>
          <w:szCs w:val="24"/>
          <w:lang w:eastAsia="pl-PL"/>
        </w:rPr>
        <w:t>Manuscript source:</w:t>
      </w:r>
      <w:r w:rsidRPr="004E79AD">
        <w:rPr>
          <w:rFonts w:ascii="Book Antiqua" w:hAnsi="Book Antiqua"/>
          <w:b/>
          <w:color w:val="000000"/>
          <w:sz w:val="24"/>
          <w:szCs w:val="24"/>
          <w:lang w:eastAsia="zh-CN"/>
        </w:rPr>
        <w:t xml:space="preserve"> </w:t>
      </w:r>
      <w:r w:rsidRPr="004E79AD">
        <w:rPr>
          <w:rFonts w:ascii="Book Antiqua" w:hAnsi="Book Antiqua"/>
          <w:color w:val="000000"/>
          <w:sz w:val="24"/>
          <w:szCs w:val="24"/>
          <w:lang w:eastAsia="pl-PL"/>
        </w:rPr>
        <w:t>Unsolicited manuscript</w:t>
      </w:r>
    </w:p>
    <w:p w14:paraId="771EEFE9" w14:textId="77777777" w:rsidR="00547688" w:rsidRPr="004E79AD" w:rsidRDefault="00547688" w:rsidP="004E79AD">
      <w:pPr>
        <w:adjustRightInd w:val="0"/>
        <w:snapToGrid w:val="0"/>
        <w:spacing w:after="0" w:line="360" w:lineRule="auto"/>
        <w:jc w:val="both"/>
        <w:rPr>
          <w:rFonts w:ascii="Book Antiqua" w:hAnsi="Book Antiqua"/>
          <w:b/>
          <w:sz w:val="24"/>
          <w:szCs w:val="24"/>
        </w:rPr>
      </w:pPr>
    </w:p>
    <w:p w14:paraId="18A2E2F9" w14:textId="36B83477" w:rsidR="00547688" w:rsidRPr="004E79AD" w:rsidRDefault="00547688" w:rsidP="004E79AD">
      <w:pPr>
        <w:adjustRightInd w:val="0"/>
        <w:snapToGrid w:val="0"/>
        <w:spacing w:after="0" w:line="360" w:lineRule="auto"/>
        <w:jc w:val="both"/>
        <w:rPr>
          <w:rFonts w:ascii="Book Antiqua" w:hAnsi="Book Antiqua"/>
          <w:b/>
          <w:sz w:val="24"/>
          <w:szCs w:val="24"/>
          <w:lang w:eastAsia="zh-CN"/>
        </w:rPr>
      </w:pPr>
      <w:r w:rsidRPr="004E79AD">
        <w:rPr>
          <w:rFonts w:ascii="Book Antiqua" w:hAnsi="Book Antiqua"/>
          <w:b/>
          <w:sz w:val="24"/>
          <w:szCs w:val="24"/>
        </w:rPr>
        <w:t>Peer-review started:</w:t>
      </w:r>
      <w:r w:rsidRPr="004E79AD">
        <w:rPr>
          <w:rFonts w:ascii="Book Antiqua" w:hAnsi="Book Antiqua"/>
          <w:b/>
          <w:sz w:val="24"/>
          <w:szCs w:val="24"/>
          <w:lang w:eastAsia="zh-CN"/>
        </w:rPr>
        <w:t xml:space="preserve"> </w:t>
      </w:r>
      <w:r w:rsidRPr="004E79AD">
        <w:rPr>
          <w:rFonts w:ascii="Book Antiqua" w:hAnsi="Book Antiqua"/>
          <w:sz w:val="24"/>
          <w:szCs w:val="24"/>
        </w:rPr>
        <w:t>March</w:t>
      </w:r>
      <w:r w:rsidRPr="004E79AD">
        <w:rPr>
          <w:rFonts w:ascii="Book Antiqua" w:hAnsi="Book Antiqua"/>
          <w:sz w:val="24"/>
          <w:szCs w:val="24"/>
          <w:lang w:eastAsia="zh-CN"/>
        </w:rPr>
        <w:t xml:space="preserve"> 3, 2020</w:t>
      </w:r>
    </w:p>
    <w:p w14:paraId="3BEA37B5" w14:textId="402458B2" w:rsidR="00547688" w:rsidRPr="004E79AD" w:rsidRDefault="00547688" w:rsidP="004E79AD">
      <w:pPr>
        <w:adjustRightInd w:val="0"/>
        <w:snapToGrid w:val="0"/>
        <w:spacing w:after="0" w:line="360" w:lineRule="auto"/>
        <w:jc w:val="both"/>
        <w:rPr>
          <w:rFonts w:ascii="Book Antiqua" w:hAnsi="Book Antiqua"/>
          <w:b/>
          <w:sz w:val="24"/>
          <w:szCs w:val="24"/>
          <w:lang w:eastAsia="zh-CN"/>
        </w:rPr>
      </w:pPr>
      <w:r w:rsidRPr="004E79AD">
        <w:rPr>
          <w:rFonts w:ascii="Book Antiqua" w:hAnsi="Book Antiqua"/>
          <w:b/>
          <w:sz w:val="24"/>
          <w:szCs w:val="24"/>
        </w:rPr>
        <w:t>First decision:</w:t>
      </w:r>
      <w:r w:rsidRPr="004E79AD">
        <w:rPr>
          <w:rFonts w:ascii="Book Antiqua" w:hAnsi="Book Antiqua"/>
          <w:b/>
          <w:sz w:val="24"/>
          <w:szCs w:val="24"/>
          <w:lang w:eastAsia="zh-CN"/>
        </w:rPr>
        <w:t xml:space="preserve"> </w:t>
      </w:r>
      <w:r w:rsidRPr="004E79AD">
        <w:rPr>
          <w:rFonts w:ascii="Book Antiqua" w:hAnsi="Book Antiqua"/>
          <w:sz w:val="24"/>
          <w:szCs w:val="24"/>
        </w:rPr>
        <w:t>April</w:t>
      </w:r>
      <w:r w:rsidRPr="004E79AD">
        <w:rPr>
          <w:rFonts w:ascii="Book Antiqua" w:hAnsi="Book Antiqua"/>
          <w:sz w:val="24"/>
          <w:szCs w:val="24"/>
          <w:lang w:eastAsia="zh-CN"/>
        </w:rPr>
        <w:t xml:space="preserve"> 18, 2020</w:t>
      </w:r>
    </w:p>
    <w:p w14:paraId="2367FF03" w14:textId="0F1EBB31" w:rsidR="00547688" w:rsidRPr="004E79AD" w:rsidRDefault="00547688" w:rsidP="004E79AD">
      <w:pPr>
        <w:adjustRightInd w:val="0"/>
        <w:snapToGrid w:val="0"/>
        <w:spacing w:after="0" w:line="360" w:lineRule="auto"/>
        <w:jc w:val="both"/>
        <w:rPr>
          <w:rFonts w:ascii="Book Antiqua" w:hAnsi="Book Antiqua"/>
          <w:b/>
          <w:sz w:val="24"/>
          <w:szCs w:val="24"/>
        </w:rPr>
      </w:pPr>
      <w:r w:rsidRPr="004E79AD">
        <w:rPr>
          <w:rFonts w:ascii="Book Antiqua" w:hAnsi="Book Antiqua"/>
          <w:b/>
          <w:sz w:val="24"/>
          <w:szCs w:val="24"/>
        </w:rPr>
        <w:t>Article in press:</w:t>
      </w:r>
      <w:r w:rsidR="00A92AEF" w:rsidRPr="00A92AEF">
        <w:rPr>
          <w:rFonts w:ascii="Book Antiqua" w:hAnsi="Book Antiqua"/>
          <w:sz w:val="24"/>
          <w:szCs w:val="24"/>
        </w:rPr>
        <w:t xml:space="preserve"> </w:t>
      </w:r>
      <w:r w:rsidR="00A92AEF" w:rsidRPr="0079669F">
        <w:rPr>
          <w:rFonts w:ascii="Book Antiqua" w:hAnsi="Book Antiqua"/>
          <w:sz w:val="24"/>
          <w:szCs w:val="24"/>
        </w:rPr>
        <w:t>June 2, 2020</w:t>
      </w:r>
    </w:p>
    <w:p w14:paraId="67AECAEA" w14:textId="77777777" w:rsidR="00547688" w:rsidRPr="004E79AD" w:rsidRDefault="00547688" w:rsidP="004E79AD">
      <w:pPr>
        <w:adjustRightInd w:val="0"/>
        <w:snapToGrid w:val="0"/>
        <w:spacing w:after="0" w:line="360" w:lineRule="auto"/>
        <w:jc w:val="both"/>
        <w:rPr>
          <w:rFonts w:ascii="Book Antiqua" w:hAnsi="Book Antiqua"/>
          <w:sz w:val="24"/>
          <w:szCs w:val="24"/>
          <w:lang w:eastAsia="zh-CN"/>
        </w:rPr>
      </w:pPr>
    </w:p>
    <w:p w14:paraId="37AB4F05" w14:textId="44527CC5" w:rsidR="00547688" w:rsidRPr="004E79AD" w:rsidRDefault="00547688" w:rsidP="004E79AD">
      <w:pPr>
        <w:adjustRightInd w:val="0"/>
        <w:snapToGrid w:val="0"/>
        <w:spacing w:after="0" w:line="360" w:lineRule="auto"/>
        <w:jc w:val="both"/>
        <w:rPr>
          <w:rFonts w:ascii="Book Antiqua" w:eastAsia="微软雅黑" w:hAnsi="Book Antiqua" w:cs="宋体"/>
          <w:sz w:val="24"/>
          <w:szCs w:val="24"/>
          <w:lang w:eastAsia="zh-CN"/>
        </w:rPr>
      </w:pPr>
      <w:r w:rsidRPr="004E79AD">
        <w:rPr>
          <w:rFonts w:ascii="Book Antiqua" w:hAnsi="Book Antiqua" w:cs="宋体"/>
          <w:b/>
          <w:sz w:val="24"/>
          <w:szCs w:val="24"/>
          <w:lang w:eastAsia="zh-CN"/>
        </w:rPr>
        <w:t xml:space="preserve">Specialty type: </w:t>
      </w:r>
      <w:r w:rsidRPr="004E79AD">
        <w:rPr>
          <w:rFonts w:ascii="Book Antiqua" w:eastAsia="微软雅黑" w:hAnsi="Book Antiqua" w:cs="宋体"/>
          <w:sz w:val="24"/>
          <w:szCs w:val="24"/>
          <w:lang w:eastAsia="zh-CN"/>
        </w:rPr>
        <w:t>Oncology</w:t>
      </w:r>
    </w:p>
    <w:p w14:paraId="42034EC1" w14:textId="2D348560" w:rsidR="00547688" w:rsidRPr="004E79AD" w:rsidRDefault="00547688" w:rsidP="004E79AD">
      <w:pPr>
        <w:adjustRightInd w:val="0"/>
        <w:snapToGrid w:val="0"/>
        <w:spacing w:after="0" w:line="360" w:lineRule="auto"/>
        <w:jc w:val="both"/>
        <w:rPr>
          <w:rFonts w:ascii="Book Antiqua" w:hAnsi="Book Antiqua" w:cs="宋体"/>
          <w:sz w:val="24"/>
          <w:szCs w:val="24"/>
          <w:lang w:eastAsia="zh-CN"/>
        </w:rPr>
      </w:pPr>
      <w:r w:rsidRPr="004E79AD">
        <w:rPr>
          <w:rFonts w:ascii="Book Antiqua" w:hAnsi="Book Antiqua" w:cs="宋体"/>
          <w:b/>
          <w:sz w:val="24"/>
          <w:szCs w:val="24"/>
          <w:lang w:eastAsia="zh-CN"/>
        </w:rPr>
        <w:t xml:space="preserve">Country/Territory of origin: </w:t>
      </w:r>
      <w:r w:rsidRPr="004E79AD">
        <w:rPr>
          <w:rFonts w:ascii="Book Antiqua" w:hAnsi="Book Antiqua" w:cs="宋体"/>
          <w:sz w:val="24"/>
          <w:szCs w:val="24"/>
          <w:lang w:eastAsia="zh-CN"/>
        </w:rPr>
        <w:t>United States</w:t>
      </w:r>
    </w:p>
    <w:p w14:paraId="13F11716" w14:textId="77777777" w:rsidR="00547688" w:rsidRPr="004E79AD" w:rsidRDefault="00547688" w:rsidP="004E79AD">
      <w:pPr>
        <w:adjustRightInd w:val="0"/>
        <w:snapToGrid w:val="0"/>
        <w:spacing w:after="0" w:line="360" w:lineRule="auto"/>
        <w:jc w:val="both"/>
        <w:rPr>
          <w:rFonts w:ascii="Book Antiqua" w:hAnsi="Book Antiqua" w:cs="宋体"/>
          <w:b/>
          <w:sz w:val="24"/>
          <w:szCs w:val="24"/>
          <w:lang w:eastAsia="zh-CN"/>
        </w:rPr>
      </w:pPr>
      <w:r w:rsidRPr="004E79AD">
        <w:rPr>
          <w:rFonts w:ascii="Book Antiqua" w:hAnsi="Book Antiqua" w:cs="宋体"/>
          <w:b/>
          <w:sz w:val="24"/>
          <w:szCs w:val="24"/>
          <w:lang w:eastAsia="zh-CN"/>
        </w:rPr>
        <w:t>Peer-review report’s scientific quality classification</w:t>
      </w:r>
    </w:p>
    <w:p w14:paraId="230F59B9" w14:textId="7550194B" w:rsidR="00547688" w:rsidRPr="004E79AD" w:rsidRDefault="00547688" w:rsidP="004E79AD">
      <w:pPr>
        <w:adjustRightInd w:val="0"/>
        <w:snapToGrid w:val="0"/>
        <w:spacing w:after="0" w:line="360" w:lineRule="auto"/>
        <w:jc w:val="both"/>
        <w:rPr>
          <w:rFonts w:ascii="Book Antiqua" w:hAnsi="Book Antiqua" w:cs="宋体"/>
          <w:sz w:val="24"/>
          <w:szCs w:val="24"/>
          <w:lang w:eastAsia="zh-CN"/>
        </w:rPr>
      </w:pPr>
      <w:r w:rsidRPr="004E79AD">
        <w:rPr>
          <w:rFonts w:ascii="Book Antiqua" w:hAnsi="Book Antiqua" w:cs="宋体"/>
          <w:sz w:val="24"/>
          <w:szCs w:val="24"/>
          <w:lang w:eastAsia="zh-CN"/>
        </w:rPr>
        <w:lastRenderedPageBreak/>
        <w:t>Grade </w:t>
      </w:r>
      <w:proofErr w:type="gramStart"/>
      <w:r w:rsidRPr="004E79AD">
        <w:rPr>
          <w:rFonts w:ascii="Book Antiqua" w:hAnsi="Book Antiqua" w:cs="宋体"/>
          <w:sz w:val="24"/>
          <w:szCs w:val="24"/>
          <w:lang w:eastAsia="zh-CN"/>
        </w:rPr>
        <w:t>A</w:t>
      </w:r>
      <w:proofErr w:type="gramEnd"/>
      <w:r w:rsidRPr="004E79AD">
        <w:rPr>
          <w:rFonts w:ascii="Book Antiqua" w:hAnsi="Book Antiqua" w:cs="宋体"/>
          <w:sz w:val="24"/>
          <w:szCs w:val="24"/>
          <w:lang w:eastAsia="zh-CN"/>
        </w:rPr>
        <w:t> (Excellent): 0</w:t>
      </w:r>
    </w:p>
    <w:p w14:paraId="1EF1C090" w14:textId="77777777" w:rsidR="00547688" w:rsidRPr="004E79AD" w:rsidRDefault="00547688" w:rsidP="004E79AD">
      <w:pPr>
        <w:adjustRightInd w:val="0"/>
        <w:snapToGrid w:val="0"/>
        <w:spacing w:after="0" w:line="360" w:lineRule="auto"/>
        <w:jc w:val="both"/>
        <w:rPr>
          <w:rFonts w:ascii="Book Antiqua" w:hAnsi="Book Antiqua" w:cs="宋体"/>
          <w:sz w:val="24"/>
          <w:szCs w:val="24"/>
          <w:lang w:eastAsia="zh-CN"/>
        </w:rPr>
      </w:pPr>
      <w:r w:rsidRPr="004E79AD">
        <w:rPr>
          <w:rFonts w:ascii="Book Antiqua" w:hAnsi="Book Antiqua" w:cs="宋体"/>
          <w:sz w:val="24"/>
          <w:szCs w:val="24"/>
          <w:lang w:eastAsia="zh-CN"/>
        </w:rPr>
        <w:t>Grade B (Very good): B</w:t>
      </w:r>
    </w:p>
    <w:p w14:paraId="3B750A30" w14:textId="77777777" w:rsidR="00547688" w:rsidRPr="004E79AD" w:rsidRDefault="00547688" w:rsidP="004E79AD">
      <w:pPr>
        <w:adjustRightInd w:val="0"/>
        <w:snapToGrid w:val="0"/>
        <w:spacing w:after="0" w:line="360" w:lineRule="auto"/>
        <w:jc w:val="both"/>
        <w:rPr>
          <w:rFonts w:ascii="Book Antiqua" w:hAnsi="Book Antiqua" w:cs="宋体"/>
          <w:sz w:val="24"/>
          <w:szCs w:val="24"/>
          <w:lang w:eastAsia="zh-CN"/>
        </w:rPr>
      </w:pPr>
      <w:r w:rsidRPr="004E79AD">
        <w:rPr>
          <w:rFonts w:ascii="Book Antiqua" w:hAnsi="Book Antiqua" w:cs="宋体"/>
          <w:sz w:val="24"/>
          <w:szCs w:val="24"/>
          <w:lang w:eastAsia="zh-CN"/>
        </w:rPr>
        <w:t>Grade C (Good): C</w:t>
      </w:r>
    </w:p>
    <w:p w14:paraId="14149DEB" w14:textId="77777777" w:rsidR="00547688" w:rsidRPr="004E79AD" w:rsidRDefault="00547688" w:rsidP="004E79AD">
      <w:pPr>
        <w:adjustRightInd w:val="0"/>
        <w:snapToGrid w:val="0"/>
        <w:spacing w:after="0" w:line="360" w:lineRule="auto"/>
        <w:jc w:val="both"/>
        <w:rPr>
          <w:rFonts w:ascii="Book Antiqua" w:hAnsi="Book Antiqua" w:cs="宋体"/>
          <w:sz w:val="24"/>
          <w:szCs w:val="24"/>
          <w:lang w:eastAsia="zh-CN"/>
        </w:rPr>
      </w:pPr>
      <w:r w:rsidRPr="004E79AD">
        <w:rPr>
          <w:rFonts w:ascii="Book Antiqua" w:hAnsi="Book Antiqua" w:cs="宋体"/>
          <w:sz w:val="24"/>
          <w:szCs w:val="24"/>
          <w:lang w:eastAsia="zh-CN"/>
        </w:rPr>
        <w:t>Grade D (Fair): 0</w:t>
      </w:r>
    </w:p>
    <w:p w14:paraId="75FB08F9" w14:textId="77777777" w:rsidR="00547688" w:rsidRPr="004E79AD" w:rsidRDefault="00547688" w:rsidP="004E79AD">
      <w:pPr>
        <w:adjustRightInd w:val="0"/>
        <w:snapToGrid w:val="0"/>
        <w:spacing w:after="0" w:line="360" w:lineRule="auto"/>
        <w:jc w:val="both"/>
        <w:rPr>
          <w:rFonts w:ascii="Book Antiqua" w:eastAsia="等线" w:hAnsi="Book Antiqua"/>
          <w:sz w:val="24"/>
          <w:szCs w:val="24"/>
          <w:lang w:val="hu-HU" w:eastAsia="zh-CN"/>
        </w:rPr>
      </w:pPr>
      <w:r w:rsidRPr="004E79AD">
        <w:rPr>
          <w:rFonts w:ascii="Book Antiqua" w:hAnsi="Book Antiqua" w:cs="宋体"/>
          <w:sz w:val="24"/>
          <w:szCs w:val="24"/>
          <w:lang w:eastAsia="zh-CN"/>
        </w:rPr>
        <w:t>Grade E (Poor): 0</w:t>
      </w:r>
    </w:p>
    <w:p w14:paraId="3A943909" w14:textId="77777777" w:rsidR="00547688" w:rsidRPr="004E79AD" w:rsidRDefault="00547688" w:rsidP="004E79AD">
      <w:pPr>
        <w:adjustRightInd w:val="0"/>
        <w:snapToGrid w:val="0"/>
        <w:spacing w:after="0" w:line="360" w:lineRule="auto"/>
        <w:jc w:val="both"/>
        <w:rPr>
          <w:rFonts w:ascii="Book Antiqua" w:hAnsi="Book Antiqua"/>
          <w:b/>
          <w:bCs/>
          <w:sz w:val="24"/>
          <w:szCs w:val="24"/>
          <w:lang w:val="hu-HU" w:eastAsia="zh-CN"/>
        </w:rPr>
      </w:pPr>
    </w:p>
    <w:p w14:paraId="635CDC6B" w14:textId="2369A880" w:rsidR="00547688" w:rsidRPr="004E79AD" w:rsidRDefault="00547688" w:rsidP="004E79AD">
      <w:pPr>
        <w:adjustRightInd w:val="0"/>
        <w:snapToGrid w:val="0"/>
        <w:spacing w:after="0" w:line="360" w:lineRule="auto"/>
        <w:jc w:val="both"/>
        <w:rPr>
          <w:rFonts w:ascii="Book Antiqua" w:hAnsi="Book Antiqua"/>
          <w:b/>
          <w:bCs/>
          <w:sz w:val="24"/>
          <w:szCs w:val="24"/>
          <w:lang w:eastAsia="zh-CN"/>
        </w:rPr>
      </w:pPr>
      <w:r w:rsidRPr="004E79AD">
        <w:rPr>
          <w:rFonts w:ascii="Book Antiqua" w:hAnsi="Book Antiqua"/>
          <w:b/>
          <w:sz w:val="24"/>
          <w:szCs w:val="24"/>
        </w:rPr>
        <w:t xml:space="preserve">P-Reviewer: </w:t>
      </w:r>
      <w:r w:rsidRPr="004E79AD">
        <w:rPr>
          <w:rFonts w:ascii="Book Antiqua" w:hAnsi="Book Antiqua"/>
          <w:sz w:val="24"/>
          <w:szCs w:val="24"/>
        </w:rPr>
        <w:t xml:space="preserve">Coco D, </w:t>
      </w:r>
      <w:proofErr w:type="spellStart"/>
      <w:r w:rsidRPr="004E79AD">
        <w:rPr>
          <w:rFonts w:ascii="Book Antiqua" w:hAnsi="Book Antiqua"/>
          <w:sz w:val="24"/>
          <w:szCs w:val="24"/>
        </w:rPr>
        <w:t>Sommariva</w:t>
      </w:r>
      <w:proofErr w:type="spellEnd"/>
      <w:r w:rsidRPr="004E79AD">
        <w:rPr>
          <w:rFonts w:ascii="Book Antiqua" w:hAnsi="Book Antiqua"/>
          <w:sz w:val="24"/>
          <w:szCs w:val="24"/>
        </w:rPr>
        <w:t xml:space="preserve"> A</w:t>
      </w:r>
      <w:r w:rsidRPr="004E79AD">
        <w:rPr>
          <w:rFonts w:ascii="Book Antiqua" w:hAnsi="Book Antiqua"/>
          <w:b/>
          <w:sz w:val="24"/>
          <w:szCs w:val="24"/>
        </w:rPr>
        <w:t xml:space="preserve"> S-Editor:</w:t>
      </w:r>
      <w:r w:rsidRPr="004E79AD">
        <w:rPr>
          <w:rFonts w:ascii="Book Antiqua" w:hAnsi="Book Antiqua"/>
          <w:sz w:val="24"/>
          <w:szCs w:val="24"/>
        </w:rPr>
        <w:t xml:space="preserve"> </w:t>
      </w:r>
      <w:r w:rsidRPr="004E79AD">
        <w:rPr>
          <w:rFonts w:ascii="Book Antiqua" w:hAnsi="Book Antiqua"/>
          <w:sz w:val="24"/>
          <w:szCs w:val="24"/>
          <w:lang w:eastAsia="zh-CN"/>
        </w:rPr>
        <w:t>Zhang L</w:t>
      </w:r>
      <w:r w:rsidRPr="004E79AD">
        <w:rPr>
          <w:rFonts w:ascii="Book Antiqua" w:hAnsi="Book Antiqua"/>
          <w:sz w:val="24"/>
          <w:szCs w:val="24"/>
        </w:rPr>
        <w:t xml:space="preserve"> </w:t>
      </w:r>
      <w:r w:rsidRPr="004E79AD">
        <w:rPr>
          <w:rFonts w:ascii="Book Antiqua" w:hAnsi="Book Antiqua"/>
          <w:b/>
          <w:sz w:val="24"/>
          <w:szCs w:val="24"/>
        </w:rPr>
        <w:t>L-Editor:</w:t>
      </w:r>
      <w:r w:rsidR="004E79AD" w:rsidRPr="004E79AD">
        <w:rPr>
          <w:rFonts w:ascii="Book Antiqua" w:hAnsi="Book Antiqua"/>
          <w:sz w:val="24"/>
          <w:szCs w:val="24"/>
        </w:rPr>
        <w:t xml:space="preserve"> </w:t>
      </w:r>
      <w:r w:rsidR="00A92AEF" w:rsidRPr="00A92AEF">
        <w:rPr>
          <w:rFonts w:ascii="Book Antiqua" w:hAnsi="Book Antiqua" w:hint="eastAsia"/>
          <w:sz w:val="24"/>
          <w:szCs w:val="24"/>
          <w:lang w:eastAsia="zh-CN"/>
        </w:rPr>
        <w:t>A</w:t>
      </w:r>
      <w:r w:rsidR="00A92AEF">
        <w:rPr>
          <w:rFonts w:ascii="Book Antiqua" w:hAnsi="Book Antiqua" w:hint="eastAsia"/>
          <w:sz w:val="24"/>
          <w:szCs w:val="24"/>
          <w:lang w:eastAsia="zh-CN"/>
        </w:rPr>
        <w:t xml:space="preserve"> </w:t>
      </w:r>
      <w:r w:rsidRPr="004E79AD">
        <w:rPr>
          <w:rFonts w:ascii="Book Antiqua" w:hAnsi="Book Antiqua"/>
          <w:b/>
          <w:sz w:val="24"/>
          <w:szCs w:val="24"/>
        </w:rPr>
        <w:t>E-Editor:</w:t>
      </w:r>
      <w:r w:rsidR="00A92AEF">
        <w:rPr>
          <w:rFonts w:ascii="Book Antiqua" w:hAnsi="Book Antiqua" w:hint="eastAsia"/>
          <w:b/>
          <w:sz w:val="24"/>
          <w:szCs w:val="24"/>
          <w:lang w:eastAsia="zh-CN"/>
        </w:rPr>
        <w:t xml:space="preserve"> </w:t>
      </w:r>
      <w:r w:rsidR="00A92AEF" w:rsidRPr="00A92AEF">
        <w:rPr>
          <w:rFonts w:ascii="Book Antiqua" w:hAnsi="Book Antiqua" w:hint="eastAsia"/>
          <w:sz w:val="24"/>
          <w:szCs w:val="24"/>
          <w:lang w:eastAsia="zh-CN"/>
        </w:rPr>
        <w:t>Li X</w:t>
      </w:r>
    </w:p>
    <w:p w14:paraId="7C80E004" w14:textId="77777777" w:rsidR="00547688" w:rsidRPr="004E79AD" w:rsidRDefault="00547688" w:rsidP="004E79AD">
      <w:pPr>
        <w:adjustRightInd w:val="0"/>
        <w:snapToGrid w:val="0"/>
        <w:spacing w:after="0" w:line="360" w:lineRule="auto"/>
        <w:jc w:val="both"/>
        <w:rPr>
          <w:rFonts w:ascii="Book Antiqua" w:hAnsi="Book Antiqua"/>
          <w:noProof/>
          <w:sz w:val="24"/>
          <w:szCs w:val="24"/>
        </w:rPr>
      </w:pPr>
      <w:r w:rsidRPr="004E79AD">
        <w:rPr>
          <w:rFonts w:ascii="Book Antiqua" w:hAnsi="Book Antiqua"/>
          <w:noProof/>
          <w:sz w:val="24"/>
          <w:szCs w:val="24"/>
        </w:rPr>
        <w:br w:type="page"/>
      </w:r>
    </w:p>
    <w:p w14:paraId="0E3F4959" w14:textId="307736B6" w:rsidR="00700F05" w:rsidRPr="004E79AD" w:rsidRDefault="00547688" w:rsidP="004E79AD">
      <w:pPr>
        <w:adjustRightInd w:val="0"/>
        <w:snapToGrid w:val="0"/>
        <w:spacing w:after="0" w:line="360" w:lineRule="auto"/>
        <w:jc w:val="both"/>
        <w:rPr>
          <w:rFonts w:ascii="Book Antiqua" w:hAnsi="Book Antiqua"/>
          <w:b/>
          <w:sz w:val="24"/>
          <w:szCs w:val="24"/>
          <w:lang w:eastAsia="zh-CN"/>
        </w:rPr>
      </w:pPr>
      <w:r w:rsidRPr="004E79AD">
        <w:rPr>
          <w:rFonts w:ascii="Book Antiqua" w:hAnsi="Book Antiqua"/>
          <w:b/>
          <w:sz w:val="24"/>
          <w:szCs w:val="24"/>
        </w:rPr>
        <w:lastRenderedPageBreak/>
        <w:t>Figure Legends</w:t>
      </w:r>
    </w:p>
    <w:p w14:paraId="763759F2" w14:textId="3DCB0B6D" w:rsidR="00DF20EE" w:rsidRPr="004E79AD" w:rsidRDefault="00DF20EE"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b/>
          <w:noProof/>
          <w:sz w:val="24"/>
          <w:szCs w:val="24"/>
          <w:lang w:eastAsia="zh-CN"/>
        </w:rPr>
        <w:drawing>
          <wp:inline distT="0" distB="0" distL="0" distR="0" wp14:anchorId="318217F6" wp14:editId="2AE1A6F6">
            <wp:extent cx="5486400" cy="3403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403600"/>
                    </a:xfrm>
                    <a:prstGeom prst="rect">
                      <a:avLst/>
                    </a:prstGeom>
                  </pic:spPr>
                </pic:pic>
              </a:graphicData>
            </a:graphic>
          </wp:inline>
        </w:drawing>
      </w:r>
    </w:p>
    <w:p w14:paraId="6CF8B3AF" w14:textId="2C272EB3" w:rsidR="00DE2289" w:rsidRPr="004E79AD" w:rsidRDefault="00DE2289"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b/>
          <w:sz w:val="24"/>
          <w:szCs w:val="24"/>
        </w:rPr>
        <w:t xml:space="preserve">Figure 1 Independent association of hyperthermic intraperitoneal chemotherapy technique (open compared to close) on relevant post-operative outcomes based on multi-variable logistic regression. </w:t>
      </w:r>
      <w:r w:rsidRPr="004E79AD">
        <w:rPr>
          <w:rFonts w:ascii="Book Antiqua" w:hAnsi="Book Antiqua" w:cs="Times New Roman"/>
          <w:sz w:val="24"/>
          <w:szCs w:val="24"/>
        </w:rPr>
        <w:t xml:space="preserve">Factors included in each multi-variable analysis include age, American Society of Anesthesiology, peritoneal carcinomatosis index, </w:t>
      </w:r>
      <w:r w:rsidR="00DF20EE" w:rsidRPr="004E79AD">
        <w:rPr>
          <w:rFonts w:ascii="Book Antiqua" w:hAnsi="Book Antiqua" w:cs="Times New Roman"/>
          <w:noProof/>
          <w:sz w:val="24"/>
          <w:szCs w:val="24"/>
        </w:rPr>
        <w:t>completeness of cytoreduction</w:t>
      </w:r>
      <w:r w:rsidRPr="004E79AD">
        <w:rPr>
          <w:rFonts w:ascii="Book Antiqua" w:hAnsi="Book Antiqua" w:cs="Times New Roman"/>
          <w:sz w:val="24"/>
          <w:szCs w:val="24"/>
        </w:rPr>
        <w:t xml:space="preserve"> score, and post-operative complications.</w:t>
      </w:r>
      <w:r w:rsidRPr="004E79AD">
        <w:rPr>
          <w:rFonts w:ascii="Book Antiqua" w:hAnsi="Book Antiqua" w:cs="Times New Roman"/>
          <w:sz w:val="24"/>
          <w:szCs w:val="24"/>
          <w:lang w:eastAsia="zh-CN"/>
        </w:rPr>
        <w:t xml:space="preserve"> </w:t>
      </w:r>
      <w:r w:rsidRPr="004E79AD">
        <w:rPr>
          <w:rFonts w:ascii="Book Antiqua" w:hAnsi="Book Antiqua" w:cs="Times New Roman"/>
          <w:sz w:val="24"/>
          <w:szCs w:val="24"/>
        </w:rPr>
        <w:t>OR: Odds ratio; LOS: Length of stay; ICU: Intensive care unit.</w:t>
      </w:r>
    </w:p>
    <w:p w14:paraId="1C78F789" w14:textId="77777777" w:rsidR="00DE2289" w:rsidRPr="004E79AD" w:rsidRDefault="00DE2289" w:rsidP="004E79AD">
      <w:pPr>
        <w:snapToGrid w:val="0"/>
        <w:spacing w:after="0" w:line="360" w:lineRule="auto"/>
        <w:jc w:val="both"/>
        <w:rPr>
          <w:rFonts w:ascii="Book Antiqua" w:hAnsi="Book Antiqua" w:cs="Times New Roman"/>
          <w:b/>
          <w:noProof/>
          <w:sz w:val="24"/>
          <w:szCs w:val="24"/>
        </w:rPr>
      </w:pPr>
      <w:r w:rsidRPr="004E79AD">
        <w:rPr>
          <w:rFonts w:ascii="Book Antiqua" w:hAnsi="Book Antiqua" w:cs="Times New Roman"/>
          <w:b/>
          <w:noProof/>
          <w:sz w:val="24"/>
          <w:szCs w:val="24"/>
        </w:rPr>
        <w:br w:type="page"/>
      </w:r>
    </w:p>
    <w:p w14:paraId="61423790" w14:textId="5E9D0B04" w:rsidR="00DF20EE" w:rsidRPr="004E79AD" w:rsidRDefault="00DF20EE" w:rsidP="004E79AD">
      <w:pPr>
        <w:snapToGrid w:val="0"/>
        <w:spacing w:after="0" w:line="360" w:lineRule="auto"/>
        <w:jc w:val="both"/>
        <w:rPr>
          <w:rFonts w:ascii="Book Antiqua" w:hAnsi="Book Antiqua" w:cs="Times New Roman"/>
          <w:b/>
          <w:noProof/>
          <w:sz w:val="24"/>
          <w:szCs w:val="24"/>
        </w:rPr>
      </w:pPr>
      <w:r w:rsidRPr="004E79AD">
        <w:rPr>
          <w:rFonts w:ascii="Book Antiqua" w:hAnsi="Book Antiqua" w:cs="Times New Roman"/>
          <w:b/>
          <w:noProof/>
          <w:sz w:val="24"/>
          <w:szCs w:val="24"/>
          <w:lang w:eastAsia="zh-CN"/>
        </w:rPr>
        <w:lastRenderedPageBreak/>
        <w:drawing>
          <wp:inline distT="0" distB="0" distL="0" distR="0" wp14:anchorId="49BC7B35" wp14:editId="6ADF356B">
            <wp:extent cx="4872534" cy="6446520"/>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3731" cy="6448104"/>
                    </a:xfrm>
                    <a:prstGeom prst="rect">
                      <a:avLst/>
                    </a:prstGeom>
                  </pic:spPr>
                </pic:pic>
              </a:graphicData>
            </a:graphic>
          </wp:inline>
        </w:drawing>
      </w:r>
    </w:p>
    <w:p w14:paraId="193942C1" w14:textId="1EDD0301" w:rsidR="00DF20EE" w:rsidRPr="004E79AD" w:rsidRDefault="00DF20EE" w:rsidP="004E79AD">
      <w:pPr>
        <w:snapToGrid w:val="0"/>
        <w:spacing w:after="0" w:line="360" w:lineRule="auto"/>
        <w:jc w:val="both"/>
        <w:rPr>
          <w:rFonts w:ascii="Book Antiqua" w:hAnsi="Book Antiqua" w:cs="Times New Roman"/>
          <w:b/>
          <w:noProof/>
          <w:sz w:val="24"/>
          <w:szCs w:val="24"/>
        </w:rPr>
      </w:pPr>
      <w:r w:rsidRPr="004E79AD">
        <w:rPr>
          <w:rFonts w:ascii="Book Antiqua" w:hAnsi="Book Antiqua" w:cs="Times New Roman"/>
          <w:b/>
          <w:noProof/>
          <w:sz w:val="24"/>
          <w:szCs w:val="24"/>
        </w:rPr>
        <w:t>Figure 2 Unadjusted Kaplan-Meier analysis of overall survival and recurrence-free survival for the entire cohort (A and B), appendiceal cohort (C and D), and colorectal cohort (E and F).</w:t>
      </w:r>
      <w:r w:rsidR="008770EC" w:rsidRPr="004E79AD">
        <w:rPr>
          <w:rFonts w:ascii="Book Antiqua" w:hAnsi="Book Antiqua" w:cs="Times New Roman"/>
          <w:b/>
          <w:noProof/>
          <w:sz w:val="24"/>
          <w:szCs w:val="24"/>
          <w:lang w:eastAsia="zh-CN"/>
        </w:rPr>
        <w:t xml:space="preserve"> </w:t>
      </w:r>
      <w:r w:rsidR="008770EC" w:rsidRPr="004E79AD">
        <w:rPr>
          <w:rFonts w:ascii="Book Antiqua" w:hAnsi="Book Antiqua" w:cs="Times New Roman"/>
          <w:noProof/>
          <w:sz w:val="24"/>
          <w:szCs w:val="24"/>
          <w:vertAlign w:val="superscript"/>
        </w:rPr>
        <w:t>1</w:t>
      </w:r>
      <w:r w:rsidRPr="004E79AD">
        <w:rPr>
          <w:rFonts w:ascii="Book Antiqua" w:hAnsi="Book Antiqua" w:cs="Times New Roman"/>
          <w:noProof/>
          <w:sz w:val="24"/>
          <w:szCs w:val="24"/>
        </w:rPr>
        <w:t>All patients had overall survival information though a small portion did not have recurrence free survival information available</w:t>
      </w:r>
      <w:r w:rsidR="008770EC" w:rsidRPr="004E79AD">
        <w:rPr>
          <w:rFonts w:ascii="Book Antiqua" w:hAnsi="Book Antiqua" w:cs="Times New Roman"/>
          <w:noProof/>
          <w:sz w:val="24"/>
          <w:szCs w:val="24"/>
        </w:rPr>
        <w:t>.</w:t>
      </w:r>
    </w:p>
    <w:p w14:paraId="687AC36D" w14:textId="77777777" w:rsidR="00547688" w:rsidRPr="004E79AD" w:rsidRDefault="00547688" w:rsidP="004E79AD">
      <w:pPr>
        <w:adjustRightInd w:val="0"/>
        <w:snapToGrid w:val="0"/>
        <w:spacing w:after="0" w:line="360" w:lineRule="auto"/>
        <w:jc w:val="both"/>
        <w:rPr>
          <w:rFonts w:ascii="Book Antiqua" w:hAnsi="Book Antiqua"/>
          <w:b/>
          <w:sz w:val="24"/>
          <w:szCs w:val="24"/>
          <w:lang w:eastAsia="zh-CN"/>
        </w:rPr>
      </w:pPr>
    </w:p>
    <w:p w14:paraId="15C55A2E" w14:textId="35E6D733" w:rsidR="000A43CE" w:rsidRPr="004E79AD" w:rsidRDefault="000A43CE"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br w:type="page"/>
      </w:r>
    </w:p>
    <w:p w14:paraId="0669FB5C" w14:textId="7C18449E" w:rsidR="00221506" w:rsidRPr="004E79AD" w:rsidRDefault="008770EC"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b/>
          <w:sz w:val="24"/>
          <w:szCs w:val="24"/>
        </w:rPr>
        <w:lastRenderedPageBreak/>
        <w:t>Table 1</w:t>
      </w:r>
      <w:r w:rsidR="00221506" w:rsidRPr="004E79AD">
        <w:rPr>
          <w:rFonts w:ascii="Book Antiqua" w:hAnsi="Book Antiqua" w:cs="Times New Roman"/>
          <w:b/>
          <w:sz w:val="24"/>
          <w:szCs w:val="24"/>
        </w:rPr>
        <w:t xml:space="preserve"> Comparison of </w:t>
      </w:r>
      <w:r w:rsidRPr="004E79AD">
        <w:rPr>
          <w:rFonts w:ascii="Book Antiqua" w:hAnsi="Book Antiqua" w:cs="Times New Roman"/>
          <w:b/>
          <w:sz w:val="24"/>
          <w:szCs w:val="24"/>
        </w:rPr>
        <w:t xml:space="preserve">clinicopathologic </w:t>
      </w:r>
      <w:r w:rsidR="00221506" w:rsidRPr="004E79AD">
        <w:rPr>
          <w:rFonts w:ascii="Book Antiqua" w:hAnsi="Book Antiqua" w:cs="Times New Roman"/>
          <w:b/>
          <w:sz w:val="24"/>
          <w:szCs w:val="24"/>
        </w:rPr>
        <w:t xml:space="preserve">and </w:t>
      </w:r>
      <w:r w:rsidRPr="004E79AD">
        <w:rPr>
          <w:rFonts w:ascii="Book Antiqua" w:hAnsi="Book Antiqua" w:cs="Times New Roman"/>
          <w:b/>
          <w:sz w:val="24"/>
          <w:szCs w:val="24"/>
        </w:rPr>
        <w:t xml:space="preserve">perioperative variables </w:t>
      </w:r>
      <w:r w:rsidR="00221506" w:rsidRPr="004E79AD">
        <w:rPr>
          <w:rFonts w:ascii="Book Antiqua" w:hAnsi="Book Antiqua" w:cs="Times New Roman"/>
          <w:b/>
          <w:sz w:val="24"/>
          <w:szCs w:val="24"/>
        </w:rPr>
        <w:t xml:space="preserve">by </w:t>
      </w:r>
      <w:r w:rsidRPr="004E79AD">
        <w:rPr>
          <w:rFonts w:ascii="Book Antiqua" w:hAnsi="Book Antiqua" w:cs="Times New Roman"/>
          <w:b/>
          <w:sz w:val="24"/>
          <w:szCs w:val="24"/>
        </w:rPr>
        <w:t>hyperthermic intraperitoneal chemotherapy</w:t>
      </w:r>
      <w:r w:rsidR="00221506" w:rsidRPr="004E79AD">
        <w:rPr>
          <w:rFonts w:ascii="Book Antiqua" w:hAnsi="Book Antiqua" w:cs="Times New Roman"/>
          <w:b/>
          <w:sz w:val="24"/>
          <w:szCs w:val="24"/>
        </w:rPr>
        <w:t xml:space="preserve"> </w:t>
      </w:r>
      <w:r w:rsidRPr="004E79AD">
        <w:rPr>
          <w:rFonts w:ascii="Book Antiqua" w:hAnsi="Book Antiqua" w:cs="Times New Roman"/>
          <w:b/>
          <w:sz w:val="24"/>
          <w:szCs w:val="24"/>
        </w:rPr>
        <w:t>technique</w:t>
      </w:r>
    </w:p>
    <w:tbl>
      <w:tblPr>
        <w:tblStyle w:val="a4"/>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75"/>
        <w:gridCol w:w="373"/>
        <w:gridCol w:w="2036"/>
        <w:gridCol w:w="1809"/>
        <w:gridCol w:w="1768"/>
        <w:gridCol w:w="1250"/>
      </w:tblGrid>
      <w:tr w:rsidR="00EB08D7" w:rsidRPr="004E79AD" w14:paraId="6C43D93B" w14:textId="77777777" w:rsidTr="00D338F5">
        <w:trPr>
          <w:trHeight w:val="288"/>
          <w:jc w:val="center"/>
        </w:trPr>
        <w:tc>
          <w:tcPr>
            <w:tcW w:w="4029" w:type="dxa"/>
            <w:gridSpan w:val="4"/>
            <w:vMerge w:val="restart"/>
          </w:tcPr>
          <w:p w14:paraId="2ADC9A97" w14:textId="77777777" w:rsidR="00EB08D7" w:rsidRPr="004E79AD" w:rsidRDefault="00EB08D7" w:rsidP="004E79AD">
            <w:pPr>
              <w:snapToGrid w:val="0"/>
              <w:spacing w:line="360" w:lineRule="auto"/>
              <w:jc w:val="both"/>
              <w:rPr>
                <w:rFonts w:ascii="Book Antiqua" w:hAnsi="Book Antiqua" w:cs="Times New Roman"/>
                <w:b/>
                <w:sz w:val="24"/>
                <w:szCs w:val="24"/>
              </w:rPr>
            </w:pPr>
          </w:p>
        </w:tc>
        <w:tc>
          <w:tcPr>
            <w:tcW w:w="1809" w:type="dxa"/>
            <w:tcBorders>
              <w:bottom w:val="single" w:sz="4" w:space="0" w:color="auto"/>
            </w:tcBorders>
          </w:tcPr>
          <w:p w14:paraId="6C236619" w14:textId="77777777" w:rsidR="00EB08D7" w:rsidRPr="004E79AD" w:rsidRDefault="00EB08D7"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Open</w:t>
            </w:r>
          </w:p>
        </w:tc>
        <w:tc>
          <w:tcPr>
            <w:tcW w:w="1768" w:type="dxa"/>
            <w:tcBorders>
              <w:bottom w:val="single" w:sz="4" w:space="0" w:color="auto"/>
            </w:tcBorders>
          </w:tcPr>
          <w:p w14:paraId="2510C5B8" w14:textId="77777777" w:rsidR="00EB08D7" w:rsidRPr="004E79AD" w:rsidRDefault="00EB08D7"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Closed</w:t>
            </w:r>
          </w:p>
        </w:tc>
        <w:tc>
          <w:tcPr>
            <w:tcW w:w="1250" w:type="dxa"/>
            <w:vMerge w:val="restart"/>
            <w:vAlign w:val="center"/>
          </w:tcPr>
          <w:p w14:paraId="0F7DE842" w14:textId="77777777" w:rsidR="00EB08D7" w:rsidRPr="004E79AD" w:rsidRDefault="00EB08D7"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i/>
                <w:caps/>
                <w:sz w:val="24"/>
                <w:szCs w:val="24"/>
              </w:rPr>
              <w:t>p</w:t>
            </w:r>
            <w:r w:rsidRPr="004E79AD">
              <w:rPr>
                <w:rFonts w:ascii="Book Antiqua" w:hAnsi="Book Antiqua" w:cs="Times New Roman"/>
                <w:b/>
                <w:sz w:val="24"/>
                <w:szCs w:val="24"/>
              </w:rPr>
              <w:t xml:space="preserve"> value</w:t>
            </w:r>
          </w:p>
        </w:tc>
      </w:tr>
      <w:tr w:rsidR="00EB08D7" w:rsidRPr="004E79AD" w14:paraId="52BA1AA9" w14:textId="77777777" w:rsidTr="00D338F5">
        <w:trPr>
          <w:trHeight w:val="288"/>
          <w:jc w:val="center"/>
        </w:trPr>
        <w:tc>
          <w:tcPr>
            <w:tcW w:w="4029" w:type="dxa"/>
            <w:gridSpan w:val="4"/>
            <w:vMerge/>
          </w:tcPr>
          <w:p w14:paraId="01F1A18D" w14:textId="77777777" w:rsidR="00EB08D7" w:rsidRPr="004E79AD" w:rsidRDefault="00EB08D7" w:rsidP="004E79AD">
            <w:pPr>
              <w:snapToGrid w:val="0"/>
              <w:spacing w:line="360" w:lineRule="auto"/>
              <w:jc w:val="both"/>
              <w:rPr>
                <w:rFonts w:ascii="Book Antiqua" w:hAnsi="Book Antiqua" w:cs="Times New Roman"/>
                <w:b/>
                <w:sz w:val="24"/>
                <w:szCs w:val="24"/>
              </w:rPr>
            </w:pPr>
          </w:p>
        </w:tc>
        <w:tc>
          <w:tcPr>
            <w:tcW w:w="1809" w:type="dxa"/>
            <w:tcBorders>
              <w:top w:val="single" w:sz="4" w:space="0" w:color="auto"/>
              <w:bottom w:val="single" w:sz="4" w:space="0" w:color="auto"/>
            </w:tcBorders>
            <w:vAlign w:val="center"/>
          </w:tcPr>
          <w:p w14:paraId="2DCF4E1A" w14:textId="77777777" w:rsidR="00EB08D7" w:rsidRPr="004E79AD" w:rsidRDefault="00EB08D7"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i/>
                <w:sz w:val="24"/>
                <w:szCs w:val="24"/>
              </w:rPr>
              <w:t>n</w:t>
            </w:r>
            <w:r w:rsidRPr="004E79AD">
              <w:rPr>
                <w:rFonts w:ascii="Book Antiqua" w:hAnsi="Book Antiqua" w:cs="Times New Roman"/>
                <w:b/>
                <w:sz w:val="24"/>
                <w:szCs w:val="24"/>
              </w:rPr>
              <w:t xml:space="preserve"> = 372 </w:t>
            </w:r>
          </w:p>
        </w:tc>
        <w:tc>
          <w:tcPr>
            <w:tcW w:w="1768" w:type="dxa"/>
            <w:tcBorders>
              <w:top w:val="single" w:sz="4" w:space="0" w:color="auto"/>
              <w:bottom w:val="single" w:sz="4" w:space="0" w:color="auto"/>
            </w:tcBorders>
            <w:vAlign w:val="center"/>
          </w:tcPr>
          <w:p w14:paraId="04F417EA" w14:textId="77777777" w:rsidR="00EB08D7" w:rsidRPr="004E79AD" w:rsidRDefault="00EB08D7"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i/>
                <w:sz w:val="24"/>
                <w:szCs w:val="24"/>
              </w:rPr>
              <w:t>n</w:t>
            </w:r>
            <w:r w:rsidRPr="004E79AD">
              <w:rPr>
                <w:rFonts w:ascii="Book Antiqua" w:hAnsi="Book Antiqua" w:cs="Times New Roman"/>
                <w:b/>
                <w:sz w:val="24"/>
                <w:szCs w:val="24"/>
              </w:rPr>
              <w:t xml:space="preserve"> = 1440</w:t>
            </w:r>
          </w:p>
        </w:tc>
        <w:tc>
          <w:tcPr>
            <w:tcW w:w="1250" w:type="dxa"/>
            <w:vMerge/>
          </w:tcPr>
          <w:p w14:paraId="234615AC" w14:textId="77777777" w:rsidR="00EB08D7" w:rsidRPr="004E79AD" w:rsidRDefault="00EB08D7" w:rsidP="004E79AD">
            <w:pPr>
              <w:snapToGrid w:val="0"/>
              <w:spacing w:line="360" w:lineRule="auto"/>
              <w:jc w:val="both"/>
              <w:rPr>
                <w:rFonts w:ascii="Book Antiqua" w:hAnsi="Book Antiqua" w:cs="Times New Roman"/>
                <w:sz w:val="24"/>
                <w:szCs w:val="24"/>
              </w:rPr>
            </w:pPr>
          </w:p>
        </w:tc>
      </w:tr>
      <w:tr w:rsidR="00EB08D7" w:rsidRPr="004E79AD" w14:paraId="470E871F" w14:textId="77777777" w:rsidTr="00D338F5">
        <w:trPr>
          <w:trHeight w:val="144"/>
          <w:jc w:val="center"/>
        </w:trPr>
        <w:tc>
          <w:tcPr>
            <w:tcW w:w="4029" w:type="dxa"/>
            <w:gridSpan w:val="4"/>
            <w:vMerge/>
            <w:tcBorders>
              <w:bottom w:val="single" w:sz="4" w:space="0" w:color="auto"/>
            </w:tcBorders>
          </w:tcPr>
          <w:p w14:paraId="489DA18E" w14:textId="77777777" w:rsidR="00EB08D7" w:rsidRPr="004E79AD" w:rsidRDefault="00EB08D7" w:rsidP="004E79AD">
            <w:pPr>
              <w:snapToGrid w:val="0"/>
              <w:spacing w:line="360" w:lineRule="auto"/>
              <w:jc w:val="both"/>
              <w:rPr>
                <w:rFonts w:ascii="Book Antiqua" w:hAnsi="Book Antiqua" w:cs="Times New Roman"/>
                <w:b/>
                <w:sz w:val="24"/>
                <w:szCs w:val="24"/>
              </w:rPr>
            </w:pPr>
          </w:p>
        </w:tc>
        <w:tc>
          <w:tcPr>
            <w:tcW w:w="1809" w:type="dxa"/>
            <w:tcBorders>
              <w:top w:val="single" w:sz="4" w:space="0" w:color="auto"/>
              <w:bottom w:val="single" w:sz="4" w:space="0" w:color="auto"/>
            </w:tcBorders>
          </w:tcPr>
          <w:p w14:paraId="624BAE75" w14:textId="77777777" w:rsidR="00EB08D7" w:rsidRPr="004E79AD" w:rsidRDefault="00EB08D7" w:rsidP="004E79AD">
            <w:pPr>
              <w:snapToGrid w:val="0"/>
              <w:spacing w:line="360" w:lineRule="auto"/>
              <w:jc w:val="both"/>
              <w:rPr>
                <w:rFonts w:ascii="Book Antiqua" w:hAnsi="Book Antiqua" w:cs="Times New Roman"/>
                <w:b/>
                <w:sz w:val="24"/>
                <w:szCs w:val="24"/>
              </w:rPr>
            </w:pPr>
            <w:proofErr w:type="gramStart"/>
            <w:r w:rsidRPr="004E79AD">
              <w:rPr>
                <w:rFonts w:ascii="Book Antiqua" w:hAnsi="Book Antiqua" w:cs="Times New Roman"/>
                <w:b/>
                <w:i/>
                <w:sz w:val="24"/>
                <w:szCs w:val="24"/>
              </w:rPr>
              <w:t>n</w:t>
            </w:r>
            <w:proofErr w:type="gramEnd"/>
            <w:r w:rsidRPr="004E79AD">
              <w:rPr>
                <w:rFonts w:ascii="Book Antiqua" w:hAnsi="Book Antiqua" w:cs="Times New Roman"/>
                <w:b/>
                <w:sz w:val="24"/>
                <w:szCs w:val="24"/>
              </w:rPr>
              <w:t xml:space="preserve"> (%)</w:t>
            </w:r>
          </w:p>
        </w:tc>
        <w:tc>
          <w:tcPr>
            <w:tcW w:w="1768" w:type="dxa"/>
            <w:tcBorders>
              <w:top w:val="single" w:sz="4" w:space="0" w:color="auto"/>
              <w:bottom w:val="single" w:sz="4" w:space="0" w:color="auto"/>
            </w:tcBorders>
          </w:tcPr>
          <w:p w14:paraId="0C70B199" w14:textId="77777777" w:rsidR="00EB08D7" w:rsidRPr="004E79AD" w:rsidRDefault="00EB08D7" w:rsidP="004E79AD">
            <w:pPr>
              <w:snapToGrid w:val="0"/>
              <w:spacing w:line="360" w:lineRule="auto"/>
              <w:jc w:val="both"/>
              <w:rPr>
                <w:rFonts w:ascii="Book Antiqua" w:hAnsi="Book Antiqua" w:cs="Times New Roman"/>
                <w:b/>
                <w:sz w:val="24"/>
                <w:szCs w:val="24"/>
              </w:rPr>
            </w:pPr>
            <w:proofErr w:type="gramStart"/>
            <w:r w:rsidRPr="004E79AD">
              <w:rPr>
                <w:rFonts w:ascii="Book Antiqua" w:hAnsi="Book Antiqua" w:cs="Times New Roman"/>
                <w:b/>
                <w:i/>
                <w:sz w:val="24"/>
                <w:szCs w:val="24"/>
              </w:rPr>
              <w:t>n</w:t>
            </w:r>
            <w:proofErr w:type="gramEnd"/>
            <w:r w:rsidRPr="004E79AD">
              <w:rPr>
                <w:rFonts w:ascii="Book Antiqua" w:hAnsi="Book Antiqua" w:cs="Times New Roman"/>
                <w:b/>
                <w:sz w:val="24"/>
                <w:szCs w:val="24"/>
              </w:rPr>
              <w:t xml:space="preserve"> (%)</w:t>
            </w:r>
          </w:p>
        </w:tc>
        <w:tc>
          <w:tcPr>
            <w:tcW w:w="1250" w:type="dxa"/>
            <w:vMerge/>
            <w:tcBorders>
              <w:bottom w:val="single" w:sz="4" w:space="0" w:color="auto"/>
            </w:tcBorders>
          </w:tcPr>
          <w:p w14:paraId="5A59EE0E" w14:textId="77777777" w:rsidR="00EB08D7" w:rsidRPr="004E79AD" w:rsidRDefault="00EB08D7" w:rsidP="004E79AD">
            <w:pPr>
              <w:snapToGrid w:val="0"/>
              <w:spacing w:line="360" w:lineRule="auto"/>
              <w:jc w:val="both"/>
              <w:rPr>
                <w:rFonts w:ascii="Book Antiqua" w:hAnsi="Book Antiqua" w:cs="Times New Roman"/>
                <w:sz w:val="24"/>
                <w:szCs w:val="24"/>
              </w:rPr>
            </w:pPr>
          </w:p>
        </w:tc>
      </w:tr>
      <w:tr w:rsidR="008770EC" w:rsidRPr="004E79AD" w14:paraId="31D277B6" w14:textId="77777777" w:rsidTr="00D338F5">
        <w:trPr>
          <w:jc w:val="center"/>
        </w:trPr>
        <w:tc>
          <w:tcPr>
            <w:tcW w:w="4029" w:type="dxa"/>
            <w:gridSpan w:val="4"/>
            <w:tcBorders>
              <w:top w:val="single" w:sz="4" w:space="0" w:color="auto"/>
              <w:bottom w:val="nil"/>
            </w:tcBorders>
          </w:tcPr>
          <w:p w14:paraId="136289A7" w14:textId="2D5585F0"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Female </w:t>
            </w:r>
            <w:r w:rsidR="008770EC" w:rsidRPr="004E79AD">
              <w:rPr>
                <w:rFonts w:ascii="Book Antiqua" w:hAnsi="Book Antiqua" w:cs="Times New Roman"/>
                <w:sz w:val="24"/>
                <w:szCs w:val="24"/>
              </w:rPr>
              <w:t>gender</w:t>
            </w:r>
          </w:p>
        </w:tc>
        <w:tc>
          <w:tcPr>
            <w:tcW w:w="1809" w:type="dxa"/>
            <w:tcBorders>
              <w:top w:val="single" w:sz="4" w:space="0" w:color="auto"/>
              <w:bottom w:val="nil"/>
            </w:tcBorders>
          </w:tcPr>
          <w:p w14:paraId="464799E5"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165 (44.4)</w:t>
            </w:r>
          </w:p>
        </w:tc>
        <w:tc>
          <w:tcPr>
            <w:tcW w:w="1768" w:type="dxa"/>
            <w:tcBorders>
              <w:top w:val="single" w:sz="4" w:space="0" w:color="auto"/>
              <w:bottom w:val="nil"/>
            </w:tcBorders>
          </w:tcPr>
          <w:p w14:paraId="43E7B1F2"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616 (42.8)</w:t>
            </w:r>
          </w:p>
        </w:tc>
        <w:tc>
          <w:tcPr>
            <w:tcW w:w="1250" w:type="dxa"/>
            <w:tcBorders>
              <w:top w:val="single" w:sz="4" w:space="0" w:color="auto"/>
              <w:bottom w:val="nil"/>
            </w:tcBorders>
          </w:tcPr>
          <w:p w14:paraId="2AA25CE5"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0.58</w:t>
            </w:r>
          </w:p>
        </w:tc>
      </w:tr>
      <w:tr w:rsidR="008770EC" w:rsidRPr="004E79AD" w14:paraId="0AF8D26A" w14:textId="77777777" w:rsidTr="00D338F5">
        <w:trPr>
          <w:jc w:val="center"/>
        </w:trPr>
        <w:tc>
          <w:tcPr>
            <w:tcW w:w="4029" w:type="dxa"/>
            <w:gridSpan w:val="4"/>
            <w:tcBorders>
              <w:top w:val="nil"/>
            </w:tcBorders>
          </w:tcPr>
          <w:p w14:paraId="724755A2" w14:textId="59EBD9A0"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Mean </w:t>
            </w:r>
            <w:r w:rsidR="008770EC" w:rsidRPr="004E79AD">
              <w:rPr>
                <w:rFonts w:ascii="Book Antiqua" w:hAnsi="Book Antiqua" w:cs="Times New Roman"/>
                <w:sz w:val="24"/>
                <w:szCs w:val="24"/>
              </w:rPr>
              <w:t xml:space="preserve">age </w:t>
            </w:r>
            <w:r w:rsidRPr="004E79AD">
              <w:rPr>
                <w:rFonts w:ascii="Book Antiqua" w:hAnsi="Book Antiqua" w:cs="Times New Roman"/>
                <w:sz w:val="24"/>
                <w:szCs w:val="24"/>
              </w:rPr>
              <w:t>(SD)</w:t>
            </w:r>
          </w:p>
        </w:tc>
        <w:tc>
          <w:tcPr>
            <w:tcW w:w="1809" w:type="dxa"/>
            <w:tcBorders>
              <w:top w:val="nil"/>
            </w:tcBorders>
          </w:tcPr>
          <w:p w14:paraId="35AD23DC"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52.7 (12.4)</w:t>
            </w:r>
          </w:p>
        </w:tc>
        <w:tc>
          <w:tcPr>
            <w:tcW w:w="1768" w:type="dxa"/>
            <w:tcBorders>
              <w:top w:val="nil"/>
            </w:tcBorders>
          </w:tcPr>
          <w:p w14:paraId="4E457A1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54.6 (12.4)</w:t>
            </w:r>
          </w:p>
        </w:tc>
        <w:tc>
          <w:tcPr>
            <w:tcW w:w="1250" w:type="dxa"/>
            <w:tcBorders>
              <w:top w:val="nil"/>
            </w:tcBorders>
          </w:tcPr>
          <w:p w14:paraId="5A690BDC"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0.02</w:t>
            </w:r>
          </w:p>
        </w:tc>
      </w:tr>
      <w:tr w:rsidR="008770EC" w:rsidRPr="004E79AD" w14:paraId="5F582D8C" w14:textId="77777777" w:rsidTr="00D338F5">
        <w:trPr>
          <w:jc w:val="center"/>
        </w:trPr>
        <w:tc>
          <w:tcPr>
            <w:tcW w:w="4029" w:type="dxa"/>
            <w:gridSpan w:val="4"/>
          </w:tcPr>
          <w:p w14:paraId="06ACD7AC"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Race</w:t>
            </w:r>
          </w:p>
        </w:tc>
        <w:tc>
          <w:tcPr>
            <w:tcW w:w="1809" w:type="dxa"/>
          </w:tcPr>
          <w:p w14:paraId="2FDA8693"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768" w:type="dxa"/>
          </w:tcPr>
          <w:p w14:paraId="6D698BDE"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250" w:type="dxa"/>
          </w:tcPr>
          <w:p w14:paraId="0527B505"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7C704D" w:rsidRPr="004E79AD" w14:paraId="4F9885AB" w14:textId="77777777" w:rsidTr="00D338F5">
        <w:trPr>
          <w:jc w:val="center"/>
        </w:trPr>
        <w:tc>
          <w:tcPr>
            <w:tcW w:w="1545" w:type="dxa"/>
            <w:vMerge w:val="restart"/>
          </w:tcPr>
          <w:p w14:paraId="54D83E8E"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06E4C09B"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White</w:t>
            </w:r>
          </w:p>
        </w:tc>
        <w:tc>
          <w:tcPr>
            <w:tcW w:w="1809" w:type="dxa"/>
          </w:tcPr>
          <w:p w14:paraId="10BDA6D2"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350 (94.1)</w:t>
            </w:r>
          </w:p>
        </w:tc>
        <w:tc>
          <w:tcPr>
            <w:tcW w:w="1768" w:type="dxa"/>
          </w:tcPr>
          <w:p w14:paraId="56B575B8"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1140 (79.2)</w:t>
            </w:r>
          </w:p>
        </w:tc>
        <w:tc>
          <w:tcPr>
            <w:tcW w:w="1250" w:type="dxa"/>
          </w:tcPr>
          <w:p w14:paraId="0A71ECDD"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7C704D" w:rsidRPr="004E79AD" w14:paraId="05E7B7E8" w14:textId="77777777" w:rsidTr="00D338F5">
        <w:trPr>
          <w:jc w:val="center"/>
        </w:trPr>
        <w:tc>
          <w:tcPr>
            <w:tcW w:w="1545" w:type="dxa"/>
            <w:vMerge/>
          </w:tcPr>
          <w:p w14:paraId="294CD17B"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030D25CB"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Black</w:t>
            </w:r>
          </w:p>
        </w:tc>
        <w:tc>
          <w:tcPr>
            <w:tcW w:w="1809" w:type="dxa"/>
          </w:tcPr>
          <w:p w14:paraId="2A6F8283"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16 (4.3)</w:t>
            </w:r>
          </w:p>
        </w:tc>
        <w:tc>
          <w:tcPr>
            <w:tcW w:w="1768" w:type="dxa"/>
          </w:tcPr>
          <w:p w14:paraId="12EEA40D"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83 (5.8)</w:t>
            </w:r>
          </w:p>
        </w:tc>
        <w:tc>
          <w:tcPr>
            <w:tcW w:w="1250" w:type="dxa"/>
          </w:tcPr>
          <w:p w14:paraId="681843A3"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7C704D" w:rsidRPr="004E79AD" w14:paraId="1419CCE7" w14:textId="77777777" w:rsidTr="00D338F5">
        <w:trPr>
          <w:jc w:val="center"/>
        </w:trPr>
        <w:tc>
          <w:tcPr>
            <w:tcW w:w="1545" w:type="dxa"/>
            <w:vMerge/>
          </w:tcPr>
          <w:p w14:paraId="25870424"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47B6B025"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Asian </w:t>
            </w:r>
          </w:p>
        </w:tc>
        <w:tc>
          <w:tcPr>
            <w:tcW w:w="1809" w:type="dxa"/>
          </w:tcPr>
          <w:p w14:paraId="469057D4"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 (0.5)</w:t>
            </w:r>
          </w:p>
        </w:tc>
        <w:tc>
          <w:tcPr>
            <w:tcW w:w="1768" w:type="dxa"/>
          </w:tcPr>
          <w:p w14:paraId="2A86386F"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79 (5.5)</w:t>
            </w:r>
          </w:p>
        </w:tc>
        <w:tc>
          <w:tcPr>
            <w:tcW w:w="1250" w:type="dxa"/>
          </w:tcPr>
          <w:p w14:paraId="7A2FBAAF"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7C704D" w:rsidRPr="004E79AD" w14:paraId="4083E0FF" w14:textId="77777777" w:rsidTr="00D338F5">
        <w:trPr>
          <w:jc w:val="center"/>
        </w:trPr>
        <w:tc>
          <w:tcPr>
            <w:tcW w:w="1545" w:type="dxa"/>
            <w:vMerge/>
          </w:tcPr>
          <w:p w14:paraId="3CD68107"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0C20AB7C"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Latino</w:t>
            </w:r>
          </w:p>
        </w:tc>
        <w:tc>
          <w:tcPr>
            <w:tcW w:w="1809" w:type="dxa"/>
          </w:tcPr>
          <w:p w14:paraId="5C5F6187"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 (0)</w:t>
            </w:r>
          </w:p>
        </w:tc>
        <w:tc>
          <w:tcPr>
            <w:tcW w:w="1768" w:type="dxa"/>
          </w:tcPr>
          <w:p w14:paraId="522D5BB2"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71 (4.9)</w:t>
            </w:r>
          </w:p>
        </w:tc>
        <w:tc>
          <w:tcPr>
            <w:tcW w:w="1250" w:type="dxa"/>
          </w:tcPr>
          <w:p w14:paraId="3123ABD5"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7C704D" w:rsidRPr="004E79AD" w14:paraId="26BD8B13" w14:textId="77777777" w:rsidTr="00D338F5">
        <w:trPr>
          <w:jc w:val="center"/>
        </w:trPr>
        <w:tc>
          <w:tcPr>
            <w:tcW w:w="1545" w:type="dxa"/>
            <w:vMerge/>
          </w:tcPr>
          <w:p w14:paraId="1E5B6F94"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34D44B8C"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Other</w:t>
            </w:r>
          </w:p>
        </w:tc>
        <w:tc>
          <w:tcPr>
            <w:tcW w:w="1809" w:type="dxa"/>
          </w:tcPr>
          <w:p w14:paraId="4F62F7F9"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 (1.1)</w:t>
            </w:r>
          </w:p>
        </w:tc>
        <w:tc>
          <w:tcPr>
            <w:tcW w:w="1768" w:type="dxa"/>
          </w:tcPr>
          <w:p w14:paraId="22CFFB8D"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50 (3.5)</w:t>
            </w:r>
          </w:p>
        </w:tc>
        <w:tc>
          <w:tcPr>
            <w:tcW w:w="1250" w:type="dxa"/>
          </w:tcPr>
          <w:p w14:paraId="1FF21FE0"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7C704D" w:rsidRPr="004E79AD" w14:paraId="6B74B340" w14:textId="77777777" w:rsidTr="00D338F5">
        <w:trPr>
          <w:jc w:val="center"/>
        </w:trPr>
        <w:tc>
          <w:tcPr>
            <w:tcW w:w="1545" w:type="dxa"/>
            <w:vMerge/>
          </w:tcPr>
          <w:p w14:paraId="508D224E"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5169F256"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Missing</w:t>
            </w:r>
          </w:p>
        </w:tc>
        <w:tc>
          <w:tcPr>
            <w:tcW w:w="1809" w:type="dxa"/>
          </w:tcPr>
          <w:p w14:paraId="6882AB93"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 (0)</w:t>
            </w:r>
          </w:p>
        </w:tc>
        <w:tc>
          <w:tcPr>
            <w:tcW w:w="1768" w:type="dxa"/>
          </w:tcPr>
          <w:p w14:paraId="77FD1A8A"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17 (1.2)</w:t>
            </w:r>
          </w:p>
        </w:tc>
        <w:tc>
          <w:tcPr>
            <w:tcW w:w="1250" w:type="dxa"/>
          </w:tcPr>
          <w:p w14:paraId="43F00ECD" w14:textId="77777777" w:rsidR="007C704D" w:rsidRPr="004E79AD" w:rsidRDefault="007C704D" w:rsidP="004E79AD">
            <w:pPr>
              <w:snapToGrid w:val="0"/>
              <w:spacing w:line="360" w:lineRule="auto"/>
              <w:jc w:val="both"/>
              <w:rPr>
                <w:rFonts w:ascii="Book Antiqua" w:hAnsi="Book Antiqua" w:cs="Times New Roman"/>
                <w:sz w:val="24"/>
                <w:szCs w:val="24"/>
              </w:rPr>
            </w:pPr>
          </w:p>
        </w:tc>
      </w:tr>
      <w:tr w:rsidR="008770EC" w:rsidRPr="004E79AD" w14:paraId="72EF194C" w14:textId="77777777" w:rsidTr="00D338F5">
        <w:trPr>
          <w:jc w:val="center"/>
        </w:trPr>
        <w:tc>
          <w:tcPr>
            <w:tcW w:w="4029" w:type="dxa"/>
            <w:gridSpan w:val="4"/>
          </w:tcPr>
          <w:p w14:paraId="770D83DA"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Mean BMI (SD)</w:t>
            </w:r>
          </w:p>
        </w:tc>
        <w:tc>
          <w:tcPr>
            <w:tcW w:w="1809" w:type="dxa"/>
          </w:tcPr>
          <w:p w14:paraId="5C8827B9"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28.4 (6.6)</w:t>
            </w:r>
          </w:p>
        </w:tc>
        <w:tc>
          <w:tcPr>
            <w:tcW w:w="1768" w:type="dxa"/>
          </w:tcPr>
          <w:p w14:paraId="6E68C2D7"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27.9 (6.6)</w:t>
            </w:r>
          </w:p>
        </w:tc>
        <w:tc>
          <w:tcPr>
            <w:tcW w:w="1250" w:type="dxa"/>
          </w:tcPr>
          <w:p w14:paraId="44079BC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0.22</w:t>
            </w:r>
          </w:p>
        </w:tc>
      </w:tr>
      <w:tr w:rsidR="008770EC" w:rsidRPr="004E79AD" w14:paraId="7118B377" w14:textId="77777777" w:rsidTr="00D338F5">
        <w:trPr>
          <w:jc w:val="center"/>
        </w:trPr>
        <w:tc>
          <w:tcPr>
            <w:tcW w:w="4029" w:type="dxa"/>
            <w:gridSpan w:val="4"/>
          </w:tcPr>
          <w:p w14:paraId="59AA5ECF"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Previous CRS</w:t>
            </w:r>
          </w:p>
        </w:tc>
        <w:tc>
          <w:tcPr>
            <w:tcW w:w="1809" w:type="dxa"/>
          </w:tcPr>
          <w:p w14:paraId="7804221B"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768" w:type="dxa"/>
          </w:tcPr>
          <w:p w14:paraId="519D7020"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250" w:type="dxa"/>
          </w:tcPr>
          <w:p w14:paraId="1FE3614E"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7C704D" w:rsidRPr="004E79AD" w14:paraId="43C37A63" w14:textId="77777777" w:rsidTr="00D338F5">
        <w:trPr>
          <w:jc w:val="center"/>
        </w:trPr>
        <w:tc>
          <w:tcPr>
            <w:tcW w:w="1545" w:type="dxa"/>
            <w:vMerge w:val="restart"/>
          </w:tcPr>
          <w:p w14:paraId="5BA9DD08"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1E915F0A"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w:t>
            </w:r>
          </w:p>
        </w:tc>
        <w:tc>
          <w:tcPr>
            <w:tcW w:w="1809" w:type="dxa"/>
          </w:tcPr>
          <w:p w14:paraId="49F7C206"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328 (88.1)</w:t>
            </w:r>
          </w:p>
        </w:tc>
        <w:tc>
          <w:tcPr>
            <w:tcW w:w="1768" w:type="dxa"/>
          </w:tcPr>
          <w:p w14:paraId="40DB2D48"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1088 (75.6)</w:t>
            </w:r>
          </w:p>
        </w:tc>
        <w:tc>
          <w:tcPr>
            <w:tcW w:w="1250" w:type="dxa"/>
          </w:tcPr>
          <w:p w14:paraId="3364F97A"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7C704D" w:rsidRPr="004E79AD" w14:paraId="49EADFF0" w14:textId="77777777" w:rsidTr="00D338F5">
        <w:trPr>
          <w:jc w:val="center"/>
        </w:trPr>
        <w:tc>
          <w:tcPr>
            <w:tcW w:w="1545" w:type="dxa"/>
            <w:vMerge/>
          </w:tcPr>
          <w:p w14:paraId="3D3B033A"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1BF7AB0E"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w:t>
            </w:r>
          </w:p>
        </w:tc>
        <w:tc>
          <w:tcPr>
            <w:tcW w:w="1809" w:type="dxa"/>
          </w:tcPr>
          <w:p w14:paraId="0769E98B"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38 (10.2)</w:t>
            </w:r>
          </w:p>
        </w:tc>
        <w:tc>
          <w:tcPr>
            <w:tcW w:w="1768" w:type="dxa"/>
          </w:tcPr>
          <w:p w14:paraId="0531287B"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298 (20.7)</w:t>
            </w:r>
          </w:p>
        </w:tc>
        <w:tc>
          <w:tcPr>
            <w:tcW w:w="1250" w:type="dxa"/>
          </w:tcPr>
          <w:p w14:paraId="49EAA5E3"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7C704D" w:rsidRPr="004E79AD" w14:paraId="43B54927" w14:textId="77777777" w:rsidTr="00D338F5">
        <w:trPr>
          <w:jc w:val="center"/>
        </w:trPr>
        <w:tc>
          <w:tcPr>
            <w:tcW w:w="1545" w:type="dxa"/>
            <w:vMerge/>
          </w:tcPr>
          <w:p w14:paraId="529DD84C"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0C7FBAD9"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w:t>
            </w:r>
          </w:p>
        </w:tc>
        <w:tc>
          <w:tcPr>
            <w:tcW w:w="1809" w:type="dxa"/>
          </w:tcPr>
          <w:p w14:paraId="1B2FC524"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 (1.3)</w:t>
            </w:r>
          </w:p>
        </w:tc>
        <w:tc>
          <w:tcPr>
            <w:tcW w:w="1768" w:type="dxa"/>
          </w:tcPr>
          <w:p w14:paraId="12AAB34C"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51 (3.5)</w:t>
            </w:r>
          </w:p>
        </w:tc>
        <w:tc>
          <w:tcPr>
            <w:tcW w:w="1250" w:type="dxa"/>
          </w:tcPr>
          <w:p w14:paraId="39AD2D72"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7C704D" w:rsidRPr="004E79AD" w14:paraId="2DF9E873" w14:textId="77777777" w:rsidTr="00D338F5">
        <w:trPr>
          <w:jc w:val="center"/>
        </w:trPr>
        <w:tc>
          <w:tcPr>
            <w:tcW w:w="1545" w:type="dxa"/>
            <w:vMerge/>
          </w:tcPr>
          <w:p w14:paraId="1CC435BC"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2E4E3B99"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Missing</w:t>
            </w:r>
          </w:p>
        </w:tc>
        <w:tc>
          <w:tcPr>
            <w:tcW w:w="1809" w:type="dxa"/>
          </w:tcPr>
          <w:p w14:paraId="0A512F4E"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 (0.3)</w:t>
            </w:r>
          </w:p>
        </w:tc>
        <w:tc>
          <w:tcPr>
            <w:tcW w:w="1768" w:type="dxa"/>
          </w:tcPr>
          <w:p w14:paraId="67908B31"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 (0.2)</w:t>
            </w:r>
          </w:p>
        </w:tc>
        <w:tc>
          <w:tcPr>
            <w:tcW w:w="1250" w:type="dxa"/>
          </w:tcPr>
          <w:p w14:paraId="2F38B80F"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8770EC" w:rsidRPr="004E79AD" w14:paraId="661BD78D" w14:textId="77777777" w:rsidTr="00D338F5">
        <w:trPr>
          <w:jc w:val="center"/>
        </w:trPr>
        <w:tc>
          <w:tcPr>
            <w:tcW w:w="4029" w:type="dxa"/>
            <w:gridSpan w:val="4"/>
          </w:tcPr>
          <w:p w14:paraId="675744D0"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Mean preoperative albumin (SD)</w:t>
            </w:r>
          </w:p>
        </w:tc>
        <w:tc>
          <w:tcPr>
            <w:tcW w:w="1809" w:type="dxa"/>
          </w:tcPr>
          <w:p w14:paraId="19F7D2E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4.0 (0.5)</w:t>
            </w:r>
          </w:p>
        </w:tc>
        <w:tc>
          <w:tcPr>
            <w:tcW w:w="1768" w:type="dxa"/>
          </w:tcPr>
          <w:p w14:paraId="5361CA1E"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4.1 (0.5)</w:t>
            </w:r>
          </w:p>
        </w:tc>
        <w:tc>
          <w:tcPr>
            <w:tcW w:w="1250" w:type="dxa"/>
          </w:tcPr>
          <w:p w14:paraId="6993CC9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0.17</w:t>
            </w:r>
          </w:p>
        </w:tc>
      </w:tr>
      <w:tr w:rsidR="008770EC" w:rsidRPr="004E79AD" w14:paraId="10757977" w14:textId="77777777" w:rsidTr="00D338F5">
        <w:trPr>
          <w:jc w:val="center"/>
        </w:trPr>
        <w:tc>
          <w:tcPr>
            <w:tcW w:w="4029" w:type="dxa"/>
            <w:gridSpan w:val="4"/>
          </w:tcPr>
          <w:p w14:paraId="5529263F"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Histology</w:t>
            </w:r>
          </w:p>
        </w:tc>
        <w:tc>
          <w:tcPr>
            <w:tcW w:w="1809" w:type="dxa"/>
          </w:tcPr>
          <w:p w14:paraId="26AD198D"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768" w:type="dxa"/>
          </w:tcPr>
          <w:p w14:paraId="59BA07D1"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250" w:type="dxa"/>
          </w:tcPr>
          <w:p w14:paraId="50CAD5B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7C704D" w:rsidRPr="004E79AD" w14:paraId="67448098" w14:textId="77777777" w:rsidTr="00D338F5">
        <w:trPr>
          <w:jc w:val="center"/>
        </w:trPr>
        <w:tc>
          <w:tcPr>
            <w:tcW w:w="1620" w:type="dxa"/>
            <w:gridSpan w:val="2"/>
            <w:vMerge w:val="restart"/>
          </w:tcPr>
          <w:p w14:paraId="05C1959D"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09" w:type="dxa"/>
            <w:gridSpan w:val="2"/>
          </w:tcPr>
          <w:p w14:paraId="6E95512B"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Appendiceal</w:t>
            </w:r>
          </w:p>
        </w:tc>
        <w:tc>
          <w:tcPr>
            <w:tcW w:w="1809" w:type="dxa"/>
          </w:tcPr>
          <w:p w14:paraId="7157D41B"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311 (83.6)</w:t>
            </w:r>
          </w:p>
        </w:tc>
        <w:tc>
          <w:tcPr>
            <w:tcW w:w="1768" w:type="dxa"/>
          </w:tcPr>
          <w:p w14:paraId="517108D1"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870 (60.4)</w:t>
            </w:r>
          </w:p>
        </w:tc>
        <w:tc>
          <w:tcPr>
            <w:tcW w:w="1250" w:type="dxa"/>
          </w:tcPr>
          <w:p w14:paraId="786C2140" w14:textId="77777777" w:rsidR="007C704D" w:rsidRPr="004E79AD" w:rsidRDefault="007C704D" w:rsidP="004E79AD">
            <w:pPr>
              <w:snapToGrid w:val="0"/>
              <w:spacing w:line="360" w:lineRule="auto"/>
              <w:jc w:val="both"/>
              <w:rPr>
                <w:rFonts w:ascii="Book Antiqua" w:hAnsi="Book Antiqua" w:cs="Times New Roman"/>
                <w:sz w:val="24"/>
                <w:szCs w:val="24"/>
              </w:rPr>
            </w:pPr>
          </w:p>
        </w:tc>
      </w:tr>
      <w:tr w:rsidR="007C704D" w:rsidRPr="004E79AD" w14:paraId="10334889" w14:textId="77777777" w:rsidTr="00D338F5">
        <w:trPr>
          <w:jc w:val="center"/>
        </w:trPr>
        <w:tc>
          <w:tcPr>
            <w:tcW w:w="1620" w:type="dxa"/>
            <w:gridSpan w:val="2"/>
            <w:vMerge/>
          </w:tcPr>
          <w:p w14:paraId="4A063A15"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09" w:type="dxa"/>
            <w:gridSpan w:val="2"/>
          </w:tcPr>
          <w:p w14:paraId="6BEF22ED"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Colorectal</w:t>
            </w:r>
          </w:p>
        </w:tc>
        <w:tc>
          <w:tcPr>
            <w:tcW w:w="1809" w:type="dxa"/>
          </w:tcPr>
          <w:p w14:paraId="501BBC22"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42 (11.3)</w:t>
            </w:r>
          </w:p>
        </w:tc>
        <w:tc>
          <w:tcPr>
            <w:tcW w:w="1768" w:type="dxa"/>
          </w:tcPr>
          <w:p w14:paraId="530D3CB1"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376 (26.1)</w:t>
            </w:r>
          </w:p>
        </w:tc>
        <w:tc>
          <w:tcPr>
            <w:tcW w:w="1250" w:type="dxa"/>
          </w:tcPr>
          <w:p w14:paraId="3DDE320F" w14:textId="77777777" w:rsidR="007C704D" w:rsidRPr="004E79AD" w:rsidRDefault="007C704D" w:rsidP="004E79AD">
            <w:pPr>
              <w:snapToGrid w:val="0"/>
              <w:spacing w:line="360" w:lineRule="auto"/>
              <w:jc w:val="both"/>
              <w:rPr>
                <w:rFonts w:ascii="Book Antiqua" w:hAnsi="Book Antiqua" w:cs="Times New Roman"/>
                <w:sz w:val="24"/>
                <w:szCs w:val="24"/>
              </w:rPr>
            </w:pPr>
          </w:p>
        </w:tc>
      </w:tr>
      <w:tr w:rsidR="007C704D" w:rsidRPr="004E79AD" w14:paraId="7C9F4548" w14:textId="77777777" w:rsidTr="00D338F5">
        <w:trPr>
          <w:jc w:val="center"/>
        </w:trPr>
        <w:tc>
          <w:tcPr>
            <w:tcW w:w="1620" w:type="dxa"/>
            <w:gridSpan w:val="2"/>
            <w:vMerge/>
          </w:tcPr>
          <w:p w14:paraId="1A727681"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09" w:type="dxa"/>
            <w:gridSpan w:val="2"/>
          </w:tcPr>
          <w:p w14:paraId="3438F853"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Mesothelioma</w:t>
            </w:r>
          </w:p>
        </w:tc>
        <w:tc>
          <w:tcPr>
            <w:tcW w:w="1809" w:type="dxa"/>
          </w:tcPr>
          <w:p w14:paraId="089B4A3E"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9 (2.4)</w:t>
            </w:r>
          </w:p>
        </w:tc>
        <w:tc>
          <w:tcPr>
            <w:tcW w:w="1768" w:type="dxa"/>
          </w:tcPr>
          <w:p w14:paraId="487BE7F1"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142 (9.9)</w:t>
            </w:r>
          </w:p>
        </w:tc>
        <w:tc>
          <w:tcPr>
            <w:tcW w:w="1250" w:type="dxa"/>
          </w:tcPr>
          <w:p w14:paraId="547DE3F6" w14:textId="77777777" w:rsidR="007C704D" w:rsidRPr="004E79AD" w:rsidRDefault="007C704D" w:rsidP="004E79AD">
            <w:pPr>
              <w:snapToGrid w:val="0"/>
              <w:spacing w:line="360" w:lineRule="auto"/>
              <w:jc w:val="both"/>
              <w:rPr>
                <w:rFonts w:ascii="Book Antiqua" w:hAnsi="Book Antiqua" w:cs="Times New Roman"/>
                <w:sz w:val="24"/>
                <w:szCs w:val="24"/>
              </w:rPr>
            </w:pPr>
          </w:p>
        </w:tc>
      </w:tr>
      <w:tr w:rsidR="007C704D" w:rsidRPr="004E79AD" w14:paraId="7F69CAFE" w14:textId="77777777" w:rsidTr="00D338F5">
        <w:trPr>
          <w:jc w:val="center"/>
        </w:trPr>
        <w:tc>
          <w:tcPr>
            <w:tcW w:w="1620" w:type="dxa"/>
            <w:gridSpan w:val="2"/>
            <w:vMerge/>
          </w:tcPr>
          <w:p w14:paraId="0531D119"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09" w:type="dxa"/>
            <w:gridSpan w:val="2"/>
          </w:tcPr>
          <w:p w14:paraId="632F5BCF"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Other</w:t>
            </w:r>
          </w:p>
        </w:tc>
        <w:tc>
          <w:tcPr>
            <w:tcW w:w="1809" w:type="dxa"/>
          </w:tcPr>
          <w:p w14:paraId="2AE20917"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 (2.7)</w:t>
            </w:r>
          </w:p>
        </w:tc>
        <w:tc>
          <w:tcPr>
            <w:tcW w:w="1768" w:type="dxa"/>
          </w:tcPr>
          <w:p w14:paraId="3C83789E"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52 (3.6)</w:t>
            </w:r>
          </w:p>
        </w:tc>
        <w:tc>
          <w:tcPr>
            <w:tcW w:w="1250" w:type="dxa"/>
          </w:tcPr>
          <w:p w14:paraId="1AB72742" w14:textId="77777777" w:rsidR="007C704D" w:rsidRPr="004E79AD" w:rsidRDefault="007C704D" w:rsidP="004E79AD">
            <w:pPr>
              <w:snapToGrid w:val="0"/>
              <w:spacing w:line="360" w:lineRule="auto"/>
              <w:jc w:val="both"/>
              <w:rPr>
                <w:rFonts w:ascii="Book Antiqua" w:hAnsi="Book Antiqua" w:cs="Times New Roman"/>
                <w:sz w:val="24"/>
                <w:szCs w:val="24"/>
              </w:rPr>
            </w:pPr>
          </w:p>
        </w:tc>
      </w:tr>
      <w:tr w:rsidR="008770EC" w:rsidRPr="004E79AD" w14:paraId="5973F5BA" w14:textId="77777777" w:rsidTr="00D338F5">
        <w:trPr>
          <w:jc w:val="center"/>
        </w:trPr>
        <w:tc>
          <w:tcPr>
            <w:tcW w:w="4029" w:type="dxa"/>
            <w:gridSpan w:val="4"/>
          </w:tcPr>
          <w:p w14:paraId="189D5F12" w14:textId="5882D7F2"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Tumor </w:t>
            </w:r>
            <w:r w:rsidR="008770EC" w:rsidRPr="004E79AD">
              <w:rPr>
                <w:rFonts w:ascii="Book Antiqua" w:hAnsi="Book Antiqua" w:cs="Times New Roman"/>
                <w:sz w:val="24"/>
                <w:szCs w:val="24"/>
              </w:rPr>
              <w:t xml:space="preserve">differentiation </w:t>
            </w:r>
            <w:r w:rsidRPr="004E79AD">
              <w:rPr>
                <w:rFonts w:ascii="Book Antiqua" w:hAnsi="Book Antiqua" w:cs="Times New Roman"/>
                <w:sz w:val="24"/>
                <w:szCs w:val="24"/>
              </w:rPr>
              <w:t>(</w:t>
            </w:r>
            <w:proofErr w:type="spellStart"/>
            <w:r w:rsidRPr="004E79AD">
              <w:rPr>
                <w:rFonts w:ascii="Book Antiqua" w:hAnsi="Book Antiqua" w:cs="Times New Roman"/>
                <w:sz w:val="24"/>
                <w:szCs w:val="24"/>
              </w:rPr>
              <w:t>appendiceal</w:t>
            </w:r>
            <w:proofErr w:type="spellEnd"/>
            <w:r w:rsidRPr="004E79AD">
              <w:rPr>
                <w:rFonts w:ascii="Book Antiqua" w:hAnsi="Book Antiqua" w:cs="Times New Roman"/>
                <w:sz w:val="24"/>
                <w:szCs w:val="24"/>
              </w:rPr>
              <w:t xml:space="preserve"> and colorectal)</w:t>
            </w:r>
          </w:p>
        </w:tc>
        <w:tc>
          <w:tcPr>
            <w:tcW w:w="1809" w:type="dxa"/>
          </w:tcPr>
          <w:p w14:paraId="6855057C"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768" w:type="dxa"/>
          </w:tcPr>
          <w:p w14:paraId="20C05EFC"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250" w:type="dxa"/>
          </w:tcPr>
          <w:p w14:paraId="0F08A378"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7C704D" w:rsidRPr="004E79AD" w14:paraId="6E5E0048" w14:textId="77777777" w:rsidTr="00D338F5">
        <w:trPr>
          <w:jc w:val="center"/>
        </w:trPr>
        <w:tc>
          <w:tcPr>
            <w:tcW w:w="1545" w:type="dxa"/>
            <w:vMerge w:val="restart"/>
          </w:tcPr>
          <w:p w14:paraId="50A6D72E"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2B99EE28"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Well </w:t>
            </w:r>
          </w:p>
        </w:tc>
        <w:tc>
          <w:tcPr>
            <w:tcW w:w="1809" w:type="dxa"/>
          </w:tcPr>
          <w:p w14:paraId="4B524454"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214 (60.6)</w:t>
            </w:r>
          </w:p>
        </w:tc>
        <w:tc>
          <w:tcPr>
            <w:tcW w:w="1768" w:type="dxa"/>
          </w:tcPr>
          <w:p w14:paraId="2E143584"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647 (51.9)</w:t>
            </w:r>
          </w:p>
        </w:tc>
        <w:tc>
          <w:tcPr>
            <w:tcW w:w="1250" w:type="dxa"/>
          </w:tcPr>
          <w:p w14:paraId="5855CB1D"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7C704D" w:rsidRPr="004E79AD" w14:paraId="61BFD0BA" w14:textId="77777777" w:rsidTr="00D338F5">
        <w:trPr>
          <w:jc w:val="center"/>
        </w:trPr>
        <w:tc>
          <w:tcPr>
            <w:tcW w:w="1545" w:type="dxa"/>
            <w:vMerge/>
          </w:tcPr>
          <w:p w14:paraId="273DC7D0"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08274192" w14:textId="7C649DBF"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Moderate or poor</w:t>
            </w:r>
          </w:p>
        </w:tc>
        <w:tc>
          <w:tcPr>
            <w:tcW w:w="1809" w:type="dxa"/>
          </w:tcPr>
          <w:p w14:paraId="650B2AB2"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105 (29.8)</w:t>
            </w:r>
          </w:p>
        </w:tc>
        <w:tc>
          <w:tcPr>
            <w:tcW w:w="1768" w:type="dxa"/>
          </w:tcPr>
          <w:p w14:paraId="7871D264"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511 (41.0)</w:t>
            </w:r>
          </w:p>
        </w:tc>
        <w:tc>
          <w:tcPr>
            <w:tcW w:w="1250" w:type="dxa"/>
          </w:tcPr>
          <w:p w14:paraId="41A13D77"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7C704D" w:rsidRPr="004E79AD" w14:paraId="128632DF" w14:textId="77777777" w:rsidTr="00D338F5">
        <w:trPr>
          <w:jc w:val="center"/>
        </w:trPr>
        <w:tc>
          <w:tcPr>
            <w:tcW w:w="1545" w:type="dxa"/>
            <w:vMerge/>
          </w:tcPr>
          <w:p w14:paraId="16B748E3"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1073F3BA"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Missing</w:t>
            </w:r>
          </w:p>
        </w:tc>
        <w:tc>
          <w:tcPr>
            <w:tcW w:w="1809" w:type="dxa"/>
          </w:tcPr>
          <w:p w14:paraId="4B59D015"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34 (9.6)</w:t>
            </w:r>
          </w:p>
        </w:tc>
        <w:tc>
          <w:tcPr>
            <w:tcW w:w="1768" w:type="dxa"/>
          </w:tcPr>
          <w:p w14:paraId="4F90813B"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88 (7.1)</w:t>
            </w:r>
          </w:p>
        </w:tc>
        <w:tc>
          <w:tcPr>
            <w:tcW w:w="1250" w:type="dxa"/>
          </w:tcPr>
          <w:p w14:paraId="75BA98D6"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8770EC" w:rsidRPr="004E79AD" w14:paraId="42107A3B" w14:textId="77777777" w:rsidTr="00D338F5">
        <w:trPr>
          <w:jc w:val="center"/>
        </w:trPr>
        <w:tc>
          <w:tcPr>
            <w:tcW w:w="4029" w:type="dxa"/>
            <w:gridSpan w:val="4"/>
          </w:tcPr>
          <w:p w14:paraId="415A427E" w14:textId="6B2066BE"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ASA </w:t>
            </w:r>
            <w:r w:rsidR="008770EC" w:rsidRPr="004E79AD">
              <w:rPr>
                <w:rFonts w:ascii="Book Antiqua" w:hAnsi="Book Antiqua" w:cs="Times New Roman"/>
                <w:sz w:val="24"/>
                <w:szCs w:val="24"/>
              </w:rPr>
              <w:t>grade</w:t>
            </w:r>
          </w:p>
        </w:tc>
        <w:tc>
          <w:tcPr>
            <w:tcW w:w="1809" w:type="dxa"/>
          </w:tcPr>
          <w:p w14:paraId="3EB5BF6E"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768" w:type="dxa"/>
          </w:tcPr>
          <w:p w14:paraId="5D7DA8C4"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250" w:type="dxa"/>
          </w:tcPr>
          <w:p w14:paraId="38C03DD2"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7C704D" w:rsidRPr="004E79AD" w14:paraId="02A5DC9E" w14:textId="77777777" w:rsidTr="00D338F5">
        <w:trPr>
          <w:jc w:val="center"/>
        </w:trPr>
        <w:tc>
          <w:tcPr>
            <w:tcW w:w="1545" w:type="dxa"/>
            <w:vMerge w:val="restart"/>
          </w:tcPr>
          <w:p w14:paraId="0D2DF437"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36FEA019"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 / 2</w:t>
            </w:r>
          </w:p>
        </w:tc>
        <w:tc>
          <w:tcPr>
            <w:tcW w:w="1809" w:type="dxa"/>
          </w:tcPr>
          <w:p w14:paraId="6150A8CF"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26 (7.0)</w:t>
            </w:r>
          </w:p>
        </w:tc>
        <w:tc>
          <w:tcPr>
            <w:tcW w:w="1768" w:type="dxa"/>
          </w:tcPr>
          <w:p w14:paraId="6E690335"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249 (17.3)</w:t>
            </w:r>
          </w:p>
        </w:tc>
        <w:tc>
          <w:tcPr>
            <w:tcW w:w="1250" w:type="dxa"/>
          </w:tcPr>
          <w:p w14:paraId="4DAD0BAD" w14:textId="77777777" w:rsidR="007C704D" w:rsidRPr="004E79AD" w:rsidRDefault="007C704D" w:rsidP="004E79AD">
            <w:pPr>
              <w:snapToGrid w:val="0"/>
              <w:spacing w:line="360" w:lineRule="auto"/>
              <w:jc w:val="both"/>
              <w:rPr>
                <w:rFonts w:ascii="Book Antiqua" w:hAnsi="Book Antiqua" w:cs="Times New Roman"/>
                <w:sz w:val="24"/>
                <w:szCs w:val="24"/>
              </w:rPr>
            </w:pPr>
          </w:p>
        </w:tc>
      </w:tr>
      <w:tr w:rsidR="007C704D" w:rsidRPr="004E79AD" w14:paraId="26643406" w14:textId="77777777" w:rsidTr="00D338F5">
        <w:trPr>
          <w:jc w:val="center"/>
        </w:trPr>
        <w:tc>
          <w:tcPr>
            <w:tcW w:w="1545" w:type="dxa"/>
            <w:vMerge/>
          </w:tcPr>
          <w:p w14:paraId="300D5B09"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0B6A469C"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 / 4</w:t>
            </w:r>
          </w:p>
        </w:tc>
        <w:tc>
          <w:tcPr>
            <w:tcW w:w="1809" w:type="dxa"/>
          </w:tcPr>
          <w:p w14:paraId="07238D17"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346 (93.0)</w:t>
            </w:r>
          </w:p>
        </w:tc>
        <w:tc>
          <w:tcPr>
            <w:tcW w:w="1768" w:type="dxa"/>
          </w:tcPr>
          <w:p w14:paraId="79E86A97"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1024 (71.1)</w:t>
            </w:r>
          </w:p>
        </w:tc>
        <w:tc>
          <w:tcPr>
            <w:tcW w:w="1250" w:type="dxa"/>
          </w:tcPr>
          <w:p w14:paraId="644E2EBF" w14:textId="77777777" w:rsidR="007C704D" w:rsidRPr="004E79AD" w:rsidRDefault="007C704D" w:rsidP="004E79AD">
            <w:pPr>
              <w:snapToGrid w:val="0"/>
              <w:spacing w:line="360" w:lineRule="auto"/>
              <w:jc w:val="both"/>
              <w:rPr>
                <w:rFonts w:ascii="Book Antiqua" w:hAnsi="Book Antiqua" w:cs="Times New Roman"/>
                <w:sz w:val="24"/>
                <w:szCs w:val="24"/>
              </w:rPr>
            </w:pPr>
          </w:p>
        </w:tc>
      </w:tr>
      <w:tr w:rsidR="007C704D" w:rsidRPr="004E79AD" w14:paraId="5B991EFF" w14:textId="77777777" w:rsidTr="00D338F5">
        <w:trPr>
          <w:jc w:val="center"/>
        </w:trPr>
        <w:tc>
          <w:tcPr>
            <w:tcW w:w="1545" w:type="dxa"/>
            <w:vMerge/>
          </w:tcPr>
          <w:p w14:paraId="6D2C8D76"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613BEC6A"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Missing</w:t>
            </w:r>
          </w:p>
        </w:tc>
        <w:tc>
          <w:tcPr>
            <w:tcW w:w="1809" w:type="dxa"/>
          </w:tcPr>
          <w:p w14:paraId="52E984C9"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 (0)</w:t>
            </w:r>
          </w:p>
        </w:tc>
        <w:tc>
          <w:tcPr>
            <w:tcW w:w="1768" w:type="dxa"/>
          </w:tcPr>
          <w:p w14:paraId="6397EA89"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167 (11.6)</w:t>
            </w:r>
          </w:p>
        </w:tc>
        <w:tc>
          <w:tcPr>
            <w:tcW w:w="1250" w:type="dxa"/>
          </w:tcPr>
          <w:p w14:paraId="560D699A" w14:textId="77777777" w:rsidR="007C704D" w:rsidRPr="004E79AD" w:rsidRDefault="007C704D" w:rsidP="004E79AD">
            <w:pPr>
              <w:snapToGrid w:val="0"/>
              <w:spacing w:line="360" w:lineRule="auto"/>
              <w:jc w:val="both"/>
              <w:rPr>
                <w:rFonts w:ascii="Book Antiqua" w:hAnsi="Book Antiqua" w:cs="Times New Roman"/>
                <w:sz w:val="24"/>
                <w:szCs w:val="24"/>
              </w:rPr>
            </w:pPr>
          </w:p>
        </w:tc>
      </w:tr>
      <w:tr w:rsidR="008770EC" w:rsidRPr="004E79AD" w14:paraId="7A9B6EB4" w14:textId="77777777" w:rsidTr="00D338F5">
        <w:trPr>
          <w:jc w:val="center"/>
        </w:trPr>
        <w:tc>
          <w:tcPr>
            <w:tcW w:w="4029" w:type="dxa"/>
            <w:gridSpan w:val="4"/>
          </w:tcPr>
          <w:p w14:paraId="1C47059D"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Mean PCI (SD)</w:t>
            </w:r>
          </w:p>
        </w:tc>
        <w:tc>
          <w:tcPr>
            <w:tcW w:w="1809" w:type="dxa"/>
          </w:tcPr>
          <w:p w14:paraId="6BAF1DDE"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10.8 (14.7)</w:t>
            </w:r>
          </w:p>
        </w:tc>
        <w:tc>
          <w:tcPr>
            <w:tcW w:w="1768" w:type="dxa"/>
          </w:tcPr>
          <w:p w14:paraId="3819B294"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14.7 (8.7)</w:t>
            </w:r>
          </w:p>
        </w:tc>
        <w:tc>
          <w:tcPr>
            <w:tcW w:w="1250" w:type="dxa"/>
          </w:tcPr>
          <w:p w14:paraId="4CE4A504"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05AB86A4" w14:textId="77777777" w:rsidTr="00D338F5">
        <w:trPr>
          <w:jc w:val="center"/>
        </w:trPr>
        <w:tc>
          <w:tcPr>
            <w:tcW w:w="4029" w:type="dxa"/>
            <w:gridSpan w:val="4"/>
          </w:tcPr>
          <w:p w14:paraId="37F2F0F1" w14:textId="17167FDD"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Neoadjuvant </w:t>
            </w:r>
            <w:r w:rsidR="008770EC" w:rsidRPr="004E79AD">
              <w:rPr>
                <w:rFonts w:ascii="Book Antiqua" w:hAnsi="Book Antiqua" w:cs="Times New Roman"/>
                <w:sz w:val="24"/>
                <w:szCs w:val="24"/>
              </w:rPr>
              <w:t>chemotherapy</w:t>
            </w:r>
          </w:p>
        </w:tc>
        <w:tc>
          <w:tcPr>
            <w:tcW w:w="1809" w:type="dxa"/>
          </w:tcPr>
          <w:p w14:paraId="7E1229A2"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768" w:type="dxa"/>
          </w:tcPr>
          <w:p w14:paraId="19D4351F"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250" w:type="dxa"/>
          </w:tcPr>
          <w:p w14:paraId="7D06B71B"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0.47</w:t>
            </w:r>
          </w:p>
        </w:tc>
      </w:tr>
      <w:tr w:rsidR="007C704D" w:rsidRPr="004E79AD" w14:paraId="386CE6C4" w14:textId="77777777" w:rsidTr="00D338F5">
        <w:trPr>
          <w:jc w:val="center"/>
        </w:trPr>
        <w:tc>
          <w:tcPr>
            <w:tcW w:w="1993" w:type="dxa"/>
            <w:gridSpan w:val="3"/>
            <w:vMerge w:val="restart"/>
          </w:tcPr>
          <w:p w14:paraId="2058F069"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036" w:type="dxa"/>
          </w:tcPr>
          <w:p w14:paraId="0F0BB3C7"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Yes</w:t>
            </w:r>
          </w:p>
        </w:tc>
        <w:tc>
          <w:tcPr>
            <w:tcW w:w="1809" w:type="dxa"/>
          </w:tcPr>
          <w:p w14:paraId="4EFCA5A5"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129 (34.7)</w:t>
            </w:r>
          </w:p>
        </w:tc>
        <w:tc>
          <w:tcPr>
            <w:tcW w:w="1768" w:type="dxa"/>
          </w:tcPr>
          <w:p w14:paraId="4D6B884D"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508 (35.3)</w:t>
            </w:r>
          </w:p>
        </w:tc>
        <w:tc>
          <w:tcPr>
            <w:tcW w:w="1250" w:type="dxa"/>
          </w:tcPr>
          <w:p w14:paraId="3158D840"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7C704D" w:rsidRPr="004E79AD" w14:paraId="314836B4" w14:textId="77777777" w:rsidTr="00D338F5">
        <w:trPr>
          <w:jc w:val="center"/>
        </w:trPr>
        <w:tc>
          <w:tcPr>
            <w:tcW w:w="1993" w:type="dxa"/>
            <w:gridSpan w:val="3"/>
            <w:vMerge/>
          </w:tcPr>
          <w:p w14:paraId="44DDCD09"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036" w:type="dxa"/>
          </w:tcPr>
          <w:p w14:paraId="0C0FB853"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No</w:t>
            </w:r>
          </w:p>
        </w:tc>
        <w:tc>
          <w:tcPr>
            <w:tcW w:w="1809" w:type="dxa"/>
          </w:tcPr>
          <w:p w14:paraId="521F0AC3"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239 (64.3)</w:t>
            </w:r>
          </w:p>
        </w:tc>
        <w:tc>
          <w:tcPr>
            <w:tcW w:w="1768" w:type="dxa"/>
          </w:tcPr>
          <w:p w14:paraId="0BECC70A"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925 (64.2)</w:t>
            </w:r>
          </w:p>
        </w:tc>
        <w:tc>
          <w:tcPr>
            <w:tcW w:w="1250" w:type="dxa"/>
          </w:tcPr>
          <w:p w14:paraId="159C8933"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7C704D" w:rsidRPr="004E79AD" w14:paraId="59C13953" w14:textId="77777777" w:rsidTr="00D338F5">
        <w:trPr>
          <w:jc w:val="center"/>
        </w:trPr>
        <w:tc>
          <w:tcPr>
            <w:tcW w:w="1993" w:type="dxa"/>
            <w:gridSpan w:val="3"/>
            <w:vMerge/>
          </w:tcPr>
          <w:p w14:paraId="3A6774AD"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036" w:type="dxa"/>
          </w:tcPr>
          <w:p w14:paraId="2DF3F028"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Missing</w:t>
            </w:r>
          </w:p>
        </w:tc>
        <w:tc>
          <w:tcPr>
            <w:tcW w:w="1809" w:type="dxa"/>
          </w:tcPr>
          <w:p w14:paraId="02510A2C"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 (1.1)</w:t>
            </w:r>
          </w:p>
        </w:tc>
        <w:tc>
          <w:tcPr>
            <w:tcW w:w="1768" w:type="dxa"/>
          </w:tcPr>
          <w:p w14:paraId="79FFF314"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7 (0.5)</w:t>
            </w:r>
          </w:p>
        </w:tc>
        <w:tc>
          <w:tcPr>
            <w:tcW w:w="1250" w:type="dxa"/>
          </w:tcPr>
          <w:p w14:paraId="6B1D2FD7"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8770EC" w:rsidRPr="004E79AD" w14:paraId="4E10CEF7" w14:textId="77777777" w:rsidTr="00D338F5">
        <w:trPr>
          <w:jc w:val="center"/>
        </w:trPr>
        <w:tc>
          <w:tcPr>
            <w:tcW w:w="4029" w:type="dxa"/>
            <w:gridSpan w:val="4"/>
          </w:tcPr>
          <w:p w14:paraId="64C1067B" w14:textId="48696A2C" w:rsidR="00221506" w:rsidRPr="004E79AD" w:rsidRDefault="008770EC"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Mean operative time (h</w:t>
            </w:r>
            <w:r w:rsidR="00221506" w:rsidRPr="004E79AD">
              <w:rPr>
                <w:rFonts w:ascii="Book Antiqua" w:hAnsi="Book Antiqua" w:cs="Times New Roman"/>
                <w:sz w:val="24"/>
                <w:szCs w:val="24"/>
              </w:rPr>
              <w:t>) (SD)</w:t>
            </w:r>
          </w:p>
        </w:tc>
        <w:tc>
          <w:tcPr>
            <w:tcW w:w="1809" w:type="dxa"/>
          </w:tcPr>
          <w:p w14:paraId="5C229B0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6.7 (2.1)</w:t>
            </w:r>
          </w:p>
        </w:tc>
        <w:tc>
          <w:tcPr>
            <w:tcW w:w="1768" w:type="dxa"/>
          </w:tcPr>
          <w:p w14:paraId="36A1A55F"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8.5 (2.7)</w:t>
            </w:r>
          </w:p>
        </w:tc>
        <w:tc>
          <w:tcPr>
            <w:tcW w:w="1250" w:type="dxa"/>
          </w:tcPr>
          <w:p w14:paraId="7251FAD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41A85D9C" w14:textId="77777777" w:rsidTr="00D338F5">
        <w:trPr>
          <w:jc w:val="center"/>
        </w:trPr>
        <w:tc>
          <w:tcPr>
            <w:tcW w:w="4029" w:type="dxa"/>
            <w:gridSpan w:val="4"/>
          </w:tcPr>
          <w:p w14:paraId="75E0B0DE"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Mean estimated blood loss (cc) (SD)</w:t>
            </w:r>
          </w:p>
        </w:tc>
        <w:tc>
          <w:tcPr>
            <w:tcW w:w="1809" w:type="dxa"/>
          </w:tcPr>
          <w:p w14:paraId="47EE3E5E"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491 (931)</w:t>
            </w:r>
          </w:p>
        </w:tc>
        <w:tc>
          <w:tcPr>
            <w:tcW w:w="1768" w:type="dxa"/>
          </w:tcPr>
          <w:p w14:paraId="19DB7072"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444 (560)</w:t>
            </w:r>
          </w:p>
        </w:tc>
        <w:tc>
          <w:tcPr>
            <w:tcW w:w="1250" w:type="dxa"/>
          </w:tcPr>
          <w:p w14:paraId="12758628"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0.37</w:t>
            </w:r>
          </w:p>
        </w:tc>
      </w:tr>
      <w:tr w:rsidR="008770EC" w:rsidRPr="004E79AD" w14:paraId="71985BBD" w14:textId="77777777" w:rsidTr="00D338F5">
        <w:trPr>
          <w:jc w:val="center"/>
        </w:trPr>
        <w:tc>
          <w:tcPr>
            <w:tcW w:w="4029" w:type="dxa"/>
            <w:gridSpan w:val="4"/>
          </w:tcPr>
          <w:p w14:paraId="731C0289" w14:textId="3DFE323E"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IP </w:t>
            </w:r>
            <w:r w:rsidR="008770EC" w:rsidRPr="004E79AD">
              <w:rPr>
                <w:rFonts w:ascii="Book Antiqua" w:hAnsi="Book Antiqua" w:cs="Times New Roman"/>
                <w:sz w:val="24"/>
                <w:szCs w:val="24"/>
              </w:rPr>
              <w:t>chemotherapy</w:t>
            </w:r>
          </w:p>
        </w:tc>
        <w:tc>
          <w:tcPr>
            <w:tcW w:w="1809" w:type="dxa"/>
          </w:tcPr>
          <w:p w14:paraId="149A2BF2"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768" w:type="dxa"/>
          </w:tcPr>
          <w:p w14:paraId="7994A539"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250" w:type="dxa"/>
          </w:tcPr>
          <w:p w14:paraId="56937264"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0.05</w:t>
            </w:r>
          </w:p>
        </w:tc>
      </w:tr>
      <w:tr w:rsidR="007C704D" w:rsidRPr="004E79AD" w14:paraId="034BC57E" w14:textId="77777777" w:rsidTr="00D338F5">
        <w:trPr>
          <w:jc w:val="center"/>
        </w:trPr>
        <w:tc>
          <w:tcPr>
            <w:tcW w:w="1545" w:type="dxa"/>
            <w:vMerge w:val="restart"/>
          </w:tcPr>
          <w:p w14:paraId="7D0453B3"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2A0BE567"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Mitomycin-C</w:t>
            </w:r>
          </w:p>
        </w:tc>
        <w:tc>
          <w:tcPr>
            <w:tcW w:w="1809" w:type="dxa"/>
          </w:tcPr>
          <w:p w14:paraId="256C5F23"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352 (94.6)</w:t>
            </w:r>
          </w:p>
        </w:tc>
        <w:tc>
          <w:tcPr>
            <w:tcW w:w="1768" w:type="dxa"/>
          </w:tcPr>
          <w:p w14:paraId="498A7677"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1299 (90.2)</w:t>
            </w:r>
          </w:p>
        </w:tc>
        <w:tc>
          <w:tcPr>
            <w:tcW w:w="1250" w:type="dxa"/>
          </w:tcPr>
          <w:p w14:paraId="5FEF8846" w14:textId="77777777" w:rsidR="007C704D" w:rsidRPr="004E79AD" w:rsidRDefault="007C704D" w:rsidP="004E79AD">
            <w:pPr>
              <w:snapToGrid w:val="0"/>
              <w:spacing w:line="360" w:lineRule="auto"/>
              <w:jc w:val="both"/>
              <w:rPr>
                <w:rFonts w:ascii="Book Antiqua" w:hAnsi="Book Antiqua" w:cs="Times New Roman"/>
                <w:sz w:val="24"/>
                <w:szCs w:val="24"/>
              </w:rPr>
            </w:pPr>
          </w:p>
        </w:tc>
      </w:tr>
      <w:tr w:rsidR="007C704D" w:rsidRPr="004E79AD" w14:paraId="7E178439" w14:textId="77777777" w:rsidTr="00D338F5">
        <w:trPr>
          <w:jc w:val="center"/>
        </w:trPr>
        <w:tc>
          <w:tcPr>
            <w:tcW w:w="1545" w:type="dxa"/>
            <w:vMerge/>
          </w:tcPr>
          <w:p w14:paraId="0CE42102"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26D2FFFB"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Cisplatin</w:t>
            </w:r>
          </w:p>
        </w:tc>
        <w:tc>
          <w:tcPr>
            <w:tcW w:w="1809" w:type="dxa"/>
          </w:tcPr>
          <w:p w14:paraId="07B2F7C6"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 (3.8)</w:t>
            </w:r>
          </w:p>
        </w:tc>
        <w:tc>
          <w:tcPr>
            <w:tcW w:w="1768" w:type="dxa"/>
          </w:tcPr>
          <w:p w14:paraId="77D828FA"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90 (6.3)</w:t>
            </w:r>
          </w:p>
        </w:tc>
        <w:tc>
          <w:tcPr>
            <w:tcW w:w="1250" w:type="dxa"/>
          </w:tcPr>
          <w:p w14:paraId="3AA8F04D" w14:textId="77777777" w:rsidR="007C704D" w:rsidRPr="004E79AD" w:rsidRDefault="007C704D" w:rsidP="004E79AD">
            <w:pPr>
              <w:snapToGrid w:val="0"/>
              <w:spacing w:line="360" w:lineRule="auto"/>
              <w:jc w:val="both"/>
              <w:rPr>
                <w:rFonts w:ascii="Book Antiqua" w:hAnsi="Book Antiqua" w:cs="Times New Roman"/>
                <w:sz w:val="24"/>
                <w:szCs w:val="24"/>
              </w:rPr>
            </w:pPr>
          </w:p>
        </w:tc>
      </w:tr>
      <w:tr w:rsidR="007C704D" w:rsidRPr="004E79AD" w14:paraId="2E6D576F" w14:textId="77777777" w:rsidTr="00D338F5">
        <w:trPr>
          <w:jc w:val="center"/>
        </w:trPr>
        <w:tc>
          <w:tcPr>
            <w:tcW w:w="1545" w:type="dxa"/>
            <w:vMerge/>
          </w:tcPr>
          <w:p w14:paraId="67387F22"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7D7221ED"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Other</w:t>
            </w:r>
          </w:p>
        </w:tc>
        <w:tc>
          <w:tcPr>
            <w:tcW w:w="1809" w:type="dxa"/>
          </w:tcPr>
          <w:p w14:paraId="1E8C747D"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6 (1.6)</w:t>
            </w:r>
          </w:p>
        </w:tc>
        <w:tc>
          <w:tcPr>
            <w:tcW w:w="1768" w:type="dxa"/>
          </w:tcPr>
          <w:p w14:paraId="0D5DAEC3"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51 (3.5)</w:t>
            </w:r>
          </w:p>
        </w:tc>
        <w:tc>
          <w:tcPr>
            <w:tcW w:w="1250" w:type="dxa"/>
          </w:tcPr>
          <w:p w14:paraId="5E063007" w14:textId="77777777" w:rsidR="007C704D" w:rsidRPr="004E79AD" w:rsidRDefault="007C704D" w:rsidP="004E79AD">
            <w:pPr>
              <w:snapToGrid w:val="0"/>
              <w:spacing w:line="360" w:lineRule="auto"/>
              <w:jc w:val="both"/>
              <w:rPr>
                <w:rFonts w:ascii="Book Antiqua" w:hAnsi="Book Antiqua" w:cs="Times New Roman"/>
                <w:sz w:val="24"/>
                <w:szCs w:val="24"/>
              </w:rPr>
            </w:pPr>
          </w:p>
        </w:tc>
      </w:tr>
      <w:tr w:rsidR="008770EC" w:rsidRPr="004E79AD" w14:paraId="32388E6C" w14:textId="77777777" w:rsidTr="00D338F5">
        <w:trPr>
          <w:jc w:val="center"/>
        </w:trPr>
        <w:tc>
          <w:tcPr>
            <w:tcW w:w="4029" w:type="dxa"/>
            <w:gridSpan w:val="4"/>
          </w:tcPr>
          <w:p w14:paraId="33BFFD77" w14:textId="4303DFA1"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Median MMC dose (mg) </w:t>
            </w:r>
            <w:r w:rsidR="008770EC" w:rsidRPr="004E79AD">
              <w:rPr>
                <w:rFonts w:ascii="Book Antiqua" w:hAnsi="Book Antiqua" w:cs="Times New Roman"/>
                <w:sz w:val="24"/>
                <w:szCs w:val="24"/>
              </w:rPr>
              <w:t>(</w:t>
            </w:r>
            <w:r w:rsidRPr="004E79AD">
              <w:rPr>
                <w:rFonts w:ascii="Book Antiqua" w:hAnsi="Book Antiqua" w:cs="Times New Roman"/>
                <w:sz w:val="24"/>
                <w:szCs w:val="24"/>
              </w:rPr>
              <w:t>IQR</w:t>
            </w:r>
            <w:r w:rsidR="008770EC" w:rsidRPr="004E79AD">
              <w:rPr>
                <w:rFonts w:ascii="Book Antiqua" w:hAnsi="Book Antiqua" w:cs="Times New Roman"/>
                <w:sz w:val="24"/>
                <w:szCs w:val="24"/>
              </w:rPr>
              <w:t>)</w:t>
            </w:r>
          </w:p>
        </w:tc>
        <w:tc>
          <w:tcPr>
            <w:tcW w:w="1809" w:type="dxa"/>
          </w:tcPr>
          <w:p w14:paraId="676B8449" w14:textId="216F3C00"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54 </w:t>
            </w:r>
            <w:r w:rsidR="008770EC" w:rsidRPr="004E79AD">
              <w:rPr>
                <w:rFonts w:ascii="Book Antiqua" w:hAnsi="Book Antiqua" w:cs="Times New Roman"/>
                <w:sz w:val="24"/>
                <w:szCs w:val="24"/>
              </w:rPr>
              <w:t>(</w:t>
            </w:r>
            <w:r w:rsidRPr="004E79AD">
              <w:rPr>
                <w:rFonts w:ascii="Book Antiqua" w:hAnsi="Book Antiqua" w:cs="Times New Roman"/>
                <w:sz w:val="24"/>
                <w:szCs w:val="24"/>
              </w:rPr>
              <w:t>40-60</w:t>
            </w:r>
            <w:r w:rsidR="008770EC" w:rsidRPr="004E79AD">
              <w:rPr>
                <w:rFonts w:ascii="Book Antiqua" w:hAnsi="Book Antiqua" w:cs="Times New Roman"/>
                <w:sz w:val="24"/>
                <w:szCs w:val="24"/>
              </w:rPr>
              <w:t>)</w:t>
            </w:r>
          </w:p>
        </w:tc>
        <w:tc>
          <w:tcPr>
            <w:tcW w:w="1768" w:type="dxa"/>
          </w:tcPr>
          <w:p w14:paraId="22BEDE5B" w14:textId="57071003"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40 </w:t>
            </w:r>
            <w:r w:rsidR="008770EC" w:rsidRPr="004E79AD">
              <w:rPr>
                <w:rFonts w:ascii="Book Antiqua" w:hAnsi="Book Antiqua" w:cs="Times New Roman"/>
                <w:sz w:val="24"/>
                <w:szCs w:val="24"/>
              </w:rPr>
              <w:t>(</w:t>
            </w:r>
            <w:r w:rsidRPr="004E79AD">
              <w:rPr>
                <w:rFonts w:ascii="Book Antiqua" w:hAnsi="Book Antiqua" w:cs="Times New Roman"/>
                <w:sz w:val="24"/>
                <w:szCs w:val="24"/>
              </w:rPr>
              <w:t>33-40</w:t>
            </w:r>
            <w:r w:rsidR="008770EC" w:rsidRPr="004E79AD">
              <w:rPr>
                <w:rFonts w:ascii="Book Antiqua" w:hAnsi="Book Antiqua" w:cs="Times New Roman"/>
                <w:sz w:val="24"/>
                <w:szCs w:val="24"/>
              </w:rPr>
              <w:t>)</w:t>
            </w:r>
          </w:p>
        </w:tc>
        <w:tc>
          <w:tcPr>
            <w:tcW w:w="1250" w:type="dxa"/>
          </w:tcPr>
          <w:p w14:paraId="0F6509E0"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2D799D1F" w14:textId="77777777" w:rsidTr="00D338F5">
        <w:trPr>
          <w:jc w:val="center"/>
        </w:trPr>
        <w:tc>
          <w:tcPr>
            <w:tcW w:w="4029" w:type="dxa"/>
            <w:gridSpan w:val="4"/>
          </w:tcPr>
          <w:p w14:paraId="3EBC99FB" w14:textId="65D5AF54"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Median </w:t>
            </w:r>
            <w:r w:rsidR="008770EC" w:rsidRPr="004E79AD">
              <w:rPr>
                <w:rFonts w:ascii="Book Antiqua" w:hAnsi="Book Antiqua" w:cs="Times New Roman"/>
                <w:sz w:val="24"/>
                <w:szCs w:val="24"/>
              </w:rPr>
              <w:t xml:space="preserve">cisplatin </w:t>
            </w:r>
            <w:r w:rsidRPr="004E79AD">
              <w:rPr>
                <w:rFonts w:ascii="Book Antiqua" w:hAnsi="Book Antiqua" w:cs="Times New Roman"/>
                <w:sz w:val="24"/>
                <w:szCs w:val="24"/>
              </w:rPr>
              <w:t xml:space="preserve">dose (mg) </w:t>
            </w:r>
            <w:r w:rsidR="008770EC" w:rsidRPr="004E79AD">
              <w:rPr>
                <w:rFonts w:ascii="Book Antiqua" w:hAnsi="Book Antiqua" w:cs="Times New Roman"/>
                <w:sz w:val="24"/>
                <w:szCs w:val="24"/>
              </w:rPr>
              <w:t>(</w:t>
            </w:r>
            <w:r w:rsidRPr="004E79AD">
              <w:rPr>
                <w:rFonts w:ascii="Book Antiqua" w:hAnsi="Book Antiqua" w:cs="Times New Roman"/>
                <w:sz w:val="24"/>
                <w:szCs w:val="24"/>
              </w:rPr>
              <w:t>IQR</w:t>
            </w:r>
            <w:r w:rsidR="008770EC" w:rsidRPr="004E79AD">
              <w:rPr>
                <w:rFonts w:ascii="Book Antiqua" w:hAnsi="Book Antiqua" w:cs="Times New Roman"/>
                <w:sz w:val="24"/>
                <w:szCs w:val="24"/>
              </w:rPr>
              <w:t>)</w:t>
            </w:r>
          </w:p>
        </w:tc>
        <w:tc>
          <w:tcPr>
            <w:tcW w:w="1809" w:type="dxa"/>
          </w:tcPr>
          <w:p w14:paraId="646BF65E" w14:textId="2C64D694"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75 </w:t>
            </w:r>
            <w:r w:rsidR="008770EC" w:rsidRPr="004E79AD">
              <w:rPr>
                <w:rFonts w:ascii="Book Antiqua" w:hAnsi="Book Antiqua" w:cs="Times New Roman"/>
                <w:sz w:val="24"/>
                <w:szCs w:val="24"/>
              </w:rPr>
              <w:t>(</w:t>
            </w:r>
            <w:r w:rsidRPr="004E79AD">
              <w:rPr>
                <w:rFonts w:ascii="Book Antiqua" w:hAnsi="Book Antiqua" w:cs="Times New Roman"/>
                <w:sz w:val="24"/>
                <w:szCs w:val="24"/>
              </w:rPr>
              <w:t>58-110</w:t>
            </w:r>
            <w:r w:rsidR="008770EC" w:rsidRPr="004E79AD">
              <w:rPr>
                <w:rFonts w:ascii="Book Antiqua" w:hAnsi="Book Antiqua" w:cs="Times New Roman"/>
                <w:sz w:val="24"/>
                <w:szCs w:val="24"/>
              </w:rPr>
              <w:t>)</w:t>
            </w:r>
          </w:p>
        </w:tc>
        <w:tc>
          <w:tcPr>
            <w:tcW w:w="1768" w:type="dxa"/>
          </w:tcPr>
          <w:p w14:paraId="1CD7593B" w14:textId="203446F1"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138 </w:t>
            </w:r>
            <w:r w:rsidR="008770EC" w:rsidRPr="004E79AD">
              <w:rPr>
                <w:rFonts w:ascii="Book Antiqua" w:hAnsi="Book Antiqua" w:cs="Times New Roman"/>
                <w:sz w:val="24"/>
                <w:szCs w:val="24"/>
              </w:rPr>
              <w:t>(</w:t>
            </w:r>
            <w:r w:rsidRPr="004E79AD">
              <w:rPr>
                <w:rFonts w:ascii="Book Antiqua" w:hAnsi="Book Antiqua" w:cs="Times New Roman"/>
                <w:sz w:val="24"/>
                <w:szCs w:val="24"/>
              </w:rPr>
              <w:t>86-250</w:t>
            </w:r>
            <w:r w:rsidR="008770EC" w:rsidRPr="004E79AD">
              <w:rPr>
                <w:rFonts w:ascii="Book Antiqua" w:hAnsi="Book Antiqua" w:cs="Times New Roman"/>
                <w:sz w:val="24"/>
                <w:szCs w:val="24"/>
              </w:rPr>
              <w:t>)</w:t>
            </w:r>
          </w:p>
        </w:tc>
        <w:tc>
          <w:tcPr>
            <w:tcW w:w="1250" w:type="dxa"/>
          </w:tcPr>
          <w:p w14:paraId="0C86E130"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2759F8A1" w14:textId="77777777" w:rsidTr="00D338F5">
        <w:trPr>
          <w:jc w:val="center"/>
        </w:trPr>
        <w:tc>
          <w:tcPr>
            <w:tcW w:w="4029" w:type="dxa"/>
            <w:gridSpan w:val="4"/>
          </w:tcPr>
          <w:p w14:paraId="2D8D67F5" w14:textId="429A293A"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Target </w:t>
            </w:r>
            <w:r w:rsidR="008770EC" w:rsidRPr="004E79AD">
              <w:rPr>
                <w:rFonts w:ascii="Book Antiqua" w:hAnsi="Book Antiqua" w:cs="Times New Roman"/>
                <w:sz w:val="24"/>
                <w:szCs w:val="24"/>
              </w:rPr>
              <w:t xml:space="preserve">temperature </w:t>
            </w:r>
            <w:r w:rsidRPr="004E79AD">
              <w:rPr>
                <w:rFonts w:ascii="Book Antiqua" w:hAnsi="Book Antiqua" w:cs="Times New Roman"/>
                <w:sz w:val="24"/>
                <w:szCs w:val="24"/>
              </w:rPr>
              <w:t>40-43</w:t>
            </w:r>
            <w:r w:rsidR="008770EC" w:rsidRPr="004E79AD">
              <w:rPr>
                <w:rFonts w:ascii="Book Antiqua" w:hAnsi="Book Antiqua" w:cs="Times New Roman"/>
                <w:sz w:val="24"/>
                <w:szCs w:val="24"/>
              </w:rPr>
              <w:t xml:space="preserve"> </w:t>
            </w:r>
            <w:r w:rsidRPr="004E79AD">
              <w:rPr>
                <w:rFonts w:ascii="Book Antiqua" w:hAnsi="Book Antiqua" w:cs="Times New Roman"/>
                <w:sz w:val="24"/>
                <w:szCs w:val="24"/>
              </w:rPr>
              <w:t>˚C</w:t>
            </w:r>
          </w:p>
        </w:tc>
        <w:tc>
          <w:tcPr>
            <w:tcW w:w="1809" w:type="dxa"/>
          </w:tcPr>
          <w:p w14:paraId="24D9F69A"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362 (97.3)</w:t>
            </w:r>
          </w:p>
        </w:tc>
        <w:tc>
          <w:tcPr>
            <w:tcW w:w="1768" w:type="dxa"/>
          </w:tcPr>
          <w:p w14:paraId="58D6283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1415 (98.3)</w:t>
            </w:r>
          </w:p>
        </w:tc>
        <w:tc>
          <w:tcPr>
            <w:tcW w:w="1250" w:type="dxa"/>
          </w:tcPr>
          <w:p w14:paraId="2AD0CD1F"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0.25</w:t>
            </w:r>
          </w:p>
        </w:tc>
      </w:tr>
      <w:tr w:rsidR="008770EC" w:rsidRPr="004E79AD" w14:paraId="1451916C" w14:textId="77777777" w:rsidTr="00D338F5">
        <w:trPr>
          <w:jc w:val="center"/>
        </w:trPr>
        <w:tc>
          <w:tcPr>
            <w:tcW w:w="4029" w:type="dxa"/>
            <w:gridSpan w:val="4"/>
          </w:tcPr>
          <w:p w14:paraId="41A3EE3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Mean HIPEC duration (min) (SD)</w:t>
            </w:r>
          </w:p>
        </w:tc>
        <w:tc>
          <w:tcPr>
            <w:tcW w:w="1809" w:type="dxa"/>
          </w:tcPr>
          <w:p w14:paraId="48F6708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87 (10)</w:t>
            </w:r>
          </w:p>
        </w:tc>
        <w:tc>
          <w:tcPr>
            <w:tcW w:w="1768" w:type="dxa"/>
          </w:tcPr>
          <w:p w14:paraId="31479587"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89 (8)</w:t>
            </w:r>
          </w:p>
        </w:tc>
        <w:tc>
          <w:tcPr>
            <w:tcW w:w="1250" w:type="dxa"/>
          </w:tcPr>
          <w:p w14:paraId="22403582"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0.14</w:t>
            </w:r>
          </w:p>
        </w:tc>
      </w:tr>
      <w:tr w:rsidR="008770EC" w:rsidRPr="004E79AD" w14:paraId="5EE22A8B" w14:textId="77777777" w:rsidTr="00D338F5">
        <w:trPr>
          <w:jc w:val="center"/>
        </w:trPr>
        <w:tc>
          <w:tcPr>
            <w:tcW w:w="4029" w:type="dxa"/>
            <w:gridSpan w:val="4"/>
          </w:tcPr>
          <w:p w14:paraId="1844A3DE"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CCR</w:t>
            </w:r>
          </w:p>
        </w:tc>
        <w:tc>
          <w:tcPr>
            <w:tcW w:w="1809" w:type="dxa"/>
          </w:tcPr>
          <w:p w14:paraId="1C4F4801"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768" w:type="dxa"/>
          </w:tcPr>
          <w:p w14:paraId="288A055D"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250" w:type="dxa"/>
          </w:tcPr>
          <w:p w14:paraId="51FC80B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7C704D" w:rsidRPr="004E79AD" w14:paraId="04308524" w14:textId="77777777" w:rsidTr="00D338F5">
        <w:trPr>
          <w:jc w:val="center"/>
        </w:trPr>
        <w:tc>
          <w:tcPr>
            <w:tcW w:w="1545" w:type="dxa"/>
            <w:vMerge w:val="restart"/>
          </w:tcPr>
          <w:p w14:paraId="2586F655"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45A4DA91"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CC 0/1</w:t>
            </w:r>
          </w:p>
        </w:tc>
        <w:tc>
          <w:tcPr>
            <w:tcW w:w="1809" w:type="dxa"/>
          </w:tcPr>
          <w:p w14:paraId="6061D5A6"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316 (84.9)</w:t>
            </w:r>
          </w:p>
        </w:tc>
        <w:tc>
          <w:tcPr>
            <w:tcW w:w="1768" w:type="dxa"/>
          </w:tcPr>
          <w:p w14:paraId="244E2D81"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1263 (87.7)</w:t>
            </w:r>
          </w:p>
        </w:tc>
        <w:tc>
          <w:tcPr>
            <w:tcW w:w="1250" w:type="dxa"/>
          </w:tcPr>
          <w:p w14:paraId="66346C6D"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7C704D" w:rsidRPr="004E79AD" w14:paraId="541F44EC" w14:textId="77777777" w:rsidTr="00D338F5">
        <w:trPr>
          <w:jc w:val="center"/>
        </w:trPr>
        <w:tc>
          <w:tcPr>
            <w:tcW w:w="1545" w:type="dxa"/>
            <w:vMerge/>
          </w:tcPr>
          <w:p w14:paraId="54706D00"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7812784E"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CC 2/3</w:t>
            </w:r>
          </w:p>
        </w:tc>
        <w:tc>
          <w:tcPr>
            <w:tcW w:w="1809" w:type="dxa"/>
          </w:tcPr>
          <w:p w14:paraId="779E4A55"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53 (14.2)</w:t>
            </w:r>
          </w:p>
        </w:tc>
        <w:tc>
          <w:tcPr>
            <w:tcW w:w="1768" w:type="dxa"/>
          </w:tcPr>
          <w:p w14:paraId="0E96A4C7"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74 (5.1)</w:t>
            </w:r>
          </w:p>
        </w:tc>
        <w:tc>
          <w:tcPr>
            <w:tcW w:w="1250" w:type="dxa"/>
          </w:tcPr>
          <w:p w14:paraId="443C308C"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7C704D" w:rsidRPr="004E79AD" w14:paraId="10EF6E31" w14:textId="77777777" w:rsidTr="00D338F5">
        <w:trPr>
          <w:jc w:val="center"/>
        </w:trPr>
        <w:tc>
          <w:tcPr>
            <w:tcW w:w="1545" w:type="dxa"/>
            <w:vMerge/>
          </w:tcPr>
          <w:p w14:paraId="4EA3F850"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0379E218"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Missing</w:t>
            </w:r>
          </w:p>
        </w:tc>
        <w:tc>
          <w:tcPr>
            <w:tcW w:w="1809" w:type="dxa"/>
          </w:tcPr>
          <w:p w14:paraId="75E35BB4"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 (0.8)</w:t>
            </w:r>
          </w:p>
        </w:tc>
        <w:tc>
          <w:tcPr>
            <w:tcW w:w="1768" w:type="dxa"/>
          </w:tcPr>
          <w:p w14:paraId="2E41EFF1"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103 (7.2)</w:t>
            </w:r>
          </w:p>
        </w:tc>
        <w:tc>
          <w:tcPr>
            <w:tcW w:w="1250" w:type="dxa"/>
          </w:tcPr>
          <w:p w14:paraId="329ECB71"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8770EC" w:rsidRPr="004E79AD" w14:paraId="32DC8E2D" w14:textId="77777777" w:rsidTr="00D338F5">
        <w:trPr>
          <w:jc w:val="center"/>
        </w:trPr>
        <w:tc>
          <w:tcPr>
            <w:tcW w:w="4029" w:type="dxa"/>
            <w:gridSpan w:val="4"/>
          </w:tcPr>
          <w:p w14:paraId="4C6313DC" w14:textId="7BAD08DF"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Median LOS </w:t>
            </w:r>
            <w:r w:rsidR="008770EC" w:rsidRPr="004E79AD">
              <w:rPr>
                <w:rFonts w:ascii="Book Antiqua" w:hAnsi="Book Antiqua" w:cs="Times New Roman"/>
                <w:sz w:val="24"/>
                <w:szCs w:val="24"/>
              </w:rPr>
              <w:t>(</w:t>
            </w:r>
            <w:r w:rsidRPr="004E79AD">
              <w:rPr>
                <w:rFonts w:ascii="Book Antiqua" w:hAnsi="Book Antiqua" w:cs="Times New Roman"/>
                <w:sz w:val="24"/>
                <w:szCs w:val="24"/>
              </w:rPr>
              <w:t>IQR</w:t>
            </w:r>
            <w:r w:rsidR="008770EC" w:rsidRPr="004E79AD">
              <w:rPr>
                <w:rFonts w:ascii="Book Antiqua" w:hAnsi="Book Antiqua" w:cs="Times New Roman"/>
                <w:sz w:val="24"/>
                <w:szCs w:val="24"/>
              </w:rPr>
              <w:t>)</w:t>
            </w:r>
          </w:p>
        </w:tc>
        <w:tc>
          <w:tcPr>
            <w:tcW w:w="1809" w:type="dxa"/>
          </w:tcPr>
          <w:p w14:paraId="0FFDB265" w14:textId="2505F405"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9 </w:t>
            </w:r>
            <w:r w:rsidR="008770EC" w:rsidRPr="004E79AD">
              <w:rPr>
                <w:rFonts w:ascii="Book Antiqua" w:hAnsi="Book Antiqua" w:cs="Times New Roman"/>
                <w:sz w:val="24"/>
                <w:szCs w:val="24"/>
              </w:rPr>
              <w:t>(8-</w:t>
            </w:r>
            <w:r w:rsidRPr="004E79AD">
              <w:rPr>
                <w:rFonts w:ascii="Book Antiqua" w:hAnsi="Book Antiqua" w:cs="Times New Roman"/>
                <w:sz w:val="24"/>
                <w:szCs w:val="24"/>
              </w:rPr>
              <w:t>13</w:t>
            </w:r>
            <w:r w:rsidR="008770EC" w:rsidRPr="004E79AD">
              <w:rPr>
                <w:rFonts w:ascii="Book Antiqua" w:hAnsi="Book Antiqua" w:cs="Times New Roman"/>
                <w:sz w:val="24"/>
                <w:szCs w:val="24"/>
              </w:rPr>
              <w:t>)</w:t>
            </w:r>
          </w:p>
        </w:tc>
        <w:tc>
          <w:tcPr>
            <w:tcW w:w="1768" w:type="dxa"/>
          </w:tcPr>
          <w:p w14:paraId="12B18D82" w14:textId="73424F5A"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10 </w:t>
            </w:r>
            <w:r w:rsidR="008770EC" w:rsidRPr="004E79AD">
              <w:rPr>
                <w:rFonts w:ascii="Book Antiqua" w:hAnsi="Book Antiqua" w:cs="Times New Roman"/>
                <w:sz w:val="24"/>
                <w:szCs w:val="24"/>
              </w:rPr>
              <w:t>(8-</w:t>
            </w:r>
            <w:r w:rsidRPr="004E79AD">
              <w:rPr>
                <w:rFonts w:ascii="Book Antiqua" w:hAnsi="Book Antiqua" w:cs="Times New Roman"/>
                <w:sz w:val="24"/>
                <w:szCs w:val="24"/>
              </w:rPr>
              <w:t>13</w:t>
            </w:r>
            <w:r w:rsidR="008770EC" w:rsidRPr="004E79AD">
              <w:rPr>
                <w:rFonts w:ascii="Book Antiqua" w:hAnsi="Book Antiqua" w:cs="Times New Roman"/>
                <w:sz w:val="24"/>
                <w:szCs w:val="24"/>
              </w:rPr>
              <w:t>)</w:t>
            </w:r>
          </w:p>
        </w:tc>
        <w:tc>
          <w:tcPr>
            <w:tcW w:w="1250" w:type="dxa"/>
          </w:tcPr>
          <w:p w14:paraId="408E6C4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0.50</w:t>
            </w:r>
          </w:p>
        </w:tc>
      </w:tr>
      <w:tr w:rsidR="008770EC" w:rsidRPr="004E79AD" w14:paraId="5273323F" w14:textId="77777777" w:rsidTr="00D338F5">
        <w:trPr>
          <w:jc w:val="center"/>
        </w:trPr>
        <w:tc>
          <w:tcPr>
            <w:tcW w:w="4029" w:type="dxa"/>
            <w:gridSpan w:val="4"/>
          </w:tcPr>
          <w:p w14:paraId="52471888"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Complications</w:t>
            </w:r>
          </w:p>
        </w:tc>
        <w:tc>
          <w:tcPr>
            <w:tcW w:w="1809" w:type="dxa"/>
          </w:tcPr>
          <w:p w14:paraId="0C84FE7D"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768" w:type="dxa"/>
          </w:tcPr>
          <w:p w14:paraId="6523B628"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250" w:type="dxa"/>
          </w:tcPr>
          <w:p w14:paraId="261017F1"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0.27</w:t>
            </w:r>
          </w:p>
        </w:tc>
      </w:tr>
      <w:tr w:rsidR="007C704D" w:rsidRPr="004E79AD" w14:paraId="283551C0" w14:textId="77777777" w:rsidTr="00D338F5">
        <w:trPr>
          <w:jc w:val="center"/>
        </w:trPr>
        <w:tc>
          <w:tcPr>
            <w:tcW w:w="1545" w:type="dxa"/>
            <w:vMerge w:val="restart"/>
          </w:tcPr>
          <w:p w14:paraId="285B6F7C"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56D09E4B"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Grade 0-II</w:t>
            </w:r>
          </w:p>
        </w:tc>
        <w:tc>
          <w:tcPr>
            <w:tcW w:w="1809" w:type="dxa"/>
          </w:tcPr>
          <w:p w14:paraId="1C559092"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306 (82.3)</w:t>
            </w:r>
          </w:p>
        </w:tc>
        <w:tc>
          <w:tcPr>
            <w:tcW w:w="1768" w:type="dxa"/>
          </w:tcPr>
          <w:p w14:paraId="1997E50B"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1146 (79.6)</w:t>
            </w:r>
          </w:p>
        </w:tc>
        <w:tc>
          <w:tcPr>
            <w:tcW w:w="1250" w:type="dxa"/>
          </w:tcPr>
          <w:p w14:paraId="733A8CB8"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7C704D" w:rsidRPr="004E79AD" w14:paraId="4B3EBC73" w14:textId="77777777" w:rsidTr="00D338F5">
        <w:trPr>
          <w:jc w:val="center"/>
        </w:trPr>
        <w:tc>
          <w:tcPr>
            <w:tcW w:w="1545" w:type="dxa"/>
            <w:vMerge/>
          </w:tcPr>
          <w:p w14:paraId="208E039A"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032CDE0D"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Grade III-V</w:t>
            </w:r>
          </w:p>
        </w:tc>
        <w:tc>
          <w:tcPr>
            <w:tcW w:w="1809" w:type="dxa"/>
          </w:tcPr>
          <w:p w14:paraId="6B4F478D"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66 (17.7)</w:t>
            </w:r>
          </w:p>
        </w:tc>
        <w:tc>
          <w:tcPr>
            <w:tcW w:w="1768" w:type="dxa"/>
          </w:tcPr>
          <w:p w14:paraId="5B78DA38"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294 (20.4)</w:t>
            </w:r>
          </w:p>
        </w:tc>
        <w:tc>
          <w:tcPr>
            <w:tcW w:w="1250" w:type="dxa"/>
          </w:tcPr>
          <w:p w14:paraId="465879A0"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8770EC" w:rsidRPr="004E79AD" w14:paraId="363DC04C" w14:textId="77777777" w:rsidTr="00D338F5">
        <w:trPr>
          <w:jc w:val="center"/>
        </w:trPr>
        <w:tc>
          <w:tcPr>
            <w:tcW w:w="4029" w:type="dxa"/>
            <w:gridSpan w:val="4"/>
          </w:tcPr>
          <w:p w14:paraId="40D07300" w14:textId="0366285B" w:rsidR="00221506" w:rsidRPr="004E79AD" w:rsidRDefault="008770EC"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90-d</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 xml:space="preserve">readmission </w:t>
            </w:r>
          </w:p>
        </w:tc>
        <w:tc>
          <w:tcPr>
            <w:tcW w:w="1809" w:type="dxa"/>
          </w:tcPr>
          <w:p w14:paraId="17D89E12"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768" w:type="dxa"/>
          </w:tcPr>
          <w:p w14:paraId="6C34CE8F"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250" w:type="dxa"/>
          </w:tcPr>
          <w:p w14:paraId="40E542BA"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7C704D" w:rsidRPr="004E79AD" w14:paraId="1EAFB229" w14:textId="77777777" w:rsidTr="00D338F5">
        <w:trPr>
          <w:jc w:val="center"/>
        </w:trPr>
        <w:tc>
          <w:tcPr>
            <w:tcW w:w="1545" w:type="dxa"/>
            <w:vMerge w:val="restart"/>
          </w:tcPr>
          <w:p w14:paraId="7A06FE92"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79611482"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Yes</w:t>
            </w:r>
          </w:p>
        </w:tc>
        <w:tc>
          <w:tcPr>
            <w:tcW w:w="1809" w:type="dxa"/>
          </w:tcPr>
          <w:p w14:paraId="1C5CA79B"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47 (12.6)</w:t>
            </w:r>
          </w:p>
        </w:tc>
        <w:tc>
          <w:tcPr>
            <w:tcW w:w="1768" w:type="dxa"/>
          </w:tcPr>
          <w:p w14:paraId="299699D6"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341 (23.7)</w:t>
            </w:r>
          </w:p>
        </w:tc>
        <w:tc>
          <w:tcPr>
            <w:tcW w:w="1250" w:type="dxa"/>
          </w:tcPr>
          <w:p w14:paraId="119866E2" w14:textId="77777777" w:rsidR="007C704D" w:rsidRPr="004E79AD" w:rsidRDefault="007C704D" w:rsidP="004E79AD">
            <w:pPr>
              <w:snapToGrid w:val="0"/>
              <w:spacing w:line="360" w:lineRule="auto"/>
              <w:jc w:val="both"/>
              <w:rPr>
                <w:rFonts w:ascii="Book Antiqua" w:hAnsi="Book Antiqua" w:cs="Times New Roman"/>
                <w:sz w:val="24"/>
                <w:szCs w:val="24"/>
              </w:rPr>
            </w:pPr>
          </w:p>
        </w:tc>
      </w:tr>
      <w:tr w:rsidR="007C704D" w:rsidRPr="004E79AD" w14:paraId="70A00400" w14:textId="77777777" w:rsidTr="00D338F5">
        <w:trPr>
          <w:jc w:val="center"/>
        </w:trPr>
        <w:tc>
          <w:tcPr>
            <w:tcW w:w="1545" w:type="dxa"/>
            <w:vMerge/>
          </w:tcPr>
          <w:p w14:paraId="5552A25D"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5E2BB0F6"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No</w:t>
            </w:r>
          </w:p>
        </w:tc>
        <w:tc>
          <w:tcPr>
            <w:tcW w:w="1809" w:type="dxa"/>
          </w:tcPr>
          <w:p w14:paraId="4D30ABC7"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321 (86.3)</w:t>
            </w:r>
          </w:p>
        </w:tc>
        <w:tc>
          <w:tcPr>
            <w:tcW w:w="1768" w:type="dxa"/>
          </w:tcPr>
          <w:p w14:paraId="5F3AC609"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1089 (75.6)</w:t>
            </w:r>
          </w:p>
        </w:tc>
        <w:tc>
          <w:tcPr>
            <w:tcW w:w="1250" w:type="dxa"/>
          </w:tcPr>
          <w:p w14:paraId="6CCC31D1" w14:textId="77777777" w:rsidR="007C704D" w:rsidRPr="004E79AD" w:rsidRDefault="007C704D" w:rsidP="004E79AD">
            <w:pPr>
              <w:snapToGrid w:val="0"/>
              <w:spacing w:line="360" w:lineRule="auto"/>
              <w:jc w:val="both"/>
              <w:rPr>
                <w:rFonts w:ascii="Book Antiqua" w:hAnsi="Book Antiqua" w:cs="Times New Roman"/>
                <w:sz w:val="24"/>
                <w:szCs w:val="24"/>
              </w:rPr>
            </w:pPr>
          </w:p>
        </w:tc>
      </w:tr>
      <w:tr w:rsidR="007C704D" w:rsidRPr="004E79AD" w14:paraId="009544D6" w14:textId="77777777" w:rsidTr="00D338F5">
        <w:trPr>
          <w:jc w:val="center"/>
        </w:trPr>
        <w:tc>
          <w:tcPr>
            <w:tcW w:w="1545" w:type="dxa"/>
            <w:vMerge/>
          </w:tcPr>
          <w:p w14:paraId="45C6758D"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484" w:type="dxa"/>
            <w:gridSpan w:val="3"/>
          </w:tcPr>
          <w:p w14:paraId="69987E4F"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Missing</w:t>
            </w:r>
          </w:p>
        </w:tc>
        <w:tc>
          <w:tcPr>
            <w:tcW w:w="1809" w:type="dxa"/>
          </w:tcPr>
          <w:p w14:paraId="1A327F9B"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 (1.1)</w:t>
            </w:r>
          </w:p>
        </w:tc>
        <w:tc>
          <w:tcPr>
            <w:tcW w:w="1768" w:type="dxa"/>
          </w:tcPr>
          <w:p w14:paraId="1E562E29"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 (0.7)</w:t>
            </w:r>
          </w:p>
        </w:tc>
        <w:tc>
          <w:tcPr>
            <w:tcW w:w="1250" w:type="dxa"/>
          </w:tcPr>
          <w:p w14:paraId="6B358DFE" w14:textId="77777777" w:rsidR="007C704D" w:rsidRPr="004E79AD" w:rsidRDefault="007C704D" w:rsidP="004E79AD">
            <w:pPr>
              <w:snapToGrid w:val="0"/>
              <w:spacing w:line="360" w:lineRule="auto"/>
              <w:jc w:val="both"/>
              <w:rPr>
                <w:rFonts w:ascii="Book Antiqua" w:hAnsi="Book Antiqua" w:cs="Times New Roman"/>
                <w:sz w:val="24"/>
                <w:szCs w:val="24"/>
              </w:rPr>
            </w:pPr>
          </w:p>
        </w:tc>
      </w:tr>
      <w:tr w:rsidR="008770EC" w:rsidRPr="004E79AD" w14:paraId="617C19ED" w14:textId="77777777" w:rsidTr="00D338F5">
        <w:trPr>
          <w:jc w:val="center"/>
        </w:trPr>
        <w:tc>
          <w:tcPr>
            <w:tcW w:w="1545" w:type="dxa"/>
          </w:tcPr>
          <w:p w14:paraId="797E6715"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Re-operation</w:t>
            </w:r>
          </w:p>
        </w:tc>
        <w:tc>
          <w:tcPr>
            <w:tcW w:w="2484" w:type="dxa"/>
            <w:gridSpan w:val="3"/>
          </w:tcPr>
          <w:p w14:paraId="01458A51"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809" w:type="dxa"/>
          </w:tcPr>
          <w:p w14:paraId="63D803D7"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32 (8.6)</w:t>
            </w:r>
          </w:p>
        </w:tc>
        <w:tc>
          <w:tcPr>
            <w:tcW w:w="1768" w:type="dxa"/>
          </w:tcPr>
          <w:p w14:paraId="711834B5"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131 (9.1)</w:t>
            </w:r>
          </w:p>
        </w:tc>
        <w:tc>
          <w:tcPr>
            <w:tcW w:w="1250" w:type="dxa"/>
          </w:tcPr>
          <w:p w14:paraId="48AAF4BF"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0.59</w:t>
            </w:r>
          </w:p>
        </w:tc>
      </w:tr>
      <w:tr w:rsidR="008770EC" w:rsidRPr="004E79AD" w14:paraId="56DB65A7" w14:textId="77777777" w:rsidTr="00D338F5">
        <w:trPr>
          <w:jc w:val="center"/>
        </w:trPr>
        <w:tc>
          <w:tcPr>
            <w:tcW w:w="4029" w:type="dxa"/>
            <w:gridSpan w:val="4"/>
          </w:tcPr>
          <w:p w14:paraId="70FB916E" w14:textId="60C11DD8"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Median </w:t>
            </w:r>
            <w:r w:rsidR="008770EC" w:rsidRPr="004E79AD">
              <w:rPr>
                <w:rFonts w:ascii="Book Antiqua" w:hAnsi="Book Antiqua" w:cs="Times New Roman"/>
                <w:sz w:val="24"/>
                <w:szCs w:val="24"/>
              </w:rPr>
              <w:t>days in ICU (</w:t>
            </w:r>
            <w:r w:rsidRPr="004E79AD">
              <w:rPr>
                <w:rFonts w:ascii="Book Antiqua" w:hAnsi="Book Antiqua" w:cs="Times New Roman"/>
                <w:sz w:val="24"/>
                <w:szCs w:val="24"/>
              </w:rPr>
              <w:t>IQR</w:t>
            </w:r>
            <w:r w:rsidR="008770EC" w:rsidRPr="004E79AD">
              <w:rPr>
                <w:rFonts w:ascii="Book Antiqua" w:hAnsi="Book Antiqua" w:cs="Times New Roman"/>
                <w:sz w:val="24"/>
                <w:szCs w:val="24"/>
              </w:rPr>
              <w:t>)</w:t>
            </w:r>
          </w:p>
        </w:tc>
        <w:tc>
          <w:tcPr>
            <w:tcW w:w="1809" w:type="dxa"/>
          </w:tcPr>
          <w:p w14:paraId="7E071E38" w14:textId="126FFC51"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2 </w:t>
            </w:r>
            <w:r w:rsidR="008770EC" w:rsidRPr="004E79AD">
              <w:rPr>
                <w:rFonts w:ascii="Book Antiqua" w:hAnsi="Book Antiqua" w:cs="Times New Roman"/>
                <w:sz w:val="24"/>
                <w:szCs w:val="24"/>
              </w:rPr>
              <w:t>(</w:t>
            </w:r>
            <w:r w:rsidRPr="004E79AD">
              <w:rPr>
                <w:rFonts w:ascii="Book Antiqua" w:hAnsi="Book Antiqua" w:cs="Times New Roman"/>
                <w:sz w:val="24"/>
                <w:szCs w:val="24"/>
              </w:rPr>
              <w:t>2-3</w:t>
            </w:r>
            <w:r w:rsidR="008770EC" w:rsidRPr="004E79AD">
              <w:rPr>
                <w:rFonts w:ascii="Book Antiqua" w:hAnsi="Book Antiqua" w:cs="Times New Roman"/>
                <w:sz w:val="24"/>
                <w:szCs w:val="24"/>
              </w:rPr>
              <w:t>)</w:t>
            </w:r>
          </w:p>
        </w:tc>
        <w:tc>
          <w:tcPr>
            <w:tcW w:w="1768" w:type="dxa"/>
          </w:tcPr>
          <w:p w14:paraId="721F54E2" w14:textId="7C16F4BA"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1 </w:t>
            </w:r>
            <w:r w:rsidR="008770EC" w:rsidRPr="004E79AD">
              <w:rPr>
                <w:rFonts w:ascii="Book Antiqua" w:hAnsi="Book Antiqua" w:cs="Times New Roman"/>
                <w:sz w:val="24"/>
                <w:szCs w:val="24"/>
              </w:rPr>
              <w:t>(</w:t>
            </w:r>
            <w:r w:rsidRPr="004E79AD">
              <w:rPr>
                <w:rFonts w:ascii="Book Antiqua" w:hAnsi="Book Antiqua" w:cs="Times New Roman"/>
                <w:sz w:val="24"/>
                <w:szCs w:val="24"/>
              </w:rPr>
              <w:t>0-3</w:t>
            </w:r>
            <w:r w:rsidR="008770EC" w:rsidRPr="004E79AD">
              <w:rPr>
                <w:rFonts w:ascii="Book Antiqua" w:hAnsi="Book Antiqua" w:cs="Times New Roman"/>
                <w:sz w:val="24"/>
                <w:szCs w:val="24"/>
              </w:rPr>
              <w:t>)</w:t>
            </w:r>
          </w:p>
        </w:tc>
        <w:tc>
          <w:tcPr>
            <w:tcW w:w="1250" w:type="dxa"/>
          </w:tcPr>
          <w:p w14:paraId="37085CC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4A70B957" w14:textId="77777777" w:rsidTr="00D338F5">
        <w:trPr>
          <w:jc w:val="center"/>
        </w:trPr>
        <w:tc>
          <w:tcPr>
            <w:tcW w:w="4029" w:type="dxa"/>
            <w:gridSpan w:val="4"/>
          </w:tcPr>
          <w:p w14:paraId="39D79614" w14:textId="3780C9EC" w:rsidR="00221506" w:rsidRPr="004E79AD" w:rsidRDefault="008770EC"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90-d</w:t>
            </w:r>
            <w:r w:rsidR="00221506" w:rsidRPr="004E79AD">
              <w:rPr>
                <w:rFonts w:ascii="Book Antiqua" w:hAnsi="Book Antiqua" w:cs="Times New Roman"/>
                <w:sz w:val="24"/>
                <w:szCs w:val="24"/>
              </w:rPr>
              <w:t xml:space="preserve"> mortality</w:t>
            </w:r>
          </w:p>
        </w:tc>
        <w:tc>
          <w:tcPr>
            <w:tcW w:w="1809" w:type="dxa"/>
          </w:tcPr>
          <w:p w14:paraId="1EA55203"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 (3.8)</w:t>
            </w:r>
          </w:p>
        </w:tc>
        <w:tc>
          <w:tcPr>
            <w:tcW w:w="1768" w:type="dxa"/>
          </w:tcPr>
          <w:p w14:paraId="47480146"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25 (1.7)</w:t>
            </w:r>
          </w:p>
        </w:tc>
        <w:tc>
          <w:tcPr>
            <w:tcW w:w="1250" w:type="dxa"/>
          </w:tcPr>
          <w:p w14:paraId="3065BF82"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0.03</w:t>
            </w:r>
          </w:p>
        </w:tc>
      </w:tr>
      <w:tr w:rsidR="008770EC" w:rsidRPr="004E79AD" w14:paraId="4A3E2A06" w14:textId="77777777" w:rsidTr="00D338F5">
        <w:trPr>
          <w:jc w:val="center"/>
        </w:trPr>
        <w:tc>
          <w:tcPr>
            <w:tcW w:w="4029" w:type="dxa"/>
            <w:gridSpan w:val="4"/>
          </w:tcPr>
          <w:p w14:paraId="618313A6" w14:textId="2ECE2D6C"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Adjuvant </w:t>
            </w:r>
            <w:r w:rsidR="008770EC" w:rsidRPr="004E79AD">
              <w:rPr>
                <w:rFonts w:ascii="Book Antiqua" w:hAnsi="Book Antiqua" w:cs="Times New Roman"/>
                <w:sz w:val="24"/>
                <w:szCs w:val="24"/>
              </w:rPr>
              <w:t>chemotherapy</w:t>
            </w:r>
          </w:p>
        </w:tc>
        <w:tc>
          <w:tcPr>
            <w:tcW w:w="1809" w:type="dxa"/>
          </w:tcPr>
          <w:p w14:paraId="7C95A75C"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768" w:type="dxa"/>
          </w:tcPr>
          <w:p w14:paraId="14426F62" w14:textId="77777777" w:rsidR="00221506" w:rsidRPr="004E79AD" w:rsidRDefault="00221506" w:rsidP="004E79AD">
            <w:pPr>
              <w:snapToGrid w:val="0"/>
              <w:spacing w:line="360" w:lineRule="auto"/>
              <w:jc w:val="both"/>
              <w:rPr>
                <w:rFonts w:ascii="Book Antiqua" w:hAnsi="Book Antiqua" w:cs="Times New Roman"/>
                <w:sz w:val="24"/>
                <w:szCs w:val="24"/>
              </w:rPr>
            </w:pPr>
          </w:p>
        </w:tc>
        <w:tc>
          <w:tcPr>
            <w:tcW w:w="1250" w:type="dxa"/>
          </w:tcPr>
          <w:p w14:paraId="53B7B8EC" w14:textId="77777777" w:rsidR="00221506" w:rsidRPr="004E79AD" w:rsidRDefault="00221506"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7C704D" w:rsidRPr="004E79AD" w14:paraId="39CC5E04" w14:textId="77777777" w:rsidTr="00D338F5">
        <w:trPr>
          <w:jc w:val="center"/>
        </w:trPr>
        <w:tc>
          <w:tcPr>
            <w:tcW w:w="1993" w:type="dxa"/>
            <w:gridSpan w:val="3"/>
            <w:vMerge w:val="restart"/>
          </w:tcPr>
          <w:p w14:paraId="4DDEFE6C"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036" w:type="dxa"/>
          </w:tcPr>
          <w:p w14:paraId="7ED351B1"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Yes</w:t>
            </w:r>
          </w:p>
        </w:tc>
        <w:tc>
          <w:tcPr>
            <w:tcW w:w="1809" w:type="dxa"/>
          </w:tcPr>
          <w:p w14:paraId="0BF1F90D"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47 (12.6)</w:t>
            </w:r>
          </w:p>
        </w:tc>
        <w:tc>
          <w:tcPr>
            <w:tcW w:w="1768" w:type="dxa"/>
          </w:tcPr>
          <w:p w14:paraId="5CEC240A"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341 (23.7)</w:t>
            </w:r>
          </w:p>
        </w:tc>
        <w:tc>
          <w:tcPr>
            <w:tcW w:w="1250" w:type="dxa"/>
          </w:tcPr>
          <w:p w14:paraId="6A2F75F0"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7C704D" w:rsidRPr="004E79AD" w14:paraId="755423D8" w14:textId="77777777" w:rsidTr="00D338F5">
        <w:trPr>
          <w:jc w:val="center"/>
        </w:trPr>
        <w:tc>
          <w:tcPr>
            <w:tcW w:w="1993" w:type="dxa"/>
            <w:gridSpan w:val="3"/>
            <w:vMerge/>
          </w:tcPr>
          <w:p w14:paraId="703F9385"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036" w:type="dxa"/>
          </w:tcPr>
          <w:p w14:paraId="520B4DE0"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No</w:t>
            </w:r>
          </w:p>
        </w:tc>
        <w:tc>
          <w:tcPr>
            <w:tcW w:w="1809" w:type="dxa"/>
          </w:tcPr>
          <w:p w14:paraId="16B76E42"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323 (86.8)</w:t>
            </w:r>
          </w:p>
        </w:tc>
        <w:tc>
          <w:tcPr>
            <w:tcW w:w="1768" w:type="dxa"/>
          </w:tcPr>
          <w:p w14:paraId="160D9253"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1095 (76.0)</w:t>
            </w:r>
          </w:p>
        </w:tc>
        <w:tc>
          <w:tcPr>
            <w:tcW w:w="1250" w:type="dxa"/>
          </w:tcPr>
          <w:p w14:paraId="21B34469" w14:textId="77777777" w:rsidR="007C704D" w:rsidRPr="004E79AD" w:rsidRDefault="007C704D" w:rsidP="004E79AD">
            <w:pPr>
              <w:snapToGrid w:val="0"/>
              <w:spacing w:line="360" w:lineRule="auto"/>
              <w:jc w:val="both"/>
              <w:rPr>
                <w:rFonts w:ascii="Book Antiqua" w:hAnsi="Book Antiqua" w:cs="Times New Roman"/>
                <w:b/>
                <w:sz w:val="24"/>
                <w:szCs w:val="24"/>
              </w:rPr>
            </w:pPr>
          </w:p>
        </w:tc>
      </w:tr>
      <w:tr w:rsidR="007C704D" w:rsidRPr="004E79AD" w14:paraId="2B75CA9B" w14:textId="77777777" w:rsidTr="00D338F5">
        <w:trPr>
          <w:jc w:val="center"/>
        </w:trPr>
        <w:tc>
          <w:tcPr>
            <w:tcW w:w="1993" w:type="dxa"/>
            <w:gridSpan w:val="3"/>
            <w:vMerge/>
          </w:tcPr>
          <w:p w14:paraId="37EFFC0C" w14:textId="77777777" w:rsidR="007C704D" w:rsidRPr="004E79AD" w:rsidRDefault="007C704D" w:rsidP="004E79AD">
            <w:pPr>
              <w:snapToGrid w:val="0"/>
              <w:spacing w:line="360" w:lineRule="auto"/>
              <w:jc w:val="both"/>
              <w:rPr>
                <w:rFonts w:ascii="Book Antiqua" w:hAnsi="Book Antiqua" w:cs="Times New Roman"/>
                <w:sz w:val="24"/>
                <w:szCs w:val="24"/>
              </w:rPr>
            </w:pPr>
          </w:p>
        </w:tc>
        <w:tc>
          <w:tcPr>
            <w:tcW w:w="2036" w:type="dxa"/>
          </w:tcPr>
          <w:p w14:paraId="0CA52577"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Missing</w:t>
            </w:r>
          </w:p>
        </w:tc>
        <w:tc>
          <w:tcPr>
            <w:tcW w:w="1809" w:type="dxa"/>
          </w:tcPr>
          <w:p w14:paraId="369AF62F"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 (0.5)</w:t>
            </w:r>
          </w:p>
        </w:tc>
        <w:tc>
          <w:tcPr>
            <w:tcW w:w="1768" w:type="dxa"/>
          </w:tcPr>
          <w:p w14:paraId="71E34C80" w14:textId="77777777" w:rsidR="007C704D" w:rsidRPr="004E79AD" w:rsidRDefault="007C704D"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4 (0.3)</w:t>
            </w:r>
          </w:p>
        </w:tc>
        <w:tc>
          <w:tcPr>
            <w:tcW w:w="1250" w:type="dxa"/>
          </w:tcPr>
          <w:p w14:paraId="37FACC20" w14:textId="77777777" w:rsidR="007C704D" w:rsidRPr="004E79AD" w:rsidRDefault="007C704D" w:rsidP="004E79AD">
            <w:pPr>
              <w:snapToGrid w:val="0"/>
              <w:spacing w:line="360" w:lineRule="auto"/>
              <w:jc w:val="both"/>
              <w:rPr>
                <w:rFonts w:ascii="Book Antiqua" w:hAnsi="Book Antiqua" w:cs="Times New Roman"/>
                <w:b/>
                <w:sz w:val="24"/>
                <w:szCs w:val="24"/>
              </w:rPr>
            </w:pPr>
          </w:p>
        </w:tc>
      </w:tr>
    </w:tbl>
    <w:p w14:paraId="1D75C4F9" w14:textId="3EAD51C9" w:rsidR="00221506" w:rsidRPr="004E79AD" w:rsidRDefault="008770EC" w:rsidP="004E79AD">
      <w:pPr>
        <w:snapToGrid w:val="0"/>
        <w:spacing w:after="0" w:line="360" w:lineRule="auto"/>
        <w:jc w:val="both"/>
        <w:rPr>
          <w:rFonts w:ascii="Book Antiqua" w:hAnsi="Book Antiqua" w:cs="Times New Roman"/>
          <w:sz w:val="24"/>
          <w:szCs w:val="24"/>
        </w:rPr>
      </w:pPr>
      <w:r w:rsidRPr="004E79AD">
        <w:rPr>
          <w:rFonts w:ascii="Book Antiqua" w:hAnsi="Book Antiqua" w:cs="Times New Roman"/>
          <w:sz w:val="24"/>
          <w:szCs w:val="24"/>
        </w:rPr>
        <w:t>HIPEC</w:t>
      </w:r>
      <w:r w:rsidRPr="004E79AD">
        <w:rPr>
          <w:rFonts w:ascii="Book Antiqua" w:hAnsi="Book Antiqua" w:cs="Times New Roman"/>
          <w:sz w:val="24"/>
          <w:szCs w:val="24"/>
          <w:lang w:eastAsia="zh-CN"/>
        </w:rPr>
        <w:t>:</w:t>
      </w:r>
      <w:r w:rsidR="00221506" w:rsidRPr="004E79AD">
        <w:rPr>
          <w:rFonts w:ascii="Book Antiqua" w:hAnsi="Book Antiqua" w:cs="Times New Roman"/>
          <w:sz w:val="24"/>
          <w:szCs w:val="24"/>
        </w:rPr>
        <w:t xml:space="preserve"> </w:t>
      </w:r>
      <w:proofErr w:type="spellStart"/>
      <w:r w:rsidRPr="004E79AD">
        <w:rPr>
          <w:rFonts w:ascii="Book Antiqua" w:hAnsi="Book Antiqua" w:cs="Times New Roman"/>
          <w:sz w:val="24"/>
          <w:szCs w:val="24"/>
        </w:rPr>
        <w:t>Hyperthermic</w:t>
      </w:r>
      <w:proofErr w:type="spellEnd"/>
      <w:r w:rsidRPr="004E79AD">
        <w:rPr>
          <w:rFonts w:ascii="Book Antiqua" w:hAnsi="Book Antiqua" w:cs="Times New Roman"/>
          <w:sz w:val="24"/>
          <w:szCs w:val="24"/>
        </w:rPr>
        <w:t xml:space="preserve"> </w:t>
      </w:r>
      <w:r w:rsidR="00221506" w:rsidRPr="004E79AD">
        <w:rPr>
          <w:rFonts w:ascii="Book Antiqua" w:hAnsi="Book Antiqua" w:cs="Times New Roman"/>
          <w:sz w:val="24"/>
          <w:szCs w:val="24"/>
        </w:rPr>
        <w:t>i</w:t>
      </w:r>
      <w:r w:rsidRPr="004E79AD">
        <w:rPr>
          <w:rFonts w:ascii="Book Antiqua" w:hAnsi="Book Antiqua" w:cs="Times New Roman"/>
          <w:sz w:val="24"/>
          <w:szCs w:val="24"/>
        </w:rPr>
        <w:t>ntraperitoneal chemotherapy; SD:</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Standard deviation; BMI:</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Body mass index; CRS:</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 xml:space="preserve">Cytoreductive </w:t>
      </w:r>
      <w:r w:rsidR="00221506" w:rsidRPr="004E79AD">
        <w:rPr>
          <w:rFonts w:ascii="Book Antiqua" w:hAnsi="Book Antiqua" w:cs="Times New Roman"/>
          <w:sz w:val="24"/>
          <w:szCs w:val="24"/>
        </w:rPr>
        <w:t>surgery; ASA</w:t>
      </w:r>
      <w:r w:rsidRPr="004E79AD">
        <w:rPr>
          <w:rFonts w:ascii="Book Antiqua" w:hAnsi="Book Antiqua" w:cs="Times New Roman"/>
          <w:sz w:val="24"/>
          <w:szCs w:val="24"/>
        </w:rPr>
        <w:t>:</w:t>
      </w:r>
      <w:r w:rsidR="00221506" w:rsidRPr="004E79AD">
        <w:rPr>
          <w:rFonts w:ascii="Book Antiqua" w:hAnsi="Book Antiqua" w:cs="Times New Roman"/>
          <w:sz w:val="24"/>
          <w:szCs w:val="24"/>
        </w:rPr>
        <w:t xml:space="preserve"> American</w:t>
      </w:r>
      <w:r w:rsidRPr="004E79AD">
        <w:rPr>
          <w:rFonts w:ascii="Book Antiqua" w:hAnsi="Book Antiqua" w:cs="Times New Roman"/>
          <w:sz w:val="24"/>
          <w:szCs w:val="24"/>
        </w:rPr>
        <w:t xml:space="preserve"> Society of Anesthesiology; PCI:</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Peritoneal carcinomatosis index; IP:</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Intraperitoneal; CCR:</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Completeness of cytoreduction; LOS:</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Length of stay; IQR:</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Interquartile range; ICU:</w:t>
      </w:r>
      <w:r w:rsidR="00221506" w:rsidRPr="004E79AD">
        <w:rPr>
          <w:rFonts w:ascii="Book Antiqua" w:hAnsi="Book Antiqua" w:cs="Times New Roman"/>
          <w:sz w:val="24"/>
          <w:szCs w:val="24"/>
        </w:rPr>
        <w:t xml:space="preserve"> </w:t>
      </w:r>
      <w:r w:rsidRPr="004E79AD">
        <w:rPr>
          <w:rFonts w:ascii="Book Antiqua" w:hAnsi="Book Antiqua" w:cs="Times New Roman"/>
          <w:sz w:val="24"/>
          <w:szCs w:val="24"/>
        </w:rPr>
        <w:t xml:space="preserve">Intensive </w:t>
      </w:r>
      <w:r w:rsidR="00221506" w:rsidRPr="004E79AD">
        <w:rPr>
          <w:rFonts w:ascii="Book Antiqua" w:hAnsi="Book Antiqua" w:cs="Times New Roman"/>
          <w:sz w:val="24"/>
          <w:szCs w:val="24"/>
        </w:rPr>
        <w:t>care unit</w:t>
      </w:r>
      <w:r w:rsidRPr="004E79AD">
        <w:rPr>
          <w:rFonts w:ascii="Book Antiqua" w:hAnsi="Book Antiqua" w:cs="Times New Roman"/>
          <w:sz w:val="24"/>
          <w:szCs w:val="24"/>
        </w:rPr>
        <w:t>.</w:t>
      </w:r>
    </w:p>
    <w:p w14:paraId="4A1233A9" w14:textId="77777777" w:rsidR="00221506" w:rsidRPr="004E79AD" w:rsidRDefault="00221506" w:rsidP="004E79AD">
      <w:pPr>
        <w:snapToGrid w:val="0"/>
        <w:spacing w:after="0" w:line="360" w:lineRule="auto"/>
        <w:jc w:val="both"/>
        <w:rPr>
          <w:rFonts w:ascii="Book Antiqua" w:hAnsi="Book Antiqua"/>
          <w:sz w:val="24"/>
          <w:szCs w:val="24"/>
        </w:rPr>
      </w:pPr>
    </w:p>
    <w:p w14:paraId="22088DC8" w14:textId="328C7BF3" w:rsidR="003A14A6" w:rsidRPr="004E79AD" w:rsidRDefault="00221506"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b/>
          <w:sz w:val="24"/>
          <w:szCs w:val="24"/>
        </w:rPr>
        <w:br w:type="page"/>
      </w:r>
    </w:p>
    <w:p w14:paraId="71AE5D61" w14:textId="77777777" w:rsidR="00997C39" w:rsidRPr="004E79AD" w:rsidRDefault="00997C39" w:rsidP="004E79AD">
      <w:pPr>
        <w:snapToGrid w:val="0"/>
        <w:spacing w:after="0" w:line="360" w:lineRule="auto"/>
        <w:jc w:val="both"/>
        <w:rPr>
          <w:rFonts w:ascii="Book Antiqua" w:hAnsi="Book Antiqua" w:cs="Times New Roman"/>
          <w:b/>
          <w:noProof/>
          <w:sz w:val="24"/>
          <w:szCs w:val="24"/>
        </w:rPr>
        <w:sectPr w:rsidR="00997C39" w:rsidRPr="004E79AD" w:rsidSect="00095ED6">
          <w:footerReference w:type="default" r:id="rId11"/>
          <w:pgSz w:w="12240" w:h="15840"/>
          <w:pgMar w:top="1440" w:right="1800" w:bottom="1440" w:left="1800" w:header="720" w:footer="720" w:gutter="0"/>
          <w:cols w:space="720"/>
          <w:docGrid w:linePitch="360"/>
        </w:sectPr>
      </w:pPr>
    </w:p>
    <w:p w14:paraId="55CDA686" w14:textId="527BE03C" w:rsidR="00D7049C" w:rsidRPr="004E79AD" w:rsidRDefault="00F75212" w:rsidP="004E79AD">
      <w:pPr>
        <w:snapToGrid w:val="0"/>
        <w:spacing w:after="0" w:line="360" w:lineRule="auto"/>
        <w:jc w:val="both"/>
        <w:rPr>
          <w:rFonts w:ascii="Book Antiqua" w:hAnsi="Book Antiqua" w:cs="Times New Roman"/>
          <w:b/>
          <w:noProof/>
          <w:sz w:val="24"/>
          <w:szCs w:val="24"/>
        </w:rPr>
      </w:pPr>
      <w:r w:rsidRPr="004E79AD">
        <w:rPr>
          <w:rFonts w:ascii="Book Antiqua" w:hAnsi="Book Antiqua" w:cs="Times New Roman"/>
          <w:b/>
          <w:noProof/>
          <w:sz w:val="24"/>
          <w:szCs w:val="24"/>
        </w:rPr>
        <w:lastRenderedPageBreak/>
        <w:t>Table</w:t>
      </w:r>
      <w:r w:rsidR="00D7049C" w:rsidRPr="004E79AD">
        <w:rPr>
          <w:rFonts w:ascii="Book Antiqua" w:hAnsi="Book Antiqua" w:cs="Times New Roman"/>
          <w:b/>
          <w:noProof/>
          <w:sz w:val="24"/>
          <w:szCs w:val="24"/>
        </w:rPr>
        <w:t xml:space="preserve"> </w:t>
      </w:r>
      <w:r w:rsidR="00A54808" w:rsidRPr="004E79AD">
        <w:rPr>
          <w:rFonts w:ascii="Book Antiqua" w:hAnsi="Book Antiqua" w:cs="Times New Roman"/>
          <w:b/>
          <w:noProof/>
          <w:sz w:val="24"/>
          <w:szCs w:val="24"/>
        </w:rPr>
        <w:t>2</w:t>
      </w:r>
      <w:r w:rsidR="00D7049C" w:rsidRPr="004E79AD">
        <w:rPr>
          <w:rFonts w:ascii="Book Antiqua" w:hAnsi="Book Antiqua" w:cs="Times New Roman"/>
          <w:b/>
          <w:noProof/>
          <w:sz w:val="24"/>
          <w:szCs w:val="24"/>
        </w:rPr>
        <w:t xml:space="preserve"> Multivariable analysis for overall survival based on histology</w:t>
      </w:r>
    </w:p>
    <w:tbl>
      <w:tblPr>
        <w:tblStyle w:val="a4"/>
        <w:tblW w:w="0" w:type="auto"/>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1575"/>
        <w:gridCol w:w="1120"/>
        <w:gridCol w:w="1131"/>
        <w:gridCol w:w="1120"/>
        <w:gridCol w:w="1120"/>
        <w:gridCol w:w="1123"/>
        <w:gridCol w:w="1120"/>
        <w:gridCol w:w="1120"/>
        <w:gridCol w:w="1131"/>
        <w:gridCol w:w="1120"/>
      </w:tblGrid>
      <w:tr w:rsidR="008770EC" w:rsidRPr="004E79AD" w14:paraId="2C78EF52" w14:textId="77777777" w:rsidTr="00DD5CB5">
        <w:trPr>
          <w:trHeight w:val="432"/>
        </w:trPr>
        <w:tc>
          <w:tcPr>
            <w:tcW w:w="3677" w:type="dxa"/>
            <w:gridSpan w:val="2"/>
            <w:tcBorders>
              <w:top w:val="single" w:sz="4" w:space="0" w:color="auto"/>
              <w:bottom w:val="single" w:sz="4" w:space="0" w:color="auto"/>
            </w:tcBorders>
            <w:shd w:val="clear" w:color="auto" w:fill="auto"/>
            <w:vAlign w:val="center"/>
          </w:tcPr>
          <w:p w14:paraId="75B51762" w14:textId="77777777" w:rsidR="00997C39" w:rsidRPr="004E79AD" w:rsidRDefault="00997C39" w:rsidP="004E79AD">
            <w:pPr>
              <w:snapToGrid w:val="0"/>
              <w:spacing w:line="360" w:lineRule="auto"/>
              <w:jc w:val="both"/>
              <w:rPr>
                <w:rFonts w:ascii="Book Antiqua" w:hAnsi="Book Antiqua" w:cs="Times New Roman"/>
                <w:b/>
                <w:sz w:val="24"/>
                <w:szCs w:val="24"/>
              </w:rPr>
            </w:pPr>
          </w:p>
        </w:tc>
        <w:tc>
          <w:tcPr>
            <w:tcW w:w="3371" w:type="dxa"/>
            <w:gridSpan w:val="3"/>
            <w:tcBorders>
              <w:top w:val="single" w:sz="4" w:space="0" w:color="auto"/>
              <w:bottom w:val="single" w:sz="4" w:space="0" w:color="auto"/>
            </w:tcBorders>
            <w:shd w:val="clear" w:color="auto" w:fill="auto"/>
            <w:vAlign w:val="center"/>
          </w:tcPr>
          <w:p w14:paraId="3F4EF24D" w14:textId="0DEBA5F6"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 xml:space="preserve">OS </w:t>
            </w:r>
            <w:r w:rsidR="008770EC" w:rsidRPr="004E79AD">
              <w:rPr>
                <w:rFonts w:ascii="Book Antiqua" w:hAnsi="Book Antiqua" w:cs="Times New Roman"/>
                <w:b/>
                <w:sz w:val="24"/>
                <w:szCs w:val="24"/>
              </w:rPr>
              <w:t>entire cohort</w:t>
            </w:r>
          </w:p>
        </w:tc>
        <w:tc>
          <w:tcPr>
            <w:tcW w:w="3363" w:type="dxa"/>
            <w:gridSpan w:val="3"/>
            <w:tcBorders>
              <w:top w:val="single" w:sz="4" w:space="0" w:color="auto"/>
              <w:bottom w:val="single" w:sz="4" w:space="0" w:color="auto"/>
            </w:tcBorders>
            <w:shd w:val="clear" w:color="auto" w:fill="auto"/>
            <w:vAlign w:val="center"/>
          </w:tcPr>
          <w:p w14:paraId="52B25CCC" w14:textId="2F770CBD"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 xml:space="preserve">OS </w:t>
            </w:r>
            <w:r w:rsidR="008770EC" w:rsidRPr="004E79AD">
              <w:rPr>
                <w:rFonts w:ascii="Book Antiqua" w:hAnsi="Book Antiqua" w:cs="Times New Roman"/>
                <w:b/>
                <w:sz w:val="24"/>
                <w:szCs w:val="24"/>
              </w:rPr>
              <w:t>appendiceal cohort</w:t>
            </w:r>
          </w:p>
        </w:tc>
        <w:tc>
          <w:tcPr>
            <w:tcW w:w="3371" w:type="dxa"/>
            <w:gridSpan w:val="3"/>
            <w:tcBorders>
              <w:top w:val="single" w:sz="4" w:space="0" w:color="auto"/>
              <w:bottom w:val="single" w:sz="4" w:space="0" w:color="auto"/>
            </w:tcBorders>
            <w:shd w:val="clear" w:color="auto" w:fill="auto"/>
            <w:vAlign w:val="center"/>
          </w:tcPr>
          <w:p w14:paraId="1F9EDC5F" w14:textId="0CFFFF4A"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 xml:space="preserve">OS </w:t>
            </w:r>
            <w:r w:rsidR="008770EC" w:rsidRPr="004E79AD">
              <w:rPr>
                <w:rFonts w:ascii="Book Antiqua" w:hAnsi="Book Antiqua" w:cs="Times New Roman"/>
                <w:b/>
                <w:sz w:val="24"/>
                <w:szCs w:val="24"/>
              </w:rPr>
              <w:t>colorectal cohort</w:t>
            </w:r>
          </w:p>
        </w:tc>
      </w:tr>
      <w:tr w:rsidR="008770EC" w:rsidRPr="004E79AD" w14:paraId="210373AA" w14:textId="77777777" w:rsidTr="00DD5CB5">
        <w:trPr>
          <w:trHeight w:val="432"/>
        </w:trPr>
        <w:tc>
          <w:tcPr>
            <w:tcW w:w="3677" w:type="dxa"/>
            <w:gridSpan w:val="2"/>
            <w:tcBorders>
              <w:top w:val="single" w:sz="4" w:space="0" w:color="auto"/>
              <w:bottom w:val="single" w:sz="4" w:space="0" w:color="auto"/>
            </w:tcBorders>
            <w:shd w:val="clear" w:color="auto" w:fill="auto"/>
            <w:vAlign w:val="center"/>
          </w:tcPr>
          <w:p w14:paraId="3681E938"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Factor</w:t>
            </w:r>
          </w:p>
        </w:tc>
        <w:tc>
          <w:tcPr>
            <w:tcW w:w="1120" w:type="dxa"/>
            <w:tcBorders>
              <w:top w:val="single" w:sz="4" w:space="0" w:color="auto"/>
              <w:bottom w:val="single" w:sz="4" w:space="0" w:color="auto"/>
            </w:tcBorders>
            <w:shd w:val="clear" w:color="auto" w:fill="auto"/>
            <w:vAlign w:val="center"/>
          </w:tcPr>
          <w:p w14:paraId="30DCC750"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HR</w:t>
            </w:r>
          </w:p>
        </w:tc>
        <w:tc>
          <w:tcPr>
            <w:tcW w:w="1131" w:type="dxa"/>
            <w:tcBorders>
              <w:top w:val="single" w:sz="4" w:space="0" w:color="auto"/>
              <w:bottom w:val="single" w:sz="4" w:space="0" w:color="auto"/>
            </w:tcBorders>
            <w:shd w:val="clear" w:color="auto" w:fill="auto"/>
            <w:vAlign w:val="center"/>
          </w:tcPr>
          <w:p w14:paraId="20D703DC" w14:textId="79B7DE72" w:rsidR="00997C39" w:rsidRPr="004E79AD" w:rsidRDefault="008770EC"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95%</w:t>
            </w:r>
            <w:r w:rsidR="00997C39" w:rsidRPr="004E79AD">
              <w:rPr>
                <w:rFonts w:ascii="Book Antiqua" w:hAnsi="Book Antiqua" w:cs="Times New Roman"/>
                <w:b/>
                <w:sz w:val="24"/>
                <w:szCs w:val="24"/>
              </w:rPr>
              <w:t>CI</w:t>
            </w:r>
          </w:p>
        </w:tc>
        <w:tc>
          <w:tcPr>
            <w:tcW w:w="1120" w:type="dxa"/>
            <w:tcBorders>
              <w:top w:val="single" w:sz="4" w:space="0" w:color="auto"/>
              <w:bottom w:val="single" w:sz="4" w:space="0" w:color="auto"/>
            </w:tcBorders>
            <w:shd w:val="clear" w:color="auto" w:fill="auto"/>
            <w:vAlign w:val="center"/>
          </w:tcPr>
          <w:p w14:paraId="73BBC072" w14:textId="1F08F348" w:rsidR="00997C39" w:rsidRPr="004E79AD" w:rsidRDefault="008770EC" w:rsidP="004E79AD">
            <w:pPr>
              <w:snapToGrid w:val="0"/>
              <w:spacing w:line="360" w:lineRule="auto"/>
              <w:jc w:val="both"/>
              <w:rPr>
                <w:rFonts w:ascii="Book Antiqua" w:hAnsi="Book Antiqua" w:cs="Times New Roman"/>
                <w:b/>
                <w:i/>
                <w:sz w:val="24"/>
                <w:szCs w:val="24"/>
              </w:rPr>
            </w:pPr>
            <w:r w:rsidRPr="004E79AD">
              <w:rPr>
                <w:rFonts w:ascii="Book Antiqua" w:hAnsi="Book Antiqua" w:cs="Times New Roman"/>
                <w:b/>
                <w:i/>
                <w:sz w:val="24"/>
                <w:szCs w:val="24"/>
              </w:rPr>
              <w:t>P</w:t>
            </w:r>
            <w:r w:rsidR="00DD5CB5" w:rsidRPr="004E79AD">
              <w:rPr>
                <w:rFonts w:ascii="Book Antiqua" w:hAnsi="Book Antiqua" w:cs="Times New Roman"/>
                <w:b/>
                <w:i/>
                <w:sz w:val="24"/>
                <w:szCs w:val="24"/>
              </w:rPr>
              <w:t xml:space="preserve"> </w:t>
            </w:r>
            <w:r w:rsidR="00DD5CB5" w:rsidRPr="004E79AD">
              <w:rPr>
                <w:rFonts w:ascii="Book Antiqua" w:hAnsi="Book Antiqua" w:cs="Times New Roman"/>
                <w:b/>
                <w:sz w:val="24"/>
                <w:szCs w:val="24"/>
              </w:rPr>
              <w:t>value</w:t>
            </w:r>
          </w:p>
        </w:tc>
        <w:tc>
          <w:tcPr>
            <w:tcW w:w="1120" w:type="dxa"/>
            <w:tcBorders>
              <w:top w:val="single" w:sz="4" w:space="0" w:color="auto"/>
              <w:bottom w:val="single" w:sz="4" w:space="0" w:color="auto"/>
            </w:tcBorders>
            <w:shd w:val="clear" w:color="auto" w:fill="auto"/>
            <w:vAlign w:val="center"/>
          </w:tcPr>
          <w:p w14:paraId="04D2D818"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HR</w:t>
            </w:r>
          </w:p>
        </w:tc>
        <w:tc>
          <w:tcPr>
            <w:tcW w:w="1123" w:type="dxa"/>
            <w:tcBorders>
              <w:top w:val="single" w:sz="4" w:space="0" w:color="auto"/>
              <w:bottom w:val="single" w:sz="4" w:space="0" w:color="auto"/>
            </w:tcBorders>
            <w:shd w:val="clear" w:color="auto" w:fill="auto"/>
            <w:vAlign w:val="center"/>
          </w:tcPr>
          <w:p w14:paraId="27B8BBCE"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95% CI</w:t>
            </w:r>
          </w:p>
        </w:tc>
        <w:tc>
          <w:tcPr>
            <w:tcW w:w="1120" w:type="dxa"/>
            <w:tcBorders>
              <w:top w:val="single" w:sz="4" w:space="0" w:color="auto"/>
              <w:bottom w:val="single" w:sz="4" w:space="0" w:color="auto"/>
            </w:tcBorders>
            <w:shd w:val="clear" w:color="auto" w:fill="auto"/>
            <w:vAlign w:val="center"/>
          </w:tcPr>
          <w:p w14:paraId="75099251" w14:textId="3E95A2D7" w:rsidR="00997C39" w:rsidRPr="004E79AD" w:rsidRDefault="008770EC" w:rsidP="004E79AD">
            <w:pPr>
              <w:snapToGrid w:val="0"/>
              <w:spacing w:line="360" w:lineRule="auto"/>
              <w:jc w:val="both"/>
              <w:rPr>
                <w:rFonts w:ascii="Book Antiqua" w:hAnsi="Book Antiqua" w:cs="Times New Roman"/>
                <w:b/>
                <w:i/>
                <w:sz w:val="24"/>
                <w:szCs w:val="24"/>
              </w:rPr>
            </w:pPr>
            <w:r w:rsidRPr="004E79AD">
              <w:rPr>
                <w:rFonts w:ascii="Book Antiqua" w:hAnsi="Book Antiqua" w:cs="Times New Roman"/>
                <w:b/>
                <w:i/>
                <w:sz w:val="24"/>
                <w:szCs w:val="24"/>
              </w:rPr>
              <w:t>P</w:t>
            </w:r>
            <w:r w:rsidR="00DD5CB5" w:rsidRPr="004E79AD">
              <w:rPr>
                <w:rFonts w:ascii="Book Antiqua" w:hAnsi="Book Antiqua" w:cs="Times New Roman"/>
                <w:b/>
                <w:sz w:val="24"/>
                <w:szCs w:val="24"/>
              </w:rPr>
              <w:t xml:space="preserve"> value</w:t>
            </w:r>
          </w:p>
        </w:tc>
        <w:tc>
          <w:tcPr>
            <w:tcW w:w="1120" w:type="dxa"/>
            <w:tcBorders>
              <w:top w:val="single" w:sz="4" w:space="0" w:color="auto"/>
              <w:bottom w:val="single" w:sz="4" w:space="0" w:color="auto"/>
            </w:tcBorders>
            <w:shd w:val="clear" w:color="auto" w:fill="auto"/>
            <w:vAlign w:val="center"/>
          </w:tcPr>
          <w:p w14:paraId="0B3F2E62"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HR</w:t>
            </w:r>
          </w:p>
        </w:tc>
        <w:tc>
          <w:tcPr>
            <w:tcW w:w="1131" w:type="dxa"/>
            <w:tcBorders>
              <w:top w:val="single" w:sz="4" w:space="0" w:color="auto"/>
              <w:bottom w:val="single" w:sz="4" w:space="0" w:color="auto"/>
            </w:tcBorders>
            <w:shd w:val="clear" w:color="auto" w:fill="auto"/>
            <w:vAlign w:val="center"/>
          </w:tcPr>
          <w:p w14:paraId="11E309F2" w14:textId="20F82F7A" w:rsidR="00997C39" w:rsidRPr="004E79AD" w:rsidRDefault="008770EC"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95%</w:t>
            </w:r>
            <w:r w:rsidR="00997C39" w:rsidRPr="004E79AD">
              <w:rPr>
                <w:rFonts w:ascii="Book Antiqua" w:hAnsi="Book Antiqua" w:cs="Times New Roman"/>
                <w:b/>
                <w:sz w:val="24"/>
                <w:szCs w:val="24"/>
              </w:rPr>
              <w:t>CI</w:t>
            </w:r>
          </w:p>
        </w:tc>
        <w:tc>
          <w:tcPr>
            <w:tcW w:w="1120" w:type="dxa"/>
            <w:tcBorders>
              <w:top w:val="single" w:sz="4" w:space="0" w:color="auto"/>
              <w:bottom w:val="single" w:sz="4" w:space="0" w:color="auto"/>
            </w:tcBorders>
            <w:shd w:val="clear" w:color="auto" w:fill="auto"/>
            <w:vAlign w:val="center"/>
          </w:tcPr>
          <w:p w14:paraId="4E014010" w14:textId="23048D6B" w:rsidR="00997C39" w:rsidRPr="004E79AD" w:rsidRDefault="008770EC" w:rsidP="004E79AD">
            <w:pPr>
              <w:snapToGrid w:val="0"/>
              <w:spacing w:line="360" w:lineRule="auto"/>
              <w:jc w:val="both"/>
              <w:rPr>
                <w:rFonts w:ascii="Book Antiqua" w:hAnsi="Book Antiqua" w:cs="Times New Roman"/>
                <w:b/>
                <w:i/>
                <w:sz w:val="24"/>
                <w:szCs w:val="24"/>
              </w:rPr>
            </w:pPr>
            <w:r w:rsidRPr="004E79AD">
              <w:rPr>
                <w:rFonts w:ascii="Book Antiqua" w:hAnsi="Book Antiqua" w:cs="Times New Roman"/>
                <w:b/>
                <w:i/>
                <w:sz w:val="24"/>
                <w:szCs w:val="24"/>
              </w:rPr>
              <w:t>P</w:t>
            </w:r>
            <w:r w:rsidR="00DD5CB5" w:rsidRPr="004E79AD">
              <w:rPr>
                <w:rFonts w:ascii="Book Antiqua" w:hAnsi="Book Antiqua" w:cs="Times New Roman"/>
                <w:b/>
                <w:sz w:val="24"/>
                <w:szCs w:val="24"/>
              </w:rPr>
              <w:t xml:space="preserve"> value</w:t>
            </w:r>
          </w:p>
        </w:tc>
      </w:tr>
      <w:tr w:rsidR="008770EC" w:rsidRPr="004E79AD" w14:paraId="35AD16D8" w14:textId="77777777" w:rsidTr="00DD5CB5">
        <w:trPr>
          <w:trHeight w:val="288"/>
        </w:trPr>
        <w:tc>
          <w:tcPr>
            <w:tcW w:w="2102" w:type="dxa"/>
            <w:tcBorders>
              <w:top w:val="single" w:sz="4" w:space="0" w:color="auto"/>
            </w:tcBorders>
            <w:shd w:val="clear" w:color="auto" w:fill="auto"/>
            <w:vAlign w:val="center"/>
          </w:tcPr>
          <w:p w14:paraId="1C79100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Age</w:t>
            </w:r>
          </w:p>
        </w:tc>
        <w:tc>
          <w:tcPr>
            <w:tcW w:w="1575" w:type="dxa"/>
            <w:tcBorders>
              <w:top w:val="single" w:sz="4" w:space="0" w:color="auto"/>
            </w:tcBorders>
            <w:shd w:val="clear" w:color="auto" w:fill="auto"/>
            <w:vAlign w:val="center"/>
          </w:tcPr>
          <w:p w14:paraId="6B68E37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65</w:t>
            </w:r>
          </w:p>
        </w:tc>
        <w:tc>
          <w:tcPr>
            <w:tcW w:w="3371" w:type="dxa"/>
            <w:gridSpan w:val="3"/>
            <w:tcBorders>
              <w:top w:val="single" w:sz="4" w:space="0" w:color="auto"/>
            </w:tcBorders>
            <w:shd w:val="clear" w:color="auto" w:fill="auto"/>
            <w:vAlign w:val="center"/>
          </w:tcPr>
          <w:p w14:paraId="31EC116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tcBorders>
              <w:top w:val="single" w:sz="4" w:space="0" w:color="auto"/>
            </w:tcBorders>
            <w:shd w:val="clear" w:color="auto" w:fill="auto"/>
            <w:vAlign w:val="center"/>
          </w:tcPr>
          <w:p w14:paraId="48651C0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tcBorders>
              <w:top w:val="single" w:sz="4" w:space="0" w:color="auto"/>
            </w:tcBorders>
            <w:shd w:val="clear" w:color="auto" w:fill="auto"/>
            <w:vAlign w:val="center"/>
          </w:tcPr>
          <w:p w14:paraId="69EFF59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03832113" w14:textId="77777777" w:rsidTr="00DD5CB5">
        <w:trPr>
          <w:trHeight w:val="288"/>
        </w:trPr>
        <w:tc>
          <w:tcPr>
            <w:tcW w:w="2102" w:type="dxa"/>
            <w:shd w:val="clear" w:color="auto" w:fill="auto"/>
            <w:vAlign w:val="center"/>
          </w:tcPr>
          <w:p w14:paraId="4C521B68"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04F254C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65</w:t>
            </w:r>
          </w:p>
        </w:tc>
        <w:tc>
          <w:tcPr>
            <w:tcW w:w="1120" w:type="dxa"/>
            <w:shd w:val="clear" w:color="auto" w:fill="auto"/>
            <w:vAlign w:val="center"/>
          </w:tcPr>
          <w:p w14:paraId="5FAC052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1.07</w:t>
            </w:r>
          </w:p>
        </w:tc>
        <w:tc>
          <w:tcPr>
            <w:tcW w:w="1131" w:type="dxa"/>
            <w:shd w:val="clear" w:color="auto" w:fill="auto"/>
            <w:vAlign w:val="center"/>
          </w:tcPr>
          <w:p w14:paraId="654E8A5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0.79-1.45</w:t>
            </w:r>
          </w:p>
        </w:tc>
        <w:tc>
          <w:tcPr>
            <w:tcW w:w="1120" w:type="dxa"/>
            <w:shd w:val="clear" w:color="auto" w:fill="auto"/>
            <w:vAlign w:val="center"/>
          </w:tcPr>
          <w:p w14:paraId="111E68B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0.65</w:t>
            </w:r>
          </w:p>
        </w:tc>
        <w:tc>
          <w:tcPr>
            <w:tcW w:w="1120" w:type="dxa"/>
            <w:shd w:val="clear" w:color="auto" w:fill="auto"/>
            <w:vAlign w:val="center"/>
          </w:tcPr>
          <w:p w14:paraId="56A46CB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1.21</w:t>
            </w:r>
          </w:p>
        </w:tc>
        <w:tc>
          <w:tcPr>
            <w:tcW w:w="1123" w:type="dxa"/>
            <w:shd w:val="clear" w:color="auto" w:fill="auto"/>
            <w:vAlign w:val="center"/>
          </w:tcPr>
          <w:p w14:paraId="7CEC0E8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0.80-1.81</w:t>
            </w:r>
          </w:p>
        </w:tc>
        <w:tc>
          <w:tcPr>
            <w:tcW w:w="1120" w:type="dxa"/>
            <w:shd w:val="clear" w:color="auto" w:fill="auto"/>
            <w:vAlign w:val="center"/>
          </w:tcPr>
          <w:p w14:paraId="06F5837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0.37</w:t>
            </w:r>
          </w:p>
        </w:tc>
        <w:tc>
          <w:tcPr>
            <w:tcW w:w="1120" w:type="dxa"/>
            <w:shd w:val="clear" w:color="auto" w:fill="auto"/>
            <w:vAlign w:val="center"/>
          </w:tcPr>
          <w:p w14:paraId="13C252C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0.87</w:t>
            </w:r>
          </w:p>
        </w:tc>
        <w:tc>
          <w:tcPr>
            <w:tcW w:w="1131" w:type="dxa"/>
            <w:shd w:val="clear" w:color="auto" w:fill="auto"/>
            <w:vAlign w:val="center"/>
          </w:tcPr>
          <w:p w14:paraId="20EDE27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0.54-1.39</w:t>
            </w:r>
          </w:p>
        </w:tc>
        <w:tc>
          <w:tcPr>
            <w:tcW w:w="1120" w:type="dxa"/>
            <w:shd w:val="clear" w:color="auto" w:fill="auto"/>
            <w:vAlign w:val="center"/>
          </w:tcPr>
          <w:p w14:paraId="611526E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0.57</w:t>
            </w:r>
          </w:p>
        </w:tc>
      </w:tr>
      <w:tr w:rsidR="008770EC" w:rsidRPr="004E79AD" w14:paraId="628DC61F" w14:textId="77777777" w:rsidTr="00DD5CB5">
        <w:trPr>
          <w:trHeight w:val="288"/>
        </w:trPr>
        <w:tc>
          <w:tcPr>
            <w:tcW w:w="2102" w:type="dxa"/>
            <w:shd w:val="clear" w:color="auto" w:fill="auto"/>
            <w:vAlign w:val="center"/>
          </w:tcPr>
          <w:p w14:paraId="58989A9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Previous CRS</w:t>
            </w:r>
          </w:p>
        </w:tc>
        <w:tc>
          <w:tcPr>
            <w:tcW w:w="1575" w:type="dxa"/>
            <w:shd w:val="clear" w:color="auto" w:fill="auto"/>
            <w:vAlign w:val="center"/>
          </w:tcPr>
          <w:p w14:paraId="7170422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No</w:t>
            </w:r>
          </w:p>
        </w:tc>
        <w:tc>
          <w:tcPr>
            <w:tcW w:w="3371" w:type="dxa"/>
            <w:gridSpan w:val="3"/>
            <w:shd w:val="clear" w:color="auto" w:fill="auto"/>
            <w:vAlign w:val="center"/>
          </w:tcPr>
          <w:p w14:paraId="7AA729E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79FEC13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3D46DCB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02037291" w14:textId="77777777" w:rsidTr="00DD5CB5">
        <w:trPr>
          <w:trHeight w:val="288"/>
        </w:trPr>
        <w:tc>
          <w:tcPr>
            <w:tcW w:w="2102" w:type="dxa"/>
            <w:shd w:val="clear" w:color="auto" w:fill="auto"/>
            <w:vAlign w:val="center"/>
          </w:tcPr>
          <w:p w14:paraId="73F68034"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52A14F2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Yes</w:t>
            </w:r>
          </w:p>
        </w:tc>
        <w:tc>
          <w:tcPr>
            <w:tcW w:w="1120" w:type="dxa"/>
            <w:shd w:val="clear" w:color="auto" w:fill="auto"/>
            <w:vAlign w:val="center"/>
          </w:tcPr>
          <w:p w14:paraId="1165E27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1.22</w:t>
            </w:r>
          </w:p>
        </w:tc>
        <w:tc>
          <w:tcPr>
            <w:tcW w:w="1131" w:type="dxa"/>
            <w:shd w:val="clear" w:color="auto" w:fill="auto"/>
            <w:vAlign w:val="center"/>
          </w:tcPr>
          <w:p w14:paraId="0CAE70B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0.91-1.64</w:t>
            </w:r>
          </w:p>
        </w:tc>
        <w:tc>
          <w:tcPr>
            <w:tcW w:w="1120" w:type="dxa"/>
            <w:shd w:val="clear" w:color="auto" w:fill="auto"/>
            <w:vAlign w:val="center"/>
          </w:tcPr>
          <w:p w14:paraId="1B25C7E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0.18</w:t>
            </w:r>
          </w:p>
        </w:tc>
        <w:tc>
          <w:tcPr>
            <w:tcW w:w="1120" w:type="dxa"/>
            <w:shd w:val="clear" w:color="auto" w:fill="auto"/>
            <w:vAlign w:val="center"/>
          </w:tcPr>
          <w:p w14:paraId="1373036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1.51</w:t>
            </w:r>
          </w:p>
        </w:tc>
        <w:tc>
          <w:tcPr>
            <w:tcW w:w="1123" w:type="dxa"/>
            <w:shd w:val="clear" w:color="auto" w:fill="auto"/>
            <w:vAlign w:val="center"/>
          </w:tcPr>
          <w:p w14:paraId="3E570E8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1.01-2.24</w:t>
            </w:r>
          </w:p>
        </w:tc>
        <w:tc>
          <w:tcPr>
            <w:tcW w:w="1120" w:type="dxa"/>
            <w:shd w:val="clear" w:color="auto" w:fill="auto"/>
            <w:vAlign w:val="center"/>
          </w:tcPr>
          <w:p w14:paraId="2CD5A8D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0.04</w:t>
            </w:r>
          </w:p>
        </w:tc>
        <w:tc>
          <w:tcPr>
            <w:tcW w:w="1120" w:type="dxa"/>
            <w:shd w:val="clear" w:color="auto" w:fill="auto"/>
            <w:vAlign w:val="center"/>
          </w:tcPr>
          <w:p w14:paraId="1BBAF86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1.10</w:t>
            </w:r>
          </w:p>
        </w:tc>
        <w:tc>
          <w:tcPr>
            <w:tcW w:w="1131" w:type="dxa"/>
            <w:shd w:val="clear" w:color="auto" w:fill="auto"/>
            <w:vAlign w:val="center"/>
          </w:tcPr>
          <w:p w14:paraId="6ED7648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0.69-1.73</w:t>
            </w:r>
          </w:p>
        </w:tc>
        <w:tc>
          <w:tcPr>
            <w:tcW w:w="1120" w:type="dxa"/>
            <w:shd w:val="clear" w:color="auto" w:fill="auto"/>
            <w:vAlign w:val="center"/>
          </w:tcPr>
          <w:p w14:paraId="583846D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0.68</w:t>
            </w:r>
          </w:p>
        </w:tc>
      </w:tr>
      <w:tr w:rsidR="008770EC" w:rsidRPr="004E79AD" w14:paraId="4A570E44" w14:textId="77777777" w:rsidTr="00DD5CB5">
        <w:trPr>
          <w:trHeight w:val="288"/>
        </w:trPr>
        <w:tc>
          <w:tcPr>
            <w:tcW w:w="2102" w:type="dxa"/>
            <w:shd w:val="clear" w:color="auto" w:fill="auto"/>
            <w:vAlign w:val="center"/>
          </w:tcPr>
          <w:p w14:paraId="594ED5D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Histology</w:t>
            </w:r>
          </w:p>
        </w:tc>
        <w:tc>
          <w:tcPr>
            <w:tcW w:w="1575" w:type="dxa"/>
            <w:shd w:val="clear" w:color="auto" w:fill="auto"/>
            <w:vAlign w:val="center"/>
          </w:tcPr>
          <w:p w14:paraId="406E05D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Appendiceal</w:t>
            </w:r>
          </w:p>
        </w:tc>
        <w:tc>
          <w:tcPr>
            <w:tcW w:w="3371" w:type="dxa"/>
            <w:gridSpan w:val="3"/>
            <w:shd w:val="clear" w:color="auto" w:fill="auto"/>
            <w:vAlign w:val="center"/>
          </w:tcPr>
          <w:p w14:paraId="57E352E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1120" w:type="dxa"/>
            <w:shd w:val="clear" w:color="auto" w:fill="auto"/>
            <w:vAlign w:val="center"/>
          </w:tcPr>
          <w:p w14:paraId="46EFAE5F"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23" w:type="dxa"/>
            <w:shd w:val="clear" w:color="auto" w:fill="auto"/>
            <w:vAlign w:val="center"/>
          </w:tcPr>
          <w:p w14:paraId="74015F88"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20" w:type="dxa"/>
            <w:shd w:val="clear" w:color="auto" w:fill="auto"/>
            <w:vAlign w:val="center"/>
          </w:tcPr>
          <w:p w14:paraId="73BAC942"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20" w:type="dxa"/>
            <w:shd w:val="clear" w:color="auto" w:fill="auto"/>
            <w:vAlign w:val="center"/>
          </w:tcPr>
          <w:p w14:paraId="5FC7D58C"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1" w:type="dxa"/>
            <w:shd w:val="clear" w:color="auto" w:fill="auto"/>
            <w:vAlign w:val="center"/>
          </w:tcPr>
          <w:p w14:paraId="10583D58"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20" w:type="dxa"/>
            <w:shd w:val="clear" w:color="auto" w:fill="auto"/>
            <w:vAlign w:val="center"/>
          </w:tcPr>
          <w:p w14:paraId="24361883" w14:textId="77777777" w:rsidR="00997C39" w:rsidRPr="004E79AD" w:rsidRDefault="00997C39" w:rsidP="004E79AD">
            <w:pPr>
              <w:snapToGrid w:val="0"/>
              <w:spacing w:line="360" w:lineRule="auto"/>
              <w:jc w:val="both"/>
              <w:rPr>
                <w:rFonts w:ascii="Book Antiqua" w:hAnsi="Book Antiqua" w:cs="Times New Roman"/>
                <w:sz w:val="24"/>
                <w:szCs w:val="24"/>
              </w:rPr>
            </w:pPr>
          </w:p>
        </w:tc>
      </w:tr>
      <w:tr w:rsidR="008770EC" w:rsidRPr="004E79AD" w14:paraId="34FC09A1" w14:textId="77777777" w:rsidTr="00DD5CB5">
        <w:trPr>
          <w:trHeight w:val="288"/>
        </w:trPr>
        <w:tc>
          <w:tcPr>
            <w:tcW w:w="2102" w:type="dxa"/>
            <w:shd w:val="clear" w:color="auto" w:fill="auto"/>
            <w:vAlign w:val="center"/>
          </w:tcPr>
          <w:p w14:paraId="08CB14C8"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71E8FA7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Colorectal</w:t>
            </w:r>
          </w:p>
        </w:tc>
        <w:tc>
          <w:tcPr>
            <w:tcW w:w="1120" w:type="dxa"/>
            <w:shd w:val="clear" w:color="auto" w:fill="auto"/>
            <w:vAlign w:val="center"/>
          </w:tcPr>
          <w:p w14:paraId="11DDC82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2.75</w:t>
            </w:r>
          </w:p>
        </w:tc>
        <w:tc>
          <w:tcPr>
            <w:tcW w:w="1131" w:type="dxa"/>
            <w:shd w:val="clear" w:color="auto" w:fill="auto"/>
            <w:vAlign w:val="center"/>
          </w:tcPr>
          <w:p w14:paraId="0455467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1.99-3.78</w:t>
            </w:r>
          </w:p>
        </w:tc>
        <w:tc>
          <w:tcPr>
            <w:tcW w:w="1120" w:type="dxa"/>
            <w:shd w:val="clear" w:color="auto" w:fill="auto"/>
            <w:vAlign w:val="center"/>
          </w:tcPr>
          <w:p w14:paraId="567DB83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20" w:type="dxa"/>
            <w:shd w:val="clear" w:color="auto" w:fill="auto"/>
            <w:vAlign w:val="center"/>
          </w:tcPr>
          <w:p w14:paraId="30122161" w14:textId="77777777" w:rsidR="00997C39" w:rsidRPr="004E79AD" w:rsidRDefault="00997C39" w:rsidP="004E79AD">
            <w:pPr>
              <w:snapToGrid w:val="0"/>
              <w:spacing w:line="360" w:lineRule="auto"/>
              <w:jc w:val="both"/>
              <w:rPr>
                <w:rFonts w:ascii="Book Antiqua" w:hAnsi="Book Antiqua" w:cs="Times New Roman"/>
                <w:sz w:val="24"/>
                <w:szCs w:val="24"/>
                <w:highlight w:val="black"/>
              </w:rPr>
            </w:pPr>
          </w:p>
        </w:tc>
        <w:tc>
          <w:tcPr>
            <w:tcW w:w="1123" w:type="dxa"/>
            <w:shd w:val="clear" w:color="auto" w:fill="auto"/>
            <w:vAlign w:val="center"/>
          </w:tcPr>
          <w:p w14:paraId="42974D92" w14:textId="77777777" w:rsidR="00997C39" w:rsidRPr="004E79AD" w:rsidRDefault="00997C39" w:rsidP="004E79AD">
            <w:pPr>
              <w:snapToGrid w:val="0"/>
              <w:spacing w:line="360" w:lineRule="auto"/>
              <w:jc w:val="both"/>
              <w:rPr>
                <w:rFonts w:ascii="Book Antiqua" w:hAnsi="Book Antiqua" w:cs="Times New Roman"/>
                <w:sz w:val="24"/>
                <w:szCs w:val="24"/>
                <w:highlight w:val="black"/>
              </w:rPr>
            </w:pPr>
          </w:p>
        </w:tc>
        <w:tc>
          <w:tcPr>
            <w:tcW w:w="1120" w:type="dxa"/>
            <w:shd w:val="clear" w:color="auto" w:fill="auto"/>
            <w:vAlign w:val="center"/>
          </w:tcPr>
          <w:p w14:paraId="4187B0E2" w14:textId="77777777" w:rsidR="00997C39" w:rsidRPr="004E79AD" w:rsidRDefault="00997C39" w:rsidP="004E79AD">
            <w:pPr>
              <w:snapToGrid w:val="0"/>
              <w:spacing w:line="360" w:lineRule="auto"/>
              <w:jc w:val="both"/>
              <w:rPr>
                <w:rFonts w:ascii="Book Antiqua" w:hAnsi="Book Antiqua" w:cs="Times New Roman"/>
                <w:sz w:val="24"/>
                <w:szCs w:val="24"/>
                <w:highlight w:val="black"/>
              </w:rPr>
            </w:pPr>
          </w:p>
        </w:tc>
        <w:tc>
          <w:tcPr>
            <w:tcW w:w="1120" w:type="dxa"/>
            <w:shd w:val="clear" w:color="auto" w:fill="auto"/>
            <w:vAlign w:val="center"/>
          </w:tcPr>
          <w:p w14:paraId="0D999596"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1" w:type="dxa"/>
            <w:shd w:val="clear" w:color="auto" w:fill="auto"/>
            <w:vAlign w:val="center"/>
          </w:tcPr>
          <w:p w14:paraId="580C59E8"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20" w:type="dxa"/>
            <w:shd w:val="clear" w:color="auto" w:fill="auto"/>
            <w:vAlign w:val="center"/>
          </w:tcPr>
          <w:p w14:paraId="6CE1FEE2" w14:textId="77777777" w:rsidR="00997C39" w:rsidRPr="004E79AD" w:rsidRDefault="00997C39" w:rsidP="004E79AD">
            <w:pPr>
              <w:snapToGrid w:val="0"/>
              <w:spacing w:line="360" w:lineRule="auto"/>
              <w:jc w:val="both"/>
              <w:rPr>
                <w:rFonts w:ascii="Book Antiqua" w:hAnsi="Book Antiqua" w:cs="Times New Roman"/>
                <w:sz w:val="24"/>
                <w:szCs w:val="24"/>
              </w:rPr>
            </w:pPr>
          </w:p>
        </w:tc>
      </w:tr>
      <w:tr w:rsidR="008770EC" w:rsidRPr="004E79AD" w14:paraId="5A02FFC8" w14:textId="77777777" w:rsidTr="00DD5CB5">
        <w:trPr>
          <w:trHeight w:val="288"/>
        </w:trPr>
        <w:tc>
          <w:tcPr>
            <w:tcW w:w="2102" w:type="dxa"/>
            <w:shd w:val="clear" w:color="auto" w:fill="auto"/>
            <w:vAlign w:val="center"/>
          </w:tcPr>
          <w:p w14:paraId="440A441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Differentiation</w:t>
            </w:r>
          </w:p>
        </w:tc>
        <w:tc>
          <w:tcPr>
            <w:tcW w:w="1575" w:type="dxa"/>
            <w:shd w:val="clear" w:color="auto" w:fill="auto"/>
            <w:vAlign w:val="center"/>
          </w:tcPr>
          <w:p w14:paraId="58E442E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Well</w:t>
            </w:r>
          </w:p>
        </w:tc>
        <w:tc>
          <w:tcPr>
            <w:tcW w:w="3371" w:type="dxa"/>
            <w:gridSpan w:val="3"/>
            <w:shd w:val="clear" w:color="auto" w:fill="auto"/>
            <w:vAlign w:val="center"/>
          </w:tcPr>
          <w:p w14:paraId="47E7C2D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212A253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68E2A5E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13A4248B" w14:textId="77777777" w:rsidTr="00DD5CB5">
        <w:trPr>
          <w:trHeight w:val="288"/>
        </w:trPr>
        <w:tc>
          <w:tcPr>
            <w:tcW w:w="2102" w:type="dxa"/>
            <w:shd w:val="clear" w:color="auto" w:fill="auto"/>
            <w:vAlign w:val="center"/>
          </w:tcPr>
          <w:p w14:paraId="401B8156"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7A3D865F" w14:textId="08F9CE09"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Mod / </w:t>
            </w:r>
            <w:r w:rsidR="00DD5CB5" w:rsidRPr="004E79AD">
              <w:rPr>
                <w:rFonts w:ascii="Book Antiqua" w:hAnsi="Book Antiqua" w:cs="Times New Roman"/>
                <w:sz w:val="24"/>
                <w:szCs w:val="24"/>
              </w:rPr>
              <w:t>poor</w:t>
            </w:r>
          </w:p>
        </w:tc>
        <w:tc>
          <w:tcPr>
            <w:tcW w:w="1120" w:type="dxa"/>
            <w:shd w:val="clear" w:color="auto" w:fill="auto"/>
            <w:vAlign w:val="center"/>
          </w:tcPr>
          <w:p w14:paraId="2558EB5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3.22</w:t>
            </w:r>
          </w:p>
        </w:tc>
        <w:tc>
          <w:tcPr>
            <w:tcW w:w="1131" w:type="dxa"/>
            <w:shd w:val="clear" w:color="auto" w:fill="auto"/>
            <w:vAlign w:val="center"/>
          </w:tcPr>
          <w:p w14:paraId="5F483F3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2.28-4.55</w:t>
            </w:r>
          </w:p>
        </w:tc>
        <w:tc>
          <w:tcPr>
            <w:tcW w:w="1120" w:type="dxa"/>
            <w:shd w:val="clear" w:color="auto" w:fill="auto"/>
            <w:vAlign w:val="center"/>
          </w:tcPr>
          <w:p w14:paraId="71AD208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20" w:type="dxa"/>
            <w:shd w:val="clear" w:color="auto" w:fill="auto"/>
            <w:vAlign w:val="center"/>
          </w:tcPr>
          <w:p w14:paraId="19C6B4B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3.92</w:t>
            </w:r>
          </w:p>
        </w:tc>
        <w:tc>
          <w:tcPr>
            <w:tcW w:w="1123" w:type="dxa"/>
            <w:shd w:val="clear" w:color="auto" w:fill="auto"/>
            <w:vAlign w:val="center"/>
          </w:tcPr>
          <w:p w14:paraId="770E9A5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2.63-5.82</w:t>
            </w:r>
          </w:p>
        </w:tc>
        <w:tc>
          <w:tcPr>
            <w:tcW w:w="1120" w:type="dxa"/>
            <w:shd w:val="clear" w:color="auto" w:fill="auto"/>
            <w:vAlign w:val="center"/>
          </w:tcPr>
          <w:p w14:paraId="064372E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20" w:type="dxa"/>
            <w:shd w:val="clear" w:color="auto" w:fill="auto"/>
            <w:vAlign w:val="center"/>
          </w:tcPr>
          <w:p w14:paraId="649C522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1.55</w:t>
            </w:r>
          </w:p>
        </w:tc>
        <w:tc>
          <w:tcPr>
            <w:tcW w:w="1131" w:type="dxa"/>
            <w:shd w:val="clear" w:color="auto" w:fill="auto"/>
            <w:vAlign w:val="center"/>
          </w:tcPr>
          <w:p w14:paraId="5C085F2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0.79-3.06</w:t>
            </w:r>
          </w:p>
        </w:tc>
        <w:tc>
          <w:tcPr>
            <w:tcW w:w="1120" w:type="dxa"/>
            <w:shd w:val="clear" w:color="auto" w:fill="auto"/>
            <w:vAlign w:val="center"/>
          </w:tcPr>
          <w:p w14:paraId="48377C3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0.20</w:t>
            </w:r>
          </w:p>
        </w:tc>
      </w:tr>
      <w:tr w:rsidR="008770EC" w:rsidRPr="004E79AD" w14:paraId="2EFED998" w14:textId="77777777" w:rsidTr="00DD5CB5">
        <w:trPr>
          <w:trHeight w:val="288"/>
        </w:trPr>
        <w:tc>
          <w:tcPr>
            <w:tcW w:w="2102" w:type="dxa"/>
            <w:shd w:val="clear" w:color="auto" w:fill="auto"/>
            <w:vAlign w:val="center"/>
          </w:tcPr>
          <w:p w14:paraId="1B1A999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ASA</w:t>
            </w:r>
          </w:p>
        </w:tc>
        <w:tc>
          <w:tcPr>
            <w:tcW w:w="1575" w:type="dxa"/>
            <w:shd w:val="clear" w:color="auto" w:fill="auto"/>
            <w:vAlign w:val="center"/>
          </w:tcPr>
          <w:p w14:paraId="6682754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w:t>
            </w:r>
          </w:p>
        </w:tc>
        <w:tc>
          <w:tcPr>
            <w:tcW w:w="3371" w:type="dxa"/>
            <w:gridSpan w:val="3"/>
            <w:shd w:val="clear" w:color="auto" w:fill="auto"/>
            <w:vAlign w:val="center"/>
          </w:tcPr>
          <w:p w14:paraId="35D99BE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783DC8F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7553E82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139CF7BB" w14:textId="77777777" w:rsidTr="00DD5CB5">
        <w:trPr>
          <w:trHeight w:val="288"/>
        </w:trPr>
        <w:tc>
          <w:tcPr>
            <w:tcW w:w="2102" w:type="dxa"/>
            <w:shd w:val="clear" w:color="auto" w:fill="auto"/>
            <w:vAlign w:val="center"/>
          </w:tcPr>
          <w:p w14:paraId="01EE6E92"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33147C0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3-4</w:t>
            </w:r>
          </w:p>
        </w:tc>
        <w:tc>
          <w:tcPr>
            <w:tcW w:w="1120" w:type="dxa"/>
            <w:shd w:val="clear" w:color="auto" w:fill="auto"/>
            <w:vAlign w:val="center"/>
          </w:tcPr>
          <w:p w14:paraId="33E7F49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1.98</w:t>
            </w:r>
          </w:p>
        </w:tc>
        <w:tc>
          <w:tcPr>
            <w:tcW w:w="1131" w:type="dxa"/>
            <w:shd w:val="clear" w:color="auto" w:fill="auto"/>
            <w:vAlign w:val="center"/>
          </w:tcPr>
          <w:p w14:paraId="649F049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1.17-3.32</w:t>
            </w:r>
          </w:p>
        </w:tc>
        <w:tc>
          <w:tcPr>
            <w:tcW w:w="1120" w:type="dxa"/>
            <w:shd w:val="clear" w:color="auto" w:fill="auto"/>
            <w:vAlign w:val="center"/>
          </w:tcPr>
          <w:p w14:paraId="4381115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0.01</w:t>
            </w:r>
          </w:p>
        </w:tc>
        <w:tc>
          <w:tcPr>
            <w:tcW w:w="1120" w:type="dxa"/>
            <w:shd w:val="clear" w:color="auto" w:fill="auto"/>
            <w:vAlign w:val="center"/>
          </w:tcPr>
          <w:p w14:paraId="49831EA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1.83</w:t>
            </w:r>
          </w:p>
        </w:tc>
        <w:tc>
          <w:tcPr>
            <w:tcW w:w="1123" w:type="dxa"/>
            <w:shd w:val="clear" w:color="auto" w:fill="auto"/>
            <w:vAlign w:val="center"/>
          </w:tcPr>
          <w:p w14:paraId="463CDE8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0.94-3.56</w:t>
            </w:r>
          </w:p>
        </w:tc>
        <w:tc>
          <w:tcPr>
            <w:tcW w:w="1120" w:type="dxa"/>
            <w:shd w:val="clear" w:color="auto" w:fill="auto"/>
            <w:vAlign w:val="center"/>
          </w:tcPr>
          <w:p w14:paraId="2831379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0.07</w:t>
            </w:r>
          </w:p>
        </w:tc>
        <w:tc>
          <w:tcPr>
            <w:tcW w:w="1120" w:type="dxa"/>
            <w:shd w:val="clear" w:color="auto" w:fill="auto"/>
            <w:vAlign w:val="center"/>
          </w:tcPr>
          <w:p w14:paraId="032F245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2.01</w:t>
            </w:r>
          </w:p>
        </w:tc>
        <w:tc>
          <w:tcPr>
            <w:tcW w:w="1131" w:type="dxa"/>
            <w:shd w:val="clear" w:color="auto" w:fill="auto"/>
            <w:vAlign w:val="center"/>
          </w:tcPr>
          <w:p w14:paraId="429271E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0.84-4.79</w:t>
            </w:r>
          </w:p>
        </w:tc>
        <w:tc>
          <w:tcPr>
            <w:tcW w:w="1120" w:type="dxa"/>
            <w:shd w:val="clear" w:color="auto" w:fill="auto"/>
            <w:vAlign w:val="center"/>
          </w:tcPr>
          <w:p w14:paraId="07278EC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0.11</w:t>
            </w:r>
          </w:p>
        </w:tc>
      </w:tr>
      <w:tr w:rsidR="008770EC" w:rsidRPr="004E79AD" w14:paraId="6416C430" w14:textId="77777777" w:rsidTr="00DD5CB5">
        <w:trPr>
          <w:trHeight w:val="288"/>
        </w:trPr>
        <w:tc>
          <w:tcPr>
            <w:tcW w:w="2102" w:type="dxa"/>
            <w:shd w:val="clear" w:color="auto" w:fill="auto"/>
            <w:vAlign w:val="center"/>
          </w:tcPr>
          <w:p w14:paraId="07D8847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PCI</w:t>
            </w:r>
          </w:p>
        </w:tc>
        <w:tc>
          <w:tcPr>
            <w:tcW w:w="1575" w:type="dxa"/>
            <w:shd w:val="clear" w:color="auto" w:fill="auto"/>
            <w:vAlign w:val="center"/>
          </w:tcPr>
          <w:p w14:paraId="185DD62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20</w:t>
            </w:r>
          </w:p>
        </w:tc>
        <w:tc>
          <w:tcPr>
            <w:tcW w:w="3371" w:type="dxa"/>
            <w:gridSpan w:val="3"/>
            <w:shd w:val="clear" w:color="auto" w:fill="auto"/>
            <w:vAlign w:val="center"/>
          </w:tcPr>
          <w:p w14:paraId="62ECFCE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38AF950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42F5A06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6D60B87B" w14:textId="77777777" w:rsidTr="00DD5CB5">
        <w:trPr>
          <w:trHeight w:val="288"/>
        </w:trPr>
        <w:tc>
          <w:tcPr>
            <w:tcW w:w="2102" w:type="dxa"/>
            <w:shd w:val="clear" w:color="auto" w:fill="auto"/>
            <w:vAlign w:val="center"/>
          </w:tcPr>
          <w:p w14:paraId="5871578D"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0F38AE9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20</w:t>
            </w:r>
          </w:p>
        </w:tc>
        <w:tc>
          <w:tcPr>
            <w:tcW w:w="1120" w:type="dxa"/>
            <w:shd w:val="clear" w:color="auto" w:fill="auto"/>
            <w:vAlign w:val="center"/>
          </w:tcPr>
          <w:p w14:paraId="0C8DAB3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1.86</w:t>
            </w:r>
          </w:p>
        </w:tc>
        <w:tc>
          <w:tcPr>
            <w:tcW w:w="1131" w:type="dxa"/>
            <w:shd w:val="clear" w:color="auto" w:fill="auto"/>
            <w:vAlign w:val="center"/>
          </w:tcPr>
          <w:p w14:paraId="31ED71A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1.34-</w:t>
            </w:r>
            <w:r w:rsidRPr="004E79AD">
              <w:rPr>
                <w:rFonts w:ascii="Book Antiqua" w:hAnsi="Book Antiqua" w:cs="Times New Roman"/>
                <w:sz w:val="24"/>
                <w:szCs w:val="24"/>
              </w:rPr>
              <w:lastRenderedPageBreak/>
              <w:t>2.57</w:t>
            </w:r>
          </w:p>
        </w:tc>
        <w:tc>
          <w:tcPr>
            <w:tcW w:w="1120" w:type="dxa"/>
            <w:shd w:val="clear" w:color="auto" w:fill="auto"/>
            <w:vAlign w:val="center"/>
          </w:tcPr>
          <w:p w14:paraId="7D2F1C3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lastRenderedPageBreak/>
              <w:t>&lt; 0.01</w:t>
            </w:r>
          </w:p>
        </w:tc>
        <w:tc>
          <w:tcPr>
            <w:tcW w:w="1120" w:type="dxa"/>
            <w:shd w:val="clear" w:color="auto" w:fill="auto"/>
            <w:vAlign w:val="center"/>
          </w:tcPr>
          <w:p w14:paraId="135A5B6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1.86</w:t>
            </w:r>
          </w:p>
        </w:tc>
        <w:tc>
          <w:tcPr>
            <w:tcW w:w="1123" w:type="dxa"/>
            <w:shd w:val="clear" w:color="auto" w:fill="auto"/>
            <w:vAlign w:val="center"/>
          </w:tcPr>
          <w:p w14:paraId="0C72183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1.21-</w:t>
            </w:r>
            <w:r w:rsidRPr="004E79AD">
              <w:rPr>
                <w:rFonts w:ascii="Book Antiqua" w:hAnsi="Book Antiqua" w:cs="Times New Roman"/>
                <w:sz w:val="24"/>
                <w:szCs w:val="24"/>
              </w:rPr>
              <w:lastRenderedPageBreak/>
              <w:t>2.88</w:t>
            </w:r>
          </w:p>
        </w:tc>
        <w:tc>
          <w:tcPr>
            <w:tcW w:w="1120" w:type="dxa"/>
            <w:shd w:val="clear" w:color="auto" w:fill="auto"/>
            <w:vAlign w:val="center"/>
          </w:tcPr>
          <w:p w14:paraId="1018225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lastRenderedPageBreak/>
              <w:t>&lt; 0.01</w:t>
            </w:r>
          </w:p>
        </w:tc>
        <w:tc>
          <w:tcPr>
            <w:tcW w:w="1120" w:type="dxa"/>
            <w:shd w:val="clear" w:color="auto" w:fill="auto"/>
            <w:vAlign w:val="center"/>
          </w:tcPr>
          <w:p w14:paraId="08E94E9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1.94</w:t>
            </w:r>
          </w:p>
        </w:tc>
        <w:tc>
          <w:tcPr>
            <w:tcW w:w="1131" w:type="dxa"/>
            <w:shd w:val="clear" w:color="auto" w:fill="auto"/>
            <w:vAlign w:val="center"/>
          </w:tcPr>
          <w:p w14:paraId="79782C6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1.17-</w:t>
            </w:r>
            <w:r w:rsidRPr="004E79AD">
              <w:rPr>
                <w:rFonts w:ascii="Book Antiqua" w:hAnsi="Book Antiqua" w:cs="Times New Roman"/>
                <w:sz w:val="24"/>
                <w:szCs w:val="24"/>
              </w:rPr>
              <w:lastRenderedPageBreak/>
              <w:t>3.21</w:t>
            </w:r>
          </w:p>
        </w:tc>
        <w:tc>
          <w:tcPr>
            <w:tcW w:w="1120" w:type="dxa"/>
            <w:shd w:val="clear" w:color="auto" w:fill="auto"/>
            <w:vAlign w:val="center"/>
          </w:tcPr>
          <w:p w14:paraId="124B49F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lastRenderedPageBreak/>
              <w:t>0.01</w:t>
            </w:r>
          </w:p>
        </w:tc>
      </w:tr>
      <w:tr w:rsidR="008770EC" w:rsidRPr="004E79AD" w14:paraId="264669E3" w14:textId="77777777" w:rsidTr="00DD5CB5">
        <w:trPr>
          <w:trHeight w:val="288"/>
        </w:trPr>
        <w:tc>
          <w:tcPr>
            <w:tcW w:w="2102" w:type="dxa"/>
            <w:shd w:val="clear" w:color="auto" w:fill="auto"/>
            <w:vAlign w:val="center"/>
          </w:tcPr>
          <w:p w14:paraId="32923248" w14:textId="11785BF3"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lastRenderedPageBreak/>
              <w:t xml:space="preserve">PIC </w:t>
            </w:r>
            <w:r w:rsidR="00DD5CB5" w:rsidRPr="004E79AD">
              <w:rPr>
                <w:rFonts w:ascii="Book Antiqua" w:hAnsi="Book Antiqua" w:cs="Times New Roman"/>
                <w:sz w:val="24"/>
                <w:szCs w:val="24"/>
              </w:rPr>
              <w:t>dose</w:t>
            </w:r>
          </w:p>
        </w:tc>
        <w:tc>
          <w:tcPr>
            <w:tcW w:w="1575" w:type="dxa"/>
            <w:shd w:val="clear" w:color="auto" w:fill="auto"/>
            <w:vAlign w:val="center"/>
          </w:tcPr>
          <w:p w14:paraId="2D9FC7B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Low dose</w:t>
            </w:r>
          </w:p>
        </w:tc>
        <w:tc>
          <w:tcPr>
            <w:tcW w:w="3371" w:type="dxa"/>
            <w:gridSpan w:val="3"/>
            <w:shd w:val="clear" w:color="auto" w:fill="auto"/>
            <w:vAlign w:val="center"/>
          </w:tcPr>
          <w:p w14:paraId="65BD0C2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2088CE4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3B5E288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40E2FDD8" w14:textId="77777777" w:rsidTr="00DD5CB5">
        <w:trPr>
          <w:trHeight w:val="288"/>
        </w:trPr>
        <w:tc>
          <w:tcPr>
            <w:tcW w:w="2102" w:type="dxa"/>
            <w:shd w:val="clear" w:color="auto" w:fill="auto"/>
            <w:vAlign w:val="center"/>
          </w:tcPr>
          <w:p w14:paraId="7658F9EF"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4E79492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High dose</w:t>
            </w:r>
          </w:p>
        </w:tc>
        <w:tc>
          <w:tcPr>
            <w:tcW w:w="1120" w:type="dxa"/>
            <w:shd w:val="clear" w:color="auto" w:fill="auto"/>
            <w:vAlign w:val="center"/>
          </w:tcPr>
          <w:p w14:paraId="1DF906D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1.35</w:t>
            </w:r>
          </w:p>
        </w:tc>
        <w:tc>
          <w:tcPr>
            <w:tcW w:w="1131" w:type="dxa"/>
            <w:shd w:val="clear" w:color="auto" w:fill="auto"/>
            <w:vAlign w:val="center"/>
          </w:tcPr>
          <w:p w14:paraId="7588F2A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0.91-2.02</w:t>
            </w:r>
          </w:p>
        </w:tc>
        <w:tc>
          <w:tcPr>
            <w:tcW w:w="1120" w:type="dxa"/>
            <w:shd w:val="clear" w:color="auto" w:fill="auto"/>
            <w:vAlign w:val="center"/>
          </w:tcPr>
          <w:p w14:paraId="21D1A42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0.13</w:t>
            </w:r>
          </w:p>
        </w:tc>
        <w:tc>
          <w:tcPr>
            <w:tcW w:w="1120" w:type="dxa"/>
            <w:shd w:val="clear" w:color="auto" w:fill="auto"/>
            <w:vAlign w:val="center"/>
          </w:tcPr>
          <w:p w14:paraId="0292F13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1.16</w:t>
            </w:r>
          </w:p>
        </w:tc>
        <w:tc>
          <w:tcPr>
            <w:tcW w:w="1123" w:type="dxa"/>
            <w:shd w:val="clear" w:color="auto" w:fill="auto"/>
            <w:vAlign w:val="center"/>
          </w:tcPr>
          <w:p w14:paraId="5A3B9EC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0.67-2.01</w:t>
            </w:r>
          </w:p>
        </w:tc>
        <w:tc>
          <w:tcPr>
            <w:tcW w:w="1120" w:type="dxa"/>
            <w:shd w:val="clear" w:color="auto" w:fill="auto"/>
            <w:vAlign w:val="center"/>
          </w:tcPr>
          <w:p w14:paraId="3C47C23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0.58</w:t>
            </w:r>
          </w:p>
        </w:tc>
        <w:tc>
          <w:tcPr>
            <w:tcW w:w="1120" w:type="dxa"/>
            <w:shd w:val="clear" w:color="auto" w:fill="auto"/>
            <w:vAlign w:val="center"/>
          </w:tcPr>
          <w:p w14:paraId="27F29B1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1.49</w:t>
            </w:r>
          </w:p>
        </w:tc>
        <w:tc>
          <w:tcPr>
            <w:tcW w:w="1131" w:type="dxa"/>
            <w:shd w:val="clear" w:color="auto" w:fill="auto"/>
            <w:vAlign w:val="center"/>
          </w:tcPr>
          <w:p w14:paraId="213566E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0.65-3.42</w:t>
            </w:r>
          </w:p>
        </w:tc>
        <w:tc>
          <w:tcPr>
            <w:tcW w:w="1120" w:type="dxa"/>
            <w:shd w:val="clear" w:color="auto" w:fill="auto"/>
            <w:vAlign w:val="center"/>
          </w:tcPr>
          <w:p w14:paraId="18BA5F3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0.33</w:t>
            </w:r>
          </w:p>
        </w:tc>
      </w:tr>
      <w:tr w:rsidR="008770EC" w:rsidRPr="004E79AD" w14:paraId="6667AD0E" w14:textId="77777777" w:rsidTr="00DD5CB5">
        <w:trPr>
          <w:trHeight w:val="288"/>
        </w:trPr>
        <w:tc>
          <w:tcPr>
            <w:tcW w:w="2102" w:type="dxa"/>
            <w:shd w:val="clear" w:color="auto" w:fill="auto"/>
            <w:vAlign w:val="center"/>
          </w:tcPr>
          <w:p w14:paraId="5F312AE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CCR</w:t>
            </w:r>
          </w:p>
        </w:tc>
        <w:tc>
          <w:tcPr>
            <w:tcW w:w="1575" w:type="dxa"/>
            <w:shd w:val="clear" w:color="auto" w:fill="auto"/>
            <w:vAlign w:val="center"/>
          </w:tcPr>
          <w:p w14:paraId="7C4794D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w:t>
            </w:r>
          </w:p>
        </w:tc>
        <w:tc>
          <w:tcPr>
            <w:tcW w:w="3371" w:type="dxa"/>
            <w:gridSpan w:val="3"/>
            <w:shd w:val="clear" w:color="auto" w:fill="auto"/>
            <w:vAlign w:val="center"/>
          </w:tcPr>
          <w:p w14:paraId="6124F8E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626DB42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25A5D84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0DFBEEA1" w14:textId="77777777" w:rsidTr="00DD5CB5">
        <w:trPr>
          <w:trHeight w:val="288"/>
        </w:trPr>
        <w:tc>
          <w:tcPr>
            <w:tcW w:w="2102" w:type="dxa"/>
            <w:shd w:val="clear" w:color="auto" w:fill="auto"/>
            <w:vAlign w:val="center"/>
          </w:tcPr>
          <w:p w14:paraId="3266DCEF"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2F36976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2-3</w:t>
            </w:r>
          </w:p>
        </w:tc>
        <w:tc>
          <w:tcPr>
            <w:tcW w:w="1120" w:type="dxa"/>
            <w:shd w:val="clear" w:color="auto" w:fill="auto"/>
            <w:vAlign w:val="center"/>
          </w:tcPr>
          <w:p w14:paraId="5C5B882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2.33</w:t>
            </w:r>
          </w:p>
        </w:tc>
        <w:tc>
          <w:tcPr>
            <w:tcW w:w="1131" w:type="dxa"/>
            <w:shd w:val="clear" w:color="auto" w:fill="auto"/>
            <w:vAlign w:val="center"/>
          </w:tcPr>
          <w:p w14:paraId="3E827D4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1.49-3.63</w:t>
            </w:r>
          </w:p>
        </w:tc>
        <w:tc>
          <w:tcPr>
            <w:tcW w:w="1120" w:type="dxa"/>
            <w:shd w:val="clear" w:color="auto" w:fill="auto"/>
            <w:vAlign w:val="center"/>
          </w:tcPr>
          <w:p w14:paraId="2F0C1EF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20" w:type="dxa"/>
            <w:shd w:val="clear" w:color="auto" w:fill="auto"/>
            <w:vAlign w:val="center"/>
          </w:tcPr>
          <w:p w14:paraId="7F0C1F2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2.15</w:t>
            </w:r>
          </w:p>
        </w:tc>
        <w:tc>
          <w:tcPr>
            <w:tcW w:w="1123" w:type="dxa"/>
            <w:shd w:val="clear" w:color="auto" w:fill="auto"/>
            <w:vAlign w:val="center"/>
          </w:tcPr>
          <w:p w14:paraId="0F14E57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1.28-3.61</w:t>
            </w:r>
          </w:p>
        </w:tc>
        <w:tc>
          <w:tcPr>
            <w:tcW w:w="1120" w:type="dxa"/>
            <w:shd w:val="clear" w:color="auto" w:fill="auto"/>
            <w:vAlign w:val="center"/>
          </w:tcPr>
          <w:p w14:paraId="2FB3606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20" w:type="dxa"/>
            <w:shd w:val="clear" w:color="auto" w:fill="auto"/>
            <w:vAlign w:val="center"/>
          </w:tcPr>
          <w:p w14:paraId="0F85C09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5.74</w:t>
            </w:r>
          </w:p>
        </w:tc>
        <w:tc>
          <w:tcPr>
            <w:tcW w:w="1131" w:type="dxa"/>
            <w:shd w:val="clear" w:color="auto" w:fill="auto"/>
            <w:vAlign w:val="center"/>
          </w:tcPr>
          <w:p w14:paraId="1939EF5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1.99-16.56</w:t>
            </w:r>
          </w:p>
        </w:tc>
        <w:tc>
          <w:tcPr>
            <w:tcW w:w="1120" w:type="dxa"/>
            <w:shd w:val="clear" w:color="auto" w:fill="auto"/>
            <w:vAlign w:val="center"/>
          </w:tcPr>
          <w:p w14:paraId="5E9ED27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2602D5C2" w14:textId="77777777" w:rsidTr="00DD5CB5">
        <w:trPr>
          <w:trHeight w:val="288"/>
        </w:trPr>
        <w:tc>
          <w:tcPr>
            <w:tcW w:w="2102" w:type="dxa"/>
            <w:shd w:val="clear" w:color="auto" w:fill="auto"/>
            <w:vAlign w:val="center"/>
          </w:tcPr>
          <w:p w14:paraId="14FE451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Complications</w:t>
            </w:r>
          </w:p>
        </w:tc>
        <w:tc>
          <w:tcPr>
            <w:tcW w:w="1575" w:type="dxa"/>
            <w:shd w:val="clear" w:color="auto" w:fill="auto"/>
            <w:vAlign w:val="center"/>
          </w:tcPr>
          <w:p w14:paraId="79AD82C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 – II</w:t>
            </w:r>
          </w:p>
        </w:tc>
        <w:tc>
          <w:tcPr>
            <w:tcW w:w="3371" w:type="dxa"/>
            <w:gridSpan w:val="3"/>
            <w:shd w:val="clear" w:color="auto" w:fill="auto"/>
            <w:vAlign w:val="center"/>
          </w:tcPr>
          <w:p w14:paraId="108017E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1D22483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473A635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7528777A" w14:textId="77777777" w:rsidTr="00DD5CB5">
        <w:trPr>
          <w:trHeight w:val="288"/>
        </w:trPr>
        <w:tc>
          <w:tcPr>
            <w:tcW w:w="2102" w:type="dxa"/>
            <w:shd w:val="clear" w:color="auto" w:fill="auto"/>
            <w:vAlign w:val="center"/>
          </w:tcPr>
          <w:p w14:paraId="55CF2753"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07248FA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III – V</w:t>
            </w:r>
          </w:p>
        </w:tc>
        <w:tc>
          <w:tcPr>
            <w:tcW w:w="1120" w:type="dxa"/>
            <w:shd w:val="clear" w:color="auto" w:fill="auto"/>
            <w:vAlign w:val="center"/>
          </w:tcPr>
          <w:p w14:paraId="20A857E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1.61</w:t>
            </w:r>
          </w:p>
        </w:tc>
        <w:tc>
          <w:tcPr>
            <w:tcW w:w="1131" w:type="dxa"/>
            <w:shd w:val="clear" w:color="auto" w:fill="auto"/>
            <w:vAlign w:val="center"/>
          </w:tcPr>
          <w:p w14:paraId="75412F6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1.20-2.14</w:t>
            </w:r>
          </w:p>
        </w:tc>
        <w:tc>
          <w:tcPr>
            <w:tcW w:w="1120" w:type="dxa"/>
            <w:shd w:val="clear" w:color="auto" w:fill="auto"/>
            <w:vAlign w:val="center"/>
          </w:tcPr>
          <w:p w14:paraId="60C37CB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20" w:type="dxa"/>
            <w:shd w:val="clear" w:color="auto" w:fill="auto"/>
            <w:vAlign w:val="center"/>
          </w:tcPr>
          <w:p w14:paraId="4695836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1.23</w:t>
            </w:r>
          </w:p>
        </w:tc>
        <w:tc>
          <w:tcPr>
            <w:tcW w:w="1123" w:type="dxa"/>
            <w:shd w:val="clear" w:color="auto" w:fill="auto"/>
            <w:vAlign w:val="center"/>
          </w:tcPr>
          <w:p w14:paraId="70DFD6D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0.81-1.86</w:t>
            </w:r>
          </w:p>
        </w:tc>
        <w:tc>
          <w:tcPr>
            <w:tcW w:w="1120" w:type="dxa"/>
            <w:shd w:val="clear" w:color="auto" w:fill="auto"/>
            <w:vAlign w:val="center"/>
          </w:tcPr>
          <w:p w14:paraId="56420C0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0.31</w:t>
            </w:r>
          </w:p>
        </w:tc>
        <w:tc>
          <w:tcPr>
            <w:tcW w:w="1120" w:type="dxa"/>
            <w:shd w:val="clear" w:color="auto" w:fill="auto"/>
            <w:vAlign w:val="center"/>
          </w:tcPr>
          <w:p w14:paraId="3ED4A0F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1.96</w:t>
            </w:r>
          </w:p>
        </w:tc>
        <w:tc>
          <w:tcPr>
            <w:tcW w:w="1131" w:type="dxa"/>
            <w:shd w:val="clear" w:color="auto" w:fill="auto"/>
            <w:vAlign w:val="center"/>
          </w:tcPr>
          <w:p w14:paraId="7E2F181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1.26-3.05</w:t>
            </w:r>
          </w:p>
        </w:tc>
        <w:tc>
          <w:tcPr>
            <w:tcW w:w="1120" w:type="dxa"/>
            <w:shd w:val="clear" w:color="auto" w:fill="auto"/>
            <w:vAlign w:val="center"/>
          </w:tcPr>
          <w:p w14:paraId="6FBB07D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r>
      <w:tr w:rsidR="008770EC" w:rsidRPr="004E79AD" w14:paraId="6888C8EC" w14:textId="77777777" w:rsidTr="00DD5CB5">
        <w:trPr>
          <w:trHeight w:val="288"/>
        </w:trPr>
        <w:tc>
          <w:tcPr>
            <w:tcW w:w="2102" w:type="dxa"/>
            <w:shd w:val="clear" w:color="auto" w:fill="auto"/>
            <w:vAlign w:val="center"/>
          </w:tcPr>
          <w:p w14:paraId="2C7C8253" w14:textId="7DA5001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Adjuvant </w:t>
            </w:r>
            <w:r w:rsidR="00DD5CB5" w:rsidRPr="004E79AD">
              <w:rPr>
                <w:rFonts w:ascii="Book Antiqua" w:hAnsi="Book Antiqua" w:cs="Times New Roman"/>
                <w:sz w:val="24"/>
                <w:szCs w:val="24"/>
              </w:rPr>
              <w:t>chemo</w:t>
            </w:r>
          </w:p>
        </w:tc>
        <w:tc>
          <w:tcPr>
            <w:tcW w:w="1575" w:type="dxa"/>
            <w:shd w:val="clear" w:color="auto" w:fill="auto"/>
            <w:vAlign w:val="center"/>
          </w:tcPr>
          <w:p w14:paraId="3FA07F7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No</w:t>
            </w:r>
          </w:p>
        </w:tc>
        <w:tc>
          <w:tcPr>
            <w:tcW w:w="3371" w:type="dxa"/>
            <w:gridSpan w:val="3"/>
            <w:shd w:val="clear" w:color="auto" w:fill="auto"/>
            <w:vAlign w:val="center"/>
          </w:tcPr>
          <w:p w14:paraId="0B4800B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644FE3D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67E5736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2AAA5426" w14:textId="77777777" w:rsidTr="00DD5CB5">
        <w:trPr>
          <w:trHeight w:val="288"/>
        </w:trPr>
        <w:tc>
          <w:tcPr>
            <w:tcW w:w="2102" w:type="dxa"/>
            <w:shd w:val="clear" w:color="auto" w:fill="auto"/>
            <w:vAlign w:val="center"/>
          </w:tcPr>
          <w:p w14:paraId="629100C4"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6FD742C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Yes</w:t>
            </w:r>
          </w:p>
        </w:tc>
        <w:tc>
          <w:tcPr>
            <w:tcW w:w="1120" w:type="dxa"/>
            <w:shd w:val="clear" w:color="auto" w:fill="auto"/>
            <w:vAlign w:val="center"/>
          </w:tcPr>
          <w:p w14:paraId="3029DBD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1.16</w:t>
            </w:r>
          </w:p>
        </w:tc>
        <w:tc>
          <w:tcPr>
            <w:tcW w:w="1131" w:type="dxa"/>
            <w:shd w:val="clear" w:color="auto" w:fill="auto"/>
            <w:vAlign w:val="center"/>
          </w:tcPr>
          <w:p w14:paraId="50E43B4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0.86-1.56</w:t>
            </w:r>
          </w:p>
        </w:tc>
        <w:tc>
          <w:tcPr>
            <w:tcW w:w="1120" w:type="dxa"/>
            <w:shd w:val="clear" w:color="auto" w:fill="auto"/>
            <w:vAlign w:val="center"/>
          </w:tcPr>
          <w:p w14:paraId="5EC3AB2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0.31</w:t>
            </w:r>
          </w:p>
        </w:tc>
        <w:tc>
          <w:tcPr>
            <w:tcW w:w="1120" w:type="dxa"/>
            <w:shd w:val="clear" w:color="auto" w:fill="auto"/>
            <w:vAlign w:val="center"/>
          </w:tcPr>
          <w:p w14:paraId="138AABA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1.33</w:t>
            </w:r>
          </w:p>
        </w:tc>
        <w:tc>
          <w:tcPr>
            <w:tcW w:w="1123" w:type="dxa"/>
            <w:shd w:val="clear" w:color="auto" w:fill="auto"/>
            <w:vAlign w:val="center"/>
          </w:tcPr>
          <w:p w14:paraId="49E7D20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0.87-2.05</w:t>
            </w:r>
          </w:p>
        </w:tc>
        <w:tc>
          <w:tcPr>
            <w:tcW w:w="1120" w:type="dxa"/>
            <w:shd w:val="clear" w:color="auto" w:fill="auto"/>
            <w:vAlign w:val="center"/>
          </w:tcPr>
          <w:p w14:paraId="5D711E6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0.18</w:t>
            </w:r>
          </w:p>
        </w:tc>
        <w:tc>
          <w:tcPr>
            <w:tcW w:w="1120" w:type="dxa"/>
            <w:shd w:val="clear" w:color="auto" w:fill="auto"/>
            <w:vAlign w:val="center"/>
          </w:tcPr>
          <w:p w14:paraId="57A8104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0.98</w:t>
            </w:r>
          </w:p>
        </w:tc>
        <w:tc>
          <w:tcPr>
            <w:tcW w:w="1131" w:type="dxa"/>
            <w:shd w:val="clear" w:color="auto" w:fill="auto"/>
            <w:vAlign w:val="center"/>
          </w:tcPr>
          <w:p w14:paraId="65869E0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0.65-1.48</w:t>
            </w:r>
          </w:p>
        </w:tc>
        <w:tc>
          <w:tcPr>
            <w:tcW w:w="1120" w:type="dxa"/>
            <w:shd w:val="clear" w:color="auto" w:fill="auto"/>
            <w:vAlign w:val="center"/>
          </w:tcPr>
          <w:p w14:paraId="786A8CD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0.94</w:t>
            </w:r>
          </w:p>
        </w:tc>
      </w:tr>
      <w:tr w:rsidR="008770EC" w:rsidRPr="004E79AD" w14:paraId="716FFA76" w14:textId="77777777" w:rsidTr="00DD5CB5">
        <w:trPr>
          <w:trHeight w:val="288"/>
        </w:trPr>
        <w:tc>
          <w:tcPr>
            <w:tcW w:w="2102" w:type="dxa"/>
            <w:shd w:val="clear" w:color="auto" w:fill="auto"/>
            <w:vAlign w:val="center"/>
          </w:tcPr>
          <w:p w14:paraId="636AFE42" w14:textId="0918D02C" w:rsidR="00997C39" w:rsidRPr="004E79AD" w:rsidRDefault="00997C39" w:rsidP="004E79AD">
            <w:pPr>
              <w:snapToGrid w:val="0"/>
              <w:spacing w:line="360" w:lineRule="auto"/>
              <w:jc w:val="both"/>
              <w:rPr>
                <w:rFonts w:ascii="Book Antiqua" w:hAnsi="Book Antiqua" w:cs="Times New Roman"/>
                <w:sz w:val="24"/>
                <w:szCs w:val="24"/>
              </w:rPr>
            </w:pPr>
            <w:bookmarkStart w:id="15" w:name="OLE_LINK15"/>
            <w:bookmarkStart w:id="16" w:name="OLE_LINK16"/>
            <w:r w:rsidRPr="004E79AD">
              <w:rPr>
                <w:rFonts w:ascii="Book Antiqua" w:hAnsi="Book Antiqua" w:cs="Times New Roman"/>
                <w:sz w:val="24"/>
                <w:szCs w:val="24"/>
              </w:rPr>
              <w:t xml:space="preserve">PIC </w:t>
            </w:r>
            <w:r w:rsidR="00DD5CB5" w:rsidRPr="004E79AD">
              <w:rPr>
                <w:rFonts w:ascii="Book Antiqua" w:hAnsi="Book Antiqua" w:cs="Times New Roman"/>
                <w:sz w:val="24"/>
                <w:szCs w:val="24"/>
              </w:rPr>
              <w:t>method</w:t>
            </w:r>
            <w:bookmarkEnd w:id="15"/>
            <w:bookmarkEnd w:id="16"/>
          </w:p>
        </w:tc>
        <w:tc>
          <w:tcPr>
            <w:tcW w:w="1575" w:type="dxa"/>
            <w:shd w:val="clear" w:color="auto" w:fill="auto"/>
            <w:vAlign w:val="center"/>
          </w:tcPr>
          <w:p w14:paraId="1AA91C9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Open</w:t>
            </w:r>
          </w:p>
        </w:tc>
        <w:tc>
          <w:tcPr>
            <w:tcW w:w="3371" w:type="dxa"/>
            <w:gridSpan w:val="3"/>
            <w:shd w:val="clear" w:color="auto" w:fill="auto"/>
            <w:vAlign w:val="center"/>
          </w:tcPr>
          <w:p w14:paraId="64BBAFC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63" w:type="dxa"/>
            <w:gridSpan w:val="3"/>
            <w:shd w:val="clear" w:color="auto" w:fill="auto"/>
            <w:vAlign w:val="center"/>
          </w:tcPr>
          <w:p w14:paraId="0F53C2C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371" w:type="dxa"/>
            <w:gridSpan w:val="3"/>
            <w:shd w:val="clear" w:color="auto" w:fill="auto"/>
            <w:vAlign w:val="center"/>
          </w:tcPr>
          <w:p w14:paraId="1B6449C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431FD4F5" w14:textId="77777777" w:rsidTr="00DD5CB5">
        <w:trPr>
          <w:trHeight w:val="288"/>
        </w:trPr>
        <w:tc>
          <w:tcPr>
            <w:tcW w:w="2102" w:type="dxa"/>
            <w:shd w:val="clear" w:color="auto" w:fill="auto"/>
            <w:vAlign w:val="center"/>
          </w:tcPr>
          <w:p w14:paraId="6FE87B86"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575" w:type="dxa"/>
            <w:shd w:val="clear" w:color="auto" w:fill="auto"/>
            <w:vAlign w:val="center"/>
          </w:tcPr>
          <w:p w14:paraId="44D7AAD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Closed</w:t>
            </w:r>
          </w:p>
        </w:tc>
        <w:tc>
          <w:tcPr>
            <w:tcW w:w="1120" w:type="dxa"/>
            <w:shd w:val="clear" w:color="auto" w:fill="auto"/>
            <w:vAlign w:val="center"/>
          </w:tcPr>
          <w:p w14:paraId="20C2720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0.75</w:t>
            </w:r>
          </w:p>
        </w:tc>
        <w:tc>
          <w:tcPr>
            <w:tcW w:w="1131" w:type="dxa"/>
            <w:shd w:val="clear" w:color="auto" w:fill="auto"/>
            <w:vAlign w:val="center"/>
          </w:tcPr>
          <w:p w14:paraId="5E9DEBB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0.51-1.10</w:t>
            </w:r>
          </w:p>
        </w:tc>
        <w:tc>
          <w:tcPr>
            <w:tcW w:w="1120" w:type="dxa"/>
            <w:shd w:val="clear" w:color="auto" w:fill="auto"/>
            <w:vAlign w:val="center"/>
          </w:tcPr>
          <w:p w14:paraId="6B68652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0.14</w:t>
            </w:r>
          </w:p>
        </w:tc>
        <w:tc>
          <w:tcPr>
            <w:tcW w:w="1120" w:type="dxa"/>
            <w:shd w:val="clear" w:color="auto" w:fill="auto"/>
            <w:vAlign w:val="center"/>
          </w:tcPr>
          <w:p w14:paraId="1EFE7B2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0.78</w:t>
            </w:r>
          </w:p>
        </w:tc>
        <w:tc>
          <w:tcPr>
            <w:tcW w:w="1123" w:type="dxa"/>
            <w:shd w:val="clear" w:color="auto" w:fill="auto"/>
            <w:vAlign w:val="center"/>
          </w:tcPr>
          <w:p w14:paraId="23C7D1D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0.48-1.25</w:t>
            </w:r>
          </w:p>
        </w:tc>
        <w:tc>
          <w:tcPr>
            <w:tcW w:w="1120" w:type="dxa"/>
            <w:shd w:val="clear" w:color="auto" w:fill="auto"/>
            <w:vAlign w:val="center"/>
          </w:tcPr>
          <w:p w14:paraId="43CA58A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0.31</w:t>
            </w:r>
          </w:p>
        </w:tc>
        <w:tc>
          <w:tcPr>
            <w:tcW w:w="1120" w:type="dxa"/>
            <w:shd w:val="clear" w:color="auto" w:fill="auto"/>
            <w:vAlign w:val="center"/>
          </w:tcPr>
          <w:p w14:paraId="44B720C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0.67</w:t>
            </w:r>
          </w:p>
        </w:tc>
        <w:tc>
          <w:tcPr>
            <w:tcW w:w="1131" w:type="dxa"/>
            <w:shd w:val="clear" w:color="auto" w:fill="auto"/>
            <w:vAlign w:val="center"/>
          </w:tcPr>
          <w:p w14:paraId="4071820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0.29-1.53</w:t>
            </w:r>
          </w:p>
        </w:tc>
        <w:tc>
          <w:tcPr>
            <w:tcW w:w="1120" w:type="dxa"/>
            <w:shd w:val="clear" w:color="auto" w:fill="auto"/>
            <w:vAlign w:val="center"/>
          </w:tcPr>
          <w:p w14:paraId="5D95490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0.34</w:t>
            </w:r>
          </w:p>
        </w:tc>
      </w:tr>
    </w:tbl>
    <w:p w14:paraId="66EB2E7D" w14:textId="2C7AFBDA" w:rsidR="00997C39" w:rsidRPr="004E79AD" w:rsidRDefault="00DD5CB5" w:rsidP="004E79AD">
      <w:pPr>
        <w:snapToGrid w:val="0"/>
        <w:spacing w:after="0" w:line="360" w:lineRule="auto"/>
        <w:jc w:val="both"/>
        <w:rPr>
          <w:rFonts w:ascii="Book Antiqua" w:hAnsi="Book Antiqua" w:cs="Times New Roman"/>
          <w:noProof/>
          <w:sz w:val="24"/>
          <w:szCs w:val="24"/>
        </w:rPr>
        <w:sectPr w:rsidR="00997C39" w:rsidRPr="004E79AD" w:rsidSect="00997C39">
          <w:pgSz w:w="15840" w:h="12240" w:orient="landscape"/>
          <w:pgMar w:top="1440" w:right="1296" w:bottom="1440" w:left="1296" w:header="720" w:footer="720" w:gutter="0"/>
          <w:cols w:space="720"/>
          <w:docGrid w:linePitch="360"/>
        </w:sectPr>
      </w:pPr>
      <w:r w:rsidRPr="004E79AD">
        <w:rPr>
          <w:rFonts w:ascii="Book Antiqua" w:hAnsi="Book Antiqua" w:cs="Times New Roman"/>
          <w:noProof/>
          <w:sz w:val="24"/>
          <w:szCs w:val="24"/>
        </w:rPr>
        <w:t xml:space="preserve">OS: </w:t>
      </w:r>
      <w:r w:rsidRPr="004E79AD">
        <w:rPr>
          <w:rFonts w:ascii="Book Antiqua" w:hAnsi="Book Antiqua" w:cs="Times New Roman"/>
          <w:sz w:val="24"/>
          <w:szCs w:val="24"/>
        </w:rPr>
        <w:t>Overall survival</w:t>
      </w:r>
      <w:r w:rsidRPr="004E79AD">
        <w:rPr>
          <w:rFonts w:ascii="Book Antiqua" w:hAnsi="Book Antiqua" w:cs="Times New Roman"/>
          <w:noProof/>
          <w:sz w:val="24"/>
          <w:szCs w:val="24"/>
        </w:rPr>
        <w:t>; HR:</w:t>
      </w:r>
      <w:r w:rsidR="00D7049C" w:rsidRPr="004E79AD">
        <w:rPr>
          <w:rFonts w:ascii="Book Antiqua" w:hAnsi="Book Antiqua" w:cs="Times New Roman"/>
          <w:noProof/>
          <w:sz w:val="24"/>
          <w:szCs w:val="24"/>
        </w:rPr>
        <w:t xml:space="preserve"> </w:t>
      </w:r>
      <w:r w:rsidRPr="004E79AD">
        <w:rPr>
          <w:rFonts w:ascii="Book Antiqua" w:hAnsi="Book Antiqua" w:cs="Times New Roman"/>
          <w:noProof/>
          <w:sz w:val="24"/>
          <w:szCs w:val="24"/>
        </w:rPr>
        <w:t>Hazards ratio; ASA:</w:t>
      </w:r>
      <w:r w:rsidR="00D7049C" w:rsidRPr="004E79AD">
        <w:rPr>
          <w:rFonts w:ascii="Book Antiqua" w:hAnsi="Book Antiqua" w:cs="Times New Roman"/>
          <w:noProof/>
          <w:sz w:val="24"/>
          <w:szCs w:val="24"/>
        </w:rPr>
        <w:t xml:space="preserve"> American</w:t>
      </w:r>
      <w:r w:rsidRPr="004E79AD">
        <w:rPr>
          <w:rFonts w:ascii="Book Antiqua" w:hAnsi="Book Antiqua" w:cs="Times New Roman"/>
          <w:noProof/>
          <w:sz w:val="24"/>
          <w:szCs w:val="24"/>
        </w:rPr>
        <w:t xml:space="preserve"> Society of Anesthesiology; CRS:</w:t>
      </w:r>
      <w:r w:rsidR="00D7049C" w:rsidRPr="004E79AD">
        <w:rPr>
          <w:rFonts w:ascii="Book Antiqua" w:hAnsi="Book Antiqua" w:cs="Times New Roman"/>
          <w:noProof/>
          <w:sz w:val="24"/>
          <w:szCs w:val="24"/>
        </w:rPr>
        <w:t xml:space="preserve"> </w:t>
      </w:r>
      <w:r w:rsidRPr="004E79AD">
        <w:rPr>
          <w:rFonts w:ascii="Book Antiqua" w:hAnsi="Book Antiqua" w:cs="Times New Roman"/>
          <w:noProof/>
          <w:sz w:val="24"/>
          <w:szCs w:val="24"/>
        </w:rPr>
        <w:t>Cytoreductive surgery; HIPEC:</w:t>
      </w:r>
      <w:r w:rsidR="00D7049C" w:rsidRPr="004E79AD">
        <w:rPr>
          <w:rFonts w:ascii="Book Antiqua" w:hAnsi="Book Antiqua" w:cs="Times New Roman"/>
          <w:noProof/>
          <w:sz w:val="24"/>
          <w:szCs w:val="24"/>
        </w:rPr>
        <w:t xml:space="preserve"> </w:t>
      </w:r>
      <w:r w:rsidRPr="004E79AD">
        <w:rPr>
          <w:rFonts w:ascii="Book Antiqua" w:hAnsi="Book Antiqua" w:cs="Times New Roman"/>
          <w:noProof/>
          <w:sz w:val="24"/>
          <w:szCs w:val="24"/>
        </w:rPr>
        <w:t xml:space="preserve">Hyperthermic </w:t>
      </w:r>
      <w:r w:rsidR="00D7049C" w:rsidRPr="004E79AD">
        <w:rPr>
          <w:rFonts w:ascii="Book Antiqua" w:hAnsi="Book Antiqua" w:cs="Times New Roman"/>
          <w:noProof/>
          <w:sz w:val="24"/>
          <w:szCs w:val="24"/>
        </w:rPr>
        <w:t>in</w:t>
      </w:r>
      <w:r w:rsidRPr="004E79AD">
        <w:rPr>
          <w:rFonts w:ascii="Book Antiqua" w:hAnsi="Book Antiqua" w:cs="Times New Roman"/>
          <w:noProof/>
          <w:sz w:val="24"/>
          <w:szCs w:val="24"/>
        </w:rPr>
        <w:t>traperitoneal chemotherapy; PCI:</w:t>
      </w:r>
      <w:r w:rsidR="00D7049C" w:rsidRPr="004E79AD">
        <w:rPr>
          <w:rFonts w:ascii="Book Antiqua" w:hAnsi="Book Antiqua" w:cs="Times New Roman"/>
          <w:noProof/>
          <w:sz w:val="24"/>
          <w:szCs w:val="24"/>
        </w:rPr>
        <w:t xml:space="preserve"> </w:t>
      </w:r>
      <w:r w:rsidRPr="004E79AD">
        <w:rPr>
          <w:rFonts w:ascii="Book Antiqua" w:hAnsi="Book Antiqua" w:cs="Times New Roman"/>
          <w:noProof/>
          <w:sz w:val="24"/>
          <w:szCs w:val="24"/>
        </w:rPr>
        <w:t xml:space="preserve">Peritoneal </w:t>
      </w:r>
      <w:r w:rsidR="00D7049C" w:rsidRPr="004E79AD">
        <w:rPr>
          <w:rFonts w:ascii="Book Antiqua" w:hAnsi="Book Antiqua" w:cs="Times New Roman"/>
          <w:noProof/>
          <w:sz w:val="24"/>
          <w:szCs w:val="24"/>
        </w:rPr>
        <w:t>carcinomatosis index; C</w:t>
      </w:r>
      <w:r w:rsidRPr="004E79AD">
        <w:rPr>
          <w:rFonts w:ascii="Book Antiqua" w:hAnsi="Book Antiqua" w:cs="Times New Roman"/>
          <w:noProof/>
          <w:sz w:val="24"/>
          <w:szCs w:val="24"/>
        </w:rPr>
        <w:t>C:</w:t>
      </w:r>
      <w:r w:rsidR="00BE4C69" w:rsidRPr="004E79AD">
        <w:rPr>
          <w:rFonts w:ascii="Book Antiqua" w:hAnsi="Book Antiqua" w:cs="Times New Roman"/>
          <w:noProof/>
          <w:sz w:val="24"/>
          <w:szCs w:val="24"/>
        </w:rPr>
        <w:t xml:space="preserve"> </w:t>
      </w:r>
      <w:r w:rsidRPr="004E79AD">
        <w:rPr>
          <w:rFonts w:ascii="Book Antiqua" w:hAnsi="Book Antiqua" w:cs="Times New Roman"/>
          <w:noProof/>
          <w:sz w:val="24"/>
          <w:szCs w:val="24"/>
        </w:rPr>
        <w:t xml:space="preserve">Completeness </w:t>
      </w:r>
      <w:r w:rsidR="00BE4C69" w:rsidRPr="004E79AD">
        <w:rPr>
          <w:rFonts w:ascii="Book Antiqua" w:hAnsi="Book Antiqua" w:cs="Times New Roman"/>
          <w:noProof/>
          <w:sz w:val="24"/>
          <w:szCs w:val="24"/>
        </w:rPr>
        <w:t>of cytoreduction</w:t>
      </w:r>
      <w:r w:rsidRPr="004E79AD">
        <w:rPr>
          <w:rFonts w:ascii="Book Antiqua" w:hAnsi="Book Antiqua" w:cs="Times New Roman"/>
          <w:noProof/>
          <w:sz w:val="24"/>
          <w:szCs w:val="24"/>
        </w:rPr>
        <w:t>.</w:t>
      </w:r>
    </w:p>
    <w:p w14:paraId="087BA4D3" w14:textId="75563828" w:rsidR="00D7049C" w:rsidRPr="004E79AD" w:rsidRDefault="00F75212" w:rsidP="004E79AD">
      <w:pPr>
        <w:snapToGrid w:val="0"/>
        <w:spacing w:after="0" w:line="360" w:lineRule="auto"/>
        <w:jc w:val="both"/>
        <w:rPr>
          <w:rFonts w:ascii="Book Antiqua" w:hAnsi="Book Antiqua" w:cs="Times New Roman"/>
          <w:b/>
          <w:noProof/>
          <w:sz w:val="24"/>
          <w:szCs w:val="24"/>
        </w:rPr>
      </w:pPr>
      <w:r w:rsidRPr="004E79AD">
        <w:rPr>
          <w:rFonts w:ascii="Book Antiqua" w:hAnsi="Book Antiqua" w:cs="Times New Roman"/>
          <w:b/>
          <w:noProof/>
          <w:sz w:val="24"/>
          <w:szCs w:val="24"/>
        </w:rPr>
        <w:lastRenderedPageBreak/>
        <w:t>Table</w:t>
      </w:r>
      <w:r w:rsidR="00D7049C" w:rsidRPr="004E79AD">
        <w:rPr>
          <w:rFonts w:ascii="Book Antiqua" w:hAnsi="Book Antiqua" w:cs="Times New Roman"/>
          <w:b/>
          <w:noProof/>
          <w:sz w:val="24"/>
          <w:szCs w:val="24"/>
        </w:rPr>
        <w:t xml:space="preserve"> </w:t>
      </w:r>
      <w:r w:rsidR="00A54808" w:rsidRPr="004E79AD">
        <w:rPr>
          <w:rFonts w:ascii="Book Antiqua" w:hAnsi="Book Antiqua" w:cs="Times New Roman"/>
          <w:b/>
          <w:noProof/>
          <w:sz w:val="24"/>
          <w:szCs w:val="24"/>
        </w:rPr>
        <w:t>3</w:t>
      </w:r>
      <w:r w:rsidR="00D7049C" w:rsidRPr="004E79AD">
        <w:rPr>
          <w:rFonts w:ascii="Book Antiqua" w:hAnsi="Book Antiqua" w:cs="Times New Roman"/>
          <w:b/>
          <w:noProof/>
          <w:sz w:val="24"/>
          <w:szCs w:val="24"/>
        </w:rPr>
        <w:t xml:space="preserve"> Multivariable analysis for recurrence-free survival based on histology</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1574"/>
        <w:gridCol w:w="1120"/>
        <w:gridCol w:w="1123"/>
        <w:gridCol w:w="1126"/>
        <w:gridCol w:w="1120"/>
        <w:gridCol w:w="1123"/>
        <w:gridCol w:w="1126"/>
        <w:gridCol w:w="1120"/>
        <w:gridCol w:w="1123"/>
        <w:gridCol w:w="1126"/>
      </w:tblGrid>
      <w:tr w:rsidR="008770EC" w:rsidRPr="004E79AD" w14:paraId="553A8EB3" w14:textId="77777777" w:rsidTr="004E79AD">
        <w:trPr>
          <w:trHeight w:val="432"/>
        </w:trPr>
        <w:tc>
          <w:tcPr>
            <w:tcW w:w="3168" w:type="dxa"/>
            <w:gridSpan w:val="2"/>
            <w:tcBorders>
              <w:bottom w:val="single" w:sz="4" w:space="0" w:color="auto"/>
            </w:tcBorders>
            <w:shd w:val="clear" w:color="auto" w:fill="auto"/>
            <w:vAlign w:val="center"/>
          </w:tcPr>
          <w:p w14:paraId="7FD27C58" w14:textId="77777777" w:rsidR="00997C39" w:rsidRPr="004E79AD" w:rsidRDefault="00997C39" w:rsidP="004E79AD">
            <w:pPr>
              <w:snapToGrid w:val="0"/>
              <w:spacing w:line="360" w:lineRule="auto"/>
              <w:jc w:val="both"/>
              <w:rPr>
                <w:rFonts w:ascii="Book Antiqua" w:hAnsi="Book Antiqua" w:cs="Times New Roman"/>
                <w:b/>
                <w:sz w:val="24"/>
                <w:szCs w:val="24"/>
              </w:rPr>
            </w:pPr>
          </w:p>
        </w:tc>
        <w:tc>
          <w:tcPr>
            <w:tcW w:w="3414" w:type="dxa"/>
            <w:gridSpan w:val="3"/>
            <w:tcBorders>
              <w:bottom w:val="single" w:sz="4" w:space="0" w:color="auto"/>
            </w:tcBorders>
            <w:shd w:val="clear" w:color="auto" w:fill="auto"/>
            <w:vAlign w:val="center"/>
          </w:tcPr>
          <w:p w14:paraId="48F93AD2" w14:textId="5641F5FE"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 xml:space="preserve">RFS </w:t>
            </w:r>
            <w:r w:rsidR="00DD5CB5" w:rsidRPr="004E79AD">
              <w:rPr>
                <w:rFonts w:ascii="Book Antiqua" w:hAnsi="Book Antiqua" w:cs="Times New Roman"/>
                <w:b/>
                <w:sz w:val="24"/>
                <w:szCs w:val="24"/>
              </w:rPr>
              <w:t>entire cohort</w:t>
            </w:r>
          </w:p>
        </w:tc>
        <w:tc>
          <w:tcPr>
            <w:tcW w:w="3414" w:type="dxa"/>
            <w:gridSpan w:val="3"/>
            <w:tcBorders>
              <w:bottom w:val="single" w:sz="4" w:space="0" w:color="auto"/>
            </w:tcBorders>
            <w:shd w:val="clear" w:color="auto" w:fill="auto"/>
            <w:vAlign w:val="center"/>
          </w:tcPr>
          <w:p w14:paraId="1C527810" w14:textId="5A4BD624"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 xml:space="preserve">RFS </w:t>
            </w:r>
            <w:r w:rsidR="00DD5CB5" w:rsidRPr="004E79AD">
              <w:rPr>
                <w:rFonts w:ascii="Book Antiqua" w:hAnsi="Book Antiqua" w:cs="Times New Roman"/>
                <w:b/>
                <w:sz w:val="24"/>
                <w:szCs w:val="24"/>
              </w:rPr>
              <w:t>appendiceal cohort</w:t>
            </w:r>
          </w:p>
        </w:tc>
        <w:tc>
          <w:tcPr>
            <w:tcW w:w="3414" w:type="dxa"/>
            <w:gridSpan w:val="3"/>
            <w:tcBorders>
              <w:bottom w:val="single" w:sz="4" w:space="0" w:color="auto"/>
            </w:tcBorders>
            <w:shd w:val="clear" w:color="auto" w:fill="auto"/>
            <w:vAlign w:val="center"/>
          </w:tcPr>
          <w:p w14:paraId="22D4B543" w14:textId="3158242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 xml:space="preserve">RFS </w:t>
            </w:r>
            <w:r w:rsidR="00DD5CB5" w:rsidRPr="004E79AD">
              <w:rPr>
                <w:rFonts w:ascii="Book Antiqua" w:hAnsi="Book Antiqua" w:cs="Times New Roman"/>
                <w:b/>
                <w:sz w:val="24"/>
                <w:szCs w:val="24"/>
              </w:rPr>
              <w:t>colorectal cohort</w:t>
            </w:r>
          </w:p>
        </w:tc>
      </w:tr>
      <w:tr w:rsidR="004E79AD" w:rsidRPr="004E79AD" w14:paraId="61DDA90E" w14:textId="77777777" w:rsidTr="004E79AD">
        <w:trPr>
          <w:trHeight w:val="432"/>
        </w:trPr>
        <w:tc>
          <w:tcPr>
            <w:tcW w:w="3168" w:type="dxa"/>
            <w:gridSpan w:val="2"/>
            <w:tcBorders>
              <w:top w:val="single" w:sz="4" w:space="0" w:color="auto"/>
              <w:bottom w:val="single" w:sz="4" w:space="0" w:color="auto"/>
            </w:tcBorders>
            <w:shd w:val="clear" w:color="auto" w:fill="auto"/>
            <w:vAlign w:val="center"/>
          </w:tcPr>
          <w:p w14:paraId="42814E2E"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Factor</w:t>
            </w:r>
          </w:p>
        </w:tc>
        <w:tc>
          <w:tcPr>
            <w:tcW w:w="1138" w:type="dxa"/>
            <w:tcBorders>
              <w:top w:val="single" w:sz="4" w:space="0" w:color="auto"/>
              <w:bottom w:val="single" w:sz="4" w:space="0" w:color="auto"/>
            </w:tcBorders>
            <w:shd w:val="clear" w:color="auto" w:fill="auto"/>
            <w:vAlign w:val="center"/>
          </w:tcPr>
          <w:p w14:paraId="75A11CCA"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HR</w:t>
            </w:r>
          </w:p>
        </w:tc>
        <w:tc>
          <w:tcPr>
            <w:tcW w:w="1138" w:type="dxa"/>
            <w:tcBorders>
              <w:top w:val="single" w:sz="4" w:space="0" w:color="auto"/>
              <w:bottom w:val="single" w:sz="4" w:space="0" w:color="auto"/>
            </w:tcBorders>
            <w:shd w:val="clear" w:color="auto" w:fill="auto"/>
            <w:vAlign w:val="center"/>
          </w:tcPr>
          <w:p w14:paraId="40DA68AB"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95% CI</w:t>
            </w:r>
          </w:p>
        </w:tc>
        <w:tc>
          <w:tcPr>
            <w:tcW w:w="1138" w:type="dxa"/>
            <w:tcBorders>
              <w:top w:val="single" w:sz="4" w:space="0" w:color="auto"/>
              <w:bottom w:val="single" w:sz="4" w:space="0" w:color="auto"/>
            </w:tcBorders>
            <w:shd w:val="clear" w:color="auto" w:fill="auto"/>
            <w:vAlign w:val="center"/>
          </w:tcPr>
          <w:p w14:paraId="15EE488F" w14:textId="1E14E945" w:rsidR="00997C39" w:rsidRPr="004E79AD" w:rsidRDefault="00DD5CB5" w:rsidP="004E79AD">
            <w:pPr>
              <w:snapToGrid w:val="0"/>
              <w:spacing w:line="360" w:lineRule="auto"/>
              <w:jc w:val="both"/>
              <w:rPr>
                <w:rFonts w:ascii="Book Antiqua" w:hAnsi="Book Antiqua" w:cs="Times New Roman"/>
                <w:b/>
                <w:i/>
                <w:sz w:val="24"/>
                <w:szCs w:val="24"/>
              </w:rPr>
            </w:pPr>
            <w:r w:rsidRPr="004E79AD">
              <w:rPr>
                <w:rFonts w:ascii="Book Antiqua" w:hAnsi="Book Antiqua" w:cs="Times New Roman"/>
                <w:b/>
                <w:i/>
                <w:sz w:val="24"/>
                <w:szCs w:val="24"/>
              </w:rPr>
              <w:t xml:space="preserve">P </w:t>
            </w:r>
            <w:r w:rsidRPr="004E79AD">
              <w:rPr>
                <w:rFonts w:ascii="Book Antiqua" w:hAnsi="Book Antiqua" w:cs="Times New Roman"/>
                <w:b/>
                <w:sz w:val="24"/>
                <w:szCs w:val="24"/>
              </w:rPr>
              <w:t>value</w:t>
            </w:r>
          </w:p>
        </w:tc>
        <w:tc>
          <w:tcPr>
            <w:tcW w:w="1138" w:type="dxa"/>
            <w:tcBorders>
              <w:top w:val="single" w:sz="4" w:space="0" w:color="auto"/>
              <w:bottom w:val="single" w:sz="4" w:space="0" w:color="auto"/>
            </w:tcBorders>
            <w:shd w:val="clear" w:color="auto" w:fill="auto"/>
            <w:vAlign w:val="center"/>
          </w:tcPr>
          <w:p w14:paraId="716240A8"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HR</w:t>
            </w:r>
          </w:p>
        </w:tc>
        <w:tc>
          <w:tcPr>
            <w:tcW w:w="1138" w:type="dxa"/>
            <w:tcBorders>
              <w:top w:val="single" w:sz="4" w:space="0" w:color="auto"/>
              <w:bottom w:val="single" w:sz="4" w:space="0" w:color="auto"/>
            </w:tcBorders>
            <w:shd w:val="clear" w:color="auto" w:fill="auto"/>
            <w:vAlign w:val="center"/>
          </w:tcPr>
          <w:p w14:paraId="61575B66"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95% CI</w:t>
            </w:r>
          </w:p>
        </w:tc>
        <w:tc>
          <w:tcPr>
            <w:tcW w:w="1138" w:type="dxa"/>
            <w:tcBorders>
              <w:top w:val="single" w:sz="4" w:space="0" w:color="auto"/>
              <w:bottom w:val="single" w:sz="4" w:space="0" w:color="auto"/>
            </w:tcBorders>
            <w:shd w:val="clear" w:color="auto" w:fill="auto"/>
            <w:vAlign w:val="center"/>
          </w:tcPr>
          <w:p w14:paraId="6F5A4752" w14:textId="446EED87" w:rsidR="00997C39" w:rsidRPr="004E79AD" w:rsidRDefault="00DD5CB5" w:rsidP="004E79AD">
            <w:pPr>
              <w:snapToGrid w:val="0"/>
              <w:spacing w:line="360" w:lineRule="auto"/>
              <w:jc w:val="both"/>
              <w:rPr>
                <w:rFonts w:ascii="Book Antiqua" w:hAnsi="Book Antiqua" w:cs="Times New Roman"/>
                <w:b/>
                <w:i/>
                <w:sz w:val="24"/>
                <w:szCs w:val="24"/>
              </w:rPr>
            </w:pPr>
            <w:r w:rsidRPr="004E79AD">
              <w:rPr>
                <w:rFonts w:ascii="Book Antiqua" w:hAnsi="Book Antiqua" w:cs="Times New Roman"/>
                <w:b/>
                <w:i/>
                <w:sz w:val="24"/>
                <w:szCs w:val="24"/>
              </w:rPr>
              <w:t xml:space="preserve">P </w:t>
            </w:r>
            <w:r w:rsidRPr="004E79AD">
              <w:rPr>
                <w:rFonts w:ascii="Book Antiqua" w:hAnsi="Book Antiqua" w:cs="Times New Roman"/>
                <w:b/>
                <w:sz w:val="24"/>
                <w:szCs w:val="24"/>
              </w:rPr>
              <w:t>value</w:t>
            </w:r>
          </w:p>
        </w:tc>
        <w:tc>
          <w:tcPr>
            <w:tcW w:w="1138" w:type="dxa"/>
            <w:tcBorders>
              <w:top w:val="single" w:sz="4" w:space="0" w:color="auto"/>
              <w:bottom w:val="single" w:sz="4" w:space="0" w:color="auto"/>
            </w:tcBorders>
            <w:shd w:val="clear" w:color="auto" w:fill="auto"/>
            <w:vAlign w:val="center"/>
          </w:tcPr>
          <w:p w14:paraId="756F0AE0"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HR</w:t>
            </w:r>
          </w:p>
        </w:tc>
        <w:tc>
          <w:tcPr>
            <w:tcW w:w="1138" w:type="dxa"/>
            <w:tcBorders>
              <w:top w:val="single" w:sz="4" w:space="0" w:color="auto"/>
              <w:bottom w:val="single" w:sz="4" w:space="0" w:color="auto"/>
            </w:tcBorders>
            <w:shd w:val="clear" w:color="auto" w:fill="auto"/>
            <w:vAlign w:val="center"/>
          </w:tcPr>
          <w:p w14:paraId="40011768" w14:textId="77777777" w:rsidR="00997C39" w:rsidRPr="004E79AD" w:rsidRDefault="00997C39" w:rsidP="004E79AD">
            <w:pPr>
              <w:snapToGrid w:val="0"/>
              <w:spacing w:line="360" w:lineRule="auto"/>
              <w:jc w:val="both"/>
              <w:rPr>
                <w:rFonts w:ascii="Book Antiqua" w:hAnsi="Book Antiqua" w:cs="Times New Roman"/>
                <w:b/>
                <w:sz w:val="24"/>
                <w:szCs w:val="24"/>
              </w:rPr>
            </w:pPr>
            <w:r w:rsidRPr="004E79AD">
              <w:rPr>
                <w:rFonts w:ascii="Book Antiqua" w:hAnsi="Book Antiqua" w:cs="Times New Roman"/>
                <w:b/>
                <w:sz w:val="24"/>
                <w:szCs w:val="24"/>
              </w:rPr>
              <w:t>95% CI</w:t>
            </w:r>
          </w:p>
        </w:tc>
        <w:tc>
          <w:tcPr>
            <w:tcW w:w="1138" w:type="dxa"/>
            <w:tcBorders>
              <w:top w:val="single" w:sz="4" w:space="0" w:color="auto"/>
              <w:bottom w:val="single" w:sz="4" w:space="0" w:color="auto"/>
            </w:tcBorders>
            <w:shd w:val="clear" w:color="auto" w:fill="auto"/>
            <w:vAlign w:val="center"/>
          </w:tcPr>
          <w:p w14:paraId="04EBB725" w14:textId="54137390" w:rsidR="00997C39" w:rsidRPr="004E79AD" w:rsidRDefault="00DD5CB5" w:rsidP="004E79AD">
            <w:pPr>
              <w:snapToGrid w:val="0"/>
              <w:spacing w:line="360" w:lineRule="auto"/>
              <w:jc w:val="both"/>
              <w:rPr>
                <w:rFonts w:ascii="Book Antiqua" w:hAnsi="Book Antiqua" w:cs="Times New Roman"/>
                <w:b/>
                <w:i/>
                <w:sz w:val="24"/>
                <w:szCs w:val="24"/>
              </w:rPr>
            </w:pPr>
            <w:r w:rsidRPr="004E79AD">
              <w:rPr>
                <w:rFonts w:ascii="Book Antiqua" w:hAnsi="Book Antiqua" w:cs="Times New Roman"/>
                <w:b/>
                <w:i/>
                <w:sz w:val="24"/>
                <w:szCs w:val="24"/>
              </w:rPr>
              <w:t xml:space="preserve">P </w:t>
            </w:r>
            <w:r w:rsidRPr="004E79AD">
              <w:rPr>
                <w:rFonts w:ascii="Book Antiqua" w:hAnsi="Book Antiqua" w:cs="Times New Roman"/>
                <w:b/>
                <w:sz w:val="24"/>
                <w:szCs w:val="24"/>
              </w:rPr>
              <w:t>value</w:t>
            </w:r>
          </w:p>
        </w:tc>
      </w:tr>
      <w:tr w:rsidR="008770EC" w:rsidRPr="004E79AD" w14:paraId="0F633D72" w14:textId="77777777" w:rsidTr="004E79AD">
        <w:trPr>
          <w:trHeight w:val="288"/>
        </w:trPr>
        <w:tc>
          <w:tcPr>
            <w:tcW w:w="1728" w:type="dxa"/>
            <w:tcBorders>
              <w:top w:val="single" w:sz="4" w:space="0" w:color="auto"/>
            </w:tcBorders>
            <w:shd w:val="clear" w:color="auto" w:fill="auto"/>
            <w:vAlign w:val="center"/>
          </w:tcPr>
          <w:p w14:paraId="0FAB7B2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Age</w:t>
            </w:r>
          </w:p>
        </w:tc>
        <w:tc>
          <w:tcPr>
            <w:tcW w:w="1440" w:type="dxa"/>
            <w:tcBorders>
              <w:top w:val="single" w:sz="4" w:space="0" w:color="auto"/>
            </w:tcBorders>
            <w:shd w:val="clear" w:color="auto" w:fill="auto"/>
            <w:vAlign w:val="center"/>
          </w:tcPr>
          <w:p w14:paraId="409FF3F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65</w:t>
            </w:r>
          </w:p>
        </w:tc>
        <w:tc>
          <w:tcPr>
            <w:tcW w:w="3414" w:type="dxa"/>
            <w:gridSpan w:val="3"/>
            <w:tcBorders>
              <w:top w:val="single" w:sz="4" w:space="0" w:color="auto"/>
            </w:tcBorders>
            <w:shd w:val="clear" w:color="auto" w:fill="auto"/>
            <w:vAlign w:val="center"/>
          </w:tcPr>
          <w:p w14:paraId="535FF79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tcBorders>
              <w:top w:val="single" w:sz="4" w:space="0" w:color="auto"/>
            </w:tcBorders>
            <w:shd w:val="clear" w:color="auto" w:fill="auto"/>
            <w:vAlign w:val="center"/>
          </w:tcPr>
          <w:p w14:paraId="23A95A8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tcBorders>
              <w:top w:val="single" w:sz="4" w:space="0" w:color="auto"/>
            </w:tcBorders>
            <w:shd w:val="clear" w:color="auto" w:fill="auto"/>
            <w:vAlign w:val="center"/>
          </w:tcPr>
          <w:p w14:paraId="3302D99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26EE0EF4" w14:textId="77777777" w:rsidTr="00DD5CB5">
        <w:trPr>
          <w:trHeight w:val="288"/>
        </w:trPr>
        <w:tc>
          <w:tcPr>
            <w:tcW w:w="1728" w:type="dxa"/>
            <w:shd w:val="clear" w:color="auto" w:fill="auto"/>
            <w:vAlign w:val="center"/>
          </w:tcPr>
          <w:p w14:paraId="6D38F6FC"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3D6800B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65</w:t>
            </w:r>
          </w:p>
        </w:tc>
        <w:tc>
          <w:tcPr>
            <w:tcW w:w="1138" w:type="dxa"/>
            <w:shd w:val="clear" w:color="auto" w:fill="auto"/>
            <w:vAlign w:val="center"/>
          </w:tcPr>
          <w:p w14:paraId="59EFED7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1.00</w:t>
            </w:r>
          </w:p>
        </w:tc>
        <w:tc>
          <w:tcPr>
            <w:tcW w:w="1138" w:type="dxa"/>
            <w:shd w:val="clear" w:color="auto" w:fill="auto"/>
            <w:vAlign w:val="center"/>
          </w:tcPr>
          <w:p w14:paraId="647562D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0.78-1.26</w:t>
            </w:r>
          </w:p>
        </w:tc>
        <w:tc>
          <w:tcPr>
            <w:tcW w:w="1138" w:type="dxa"/>
            <w:shd w:val="clear" w:color="auto" w:fill="auto"/>
            <w:vAlign w:val="center"/>
          </w:tcPr>
          <w:p w14:paraId="065DBAE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0.99</w:t>
            </w:r>
          </w:p>
        </w:tc>
        <w:tc>
          <w:tcPr>
            <w:tcW w:w="1138" w:type="dxa"/>
            <w:shd w:val="clear" w:color="auto" w:fill="auto"/>
            <w:vAlign w:val="center"/>
          </w:tcPr>
          <w:p w14:paraId="54D91AB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0.95</w:t>
            </w:r>
          </w:p>
        </w:tc>
        <w:tc>
          <w:tcPr>
            <w:tcW w:w="1138" w:type="dxa"/>
            <w:shd w:val="clear" w:color="auto" w:fill="auto"/>
            <w:vAlign w:val="center"/>
          </w:tcPr>
          <w:p w14:paraId="27E2F20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0.69-1.29</w:t>
            </w:r>
          </w:p>
        </w:tc>
        <w:tc>
          <w:tcPr>
            <w:tcW w:w="1138" w:type="dxa"/>
            <w:shd w:val="clear" w:color="auto" w:fill="auto"/>
            <w:vAlign w:val="center"/>
          </w:tcPr>
          <w:p w14:paraId="486B4FE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0.75</w:t>
            </w:r>
          </w:p>
        </w:tc>
        <w:tc>
          <w:tcPr>
            <w:tcW w:w="1138" w:type="dxa"/>
            <w:shd w:val="clear" w:color="auto" w:fill="auto"/>
            <w:vAlign w:val="center"/>
          </w:tcPr>
          <w:p w14:paraId="57E44F1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1.03</w:t>
            </w:r>
          </w:p>
        </w:tc>
        <w:tc>
          <w:tcPr>
            <w:tcW w:w="1138" w:type="dxa"/>
            <w:shd w:val="clear" w:color="auto" w:fill="auto"/>
            <w:vAlign w:val="center"/>
          </w:tcPr>
          <w:p w14:paraId="6CBA215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0.70-1.50</w:t>
            </w:r>
          </w:p>
        </w:tc>
        <w:tc>
          <w:tcPr>
            <w:tcW w:w="1138" w:type="dxa"/>
            <w:shd w:val="clear" w:color="auto" w:fill="auto"/>
            <w:vAlign w:val="center"/>
          </w:tcPr>
          <w:p w14:paraId="3B9D91C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0.87</w:t>
            </w:r>
          </w:p>
        </w:tc>
      </w:tr>
      <w:tr w:rsidR="008770EC" w:rsidRPr="004E79AD" w14:paraId="0DF043A8" w14:textId="77777777" w:rsidTr="00DD5CB5">
        <w:trPr>
          <w:trHeight w:val="288"/>
        </w:trPr>
        <w:tc>
          <w:tcPr>
            <w:tcW w:w="1728" w:type="dxa"/>
            <w:shd w:val="clear" w:color="auto" w:fill="auto"/>
            <w:vAlign w:val="center"/>
          </w:tcPr>
          <w:p w14:paraId="15C07F0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Previous CRS</w:t>
            </w:r>
          </w:p>
        </w:tc>
        <w:tc>
          <w:tcPr>
            <w:tcW w:w="1440" w:type="dxa"/>
            <w:shd w:val="clear" w:color="auto" w:fill="auto"/>
            <w:vAlign w:val="center"/>
          </w:tcPr>
          <w:p w14:paraId="14D722D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No</w:t>
            </w:r>
          </w:p>
        </w:tc>
        <w:tc>
          <w:tcPr>
            <w:tcW w:w="3414" w:type="dxa"/>
            <w:gridSpan w:val="3"/>
            <w:shd w:val="clear" w:color="auto" w:fill="auto"/>
            <w:vAlign w:val="center"/>
          </w:tcPr>
          <w:p w14:paraId="1C5F608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1206E22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2D1EB41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60CEBBB3" w14:textId="77777777" w:rsidTr="00DD5CB5">
        <w:trPr>
          <w:trHeight w:val="288"/>
        </w:trPr>
        <w:tc>
          <w:tcPr>
            <w:tcW w:w="1728" w:type="dxa"/>
            <w:shd w:val="clear" w:color="auto" w:fill="auto"/>
            <w:vAlign w:val="center"/>
          </w:tcPr>
          <w:p w14:paraId="55604152"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68B6D6F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Yes</w:t>
            </w:r>
          </w:p>
        </w:tc>
        <w:tc>
          <w:tcPr>
            <w:tcW w:w="1138" w:type="dxa"/>
            <w:shd w:val="clear" w:color="auto" w:fill="auto"/>
            <w:vAlign w:val="center"/>
          </w:tcPr>
          <w:p w14:paraId="49614B9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1.27</w:t>
            </w:r>
          </w:p>
        </w:tc>
        <w:tc>
          <w:tcPr>
            <w:tcW w:w="1138" w:type="dxa"/>
            <w:shd w:val="clear" w:color="auto" w:fill="auto"/>
            <w:vAlign w:val="center"/>
          </w:tcPr>
          <w:p w14:paraId="349EEBB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1.01-1.59</w:t>
            </w:r>
          </w:p>
        </w:tc>
        <w:tc>
          <w:tcPr>
            <w:tcW w:w="1138" w:type="dxa"/>
            <w:shd w:val="clear" w:color="auto" w:fill="auto"/>
            <w:vAlign w:val="center"/>
          </w:tcPr>
          <w:p w14:paraId="4FC5232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0.04</w:t>
            </w:r>
          </w:p>
        </w:tc>
        <w:tc>
          <w:tcPr>
            <w:tcW w:w="1138" w:type="dxa"/>
            <w:shd w:val="clear" w:color="auto" w:fill="auto"/>
            <w:vAlign w:val="center"/>
          </w:tcPr>
          <w:p w14:paraId="58E30D1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1.35</w:t>
            </w:r>
          </w:p>
        </w:tc>
        <w:tc>
          <w:tcPr>
            <w:tcW w:w="1138" w:type="dxa"/>
            <w:shd w:val="clear" w:color="auto" w:fill="auto"/>
            <w:vAlign w:val="center"/>
          </w:tcPr>
          <w:p w14:paraId="197A682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1.01-1.81</w:t>
            </w:r>
          </w:p>
        </w:tc>
        <w:tc>
          <w:tcPr>
            <w:tcW w:w="1138" w:type="dxa"/>
            <w:shd w:val="clear" w:color="auto" w:fill="auto"/>
            <w:vAlign w:val="center"/>
          </w:tcPr>
          <w:p w14:paraId="07FB560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0.04</w:t>
            </w:r>
          </w:p>
        </w:tc>
        <w:tc>
          <w:tcPr>
            <w:tcW w:w="1138" w:type="dxa"/>
            <w:shd w:val="clear" w:color="auto" w:fill="auto"/>
            <w:vAlign w:val="center"/>
          </w:tcPr>
          <w:p w14:paraId="501EF4B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1.17</w:t>
            </w:r>
          </w:p>
        </w:tc>
        <w:tc>
          <w:tcPr>
            <w:tcW w:w="1138" w:type="dxa"/>
            <w:shd w:val="clear" w:color="auto" w:fill="auto"/>
            <w:vAlign w:val="center"/>
          </w:tcPr>
          <w:p w14:paraId="4E9E416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0.80-1.70</w:t>
            </w:r>
          </w:p>
        </w:tc>
        <w:tc>
          <w:tcPr>
            <w:tcW w:w="1138" w:type="dxa"/>
            <w:shd w:val="clear" w:color="auto" w:fill="auto"/>
            <w:vAlign w:val="center"/>
          </w:tcPr>
          <w:p w14:paraId="284100F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0.39</w:t>
            </w:r>
          </w:p>
        </w:tc>
      </w:tr>
      <w:tr w:rsidR="004E79AD" w:rsidRPr="004E79AD" w14:paraId="6EE447DD" w14:textId="77777777" w:rsidTr="00DD5CB5">
        <w:trPr>
          <w:trHeight w:val="288"/>
        </w:trPr>
        <w:tc>
          <w:tcPr>
            <w:tcW w:w="1728" w:type="dxa"/>
            <w:shd w:val="clear" w:color="auto" w:fill="auto"/>
            <w:vAlign w:val="center"/>
          </w:tcPr>
          <w:p w14:paraId="7603B62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Histology</w:t>
            </w:r>
          </w:p>
        </w:tc>
        <w:tc>
          <w:tcPr>
            <w:tcW w:w="1440" w:type="dxa"/>
            <w:shd w:val="clear" w:color="auto" w:fill="auto"/>
            <w:vAlign w:val="center"/>
          </w:tcPr>
          <w:p w14:paraId="077057E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Appendiceal</w:t>
            </w:r>
          </w:p>
        </w:tc>
        <w:tc>
          <w:tcPr>
            <w:tcW w:w="3414" w:type="dxa"/>
            <w:gridSpan w:val="3"/>
            <w:shd w:val="clear" w:color="auto" w:fill="auto"/>
            <w:vAlign w:val="center"/>
          </w:tcPr>
          <w:p w14:paraId="7BEA03D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1138" w:type="dxa"/>
            <w:shd w:val="clear" w:color="auto" w:fill="auto"/>
            <w:vAlign w:val="center"/>
          </w:tcPr>
          <w:p w14:paraId="5BA38DFA"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8" w:type="dxa"/>
            <w:shd w:val="clear" w:color="auto" w:fill="auto"/>
            <w:vAlign w:val="center"/>
          </w:tcPr>
          <w:p w14:paraId="2C8A955A"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8" w:type="dxa"/>
            <w:shd w:val="clear" w:color="auto" w:fill="auto"/>
            <w:vAlign w:val="center"/>
          </w:tcPr>
          <w:p w14:paraId="5B9055E4"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8" w:type="dxa"/>
            <w:shd w:val="clear" w:color="auto" w:fill="auto"/>
            <w:vAlign w:val="center"/>
          </w:tcPr>
          <w:p w14:paraId="4B3BEE82"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8" w:type="dxa"/>
            <w:shd w:val="clear" w:color="auto" w:fill="auto"/>
            <w:vAlign w:val="center"/>
          </w:tcPr>
          <w:p w14:paraId="5539D388"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8" w:type="dxa"/>
            <w:shd w:val="clear" w:color="auto" w:fill="auto"/>
            <w:vAlign w:val="center"/>
          </w:tcPr>
          <w:p w14:paraId="2674EE3C" w14:textId="77777777" w:rsidR="00997C39" w:rsidRPr="004E79AD" w:rsidRDefault="00997C39" w:rsidP="004E79AD">
            <w:pPr>
              <w:snapToGrid w:val="0"/>
              <w:spacing w:line="360" w:lineRule="auto"/>
              <w:jc w:val="both"/>
              <w:rPr>
                <w:rFonts w:ascii="Book Antiqua" w:hAnsi="Book Antiqua" w:cs="Times New Roman"/>
                <w:sz w:val="24"/>
                <w:szCs w:val="24"/>
              </w:rPr>
            </w:pPr>
          </w:p>
        </w:tc>
      </w:tr>
      <w:tr w:rsidR="004E79AD" w:rsidRPr="004E79AD" w14:paraId="046E53C6" w14:textId="77777777" w:rsidTr="00DD5CB5">
        <w:trPr>
          <w:trHeight w:val="288"/>
        </w:trPr>
        <w:tc>
          <w:tcPr>
            <w:tcW w:w="1728" w:type="dxa"/>
            <w:shd w:val="clear" w:color="auto" w:fill="auto"/>
            <w:vAlign w:val="center"/>
          </w:tcPr>
          <w:p w14:paraId="46A5E1D8"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64D5FF5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Colorectal</w:t>
            </w:r>
          </w:p>
        </w:tc>
        <w:tc>
          <w:tcPr>
            <w:tcW w:w="1138" w:type="dxa"/>
            <w:shd w:val="clear" w:color="auto" w:fill="auto"/>
            <w:vAlign w:val="center"/>
          </w:tcPr>
          <w:p w14:paraId="00B1D80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2.20</w:t>
            </w:r>
          </w:p>
        </w:tc>
        <w:tc>
          <w:tcPr>
            <w:tcW w:w="1138" w:type="dxa"/>
            <w:shd w:val="clear" w:color="auto" w:fill="auto"/>
            <w:vAlign w:val="center"/>
          </w:tcPr>
          <w:p w14:paraId="41B9E84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1.72-2.82</w:t>
            </w:r>
          </w:p>
        </w:tc>
        <w:tc>
          <w:tcPr>
            <w:tcW w:w="1138" w:type="dxa"/>
            <w:shd w:val="clear" w:color="auto" w:fill="auto"/>
            <w:vAlign w:val="center"/>
          </w:tcPr>
          <w:p w14:paraId="140FB95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38" w:type="dxa"/>
            <w:shd w:val="clear" w:color="auto" w:fill="auto"/>
            <w:vAlign w:val="center"/>
          </w:tcPr>
          <w:p w14:paraId="3A45241B" w14:textId="77777777" w:rsidR="00997C39" w:rsidRPr="004E79AD" w:rsidRDefault="00997C39" w:rsidP="004E79AD">
            <w:pPr>
              <w:snapToGrid w:val="0"/>
              <w:spacing w:line="360" w:lineRule="auto"/>
              <w:jc w:val="both"/>
              <w:rPr>
                <w:rFonts w:ascii="Book Antiqua" w:hAnsi="Book Antiqua" w:cs="Times New Roman"/>
                <w:sz w:val="24"/>
                <w:szCs w:val="24"/>
                <w:highlight w:val="black"/>
              </w:rPr>
            </w:pPr>
          </w:p>
        </w:tc>
        <w:tc>
          <w:tcPr>
            <w:tcW w:w="1138" w:type="dxa"/>
            <w:shd w:val="clear" w:color="auto" w:fill="auto"/>
            <w:vAlign w:val="center"/>
          </w:tcPr>
          <w:p w14:paraId="0986E4D2" w14:textId="77777777" w:rsidR="00997C39" w:rsidRPr="004E79AD" w:rsidRDefault="00997C39" w:rsidP="004E79AD">
            <w:pPr>
              <w:snapToGrid w:val="0"/>
              <w:spacing w:line="360" w:lineRule="auto"/>
              <w:jc w:val="both"/>
              <w:rPr>
                <w:rFonts w:ascii="Book Antiqua" w:hAnsi="Book Antiqua" w:cs="Times New Roman"/>
                <w:sz w:val="24"/>
                <w:szCs w:val="24"/>
                <w:highlight w:val="black"/>
              </w:rPr>
            </w:pPr>
          </w:p>
        </w:tc>
        <w:tc>
          <w:tcPr>
            <w:tcW w:w="1138" w:type="dxa"/>
            <w:shd w:val="clear" w:color="auto" w:fill="auto"/>
            <w:vAlign w:val="center"/>
          </w:tcPr>
          <w:p w14:paraId="17050AEF" w14:textId="77777777" w:rsidR="00997C39" w:rsidRPr="004E79AD" w:rsidRDefault="00997C39" w:rsidP="004E79AD">
            <w:pPr>
              <w:snapToGrid w:val="0"/>
              <w:spacing w:line="360" w:lineRule="auto"/>
              <w:jc w:val="both"/>
              <w:rPr>
                <w:rFonts w:ascii="Book Antiqua" w:hAnsi="Book Antiqua" w:cs="Times New Roman"/>
                <w:sz w:val="24"/>
                <w:szCs w:val="24"/>
                <w:highlight w:val="black"/>
              </w:rPr>
            </w:pPr>
          </w:p>
        </w:tc>
        <w:tc>
          <w:tcPr>
            <w:tcW w:w="1138" w:type="dxa"/>
            <w:shd w:val="clear" w:color="auto" w:fill="auto"/>
            <w:vAlign w:val="center"/>
          </w:tcPr>
          <w:p w14:paraId="3781209B"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8" w:type="dxa"/>
            <w:shd w:val="clear" w:color="auto" w:fill="auto"/>
            <w:vAlign w:val="center"/>
          </w:tcPr>
          <w:p w14:paraId="6FCCB378"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138" w:type="dxa"/>
            <w:shd w:val="clear" w:color="auto" w:fill="auto"/>
            <w:vAlign w:val="center"/>
          </w:tcPr>
          <w:p w14:paraId="1B0E08A5" w14:textId="77777777" w:rsidR="00997C39" w:rsidRPr="004E79AD" w:rsidRDefault="00997C39" w:rsidP="004E79AD">
            <w:pPr>
              <w:snapToGrid w:val="0"/>
              <w:spacing w:line="360" w:lineRule="auto"/>
              <w:jc w:val="both"/>
              <w:rPr>
                <w:rFonts w:ascii="Book Antiqua" w:hAnsi="Book Antiqua" w:cs="Times New Roman"/>
                <w:sz w:val="24"/>
                <w:szCs w:val="24"/>
              </w:rPr>
            </w:pPr>
          </w:p>
        </w:tc>
      </w:tr>
      <w:tr w:rsidR="008770EC" w:rsidRPr="004E79AD" w14:paraId="50CECC4C" w14:textId="77777777" w:rsidTr="00DD5CB5">
        <w:trPr>
          <w:trHeight w:val="288"/>
        </w:trPr>
        <w:tc>
          <w:tcPr>
            <w:tcW w:w="1728" w:type="dxa"/>
            <w:shd w:val="clear" w:color="auto" w:fill="auto"/>
            <w:vAlign w:val="center"/>
          </w:tcPr>
          <w:p w14:paraId="17907E6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Differentiation</w:t>
            </w:r>
          </w:p>
        </w:tc>
        <w:tc>
          <w:tcPr>
            <w:tcW w:w="1440" w:type="dxa"/>
            <w:shd w:val="clear" w:color="auto" w:fill="auto"/>
            <w:vAlign w:val="center"/>
          </w:tcPr>
          <w:p w14:paraId="1D4D834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Well</w:t>
            </w:r>
          </w:p>
        </w:tc>
        <w:tc>
          <w:tcPr>
            <w:tcW w:w="3414" w:type="dxa"/>
            <w:gridSpan w:val="3"/>
            <w:shd w:val="clear" w:color="auto" w:fill="auto"/>
            <w:vAlign w:val="center"/>
          </w:tcPr>
          <w:p w14:paraId="41B29A3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7BD395E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7F2BDD1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0FBB6F1C" w14:textId="77777777" w:rsidTr="00DD5CB5">
        <w:trPr>
          <w:trHeight w:val="288"/>
        </w:trPr>
        <w:tc>
          <w:tcPr>
            <w:tcW w:w="1728" w:type="dxa"/>
            <w:shd w:val="clear" w:color="auto" w:fill="auto"/>
            <w:vAlign w:val="center"/>
          </w:tcPr>
          <w:p w14:paraId="288057F4"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5EBAE50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Mod / Poor</w:t>
            </w:r>
          </w:p>
        </w:tc>
        <w:tc>
          <w:tcPr>
            <w:tcW w:w="1138" w:type="dxa"/>
            <w:shd w:val="clear" w:color="auto" w:fill="auto"/>
            <w:vAlign w:val="center"/>
          </w:tcPr>
          <w:p w14:paraId="42F1695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1.77</w:t>
            </w:r>
          </w:p>
        </w:tc>
        <w:tc>
          <w:tcPr>
            <w:tcW w:w="1138" w:type="dxa"/>
            <w:shd w:val="clear" w:color="auto" w:fill="auto"/>
            <w:vAlign w:val="center"/>
          </w:tcPr>
          <w:p w14:paraId="42638EC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1.37-2.29</w:t>
            </w:r>
          </w:p>
        </w:tc>
        <w:tc>
          <w:tcPr>
            <w:tcW w:w="1138" w:type="dxa"/>
            <w:shd w:val="clear" w:color="auto" w:fill="auto"/>
            <w:vAlign w:val="center"/>
          </w:tcPr>
          <w:p w14:paraId="0069C73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38" w:type="dxa"/>
            <w:shd w:val="clear" w:color="auto" w:fill="auto"/>
            <w:vAlign w:val="center"/>
          </w:tcPr>
          <w:p w14:paraId="750BFE5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1.89</w:t>
            </w:r>
          </w:p>
        </w:tc>
        <w:tc>
          <w:tcPr>
            <w:tcW w:w="1138" w:type="dxa"/>
            <w:shd w:val="clear" w:color="auto" w:fill="auto"/>
            <w:vAlign w:val="center"/>
          </w:tcPr>
          <w:p w14:paraId="6829316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1.41-2.55</w:t>
            </w:r>
          </w:p>
        </w:tc>
        <w:tc>
          <w:tcPr>
            <w:tcW w:w="1138" w:type="dxa"/>
            <w:shd w:val="clear" w:color="auto" w:fill="auto"/>
            <w:vAlign w:val="center"/>
          </w:tcPr>
          <w:p w14:paraId="0F588CB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38" w:type="dxa"/>
            <w:shd w:val="clear" w:color="auto" w:fill="auto"/>
            <w:vAlign w:val="center"/>
          </w:tcPr>
          <w:p w14:paraId="531A211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0.91</w:t>
            </w:r>
          </w:p>
        </w:tc>
        <w:tc>
          <w:tcPr>
            <w:tcW w:w="1138" w:type="dxa"/>
            <w:shd w:val="clear" w:color="auto" w:fill="auto"/>
            <w:vAlign w:val="center"/>
          </w:tcPr>
          <w:p w14:paraId="2C74517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0.54-1.52</w:t>
            </w:r>
          </w:p>
        </w:tc>
        <w:tc>
          <w:tcPr>
            <w:tcW w:w="1138" w:type="dxa"/>
            <w:shd w:val="clear" w:color="auto" w:fill="auto"/>
            <w:vAlign w:val="center"/>
          </w:tcPr>
          <w:p w14:paraId="0565069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0.73</w:t>
            </w:r>
          </w:p>
        </w:tc>
      </w:tr>
      <w:tr w:rsidR="008770EC" w:rsidRPr="004E79AD" w14:paraId="793E9A80" w14:textId="77777777" w:rsidTr="00DD5CB5">
        <w:trPr>
          <w:trHeight w:val="288"/>
        </w:trPr>
        <w:tc>
          <w:tcPr>
            <w:tcW w:w="1728" w:type="dxa"/>
            <w:shd w:val="clear" w:color="auto" w:fill="auto"/>
            <w:vAlign w:val="center"/>
          </w:tcPr>
          <w:p w14:paraId="24A22FE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ASA</w:t>
            </w:r>
          </w:p>
        </w:tc>
        <w:tc>
          <w:tcPr>
            <w:tcW w:w="1440" w:type="dxa"/>
            <w:shd w:val="clear" w:color="auto" w:fill="auto"/>
            <w:vAlign w:val="center"/>
          </w:tcPr>
          <w:p w14:paraId="7D13B91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w:t>
            </w:r>
          </w:p>
        </w:tc>
        <w:tc>
          <w:tcPr>
            <w:tcW w:w="3414" w:type="dxa"/>
            <w:gridSpan w:val="3"/>
            <w:shd w:val="clear" w:color="auto" w:fill="auto"/>
            <w:vAlign w:val="center"/>
          </w:tcPr>
          <w:p w14:paraId="78B1300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408B5F1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3DCCEA2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5A44BDDA" w14:textId="77777777" w:rsidTr="00DD5CB5">
        <w:trPr>
          <w:trHeight w:val="288"/>
        </w:trPr>
        <w:tc>
          <w:tcPr>
            <w:tcW w:w="1728" w:type="dxa"/>
            <w:shd w:val="clear" w:color="auto" w:fill="auto"/>
            <w:vAlign w:val="center"/>
          </w:tcPr>
          <w:p w14:paraId="71BA0846"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08DC554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3-4</w:t>
            </w:r>
          </w:p>
        </w:tc>
        <w:tc>
          <w:tcPr>
            <w:tcW w:w="1138" w:type="dxa"/>
            <w:shd w:val="clear" w:color="auto" w:fill="auto"/>
            <w:vAlign w:val="center"/>
          </w:tcPr>
          <w:p w14:paraId="07C125C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1.56</w:t>
            </w:r>
          </w:p>
        </w:tc>
        <w:tc>
          <w:tcPr>
            <w:tcW w:w="1138" w:type="dxa"/>
            <w:shd w:val="clear" w:color="auto" w:fill="auto"/>
            <w:vAlign w:val="center"/>
          </w:tcPr>
          <w:p w14:paraId="17D3A6C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1.12-2.18</w:t>
            </w:r>
          </w:p>
        </w:tc>
        <w:tc>
          <w:tcPr>
            <w:tcW w:w="1138" w:type="dxa"/>
            <w:shd w:val="clear" w:color="auto" w:fill="auto"/>
            <w:vAlign w:val="center"/>
          </w:tcPr>
          <w:p w14:paraId="2DB1E57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0.01</w:t>
            </w:r>
          </w:p>
        </w:tc>
        <w:tc>
          <w:tcPr>
            <w:tcW w:w="1138" w:type="dxa"/>
            <w:shd w:val="clear" w:color="auto" w:fill="auto"/>
            <w:vAlign w:val="center"/>
          </w:tcPr>
          <w:p w14:paraId="1CBC5FB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1.82</w:t>
            </w:r>
          </w:p>
        </w:tc>
        <w:tc>
          <w:tcPr>
            <w:tcW w:w="1138" w:type="dxa"/>
            <w:shd w:val="clear" w:color="auto" w:fill="auto"/>
            <w:vAlign w:val="center"/>
          </w:tcPr>
          <w:p w14:paraId="01B0E1C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1.20-2.77</w:t>
            </w:r>
          </w:p>
        </w:tc>
        <w:tc>
          <w:tcPr>
            <w:tcW w:w="1138" w:type="dxa"/>
            <w:shd w:val="clear" w:color="auto" w:fill="auto"/>
            <w:vAlign w:val="center"/>
          </w:tcPr>
          <w:p w14:paraId="79D1364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38" w:type="dxa"/>
            <w:shd w:val="clear" w:color="auto" w:fill="auto"/>
            <w:vAlign w:val="center"/>
          </w:tcPr>
          <w:p w14:paraId="6A1D009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1.23</w:t>
            </w:r>
          </w:p>
        </w:tc>
        <w:tc>
          <w:tcPr>
            <w:tcW w:w="1138" w:type="dxa"/>
            <w:shd w:val="clear" w:color="auto" w:fill="auto"/>
            <w:vAlign w:val="center"/>
          </w:tcPr>
          <w:p w14:paraId="75AD734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0.69-2.21</w:t>
            </w:r>
          </w:p>
        </w:tc>
        <w:tc>
          <w:tcPr>
            <w:tcW w:w="1138" w:type="dxa"/>
            <w:shd w:val="clear" w:color="auto" w:fill="auto"/>
            <w:vAlign w:val="center"/>
          </w:tcPr>
          <w:p w14:paraId="1A2D633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0.46</w:t>
            </w:r>
          </w:p>
        </w:tc>
      </w:tr>
      <w:tr w:rsidR="008770EC" w:rsidRPr="004E79AD" w14:paraId="70F9636F" w14:textId="77777777" w:rsidTr="00DD5CB5">
        <w:trPr>
          <w:trHeight w:val="288"/>
        </w:trPr>
        <w:tc>
          <w:tcPr>
            <w:tcW w:w="1728" w:type="dxa"/>
            <w:shd w:val="clear" w:color="auto" w:fill="auto"/>
            <w:vAlign w:val="center"/>
          </w:tcPr>
          <w:p w14:paraId="1A3431D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PCI</w:t>
            </w:r>
          </w:p>
        </w:tc>
        <w:tc>
          <w:tcPr>
            <w:tcW w:w="1440" w:type="dxa"/>
            <w:shd w:val="clear" w:color="auto" w:fill="auto"/>
            <w:vAlign w:val="center"/>
          </w:tcPr>
          <w:p w14:paraId="5F697A5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20</w:t>
            </w:r>
          </w:p>
        </w:tc>
        <w:tc>
          <w:tcPr>
            <w:tcW w:w="3414" w:type="dxa"/>
            <w:gridSpan w:val="3"/>
            <w:shd w:val="clear" w:color="auto" w:fill="auto"/>
            <w:vAlign w:val="center"/>
          </w:tcPr>
          <w:p w14:paraId="6C876F5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22C8241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731E6AF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0352ED70" w14:textId="77777777" w:rsidTr="00DD5CB5">
        <w:trPr>
          <w:trHeight w:val="288"/>
        </w:trPr>
        <w:tc>
          <w:tcPr>
            <w:tcW w:w="1728" w:type="dxa"/>
            <w:shd w:val="clear" w:color="auto" w:fill="auto"/>
            <w:vAlign w:val="center"/>
          </w:tcPr>
          <w:p w14:paraId="2A6888E5"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07587E8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20</w:t>
            </w:r>
          </w:p>
        </w:tc>
        <w:tc>
          <w:tcPr>
            <w:tcW w:w="1138" w:type="dxa"/>
            <w:shd w:val="clear" w:color="auto" w:fill="auto"/>
            <w:vAlign w:val="center"/>
          </w:tcPr>
          <w:p w14:paraId="68F9CF0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1.59</w:t>
            </w:r>
          </w:p>
        </w:tc>
        <w:tc>
          <w:tcPr>
            <w:tcW w:w="1138" w:type="dxa"/>
            <w:shd w:val="clear" w:color="auto" w:fill="auto"/>
            <w:vAlign w:val="center"/>
          </w:tcPr>
          <w:p w14:paraId="5287901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1.24-</w:t>
            </w:r>
            <w:r w:rsidRPr="004E79AD">
              <w:rPr>
                <w:rFonts w:ascii="Book Antiqua" w:hAnsi="Book Antiqua" w:cs="Times New Roman"/>
                <w:sz w:val="24"/>
                <w:szCs w:val="24"/>
              </w:rPr>
              <w:lastRenderedPageBreak/>
              <w:t>2.02</w:t>
            </w:r>
          </w:p>
        </w:tc>
        <w:tc>
          <w:tcPr>
            <w:tcW w:w="1138" w:type="dxa"/>
            <w:shd w:val="clear" w:color="auto" w:fill="auto"/>
            <w:vAlign w:val="center"/>
          </w:tcPr>
          <w:p w14:paraId="35B0833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lastRenderedPageBreak/>
              <w:t>&lt; 0.01</w:t>
            </w:r>
          </w:p>
        </w:tc>
        <w:tc>
          <w:tcPr>
            <w:tcW w:w="1138" w:type="dxa"/>
            <w:shd w:val="clear" w:color="auto" w:fill="auto"/>
            <w:vAlign w:val="center"/>
          </w:tcPr>
          <w:p w14:paraId="4FA60D2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1.78</w:t>
            </w:r>
          </w:p>
        </w:tc>
        <w:tc>
          <w:tcPr>
            <w:tcW w:w="1138" w:type="dxa"/>
            <w:shd w:val="clear" w:color="auto" w:fill="auto"/>
            <w:vAlign w:val="center"/>
          </w:tcPr>
          <w:p w14:paraId="3052570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1.33-</w:t>
            </w:r>
            <w:r w:rsidRPr="004E79AD">
              <w:rPr>
                <w:rFonts w:ascii="Book Antiqua" w:hAnsi="Book Antiqua" w:cs="Times New Roman"/>
                <w:sz w:val="24"/>
                <w:szCs w:val="24"/>
              </w:rPr>
              <w:lastRenderedPageBreak/>
              <w:t>2.39</w:t>
            </w:r>
          </w:p>
        </w:tc>
        <w:tc>
          <w:tcPr>
            <w:tcW w:w="1138" w:type="dxa"/>
            <w:shd w:val="clear" w:color="auto" w:fill="auto"/>
            <w:vAlign w:val="center"/>
          </w:tcPr>
          <w:p w14:paraId="61E239B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lastRenderedPageBreak/>
              <w:t>&lt; 0.01</w:t>
            </w:r>
          </w:p>
        </w:tc>
        <w:tc>
          <w:tcPr>
            <w:tcW w:w="1138" w:type="dxa"/>
            <w:shd w:val="clear" w:color="auto" w:fill="auto"/>
            <w:vAlign w:val="center"/>
          </w:tcPr>
          <w:p w14:paraId="3ECCA02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1.27</w:t>
            </w:r>
          </w:p>
        </w:tc>
        <w:tc>
          <w:tcPr>
            <w:tcW w:w="1138" w:type="dxa"/>
            <w:shd w:val="clear" w:color="auto" w:fill="auto"/>
            <w:vAlign w:val="center"/>
          </w:tcPr>
          <w:p w14:paraId="4B2807D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0.80-</w:t>
            </w:r>
            <w:r w:rsidRPr="004E79AD">
              <w:rPr>
                <w:rFonts w:ascii="Book Antiqua" w:hAnsi="Book Antiqua" w:cs="Times New Roman"/>
                <w:sz w:val="24"/>
                <w:szCs w:val="24"/>
              </w:rPr>
              <w:lastRenderedPageBreak/>
              <w:t>2.03</w:t>
            </w:r>
          </w:p>
        </w:tc>
        <w:tc>
          <w:tcPr>
            <w:tcW w:w="1138" w:type="dxa"/>
            <w:shd w:val="clear" w:color="auto" w:fill="auto"/>
            <w:vAlign w:val="center"/>
          </w:tcPr>
          <w:p w14:paraId="59C2055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lastRenderedPageBreak/>
              <w:t>0.31</w:t>
            </w:r>
          </w:p>
        </w:tc>
      </w:tr>
      <w:tr w:rsidR="008770EC" w:rsidRPr="004E79AD" w14:paraId="04574549" w14:textId="77777777" w:rsidTr="00DD5CB5">
        <w:trPr>
          <w:trHeight w:val="288"/>
        </w:trPr>
        <w:tc>
          <w:tcPr>
            <w:tcW w:w="1728" w:type="dxa"/>
            <w:shd w:val="clear" w:color="auto" w:fill="auto"/>
            <w:vAlign w:val="center"/>
          </w:tcPr>
          <w:p w14:paraId="1F6BA294" w14:textId="5524A823"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lastRenderedPageBreak/>
              <w:t xml:space="preserve">PIC </w:t>
            </w:r>
            <w:r w:rsidR="004E79AD" w:rsidRPr="004E79AD">
              <w:rPr>
                <w:rFonts w:ascii="Book Antiqua" w:hAnsi="Book Antiqua" w:cs="Times New Roman"/>
                <w:sz w:val="24"/>
                <w:szCs w:val="24"/>
              </w:rPr>
              <w:t>dose</w:t>
            </w:r>
          </w:p>
        </w:tc>
        <w:tc>
          <w:tcPr>
            <w:tcW w:w="1440" w:type="dxa"/>
            <w:shd w:val="clear" w:color="auto" w:fill="auto"/>
            <w:vAlign w:val="center"/>
          </w:tcPr>
          <w:p w14:paraId="7F48C6C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Low dose</w:t>
            </w:r>
          </w:p>
        </w:tc>
        <w:tc>
          <w:tcPr>
            <w:tcW w:w="3414" w:type="dxa"/>
            <w:gridSpan w:val="3"/>
            <w:shd w:val="clear" w:color="auto" w:fill="auto"/>
            <w:vAlign w:val="center"/>
          </w:tcPr>
          <w:p w14:paraId="25FECE4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3B3C821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1B576F5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0E63E1EB" w14:textId="77777777" w:rsidTr="00DD5CB5">
        <w:trPr>
          <w:trHeight w:val="288"/>
        </w:trPr>
        <w:tc>
          <w:tcPr>
            <w:tcW w:w="1728" w:type="dxa"/>
            <w:shd w:val="clear" w:color="auto" w:fill="auto"/>
            <w:vAlign w:val="center"/>
          </w:tcPr>
          <w:p w14:paraId="2309AB7B"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45045CB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High dose</w:t>
            </w:r>
          </w:p>
        </w:tc>
        <w:tc>
          <w:tcPr>
            <w:tcW w:w="1138" w:type="dxa"/>
            <w:shd w:val="clear" w:color="auto" w:fill="auto"/>
            <w:vAlign w:val="center"/>
          </w:tcPr>
          <w:p w14:paraId="536663F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1.06</w:t>
            </w:r>
          </w:p>
        </w:tc>
        <w:tc>
          <w:tcPr>
            <w:tcW w:w="1138" w:type="dxa"/>
            <w:shd w:val="clear" w:color="auto" w:fill="auto"/>
            <w:vAlign w:val="center"/>
          </w:tcPr>
          <w:p w14:paraId="1A1632D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0.71-1.59</w:t>
            </w:r>
          </w:p>
        </w:tc>
        <w:tc>
          <w:tcPr>
            <w:tcW w:w="1138" w:type="dxa"/>
            <w:shd w:val="clear" w:color="auto" w:fill="auto"/>
            <w:vAlign w:val="center"/>
          </w:tcPr>
          <w:p w14:paraId="60A8D40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0.74</w:t>
            </w:r>
          </w:p>
        </w:tc>
        <w:tc>
          <w:tcPr>
            <w:tcW w:w="1138" w:type="dxa"/>
            <w:shd w:val="clear" w:color="auto" w:fill="auto"/>
            <w:vAlign w:val="center"/>
          </w:tcPr>
          <w:p w14:paraId="47DA97F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0.87</w:t>
            </w:r>
          </w:p>
        </w:tc>
        <w:tc>
          <w:tcPr>
            <w:tcW w:w="1138" w:type="dxa"/>
            <w:shd w:val="clear" w:color="auto" w:fill="auto"/>
            <w:vAlign w:val="center"/>
          </w:tcPr>
          <w:p w14:paraId="2804918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0.53-1.41</w:t>
            </w:r>
          </w:p>
        </w:tc>
        <w:tc>
          <w:tcPr>
            <w:tcW w:w="1138" w:type="dxa"/>
            <w:shd w:val="clear" w:color="auto" w:fill="auto"/>
            <w:vAlign w:val="center"/>
          </w:tcPr>
          <w:p w14:paraId="524FEE1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0.58</w:t>
            </w:r>
          </w:p>
        </w:tc>
        <w:tc>
          <w:tcPr>
            <w:tcW w:w="1138" w:type="dxa"/>
            <w:shd w:val="clear" w:color="auto" w:fill="auto"/>
            <w:vAlign w:val="center"/>
          </w:tcPr>
          <w:p w14:paraId="5F6DC07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1.32</w:t>
            </w:r>
          </w:p>
        </w:tc>
        <w:tc>
          <w:tcPr>
            <w:tcW w:w="1138" w:type="dxa"/>
            <w:shd w:val="clear" w:color="auto" w:fill="auto"/>
            <w:vAlign w:val="center"/>
          </w:tcPr>
          <w:p w14:paraId="107DACD0"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0.66-2.63</w:t>
            </w:r>
          </w:p>
        </w:tc>
        <w:tc>
          <w:tcPr>
            <w:tcW w:w="1138" w:type="dxa"/>
            <w:shd w:val="clear" w:color="auto" w:fill="auto"/>
            <w:vAlign w:val="center"/>
          </w:tcPr>
          <w:p w14:paraId="405B6CA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0.42</w:t>
            </w:r>
          </w:p>
        </w:tc>
      </w:tr>
      <w:tr w:rsidR="008770EC" w:rsidRPr="004E79AD" w14:paraId="58EA7827" w14:textId="77777777" w:rsidTr="00DD5CB5">
        <w:trPr>
          <w:trHeight w:val="288"/>
        </w:trPr>
        <w:tc>
          <w:tcPr>
            <w:tcW w:w="1728" w:type="dxa"/>
            <w:shd w:val="clear" w:color="auto" w:fill="auto"/>
            <w:vAlign w:val="center"/>
          </w:tcPr>
          <w:p w14:paraId="28DE9E0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CCR</w:t>
            </w:r>
          </w:p>
        </w:tc>
        <w:tc>
          <w:tcPr>
            <w:tcW w:w="1440" w:type="dxa"/>
            <w:shd w:val="clear" w:color="auto" w:fill="auto"/>
            <w:vAlign w:val="center"/>
          </w:tcPr>
          <w:p w14:paraId="7F61727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0-1</w:t>
            </w:r>
          </w:p>
        </w:tc>
        <w:tc>
          <w:tcPr>
            <w:tcW w:w="3414" w:type="dxa"/>
            <w:gridSpan w:val="3"/>
            <w:shd w:val="clear" w:color="auto" w:fill="auto"/>
            <w:vAlign w:val="center"/>
          </w:tcPr>
          <w:p w14:paraId="58705B9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6976004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6EF5708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59AE0763" w14:textId="77777777" w:rsidTr="00DD5CB5">
        <w:trPr>
          <w:trHeight w:val="288"/>
        </w:trPr>
        <w:tc>
          <w:tcPr>
            <w:tcW w:w="1728" w:type="dxa"/>
            <w:shd w:val="clear" w:color="auto" w:fill="auto"/>
            <w:vAlign w:val="center"/>
          </w:tcPr>
          <w:p w14:paraId="36106847"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2E7D4C2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2-3</w:t>
            </w:r>
          </w:p>
        </w:tc>
        <w:tc>
          <w:tcPr>
            <w:tcW w:w="1138" w:type="dxa"/>
            <w:shd w:val="clear" w:color="auto" w:fill="auto"/>
            <w:vAlign w:val="center"/>
          </w:tcPr>
          <w:p w14:paraId="17DF3E4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1.90</w:t>
            </w:r>
          </w:p>
        </w:tc>
        <w:tc>
          <w:tcPr>
            <w:tcW w:w="1138" w:type="dxa"/>
            <w:shd w:val="clear" w:color="auto" w:fill="auto"/>
            <w:vAlign w:val="center"/>
          </w:tcPr>
          <w:p w14:paraId="6A64CF8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1.02-3.55</w:t>
            </w:r>
          </w:p>
        </w:tc>
        <w:tc>
          <w:tcPr>
            <w:tcW w:w="1138" w:type="dxa"/>
            <w:shd w:val="clear" w:color="auto" w:fill="auto"/>
            <w:vAlign w:val="center"/>
          </w:tcPr>
          <w:p w14:paraId="387B696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0.04</w:t>
            </w:r>
          </w:p>
        </w:tc>
        <w:tc>
          <w:tcPr>
            <w:tcW w:w="1138" w:type="dxa"/>
            <w:shd w:val="clear" w:color="auto" w:fill="auto"/>
            <w:vAlign w:val="center"/>
          </w:tcPr>
          <w:p w14:paraId="7187870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2.35</w:t>
            </w:r>
          </w:p>
        </w:tc>
        <w:tc>
          <w:tcPr>
            <w:tcW w:w="1138" w:type="dxa"/>
            <w:shd w:val="clear" w:color="auto" w:fill="auto"/>
            <w:vAlign w:val="center"/>
          </w:tcPr>
          <w:p w14:paraId="775520D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1.17-4.72</w:t>
            </w:r>
          </w:p>
        </w:tc>
        <w:tc>
          <w:tcPr>
            <w:tcW w:w="1138" w:type="dxa"/>
            <w:shd w:val="clear" w:color="auto" w:fill="auto"/>
            <w:vAlign w:val="center"/>
          </w:tcPr>
          <w:p w14:paraId="17D9C29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0.02</w:t>
            </w:r>
          </w:p>
        </w:tc>
        <w:tc>
          <w:tcPr>
            <w:tcW w:w="1138" w:type="dxa"/>
            <w:shd w:val="clear" w:color="auto" w:fill="auto"/>
            <w:vAlign w:val="center"/>
          </w:tcPr>
          <w:p w14:paraId="180A85F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1.04</w:t>
            </w:r>
          </w:p>
        </w:tc>
        <w:tc>
          <w:tcPr>
            <w:tcW w:w="1138" w:type="dxa"/>
            <w:shd w:val="clear" w:color="auto" w:fill="auto"/>
            <w:vAlign w:val="center"/>
          </w:tcPr>
          <w:p w14:paraId="66C1A17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0.25-4.27</w:t>
            </w:r>
          </w:p>
        </w:tc>
        <w:tc>
          <w:tcPr>
            <w:tcW w:w="1138" w:type="dxa"/>
            <w:shd w:val="clear" w:color="auto" w:fill="auto"/>
            <w:vAlign w:val="center"/>
          </w:tcPr>
          <w:p w14:paraId="2D5CBC3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0.95</w:t>
            </w:r>
          </w:p>
        </w:tc>
      </w:tr>
      <w:tr w:rsidR="008770EC" w:rsidRPr="004E79AD" w14:paraId="10E8F8F0" w14:textId="77777777" w:rsidTr="00DD5CB5">
        <w:trPr>
          <w:trHeight w:val="288"/>
        </w:trPr>
        <w:tc>
          <w:tcPr>
            <w:tcW w:w="1728" w:type="dxa"/>
            <w:shd w:val="clear" w:color="auto" w:fill="auto"/>
            <w:vAlign w:val="center"/>
          </w:tcPr>
          <w:p w14:paraId="045E46A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Complications</w:t>
            </w:r>
          </w:p>
        </w:tc>
        <w:tc>
          <w:tcPr>
            <w:tcW w:w="1440" w:type="dxa"/>
            <w:shd w:val="clear" w:color="auto" w:fill="auto"/>
            <w:vAlign w:val="center"/>
          </w:tcPr>
          <w:p w14:paraId="2FC8EE13"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 – II</w:t>
            </w:r>
          </w:p>
        </w:tc>
        <w:tc>
          <w:tcPr>
            <w:tcW w:w="3414" w:type="dxa"/>
            <w:gridSpan w:val="3"/>
            <w:shd w:val="clear" w:color="auto" w:fill="auto"/>
            <w:vAlign w:val="center"/>
          </w:tcPr>
          <w:p w14:paraId="4A62295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32D8D1A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42F01F2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28AE11B9" w14:textId="77777777" w:rsidTr="00DD5CB5">
        <w:trPr>
          <w:trHeight w:val="288"/>
        </w:trPr>
        <w:tc>
          <w:tcPr>
            <w:tcW w:w="1728" w:type="dxa"/>
            <w:shd w:val="clear" w:color="auto" w:fill="auto"/>
            <w:vAlign w:val="center"/>
          </w:tcPr>
          <w:p w14:paraId="54A2BEC4"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027D4C2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III – V</w:t>
            </w:r>
          </w:p>
        </w:tc>
        <w:tc>
          <w:tcPr>
            <w:tcW w:w="1138" w:type="dxa"/>
            <w:shd w:val="clear" w:color="auto" w:fill="auto"/>
            <w:vAlign w:val="center"/>
          </w:tcPr>
          <w:p w14:paraId="1BDF640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1.23</w:t>
            </w:r>
          </w:p>
        </w:tc>
        <w:tc>
          <w:tcPr>
            <w:tcW w:w="1138" w:type="dxa"/>
            <w:shd w:val="clear" w:color="auto" w:fill="auto"/>
            <w:vAlign w:val="center"/>
          </w:tcPr>
          <w:p w14:paraId="640D8E6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0.96-1.56</w:t>
            </w:r>
          </w:p>
        </w:tc>
        <w:tc>
          <w:tcPr>
            <w:tcW w:w="1138" w:type="dxa"/>
            <w:shd w:val="clear" w:color="auto" w:fill="auto"/>
            <w:vAlign w:val="center"/>
          </w:tcPr>
          <w:p w14:paraId="771BF94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0.09</w:t>
            </w:r>
          </w:p>
        </w:tc>
        <w:tc>
          <w:tcPr>
            <w:tcW w:w="1138" w:type="dxa"/>
            <w:shd w:val="clear" w:color="auto" w:fill="auto"/>
            <w:vAlign w:val="center"/>
          </w:tcPr>
          <w:p w14:paraId="0737E58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1.20</w:t>
            </w:r>
          </w:p>
        </w:tc>
        <w:tc>
          <w:tcPr>
            <w:tcW w:w="1138" w:type="dxa"/>
            <w:shd w:val="clear" w:color="auto" w:fill="auto"/>
            <w:vAlign w:val="center"/>
          </w:tcPr>
          <w:p w14:paraId="066E1F5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0.87-1.65</w:t>
            </w:r>
          </w:p>
        </w:tc>
        <w:tc>
          <w:tcPr>
            <w:tcW w:w="1138" w:type="dxa"/>
            <w:shd w:val="clear" w:color="auto" w:fill="auto"/>
            <w:vAlign w:val="center"/>
          </w:tcPr>
          <w:p w14:paraId="49B4897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0.24</w:t>
            </w:r>
          </w:p>
        </w:tc>
        <w:tc>
          <w:tcPr>
            <w:tcW w:w="1138" w:type="dxa"/>
            <w:shd w:val="clear" w:color="auto" w:fill="auto"/>
            <w:vAlign w:val="center"/>
          </w:tcPr>
          <w:p w14:paraId="2E0AA40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1.10</w:t>
            </w:r>
          </w:p>
        </w:tc>
        <w:tc>
          <w:tcPr>
            <w:tcW w:w="1138" w:type="dxa"/>
            <w:shd w:val="clear" w:color="auto" w:fill="auto"/>
            <w:vAlign w:val="center"/>
          </w:tcPr>
          <w:p w14:paraId="6943557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0.74-1.64</w:t>
            </w:r>
          </w:p>
        </w:tc>
        <w:tc>
          <w:tcPr>
            <w:tcW w:w="1138" w:type="dxa"/>
            <w:shd w:val="clear" w:color="auto" w:fill="auto"/>
            <w:vAlign w:val="center"/>
          </w:tcPr>
          <w:p w14:paraId="5731B30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0.62</w:t>
            </w:r>
          </w:p>
        </w:tc>
      </w:tr>
      <w:tr w:rsidR="008770EC" w:rsidRPr="004E79AD" w14:paraId="0FE8F8BC" w14:textId="77777777" w:rsidTr="00DD5CB5">
        <w:trPr>
          <w:trHeight w:val="288"/>
        </w:trPr>
        <w:tc>
          <w:tcPr>
            <w:tcW w:w="1728" w:type="dxa"/>
            <w:shd w:val="clear" w:color="auto" w:fill="auto"/>
            <w:vAlign w:val="center"/>
          </w:tcPr>
          <w:p w14:paraId="38EABB8D" w14:textId="255ADD48"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Adjuvant </w:t>
            </w:r>
            <w:r w:rsidR="004E79AD" w:rsidRPr="004E79AD">
              <w:rPr>
                <w:rFonts w:ascii="Book Antiqua" w:hAnsi="Book Antiqua" w:cs="Times New Roman"/>
                <w:sz w:val="24"/>
                <w:szCs w:val="24"/>
              </w:rPr>
              <w:t>chemo</w:t>
            </w:r>
          </w:p>
        </w:tc>
        <w:tc>
          <w:tcPr>
            <w:tcW w:w="1440" w:type="dxa"/>
            <w:shd w:val="clear" w:color="auto" w:fill="auto"/>
            <w:vAlign w:val="center"/>
          </w:tcPr>
          <w:p w14:paraId="2029E5C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No</w:t>
            </w:r>
          </w:p>
        </w:tc>
        <w:tc>
          <w:tcPr>
            <w:tcW w:w="3414" w:type="dxa"/>
            <w:gridSpan w:val="3"/>
            <w:shd w:val="clear" w:color="auto" w:fill="auto"/>
            <w:vAlign w:val="center"/>
          </w:tcPr>
          <w:p w14:paraId="026160D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6CCD8FA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250D725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2ED1A983" w14:textId="77777777" w:rsidTr="00DD5CB5">
        <w:trPr>
          <w:trHeight w:val="288"/>
        </w:trPr>
        <w:tc>
          <w:tcPr>
            <w:tcW w:w="1728" w:type="dxa"/>
            <w:shd w:val="clear" w:color="auto" w:fill="auto"/>
            <w:vAlign w:val="center"/>
          </w:tcPr>
          <w:p w14:paraId="779AF872"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0F3A177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Yes</w:t>
            </w:r>
          </w:p>
        </w:tc>
        <w:tc>
          <w:tcPr>
            <w:tcW w:w="1138" w:type="dxa"/>
            <w:shd w:val="clear" w:color="auto" w:fill="auto"/>
            <w:vAlign w:val="center"/>
          </w:tcPr>
          <w:p w14:paraId="42A1FE6D"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1.46</w:t>
            </w:r>
          </w:p>
        </w:tc>
        <w:tc>
          <w:tcPr>
            <w:tcW w:w="1138" w:type="dxa"/>
            <w:shd w:val="clear" w:color="auto" w:fill="auto"/>
            <w:vAlign w:val="center"/>
          </w:tcPr>
          <w:p w14:paraId="5BAA742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1.16-1.84</w:t>
            </w:r>
          </w:p>
        </w:tc>
        <w:tc>
          <w:tcPr>
            <w:tcW w:w="1138" w:type="dxa"/>
            <w:shd w:val="clear" w:color="auto" w:fill="auto"/>
            <w:vAlign w:val="center"/>
          </w:tcPr>
          <w:p w14:paraId="35373D8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38" w:type="dxa"/>
            <w:shd w:val="clear" w:color="auto" w:fill="auto"/>
            <w:vAlign w:val="center"/>
          </w:tcPr>
          <w:p w14:paraId="234169A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2.23</w:t>
            </w:r>
          </w:p>
        </w:tc>
        <w:tc>
          <w:tcPr>
            <w:tcW w:w="1138" w:type="dxa"/>
            <w:shd w:val="clear" w:color="auto" w:fill="auto"/>
            <w:vAlign w:val="center"/>
          </w:tcPr>
          <w:p w14:paraId="1F7FB35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0.63-3.05</w:t>
            </w:r>
          </w:p>
        </w:tc>
        <w:tc>
          <w:tcPr>
            <w:tcW w:w="1138" w:type="dxa"/>
            <w:shd w:val="clear" w:color="auto" w:fill="auto"/>
            <w:vAlign w:val="center"/>
          </w:tcPr>
          <w:p w14:paraId="010FF1D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&lt; 0.01</w:t>
            </w:r>
          </w:p>
        </w:tc>
        <w:tc>
          <w:tcPr>
            <w:tcW w:w="1138" w:type="dxa"/>
            <w:shd w:val="clear" w:color="auto" w:fill="auto"/>
            <w:vAlign w:val="center"/>
          </w:tcPr>
          <w:p w14:paraId="5BBE7C48"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0.92</w:t>
            </w:r>
          </w:p>
        </w:tc>
        <w:tc>
          <w:tcPr>
            <w:tcW w:w="1138" w:type="dxa"/>
            <w:shd w:val="clear" w:color="auto" w:fill="auto"/>
            <w:vAlign w:val="center"/>
          </w:tcPr>
          <w:p w14:paraId="35B2BD8F"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0.66-1.28</w:t>
            </w:r>
          </w:p>
        </w:tc>
        <w:tc>
          <w:tcPr>
            <w:tcW w:w="1138" w:type="dxa"/>
            <w:shd w:val="clear" w:color="auto" w:fill="auto"/>
            <w:vAlign w:val="center"/>
          </w:tcPr>
          <w:p w14:paraId="251EEF5E"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0.62</w:t>
            </w:r>
          </w:p>
        </w:tc>
      </w:tr>
      <w:tr w:rsidR="008770EC" w:rsidRPr="004E79AD" w14:paraId="1E9E6E71" w14:textId="77777777" w:rsidTr="00DD5CB5">
        <w:trPr>
          <w:trHeight w:val="288"/>
        </w:trPr>
        <w:tc>
          <w:tcPr>
            <w:tcW w:w="1728" w:type="dxa"/>
            <w:shd w:val="clear" w:color="auto" w:fill="auto"/>
            <w:vAlign w:val="center"/>
          </w:tcPr>
          <w:p w14:paraId="3C60E18E" w14:textId="27EC45ED"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 xml:space="preserve">PIC </w:t>
            </w:r>
            <w:r w:rsidR="004E79AD" w:rsidRPr="004E79AD">
              <w:rPr>
                <w:rFonts w:ascii="Book Antiqua" w:hAnsi="Book Antiqua" w:cs="Times New Roman"/>
                <w:sz w:val="24"/>
                <w:szCs w:val="24"/>
              </w:rPr>
              <w:t>method</w:t>
            </w:r>
          </w:p>
        </w:tc>
        <w:tc>
          <w:tcPr>
            <w:tcW w:w="1440" w:type="dxa"/>
            <w:shd w:val="clear" w:color="auto" w:fill="auto"/>
            <w:vAlign w:val="center"/>
          </w:tcPr>
          <w:p w14:paraId="6BB9CBB1"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Open</w:t>
            </w:r>
          </w:p>
        </w:tc>
        <w:tc>
          <w:tcPr>
            <w:tcW w:w="3414" w:type="dxa"/>
            <w:gridSpan w:val="3"/>
            <w:shd w:val="clear" w:color="auto" w:fill="auto"/>
            <w:vAlign w:val="center"/>
          </w:tcPr>
          <w:p w14:paraId="51C82D9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078A40CB"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c>
          <w:tcPr>
            <w:tcW w:w="3414" w:type="dxa"/>
            <w:gridSpan w:val="3"/>
            <w:shd w:val="clear" w:color="auto" w:fill="auto"/>
            <w:vAlign w:val="center"/>
          </w:tcPr>
          <w:p w14:paraId="5DE46909"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Reference</w:t>
            </w:r>
          </w:p>
        </w:tc>
      </w:tr>
      <w:tr w:rsidR="008770EC" w:rsidRPr="004E79AD" w14:paraId="57DEEB17" w14:textId="77777777" w:rsidTr="00DD5CB5">
        <w:trPr>
          <w:trHeight w:val="288"/>
        </w:trPr>
        <w:tc>
          <w:tcPr>
            <w:tcW w:w="1728" w:type="dxa"/>
            <w:shd w:val="clear" w:color="auto" w:fill="auto"/>
            <w:vAlign w:val="center"/>
          </w:tcPr>
          <w:p w14:paraId="3EFF954E" w14:textId="77777777" w:rsidR="00997C39" w:rsidRPr="004E79AD" w:rsidRDefault="00997C39" w:rsidP="004E79AD">
            <w:pPr>
              <w:snapToGrid w:val="0"/>
              <w:spacing w:line="360" w:lineRule="auto"/>
              <w:jc w:val="both"/>
              <w:rPr>
                <w:rFonts w:ascii="Book Antiqua" w:hAnsi="Book Antiqua" w:cs="Times New Roman"/>
                <w:sz w:val="24"/>
                <w:szCs w:val="24"/>
              </w:rPr>
            </w:pPr>
          </w:p>
        </w:tc>
        <w:tc>
          <w:tcPr>
            <w:tcW w:w="1440" w:type="dxa"/>
            <w:shd w:val="clear" w:color="auto" w:fill="auto"/>
            <w:vAlign w:val="center"/>
          </w:tcPr>
          <w:p w14:paraId="6E0FAA46"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Closed</w:t>
            </w:r>
          </w:p>
        </w:tc>
        <w:tc>
          <w:tcPr>
            <w:tcW w:w="1138" w:type="dxa"/>
            <w:shd w:val="clear" w:color="auto" w:fill="auto"/>
            <w:vAlign w:val="center"/>
          </w:tcPr>
          <w:p w14:paraId="6A04309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1.39</w:t>
            </w:r>
          </w:p>
        </w:tc>
        <w:tc>
          <w:tcPr>
            <w:tcW w:w="1138" w:type="dxa"/>
            <w:shd w:val="clear" w:color="auto" w:fill="auto"/>
            <w:vAlign w:val="center"/>
          </w:tcPr>
          <w:p w14:paraId="3DC8358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1.00-1.93</w:t>
            </w:r>
          </w:p>
        </w:tc>
        <w:tc>
          <w:tcPr>
            <w:tcW w:w="1138" w:type="dxa"/>
            <w:shd w:val="clear" w:color="auto" w:fill="auto"/>
            <w:vAlign w:val="center"/>
          </w:tcPr>
          <w:p w14:paraId="44B9F90C"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0.05</w:t>
            </w:r>
          </w:p>
        </w:tc>
        <w:tc>
          <w:tcPr>
            <w:tcW w:w="1138" w:type="dxa"/>
            <w:shd w:val="clear" w:color="auto" w:fill="auto"/>
            <w:vAlign w:val="center"/>
          </w:tcPr>
          <w:p w14:paraId="2D941102"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1.13</w:t>
            </w:r>
          </w:p>
        </w:tc>
        <w:tc>
          <w:tcPr>
            <w:tcW w:w="1138" w:type="dxa"/>
            <w:shd w:val="clear" w:color="auto" w:fill="auto"/>
            <w:vAlign w:val="center"/>
          </w:tcPr>
          <w:p w14:paraId="245D56C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0.77-1.66</w:t>
            </w:r>
          </w:p>
        </w:tc>
        <w:tc>
          <w:tcPr>
            <w:tcW w:w="1138" w:type="dxa"/>
            <w:shd w:val="clear" w:color="auto" w:fill="auto"/>
            <w:vAlign w:val="center"/>
          </w:tcPr>
          <w:p w14:paraId="2BD74DCA"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0.52</w:t>
            </w:r>
          </w:p>
        </w:tc>
        <w:tc>
          <w:tcPr>
            <w:tcW w:w="1138" w:type="dxa"/>
            <w:shd w:val="clear" w:color="auto" w:fill="auto"/>
            <w:vAlign w:val="center"/>
          </w:tcPr>
          <w:p w14:paraId="7DD00004"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1.75</w:t>
            </w:r>
          </w:p>
        </w:tc>
        <w:tc>
          <w:tcPr>
            <w:tcW w:w="1138" w:type="dxa"/>
            <w:shd w:val="clear" w:color="auto" w:fill="auto"/>
            <w:vAlign w:val="center"/>
          </w:tcPr>
          <w:p w14:paraId="2F9D9E27"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0.93-3.29</w:t>
            </w:r>
          </w:p>
        </w:tc>
        <w:tc>
          <w:tcPr>
            <w:tcW w:w="1138" w:type="dxa"/>
            <w:shd w:val="clear" w:color="auto" w:fill="auto"/>
            <w:vAlign w:val="center"/>
          </w:tcPr>
          <w:p w14:paraId="4CC90C05" w14:textId="77777777" w:rsidR="00997C39" w:rsidRPr="004E79AD" w:rsidRDefault="00997C39" w:rsidP="004E79AD">
            <w:pPr>
              <w:snapToGrid w:val="0"/>
              <w:spacing w:line="360" w:lineRule="auto"/>
              <w:jc w:val="both"/>
              <w:rPr>
                <w:rFonts w:ascii="Book Antiqua" w:hAnsi="Book Antiqua" w:cs="Times New Roman"/>
                <w:sz w:val="24"/>
                <w:szCs w:val="24"/>
              </w:rPr>
            </w:pPr>
            <w:r w:rsidRPr="004E79AD">
              <w:rPr>
                <w:rFonts w:ascii="Book Antiqua" w:hAnsi="Book Antiqua" w:cs="Times New Roman"/>
                <w:sz w:val="24"/>
                <w:szCs w:val="24"/>
              </w:rPr>
              <w:t>0.08</w:t>
            </w:r>
          </w:p>
        </w:tc>
      </w:tr>
    </w:tbl>
    <w:p w14:paraId="3AFE2EEA" w14:textId="77DB5A00" w:rsidR="004D6001" w:rsidRPr="004E79AD" w:rsidRDefault="00DD5CB5" w:rsidP="004E79AD">
      <w:pPr>
        <w:snapToGrid w:val="0"/>
        <w:spacing w:after="0" w:line="360" w:lineRule="auto"/>
        <w:jc w:val="both"/>
        <w:rPr>
          <w:rFonts w:ascii="Book Antiqua" w:hAnsi="Book Antiqua" w:cs="Times New Roman"/>
          <w:b/>
          <w:sz w:val="24"/>
          <w:szCs w:val="24"/>
        </w:rPr>
      </w:pPr>
      <w:r w:rsidRPr="004E79AD">
        <w:rPr>
          <w:rFonts w:ascii="Book Antiqua" w:hAnsi="Book Antiqua" w:cs="Times New Roman"/>
          <w:noProof/>
          <w:sz w:val="24"/>
          <w:szCs w:val="24"/>
        </w:rPr>
        <w:t>HR:</w:t>
      </w:r>
      <w:r w:rsidR="00D7049C" w:rsidRPr="004E79AD">
        <w:rPr>
          <w:rFonts w:ascii="Book Antiqua" w:hAnsi="Book Antiqua" w:cs="Times New Roman"/>
          <w:noProof/>
          <w:sz w:val="24"/>
          <w:szCs w:val="24"/>
        </w:rPr>
        <w:t xml:space="preserve"> </w:t>
      </w:r>
      <w:r w:rsidR="004E79AD" w:rsidRPr="004E79AD">
        <w:rPr>
          <w:rFonts w:ascii="Book Antiqua" w:hAnsi="Book Antiqua" w:cs="Times New Roman"/>
          <w:noProof/>
          <w:sz w:val="24"/>
          <w:szCs w:val="24"/>
        </w:rPr>
        <w:t xml:space="preserve">Hazards </w:t>
      </w:r>
      <w:r w:rsidR="00D7049C" w:rsidRPr="004E79AD">
        <w:rPr>
          <w:rFonts w:ascii="Book Antiqua" w:hAnsi="Book Antiqua" w:cs="Times New Roman"/>
          <w:noProof/>
          <w:sz w:val="24"/>
          <w:szCs w:val="24"/>
        </w:rPr>
        <w:t>rat</w:t>
      </w:r>
      <w:r w:rsidR="004E79AD" w:rsidRPr="004E79AD">
        <w:rPr>
          <w:rFonts w:ascii="Book Antiqua" w:hAnsi="Book Antiqua" w:cs="Times New Roman"/>
          <w:noProof/>
          <w:sz w:val="24"/>
          <w:szCs w:val="24"/>
        </w:rPr>
        <w:t>io; ASA:</w:t>
      </w:r>
      <w:r w:rsidR="00D7049C" w:rsidRPr="004E79AD">
        <w:rPr>
          <w:rFonts w:ascii="Book Antiqua" w:hAnsi="Book Antiqua" w:cs="Times New Roman"/>
          <w:noProof/>
          <w:sz w:val="24"/>
          <w:szCs w:val="24"/>
        </w:rPr>
        <w:t xml:space="preserve"> American</w:t>
      </w:r>
      <w:r w:rsidR="004E79AD" w:rsidRPr="004E79AD">
        <w:rPr>
          <w:rFonts w:ascii="Book Antiqua" w:hAnsi="Book Antiqua" w:cs="Times New Roman"/>
          <w:noProof/>
          <w:sz w:val="24"/>
          <w:szCs w:val="24"/>
        </w:rPr>
        <w:t xml:space="preserve"> Society of Anesthesiology; CRS: Cytoreductive surgery; HIPEC</w:t>
      </w:r>
      <w:r w:rsidR="004E79AD" w:rsidRPr="004E79AD">
        <w:rPr>
          <w:rFonts w:ascii="Book Antiqua" w:hAnsi="Book Antiqua" w:cs="Times New Roman"/>
          <w:noProof/>
          <w:sz w:val="24"/>
          <w:szCs w:val="24"/>
          <w:lang w:eastAsia="zh-CN"/>
        </w:rPr>
        <w:t>:</w:t>
      </w:r>
      <w:r w:rsidR="00D7049C" w:rsidRPr="004E79AD">
        <w:rPr>
          <w:rFonts w:ascii="Book Antiqua" w:hAnsi="Book Antiqua" w:cs="Times New Roman"/>
          <w:noProof/>
          <w:sz w:val="24"/>
          <w:szCs w:val="24"/>
        </w:rPr>
        <w:t xml:space="preserve"> </w:t>
      </w:r>
      <w:r w:rsidR="004E79AD" w:rsidRPr="004E79AD">
        <w:rPr>
          <w:rFonts w:ascii="Book Antiqua" w:hAnsi="Book Antiqua" w:cs="Times New Roman"/>
          <w:noProof/>
          <w:sz w:val="24"/>
          <w:szCs w:val="24"/>
        </w:rPr>
        <w:t xml:space="preserve">Hyperthermic </w:t>
      </w:r>
      <w:r w:rsidR="00D7049C" w:rsidRPr="004E79AD">
        <w:rPr>
          <w:rFonts w:ascii="Book Antiqua" w:hAnsi="Book Antiqua" w:cs="Times New Roman"/>
          <w:noProof/>
          <w:sz w:val="24"/>
          <w:szCs w:val="24"/>
        </w:rPr>
        <w:t>in</w:t>
      </w:r>
      <w:r w:rsidR="004E79AD" w:rsidRPr="004E79AD">
        <w:rPr>
          <w:rFonts w:ascii="Book Antiqua" w:hAnsi="Book Antiqua" w:cs="Times New Roman"/>
          <w:noProof/>
          <w:sz w:val="24"/>
          <w:szCs w:val="24"/>
        </w:rPr>
        <w:t>traperitoneal chemotherapy; PCI:</w:t>
      </w:r>
      <w:r w:rsidR="00D7049C" w:rsidRPr="004E79AD">
        <w:rPr>
          <w:rFonts w:ascii="Book Antiqua" w:hAnsi="Book Antiqua" w:cs="Times New Roman"/>
          <w:noProof/>
          <w:sz w:val="24"/>
          <w:szCs w:val="24"/>
        </w:rPr>
        <w:t xml:space="preserve"> </w:t>
      </w:r>
      <w:r w:rsidR="004E79AD" w:rsidRPr="004E79AD">
        <w:rPr>
          <w:rFonts w:ascii="Book Antiqua" w:hAnsi="Book Antiqua" w:cs="Times New Roman"/>
          <w:noProof/>
          <w:sz w:val="24"/>
          <w:szCs w:val="24"/>
        </w:rPr>
        <w:t>Peritoneal carcinomatosis index; CC:</w:t>
      </w:r>
      <w:r w:rsidR="00D7049C" w:rsidRPr="004E79AD">
        <w:rPr>
          <w:rFonts w:ascii="Book Antiqua" w:hAnsi="Book Antiqua" w:cs="Times New Roman"/>
          <w:noProof/>
          <w:sz w:val="24"/>
          <w:szCs w:val="24"/>
        </w:rPr>
        <w:t xml:space="preserve"> </w:t>
      </w:r>
      <w:r w:rsidR="004E79AD" w:rsidRPr="004E79AD">
        <w:rPr>
          <w:rFonts w:ascii="Book Antiqua" w:hAnsi="Book Antiqua" w:cs="Times New Roman"/>
          <w:noProof/>
          <w:sz w:val="24"/>
          <w:szCs w:val="24"/>
        </w:rPr>
        <w:t xml:space="preserve">Completeness </w:t>
      </w:r>
      <w:r w:rsidR="00997C39" w:rsidRPr="004E79AD">
        <w:rPr>
          <w:rFonts w:ascii="Book Antiqua" w:hAnsi="Book Antiqua" w:cs="Times New Roman"/>
          <w:noProof/>
          <w:sz w:val="24"/>
          <w:szCs w:val="24"/>
        </w:rPr>
        <w:t>of cytoreduction</w:t>
      </w:r>
      <w:r w:rsidR="004E79AD" w:rsidRPr="004E79AD">
        <w:rPr>
          <w:rFonts w:ascii="Book Antiqua" w:hAnsi="Book Antiqua" w:cs="Times New Roman"/>
          <w:noProof/>
          <w:sz w:val="24"/>
          <w:szCs w:val="24"/>
        </w:rPr>
        <w:t>.</w:t>
      </w:r>
    </w:p>
    <w:sectPr w:rsidR="004D6001" w:rsidRPr="004E79AD" w:rsidSect="00DD5CB5">
      <w:pgSz w:w="15840" w:h="12240" w:orient="landscape"/>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7C1F2" w14:textId="77777777" w:rsidR="007E6F57" w:rsidRDefault="007E6F57" w:rsidP="003D3857">
      <w:pPr>
        <w:spacing w:after="0" w:line="240" w:lineRule="auto"/>
      </w:pPr>
      <w:r>
        <w:separator/>
      </w:r>
    </w:p>
  </w:endnote>
  <w:endnote w:type="continuationSeparator" w:id="0">
    <w:p w14:paraId="4C599D2A" w14:textId="77777777" w:rsidR="007E6F57" w:rsidRDefault="007E6F57" w:rsidP="003D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45516"/>
      <w:docPartObj>
        <w:docPartGallery w:val="Page Numbers (Bottom of Page)"/>
        <w:docPartUnique/>
      </w:docPartObj>
    </w:sdtPr>
    <w:sdtEndPr/>
    <w:sdtContent>
      <w:sdt>
        <w:sdtPr>
          <w:id w:val="-1705238520"/>
          <w:docPartObj>
            <w:docPartGallery w:val="Page Numbers (Top of Page)"/>
            <w:docPartUnique/>
          </w:docPartObj>
        </w:sdtPr>
        <w:sdtEndPr/>
        <w:sdtContent>
          <w:p w14:paraId="735D7A26" w14:textId="54D7512E" w:rsidR="00532011" w:rsidRDefault="00532011" w:rsidP="005F71A3">
            <w:pPr>
              <w:pStyle w:val="ab"/>
              <w:jc w:val="right"/>
            </w:pPr>
            <w:r w:rsidRPr="005F71A3">
              <w:rPr>
                <w:lang w:val="zh-CN" w:eastAsia="zh-CN"/>
              </w:rPr>
              <w:t xml:space="preserve"> </w:t>
            </w:r>
            <w:r w:rsidRPr="005F71A3">
              <w:rPr>
                <w:bCs/>
                <w:sz w:val="24"/>
                <w:szCs w:val="24"/>
              </w:rPr>
              <w:fldChar w:fldCharType="begin"/>
            </w:r>
            <w:r w:rsidRPr="005F71A3">
              <w:rPr>
                <w:bCs/>
              </w:rPr>
              <w:instrText>PAGE</w:instrText>
            </w:r>
            <w:r w:rsidRPr="005F71A3">
              <w:rPr>
                <w:bCs/>
                <w:sz w:val="24"/>
                <w:szCs w:val="24"/>
              </w:rPr>
              <w:fldChar w:fldCharType="separate"/>
            </w:r>
            <w:r w:rsidR="001D1111">
              <w:rPr>
                <w:bCs/>
                <w:noProof/>
              </w:rPr>
              <w:t>16</w:t>
            </w:r>
            <w:r w:rsidRPr="005F71A3">
              <w:rPr>
                <w:bCs/>
                <w:sz w:val="24"/>
                <w:szCs w:val="24"/>
              </w:rPr>
              <w:fldChar w:fldCharType="end"/>
            </w:r>
            <w:r w:rsidRPr="005F71A3">
              <w:rPr>
                <w:lang w:val="zh-CN" w:eastAsia="zh-CN"/>
              </w:rPr>
              <w:t xml:space="preserve"> / </w:t>
            </w:r>
            <w:r w:rsidRPr="005F71A3">
              <w:rPr>
                <w:bCs/>
                <w:sz w:val="24"/>
                <w:szCs w:val="24"/>
              </w:rPr>
              <w:fldChar w:fldCharType="begin"/>
            </w:r>
            <w:r w:rsidRPr="005F71A3">
              <w:rPr>
                <w:bCs/>
              </w:rPr>
              <w:instrText>NUMPAGES</w:instrText>
            </w:r>
            <w:r w:rsidRPr="005F71A3">
              <w:rPr>
                <w:bCs/>
                <w:sz w:val="24"/>
                <w:szCs w:val="24"/>
              </w:rPr>
              <w:fldChar w:fldCharType="separate"/>
            </w:r>
            <w:r w:rsidR="001D1111">
              <w:rPr>
                <w:bCs/>
                <w:noProof/>
              </w:rPr>
              <w:t>29</w:t>
            </w:r>
            <w:r w:rsidRPr="005F71A3">
              <w:rPr>
                <w:bCs/>
                <w:sz w:val="24"/>
                <w:szCs w:val="24"/>
              </w:rPr>
              <w:fldChar w:fldCharType="end"/>
            </w:r>
          </w:p>
        </w:sdtContent>
      </w:sdt>
    </w:sdtContent>
  </w:sdt>
  <w:p w14:paraId="26D614A4" w14:textId="77777777" w:rsidR="00532011" w:rsidRDefault="005320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13B0F" w14:textId="77777777" w:rsidR="007E6F57" w:rsidRDefault="007E6F57" w:rsidP="003D3857">
      <w:pPr>
        <w:spacing w:after="0" w:line="240" w:lineRule="auto"/>
      </w:pPr>
      <w:r>
        <w:separator/>
      </w:r>
    </w:p>
  </w:footnote>
  <w:footnote w:type="continuationSeparator" w:id="0">
    <w:p w14:paraId="0BBBF126" w14:textId="77777777" w:rsidR="007E6F57" w:rsidRDefault="007E6F57" w:rsidP="003D3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CFD"/>
    <w:multiLevelType w:val="hybridMultilevel"/>
    <w:tmpl w:val="CC7C2C82"/>
    <w:lvl w:ilvl="0" w:tplc="CEEE12C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83146"/>
    <w:multiLevelType w:val="hybridMultilevel"/>
    <w:tmpl w:val="195672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105FC"/>
    <w:multiLevelType w:val="hybridMultilevel"/>
    <w:tmpl w:val="C040FC52"/>
    <w:lvl w:ilvl="0" w:tplc="3188AE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B4107"/>
    <w:multiLevelType w:val="hybridMultilevel"/>
    <w:tmpl w:val="30D83226"/>
    <w:lvl w:ilvl="0" w:tplc="323EFC8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4B"/>
    <w:rsid w:val="00005A58"/>
    <w:rsid w:val="0002184D"/>
    <w:rsid w:val="0002460D"/>
    <w:rsid w:val="000718CE"/>
    <w:rsid w:val="0007449E"/>
    <w:rsid w:val="0009064D"/>
    <w:rsid w:val="00092C6A"/>
    <w:rsid w:val="00095A5E"/>
    <w:rsid w:val="00095ED6"/>
    <w:rsid w:val="000A3B0D"/>
    <w:rsid w:val="000A43CE"/>
    <w:rsid w:val="000A7177"/>
    <w:rsid w:val="000F69C0"/>
    <w:rsid w:val="000F6C58"/>
    <w:rsid w:val="00117C36"/>
    <w:rsid w:val="00121BB3"/>
    <w:rsid w:val="0012509F"/>
    <w:rsid w:val="00131326"/>
    <w:rsid w:val="00154C2D"/>
    <w:rsid w:val="001764E3"/>
    <w:rsid w:val="001B33C6"/>
    <w:rsid w:val="001C0899"/>
    <w:rsid w:val="001D1111"/>
    <w:rsid w:val="001F0851"/>
    <w:rsid w:val="001F56F4"/>
    <w:rsid w:val="002162FB"/>
    <w:rsid w:val="00217A06"/>
    <w:rsid w:val="00221506"/>
    <w:rsid w:val="002634ED"/>
    <w:rsid w:val="00290F0D"/>
    <w:rsid w:val="00292E72"/>
    <w:rsid w:val="00293AF3"/>
    <w:rsid w:val="002A1F88"/>
    <w:rsid w:val="002B2E55"/>
    <w:rsid w:val="002C3056"/>
    <w:rsid w:val="002C6374"/>
    <w:rsid w:val="002D0AE9"/>
    <w:rsid w:val="002D1803"/>
    <w:rsid w:val="002D3A08"/>
    <w:rsid w:val="002D6E26"/>
    <w:rsid w:val="002E31A7"/>
    <w:rsid w:val="00311505"/>
    <w:rsid w:val="003154FC"/>
    <w:rsid w:val="00341E3F"/>
    <w:rsid w:val="003502B2"/>
    <w:rsid w:val="003609A6"/>
    <w:rsid w:val="00363D6B"/>
    <w:rsid w:val="003764C5"/>
    <w:rsid w:val="00387BDC"/>
    <w:rsid w:val="003936B9"/>
    <w:rsid w:val="003A14A6"/>
    <w:rsid w:val="003C20DF"/>
    <w:rsid w:val="003D288C"/>
    <w:rsid w:val="003D3857"/>
    <w:rsid w:val="003F65EE"/>
    <w:rsid w:val="00404B2C"/>
    <w:rsid w:val="0040788E"/>
    <w:rsid w:val="00412CEF"/>
    <w:rsid w:val="004134DE"/>
    <w:rsid w:val="004337EC"/>
    <w:rsid w:val="00436514"/>
    <w:rsid w:val="00440BEA"/>
    <w:rsid w:val="0047169D"/>
    <w:rsid w:val="00496A25"/>
    <w:rsid w:val="004A2870"/>
    <w:rsid w:val="004C1A8F"/>
    <w:rsid w:val="004D6001"/>
    <w:rsid w:val="004E79AD"/>
    <w:rsid w:val="004F6EC3"/>
    <w:rsid w:val="00532011"/>
    <w:rsid w:val="00547688"/>
    <w:rsid w:val="00554FA1"/>
    <w:rsid w:val="00565B37"/>
    <w:rsid w:val="0057548C"/>
    <w:rsid w:val="00580121"/>
    <w:rsid w:val="005A06B9"/>
    <w:rsid w:val="005A12E6"/>
    <w:rsid w:val="005B0E0B"/>
    <w:rsid w:val="005B4CAF"/>
    <w:rsid w:val="005C17DF"/>
    <w:rsid w:val="005D774F"/>
    <w:rsid w:val="005F3616"/>
    <w:rsid w:val="005F71A3"/>
    <w:rsid w:val="00624238"/>
    <w:rsid w:val="006305D9"/>
    <w:rsid w:val="00674D43"/>
    <w:rsid w:val="00676D80"/>
    <w:rsid w:val="006805E7"/>
    <w:rsid w:val="006C4960"/>
    <w:rsid w:val="007008A4"/>
    <w:rsid w:val="00700F05"/>
    <w:rsid w:val="007173DE"/>
    <w:rsid w:val="00721478"/>
    <w:rsid w:val="007250D8"/>
    <w:rsid w:val="007330C3"/>
    <w:rsid w:val="00745997"/>
    <w:rsid w:val="00751A33"/>
    <w:rsid w:val="0075536B"/>
    <w:rsid w:val="00775AB4"/>
    <w:rsid w:val="007769B4"/>
    <w:rsid w:val="007876F2"/>
    <w:rsid w:val="0079669F"/>
    <w:rsid w:val="007A3C1B"/>
    <w:rsid w:val="007C704D"/>
    <w:rsid w:val="007D1D84"/>
    <w:rsid w:val="007E517A"/>
    <w:rsid w:val="007E6F57"/>
    <w:rsid w:val="007E7015"/>
    <w:rsid w:val="007F0C91"/>
    <w:rsid w:val="008341B4"/>
    <w:rsid w:val="0083720B"/>
    <w:rsid w:val="00840DBF"/>
    <w:rsid w:val="00853EF6"/>
    <w:rsid w:val="00857A77"/>
    <w:rsid w:val="00861B6E"/>
    <w:rsid w:val="008770EC"/>
    <w:rsid w:val="00891102"/>
    <w:rsid w:val="008A7782"/>
    <w:rsid w:val="008B2E63"/>
    <w:rsid w:val="008B499B"/>
    <w:rsid w:val="008C6A07"/>
    <w:rsid w:val="00904C1D"/>
    <w:rsid w:val="009226A3"/>
    <w:rsid w:val="00932EC8"/>
    <w:rsid w:val="009532B9"/>
    <w:rsid w:val="00961B72"/>
    <w:rsid w:val="00974E08"/>
    <w:rsid w:val="00977E72"/>
    <w:rsid w:val="0098035B"/>
    <w:rsid w:val="00981202"/>
    <w:rsid w:val="00986BC4"/>
    <w:rsid w:val="0099758A"/>
    <w:rsid w:val="00997C39"/>
    <w:rsid w:val="009A622A"/>
    <w:rsid w:val="009B27E1"/>
    <w:rsid w:val="009F1FF2"/>
    <w:rsid w:val="00A06B50"/>
    <w:rsid w:val="00A1747B"/>
    <w:rsid w:val="00A2037A"/>
    <w:rsid w:val="00A37AE3"/>
    <w:rsid w:val="00A4437E"/>
    <w:rsid w:val="00A54808"/>
    <w:rsid w:val="00A55C9B"/>
    <w:rsid w:val="00A92AEF"/>
    <w:rsid w:val="00AB35A8"/>
    <w:rsid w:val="00AB474F"/>
    <w:rsid w:val="00AE61E1"/>
    <w:rsid w:val="00B025D9"/>
    <w:rsid w:val="00B13BEC"/>
    <w:rsid w:val="00B14B8F"/>
    <w:rsid w:val="00B32E53"/>
    <w:rsid w:val="00B51ADB"/>
    <w:rsid w:val="00B626AC"/>
    <w:rsid w:val="00B9102C"/>
    <w:rsid w:val="00B92784"/>
    <w:rsid w:val="00B92BF8"/>
    <w:rsid w:val="00BA2A05"/>
    <w:rsid w:val="00BA75B7"/>
    <w:rsid w:val="00BB0A41"/>
    <w:rsid w:val="00BB5A6A"/>
    <w:rsid w:val="00BC2E4B"/>
    <w:rsid w:val="00BD252C"/>
    <w:rsid w:val="00BD4794"/>
    <w:rsid w:val="00BE4C69"/>
    <w:rsid w:val="00BF3846"/>
    <w:rsid w:val="00C0748C"/>
    <w:rsid w:val="00C211A8"/>
    <w:rsid w:val="00C251DA"/>
    <w:rsid w:val="00C264C5"/>
    <w:rsid w:val="00C4094B"/>
    <w:rsid w:val="00C50402"/>
    <w:rsid w:val="00C570F5"/>
    <w:rsid w:val="00C6240F"/>
    <w:rsid w:val="00C7081E"/>
    <w:rsid w:val="00C7630E"/>
    <w:rsid w:val="00C804C7"/>
    <w:rsid w:val="00C85A03"/>
    <w:rsid w:val="00CA54AB"/>
    <w:rsid w:val="00CD542D"/>
    <w:rsid w:val="00CE0440"/>
    <w:rsid w:val="00CE3194"/>
    <w:rsid w:val="00CE4047"/>
    <w:rsid w:val="00D11B84"/>
    <w:rsid w:val="00D20453"/>
    <w:rsid w:val="00D24A0C"/>
    <w:rsid w:val="00D30D4D"/>
    <w:rsid w:val="00D33673"/>
    <w:rsid w:val="00D338F5"/>
    <w:rsid w:val="00D407A4"/>
    <w:rsid w:val="00D42DDD"/>
    <w:rsid w:val="00D54444"/>
    <w:rsid w:val="00D65197"/>
    <w:rsid w:val="00D7049C"/>
    <w:rsid w:val="00D80D73"/>
    <w:rsid w:val="00D84A32"/>
    <w:rsid w:val="00D86B60"/>
    <w:rsid w:val="00D87B9D"/>
    <w:rsid w:val="00DA34EB"/>
    <w:rsid w:val="00DA7254"/>
    <w:rsid w:val="00DD5CB5"/>
    <w:rsid w:val="00DE2289"/>
    <w:rsid w:val="00DF20EE"/>
    <w:rsid w:val="00E11561"/>
    <w:rsid w:val="00E213CD"/>
    <w:rsid w:val="00E2169C"/>
    <w:rsid w:val="00E259C9"/>
    <w:rsid w:val="00E36458"/>
    <w:rsid w:val="00E46C66"/>
    <w:rsid w:val="00E5401D"/>
    <w:rsid w:val="00E6724B"/>
    <w:rsid w:val="00E67B6D"/>
    <w:rsid w:val="00E76090"/>
    <w:rsid w:val="00E76BB4"/>
    <w:rsid w:val="00E80942"/>
    <w:rsid w:val="00EB08D7"/>
    <w:rsid w:val="00EC21D7"/>
    <w:rsid w:val="00EC5D05"/>
    <w:rsid w:val="00EC745D"/>
    <w:rsid w:val="00ED0DE0"/>
    <w:rsid w:val="00ED6E0E"/>
    <w:rsid w:val="00F103C6"/>
    <w:rsid w:val="00F42BDD"/>
    <w:rsid w:val="00F52D24"/>
    <w:rsid w:val="00F52E4A"/>
    <w:rsid w:val="00F62027"/>
    <w:rsid w:val="00F74D01"/>
    <w:rsid w:val="00F75212"/>
    <w:rsid w:val="00F82534"/>
    <w:rsid w:val="00F8593B"/>
    <w:rsid w:val="00FA56AA"/>
    <w:rsid w:val="00FC4AE3"/>
    <w:rsid w:val="00FC5FB1"/>
    <w:rsid w:val="00FC6B50"/>
    <w:rsid w:val="00FD4AF0"/>
    <w:rsid w:val="00FD654B"/>
    <w:rsid w:val="00FE4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7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758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99758A"/>
    <w:rPr>
      <w:rFonts w:ascii="Tahoma" w:hAnsi="Tahoma" w:cs="Tahoma"/>
      <w:sz w:val="16"/>
      <w:szCs w:val="16"/>
    </w:rPr>
  </w:style>
  <w:style w:type="table" w:styleId="a4">
    <w:name w:val="Table Grid"/>
    <w:basedOn w:val="a1"/>
    <w:uiPriority w:val="59"/>
    <w:rsid w:val="00986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52D24"/>
    <w:rPr>
      <w:color w:val="0000FF" w:themeColor="hyperlink"/>
      <w:u w:val="single"/>
    </w:rPr>
  </w:style>
  <w:style w:type="character" w:styleId="a6">
    <w:name w:val="annotation reference"/>
    <w:basedOn w:val="a0"/>
    <w:uiPriority w:val="99"/>
    <w:semiHidden/>
    <w:unhideWhenUsed/>
    <w:rsid w:val="00EC21D7"/>
    <w:rPr>
      <w:sz w:val="16"/>
      <w:szCs w:val="16"/>
    </w:rPr>
  </w:style>
  <w:style w:type="paragraph" w:styleId="a7">
    <w:name w:val="annotation text"/>
    <w:basedOn w:val="a"/>
    <w:link w:val="Char0"/>
    <w:uiPriority w:val="99"/>
    <w:semiHidden/>
    <w:unhideWhenUsed/>
    <w:rsid w:val="00EC21D7"/>
    <w:pPr>
      <w:spacing w:line="240" w:lineRule="auto"/>
    </w:pPr>
    <w:rPr>
      <w:sz w:val="20"/>
      <w:szCs w:val="20"/>
    </w:rPr>
  </w:style>
  <w:style w:type="character" w:customStyle="1" w:styleId="Char0">
    <w:name w:val="批注文字 Char"/>
    <w:basedOn w:val="a0"/>
    <w:link w:val="a7"/>
    <w:uiPriority w:val="99"/>
    <w:semiHidden/>
    <w:rsid w:val="00EC21D7"/>
    <w:rPr>
      <w:sz w:val="20"/>
      <w:szCs w:val="20"/>
    </w:rPr>
  </w:style>
  <w:style w:type="paragraph" w:styleId="a8">
    <w:name w:val="annotation subject"/>
    <w:basedOn w:val="a7"/>
    <w:next w:val="a7"/>
    <w:link w:val="Char1"/>
    <w:uiPriority w:val="99"/>
    <w:semiHidden/>
    <w:unhideWhenUsed/>
    <w:rsid w:val="00EC21D7"/>
    <w:rPr>
      <w:b/>
      <w:bCs/>
    </w:rPr>
  </w:style>
  <w:style w:type="character" w:customStyle="1" w:styleId="Char1">
    <w:name w:val="批注主题 Char"/>
    <w:basedOn w:val="Char0"/>
    <w:link w:val="a8"/>
    <w:uiPriority w:val="99"/>
    <w:semiHidden/>
    <w:rsid w:val="00EC21D7"/>
    <w:rPr>
      <w:b/>
      <w:bCs/>
      <w:sz w:val="20"/>
      <w:szCs w:val="20"/>
    </w:rPr>
  </w:style>
  <w:style w:type="paragraph" w:customStyle="1" w:styleId="title1">
    <w:name w:val="title1"/>
    <w:basedOn w:val="a"/>
    <w:rsid w:val="00A37AE3"/>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C7081E"/>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C7081E"/>
    <w:pPr>
      <w:spacing w:after="0" w:line="240" w:lineRule="auto"/>
    </w:pPr>
    <w:rPr>
      <w:rFonts w:ascii="Times New Roman" w:eastAsia="Times New Roman" w:hAnsi="Times New Roman" w:cs="Times New Roman"/>
    </w:rPr>
  </w:style>
  <w:style w:type="character" w:customStyle="1" w:styleId="jrnl">
    <w:name w:val="jrnl"/>
    <w:basedOn w:val="a0"/>
    <w:rsid w:val="00C7081E"/>
  </w:style>
  <w:style w:type="paragraph" w:styleId="a9">
    <w:name w:val="Revision"/>
    <w:hidden/>
    <w:uiPriority w:val="99"/>
    <w:semiHidden/>
    <w:rsid w:val="00C7081E"/>
    <w:pPr>
      <w:spacing w:after="0" w:line="240" w:lineRule="auto"/>
    </w:pPr>
  </w:style>
  <w:style w:type="paragraph" w:styleId="aa">
    <w:name w:val="header"/>
    <w:basedOn w:val="a"/>
    <w:link w:val="Char2"/>
    <w:uiPriority w:val="99"/>
    <w:unhideWhenUsed/>
    <w:rsid w:val="003D3857"/>
    <w:pPr>
      <w:tabs>
        <w:tab w:val="center" w:pos="4680"/>
        <w:tab w:val="right" w:pos="9360"/>
      </w:tabs>
      <w:spacing w:after="0" w:line="240" w:lineRule="auto"/>
    </w:pPr>
  </w:style>
  <w:style w:type="character" w:customStyle="1" w:styleId="Char2">
    <w:name w:val="页眉 Char"/>
    <w:basedOn w:val="a0"/>
    <w:link w:val="aa"/>
    <w:uiPriority w:val="99"/>
    <w:rsid w:val="003D3857"/>
  </w:style>
  <w:style w:type="paragraph" w:styleId="ab">
    <w:name w:val="footer"/>
    <w:basedOn w:val="a"/>
    <w:link w:val="Char3"/>
    <w:uiPriority w:val="99"/>
    <w:unhideWhenUsed/>
    <w:rsid w:val="003D3857"/>
    <w:pPr>
      <w:tabs>
        <w:tab w:val="center" w:pos="4680"/>
        <w:tab w:val="right" w:pos="9360"/>
      </w:tabs>
      <w:spacing w:after="0" w:line="240" w:lineRule="auto"/>
    </w:pPr>
  </w:style>
  <w:style w:type="character" w:customStyle="1" w:styleId="Char3">
    <w:name w:val="页脚 Char"/>
    <w:basedOn w:val="a0"/>
    <w:link w:val="ab"/>
    <w:uiPriority w:val="99"/>
    <w:rsid w:val="003D3857"/>
  </w:style>
  <w:style w:type="paragraph" w:styleId="ac">
    <w:name w:val="List Paragraph"/>
    <w:basedOn w:val="a"/>
    <w:uiPriority w:val="34"/>
    <w:qFormat/>
    <w:rsid w:val="00436514"/>
    <w:pPr>
      <w:ind w:left="720"/>
      <w:contextualSpacing/>
    </w:pPr>
  </w:style>
  <w:style w:type="character" w:customStyle="1" w:styleId="normaltextrun">
    <w:name w:val="normaltextrun"/>
    <w:basedOn w:val="a0"/>
    <w:rsid w:val="00861B6E"/>
  </w:style>
  <w:style w:type="paragraph" w:customStyle="1" w:styleId="paragraph">
    <w:name w:val="paragraph"/>
    <w:basedOn w:val="a"/>
    <w:rsid w:val="00861B6E"/>
    <w:pPr>
      <w:spacing w:before="100" w:beforeAutospacing="1" w:after="100" w:afterAutospacing="1" w:line="240" w:lineRule="auto"/>
    </w:pPr>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758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99758A"/>
    <w:rPr>
      <w:rFonts w:ascii="Tahoma" w:hAnsi="Tahoma" w:cs="Tahoma"/>
      <w:sz w:val="16"/>
      <w:szCs w:val="16"/>
    </w:rPr>
  </w:style>
  <w:style w:type="table" w:styleId="a4">
    <w:name w:val="Table Grid"/>
    <w:basedOn w:val="a1"/>
    <w:uiPriority w:val="59"/>
    <w:rsid w:val="00986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52D24"/>
    <w:rPr>
      <w:color w:val="0000FF" w:themeColor="hyperlink"/>
      <w:u w:val="single"/>
    </w:rPr>
  </w:style>
  <w:style w:type="character" w:styleId="a6">
    <w:name w:val="annotation reference"/>
    <w:basedOn w:val="a0"/>
    <w:uiPriority w:val="99"/>
    <w:semiHidden/>
    <w:unhideWhenUsed/>
    <w:rsid w:val="00EC21D7"/>
    <w:rPr>
      <w:sz w:val="16"/>
      <w:szCs w:val="16"/>
    </w:rPr>
  </w:style>
  <w:style w:type="paragraph" w:styleId="a7">
    <w:name w:val="annotation text"/>
    <w:basedOn w:val="a"/>
    <w:link w:val="Char0"/>
    <w:uiPriority w:val="99"/>
    <w:semiHidden/>
    <w:unhideWhenUsed/>
    <w:rsid w:val="00EC21D7"/>
    <w:pPr>
      <w:spacing w:line="240" w:lineRule="auto"/>
    </w:pPr>
    <w:rPr>
      <w:sz w:val="20"/>
      <w:szCs w:val="20"/>
    </w:rPr>
  </w:style>
  <w:style w:type="character" w:customStyle="1" w:styleId="Char0">
    <w:name w:val="批注文字 Char"/>
    <w:basedOn w:val="a0"/>
    <w:link w:val="a7"/>
    <w:uiPriority w:val="99"/>
    <w:semiHidden/>
    <w:rsid w:val="00EC21D7"/>
    <w:rPr>
      <w:sz w:val="20"/>
      <w:szCs w:val="20"/>
    </w:rPr>
  </w:style>
  <w:style w:type="paragraph" w:styleId="a8">
    <w:name w:val="annotation subject"/>
    <w:basedOn w:val="a7"/>
    <w:next w:val="a7"/>
    <w:link w:val="Char1"/>
    <w:uiPriority w:val="99"/>
    <w:semiHidden/>
    <w:unhideWhenUsed/>
    <w:rsid w:val="00EC21D7"/>
    <w:rPr>
      <w:b/>
      <w:bCs/>
    </w:rPr>
  </w:style>
  <w:style w:type="character" w:customStyle="1" w:styleId="Char1">
    <w:name w:val="批注主题 Char"/>
    <w:basedOn w:val="Char0"/>
    <w:link w:val="a8"/>
    <w:uiPriority w:val="99"/>
    <w:semiHidden/>
    <w:rsid w:val="00EC21D7"/>
    <w:rPr>
      <w:b/>
      <w:bCs/>
      <w:sz w:val="20"/>
      <w:szCs w:val="20"/>
    </w:rPr>
  </w:style>
  <w:style w:type="paragraph" w:customStyle="1" w:styleId="title1">
    <w:name w:val="title1"/>
    <w:basedOn w:val="a"/>
    <w:rsid w:val="00A37AE3"/>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C7081E"/>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C7081E"/>
    <w:pPr>
      <w:spacing w:after="0" w:line="240" w:lineRule="auto"/>
    </w:pPr>
    <w:rPr>
      <w:rFonts w:ascii="Times New Roman" w:eastAsia="Times New Roman" w:hAnsi="Times New Roman" w:cs="Times New Roman"/>
    </w:rPr>
  </w:style>
  <w:style w:type="character" w:customStyle="1" w:styleId="jrnl">
    <w:name w:val="jrnl"/>
    <w:basedOn w:val="a0"/>
    <w:rsid w:val="00C7081E"/>
  </w:style>
  <w:style w:type="paragraph" w:styleId="a9">
    <w:name w:val="Revision"/>
    <w:hidden/>
    <w:uiPriority w:val="99"/>
    <w:semiHidden/>
    <w:rsid w:val="00C7081E"/>
    <w:pPr>
      <w:spacing w:after="0" w:line="240" w:lineRule="auto"/>
    </w:pPr>
  </w:style>
  <w:style w:type="paragraph" w:styleId="aa">
    <w:name w:val="header"/>
    <w:basedOn w:val="a"/>
    <w:link w:val="Char2"/>
    <w:uiPriority w:val="99"/>
    <w:unhideWhenUsed/>
    <w:rsid w:val="003D3857"/>
    <w:pPr>
      <w:tabs>
        <w:tab w:val="center" w:pos="4680"/>
        <w:tab w:val="right" w:pos="9360"/>
      </w:tabs>
      <w:spacing w:after="0" w:line="240" w:lineRule="auto"/>
    </w:pPr>
  </w:style>
  <w:style w:type="character" w:customStyle="1" w:styleId="Char2">
    <w:name w:val="页眉 Char"/>
    <w:basedOn w:val="a0"/>
    <w:link w:val="aa"/>
    <w:uiPriority w:val="99"/>
    <w:rsid w:val="003D3857"/>
  </w:style>
  <w:style w:type="paragraph" w:styleId="ab">
    <w:name w:val="footer"/>
    <w:basedOn w:val="a"/>
    <w:link w:val="Char3"/>
    <w:uiPriority w:val="99"/>
    <w:unhideWhenUsed/>
    <w:rsid w:val="003D3857"/>
    <w:pPr>
      <w:tabs>
        <w:tab w:val="center" w:pos="4680"/>
        <w:tab w:val="right" w:pos="9360"/>
      </w:tabs>
      <w:spacing w:after="0" w:line="240" w:lineRule="auto"/>
    </w:pPr>
  </w:style>
  <w:style w:type="character" w:customStyle="1" w:styleId="Char3">
    <w:name w:val="页脚 Char"/>
    <w:basedOn w:val="a0"/>
    <w:link w:val="ab"/>
    <w:uiPriority w:val="99"/>
    <w:rsid w:val="003D3857"/>
  </w:style>
  <w:style w:type="paragraph" w:styleId="ac">
    <w:name w:val="List Paragraph"/>
    <w:basedOn w:val="a"/>
    <w:uiPriority w:val="34"/>
    <w:qFormat/>
    <w:rsid w:val="00436514"/>
    <w:pPr>
      <w:ind w:left="720"/>
      <w:contextualSpacing/>
    </w:pPr>
  </w:style>
  <w:style w:type="character" w:customStyle="1" w:styleId="normaltextrun">
    <w:name w:val="normaltextrun"/>
    <w:basedOn w:val="a0"/>
    <w:rsid w:val="00861B6E"/>
  </w:style>
  <w:style w:type="paragraph" w:customStyle="1" w:styleId="paragraph">
    <w:name w:val="paragraph"/>
    <w:basedOn w:val="a"/>
    <w:rsid w:val="00861B6E"/>
    <w:pPr>
      <w:spacing w:before="100" w:beforeAutospacing="1" w:after="100" w:afterAutospacing="1" w:line="240" w:lineRule="auto"/>
    </w:pPr>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7860">
      <w:bodyDiv w:val="1"/>
      <w:marLeft w:val="0"/>
      <w:marRight w:val="0"/>
      <w:marTop w:val="0"/>
      <w:marBottom w:val="0"/>
      <w:divBdr>
        <w:top w:val="none" w:sz="0" w:space="0" w:color="auto"/>
        <w:left w:val="none" w:sz="0" w:space="0" w:color="auto"/>
        <w:bottom w:val="none" w:sz="0" w:space="0" w:color="auto"/>
        <w:right w:val="none" w:sz="0" w:space="0" w:color="auto"/>
      </w:divBdr>
    </w:div>
    <w:div w:id="186914154">
      <w:bodyDiv w:val="1"/>
      <w:marLeft w:val="0"/>
      <w:marRight w:val="0"/>
      <w:marTop w:val="0"/>
      <w:marBottom w:val="0"/>
      <w:divBdr>
        <w:top w:val="none" w:sz="0" w:space="0" w:color="auto"/>
        <w:left w:val="none" w:sz="0" w:space="0" w:color="auto"/>
        <w:bottom w:val="none" w:sz="0" w:space="0" w:color="auto"/>
        <w:right w:val="none" w:sz="0" w:space="0" w:color="auto"/>
      </w:divBdr>
    </w:div>
    <w:div w:id="357856919">
      <w:bodyDiv w:val="1"/>
      <w:marLeft w:val="0"/>
      <w:marRight w:val="0"/>
      <w:marTop w:val="0"/>
      <w:marBottom w:val="0"/>
      <w:divBdr>
        <w:top w:val="none" w:sz="0" w:space="0" w:color="auto"/>
        <w:left w:val="none" w:sz="0" w:space="0" w:color="auto"/>
        <w:bottom w:val="none" w:sz="0" w:space="0" w:color="auto"/>
        <w:right w:val="none" w:sz="0" w:space="0" w:color="auto"/>
      </w:divBdr>
      <w:divsChild>
        <w:div w:id="260767811">
          <w:marLeft w:val="0"/>
          <w:marRight w:val="1"/>
          <w:marTop w:val="0"/>
          <w:marBottom w:val="0"/>
          <w:divBdr>
            <w:top w:val="none" w:sz="0" w:space="0" w:color="auto"/>
            <w:left w:val="none" w:sz="0" w:space="0" w:color="auto"/>
            <w:bottom w:val="none" w:sz="0" w:space="0" w:color="auto"/>
            <w:right w:val="none" w:sz="0" w:space="0" w:color="auto"/>
          </w:divBdr>
          <w:divsChild>
            <w:div w:id="1076048636">
              <w:marLeft w:val="0"/>
              <w:marRight w:val="0"/>
              <w:marTop w:val="0"/>
              <w:marBottom w:val="0"/>
              <w:divBdr>
                <w:top w:val="none" w:sz="0" w:space="0" w:color="auto"/>
                <w:left w:val="none" w:sz="0" w:space="0" w:color="auto"/>
                <w:bottom w:val="none" w:sz="0" w:space="0" w:color="auto"/>
                <w:right w:val="none" w:sz="0" w:space="0" w:color="auto"/>
              </w:divBdr>
              <w:divsChild>
                <w:div w:id="1445150025">
                  <w:marLeft w:val="0"/>
                  <w:marRight w:val="1"/>
                  <w:marTop w:val="0"/>
                  <w:marBottom w:val="0"/>
                  <w:divBdr>
                    <w:top w:val="none" w:sz="0" w:space="0" w:color="auto"/>
                    <w:left w:val="none" w:sz="0" w:space="0" w:color="auto"/>
                    <w:bottom w:val="none" w:sz="0" w:space="0" w:color="auto"/>
                    <w:right w:val="none" w:sz="0" w:space="0" w:color="auto"/>
                  </w:divBdr>
                  <w:divsChild>
                    <w:div w:id="2055695350">
                      <w:marLeft w:val="0"/>
                      <w:marRight w:val="0"/>
                      <w:marTop w:val="0"/>
                      <w:marBottom w:val="0"/>
                      <w:divBdr>
                        <w:top w:val="none" w:sz="0" w:space="0" w:color="auto"/>
                        <w:left w:val="none" w:sz="0" w:space="0" w:color="auto"/>
                        <w:bottom w:val="none" w:sz="0" w:space="0" w:color="auto"/>
                        <w:right w:val="none" w:sz="0" w:space="0" w:color="auto"/>
                      </w:divBdr>
                      <w:divsChild>
                        <w:div w:id="1872723480">
                          <w:marLeft w:val="0"/>
                          <w:marRight w:val="0"/>
                          <w:marTop w:val="0"/>
                          <w:marBottom w:val="0"/>
                          <w:divBdr>
                            <w:top w:val="none" w:sz="0" w:space="0" w:color="auto"/>
                            <w:left w:val="none" w:sz="0" w:space="0" w:color="auto"/>
                            <w:bottom w:val="none" w:sz="0" w:space="0" w:color="auto"/>
                            <w:right w:val="none" w:sz="0" w:space="0" w:color="auto"/>
                          </w:divBdr>
                          <w:divsChild>
                            <w:div w:id="850989951">
                              <w:marLeft w:val="0"/>
                              <w:marRight w:val="0"/>
                              <w:marTop w:val="120"/>
                              <w:marBottom w:val="360"/>
                              <w:divBdr>
                                <w:top w:val="none" w:sz="0" w:space="0" w:color="auto"/>
                                <w:left w:val="none" w:sz="0" w:space="0" w:color="auto"/>
                                <w:bottom w:val="none" w:sz="0" w:space="0" w:color="auto"/>
                                <w:right w:val="none" w:sz="0" w:space="0" w:color="auto"/>
                              </w:divBdr>
                              <w:divsChild>
                                <w:div w:id="1143041570">
                                  <w:marLeft w:val="420"/>
                                  <w:marRight w:val="0"/>
                                  <w:marTop w:val="0"/>
                                  <w:marBottom w:val="0"/>
                                  <w:divBdr>
                                    <w:top w:val="none" w:sz="0" w:space="0" w:color="auto"/>
                                    <w:left w:val="none" w:sz="0" w:space="0" w:color="auto"/>
                                    <w:bottom w:val="none" w:sz="0" w:space="0" w:color="auto"/>
                                    <w:right w:val="none" w:sz="0" w:space="0" w:color="auto"/>
                                  </w:divBdr>
                                  <w:divsChild>
                                    <w:div w:id="317851830">
                                      <w:marLeft w:val="0"/>
                                      <w:marRight w:val="0"/>
                                      <w:marTop w:val="0"/>
                                      <w:marBottom w:val="0"/>
                                      <w:divBdr>
                                        <w:top w:val="none" w:sz="0" w:space="0" w:color="auto"/>
                                        <w:left w:val="none" w:sz="0" w:space="0" w:color="auto"/>
                                        <w:bottom w:val="none" w:sz="0" w:space="0" w:color="auto"/>
                                        <w:right w:val="none" w:sz="0" w:space="0" w:color="auto"/>
                                      </w:divBdr>
                                      <w:divsChild>
                                        <w:div w:id="1770465457">
                                          <w:marLeft w:val="0"/>
                                          <w:marRight w:val="0"/>
                                          <w:marTop w:val="0"/>
                                          <w:marBottom w:val="0"/>
                                          <w:divBdr>
                                            <w:top w:val="none" w:sz="0" w:space="0" w:color="auto"/>
                                            <w:left w:val="none" w:sz="0" w:space="0" w:color="auto"/>
                                            <w:bottom w:val="none" w:sz="0" w:space="0" w:color="auto"/>
                                            <w:right w:val="none" w:sz="0" w:space="0" w:color="auto"/>
                                          </w:divBdr>
                                        </w:div>
                                      </w:divsChild>
                                    </w:div>
                                    <w:div w:id="5325758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968380">
      <w:bodyDiv w:val="1"/>
      <w:marLeft w:val="0"/>
      <w:marRight w:val="0"/>
      <w:marTop w:val="0"/>
      <w:marBottom w:val="0"/>
      <w:divBdr>
        <w:top w:val="none" w:sz="0" w:space="0" w:color="auto"/>
        <w:left w:val="none" w:sz="0" w:space="0" w:color="auto"/>
        <w:bottom w:val="none" w:sz="0" w:space="0" w:color="auto"/>
        <w:right w:val="none" w:sz="0" w:space="0" w:color="auto"/>
      </w:divBdr>
      <w:divsChild>
        <w:div w:id="235474685">
          <w:marLeft w:val="0"/>
          <w:marRight w:val="1"/>
          <w:marTop w:val="0"/>
          <w:marBottom w:val="0"/>
          <w:divBdr>
            <w:top w:val="none" w:sz="0" w:space="0" w:color="auto"/>
            <w:left w:val="none" w:sz="0" w:space="0" w:color="auto"/>
            <w:bottom w:val="none" w:sz="0" w:space="0" w:color="auto"/>
            <w:right w:val="none" w:sz="0" w:space="0" w:color="auto"/>
          </w:divBdr>
          <w:divsChild>
            <w:div w:id="1355498428">
              <w:marLeft w:val="0"/>
              <w:marRight w:val="0"/>
              <w:marTop w:val="0"/>
              <w:marBottom w:val="0"/>
              <w:divBdr>
                <w:top w:val="none" w:sz="0" w:space="0" w:color="auto"/>
                <w:left w:val="none" w:sz="0" w:space="0" w:color="auto"/>
                <w:bottom w:val="none" w:sz="0" w:space="0" w:color="auto"/>
                <w:right w:val="none" w:sz="0" w:space="0" w:color="auto"/>
              </w:divBdr>
              <w:divsChild>
                <w:div w:id="1844859995">
                  <w:marLeft w:val="0"/>
                  <w:marRight w:val="1"/>
                  <w:marTop w:val="0"/>
                  <w:marBottom w:val="0"/>
                  <w:divBdr>
                    <w:top w:val="none" w:sz="0" w:space="0" w:color="auto"/>
                    <w:left w:val="none" w:sz="0" w:space="0" w:color="auto"/>
                    <w:bottom w:val="none" w:sz="0" w:space="0" w:color="auto"/>
                    <w:right w:val="none" w:sz="0" w:space="0" w:color="auto"/>
                  </w:divBdr>
                  <w:divsChild>
                    <w:div w:id="1739284176">
                      <w:marLeft w:val="0"/>
                      <w:marRight w:val="0"/>
                      <w:marTop w:val="0"/>
                      <w:marBottom w:val="0"/>
                      <w:divBdr>
                        <w:top w:val="none" w:sz="0" w:space="0" w:color="auto"/>
                        <w:left w:val="none" w:sz="0" w:space="0" w:color="auto"/>
                        <w:bottom w:val="none" w:sz="0" w:space="0" w:color="auto"/>
                        <w:right w:val="none" w:sz="0" w:space="0" w:color="auto"/>
                      </w:divBdr>
                      <w:divsChild>
                        <w:div w:id="2045907735">
                          <w:marLeft w:val="0"/>
                          <w:marRight w:val="0"/>
                          <w:marTop w:val="0"/>
                          <w:marBottom w:val="0"/>
                          <w:divBdr>
                            <w:top w:val="none" w:sz="0" w:space="0" w:color="auto"/>
                            <w:left w:val="none" w:sz="0" w:space="0" w:color="auto"/>
                            <w:bottom w:val="none" w:sz="0" w:space="0" w:color="auto"/>
                            <w:right w:val="none" w:sz="0" w:space="0" w:color="auto"/>
                          </w:divBdr>
                          <w:divsChild>
                            <w:div w:id="1562987105">
                              <w:marLeft w:val="0"/>
                              <w:marRight w:val="0"/>
                              <w:marTop w:val="120"/>
                              <w:marBottom w:val="360"/>
                              <w:divBdr>
                                <w:top w:val="none" w:sz="0" w:space="0" w:color="auto"/>
                                <w:left w:val="none" w:sz="0" w:space="0" w:color="auto"/>
                                <w:bottom w:val="none" w:sz="0" w:space="0" w:color="auto"/>
                                <w:right w:val="none" w:sz="0" w:space="0" w:color="auto"/>
                              </w:divBdr>
                              <w:divsChild>
                                <w:div w:id="1570454265">
                                  <w:marLeft w:val="0"/>
                                  <w:marRight w:val="0"/>
                                  <w:marTop w:val="0"/>
                                  <w:marBottom w:val="0"/>
                                  <w:divBdr>
                                    <w:top w:val="none" w:sz="0" w:space="0" w:color="auto"/>
                                    <w:left w:val="none" w:sz="0" w:space="0" w:color="auto"/>
                                    <w:bottom w:val="none" w:sz="0" w:space="0" w:color="auto"/>
                                    <w:right w:val="none" w:sz="0" w:space="0" w:color="auto"/>
                                  </w:divBdr>
                                </w:div>
                                <w:div w:id="20451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483253">
      <w:bodyDiv w:val="1"/>
      <w:marLeft w:val="0"/>
      <w:marRight w:val="0"/>
      <w:marTop w:val="0"/>
      <w:marBottom w:val="0"/>
      <w:divBdr>
        <w:top w:val="none" w:sz="0" w:space="0" w:color="auto"/>
        <w:left w:val="none" w:sz="0" w:space="0" w:color="auto"/>
        <w:bottom w:val="none" w:sz="0" w:space="0" w:color="auto"/>
        <w:right w:val="none" w:sz="0" w:space="0" w:color="auto"/>
      </w:divBdr>
      <w:divsChild>
        <w:div w:id="1997609917">
          <w:marLeft w:val="0"/>
          <w:marRight w:val="1"/>
          <w:marTop w:val="0"/>
          <w:marBottom w:val="0"/>
          <w:divBdr>
            <w:top w:val="none" w:sz="0" w:space="0" w:color="auto"/>
            <w:left w:val="none" w:sz="0" w:space="0" w:color="auto"/>
            <w:bottom w:val="none" w:sz="0" w:space="0" w:color="auto"/>
            <w:right w:val="none" w:sz="0" w:space="0" w:color="auto"/>
          </w:divBdr>
          <w:divsChild>
            <w:div w:id="1549994948">
              <w:marLeft w:val="0"/>
              <w:marRight w:val="0"/>
              <w:marTop w:val="0"/>
              <w:marBottom w:val="0"/>
              <w:divBdr>
                <w:top w:val="none" w:sz="0" w:space="0" w:color="auto"/>
                <w:left w:val="none" w:sz="0" w:space="0" w:color="auto"/>
                <w:bottom w:val="none" w:sz="0" w:space="0" w:color="auto"/>
                <w:right w:val="none" w:sz="0" w:space="0" w:color="auto"/>
              </w:divBdr>
              <w:divsChild>
                <w:div w:id="1992982292">
                  <w:marLeft w:val="0"/>
                  <w:marRight w:val="1"/>
                  <w:marTop w:val="0"/>
                  <w:marBottom w:val="0"/>
                  <w:divBdr>
                    <w:top w:val="none" w:sz="0" w:space="0" w:color="auto"/>
                    <w:left w:val="none" w:sz="0" w:space="0" w:color="auto"/>
                    <w:bottom w:val="none" w:sz="0" w:space="0" w:color="auto"/>
                    <w:right w:val="none" w:sz="0" w:space="0" w:color="auto"/>
                  </w:divBdr>
                  <w:divsChild>
                    <w:div w:id="1018972221">
                      <w:marLeft w:val="0"/>
                      <w:marRight w:val="0"/>
                      <w:marTop w:val="0"/>
                      <w:marBottom w:val="0"/>
                      <w:divBdr>
                        <w:top w:val="none" w:sz="0" w:space="0" w:color="auto"/>
                        <w:left w:val="none" w:sz="0" w:space="0" w:color="auto"/>
                        <w:bottom w:val="none" w:sz="0" w:space="0" w:color="auto"/>
                        <w:right w:val="none" w:sz="0" w:space="0" w:color="auto"/>
                      </w:divBdr>
                      <w:divsChild>
                        <w:div w:id="722755962">
                          <w:marLeft w:val="0"/>
                          <w:marRight w:val="0"/>
                          <w:marTop w:val="0"/>
                          <w:marBottom w:val="0"/>
                          <w:divBdr>
                            <w:top w:val="none" w:sz="0" w:space="0" w:color="auto"/>
                            <w:left w:val="none" w:sz="0" w:space="0" w:color="auto"/>
                            <w:bottom w:val="none" w:sz="0" w:space="0" w:color="auto"/>
                            <w:right w:val="none" w:sz="0" w:space="0" w:color="auto"/>
                          </w:divBdr>
                          <w:divsChild>
                            <w:div w:id="1961261589">
                              <w:marLeft w:val="0"/>
                              <w:marRight w:val="0"/>
                              <w:marTop w:val="120"/>
                              <w:marBottom w:val="360"/>
                              <w:divBdr>
                                <w:top w:val="none" w:sz="0" w:space="0" w:color="auto"/>
                                <w:left w:val="none" w:sz="0" w:space="0" w:color="auto"/>
                                <w:bottom w:val="none" w:sz="0" w:space="0" w:color="auto"/>
                                <w:right w:val="none" w:sz="0" w:space="0" w:color="auto"/>
                              </w:divBdr>
                              <w:divsChild>
                                <w:div w:id="1470130640">
                                  <w:marLeft w:val="420"/>
                                  <w:marRight w:val="0"/>
                                  <w:marTop w:val="0"/>
                                  <w:marBottom w:val="0"/>
                                  <w:divBdr>
                                    <w:top w:val="none" w:sz="0" w:space="0" w:color="auto"/>
                                    <w:left w:val="none" w:sz="0" w:space="0" w:color="auto"/>
                                    <w:bottom w:val="none" w:sz="0" w:space="0" w:color="auto"/>
                                    <w:right w:val="none" w:sz="0" w:space="0" w:color="auto"/>
                                  </w:divBdr>
                                  <w:divsChild>
                                    <w:div w:id="644434371">
                                      <w:marLeft w:val="0"/>
                                      <w:marRight w:val="0"/>
                                      <w:marTop w:val="0"/>
                                      <w:marBottom w:val="0"/>
                                      <w:divBdr>
                                        <w:top w:val="none" w:sz="0" w:space="0" w:color="auto"/>
                                        <w:left w:val="none" w:sz="0" w:space="0" w:color="auto"/>
                                        <w:bottom w:val="none" w:sz="0" w:space="0" w:color="auto"/>
                                        <w:right w:val="none" w:sz="0" w:space="0" w:color="auto"/>
                                      </w:divBdr>
                                      <w:divsChild>
                                        <w:div w:id="1059206862">
                                          <w:marLeft w:val="0"/>
                                          <w:marRight w:val="0"/>
                                          <w:marTop w:val="0"/>
                                          <w:marBottom w:val="0"/>
                                          <w:divBdr>
                                            <w:top w:val="none" w:sz="0" w:space="0" w:color="auto"/>
                                            <w:left w:val="none" w:sz="0" w:space="0" w:color="auto"/>
                                            <w:bottom w:val="none" w:sz="0" w:space="0" w:color="auto"/>
                                            <w:right w:val="none" w:sz="0" w:space="0" w:color="auto"/>
                                          </w:divBdr>
                                        </w:div>
                                      </w:divsChild>
                                    </w:div>
                                    <w:div w:id="16931919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891270">
      <w:bodyDiv w:val="1"/>
      <w:marLeft w:val="0"/>
      <w:marRight w:val="0"/>
      <w:marTop w:val="0"/>
      <w:marBottom w:val="0"/>
      <w:divBdr>
        <w:top w:val="none" w:sz="0" w:space="0" w:color="auto"/>
        <w:left w:val="none" w:sz="0" w:space="0" w:color="auto"/>
        <w:bottom w:val="none" w:sz="0" w:space="0" w:color="auto"/>
        <w:right w:val="none" w:sz="0" w:space="0" w:color="auto"/>
      </w:divBdr>
      <w:divsChild>
        <w:div w:id="904340991">
          <w:marLeft w:val="0"/>
          <w:marRight w:val="1"/>
          <w:marTop w:val="0"/>
          <w:marBottom w:val="0"/>
          <w:divBdr>
            <w:top w:val="none" w:sz="0" w:space="0" w:color="auto"/>
            <w:left w:val="none" w:sz="0" w:space="0" w:color="auto"/>
            <w:bottom w:val="none" w:sz="0" w:space="0" w:color="auto"/>
            <w:right w:val="none" w:sz="0" w:space="0" w:color="auto"/>
          </w:divBdr>
          <w:divsChild>
            <w:div w:id="8145346">
              <w:marLeft w:val="0"/>
              <w:marRight w:val="0"/>
              <w:marTop w:val="0"/>
              <w:marBottom w:val="0"/>
              <w:divBdr>
                <w:top w:val="none" w:sz="0" w:space="0" w:color="auto"/>
                <w:left w:val="none" w:sz="0" w:space="0" w:color="auto"/>
                <w:bottom w:val="none" w:sz="0" w:space="0" w:color="auto"/>
                <w:right w:val="none" w:sz="0" w:space="0" w:color="auto"/>
              </w:divBdr>
              <w:divsChild>
                <w:div w:id="414933299">
                  <w:marLeft w:val="0"/>
                  <w:marRight w:val="1"/>
                  <w:marTop w:val="0"/>
                  <w:marBottom w:val="0"/>
                  <w:divBdr>
                    <w:top w:val="none" w:sz="0" w:space="0" w:color="auto"/>
                    <w:left w:val="none" w:sz="0" w:space="0" w:color="auto"/>
                    <w:bottom w:val="none" w:sz="0" w:space="0" w:color="auto"/>
                    <w:right w:val="none" w:sz="0" w:space="0" w:color="auto"/>
                  </w:divBdr>
                  <w:divsChild>
                    <w:div w:id="1112558681">
                      <w:marLeft w:val="0"/>
                      <w:marRight w:val="0"/>
                      <w:marTop w:val="0"/>
                      <w:marBottom w:val="0"/>
                      <w:divBdr>
                        <w:top w:val="none" w:sz="0" w:space="0" w:color="auto"/>
                        <w:left w:val="none" w:sz="0" w:space="0" w:color="auto"/>
                        <w:bottom w:val="none" w:sz="0" w:space="0" w:color="auto"/>
                        <w:right w:val="none" w:sz="0" w:space="0" w:color="auto"/>
                      </w:divBdr>
                      <w:divsChild>
                        <w:div w:id="880434441">
                          <w:marLeft w:val="0"/>
                          <w:marRight w:val="0"/>
                          <w:marTop w:val="0"/>
                          <w:marBottom w:val="0"/>
                          <w:divBdr>
                            <w:top w:val="none" w:sz="0" w:space="0" w:color="auto"/>
                            <w:left w:val="none" w:sz="0" w:space="0" w:color="auto"/>
                            <w:bottom w:val="none" w:sz="0" w:space="0" w:color="auto"/>
                            <w:right w:val="none" w:sz="0" w:space="0" w:color="auto"/>
                          </w:divBdr>
                          <w:divsChild>
                            <w:div w:id="1591965212">
                              <w:marLeft w:val="0"/>
                              <w:marRight w:val="0"/>
                              <w:marTop w:val="120"/>
                              <w:marBottom w:val="360"/>
                              <w:divBdr>
                                <w:top w:val="none" w:sz="0" w:space="0" w:color="auto"/>
                                <w:left w:val="none" w:sz="0" w:space="0" w:color="auto"/>
                                <w:bottom w:val="none" w:sz="0" w:space="0" w:color="auto"/>
                                <w:right w:val="none" w:sz="0" w:space="0" w:color="auto"/>
                              </w:divBdr>
                              <w:divsChild>
                                <w:div w:id="54358463">
                                  <w:marLeft w:val="420"/>
                                  <w:marRight w:val="0"/>
                                  <w:marTop w:val="0"/>
                                  <w:marBottom w:val="0"/>
                                  <w:divBdr>
                                    <w:top w:val="none" w:sz="0" w:space="0" w:color="auto"/>
                                    <w:left w:val="none" w:sz="0" w:space="0" w:color="auto"/>
                                    <w:bottom w:val="none" w:sz="0" w:space="0" w:color="auto"/>
                                    <w:right w:val="none" w:sz="0" w:space="0" w:color="auto"/>
                                  </w:divBdr>
                                  <w:divsChild>
                                    <w:div w:id="714085621">
                                      <w:marLeft w:val="0"/>
                                      <w:marRight w:val="0"/>
                                      <w:marTop w:val="34"/>
                                      <w:marBottom w:val="34"/>
                                      <w:divBdr>
                                        <w:top w:val="none" w:sz="0" w:space="0" w:color="auto"/>
                                        <w:left w:val="none" w:sz="0" w:space="0" w:color="auto"/>
                                        <w:bottom w:val="none" w:sz="0" w:space="0" w:color="auto"/>
                                        <w:right w:val="none" w:sz="0" w:space="0" w:color="auto"/>
                                      </w:divBdr>
                                    </w:div>
                                    <w:div w:id="1127120615">
                                      <w:marLeft w:val="0"/>
                                      <w:marRight w:val="0"/>
                                      <w:marTop w:val="0"/>
                                      <w:marBottom w:val="0"/>
                                      <w:divBdr>
                                        <w:top w:val="none" w:sz="0" w:space="0" w:color="auto"/>
                                        <w:left w:val="none" w:sz="0" w:space="0" w:color="auto"/>
                                        <w:bottom w:val="none" w:sz="0" w:space="0" w:color="auto"/>
                                        <w:right w:val="none" w:sz="0" w:space="0" w:color="auto"/>
                                      </w:divBdr>
                                      <w:divsChild>
                                        <w:div w:id="20779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141860">
      <w:bodyDiv w:val="1"/>
      <w:marLeft w:val="0"/>
      <w:marRight w:val="0"/>
      <w:marTop w:val="0"/>
      <w:marBottom w:val="0"/>
      <w:divBdr>
        <w:top w:val="none" w:sz="0" w:space="0" w:color="auto"/>
        <w:left w:val="none" w:sz="0" w:space="0" w:color="auto"/>
        <w:bottom w:val="none" w:sz="0" w:space="0" w:color="auto"/>
        <w:right w:val="none" w:sz="0" w:space="0" w:color="auto"/>
      </w:divBdr>
    </w:div>
    <w:div w:id="1272544701">
      <w:bodyDiv w:val="1"/>
      <w:marLeft w:val="0"/>
      <w:marRight w:val="0"/>
      <w:marTop w:val="0"/>
      <w:marBottom w:val="0"/>
      <w:divBdr>
        <w:top w:val="none" w:sz="0" w:space="0" w:color="auto"/>
        <w:left w:val="none" w:sz="0" w:space="0" w:color="auto"/>
        <w:bottom w:val="none" w:sz="0" w:space="0" w:color="auto"/>
        <w:right w:val="none" w:sz="0" w:space="0" w:color="auto"/>
      </w:divBdr>
      <w:divsChild>
        <w:div w:id="2121601814">
          <w:marLeft w:val="0"/>
          <w:marRight w:val="1"/>
          <w:marTop w:val="0"/>
          <w:marBottom w:val="0"/>
          <w:divBdr>
            <w:top w:val="none" w:sz="0" w:space="0" w:color="auto"/>
            <w:left w:val="none" w:sz="0" w:space="0" w:color="auto"/>
            <w:bottom w:val="none" w:sz="0" w:space="0" w:color="auto"/>
            <w:right w:val="none" w:sz="0" w:space="0" w:color="auto"/>
          </w:divBdr>
          <w:divsChild>
            <w:div w:id="908921757">
              <w:marLeft w:val="0"/>
              <w:marRight w:val="0"/>
              <w:marTop w:val="0"/>
              <w:marBottom w:val="0"/>
              <w:divBdr>
                <w:top w:val="none" w:sz="0" w:space="0" w:color="auto"/>
                <w:left w:val="none" w:sz="0" w:space="0" w:color="auto"/>
                <w:bottom w:val="none" w:sz="0" w:space="0" w:color="auto"/>
                <w:right w:val="none" w:sz="0" w:space="0" w:color="auto"/>
              </w:divBdr>
              <w:divsChild>
                <w:div w:id="231352664">
                  <w:marLeft w:val="0"/>
                  <w:marRight w:val="1"/>
                  <w:marTop w:val="0"/>
                  <w:marBottom w:val="0"/>
                  <w:divBdr>
                    <w:top w:val="none" w:sz="0" w:space="0" w:color="auto"/>
                    <w:left w:val="none" w:sz="0" w:space="0" w:color="auto"/>
                    <w:bottom w:val="none" w:sz="0" w:space="0" w:color="auto"/>
                    <w:right w:val="none" w:sz="0" w:space="0" w:color="auto"/>
                  </w:divBdr>
                  <w:divsChild>
                    <w:div w:id="699597074">
                      <w:marLeft w:val="0"/>
                      <w:marRight w:val="0"/>
                      <w:marTop w:val="0"/>
                      <w:marBottom w:val="0"/>
                      <w:divBdr>
                        <w:top w:val="none" w:sz="0" w:space="0" w:color="auto"/>
                        <w:left w:val="none" w:sz="0" w:space="0" w:color="auto"/>
                        <w:bottom w:val="none" w:sz="0" w:space="0" w:color="auto"/>
                        <w:right w:val="none" w:sz="0" w:space="0" w:color="auto"/>
                      </w:divBdr>
                      <w:divsChild>
                        <w:div w:id="1601988309">
                          <w:marLeft w:val="0"/>
                          <w:marRight w:val="0"/>
                          <w:marTop w:val="0"/>
                          <w:marBottom w:val="0"/>
                          <w:divBdr>
                            <w:top w:val="none" w:sz="0" w:space="0" w:color="auto"/>
                            <w:left w:val="none" w:sz="0" w:space="0" w:color="auto"/>
                            <w:bottom w:val="none" w:sz="0" w:space="0" w:color="auto"/>
                            <w:right w:val="none" w:sz="0" w:space="0" w:color="auto"/>
                          </w:divBdr>
                          <w:divsChild>
                            <w:div w:id="2012298006">
                              <w:marLeft w:val="0"/>
                              <w:marRight w:val="0"/>
                              <w:marTop w:val="120"/>
                              <w:marBottom w:val="360"/>
                              <w:divBdr>
                                <w:top w:val="none" w:sz="0" w:space="0" w:color="auto"/>
                                <w:left w:val="none" w:sz="0" w:space="0" w:color="auto"/>
                                <w:bottom w:val="none" w:sz="0" w:space="0" w:color="auto"/>
                                <w:right w:val="none" w:sz="0" w:space="0" w:color="auto"/>
                              </w:divBdr>
                              <w:divsChild>
                                <w:div w:id="884605995">
                                  <w:marLeft w:val="0"/>
                                  <w:marRight w:val="0"/>
                                  <w:marTop w:val="0"/>
                                  <w:marBottom w:val="0"/>
                                  <w:divBdr>
                                    <w:top w:val="none" w:sz="0" w:space="0" w:color="auto"/>
                                    <w:left w:val="none" w:sz="0" w:space="0" w:color="auto"/>
                                    <w:bottom w:val="none" w:sz="0" w:space="0" w:color="auto"/>
                                    <w:right w:val="none" w:sz="0" w:space="0" w:color="auto"/>
                                  </w:divBdr>
                                  <w:divsChild>
                                    <w:div w:id="18310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920619">
      <w:bodyDiv w:val="1"/>
      <w:marLeft w:val="0"/>
      <w:marRight w:val="0"/>
      <w:marTop w:val="0"/>
      <w:marBottom w:val="0"/>
      <w:divBdr>
        <w:top w:val="none" w:sz="0" w:space="0" w:color="auto"/>
        <w:left w:val="none" w:sz="0" w:space="0" w:color="auto"/>
        <w:bottom w:val="none" w:sz="0" w:space="0" w:color="auto"/>
        <w:right w:val="none" w:sz="0" w:space="0" w:color="auto"/>
      </w:divBdr>
      <w:divsChild>
        <w:div w:id="1514219272">
          <w:marLeft w:val="0"/>
          <w:marRight w:val="1"/>
          <w:marTop w:val="0"/>
          <w:marBottom w:val="0"/>
          <w:divBdr>
            <w:top w:val="none" w:sz="0" w:space="0" w:color="auto"/>
            <w:left w:val="none" w:sz="0" w:space="0" w:color="auto"/>
            <w:bottom w:val="none" w:sz="0" w:space="0" w:color="auto"/>
            <w:right w:val="none" w:sz="0" w:space="0" w:color="auto"/>
          </w:divBdr>
          <w:divsChild>
            <w:div w:id="1107042322">
              <w:marLeft w:val="0"/>
              <w:marRight w:val="0"/>
              <w:marTop w:val="0"/>
              <w:marBottom w:val="0"/>
              <w:divBdr>
                <w:top w:val="none" w:sz="0" w:space="0" w:color="auto"/>
                <w:left w:val="none" w:sz="0" w:space="0" w:color="auto"/>
                <w:bottom w:val="none" w:sz="0" w:space="0" w:color="auto"/>
                <w:right w:val="none" w:sz="0" w:space="0" w:color="auto"/>
              </w:divBdr>
              <w:divsChild>
                <w:div w:id="173881286">
                  <w:marLeft w:val="0"/>
                  <w:marRight w:val="1"/>
                  <w:marTop w:val="0"/>
                  <w:marBottom w:val="0"/>
                  <w:divBdr>
                    <w:top w:val="none" w:sz="0" w:space="0" w:color="auto"/>
                    <w:left w:val="none" w:sz="0" w:space="0" w:color="auto"/>
                    <w:bottom w:val="none" w:sz="0" w:space="0" w:color="auto"/>
                    <w:right w:val="none" w:sz="0" w:space="0" w:color="auto"/>
                  </w:divBdr>
                  <w:divsChild>
                    <w:div w:id="497429654">
                      <w:marLeft w:val="0"/>
                      <w:marRight w:val="0"/>
                      <w:marTop w:val="0"/>
                      <w:marBottom w:val="0"/>
                      <w:divBdr>
                        <w:top w:val="none" w:sz="0" w:space="0" w:color="auto"/>
                        <w:left w:val="none" w:sz="0" w:space="0" w:color="auto"/>
                        <w:bottom w:val="none" w:sz="0" w:space="0" w:color="auto"/>
                        <w:right w:val="none" w:sz="0" w:space="0" w:color="auto"/>
                      </w:divBdr>
                      <w:divsChild>
                        <w:div w:id="2105759954">
                          <w:marLeft w:val="0"/>
                          <w:marRight w:val="0"/>
                          <w:marTop w:val="0"/>
                          <w:marBottom w:val="0"/>
                          <w:divBdr>
                            <w:top w:val="none" w:sz="0" w:space="0" w:color="auto"/>
                            <w:left w:val="none" w:sz="0" w:space="0" w:color="auto"/>
                            <w:bottom w:val="none" w:sz="0" w:space="0" w:color="auto"/>
                            <w:right w:val="none" w:sz="0" w:space="0" w:color="auto"/>
                          </w:divBdr>
                          <w:divsChild>
                            <w:div w:id="68039680">
                              <w:marLeft w:val="0"/>
                              <w:marRight w:val="0"/>
                              <w:marTop w:val="120"/>
                              <w:marBottom w:val="360"/>
                              <w:divBdr>
                                <w:top w:val="none" w:sz="0" w:space="0" w:color="auto"/>
                                <w:left w:val="none" w:sz="0" w:space="0" w:color="auto"/>
                                <w:bottom w:val="none" w:sz="0" w:space="0" w:color="auto"/>
                                <w:right w:val="none" w:sz="0" w:space="0" w:color="auto"/>
                              </w:divBdr>
                              <w:divsChild>
                                <w:div w:id="1479615837">
                                  <w:marLeft w:val="420"/>
                                  <w:marRight w:val="0"/>
                                  <w:marTop w:val="0"/>
                                  <w:marBottom w:val="0"/>
                                  <w:divBdr>
                                    <w:top w:val="none" w:sz="0" w:space="0" w:color="auto"/>
                                    <w:left w:val="none" w:sz="0" w:space="0" w:color="auto"/>
                                    <w:bottom w:val="none" w:sz="0" w:space="0" w:color="auto"/>
                                    <w:right w:val="none" w:sz="0" w:space="0" w:color="auto"/>
                                  </w:divBdr>
                                  <w:divsChild>
                                    <w:div w:id="275213272">
                                      <w:marLeft w:val="0"/>
                                      <w:marRight w:val="0"/>
                                      <w:marTop w:val="0"/>
                                      <w:marBottom w:val="0"/>
                                      <w:divBdr>
                                        <w:top w:val="none" w:sz="0" w:space="0" w:color="auto"/>
                                        <w:left w:val="none" w:sz="0" w:space="0" w:color="auto"/>
                                        <w:bottom w:val="none" w:sz="0" w:space="0" w:color="auto"/>
                                        <w:right w:val="none" w:sz="0" w:space="0" w:color="auto"/>
                                      </w:divBdr>
                                      <w:divsChild>
                                        <w:div w:id="1087649336">
                                          <w:marLeft w:val="0"/>
                                          <w:marRight w:val="0"/>
                                          <w:marTop w:val="0"/>
                                          <w:marBottom w:val="0"/>
                                          <w:divBdr>
                                            <w:top w:val="none" w:sz="0" w:space="0" w:color="auto"/>
                                            <w:left w:val="none" w:sz="0" w:space="0" w:color="auto"/>
                                            <w:bottom w:val="none" w:sz="0" w:space="0" w:color="auto"/>
                                            <w:right w:val="none" w:sz="0" w:space="0" w:color="auto"/>
                                          </w:divBdr>
                                        </w:div>
                                      </w:divsChild>
                                    </w:div>
                                    <w:div w:id="3727297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3647">
      <w:bodyDiv w:val="1"/>
      <w:marLeft w:val="0"/>
      <w:marRight w:val="0"/>
      <w:marTop w:val="0"/>
      <w:marBottom w:val="0"/>
      <w:divBdr>
        <w:top w:val="none" w:sz="0" w:space="0" w:color="auto"/>
        <w:left w:val="none" w:sz="0" w:space="0" w:color="auto"/>
        <w:bottom w:val="none" w:sz="0" w:space="0" w:color="auto"/>
        <w:right w:val="none" w:sz="0" w:space="0" w:color="auto"/>
      </w:divBdr>
      <w:divsChild>
        <w:div w:id="225651528">
          <w:marLeft w:val="0"/>
          <w:marRight w:val="1"/>
          <w:marTop w:val="0"/>
          <w:marBottom w:val="0"/>
          <w:divBdr>
            <w:top w:val="none" w:sz="0" w:space="0" w:color="auto"/>
            <w:left w:val="none" w:sz="0" w:space="0" w:color="auto"/>
            <w:bottom w:val="none" w:sz="0" w:space="0" w:color="auto"/>
            <w:right w:val="none" w:sz="0" w:space="0" w:color="auto"/>
          </w:divBdr>
          <w:divsChild>
            <w:div w:id="580018874">
              <w:marLeft w:val="0"/>
              <w:marRight w:val="0"/>
              <w:marTop w:val="0"/>
              <w:marBottom w:val="0"/>
              <w:divBdr>
                <w:top w:val="none" w:sz="0" w:space="0" w:color="auto"/>
                <w:left w:val="none" w:sz="0" w:space="0" w:color="auto"/>
                <w:bottom w:val="none" w:sz="0" w:space="0" w:color="auto"/>
                <w:right w:val="none" w:sz="0" w:space="0" w:color="auto"/>
              </w:divBdr>
              <w:divsChild>
                <w:div w:id="1741438227">
                  <w:marLeft w:val="0"/>
                  <w:marRight w:val="1"/>
                  <w:marTop w:val="0"/>
                  <w:marBottom w:val="0"/>
                  <w:divBdr>
                    <w:top w:val="none" w:sz="0" w:space="0" w:color="auto"/>
                    <w:left w:val="none" w:sz="0" w:space="0" w:color="auto"/>
                    <w:bottom w:val="none" w:sz="0" w:space="0" w:color="auto"/>
                    <w:right w:val="none" w:sz="0" w:space="0" w:color="auto"/>
                  </w:divBdr>
                  <w:divsChild>
                    <w:div w:id="1911690678">
                      <w:marLeft w:val="0"/>
                      <w:marRight w:val="0"/>
                      <w:marTop w:val="0"/>
                      <w:marBottom w:val="0"/>
                      <w:divBdr>
                        <w:top w:val="none" w:sz="0" w:space="0" w:color="auto"/>
                        <w:left w:val="none" w:sz="0" w:space="0" w:color="auto"/>
                        <w:bottom w:val="none" w:sz="0" w:space="0" w:color="auto"/>
                        <w:right w:val="none" w:sz="0" w:space="0" w:color="auto"/>
                      </w:divBdr>
                      <w:divsChild>
                        <w:div w:id="1202666697">
                          <w:marLeft w:val="0"/>
                          <w:marRight w:val="0"/>
                          <w:marTop w:val="0"/>
                          <w:marBottom w:val="0"/>
                          <w:divBdr>
                            <w:top w:val="none" w:sz="0" w:space="0" w:color="auto"/>
                            <w:left w:val="none" w:sz="0" w:space="0" w:color="auto"/>
                            <w:bottom w:val="none" w:sz="0" w:space="0" w:color="auto"/>
                            <w:right w:val="none" w:sz="0" w:space="0" w:color="auto"/>
                          </w:divBdr>
                          <w:divsChild>
                            <w:div w:id="165100697">
                              <w:marLeft w:val="0"/>
                              <w:marRight w:val="0"/>
                              <w:marTop w:val="120"/>
                              <w:marBottom w:val="360"/>
                              <w:divBdr>
                                <w:top w:val="none" w:sz="0" w:space="0" w:color="auto"/>
                                <w:left w:val="none" w:sz="0" w:space="0" w:color="auto"/>
                                <w:bottom w:val="none" w:sz="0" w:space="0" w:color="auto"/>
                                <w:right w:val="none" w:sz="0" w:space="0" w:color="auto"/>
                              </w:divBdr>
                              <w:divsChild>
                                <w:div w:id="485901964">
                                  <w:marLeft w:val="420"/>
                                  <w:marRight w:val="0"/>
                                  <w:marTop w:val="0"/>
                                  <w:marBottom w:val="0"/>
                                  <w:divBdr>
                                    <w:top w:val="none" w:sz="0" w:space="0" w:color="auto"/>
                                    <w:left w:val="none" w:sz="0" w:space="0" w:color="auto"/>
                                    <w:bottom w:val="none" w:sz="0" w:space="0" w:color="auto"/>
                                    <w:right w:val="none" w:sz="0" w:space="0" w:color="auto"/>
                                  </w:divBdr>
                                  <w:divsChild>
                                    <w:div w:id="513689439">
                                      <w:marLeft w:val="0"/>
                                      <w:marRight w:val="0"/>
                                      <w:marTop w:val="0"/>
                                      <w:marBottom w:val="0"/>
                                      <w:divBdr>
                                        <w:top w:val="none" w:sz="0" w:space="0" w:color="auto"/>
                                        <w:left w:val="none" w:sz="0" w:space="0" w:color="auto"/>
                                        <w:bottom w:val="none" w:sz="0" w:space="0" w:color="auto"/>
                                        <w:right w:val="none" w:sz="0" w:space="0" w:color="auto"/>
                                      </w:divBdr>
                                      <w:divsChild>
                                        <w:div w:id="926814950">
                                          <w:marLeft w:val="0"/>
                                          <w:marRight w:val="0"/>
                                          <w:marTop w:val="0"/>
                                          <w:marBottom w:val="0"/>
                                          <w:divBdr>
                                            <w:top w:val="none" w:sz="0" w:space="0" w:color="auto"/>
                                            <w:left w:val="none" w:sz="0" w:space="0" w:color="auto"/>
                                            <w:bottom w:val="none" w:sz="0" w:space="0" w:color="auto"/>
                                            <w:right w:val="none" w:sz="0" w:space="0" w:color="auto"/>
                                          </w:divBdr>
                                        </w:div>
                                      </w:divsChild>
                                    </w:div>
                                    <w:div w:id="9595347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95098">
      <w:bodyDiv w:val="1"/>
      <w:marLeft w:val="0"/>
      <w:marRight w:val="0"/>
      <w:marTop w:val="0"/>
      <w:marBottom w:val="0"/>
      <w:divBdr>
        <w:top w:val="none" w:sz="0" w:space="0" w:color="auto"/>
        <w:left w:val="none" w:sz="0" w:space="0" w:color="auto"/>
        <w:bottom w:val="none" w:sz="0" w:space="0" w:color="auto"/>
        <w:right w:val="none" w:sz="0" w:space="0" w:color="auto"/>
      </w:divBdr>
      <w:divsChild>
        <w:div w:id="1354989457">
          <w:marLeft w:val="0"/>
          <w:marRight w:val="1"/>
          <w:marTop w:val="0"/>
          <w:marBottom w:val="0"/>
          <w:divBdr>
            <w:top w:val="none" w:sz="0" w:space="0" w:color="auto"/>
            <w:left w:val="none" w:sz="0" w:space="0" w:color="auto"/>
            <w:bottom w:val="none" w:sz="0" w:space="0" w:color="auto"/>
            <w:right w:val="none" w:sz="0" w:space="0" w:color="auto"/>
          </w:divBdr>
          <w:divsChild>
            <w:div w:id="544290992">
              <w:marLeft w:val="0"/>
              <w:marRight w:val="0"/>
              <w:marTop w:val="0"/>
              <w:marBottom w:val="0"/>
              <w:divBdr>
                <w:top w:val="none" w:sz="0" w:space="0" w:color="auto"/>
                <w:left w:val="none" w:sz="0" w:space="0" w:color="auto"/>
                <w:bottom w:val="none" w:sz="0" w:space="0" w:color="auto"/>
                <w:right w:val="none" w:sz="0" w:space="0" w:color="auto"/>
              </w:divBdr>
              <w:divsChild>
                <w:div w:id="7950873">
                  <w:marLeft w:val="0"/>
                  <w:marRight w:val="1"/>
                  <w:marTop w:val="0"/>
                  <w:marBottom w:val="0"/>
                  <w:divBdr>
                    <w:top w:val="none" w:sz="0" w:space="0" w:color="auto"/>
                    <w:left w:val="none" w:sz="0" w:space="0" w:color="auto"/>
                    <w:bottom w:val="none" w:sz="0" w:space="0" w:color="auto"/>
                    <w:right w:val="none" w:sz="0" w:space="0" w:color="auto"/>
                  </w:divBdr>
                  <w:divsChild>
                    <w:div w:id="867334159">
                      <w:marLeft w:val="0"/>
                      <w:marRight w:val="0"/>
                      <w:marTop w:val="0"/>
                      <w:marBottom w:val="0"/>
                      <w:divBdr>
                        <w:top w:val="none" w:sz="0" w:space="0" w:color="auto"/>
                        <w:left w:val="none" w:sz="0" w:space="0" w:color="auto"/>
                        <w:bottom w:val="none" w:sz="0" w:space="0" w:color="auto"/>
                        <w:right w:val="none" w:sz="0" w:space="0" w:color="auto"/>
                      </w:divBdr>
                      <w:divsChild>
                        <w:div w:id="115149019">
                          <w:marLeft w:val="0"/>
                          <w:marRight w:val="0"/>
                          <w:marTop w:val="0"/>
                          <w:marBottom w:val="0"/>
                          <w:divBdr>
                            <w:top w:val="none" w:sz="0" w:space="0" w:color="auto"/>
                            <w:left w:val="none" w:sz="0" w:space="0" w:color="auto"/>
                            <w:bottom w:val="none" w:sz="0" w:space="0" w:color="auto"/>
                            <w:right w:val="none" w:sz="0" w:space="0" w:color="auto"/>
                          </w:divBdr>
                          <w:divsChild>
                            <w:div w:id="194344561">
                              <w:marLeft w:val="0"/>
                              <w:marRight w:val="0"/>
                              <w:marTop w:val="120"/>
                              <w:marBottom w:val="360"/>
                              <w:divBdr>
                                <w:top w:val="none" w:sz="0" w:space="0" w:color="auto"/>
                                <w:left w:val="none" w:sz="0" w:space="0" w:color="auto"/>
                                <w:bottom w:val="none" w:sz="0" w:space="0" w:color="auto"/>
                                <w:right w:val="none" w:sz="0" w:space="0" w:color="auto"/>
                              </w:divBdr>
                              <w:divsChild>
                                <w:div w:id="1428228824">
                                  <w:marLeft w:val="420"/>
                                  <w:marRight w:val="0"/>
                                  <w:marTop w:val="0"/>
                                  <w:marBottom w:val="0"/>
                                  <w:divBdr>
                                    <w:top w:val="none" w:sz="0" w:space="0" w:color="auto"/>
                                    <w:left w:val="none" w:sz="0" w:space="0" w:color="auto"/>
                                    <w:bottom w:val="none" w:sz="0" w:space="0" w:color="auto"/>
                                    <w:right w:val="none" w:sz="0" w:space="0" w:color="auto"/>
                                  </w:divBdr>
                                  <w:divsChild>
                                    <w:div w:id="1401711219">
                                      <w:marLeft w:val="0"/>
                                      <w:marRight w:val="0"/>
                                      <w:marTop w:val="0"/>
                                      <w:marBottom w:val="0"/>
                                      <w:divBdr>
                                        <w:top w:val="none" w:sz="0" w:space="0" w:color="auto"/>
                                        <w:left w:val="none" w:sz="0" w:space="0" w:color="auto"/>
                                        <w:bottom w:val="none" w:sz="0" w:space="0" w:color="auto"/>
                                        <w:right w:val="none" w:sz="0" w:space="0" w:color="auto"/>
                                      </w:divBdr>
                                      <w:divsChild>
                                        <w:div w:id="2067600824">
                                          <w:marLeft w:val="0"/>
                                          <w:marRight w:val="0"/>
                                          <w:marTop w:val="0"/>
                                          <w:marBottom w:val="0"/>
                                          <w:divBdr>
                                            <w:top w:val="none" w:sz="0" w:space="0" w:color="auto"/>
                                            <w:left w:val="none" w:sz="0" w:space="0" w:color="auto"/>
                                            <w:bottom w:val="none" w:sz="0" w:space="0" w:color="auto"/>
                                            <w:right w:val="none" w:sz="0" w:space="0" w:color="auto"/>
                                          </w:divBdr>
                                        </w:div>
                                      </w:divsChild>
                                    </w:div>
                                    <w:div w:id="19011630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C60DE2D-7B1C-492E-B6F5-F8874824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5833</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Leiting, Jennifer L., M.D.</dc:creator>
  <cp:lastModifiedBy>xiang li</cp:lastModifiedBy>
  <cp:revision>18</cp:revision>
  <cp:lastPrinted>2019-07-29T15:34:00Z</cp:lastPrinted>
  <dcterms:created xsi:type="dcterms:W3CDTF">2020-06-02T17:50:00Z</dcterms:created>
  <dcterms:modified xsi:type="dcterms:W3CDTF">2020-07-14T09:53:00Z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16th edition (author-date)</vt:lpwstr>
  </property>
  <property fmtid="{D5CDD505-2E9C-101B-9397-08002B2CF9AE}" pid="4" name="Mendeley Recent Style Id 1_1">
    <vt:lpwstr>http://www.zotero.org/styles/elsevier-vancouver</vt:lpwstr>
  </property>
  <property fmtid="{D5CDD505-2E9C-101B-9397-08002B2CF9AE}" pid="5" name="Mendeley Recent Style Name 1_1">
    <vt:lpwstr>Elsevier - Vancouver</vt:lpwstr>
  </property>
  <property fmtid="{D5CDD505-2E9C-101B-9397-08002B2CF9AE}" pid="6" name="Mendeley Recent Style Id 2_1">
    <vt:lpwstr>http://www.zotero.org/styles/european-journal-of-surgical-oncology</vt:lpwstr>
  </property>
  <property fmtid="{D5CDD505-2E9C-101B-9397-08002B2CF9AE}" pid="7" name="Mendeley Recent Style Name 2_1">
    <vt:lpwstr>European Journal of Surgical Oncology</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http://www.zotero.org/styles/journal-of-the-american-college-of-surgeons</vt:lpwstr>
  </property>
  <property fmtid="{D5CDD505-2E9C-101B-9397-08002B2CF9AE}" pid="11" name="Mendeley Recent Style Name 4_1">
    <vt:lpwstr>Journal of the American College of Surgeons</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https://csl.mendeley.com/styles/494916001/vancouver-updated</vt:lpwstr>
  </property>
  <property fmtid="{D5CDD505-2E9C-101B-9397-08002B2CF9AE}" pid="17" name="Mendeley Recent Style Name 7_1">
    <vt:lpwstr>Vancouver - Jennifer Leiting</vt:lpwstr>
  </property>
  <property fmtid="{D5CDD505-2E9C-101B-9397-08002B2CF9AE}" pid="18" name="Mendeley Recent Style Id 8_1">
    <vt:lpwstr>http://csl.mendeley.com/styles/494916001/vancouver</vt:lpwstr>
  </property>
  <property fmtid="{D5CDD505-2E9C-101B-9397-08002B2CF9AE}" pid="19" name="Mendeley Recent Style Name 8_1">
    <vt:lpwstr>Vancouver - Jennifer Leiting</vt:lpwstr>
  </property>
  <property fmtid="{D5CDD505-2E9C-101B-9397-08002B2CF9AE}" pid="20" name="Mendeley Recent Style Id 9_1">
    <vt:lpwstr>http://csl.mendeley.com/styles/494916001/vancouver-updated</vt:lpwstr>
  </property>
  <property fmtid="{D5CDD505-2E9C-101B-9397-08002B2CF9AE}" pid="21" name="Mendeley Recent Style Name 9_1">
    <vt:lpwstr>Vancouver - Jennifer Leiting</vt:lpwstr>
  </property>
  <property fmtid="{D5CDD505-2E9C-101B-9397-08002B2CF9AE}" pid="22" name="Mendeley Document_1">
    <vt:lpwstr>True</vt:lpwstr>
  </property>
  <property fmtid="{D5CDD505-2E9C-101B-9397-08002B2CF9AE}" pid="23" name="Mendeley Unique User Id_1">
    <vt:lpwstr>10bd106f-56d8-366c-9e07-bd98e99d1ed8</vt:lpwstr>
  </property>
  <property fmtid="{D5CDD505-2E9C-101B-9397-08002B2CF9AE}" pid="24" name="Mendeley Citation Style_1">
    <vt:lpwstr>http://www.zotero.org/styles/european-journal-of-surgical-oncology</vt:lpwstr>
  </property>
</Properties>
</file>