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3637" w14:textId="45C20688" w:rsidR="00145C7A" w:rsidRPr="006A3553" w:rsidRDefault="00145C7A" w:rsidP="006A3553">
      <w:pPr>
        <w:pStyle w:val="Default"/>
        <w:snapToGrid w:val="0"/>
        <w:spacing w:line="360" w:lineRule="auto"/>
        <w:jc w:val="both"/>
        <w:rPr>
          <w:rFonts w:eastAsia="Calibri" w:cs="Times New Roman"/>
          <w:color w:val="auto"/>
          <w:lang w:val="en-GB"/>
        </w:rPr>
      </w:pPr>
      <w:r w:rsidRPr="006A3553">
        <w:rPr>
          <w:rFonts w:eastAsia="Calibri" w:cs="Times New Roman"/>
          <w:b/>
          <w:color w:val="auto"/>
          <w:lang w:val="en-GB"/>
        </w:rPr>
        <w:t>Name of Journal:</w:t>
      </w:r>
      <w:r w:rsidRPr="006A3553">
        <w:rPr>
          <w:rFonts w:eastAsia="Calibri" w:cs="Times New Roman"/>
          <w:color w:val="auto"/>
          <w:lang w:val="en-GB"/>
        </w:rPr>
        <w:t xml:space="preserve"> </w:t>
      </w:r>
      <w:r w:rsidRPr="006A3553">
        <w:rPr>
          <w:rFonts w:eastAsia="Calibri" w:cs="Times New Roman"/>
          <w:i/>
          <w:iCs/>
          <w:color w:val="auto"/>
          <w:lang w:val="en-GB"/>
        </w:rPr>
        <w:t xml:space="preserve">World Journal of Gastroenterology </w:t>
      </w:r>
    </w:p>
    <w:p w14:paraId="55A39E97" w14:textId="72CC0A3D" w:rsidR="00145C7A" w:rsidRPr="006A3553" w:rsidRDefault="00145C7A" w:rsidP="006A3553">
      <w:pPr>
        <w:pStyle w:val="Default"/>
        <w:snapToGrid w:val="0"/>
        <w:spacing w:line="360" w:lineRule="auto"/>
        <w:jc w:val="both"/>
        <w:rPr>
          <w:rFonts w:eastAsia="Calibri" w:cs="Times New Roman"/>
          <w:color w:val="auto"/>
          <w:lang w:val="en-GB"/>
        </w:rPr>
      </w:pPr>
      <w:r w:rsidRPr="006A3553">
        <w:rPr>
          <w:rFonts w:eastAsia="Calibri" w:cs="Times New Roman"/>
          <w:b/>
          <w:color w:val="auto"/>
          <w:lang w:val="en-GB"/>
        </w:rPr>
        <w:t>Manuscript NO:</w:t>
      </w:r>
      <w:r w:rsidRPr="006A3553">
        <w:rPr>
          <w:rFonts w:eastAsia="Calibri" w:cs="Times New Roman"/>
          <w:color w:val="auto"/>
          <w:lang w:val="en-GB"/>
        </w:rPr>
        <w:t xml:space="preserve"> 54433</w:t>
      </w:r>
    </w:p>
    <w:p w14:paraId="0107F30E" w14:textId="23AC372E" w:rsidR="00145C7A" w:rsidRPr="006A3553" w:rsidRDefault="00145C7A" w:rsidP="006A3553">
      <w:pPr>
        <w:pStyle w:val="Default"/>
        <w:snapToGrid w:val="0"/>
        <w:spacing w:line="360" w:lineRule="auto"/>
        <w:jc w:val="both"/>
        <w:rPr>
          <w:rFonts w:eastAsia="Calibri" w:cs="Times New Roman"/>
          <w:color w:val="auto"/>
          <w:lang w:val="en-GB"/>
        </w:rPr>
      </w:pPr>
      <w:r w:rsidRPr="006A3553">
        <w:rPr>
          <w:rFonts w:eastAsia="Calibri" w:cs="Times New Roman"/>
          <w:b/>
          <w:color w:val="auto"/>
          <w:lang w:val="en-GB"/>
        </w:rPr>
        <w:t>Manuscript Type:</w:t>
      </w:r>
      <w:r w:rsidRPr="006A3553">
        <w:rPr>
          <w:rFonts w:eastAsia="Calibri" w:cs="Times New Roman"/>
          <w:color w:val="auto"/>
          <w:lang w:val="en-GB"/>
        </w:rPr>
        <w:t xml:space="preserve"> ORIGINAL ARTICLE</w:t>
      </w:r>
    </w:p>
    <w:p w14:paraId="0E9D01CB" w14:textId="77777777" w:rsidR="00145C7A" w:rsidRPr="006A3553" w:rsidRDefault="00145C7A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14:paraId="1E18B9D9" w14:textId="77777777" w:rsidR="00145C7A" w:rsidRPr="006A3553" w:rsidRDefault="00145C7A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b/>
          <w:bCs/>
          <w:i/>
          <w:sz w:val="24"/>
          <w:szCs w:val="24"/>
          <w:lang w:val="en-GB"/>
        </w:rPr>
      </w:pPr>
      <w:r w:rsidRPr="006A3553">
        <w:rPr>
          <w:rFonts w:ascii="Book Antiqua" w:eastAsia="Calibri" w:hAnsi="Book Antiqua" w:cs="Times New Roman"/>
          <w:b/>
          <w:bCs/>
          <w:i/>
          <w:sz w:val="24"/>
          <w:szCs w:val="24"/>
          <w:lang w:val="en-GB"/>
        </w:rPr>
        <w:t xml:space="preserve">Basic Study </w:t>
      </w:r>
    </w:p>
    <w:p w14:paraId="79BFB4CE" w14:textId="71545683" w:rsidR="005F6510" w:rsidRPr="006A3553" w:rsidRDefault="003B64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A3553">
        <w:rPr>
          <w:rFonts w:ascii="Book Antiqua" w:hAnsi="Book Antiqua"/>
          <w:b/>
          <w:sz w:val="24"/>
          <w:szCs w:val="24"/>
        </w:rPr>
        <w:t xml:space="preserve">Genetic association analysis of </w:t>
      </w:r>
      <w:r w:rsidRPr="006A3553">
        <w:rPr>
          <w:rFonts w:ascii="Book Antiqua" w:hAnsi="Book Antiqua"/>
          <w:b/>
          <w:i/>
          <w:sz w:val="24"/>
          <w:szCs w:val="24"/>
        </w:rPr>
        <w:t>CLEC5</w:t>
      </w:r>
      <w:r w:rsidR="002B35CD" w:rsidRPr="006A3553">
        <w:rPr>
          <w:rFonts w:ascii="Book Antiqua" w:hAnsi="Book Antiqua"/>
          <w:b/>
          <w:i/>
          <w:sz w:val="24"/>
          <w:szCs w:val="24"/>
        </w:rPr>
        <w:t>A</w:t>
      </w:r>
      <w:r w:rsidRPr="006A3553">
        <w:rPr>
          <w:rFonts w:ascii="Book Antiqua" w:hAnsi="Book Antiqua"/>
          <w:b/>
          <w:sz w:val="24"/>
          <w:szCs w:val="24"/>
        </w:rPr>
        <w:t xml:space="preserve"> and </w:t>
      </w:r>
      <w:r w:rsidRPr="006A3553">
        <w:rPr>
          <w:rFonts w:ascii="Book Antiqua" w:hAnsi="Book Antiqua"/>
          <w:b/>
          <w:i/>
          <w:sz w:val="24"/>
          <w:szCs w:val="24"/>
        </w:rPr>
        <w:t>CLEC7</w:t>
      </w:r>
      <w:r w:rsidR="002B35CD" w:rsidRPr="006A3553">
        <w:rPr>
          <w:rFonts w:ascii="Book Antiqua" w:hAnsi="Book Antiqua"/>
          <w:b/>
          <w:i/>
          <w:sz w:val="24"/>
          <w:szCs w:val="24"/>
        </w:rPr>
        <w:t>A</w:t>
      </w:r>
      <w:r w:rsidRPr="006A3553">
        <w:rPr>
          <w:rFonts w:ascii="Book Antiqua" w:hAnsi="Book Antiqua"/>
          <w:b/>
          <w:sz w:val="24"/>
          <w:szCs w:val="24"/>
        </w:rPr>
        <w:t xml:space="preserve"> </w:t>
      </w:r>
      <w:r w:rsidR="00A9064D" w:rsidRPr="006A3553">
        <w:rPr>
          <w:rFonts w:ascii="Book Antiqua" w:hAnsi="Book Antiqua"/>
          <w:b/>
          <w:sz w:val="24"/>
          <w:szCs w:val="24"/>
        </w:rPr>
        <w:t>g</w:t>
      </w:r>
      <w:r w:rsidRPr="006A3553">
        <w:rPr>
          <w:rFonts w:ascii="Book Antiqua" w:hAnsi="Book Antiqua"/>
          <w:b/>
          <w:sz w:val="24"/>
          <w:szCs w:val="24"/>
        </w:rPr>
        <w:t xml:space="preserve">ene </w:t>
      </w:r>
      <w:r w:rsidR="00A9064D" w:rsidRPr="006A3553">
        <w:rPr>
          <w:rFonts w:ascii="Book Antiqua" w:hAnsi="Book Antiqua"/>
          <w:b/>
          <w:sz w:val="24"/>
          <w:szCs w:val="24"/>
        </w:rPr>
        <w:t>single-nucleotide p</w:t>
      </w:r>
      <w:r w:rsidRPr="006A3553">
        <w:rPr>
          <w:rFonts w:ascii="Book Antiqua" w:hAnsi="Book Antiqua"/>
          <w:b/>
          <w:sz w:val="24"/>
          <w:szCs w:val="24"/>
        </w:rPr>
        <w:t xml:space="preserve">olymorphisms and Crohn’s </w:t>
      </w:r>
      <w:r w:rsidR="00A9064D" w:rsidRPr="006A3553">
        <w:rPr>
          <w:rFonts w:ascii="Book Antiqua" w:hAnsi="Book Antiqua"/>
          <w:b/>
          <w:sz w:val="24"/>
          <w:szCs w:val="24"/>
        </w:rPr>
        <w:t>d</w:t>
      </w:r>
      <w:r w:rsidRPr="006A3553">
        <w:rPr>
          <w:rFonts w:ascii="Book Antiqua" w:hAnsi="Book Antiqua"/>
          <w:b/>
          <w:sz w:val="24"/>
          <w:szCs w:val="24"/>
        </w:rPr>
        <w:t>isease</w:t>
      </w:r>
    </w:p>
    <w:p w14:paraId="0427AA7F" w14:textId="35F8F9D5" w:rsidR="003B6439" w:rsidRPr="006A3553" w:rsidRDefault="003B64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B9525C4" w14:textId="22F2DAF2" w:rsidR="004A3AB7" w:rsidRPr="006A3553" w:rsidRDefault="004A3AB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6A3553">
        <w:rPr>
          <w:rFonts w:ascii="Book Antiqua" w:hAnsi="Book Antiqua"/>
          <w:sz w:val="24"/>
          <w:szCs w:val="24"/>
        </w:rPr>
        <w:t>Elleisy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N </w:t>
      </w:r>
      <w:r w:rsidRPr="006A3553">
        <w:rPr>
          <w:rFonts w:ascii="Book Antiqua" w:hAnsi="Book Antiqua"/>
          <w:i/>
          <w:iCs/>
          <w:sz w:val="24"/>
          <w:szCs w:val="24"/>
        </w:rPr>
        <w:t>et al</w:t>
      </w:r>
      <w:r w:rsidRPr="006A3553">
        <w:rPr>
          <w:rFonts w:ascii="Book Antiqua" w:hAnsi="Book Antiqua"/>
          <w:sz w:val="24"/>
          <w:szCs w:val="24"/>
        </w:rPr>
        <w:t>.</w:t>
      </w:r>
      <w:r w:rsidR="00371400" w:rsidRPr="006A3553">
        <w:rPr>
          <w:rFonts w:ascii="Book Antiqua" w:hAnsi="Book Antiqua"/>
          <w:sz w:val="24"/>
          <w:szCs w:val="24"/>
        </w:rPr>
        <w:t xml:space="preserve"> </w:t>
      </w:r>
      <w:r w:rsidR="00371400" w:rsidRPr="006A3553">
        <w:rPr>
          <w:rFonts w:ascii="Book Antiqua" w:hAnsi="Book Antiqua"/>
          <w:bCs/>
          <w:sz w:val="24"/>
          <w:szCs w:val="24"/>
        </w:rPr>
        <w:t>Single-nucleotide polymorphisms and Crohn’s disease</w:t>
      </w:r>
    </w:p>
    <w:p w14:paraId="28ABAEB1" w14:textId="77777777" w:rsidR="004A3AB7" w:rsidRPr="006A3553" w:rsidRDefault="004A3AB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0C477D9" w14:textId="577865E1" w:rsidR="003B6439" w:rsidRPr="006A3553" w:rsidRDefault="003B64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6A3553">
        <w:rPr>
          <w:rFonts w:ascii="Book Antiqua" w:hAnsi="Book Antiqua"/>
          <w:sz w:val="24"/>
          <w:szCs w:val="24"/>
          <w:lang w:val="de-DE"/>
        </w:rPr>
        <w:t>Nag</w:t>
      </w:r>
      <w:r w:rsidR="004B5CA1" w:rsidRPr="006A3553">
        <w:rPr>
          <w:rFonts w:ascii="Book Antiqua" w:hAnsi="Book Antiqua"/>
          <w:sz w:val="24"/>
          <w:szCs w:val="24"/>
          <w:lang w:val="de-DE"/>
        </w:rPr>
        <w:t>i</w:t>
      </w:r>
      <w:r w:rsidRPr="006A3553">
        <w:rPr>
          <w:rFonts w:ascii="Book Antiqua" w:hAnsi="Book Antiqua"/>
          <w:sz w:val="24"/>
          <w:szCs w:val="24"/>
          <w:lang w:val="de-DE"/>
        </w:rPr>
        <w:t xml:space="preserve"> Elleisy, </w:t>
      </w:r>
      <w:r w:rsidR="00F975F2" w:rsidRPr="006A3553">
        <w:rPr>
          <w:rFonts w:ascii="Book Antiqua" w:hAnsi="Book Antiqua"/>
          <w:sz w:val="24"/>
          <w:szCs w:val="24"/>
          <w:lang w:val="de-DE"/>
        </w:rPr>
        <w:t xml:space="preserve">Sarah Rohde, </w:t>
      </w:r>
      <w:r w:rsidRPr="006A3553">
        <w:rPr>
          <w:rFonts w:ascii="Book Antiqua" w:hAnsi="Book Antiqua"/>
          <w:sz w:val="24"/>
          <w:szCs w:val="24"/>
          <w:lang w:val="de-DE"/>
        </w:rPr>
        <w:t>Astrid Huth, Nicole Gittel,</w:t>
      </w:r>
      <w:r w:rsidR="00072CA4" w:rsidRPr="006A3553">
        <w:rPr>
          <w:rFonts w:ascii="Book Antiqua" w:hAnsi="Book Antiqua"/>
          <w:sz w:val="24"/>
          <w:szCs w:val="24"/>
          <w:lang w:val="de-DE"/>
        </w:rPr>
        <w:t xml:space="preserve"> </w:t>
      </w:r>
      <w:r w:rsidRPr="006A3553">
        <w:rPr>
          <w:rFonts w:ascii="Book Antiqua" w:hAnsi="Book Antiqua"/>
          <w:sz w:val="24"/>
          <w:szCs w:val="24"/>
          <w:lang w:val="de-DE"/>
        </w:rPr>
        <w:t>Änne Glass, Steffen Möller, Georg Lamprecht</w:t>
      </w:r>
      <w:r w:rsidR="00F975F2" w:rsidRPr="006A3553">
        <w:rPr>
          <w:rFonts w:ascii="Book Antiqua" w:hAnsi="Book Antiqua"/>
          <w:sz w:val="24"/>
          <w:szCs w:val="24"/>
          <w:lang w:val="de-DE"/>
        </w:rPr>
        <w:t xml:space="preserve">, </w:t>
      </w:r>
      <w:r w:rsidR="00224DB8" w:rsidRPr="006A3553">
        <w:rPr>
          <w:rFonts w:ascii="Book Antiqua" w:hAnsi="Book Antiqua"/>
          <w:sz w:val="24"/>
          <w:szCs w:val="24"/>
          <w:lang w:val="de-DE"/>
        </w:rPr>
        <w:t>Holger Schäffler</w:t>
      </w:r>
      <w:r w:rsidR="00112E8C" w:rsidRPr="006A3553">
        <w:rPr>
          <w:rFonts w:ascii="Book Antiqua" w:hAnsi="Book Antiqua"/>
          <w:sz w:val="24"/>
          <w:szCs w:val="24"/>
          <w:lang w:val="de-DE"/>
        </w:rPr>
        <w:t xml:space="preserve">, </w:t>
      </w:r>
      <w:r w:rsidR="00E65368" w:rsidRPr="006A3553">
        <w:rPr>
          <w:rFonts w:ascii="Book Antiqua" w:hAnsi="Book Antiqua"/>
          <w:sz w:val="24"/>
          <w:szCs w:val="24"/>
          <w:lang w:val="de-DE"/>
        </w:rPr>
        <w:t>Robert</w:t>
      </w:r>
      <w:r w:rsidR="00312DF4" w:rsidRPr="006A3553">
        <w:rPr>
          <w:rFonts w:ascii="Book Antiqua" w:hAnsi="Book Antiqua"/>
          <w:sz w:val="24"/>
          <w:szCs w:val="24"/>
          <w:lang w:val="de-DE"/>
        </w:rPr>
        <w:t xml:space="preserve"> </w:t>
      </w:r>
      <w:r w:rsidR="00072CA4" w:rsidRPr="006A3553">
        <w:rPr>
          <w:rFonts w:ascii="Book Antiqua" w:hAnsi="Book Antiqua"/>
          <w:sz w:val="24"/>
          <w:szCs w:val="24"/>
          <w:lang w:val="de-DE"/>
        </w:rPr>
        <w:t>Jaster</w:t>
      </w:r>
    </w:p>
    <w:p w14:paraId="0C366BAB" w14:textId="77777777" w:rsidR="003B6439" w:rsidRPr="006A3553" w:rsidRDefault="003B64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de-DE"/>
        </w:rPr>
      </w:pPr>
    </w:p>
    <w:p w14:paraId="1ECD3C91" w14:textId="6588C5E0" w:rsidR="00072CA4" w:rsidRPr="006A3553" w:rsidRDefault="00072CA4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Nag</w:t>
      </w:r>
      <w:r w:rsidR="004B5CA1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i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Elleisy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, </w:t>
      </w:r>
      <w:r w:rsidR="00224DB8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Sarah Rohde, </w:t>
      </w:r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Astrid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Huth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, Nicole</w:t>
      </w:r>
      <w:r w:rsidR="00312DF4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Gittel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, Georg Lamprecht</w:t>
      </w:r>
      <w:r w:rsidR="00224DB8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, Holger </w:t>
      </w:r>
      <w:proofErr w:type="spellStart"/>
      <w:r w:rsidR="00224DB8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Schäffler</w:t>
      </w:r>
      <w:proofErr w:type="spellEnd"/>
      <w:r w:rsidR="00211533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, </w:t>
      </w:r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Robert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Jaster</w:t>
      </w:r>
      <w:proofErr w:type="spellEnd"/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 xml:space="preserve">, Department of Medicine II, Division of Gastroenterology, Rostock University Medical </w:t>
      </w:r>
      <w:proofErr w:type="spellStart"/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>Center</w:t>
      </w:r>
      <w:proofErr w:type="spellEnd"/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>, Rostock</w:t>
      </w:r>
      <w:r w:rsidR="00312DF4" w:rsidRPr="006A3553">
        <w:rPr>
          <w:rFonts w:ascii="Book Antiqua" w:eastAsia="Calibri" w:hAnsi="Book Antiqua" w:cs="Times New Roman"/>
          <w:sz w:val="24"/>
          <w:szCs w:val="24"/>
          <w:lang w:val="en-GB"/>
        </w:rPr>
        <w:t xml:space="preserve"> 18057</w:t>
      </w:r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>, Germany</w:t>
      </w:r>
    </w:p>
    <w:p w14:paraId="325CD0C5" w14:textId="77777777" w:rsidR="00312DF4" w:rsidRPr="006A3553" w:rsidRDefault="00312DF4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14:paraId="4299438E" w14:textId="1E312EF8" w:rsidR="00072CA4" w:rsidRPr="006A3553" w:rsidRDefault="00072CA4" w:rsidP="006A3553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Änne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Glass</w:t>
      </w:r>
      <w:r w:rsidR="00211533"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, </w:t>
      </w:r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Steffen </w:t>
      </w:r>
      <w:proofErr w:type="spellStart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Möller</w:t>
      </w:r>
      <w:proofErr w:type="spellEnd"/>
      <w:r w:rsidRPr="006A3553">
        <w:rPr>
          <w:rFonts w:ascii="Book Antiqua" w:eastAsia="Calibri" w:hAnsi="Book Antiqua" w:cs="Times New Roman"/>
          <w:b/>
          <w:sz w:val="24"/>
          <w:szCs w:val="24"/>
          <w:lang w:val="en-GB"/>
        </w:rPr>
        <w:t>,</w:t>
      </w:r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 xml:space="preserve"> Institute for Biostatistics and Informatics in Medicine and Ageing Research, Rostock</w:t>
      </w:r>
      <w:r w:rsidR="00312DF4" w:rsidRPr="006A3553">
        <w:rPr>
          <w:rFonts w:ascii="Book Antiqua" w:eastAsia="Calibri" w:hAnsi="Book Antiqua" w:cs="Times New Roman"/>
          <w:sz w:val="24"/>
          <w:szCs w:val="24"/>
          <w:lang w:val="en-GB"/>
        </w:rPr>
        <w:t xml:space="preserve"> 18057</w:t>
      </w:r>
      <w:r w:rsidRPr="006A3553">
        <w:rPr>
          <w:rFonts w:ascii="Book Antiqua" w:eastAsia="Calibri" w:hAnsi="Book Antiqua" w:cs="Times New Roman"/>
          <w:sz w:val="24"/>
          <w:szCs w:val="24"/>
          <w:lang w:val="en-GB"/>
        </w:rPr>
        <w:t>, Germany</w:t>
      </w:r>
    </w:p>
    <w:p w14:paraId="385A8AC2" w14:textId="77777777" w:rsidR="00145C7A" w:rsidRPr="006A3553" w:rsidRDefault="00145C7A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</w:pPr>
    </w:p>
    <w:p w14:paraId="386107B8" w14:textId="192F16CB" w:rsidR="00072CA4" w:rsidRPr="006A3553" w:rsidRDefault="00072CA4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>Author contribution</w:t>
      </w:r>
      <w:r w:rsidR="00312DF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>s</w:t>
      </w: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: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Schäffler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H, Rohde S and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R designed the study;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Huth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A,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Schäffler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H and Lamprecht G took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reponsibility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for patient care and follow-up; </w:t>
      </w:r>
      <w:proofErr w:type="spellStart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Elleisy</w:t>
      </w:r>
      <w:proofErr w:type="spellEnd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N, Rohde S</w:t>
      </w:r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</w:t>
      </w:r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and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R performed the experiments;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Gittel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N,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Huth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A and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Schäffler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H collected the samples and performed the clinical characterisation of the patients; </w:t>
      </w:r>
      <w:proofErr w:type="spellStart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Elleisy</w:t>
      </w:r>
      <w:proofErr w:type="spellEnd"/>
      <w:r w:rsidR="00312DF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</w:t>
      </w:r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N, </w:t>
      </w:r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Glass Ä, </w:t>
      </w:r>
      <w:proofErr w:type="spellStart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Möller</w:t>
      </w:r>
      <w:proofErr w:type="spellEnd"/>
      <w:r w:rsidR="00F875E3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S </w:t>
      </w:r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and </w:t>
      </w:r>
      <w:proofErr w:type="spellStart"/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</w:t>
      </w:r>
      <w:proofErr w:type="spellEnd"/>
      <w:r w:rsidR="00224DB8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R </w:t>
      </w:r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performed the biostatistics; all authors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analyzed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the data; </w:t>
      </w:r>
      <w:proofErr w:type="spellStart"/>
      <w:r w:rsidR="00CE2E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Schäffler</w:t>
      </w:r>
      <w:proofErr w:type="spellEnd"/>
      <w:r w:rsidR="00CE2E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H</w:t>
      </w:r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and </w:t>
      </w:r>
      <w:proofErr w:type="spellStart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</w:t>
      </w:r>
      <w:proofErr w:type="spellEnd"/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R wrote the manuscript</w:t>
      </w:r>
      <w:r w:rsidR="00DF3D78" w:rsidRPr="00DF3D78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</w:t>
      </w:r>
      <w:r w:rsidR="00DF3D78" w:rsidRPr="00DF3D78">
        <w:rPr>
          <w:rFonts w:ascii="Book Antiqua" w:hAnsi="Book Antiqua" w:cs="Times New Roman"/>
          <w:sz w:val="24"/>
          <w:szCs w:val="24"/>
          <w:lang w:val="en-GB" w:eastAsia="zh-CN"/>
        </w:rPr>
        <w:t>and</w:t>
      </w:r>
      <w:r w:rsidR="00F975F2" w:rsidRPr="00DF3D78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</w:t>
      </w:r>
      <w:r w:rsidR="00F975F2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contributed equally and share senior authorship.</w:t>
      </w:r>
    </w:p>
    <w:p w14:paraId="7D71E7A5" w14:textId="77777777" w:rsidR="00072CA4" w:rsidRPr="006A3553" w:rsidRDefault="00072CA4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</w:p>
    <w:p w14:paraId="1744E8FE" w14:textId="6E6A90DB" w:rsidR="00072CA4" w:rsidRPr="006A3553" w:rsidRDefault="00072CA4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Calibri"/>
          <w:sz w:val="24"/>
          <w:szCs w:val="24"/>
          <w:lang w:eastAsia="de-DE"/>
        </w:rPr>
      </w:pPr>
      <w:r w:rsidRPr="006A3553">
        <w:rPr>
          <w:rFonts w:ascii="Book Antiqua" w:eastAsia="宋体" w:hAnsi="Book Antiqua" w:cs="Times New Roman"/>
          <w:b/>
          <w:sz w:val="24"/>
          <w:szCs w:val="24"/>
        </w:rPr>
        <w:t>Supported by</w:t>
      </w:r>
      <w:r w:rsidRPr="006A3553">
        <w:rPr>
          <w:rFonts w:ascii="Book Antiqua" w:eastAsia="Times New Roman" w:hAnsi="Book Antiqua" w:cs="Times New Roman"/>
          <w:b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the Damp-Foundation</w:t>
      </w:r>
      <w:r w:rsidR="00312DF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, No.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Calibri"/>
          <w:sz w:val="24"/>
          <w:szCs w:val="24"/>
          <w:lang w:eastAsia="de-DE"/>
        </w:rPr>
        <w:t>2016-04</w:t>
      </w:r>
      <w:r w:rsidR="00312DF4" w:rsidRPr="006A3553">
        <w:rPr>
          <w:rFonts w:ascii="Book Antiqua" w:eastAsia="Times New Roman" w:hAnsi="Book Antiqua" w:cs="Calibri"/>
          <w:sz w:val="24"/>
          <w:szCs w:val="24"/>
          <w:lang w:eastAsia="de-DE"/>
        </w:rPr>
        <w:t>.</w:t>
      </w:r>
    </w:p>
    <w:p w14:paraId="09440C09" w14:textId="77777777" w:rsidR="001959AB" w:rsidRPr="006A3553" w:rsidRDefault="001959AB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Calibri"/>
          <w:sz w:val="24"/>
          <w:szCs w:val="24"/>
          <w:lang w:eastAsia="de-DE"/>
        </w:rPr>
      </w:pPr>
    </w:p>
    <w:p w14:paraId="49AB0B99" w14:textId="4B22077C" w:rsidR="00072CA4" w:rsidRPr="006A3553" w:rsidRDefault="001959AB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  <w:r w:rsidRPr="006A3553">
        <w:rPr>
          <w:rFonts w:ascii="Book Antiqua" w:hAnsi="Book Antiqua" w:cstheme="minorHAnsi"/>
          <w:b/>
          <w:sz w:val="24"/>
          <w:szCs w:val="24"/>
          <w:lang w:val="hu-HU"/>
        </w:rPr>
        <w:lastRenderedPageBreak/>
        <w:t>Corresponding author:</w:t>
      </w:r>
      <w:r w:rsidR="00072CA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 Robert </w:t>
      </w:r>
      <w:proofErr w:type="spellStart"/>
      <w:r w:rsidR="00072CA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>Jaster</w:t>
      </w:r>
      <w:proofErr w:type="spellEnd"/>
      <w:r w:rsidR="00072CA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, </w:t>
      </w: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MD, Academic Research, Professor, Senior Postdoctoral Fellow, Senior Scientist, </w:t>
      </w:r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Department of Medicine II, Division of Gastroenterology, </w:t>
      </w:r>
      <w:r w:rsidR="00072CA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Rostock University Medical Center</w:t>
      </w:r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, E.-</w:t>
      </w:r>
      <w:proofErr w:type="spellStart"/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Heydemann</w:t>
      </w:r>
      <w:proofErr w:type="spellEnd"/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-Str. 6, Rostock</w:t>
      </w:r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18057</w:t>
      </w:r>
      <w:r w:rsidR="00072CA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, Germany</w:t>
      </w:r>
      <w:r w:rsidR="00072CA4" w:rsidRPr="006A3553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. </w:t>
      </w:r>
      <w:r w:rsidRPr="006A3553">
        <w:rPr>
          <w:rFonts w:ascii="Book Antiqua" w:eastAsia="宋体" w:hAnsi="Book Antiqua" w:cs="Times New Roman"/>
          <w:sz w:val="24"/>
          <w:szCs w:val="24"/>
          <w:lang w:val="en-GB" w:eastAsia="zh-CN"/>
        </w:rPr>
        <w:t>robert.</w:t>
      </w:r>
      <w:r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jaster@med.uni-rostock.de</w:t>
      </w:r>
    </w:p>
    <w:p w14:paraId="048A0F4B" w14:textId="3EBC780C" w:rsidR="00145C7A" w:rsidRPr="006A3553" w:rsidRDefault="00145C7A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</w:p>
    <w:p w14:paraId="073043A6" w14:textId="7A039663" w:rsidR="001959AB" w:rsidRPr="006A3553" w:rsidRDefault="001959AB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eastAsia="zh-CN"/>
        </w:rPr>
      </w:pPr>
      <w:bookmarkStart w:id="0" w:name="OLE_LINK75"/>
      <w:bookmarkStart w:id="1" w:name="OLE_LINK76"/>
      <w:bookmarkStart w:id="2" w:name="OLE_LINK269"/>
      <w:bookmarkStart w:id="3" w:name="OLE_LINK239"/>
      <w:r w:rsidRPr="006A3553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Received: </w:t>
      </w:r>
      <w:r w:rsidRPr="006A3553">
        <w:rPr>
          <w:rFonts w:ascii="Book Antiqua" w:hAnsi="Book Antiqua"/>
          <w:kern w:val="2"/>
          <w:sz w:val="24"/>
          <w:szCs w:val="24"/>
          <w:lang w:eastAsia="zh-CN"/>
        </w:rPr>
        <w:t>February 4, 2020</w:t>
      </w:r>
    </w:p>
    <w:p w14:paraId="619FE143" w14:textId="2DFEDCF2" w:rsidR="001959AB" w:rsidRPr="006A3553" w:rsidRDefault="001959AB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Revised: </w:t>
      </w:r>
      <w:r w:rsidRPr="006A3553">
        <w:rPr>
          <w:rFonts w:ascii="Book Antiqua" w:hAnsi="Book Antiqua"/>
          <w:kern w:val="2"/>
          <w:sz w:val="24"/>
          <w:szCs w:val="24"/>
          <w:lang w:eastAsia="zh-CN"/>
        </w:rPr>
        <w:t>April 13, 2020</w:t>
      </w:r>
    </w:p>
    <w:p w14:paraId="4D91BCC1" w14:textId="60F7AB70" w:rsidR="001959AB" w:rsidRPr="006A3553" w:rsidRDefault="001959AB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kern w:val="2"/>
          <w:sz w:val="24"/>
          <w:szCs w:val="24"/>
          <w:lang w:eastAsia="zh-CN"/>
        </w:rPr>
        <w:t>Accepted:</w:t>
      </w:r>
      <w:r w:rsidR="007F55E5" w:rsidRPr="007F55E5">
        <w:t xml:space="preserve"> </w:t>
      </w:r>
      <w:r w:rsidR="007F55E5" w:rsidRPr="007F55E5">
        <w:rPr>
          <w:rFonts w:ascii="Book Antiqua" w:hAnsi="Book Antiqua"/>
          <w:bCs/>
          <w:kern w:val="2"/>
          <w:sz w:val="24"/>
          <w:szCs w:val="24"/>
          <w:lang w:eastAsia="zh-CN"/>
        </w:rPr>
        <w:t>April 29, 2020</w:t>
      </w:r>
      <w:r w:rsidRPr="007F55E5">
        <w:rPr>
          <w:rFonts w:ascii="Book Antiqua" w:hAnsi="Book Antiqua"/>
          <w:bCs/>
          <w:sz w:val="24"/>
          <w:szCs w:val="24"/>
        </w:rPr>
        <w:t xml:space="preserve"> </w:t>
      </w:r>
    </w:p>
    <w:p w14:paraId="6B0303CA" w14:textId="77777777" w:rsidR="001959AB" w:rsidRPr="006A3553" w:rsidRDefault="001959AB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kern w:val="2"/>
          <w:sz w:val="24"/>
          <w:szCs w:val="24"/>
          <w:lang w:eastAsia="zh-CN"/>
        </w:rPr>
        <w:t>Published online:</w:t>
      </w:r>
      <w:bookmarkEnd w:id="0"/>
      <w:bookmarkEnd w:id="1"/>
      <w:bookmarkEnd w:id="2"/>
      <w:bookmarkEnd w:id="3"/>
    </w:p>
    <w:p w14:paraId="5F562758" w14:textId="77777777" w:rsidR="001959AB" w:rsidRPr="006A3553" w:rsidRDefault="001959AB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</w:p>
    <w:p w14:paraId="1C80B2D8" w14:textId="77777777" w:rsidR="004E2035" w:rsidRPr="006A3553" w:rsidRDefault="004E2035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</w:rPr>
        <w:br w:type="page"/>
      </w:r>
    </w:p>
    <w:p w14:paraId="1059D5F3" w14:textId="7385EB32" w:rsidR="00826565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</w:rPr>
        <w:lastRenderedPageBreak/>
        <w:t>Abstract</w:t>
      </w:r>
    </w:p>
    <w:p w14:paraId="739CE47B" w14:textId="3B37C43F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kern w:val="24"/>
          <w:sz w:val="24"/>
          <w:szCs w:val="24"/>
          <w:lang w:eastAsia="zh-CN"/>
        </w:rPr>
      </w:pPr>
      <w:r w:rsidRPr="006A3553">
        <w:rPr>
          <w:rFonts w:ascii="Book Antiqua" w:hAnsi="Book Antiqua" w:cs="Arial"/>
          <w:bCs/>
          <w:kern w:val="24"/>
          <w:sz w:val="24"/>
          <w:szCs w:val="24"/>
          <w:lang w:eastAsia="zh-CN"/>
        </w:rPr>
        <w:t>BACKGROUND</w:t>
      </w:r>
    </w:p>
    <w:p w14:paraId="27D2C466" w14:textId="77777777" w:rsidR="00A009BF" w:rsidRPr="006A3553" w:rsidRDefault="00A009BF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 xml:space="preserve">Crohn’s disease (CD) is characterized by a multifactorial etiology and a significant impact of genetic traits. While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NOD2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mutations represent well established risk factors of CD, the role of other genes is incompletely understood.</w:t>
      </w:r>
    </w:p>
    <w:p w14:paraId="0C1860E5" w14:textId="77777777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kern w:val="24"/>
          <w:sz w:val="24"/>
          <w:szCs w:val="24"/>
          <w:lang w:eastAsia="zh-CN"/>
        </w:rPr>
      </w:pPr>
    </w:p>
    <w:p w14:paraId="617177B5" w14:textId="0AF48CEE" w:rsidR="00A756EF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iCs/>
          <w:kern w:val="24"/>
          <w:sz w:val="24"/>
          <w:szCs w:val="24"/>
        </w:rPr>
      </w:pPr>
      <w:r w:rsidRPr="006A3553">
        <w:rPr>
          <w:rFonts w:ascii="Book Antiqua" w:hAnsi="Book Antiqua" w:cs="Arial"/>
          <w:bCs/>
          <w:iCs/>
          <w:kern w:val="24"/>
          <w:sz w:val="24"/>
          <w:szCs w:val="24"/>
        </w:rPr>
        <w:t>AIM</w:t>
      </w:r>
    </w:p>
    <w:p w14:paraId="590A4FF1" w14:textId="0BF26154" w:rsidR="009E6F83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  <w:r w:rsidRPr="006A3553">
        <w:rPr>
          <w:rFonts w:ascii="Book Antiqua" w:hAnsi="Book Antiqua" w:cs="Arial"/>
          <w:kern w:val="24"/>
          <w:sz w:val="24"/>
          <w:szCs w:val="24"/>
        </w:rPr>
        <w:t>T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o challenge the hypothesis that 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 xml:space="preserve">single </w:t>
      </w:r>
      <w:r w:rsidR="00E05FB2" w:rsidRPr="006A3553">
        <w:rPr>
          <w:rFonts w:ascii="Book Antiqua" w:hAnsi="Book Antiqua" w:cs="Arial"/>
          <w:kern w:val="24"/>
          <w:sz w:val="24"/>
          <w:szCs w:val="24"/>
        </w:rPr>
        <w:t>nucleotide</w:t>
      </w:r>
      <w:r w:rsidR="00B302CD" w:rsidRPr="006A3553">
        <w:rPr>
          <w:rFonts w:ascii="Book Antiqua" w:hAnsi="Book Antiqua" w:cs="Arial"/>
          <w:kern w:val="24"/>
          <w:sz w:val="24"/>
          <w:szCs w:val="24"/>
        </w:rPr>
        <w:t xml:space="preserve"> 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polymorphisms 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 xml:space="preserve">(SNPs) 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in the genes </w:t>
      </w:r>
      <w:r w:rsidR="009E6F83" w:rsidRPr="006A3553">
        <w:rPr>
          <w:rFonts w:ascii="Book Antiqua" w:hAnsi="Book Antiqua" w:cs="Arial"/>
          <w:i/>
          <w:kern w:val="24"/>
          <w:sz w:val="24"/>
          <w:szCs w:val="24"/>
        </w:rPr>
        <w:t>CLEC5A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 and </w:t>
      </w:r>
      <w:r w:rsidR="009E6F83" w:rsidRPr="006A3553">
        <w:rPr>
          <w:rFonts w:ascii="Book Antiqua" w:hAnsi="Book Antiqua" w:cs="Arial"/>
          <w:i/>
          <w:kern w:val="24"/>
          <w:sz w:val="24"/>
          <w:szCs w:val="24"/>
        </w:rPr>
        <w:t>CLEC7A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, two members of the C-type lectin </w:t>
      </w:r>
      <w:r w:rsidR="0022206A" w:rsidRPr="006A3553">
        <w:rPr>
          <w:rFonts w:ascii="Book Antiqua" w:hAnsi="Book Antiqua" w:cs="Arial"/>
          <w:kern w:val="24"/>
          <w:sz w:val="24"/>
          <w:szCs w:val="24"/>
        </w:rPr>
        <w:t>domain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 family </w:t>
      </w:r>
      <w:r w:rsidR="00B302CD" w:rsidRPr="006A3553">
        <w:rPr>
          <w:rFonts w:ascii="Book Antiqua" w:hAnsi="Book Antiqua" w:cs="Arial"/>
          <w:kern w:val="24"/>
          <w:sz w:val="24"/>
          <w:szCs w:val="24"/>
        </w:rPr>
        <w:t xml:space="preserve">of pattern recognition receptors, </w:t>
      </w:r>
      <w:r w:rsidR="009E6F83" w:rsidRPr="006A3553">
        <w:rPr>
          <w:rFonts w:ascii="Book Antiqua" w:hAnsi="Book Antiqua" w:cs="Arial"/>
          <w:kern w:val="24"/>
          <w:sz w:val="24"/>
          <w:szCs w:val="24"/>
        </w:rPr>
        <w:t xml:space="preserve">may be associated with </w:t>
      </w:r>
      <w:r w:rsidR="00B302CD" w:rsidRPr="006A3553">
        <w:rPr>
          <w:rFonts w:ascii="Book Antiqua" w:hAnsi="Book Antiqua" w:cs="Arial"/>
          <w:kern w:val="24"/>
          <w:sz w:val="24"/>
          <w:szCs w:val="24"/>
        </w:rPr>
        <w:t>CD.</w:t>
      </w:r>
    </w:p>
    <w:p w14:paraId="4469ECCA" w14:textId="77777777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</w:p>
    <w:p w14:paraId="7BA9ADAF" w14:textId="77777777" w:rsidR="00A756EF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iCs/>
          <w:kern w:val="24"/>
          <w:sz w:val="24"/>
          <w:szCs w:val="24"/>
        </w:rPr>
      </w:pPr>
      <w:r w:rsidRPr="006A3553">
        <w:rPr>
          <w:rFonts w:ascii="Book Antiqua" w:hAnsi="Book Antiqua" w:cs="Arial"/>
          <w:bCs/>
          <w:iCs/>
          <w:kern w:val="24"/>
          <w:sz w:val="24"/>
          <w:szCs w:val="24"/>
        </w:rPr>
        <w:t>METHODS</w:t>
      </w:r>
    </w:p>
    <w:p w14:paraId="37790A4F" w14:textId="4CC13858" w:rsidR="00B302CD" w:rsidRPr="006A3553" w:rsidRDefault="00B302CD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  <w:r w:rsidRPr="006A3553">
        <w:rPr>
          <w:rFonts w:ascii="Book Antiqua" w:hAnsi="Book Antiqua" w:cs="Arial"/>
          <w:kern w:val="24"/>
          <w:sz w:val="24"/>
          <w:szCs w:val="24"/>
        </w:rPr>
        <w:t>SNP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>s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 in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>CLEC5A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,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>CLEC7A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 and the known CD risk gene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 xml:space="preserve">NOD2 </w:t>
      </w:r>
      <w:r w:rsidRPr="006A3553">
        <w:rPr>
          <w:rFonts w:ascii="Book Antiqua" w:hAnsi="Book Antiqua" w:cs="Arial"/>
          <w:kern w:val="24"/>
          <w:sz w:val="24"/>
          <w:szCs w:val="24"/>
        </w:rPr>
        <w:t>were studied using real time PCR-based SNP assays. Therefore, DNA samples from 175 patients and 157 healthy donors were employed. Genotyping data were correlated with clinical characteri</w:t>
      </w:r>
      <w:r w:rsidR="00E05FB2" w:rsidRPr="006A3553">
        <w:rPr>
          <w:rFonts w:ascii="Book Antiqua" w:hAnsi="Book Antiqua" w:cs="Arial"/>
          <w:kern w:val="24"/>
          <w:sz w:val="24"/>
          <w:szCs w:val="24"/>
        </w:rPr>
        <w:t>sti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cs of the patients and the results of gene expression </w:t>
      </w:r>
      <w:r w:rsidR="00522172" w:rsidRPr="006A3553">
        <w:rPr>
          <w:rFonts w:ascii="Book Antiqua" w:hAnsi="Book Antiqua" w:cs="Arial"/>
          <w:kern w:val="24"/>
          <w:sz w:val="24"/>
          <w:szCs w:val="24"/>
        </w:rPr>
        <w:t xml:space="preserve">data </w:t>
      </w:r>
      <w:r w:rsidRPr="006A3553">
        <w:rPr>
          <w:rFonts w:ascii="Book Antiqua" w:hAnsi="Book Antiqua" w:cs="Arial"/>
          <w:kern w:val="24"/>
          <w:sz w:val="24"/>
          <w:szCs w:val="24"/>
        </w:rPr>
        <w:t>analyses</w:t>
      </w:r>
      <w:r w:rsidR="0029747C" w:rsidRPr="006A3553">
        <w:rPr>
          <w:rFonts w:ascii="Book Antiqua" w:hAnsi="Book Antiqua" w:cs="Arial"/>
          <w:kern w:val="24"/>
          <w:sz w:val="24"/>
          <w:szCs w:val="24"/>
        </w:rPr>
        <w:t>.</w:t>
      </w:r>
    </w:p>
    <w:p w14:paraId="2B9B57D8" w14:textId="77777777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</w:p>
    <w:p w14:paraId="398D5CBB" w14:textId="77777777" w:rsidR="00A756EF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iCs/>
          <w:kern w:val="24"/>
          <w:sz w:val="24"/>
          <w:szCs w:val="24"/>
        </w:rPr>
      </w:pPr>
      <w:r w:rsidRPr="006A3553">
        <w:rPr>
          <w:rFonts w:ascii="Book Antiqua" w:hAnsi="Book Antiqua" w:cs="Arial"/>
          <w:bCs/>
          <w:iCs/>
          <w:kern w:val="24"/>
          <w:sz w:val="24"/>
          <w:szCs w:val="24"/>
        </w:rPr>
        <w:t>RESULTS</w:t>
      </w:r>
    </w:p>
    <w:p w14:paraId="7F2B3836" w14:textId="37AEA131" w:rsidR="006C1CEE" w:rsidRPr="006A3553" w:rsidRDefault="0029747C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In ac</w:t>
      </w:r>
      <w:r w:rsidR="00E95F79" w:rsidRPr="006A3553">
        <w:rPr>
          <w:rFonts w:ascii="Book Antiqua" w:hAnsi="Book Antiqua"/>
          <w:sz w:val="24"/>
          <w:szCs w:val="24"/>
        </w:rPr>
        <w:t>cordance with prev</w:t>
      </w:r>
      <w:r w:rsidRPr="006A3553">
        <w:rPr>
          <w:rFonts w:ascii="Book Antiqua" w:hAnsi="Book Antiqua"/>
          <w:sz w:val="24"/>
          <w:szCs w:val="24"/>
        </w:rPr>
        <w:t>i</w:t>
      </w:r>
      <w:r w:rsidR="00E95F79" w:rsidRPr="006A3553">
        <w:rPr>
          <w:rFonts w:ascii="Book Antiqua" w:hAnsi="Book Antiqua"/>
          <w:sz w:val="24"/>
          <w:szCs w:val="24"/>
        </w:rPr>
        <w:t xml:space="preserve">ous studies, </w:t>
      </w:r>
      <w:r w:rsidRPr="006A3553">
        <w:rPr>
          <w:rFonts w:ascii="Book Antiqua" w:hAnsi="Book Antiqua"/>
          <w:sz w:val="24"/>
          <w:szCs w:val="24"/>
        </w:rPr>
        <w:t xml:space="preserve">rs2066844 and rs2066847 in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were found to be significantly associated with CD (</w:t>
      </w:r>
      <w:r w:rsidR="00A25EC0" w:rsidRPr="006A3553">
        <w:rPr>
          <w:rFonts w:ascii="Book Antiqua" w:hAnsi="Book Antiqua"/>
          <w:sz w:val="24"/>
          <w:szCs w:val="24"/>
        </w:rPr>
        <w:t xml:space="preserve">allelic </w:t>
      </w:r>
      <w:r w:rsidR="00794A85" w:rsidRPr="006A3553">
        <w:rPr>
          <w:rFonts w:ascii="Book Antiqua" w:hAnsi="Book Antiqua"/>
          <w:i/>
          <w:iCs/>
          <w:sz w:val="24"/>
          <w:szCs w:val="24"/>
        </w:rPr>
        <w:t>P</w:t>
      </w:r>
      <w:r w:rsidR="00794A85" w:rsidRPr="006A3553">
        <w:rPr>
          <w:rFonts w:ascii="Book Antiqua" w:hAnsi="Book Antiqua"/>
          <w:sz w:val="24"/>
          <w:szCs w:val="24"/>
        </w:rPr>
        <w:t xml:space="preserve"> </w:t>
      </w:r>
      <w:r w:rsidR="00E65368" w:rsidRPr="006A3553">
        <w:rPr>
          <w:rFonts w:ascii="Book Antiqua" w:hAnsi="Book Antiqua"/>
          <w:sz w:val="24"/>
          <w:szCs w:val="24"/>
        </w:rPr>
        <w:t xml:space="preserve">values = </w:t>
      </w:r>
      <w:r w:rsidR="00A25EC0" w:rsidRPr="006A3553">
        <w:rPr>
          <w:rFonts w:ascii="Book Antiqua" w:hAnsi="Book Antiqua"/>
          <w:sz w:val="24"/>
          <w:szCs w:val="24"/>
        </w:rPr>
        <w:t>0.0368</w:t>
      </w:r>
      <w:r w:rsidR="00846EAE" w:rsidRPr="006A3553">
        <w:rPr>
          <w:rFonts w:ascii="Book Antiqua" w:hAnsi="Book Antiqua"/>
          <w:sz w:val="24"/>
          <w:szCs w:val="24"/>
        </w:rPr>
        <w:t xml:space="preserve"> and 0.0474</w:t>
      </w:r>
      <w:r w:rsidRPr="006A3553">
        <w:rPr>
          <w:rFonts w:ascii="Book Antiqua" w:hAnsi="Book Antiqua"/>
          <w:sz w:val="24"/>
          <w:szCs w:val="24"/>
        </w:rPr>
        <w:t>, r</w:t>
      </w:r>
      <w:r w:rsidR="00E95F79" w:rsidRPr="006A3553">
        <w:rPr>
          <w:rFonts w:ascii="Book Antiqua" w:hAnsi="Book Antiqua"/>
          <w:sz w:val="24"/>
          <w:szCs w:val="24"/>
        </w:rPr>
        <w:t>espectively). Intriguingly, for</w:t>
      </w:r>
      <w:r w:rsidRPr="006A3553">
        <w:rPr>
          <w:rFonts w:ascii="Book Antiqua" w:hAnsi="Book Antiqua"/>
          <w:sz w:val="24"/>
          <w:szCs w:val="24"/>
        </w:rPr>
        <w:t xml:space="preserve"> genotype AA of rs1285933 in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, a </w:t>
      </w:r>
      <w:r w:rsidR="00846EAE" w:rsidRPr="006A3553">
        <w:rPr>
          <w:rFonts w:ascii="Book Antiqua" w:hAnsi="Book Antiqua"/>
          <w:sz w:val="24"/>
          <w:szCs w:val="24"/>
        </w:rPr>
        <w:t>potential</w:t>
      </w:r>
      <w:r w:rsidRPr="006A3553">
        <w:rPr>
          <w:rFonts w:ascii="Book Antiqua" w:hAnsi="Book Antiqua"/>
          <w:sz w:val="24"/>
          <w:szCs w:val="24"/>
        </w:rPr>
        <w:t xml:space="preserve"> association with CD </w:t>
      </w:r>
      <w:r w:rsidR="00E95F79" w:rsidRPr="006A3553">
        <w:rPr>
          <w:rFonts w:ascii="Book Antiqua" w:hAnsi="Book Antiqua"/>
          <w:sz w:val="24"/>
          <w:szCs w:val="24"/>
        </w:rPr>
        <w:t>(</w:t>
      </w:r>
      <w:r w:rsidR="00244BE7" w:rsidRPr="006A3553">
        <w:rPr>
          <w:rFonts w:ascii="Book Antiqua" w:hAnsi="Book Antiqua"/>
          <w:sz w:val="24"/>
          <w:szCs w:val="24"/>
        </w:rPr>
        <w:t xml:space="preserve">recessive </w:t>
      </w:r>
      <w:r w:rsidR="00794A85" w:rsidRPr="006A3553">
        <w:rPr>
          <w:rFonts w:ascii="Book Antiqua" w:hAnsi="Book Antiqua"/>
          <w:i/>
          <w:iCs/>
          <w:sz w:val="24"/>
          <w:szCs w:val="24"/>
        </w:rPr>
        <w:t>P</w:t>
      </w:r>
      <w:r w:rsidR="00D96F96">
        <w:rPr>
          <w:rFonts w:ascii="Book Antiqua" w:hAnsi="Book Antiqua"/>
          <w:sz w:val="24"/>
          <w:szCs w:val="24"/>
        </w:rPr>
        <w:t xml:space="preserve"> </w:t>
      </w:r>
      <w:r w:rsidR="00E95F79" w:rsidRPr="006A3553">
        <w:rPr>
          <w:rFonts w:ascii="Book Antiqua" w:hAnsi="Book Antiqua"/>
          <w:sz w:val="24"/>
          <w:szCs w:val="24"/>
        </w:rPr>
        <w:t>=</w:t>
      </w:r>
      <w:r w:rsidR="001F7E69" w:rsidRPr="006A3553">
        <w:rPr>
          <w:rFonts w:ascii="Book Antiqua" w:hAnsi="Book Antiqua"/>
          <w:sz w:val="24"/>
          <w:szCs w:val="24"/>
        </w:rPr>
        <w:t xml:space="preserve"> </w:t>
      </w:r>
      <w:r w:rsidR="00E95F79" w:rsidRPr="006A3553">
        <w:rPr>
          <w:rFonts w:ascii="Book Antiqua" w:hAnsi="Book Antiqua"/>
          <w:sz w:val="24"/>
          <w:szCs w:val="24"/>
        </w:rPr>
        <w:t>0.0</w:t>
      </w:r>
      <w:r w:rsidR="00846EAE" w:rsidRPr="006A3553">
        <w:rPr>
          <w:rFonts w:ascii="Book Antiqua" w:hAnsi="Book Antiqua"/>
          <w:sz w:val="24"/>
          <w:szCs w:val="24"/>
        </w:rPr>
        <w:t>523</w:t>
      </w:r>
      <w:r w:rsidR="00DF19ED" w:rsidRPr="006A3553">
        <w:rPr>
          <w:rFonts w:ascii="Book Antiqua" w:hAnsi="Book Antiqua"/>
          <w:sz w:val="24"/>
          <w:szCs w:val="24"/>
        </w:rPr>
        <w:t>; odds ratio =</w:t>
      </w:r>
      <w:r w:rsidR="00E95F79" w:rsidRPr="006A3553">
        <w:rPr>
          <w:rFonts w:ascii="Book Antiqua" w:hAnsi="Book Antiqua"/>
          <w:sz w:val="24"/>
          <w:szCs w:val="24"/>
        </w:rPr>
        <w:t xml:space="preserve"> 1.90</w:t>
      </w:r>
      <w:r w:rsidR="00DF19ED" w:rsidRPr="006A3553">
        <w:rPr>
          <w:rFonts w:ascii="Book Antiqua" w:hAnsi="Book Antiqua"/>
          <w:sz w:val="24"/>
          <w:szCs w:val="24"/>
        </w:rPr>
        <w:t xml:space="preserve">) </w:t>
      </w:r>
      <w:r w:rsidR="00DA27D5" w:rsidRPr="006A3553">
        <w:rPr>
          <w:rFonts w:ascii="Book Antiqua" w:hAnsi="Book Antiqua"/>
          <w:sz w:val="24"/>
          <w:szCs w:val="24"/>
        </w:rPr>
        <w:t>was</w:t>
      </w:r>
      <w:r w:rsidR="00E95F79" w:rsidRPr="006A3553">
        <w:rPr>
          <w:rFonts w:ascii="Book Antiqua" w:hAnsi="Book Antiqua"/>
          <w:sz w:val="24"/>
          <w:szCs w:val="24"/>
        </w:rPr>
        <w:t xml:space="preserve"> observed. There were no associations between CD and SNPs rs2078178 and rs16910631 in </w:t>
      </w:r>
      <w:r w:rsidR="00E95F79" w:rsidRPr="006A3553">
        <w:rPr>
          <w:rFonts w:ascii="Book Antiqua" w:hAnsi="Book Antiqua"/>
          <w:i/>
          <w:sz w:val="24"/>
          <w:szCs w:val="24"/>
        </w:rPr>
        <w:t>CLEC7A</w:t>
      </w:r>
      <w:r w:rsidR="00E95F79" w:rsidRPr="006A3553">
        <w:rPr>
          <w:rFonts w:ascii="Book Antiqua" w:hAnsi="Book Antiqua"/>
          <w:sz w:val="24"/>
          <w:szCs w:val="24"/>
        </w:rPr>
        <w:t>.</w:t>
      </w:r>
      <w:r w:rsidR="006C1CEE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Variants of rs1285933 had no impact on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gene expression. In contrast, genotype-dependent differences of </w:t>
      </w:r>
      <w:r w:rsidRPr="006A3553">
        <w:rPr>
          <w:rFonts w:ascii="Book Antiqua" w:hAnsi="Book Antiqua"/>
          <w:i/>
          <w:sz w:val="24"/>
          <w:szCs w:val="24"/>
        </w:rPr>
        <w:t>CXCL5</w:t>
      </w:r>
      <w:r w:rsidRPr="006A3553">
        <w:rPr>
          <w:rFonts w:ascii="Book Antiqua" w:hAnsi="Book Antiqua"/>
          <w:sz w:val="24"/>
          <w:szCs w:val="24"/>
        </w:rPr>
        <w:t xml:space="preserve"> expression in </w:t>
      </w:r>
      <w:r w:rsidR="006C1CEE" w:rsidRPr="006A3553">
        <w:rPr>
          <w:rFonts w:ascii="Book Antiqua" w:hAnsi="Book Antiqua"/>
          <w:sz w:val="24"/>
          <w:szCs w:val="24"/>
        </w:rPr>
        <w:t>peripheral blood mononuclear cells</w:t>
      </w:r>
      <w:r w:rsidRPr="006A3553">
        <w:rPr>
          <w:rFonts w:ascii="Book Antiqua" w:hAnsi="Book Antiqua"/>
          <w:sz w:val="24"/>
          <w:szCs w:val="24"/>
        </w:rPr>
        <w:t xml:space="preserve"> were observed.</w:t>
      </w:r>
      <w:r w:rsidR="00956B1B" w:rsidRPr="006A3553">
        <w:rPr>
          <w:rFonts w:ascii="Book Antiqua" w:hAnsi="Book Antiqua"/>
          <w:sz w:val="24"/>
          <w:szCs w:val="24"/>
        </w:rPr>
        <w:t xml:space="preserve"> There is no statistical interaction between the tested SNPs of </w:t>
      </w:r>
      <w:r w:rsidR="00956B1B" w:rsidRPr="006A3553">
        <w:rPr>
          <w:rFonts w:ascii="Book Antiqua" w:hAnsi="Book Antiqua"/>
          <w:i/>
          <w:iCs/>
          <w:sz w:val="24"/>
          <w:szCs w:val="24"/>
        </w:rPr>
        <w:t>NOD2</w:t>
      </w:r>
      <w:r w:rsidR="00956B1B" w:rsidRPr="006A3553">
        <w:rPr>
          <w:rFonts w:ascii="Book Antiqua" w:hAnsi="Book Antiqua"/>
          <w:sz w:val="24"/>
          <w:szCs w:val="24"/>
        </w:rPr>
        <w:t xml:space="preserve"> and </w:t>
      </w:r>
      <w:r w:rsidR="00956B1B" w:rsidRPr="006A3553">
        <w:rPr>
          <w:rFonts w:ascii="Book Antiqua" w:hAnsi="Book Antiqua"/>
          <w:i/>
          <w:iCs/>
          <w:sz w:val="24"/>
          <w:szCs w:val="24"/>
        </w:rPr>
        <w:t>CLEC5A</w:t>
      </w:r>
      <w:r w:rsidR="00956B1B" w:rsidRPr="006A3553">
        <w:rPr>
          <w:rFonts w:ascii="Book Antiqua" w:hAnsi="Book Antiqua"/>
          <w:sz w:val="24"/>
          <w:szCs w:val="24"/>
        </w:rPr>
        <w:t>, suggesting of a novel pathway contributing to the disease.</w:t>
      </w:r>
    </w:p>
    <w:p w14:paraId="1F9B3FC7" w14:textId="0185C513" w:rsidR="001F7E69" w:rsidRPr="006A3553" w:rsidRDefault="001F7E6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kern w:val="24"/>
          <w:sz w:val="24"/>
          <w:szCs w:val="24"/>
        </w:rPr>
      </w:pPr>
    </w:p>
    <w:p w14:paraId="38187E5B" w14:textId="56BCAF3B" w:rsidR="00A756EF" w:rsidRPr="006A3553" w:rsidRDefault="006C1CEE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Cs/>
          <w:iCs/>
          <w:sz w:val="24"/>
          <w:szCs w:val="24"/>
        </w:rPr>
      </w:pPr>
      <w:r w:rsidRPr="006A3553">
        <w:rPr>
          <w:rFonts w:ascii="Book Antiqua" w:hAnsi="Book Antiqua" w:cs="Arial"/>
          <w:bCs/>
          <w:iCs/>
          <w:kern w:val="24"/>
          <w:sz w:val="24"/>
          <w:szCs w:val="24"/>
        </w:rPr>
        <w:t>C</w:t>
      </w:r>
      <w:r w:rsidR="00A756EF" w:rsidRPr="006A3553">
        <w:rPr>
          <w:rFonts w:ascii="Book Antiqua" w:hAnsi="Book Antiqua" w:cs="Arial"/>
          <w:bCs/>
          <w:iCs/>
          <w:kern w:val="24"/>
          <w:sz w:val="24"/>
          <w:szCs w:val="24"/>
        </w:rPr>
        <w:t>ONCLUSION</w:t>
      </w:r>
    </w:p>
    <w:p w14:paraId="1EB443F3" w14:textId="677F68A0" w:rsidR="006C1CEE" w:rsidRPr="006A3553" w:rsidRDefault="00522172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lastRenderedPageBreak/>
        <w:t>Our data encourage enlarged</w:t>
      </w:r>
      <w:r w:rsidR="00DA27D5" w:rsidRPr="006A3553">
        <w:rPr>
          <w:rFonts w:ascii="Book Antiqua" w:eastAsia="宋体" w:hAnsi="Book Antiqua" w:cs="BookAntiqua"/>
          <w:sz w:val="24"/>
          <w:szCs w:val="24"/>
        </w:rPr>
        <w:t xml:space="preserve"> follow-up studies</w:t>
      </w:r>
      <w:r w:rsidR="001F7E69" w:rsidRPr="006A3553">
        <w:rPr>
          <w:rFonts w:ascii="Book Antiqua" w:eastAsia="宋体" w:hAnsi="Book Antiqua" w:cs="BookAntiqua"/>
          <w:sz w:val="24"/>
          <w:szCs w:val="24"/>
        </w:rPr>
        <w:t xml:space="preserve"> </w:t>
      </w:r>
      <w:r w:rsidR="00381E2E" w:rsidRPr="006A3553">
        <w:rPr>
          <w:rFonts w:ascii="Book Antiqua" w:eastAsia="宋体" w:hAnsi="Book Antiqua" w:cs="BookAntiqua"/>
          <w:sz w:val="24"/>
          <w:szCs w:val="24"/>
        </w:rPr>
        <w:t xml:space="preserve">to further address an association of SNP rs1285933 in </w:t>
      </w:r>
      <w:r w:rsidR="00381E2E" w:rsidRPr="006A3553">
        <w:rPr>
          <w:rFonts w:ascii="Book Antiqua" w:eastAsia="宋体" w:hAnsi="Book Antiqua" w:cs="BookAntiqua"/>
          <w:i/>
          <w:sz w:val="24"/>
          <w:szCs w:val="24"/>
        </w:rPr>
        <w:t>CLEC5A</w:t>
      </w:r>
      <w:r w:rsidR="00381E2E" w:rsidRPr="006A3553">
        <w:rPr>
          <w:rFonts w:ascii="Book Antiqua" w:eastAsia="宋体" w:hAnsi="Book Antiqua" w:cs="BookAntiqua"/>
          <w:sz w:val="24"/>
          <w:szCs w:val="24"/>
        </w:rPr>
        <w:t xml:space="preserve"> with CD. </w:t>
      </w:r>
      <w:r w:rsidR="00B6052B" w:rsidRPr="006A3553">
        <w:rPr>
          <w:rFonts w:ascii="Book Antiqua" w:eastAsia="宋体" w:hAnsi="Book Antiqua" w:cs="BookAntiqua"/>
          <w:sz w:val="24"/>
          <w:szCs w:val="24"/>
        </w:rPr>
        <w:t xml:space="preserve">The </w:t>
      </w:r>
      <w:r w:rsidR="00BD5694" w:rsidRPr="006A3553">
        <w:rPr>
          <w:rFonts w:ascii="Book Antiqua" w:hAnsi="Book Antiqua"/>
          <w:sz w:val="24"/>
          <w:szCs w:val="24"/>
        </w:rPr>
        <w:t xml:space="preserve">C-type lectin </w:t>
      </w:r>
      <w:r w:rsidR="00E65368" w:rsidRPr="006A3553">
        <w:rPr>
          <w:rFonts w:ascii="Book Antiqua" w:hAnsi="Book Antiqua"/>
          <w:sz w:val="24"/>
          <w:szCs w:val="24"/>
        </w:rPr>
        <w:t xml:space="preserve">domain </w:t>
      </w:r>
      <w:r w:rsidR="00BD5694" w:rsidRPr="006A3553">
        <w:rPr>
          <w:rFonts w:ascii="Book Antiqua" w:hAnsi="Book Antiqua"/>
          <w:sz w:val="24"/>
          <w:szCs w:val="24"/>
        </w:rPr>
        <w:t xml:space="preserve">family member </w:t>
      </w:r>
      <w:r w:rsidR="00B6052B" w:rsidRPr="006A3553">
        <w:rPr>
          <w:rFonts w:ascii="Book Antiqua" w:hAnsi="Book Antiqua"/>
          <w:sz w:val="24"/>
          <w:szCs w:val="24"/>
        </w:rPr>
        <w:t xml:space="preserve">also deserves </w:t>
      </w:r>
      <w:r w:rsidR="006C1CEE" w:rsidRPr="006A3553">
        <w:rPr>
          <w:rFonts w:ascii="Book Antiqua" w:hAnsi="Book Antiqua"/>
          <w:sz w:val="24"/>
          <w:szCs w:val="24"/>
        </w:rPr>
        <w:t xml:space="preserve">attention regarding </w:t>
      </w:r>
      <w:r w:rsidR="00B6052B" w:rsidRPr="006A3553">
        <w:rPr>
          <w:rFonts w:ascii="Book Antiqua" w:hAnsi="Book Antiqua"/>
          <w:sz w:val="24"/>
          <w:szCs w:val="24"/>
        </w:rPr>
        <w:t>a</w:t>
      </w:r>
      <w:r w:rsidR="006C1CEE" w:rsidRPr="006A3553">
        <w:rPr>
          <w:rFonts w:ascii="Book Antiqua" w:hAnsi="Book Antiqua"/>
          <w:sz w:val="24"/>
          <w:szCs w:val="24"/>
        </w:rPr>
        <w:t xml:space="preserve"> potential</w:t>
      </w:r>
      <w:r w:rsidR="00B6052B" w:rsidRPr="006A3553">
        <w:rPr>
          <w:rFonts w:ascii="Book Antiqua" w:hAnsi="Book Antiqua"/>
          <w:sz w:val="24"/>
          <w:szCs w:val="24"/>
        </w:rPr>
        <w:t xml:space="preserve"> role in the pathophysiology</w:t>
      </w:r>
      <w:r w:rsidR="006C1CEE" w:rsidRPr="006A3553">
        <w:rPr>
          <w:rFonts w:ascii="Book Antiqua" w:hAnsi="Book Antiqua"/>
          <w:sz w:val="24"/>
          <w:szCs w:val="24"/>
        </w:rPr>
        <w:t xml:space="preserve"> of CD.</w:t>
      </w:r>
    </w:p>
    <w:p w14:paraId="21EA8ADD" w14:textId="77777777" w:rsidR="001F7E69" w:rsidRPr="006A3553" w:rsidRDefault="001F7E6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</w:rPr>
      </w:pPr>
    </w:p>
    <w:p w14:paraId="049F816B" w14:textId="4653D13A" w:rsidR="00A756EF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kern w:val="24"/>
          <w:sz w:val="24"/>
          <w:szCs w:val="24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</w:rPr>
        <w:t xml:space="preserve">Key words: 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Crohn’s disease; </w:t>
      </w:r>
      <w:r w:rsidR="00112E8C" w:rsidRPr="006A3553">
        <w:rPr>
          <w:rFonts w:ascii="Book Antiqua" w:hAnsi="Book Antiqua" w:cs="Arial"/>
          <w:kern w:val="24"/>
          <w:sz w:val="24"/>
          <w:szCs w:val="24"/>
        </w:rPr>
        <w:t>S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>ingle nucleotide polymorphisms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;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>NOD2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; </w:t>
      </w:r>
      <w:r w:rsidRPr="006A3553">
        <w:rPr>
          <w:rFonts w:ascii="Book Antiqua" w:hAnsi="Book Antiqua" w:cs="Arial"/>
          <w:i/>
          <w:kern w:val="24"/>
          <w:sz w:val="24"/>
          <w:szCs w:val="24"/>
        </w:rPr>
        <w:t>CLEC5A</w:t>
      </w:r>
      <w:r w:rsidR="00BD5694" w:rsidRPr="006A3553">
        <w:rPr>
          <w:rFonts w:ascii="Book Antiqua" w:hAnsi="Book Antiqua" w:cs="Arial"/>
          <w:kern w:val="24"/>
          <w:sz w:val="24"/>
          <w:szCs w:val="24"/>
        </w:rPr>
        <w:t xml:space="preserve">; </w:t>
      </w:r>
      <w:r w:rsidR="00112E8C" w:rsidRPr="006A3553">
        <w:rPr>
          <w:rFonts w:ascii="Book Antiqua" w:hAnsi="Book Antiqua" w:cs="Arial"/>
          <w:kern w:val="24"/>
          <w:sz w:val="24"/>
          <w:szCs w:val="24"/>
        </w:rPr>
        <w:t>G</w:t>
      </w:r>
      <w:r w:rsidR="00BD5694" w:rsidRPr="006A3553">
        <w:rPr>
          <w:rFonts w:ascii="Book Antiqua" w:hAnsi="Book Antiqua" w:cs="Arial"/>
          <w:kern w:val="24"/>
          <w:sz w:val="24"/>
          <w:szCs w:val="24"/>
        </w:rPr>
        <w:t>ene expression</w:t>
      </w:r>
      <w:r w:rsidR="0025362A" w:rsidRPr="006A3553">
        <w:rPr>
          <w:rFonts w:ascii="Book Antiqua" w:hAnsi="Book Antiqua" w:cs="Arial"/>
          <w:kern w:val="24"/>
          <w:sz w:val="24"/>
          <w:szCs w:val="24"/>
        </w:rPr>
        <w:t xml:space="preserve">; </w:t>
      </w:r>
      <w:r w:rsidR="0025362A" w:rsidRPr="006A3553">
        <w:rPr>
          <w:rFonts w:ascii="Book Antiqua" w:hAnsi="Book Antiqua" w:cs="Arial"/>
          <w:i/>
          <w:kern w:val="24"/>
          <w:sz w:val="24"/>
          <w:szCs w:val="24"/>
        </w:rPr>
        <w:t>CXCL5</w:t>
      </w:r>
    </w:p>
    <w:p w14:paraId="7634ABED" w14:textId="188E7E95" w:rsidR="00A756EF" w:rsidRPr="006A3553" w:rsidRDefault="00A756EF" w:rsidP="006A3553">
      <w:pPr>
        <w:pStyle w:val="6"/>
        <w:adjustRightInd w:val="0"/>
        <w:snapToGrid w:val="0"/>
        <w:spacing w:line="360" w:lineRule="auto"/>
        <w:rPr>
          <w:rFonts w:ascii="Book Antiqua" w:hAnsi="Book Antiqua"/>
        </w:rPr>
      </w:pPr>
    </w:p>
    <w:p w14:paraId="2DDD7B96" w14:textId="31F95BA9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6A3553">
        <w:rPr>
          <w:rFonts w:ascii="Book Antiqua" w:hAnsi="Book Antiqua"/>
          <w:sz w:val="24"/>
          <w:szCs w:val="24"/>
        </w:rPr>
        <w:t>Elleisy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N, Rohde S, </w:t>
      </w:r>
      <w:proofErr w:type="spellStart"/>
      <w:r w:rsidRPr="006A3553">
        <w:rPr>
          <w:rFonts w:ascii="Book Antiqua" w:hAnsi="Book Antiqua"/>
          <w:sz w:val="24"/>
          <w:szCs w:val="24"/>
        </w:rPr>
        <w:t>Huth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A3553">
        <w:rPr>
          <w:rFonts w:ascii="Book Antiqua" w:hAnsi="Book Antiqua"/>
          <w:sz w:val="24"/>
          <w:szCs w:val="24"/>
        </w:rPr>
        <w:t>Gittel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N, Glass Ä, </w:t>
      </w:r>
      <w:proofErr w:type="spellStart"/>
      <w:r w:rsidRPr="006A3553">
        <w:rPr>
          <w:rFonts w:ascii="Book Antiqua" w:hAnsi="Book Antiqua"/>
          <w:sz w:val="24"/>
          <w:szCs w:val="24"/>
        </w:rPr>
        <w:t>Möller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S, Lamprecht G, </w:t>
      </w:r>
      <w:proofErr w:type="spellStart"/>
      <w:r w:rsidRPr="006A3553">
        <w:rPr>
          <w:rFonts w:ascii="Book Antiqua" w:hAnsi="Book Antiqua"/>
          <w:sz w:val="24"/>
          <w:szCs w:val="24"/>
        </w:rPr>
        <w:t>Schäffler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A3553">
        <w:rPr>
          <w:rFonts w:ascii="Book Antiqua" w:hAnsi="Book Antiqua"/>
          <w:sz w:val="24"/>
          <w:szCs w:val="24"/>
        </w:rPr>
        <w:t>Jaster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R. Genetic association analysis of </w:t>
      </w:r>
      <w:r w:rsidRPr="006A3553">
        <w:rPr>
          <w:rFonts w:ascii="Book Antiqua" w:hAnsi="Book Antiqua"/>
          <w:i/>
          <w:iCs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and </w:t>
      </w:r>
      <w:r w:rsidRPr="006A3553">
        <w:rPr>
          <w:rFonts w:ascii="Book Antiqua" w:hAnsi="Book Antiqua"/>
          <w:i/>
          <w:iCs/>
          <w:sz w:val="24"/>
          <w:szCs w:val="24"/>
        </w:rPr>
        <w:t>CLEC7A</w:t>
      </w:r>
      <w:r w:rsidRPr="006A3553">
        <w:rPr>
          <w:rFonts w:ascii="Book Antiqua" w:hAnsi="Book Antiqua"/>
          <w:sz w:val="24"/>
          <w:szCs w:val="24"/>
        </w:rPr>
        <w:t xml:space="preserve"> gene single-nucleotide polymorphisms and Crohn’s disease. </w:t>
      </w:r>
      <w:r w:rsidRPr="006A3553">
        <w:rPr>
          <w:rFonts w:ascii="Book Antiqua" w:hAnsi="Book Antiqua"/>
          <w:bCs/>
          <w:i/>
          <w:iCs/>
          <w:sz w:val="24"/>
          <w:szCs w:val="24"/>
        </w:rPr>
        <w:t xml:space="preserve">World J Gastroenterol </w:t>
      </w:r>
      <w:r w:rsidRPr="006A3553">
        <w:rPr>
          <w:rFonts w:ascii="Book Antiqua" w:hAnsi="Book Antiqua"/>
          <w:bCs/>
          <w:sz w:val="24"/>
          <w:szCs w:val="24"/>
        </w:rPr>
        <w:t>2020;</w:t>
      </w:r>
      <w:r w:rsidRPr="006A3553">
        <w:rPr>
          <w:rFonts w:ascii="Book Antiqua" w:hAnsi="Book Antiqua"/>
          <w:bCs/>
          <w:sz w:val="24"/>
          <w:szCs w:val="24"/>
          <w:lang w:eastAsia="zh-CN"/>
        </w:rPr>
        <w:t xml:space="preserve"> In press</w:t>
      </w:r>
    </w:p>
    <w:p w14:paraId="05367D33" w14:textId="77777777" w:rsidR="00112E8C" w:rsidRPr="006A3553" w:rsidRDefault="00112E8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de-DE"/>
        </w:rPr>
      </w:pPr>
    </w:p>
    <w:p w14:paraId="5DB49CEE" w14:textId="38337636" w:rsidR="001B1936" w:rsidRPr="006A3553" w:rsidRDefault="00A756EF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kern w:val="24"/>
          <w:sz w:val="24"/>
          <w:szCs w:val="24"/>
          <w:lang w:eastAsia="zh-CN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</w:rPr>
        <w:t>Core tip</w:t>
      </w:r>
      <w:r w:rsidRPr="006A3553">
        <w:rPr>
          <w:rFonts w:ascii="Book Antiqua" w:eastAsia="宋体" w:hAnsi="Book Antiqua" w:cs="Arial"/>
          <w:b/>
          <w:kern w:val="24"/>
          <w:sz w:val="24"/>
          <w:szCs w:val="24"/>
          <w:lang w:eastAsia="zh-CN"/>
        </w:rPr>
        <w:t xml:space="preserve">: </w:t>
      </w:r>
      <w:r w:rsidR="00BD5694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The genetic traits of Crohn’s disease (CD) are incompletely understood. Here, we 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>report a</w:t>
      </w:r>
      <w:r w:rsidR="00846EAE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 potential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 association of </w:t>
      </w:r>
      <w:r w:rsidR="00211533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>single nucleotide polymorphism (SNP)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 rs1285933 in </w:t>
      </w:r>
      <w:r w:rsidR="001B1936" w:rsidRPr="006A3553">
        <w:rPr>
          <w:rFonts w:ascii="Book Antiqua" w:eastAsia="宋体" w:hAnsi="Book Antiqua" w:cs="Arial"/>
          <w:i/>
          <w:kern w:val="24"/>
          <w:sz w:val="24"/>
          <w:szCs w:val="24"/>
          <w:lang w:eastAsia="zh-CN"/>
        </w:rPr>
        <w:t>CLEC5A</w:t>
      </w:r>
      <w:r w:rsidR="00C86892" w:rsidRPr="006A3553">
        <w:rPr>
          <w:rFonts w:ascii="Book Antiqua" w:eastAsia="宋体" w:hAnsi="Book Antiqua" w:cs="Arial"/>
          <w:i/>
          <w:kern w:val="24"/>
          <w:sz w:val="24"/>
          <w:szCs w:val="24"/>
          <w:lang w:eastAsia="zh-CN"/>
        </w:rPr>
        <w:t xml:space="preserve">, </w:t>
      </w:r>
      <w:r w:rsidR="00C86892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a member of the </w:t>
      </w:r>
      <w:r w:rsidR="00C86892" w:rsidRPr="006A3553">
        <w:rPr>
          <w:rFonts w:ascii="Book Antiqua" w:hAnsi="Book Antiqua" w:cs="Arial"/>
          <w:kern w:val="24"/>
          <w:sz w:val="24"/>
          <w:szCs w:val="24"/>
        </w:rPr>
        <w:t xml:space="preserve">C-type lectin </w:t>
      </w:r>
      <w:r w:rsidR="0022206A" w:rsidRPr="006A3553">
        <w:rPr>
          <w:rFonts w:ascii="Book Antiqua" w:hAnsi="Book Antiqua" w:cs="Arial"/>
          <w:kern w:val="24"/>
          <w:sz w:val="24"/>
          <w:szCs w:val="24"/>
        </w:rPr>
        <w:t>domain</w:t>
      </w:r>
      <w:r w:rsidR="00C86892" w:rsidRPr="006A3553">
        <w:rPr>
          <w:rFonts w:ascii="Book Antiqua" w:hAnsi="Book Antiqua" w:cs="Arial"/>
          <w:kern w:val="24"/>
          <w:sz w:val="24"/>
          <w:szCs w:val="24"/>
        </w:rPr>
        <w:t xml:space="preserve"> family of pattern recognition receptors,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 xml:space="preserve"> with CD. </w:t>
      </w:r>
      <w:r w:rsidR="00156E05" w:rsidRPr="006A3553">
        <w:rPr>
          <w:rFonts w:ascii="Book Antiqua" w:hAnsi="Book Antiqua" w:cs="Arial"/>
          <w:kern w:val="24"/>
          <w:sz w:val="24"/>
          <w:szCs w:val="24"/>
        </w:rPr>
        <w:t>Variants</w:t>
      </w:r>
      <w:r w:rsidR="001B1936" w:rsidRPr="006A3553">
        <w:rPr>
          <w:rFonts w:ascii="Book Antiqua" w:hAnsi="Book Antiqua" w:cs="Arial"/>
          <w:kern w:val="24"/>
          <w:sz w:val="24"/>
          <w:szCs w:val="24"/>
        </w:rPr>
        <w:t xml:space="preserve"> </w:t>
      </w:r>
      <w:r w:rsidR="001B1936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>of SNP rs1285933</w:t>
      </w:r>
      <w:r w:rsidR="001B1936" w:rsidRPr="006A3553">
        <w:rPr>
          <w:rFonts w:ascii="Book Antiqua" w:hAnsi="Book Antiqua" w:cs="Arial"/>
          <w:kern w:val="24"/>
          <w:sz w:val="24"/>
          <w:szCs w:val="24"/>
        </w:rPr>
        <w:t xml:space="preserve"> had no impact on </w:t>
      </w:r>
      <w:r w:rsidR="001B1936" w:rsidRPr="006A3553">
        <w:rPr>
          <w:rFonts w:ascii="Book Antiqua" w:eastAsia="宋体" w:hAnsi="Book Antiqua" w:cs="Arial"/>
          <w:i/>
          <w:kern w:val="24"/>
          <w:sz w:val="24"/>
          <w:szCs w:val="24"/>
          <w:lang w:eastAsia="zh-CN"/>
        </w:rPr>
        <w:t>CLEC5A</w:t>
      </w:r>
      <w:r w:rsidR="001B1936" w:rsidRPr="006A3553">
        <w:rPr>
          <w:rFonts w:ascii="Book Antiqua" w:hAnsi="Book Antiqua" w:cs="Arial"/>
          <w:kern w:val="24"/>
          <w:sz w:val="24"/>
          <w:szCs w:val="24"/>
        </w:rPr>
        <w:t xml:space="preserve"> gene expression in peripheral blood mononuclear cells but correlated with the expression of</w:t>
      </w:r>
      <w:r w:rsidR="001B1936" w:rsidRPr="006A3553">
        <w:rPr>
          <w:rFonts w:ascii="Book Antiqua" w:hAnsi="Book Antiqua" w:cs="Arial"/>
          <w:i/>
          <w:kern w:val="24"/>
          <w:sz w:val="24"/>
          <w:szCs w:val="24"/>
        </w:rPr>
        <w:t xml:space="preserve"> CXCL5</w:t>
      </w:r>
      <w:r w:rsidR="001B1936" w:rsidRPr="006A3553">
        <w:rPr>
          <w:rFonts w:ascii="Book Antiqua" w:hAnsi="Book Antiqua" w:cs="Arial"/>
          <w:kern w:val="24"/>
          <w:sz w:val="24"/>
          <w:szCs w:val="24"/>
        </w:rPr>
        <w:t xml:space="preserve">. </w:t>
      </w:r>
      <w:r w:rsidR="00C86892" w:rsidRPr="006A3553">
        <w:rPr>
          <w:rFonts w:ascii="Book Antiqua" w:hAnsi="Book Antiqua"/>
          <w:sz w:val="24"/>
          <w:szCs w:val="24"/>
        </w:rPr>
        <w:t xml:space="preserve">The </w:t>
      </w:r>
      <w:r w:rsidR="00211533" w:rsidRPr="006A3553">
        <w:rPr>
          <w:rFonts w:ascii="Book Antiqua" w:eastAsia="宋体" w:hAnsi="Book Antiqua" w:cs="Arial"/>
          <w:kern w:val="24"/>
          <w:sz w:val="24"/>
          <w:szCs w:val="24"/>
          <w:lang w:eastAsia="zh-CN"/>
        </w:rPr>
        <w:t>SNP</w:t>
      </w:r>
      <w:r w:rsidR="00211533" w:rsidRPr="006A3553">
        <w:rPr>
          <w:rFonts w:ascii="Book Antiqua" w:hAnsi="Book Antiqua" w:cs="Arial"/>
          <w:kern w:val="24"/>
          <w:sz w:val="24"/>
          <w:szCs w:val="24"/>
        </w:rPr>
        <w:t>s</w:t>
      </w:r>
      <w:r w:rsidR="00156E05" w:rsidRPr="006A3553">
        <w:rPr>
          <w:rFonts w:ascii="Book Antiqua" w:hAnsi="Book Antiqua"/>
          <w:sz w:val="24"/>
          <w:szCs w:val="24"/>
        </w:rPr>
        <w:t xml:space="preserve"> </w:t>
      </w:r>
      <w:r w:rsidR="00C86892" w:rsidRPr="006A3553">
        <w:rPr>
          <w:rFonts w:ascii="Book Antiqua" w:hAnsi="Book Antiqua"/>
          <w:sz w:val="24"/>
          <w:szCs w:val="24"/>
        </w:rPr>
        <w:t xml:space="preserve">rs2078178 and rs16910631 in </w:t>
      </w:r>
      <w:r w:rsidR="00C86892" w:rsidRPr="006A3553">
        <w:rPr>
          <w:rFonts w:ascii="Book Antiqua" w:hAnsi="Book Antiqua"/>
          <w:i/>
          <w:sz w:val="24"/>
          <w:szCs w:val="24"/>
        </w:rPr>
        <w:t>CLEC7A</w:t>
      </w:r>
      <w:r w:rsidR="00C86892" w:rsidRPr="006A3553">
        <w:rPr>
          <w:rFonts w:ascii="Book Antiqua" w:hAnsi="Book Antiqua"/>
          <w:sz w:val="24"/>
          <w:szCs w:val="24"/>
        </w:rPr>
        <w:t xml:space="preserve"> were not associated with the disease. The role of </w:t>
      </w:r>
      <w:r w:rsidR="00C86892" w:rsidRPr="006A3553">
        <w:rPr>
          <w:rFonts w:ascii="Book Antiqua" w:hAnsi="Book Antiqua"/>
          <w:i/>
          <w:sz w:val="24"/>
          <w:szCs w:val="24"/>
        </w:rPr>
        <w:t>CLEC5A</w:t>
      </w:r>
      <w:r w:rsidR="00C86892" w:rsidRPr="006A3553">
        <w:rPr>
          <w:rFonts w:ascii="Book Antiqua" w:hAnsi="Book Antiqua"/>
          <w:sz w:val="24"/>
          <w:szCs w:val="24"/>
        </w:rPr>
        <w:t xml:space="preserve"> in the pathophysiology of CD deserves further attention. </w:t>
      </w:r>
    </w:p>
    <w:p w14:paraId="74F53DC9" w14:textId="77777777" w:rsidR="004E2035" w:rsidRPr="006A3553" w:rsidRDefault="004E2035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br w:type="page"/>
      </w:r>
    </w:p>
    <w:p w14:paraId="42F5C6CD" w14:textId="0F6B872F" w:rsidR="007B1167" w:rsidRPr="006A3553" w:rsidRDefault="004E2035" w:rsidP="006A3553">
      <w:pPr>
        <w:keepNext/>
        <w:adjustRightInd w:val="0"/>
        <w:snapToGrid w:val="0"/>
        <w:spacing w:after="0" w:line="360" w:lineRule="auto"/>
        <w:jc w:val="both"/>
        <w:outlineLvl w:val="5"/>
        <w:rPr>
          <w:rFonts w:ascii="Book Antiqua" w:eastAsia="Times New Roman" w:hAnsi="Book Antiqua" w:cs="Times New Roman"/>
          <w:b/>
          <w:sz w:val="24"/>
          <w:szCs w:val="24"/>
          <w:u w:val="single"/>
          <w:lang w:val="en-GB"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u w:val="single"/>
          <w:lang w:val="en-GB" w:eastAsia="de-DE"/>
        </w:rPr>
        <w:lastRenderedPageBreak/>
        <w:t>INTRODUCTION</w:t>
      </w:r>
    </w:p>
    <w:p w14:paraId="69D8796B" w14:textId="56BAFDA7" w:rsidR="004E2035" w:rsidRPr="006A3553" w:rsidRDefault="004E2035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Together with </w:t>
      </w:r>
      <w:r w:rsidR="0021153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u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lcerative colitis, Crohn’s disease (CD) represents the most common and 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clinically relevant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inflammatory bowel </w:t>
      </w:r>
      <w:proofErr w:type="gramStart"/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disease</w:t>
      </w:r>
      <w:r w:rsidR="007B1167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7B1167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1,2]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. While it is generally accepted that 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the pathogenesis of the disease is multifactorial and involves an inappropriate activation of the mucosal immune system, the precise contribution of individual environmental factors and genetic traits remains </w:t>
      </w:r>
      <w:proofErr w:type="gram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elusive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1-3]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. Mutations in the </w:t>
      </w:r>
      <w:r w:rsidR="0022206A" w:rsidRPr="006A3553">
        <w:rPr>
          <w:rFonts w:ascii="Book Antiqua" w:eastAsia="Times New Roman" w:hAnsi="Book Antiqua" w:cs="Times New Roman"/>
          <w:i/>
          <w:sz w:val="24"/>
          <w:szCs w:val="24"/>
          <w:lang w:eastAsia="de-DE"/>
        </w:rPr>
        <w:t>NOD2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g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ene represent the best-characterized genetic association of </w:t>
      </w:r>
      <w:proofErr w:type="gram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CD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4-6]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. </w:t>
      </w:r>
      <w:r w:rsidR="0016099B" w:rsidRPr="006A3553">
        <w:rPr>
          <w:rFonts w:ascii="Book Antiqua" w:eastAsia="Times New Roman" w:hAnsi="Book Antiqua" w:cs="Times New Roman"/>
          <w:iCs/>
          <w:sz w:val="24"/>
          <w:szCs w:val="24"/>
          <w:lang w:eastAsia="de-DE"/>
        </w:rPr>
        <w:t>Nucleotide-binding oligomerization domain 2 (NOD2)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belongs to the pattern recognition receptor </w:t>
      </w:r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(PRR) 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family and acts as an intracellular sensor for </w:t>
      </w:r>
      <w:proofErr w:type="gram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peptidoglycan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7,8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and its fragment muramyl dipeptide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9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,10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 Downstream of NOD2, the transcription factor NF-</w:t>
      </w:r>
      <w:proofErr w:type="spell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κB</w:t>
      </w:r>
      <w:proofErr w:type="spellEnd"/>
      <w:r w:rsidR="003630F0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plays a key role in the transduction of receptor-generated </w:t>
      </w:r>
      <w:proofErr w:type="gramStart"/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signals</w:t>
      </w:r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3630F0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11]</w:t>
      </w:r>
      <w:r w:rsidR="0022206A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. </w:t>
      </w:r>
    </w:p>
    <w:p w14:paraId="30B6DAA2" w14:textId="28BDCD90" w:rsidR="00624D0D" w:rsidRPr="006A3553" w:rsidRDefault="0022206A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C-type lectin domain (CLEC) </w:t>
      </w:r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receptors comprise a large family of carbohydrate-binding </w:t>
      </w:r>
      <w:proofErr w:type="gramStart"/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proteins</w:t>
      </w:r>
      <w:r w:rsidR="00F5721F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F5721F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12]</w:t>
      </w:r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 Various CLEC family receptors are considered to exert functions as PRR since they recognize pathogen-associated molecules and may induce intracellular signa</w:t>
      </w:r>
      <w:r w:rsidR="00E65368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ling pathways that regulate inflammatory processes</w:t>
      </w:r>
      <w:r w:rsidR="0091443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</w:t>
      </w:r>
      <w:r w:rsidR="00BC13E8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CLEC proteins are crucially involved in the immune response to fungal pathogens, but have also been implicated in anti-bacterial, anti-viral and an</w:t>
      </w:r>
      <w:r w:rsidR="00F5721F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ti-parasitic </w:t>
      </w:r>
      <w:r w:rsidR="00E05FB2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defense </w:t>
      </w:r>
      <w:proofErr w:type="gramStart"/>
      <w:r w:rsidR="00F5721F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mechanisms</w:t>
      </w:r>
      <w:r w:rsidR="00BC13E8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proofErr w:type="gramEnd"/>
      <w:r w:rsidR="00F5721F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13,14</w:t>
      </w:r>
      <w:r w:rsidR="00BC13E8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]</w:t>
      </w:r>
      <w:r w:rsidR="00BC13E8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 Despite their functional similarities to NOD2, CLEC proteins have not been systematically studied in the context of IBD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yet. Interestingly, a </w:t>
      </w:r>
      <w:r w:rsidR="00156E05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single nucleotide 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polymorphism </w:t>
      </w:r>
      <w:r w:rsidR="00156E05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(SNP) 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in the </w:t>
      </w:r>
      <w:r w:rsidR="00D76224" w:rsidRPr="006A3553">
        <w:rPr>
          <w:rFonts w:ascii="Book Antiqua" w:eastAsia="Times New Roman" w:hAnsi="Book Antiqua" w:cs="Times New Roman"/>
          <w:i/>
          <w:sz w:val="24"/>
          <w:szCs w:val="24"/>
          <w:lang w:eastAsia="de-DE"/>
        </w:rPr>
        <w:t>CLEC7A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(</w:t>
      </w:r>
      <w:r w:rsidR="00D76224" w:rsidRPr="006A3553">
        <w:rPr>
          <w:rFonts w:ascii="Book Antiqua" w:eastAsia="Times New Roman" w:hAnsi="Book Antiqua" w:cs="Times New Roman"/>
          <w:i/>
          <w:sz w:val="24"/>
          <w:szCs w:val="24"/>
          <w:lang w:eastAsia="de-DE"/>
        </w:rPr>
        <w:t>DECTIN-1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) gene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,</w:t>
      </w:r>
      <w:r w:rsidR="00D76224" w:rsidRPr="006A3553">
        <w:rPr>
          <w:rFonts w:ascii="Book Antiqua" w:hAnsi="Book Antiqua"/>
          <w:sz w:val="24"/>
          <w:szCs w:val="24"/>
        </w:rPr>
        <w:t xml:space="preserve"> 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rs2078178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,</w:t>
      </w:r>
      <w:r w:rsidR="00D7622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has been reported to be strongly linked to a severe form of </w:t>
      </w:r>
      <w:r w:rsidR="0016099B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ulcerative colitis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, and this association was even stronger for the</w:t>
      </w:r>
      <w:r w:rsidR="00C642C3" w:rsidRPr="006A3553">
        <w:rPr>
          <w:rFonts w:ascii="Book Antiqua" w:hAnsi="Book Antiqua"/>
          <w:sz w:val="24"/>
          <w:szCs w:val="24"/>
        </w:rPr>
        <w:t xml:space="preserve"> 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two-marker ha</w:t>
      </w:r>
      <w:r w:rsidR="00F5721F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plotype rs2078178 to rs16910631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[</w:t>
      </w:r>
      <w:r w:rsidR="00F5721F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15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]</w:t>
      </w:r>
      <w:r w:rsidR="00C642C3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For another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545C68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gene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,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, we recently</w:t>
      </w:r>
      <w:r w:rsidR="00624D0D" w:rsidRPr="006A3553">
        <w:rPr>
          <w:rFonts w:ascii="Book Antiqua" w:hAnsi="Book Antiqua"/>
          <w:sz w:val="24"/>
          <w:szCs w:val="24"/>
        </w:rPr>
        <w:t xml:space="preserve"> 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observed a CD-associated expression pattern with higher transcript levels in patient-derived peripheral blood mononuclear cells tha</w:t>
      </w:r>
      <w:r w:rsidR="00F5721F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n in corresponding controls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. Furthermore,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showed a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NOD2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-dependent expression profile, </w:t>
      </w:r>
      <w:r w:rsidR="00545C68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supporting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the hypothesis that both proteins may act in a regulatory network with a pathophysiological role in </w:t>
      </w:r>
      <w:proofErr w:type="gramStart"/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CD</w:t>
      </w:r>
      <w:r w:rsidR="00F5721F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</w:t>
      </w:r>
      <w:proofErr w:type="gramEnd"/>
      <w:r w:rsidR="00F5721F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16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]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. Given that defective bacterial clearance may contribute to the pathogenesis of CD</w:t>
      </w:r>
      <w:r w:rsidR="00162F4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[17,18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]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, it is important to note that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624D0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has also been suggested to be essentially involved 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in innate immunity through neutrophil trap 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lastRenderedPageBreak/>
        <w:t xml:space="preserve">formation and secretion of different proinflammatory cytokines after stimulation with </w:t>
      </w:r>
      <w:r w:rsidR="00335D69" w:rsidRPr="006A3553">
        <w:rPr>
          <w:rFonts w:ascii="Book Antiqua" w:eastAsia="Times New Roman" w:hAnsi="Book Antiqua" w:cs="Times New Roman"/>
          <w:i/>
          <w:iCs/>
          <w:color w:val="222222"/>
          <w:spacing w:val="3"/>
          <w:sz w:val="24"/>
          <w:szCs w:val="24"/>
          <w:shd w:val="clear" w:color="auto" w:fill="FFFFFF"/>
          <w:lang w:eastAsia="de-DE"/>
        </w:rPr>
        <w:t>Listeria monocytogenes</w:t>
      </w:r>
      <w:r w:rsidR="00162F4D" w:rsidRPr="006A3553">
        <w:rPr>
          <w:rFonts w:ascii="Book Antiqua" w:eastAsia="Times New Roman" w:hAnsi="Book Antiqua" w:cs="Times New Roman"/>
          <w:iCs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[19</w:t>
      </w:r>
      <w:r w:rsidR="00335D69" w:rsidRPr="006A3553">
        <w:rPr>
          <w:rFonts w:ascii="Book Antiqua" w:eastAsia="Times New Roman" w:hAnsi="Book Antiqua" w:cs="Times New Roman"/>
          <w:iCs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]</w:t>
      </w:r>
      <w:r w:rsidR="00335D69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.</w:t>
      </w:r>
      <w:r w:rsidR="00C8130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Interestingly, the SNP </w:t>
      </w:r>
      <w:r w:rsidR="00624D0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rs1285933 </w:t>
      </w:r>
      <w:r w:rsidR="00616B01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in </w:t>
      </w:r>
      <w:r w:rsidR="00616B01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616B01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is associated with dengue </w:t>
      </w:r>
      <w:proofErr w:type="gramStart"/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severity</w:t>
      </w:r>
      <w:r w:rsidR="00162F4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</w:t>
      </w:r>
      <w:proofErr w:type="gramEnd"/>
      <w:r w:rsidR="00162F4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20]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, and </w:t>
      </w:r>
      <w:r w:rsidR="007F7E17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has been shown to be critical for dengue-virus-induced lethal disease</w:t>
      </w:r>
      <w:r w:rsidR="00162F4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[21]</w:t>
      </w:r>
      <w:r w:rsidR="00004D2B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.</w:t>
      </w:r>
    </w:p>
    <w:p w14:paraId="71EE4DBE" w14:textId="5951A4D5" w:rsidR="00624D0D" w:rsidRPr="006A3553" w:rsidRDefault="00624D0D" w:rsidP="006A3553">
      <w:pPr>
        <w:adjustRightInd w:val="0"/>
        <w:snapToGrid w:val="0"/>
        <w:spacing w:after="0" w:line="360" w:lineRule="auto"/>
        <w:ind w:firstLineChars="100" w:firstLine="243"/>
        <w:jc w:val="both"/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</w:pPr>
      <w:r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Here, we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have addressed the question if the SNPs rs2078178 and </w:t>
      </w:r>
      <w:r w:rsidR="007F7E1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rs16910631 in </w:t>
      </w:r>
      <w:r w:rsidR="007F7E17" w:rsidRPr="006A3553">
        <w:rPr>
          <w:rFonts w:ascii="Book Antiqua" w:eastAsia="Times New Roman" w:hAnsi="Book Antiqua" w:cs="Times New Roman"/>
          <w:i/>
          <w:sz w:val="24"/>
          <w:szCs w:val="24"/>
          <w:lang w:eastAsia="de-DE"/>
        </w:rPr>
        <w:t>CLEC7A</w:t>
      </w:r>
      <w:r w:rsidR="007F7E1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and 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rs1285933 in </w:t>
      </w:r>
      <w:r w:rsidR="007F7E17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CLEC5A</w:t>
      </w:r>
      <w:r w:rsidR="007F7E17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are associated with CD and have analyzed effects of rs1285933 at the level of gene expression.</w:t>
      </w:r>
      <w:r w:rsidR="00E02CBD" w:rsidRPr="006A3553">
        <w:rPr>
          <w:rFonts w:ascii="Book Antiqua" w:hAnsi="Book Antiqua"/>
          <w:sz w:val="24"/>
          <w:szCs w:val="24"/>
        </w:rPr>
        <w:t xml:space="preserve"> 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For comparison</w:t>
      </w:r>
      <w:r w:rsidR="00956B1B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and a </w:t>
      </w:r>
      <w:proofErr w:type="spellStart"/>
      <w:r w:rsidR="00956B1B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postive</w:t>
      </w:r>
      <w:proofErr w:type="spellEnd"/>
      <w:r w:rsidR="00956B1B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control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, </w:t>
      </w:r>
      <w:r w:rsidR="00CD6803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the known disease-associated SNPs 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rs2066844 (SNP8), rs2066845 (SNP12) and rs2066847 (SNP</w:t>
      </w:r>
      <w:proofErr w:type="gramStart"/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>13)</w:t>
      </w:r>
      <w:r w:rsidR="00CD6803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[</w:t>
      </w:r>
      <w:proofErr w:type="gramEnd"/>
      <w:r w:rsidR="00CD6803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vertAlign w:val="superscript"/>
          <w:lang w:eastAsia="de-DE"/>
        </w:rPr>
        <w:t>5,6]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in </w:t>
      </w:r>
      <w:r w:rsidR="00E02CBD" w:rsidRPr="006A3553">
        <w:rPr>
          <w:rFonts w:ascii="Book Antiqua" w:eastAsia="Times New Roman" w:hAnsi="Book Antiqua" w:cs="Times New Roman"/>
          <w:i/>
          <w:color w:val="222222"/>
          <w:spacing w:val="3"/>
          <w:sz w:val="24"/>
          <w:szCs w:val="24"/>
          <w:shd w:val="clear" w:color="auto" w:fill="FFFFFF"/>
          <w:lang w:eastAsia="de-DE"/>
        </w:rPr>
        <w:t>NOD2</w:t>
      </w:r>
      <w:r w:rsidR="00E02CBD" w:rsidRPr="006A3553">
        <w:rPr>
          <w:rFonts w:ascii="Book Antiqua" w:eastAsia="Times New Roman" w:hAnsi="Book Antiqua" w:cs="Times New Roman"/>
          <w:color w:val="222222"/>
          <w:spacing w:val="3"/>
          <w:sz w:val="24"/>
          <w:szCs w:val="24"/>
          <w:shd w:val="clear" w:color="auto" w:fill="FFFFFF"/>
          <w:lang w:eastAsia="de-DE"/>
        </w:rPr>
        <w:t xml:space="preserve"> were included into the investigations as well.</w:t>
      </w:r>
    </w:p>
    <w:p w14:paraId="15F05DAA" w14:textId="164B0140" w:rsidR="007D2580" w:rsidRPr="006A3553" w:rsidRDefault="007D258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</w:rPr>
      </w:pPr>
    </w:p>
    <w:p w14:paraId="5AA573AC" w14:textId="567BA7E0" w:rsidR="007B1167" w:rsidRPr="006A3553" w:rsidRDefault="004E2035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kern w:val="24"/>
          <w:sz w:val="24"/>
          <w:szCs w:val="24"/>
          <w:u w:val="single"/>
        </w:rPr>
      </w:pPr>
      <w:r w:rsidRPr="006A3553">
        <w:rPr>
          <w:rFonts w:ascii="Book Antiqua" w:hAnsi="Book Antiqua" w:cs="Arial"/>
          <w:b/>
          <w:kern w:val="24"/>
          <w:sz w:val="24"/>
          <w:szCs w:val="24"/>
          <w:u w:val="single"/>
        </w:rPr>
        <w:t>MATERIALS AND METHODS</w:t>
      </w:r>
    </w:p>
    <w:p w14:paraId="18538200" w14:textId="60E41BFB" w:rsidR="00D71678" w:rsidRPr="006A3553" w:rsidRDefault="00D71678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kern w:val="24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t>Patients</w:t>
      </w:r>
    </w:p>
    <w:p w14:paraId="56AEFEC8" w14:textId="25944B20" w:rsidR="00734CA0" w:rsidRPr="006A3553" w:rsidRDefault="00D71678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From October 2015 until </w:t>
      </w:r>
      <w:r w:rsidR="00132D39" w:rsidRPr="006A3553">
        <w:rPr>
          <w:rFonts w:ascii="Book Antiqua" w:hAnsi="Book Antiqua"/>
          <w:sz w:val="24"/>
          <w:szCs w:val="24"/>
        </w:rPr>
        <w:t>June 2017</w:t>
      </w:r>
      <w:r w:rsidRPr="006A3553">
        <w:rPr>
          <w:rFonts w:ascii="Book Antiqua" w:hAnsi="Book Antiqua"/>
          <w:sz w:val="24"/>
          <w:szCs w:val="24"/>
        </w:rPr>
        <w:t xml:space="preserve">, 175 </w:t>
      </w:r>
      <w:r w:rsidR="00765849" w:rsidRPr="006A3553">
        <w:rPr>
          <w:rFonts w:ascii="Book Antiqua" w:hAnsi="Book Antiqua"/>
          <w:sz w:val="24"/>
          <w:szCs w:val="24"/>
        </w:rPr>
        <w:t>patients (102 females and 73 males; mean age 43.1 ± 14.7 years)</w:t>
      </w:r>
      <w:r w:rsidRPr="006A3553">
        <w:rPr>
          <w:rFonts w:ascii="Book Antiqua" w:hAnsi="Book Antiqua"/>
          <w:sz w:val="24"/>
          <w:szCs w:val="24"/>
        </w:rPr>
        <w:t xml:space="preserve"> with CD from the Department of Gastroenterology of Rostock University Medical Center (Rostock, Germany) were inc</w:t>
      </w:r>
      <w:r w:rsidR="001521A2" w:rsidRPr="006A3553">
        <w:rPr>
          <w:rFonts w:ascii="Book Antiqua" w:hAnsi="Book Antiqua"/>
          <w:sz w:val="24"/>
          <w:szCs w:val="24"/>
        </w:rPr>
        <w:t xml:space="preserve">luded in the study. </w:t>
      </w:r>
      <w:r w:rsidR="00AD204C" w:rsidRPr="006A3553">
        <w:rPr>
          <w:rFonts w:ascii="Book Antiqua" w:hAnsi="Book Antiqua"/>
          <w:sz w:val="24"/>
          <w:szCs w:val="24"/>
        </w:rPr>
        <w:t xml:space="preserve">This cohort of CD patients represents an extension of a cohort that we have previously characterized regarding relationships between mutations in the </w:t>
      </w:r>
      <w:r w:rsidR="00AD204C" w:rsidRPr="006A3553">
        <w:rPr>
          <w:rFonts w:ascii="Book Antiqua" w:hAnsi="Book Antiqua"/>
          <w:i/>
          <w:sz w:val="24"/>
          <w:szCs w:val="24"/>
        </w:rPr>
        <w:t>NOD2</w:t>
      </w:r>
      <w:r w:rsidR="00AD204C" w:rsidRPr="006A3553">
        <w:rPr>
          <w:rFonts w:ascii="Book Antiqua" w:hAnsi="Book Antiqua"/>
          <w:sz w:val="24"/>
          <w:szCs w:val="24"/>
        </w:rPr>
        <w:t xml:space="preserve"> gene, the disease phenotype and anti-tumor necrosis factor-α trough </w:t>
      </w:r>
      <w:proofErr w:type="gramStart"/>
      <w:r w:rsidR="00AD204C" w:rsidRPr="006A3553">
        <w:rPr>
          <w:rFonts w:ascii="Book Antiqua" w:hAnsi="Book Antiqua"/>
          <w:sz w:val="24"/>
          <w:szCs w:val="24"/>
        </w:rPr>
        <w:t>levels</w:t>
      </w:r>
      <w:r w:rsidR="003F29D7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F29D7" w:rsidRPr="006A3553">
        <w:rPr>
          <w:rFonts w:ascii="Book Antiqua" w:hAnsi="Book Antiqua"/>
          <w:sz w:val="24"/>
          <w:szCs w:val="24"/>
          <w:vertAlign w:val="superscript"/>
        </w:rPr>
        <w:t>22</w:t>
      </w:r>
      <w:r w:rsidR="00AD204C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AD204C" w:rsidRPr="006A3553">
        <w:rPr>
          <w:rFonts w:ascii="Book Antiqua" w:hAnsi="Book Antiqua"/>
          <w:sz w:val="24"/>
          <w:szCs w:val="24"/>
        </w:rPr>
        <w:t>.</w:t>
      </w:r>
    </w:p>
    <w:p w14:paraId="5193E796" w14:textId="2FB21E81" w:rsidR="00E06F6E" w:rsidRPr="006A3553" w:rsidRDefault="00E06F6E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The diagnosis of CD was based on clinical, endoscopic, histological and radiological findings of the patients. The following clinical data were collected: </w:t>
      </w:r>
      <w:r w:rsidR="0016099B" w:rsidRPr="006A3553">
        <w:rPr>
          <w:rFonts w:ascii="Book Antiqua" w:hAnsi="Book Antiqua"/>
          <w:sz w:val="24"/>
          <w:szCs w:val="24"/>
        </w:rPr>
        <w:t>A</w:t>
      </w:r>
      <w:r w:rsidRPr="006A3553">
        <w:rPr>
          <w:rFonts w:ascii="Book Antiqua" w:hAnsi="Book Antiqua"/>
          <w:sz w:val="24"/>
          <w:szCs w:val="24"/>
        </w:rPr>
        <w:t xml:space="preserve">ge, </w:t>
      </w:r>
      <w:r w:rsidR="004476E1" w:rsidRPr="006A3553">
        <w:rPr>
          <w:rFonts w:ascii="Book Antiqua" w:hAnsi="Book Antiqua"/>
          <w:sz w:val="24"/>
          <w:szCs w:val="24"/>
        </w:rPr>
        <w:t xml:space="preserve">sex, age at diagnosis, duration of the disease, </w:t>
      </w:r>
      <w:r w:rsidRPr="006A3553">
        <w:rPr>
          <w:rFonts w:ascii="Book Antiqua" w:hAnsi="Book Antiqua"/>
          <w:sz w:val="24"/>
          <w:szCs w:val="24"/>
        </w:rPr>
        <w:t xml:space="preserve">disease location, disease behavior, disease activity </w:t>
      </w:r>
      <w:r w:rsidR="0016099B" w:rsidRPr="006A3553">
        <w:rPr>
          <w:rFonts w:ascii="Book Antiqua" w:hAnsi="Book Antiqua"/>
          <w:sz w:val="24"/>
          <w:szCs w:val="24"/>
          <w:lang w:eastAsia="zh-CN"/>
        </w:rPr>
        <w:t>(</w:t>
      </w:r>
      <w:r w:rsidRPr="006A3553">
        <w:rPr>
          <w:rFonts w:ascii="Book Antiqua" w:hAnsi="Book Antiqua"/>
          <w:sz w:val="24"/>
          <w:szCs w:val="24"/>
        </w:rPr>
        <w:t>assessed by the Crohn’s disease activity index</w:t>
      </w:r>
      <w:r w:rsidRPr="006A3553">
        <w:rPr>
          <w:rFonts w:ascii="Book Antiqua" w:hAnsi="Book Antiqua"/>
          <w:sz w:val="24"/>
          <w:szCs w:val="24"/>
          <w:vertAlign w:val="superscript"/>
        </w:rPr>
        <w:t>[23]</w:t>
      </w:r>
      <w:r w:rsidRPr="006A3553">
        <w:rPr>
          <w:rFonts w:ascii="Book Antiqua" w:hAnsi="Book Antiqua"/>
          <w:sz w:val="24"/>
          <w:szCs w:val="24"/>
        </w:rPr>
        <w:t xml:space="preserve"> and the Harvey–Bradshaw index</w:t>
      </w:r>
      <w:r w:rsidRPr="006A3553">
        <w:rPr>
          <w:rFonts w:ascii="Book Antiqua" w:hAnsi="Book Antiqua"/>
          <w:sz w:val="24"/>
          <w:szCs w:val="24"/>
          <w:vertAlign w:val="superscript"/>
        </w:rPr>
        <w:t>[24]</w:t>
      </w:r>
      <w:r w:rsidR="0016099B" w:rsidRPr="006A3553">
        <w:rPr>
          <w:rFonts w:ascii="Book Antiqua" w:hAnsi="Book Antiqua"/>
          <w:sz w:val="24"/>
          <w:szCs w:val="24"/>
        </w:rPr>
        <w:t>)</w:t>
      </w:r>
      <w:r w:rsidRPr="006A3553">
        <w:rPr>
          <w:rFonts w:ascii="Book Antiqua" w:hAnsi="Book Antiqua"/>
          <w:sz w:val="24"/>
          <w:szCs w:val="24"/>
        </w:rPr>
        <w:t>, disease-specific medications, and previous history of surgery (</w:t>
      </w:r>
      <w:r w:rsidRPr="006A3553">
        <w:rPr>
          <w:rFonts w:ascii="Book Antiqua" w:hAnsi="Book Antiqua"/>
          <w:i/>
          <w:iCs/>
          <w:sz w:val="24"/>
          <w:szCs w:val="24"/>
        </w:rPr>
        <w:t>i.e</w:t>
      </w:r>
      <w:r w:rsidRPr="006A3553">
        <w:rPr>
          <w:rFonts w:ascii="Book Antiqua" w:hAnsi="Book Antiqua"/>
          <w:sz w:val="24"/>
          <w:szCs w:val="24"/>
        </w:rPr>
        <w:t xml:space="preserve">., colectomy). CD was stratified </w:t>
      </w:r>
      <w:r w:rsidRPr="006A3553">
        <w:rPr>
          <w:rFonts w:ascii="Book Antiqua" w:hAnsi="Book Antiqua"/>
          <w:i/>
          <w:iCs/>
          <w:sz w:val="24"/>
          <w:szCs w:val="24"/>
        </w:rPr>
        <w:t>via</w:t>
      </w:r>
      <w:r w:rsidRPr="006A3553">
        <w:rPr>
          <w:rFonts w:ascii="Book Antiqua" w:hAnsi="Book Antiqua"/>
          <w:sz w:val="24"/>
          <w:szCs w:val="24"/>
        </w:rPr>
        <w:t xml:space="preserve"> the Montreal </w:t>
      </w:r>
      <w:proofErr w:type="gramStart"/>
      <w:r w:rsidRPr="006A3553">
        <w:rPr>
          <w:rFonts w:ascii="Book Antiqua" w:hAnsi="Book Antiqua"/>
          <w:sz w:val="24"/>
          <w:szCs w:val="24"/>
        </w:rPr>
        <w:t>classification</w:t>
      </w:r>
      <w:r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A3553">
        <w:rPr>
          <w:rFonts w:ascii="Book Antiqua" w:hAnsi="Book Antiqua"/>
          <w:sz w:val="24"/>
          <w:szCs w:val="24"/>
          <w:vertAlign w:val="superscript"/>
        </w:rPr>
        <w:t>25]</w:t>
      </w:r>
      <w:r w:rsidRPr="006A3553">
        <w:rPr>
          <w:rFonts w:ascii="Book Antiqua" w:hAnsi="Book Antiqua"/>
          <w:sz w:val="24"/>
          <w:szCs w:val="24"/>
        </w:rPr>
        <w:t>. Unrelated and healthy subjects from Germany (</w:t>
      </w:r>
      <w:r w:rsidRPr="006A3553">
        <w:rPr>
          <w:rFonts w:ascii="Book Antiqua" w:hAnsi="Book Antiqua"/>
          <w:i/>
          <w:iCs/>
          <w:sz w:val="24"/>
          <w:szCs w:val="24"/>
        </w:rPr>
        <w:t>n</w:t>
      </w:r>
      <w:r w:rsidRPr="006A3553">
        <w:rPr>
          <w:rFonts w:ascii="Book Antiqua" w:hAnsi="Book Antiqua"/>
          <w:sz w:val="24"/>
          <w:szCs w:val="24"/>
        </w:rPr>
        <w:t xml:space="preserve"> = 157; 101 females and 56 males; mean age 25.3 ± 5.7 years) served as controls. The study was approved by the Local Ethics Board of the University of Rostock (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A-2017-0137</w:t>
      </w:r>
      <w:r w:rsidRPr="006A3553">
        <w:rPr>
          <w:rFonts w:ascii="Book Antiqua" w:hAnsi="Book Antiqua"/>
          <w:sz w:val="24"/>
          <w:szCs w:val="24"/>
        </w:rPr>
        <w:t>). We obtained written informed consent from all participants prior to their enrollment.</w:t>
      </w:r>
    </w:p>
    <w:p w14:paraId="1C0FA069" w14:textId="77777777" w:rsidR="00EB1CFE" w:rsidRPr="006A3553" w:rsidRDefault="00EB1CFE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E898DD3" w14:textId="17BC8897" w:rsidR="003B30A3" w:rsidRPr="006A3553" w:rsidRDefault="00EB1CFE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lastRenderedPageBreak/>
        <w:t xml:space="preserve">DNA </w:t>
      </w:r>
      <w:r w:rsidR="00A009BF" w:rsidRPr="006A3553">
        <w:rPr>
          <w:rFonts w:ascii="Book Antiqua" w:hAnsi="Book Antiqua"/>
          <w:b/>
          <w:i/>
          <w:iCs/>
          <w:sz w:val="24"/>
          <w:szCs w:val="24"/>
        </w:rPr>
        <w:t>e</w:t>
      </w:r>
      <w:r w:rsidRPr="006A3553">
        <w:rPr>
          <w:rFonts w:ascii="Book Antiqua" w:hAnsi="Book Antiqua"/>
          <w:b/>
          <w:i/>
          <w:iCs/>
          <w:sz w:val="24"/>
          <w:szCs w:val="24"/>
        </w:rPr>
        <w:t>xtraction</w:t>
      </w:r>
    </w:p>
    <w:p w14:paraId="1E129B8A" w14:textId="77777777" w:rsidR="003B30A3" w:rsidRPr="006A3553" w:rsidRDefault="003B30A3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EDTA whole-blood samples were subjected to DNA extraction employing the </w:t>
      </w:r>
      <w:proofErr w:type="spellStart"/>
      <w:r w:rsidRPr="006A3553">
        <w:rPr>
          <w:rFonts w:ascii="Book Antiqua" w:hAnsi="Book Antiqua"/>
          <w:sz w:val="24"/>
          <w:szCs w:val="24"/>
        </w:rPr>
        <w:t>QIAamp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DNA blood mini kit according to the instructions of the manufacturer (Qiagen, Hilden, Germany). </w:t>
      </w:r>
    </w:p>
    <w:p w14:paraId="4AE5C656" w14:textId="77777777" w:rsidR="00EB1CFE" w:rsidRPr="006A3553" w:rsidRDefault="00EB1CFE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BF6BCD6" w14:textId="36D0D50F" w:rsidR="000040F9" w:rsidRPr="006A3553" w:rsidRDefault="00EB1CFE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t>Genotyping</w:t>
      </w:r>
    </w:p>
    <w:p w14:paraId="1E80CD08" w14:textId="25E24FF2" w:rsidR="00132D39" w:rsidRPr="006A3553" w:rsidRDefault="00132D39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Genotyping was performed using TaqMan™ SNP Genotyping Allelic Discrimination Assays with VIC- and FAM-labeled probes (Thermo Fisher Scientific, Karlsruhe, Germany) for rs1285933 (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, Assay-ID: </w:t>
      </w:r>
      <w:hyperlink r:id="rId8" w:tgtFrame="_blank" w:history="1">
        <w:r w:rsidRPr="006A3553">
          <w:rPr>
            <w:rFonts w:ascii="Book Antiqua" w:hAnsi="Book Antiqua"/>
            <w:sz w:val="24"/>
            <w:szCs w:val="24"/>
          </w:rPr>
          <w:t>C___9506735_10</w:t>
        </w:r>
      </w:hyperlink>
      <w:r w:rsidRPr="006A3553">
        <w:rPr>
          <w:rFonts w:ascii="Book Antiqua" w:hAnsi="Book Antiqua"/>
          <w:sz w:val="24"/>
          <w:szCs w:val="24"/>
        </w:rPr>
        <w:t>), rs2078178 (</w:t>
      </w:r>
      <w:r w:rsidRPr="006A3553">
        <w:rPr>
          <w:rFonts w:ascii="Book Antiqua" w:hAnsi="Book Antiqua"/>
          <w:i/>
          <w:sz w:val="24"/>
          <w:szCs w:val="24"/>
        </w:rPr>
        <w:t>CLEC7A</w:t>
      </w:r>
      <w:r w:rsidRPr="006A3553">
        <w:rPr>
          <w:rFonts w:ascii="Book Antiqua" w:hAnsi="Book Antiqua"/>
          <w:sz w:val="24"/>
          <w:szCs w:val="24"/>
        </w:rPr>
        <w:t>; Assay-ID: C___1932439_10), rs16910631 (</w:t>
      </w:r>
      <w:r w:rsidRPr="006A3553">
        <w:rPr>
          <w:rFonts w:ascii="Book Antiqua" w:hAnsi="Book Antiqua"/>
          <w:i/>
          <w:sz w:val="24"/>
          <w:szCs w:val="24"/>
        </w:rPr>
        <w:t>CLEC7A</w:t>
      </w:r>
      <w:r w:rsidRPr="006A3553">
        <w:rPr>
          <w:rFonts w:ascii="Book Antiqua" w:hAnsi="Book Antiqua"/>
          <w:sz w:val="24"/>
          <w:szCs w:val="24"/>
        </w:rPr>
        <w:t>; Assay-ID: C__33748498_10), rs2066844 (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>, SNP8, Assay-ID: C__11717468_20), rs2066845 (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>; SNP12, Assay-ID: C__11717466_20)</w:t>
      </w:r>
      <w:r w:rsidR="00A009BF" w:rsidRPr="006A3553">
        <w:rPr>
          <w:rFonts w:ascii="Book Antiqua" w:hAnsi="Book Antiqua"/>
          <w:sz w:val="24"/>
          <w:szCs w:val="24"/>
        </w:rPr>
        <w:t>,</w:t>
      </w:r>
      <w:r w:rsidRPr="006A3553">
        <w:rPr>
          <w:rFonts w:ascii="Book Antiqua" w:hAnsi="Book Antiqua"/>
          <w:sz w:val="24"/>
          <w:szCs w:val="24"/>
        </w:rPr>
        <w:t xml:space="preserve"> and rs2066847 (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, Assay-ID: SNP13 C__60383785_10). PCR was carried out in 96-well plates, employing a </w:t>
      </w:r>
      <w:proofErr w:type="spellStart"/>
      <w:r w:rsidRPr="006A3553">
        <w:rPr>
          <w:rFonts w:ascii="Book Antiqua" w:hAnsi="Book Antiqua"/>
          <w:sz w:val="24"/>
          <w:szCs w:val="24"/>
        </w:rPr>
        <w:t>ViiA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 7 sequence detection system (Thermo Fisher Scientific). Thermal cycling conditions were: 95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Pr="006A3553">
        <w:rPr>
          <w:rFonts w:ascii="Book Antiqua" w:hAnsi="Book Antiqua"/>
          <w:sz w:val="24"/>
          <w:szCs w:val="24"/>
        </w:rPr>
        <w:t xml:space="preserve"> for 10 min, followed by 40 cycles of 15 s at 95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="00293FFF">
        <w:rPr>
          <w:rFonts w:ascii="Book Antiqua" w:hAnsi="Book Antiqua"/>
          <w:sz w:val="24"/>
          <w:szCs w:val="24"/>
        </w:rPr>
        <w:t>/</w:t>
      </w:r>
      <w:r w:rsidRPr="006A3553">
        <w:rPr>
          <w:rFonts w:ascii="Book Antiqua" w:hAnsi="Book Antiqua"/>
          <w:sz w:val="24"/>
          <w:szCs w:val="24"/>
        </w:rPr>
        <w:t xml:space="preserve">1 min at 60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Pr="006A3553">
        <w:rPr>
          <w:rFonts w:ascii="Book Antiqua" w:hAnsi="Book Antiqua"/>
          <w:sz w:val="24"/>
          <w:szCs w:val="24"/>
        </w:rPr>
        <w:t xml:space="preserve">. After PCR, fluorescence was detected and analyzed using </w:t>
      </w:r>
      <w:proofErr w:type="spellStart"/>
      <w:r w:rsidRPr="006A3553">
        <w:rPr>
          <w:rFonts w:ascii="Book Antiqua" w:hAnsi="Book Antiqua"/>
          <w:sz w:val="24"/>
          <w:szCs w:val="24"/>
        </w:rPr>
        <w:t>TaqM</w:t>
      </w:r>
      <w:r w:rsidR="004476E1" w:rsidRPr="006A3553">
        <w:rPr>
          <w:rFonts w:ascii="Book Antiqua" w:hAnsi="Book Antiqua"/>
          <w:sz w:val="24"/>
          <w:szCs w:val="24"/>
        </w:rPr>
        <w:t>anGenotyper</w:t>
      </w:r>
      <w:proofErr w:type="spellEnd"/>
      <w:r w:rsidR="004476E1" w:rsidRPr="006A3553">
        <w:rPr>
          <w:rFonts w:ascii="Book Antiqua" w:hAnsi="Book Antiqua"/>
          <w:sz w:val="24"/>
          <w:szCs w:val="24"/>
        </w:rPr>
        <w:t xml:space="preserve"> software version 1.3</w:t>
      </w:r>
      <w:r w:rsidRPr="006A3553">
        <w:rPr>
          <w:rFonts w:ascii="Book Antiqua" w:hAnsi="Book Antiqua"/>
          <w:sz w:val="24"/>
          <w:szCs w:val="24"/>
        </w:rPr>
        <w:t xml:space="preserve">. Alternatively,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genotypes were determined by Sanger sequencing as described </w:t>
      </w:r>
      <w:proofErr w:type="gramStart"/>
      <w:r w:rsidRPr="006A3553">
        <w:rPr>
          <w:rFonts w:ascii="Book Antiqua" w:hAnsi="Book Antiqua"/>
          <w:sz w:val="24"/>
          <w:szCs w:val="24"/>
        </w:rPr>
        <w:t>before</w:t>
      </w:r>
      <w:r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A3553">
        <w:rPr>
          <w:rFonts w:ascii="Book Antiqua" w:hAnsi="Book Antiqua"/>
          <w:sz w:val="24"/>
          <w:szCs w:val="24"/>
          <w:vertAlign w:val="superscript"/>
        </w:rPr>
        <w:t>22]</w:t>
      </w:r>
      <w:r w:rsidRPr="006A3553">
        <w:rPr>
          <w:rFonts w:ascii="Book Antiqua" w:hAnsi="Book Antiqua"/>
          <w:sz w:val="24"/>
          <w:szCs w:val="24"/>
        </w:rPr>
        <w:t>.</w:t>
      </w:r>
    </w:p>
    <w:p w14:paraId="5BAA6986" w14:textId="77777777" w:rsidR="006860D0" w:rsidRPr="006A3553" w:rsidRDefault="006860D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39F1B03" w14:textId="6A450D06" w:rsidR="006860D0" w:rsidRPr="006A3553" w:rsidRDefault="006860D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t>In vitro studies with peripheral blood mononuclear cells</w:t>
      </w:r>
    </w:p>
    <w:p w14:paraId="79DC1A0D" w14:textId="1A05E41A" w:rsidR="006860D0" w:rsidRPr="006A3553" w:rsidRDefault="006860D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In this study, previous</w:t>
      </w:r>
      <w:r w:rsidR="00DD095B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>data from our laboratory were re-evaluated with respect to the rs1285933</w:t>
      </w:r>
      <w:r w:rsidR="00334872" w:rsidRPr="006A355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334872" w:rsidRPr="006A3553">
        <w:rPr>
          <w:rFonts w:ascii="Book Antiqua" w:hAnsi="Book Antiqua"/>
          <w:sz w:val="24"/>
          <w:szCs w:val="24"/>
        </w:rPr>
        <w:t>genotype</w:t>
      </w:r>
      <w:r w:rsidR="00334872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34872" w:rsidRPr="006A3553">
        <w:rPr>
          <w:rFonts w:ascii="Book Antiqua" w:hAnsi="Book Antiqua"/>
          <w:sz w:val="24"/>
          <w:szCs w:val="24"/>
          <w:vertAlign w:val="superscript"/>
        </w:rPr>
        <w:t>16</w:t>
      </w:r>
      <w:r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Pr="006A3553">
        <w:rPr>
          <w:rFonts w:ascii="Book Antiqua" w:hAnsi="Book Antiqua"/>
          <w:sz w:val="24"/>
          <w:szCs w:val="24"/>
        </w:rPr>
        <w:t xml:space="preserve">. Briefly, </w:t>
      </w:r>
      <w:r w:rsidR="00327910" w:rsidRPr="006A3553">
        <w:rPr>
          <w:rFonts w:ascii="Book Antiqua" w:hAnsi="Book Antiqua"/>
          <w:sz w:val="24"/>
          <w:szCs w:val="24"/>
        </w:rPr>
        <w:t>peripheral blood mononuclear cells (PBMC)</w:t>
      </w:r>
      <w:r w:rsidRPr="006A3553">
        <w:rPr>
          <w:rFonts w:ascii="Book Antiqua" w:hAnsi="Book Antiqua"/>
          <w:sz w:val="24"/>
          <w:szCs w:val="24"/>
        </w:rPr>
        <w:t xml:space="preserve"> had been isolated from EDTA venous blood, cultured and treated with lipopolysaccharide (1 µg/</w:t>
      </w:r>
      <w:r w:rsidR="00A009BF" w:rsidRPr="006A3553">
        <w:rPr>
          <w:rFonts w:ascii="Book Antiqua" w:hAnsi="Book Antiqua"/>
          <w:sz w:val="24"/>
          <w:szCs w:val="24"/>
        </w:rPr>
        <w:t>mL</w:t>
      </w:r>
      <w:r w:rsidRPr="006A3553">
        <w:rPr>
          <w:rFonts w:ascii="Book Antiqua" w:hAnsi="Book Antiqua"/>
          <w:sz w:val="24"/>
          <w:szCs w:val="24"/>
        </w:rPr>
        <w:t xml:space="preserve">; Sigma-Aldrich, </w:t>
      </w:r>
      <w:proofErr w:type="spellStart"/>
      <w:r w:rsidRPr="006A3553">
        <w:rPr>
          <w:rFonts w:ascii="Book Antiqua" w:hAnsi="Book Antiqua"/>
          <w:sz w:val="24"/>
          <w:szCs w:val="24"/>
        </w:rPr>
        <w:t>Deisenhofen</w:t>
      </w:r>
      <w:proofErr w:type="spellEnd"/>
      <w:r w:rsidRPr="006A3553">
        <w:rPr>
          <w:rFonts w:ascii="Book Antiqua" w:hAnsi="Book Antiqua"/>
          <w:sz w:val="24"/>
          <w:szCs w:val="24"/>
        </w:rPr>
        <w:t xml:space="preserve">, Germany) for 6 h. Afterwards, RNA was isolated, reversely transcribed into cDNA and subjected to </w:t>
      </w:r>
      <w:r w:rsidR="001740FF" w:rsidRPr="006A3553">
        <w:rPr>
          <w:rFonts w:ascii="Book Antiqua" w:hAnsi="Book Antiqua"/>
          <w:sz w:val="24"/>
          <w:szCs w:val="24"/>
        </w:rPr>
        <w:t>real-time PCR employing standard procedures</w:t>
      </w:r>
      <w:r w:rsidR="00A70337" w:rsidRPr="006A3553">
        <w:rPr>
          <w:rFonts w:ascii="Book Antiqua" w:hAnsi="Book Antiqua"/>
          <w:sz w:val="24"/>
          <w:szCs w:val="24"/>
        </w:rPr>
        <w:t xml:space="preserve"> and a </w:t>
      </w:r>
      <w:proofErr w:type="spellStart"/>
      <w:r w:rsidR="00A70337" w:rsidRPr="006A3553">
        <w:rPr>
          <w:rFonts w:ascii="Book Antiqua" w:hAnsi="Book Antiqua"/>
          <w:sz w:val="24"/>
          <w:szCs w:val="24"/>
        </w:rPr>
        <w:t>ViiA</w:t>
      </w:r>
      <w:proofErr w:type="spellEnd"/>
      <w:r w:rsidR="00A70337" w:rsidRPr="006A3553">
        <w:rPr>
          <w:rFonts w:ascii="Book Antiqua" w:hAnsi="Book Antiqua"/>
          <w:sz w:val="24"/>
          <w:szCs w:val="24"/>
        </w:rPr>
        <w:t xml:space="preserve"> 7 sequence detection system</w:t>
      </w:r>
      <w:r w:rsidR="001740FF" w:rsidRPr="006A3553">
        <w:rPr>
          <w:rFonts w:ascii="Book Antiqua" w:hAnsi="Book Antiqua"/>
          <w:sz w:val="24"/>
          <w:szCs w:val="24"/>
        </w:rPr>
        <w:t xml:space="preserve">. The following human-specific </w:t>
      </w:r>
      <w:proofErr w:type="spellStart"/>
      <w:r w:rsidR="001740FF" w:rsidRPr="006A3553">
        <w:rPr>
          <w:rFonts w:ascii="Book Antiqua" w:hAnsi="Book Antiqua"/>
          <w:sz w:val="24"/>
          <w:szCs w:val="24"/>
        </w:rPr>
        <w:t>TaqMan</w:t>
      </w:r>
      <w:r w:rsidR="001740FF" w:rsidRPr="006A3553">
        <w:rPr>
          <w:rFonts w:ascii="Book Antiqua" w:hAnsi="Book Antiqua"/>
          <w:sz w:val="24"/>
          <w:szCs w:val="24"/>
          <w:vertAlign w:val="superscript"/>
        </w:rPr>
        <w:t>TM</w:t>
      </w:r>
      <w:proofErr w:type="spellEnd"/>
      <w:r w:rsidR="001740FF" w:rsidRPr="006A3553">
        <w:rPr>
          <w:rFonts w:ascii="Book Antiqua" w:hAnsi="Book Antiqua"/>
          <w:sz w:val="24"/>
          <w:szCs w:val="24"/>
        </w:rPr>
        <w:t xml:space="preserve"> gene expression assays with fluorescently labeled MGB probes were used to quantify target cDNA levels: Hs04398399_m1 (</w:t>
      </w:r>
      <w:r w:rsidR="001740FF" w:rsidRPr="006A3553">
        <w:rPr>
          <w:rFonts w:ascii="Book Antiqua" w:hAnsi="Book Antiqua"/>
          <w:i/>
          <w:sz w:val="24"/>
          <w:szCs w:val="24"/>
        </w:rPr>
        <w:t>CLEC5A</w:t>
      </w:r>
      <w:r w:rsidR="001740FF" w:rsidRPr="006A3553">
        <w:rPr>
          <w:rFonts w:ascii="Book Antiqua" w:hAnsi="Book Antiqua"/>
          <w:sz w:val="24"/>
          <w:szCs w:val="24"/>
        </w:rPr>
        <w:t>), Hs01099660_g1 (</w:t>
      </w:r>
      <w:r w:rsidR="001740FF" w:rsidRPr="006A3553">
        <w:rPr>
          <w:rFonts w:ascii="Book Antiqua" w:hAnsi="Book Antiqua"/>
          <w:i/>
          <w:sz w:val="24"/>
          <w:szCs w:val="24"/>
        </w:rPr>
        <w:t>CXCL5</w:t>
      </w:r>
      <w:r w:rsidR="001740FF" w:rsidRPr="006A3553">
        <w:rPr>
          <w:rFonts w:ascii="Book Antiqua" w:hAnsi="Book Antiqua"/>
          <w:sz w:val="24"/>
          <w:szCs w:val="24"/>
        </w:rPr>
        <w:t>), and Hs99999905_m1 (</w:t>
      </w:r>
      <w:r w:rsidR="001740FF" w:rsidRPr="006A3553">
        <w:rPr>
          <w:rFonts w:ascii="Book Antiqua" w:hAnsi="Book Antiqua"/>
          <w:i/>
          <w:sz w:val="24"/>
          <w:szCs w:val="24"/>
        </w:rPr>
        <w:t>GAPDH</w:t>
      </w:r>
      <w:r w:rsidR="001740FF" w:rsidRPr="006A3553">
        <w:rPr>
          <w:rFonts w:ascii="Book Antiqua" w:hAnsi="Book Antiqua"/>
          <w:sz w:val="24"/>
          <w:szCs w:val="24"/>
        </w:rPr>
        <w:t xml:space="preserve">). PCR conditions were as follows: 95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="001740FF" w:rsidRPr="006A3553">
        <w:rPr>
          <w:rFonts w:ascii="Book Antiqua" w:hAnsi="Book Antiqua"/>
          <w:sz w:val="24"/>
          <w:szCs w:val="24"/>
        </w:rPr>
        <w:t xml:space="preserve"> for 10 m</w:t>
      </w:r>
      <w:r w:rsidR="00F1530B" w:rsidRPr="006A3553">
        <w:rPr>
          <w:rFonts w:ascii="Book Antiqua" w:hAnsi="Book Antiqua"/>
          <w:sz w:val="24"/>
          <w:szCs w:val="24"/>
        </w:rPr>
        <w:t>in, followed by 40 cycles of 15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1740FF" w:rsidRPr="006A3553">
        <w:rPr>
          <w:rFonts w:ascii="Book Antiqua" w:hAnsi="Book Antiqua"/>
          <w:sz w:val="24"/>
          <w:szCs w:val="24"/>
        </w:rPr>
        <w:t xml:space="preserve">s at 95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="001740FF" w:rsidRPr="006A3553">
        <w:rPr>
          <w:rFonts w:ascii="Book Antiqua" w:hAnsi="Book Antiqua"/>
          <w:sz w:val="24"/>
          <w:szCs w:val="24"/>
        </w:rPr>
        <w:t xml:space="preserve">/1 min at 60 </w:t>
      </w:r>
      <w:r w:rsidR="00A009BF" w:rsidRPr="006A3553">
        <w:rPr>
          <w:rFonts w:ascii="宋体" w:eastAsia="宋体" w:hAnsi="宋体" w:cs="宋体" w:hint="eastAsia"/>
          <w:sz w:val="24"/>
          <w:szCs w:val="24"/>
        </w:rPr>
        <w:t>℃</w:t>
      </w:r>
      <w:r w:rsidR="001740FF" w:rsidRPr="006A3553">
        <w:rPr>
          <w:rFonts w:ascii="Book Antiqua" w:hAnsi="Book Antiqua"/>
          <w:sz w:val="24"/>
          <w:szCs w:val="24"/>
        </w:rPr>
        <w:t>.</w:t>
      </w:r>
    </w:p>
    <w:p w14:paraId="0BE06E5F" w14:textId="77777777" w:rsidR="001740FF" w:rsidRPr="006A3553" w:rsidRDefault="001740F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BF6D98D" w14:textId="1F9318F5" w:rsidR="000040F9" w:rsidRPr="006A3553" w:rsidRDefault="003B04C1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6A3553">
        <w:rPr>
          <w:rFonts w:ascii="Book Antiqua" w:hAnsi="Book Antiqua"/>
          <w:b/>
          <w:i/>
          <w:iCs/>
          <w:sz w:val="24"/>
          <w:szCs w:val="24"/>
        </w:rPr>
        <w:t xml:space="preserve">Statistical </w:t>
      </w:r>
      <w:r w:rsidR="00A009BF" w:rsidRPr="006A3553">
        <w:rPr>
          <w:rFonts w:ascii="Book Antiqua" w:hAnsi="Book Antiqua"/>
          <w:b/>
          <w:i/>
          <w:iCs/>
          <w:sz w:val="24"/>
          <w:szCs w:val="24"/>
        </w:rPr>
        <w:t>a</w:t>
      </w:r>
      <w:r w:rsidRPr="006A3553">
        <w:rPr>
          <w:rFonts w:ascii="Book Antiqua" w:hAnsi="Book Antiqua"/>
          <w:b/>
          <w:i/>
          <w:iCs/>
          <w:sz w:val="24"/>
          <w:szCs w:val="24"/>
        </w:rPr>
        <w:t>nalysis</w:t>
      </w:r>
    </w:p>
    <w:p w14:paraId="0804C20E" w14:textId="2098FF48" w:rsidR="00AB3D83" w:rsidRPr="006A3553" w:rsidRDefault="0085069A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The</w:t>
      </w:r>
      <w:r w:rsidR="004F30FD" w:rsidRPr="006A3553">
        <w:rPr>
          <w:rFonts w:ascii="Book Antiqua" w:hAnsi="Book Antiqua"/>
          <w:sz w:val="24"/>
          <w:szCs w:val="24"/>
        </w:rPr>
        <w:t xml:space="preserve"> data were stored and analyzed employing </w:t>
      </w:r>
      <w:r w:rsidRPr="006A3553">
        <w:rPr>
          <w:rFonts w:ascii="Book Antiqua" w:hAnsi="Book Antiqua"/>
          <w:sz w:val="24"/>
          <w:szCs w:val="24"/>
        </w:rPr>
        <w:t>IBM SPSS Statistics 25</w:t>
      </w:r>
      <w:r w:rsidR="004F30FD" w:rsidRPr="006A3553">
        <w:rPr>
          <w:rFonts w:ascii="Book Antiqua" w:hAnsi="Book Antiqua"/>
          <w:sz w:val="24"/>
          <w:szCs w:val="24"/>
        </w:rPr>
        <w:t>.0 (International Business Machines Corporation, Armonk, New York, U</w:t>
      </w:r>
      <w:r w:rsidR="00A009BF" w:rsidRPr="006A3553">
        <w:rPr>
          <w:rFonts w:ascii="Book Antiqua" w:hAnsi="Book Antiqua"/>
          <w:sz w:val="24"/>
          <w:szCs w:val="24"/>
        </w:rPr>
        <w:t>nited States</w:t>
      </w:r>
      <w:r w:rsidR="004F30FD" w:rsidRPr="006A3553">
        <w:rPr>
          <w:rFonts w:ascii="Book Antiqua" w:hAnsi="Book Antiqua"/>
          <w:sz w:val="24"/>
          <w:szCs w:val="24"/>
        </w:rPr>
        <w:t>)</w:t>
      </w:r>
      <w:r w:rsidR="007D2580" w:rsidRPr="006A3553">
        <w:rPr>
          <w:rFonts w:ascii="Book Antiqua" w:hAnsi="Book Antiqua"/>
          <w:sz w:val="24"/>
          <w:szCs w:val="24"/>
        </w:rPr>
        <w:t xml:space="preserve">. </w:t>
      </w:r>
      <w:r w:rsidR="004F30FD" w:rsidRPr="006A3553">
        <w:rPr>
          <w:rFonts w:ascii="Book Antiqua" w:hAnsi="Book Antiqua"/>
          <w:sz w:val="24"/>
          <w:szCs w:val="24"/>
        </w:rPr>
        <w:t xml:space="preserve">Differences between patients and controls were assessed for distributions (genotype, allele and sex) using the </w:t>
      </w:r>
      <w:r w:rsidR="004F30FD" w:rsidRPr="00293FFF">
        <w:rPr>
          <w:rFonts w:ascii="Book Antiqua" w:hAnsi="Book Antiqua"/>
          <w:i/>
          <w:sz w:val="24"/>
          <w:szCs w:val="24"/>
        </w:rPr>
        <w:t>χ</w:t>
      </w:r>
      <w:r w:rsidR="004F30FD" w:rsidRPr="00293FFF">
        <w:rPr>
          <w:rFonts w:ascii="Book Antiqua" w:hAnsi="Book Antiqua"/>
          <w:i/>
          <w:sz w:val="24"/>
          <w:szCs w:val="24"/>
          <w:vertAlign w:val="superscript"/>
        </w:rPr>
        <w:t>2</w:t>
      </w:r>
      <w:r w:rsidR="004F30FD" w:rsidRPr="00293FFF">
        <w:rPr>
          <w:rFonts w:ascii="Book Antiqua" w:hAnsi="Book Antiqua"/>
          <w:i/>
          <w:sz w:val="24"/>
          <w:szCs w:val="24"/>
        </w:rPr>
        <w:t xml:space="preserve"> </w:t>
      </w:r>
      <w:r w:rsidR="004F30FD" w:rsidRPr="006A3553">
        <w:rPr>
          <w:rFonts w:ascii="Book Antiqua" w:hAnsi="Book Antiqua"/>
          <w:sz w:val="24"/>
          <w:szCs w:val="24"/>
        </w:rPr>
        <w:t xml:space="preserve">test or Fisher’s exact test, and for means using the </w:t>
      </w:r>
      <w:r w:rsidR="004F30FD" w:rsidRPr="006A3553">
        <w:rPr>
          <w:rFonts w:ascii="Book Antiqua" w:hAnsi="Book Antiqua"/>
          <w:i/>
          <w:iCs/>
          <w:sz w:val="24"/>
          <w:szCs w:val="24"/>
        </w:rPr>
        <w:t>t</w:t>
      </w:r>
      <w:r w:rsidR="004F30FD" w:rsidRPr="006A3553">
        <w:rPr>
          <w:rFonts w:ascii="Book Antiqua" w:hAnsi="Book Antiqua"/>
          <w:sz w:val="24"/>
          <w:szCs w:val="24"/>
        </w:rPr>
        <w:t xml:space="preserve">-test for independent samples (age, gene expression data), respectively. </w:t>
      </w:r>
      <w:r w:rsidR="007D2580" w:rsidRPr="006A3553">
        <w:rPr>
          <w:rFonts w:ascii="Book Antiqua" w:hAnsi="Book Antiqua"/>
          <w:sz w:val="24"/>
          <w:szCs w:val="24"/>
        </w:rPr>
        <w:t xml:space="preserve">Pairwise statistical interaction between SNPs in a linear model was studied employing ANOVA. </w:t>
      </w:r>
      <w:r w:rsidR="003B30A3" w:rsidRPr="006A3553">
        <w:rPr>
          <w:rFonts w:ascii="Book Antiqua" w:hAnsi="Book Antiqua"/>
          <w:sz w:val="24"/>
          <w:szCs w:val="24"/>
        </w:rPr>
        <w:t>The Hardy-Weinberg equilibrium was assessed using the</w:t>
      </w:r>
      <w:r w:rsidR="003B30A3" w:rsidRPr="00293FFF">
        <w:rPr>
          <w:rFonts w:ascii="Book Antiqua" w:hAnsi="Book Antiqua"/>
          <w:i/>
          <w:sz w:val="24"/>
          <w:szCs w:val="24"/>
        </w:rPr>
        <w:t xml:space="preserve"> χ</w:t>
      </w:r>
      <w:r w:rsidR="003B30A3" w:rsidRPr="00293FFF">
        <w:rPr>
          <w:rFonts w:ascii="Book Antiqua" w:hAnsi="Book Antiqua"/>
          <w:i/>
          <w:sz w:val="24"/>
          <w:szCs w:val="24"/>
          <w:vertAlign w:val="superscript"/>
        </w:rPr>
        <w:t>2</w:t>
      </w:r>
      <w:r w:rsidR="003B30A3" w:rsidRPr="006A3553">
        <w:rPr>
          <w:rFonts w:ascii="Book Antiqua" w:hAnsi="Book Antiqua"/>
          <w:sz w:val="24"/>
          <w:szCs w:val="24"/>
        </w:rPr>
        <w:t xml:space="preserve"> test with 1 degree of</w:t>
      </w:r>
      <w:r w:rsidR="00D763F4" w:rsidRPr="006A3553">
        <w:rPr>
          <w:rFonts w:ascii="Book Antiqua" w:hAnsi="Book Antiqua"/>
          <w:sz w:val="24"/>
          <w:szCs w:val="24"/>
        </w:rPr>
        <w:t xml:space="preserve"> freedom.</w:t>
      </w:r>
      <w:r w:rsidR="003B30A3" w:rsidRPr="006A3553">
        <w:rPr>
          <w:rFonts w:ascii="Book Antiqua" w:hAnsi="Book Antiqua"/>
          <w:sz w:val="24"/>
          <w:szCs w:val="24"/>
        </w:rPr>
        <w:t xml:space="preserve"> </w:t>
      </w:r>
      <w:r w:rsidR="00F4463A" w:rsidRPr="006A3553">
        <w:rPr>
          <w:rFonts w:ascii="Book Antiqua" w:hAnsi="Book Antiqua"/>
          <w:sz w:val="24"/>
          <w:szCs w:val="24"/>
        </w:rPr>
        <w:t>F</w:t>
      </w:r>
      <w:r w:rsidR="007F2B84" w:rsidRPr="006A3553">
        <w:rPr>
          <w:rFonts w:ascii="Book Antiqua" w:hAnsi="Book Antiqua"/>
          <w:sz w:val="24"/>
          <w:szCs w:val="24"/>
        </w:rPr>
        <w:t>alse discovery rate</w:t>
      </w:r>
      <w:r w:rsidR="00F4463A" w:rsidRPr="006A3553">
        <w:rPr>
          <w:rFonts w:ascii="Book Antiqua" w:hAnsi="Book Antiqua"/>
          <w:sz w:val="24"/>
          <w:szCs w:val="24"/>
        </w:rPr>
        <w:t xml:space="preserve">s were </w:t>
      </w:r>
      <w:r w:rsidR="00956B1B" w:rsidRPr="006A3553">
        <w:rPr>
          <w:rFonts w:ascii="Book Antiqua" w:hAnsi="Book Antiqua"/>
          <w:sz w:val="24"/>
          <w:szCs w:val="24"/>
        </w:rPr>
        <w:t>controlled</w:t>
      </w:r>
      <w:r w:rsidR="00F4463A" w:rsidRPr="006A3553">
        <w:rPr>
          <w:rFonts w:ascii="Book Antiqua" w:hAnsi="Book Antiqua"/>
          <w:sz w:val="24"/>
          <w:szCs w:val="24"/>
        </w:rPr>
        <w:t xml:space="preserve"> by using the </w:t>
      </w:r>
      <w:proofErr w:type="spellStart"/>
      <w:r w:rsidR="00F4463A" w:rsidRPr="006A3553">
        <w:rPr>
          <w:rFonts w:ascii="Book Antiqua" w:hAnsi="Book Antiqua"/>
          <w:sz w:val="24"/>
          <w:szCs w:val="24"/>
        </w:rPr>
        <w:t>Benjamini</w:t>
      </w:r>
      <w:proofErr w:type="spellEnd"/>
      <w:r w:rsidR="00F4463A" w:rsidRPr="006A3553">
        <w:rPr>
          <w:rFonts w:ascii="Book Antiqua" w:hAnsi="Book Antiqua"/>
          <w:sz w:val="24"/>
          <w:szCs w:val="24"/>
        </w:rPr>
        <w:t>-Hochberg</w:t>
      </w:r>
      <w:r w:rsidR="00072CC3" w:rsidRPr="006A3553">
        <w:rPr>
          <w:rFonts w:ascii="Book Antiqua" w:hAnsi="Book Antiqua"/>
          <w:sz w:val="24"/>
          <w:szCs w:val="24"/>
        </w:rPr>
        <w:t xml:space="preserve"> </w:t>
      </w:r>
      <w:r w:rsidR="00F4463A" w:rsidRPr="006A3553">
        <w:rPr>
          <w:rFonts w:ascii="Book Antiqua" w:hAnsi="Book Antiqua"/>
          <w:sz w:val="24"/>
          <w:szCs w:val="24"/>
        </w:rPr>
        <w:t>correction</w:t>
      </w:r>
      <w:r w:rsidR="007F2B84" w:rsidRPr="006A3553">
        <w:rPr>
          <w:rFonts w:ascii="Book Antiqua" w:hAnsi="Book Antiqua"/>
          <w:sz w:val="24"/>
          <w:szCs w:val="24"/>
        </w:rPr>
        <w:t xml:space="preserve">. </w:t>
      </w:r>
      <w:r w:rsidR="00A95418" w:rsidRPr="006A3553">
        <w:rPr>
          <w:rFonts w:ascii="Book Antiqua" w:hAnsi="Book Antiqua"/>
          <w:sz w:val="24"/>
          <w:szCs w:val="24"/>
        </w:rPr>
        <w:t xml:space="preserve">Values of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95418" w:rsidRPr="006A3553">
        <w:rPr>
          <w:rFonts w:ascii="Book Antiqua" w:hAnsi="Book Antiqua"/>
          <w:sz w:val="24"/>
          <w:szCs w:val="24"/>
        </w:rPr>
        <w:t xml:space="preserve"> &lt; 0.05 were considered statistically significant.</w:t>
      </w:r>
    </w:p>
    <w:p w14:paraId="0DC469BB" w14:textId="2DEB853F" w:rsidR="007D2580" w:rsidRPr="006A3553" w:rsidRDefault="007D2580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DB85FE2" w14:textId="4BB96770" w:rsidR="00765849" w:rsidRPr="006A3553" w:rsidRDefault="00A009B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A3553">
        <w:rPr>
          <w:rFonts w:ascii="Book Antiqua" w:hAnsi="Book Antiqua"/>
          <w:b/>
          <w:sz w:val="24"/>
          <w:szCs w:val="24"/>
          <w:u w:val="single"/>
        </w:rPr>
        <w:t>RESULTS</w:t>
      </w:r>
    </w:p>
    <w:p w14:paraId="15433600" w14:textId="06A22239" w:rsidR="00A31754" w:rsidRPr="006A3553" w:rsidRDefault="00BE3EEF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SNP genotyping was performed on DNA samples from 175 patients </w:t>
      </w:r>
      <w:r w:rsidR="00765849" w:rsidRPr="006A3553">
        <w:rPr>
          <w:rFonts w:ascii="Book Antiqua" w:hAnsi="Book Antiqua"/>
          <w:sz w:val="24"/>
          <w:szCs w:val="24"/>
        </w:rPr>
        <w:t>with C</w:t>
      </w:r>
      <w:r w:rsidR="00F53928" w:rsidRPr="006A3553">
        <w:rPr>
          <w:rFonts w:ascii="Book Antiqua" w:hAnsi="Book Antiqua"/>
          <w:sz w:val="24"/>
          <w:szCs w:val="24"/>
        </w:rPr>
        <w:t>D and 157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healthy controls. </w:t>
      </w:r>
      <w:r w:rsidR="00633165" w:rsidRPr="006A3553">
        <w:rPr>
          <w:rFonts w:ascii="Book Antiqua" w:hAnsi="Book Antiqua"/>
          <w:sz w:val="24"/>
          <w:szCs w:val="24"/>
        </w:rPr>
        <w:t>Both study groups are comparable for distribution of se</w:t>
      </w:r>
      <w:r w:rsidR="002A3615" w:rsidRPr="006A3553">
        <w:rPr>
          <w:rFonts w:ascii="Book Antiqua" w:hAnsi="Book Antiqua"/>
          <w:sz w:val="24"/>
          <w:szCs w:val="24"/>
        </w:rPr>
        <w:t>x (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2A3615" w:rsidRPr="006A3553">
        <w:rPr>
          <w:rFonts w:ascii="Book Antiqua" w:hAnsi="Book Antiqua"/>
          <w:sz w:val="24"/>
          <w:szCs w:val="24"/>
        </w:rPr>
        <w:t>=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2A3615" w:rsidRPr="006A3553">
        <w:rPr>
          <w:rFonts w:ascii="Book Antiqua" w:hAnsi="Book Antiqua"/>
          <w:sz w:val="24"/>
          <w:szCs w:val="24"/>
        </w:rPr>
        <w:t>0.310), while</w:t>
      </w:r>
      <w:r w:rsidR="00633165" w:rsidRPr="006A3553">
        <w:rPr>
          <w:rFonts w:ascii="Book Antiqua" w:hAnsi="Book Antiqua"/>
          <w:sz w:val="24"/>
          <w:szCs w:val="24"/>
        </w:rPr>
        <w:t xml:space="preserve"> p</w:t>
      </w:r>
      <w:r w:rsidR="00BA1708" w:rsidRPr="006A3553">
        <w:rPr>
          <w:rFonts w:ascii="Book Antiqua" w:hAnsi="Book Antiqua"/>
          <w:sz w:val="24"/>
          <w:szCs w:val="24"/>
        </w:rPr>
        <w:t>atients</w:t>
      </w:r>
      <w:r w:rsidR="00633165" w:rsidRPr="006A3553">
        <w:rPr>
          <w:rFonts w:ascii="Book Antiqua" w:hAnsi="Book Antiqua"/>
          <w:sz w:val="24"/>
          <w:szCs w:val="24"/>
        </w:rPr>
        <w:t xml:space="preserve"> with CD</w:t>
      </w:r>
      <w:r w:rsidR="00BA1708" w:rsidRPr="006A3553">
        <w:rPr>
          <w:rFonts w:ascii="Book Antiqua" w:hAnsi="Book Antiqua"/>
          <w:sz w:val="24"/>
          <w:szCs w:val="24"/>
        </w:rPr>
        <w:t xml:space="preserve"> were older than healthy </w:t>
      </w:r>
      <w:r w:rsidR="00327E8B" w:rsidRPr="006A3553">
        <w:rPr>
          <w:rFonts w:ascii="Book Antiqua" w:hAnsi="Book Antiqua"/>
          <w:sz w:val="24"/>
          <w:szCs w:val="24"/>
        </w:rPr>
        <w:t>volunteers who</w:t>
      </w:r>
      <w:r w:rsidR="00BA1708" w:rsidRPr="006A3553">
        <w:rPr>
          <w:rFonts w:ascii="Book Antiqua" w:hAnsi="Book Antiqua"/>
          <w:sz w:val="24"/>
          <w:szCs w:val="24"/>
        </w:rPr>
        <w:t xml:space="preserve"> served as controls (43.1 ± 14.7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vs</w:t>
      </w:r>
      <w:r w:rsidR="00633165" w:rsidRPr="006A3553">
        <w:rPr>
          <w:rFonts w:ascii="Book Antiqua" w:hAnsi="Book Antiqua"/>
          <w:sz w:val="24"/>
          <w:szCs w:val="24"/>
        </w:rPr>
        <w:t xml:space="preserve"> 25.3 ± 5.7 years;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633165" w:rsidRPr="006A3553">
        <w:rPr>
          <w:rFonts w:ascii="Book Antiqua" w:hAnsi="Book Antiqua"/>
          <w:sz w:val="24"/>
          <w:szCs w:val="24"/>
        </w:rPr>
        <w:t xml:space="preserve"> &lt; 0.0001).</w:t>
      </w:r>
      <w:r w:rsidR="00BA1708" w:rsidRPr="006A3553">
        <w:rPr>
          <w:rFonts w:ascii="Book Antiqua" w:hAnsi="Book Antiqua"/>
          <w:sz w:val="24"/>
          <w:szCs w:val="24"/>
        </w:rPr>
        <w:t xml:space="preserve"> </w:t>
      </w:r>
      <w:r w:rsidR="00633165" w:rsidRPr="006A3553">
        <w:rPr>
          <w:rFonts w:ascii="Book Antiqua" w:hAnsi="Book Antiqua"/>
          <w:sz w:val="24"/>
          <w:szCs w:val="24"/>
        </w:rPr>
        <w:t>In the context of this study, this age difference was considered acceptable.</w:t>
      </w:r>
      <w:r w:rsidR="000562A4" w:rsidRPr="006A3553">
        <w:rPr>
          <w:rFonts w:ascii="Book Antiqua" w:hAnsi="Book Antiqua"/>
          <w:sz w:val="24"/>
          <w:szCs w:val="24"/>
        </w:rPr>
        <w:t xml:space="preserve"> </w:t>
      </w:r>
      <w:r w:rsidR="00D763F4" w:rsidRPr="006A3553">
        <w:rPr>
          <w:rFonts w:ascii="Book Antiqua" w:hAnsi="Book Antiqua"/>
          <w:sz w:val="24"/>
          <w:szCs w:val="24"/>
        </w:rPr>
        <w:t xml:space="preserve">For the controls, the distribution of all </w:t>
      </w:r>
      <w:r w:rsidR="00C80E24" w:rsidRPr="006A3553">
        <w:rPr>
          <w:rFonts w:ascii="Book Antiqua" w:hAnsi="Book Antiqua"/>
          <w:sz w:val="24"/>
          <w:szCs w:val="24"/>
        </w:rPr>
        <w:t xml:space="preserve">individual </w:t>
      </w:r>
      <w:r w:rsidR="00D763F4" w:rsidRPr="006A3553">
        <w:rPr>
          <w:rFonts w:ascii="Book Antiqua" w:hAnsi="Book Antiqua"/>
          <w:sz w:val="24"/>
          <w:szCs w:val="24"/>
        </w:rPr>
        <w:t>SNP genotypes was in accordance with the Hardy-Weinberg equilibrium.</w:t>
      </w:r>
    </w:p>
    <w:p w14:paraId="15B00A63" w14:textId="04ED6481" w:rsidR="00E9522B" w:rsidRPr="006A3553" w:rsidRDefault="00E9522B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To study associations of CD with SNP genotypes or allele frequencies, </w:t>
      </w:r>
      <w:r w:rsidR="00ED2D4A" w:rsidRPr="006A3553">
        <w:rPr>
          <w:rFonts w:ascii="Book Antiqua" w:hAnsi="Book Antiqua"/>
          <w:sz w:val="24"/>
          <w:szCs w:val="24"/>
        </w:rPr>
        <w:t>four</w:t>
      </w:r>
      <w:r w:rsidRPr="006A3553">
        <w:rPr>
          <w:rFonts w:ascii="Book Antiqua" w:hAnsi="Book Antiqua"/>
          <w:sz w:val="24"/>
          <w:szCs w:val="24"/>
        </w:rPr>
        <w:t xml:space="preserve"> genetic models (</w:t>
      </w:r>
      <w:r w:rsidR="00ED2D4A" w:rsidRPr="006A3553">
        <w:rPr>
          <w:rFonts w:ascii="Book Antiqua" w:hAnsi="Book Antiqua"/>
          <w:sz w:val="24"/>
          <w:szCs w:val="24"/>
        </w:rPr>
        <w:t xml:space="preserve">genotype, </w:t>
      </w:r>
      <w:r w:rsidRPr="006A3553">
        <w:rPr>
          <w:rFonts w:ascii="Book Antiqua" w:hAnsi="Book Antiqua"/>
          <w:sz w:val="24"/>
          <w:szCs w:val="24"/>
        </w:rPr>
        <w:t>dominant, recessive, or allelic models) were employed (</w:t>
      </w:r>
      <w:r w:rsidRPr="006A3553">
        <w:rPr>
          <w:rFonts w:ascii="Book Antiqua" w:hAnsi="Book Antiqua"/>
          <w:bCs/>
          <w:sz w:val="24"/>
          <w:szCs w:val="24"/>
        </w:rPr>
        <w:t>Table 1</w:t>
      </w:r>
      <w:r w:rsidRPr="006A3553">
        <w:rPr>
          <w:rFonts w:ascii="Book Antiqua" w:hAnsi="Book Antiqua"/>
          <w:sz w:val="24"/>
          <w:szCs w:val="24"/>
        </w:rPr>
        <w:t xml:space="preserve">). As expected, significant associations with CD were found for SNPs in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, specifically rs2066844 (SNP8; </w:t>
      </w:r>
      <w:r w:rsidR="00207434" w:rsidRPr="006A3553">
        <w:rPr>
          <w:rFonts w:ascii="Book Antiqua" w:hAnsi="Book Antiqua"/>
          <w:sz w:val="24"/>
          <w:szCs w:val="24"/>
        </w:rPr>
        <w:t xml:space="preserve">genotype </w:t>
      </w:r>
      <w:proofErr w:type="gramStart"/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0002C5">
        <w:rPr>
          <w:rFonts w:ascii="Book Antiqua" w:hAnsi="Book Antiqua"/>
          <w:sz w:val="24"/>
          <w:szCs w:val="24"/>
        </w:rPr>
        <w:t xml:space="preserve"> </w:t>
      </w:r>
      <w:r w:rsidR="00207434" w:rsidRPr="006A3553">
        <w:rPr>
          <w:rFonts w:ascii="Book Antiqua" w:hAnsi="Book Antiqua"/>
          <w:sz w:val="24"/>
          <w:szCs w:val="24"/>
        </w:rPr>
        <w:t>=</w:t>
      </w:r>
      <w:proofErr w:type="gramEnd"/>
      <w:r w:rsidR="00207434" w:rsidRPr="006A3553">
        <w:rPr>
          <w:rFonts w:ascii="Book Antiqua" w:hAnsi="Book Antiqua"/>
          <w:sz w:val="24"/>
          <w:szCs w:val="24"/>
        </w:rPr>
        <w:t xml:space="preserve"> 0.0498, dominant</w:t>
      </w:r>
      <w:r w:rsidRPr="006A3553">
        <w:rPr>
          <w:rFonts w:ascii="Book Antiqua" w:hAnsi="Book Antiqua"/>
          <w:sz w:val="24"/>
          <w:szCs w:val="24"/>
        </w:rPr>
        <w:t xml:space="preserve">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value = 0.0219, allelic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value = 0.0368) and rs2066847 (SNP13; </w:t>
      </w:r>
      <w:r w:rsidR="00207434" w:rsidRPr="006A3553">
        <w:rPr>
          <w:rFonts w:ascii="Book Antiqua" w:hAnsi="Book Antiqua"/>
          <w:sz w:val="24"/>
          <w:szCs w:val="24"/>
        </w:rPr>
        <w:t xml:space="preserve">allelic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="00207434" w:rsidRPr="006A3553">
        <w:rPr>
          <w:rFonts w:ascii="Book Antiqua" w:hAnsi="Book Antiqua"/>
          <w:sz w:val="24"/>
          <w:szCs w:val="24"/>
        </w:rPr>
        <w:t>value = 0.0474</w:t>
      </w:r>
      <w:r w:rsidRPr="006A3553">
        <w:rPr>
          <w:rFonts w:ascii="Book Antiqua" w:hAnsi="Book Antiqua"/>
          <w:sz w:val="24"/>
          <w:szCs w:val="24"/>
        </w:rPr>
        <w:t xml:space="preserve">). Intriguingly, the genotype AA of rs1285933 in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was also potentially associated with the disease (recessive model; </w:t>
      </w:r>
      <w:r w:rsidR="00A009BF" w:rsidRPr="006A3553">
        <w:rPr>
          <w:rFonts w:ascii="Book Antiqua" w:hAnsi="Book Antiqua"/>
          <w:i/>
          <w:iCs/>
          <w:sz w:val="24"/>
          <w:szCs w:val="24"/>
        </w:rPr>
        <w:t>P</w:t>
      </w:r>
      <w:r w:rsidRPr="006A3553">
        <w:rPr>
          <w:rFonts w:ascii="Book Antiqua" w:hAnsi="Book Antiqua"/>
          <w:sz w:val="24"/>
          <w:szCs w:val="24"/>
        </w:rPr>
        <w:t xml:space="preserve"> = 0.0523). The corresponding </w:t>
      </w:r>
      <w:r w:rsidR="003D11E0" w:rsidRPr="006A3553">
        <w:rPr>
          <w:rFonts w:ascii="Book Antiqua" w:eastAsia="Times New Roman" w:hAnsi="Book Antiqua" w:cs="Times New Roman"/>
          <w:color w:val="000000"/>
          <w:sz w:val="24"/>
          <w:szCs w:val="24"/>
        </w:rPr>
        <w:t>odds ratios</w:t>
      </w:r>
      <w:r w:rsidR="003D11E0" w:rsidRPr="006A3553">
        <w:rPr>
          <w:rFonts w:ascii="Book Antiqua" w:hAnsi="Book Antiqua"/>
          <w:sz w:val="24"/>
          <w:szCs w:val="24"/>
        </w:rPr>
        <w:t xml:space="preserve"> (</w:t>
      </w:r>
      <w:r w:rsidRPr="006A3553">
        <w:rPr>
          <w:rFonts w:ascii="Book Antiqua" w:hAnsi="Book Antiqua"/>
          <w:sz w:val="24"/>
          <w:szCs w:val="24"/>
        </w:rPr>
        <w:t>ORs</w:t>
      </w:r>
      <w:r w:rsidR="003D11E0" w:rsidRPr="006A3553">
        <w:rPr>
          <w:rFonts w:ascii="Book Antiqua" w:hAnsi="Book Antiqua"/>
          <w:sz w:val="24"/>
          <w:szCs w:val="24"/>
        </w:rPr>
        <w:t>)</w:t>
      </w:r>
      <w:r w:rsidRPr="006A3553">
        <w:rPr>
          <w:rFonts w:ascii="Book Antiqua" w:hAnsi="Book Antiqua"/>
          <w:sz w:val="24"/>
          <w:szCs w:val="24"/>
        </w:rPr>
        <w:t xml:space="preserve"> are shown in </w:t>
      </w:r>
      <w:r w:rsidRPr="006A3553">
        <w:rPr>
          <w:rFonts w:ascii="Book Antiqua" w:hAnsi="Book Antiqua"/>
          <w:bCs/>
          <w:sz w:val="24"/>
          <w:szCs w:val="24"/>
        </w:rPr>
        <w:t>Table 2</w:t>
      </w:r>
      <w:r w:rsidRPr="006A3553">
        <w:rPr>
          <w:rFonts w:ascii="Book Antiqua" w:hAnsi="Book Antiqua"/>
          <w:sz w:val="24"/>
          <w:szCs w:val="24"/>
        </w:rPr>
        <w:t xml:space="preserve">. For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>, the odds of having CD might triple in the presence of the risk allele T (rs2066844: OR = 3.29), and double with allele CC (rs2066847: OR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>=</w:t>
      </w:r>
      <w:r w:rsidR="00A009BF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2.31). Increased </w:t>
      </w:r>
      <w:r w:rsidR="004846D1" w:rsidRPr="006A3553">
        <w:rPr>
          <w:rFonts w:ascii="Book Antiqua" w:hAnsi="Book Antiqua"/>
          <w:sz w:val="24"/>
          <w:szCs w:val="24"/>
        </w:rPr>
        <w:t>ORs</w:t>
      </w:r>
      <w:r w:rsidRPr="006A3553">
        <w:rPr>
          <w:rFonts w:ascii="Book Antiqua" w:hAnsi="Book Antiqua"/>
          <w:sz w:val="24"/>
          <w:szCs w:val="24"/>
        </w:rPr>
        <w:t xml:space="preserve"> are detectable for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, too. Genotype AA almost doubles the odds of CD (OR = 1.90). Carrying the </w:t>
      </w:r>
      <w:r w:rsidRPr="006A3553">
        <w:rPr>
          <w:rFonts w:ascii="Book Antiqua" w:hAnsi="Book Antiqua"/>
          <w:sz w:val="24"/>
          <w:szCs w:val="24"/>
        </w:rPr>
        <w:lastRenderedPageBreak/>
        <w:t xml:space="preserve">risk </w:t>
      </w:r>
      <w:proofErr w:type="gramStart"/>
      <w:r w:rsidRPr="006A3553">
        <w:rPr>
          <w:rFonts w:ascii="Book Antiqua" w:hAnsi="Book Antiqua"/>
          <w:sz w:val="24"/>
          <w:szCs w:val="24"/>
        </w:rPr>
        <w:t>allele</w:t>
      </w:r>
      <w:proofErr w:type="gramEnd"/>
      <w:r w:rsidRPr="006A3553">
        <w:rPr>
          <w:rFonts w:ascii="Book Antiqua" w:hAnsi="Book Antiqua"/>
          <w:sz w:val="24"/>
          <w:szCs w:val="24"/>
        </w:rPr>
        <w:t xml:space="preserve"> A increases the odds of CD by </w:t>
      </w:r>
      <w:r w:rsidR="002A3615" w:rsidRPr="006A3553">
        <w:rPr>
          <w:rFonts w:ascii="Book Antiqua" w:hAnsi="Book Antiqua"/>
          <w:sz w:val="24"/>
          <w:szCs w:val="24"/>
        </w:rPr>
        <w:t>39% (OR = 1.39</w:t>
      </w:r>
      <w:r w:rsidRPr="006A3553">
        <w:rPr>
          <w:rFonts w:ascii="Book Antiqua" w:hAnsi="Book Antiqua"/>
          <w:sz w:val="24"/>
          <w:szCs w:val="24"/>
        </w:rPr>
        <w:t xml:space="preserve">), whereas allele G displays a protective effect (OR = 0.72). We could not detect significant associations between CD and the two SNPs in </w:t>
      </w:r>
      <w:r w:rsidRPr="006A3553">
        <w:rPr>
          <w:rFonts w:ascii="Book Antiqua" w:hAnsi="Book Antiqua"/>
          <w:i/>
          <w:sz w:val="24"/>
          <w:szCs w:val="24"/>
        </w:rPr>
        <w:t>CLEC7A</w:t>
      </w:r>
      <w:r w:rsidRPr="006A3553">
        <w:rPr>
          <w:rFonts w:ascii="Book Antiqua" w:hAnsi="Book Antiqua"/>
          <w:sz w:val="24"/>
          <w:szCs w:val="24"/>
        </w:rPr>
        <w:t xml:space="preserve"> (rs2078178, rs16910631) and also not for rs2066845 (SNP12) in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(</w:t>
      </w:r>
      <w:r w:rsidRPr="006A3553">
        <w:rPr>
          <w:rFonts w:ascii="Book Antiqua" w:hAnsi="Book Antiqua"/>
          <w:bCs/>
          <w:sz w:val="24"/>
          <w:szCs w:val="24"/>
        </w:rPr>
        <w:t>Table 1</w:t>
      </w:r>
      <w:r w:rsidRPr="006A3553">
        <w:rPr>
          <w:rFonts w:ascii="Book Antiqua" w:hAnsi="Book Antiqua"/>
          <w:sz w:val="24"/>
          <w:szCs w:val="24"/>
        </w:rPr>
        <w:t>). The latter finding might be explained by the rare occurrence of the risk allele C in our cohorts of small size.</w:t>
      </w:r>
    </w:p>
    <w:p w14:paraId="6AC9744F" w14:textId="4B7FAC04" w:rsidR="006A4156" w:rsidRPr="006A3553" w:rsidRDefault="006A4156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We next compared patients with different genotypes </w:t>
      </w:r>
      <w:r w:rsidR="009400A7" w:rsidRPr="006A3553">
        <w:rPr>
          <w:rFonts w:ascii="Book Antiqua" w:hAnsi="Book Antiqua"/>
          <w:sz w:val="24"/>
          <w:szCs w:val="24"/>
        </w:rPr>
        <w:t xml:space="preserve">of rs1285933 in </w:t>
      </w:r>
      <w:r w:rsidR="009400A7" w:rsidRPr="006A3553">
        <w:rPr>
          <w:rFonts w:ascii="Book Antiqua" w:hAnsi="Book Antiqua"/>
          <w:i/>
          <w:sz w:val="24"/>
          <w:szCs w:val="24"/>
        </w:rPr>
        <w:t>CLEC5A</w:t>
      </w:r>
      <w:r w:rsidR="009400A7" w:rsidRPr="006A3553">
        <w:rPr>
          <w:rFonts w:ascii="Book Antiqua" w:hAnsi="Book Antiqua"/>
          <w:sz w:val="24"/>
          <w:szCs w:val="24"/>
        </w:rPr>
        <w:t xml:space="preserve"> </w:t>
      </w:r>
      <w:r w:rsidRPr="006A3553">
        <w:rPr>
          <w:rFonts w:ascii="Book Antiqua" w:hAnsi="Book Antiqua"/>
          <w:sz w:val="24"/>
          <w:szCs w:val="24"/>
        </w:rPr>
        <w:t xml:space="preserve">(AA, AG and GG, respectively) regarding their clinical characteristics, employing the following parameters: </w:t>
      </w:r>
      <w:r w:rsidR="00A009BF" w:rsidRPr="006A3553">
        <w:rPr>
          <w:rFonts w:ascii="Book Antiqua" w:hAnsi="Book Antiqua"/>
          <w:sz w:val="24"/>
          <w:szCs w:val="24"/>
        </w:rPr>
        <w:t>A</w:t>
      </w:r>
      <w:r w:rsidR="004476E1" w:rsidRPr="006A3553">
        <w:rPr>
          <w:rFonts w:ascii="Book Antiqua" w:hAnsi="Book Antiqua"/>
          <w:sz w:val="24"/>
          <w:szCs w:val="24"/>
        </w:rPr>
        <w:t xml:space="preserve">ge, </w:t>
      </w:r>
      <w:r w:rsidRPr="006A3553">
        <w:rPr>
          <w:rFonts w:ascii="Book Antiqua" w:hAnsi="Book Antiqua"/>
          <w:sz w:val="24"/>
          <w:szCs w:val="24"/>
        </w:rPr>
        <w:t xml:space="preserve">age at diagnosis, duration of the disease, disease location and behavior according to Montreal classification, </w:t>
      </w:r>
      <w:r w:rsidR="0016099B" w:rsidRPr="006A3553">
        <w:rPr>
          <w:rFonts w:ascii="Book Antiqua" w:hAnsi="Book Antiqua"/>
          <w:sz w:val="24"/>
          <w:szCs w:val="24"/>
        </w:rPr>
        <w:t>Crohn’s disease activity index</w:t>
      </w:r>
      <w:r w:rsidRPr="006A3553">
        <w:rPr>
          <w:rFonts w:ascii="Book Antiqua" w:hAnsi="Book Antiqua"/>
          <w:sz w:val="24"/>
          <w:szCs w:val="24"/>
        </w:rPr>
        <w:t xml:space="preserve"> and </w:t>
      </w:r>
      <w:r w:rsidR="0016099B" w:rsidRPr="006A3553">
        <w:rPr>
          <w:rFonts w:ascii="Book Antiqua" w:hAnsi="Book Antiqua"/>
          <w:sz w:val="24"/>
          <w:szCs w:val="24"/>
        </w:rPr>
        <w:t>Harvey–Bradshaw index</w:t>
      </w:r>
      <w:r w:rsidRPr="006A3553">
        <w:rPr>
          <w:rFonts w:ascii="Book Antiqua" w:hAnsi="Book Antiqua"/>
          <w:sz w:val="24"/>
          <w:szCs w:val="24"/>
        </w:rPr>
        <w:t>, history of surgical treatment and treatment with drugs (</w:t>
      </w:r>
      <w:r w:rsidR="00132D39" w:rsidRPr="006A3553">
        <w:rPr>
          <w:rFonts w:ascii="Book Antiqua" w:hAnsi="Book Antiqua"/>
          <w:sz w:val="24"/>
          <w:szCs w:val="24"/>
        </w:rPr>
        <w:t>including antibodies such as</w:t>
      </w:r>
      <w:r w:rsidRPr="006A3553">
        <w:rPr>
          <w:rFonts w:ascii="Book Antiqua" w:hAnsi="Book Antiqua"/>
          <w:sz w:val="24"/>
          <w:szCs w:val="24"/>
        </w:rPr>
        <w:t xml:space="preserve"> tumor necrosis factor-α inhibitors). There were no statistically significant differences between the three</w:t>
      </w:r>
      <w:r w:rsidR="009400A7" w:rsidRPr="006A3553">
        <w:rPr>
          <w:rFonts w:ascii="Book Antiqua" w:hAnsi="Book Antiqua"/>
          <w:sz w:val="24"/>
          <w:szCs w:val="24"/>
        </w:rPr>
        <w:t xml:space="preserve"> g</w:t>
      </w:r>
      <w:r w:rsidR="00545C68" w:rsidRPr="006A3553">
        <w:rPr>
          <w:rFonts w:ascii="Book Antiqua" w:hAnsi="Book Antiqua"/>
          <w:sz w:val="24"/>
          <w:szCs w:val="24"/>
        </w:rPr>
        <w:t>enotypes</w:t>
      </w:r>
      <w:r w:rsidR="009400A7" w:rsidRPr="006A3553">
        <w:rPr>
          <w:rFonts w:ascii="Book Antiqua" w:hAnsi="Book Antiqua"/>
          <w:sz w:val="24"/>
          <w:szCs w:val="24"/>
        </w:rPr>
        <w:t xml:space="preserve"> (data not shown).</w:t>
      </w:r>
    </w:p>
    <w:p w14:paraId="15DF9361" w14:textId="548C3687" w:rsidR="00956B1B" w:rsidRPr="006A3553" w:rsidRDefault="006E69E1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To </w:t>
      </w:r>
      <w:r w:rsidR="009400A7" w:rsidRPr="006A3553">
        <w:rPr>
          <w:rFonts w:ascii="Book Antiqua" w:hAnsi="Book Antiqua"/>
          <w:sz w:val="24"/>
          <w:szCs w:val="24"/>
        </w:rPr>
        <w:t xml:space="preserve">study potential functional effects of </w:t>
      </w:r>
      <w:r w:rsidR="00D8458C" w:rsidRPr="006A3553">
        <w:rPr>
          <w:rFonts w:ascii="Book Antiqua" w:hAnsi="Book Antiqua"/>
          <w:sz w:val="24"/>
          <w:szCs w:val="24"/>
        </w:rPr>
        <w:t xml:space="preserve">the </w:t>
      </w:r>
      <w:r w:rsidR="009400A7" w:rsidRPr="006A3553">
        <w:rPr>
          <w:rFonts w:ascii="Book Antiqua" w:hAnsi="Book Antiqua"/>
          <w:sz w:val="24"/>
          <w:szCs w:val="24"/>
        </w:rPr>
        <w:t xml:space="preserve">rs1285933 polymorphism, we re-evaluated previously published gene expression data from our laboratory. </w:t>
      </w:r>
      <w:r w:rsidR="00107F2A" w:rsidRPr="006A3553">
        <w:rPr>
          <w:rFonts w:ascii="Book Antiqua" w:hAnsi="Book Antiqua"/>
          <w:sz w:val="24"/>
          <w:szCs w:val="24"/>
        </w:rPr>
        <w:t xml:space="preserve">In these studies, </w:t>
      </w:r>
      <w:bookmarkStart w:id="4" w:name="_Hlk38872853"/>
      <w:r w:rsidR="00107F2A" w:rsidRPr="006A3553">
        <w:rPr>
          <w:rFonts w:ascii="Book Antiqua" w:hAnsi="Book Antiqua"/>
          <w:sz w:val="24"/>
          <w:szCs w:val="24"/>
        </w:rPr>
        <w:t>PBMC</w:t>
      </w:r>
      <w:bookmarkEnd w:id="4"/>
      <w:r w:rsidR="00107F2A" w:rsidRPr="006A3553">
        <w:rPr>
          <w:rFonts w:ascii="Book Antiqua" w:hAnsi="Book Antiqua"/>
          <w:sz w:val="24"/>
          <w:szCs w:val="24"/>
        </w:rPr>
        <w:t xml:space="preserve"> from CD patients and controls had been employed to measure the mRNA expression o</w:t>
      </w:r>
      <w:r w:rsidR="00334872" w:rsidRPr="006A3553">
        <w:rPr>
          <w:rFonts w:ascii="Book Antiqua" w:hAnsi="Book Antiqua"/>
          <w:sz w:val="24"/>
          <w:szCs w:val="24"/>
        </w:rPr>
        <w:t xml:space="preserve">f a pre-selected set of </w:t>
      </w:r>
      <w:proofErr w:type="gramStart"/>
      <w:r w:rsidR="00334872" w:rsidRPr="006A3553">
        <w:rPr>
          <w:rFonts w:ascii="Book Antiqua" w:hAnsi="Book Antiqua"/>
          <w:sz w:val="24"/>
          <w:szCs w:val="24"/>
        </w:rPr>
        <w:t>genes</w:t>
      </w:r>
      <w:r w:rsidR="00334872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34872" w:rsidRPr="006A3553">
        <w:rPr>
          <w:rFonts w:ascii="Book Antiqua" w:hAnsi="Book Antiqua"/>
          <w:sz w:val="24"/>
          <w:szCs w:val="24"/>
          <w:vertAlign w:val="superscript"/>
        </w:rPr>
        <w:t>16</w:t>
      </w:r>
      <w:r w:rsidR="00107F2A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107F2A" w:rsidRPr="006A3553">
        <w:rPr>
          <w:rFonts w:ascii="Book Antiqua" w:hAnsi="Book Antiqua"/>
          <w:sz w:val="24"/>
          <w:szCs w:val="24"/>
        </w:rPr>
        <w:t>. Using a combined data set from 16 CD patients and 6 healthy controls, we observed no genotype-dependent differences o</w:t>
      </w:r>
      <w:r w:rsidR="006D2F32" w:rsidRPr="006A3553">
        <w:rPr>
          <w:rFonts w:ascii="Book Antiqua" w:hAnsi="Book Antiqua"/>
          <w:sz w:val="24"/>
          <w:szCs w:val="24"/>
        </w:rPr>
        <w:t>f</w:t>
      </w:r>
      <w:r w:rsidR="00107F2A" w:rsidRPr="006A3553">
        <w:rPr>
          <w:rFonts w:ascii="Book Antiqua" w:hAnsi="Book Antiqua"/>
          <w:sz w:val="24"/>
          <w:szCs w:val="24"/>
        </w:rPr>
        <w:t xml:space="preserve"> </w:t>
      </w:r>
      <w:r w:rsidR="00107F2A" w:rsidRPr="006A3553">
        <w:rPr>
          <w:rFonts w:ascii="Book Antiqua" w:hAnsi="Book Antiqua"/>
          <w:i/>
          <w:sz w:val="24"/>
          <w:szCs w:val="24"/>
        </w:rPr>
        <w:t xml:space="preserve">CLEC5A </w:t>
      </w:r>
      <w:r w:rsidR="00107F2A" w:rsidRPr="006A3553">
        <w:rPr>
          <w:rFonts w:ascii="Book Antiqua" w:hAnsi="Book Antiqua"/>
          <w:sz w:val="24"/>
          <w:szCs w:val="24"/>
        </w:rPr>
        <w:t>g</w:t>
      </w:r>
      <w:r w:rsidR="00D8458C" w:rsidRPr="006A3553">
        <w:rPr>
          <w:rFonts w:ascii="Book Antiqua" w:hAnsi="Book Antiqua"/>
          <w:sz w:val="24"/>
          <w:szCs w:val="24"/>
        </w:rPr>
        <w:t>ene expression (</w:t>
      </w:r>
      <w:r w:rsidR="00A009BF" w:rsidRPr="006A3553">
        <w:rPr>
          <w:rFonts w:ascii="Book Antiqua" w:hAnsi="Book Antiqua"/>
          <w:sz w:val="24"/>
          <w:szCs w:val="24"/>
        </w:rPr>
        <w:t>Figure</w:t>
      </w:r>
      <w:r w:rsidR="00D8458C" w:rsidRPr="006A3553">
        <w:rPr>
          <w:rFonts w:ascii="Book Antiqua" w:hAnsi="Book Antiqua"/>
          <w:sz w:val="24"/>
          <w:szCs w:val="24"/>
        </w:rPr>
        <w:t xml:space="preserve"> 1A). On the other hand, we found that </w:t>
      </w:r>
      <w:r w:rsidR="00123FED" w:rsidRPr="006A3553">
        <w:rPr>
          <w:rFonts w:ascii="Book Antiqua" w:hAnsi="Book Antiqua"/>
          <w:sz w:val="24"/>
          <w:szCs w:val="24"/>
        </w:rPr>
        <w:t>the genotype GG, compared to AG, was associated with significantly lower mRNA levels</w:t>
      </w:r>
      <w:r w:rsidR="00D8458C" w:rsidRPr="006A3553">
        <w:rPr>
          <w:rFonts w:ascii="Book Antiqua" w:hAnsi="Book Antiqua"/>
          <w:sz w:val="24"/>
          <w:szCs w:val="24"/>
        </w:rPr>
        <w:t xml:space="preserve"> of the proinflammatory chemokine </w:t>
      </w:r>
      <w:r w:rsidR="00D8458C" w:rsidRPr="006A3553">
        <w:rPr>
          <w:rFonts w:ascii="Book Antiqua" w:hAnsi="Book Antiqua"/>
          <w:i/>
          <w:sz w:val="24"/>
          <w:szCs w:val="24"/>
        </w:rPr>
        <w:t>CXCL5</w:t>
      </w:r>
      <w:r w:rsidR="00D8458C" w:rsidRPr="006A3553">
        <w:rPr>
          <w:rFonts w:ascii="Book Antiqua" w:hAnsi="Book Antiqua"/>
          <w:sz w:val="24"/>
          <w:szCs w:val="24"/>
        </w:rPr>
        <w:t xml:space="preserve"> </w:t>
      </w:r>
      <w:r w:rsidR="006D2F32" w:rsidRPr="006A3553">
        <w:rPr>
          <w:rFonts w:ascii="Book Antiqua" w:hAnsi="Book Antiqua"/>
          <w:sz w:val="24"/>
          <w:szCs w:val="24"/>
        </w:rPr>
        <w:t>(</w:t>
      </w:r>
      <w:r w:rsidR="00A009BF" w:rsidRPr="006A3553">
        <w:rPr>
          <w:rFonts w:ascii="Book Antiqua" w:hAnsi="Book Antiqua"/>
          <w:sz w:val="24"/>
          <w:szCs w:val="24"/>
        </w:rPr>
        <w:t>Figure</w:t>
      </w:r>
      <w:r w:rsidR="006D2F32" w:rsidRPr="006A3553">
        <w:rPr>
          <w:rFonts w:ascii="Book Antiqua" w:hAnsi="Book Antiqua"/>
          <w:sz w:val="24"/>
          <w:szCs w:val="24"/>
        </w:rPr>
        <w:t xml:space="preserve"> 1B, please note that </w:t>
      </w:r>
      <w:r w:rsidR="00123FED" w:rsidRPr="006A3553">
        <w:rPr>
          <w:rFonts w:ascii="Book Antiqua" w:hAnsi="Book Antiqua"/>
          <w:sz w:val="24"/>
          <w:szCs w:val="24"/>
        </w:rPr>
        <w:sym w:font="Symbol" w:char="F044"/>
      </w:r>
      <w:r w:rsidR="006D2F32" w:rsidRPr="006A3553">
        <w:rPr>
          <w:rFonts w:ascii="Book Antiqua" w:hAnsi="Book Antiqua"/>
          <w:sz w:val="24"/>
          <w:szCs w:val="24"/>
        </w:rPr>
        <w:t xml:space="preserve">Ct values and expression levels show an inverse and logarithmic relationship that follows the function </w:t>
      </w:r>
      <w:r w:rsidR="006D2F32" w:rsidRPr="006A3553">
        <w:rPr>
          <w:rFonts w:ascii="Book Antiqua" w:hAnsi="Book Antiqua" w:cs="Arial"/>
          <w:kern w:val="24"/>
          <w:sz w:val="24"/>
          <w:szCs w:val="24"/>
        </w:rPr>
        <w:t>2</w:t>
      </w:r>
      <w:r w:rsidR="006D2F32" w:rsidRPr="006A3553">
        <w:rPr>
          <w:rFonts w:ascii="Book Antiqua" w:hAnsi="Book Antiqua" w:cs="Arial"/>
          <w:kern w:val="24"/>
          <w:sz w:val="24"/>
          <w:szCs w:val="24"/>
          <w:vertAlign w:val="superscript"/>
        </w:rPr>
        <w:t>-(∆Ct)</w:t>
      </w:r>
      <w:r w:rsidR="006D2F32" w:rsidRPr="006A3553">
        <w:rPr>
          <w:rFonts w:ascii="Book Antiqua" w:hAnsi="Book Antiqua"/>
          <w:sz w:val="24"/>
          <w:szCs w:val="24"/>
        </w:rPr>
        <w:t>).</w:t>
      </w:r>
      <w:r w:rsidR="007B1167" w:rsidRPr="006A3553">
        <w:rPr>
          <w:rFonts w:ascii="Book Antiqua" w:hAnsi="Book Antiqua"/>
          <w:sz w:val="24"/>
          <w:szCs w:val="24"/>
        </w:rPr>
        <w:t xml:space="preserve"> </w:t>
      </w:r>
    </w:p>
    <w:p w14:paraId="4D7FFCED" w14:textId="52E21F97" w:rsidR="00D8458C" w:rsidRPr="006A3553" w:rsidRDefault="00956B1B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Located on different chromosomes, the disease-associate SNP of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is not correlating with disease-associated SNPs of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(data not shown). Furthermore, the pairwise contributions to the disease phenotype of the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 SNP and the other SNPs are independent from each other (Table 3).</w:t>
      </w:r>
    </w:p>
    <w:p w14:paraId="4216DE40" w14:textId="77777777" w:rsidR="00CD25DA" w:rsidRPr="006A3553" w:rsidRDefault="00CD25DA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259020A" w14:textId="77777777" w:rsidR="00CD25DA" w:rsidRPr="006A3553" w:rsidRDefault="00CD25DA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6A3553">
        <w:rPr>
          <w:rFonts w:ascii="Book Antiqua" w:hAnsi="Book Antiqua"/>
          <w:b/>
          <w:bCs/>
          <w:sz w:val="24"/>
          <w:szCs w:val="24"/>
          <w:u w:val="single"/>
        </w:rPr>
        <w:t>DISCUSSION</w:t>
      </w:r>
    </w:p>
    <w:p w14:paraId="2BAFE35F" w14:textId="1DB70624" w:rsidR="002A7A81" w:rsidRPr="006A3553" w:rsidRDefault="00CD25DA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T</w:t>
      </w:r>
      <w:r w:rsidR="00C3623B" w:rsidRPr="006A3553">
        <w:rPr>
          <w:rFonts w:ascii="Book Antiqua" w:hAnsi="Book Antiqua"/>
          <w:sz w:val="24"/>
          <w:szCs w:val="24"/>
        </w:rPr>
        <w:t>o the best of our knowledge, t</w:t>
      </w:r>
      <w:r w:rsidRPr="006A3553">
        <w:rPr>
          <w:rFonts w:ascii="Book Antiqua" w:hAnsi="Book Antiqua"/>
          <w:sz w:val="24"/>
          <w:szCs w:val="24"/>
        </w:rPr>
        <w:t xml:space="preserve">he results of this study </w:t>
      </w:r>
      <w:r w:rsidR="002A7A81" w:rsidRPr="006A3553">
        <w:rPr>
          <w:rFonts w:ascii="Book Antiqua" w:hAnsi="Book Antiqua"/>
          <w:sz w:val="24"/>
          <w:szCs w:val="24"/>
        </w:rPr>
        <w:t xml:space="preserve">suggest </w:t>
      </w:r>
      <w:r w:rsidR="00C3623B" w:rsidRPr="006A3553">
        <w:rPr>
          <w:rFonts w:ascii="Book Antiqua" w:hAnsi="Book Antiqua"/>
          <w:sz w:val="24"/>
          <w:szCs w:val="24"/>
        </w:rPr>
        <w:t>for the first time</w:t>
      </w:r>
      <w:r w:rsidRPr="006A3553">
        <w:rPr>
          <w:rFonts w:ascii="Book Antiqua" w:hAnsi="Book Antiqua"/>
          <w:sz w:val="24"/>
          <w:szCs w:val="24"/>
        </w:rPr>
        <w:t xml:space="preserve"> a</w:t>
      </w:r>
      <w:r w:rsidR="00846EAE" w:rsidRPr="006A3553">
        <w:rPr>
          <w:rFonts w:ascii="Book Antiqua" w:hAnsi="Book Antiqua"/>
          <w:sz w:val="24"/>
          <w:szCs w:val="24"/>
        </w:rPr>
        <w:t xml:space="preserve"> potential</w:t>
      </w:r>
      <w:r w:rsidRPr="006A3553">
        <w:rPr>
          <w:rFonts w:ascii="Book Antiqua" w:hAnsi="Book Antiqua"/>
          <w:sz w:val="24"/>
          <w:szCs w:val="24"/>
        </w:rPr>
        <w:t xml:space="preserve"> association of SNP rs1285933 with CD. </w:t>
      </w:r>
      <w:r w:rsidR="00C3623B" w:rsidRPr="006A3553">
        <w:rPr>
          <w:rFonts w:ascii="Book Antiqua" w:hAnsi="Book Antiqua"/>
          <w:sz w:val="24"/>
          <w:szCs w:val="24"/>
        </w:rPr>
        <w:t xml:space="preserve">However, our findings need to be </w:t>
      </w:r>
      <w:r w:rsidR="00C3623B" w:rsidRPr="006A3553">
        <w:rPr>
          <w:rFonts w:ascii="Book Antiqua" w:hAnsi="Book Antiqua"/>
          <w:sz w:val="24"/>
          <w:szCs w:val="24"/>
        </w:rPr>
        <w:lastRenderedPageBreak/>
        <w:t xml:space="preserve">interpreted cautiously since they are based on a </w:t>
      </w:r>
      <w:r w:rsidR="00545C68" w:rsidRPr="006A3553">
        <w:rPr>
          <w:rFonts w:ascii="Book Antiqua" w:hAnsi="Book Antiqua"/>
          <w:sz w:val="24"/>
          <w:szCs w:val="24"/>
        </w:rPr>
        <w:t xml:space="preserve">relatively </w:t>
      </w:r>
      <w:r w:rsidR="00C3623B" w:rsidRPr="006A3553">
        <w:rPr>
          <w:rFonts w:ascii="Book Antiqua" w:hAnsi="Book Antiqua"/>
          <w:sz w:val="24"/>
          <w:szCs w:val="24"/>
        </w:rPr>
        <w:t>small number of patients from a single center.</w:t>
      </w:r>
    </w:p>
    <w:p w14:paraId="15B26DA9" w14:textId="72A5C8D4" w:rsidR="00C030F3" w:rsidRPr="006A3553" w:rsidRDefault="00CD25DA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Given that the SNP is </w:t>
      </w:r>
      <w:r w:rsidR="00C030F3" w:rsidRPr="006A3553">
        <w:rPr>
          <w:rFonts w:ascii="Book Antiqua" w:hAnsi="Book Antiqua"/>
          <w:sz w:val="24"/>
          <w:szCs w:val="24"/>
        </w:rPr>
        <w:t>located</w:t>
      </w:r>
      <w:r w:rsidRPr="006A3553">
        <w:rPr>
          <w:rFonts w:ascii="Book Antiqua" w:hAnsi="Book Antiqua"/>
          <w:sz w:val="24"/>
          <w:szCs w:val="24"/>
        </w:rPr>
        <w:t xml:space="preserve"> within the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="002A7A81" w:rsidRPr="006A3553">
        <w:rPr>
          <w:rFonts w:ascii="Book Antiqua" w:hAnsi="Book Antiqua"/>
          <w:sz w:val="24"/>
          <w:szCs w:val="24"/>
        </w:rPr>
        <w:t xml:space="preserve"> gene, our data</w:t>
      </w:r>
      <w:r w:rsidR="00E06F6E" w:rsidRPr="006A3553">
        <w:rPr>
          <w:rFonts w:ascii="Book Antiqua" w:hAnsi="Book Antiqua"/>
          <w:sz w:val="24"/>
          <w:szCs w:val="24"/>
        </w:rPr>
        <w:t xml:space="preserve"> implicate a PR</w:t>
      </w:r>
      <w:r w:rsidRPr="006A3553">
        <w:rPr>
          <w:rFonts w:ascii="Book Antiqua" w:hAnsi="Book Antiqua"/>
          <w:sz w:val="24"/>
          <w:szCs w:val="24"/>
        </w:rPr>
        <w:t xml:space="preserve">R beyond </w:t>
      </w:r>
      <w:r w:rsidRPr="006A3553">
        <w:rPr>
          <w:rFonts w:ascii="Book Antiqua" w:hAnsi="Book Antiqua"/>
          <w:i/>
          <w:sz w:val="24"/>
          <w:szCs w:val="24"/>
        </w:rPr>
        <w:t>NOD2</w:t>
      </w:r>
      <w:r w:rsidRPr="006A3553">
        <w:rPr>
          <w:rFonts w:ascii="Book Antiqua" w:hAnsi="Book Antiqua"/>
          <w:sz w:val="24"/>
          <w:szCs w:val="24"/>
        </w:rPr>
        <w:t xml:space="preserve"> into the pathogenesis of the disease. </w:t>
      </w:r>
      <w:r w:rsidR="00C030F3" w:rsidRPr="006A3553">
        <w:rPr>
          <w:rFonts w:ascii="Book Antiqua" w:hAnsi="Book Antiqua"/>
          <w:sz w:val="24"/>
          <w:szCs w:val="24"/>
        </w:rPr>
        <w:t>The me</w:t>
      </w:r>
      <w:r w:rsidR="000B6063" w:rsidRPr="006A3553">
        <w:rPr>
          <w:rFonts w:ascii="Book Antiqua" w:hAnsi="Book Antiqua"/>
          <w:sz w:val="24"/>
          <w:szCs w:val="24"/>
        </w:rPr>
        <w:t>chanisms that underlie the effect of the</w:t>
      </w:r>
      <w:r w:rsidR="00C030F3" w:rsidRPr="006A3553">
        <w:rPr>
          <w:rFonts w:ascii="Book Antiqua" w:hAnsi="Book Antiqua"/>
          <w:sz w:val="24"/>
          <w:szCs w:val="24"/>
        </w:rPr>
        <w:t xml:space="preserve"> </w:t>
      </w:r>
      <w:r w:rsidR="00C030F3" w:rsidRPr="006A3553">
        <w:rPr>
          <w:rFonts w:ascii="Book Antiqua" w:hAnsi="Book Antiqua"/>
          <w:i/>
          <w:sz w:val="24"/>
          <w:szCs w:val="24"/>
        </w:rPr>
        <w:t>CLEC5A</w:t>
      </w:r>
      <w:r w:rsidR="00C030F3" w:rsidRPr="006A3553">
        <w:rPr>
          <w:rFonts w:ascii="Book Antiqua" w:hAnsi="Book Antiqua"/>
          <w:sz w:val="24"/>
          <w:szCs w:val="24"/>
        </w:rPr>
        <w:t xml:space="preserve"> polymorphism </w:t>
      </w:r>
      <w:r w:rsidR="000B6063" w:rsidRPr="006A3553">
        <w:rPr>
          <w:rFonts w:ascii="Book Antiqua" w:hAnsi="Book Antiqua"/>
          <w:sz w:val="24"/>
          <w:szCs w:val="24"/>
        </w:rPr>
        <w:t xml:space="preserve">need to be further elucidated. To this end, </w:t>
      </w:r>
      <w:r w:rsidR="00A62474" w:rsidRPr="006A3553">
        <w:rPr>
          <w:rFonts w:ascii="Book Antiqua" w:hAnsi="Book Antiqua"/>
          <w:sz w:val="24"/>
          <w:szCs w:val="24"/>
        </w:rPr>
        <w:t>reinvestigating data from our past</w:t>
      </w:r>
      <w:r w:rsidR="00616B01" w:rsidRPr="006A3553">
        <w:rPr>
          <w:rFonts w:ascii="Book Antiqua" w:hAnsi="Book Antiqua"/>
          <w:sz w:val="24"/>
          <w:szCs w:val="24"/>
        </w:rPr>
        <w:t xml:space="preserve"> work</w:t>
      </w:r>
      <w:r w:rsidR="00616B01" w:rsidRPr="006A3553">
        <w:rPr>
          <w:rFonts w:ascii="Book Antiqua" w:hAnsi="Book Antiqua"/>
          <w:sz w:val="24"/>
          <w:szCs w:val="24"/>
          <w:vertAlign w:val="superscript"/>
        </w:rPr>
        <w:t>[16</w:t>
      </w:r>
      <w:r w:rsidR="00A62474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A62474" w:rsidRPr="006A3553">
        <w:rPr>
          <w:rFonts w:ascii="Book Antiqua" w:hAnsi="Book Antiqua"/>
          <w:sz w:val="24"/>
          <w:szCs w:val="24"/>
        </w:rPr>
        <w:t xml:space="preserve"> </w:t>
      </w:r>
      <w:r w:rsidR="000B6063" w:rsidRPr="006A3553">
        <w:rPr>
          <w:rFonts w:ascii="Book Antiqua" w:hAnsi="Book Antiqua"/>
          <w:sz w:val="24"/>
          <w:szCs w:val="24"/>
        </w:rPr>
        <w:t xml:space="preserve">we </w:t>
      </w:r>
      <w:r w:rsidR="00A62474" w:rsidRPr="006A3553">
        <w:rPr>
          <w:rFonts w:ascii="Book Antiqua" w:hAnsi="Book Antiqua"/>
          <w:sz w:val="24"/>
          <w:szCs w:val="24"/>
        </w:rPr>
        <w:t xml:space="preserve">can report a </w:t>
      </w:r>
      <w:r w:rsidR="00A62474" w:rsidRPr="006A3553">
        <w:rPr>
          <w:rFonts w:ascii="Book Antiqua" w:hAnsi="Book Antiqua"/>
          <w:i/>
          <w:sz w:val="24"/>
          <w:szCs w:val="24"/>
        </w:rPr>
        <w:t>trans</w:t>
      </w:r>
      <w:r w:rsidR="00A62474" w:rsidRPr="006A3553">
        <w:rPr>
          <w:rFonts w:ascii="Book Antiqua" w:hAnsi="Book Antiqua"/>
          <w:sz w:val="24"/>
          <w:szCs w:val="24"/>
        </w:rPr>
        <w:t xml:space="preserve"> effect of rs1285933 on the</w:t>
      </w:r>
      <w:r w:rsidR="000B6063" w:rsidRPr="006A3553">
        <w:rPr>
          <w:rFonts w:ascii="Book Antiqua" w:hAnsi="Book Antiqua"/>
          <w:sz w:val="24"/>
          <w:szCs w:val="24"/>
        </w:rPr>
        <w:t xml:space="preserve"> expression of the chemokine </w:t>
      </w:r>
      <w:r w:rsidR="000B6063" w:rsidRPr="006A3553">
        <w:rPr>
          <w:rFonts w:ascii="Book Antiqua" w:hAnsi="Book Antiqua"/>
          <w:i/>
          <w:sz w:val="24"/>
          <w:szCs w:val="24"/>
        </w:rPr>
        <w:t>CXCL5</w:t>
      </w:r>
      <w:r w:rsidR="000B6063" w:rsidRPr="006A3553">
        <w:rPr>
          <w:rFonts w:ascii="Book Antiqua" w:hAnsi="Book Antiqua"/>
          <w:sz w:val="24"/>
          <w:szCs w:val="24"/>
        </w:rPr>
        <w:t xml:space="preserve"> in PBMC, but not of </w:t>
      </w:r>
      <w:r w:rsidR="000B6063" w:rsidRPr="006A3553">
        <w:rPr>
          <w:rFonts w:ascii="Book Antiqua" w:hAnsi="Book Antiqua"/>
          <w:i/>
          <w:sz w:val="24"/>
          <w:szCs w:val="24"/>
        </w:rPr>
        <w:t>CLEC5A</w:t>
      </w:r>
      <w:r w:rsidR="000B6063" w:rsidRPr="006A3553">
        <w:rPr>
          <w:rFonts w:ascii="Book Antiqua" w:hAnsi="Book Antiqua"/>
          <w:sz w:val="24"/>
          <w:szCs w:val="24"/>
        </w:rPr>
        <w:t xml:space="preserve"> itself</w:t>
      </w:r>
      <w:r w:rsidR="00A62474" w:rsidRPr="006A3553">
        <w:rPr>
          <w:rFonts w:ascii="Book Antiqua" w:hAnsi="Book Antiqua"/>
          <w:sz w:val="24"/>
          <w:szCs w:val="24"/>
        </w:rPr>
        <w:t xml:space="preserve">. </w:t>
      </w:r>
      <w:r w:rsidR="000B6063" w:rsidRPr="006A3553">
        <w:rPr>
          <w:rFonts w:ascii="Book Antiqua" w:hAnsi="Book Antiqua"/>
          <w:sz w:val="24"/>
          <w:szCs w:val="24"/>
        </w:rPr>
        <w:t xml:space="preserve">These data suggest that </w:t>
      </w:r>
      <w:r w:rsidR="00271F73" w:rsidRPr="006A3553">
        <w:rPr>
          <w:rFonts w:ascii="Book Antiqua" w:hAnsi="Book Antiqua"/>
          <w:sz w:val="24"/>
          <w:szCs w:val="24"/>
        </w:rPr>
        <w:t xml:space="preserve">CLEC5A might be functionally affected, </w:t>
      </w:r>
      <w:r w:rsidR="00271F73" w:rsidRPr="006A3553">
        <w:rPr>
          <w:rFonts w:ascii="Book Antiqua" w:hAnsi="Book Antiqua"/>
          <w:i/>
          <w:iCs/>
          <w:sz w:val="24"/>
          <w:szCs w:val="24"/>
        </w:rPr>
        <w:t>e.g.</w:t>
      </w:r>
      <w:r w:rsidR="00271F73" w:rsidRPr="006A3553">
        <w:rPr>
          <w:rFonts w:ascii="Book Antiqua" w:hAnsi="Book Antiqua"/>
          <w:sz w:val="24"/>
          <w:szCs w:val="24"/>
        </w:rPr>
        <w:t xml:space="preserve">, with respect to </w:t>
      </w:r>
      <w:r w:rsidR="002A7A81" w:rsidRPr="006A3553">
        <w:rPr>
          <w:rFonts w:ascii="Book Antiqua" w:hAnsi="Book Antiqua"/>
          <w:sz w:val="24"/>
          <w:szCs w:val="24"/>
        </w:rPr>
        <w:t xml:space="preserve">its ability of </w:t>
      </w:r>
      <w:r w:rsidR="00271F73" w:rsidRPr="006A3553">
        <w:rPr>
          <w:rFonts w:ascii="Book Antiqua" w:hAnsi="Book Antiqua"/>
          <w:sz w:val="24"/>
          <w:szCs w:val="24"/>
        </w:rPr>
        <w:t>ligand binding or downstream signaling.</w:t>
      </w:r>
      <w:r w:rsidR="00B47105" w:rsidRPr="006A3553">
        <w:rPr>
          <w:rFonts w:ascii="Book Antiqua" w:hAnsi="Book Antiqua"/>
          <w:sz w:val="24"/>
          <w:szCs w:val="24"/>
        </w:rPr>
        <w:t xml:space="preserve"> In accordance with this conclusion, SNP rs1285933 has also been suggested to modulate signaling pathways after interactions between the dengue virus and CLEC5A </w:t>
      </w:r>
      <w:proofErr w:type="gramStart"/>
      <w:r w:rsidR="00B47105" w:rsidRPr="006A3553">
        <w:rPr>
          <w:rFonts w:ascii="Book Antiqua" w:hAnsi="Book Antiqua"/>
          <w:sz w:val="24"/>
          <w:szCs w:val="24"/>
        </w:rPr>
        <w:t>receptors</w:t>
      </w:r>
      <w:r w:rsidR="00907974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07974" w:rsidRPr="006A3553">
        <w:rPr>
          <w:rFonts w:ascii="Book Antiqua" w:hAnsi="Book Antiqua"/>
          <w:sz w:val="24"/>
          <w:szCs w:val="24"/>
          <w:vertAlign w:val="superscript"/>
        </w:rPr>
        <w:t>20]</w:t>
      </w:r>
      <w:r w:rsidR="00B47105" w:rsidRPr="006A3553">
        <w:rPr>
          <w:rFonts w:ascii="Book Antiqua" w:hAnsi="Book Antiqua"/>
          <w:sz w:val="24"/>
          <w:szCs w:val="24"/>
        </w:rPr>
        <w:t>.</w:t>
      </w:r>
      <w:r w:rsidR="007F4BA1" w:rsidRPr="006A3553">
        <w:rPr>
          <w:rFonts w:ascii="Book Antiqua" w:hAnsi="Book Antiqua"/>
          <w:sz w:val="24"/>
          <w:szCs w:val="24"/>
        </w:rPr>
        <w:t xml:space="preserve"> Other disease associations of SNP rs1285933 have not been reported yet. In a population of</w:t>
      </w:r>
      <w:r w:rsidR="00DD095B" w:rsidRPr="006A3553">
        <w:rPr>
          <w:rFonts w:ascii="Book Antiqua" w:hAnsi="Book Antiqua"/>
          <w:sz w:val="24"/>
          <w:szCs w:val="24"/>
        </w:rPr>
        <w:t xml:space="preserve"> Taiwanese c</w:t>
      </w:r>
      <w:r w:rsidR="007F4BA1" w:rsidRPr="006A3553">
        <w:rPr>
          <w:rFonts w:ascii="Book Antiqua" w:hAnsi="Book Antiqua"/>
          <w:sz w:val="24"/>
          <w:szCs w:val="24"/>
        </w:rPr>
        <w:t xml:space="preserve">hildren, neither rs1285933 nor other polymorphisms of </w:t>
      </w:r>
      <w:r w:rsidR="007F4BA1" w:rsidRPr="006A3553">
        <w:rPr>
          <w:rFonts w:ascii="Book Antiqua" w:hAnsi="Book Antiqua"/>
          <w:i/>
          <w:sz w:val="24"/>
          <w:szCs w:val="24"/>
        </w:rPr>
        <w:t>CLEC5A</w:t>
      </w:r>
      <w:r w:rsidR="007F4BA1" w:rsidRPr="006A3553">
        <w:rPr>
          <w:rFonts w:ascii="Book Antiqua" w:hAnsi="Book Antiqua"/>
          <w:sz w:val="24"/>
          <w:szCs w:val="24"/>
        </w:rPr>
        <w:t xml:space="preserve"> were associated with susceptibility to Kawasaki disease, coronary artery lesion formation, and intravenous immunoglobulin treatment </w:t>
      </w:r>
      <w:proofErr w:type="gramStart"/>
      <w:r w:rsidR="007F4BA1" w:rsidRPr="006A3553">
        <w:rPr>
          <w:rFonts w:ascii="Book Antiqua" w:hAnsi="Book Antiqua"/>
          <w:sz w:val="24"/>
          <w:szCs w:val="24"/>
        </w:rPr>
        <w:t>response</w:t>
      </w:r>
      <w:r w:rsidR="00907974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07974" w:rsidRPr="006A3553">
        <w:rPr>
          <w:rFonts w:ascii="Book Antiqua" w:hAnsi="Book Antiqua"/>
          <w:sz w:val="24"/>
          <w:szCs w:val="24"/>
          <w:vertAlign w:val="superscript"/>
        </w:rPr>
        <w:t>26]</w:t>
      </w:r>
      <w:r w:rsidR="007F4BA1" w:rsidRPr="006A3553">
        <w:rPr>
          <w:rFonts w:ascii="Book Antiqua" w:hAnsi="Book Antiqua"/>
          <w:sz w:val="24"/>
          <w:szCs w:val="24"/>
        </w:rPr>
        <w:t>.</w:t>
      </w:r>
    </w:p>
    <w:p w14:paraId="7925B512" w14:textId="63B098B9" w:rsidR="00CD25DA" w:rsidRPr="006A3553" w:rsidRDefault="002A7A81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Of</w:t>
      </w:r>
      <w:r w:rsidR="00C030F3" w:rsidRPr="006A3553">
        <w:rPr>
          <w:rFonts w:ascii="Book Antiqua" w:hAnsi="Book Antiqua"/>
          <w:sz w:val="24"/>
          <w:szCs w:val="24"/>
        </w:rPr>
        <w:t xml:space="preserve"> note</w:t>
      </w:r>
      <w:r w:rsidRPr="006A3553">
        <w:rPr>
          <w:rFonts w:ascii="Book Antiqua" w:hAnsi="Book Antiqua"/>
          <w:sz w:val="24"/>
          <w:szCs w:val="24"/>
        </w:rPr>
        <w:t>,</w:t>
      </w:r>
      <w:r w:rsidR="00EC796B" w:rsidRPr="006A3553">
        <w:rPr>
          <w:rFonts w:ascii="Book Antiqua" w:hAnsi="Book Antiqua"/>
          <w:sz w:val="24"/>
          <w:szCs w:val="24"/>
        </w:rPr>
        <w:t xml:space="preserve"> </w:t>
      </w:r>
      <w:r w:rsidR="00EC796B" w:rsidRPr="006A3553">
        <w:rPr>
          <w:rFonts w:ascii="Book Antiqua" w:hAnsi="Book Antiqua"/>
          <w:i/>
          <w:sz w:val="24"/>
          <w:szCs w:val="24"/>
        </w:rPr>
        <w:t>CLEC5A</w:t>
      </w:r>
      <w:r w:rsidR="00EC796B" w:rsidRPr="006A3553">
        <w:rPr>
          <w:rFonts w:ascii="Book Antiqua" w:hAnsi="Book Antiqua"/>
          <w:sz w:val="24"/>
          <w:szCs w:val="24"/>
        </w:rPr>
        <w:t xml:space="preserve"> is embedded into an intronic region of another gene, </w:t>
      </w:r>
      <w:r w:rsidR="00EC796B" w:rsidRPr="006A3553">
        <w:rPr>
          <w:rFonts w:ascii="Book Antiqua" w:hAnsi="Book Antiqua"/>
          <w:i/>
          <w:sz w:val="24"/>
          <w:szCs w:val="24"/>
        </w:rPr>
        <w:t>MGAM</w:t>
      </w:r>
      <w:r w:rsidR="00DD095B" w:rsidRPr="006A3553">
        <w:rPr>
          <w:rFonts w:ascii="Book Antiqua" w:hAnsi="Book Antiqua"/>
          <w:sz w:val="24"/>
          <w:szCs w:val="24"/>
        </w:rPr>
        <w:t>,</w:t>
      </w:r>
      <w:r w:rsidR="00A62474" w:rsidRPr="006A3553">
        <w:rPr>
          <w:rFonts w:ascii="Book Antiqua" w:hAnsi="Book Antiqua"/>
          <w:sz w:val="24"/>
          <w:szCs w:val="24"/>
        </w:rPr>
        <w:t xml:space="preserve"> and the two tra</w:t>
      </w:r>
      <w:r w:rsidR="00C877EA" w:rsidRPr="006A3553">
        <w:rPr>
          <w:rFonts w:ascii="Book Antiqua" w:hAnsi="Book Antiqua"/>
          <w:sz w:val="24"/>
          <w:szCs w:val="24"/>
        </w:rPr>
        <w:t xml:space="preserve">nscripts are known to </w:t>
      </w:r>
      <w:proofErr w:type="gramStart"/>
      <w:r w:rsidR="00C877EA" w:rsidRPr="006A3553">
        <w:rPr>
          <w:rFonts w:ascii="Book Antiqua" w:hAnsi="Book Antiqua"/>
          <w:sz w:val="24"/>
          <w:szCs w:val="24"/>
        </w:rPr>
        <w:t>correlate</w:t>
      </w:r>
      <w:r w:rsidR="00A62474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877EA" w:rsidRPr="006A3553">
        <w:rPr>
          <w:rFonts w:ascii="Book Antiqua" w:hAnsi="Book Antiqua"/>
          <w:sz w:val="24"/>
          <w:szCs w:val="24"/>
          <w:vertAlign w:val="superscript"/>
        </w:rPr>
        <w:t>27</w:t>
      </w:r>
      <w:r w:rsidR="00A62474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A95CAB" w:rsidRPr="006A3553">
        <w:rPr>
          <w:rFonts w:ascii="Book Antiqua" w:hAnsi="Book Antiqua"/>
          <w:sz w:val="24"/>
          <w:szCs w:val="24"/>
        </w:rPr>
        <w:t xml:space="preserve">, so that the effect of SNP rs1285933 is not necessarily </w:t>
      </w:r>
      <w:r w:rsidR="009546F7" w:rsidRPr="006A3553">
        <w:rPr>
          <w:rFonts w:ascii="Book Antiqua" w:hAnsi="Book Antiqua"/>
          <w:sz w:val="24"/>
          <w:szCs w:val="24"/>
        </w:rPr>
        <w:t xml:space="preserve">exclusively </w:t>
      </w:r>
      <w:r w:rsidR="00A95CAB" w:rsidRPr="006A3553">
        <w:rPr>
          <w:rFonts w:ascii="Book Antiqua" w:hAnsi="Book Antiqua"/>
          <w:sz w:val="24"/>
          <w:szCs w:val="24"/>
        </w:rPr>
        <w:t xml:space="preserve">related to the C-type lectin domain family member. </w:t>
      </w:r>
      <w:r w:rsidR="00CC0551" w:rsidRPr="006A3553">
        <w:rPr>
          <w:rFonts w:ascii="Book Antiqua" w:hAnsi="Book Antiqua"/>
          <w:sz w:val="24"/>
          <w:szCs w:val="24"/>
        </w:rPr>
        <w:t>Interestingly, decreased maltase activities in the small bowel mucosa are common in</w:t>
      </w:r>
      <w:r w:rsidR="00A95CAB" w:rsidRPr="006A3553">
        <w:rPr>
          <w:rFonts w:ascii="Book Antiqua" w:hAnsi="Book Antiqua"/>
          <w:sz w:val="24"/>
          <w:szCs w:val="24"/>
        </w:rPr>
        <w:t xml:space="preserve"> </w:t>
      </w:r>
      <w:r w:rsidR="00CC0551" w:rsidRPr="006A3553">
        <w:rPr>
          <w:rFonts w:ascii="Book Antiqua" w:hAnsi="Book Antiqua"/>
          <w:sz w:val="24"/>
          <w:szCs w:val="24"/>
        </w:rPr>
        <w:t xml:space="preserve">children with </w:t>
      </w:r>
      <w:proofErr w:type="gramStart"/>
      <w:r w:rsidR="00CC0551" w:rsidRPr="006A3553">
        <w:rPr>
          <w:rFonts w:ascii="Book Antiqua" w:hAnsi="Book Antiqua"/>
          <w:sz w:val="24"/>
          <w:szCs w:val="24"/>
        </w:rPr>
        <w:t>CD</w:t>
      </w:r>
      <w:r w:rsidR="00D859BE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859BE" w:rsidRPr="006A3553">
        <w:rPr>
          <w:rFonts w:ascii="Book Antiqua" w:hAnsi="Book Antiqua"/>
          <w:sz w:val="24"/>
          <w:szCs w:val="24"/>
          <w:vertAlign w:val="superscript"/>
        </w:rPr>
        <w:t>2</w:t>
      </w:r>
      <w:r w:rsidR="009C4529" w:rsidRPr="006A3553">
        <w:rPr>
          <w:rFonts w:ascii="Book Antiqua" w:hAnsi="Book Antiqua"/>
          <w:sz w:val="24"/>
          <w:szCs w:val="24"/>
          <w:vertAlign w:val="superscript"/>
        </w:rPr>
        <w:t>8</w:t>
      </w:r>
      <w:r w:rsidR="00D859BE" w:rsidRPr="006A3553">
        <w:rPr>
          <w:rFonts w:ascii="Book Antiqua" w:hAnsi="Book Antiqua"/>
          <w:sz w:val="24"/>
          <w:szCs w:val="24"/>
          <w:vertAlign w:val="superscript"/>
        </w:rPr>
        <w:t>]</w:t>
      </w:r>
      <w:r w:rsidR="00CC0551" w:rsidRPr="006A3553">
        <w:rPr>
          <w:rFonts w:ascii="Book Antiqua" w:hAnsi="Book Antiqua"/>
          <w:sz w:val="24"/>
          <w:szCs w:val="24"/>
        </w:rPr>
        <w:t xml:space="preserve">, and although this is of course no evidence for a genetic association, the role of </w:t>
      </w:r>
      <w:r w:rsidR="00CC0551" w:rsidRPr="006A3553">
        <w:rPr>
          <w:rFonts w:ascii="Book Antiqua" w:hAnsi="Book Antiqua"/>
          <w:i/>
          <w:sz w:val="24"/>
          <w:szCs w:val="24"/>
        </w:rPr>
        <w:t>MGAM</w:t>
      </w:r>
      <w:r w:rsidR="00CC0551" w:rsidRPr="006A3553">
        <w:rPr>
          <w:rFonts w:ascii="Book Antiqua" w:hAnsi="Book Antiqua"/>
          <w:sz w:val="24"/>
          <w:szCs w:val="24"/>
        </w:rPr>
        <w:t xml:space="preserve"> in the context of IBD may deserve further attention as well.</w:t>
      </w:r>
    </w:p>
    <w:p w14:paraId="36A07B16" w14:textId="08DFDE02" w:rsidR="004F6DBF" w:rsidRPr="006A3553" w:rsidRDefault="004F6DBF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We also evaluated possible associations of SNP rs1285933 with different clinical characteristics of our CD patients, including disease location, disease behavior</w:t>
      </w:r>
      <w:r w:rsidR="005A2061" w:rsidRPr="006A3553">
        <w:rPr>
          <w:rFonts w:ascii="Book Antiqua" w:hAnsi="Book Antiqua"/>
          <w:sz w:val="24"/>
          <w:szCs w:val="24"/>
        </w:rPr>
        <w:t xml:space="preserve"> and treatment history</w:t>
      </w:r>
      <w:r w:rsidR="00545C68" w:rsidRPr="006A3553">
        <w:rPr>
          <w:rFonts w:ascii="Book Antiqua" w:hAnsi="Book Antiqua"/>
          <w:sz w:val="24"/>
          <w:szCs w:val="24"/>
        </w:rPr>
        <w:t>,</w:t>
      </w:r>
      <w:r w:rsidR="005A2061" w:rsidRPr="006A3553">
        <w:rPr>
          <w:rFonts w:ascii="Book Antiqua" w:hAnsi="Book Antiqua"/>
          <w:sz w:val="24"/>
          <w:szCs w:val="24"/>
        </w:rPr>
        <w:t xml:space="preserve"> but did not obtain significant results. Given that such effects have been reported for </w:t>
      </w:r>
      <w:r w:rsidR="005A2061" w:rsidRPr="006A3553">
        <w:rPr>
          <w:rFonts w:ascii="Book Antiqua" w:hAnsi="Book Antiqua"/>
          <w:i/>
          <w:sz w:val="24"/>
          <w:szCs w:val="24"/>
        </w:rPr>
        <w:t>NOD2</w:t>
      </w:r>
      <w:r w:rsidR="005A2061" w:rsidRPr="006A355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A2061" w:rsidRPr="006A3553">
        <w:rPr>
          <w:rFonts w:ascii="Book Antiqua" w:hAnsi="Book Antiqua"/>
          <w:sz w:val="24"/>
          <w:szCs w:val="24"/>
        </w:rPr>
        <w:t>variants</w:t>
      </w:r>
      <w:r w:rsidR="009C4529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C4529" w:rsidRPr="006A3553">
        <w:rPr>
          <w:rFonts w:ascii="Book Antiqua" w:hAnsi="Book Antiqua"/>
          <w:sz w:val="24"/>
          <w:szCs w:val="24"/>
          <w:vertAlign w:val="superscript"/>
        </w:rPr>
        <w:t>29-32]</w:t>
      </w:r>
      <w:r w:rsidR="005A2061" w:rsidRPr="006A3553">
        <w:rPr>
          <w:rFonts w:ascii="Book Antiqua" w:hAnsi="Book Antiqua"/>
          <w:sz w:val="24"/>
          <w:szCs w:val="24"/>
        </w:rPr>
        <w:t>, the studies are nevertheless worth to be continued in larger cohorts of patients.</w:t>
      </w:r>
      <w:r w:rsidR="004957E9" w:rsidRPr="006A3553">
        <w:rPr>
          <w:rFonts w:ascii="Book Antiqua" w:hAnsi="Book Antiqua"/>
          <w:sz w:val="24"/>
          <w:szCs w:val="24"/>
        </w:rPr>
        <w:t xml:space="preserve"> To this end, we conclude that the principal effect</w:t>
      </w:r>
      <w:r w:rsidR="00E33878" w:rsidRPr="006A3553">
        <w:rPr>
          <w:rFonts w:ascii="Book Antiqua" w:hAnsi="Book Antiqua"/>
          <w:sz w:val="24"/>
          <w:szCs w:val="24"/>
        </w:rPr>
        <w:t xml:space="preserve"> of SNP rs1285933 </w:t>
      </w:r>
      <w:r w:rsidR="00EC6355" w:rsidRPr="006A3553">
        <w:rPr>
          <w:rFonts w:ascii="Book Antiqua" w:hAnsi="Book Antiqua"/>
          <w:sz w:val="24"/>
          <w:szCs w:val="24"/>
        </w:rPr>
        <w:t>is modulation of CD suscepti</w:t>
      </w:r>
      <w:r w:rsidR="000E017E" w:rsidRPr="006A3553">
        <w:rPr>
          <w:rFonts w:ascii="Book Antiqua" w:hAnsi="Book Antiqua"/>
          <w:sz w:val="24"/>
          <w:szCs w:val="24"/>
        </w:rPr>
        <w:t xml:space="preserve">bility through a different molecular pathway than </w:t>
      </w:r>
      <w:r w:rsidR="000E017E" w:rsidRPr="006A3553">
        <w:rPr>
          <w:rFonts w:ascii="Book Antiqua" w:hAnsi="Book Antiqua"/>
          <w:i/>
          <w:sz w:val="24"/>
          <w:szCs w:val="24"/>
        </w:rPr>
        <w:t>NOD2</w:t>
      </w:r>
      <w:r w:rsidR="000E017E" w:rsidRPr="006A3553">
        <w:rPr>
          <w:rFonts w:ascii="Book Antiqua" w:hAnsi="Book Antiqua"/>
          <w:sz w:val="24"/>
          <w:szCs w:val="24"/>
        </w:rPr>
        <w:t>.</w:t>
      </w:r>
    </w:p>
    <w:p w14:paraId="459EC519" w14:textId="1483D818" w:rsidR="00E33878" w:rsidRPr="006A3553" w:rsidRDefault="00E06F6E" w:rsidP="006A355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lastRenderedPageBreak/>
        <w:t>PR</w:t>
      </w:r>
      <w:r w:rsidR="009743E9" w:rsidRPr="006A3553">
        <w:rPr>
          <w:rFonts w:ascii="Book Antiqua" w:hAnsi="Book Antiqua"/>
          <w:sz w:val="24"/>
          <w:szCs w:val="24"/>
        </w:rPr>
        <w:t>Rs are key regulators of innate immune re</w:t>
      </w:r>
      <w:r w:rsidR="00A62474" w:rsidRPr="006A3553">
        <w:rPr>
          <w:rFonts w:ascii="Book Antiqua" w:hAnsi="Book Antiqua"/>
          <w:sz w:val="24"/>
          <w:szCs w:val="24"/>
        </w:rPr>
        <w:t>s</w:t>
      </w:r>
      <w:r w:rsidR="009743E9" w:rsidRPr="006A3553">
        <w:rPr>
          <w:rFonts w:ascii="Book Antiqua" w:hAnsi="Book Antiqua"/>
          <w:sz w:val="24"/>
          <w:szCs w:val="24"/>
        </w:rPr>
        <w:t>ponses</w:t>
      </w:r>
      <w:r w:rsidR="00432216" w:rsidRPr="006A3553">
        <w:rPr>
          <w:rFonts w:ascii="Book Antiqua" w:hAnsi="Book Antiqua"/>
          <w:sz w:val="24"/>
          <w:szCs w:val="24"/>
        </w:rPr>
        <w:t xml:space="preserve"> and inflammatory </w:t>
      </w:r>
      <w:proofErr w:type="gramStart"/>
      <w:r w:rsidR="00432216" w:rsidRPr="006A3553">
        <w:rPr>
          <w:rFonts w:ascii="Book Antiqua" w:hAnsi="Book Antiqua"/>
          <w:sz w:val="24"/>
          <w:szCs w:val="24"/>
        </w:rPr>
        <w:t>processes</w:t>
      </w:r>
      <w:r w:rsidR="00EC6355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C6355" w:rsidRPr="006A3553">
        <w:rPr>
          <w:rFonts w:ascii="Book Antiqua" w:hAnsi="Book Antiqua"/>
          <w:sz w:val="24"/>
          <w:szCs w:val="24"/>
          <w:vertAlign w:val="superscript"/>
        </w:rPr>
        <w:t>13,14]</w:t>
      </w:r>
      <w:r w:rsidR="00432216" w:rsidRPr="006A3553">
        <w:rPr>
          <w:rFonts w:ascii="Book Antiqua" w:hAnsi="Book Antiqua"/>
          <w:sz w:val="24"/>
          <w:szCs w:val="24"/>
        </w:rPr>
        <w:t xml:space="preserve">. For a prominent member of this family, </w:t>
      </w:r>
      <w:r w:rsidR="00432216" w:rsidRPr="006A3553">
        <w:rPr>
          <w:rFonts w:ascii="Book Antiqua" w:hAnsi="Book Antiqua"/>
          <w:i/>
          <w:sz w:val="24"/>
          <w:szCs w:val="24"/>
        </w:rPr>
        <w:t>NOD2</w:t>
      </w:r>
      <w:r w:rsidR="00432216" w:rsidRPr="006A3553">
        <w:rPr>
          <w:rFonts w:ascii="Book Antiqua" w:hAnsi="Book Antiqua"/>
          <w:sz w:val="24"/>
          <w:szCs w:val="24"/>
        </w:rPr>
        <w:t xml:space="preserve">, a role in the pathogenesis of CD is clearly </w:t>
      </w:r>
      <w:proofErr w:type="gramStart"/>
      <w:r w:rsidR="00432216" w:rsidRPr="006A3553">
        <w:rPr>
          <w:rFonts w:ascii="Book Antiqua" w:hAnsi="Book Antiqua"/>
          <w:sz w:val="24"/>
          <w:szCs w:val="24"/>
        </w:rPr>
        <w:t>established</w:t>
      </w:r>
      <w:r w:rsidR="00EC6355" w:rsidRPr="006A355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C6355" w:rsidRPr="006A3553">
        <w:rPr>
          <w:rFonts w:ascii="Book Antiqua" w:hAnsi="Book Antiqua"/>
          <w:sz w:val="24"/>
          <w:szCs w:val="24"/>
          <w:vertAlign w:val="superscript"/>
        </w:rPr>
        <w:t>4-6]</w:t>
      </w:r>
      <w:r w:rsidR="00432216" w:rsidRPr="006A3553">
        <w:rPr>
          <w:rFonts w:ascii="Book Antiqua" w:hAnsi="Book Antiqua"/>
          <w:sz w:val="24"/>
          <w:szCs w:val="24"/>
        </w:rPr>
        <w:t>. Our results suggest an association</w:t>
      </w:r>
      <w:r w:rsidRPr="006A3553">
        <w:rPr>
          <w:rFonts w:ascii="Book Antiqua" w:hAnsi="Book Antiqua"/>
          <w:sz w:val="24"/>
          <w:szCs w:val="24"/>
        </w:rPr>
        <w:t xml:space="preserve"> of a polymorphism in another PR</w:t>
      </w:r>
      <w:r w:rsidR="00432216" w:rsidRPr="006A3553">
        <w:rPr>
          <w:rFonts w:ascii="Book Antiqua" w:hAnsi="Book Antiqua"/>
          <w:sz w:val="24"/>
          <w:szCs w:val="24"/>
        </w:rPr>
        <w:t xml:space="preserve">R, rs1285933 </w:t>
      </w:r>
      <w:r w:rsidR="00545C68" w:rsidRPr="006A3553">
        <w:rPr>
          <w:rFonts w:ascii="Book Antiqua" w:hAnsi="Book Antiqua"/>
          <w:sz w:val="24"/>
          <w:szCs w:val="24"/>
        </w:rPr>
        <w:t xml:space="preserve">in </w:t>
      </w:r>
      <w:r w:rsidR="00432216" w:rsidRPr="006A3553">
        <w:rPr>
          <w:rFonts w:ascii="Book Antiqua" w:hAnsi="Book Antiqua"/>
          <w:i/>
          <w:sz w:val="24"/>
          <w:szCs w:val="24"/>
        </w:rPr>
        <w:t>CLEC5A</w:t>
      </w:r>
      <w:r w:rsidR="00432216" w:rsidRPr="006A3553">
        <w:rPr>
          <w:rFonts w:ascii="Book Antiqua" w:hAnsi="Book Antiqua"/>
          <w:sz w:val="24"/>
          <w:szCs w:val="24"/>
        </w:rPr>
        <w:t xml:space="preserve">, but not of rs2078178 and rs16910631 in </w:t>
      </w:r>
      <w:r w:rsidR="00432216" w:rsidRPr="006A3553">
        <w:rPr>
          <w:rFonts w:ascii="Book Antiqua" w:hAnsi="Book Antiqua"/>
          <w:i/>
          <w:sz w:val="24"/>
          <w:szCs w:val="24"/>
        </w:rPr>
        <w:t>CLEC7</w:t>
      </w:r>
      <w:r w:rsidR="00965B4B" w:rsidRPr="006A3553">
        <w:rPr>
          <w:rFonts w:ascii="Book Antiqua" w:hAnsi="Book Antiqua"/>
          <w:i/>
          <w:sz w:val="24"/>
          <w:szCs w:val="24"/>
        </w:rPr>
        <w:t>A</w:t>
      </w:r>
      <w:r w:rsidR="00432216" w:rsidRPr="006A3553">
        <w:rPr>
          <w:rFonts w:ascii="Book Antiqua" w:hAnsi="Book Antiqua"/>
          <w:sz w:val="24"/>
          <w:szCs w:val="24"/>
        </w:rPr>
        <w:t xml:space="preserve">, with CD. </w:t>
      </w:r>
      <w:r w:rsidRPr="006A3553">
        <w:rPr>
          <w:rFonts w:ascii="Book Antiqua" w:hAnsi="Book Antiqua"/>
          <w:sz w:val="24"/>
          <w:szCs w:val="24"/>
        </w:rPr>
        <w:t>A systematic analysis of PR</w:t>
      </w:r>
      <w:r w:rsidR="00965B4B" w:rsidRPr="006A3553">
        <w:rPr>
          <w:rFonts w:ascii="Book Antiqua" w:hAnsi="Book Antiqua"/>
          <w:sz w:val="24"/>
          <w:szCs w:val="24"/>
        </w:rPr>
        <w:t xml:space="preserve">R functions in the context of CD might reveal novel </w:t>
      </w:r>
      <w:proofErr w:type="spellStart"/>
      <w:r w:rsidR="00965B4B" w:rsidRPr="006A3553">
        <w:rPr>
          <w:rFonts w:ascii="Book Antiqua" w:hAnsi="Book Antiqua"/>
          <w:sz w:val="24"/>
          <w:szCs w:val="24"/>
        </w:rPr>
        <w:t>pathomechanistic</w:t>
      </w:r>
      <w:proofErr w:type="spellEnd"/>
      <w:r w:rsidR="00965B4B" w:rsidRPr="006A3553">
        <w:rPr>
          <w:rFonts w:ascii="Book Antiqua" w:hAnsi="Book Antiqua"/>
          <w:sz w:val="24"/>
          <w:szCs w:val="24"/>
        </w:rPr>
        <w:t xml:space="preserve"> insights and help to identify new targets for diagnostic and therapy. </w:t>
      </w:r>
    </w:p>
    <w:p w14:paraId="40D30C13" w14:textId="5D16510B" w:rsidR="00EC6355" w:rsidRPr="006A3553" w:rsidRDefault="00EC6355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color w:val="000000"/>
          <w:sz w:val="24"/>
          <w:szCs w:val="24"/>
        </w:rPr>
      </w:pPr>
    </w:p>
    <w:p w14:paraId="6BD3F7F9" w14:textId="3C2FFFB8" w:rsidR="007B1167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color w:val="000000"/>
          <w:sz w:val="24"/>
          <w:szCs w:val="24"/>
          <w:u w:val="single"/>
          <w:lang w:eastAsia="zh-CN"/>
        </w:rPr>
      </w:pPr>
      <w:r w:rsidRPr="006A3553">
        <w:rPr>
          <w:rFonts w:ascii="Book Antiqua" w:eastAsia="宋体" w:hAnsi="Book Antiqua" w:cs="Book Antiqua"/>
          <w:b/>
          <w:bCs/>
          <w:color w:val="000000"/>
          <w:sz w:val="24"/>
          <w:szCs w:val="24"/>
          <w:u w:val="single"/>
        </w:rPr>
        <w:t xml:space="preserve">ARTICLE HIGHLIGHTS </w:t>
      </w:r>
    </w:p>
    <w:p w14:paraId="3DDCF1E2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t xml:space="preserve">Research background </w:t>
      </w:r>
    </w:p>
    <w:p w14:paraId="603850A1" w14:textId="3F0F970F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 xml:space="preserve">Crohn’s disease (CD) is characterized by a </w:t>
      </w:r>
      <w:r w:rsidR="00E06F6E" w:rsidRPr="006A3553">
        <w:rPr>
          <w:rFonts w:ascii="Book Antiqua" w:eastAsia="宋体" w:hAnsi="Book Antiqua" w:cs="BookAntiqua"/>
          <w:sz w:val="24"/>
          <w:szCs w:val="24"/>
        </w:rPr>
        <w:t xml:space="preserve">multifactorial etiology and 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a significant impact of genetic traits. While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NOD2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mutations </w:t>
      </w:r>
      <w:r w:rsidR="00F7080C" w:rsidRPr="006A3553">
        <w:rPr>
          <w:rFonts w:ascii="Book Antiqua" w:eastAsia="宋体" w:hAnsi="Book Antiqua" w:cs="BookAntiqua"/>
          <w:sz w:val="24"/>
          <w:szCs w:val="24"/>
        </w:rPr>
        <w:t xml:space="preserve">represent 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well established risk factors of CD, the role of other genes </w:t>
      </w:r>
      <w:r w:rsidR="00F7080C" w:rsidRPr="006A3553">
        <w:rPr>
          <w:rFonts w:ascii="Book Antiqua" w:eastAsia="宋体" w:hAnsi="Book Antiqua" w:cs="BookAntiqua"/>
          <w:sz w:val="24"/>
          <w:szCs w:val="24"/>
        </w:rPr>
        <w:t>is incompletely understood.</w:t>
      </w:r>
    </w:p>
    <w:p w14:paraId="6B7A0F0C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Cs/>
          <w:sz w:val="24"/>
          <w:szCs w:val="24"/>
        </w:rPr>
      </w:pPr>
    </w:p>
    <w:p w14:paraId="44A0220A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t xml:space="preserve">Research motivation </w:t>
      </w:r>
    </w:p>
    <w:p w14:paraId="4E46BC03" w14:textId="77777777" w:rsidR="00427179" w:rsidRPr="006A3553" w:rsidRDefault="00F7080C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>A</w:t>
      </w:r>
      <w:r w:rsidR="00E20798" w:rsidRPr="006A3553">
        <w:rPr>
          <w:rFonts w:ascii="Book Antiqua" w:eastAsia="宋体" w:hAnsi="Book Antiqua" w:cs="BookAntiqua"/>
          <w:sz w:val="24"/>
          <w:szCs w:val="24"/>
        </w:rPr>
        <w:t xml:space="preserve"> better 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knowledge of the molecular basis of CD </w:t>
      </w:r>
      <w:r w:rsidR="00E20798" w:rsidRPr="006A3553">
        <w:rPr>
          <w:rFonts w:ascii="Book Antiqua" w:eastAsia="宋体" w:hAnsi="Book Antiqua" w:cs="BookAntiqua"/>
          <w:sz w:val="24"/>
          <w:szCs w:val="24"/>
        </w:rPr>
        <w:t xml:space="preserve">is considered </w:t>
      </w:r>
      <w:r w:rsidR="00545C68" w:rsidRPr="006A3553">
        <w:rPr>
          <w:rFonts w:ascii="Book Antiqua" w:eastAsia="宋体" w:hAnsi="Book Antiqua" w:cs="BookAntiqua"/>
          <w:sz w:val="24"/>
          <w:szCs w:val="24"/>
        </w:rPr>
        <w:t xml:space="preserve">as </w:t>
      </w:r>
      <w:r w:rsidR="00E20798" w:rsidRPr="006A3553">
        <w:rPr>
          <w:rFonts w:ascii="Book Antiqua" w:eastAsia="宋体" w:hAnsi="Book Antiqua" w:cs="BookAntiqua"/>
          <w:sz w:val="24"/>
          <w:szCs w:val="24"/>
        </w:rPr>
        <w:t>an essential prerequisite for a further improvement of diagnostics and therapy.</w:t>
      </w:r>
    </w:p>
    <w:p w14:paraId="0AA7ABE4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</w:pPr>
    </w:p>
    <w:p w14:paraId="5D79F369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t xml:space="preserve">Research objectives </w:t>
      </w:r>
    </w:p>
    <w:p w14:paraId="2A7BFC15" w14:textId="2D311039" w:rsidR="00F7080C" w:rsidRPr="006A3553" w:rsidRDefault="00F7080C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>Previous studies from our laboratory have pointed to a possible link between</w:t>
      </w:r>
      <w:r w:rsidR="00156E05" w:rsidRPr="006A3553">
        <w:rPr>
          <w:rFonts w:ascii="Book Antiqua" w:eastAsia="宋体" w:hAnsi="Book Antiqua" w:cs="BookAntiqua"/>
          <w:sz w:val="24"/>
          <w:szCs w:val="24"/>
        </w:rPr>
        <w:t xml:space="preserve"> CD and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the expression of pattern recognition receptors of the C-type lectin </w:t>
      </w:r>
      <w:r w:rsidR="0022206A" w:rsidRPr="006A3553">
        <w:rPr>
          <w:rFonts w:ascii="Book Antiqua" w:eastAsia="宋体" w:hAnsi="Book Antiqua" w:cs="BookAntiqua"/>
          <w:sz w:val="24"/>
          <w:szCs w:val="24"/>
        </w:rPr>
        <w:t>domain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family (specifically,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CLEC5A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) in peripheral blood mononuclear cells </w:t>
      </w:r>
      <w:r w:rsidR="00B75F07" w:rsidRPr="006A3553">
        <w:rPr>
          <w:rFonts w:ascii="Book Antiqua" w:eastAsia="宋体" w:hAnsi="Book Antiqua" w:cs="BookAntiqua"/>
          <w:sz w:val="24"/>
          <w:szCs w:val="24"/>
        </w:rPr>
        <w:t>(PBMC)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. This </w:t>
      </w:r>
      <w:r w:rsidR="00156E05" w:rsidRPr="006A3553">
        <w:rPr>
          <w:rFonts w:ascii="Book Antiqua" w:eastAsia="宋体" w:hAnsi="Book Antiqua" w:cs="BookAntiqua"/>
          <w:sz w:val="24"/>
          <w:szCs w:val="24"/>
        </w:rPr>
        <w:t>observation promp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ted us to ask if </w:t>
      </w:r>
      <w:r w:rsidR="00211533" w:rsidRPr="006A3553">
        <w:rPr>
          <w:rFonts w:ascii="Book Antiqua" w:hAnsi="Book Antiqua" w:cs="Arial"/>
          <w:kern w:val="24"/>
          <w:sz w:val="24"/>
          <w:szCs w:val="24"/>
        </w:rPr>
        <w:t>single nucleotide polymorphisms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in the </w:t>
      </w:r>
      <w:r w:rsidR="00156E05" w:rsidRPr="006A3553">
        <w:rPr>
          <w:rFonts w:ascii="Book Antiqua" w:eastAsia="宋体" w:hAnsi="Book Antiqua" w:cs="BookAntiqua"/>
          <w:sz w:val="24"/>
          <w:szCs w:val="24"/>
        </w:rPr>
        <w:t xml:space="preserve">genes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CLEC5A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and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CLEC7A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</w:t>
      </w:r>
      <w:r w:rsidR="00156E05" w:rsidRPr="006A3553">
        <w:rPr>
          <w:rFonts w:ascii="Book Antiqua" w:eastAsia="宋体" w:hAnsi="Book Antiqua" w:cs="BookAntiqua"/>
          <w:sz w:val="24"/>
          <w:szCs w:val="24"/>
        </w:rPr>
        <w:t>might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be associated with the disease.</w:t>
      </w:r>
    </w:p>
    <w:p w14:paraId="71826B8C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</w:pPr>
    </w:p>
    <w:p w14:paraId="3364C35C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t>Research methods</w:t>
      </w:r>
    </w:p>
    <w:p w14:paraId="3BA770AC" w14:textId="742E3EED" w:rsidR="00B75F07" w:rsidRPr="006A3553" w:rsidRDefault="00B75F0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kern w:val="24"/>
          <w:sz w:val="24"/>
          <w:szCs w:val="24"/>
        </w:rPr>
      </w:pPr>
      <w:r w:rsidRPr="006A3553">
        <w:rPr>
          <w:rFonts w:ascii="Book Antiqua" w:hAnsi="Book Antiqua" w:cs="Arial"/>
          <w:kern w:val="24"/>
          <w:sz w:val="24"/>
          <w:szCs w:val="24"/>
        </w:rPr>
        <w:t>DNA samples</w:t>
      </w:r>
      <w:r w:rsidR="00427179" w:rsidRPr="006A3553">
        <w:rPr>
          <w:rFonts w:ascii="Book Antiqua" w:hAnsi="Book Antiqua" w:cs="Arial"/>
          <w:kern w:val="24"/>
          <w:sz w:val="24"/>
          <w:szCs w:val="24"/>
        </w:rPr>
        <w:t xml:space="preserve"> from patients with CD and healthy donors were 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subjected to the analysis of </w:t>
      </w:r>
      <w:r w:rsidR="004846D1" w:rsidRPr="006A3553">
        <w:rPr>
          <w:rFonts w:ascii="Book Antiqua" w:hAnsi="Book Antiqua" w:cs="Arial"/>
          <w:kern w:val="24"/>
          <w:sz w:val="24"/>
          <w:szCs w:val="24"/>
        </w:rPr>
        <w:t>single nucleotide polymorphisms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 in the genes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CLEC5A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,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CLEC7A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 and </w:t>
      </w:r>
      <w:r w:rsidRPr="006A3553">
        <w:rPr>
          <w:rFonts w:ascii="Book Antiqua" w:eastAsia="宋体" w:hAnsi="Book Antiqua" w:cs="BookAntiqua"/>
          <w:i/>
          <w:sz w:val="24"/>
          <w:szCs w:val="24"/>
        </w:rPr>
        <w:t>NOD2</w:t>
      </w:r>
      <w:r w:rsidRPr="006A3553">
        <w:rPr>
          <w:rFonts w:ascii="Book Antiqua" w:eastAsia="宋体" w:hAnsi="Book Antiqua" w:cs="BookAntiqua"/>
          <w:sz w:val="24"/>
          <w:szCs w:val="24"/>
        </w:rPr>
        <w:t>. For studies on gene expression, PBMC from subgroups of both cohorts were employed. Molecular findings were correlated with clinical characteri</w:t>
      </w:r>
      <w:r w:rsidR="00DA7999" w:rsidRPr="006A3553">
        <w:rPr>
          <w:rFonts w:ascii="Book Antiqua" w:eastAsia="宋体" w:hAnsi="Book Antiqua" w:cs="BookAntiqua"/>
          <w:sz w:val="24"/>
          <w:szCs w:val="24"/>
        </w:rPr>
        <w:t>sti</w:t>
      </w:r>
      <w:r w:rsidRPr="006A3553">
        <w:rPr>
          <w:rFonts w:ascii="Book Antiqua" w:eastAsia="宋体" w:hAnsi="Book Antiqua" w:cs="BookAntiqua"/>
          <w:sz w:val="24"/>
          <w:szCs w:val="24"/>
        </w:rPr>
        <w:t>cs of the patients.</w:t>
      </w:r>
    </w:p>
    <w:p w14:paraId="219A3E91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</w:pPr>
    </w:p>
    <w:p w14:paraId="355F107A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 Antiqua"/>
          <w:sz w:val="24"/>
          <w:szCs w:val="24"/>
        </w:rPr>
      </w:pPr>
      <w:r w:rsidRPr="006A3553">
        <w:rPr>
          <w:rFonts w:ascii="Book Antiqua" w:eastAsia="宋体" w:hAnsi="Book Antiqua" w:cs="Book Antiqua"/>
          <w:b/>
          <w:bCs/>
          <w:i/>
          <w:iCs/>
          <w:sz w:val="24"/>
          <w:szCs w:val="24"/>
        </w:rPr>
        <w:lastRenderedPageBreak/>
        <w:t xml:space="preserve">Research results </w:t>
      </w:r>
    </w:p>
    <w:p w14:paraId="1B07DCF5" w14:textId="4871187D" w:rsidR="00B75F07" w:rsidRPr="006A3553" w:rsidRDefault="00B75F0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For genotype AA of rs1285933 in </w:t>
      </w:r>
      <w:r w:rsidRPr="006A3553">
        <w:rPr>
          <w:rFonts w:ascii="Book Antiqua" w:hAnsi="Book Antiqua"/>
          <w:i/>
          <w:sz w:val="24"/>
          <w:szCs w:val="24"/>
        </w:rPr>
        <w:t>CLEC5A</w:t>
      </w:r>
      <w:r w:rsidRPr="006A3553">
        <w:rPr>
          <w:rFonts w:ascii="Book Antiqua" w:hAnsi="Book Antiqua"/>
          <w:sz w:val="24"/>
          <w:szCs w:val="24"/>
        </w:rPr>
        <w:t xml:space="preserve">, a </w:t>
      </w:r>
      <w:r w:rsidR="00846EAE" w:rsidRPr="006A3553">
        <w:rPr>
          <w:rFonts w:ascii="Book Antiqua" w:hAnsi="Book Antiqua"/>
          <w:sz w:val="24"/>
          <w:szCs w:val="24"/>
        </w:rPr>
        <w:t>potential</w:t>
      </w:r>
      <w:r w:rsidRPr="006A3553">
        <w:rPr>
          <w:rFonts w:ascii="Book Antiqua" w:hAnsi="Book Antiqua"/>
          <w:sz w:val="24"/>
          <w:szCs w:val="24"/>
        </w:rPr>
        <w:t xml:space="preserve"> association with </w:t>
      </w:r>
      <w:r w:rsidR="009E3752" w:rsidRPr="006A3553">
        <w:rPr>
          <w:rFonts w:ascii="Book Antiqua" w:hAnsi="Book Antiqua"/>
          <w:sz w:val="24"/>
          <w:szCs w:val="24"/>
        </w:rPr>
        <w:t>CD and a</w:t>
      </w:r>
      <w:r w:rsidR="00DF19ED" w:rsidRPr="006A3553">
        <w:rPr>
          <w:rFonts w:ascii="Book Antiqua" w:hAnsi="Book Antiqua"/>
          <w:sz w:val="24"/>
          <w:szCs w:val="24"/>
        </w:rPr>
        <w:t xml:space="preserve">n </w:t>
      </w:r>
      <w:r w:rsidR="009E3752" w:rsidRPr="006A3553">
        <w:rPr>
          <w:rFonts w:ascii="Book Antiqua" w:hAnsi="Book Antiqua"/>
          <w:sz w:val="24"/>
          <w:szCs w:val="24"/>
        </w:rPr>
        <w:t xml:space="preserve">increased odds ratio were </w:t>
      </w:r>
      <w:r w:rsidR="00634517" w:rsidRPr="006A3553">
        <w:rPr>
          <w:rFonts w:ascii="Book Antiqua" w:hAnsi="Book Antiqua"/>
          <w:sz w:val="24"/>
          <w:szCs w:val="24"/>
        </w:rPr>
        <w:t>detected</w:t>
      </w:r>
      <w:r w:rsidR="009E3752" w:rsidRPr="006A3553">
        <w:rPr>
          <w:rFonts w:ascii="Book Antiqua" w:hAnsi="Book Antiqua"/>
          <w:sz w:val="24"/>
          <w:szCs w:val="24"/>
        </w:rPr>
        <w:t xml:space="preserve">. As expected, risk variants of </w:t>
      </w:r>
      <w:r w:rsidR="009E3752" w:rsidRPr="006A3553">
        <w:rPr>
          <w:rFonts w:ascii="Book Antiqua" w:hAnsi="Book Antiqua"/>
          <w:i/>
          <w:sz w:val="24"/>
          <w:szCs w:val="24"/>
        </w:rPr>
        <w:t>NOD2</w:t>
      </w:r>
      <w:r w:rsidR="009E3752" w:rsidRPr="006A3553">
        <w:rPr>
          <w:rFonts w:ascii="Book Antiqua" w:hAnsi="Book Antiqua"/>
          <w:sz w:val="24"/>
          <w:szCs w:val="24"/>
        </w:rPr>
        <w:t xml:space="preserve"> were associated with an increased occu</w:t>
      </w:r>
      <w:r w:rsidR="00DA7999" w:rsidRPr="006A3553">
        <w:rPr>
          <w:rFonts w:ascii="Book Antiqua" w:hAnsi="Book Antiqua"/>
          <w:sz w:val="24"/>
          <w:szCs w:val="24"/>
        </w:rPr>
        <w:t>r</w:t>
      </w:r>
      <w:r w:rsidR="009E3752" w:rsidRPr="006A3553">
        <w:rPr>
          <w:rFonts w:ascii="Book Antiqua" w:hAnsi="Book Antiqua"/>
          <w:sz w:val="24"/>
          <w:szCs w:val="24"/>
        </w:rPr>
        <w:t xml:space="preserve">rence of CD as well. </w:t>
      </w:r>
      <w:r w:rsidR="006C1CEE" w:rsidRPr="006A3553">
        <w:rPr>
          <w:rFonts w:ascii="Book Antiqua" w:hAnsi="Book Antiqua"/>
          <w:sz w:val="24"/>
          <w:szCs w:val="24"/>
        </w:rPr>
        <w:t>Polymorphisms of</w:t>
      </w:r>
      <w:r w:rsidR="00156E05" w:rsidRPr="006A3553">
        <w:rPr>
          <w:rFonts w:ascii="Book Antiqua" w:hAnsi="Book Antiqua"/>
          <w:sz w:val="24"/>
          <w:szCs w:val="24"/>
        </w:rPr>
        <w:t xml:space="preserve"> rs1285933</w:t>
      </w:r>
      <w:r w:rsidR="006C1CEE" w:rsidRPr="006A3553">
        <w:rPr>
          <w:rFonts w:ascii="Book Antiqua" w:hAnsi="Book Antiqua"/>
          <w:sz w:val="24"/>
          <w:szCs w:val="24"/>
        </w:rPr>
        <w:t xml:space="preserve"> correlated with </w:t>
      </w:r>
      <w:r w:rsidR="006C1CEE" w:rsidRPr="006A3553">
        <w:rPr>
          <w:rFonts w:ascii="Book Antiqua" w:hAnsi="Book Antiqua"/>
          <w:i/>
          <w:sz w:val="24"/>
          <w:szCs w:val="24"/>
        </w:rPr>
        <w:t>CXCL5</w:t>
      </w:r>
      <w:r w:rsidR="006C1CEE" w:rsidRPr="006A3553">
        <w:rPr>
          <w:rFonts w:ascii="Book Antiqua" w:hAnsi="Book Antiqua"/>
          <w:sz w:val="24"/>
          <w:szCs w:val="24"/>
        </w:rPr>
        <w:t xml:space="preserve"> gene expression but had no effect on </w:t>
      </w:r>
      <w:r w:rsidR="006C1CEE" w:rsidRPr="006A3553">
        <w:rPr>
          <w:rFonts w:ascii="Book Antiqua" w:hAnsi="Book Antiqua"/>
          <w:i/>
          <w:sz w:val="24"/>
          <w:szCs w:val="24"/>
        </w:rPr>
        <w:t>CLEC5A</w:t>
      </w:r>
      <w:r w:rsidR="006C1CEE" w:rsidRPr="006A3553">
        <w:rPr>
          <w:rFonts w:ascii="Book Antiqua" w:hAnsi="Book Antiqua"/>
          <w:sz w:val="24"/>
          <w:szCs w:val="24"/>
        </w:rPr>
        <w:t xml:space="preserve"> expression in PBMC.</w:t>
      </w:r>
    </w:p>
    <w:p w14:paraId="17B4652B" w14:textId="77777777" w:rsidR="007B1167" w:rsidRPr="006A3553" w:rsidRDefault="007B116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</w:p>
    <w:p w14:paraId="7E99E501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  <w:r w:rsidRPr="006A3553">
        <w:rPr>
          <w:rFonts w:ascii="Book Antiqua" w:eastAsia="宋体" w:hAnsi="Book Antiqua"/>
          <w:b/>
          <w:bCs/>
          <w:i/>
          <w:iCs/>
          <w:sz w:val="24"/>
          <w:szCs w:val="24"/>
        </w:rPr>
        <w:t xml:space="preserve">Research conclusions </w:t>
      </w:r>
    </w:p>
    <w:p w14:paraId="70F35504" w14:textId="77777777" w:rsidR="00427179" w:rsidRPr="006A3553" w:rsidRDefault="0063451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BookAntiqua"/>
          <w:sz w:val="24"/>
          <w:szCs w:val="24"/>
        </w:rPr>
      </w:pPr>
      <w:r w:rsidRPr="006A3553">
        <w:rPr>
          <w:rFonts w:ascii="Book Antiqua" w:eastAsia="宋体" w:hAnsi="Book Antiqua" w:cs="BookAntiqua"/>
          <w:sz w:val="24"/>
          <w:szCs w:val="24"/>
        </w:rPr>
        <w:t>SNP</w:t>
      </w:r>
      <w:r w:rsidR="00427179" w:rsidRPr="006A3553">
        <w:rPr>
          <w:rFonts w:ascii="Book Antiqua" w:eastAsia="宋体" w:hAnsi="Book Antiqua" w:cs="BookAntiqua"/>
          <w:sz w:val="24"/>
          <w:szCs w:val="24"/>
        </w:rPr>
        <w:t xml:space="preserve"> </w:t>
      </w:r>
      <w:r w:rsidRPr="006A3553">
        <w:rPr>
          <w:rFonts w:ascii="Book Antiqua" w:eastAsia="宋体" w:hAnsi="Book Antiqua" w:cs="BookAntiqua"/>
          <w:sz w:val="24"/>
          <w:szCs w:val="24"/>
        </w:rPr>
        <w:t xml:space="preserve">rs1285933 in </w:t>
      </w:r>
      <w:r w:rsidR="00427179" w:rsidRPr="006A3553">
        <w:rPr>
          <w:rFonts w:ascii="Book Antiqua" w:hAnsi="Book Antiqua" w:cs="Arial"/>
          <w:i/>
          <w:kern w:val="24"/>
          <w:sz w:val="24"/>
          <w:szCs w:val="24"/>
        </w:rPr>
        <w:t>CLEC5A</w:t>
      </w:r>
      <w:r w:rsidRPr="006A3553">
        <w:rPr>
          <w:rFonts w:ascii="Book Antiqua" w:hAnsi="Book Antiqua" w:cs="Arial"/>
          <w:kern w:val="24"/>
          <w:sz w:val="24"/>
          <w:szCs w:val="24"/>
        </w:rPr>
        <w:t xml:space="preserve"> may represent a novel genetic association of CD. The finding, however, needs to be reproduced in multicenter studies with larger numbers of CD patients.</w:t>
      </w:r>
    </w:p>
    <w:p w14:paraId="42116BD2" w14:textId="77777777" w:rsidR="00634517" w:rsidRPr="006A3553" w:rsidRDefault="00634517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</w:p>
    <w:p w14:paraId="31622A63" w14:textId="77777777" w:rsidR="00427179" w:rsidRPr="006A3553" w:rsidRDefault="00427179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bCs/>
          <w:i/>
          <w:iCs/>
          <w:sz w:val="24"/>
          <w:szCs w:val="24"/>
        </w:rPr>
      </w:pPr>
      <w:r w:rsidRPr="006A3553">
        <w:rPr>
          <w:rFonts w:ascii="Book Antiqua" w:eastAsia="宋体" w:hAnsi="Book Antiqua"/>
          <w:b/>
          <w:bCs/>
          <w:i/>
          <w:iCs/>
          <w:sz w:val="24"/>
          <w:szCs w:val="24"/>
        </w:rPr>
        <w:t>Research perspectives</w:t>
      </w:r>
    </w:p>
    <w:p w14:paraId="1E00DC4D" w14:textId="5B474313" w:rsidR="00634517" w:rsidRPr="006A3553" w:rsidRDefault="0063451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 xml:space="preserve">Pattern recognition receptors of the </w:t>
      </w:r>
      <w:r w:rsidR="0016099B" w:rsidRPr="006A3553">
        <w:rPr>
          <w:rFonts w:ascii="Book Antiqua" w:eastAsia="宋体" w:hAnsi="Book Antiqua" w:cs="BookAntiqua"/>
          <w:sz w:val="24"/>
          <w:szCs w:val="24"/>
        </w:rPr>
        <w:t>C-type lectin domain</w:t>
      </w:r>
      <w:r w:rsidRPr="006A3553">
        <w:rPr>
          <w:rFonts w:ascii="Book Antiqua" w:hAnsi="Book Antiqua"/>
          <w:sz w:val="24"/>
          <w:szCs w:val="24"/>
        </w:rPr>
        <w:t xml:space="preserve"> family deserve further attention </w:t>
      </w:r>
      <w:r w:rsidR="005963CD" w:rsidRPr="006A3553">
        <w:rPr>
          <w:rFonts w:ascii="Book Antiqua" w:hAnsi="Book Antiqua"/>
          <w:sz w:val="24"/>
          <w:szCs w:val="24"/>
        </w:rPr>
        <w:t xml:space="preserve">regarding </w:t>
      </w:r>
      <w:r w:rsidRPr="006A3553">
        <w:rPr>
          <w:rFonts w:ascii="Book Antiqua" w:hAnsi="Book Antiqua"/>
          <w:sz w:val="24"/>
          <w:szCs w:val="24"/>
        </w:rPr>
        <w:t>their potential role in the pathogenesis of CD and their relevance as diagnostic markers and therapeutic targets.</w:t>
      </w:r>
    </w:p>
    <w:p w14:paraId="221042A0" w14:textId="77777777" w:rsidR="00634517" w:rsidRPr="006A3553" w:rsidRDefault="0063451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4D8C6FE" w14:textId="77777777" w:rsidR="00A70337" w:rsidRPr="006A3553" w:rsidRDefault="00A7033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A3553">
        <w:rPr>
          <w:rFonts w:ascii="Book Antiqua" w:hAnsi="Book Antiqua"/>
          <w:b/>
          <w:sz w:val="24"/>
          <w:szCs w:val="24"/>
          <w:u w:val="single"/>
        </w:rPr>
        <w:t>ACKNOWLEDGMENTS</w:t>
      </w:r>
    </w:p>
    <w:p w14:paraId="6B56FA6D" w14:textId="77777777" w:rsidR="00A70337" w:rsidRPr="006A3553" w:rsidRDefault="00A70337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</w:rPr>
        <w:t>We thank Mrs. Katja Bergmann for expert technical assistance.</w:t>
      </w:r>
    </w:p>
    <w:p w14:paraId="5BAE753A" w14:textId="388D0FF0" w:rsidR="007D2580" w:rsidRPr="006A3553" w:rsidRDefault="007D2580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</w:pPr>
    </w:p>
    <w:p w14:paraId="0B877642" w14:textId="51C3B2C8" w:rsidR="007B1167" w:rsidRPr="006A3553" w:rsidRDefault="007B1167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>REFERENCES</w:t>
      </w:r>
    </w:p>
    <w:p w14:paraId="376BE012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Abraham 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Cho JH. Inflammatory bowel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2066-2078 [PMID: 19923578 DOI: 10.1056/NEJMra0804647]</w:t>
      </w:r>
    </w:p>
    <w:p w14:paraId="407FDD51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Baumgart DC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Sandborn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WJ.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380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1590-1605 [PMID: 22914295 DOI: 10.1016/S0140-6736(12)60026-9]</w:t>
      </w:r>
    </w:p>
    <w:p w14:paraId="045A50E9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Mayer 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. Evolving paradigms in the pathogenesis of IBD.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45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9-16 [PMID: 19960355 DOI: 10.1007/s00535-009-0138-3]</w:t>
      </w:r>
    </w:p>
    <w:p w14:paraId="17DE9E03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Naser SA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Arce M, Khaja A, Fernandez M, Naser N,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Elwasila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Thanigachalam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S. Role of ATG16L, NOD2 and IL23R in Crohn's disease pathogenesis.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World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412-424 [PMID: 22346247 DOI: 10.3748/wjg.v18.i5.412]</w:t>
      </w:r>
    </w:p>
    <w:p w14:paraId="5260A8BD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5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Hugot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JP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Chamaillard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Zouali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H, Lesage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Cézard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JP,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Belaiche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Almer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Tysk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O'Morain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CA,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Gassull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Binder V, Finkel Y,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Cortot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Modigliani R, Laurent-Puig P, Gower-Rousseau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Macry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Colombel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Sahbatou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Thomas G. Association of NOD2 leucine-rich repeat variants with susceptibility to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599-603 [PMID: 11385576 DOI: 10.1038/35079107]</w:t>
      </w:r>
    </w:p>
    <w:p w14:paraId="613637B8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Ogura Y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Bonen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DK,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Inohara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N, Nicolae DL, Chen FF, Ramos R, Britton H, Moran T,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Karaliuskas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Duerr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RH,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Achkar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JP, Brant SR, Bayless TM, Kirschner BS,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Hanauer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SB,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Nuñez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G, Cho JH. A frameshift mutation in NOD2 associated with susceptibility to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603-606 [PMID: 11385577 DOI: 10.1038/35079114]</w:t>
      </w:r>
    </w:p>
    <w:p w14:paraId="78047E9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Natsuka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Uehara A, Yang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Echigo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Takada H. A polymer-type water-soluble peptidoglycan exhibited both Toll-like receptor 2- and NOD2-agonistic activities, resulting in synergistic activation of human monocytic cells.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Innate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298-308 [PMID: 18809654 DOI: 10.1177/1753425908096518]</w:t>
      </w:r>
    </w:p>
    <w:p w14:paraId="5F7A0EA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Iyer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JK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Coggeshall KM. Cutting edge: primary innate immune cells respond efficiently to polymeric peptidoglycan, but not to peptidoglycan monomers.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3841-3845 [PMID: 21357534 DOI: 10.4049/jimmunol.1004058]</w:t>
      </w:r>
    </w:p>
    <w:p w14:paraId="6891BAD1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Girardin SE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Boneca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IG,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Viala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Chamaillard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Labigne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Thomas G, Philpott DJ,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Sansonetti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PJ. Nod2 is a general sensor of peptidoglycan through muramyl dipeptide (MDP) detection.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Biol Chem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8869-8872 [PMID: 12527755 DOI: 10.1074/jbc.C200651200]</w:t>
      </w:r>
    </w:p>
    <w:p w14:paraId="39B8D811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Inohara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Ogura Y,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Fontalba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Gutierrez O, Pons F, Crespo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Fukase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K, Inamura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Kusumoto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Hashimoto M, Foster SJ, Moran AP, Fernandez-Luna JL,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Nuñez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G. Host recognition of bacterial muramyl dipeptide mediated through NOD2. Implications for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Biol Chem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5509-5512 [PMID: 12514169 DOI: 10.1074/jbc.C200673200]</w:t>
      </w:r>
    </w:p>
    <w:p w14:paraId="0345CC7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Strober W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Murray PJ,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Kitani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Watanabe T.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Signalling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pathways and molecular interactions of NOD1 and NOD2.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Rev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9-20 [PMID: 16493424 DOI: 10.1038/nri1747]</w:t>
      </w:r>
    </w:p>
    <w:p w14:paraId="27C26F64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12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Zelensky AN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Gready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JE. The C-type lectin-like domain superfamily.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FEBS J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272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6179-6217 [PMID: 16336259 DOI: 10.1111/j.1742-4658.2005.05031.x]</w:t>
      </w:r>
    </w:p>
    <w:p w14:paraId="69380799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Hardison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Brown GD. C-type lectin receptors orchestrate antifungal immunity.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817-822 [PMID: 22910394 DOI: 10.1038/ni.2369]</w:t>
      </w:r>
    </w:p>
    <w:p w14:paraId="2588793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Hoving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Wilson GJ, Brown GD.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Signalling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C-type lectin receptors, microbial recognition and immunity.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Microbiol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185-194 [PMID: 24330199 DOI: 10.1111/cmi.12249]</w:t>
      </w:r>
    </w:p>
    <w:p w14:paraId="7F9FC7E9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Iliev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ID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Funari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VA, Taylor KD, Nguyen Q, Reyes CN, Strom SP, Brown J, Becker CA,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Fleshner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PR, Dubinsky M, Rotter JI, Wang HL, McGovern DP, Brown GD, Underhill DM. Interactions between commensal fungi and the C-type lectin receptor Dectin-1 influence colitis.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Science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1314-1317 [PMID: 22674328 DOI: 10.1126/science.1221789]</w:t>
      </w:r>
    </w:p>
    <w:p w14:paraId="2FC54309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Schäffler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Rohde M, Rohde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Huth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Gittel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Hollborn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H, Koczan D, Glass Ä, Lamprecht 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Jaster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NOD2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- and disease-specific gene expression profiles of peripheral blood mononuclear cells from Crohn's disease patients.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World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2018;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1196-1205 [PMID: 29568200 DOI: 10.3748/wjg.v24.i11.1196]</w:t>
      </w:r>
    </w:p>
    <w:p w14:paraId="3DA980D1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Cooney R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Baker J, Brain O,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Danis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Pichulik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T, Allan P, Ferguson DJ, Campbell BJ, Jewell D, Simmons A. NOD2 stimulation induces autophagy in dendritic cells influencing bacterial handling and antigen presentation.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Med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90-97 [PMID: 19966812 DOI: 10.1038/nm.2069]</w:t>
      </w:r>
    </w:p>
    <w:p w14:paraId="2ABFB5E2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Travassos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LH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Carneiro LA,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Ramjeet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Hussey S, Kim YG,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Magalhães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JG, Yuan L, Soares 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Chea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E, Le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Bourhis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Boneca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IG,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Allaoui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Jones NL,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Nuñez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G, Girardin SE, Philpott DJ. Nod1 and Nod2 direct autophagy by recruiting ATG16L1 to the plasma membrane at the site of bacterial entry.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55-62 [PMID: 19898471 DOI: 10.1038/ni.1823]</w:t>
      </w:r>
    </w:p>
    <w:p w14:paraId="17B15E6B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 ST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Li FJ, Hsu TY, Liang SM, Yeh YC, Liao WY, Chou TY, Chen NJ, Hsiao M, Yang WB, Hsieh SL. CLEC5A is a critical receptor in innate immunity against Listeria infection.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2017;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299 [PMID: 28824166 DOI: 10.1038/s41467-017-00356-3]</w:t>
      </w:r>
    </w:p>
    <w:p w14:paraId="0A7FF502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20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Xavier-Carvalho 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Cezar RDDS, Freire NM, Vasconcelos CMM,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Solorzano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VEF, de Toledo-Pinto TG,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Fialho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LG, do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Carmo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RF, Vasconcelos LRS, Cordeiro MT, Baptista P, de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Azeredo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EL, da Cunha RV, de Souza LJ, Pacheco AG,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Kubelka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CF, Moura PMMF,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Moraes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MO. Association of rs1285933 single nucleotide polymorphism in CLEC5A gene with dengue severity and its functional effects.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Hum Immunol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2017;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78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649-656 [PMID: 28764923 DOI: 10.1016/j.humimm.2017.07.013]</w:t>
      </w:r>
    </w:p>
    <w:p w14:paraId="69E701CD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 ST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Lin YL, Huang MT, Wu MF, Cheng SC, Lei HY, Lee CK,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Chiou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TW, Wong CH, Hsieh SL. CLEC5A is critical for dengue-virus-induced lethal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453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672-676 [PMID: 18496526 DOI: 10.1038/nature07013]</w:t>
      </w:r>
    </w:p>
    <w:p w14:paraId="5E3CF887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Schäffler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Geiss D,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Gittel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N, Rohde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Huth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Glass Ä,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Brandhorst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Jaster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R, Lamprecht G. Mutations in the NOD2 gene are associated with a specific phenotype and lower anti-tumor necrosis factor trough levels in Crohn's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Dig Dis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2018;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678-684 [PMID: 30284387 DOI: 10.1111/1751-2980.12677]</w:t>
      </w:r>
    </w:p>
    <w:p w14:paraId="641731D3" w14:textId="7EED4674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Best WR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Becktel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JM, Singleton JW, Kern F Jr. Development of a Crohn's disease activity index. National Cooperative Crohn's Disease Study.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1976;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70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439-444 [PMID: 1248701</w:t>
      </w:r>
      <w:r w:rsidR="00190561"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DOI: 10.1016/S0016-5085(76)80163-1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68DF633C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Harvey RF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Bradshaw JM. A simple index of Crohn's-disease activity.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1980;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514 [PMID: 6102236 DOI: 10.1016/s0140-6736(80)92767-1]</w:t>
      </w:r>
    </w:p>
    <w:p w14:paraId="5CEEF11A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Silverberg MS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Satsangi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Ahmad T, Arnott ID, Bernstein CN, Brant SR,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Caprilli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Colombel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Gasche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Geboes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K, Jewell DP,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Karban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Loftus EV Jr, Peña AS, Riddell RH, Sachar DB, Schreiber S, Steinhart AH,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Targan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SR,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Vermeire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Warren BF. Toward an integrated clinical, molecular and serological classification of inflammatory bowel disease: report of a Working Party of the 2005 Montreal World Congress of Gastroenterology.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19 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Suppl A: 5A-36A [PMID: 16151544 DOI: 10.1155/2005/269076]</w:t>
      </w:r>
    </w:p>
    <w:p w14:paraId="55A45965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26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Yang YL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Chang WP, Hsu YW, Chen WC, Yu HR, Liang CD, Tsai YT, Huang YH, Yang KD,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Kuo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HC, Chang WC. Lack of association between CLEC5A gene single-nucleotide polymorphisms and Kawasaki disease in Taiwanese children.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Biomed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Biotechnol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2012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398628 [PMID: 22536019 DOI: 10.1155/2012/398628]</w:t>
      </w:r>
    </w:p>
    <w:p w14:paraId="1D066790" w14:textId="4E38E8E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27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Adler P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Kolde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R, Kull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Tkachenko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Peterson H,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Reimand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Vilo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J. Mining for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coexpression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across hundreds of datasets using novel rank aggregation and visualization methods.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Genome Biol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: R139 [PMID: </w:t>
      </w:r>
      <w:r w:rsidR="00190561"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19961599 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DOI: </w:t>
      </w:r>
      <w:r w:rsidR="00190561" w:rsidRPr="006A3553">
        <w:rPr>
          <w:rFonts w:ascii="Book Antiqua" w:eastAsia="宋体" w:hAnsi="Book Antiqua" w:cs="宋体"/>
          <w:sz w:val="24"/>
          <w:szCs w:val="24"/>
          <w:lang w:eastAsia="zh-CN"/>
        </w:rPr>
        <w:t>10.1186/gb-2009-10-12-r139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19BFBA0F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28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Wiecek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Wos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Radziewicz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Winnicki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Komraus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Grzybowska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Chlebowczyk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U. Disaccharidase activity in children with inflammatory bowel disease.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Turk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185-191 [PMID: 25003680 DOI: 10.5152/tjg.2014.3994]</w:t>
      </w:r>
    </w:p>
    <w:p w14:paraId="6B519482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29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Büning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Genschel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Bühner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Krüger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S, Kling K,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Dignass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A, Baier P,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Bochow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Ockenga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Schmidt HH, Lochs H. Mutations in the NOD2/CARD15 gene in Crohn's disease are associated with ileocecal resection and are a risk factor for reoperation.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Aliment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1073-1078 [PMID: 15142196 DOI: 10.1111/j.1365-2036.2004.01967.x]</w:t>
      </w:r>
    </w:p>
    <w:p w14:paraId="33BB2EDF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Schnitzler F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Friedrich M, Wolf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Stallhofer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Angelberger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Diegelmann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Olszak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Tillack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Beigel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Göke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Glas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Lohse P, Brand S. The NOD2 Single Nucleotide Polymorphism rs72796353 (IVS4+10 A&gt;C) Is a Predictor for Perianal Fistulas in Patients with Crohn's Disease in the Absence of Other NOD2 Mutations. </w:t>
      </w:r>
      <w:proofErr w:type="spellStart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e0116044 [PMID: 26147989 DOI: 10.1371/journal.pone.0116044]</w:t>
      </w:r>
    </w:p>
    <w:p w14:paraId="2F01ED5D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31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Alvarez-Lobos M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Arostegui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JI, Sans 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Tassies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D, Plaza S, Delgado S, Lacy AM, Pique JM,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Yagüe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Panés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J. Crohn's disease patients carrying Nod2/CARD15 gene variants have an increased and early need for first surgery due to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stricturing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disease and higher rate of surgical recurrence.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Ann Surg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242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693-700 [PMID: 16244543 DOI: 10.1097/01.sla.0000186173.14696.ea]</w:t>
      </w:r>
    </w:p>
    <w:p w14:paraId="77FBE625" w14:textId="77777777" w:rsidR="00E02939" w:rsidRPr="006A3553" w:rsidRDefault="00E02939" w:rsidP="006A35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32 </w:t>
      </w:r>
      <w:proofErr w:type="spellStart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Cantó</w:t>
      </w:r>
      <w:proofErr w:type="spellEnd"/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Ricart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E, Busquets D,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Monfort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D, García-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Planella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E, González D, </w:t>
      </w:r>
      <w:proofErr w:type="spellStart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Balanzó</w:t>
      </w:r>
      <w:proofErr w:type="spellEnd"/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J, Rodriguez-Sanchez JL, Vidal S. Influence of a nucleotide oligomerization domain 1 (NOD1) polymorphism and NOD2 mutant alleles on Crohn's disease phenotype. </w:t>
      </w:r>
      <w:r w:rsidRPr="006A355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World J Gastroenterol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6A355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6A3553">
        <w:rPr>
          <w:rFonts w:ascii="Book Antiqua" w:eastAsia="宋体" w:hAnsi="Book Antiqua" w:cs="宋体"/>
          <w:sz w:val="24"/>
          <w:szCs w:val="24"/>
          <w:lang w:eastAsia="zh-CN"/>
        </w:rPr>
        <w:t>: 5446-5453 [PMID: 17907287 DOI: 10.3748/wjg.v13.i41.5446]</w:t>
      </w:r>
    </w:p>
    <w:p w14:paraId="06C1619E" w14:textId="77777777" w:rsidR="00143469" w:rsidRPr="006A3553" w:rsidRDefault="00312DF4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br w:type="page"/>
      </w:r>
    </w:p>
    <w:p w14:paraId="52088A2A" w14:textId="356703C4" w:rsidR="00143469" w:rsidRPr="006A3553" w:rsidRDefault="00390082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5E7C8089" w14:textId="77B4610A" w:rsidR="00312DF4" w:rsidRPr="006A3553" w:rsidRDefault="00390082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hAnsi="Book Antiqua"/>
          <w:b/>
          <w:color w:val="000000"/>
          <w:sz w:val="24"/>
          <w:szCs w:val="24"/>
        </w:rPr>
        <w:t>Institutional review board statement</w:t>
      </w:r>
      <w:r w:rsidRPr="006A3553">
        <w:rPr>
          <w:rFonts w:ascii="Book Antiqua" w:hAnsi="Book Antiqua"/>
          <w:b/>
          <w:bCs/>
          <w:iCs/>
          <w:sz w:val="24"/>
          <w:szCs w:val="24"/>
        </w:rPr>
        <w:t>:</w:t>
      </w:r>
      <w:r w:rsidR="00312DF4" w:rsidRPr="006A3553">
        <w:rPr>
          <w:rFonts w:ascii="Book Antiqua" w:eastAsia="宋体" w:hAnsi="Book Antiqua" w:cs="Book Antiqua"/>
          <w:b/>
          <w:bCs/>
          <w:color w:val="000000"/>
          <w:sz w:val="24"/>
          <w:szCs w:val="24"/>
        </w:rPr>
        <w:t xml:space="preserve"> </w:t>
      </w:r>
      <w:r w:rsidR="00312DF4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The study was approved by the ethic board of the Medical Faculty of the University of Rostock (A 2017-0137).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Written informed consent was obtained from each participant prior to enrollment. </w:t>
      </w:r>
    </w:p>
    <w:p w14:paraId="695BE820" w14:textId="77777777" w:rsidR="00312DF4" w:rsidRPr="006A3553" w:rsidRDefault="00312DF4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</w:p>
    <w:p w14:paraId="05E50419" w14:textId="5F6139C4" w:rsidR="00312DF4" w:rsidRPr="006A3553" w:rsidRDefault="00390082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  <w:r w:rsidRPr="006A3553">
        <w:rPr>
          <w:rFonts w:ascii="Book Antiqua" w:hAnsi="Book Antiqua"/>
          <w:b/>
          <w:color w:val="000000"/>
          <w:sz w:val="24"/>
          <w:szCs w:val="24"/>
        </w:rPr>
        <w:t>Conflict-of-interest statement</w:t>
      </w:r>
      <w:r w:rsidRPr="006A3553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="00312DF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 xml:space="preserve"> The authors declare that there is no conflict of interest.</w:t>
      </w:r>
    </w:p>
    <w:p w14:paraId="3DDAD8D9" w14:textId="77777777" w:rsidR="00312DF4" w:rsidRPr="006A3553" w:rsidRDefault="00312DF4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0FBDC54A" w14:textId="446758DC" w:rsidR="00312DF4" w:rsidRPr="006A3553" w:rsidRDefault="00390082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  <w:r w:rsidRPr="006A3553">
        <w:rPr>
          <w:rFonts w:ascii="Book Antiqua" w:hAnsi="Book Antiqua" w:cs="TimesNewRomanPS-BoldItalicMT"/>
          <w:b/>
          <w:bCs/>
          <w:iCs/>
          <w:sz w:val="24"/>
          <w:szCs w:val="24"/>
        </w:rPr>
        <w:t>Data sharing</w:t>
      </w:r>
      <w:r w:rsidRPr="006A3553">
        <w:rPr>
          <w:rFonts w:ascii="Book Antiqua" w:hAnsi="Book Antiqua"/>
          <w:b/>
          <w:color w:val="000000"/>
          <w:sz w:val="24"/>
          <w:szCs w:val="24"/>
        </w:rPr>
        <w:t xml:space="preserve"> statement</w:t>
      </w:r>
      <w:r w:rsidRPr="006A3553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="00312DF4" w:rsidRPr="006A3553">
        <w:rPr>
          <w:rFonts w:ascii="Book Antiqua" w:eastAsia="Times New Roman" w:hAnsi="Book Antiqua" w:cs="Times New Roman"/>
          <w:b/>
          <w:sz w:val="24"/>
          <w:szCs w:val="24"/>
          <w:lang w:val="en-GB" w:eastAsia="de-DE"/>
        </w:rPr>
        <w:t xml:space="preserve"> </w:t>
      </w:r>
      <w:r w:rsidR="00312DF4" w:rsidRPr="006A3553">
        <w:rPr>
          <w:rFonts w:ascii="Book Antiqua" w:eastAsia="Times New Roman" w:hAnsi="Book Antiqua" w:cs="Times New Roman"/>
          <w:sz w:val="24"/>
          <w:szCs w:val="24"/>
          <w:lang w:val="en-GB" w:eastAsia="de-DE"/>
        </w:rPr>
        <w:t>No additional data are available.</w:t>
      </w:r>
    </w:p>
    <w:p w14:paraId="4BC8BA53" w14:textId="6EA0EA26" w:rsidR="00390082" w:rsidRPr="006A3553" w:rsidRDefault="00390082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GB" w:eastAsia="de-DE"/>
        </w:rPr>
      </w:pPr>
    </w:p>
    <w:p w14:paraId="20BC6C65" w14:textId="7777777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6A3553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6A3553">
        <w:rPr>
          <w:rFonts w:ascii="Book Antiqua" w:hAnsi="Book Antiqua"/>
          <w:sz w:val="24"/>
          <w:szCs w:val="24"/>
        </w:rPr>
        <w:t xml:space="preserve">article that was selected </w:t>
      </w:r>
      <w:r w:rsidRPr="006A3553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6A3553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6A3553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7972904" w14:textId="7777777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</w:p>
    <w:p w14:paraId="7D0D85D8" w14:textId="721591BC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 source:</w:t>
      </w:r>
      <w:r w:rsidRPr="006A3553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6A3553">
        <w:rPr>
          <w:rFonts w:ascii="Book Antiqua" w:hAnsi="Book Antiqua"/>
          <w:bCs/>
          <w:color w:val="000000"/>
          <w:sz w:val="24"/>
          <w:szCs w:val="24"/>
          <w:lang w:eastAsia="pl-PL"/>
        </w:rPr>
        <w:t>Unsolicited</w:t>
      </w:r>
      <w:r w:rsidR="009B1FF0" w:rsidRPr="006A3553">
        <w:rPr>
          <w:rFonts w:ascii="Book Antiqua" w:hAnsi="Book Antiqua"/>
          <w:bCs/>
          <w:color w:val="000000"/>
          <w:sz w:val="24"/>
          <w:szCs w:val="24"/>
          <w:lang w:eastAsia="pl-PL"/>
        </w:rPr>
        <w:t xml:space="preserve"> </w:t>
      </w:r>
      <w:r w:rsidRPr="006A3553">
        <w:rPr>
          <w:rFonts w:ascii="Book Antiqua" w:hAnsi="Book Antiqua"/>
          <w:bCs/>
          <w:color w:val="000000"/>
          <w:sz w:val="24"/>
          <w:szCs w:val="24"/>
          <w:lang w:eastAsia="pl-PL"/>
        </w:rPr>
        <w:t>manuscript</w:t>
      </w:r>
    </w:p>
    <w:p w14:paraId="2E43B881" w14:textId="77777777" w:rsidR="00390082" w:rsidRPr="006A3553" w:rsidRDefault="00390082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Times New Roman"/>
          <w:b/>
          <w:sz w:val="24"/>
          <w:szCs w:val="24"/>
          <w:lang w:eastAsia="de-DE"/>
        </w:rPr>
      </w:pPr>
    </w:p>
    <w:p w14:paraId="493F962C" w14:textId="6CA9C4B4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sz w:val="24"/>
          <w:szCs w:val="24"/>
        </w:rPr>
        <w:t>Peer-review started:</w:t>
      </w:r>
      <w:r w:rsidRPr="006A355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A3AB7" w:rsidRPr="006A3553">
        <w:rPr>
          <w:rFonts w:ascii="Book Antiqua" w:hAnsi="Book Antiqua"/>
          <w:sz w:val="24"/>
          <w:szCs w:val="24"/>
          <w:lang w:eastAsia="zh-CN"/>
        </w:rPr>
        <w:t>February</w:t>
      </w:r>
      <w:r w:rsidRPr="006A3553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A3AB7" w:rsidRPr="006A3553">
        <w:rPr>
          <w:rFonts w:ascii="Book Antiqua" w:hAnsi="Book Antiqua"/>
          <w:sz w:val="24"/>
          <w:szCs w:val="24"/>
          <w:lang w:eastAsia="zh-CN"/>
        </w:rPr>
        <w:t>4</w:t>
      </w:r>
      <w:r w:rsidRPr="006A3553">
        <w:rPr>
          <w:rFonts w:ascii="Book Antiqua" w:hAnsi="Book Antiqua"/>
          <w:sz w:val="24"/>
          <w:szCs w:val="24"/>
          <w:lang w:eastAsia="zh-CN"/>
        </w:rPr>
        <w:t>, 2020</w:t>
      </w:r>
    </w:p>
    <w:p w14:paraId="2770E2DD" w14:textId="4639E0E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sz w:val="24"/>
          <w:szCs w:val="24"/>
        </w:rPr>
        <w:t>First decision:</w:t>
      </w:r>
      <w:r w:rsidRPr="006A355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A3AB7" w:rsidRPr="006A3553">
        <w:rPr>
          <w:rFonts w:ascii="Book Antiqua" w:hAnsi="Book Antiqua"/>
          <w:sz w:val="24"/>
          <w:szCs w:val="24"/>
          <w:lang w:eastAsia="zh-CN"/>
        </w:rPr>
        <w:t>March</w:t>
      </w:r>
      <w:r w:rsidRPr="006A3553">
        <w:rPr>
          <w:rFonts w:ascii="Book Antiqua" w:hAnsi="Book Antiqua"/>
          <w:sz w:val="24"/>
          <w:szCs w:val="24"/>
          <w:lang w:eastAsia="zh-CN"/>
        </w:rPr>
        <w:t xml:space="preserve"> 2</w:t>
      </w:r>
      <w:r w:rsidR="004A3AB7" w:rsidRPr="006A3553">
        <w:rPr>
          <w:rFonts w:ascii="Book Antiqua" w:hAnsi="Book Antiqua"/>
          <w:sz w:val="24"/>
          <w:szCs w:val="24"/>
          <w:lang w:eastAsia="zh-CN"/>
        </w:rPr>
        <w:t>1</w:t>
      </w:r>
      <w:r w:rsidRPr="006A3553">
        <w:rPr>
          <w:rFonts w:ascii="Book Antiqua" w:hAnsi="Book Antiqua"/>
          <w:sz w:val="24"/>
          <w:szCs w:val="24"/>
          <w:lang w:eastAsia="zh-CN"/>
        </w:rPr>
        <w:t>, 2020</w:t>
      </w:r>
    </w:p>
    <w:p w14:paraId="30BBF9B3" w14:textId="7777777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A3553">
        <w:rPr>
          <w:rFonts w:ascii="Book Antiqua" w:hAnsi="Book Antiqua"/>
          <w:b/>
          <w:sz w:val="24"/>
          <w:szCs w:val="24"/>
        </w:rPr>
        <w:t>Article in press:</w:t>
      </w:r>
    </w:p>
    <w:p w14:paraId="36671175" w14:textId="77777777" w:rsidR="00390082" w:rsidRPr="006A3553" w:rsidRDefault="00390082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B158FA5" w14:textId="7E18097C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="00BC492B" w:rsidRPr="006A3553">
        <w:rPr>
          <w:rFonts w:ascii="Book Antiqua" w:eastAsia="微软雅黑" w:hAnsi="Book Antiqua" w:cs="宋体"/>
          <w:sz w:val="24"/>
          <w:szCs w:val="24"/>
        </w:rPr>
        <w:t>Gastroenterology and hepatology</w:t>
      </w:r>
    </w:p>
    <w:p w14:paraId="7534741F" w14:textId="75829315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b/>
          <w:sz w:val="24"/>
          <w:szCs w:val="24"/>
          <w:lang w:eastAsia="zh-CN"/>
        </w:rPr>
        <w:t xml:space="preserve">Country/Territory of origin: </w:t>
      </w:r>
      <w:r w:rsidR="004A3AB7" w:rsidRPr="006A3553">
        <w:rPr>
          <w:rFonts w:ascii="Book Antiqua" w:hAnsi="Book Antiqua"/>
          <w:sz w:val="24"/>
          <w:szCs w:val="24"/>
          <w:lang w:eastAsia="fr-FR"/>
        </w:rPr>
        <w:t>Germany</w:t>
      </w:r>
    </w:p>
    <w:p w14:paraId="7857B887" w14:textId="77777777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6A3553">
        <w:rPr>
          <w:rFonts w:ascii="Book Antiqua" w:hAnsi="Book Antiqua" w:cs="宋体"/>
          <w:b/>
          <w:sz w:val="24"/>
          <w:szCs w:val="24"/>
          <w:lang w:eastAsia="zh-CN"/>
        </w:rPr>
        <w:t>Peer-review report’s scientific quality classification</w:t>
      </w:r>
    </w:p>
    <w:p w14:paraId="584F0934" w14:textId="26B0A0C2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t xml:space="preserve">Grade A (Excellent): </w:t>
      </w:r>
      <w:r w:rsidR="00366E11" w:rsidRPr="006A3553">
        <w:rPr>
          <w:rFonts w:ascii="Book Antiqua" w:hAnsi="Book Antiqua" w:cs="宋体"/>
          <w:sz w:val="24"/>
          <w:szCs w:val="24"/>
          <w:lang w:eastAsia="zh-CN"/>
        </w:rPr>
        <w:t>A</w:t>
      </w:r>
    </w:p>
    <w:p w14:paraId="6B20FAF6" w14:textId="5D23FE1A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t xml:space="preserve">Grade B (Very good): </w:t>
      </w:r>
      <w:r w:rsidR="00366E11" w:rsidRPr="006A3553">
        <w:rPr>
          <w:rFonts w:ascii="Book Antiqua" w:hAnsi="Book Antiqua" w:cs="宋体"/>
          <w:sz w:val="24"/>
          <w:szCs w:val="24"/>
          <w:lang w:eastAsia="zh-CN"/>
        </w:rPr>
        <w:t>0</w:t>
      </w:r>
    </w:p>
    <w:p w14:paraId="6B489EDC" w14:textId="6BA96FEA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t xml:space="preserve">Grade C (Good): </w:t>
      </w:r>
      <w:r w:rsidR="009B1FF0" w:rsidRPr="006A3553">
        <w:rPr>
          <w:rFonts w:ascii="Book Antiqua" w:hAnsi="Book Antiqua" w:cs="宋体"/>
          <w:sz w:val="24"/>
          <w:szCs w:val="24"/>
          <w:lang w:eastAsia="zh-CN"/>
        </w:rPr>
        <w:t>0</w:t>
      </w:r>
    </w:p>
    <w:p w14:paraId="5C03428D" w14:textId="77777777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lastRenderedPageBreak/>
        <w:t>Grade D (Fair): 0</w:t>
      </w:r>
    </w:p>
    <w:p w14:paraId="041CF2F8" w14:textId="77777777" w:rsidR="00390082" w:rsidRPr="006A3553" w:rsidRDefault="00390082" w:rsidP="006A355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val="hu-HU" w:eastAsia="zh-CN"/>
        </w:rPr>
      </w:pPr>
      <w:r w:rsidRPr="006A3553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14:paraId="65A1BC1A" w14:textId="77777777" w:rsidR="00390082" w:rsidRPr="006A3553" w:rsidRDefault="00390082" w:rsidP="006A3553">
      <w:pPr>
        <w:adjustRightInd w:val="0"/>
        <w:snapToGrid w:val="0"/>
        <w:spacing w:after="0" w:line="360" w:lineRule="auto"/>
        <w:ind w:right="361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8BA3180" w14:textId="32C22521" w:rsidR="00390082" w:rsidRPr="006A3553" w:rsidRDefault="00390082" w:rsidP="006A3553">
      <w:pPr>
        <w:pStyle w:val="af2"/>
        <w:adjustRightInd w:val="0"/>
        <w:snapToGrid w:val="0"/>
        <w:spacing w:after="0" w:line="360" w:lineRule="auto"/>
        <w:ind w:left="0" w:right="361"/>
        <w:contextualSpacing w:val="0"/>
        <w:jc w:val="both"/>
        <w:rPr>
          <w:rFonts w:ascii="Book Antiqua" w:hAnsi="Book Antiqua"/>
          <w:b/>
          <w:bCs/>
          <w:sz w:val="24"/>
          <w:szCs w:val="24"/>
          <w:lang w:val="en-US" w:eastAsia="zh-CN"/>
        </w:rPr>
      </w:pPr>
      <w:r w:rsidRPr="006A3553">
        <w:rPr>
          <w:rStyle w:val="af3"/>
          <w:rFonts w:ascii="Book Antiqua" w:hAnsi="Book Antiqua" w:cs="Arial"/>
          <w:bCs w:val="0"/>
          <w:noProof/>
          <w:sz w:val="24"/>
          <w:szCs w:val="24"/>
          <w:lang w:val="en-US"/>
        </w:rPr>
        <w:t>P-Reviewer</w:t>
      </w:r>
      <w:r w:rsidRPr="006A3553">
        <w:rPr>
          <w:rStyle w:val="af3"/>
          <w:rFonts w:ascii="Book Antiqua" w:hAnsi="Book Antiqua" w:cs="Arial"/>
          <w:bCs w:val="0"/>
          <w:noProof/>
          <w:sz w:val="24"/>
          <w:szCs w:val="24"/>
          <w:lang w:val="en-US" w:eastAsia="zh-CN"/>
        </w:rPr>
        <w:t>:</w:t>
      </w:r>
      <w:r w:rsidRPr="006A3553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366E11" w:rsidRPr="006A3553">
        <w:rPr>
          <w:rFonts w:ascii="Book Antiqua" w:hAnsi="Book Antiqua"/>
          <w:bCs/>
          <w:sz w:val="24"/>
          <w:szCs w:val="24"/>
          <w:lang w:val="en-US"/>
        </w:rPr>
        <w:t>Mach TH</w:t>
      </w:r>
      <w:r w:rsidRPr="006A3553">
        <w:rPr>
          <w:rFonts w:ascii="Book Antiqua" w:hAnsi="Book Antiqua"/>
          <w:bCs/>
          <w:sz w:val="24"/>
          <w:szCs w:val="24"/>
          <w:lang w:val="en-US" w:eastAsia="zh-CN"/>
        </w:rPr>
        <w:t xml:space="preserve"> </w:t>
      </w:r>
      <w:r w:rsidRPr="006A3553">
        <w:rPr>
          <w:rFonts w:ascii="Book Antiqua" w:hAnsi="Book Antiqua"/>
          <w:b/>
          <w:bCs/>
          <w:sz w:val="24"/>
          <w:szCs w:val="24"/>
          <w:lang w:val="en-US"/>
        </w:rPr>
        <w:t>S-Editor</w:t>
      </w:r>
      <w:r w:rsidRPr="006A3553">
        <w:rPr>
          <w:rFonts w:ascii="Book Antiqua" w:hAnsi="Book Antiqua"/>
          <w:b/>
          <w:bCs/>
          <w:sz w:val="24"/>
          <w:szCs w:val="24"/>
          <w:lang w:val="en-US" w:eastAsia="zh-CN"/>
        </w:rPr>
        <w:t>:</w:t>
      </w:r>
      <w:r w:rsidRPr="006A3553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9B1FF0" w:rsidRPr="006A3553">
        <w:rPr>
          <w:rFonts w:ascii="Book Antiqua" w:hAnsi="Book Antiqua"/>
          <w:bCs/>
          <w:sz w:val="24"/>
          <w:szCs w:val="24"/>
          <w:lang w:val="en-US" w:eastAsia="zh-CN"/>
        </w:rPr>
        <w:t>Tang JZ</w:t>
      </w:r>
      <w:r w:rsidRPr="006A3553">
        <w:rPr>
          <w:rFonts w:ascii="Book Antiqua" w:hAnsi="Book Antiqua"/>
          <w:b/>
          <w:bCs/>
          <w:sz w:val="24"/>
          <w:szCs w:val="24"/>
          <w:lang w:val="en-US"/>
        </w:rPr>
        <w:t xml:space="preserve"> L-Editor</w:t>
      </w:r>
      <w:r w:rsidRPr="006A3553">
        <w:rPr>
          <w:rFonts w:ascii="Book Antiqua" w:hAnsi="Book Antiqua"/>
          <w:b/>
          <w:bCs/>
          <w:sz w:val="24"/>
          <w:szCs w:val="24"/>
          <w:lang w:val="en-US" w:eastAsia="zh-CN"/>
        </w:rPr>
        <w:t>:</w:t>
      </w:r>
      <w:r w:rsidRPr="006A3553">
        <w:rPr>
          <w:rFonts w:ascii="Book Antiqua" w:hAnsi="Book Antiqua"/>
          <w:b/>
          <w:bCs/>
          <w:sz w:val="24"/>
          <w:szCs w:val="24"/>
          <w:lang w:val="en-US"/>
        </w:rPr>
        <w:t xml:space="preserve"> E-Editor</w:t>
      </w:r>
      <w:r w:rsidRPr="006A3553">
        <w:rPr>
          <w:rFonts w:ascii="Book Antiqua" w:hAnsi="Book Antiqua"/>
          <w:b/>
          <w:bCs/>
          <w:sz w:val="24"/>
          <w:szCs w:val="24"/>
          <w:lang w:val="en-US" w:eastAsia="zh-CN"/>
        </w:rPr>
        <w:t>:</w:t>
      </w:r>
    </w:p>
    <w:p w14:paraId="7E467428" w14:textId="77777777" w:rsidR="00312DF4" w:rsidRPr="006A3553" w:rsidRDefault="00312DF4" w:rsidP="006A3553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8469792" w14:textId="6FE31F49" w:rsidR="00312DF4" w:rsidRPr="006A3553" w:rsidRDefault="00312DF4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br w:type="page"/>
      </w:r>
    </w:p>
    <w:p w14:paraId="483C4CB0" w14:textId="5AF5C0F5" w:rsidR="009067DF" w:rsidRPr="006A3553" w:rsidRDefault="009067DF" w:rsidP="006A3553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b/>
          <w:bCs/>
          <w:color w:val="000000" w:themeColor="text1"/>
          <w:kern w:val="24"/>
        </w:rPr>
      </w:pPr>
      <w:r w:rsidRPr="006A3553">
        <w:rPr>
          <w:rFonts w:ascii="Book Antiqua" w:hAnsi="Book Antiqua"/>
          <w:b/>
        </w:rPr>
        <w:lastRenderedPageBreak/>
        <w:t>Figure Legends</w:t>
      </w:r>
    </w:p>
    <w:p w14:paraId="4239082A" w14:textId="1252FE6E" w:rsidR="009067DF" w:rsidRPr="006A3553" w:rsidRDefault="000F2ADB" w:rsidP="006A3553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b/>
          <w:bCs/>
          <w:color w:val="000000" w:themeColor="text1"/>
          <w:kern w:val="24"/>
        </w:rPr>
      </w:pPr>
      <w:r w:rsidRPr="006A3553">
        <w:rPr>
          <w:rFonts w:ascii="Book Antiqua" w:hAnsi="Book Antiqua"/>
          <w:noProof/>
          <w:lang w:eastAsia="zh-CN"/>
        </w:rPr>
        <w:drawing>
          <wp:inline distT="0" distB="0" distL="0" distR="0" wp14:anchorId="2EB61531" wp14:editId="1A57C2FB">
            <wp:extent cx="3878916" cy="4709568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8916" cy="47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DA81" w14:textId="1BB365FC" w:rsidR="009067DF" w:rsidRPr="006A3553" w:rsidRDefault="009067DF" w:rsidP="006A3553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Arial"/>
          <w:color w:val="000000" w:themeColor="text1"/>
          <w:kern w:val="24"/>
        </w:rPr>
      </w:pPr>
      <w:r w:rsidRPr="006A3553">
        <w:rPr>
          <w:rFonts w:ascii="Book Antiqua" w:eastAsiaTheme="minorEastAsia" w:hAnsi="Book Antiqua" w:cs="Arial"/>
          <w:b/>
          <w:bCs/>
          <w:color w:val="000000" w:themeColor="text1"/>
          <w:kern w:val="24"/>
        </w:rPr>
        <w:t xml:space="preserve">Figure 1 Effects of the rs1285933 genotype on </w:t>
      </w:r>
      <w:r w:rsidRPr="006A3553">
        <w:rPr>
          <w:rFonts w:ascii="Book Antiqua" w:eastAsiaTheme="minorEastAsia" w:hAnsi="Book Antiqua" w:cs="Arial"/>
          <w:b/>
          <w:bCs/>
          <w:i/>
          <w:color w:val="000000" w:themeColor="text1"/>
          <w:kern w:val="24"/>
        </w:rPr>
        <w:t>CLEC5A</w:t>
      </w:r>
      <w:r w:rsidRPr="006A3553">
        <w:rPr>
          <w:rFonts w:ascii="Book Antiqua" w:eastAsiaTheme="minorEastAsia" w:hAnsi="Book Antiqua" w:cs="Arial"/>
          <w:b/>
          <w:bCs/>
          <w:color w:val="000000" w:themeColor="text1"/>
          <w:kern w:val="24"/>
        </w:rPr>
        <w:t xml:space="preserve"> and </w:t>
      </w:r>
      <w:r w:rsidRPr="006A3553">
        <w:rPr>
          <w:rFonts w:ascii="Book Antiqua" w:eastAsiaTheme="minorEastAsia" w:hAnsi="Book Antiqua" w:cs="Arial"/>
          <w:b/>
          <w:bCs/>
          <w:i/>
          <w:color w:val="000000" w:themeColor="text1"/>
          <w:kern w:val="24"/>
        </w:rPr>
        <w:t>CXCL5</w:t>
      </w:r>
      <w:r w:rsidRPr="006A3553">
        <w:rPr>
          <w:rFonts w:ascii="Book Antiqua" w:eastAsiaTheme="minorEastAsia" w:hAnsi="Book Antiqua" w:cs="Arial"/>
          <w:b/>
          <w:bCs/>
          <w:color w:val="000000" w:themeColor="text1"/>
          <w:kern w:val="24"/>
        </w:rPr>
        <w:t xml:space="preserve"> gene expression. </w:t>
      </w:r>
      <w:r w:rsidR="00327910" w:rsidRPr="006A3553">
        <w:rPr>
          <w:rFonts w:ascii="Book Antiqua" w:hAnsi="Book Antiqua"/>
        </w:rPr>
        <w:t>Peripheral blood mononuclear cells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were isolated from individuals with genotype AA (</w:t>
      </w:r>
      <w:r w:rsidRPr="006A3553">
        <w:rPr>
          <w:rFonts w:ascii="Book Antiqua" w:eastAsiaTheme="minorEastAsia" w:hAnsi="Book Antiqua" w:cs="Arial"/>
          <w:i/>
          <w:iCs/>
          <w:color w:val="000000" w:themeColor="text1"/>
          <w:kern w:val="24"/>
        </w:rPr>
        <w:t>n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= 8), GG (</w:t>
      </w:r>
      <w:r w:rsidRPr="006A3553">
        <w:rPr>
          <w:rFonts w:ascii="Book Antiqua" w:eastAsiaTheme="minorEastAsia" w:hAnsi="Book Antiqua" w:cs="Arial"/>
          <w:i/>
          <w:iCs/>
          <w:color w:val="000000" w:themeColor="text1"/>
          <w:kern w:val="24"/>
        </w:rPr>
        <w:t>n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= 5)</w:t>
      </w:r>
      <w:r w:rsidR="000F2ADB" w:rsidRPr="006A3553">
        <w:rPr>
          <w:rFonts w:ascii="Book Antiqua" w:eastAsiaTheme="minorEastAsia" w:hAnsi="Book Antiqua" w:cs="Arial"/>
          <w:color w:val="000000" w:themeColor="text1"/>
          <w:kern w:val="24"/>
        </w:rPr>
        <w:t>,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and AG (</w:t>
      </w:r>
      <w:r w:rsidRPr="006A3553">
        <w:rPr>
          <w:rFonts w:ascii="Book Antiqua" w:eastAsiaTheme="minorEastAsia" w:hAnsi="Book Antiqua" w:cs="Arial"/>
          <w:i/>
          <w:iCs/>
          <w:color w:val="000000" w:themeColor="text1"/>
          <w:kern w:val="24"/>
        </w:rPr>
        <w:t>n</w:t>
      </w:r>
      <w:r w:rsidR="000F2ADB"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= 9), cultured and treated with </w:t>
      </w:r>
      <w:r w:rsidR="00327910" w:rsidRPr="006A3553">
        <w:rPr>
          <w:rFonts w:ascii="Book Antiqua" w:hAnsi="Book Antiqua"/>
        </w:rPr>
        <w:t>lipopolysaccharide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(1 </w:t>
      </w:r>
      <w:r w:rsidRPr="006A3553">
        <w:rPr>
          <w:rFonts w:ascii="Book Antiqua" w:hAnsi="Book Antiqua"/>
        </w:rPr>
        <w:t>µg/mL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) for 6 </w:t>
      </w:r>
      <w:r w:rsidR="000F2ADB" w:rsidRPr="006A3553">
        <w:rPr>
          <w:rFonts w:ascii="Book Antiqua" w:eastAsiaTheme="minorEastAsia" w:hAnsi="Book Antiqua" w:cs="Arial"/>
          <w:color w:val="000000" w:themeColor="text1"/>
          <w:kern w:val="24"/>
        </w:rPr>
        <w:t>h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. Subsequently, the mRNA expression of the indicated genes and the house-keeping control </w:t>
      </w:r>
      <w:r w:rsidRPr="006A3553">
        <w:rPr>
          <w:rFonts w:ascii="Book Antiqua" w:eastAsiaTheme="minorEastAsia" w:hAnsi="Book Antiqua" w:cs="Arial"/>
          <w:i/>
          <w:color w:val="000000" w:themeColor="text1"/>
          <w:kern w:val="24"/>
        </w:rPr>
        <w:t>GAPDH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was analyzed by real-time PCR. Data are presented as averaged 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sym w:font="Symbol" w:char="F044"/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Ct values </w:t>
      </w:r>
      <w:r w:rsidRPr="006A3553">
        <w:rPr>
          <w:rFonts w:ascii="Book Antiqua" w:hAnsi="Book Antiqua" w:cs="Arial"/>
        </w:rPr>
        <w:t xml:space="preserve">± </w:t>
      </w:r>
      <w:r w:rsidR="006B4500" w:rsidRPr="006A3553">
        <w:rPr>
          <w:rFonts w:ascii="Book Antiqua" w:hAnsi="Book Antiqua" w:cs="Arial"/>
        </w:rPr>
        <w:t>standard error of mean</w:t>
      </w:r>
      <w:r w:rsidRPr="006A3553">
        <w:rPr>
          <w:rFonts w:ascii="Book Antiqua" w:hAnsi="Book Antiqua" w:cs="Arial"/>
        </w:rPr>
        <w:t xml:space="preserve">. </w:t>
      </w:r>
      <w:proofErr w:type="spellStart"/>
      <w:r w:rsidRPr="006A3553">
        <w:rPr>
          <w:rFonts w:ascii="Book Antiqua" w:eastAsiaTheme="minorEastAsia" w:hAnsi="Book Antiqua" w:cs="Arial"/>
          <w:color w:val="000000" w:themeColor="text1"/>
          <w:kern w:val="24"/>
          <w:vertAlign w:val="superscript"/>
        </w:rPr>
        <w:t>a</w:t>
      </w:r>
      <w:r w:rsidRPr="006A3553">
        <w:rPr>
          <w:rFonts w:ascii="Book Antiqua" w:eastAsiaTheme="minorEastAsia" w:hAnsi="Book Antiqua" w:cs="Arial"/>
          <w:i/>
          <w:color w:val="000000" w:themeColor="text1"/>
          <w:kern w:val="24"/>
        </w:rPr>
        <w:t>P</w:t>
      </w:r>
      <w:proofErr w:type="spellEnd"/>
      <w:r w:rsidRPr="006A3553">
        <w:rPr>
          <w:rFonts w:ascii="Book Antiqua" w:eastAsiaTheme="minorEastAsia" w:hAnsi="Book Antiqua" w:cs="Arial"/>
          <w:i/>
          <w:color w:val="000000" w:themeColor="text1"/>
          <w:kern w:val="24"/>
        </w:rPr>
        <w:t xml:space="preserve"> 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&lt; 0.05 </w:t>
      </w:r>
      <w:r w:rsidRPr="006A3553">
        <w:rPr>
          <w:rFonts w:ascii="Book Antiqua" w:eastAsiaTheme="minorEastAsia" w:hAnsi="Book Antiqua" w:cs="Arial"/>
          <w:i/>
          <w:iCs/>
          <w:color w:val="000000" w:themeColor="text1"/>
          <w:kern w:val="24"/>
        </w:rPr>
        <w:t>vs</w:t>
      </w:r>
      <w:r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genotype GG.</w:t>
      </w:r>
      <w:r w:rsidR="000F2ADB" w:rsidRPr="006A3553">
        <w:rPr>
          <w:rFonts w:ascii="Book Antiqua" w:eastAsiaTheme="minorEastAsia" w:hAnsi="Book Antiqua" w:cs="Arial"/>
          <w:color w:val="000000" w:themeColor="text1"/>
          <w:kern w:val="24"/>
        </w:rPr>
        <w:t xml:space="preserve"> </w:t>
      </w:r>
    </w:p>
    <w:p w14:paraId="6B59F520" w14:textId="5A62DB4E" w:rsidR="009067DF" w:rsidRPr="006A3553" w:rsidRDefault="009067DF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br w:type="page"/>
      </w:r>
    </w:p>
    <w:p w14:paraId="6985BDC9" w14:textId="77777777" w:rsidR="001900B3" w:rsidRDefault="001900B3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de-DE"/>
        </w:rPr>
        <w:sectPr w:rsidR="001900B3" w:rsidSect="001900B3">
          <w:footerReference w:type="default" r:id="rId10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14:paraId="2E063241" w14:textId="4388933F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eastAsia="de-DE"/>
        </w:rPr>
        <w:lastRenderedPageBreak/>
        <w:t>Table 1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Genotype and allele frequencies of </w:t>
      </w:r>
      <w:r w:rsidR="00211533"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>single nucleotide polymorphism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s in the genes </w:t>
      </w:r>
      <w:r w:rsidRPr="006A3553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de-DE"/>
        </w:rPr>
        <w:t>CLEC5A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, </w:t>
      </w:r>
      <w:r w:rsidRPr="006A3553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de-DE"/>
        </w:rPr>
        <w:t>CLEC7A</w:t>
      </w:r>
      <w:r w:rsidRPr="006A355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  <w:t xml:space="preserve"> and </w:t>
      </w:r>
      <w:r w:rsidRPr="006A3553"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4"/>
          <w:lang w:eastAsia="de-DE"/>
        </w:rPr>
        <w:t>NOD2</w:t>
      </w:r>
      <w:r w:rsidRPr="006A355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  <w:t xml:space="preserve"> in </w:t>
      </w:r>
      <w:r w:rsidR="00211533" w:rsidRPr="006A3553">
        <w:rPr>
          <w:rFonts w:ascii="Book Antiqua" w:eastAsia="宋体" w:hAnsi="Book Antiqua" w:cs="BookAntiqua"/>
          <w:b/>
          <w:bCs/>
          <w:sz w:val="24"/>
          <w:szCs w:val="24"/>
        </w:rPr>
        <w:t>Crohn’s disease</w:t>
      </w:r>
      <w:r w:rsidRPr="006A355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  <w:t xml:space="preserve"> patients and controls</w:t>
      </w:r>
    </w:p>
    <w:tbl>
      <w:tblPr>
        <w:tblW w:w="13412" w:type="dxa"/>
        <w:tblInd w:w="93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1417"/>
        <w:gridCol w:w="1002"/>
        <w:gridCol w:w="1104"/>
        <w:gridCol w:w="917"/>
        <w:gridCol w:w="1029"/>
        <w:gridCol w:w="1104"/>
        <w:gridCol w:w="1229"/>
        <w:gridCol w:w="1266"/>
        <w:gridCol w:w="1217"/>
        <w:gridCol w:w="985"/>
      </w:tblGrid>
      <w:tr w:rsidR="003C25BC" w:rsidRPr="006A3553" w14:paraId="43618838" w14:textId="77777777" w:rsidTr="000F0EED">
        <w:trPr>
          <w:trHeight w:val="538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EC2A80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CB5DCA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SNP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7DEDC0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Genotype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BAB6E2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Cases</w:t>
            </w:r>
          </w:p>
          <w:p w14:paraId="3AACB863" w14:textId="06FD3532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(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n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=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175)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F2A83F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Controls</w:t>
            </w:r>
          </w:p>
          <w:p w14:paraId="6D16221A" w14:textId="69470533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(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n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=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157)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5272B3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Allele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0D848" w14:textId="120003F9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Cases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(alleles)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6280E" w14:textId="4DCFC8EA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Controls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(alleles)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31BA27C" w14:textId="71EDC718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Genotype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value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635638F" w14:textId="618D5B8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Dominant 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value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2,3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9395019" w14:textId="54493A8B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Recessive 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value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2,3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29F2F" w14:textId="1857D75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  <w:t>Allel</w:t>
            </w:r>
            <w:proofErr w:type="spellEnd"/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 xml:space="preserve">ic 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="000F2ADB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value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  <w:lang w:val="de-DE" w:eastAsia="de-DE"/>
              </w:rPr>
              <w:t>2</w:t>
            </w:r>
          </w:p>
        </w:tc>
      </w:tr>
      <w:tr w:rsidR="003C25BC" w:rsidRPr="006A3553" w14:paraId="6F399D21" w14:textId="77777777" w:rsidTr="000F0EED">
        <w:trPr>
          <w:trHeight w:val="340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0FB3A46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CLEC5A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79B62DD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rs1285933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D09CD6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GG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C19ADB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02A931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C5976A7" w14:textId="77E00621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G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9BF54" w14:textId="4901D56C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144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206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9DF17A" w14:textId="44283B8E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155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159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5945A7D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0.1093 (0.0285)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043D63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0.9727 (0.5921)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57ECFC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eastAsia="de-DE"/>
              </w:rPr>
              <w:t>0.0523</w:t>
            </w:r>
          </w:p>
          <w:p w14:paraId="0CF5FB8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eastAsia="de-DE"/>
              </w:rPr>
              <w:t>(0.0091)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BF5C0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0.0900 (0.0352)</w:t>
            </w:r>
          </w:p>
        </w:tc>
      </w:tr>
      <w:tr w:rsidR="003C25BC" w:rsidRPr="006A3553" w14:paraId="1DCF4177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104DE41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735006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75C6CE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GA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5FCA56F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70784B4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51EBD58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5F6C73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E957B2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27A1B35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0169472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3EDC62E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27CA7AA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5BC" w:rsidRPr="006A3553" w14:paraId="502A5141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330F36F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9BB84A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9DDEBD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AA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31AD6EC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657F695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63F8E60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5E9E6A7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7E667C9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3CC5A8C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05E7EB7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2D41685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414D5E6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5BC" w:rsidRPr="006A3553" w14:paraId="3FC0C12D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027C164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  <w:t>CLEC7A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6D6FC90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rs2078178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48021E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GG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72A2992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62D94F9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45CF5482" w14:textId="7D7F8012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eastAsia="de-DE"/>
              </w:rPr>
              <w:t>G</w:t>
            </w:r>
            <w:r w:rsidR="000F2ADB"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3DE9D458" w14:textId="6499FB03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274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4E841AFF" w14:textId="554319FD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251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3D0C791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1.0000 (0.5713)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228F042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0.9033 (0.4320)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639F5C5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0.8344 (0.7618)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73A5EEA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0.9107 (0.6335)</w:t>
            </w:r>
          </w:p>
        </w:tc>
      </w:tr>
      <w:tr w:rsidR="003C25BC" w:rsidRPr="006A3553" w14:paraId="04A3B945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60BFACA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344F12D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893180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AG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1E0D8E6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66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091DA2D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51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50FC27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7475285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4D98D91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7BCDE2A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247D3EE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73E388D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7B04DD1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53BDF9D6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180738C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81AD4C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862D5D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AA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32B2DF1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5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132464F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764257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6A149EE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34217DC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03E418E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609C6AA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6BB4517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7FA7644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046C93F9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3A267A0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CLEC7A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712559D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rs16910631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0F405B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6C8B0B8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153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2D4604A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139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722E1106" w14:textId="1C20ACD5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6C500B83" w14:textId="31640ACF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327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23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55D695DA" w14:textId="146DC73D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294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20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243FB06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0.8078 (0.7024)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3A5E271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0.9056 (0.8662)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490EA3D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0.9269 (0.6045)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51B0BDC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1.0000 (1.0000)</w:t>
            </w:r>
          </w:p>
        </w:tc>
      </w:tr>
      <w:tr w:rsidR="003C25BC" w:rsidRPr="006A3553" w14:paraId="14FE21ED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5475586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34CE247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358CA8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CT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605EA82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21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2A66F8A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16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4B5EEA6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135243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5F1DC0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3A91F4A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0C6429F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79AA235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0F1ADF8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210E9AC3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7468397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D7094A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3043E4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TT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14D5578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578B789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1C9DE23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6FFC3C0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3A97056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4EB5F5E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35A6E04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5DF6E35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637BD7B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056EF987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4853EF2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NOD2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570B5E0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rs2066844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br/>
              <w:t>(SNP8)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A21F8D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345558C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146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493CAFD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148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38330FF1" w14:textId="615EEB56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T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19F770E9" w14:textId="4F179955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319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31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44B364C0" w14:textId="526C72DE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305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312CE5E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  <w:t>0.0498 (0.0065)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227BB13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  <w:t>0.0219 (0.0019)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7E4997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  <w:t>0.9583 (0.5000)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6843A07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  <w:lang w:val="de-DE" w:eastAsia="de-DE"/>
              </w:rPr>
              <w:t>0.0368 (0.0016)</w:t>
            </w:r>
          </w:p>
        </w:tc>
      </w:tr>
      <w:tr w:rsidR="003C25BC" w:rsidRPr="006A3553" w14:paraId="7FD9576E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0D6767C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3058F9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763751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CT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5D8EF0C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27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4FB7055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3B53A8C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137F990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211EE2E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38F4BD8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20186BB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63E92CB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03661FA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7D0C040C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4FFC0A4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3230E4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2E6798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TT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1ED106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53F0BAB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5538225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658A93A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10509B3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7F600D8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22F4183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0951A89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1CBC40B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414A6917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5104307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NOD2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28C3A1C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rs2066845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br/>
              <w:t>(SNP12)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74229F7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GG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6F4BA2D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163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43B2140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149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21B62961" w14:textId="11BAA4D2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de-DE" w:eastAsia="de-DE"/>
              </w:rPr>
              <w:t>G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645E3EDC" w14:textId="57472359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338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12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0E9E68D9" w14:textId="01F65BF9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306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6E29080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0.8481 (0.6453)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3725BB0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0.8481 (0.6453)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3D85B8B7" w14:textId="53E9E602" w:rsidR="003C25BC" w:rsidRPr="006A3553" w:rsidRDefault="000F0EED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4E0C19E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0.7874 (0.6505)</w:t>
            </w:r>
          </w:p>
        </w:tc>
      </w:tr>
      <w:tr w:rsidR="003C25BC" w:rsidRPr="006A3553" w14:paraId="3BED76E2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5EAE7DB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719673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49A6AD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GC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4302D37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5E76552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7CAD1DA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18580FE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0567B2A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763E0D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4589AD7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4DD13E7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6F55716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5BC" w:rsidRPr="006A3553" w14:paraId="7C00E068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1FF6819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4ED5336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421B1D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7BB03A2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32B3DB1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38E8AAA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50E732A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08E87F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0703903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2EBF396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790A3EE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191CAC0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5BC" w:rsidRPr="006A3553" w14:paraId="39AE053A" w14:textId="77777777" w:rsidTr="000F0EED">
        <w:trPr>
          <w:trHeight w:val="340"/>
        </w:trPr>
        <w:tc>
          <w:tcPr>
            <w:tcW w:w="866" w:type="dxa"/>
            <w:vMerge w:val="restart"/>
            <w:shd w:val="clear" w:color="auto" w:fill="FFFFFF"/>
            <w:vAlign w:val="center"/>
            <w:hideMark/>
          </w:tcPr>
          <w:p w14:paraId="48AE01B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de-DE"/>
              </w:rPr>
              <w:t>NOD2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14:paraId="5685E1EA" w14:textId="3AEE68E6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rs2066847(SNP13)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938AC9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C-C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3E41195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62769A5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  <w:hideMark/>
          </w:tcPr>
          <w:p w14:paraId="7B0CC79C" w14:textId="701668FD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eastAsia="de-DE"/>
              </w:rPr>
              <w:t>C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de-DE"/>
              </w:rPr>
              <w:t>CC</w:t>
            </w: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14:paraId="3452A61B" w14:textId="05622648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316</w:t>
            </w:r>
            <w:r w:rsidR="000F2ADB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04" w:type="dxa"/>
            <w:vMerge w:val="restart"/>
            <w:shd w:val="clear" w:color="auto" w:fill="FFFFFF"/>
            <w:vAlign w:val="center"/>
          </w:tcPr>
          <w:p w14:paraId="61BB2C01" w14:textId="65F38876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300</w:t>
            </w:r>
            <w:r w:rsidR="000F0EED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  <w:hideMark/>
          </w:tcPr>
          <w:p w14:paraId="6494062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0.0923 (0.0321)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  <w:hideMark/>
          </w:tcPr>
          <w:p w14:paraId="1DBD775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de-DE"/>
              </w:rPr>
              <w:t>0.1569 (0.0682)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  <w:hideMark/>
          </w:tcPr>
          <w:p w14:paraId="0898F92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0.1025 (0.0312)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6F9B739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0.0474 (0.0103)</w:t>
            </w:r>
          </w:p>
        </w:tc>
      </w:tr>
      <w:tr w:rsidR="003C25BC" w:rsidRPr="006A3553" w14:paraId="6D9A1587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640B63B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23FCBDD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20CC07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C-CC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2E3FA43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22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5A8C954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5E4855F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1817621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419DE8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7F7A84E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1A4A9EE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3BBE510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0F37E00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C25BC" w:rsidRPr="006A3553" w14:paraId="61990D1D" w14:textId="77777777" w:rsidTr="000F0EED">
        <w:trPr>
          <w:trHeight w:val="340"/>
        </w:trPr>
        <w:tc>
          <w:tcPr>
            <w:tcW w:w="866" w:type="dxa"/>
            <w:vMerge/>
            <w:shd w:val="clear" w:color="auto" w:fill="FFFFFF"/>
            <w:vAlign w:val="center"/>
            <w:hideMark/>
          </w:tcPr>
          <w:p w14:paraId="4B38C39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5BB479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596E75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CC-CC</w:t>
            </w:r>
          </w:p>
        </w:tc>
        <w:tc>
          <w:tcPr>
            <w:tcW w:w="1002" w:type="dxa"/>
            <w:shd w:val="clear" w:color="auto" w:fill="FFFFFF"/>
            <w:vAlign w:val="center"/>
            <w:hideMark/>
          </w:tcPr>
          <w:p w14:paraId="7934AE1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14:paraId="7508AEB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917" w:type="dxa"/>
            <w:vMerge/>
            <w:shd w:val="clear" w:color="auto" w:fill="FFFFFF"/>
            <w:vAlign w:val="center"/>
            <w:hideMark/>
          </w:tcPr>
          <w:p w14:paraId="6924231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14:paraId="2A63C7A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04" w:type="dxa"/>
            <w:vMerge/>
            <w:shd w:val="clear" w:color="auto" w:fill="FFFFFF"/>
            <w:vAlign w:val="center"/>
          </w:tcPr>
          <w:p w14:paraId="50EF53B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  <w:hideMark/>
          </w:tcPr>
          <w:p w14:paraId="086C867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14:paraId="466ECF3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  <w:hideMark/>
          </w:tcPr>
          <w:p w14:paraId="2410E20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85" w:type="dxa"/>
            <w:vMerge/>
            <w:shd w:val="clear" w:color="auto" w:fill="FFFFFF"/>
            <w:vAlign w:val="center"/>
          </w:tcPr>
          <w:p w14:paraId="36BBE6F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</w:tbl>
    <w:p w14:paraId="58B87683" w14:textId="52F99B22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1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I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talic: </w:t>
      </w:r>
      <w:r w:rsidR="00D93CF7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M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inor allele according to database https://www.ncbi.nlm.nih.gov/snp/</w:t>
      </w:r>
      <w:r w:rsidR="000F2ADB" w:rsidRPr="006A3553">
        <w:rPr>
          <w:rFonts w:ascii="Book Antiqua" w:eastAsia="Times New Roman" w:hAnsi="Book Antiqua" w:cs="Times New Roman"/>
          <w:color w:val="0000FF" w:themeColor="hyperlink"/>
          <w:sz w:val="24"/>
          <w:szCs w:val="24"/>
          <w:lang w:eastAsia="de-DE"/>
        </w:rPr>
        <w:t>.</w:t>
      </w:r>
      <w:r w:rsidR="000F2ADB" w:rsidRPr="006A355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2</w:t>
      </w:r>
      <w:r w:rsidR="000F2ADB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N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umbers in brackets refer to the </w:t>
      </w:r>
      <w:r w:rsidR="000F0EED" w:rsidRPr="006A3553">
        <w:rPr>
          <w:rFonts w:ascii="Book Antiqua" w:eastAsia="Times New Roman" w:hAnsi="Book Antiqua" w:cs="Times New Roman"/>
          <w:i/>
          <w:iCs/>
          <w:sz w:val="24"/>
          <w:szCs w:val="24"/>
          <w:lang w:eastAsia="de-DE"/>
        </w:rPr>
        <w:t>P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value prior to </w:t>
      </w:r>
      <w:proofErr w:type="spellStart"/>
      <w:r w:rsidR="00327910" w:rsidRPr="006A3553">
        <w:rPr>
          <w:rFonts w:ascii="Book Antiqua" w:hAnsi="Book Antiqua"/>
          <w:sz w:val="24"/>
          <w:szCs w:val="24"/>
        </w:rPr>
        <w:t>Benjamini</w:t>
      </w:r>
      <w:proofErr w:type="spellEnd"/>
      <w:r w:rsidR="00327910" w:rsidRPr="006A3553">
        <w:rPr>
          <w:rFonts w:ascii="Book Antiqua" w:hAnsi="Book Antiqua"/>
          <w:sz w:val="24"/>
          <w:szCs w:val="24"/>
        </w:rPr>
        <w:t>-Hochberg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correction (23 tests); significant differences (</w:t>
      </w:r>
      <w:r w:rsidR="000F0EED" w:rsidRPr="006A3553">
        <w:rPr>
          <w:rFonts w:ascii="Book Antiqua" w:eastAsia="Times New Roman" w:hAnsi="Book Antiqua" w:cs="Times New Roman"/>
          <w:i/>
          <w:iCs/>
          <w:sz w:val="24"/>
          <w:szCs w:val="24"/>
          <w:lang w:eastAsia="de-DE"/>
        </w:rPr>
        <w:t>P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&lt;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0.05) are indicated in bold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</w:t>
      </w:r>
      <w:r w:rsidR="000F0EED" w:rsidRPr="006A355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vertAlign w:val="superscript"/>
          <w:lang w:eastAsia="de-DE"/>
        </w:rPr>
        <w:t>3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R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efers to the minor allele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.</w:t>
      </w:r>
      <w:r w:rsidR="000F0EED" w:rsidRPr="006A355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05E25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SNP: 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S</w:t>
      </w:r>
      <w:r w:rsidR="00105E25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ingle nucleotide polymorphism; 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NA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: 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N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ot applicable 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(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due to the absence of CC genotype</w:t>
      </w:r>
      <w:r w:rsidR="000F0EED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).</w:t>
      </w:r>
    </w:p>
    <w:p w14:paraId="37A76498" w14:textId="77777777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</w:p>
    <w:p w14:paraId="2BCAEF5D" w14:textId="77777777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  <w:sectPr w:rsidR="003C25BC" w:rsidRPr="006A3553" w:rsidSect="001900B3">
          <w:pgSz w:w="15309" w:h="15840"/>
          <w:pgMar w:top="1417" w:right="1417" w:bottom="1134" w:left="1417" w:header="708" w:footer="708" w:gutter="0"/>
          <w:cols w:space="708"/>
          <w:docGrid w:linePitch="360"/>
        </w:sectPr>
      </w:pPr>
    </w:p>
    <w:p w14:paraId="754CED7B" w14:textId="67D15841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de-DE"/>
        </w:rPr>
      </w:pPr>
      <w:r w:rsidRPr="006A3553">
        <w:rPr>
          <w:rFonts w:ascii="Book Antiqua" w:eastAsia="Times New Roman" w:hAnsi="Book Antiqua" w:cs="Times New Roman"/>
          <w:b/>
          <w:sz w:val="24"/>
          <w:szCs w:val="24"/>
          <w:lang w:eastAsia="de-DE"/>
        </w:rPr>
        <w:lastRenderedPageBreak/>
        <w:t>Table 2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 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Odds ratios of genotypes and alleles of </w:t>
      </w:r>
      <w:r w:rsidR="00211533"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>single nucleotide polymorphisms</w:t>
      </w:r>
      <w:r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 xml:space="preserve"> in the genes </w:t>
      </w:r>
      <w:r w:rsidRPr="006A3553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de-DE"/>
        </w:rPr>
        <w:t>CLEC5A</w:t>
      </w:r>
      <w:r w:rsidRPr="006A355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de-DE"/>
        </w:rPr>
        <w:t xml:space="preserve"> and </w:t>
      </w:r>
      <w:r w:rsidRPr="006A3553">
        <w:rPr>
          <w:rFonts w:ascii="Book Antiqua" w:eastAsia="Times New Roman" w:hAnsi="Book Antiqua" w:cs="Times New Roman"/>
          <w:b/>
          <w:bCs/>
          <w:i/>
          <w:color w:val="000000"/>
          <w:sz w:val="24"/>
          <w:szCs w:val="24"/>
          <w:lang w:eastAsia="de-DE"/>
        </w:rPr>
        <w:t>NOD2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238"/>
        <w:gridCol w:w="3633"/>
        <w:gridCol w:w="1457"/>
        <w:gridCol w:w="1817"/>
        <w:gridCol w:w="1600"/>
      </w:tblGrid>
      <w:tr w:rsidR="003C25BC" w:rsidRPr="006A3553" w14:paraId="588EE16E" w14:textId="77777777" w:rsidTr="00412D23">
        <w:trPr>
          <w:trHeight w:val="615"/>
        </w:trPr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8E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FB1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65FAD8" w14:textId="4CE05BFF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Genotype/</w:t>
            </w:r>
            <w:r w:rsidR="00156FFF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llele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FC5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Odds ratio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A26E" w14:textId="51CC651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95%</w:t>
            </w:r>
            <w:r w:rsidR="00105E25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CI</w:t>
            </w:r>
            <w:r w:rsidR="00105E25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083E" w14:textId="510F44BA" w:rsidR="003C25BC" w:rsidRPr="006A3553" w:rsidRDefault="000F0EED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25BC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value</w:t>
            </w:r>
            <w:r w:rsidR="00105E25"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C25BC" w:rsidRPr="006A3553" w14:paraId="746A1DE2" w14:textId="77777777" w:rsidTr="00412D23">
        <w:trPr>
          <w:trHeight w:val="300"/>
        </w:trPr>
        <w:tc>
          <w:tcPr>
            <w:tcW w:w="78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E8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CLEC5A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FD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de-DE" w:eastAsia="de-DE"/>
              </w:rPr>
              <w:t>rs1285933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99B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D15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A1E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1.18-3.05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414D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3C25BC" w:rsidRPr="006A3553" w14:paraId="5C1F87B1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26094B2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4D941DB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644981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08BCDC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E6204D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0.50-1.42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16072C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0.516</w:t>
            </w:r>
          </w:p>
        </w:tc>
      </w:tr>
      <w:tr w:rsidR="003C25BC" w:rsidRPr="006A3553" w14:paraId="6EFF655F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40A57DD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27DAB56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C6EA8C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AG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C4EC60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50E955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0.42-1.01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B83EBF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3C25BC" w:rsidRPr="006A3553" w14:paraId="0910A220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56E0F22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0EB5EF8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4B2B4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6B4542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F0CA4F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1.03-1.90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320B6C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3C25BC" w:rsidRPr="006A3553" w14:paraId="2547D505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5E28511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4BBB79F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24271F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A1BC36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6247E8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0.53-0.97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116730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3C25BC" w:rsidRPr="006A3553" w14:paraId="59F7B23D" w14:textId="77777777" w:rsidTr="00412D23">
        <w:trPr>
          <w:trHeight w:val="300"/>
        </w:trPr>
        <w:tc>
          <w:tcPr>
            <w:tcW w:w="789" w:type="pct"/>
            <w:vMerge w:val="restart"/>
            <w:shd w:val="clear" w:color="auto" w:fill="auto"/>
            <w:noWrap/>
            <w:vAlign w:val="center"/>
            <w:hideMark/>
          </w:tcPr>
          <w:p w14:paraId="4FC3F5D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14:paraId="2BBBD8FB" w14:textId="376C4FAC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rs2066844</w:t>
            </w:r>
            <w:r w:rsidR="000F0EED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(SNP8)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07FE9C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10" w:type="pct"/>
            <w:gridSpan w:val="3"/>
            <w:shd w:val="clear" w:color="auto" w:fill="auto"/>
            <w:noWrap/>
            <w:vAlign w:val="center"/>
            <w:hideMark/>
          </w:tcPr>
          <w:p w14:paraId="263853E8" w14:textId="3DD7A30C" w:rsidR="003C25BC" w:rsidRPr="006A3553" w:rsidRDefault="000F0EED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25BC" w:rsidRPr="006A3553" w14:paraId="5429B153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0E7DA88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05B6F8C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7725A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8F7B50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1E85A4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0.14-0.67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39DC515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3C25BC" w:rsidRPr="006A3553" w14:paraId="1A535A55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5E84AFDE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235BB50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03BF40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CT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70CA1E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AAB149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1.36-6.60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0410B1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3C25BC" w:rsidRPr="006A3553" w14:paraId="0C5838FA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0ABD34B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179C0F0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</w:tcPr>
          <w:p w14:paraId="58FA0C8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14:paraId="0BBFC10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565E156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1.54-7.03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72679F53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3C25BC" w:rsidRPr="006A3553" w14:paraId="531D221A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2F8E920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0B85142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61D39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2FEF1A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989EE3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0.14-0.65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B8547B7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3C25BC" w:rsidRPr="006A3553" w14:paraId="1933C0F7" w14:textId="77777777" w:rsidTr="00412D23">
        <w:trPr>
          <w:trHeight w:val="300"/>
        </w:trPr>
        <w:tc>
          <w:tcPr>
            <w:tcW w:w="789" w:type="pct"/>
            <w:vMerge w:val="restart"/>
            <w:shd w:val="clear" w:color="auto" w:fill="auto"/>
            <w:noWrap/>
            <w:vAlign w:val="center"/>
            <w:hideMark/>
          </w:tcPr>
          <w:p w14:paraId="1FB22B7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14:paraId="113B57C5" w14:textId="1F8C0556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rs2066847</w:t>
            </w:r>
            <w:r w:rsidR="000F0EED"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(SNP13)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2CA2CF9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CC-CC</w:t>
            </w:r>
          </w:p>
        </w:tc>
        <w:tc>
          <w:tcPr>
            <w:tcW w:w="1910" w:type="pct"/>
            <w:gridSpan w:val="3"/>
            <w:shd w:val="clear" w:color="auto" w:fill="auto"/>
            <w:noWrap/>
            <w:vAlign w:val="center"/>
            <w:hideMark/>
          </w:tcPr>
          <w:p w14:paraId="7D03E34B" w14:textId="1140A8BF" w:rsidR="003C25BC" w:rsidRPr="006A3553" w:rsidRDefault="000F0EED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25BC" w:rsidRPr="006A3553" w14:paraId="7B9745FF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717E7BD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1C6235E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EBAEBB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C-C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3F1643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E9E1CD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0.26-1.02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2C5714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3C25BC" w:rsidRPr="006A3553" w14:paraId="76B0A480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756530FC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46151C3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2E8871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C-CC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D93ECD4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EF1489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0.72-2.98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979F4CA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0.287</w:t>
            </w:r>
          </w:p>
        </w:tc>
      </w:tr>
      <w:tr w:rsidR="003C25BC" w:rsidRPr="006A3553" w14:paraId="2FB4ACFB" w14:textId="77777777" w:rsidTr="00412D23">
        <w:trPr>
          <w:trHeight w:val="300"/>
        </w:trPr>
        <w:tc>
          <w:tcPr>
            <w:tcW w:w="789" w:type="pct"/>
            <w:vMerge/>
            <w:vAlign w:val="center"/>
            <w:hideMark/>
          </w:tcPr>
          <w:p w14:paraId="71A3A86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2E805275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BE820A8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33991D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29BCF06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0.23-0.82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1E61F9B1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3C25BC" w:rsidRPr="006A3553" w14:paraId="40E141BC" w14:textId="77777777" w:rsidTr="00412D23">
        <w:trPr>
          <w:trHeight w:val="315"/>
        </w:trPr>
        <w:tc>
          <w:tcPr>
            <w:tcW w:w="789" w:type="pct"/>
            <w:vMerge/>
            <w:vAlign w:val="center"/>
            <w:hideMark/>
          </w:tcPr>
          <w:p w14:paraId="415CDD12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14:paraId="2299C4B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001D98A0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A74DF4F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0A7A17B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1.21-4.38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9EAD459" w14:textId="77777777" w:rsidR="003C25BC" w:rsidRPr="006A3553" w:rsidRDefault="003C25BC" w:rsidP="006A355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A355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0.011</w:t>
            </w:r>
          </w:p>
        </w:tc>
      </w:tr>
    </w:tbl>
    <w:p w14:paraId="3A236CBA" w14:textId="4CC13953" w:rsidR="00956B1B" w:rsidRPr="006A3553" w:rsidRDefault="000F0EED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1</w:t>
      </w:r>
      <w:r w:rsidRPr="006A3553">
        <w:rPr>
          <w:rFonts w:ascii="Book Antiqua" w:eastAsia="Times New Roman" w:hAnsi="Book Antiqua" w:cs="Times New Roman"/>
          <w:color w:val="000000"/>
          <w:sz w:val="24"/>
          <w:szCs w:val="24"/>
        </w:rPr>
        <w:t>Unadjusted for multiple testing.</w:t>
      </w:r>
      <w:r w:rsidRPr="006A3553">
        <w:rPr>
          <w:rFonts w:ascii="Book Antiqua" w:hAnsi="Book Antiqua" w:cs="Times New Roman"/>
          <w:color w:val="000000"/>
          <w:sz w:val="24"/>
          <w:szCs w:val="24"/>
          <w:lang w:eastAsia="zh-CN"/>
        </w:rPr>
        <w:t xml:space="preserve"> 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SNP: Single nucleotide polymorphism; </w:t>
      </w:r>
      <w:r w:rsidRPr="006A3553">
        <w:rPr>
          <w:rFonts w:ascii="Book Antiqua" w:eastAsia="Times New Roman" w:hAnsi="Book Antiqua" w:cs="Times New Roman"/>
          <w:color w:val="000000"/>
          <w:sz w:val="24"/>
          <w:szCs w:val="24"/>
        </w:rPr>
        <w:t>NA: Not applicable (missing in controls); CI: Confidence interval.</w:t>
      </w:r>
    </w:p>
    <w:p w14:paraId="7AE68001" w14:textId="77777777" w:rsidR="003C25BC" w:rsidRPr="006A3553" w:rsidRDefault="003C25BC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A3553">
        <w:rPr>
          <w:rFonts w:ascii="Book Antiqua" w:hAnsi="Book Antiqua"/>
          <w:b/>
          <w:sz w:val="24"/>
          <w:szCs w:val="24"/>
        </w:rPr>
        <w:br w:type="page"/>
      </w:r>
    </w:p>
    <w:p w14:paraId="05D756E8" w14:textId="4DD685D9" w:rsidR="00956B1B" w:rsidRPr="006A3553" w:rsidRDefault="00956B1B" w:rsidP="006A355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b/>
          <w:sz w:val="24"/>
          <w:szCs w:val="24"/>
        </w:rPr>
        <w:lastRenderedPageBreak/>
        <w:t xml:space="preserve">Table 3 Pairwise statistical interaction between </w:t>
      </w:r>
      <w:r w:rsidR="00211533" w:rsidRPr="006A3553">
        <w:rPr>
          <w:rFonts w:ascii="Book Antiqua" w:eastAsia="Times New Roman" w:hAnsi="Book Antiqua" w:cs="Times New Roman"/>
          <w:b/>
          <w:bCs/>
          <w:sz w:val="24"/>
          <w:szCs w:val="24"/>
          <w:lang w:eastAsia="de-DE"/>
        </w:rPr>
        <w:t>single nucleotide polymorphisms</w:t>
      </w:r>
      <w:r w:rsidRPr="006A3553">
        <w:rPr>
          <w:rFonts w:ascii="Book Antiqua" w:hAnsi="Book Antiqua"/>
          <w:b/>
          <w:sz w:val="24"/>
          <w:szCs w:val="24"/>
        </w:rPr>
        <w:t xml:space="preserve"> in a linear model</w:t>
      </w:r>
      <w:r w:rsidR="00EB218B" w:rsidRPr="006A3553">
        <w:rPr>
          <w:rFonts w:ascii="Book Antiqua" w:hAnsi="Book Antiqua"/>
          <w:b/>
          <w:sz w:val="24"/>
          <w:szCs w:val="24"/>
          <w:vertAlign w:val="superscript"/>
        </w:rPr>
        <w:t>1</w:t>
      </w:r>
      <w:r w:rsidRPr="006A3553">
        <w:rPr>
          <w:rFonts w:ascii="Book Antiqua" w:hAnsi="Book Antiqua"/>
          <w:b/>
          <w:bCs/>
          <w:sz w:val="24"/>
          <w:szCs w:val="24"/>
        </w:rPr>
        <w:t xml:space="preserve"> </w:t>
      </w:r>
    </w:p>
    <w:tbl>
      <w:tblPr>
        <w:tblStyle w:val="af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748"/>
        <w:gridCol w:w="1901"/>
        <w:gridCol w:w="1914"/>
        <w:gridCol w:w="1766"/>
        <w:gridCol w:w="1776"/>
        <w:gridCol w:w="1745"/>
      </w:tblGrid>
      <w:tr w:rsidR="00BE2140" w:rsidRPr="006A3553" w14:paraId="7E85348F" w14:textId="77777777" w:rsidTr="00412D23">
        <w:tc>
          <w:tcPr>
            <w:tcW w:w="748" w:type="pct"/>
            <w:vMerge w:val="restart"/>
            <w:tcBorders>
              <w:top w:val="single" w:sz="4" w:space="0" w:color="auto"/>
              <w:bottom w:val="nil"/>
            </w:tcBorders>
          </w:tcPr>
          <w:p w14:paraId="07B3FE24" w14:textId="3E9233E4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1F296B4B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  <w:t>CLEC5A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2F1C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  <w:t>CLEC7A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4A75C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de-DE" w:eastAsia="de-DE"/>
              </w:rPr>
              <w:t>NOD2</w:t>
            </w:r>
          </w:p>
        </w:tc>
      </w:tr>
      <w:tr w:rsidR="00BE2140" w:rsidRPr="006A3553" w14:paraId="3BAA6E39" w14:textId="77777777" w:rsidTr="00EB218B">
        <w:tc>
          <w:tcPr>
            <w:tcW w:w="748" w:type="pct"/>
            <w:vMerge/>
            <w:tcBorders>
              <w:top w:val="nil"/>
              <w:bottom w:val="single" w:sz="4" w:space="0" w:color="auto"/>
            </w:tcBorders>
          </w:tcPr>
          <w:p w14:paraId="573E3E5F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09EB960F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rs1285933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4C4C02B9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rs2078178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1B114854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rs16910631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14:paraId="70EBD82E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rs2066844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22D16010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rs2066845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555F14B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b/>
                <w:bCs/>
                <w:sz w:val="24"/>
                <w:szCs w:val="24"/>
                <w:lang w:val="de-DE" w:eastAsia="de-DE"/>
              </w:rPr>
              <w:t>rs2066847</w:t>
            </w:r>
          </w:p>
        </w:tc>
      </w:tr>
      <w:tr w:rsidR="00BE2140" w:rsidRPr="006A3553" w14:paraId="77A0E50E" w14:textId="77777777" w:rsidTr="00EB218B">
        <w:tc>
          <w:tcPr>
            <w:tcW w:w="748" w:type="pct"/>
            <w:tcBorders>
              <w:top w:val="single" w:sz="4" w:space="0" w:color="auto"/>
            </w:tcBorders>
          </w:tcPr>
          <w:p w14:paraId="14534DF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rs1285933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5AE29442" w14:textId="7A3E9B6A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61DABE45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0.6490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1FC23901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 xml:space="preserve"> 7409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36A685F8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0.5266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2D6E53E3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6875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7C94E84E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0.2813</w:t>
            </w:r>
          </w:p>
        </w:tc>
      </w:tr>
      <w:tr w:rsidR="00BE2140" w:rsidRPr="006A3553" w14:paraId="28A6330A" w14:textId="77777777" w:rsidTr="00EB218B">
        <w:tc>
          <w:tcPr>
            <w:tcW w:w="748" w:type="pct"/>
          </w:tcPr>
          <w:p w14:paraId="72803980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rs2078178</w:t>
            </w:r>
          </w:p>
        </w:tc>
        <w:tc>
          <w:tcPr>
            <w:tcW w:w="685" w:type="pct"/>
          </w:tcPr>
          <w:p w14:paraId="3C2AE799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0.6490</w:t>
            </w:r>
          </w:p>
        </w:tc>
        <w:tc>
          <w:tcPr>
            <w:tcW w:w="745" w:type="pct"/>
          </w:tcPr>
          <w:p w14:paraId="0B399B64" w14:textId="4EDD1A42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750" w:type="pct"/>
          </w:tcPr>
          <w:p w14:paraId="3C0B028D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0.1036</w:t>
            </w:r>
          </w:p>
        </w:tc>
        <w:tc>
          <w:tcPr>
            <w:tcW w:w="692" w:type="pct"/>
          </w:tcPr>
          <w:p w14:paraId="4407612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0.8573</w:t>
            </w:r>
          </w:p>
        </w:tc>
        <w:tc>
          <w:tcPr>
            <w:tcW w:w="696" w:type="pct"/>
          </w:tcPr>
          <w:p w14:paraId="6A26CFC2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0.4040</w:t>
            </w:r>
          </w:p>
        </w:tc>
        <w:tc>
          <w:tcPr>
            <w:tcW w:w="684" w:type="pct"/>
          </w:tcPr>
          <w:p w14:paraId="6DFD4753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0.3718</w:t>
            </w:r>
          </w:p>
        </w:tc>
      </w:tr>
      <w:tr w:rsidR="00BE2140" w:rsidRPr="006A3553" w14:paraId="258E43DA" w14:textId="77777777" w:rsidTr="00EB218B">
        <w:tc>
          <w:tcPr>
            <w:tcW w:w="748" w:type="pct"/>
          </w:tcPr>
          <w:p w14:paraId="0B00D21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rs16910631</w:t>
            </w:r>
          </w:p>
        </w:tc>
        <w:tc>
          <w:tcPr>
            <w:tcW w:w="685" w:type="pct"/>
          </w:tcPr>
          <w:p w14:paraId="39886C7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0.7409</w:t>
            </w:r>
          </w:p>
        </w:tc>
        <w:tc>
          <w:tcPr>
            <w:tcW w:w="745" w:type="pct"/>
          </w:tcPr>
          <w:p w14:paraId="730EFF08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0.1036</w:t>
            </w:r>
          </w:p>
        </w:tc>
        <w:tc>
          <w:tcPr>
            <w:tcW w:w="750" w:type="pct"/>
          </w:tcPr>
          <w:p w14:paraId="215AB9A3" w14:textId="13452D6C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692" w:type="pct"/>
          </w:tcPr>
          <w:p w14:paraId="309B064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0.8980</w:t>
            </w:r>
          </w:p>
        </w:tc>
        <w:tc>
          <w:tcPr>
            <w:tcW w:w="696" w:type="pct"/>
          </w:tcPr>
          <w:p w14:paraId="464CA6FD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6698</w:t>
            </w:r>
          </w:p>
        </w:tc>
        <w:tc>
          <w:tcPr>
            <w:tcW w:w="684" w:type="pct"/>
          </w:tcPr>
          <w:p w14:paraId="05AEFF8C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0.9270</w:t>
            </w:r>
          </w:p>
        </w:tc>
      </w:tr>
      <w:tr w:rsidR="00BE2140" w:rsidRPr="006A3553" w14:paraId="030EFA5D" w14:textId="77777777" w:rsidTr="00EB218B">
        <w:tc>
          <w:tcPr>
            <w:tcW w:w="748" w:type="pct"/>
          </w:tcPr>
          <w:p w14:paraId="5DCDB931" w14:textId="1B8DCDBD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rs2066844</w:t>
            </w:r>
          </w:p>
        </w:tc>
        <w:tc>
          <w:tcPr>
            <w:tcW w:w="685" w:type="pct"/>
          </w:tcPr>
          <w:p w14:paraId="38467314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5266</w:t>
            </w:r>
          </w:p>
        </w:tc>
        <w:tc>
          <w:tcPr>
            <w:tcW w:w="745" w:type="pct"/>
          </w:tcPr>
          <w:p w14:paraId="48E6E17D" w14:textId="09DD75A4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0.8573</w:t>
            </w:r>
          </w:p>
        </w:tc>
        <w:tc>
          <w:tcPr>
            <w:tcW w:w="750" w:type="pct"/>
          </w:tcPr>
          <w:p w14:paraId="5C655E7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0.8980</w:t>
            </w:r>
          </w:p>
        </w:tc>
        <w:tc>
          <w:tcPr>
            <w:tcW w:w="692" w:type="pct"/>
          </w:tcPr>
          <w:p w14:paraId="0723459A" w14:textId="5FEC3ABC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696" w:type="pct"/>
          </w:tcPr>
          <w:p w14:paraId="6F31E455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2.8248e-07</w:t>
            </w:r>
          </w:p>
        </w:tc>
        <w:tc>
          <w:tcPr>
            <w:tcW w:w="684" w:type="pct"/>
          </w:tcPr>
          <w:p w14:paraId="68118457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0.9664</w:t>
            </w:r>
          </w:p>
        </w:tc>
      </w:tr>
      <w:tr w:rsidR="00BE2140" w:rsidRPr="006A3553" w14:paraId="3BA03F49" w14:textId="77777777" w:rsidTr="00EB218B">
        <w:tc>
          <w:tcPr>
            <w:tcW w:w="748" w:type="pct"/>
          </w:tcPr>
          <w:p w14:paraId="70A785D1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rs2066845</w:t>
            </w:r>
          </w:p>
        </w:tc>
        <w:tc>
          <w:tcPr>
            <w:tcW w:w="685" w:type="pct"/>
          </w:tcPr>
          <w:p w14:paraId="65C5A06E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6875</w:t>
            </w:r>
          </w:p>
        </w:tc>
        <w:tc>
          <w:tcPr>
            <w:tcW w:w="745" w:type="pct"/>
          </w:tcPr>
          <w:p w14:paraId="039B9305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0.4040</w:t>
            </w:r>
          </w:p>
        </w:tc>
        <w:tc>
          <w:tcPr>
            <w:tcW w:w="750" w:type="pct"/>
          </w:tcPr>
          <w:p w14:paraId="0263E862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6698</w:t>
            </w:r>
          </w:p>
        </w:tc>
        <w:tc>
          <w:tcPr>
            <w:tcW w:w="692" w:type="pct"/>
          </w:tcPr>
          <w:p w14:paraId="3F0F1435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2.8248e-07</w:t>
            </w:r>
          </w:p>
        </w:tc>
        <w:tc>
          <w:tcPr>
            <w:tcW w:w="696" w:type="pct"/>
          </w:tcPr>
          <w:p w14:paraId="40871430" w14:textId="04962879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  <w:tc>
          <w:tcPr>
            <w:tcW w:w="684" w:type="pct"/>
          </w:tcPr>
          <w:p w14:paraId="191E5499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0.7399</w:t>
            </w:r>
          </w:p>
        </w:tc>
      </w:tr>
      <w:tr w:rsidR="00BE2140" w:rsidRPr="006A3553" w14:paraId="269B6B24" w14:textId="77777777" w:rsidTr="00EB218B">
        <w:tc>
          <w:tcPr>
            <w:tcW w:w="748" w:type="pct"/>
          </w:tcPr>
          <w:p w14:paraId="0DA894DC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rs2066847</w:t>
            </w:r>
          </w:p>
        </w:tc>
        <w:tc>
          <w:tcPr>
            <w:tcW w:w="685" w:type="pct"/>
          </w:tcPr>
          <w:p w14:paraId="17637E63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2813</w:t>
            </w:r>
          </w:p>
        </w:tc>
        <w:tc>
          <w:tcPr>
            <w:tcW w:w="745" w:type="pct"/>
          </w:tcPr>
          <w:p w14:paraId="5E420C17" w14:textId="0FF6D6D1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3718</w:t>
            </w:r>
          </w:p>
        </w:tc>
        <w:tc>
          <w:tcPr>
            <w:tcW w:w="750" w:type="pct"/>
          </w:tcPr>
          <w:p w14:paraId="26D6C126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0.</w:t>
            </w: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9270</w:t>
            </w:r>
          </w:p>
        </w:tc>
        <w:tc>
          <w:tcPr>
            <w:tcW w:w="692" w:type="pct"/>
          </w:tcPr>
          <w:p w14:paraId="377143B9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0.9664</w:t>
            </w:r>
          </w:p>
        </w:tc>
        <w:tc>
          <w:tcPr>
            <w:tcW w:w="696" w:type="pct"/>
          </w:tcPr>
          <w:p w14:paraId="0F3FE81A" w14:textId="77777777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Courier New"/>
                <w:sz w:val="24"/>
                <w:szCs w:val="24"/>
                <w:lang w:val="de-DE" w:eastAsia="de-DE"/>
              </w:rPr>
              <w:t>0.7399</w:t>
            </w:r>
          </w:p>
        </w:tc>
        <w:tc>
          <w:tcPr>
            <w:tcW w:w="684" w:type="pct"/>
          </w:tcPr>
          <w:p w14:paraId="21B7E365" w14:textId="0F9B6C32" w:rsidR="00BE2140" w:rsidRPr="006A3553" w:rsidRDefault="00BE2140" w:rsidP="006A35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</w:pPr>
            <w:r w:rsidRPr="006A3553">
              <w:rPr>
                <w:rFonts w:ascii="Book Antiqua" w:eastAsia="Times New Roman" w:hAnsi="Book Antiqua" w:cs="Times New Roman"/>
                <w:sz w:val="24"/>
                <w:szCs w:val="24"/>
                <w:lang w:val="de-DE" w:eastAsia="de-DE"/>
              </w:rPr>
              <w:t>NA</w:t>
            </w:r>
          </w:p>
        </w:tc>
      </w:tr>
    </w:tbl>
    <w:p w14:paraId="16CE848F" w14:textId="1C9DD1CC" w:rsidR="00246683" w:rsidRPr="006A3553" w:rsidRDefault="00EB218B" w:rsidP="006A35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3553">
        <w:rPr>
          <w:rFonts w:ascii="Book Antiqua" w:hAnsi="Book Antiqua"/>
          <w:sz w:val="24"/>
          <w:szCs w:val="24"/>
          <w:vertAlign w:val="superscript"/>
        </w:rPr>
        <w:t>1</w:t>
      </w:r>
      <w:r w:rsidRPr="006A3553">
        <w:rPr>
          <w:rFonts w:ascii="Book Antiqua" w:hAnsi="Book Antiqua"/>
          <w:sz w:val="24"/>
          <w:szCs w:val="24"/>
        </w:rPr>
        <w:t>Disease—</w:t>
      </w:r>
      <w:r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>single nucleotide polymorphism (</w:t>
      </w:r>
      <w:r w:rsidRPr="006A3553">
        <w:rPr>
          <w:rFonts w:ascii="Book Antiqua" w:hAnsi="Book Antiqua"/>
          <w:sz w:val="24"/>
          <w:szCs w:val="24"/>
        </w:rPr>
        <w:t>SNP) A + SNP B + SNP A: SNP B</w:t>
      </w:r>
      <w:r w:rsidRPr="006A3553">
        <w:rPr>
          <w:rFonts w:ascii="Book Antiqua" w:hAnsi="Book Antiqua"/>
          <w:sz w:val="24"/>
          <w:szCs w:val="24"/>
          <w:lang w:eastAsia="zh-CN"/>
        </w:rPr>
        <w:t xml:space="preserve">. </w:t>
      </w:r>
      <w:r w:rsidR="000F0EED" w:rsidRPr="006A3553">
        <w:rPr>
          <w:rFonts w:ascii="Book Antiqua" w:hAnsi="Book Antiqua"/>
          <w:sz w:val="24"/>
          <w:szCs w:val="24"/>
        </w:rPr>
        <w:t xml:space="preserve">The uncorrected </w:t>
      </w:r>
      <w:r w:rsidR="000F0EED" w:rsidRPr="006A3553">
        <w:rPr>
          <w:rFonts w:ascii="Book Antiqua" w:hAnsi="Book Antiqua"/>
          <w:i/>
          <w:iCs/>
          <w:sz w:val="24"/>
          <w:szCs w:val="24"/>
        </w:rPr>
        <w:t>P</w:t>
      </w:r>
      <w:r w:rsidR="000F0EED" w:rsidRPr="006A3553">
        <w:rPr>
          <w:rFonts w:ascii="Book Antiqua" w:hAnsi="Book Antiqua"/>
          <w:sz w:val="24"/>
          <w:szCs w:val="24"/>
        </w:rPr>
        <w:t xml:space="preserve"> values for the last term of an ANOVA are presented in the table for all 30 interactions. The only significance was for two chromosomally neighboring SNPs within </w:t>
      </w:r>
      <w:r w:rsidR="000F0EED" w:rsidRPr="006A3553">
        <w:rPr>
          <w:rFonts w:ascii="Book Antiqua" w:hAnsi="Book Antiqua"/>
          <w:i/>
          <w:sz w:val="24"/>
          <w:szCs w:val="24"/>
        </w:rPr>
        <w:t>NOD2</w:t>
      </w:r>
      <w:r w:rsidR="000F0EED" w:rsidRPr="006A3553">
        <w:rPr>
          <w:rFonts w:ascii="Book Antiqua" w:hAnsi="Book Antiqua"/>
          <w:sz w:val="24"/>
          <w:szCs w:val="24"/>
        </w:rPr>
        <w:t>.</w:t>
      </w:r>
      <w:r w:rsidR="00BE2140" w:rsidRPr="006A3553">
        <w:rPr>
          <w:rFonts w:ascii="Book Antiqua" w:hAnsi="Book Antiqua"/>
          <w:sz w:val="24"/>
          <w:szCs w:val="24"/>
        </w:rPr>
        <w:t xml:space="preserve"> </w:t>
      </w:r>
      <w:r w:rsidR="00BE2140" w:rsidRPr="006A3553">
        <w:rPr>
          <w:rFonts w:ascii="Book Antiqua" w:eastAsia="Times New Roman" w:hAnsi="Book Antiqua" w:cs="Times New Roman"/>
          <w:sz w:val="24"/>
          <w:szCs w:val="24"/>
          <w:lang w:eastAsia="de-DE"/>
        </w:rPr>
        <w:t xml:space="preserve">SNP: Single nucleotide polymorphism; </w:t>
      </w:r>
      <w:r w:rsidR="00BE2140" w:rsidRPr="006A3553">
        <w:rPr>
          <w:rFonts w:ascii="Book Antiqua" w:eastAsia="Times New Roman" w:hAnsi="Book Antiqua" w:cs="Times New Roman"/>
          <w:color w:val="000000"/>
          <w:sz w:val="24"/>
          <w:szCs w:val="24"/>
        </w:rPr>
        <w:t>NA: Not applicable.</w:t>
      </w:r>
    </w:p>
    <w:sectPr w:rsidR="00246683" w:rsidRPr="006A3553" w:rsidSect="001900B3">
      <w:pgSz w:w="15309" w:h="1224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BE01C" w14:textId="77777777" w:rsidR="00A915F3" w:rsidRDefault="00A915F3" w:rsidP="007B1167">
      <w:pPr>
        <w:spacing w:after="0" w:line="240" w:lineRule="auto"/>
      </w:pPr>
      <w:r>
        <w:separator/>
      </w:r>
    </w:p>
  </w:endnote>
  <w:endnote w:type="continuationSeparator" w:id="0">
    <w:p w14:paraId="5A21BAB3" w14:textId="77777777" w:rsidR="00A915F3" w:rsidRDefault="00A915F3" w:rsidP="007B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C0AD" w14:textId="0C8986EF" w:rsidR="00E02939" w:rsidRDefault="00E02939">
    <w:pPr>
      <w:pStyle w:val="ad"/>
      <w:jc w:val="right"/>
    </w:pPr>
  </w:p>
  <w:p w14:paraId="4CF12838" w14:textId="77777777" w:rsidR="00E02939" w:rsidRDefault="00E0293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583B" w14:textId="77777777" w:rsidR="00A915F3" w:rsidRDefault="00A915F3" w:rsidP="007B1167">
      <w:pPr>
        <w:spacing w:after="0" w:line="240" w:lineRule="auto"/>
      </w:pPr>
      <w:r>
        <w:separator/>
      </w:r>
    </w:p>
  </w:footnote>
  <w:footnote w:type="continuationSeparator" w:id="0">
    <w:p w14:paraId="39153193" w14:textId="77777777" w:rsidR="00A915F3" w:rsidRDefault="00A915F3" w:rsidP="007B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1E7"/>
    <w:multiLevelType w:val="hybridMultilevel"/>
    <w:tmpl w:val="C7C2D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A3"/>
    <w:rsid w:val="000002C5"/>
    <w:rsid w:val="000040F9"/>
    <w:rsid w:val="00004D2B"/>
    <w:rsid w:val="00012215"/>
    <w:rsid w:val="00024B24"/>
    <w:rsid w:val="0002680F"/>
    <w:rsid w:val="000562A4"/>
    <w:rsid w:val="00072CA4"/>
    <w:rsid w:val="00072CC3"/>
    <w:rsid w:val="000A1D3C"/>
    <w:rsid w:val="000B0E25"/>
    <w:rsid w:val="000B6063"/>
    <w:rsid w:val="000C17C8"/>
    <w:rsid w:val="000C6C2F"/>
    <w:rsid w:val="000E017E"/>
    <w:rsid w:val="000E5659"/>
    <w:rsid w:val="000F0EED"/>
    <w:rsid w:val="000F2ADB"/>
    <w:rsid w:val="00100ABD"/>
    <w:rsid w:val="00105E25"/>
    <w:rsid w:val="00107F2A"/>
    <w:rsid w:val="00112E8C"/>
    <w:rsid w:val="00120201"/>
    <w:rsid w:val="00123FED"/>
    <w:rsid w:val="00132D39"/>
    <w:rsid w:val="001415D0"/>
    <w:rsid w:val="00143469"/>
    <w:rsid w:val="00145C7A"/>
    <w:rsid w:val="001521A2"/>
    <w:rsid w:val="00156E05"/>
    <w:rsid w:val="00156FFF"/>
    <w:rsid w:val="0016099B"/>
    <w:rsid w:val="00162F4D"/>
    <w:rsid w:val="001740FF"/>
    <w:rsid w:val="00182804"/>
    <w:rsid w:val="001900B3"/>
    <w:rsid w:val="00190561"/>
    <w:rsid w:val="001959AB"/>
    <w:rsid w:val="001B1936"/>
    <w:rsid w:val="001B33FC"/>
    <w:rsid w:val="001B60AC"/>
    <w:rsid w:val="001C45C1"/>
    <w:rsid w:val="001C5A16"/>
    <w:rsid w:val="001E087A"/>
    <w:rsid w:val="001F2B00"/>
    <w:rsid w:val="001F5880"/>
    <w:rsid w:val="001F7E69"/>
    <w:rsid w:val="00200C41"/>
    <w:rsid w:val="00207434"/>
    <w:rsid w:val="00211533"/>
    <w:rsid w:val="0022047F"/>
    <w:rsid w:val="0022206A"/>
    <w:rsid w:val="00222C8F"/>
    <w:rsid w:val="00224DB8"/>
    <w:rsid w:val="00244BE7"/>
    <w:rsid w:val="00246683"/>
    <w:rsid w:val="00251251"/>
    <w:rsid w:val="0025362A"/>
    <w:rsid w:val="00271F73"/>
    <w:rsid w:val="002767D9"/>
    <w:rsid w:val="002844C9"/>
    <w:rsid w:val="00285BDF"/>
    <w:rsid w:val="00293FFF"/>
    <w:rsid w:val="00294503"/>
    <w:rsid w:val="0029747C"/>
    <w:rsid w:val="002A3615"/>
    <w:rsid w:val="002A7A81"/>
    <w:rsid w:val="002B35CD"/>
    <w:rsid w:val="002B728F"/>
    <w:rsid w:val="002C069E"/>
    <w:rsid w:val="002C5E8F"/>
    <w:rsid w:val="002D224C"/>
    <w:rsid w:val="002E6A68"/>
    <w:rsid w:val="00312DF4"/>
    <w:rsid w:val="003134FC"/>
    <w:rsid w:val="00323B28"/>
    <w:rsid w:val="0032652B"/>
    <w:rsid w:val="00327910"/>
    <w:rsid w:val="00327E8B"/>
    <w:rsid w:val="00334872"/>
    <w:rsid w:val="00335D69"/>
    <w:rsid w:val="00337C2F"/>
    <w:rsid w:val="003404A9"/>
    <w:rsid w:val="0035088E"/>
    <w:rsid w:val="003630F0"/>
    <w:rsid w:val="00364147"/>
    <w:rsid w:val="00366E11"/>
    <w:rsid w:val="00371400"/>
    <w:rsid w:val="00375EAD"/>
    <w:rsid w:val="00376746"/>
    <w:rsid w:val="00381A65"/>
    <w:rsid w:val="00381E2E"/>
    <w:rsid w:val="00382CED"/>
    <w:rsid w:val="00390082"/>
    <w:rsid w:val="003A0EFD"/>
    <w:rsid w:val="003B04C1"/>
    <w:rsid w:val="003B30A3"/>
    <w:rsid w:val="003B6439"/>
    <w:rsid w:val="003C25BC"/>
    <w:rsid w:val="003D11E0"/>
    <w:rsid w:val="003D6E5F"/>
    <w:rsid w:val="003F29D7"/>
    <w:rsid w:val="00404BE2"/>
    <w:rsid w:val="00412D23"/>
    <w:rsid w:val="00416FE9"/>
    <w:rsid w:val="00427179"/>
    <w:rsid w:val="00432216"/>
    <w:rsid w:val="004476E1"/>
    <w:rsid w:val="00454F70"/>
    <w:rsid w:val="004668D1"/>
    <w:rsid w:val="00473230"/>
    <w:rsid w:val="00473851"/>
    <w:rsid w:val="00474855"/>
    <w:rsid w:val="00475E88"/>
    <w:rsid w:val="004846D1"/>
    <w:rsid w:val="004957E9"/>
    <w:rsid w:val="004A3AB7"/>
    <w:rsid w:val="004B4D6B"/>
    <w:rsid w:val="004B5CA1"/>
    <w:rsid w:val="004C1151"/>
    <w:rsid w:val="004D69A6"/>
    <w:rsid w:val="004E2035"/>
    <w:rsid w:val="004F0A34"/>
    <w:rsid w:val="004F30FD"/>
    <w:rsid w:val="004F4112"/>
    <w:rsid w:val="004F44A2"/>
    <w:rsid w:val="004F6DBF"/>
    <w:rsid w:val="005132DF"/>
    <w:rsid w:val="005158D4"/>
    <w:rsid w:val="00522172"/>
    <w:rsid w:val="00524C9E"/>
    <w:rsid w:val="00527AAB"/>
    <w:rsid w:val="00545C68"/>
    <w:rsid w:val="0055409F"/>
    <w:rsid w:val="0058296F"/>
    <w:rsid w:val="005963CD"/>
    <w:rsid w:val="005A2061"/>
    <w:rsid w:val="005C05FC"/>
    <w:rsid w:val="005C2F11"/>
    <w:rsid w:val="005C6FDF"/>
    <w:rsid w:val="005D5B89"/>
    <w:rsid w:val="005F6510"/>
    <w:rsid w:val="00606DAD"/>
    <w:rsid w:val="00607BE8"/>
    <w:rsid w:val="00616B01"/>
    <w:rsid w:val="006220D6"/>
    <w:rsid w:val="00624D0D"/>
    <w:rsid w:val="006260BC"/>
    <w:rsid w:val="00633165"/>
    <w:rsid w:val="00634517"/>
    <w:rsid w:val="00664ED2"/>
    <w:rsid w:val="006860D0"/>
    <w:rsid w:val="00686C11"/>
    <w:rsid w:val="00686E74"/>
    <w:rsid w:val="006A0ED4"/>
    <w:rsid w:val="006A3553"/>
    <w:rsid w:val="006A4156"/>
    <w:rsid w:val="006B4500"/>
    <w:rsid w:val="006C1CEE"/>
    <w:rsid w:val="006D2F32"/>
    <w:rsid w:val="006D2FD8"/>
    <w:rsid w:val="006E07D4"/>
    <w:rsid w:val="006E69E1"/>
    <w:rsid w:val="00710FBF"/>
    <w:rsid w:val="0073011D"/>
    <w:rsid w:val="00732DC9"/>
    <w:rsid w:val="00734CA0"/>
    <w:rsid w:val="00734EC2"/>
    <w:rsid w:val="007378B5"/>
    <w:rsid w:val="00765849"/>
    <w:rsid w:val="00775F41"/>
    <w:rsid w:val="00783F5F"/>
    <w:rsid w:val="0079022B"/>
    <w:rsid w:val="0079060A"/>
    <w:rsid w:val="00794A85"/>
    <w:rsid w:val="007971A7"/>
    <w:rsid w:val="007B1167"/>
    <w:rsid w:val="007D2580"/>
    <w:rsid w:val="007D7CA2"/>
    <w:rsid w:val="007E5157"/>
    <w:rsid w:val="007F235E"/>
    <w:rsid w:val="007F2B84"/>
    <w:rsid w:val="007F4BA1"/>
    <w:rsid w:val="007F4D96"/>
    <w:rsid w:val="007F55E5"/>
    <w:rsid w:val="007F7E17"/>
    <w:rsid w:val="00805BEA"/>
    <w:rsid w:val="00806D96"/>
    <w:rsid w:val="008176AB"/>
    <w:rsid w:val="00826565"/>
    <w:rsid w:val="00845AFD"/>
    <w:rsid w:val="00845B3A"/>
    <w:rsid w:val="00846EAE"/>
    <w:rsid w:val="0085069A"/>
    <w:rsid w:val="00850871"/>
    <w:rsid w:val="0086247E"/>
    <w:rsid w:val="00875487"/>
    <w:rsid w:val="00891BA4"/>
    <w:rsid w:val="008A30A3"/>
    <w:rsid w:val="008A3FCE"/>
    <w:rsid w:val="008B7CA8"/>
    <w:rsid w:val="008C52F3"/>
    <w:rsid w:val="00903B58"/>
    <w:rsid w:val="009067DF"/>
    <w:rsid w:val="00907974"/>
    <w:rsid w:val="00914437"/>
    <w:rsid w:val="00933BE9"/>
    <w:rsid w:val="009400A7"/>
    <w:rsid w:val="009546F7"/>
    <w:rsid w:val="00956B1B"/>
    <w:rsid w:val="0095754C"/>
    <w:rsid w:val="00965B4B"/>
    <w:rsid w:val="009712CF"/>
    <w:rsid w:val="009743E9"/>
    <w:rsid w:val="00993B7E"/>
    <w:rsid w:val="00995393"/>
    <w:rsid w:val="009A0FAD"/>
    <w:rsid w:val="009A6207"/>
    <w:rsid w:val="009A6C2A"/>
    <w:rsid w:val="009B1FF0"/>
    <w:rsid w:val="009B2062"/>
    <w:rsid w:val="009C06F2"/>
    <w:rsid w:val="009C4529"/>
    <w:rsid w:val="009D38F5"/>
    <w:rsid w:val="009E3752"/>
    <w:rsid w:val="009E6F83"/>
    <w:rsid w:val="00A009BF"/>
    <w:rsid w:val="00A17377"/>
    <w:rsid w:val="00A25EC0"/>
    <w:rsid w:val="00A30D17"/>
    <w:rsid w:val="00A31754"/>
    <w:rsid w:val="00A54197"/>
    <w:rsid w:val="00A62474"/>
    <w:rsid w:val="00A70337"/>
    <w:rsid w:val="00A756EF"/>
    <w:rsid w:val="00A807D0"/>
    <w:rsid w:val="00A9064D"/>
    <w:rsid w:val="00A915F3"/>
    <w:rsid w:val="00A95418"/>
    <w:rsid w:val="00A95CAB"/>
    <w:rsid w:val="00A97618"/>
    <w:rsid w:val="00AB3D83"/>
    <w:rsid w:val="00AD204C"/>
    <w:rsid w:val="00AE2E57"/>
    <w:rsid w:val="00AE457B"/>
    <w:rsid w:val="00AF1773"/>
    <w:rsid w:val="00AF2012"/>
    <w:rsid w:val="00AF2152"/>
    <w:rsid w:val="00B03D74"/>
    <w:rsid w:val="00B302CD"/>
    <w:rsid w:val="00B3718B"/>
    <w:rsid w:val="00B47105"/>
    <w:rsid w:val="00B6052B"/>
    <w:rsid w:val="00B7289F"/>
    <w:rsid w:val="00B72A5E"/>
    <w:rsid w:val="00B75F07"/>
    <w:rsid w:val="00B80F09"/>
    <w:rsid w:val="00BA1708"/>
    <w:rsid w:val="00BB5BF6"/>
    <w:rsid w:val="00BC09E5"/>
    <w:rsid w:val="00BC13E8"/>
    <w:rsid w:val="00BC492B"/>
    <w:rsid w:val="00BD5694"/>
    <w:rsid w:val="00BE2140"/>
    <w:rsid w:val="00BE231D"/>
    <w:rsid w:val="00BE3EEF"/>
    <w:rsid w:val="00BF7D62"/>
    <w:rsid w:val="00C01355"/>
    <w:rsid w:val="00C030F3"/>
    <w:rsid w:val="00C3623B"/>
    <w:rsid w:val="00C46B25"/>
    <w:rsid w:val="00C52CB6"/>
    <w:rsid w:val="00C642C3"/>
    <w:rsid w:val="00C646E5"/>
    <w:rsid w:val="00C73EC5"/>
    <w:rsid w:val="00C80E24"/>
    <w:rsid w:val="00C81307"/>
    <w:rsid w:val="00C82349"/>
    <w:rsid w:val="00C856D3"/>
    <w:rsid w:val="00C86892"/>
    <w:rsid w:val="00C877EA"/>
    <w:rsid w:val="00C954EC"/>
    <w:rsid w:val="00CC0551"/>
    <w:rsid w:val="00CC250B"/>
    <w:rsid w:val="00CC2560"/>
    <w:rsid w:val="00CD25DA"/>
    <w:rsid w:val="00CD6803"/>
    <w:rsid w:val="00CE0C06"/>
    <w:rsid w:val="00CE2EA4"/>
    <w:rsid w:val="00D12828"/>
    <w:rsid w:val="00D128FF"/>
    <w:rsid w:val="00D33F01"/>
    <w:rsid w:val="00D41330"/>
    <w:rsid w:val="00D46EEE"/>
    <w:rsid w:val="00D54717"/>
    <w:rsid w:val="00D569C0"/>
    <w:rsid w:val="00D71678"/>
    <w:rsid w:val="00D76224"/>
    <w:rsid w:val="00D763F4"/>
    <w:rsid w:val="00D8458C"/>
    <w:rsid w:val="00D859BE"/>
    <w:rsid w:val="00D9120B"/>
    <w:rsid w:val="00D93CF7"/>
    <w:rsid w:val="00D96F96"/>
    <w:rsid w:val="00D97E29"/>
    <w:rsid w:val="00DA27D5"/>
    <w:rsid w:val="00DA7999"/>
    <w:rsid w:val="00DC21CD"/>
    <w:rsid w:val="00DC33A6"/>
    <w:rsid w:val="00DC78A6"/>
    <w:rsid w:val="00DD095B"/>
    <w:rsid w:val="00DF19ED"/>
    <w:rsid w:val="00DF33B0"/>
    <w:rsid w:val="00DF3D78"/>
    <w:rsid w:val="00DF5C13"/>
    <w:rsid w:val="00E02939"/>
    <w:rsid w:val="00E02CBD"/>
    <w:rsid w:val="00E05FB2"/>
    <w:rsid w:val="00E06F6E"/>
    <w:rsid w:val="00E07087"/>
    <w:rsid w:val="00E16CA0"/>
    <w:rsid w:val="00E20798"/>
    <w:rsid w:val="00E33878"/>
    <w:rsid w:val="00E53A2B"/>
    <w:rsid w:val="00E65368"/>
    <w:rsid w:val="00E82538"/>
    <w:rsid w:val="00E94458"/>
    <w:rsid w:val="00E9522B"/>
    <w:rsid w:val="00E95368"/>
    <w:rsid w:val="00E95F79"/>
    <w:rsid w:val="00EB1CFE"/>
    <w:rsid w:val="00EB218B"/>
    <w:rsid w:val="00EB3047"/>
    <w:rsid w:val="00EC6355"/>
    <w:rsid w:val="00EC796B"/>
    <w:rsid w:val="00ED0814"/>
    <w:rsid w:val="00ED2D4A"/>
    <w:rsid w:val="00ED5FCA"/>
    <w:rsid w:val="00ED6529"/>
    <w:rsid w:val="00F0638A"/>
    <w:rsid w:val="00F07F46"/>
    <w:rsid w:val="00F1530B"/>
    <w:rsid w:val="00F3156E"/>
    <w:rsid w:val="00F4463A"/>
    <w:rsid w:val="00F53928"/>
    <w:rsid w:val="00F5721F"/>
    <w:rsid w:val="00F7080C"/>
    <w:rsid w:val="00F8592F"/>
    <w:rsid w:val="00F875E3"/>
    <w:rsid w:val="00F95773"/>
    <w:rsid w:val="00F975F2"/>
    <w:rsid w:val="00FA62B8"/>
    <w:rsid w:val="00FA68D4"/>
    <w:rsid w:val="00FB5D65"/>
    <w:rsid w:val="00FD3B35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C233D"/>
  <w15:docId w15:val="{563568A4-164F-41B1-8690-7A2FAC9E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E8C"/>
  </w:style>
  <w:style w:type="paragraph" w:styleId="6">
    <w:name w:val="heading 6"/>
    <w:basedOn w:val="a"/>
    <w:next w:val="a"/>
    <w:link w:val="60"/>
    <w:qFormat/>
    <w:rsid w:val="00A756EF"/>
    <w:pPr>
      <w:keepNext/>
      <w:spacing w:after="0" w:line="48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CE2EA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qFormat/>
    <w:rsid w:val="00CE2EA4"/>
    <w:pPr>
      <w:spacing w:line="240" w:lineRule="auto"/>
    </w:pPr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qFormat/>
    <w:rsid w:val="00CE2E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2EA4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CE2EA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CE2EA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1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标题 6 字符"/>
    <w:basedOn w:val="a0"/>
    <w:link w:val="6"/>
    <w:rsid w:val="00A756EF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ab">
    <w:name w:val="header"/>
    <w:basedOn w:val="a"/>
    <w:link w:val="ac"/>
    <w:uiPriority w:val="99"/>
    <w:unhideWhenUsed/>
    <w:rsid w:val="007B11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7B1167"/>
  </w:style>
  <w:style w:type="paragraph" w:styleId="ad">
    <w:name w:val="footer"/>
    <w:basedOn w:val="a"/>
    <w:link w:val="ae"/>
    <w:uiPriority w:val="99"/>
    <w:unhideWhenUsed/>
    <w:rsid w:val="007B11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7B1167"/>
  </w:style>
  <w:style w:type="paragraph" w:customStyle="1" w:styleId="CitaviBibliographyEntry">
    <w:name w:val="Citavi Bibliography Entry"/>
    <w:basedOn w:val="a"/>
    <w:link w:val="CitaviBibliographyEntryZchn"/>
    <w:rsid w:val="003630F0"/>
    <w:pPr>
      <w:tabs>
        <w:tab w:val="left" w:pos="510"/>
      </w:tabs>
      <w:spacing w:after="0"/>
      <w:ind w:left="510" w:hanging="510"/>
    </w:pPr>
    <w:rPr>
      <w:rFonts w:ascii="Calibri" w:eastAsia="Times New Roman" w:hAnsi="Calibri" w:cs="Times New Roman"/>
      <w:lang w:val="de-DE" w:eastAsia="de-DE"/>
    </w:rPr>
  </w:style>
  <w:style w:type="character" w:customStyle="1" w:styleId="CitaviBibliographyEntryZchn">
    <w:name w:val="Citavi Bibliography Entry Zchn"/>
    <w:link w:val="CitaviBibliographyEntry"/>
    <w:rsid w:val="003630F0"/>
    <w:rPr>
      <w:rFonts w:ascii="Calibri" w:eastAsia="Times New Roman" w:hAnsi="Calibri" w:cs="Times New Roman"/>
      <w:lang w:val="de-DE" w:eastAsia="de-DE"/>
    </w:rPr>
  </w:style>
  <w:style w:type="paragraph" w:styleId="af">
    <w:name w:val="List Paragraph"/>
    <w:basedOn w:val="a"/>
    <w:uiPriority w:val="34"/>
    <w:qFormat/>
    <w:rsid w:val="00285BD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6247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62474"/>
    <w:rPr>
      <w:color w:val="605E5C"/>
      <w:shd w:val="clear" w:color="auto" w:fill="E1DFDD"/>
    </w:rPr>
  </w:style>
  <w:style w:type="character" w:customStyle="1" w:styleId="highlight">
    <w:name w:val="highlight"/>
    <w:basedOn w:val="a0"/>
    <w:rsid w:val="00C877EA"/>
  </w:style>
  <w:style w:type="character" w:customStyle="1" w:styleId="orcid-id-https">
    <w:name w:val="orcid-id-https"/>
    <w:basedOn w:val="a0"/>
    <w:rsid w:val="005C2F11"/>
  </w:style>
  <w:style w:type="table" w:styleId="af1">
    <w:name w:val="Table Grid"/>
    <w:basedOn w:val="a1"/>
    <w:uiPriority w:val="59"/>
    <w:unhideWhenUsed/>
    <w:rsid w:val="0095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C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10">
    <w:name w:val="正文1"/>
    <w:uiPriority w:val="99"/>
    <w:rsid w:val="00CC250B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2">
    <w:name w:val="未处理的提及2"/>
    <w:basedOn w:val="a0"/>
    <w:uiPriority w:val="99"/>
    <w:semiHidden/>
    <w:unhideWhenUsed/>
    <w:rsid w:val="001959AB"/>
    <w:rPr>
      <w:color w:val="605E5C"/>
      <w:shd w:val="clear" w:color="auto" w:fill="E1DFDD"/>
    </w:rPr>
  </w:style>
  <w:style w:type="paragraph" w:customStyle="1" w:styleId="af2">
    <w:basedOn w:val="a"/>
    <w:next w:val="af"/>
    <w:uiPriority w:val="34"/>
    <w:qFormat/>
    <w:rsid w:val="00390082"/>
    <w:pPr>
      <w:ind w:left="720"/>
      <w:contextualSpacing/>
    </w:pPr>
    <w:rPr>
      <w:rFonts w:ascii="Calibri" w:eastAsia="宋体" w:hAnsi="Calibri" w:cs="Times New Roman"/>
      <w:lang w:val="fr-FR"/>
    </w:rPr>
  </w:style>
  <w:style w:type="character" w:styleId="af3">
    <w:name w:val="Strong"/>
    <w:uiPriority w:val="22"/>
    <w:qFormat/>
    <w:rsid w:val="00390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order/genome-database/details/genotyping/C___9506735_10?CID=&amp;ICID=&amp;subtyp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D8FE-F911-4B3F-B975-B0CC0547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Uni-Rostock</Company>
  <LinksUpToDate>false</LinksUpToDate>
  <CharactersWithSpaces>33464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Robert Jaster</dc:creator>
  <cp:lastModifiedBy>Liansheng Ma</cp:lastModifiedBy>
  <cp:revision>2</cp:revision>
  <cp:lastPrinted>2020-02-03T08:55:00Z</cp:lastPrinted>
  <dcterms:created xsi:type="dcterms:W3CDTF">2020-04-28T23:10:00Z</dcterms:created>
  <dcterms:modified xsi:type="dcterms:W3CDTF">2020-04-28T23:10:00Z</dcterms:modified>
</cp:coreProperties>
</file>