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04C55" w14:textId="77777777" w:rsidR="000D474F" w:rsidRPr="007852DA" w:rsidRDefault="0096702B" w:rsidP="001F49D0">
      <w:pPr>
        <w:autoSpaceDE w:val="0"/>
        <w:autoSpaceDN w:val="0"/>
        <w:adjustRightInd w:val="0"/>
        <w:spacing w:line="360" w:lineRule="auto"/>
        <w:rPr>
          <w:rFonts w:ascii="Book Antiqua" w:hAnsi="Book Antiqua"/>
          <w:b/>
          <w:i/>
          <w:iCs/>
          <w:color w:val="000000" w:themeColor="text1"/>
          <w:sz w:val="24"/>
        </w:rPr>
      </w:pPr>
      <w:bookmarkStart w:id="0" w:name="OLE_LINK259"/>
      <w:bookmarkStart w:id="1" w:name="OLE_LINK48"/>
      <w:bookmarkStart w:id="2" w:name="OLE_LINK235"/>
      <w:bookmarkStart w:id="3" w:name="OLE_LINK49"/>
      <w:bookmarkStart w:id="4" w:name="OLE_LINK260"/>
      <w:bookmarkStart w:id="5" w:name="OLE_LINK234"/>
      <w:r w:rsidRPr="007852DA">
        <w:rPr>
          <w:rFonts w:ascii="Book Antiqua" w:hAnsi="Book Antiqua"/>
          <w:b/>
          <w:color w:val="000000" w:themeColor="text1"/>
          <w:sz w:val="24"/>
        </w:rPr>
        <w:t>Name of Journal:</w:t>
      </w:r>
      <w:r w:rsidRPr="007852DA">
        <w:rPr>
          <w:rFonts w:ascii="Book Antiqua" w:hAnsi="Book Antiqua" w:cs="Arial"/>
          <w:color w:val="000000" w:themeColor="text1"/>
          <w:sz w:val="24"/>
        </w:rPr>
        <w:t xml:space="preserve"> </w:t>
      </w:r>
      <w:r w:rsidRPr="007852DA">
        <w:rPr>
          <w:rFonts w:ascii="Book Antiqua" w:hAnsi="Book Antiqua" w:cs="Arial"/>
          <w:i/>
          <w:iCs/>
          <w:color w:val="000000" w:themeColor="text1"/>
          <w:sz w:val="24"/>
        </w:rPr>
        <w:t>World Journal of Clinical Cases</w:t>
      </w:r>
    </w:p>
    <w:p w14:paraId="7E9D5ED9" w14:textId="77777777" w:rsidR="000D474F" w:rsidRPr="007852DA" w:rsidRDefault="0096702B" w:rsidP="001F49D0">
      <w:pPr>
        <w:adjustRightInd w:val="0"/>
        <w:spacing w:line="360" w:lineRule="auto"/>
        <w:rPr>
          <w:rFonts w:ascii="Book Antiqua" w:hAnsi="Book Antiqua"/>
          <w:b/>
          <w:color w:val="000000" w:themeColor="text1"/>
          <w:sz w:val="24"/>
        </w:rPr>
      </w:pPr>
      <w:bookmarkStart w:id="6" w:name="OLE_LINK269"/>
      <w:r w:rsidRPr="007852DA">
        <w:rPr>
          <w:rFonts w:ascii="Book Antiqua" w:hAnsi="Book Antiqua"/>
          <w:b/>
          <w:color w:val="000000" w:themeColor="text1"/>
          <w:sz w:val="24"/>
        </w:rPr>
        <w:t>Manuscript NO:</w:t>
      </w:r>
      <w:r w:rsidRPr="007852DA">
        <w:rPr>
          <w:rFonts w:ascii="Book Antiqua" w:hAnsi="Book Antiqua"/>
          <w:color w:val="000000" w:themeColor="text1"/>
          <w:sz w:val="24"/>
        </w:rPr>
        <w:t xml:space="preserve"> 54434</w:t>
      </w:r>
    </w:p>
    <w:p w14:paraId="764CA257" w14:textId="77777777" w:rsidR="000D474F" w:rsidRPr="007852DA" w:rsidRDefault="0096702B" w:rsidP="001F49D0">
      <w:pPr>
        <w:adjustRightInd w:val="0"/>
        <w:spacing w:line="360" w:lineRule="auto"/>
        <w:rPr>
          <w:rFonts w:ascii="Book Antiqua" w:hAnsi="Book Antiqua"/>
          <w:color w:val="000000" w:themeColor="text1"/>
          <w:sz w:val="24"/>
        </w:rPr>
      </w:pPr>
      <w:r w:rsidRPr="007852DA">
        <w:rPr>
          <w:rFonts w:ascii="Book Antiqua" w:hAnsi="Book Antiqua"/>
          <w:b/>
          <w:color w:val="000000" w:themeColor="text1"/>
          <w:sz w:val="24"/>
        </w:rPr>
        <w:t>Manuscript Type:</w:t>
      </w:r>
      <w:r w:rsidRPr="007852DA">
        <w:rPr>
          <w:rFonts w:ascii="Book Antiqua" w:hAnsi="Book Antiqua"/>
          <w:color w:val="000000" w:themeColor="text1"/>
          <w:sz w:val="24"/>
        </w:rPr>
        <w:t xml:space="preserve"> ORIGINAL ARTICLE</w:t>
      </w:r>
    </w:p>
    <w:p w14:paraId="74FCD904" w14:textId="77777777" w:rsidR="000D474F" w:rsidRPr="007852DA" w:rsidRDefault="000D474F" w:rsidP="001F49D0">
      <w:pPr>
        <w:adjustRightInd w:val="0"/>
        <w:spacing w:line="360" w:lineRule="auto"/>
        <w:rPr>
          <w:rFonts w:ascii="Book Antiqua" w:hAnsi="Book Antiqua"/>
          <w:color w:val="000000" w:themeColor="text1"/>
          <w:sz w:val="24"/>
        </w:rPr>
      </w:pPr>
    </w:p>
    <w:p w14:paraId="231E6092" w14:textId="77777777" w:rsidR="000D474F" w:rsidRPr="007852DA" w:rsidRDefault="0096702B" w:rsidP="001F49D0">
      <w:pPr>
        <w:adjustRightInd w:val="0"/>
        <w:spacing w:line="360" w:lineRule="auto"/>
        <w:rPr>
          <w:rFonts w:ascii="Book Antiqua" w:hAnsi="Book Antiqua"/>
          <w:b/>
          <w:i/>
          <w:color w:val="000000" w:themeColor="text1"/>
          <w:sz w:val="24"/>
        </w:rPr>
      </w:pPr>
      <w:r w:rsidRPr="007852DA">
        <w:rPr>
          <w:rFonts w:ascii="Book Antiqua" w:hAnsi="Book Antiqua"/>
          <w:b/>
          <w:i/>
          <w:color w:val="000000" w:themeColor="text1"/>
          <w:sz w:val="24"/>
        </w:rPr>
        <w:t xml:space="preserve">Case </w:t>
      </w:r>
      <w:r w:rsidR="00160AF7" w:rsidRPr="007852DA">
        <w:rPr>
          <w:rFonts w:ascii="Book Antiqua" w:hAnsi="Book Antiqua"/>
          <w:b/>
          <w:i/>
          <w:color w:val="000000" w:themeColor="text1"/>
          <w:sz w:val="24"/>
        </w:rPr>
        <w:t>Control Study</w:t>
      </w:r>
    </w:p>
    <w:p w14:paraId="5F6B8D17" w14:textId="77777777" w:rsidR="000D474F" w:rsidRPr="007852DA" w:rsidRDefault="0096702B" w:rsidP="001F49D0">
      <w:pPr>
        <w:adjustRightInd w:val="0"/>
        <w:spacing w:line="360" w:lineRule="auto"/>
        <w:rPr>
          <w:rFonts w:ascii="Book Antiqua" w:hAnsi="Book Antiqua"/>
          <w:b/>
          <w:color w:val="000000" w:themeColor="text1"/>
          <w:sz w:val="24"/>
        </w:rPr>
      </w:pPr>
      <w:r w:rsidRPr="007852DA">
        <w:rPr>
          <w:rFonts w:ascii="Book Antiqua" w:hAnsi="Book Antiqua"/>
          <w:b/>
          <w:color w:val="000000" w:themeColor="text1"/>
          <w:sz w:val="24"/>
        </w:rPr>
        <w:t>Elevated serum growth differentiation factor 15 in multiple system atrophy patients: A case control study</w:t>
      </w:r>
    </w:p>
    <w:p w14:paraId="3C109335" w14:textId="77777777" w:rsidR="000D474F" w:rsidRPr="007852DA" w:rsidRDefault="000D474F" w:rsidP="001F49D0">
      <w:pPr>
        <w:adjustRightInd w:val="0"/>
        <w:spacing w:line="360" w:lineRule="auto"/>
        <w:rPr>
          <w:rFonts w:ascii="Book Antiqua" w:hAnsi="Book Antiqua"/>
          <w:b/>
          <w:color w:val="000000" w:themeColor="text1"/>
          <w:sz w:val="24"/>
        </w:rPr>
      </w:pPr>
    </w:p>
    <w:p w14:paraId="62EC28A6" w14:textId="77777777" w:rsidR="000D474F" w:rsidRPr="007852DA" w:rsidRDefault="0096702B" w:rsidP="001F49D0">
      <w:pPr>
        <w:adjustRightInd w:val="0"/>
        <w:spacing w:line="360" w:lineRule="auto"/>
        <w:rPr>
          <w:rFonts w:ascii="Book Antiqua" w:hAnsi="Book Antiqua" w:cs="Times New Roman"/>
          <w:bCs/>
          <w:color w:val="000000" w:themeColor="text1"/>
          <w:sz w:val="24"/>
        </w:rPr>
      </w:pPr>
      <w:r w:rsidRPr="007852DA">
        <w:rPr>
          <w:rFonts w:ascii="Book Antiqua" w:hAnsi="Book Antiqua"/>
          <w:bCs/>
          <w:color w:val="000000" w:themeColor="text1"/>
          <w:sz w:val="24"/>
        </w:rPr>
        <w:t xml:space="preserve">Yue T </w:t>
      </w:r>
      <w:r w:rsidRPr="007852DA">
        <w:rPr>
          <w:rFonts w:ascii="Book Antiqua" w:hAnsi="Book Antiqua"/>
          <w:bCs/>
          <w:i/>
          <w:iCs/>
          <w:color w:val="000000" w:themeColor="text1"/>
          <w:sz w:val="24"/>
        </w:rPr>
        <w:t>et al</w:t>
      </w:r>
      <w:r w:rsidRPr="007852DA">
        <w:rPr>
          <w:rFonts w:ascii="Book Antiqua" w:hAnsi="Book Antiqua"/>
          <w:bCs/>
          <w:color w:val="000000" w:themeColor="text1"/>
          <w:sz w:val="24"/>
        </w:rPr>
        <w:t xml:space="preserve">. </w:t>
      </w:r>
      <w:r w:rsidRPr="007852DA">
        <w:rPr>
          <w:rFonts w:ascii="Book Antiqua" w:hAnsi="Book Antiqua" w:cs="Times New Roman"/>
          <w:bCs/>
          <w:color w:val="000000" w:themeColor="text1"/>
          <w:sz w:val="24"/>
        </w:rPr>
        <w:t xml:space="preserve">Elevated serum GDF15 in </w:t>
      </w:r>
      <w:r w:rsidR="00691360" w:rsidRPr="007852DA">
        <w:rPr>
          <w:rFonts w:ascii="Book Antiqua" w:hAnsi="Book Antiqua" w:cs="Times New Roman"/>
          <w:bCs/>
          <w:color w:val="000000" w:themeColor="text1"/>
          <w:sz w:val="24"/>
        </w:rPr>
        <w:t>MSA</w:t>
      </w:r>
    </w:p>
    <w:p w14:paraId="18E064B0" w14:textId="77777777" w:rsidR="000D474F" w:rsidRPr="007852DA" w:rsidRDefault="000D474F" w:rsidP="001F49D0">
      <w:pPr>
        <w:adjustRightInd w:val="0"/>
        <w:spacing w:line="360" w:lineRule="auto"/>
        <w:rPr>
          <w:rFonts w:ascii="Book Antiqua" w:hAnsi="Book Antiqua"/>
          <w:b/>
          <w:color w:val="000000" w:themeColor="text1"/>
          <w:sz w:val="24"/>
        </w:rPr>
      </w:pPr>
    </w:p>
    <w:p w14:paraId="73837B7E" w14:textId="77777777" w:rsidR="000D474F" w:rsidRPr="007852DA" w:rsidRDefault="0096702B" w:rsidP="001F49D0">
      <w:pPr>
        <w:adjustRightInd w:val="0"/>
        <w:spacing w:line="360" w:lineRule="auto"/>
        <w:rPr>
          <w:rFonts w:ascii="Book Antiqua" w:hAnsi="Book Antiqua"/>
          <w:color w:val="000000" w:themeColor="text1"/>
          <w:sz w:val="24"/>
        </w:rPr>
      </w:pPr>
      <w:r w:rsidRPr="007852DA">
        <w:rPr>
          <w:rFonts w:ascii="Book Antiqua" w:hAnsi="Book Antiqua"/>
          <w:color w:val="000000" w:themeColor="text1"/>
          <w:sz w:val="24"/>
        </w:rPr>
        <w:t>Tao Yue, Hui Lu, Xiao-Mei Yao, Xia Du, Ling-Ling Wang, Dan-Dan Guo, Yi-Ming Liu</w:t>
      </w:r>
    </w:p>
    <w:p w14:paraId="16257C86" w14:textId="77777777" w:rsidR="000D474F" w:rsidRPr="007852DA" w:rsidRDefault="000D474F" w:rsidP="001F49D0">
      <w:pPr>
        <w:adjustRightInd w:val="0"/>
        <w:spacing w:line="360" w:lineRule="auto"/>
        <w:rPr>
          <w:rFonts w:ascii="Book Antiqua" w:hAnsi="Book Antiqua"/>
          <w:b/>
          <w:color w:val="000000" w:themeColor="text1"/>
          <w:sz w:val="24"/>
        </w:rPr>
      </w:pPr>
      <w:bookmarkStart w:id="7" w:name="_GoBack"/>
      <w:bookmarkEnd w:id="7"/>
    </w:p>
    <w:p w14:paraId="36CA62C3" w14:textId="610C2192" w:rsidR="00DD1E81" w:rsidRPr="007852DA" w:rsidRDefault="00691360" w:rsidP="001F49D0">
      <w:pPr>
        <w:adjustRightInd w:val="0"/>
        <w:spacing w:line="360" w:lineRule="auto"/>
        <w:rPr>
          <w:rFonts w:ascii="Book Antiqua" w:eastAsia="宋体" w:hAnsi="Book Antiqua" w:hint="eastAsia"/>
          <w:color w:val="000000" w:themeColor="text1"/>
          <w:sz w:val="24"/>
        </w:rPr>
      </w:pPr>
      <w:r w:rsidRPr="007852DA">
        <w:rPr>
          <w:rFonts w:ascii="Book Antiqua" w:eastAsia="宋体" w:hAnsi="Book Antiqua"/>
          <w:b/>
          <w:color w:val="000000" w:themeColor="text1"/>
          <w:sz w:val="24"/>
        </w:rPr>
        <w:t xml:space="preserve">Tao Yue, </w:t>
      </w:r>
      <w:r w:rsidR="00DD1E81" w:rsidRPr="007852DA">
        <w:rPr>
          <w:rFonts w:ascii="Book Antiqua" w:eastAsia="宋体" w:hAnsi="Book Antiqua"/>
          <w:b/>
          <w:color w:val="000000" w:themeColor="text1"/>
          <w:sz w:val="24"/>
        </w:rPr>
        <w:t xml:space="preserve">Dan-Dan </w:t>
      </w:r>
      <w:proofErr w:type="spellStart"/>
      <w:r w:rsidR="00DD1E81" w:rsidRPr="007852DA">
        <w:rPr>
          <w:rFonts w:ascii="Book Antiqua" w:eastAsia="宋体" w:hAnsi="Book Antiqua"/>
          <w:b/>
          <w:color w:val="000000" w:themeColor="text1"/>
          <w:sz w:val="24"/>
        </w:rPr>
        <w:t>Guo</w:t>
      </w:r>
      <w:proofErr w:type="spellEnd"/>
      <w:r w:rsidR="00DD1E81" w:rsidRPr="007852DA">
        <w:rPr>
          <w:rFonts w:ascii="Book Antiqua" w:eastAsia="宋体" w:hAnsi="Book Antiqua"/>
          <w:b/>
          <w:color w:val="000000" w:themeColor="text1"/>
          <w:sz w:val="24"/>
        </w:rPr>
        <w:t xml:space="preserve">, Yi-Ming Liu, </w:t>
      </w:r>
      <w:r w:rsidR="007018EC" w:rsidRPr="007852DA">
        <w:rPr>
          <w:rFonts w:ascii="Book Antiqua" w:eastAsia="宋体" w:hAnsi="Book Antiqua"/>
          <w:color w:val="000000" w:themeColor="text1"/>
          <w:sz w:val="24"/>
        </w:rPr>
        <w:t xml:space="preserve">Department of Neurology, </w:t>
      </w:r>
      <w:proofErr w:type="spellStart"/>
      <w:r w:rsidR="007018EC" w:rsidRPr="007852DA">
        <w:rPr>
          <w:rFonts w:ascii="Book Antiqua" w:eastAsia="宋体" w:hAnsi="Book Antiqua"/>
          <w:color w:val="000000" w:themeColor="text1"/>
          <w:sz w:val="24"/>
        </w:rPr>
        <w:t>Qilu</w:t>
      </w:r>
      <w:proofErr w:type="spellEnd"/>
      <w:r w:rsidR="007018EC" w:rsidRPr="007852DA">
        <w:rPr>
          <w:rFonts w:ascii="Book Antiqua" w:eastAsia="宋体" w:hAnsi="Book Antiqua"/>
          <w:color w:val="000000" w:themeColor="text1"/>
          <w:sz w:val="24"/>
        </w:rPr>
        <w:t xml:space="preserve"> Hospital</w:t>
      </w:r>
      <w:r w:rsidR="007018EC" w:rsidRPr="007852DA">
        <w:rPr>
          <w:rFonts w:ascii="Book Antiqua" w:eastAsia="宋体" w:hAnsi="Book Antiqua" w:hint="eastAsia"/>
          <w:color w:val="000000" w:themeColor="text1"/>
          <w:sz w:val="24"/>
        </w:rPr>
        <w:t xml:space="preserve">, </w:t>
      </w:r>
      <w:proofErr w:type="spellStart"/>
      <w:r w:rsidR="007018EC" w:rsidRPr="007852DA">
        <w:rPr>
          <w:rFonts w:ascii="Book Antiqua" w:eastAsia="宋体" w:hAnsi="Book Antiqua" w:hint="eastAsia"/>
          <w:color w:val="000000" w:themeColor="text1"/>
          <w:sz w:val="24"/>
        </w:rPr>
        <w:t>Cheeloo</w:t>
      </w:r>
      <w:proofErr w:type="spellEnd"/>
      <w:r w:rsidR="007018EC" w:rsidRPr="007852DA">
        <w:rPr>
          <w:rFonts w:ascii="Book Antiqua" w:eastAsia="宋体" w:hAnsi="Book Antiqua" w:hint="eastAsia"/>
          <w:color w:val="000000" w:themeColor="text1"/>
          <w:sz w:val="24"/>
        </w:rPr>
        <w:t xml:space="preserve"> College of Medicine, Shandong University</w:t>
      </w:r>
      <w:r w:rsidR="007018EC" w:rsidRPr="007852DA">
        <w:rPr>
          <w:rFonts w:ascii="Book Antiqua" w:eastAsia="宋体" w:hAnsi="Book Antiqua"/>
          <w:color w:val="000000" w:themeColor="text1"/>
          <w:sz w:val="24"/>
        </w:rPr>
        <w:t>, Jinan 250012, Shandong Province, China</w:t>
      </w:r>
      <w:r w:rsidR="007018EC" w:rsidRPr="007852DA">
        <w:rPr>
          <w:rFonts w:ascii="Book Antiqua" w:eastAsia="宋体" w:hAnsi="Book Antiqua" w:hint="eastAsia"/>
          <w:color w:val="000000" w:themeColor="text1"/>
          <w:sz w:val="24"/>
        </w:rPr>
        <w:t xml:space="preserve"> </w:t>
      </w:r>
    </w:p>
    <w:p w14:paraId="415FEECB" w14:textId="77777777" w:rsidR="00DD1E81" w:rsidRPr="007852DA" w:rsidRDefault="00DD1E81" w:rsidP="001F49D0">
      <w:pPr>
        <w:adjustRightInd w:val="0"/>
        <w:spacing w:line="360" w:lineRule="auto"/>
        <w:rPr>
          <w:rFonts w:ascii="Book Antiqua" w:eastAsia="宋体" w:hAnsi="Book Antiqua" w:hint="eastAsia"/>
          <w:color w:val="000000" w:themeColor="text1"/>
          <w:sz w:val="24"/>
        </w:rPr>
      </w:pPr>
    </w:p>
    <w:p w14:paraId="3726DBF3" w14:textId="6FB04285" w:rsidR="00691360" w:rsidRPr="007852DA" w:rsidRDefault="00DD1E81" w:rsidP="001F49D0">
      <w:pPr>
        <w:adjustRightInd w:val="0"/>
        <w:spacing w:line="360" w:lineRule="auto"/>
        <w:rPr>
          <w:rFonts w:ascii="Book Antiqua" w:eastAsia="宋体" w:hAnsi="Book Antiqua"/>
          <w:color w:val="000000" w:themeColor="text1"/>
          <w:sz w:val="24"/>
        </w:rPr>
      </w:pPr>
      <w:r w:rsidRPr="007852DA">
        <w:rPr>
          <w:rFonts w:ascii="Book Antiqua" w:eastAsia="宋体" w:hAnsi="Book Antiqua"/>
          <w:b/>
          <w:color w:val="000000" w:themeColor="text1"/>
          <w:sz w:val="24"/>
        </w:rPr>
        <w:t xml:space="preserve">Tao Yue, </w:t>
      </w:r>
      <w:r w:rsidR="007018EC" w:rsidRPr="007852DA">
        <w:rPr>
          <w:rFonts w:ascii="Book Antiqua" w:eastAsia="宋体" w:hAnsi="Book Antiqua"/>
          <w:color w:val="000000" w:themeColor="text1"/>
          <w:sz w:val="24"/>
        </w:rPr>
        <w:t>Department of Gerontology, Zibo Central Hospital, Zibo 255036, Shandong Province, China</w:t>
      </w:r>
      <w:r w:rsidR="007018EC" w:rsidRPr="007852DA">
        <w:rPr>
          <w:rFonts w:ascii="Book Antiqua" w:eastAsia="宋体" w:hAnsi="Book Antiqua" w:hint="eastAsia"/>
          <w:color w:val="000000" w:themeColor="text1"/>
          <w:sz w:val="24"/>
        </w:rPr>
        <w:t xml:space="preserve"> </w:t>
      </w:r>
    </w:p>
    <w:p w14:paraId="68D0C6C0" w14:textId="77777777" w:rsidR="00691360" w:rsidRPr="007852DA" w:rsidRDefault="00691360" w:rsidP="001F49D0">
      <w:pPr>
        <w:adjustRightInd w:val="0"/>
        <w:spacing w:line="360" w:lineRule="auto"/>
        <w:rPr>
          <w:rFonts w:ascii="Book Antiqua" w:eastAsia="宋体" w:hAnsi="Book Antiqua"/>
          <w:color w:val="000000" w:themeColor="text1"/>
          <w:sz w:val="24"/>
        </w:rPr>
      </w:pPr>
    </w:p>
    <w:p w14:paraId="2C65ACE9" w14:textId="77777777" w:rsidR="00691360" w:rsidRPr="007852DA" w:rsidRDefault="00691360" w:rsidP="001F49D0">
      <w:pPr>
        <w:adjustRightInd w:val="0"/>
        <w:spacing w:line="360" w:lineRule="auto"/>
        <w:rPr>
          <w:rFonts w:ascii="Book Antiqua" w:eastAsia="宋体" w:hAnsi="Book Antiqua"/>
          <w:color w:val="000000" w:themeColor="text1"/>
          <w:sz w:val="24"/>
        </w:rPr>
      </w:pPr>
      <w:r w:rsidRPr="007852DA">
        <w:rPr>
          <w:rFonts w:ascii="Book Antiqua" w:eastAsia="宋体" w:hAnsi="Book Antiqua"/>
          <w:b/>
          <w:color w:val="000000" w:themeColor="text1"/>
          <w:sz w:val="24"/>
        </w:rPr>
        <w:t xml:space="preserve">Hui Lu, </w:t>
      </w:r>
      <w:r w:rsidRPr="007852DA">
        <w:rPr>
          <w:rFonts w:ascii="Book Antiqua" w:eastAsia="宋体" w:hAnsi="Book Antiqua"/>
          <w:color w:val="000000" w:themeColor="text1"/>
          <w:sz w:val="24"/>
        </w:rPr>
        <w:t>Department of Ophthalmology, Zibo Central Hospital, Zibo 255036, Shandong Province, China</w:t>
      </w:r>
    </w:p>
    <w:p w14:paraId="53A73578" w14:textId="77777777" w:rsidR="00691360" w:rsidRPr="007852DA" w:rsidRDefault="00691360" w:rsidP="001F49D0">
      <w:pPr>
        <w:adjustRightInd w:val="0"/>
        <w:spacing w:line="360" w:lineRule="auto"/>
        <w:rPr>
          <w:rFonts w:ascii="Book Antiqua" w:eastAsia="宋体" w:hAnsi="Book Antiqua"/>
          <w:color w:val="000000" w:themeColor="text1"/>
          <w:sz w:val="24"/>
        </w:rPr>
      </w:pPr>
    </w:p>
    <w:p w14:paraId="50BB19BB" w14:textId="68BA115F" w:rsidR="00691360" w:rsidRPr="007852DA" w:rsidRDefault="00691360" w:rsidP="001F49D0">
      <w:pPr>
        <w:adjustRightInd w:val="0"/>
        <w:spacing w:line="360" w:lineRule="auto"/>
        <w:rPr>
          <w:rFonts w:ascii="Book Antiqua" w:eastAsia="宋体" w:hAnsi="Book Antiqua"/>
          <w:color w:val="000000" w:themeColor="text1"/>
          <w:sz w:val="24"/>
        </w:rPr>
      </w:pPr>
      <w:r w:rsidRPr="007852DA">
        <w:rPr>
          <w:rFonts w:ascii="Book Antiqua" w:eastAsia="宋体" w:hAnsi="Book Antiqua"/>
          <w:b/>
          <w:color w:val="000000" w:themeColor="text1"/>
          <w:sz w:val="24"/>
        </w:rPr>
        <w:t xml:space="preserve">Xiao-Mei Yao, </w:t>
      </w:r>
      <w:r w:rsidR="007018EC" w:rsidRPr="007852DA">
        <w:rPr>
          <w:rFonts w:ascii="Book Antiqua" w:eastAsia="宋体" w:hAnsi="Book Antiqua"/>
          <w:color w:val="000000" w:themeColor="text1"/>
          <w:sz w:val="24"/>
        </w:rPr>
        <w:t>Department of Gerontology, Jinan Central Hospital</w:t>
      </w:r>
      <w:r w:rsidR="007018EC" w:rsidRPr="007852DA">
        <w:rPr>
          <w:rFonts w:ascii="Book Antiqua" w:eastAsia="宋体" w:hAnsi="Book Antiqua" w:hint="eastAsia"/>
          <w:color w:val="000000" w:themeColor="text1"/>
          <w:sz w:val="24"/>
        </w:rPr>
        <w:t xml:space="preserve">, </w:t>
      </w:r>
      <w:proofErr w:type="spellStart"/>
      <w:r w:rsidR="007018EC" w:rsidRPr="007852DA">
        <w:rPr>
          <w:rFonts w:ascii="Book Antiqua" w:eastAsia="宋体" w:hAnsi="Book Antiqua" w:hint="eastAsia"/>
          <w:color w:val="000000" w:themeColor="text1"/>
          <w:sz w:val="24"/>
        </w:rPr>
        <w:t>Cheeloo</w:t>
      </w:r>
      <w:proofErr w:type="spellEnd"/>
      <w:r w:rsidR="007018EC" w:rsidRPr="007852DA">
        <w:rPr>
          <w:rFonts w:ascii="Book Antiqua" w:eastAsia="宋体" w:hAnsi="Book Antiqua" w:hint="eastAsia"/>
          <w:color w:val="000000" w:themeColor="text1"/>
          <w:sz w:val="24"/>
        </w:rPr>
        <w:t xml:space="preserve"> College of Medicine, Shandong University,</w:t>
      </w:r>
      <w:r w:rsidR="007018EC" w:rsidRPr="007852DA">
        <w:rPr>
          <w:rFonts w:ascii="Book Antiqua" w:eastAsia="宋体" w:hAnsi="Book Antiqua"/>
          <w:color w:val="000000" w:themeColor="text1"/>
          <w:sz w:val="24"/>
        </w:rPr>
        <w:t xml:space="preserve"> </w:t>
      </w:r>
      <w:r w:rsidRPr="007852DA">
        <w:rPr>
          <w:rFonts w:ascii="Book Antiqua" w:eastAsia="宋体" w:hAnsi="Book Antiqua"/>
          <w:color w:val="000000" w:themeColor="text1"/>
          <w:sz w:val="24"/>
        </w:rPr>
        <w:t>, Jinan 250013, Shandong Province, China</w:t>
      </w:r>
    </w:p>
    <w:p w14:paraId="34D6EC4F" w14:textId="77777777" w:rsidR="00691360" w:rsidRPr="007852DA" w:rsidRDefault="00691360" w:rsidP="001F49D0">
      <w:pPr>
        <w:adjustRightInd w:val="0"/>
        <w:spacing w:line="360" w:lineRule="auto"/>
        <w:rPr>
          <w:rFonts w:ascii="Book Antiqua" w:eastAsia="宋体" w:hAnsi="Book Antiqua"/>
          <w:color w:val="000000" w:themeColor="text1"/>
          <w:sz w:val="24"/>
        </w:rPr>
      </w:pPr>
    </w:p>
    <w:p w14:paraId="34345037" w14:textId="77777777" w:rsidR="00691360" w:rsidRPr="007852DA" w:rsidRDefault="00691360" w:rsidP="001F49D0">
      <w:pPr>
        <w:adjustRightInd w:val="0"/>
        <w:spacing w:line="360" w:lineRule="auto"/>
        <w:rPr>
          <w:rFonts w:ascii="Book Antiqua" w:eastAsia="宋体" w:hAnsi="Book Antiqua"/>
          <w:color w:val="000000" w:themeColor="text1"/>
          <w:sz w:val="24"/>
        </w:rPr>
      </w:pPr>
      <w:r w:rsidRPr="007852DA">
        <w:rPr>
          <w:rFonts w:ascii="Book Antiqua" w:eastAsia="宋体" w:hAnsi="Book Antiqua"/>
          <w:b/>
          <w:color w:val="000000" w:themeColor="text1"/>
          <w:sz w:val="24"/>
        </w:rPr>
        <w:t xml:space="preserve">Xia Du, </w:t>
      </w:r>
      <w:r w:rsidRPr="007852DA">
        <w:rPr>
          <w:rFonts w:ascii="Book Antiqua" w:eastAsia="宋体" w:hAnsi="Book Antiqua"/>
          <w:color w:val="000000" w:themeColor="text1"/>
          <w:sz w:val="24"/>
        </w:rPr>
        <w:t>Department of Neurology, Jinan Central Hospital Affiliated to Shandong University, Jinan 250013, Shandong Province, China</w:t>
      </w:r>
    </w:p>
    <w:p w14:paraId="55F62CB0" w14:textId="77777777" w:rsidR="00691360" w:rsidRPr="007852DA" w:rsidRDefault="00691360" w:rsidP="001F49D0">
      <w:pPr>
        <w:adjustRightInd w:val="0"/>
        <w:spacing w:line="360" w:lineRule="auto"/>
        <w:rPr>
          <w:rFonts w:ascii="Book Antiqua" w:eastAsia="宋体" w:hAnsi="Book Antiqua"/>
          <w:color w:val="000000" w:themeColor="text1"/>
          <w:sz w:val="24"/>
        </w:rPr>
      </w:pPr>
    </w:p>
    <w:p w14:paraId="601D4C8E" w14:textId="77777777" w:rsidR="00691360" w:rsidRPr="007852DA" w:rsidRDefault="00691360" w:rsidP="001F49D0">
      <w:pPr>
        <w:adjustRightInd w:val="0"/>
        <w:spacing w:line="360" w:lineRule="auto"/>
        <w:rPr>
          <w:rFonts w:ascii="Book Antiqua" w:eastAsia="宋体" w:hAnsi="Book Antiqua"/>
          <w:color w:val="000000" w:themeColor="text1"/>
          <w:sz w:val="24"/>
        </w:rPr>
      </w:pPr>
      <w:r w:rsidRPr="007852DA">
        <w:rPr>
          <w:rFonts w:ascii="Book Antiqua" w:eastAsia="宋体" w:hAnsi="Book Antiqua"/>
          <w:b/>
          <w:color w:val="000000" w:themeColor="text1"/>
          <w:sz w:val="24"/>
        </w:rPr>
        <w:t xml:space="preserve">Ling-Ling Wang, </w:t>
      </w:r>
      <w:r w:rsidRPr="007852DA">
        <w:rPr>
          <w:rFonts w:ascii="Book Antiqua" w:eastAsia="宋体" w:hAnsi="Book Antiqua"/>
          <w:color w:val="000000" w:themeColor="text1"/>
          <w:sz w:val="24"/>
        </w:rPr>
        <w:t xml:space="preserve">Department of Neurology, </w:t>
      </w:r>
      <w:proofErr w:type="spellStart"/>
      <w:r w:rsidRPr="007852DA">
        <w:rPr>
          <w:rFonts w:ascii="Book Antiqua" w:eastAsia="宋体" w:hAnsi="Book Antiqua"/>
          <w:color w:val="000000" w:themeColor="text1"/>
          <w:sz w:val="24"/>
        </w:rPr>
        <w:t>Yantaishan</w:t>
      </w:r>
      <w:proofErr w:type="spellEnd"/>
      <w:r w:rsidRPr="007852DA">
        <w:rPr>
          <w:rFonts w:ascii="Book Antiqua" w:eastAsia="宋体" w:hAnsi="Book Antiqua"/>
          <w:color w:val="000000" w:themeColor="text1"/>
          <w:sz w:val="24"/>
        </w:rPr>
        <w:t xml:space="preserve"> Hospital, Yantai 264001, Shandong Province, China</w:t>
      </w:r>
    </w:p>
    <w:p w14:paraId="1A66FE21" w14:textId="77777777" w:rsidR="000D474F" w:rsidRPr="007852DA" w:rsidRDefault="000D474F" w:rsidP="001F49D0">
      <w:pPr>
        <w:adjustRightInd w:val="0"/>
        <w:spacing w:line="360" w:lineRule="auto"/>
        <w:rPr>
          <w:rFonts w:ascii="Book Antiqua" w:eastAsia="宋体" w:hAnsi="Book Antiqua"/>
          <w:color w:val="000000" w:themeColor="text1"/>
          <w:sz w:val="24"/>
        </w:rPr>
      </w:pPr>
    </w:p>
    <w:p w14:paraId="7C300756" w14:textId="6572E830" w:rsidR="000D474F" w:rsidRPr="007852DA" w:rsidRDefault="001F49D0" w:rsidP="001F49D0">
      <w:pPr>
        <w:adjustRightInd w:val="0"/>
        <w:spacing w:line="360" w:lineRule="auto"/>
        <w:rPr>
          <w:rFonts w:ascii="Book Antiqua" w:eastAsia="宋体" w:hAnsi="Book Antiqua" w:cs="Times New Roman"/>
          <w:color w:val="000000" w:themeColor="text1"/>
          <w:sz w:val="24"/>
        </w:rPr>
      </w:pPr>
      <w:r w:rsidRPr="007852DA">
        <w:rPr>
          <w:rFonts w:ascii="Book Antiqua" w:eastAsia="MS Mincho" w:hAnsi="Book Antiqua"/>
          <w:b/>
          <w:color w:val="000000" w:themeColor="text1"/>
          <w:sz w:val="24"/>
          <w:lang w:eastAsia="ja-JP"/>
        </w:rPr>
        <w:t xml:space="preserve">Author contributions: </w:t>
      </w:r>
      <w:r w:rsidR="0096702B" w:rsidRPr="007852DA">
        <w:rPr>
          <w:rFonts w:ascii="Book Antiqua" w:eastAsia="宋体" w:hAnsi="Book Antiqua" w:cs="Times New Roman"/>
          <w:color w:val="000000" w:themeColor="text1"/>
          <w:sz w:val="24"/>
        </w:rPr>
        <w:t>Yue T and Liu YM interpreted the patient data, and were major contributors in writing the manuscript; Lu H and Yao XM analyzed and interpreted the data</w:t>
      </w:r>
      <w:r w:rsidR="00691360" w:rsidRPr="007852DA">
        <w:rPr>
          <w:rFonts w:ascii="Book Antiqua" w:eastAsia="宋体" w:hAnsi="Book Antiqua" w:cs="Times New Roman"/>
          <w:color w:val="000000" w:themeColor="text1"/>
          <w:sz w:val="24"/>
        </w:rPr>
        <w:t>;</w:t>
      </w:r>
      <w:r w:rsidR="0096702B" w:rsidRPr="007852DA">
        <w:rPr>
          <w:rFonts w:ascii="Book Antiqua" w:eastAsia="宋体" w:hAnsi="Book Antiqua" w:cs="Times New Roman"/>
          <w:color w:val="000000" w:themeColor="text1"/>
          <w:sz w:val="24"/>
        </w:rPr>
        <w:t xml:space="preserve"> Du X, Guo DD and Wang LL performed the ELISA examination of serum</w:t>
      </w:r>
      <w:r w:rsidR="00691360" w:rsidRPr="007852DA">
        <w:rPr>
          <w:rFonts w:ascii="Book Antiqua" w:eastAsia="宋体" w:hAnsi="Book Antiqua" w:cs="Times New Roman"/>
          <w:color w:val="000000" w:themeColor="text1"/>
          <w:sz w:val="24"/>
        </w:rPr>
        <w:t>;</w:t>
      </w:r>
      <w:r w:rsidR="0096702B" w:rsidRPr="007852DA">
        <w:rPr>
          <w:rFonts w:ascii="Book Antiqua" w:eastAsia="宋体" w:hAnsi="Book Antiqua" w:cs="Times New Roman"/>
          <w:color w:val="000000" w:themeColor="text1"/>
          <w:sz w:val="24"/>
        </w:rPr>
        <w:t xml:space="preserve"> </w:t>
      </w:r>
      <w:r w:rsidR="006132ED" w:rsidRPr="007852DA">
        <w:rPr>
          <w:rFonts w:ascii="Book Antiqua" w:eastAsia="宋体" w:hAnsi="Book Antiqua" w:cs="Times New Roman"/>
          <w:color w:val="000000" w:themeColor="text1"/>
          <w:sz w:val="24"/>
        </w:rPr>
        <w:t>a</w:t>
      </w:r>
      <w:r w:rsidR="0096702B" w:rsidRPr="007852DA">
        <w:rPr>
          <w:rFonts w:ascii="Book Antiqua" w:eastAsia="宋体" w:hAnsi="Book Antiqua" w:cs="Times New Roman"/>
          <w:color w:val="000000" w:themeColor="text1"/>
          <w:sz w:val="24"/>
        </w:rPr>
        <w:t>ll authors read and approved the final manuscript.</w:t>
      </w:r>
    </w:p>
    <w:p w14:paraId="599655CB" w14:textId="77777777" w:rsidR="000D474F" w:rsidRPr="007852DA" w:rsidRDefault="000D474F" w:rsidP="001F49D0">
      <w:pPr>
        <w:adjustRightInd w:val="0"/>
        <w:spacing w:line="360" w:lineRule="auto"/>
        <w:rPr>
          <w:rFonts w:ascii="Book Antiqua" w:hAnsi="Book Antiqua"/>
          <w:b/>
          <w:color w:val="000000" w:themeColor="text1"/>
          <w:sz w:val="24"/>
        </w:rPr>
      </w:pPr>
    </w:p>
    <w:p w14:paraId="776627C8" w14:textId="0BC53930" w:rsidR="000D474F" w:rsidRPr="007852DA" w:rsidRDefault="001F49D0" w:rsidP="001F49D0">
      <w:pPr>
        <w:adjustRightInd w:val="0"/>
        <w:spacing w:line="360" w:lineRule="auto"/>
        <w:rPr>
          <w:rFonts w:ascii="Book Antiqua" w:eastAsia="宋体" w:hAnsi="Book Antiqua" w:cs="Times New Roman"/>
          <w:color w:val="000000" w:themeColor="text1"/>
          <w:sz w:val="24"/>
        </w:rPr>
      </w:pPr>
      <w:r w:rsidRPr="007852DA">
        <w:rPr>
          <w:rFonts w:ascii="Book Antiqua" w:hAnsi="Book Antiqua"/>
          <w:b/>
          <w:color w:val="000000" w:themeColor="text1"/>
          <w:sz w:val="24"/>
          <w:lang w:eastAsia="fr-FR"/>
        </w:rPr>
        <w:t>Supported by</w:t>
      </w:r>
      <w:r w:rsidRPr="007852DA">
        <w:rPr>
          <w:rFonts w:ascii="Book Antiqua" w:hAnsi="Book Antiqua"/>
          <w:color w:val="000000" w:themeColor="text1"/>
          <w:sz w:val="24"/>
          <w:lang w:eastAsia="fr-FR"/>
        </w:rPr>
        <w:t xml:space="preserve"> </w:t>
      </w:r>
      <w:r w:rsidR="0096702B" w:rsidRPr="007852DA">
        <w:rPr>
          <w:rFonts w:ascii="Book Antiqua" w:hAnsi="Book Antiqua"/>
          <w:color w:val="000000" w:themeColor="text1"/>
          <w:sz w:val="24"/>
        </w:rPr>
        <w:t>National Natural Science Foundation of China</w:t>
      </w:r>
      <w:r w:rsidR="0096702B" w:rsidRPr="007852DA">
        <w:rPr>
          <w:rFonts w:ascii="Book Antiqua" w:eastAsia="宋体" w:hAnsi="Book Antiqua" w:cs="Times New Roman"/>
          <w:color w:val="000000" w:themeColor="text1"/>
          <w:sz w:val="24"/>
        </w:rPr>
        <w:t>, No. 81771373</w:t>
      </w:r>
      <w:r w:rsidR="007018EC" w:rsidRPr="007852DA">
        <w:rPr>
          <w:rFonts w:ascii="Book Antiqua" w:hAnsi="Book Antiqua" w:hint="eastAsia"/>
          <w:color w:val="000000" w:themeColor="text1"/>
          <w:sz w:val="24"/>
        </w:rPr>
        <w:t>; and Key R</w:t>
      </w:r>
      <w:r w:rsidR="007018EC" w:rsidRPr="007852DA">
        <w:rPr>
          <w:rFonts w:ascii="Book Antiqua" w:hAnsi="Book Antiqua"/>
          <w:color w:val="000000" w:themeColor="text1"/>
          <w:sz w:val="24"/>
        </w:rPr>
        <w:t xml:space="preserve">esearch and </w:t>
      </w:r>
      <w:r w:rsidR="007018EC" w:rsidRPr="007852DA">
        <w:rPr>
          <w:rFonts w:ascii="Book Antiqua" w:hAnsi="Book Antiqua" w:hint="eastAsia"/>
          <w:color w:val="000000" w:themeColor="text1"/>
          <w:sz w:val="24"/>
        </w:rPr>
        <w:t>D</w:t>
      </w:r>
      <w:r w:rsidR="007018EC" w:rsidRPr="007852DA">
        <w:rPr>
          <w:rFonts w:ascii="Book Antiqua" w:hAnsi="Book Antiqua"/>
          <w:color w:val="000000" w:themeColor="text1"/>
          <w:sz w:val="24"/>
        </w:rPr>
        <w:t>evelopment </w:t>
      </w:r>
      <w:r w:rsidR="007018EC" w:rsidRPr="007852DA">
        <w:rPr>
          <w:rFonts w:ascii="Book Antiqua" w:hAnsi="Book Antiqua" w:hint="eastAsia"/>
          <w:color w:val="000000" w:themeColor="text1"/>
          <w:sz w:val="24"/>
        </w:rPr>
        <w:t xml:space="preserve">Plan of Zibo City, No. </w:t>
      </w:r>
      <w:r w:rsidR="007018EC" w:rsidRPr="007852DA">
        <w:rPr>
          <w:rFonts w:ascii="Book Antiqua" w:hAnsi="Book Antiqua"/>
          <w:color w:val="000000" w:themeColor="text1"/>
          <w:sz w:val="24"/>
        </w:rPr>
        <w:t>2019ZC010169</w:t>
      </w:r>
      <w:r w:rsidR="007018EC" w:rsidRPr="007852DA">
        <w:rPr>
          <w:rFonts w:ascii="Book Antiqua" w:hAnsi="Book Antiqua" w:hint="eastAsia"/>
          <w:color w:val="000000" w:themeColor="text1"/>
          <w:sz w:val="24"/>
        </w:rPr>
        <w:t xml:space="preserve"> and No. </w:t>
      </w:r>
      <w:r w:rsidR="007018EC" w:rsidRPr="007852DA">
        <w:rPr>
          <w:rFonts w:ascii="Book Antiqua" w:hAnsi="Book Antiqua"/>
          <w:color w:val="000000" w:themeColor="text1"/>
          <w:sz w:val="24"/>
        </w:rPr>
        <w:t>2019ZC010166</w:t>
      </w:r>
      <w:r w:rsidR="007018EC" w:rsidRPr="007852DA">
        <w:rPr>
          <w:rFonts w:ascii="Book Antiqua" w:hAnsi="Book Antiqua" w:hint="eastAsia"/>
          <w:color w:val="000000" w:themeColor="text1"/>
          <w:sz w:val="24"/>
        </w:rPr>
        <w:t>.</w:t>
      </w:r>
    </w:p>
    <w:p w14:paraId="25111819" w14:textId="77777777" w:rsidR="000D474F" w:rsidRPr="007852DA" w:rsidRDefault="000D474F" w:rsidP="001F49D0">
      <w:pPr>
        <w:adjustRightInd w:val="0"/>
        <w:spacing w:line="360" w:lineRule="auto"/>
        <w:rPr>
          <w:rFonts w:ascii="Book Antiqua" w:hAnsi="Book Antiqua"/>
          <w:b/>
          <w:color w:val="000000" w:themeColor="text1"/>
          <w:sz w:val="24"/>
        </w:rPr>
      </w:pPr>
    </w:p>
    <w:p w14:paraId="1BD6350D" w14:textId="47F677BC" w:rsidR="000D474F" w:rsidRPr="007852DA" w:rsidRDefault="001F49D0" w:rsidP="001F49D0">
      <w:pPr>
        <w:adjustRightInd w:val="0"/>
        <w:spacing w:line="360" w:lineRule="auto"/>
        <w:rPr>
          <w:rFonts w:ascii="Book Antiqua" w:hAnsi="Book Antiqua"/>
          <w:b/>
          <w:color w:val="000000" w:themeColor="text1"/>
          <w:sz w:val="24"/>
        </w:rPr>
      </w:pPr>
      <w:bookmarkStart w:id="8" w:name="OLE_LINK535"/>
      <w:bookmarkStart w:id="9" w:name="OLE_LINK536"/>
      <w:r w:rsidRPr="007852DA">
        <w:rPr>
          <w:rFonts w:ascii="Book Antiqua" w:hAnsi="Book Antiqua"/>
          <w:b/>
          <w:color w:val="000000" w:themeColor="text1"/>
          <w:sz w:val="24"/>
        </w:rPr>
        <w:t>Corresponding author:</w:t>
      </w:r>
      <w:bookmarkEnd w:id="8"/>
      <w:bookmarkEnd w:id="9"/>
      <w:r w:rsidRPr="007852DA">
        <w:rPr>
          <w:rFonts w:ascii="Book Antiqua" w:hAnsi="Book Antiqua"/>
          <w:b/>
          <w:bCs/>
          <w:color w:val="000000" w:themeColor="text1"/>
          <w:sz w:val="24"/>
          <w:lang w:eastAsia="fr-FR"/>
        </w:rPr>
        <w:t xml:space="preserve"> </w:t>
      </w:r>
      <w:r w:rsidR="0096702B" w:rsidRPr="007852DA">
        <w:rPr>
          <w:rFonts w:ascii="Book Antiqua" w:hAnsi="Book Antiqua"/>
          <w:b/>
          <w:color w:val="000000" w:themeColor="text1"/>
          <w:sz w:val="24"/>
        </w:rPr>
        <w:t>Yi-Ming Liu, MD, PhD,</w:t>
      </w:r>
      <w:r w:rsidR="0096702B" w:rsidRPr="007852DA">
        <w:rPr>
          <w:rFonts w:ascii="Book Antiqua" w:hAnsi="Book Antiqua"/>
          <w:color w:val="000000" w:themeColor="text1"/>
          <w:sz w:val="24"/>
        </w:rPr>
        <w:t xml:space="preserve"> </w:t>
      </w:r>
      <w:r w:rsidR="0096702B" w:rsidRPr="007852DA">
        <w:rPr>
          <w:rFonts w:ascii="Book Antiqua" w:hAnsi="Book Antiqua"/>
          <w:b/>
          <w:bCs/>
          <w:color w:val="000000" w:themeColor="text1"/>
          <w:sz w:val="24"/>
        </w:rPr>
        <w:t xml:space="preserve">Chief Doctor, Professor, </w:t>
      </w:r>
      <w:r w:rsidR="007018EC" w:rsidRPr="007852DA">
        <w:rPr>
          <w:rFonts w:ascii="Book Antiqua" w:eastAsia="宋体" w:hAnsi="Book Antiqua"/>
          <w:color w:val="000000" w:themeColor="text1"/>
          <w:sz w:val="24"/>
        </w:rPr>
        <w:t xml:space="preserve">Department of Neurology, </w:t>
      </w:r>
      <w:proofErr w:type="spellStart"/>
      <w:r w:rsidR="007018EC" w:rsidRPr="007852DA">
        <w:rPr>
          <w:rFonts w:ascii="Book Antiqua" w:eastAsia="宋体" w:hAnsi="Book Antiqua"/>
          <w:color w:val="000000" w:themeColor="text1"/>
          <w:sz w:val="24"/>
        </w:rPr>
        <w:t>Qilu</w:t>
      </w:r>
      <w:proofErr w:type="spellEnd"/>
      <w:r w:rsidR="007018EC" w:rsidRPr="007852DA">
        <w:rPr>
          <w:rFonts w:ascii="Book Antiqua" w:eastAsia="宋体" w:hAnsi="Book Antiqua"/>
          <w:color w:val="000000" w:themeColor="text1"/>
          <w:sz w:val="24"/>
        </w:rPr>
        <w:t xml:space="preserve"> Hospital</w:t>
      </w:r>
      <w:r w:rsidR="007018EC" w:rsidRPr="007852DA">
        <w:rPr>
          <w:rFonts w:ascii="Book Antiqua" w:eastAsia="宋体" w:hAnsi="Book Antiqua" w:hint="eastAsia"/>
          <w:color w:val="000000" w:themeColor="text1"/>
          <w:sz w:val="24"/>
        </w:rPr>
        <w:t xml:space="preserve">, </w:t>
      </w:r>
      <w:proofErr w:type="spellStart"/>
      <w:r w:rsidR="007018EC" w:rsidRPr="007852DA">
        <w:rPr>
          <w:rFonts w:ascii="Book Antiqua" w:eastAsia="宋体" w:hAnsi="Book Antiqua" w:hint="eastAsia"/>
          <w:color w:val="000000" w:themeColor="text1"/>
          <w:sz w:val="24"/>
        </w:rPr>
        <w:t>Cheeloo</w:t>
      </w:r>
      <w:proofErr w:type="spellEnd"/>
      <w:r w:rsidR="007018EC" w:rsidRPr="007852DA">
        <w:rPr>
          <w:rFonts w:ascii="Book Antiqua" w:eastAsia="宋体" w:hAnsi="Book Antiqua" w:hint="eastAsia"/>
          <w:color w:val="000000" w:themeColor="text1"/>
          <w:sz w:val="24"/>
        </w:rPr>
        <w:t xml:space="preserve"> College of Medicine, Shandong University</w:t>
      </w:r>
      <w:r w:rsidR="00DD1E81" w:rsidRPr="007852DA">
        <w:rPr>
          <w:rFonts w:ascii="Book Antiqua" w:eastAsia="宋体" w:hAnsi="Book Antiqua" w:hint="eastAsia"/>
          <w:color w:val="000000" w:themeColor="text1"/>
          <w:sz w:val="24"/>
        </w:rPr>
        <w:t xml:space="preserve">, </w:t>
      </w:r>
      <w:r w:rsidR="0096702B" w:rsidRPr="007852DA">
        <w:rPr>
          <w:rFonts w:ascii="Book Antiqua" w:hAnsi="Book Antiqua"/>
          <w:color w:val="000000" w:themeColor="text1"/>
          <w:sz w:val="24"/>
        </w:rPr>
        <w:t xml:space="preserve">No.107, </w:t>
      </w:r>
      <w:proofErr w:type="spellStart"/>
      <w:r w:rsidR="0096702B" w:rsidRPr="007852DA">
        <w:rPr>
          <w:rFonts w:ascii="Book Antiqua" w:hAnsi="Book Antiqua"/>
          <w:color w:val="000000" w:themeColor="text1"/>
          <w:sz w:val="24"/>
        </w:rPr>
        <w:t>Wenhua</w:t>
      </w:r>
      <w:proofErr w:type="spellEnd"/>
      <w:r w:rsidR="0096702B" w:rsidRPr="007852DA">
        <w:rPr>
          <w:rFonts w:ascii="Book Antiqua" w:hAnsi="Book Antiqua"/>
          <w:color w:val="000000" w:themeColor="text1"/>
          <w:sz w:val="24"/>
        </w:rPr>
        <w:t xml:space="preserve"> </w:t>
      </w:r>
      <w:r w:rsidR="00194415" w:rsidRPr="007852DA">
        <w:rPr>
          <w:rFonts w:ascii="Book Antiqua" w:hAnsi="Book Antiqua"/>
          <w:color w:val="000000" w:themeColor="text1"/>
          <w:sz w:val="24"/>
        </w:rPr>
        <w:t xml:space="preserve">West </w:t>
      </w:r>
      <w:r w:rsidR="0096702B" w:rsidRPr="007852DA">
        <w:rPr>
          <w:rFonts w:ascii="Book Antiqua" w:hAnsi="Book Antiqua"/>
          <w:color w:val="000000" w:themeColor="text1"/>
          <w:sz w:val="24"/>
        </w:rPr>
        <w:t xml:space="preserve">Road, Jinan 250012, </w:t>
      </w:r>
      <w:r w:rsidR="004926AA" w:rsidRPr="007852DA">
        <w:rPr>
          <w:rFonts w:ascii="Book Antiqua" w:eastAsia="宋体" w:hAnsi="Book Antiqua"/>
          <w:color w:val="000000" w:themeColor="text1"/>
          <w:sz w:val="24"/>
        </w:rPr>
        <w:t xml:space="preserve">Shandong Province, </w:t>
      </w:r>
      <w:r w:rsidR="0096702B" w:rsidRPr="007852DA">
        <w:rPr>
          <w:rFonts w:ascii="Book Antiqua" w:hAnsi="Book Antiqua"/>
          <w:color w:val="000000" w:themeColor="text1"/>
          <w:sz w:val="24"/>
        </w:rPr>
        <w:t xml:space="preserve">China. </w:t>
      </w:r>
      <w:r w:rsidR="0096702B" w:rsidRPr="007852DA">
        <w:rPr>
          <w:rFonts w:ascii="Book Antiqua" w:hAnsi="Book Antiqua"/>
          <w:color w:val="000000" w:themeColor="text1"/>
          <w:sz w:val="24"/>
          <w:u w:val="single"/>
        </w:rPr>
        <w:t>liuym@sdu.edu.cn</w:t>
      </w:r>
    </w:p>
    <w:p w14:paraId="03BDEF85" w14:textId="77777777" w:rsidR="000D474F" w:rsidRPr="007852DA" w:rsidRDefault="000D474F" w:rsidP="001F49D0">
      <w:pPr>
        <w:adjustRightInd w:val="0"/>
        <w:spacing w:line="360" w:lineRule="auto"/>
        <w:rPr>
          <w:rFonts w:ascii="Book Antiqua" w:hAnsi="Book Antiqua"/>
          <w:b/>
          <w:color w:val="000000" w:themeColor="text1"/>
          <w:sz w:val="24"/>
        </w:rPr>
      </w:pPr>
    </w:p>
    <w:p w14:paraId="289A72D9" w14:textId="77777777" w:rsidR="000D474F" w:rsidRPr="007852DA" w:rsidRDefault="0096702B" w:rsidP="001F49D0">
      <w:pPr>
        <w:adjustRightInd w:val="0"/>
        <w:spacing w:line="360" w:lineRule="auto"/>
        <w:rPr>
          <w:rFonts w:ascii="Book Antiqua" w:hAnsi="Book Antiqua"/>
          <w:bCs/>
          <w:color w:val="000000" w:themeColor="text1"/>
          <w:sz w:val="24"/>
        </w:rPr>
      </w:pPr>
      <w:r w:rsidRPr="007852DA">
        <w:rPr>
          <w:rFonts w:ascii="Book Antiqua" w:hAnsi="Book Antiqua"/>
          <w:b/>
          <w:color w:val="000000" w:themeColor="text1"/>
          <w:sz w:val="24"/>
        </w:rPr>
        <w:t xml:space="preserve">Received: </w:t>
      </w:r>
      <w:r w:rsidRPr="007852DA">
        <w:rPr>
          <w:rFonts w:ascii="Book Antiqua" w:hAnsi="Book Antiqua"/>
          <w:bCs/>
          <w:color w:val="000000" w:themeColor="text1"/>
          <w:sz w:val="24"/>
        </w:rPr>
        <w:t xml:space="preserve">January </w:t>
      </w:r>
      <w:r w:rsidR="00691360" w:rsidRPr="007852DA">
        <w:rPr>
          <w:rFonts w:ascii="Book Antiqua" w:hAnsi="Book Antiqua"/>
          <w:bCs/>
          <w:color w:val="000000" w:themeColor="text1"/>
          <w:sz w:val="24"/>
        </w:rPr>
        <w:t>3</w:t>
      </w:r>
      <w:r w:rsidRPr="007852DA">
        <w:rPr>
          <w:rFonts w:ascii="Book Antiqua" w:hAnsi="Book Antiqua"/>
          <w:bCs/>
          <w:color w:val="000000" w:themeColor="text1"/>
          <w:sz w:val="24"/>
        </w:rPr>
        <w:t>0, 2020</w:t>
      </w:r>
    </w:p>
    <w:p w14:paraId="4834A4C8" w14:textId="77777777" w:rsidR="000D474F" w:rsidRPr="007852DA" w:rsidRDefault="0096702B" w:rsidP="001F49D0">
      <w:pPr>
        <w:adjustRightInd w:val="0"/>
        <w:spacing w:line="360" w:lineRule="auto"/>
        <w:rPr>
          <w:rFonts w:ascii="Book Antiqua" w:hAnsi="Book Antiqua"/>
          <w:b/>
          <w:color w:val="000000" w:themeColor="text1"/>
          <w:sz w:val="24"/>
        </w:rPr>
      </w:pPr>
      <w:r w:rsidRPr="007852DA">
        <w:rPr>
          <w:rFonts w:ascii="Book Antiqua" w:hAnsi="Book Antiqua"/>
          <w:b/>
          <w:color w:val="000000" w:themeColor="text1"/>
          <w:sz w:val="24"/>
        </w:rPr>
        <w:t xml:space="preserve">Revised: </w:t>
      </w:r>
      <w:r w:rsidRPr="007852DA">
        <w:rPr>
          <w:rFonts w:ascii="Book Antiqua" w:hAnsi="Book Antiqua"/>
          <w:bCs/>
          <w:color w:val="000000" w:themeColor="text1"/>
          <w:sz w:val="24"/>
        </w:rPr>
        <w:t xml:space="preserve">May </w:t>
      </w:r>
      <w:r w:rsidR="00691360" w:rsidRPr="007852DA">
        <w:rPr>
          <w:rFonts w:ascii="Book Antiqua" w:hAnsi="Book Antiqua"/>
          <w:bCs/>
          <w:color w:val="000000" w:themeColor="text1"/>
          <w:sz w:val="24"/>
        </w:rPr>
        <w:t>9</w:t>
      </w:r>
      <w:r w:rsidRPr="007852DA">
        <w:rPr>
          <w:rFonts w:ascii="Book Antiqua" w:hAnsi="Book Antiqua"/>
          <w:bCs/>
          <w:color w:val="000000" w:themeColor="text1"/>
          <w:sz w:val="24"/>
        </w:rPr>
        <w:t>, 2020</w:t>
      </w:r>
    </w:p>
    <w:p w14:paraId="26A25E1B" w14:textId="74E3225C" w:rsidR="000D474F" w:rsidRPr="007852DA" w:rsidRDefault="0096702B" w:rsidP="001F49D0">
      <w:pPr>
        <w:adjustRightInd w:val="0"/>
        <w:spacing w:line="360" w:lineRule="auto"/>
        <w:rPr>
          <w:rFonts w:ascii="Book Antiqua" w:hAnsi="Book Antiqua"/>
          <w:color w:val="000000" w:themeColor="text1"/>
          <w:sz w:val="24"/>
        </w:rPr>
      </w:pPr>
      <w:r w:rsidRPr="007852DA">
        <w:rPr>
          <w:rFonts w:ascii="Book Antiqua" w:hAnsi="Book Antiqua"/>
          <w:b/>
          <w:color w:val="000000" w:themeColor="text1"/>
          <w:sz w:val="24"/>
        </w:rPr>
        <w:t>Accepted:</w:t>
      </w:r>
      <w:r w:rsidR="00D27AD4" w:rsidRPr="007852DA">
        <w:rPr>
          <w:color w:val="000000" w:themeColor="text1"/>
        </w:rPr>
        <w:t xml:space="preserve"> </w:t>
      </w:r>
      <w:r w:rsidR="00D27AD4" w:rsidRPr="007852DA">
        <w:rPr>
          <w:rFonts w:ascii="Book Antiqua" w:hAnsi="Book Antiqua"/>
          <w:bCs/>
          <w:color w:val="000000" w:themeColor="text1"/>
          <w:sz w:val="24"/>
        </w:rPr>
        <w:t>May 13, 2020</w:t>
      </w:r>
      <w:r w:rsidRPr="007852DA">
        <w:rPr>
          <w:rFonts w:ascii="Book Antiqua" w:hAnsi="Book Antiqua"/>
          <w:bCs/>
          <w:color w:val="000000" w:themeColor="text1"/>
          <w:sz w:val="24"/>
        </w:rPr>
        <w:t xml:space="preserve"> </w:t>
      </w:r>
    </w:p>
    <w:p w14:paraId="3E00F64B" w14:textId="77777777" w:rsidR="000D474F" w:rsidRPr="007852DA" w:rsidRDefault="0096702B" w:rsidP="001F49D0">
      <w:pPr>
        <w:adjustRightInd w:val="0"/>
        <w:spacing w:line="360" w:lineRule="auto"/>
        <w:rPr>
          <w:rFonts w:ascii="Book Antiqua" w:hAnsi="Book Antiqua"/>
          <w:b/>
          <w:color w:val="000000" w:themeColor="text1"/>
          <w:sz w:val="24"/>
        </w:rPr>
      </w:pPr>
      <w:r w:rsidRPr="007852DA">
        <w:rPr>
          <w:rFonts w:ascii="Book Antiqua" w:hAnsi="Book Antiqua"/>
          <w:b/>
          <w:color w:val="000000" w:themeColor="text1"/>
          <w:sz w:val="24"/>
        </w:rPr>
        <w:t>Published online:</w:t>
      </w:r>
      <w:bookmarkEnd w:id="6"/>
    </w:p>
    <w:p w14:paraId="45F575D6" w14:textId="77777777" w:rsidR="000D474F" w:rsidRPr="007852DA" w:rsidRDefault="0096702B" w:rsidP="001F49D0">
      <w:pPr>
        <w:adjustRightInd w:val="0"/>
        <w:spacing w:line="360" w:lineRule="auto"/>
        <w:rPr>
          <w:rFonts w:ascii="Book Antiqua" w:eastAsia="宋体" w:hAnsi="Book Antiqua"/>
          <w:color w:val="000000" w:themeColor="text1"/>
          <w:sz w:val="24"/>
        </w:rPr>
      </w:pPr>
      <w:r w:rsidRPr="007852DA">
        <w:rPr>
          <w:rFonts w:ascii="Book Antiqua" w:hAnsi="Book Antiqua"/>
          <w:b/>
          <w:color w:val="000000" w:themeColor="text1"/>
          <w:kern w:val="0"/>
          <w:sz w:val="24"/>
        </w:rPr>
        <w:br w:type="page"/>
      </w:r>
      <w:bookmarkEnd w:id="0"/>
      <w:bookmarkEnd w:id="1"/>
      <w:bookmarkEnd w:id="2"/>
      <w:bookmarkEnd w:id="3"/>
      <w:bookmarkEnd w:id="4"/>
      <w:bookmarkEnd w:id="5"/>
    </w:p>
    <w:p w14:paraId="74B65D5E" w14:textId="77777777" w:rsidR="001F49D0" w:rsidRPr="007852DA" w:rsidRDefault="001F49D0" w:rsidP="001F49D0">
      <w:pPr>
        <w:pStyle w:val="af"/>
        <w:spacing w:before="0" w:after="0" w:line="360" w:lineRule="auto"/>
        <w:jc w:val="both"/>
        <w:rPr>
          <w:rFonts w:ascii="Book Antiqua" w:eastAsia="宋体" w:hAnsi="Book Antiqua"/>
          <w:color w:val="000000" w:themeColor="text1"/>
          <w:sz w:val="24"/>
          <w:szCs w:val="24"/>
          <w:lang w:val="en-US" w:eastAsia="zh-CN"/>
        </w:rPr>
      </w:pPr>
      <w:r w:rsidRPr="007852DA">
        <w:rPr>
          <w:rFonts w:ascii="Book Antiqua" w:hAnsi="Book Antiqua"/>
          <w:color w:val="000000" w:themeColor="text1"/>
          <w:sz w:val="24"/>
          <w:szCs w:val="24"/>
          <w:lang w:val="en-US"/>
        </w:rPr>
        <w:lastRenderedPageBreak/>
        <w:t>Abstract</w:t>
      </w:r>
    </w:p>
    <w:p w14:paraId="1328DC0F" w14:textId="77777777" w:rsidR="001F49D0" w:rsidRPr="007852DA" w:rsidRDefault="001F49D0"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BACKGROUND</w:t>
      </w:r>
      <w:r w:rsidRPr="007852DA">
        <w:rPr>
          <w:rFonts w:ascii="Book Antiqua" w:eastAsia="Times New Roman" w:hAnsi="Book Antiqua"/>
          <w:bCs/>
          <w:color w:val="000000" w:themeColor="text1"/>
          <w:kern w:val="28"/>
          <w:sz w:val="24"/>
          <w:lang w:val="x-none"/>
        </w:rPr>
        <w:t xml:space="preserve"> </w:t>
      </w:r>
    </w:p>
    <w:p w14:paraId="218ED722" w14:textId="347782FB"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Multiple system atrophy (MSA) is a serious progressive neurodegenerati</w:t>
      </w:r>
      <w:r w:rsidR="00B01A31" w:rsidRPr="007852DA">
        <w:rPr>
          <w:rFonts w:ascii="Book Antiqua" w:eastAsia="宋体" w:hAnsi="Book Antiqua" w:cs="Times New Roman"/>
          <w:color w:val="000000" w:themeColor="text1"/>
          <w:sz w:val="24"/>
        </w:rPr>
        <w:t>ve</w:t>
      </w:r>
      <w:r w:rsidRPr="007852DA">
        <w:rPr>
          <w:rFonts w:ascii="Book Antiqua" w:eastAsia="宋体" w:hAnsi="Book Antiqua" w:cs="Times New Roman"/>
          <w:color w:val="000000" w:themeColor="text1"/>
          <w:sz w:val="24"/>
        </w:rPr>
        <w:t xml:space="preserve"> disease</w:t>
      </w:r>
      <w:r w:rsidR="00B01A31" w:rsidRPr="007852DA">
        <w:rPr>
          <w:rFonts w:ascii="Book Antiqua" w:eastAsia="宋体" w:hAnsi="Book Antiqua" w:cs="Times New Roman"/>
          <w:color w:val="000000" w:themeColor="text1"/>
          <w:sz w:val="24"/>
        </w:rPr>
        <w:t>. E</w:t>
      </w:r>
      <w:r w:rsidRPr="007852DA">
        <w:rPr>
          <w:rFonts w:ascii="Book Antiqua" w:eastAsia="宋体" w:hAnsi="Book Antiqua" w:cs="Times New Roman"/>
          <w:color w:val="000000" w:themeColor="text1"/>
          <w:sz w:val="24"/>
        </w:rPr>
        <w:t xml:space="preserve">arly diagnosis </w:t>
      </w:r>
      <w:r w:rsidR="00B01A31" w:rsidRPr="007852DA">
        <w:rPr>
          <w:rFonts w:ascii="Book Antiqua" w:eastAsia="宋体" w:hAnsi="Book Antiqua" w:cs="Times New Roman"/>
          <w:color w:val="000000" w:themeColor="text1"/>
          <w:sz w:val="24"/>
        </w:rPr>
        <w:t xml:space="preserve">of MSA </w:t>
      </w:r>
      <w:r w:rsidRPr="007852DA">
        <w:rPr>
          <w:rFonts w:ascii="Book Antiqua" w:eastAsia="宋体" w:hAnsi="Book Antiqua" w:cs="Times New Roman"/>
          <w:color w:val="000000" w:themeColor="text1"/>
          <w:sz w:val="24"/>
        </w:rPr>
        <w:t xml:space="preserve">is very </w:t>
      </w:r>
      <w:r w:rsidR="00691360" w:rsidRPr="007852DA">
        <w:rPr>
          <w:rFonts w:ascii="Book Antiqua" w:eastAsia="宋体" w:hAnsi="Book Antiqua" w:cs="Times New Roman"/>
          <w:color w:val="000000" w:themeColor="text1"/>
          <w:sz w:val="24"/>
        </w:rPr>
        <w:t>difficult,</w:t>
      </w:r>
      <w:r w:rsidRPr="007852DA">
        <w:rPr>
          <w:rFonts w:ascii="Book Antiqua" w:eastAsia="宋体" w:hAnsi="Book Antiqua" w:cs="Times New Roman"/>
          <w:color w:val="000000" w:themeColor="text1"/>
          <w:sz w:val="24"/>
        </w:rPr>
        <w:t xml:space="preserve"> and diagnostic biomarkers are limited. Growth differentiation factor 15 (GDF15) is involved in the differentiation and progression of </w:t>
      </w:r>
      <w:r w:rsidR="00B01A31" w:rsidRPr="007852DA">
        <w:rPr>
          <w:rFonts w:ascii="Book Antiqua" w:eastAsia="宋体" w:hAnsi="Book Antiqua" w:cs="Times New Roman"/>
          <w:color w:val="000000" w:themeColor="text1"/>
          <w:sz w:val="24"/>
        </w:rPr>
        <w:t xml:space="preserve">the </w:t>
      </w:r>
      <w:r w:rsidRPr="007852DA">
        <w:rPr>
          <w:rFonts w:ascii="Book Antiqua" w:eastAsia="宋体" w:hAnsi="Book Antiqua" w:cs="Times New Roman"/>
          <w:color w:val="000000" w:themeColor="text1"/>
          <w:sz w:val="24"/>
        </w:rPr>
        <w:t>central nervous system, and is widely distributed in peripheral blood, which m</w:t>
      </w:r>
      <w:r w:rsidR="00B01A31" w:rsidRPr="007852DA">
        <w:rPr>
          <w:rFonts w:ascii="Book Antiqua" w:eastAsia="宋体" w:hAnsi="Book Antiqua" w:cs="Times New Roman"/>
          <w:color w:val="000000" w:themeColor="text1"/>
          <w:sz w:val="24"/>
        </w:rPr>
        <w:t>ay</w:t>
      </w:r>
      <w:r w:rsidRPr="007852DA">
        <w:rPr>
          <w:rFonts w:ascii="Book Antiqua" w:eastAsia="宋体" w:hAnsi="Book Antiqua" w:cs="Times New Roman"/>
          <w:color w:val="000000" w:themeColor="text1"/>
          <w:sz w:val="24"/>
        </w:rPr>
        <w:t xml:space="preserve"> be a novel biomarker for MSA.</w:t>
      </w:r>
    </w:p>
    <w:p w14:paraId="7FE00937" w14:textId="77777777" w:rsidR="00691360" w:rsidRPr="007852DA" w:rsidRDefault="00691360" w:rsidP="001F49D0">
      <w:pPr>
        <w:autoSpaceDE w:val="0"/>
        <w:autoSpaceDN w:val="0"/>
        <w:adjustRightInd w:val="0"/>
        <w:spacing w:line="360" w:lineRule="auto"/>
        <w:rPr>
          <w:rFonts w:ascii="Book Antiqua" w:eastAsia="宋体" w:hAnsi="Book Antiqua" w:cs="Times New Roman"/>
          <w:color w:val="000000" w:themeColor="text1"/>
          <w:sz w:val="24"/>
        </w:rPr>
      </w:pPr>
    </w:p>
    <w:p w14:paraId="50CE8954" w14:textId="77777777" w:rsidR="001F49D0" w:rsidRPr="007852DA" w:rsidRDefault="001F49D0"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AIM</w:t>
      </w:r>
    </w:p>
    <w:p w14:paraId="1E772938" w14:textId="67E89898"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aps/>
          <w:color w:val="000000" w:themeColor="text1"/>
          <w:sz w:val="24"/>
        </w:rPr>
        <w:t>t</w:t>
      </w:r>
      <w:r w:rsidRPr="007852DA">
        <w:rPr>
          <w:rFonts w:ascii="Book Antiqua" w:eastAsia="宋体" w:hAnsi="Book Antiqua" w:cs="Times New Roman"/>
          <w:color w:val="000000" w:themeColor="text1"/>
          <w:sz w:val="24"/>
        </w:rPr>
        <w:t xml:space="preserve">o </w:t>
      </w:r>
      <w:r w:rsidR="00B01A31" w:rsidRPr="007852DA">
        <w:rPr>
          <w:rFonts w:ascii="Book Antiqua" w:eastAsia="宋体" w:hAnsi="Book Antiqua" w:cs="Times New Roman"/>
          <w:color w:val="000000" w:themeColor="text1"/>
          <w:sz w:val="24"/>
        </w:rPr>
        <w:t>determine</w:t>
      </w:r>
      <w:r w:rsidRPr="007852DA">
        <w:rPr>
          <w:rFonts w:ascii="Book Antiqua" w:eastAsia="宋体" w:hAnsi="Book Antiqua" w:cs="Times New Roman"/>
          <w:color w:val="000000" w:themeColor="text1"/>
          <w:sz w:val="24"/>
        </w:rPr>
        <w:t xml:space="preserve"> serum GDF15 levels, related factors and </w:t>
      </w:r>
      <w:r w:rsidR="00B01A31" w:rsidRPr="007852DA">
        <w:rPr>
          <w:rFonts w:ascii="Book Antiqua" w:eastAsia="宋体" w:hAnsi="Book Antiqua" w:cs="Times New Roman"/>
          <w:color w:val="000000" w:themeColor="text1"/>
          <w:sz w:val="24"/>
        </w:rPr>
        <w:t xml:space="preserve">their </w:t>
      </w:r>
      <w:r w:rsidRPr="007852DA">
        <w:rPr>
          <w:rFonts w:ascii="Book Antiqua" w:eastAsia="宋体" w:hAnsi="Book Antiqua" w:cs="Times New Roman"/>
          <w:color w:val="000000" w:themeColor="text1"/>
          <w:sz w:val="24"/>
        </w:rPr>
        <w:t xml:space="preserve">potential diagnostic value in MSA </w:t>
      </w:r>
      <w:proofErr w:type="gramStart"/>
      <w:r w:rsidRPr="007852DA">
        <w:rPr>
          <w:rFonts w:ascii="Book Antiqua" w:eastAsia="宋体" w:hAnsi="Book Antiqua" w:cs="Times New Roman"/>
          <w:color w:val="000000" w:themeColor="text1"/>
          <w:sz w:val="24"/>
        </w:rPr>
        <w:t>patients,</w:t>
      </w:r>
      <w:proofErr w:type="gramEnd"/>
      <w:r w:rsidRPr="007852DA">
        <w:rPr>
          <w:rFonts w:ascii="Book Antiqua" w:eastAsia="宋体" w:hAnsi="Book Antiqua" w:cs="Times New Roman"/>
          <w:color w:val="000000" w:themeColor="text1"/>
          <w:sz w:val="24"/>
        </w:rPr>
        <w:t xml:space="preserve"> compared with Parkinson’s disease (PD) patients and healthy controls.</w:t>
      </w:r>
    </w:p>
    <w:p w14:paraId="5C750AAE" w14:textId="77777777" w:rsidR="00691360" w:rsidRPr="007852DA" w:rsidRDefault="00691360" w:rsidP="001F49D0">
      <w:pPr>
        <w:autoSpaceDE w:val="0"/>
        <w:autoSpaceDN w:val="0"/>
        <w:adjustRightInd w:val="0"/>
        <w:spacing w:line="360" w:lineRule="auto"/>
        <w:rPr>
          <w:rFonts w:ascii="Book Antiqua" w:eastAsia="宋体" w:hAnsi="Book Antiqua" w:cs="Times New Roman"/>
          <w:color w:val="000000" w:themeColor="text1"/>
          <w:sz w:val="24"/>
        </w:rPr>
      </w:pPr>
    </w:p>
    <w:p w14:paraId="11279E0A" w14:textId="77777777" w:rsidR="001F49D0" w:rsidRPr="007852DA" w:rsidRDefault="001F49D0" w:rsidP="001F49D0">
      <w:pPr>
        <w:adjustRightInd w:val="0"/>
        <w:spacing w:line="360" w:lineRule="auto"/>
        <w:rPr>
          <w:rFonts w:ascii="Book Antiqua" w:hAnsi="Book Antiqua"/>
          <w:color w:val="000000" w:themeColor="text1"/>
          <w:sz w:val="24"/>
          <w:lang w:val="en"/>
        </w:rPr>
      </w:pPr>
      <w:r w:rsidRPr="007852DA">
        <w:rPr>
          <w:rFonts w:ascii="Book Antiqua" w:hAnsi="Book Antiqua"/>
          <w:color w:val="000000" w:themeColor="text1"/>
          <w:sz w:val="24"/>
        </w:rPr>
        <w:t>METHODS</w:t>
      </w:r>
      <w:r w:rsidRPr="007852DA">
        <w:rPr>
          <w:rFonts w:ascii="Book Antiqua" w:hAnsi="Book Antiqua"/>
          <w:color w:val="000000" w:themeColor="text1"/>
          <w:sz w:val="24"/>
          <w:lang w:val="en"/>
        </w:rPr>
        <w:t xml:space="preserve"> </w:t>
      </w:r>
    </w:p>
    <w:p w14:paraId="37E69D88" w14:textId="7A08203A"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A case-control study was conducted, including 49 MSA patients, 50 PD patients and 50 healthy controls. Serum GDF15 levels were measured by human enzyme-linked immunosorbent </w:t>
      </w:r>
      <w:proofErr w:type="gramStart"/>
      <w:r w:rsidRPr="007852DA">
        <w:rPr>
          <w:rFonts w:ascii="Book Antiqua" w:eastAsia="宋体" w:hAnsi="Book Antiqua" w:cs="Times New Roman"/>
          <w:color w:val="000000" w:themeColor="text1"/>
          <w:sz w:val="24"/>
        </w:rPr>
        <w:t>assay,</w:t>
      </w:r>
      <w:proofErr w:type="gramEnd"/>
      <w:r w:rsidRPr="007852DA">
        <w:rPr>
          <w:rFonts w:ascii="Book Antiqua" w:eastAsia="宋体" w:hAnsi="Book Antiqua" w:cs="Times New Roman"/>
          <w:color w:val="000000" w:themeColor="text1"/>
          <w:sz w:val="24"/>
        </w:rPr>
        <w:t xml:space="preserve"> and the differences </w:t>
      </w:r>
      <w:r w:rsidR="00B01A31" w:rsidRPr="007852DA">
        <w:rPr>
          <w:rFonts w:ascii="Book Antiqua" w:eastAsia="宋体" w:hAnsi="Book Antiqua" w:cs="Times New Roman"/>
          <w:color w:val="000000" w:themeColor="text1"/>
          <w:sz w:val="24"/>
        </w:rPr>
        <w:t>between the</w:t>
      </w:r>
      <w:r w:rsidRPr="007852DA">
        <w:rPr>
          <w:rFonts w:ascii="Book Antiqua" w:eastAsia="宋体" w:hAnsi="Book Antiqua" w:cs="Times New Roman"/>
          <w:color w:val="000000" w:themeColor="text1"/>
          <w:sz w:val="24"/>
        </w:rPr>
        <w:t xml:space="preserve"> MSA, PD and control groups were analyzed. Further </w:t>
      </w:r>
      <w:r w:rsidR="00B01A31" w:rsidRPr="007852DA">
        <w:rPr>
          <w:rFonts w:ascii="Book Antiqua" w:eastAsia="宋体" w:hAnsi="Book Antiqua" w:cs="Times New Roman"/>
          <w:color w:val="000000" w:themeColor="text1"/>
          <w:sz w:val="24"/>
        </w:rPr>
        <w:t>investigations were</w:t>
      </w:r>
      <w:r w:rsidRPr="007852DA">
        <w:rPr>
          <w:rFonts w:ascii="Book Antiqua" w:eastAsia="宋体" w:hAnsi="Book Antiqua" w:cs="Times New Roman"/>
          <w:color w:val="000000" w:themeColor="text1"/>
          <w:sz w:val="24"/>
        </w:rPr>
        <w:t xml:space="preserve"> performed in different MSA subgroups according to age of onset, sex, clinical subtypes, diagnostic criteria, and disease duration. </w:t>
      </w:r>
      <w:bookmarkStart w:id="10" w:name="OLE_LINK276"/>
      <w:bookmarkStart w:id="11" w:name="OLE_LINK275"/>
      <w:r w:rsidRPr="007852DA">
        <w:rPr>
          <w:rFonts w:ascii="Book Antiqua" w:eastAsia="宋体" w:hAnsi="Book Antiqua" w:cs="Times New Roman"/>
          <w:color w:val="000000" w:themeColor="text1"/>
          <w:sz w:val="24"/>
        </w:rPr>
        <w:t>Receiver-operating characteristic</w:t>
      </w:r>
      <w:bookmarkEnd w:id="10"/>
      <w:bookmarkEnd w:id="11"/>
      <w:r w:rsidRPr="007852DA">
        <w:rPr>
          <w:rFonts w:ascii="Book Antiqua" w:eastAsia="宋体" w:hAnsi="Book Antiqua" w:cs="Times New Roman"/>
          <w:color w:val="000000" w:themeColor="text1"/>
          <w:sz w:val="24"/>
        </w:rPr>
        <w:t xml:space="preserve"> curve analysis was used to evaluate the diagnostic value of GDF15, especially for the differential diagnosis between MSA and PD.</w:t>
      </w:r>
    </w:p>
    <w:p w14:paraId="25363137" w14:textId="77777777" w:rsidR="00691360" w:rsidRPr="007852DA" w:rsidRDefault="00691360" w:rsidP="001F49D0">
      <w:pPr>
        <w:autoSpaceDE w:val="0"/>
        <w:autoSpaceDN w:val="0"/>
        <w:adjustRightInd w:val="0"/>
        <w:spacing w:line="360" w:lineRule="auto"/>
        <w:rPr>
          <w:rFonts w:ascii="Book Antiqua" w:eastAsia="宋体" w:hAnsi="Book Antiqua" w:cs="Times New Roman"/>
          <w:color w:val="000000" w:themeColor="text1"/>
          <w:sz w:val="24"/>
        </w:rPr>
      </w:pPr>
    </w:p>
    <w:p w14:paraId="2B0AD769" w14:textId="77777777" w:rsidR="001F49D0" w:rsidRPr="007852DA" w:rsidRDefault="001F49D0" w:rsidP="001F49D0">
      <w:pPr>
        <w:adjustRightInd w:val="0"/>
        <w:spacing w:line="360" w:lineRule="auto"/>
        <w:rPr>
          <w:rFonts w:ascii="Book Antiqua" w:hAnsi="Book Antiqua"/>
          <w:color w:val="000000" w:themeColor="text1"/>
          <w:sz w:val="24"/>
          <w:lang w:val="en"/>
        </w:rPr>
      </w:pPr>
      <w:r w:rsidRPr="007852DA">
        <w:rPr>
          <w:rFonts w:ascii="Book Antiqua" w:hAnsi="Book Antiqua"/>
          <w:color w:val="000000" w:themeColor="text1"/>
          <w:sz w:val="24"/>
        </w:rPr>
        <w:t>RESULTS</w:t>
      </w:r>
    </w:p>
    <w:p w14:paraId="59F6951C" w14:textId="24C93E9E"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Serum GDF15 levels were significantly higher in MSA patients than in PD patients and healthy controls (</w:t>
      </w:r>
      <w:r w:rsidR="00691360" w:rsidRPr="007852DA">
        <w:rPr>
          <w:rFonts w:ascii="Book Antiqua" w:eastAsia="宋体" w:hAnsi="Book Antiqua" w:cs="Times New Roman"/>
          <w:i/>
          <w:iCs/>
          <w:color w:val="000000" w:themeColor="text1"/>
          <w:sz w:val="24"/>
        </w:rPr>
        <w:t>P</w:t>
      </w:r>
      <w:r w:rsidR="00691360"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691360"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0.000). Males and those with a disease duration of more than three years showed higher serum GDF15 levels (</w:t>
      </w:r>
      <w:r w:rsidR="00691360" w:rsidRPr="007852DA">
        <w:rPr>
          <w:rFonts w:ascii="Book Antiqua" w:eastAsia="宋体" w:hAnsi="Book Antiqua" w:cs="Times New Roman"/>
          <w:i/>
          <w:iCs/>
          <w:color w:val="000000" w:themeColor="text1"/>
          <w:sz w:val="24"/>
        </w:rPr>
        <w:t>P</w:t>
      </w:r>
      <w:r w:rsidR="00691360"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691360"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0.043 and 0.000; respectively). Serum GDF15 levels m</w:t>
      </w:r>
      <w:r w:rsidR="00B01A31" w:rsidRPr="007852DA">
        <w:rPr>
          <w:rFonts w:ascii="Book Antiqua" w:eastAsia="宋体" w:hAnsi="Book Antiqua" w:cs="Times New Roman"/>
          <w:color w:val="000000" w:themeColor="text1"/>
          <w:sz w:val="24"/>
        </w:rPr>
        <w:t>ay</w:t>
      </w:r>
      <w:r w:rsidRPr="007852DA">
        <w:rPr>
          <w:rFonts w:ascii="Book Antiqua" w:eastAsia="宋体" w:hAnsi="Book Antiqua" w:cs="Times New Roman"/>
          <w:color w:val="000000" w:themeColor="text1"/>
          <w:sz w:val="24"/>
        </w:rPr>
        <w:t xml:space="preserve"> be a potential diagnostic biomarker for MSA patients compared with healthy controls and </w:t>
      </w:r>
      <w:r w:rsidRPr="007852DA">
        <w:rPr>
          <w:rFonts w:ascii="Book Antiqua" w:eastAsia="宋体" w:hAnsi="Book Antiqua" w:cs="Times New Roman"/>
          <w:color w:val="000000" w:themeColor="text1"/>
          <w:sz w:val="24"/>
        </w:rPr>
        <w:lastRenderedPageBreak/>
        <w:t xml:space="preserve">PD patients (cutoff: 470.42 </w:t>
      </w:r>
      <w:proofErr w:type="spellStart"/>
      <w:r w:rsidRPr="007852DA">
        <w:rPr>
          <w:rFonts w:ascii="Book Antiqua" w:eastAsia="宋体" w:hAnsi="Book Antiqua" w:cs="Times New Roman"/>
          <w:color w:val="000000" w:themeColor="text1"/>
          <w:sz w:val="24"/>
        </w:rPr>
        <w:t>pg</w:t>
      </w:r>
      <w:proofErr w:type="spellEnd"/>
      <w:r w:rsidRPr="007852DA">
        <w:rPr>
          <w:rFonts w:ascii="Book Antiqua" w:eastAsia="宋体" w:hAnsi="Book Antiqua" w:cs="Times New Roman"/>
          <w:color w:val="000000" w:themeColor="text1"/>
          <w:sz w:val="24"/>
        </w:rPr>
        <w:t>/m</w:t>
      </w:r>
      <w:r w:rsidR="00691360" w:rsidRPr="007852DA">
        <w:rPr>
          <w:rFonts w:ascii="Book Antiqua" w:eastAsia="宋体" w:hAnsi="Book Antiqua" w:cs="Times New Roman"/>
          <w:color w:val="000000" w:themeColor="text1"/>
          <w:sz w:val="24"/>
        </w:rPr>
        <w:t>L</w:t>
      </w:r>
      <w:r w:rsidRPr="007852DA">
        <w:rPr>
          <w:rFonts w:ascii="Book Antiqua" w:eastAsia="宋体" w:hAnsi="Book Antiqua" w:cs="Times New Roman"/>
          <w:color w:val="000000" w:themeColor="text1"/>
          <w:sz w:val="24"/>
        </w:rPr>
        <w:t xml:space="preserve">, sensitivity: 85.7%, specificity: 88.0%; cutoff: 1075.91 </w:t>
      </w:r>
      <w:proofErr w:type="spellStart"/>
      <w:r w:rsidRPr="007852DA">
        <w:rPr>
          <w:rFonts w:ascii="Book Antiqua" w:eastAsia="宋体" w:hAnsi="Book Antiqua" w:cs="Times New Roman"/>
          <w:color w:val="000000" w:themeColor="text1"/>
          <w:sz w:val="24"/>
        </w:rPr>
        <w:t>pg</w:t>
      </w:r>
      <w:proofErr w:type="spellEnd"/>
      <w:r w:rsidRPr="007852DA">
        <w:rPr>
          <w:rFonts w:ascii="Book Antiqua" w:eastAsia="宋体" w:hAnsi="Book Antiqua" w:cs="Times New Roman"/>
          <w:color w:val="000000" w:themeColor="text1"/>
          <w:sz w:val="24"/>
        </w:rPr>
        <w:t>/m</w:t>
      </w:r>
      <w:r w:rsidR="00691360" w:rsidRPr="007852DA">
        <w:rPr>
          <w:rFonts w:ascii="Book Antiqua" w:eastAsia="宋体" w:hAnsi="Book Antiqua" w:cs="Times New Roman"/>
          <w:color w:val="000000" w:themeColor="text1"/>
          <w:sz w:val="24"/>
        </w:rPr>
        <w:t>L</w:t>
      </w:r>
      <w:r w:rsidRPr="007852DA">
        <w:rPr>
          <w:rFonts w:ascii="Book Antiqua" w:eastAsia="宋体" w:hAnsi="Book Antiqua" w:cs="Times New Roman"/>
          <w:color w:val="000000" w:themeColor="text1"/>
          <w:sz w:val="24"/>
        </w:rPr>
        <w:t>, sensitivity: 51.0%, specificity: 96.0%; respectively).</w:t>
      </w:r>
    </w:p>
    <w:p w14:paraId="63C33553" w14:textId="77777777" w:rsidR="00691360" w:rsidRPr="007852DA" w:rsidRDefault="00691360" w:rsidP="001F49D0">
      <w:pPr>
        <w:autoSpaceDE w:val="0"/>
        <w:autoSpaceDN w:val="0"/>
        <w:adjustRightInd w:val="0"/>
        <w:spacing w:line="360" w:lineRule="auto"/>
        <w:rPr>
          <w:rFonts w:ascii="Book Antiqua" w:eastAsia="宋体" w:hAnsi="Book Antiqua" w:cs="Times New Roman"/>
          <w:color w:val="000000" w:themeColor="text1"/>
          <w:sz w:val="24"/>
        </w:rPr>
      </w:pPr>
    </w:p>
    <w:p w14:paraId="52E1AF68" w14:textId="77777777" w:rsidR="001F49D0" w:rsidRPr="007852DA" w:rsidRDefault="001F49D0" w:rsidP="001F49D0">
      <w:pPr>
        <w:adjustRightInd w:val="0"/>
        <w:spacing w:line="360" w:lineRule="auto"/>
        <w:rPr>
          <w:rFonts w:ascii="Book Antiqua" w:hAnsi="Book Antiqua"/>
          <w:color w:val="000000" w:themeColor="text1"/>
          <w:sz w:val="24"/>
          <w:lang w:val="en"/>
        </w:rPr>
      </w:pPr>
      <w:bookmarkStart w:id="12" w:name="OLE_LINK77"/>
      <w:bookmarkStart w:id="13" w:name="OLE_LINK78"/>
      <w:r w:rsidRPr="007852DA">
        <w:rPr>
          <w:rFonts w:ascii="Book Antiqua" w:hAnsi="Book Antiqua"/>
          <w:color w:val="000000" w:themeColor="text1"/>
          <w:sz w:val="24"/>
        </w:rPr>
        <w:t>CONCLUSION</w:t>
      </w:r>
      <w:r w:rsidRPr="007852DA">
        <w:rPr>
          <w:rFonts w:ascii="Book Antiqua" w:hAnsi="Book Antiqua"/>
          <w:color w:val="000000" w:themeColor="text1"/>
          <w:sz w:val="24"/>
          <w:lang w:val="en"/>
        </w:rPr>
        <w:t xml:space="preserve"> </w:t>
      </w:r>
    </w:p>
    <w:p w14:paraId="37130518" w14:textId="5773FC4D"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Serum GDF15 levels are significantly higher in MSA patients and provide suggestions </w:t>
      </w:r>
      <w:r w:rsidR="00B01A31" w:rsidRPr="007852DA">
        <w:rPr>
          <w:rFonts w:ascii="Book Antiqua" w:eastAsia="宋体" w:hAnsi="Book Antiqua" w:cs="Times New Roman"/>
          <w:color w:val="000000" w:themeColor="text1"/>
          <w:sz w:val="24"/>
        </w:rPr>
        <w:t>on</w:t>
      </w:r>
      <w:r w:rsidRPr="007852DA">
        <w:rPr>
          <w:rFonts w:ascii="Book Antiqua" w:eastAsia="宋体" w:hAnsi="Book Antiqua" w:cs="Times New Roman"/>
          <w:color w:val="000000" w:themeColor="text1"/>
          <w:sz w:val="24"/>
        </w:rPr>
        <w:t xml:space="preserve"> the etiology of MSA.</w:t>
      </w:r>
      <w:bookmarkEnd w:id="12"/>
      <w:bookmarkEnd w:id="13"/>
    </w:p>
    <w:p w14:paraId="6FB73B2A" w14:textId="77777777" w:rsidR="000D474F" w:rsidRPr="007852DA" w:rsidRDefault="000D474F" w:rsidP="001F49D0">
      <w:pPr>
        <w:autoSpaceDE w:val="0"/>
        <w:autoSpaceDN w:val="0"/>
        <w:adjustRightInd w:val="0"/>
        <w:spacing w:line="360" w:lineRule="auto"/>
        <w:rPr>
          <w:rFonts w:ascii="Book Antiqua" w:eastAsia="宋体" w:hAnsi="Book Antiqua" w:cs="Times New Roman"/>
          <w:b/>
          <w:color w:val="000000" w:themeColor="text1"/>
          <w:sz w:val="24"/>
        </w:rPr>
      </w:pPr>
    </w:p>
    <w:p w14:paraId="6365A51B" w14:textId="17A30C10" w:rsidR="000D474F" w:rsidRPr="007852DA" w:rsidRDefault="001F49D0" w:rsidP="001F49D0">
      <w:pPr>
        <w:autoSpaceDE w:val="0"/>
        <w:autoSpaceDN w:val="0"/>
        <w:adjustRightInd w:val="0"/>
        <w:spacing w:line="360" w:lineRule="auto"/>
        <w:rPr>
          <w:rFonts w:ascii="Book Antiqua" w:eastAsia="宋体" w:hAnsi="Book Antiqua" w:cs="Times New Roman"/>
          <w:b/>
          <w:color w:val="000000" w:themeColor="text1"/>
          <w:sz w:val="24"/>
        </w:rPr>
      </w:pPr>
      <w:r w:rsidRPr="007852DA">
        <w:rPr>
          <w:rFonts w:ascii="Book Antiqua" w:hAnsi="Book Antiqua"/>
          <w:b/>
          <w:color w:val="000000" w:themeColor="text1"/>
          <w:sz w:val="24"/>
        </w:rPr>
        <w:t>Key words:</w:t>
      </w:r>
      <w:r w:rsidRPr="007852DA">
        <w:rPr>
          <w:rFonts w:ascii="Book Antiqua" w:hAnsi="Book Antiqua"/>
          <w:color w:val="000000" w:themeColor="text1"/>
          <w:sz w:val="24"/>
          <w:lang w:val="en"/>
        </w:rPr>
        <w:t xml:space="preserve"> </w:t>
      </w:r>
      <w:r w:rsidR="0096702B" w:rsidRPr="007852DA">
        <w:rPr>
          <w:rFonts w:ascii="Book Antiqua" w:eastAsia="宋体" w:hAnsi="Book Antiqua" w:cs="Times New Roman"/>
          <w:color w:val="000000" w:themeColor="text1"/>
          <w:sz w:val="24"/>
        </w:rPr>
        <w:t xml:space="preserve">Multiple system atrophy; Parkinson’s disease; Serum growth differentiation factor 15; Biomarker; Receiver-operating characteristic curve; </w:t>
      </w:r>
      <w:r w:rsidR="00691360" w:rsidRPr="007852DA">
        <w:rPr>
          <w:rFonts w:ascii="Book Antiqua" w:eastAsia="宋体" w:hAnsi="Book Antiqua" w:cs="Times New Roman"/>
          <w:color w:val="000000" w:themeColor="text1"/>
          <w:sz w:val="24"/>
        </w:rPr>
        <w:t>Neurodegenerati</w:t>
      </w:r>
      <w:r w:rsidR="00B01A31" w:rsidRPr="007852DA">
        <w:rPr>
          <w:rFonts w:ascii="Book Antiqua" w:eastAsia="宋体" w:hAnsi="Book Antiqua" w:cs="Times New Roman"/>
          <w:color w:val="000000" w:themeColor="text1"/>
          <w:sz w:val="24"/>
        </w:rPr>
        <w:t>ve</w:t>
      </w:r>
      <w:r w:rsidR="00691360" w:rsidRPr="007852DA">
        <w:rPr>
          <w:rFonts w:ascii="Book Antiqua" w:eastAsia="宋体" w:hAnsi="Book Antiqua" w:cs="Times New Roman"/>
          <w:color w:val="000000" w:themeColor="text1"/>
          <w:sz w:val="24"/>
        </w:rPr>
        <w:t xml:space="preserve"> </w:t>
      </w:r>
      <w:r w:rsidR="0096702B" w:rsidRPr="007852DA">
        <w:rPr>
          <w:rFonts w:ascii="Book Antiqua" w:eastAsia="宋体" w:hAnsi="Book Antiqua" w:cs="Times New Roman"/>
          <w:color w:val="000000" w:themeColor="text1"/>
          <w:sz w:val="24"/>
        </w:rPr>
        <w:t>disease</w:t>
      </w:r>
    </w:p>
    <w:p w14:paraId="4D7BD78C" w14:textId="77777777" w:rsidR="000D474F" w:rsidRPr="007852DA" w:rsidRDefault="000D474F" w:rsidP="001F49D0">
      <w:pPr>
        <w:autoSpaceDE w:val="0"/>
        <w:autoSpaceDN w:val="0"/>
        <w:adjustRightInd w:val="0"/>
        <w:spacing w:line="360" w:lineRule="auto"/>
        <w:rPr>
          <w:rFonts w:ascii="Book Antiqua" w:eastAsia="宋体" w:hAnsi="Book Antiqua" w:cs="Times New Roman"/>
          <w:b/>
          <w:color w:val="000000" w:themeColor="text1"/>
          <w:sz w:val="24"/>
        </w:rPr>
      </w:pPr>
    </w:p>
    <w:p w14:paraId="2308EE6D" w14:textId="77777777" w:rsidR="000D474F" w:rsidRPr="007852DA" w:rsidRDefault="0096702B" w:rsidP="001F49D0">
      <w:pPr>
        <w:adjustRightInd w:val="0"/>
        <w:spacing w:line="360" w:lineRule="auto"/>
        <w:rPr>
          <w:rFonts w:ascii="Book Antiqua" w:hAnsi="Book Antiqua"/>
          <w:color w:val="000000" w:themeColor="text1"/>
          <w:sz w:val="24"/>
        </w:rPr>
      </w:pPr>
      <w:r w:rsidRPr="007852DA">
        <w:rPr>
          <w:rFonts w:ascii="Book Antiqua" w:hAnsi="Book Antiqua"/>
          <w:color w:val="000000" w:themeColor="text1"/>
          <w:sz w:val="24"/>
        </w:rPr>
        <w:t>Yue T, Lu H, Yao XM, Du X, Wang LL, Guo DD, Liu YM. Elevated serum growth differentiation factor 15 in multiple system atrophy patients: A case control study.</w:t>
      </w:r>
      <w:r w:rsidRPr="007852DA">
        <w:rPr>
          <w:rFonts w:ascii="Book Antiqua" w:hAnsi="Book Antiqua"/>
          <w:i/>
          <w:color w:val="000000" w:themeColor="text1"/>
          <w:sz w:val="24"/>
        </w:rPr>
        <w:t xml:space="preserve"> </w:t>
      </w:r>
      <w:r w:rsidRPr="007852DA">
        <w:rPr>
          <w:rFonts w:ascii="Book Antiqua" w:hAnsi="Book Antiqua" w:cs="Arial"/>
          <w:i/>
          <w:color w:val="000000" w:themeColor="text1"/>
          <w:sz w:val="24"/>
        </w:rPr>
        <w:t>World J Clinic Cases</w:t>
      </w:r>
      <w:r w:rsidRPr="007852DA">
        <w:rPr>
          <w:rFonts w:ascii="Book Antiqua" w:hAnsi="Book Antiqua" w:cs="Arial"/>
          <w:color w:val="000000" w:themeColor="text1"/>
          <w:sz w:val="24"/>
        </w:rPr>
        <w:t xml:space="preserve"> 2020; In press</w:t>
      </w:r>
    </w:p>
    <w:p w14:paraId="28AF99E6" w14:textId="77777777" w:rsidR="000D474F" w:rsidRPr="007852DA" w:rsidRDefault="000D474F" w:rsidP="001F49D0">
      <w:pPr>
        <w:adjustRightInd w:val="0"/>
        <w:spacing w:line="360" w:lineRule="auto"/>
        <w:rPr>
          <w:rFonts w:ascii="Book Antiqua" w:hAnsi="Book Antiqua"/>
          <w:color w:val="000000" w:themeColor="text1"/>
          <w:sz w:val="24"/>
        </w:rPr>
      </w:pPr>
    </w:p>
    <w:p w14:paraId="73AFDF46" w14:textId="76346DC9" w:rsidR="000D474F" w:rsidRPr="007852DA" w:rsidRDefault="001F49D0"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Times New Roman" w:hAnsi="Book Antiqua" w:cs="Arial Unicode MS"/>
          <w:b/>
          <w:color w:val="000000" w:themeColor="text1"/>
          <w:sz w:val="24"/>
        </w:rPr>
        <w:t>Core tip:</w:t>
      </w:r>
      <w:r w:rsidRPr="007852DA">
        <w:rPr>
          <w:rFonts w:ascii="Book Antiqua" w:hAnsi="Book Antiqua" w:cs="Arial Unicode MS"/>
          <w:b/>
          <w:color w:val="000000" w:themeColor="text1"/>
          <w:sz w:val="24"/>
        </w:rPr>
        <w:t xml:space="preserve"> </w:t>
      </w:r>
      <w:r w:rsidR="0096702B" w:rsidRPr="007852DA">
        <w:rPr>
          <w:rFonts w:ascii="Book Antiqua" w:eastAsia="宋体" w:hAnsi="Book Antiqua" w:cs="Times New Roman"/>
          <w:color w:val="000000" w:themeColor="text1"/>
          <w:sz w:val="24"/>
        </w:rPr>
        <w:t xml:space="preserve">In this case-control study, we </w:t>
      </w:r>
      <w:r w:rsidR="00B01A31" w:rsidRPr="007852DA">
        <w:rPr>
          <w:rFonts w:ascii="Book Antiqua" w:eastAsia="宋体" w:hAnsi="Book Antiqua" w:cs="Times New Roman"/>
          <w:color w:val="000000" w:themeColor="text1"/>
          <w:sz w:val="24"/>
        </w:rPr>
        <w:t>determined</w:t>
      </w:r>
      <w:r w:rsidR="0096702B" w:rsidRPr="007852DA">
        <w:rPr>
          <w:rFonts w:ascii="Book Antiqua" w:eastAsia="宋体" w:hAnsi="Book Antiqua" w:cs="Times New Roman"/>
          <w:color w:val="000000" w:themeColor="text1"/>
          <w:sz w:val="24"/>
        </w:rPr>
        <w:t xml:space="preserve"> serum </w:t>
      </w:r>
      <w:r w:rsidR="00691360" w:rsidRPr="007852DA">
        <w:rPr>
          <w:rFonts w:ascii="Book Antiqua" w:eastAsia="宋体" w:hAnsi="Book Antiqua" w:cs="Times New Roman"/>
          <w:color w:val="000000" w:themeColor="text1"/>
          <w:sz w:val="24"/>
        </w:rPr>
        <w:t xml:space="preserve">growth </w:t>
      </w:r>
      <w:r w:rsidR="0096702B" w:rsidRPr="007852DA">
        <w:rPr>
          <w:rFonts w:ascii="Book Antiqua" w:eastAsia="宋体" w:hAnsi="Book Antiqua" w:cs="Times New Roman"/>
          <w:color w:val="000000" w:themeColor="text1"/>
          <w:sz w:val="24"/>
        </w:rPr>
        <w:t xml:space="preserve">differentiation factor 15 (GDF15) levels in </w:t>
      </w:r>
      <w:r w:rsidR="00B01A31" w:rsidRPr="007852DA">
        <w:rPr>
          <w:rFonts w:ascii="Book Antiqua" w:eastAsia="宋体" w:hAnsi="Book Antiqua" w:cs="Times New Roman"/>
          <w:color w:val="000000" w:themeColor="text1"/>
          <w:sz w:val="24"/>
        </w:rPr>
        <w:t>m</w:t>
      </w:r>
      <w:r w:rsidR="0096702B" w:rsidRPr="007852DA">
        <w:rPr>
          <w:rFonts w:ascii="Book Antiqua" w:eastAsia="宋体" w:hAnsi="Book Antiqua" w:cs="Times New Roman"/>
          <w:color w:val="000000" w:themeColor="text1"/>
          <w:sz w:val="24"/>
        </w:rPr>
        <w:t>ultiple system atrophy (MSA) patients, Parkinson’s disease (PD) patients and healthy controls. We found that serum GDF15 levels in MSA patients were significantly higher compared with PD patients and healthy controls. Th</w:t>
      </w:r>
      <w:r w:rsidR="00725051" w:rsidRPr="007852DA">
        <w:rPr>
          <w:rFonts w:ascii="Book Antiqua" w:eastAsia="宋体" w:hAnsi="Book Antiqua" w:cs="Times New Roman"/>
          <w:color w:val="000000" w:themeColor="text1"/>
          <w:sz w:val="24"/>
        </w:rPr>
        <w:t>ese findings</w:t>
      </w:r>
      <w:r w:rsidR="0096702B" w:rsidRPr="007852DA">
        <w:rPr>
          <w:rFonts w:ascii="Book Antiqua" w:eastAsia="宋体" w:hAnsi="Book Antiqua" w:cs="Times New Roman"/>
          <w:color w:val="000000" w:themeColor="text1"/>
          <w:sz w:val="24"/>
        </w:rPr>
        <w:t xml:space="preserve"> </w:t>
      </w:r>
      <w:r w:rsidR="00691360" w:rsidRPr="007852DA">
        <w:rPr>
          <w:rFonts w:ascii="Book Antiqua" w:eastAsia="宋体" w:hAnsi="Book Antiqua" w:cs="Times New Roman"/>
          <w:color w:val="000000" w:themeColor="text1"/>
          <w:sz w:val="24"/>
        </w:rPr>
        <w:t>suggest</w:t>
      </w:r>
      <w:r w:rsidR="00725051" w:rsidRPr="007852DA">
        <w:rPr>
          <w:rFonts w:ascii="Book Antiqua" w:eastAsia="宋体" w:hAnsi="Book Antiqua" w:cs="Times New Roman"/>
          <w:color w:val="000000" w:themeColor="text1"/>
          <w:sz w:val="24"/>
        </w:rPr>
        <w:t xml:space="preserve"> </w:t>
      </w:r>
      <w:r w:rsidR="0096702B" w:rsidRPr="007852DA">
        <w:rPr>
          <w:rFonts w:ascii="Book Antiqua" w:eastAsia="宋体" w:hAnsi="Book Antiqua" w:cs="Times New Roman"/>
          <w:color w:val="000000" w:themeColor="text1"/>
          <w:sz w:val="24"/>
        </w:rPr>
        <w:t>the potential value of serum GDF15 levels as a diagnostic biomarker of MSA, and serum GDF15 contribute</w:t>
      </w:r>
      <w:r w:rsidR="00725051" w:rsidRPr="007852DA">
        <w:rPr>
          <w:rFonts w:ascii="Book Antiqua" w:eastAsia="宋体" w:hAnsi="Book Antiqua" w:cs="Times New Roman"/>
          <w:color w:val="000000" w:themeColor="text1"/>
          <w:sz w:val="24"/>
        </w:rPr>
        <w:t>s</w:t>
      </w:r>
      <w:r w:rsidR="0096702B" w:rsidRPr="007852DA">
        <w:rPr>
          <w:rFonts w:ascii="Book Antiqua" w:eastAsia="宋体" w:hAnsi="Book Antiqua" w:cs="Times New Roman"/>
          <w:color w:val="000000" w:themeColor="text1"/>
          <w:sz w:val="24"/>
        </w:rPr>
        <w:t xml:space="preserve"> to the differential diagnosis between MSA and PD.</w:t>
      </w:r>
    </w:p>
    <w:p w14:paraId="3D156EA6" w14:textId="77777777" w:rsidR="000D474F" w:rsidRPr="007852DA" w:rsidRDefault="0096702B" w:rsidP="001F49D0">
      <w:pPr>
        <w:autoSpaceDE w:val="0"/>
        <w:autoSpaceDN w:val="0"/>
        <w:adjustRightInd w:val="0"/>
        <w:spacing w:line="360" w:lineRule="auto"/>
        <w:rPr>
          <w:rFonts w:ascii="Book Antiqua" w:eastAsia="宋体" w:hAnsi="Book Antiqua" w:cs="Times New Roman"/>
          <w:b/>
          <w:color w:val="000000" w:themeColor="text1"/>
          <w:sz w:val="24"/>
        </w:rPr>
      </w:pPr>
      <w:r w:rsidRPr="007852DA">
        <w:rPr>
          <w:rFonts w:ascii="Book Antiqua" w:eastAsia="宋体" w:hAnsi="Book Antiqua" w:cs="Times New Roman"/>
          <w:b/>
          <w:color w:val="000000" w:themeColor="text1"/>
          <w:sz w:val="24"/>
        </w:rPr>
        <w:br w:type="page"/>
      </w:r>
    </w:p>
    <w:p w14:paraId="7A42B7A2" w14:textId="77777777" w:rsidR="001F49D0" w:rsidRPr="007852DA" w:rsidRDefault="001F49D0" w:rsidP="001F49D0">
      <w:pPr>
        <w:autoSpaceDE w:val="0"/>
        <w:autoSpaceDN w:val="0"/>
        <w:adjustRightInd w:val="0"/>
        <w:spacing w:line="360" w:lineRule="auto"/>
        <w:rPr>
          <w:rFonts w:ascii="Book Antiqua" w:eastAsia="宋体" w:hAnsi="Book Antiqua" w:cs="Times New Roman"/>
          <w:b/>
          <w:bCs/>
          <w:color w:val="000000" w:themeColor="text1"/>
          <w:sz w:val="24"/>
        </w:rPr>
      </w:pPr>
      <w:bookmarkStart w:id="14" w:name="OLE_LINK55"/>
      <w:bookmarkStart w:id="15" w:name="OLE_LINK54"/>
      <w:bookmarkStart w:id="16" w:name="OLE_LINK50"/>
      <w:bookmarkStart w:id="17" w:name="OLE_LINK56"/>
      <w:bookmarkStart w:id="18" w:name="OLE_LINK51"/>
      <w:bookmarkStart w:id="19" w:name="OLE_LINK97"/>
      <w:bookmarkStart w:id="20" w:name="OLE_LINK98"/>
      <w:bookmarkStart w:id="21" w:name="OLE_LINK101"/>
      <w:bookmarkStart w:id="22" w:name="OLE_LINK100"/>
      <w:r w:rsidRPr="007852DA">
        <w:rPr>
          <w:rFonts w:ascii="Book Antiqua" w:hAnsi="Book Antiqua"/>
          <w:b/>
          <w:bCs/>
          <w:color w:val="000000" w:themeColor="text1"/>
          <w:sz w:val="24"/>
          <w:u w:val="single"/>
        </w:rPr>
        <w:lastRenderedPageBreak/>
        <w:t>INTRODUCTION</w:t>
      </w:r>
    </w:p>
    <w:p w14:paraId="6C8BC02E" w14:textId="77777777"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Multiple system atrophy</w:t>
      </w:r>
      <w:bookmarkEnd w:id="14"/>
      <w:bookmarkEnd w:id="15"/>
      <w:r w:rsidRPr="007852DA">
        <w:rPr>
          <w:rFonts w:ascii="Book Antiqua" w:eastAsia="宋体" w:hAnsi="Book Antiqua" w:cs="Times New Roman"/>
          <w:color w:val="000000" w:themeColor="text1"/>
          <w:sz w:val="24"/>
        </w:rPr>
        <w:t xml:space="preserve"> (MSA) is a rare progressive neurodegenerative disease characterized by parkinsonism, cerebellar impairment, and autonomic </w:t>
      </w:r>
      <w:proofErr w:type="gramStart"/>
      <w:r w:rsidRPr="007852DA">
        <w:rPr>
          <w:rFonts w:ascii="Book Antiqua" w:eastAsia="宋体" w:hAnsi="Book Antiqua" w:cs="Times New Roman"/>
          <w:color w:val="000000" w:themeColor="text1"/>
          <w:sz w:val="24"/>
        </w:rPr>
        <w:t>dysfunction</w:t>
      </w:r>
      <w:bookmarkEnd w:id="16"/>
      <w:bookmarkEnd w:id="17"/>
      <w:bookmarkEnd w:id="18"/>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1]</w:t>
      </w:r>
      <w:r w:rsidRPr="007852DA">
        <w:rPr>
          <w:rFonts w:ascii="Book Antiqua" w:eastAsia="宋体" w:hAnsi="Book Antiqua" w:cs="Times New Roman"/>
          <w:color w:val="000000" w:themeColor="text1"/>
          <w:sz w:val="24"/>
        </w:rPr>
        <w:t xml:space="preserve">. </w:t>
      </w:r>
      <w:bookmarkStart w:id="23" w:name="OLE_LINK59"/>
      <w:bookmarkStart w:id="24" w:name="OLE_LINK57"/>
      <w:bookmarkStart w:id="25" w:name="OLE_LINK52"/>
      <w:bookmarkStart w:id="26" w:name="OLE_LINK58"/>
      <w:bookmarkStart w:id="27" w:name="OLE_LINK53"/>
      <w:r w:rsidRPr="007852DA">
        <w:rPr>
          <w:rFonts w:ascii="Book Antiqua" w:eastAsia="宋体" w:hAnsi="Book Antiqua" w:cs="Times New Roman"/>
          <w:color w:val="000000" w:themeColor="text1"/>
          <w:sz w:val="24"/>
        </w:rPr>
        <w:t xml:space="preserve">The degeneration of </w:t>
      </w:r>
      <w:proofErr w:type="spellStart"/>
      <w:r w:rsidRPr="007852DA">
        <w:rPr>
          <w:rFonts w:ascii="Book Antiqua" w:eastAsia="宋体" w:hAnsi="Book Antiqua" w:cs="Times New Roman"/>
          <w:color w:val="000000" w:themeColor="text1"/>
          <w:sz w:val="24"/>
        </w:rPr>
        <w:t>striatonigral</w:t>
      </w:r>
      <w:proofErr w:type="spellEnd"/>
      <w:r w:rsidRPr="007852DA">
        <w:rPr>
          <w:rFonts w:ascii="Book Antiqua" w:eastAsia="宋体" w:hAnsi="Book Antiqua" w:cs="Times New Roman"/>
          <w:color w:val="000000" w:themeColor="text1"/>
          <w:sz w:val="24"/>
        </w:rPr>
        <w:t xml:space="preserve"> and </w:t>
      </w:r>
      <w:proofErr w:type="spellStart"/>
      <w:r w:rsidRPr="007852DA">
        <w:rPr>
          <w:rFonts w:ascii="Book Antiqua" w:eastAsia="宋体" w:hAnsi="Book Antiqua" w:cs="Times New Roman"/>
          <w:color w:val="000000" w:themeColor="text1"/>
          <w:sz w:val="24"/>
        </w:rPr>
        <w:t>olivopontocerebellar</w:t>
      </w:r>
      <w:proofErr w:type="spellEnd"/>
      <w:r w:rsidRPr="007852DA">
        <w:rPr>
          <w:rFonts w:ascii="Book Antiqua" w:eastAsia="宋体" w:hAnsi="Book Antiqua" w:cs="Times New Roman"/>
          <w:color w:val="000000" w:themeColor="text1"/>
          <w:sz w:val="24"/>
        </w:rPr>
        <w:t xml:space="preserve"> neurons has commonly been observed in MSA patients, accompanied by deposition of </w:t>
      </w:r>
      <w:bookmarkStart w:id="28" w:name="OLE_LINK148"/>
      <w:bookmarkStart w:id="29" w:name="OLE_LINK147"/>
      <w:bookmarkStart w:id="30" w:name="OLE_LINK93"/>
      <w:bookmarkStart w:id="31" w:name="OLE_LINK94"/>
      <w:proofErr w:type="spellStart"/>
      <w:r w:rsidRPr="007852DA">
        <w:rPr>
          <w:rFonts w:ascii="Book Antiqua" w:eastAsia="宋体" w:hAnsi="Book Antiqua" w:cs="Times New Roman"/>
          <w:color w:val="000000" w:themeColor="text1"/>
          <w:sz w:val="24"/>
        </w:rPr>
        <w:t>fibrillized</w:t>
      </w:r>
      <w:bookmarkEnd w:id="28"/>
      <w:bookmarkEnd w:id="29"/>
      <w:proofErr w:type="spellEnd"/>
      <w:r w:rsidRPr="007852DA">
        <w:rPr>
          <w:rFonts w:ascii="Book Antiqua" w:eastAsia="宋体" w:hAnsi="Book Antiqua" w:cs="Times New Roman"/>
          <w:color w:val="000000" w:themeColor="text1"/>
          <w:sz w:val="24"/>
        </w:rPr>
        <w:t xml:space="preserve"> α-</w:t>
      </w:r>
      <w:proofErr w:type="spellStart"/>
      <w:r w:rsidRPr="007852DA">
        <w:rPr>
          <w:rFonts w:ascii="Book Antiqua" w:eastAsia="宋体" w:hAnsi="Book Antiqua" w:cs="Times New Roman"/>
          <w:color w:val="000000" w:themeColor="text1"/>
          <w:sz w:val="24"/>
        </w:rPr>
        <w:t>synuclein</w:t>
      </w:r>
      <w:bookmarkEnd w:id="30"/>
      <w:bookmarkEnd w:id="31"/>
      <w:proofErr w:type="spellEnd"/>
      <w:r w:rsidRPr="007852DA">
        <w:rPr>
          <w:rFonts w:ascii="Book Antiqua" w:eastAsia="宋体" w:hAnsi="Book Antiqua" w:cs="Times New Roman"/>
          <w:color w:val="000000" w:themeColor="text1"/>
          <w:sz w:val="24"/>
        </w:rPr>
        <w:t xml:space="preserve"> </w:t>
      </w:r>
      <w:proofErr w:type="gramStart"/>
      <w:r w:rsidRPr="007852DA">
        <w:rPr>
          <w:rFonts w:ascii="Book Antiqua" w:eastAsia="宋体" w:hAnsi="Book Antiqua" w:cs="Times New Roman"/>
          <w:color w:val="000000" w:themeColor="text1"/>
          <w:sz w:val="24"/>
        </w:rPr>
        <w:t>proteins</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2-4]</w:t>
      </w:r>
      <w:r w:rsidRPr="007852DA">
        <w:rPr>
          <w:rFonts w:ascii="Book Antiqua" w:eastAsia="宋体" w:hAnsi="Book Antiqua" w:cs="Times New Roman"/>
          <w:color w:val="000000" w:themeColor="text1"/>
          <w:sz w:val="24"/>
        </w:rPr>
        <w:t>. The mechanisms underlying these pathological changes are not fully understood. According to the predominance of motor symptoms, patients can be further divided into the parkinsonian type (MSA-P) and the cerebellar type (MSA-C</w:t>
      </w:r>
      <w:proofErr w:type="gramStart"/>
      <w:r w:rsidRPr="007852DA">
        <w:rPr>
          <w:rFonts w:ascii="Book Antiqua" w:eastAsia="宋体" w:hAnsi="Book Antiqua" w:cs="Times New Roman"/>
          <w:color w:val="000000" w:themeColor="text1"/>
          <w:sz w:val="24"/>
        </w:rPr>
        <w:t>)</w:t>
      </w:r>
      <w:bookmarkEnd w:id="23"/>
      <w:bookmarkEnd w:id="24"/>
      <w:bookmarkEnd w:id="25"/>
      <w:bookmarkEnd w:id="26"/>
      <w:bookmarkEnd w:id="27"/>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2]</w:t>
      </w:r>
      <w:r w:rsidRPr="007852DA">
        <w:rPr>
          <w:rFonts w:ascii="Book Antiqua" w:eastAsia="宋体" w:hAnsi="Book Antiqua" w:cs="Times New Roman"/>
          <w:color w:val="000000" w:themeColor="text1"/>
          <w:sz w:val="24"/>
        </w:rPr>
        <w:t>. It is difficult to provide an accurate diagnosis of MSA due to the heterogeneity in clinical manifestations and symptoms that are similar to other neurodegenerative diseases at the early stage, especially the differential diagnosis between MSA-P and Parkinson’s disease (PD</w:t>
      </w:r>
      <w:proofErr w:type="gramStart"/>
      <w:r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5,6]</w:t>
      </w:r>
      <w:r w:rsidRPr="007852DA">
        <w:rPr>
          <w:rFonts w:ascii="Book Antiqua" w:eastAsia="宋体" w:hAnsi="Book Antiqua" w:cs="Times New Roman"/>
          <w:color w:val="000000" w:themeColor="text1"/>
          <w:sz w:val="24"/>
        </w:rPr>
        <w:t xml:space="preserve">. </w:t>
      </w:r>
      <w:bookmarkStart w:id="32" w:name="OLE_LINK79"/>
      <w:bookmarkStart w:id="33" w:name="OLE_LINK80"/>
      <w:r w:rsidRPr="007852DA">
        <w:rPr>
          <w:rFonts w:ascii="Book Antiqua" w:eastAsia="宋体" w:hAnsi="Book Antiqua" w:cs="Times New Roman"/>
          <w:color w:val="000000" w:themeColor="text1"/>
          <w:sz w:val="24"/>
        </w:rPr>
        <w:t xml:space="preserve">Thus, there is an urgent need for biomarkers for early diagnosis, prognostic prediction of disease progression, and monitoring the therapeutic </w:t>
      </w:r>
      <w:proofErr w:type="gramStart"/>
      <w:r w:rsidRPr="007852DA">
        <w:rPr>
          <w:rFonts w:ascii="Book Antiqua" w:eastAsia="宋体" w:hAnsi="Book Antiqua" w:cs="Times New Roman"/>
          <w:color w:val="000000" w:themeColor="text1"/>
          <w:sz w:val="24"/>
        </w:rPr>
        <w:t>response</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7]</w:t>
      </w:r>
      <w:r w:rsidRPr="007852DA">
        <w:rPr>
          <w:rFonts w:ascii="Book Antiqua" w:eastAsia="宋体" w:hAnsi="Book Antiqua" w:cs="Times New Roman"/>
          <w:color w:val="000000" w:themeColor="text1"/>
          <w:sz w:val="24"/>
        </w:rPr>
        <w:t>.</w:t>
      </w:r>
      <w:bookmarkEnd w:id="32"/>
      <w:bookmarkEnd w:id="33"/>
    </w:p>
    <w:p w14:paraId="48588824" w14:textId="3FB3EC57"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Growth differentiation factor 15 (GDF15), a member of the transforming growth factor-β superfamily, is widely expressed in both the central and peripheral nervous </w:t>
      </w:r>
      <w:proofErr w:type="gramStart"/>
      <w:r w:rsidRPr="007852DA">
        <w:rPr>
          <w:rFonts w:ascii="Book Antiqua" w:eastAsia="宋体" w:hAnsi="Book Antiqua" w:cs="Times New Roman"/>
          <w:color w:val="000000" w:themeColor="text1"/>
          <w:sz w:val="24"/>
        </w:rPr>
        <w:t>systems</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8,9]</w:t>
      </w:r>
      <w:r w:rsidRPr="007852DA">
        <w:rPr>
          <w:rFonts w:ascii="Book Antiqua" w:eastAsia="宋体" w:hAnsi="Book Antiqua" w:cs="Times New Roman"/>
          <w:color w:val="000000" w:themeColor="text1"/>
          <w:sz w:val="24"/>
        </w:rPr>
        <w:t xml:space="preserve">. </w:t>
      </w:r>
      <w:bookmarkStart w:id="34" w:name="OLE_LINK104"/>
      <w:bookmarkStart w:id="35" w:name="OLE_LINK105"/>
      <w:bookmarkStart w:id="36" w:name="OLE_LINK107"/>
      <w:bookmarkStart w:id="37" w:name="OLE_LINK106"/>
      <w:r w:rsidRPr="007852DA">
        <w:rPr>
          <w:rFonts w:ascii="Book Antiqua" w:eastAsia="宋体" w:hAnsi="Book Antiqua" w:cs="Times New Roman"/>
          <w:color w:val="000000" w:themeColor="text1"/>
          <w:sz w:val="24"/>
        </w:rPr>
        <w:t>GDF15</w:t>
      </w:r>
      <w:bookmarkEnd w:id="34"/>
      <w:bookmarkEnd w:id="35"/>
      <w:r w:rsidRPr="007852DA">
        <w:rPr>
          <w:rFonts w:ascii="Book Antiqua" w:eastAsia="宋体" w:hAnsi="Book Antiqua" w:cs="Times New Roman"/>
          <w:color w:val="000000" w:themeColor="text1"/>
          <w:sz w:val="24"/>
        </w:rPr>
        <w:t xml:space="preserve"> is involved in a vast array of </w:t>
      </w:r>
      <w:bookmarkStart w:id="38" w:name="OLE_LINK110"/>
      <w:bookmarkStart w:id="39" w:name="OLE_LINK108"/>
      <w:r w:rsidRPr="007852DA">
        <w:rPr>
          <w:rFonts w:ascii="Book Antiqua" w:eastAsia="宋体" w:hAnsi="Book Antiqua" w:cs="Times New Roman"/>
          <w:color w:val="000000" w:themeColor="text1"/>
          <w:sz w:val="24"/>
        </w:rPr>
        <w:t>physiological process</w:t>
      </w:r>
      <w:bookmarkEnd w:id="38"/>
      <w:bookmarkEnd w:id="39"/>
      <w:r w:rsidRPr="007852DA">
        <w:rPr>
          <w:rFonts w:ascii="Book Antiqua" w:eastAsia="宋体" w:hAnsi="Book Antiqua" w:cs="Times New Roman"/>
          <w:color w:val="000000" w:themeColor="text1"/>
          <w:sz w:val="24"/>
        </w:rPr>
        <w:t xml:space="preserve">es, including </w:t>
      </w:r>
      <w:bookmarkStart w:id="40" w:name="OLE_LINK111"/>
      <w:bookmarkStart w:id="41" w:name="OLE_LINK113"/>
      <w:r w:rsidRPr="007852DA">
        <w:rPr>
          <w:rFonts w:ascii="Book Antiqua" w:eastAsia="宋体" w:hAnsi="Book Antiqua" w:cs="Times New Roman"/>
          <w:color w:val="000000" w:themeColor="text1"/>
          <w:sz w:val="24"/>
        </w:rPr>
        <w:t xml:space="preserve">cell </w:t>
      </w:r>
      <w:bookmarkStart w:id="42" w:name="OLE_LINK115"/>
      <w:bookmarkStart w:id="43" w:name="OLE_LINK116"/>
      <w:bookmarkStart w:id="44" w:name="OLE_LINK114"/>
      <w:r w:rsidRPr="007852DA">
        <w:rPr>
          <w:rFonts w:ascii="Book Antiqua" w:eastAsia="宋体" w:hAnsi="Book Antiqua" w:cs="Times New Roman"/>
          <w:color w:val="000000" w:themeColor="text1"/>
          <w:sz w:val="24"/>
        </w:rPr>
        <w:t xml:space="preserve">proliferation, differentiation and </w:t>
      </w:r>
      <w:proofErr w:type="gramStart"/>
      <w:r w:rsidRPr="007852DA">
        <w:rPr>
          <w:rFonts w:ascii="Book Antiqua" w:eastAsia="宋体" w:hAnsi="Book Antiqua" w:cs="Times New Roman"/>
          <w:color w:val="000000" w:themeColor="text1"/>
          <w:sz w:val="24"/>
        </w:rPr>
        <w:t>repair</w:t>
      </w:r>
      <w:bookmarkEnd w:id="40"/>
      <w:bookmarkEnd w:id="41"/>
      <w:bookmarkEnd w:id="42"/>
      <w:bookmarkEnd w:id="43"/>
      <w:bookmarkEnd w:id="44"/>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10]</w:t>
      </w:r>
      <w:r w:rsidRPr="007852DA">
        <w:rPr>
          <w:rFonts w:ascii="Book Antiqua" w:eastAsia="宋体" w:hAnsi="Book Antiqua" w:cs="Times New Roman"/>
          <w:color w:val="000000" w:themeColor="text1"/>
          <w:sz w:val="24"/>
        </w:rPr>
        <w:t>, and might participate in the progression of numerous pathological conditions</w:t>
      </w:r>
      <w:r w:rsidRPr="007852DA">
        <w:rPr>
          <w:rFonts w:ascii="Book Antiqua" w:eastAsia="宋体" w:hAnsi="Book Antiqua" w:cs="Times New Roman"/>
          <w:color w:val="000000" w:themeColor="text1"/>
          <w:sz w:val="24"/>
          <w:vertAlign w:val="superscript"/>
        </w:rPr>
        <w:t>[11]</w:t>
      </w:r>
      <w:r w:rsidRPr="007852DA">
        <w:rPr>
          <w:rFonts w:ascii="Book Antiqua" w:eastAsia="宋体" w:hAnsi="Book Antiqua" w:cs="Times New Roman"/>
          <w:color w:val="000000" w:themeColor="text1"/>
          <w:sz w:val="24"/>
        </w:rPr>
        <w:t xml:space="preserve">. </w:t>
      </w:r>
      <w:bookmarkEnd w:id="36"/>
      <w:bookmarkEnd w:id="37"/>
      <w:r w:rsidRPr="007852DA">
        <w:rPr>
          <w:rFonts w:ascii="Book Antiqua" w:eastAsia="宋体" w:hAnsi="Book Antiqua" w:cs="Times New Roman"/>
          <w:color w:val="000000" w:themeColor="text1"/>
          <w:sz w:val="24"/>
        </w:rPr>
        <w:t xml:space="preserve">Apart from cancer, metabolic diseases, </w:t>
      </w:r>
      <w:bookmarkStart w:id="45" w:name="OLE_LINK117"/>
      <w:bookmarkStart w:id="46" w:name="OLE_LINK118"/>
      <w:r w:rsidRPr="007852DA">
        <w:rPr>
          <w:rFonts w:ascii="Book Antiqua" w:eastAsia="宋体" w:hAnsi="Book Antiqua" w:cs="Times New Roman"/>
          <w:color w:val="000000" w:themeColor="text1"/>
          <w:sz w:val="24"/>
        </w:rPr>
        <w:t>cardiovascular event</w:t>
      </w:r>
      <w:bookmarkEnd w:id="45"/>
      <w:bookmarkEnd w:id="46"/>
      <w:r w:rsidRPr="007852DA">
        <w:rPr>
          <w:rFonts w:ascii="Book Antiqua" w:eastAsia="宋体" w:hAnsi="Book Antiqua" w:cs="Times New Roman"/>
          <w:color w:val="000000" w:themeColor="text1"/>
          <w:sz w:val="24"/>
        </w:rPr>
        <w:t xml:space="preserve">s, cerebrovascular diseases and mitochondrial </w:t>
      </w:r>
      <w:proofErr w:type="gramStart"/>
      <w:r w:rsidRPr="007852DA">
        <w:rPr>
          <w:rFonts w:ascii="Book Antiqua" w:eastAsia="宋体" w:hAnsi="Book Antiqua" w:cs="Times New Roman"/>
          <w:color w:val="000000" w:themeColor="text1"/>
          <w:sz w:val="24"/>
        </w:rPr>
        <w:t>disorders</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11-16]</w:t>
      </w:r>
      <w:r w:rsidRPr="007852DA">
        <w:rPr>
          <w:rFonts w:ascii="Book Antiqua" w:eastAsia="宋体" w:hAnsi="Book Antiqua" w:cs="Times New Roman"/>
          <w:color w:val="000000" w:themeColor="text1"/>
          <w:sz w:val="24"/>
        </w:rPr>
        <w:t xml:space="preserve">, abnormal concentrations of GDF15 </w:t>
      </w:r>
      <w:r w:rsidR="00725051" w:rsidRPr="007852DA">
        <w:rPr>
          <w:rFonts w:ascii="Book Antiqua" w:eastAsia="宋体" w:hAnsi="Book Antiqua" w:cs="Times New Roman"/>
          <w:color w:val="000000" w:themeColor="text1"/>
          <w:sz w:val="24"/>
        </w:rPr>
        <w:t>are</w:t>
      </w:r>
      <w:r w:rsidRPr="007852DA">
        <w:rPr>
          <w:rFonts w:ascii="Book Antiqua" w:eastAsia="宋体" w:hAnsi="Book Antiqua" w:cs="Times New Roman"/>
          <w:color w:val="000000" w:themeColor="text1"/>
          <w:sz w:val="24"/>
        </w:rPr>
        <w:t xml:space="preserve"> also considered to have a close association with neurodegenerative diseases and m</w:t>
      </w:r>
      <w:r w:rsidR="00725051" w:rsidRPr="007852DA">
        <w:rPr>
          <w:rFonts w:ascii="Book Antiqua" w:eastAsia="宋体" w:hAnsi="Book Antiqua" w:cs="Times New Roman"/>
          <w:color w:val="000000" w:themeColor="text1"/>
          <w:sz w:val="24"/>
        </w:rPr>
        <w:t>ay</w:t>
      </w:r>
      <w:r w:rsidRPr="007852DA">
        <w:rPr>
          <w:rFonts w:ascii="Book Antiqua" w:eastAsia="宋体" w:hAnsi="Book Antiqua" w:cs="Times New Roman"/>
          <w:color w:val="000000" w:themeColor="text1"/>
          <w:sz w:val="24"/>
        </w:rPr>
        <w:t xml:space="preserve"> be a potential biomarker for early diagnosis, as well as prognostic utility</w:t>
      </w:r>
      <w:r w:rsidRPr="007852DA">
        <w:rPr>
          <w:rFonts w:ascii="Book Antiqua" w:eastAsia="宋体" w:hAnsi="Book Antiqua" w:cs="Times New Roman"/>
          <w:color w:val="000000" w:themeColor="text1"/>
          <w:sz w:val="24"/>
          <w:vertAlign w:val="superscript"/>
        </w:rPr>
        <w:t>[17-19]</w:t>
      </w:r>
      <w:r w:rsidRPr="007852DA">
        <w:rPr>
          <w:rFonts w:ascii="Book Antiqua" w:eastAsia="宋体" w:hAnsi="Book Antiqua" w:cs="Times New Roman"/>
          <w:color w:val="000000" w:themeColor="text1"/>
          <w:sz w:val="24"/>
        </w:rPr>
        <w:t>.</w:t>
      </w:r>
    </w:p>
    <w:p w14:paraId="076BA86B" w14:textId="370E3D3A"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Additionally, it has been demonstrated that elevated levels of GDF15 were found in patients with Alzheimer’s disease, cognitive impairment, Lewy body dementia and </w:t>
      </w:r>
      <w:proofErr w:type="gramStart"/>
      <w:r w:rsidRPr="007852DA">
        <w:rPr>
          <w:rFonts w:ascii="Book Antiqua" w:eastAsia="宋体" w:hAnsi="Book Antiqua" w:cs="Times New Roman"/>
          <w:color w:val="000000" w:themeColor="text1"/>
          <w:sz w:val="24"/>
        </w:rPr>
        <w:t>P</w:t>
      </w:r>
      <w:r w:rsidR="00691360" w:rsidRPr="007852DA">
        <w:rPr>
          <w:rFonts w:ascii="Book Antiqua" w:eastAsia="宋体" w:hAnsi="Book Antiqua" w:cs="Times New Roman"/>
          <w:color w:val="000000" w:themeColor="text1"/>
          <w:sz w:val="24"/>
        </w:rPr>
        <w:t>D</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17,19,20]</w:t>
      </w:r>
      <w:r w:rsidRPr="007852DA">
        <w:rPr>
          <w:rFonts w:ascii="Book Antiqua" w:eastAsia="宋体" w:hAnsi="Book Antiqua" w:cs="Times New Roman"/>
          <w:color w:val="000000" w:themeColor="text1"/>
          <w:sz w:val="24"/>
        </w:rPr>
        <w:t xml:space="preserve">. Animal studies have shown that GDF15 might play a protective role in response to stress and contribute to </w:t>
      </w:r>
      <w:proofErr w:type="gramStart"/>
      <w:r w:rsidRPr="007852DA">
        <w:rPr>
          <w:rFonts w:ascii="Book Antiqua" w:eastAsia="宋体" w:hAnsi="Book Antiqua" w:cs="Times New Roman"/>
          <w:color w:val="000000" w:themeColor="text1"/>
          <w:sz w:val="24"/>
        </w:rPr>
        <w:t>neurogenesis</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19,21-23]</w:t>
      </w:r>
      <w:r w:rsidRPr="007852DA">
        <w:rPr>
          <w:rFonts w:ascii="Book Antiqua" w:eastAsia="宋体" w:hAnsi="Book Antiqua" w:cs="Times New Roman"/>
          <w:color w:val="000000" w:themeColor="text1"/>
          <w:sz w:val="24"/>
        </w:rPr>
        <w:t xml:space="preserve">. </w:t>
      </w:r>
      <w:r w:rsidR="00B81A9C" w:rsidRPr="007852DA">
        <w:rPr>
          <w:rFonts w:ascii="Book Antiqua" w:hAnsi="Book Antiqua"/>
          <w:bCs/>
          <w:color w:val="000000" w:themeColor="text1"/>
          <w:sz w:val="24"/>
        </w:rPr>
        <w:lastRenderedPageBreak/>
        <w:t>Machado</w:t>
      </w:r>
      <w:r w:rsidR="00B81A9C" w:rsidRPr="007852DA">
        <w:rPr>
          <w:rFonts w:ascii="Book Antiqua" w:hAnsi="Book Antiqua"/>
          <w:b/>
          <w:color w:val="000000" w:themeColor="text1"/>
          <w:sz w:val="24"/>
        </w:rPr>
        <w:t xml:space="preserve"> </w:t>
      </w:r>
      <w:r w:rsidRPr="007852DA">
        <w:rPr>
          <w:rFonts w:ascii="Book Antiqua" w:eastAsia="宋体" w:hAnsi="Book Antiqua" w:cs="Times New Roman"/>
          <w:i/>
          <w:iCs/>
          <w:color w:val="000000" w:themeColor="text1"/>
          <w:sz w:val="24"/>
        </w:rPr>
        <w:t xml:space="preserve">et </w:t>
      </w:r>
      <w:proofErr w:type="gramStart"/>
      <w:r w:rsidRPr="007852DA">
        <w:rPr>
          <w:rFonts w:ascii="Book Antiqua" w:eastAsia="宋体" w:hAnsi="Book Antiqua" w:cs="Times New Roman"/>
          <w:i/>
          <w:iCs/>
          <w:color w:val="000000" w:themeColor="text1"/>
          <w:sz w:val="24"/>
        </w:rPr>
        <w:t>al</w:t>
      </w:r>
      <w:r w:rsidR="00691360" w:rsidRPr="007852DA">
        <w:rPr>
          <w:rFonts w:ascii="Book Antiqua" w:eastAsia="宋体" w:hAnsi="Book Antiqua" w:cs="Times New Roman"/>
          <w:color w:val="000000" w:themeColor="text1"/>
          <w:sz w:val="24"/>
          <w:vertAlign w:val="superscript"/>
        </w:rPr>
        <w:t>[</w:t>
      </w:r>
      <w:proofErr w:type="gramEnd"/>
      <w:r w:rsidR="00691360" w:rsidRPr="007852DA">
        <w:rPr>
          <w:rFonts w:ascii="Book Antiqua" w:eastAsia="宋体" w:hAnsi="Book Antiqua" w:cs="Times New Roman"/>
          <w:color w:val="000000" w:themeColor="text1"/>
          <w:sz w:val="24"/>
          <w:vertAlign w:val="superscript"/>
        </w:rPr>
        <w:t>24]</w:t>
      </w:r>
      <w:r w:rsidRPr="007852DA">
        <w:rPr>
          <w:rFonts w:ascii="Book Antiqua" w:eastAsia="宋体" w:hAnsi="Book Antiqua" w:cs="Times New Roman"/>
          <w:color w:val="000000" w:themeColor="text1"/>
          <w:sz w:val="24"/>
        </w:rPr>
        <w:t xml:space="preserve"> found that GDF15 deficiency could exacerbate dopaminergic neuron survival and decrease the inflammatory response in the 6-hydroxydopamine mouse model of PD. Furthermore, </w:t>
      </w:r>
      <w:r w:rsidRPr="007852DA">
        <w:rPr>
          <w:rFonts w:ascii="Book Antiqua" w:eastAsia="宋体" w:hAnsi="Book Antiqua" w:cs="Times New Roman"/>
          <w:i/>
          <w:color w:val="000000" w:themeColor="text1"/>
          <w:sz w:val="24"/>
        </w:rPr>
        <w:t>in vitro</w:t>
      </w:r>
      <w:r w:rsidRPr="007852DA">
        <w:rPr>
          <w:rFonts w:ascii="Book Antiqua" w:eastAsia="宋体" w:hAnsi="Book Antiqua" w:cs="Times New Roman"/>
          <w:color w:val="000000" w:themeColor="text1"/>
          <w:sz w:val="24"/>
        </w:rPr>
        <w:t xml:space="preserve"> studies have demonstrated that GDF15 was highly expressed in ventral tegmental area astrocytes and might selectively protect </w:t>
      </w:r>
      <w:r w:rsidR="00691360" w:rsidRPr="007852DA">
        <w:rPr>
          <w:rFonts w:ascii="Book Antiqua" w:eastAsia="宋体" w:hAnsi="Book Antiqua" w:cs="Times New Roman"/>
          <w:color w:val="000000" w:themeColor="text1"/>
          <w:sz w:val="24"/>
        </w:rPr>
        <w:t xml:space="preserve">ventral tegmental area </w:t>
      </w:r>
      <w:r w:rsidRPr="007852DA">
        <w:rPr>
          <w:rFonts w:ascii="Book Antiqua" w:eastAsia="宋体" w:hAnsi="Book Antiqua" w:cs="Times New Roman"/>
          <w:color w:val="000000" w:themeColor="text1"/>
          <w:sz w:val="24"/>
        </w:rPr>
        <w:t xml:space="preserve">dopaminergic </w:t>
      </w:r>
      <w:proofErr w:type="gramStart"/>
      <w:r w:rsidRPr="007852DA">
        <w:rPr>
          <w:rFonts w:ascii="Book Antiqua" w:eastAsia="宋体" w:hAnsi="Book Antiqua" w:cs="Times New Roman"/>
          <w:color w:val="000000" w:themeColor="text1"/>
          <w:sz w:val="24"/>
        </w:rPr>
        <w:t>neurons</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25]</w:t>
      </w:r>
      <w:r w:rsidRPr="007852DA">
        <w:rPr>
          <w:rFonts w:ascii="Book Antiqua" w:eastAsia="宋体" w:hAnsi="Book Antiqua" w:cs="Times New Roman"/>
          <w:color w:val="000000" w:themeColor="text1"/>
          <w:sz w:val="24"/>
        </w:rPr>
        <w:t xml:space="preserve">. MSA has shown a similar pathogenesis </w:t>
      </w:r>
      <w:r w:rsidR="00725051" w:rsidRPr="007852DA">
        <w:rPr>
          <w:rFonts w:ascii="Book Antiqua" w:eastAsia="宋体" w:hAnsi="Book Antiqua" w:cs="Times New Roman"/>
          <w:color w:val="000000" w:themeColor="text1"/>
          <w:sz w:val="24"/>
        </w:rPr>
        <w:t>to</w:t>
      </w:r>
      <w:r w:rsidRPr="007852DA">
        <w:rPr>
          <w:rFonts w:ascii="Book Antiqua" w:eastAsia="宋体" w:hAnsi="Book Antiqua" w:cs="Times New Roman"/>
          <w:color w:val="000000" w:themeColor="text1"/>
          <w:sz w:val="24"/>
        </w:rPr>
        <w:t xml:space="preserve"> </w:t>
      </w:r>
      <w:proofErr w:type="gramStart"/>
      <w:r w:rsidRPr="007852DA">
        <w:rPr>
          <w:rFonts w:ascii="Book Antiqua" w:eastAsia="宋体" w:hAnsi="Book Antiqua" w:cs="Times New Roman"/>
          <w:color w:val="000000" w:themeColor="text1"/>
          <w:sz w:val="24"/>
        </w:rPr>
        <w:t>PD</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26]</w:t>
      </w:r>
      <w:r w:rsidRPr="007852DA">
        <w:rPr>
          <w:rFonts w:ascii="Book Antiqua" w:eastAsia="宋体" w:hAnsi="Book Antiqua" w:cs="Times New Roman"/>
          <w:color w:val="000000" w:themeColor="text1"/>
          <w:sz w:val="24"/>
        </w:rPr>
        <w:t xml:space="preserve">, however, whether GDF15 also participates in the progression of MSA </w:t>
      </w:r>
      <w:r w:rsidR="00725051" w:rsidRPr="007852DA">
        <w:rPr>
          <w:rFonts w:ascii="Book Antiqua" w:eastAsia="宋体" w:hAnsi="Book Antiqua" w:cs="Times New Roman"/>
          <w:color w:val="000000" w:themeColor="text1"/>
          <w:sz w:val="24"/>
        </w:rPr>
        <w:t>is</w:t>
      </w:r>
      <w:r w:rsidRPr="007852DA">
        <w:rPr>
          <w:rFonts w:ascii="Book Antiqua" w:eastAsia="宋体" w:hAnsi="Book Antiqua" w:cs="Times New Roman"/>
          <w:color w:val="000000" w:themeColor="text1"/>
          <w:sz w:val="24"/>
        </w:rPr>
        <w:t xml:space="preserve"> unknown. In this regard, we hypothesized that GDF15 may be higher in MSA patients than in normal controls and perhaps higher than in PD patients.</w:t>
      </w:r>
    </w:p>
    <w:p w14:paraId="4828D475" w14:textId="301ED628"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Therefore, in this case-control study, we aimed to </w:t>
      </w:r>
      <w:r w:rsidR="00725051" w:rsidRPr="007852DA">
        <w:rPr>
          <w:rFonts w:ascii="Book Antiqua" w:eastAsia="宋体" w:hAnsi="Book Antiqua" w:cs="Times New Roman"/>
          <w:color w:val="000000" w:themeColor="text1"/>
          <w:sz w:val="24"/>
        </w:rPr>
        <w:t>determine</w:t>
      </w:r>
      <w:r w:rsidRPr="007852DA">
        <w:rPr>
          <w:rFonts w:ascii="Book Antiqua" w:eastAsia="宋体" w:hAnsi="Book Antiqua" w:cs="Times New Roman"/>
          <w:color w:val="000000" w:themeColor="text1"/>
          <w:sz w:val="24"/>
        </w:rPr>
        <w:t xml:space="preserve"> serum levels of GDF15 in MSA patients and its potential diagnostic utility. </w:t>
      </w:r>
      <w:r w:rsidR="00725051" w:rsidRPr="007852DA">
        <w:rPr>
          <w:rFonts w:ascii="Book Antiqua" w:eastAsia="宋体" w:hAnsi="Book Antiqua" w:cs="Times New Roman"/>
          <w:color w:val="000000" w:themeColor="text1"/>
          <w:sz w:val="24"/>
        </w:rPr>
        <w:t>Forty-nine</w:t>
      </w:r>
      <w:r w:rsidRPr="007852DA">
        <w:rPr>
          <w:rFonts w:ascii="Book Antiqua" w:eastAsia="宋体" w:hAnsi="Book Antiqua" w:cs="Times New Roman"/>
          <w:color w:val="000000" w:themeColor="text1"/>
          <w:sz w:val="24"/>
        </w:rPr>
        <w:t xml:space="preserve"> MSA patients, 50 PD patients and 50 healthy controls were enrolled. The serum levels of GDF15 in the different groups and in different subgroups of MSA patients were analyzed. </w:t>
      </w:r>
      <w:r w:rsidR="00691360" w:rsidRPr="007852DA">
        <w:rPr>
          <w:rFonts w:ascii="Book Antiqua" w:eastAsia="宋体" w:hAnsi="Book Antiqua" w:cs="Times New Roman"/>
          <w:color w:val="000000" w:themeColor="text1"/>
          <w:sz w:val="24"/>
        </w:rPr>
        <w:t xml:space="preserve">Receiver-operating characteristic (ROC) </w:t>
      </w:r>
      <w:r w:rsidRPr="007852DA">
        <w:rPr>
          <w:rFonts w:ascii="Book Antiqua" w:eastAsia="宋体" w:hAnsi="Book Antiqua" w:cs="Times New Roman"/>
          <w:color w:val="000000" w:themeColor="text1"/>
          <w:sz w:val="24"/>
        </w:rPr>
        <w:t>analysis was performed to assess the diagnostic utility.</w:t>
      </w:r>
      <w:bookmarkEnd w:id="19"/>
      <w:bookmarkEnd w:id="20"/>
      <w:bookmarkEnd w:id="21"/>
      <w:bookmarkEnd w:id="22"/>
    </w:p>
    <w:p w14:paraId="616B6032" w14:textId="77777777" w:rsidR="000D474F" w:rsidRPr="007852DA" w:rsidRDefault="000D474F" w:rsidP="001F49D0">
      <w:pPr>
        <w:autoSpaceDE w:val="0"/>
        <w:autoSpaceDN w:val="0"/>
        <w:adjustRightInd w:val="0"/>
        <w:spacing w:line="360" w:lineRule="auto"/>
        <w:rPr>
          <w:rFonts w:ascii="Book Antiqua" w:eastAsia="宋体" w:hAnsi="Book Antiqua" w:cs="Times New Roman"/>
          <w:b/>
          <w:color w:val="000000" w:themeColor="text1"/>
          <w:sz w:val="24"/>
        </w:rPr>
      </w:pPr>
    </w:p>
    <w:p w14:paraId="6F565A3E" w14:textId="77777777" w:rsidR="001F49D0" w:rsidRPr="007852DA" w:rsidRDefault="001F49D0" w:rsidP="001F49D0">
      <w:pPr>
        <w:spacing w:line="360" w:lineRule="auto"/>
        <w:rPr>
          <w:rFonts w:ascii="Book Antiqua" w:hAnsi="Book Antiqua"/>
          <w:b/>
          <w:color w:val="000000" w:themeColor="text1"/>
          <w:sz w:val="24"/>
          <w:u w:val="single"/>
        </w:rPr>
      </w:pPr>
      <w:bookmarkStart w:id="47" w:name="OLE_LINK337"/>
      <w:bookmarkStart w:id="48" w:name="OLE_LINK338"/>
      <w:bookmarkStart w:id="49" w:name="OLE_LINK378"/>
      <w:bookmarkStart w:id="50" w:name="OLE_LINK388"/>
      <w:r w:rsidRPr="007852DA">
        <w:rPr>
          <w:rFonts w:ascii="Book Antiqua" w:hAnsi="Book Antiqua"/>
          <w:b/>
          <w:color w:val="000000" w:themeColor="text1"/>
          <w:sz w:val="24"/>
          <w:u w:val="single"/>
        </w:rPr>
        <w:t>MATERIALS AND METHODS</w:t>
      </w:r>
    </w:p>
    <w:bookmarkEnd w:id="47"/>
    <w:bookmarkEnd w:id="48"/>
    <w:bookmarkEnd w:id="49"/>
    <w:bookmarkEnd w:id="50"/>
    <w:p w14:paraId="5ED0F4EF" w14:textId="77777777" w:rsidR="000D474F" w:rsidRPr="007852DA" w:rsidRDefault="0096702B" w:rsidP="001F49D0">
      <w:pPr>
        <w:autoSpaceDE w:val="0"/>
        <w:autoSpaceDN w:val="0"/>
        <w:adjustRightInd w:val="0"/>
        <w:spacing w:line="360" w:lineRule="auto"/>
        <w:rPr>
          <w:rFonts w:ascii="Book Antiqua" w:eastAsia="宋体" w:hAnsi="Book Antiqua" w:cs="Times New Roman"/>
          <w:b/>
          <w:bCs/>
          <w:i/>
          <w:iCs/>
          <w:color w:val="000000" w:themeColor="text1"/>
          <w:sz w:val="24"/>
        </w:rPr>
      </w:pPr>
      <w:r w:rsidRPr="007852DA">
        <w:rPr>
          <w:rFonts w:ascii="Book Antiqua" w:eastAsia="宋体" w:hAnsi="Book Antiqua" w:cs="Times New Roman"/>
          <w:b/>
          <w:bCs/>
          <w:i/>
          <w:iCs/>
          <w:color w:val="000000" w:themeColor="text1"/>
          <w:sz w:val="24"/>
        </w:rPr>
        <w:t>Participants</w:t>
      </w:r>
    </w:p>
    <w:p w14:paraId="11514AC5" w14:textId="34B06D98"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bookmarkStart w:id="51" w:name="OLE_LINK10"/>
      <w:bookmarkStart w:id="52" w:name="OLE_LINK9"/>
      <w:r w:rsidRPr="007852DA">
        <w:rPr>
          <w:rFonts w:ascii="Book Antiqua" w:eastAsia="宋体" w:hAnsi="Book Antiqua" w:cs="Times New Roman"/>
          <w:color w:val="000000" w:themeColor="text1"/>
          <w:sz w:val="24"/>
        </w:rPr>
        <w:t xml:space="preserve">This study was approved by the ethics committee of </w:t>
      </w:r>
      <w:proofErr w:type="spellStart"/>
      <w:r w:rsidRPr="007852DA">
        <w:rPr>
          <w:rFonts w:ascii="Book Antiqua" w:eastAsia="宋体" w:hAnsi="Book Antiqua" w:cs="Times New Roman"/>
          <w:color w:val="000000" w:themeColor="text1"/>
          <w:sz w:val="24"/>
        </w:rPr>
        <w:t>Qilu</w:t>
      </w:r>
      <w:proofErr w:type="spellEnd"/>
      <w:r w:rsidRPr="007852DA">
        <w:rPr>
          <w:rFonts w:ascii="Book Antiqua" w:eastAsia="宋体" w:hAnsi="Book Antiqua" w:cs="Times New Roman"/>
          <w:color w:val="000000" w:themeColor="text1"/>
          <w:sz w:val="24"/>
        </w:rPr>
        <w:t xml:space="preserve"> Hospital of Shandong University, and all participants signed </w:t>
      </w:r>
      <w:r w:rsidR="00725051" w:rsidRPr="007852DA">
        <w:rPr>
          <w:rFonts w:ascii="Book Antiqua" w:eastAsia="宋体" w:hAnsi="Book Antiqua" w:cs="Times New Roman"/>
          <w:color w:val="000000" w:themeColor="text1"/>
          <w:sz w:val="24"/>
        </w:rPr>
        <w:t xml:space="preserve">a </w:t>
      </w:r>
      <w:r w:rsidRPr="007852DA">
        <w:rPr>
          <w:rFonts w:ascii="Book Antiqua" w:eastAsia="宋体" w:hAnsi="Book Antiqua" w:cs="Times New Roman"/>
          <w:color w:val="000000" w:themeColor="text1"/>
          <w:sz w:val="24"/>
        </w:rPr>
        <w:t xml:space="preserve">written informed consent. </w:t>
      </w:r>
      <w:bookmarkStart w:id="53" w:name="OLE_LINK278"/>
      <w:bookmarkStart w:id="54" w:name="OLE_LINK277"/>
      <w:r w:rsidRPr="007852DA">
        <w:rPr>
          <w:rFonts w:ascii="Book Antiqua" w:eastAsia="宋体" w:hAnsi="Book Antiqua" w:cs="Times New Roman"/>
          <w:color w:val="000000" w:themeColor="text1"/>
          <w:sz w:val="24"/>
        </w:rPr>
        <w:t xml:space="preserve">MSA and PD patients were recruited from the </w:t>
      </w:r>
      <w:bookmarkStart w:id="55" w:name="OLE_LINK14"/>
      <w:bookmarkStart w:id="56" w:name="OLE_LINK13"/>
      <w:r w:rsidRPr="007852DA">
        <w:rPr>
          <w:rFonts w:ascii="Book Antiqua" w:eastAsia="宋体" w:hAnsi="Book Antiqua" w:cs="Times New Roman"/>
          <w:color w:val="000000" w:themeColor="text1"/>
          <w:sz w:val="24"/>
        </w:rPr>
        <w:t>outpatient and inpatient</w:t>
      </w:r>
      <w:bookmarkEnd w:id="55"/>
      <w:bookmarkEnd w:id="56"/>
      <w:r w:rsidRPr="007852DA">
        <w:rPr>
          <w:rFonts w:ascii="Book Antiqua" w:eastAsia="宋体" w:hAnsi="Book Antiqua" w:cs="Times New Roman"/>
          <w:color w:val="000000" w:themeColor="text1"/>
          <w:sz w:val="24"/>
        </w:rPr>
        <w:t xml:space="preserve"> clinics of the Department of Neurology, </w:t>
      </w:r>
      <w:proofErr w:type="spellStart"/>
      <w:r w:rsidRPr="007852DA">
        <w:rPr>
          <w:rFonts w:ascii="Book Antiqua" w:eastAsia="宋体" w:hAnsi="Book Antiqua" w:cs="Times New Roman"/>
          <w:color w:val="000000" w:themeColor="text1"/>
          <w:sz w:val="24"/>
        </w:rPr>
        <w:t>Qilu</w:t>
      </w:r>
      <w:proofErr w:type="spellEnd"/>
      <w:r w:rsidRPr="007852DA">
        <w:rPr>
          <w:rFonts w:ascii="Book Antiqua" w:eastAsia="宋体" w:hAnsi="Book Antiqua" w:cs="Times New Roman"/>
          <w:color w:val="000000" w:themeColor="text1"/>
          <w:sz w:val="24"/>
        </w:rPr>
        <w:t xml:space="preserve"> Hospital of Shandong University</w:t>
      </w:r>
      <w:bookmarkEnd w:id="53"/>
      <w:bookmarkEnd w:id="54"/>
      <w:r w:rsidRPr="007852DA">
        <w:rPr>
          <w:rFonts w:ascii="Book Antiqua" w:eastAsia="宋体" w:hAnsi="Book Antiqua" w:cs="Times New Roman"/>
          <w:color w:val="000000" w:themeColor="text1"/>
          <w:sz w:val="24"/>
        </w:rPr>
        <w:t>, from August 2015 to September 2016.</w:t>
      </w:r>
    </w:p>
    <w:p w14:paraId="76AE2827" w14:textId="6F6923BA"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Both MSA and PD patients were diagnosed, by an experienced specialist majoring </w:t>
      </w:r>
      <w:r w:rsidR="00725051" w:rsidRPr="007852DA">
        <w:rPr>
          <w:rFonts w:ascii="Book Antiqua" w:eastAsia="宋体" w:hAnsi="Book Antiqua" w:cs="Times New Roman"/>
          <w:color w:val="000000" w:themeColor="text1"/>
          <w:sz w:val="24"/>
        </w:rPr>
        <w:t xml:space="preserve">in </w:t>
      </w:r>
      <w:r w:rsidR="00691360" w:rsidRPr="007852DA">
        <w:rPr>
          <w:rFonts w:ascii="Book Antiqua" w:eastAsia="宋体" w:hAnsi="Book Antiqua" w:cs="Times New Roman"/>
          <w:color w:val="000000" w:themeColor="text1"/>
          <w:sz w:val="24"/>
        </w:rPr>
        <w:t>PD</w:t>
      </w:r>
      <w:r w:rsidRPr="007852DA">
        <w:rPr>
          <w:rFonts w:ascii="Book Antiqua" w:eastAsia="宋体" w:hAnsi="Book Antiqua" w:cs="Times New Roman"/>
          <w:color w:val="000000" w:themeColor="text1"/>
          <w:sz w:val="24"/>
        </w:rPr>
        <w:t xml:space="preserve"> and movement disorders, according to the </w:t>
      </w:r>
      <w:bookmarkStart w:id="57" w:name="OLE_LINK3"/>
      <w:bookmarkStart w:id="58" w:name="OLE_LINK4"/>
      <w:r w:rsidRPr="007852DA">
        <w:rPr>
          <w:rFonts w:ascii="Book Antiqua" w:eastAsia="宋体" w:hAnsi="Book Antiqua" w:cs="Times New Roman"/>
          <w:color w:val="000000" w:themeColor="text1"/>
          <w:sz w:val="24"/>
        </w:rPr>
        <w:t>consensus statement</w:t>
      </w:r>
      <w:bookmarkStart w:id="59" w:name="OLE_LINK281"/>
      <w:bookmarkStart w:id="60" w:name="OLE_LINK282"/>
      <w:bookmarkEnd w:id="57"/>
      <w:bookmarkEnd w:id="58"/>
      <w:r w:rsidRPr="007852DA">
        <w:rPr>
          <w:rFonts w:ascii="Book Antiqua" w:eastAsia="宋体" w:hAnsi="Book Antiqua" w:cs="Times New Roman"/>
          <w:color w:val="000000" w:themeColor="text1"/>
          <w:sz w:val="24"/>
        </w:rPr>
        <w:t xml:space="preserve"> by the </w:t>
      </w:r>
      <w:bookmarkStart w:id="61" w:name="OLE_LINK146"/>
      <w:bookmarkStart w:id="62" w:name="OLE_LINK145"/>
      <w:r w:rsidRPr="007852DA">
        <w:rPr>
          <w:rFonts w:ascii="Book Antiqua" w:eastAsia="宋体" w:hAnsi="Book Antiqua" w:cs="Times New Roman"/>
          <w:color w:val="000000" w:themeColor="text1"/>
          <w:sz w:val="24"/>
        </w:rPr>
        <w:t xml:space="preserve">American Autonomic Society and the American Academy of </w:t>
      </w:r>
      <w:proofErr w:type="gramStart"/>
      <w:r w:rsidRPr="007852DA">
        <w:rPr>
          <w:rFonts w:ascii="Book Antiqua" w:eastAsia="宋体" w:hAnsi="Book Antiqua" w:cs="Times New Roman"/>
          <w:color w:val="000000" w:themeColor="text1"/>
          <w:sz w:val="24"/>
        </w:rPr>
        <w:t>Neurology</w:t>
      </w:r>
      <w:bookmarkEnd w:id="61"/>
      <w:bookmarkEnd w:id="62"/>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2]</w:t>
      </w:r>
      <w:bookmarkEnd w:id="59"/>
      <w:bookmarkEnd w:id="60"/>
      <w:r w:rsidRPr="007852DA">
        <w:rPr>
          <w:rFonts w:ascii="Book Antiqua" w:eastAsia="宋体" w:hAnsi="Book Antiqua" w:cs="Times New Roman"/>
          <w:color w:val="000000" w:themeColor="text1"/>
          <w:sz w:val="24"/>
        </w:rPr>
        <w:t xml:space="preserve"> and the Movement Disorders Society</w:t>
      </w:r>
      <w:r w:rsidRPr="007852DA">
        <w:rPr>
          <w:rFonts w:ascii="Book Antiqua" w:eastAsia="宋体" w:hAnsi="Book Antiqua" w:cs="Times New Roman"/>
          <w:color w:val="000000" w:themeColor="text1"/>
          <w:sz w:val="24"/>
          <w:vertAlign w:val="superscript"/>
        </w:rPr>
        <w:t>[27]</w:t>
      </w:r>
      <w:r w:rsidRPr="007852DA">
        <w:rPr>
          <w:rFonts w:ascii="Book Antiqua" w:eastAsia="宋体" w:hAnsi="Book Antiqua" w:cs="Times New Roman"/>
          <w:color w:val="000000" w:themeColor="text1"/>
          <w:sz w:val="24"/>
        </w:rPr>
        <w:t>.</w:t>
      </w:r>
    </w:p>
    <w:p w14:paraId="1247500A" w14:textId="2A0A9B64"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Eleven MSA patients were excluded for the following reasons: coronary heart disease; diabetes; hypertension; lung disorders; chronic kidney disease; </w:t>
      </w:r>
      <w:r w:rsidRPr="007852DA">
        <w:rPr>
          <w:rFonts w:ascii="Book Antiqua" w:eastAsia="宋体" w:hAnsi="Book Antiqua" w:cs="Times New Roman"/>
          <w:color w:val="000000" w:themeColor="text1"/>
          <w:sz w:val="24"/>
        </w:rPr>
        <w:lastRenderedPageBreak/>
        <w:t>acute or chronic infection; cancer; dementia; or psychological disorders. Finally, 49 MSA patients were enrolled and 50 PD patients and 50 healthy controls that were matched for age (±</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2 years) were selected. All the PD patients enrolled also fulfilled the exclusion criteria for MSA patients. All healthy volunteers in the control group were from the Physical Examination Center of </w:t>
      </w:r>
      <w:proofErr w:type="spellStart"/>
      <w:r w:rsidRPr="007852DA">
        <w:rPr>
          <w:rFonts w:ascii="Book Antiqua" w:eastAsia="宋体" w:hAnsi="Book Antiqua" w:cs="Times New Roman"/>
          <w:color w:val="000000" w:themeColor="text1"/>
          <w:sz w:val="24"/>
        </w:rPr>
        <w:t>Qilu</w:t>
      </w:r>
      <w:proofErr w:type="spellEnd"/>
      <w:r w:rsidRPr="007852DA">
        <w:rPr>
          <w:rFonts w:ascii="Book Antiqua" w:eastAsia="宋体" w:hAnsi="Book Antiqua" w:cs="Times New Roman"/>
          <w:color w:val="000000" w:themeColor="text1"/>
          <w:sz w:val="24"/>
        </w:rPr>
        <w:t xml:space="preserve"> Hospital.</w:t>
      </w:r>
    </w:p>
    <w:p w14:paraId="54D64A73" w14:textId="6AD231DF" w:rsidR="000D474F" w:rsidRPr="007852DA" w:rsidRDefault="00725051"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B</w:t>
      </w:r>
      <w:r w:rsidR="0096702B" w:rsidRPr="007852DA">
        <w:rPr>
          <w:rFonts w:ascii="Book Antiqua" w:eastAsia="宋体" w:hAnsi="Book Antiqua" w:cs="Times New Roman"/>
          <w:color w:val="000000" w:themeColor="text1"/>
          <w:sz w:val="24"/>
        </w:rPr>
        <w:t>asic clinical information, including age, sex, age of onset of the disease, and duration of the disease</w:t>
      </w:r>
      <w:r w:rsidR="00827AAD" w:rsidRPr="007852DA">
        <w:rPr>
          <w:rFonts w:ascii="Book Antiqua" w:eastAsia="宋体" w:hAnsi="Book Antiqua" w:cs="Times New Roman"/>
          <w:color w:val="000000" w:themeColor="text1"/>
          <w:sz w:val="24"/>
        </w:rPr>
        <w:t xml:space="preserve"> was collected for all MSA patients and PD patients</w:t>
      </w:r>
      <w:r w:rsidR="0096702B" w:rsidRPr="007852DA">
        <w:rPr>
          <w:rFonts w:ascii="Book Antiqua" w:eastAsia="宋体" w:hAnsi="Book Antiqua" w:cs="Times New Roman"/>
          <w:color w:val="000000" w:themeColor="text1"/>
          <w:sz w:val="24"/>
        </w:rPr>
        <w:t>. In addition, the Unified MSA Rating Scale (UMSARS)-II scores and the Unified PD Rating Scale (UPDRS)-</w:t>
      </w:r>
      <w:bookmarkStart w:id="63" w:name="OLE_LINK2"/>
      <w:bookmarkStart w:id="64" w:name="OLE_LINK1"/>
      <w:r w:rsidR="0096702B" w:rsidRPr="007852DA">
        <w:rPr>
          <w:rFonts w:ascii="Book Antiqua" w:eastAsia="宋体" w:hAnsi="Book Antiqua" w:cs="Times New Roman"/>
          <w:color w:val="000000" w:themeColor="text1"/>
          <w:sz w:val="24"/>
        </w:rPr>
        <w:t>III</w:t>
      </w:r>
      <w:bookmarkEnd w:id="63"/>
      <w:bookmarkEnd w:id="64"/>
      <w:r w:rsidR="0096702B" w:rsidRPr="007852DA">
        <w:rPr>
          <w:rFonts w:ascii="Book Antiqua" w:eastAsia="宋体" w:hAnsi="Book Antiqua" w:cs="Times New Roman"/>
          <w:color w:val="000000" w:themeColor="text1"/>
          <w:sz w:val="24"/>
        </w:rPr>
        <w:t xml:space="preserve"> scores were used to assess the motor severity in MSA and PD patients, respectively. For the MSA patients, the clinical subtypes (MSA-P/MSA-C) and diagnostic criteria (probable/possible) were also recorded according to the relevant consensus </w:t>
      </w:r>
      <w:proofErr w:type="gramStart"/>
      <w:r w:rsidR="0096702B" w:rsidRPr="007852DA">
        <w:rPr>
          <w:rFonts w:ascii="Book Antiqua" w:eastAsia="宋体" w:hAnsi="Book Antiqua" w:cs="Times New Roman"/>
          <w:color w:val="000000" w:themeColor="text1"/>
          <w:sz w:val="24"/>
        </w:rPr>
        <w:t>criteria</w:t>
      </w:r>
      <w:r w:rsidR="0096702B" w:rsidRPr="007852DA">
        <w:rPr>
          <w:rFonts w:ascii="Book Antiqua" w:eastAsia="宋体" w:hAnsi="Book Antiqua" w:cs="Times New Roman"/>
          <w:color w:val="000000" w:themeColor="text1"/>
          <w:sz w:val="24"/>
          <w:vertAlign w:val="superscript"/>
        </w:rPr>
        <w:t>[</w:t>
      </w:r>
      <w:proofErr w:type="gramEnd"/>
      <w:r w:rsidR="0096702B" w:rsidRPr="007852DA">
        <w:rPr>
          <w:rFonts w:ascii="Book Antiqua" w:eastAsia="宋体" w:hAnsi="Book Antiqua" w:cs="Times New Roman"/>
          <w:color w:val="000000" w:themeColor="text1"/>
          <w:sz w:val="24"/>
          <w:vertAlign w:val="superscript"/>
        </w:rPr>
        <w:t>2]</w:t>
      </w:r>
      <w:r w:rsidR="0096702B" w:rsidRPr="007852DA">
        <w:rPr>
          <w:rFonts w:ascii="Book Antiqua" w:eastAsia="宋体" w:hAnsi="Book Antiqua" w:cs="Times New Roman"/>
          <w:color w:val="000000" w:themeColor="text1"/>
          <w:sz w:val="24"/>
        </w:rPr>
        <w:t>.</w:t>
      </w:r>
      <w:bookmarkEnd w:id="51"/>
      <w:bookmarkEnd w:id="52"/>
    </w:p>
    <w:p w14:paraId="3BF30E2C" w14:textId="77777777" w:rsidR="00216E54" w:rsidRPr="007852DA" w:rsidRDefault="00216E54"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p>
    <w:p w14:paraId="76737324" w14:textId="77777777" w:rsidR="000D474F" w:rsidRPr="007852DA" w:rsidRDefault="0096702B" w:rsidP="001F49D0">
      <w:pPr>
        <w:autoSpaceDE w:val="0"/>
        <w:autoSpaceDN w:val="0"/>
        <w:adjustRightInd w:val="0"/>
        <w:spacing w:line="360" w:lineRule="auto"/>
        <w:rPr>
          <w:rFonts w:ascii="Book Antiqua" w:eastAsia="宋体" w:hAnsi="Book Antiqua" w:cs="Times New Roman"/>
          <w:b/>
          <w:bCs/>
          <w:i/>
          <w:iCs/>
          <w:color w:val="000000" w:themeColor="text1"/>
          <w:sz w:val="24"/>
        </w:rPr>
      </w:pPr>
      <w:r w:rsidRPr="007852DA">
        <w:rPr>
          <w:rFonts w:ascii="Book Antiqua" w:eastAsia="宋体" w:hAnsi="Book Antiqua" w:cs="Times New Roman"/>
          <w:b/>
          <w:bCs/>
          <w:i/>
          <w:iCs/>
          <w:color w:val="000000" w:themeColor="text1"/>
          <w:sz w:val="24"/>
        </w:rPr>
        <w:t xml:space="preserve">Measurement of </w:t>
      </w:r>
      <w:r w:rsidR="00216E54" w:rsidRPr="007852DA">
        <w:rPr>
          <w:rFonts w:ascii="Book Antiqua" w:eastAsia="宋体" w:hAnsi="Book Antiqua" w:cs="Times New Roman"/>
          <w:b/>
          <w:bCs/>
          <w:i/>
          <w:iCs/>
          <w:color w:val="000000" w:themeColor="text1"/>
          <w:sz w:val="24"/>
        </w:rPr>
        <w:t xml:space="preserve">serum </w:t>
      </w:r>
      <w:r w:rsidRPr="007852DA">
        <w:rPr>
          <w:rFonts w:ascii="Book Antiqua" w:eastAsia="宋体" w:hAnsi="Book Antiqua" w:cs="Times New Roman"/>
          <w:b/>
          <w:bCs/>
          <w:i/>
          <w:iCs/>
          <w:color w:val="000000" w:themeColor="text1"/>
          <w:sz w:val="24"/>
        </w:rPr>
        <w:t>GDF15</w:t>
      </w:r>
    </w:p>
    <w:p w14:paraId="46151F05" w14:textId="30440DF5" w:rsidR="000D474F" w:rsidRPr="007852DA" w:rsidRDefault="00827AAD" w:rsidP="001F49D0">
      <w:pPr>
        <w:autoSpaceDE w:val="0"/>
        <w:autoSpaceDN w:val="0"/>
        <w:adjustRightInd w:val="0"/>
        <w:spacing w:line="360" w:lineRule="auto"/>
        <w:rPr>
          <w:rFonts w:ascii="Book Antiqua" w:eastAsia="宋体" w:hAnsi="Book Antiqua" w:cs="Times New Roman"/>
          <w:color w:val="000000" w:themeColor="text1"/>
          <w:sz w:val="24"/>
        </w:rPr>
      </w:pPr>
      <w:bookmarkStart w:id="65" w:name="OLE_LINK15"/>
      <w:bookmarkStart w:id="66" w:name="OLE_LINK16"/>
      <w:r w:rsidRPr="007852DA">
        <w:rPr>
          <w:rFonts w:ascii="Book Antiqua" w:eastAsia="宋体" w:hAnsi="Book Antiqua" w:cs="Times New Roman"/>
          <w:color w:val="000000" w:themeColor="text1"/>
          <w:sz w:val="24"/>
        </w:rPr>
        <w:t>Blood samples were collected from a</w:t>
      </w:r>
      <w:r w:rsidR="0096702B" w:rsidRPr="007852DA">
        <w:rPr>
          <w:rFonts w:ascii="Book Antiqua" w:eastAsia="宋体" w:hAnsi="Book Antiqua" w:cs="Times New Roman"/>
          <w:color w:val="000000" w:themeColor="text1"/>
          <w:sz w:val="24"/>
        </w:rPr>
        <w:t>ll participants. After centrifug</w:t>
      </w:r>
      <w:r w:rsidRPr="007852DA">
        <w:rPr>
          <w:rFonts w:ascii="Book Antiqua" w:eastAsia="宋体" w:hAnsi="Book Antiqua" w:cs="Times New Roman"/>
          <w:color w:val="000000" w:themeColor="text1"/>
          <w:sz w:val="24"/>
        </w:rPr>
        <w:t>ation</w:t>
      </w:r>
      <w:r w:rsidR="0096702B" w:rsidRPr="007852DA">
        <w:rPr>
          <w:rFonts w:ascii="Book Antiqua" w:eastAsia="宋体" w:hAnsi="Book Antiqua" w:cs="Times New Roman"/>
          <w:color w:val="000000" w:themeColor="text1"/>
          <w:sz w:val="24"/>
        </w:rPr>
        <w:t xml:space="preserve">, serum samples were stored at </w:t>
      </w:r>
      <w:r w:rsidR="002B78AE" w:rsidRPr="007852DA">
        <w:rPr>
          <w:rFonts w:ascii="Book Antiqua" w:eastAsia="宋体" w:hAnsi="Book Antiqua" w:cs="Times New Roman"/>
          <w:color w:val="000000" w:themeColor="text1"/>
          <w:sz w:val="24"/>
        </w:rPr>
        <w:t>-</w:t>
      </w:r>
      <w:r w:rsidR="0096702B" w:rsidRPr="007852DA">
        <w:rPr>
          <w:rFonts w:ascii="Book Antiqua" w:eastAsia="宋体" w:hAnsi="Book Antiqua" w:cs="Times New Roman"/>
          <w:color w:val="000000" w:themeColor="text1"/>
          <w:sz w:val="24"/>
        </w:rPr>
        <w:t xml:space="preserve">80°C. A high-sensitivity human enzyme-linked immunosorbent assay kit (Abcam, Cambridge, MA, </w:t>
      </w:r>
      <w:r w:rsidR="00216E54" w:rsidRPr="007852DA">
        <w:rPr>
          <w:rFonts w:ascii="Book Antiqua" w:eastAsia="宋体" w:hAnsi="Book Antiqua" w:cs="Times New Roman"/>
          <w:color w:val="000000" w:themeColor="text1"/>
          <w:sz w:val="24"/>
        </w:rPr>
        <w:t>United States</w:t>
      </w:r>
      <w:r w:rsidR="0096702B" w:rsidRPr="007852DA">
        <w:rPr>
          <w:rFonts w:ascii="Book Antiqua" w:eastAsia="宋体" w:hAnsi="Book Antiqua" w:cs="Times New Roman"/>
          <w:color w:val="000000" w:themeColor="text1"/>
          <w:sz w:val="24"/>
        </w:rPr>
        <w:t>) was used to detect serum levels of GDF15, according to the manufacturer’s instructions.</w:t>
      </w:r>
      <w:bookmarkEnd w:id="65"/>
      <w:bookmarkEnd w:id="66"/>
    </w:p>
    <w:p w14:paraId="3353CEDF" w14:textId="77777777" w:rsidR="00216E54" w:rsidRPr="007852DA" w:rsidRDefault="00216E54" w:rsidP="001F49D0">
      <w:pPr>
        <w:autoSpaceDE w:val="0"/>
        <w:autoSpaceDN w:val="0"/>
        <w:adjustRightInd w:val="0"/>
        <w:spacing w:line="360" w:lineRule="auto"/>
        <w:rPr>
          <w:rFonts w:ascii="Book Antiqua" w:eastAsia="宋体" w:hAnsi="Book Antiqua" w:cs="Times New Roman"/>
          <w:color w:val="000000" w:themeColor="text1"/>
          <w:sz w:val="24"/>
        </w:rPr>
      </w:pPr>
    </w:p>
    <w:p w14:paraId="31340280" w14:textId="77777777" w:rsidR="000D474F" w:rsidRPr="007852DA" w:rsidRDefault="0096702B" w:rsidP="001F49D0">
      <w:pPr>
        <w:autoSpaceDE w:val="0"/>
        <w:autoSpaceDN w:val="0"/>
        <w:adjustRightInd w:val="0"/>
        <w:spacing w:line="360" w:lineRule="auto"/>
        <w:rPr>
          <w:rFonts w:ascii="Book Antiqua" w:eastAsia="宋体" w:hAnsi="Book Antiqua" w:cs="Times New Roman"/>
          <w:b/>
          <w:i/>
          <w:iCs/>
          <w:color w:val="000000" w:themeColor="text1"/>
          <w:sz w:val="24"/>
        </w:rPr>
      </w:pPr>
      <w:r w:rsidRPr="007852DA">
        <w:rPr>
          <w:rFonts w:ascii="Book Antiqua" w:eastAsia="宋体" w:hAnsi="Book Antiqua" w:cs="Times New Roman"/>
          <w:b/>
          <w:i/>
          <w:iCs/>
          <w:color w:val="000000" w:themeColor="text1"/>
          <w:sz w:val="24"/>
        </w:rPr>
        <w:t xml:space="preserve">Statistical </w:t>
      </w:r>
      <w:r w:rsidR="00216E54" w:rsidRPr="007852DA">
        <w:rPr>
          <w:rFonts w:ascii="Book Antiqua" w:eastAsia="宋体" w:hAnsi="Book Antiqua" w:cs="Times New Roman"/>
          <w:b/>
          <w:i/>
          <w:iCs/>
          <w:color w:val="000000" w:themeColor="text1"/>
          <w:sz w:val="24"/>
        </w:rPr>
        <w:t>analysis</w:t>
      </w:r>
    </w:p>
    <w:p w14:paraId="3350B8E6" w14:textId="2A095E02"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The levels of serum GDF15 were compared among the MSA patients, PD patients and healthy controls </w:t>
      </w:r>
      <w:r w:rsidR="00827AAD" w:rsidRPr="007852DA">
        <w:rPr>
          <w:rFonts w:ascii="Book Antiqua" w:eastAsia="宋体" w:hAnsi="Book Antiqua" w:cs="Times New Roman"/>
          <w:color w:val="000000" w:themeColor="text1"/>
          <w:sz w:val="24"/>
        </w:rPr>
        <w:t>using</w:t>
      </w:r>
      <w:r w:rsidRPr="007852DA">
        <w:rPr>
          <w:rFonts w:ascii="Book Antiqua" w:eastAsia="宋体" w:hAnsi="Book Antiqua" w:cs="Times New Roman"/>
          <w:color w:val="000000" w:themeColor="text1"/>
          <w:sz w:val="24"/>
        </w:rPr>
        <w:t xml:space="preserve"> the </w:t>
      </w:r>
      <w:proofErr w:type="spellStart"/>
      <w:r w:rsidRPr="007852DA">
        <w:rPr>
          <w:rFonts w:ascii="Book Antiqua" w:eastAsia="宋体" w:hAnsi="Book Antiqua" w:cs="Times New Roman"/>
          <w:color w:val="000000" w:themeColor="text1"/>
          <w:sz w:val="24"/>
        </w:rPr>
        <w:t>Kruskal</w:t>
      </w:r>
      <w:proofErr w:type="spellEnd"/>
      <w:r w:rsidRPr="007852DA">
        <w:rPr>
          <w:rFonts w:ascii="Book Antiqua" w:eastAsia="宋体" w:hAnsi="Book Antiqua" w:cs="Times New Roman"/>
          <w:color w:val="000000" w:themeColor="text1"/>
          <w:sz w:val="24"/>
        </w:rPr>
        <w:t xml:space="preserve">-Wallis H test. The levels of GDF15 in the MSA patients with different clinical features, including sex (female/male), clinical subtypes (MSA-P/MSA-C), and diagnostic certainty (probable/possible MSA), were compared </w:t>
      </w:r>
      <w:r w:rsidR="00827AAD" w:rsidRPr="007852DA">
        <w:rPr>
          <w:rFonts w:ascii="Book Antiqua" w:eastAsia="宋体" w:hAnsi="Book Antiqua" w:cs="Times New Roman"/>
          <w:color w:val="000000" w:themeColor="text1"/>
          <w:sz w:val="24"/>
        </w:rPr>
        <w:t>using</w:t>
      </w:r>
      <w:r w:rsidRPr="007852DA">
        <w:rPr>
          <w:rFonts w:ascii="Book Antiqua" w:eastAsia="宋体" w:hAnsi="Book Antiqua" w:cs="Times New Roman"/>
          <w:color w:val="000000" w:themeColor="text1"/>
          <w:sz w:val="24"/>
        </w:rPr>
        <w:t xml:space="preserve"> the Mann-Whitney test. Data are expressed as the median (interquartile range) or means ± SD. Categorical variables are expressed as numbers (%). The </w:t>
      </w:r>
      <w:r w:rsidRPr="007852DA">
        <w:rPr>
          <w:rFonts w:ascii="Book Antiqua" w:eastAsia="宋体" w:hAnsi="Book Antiqua" w:cs="Times New Roman"/>
          <w:i/>
          <w:iCs/>
          <w:color w:val="000000" w:themeColor="text1"/>
          <w:sz w:val="24"/>
        </w:rPr>
        <w:t>χ</w:t>
      </w:r>
      <w:r w:rsidRPr="007852DA">
        <w:rPr>
          <w:rFonts w:ascii="Book Antiqua" w:eastAsia="宋体" w:hAnsi="Book Antiqua" w:cs="Times New Roman"/>
          <w:i/>
          <w:iCs/>
          <w:color w:val="000000" w:themeColor="text1"/>
          <w:sz w:val="24"/>
          <w:vertAlign w:val="superscript"/>
        </w:rPr>
        <w:t>2</w:t>
      </w:r>
      <w:r w:rsidRPr="007852DA">
        <w:rPr>
          <w:rFonts w:ascii="Book Antiqua" w:eastAsia="宋体" w:hAnsi="Book Antiqua" w:cs="Times New Roman"/>
          <w:color w:val="000000" w:themeColor="text1"/>
          <w:sz w:val="24"/>
        </w:rPr>
        <w:t xml:space="preserve"> test was used for categorical variables. SPSS 22.0 software (Chicago, IL, </w:t>
      </w:r>
      <w:r w:rsidR="00216E54" w:rsidRPr="007852DA">
        <w:rPr>
          <w:rFonts w:ascii="Book Antiqua" w:eastAsia="宋体" w:hAnsi="Book Antiqua" w:cs="Times New Roman"/>
          <w:color w:val="000000" w:themeColor="text1"/>
          <w:sz w:val="24"/>
        </w:rPr>
        <w:t>United States</w:t>
      </w:r>
      <w:r w:rsidRPr="007852DA">
        <w:rPr>
          <w:rFonts w:ascii="Book Antiqua" w:eastAsia="宋体" w:hAnsi="Book Antiqua" w:cs="Times New Roman"/>
          <w:color w:val="000000" w:themeColor="text1"/>
          <w:sz w:val="24"/>
        </w:rPr>
        <w:t xml:space="preserve">) was used for the </w:t>
      </w:r>
      <w:r w:rsidRPr="007852DA">
        <w:rPr>
          <w:rFonts w:ascii="Book Antiqua" w:eastAsia="宋体" w:hAnsi="Book Antiqua" w:cs="Times New Roman"/>
          <w:color w:val="000000" w:themeColor="text1"/>
          <w:sz w:val="24"/>
        </w:rPr>
        <w:lastRenderedPageBreak/>
        <w:t xml:space="preserve">statistical analyses. </w:t>
      </w:r>
      <w:r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&lt;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0.05 was regarded as statistically significant.</w:t>
      </w:r>
    </w:p>
    <w:p w14:paraId="3AD22593" w14:textId="44684A05"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A ROC curve was used to analyze the sensitivity and specificity of GDF15 for differentiating MSA patients from PD patients and healthy controls</w:t>
      </w:r>
      <w:r w:rsidR="00827AAD"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and to evaluate the diagnostic value of GDF15. The area under the curve (AUC) gives an indication of predictive values, with AUC = 0.5 for a random association and AUC = 1 for perfect discrimination. The optimum cutoff value was determined by the Youden index. Statistical significance was accepted at two-tailed </w:t>
      </w:r>
      <w:r w:rsidRPr="007852DA">
        <w:rPr>
          <w:rFonts w:ascii="Book Antiqua" w:eastAsia="宋体" w:hAnsi="Book Antiqua" w:cs="Times New Roman"/>
          <w:i/>
          <w:iCs/>
          <w:color w:val="000000" w:themeColor="text1"/>
          <w:sz w:val="24"/>
        </w:rPr>
        <w:t>P</w:t>
      </w:r>
      <w:r w:rsidRPr="007852DA">
        <w:rPr>
          <w:rFonts w:ascii="Book Antiqua" w:eastAsia="宋体" w:hAnsi="Book Antiqua" w:cs="Times New Roman"/>
          <w:color w:val="000000" w:themeColor="text1"/>
          <w:sz w:val="24"/>
        </w:rPr>
        <w:t xml:space="preserve"> &lt; 0.05.</w:t>
      </w:r>
    </w:p>
    <w:p w14:paraId="2AF83FF6" w14:textId="77777777" w:rsidR="000D474F" w:rsidRPr="007852DA" w:rsidRDefault="000D474F" w:rsidP="001F49D0">
      <w:pPr>
        <w:autoSpaceDE w:val="0"/>
        <w:autoSpaceDN w:val="0"/>
        <w:adjustRightInd w:val="0"/>
        <w:spacing w:line="360" w:lineRule="auto"/>
        <w:rPr>
          <w:rFonts w:ascii="Book Antiqua" w:eastAsia="宋体" w:hAnsi="Book Antiqua" w:cs="Times New Roman"/>
          <w:color w:val="000000" w:themeColor="text1"/>
          <w:sz w:val="24"/>
        </w:rPr>
      </w:pPr>
    </w:p>
    <w:p w14:paraId="10BA85C1" w14:textId="77777777" w:rsidR="001F49D0" w:rsidRPr="007852DA" w:rsidRDefault="001F49D0" w:rsidP="001F49D0">
      <w:pPr>
        <w:pStyle w:val="af"/>
        <w:spacing w:before="0" w:after="0" w:line="360" w:lineRule="auto"/>
        <w:jc w:val="both"/>
        <w:rPr>
          <w:rFonts w:ascii="Book Antiqua" w:hAnsi="Book Antiqua"/>
          <w:color w:val="000000" w:themeColor="text1"/>
          <w:sz w:val="24"/>
          <w:szCs w:val="24"/>
          <w:u w:val="single"/>
          <w:lang w:val="en-US" w:eastAsia="fr-FR"/>
        </w:rPr>
      </w:pPr>
      <w:r w:rsidRPr="007852DA">
        <w:rPr>
          <w:rFonts w:ascii="Book Antiqua" w:hAnsi="Book Antiqua"/>
          <w:color w:val="000000" w:themeColor="text1"/>
          <w:sz w:val="24"/>
          <w:szCs w:val="24"/>
          <w:u w:val="single"/>
          <w:lang w:val="en-US" w:eastAsia="fr-FR"/>
        </w:rPr>
        <w:t>RESULTS</w:t>
      </w:r>
    </w:p>
    <w:p w14:paraId="5EA9F83B" w14:textId="77777777" w:rsidR="000D474F" w:rsidRPr="007852DA" w:rsidRDefault="0096702B" w:rsidP="001F49D0">
      <w:pPr>
        <w:autoSpaceDE w:val="0"/>
        <w:autoSpaceDN w:val="0"/>
        <w:adjustRightInd w:val="0"/>
        <w:spacing w:line="360" w:lineRule="auto"/>
        <w:rPr>
          <w:rFonts w:ascii="Book Antiqua" w:eastAsia="宋体" w:hAnsi="Book Antiqua" w:cs="Times New Roman"/>
          <w:b/>
          <w:bCs/>
          <w:i/>
          <w:iCs/>
          <w:color w:val="000000" w:themeColor="text1"/>
          <w:sz w:val="24"/>
        </w:rPr>
      </w:pPr>
      <w:r w:rsidRPr="007852DA">
        <w:rPr>
          <w:rFonts w:ascii="Book Antiqua" w:eastAsia="宋体" w:hAnsi="Book Antiqua" w:cs="Times New Roman"/>
          <w:b/>
          <w:bCs/>
          <w:i/>
          <w:iCs/>
          <w:color w:val="000000" w:themeColor="text1"/>
          <w:sz w:val="24"/>
        </w:rPr>
        <w:t>Clinical characteristics of MSA patients.</w:t>
      </w:r>
    </w:p>
    <w:p w14:paraId="39A4D556" w14:textId="5C14A770" w:rsidR="00216E54"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The clinical characteristics of the participants in this study are presented in Table 1. The ages and the sex composition of the participants in the MSA group, PD group and healthy control group were similar. In addition, the onset age, and clinical severity (scores on the clinical rating scales) of the MSA group and PD group are displayed and showed no differences. The patients in the MSA group were classified as MSA-P or MSA-C types and probable or possible types. Some common nonmotor symptoms, motor symptoms and imaging features of the MSA-P and MSA-C patients are presented and showed no differences between the subgroups (</w:t>
      </w:r>
      <w:r w:rsidR="00216E54" w:rsidRPr="007852DA">
        <w:rPr>
          <w:rFonts w:ascii="Book Antiqua" w:eastAsia="宋体" w:hAnsi="Book Antiqua" w:cs="Times New Roman"/>
          <w:color w:val="000000" w:themeColor="text1"/>
          <w:sz w:val="24"/>
        </w:rPr>
        <w:t xml:space="preserve">Supplementary </w:t>
      </w:r>
      <w:r w:rsidRPr="007852DA">
        <w:rPr>
          <w:rFonts w:ascii="Book Antiqua" w:eastAsia="宋体" w:hAnsi="Book Antiqua" w:cs="Times New Roman"/>
          <w:color w:val="000000" w:themeColor="text1"/>
          <w:sz w:val="24"/>
        </w:rPr>
        <w:t>Table 1).</w:t>
      </w:r>
    </w:p>
    <w:p w14:paraId="03991F49" w14:textId="77777777" w:rsidR="00216E54" w:rsidRPr="007852DA" w:rsidRDefault="00216E54" w:rsidP="001F49D0">
      <w:pPr>
        <w:autoSpaceDE w:val="0"/>
        <w:autoSpaceDN w:val="0"/>
        <w:adjustRightInd w:val="0"/>
        <w:spacing w:line="360" w:lineRule="auto"/>
        <w:rPr>
          <w:rFonts w:ascii="Book Antiqua" w:eastAsia="宋体" w:hAnsi="Book Antiqua" w:cs="Times New Roman"/>
          <w:color w:val="000000" w:themeColor="text1"/>
          <w:sz w:val="24"/>
        </w:rPr>
      </w:pPr>
    </w:p>
    <w:p w14:paraId="2451DB3C" w14:textId="77777777" w:rsidR="000D474F" w:rsidRPr="007852DA" w:rsidRDefault="0096702B" w:rsidP="001F49D0">
      <w:pPr>
        <w:autoSpaceDE w:val="0"/>
        <w:autoSpaceDN w:val="0"/>
        <w:adjustRightInd w:val="0"/>
        <w:spacing w:line="360" w:lineRule="auto"/>
        <w:rPr>
          <w:rFonts w:ascii="Book Antiqua" w:eastAsia="宋体" w:hAnsi="Book Antiqua" w:cs="Times New Roman"/>
          <w:b/>
          <w:bCs/>
          <w:i/>
          <w:iCs/>
          <w:color w:val="000000" w:themeColor="text1"/>
          <w:sz w:val="24"/>
        </w:rPr>
      </w:pPr>
      <w:r w:rsidRPr="007852DA">
        <w:rPr>
          <w:rFonts w:ascii="Book Antiqua" w:eastAsia="宋体" w:hAnsi="Book Antiqua" w:cs="Times New Roman"/>
          <w:b/>
          <w:bCs/>
          <w:i/>
          <w:iCs/>
          <w:color w:val="000000" w:themeColor="text1"/>
          <w:sz w:val="24"/>
        </w:rPr>
        <w:t>Serum GDF15 levels in MSA patients were significantly higher than in PD patients and healthy controls</w:t>
      </w:r>
    </w:p>
    <w:p w14:paraId="73544A9C" w14:textId="7CA4C979"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The serum GDF15 levels in the MSA patients </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1105.69 (984.24)</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were significantly higher than </w:t>
      </w:r>
      <w:r w:rsidR="00827AAD" w:rsidRPr="007852DA">
        <w:rPr>
          <w:rFonts w:ascii="Book Antiqua" w:eastAsia="宋体" w:hAnsi="Book Antiqua" w:cs="Times New Roman"/>
          <w:color w:val="000000" w:themeColor="text1"/>
          <w:sz w:val="24"/>
        </w:rPr>
        <w:t xml:space="preserve">those </w:t>
      </w:r>
      <w:r w:rsidRPr="007852DA">
        <w:rPr>
          <w:rFonts w:ascii="Book Antiqua" w:eastAsia="宋体" w:hAnsi="Book Antiqua" w:cs="Times New Roman"/>
          <w:color w:val="000000" w:themeColor="text1"/>
          <w:sz w:val="24"/>
        </w:rPr>
        <w:t xml:space="preserve">in PD patients </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506.70 (346.80); </w:t>
      </w:r>
      <w:r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0.000</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and healthy controls </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313.85 (247.76); </w:t>
      </w:r>
      <w:r w:rsidR="00216E54"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0.000</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(Table 1). Further analysis showed that serum GDF15 levels in MSA-P patients </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1121.82 (897.09)</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and MSA-C patients </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916.14 (1009.59)</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were both significantly higher compared with PD patients </w:t>
      </w:r>
      <w:bookmarkStart w:id="67" w:name="OLE_LINK74"/>
      <w:bookmarkStart w:id="68" w:name="OLE_LINK73"/>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506.70 (346.80); </w:t>
      </w:r>
      <w:r w:rsidR="00216E54"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0.000, 0.000</w:t>
      </w:r>
      <w:r w:rsidR="00827AAD"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respectively</w:t>
      </w:r>
      <w:bookmarkEnd w:id="67"/>
      <w:bookmarkEnd w:id="68"/>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(Figure 1).</w:t>
      </w:r>
    </w:p>
    <w:p w14:paraId="03BF3D42" w14:textId="77777777" w:rsidR="000D474F" w:rsidRPr="007852DA" w:rsidRDefault="000D474F" w:rsidP="001F49D0">
      <w:pPr>
        <w:autoSpaceDE w:val="0"/>
        <w:autoSpaceDN w:val="0"/>
        <w:adjustRightInd w:val="0"/>
        <w:spacing w:line="360" w:lineRule="auto"/>
        <w:rPr>
          <w:rFonts w:ascii="Book Antiqua" w:eastAsia="宋体" w:hAnsi="Book Antiqua" w:cs="Times New Roman"/>
          <w:color w:val="000000" w:themeColor="text1"/>
          <w:sz w:val="24"/>
        </w:rPr>
      </w:pPr>
    </w:p>
    <w:p w14:paraId="5A9DC6BF" w14:textId="77777777" w:rsidR="000D474F" w:rsidRPr="007852DA" w:rsidRDefault="0096702B" w:rsidP="001F49D0">
      <w:pPr>
        <w:autoSpaceDE w:val="0"/>
        <w:autoSpaceDN w:val="0"/>
        <w:adjustRightInd w:val="0"/>
        <w:spacing w:line="360" w:lineRule="auto"/>
        <w:rPr>
          <w:rFonts w:ascii="Book Antiqua" w:eastAsia="宋体" w:hAnsi="Book Antiqua" w:cs="Times New Roman"/>
          <w:b/>
          <w:bCs/>
          <w:i/>
          <w:iCs/>
          <w:color w:val="000000" w:themeColor="text1"/>
          <w:sz w:val="24"/>
        </w:rPr>
      </w:pPr>
      <w:r w:rsidRPr="007852DA">
        <w:rPr>
          <w:rFonts w:ascii="Book Antiqua" w:eastAsia="宋体" w:hAnsi="Book Antiqua" w:cs="Times New Roman"/>
          <w:b/>
          <w:bCs/>
          <w:i/>
          <w:iCs/>
          <w:color w:val="000000" w:themeColor="text1"/>
          <w:sz w:val="24"/>
        </w:rPr>
        <w:t>Serum GDF15 levels in patients in different MSA subgroups</w:t>
      </w:r>
    </w:p>
    <w:p w14:paraId="71DE68F2" w14:textId="16181D5C"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bookmarkStart w:id="69" w:name="OLE_LINK263"/>
      <w:bookmarkStart w:id="70" w:name="OLE_LINK264"/>
      <w:r w:rsidRPr="007852DA">
        <w:rPr>
          <w:rFonts w:ascii="Book Antiqua" w:eastAsia="宋体" w:hAnsi="Book Antiqua" w:cs="Times New Roman"/>
          <w:color w:val="000000" w:themeColor="text1"/>
          <w:sz w:val="24"/>
        </w:rPr>
        <w:t xml:space="preserve">Serum GDF15 levels were significantly higher in male patients with MSA than in female patients </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1311.84 (1214.16)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795.31 (698.54), respectively; </w:t>
      </w:r>
      <w:r w:rsidR="00216E54"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0.043</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w:t>
      </w:r>
      <w:r w:rsidR="00827AAD" w:rsidRPr="007852DA">
        <w:rPr>
          <w:rFonts w:ascii="Book Antiqua" w:eastAsia="宋体" w:hAnsi="Book Antiqua" w:cs="Times New Roman"/>
          <w:color w:val="000000" w:themeColor="text1"/>
          <w:sz w:val="24"/>
        </w:rPr>
        <w:t>P</w:t>
      </w:r>
      <w:r w:rsidRPr="007852DA">
        <w:rPr>
          <w:rFonts w:ascii="Book Antiqua" w:eastAsia="宋体" w:hAnsi="Book Antiqua" w:cs="Times New Roman"/>
          <w:color w:val="000000" w:themeColor="text1"/>
          <w:sz w:val="24"/>
        </w:rPr>
        <w:t xml:space="preserve">atients with </w:t>
      </w:r>
      <w:bookmarkStart w:id="71" w:name="OLE_LINK250"/>
      <w:bookmarkStart w:id="72" w:name="OLE_LINK249"/>
      <w:r w:rsidRPr="007852DA">
        <w:rPr>
          <w:rFonts w:ascii="Book Antiqua" w:eastAsia="宋体" w:hAnsi="Book Antiqua" w:cs="Times New Roman"/>
          <w:color w:val="000000" w:themeColor="text1"/>
          <w:sz w:val="24"/>
        </w:rPr>
        <w:t>disease duration</w:t>
      </w:r>
      <w:r w:rsidR="00827AAD" w:rsidRPr="007852DA">
        <w:rPr>
          <w:rFonts w:ascii="Book Antiqua" w:eastAsia="宋体" w:hAnsi="Book Antiqua" w:cs="Times New Roman"/>
          <w:color w:val="000000" w:themeColor="text1"/>
          <w:sz w:val="24"/>
        </w:rPr>
        <w:t xml:space="preserve"> of</w:t>
      </w:r>
      <w:r w:rsidRPr="007852DA">
        <w:rPr>
          <w:rFonts w:ascii="Book Antiqua" w:eastAsia="宋体" w:hAnsi="Book Antiqua" w:cs="Times New Roman"/>
          <w:color w:val="000000" w:themeColor="text1"/>
          <w:sz w:val="24"/>
        </w:rPr>
        <w:t xml:space="preserve"> more than 3 years </w:t>
      </w:r>
      <w:bookmarkEnd w:id="71"/>
      <w:bookmarkEnd w:id="72"/>
      <w:r w:rsidRPr="007852DA">
        <w:rPr>
          <w:rFonts w:ascii="Book Antiqua" w:eastAsia="宋体" w:hAnsi="Book Antiqua" w:cs="Times New Roman"/>
          <w:color w:val="000000" w:themeColor="text1"/>
          <w:sz w:val="24"/>
        </w:rPr>
        <w:t xml:space="preserve">also showed higher serum GDF15 levels than those with </w:t>
      </w:r>
      <w:r w:rsidR="00827AAD" w:rsidRPr="007852DA">
        <w:rPr>
          <w:rFonts w:ascii="Book Antiqua" w:eastAsia="宋体" w:hAnsi="Book Antiqua" w:cs="Times New Roman"/>
          <w:color w:val="000000" w:themeColor="text1"/>
          <w:sz w:val="24"/>
        </w:rPr>
        <w:t xml:space="preserve">a </w:t>
      </w:r>
      <w:r w:rsidRPr="007852DA">
        <w:rPr>
          <w:rFonts w:ascii="Book Antiqua" w:eastAsia="宋体" w:hAnsi="Book Antiqua" w:cs="Times New Roman"/>
          <w:color w:val="000000" w:themeColor="text1"/>
          <w:sz w:val="24"/>
        </w:rPr>
        <w:t xml:space="preserve">shorter disease duration </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1393.79 (1021.36)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612.31 (527.96), respectively; </w:t>
      </w:r>
      <w:r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0.000</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However, the serum GDF15 levels in </w:t>
      </w:r>
      <w:bookmarkStart w:id="73" w:name="OLE_LINK254"/>
      <w:bookmarkStart w:id="74" w:name="OLE_LINK253"/>
      <w:r w:rsidRPr="007852DA">
        <w:rPr>
          <w:rFonts w:ascii="Book Antiqua" w:eastAsia="宋体" w:hAnsi="Book Antiqua" w:cs="Times New Roman"/>
          <w:color w:val="000000" w:themeColor="text1"/>
          <w:sz w:val="24"/>
        </w:rPr>
        <w:t xml:space="preserve">patients with different </w:t>
      </w:r>
      <w:bookmarkStart w:id="75" w:name="OLE_LINK248"/>
      <w:bookmarkStart w:id="76" w:name="OLE_LINK247"/>
      <w:r w:rsidRPr="007852DA">
        <w:rPr>
          <w:rFonts w:ascii="Book Antiqua" w:eastAsia="宋体" w:hAnsi="Book Antiqua" w:cs="Times New Roman"/>
          <w:color w:val="000000" w:themeColor="text1"/>
          <w:sz w:val="24"/>
        </w:rPr>
        <w:t xml:space="preserve">ages of onset </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&gt;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50 years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50 years; 1156.99 (1028.41)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795.32 (605.42), respectively; </w:t>
      </w:r>
      <w:r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0.185</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clinical subtypes </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MSA-P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MSA-C; 1121.82 (897.09)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916.14 (1009.59), respectively; </w:t>
      </w:r>
      <w:r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0.622</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or diagnostic criteria </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probable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possible; </w:t>
      </w:r>
      <w:bookmarkEnd w:id="73"/>
      <w:bookmarkEnd w:id="74"/>
      <w:bookmarkEnd w:id="75"/>
      <w:bookmarkEnd w:id="76"/>
      <w:r w:rsidRPr="007852DA">
        <w:rPr>
          <w:rFonts w:ascii="Book Antiqua" w:eastAsia="宋体" w:hAnsi="Book Antiqua" w:cs="Times New Roman"/>
          <w:color w:val="000000" w:themeColor="text1"/>
          <w:sz w:val="24"/>
        </w:rPr>
        <w:t xml:space="preserve">887.55 (1004.50)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1182.16 (753.32), respectively; </w:t>
      </w:r>
      <w:r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0.561</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showed no differences (Table 2).</w:t>
      </w:r>
    </w:p>
    <w:p w14:paraId="7C6D0AC4" w14:textId="77777777" w:rsidR="000D474F" w:rsidRPr="007852DA" w:rsidRDefault="000D474F" w:rsidP="001F49D0">
      <w:pPr>
        <w:autoSpaceDE w:val="0"/>
        <w:autoSpaceDN w:val="0"/>
        <w:adjustRightInd w:val="0"/>
        <w:spacing w:line="360" w:lineRule="auto"/>
        <w:rPr>
          <w:rFonts w:ascii="Book Antiqua" w:eastAsia="宋体" w:hAnsi="Book Antiqua" w:cs="Times New Roman"/>
          <w:color w:val="000000" w:themeColor="text1"/>
          <w:sz w:val="24"/>
        </w:rPr>
      </w:pPr>
    </w:p>
    <w:bookmarkEnd w:id="69"/>
    <w:bookmarkEnd w:id="70"/>
    <w:p w14:paraId="7E42EEF8" w14:textId="77777777" w:rsidR="000D474F" w:rsidRPr="007852DA" w:rsidRDefault="0096702B" w:rsidP="001F49D0">
      <w:pPr>
        <w:autoSpaceDE w:val="0"/>
        <w:autoSpaceDN w:val="0"/>
        <w:adjustRightInd w:val="0"/>
        <w:spacing w:line="360" w:lineRule="auto"/>
        <w:rPr>
          <w:rFonts w:ascii="Book Antiqua" w:eastAsia="宋体" w:hAnsi="Book Antiqua" w:cs="Times New Roman"/>
          <w:b/>
          <w:bCs/>
          <w:i/>
          <w:iCs/>
          <w:color w:val="000000" w:themeColor="text1"/>
          <w:sz w:val="24"/>
        </w:rPr>
      </w:pPr>
      <w:r w:rsidRPr="007852DA">
        <w:rPr>
          <w:rFonts w:ascii="Book Antiqua" w:eastAsia="宋体" w:hAnsi="Book Antiqua" w:cs="Times New Roman"/>
          <w:b/>
          <w:bCs/>
          <w:i/>
          <w:iCs/>
          <w:color w:val="000000" w:themeColor="text1"/>
          <w:sz w:val="24"/>
        </w:rPr>
        <w:t>ROC curve analysis of serum GDF15 as a potential MSA diagnostic biomarker</w:t>
      </w:r>
    </w:p>
    <w:p w14:paraId="68D6A457" w14:textId="77777777"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ROC curve analysis was performed to assess the potential diagnostic value of serum GDF15 levels in MSA patients. As shown in Figure 2, </w:t>
      </w:r>
      <w:bookmarkStart w:id="77" w:name="OLE_LINK241"/>
      <w:bookmarkStart w:id="78" w:name="OLE_LINK242"/>
      <w:r w:rsidRPr="007852DA">
        <w:rPr>
          <w:rFonts w:ascii="Book Antiqua" w:eastAsia="宋体" w:hAnsi="Book Antiqua" w:cs="Times New Roman"/>
          <w:color w:val="000000" w:themeColor="text1"/>
          <w:sz w:val="24"/>
        </w:rPr>
        <w:t xml:space="preserve">the best cutoff concentration was 470.42 </w:t>
      </w:r>
      <w:proofErr w:type="spellStart"/>
      <w:r w:rsidRPr="007852DA">
        <w:rPr>
          <w:rFonts w:ascii="Book Antiqua" w:eastAsia="宋体" w:hAnsi="Book Antiqua" w:cs="Times New Roman"/>
          <w:color w:val="000000" w:themeColor="text1"/>
          <w:sz w:val="24"/>
        </w:rPr>
        <w:t>pg</w:t>
      </w:r>
      <w:proofErr w:type="spellEnd"/>
      <w:r w:rsidRPr="007852DA">
        <w:rPr>
          <w:rFonts w:ascii="Book Antiqua" w:eastAsia="宋体" w:hAnsi="Book Antiqua" w:cs="Times New Roman"/>
          <w:color w:val="000000" w:themeColor="text1"/>
          <w:sz w:val="24"/>
        </w:rPr>
        <w:t>/m</w:t>
      </w:r>
      <w:r w:rsidR="00216E54" w:rsidRPr="007852DA">
        <w:rPr>
          <w:rFonts w:ascii="Book Antiqua" w:eastAsia="宋体" w:hAnsi="Book Antiqua" w:cs="Times New Roman"/>
          <w:color w:val="000000" w:themeColor="text1"/>
          <w:sz w:val="24"/>
        </w:rPr>
        <w:t>L</w:t>
      </w:r>
      <w:r w:rsidRPr="007852DA">
        <w:rPr>
          <w:rFonts w:ascii="Book Antiqua" w:eastAsia="宋体" w:hAnsi="Book Antiqua" w:cs="Times New Roman"/>
          <w:color w:val="000000" w:themeColor="text1"/>
          <w:sz w:val="24"/>
        </w:rPr>
        <w:t xml:space="preserve"> for all MSA patients, and the AUC was 0.929 </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SE: 0.027, 95%CI</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0.876-0.981, </w:t>
      </w:r>
      <w:r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0.000), while the sensitivity and specificity were 85.7% and 88.0%, respectively. For males, the AUC was </w:t>
      </w:r>
      <w:bookmarkStart w:id="79" w:name="OLE_LINK239"/>
      <w:bookmarkStart w:id="80" w:name="OLE_LINK240"/>
      <w:r w:rsidRPr="007852DA">
        <w:rPr>
          <w:rFonts w:ascii="Book Antiqua" w:eastAsia="宋体" w:hAnsi="Book Antiqua" w:cs="Times New Roman"/>
          <w:color w:val="000000" w:themeColor="text1"/>
          <w:sz w:val="24"/>
        </w:rPr>
        <w:t>0.954 (SE: 0.030, 95%CI</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0.896-1.000, </w:t>
      </w:r>
      <w:r w:rsidR="00216E54"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0.000), with a sensitivity of 82.6% and specificity of 100.0%, where the optimal cutoff value for serum GDF15 levels was 552.10 </w:t>
      </w:r>
      <w:proofErr w:type="spellStart"/>
      <w:r w:rsidRPr="007852DA">
        <w:rPr>
          <w:rFonts w:ascii="Book Antiqua" w:eastAsia="宋体" w:hAnsi="Book Antiqua" w:cs="Times New Roman"/>
          <w:color w:val="000000" w:themeColor="text1"/>
          <w:sz w:val="24"/>
        </w:rPr>
        <w:t>pg</w:t>
      </w:r>
      <w:proofErr w:type="spellEnd"/>
      <w:r w:rsidRPr="007852DA">
        <w:rPr>
          <w:rFonts w:ascii="Book Antiqua" w:eastAsia="宋体" w:hAnsi="Book Antiqua" w:cs="Times New Roman"/>
          <w:color w:val="000000" w:themeColor="text1"/>
          <w:sz w:val="24"/>
        </w:rPr>
        <w:t>/</w:t>
      </w:r>
      <w:proofErr w:type="spellStart"/>
      <w:r w:rsidRPr="007852DA">
        <w:rPr>
          <w:rFonts w:ascii="Book Antiqua" w:eastAsia="宋体" w:hAnsi="Book Antiqua" w:cs="Times New Roman"/>
          <w:color w:val="000000" w:themeColor="text1"/>
          <w:sz w:val="24"/>
        </w:rPr>
        <w:t>m</w:t>
      </w:r>
      <w:r w:rsidR="00216E54" w:rsidRPr="007852DA">
        <w:rPr>
          <w:rFonts w:ascii="Book Antiqua" w:eastAsia="宋体" w:hAnsi="Book Antiqua" w:cs="Times New Roman"/>
          <w:color w:val="000000" w:themeColor="text1"/>
          <w:sz w:val="24"/>
        </w:rPr>
        <w:t>L</w:t>
      </w:r>
      <w:r w:rsidRPr="007852DA">
        <w:rPr>
          <w:rFonts w:ascii="Book Antiqua" w:eastAsia="宋体" w:hAnsi="Book Antiqua" w:cs="Times New Roman"/>
          <w:color w:val="000000" w:themeColor="text1"/>
          <w:sz w:val="24"/>
        </w:rPr>
        <w:t>.</w:t>
      </w:r>
      <w:proofErr w:type="spellEnd"/>
      <w:r w:rsidRPr="007852DA">
        <w:rPr>
          <w:rFonts w:ascii="Book Antiqua" w:eastAsia="宋体" w:hAnsi="Book Antiqua" w:cs="Times New Roman"/>
          <w:color w:val="000000" w:themeColor="text1"/>
          <w:sz w:val="24"/>
        </w:rPr>
        <w:t xml:space="preserve"> </w:t>
      </w:r>
      <w:bookmarkEnd w:id="79"/>
      <w:bookmarkEnd w:id="80"/>
      <w:r w:rsidRPr="007852DA">
        <w:rPr>
          <w:rFonts w:ascii="Book Antiqua" w:eastAsia="宋体" w:hAnsi="Book Antiqua" w:cs="Times New Roman"/>
          <w:color w:val="000000" w:themeColor="text1"/>
          <w:sz w:val="24"/>
        </w:rPr>
        <w:t>In females, the AUC was 0.905 (SE: 0.044, 95%CI</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0.820-0.990, </w:t>
      </w:r>
      <w:r w:rsidR="00216E54"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0.000), with a sensitivity of 80.8% and specificity of 90.0%, where the optimal cutoff value for serum GDF15 levels was 470.42 </w:t>
      </w:r>
      <w:proofErr w:type="spellStart"/>
      <w:r w:rsidRPr="007852DA">
        <w:rPr>
          <w:rFonts w:ascii="Book Antiqua" w:eastAsia="宋体" w:hAnsi="Book Antiqua" w:cs="Times New Roman"/>
          <w:color w:val="000000" w:themeColor="text1"/>
          <w:sz w:val="24"/>
        </w:rPr>
        <w:t>pg</w:t>
      </w:r>
      <w:proofErr w:type="spellEnd"/>
      <w:r w:rsidRPr="007852DA">
        <w:rPr>
          <w:rFonts w:ascii="Book Antiqua" w:eastAsia="宋体" w:hAnsi="Book Antiqua" w:cs="Times New Roman"/>
          <w:color w:val="000000" w:themeColor="text1"/>
          <w:sz w:val="24"/>
        </w:rPr>
        <w:t>/m</w:t>
      </w:r>
      <w:bookmarkEnd w:id="77"/>
      <w:bookmarkEnd w:id="78"/>
      <w:r w:rsidR="00216E54" w:rsidRPr="007852DA">
        <w:rPr>
          <w:rFonts w:ascii="Book Antiqua" w:eastAsia="宋体" w:hAnsi="Book Antiqua" w:cs="Times New Roman"/>
          <w:color w:val="000000" w:themeColor="text1"/>
          <w:sz w:val="24"/>
        </w:rPr>
        <w:t>L</w:t>
      </w:r>
      <w:r w:rsidRPr="007852DA">
        <w:rPr>
          <w:rFonts w:ascii="Book Antiqua" w:eastAsia="宋体" w:hAnsi="Book Antiqua" w:cs="Times New Roman"/>
          <w:color w:val="000000" w:themeColor="text1"/>
          <w:sz w:val="24"/>
        </w:rPr>
        <w:t xml:space="preserve"> </w:t>
      </w:r>
      <w:bookmarkStart w:id="81" w:name="OLE_LINK75"/>
      <w:bookmarkStart w:id="82" w:name="OLE_LINK76"/>
      <w:r w:rsidRPr="007852DA">
        <w:rPr>
          <w:rFonts w:ascii="Book Antiqua" w:eastAsia="宋体" w:hAnsi="Book Antiqua" w:cs="Times New Roman"/>
          <w:color w:val="000000" w:themeColor="text1"/>
          <w:sz w:val="24"/>
        </w:rPr>
        <w:t>(Table 3, Figure 2)</w:t>
      </w:r>
      <w:bookmarkEnd w:id="81"/>
      <w:bookmarkEnd w:id="82"/>
      <w:r w:rsidRPr="007852DA">
        <w:rPr>
          <w:rFonts w:ascii="Book Antiqua" w:eastAsia="宋体" w:hAnsi="Book Antiqua" w:cs="Times New Roman"/>
          <w:color w:val="000000" w:themeColor="text1"/>
          <w:sz w:val="24"/>
        </w:rPr>
        <w:t>.</w:t>
      </w:r>
    </w:p>
    <w:p w14:paraId="0D6B8E60" w14:textId="77777777"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The potential value of serum GDF15 levels in the differential diagnosis between MSA and PD was also assessed. The best cutoff concentration was 1075.91 </w:t>
      </w:r>
      <w:proofErr w:type="spellStart"/>
      <w:r w:rsidRPr="007852DA">
        <w:rPr>
          <w:rFonts w:ascii="Book Antiqua" w:eastAsia="宋体" w:hAnsi="Book Antiqua" w:cs="Times New Roman"/>
          <w:color w:val="000000" w:themeColor="text1"/>
          <w:sz w:val="24"/>
        </w:rPr>
        <w:t>pg</w:t>
      </w:r>
      <w:proofErr w:type="spellEnd"/>
      <w:r w:rsidRPr="007852DA">
        <w:rPr>
          <w:rFonts w:ascii="Book Antiqua" w:eastAsia="宋体" w:hAnsi="Book Antiqua" w:cs="Times New Roman"/>
          <w:color w:val="000000" w:themeColor="text1"/>
          <w:sz w:val="24"/>
        </w:rPr>
        <w:t>/m</w:t>
      </w:r>
      <w:r w:rsidR="00216E54" w:rsidRPr="007852DA">
        <w:rPr>
          <w:rFonts w:ascii="Book Antiqua" w:eastAsia="宋体" w:hAnsi="Book Antiqua" w:cs="Times New Roman"/>
          <w:color w:val="000000" w:themeColor="text1"/>
          <w:sz w:val="24"/>
        </w:rPr>
        <w:t>L</w:t>
      </w:r>
      <w:r w:rsidRPr="007852DA">
        <w:rPr>
          <w:rFonts w:ascii="Book Antiqua" w:eastAsia="宋体" w:hAnsi="Book Antiqua" w:cs="Times New Roman"/>
          <w:color w:val="000000" w:themeColor="text1"/>
          <w:sz w:val="24"/>
        </w:rPr>
        <w:t xml:space="preserve"> for all MSA patients, and the AUC was 0.765 (SE: 0.0458, 95%CI</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0.671-0.859, </w:t>
      </w:r>
      <w:r w:rsidR="00216E54"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0.000), while the sensitivity and specificity were 51.0% </w:t>
      </w:r>
      <w:r w:rsidRPr="007852DA">
        <w:rPr>
          <w:rFonts w:ascii="Book Antiqua" w:eastAsia="宋体" w:hAnsi="Book Antiqua" w:cs="Times New Roman"/>
          <w:color w:val="000000" w:themeColor="text1"/>
          <w:sz w:val="24"/>
        </w:rPr>
        <w:lastRenderedPageBreak/>
        <w:t>and 95.0%, respectively. For males, the AUC was 0.772 (SE: 0.072, 95%CI</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0.630-0.914, </w:t>
      </w:r>
      <w:r w:rsidR="00216E54"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0.001), with a sensitivity of 65.2% and specificity of 95.8%, where the optimal cutoff value for serum GDF15 levels was 1075.91 </w:t>
      </w:r>
      <w:proofErr w:type="spellStart"/>
      <w:r w:rsidRPr="007852DA">
        <w:rPr>
          <w:rFonts w:ascii="Book Antiqua" w:eastAsia="宋体" w:hAnsi="Book Antiqua" w:cs="Times New Roman"/>
          <w:color w:val="000000" w:themeColor="text1"/>
          <w:sz w:val="24"/>
        </w:rPr>
        <w:t>pg</w:t>
      </w:r>
      <w:proofErr w:type="spellEnd"/>
      <w:r w:rsidRPr="007852DA">
        <w:rPr>
          <w:rFonts w:ascii="Book Antiqua" w:eastAsia="宋体" w:hAnsi="Book Antiqua" w:cs="Times New Roman"/>
          <w:color w:val="000000" w:themeColor="text1"/>
          <w:sz w:val="24"/>
        </w:rPr>
        <w:t>/</w:t>
      </w:r>
      <w:proofErr w:type="spellStart"/>
      <w:r w:rsidRPr="007852DA">
        <w:rPr>
          <w:rFonts w:ascii="Book Antiqua" w:eastAsia="宋体" w:hAnsi="Book Antiqua" w:cs="Times New Roman"/>
          <w:color w:val="000000" w:themeColor="text1"/>
          <w:sz w:val="24"/>
        </w:rPr>
        <w:t>m</w:t>
      </w:r>
      <w:r w:rsidR="00216E54" w:rsidRPr="007852DA">
        <w:rPr>
          <w:rFonts w:ascii="Book Antiqua" w:eastAsia="宋体" w:hAnsi="Book Antiqua" w:cs="Times New Roman"/>
          <w:color w:val="000000" w:themeColor="text1"/>
          <w:sz w:val="24"/>
        </w:rPr>
        <w:t>L</w:t>
      </w:r>
      <w:r w:rsidRPr="007852DA">
        <w:rPr>
          <w:rFonts w:ascii="Book Antiqua" w:eastAsia="宋体" w:hAnsi="Book Antiqua" w:cs="Times New Roman"/>
          <w:color w:val="000000" w:themeColor="text1"/>
          <w:sz w:val="24"/>
        </w:rPr>
        <w:t>.</w:t>
      </w:r>
      <w:proofErr w:type="spellEnd"/>
      <w:r w:rsidRPr="007852DA">
        <w:rPr>
          <w:rFonts w:ascii="Book Antiqua" w:eastAsia="宋体" w:hAnsi="Book Antiqua" w:cs="Times New Roman"/>
          <w:color w:val="000000" w:themeColor="text1"/>
          <w:sz w:val="24"/>
        </w:rPr>
        <w:t xml:space="preserve"> In females, the AUC was 0.783 (SE: 0.066, 95%CI</w:t>
      </w:r>
      <w:r w:rsidR="00216E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0.654-0.911, </w:t>
      </w:r>
      <w:r w:rsidR="00216E54" w:rsidRPr="007852DA">
        <w:rPr>
          <w:rFonts w:ascii="Book Antiqua" w:eastAsia="宋体" w:hAnsi="Book Antiqua" w:cs="Times New Roman"/>
          <w:i/>
          <w:iCs/>
          <w:color w:val="000000" w:themeColor="text1"/>
          <w:sz w:val="24"/>
        </w:rPr>
        <w:t>P</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0.000), with a sensitivity of 65.4% and specificity of 88.5%, where the optimal cutoff value for serum GDF15 levels was 616.39 </w:t>
      </w:r>
      <w:proofErr w:type="spellStart"/>
      <w:r w:rsidRPr="007852DA">
        <w:rPr>
          <w:rFonts w:ascii="Book Antiqua" w:eastAsia="宋体" w:hAnsi="Book Antiqua" w:cs="Times New Roman"/>
          <w:color w:val="000000" w:themeColor="text1"/>
          <w:sz w:val="24"/>
        </w:rPr>
        <w:t>pg</w:t>
      </w:r>
      <w:proofErr w:type="spellEnd"/>
      <w:r w:rsidRPr="007852DA">
        <w:rPr>
          <w:rFonts w:ascii="Book Antiqua" w:eastAsia="宋体" w:hAnsi="Book Antiqua" w:cs="Times New Roman"/>
          <w:color w:val="000000" w:themeColor="text1"/>
          <w:sz w:val="24"/>
        </w:rPr>
        <w:t>/m</w:t>
      </w:r>
      <w:r w:rsidR="00216E54" w:rsidRPr="007852DA">
        <w:rPr>
          <w:rFonts w:ascii="Book Antiqua" w:eastAsia="宋体" w:hAnsi="Book Antiqua" w:cs="Times New Roman"/>
          <w:color w:val="000000" w:themeColor="text1"/>
          <w:sz w:val="24"/>
        </w:rPr>
        <w:t>L</w:t>
      </w:r>
      <w:r w:rsidRPr="007852DA">
        <w:rPr>
          <w:rFonts w:ascii="Book Antiqua" w:eastAsia="宋体" w:hAnsi="Book Antiqua" w:cs="Times New Roman"/>
          <w:color w:val="000000" w:themeColor="text1"/>
          <w:sz w:val="24"/>
        </w:rPr>
        <w:t xml:space="preserve"> (Table 3, Figure 2).</w:t>
      </w:r>
    </w:p>
    <w:p w14:paraId="7241BA82" w14:textId="77777777" w:rsidR="000D474F" w:rsidRPr="007852DA" w:rsidRDefault="000D474F" w:rsidP="001F49D0">
      <w:pPr>
        <w:autoSpaceDE w:val="0"/>
        <w:autoSpaceDN w:val="0"/>
        <w:adjustRightInd w:val="0"/>
        <w:spacing w:line="360" w:lineRule="auto"/>
        <w:rPr>
          <w:rFonts w:ascii="Book Antiqua" w:eastAsia="宋体" w:hAnsi="Book Antiqua" w:cs="Times New Roman"/>
          <w:color w:val="000000" w:themeColor="text1"/>
          <w:sz w:val="24"/>
        </w:rPr>
      </w:pPr>
    </w:p>
    <w:p w14:paraId="5E9D11EC" w14:textId="77777777" w:rsidR="001F49D0" w:rsidRPr="007852DA" w:rsidRDefault="001F49D0" w:rsidP="001F49D0">
      <w:pPr>
        <w:autoSpaceDE w:val="0"/>
        <w:autoSpaceDN w:val="0"/>
        <w:adjustRightInd w:val="0"/>
        <w:spacing w:line="360" w:lineRule="auto"/>
        <w:rPr>
          <w:rFonts w:ascii="Book Antiqua" w:hAnsi="Book Antiqua"/>
          <w:b/>
          <w:bCs/>
          <w:color w:val="000000" w:themeColor="text1"/>
          <w:sz w:val="24"/>
          <w:u w:val="single"/>
          <w:lang w:eastAsia="fr-FR"/>
        </w:rPr>
      </w:pPr>
      <w:r w:rsidRPr="007852DA">
        <w:rPr>
          <w:rFonts w:ascii="Book Antiqua" w:hAnsi="Book Antiqua"/>
          <w:b/>
          <w:bCs/>
          <w:color w:val="000000" w:themeColor="text1"/>
          <w:sz w:val="24"/>
          <w:u w:val="single"/>
          <w:lang w:eastAsia="fr-FR"/>
        </w:rPr>
        <w:t>DISCUSSION</w:t>
      </w:r>
    </w:p>
    <w:p w14:paraId="4AC57EF3" w14:textId="362B1FD3"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In this </w:t>
      </w:r>
      <w:bookmarkStart w:id="83" w:name="OLE_LINK243"/>
      <w:bookmarkStart w:id="84" w:name="OLE_LINK244"/>
      <w:r w:rsidRPr="007852DA">
        <w:rPr>
          <w:rFonts w:ascii="Book Antiqua" w:eastAsia="宋体" w:hAnsi="Book Antiqua" w:cs="Times New Roman"/>
          <w:color w:val="000000" w:themeColor="text1"/>
          <w:sz w:val="24"/>
        </w:rPr>
        <w:t>case-control study</w:t>
      </w:r>
      <w:bookmarkEnd w:id="83"/>
      <w:bookmarkEnd w:id="84"/>
      <w:r w:rsidRPr="007852DA">
        <w:rPr>
          <w:rFonts w:ascii="Book Antiqua" w:eastAsia="宋体" w:hAnsi="Book Antiqua" w:cs="Times New Roman"/>
          <w:color w:val="000000" w:themeColor="text1"/>
          <w:sz w:val="24"/>
        </w:rPr>
        <w:t xml:space="preserve">, we </w:t>
      </w:r>
      <w:r w:rsidR="00DA065C" w:rsidRPr="007852DA">
        <w:rPr>
          <w:rFonts w:ascii="Book Antiqua" w:eastAsia="宋体" w:hAnsi="Book Antiqua" w:cs="Times New Roman"/>
          <w:color w:val="000000" w:themeColor="text1"/>
          <w:sz w:val="24"/>
        </w:rPr>
        <w:t>determined</w:t>
      </w:r>
      <w:r w:rsidRPr="007852DA">
        <w:rPr>
          <w:rFonts w:ascii="Book Antiqua" w:eastAsia="宋体" w:hAnsi="Book Antiqua" w:cs="Times New Roman"/>
          <w:color w:val="000000" w:themeColor="text1"/>
          <w:sz w:val="24"/>
        </w:rPr>
        <w:t xml:space="preserve"> the serum GDF15 levels in MSA patients, PD patients and healthy controls and compared the differences between different MSA subgroups, which were classified by age of onset, sex, clinical subtype, diagnostic criteria or disease duration. In addition, the potential value of serum GDF15 levels as a diagnostic biomarker of MSA was analyzed, especially for the differential diagnosis between MSA and PD. We found that serum GDF15 levels in MSA patients were significantly higher compared with PD patients and healthy controls. Male patients with MSA showed higher serum GDF15 levels than female patients, and serum GDF15 levels were also higher in those with </w:t>
      </w:r>
      <w:r w:rsidR="00DA065C" w:rsidRPr="007852DA">
        <w:rPr>
          <w:rFonts w:ascii="Book Antiqua" w:eastAsia="宋体" w:hAnsi="Book Antiqua" w:cs="Times New Roman"/>
          <w:color w:val="000000" w:themeColor="text1"/>
          <w:sz w:val="24"/>
        </w:rPr>
        <w:t xml:space="preserve">a </w:t>
      </w:r>
      <w:r w:rsidRPr="007852DA">
        <w:rPr>
          <w:rFonts w:ascii="Book Antiqua" w:eastAsia="宋体" w:hAnsi="Book Antiqua" w:cs="Times New Roman"/>
          <w:color w:val="000000" w:themeColor="text1"/>
          <w:sz w:val="24"/>
        </w:rPr>
        <w:t>disease duration of more than 3 years.</w:t>
      </w:r>
    </w:p>
    <w:p w14:paraId="15A3FF8E" w14:textId="61361291" w:rsidR="000D474F" w:rsidRPr="007852DA" w:rsidRDefault="00DA065C"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S</w:t>
      </w:r>
      <w:r w:rsidR="0096702B" w:rsidRPr="007852DA">
        <w:rPr>
          <w:rFonts w:ascii="Book Antiqua" w:eastAsia="宋体" w:hAnsi="Book Antiqua" w:cs="Times New Roman"/>
          <w:color w:val="000000" w:themeColor="text1"/>
          <w:sz w:val="24"/>
        </w:rPr>
        <w:t xml:space="preserve">tudies </w:t>
      </w:r>
      <w:r w:rsidRPr="007852DA">
        <w:rPr>
          <w:rFonts w:ascii="Book Antiqua" w:eastAsia="宋体" w:hAnsi="Book Antiqua" w:cs="Times New Roman"/>
          <w:color w:val="000000" w:themeColor="text1"/>
          <w:sz w:val="24"/>
        </w:rPr>
        <w:t>on</w:t>
      </w:r>
      <w:r w:rsidR="0096702B" w:rsidRPr="007852DA">
        <w:rPr>
          <w:rFonts w:ascii="Book Antiqua" w:eastAsia="宋体" w:hAnsi="Book Antiqua" w:cs="Times New Roman"/>
          <w:color w:val="000000" w:themeColor="text1"/>
          <w:sz w:val="24"/>
        </w:rPr>
        <w:t xml:space="preserve"> blood and cerebrospinal fluid biomarkers for MSA</w:t>
      </w:r>
      <w:r w:rsidRPr="007852DA">
        <w:rPr>
          <w:rFonts w:ascii="Book Antiqua" w:eastAsia="宋体" w:hAnsi="Book Antiqua" w:cs="Times New Roman"/>
          <w:color w:val="000000" w:themeColor="text1"/>
          <w:sz w:val="24"/>
        </w:rPr>
        <w:t xml:space="preserve"> have been carried out</w:t>
      </w:r>
      <w:r w:rsidR="0096702B" w:rsidRPr="007852DA">
        <w:rPr>
          <w:rFonts w:ascii="Book Antiqua" w:eastAsia="宋体" w:hAnsi="Book Antiqua" w:cs="Times New Roman"/>
          <w:color w:val="000000" w:themeColor="text1"/>
          <w:sz w:val="24"/>
        </w:rPr>
        <w:t xml:space="preserve">, which have focused on total α-syn, markers of axonal degeneration, or </w:t>
      </w:r>
      <w:proofErr w:type="gramStart"/>
      <w:r w:rsidR="0096702B" w:rsidRPr="007852DA">
        <w:rPr>
          <w:rFonts w:ascii="Book Antiqua" w:eastAsia="宋体" w:hAnsi="Book Antiqua" w:cs="Times New Roman"/>
          <w:color w:val="000000" w:themeColor="text1"/>
          <w:sz w:val="24"/>
        </w:rPr>
        <w:t>catecholamines</w:t>
      </w:r>
      <w:r w:rsidR="0096702B" w:rsidRPr="007852DA">
        <w:rPr>
          <w:rFonts w:ascii="Book Antiqua" w:eastAsia="宋体" w:hAnsi="Book Antiqua" w:cs="Times New Roman"/>
          <w:color w:val="000000" w:themeColor="text1"/>
          <w:sz w:val="24"/>
          <w:vertAlign w:val="superscript"/>
        </w:rPr>
        <w:t>[</w:t>
      </w:r>
      <w:proofErr w:type="gramEnd"/>
      <w:r w:rsidR="00041FB5" w:rsidRPr="007852DA">
        <w:rPr>
          <w:rFonts w:ascii="Book Antiqua" w:eastAsia="宋体" w:hAnsi="Book Antiqua" w:cs="Times New Roman"/>
          <w:color w:val="000000" w:themeColor="text1"/>
          <w:sz w:val="24"/>
          <w:vertAlign w:val="superscript"/>
        </w:rPr>
        <w:t>7</w:t>
      </w:r>
      <w:r w:rsidR="0096702B" w:rsidRPr="007852DA">
        <w:rPr>
          <w:rFonts w:ascii="Book Antiqua" w:eastAsia="宋体" w:hAnsi="Book Antiqua" w:cs="Times New Roman"/>
          <w:color w:val="000000" w:themeColor="text1"/>
          <w:sz w:val="24"/>
          <w:vertAlign w:val="superscript"/>
        </w:rPr>
        <w:t>]</w:t>
      </w:r>
      <w:r w:rsidR="0096702B"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Due to</w:t>
      </w:r>
      <w:r w:rsidR="0096702B" w:rsidRPr="007852DA">
        <w:rPr>
          <w:rFonts w:ascii="Book Antiqua" w:eastAsia="宋体" w:hAnsi="Book Antiqua" w:cs="Times New Roman"/>
          <w:color w:val="000000" w:themeColor="text1"/>
          <w:sz w:val="24"/>
        </w:rPr>
        <w:t xml:space="preserve"> the complexity of the diagnostic process and the lack of effective treatment for the disorder, the priority is identification of potential and non-invasive biomarkers, which would facilitate the development of clinical </w:t>
      </w:r>
      <w:proofErr w:type="gramStart"/>
      <w:r w:rsidR="0096702B" w:rsidRPr="007852DA">
        <w:rPr>
          <w:rFonts w:ascii="Book Antiqua" w:eastAsia="宋体" w:hAnsi="Book Antiqua" w:cs="Times New Roman"/>
          <w:color w:val="000000" w:themeColor="text1"/>
          <w:sz w:val="24"/>
        </w:rPr>
        <w:t>trials</w:t>
      </w:r>
      <w:r w:rsidR="0096702B" w:rsidRPr="007852DA">
        <w:rPr>
          <w:rFonts w:ascii="Book Antiqua" w:eastAsia="宋体" w:hAnsi="Book Antiqua" w:cs="Times New Roman"/>
          <w:color w:val="000000" w:themeColor="text1"/>
          <w:sz w:val="24"/>
          <w:vertAlign w:val="superscript"/>
        </w:rPr>
        <w:t>[</w:t>
      </w:r>
      <w:proofErr w:type="gramEnd"/>
      <w:r w:rsidR="0096702B" w:rsidRPr="007852DA">
        <w:rPr>
          <w:rFonts w:ascii="Book Antiqua" w:eastAsia="宋体" w:hAnsi="Book Antiqua" w:cs="Times New Roman"/>
          <w:color w:val="000000" w:themeColor="text1"/>
          <w:sz w:val="24"/>
          <w:vertAlign w:val="superscript"/>
        </w:rPr>
        <w:t>2</w:t>
      </w:r>
      <w:r w:rsidR="00041FB5" w:rsidRPr="007852DA">
        <w:rPr>
          <w:rFonts w:ascii="Book Antiqua" w:eastAsia="宋体" w:hAnsi="Book Antiqua" w:cs="Times New Roman"/>
          <w:color w:val="000000" w:themeColor="text1"/>
          <w:sz w:val="24"/>
          <w:vertAlign w:val="superscript"/>
        </w:rPr>
        <w:t>8</w:t>
      </w:r>
      <w:r w:rsidR="0096702B" w:rsidRPr="007852DA">
        <w:rPr>
          <w:rFonts w:ascii="Book Antiqua" w:eastAsia="宋体" w:hAnsi="Book Antiqua" w:cs="Times New Roman"/>
          <w:color w:val="000000" w:themeColor="text1"/>
          <w:sz w:val="24"/>
          <w:vertAlign w:val="superscript"/>
        </w:rPr>
        <w:t>]</w:t>
      </w:r>
      <w:r w:rsidR="0096702B" w:rsidRPr="007852DA">
        <w:rPr>
          <w:rFonts w:ascii="Book Antiqua" w:eastAsia="宋体" w:hAnsi="Book Antiqua" w:cs="Times New Roman"/>
          <w:color w:val="000000" w:themeColor="text1"/>
          <w:sz w:val="24"/>
        </w:rPr>
        <w:t xml:space="preserve">. The ideal biomarker </w:t>
      </w:r>
      <w:r w:rsidRPr="007852DA">
        <w:rPr>
          <w:rFonts w:ascii="Book Antiqua" w:eastAsia="宋体" w:hAnsi="Book Antiqua" w:cs="Times New Roman"/>
          <w:color w:val="000000" w:themeColor="text1"/>
          <w:sz w:val="24"/>
        </w:rPr>
        <w:t>would be</w:t>
      </w:r>
      <w:r w:rsidR="0096702B" w:rsidRPr="007852DA">
        <w:rPr>
          <w:rFonts w:ascii="Book Antiqua" w:eastAsia="宋体" w:hAnsi="Book Antiqua" w:cs="Times New Roman"/>
          <w:color w:val="000000" w:themeColor="text1"/>
          <w:sz w:val="24"/>
        </w:rPr>
        <w:t xml:space="preserve"> detectable in easily accessible samples, </w:t>
      </w:r>
      <w:r w:rsidR="0096702B" w:rsidRPr="007852DA">
        <w:rPr>
          <w:rFonts w:ascii="Book Antiqua" w:eastAsia="宋体" w:hAnsi="Book Antiqua" w:cs="Times New Roman"/>
          <w:i/>
          <w:iCs/>
          <w:color w:val="000000" w:themeColor="text1"/>
          <w:sz w:val="24"/>
        </w:rPr>
        <w:t>i.e.</w:t>
      </w:r>
      <w:r w:rsidR="001F49D0" w:rsidRPr="007852DA">
        <w:rPr>
          <w:rFonts w:ascii="Book Antiqua" w:eastAsia="宋体" w:hAnsi="Book Antiqua" w:cs="Times New Roman"/>
          <w:color w:val="000000" w:themeColor="text1"/>
          <w:sz w:val="24"/>
        </w:rPr>
        <w:t>,</w:t>
      </w:r>
      <w:r w:rsidR="0096702B" w:rsidRPr="007852DA">
        <w:rPr>
          <w:rFonts w:ascii="Book Antiqua" w:eastAsia="宋体" w:hAnsi="Book Antiqua" w:cs="Times New Roman"/>
          <w:color w:val="000000" w:themeColor="text1"/>
          <w:sz w:val="24"/>
        </w:rPr>
        <w:t xml:space="preserve"> blood, urine, saliva, or exhaled air, </w:t>
      </w:r>
      <w:r w:rsidRPr="007852DA">
        <w:rPr>
          <w:rFonts w:ascii="Book Antiqua" w:eastAsia="宋体" w:hAnsi="Book Antiqua" w:cs="Times New Roman"/>
          <w:color w:val="000000" w:themeColor="text1"/>
          <w:sz w:val="24"/>
        </w:rPr>
        <w:t xml:space="preserve">as </w:t>
      </w:r>
      <w:proofErr w:type="spellStart"/>
      <w:r w:rsidR="0096702B" w:rsidRPr="007852DA">
        <w:rPr>
          <w:rFonts w:ascii="Book Antiqua" w:eastAsia="宋体" w:hAnsi="Book Antiqua" w:cs="Times New Roman"/>
          <w:color w:val="000000" w:themeColor="text1"/>
          <w:sz w:val="24"/>
        </w:rPr>
        <w:t>subideal</w:t>
      </w:r>
      <w:proofErr w:type="spellEnd"/>
      <w:r w:rsidR="0096702B" w:rsidRPr="007852DA">
        <w:rPr>
          <w:rFonts w:ascii="Book Antiqua" w:eastAsia="宋体" w:hAnsi="Book Antiqua" w:cs="Times New Roman"/>
          <w:color w:val="000000" w:themeColor="text1"/>
          <w:sz w:val="24"/>
        </w:rPr>
        <w:t xml:space="preserve"> biomarker</w:t>
      </w:r>
      <w:r w:rsidRPr="007852DA">
        <w:rPr>
          <w:rFonts w:ascii="Book Antiqua" w:eastAsia="宋体" w:hAnsi="Book Antiqua" w:cs="Times New Roman"/>
          <w:color w:val="000000" w:themeColor="text1"/>
          <w:sz w:val="24"/>
        </w:rPr>
        <w:t>s</w:t>
      </w:r>
      <w:r w:rsidR="0096702B" w:rsidRPr="007852DA">
        <w:rPr>
          <w:rFonts w:ascii="Book Antiqua" w:eastAsia="宋体" w:hAnsi="Book Antiqua" w:cs="Times New Roman"/>
          <w:color w:val="000000" w:themeColor="text1"/>
          <w:sz w:val="24"/>
        </w:rPr>
        <w:t xml:space="preserve"> such as cerebrospinal fluid, muscle, liver, or heart require more invasive procedures. </w:t>
      </w:r>
      <w:r w:rsidRPr="007852DA">
        <w:rPr>
          <w:rFonts w:ascii="Book Antiqua" w:eastAsia="宋体" w:hAnsi="Book Antiqua" w:cs="Times New Roman"/>
          <w:color w:val="000000" w:themeColor="text1"/>
          <w:sz w:val="24"/>
        </w:rPr>
        <w:t>A</w:t>
      </w:r>
      <w:r w:rsidR="0096702B" w:rsidRPr="007852DA">
        <w:rPr>
          <w:rFonts w:ascii="Book Antiqua" w:eastAsia="宋体" w:hAnsi="Book Antiqua" w:cs="Times New Roman"/>
          <w:color w:val="000000" w:themeColor="text1"/>
          <w:sz w:val="24"/>
        </w:rPr>
        <w:t xml:space="preserve"> recent study revealed that mean serum GDF15 levels in PD patients were significantly higher than those </w:t>
      </w:r>
      <w:r w:rsidRPr="007852DA">
        <w:rPr>
          <w:rFonts w:ascii="Book Antiqua" w:eastAsia="宋体" w:hAnsi="Book Antiqua" w:cs="Times New Roman"/>
          <w:color w:val="000000" w:themeColor="text1"/>
          <w:sz w:val="24"/>
        </w:rPr>
        <w:t>in</w:t>
      </w:r>
      <w:r w:rsidR="0096702B" w:rsidRPr="007852DA">
        <w:rPr>
          <w:rFonts w:ascii="Book Antiqua" w:eastAsia="宋体" w:hAnsi="Book Antiqua" w:cs="Times New Roman"/>
          <w:color w:val="000000" w:themeColor="text1"/>
          <w:sz w:val="24"/>
        </w:rPr>
        <w:t xml:space="preserve"> the healthy control </w:t>
      </w:r>
      <w:proofErr w:type="gramStart"/>
      <w:r w:rsidR="0096702B" w:rsidRPr="007852DA">
        <w:rPr>
          <w:rFonts w:ascii="Book Antiqua" w:eastAsia="宋体" w:hAnsi="Book Antiqua" w:cs="Times New Roman"/>
          <w:color w:val="000000" w:themeColor="text1"/>
          <w:sz w:val="24"/>
        </w:rPr>
        <w:t>group</w:t>
      </w:r>
      <w:r w:rsidR="0096702B" w:rsidRPr="007852DA">
        <w:rPr>
          <w:rFonts w:ascii="Book Antiqua" w:eastAsia="宋体" w:hAnsi="Book Antiqua" w:cs="Times New Roman"/>
          <w:color w:val="000000" w:themeColor="text1"/>
          <w:sz w:val="24"/>
          <w:vertAlign w:val="superscript"/>
        </w:rPr>
        <w:t>[</w:t>
      </w:r>
      <w:proofErr w:type="gramEnd"/>
      <w:r w:rsidR="0096702B" w:rsidRPr="007852DA">
        <w:rPr>
          <w:rFonts w:ascii="Book Antiqua" w:eastAsia="宋体" w:hAnsi="Book Antiqua" w:cs="Times New Roman"/>
          <w:color w:val="000000" w:themeColor="text1"/>
          <w:sz w:val="24"/>
          <w:vertAlign w:val="superscript"/>
        </w:rPr>
        <w:t>17]</w:t>
      </w:r>
      <w:r w:rsidR="0096702B"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Therefore</w:t>
      </w:r>
      <w:r w:rsidR="0096702B" w:rsidRPr="007852DA">
        <w:rPr>
          <w:rFonts w:ascii="Book Antiqua" w:eastAsia="宋体" w:hAnsi="Book Antiqua" w:cs="Times New Roman"/>
          <w:color w:val="000000" w:themeColor="text1"/>
          <w:sz w:val="24"/>
        </w:rPr>
        <w:t xml:space="preserve">, we investigated serum GDF15 in MSA </w:t>
      </w:r>
      <w:r w:rsidR="0096702B" w:rsidRPr="007852DA">
        <w:rPr>
          <w:rFonts w:ascii="Book Antiqua" w:eastAsia="宋体" w:hAnsi="Book Antiqua" w:cs="Times New Roman"/>
          <w:color w:val="000000" w:themeColor="text1"/>
          <w:sz w:val="24"/>
        </w:rPr>
        <w:lastRenderedPageBreak/>
        <w:t xml:space="preserve">patients </w:t>
      </w:r>
      <w:r w:rsidRPr="007852DA">
        <w:rPr>
          <w:rFonts w:ascii="Book Antiqua" w:eastAsia="宋体" w:hAnsi="Book Antiqua" w:cs="Times New Roman"/>
          <w:color w:val="000000" w:themeColor="text1"/>
          <w:sz w:val="24"/>
        </w:rPr>
        <w:t>as blood collection is</w:t>
      </w:r>
      <w:r w:rsidR="0096702B" w:rsidRPr="007852DA">
        <w:rPr>
          <w:rFonts w:ascii="Book Antiqua" w:eastAsia="宋体" w:hAnsi="Book Antiqua" w:cs="Times New Roman"/>
          <w:color w:val="000000" w:themeColor="text1"/>
          <w:sz w:val="24"/>
        </w:rPr>
        <w:t xml:space="preserve"> non-invasive and easily accessed.</w:t>
      </w:r>
    </w:p>
    <w:p w14:paraId="4F8FA4CE" w14:textId="0DA89DA0"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GDF15 is a cytokine of the </w:t>
      </w:r>
      <w:r w:rsidR="00691360" w:rsidRPr="007852DA">
        <w:rPr>
          <w:rFonts w:ascii="Book Antiqua" w:eastAsia="宋体" w:hAnsi="Book Antiqua" w:cs="Times New Roman"/>
          <w:color w:val="000000" w:themeColor="text1"/>
          <w:sz w:val="24"/>
        </w:rPr>
        <w:t>transforming growth factor</w:t>
      </w:r>
      <w:r w:rsidRPr="007852DA">
        <w:rPr>
          <w:rFonts w:ascii="Book Antiqua" w:eastAsia="宋体" w:hAnsi="Book Antiqua" w:cs="Times New Roman"/>
          <w:color w:val="000000" w:themeColor="text1"/>
          <w:sz w:val="24"/>
        </w:rPr>
        <w:t xml:space="preserve">-β superfamily and is expressed mainly in the placenta, kidney, liver, lung, pancreas, and prostate. It has an essential role </w:t>
      </w:r>
      <w:r w:rsidR="00DA065C" w:rsidRPr="007852DA">
        <w:rPr>
          <w:rFonts w:ascii="Book Antiqua" w:eastAsia="宋体" w:hAnsi="Book Antiqua" w:cs="Times New Roman"/>
          <w:color w:val="000000" w:themeColor="text1"/>
          <w:sz w:val="24"/>
        </w:rPr>
        <w:t xml:space="preserve">in </w:t>
      </w:r>
      <w:r w:rsidRPr="007852DA">
        <w:rPr>
          <w:rFonts w:ascii="Book Antiqua" w:eastAsia="宋体" w:hAnsi="Book Antiqua" w:cs="Times New Roman"/>
          <w:color w:val="000000" w:themeColor="text1"/>
          <w:sz w:val="24"/>
        </w:rPr>
        <w:t xml:space="preserve">regulating the cellular response to stress signals and inflammation and is involved in the suppression of inflammation in early pregnancy, cancer, and cardiovascular diseases. Moreover, GDF15 is expressed in the choroid plexus and acts as a potent neurotrophic factor for motor and sensory </w:t>
      </w:r>
      <w:proofErr w:type="gramStart"/>
      <w:r w:rsidRPr="007852DA">
        <w:rPr>
          <w:rFonts w:ascii="Book Antiqua" w:eastAsia="宋体" w:hAnsi="Book Antiqua" w:cs="Times New Roman"/>
          <w:color w:val="000000" w:themeColor="text1"/>
          <w:sz w:val="24"/>
        </w:rPr>
        <w:t>neurons</w:t>
      </w:r>
      <w:r w:rsidRPr="007852DA">
        <w:rPr>
          <w:rFonts w:ascii="Book Antiqua" w:eastAsia="宋体" w:hAnsi="Book Antiqua" w:cs="Times New Roman"/>
          <w:color w:val="000000" w:themeColor="text1"/>
          <w:sz w:val="24"/>
          <w:vertAlign w:val="superscript"/>
        </w:rPr>
        <w:t>[</w:t>
      </w:r>
      <w:proofErr w:type="gramEnd"/>
      <w:r w:rsidR="00041FB5" w:rsidRPr="007852DA">
        <w:rPr>
          <w:rFonts w:ascii="Book Antiqua" w:eastAsia="宋体" w:hAnsi="Book Antiqua" w:cs="Times New Roman"/>
          <w:color w:val="000000" w:themeColor="text1"/>
          <w:sz w:val="24"/>
          <w:vertAlign w:val="superscript"/>
        </w:rPr>
        <w:t>29</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w:t>
      </w:r>
    </w:p>
    <w:p w14:paraId="54B251D8" w14:textId="5C526E5E"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Serum GDF15 levels were </w:t>
      </w:r>
      <w:r w:rsidR="00DA065C" w:rsidRPr="007852DA">
        <w:rPr>
          <w:rFonts w:ascii="Book Antiqua" w:eastAsia="宋体" w:hAnsi="Book Antiqua" w:cs="Times New Roman"/>
          <w:color w:val="000000" w:themeColor="text1"/>
          <w:sz w:val="24"/>
        </w:rPr>
        <w:t xml:space="preserve">found to be </w:t>
      </w:r>
      <w:r w:rsidRPr="007852DA">
        <w:rPr>
          <w:rFonts w:ascii="Book Antiqua" w:eastAsia="宋体" w:hAnsi="Book Antiqua" w:cs="Times New Roman"/>
          <w:color w:val="000000" w:themeColor="text1"/>
          <w:sz w:val="24"/>
        </w:rPr>
        <w:t xml:space="preserve">higher in patients with PD, dementia and Alzheimer’s </w:t>
      </w:r>
      <w:proofErr w:type="gramStart"/>
      <w:r w:rsidRPr="007852DA">
        <w:rPr>
          <w:rFonts w:ascii="Book Antiqua" w:eastAsia="宋体" w:hAnsi="Book Antiqua" w:cs="Times New Roman"/>
          <w:color w:val="000000" w:themeColor="text1"/>
          <w:sz w:val="24"/>
        </w:rPr>
        <w:t>disease</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17,19,20]</w:t>
      </w:r>
      <w:r w:rsidRPr="007852DA">
        <w:rPr>
          <w:rFonts w:ascii="Book Antiqua" w:eastAsia="宋体" w:hAnsi="Book Antiqua" w:cs="Times New Roman"/>
          <w:color w:val="000000" w:themeColor="text1"/>
          <w:sz w:val="24"/>
        </w:rPr>
        <w:t xml:space="preserve">. Therefore, whether these differences </w:t>
      </w:r>
      <w:r w:rsidR="008130E0" w:rsidRPr="007852DA">
        <w:rPr>
          <w:rFonts w:ascii="Book Antiqua" w:eastAsia="宋体" w:hAnsi="Book Antiqua" w:cs="Times New Roman"/>
          <w:color w:val="000000" w:themeColor="text1"/>
          <w:sz w:val="24"/>
        </w:rPr>
        <w:t>are</w:t>
      </w:r>
      <w:r w:rsidRPr="007852DA">
        <w:rPr>
          <w:rFonts w:ascii="Book Antiqua" w:eastAsia="宋体" w:hAnsi="Book Antiqua" w:cs="Times New Roman"/>
          <w:color w:val="000000" w:themeColor="text1"/>
          <w:sz w:val="24"/>
        </w:rPr>
        <w:t xml:space="preserve"> also present in other neurodegenerative diseases seemed worthy of study. It has been reported that peripheral levels of GDF15 were associated with cognitive impairment in patients with dementia and Alzheimer</w:t>
      </w:r>
      <w:r w:rsidR="008130E0" w:rsidRPr="007852DA">
        <w:rPr>
          <w:rFonts w:ascii="Book Antiqua" w:eastAsia="宋体" w:hAnsi="Book Antiqua" w:cs="Times New Roman"/>
          <w:color w:val="000000" w:themeColor="text1"/>
          <w:sz w:val="24"/>
        </w:rPr>
        <w:t>’s</w:t>
      </w:r>
      <w:r w:rsidRPr="007852DA">
        <w:rPr>
          <w:rFonts w:ascii="Book Antiqua" w:eastAsia="宋体" w:hAnsi="Book Antiqua" w:cs="Times New Roman"/>
          <w:color w:val="000000" w:themeColor="text1"/>
          <w:sz w:val="24"/>
        </w:rPr>
        <w:t xml:space="preserve"> disease patients with white matter </w:t>
      </w:r>
      <w:proofErr w:type="gramStart"/>
      <w:r w:rsidRPr="007852DA">
        <w:rPr>
          <w:rFonts w:ascii="Book Antiqua" w:eastAsia="宋体" w:hAnsi="Book Antiqua" w:cs="Times New Roman"/>
          <w:color w:val="000000" w:themeColor="text1"/>
          <w:sz w:val="24"/>
        </w:rPr>
        <w:t>hyperintensities</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20]</w:t>
      </w:r>
      <w:r w:rsidRPr="007852DA">
        <w:rPr>
          <w:rFonts w:ascii="Book Antiqua" w:eastAsia="宋体" w:hAnsi="Book Antiqua" w:cs="Times New Roman"/>
          <w:color w:val="000000" w:themeColor="text1"/>
          <w:sz w:val="24"/>
        </w:rPr>
        <w:t xml:space="preserve">. Another study suggested that GDF15 could be considered a marker of age-related cognitive decline and brain structural </w:t>
      </w:r>
      <w:proofErr w:type="gramStart"/>
      <w:r w:rsidRPr="007852DA">
        <w:rPr>
          <w:rFonts w:ascii="Book Antiqua" w:eastAsia="宋体" w:hAnsi="Book Antiqua" w:cs="Times New Roman"/>
          <w:color w:val="000000" w:themeColor="text1"/>
          <w:sz w:val="24"/>
        </w:rPr>
        <w:t>changes</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3</w:t>
      </w:r>
      <w:r w:rsidR="00041FB5" w:rsidRPr="007852DA">
        <w:rPr>
          <w:rFonts w:ascii="Book Antiqua" w:eastAsia="宋体" w:hAnsi="Book Antiqua" w:cs="Times New Roman"/>
          <w:color w:val="000000" w:themeColor="text1"/>
          <w:sz w:val="24"/>
          <w:vertAlign w:val="superscript"/>
        </w:rPr>
        <w:t>0</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 xml:space="preserve">. Similarly, elevated plasma GDF15 was associated with slower gait speed and lower physical performance in very healthy community-dwelling </w:t>
      </w:r>
      <w:proofErr w:type="gramStart"/>
      <w:r w:rsidRPr="007852DA">
        <w:rPr>
          <w:rFonts w:ascii="Book Antiqua" w:eastAsia="宋体" w:hAnsi="Book Antiqua" w:cs="Times New Roman"/>
          <w:color w:val="000000" w:themeColor="text1"/>
          <w:sz w:val="24"/>
        </w:rPr>
        <w:t>adults</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3</w:t>
      </w:r>
      <w:r w:rsidR="00041FB5" w:rsidRPr="007852DA">
        <w:rPr>
          <w:rFonts w:ascii="Book Antiqua" w:eastAsia="宋体" w:hAnsi="Book Antiqua" w:cs="Times New Roman"/>
          <w:color w:val="000000" w:themeColor="text1"/>
          <w:sz w:val="24"/>
          <w:vertAlign w:val="superscript"/>
        </w:rPr>
        <w:t>1</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 while another study confirmed that baseline GDF15 values predicted declining physical function in older patients with hypertension</w:t>
      </w:r>
      <w:r w:rsidRPr="007852DA">
        <w:rPr>
          <w:rFonts w:ascii="Book Antiqua" w:eastAsia="宋体" w:hAnsi="Book Antiqua" w:cs="Times New Roman"/>
          <w:color w:val="000000" w:themeColor="text1"/>
          <w:sz w:val="24"/>
          <w:vertAlign w:val="superscript"/>
        </w:rPr>
        <w:t>[3</w:t>
      </w:r>
      <w:r w:rsidR="00041FB5" w:rsidRPr="007852DA">
        <w:rPr>
          <w:rFonts w:ascii="Book Antiqua" w:eastAsia="宋体" w:hAnsi="Book Antiqua" w:cs="Times New Roman"/>
          <w:color w:val="000000" w:themeColor="text1"/>
          <w:sz w:val="24"/>
          <w:vertAlign w:val="superscript"/>
        </w:rPr>
        <w:t>2</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 However, it ha</w:t>
      </w:r>
      <w:r w:rsidR="008130E0" w:rsidRPr="007852DA">
        <w:rPr>
          <w:rFonts w:ascii="Book Antiqua" w:eastAsia="宋体" w:hAnsi="Book Antiqua" w:cs="Times New Roman"/>
          <w:color w:val="000000" w:themeColor="text1"/>
          <w:sz w:val="24"/>
        </w:rPr>
        <w:t>s</w:t>
      </w:r>
      <w:r w:rsidRPr="007852DA">
        <w:rPr>
          <w:rFonts w:ascii="Book Antiqua" w:eastAsia="宋体" w:hAnsi="Book Antiqua" w:cs="Times New Roman"/>
          <w:color w:val="000000" w:themeColor="text1"/>
          <w:sz w:val="24"/>
        </w:rPr>
        <w:t xml:space="preserve"> not been previously reported whether serum GDF15 levels </w:t>
      </w:r>
      <w:r w:rsidR="008130E0" w:rsidRPr="007852DA">
        <w:rPr>
          <w:rFonts w:ascii="Book Antiqua" w:eastAsia="宋体" w:hAnsi="Book Antiqua" w:cs="Times New Roman"/>
          <w:color w:val="000000" w:themeColor="text1"/>
          <w:sz w:val="24"/>
        </w:rPr>
        <w:t>are</w:t>
      </w:r>
      <w:r w:rsidRPr="007852DA">
        <w:rPr>
          <w:rFonts w:ascii="Book Antiqua" w:eastAsia="宋体" w:hAnsi="Book Antiqua" w:cs="Times New Roman"/>
          <w:color w:val="000000" w:themeColor="text1"/>
          <w:sz w:val="24"/>
        </w:rPr>
        <w:t xml:space="preserve"> also higher in patients with MSA. In the present study, we found that the mean GDF15 level in the MSA group was approximately 3-fold higher than those in the control group.</w:t>
      </w:r>
    </w:p>
    <w:p w14:paraId="57FAB198" w14:textId="5D0510D9"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The clinical history and neurological exam </w:t>
      </w:r>
      <w:r w:rsidR="00216E54" w:rsidRPr="007852DA">
        <w:rPr>
          <w:rFonts w:ascii="Book Antiqua" w:eastAsia="宋体" w:hAnsi="Book Antiqua" w:cs="Times New Roman"/>
          <w:color w:val="000000" w:themeColor="text1"/>
          <w:sz w:val="24"/>
        </w:rPr>
        <w:t>are</w:t>
      </w:r>
      <w:r w:rsidRPr="007852DA">
        <w:rPr>
          <w:rFonts w:ascii="Book Antiqua" w:eastAsia="宋体" w:hAnsi="Book Antiqua" w:cs="Times New Roman"/>
          <w:color w:val="000000" w:themeColor="text1"/>
          <w:sz w:val="24"/>
        </w:rPr>
        <w:t xml:space="preserve"> the basis of the diagnosis of MSA, which can be assisted by ancillary tests (olfactory testing, autonomic testing, neuroimaging, urological evaluation), and the diagnosis can only be confirmed pathologically after the patient’s death. The diagnostic accuracy of MSA varies greatly between different centers, from as little as 29% to 86% (approximately 62% according to autopsies), despite well-established </w:t>
      </w:r>
      <w:r w:rsidRPr="007852DA">
        <w:rPr>
          <w:rFonts w:ascii="Book Antiqua" w:eastAsia="宋体" w:hAnsi="Book Antiqua" w:cs="Times New Roman"/>
          <w:color w:val="000000" w:themeColor="text1"/>
          <w:sz w:val="24"/>
        </w:rPr>
        <w:lastRenderedPageBreak/>
        <w:t xml:space="preserve">diagnostic </w:t>
      </w:r>
      <w:proofErr w:type="gramStart"/>
      <w:r w:rsidRPr="007852DA">
        <w:rPr>
          <w:rFonts w:ascii="Book Antiqua" w:eastAsia="宋体" w:hAnsi="Book Antiqua" w:cs="Times New Roman"/>
          <w:color w:val="000000" w:themeColor="text1"/>
          <w:sz w:val="24"/>
        </w:rPr>
        <w:t>criteria</w:t>
      </w:r>
      <w:r w:rsidRPr="007852DA">
        <w:rPr>
          <w:rFonts w:ascii="Book Antiqua" w:eastAsia="宋体" w:hAnsi="Book Antiqua" w:cs="Times New Roman"/>
          <w:color w:val="000000" w:themeColor="text1"/>
          <w:sz w:val="24"/>
          <w:vertAlign w:val="superscript"/>
        </w:rPr>
        <w:t>[</w:t>
      </w:r>
      <w:proofErr w:type="gramEnd"/>
      <w:r w:rsidR="00041FB5" w:rsidRPr="007852DA">
        <w:rPr>
          <w:rFonts w:ascii="Book Antiqua" w:eastAsia="宋体" w:hAnsi="Book Antiqua" w:cs="Times New Roman"/>
          <w:color w:val="000000" w:themeColor="text1"/>
          <w:sz w:val="24"/>
          <w:vertAlign w:val="superscript"/>
        </w:rPr>
        <w:t>2,</w:t>
      </w:r>
      <w:r w:rsidRPr="007852DA">
        <w:rPr>
          <w:rFonts w:ascii="Book Antiqua" w:eastAsia="宋体" w:hAnsi="Book Antiqua" w:cs="Times New Roman"/>
          <w:color w:val="000000" w:themeColor="text1"/>
          <w:sz w:val="24"/>
          <w:vertAlign w:val="superscript"/>
        </w:rPr>
        <w:t>3</w:t>
      </w:r>
      <w:r w:rsidR="00041FB5" w:rsidRPr="007852DA">
        <w:rPr>
          <w:rFonts w:ascii="Book Antiqua" w:eastAsia="宋体" w:hAnsi="Book Antiqua" w:cs="Times New Roman"/>
          <w:color w:val="000000" w:themeColor="text1"/>
          <w:sz w:val="24"/>
          <w:vertAlign w:val="superscript"/>
        </w:rPr>
        <w:t>3</w:t>
      </w:r>
      <w:r w:rsidRPr="007852DA">
        <w:rPr>
          <w:rFonts w:ascii="Book Antiqua" w:eastAsia="宋体" w:hAnsi="Book Antiqua" w:cs="Times New Roman"/>
          <w:color w:val="000000" w:themeColor="text1"/>
          <w:sz w:val="24"/>
          <w:vertAlign w:val="superscript"/>
        </w:rPr>
        <w:t>-3</w:t>
      </w:r>
      <w:r w:rsidR="00041FB5" w:rsidRPr="007852DA">
        <w:rPr>
          <w:rFonts w:ascii="Book Antiqua" w:eastAsia="宋体" w:hAnsi="Book Antiqua" w:cs="Times New Roman"/>
          <w:color w:val="000000" w:themeColor="text1"/>
          <w:sz w:val="24"/>
          <w:vertAlign w:val="superscript"/>
        </w:rPr>
        <w:t>6</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 xml:space="preserve">. There were no significant imaging abnormalities in the early disease stages and </w:t>
      </w:r>
      <w:r w:rsidR="008130E0" w:rsidRPr="007852DA">
        <w:rPr>
          <w:rFonts w:ascii="Book Antiqua" w:eastAsia="宋体" w:hAnsi="Book Antiqua" w:cs="Times New Roman"/>
          <w:color w:val="000000" w:themeColor="text1"/>
          <w:sz w:val="24"/>
        </w:rPr>
        <w:t xml:space="preserve">it </w:t>
      </w:r>
      <w:r w:rsidRPr="007852DA">
        <w:rPr>
          <w:rFonts w:ascii="Book Antiqua" w:eastAsia="宋体" w:hAnsi="Book Antiqua" w:cs="Times New Roman"/>
          <w:color w:val="000000" w:themeColor="text1"/>
          <w:sz w:val="24"/>
        </w:rPr>
        <w:t xml:space="preserve">has been challenging to study patients with a postmortem diagnosis of MSA. The most common diseases misdiagnosed as MSA have included PD, progressive supranuclear paralysis and </w:t>
      </w:r>
      <w:r w:rsidR="00691360" w:rsidRPr="007852DA">
        <w:rPr>
          <w:rFonts w:ascii="Book Antiqua" w:eastAsia="宋体" w:hAnsi="Book Antiqua" w:cs="Times New Roman"/>
          <w:color w:val="000000" w:themeColor="text1"/>
          <w:sz w:val="24"/>
        </w:rPr>
        <w:t>Lewy body dementia</w:t>
      </w:r>
      <w:r w:rsidRPr="007852DA">
        <w:rPr>
          <w:rFonts w:ascii="Book Antiqua" w:eastAsia="宋体" w:hAnsi="Book Antiqua" w:cs="Times New Roman"/>
          <w:color w:val="000000" w:themeColor="text1"/>
          <w:sz w:val="24"/>
        </w:rPr>
        <w:t>. The large difference in diagnostic accuracy may be due to the duration and stage of MSA</w:t>
      </w:r>
      <w:r w:rsidR="008130E0"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and to the presence of various pathological changes in patients with MSA-</w:t>
      </w:r>
      <w:proofErr w:type="gramStart"/>
      <w:r w:rsidRPr="007852DA">
        <w:rPr>
          <w:rFonts w:ascii="Book Antiqua" w:eastAsia="宋体" w:hAnsi="Book Antiqua" w:cs="Times New Roman"/>
          <w:color w:val="000000" w:themeColor="text1"/>
          <w:sz w:val="24"/>
        </w:rPr>
        <w:t>P</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3</w:t>
      </w:r>
      <w:r w:rsidR="00041FB5" w:rsidRPr="007852DA">
        <w:rPr>
          <w:rFonts w:ascii="Book Antiqua" w:eastAsia="宋体" w:hAnsi="Book Antiqua" w:cs="Times New Roman"/>
          <w:color w:val="000000" w:themeColor="text1"/>
          <w:sz w:val="24"/>
          <w:vertAlign w:val="superscript"/>
        </w:rPr>
        <w:t>7</w:t>
      </w:r>
      <w:r w:rsidRPr="007852DA">
        <w:rPr>
          <w:rFonts w:ascii="Book Antiqua" w:eastAsia="宋体" w:hAnsi="Book Antiqua" w:cs="Times New Roman"/>
          <w:color w:val="000000" w:themeColor="text1"/>
          <w:sz w:val="24"/>
          <w:vertAlign w:val="superscript"/>
        </w:rPr>
        <w:t>-</w:t>
      </w:r>
      <w:r w:rsidR="00041FB5" w:rsidRPr="007852DA">
        <w:rPr>
          <w:rFonts w:ascii="Book Antiqua" w:eastAsia="宋体" w:hAnsi="Book Antiqua" w:cs="Times New Roman"/>
          <w:color w:val="000000" w:themeColor="text1"/>
          <w:sz w:val="24"/>
          <w:vertAlign w:val="superscript"/>
        </w:rPr>
        <w:t>39</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w:t>
      </w:r>
      <w:r w:rsidR="001F49D0"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However, such differentiation is important for prognosis and treatment. </w:t>
      </w:r>
    </w:p>
    <w:p w14:paraId="477C0429" w14:textId="6F700AD9"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Due to the heterogeneity of clinical manifestations, it is extremely difficult to make an exact distinction between MSA and PD patients, especially in the early </w:t>
      </w:r>
      <w:proofErr w:type="gramStart"/>
      <w:r w:rsidRPr="007852DA">
        <w:rPr>
          <w:rFonts w:ascii="Book Antiqua" w:eastAsia="宋体" w:hAnsi="Book Antiqua" w:cs="Times New Roman"/>
          <w:color w:val="000000" w:themeColor="text1"/>
          <w:sz w:val="24"/>
        </w:rPr>
        <w:t>stage</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3</w:t>
      </w:r>
      <w:r w:rsidR="00041FB5" w:rsidRPr="007852DA">
        <w:rPr>
          <w:rFonts w:ascii="Book Antiqua" w:eastAsia="宋体" w:hAnsi="Book Antiqua" w:cs="Times New Roman"/>
          <w:color w:val="000000" w:themeColor="text1"/>
          <w:sz w:val="24"/>
          <w:vertAlign w:val="superscript"/>
        </w:rPr>
        <w:t>4</w:t>
      </w:r>
      <w:r w:rsidRPr="007852DA">
        <w:rPr>
          <w:rFonts w:ascii="Book Antiqua" w:eastAsia="宋体" w:hAnsi="Book Antiqua" w:cs="Times New Roman"/>
          <w:color w:val="000000" w:themeColor="text1"/>
          <w:sz w:val="24"/>
          <w:vertAlign w:val="superscript"/>
        </w:rPr>
        <w:t>,3</w:t>
      </w:r>
      <w:r w:rsidR="00041FB5" w:rsidRPr="007852DA">
        <w:rPr>
          <w:rFonts w:ascii="Book Antiqua" w:eastAsia="宋体" w:hAnsi="Book Antiqua" w:cs="Times New Roman"/>
          <w:color w:val="000000" w:themeColor="text1"/>
          <w:sz w:val="24"/>
          <w:vertAlign w:val="superscript"/>
        </w:rPr>
        <w:t>5</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 xml:space="preserve">. Although significant differences between MSA, PD, and other parkinsonian disorders were found for some markers, none provided sufficient sensitivity and specificity for a differential </w:t>
      </w:r>
      <w:proofErr w:type="gramStart"/>
      <w:r w:rsidRPr="007852DA">
        <w:rPr>
          <w:rFonts w:ascii="Book Antiqua" w:eastAsia="宋体" w:hAnsi="Book Antiqua" w:cs="Times New Roman"/>
          <w:color w:val="000000" w:themeColor="text1"/>
          <w:sz w:val="24"/>
        </w:rPr>
        <w:t>diagnosis</w:t>
      </w:r>
      <w:r w:rsidRPr="007852DA">
        <w:rPr>
          <w:rFonts w:ascii="Book Antiqua" w:eastAsia="宋体" w:hAnsi="Book Antiqua" w:cs="Times New Roman"/>
          <w:color w:val="000000" w:themeColor="text1"/>
          <w:sz w:val="24"/>
          <w:vertAlign w:val="superscript"/>
        </w:rPr>
        <w:t>[</w:t>
      </w:r>
      <w:proofErr w:type="gramEnd"/>
      <w:r w:rsidR="00041FB5" w:rsidRPr="007852DA">
        <w:rPr>
          <w:rFonts w:ascii="Book Antiqua" w:eastAsia="宋体" w:hAnsi="Book Antiqua" w:cs="Times New Roman"/>
          <w:color w:val="000000" w:themeColor="text1"/>
          <w:sz w:val="24"/>
          <w:vertAlign w:val="superscript"/>
        </w:rPr>
        <w:t>7</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w:t>
      </w:r>
      <w:r w:rsidR="00216E54"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This study showed that serum GDF15 levels might contribute to this effort to some extent. The patients with MSA showed significantly higher serum GDF15 levels than the PD patients and healthy controls. In addition, the ROC curve analysis revealed that serum GDF15 levels also had high specificity, while the sensitivity seemed unsatisfactory in the differential diagnosis between MSA and PD. According to </w:t>
      </w:r>
      <w:r w:rsidR="008130E0" w:rsidRPr="007852DA">
        <w:rPr>
          <w:rFonts w:ascii="Book Antiqua" w:eastAsia="宋体" w:hAnsi="Book Antiqua" w:cs="Times New Roman"/>
          <w:color w:val="000000" w:themeColor="text1"/>
          <w:sz w:val="24"/>
        </w:rPr>
        <w:t>a</w:t>
      </w:r>
      <w:r w:rsidRPr="007852DA">
        <w:rPr>
          <w:rFonts w:ascii="Book Antiqua" w:eastAsia="宋体" w:hAnsi="Book Antiqua" w:cs="Times New Roman"/>
          <w:color w:val="000000" w:themeColor="text1"/>
          <w:sz w:val="24"/>
        </w:rPr>
        <w:t xml:space="preserve"> recent study, autopsy studies show that</w:t>
      </w:r>
      <w:r w:rsidR="00216E54" w:rsidRPr="007852DA">
        <w:rPr>
          <w:rFonts w:ascii="Book Antiqua" w:eastAsia="宋体" w:hAnsi="Book Antiqua" w:cs="Times New Roman"/>
          <w:color w:val="000000" w:themeColor="text1"/>
          <w:sz w:val="24"/>
        </w:rPr>
        <w:t xml:space="preserve"> </w:t>
      </w:r>
      <w:r w:rsidR="004436DE" w:rsidRPr="007852DA">
        <w:rPr>
          <w:rFonts w:ascii="Book Antiqua" w:eastAsia="宋体" w:hAnsi="Book Antiqua" w:cs="Times New Roman"/>
          <w:color w:val="000000" w:themeColor="text1"/>
          <w:sz w:val="24"/>
        </w:rPr>
        <w:t xml:space="preserve">approximately </w:t>
      </w:r>
      <w:r w:rsidRPr="007852DA">
        <w:rPr>
          <w:rFonts w:ascii="Book Antiqua" w:eastAsia="宋体" w:hAnsi="Book Antiqua" w:cs="Times New Roman"/>
          <w:color w:val="000000" w:themeColor="text1"/>
          <w:sz w:val="24"/>
        </w:rPr>
        <w:t xml:space="preserve">5% of PD patients diagnosed by community neurologists turn out to have MSA at </w:t>
      </w:r>
      <w:proofErr w:type="gramStart"/>
      <w:r w:rsidRPr="007852DA">
        <w:rPr>
          <w:rFonts w:ascii="Book Antiqua" w:eastAsia="宋体" w:hAnsi="Book Antiqua" w:cs="Times New Roman"/>
          <w:color w:val="000000" w:themeColor="text1"/>
          <w:sz w:val="24"/>
        </w:rPr>
        <w:t>autopsy</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4</w:t>
      </w:r>
      <w:r w:rsidR="00041FB5" w:rsidRPr="007852DA">
        <w:rPr>
          <w:rFonts w:ascii="Book Antiqua" w:eastAsia="宋体" w:hAnsi="Book Antiqua" w:cs="Times New Roman"/>
          <w:color w:val="000000" w:themeColor="text1"/>
          <w:sz w:val="24"/>
          <w:vertAlign w:val="superscript"/>
        </w:rPr>
        <w:t>0</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 xml:space="preserve">, which might be correlated with the sensitivity of serum GDF15 levels </w:t>
      </w:r>
      <w:r w:rsidR="008130E0" w:rsidRPr="007852DA">
        <w:rPr>
          <w:rFonts w:ascii="Book Antiqua" w:eastAsia="宋体" w:hAnsi="Book Antiqua" w:cs="Times New Roman"/>
          <w:color w:val="000000" w:themeColor="text1"/>
          <w:sz w:val="24"/>
        </w:rPr>
        <w:t xml:space="preserve">which </w:t>
      </w:r>
      <w:r w:rsidRPr="007852DA">
        <w:rPr>
          <w:rFonts w:ascii="Book Antiqua" w:eastAsia="宋体" w:hAnsi="Book Antiqua" w:cs="Times New Roman"/>
          <w:color w:val="000000" w:themeColor="text1"/>
          <w:sz w:val="24"/>
        </w:rPr>
        <w:t>was not satisfactory for the differential diagnosis between MSA and PD.</w:t>
      </w:r>
      <w:bookmarkStart w:id="85" w:name="OLE_LINK36"/>
      <w:bookmarkStart w:id="86" w:name="OLE_LINK37"/>
    </w:p>
    <w:p w14:paraId="7BB880F7" w14:textId="058AB278"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Further analysis revealed that sex and disease duration might be correlated with higher serum levels of GDF15 in MSA patients. Similar to PD patients, male patients with MSA </w:t>
      </w:r>
      <w:r w:rsidR="008130E0" w:rsidRPr="007852DA">
        <w:rPr>
          <w:rFonts w:ascii="Book Antiqua" w:eastAsia="宋体" w:hAnsi="Book Antiqua" w:cs="Times New Roman"/>
          <w:color w:val="000000" w:themeColor="text1"/>
          <w:sz w:val="24"/>
        </w:rPr>
        <w:t>had a greater</w:t>
      </w:r>
      <w:r w:rsidRPr="007852DA">
        <w:rPr>
          <w:rFonts w:ascii="Book Antiqua" w:eastAsia="宋体" w:hAnsi="Book Antiqua" w:cs="Times New Roman"/>
          <w:color w:val="000000" w:themeColor="text1"/>
          <w:sz w:val="24"/>
        </w:rPr>
        <w:t xml:space="preserve"> elevat</w:t>
      </w:r>
      <w:r w:rsidR="008130E0" w:rsidRPr="007852DA">
        <w:rPr>
          <w:rFonts w:ascii="Book Antiqua" w:eastAsia="宋体" w:hAnsi="Book Antiqua" w:cs="Times New Roman"/>
          <w:color w:val="000000" w:themeColor="text1"/>
          <w:sz w:val="24"/>
        </w:rPr>
        <w:t xml:space="preserve">ion in </w:t>
      </w:r>
      <w:r w:rsidRPr="007852DA">
        <w:rPr>
          <w:rFonts w:ascii="Book Antiqua" w:eastAsia="宋体" w:hAnsi="Book Antiqua" w:cs="Times New Roman"/>
          <w:color w:val="000000" w:themeColor="text1"/>
          <w:sz w:val="24"/>
        </w:rPr>
        <w:t xml:space="preserve">serum GDF15 levels. A previous study found no influence of sex on overall survival, but males had a shorter duration from diagnosis to </w:t>
      </w:r>
      <w:proofErr w:type="gramStart"/>
      <w:r w:rsidRPr="007852DA">
        <w:rPr>
          <w:rFonts w:ascii="Book Antiqua" w:eastAsia="宋体" w:hAnsi="Book Antiqua" w:cs="Times New Roman"/>
          <w:color w:val="000000" w:themeColor="text1"/>
          <w:sz w:val="24"/>
        </w:rPr>
        <w:t>death</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4</w:t>
      </w:r>
      <w:r w:rsidR="00041FB5" w:rsidRPr="007852DA">
        <w:rPr>
          <w:rFonts w:ascii="Book Antiqua" w:eastAsia="宋体" w:hAnsi="Book Antiqua" w:cs="Times New Roman"/>
          <w:color w:val="000000" w:themeColor="text1"/>
          <w:sz w:val="24"/>
          <w:vertAlign w:val="superscript"/>
        </w:rPr>
        <w:t>1</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In addition, MSA patients with </w:t>
      </w:r>
      <w:proofErr w:type="gramStart"/>
      <w:r w:rsidR="006961B8" w:rsidRPr="007852DA">
        <w:rPr>
          <w:rFonts w:ascii="Book Antiqua" w:eastAsia="宋体" w:hAnsi="Book Antiqua" w:cs="Times New Roman"/>
          <w:color w:val="000000" w:themeColor="text1"/>
          <w:sz w:val="24"/>
        </w:rPr>
        <w:t xml:space="preserve">a </w:t>
      </w:r>
      <w:r w:rsidRPr="007852DA">
        <w:rPr>
          <w:rFonts w:ascii="Book Antiqua" w:eastAsia="宋体" w:hAnsi="Book Antiqua" w:cs="Times New Roman"/>
          <w:color w:val="000000" w:themeColor="text1"/>
          <w:sz w:val="24"/>
        </w:rPr>
        <w:t>longer</w:t>
      </w:r>
      <w:proofErr w:type="gramEnd"/>
      <w:r w:rsidRPr="007852DA">
        <w:rPr>
          <w:rFonts w:ascii="Book Antiqua" w:eastAsia="宋体" w:hAnsi="Book Antiqua" w:cs="Times New Roman"/>
          <w:color w:val="000000" w:themeColor="text1"/>
          <w:sz w:val="24"/>
        </w:rPr>
        <w:t xml:space="preserve"> disease duration also </w:t>
      </w:r>
      <w:r w:rsidR="008130E0" w:rsidRPr="007852DA">
        <w:rPr>
          <w:rFonts w:ascii="Book Antiqua" w:eastAsia="宋体" w:hAnsi="Book Antiqua" w:cs="Times New Roman"/>
          <w:color w:val="000000" w:themeColor="text1"/>
          <w:sz w:val="24"/>
        </w:rPr>
        <w:t>had</w:t>
      </w:r>
      <w:r w:rsidRPr="007852DA">
        <w:rPr>
          <w:rFonts w:ascii="Book Antiqua" w:eastAsia="宋体" w:hAnsi="Book Antiqua" w:cs="Times New Roman"/>
          <w:color w:val="000000" w:themeColor="text1"/>
          <w:sz w:val="24"/>
        </w:rPr>
        <w:t xml:space="preserve"> higher serum GDF15 levels. The mean </w:t>
      </w:r>
      <w:r w:rsidRPr="007852DA">
        <w:rPr>
          <w:rFonts w:ascii="Book Antiqua" w:eastAsia="宋体" w:hAnsi="Book Antiqua" w:cs="Times New Roman"/>
          <w:color w:val="000000" w:themeColor="text1"/>
          <w:sz w:val="24"/>
        </w:rPr>
        <w:lastRenderedPageBreak/>
        <w:t xml:space="preserve">disease duration for the 46 patients with MSA was 3.0 ± 1.9 </w:t>
      </w:r>
      <w:proofErr w:type="gramStart"/>
      <w:r w:rsidRPr="007852DA">
        <w:rPr>
          <w:rFonts w:ascii="Book Antiqua" w:eastAsia="宋体" w:hAnsi="Book Antiqua" w:cs="Times New Roman"/>
          <w:color w:val="000000" w:themeColor="text1"/>
          <w:sz w:val="24"/>
        </w:rPr>
        <w:t>years</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4</w:t>
      </w:r>
      <w:r w:rsidR="00041FB5" w:rsidRPr="007852DA">
        <w:rPr>
          <w:rFonts w:ascii="Book Antiqua" w:eastAsia="宋体" w:hAnsi="Book Antiqua" w:cs="Times New Roman"/>
          <w:color w:val="000000" w:themeColor="text1"/>
          <w:sz w:val="24"/>
          <w:vertAlign w:val="superscript"/>
        </w:rPr>
        <w:t>2</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 xml:space="preserve">. </w:t>
      </w:r>
      <w:r w:rsidR="008130E0" w:rsidRPr="007852DA">
        <w:rPr>
          <w:rFonts w:ascii="Book Antiqua" w:eastAsia="宋体" w:hAnsi="Book Antiqua" w:cs="Times New Roman"/>
          <w:color w:val="000000" w:themeColor="text1"/>
          <w:sz w:val="24"/>
        </w:rPr>
        <w:t>In addition</w:t>
      </w:r>
      <w:r w:rsidRPr="007852DA">
        <w:rPr>
          <w:rFonts w:ascii="Book Antiqua" w:eastAsia="宋体" w:hAnsi="Book Antiqua" w:cs="Times New Roman"/>
          <w:color w:val="000000" w:themeColor="text1"/>
          <w:sz w:val="24"/>
        </w:rPr>
        <w:t>, in a comprehensive large</w:t>
      </w:r>
      <w:r w:rsidRPr="007852DA">
        <w:rPr>
          <w:rFonts w:ascii="Cambria Math" w:eastAsia="宋体" w:hAnsi="Cambria Math" w:cs="Cambria Math"/>
          <w:color w:val="000000" w:themeColor="text1"/>
          <w:sz w:val="24"/>
        </w:rPr>
        <w:t>‐</w:t>
      </w:r>
      <w:r w:rsidRPr="007852DA">
        <w:rPr>
          <w:rFonts w:ascii="Book Antiqua" w:eastAsia="宋体" w:hAnsi="Book Antiqua" w:cs="Times New Roman"/>
          <w:color w:val="000000" w:themeColor="text1"/>
          <w:sz w:val="24"/>
        </w:rPr>
        <w:t xml:space="preserve">scale study of 143 </w:t>
      </w:r>
      <w:r w:rsidR="004A15C0" w:rsidRPr="007852DA">
        <w:rPr>
          <w:rFonts w:ascii="Book Antiqua" w:eastAsia="宋体" w:hAnsi="Book Antiqua" w:cs="Times New Roman"/>
          <w:color w:val="000000" w:themeColor="text1"/>
          <w:sz w:val="24"/>
        </w:rPr>
        <w:t xml:space="preserve">Chinese </w:t>
      </w:r>
      <w:r w:rsidRPr="007852DA">
        <w:rPr>
          <w:rFonts w:ascii="Book Antiqua" w:eastAsia="宋体" w:hAnsi="Book Antiqua" w:cs="Times New Roman"/>
          <w:color w:val="000000" w:themeColor="text1"/>
          <w:sz w:val="24"/>
        </w:rPr>
        <w:t>MSA patients, the mean disease duration was 3.54</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1.96 years. Therefore, in this study, we compared the serum GDF15 levels between patients with disease duration longer than 3 years and those with disease duration shorter than 3 years. The MSA patients with a longer disease duration showed higher serum GDF15 levels.</w:t>
      </w:r>
    </w:p>
    <w:p w14:paraId="70388F65" w14:textId="2A4735B3"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bookmarkStart w:id="87" w:name="OLE_LINK255"/>
      <w:bookmarkStart w:id="88" w:name="OLE_LINK256"/>
      <w:r w:rsidRPr="007852DA">
        <w:rPr>
          <w:rFonts w:ascii="Book Antiqua" w:eastAsia="宋体" w:hAnsi="Book Antiqua" w:cs="Times New Roman"/>
          <w:color w:val="000000" w:themeColor="text1"/>
          <w:sz w:val="24"/>
        </w:rPr>
        <w:t>It has been suggested that MSA patients with older age of onset</w:t>
      </w:r>
      <w:r w:rsidRPr="007852DA">
        <w:rPr>
          <w:rFonts w:ascii="Book Antiqua" w:eastAsia="宋体" w:hAnsi="Book Antiqua" w:cs="Times New Roman"/>
          <w:color w:val="000000" w:themeColor="text1"/>
          <w:sz w:val="24"/>
          <w:vertAlign w:val="superscript"/>
        </w:rPr>
        <w:t>[4</w:t>
      </w:r>
      <w:r w:rsidR="00041FB5" w:rsidRPr="007852DA">
        <w:rPr>
          <w:rFonts w:ascii="Book Antiqua" w:eastAsia="宋体" w:hAnsi="Book Antiqua" w:cs="Times New Roman"/>
          <w:color w:val="000000" w:themeColor="text1"/>
          <w:sz w:val="24"/>
          <w:vertAlign w:val="superscript"/>
        </w:rPr>
        <w:t>3</w:t>
      </w:r>
      <w:r w:rsidRPr="007852DA">
        <w:rPr>
          <w:rFonts w:ascii="Book Antiqua" w:eastAsia="宋体" w:hAnsi="Book Antiqua" w:cs="Times New Roman"/>
          <w:color w:val="000000" w:themeColor="text1"/>
          <w:sz w:val="24"/>
          <w:vertAlign w:val="superscript"/>
        </w:rPr>
        <w:t>-4</w:t>
      </w:r>
      <w:r w:rsidR="00041FB5" w:rsidRPr="007852DA">
        <w:rPr>
          <w:rFonts w:ascii="Book Antiqua" w:eastAsia="宋体" w:hAnsi="Book Antiqua" w:cs="Times New Roman"/>
          <w:color w:val="000000" w:themeColor="text1"/>
          <w:sz w:val="24"/>
          <w:vertAlign w:val="superscript"/>
        </w:rPr>
        <w:t>7</w:t>
      </w:r>
      <w:r w:rsidRPr="007852DA">
        <w:rPr>
          <w:rFonts w:ascii="Book Antiqua" w:eastAsia="宋体" w:hAnsi="Book Antiqua" w:cs="Times New Roman"/>
          <w:color w:val="000000" w:themeColor="text1"/>
          <w:sz w:val="24"/>
          <w:vertAlign w:val="superscript"/>
        </w:rPr>
        <w:t>]</w:t>
      </w:r>
      <w:r w:rsidR="004A15C0"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sex (male or female)</w:t>
      </w:r>
      <w:r w:rsidRPr="007852DA">
        <w:rPr>
          <w:rFonts w:ascii="Book Antiqua" w:eastAsia="宋体" w:hAnsi="Book Antiqua" w:cs="Times New Roman"/>
          <w:color w:val="000000" w:themeColor="text1"/>
          <w:sz w:val="24"/>
          <w:vertAlign w:val="superscript"/>
        </w:rPr>
        <w:t>[4</w:t>
      </w:r>
      <w:r w:rsidR="00041FB5" w:rsidRPr="007852DA">
        <w:rPr>
          <w:rFonts w:ascii="Book Antiqua" w:eastAsia="宋体" w:hAnsi="Book Antiqua" w:cs="Times New Roman"/>
          <w:color w:val="000000" w:themeColor="text1"/>
          <w:sz w:val="24"/>
          <w:vertAlign w:val="superscript"/>
        </w:rPr>
        <w:t>3</w:t>
      </w:r>
      <w:r w:rsidRPr="007852DA">
        <w:rPr>
          <w:rFonts w:ascii="Book Antiqua" w:eastAsia="宋体" w:hAnsi="Book Antiqua" w:cs="Times New Roman"/>
          <w:color w:val="000000" w:themeColor="text1"/>
          <w:sz w:val="24"/>
          <w:vertAlign w:val="superscript"/>
        </w:rPr>
        <w:t>,4</w:t>
      </w:r>
      <w:r w:rsidR="00041FB5" w:rsidRPr="007852DA">
        <w:rPr>
          <w:rFonts w:ascii="Book Antiqua" w:eastAsia="宋体" w:hAnsi="Book Antiqua" w:cs="Times New Roman"/>
          <w:color w:val="000000" w:themeColor="text1"/>
          <w:sz w:val="24"/>
          <w:vertAlign w:val="superscript"/>
        </w:rPr>
        <w:t>6</w:t>
      </w:r>
      <w:r w:rsidRPr="007852DA">
        <w:rPr>
          <w:rFonts w:ascii="Book Antiqua" w:eastAsia="宋体" w:hAnsi="Book Antiqua" w:cs="Times New Roman"/>
          <w:color w:val="000000" w:themeColor="text1"/>
          <w:sz w:val="24"/>
          <w:vertAlign w:val="superscript"/>
        </w:rPr>
        <w:t>,</w:t>
      </w:r>
      <w:r w:rsidR="00041FB5" w:rsidRPr="007852DA">
        <w:rPr>
          <w:rFonts w:ascii="Book Antiqua" w:eastAsia="宋体" w:hAnsi="Book Antiqua" w:cs="Times New Roman"/>
          <w:color w:val="000000" w:themeColor="text1"/>
          <w:sz w:val="24"/>
          <w:vertAlign w:val="superscript"/>
        </w:rPr>
        <w:t>48</w:t>
      </w:r>
      <w:r w:rsidRPr="007852DA">
        <w:rPr>
          <w:rFonts w:ascii="Book Antiqua" w:eastAsia="宋体" w:hAnsi="Book Antiqua" w:cs="Times New Roman"/>
          <w:color w:val="000000" w:themeColor="text1"/>
          <w:sz w:val="24"/>
          <w:vertAlign w:val="superscript"/>
        </w:rPr>
        <w:t>,</w:t>
      </w:r>
      <w:r w:rsidR="00041FB5" w:rsidRPr="007852DA">
        <w:rPr>
          <w:rFonts w:ascii="Book Antiqua" w:eastAsia="宋体" w:hAnsi="Book Antiqua" w:cs="Times New Roman"/>
          <w:color w:val="000000" w:themeColor="text1"/>
          <w:sz w:val="24"/>
          <w:vertAlign w:val="superscript"/>
        </w:rPr>
        <w:t>49</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 xml:space="preserve">, </w:t>
      </w:r>
      <w:r w:rsidR="004A15C0" w:rsidRPr="007852DA">
        <w:rPr>
          <w:rFonts w:ascii="Book Antiqua" w:eastAsia="宋体" w:hAnsi="Book Antiqua" w:cs="Times New Roman"/>
          <w:color w:val="000000" w:themeColor="text1"/>
          <w:sz w:val="24"/>
        </w:rPr>
        <w:t>with</w:t>
      </w:r>
      <w:r w:rsidRPr="007852DA">
        <w:rPr>
          <w:rFonts w:ascii="Book Antiqua" w:eastAsia="宋体" w:hAnsi="Book Antiqua" w:cs="Times New Roman"/>
          <w:color w:val="000000" w:themeColor="text1"/>
          <w:sz w:val="24"/>
        </w:rPr>
        <w:t xml:space="preserve"> a particular subtype of MSA-P</w:t>
      </w:r>
      <w:r w:rsidRPr="007852DA">
        <w:rPr>
          <w:rFonts w:ascii="Book Antiqua" w:eastAsia="宋体" w:hAnsi="Book Antiqua" w:cs="Times New Roman"/>
          <w:color w:val="000000" w:themeColor="text1"/>
          <w:sz w:val="24"/>
          <w:vertAlign w:val="superscript"/>
        </w:rPr>
        <w:t>[46,51,52]</w:t>
      </w:r>
      <w:r w:rsidRPr="007852DA">
        <w:rPr>
          <w:rFonts w:ascii="Book Antiqua" w:eastAsia="宋体" w:hAnsi="Book Antiqua" w:cs="Times New Roman"/>
          <w:color w:val="000000" w:themeColor="text1"/>
          <w:sz w:val="24"/>
        </w:rPr>
        <w:t xml:space="preserve">, and </w:t>
      </w:r>
      <w:r w:rsidR="004A15C0" w:rsidRPr="007852DA">
        <w:rPr>
          <w:rFonts w:ascii="Book Antiqua" w:eastAsia="宋体" w:hAnsi="Book Antiqua" w:cs="Times New Roman"/>
          <w:color w:val="000000" w:themeColor="text1"/>
          <w:sz w:val="24"/>
        </w:rPr>
        <w:t>with</w:t>
      </w:r>
      <w:r w:rsidRPr="007852DA">
        <w:rPr>
          <w:rFonts w:ascii="Book Antiqua" w:eastAsia="宋体" w:hAnsi="Book Antiqua" w:cs="Times New Roman"/>
          <w:color w:val="000000" w:themeColor="text1"/>
          <w:sz w:val="24"/>
        </w:rPr>
        <w:t xml:space="preserve"> early or initial autonomic symptoms</w:t>
      </w:r>
      <w:r w:rsidRPr="007852DA">
        <w:rPr>
          <w:rFonts w:ascii="Book Antiqua" w:eastAsia="宋体" w:hAnsi="Book Antiqua" w:cs="Times New Roman"/>
          <w:color w:val="000000" w:themeColor="text1"/>
          <w:sz w:val="24"/>
          <w:vertAlign w:val="superscript"/>
        </w:rPr>
        <w:t>[4</w:t>
      </w:r>
      <w:r w:rsidR="00041FB5" w:rsidRPr="007852DA">
        <w:rPr>
          <w:rFonts w:ascii="Book Antiqua" w:eastAsia="宋体" w:hAnsi="Book Antiqua" w:cs="Times New Roman"/>
          <w:color w:val="000000" w:themeColor="text1"/>
          <w:sz w:val="24"/>
          <w:vertAlign w:val="superscript"/>
        </w:rPr>
        <w:t>6</w:t>
      </w:r>
      <w:r w:rsidRPr="007852DA">
        <w:rPr>
          <w:rFonts w:ascii="Book Antiqua" w:eastAsia="宋体" w:hAnsi="Book Antiqua" w:cs="Times New Roman"/>
          <w:color w:val="000000" w:themeColor="text1"/>
          <w:sz w:val="24"/>
          <w:vertAlign w:val="superscript"/>
        </w:rPr>
        <w:t>,</w:t>
      </w:r>
      <w:r w:rsidR="00041FB5" w:rsidRPr="007852DA">
        <w:rPr>
          <w:rFonts w:ascii="Book Antiqua" w:eastAsia="宋体" w:hAnsi="Book Antiqua" w:cs="Times New Roman"/>
          <w:color w:val="000000" w:themeColor="text1"/>
          <w:sz w:val="24"/>
          <w:vertAlign w:val="superscript"/>
        </w:rPr>
        <w:t>47,</w:t>
      </w:r>
      <w:r w:rsidRPr="007852DA">
        <w:rPr>
          <w:rFonts w:ascii="Book Antiqua" w:eastAsia="宋体" w:hAnsi="Book Antiqua" w:cs="Times New Roman"/>
          <w:color w:val="000000" w:themeColor="text1"/>
          <w:sz w:val="24"/>
          <w:vertAlign w:val="superscript"/>
        </w:rPr>
        <w:t>5</w:t>
      </w:r>
      <w:r w:rsidR="00041FB5" w:rsidRPr="007852DA">
        <w:rPr>
          <w:rFonts w:ascii="Book Antiqua" w:eastAsia="宋体" w:hAnsi="Book Antiqua" w:cs="Times New Roman"/>
          <w:color w:val="000000" w:themeColor="text1"/>
          <w:sz w:val="24"/>
          <w:vertAlign w:val="superscript"/>
        </w:rPr>
        <w:t>1</w:t>
      </w:r>
      <w:r w:rsidRPr="007852DA">
        <w:rPr>
          <w:rFonts w:ascii="Book Antiqua" w:eastAsia="宋体" w:hAnsi="Book Antiqua" w:cs="Times New Roman"/>
          <w:color w:val="000000" w:themeColor="text1"/>
          <w:sz w:val="24"/>
          <w:vertAlign w:val="superscript"/>
        </w:rPr>
        <w:t>-5</w:t>
      </w:r>
      <w:r w:rsidR="00041FB5" w:rsidRPr="007852DA">
        <w:rPr>
          <w:rFonts w:ascii="Book Antiqua" w:eastAsia="宋体" w:hAnsi="Book Antiqua" w:cs="Times New Roman"/>
          <w:color w:val="000000" w:themeColor="text1"/>
          <w:sz w:val="24"/>
          <w:vertAlign w:val="superscript"/>
        </w:rPr>
        <w:t>3</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 xml:space="preserve"> were associated with worse survival, while the late development of autonomic failure has been reported as a favorable prognostic factor</w:t>
      </w:r>
      <w:r w:rsidRPr="007852DA">
        <w:rPr>
          <w:rFonts w:ascii="Book Antiqua" w:eastAsia="宋体" w:hAnsi="Book Antiqua" w:cs="Times New Roman"/>
          <w:color w:val="000000" w:themeColor="text1"/>
          <w:sz w:val="24"/>
          <w:vertAlign w:val="superscript"/>
        </w:rPr>
        <w:t>[5</w:t>
      </w:r>
      <w:r w:rsidR="00041FB5" w:rsidRPr="007852DA">
        <w:rPr>
          <w:rFonts w:ascii="Book Antiqua" w:eastAsia="宋体" w:hAnsi="Book Antiqua" w:cs="Times New Roman"/>
          <w:color w:val="000000" w:themeColor="text1"/>
          <w:sz w:val="24"/>
          <w:vertAlign w:val="superscript"/>
        </w:rPr>
        <w:t>4</w:t>
      </w:r>
      <w:r w:rsidRPr="007852DA">
        <w:rPr>
          <w:rFonts w:ascii="Book Antiqua" w:eastAsia="宋体" w:hAnsi="Book Antiqua" w:cs="Times New Roman"/>
          <w:color w:val="000000" w:themeColor="text1"/>
          <w:sz w:val="24"/>
          <w:vertAlign w:val="superscript"/>
        </w:rPr>
        <w:t>,5</w:t>
      </w:r>
      <w:r w:rsidR="00041FB5" w:rsidRPr="007852DA">
        <w:rPr>
          <w:rFonts w:ascii="Book Antiqua" w:eastAsia="宋体" w:hAnsi="Book Antiqua" w:cs="Times New Roman"/>
          <w:color w:val="000000" w:themeColor="text1"/>
          <w:sz w:val="24"/>
          <w:vertAlign w:val="superscript"/>
        </w:rPr>
        <w:t>5</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Surprisingly</w:t>
      </w:r>
      <w:bookmarkEnd w:id="87"/>
      <w:bookmarkEnd w:id="88"/>
      <w:r w:rsidRPr="007852DA">
        <w:rPr>
          <w:rFonts w:ascii="Book Antiqua" w:eastAsia="宋体" w:hAnsi="Book Antiqua" w:cs="Times New Roman"/>
          <w:color w:val="000000" w:themeColor="text1"/>
          <w:sz w:val="24"/>
        </w:rPr>
        <w:t>, patients with different ages of onset (&gt;</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50 years/≤</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50 years), clinical subtypes (MSA-P/MSA-C), or diagnostic criteria (probable/possible) showed no differences in serum levels of GDF15.</w:t>
      </w:r>
    </w:p>
    <w:p w14:paraId="44E205B6" w14:textId="77777777"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After adjusting for disease duration, the MSA</w:t>
      </w:r>
      <w:r w:rsidRPr="007852DA">
        <w:rPr>
          <w:rFonts w:ascii="Cambria Math" w:eastAsia="宋体" w:hAnsi="Cambria Math" w:cs="Cambria Math"/>
          <w:color w:val="000000" w:themeColor="text1"/>
          <w:sz w:val="24"/>
        </w:rPr>
        <w:t>‐</w:t>
      </w:r>
      <w:r w:rsidRPr="007852DA">
        <w:rPr>
          <w:rFonts w:ascii="Book Antiqua" w:eastAsia="宋体" w:hAnsi="Book Antiqua" w:cs="Times New Roman"/>
          <w:color w:val="000000" w:themeColor="text1"/>
          <w:sz w:val="24"/>
        </w:rPr>
        <w:t>P patients</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showed</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more severe</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motor impairment and disability</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compared with the MSA</w:t>
      </w:r>
      <w:r w:rsidRPr="007852DA">
        <w:rPr>
          <w:rFonts w:ascii="Cambria Math" w:eastAsia="宋体" w:hAnsi="Cambria Math" w:cs="Cambria Math"/>
          <w:color w:val="000000" w:themeColor="text1"/>
          <w:sz w:val="24"/>
        </w:rPr>
        <w:t>‐</w:t>
      </w:r>
      <w:r w:rsidRPr="007852DA">
        <w:rPr>
          <w:rFonts w:ascii="Book Antiqua" w:eastAsia="宋体" w:hAnsi="Book Antiqua" w:cs="Times New Roman"/>
          <w:color w:val="000000" w:themeColor="text1"/>
          <w:sz w:val="24"/>
        </w:rPr>
        <w:t>C patients, and severe</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depression, anxiety,</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hyposmia, and cognitive deficits were more</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common among the MSA</w:t>
      </w:r>
      <w:r w:rsidRPr="007852DA">
        <w:rPr>
          <w:rFonts w:ascii="Cambria Math" w:eastAsia="宋体" w:hAnsi="Cambria Math" w:cs="Cambria Math"/>
          <w:color w:val="000000" w:themeColor="text1"/>
          <w:sz w:val="24"/>
        </w:rPr>
        <w:t>‐</w:t>
      </w:r>
      <w:r w:rsidRPr="007852DA">
        <w:rPr>
          <w:rFonts w:ascii="Book Antiqua" w:eastAsia="宋体" w:hAnsi="Book Antiqua" w:cs="Times New Roman"/>
          <w:color w:val="000000" w:themeColor="text1"/>
          <w:sz w:val="24"/>
        </w:rPr>
        <w:t>P patients than the MSA</w:t>
      </w:r>
      <w:r w:rsidRPr="007852DA">
        <w:rPr>
          <w:rFonts w:ascii="Cambria Math" w:eastAsia="宋体" w:hAnsi="Cambria Math" w:cs="Cambria Math"/>
          <w:color w:val="000000" w:themeColor="text1"/>
          <w:sz w:val="24"/>
        </w:rPr>
        <w:t>‐</w:t>
      </w:r>
      <w:r w:rsidRPr="007852DA">
        <w:rPr>
          <w:rFonts w:ascii="Book Antiqua" w:eastAsia="宋体" w:hAnsi="Book Antiqua" w:cs="Times New Roman"/>
          <w:color w:val="000000" w:themeColor="text1"/>
          <w:sz w:val="24"/>
        </w:rPr>
        <w:t>C</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patients. On the other hand, there was no difference in overall survival between the MSA-P and MSA-C patients. Consistent with the clinical manifestations of MSA-P and MSA-C patients, no differences were found in GDF15 levels.</w:t>
      </w:r>
    </w:p>
    <w:p w14:paraId="2E01DFE0" w14:textId="77777777"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MSA is a rare and fatal neurodegenerative disorder that is characterized by a variable combination of parkinsonism, cerebellar impairment, and autonomic </w:t>
      </w:r>
      <w:proofErr w:type="gramStart"/>
      <w:r w:rsidRPr="007852DA">
        <w:rPr>
          <w:rFonts w:ascii="Book Antiqua" w:eastAsia="宋体" w:hAnsi="Book Antiqua" w:cs="Times New Roman"/>
          <w:color w:val="000000" w:themeColor="text1"/>
          <w:sz w:val="24"/>
        </w:rPr>
        <w:t>dysfunction</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2]</w:t>
      </w:r>
      <w:r w:rsidRPr="007852DA">
        <w:rPr>
          <w:rFonts w:ascii="Book Antiqua" w:eastAsia="宋体" w:hAnsi="Book Antiqua" w:cs="Times New Roman"/>
          <w:color w:val="000000" w:themeColor="text1"/>
          <w:sz w:val="24"/>
        </w:rPr>
        <w:t xml:space="preserve">, and the exact mechanisms underlying the pathogenesis are not well understood. Mitochondrial dysfunction (MD) has been connected to the neurodegenerative process in </w:t>
      </w:r>
      <w:proofErr w:type="gramStart"/>
      <w:r w:rsidRPr="007852DA">
        <w:rPr>
          <w:rFonts w:ascii="Book Antiqua" w:eastAsia="宋体" w:hAnsi="Book Antiqua" w:cs="Times New Roman"/>
          <w:color w:val="000000" w:themeColor="text1"/>
          <w:sz w:val="24"/>
        </w:rPr>
        <w:t>MSA</w:t>
      </w:r>
      <w:r w:rsidRPr="007852DA">
        <w:rPr>
          <w:rFonts w:ascii="Book Antiqua" w:eastAsia="宋体" w:hAnsi="Book Antiqua" w:cs="Times New Roman"/>
          <w:color w:val="000000" w:themeColor="text1"/>
          <w:sz w:val="24"/>
          <w:vertAlign w:val="superscript"/>
        </w:rPr>
        <w:t>[</w:t>
      </w:r>
      <w:proofErr w:type="gramEnd"/>
      <w:r w:rsidRPr="007852DA">
        <w:rPr>
          <w:rFonts w:ascii="Book Antiqua" w:eastAsia="宋体" w:hAnsi="Book Antiqua" w:cs="Times New Roman"/>
          <w:color w:val="000000" w:themeColor="text1"/>
          <w:sz w:val="24"/>
          <w:vertAlign w:val="superscript"/>
        </w:rPr>
        <w:t>5</w:t>
      </w:r>
      <w:r w:rsidR="00041FB5" w:rsidRPr="007852DA">
        <w:rPr>
          <w:rFonts w:ascii="Book Antiqua" w:eastAsia="宋体" w:hAnsi="Book Antiqua" w:cs="Times New Roman"/>
          <w:color w:val="000000" w:themeColor="text1"/>
          <w:sz w:val="24"/>
          <w:vertAlign w:val="superscript"/>
        </w:rPr>
        <w:t>6</w:t>
      </w:r>
      <w:r w:rsidRPr="007852DA">
        <w:rPr>
          <w:rFonts w:ascii="Book Antiqua" w:eastAsia="宋体" w:hAnsi="Book Antiqua" w:cs="Times New Roman"/>
          <w:color w:val="000000" w:themeColor="text1"/>
          <w:sz w:val="24"/>
          <w:vertAlign w:val="superscript"/>
        </w:rPr>
        <w:t>,</w:t>
      </w:r>
      <w:r w:rsidR="00041FB5" w:rsidRPr="007852DA">
        <w:rPr>
          <w:rFonts w:ascii="Book Antiqua" w:eastAsia="宋体" w:hAnsi="Book Antiqua" w:cs="Times New Roman"/>
          <w:color w:val="000000" w:themeColor="text1"/>
          <w:sz w:val="24"/>
          <w:vertAlign w:val="superscript"/>
        </w:rPr>
        <w:t>57</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w:t>
      </w:r>
    </w:p>
    <w:p w14:paraId="18F6562A" w14:textId="27F03470"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Serum GDF15 (sGDF15) has been identified in recent years as a potential diagnostic biomarker for </w:t>
      </w:r>
      <w:proofErr w:type="gramStart"/>
      <w:r w:rsidRPr="007852DA">
        <w:rPr>
          <w:rFonts w:ascii="Book Antiqua" w:eastAsia="宋体" w:hAnsi="Book Antiqua" w:cs="Times New Roman"/>
          <w:color w:val="000000" w:themeColor="text1"/>
          <w:sz w:val="24"/>
        </w:rPr>
        <w:t>MDs</w:t>
      </w:r>
      <w:r w:rsidRPr="007852DA">
        <w:rPr>
          <w:rFonts w:ascii="Book Antiqua" w:eastAsia="宋体" w:hAnsi="Book Antiqua" w:cs="Times New Roman"/>
          <w:color w:val="000000" w:themeColor="text1"/>
          <w:sz w:val="24"/>
          <w:vertAlign w:val="superscript"/>
        </w:rPr>
        <w:t>[</w:t>
      </w:r>
      <w:proofErr w:type="gramEnd"/>
      <w:r w:rsidR="00041FB5" w:rsidRPr="007852DA">
        <w:rPr>
          <w:rFonts w:ascii="Book Antiqua" w:eastAsia="宋体" w:hAnsi="Book Antiqua" w:cs="Times New Roman"/>
          <w:color w:val="000000" w:themeColor="text1"/>
          <w:sz w:val="24"/>
          <w:vertAlign w:val="superscript"/>
        </w:rPr>
        <w:t>58</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 xml:space="preserve"> The role of sGDF15 as a biomarker for MDs </w:t>
      </w:r>
      <w:r w:rsidRPr="007852DA">
        <w:rPr>
          <w:rFonts w:ascii="Book Antiqua" w:eastAsia="宋体" w:hAnsi="Book Antiqua" w:cs="Times New Roman"/>
          <w:color w:val="000000" w:themeColor="text1"/>
          <w:sz w:val="24"/>
        </w:rPr>
        <w:lastRenderedPageBreak/>
        <w:t xml:space="preserve">has been tested in large patient cohorts with different mitochondrial defects, </w:t>
      </w:r>
      <w:r w:rsidR="004A15C0" w:rsidRPr="007852DA">
        <w:rPr>
          <w:rFonts w:ascii="Book Antiqua" w:eastAsia="宋体" w:hAnsi="Book Antiqua" w:cs="Times New Roman"/>
          <w:color w:val="000000" w:themeColor="text1"/>
          <w:sz w:val="24"/>
        </w:rPr>
        <w:t xml:space="preserve">and </w:t>
      </w:r>
      <w:r w:rsidRPr="007852DA">
        <w:rPr>
          <w:rFonts w:ascii="Book Antiqua" w:eastAsia="宋体" w:hAnsi="Book Antiqua" w:cs="Times New Roman"/>
          <w:color w:val="000000" w:themeColor="text1"/>
          <w:sz w:val="24"/>
        </w:rPr>
        <w:t>show</w:t>
      </w:r>
      <w:r w:rsidR="004A15C0" w:rsidRPr="007852DA">
        <w:rPr>
          <w:rFonts w:ascii="Book Antiqua" w:eastAsia="宋体" w:hAnsi="Book Antiqua" w:cs="Times New Roman"/>
          <w:color w:val="000000" w:themeColor="text1"/>
          <w:sz w:val="24"/>
        </w:rPr>
        <w:t>ed</w:t>
      </w:r>
      <w:r w:rsidRPr="007852DA">
        <w:rPr>
          <w:rFonts w:ascii="Book Antiqua" w:eastAsia="宋体" w:hAnsi="Book Antiqua" w:cs="Times New Roman"/>
          <w:color w:val="000000" w:themeColor="text1"/>
          <w:sz w:val="24"/>
        </w:rPr>
        <w:t xml:space="preserve"> high sensitivity and </w:t>
      </w:r>
      <w:proofErr w:type="gramStart"/>
      <w:r w:rsidRPr="007852DA">
        <w:rPr>
          <w:rFonts w:ascii="Book Antiqua" w:eastAsia="宋体" w:hAnsi="Book Antiqua" w:cs="Times New Roman"/>
          <w:color w:val="000000" w:themeColor="text1"/>
          <w:sz w:val="24"/>
        </w:rPr>
        <w:t>specificity</w:t>
      </w:r>
      <w:r w:rsidRPr="007852DA">
        <w:rPr>
          <w:rFonts w:ascii="Book Antiqua" w:eastAsia="宋体" w:hAnsi="Book Antiqua" w:cs="Times New Roman"/>
          <w:color w:val="000000" w:themeColor="text1"/>
          <w:sz w:val="24"/>
          <w:vertAlign w:val="superscript"/>
        </w:rPr>
        <w:t>[</w:t>
      </w:r>
      <w:proofErr w:type="gramEnd"/>
      <w:r w:rsidR="00041FB5" w:rsidRPr="007852DA">
        <w:rPr>
          <w:rFonts w:ascii="Book Antiqua" w:eastAsia="宋体" w:hAnsi="Book Antiqua" w:cs="Times New Roman"/>
          <w:color w:val="000000" w:themeColor="text1"/>
          <w:sz w:val="24"/>
          <w:vertAlign w:val="superscript"/>
        </w:rPr>
        <w:t>59</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 It was shown that sGDF15 does not correlate with disease severity in a large cohort of adult A3243G mutation carriers, which suggested that GDF15 seem</w:t>
      </w:r>
      <w:r w:rsidR="004A15C0" w:rsidRPr="007852DA">
        <w:rPr>
          <w:rFonts w:ascii="Book Antiqua" w:eastAsia="宋体" w:hAnsi="Book Antiqua" w:cs="Times New Roman"/>
          <w:color w:val="000000" w:themeColor="text1"/>
          <w:sz w:val="24"/>
        </w:rPr>
        <w:t>s</w:t>
      </w:r>
      <w:r w:rsidRPr="007852DA">
        <w:rPr>
          <w:rFonts w:ascii="Book Antiqua" w:eastAsia="宋体" w:hAnsi="Book Antiqua" w:cs="Times New Roman"/>
          <w:color w:val="000000" w:themeColor="text1"/>
          <w:sz w:val="24"/>
        </w:rPr>
        <w:t xml:space="preserve"> to be more indicative of MD regardless of clinical </w:t>
      </w:r>
      <w:proofErr w:type="gramStart"/>
      <w:r w:rsidRPr="007852DA">
        <w:rPr>
          <w:rFonts w:ascii="Book Antiqua" w:eastAsia="宋体" w:hAnsi="Book Antiqua" w:cs="Times New Roman"/>
          <w:color w:val="000000" w:themeColor="text1"/>
          <w:sz w:val="24"/>
        </w:rPr>
        <w:t>phenotype</w:t>
      </w:r>
      <w:r w:rsidRPr="007852DA">
        <w:rPr>
          <w:rFonts w:ascii="Book Antiqua" w:eastAsia="宋体" w:hAnsi="Book Antiqua" w:cs="Times New Roman"/>
          <w:color w:val="000000" w:themeColor="text1"/>
          <w:sz w:val="24"/>
          <w:vertAlign w:val="superscript"/>
        </w:rPr>
        <w:t>[</w:t>
      </w:r>
      <w:proofErr w:type="gramEnd"/>
      <w:r w:rsidR="00041FB5" w:rsidRPr="007852DA">
        <w:rPr>
          <w:rFonts w:ascii="Book Antiqua" w:eastAsia="宋体" w:hAnsi="Book Antiqua" w:cs="Times New Roman"/>
          <w:color w:val="000000" w:themeColor="text1"/>
          <w:sz w:val="24"/>
          <w:vertAlign w:val="superscript"/>
        </w:rPr>
        <w:t>58</w:t>
      </w:r>
      <w:r w:rsidRPr="007852DA">
        <w:rPr>
          <w:rFonts w:ascii="Book Antiqua" w:eastAsia="宋体" w:hAnsi="Book Antiqua" w:cs="Times New Roman"/>
          <w:color w:val="000000" w:themeColor="text1"/>
          <w:sz w:val="24"/>
          <w:vertAlign w:val="superscript"/>
        </w:rPr>
        <w:t>]</w:t>
      </w:r>
      <w:r w:rsidRPr="007852DA">
        <w:rPr>
          <w:rFonts w:ascii="Book Antiqua" w:eastAsia="宋体" w:hAnsi="Book Antiqua" w:cs="Times New Roman"/>
          <w:color w:val="000000" w:themeColor="text1"/>
          <w:sz w:val="24"/>
        </w:rPr>
        <w:t>. To further explore whether serum GDF15 levels are consistent with clinical manifestations requires studies with larger sample sizes in the future.</w:t>
      </w:r>
    </w:p>
    <w:p w14:paraId="3D544F2B" w14:textId="57E266BE"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Taken together, this study revealed that serum GDF15 m</w:t>
      </w:r>
      <w:r w:rsidR="004A15C0" w:rsidRPr="007852DA">
        <w:rPr>
          <w:rFonts w:ascii="Book Antiqua" w:eastAsia="宋体" w:hAnsi="Book Antiqua" w:cs="Times New Roman"/>
          <w:color w:val="000000" w:themeColor="text1"/>
          <w:sz w:val="24"/>
        </w:rPr>
        <w:t>ay</w:t>
      </w:r>
      <w:r w:rsidRPr="007852DA">
        <w:rPr>
          <w:rFonts w:ascii="Book Antiqua" w:eastAsia="宋体" w:hAnsi="Book Antiqua" w:cs="Times New Roman"/>
          <w:color w:val="000000" w:themeColor="text1"/>
          <w:sz w:val="24"/>
        </w:rPr>
        <w:t xml:space="preserve"> be a potential diagnostic biomarker in MSA. However, some limitations also exist and need to be improved upon in subsequent studies. Firstly, the sample size was limited, and it was difficult to obtain better insight into the relevant risk factors for the elevated serum GDF15 levels in MSA patients. More importantly, </w:t>
      </w:r>
      <w:bookmarkStart w:id="89" w:name="OLE_LINK258"/>
      <w:bookmarkStart w:id="90" w:name="OLE_LINK257"/>
      <w:r w:rsidRPr="007852DA">
        <w:rPr>
          <w:rFonts w:ascii="Book Antiqua" w:eastAsia="宋体" w:hAnsi="Book Antiqua" w:cs="Times New Roman"/>
          <w:color w:val="000000" w:themeColor="text1"/>
          <w:sz w:val="24"/>
        </w:rPr>
        <w:t>patients covering the broad range of disease stages</w:t>
      </w:r>
      <w:bookmarkEnd w:id="89"/>
      <w:bookmarkEnd w:id="90"/>
      <w:r w:rsidRPr="007852DA">
        <w:rPr>
          <w:rFonts w:ascii="Book Antiqua" w:eastAsia="宋体" w:hAnsi="Book Antiqua" w:cs="Times New Roman"/>
          <w:color w:val="000000" w:themeColor="text1"/>
          <w:sz w:val="24"/>
        </w:rPr>
        <w:t xml:space="preserve"> are </w:t>
      </w:r>
      <w:proofErr w:type="gramStart"/>
      <w:r w:rsidRPr="007852DA">
        <w:rPr>
          <w:rFonts w:ascii="Book Antiqua" w:eastAsia="宋体" w:hAnsi="Book Antiqua" w:cs="Times New Roman"/>
          <w:color w:val="000000" w:themeColor="text1"/>
          <w:sz w:val="24"/>
        </w:rPr>
        <w:t>necessary,</w:t>
      </w:r>
      <w:proofErr w:type="gramEnd"/>
      <w:r w:rsidRPr="007852DA">
        <w:rPr>
          <w:rFonts w:ascii="Book Antiqua" w:eastAsia="宋体" w:hAnsi="Book Antiqua" w:cs="Times New Roman"/>
          <w:color w:val="000000" w:themeColor="text1"/>
          <w:sz w:val="24"/>
        </w:rPr>
        <w:t xml:space="preserve"> especially those in the prodromal stage, and this might contribute greatly to the early diagnosis of MSA. </w:t>
      </w:r>
      <w:bookmarkEnd w:id="85"/>
      <w:bookmarkEnd w:id="86"/>
    </w:p>
    <w:p w14:paraId="666DEA27" w14:textId="238C600A" w:rsidR="000D474F" w:rsidRPr="007852DA" w:rsidRDefault="0096702B"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In summary,</w:t>
      </w:r>
      <w:r w:rsidRPr="007852DA">
        <w:rPr>
          <w:rFonts w:ascii="Book Antiqua" w:eastAsia="宋体" w:hAnsi="Book Antiqua" w:cs="Times New Roman"/>
          <w:b/>
          <w:color w:val="000000" w:themeColor="text1"/>
          <w:sz w:val="24"/>
        </w:rPr>
        <w:t xml:space="preserve"> s</w:t>
      </w:r>
      <w:r w:rsidRPr="007852DA">
        <w:rPr>
          <w:rFonts w:ascii="Book Antiqua" w:eastAsia="宋体" w:hAnsi="Book Antiqua" w:cs="Times New Roman"/>
          <w:color w:val="000000" w:themeColor="text1"/>
          <w:sz w:val="24"/>
        </w:rPr>
        <w:t xml:space="preserve">erum GDF15 levels are significantly higher in MSA patients and might </w:t>
      </w:r>
      <w:proofErr w:type="gramStart"/>
      <w:r w:rsidRPr="007852DA">
        <w:rPr>
          <w:rFonts w:ascii="Book Antiqua" w:eastAsia="宋体" w:hAnsi="Book Antiqua" w:cs="Times New Roman"/>
          <w:color w:val="000000" w:themeColor="text1"/>
          <w:sz w:val="24"/>
        </w:rPr>
        <w:t>be</w:t>
      </w:r>
      <w:proofErr w:type="gramEnd"/>
      <w:r w:rsidRPr="007852DA">
        <w:rPr>
          <w:rFonts w:ascii="Book Antiqua" w:eastAsia="宋体" w:hAnsi="Book Antiqua" w:cs="Times New Roman"/>
          <w:color w:val="000000" w:themeColor="text1"/>
          <w:sz w:val="24"/>
        </w:rPr>
        <w:t xml:space="preserve"> a potential diagnostic biomarker and provide some suggestions regarding the etiology of MSA.</w:t>
      </w:r>
    </w:p>
    <w:p w14:paraId="21BCC997" w14:textId="77777777" w:rsidR="000D474F" w:rsidRPr="007852DA" w:rsidRDefault="000D474F" w:rsidP="001F49D0">
      <w:pPr>
        <w:autoSpaceDE w:val="0"/>
        <w:autoSpaceDN w:val="0"/>
        <w:adjustRightInd w:val="0"/>
        <w:spacing w:line="360" w:lineRule="auto"/>
        <w:rPr>
          <w:rFonts w:ascii="Book Antiqua" w:eastAsia="宋体" w:hAnsi="Book Antiqua" w:cs="Times New Roman"/>
          <w:b/>
          <w:color w:val="000000" w:themeColor="text1"/>
          <w:sz w:val="24"/>
        </w:rPr>
      </w:pPr>
    </w:p>
    <w:p w14:paraId="628E5D27" w14:textId="77777777" w:rsidR="001F49D0" w:rsidRPr="007852DA" w:rsidRDefault="00D71EC4" w:rsidP="001F49D0">
      <w:pPr>
        <w:adjustRightInd w:val="0"/>
        <w:spacing w:line="360" w:lineRule="auto"/>
        <w:rPr>
          <w:rFonts w:ascii="Book Antiqua" w:hAnsi="Book Antiqua"/>
          <w:b/>
          <w:color w:val="000000" w:themeColor="text1"/>
          <w:sz w:val="24"/>
          <w:u w:val="single"/>
        </w:rPr>
      </w:pPr>
      <w:r w:rsidRPr="007852DA">
        <w:rPr>
          <w:rFonts w:ascii="Book Antiqua" w:hAnsi="Book Antiqua"/>
          <w:b/>
          <w:color w:val="000000" w:themeColor="text1"/>
          <w:sz w:val="24"/>
          <w:u w:val="single"/>
        </w:rPr>
        <w:t>ARTICLE HIGHLIGHTS</w:t>
      </w:r>
    </w:p>
    <w:p w14:paraId="0A987CF5" w14:textId="77777777" w:rsidR="000D474F" w:rsidRPr="007852DA" w:rsidRDefault="0096702B" w:rsidP="001F49D0">
      <w:pPr>
        <w:autoSpaceDE w:val="0"/>
        <w:autoSpaceDN w:val="0"/>
        <w:adjustRightInd w:val="0"/>
        <w:spacing w:line="360" w:lineRule="auto"/>
        <w:rPr>
          <w:rFonts w:ascii="Book Antiqua" w:eastAsia="宋体" w:hAnsi="Book Antiqua" w:cs="Times New Roman"/>
          <w:b/>
          <w:i/>
          <w:color w:val="000000" w:themeColor="text1"/>
          <w:sz w:val="24"/>
        </w:rPr>
      </w:pPr>
      <w:r w:rsidRPr="007852DA">
        <w:rPr>
          <w:rFonts w:ascii="Book Antiqua" w:eastAsia="宋体" w:hAnsi="Book Antiqua" w:cs="Times New Roman"/>
          <w:b/>
          <w:i/>
          <w:color w:val="000000" w:themeColor="text1"/>
          <w:sz w:val="24"/>
        </w:rPr>
        <w:t>Research background</w:t>
      </w:r>
    </w:p>
    <w:p w14:paraId="16FE8A0A" w14:textId="417755B0"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Multiple system atrophy (MSA) is a serious progressive neurodegenerati</w:t>
      </w:r>
      <w:r w:rsidR="004A15C0" w:rsidRPr="007852DA">
        <w:rPr>
          <w:rFonts w:ascii="Book Antiqua" w:eastAsia="宋体" w:hAnsi="Book Antiqua" w:cs="Times New Roman"/>
          <w:color w:val="000000" w:themeColor="text1"/>
          <w:sz w:val="24"/>
        </w:rPr>
        <w:t>ve</w:t>
      </w:r>
      <w:r w:rsidRPr="007852DA">
        <w:rPr>
          <w:rFonts w:ascii="Book Antiqua" w:eastAsia="宋体" w:hAnsi="Book Antiqua" w:cs="Times New Roman"/>
          <w:color w:val="000000" w:themeColor="text1"/>
          <w:sz w:val="24"/>
        </w:rPr>
        <w:t xml:space="preserve"> disease</w:t>
      </w:r>
      <w:r w:rsidR="004A15C0" w:rsidRPr="007852DA">
        <w:rPr>
          <w:rFonts w:ascii="Book Antiqua" w:eastAsia="宋体" w:hAnsi="Book Antiqua" w:cs="Times New Roman"/>
          <w:color w:val="000000" w:themeColor="text1"/>
          <w:sz w:val="24"/>
        </w:rPr>
        <w:t>. T</w:t>
      </w:r>
      <w:r w:rsidRPr="007852DA">
        <w:rPr>
          <w:rFonts w:ascii="Book Antiqua" w:eastAsia="宋体" w:hAnsi="Book Antiqua" w:cs="Times New Roman"/>
          <w:color w:val="000000" w:themeColor="text1"/>
          <w:sz w:val="24"/>
        </w:rPr>
        <w:t xml:space="preserve">he early diagnosis </w:t>
      </w:r>
      <w:r w:rsidR="004A15C0" w:rsidRPr="007852DA">
        <w:rPr>
          <w:rFonts w:ascii="Book Antiqua" w:eastAsia="宋体" w:hAnsi="Book Antiqua" w:cs="Times New Roman"/>
          <w:color w:val="000000" w:themeColor="text1"/>
          <w:sz w:val="24"/>
        </w:rPr>
        <w:t xml:space="preserve">of MSA </w:t>
      </w:r>
      <w:r w:rsidRPr="007852DA">
        <w:rPr>
          <w:rFonts w:ascii="Book Antiqua" w:eastAsia="宋体" w:hAnsi="Book Antiqua" w:cs="Times New Roman"/>
          <w:color w:val="000000" w:themeColor="text1"/>
          <w:sz w:val="24"/>
        </w:rPr>
        <w:t xml:space="preserve">is very </w:t>
      </w:r>
      <w:r w:rsidR="004436DE" w:rsidRPr="007852DA">
        <w:rPr>
          <w:rFonts w:ascii="Book Antiqua" w:eastAsia="宋体" w:hAnsi="Book Antiqua" w:cs="Times New Roman"/>
          <w:color w:val="000000" w:themeColor="text1"/>
          <w:sz w:val="24"/>
        </w:rPr>
        <w:t>difficult,</w:t>
      </w:r>
      <w:r w:rsidRPr="007852DA">
        <w:rPr>
          <w:rFonts w:ascii="Book Antiqua" w:eastAsia="宋体" w:hAnsi="Book Antiqua" w:cs="Times New Roman"/>
          <w:color w:val="000000" w:themeColor="text1"/>
          <w:sz w:val="24"/>
        </w:rPr>
        <w:t xml:space="preserve"> and diagnostic biomarkers are limited. There is an urgent need for biomarkers for early diagnosis, prognostic prediction of disease progression, and monitoring the therapeutic response</w:t>
      </w:r>
      <w:r w:rsidR="004436DE" w:rsidRPr="007852DA">
        <w:rPr>
          <w:rFonts w:ascii="Book Antiqua" w:eastAsia="宋体" w:hAnsi="Book Antiqua" w:cs="Times New Roman"/>
          <w:color w:val="000000" w:themeColor="text1"/>
          <w:sz w:val="24"/>
        </w:rPr>
        <w:t>.</w:t>
      </w:r>
    </w:p>
    <w:p w14:paraId="3E025C9A" w14:textId="77777777" w:rsidR="004436DE" w:rsidRPr="007852DA" w:rsidRDefault="004436DE" w:rsidP="001F49D0">
      <w:pPr>
        <w:autoSpaceDE w:val="0"/>
        <w:autoSpaceDN w:val="0"/>
        <w:adjustRightInd w:val="0"/>
        <w:spacing w:line="360" w:lineRule="auto"/>
        <w:rPr>
          <w:rFonts w:ascii="Book Antiqua" w:eastAsia="宋体" w:hAnsi="Book Antiqua" w:cs="Times New Roman"/>
          <w:b/>
          <w:color w:val="000000" w:themeColor="text1"/>
          <w:sz w:val="24"/>
        </w:rPr>
      </w:pPr>
    </w:p>
    <w:p w14:paraId="7BA757E8" w14:textId="77777777" w:rsidR="000D474F" w:rsidRPr="007852DA" w:rsidRDefault="0096702B" w:rsidP="001F49D0">
      <w:pPr>
        <w:autoSpaceDE w:val="0"/>
        <w:autoSpaceDN w:val="0"/>
        <w:adjustRightInd w:val="0"/>
        <w:spacing w:line="360" w:lineRule="auto"/>
        <w:rPr>
          <w:rFonts w:ascii="Book Antiqua" w:eastAsia="宋体" w:hAnsi="Book Antiqua" w:cs="Times New Roman"/>
          <w:b/>
          <w:i/>
          <w:color w:val="000000" w:themeColor="text1"/>
          <w:sz w:val="24"/>
        </w:rPr>
      </w:pPr>
      <w:r w:rsidRPr="007852DA">
        <w:rPr>
          <w:rFonts w:ascii="Book Antiqua" w:eastAsia="宋体" w:hAnsi="Book Antiqua" w:cs="Times New Roman"/>
          <w:b/>
          <w:i/>
          <w:color w:val="000000" w:themeColor="text1"/>
          <w:sz w:val="24"/>
        </w:rPr>
        <w:t>Research motivation</w:t>
      </w:r>
    </w:p>
    <w:p w14:paraId="5DE468EC" w14:textId="5828CC21"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Growth differentiation factor 15 (GDF15) is a member of the transforming </w:t>
      </w:r>
      <w:r w:rsidRPr="007852DA">
        <w:rPr>
          <w:rFonts w:ascii="Book Antiqua" w:eastAsia="宋体" w:hAnsi="Book Antiqua" w:cs="Times New Roman"/>
          <w:color w:val="000000" w:themeColor="text1"/>
          <w:sz w:val="24"/>
        </w:rPr>
        <w:lastRenderedPageBreak/>
        <w:t xml:space="preserve">growth factor-β superfamily. Abnormal concentrations of GDF15 </w:t>
      </w:r>
      <w:r w:rsidR="004A15C0" w:rsidRPr="007852DA">
        <w:rPr>
          <w:rFonts w:ascii="Book Antiqua" w:eastAsia="宋体" w:hAnsi="Book Antiqua" w:cs="Times New Roman"/>
          <w:color w:val="000000" w:themeColor="text1"/>
          <w:sz w:val="24"/>
        </w:rPr>
        <w:t>are</w:t>
      </w:r>
      <w:r w:rsidRPr="007852DA">
        <w:rPr>
          <w:rFonts w:ascii="Book Antiqua" w:eastAsia="宋体" w:hAnsi="Book Antiqua" w:cs="Times New Roman"/>
          <w:color w:val="000000" w:themeColor="text1"/>
          <w:sz w:val="24"/>
        </w:rPr>
        <w:t xml:space="preserve"> considered to have a close association with neurodegenerative diseases and might be a potential biomarker for early diagnosis. It ha</w:t>
      </w:r>
      <w:r w:rsidR="004A15C0" w:rsidRPr="007852DA">
        <w:rPr>
          <w:rFonts w:ascii="Book Antiqua" w:eastAsia="宋体" w:hAnsi="Book Antiqua" w:cs="Times New Roman"/>
          <w:color w:val="000000" w:themeColor="text1"/>
          <w:sz w:val="24"/>
        </w:rPr>
        <w:t>s</w:t>
      </w:r>
      <w:r w:rsidRPr="007852DA">
        <w:rPr>
          <w:rFonts w:ascii="Book Antiqua" w:eastAsia="宋体" w:hAnsi="Book Antiqua" w:cs="Times New Roman"/>
          <w:color w:val="000000" w:themeColor="text1"/>
          <w:sz w:val="24"/>
        </w:rPr>
        <w:t xml:space="preserve"> not been previously reported whether serum GDF15 levels </w:t>
      </w:r>
      <w:r w:rsidR="004A15C0" w:rsidRPr="007852DA">
        <w:rPr>
          <w:rFonts w:ascii="Book Antiqua" w:eastAsia="宋体" w:hAnsi="Book Antiqua" w:cs="Times New Roman"/>
          <w:color w:val="000000" w:themeColor="text1"/>
          <w:sz w:val="24"/>
        </w:rPr>
        <w:t>are</w:t>
      </w:r>
      <w:r w:rsidRPr="007852DA">
        <w:rPr>
          <w:rFonts w:ascii="Book Antiqua" w:eastAsia="宋体" w:hAnsi="Book Antiqua" w:cs="Times New Roman"/>
          <w:color w:val="000000" w:themeColor="text1"/>
          <w:sz w:val="24"/>
        </w:rPr>
        <w:t xml:space="preserve"> also higher in patients with MSA.</w:t>
      </w:r>
    </w:p>
    <w:p w14:paraId="1E9A1980" w14:textId="77777777" w:rsidR="004436DE" w:rsidRPr="007852DA" w:rsidRDefault="004436DE" w:rsidP="001F49D0">
      <w:pPr>
        <w:autoSpaceDE w:val="0"/>
        <w:autoSpaceDN w:val="0"/>
        <w:adjustRightInd w:val="0"/>
        <w:spacing w:line="360" w:lineRule="auto"/>
        <w:rPr>
          <w:rFonts w:ascii="Book Antiqua" w:eastAsia="宋体" w:hAnsi="Book Antiqua" w:cs="Times New Roman"/>
          <w:b/>
          <w:color w:val="000000" w:themeColor="text1"/>
          <w:sz w:val="24"/>
        </w:rPr>
      </w:pPr>
    </w:p>
    <w:p w14:paraId="18D10F55" w14:textId="77777777" w:rsidR="000D474F" w:rsidRPr="007852DA" w:rsidRDefault="0096702B" w:rsidP="001F49D0">
      <w:pPr>
        <w:autoSpaceDE w:val="0"/>
        <w:autoSpaceDN w:val="0"/>
        <w:adjustRightInd w:val="0"/>
        <w:spacing w:line="360" w:lineRule="auto"/>
        <w:rPr>
          <w:rFonts w:ascii="Book Antiqua" w:eastAsia="宋体" w:hAnsi="Book Antiqua" w:cs="Times New Roman"/>
          <w:b/>
          <w:i/>
          <w:color w:val="000000" w:themeColor="text1"/>
          <w:sz w:val="24"/>
        </w:rPr>
      </w:pPr>
      <w:r w:rsidRPr="007852DA">
        <w:rPr>
          <w:rFonts w:ascii="Book Antiqua" w:eastAsia="宋体" w:hAnsi="Book Antiqua" w:cs="Times New Roman"/>
          <w:b/>
          <w:i/>
          <w:color w:val="000000" w:themeColor="text1"/>
          <w:sz w:val="24"/>
        </w:rPr>
        <w:t>Research objectives</w:t>
      </w:r>
    </w:p>
    <w:p w14:paraId="2745DC77" w14:textId="1EE547A4"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This study </w:t>
      </w:r>
      <w:r w:rsidR="004A15C0" w:rsidRPr="007852DA">
        <w:rPr>
          <w:rFonts w:ascii="Book Antiqua" w:eastAsia="宋体" w:hAnsi="Book Antiqua" w:cs="Times New Roman"/>
          <w:color w:val="000000" w:themeColor="text1"/>
          <w:sz w:val="24"/>
        </w:rPr>
        <w:t xml:space="preserve">aimed </w:t>
      </w:r>
      <w:r w:rsidRPr="007852DA">
        <w:rPr>
          <w:rFonts w:ascii="Book Antiqua" w:eastAsia="宋体" w:hAnsi="Book Antiqua" w:cs="Times New Roman"/>
          <w:color w:val="000000" w:themeColor="text1"/>
          <w:sz w:val="24"/>
        </w:rPr>
        <w:t xml:space="preserve">to </w:t>
      </w:r>
      <w:r w:rsidR="004A15C0" w:rsidRPr="007852DA">
        <w:rPr>
          <w:rFonts w:ascii="Book Antiqua" w:eastAsia="宋体" w:hAnsi="Book Antiqua" w:cs="Times New Roman"/>
          <w:color w:val="000000" w:themeColor="text1"/>
          <w:sz w:val="24"/>
        </w:rPr>
        <w:t>determine</w:t>
      </w:r>
      <w:r w:rsidRPr="007852DA">
        <w:rPr>
          <w:rFonts w:ascii="Book Antiqua" w:eastAsia="宋体" w:hAnsi="Book Antiqua" w:cs="Times New Roman"/>
          <w:color w:val="000000" w:themeColor="text1"/>
          <w:sz w:val="24"/>
        </w:rPr>
        <w:t xml:space="preserve"> serum GDF15 levels, related factors and </w:t>
      </w:r>
      <w:r w:rsidR="004A15C0" w:rsidRPr="007852DA">
        <w:rPr>
          <w:rFonts w:ascii="Book Antiqua" w:eastAsia="宋体" w:hAnsi="Book Antiqua" w:cs="Times New Roman"/>
          <w:color w:val="000000" w:themeColor="text1"/>
          <w:sz w:val="24"/>
        </w:rPr>
        <w:t xml:space="preserve">their </w:t>
      </w:r>
      <w:r w:rsidRPr="007852DA">
        <w:rPr>
          <w:rFonts w:ascii="Book Antiqua" w:eastAsia="宋体" w:hAnsi="Book Antiqua" w:cs="Times New Roman"/>
          <w:color w:val="000000" w:themeColor="text1"/>
          <w:sz w:val="24"/>
        </w:rPr>
        <w:t>potential diagnostic value in MSA patients.</w:t>
      </w:r>
    </w:p>
    <w:p w14:paraId="3E2777A1" w14:textId="77777777" w:rsidR="004436DE" w:rsidRPr="007852DA" w:rsidRDefault="004436DE" w:rsidP="001F49D0">
      <w:pPr>
        <w:autoSpaceDE w:val="0"/>
        <w:autoSpaceDN w:val="0"/>
        <w:adjustRightInd w:val="0"/>
        <w:spacing w:line="360" w:lineRule="auto"/>
        <w:rPr>
          <w:rFonts w:ascii="Book Antiqua" w:eastAsia="宋体" w:hAnsi="Book Antiqua" w:cs="Times New Roman"/>
          <w:b/>
          <w:color w:val="000000" w:themeColor="text1"/>
          <w:sz w:val="24"/>
        </w:rPr>
      </w:pPr>
    </w:p>
    <w:p w14:paraId="0B253063" w14:textId="77777777" w:rsidR="000D474F" w:rsidRPr="007852DA" w:rsidRDefault="0096702B" w:rsidP="001F49D0">
      <w:pPr>
        <w:autoSpaceDE w:val="0"/>
        <w:autoSpaceDN w:val="0"/>
        <w:adjustRightInd w:val="0"/>
        <w:spacing w:line="360" w:lineRule="auto"/>
        <w:rPr>
          <w:rFonts w:ascii="Book Antiqua" w:eastAsia="宋体" w:hAnsi="Book Antiqua" w:cs="Times New Roman"/>
          <w:b/>
          <w:i/>
          <w:color w:val="000000" w:themeColor="text1"/>
          <w:sz w:val="24"/>
        </w:rPr>
      </w:pPr>
      <w:r w:rsidRPr="007852DA">
        <w:rPr>
          <w:rFonts w:ascii="Book Antiqua" w:eastAsia="宋体" w:hAnsi="Book Antiqua" w:cs="Times New Roman"/>
          <w:b/>
          <w:i/>
          <w:color w:val="000000" w:themeColor="text1"/>
          <w:sz w:val="24"/>
        </w:rPr>
        <w:t>Research methods</w:t>
      </w:r>
    </w:p>
    <w:p w14:paraId="2CBDF1B9" w14:textId="320C2BCE"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A case-control study was conducted, </w:t>
      </w:r>
      <w:r w:rsidR="004A15C0" w:rsidRPr="007852DA">
        <w:rPr>
          <w:rFonts w:ascii="Book Antiqua" w:eastAsia="宋体" w:hAnsi="Book Antiqua" w:cs="Times New Roman"/>
          <w:color w:val="000000" w:themeColor="text1"/>
          <w:sz w:val="24"/>
        </w:rPr>
        <w:t xml:space="preserve">which </w:t>
      </w:r>
      <w:r w:rsidRPr="007852DA">
        <w:rPr>
          <w:rFonts w:ascii="Book Antiqua" w:eastAsia="宋体" w:hAnsi="Book Antiqua" w:cs="Times New Roman"/>
          <w:color w:val="000000" w:themeColor="text1"/>
          <w:sz w:val="24"/>
        </w:rPr>
        <w:t>includ</w:t>
      </w:r>
      <w:r w:rsidR="004A15C0" w:rsidRPr="007852DA">
        <w:rPr>
          <w:rFonts w:ascii="Book Antiqua" w:eastAsia="宋体" w:hAnsi="Book Antiqua" w:cs="Times New Roman"/>
          <w:color w:val="000000" w:themeColor="text1"/>
          <w:sz w:val="24"/>
        </w:rPr>
        <w:t>ed</w:t>
      </w:r>
      <w:r w:rsidRPr="007852DA">
        <w:rPr>
          <w:rFonts w:ascii="Book Antiqua" w:eastAsia="宋体" w:hAnsi="Book Antiqua" w:cs="Times New Roman"/>
          <w:color w:val="000000" w:themeColor="text1"/>
          <w:sz w:val="24"/>
        </w:rPr>
        <w:t xml:space="preserve"> 49 MSA patients, 50 </w:t>
      </w:r>
      <w:r w:rsidR="004436DE" w:rsidRPr="007852DA">
        <w:rPr>
          <w:rFonts w:ascii="Book Antiqua" w:eastAsia="宋体" w:hAnsi="Book Antiqua" w:cs="Times New Roman"/>
          <w:color w:val="000000" w:themeColor="text1"/>
          <w:sz w:val="24"/>
        </w:rPr>
        <w:t xml:space="preserve">Parkinson’s disease (PD) </w:t>
      </w:r>
      <w:r w:rsidRPr="007852DA">
        <w:rPr>
          <w:rFonts w:ascii="Book Antiqua" w:eastAsia="宋体" w:hAnsi="Book Antiqua" w:cs="Times New Roman"/>
          <w:color w:val="000000" w:themeColor="text1"/>
          <w:sz w:val="24"/>
        </w:rPr>
        <w:t xml:space="preserve">patients and 50 healthy controls. Serum GDF15 levels were measured by human enzyme-linked immunosorbent assay and the differences </w:t>
      </w:r>
      <w:r w:rsidR="004A15C0" w:rsidRPr="007852DA">
        <w:rPr>
          <w:rFonts w:ascii="Book Antiqua" w:eastAsia="宋体" w:hAnsi="Book Antiqua" w:cs="Times New Roman"/>
          <w:color w:val="000000" w:themeColor="text1"/>
          <w:sz w:val="24"/>
        </w:rPr>
        <w:t>between the</w:t>
      </w:r>
      <w:r w:rsidRPr="007852DA">
        <w:rPr>
          <w:rFonts w:ascii="Book Antiqua" w:eastAsia="宋体" w:hAnsi="Book Antiqua" w:cs="Times New Roman"/>
          <w:color w:val="000000" w:themeColor="text1"/>
          <w:sz w:val="24"/>
        </w:rPr>
        <w:t xml:space="preserve"> MSA, PD and control groups were analyzed.</w:t>
      </w:r>
    </w:p>
    <w:p w14:paraId="0DEF230C" w14:textId="77777777" w:rsidR="004436DE" w:rsidRPr="007852DA" w:rsidRDefault="004436DE" w:rsidP="001F49D0">
      <w:pPr>
        <w:autoSpaceDE w:val="0"/>
        <w:autoSpaceDN w:val="0"/>
        <w:adjustRightInd w:val="0"/>
        <w:spacing w:line="360" w:lineRule="auto"/>
        <w:rPr>
          <w:rFonts w:ascii="Book Antiqua" w:eastAsia="宋体" w:hAnsi="Book Antiqua" w:cs="Times New Roman"/>
          <w:b/>
          <w:color w:val="000000" w:themeColor="text1"/>
          <w:sz w:val="24"/>
        </w:rPr>
      </w:pPr>
    </w:p>
    <w:p w14:paraId="2A2038DC" w14:textId="77777777" w:rsidR="000D474F" w:rsidRPr="007852DA" w:rsidRDefault="0096702B" w:rsidP="001F49D0">
      <w:pPr>
        <w:autoSpaceDE w:val="0"/>
        <w:autoSpaceDN w:val="0"/>
        <w:adjustRightInd w:val="0"/>
        <w:spacing w:line="360" w:lineRule="auto"/>
        <w:rPr>
          <w:rFonts w:ascii="Book Antiqua" w:eastAsia="宋体" w:hAnsi="Book Antiqua" w:cs="Times New Roman"/>
          <w:b/>
          <w:i/>
          <w:color w:val="000000" w:themeColor="text1"/>
          <w:sz w:val="24"/>
        </w:rPr>
      </w:pPr>
      <w:r w:rsidRPr="007852DA">
        <w:rPr>
          <w:rFonts w:ascii="Book Antiqua" w:eastAsia="宋体" w:hAnsi="Book Antiqua" w:cs="Times New Roman"/>
          <w:b/>
          <w:i/>
          <w:color w:val="000000" w:themeColor="text1"/>
          <w:sz w:val="24"/>
        </w:rPr>
        <w:t>Research results</w:t>
      </w:r>
    </w:p>
    <w:p w14:paraId="31321DEC" w14:textId="77777777"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Serum GDF15 levels were significantly higher in MSA patients than in PD patients and healthy controls (</w:t>
      </w:r>
      <w:r w:rsidR="004436DE" w:rsidRPr="007852DA">
        <w:rPr>
          <w:rFonts w:ascii="Book Antiqua" w:eastAsia="宋体" w:hAnsi="Book Antiqua" w:cs="Times New Roman"/>
          <w:i/>
          <w:iCs/>
          <w:color w:val="000000" w:themeColor="text1"/>
          <w:sz w:val="24"/>
        </w:rPr>
        <w:t>P</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0.000). Males and those with a disease duration of more than three years showed higher serum GDF15 levels (</w:t>
      </w:r>
      <w:r w:rsidR="004436DE" w:rsidRPr="007852DA">
        <w:rPr>
          <w:rFonts w:ascii="Book Antiqua" w:eastAsia="宋体" w:hAnsi="Book Antiqua" w:cs="Times New Roman"/>
          <w:i/>
          <w:iCs/>
          <w:color w:val="000000" w:themeColor="text1"/>
          <w:sz w:val="24"/>
        </w:rPr>
        <w:t>P</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0.043 and 0.000; respectively). Serum GDF15 levels might be a potential diagnostic biomarker for MSA patients compared with healthy controls and PD patients (cutoff: 470.42 </w:t>
      </w:r>
      <w:proofErr w:type="spellStart"/>
      <w:r w:rsidRPr="007852DA">
        <w:rPr>
          <w:rFonts w:ascii="Book Antiqua" w:eastAsia="宋体" w:hAnsi="Book Antiqua" w:cs="Times New Roman"/>
          <w:color w:val="000000" w:themeColor="text1"/>
          <w:sz w:val="24"/>
        </w:rPr>
        <w:t>pg</w:t>
      </w:r>
      <w:proofErr w:type="spellEnd"/>
      <w:r w:rsidRPr="007852DA">
        <w:rPr>
          <w:rFonts w:ascii="Book Antiqua" w:eastAsia="宋体" w:hAnsi="Book Antiqua" w:cs="Times New Roman"/>
          <w:color w:val="000000" w:themeColor="text1"/>
          <w:sz w:val="24"/>
        </w:rPr>
        <w:t>/m</w:t>
      </w:r>
      <w:r w:rsidR="004436DE" w:rsidRPr="007852DA">
        <w:rPr>
          <w:rFonts w:ascii="Book Antiqua" w:eastAsia="宋体" w:hAnsi="Book Antiqua" w:cs="Times New Roman"/>
          <w:color w:val="000000" w:themeColor="text1"/>
          <w:sz w:val="24"/>
        </w:rPr>
        <w:t>L</w:t>
      </w:r>
      <w:r w:rsidRPr="007852DA">
        <w:rPr>
          <w:rFonts w:ascii="Book Antiqua" w:eastAsia="宋体" w:hAnsi="Book Antiqua" w:cs="Times New Roman"/>
          <w:color w:val="000000" w:themeColor="text1"/>
          <w:sz w:val="24"/>
        </w:rPr>
        <w:t xml:space="preserve">, sensitivity: 85.7%, specificity: 88.0%; cutoff: 1075.91 </w:t>
      </w:r>
      <w:proofErr w:type="spellStart"/>
      <w:r w:rsidRPr="007852DA">
        <w:rPr>
          <w:rFonts w:ascii="Book Antiqua" w:eastAsia="宋体" w:hAnsi="Book Antiqua" w:cs="Times New Roman"/>
          <w:color w:val="000000" w:themeColor="text1"/>
          <w:sz w:val="24"/>
        </w:rPr>
        <w:t>pg</w:t>
      </w:r>
      <w:proofErr w:type="spellEnd"/>
      <w:r w:rsidRPr="007852DA">
        <w:rPr>
          <w:rFonts w:ascii="Book Antiqua" w:eastAsia="宋体" w:hAnsi="Book Antiqua" w:cs="Times New Roman"/>
          <w:color w:val="000000" w:themeColor="text1"/>
          <w:sz w:val="24"/>
        </w:rPr>
        <w:t>/m</w:t>
      </w:r>
      <w:r w:rsidR="004436DE" w:rsidRPr="007852DA">
        <w:rPr>
          <w:rFonts w:ascii="Book Antiqua" w:eastAsia="宋体" w:hAnsi="Book Antiqua" w:cs="Times New Roman"/>
          <w:color w:val="000000" w:themeColor="text1"/>
          <w:sz w:val="24"/>
        </w:rPr>
        <w:t>L</w:t>
      </w:r>
      <w:r w:rsidRPr="007852DA">
        <w:rPr>
          <w:rFonts w:ascii="Book Antiqua" w:eastAsia="宋体" w:hAnsi="Book Antiqua" w:cs="Times New Roman"/>
          <w:color w:val="000000" w:themeColor="text1"/>
          <w:sz w:val="24"/>
        </w:rPr>
        <w:t>, sensitivity: 51.0%, specificity: 96.0%; respectively).</w:t>
      </w:r>
    </w:p>
    <w:p w14:paraId="6AB2C3F1" w14:textId="77777777" w:rsidR="004436DE" w:rsidRPr="007852DA" w:rsidRDefault="004436DE" w:rsidP="001F49D0">
      <w:pPr>
        <w:autoSpaceDE w:val="0"/>
        <w:autoSpaceDN w:val="0"/>
        <w:adjustRightInd w:val="0"/>
        <w:spacing w:line="360" w:lineRule="auto"/>
        <w:rPr>
          <w:rFonts w:ascii="Book Antiqua" w:eastAsia="宋体" w:hAnsi="Book Antiqua" w:cs="Times New Roman"/>
          <w:color w:val="000000" w:themeColor="text1"/>
          <w:sz w:val="24"/>
        </w:rPr>
      </w:pPr>
    </w:p>
    <w:p w14:paraId="6713F341" w14:textId="77777777" w:rsidR="000D474F" w:rsidRPr="007852DA" w:rsidRDefault="0096702B" w:rsidP="001F49D0">
      <w:pPr>
        <w:autoSpaceDE w:val="0"/>
        <w:autoSpaceDN w:val="0"/>
        <w:adjustRightInd w:val="0"/>
        <w:spacing w:line="360" w:lineRule="auto"/>
        <w:rPr>
          <w:rFonts w:ascii="Book Antiqua" w:eastAsia="宋体" w:hAnsi="Book Antiqua" w:cs="Times New Roman"/>
          <w:b/>
          <w:i/>
          <w:color w:val="000000" w:themeColor="text1"/>
          <w:sz w:val="24"/>
        </w:rPr>
      </w:pPr>
      <w:r w:rsidRPr="007852DA">
        <w:rPr>
          <w:rFonts w:ascii="Book Antiqua" w:eastAsia="宋体" w:hAnsi="Book Antiqua" w:cs="Times New Roman"/>
          <w:b/>
          <w:i/>
          <w:color w:val="000000" w:themeColor="text1"/>
          <w:sz w:val="24"/>
        </w:rPr>
        <w:t>Research conclusions</w:t>
      </w:r>
    </w:p>
    <w:p w14:paraId="0367E460" w14:textId="4FE2733B"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We found that serum GDF15 levels in MSA patients were significantly higher compared with PD patients and healthy controls. Male patients with MSA </w:t>
      </w:r>
      <w:r w:rsidR="006F5AC9" w:rsidRPr="007852DA">
        <w:rPr>
          <w:rFonts w:ascii="Book Antiqua" w:eastAsia="宋体" w:hAnsi="Book Antiqua" w:cs="Times New Roman"/>
          <w:color w:val="000000" w:themeColor="text1"/>
          <w:sz w:val="24"/>
        </w:rPr>
        <w:t>had</w:t>
      </w:r>
      <w:r w:rsidRPr="007852DA">
        <w:rPr>
          <w:rFonts w:ascii="Book Antiqua" w:eastAsia="宋体" w:hAnsi="Book Antiqua" w:cs="Times New Roman"/>
          <w:color w:val="000000" w:themeColor="text1"/>
          <w:sz w:val="24"/>
        </w:rPr>
        <w:t xml:space="preserve"> higher serum GDF15 levels than female patients, and serum GDF15 levels were also higher in those with disease duration of more than 3 years. The </w:t>
      </w:r>
      <w:r w:rsidR="004436DE" w:rsidRPr="007852DA">
        <w:rPr>
          <w:rFonts w:ascii="Book Antiqua" w:eastAsia="宋体" w:hAnsi="Book Antiqua" w:cs="Times New Roman"/>
          <w:color w:val="000000" w:themeColor="text1"/>
          <w:sz w:val="24"/>
        </w:rPr>
        <w:lastRenderedPageBreak/>
        <w:t xml:space="preserve">receiver-operating characteristic </w:t>
      </w:r>
      <w:r w:rsidRPr="007852DA">
        <w:rPr>
          <w:rFonts w:ascii="Book Antiqua" w:eastAsia="宋体" w:hAnsi="Book Antiqua" w:cs="Times New Roman"/>
          <w:color w:val="000000" w:themeColor="text1"/>
          <w:sz w:val="24"/>
        </w:rPr>
        <w:t>curve analysis revealed that serum GDF15 levels had high specificity, while the sensitivity seemed unsatisfactory in the differential diagnosis between MSA and PD. Serum GDF15 levels might be a potential diagnostic biomarker for MSA patients.</w:t>
      </w:r>
    </w:p>
    <w:p w14:paraId="43B0EF99" w14:textId="77777777" w:rsidR="004436DE" w:rsidRPr="007852DA" w:rsidRDefault="004436DE" w:rsidP="001F49D0">
      <w:pPr>
        <w:autoSpaceDE w:val="0"/>
        <w:autoSpaceDN w:val="0"/>
        <w:adjustRightInd w:val="0"/>
        <w:spacing w:line="360" w:lineRule="auto"/>
        <w:rPr>
          <w:rFonts w:ascii="Book Antiqua" w:eastAsia="宋体" w:hAnsi="Book Antiqua" w:cs="Times New Roman"/>
          <w:color w:val="000000" w:themeColor="text1"/>
          <w:sz w:val="24"/>
        </w:rPr>
      </w:pPr>
    </w:p>
    <w:p w14:paraId="75E48750" w14:textId="77777777" w:rsidR="000D474F" w:rsidRPr="007852DA" w:rsidRDefault="0096702B" w:rsidP="001F49D0">
      <w:pPr>
        <w:autoSpaceDE w:val="0"/>
        <w:autoSpaceDN w:val="0"/>
        <w:adjustRightInd w:val="0"/>
        <w:spacing w:line="360" w:lineRule="auto"/>
        <w:rPr>
          <w:rFonts w:ascii="Book Antiqua" w:eastAsia="宋体" w:hAnsi="Book Antiqua" w:cs="Times New Roman"/>
          <w:b/>
          <w:i/>
          <w:color w:val="000000" w:themeColor="text1"/>
          <w:sz w:val="24"/>
        </w:rPr>
      </w:pPr>
      <w:r w:rsidRPr="007852DA">
        <w:rPr>
          <w:rFonts w:ascii="Book Antiqua" w:eastAsia="宋体" w:hAnsi="Book Antiqua" w:cs="Times New Roman"/>
          <w:b/>
          <w:i/>
          <w:color w:val="000000" w:themeColor="text1"/>
          <w:sz w:val="24"/>
        </w:rPr>
        <w:t>Research perspectives</w:t>
      </w:r>
    </w:p>
    <w:p w14:paraId="5B27F3E2" w14:textId="5E14910F"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This study revealed that serum GDF15 might be a potential diagnostic biomarker in MSA. To further explore whether serum GDF15 levels are consistent with clinical manifestations requires studies with larger sample sizes in the future. </w:t>
      </w:r>
      <w:r w:rsidR="006F5AC9" w:rsidRPr="007852DA">
        <w:rPr>
          <w:rFonts w:ascii="Book Antiqua" w:eastAsia="宋体" w:hAnsi="Book Antiqua" w:cs="Times New Roman"/>
          <w:color w:val="000000" w:themeColor="text1"/>
          <w:sz w:val="24"/>
        </w:rPr>
        <w:t>T</w:t>
      </w:r>
      <w:r w:rsidRPr="007852DA">
        <w:rPr>
          <w:rFonts w:ascii="Book Antiqua" w:eastAsia="宋体" w:hAnsi="Book Antiqua" w:cs="Times New Roman"/>
          <w:color w:val="000000" w:themeColor="text1"/>
          <w:sz w:val="24"/>
        </w:rPr>
        <w:t xml:space="preserve">he difference between serum GDF15 and </w:t>
      </w:r>
      <w:r w:rsidR="00216E54" w:rsidRPr="007852DA">
        <w:rPr>
          <w:rFonts w:ascii="Book Antiqua" w:eastAsia="宋体" w:hAnsi="Book Antiqua" w:cs="Times New Roman"/>
          <w:color w:val="000000" w:themeColor="text1"/>
          <w:sz w:val="24"/>
        </w:rPr>
        <w:t xml:space="preserve">cerebrospinal fluid </w:t>
      </w:r>
      <w:r w:rsidRPr="007852DA">
        <w:rPr>
          <w:rFonts w:ascii="Book Antiqua" w:eastAsia="宋体" w:hAnsi="Book Antiqua" w:cs="Times New Roman"/>
          <w:color w:val="000000" w:themeColor="text1"/>
          <w:sz w:val="24"/>
        </w:rPr>
        <w:t>GDF15 should be considered.</w:t>
      </w:r>
    </w:p>
    <w:p w14:paraId="26C40DA1" w14:textId="77777777" w:rsidR="004436DE" w:rsidRPr="007852DA" w:rsidRDefault="004436DE" w:rsidP="001F49D0">
      <w:pPr>
        <w:autoSpaceDE w:val="0"/>
        <w:autoSpaceDN w:val="0"/>
        <w:adjustRightInd w:val="0"/>
        <w:spacing w:line="360" w:lineRule="auto"/>
        <w:rPr>
          <w:rFonts w:ascii="Book Antiqua" w:eastAsia="宋体" w:hAnsi="Book Antiqua" w:cs="Times New Roman"/>
          <w:color w:val="000000" w:themeColor="text1"/>
          <w:sz w:val="24"/>
        </w:rPr>
      </w:pPr>
    </w:p>
    <w:p w14:paraId="4A4B9BE0" w14:textId="77777777" w:rsidR="001F49D0" w:rsidRPr="007852DA" w:rsidRDefault="001F49D0" w:rsidP="001F49D0">
      <w:pPr>
        <w:pStyle w:val="Pa28"/>
        <w:spacing w:line="360" w:lineRule="auto"/>
        <w:jc w:val="both"/>
        <w:rPr>
          <w:rFonts w:ascii="Book Antiqua" w:hAnsi="Book Antiqua"/>
          <w:color w:val="000000" w:themeColor="text1"/>
          <w:u w:val="single"/>
          <w:lang w:val="en-US" w:eastAsia="zh-CN"/>
        </w:rPr>
      </w:pPr>
      <w:r w:rsidRPr="007852DA">
        <w:rPr>
          <w:rFonts w:ascii="Book Antiqua" w:hAnsi="Book Antiqua"/>
          <w:b/>
          <w:bCs/>
          <w:color w:val="000000" w:themeColor="text1"/>
          <w:u w:val="single"/>
          <w:lang w:val="en-US"/>
        </w:rPr>
        <w:t>ACKNOWLEDGMENT</w:t>
      </w:r>
      <w:r w:rsidRPr="007852DA">
        <w:rPr>
          <w:rFonts w:ascii="Book Antiqua" w:hAnsi="Book Antiqua"/>
          <w:b/>
          <w:bCs/>
          <w:color w:val="000000" w:themeColor="text1"/>
          <w:u w:val="single"/>
          <w:lang w:val="en-US" w:eastAsia="zh-CN"/>
        </w:rPr>
        <w:t>S</w:t>
      </w:r>
    </w:p>
    <w:p w14:paraId="51A7B7AA" w14:textId="77777777" w:rsidR="000D474F" w:rsidRPr="007852DA" w:rsidRDefault="0096702B"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We thank all medical staff and technicians of dialysis centers who agreed to participate in this study.</w:t>
      </w:r>
    </w:p>
    <w:p w14:paraId="2A3DE60D" w14:textId="77777777" w:rsidR="000D474F" w:rsidRPr="007852DA" w:rsidRDefault="000D474F" w:rsidP="001F49D0">
      <w:pPr>
        <w:autoSpaceDE w:val="0"/>
        <w:autoSpaceDN w:val="0"/>
        <w:adjustRightInd w:val="0"/>
        <w:spacing w:line="360" w:lineRule="auto"/>
        <w:rPr>
          <w:rFonts w:ascii="Book Antiqua" w:eastAsia="宋体" w:hAnsi="Book Antiqua" w:cs="Times New Roman"/>
          <w:b/>
          <w:color w:val="000000" w:themeColor="text1"/>
          <w:sz w:val="24"/>
        </w:rPr>
      </w:pPr>
    </w:p>
    <w:p w14:paraId="23AF4CC7" w14:textId="77777777" w:rsidR="001F49D0" w:rsidRPr="007852DA" w:rsidRDefault="001F49D0" w:rsidP="001F49D0">
      <w:pPr>
        <w:autoSpaceDE w:val="0"/>
        <w:autoSpaceDN w:val="0"/>
        <w:adjustRightInd w:val="0"/>
        <w:spacing w:line="360" w:lineRule="auto"/>
        <w:rPr>
          <w:rFonts w:ascii="Book Antiqua" w:hAnsi="Book Antiqua"/>
          <w:b/>
          <w:bCs/>
          <w:color w:val="000000" w:themeColor="text1"/>
          <w:sz w:val="24"/>
        </w:rPr>
      </w:pPr>
      <w:r w:rsidRPr="007852DA">
        <w:rPr>
          <w:rFonts w:ascii="Book Antiqua" w:hAnsi="Book Antiqua"/>
          <w:b/>
          <w:bCs/>
          <w:color w:val="000000" w:themeColor="text1"/>
          <w:sz w:val="24"/>
          <w:lang w:eastAsia="fr-FR"/>
        </w:rPr>
        <w:t>REFERENCES</w:t>
      </w:r>
    </w:p>
    <w:p w14:paraId="17212FC8"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1 </w:t>
      </w:r>
      <w:proofErr w:type="spellStart"/>
      <w:r w:rsidRPr="007852DA">
        <w:rPr>
          <w:rFonts w:ascii="Book Antiqua" w:hAnsi="Book Antiqua"/>
          <w:b/>
          <w:color w:val="000000" w:themeColor="text1"/>
          <w:sz w:val="24"/>
        </w:rPr>
        <w:t>Fanciulli</w:t>
      </w:r>
      <w:proofErr w:type="spellEnd"/>
      <w:r w:rsidRPr="007852DA">
        <w:rPr>
          <w:rFonts w:ascii="Book Antiqua" w:hAnsi="Book Antiqua"/>
          <w:b/>
          <w:color w:val="000000" w:themeColor="text1"/>
          <w:sz w:val="24"/>
        </w:rPr>
        <w:t xml:space="preserve"> A</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Wenning</w:t>
      </w:r>
      <w:proofErr w:type="spellEnd"/>
      <w:r w:rsidRPr="007852DA">
        <w:rPr>
          <w:rFonts w:ascii="Book Antiqua" w:hAnsi="Book Antiqua"/>
          <w:color w:val="000000" w:themeColor="text1"/>
          <w:sz w:val="24"/>
        </w:rPr>
        <w:t xml:space="preserve"> GK. Multiple-system atrophy. </w:t>
      </w:r>
      <w:r w:rsidRPr="007852DA">
        <w:rPr>
          <w:rFonts w:ascii="Book Antiqua" w:hAnsi="Book Antiqua"/>
          <w:i/>
          <w:color w:val="000000" w:themeColor="text1"/>
          <w:sz w:val="24"/>
        </w:rPr>
        <w:t xml:space="preserve">N </w:t>
      </w:r>
      <w:proofErr w:type="spellStart"/>
      <w:r w:rsidRPr="007852DA">
        <w:rPr>
          <w:rFonts w:ascii="Book Antiqua" w:hAnsi="Book Antiqua"/>
          <w:i/>
          <w:color w:val="000000" w:themeColor="text1"/>
          <w:sz w:val="24"/>
        </w:rPr>
        <w:t>Engl</w:t>
      </w:r>
      <w:proofErr w:type="spellEnd"/>
      <w:r w:rsidRPr="007852DA">
        <w:rPr>
          <w:rFonts w:ascii="Book Antiqua" w:hAnsi="Book Antiqua"/>
          <w:i/>
          <w:color w:val="000000" w:themeColor="text1"/>
          <w:sz w:val="24"/>
        </w:rPr>
        <w:t xml:space="preserve"> J Med</w:t>
      </w:r>
      <w:r w:rsidRPr="007852DA">
        <w:rPr>
          <w:rFonts w:ascii="Book Antiqua" w:hAnsi="Book Antiqua"/>
          <w:color w:val="000000" w:themeColor="text1"/>
          <w:sz w:val="24"/>
        </w:rPr>
        <w:t xml:space="preserve"> 2015; </w:t>
      </w:r>
      <w:r w:rsidRPr="007852DA">
        <w:rPr>
          <w:rFonts w:ascii="Book Antiqua" w:hAnsi="Book Antiqua"/>
          <w:b/>
          <w:color w:val="000000" w:themeColor="text1"/>
          <w:sz w:val="24"/>
        </w:rPr>
        <w:t>372</w:t>
      </w:r>
      <w:r w:rsidRPr="007852DA">
        <w:rPr>
          <w:rFonts w:ascii="Book Antiqua" w:hAnsi="Book Antiqua"/>
          <w:color w:val="000000" w:themeColor="text1"/>
          <w:sz w:val="24"/>
        </w:rPr>
        <w:t>: 249-263 [PMID: 25587949 DOI: 10.1056/nejmra1311488]</w:t>
      </w:r>
    </w:p>
    <w:p w14:paraId="6F32DC0D"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2 </w:t>
      </w:r>
      <w:r w:rsidRPr="007852DA">
        <w:rPr>
          <w:rFonts w:ascii="Book Antiqua" w:hAnsi="Book Antiqua"/>
          <w:b/>
          <w:color w:val="000000" w:themeColor="text1"/>
          <w:sz w:val="24"/>
        </w:rPr>
        <w:t>Gilman S</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Wenning</w:t>
      </w:r>
      <w:proofErr w:type="spellEnd"/>
      <w:r w:rsidRPr="007852DA">
        <w:rPr>
          <w:rFonts w:ascii="Book Antiqua" w:hAnsi="Book Antiqua"/>
          <w:color w:val="000000" w:themeColor="text1"/>
          <w:sz w:val="24"/>
        </w:rPr>
        <w:t xml:space="preserve"> GK, Low PA, Brooks DJ, Mathias CJ, </w:t>
      </w:r>
      <w:proofErr w:type="spellStart"/>
      <w:r w:rsidRPr="007852DA">
        <w:rPr>
          <w:rFonts w:ascii="Book Antiqua" w:hAnsi="Book Antiqua"/>
          <w:color w:val="000000" w:themeColor="text1"/>
          <w:sz w:val="24"/>
        </w:rPr>
        <w:t>Trojanowski</w:t>
      </w:r>
      <w:proofErr w:type="spellEnd"/>
      <w:r w:rsidRPr="007852DA">
        <w:rPr>
          <w:rFonts w:ascii="Book Antiqua" w:hAnsi="Book Antiqua"/>
          <w:color w:val="000000" w:themeColor="text1"/>
          <w:sz w:val="24"/>
        </w:rPr>
        <w:t xml:space="preserve"> JQ, Wood NW, </w:t>
      </w:r>
      <w:proofErr w:type="spellStart"/>
      <w:r w:rsidRPr="007852DA">
        <w:rPr>
          <w:rFonts w:ascii="Book Antiqua" w:hAnsi="Book Antiqua"/>
          <w:color w:val="000000" w:themeColor="text1"/>
          <w:sz w:val="24"/>
        </w:rPr>
        <w:t>Colosimo</w:t>
      </w:r>
      <w:proofErr w:type="spellEnd"/>
      <w:r w:rsidRPr="007852DA">
        <w:rPr>
          <w:rFonts w:ascii="Book Antiqua" w:hAnsi="Book Antiqua"/>
          <w:color w:val="000000" w:themeColor="text1"/>
          <w:sz w:val="24"/>
        </w:rPr>
        <w:t xml:space="preserve"> C, </w:t>
      </w:r>
      <w:proofErr w:type="spellStart"/>
      <w:r w:rsidRPr="007852DA">
        <w:rPr>
          <w:rFonts w:ascii="Book Antiqua" w:hAnsi="Book Antiqua"/>
          <w:color w:val="000000" w:themeColor="text1"/>
          <w:sz w:val="24"/>
        </w:rPr>
        <w:t>Dürr</w:t>
      </w:r>
      <w:proofErr w:type="spellEnd"/>
      <w:r w:rsidRPr="007852DA">
        <w:rPr>
          <w:rFonts w:ascii="Book Antiqua" w:hAnsi="Book Antiqua"/>
          <w:color w:val="000000" w:themeColor="text1"/>
          <w:sz w:val="24"/>
        </w:rPr>
        <w:t xml:space="preserve"> A, Fowler CJ, Kaufmann H, </w:t>
      </w:r>
      <w:proofErr w:type="spellStart"/>
      <w:r w:rsidRPr="007852DA">
        <w:rPr>
          <w:rFonts w:ascii="Book Antiqua" w:hAnsi="Book Antiqua"/>
          <w:color w:val="000000" w:themeColor="text1"/>
          <w:sz w:val="24"/>
        </w:rPr>
        <w:t>Klockgether</w:t>
      </w:r>
      <w:proofErr w:type="spellEnd"/>
      <w:r w:rsidRPr="007852DA">
        <w:rPr>
          <w:rFonts w:ascii="Book Antiqua" w:hAnsi="Book Antiqua"/>
          <w:color w:val="000000" w:themeColor="text1"/>
          <w:sz w:val="24"/>
        </w:rPr>
        <w:t xml:space="preserve"> T, Lees A, </w:t>
      </w:r>
      <w:proofErr w:type="spellStart"/>
      <w:r w:rsidRPr="007852DA">
        <w:rPr>
          <w:rFonts w:ascii="Book Antiqua" w:hAnsi="Book Antiqua"/>
          <w:color w:val="000000" w:themeColor="text1"/>
          <w:sz w:val="24"/>
        </w:rPr>
        <w:t>Poewe</w:t>
      </w:r>
      <w:proofErr w:type="spellEnd"/>
      <w:r w:rsidRPr="007852DA">
        <w:rPr>
          <w:rFonts w:ascii="Book Antiqua" w:hAnsi="Book Antiqua"/>
          <w:color w:val="000000" w:themeColor="text1"/>
          <w:sz w:val="24"/>
        </w:rPr>
        <w:t xml:space="preserve"> W, Quinn N, </w:t>
      </w:r>
      <w:proofErr w:type="spellStart"/>
      <w:r w:rsidRPr="007852DA">
        <w:rPr>
          <w:rFonts w:ascii="Book Antiqua" w:hAnsi="Book Antiqua"/>
          <w:color w:val="000000" w:themeColor="text1"/>
          <w:sz w:val="24"/>
        </w:rPr>
        <w:t>Revesz</w:t>
      </w:r>
      <w:proofErr w:type="spellEnd"/>
      <w:r w:rsidRPr="007852DA">
        <w:rPr>
          <w:rFonts w:ascii="Book Antiqua" w:hAnsi="Book Antiqua"/>
          <w:color w:val="000000" w:themeColor="text1"/>
          <w:sz w:val="24"/>
        </w:rPr>
        <w:t xml:space="preserve"> T, Robertson D, Sandroni P, </w:t>
      </w:r>
      <w:proofErr w:type="spellStart"/>
      <w:r w:rsidRPr="007852DA">
        <w:rPr>
          <w:rFonts w:ascii="Book Antiqua" w:hAnsi="Book Antiqua"/>
          <w:color w:val="000000" w:themeColor="text1"/>
          <w:sz w:val="24"/>
        </w:rPr>
        <w:t>Seppi</w:t>
      </w:r>
      <w:proofErr w:type="spellEnd"/>
      <w:r w:rsidRPr="007852DA">
        <w:rPr>
          <w:rFonts w:ascii="Book Antiqua" w:hAnsi="Book Antiqua"/>
          <w:color w:val="000000" w:themeColor="text1"/>
          <w:sz w:val="24"/>
        </w:rPr>
        <w:t xml:space="preserve"> K, </w:t>
      </w:r>
      <w:proofErr w:type="spellStart"/>
      <w:r w:rsidRPr="007852DA">
        <w:rPr>
          <w:rFonts w:ascii="Book Antiqua" w:hAnsi="Book Antiqua"/>
          <w:color w:val="000000" w:themeColor="text1"/>
          <w:sz w:val="24"/>
        </w:rPr>
        <w:t>Vidailhet</w:t>
      </w:r>
      <w:proofErr w:type="spellEnd"/>
      <w:r w:rsidRPr="007852DA">
        <w:rPr>
          <w:rFonts w:ascii="Book Antiqua" w:hAnsi="Book Antiqua"/>
          <w:color w:val="000000" w:themeColor="text1"/>
          <w:sz w:val="24"/>
        </w:rPr>
        <w:t xml:space="preserve"> M. Second consensus statement on the diagnosis of multiple system atrophy. </w:t>
      </w:r>
      <w:r w:rsidRPr="007852DA">
        <w:rPr>
          <w:rFonts w:ascii="Book Antiqua" w:hAnsi="Book Antiqua"/>
          <w:i/>
          <w:color w:val="000000" w:themeColor="text1"/>
          <w:sz w:val="24"/>
        </w:rPr>
        <w:t>Neurology</w:t>
      </w:r>
      <w:r w:rsidRPr="007852DA">
        <w:rPr>
          <w:rFonts w:ascii="Book Antiqua" w:hAnsi="Book Antiqua"/>
          <w:color w:val="000000" w:themeColor="text1"/>
          <w:sz w:val="24"/>
        </w:rPr>
        <w:t xml:space="preserve"> 2008; </w:t>
      </w:r>
      <w:r w:rsidRPr="007852DA">
        <w:rPr>
          <w:rFonts w:ascii="Book Antiqua" w:hAnsi="Book Antiqua"/>
          <w:b/>
          <w:color w:val="000000" w:themeColor="text1"/>
          <w:sz w:val="24"/>
        </w:rPr>
        <w:t>71</w:t>
      </w:r>
      <w:r w:rsidRPr="007852DA">
        <w:rPr>
          <w:rFonts w:ascii="Book Antiqua" w:hAnsi="Book Antiqua"/>
          <w:color w:val="000000" w:themeColor="text1"/>
          <w:sz w:val="24"/>
        </w:rPr>
        <w:t>: 670-676 [PMID: 18725592 DOI: 10.1212/01.wnl.0000324625.00404.15]</w:t>
      </w:r>
    </w:p>
    <w:p w14:paraId="0D30DB1B"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3 </w:t>
      </w:r>
      <w:r w:rsidRPr="007852DA">
        <w:rPr>
          <w:rFonts w:ascii="Book Antiqua" w:hAnsi="Book Antiqua"/>
          <w:b/>
          <w:color w:val="000000" w:themeColor="text1"/>
          <w:sz w:val="24"/>
        </w:rPr>
        <w:t>Wong YC</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Krainc</w:t>
      </w:r>
      <w:proofErr w:type="spellEnd"/>
      <w:r w:rsidRPr="007852DA">
        <w:rPr>
          <w:rFonts w:ascii="Book Antiqua" w:hAnsi="Book Antiqua"/>
          <w:color w:val="000000" w:themeColor="text1"/>
          <w:sz w:val="24"/>
        </w:rPr>
        <w:t xml:space="preserve"> D. α-synuclein toxicity in neurodegeneration: mechanism and therapeutic strategies. </w:t>
      </w:r>
      <w:r w:rsidRPr="007852DA">
        <w:rPr>
          <w:rFonts w:ascii="Book Antiqua" w:hAnsi="Book Antiqua"/>
          <w:i/>
          <w:color w:val="000000" w:themeColor="text1"/>
          <w:sz w:val="24"/>
        </w:rPr>
        <w:t>Nat Med</w:t>
      </w:r>
      <w:r w:rsidRPr="007852DA">
        <w:rPr>
          <w:rFonts w:ascii="Book Antiqua" w:hAnsi="Book Antiqua"/>
          <w:color w:val="000000" w:themeColor="text1"/>
          <w:sz w:val="24"/>
        </w:rPr>
        <w:t xml:space="preserve"> 2017; </w:t>
      </w:r>
      <w:r w:rsidRPr="007852DA">
        <w:rPr>
          <w:rFonts w:ascii="Book Antiqua" w:hAnsi="Book Antiqua"/>
          <w:b/>
          <w:color w:val="000000" w:themeColor="text1"/>
          <w:sz w:val="24"/>
        </w:rPr>
        <w:t>23</w:t>
      </w:r>
      <w:r w:rsidRPr="007852DA">
        <w:rPr>
          <w:rFonts w:ascii="Book Antiqua" w:hAnsi="Book Antiqua"/>
          <w:color w:val="000000" w:themeColor="text1"/>
          <w:sz w:val="24"/>
        </w:rPr>
        <w:t>: 1-13 [PMID: 28170377 DOI: 10.1038/nm.4269]</w:t>
      </w:r>
    </w:p>
    <w:p w14:paraId="2652625E"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4 </w:t>
      </w:r>
      <w:proofErr w:type="spellStart"/>
      <w:r w:rsidRPr="007852DA">
        <w:rPr>
          <w:rFonts w:ascii="Book Antiqua" w:hAnsi="Book Antiqua"/>
          <w:b/>
          <w:color w:val="000000" w:themeColor="text1"/>
          <w:sz w:val="24"/>
        </w:rPr>
        <w:t>Woerman</w:t>
      </w:r>
      <w:proofErr w:type="spellEnd"/>
      <w:r w:rsidRPr="007852DA">
        <w:rPr>
          <w:rFonts w:ascii="Book Antiqua" w:hAnsi="Book Antiqua"/>
          <w:b/>
          <w:color w:val="000000" w:themeColor="text1"/>
          <w:sz w:val="24"/>
        </w:rPr>
        <w:t xml:space="preserve"> AL</w:t>
      </w:r>
      <w:r w:rsidRPr="007852DA">
        <w:rPr>
          <w:rFonts w:ascii="Book Antiqua" w:hAnsi="Book Antiqua"/>
          <w:color w:val="000000" w:themeColor="text1"/>
          <w:sz w:val="24"/>
        </w:rPr>
        <w:t xml:space="preserve">, Watts JC, Aoyagi A, Giles K, Middleton LT, </w:t>
      </w:r>
      <w:proofErr w:type="spellStart"/>
      <w:r w:rsidRPr="007852DA">
        <w:rPr>
          <w:rFonts w:ascii="Book Antiqua" w:hAnsi="Book Antiqua"/>
          <w:color w:val="000000" w:themeColor="text1"/>
          <w:sz w:val="24"/>
        </w:rPr>
        <w:t>Prusiner</w:t>
      </w:r>
      <w:proofErr w:type="spellEnd"/>
      <w:r w:rsidRPr="007852DA">
        <w:rPr>
          <w:rFonts w:ascii="Book Antiqua" w:hAnsi="Book Antiqua"/>
          <w:color w:val="000000" w:themeColor="text1"/>
          <w:sz w:val="24"/>
        </w:rPr>
        <w:t xml:space="preserve"> SB. </w:t>
      </w:r>
      <w:r w:rsidRPr="007852DA">
        <w:rPr>
          <w:rFonts w:ascii="Book Antiqua" w:hAnsi="Book Antiqua"/>
          <w:color w:val="000000" w:themeColor="text1"/>
          <w:sz w:val="24"/>
        </w:rPr>
        <w:lastRenderedPageBreak/>
        <w:t xml:space="preserve">α-Synuclein: Multiple System Atrophy Prions. </w:t>
      </w:r>
      <w:r w:rsidRPr="007852DA">
        <w:rPr>
          <w:rFonts w:ascii="Book Antiqua" w:hAnsi="Book Antiqua"/>
          <w:i/>
          <w:color w:val="000000" w:themeColor="text1"/>
          <w:sz w:val="24"/>
        </w:rPr>
        <w:t xml:space="preserve">Cold Spring </w:t>
      </w:r>
      <w:proofErr w:type="spellStart"/>
      <w:r w:rsidRPr="007852DA">
        <w:rPr>
          <w:rFonts w:ascii="Book Antiqua" w:hAnsi="Book Antiqua"/>
          <w:i/>
          <w:color w:val="000000" w:themeColor="text1"/>
          <w:sz w:val="24"/>
        </w:rPr>
        <w:t>Harb</w:t>
      </w:r>
      <w:proofErr w:type="spellEnd"/>
      <w:r w:rsidRPr="007852DA">
        <w:rPr>
          <w:rFonts w:ascii="Book Antiqua" w:hAnsi="Book Antiqua"/>
          <w:i/>
          <w:color w:val="000000" w:themeColor="text1"/>
          <w:sz w:val="24"/>
        </w:rPr>
        <w:t xml:space="preserve"> </w:t>
      </w:r>
      <w:proofErr w:type="spellStart"/>
      <w:r w:rsidRPr="007852DA">
        <w:rPr>
          <w:rFonts w:ascii="Book Antiqua" w:hAnsi="Book Antiqua"/>
          <w:i/>
          <w:color w:val="000000" w:themeColor="text1"/>
          <w:sz w:val="24"/>
        </w:rPr>
        <w:t>Perspect</w:t>
      </w:r>
      <w:proofErr w:type="spellEnd"/>
      <w:r w:rsidRPr="007852DA">
        <w:rPr>
          <w:rFonts w:ascii="Book Antiqua" w:hAnsi="Book Antiqua"/>
          <w:i/>
          <w:color w:val="000000" w:themeColor="text1"/>
          <w:sz w:val="24"/>
        </w:rPr>
        <w:t xml:space="preserve"> Med</w:t>
      </w:r>
      <w:r w:rsidRPr="007852DA">
        <w:rPr>
          <w:rFonts w:ascii="Book Antiqua" w:hAnsi="Book Antiqua"/>
          <w:color w:val="000000" w:themeColor="text1"/>
          <w:sz w:val="24"/>
        </w:rPr>
        <w:t xml:space="preserve"> 2018; </w:t>
      </w:r>
      <w:r w:rsidRPr="007852DA">
        <w:rPr>
          <w:rFonts w:ascii="Book Antiqua" w:hAnsi="Book Antiqua"/>
          <w:b/>
          <w:color w:val="000000" w:themeColor="text1"/>
          <w:sz w:val="24"/>
        </w:rPr>
        <w:t>8</w:t>
      </w:r>
      <w:r w:rsidRPr="007852DA">
        <w:rPr>
          <w:rFonts w:ascii="Book Antiqua" w:hAnsi="Book Antiqua"/>
          <w:color w:val="000000" w:themeColor="text1"/>
          <w:sz w:val="24"/>
        </w:rPr>
        <w:t xml:space="preserve"> [PMID: 28213437 DOI: 10.1101/cshperspect.a024588]</w:t>
      </w:r>
    </w:p>
    <w:p w14:paraId="41947588"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5 </w:t>
      </w:r>
      <w:r w:rsidRPr="007852DA">
        <w:rPr>
          <w:rFonts w:ascii="Book Antiqua" w:hAnsi="Book Antiqua"/>
          <w:b/>
          <w:color w:val="000000" w:themeColor="text1"/>
          <w:sz w:val="24"/>
        </w:rPr>
        <w:t>Kim HJ</w:t>
      </w:r>
      <w:r w:rsidRPr="007852DA">
        <w:rPr>
          <w:rFonts w:ascii="Book Antiqua" w:hAnsi="Book Antiqua"/>
          <w:color w:val="000000" w:themeColor="text1"/>
          <w:sz w:val="24"/>
        </w:rPr>
        <w:t xml:space="preserve">, Jeon BS, </w:t>
      </w:r>
      <w:proofErr w:type="spellStart"/>
      <w:r w:rsidRPr="007852DA">
        <w:rPr>
          <w:rFonts w:ascii="Book Antiqua" w:hAnsi="Book Antiqua"/>
          <w:color w:val="000000" w:themeColor="text1"/>
          <w:sz w:val="24"/>
        </w:rPr>
        <w:t>Jellinger</w:t>
      </w:r>
      <w:proofErr w:type="spellEnd"/>
      <w:r w:rsidRPr="007852DA">
        <w:rPr>
          <w:rFonts w:ascii="Book Antiqua" w:hAnsi="Book Antiqua"/>
          <w:color w:val="000000" w:themeColor="text1"/>
          <w:sz w:val="24"/>
        </w:rPr>
        <w:t xml:space="preserve"> KA. Diagnosis and differential diagnosis of MSA: boundary issues. </w:t>
      </w:r>
      <w:r w:rsidRPr="007852DA">
        <w:rPr>
          <w:rFonts w:ascii="Book Antiqua" w:hAnsi="Book Antiqua"/>
          <w:i/>
          <w:color w:val="000000" w:themeColor="text1"/>
          <w:sz w:val="24"/>
        </w:rPr>
        <w:t>J Neurol</w:t>
      </w:r>
      <w:r w:rsidRPr="007852DA">
        <w:rPr>
          <w:rFonts w:ascii="Book Antiqua" w:hAnsi="Book Antiqua"/>
          <w:color w:val="000000" w:themeColor="text1"/>
          <w:sz w:val="24"/>
        </w:rPr>
        <w:t xml:space="preserve"> 2015; </w:t>
      </w:r>
      <w:r w:rsidRPr="007852DA">
        <w:rPr>
          <w:rFonts w:ascii="Book Antiqua" w:hAnsi="Book Antiqua"/>
          <w:b/>
          <w:color w:val="000000" w:themeColor="text1"/>
          <w:sz w:val="24"/>
        </w:rPr>
        <w:t>262</w:t>
      </w:r>
      <w:r w:rsidRPr="007852DA">
        <w:rPr>
          <w:rFonts w:ascii="Book Antiqua" w:hAnsi="Book Antiqua"/>
          <w:color w:val="000000" w:themeColor="text1"/>
          <w:sz w:val="24"/>
        </w:rPr>
        <w:t>: 1801-1813 [PMID: 25663409 DOI: 10.1007/s00415-015-7654-2]</w:t>
      </w:r>
    </w:p>
    <w:p w14:paraId="776DC3E3"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6 </w:t>
      </w:r>
      <w:r w:rsidRPr="007852DA">
        <w:rPr>
          <w:rFonts w:ascii="Book Antiqua" w:hAnsi="Book Antiqua"/>
          <w:b/>
          <w:color w:val="000000" w:themeColor="text1"/>
          <w:sz w:val="24"/>
        </w:rPr>
        <w:t>Tsuda M</w:t>
      </w:r>
      <w:r w:rsidRPr="007852DA">
        <w:rPr>
          <w:rFonts w:ascii="Book Antiqua" w:hAnsi="Book Antiqua"/>
          <w:color w:val="000000" w:themeColor="text1"/>
          <w:sz w:val="24"/>
        </w:rPr>
        <w:t xml:space="preserve">, Asano S, Kato Y, </w:t>
      </w:r>
      <w:proofErr w:type="spellStart"/>
      <w:r w:rsidRPr="007852DA">
        <w:rPr>
          <w:rFonts w:ascii="Book Antiqua" w:hAnsi="Book Antiqua"/>
          <w:color w:val="000000" w:themeColor="text1"/>
          <w:sz w:val="24"/>
        </w:rPr>
        <w:t>Murai</w:t>
      </w:r>
      <w:proofErr w:type="spellEnd"/>
      <w:r w:rsidRPr="007852DA">
        <w:rPr>
          <w:rFonts w:ascii="Book Antiqua" w:hAnsi="Book Antiqua"/>
          <w:color w:val="000000" w:themeColor="text1"/>
          <w:sz w:val="24"/>
        </w:rPr>
        <w:t xml:space="preserve"> K, Miyazaki M. Differential diagnosis of multiple system atrophy with predominant parkinsonism and Parkinson's disease using neural networks. </w:t>
      </w:r>
      <w:r w:rsidRPr="007852DA">
        <w:rPr>
          <w:rFonts w:ascii="Book Antiqua" w:hAnsi="Book Antiqua"/>
          <w:i/>
          <w:color w:val="000000" w:themeColor="text1"/>
          <w:sz w:val="24"/>
        </w:rPr>
        <w:t>J Neurol Sci</w:t>
      </w:r>
      <w:r w:rsidRPr="007852DA">
        <w:rPr>
          <w:rFonts w:ascii="Book Antiqua" w:hAnsi="Book Antiqua"/>
          <w:color w:val="000000" w:themeColor="text1"/>
          <w:sz w:val="24"/>
        </w:rPr>
        <w:t xml:space="preserve"> 2019; </w:t>
      </w:r>
      <w:r w:rsidRPr="007852DA">
        <w:rPr>
          <w:rFonts w:ascii="Book Antiqua" w:hAnsi="Book Antiqua"/>
          <w:b/>
          <w:color w:val="000000" w:themeColor="text1"/>
          <w:sz w:val="24"/>
        </w:rPr>
        <w:t>401</w:t>
      </w:r>
      <w:r w:rsidRPr="007852DA">
        <w:rPr>
          <w:rFonts w:ascii="Book Antiqua" w:hAnsi="Book Antiqua"/>
          <w:color w:val="000000" w:themeColor="text1"/>
          <w:sz w:val="24"/>
        </w:rPr>
        <w:t>: 19-26 [PMID: 31005759 DOI: 10.1016/j.jns.2019.04.014]</w:t>
      </w:r>
    </w:p>
    <w:p w14:paraId="4900C15E"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7 </w:t>
      </w:r>
      <w:r w:rsidRPr="007852DA">
        <w:rPr>
          <w:rFonts w:ascii="Book Antiqua" w:hAnsi="Book Antiqua"/>
          <w:b/>
          <w:color w:val="000000" w:themeColor="text1"/>
          <w:sz w:val="24"/>
        </w:rPr>
        <w:t>Laurens B</w:t>
      </w:r>
      <w:r w:rsidRPr="007852DA">
        <w:rPr>
          <w:rFonts w:ascii="Book Antiqua" w:hAnsi="Book Antiqua"/>
          <w:color w:val="000000" w:themeColor="text1"/>
          <w:sz w:val="24"/>
        </w:rPr>
        <w:t xml:space="preserve">, Constantinescu R, Freeman R, Gerhard A, </w:t>
      </w:r>
      <w:proofErr w:type="spellStart"/>
      <w:r w:rsidRPr="007852DA">
        <w:rPr>
          <w:rFonts w:ascii="Book Antiqua" w:hAnsi="Book Antiqua"/>
          <w:color w:val="000000" w:themeColor="text1"/>
          <w:sz w:val="24"/>
        </w:rPr>
        <w:t>Jellinger</w:t>
      </w:r>
      <w:proofErr w:type="spellEnd"/>
      <w:r w:rsidRPr="007852DA">
        <w:rPr>
          <w:rFonts w:ascii="Book Antiqua" w:hAnsi="Book Antiqua"/>
          <w:color w:val="000000" w:themeColor="text1"/>
          <w:sz w:val="24"/>
        </w:rPr>
        <w:t xml:space="preserve"> K, </w:t>
      </w:r>
      <w:proofErr w:type="spellStart"/>
      <w:r w:rsidRPr="007852DA">
        <w:rPr>
          <w:rFonts w:ascii="Book Antiqua" w:hAnsi="Book Antiqua"/>
          <w:color w:val="000000" w:themeColor="text1"/>
          <w:sz w:val="24"/>
        </w:rPr>
        <w:t>Jeromin</w:t>
      </w:r>
      <w:proofErr w:type="spellEnd"/>
      <w:r w:rsidRPr="007852DA">
        <w:rPr>
          <w:rFonts w:ascii="Book Antiqua" w:hAnsi="Book Antiqua"/>
          <w:color w:val="000000" w:themeColor="text1"/>
          <w:sz w:val="24"/>
        </w:rPr>
        <w:t xml:space="preserve"> A, </w:t>
      </w:r>
      <w:proofErr w:type="spellStart"/>
      <w:r w:rsidRPr="007852DA">
        <w:rPr>
          <w:rFonts w:ascii="Book Antiqua" w:hAnsi="Book Antiqua"/>
          <w:color w:val="000000" w:themeColor="text1"/>
          <w:sz w:val="24"/>
        </w:rPr>
        <w:t>Krismer</w:t>
      </w:r>
      <w:proofErr w:type="spellEnd"/>
      <w:r w:rsidRPr="007852DA">
        <w:rPr>
          <w:rFonts w:ascii="Book Antiqua" w:hAnsi="Book Antiqua"/>
          <w:color w:val="000000" w:themeColor="text1"/>
          <w:sz w:val="24"/>
        </w:rPr>
        <w:t xml:space="preserve"> F, </w:t>
      </w:r>
      <w:proofErr w:type="spellStart"/>
      <w:r w:rsidRPr="007852DA">
        <w:rPr>
          <w:rFonts w:ascii="Book Antiqua" w:hAnsi="Book Antiqua"/>
          <w:color w:val="000000" w:themeColor="text1"/>
          <w:sz w:val="24"/>
        </w:rPr>
        <w:t>Mollenhauer</w:t>
      </w:r>
      <w:proofErr w:type="spellEnd"/>
      <w:r w:rsidRPr="007852DA">
        <w:rPr>
          <w:rFonts w:ascii="Book Antiqua" w:hAnsi="Book Antiqua"/>
          <w:color w:val="000000" w:themeColor="text1"/>
          <w:sz w:val="24"/>
        </w:rPr>
        <w:t xml:space="preserve"> B, </w:t>
      </w:r>
      <w:proofErr w:type="spellStart"/>
      <w:r w:rsidRPr="007852DA">
        <w:rPr>
          <w:rFonts w:ascii="Book Antiqua" w:hAnsi="Book Antiqua"/>
          <w:color w:val="000000" w:themeColor="text1"/>
          <w:sz w:val="24"/>
        </w:rPr>
        <w:t>Schlossmacher</w:t>
      </w:r>
      <w:proofErr w:type="spellEnd"/>
      <w:r w:rsidRPr="007852DA">
        <w:rPr>
          <w:rFonts w:ascii="Book Antiqua" w:hAnsi="Book Antiqua"/>
          <w:color w:val="000000" w:themeColor="text1"/>
          <w:sz w:val="24"/>
        </w:rPr>
        <w:t xml:space="preserve"> MG, Shaw LM, Verbeek MM, </w:t>
      </w:r>
      <w:proofErr w:type="spellStart"/>
      <w:r w:rsidRPr="007852DA">
        <w:rPr>
          <w:rFonts w:ascii="Book Antiqua" w:hAnsi="Book Antiqua"/>
          <w:color w:val="000000" w:themeColor="text1"/>
          <w:sz w:val="24"/>
        </w:rPr>
        <w:t>Wenning</w:t>
      </w:r>
      <w:proofErr w:type="spellEnd"/>
      <w:r w:rsidRPr="007852DA">
        <w:rPr>
          <w:rFonts w:ascii="Book Antiqua" w:hAnsi="Book Antiqua"/>
          <w:color w:val="000000" w:themeColor="text1"/>
          <w:sz w:val="24"/>
        </w:rPr>
        <w:t xml:space="preserve"> GK, </w:t>
      </w:r>
      <w:proofErr w:type="spellStart"/>
      <w:r w:rsidRPr="007852DA">
        <w:rPr>
          <w:rFonts w:ascii="Book Antiqua" w:hAnsi="Book Antiqua"/>
          <w:color w:val="000000" w:themeColor="text1"/>
          <w:sz w:val="24"/>
        </w:rPr>
        <w:t>Winge</w:t>
      </w:r>
      <w:proofErr w:type="spellEnd"/>
      <w:r w:rsidRPr="007852DA">
        <w:rPr>
          <w:rFonts w:ascii="Book Antiqua" w:hAnsi="Book Antiqua"/>
          <w:color w:val="000000" w:themeColor="text1"/>
          <w:sz w:val="24"/>
        </w:rPr>
        <w:t xml:space="preserve"> K, Zhang J, Meissner WG. Fluid biomarkers in multiple system atrophy: A review of the MSA Biomarker Initiative. </w:t>
      </w:r>
      <w:proofErr w:type="spellStart"/>
      <w:r w:rsidRPr="007852DA">
        <w:rPr>
          <w:rFonts w:ascii="Book Antiqua" w:hAnsi="Book Antiqua"/>
          <w:i/>
          <w:color w:val="000000" w:themeColor="text1"/>
          <w:sz w:val="24"/>
        </w:rPr>
        <w:t>Neurobiol</w:t>
      </w:r>
      <w:proofErr w:type="spellEnd"/>
      <w:r w:rsidRPr="007852DA">
        <w:rPr>
          <w:rFonts w:ascii="Book Antiqua" w:hAnsi="Book Antiqua"/>
          <w:i/>
          <w:color w:val="000000" w:themeColor="text1"/>
          <w:sz w:val="24"/>
        </w:rPr>
        <w:t xml:space="preserve"> Dis</w:t>
      </w:r>
      <w:r w:rsidRPr="007852DA">
        <w:rPr>
          <w:rFonts w:ascii="Book Antiqua" w:hAnsi="Book Antiqua"/>
          <w:color w:val="000000" w:themeColor="text1"/>
          <w:sz w:val="24"/>
        </w:rPr>
        <w:t xml:space="preserve"> 2015; </w:t>
      </w:r>
      <w:r w:rsidRPr="007852DA">
        <w:rPr>
          <w:rFonts w:ascii="Book Antiqua" w:hAnsi="Book Antiqua"/>
          <w:b/>
          <w:color w:val="000000" w:themeColor="text1"/>
          <w:sz w:val="24"/>
        </w:rPr>
        <w:t>80</w:t>
      </w:r>
      <w:r w:rsidRPr="007852DA">
        <w:rPr>
          <w:rFonts w:ascii="Book Antiqua" w:hAnsi="Book Antiqua"/>
          <w:color w:val="000000" w:themeColor="text1"/>
          <w:sz w:val="24"/>
        </w:rPr>
        <w:t>: 29-41 [PMID: 25982836 DOI: 10.1016/j.nbd.2015.05.004]</w:t>
      </w:r>
    </w:p>
    <w:p w14:paraId="3D070E30"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8 </w:t>
      </w:r>
      <w:r w:rsidRPr="007852DA">
        <w:rPr>
          <w:rFonts w:ascii="Book Antiqua" w:hAnsi="Book Antiqua"/>
          <w:b/>
          <w:color w:val="000000" w:themeColor="text1"/>
          <w:sz w:val="24"/>
        </w:rPr>
        <w:t>Tsai VWW</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Husaini</w:t>
      </w:r>
      <w:proofErr w:type="spellEnd"/>
      <w:r w:rsidRPr="007852DA">
        <w:rPr>
          <w:rFonts w:ascii="Book Antiqua" w:hAnsi="Book Antiqua"/>
          <w:color w:val="000000" w:themeColor="text1"/>
          <w:sz w:val="24"/>
        </w:rPr>
        <w:t xml:space="preserve"> Y, Sainsbury A, Brown DA, </w:t>
      </w:r>
      <w:proofErr w:type="spellStart"/>
      <w:r w:rsidRPr="007852DA">
        <w:rPr>
          <w:rFonts w:ascii="Book Antiqua" w:hAnsi="Book Antiqua"/>
          <w:color w:val="000000" w:themeColor="text1"/>
          <w:sz w:val="24"/>
        </w:rPr>
        <w:t>Breit</w:t>
      </w:r>
      <w:proofErr w:type="spellEnd"/>
      <w:r w:rsidRPr="007852DA">
        <w:rPr>
          <w:rFonts w:ascii="Book Antiqua" w:hAnsi="Book Antiqua"/>
          <w:color w:val="000000" w:themeColor="text1"/>
          <w:sz w:val="24"/>
        </w:rPr>
        <w:t xml:space="preserve"> SN. The MIC-1/GDF15-GFRAL Pathway in Energy Homeostasis: Implications for Obesity, Cachexia, and Other Associated Diseases. </w:t>
      </w:r>
      <w:r w:rsidRPr="007852DA">
        <w:rPr>
          <w:rFonts w:ascii="Book Antiqua" w:hAnsi="Book Antiqua"/>
          <w:i/>
          <w:color w:val="000000" w:themeColor="text1"/>
          <w:sz w:val="24"/>
        </w:rPr>
        <w:t xml:space="preserve">Cell </w:t>
      </w:r>
      <w:proofErr w:type="spellStart"/>
      <w:r w:rsidRPr="007852DA">
        <w:rPr>
          <w:rFonts w:ascii="Book Antiqua" w:hAnsi="Book Antiqua"/>
          <w:i/>
          <w:color w:val="000000" w:themeColor="text1"/>
          <w:sz w:val="24"/>
        </w:rPr>
        <w:t>Metab</w:t>
      </w:r>
      <w:proofErr w:type="spellEnd"/>
      <w:r w:rsidRPr="007852DA">
        <w:rPr>
          <w:rFonts w:ascii="Book Antiqua" w:hAnsi="Book Antiqua"/>
          <w:color w:val="000000" w:themeColor="text1"/>
          <w:sz w:val="24"/>
        </w:rPr>
        <w:t xml:space="preserve"> 2018; </w:t>
      </w:r>
      <w:r w:rsidRPr="007852DA">
        <w:rPr>
          <w:rFonts w:ascii="Book Antiqua" w:hAnsi="Book Antiqua"/>
          <w:b/>
          <w:color w:val="000000" w:themeColor="text1"/>
          <w:sz w:val="24"/>
        </w:rPr>
        <w:t>28</w:t>
      </w:r>
      <w:r w:rsidRPr="007852DA">
        <w:rPr>
          <w:rFonts w:ascii="Book Antiqua" w:hAnsi="Book Antiqua"/>
          <w:color w:val="000000" w:themeColor="text1"/>
          <w:sz w:val="24"/>
        </w:rPr>
        <w:t>: 353-368 [PMID: 30184485 DOI: 10.1016/j.cmet.2018.07.018]</w:t>
      </w:r>
    </w:p>
    <w:p w14:paraId="52B81583"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9 </w:t>
      </w:r>
      <w:r w:rsidRPr="007852DA">
        <w:rPr>
          <w:rFonts w:ascii="Book Antiqua" w:hAnsi="Book Antiqua"/>
          <w:b/>
          <w:color w:val="000000" w:themeColor="text1"/>
          <w:sz w:val="24"/>
        </w:rPr>
        <w:t>Wang X</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Krebbers</w:t>
      </w:r>
      <w:proofErr w:type="spellEnd"/>
      <w:r w:rsidRPr="007852DA">
        <w:rPr>
          <w:rFonts w:ascii="Book Antiqua" w:hAnsi="Book Antiqua"/>
          <w:color w:val="000000" w:themeColor="text1"/>
          <w:sz w:val="24"/>
        </w:rPr>
        <w:t xml:space="preserve"> J, </w:t>
      </w:r>
      <w:proofErr w:type="spellStart"/>
      <w:r w:rsidRPr="007852DA">
        <w:rPr>
          <w:rFonts w:ascii="Book Antiqua" w:hAnsi="Book Antiqua"/>
          <w:color w:val="000000" w:themeColor="text1"/>
          <w:sz w:val="24"/>
        </w:rPr>
        <w:t>Charalambous</w:t>
      </w:r>
      <w:proofErr w:type="spellEnd"/>
      <w:r w:rsidRPr="007852DA">
        <w:rPr>
          <w:rFonts w:ascii="Book Antiqua" w:hAnsi="Book Antiqua"/>
          <w:color w:val="000000" w:themeColor="text1"/>
          <w:sz w:val="24"/>
        </w:rPr>
        <w:t xml:space="preserve"> P, Machado V, </w:t>
      </w:r>
      <w:proofErr w:type="spellStart"/>
      <w:r w:rsidRPr="007852DA">
        <w:rPr>
          <w:rFonts w:ascii="Book Antiqua" w:hAnsi="Book Antiqua"/>
          <w:color w:val="000000" w:themeColor="text1"/>
          <w:sz w:val="24"/>
        </w:rPr>
        <w:t>Schober</w:t>
      </w:r>
      <w:proofErr w:type="spellEnd"/>
      <w:r w:rsidRPr="007852DA">
        <w:rPr>
          <w:rFonts w:ascii="Book Antiqua" w:hAnsi="Book Antiqua"/>
          <w:color w:val="000000" w:themeColor="text1"/>
          <w:sz w:val="24"/>
        </w:rPr>
        <w:t xml:space="preserve"> A, </w:t>
      </w:r>
      <w:proofErr w:type="spellStart"/>
      <w:r w:rsidRPr="007852DA">
        <w:rPr>
          <w:rFonts w:ascii="Book Antiqua" w:hAnsi="Book Antiqua"/>
          <w:color w:val="000000" w:themeColor="text1"/>
          <w:sz w:val="24"/>
        </w:rPr>
        <w:t>Bosse</w:t>
      </w:r>
      <w:proofErr w:type="spellEnd"/>
      <w:r w:rsidRPr="007852DA">
        <w:rPr>
          <w:rFonts w:ascii="Book Antiqua" w:hAnsi="Book Antiqua"/>
          <w:color w:val="000000" w:themeColor="text1"/>
          <w:sz w:val="24"/>
        </w:rPr>
        <w:t xml:space="preserve"> F, Müller HW, </w:t>
      </w:r>
      <w:proofErr w:type="spellStart"/>
      <w:r w:rsidRPr="007852DA">
        <w:rPr>
          <w:rFonts w:ascii="Book Antiqua" w:hAnsi="Book Antiqua"/>
          <w:color w:val="000000" w:themeColor="text1"/>
          <w:sz w:val="24"/>
        </w:rPr>
        <w:t>Unsicker</w:t>
      </w:r>
      <w:proofErr w:type="spellEnd"/>
      <w:r w:rsidRPr="007852DA">
        <w:rPr>
          <w:rFonts w:ascii="Book Antiqua" w:hAnsi="Book Antiqua"/>
          <w:color w:val="000000" w:themeColor="text1"/>
          <w:sz w:val="24"/>
        </w:rPr>
        <w:t xml:space="preserve"> K. Growth/differentiation factor-15 and its role in peripheral nervous system lesion and regeneration. </w:t>
      </w:r>
      <w:r w:rsidRPr="007852DA">
        <w:rPr>
          <w:rFonts w:ascii="Book Antiqua" w:hAnsi="Book Antiqua"/>
          <w:i/>
          <w:color w:val="000000" w:themeColor="text1"/>
          <w:sz w:val="24"/>
        </w:rPr>
        <w:t>Cell Tissue Res</w:t>
      </w:r>
      <w:r w:rsidRPr="007852DA">
        <w:rPr>
          <w:rFonts w:ascii="Book Antiqua" w:hAnsi="Book Antiqua"/>
          <w:color w:val="000000" w:themeColor="text1"/>
          <w:sz w:val="24"/>
        </w:rPr>
        <w:t xml:space="preserve"> 2015; </w:t>
      </w:r>
      <w:r w:rsidRPr="007852DA">
        <w:rPr>
          <w:rFonts w:ascii="Book Antiqua" w:hAnsi="Book Antiqua"/>
          <w:b/>
          <w:color w:val="000000" w:themeColor="text1"/>
          <w:sz w:val="24"/>
        </w:rPr>
        <w:t>362</w:t>
      </w:r>
      <w:r w:rsidRPr="007852DA">
        <w:rPr>
          <w:rFonts w:ascii="Book Antiqua" w:hAnsi="Book Antiqua"/>
          <w:color w:val="000000" w:themeColor="text1"/>
          <w:sz w:val="24"/>
        </w:rPr>
        <w:t>: 317-330 [PMID: 26077927 DOI: 10.1007/s00441-015-2219-3]</w:t>
      </w:r>
    </w:p>
    <w:p w14:paraId="7B1E26C4"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10 </w:t>
      </w:r>
      <w:proofErr w:type="spellStart"/>
      <w:r w:rsidRPr="007852DA">
        <w:rPr>
          <w:rFonts w:ascii="Book Antiqua" w:hAnsi="Book Antiqua"/>
          <w:b/>
          <w:color w:val="000000" w:themeColor="text1"/>
          <w:sz w:val="24"/>
        </w:rPr>
        <w:t>Strelau</w:t>
      </w:r>
      <w:proofErr w:type="spellEnd"/>
      <w:r w:rsidRPr="007852DA">
        <w:rPr>
          <w:rFonts w:ascii="Book Antiqua" w:hAnsi="Book Antiqua"/>
          <w:b/>
          <w:color w:val="000000" w:themeColor="text1"/>
          <w:sz w:val="24"/>
        </w:rPr>
        <w:t xml:space="preserve"> J</w:t>
      </w:r>
      <w:r w:rsidRPr="007852DA">
        <w:rPr>
          <w:rFonts w:ascii="Book Antiqua" w:hAnsi="Book Antiqua"/>
          <w:color w:val="000000" w:themeColor="text1"/>
          <w:sz w:val="24"/>
        </w:rPr>
        <w:t xml:space="preserve">, Sullivan A, </w:t>
      </w:r>
      <w:proofErr w:type="spellStart"/>
      <w:r w:rsidRPr="007852DA">
        <w:rPr>
          <w:rFonts w:ascii="Book Antiqua" w:hAnsi="Book Antiqua"/>
          <w:color w:val="000000" w:themeColor="text1"/>
          <w:sz w:val="24"/>
        </w:rPr>
        <w:t>Böttner</w:t>
      </w:r>
      <w:proofErr w:type="spellEnd"/>
      <w:r w:rsidRPr="007852DA">
        <w:rPr>
          <w:rFonts w:ascii="Book Antiqua" w:hAnsi="Book Antiqua"/>
          <w:color w:val="000000" w:themeColor="text1"/>
          <w:sz w:val="24"/>
        </w:rPr>
        <w:t xml:space="preserve"> M, </w:t>
      </w:r>
      <w:proofErr w:type="spellStart"/>
      <w:r w:rsidRPr="007852DA">
        <w:rPr>
          <w:rFonts w:ascii="Book Antiqua" w:hAnsi="Book Antiqua"/>
          <w:color w:val="000000" w:themeColor="text1"/>
          <w:sz w:val="24"/>
        </w:rPr>
        <w:t>Lingor</w:t>
      </w:r>
      <w:proofErr w:type="spellEnd"/>
      <w:r w:rsidRPr="007852DA">
        <w:rPr>
          <w:rFonts w:ascii="Book Antiqua" w:hAnsi="Book Antiqua"/>
          <w:color w:val="000000" w:themeColor="text1"/>
          <w:sz w:val="24"/>
        </w:rPr>
        <w:t xml:space="preserve"> P, </w:t>
      </w:r>
      <w:proofErr w:type="spellStart"/>
      <w:r w:rsidRPr="007852DA">
        <w:rPr>
          <w:rFonts w:ascii="Book Antiqua" w:hAnsi="Book Antiqua"/>
          <w:color w:val="000000" w:themeColor="text1"/>
          <w:sz w:val="24"/>
        </w:rPr>
        <w:t>Falkenstein</w:t>
      </w:r>
      <w:proofErr w:type="spellEnd"/>
      <w:r w:rsidRPr="007852DA">
        <w:rPr>
          <w:rFonts w:ascii="Book Antiqua" w:hAnsi="Book Antiqua"/>
          <w:color w:val="000000" w:themeColor="text1"/>
          <w:sz w:val="24"/>
        </w:rPr>
        <w:t xml:space="preserve"> E, Suter-</w:t>
      </w:r>
      <w:proofErr w:type="spellStart"/>
      <w:r w:rsidRPr="007852DA">
        <w:rPr>
          <w:rFonts w:ascii="Book Antiqua" w:hAnsi="Book Antiqua"/>
          <w:color w:val="000000" w:themeColor="text1"/>
          <w:sz w:val="24"/>
        </w:rPr>
        <w:t>Crazzolara</w:t>
      </w:r>
      <w:proofErr w:type="spellEnd"/>
      <w:r w:rsidRPr="007852DA">
        <w:rPr>
          <w:rFonts w:ascii="Book Antiqua" w:hAnsi="Book Antiqua"/>
          <w:color w:val="000000" w:themeColor="text1"/>
          <w:sz w:val="24"/>
        </w:rPr>
        <w:t xml:space="preserve"> C, </w:t>
      </w:r>
      <w:proofErr w:type="spellStart"/>
      <w:r w:rsidRPr="007852DA">
        <w:rPr>
          <w:rFonts w:ascii="Book Antiqua" w:hAnsi="Book Antiqua"/>
          <w:color w:val="000000" w:themeColor="text1"/>
          <w:sz w:val="24"/>
        </w:rPr>
        <w:t>Galter</w:t>
      </w:r>
      <w:proofErr w:type="spellEnd"/>
      <w:r w:rsidRPr="007852DA">
        <w:rPr>
          <w:rFonts w:ascii="Book Antiqua" w:hAnsi="Book Antiqua"/>
          <w:color w:val="000000" w:themeColor="text1"/>
          <w:sz w:val="24"/>
        </w:rPr>
        <w:t xml:space="preserve"> D, </w:t>
      </w:r>
      <w:proofErr w:type="spellStart"/>
      <w:r w:rsidRPr="007852DA">
        <w:rPr>
          <w:rFonts w:ascii="Book Antiqua" w:hAnsi="Book Antiqua"/>
          <w:color w:val="000000" w:themeColor="text1"/>
          <w:sz w:val="24"/>
        </w:rPr>
        <w:t>Jaszai</w:t>
      </w:r>
      <w:proofErr w:type="spellEnd"/>
      <w:r w:rsidRPr="007852DA">
        <w:rPr>
          <w:rFonts w:ascii="Book Antiqua" w:hAnsi="Book Antiqua"/>
          <w:color w:val="000000" w:themeColor="text1"/>
          <w:sz w:val="24"/>
        </w:rPr>
        <w:t xml:space="preserve"> J, </w:t>
      </w:r>
      <w:proofErr w:type="spellStart"/>
      <w:r w:rsidRPr="007852DA">
        <w:rPr>
          <w:rFonts w:ascii="Book Antiqua" w:hAnsi="Book Antiqua"/>
          <w:color w:val="000000" w:themeColor="text1"/>
          <w:sz w:val="24"/>
        </w:rPr>
        <w:t>Krieglstein</w:t>
      </w:r>
      <w:proofErr w:type="spellEnd"/>
      <w:r w:rsidRPr="007852DA">
        <w:rPr>
          <w:rFonts w:ascii="Book Antiqua" w:hAnsi="Book Antiqua"/>
          <w:color w:val="000000" w:themeColor="text1"/>
          <w:sz w:val="24"/>
        </w:rPr>
        <w:t xml:space="preserve"> K, </w:t>
      </w:r>
      <w:proofErr w:type="spellStart"/>
      <w:r w:rsidRPr="007852DA">
        <w:rPr>
          <w:rFonts w:ascii="Book Antiqua" w:hAnsi="Book Antiqua"/>
          <w:color w:val="000000" w:themeColor="text1"/>
          <w:sz w:val="24"/>
        </w:rPr>
        <w:t>Unsicker</w:t>
      </w:r>
      <w:proofErr w:type="spellEnd"/>
      <w:r w:rsidRPr="007852DA">
        <w:rPr>
          <w:rFonts w:ascii="Book Antiqua" w:hAnsi="Book Antiqua"/>
          <w:color w:val="000000" w:themeColor="text1"/>
          <w:sz w:val="24"/>
        </w:rPr>
        <w:t xml:space="preserve"> K. Growth/differentiation factor-15/macrophage inhibitory cytokine-1 is a novel trophic factor for midbrain dopaminergic neurons in vivo. </w:t>
      </w:r>
      <w:r w:rsidRPr="007852DA">
        <w:rPr>
          <w:rFonts w:ascii="Book Antiqua" w:hAnsi="Book Antiqua"/>
          <w:i/>
          <w:color w:val="000000" w:themeColor="text1"/>
          <w:sz w:val="24"/>
        </w:rPr>
        <w:t xml:space="preserve">J </w:t>
      </w:r>
      <w:proofErr w:type="spellStart"/>
      <w:r w:rsidRPr="007852DA">
        <w:rPr>
          <w:rFonts w:ascii="Book Antiqua" w:hAnsi="Book Antiqua"/>
          <w:i/>
          <w:color w:val="000000" w:themeColor="text1"/>
          <w:sz w:val="24"/>
        </w:rPr>
        <w:t>Neurosci</w:t>
      </w:r>
      <w:proofErr w:type="spellEnd"/>
      <w:r w:rsidRPr="007852DA">
        <w:rPr>
          <w:rFonts w:ascii="Book Antiqua" w:hAnsi="Book Antiqua"/>
          <w:color w:val="000000" w:themeColor="text1"/>
          <w:sz w:val="24"/>
        </w:rPr>
        <w:t xml:space="preserve"> 2000; </w:t>
      </w:r>
      <w:r w:rsidRPr="007852DA">
        <w:rPr>
          <w:rFonts w:ascii="Book Antiqua" w:hAnsi="Book Antiqua"/>
          <w:b/>
          <w:color w:val="000000" w:themeColor="text1"/>
          <w:sz w:val="24"/>
        </w:rPr>
        <w:t>20</w:t>
      </w:r>
      <w:r w:rsidRPr="007852DA">
        <w:rPr>
          <w:rFonts w:ascii="Book Antiqua" w:hAnsi="Book Antiqua"/>
          <w:color w:val="000000" w:themeColor="text1"/>
          <w:sz w:val="24"/>
        </w:rPr>
        <w:t>: 8597-8603 [PMID: 11102463 DOI: 10.1523/jneurosci.20-23-08597.2000]</w:t>
      </w:r>
    </w:p>
    <w:p w14:paraId="4EC227C9"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11 </w:t>
      </w:r>
      <w:proofErr w:type="spellStart"/>
      <w:r w:rsidRPr="007852DA">
        <w:rPr>
          <w:rFonts w:ascii="Book Antiqua" w:hAnsi="Book Antiqua"/>
          <w:b/>
          <w:color w:val="000000" w:themeColor="text1"/>
          <w:sz w:val="24"/>
        </w:rPr>
        <w:t>Corre</w:t>
      </w:r>
      <w:proofErr w:type="spellEnd"/>
      <w:r w:rsidRPr="007852DA">
        <w:rPr>
          <w:rFonts w:ascii="Book Antiqua" w:hAnsi="Book Antiqua"/>
          <w:b/>
          <w:color w:val="000000" w:themeColor="text1"/>
          <w:sz w:val="24"/>
        </w:rPr>
        <w:t xml:space="preserve"> J</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Hébraud</w:t>
      </w:r>
      <w:proofErr w:type="spellEnd"/>
      <w:r w:rsidRPr="007852DA">
        <w:rPr>
          <w:rFonts w:ascii="Book Antiqua" w:hAnsi="Book Antiqua"/>
          <w:color w:val="000000" w:themeColor="text1"/>
          <w:sz w:val="24"/>
        </w:rPr>
        <w:t xml:space="preserve"> B, </w:t>
      </w:r>
      <w:proofErr w:type="spellStart"/>
      <w:r w:rsidRPr="007852DA">
        <w:rPr>
          <w:rFonts w:ascii="Book Antiqua" w:hAnsi="Book Antiqua"/>
          <w:color w:val="000000" w:themeColor="text1"/>
          <w:sz w:val="24"/>
        </w:rPr>
        <w:t>Bourin</w:t>
      </w:r>
      <w:proofErr w:type="spellEnd"/>
      <w:r w:rsidRPr="007852DA">
        <w:rPr>
          <w:rFonts w:ascii="Book Antiqua" w:hAnsi="Book Antiqua"/>
          <w:color w:val="000000" w:themeColor="text1"/>
          <w:sz w:val="24"/>
        </w:rPr>
        <w:t xml:space="preserve"> P. Concise review: growth differentiation factor 15 in pathology: a clinical role? </w:t>
      </w:r>
      <w:r w:rsidRPr="007852DA">
        <w:rPr>
          <w:rFonts w:ascii="Book Antiqua" w:hAnsi="Book Antiqua"/>
          <w:i/>
          <w:color w:val="000000" w:themeColor="text1"/>
          <w:sz w:val="24"/>
        </w:rPr>
        <w:t xml:space="preserve">Stem Cells </w:t>
      </w:r>
      <w:proofErr w:type="spellStart"/>
      <w:r w:rsidRPr="007852DA">
        <w:rPr>
          <w:rFonts w:ascii="Book Antiqua" w:hAnsi="Book Antiqua"/>
          <w:i/>
          <w:color w:val="000000" w:themeColor="text1"/>
          <w:sz w:val="24"/>
        </w:rPr>
        <w:t>Transl</w:t>
      </w:r>
      <w:proofErr w:type="spellEnd"/>
      <w:r w:rsidRPr="007852DA">
        <w:rPr>
          <w:rFonts w:ascii="Book Antiqua" w:hAnsi="Book Antiqua"/>
          <w:i/>
          <w:color w:val="000000" w:themeColor="text1"/>
          <w:sz w:val="24"/>
        </w:rPr>
        <w:t xml:space="preserve"> Med</w:t>
      </w:r>
      <w:r w:rsidRPr="007852DA">
        <w:rPr>
          <w:rFonts w:ascii="Book Antiqua" w:hAnsi="Book Antiqua"/>
          <w:color w:val="000000" w:themeColor="text1"/>
          <w:sz w:val="24"/>
        </w:rPr>
        <w:t xml:space="preserve"> 2013; </w:t>
      </w:r>
      <w:r w:rsidRPr="007852DA">
        <w:rPr>
          <w:rFonts w:ascii="Book Antiqua" w:hAnsi="Book Antiqua"/>
          <w:b/>
          <w:color w:val="000000" w:themeColor="text1"/>
          <w:sz w:val="24"/>
        </w:rPr>
        <w:t>2</w:t>
      </w:r>
      <w:r w:rsidRPr="007852DA">
        <w:rPr>
          <w:rFonts w:ascii="Book Antiqua" w:hAnsi="Book Antiqua"/>
          <w:color w:val="000000" w:themeColor="text1"/>
          <w:sz w:val="24"/>
        </w:rPr>
        <w:t xml:space="preserve">: 946-952 [PMID: </w:t>
      </w:r>
      <w:r w:rsidRPr="007852DA">
        <w:rPr>
          <w:rFonts w:ascii="Book Antiqua" w:hAnsi="Book Antiqua"/>
          <w:color w:val="000000" w:themeColor="text1"/>
          <w:sz w:val="24"/>
        </w:rPr>
        <w:lastRenderedPageBreak/>
        <w:t>24191265 DOI: 10.5966/sctm.2013-0055]</w:t>
      </w:r>
    </w:p>
    <w:p w14:paraId="097D2A28"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12 </w:t>
      </w:r>
      <w:r w:rsidRPr="007852DA">
        <w:rPr>
          <w:rFonts w:ascii="Book Antiqua" w:hAnsi="Book Antiqua"/>
          <w:b/>
          <w:color w:val="000000" w:themeColor="text1"/>
          <w:sz w:val="24"/>
        </w:rPr>
        <w:t>Villanueva MT</w:t>
      </w:r>
      <w:r w:rsidRPr="007852DA">
        <w:rPr>
          <w:rFonts w:ascii="Book Antiqua" w:hAnsi="Book Antiqua"/>
          <w:color w:val="000000" w:themeColor="text1"/>
          <w:sz w:val="24"/>
        </w:rPr>
        <w:t xml:space="preserve">. Obesity: GDF15 tells the brain to lose weight. </w:t>
      </w:r>
      <w:r w:rsidRPr="007852DA">
        <w:rPr>
          <w:rFonts w:ascii="Book Antiqua" w:hAnsi="Book Antiqua"/>
          <w:i/>
          <w:color w:val="000000" w:themeColor="text1"/>
          <w:sz w:val="24"/>
        </w:rPr>
        <w:t xml:space="preserve">Nat Rev Drug </w:t>
      </w:r>
      <w:proofErr w:type="spellStart"/>
      <w:r w:rsidRPr="007852DA">
        <w:rPr>
          <w:rFonts w:ascii="Book Antiqua" w:hAnsi="Book Antiqua"/>
          <w:i/>
          <w:color w:val="000000" w:themeColor="text1"/>
          <w:sz w:val="24"/>
        </w:rPr>
        <w:t>Discov</w:t>
      </w:r>
      <w:proofErr w:type="spellEnd"/>
      <w:r w:rsidRPr="007852DA">
        <w:rPr>
          <w:rFonts w:ascii="Book Antiqua" w:hAnsi="Book Antiqua"/>
          <w:color w:val="000000" w:themeColor="text1"/>
          <w:sz w:val="24"/>
        </w:rPr>
        <w:t xml:space="preserve"> 2017; </w:t>
      </w:r>
      <w:r w:rsidRPr="007852DA">
        <w:rPr>
          <w:rFonts w:ascii="Book Antiqua" w:hAnsi="Book Antiqua"/>
          <w:b/>
          <w:color w:val="000000" w:themeColor="text1"/>
          <w:sz w:val="24"/>
        </w:rPr>
        <w:t>16</w:t>
      </w:r>
      <w:r w:rsidRPr="007852DA">
        <w:rPr>
          <w:rFonts w:ascii="Book Antiqua" w:hAnsi="Book Antiqua"/>
          <w:color w:val="000000" w:themeColor="text1"/>
          <w:sz w:val="24"/>
        </w:rPr>
        <w:t>: 827 [PMID: 29180731 DOI: 10.1038/nrd.2017.241]</w:t>
      </w:r>
    </w:p>
    <w:p w14:paraId="21C6F5BC"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13 </w:t>
      </w:r>
      <w:proofErr w:type="spellStart"/>
      <w:r w:rsidRPr="007852DA">
        <w:rPr>
          <w:rFonts w:ascii="Book Antiqua" w:hAnsi="Book Antiqua"/>
          <w:b/>
          <w:color w:val="000000" w:themeColor="text1"/>
          <w:sz w:val="24"/>
        </w:rPr>
        <w:t>Wollert</w:t>
      </w:r>
      <w:proofErr w:type="spellEnd"/>
      <w:r w:rsidRPr="007852DA">
        <w:rPr>
          <w:rFonts w:ascii="Book Antiqua" w:hAnsi="Book Antiqua"/>
          <w:b/>
          <w:color w:val="000000" w:themeColor="text1"/>
          <w:sz w:val="24"/>
        </w:rPr>
        <w:t xml:space="preserve"> KC</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Kempf</w:t>
      </w:r>
      <w:proofErr w:type="spellEnd"/>
      <w:r w:rsidRPr="007852DA">
        <w:rPr>
          <w:rFonts w:ascii="Book Antiqua" w:hAnsi="Book Antiqua"/>
          <w:color w:val="000000" w:themeColor="text1"/>
          <w:sz w:val="24"/>
        </w:rPr>
        <w:t xml:space="preserve"> T, </w:t>
      </w:r>
      <w:proofErr w:type="spellStart"/>
      <w:r w:rsidRPr="007852DA">
        <w:rPr>
          <w:rFonts w:ascii="Book Antiqua" w:hAnsi="Book Antiqua"/>
          <w:color w:val="000000" w:themeColor="text1"/>
          <w:sz w:val="24"/>
        </w:rPr>
        <w:t>Wallentin</w:t>
      </w:r>
      <w:proofErr w:type="spellEnd"/>
      <w:r w:rsidRPr="007852DA">
        <w:rPr>
          <w:rFonts w:ascii="Book Antiqua" w:hAnsi="Book Antiqua"/>
          <w:color w:val="000000" w:themeColor="text1"/>
          <w:sz w:val="24"/>
        </w:rPr>
        <w:t xml:space="preserve"> L. Growth Differentiation Factor 15 as a Biomarker in Cardiovascular Disease. </w:t>
      </w:r>
      <w:r w:rsidRPr="007852DA">
        <w:rPr>
          <w:rFonts w:ascii="Book Antiqua" w:hAnsi="Book Antiqua"/>
          <w:i/>
          <w:color w:val="000000" w:themeColor="text1"/>
          <w:sz w:val="24"/>
        </w:rPr>
        <w:t>Clin Chem</w:t>
      </w:r>
      <w:r w:rsidRPr="007852DA">
        <w:rPr>
          <w:rFonts w:ascii="Book Antiqua" w:hAnsi="Book Antiqua"/>
          <w:color w:val="000000" w:themeColor="text1"/>
          <w:sz w:val="24"/>
        </w:rPr>
        <w:t xml:space="preserve"> 2017; </w:t>
      </w:r>
      <w:r w:rsidRPr="007852DA">
        <w:rPr>
          <w:rFonts w:ascii="Book Antiqua" w:hAnsi="Book Antiqua"/>
          <w:b/>
          <w:color w:val="000000" w:themeColor="text1"/>
          <w:sz w:val="24"/>
        </w:rPr>
        <w:t>63</w:t>
      </w:r>
      <w:r w:rsidRPr="007852DA">
        <w:rPr>
          <w:rFonts w:ascii="Book Antiqua" w:hAnsi="Book Antiqua"/>
          <w:color w:val="000000" w:themeColor="text1"/>
          <w:sz w:val="24"/>
        </w:rPr>
        <w:t>: 140-151 [PMID: 28062617 DOI: 10.1373/clinchem.2016.255174]</w:t>
      </w:r>
    </w:p>
    <w:p w14:paraId="68CDDF6C"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14 </w:t>
      </w:r>
      <w:proofErr w:type="spellStart"/>
      <w:r w:rsidRPr="007852DA">
        <w:rPr>
          <w:rFonts w:ascii="Book Antiqua" w:hAnsi="Book Antiqua"/>
          <w:b/>
          <w:color w:val="000000" w:themeColor="text1"/>
          <w:sz w:val="24"/>
        </w:rPr>
        <w:t>Meloux</w:t>
      </w:r>
      <w:proofErr w:type="spellEnd"/>
      <w:r w:rsidRPr="007852DA">
        <w:rPr>
          <w:rFonts w:ascii="Book Antiqua" w:hAnsi="Book Antiqua"/>
          <w:b/>
          <w:color w:val="000000" w:themeColor="text1"/>
          <w:sz w:val="24"/>
        </w:rPr>
        <w:t xml:space="preserve"> A</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Rigal</w:t>
      </w:r>
      <w:proofErr w:type="spellEnd"/>
      <w:r w:rsidRPr="007852DA">
        <w:rPr>
          <w:rFonts w:ascii="Book Antiqua" w:hAnsi="Book Antiqua"/>
          <w:color w:val="000000" w:themeColor="text1"/>
          <w:sz w:val="24"/>
        </w:rPr>
        <w:t xml:space="preserve"> E, </w:t>
      </w:r>
      <w:proofErr w:type="spellStart"/>
      <w:r w:rsidRPr="007852DA">
        <w:rPr>
          <w:rFonts w:ascii="Book Antiqua" w:hAnsi="Book Antiqua"/>
          <w:color w:val="000000" w:themeColor="text1"/>
          <w:sz w:val="24"/>
        </w:rPr>
        <w:t>Rochette</w:t>
      </w:r>
      <w:proofErr w:type="spellEnd"/>
      <w:r w:rsidRPr="007852DA">
        <w:rPr>
          <w:rFonts w:ascii="Book Antiqua" w:hAnsi="Book Antiqua"/>
          <w:color w:val="000000" w:themeColor="text1"/>
          <w:sz w:val="24"/>
        </w:rPr>
        <w:t xml:space="preserve"> L, </w:t>
      </w:r>
      <w:proofErr w:type="spellStart"/>
      <w:r w:rsidRPr="007852DA">
        <w:rPr>
          <w:rFonts w:ascii="Book Antiqua" w:hAnsi="Book Antiqua"/>
          <w:color w:val="000000" w:themeColor="text1"/>
          <w:sz w:val="24"/>
        </w:rPr>
        <w:t>Cottin</w:t>
      </w:r>
      <w:proofErr w:type="spellEnd"/>
      <w:r w:rsidRPr="007852DA">
        <w:rPr>
          <w:rFonts w:ascii="Book Antiqua" w:hAnsi="Book Antiqua"/>
          <w:color w:val="000000" w:themeColor="text1"/>
          <w:sz w:val="24"/>
        </w:rPr>
        <w:t xml:space="preserve"> Y, </w:t>
      </w:r>
      <w:proofErr w:type="spellStart"/>
      <w:r w:rsidRPr="007852DA">
        <w:rPr>
          <w:rFonts w:ascii="Book Antiqua" w:hAnsi="Book Antiqua"/>
          <w:color w:val="000000" w:themeColor="text1"/>
          <w:sz w:val="24"/>
        </w:rPr>
        <w:t>Bejot</w:t>
      </w:r>
      <w:proofErr w:type="spellEnd"/>
      <w:r w:rsidRPr="007852DA">
        <w:rPr>
          <w:rFonts w:ascii="Book Antiqua" w:hAnsi="Book Antiqua"/>
          <w:color w:val="000000" w:themeColor="text1"/>
          <w:sz w:val="24"/>
        </w:rPr>
        <w:t xml:space="preserve"> Y, </w:t>
      </w:r>
      <w:proofErr w:type="spellStart"/>
      <w:r w:rsidRPr="007852DA">
        <w:rPr>
          <w:rFonts w:ascii="Book Antiqua" w:hAnsi="Book Antiqua"/>
          <w:color w:val="000000" w:themeColor="text1"/>
          <w:sz w:val="24"/>
        </w:rPr>
        <w:t>Vergely</w:t>
      </w:r>
      <w:proofErr w:type="spellEnd"/>
      <w:r w:rsidRPr="007852DA">
        <w:rPr>
          <w:rFonts w:ascii="Book Antiqua" w:hAnsi="Book Antiqua"/>
          <w:color w:val="000000" w:themeColor="text1"/>
          <w:sz w:val="24"/>
        </w:rPr>
        <w:t xml:space="preserve"> C. Ischemic Stroke Increases Heart Vulnerability to Ischemia-Reperfusion and Alters Myocardial Cardioprotective Pathways. </w:t>
      </w:r>
      <w:r w:rsidRPr="007852DA">
        <w:rPr>
          <w:rFonts w:ascii="Book Antiqua" w:hAnsi="Book Antiqua"/>
          <w:i/>
          <w:color w:val="000000" w:themeColor="text1"/>
          <w:sz w:val="24"/>
        </w:rPr>
        <w:t>Stroke</w:t>
      </w:r>
      <w:r w:rsidRPr="007852DA">
        <w:rPr>
          <w:rFonts w:ascii="Book Antiqua" w:hAnsi="Book Antiqua"/>
          <w:color w:val="000000" w:themeColor="text1"/>
          <w:sz w:val="24"/>
        </w:rPr>
        <w:t xml:space="preserve"> 2018; </w:t>
      </w:r>
      <w:r w:rsidRPr="007852DA">
        <w:rPr>
          <w:rFonts w:ascii="Book Antiqua" w:hAnsi="Book Antiqua"/>
          <w:b/>
          <w:color w:val="000000" w:themeColor="text1"/>
          <w:sz w:val="24"/>
        </w:rPr>
        <w:t>49</w:t>
      </w:r>
      <w:r w:rsidRPr="007852DA">
        <w:rPr>
          <w:rFonts w:ascii="Book Antiqua" w:hAnsi="Book Antiqua"/>
          <w:color w:val="000000" w:themeColor="text1"/>
          <w:sz w:val="24"/>
        </w:rPr>
        <w:t>: 2752-2760 [PMID: 30355197 DOI: 10.1161/STROKEAHA.118.022207]</w:t>
      </w:r>
    </w:p>
    <w:p w14:paraId="3D011FEE"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15 </w:t>
      </w:r>
      <w:proofErr w:type="spellStart"/>
      <w:r w:rsidRPr="007852DA">
        <w:rPr>
          <w:rFonts w:ascii="Book Antiqua" w:hAnsi="Book Antiqua"/>
          <w:b/>
          <w:color w:val="000000" w:themeColor="text1"/>
          <w:sz w:val="24"/>
        </w:rPr>
        <w:t>Gröschel</w:t>
      </w:r>
      <w:proofErr w:type="spellEnd"/>
      <w:r w:rsidRPr="007852DA">
        <w:rPr>
          <w:rFonts w:ascii="Book Antiqua" w:hAnsi="Book Antiqua"/>
          <w:b/>
          <w:color w:val="000000" w:themeColor="text1"/>
          <w:sz w:val="24"/>
        </w:rPr>
        <w:t xml:space="preserve"> K</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Schnaudigel</w:t>
      </w:r>
      <w:proofErr w:type="spellEnd"/>
      <w:r w:rsidRPr="007852DA">
        <w:rPr>
          <w:rFonts w:ascii="Book Antiqua" w:hAnsi="Book Antiqua"/>
          <w:color w:val="000000" w:themeColor="text1"/>
          <w:sz w:val="24"/>
        </w:rPr>
        <w:t xml:space="preserve"> S, </w:t>
      </w:r>
      <w:proofErr w:type="spellStart"/>
      <w:r w:rsidRPr="007852DA">
        <w:rPr>
          <w:rFonts w:ascii="Book Antiqua" w:hAnsi="Book Antiqua"/>
          <w:color w:val="000000" w:themeColor="text1"/>
          <w:sz w:val="24"/>
        </w:rPr>
        <w:t>Edelmann</w:t>
      </w:r>
      <w:proofErr w:type="spellEnd"/>
      <w:r w:rsidRPr="007852DA">
        <w:rPr>
          <w:rFonts w:ascii="Book Antiqua" w:hAnsi="Book Antiqua"/>
          <w:color w:val="000000" w:themeColor="text1"/>
          <w:sz w:val="24"/>
        </w:rPr>
        <w:t xml:space="preserve"> F, Niehaus CF, Weber-</w:t>
      </w:r>
      <w:proofErr w:type="spellStart"/>
      <w:r w:rsidRPr="007852DA">
        <w:rPr>
          <w:rFonts w:ascii="Book Antiqua" w:hAnsi="Book Antiqua"/>
          <w:color w:val="000000" w:themeColor="text1"/>
          <w:sz w:val="24"/>
        </w:rPr>
        <w:t>Krüger</w:t>
      </w:r>
      <w:proofErr w:type="spellEnd"/>
      <w:r w:rsidRPr="007852DA">
        <w:rPr>
          <w:rFonts w:ascii="Book Antiqua" w:hAnsi="Book Antiqua"/>
          <w:color w:val="000000" w:themeColor="text1"/>
          <w:sz w:val="24"/>
        </w:rPr>
        <w:t xml:space="preserve"> M, </w:t>
      </w:r>
      <w:proofErr w:type="spellStart"/>
      <w:r w:rsidRPr="007852DA">
        <w:rPr>
          <w:rFonts w:ascii="Book Antiqua" w:hAnsi="Book Antiqua"/>
          <w:color w:val="000000" w:themeColor="text1"/>
          <w:sz w:val="24"/>
        </w:rPr>
        <w:t>Haase</w:t>
      </w:r>
      <w:proofErr w:type="spellEnd"/>
      <w:r w:rsidRPr="007852DA">
        <w:rPr>
          <w:rFonts w:ascii="Book Antiqua" w:hAnsi="Book Antiqua"/>
          <w:color w:val="000000" w:themeColor="text1"/>
          <w:sz w:val="24"/>
        </w:rPr>
        <w:t xml:space="preserve"> B, </w:t>
      </w:r>
      <w:proofErr w:type="spellStart"/>
      <w:r w:rsidRPr="007852DA">
        <w:rPr>
          <w:rFonts w:ascii="Book Antiqua" w:hAnsi="Book Antiqua"/>
          <w:color w:val="000000" w:themeColor="text1"/>
          <w:sz w:val="24"/>
        </w:rPr>
        <w:t>Lahno</w:t>
      </w:r>
      <w:proofErr w:type="spellEnd"/>
      <w:r w:rsidRPr="007852DA">
        <w:rPr>
          <w:rFonts w:ascii="Book Antiqua" w:hAnsi="Book Antiqua"/>
          <w:color w:val="000000" w:themeColor="text1"/>
          <w:sz w:val="24"/>
        </w:rPr>
        <w:t xml:space="preserve"> R, </w:t>
      </w:r>
      <w:proofErr w:type="spellStart"/>
      <w:r w:rsidRPr="007852DA">
        <w:rPr>
          <w:rFonts w:ascii="Book Antiqua" w:hAnsi="Book Antiqua"/>
          <w:color w:val="000000" w:themeColor="text1"/>
          <w:sz w:val="24"/>
        </w:rPr>
        <w:t>Seegers</w:t>
      </w:r>
      <w:proofErr w:type="spellEnd"/>
      <w:r w:rsidRPr="007852DA">
        <w:rPr>
          <w:rFonts w:ascii="Book Antiqua" w:hAnsi="Book Antiqua"/>
          <w:color w:val="000000" w:themeColor="text1"/>
          <w:sz w:val="24"/>
        </w:rPr>
        <w:t xml:space="preserve"> J, Wasser K, </w:t>
      </w:r>
      <w:proofErr w:type="spellStart"/>
      <w:r w:rsidRPr="007852DA">
        <w:rPr>
          <w:rFonts w:ascii="Book Antiqua" w:hAnsi="Book Antiqua"/>
          <w:color w:val="000000" w:themeColor="text1"/>
          <w:sz w:val="24"/>
        </w:rPr>
        <w:t>Wohlfahrt</w:t>
      </w:r>
      <w:proofErr w:type="spellEnd"/>
      <w:r w:rsidRPr="007852DA">
        <w:rPr>
          <w:rFonts w:ascii="Book Antiqua" w:hAnsi="Book Antiqua"/>
          <w:color w:val="000000" w:themeColor="text1"/>
          <w:sz w:val="24"/>
        </w:rPr>
        <w:t xml:space="preserve"> J, </w:t>
      </w:r>
      <w:proofErr w:type="spellStart"/>
      <w:r w:rsidRPr="007852DA">
        <w:rPr>
          <w:rFonts w:ascii="Book Antiqua" w:hAnsi="Book Antiqua"/>
          <w:color w:val="000000" w:themeColor="text1"/>
          <w:sz w:val="24"/>
        </w:rPr>
        <w:t>Vollmann</w:t>
      </w:r>
      <w:proofErr w:type="spellEnd"/>
      <w:r w:rsidRPr="007852DA">
        <w:rPr>
          <w:rFonts w:ascii="Book Antiqua" w:hAnsi="Book Antiqua"/>
          <w:color w:val="000000" w:themeColor="text1"/>
          <w:sz w:val="24"/>
        </w:rPr>
        <w:t xml:space="preserve"> D, </w:t>
      </w:r>
      <w:proofErr w:type="spellStart"/>
      <w:r w:rsidRPr="007852DA">
        <w:rPr>
          <w:rFonts w:ascii="Book Antiqua" w:hAnsi="Book Antiqua"/>
          <w:color w:val="000000" w:themeColor="text1"/>
          <w:sz w:val="24"/>
        </w:rPr>
        <w:t>Stahrenberg</w:t>
      </w:r>
      <w:proofErr w:type="spellEnd"/>
      <w:r w:rsidRPr="007852DA">
        <w:rPr>
          <w:rFonts w:ascii="Book Antiqua" w:hAnsi="Book Antiqua"/>
          <w:color w:val="000000" w:themeColor="text1"/>
          <w:sz w:val="24"/>
        </w:rPr>
        <w:t xml:space="preserve"> R, </w:t>
      </w:r>
      <w:proofErr w:type="spellStart"/>
      <w:r w:rsidRPr="007852DA">
        <w:rPr>
          <w:rFonts w:ascii="Book Antiqua" w:hAnsi="Book Antiqua"/>
          <w:color w:val="000000" w:themeColor="text1"/>
          <w:sz w:val="24"/>
        </w:rPr>
        <w:t>Wachter</w:t>
      </w:r>
      <w:proofErr w:type="spellEnd"/>
      <w:r w:rsidRPr="007852DA">
        <w:rPr>
          <w:rFonts w:ascii="Book Antiqua" w:hAnsi="Book Antiqua"/>
          <w:color w:val="000000" w:themeColor="text1"/>
          <w:sz w:val="24"/>
        </w:rPr>
        <w:t xml:space="preserve"> R. Growth-differentiation factor-15 and functional outcome after acute ischemic stroke. </w:t>
      </w:r>
      <w:r w:rsidRPr="007852DA">
        <w:rPr>
          <w:rFonts w:ascii="Book Antiqua" w:hAnsi="Book Antiqua"/>
          <w:i/>
          <w:color w:val="000000" w:themeColor="text1"/>
          <w:sz w:val="24"/>
        </w:rPr>
        <w:t>J Neurol</w:t>
      </w:r>
      <w:r w:rsidRPr="007852DA">
        <w:rPr>
          <w:rFonts w:ascii="Book Antiqua" w:hAnsi="Book Antiqua"/>
          <w:color w:val="000000" w:themeColor="text1"/>
          <w:sz w:val="24"/>
        </w:rPr>
        <w:t xml:space="preserve"> 2012; </w:t>
      </w:r>
      <w:r w:rsidRPr="007852DA">
        <w:rPr>
          <w:rFonts w:ascii="Book Antiqua" w:hAnsi="Book Antiqua"/>
          <w:b/>
          <w:color w:val="000000" w:themeColor="text1"/>
          <w:sz w:val="24"/>
        </w:rPr>
        <w:t>259</w:t>
      </w:r>
      <w:r w:rsidRPr="007852DA">
        <w:rPr>
          <w:rFonts w:ascii="Book Antiqua" w:hAnsi="Book Antiqua"/>
          <w:color w:val="000000" w:themeColor="text1"/>
          <w:sz w:val="24"/>
        </w:rPr>
        <w:t>: 1574-1579 [PMID: 22231869 DOI: 10.1007/s00415-011-6379-0]</w:t>
      </w:r>
    </w:p>
    <w:p w14:paraId="6F32C44D"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16 </w:t>
      </w:r>
      <w:proofErr w:type="spellStart"/>
      <w:r w:rsidRPr="007852DA">
        <w:rPr>
          <w:rFonts w:ascii="Book Antiqua" w:hAnsi="Book Antiqua"/>
          <w:b/>
          <w:color w:val="000000" w:themeColor="text1"/>
          <w:sz w:val="24"/>
        </w:rPr>
        <w:t>Yatsuga</w:t>
      </w:r>
      <w:proofErr w:type="spellEnd"/>
      <w:r w:rsidRPr="007852DA">
        <w:rPr>
          <w:rFonts w:ascii="Book Antiqua" w:hAnsi="Book Antiqua"/>
          <w:b/>
          <w:color w:val="000000" w:themeColor="text1"/>
          <w:sz w:val="24"/>
        </w:rPr>
        <w:t xml:space="preserve"> S</w:t>
      </w:r>
      <w:r w:rsidRPr="007852DA">
        <w:rPr>
          <w:rFonts w:ascii="Book Antiqua" w:hAnsi="Book Antiqua"/>
          <w:color w:val="000000" w:themeColor="text1"/>
          <w:sz w:val="24"/>
        </w:rPr>
        <w:t xml:space="preserve">, Fujita Y, Ishii A, Fukumoto Y, </w:t>
      </w:r>
      <w:proofErr w:type="spellStart"/>
      <w:r w:rsidRPr="007852DA">
        <w:rPr>
          <w:rFonts w:ascii="Book Antiqua" w:hAnsi="Book Antiqua"/>
          <w:color w:val="000000" w:themeColor="text1"/>
          <w:sz w:val="24"/>
        </w:rPr>
        <w:t>Arahata</w:t>
      </w:r>
      <w:proofErr w:type="spellEnd"/>
      <w:r w:rsidRPr="007852DA">
        <w:rPr>
          <w:rFonts w:ascii="Book Antiqua" w:hAnsi="Book Antiqua"/>
          <w:color w:val="000000" w:themeColor="text1"/>
          <w:sz w:val="24"/>
        </w:rPr>
        <w:t xml:space="preserve"> H, </w:t>
      </w:r>
      <w:proofErr w:type="spellStart"/>
      <w:r w:rsidRPr="007852DA">
        <w:rPr>
          <w:rFonts w:ascii="Book Antiqua" w:hAnsi="Book Antiqua"/>
          <w:color w:val="000000" w:themeColor="text1"/>
          <w:sz w:val="24"/>
        </w:rPr>
        <w:t>Kakuma</w:t>
      </w:r>
      <w:proofErr w:type="spellEnd"/>
      <w:r w:rsidRPr="007852DA">
        <w:rPr>
          <w:rFonts w:ascii="Book Antiqua" w:hAnsi="Book Antiqua"/>
          <w:color w:val="000000" w:themeColor="text1"/>
          <w:sz w:val="24"/>
        </w:rPr>
        <w:t xml:space="preserve"> T, Kojima T, Ito M, Tanaka M, Saiki R, Koga Y. Growth differentiation factor 15 as a useful biomarker for mitochondrial disorders. </w:t>
      </w:r>
      <w:r w:rsidRPr="007852DA">
        <w:rPr>
          <w:rFonts w:ascii="Book Antiqua" w:hAnsi="Book Antiqua"/>
          <w:i/>
          <w:color w:val="000000" w:themeColor="text1"/>
          <w:sz w:val="24"/>
        </w:rPr>
        <w:t>Ann Neurol</w:t>
      </w:r>
      <w:r w:rsidRPr="007852DA">
        <w:rPr>
          <w:rFonts w:ascii="Book Antiqua" w:hAnsi="Book Antiqua"/>
          <w:color w:val="000000" w:themeColor="text1"/>
          <w:sz w:val="24"/>
        </w:rPr>
        <w:t xml:space="preserve"> 2015; </w:t>
      </w:r>
      <w:r w:rsidRPr="007852DA">
        <w:rPr>
          <w:rFonts w:ascii="Book Antiqua" w:hAnsi="Book Antiqua"/>
          <w:b/>
          <w:color w:val="000000" w:themeColor="text1"/>
          <w:sz w:val="24"/>
        </w:rPr>
        <w:t>78</w:t>
      </w:r>
      <w:r w:rsidRPr="007852DA">
        <w:rPr>
          <w:rFonts w:ascii="Book Antiqua" w:hAnsi="Book Antiqua"/>
          <w:color w:val="000000" w:themeColor="text1"/>
          <w:sz w:val="24"/>
        </w:rPr>
        <w:t>: 814-823 [PMID: 26463265 DOI: 10.1002/ana.24506]</w:t>
      </w:r>
    </w:p>
    <w:p w14:paraId="09A1ABD2"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17 </w:t>
      </w:r>
      <w:r w:rsidRPr="007852DA">
        <w:rPr>
          <w:rFonts w:ascii="Book Antiqua" w:hAnsi="Book Antiqua"/>
          <w:b/>
          <w:color w:val="000000" w:themeColor="text1"/>
          <w:sz w:val="24"/>
        </w:rPr>
        <w:t>Yao X</w:t>
      </w:r>
      <w:r w:rsidRPr="007852DA">
        <w:rPr>
          <w:rFonts w:ascii="Book Antiqua" w:hAnsi="Book Antiqua"/>
          <w:color w:val="000000" w:themeColor="text1"/>
          <w:sz w:val="24"/>
        </w:rPr>
        <w:t xml:space="preserve">, Wang D, Zhang L, Wang L, Zhao Z, Chen S, Wang X, Yue T, Liu Y. Serum Growth Differentiation Factor 15 in Parkinson Disease. </w:t>
      </w:r>
      <w:proofErr w:type="spellStart"/>
      <w:r w:rsidRPr="007852DA">
        <w:rPr>
          <w:rFonts w:ascii="Book Antiqua" w:hAnsi="Book Antiqua"/>
          <w:i/>
          <w:color w:val="000000" w:themeColor="text1"/>
          <w:sz w:val="24"/>
        </w:rPr>
        <w:t>Neurodegener</w:t>
      </w:r>
      <w:proofErr w:type="spellEnd"/>
      <w:r w:rsidRPr="007852DA">
        <w:rPr>
          <w:rFonts w:ascii="Book Antiqua" w:hAnsi="Book Antiqua"/>
          <w:i/>
          <w:color w:val="000000" w:themeColor="text1"/>
          <w:sz w:val="24"/>
        </w:rPr>
        <w:t xml:space="preserve"> Dis</w:t>
      </w:r>
      <w:r w:rsidRPr="007852DA">
        <w:rPr>
          <w:rFonts w:ascii="Book Antiqua" w:hAnsi="Book Antiqua"/>
          <w:color w:val="000000" w:themeColor="text1"/>
          <w:sz w:val="24"/>
        </w:rPr>
        <w:t xml:space="preserve"> 2017; </w:t>
      </w:r>
      <w:r w:rsidRPr="007852DA">
        <w:rPr>
          <w:rFonts w:ascii="Book Antiqua" w:hAnsi="Book Antiqua"/>
          <w:b/>
          <w:color w:val="000000" w:themeColor="text1"/>
          <w:sz w:val="24"/>
        </w:rPr>
        <w:t>17</w:t>
      </w:r>
      <w:r w:rsidRPr="007852DA">
        <w:rPr>
          <w:rFonts w:ascii="Book Antiqua" w:hAnsi="Book Antiqua"/>
          <w:color w:val="000000" w:themeColor="text1"/>
          <w:sz w:val="24"/>
        </w:rPr>
        <w:t>: 251-260 [PMID: 28787735 DOI: 10.1159/000477349]</w:t>
      </w:r>
    </w:p>
    <w:p w14:paraId="1A4955DB"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18 </w:t>
      </w:r>
      <w:proofErr w:type="spellStart"/>
      <w:r w:rsidRPr="007852DA">
        <w:rPr>
          <w:rFonts w:ascii="Book Antiqua" w:hAnsi="Book Antiqua"/>
          <w:b/>
          <w:color w:val="000000" w:themeColor="text1"/>
          <w:sz w:val="24"/>
        </w:rPr>
        <w:t>Maetzler</w:t>
      </w:r>
      <w:proofErr w:type="spellEnd"/>
      <w:r w:rsidRPr="007852DA">
        <w:rPr>
          <w:rFonts w:ascii="Book Antiqua" w:hAnsi="Book Antiqua"/>
          <w:b/>
          <w:color w:val="000000" w:themeColor="text1"/>
          <w:sz w:val="24"/>
        </w:rPr>
        <w:t xml:space="preserve"> W</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Deleersnijder</w:t>
      </w:r>
      <w:proofErr w:type="spellEnd"/>
      <w:r w:rsidRPr="007852DA">
        <w:rPr>
          <w:rFonts w:ascii="Book Antiqua" w:hAnsi="Book Antiqua"/>
          <w:color w:val="000000" w:themeColor="text1"/>
          <w:sz w:val="24"/>
        </w:rPr>
        <w:t xml:space="preserve"> W, </w:t>
      </w:r>
      <w:proofErr w:type="spellStart"/>
      <w:r w:rsidRPr="007852DA">
        <w:rPr>
          <w:rFonts w:ascii="Book Antiqua" w:hAnsi="Book Antiqua"/>
          <w:color w:val="000000" w:themeColor="text1"/>
          <w:sz w:val="24"/>
        </w:rPr>
        <w:t>Hanssens</w:t>
      </w:r>
      <w:proofErr w:type="spellEnd"/>
      <w:r w:rsidRPr="007852DA">
        <w:rPr>
          <w:rFonts w:ascii="Book Antiqua" w:hAnsi="Book Antiqua"/>
          <w:color w:val="000000" w:themeColor="text1"/>
          <w:sz w:val="24"/>
        </w:rPr>
        <w:t xml:space="preserve"> V, Bernard A, </w:t>
      </w:r>
      <w:proofErr w:type="spellStart"/>
      <w:r w:rsidRPr="007852DA">
        <w:rPr>
          <w:rFonts w:ascii="Book Antiqua" w:hAnsi="Book Antiqua"/>
          <w:color w:val="000000" w:themeColor="text1"/>
          <w:sz w:val="24"/>
        </w:rPr>
        <w:t>Brockmann</w:t>
      </w:r>
      <w:proofErr w:type="spellEnd"/>
      <w:r w:rsidRPr="007852DA">
        <w:rPr>
          <w:rFonts w:ascii="Book Antiqua" w:hAnsi="Book Antiqua"/>
          <w:color w:val="000000" w:themeColor="text1"/>
          <w:sz w:val="24"/>
        </w:rPr>
        <w:t xml:space="preserve"> K, </w:t>
      </w:r>
      <w:proofErr w:type="spellStart"/>
      <w:r w:rsidRPr="007852DA">
        <w:rPr>
          <w:rFonts w:ascii="Book Antiqua" w:hAnsi="Book Antiqua"/>
          <w:color w:val="000000" w:themeColor="text1"/>
          <w:sz w:val="24"/>
        </w:rPr>
        <w:t>Marquetand</w:t>
      </w:r>
      <w:proofErr w:type="spellEnd"/>
      <w:r w:rsidRPr="007852DA">
        <w:rPr>
          <w:rFonts w:ascii="Book Antiqua" w:hAnsi="Book Antiqua"/>
          <w:color w:val="000000" w:themeColor="text1"/>
          <w:sz w:val="24"/>
        </w:rPr>
        <w:t xml:space="preserve"> J, </w:t>
      </w:r>
      <w:proofErr w:type="spellStart"/>
      <w:r w:rsidRPr="007852DA">
        <w:rPr>
          <w:rFonts w:ascii="Book Antiqua" w:hAnsi="Book Antiqua"/>
          <w:color w:val="000000" w:themeColor="text1"/>
          <w:sz w:val="24"/>
        </w:rPr>
        <w:t>Wurster</w:t>
      </w:r>
      <w:proofErr w:type="spellEnd"/>
      <w:r w:rsidRPr="007852DA">
        <w:rPr>
          <w:rFonts w:ascii="Book Antiqua" w:hAnsi="Book Antiqua"/>
          <w:color w:val="000000" w:themeColor="text1"/>
          <w:sz w:val="24"/>
        </w:rPr>
        <w:t xml:space="preserve"> I, </w:t>
      </w:r>
      <w:proofErr w:type="spellStart"/>
      <w:r w:rsidRPr="007852DA">
        <w:rPr>
          <w:rFonts w:ascii="Book Antiqua" w:hAnsi="Book Antiqua"/>
          <w:color w:val="000000" w:themeColor="text1"/>
          <w:sz w:val="24"/>
        </w:rPr>
        <w:t>Rattay</w:t>
      </w:r>
      <w:proofErr w:type="spellEnd"/>
      <w:r w:rsidRPr="007852DA">
        <w:rPr>
          <w:rFonts w:ascii="Book Antiqua" w:hAnsi="Book Antiqua"/>
          <w:color w:val="000000" w:themeColor="text1"/>
          <w:sz w:val="24"/>
        </w:rPr>
        <w:t xml:space="preserve"> TW, </w:t>
      </w:r>
      <w:proofErr w:type="spellStart"/>
      <w:r w:rsidRPr="007852DA">
        <w:rPr>
          <w:rFonts w:ascii="Book Antiqua" w:hAnsi="Book Antiqua"/>
          <w:color w:val="000000" w:themeColor="text1"/>
          <w:sz w:val="24"/>
        </w:rPr>
        <w:t>Roncoroni</w:t>
      </w:r>
      <w:proofErr w:type="spellEnd"/>
      <w:r w:rsidRPr="007852DA">
        <w:rPr>
          <w:rFonts w:ascii="Book Antiqua" w:hAnsi="Book Antiqua"/>
          <w:color w:val="000000" w:themeColor="text1"/>
          <w:sz w:val="24"/>
        </w:rPr>
        <w:t xml:space="preserve"> L, Schaeffer E, </w:t>
      </w:r>
      <w:proofErr w:type="spellStart"/>
      <w:r w:rsidRPr="007852DA">
        <w:rPr>
          <w:rFonts w:ascii="Book Antiqua" w:hAnsi="Book Antiqua"/>
          <w:color w:val="000000" w:themeColor="text1"/>
          <w:sz w:val="24"/>
        </w:rPr>
        <w:t>Lerche</w:t>
      </w:r>
      <w:proofErr w:type="spellEnd"/>
      <w:r w:rsidRPr="007852DA">
        <w:rPr>
          <w:rFonts w:ascii="Book Antiqua" w:hAnsi="Book Antiqua"/>
          <w:color w:val="000000" w:themeColor="text1"/>
          <w:sz w:val="24"/>
        </w:rPr>
        <w:t xml:space="preserve"> S, </w:t>
      </w:r>
      <w:proofErr w:type="spellStart"/>
      <w:r w:rsidRPr="007852DA">
        <w:rPr>
          <w:rFonts w:ascii="Book Antiqua" w:hAnsi="Book Antiqua"/>
          <w:color w:val="000000" w:themeColor="text1"/>
          <w:sz w:val="24"/>
        </w:rPr>
        <w:t>Apel</w:t>
      </w:r>
      <w:proofErr w:type="spellEnd"/>
      <w:r w:rsidRPr="007852DA">
        <w:rPr>
          <w:rFonts w:ascii="Book Antiqua" w:hAnsi="Book Antiqua"/>
          <w:color w:val="000000" w:themeColor="text1"/>
          <w:sz w:val="24"/>
        </w:rPr>
        <w:t xml:space="preserve"> A, </w:t>
      </w:r>
      <w:proofErr w:type="spellStart"/>
      <w:r w:rsidRPr="007852DA">
        <w:rPr>
          <w:rFonts w:ascii="Book Antiqua" w:hAnsi="Book Antiqua"/>
          <w:color w:val="000000" w:themeColor="text1"/>
          <w:sz w:val="24"/>
        </w:rPr>
        <w:t>Deuschle</w:t>
      </w:r>
      <w:proofErr w:type="spellEnd"/>
      <w:r w:rsidRPr="007852DA">
        <w:rPr>
          <w:rFonts w:ascii="Book Antiqua" w:hAnsi="Book Antiqua"/>
          <w:color w:val="000000" w:themeColor="text1"/>
          <w:sz w:val="24"/>
        </w:rPr>
        <w:t xml:space="preserve"> C, Berg D. GDF15/MIC1 and MMP9 Cerebrospinal Fluid Levels in Parkinson's Disease and Lewy Body Dementia. </w:t>
      </w:r>
      <w:proofErr w:type="spellStart"/>
      <w:r w:rsidRPr="007852DA">
        <w:rPr>
          <w:rFonts w:ascii="Book Antiqua" w:hAnsi="Book Antiqua"/>
          <w:i/>
          <w:color w:val="000000" w:themeColor="text1"/>
          <w:sz w:val="24"/>
        </w:rPr>
        <w:t>PLoS</w:t>
      </w:r>
      <w:proofErr w:type="spellEnd"/>
      <w:r w:rsidRPr="007852DA">
        <w:rPr>
          <w:rFonts w:ascii="Book Antiqua" w:hAnsi="Book Antiqua"/>
          <w:i/>
          <w:color w:val="000000" w:themeColor="text1"/>
          <w:sz w:val="24"/>
        </w:rPr>
        <w:t xml:space="preserve"> One</w:t>
      </w:r>
      <w:r w:rsidRPr="007852DA">
        <w:rPr>
          <w:rFonts w:ascii="Book Antiqua" w:hAnsi="Book Antiqua"/>
          <w:color w:val="000000" w:themeColor="text1"/>
          <w:sz w:val="24"/>
        </w:rPr>
        <w:t xml:space="preserve"> 2016; </w:t>
      </w:r>
      <w:r w:rsidRPr="007852DA">
        <w:rPr>
          <w:rFonts w:ascii="Book Antiqua" w:hAnsi="Book Antiqua"/>
          <w:b/>
          <w:color w:val="000000" w:themeColor="text1"/>
          <w:sz w:val="24"/>
        </w:rPr>
        <w:t>11</w:t>
      </w:r>
      <w:r w:rsidRPr="007852DA">
        <w:rPr>
          <w:rFonts w:ascii="Book Antiqua" w:hAnsi="Book Antiqua"/>
          <w:color w:val="000000" w:themeColor="text1"/>
          <w:sz w:val="24"/>
        </w:rPr>
        <w:t>: e0149349 [PMID: 26938614 DOI: 10.1371/journal.pone.0149349]</w:t>
      </w:r>
    </w:p>
    <w:p w14:paraId="0A6F7FBD"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19 </w:t>
      </w:r>
      <w:r w:rsidRPr="007852DA">
        <w:rPr>
          <w:rFonts w:ascii="Book Antiqua" w:hAnsi="Book Antiqua"/>
          <w:b/>
          <w:color w:val="000000" w:themeColor="text1"/>
          <w:sz w:val="24"/>
        </w:rPr>
        <w:t>Kim DH</w:t>
      </w:r>
      <w:r w:rsidRPr="007852DA">
        <w:rPr>
          <w:rFonts w:ascii="Book Antiqua" w:hAnsi="Book Antiqua"/>
          <w:color w:val="000000" w:themeColor="text1"/>
          <w:sz w:val="24"/>
        </w:rPr>
        <w:t xml:space="preserve">, Lee D, Chang EH, Kim JH, Hwang JW, Kim JY, Kyung JW, Kim SH, Oh JS, Shim SM, Na DL, Oh W, Chang JW. GDF-15 secreted from human </w:t>
      </w:r>
      <w:r w:rsidRPr="007852DA">
        <w:rPr>
          <w:rFonts w:ascii="Book Antiqua" w:hAnsi="Book Antiqua"/>
          <w:color w:val="000000" w:themeColor="text1"/>
          <w:sz w:val="24"/>
        </w:rPr>
        <w:lastRenderedPageBreak/>
        <w:t xml:space="preserve">umbilical cord blood mesenchymal stem cells delivered through the cerebrospinal fluid promotes hippocampal neurogenesis and synaptic activity in an Alzheimer's disease model. </w:t>
      </w:r>
      <w:r w:rsidRPr="007852DA">
        <w:rPr>
          <w:rFonts w:ascii="Book Antiqua" w:hAnsi="Book Antiqua"/>
          <w:i/>
          <w:color w:val="000000" w:themeColor="text1"/>
          <w:sz w:val="24"/>
        </w:rPr>
        <w:t>Stem Cells Dev</w:t>
      </w:r>
      <w:r w:rsidRPr="007852DA">
        <w:rPr>
          <w:rFonts w:ascii="Book Antiqua" w:hAnsi="Book Antiqua"/>
          <w:color w:val="000000" w:themeColor="text1"/>
          <w:sz w:val="24"/>
        </w:rPr>
        <w:t xml:space="preserve"> 2015; </w:t>
      </w:r>
      <w:r w:rsidRPr="007852DA">
        <w:rPr>
          <w:rFonts w:ascii="Book Antiqua" w:hAnsi="Book Antiqua"/>
          <w:b/>
          <w:color w:val="000000" w:themeColor="text1"/>
          <w:sz w:val="24"/>
        </w:rPr>
        <w:t>24</w:t>
      </w:r>
      <w:r w:rsidRPr="007852DA">
        <w:rPr>
          <w:rFonts w:ascii="Book Antiqua" w:hAnsi="Book Antiqua"/>
          <w:color w:val="000000" w:themeColor="text1"/>
          <w:sz w:val="24"/>
        </w:rPr>
        <w:t>: 2378-2390 [PMID: 26154268 DOI: 10.1089/scd.2014.0487]</w:t>
      </w:r>
    </w:p>
    <w:p w14:paraId="72842C94"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20 </w:t>
      </w:r>
      <w:r w:rsidRPr="007852DA">
        <w:rPr>
          <w:rFonts w:ascii="Book Antiqua" w:hAnsi="Book Antiqua"/>
          <w:b/>
          <w:color w:val="000000" w:themeColor="text1"/>
          <w:sz w:val="24"/>
        </w:rPr>
        <w:t>Chai YL</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Hilal</w:t>
      </w:r>
      <w:proofErr w:type="spellEnd"/>
      <w:r w:rsidRPr="007852DA">
        <w:rPr>
          <w:rFonts w:ascii="Book Antiqua" w:hAnsi="Book Antiqua"/>
          <w:color w:val="000000" w:themeColor="text1"/>
          <w:sz w:val="24"/>
        </w:rPr>
        <w:t xml:space="preserve"> S, Chong JP, Ng YX, </w:t>
      </w:r>
      <w:proofErr w:type="spellStart"/>
      <w:r w:rsidRPr="007852DA">
        <w:rPr>
          <w:rFonts w:ascii="Book Antiqua" w:hAnsi="Book Antiqua"/>
          <w:color w:val="000000" w:themeColor="text1"/>
          <w:sz w:val="24"/>
        </w:rPr>
        <w:t>Liew</w:t>
      </w:r>
      <w:proofErr w:type="spellEnd"/>
      <w:r w:rsidRPr="007852DA">
        <w:rPr>
          <w:rFonts w:ascii="Book Antiqua" w:hAnsi="Book Antiqua"/>
          <w:color w:val="000000" w:themeColor="text1"/>
          <w:sz w:val="24"/>
        </w:rPr>
        <w:t xml:space="preserve"> OW, Xu X, </w:t>
      </w:r>
      <w:proofErr w:type="spellStart"/>
      <w:r w:rsidRPr="007852DA">
        <w:rPr>
          <w:rFonts w:ascii="Book Antiqua" w:hAnsi="Book Antiqua"/>
          <w:color w:val="000000" w:themeColor="text1"/>
          <w:sz w:val="24"/>
        </w:rPr>
        <w:t>Ikram</w:t>
      </w:r>
      <w:proofErr w:type="spellEnd"/>
      <w:r w:rsidRPr="007852DA">
        <w:rPr>
          <w:rFonts w:ascii="Book Antiqua" w:hAnsi="Book Antiqua"/>
          <w:color w:val="000000" w:themeColor="text1"/>
          <w:sz w:val="24"/>
        </w:rPr>
        <w:t xml:space="preserve"> MK, </w:t>
      </w:r>
      <w:proofErr w:type="spellStart"/>
      <w:r w:rsidRPr="007852DA">
        <w:rPr>
          <w:rFonts w:ascii="Book Antiqua" w:hAnsi="Book Antiqua"/>
          <w:color w:val="000000" w:themeColor="text1"/>
          <w:sz w:val="24"/>
        </w:rPr>
        <w:t>Venketasubramanian</w:t>
      </w:r>
      <w:proofErr w:type="spellEnd"/>
      <w:r w:rsidRPr="007852DA">
        <w:rPr>
          <w:rFonts w:ascii="Book Antiqua" w:hAnsi="Book Antiqua"/>
          <w:color w:val="000000" w:themeColor="text1"/>
          <w:sz w:val="24"/>
        </w:rPr>
        <w:t xml:space="preserve"> N, Richards AM, Lai MK, Chen CP. Growth differentiation factor-15 and white matter hyperintensities in cognitive impairment and dementia. </w:t>
      </w:r>
      <w:r w:rsidRPr="007852DA">
        <w:rPr>
          <w:rFonts w:ascii="Book Antiqua" w:hAnsi="Book Antiqua"/>
          <w:i/>
          <w:color w:val="000000" w:themeColor="text1"/>
          <w:sz w:val="24"/>
        </w:rPr>
        <w:t>Medicine (Baltimore)</w:t>
      </w:r>
      <w:r w:rsidRPr="007852DA">
        <w:rPr>
          <w:rFonts w:ascii="Book Antiqua" w:hAnsi="Book Antiqua"/>
          <w:color w:val="000000" w:themeColor="text1"/>
          <w:sz w:val="24"/>
        </w:rPr>
        <w:t xml:space="preserve"> 2016; </w:t>
      </w:r>
      <w:r w:rsidRPr="007852DA">
        <w:rPr>
          <w:rFonts w:ascii="Book Antiqua" w:hAnsi="Book Antiqua"/>
          <w:b/>
          <w:color w:val="000000" w:themeColor="text1"/>
          <w:sz w:val="24"/>
        </w:rPr>
        <w:t>95</w:t>
      </w:r>
      <w:r w:rsidRPr="007852DA">
        <w:rPr>
          <w:rFonts w:ascii="Book Antiqua" w:hAnsi="Book Antiqua"/>
          <w:color w:val="000000" w:themeColor="text1"/>
          <w:sz w:val="24"/>
        </w:rPr>
        <w:t>: e4566 [PMID: 27537582 DOI: 10.1097/MD.0000000000004566]</w:t>
      </w:r>
    </w:p>
    <w:p w14:paraId="53AF2F70"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21 </w:t>
      </w:r>
      <w:r w:rsidRPr="007852DA">
        <w:rPr>
          <w:rFonts w:ascii="Book Antiqua" w:hAnsi="Book Antiqua"/>
          <w:b/>
          <w:color w:val="000000" w:themeColor="text1"/>
          <w:sz w:val="24"/>
        </w:rPr>
        <w:t>Xu J</w:t>
      </w:r>
      <w:r w:rsidRPr="007852DA">
        <w:rPr>
          <w:rFonts w:ascii="Book Antiqua" w:hAnsi="Book Antiqua"/>
          <w:color w:val="000000" w:themeColor="text1"/>
          <w:sz w:val="24"/>
        </w:rPr>
        <w:t xml:space="preserve">, Kimball TR, Lorenz JN, Brown DA, </w:t>
      </w:r>
      <w:proofErr w:type="spellStart"/>
      <w:r w:rsidRPr="007852DA">
        <w:rPr>
          <w:rFonts w:ascii="Book Antiqua" w:hAnsi="Book Antiqua"/>
          <w:color w:val="000000" w:themeColor="text1"/>
          <w:sz w:val="24"/>
        </w:rPr>
        <w:t>Bauskin</w:t>
      </w:r>
      <w:proofErr w:type="spellEnd"/>
      <w:r w:rsidRPr="007852DA">
        <w:rPr>
          <w:rFonts w:ascii="Book Antiqua" w:hAnsi="Book Antiqua"/>
          <w:color w:val="000000" w:themeColor="text1"/>
          <w:sz w:val="24"/>
        </w:rPr>
        <w:t xml:space="preserve"> AR, </w:t>
      </w:r>
      <w:proofErr w:type="spellStart"/>
      <w:r w:rsidRPr="007852DA">
        <w:rPr>
          <w:rFonts w:ascii="Book Antiqua" w:hAnsi="Book Antiqua"/>
          <w:color w:val="000000" w:themeColor="text1"/>
          <w:sz w:val="24"/>
        </w:rPr>
        <w:t>Klevitsky</w:t>
      </w:r>
      <w:proofErr w:type="spellEnd"/>
      <w:r w:rsidRPr="007852DA">
        <w:rPr>
          <w:rFonts w:ascii="Book Antiqua" w:hAnsi="Book Antiqua"/>
          <w:color w:val="000000" w:themeColor="text1"/>
          <w:sz w:val="24"/>
        </w:rPr>
        <w:t xml:space="preserve"> R, Hewett TE, </w:t>
      </w:r>
      <w:proofErr w:type="spellStart"/>
      <w:r w:rsidRPr="007852DA">
        <w:rPr>
          <w:rFonts w:ascii="Book Antiqua" w:hAnsi="Book Antiqua"/>
          <w:color w:val="000000" w:themeColor="text1"/>
          <w:sz w:val="24"/>
        </w:rPr>
        <w:t>Breit</w:t>
      </w:r>
      <w:proofErr w:type="spellEnd"/>
      <w:r w:rsidRPr="007852DA">
        <w:rPr>
          <w:rFonts w:ascii="Book Antiqua" w:hAnsi="Book Antiqua"/>
          <w:color w:val="000000" w:themeColor="text1"/>
          <w:sz w:val="24"/>
        </w:rPr>
        <w:t xml:space="preserve"> SN, </w:t>
      </w:r>
      <w:proofErr w:type="spellStart"/>
      <w:r w:rsidRPr="007852DA">
        <w:rPr>
          <w:rFonts w:ascii="Book Antiqua" w:hAnsi="Book Antiqua"/>
          <w:color w:val="000000" w:themeColor="text1"/>
          <w:sz w:val="24"/>
        </w:rPr>
        <w:t>Molkentin</w:t>
      </w:r>
      <w:proofErr w:type="spellEnd"/>
      <w:r w:rsidRPr="007852DA">
        <w:rPr>
          <w:rFonts w:ascii="Book Antiqua" w:hAnsi="Book Antiqua"/>
          <w:color w:val="000000" w:themeColor="text1"/>
          <w:sz w:val="24"/>
        </w:rPr>
        <w:t xml:space="preserve"> JD. GDF15/MIC-1 functions as a protective and antihypertrophic factor released from the myocardium in association with SMAD protein activation. </w:t>
      </w:r>
      <w:r w:rsidRPr="007852DA">
        <w:rPr>
          <w:rFonts w:ascii="Book Antiqua" w:hAnsi="Book Antiqua"/>
          <w:i/>
          <w:color w:val="000000" w:themeColor="text1"/>
          <w:sz w:val="24"/>
        </w:rPr>
        <w:t>Circ Res</w:t>
      </w:r>
      <w:r w:rsidRPr="007852DA">
        <w:rPr>
          <w:rFonts w:ascii="Book Antiqua" w:hAnsi="Book Antiqua"/>
          <w:color w:val="000000" w:themeColor="text1"/>
          <w:sz w:val="24"/>
        </w:rPr>
        <w:t xml:space="preserve"> 2006; </w:t>
      </w:r>
      <w:r w:rsidRPr="007852DA">
        <w:rPr>
          <w:rFonts w:ascii="Book Antiqua" w:hAnsi="Book Antiqua"/>
          <w:b/>
          <w:color w:val="000000" w:themeColor="text1"/>
          <w:sz w:val="24"/>
        </w:rPr>
        <w:t>98</w:t>
      </w:r>
      <w:r w:rsidRPr="007852DA">
        <w:rPr>
          <w:rFonts w:ascii="Book Antiqua" w:hAnsi="Book Antiqua"/>
          <w:color w:val="000000" w:themeColor="text1"/>
          <w:sz w:val="24"/>
        </w:rPr>
        <w:t>: 342-350 [PMID: 16397142 DOI: 10.1161/01.RES.0000202804.84885.d0]</w:t>
      </w:r>
    </w:p>
    <w:p w14:paraId="02BBB754"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22 </w:t>
      </w:r>
      <w:r w:rsidRPr="007852DA">
        <w:rPr>
          <w:rFonts w:ascii="Book Antiqua" w:hAnsi="Book Antiqua"/>
          <w:b/>
          <w:color w:val="000000" w:themeColor="text1"/>
          <w:sz w:val="24"/>
        </w:rPr>
        <w:t>Kim KH</w:t>
      </w:r>
      <w:r w:rsidRPr="007852DA">
        <w:rPr>
          <w:rFonts w:ascii="Book Antiqua" w:hAnsi="Book Antiqua"/>
          <w:color w:val="000000" w:themeColor="text1"/>
          <w:sz w:val="24"/>
        </w:rPr>
        <w:t xml:space="preserve">, Kim SH, Han DH, Jo YS, Lee YH, Lee MS. Growth differentiation factor 15 ameliorates nonalcoholic steatohepatitis and related metabolic disorders in mice. </w:t>
      </w:r>
      <w:r w:rsidRPr="007852DA">
        <w:rPr>
          <w:rFonts w:ascii="Book Antiqua" w:hAnsi="Book Antiqua"/>
          <w:i/>
          <w:color w:val="000000" w:themeColor="text1"/>
          <w:sz w:val="24"/>
        </w:rPr>
        <w:t>Sci Rep</w:t>
      </w:r>
      <w:r w:rsidRPr="007852DA">
        <w:rPr>
          <w:rFonts w:ascii="Book Antiqua" w:hAnsi="Book Antiqua"/>
          <w:color w:val="000000" w:themeColor="text1"/>
          <w:sz w:val="24"/>
        </w:rPr>
        <w:t xml:space="preserve"> 2018; </w:t>
      </w:r>
      <w:r w:rsidRPr="007852DA">
        <w:rPr>
          <w:rFonts w:ascii="Book Antiqua" w:hAnsi="Book Antiqua"/>
          <w:b/>
          <w:color w:val="000000" w:themeColor="text1"/>
          <w:sz w:val="24"/>
        </w:rPr>
        <w:t>8</w:t>
      </w:r>
      <w:r w:rsidRPr="007852DA">
        <w:rPr>
          <w:rFonts w:ascii="Book Antiqua" w:hAnsi="Book Antiqua"/>
          <w:color w:val="000000" w:themeColor="text1"/>
          <w:sz w:val="24"/>
        </w:rPr>
        <w:t>: 6789 [PMID: 29717162 DOI: 10.1038/s41598-018-25098-0]</w:t>
      </w:r>
    </w:p>
    <w:p w14:paraId="7674CA9C"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23 </w:t>
      </w:r>
      <w:r w:rsidRPr="007852DA">
        <w:rPr>
          <w:rFonts w:ascii="Book Antiqua" w:hAnsi="Book Antiqua"/>
          <w:b/>
          <w:color w:val="000000" w:themeColor="text1"/>
          <w:sz w:val="24"/>
        </w:rPr>
        <w:t>Carrillo-</w:t>
      </w:r>
      <w:proofErr w:type="spellStart"/>
      <w:r w:rsidRPr="007852DA">
        <w:rPr>
          <w:rFonts w:ascii="Book Antiqua" w:hAnsi="Book Antiqua"/>
          <w:b/>
          <w:color w:val="000000" w:themeColor="text1"/>
          <w:sz w:val="24"/>
        </w:rPr>
        <w:t>García</w:t>
      </w:r>
      <w:proofErr w:type="spellEnd"/>
      <w:r w:rsidRPr="007852DA">
        <w:rPr>
          <w:rFonts w:ascii="Book Antiqua" w:hAnsi="Book Antiqua"/>
          <w:b/>
          <w:color w:val="000000" w:themeColor="text1"/>
          <w:sz w:val="24"/>
        </w:rPr>
        <w:t xml:space="preserve"> C</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Prochnow</w:t>
      </w:r>
      <w:proofErr w:type="spellEnd"/>
      <w:r w:rsidRPr="007852DA">
        <w:rPr>
          <w:rFonts w:ascii="Book Antiqua" w:hAnsi="Book Antiqua"/>
          <w:color w:val="000000" w:themeColor="text1"/>
          <w:sz w:val="24"/>
        </w:rPr>
        <w:t xml:space="preserve"> S, </w:t>
      </w:r>
      <w:proofErr w:type="spellStart"/>
      <w:r w:rsidRPr="007852DA">
        <w:rPr>
          <w:rFonts w:ascii="Book Antiqua" w:hAnsi="Book Antiqua"/>
          <w:color w:val="000000" w:themeColor="text1"/>
          <w:sz w:val="24"/>
        </w:rPr>
        <w:t>Simeonova</w:t>
      </w:r>
      <w:proofErr w:type="spellEnd"/>
      <w:r w:rsidRPr="007852DA">
        <w:rPr>
          <w:rFonts w:ascii="Book Antiqua" w:hAnsi="Book Antiqua"/>
          <w:color w:val="000000" w:themeColor="text1"/>
          <w:sz w:val="24"/>
        </w:rPr>
        <w:t xml:space="preserve"> IK, </w:t>
      </w:r>
      <w:proofErr w:type="spellStart"/>
      <w:r w:rsidRPr="007852DA">
        <w:rPr>
          <w:rFonts w:ascii="Book Antiqua" w:hAnsi="Book Antiqua"/>
          <w:color w:val="000000" w:themeColor="text1"/>
          <w:sz w:val="24"/>
        </w:rPr>
        <w:t>Strelau</w:t>
      </w:r>
      <w:proofErr w:type="spellEnd"/>
      <w:r w:rsidRPr="007852DA">
        <w:rPr>
          <w:rFonts w:ascii="Book Antiqua" w:hAnsi="Book Antiqua"/>
          <w:color w:val="000000" w:themeColor="text1"/>
          <w:sz w:val="24"/>
        </w:rPr>
        <w:t xml:space="preserve"> J, </w:t>
      </w:r>
      <w:proofErr w:type="spellStart"/>
      <w:r w:rsidRPr="007852DA">
        <w:rPr>
          <w:rFonts w:ascii="Book Antiqua" w:hAnsi="Book Antiqua"/>
          <w:color w:val="000000" w:themeColor="text1"/>
          <w:sz w:val="24"/>
        </w:rPr>
        <w:t>Hölzl-Wenig</w:t>
      </w:r>
      <w:proofErr w:type="spellEnd"/>
      <w:r w:rsidRPr="007852DA">
        <w:rPr>
          <w:rFonts w:ascii="Book Antiqua" w:hAnsi="Book Antiqua"/>
          <w:color w:val="000000" w:themeColor="text1"/>
          <w:sz w:val="24"/>
        </w:rPr>
        <w:t xml:space="preserve"> G, </w:t>
      </w:r>
      <w:proofErr w:type="spellStart"/>
      <w:r w:rsidRPr="007852DA">
        <w:rPr>
          <w:rFonts w:ascii="Book Antiqua" w:hAnsi="Book Antiqua"/>
          <w:color w:val="000000" w:themeColor="text1"/>
          <w:sz w:val="24"/>
        </w:rPr>
        <w:t>Mandl</w:t>
      </w:r>
      <w:proofErr w:type="spellEnd"/>
      <w:r w:rsidRPr="007852DA">
        <w:rPr>
          <w:rFonts w:ascii="Book Antiqua" w:hAnsi="Book Antiqua"/>
          <w:color w:val="000000" w:themeColor="text1"/>
          <w:sz w:val="24"/>
        </w:rPr>
        <w:t xml:space="preserve"> C, </w:t>
      </w:r>
      <w:proofErr w:type="spellStart"/>
      <w:r w:rsidRPr="007852DA">
        <w:rPr>
          <w:rFonts w:ascii="Book Antiqua" w:hAnsi="Book Antiqua"/>
          <w:color w:val="000000" w:themeColor="text1"/>
          <w:sz w:val="24"/>
        </w:rPr>
        <w:t>Unsicker</w:t>
      </w:r>
      <w:proofErr w:type="spellEnd"/>
      <w:r w:rsidRPr="007852DA">
        <w:rPr>
          <w:rFonts w:ascii="Book Antiqua" w:hAnsi="Book Antiqua"/>
          <w:color w:val="000000" w:themeColor="text1"/>
          <w:sz w:val="24"/>
        </w:rPr>
        <w:t xml:space="preserve"> K, von Bohlen Und Halbach O, Ciccolini F. Growth/differentiation factor 15 promotes EGFR </w:t>
      </w:r>
      <w:proofErr w:type="spellStart"/>
      <w:r w:rsidRPr="007852DA">
        <w:rPr>
          <w:rFonts w:ascii="Book Antiqua" w:hAnsi="Book Antiqua"/>
          <w:color w:val="000000" w:themeColor="text1"/>
          <w:sz w:val="24"/>
        </w:rPr>
        <w:t>signalling</w:t>
      </w:r>
      <w:proofErr w:type="spellEnd"/>
      <w:r w:rsidRPr="007852DA">
        <w:rPr>
          <w:rFonts w:ascii="Book Antiqua" w:hAnsi="Book Antiqua"/>
          <w:color w:val="000000" w:themeColor="text1"/>
          <w:sz w:val="24"/>
        </w:rPr>
        <w:t xml:space="preserve">, and regulates proliferation and migration in the hippocampus of neonatal and young adult mice. </w:t>
      </w:r>
      <w:r w:rsidRPr="007852DA">
        <w:rPr>
          <w:rFonts w:ascii="Book Antiqua" w:hAnsi="Book Antiqua"/>
          <w:i/>
          <w:color w:val="000000" w:themeColor="text1"/>
          <w:sz w:val="24"/>
        </w:rPr>
        <w:t>Development</w:t>
      </w:r>
      <w:r w:rsidRPr="007852DA">
        <w:rPr>
          <w:rFonts w:ascii="Book Antiqua" w:hAnsi="Book Antiqua"/>
          <w:color w:val="000000" w:themeColor="text1"/>
          <w:sz w:val="24"/>
        </w:rPr>
        <w:t xml:space="preserve"> 2014; </w:t>
      </w:r>
      <w:r w:rsidRPr="007852DA">
        <w:rPr>
          <w:rFonts w:ascii="Book Antiqua" w:hAnsi="Book Antiqua"/>
          <w:b/>
          <w:color w:val="000000" w:themeColor="text1"/>
          <w:sz w:val="24"/>
        </w:rPr>
        <w:t>141</w:t>
      </w:r>
      <w:r w:rsidRPr="007852DA">
        <w:rPr>
          <w:rFonts w:ascii="Book Antiqua" w:hAnsi="Book Antiqua"/>
          <w:color w:val="000000" w:themeColor="text1"/>
          <w:sz w:val="24"/>
        </w:rPr>
        <w:t>: 773-783 [PMID: 24496615 DOI: 10.1242/dev.096131]</w:t>
      </w:r>
    </w:p>
    <w:p w14:paraId="798DAC3F"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24 </w:t>
      </w:r>
      <w:r w:rsidRPr="007852DA">
        <w:rPr>
          <w:rFonts w:ascii="Book Antiqua" w:hAnsi="Book Antiqua"/>
          <w:b/>
          <w:color w:val="000000" w:themeColor="text1"/>
          <w:sz w:val="24"/>
        </w:rPr>
        <w:t>Machado V</w:t>
      </w:r>
      <w:r w:rsidRPr="007852DA">
        <w:rPr>
          <w:rFonts w:ascii="Book Antiqua" w:hAnsi="Book Antiqua"/>
          <w:color w:val="000000" w:themeColor="text1"/>
          <w:sz w:val="24"/>
        </w:rPr>
        <w:t xml:space="preserve">, Haas SJ, von Bohlen Und </w:t>
      </w:r>
      <w:proofErr w:type="spellStart"/>
      <w:r w:rsidRPr="007852DA">
        <w:rPr>
          <w:rFonts w:ascii="Book Antiqua" w:hAnsi="Book Antiqua"/>
          <w:color w:val="000000" w:themeColor="text1"/>
          <w:sz w:val="24"/>
        </w:rPr>
        <w:t>Halbach</w:t>
      </w:r>
      <w:proofErr w:type="spellEnd"/>
      <w:r w:rsidRPr="007852DA">
        <w:rPr>
          <w:rFonts w:ascii="Book Antiqua" w:hAnsi="Book Antiqua"/>
          <w:color w:val="000000" w:themeColor="text1"/>
          <w:sz w:val="24"/>
        </w:rPr>
        <w:t xml:space="preserve"> O, </w:t>
      </w:r>
      <w:proofErr w:type="spellStart"/>
      <w:r w:rsidRPr="007852DA">
        <w:rPr>
          <w:rFonts w:ascii="Book Antiqua" w:hAnsi="Book Antiqua"/>
          <w:color w:val="000000" w:themeColor="text1"/>
          <w:sz w:val="24"/>
        </w:rPr>
        <w:t>Wree</w:t>
      </w:r>
      <w:proofErr w:type="spellEnd"/>
      <w:r w:rsidRPr="007852DA">
        <w:rPr>
          <w:rFonts w:ascii="Book Antiqua" w:hAnsi="Book Antiqua"/>
          <w:color w:val="000000" w:themeColor="text1"/>
          <w:sz w:val="24"/>
        </w:rPr>
        <w:t xml:space="preserve"> A, </w:t>
      </w:r>
      <w:proofErr w:type="spellStart"/>
      <w:r w:rsidRPr="007852DA">
        <w:rPr>
          <w:rFonts w:ascii="Book Antiqua" w:hAnsi="Book Antiqua"/>
          <w:color w:val="000000" w:themeColor="text1"/>
          <w:sz w:val="24"/>
        </w:rPr>
        <w:t>Krieglstein</w:t>
      </w:r>
      <w:proofErr w:type="spellEnd"/>
      <w:r w:rsidRPr="007852DA">
        <w:rPr>
          <w:rFonts w:ascii="Book Antiqua" w:hAnsi="Book Antiqua"/>
          <w:color w:val="000000" w:themeColor="text1"/>
          <w:sz w:val="24"/>
        </w:rPr>
        <w:t xml:space="preserve"> K, </w:t>
      </w:r>
      <w:proofErr w:type="spellStart"/>
      <w:r w:rsidRPr="007852DA">
        <w:rPr>
          <w:rFonts w:ascii="Book Antiqua" w:hAnsi="Book Antiqua"/>
          <w:color w:val="000000" w:themeColor="text1"/>
          <w:sz w:val="24"/>
        </w:rPr>
        <w:t>Unsicker</w:t>
      </w:r>
      <w:proofErr w:type="spellEnd"/>
      <w:r w:rsidRPr="007852DA">
        <w:rPr>
          <w:rFonts w:ascii="Book Antiqua" w:hAnsi="Book Antiqua"/>
          <w:color w:val="000000" w:themeColor="text1"/>
          <w:sz w:val="24"/>
        </w:rPr>
        <w:t xml:space="preserve"> K, </w:t>
      </w:r>
      <w:proofErr w:type="spellStart"/>
      <w:r w:rsidRPr="007852DA">
        <w:rPr>
          <w:rFonts w:ascii="Book Antiqua" w:hAnsi="Book Antiqua"/>
          <w:color w:val="000000" w:themeColor="text1"/>
          <w:sz w:val="24"/>
        </w:rPr>
        <w:t>Spittau</w:t>
      </w:r>
      <w:proofErr w:type="spellEnd"/>
      <w:r w:rsidRPr="007852DA">
        <w:rPr>
          <w:rFonts w:ascii="Book Antiqua" w:hAnsi="Book Antiqua"/>
          <w:color w:val="000000" w:themeColor="text1"/>
          <w:sz w:val="24"/>
        </w:rPr>
        <w:t xml:space="preserve"> B. Growth/differentiation factor-15 deficiency compromises dopaminergic neuron survival and microglial response in the 6-hydroxydopamine mouse model of Parkinson's disease. </w:t>
      </w:r>
      <w:proofErr w:type="spellStart"/>
      <w:r w:rsidRPr="007852DA">
        <w:rPr>
          <w:rFonts w:ascii="Book Antiqua" w:hAnsi="Book Antiqua"/>
          <w:i/>
          <w:color w:val="000000" w:themeColor="text1"/>
          <w:sz w:val="24"/>
        </w:rPr>
        <w:t>Neurobiol</w:t>
      </w:r>
      <w:proofErr w:type="spellEnd"/>
      <w:r w:rsidRPr="007852DA">
        <w:rPr>
          <w:rFonts w:ascii="Book Antiqua" w:hAnsi="Book Antiqua"/>
          <w:i/>
          <w:color w:val="000000" w:themeColor="text1"/>
          <w:sz w:val="24"/>
        </w:rPr>
        <w:t xml:space="preserve"> Dis</w:t>
      </w:r>
      <w:r w:rsidRPr="007852DA">
        <w:rPr>
          <w:rFonts w:ascii="Book Antiqua" w:hAnsi="Book Antiqua"/>
          <w:color w:val="000000" w:themeColor="text1"/>
          <w:sz w:val="24"/>
        </w:rPr>
        <w:t xml:space="preserve"> 2016; </w:t>
      </w:r>
      <w:r w:rsidRPr="007852DA">
        <w:rPr>
          <w:rFonts w:ascii="Book Antiqua" w:hAnsi="Book Antiqua"/>
          <w:b/>
          <w:color w:val="000000" w:themeColor="text1"/>
          <w:sz w:val="24"/>
        </w:rPr>
        <w:t>88</w:t>
      </w:r>
      <w:r w:rsidRPr="007852DA">
        <w:rPr>
          <w:rFonts w:ascii="Book Antiqua" w:hAnsi="Book Antiqua"/>
          <w:color w:val="000000" w:themeColor="text1"/>
          <w:sz w:val="24"/>
        </w:rPr>
        <w:t>: 1-15 [PMID: 26733415 DOI: 10.1016/j.nbd.2015.12.016]</w:t>
      </w:r>
    </w:p>
    <w:p w14:paraId="4B15DB1B"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lastRenderedPageBreak/>
        <w:t xml:space="preserve">25 </w:t>
      </w:r>
      <w:proofErr w:type="spellStart"/>
      <w:r w:rsidRPr="007852DA">
        <w:rPr>
          <w:rFonts w:ascii="Book Antiqua" w:hAnsi="Book Antiqua"/>
          <w:b/>
          <w:color w:val="000000" w:themeColor="text1"/>
          <w:sz w:val="24"/>
        </w:rPr>
        <w:t>Kostuk</w:t>
      </w:r>
      <w:proofErr w:type="spellEnd"/>
      <w:r w:rsidRPr="007852DA">
        <w:rPr>
          <w:rFonts w:ascii="Book Antiqua" w:hAnsi="Book Antiqua"/>
          <w:b/>
          <w:color w:val="000000" w:themeColor="text1"/>
          <w:sz w:val="24"/>
        </w:rPr>
        <w:t xml:space="preserve"> EW</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Cai</w:t>
      </w:r>
      <w:proofErr w:type="spellEnd"/>
      <w:r w:rsidRPr="007852DA">
        <w:rPr>
          <w:rFonts w:ascii="Book Antiqua" w:hAnsi="Book Antiqua"/>
          <w:color w:val="000000" w:themeColor="text1"/>
          <w:sz w:val="24"/>
        </w:rPr>
        <w:t xml:space="preserve"> J, </w:t>
      </w:r>
      <w:proofErr w:type="spellStart"/>
      <w:r w:rsidRPr="007852DA">
        <w:rPr>
          <w:rFonts w:ascii="Book Antiqua" w:hAnsi="Book Antiqua"/>
          <w:color w:val="000000" w:themeColor="text1"/>
          <w:sz w:val="24"/>
        </w:rPr>
        <w:t>Iacovitti</w:t>
      </w:r>
      <w:proofErr w:type="spellEnd"/>
      <w:r w:rsidRPr="007852DA">
        <w:rPr>
          <w:rFonts w:ascii="Book Antiqua" w:hAnsi="Book Antiqua"/>
          <w:color w:val="000000" w:themeColor="text1"/>
          <w:sz w:val="24"/>
        </w:rPr>
        <w:t xml:space="preserve"> L. </w:t>
      </w:r>
      <w:proofErr w:type="spellStart"/>
      <w:r w:rsidRPr="007852DA">
        <w:rPr>
          <w:rFonts w:ascii="Book Antiqua" w:hAnsi="Book Antiqua"/>
          <w:color w:val="000000" w:themeColor="text1"/>
          <w:sz w:val="24"/>
        </w:rPr>
        <w:t>Subregional</w:t>
      </w:r>
      <w:proofErr w:type="spellEnd"/>
      <w:r w:rsidRPr="007852DA">
        <w:rPr>
          <w:rFonts w:ascii="Book Antiqua" w:hAnsi="Book Antiqua"/>
          <w:color w:val="000000" w:themeColor="text1"/>
          <w:sz w:val="24"/>
        </w:rPr>
        <w:t xml:space="preserve"> differences in astrocytes underlie selective neurodegeneration or protection in Parkinson's disease models in culture. </w:t>
      </w:r>
      <w:r w:rsidRPr="007852DA">
        <w:rPr>
          <w:rFonts w:ascii="Book Antiqua" w:hAnsi="Book Antiqua"/>
          <w:i/>
          <w:color w:val="000000" w:themeColor="text1"/>
          <w:sz w:val="24"/>
        </w:rPr>
        <w:t>Glia</w:t>
      </w:r>
      <w:r w:rsidRPr="007852DA">
        <w:rPr>
          <w:rFonts w:ascii="Book Antiqua" w:hAnsi="Book Antiqua"/>
          <w:color w:val="000000" w:themeColor="text1"/>
          <w:sz w:val="24"/>
        </w:rPr>
        <w:t xml:space="preserve"> 2019; </w:t>
      </w:r>
      <w:r w:rsidRPr="007852DA">
        <w:rPr>
          <w:rFonts w:ascii="Book Antiqua" w:hAnsi="Book Antiqua"/>
          <w:b/>
          <w:color w:val="000000" w:themeColor="text1"/>
          <w:sz w:val="24"/>
        </w:rPr>
        <w:t>67</w:t>
      </w:r>
      <w:r w:rsidRPr="007852DA">
        <w:rPr>
          <w:rFonts w:ascii="Book Antiqua" w:hAnsi="Book Antiqua"/>
          <w:color w:val="000000" w:themeColor="text1"/>
          <w:sz w:val="24"/>
        </w:rPr>
        <w:t>: 1542-1557 [PMID: 31025779 DOI: 10.1002/glia.23627]</w:t>
      </w:r>
    </w:p>
    <w:p w14:paraId="20837C25"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26 </w:t>
      </w:r>
      <w:proofErr w:type="spellStart"/>
      <w:r w:rsidRPr="007852DA">
        <w:rPr>
          <w:rFonts w:ascii="Book Antiqua" w:hAnsi="Book Antiqua"/>
          <w:b/>
          <w:color w:val="000000" w:themeColor="text1"/>
          <w:sz w:val="24"/>
        </w:rPr>
        <w:t>Ubhi</w:t>
      </w:r>
      <w:proofErr w:type="spellEnd"/>
      <w:r w:rsidRPr="007852DA">
        <w:rPr>
          <w:rFonts w:ascii="Book Antiqua" w:hAnsi="Book Antiqua"/>
          <w:b/>
          <w:color w:val="000000" w:themeColor="text1"/>
          <w:sz w:val="24"/>
        </w:rPr>
        <w:t xml:space="preserve"> K</w:t>
      </w:r>
      <w:r w:rsidRPr="007852DA">
        <w:rPr>
          <w:rFonts w:ascii="Book Antiqua" w:hAnsi="Book Antiqua"/>
          <w:color w:val="000000" w:themeColor="text1"/>
          <w:sz w:val="24"/>
        </w:rPr>
        <w:t xml:space="preserve">, Low P, </w:t>
      </w:r>
      <w:proofErr w:type="spellStart"/>
      <w:r w:rsidRPr="007852DA">
        <w:rPr>
          <w:rFonts w:ascii="Book Antiqua" w:hAnsi="Book Antiqua"/>
          <w:color w:val="000000" w:themeColor="text1"/>
          <w:sz w:val="24"/>
        </w:rPr>
        <w:t>Masliah</w:t>
      </w:r>
      <w:proofErr w:type="spellEnd"/>
      <w:r w:rsidRPr="007852DA">
        <w:rPr>
          <w:rFonts w:ascii="Book Antiqua" w:hAnsi="Book Antiqua"/>
          <w:color w:val="000000" w:themeColor="text1"/>
          <w:sz w:val="24"/>
        </w:rPr>
        <w:t xml:space="preserve"> E. Multiple system atrophy: a clinical and neuropathological perspective. </w:t>
      </w:r>
      <w:r w:rsidRPr="007852DA">
        <w:rPr>
          <w:rFonts w:ascii="Book Antiqua" w:hAnsi="Book Antiqua"/>
          <w:i/>
          <w:color w:val="000000" w:themeColor="text1"/>
          <w:sz w:val="24"/>
        </w:rPr>
        <w:t xml:space="preserve">Trends </w:t>
      </w:r>
      <w:proofErr w:type="spellStart"/>
      <w:r w:rsidRPr="007852DA">
        <w:rPr>
          <w:rFonts w:ascii="Book Antiqua" w:hAnsi="Book Antiqua"/>
          <w:i/>
          <w:color w:val="000000" w:themeColor="text1"/>
          <w:sz w:val="24"/>
        </w:rPr>
        <w:t>Neurosci</w:t>
      </w:r>
      <w:proofErr w:type="spellEnd"/>
      <w:r w:rsidRPr="007852DA">
        <w:rPr>
          <w:rFonts w:ascii="Book Antiqua" w:hAnsi="Book Antiqua"/>
          <w:color w:val="000000" w:themeColor="text1"/>
          <w:sz w:val="24"/>
        </w:rPr>
        <w:t xml:space="preserve"> 2011; </w:t>
      </w:r>
      <w:r w:rsidRPr="007852DA">
        <w:rPr>
          <w:rFonts w:ascii="Book Antiqua" w:hAnsi="Book Antiqua"/>
          <w:b/>
          <w:color w:val="000000" w:themeColor="text1"/>
          <w:sz w:val="24"/>
        </w:rPr>
        <w:t>34</w:t>
      </w:r>
      <w:r w:rsidRPr="007852DA">
        <w:rPr>
          <w:rFonts w:ascii="Book Antiqua" w:hAnsi="Book Antiqua"/>
          <w:color w:val="000000" w:themeColor="text1"/>
          <w:sz w:val="24"/>
        </w:rPr>
        <w:t>: 581-590 [PMID: 21962754 DOI: 10.1016/j.tins.2011.08.003]</w:t>
      </w:r>
    </w:p>
    <w:p w14:paraId="6F3E490B"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 xml:space="preserve">27 </w:t>
      </w:r>
      <w:r w:rsidRPr="007852DA">
        <w:rPr>
          <w:rFonts w:ascii="Book Antiqua" w:hAnsi="Book Antiqua"/>
          <w:b/>
          <w:color w:val="000000" w:themeColor="text1"/>
          <w:sz w:val="24"/>
        </w:rPr>
        <w:t>Berg D</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Postuma</w:t>
      </w:r>
      <w:proofErr w:type="spellEnd"/>
      <w:r w:rsidRPr="007852DA">
        <w:rPr>
          <w:rFonts w:ascii="Book Antiqua" w:hAnsi="Book Antiqua"/>
          <w:color w:val="000000" w:themeColor="text1"/>
          <w:sz w:val="24"/>
        </w:rPr>
        <w:t xml:space="preserve"> RB, Adler CH, </w:t>
      </w:r>
      <w:proofErr w:type="spellStart"/>
      <w:r w:rsidRPr="007852DA">
        <w:rPr>
          <w:rFonts w:ascii="Book Antiqua" w:hAnsi="Book Antiqua"/>
          <w:color w:val="000000" w:themeColor="text1"/>
          <w:sz w:val="24"/>
        </w:rPr>
        <w:t>Bloem</w:t>
      </w:r>
      <w:proofErr w:type="spellEnd"/>
      <w:r w:rsidRPr="007852DA">
        <w:rPr>
          <w:rFonts w:ascii="Book Antiqua" w:hAnsi="Book Antiqua"/>
          <w:color w:val="000000" w:themeColor="text1"/>
          <w:sz w:val="24"/>
        </w:rPr>
        <w:t xml:space="preserve"> BR, Chan P, Dubois B, Gasser T, Goetz CG, Halliday G, Joseph L, Lang AE, </w:t>
      </w:r>
      <w:proofErr w:type="spellStart"/>
      <w:r w:rsidRPr="007852DA">
        <w:rPr>
          <w:rFonts w:ascii="Book Antiqua" w:hAnsi="Book Antiqua"/>
          <w:color w:val="000000" w:themeColor="text1"/>
          <w:sz w:val="24"/>
        </w:rPr>
        <w:t>Liepelt-Scarfone</w:t>
      </w:r>
      <w:proofErr w:type="spellEnd"/>
      <w:r w:rsidRPr="007852DA">
        <w:rPr>
          <w:rFonts w:ascii="Book Antiqua" w:hAnsi="Book Antiqua"/>
          <w:color w:val="000000" w:themeColor="text1"/>
          <w:sz w:val="24"/>
        </w:rPr>
        <w:t xml:space="preserve"> I, </w:t>
      </w:r>
      <w:proofErr w:type="spellStart"/>
      <w:r w:rsidRPr="007852DA">
        <w:rPr>
          <w:rFonts w:ascii="Book Antiqua" w:hAnsi="Book Antiqua"/>
          <w:color w:val="000000" w:themeColor="text1"/>
          <w:sz w:val="24"/>
        </w:rPr>
        <w:t>Litvan</w:t>
      </w:r>
      <w:proofErr w:type="spellEnd"/>
      <w:r w:rsidRPr="007852DA">
        <w:rPr>
          <w:rFonts w:ascii="Book Antiqua" w:hAnsi="Book Antiqua"/>
          <w:color w:val="000000" w:themeColor="text1"/>
          <w:sz w:val="24"/>
        </w:rPr>
        <w:t xml:space="preserve"> I, Marek K, </w:t>
      </w:r>
      <w:proofErr w:type="spellStart"/>
      <w:r w:rsidRPr="007852DA">
        <w:rPr>
          <w:rFonts w:ascii="Book Antiqua" w:hAnsi="Book Antiqua"/>
          <w:color w:val="000000" w:themeColor="text1"/>
          <w:sz w:val="24"/>
        </w:rPr>
        <w:t>Obeso</w:t>
      </w:r>
      <w:proofErr w:type="spellEnd"/>
      <w:r w:rsidRPr="007852DA">
        <w:rPr>
          <w:rFonts w:ascii="Book Antiqua" w:hAnsi="Book Antiqua"/>
          <w:color w:val="000000" w:themeColor="text1"/>
          <w:sz w:val="24"/>
        </w:rPr>
        <w:t xml:space="preserve"> J, </w:t>
      </w:r>
      <w:proofErr w:type="spellStart"/>
      <w:r w:rsidRPr="007852DA">
        <w:rPr>
          <w:rFonts w:ascii="Book Antiqua" w:hAnsi="Book Antiqua"/>
          <w:color w:val="000000" w:themeColor="text1"/>
          <w:sz w:val="24"/>
        </w:rPr>
        <w:t>Oertel</w:t>
      </w:r>
      <w:proofErr w:type="spellEnd"/>
      <w:r w:rsidRPr="007852DA">
        <w:rPr>
          <w:rFonts w:ascii="Book Antiqua" w:hAnsi="Book Antiqua"/>
          <w:color w:val="000000" w:themeColor="text1"/>
          <w:sz w:val="24"/>
        </w:rPr>
        <w:t xml:space="preserve"> W, </w:t>
      </w:r>
      <w:proofErr w:type="spellStart"/>
      <w:r w:rsidRPr="007852DA">
        <w:rPr>
          <w:rFonts w:ascii="Book Antiqua" w:hAnsi="Book Antiqua"/>
          <w:color w:val="000000" w:themeColor="text1"/>
          <w:sz w:val="24"/>
        </w:rPr>
        <w:t>Olanow</w:t>
      </w:r>
      <w:proofErr w:type="spellEnd"/>
      <w:r w:rsidRPr="007852DA">
        <w:rPr>
          <w:rFonts w:ascii="Book Antiqua" w:hAnsi="Book Antiqua"/>
          <w:color w:val="000000" w:themeColor="text1"/>
          <w:sz w:val="24"/>
        </w:rPr>
        <w:t xml:space="preserve"> CW, </w:t>
      </w:r>
      <w:proofErr w:type="spellStart"/>
      <w:r w:rsidRPr="007852DA">
        <w:rPr>
          <w:rFonts w:ascii="Book Antiqua" w:hAnsi="Book Antiqua"/>
          <w:color w:val="000000" w:themeColor="text1"/>
          <w:sz w:val="24"/>
        </w:rPr>
        <w:t>Poewe</w:t>
      </w:r>
      <w:proofErr w:type="spellEnd"/>
      <w:r w:rsidRPr="007852DA">
        <w:rPr>
          <w:rFonts w:ascii="Book Antiqua" w:hAnsi="Book Antiqua"/>
          <w:color w:val="000000" w:themeColor="text1"/>
          <w:sz w:val="24"/>
        </w:rPr>
        <w:t xml:space="preserve"> W, Stern M, </w:t>
      </w:r>
      <w:proofErr w:type="spellStart"/>
      <w:r w:rsidRPr="007852DA">
        <w:rPr>
          <w:rFonts w:ascii="Book Antiqua" w:hAnsi="Book Antiqua"/>
          <w:color w:val="000000" w:themeColor="text1"/>
          <w:sz w:val="24"/>
        </w:rPr>
        <w:t>Deuschl</w:t>
      </w:r>
      <w:proofErr w:type="spellEnd"/>
      <w:r w:rsidRPr="007852DA">
        <w:rPr>
          <w:rFonts w:ascii="Book Antiqua" w:hAnsi="Book Antiqua"/>
          <w:color w:val="000000" w:themeColor="text1"/>
          <w:sz w:val="24"/>
        </w:rPr>
        <w:t xml:space="preserve"> G. MDS research criteria for prodromal Parkinson's disease. </w:t>
      </w:r>
      <w:proofErr w:type="spellStart"/>
      <w:r w:rsidRPr="007852DA">
        <w:rPr>
          <w:rFonts w:ascii="Book Antiqua" w:hAnsi="Book Antiqua"/>
          <w:i/>
          <w:color w:val="000000" w:themeColor="text1"/>
          <w:sz w:val="24"/>
        </w:rPr>
        <w:t>Mov</w:t>
      </w:r>
      <w:proofErr w:type="spellEnd"/>
      <w:r w:rsidRPr="007852DA">
        <w:rPr>
          <w:rFonts w:ascii="Book Antiqua" w:hAnsi="Book Antiqua"/>
          <w:i/>
          <w:color w:val="000000" w:themeColor="text1"/>
          <w:sz w:val="24"/>
        </w:rPr>
        <w:t xml:space="preserve"> </w:t>
      </w:r>
      <w:proofErr w:type="spellStart"/>
      <w:r w:rsidRPr="007852DA">
        <w:rPr>
          <w:rFonts w:ascii="Book Antiqua" w:hAnsi="Book Antiqua"/>
          <w:i/>
          <w:color w:val="000000" w:themeColor="text1"/>
          <w:sz w:val="24"/>
        </w:rPr>
        <w:t>Disord</w:t>
      </w:r>
      <w:proofErr w:type="spellEnd"/>
      <w:r w:rsidRPr="007852DA">
        <w:rPr>
          <w:rFonts w:ascii="Book Antiqua" w:hAnsi="Book Antiqua"/>
          <w:color w:val="000000" w:themeColor="text1"/>
          <w:sz w:val="24"/>
        </w:rPr>
        <w:t xml:space="preserve"> 2015; </w:t>
      </w:r>
      <w:r w:rsidRPr="007852DA">
        <w:rPr>
          <w:rFonts w:ascii="Book Antiqua" w:hAnsi="Book Antiqua"/>
          <w:b/>
          <w:color w:val="000000" w:themeColor="text1"/>
          <w:sz w:val="24"/>
        </w:rPr>
        <w:t>30</w:t>
      </w:r>
      <w:r w:rsidRPr="007852DA">
        <w:rPr>
          <w:rFonts w:ascii="Book Antiqua" w:hAnsi="Book Antiqua"/>
          <w:color w:val="000000" w:themeColor="text1"/>
          <w:sz w:val="24"/>
        </w:rPr>
        <w:t>: 1600-1611 [PMID: 26474317 DOI: 10.1002/mds.26431]</w:t>
      </w:r>
    </w:p>
    <w:p w14:paraId="43850E47" w14:textId="77777777" w:rsidR="004436DE" w:rsidRPr="007852DA" w:rsidRDefault="004436DE" w:rsidP="001F49D0">
      <w:pPr>
        <w:spacing w:line="360" w:lineRule="auto"/>
        <w:rPr>
          <w:rFonts w:ascii="Book Antiqua" w:hAnsi="Book Antiqua"/>
          <w:b/>
          <w:color w:val="000000" w:themeColor="text1"/>
          <w:sz w:val="24"/>
        </w:rPr>
      </w:pPr>
      <w:r w:rsidRPr="007852DA">
        <w:rPr>
          <w:rFonts w:ascii="Book Antiqua" w:hAnsi="Book Antiqua"/>
          <w:color w:val="000000" w:themeColor="text1"/>
          <w:sz w:val="24"/>
        </w:rPr>
        <w:t xml:space="preserve">28 </w:t>
      </w:r>
      <w:r w:rsidRPr="007852DA">
        <w:rPr>
          <w:rFonts w:ascii="Book Antiqua" w:hAnsi="Book Antiqua"/>
          <w:b/>
          <w:color w:val="000000" w:themeColor="text1"/>
          <w:sz w:val="24"/>
        </w:rPr>
        <w:t>Steele HE</w:t>
      </w:r>
      <w:r w:rsidRPr="007852DA">
        <w:rPr>
          <w:rFonts w:ascii="Book Antiqua" w:hAnsi="Book Antiqua"/>
          <w:color w:val="000000" w:themeColor="text1"/>
          <w:sz w:val="24"/>
        </w:rPr>
        <w:t xml:space="preserve">, Horvath R, Lyon JJ, Chinnery PF. Monitoring clinical progression with mitochondrial disease biomarkers. </w:t>
      </w:r>
      <w:r w:rsidRPr="007852DA">
        <w:rPr>
          <w:rFonts w:ascii="Book Antiqua" w:hAnsi="Book Antiqua"/>
          <w:i/>
          <w:color w:val="000000" w:themeColor="text1"/>
          <w:sz w:val="24"/>
        </w:rPr>
        <w:t>Brain</w:t>
      </w:r>
      <w:r w:rsidRPr="007852DA">
        <w:rPr>
          <w:rFonts w:ascii="Book Antiqua" w:hAnsi="Book Antiqua"/>
          <w:color w:val="000000" w:themeColor="text1"/>
          <w:sz w:val="24"/>
        </w:rPr>
        <w:t xml:space="preserve"> 2017; </w:t>
      </w:r>
      <w:r w:rsidRPr="007852DA">
        <w:rPr>
          <w:rFonts w:ascii="Book Antiqua" w:hAnsi="Book Antiqua"/>
          <w:b/>
          <w:color w:val="000000" w:themeColor="text1"/>
          <w:sz w:val="24"/>
        </w:rPr>
        <w:t>140</w:t>
      </w:r>
      <w:r w:rsidRPr="007852DA">
        <w:rPr>
          <w:rFonts w:ascii="Book Antiqua" w:hAnsi="Book Antiqua"/>
          <w:color w:val="000000" w:themeColor="text1"/>
          <w:sz w:val="24"/>
        </w:rPr>
        <w:t>: 2530-2540 [PMID: 28969370 DOI: 10.1093/brain/awx168]</w:t>
      </w:r>
    </w:p>
    <w:p w14:paraId="62818731" w14:textId="77777777" w:rsidR="004436DE" w:rsidRPr="007852DA" w:rsidRDefault="00041FB5"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29</w:t>
      </w:r>
      <w:r w:rsidR="004436DE" w:rsidRPr="007852DA">
        <w:rPr>
          <w:rFonts w:ascii="Book Antiqua" w:hAnsi="Book Antiqua"/>
          <w:color w:val="000000" w:themeColor="text1"/>
          <w:sz w:val="24"/>
        </w:rPr>
        <w:t xml:space="preserve"> </w:t>
      </w:r>
      <w:r w:rsidR="004436DE" w:rsidRPr="007852DA">
        <w:rPr>
          <w:rFonts w:ascii="Book Antiqua" w:hAnsi="Book Antiqua"/>
          <w:b/>
          <w:color w:val="000000" w:themeColor="text1"/>
          <w:sz w:val="24"/>
        </w:rPr>
        <w:t>Montero R</w:t>
      </w:r>
      <w:r w:rsidR="004436DE" w:rsidRPr="007852DA">
        <w:rPr>
          <w:rFonts w:ascii="Book Antiqua" w:hAnsi="Book Antiqua"/>
          <w:color w:val="000000" w:themeColor="text1"/>
          <w:sz w:val="24"/>
        </w:rPr>
        <w:t xml:space="preserve">, </w:t>
      </w:r>
      <w:proofErr w:type="spellStart"/>
      <w:r w:rsidR="004436DE" w:rsidRPr="007852DA">
        <w:rPr>
          <w:rFonts w:ascii="Book Antiqua" w:hAnsi="Book Antiqua"/>
          <w:color w:val="000000" w:themeColor="text1"/>
          <w:sz w:val="24"/>
        </w:rPr>
        <w:t>Yubero</w:t>
      </w:r>
      <w:proofErr w:type="spellEnd"/>
      <w:r w:rsidR="004436DE" w:rsidRPr="007852DA">
        <w:rPr>
          <w:rFonts w:ascii="Book Antiqua" w:hAnsi="Book Antiqua"/>
          <w:color w:val="000000" w:themeColor="text1"/>
          <w:sz w:val="24"/>
        </w:rPr>
        <w:t xml:space="preserve"> D, </w:t>
      </w:r>
      <w:proofErr w:type="spellStart"/>
      <w:r w:rsidR="004436DE" w:rsidRPr="007852DA">
        <w:rPr>
          <w:rFonts w:ascii="Book Antiqua" w:hAnsi="Book Antiqua"/>
          <w:color w:val="000000" w:themeColor="text1"/>
          <w:sz w:val="24"/>
        </w:rPr>
        <w:t>Villarroya</w:t>
      </w:r>
      <w:proofErr w:type="spellEnd"/>
      <w:r w:rsidR="004436DE" w:rsidRPr="007852DA">
        <w:rPr>
          <w:rFonts w:ascii="Book Antiqua" w:hAnsi="Book Antiqua"/>
          <w:color w:val="000000" w:themeColor="text1"/>
          <w:sz w:val="24"/>
        </w:rPr>
        <w:t xml:space="preserve"> J, Henares D, </w:t>
      </w:r>
      <w:proofErr w:type="spellStart"/>
      <w:r w:rsidR="004436DE" w:rsidRPr="007852DA">
        <w:rPr>
          <w:rFonts w:ascii="Book Antiqua" w:hAnsi="Book Antiqua"/>
          <w:color w:val="000000" w:themeColor="text1"/>
          <w:sz w:val="24"/>
        </w:rPr>
        <w:t>Jou</w:t>
      </w:r>
      <w:proofErr w:type="spellEnd"/>
      <w:r w:rsidR="004436DE" w:rsidRPr="007852DA">
        <w:rPr>
          <w:rFonts w:ascii="Book Antiqua" w:hAnsi="Book Antiqua"/>
          <w:color w:val="000000" w:themeColor="text1"/>
          <w:sz w:val="24"/>
        </w:rPr>
        <w:t xml:space="preserve"> C, Rodríguez MA, Ramos F, </w:t>
      </w:r>
      <w:proofErr w:type="spellStart"/>
      <w:r w:rsidR="004436DE" w:rsidRPr="007852DA">
        <w:rPr>
          <w:rFonts w:ascii="Book Antiqua" w:hAnsi="Book Antiqua"/>
          <w:color w:val="000000" w:themeColor="text1"/>
          <w:sz w:val="24"/>
        </w:rPr>
        <w:t>Nascimento</w:t>
      </w:r>
      <w:proofErr w:type="spellEnd"/>
      <w:r w:rsidR="004436DE" w:rsidRPr="007852DA">
        <w:rPr>
          <w:rFonts w:ascii="Book Antiqua" w:hAnsi="Book Antiqua"/>
          <w:color w:val="000000" w:themeColor="text1"/>
          <w:sz w:val="24"/>
        </w:rPr>
        <w:t xml:space="preserve"> A, </w:t>
      </w:r>
      <w:proofErr w:type="spellStart"/>
      <w:r w:rsidR="004436DE" w:rsidRPr="007852DA">
        <w:rPr>
          <w:rFonts w:ascii="Book Antiqua" w:hAnsi="Book Antiqua"/>
          <w:color w:val="000000" w:themeColor="text1"/>
          <w:sz w:val="24"/>
        </w:rPr>
        <w:t>Ortez</w:t>
      </w:r>
      <w:proofErr w:type="spellEnd"/>
      <w:r w:rsidR="004436DE" w:rsidRPr="007852DA">
        <w:rPr>
          <w:rFonts w:ascii="Book Antiqua" w:hAnsi="Book Antiqua"/>
          <w:color w:val="000000" w:themeColor="text1"/>
          <w:sz w:val="24"/>
        </w:rPr>
        <w:t xml:space="preserve"> CI, </w:t>
      </w:r>
      <w:proofErr w:type="spellStart"/>
      <w:r w:rsidR="004436DE" w:rsidRPr="007852DA">
        <w:rPr>
          <w:rFonts w:ascii="Book Antiqua" w:hAnsi="Book Antiqua"/>
          <w:color w:val="000000" w:themeColor="text1"/>
          <w:sz w:val="24"/>
        </w:rPr>
        <w:t>Campistol</w:t>
      </w:r>
      <w:proofErr w:type="spellEnd"/>
      <w:r w:rsidR="004436DE" w:rsidRPr="007852DA">
        <w:rPr>
          <w:rFonts w:ascii="Book Antiqua" w:hAnsi="Book Antiqua"/>
          <w:color w:val="000000" w:themeColor="text1"/>
          <w:sz w:val="24"/>
        </w:rPr>
        <w:t xml:space="preserve"> J, Perez-</w:t>
      </w:r>
      <w:proofErr w:type="spellStart"/>
      <w:r w:rsidR="004436DE" w:rsidRPr="007852DA">
        <w:rPr>
          <w:rFonts w:ascii="Book Antiqua" w:hAnsi="Book Antiqua"/>
          <w:color w:val="000000" w:themeColor="text1"/>
          <w:sz w:val="24"/>
        </w:rPr>
        <w:t>Dueñas</w:t>
      </w:r>
      <w:proofErr w:type="spellEnd"/>
      <w:r w:rsidR="004436DE" w:rsidRPr="007852DA">
        <w:rPr>
          <w:rFonts w:ascii="Book Antiqua" w:hAnsi="Book Antiqua"/>
          <w:color w:val="000000" w:themeColor="text1"/>
          <w:sz w:val="24"/>
        </w:rPr>
        <w:t xml:space="preserve"> B, O'Callaghan M, Pineda M, Garcia-</w:t>
      </w:r>
      <w:proofErr w:type="spellStart"/>
      <w:r w:rsidR="004436DE" w:rsidRPr="007852DA">
        <w:rPr>
          <w:rFonts w:ascii="Book Antiqua" w:hAnsi="Book Antiqua"/>
          <w:color w:val="000000" w:themeColor="text1"/>
          <w:sz w:val="24"/>
        </w:rPr>
        <w:t>Cazorla</w:t>
      </w:r>
      <w:proofErr w:type="spellEnd"/>
      <w:r w:rsidR="004436DE" w:rsidRPr="007852DA">
        <w:rPr>
          <w:rFonts w:ascii="Book Antiqua" w:hAnsi="Book Antiqua"/>
          <w:color w:val="000000" w:themeColor="text1"/>
          <w:sz w:val="24"/>
        </w:rPr>
        <w:t xml:space="preserve"> A, </w:t>
      </w:r>
      <w:proofErr w:type="spellStart"/>
      <w:r w:rsidR="004436DE" w:rsidRPr="007852DA">
        <w:rPr>
          <w:rFonts w:ascii="Book Antiqua" w:hAnsi="Book Antiqua"/>
          <w:color w:val="000000" w:themeColor="text1"/>
          <w:sz w:val="24"/>
        </w:rPr>
        <w:t>Oferil</w:t>
      </w:r>
      <w:proofErr w:type="spellEnd"/>
      <w:r w:rsidR="004436DE" w:rsidRPr="007852DA">
        <w:rPr>
          <w:rFonts w:ascii="Book Antiqua" w:hAnsi="Book Antiqua"/>
          <w:color w:val="000000" w:themeColor="text1"/>
          <w:sz w:val="24"/>
        </w:rPr>
        <w:t xml:space="preserve"> JC, Montoya J, Ruiz-</w:t>
      </w:r>
      <w:proofErr w:type="spellStart"/>
      <w:r w:rsidR="004436DE" w:rsidRPr="007852DA">
        <w:rPr>
          <w:rFonts w:ascii="Book Antiqua" w:hAnsi="Book Antiqua"/>
          <w:color w:val="000000" w:themeColor="text1"/>
          <w:sz w:val="24"/>
        </w:rPr>
        <w:t>Pesini</w:t>
      </w:r>
      <w:proofErr w:type="spellEnd"/>
      <w:r w:rsidR="004436DE" w:rsidRPr="007852DA">
        <w:rPr>
          <w:rFonts w:ascii="Book Antiqua" w:hAnsi="Book Antiqua"/>
          <w:color w:val="000000" w:themeColor="text1"/>
          <w:sz w:val="24"/>
        </w:rPr>
        <w:t xml:space="preserve"> E, </w:t>
      </w:r>
      <w:proofErr w:type="spellStart"/>
      <w:r w:rsidR="004436DE" w:rsidRPr="007852DA">
        <w:rPr>
          <w:rFonts w:ascii="Book Antiqua" w:hAnsi="Book Antiqua"/>
          <w:color w:val="000000" w:themeColor="text1"/>
          <w:sz w:val="24"/>
        </w:rPr>
        <w:t>Emperador</w:t>
      </w:r>
      <w:proofErr w:type="spellEnd"/>
      <w:r w:rsidR="004436DE" w:rsidRPr="007852DA">
        <w:rPr>
          <w:rFonts w:ascii="Book Antiqua" w:hAnsi="Book Antiqua"/>
          <w:color w:val="000000" w:themeColor="text1"/>
          <w:sz w:val="24"/>
        </w:rPr>
        <w:t xml:space="preserve"> S, </w:t>
      </w:r>
      <w:proofErr w:type="spellStart"/>
      <w:r w:rsidR="004436DE" w:rsidRPr="007852DA">
        <w:rPr>
          <w:rFonts w:ascii="Book Antiqua" w:hAnsi="Book Antiqua"/>
          <w:color w:val="000000" w:themeColor="text1"/>
          <w:sz w:val="24"/>
        </w:rPr>
        <w:t>Meznaric</w:t>
      </w:r>
      <w:proofErr w:type="spellEnd"/>
      <w:r w:rsidR="004436DE" w:rsidRPr="007852DA">
        <w:rPr>
          <w:rFonts w:ascii="Book Antiqua" w:hAnsi="Book Antiqua"/>
          <w:color w:val="000000" w:themeColor="text1"/>
          <w:sz w:val="24"/>
        </w:rPr>
        <w:t xml:space="preserve"> M, </w:t>
      </w:r>
      <w:proofErr w:type="spellStart"/>
      <w:r w:rsidR="004436DE" w:rsidRPr="007852DA">
        <w:rPr>
          <w:rFonts w:ascii="Book Antiqua" w:hAnsi="Book Antiqua"/>
          <w:color w:val="000000" w:themeColor="text1"/>
          <w:sz w:val="24"/>
        </w:rPr>
        <w:t>Campderros</w:t>
      </w:r>
      <w:proofErr w:type="spellEnd"/>
      <w:r w:rsidR="004436DE" w:rsidRPr="007852DA">
        <w:rPr>
          <w:rFonts w:ascii="Book Antiqua" w:hAnsi="Book Antiqua"/>
          <w:color w:val="000000" w:themeColor="text1"/>
          <w:sz w:val="24"/>
        </w:rPr>
        <w:t xml:space="preserve"> L, </w:t>
      </w:r>
      <w:proofErr w:type="spellStart"/>
      <w:r w:rsidR="004436DE" w:rsidRPr="007852DA">
        <w:rPr>
          <w:rFonts w:ascii="Book Antiqua" w:hAnsi="Book Antiqua"/>
          <w:color w:val="000000" w:themeColor="text1"/>
          <w:sz w:val="24"/>
        </w:rPr>
        <w:t>Kalko</w:t>
      </w:r>
      <w:proofErr w:type="spellEnd"/>
      <w:r w:rsidR="004436DE" w:rsidRPr="007852DA">
        <w:rPr>
          <w:rFonts w:ascii="Book Antiqua" w:hAnsi="Book Antiqua"/>
          <w:color w:val="000000" w:themeColor="text1"/>
          <w:sz w:val="24"/>
        </w:rPr>
        <w:t xml:space="preserve"> SG, </w:t>
      </w:r>
      <w:proofErr w:type="spellStart"/>
      <w:r w:rsidR="004436DE" w:rsidRPr="007852DA">
        <w:rPr>
          <w:rFonts w:ascii="Book Antiqua" w:hAnsi="Book Antiqua"/>
          <w:color w:val="000000" w:themeColor="text1"/>
          <w:sz w:val="24"/>
        </w:rPr>
        <w:t>Villarroya</w:t>
      </w:r>
      <w:proofErr w:type="spellEnd"/>
      <w:r w:rsidR="004436DE" w:rsidRPr="007852DA">
        <w:rPr>
          <w:rFonts w:ascii="Book Antiqua" w:hAnsi="Book Antiqua"/>
          <w:color w:val="000000" w:themeColor="text1"/>
          <w:sz w:val="24"/>
        </w:rPr>
        <w:t xml:space="preserve"> F, </w:t>
      </w:r>
      <w:proofErr w:type="spellStart"/>
      <w:r w:rsidR="004436DE" w:rsidRPr="007852DA">
        <w:rPr>
          <w:rFonts w:ascii="Book Antiqua" w:hAnsi="Book Antiqua"/>
          <w:color w:val="000000" w:themeColor="text1"/>
          <w:sz w:val="24"/>
        </w:rPr>
        <w:t>Artuch</w:t>
      </w:r>
      <w:proofErr w:type="spellEnd"/>
      <w:r w:rsidR="004436DE" w:rsidRPr="007852DA">
        <w:rPr>
          <w:rFonts w:ascii="Book Antiqua" w:hAnsi="Book Antiqua"/>
          <w:color w:val="000000" w:themeColor="text1"/>
          <w:sz w:val="24"/>
        </w:rPr>
        <w:t xml:space="preserve"> R, Jimenez-</w:t>
      </w:r>
      <w:proofErr w:type="spellStart"/>
      <w:r w:rsidR="004436DE" w:rsidRPr="007852DA">
        <w:rPr>
          <w:rFonts w:ascii="Book Antiqua" w:hAnsi="Book Antiqua"/>
          <w:color w:val="000000" w:themeColor="text1"/>
          <w:sz w:val="24"/>
        </w:rPr>
        <w:t>Mallebrera</w:t>
      </w:r>
      <w:proofErr w:type="spellEnd"/>
      <w:r w:rsidR="004436DE" w:rsidRPr="007852DA">
        <w:rPr>
          <w:rFonts w:ascii="Book Antiqua" w:hAnsi="Book Antiqua"/>
          <w:color w:val="000000" w:themeColor="text1"/>
          <w:sz w:val="24"/>
        </w:rPr>
        <w:t xml:space="preserve"> C. GDF-15 Is Elevated in Children with Mitochondrial Diseases and Is Induced by Mitochondrial Dysfunction. </w:t>
      </w:r>
      <w:proofErr w:type="spellStart"/>
      <w:r w:rsidR="004436DE" w:rsidRPr="007852DA">
        <w:rPr>
          <w:rFonts w:ascii="Book Antiqua" w:hAnsi="Book Antiqua"/>
          <w:i/>
          <w:color w:val="000000" w:themeColor="text1"/>
          <w:sz w:val="24"/>
        </w:rPr>
        <w:t>PLoS</w:t>
      </w:r>
      <w:proofErr w:type="spellEnd"/>
      <w:r w:rsidR="004436DE" w:rsidRPr="007852DA">
        <w:rPr>
          <w:rFonts w:ascii="Book Antiqua" w:hAnsi="Book Antiqua"/>
          <w:i/>
          <w:color w:val="000000" w:themeColor="text1"/>
          <w:sz w:val="24"/>
        </w:rPr>
        <w:t xml:space="preserve"> One</w:t>
      </w:r>
      <w:r w:rsidR="004436DE" w:rsidRPr="007852DA">
        <w:rPr>
          <w:rFonts w:ascii="Book Antiqua" w:hAnsi="Book Antiqua"/>
          <w:color w:val="000000" w:themeColor="text1"/>
          <w:sz w:val="24"/>
        </w:rPr>
        <w:t xml:space="preserve"> 2016; </w:t>
      </w:r>
      <w:r w:rsidR="004436DE" w:rsidRPr="007852DA">
        <w:rPr>
          <w:rFonts w:ascii="Book Antiqua" w:hAnsi="Book Antiqua"/>
          <w:b/>
          <w:color w:val="000000" w:themeColor="text1"/>
          <w:sz w:val="24"/>
        </w:rPr>
        <w:t>11</w:t>
      </w:r>
      <w:r w:rsidR="004436DE" w:rsidRPr="007852DA">
        <w:rPr>
          <w:rFonts w:ascii="Book Antiqua" w:hAnsi="Book Antiqua"/>
          <w:color w:val="000000" w:themeColor="text1"/>
          <w:sz w:val="24"/>
        </w:rPr>
        <w:t>: e0148709 [PMID: 26867126 DOI: 10.1371/journal.pone.0148709]</w:t>
      </w:r>
    </w:p>
    <w:p w14:paraId="1E2C54FE"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3</w:t>
      </w:r>
      <w:r w:rsidR="00041FB5" w:rsidRPr="007852DA">
        <w:rPr>
          <w:rFonts w:ascii="Book Antiqua" w:hAnsi="Book Antiqua"/>
          <w:color w:val="000000" w:themeColor="text1"/>
          <w:sz w:val="24"/>
        </w:rPr>
        <w:t>0</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Jiang J</w:t>
      </w:r>
      <w:r w:rsidRPr="007852DA">
        <w:rPr>
          <w:rFonts w:ascii="Book Antiqua" w:hAnsi="Book Antiqua"/>
          <w:color w:val="000000" w:themeColor="text1"/>
          <w:sz w:val="24"/>
        </w:rPr>
        <w:t xml:space="preserve">, Wen W, Sachdev PS. Macrophage inhibitory cytokine-1/growth differentiation factor 15 as a marker of cognitive ageing and dementia. </w:t>
      </w:r>
      <w:proofErr w:type="spellStart"/>
      <w:r w:rsidRPr="007852DA">
        <w:rPr>
          <w:rFonts w:ascii="Book Antiqua" w:hAnsi="Book Antiqua"/>
          <w:i/>
          <w:color w:val="000000" w:themeColor="text1"/>
          <w:sz w:val="24"/>
        </w:rPr>
        <w:t>Curr</w:t>
      </w:r>
      <w:proofErr w:type="spellEnd"/>
      <w:r w:rsidRPr="007852DA">
        <w:rPr>
          <w:rFonts w:ascii="Book Antiqua" w:hAnsi="Book Antiqua"/>
          <w:i/>
          <w:color w:val="000000" w:themeColor="text1"/>
          <w:sz w:val="24"/>
        </w:rPr>
        <w:t xml:space="preserve"> </w:t>
      </w:r>
      <w:proofErr w:type="spellStart"/>
      <w:r w:rsidRPr="007852DA">
        <w:rPr>
          <w:rFonts w:ascii="Book Antiqua" w:hAnsi="Book Antiqua"/>
          <w:i/>
          <w:color w:val="000000" w:themeColor="text1"/>
          <w:sz w:val="24"/>
        </w:rPr>
        <w:t>Opin</w:t>
      </w:r>
      <w:proofErr w:type="spellEnd"/>
      <w:r w:rsidRPr="007852DA">
        <w:rPr>
          <w:rFonts w:ascii="Book Antiqua" w:hAnsi="Book Antiqua"/>
          <w:i/>
          <w:color w:val="000000" w:themeColor="text1"/>
          <w:sz w:val="24"/>
        </w:rPr>
        <w:t xml:space="preserve"> Psychiatry</w:t>
      </w:r>
      <w:r w:rsidRPr="007852DA">
        <w:rPr>
          <w:rFonts w:ascii="Book Antiqua" w:hAnsi="Book Antiqua"/>
          <w:color w:val="000000" w:themeColor="text1"/>
          <w:sz w:val="24"/>
        </w:rPr>
        <w:t xml:space="preserve"> 2016; </w:t>
      </w:r>
      <w:r w:rsidRPr="007852DA">
        <w:rPr>
          <w:rFonts w:ascii="Book Antiqua" w:hAnsi="Book Antiqua"/>
          <w:b/>
          <w:color w:val="000000" w:themeColor="text1"/>
          <w:sz w:val="24"/>
        </w:rPr>
        <w:t>29</w:t>
      </w:r>
      <w:r w:rsidRPr="007852DA">
        <w:rPr>
          <w:rFonts w:ascii="Book Antiqua" w:hAnsi="Book Antiqua"/>
          <w:color w:val="000000" w:themeColor="text1"/>
          <w:sz w:val="24"/>
        </w:rPr>
        <w:t>: 181-186 [PMID: 26731555 DOI: 10.1097/YCO.0000000000000225]</w:t>
      </w:r>
    </w:p>
    <w:p w14:paraId="25C56739"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3</w:t>
      </w:r>
      <w:r w:rsidR="00041FB5" w:rsidRPr="007852DA">
        <w:rPr>
          <w:rFonts w:ascii="Book Antiqua" w:hAnsi="Book Antiqua"/>
          <w:color w:val="000000" w:themeColor="text1"/>
          <w:sz w:val="24"/>
        </w:rPr>
        <w:t>1</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Semba RD</w:t>
      </w:r>
      <w:r w:rsidRPr="007852DA">
        <w:rPr>
          <w:rFonts w:ascii="Book Antiqua" w:hAnsi="Book Antiqua"/>
          <w:color w:val="000000" w:themeColor="text1"/>
          <w:sz w:val="24"/>
        </w:rPr>
        <w:t xml:space="preserve">, Gonzalez-Freire M, Tanaka T, </w:t>
      </w:r>
      <w:proofErr w:type="spellStart"/>
      <w:r w:rsidRPr="007852DA">
        <w:rPr>
          <w:rFonts w:ascii="Book Antiqua" w:hAnsi="Book Antiqua"/>
          <w:color w:val="000000" w:themeColor="text1"/>
          <w:sz w:val="24"/>
        </w:rPr>
        <w:t>Biancotto</w:t>
      </w:r>
      <w:proofErr w:type="spellEnd"/>
      <w:r w:rsidRPr="007852DA">
        <w:rPr>
          <w:rFonts w:ascii="Book Antiqua" w:hAnsi="Book Antiqua"/>
          <w:color w:val="000000" w:themeColor="text1"/>
          <w:sz w:val="24"/>
        </w:rPr>
        <w:t xml:space="preserve"> A, Zhang P, </w:t>
      </w:r>
      <w:proofErr w:type="spellStart"/>
      <w:r w:rsidRPr="007852DA">
        <w:rPr>
          <w:rFonts w:ascii="Book Antiqua" w:hAnsi="Book Antiqua"/>
          <w:color w:val="000000" w:themeColor="text1"/>
          <w:sz w:val="24"/>
        </w:rPr>
        <w:t>Shardell</w:t>
      </w:r>
      <w:proofErr w:type="spellEnd"/>
      <w:r w:rsidRPr="007852DA">
        <w:rPr>
          <w:rFonts w:ascii="Book Antiqua" w:hAnsi="Book Antiqua"/>
          <w:color w:val="000000" w:themeColor="text1"/>
          <w:sz w:val="24"/>
        </w:rPr>
        <w:t xml:space="preserve"> M, </w:t>
      </w:r>
      <w:proofErr w:type="spellStart"/>
      <w:r w:rsidRPr="007852DA">
        <w:rPr>
          <w:rFonts w:ascii="Book Antiqua" w:hAnsi="Book Antiqua"/>
          <w:color w:val="000000" w:themeColor="text1"/>
          <w:sz w:val="24"/>
        </w:rPr>
        <w:t>Moaddel</w:t>
      </w:r>
      <w:proofErr w:type="spellEnd"/>
      <w:r w:rsidRPr="007852DA">
        <w:rPr>
          <w:rFonts w:ascii="Book Antiqua" w:hAnsi="Book Antiqua"/>
          <w:color w:val="000000" w:themeColor="text1"/>
          <w:sz w:val="24"/>
        </w:rPr>
        <w:t xml:space="preserve"> R; CHI Consortium, </w:t>
      </w:r>
      <w:proofErr w:type="spellStart"/>
      <w:r w:rsidRPr="007852DA">
        <w:rPr>
          <w:rFonts w:ascii="Book Antiqua" w:hAnsi="Book Antiqua"/>
          <w:color w:val="000000" w:themeColor="text1"/>
          <w:sz w:val="24"/>
        </w:rPr>
        <w:t>Ferrucci</w:t>
      </w:r>
      <w:proofErr w:type="spellEnd"/>
      <w:r w:rsidRPr="007852DA">
        <w:rPr>
          <w:rFonts w:ascii="Book Antiqua" w:hAnsi="Book Antiqua"/>
          <w:color w:val="000000" w:themeColor="text1"/>
          <w:sz w:val="24"/>
        </w:rPr>
        <w:t xml:space="preserve"> L. Elevated Plasma Growth and Differentiation Factor 15 Is Associated With Slower Gait Speed and Lower </w:t>
      </w:r>
      <w:r w:rsidRPr="007852DA">
        <w:rPr>
          <w:rFonts w:ascii="Book Antiqua" w:hAnsi="Book Antiqua"/>
          <w:color w:val="000000" w:themeColor="text1"/>
          <w:sz w:val="24"/>
        </w:rPr>
        <w:lastRenderedPageBreak/>
        <w:t xml:space="preserve">Physical Performance in Healthy Community-Dwelling Adults. </w:t>
      </w:r>
      <w:r w:rsidRPr="007852DA">
        <w:rPr>
          <w:rFonts w:ascii="Book Antiqua" w:hAnsi="Book Antiqua"/>
          <w:i/>
          <w:color w:val="000000" w:themeColor="text1"/>
          <w:sz w:val="24"/>
        </w:rPr>
        <w:t xml:space="preserve">J </w:t>
      </w:r>
      <w:proofErr w:type="spellStart"/>
      <w:r w:rsidRPr="007852DA">
        <w:rPr>
          <w:rFonts w:ascii="Book Antiqua" w:hAnsi="Book Antiqua"/>
          <w:i/>
          <w:color w:val="000000" w:themeColor="text1"/>
          <w:sz w:val="24"/>
        </w:rPr>
        <w:t>Gerontol</w:t>
      </w:r>
      <w:proofErr w:type="spellEnd"/>
      <w:r w:rsidRPr="007852DA">
        <w:rPr>
          <w:rFonts w:ascii="Book Antiqua" w:hAnsi="Book Antiqua"/>
          <w:i/>
          <w:color w:val="000000" w:themeColor="text1"/>
          <w:sz w:val="24"/>
        </w:rPr>
        <w:t xml:space="preserve"> A </w:t>
      </w:r>
      <w:proofErr w:type="spellStart"/>
      <w:r w:rsidRPr="007852DA">
        <w:rPr>
          <w:rFonts w:ascii="Book Antiqua" w:hAnsi="Book Antiqua"/>
          <w:i/>
          <w:color w:val="000000" w:themeColor="text1"/>
          <w:sz w:val="24"/>
        </w:rPr>
        <w:t>Biol</w:t>
      </w:r>
      <w:proofErr w:type="spellEnd"/>
      <w:r w:rsidRPr="007852DA">
        <w:rPr>
          <w:rFonts w:ascii="Book Antiqua" w:hAnsi="Book Antiqua"/>
          <w:i/>
          <w:color w:val="000000" w:themeColor="text1"/>
          <w:sz w:val="24"/>
        </w:rPr>
        <w:t xml:space="preserve"> </w:t>
      </w:r>
      <w:proofErr w:type="spellStart"/>
      <w:r w:rsidRPr="007852DA">
        <w:rPr>
          <w:rFonts w:ascii="Book Antiqua" w:hAnsi="Book Antiqua"/>
          <w:i/>
          <w:color w:val="000000" w:themeColor="text1"/>
          <w:sz w:val="24"/>
        </w:rPr>
        <w:t>Sci</w:t>
      </w:r>
      <w:proofErr w:type="spellEnd"/>
      <w:r w:rsidRPr="007852DA">
        <w:rPr>
          <w:rFonts w:ascii="Book Antiqua" w:hAnsi="Book Antiqua"/>
          <w:i/>
          <w:color w:val="000000" w:themeColor="text1"/>
          <w:sz w:val="24"/>
        </w:rPr>
        <w:t xml:space="preserve"> Med Sci</w:t>
      </w:r>
      <w:r w:rsidRPr="007852DA">
        <w:rPr>
          <w:rFonts w:ascii="Book Antiqua" w:hAnsi="Book Antiqua"/>
          <w:color w:val="000000" w:themeColor="text1"/>
          <w:sz w:val="24"/>
        </w:rPr>
        <w:t xml:space="preserve"> 2020; </w:t>
      </w:r>
      <w:r w:rsidRPr="007852DA">
        <w:rPr>
          <w:rFonts w:ascii="Book Antiqua" w:hAnsi="Book Antiqua"/>
          <w:b/>
          <w:color w:val="000000" w:themeColor="text1"/>
          <w:sz w:val="24"/>
        </w:rPr>
        <w:t>75</w:t>
      </w:r>
      <w:r w:rsidRPr="007852DA">
        <w:rPr>
          <w:rFonts w:ascii="Book Antiqua" w:hAnsi="Book Antiqua"/>
          <w:color w:val="000000" w:themeColor="text1"/>
          <w:sz w:val="24"/>
        </w:rPr>
        <w:t>: 175-180 [PMID: 30874790 DOI: 10.1093/</w:t>
      </w:r>
      <w:proofErr w:type="spellStart"/>
      <w:r w:rsidRPr="007852DA">
        <w:rPr>
          <w:rFonts w:ascii="Book Antiqua" w:hAnsi="Book Antiqua"/>
          <w:color w:val="000000" w:themeColor="text1"/>
          <w:sz w:val="24"/>
        </w:rPr>
        <w:t>gerona</w:t>
      </w:r>
      <w:proofErr w:type="spellEnd"/>
      <w:r w:rsidRPr="007852DA">
        <w:rPr>
          <w:rFonts w:ascii="Book Antiqua" w:hAnsi="Book Antiqua"/>
          <w:color w:val="000000" w:themeColor="text1"/>
          <w:sz w:val="24"/>
        </w:rPr>
        <w:t>/glz071]</w:t>
      </w:r>
    </w:p>
    <w:p w14:paraId="2115AC1B"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3</w:t>
      </w:r>
      <w:r w:rsidR="00041FB5" w:rsidRPr="007852DA">
        <w:rPr>
          <w:rFonts w:ascii="Book Antiqua" w:hAnsi="Book Antiqua"/>
          <w:color w:val="000000" w:themeColor="text1"/>
          <w:sz w:val="24"/>
        </w:rPr>
        <w:t>2</w:t>
      </w:r>
      <w:r w:rsidRPr="007852DA">
        <w:rPr>
          <w:rFonts w:ascii="Book Antiqua" w:hAnsi="Book Antiqua"/>
          <w:color w:val="000000" w:themeColor="text1"/>
          <w:sz w:val="24"/>
        </w:rPr>
        <w:t xml:space="preserve"> </w:t>
      </w:r>
      <w:proofErr w:type="spellStart"/>
      <w:r w:rsidRPr="007852DA">
        <w:rPr>
          <w:rFonts w:ascii="Book Antiqua" w:hAnsi="Book Antiqua"/>
          <w:b/>
          <w:color w:val="000000" w:themeColor="text1"/>
          <w:sz w:val="24"/>
        </w:rPr>
        <w:t>Barma</w:t>
      </w:r>
      <w:proofErr w:type="spellEnd"/>
      <w:r w:rsidRPr="007852DA">
        <w:rPr>
          <w:rFonts w:ascii="Book Antiqua" w:hAnsi="Book Antiqua"/>
          <w:b/>
          <w:color w:val="000000" w:themeColor="text1"/>
          <w:sz w:val="24"/>
        </w:rPr>
        <w:t xml:space="preserve"> M</w:t>
      </w:r>
      <w:r w:rsidRPr="007852DA">
        <w:rPr>
          <w:rFonts w:ascii="Book Antiqua" w:hAnsi="Book Antiqua"/>
          <w:color w:val="000000" w:themeColor="text1"/>
          <w:sz w:val="24"/>
        </w:rPr>
        <w:t xml:space="preserve">, Khan F, Price RJG, </w:t>
      </w:r>
      <w:proofErr w:type="spellStart"/>
      <w:r w:rsidRPr="007852DA">
        <w:rPr>
          <w:rFonts w:ascii="Book Antiqua" w:hAnsi="Book Antiqua"/>
          <w:color w:val="000000" w:themeColor="text1"/>
          <w:sz w:val="24"/>
        </w:rPr>
        <w:t>Donnan</w:t>
      </w:r>
      <w:proofErr w:type="spellEnd"/>
      <w:r w:rsidRPr="007852DA">
        <w:rPr>
          <w:rFonts w:ascii="Book Antiqua" w:hAnsi="Book Antiqua"/>
          <w:color w:val="000000" w:themeColor="text1"/>
          <w:sz w:val="24"/>
        </w:rPr>
        <w:t xml:space="preserve"> PT, </w:t>
      </w:r>
      <w:proofErr w:type="spellStart"/>
      <w:r w:rsidRPr="007852DA">
        <w:rPr>
          <w:rFonts w:ascii="Book Antiqua" w:hAnsi="Book Antiqua"/>
          <w:color w:val="000000" w:themeColor="text1"/>
          <w:sz w:val="24"/>
        </w:rPr>
        <w:t>Messow</w:t>
      </w:r>
      <w:proofErr w:type="spellEnd"/>
      <w:r w:rsidRPr="007852DA">
        <w:rPr>
          <w:rFonts w:ascii="Book Antiqua" w:hAnsi="Book Antiqua"/>
          <w:color w:val="000000" w:themeColor="text1"/>
          <w:sz w:val="24"/>
        </w:rPr>
        <w:t xml:space="preserve"> CM, Ford I, </w:t>
      </w:r>
      <w:proofErr w:type="spellStart"/>
      <w:r w:rsidRPr="007852DA">
        <w:rPr>
          <w:rFonts w:ascii="Book Antiqua" w:hAnsi="Book Antiqua"/>
          <w:color w:val="000000" w:themeColor="text1"/>
          <w:sz w:val="24"/>
        </w:rPr>
        <w:t>McConnachie</w:t>
      </w:r>
      <w:proofErr w:type="spellEnd"/>
      <w:r w:rsidRPr="007852DA">
        <w:rPr>
          <w:rFonts w:ascii="Book Antiqua" w:hAnsi="Book Antiqua"/>
          <w:color w:val="000000" w:themeColor="text1"/>
          <w:sz w:val="24"/>
        </w:rPr>
        <w:t xml:space="preserve"> A, Struthers AD, McMurdo MET, Witham MD. Association between GDF-15 levels and changes in vascular and physical function in older patients with hypertension. </w:t>
      </w:r>
      <w:r w:rsidRPr="007852DA">
        <w:rPr>
          <w:rFonts w:ascii="Book Antiqua" w:hAnsi="Book Antiqua"/>
          <w:i/>
          <w:color w:val="000000" w:themeColor="text1"/>
          <w:sz w:val="24"/>
        </w:rPr>
        <w:t>Aging Clin Exp Res</w:t>
      </w:r>
      <w:r w:rsidRPr="007852DA">
        <w:rPr>
          <w:rFonts w:ascii="Book Antiqua" w:hAnsi="Book Antiqua"/>
          <w:color w:val="000000" w:themeColor="text1"/>
          <w:sz w:val="24"/>
        </w:rPr>
        <w:t xml:space="preserve"> 2017; </w:t>
      </w:r>
      <w:r w:rsidRPr="007852DA">
        <w:rPr>
          <w:rFonts w:ascii="Book Antiqua" w:hAnsi="Book Antiqua"/>
          <w:b/>
          <w:color w:val="000000" w:themeColor="text1"/>
          <w:sz w:val="24"/>
        </w:rPr>
        <w:t>29</w:t>
      </w:r>
      <w:r w:rsidRPr="007852DA">
        <w:rPr>
          <w:rFonts w:ascii="Book Antiqua" w:hAnsi="Book Antiqua"/>
          <w:color w:val="000000" w:themeColor="text1"/>
          <w:sz w:val="24"/>
        </w:rPr>
        <w:t>: 1055-1059 [PMID: 27734214 DOI: 10.1007/s40520-016-0636-0]</w:t>
      </w:r>
    </w:p>
    <w:p w14:paraId="57785CB4"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3</w:t>
      </w:r>
      <w:r w:rsidR="00041FB5" w:rsidRPr="007852DA">
        <w:rPr>
          <w:rFonts w:ascii="Book Antiqua" w:hAnsi="Book Antiqua"/>
          <w:color w:val="000000" w:themeColor="text1"/>
          <w:sz w:val="24"/>
        </w:rPr>
        <w:t>3</w:t>
      </w:r>
      <w:r w:rsidRPr="007852DA">
        <w:rPr>
          <w:rFonts w:ascii="Book Antiqua" w:hAnsi="Book Antiqua"/>
          <w:color w:val="000000" w:themeColor="text1"/>
          <w:sz w:val="24"/>
        </w:rPr>
        <w:t xml:space="preserve"> </w:t>
      </w:r>
      <w:proofErr w:type="spellStart"/>
      <w:r w:rsidRPr="007852DA">
        <w:rPr>
          <w:rFonts w:ascii="Book Antiqua" w:hAnsi="Book Antiqua"/>
          <w:b/>
          <w:color w:val="000000" w:themeColor="text1"/>
          <w:sz w:val="24"/>
        </w:rPr>
        <w:t>Chelban</w:t>
      </w:r>
      <w:proofErr w:type="spellEnd"/>
      <w:r w:rsidRPr="007852DA">
        <w:rPr>
          <w:rFonts w:ascii="Book Antiqua" w:hAnsi="Book Antiqua"/>
          <w:b/>
          <w:color w:val="000000" w:themeColor="text1"/>
          <w:sz w:val="24"/>
        </w:rPr>
        <w:t xml:space="preserve"> V</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Bocchetta</w:t>
      </w:r>
      <w:proofErr w:type="spellEnd"/>
      <w:r w:rsidRPr="007852DA">
        <w:rPr>
          <w:rFonts w:ascii="Book Antiqua" w:hAnsi="Book Antiqua"/>
          <w:color w:val="000000" w:themeColor="text1"/>
          <w:sz w:val="24"/>
        </w:rPr>
        <w:t xml:space="preserve"> M, </w:t>
      </w:r>
      <w:proofErr w:type="spellStart"/>
      <w:r w:rsidRPr="007852DA">
        <w:rPr>
          <w:rFonts w:ascii="Book Antiqua" w:hAnsi="Book Antiqua"/>
          <w:color w:val="000000" w:themeColor="text1"/>
          <w:sz w:val="24"/>
        </w:rPr>
        <w:t>Hassanein</w:t>
      </w:r>
      <w:proofErr w:type="spellEnd"/>
      <w:r w:rsidRPr="007852DA">
        <w:rPr>
          <w:rFonts w:ascii="Book Antiqua" w:hAnsi="Book Antiqua"/>
          <w:color w:val="000000" w:themeColor="text1"/>
          <w:sz w:val="24"/>
        </w:rPr>
        <w:t xml:space="preserve"> S, </w:t>
      </w:r>
      <w:proofErr w:type="spellStart"/>
      <w:r w:rsidRPr="007852DA">
        <w:rPr>
          <w:rFonts w:ascii="Book Antiqua" w:hAnsi="Book Antiqua"/>
          <w:color w:val="000000" w:themeColor="text1"/>
          <w:sz w:val="24"/>
        </w:rPr>
        <w:t>Haridy</w:t>
      </w:r>
      <w:proofErr w:type="spellEnd"/>
      <w:r w:rsidRPr="007852DA">
        <w:rPr>
          <w:rFonts w:ascii="Book Antiqua" w:hAnsi="Book Antiqua"/>
          <w:color w:val="000000" w:themeColor="text1"/>
          <w:sz w:val="24"/>
        </w:rPr>
        <w:t xml:space="preserve"> NA, </w:t>
      </w:r>
      <w:proofErr w:type="spellStart"/>
      <w:r w:rsidRPr="007852DA">
        <w:rPr>
          <w:rFonts w:ascii="Book Antiqua" w:hAnsi="Book Antiqua"/>
          <w:color w:val="000000" w:themeColor="text1"/>
          <w:sz w:val="24"/>
        </w:rPr>
        <w:t>Houlden</w:t>
      </w:r>
      <w:proofErr w:type="spellEnd"/>
      <w:r w:rsidRPr="007852DA">
        <w:rPr>
          <w:rFonts w:ascii="Book Antiqua" w:hAnsi="Book Antiqua"/>
          <w:color w:val="000000" w:themeColor="text1"/>
          <w:sz w:val="24"/>
        </w:rPr>
        <w:t xml:space="preserve"> H, Rohrer JD. An update on advances in magnetic resonance imaging of multiple system atrophy. </w:t>
      </w:r>
      <w:r w:rsidRPr="007852DA">
        <w:rPr>
          <w:rFonts w:ascii="Book Antiqua" w:hAnsi="Book Antiqua"/>
          <w:i/>
          <w:color w:val="000000" w:themeColor="text1"/>
          <w:sz w:val="24"/>
        </w:rPr>
        <w:t>J Neurol</w:t>
      </w:r>
      <w:r w:rsidRPr="007852DA">
        <w:rPr>
          <w:rFonts w:ascii="Book Antiqua" w:hAnsi="Book Antiqua"/>
          <w:color w:val="000000" w:themeColor="text1"/>
          <w:sz w:val="24"/>
        </w:rPr>
        <w:t xml:space="preserve"> 2019; </w:t>
      </w:r>
      <w:r w:rsidRPr="007852DA">
        <w:rPr>
          <w:rFonts w:ascii="Book Antiqua" w:hAnsi="Book Antiqua"/>
          <w:b/>
          <w:color w:val="000000" w:themeColor="text1"/>
          <w:sz w:val="24"/>
        </w:rPr>
        <w:t>266</w:t>
      </w:r>
      <w:r w:rsidRPr="007852DA">
        <w:rPr>
          <w:rFonts w:ascii="Book Antiqua" w:hAnsi="Book Antiqua"/>
          <w:color w:val="000000" w:themeColor="text1"/>
          <w:sz w:val="24"/>
        </w:rPr>
        <w:t>: 1036-1045 [PMID: 30460448 DOI: 10.1007/s00415-018-9121-3]</w:t>
      </w:r>
    </w:p>
    <w:p w14:paraId="3F893783"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3</w:t>
      </w:r>
      <w:r w:rsidR="00041FB5" w:rsidRPr="007852DA">
        <w:rPr>
          <w:rFonts w:ascii="Book Antiqua" w:hAnsi="Book Antiqua"/>
          <w:color w:val="000000" w:themeColor="text1"/>
          <w:sz w:val="24"/>
        </w:rPr>
        <w:t>4</w:t>
      </w:r>
      <w:r w:rsidRPr="007852DA">
        <w:rPr>
          <w:rFonts w:ascii="Book Antiqua" w:hAnsi="Book Antiqua"/>
          <w:color w:val="000000" w:themeColor="text1"/>
          <w:sz w:val="24"/>
        </w:rPr>
        <w:t xml:space="preserve"> </w:t>
      </w:r>
      <w:proofErr w:type="spellStart"/>
      <w:r w:rsidRPr="007852DA">
        <w:rPr>
          <w:rFonts w:ascii="Book Antiqua" w:hAnsi="Book Antiqua"/>
          <w:b/>
          <w:color w:val="000000" w:themeColor="text1"/>
          <w:sz w:val="24"/>
        </w:rPr>
        <w:t>Stamelou</w:t>
      </w:r>
      <w:proofErr w:type="spellEnd"/>
      <w:r w:rsidRPr="007852DA">
        <w:rPr>
          <w:rFonts w:ascii="Book Antiqua" w:hAnsi="Book Antiqua"/>
          <w:b/>
          <w:color w:val="000000" w:themeColor="text1"/>
          <w:sz w:val="24"/>
        </w:rPr>
        <w:t xml:space="preserve"> M</w:t>
      </w:r>
      <w:r w:rsidRPr="007852DA">
        <w:rPr>
          <w:rFonts w:ascii="Book Antiqua" w:hAnsi="Book Antiqua"/>
          <w:color w:val="000000" w:themeColor="text1"/>
          <w:sz w:val="24"/>
        </w:rPr>
        <w:t xml:space="preserve">, Bhatia KP. Atypical parkinsonism: diagnosis and treatment. </w:t>
      </w:r>
      <w:r w:rsidRPr="007852DA">
        <w:rPr>
          <w:rFonts w:ascii="Book Antiqua" w:hAnsi="Book Antiqua"/>
          <w:i/>
          <w:color w:val="000000" w:themeColor="text1"/>
          <w:sz w:val="24"/>
        </w:rPr>
        <w:t>Neurol Clin</w:t>
      </w:r>
      <w:r w:rsidRPr="007852DA">
        <w:rPr>
          <w:rFonts w:ascii="Book Antiqua" w:hAnsi="Book Antiqua"/>
          <w:color w:val="000000" w:themeColor="text1"/>
          <w:sz w:val="24"/>
        </w:rPr>
        <w:t xml:space="preserve"> 2015; </w:t>
      </w:r>
      <w:r w:rsidRPr="007852DA">
        <w:rPr>
          <w:rFonts w:ascii="Book Antiqua" w:hAnsi="Book Antiqua"/>
          <w:b/>
          <w:color w:val="000000" w:themeColor="text1"/>
          <w:sz w:val="24"/>
        </w:rPr>
        <w:t>33</w:t>
      </w:r>
      <w:r w:rsidRPr="007852DA">
        <w:rPr>
          <w:rFonts w:ascii="Book Antiqua" w:hAnsi="Book Antiqua"/>
          <w:color w:val="000000" w:themeColor="text1"/>
          <w:sz w:val="24"/>
        </w:rPr>
        <w:t>: 39-56 [PMID: 25432722 DOI: 10.1016/j.ncl.2014.09.012]</w:t>
      </w:r>
    </w:p>
    <w:p w14:paraId="0E23796E"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3</w:t>
      </w:r>
      <w:r w:rsidR="00041FB5" w:rsidRPr="007852DA">
        <w:rPr>
          <w:rFonts w:ascii="Book Antiqua" w:hAnsi="Book Antiqua"/>
          <w:color w:val="000000" w:themeColor="text1"/>
          <w:sz w:val="24"/>
        </w:rPr>
        <w:t>5</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Rizzo G</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Copetti</w:t>
      </w:r>
      <w:proofErr w:type="spellEnd"/>
      <w:r w:rsidRPr="007852DA">
        <w:rPr>
          <w:rFonts w:ascii="Book Antiqua" w:hAnsi="Book Antiqua"/>
          <w:color w:val="000000" w:themeColor="text1"/>
          <w:sz w:val="24"/>
        </w:rPr>
        <w:t xml:space="preserve"> M, </w:t>
      </w:r>
      <w:proofErr w:type="spellStart"/>
      <w:r w:rsidRPr="007852DA">
        <w:rPr>
          <w:rFonts w:ascii="Book Antiqua" w:hAnsi="Book Antiqua"/>
          <w:color w:val="000000" w:themeColor="text1"/>
          <w:sz w:val="24"/>
        </w:rPr>
        <w:t>Arcuti</w:t>
      </w:r>
      <w:proofErr w:type="spellEnd"/>
      <w:r w:rsidRPr="007852DA">
        <w:rPr>
          <w:rFonts w:ascii="Book Antiqua" w:hAnsi="Book Antiqua"/>
          <w:color w:val="000000" w:themeColor="text1"/>
          <w:sz w:val="24"/>
        </w:rPr>
        <w:t xml:space="preserve"> S, Martino D, Fontana A, </w:t>
      </w:r>
      <w:proofErr w:type="spellStart"/>
      <w:r w:rsidRPr="007852DA">
        <w:rPr>
          <w:rFonts w:ascii="Book Antiqua" w:hAnsi="Book Antiqua"/>
          <w:color w:val="000000" w:themeColor="text1"/>
          <w:sz w:val="24"/>
        </w:rPr>
        <w:t>Logroscino</w:t>
      </w:r>
      <w:proofErr w:type="spellEnd"/>
      <w:r w:rsidRPr="007852DA">
        <w:rPr>
          <w:rFonts w:ascii="Book Antiqua" w:hAnsi="Book Antiqua"/>
          <w:color w:val="000000" w:themeColor="text1"/>
          <w:sz w:val="24"/>
        </w:rPr>
        <w:t xml:space="preserve"> G. Accuracy of clinical diagnosis of Parkinson disease: A systematic review and meta-analysis. </w:t>
      </w:r>
      <w:r w:rsidRPr="007852DA">
        <w:rPr>
          <w:rFonts w:ascii="Book Antiqua" w:hAnsi="Book Antiqua"/>
          <w:i/>
          <w:color w:val="000000" w:themeColor="text1"/>
          <w:sz w:val="24"/>
        </w:rPr>
        <w:t>Neurology</w:t>
      </w:r>
      <w:r w:rsidRPr="007852DA">
        <w:rPr>
          <w:rFonts w:ascii="Book Antiqua" w:hAnsi="Book Antiqua"/>
          <w:color w:val="000000" w:themeColor="text1"/>
          <w:sz w:val="24"/>
        </w:rPr>
        <w:t xml:space="preserve"> 2016; </w:t>
      </w:r>
      <w:r w:rsidRPr="007852DA">
        <w:rPr>
          <w:rFonts w:ascii="Book Antiqua" w:hAnsi="Book Antiqua"/>
          <w:b/>
          <w:color w:val="000000" w:themeColor="text1"/>
          <w:sz w:val="24"/>
        </w:rPr>
        <w:t>86</w:t>
      </w:r>
      <w:r w:rsidRPr="007852DA">
        <w:rPr>
          <w:rFonts w:ascii="Book Antiqua" w:hAnsi="Book Antiqua"/>
          <w:color w:val="000000" w:themeColor="text1"/>
          <w:sz w:val="24"/>
        </w:rPr>
        <w:t>: 566-576 [PMID: 26764028 DOI: 10.1212/WNL.0000000000002350]</w:t>
      </w:r>
    </w:p>
    <w:p w14:paraId="01F62677"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3</w:t>
      </w:r>
      <w:r w:rsidR="00041FB5" w:rsidRPr="007852DA">
        <w:rPr>
          <w:rFonts w:ascii="Book Antiqua" w:hAnsi="Book Antiqua"/>
          <w:color w:val="000000" w:themeColor="text1"/>
          <w:sz w:val="24"/>
        </w:rPr>
        <w:t>6</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Koga S</w:t>
      </w:r>
      <w:r w:rsidRPr="007852DA">
        <w:rPr>
          <w:rFonts w:ascii="Book Antiqua" w:hAnsi="Book Antiqua"/>
          <w:color w:val="000000" w:themeColor="text1"/>
          <w:sz w:val="24"/>
        </w:rPr>
        <w:t xml:space="preserve">, Aoki N, </w:t>
      </w:r>
      <w:proofErr w:type="spellStart"/>
      <w:r w:rsidRPr="007852DA">
        <w:rPr>
          <w:rFonts w:ascii="Book Antiqua" w:hAnsi="Book Antiqua"/>
          <w:color w:val="000000" w:themeColor="text1"/>
          <w:sz w:val="24"/>
        </w:rPr>
        <w:t>Uitti</w:t>
      </w:r>
      <w:proofErr w:type="spellEnd"/>
      <w:r w:rsidRPr="007852DA">
        <w:rPr>
          <w:rFonts w:ascii="Book Antiqua" w:hAnsi="Book Antiqua"/>
          <w:color w:val="000000" w:themeColor="text1"/>
          <w:sz w:val="24"/>
        </w:rPr>
        <w:t xml:space="preserve"> RJ, van </w:t>
      </w:r>
      <w:proofErr w:type="spellStart"/>
      <w:r w:rsidRPr="007852DA">
        <w:rPr>
          <w:rFonts w:ascii="Book Antiqua" w:hAnsi="Book Antiqua"/>
          <w:color w:val="000000" w:themeColor="text1"/>
          <w:sz w:val="24"/>
        </w:rPr>
        <w:t>Gerpen</w:t>
      </w:r>
      <w:proofErr w:type="spellEnd"/>
      <w:r w:rsidRPr="007852DA">
        <w:rPr>
          <w:rFonts w:ascii="Book Antiqua" w:hAnsi="Book Antiqua"/>
          <w:color w:val="000000" w:themeColor="text1"/>
          <w:sz w:val="24"/>
        </w:rPr>
        <w:t xml:space="preserve"> JA, Cheshire WP, Josephs KA, </w:t>
      </w:r>
      <w:proofErr w:type="spellStart"/>
      <w:r w:rsidRPr="007852DA">
        <w:rPr>
          <w:rFonts w:ascii="Book Antiqua" w:hAnsi="Book Antiqua"/>
          <w:color w:val="000000" w:themeColor="text1"/>
          <w:sz w:val="24"/>
        </w:rPr>
        <w:t>Wszolek</w:t>
      </w:r>
      <w:proofErr w:type="spellEnd"/>
      <w:r w:rsidRPr="007852DA">
        <w:rPr>
          <w:rFonts w:ascii="Book Antiqua" w:hAnsi="Book Antiqua"/>
          <w:color w:val="000000" w:themeColor="text1"/>
          <w:sz w:val="24"/>
        </w:rPr>
        <w:t xml:space="preserve"> ZK, Langston JW, Dickson DW. When DLB, PD, and PSP masquerade as MSA: an autopsy study of 134 patients. </w:t>
      </w:r>
      <w:r w:rsidRPr="007852DA">
        <w:rPr>
          <w:rFonts w:ascii="Book Antiqua" w:hAnsi="Book Antiqua"/>
          <w:i/>
          <w:color w:val="000000" w:themeColor="text1"/>
          <w:sz w:val="24"/>
        </w:rPr>
        <w:t>Neurology</w:t>
      </w:r>
      <w:r w:rsidRPr="007852DA">
        <w:rPr>
          <w:rFonts w:ascii="Book Antiqua" w:hAnsi="Book Antiqua"/>
          <w:color w:val="000000" w:themeColor="text1"/>
          <w:sz w:val="24"/>
        </w:rPr>
        <w:t xml:space="preserve"> 2015; </w:t>
      </w:r>
      <w:r w:rsidRPr="007852DA">
        <w:rPr>
          <w:rFonts w:ascii="Book Antiqua" w:hAnsi="Book Antiqua"/>
          <w:b/>
          <w:color w:val="000000" w:themeColor="text1"/>
          <w:sz w:val="24"/>
        </w:rPr>
        <w:t>85</w:t>
      </w:r>
      <w:r w:rsidRPr="007852DA">
        <w:rPr>
          <w:rFonts w:ascii="Book Antiqua" w:hAnsi="Book Antiqua"/>
          <w:color w:val="000000" w:themeColor="text1"/>
          <w:sz w:val="24"/>
        </w:rPr>
        <w:t>: 404-412 [PMID: 26138942 DOI: 10.1212/WNL.0000000000001807]</w:t>
      </w:r>
    </w:p>
    <w:p w14:paraId="5B2E4ADE"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3</w:t>
      </w:r>
      <w:r w:rsidR="00041FB5" w:rsidRPr="007852DA">
        <w:rPr>
          <w:rFonts w:ascii="Book Antiqua" w:hAnsi="Book Antiqua"/>
          <w:color w:val="000000" w:themeColor="text1"/>
          <w:sz w:val="24"/>
        </w:rPr>
        <w:t>7</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Ozawa T</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Paviour</w:t>
      </w:r>
      <w:proofErr w:type="spellEnd"/>
      <w:r w:rsidRPr="007852DA">
        <w:rPr>
          <w:rFonts w:ascii="Book Antiqua" w:hAnsi="Book Antiqua"/>
          <w:color w:val="000000" w:themeColor="text1"/>
          <w:sz w:val="24"/>
        </w:rPr>
        <w:t xml:space="preserve"> D, Quinn NP, Josephs KA, Sangha H, </w:t>
      </w:r>
      <w:proofErr w:type="spellStart"/>
      <w:r w:rsidRPr="007852DA">
        <w:rPr>
          <w:rFonts w:ascii="Book Antiqua" w:hAnsi="Book Antiqua"/>
          <w:color w:val="000000" w:themeColor="text1"/>
          <w:sz w:val="24"/>
        </w:rPr>
        <w:t>Kilford</w:t>
      </w:r>
      <w:proofErr w:type="spellEnd"/>
      <w:r w:rsidRPr="007852DA">
        <w:rPr>
          <w:rFonts w:ascii="Book Antiqua" w:hAnsi="Book Antiqua"/>
          <w:color w:val="000000" w:themeColor="text1"/>
          <w:sz w:val="24"/>
        </w:rPr>
        <w:t xml:space="preserve"> L, Healy DG, Wood NW, Lees AJ, Holton JL, </w:t>
      </w:r>
      <w:proofErr w:type="spellStart"/>
      <w:r w:rsidRPr="007852DA">
        <w:rPr>
          <w:rFonts w:ascii="Book Antiqua" w:hAnsi="Book Antiqua"/>
          <w:color w:val="000000" w:themeColor="text1"/>
          <w:sz w:val="24"/>
        </w:rPr>
        <w:t>Revesz</w:t>
      </w:r>
      <w:proofErr w:type="spellEnd"/>
      <w:r w:rsidRPr="007852DA">
        <w:rPr>
          <w:rFonts w:ascii="Book Antiqua" w:hAnsi="Book Antiqua"/>
          <w:color w:val="000000" w:themeColor="text1"/>
          <w:sz w:val="24"/>
        </w:rPr>
        <w:t xml:space="preserve"> T. The spectrum of pathological involvement of the </w:t>
      </w:r>
      <w:proofErr w:type="spellStart"/>
      <w:r w:rsidRPr="007852DA">
        <w:rPr>
          <w:rFonts w:ascii="Book Antiqua" w:hAnsi="Book Antiqua"/>
          <w:color w:val="000000" w:themeColor="text1"/>
          <w:sz w:val="24"/>
        </w:rPr>
        <w:t>striatonigral</w:t>
      </w:r>
      <w:proofErr w:type="spellEnd"/>
      <w:r w:rsidRPr="007852DA">
        <w:rPr>
          <w:rFonts w:ascii="Book Antiqua" w:hAnsi="Book Antiqua"/>
          <w:color w:val="000000" w:themeColor="text1"/>
          <w:sz w:val="24"/>
        </w:rPr>
        <w:t xml:space="preserve"> and </w:t>
      </w:r>
      <w:proofErr w:type="spellStart"/>
      <w:r w:rsidRPr="007852DA">
        <w:rPr>
          <w:rFonts w:ascii="Book Antiqua" w:hAnsi="Book Antiqua"/>
          <w:color w:val="000000" w:themeColor="text1"/>
          <w:sz w:val="24"/>
        </w:rPr>
        <w:t>olivopontocerebellar</w:t>
      </w:r>
      <w:proofErr w:type="spellEnd"/>
      <w:r w:rsidRPr="007852DA">
        <w:rPr>
          <w:rFonts w:ascii="Book Antiqua" w:hAnsi="Book Antiqua"/>
          <w:color w:val="000000" w:themeColor="text1"/>
          <w:sz w:val="24"/>
        </w:rPr>
        <w:t xml:space="preserve"> systems in multiple system atrophy: clinicopathological correlations. </w:t>
      </w:r>
      <w:r w:rsidRPr="007852DA">
        <w:rPr>
          <w:rFonts w:ascii="Book Antiqua" w:hAnsi="Book Antiqua"/>
          <w:i/>
          <w:color w:val="000000" w:themeColor="text1"/>
          <w:sz w:val="24"/>
        </w:rPr>
        <w:t>Brain</w:t>
      </w:r>
      <w:r w:rsidRPr="007852DA">
        <w:rPr>
          <w:rFonts w:ascii="Book Antiqua" w:hAnsi="Book Antiqua"/>
          <w:color w:val="000000" w:themeColor="text1"/>
          <w:sz w:val="24"/>
        </w:rPr>
        <w:t xml:space="preserve"> 2004; </w:t>
      </w:r>
      <w:r w:rsidRPr="007852DA">
        <w:rPr>
          <w:rFonts w:ascii="Book Antiqua" w:hAnsi="Book Antiqua"/>
          <w:b/>
          <w:color w:val="000000" w:themeColor="text1"/>
          <w:sz w:val="24"/>
        </w:rPr>
        <w:t>127</w:t>
      </w:r>
      <w:r w:rsidRPr="007852DA">
        <w:rPr>
          <w:rFonts w:ascii="Book Antiqua" w:hAnsi="Book Antiqua"/>
          <w:color w:val="000000" w:themeColor="text1"/>
          <w:sz w:val="24"/>
        </w:rPr>
        <w:t>: 2657-2671 [PMID: 15509623 DOI: 10.1093/brain/awh303]</w:t>
      </w:r>
    </w:p>
    <w:p w14:paraId="19FB03DD" w14:textId="77777777" w:rsidR="004436DE" w:rsidRPr="007852DA" w:rsidRDefault="00041FB5"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38</w:t>
      </w:r>
      <w:r w:rsidR="004436DE" w:rsidRPr="007852DA">
        <w:rPr>
          <w:rFonts w:ascii="Book Antiqua" w:hAnsi="Book Antiqua"/>
          <w:color w:val="000000" w:themeColor="text1"/>
          <w:sz w:val="24"/>
        </w:rPr>
        <w:t xml:space="preserve"> </w:t>
      </w:r>
      <w:proofErr w:type="spellStart"/>
      <w:r w:rsidR="004436DE" w:rsidRPr="007852DA">
        <w:rPr>
          <w:rFonts w:ascii="Book Antiqua" w:hAnsi="Book Antiqua"/>
          <w:b/>
          <w:color w:val="000000" w:themeColor="text1"/>
          <w:sz w:val="24"/>
        </w:rPr>
        <w:t>Brenneis</w:t>
      </w:r>
      <w:proofErr w:type="spellEnd"/>
      <w:r w:rsidR="004436DE" w:rsidRPr="007852DA">
        <w:rPr>
          <w:rFonts w:ascii="Book Antiqua" w:hAnsi="Book Antiqua"/>
          <w:b/>
          <w:color w:val="000000" w:themeColor="text1"/>
          <w:sz w:val="24"/>
        </w:rPr>
        <w:t xml:space="preserve"> C</w:t>
      </w:r>
      <w:r w:rsidR="004436DE" w:rsidRPr="007852DA">
        <w:rPr>
          <w:rFonts w:ascii="Book Antiqua" w:hAnsi="Book Antiqua"/>
          <w:color w:val="000000" w:themeColor="text1"/>
          <w:sz w:val="24"/>
        </w:rPr>
        <w:t xml:space="preserve">, Egger K, </w:t>
      </w:r>
      <w:proofErr w:type="spellStart"/>
      <w:r w:rsidR="004436DE" w:rsidRPr="007852DA">
        <w:rPr>
          <w:rFonts w:ascii="Book Antiqua" w:hAnsi="Book Antiqua"/>
          <w:color w:val="000000" w:themeColor="text1"/>
          <w:sz w:val="24"/>
        </w:rPr>
        <w:t>Scherfler</w:t>
      </w:r>
      <w:proofErr w:type="spellEnd"/>
      <w:r w:rsidR="004436DE" w:rsidRPr="007852DA">
        <w:rPr>
          <w:rFonts w:ascii="Book Antiqua" w:hAnsi="Book Antiqua"/>
          <w:color w:val="000000" w:themeColor="text1"/>
          <w:sz w:val="24"/>
        </w:rPr>
        <w:t xml:space="preserve"> C, </w:t>
      </w:r>
      <w:proofErr w:type="spellStart"/>
      <w:r w:rsidR="004436DE" w:rsidRPr="007852DA">
        <w:rPr>
          <w:rFonts w:ascii="Book Antiqua" w:hAnsi="Book Antiqua"/>
          <w:color w:val="000000" w:themeColor="text1"/>
          <w:sz w:val="24"/>
        </w:rPr>
        <w:t>Seppi</w:t>
      </w:r>
      <w:proofErr w:type="spellEnd"/>
      <w:r w:rsidR="004436DE" w:rsidRPr="007852DA">
        <w:rPr>
          <w:rFonts w:ascii="Book Antiqua" w:hAnsi="Book Antiqua"/>
          <w:color w:val="000000" w:themeColor="text1"/>
          <w:sz w:val="24"/>
        </w:rPr>
        <w:t xml:space="preserve"> K, </w:t>
      </w:r>
      <w:proofErr w:type="spellStart"/>
      <w:r w:rsidR="004436DE" w:rsidRPr="007852DA">
        <w:rPr>
          <w:rFonts w:ascii="Book Antiqua" w:hAnsi="Book Antiqua"/>
          <w:color w:val="000000" w:themeColor="text1"/>
          <w:sz w:val="24"/>
        </w:rPr>
        <w:t>Schocke</w:t>
      </w:r>
      <w:proofErr w:type="spellEnd"/>
      <w:r w:rsidR="004436DE" w:rsidRPr="007852DA">
        <w:rPr>
          <w:rFonts w:ascii="Book Antiqua" w:hAnsi="Book Antiqua"/>
          <w:color w:val="000000" w:themeColor="text1"/>
          <w:sz w:val="24"/>
        </w:rPr>
        <w:t xml:space="preserve"> M, </w:t>
      </w:r>
      <w:proofErr w:type="spellStart"/>
      <w:r w:rsidR="004436DE" w:rsidRPr="007852DA">
        <w:rPr>
          <w:rFonts w:ascii="Book Antiqua" w:hAnsi="Book Antiqua"/>
          <w:color w:val="000000" w:themeColor="text1"/>
          <w:sz w:val="24"/>
        </w:rPr>
        <w:t>Poewe</w:t>
      </w:r>
      <w:proofErr w:type="spellEnd"/>
      <w:r w:rsidR="004436DE" w:rsidRPr="007852DA">
        <w:rPr>
          <w:rFonts w:ascii="Book Antiqua" w:hAnsi="Book Antiqua"/>
          <w:color w:val="000000" w:themeColor="text1"/>
          <w:sz w:val="24"/>
        </w:rPr>
        <w:t xml:space="preserve"> W, </w:t>
      </w:r>
      <w:proofErr w:type="spellStart"/>
      <w:r w:rsidR="004436DE" w:rsidRPr="007852DA">
        <w:rPr>
          <w:rFonts w:ascii="Book Antiqua" w:hAnsi="Book Antiqua"/>
          <w:color w:val="000000" w:themeColor="text1"/>
          <w:sz w:val="24"/>
        </w:rPr>
        <w:t>Wenning</w:t>
      </w:r>
      <w:proofErr w:type="spellEnd"/>
      <w:r w:rsidR="004436DE" w:rsidRPr="007852DA">
        <w:rPr>
          <w:rFonts w:ascii="Book Antiqua" w:hAnsi="Book Antiqua"/>
          <w:color w:val="000000" w:themeColor="text1"/>
          <w:sz w:val="24"/>
        </w:rPr>
        <w:t xml:space="preserve"> GK. Progression of brain atrophy in multiple system atrophy. A longitudinal </w:t>
      </w:r>
      <w:r w:rsidR="004436DE" w:rsidRPr="007852DA">
        <w:rPr>
          <w:rFonts w:ascii="Book Antiqua" w:hAnsi="Book Antiqua"/>
          <w:color w:val="000000" w:themeColor="text1"/>
          <w:sz w:val="24"/>
        </w:rPr>
        <w:lastRenderedPageBreak/>
        <w:t xml:space="preserve">VBM study. </w:t>
      </w:r>
      <w:r w:rsidR="004436DE" w:rsidRPr="007852DA">
        <w:rPr>
          <w:rFonts w:ascii="Book Antiqua" w:hAnsi="Book Antiqua"/>
          <w:i/>
          <w:color w:val="000000" w:themeColor="text1"/>
          <w:sz w:val="24"/>
        </w:rPr>
        <w:t>J Neurol</w:t>
      </w:r>
      <w:r w:rsidR="004436DE" w:rsidRPr="007852DA">
        <w:rPr>
          <w:rFonts w:ascii="Book Antiqua" w:hAnsi="Book Antiqua"/>
          <w:color w:val="000000" w:themeColor="text1"/>
          <w:sz w:val="24"/>
        </w:rPr>
        <w:t xml:space="preserve"> 2007; </w:t>
      </w:r>
      <w:r w:rsidR="004436DE" w:rsidRPr="007852DA">
        <w:rPr>
          <w:rFonts w:ascii="Book Antiqua" w:hAnsi="Book Antiqua"/>
          <w:b/>
          <w:color w:val="000000" w:themeColor="text1"/>
          <w:sz w:val="24"/>
        </w:rPr>
        <w:t>254</w:t>
      </w:r>
      <w:r w:rsidR="004436DE" w:rsidRPr="007852DA">
        <w:rPr>
          <w:rFonts w:ascii="Book Antiqua" w:hAnsi="Book Antiqua"/>
          <w:color w:val="000000" w:themeColor="text1"/>
          <w:sz w:val="24"/>
        </w:rPr>
        <w:t>: 191-196 [PMID: 17334661 DOI: 10.1007/s00415-006-0325-6]</w:t>
      </w:r>
    </w:p>
    <w:p w14:paraId="4DCFFE44" w14:textId="77777777" w:rsidR="004436DE" w:rsidRPr="007852DA" w:rsidRDefault="00041FB5"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39</w:t>
      </w:r>
      <w:r w:rsidR="004436DE" w:rsidRPr="007852DA">
        <w:rPr>
          <w:rFonts w:ascii="Book Antiqua" w:hAnsi="Book Antiqua"/>
          <w:color w:val="000000" w:themeColor="text1"/>
          <w:sz w:val="24"/>
        </w:rPr>
        <w:t xml:space="preserve"> </w:t>
      </w:r>
      <w:proofErr w:type="spellStart"/>
      <w:r w:rsidR="004436DE" w:rsidRPr="007852DA">
        <w:rPr>
          <w:rFonts w:ascii="Book Antiqua" w:hAnsi="Book Antiqua"/>
          <w:b/>
          <w:color w:val="000000" w:themeColor="text1"/>
          <w:sz w:val="24"/>
        </w:rPr>
        <w:t>Shigemoto</w:t>
      </w:r>
      <w:proofErr w:type="spellEnd"/>
      <w:r w:rsidR="004436DE" w:rsidRPr="007852DA">
        <w:rPr>
          <w:rFonts w:ascii="Book Antiqua" w:hAnsi="Book Antiqua"/>
          <w:b/>
          <w:color w:val="000000" w:themeColor="text1"/>
          <w:sz w:val="24"/>
        </w:rPr>
        <w:t xml:space="preserve"> Y</w:t>
      </w:r>
      <w:r w:rsidR="004436DE" w:rsidRPr="007852DA">
        <w:rPr>
          <w:rFonts w:ascii="Book Antiqua" w:hAnsi="Book Antiqua"/>
          <w:color w:val="000000" w:themeColor="text1"/>
          <w:sz w:val="24"/>
        </w:rPr>
        <w:t xml:space="preserve">, Matsuda H, </w:t>
      </w:r>
      <w:proofErr w:type="spellStart"/>
      <w:r w:rsidR="004436DE" w:rsidRPr="007852DA">
        <w:rPr>
          <w:rFonts w:ascii="Book Antiqua" w:hAnsi="Book Antiqua"/>
          <w:color w:val="000000" w:themeColor="text1"/>
          <w:sz w:val="24"/>
        </w:rPr>
        <w:t>Kamiya</w:t>
      </w:r>
      <w:proofErr w:type="spellEnd"/>
      <w:r w:rsidR="004436DE" w:rsidRPr="007852DA">
        <w:rPr>
          <w:rFonts w:ascii="Book Antiqua" w:hAnsi="Book Antiqua"/>
          <w:color w:val="000000" w:themeColor="text1"/>
          <w:sz w:val="24"/>
        </w:rPr>
        <w:t xml:space="preserve"> K, </w:t>
      </w:r>
      <w:proofErr w:type="spellStart"/>
      <w:r w:rsidR="004436DE" w:rsidRPr="007852DA">
        <w:rPr>
          <w:rFonts w:ascii="Book Antiqua" w:hAnsi="Book Antiqua"/>
          <w:color w:val="000000" w:themeColor="text1"/>
          <w:sz w:val="24"/>
        </w:rPr>
        <w:t>Maikusa</w:t>
      </w:r>
      <w:proofErr w:type="spellEnd"/>
      <w:r w:rsidR="004436DE" w:rsidRPr="007852DA">
        <w:rPr>
          <w:rFonts w:ascii="Book Antiqua" w:hAnsi="Book Antiqua"/>
          <w:color w:val="000000" w:themeColor="text1"/>
          <w:sz w:val="24"/>
        </w:rPr>
        <w:t xml:space="preserve"> N, Nakata Y, Ito K, Ota M, Matsunaga N, Sato N. In vivo evaluation of gray and white matter volume loss in the parkinsonian variant of multiple system atrophy using SPM8 plus DARTEL for VBM. </w:t>
      </w:r>
      <w:r w:rsidR="004436DE" w:rsidRPr="007852DA">
        <w:rPr>
          <w:rFonts w:ascii="Book Antiqua" w:hAnsi="Book Antiqua"/>
          <w:i/>
          <w:color w:val="000000" w:themeColor="text1"/>
          <w:sz w:val="24"/>
        </w:rPr>
        <w:t>Neuroimage Clin</w:t>
      </w:r>
      <w:r w:rsidR="004436DE" w:rsidRPr="007852DA">
        <w:rPr>
          <w:rFonts w:ascii="Book Antiqua" w:hAnsi="Book Antiqua"/>
          <w:color w:val="000000" w:themeColor="text1"/>
          <w:sz w:val="24"/>
        </w:rPr>
        <w:t xml:space="preserve"> 2013; </w:t>
      </w:r>
      <w:r w:rsidR="004436DE" w:rsidRPr="007852DA">
        <w:rPr>
          <w:rFonts w:ascii="Book Antiqua" w:hAnsi="Book Antiqua"/>
          <w:b/>
          <w:color w:val="000000" w:themeColor="text1"/>
          <w:sz w:val="24"/>
        </w:rPr>
        <w:t>2</w:t>
      </w:r>
      <w:r w:rsidR="004436DE" w:rsidRPr="007852DA">
        <w:rPr>
          <w:rFonts w:ascii="Book Antiqua" w:hAnsi="Book Antiqua"/>
          <w:color w:val="000000" w:themeColor="text1"/>
          <w:sz w:val="24"/>
        </w:rPr>
        <w:t>: 491-496 [PMID: 24179801 DOI: 10.1016/j.nicl.2013.03.017]</w:t>
      </w:r>
    </w:p>
    <w:p w14:paraId="3F5A4D65"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4</w:t>
      </w:r>
      <w:r w:rsidR="00041FB5" w:rsidRPr="007852DA">
        <w:rPr>
          <w:rFonts w:ascii="Book Antiqua" w:hAnsi="Book Antiqua"/>
          <w:color w:val="000000" w:themeColor="text1"/>
          <w:sz w:val="24"/>
        </w:rPr>
        <w:t>0</w:t>
      </w:r>
      <w:r w:rsidRPr="007852DA">
        <w:rPr>
          <w:rFonts w:ascii="Book Antiqua" w:hAnsi="Book Antiqua"/>
          <w:color w:val="000000" w:themeColor="text1"/>
          <w:sz w:val="24"/>
        </w:rPr>
        <w:t xml:space="preserve"> </w:t>
      </w:r>
      <w:proofErr w:type="spellStart"/>
      <w:r w:rsidRPr="007852DA">
        <w:rPr>
          <w:rFonts w:ascii="Book Antiqua" w:hAnsi="Book Antiqua"/>
          <w:b/>
          <w:color w:val="000000" w:themeColor="text1"/>
          <w:sz w:val="24"/>
        </w:rPr>
        <w:t>Joutsa</w:t>
      </w:r>
      <w:proofErr w:type="spellEnd"/>
      <w:r w:rsidRPr="007852DA">
        <w:rPr>
          <w:rFonts w:ascii="Book Antiqua" w:hAnsi="Book Antiqua"/>
          <w:b/>
          <w:color w:val="000000" w:themeColor="text1"/>
          <w:sz w:val="24"/>
        </w:rPr>
        <w:t xml:space="preserve"> J</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Gardberg</w:t>
      </w:r>
      <w:proofErr w:type="spellEnd"/>
      <w:r w:rsidRPr="007852DA">
        <w:rPr>
          <w:rFonts w:ascii="Book Antiqua" w:hAnsi="Book Antiqua"/>
          <w:color w:val="000000" w:themeColor="text1"/>
          <w:sz w:val="24"/>
        </w:rPr>
        <w:t xml:space="preserve"> M, </w:t>
      </w:r>
      <w:proofErr w:type="spellStart"/>
      <w:r w:rsidRPr="007852DA">
        <w:rPr>
          <w:rFonts w:ascii="Book Antiqua" w:hAnsi="Book Antiqua"/>
          <w:color w:val="000000" w:themeColor="text1"/>
          <w:sz w:val="24"/>
        </w:rPr>
        <w:t>Röyttä</w:t>
      </w:r>
      <w:proofErr w:type="spellEnd"/>
      <w:r w:rsidRPr="007852DA">
        <w:rPr>
          <w:rFonts w:ascii="Book Antiqua" w:hAnsi="Book Antiqua"/>
          <w:color w:val="000000" w:themeColor="text1"/>
          <w:sz w:val="24"/>
        </w:rPr>
        <w:t xml:space="preserve"> M, </w:t>
      </w:r>
      <w:proofErr w:type="spellStart"/>
      <w:r w:rsidRPr="007852DA">
        <w:rPr>
          <w:rFonts w:ascii="Book Antiqua" w:hAnsi="Book Antiqua"/>
          <w:color w:val="000000" w:themeColor="text1"/>
          <w:sz w:val="24"/>
        </w:rPr>
        <w:t>Kaasinen</w:t>
      </w:r>
      <w:proofErr w:type="spellEnd"/>
      <w:r w:rsidRPr="007852DA">
        <w:rPr>
          <w:rFonts w:ascii="Book Antiqua" w:hAnsi="Book Antiqua"/>
          <w:color w:val="000000" w:themeColor="text1"/>
          <w:sz w:val="24"/>
        </w:rPr>
        <w:t xml:space="preserve"> V. Diagnostic accuracy of parkinsonism syndromes by general neurologists. </w:t>
      </w:r>
      <w:r w:rsidRPr="007852DA">
        <w:rPr>
          <w:rFonts w:ascii="Book Antiqua" w:hAnsi="Book Antiqua"/>
          <w:i/>
          <w:color w:val="000000" w:themeColor="text1"/>
          <w:sz w:val="24"/>
        </w:rPr>
        <w:t xml:space="preserve">Parkinsonism </w:t>
      </w:r>
      <w:proofErr w:type="spellStart"/>
      <w:r w:rsidRPr="007852DA">
        <w:rPr>
          <w:rFonts w:ascii="Book Antiqua" w:hAnsi="Book Antiqua"/>
          <w:i/>
          <w:color w:val="000000" w:themeColor="text1"/>
          <w:sz w:val="24"/>
        </w:rPr>
        <w:t>Relat</w:t>
      </w:r>
      <w:proofErr w:type="spellEnd"/>
      <w:r w:rsidRPr="007852DA">
        <w:rPr>
          <w:rFonts w:ascii="Book Antiqua" w:hAnsi="Book Antiqua"/>
          <w:i/>
          <w:color w:val="000000" w:themeColor="text1"/>
          <w:sz w:val="24"/>
        </w:rPr>
        <w:t xml:space="preserve"> </w:t>
      </w:r>
      <w:proofErr w:type="spellStart"/>
      <w:r w:rsidRPr="007852DA">
        <w:rPr>
          <w:rFonts w:ascii="Book Antiqua" w:hAnsi="Book Antiqua"/>
          <w:i/>
          <w:color w:val="000000" w:themeColor="text1"/>
          <w:sz w:val="24"/>
        </w:rPr>
        <w:t>Disord</w:t>
      </w:r>
      <w:proofErr w:type="spellEnd"/>
      <w:r w:rsidRPr="007852DA">
        <w:rPr>
          <w:rFonts w:ascii="Book Antiqua" w:hAnsi="Book Antiqua"/>
          <w:color w:val="000000" w:themeColor="text1"/>
          <w:sz w:val="24"/>
        </w:rPr>
        <w:t xml:space="preserve"> 2014; </w:t>
      </w:r>
      <w:r w:rsidRPr="007852DA">
        <w:rPr>
          <w:rFonts w:ascii="Book Antiqua" w:hAnsi="Book Antiqua"/>
          <w:b/>
          <w:color w:val="000000" w:themeColor="text1"/>
          <w:sz w:val="24"/>
        </w:rPr>
        <w:t>20</w:t>
      </w:r>
      <w:r w:rsidRPr="007852DA">
        <w:rPr>
          <w:rFonts w:ascii="Book Antiqua" w:hAnsi="Book Antiqua"/>
          <w:color w:val="000000" w:themeColor="text1"/>
          <w:sz w:val="24"/>
        </w:rPr>
        <w:t>: 840-844 [PMID: 24816002 DOI: 10.1016/j.parkreldis.2014.04.019]</w:t>
      </w:r>
    </w:p>
    <w:p w14:paraId="0657FB9A"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4</w:t>
      </w:r>
      <w:r w:rsidR="00041FB5" w:rsidRPr="007852DA">
        <w:rPr>
          <w:rFonts w:ascii="Book Antiqua" w:hAnsi="Book Antiqua"/>
          <w:color w:val="000000" w:themeColor="text1"/>
          <w:sz w:val="24"/>
        </w:rPr>
        <w:t>1</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Coon EA</w:t>
      </w:r>
      <w:r w:rsidRPr="007852DA">
        <w:rPr>
          <w:rFonts w:ascii="Book Antiqua" w:hAnsi="Book Antiqua"/>
          <w:color w:val="000000" w:themeColor="text1"/>
          <w:sz w:val="24"/>
        </w:rPr>
        <w:t xml:space="preserve">, Sletten DM, Suarez MD, </w:t>
      </w:r>
      <w:proofErr w:type="spellStart"/>
      <w:r w:rsidRPr="007852DA">
        <w:rPr>
          <w:rFonts w:ascii="Book Antiqua" w:hAnsi="Book Antiqua"/>
          <w:color w:val="000000" w:themeColor="text1"/>
          <w:sz w:val="24"/>
        </w:rPr>
        <w:t>Mandrekar</w:t>
      </w:r>
      <w:proofErr w:type="spellEnd"/>
      <w:r w:rsidRPr="007852DA">
        <w:rPr>
          <w:rFonts w:ascii="Book Antiqua" w:hAnsi="Book Antiqua"/>
          <w:color w:val="000000" w:themeColor="text1"/>
          <w:sz w:val="24"/>
        </w:rPr>
        <w:t xml:space="preserve"> JN, </w:t>
      </w:r>
      <w:proofErr w:type="spellStart"/>
      <w:r w:rsidRPr="007852DA">
        <w:rPr>
          <w:rFonts w:ascii="Book Antiqua" w:hAnsi="Book Antiqua"/>
          <w:color w:val="000000" w:themeColor="text1"/>
          <w:sz w:val="24"/>
        </w:rPr>
        <w:t>Ahlskog</w:t>
      </w:r>
      <w:proofErr w:type="spellEnd"/>
      <w:r w:rsidRPr="007852DA">
        <w:rPr>
          <w:rFonts w:ascii="Book Antiqua" w:hAnsi="Book Antiqua"/>
          <w:color w:val="000000" w:themeColor="text1"/>
          <w:sz w:val="24"/>
        </w:rPr>
        <w:t xml:space="preserve"> JE, Bower JH, Matsumoto JY, Silber MH, </w:t>
      </w:r>
      <w:proofErr w:type="spellStart"/>
      <w:r w:rsidRPr="007852DA">
        <w:rPr>
          <w:rFonts w:ascii="Book Antiqua" w:hAnsi="Book Antiqua"/>
          <w:color w:val="000000" w:themeColor="text1"/>
          <w:sz w:val="24"/>
        </w:rPr>
        <w:t>Benarroch</w:t>
      </w:r>
      <w:proofErr w:type="spellEnd"/>
      <w:r w:rsidRPr="007852DA">
        <w:rPr>
          <w:rFonts w:ascii="Book Antiqua" w:hAnsi="Book Antiqua"/>
          <w:color w:val="000000" w:themeColor="text1"/>
          <w:sz w:val="24"/>
        </w:rPr>
        <w:t xml:space="preserve"> EE, </w:t>
      </w:r>
      <w:proofErr w:type="spellStart"/>
      <w:r w:rsidRPr="007852DA">
        <w:rPr>
          <w:rFonts w:ascii="Book Antiqua" w:hAnsi="Book Antiqua"/>
          <w:color w:val="000000" w:themeColor="text1"/>
          <w:sz w:val="24"/>
        </w:rPr>
        <w:t>Fealey</w:t>
      </w:r>
      <w:proofErr w:type="spellEnd"/>
      <w:r w:rsidRPr="007852DA">
        <w:rPr>
          <w:rFonts w:ascii="Book Antiqua" w:hAnsi="Book Antiqua"/>
          <w:color w:val="000000" w:themeColor="text1"/>
          <w:sz w:val="24"/>
        </w:rPr>
        <w:t xml:space="preserve"> RD, Sandroni P, Low PA, Singer W. Clinical features and autonomic testing predict survival in multiple system atrophy. </w:t>
      </w:r>
      <w:r w:rsidRPr="007852DA">
        <w:rPr>
          <w:rFonts w:ascii="Book Antiqua" w:hAnsi="Book Antiqua"/>
          <w:i/>
          <w:color w:val="000000" w:themeColor="text1"/>
          <w:sz w:val="24"/>
        </w:rPr>
        <w:t>Brain</w:t>
      </w:r>
      <w:r w:rsidRPr="007852DA">
        <w:rPr>
          <w:rFonts w:ascii="Book Antiqua" w:hAnsi="Book Antiqua"/>
          <w:color w:val="000000" w:themeColor="text1"/>
          <w:sz w:val="24"/>
        </w:rPr>
        <w:t xml:space="preserve"> 2015; </w:t>
      </w:r>
      <w:r w:rsidRPr="007852DA">
        <w:rPr>
          <w:rFonts w:ascii="Book Antiqua" w:hAnsi="Book Antiqua"/>
          <w:b/>
          <w:color w:val="000000" w:themeColor="text1"/>
          <w:sz w:val="24"/>
        </w:rPr>
        <w:t>138</w:t>
      </w:r>
      <w:r w:rsidRPr="007852DA">
        <w:rPr>
          <w:rFonts w:ascii="Book Antiqua" w:hAnsi="Book Antiqua"/>
          <w:color w:val="000000" w:themeColor="text1"/>
          <w:sz w:val="24"/>
        </w:rPr>
        <w:t>: 3623-3631 [PMID: 26369944 DOI: 10.1093/brain/awv274]</w:t>
      </w:r>
    </w:p>
    <w:p w14:paraId="785C0999"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4</w:t>
      </w:r>
      <w:r w:rsidR="00041FB5" w:rsidRPr="007852DA">
        <w:rPr>
          <w:rFonts w:ascii="Book Antiqua" w:hAnsi="Book Antiqua"/>
          <w:color w:val="000000" w:themeColor="text1"/>
          <w:sz w:val="24"/>
        </w:rPr>
        <w:t>2</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Yamamoto T</w:t>
      </w:r>
      <w:r w:rsidRPr="007852DA">
        <w:rPr>
          <w:rFonts w:ascii="Book Antiqua" w:hAnsi="Book Antiqua"/>
          <w:color w:val="000000" w:themeColor="text1"/>
          <w:sz w:val="24"/>
        </w:rPr>
        <w:t xml:space="preserve">, Yamanaka Y, Sugiyama A, Hirano S, Uchiyama T, </w:t>
      </w:r>
      <w:proofErr w:type="spellStart"/>
      <w:r w:rsidRPr="007852DA">
        <w:rPr>
          <w:rFonts w:ascii="Book Antiqua" w:hAnsi="Book Antiqua"/>
          <w:color w:val="000000" w:themeColor="text1"/>
          <w:sz w:val="24"/>
        </w:rPr>
        <w:t>Asahina</w:t>
      </w:r>
      <w:proofErr w:type="spellEnd"/>
      <w:r w:rsidRPr="007852DA">
        <w:rPr>
          <w:rFonts w:ascii="Book Antiqua" w:hAnsi="Book Antiqua"/>
          <w:color w:val="000000" w:themeColor="text1"/>
          <w:sz w:val="24"/>
        </w:rPr>
        <w:t xml:space="preserve"> M, </w:t>
      </w:r>
      <w:proofErr w:type="spellStart"/>
      <w:r w:rsidRPr="007852DA">
        <w:rPr>
          <w:rFonts w:ascii="Book Antiqua" w:hAnsi="Book Antiqua"/>
          <w:color w:val="000000" w:themeColor="text1"/>
          <w:sz w:val="24"/>
        </w:rPr>
        <w:t>Sakakibara</w:t>
      </w:r>
      <w:proofErr w:type="spellEnd"/>
      <w:r w:rsidRPr="007852DA">
        <w:rPr>
          <w:rFonts w:ascii="Book Antiqua" w:hAnsi="Book Antiqua"/>
          <w:color w:val="000000" w:themeColor="text1"/>
          <w:sz w:val="24"/>
        </w:rPr>
        <w:t xml:space="preserve"> R, </w:t>
      </w:r>
      <w:proofErr w:type="spellStart"/>
      <w:r w:rsidRPr="007852DA">
        <w:rPr>
          <w:rFonts w:ascii="Book Antiqua" w:hAnsi="Book Antiqua"/>
          <w:color w:val="000000" w:themeColor="text1"/>
          <w:sz w:val="24"/>
        </w:rPr>
        <w:t>Kuwabara</w:t>
      </w:r>
      <w:proofErr w:type="spellEnd"/>
      <w:r w:rsidRPr="007852DA">
        <w:rPr>
          <w:rFonts w:ascii="Book Antiqua" w:hAnsi="Book Antiqua"/>
          <w:color w:val="000000" w:themeColor="text1"/>
          <w:sz w:val="24"/>
        </w:rPr>
        <w:t xml:space="preserve"> S. The severity of motor dysfunctions and urinary dysfunction is not correlated in multiple system atrophy. </w:t>
      </w:r>
      <w:r w:rsidRPr="007852DA">
        <w:rPr>
          <w:rFonts w:ascii="Book Antiqua" w:hAnsi="Book Antiqua"/>
          <w:i/>
          <w:color w:val="000000" w:themeColor="text1"/>
          <w:sz w:val="24"/>
        </w:rPr>
        <w:t>J Neurol Sci</w:t>
      </w:r>
      <w:r w:rsidRPr="007852DA">
        <w:rPr>
          <w:rFonts w:ascii="Book Antiqua" w:hAnsi="Book Antiqua"/>
          <w:color w:val="000000" w:themeColor="text1"/>
          <w:sz w:val="24"/>
        </w:rPr>
        <w:t xml:space="preserve"> 2019; </w:t>
      </w:r>
      <w:r w:rsidRPr="007852DA">
        <w:rPr>
          <w:rFonts w:ascii="Book Antiqua" w:hAnsi="Book Antiqua"/>
          <w:b/>
          <w:color w:val="000000" w:themeColor="text1"/>
          <w:sz w:val="24"/>
        </w:rPr>
        <w:t>400</w:t>
      </w:r>
      <w:r w:rsidRPr="007852DA">
        <w:rPr>
          <w:rFonts w:ascii="Book Antiqua" w:hAnsi="Book Antiqua"/>
          <w:color w:val="000000" w:themeColor="text1"/>
          <w:sz w:val="24"/>
        </w:rPr>
        <w:t>: 25-29 [PMID: 30884369 DOI: 10.1016/j.jns.2019.03.005]</w:t>
      </w:r>
    </w:p>
    <w:p w14:paraId="7DE93DCC"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4</w:t>
      </w:r>
      <w:r w:rsidR="00041FB5" w:rsidRPr="007852DA">
        <w:rPr>
          <w:rFonts w:ascii="Book Antiqua" w:hAnsi="Book Antiqua"/>
          <w:color w:val="000000" w:themeColor="text1"/>
          <w:sz w:val="24"/>
        </w:rPr>
        <w:t>3</w:t>
      </w:r>
      <w:r w:rsidRPr="007852DA">
        <w:rPr>
          <w:rFonts w:ascii="Book Antiqua" w:hAnsi="Book Antiqua"/>
          <w:color w:val="000000" w:themeColor="text1"/>
          <w:sz w:val="24"/>
        </w:rPr>
        <w:t xml:space="preserve"> </w:t>
      </w:r>
      <w:proofErr w:type="spellStart"/>
      <w:r w:rsidRPr="007852DA">
        <w:rPr>
          <w:rFonts w:ascii="Book Antiqua" w:hAnsi="Book Antiqua"/>
          <w:b/>
          <w:color w:val="000000" w:themeColor="text1"/>
          <w:sz w:val="24"/>
        </w:rPr>
        <w:t>Wenning</w:t>
      </w:r>
      <w:proofErr w:type="spellEnd"/>
      <w:r w:rsidRPr="007852DA">
        <w:rPr>
          <w:rFonts w:ascii="Book Antiqua" w:hAnsi="Book Antiqua"/>
          <w:b/>
          <w:color w:val="000000" w:themeColor="text1"/>
          <w:sz w:val="24"/>
        </w:rPr>
        <w:t xml:space="preserve"> GK</w:t>
      </w:r>
      <w:r w:rsidRPr="007852DA">
        <w:rPr>
          <w:rFonts w:ascii="Book Antiqua" w:hAnsi="Book Antiqua"/>
          <w:color w:val="000000" w:themeColor="text1"/>
          <w:sz w:val="24"/>
        </w:rPr>
        <w:t xml:space="preserve">, Ben </w:t>
      </w:r>
      <w:proofErr w:type="spellStart"/>
      <w:r w:rsidRPr="007852DA">
        <w:rPr>
          <w:rFonts w:ascii="Book Antiqua" w:hAnsi="Book Antiqua"/>
          <w:color w:val="000000" w:themeColor="text1"/>
          <w:sz w:val="24"/>
        </w:rPr>
        <w:t>Shlomo</w:t>
      </w:r>
      <w:proofErr w:type="spellEnd"/>
      <w:r w:rsidRPr="007852DA">
        <w:rPr>
          <w:rFonts w:ascii="Book Antiqua" w:hAnsi="Book Antiqua"/>
          <w:color w:val="000000" w:themeColor="text1"/>
          <w:sz w:val="24"/>
        </w:rPr>
        <w:t xml:space="preserve"> Y, </w:t>
      </w:r>
      <w:proofErr w:type="spellStart"/>
      <w:r w:rsidRPr="007852DA">
        <w:rPr>
          <w:rFonts w:ascii="Book Antiqua" w:hAnsi="Book Antiqua"/>
          <w:color w:val="000000" w:themeColor="text1"/>
          <w:sz w:val="24"/>
        </w:rPr>
        <w:t>Magalhães</w:t>
      </w:r>
      <w:proofErr w:type="spellEnd"/>
      <w:r w:rsidRPr="007852DA">
        <w:rPr>
          <w:rFonts w:ascii="Book Antiqua" w:hAnsi="Book Antiqua"/>
          <w:color w:val="000000" w:themeColor="text1"/>
          <w:sz w:val="24"/>
        </w:rPr>
        <w:t xml:space="preserve"> M, Daniel SE, Quinn NP. Clinical features and natural history of multiple system atrophy. An analysis of 100 cases. </w:t>
      </w:r>
      <w:r w:rsidRPr="007852DA">
        <w:rPr>
          <w:rFonts w:ascii="Book Antiqua" w:hAnsi="Book Antiqua"/>
          <w:i/>
          <w:color w:val="000000" w:themeColor="text1"/>
          <w:sz w:val="24"/>
        </w:rPr>
        <w:t>Brain</w:t>
      </w:r>
      <w:r w:rsidRPr="007852DA">
        <w:rPr>
          <w:rFonts w:ascii="Book Antiqua" w:hAnsi="Book Antiqua"/>
          <w:color w:val="000000" w:themeColor="text1"/>
          <w:sz w:val="24"/>
        </w:rPr>
        <w:t xml:space="preserve"> 1994; </w:t>
      </w:r>
      <w:r w:rsidRPr="007852DA">
        <w:rPr>
          <w:rFonts w:ascii="Book Antiqua" w:hAnsi="Book Antiqua"/>
          <w:b/>
          <w:color w:val="000000" w:themeColor="text1"/>
          <w:sz w:val="24"/>
        </w:rPr>
        <w:t>117 (Pt 4)</w:t>
      </w:r>
      <w:r w:rsidRPr="007852DA">
        <w:rPr>
          <w:rFonts w:ascii="Book Antiqua" w:hAnsi="Book Antiqua"/>
          <w:color w:val="000000" w:themeColor="text1"/>
          <w:sz w:val="24"/>
        </w:rPr>
        <w:t>: 835-845 [PMID: 7922469 DOI: 10.1093/brain/117.4.835]</w:t>
      </w:r>
    </w:p>
    <w:p w14:paraId="77F4A7D4"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4</w:t>
      </w:r>
      <w:r w:rsidR="00041FB5" w:rsidRPr="007852DA">
        <w:rPr>
          <w:rFonts w:ascii="Book Antiqua" w:hAnsi="Book Antiqua"/>
          <w:color w:val="000000" w:themeColor="text1"/>
          <w:sz w:val="24"/>
        </w:rPr>
        <w:t>4</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Ben-</w:t>
      </w:r>
      <w:proofErr w:type="spellStart"/>
      <w:r w:rsidRPr="007852DA">
        <w:rPr>
          <w:rFonts w:ascii="Book Antiqua" w:hAnsi="Book Antiqua"/>
          <w:b/>
          <w:color w:val="000000" w:themeColor="text1"/>
          <w:sz w:val="24"/>
        </w:rPr>
        <w:t>Shlomo</w:t>
      </w:r>
      <w:proofErr w:type="spellEnd"/>
      <w:r w:rsidRPr="007852DA">
        <w:rPr>
          <w:rFonts w:ascii="Book Antiqua" w:hAnsi="Book Antiqua"/>
          <w:b/>
          <w:color w:val="000000" w:themeColor="text1"/>
          <w:sz w:val="24"/>
        </w:rPr>
        <w:t xml:space="preserve"> Y</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Wenning</w:t>
      </w:r>
      <w:proofErr w:type="spellEnd"/>
      <w:r w:rsidRPr="007852DA">
        <w:rPr>
          <w:rFonts w:ascii="Book Antiqua" w:hAnsi="Book Antiqua"/>
          <w:color w:val="000000" w:themeColor="text1"/>
          <w:sz w:val="24"/>
        </w:rPr>
        <w:t xml:space="preserve"> GK, </w:t>
      </w:r>
      <w:proofErr w:type="spellStart"/>
      <w:r w:rsidRPr="007852DA">
        <w:rPr>
          <w:rFonts w:ascii="Book Antiqua" w:hAnsi="Book Antiqua"/>
          <w:color w:val="000000" w:themeColor="text1"/>
          <w:sz w:val="24"/>
        </w:rPr>
        <w:t>Tison</w:t>
      </w:r>
      <w:proofErr w:type="spellEnd"/>
      <w:r w:rsidRPr="007852DA">
        <w:rPr>
          <w:rFonts w:ascii="Book Antiqua" w:hAnsi="Book Antiqua"/>
          <w:color w:val="000000" w:themeColor="text1"/>
          <w:sz w:val="24"/>
        </w:rPr>
        <w:t xml:space="preserve"> F, Quinn NP. Survival of patients with pathologically proven multiple system atrophy: a meta-analysis. </w:t>
      </w:r>
      <w:r w:rsidRPr="007852DA">
        <w:rPr>
          <w:rFonts w:ascii="Book Antiqua" w:hAnsi="Book Antiqua"/>
          <w:i/>
          <w:color w:val="000000" w:themeColor="text1"/>
          <w:sz w:val="24"/>
        </w:rPr>
        <w:t>Neurology</w:t>
      </w:r>
      <w:r w:rsidRPr="007852DA">
        <w:rPr>
          <w:rFonts w:ascii="Book Antiqua" w:hAnsi="Book Antiqua"/>
          <w:color w:val="000000" w:themeColor="text1"/>
          <w:sz w:val="24"/>
        </w:rPr>
        <w:t xml:space="preserve"> 1997; </w:t>
      </w:r>
      <w:r w:rsidRPr="007852DA">
        <w:rPr>
          <w:rFonts w:ascii="Book Antiqua" w:hAnsi="Book Antiqua"/>
          <w:b/>
          <w:color w:val="000000" w:themeColor="text1"/>
          <w:sz w:val="24"/>
        </w:rPr>
        <w:t>48</w:t>
      </w:r>
      <w:r w:rsidRPr="007852DA">
        <w:rPr>
          <w:rFonts w:ascii="Book Antiqua" w:hAnsi="Book Antiqua"/>
          <w:color w:val="000000" w:themeColor="text1"/>
          <w:sz w:val="24"/>
        </w:rPr>
        <w:t>: 384-393 [PMID: 9040727 DOI: 10.1212/wnl.48.2.384]</w:t>
      </w:r>
    </w:p>
    <w:p w14:paraId="7FD75F6E"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4</w:t>
      </w:r>
      <w:r w:rsidR="00041FB5" w:rsidRPr="007852DA">
        <w:rPr>
          <w:rFonts w:ascii="Book Antiqua" w:hAnsi="Book Antiqua"/>
          <w:color w:val="000000" w:themeColor="text1"/>
          <w:sz w:val="24"/>
        </w:rPr>
        <w:t>5</w:t>
      </w:r>
      <w:r w:rsidRPr="007852DA">
        <w:rPr>
          <w:rFonts w:ascii="Book Antiqua" w:hAnsi="Book Antiqua"/>
          <w:color w:val="000000" w:themeColor="text1"/>
          <w:sz w:val="24"/>
        </w:rPr>
        <w:t xml:space="preserve"> </w:t>
      </w:r>
      <w:proofErr w:type="spellStart"/>
      <w:r w:rsidRPr="007852DA">
        <w:rPr>
          <w:rFonts w:ascii="Book Antiqua" w:hAnsi="Book Antiqua"/>
          <w:b/>
          <w:color w:val="000000" w:themeColor="text1"/>
          <w:sz w:val="24"/>
        </w:rPr>
        <w:t>Klockgether</w:t>
      </w:r>
      <w:proofErr w:type="spellEnd"/>
      <w:r w:rsidRPr="007852DA">
        <w:rPr>
          <w:rFonts w:ascii="Book Antiqua" w:hAnsi="Book Antiqua"/>
          <w:b/>
          <w:color w:val="000000" w:themeColor="text1"/>
          <w:sz w:val="24"/>
        </w:rPr>
        <w:t xml:space="preserve"> T</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Lüdtke</w:t>
      </w:r>
      <w:proofErr w:type="spellEnd"/>
      <w:r w:rsidRPr="007852DA">
        <w:rPr>
          <w:rFonts w:ascii="Book Antiqua" w:hAnsi="Book Antiqua"/>
          <w:color w:val="000000" w:themeColor="text1"/>
          <w:sz w:val="24"/>
        </w:rPr>
        <w:t xml:space="preserve"> R, Kramer B, Abele M, </w:t>
      </w:r>
      <w:proofErr w:type="spellStart"/>
      <w:r w:rsidRPr="007852DA">
        <w:rPr>
          <w:rFonts w:ascii="Book Antiqua" w:hAnsi="Book Antiqua"/>
          <w:color w:val="000000" w:themeColor="text1"/>
          <w:sz w:val="24"/>
        </w:rPr>
        <w:t>Bürk</w:t>
      </w:r>
      <w:proofErr w:type="spellEnd"/>
      <w:r w:rsidRPr="007852DA">
        <w:rPr>
          <w:rFonts w:ascii="Book Antiqua" w:hAnsi="Book Antiqua"/>
          <w:color w:val="000000" w:themeColor="text1"/>
          <w:sz w:val="24"/>
        </w:rPr>
        <w:t xml:space="preserve"> K, </w:t>
      </w:r>
      <w:proofErr w:type="spellStart"/>
      <w:r w:rsidRPr="007852DA">
        <w:rPr>
          <w:rFonts w:ascii="Book Antiqua" w:hAnsi="Book Antiqua"/>
          <w:color w:val="000000" w:themeColor="text1"/>
          <w:sz w:val="24"/>
        </w:rPr>
        <w:t>Schöls</w:t>
      </w:r>
      <w:proofErr w:type="spellEnd"/>
      <w:r w:rsidRPr="007852DA">
        <w:rPr>
          <w:rFonts w:ascii="Book Antiqua" w:hAnsi="Book Antiqua"/>
          <w:color w:val="000000" w:themeColor="text1"/>
          <w:sz w:val="24"/>
        </w:rPr>
        <w:t xml:space="preserve"> L, </w:t>
      </w:r>
      <w:proofErr w:type="spellStart"/>
      <w:r w:rsidRPr="007852DA">
        <w:rPr>
          <w:rFonts w:ascii="Book Antiqua" w:hAnsi="Book Antiqua"/>
          <w:color w:val="000000" w:themeColor="text1"/>
          <w:sz w:val="24"/>
        </w:rPr>
        <w:t>Riess</w:t>
      </w:r>
      <w:proofErr w:type="spellEnd"/>
      <w:r w:rsidRPr="007852DA">
        <w:rPr>
          <w:rFonts w:ascii="Book Antiqua" w:hAnsi="Book Antiqua"/>
          <w:color w:val="000000" w:themeColor="text1"/>
          <w:sz w:val="24"/>
        </w:rPr>
        <w:t xml:space="preserve"> O, </w:t>
      </w:r>
      <w:proofErr w:type="spellStart"/>
      <w:r w:rsidRPr="007852DA">
        <w:rPr>
          <w:rFonts w:ascii="Book Antiqua" w:hAnsi="Book Antiqua"/>
          <w:color w:val="000000" w:themeColor="text1"/>
          <w:sz w:val="24"/>
        </w:rPr>
        <w:t>Laccone</w:t>
      </w:r>
      <w:proofErr w:type="spellEnd"/>
      <w:r w:rsidRPr="007852DA">
        <w:rPr>
          <w:rFonts w:ascii="Book Antiqua" w:hAnsi="Book Antiqua"/>
          <w:color w:val="000000" w:themeColor="text1"/>
          <w:sz w:val="24"/>
        </w:rPr>
        <w:t xml:space="preserve"> F, </w:t>
      </w:r>
      <w:proofErr w:type="spellStart"/>
      <w:r w:rsidRPr="007852DA">
        <w:rPr>
          <w:rFonts w:ascii="Book Antiqua" w:hAnsi="Book Antiqua"/>
          <w:color w:val="000000" w:themeColor="text1"/>
          <w:sz w:val="24"/>
        </w:rPr>
        <w:t>Boesch</w:t>
      </w:r>
      <w:proofErr w:type="spellEnd"/>
      <w:r w:rsidRPr="007852DA">
        <w:rPr>
          <w:rFonts w:ascii="Book Antiqua" w:hAnsi="Book Antiqua"/>
          <w:color w:val="000000" w:themeColor="text1"/>
          <w:sz w:val="24"/>
        </w:rPr>
        <w:t xml:space="preserve"> S, Lopes-</w:t>
      </w:r>
      <w:proofErr w:type="spellStart"/>
      <w:r w:rsidRPr="007852DA">
        <w:rPr>
          <w:rFonts w:ascii="Book Antiqua" w:hAnsi="Book Antiqua"/>
          <w:color w:val="000000" w:themeColor="text1"/>
          <w:sz w:val="24"/>
        </w:rPr>
        <w:t>Cendes</w:t>
      </w:r>
      <w:proofErr w:type="spellEnd"/>
      <w:r w:rsidRPr="007852DA">
        <w:rPr>
          <w:rFonts w:ascii="Book Antiqua" w:hAnsi="Book Antiqua"/>
          <w:color w:val="000000" w:themeColor="text1"/>
          <w:sz w:val="24"/>
        </w:rPr>
        <w:t xml:space="preserve"> I, Brice A, </w:t>
      </w:r>
      <w:proofErr w:type="spellStart"/>
      <w:r w:rsidRPr="007852DA">
        <w:rPr>
          <w:rFonts w:ascii="Book Antiqua" w:hAnsi="Book Antiqua"/>
          <w:color w:val="000000" w:themeColor="text1"/>
          <w:sz w:val="24"/>
        </w:rPr>
        <w:t>Inzelberg</w:t>
      </w:r>
      <w:proofErr w:type="spellEnd"/>
      <w:r w:rsidRPr="007852DA">
        <w:rPr>
          <w:rFonts w:ascii="Book Antiqua" w:hAnsi="Book Antiqua"/>
          <w:color w:val="000000" w:themeColor="text1"/>
          <w:sz w:val="24"/>
        </w:rPr>
        <w:t xml:space="preserve"> R, </w:t>
      </w:r>
      <w:proofErr w:type="spellStart"/>
      <w:r w:rsidRPr="007852DA">
        <w:rPr>
          <w:rFonts w:ascii="Book Antiqua" w:hAnsi="Book Antiqua"/>
          <w:color w:val="000000" w:themeColor="text1"/>
          <w:sz w:val="24"/>
        </w:rPr>
        <w:t>Zilber</w:t>
      </w:r>
      <w:proofErr w:type="spellEnd"/>
      <w:r w:rsidRPr="007852DA">
        <w:rPr>
          <w:rFonts w:ascii="Book Antiqua" w:hAnsi="Book Antiqua"/>
          <w:color w:val="000000" w:themeColor="text1"/>
          <w:sz w:val="24"/>
        </w:rPr>
        <w:t xml:space="preserve"> N, </w:t>
      </w:r>
      <w:proofErr w:type="spellStart"/>
      <w:r w:rsidRPr="007852DA">
        <w:rPr>
          <w:rFonts w:ascii="Book Antiqua" w:hAnsi="Book Antiqua"/>
          <w:color w:val="000000" w:themeColor="text1"/>
          <w:sz w:val="24"/>
        </w:rPr>
        <w:t>Dichgans</w:t>
      </w:r>
      <w:proofErr w:type="spellEnd"/>
      <w:r w:rsidRPr="007852DA">
        <w:rPr>
          <w:rFonts w:ascii="Book Antiqua" w:hAnsi="Book Antiqua"/>
          <w:color w:val="000000" w:themeColor="text1"/>
          <w:sz w:val="24"/>
        </w:rPr>
        <w:t xml:space="preserve"> J. The natural history of degenerative ataxia: a retrospective study in 466 </w:t>
      </w:r>
      <w:r w:rsidRPr="007852DA">
        <w:rPr>
          <w:rFonts w:ascii="Book Antiqua" w:hAnsi="Book Antiqua"/>
          <w:color w:val="000000" w:themeColor="text1"/>
          <w:sz w:val="24"/>
        </w:rPr>
        <w:lastRenderedPageBreak/>
        <w:t xml:space="preserve">patients. </w:t>
      </w:r>
      <w:r w:rsidRPr="007852DA">
        <w:rPr>
          <w:rFonts w:ascii="Book Antiqua" w:hAnsi="Book Antiqua"/>
          <w:i/>
          <w:color w:val="000000" w:themeColor="text1"/>
          <w:sz w:val="24"/>
        </w:rPr>
        <w:t>Brain</w:t>
      </w:r>
      <w:r w:rsidRPr="007852DA">
        <w:rPr>
          <w:rFonts w:ascii="Book Antiqua" w:hAnsi="Book Antiqua"/>
          <w:color w:val="000000" w:themeColor="text1"/>
          <w:sz w:val="24"/>
        </w:rPr>
        <w:t xml:space="preserve"> 1998; </w:t>
      </w:r>
      <w:r w:rsidRPr="007852DA">
        <w:rPr>
          <w:rFonts w:ascii="Book Antiqua" w:hAnsi="Book Antiqua"/>
          <w:b/>
          <w:color w:val="000000" w:themeColor="text1"/>
          <w:sz w:val="24"/>
        </w:rPr>
        <w:t>121 (Pt 4)</w:t>
      </w:r>
      <w:r w:rsidRPr="007852DA">
        <w:rPr>
          <w:rFonts w:ascii="Book Antiqua" w:hAnsi="Book Antiqua"/>
          <w:color w:val="000000" w:themeColor="text1"/>
          <w:sz w:val="24"/>
        </w:rPr>
        <w:t>: 589-600 [PMID: 9577387 DOI: 10.1093/brain/121.4.589]</w:t>
      </w:r>
    </w:p>
    <w:p w14:paraId="04750310"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4</w:t>
      </w:r>
      <w:r w:rsidR="00041FB5" w:rsidRPr="007852DA">
        <w:rPr>
          <w:rFonts w:ascii="Book Antiqua" w:hAnsi="Book Antiqua"/>
          <w:color w:val="000000" w:themeColor="text1"/>
          <w:sz w:val="24"/>
        </w:rPr>
        <w:t>6</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O'Sullivan SS</w:t>
      </w:r>
      <w:r w:rsidRPr="007852DA">
        <w:rPr>
          <w:rFonts w:ascii="Book Antiqua" w:hAnsi="Book Antiqua"/>
          <w:color w:val="000000" w:themeColor="text1"/>
          <w:sz w:val="24"/>
        </w:rPr>
        <w:t xml:space="preserve">, Massey LA, Williams DR, </w:t>
      </w:r>
      <w:proofErr w:type="spellStart"/>
      <w:r w:rsidRPr="007852DA">
        <w:rPr>
          <w:rFonts w:ascii="Book Antiqua" w:hAnsi="Book Antiqua"/>
          <w:color w:val="000000" w:themeColor="text1"/>
          <w:sz w:val="24"/>
        </w:rPr>
        <w:t>Silveira</w:t>
      </w:r>
      <w:proofErr w:type="spellEnd"/>
      <w:r w:rsidRPr="007852DA">
        <w:rPr>
          <w:rFonts w:ascii="Book Antiqua" w:hAnsi="Book Antiqua"/>
          <w:color w:val="000000" w:themeColor="text1"/>
          <w:sz w:val="24"/>
        </w:rPr>
        <w:t xml:space="preserve">-Moriyama L, </w:t>
      </w:r>
      <w:proofErr w:type="spellStart"/>
      <w:r w:rsidRPr="007852DA">
        <w:rPr>
          <w:rFonts w:ascii="Book Antiqua" w:hAnsi="Book Antiqua"/>
          <w:color w:val="000000" w:themeColor="text1"/>
          <w:sz w:val="24"/>
        </w:rPr>
        <w:t>Kempster</w:t>
      </w:r>
      <w:proofErr w:type="spellEnd"/>
      <w:r w:rsidRPr="007852DA">
        <w:rPr>
          <w:rFonts w:ascii="Book Antiqua" w:hAnsi="Book Antiqua"/>
          <w:color w:val="000000" w:themeColor="text1"/>
          <w:sz w:val="24"/>
        </w:rPr>
        <w:t xml:space="preserve"> PA, Holton JL, </w:t>
      </w:r>
      <w:proofErr w:type="spellStart"/>
      <w:r w:rsidRPr="007852DA">
        <w:rPr>
          <w:rFonts w:ascii="Book Antiqua" w:hAnsi="Book Antiqua"/>
          <w:color w:val="000000" w:themeColor="text1"/>
          <w:sz w:val="24"/>
        </w:rPr>
        <w:t>Revesz</w:t>
      </w:r>
      <w:proofErr w:type="spellEnd"/>
      <w:r w:rsidRPr="007852DA">
        <w:rPr>
          <w:rFonts w:ascii="Book Antiqua" w:hAnsi="Book Antiqua"/>
          <w:color w:val="000000" w:themeColor="text1"/>
          <w:sz w:val="24"/>
        </w:rPr>
        <w:t xml:space="preserve"> T, Lees AJ. Clinical outcomes of progressive supranuclear palsy and multiple system atrophy. </w:t>
      </w:r>
      <w:r w:rsidRPr="007852DA">
        <w:rPr>
          <w:rFonts w:ascii="Book Antiqua" w:hAnsi="Book Antiqua"/>
          <w:i/>
          <w:color w:val="000000" w:themeColor="text1"/>
          <w:sz w:val="24"/>
        </w:rPr>
        <w:t>Brain</w:t>
      </w:r>
      <w:r w:rsidRPr="007852DA">
        <w:rPr>
          <w:rFonts w:ascii="Book Antiqua" w:hAnsi="Book Antiqua"/>
          <w:color w:val="000000" w:themeColor="text1"/>
          <w:sz w:val="24"/>
        </w:rPr>
        <w:t xml:space="preserve"> 2008; </w:t>
      </w:r>
      <w:r w:rsidRPr="007852DA">
        <w:rPr>
          <w:rFonts w:ascii="Book Antiqua" w:hAnsi="Book Antiqua"/>
          <w:b/>
          <w:color w:val="000000" w:themeColor="text1"/>
          <w:sz w:val="24"/>
        </w:rPr>
        <w:t>131</w:t>
      </w:r>
      <w:r w:rsidRPr="007852DA">
        <w:rPr>
          <w:rFonts w:ascii="Book Antiqua" w:hAnsi="Book Antiqua"/>
          <w:color w:val="000000" w:themeColor="text1"/>
          <w:sz w:val="24"/>
        </w:rPr>
        <w:t>: 1362-1372 [PMID: 18385183 DOI: 10.1093/brain/awn065]</w:t>
      </w:r>
    </w:p>
    <w:p w14:paraId="18033948"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4</w:t>
      </w:r>
      <w:r w:rsidR="00041FB5" w:rsidRPr="007852DA">
        <w:rPr>
          <w:rFonts w:ascii="Book Antiqua" w:hAnsi="Book Antiqua"/>
          <w:color w:val="000000" w:themeColor="text1"/>
          <w:sz w:val="24"/>
        </w:rPr>
        <w:t>7</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Figueroa JJ</w:t>
      </w:r>
      <w:r w:rsidRPr="007852DA">
        <w:rPr>
          <w:rFonts w:ascii="Book Antiqua" w:hAnsi="Book Antiqua"/>
          <w:color w:val="000000" w:themeColor="text1"/>
          <w:sz w:val="24"/>
        </w:rPr>
        <w:t xml:space="preserve">, Singer W, </w:t>
      </w:r>
      <w:proofErr w:type="spellStart"/>
      <w:r w:rsidRPr="007852DA">
        <w:rPr>
          <w:rFonts w:ascii="Book Antiqua" w:hAnsi="Book Antiqua"/>
          <w:color w:val="000000" w:themeColor="text1"/>
          <w:sz w:val="24"/>
        </w:rPr>
        <w:t>Parsaik</w:t>
      </w:r>
      <w:proofErr w:type="spellEnd"/>
      <w:r w:rsidRPr="007852DA">
        <w:rPr>
          <w:rFonts w:ascii="Book Antiqua" w:hAnsi="Book Antiqua"/>
          <w:color w:val="000000" w:themeColor="text1"/>
          <w:sz w:val="24"/>
        </w:rPr>
        <w:t xml:space="preserve"> A, </w:t>
      </w:r>
      <w:proofErr w:type="spellStart"/>
      <w:r w:rsidRPr="007852DA">
        <w:rPr>
          <w:rFonts w:ascii="Book Antiqua" w:hAnsi="Book Antiqua"/>
          <w:color w:val="000000" w:themeColor="text1"/>
          <w:sz w:val="24"/>
        </w:rPr>
        <w:t>Benarroch</w:t>
      </w:r>
      <w:proofErr w:type="spellEnd"/>
      <w:r w:rsidRPr="007852DA">
        <w:rPr>
          <w:rFonts w:ascii="Book Antiqua" w:hAnsi="Book Antiqua"/>
          <w:color w:val="000000" w:themeColor="text1"/>
          <w:sz w:val="24"/>
        </w:rPr>
        <w:t xml:space="preserve"> EE, </w:t>
      </w:r>
      <w:proofErr w:type="spellStart"/>
      <w:r w:rsidRPr="007852DA">
        <w:rPr>
          <w:rFonts w:ascii="Book Antiqua" w:hAnsi="Book Antiqua"/>
          <w:color w:val="000000" w:themeColor="text1"/>
          <w:sz w:val="24"/>
        </w:rPr>
        <w:t>Ahlskog</w:t>
      </w:r>
      <w:proofErr w:type="spellEnd"/>
      <w:r w:rsidRPr="007852DA">
        <w:rPr>
          <w:rFonts w:ascii="Book Antiqua" w:hAnsi="Book Antiqua"/>
          <w:color w:val="000000" w:themeColor="text1"/>
          <w:sz w:val="24"/>
        </w:rPr>
        <w:t xml:space="preserve"> JE, </w:t>
      </w:r>
      <w:proofErr w:type="spellStart"/>
      <w:r w:rsidRPr="007852DA">
        <w:rPr>
          <w:rFonts w:ascii="Book Antiqua" w:hAnsi="Book Antiqua"/>
          <w:color w:val="000000" w:themeColor="text1"/>
          <w:sz w:val="24"/>
        </w:rPr>
        <w:t>Fealey</w:t>
      </w:r>
      <w:proofErr w:type="spellEnd"/>
      <w:r w:rsidRPr="007852DA">
        <w:rPr>
          <w:rFonts w:ascii="Book Antiqua" w:hAnsi="Book Antiqua"/>
          <w:color w:val="000000" w:themeColor="text1"/>
          <w:sz w:val="24"/>
        </w:rPr>
        <w:t xml:space="preserve"> RD, </w:t>
      </w:r>
      <w:proofErr w:type="spellStart"/>
      <w:r w:rsidRPr="007852DA">
        <w:rPr>
          <w:rFonts w:ascii="Book Antiqua" w:hAnsi="Book Antiqua"/>
          <w:color w:val="000000" w:themeColor="text1"/>
          <w:sz w:val="24"/>
        </w:rPr>
        <w:t>Parisi</w:t>
      </w:r>
      <w:proofErr w:type="spellEnd"/>
      <w:r w:rsidRPr="007852DA">
        <w:rPr>
          <w:rFonts w:ascii="Book Antiqua" w:hAnsi="Book Antiqua"/>
          <w:color w:val="000000" w:themeColor="text1"/>
          <w:sz w:val="24"/>
        </w:rPr>
        <w:t xml:space="preserve"> JE, Sandroni P, </w:t>
      </w:r>
      <w:proofErr w:type="spellStart"/>
      <w:r w:rsidRPr="007852DA">
        <w:rPr>
          <w:rFonts w:ascii="Book Antiqua" w:hAnsi="Book Antiqua"/>
          <w:color w:val="000000" w:themeColor="text1"/>
          <w:sz w:val="24"/>
        </w:rPr>
        <w:t>Mandrekar</w:t>
      </w:r>
      <w:proofErr w:type="spellEnd"/>
      <w:r w:rsidRPr="007852DA">
        <w:rPr>
          <w:rFonts w:ascii="Book Antiqua" w:hAnsi="Book Antiqua"/>
          <w:color w:val="000000" w:themeColor="text1"/>
          <w:sz w:val="24"/>
        </w:rPr>
        <w:t xml:space="preserve"> J, </w:t>
      </w:r>
      <w:proofErr w:type="spellStart"/>
      <w:r w:rsidRPr="007852DA">
        <w:rPr>
          <w:rFonts w:ascii="Book Antiqua" w:hAnsi="Book Antiqua"/>
          <w:color w:val="000000" w:themeColor="text1"/>
          <w:sz w:val="24"/>
        </w:rPr>
        <w:t>Iodice</w:t>
      </w:r>
      <w:proofErr w:type="spellEnd"/>
      <w:r w:rsidRPr="007852DA">
        <w:rPr>
          <w:rFonts w:ascii="Book Antiqua" w:hAnsi="Book Antiqua"/>
          <w:color w:val="000000" w:themeColor="text1"/>
          <w:sz w:val="24"/>
        </w:rPr>
        <w:t xml:space="preserve"> V, Low PA, Bower JH. Multiple system atrophy: prognostic indicators of survival. </w:t>
      </w:r>
      <w:proofErr w:type="spellStart"/>
      <w:r w:rsidRPr="007852DA">
        <w:rPr>
          <w:rFonts w:ascii="Book Antiqua" w:hAnsi="Book Antiqua"/>
          <w:i/>
          <w:color w:val="000000" w:themeColor="text1"/>
          <w:sz w:val="24"/>
        </w:rPr>
        <w:t>Mov</w:t>
      </w:r>
      <w:proofErr w:type="spellEnd"/>
      <w:r w:rsidRPr="007852DA">
        <w:rPr>
          <w:rFonts w:ascii="Book Antiqua" w:hAnsi="Book Antiqua"/>
          <w:i/>
          <w:color w:val="000000" w:themeColor="text1"/>
          <w:sz w:val="24"/>
        </w:rPr>
        <w:t xml:space="preserve"> </w:t>
      </w:r>
      <w:proofErr w:type="spellStart"/>
      <w:r w:rsidRPr="007852DA">
        <w:rPr>
          <w:rFonts w:ascii="Book Antiqua" w:hAnsi="Book Antiqua"/>
          <w:i/>
          <w:color w:val="000000" w:themeColor="text1"/>
          <w:sz w:val="24"/>
        </w:rPr>
        <w:t>Disord</w:t>
      </w:r>
      <w:proofErr w:type="spellEnd"/>
      <w:r w:rsidRPr="007852DA">
        <w:rPr>
          <w:rFonts w:ascii="Book Antiqua" w:hAnsi="Book Antiqua"/>
          <w:color w:val="000000" w:themeColor="text1"/>
          <w:sz w:val="24"/>
        </w:rPr>
        <w:t xml:space="preserve"> 2014; </w:t>
      </w:r>
      <w:r w:rsidRPr="007852DA">
        <w:rPr>
          <w:rFonts w:ascii="Book Antiqua" w:hAnsi="Book Antiqua"/>
          <w:b/>
          <w:color w:val="000000" w:themeColor="text1"/>
          <w:sz w:val="24"/>
        </w:rPr>
        <w:t>29</w:t>
      </w:r>
      <w:r w:rsidRPr="007852DA">
        <w:rPr>
          <w:rFonts w:ascii="Book Antiqua" w:hAnsi="Book Antiqua"/>
          <w:color w:val="000000" w:themeColor="text1"/>
          <w:sz w:val="24"/>
        </w:rPr>
        <w:t>: 1151-1157 [PMID: 24909319 DOI: 10.1002/mds.25927]</w:t>
      </w:r>
    </w:p>
    <w:p w14:paraId="4EB94909" w14:textId="77777777" w:rsidR="004436DE" w:rsidRPr="007852DA" w:rsidRDefault="00041FB5"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48</w:t>
      </w:r>
      <w:r w:rsidR="004436DE" w:rsidRPr="007852DA">
        <w:rPr>
          <w:rFonts w:ascii="Book Antiqua" w:hAnsi="Book Antiqua"/>
          <w:color w:val="000000" w:themeColor="text1"/>
          <w:sz w:val="24"/>
        </w:rPr>
        <w:t xml:space="preserve"> </w:t>
      </w:r>
      <w:proofErr w:type="spellStart"/>
      <w:r w:rsidR="004436DE" w:rsidRPr="007852DA">
        <w:rPr>
          <w:rFonts w:ascii="Book Antiqua" w:hAnsi="Book Antiqua"/>
          <w:b/>
          <w:color w:val="000000" w:themeColor="text1"/>
          <w:sz w:val="24"/>
        </w:rPr>
        <w:t>Schrag</w:t>
      </w:r>
      <w:proofErr w:type="spellEnd"/>
      <w:r w:rsidR="004436DE" w:rsidRPr="007852DA">
        <w:rPr>
          <w:rFonts w:ascii="Book Antiqua" w:hAnsi="Book Antiqua"/>
          <w:b/>
          <w:color w:val="000000" w:themeColor="text1"/>
          <w:sz w:val="24"/>
        </w:rPr>
        <w:t xml:space="preserve"> A</w:t>
      </w:r>
      <w:r w:rsidR="004436DE" w:rsidRPr="007852DA">
        <w:rPr>
          <w:rFonts w:ascii="Book Antiqua" w:hAnsi="Book Antiqua"/>
          <w:color w:val="000000" w:themeColor="text1"/>
          <w:sz w:val="24"/>
        </w:rPr>
        <w:t xml:space="preserve">, </w:t>
      </w:r>
      <w:proofErr w:type="spellStart"/>
      <w:r w:rsidR="004436DE" w:rsidRPr="007852DA">
        <w:rPr>
          <w:rFonts w:ascii="Book Antiqua" w:hAnsi="Book Antiqua"/>
          <w:color w:val="000000" w:themeColor="text1"/>
          <w:sz w:val="24"/>
        </w:rPr>
        <w:t>Selai</w:t>
      </w:r>
      <w:proofErr w:type="spellEnd"/>
      <w:r w:rsidR="004436DE" w:rsidRPr="007852DA">
        <w:rPr>
          <w:rFonts w:ascii="Book Antiqua" w:hAnsi="Book Antiqua"/>
          <w:color w:val="000000" w:themeColor="text1"/>
          <w:sz w:val="24"/>
        </w:rPr>
        <w:t xml:space="preserve"> C, Mathias C, Low P, Hobart J, Brady N, Quinn NP. Measuring health-related quality of life in MSA: the MSA-QoL. </w:t>
      </w:r>
      <w:proofErr w:type="spellStart"/>
      <w:r w:rsidR="004436DE" w:rsidRPr="007852DA">
        <w:rPr>
          <w:rFonts w:ascii="Book Antiqua" w:hAnsi="Book Antiqua"/>
          <w:i/>
          <w:color w:val="000000" w:themeColor="text1"/>
          <w:sz w:val="24"/>
        </w:rPr>
        <w:t>Mov</w:t>
      </w:r>
      <w:proofErr w:type="spellEnd"/>
      <w:r w:rsidR="004436DE" w:rsidRPr="007852DA">
        <w:rPr>
          <w:rFonts w:ascii="Book Antiqua" w:hAnsi="Book Antiqua"/>
          <w:i/>
          <w:color w:val="000000" w:themeColor="text1"/>
          <w:sz w:val="24"/>
        </w:rPr>
        <w:t xml:space="preserve"> </w:t>
      </w:r>
      <w:proofErr w:type="spellStart"/>
      <w:r w:rsidR="004436DE" w:rsidRPr="007852DA">
        <w:rPr>
          <w:rFonts w:ascii="Book Antiqua" w:hAnsi="Book Antiqua"/>
          <w:i/>
          <w:color w:val="000000" w:themeColor="text1"/>
          <w:sz w:val="24"/>
        </w:rPr>
        <w:t>Disord</w:t>
      </w:r>
      <w:proofErr w:type="spellEnd"/>
      <w:r w:rsidR="004436DE" w:rsidRPr="007852DA">
        <w:rPr>
          <w:rFonts w:ascii="Book Antiqua" w:hAnsi="Book Antiqua"/>
          <w:color w:val="000000" w:themeColor="text1"/>
          <w:sz w:val="24"/>
        </w:rPr>
        <w:t xml:space="preserve"> 2007; </w:t>
      </w:r>
      <w:r w:rsidR="004436DE" w:rsidRPr="007852DA">
        <w:rPr>
          <w:rFonts w:ascii="Book Antiqua" w:hAnsi="Book Antiqua"/>
          <w:b/>
          <w:color w:val="000000" w:themeColor="text1"/>
          <w:sz w:val="24"/>
        </w:rPr>
        <w:t>22</w:t>
      </w:r>
      <w:r w:rsidR="004436DE" w:rsidRPr="007852DA">
        <w:rPr>
          <w:rFonts w:ascii="Book Antiqua" w:hAnsi="Book Antiqua"/>
          <w:color w:val="000000" w:themeColor="text1"/>
          <w:sz w:val="24"/>
        </w:rPr>
        <w:t>: 2332-2338 [PMID: 17914730 DOI: 10.1002/mds.21649]</w:t>
      </w:r>
    </w:p>
    <w:p w14:paraId="3533BBDB" w14:textId="77777777" w:rsidR="004436DE" w:rsidRPr="007852DA" w:rsidRDefault="00041FB5"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49</w:t>
      </w:r>
      <w:r w:rsidR="004436DE" w:rsidRPr="007852DA">
        <w:rPr>
          <w:rFonts w:ascii="Book Antiqua" w:hAnsi="Book Antiqua"/>
          <w:color w:val="000000" w:themeColor="text1"/>
          <w:sz w:val="24"/>
        </w:rPr>
        <w:t xml:space="preserve"> </w:t>
      </w:r>
      <w:r w:rsidR="004436DE" w:rsidRPr="007852DA">
        <w:rPr>
          <w:rFonts w:ascii="Book Antiqua" w:hAnsi="Book Antiqua"/>
          <w:b/>
          <w:color w:val="000000" w:themeColor="text1"/>
          <w:sz w:val="24"/>
        </w:rPr>
        <w:t>Kim HJ</w:t>
      </w:r>
      <w:r w:rsidR="004436DE" w:rsidRPr="007852DA">
        <w:rPr>
          <w:rFonts w:ascii="Book Antiqua" w:hAnsi="Book Antiqua"/>
          <w:color w:val="000000" w:themeColor="text1"/>
          <w:sz w:val="24"/>
        </w:rPr>
        <w:t xml:space="preserve">, Jeon BS, Lee JY, Yun JY. Survival of Korean patients with multiple system atrophy. </w:t>
      </w:r>
      <w:proofErr w:type="spellStart"/>
      <w:r w:rsidR="004436DE" w:rsidRPr="007852DA">
        <w:rPr>
          <w:rFonts w:ascii="Book Antiqua" w:hAnsi="Book Antiqua"/>
          <w:i/>
          <w:color w:val="000000" w:themeColor="text1"/>
          <w:sz w:val="24"/>
        </w:rPr>
        <w:t>Mov</w:t>
      </w:r>
      <w:proofErr w:type="spellEnd"/>
      <w:r w:rsidR="004436DE" w:rsidRPr="007852DA">
        <w:rPr>
          <w:rFonts w:ascii="Book Antiqua" w:hAnsi="Book Antiqua"/>
          <w:i/>
          <w:color w:val="000000" w:themeColor="text1"/>
          <w:sz w:val="24"/>
        </w:rPr>
        <w:t xml:space="preserve"> </w:t>
      </w:r>
      <w:proofErr w:type="spellStart"/>
      <w:r w:rsidR="004436DE" w:rsidRPr="007852DA">
        <w:rPr>
          <w:rFonts w:ascii="Book Antiqua" w:hAnsi="Book Antiqua"/>
          <w:i/>
          <w:color w:val="000000" w:themeColor="text1"/>
          <w:sz w:val="24"/>
        </w:rPr>
        <w:t>Disord</w:t>
      </w:r>
      <w:proofErr w:type="spellEnd"/>
      <w:r w:rsidR="004436DE" w:rsidRPr="007852DA">
        <w:rPr>
          <w:rFonts w:ascii="Book Antiqua" w:hAnsi="Book Antiqua"/>
          <w:color w:val="000000" w:themeColor="text1"/>
          <w:sz w:val="24"/>
        </w:rPr>
        <w:t xml:space="preserve"> 2011; </w:t>
      </w:r>
      <w:r w:rsidR="004436DE" w:rsidRPr="007852DA">
        <w:rPr>
          <w:rFonts w:ascii="Book Antiqua" w:hAnsi="Book Antiqua"/>
          <w:b/>
          <w:color w:val="000000" w:themeColor="text1"/>
          <w:sz w:val="24"/>
        </w:rPr>
        <w:t>26</w:t>
      </w:r>
      <w:r w:rsidR="004436DE" w:rsidRPr="007852DA">
        <w:rPr>
          <w:rFonts w:ascii="Book Antiqua" w:hAnsi="Book Antiqua"/>
          <w:color w:val="000000" w:themeColor="text1"/>
          <w:sz w:val="24"/>
        </w:rPr>
        <w:t>: 909-912 [PMID: 21287601 DOI: 10.1002/mds.23580]</w:t>
      </w:r>
    </w:p>
    <w:p w14:paraId="1CBA9561" w14:textId="77777777" w:rsidR="004436DE" w:rsidRPr="007852DA" w:rsidRDefault="00041FB5"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50</w:t>
      </w:r>
      <w:r w:rsidR="004436DE" w:rsidRPr="007852DA">
        <w:rPr>
          <w:rFonts w:ascii="Book Antiqua" w:hAnsi="Book Antiqua"/>
          <w:color w:val="000000" w:themeColor="text1"/>
          <w:sz w:val="24"/>
        </w:rPr>
        <w:t xml:space="preserve"> </w:t>
      </w:r>
      <w:r w:rsidR="004436DE" w:rsidRPr="007852DA">
        <w:rPr>
          <w:rFonts w:ascii="Book Antiqua" w:hAnsi="Book Antiqua"/>
          <w:b/>
          <w:color w:val="000000" w:themeColor="text1"/>
          <w:sz w:val="24"/>
        </w:rPr>
        <w:t>Saito Y</w:t>
      </w:r>
      <w:r w:rsidR="004436DE" w:rsidRPr="007852DA">
        <w:rPr>
          <w:rFonts w:ascii="Book Antiqua" w:hAnsi="Book Antiqua"/>
          <w:color w:val="000000" w:themeColor="text1"/>
          <w:sz w:val="24"/>
        </w:rPr>
        <w:t xml:space="preserve">, Matsuoka Y, Takahashi A, Ohno Y. Survival of patients with multiple system atrophy. </w:t>
      </w:r>
      <w:r w:rsidR="004436DE" w:rsidRPr="007852DA">
        <w:rPr>
          <w:rFonts w:ascii="Book Antiqua" w:hAnsi="Book Antiqua"/>
          <w:i/>
          <w:color w:val="000000" w:themeColor="text1"/>
          <w:sz w:val="24"/>
        </w:rPr>
        <w:t>Intern Med</w:t>
      </w:r>
      <w:r w:rsidR="004436DE" w:rsidRPr="007852DA">
        <w:rPr>
          <w:rFonts w:ascii="Book Antiqua" w:hAnsi="Book Antiqua"/>
          <w:color w:val="000000" w:themeColor="text1"/>
          <w:sz w:val="24"/>
        </w:rPr>
        <w:t xml:space="preserve"> 1994; </w:t>
      </w:r>
      <w:r w:rsidR="004436DE" w:rsidRPr="007852DA">
        <w:rPr>
          <w:rFonts w:ascii="Book Antiqua" w:hAnsi="Book Antiqua"/>
          <w:b/>
          <w:color w:val="000000" w:themeColor="text1"/>
          <w:sz w:val="24"/>
        </w:rPr>
        <w:t>33</w:t>
      </w:r>
      <w:r w:rsidR="004436DE" w:rsidRPr="007852DA">
        <w:rPr>
          <w:rFonts w:ascii="Book Antiqua" w:hAnsi="Book Antiqua"/>
          <w:color w:val="000000" w:themeColor="text1"/>
          <w:sz w:val="24"/>
        </w:rPr>
        <w:t>: 321-325 [PMID: 7919616 DOI: 10.2169/internalmedicine.33.321]</w:t>
      </w:r>
    </w:p>
    <w:p w14:paraId="3D017564"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5</w:t>
      </w:r>
      <w:r w:rsidR="00041FB5" w:rsidRPr="007852DA">
        <w:rPr>
          <w:rFonts w:ascii="Book Antiqua" w:hAnsi="Book Antiqua"/>
          <w:color w:val="000000" w:themeColor="text1"/>
          <w:sz w:val="24"/>
        </w:rPr>
        <w:t>1</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Watanabe H</w:t>
      </w:r>
      <w:r w:rsidRPr="007852DA">
        <w:rPr>
          <w:rFonts w:ascii="Book Antiqua" w:hAnsi="Book Antiqua"/>
          <w:color w:val="000000" w:themeColor="text1"/>
          <w:sz w:val="24"/>
        </w:rPr>
        <w:t xml:space="preserve">, Saito Y, </w:t>
      </w:r>
      <w:proofErr w:type="spellStart"/>
      <w:r w:rsidRPr="007852DA">
        <w:rPr>
          <w:rFonts w:ascii="Book Antiqua" w:hAnsi="Book Antiqua"/>
          <w:color w:val="000000" w:themeColor="text1"/>
          <w:sz w:val="24"/>
        </w:rPr>
        <w:t>Terao</w:t>
      </w:r>
      <w:proofErr w:type="spellEnd"/>
      <w:r w:rsidRPr="007852DA">
        <w:rPr>
          <w:rFonts w:ascii="Book Antiqua" w:hAnsi="Book Antiqua"/>
          <w:color w:val="000000" w:themeColor="text1"/>
          <w:sz w:val="24"/>
        </w:rPr>
        <w:t xml:space="preserve"> S, Ando T, </w:t>
      </w:r>
      <w:proofErr w:type="spellStart"/>
      <w:r w:rsidRPr="007852DA">
        <w:rPr>
          <w:rFonts w:ascii="Book Antiqua" w:hAnsi="Book Antiqua"/>
          <w:color w:val="000000" w:themeColor="text1"/>
          <w:sz w:val="24"/>
        </w:rPr>
        <w:t>Kachi</w:t>
      </w:r>
      <w:proofErr w:type="spellEnd"/>
      <w:r w:rsidRPr="007852DA">
        <w:rPr>
          <w:rFonts w:ascii="Book Antiqua" w:hAnsi="Book Antiqua"/>
          <w:color w:val="000000" w:themeColor="text1"/>
          <w:sz w:val="24"/>
        </w:rPr>
        <w:t xml:space="preserve"> T, Mukai E, </w:t>
      </w:r>
      <w:proofErr w:type="spellStart"/>
      <w:r w:rsidRPr="007852DA">
        <w:rPr>
          <w:rFonts w:ascii="Book Antiqua" w:hAnsi="Book Antiqua"/>
          <w:color w:val="000000" w:themeColor="text1"/>
          <w:sz w:val="24"/>
        </w:rPr>
        <w:t>Aiba</w:t>
      </w:r>
      <w:proofErr w:type="spellEnd"/>
      <w:r w:rsidRPr="007852DA">
        <w:rPr>
          <w:rFonts w:ascii="Book Antiqua" w:hAnsi="Book Antiqua"/>
          <w:color w:val="000000" w:themeColor="text1"/>
          <w:sz w:val="24"/>
        </w:rPr>
        <w:t xml:space="preserve"> I, Abe Y, </w:t>
      </w:r>
      <w:proofErr w:type="spellStart"/>
      <w:r w:rsidRPr="007852DA">
        <w:rPr>
          <w:rFonts w:ascii="Book Antiqua" w:hAnsi="Book Antiqua"/>
          <w:color w:val="000000" w:themeColor="text1"/>
          <w:sz w:val="24"/>
        </w:rPr>
        <w:t>Tamakoshi</w:t>
      </w:r>
      <w:proofErr w:type="spellEnd"/>
      <w:r w:rsidRPr="007852DA">
        <w:rPr>
          <w:rFonts w:ascii="Book Antiqua" w:hAnsi="Book Antiqua"/>
          <w:color w:val="000000" w:themeColor="text1"/>
          <w:sz w:val="24"/>
        </w:rPr>
        <w:t xml:space="preserve"> A, </w:t>
      </w:r>
      <w:proofErr w:type="spellStart"/>
      <w:r w:rsidRPr="007852DA">
        <w:rPr>
          <w:rFonts w:ascii="Book Antiqua" w:hAnsi="Book Antiqua"/>
          <w:color w:val="000000" w:themeColor="text1"/>
          <w:sz w:val="24"/>
        </w:rPr>
        <w:t>Doyu</w:t>
      </w:r>
      <w:proofErr w:type="spellEnd"/>
      <w:r w:rsidRPr="007852DA">
        <w:rPr>
          <w:rFonts w:ascii="Book Antiqua" w:hAnsi="Book Antiqua"/>
          <w:color w:val="000000" w:themeColor="text1"/>
          <w:sz w:val="24"/>
        </w:rPr>
        <w:t xml:space="preserve"> M, Hirayama M, </w:t>
      </w:r>
      <w:proofErr w:type="spellStart"/>
      <w:r w:rsidRPr="007852DA">
        <w:rPr>
          <w:rFonts w:ascii="Book Antiqua" w:hAnsi="Book Antiqua"/>
          <w:color w:val="000000" w:themeColor="text1"/>
          <w:sz w:val="24"/>
        </w:rPr>
        <w:t>Sobue</w:t>
      </w:r>
      <w:proofErr w:type="spellEnd"/>
      <w:r w:rsidRPr="007852DA">
        <w:rPr>
          <w:rFonts w:ascii="Book Antiqua" w:hAnsi="Book Antiqua"/>
          <w:color w:val="000000" w:themeColor="text1"/>
          <w:sz w:val="24"/>
        </w:rPr>
        <w:t xml:space="preserve"> G. Progression and prognosis in multiple system atrophy: an analysis of 230 Japanese patients. </w:t>
      </w:r>
      <w:r w:rsidRPr="007852DA">
        <w:rPr>
          <w:rFonts w:ascii="Book Antiqua" w:hAnsi="Book Antiqua"/>
          <w:i/>
          <w:color w:val="000000" w:themeColor="text1"/>
          <w:sz w:val="24"/>
        </w:rPr>
        <w:t>Brain</w:t>
      </w:r>
      <w:r w:rsidRPr="007852DA">
        <w:rPr>
          <w:rFonts w:ascii="Book Antiqua" w:hAnsi="Book Antiqua"/>
          <w:color w:val="000000" w:themeColor="text1"/>
          <w:sz w:val="24"/>
        </w:rPr>
        <w:t xml:space="preserve"> 2002; </w:t>
      </w:r>
      <w:r w:rsidRPr="007852DA">
        <w:rPr>
          <w:rFonts w:ascii="Book Antiqua" w:hAnsi="Book Antiqua"/>
          <w:b/>
          <w:color w:val="000000" w:themeColor="text1"/>
          <w:sz w:val="24"/>
        </w:rPr>
        <w:t>125</w:t>
      </w:r>
      <w:r w:rsidRPr="007852DA">
        <w:rPr>
          <w:rFonts w:ascii="Book Antiqua" w:hAnsi="Book Antiqua"/>
          <w:color w:val="000000" w:themeColor="text1"/>
          <w:sz w:val="24"/>
        </w:rPr>
        <w:t>: 1070-1083 [PMID: 11960896 DOI: 10.1093/brain/awf117]</w:t>
      </w:r>
    </w:p>
    <w:p w14:paraId="7C015E48"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5</w:t>
      </w:r>
      <w:r w:rsidR="00041FB5" w:rsidRPr="007852DA">
        <w:rPr>
          <w:rFonts w:ascii="Book Antiqua" w:hAnsi="Book Antiqua"/>
          <w:color w:val="000000" w:themeColor="text1"/>
          <w:sz w:val="24"/>
        </w:rPr>
        <w:t>2</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Tada M</w:t>
      </w:r>
      <w:r w:rsidRPr="007852DA">
        <w:rPr>
          <w:rFonts w:ascii="Book Antiqua" w:hAnsi="Book Antiqua"/>
          <w:color w:val="000000" w:themeColor="text1"/>
          <w:sz w:val="24"/>
        </w:rPr>
        <w:t xml:space="preserve">, Onodera O, Tada M, Ozawa T, </w:t>
      </w:r>
      <w:proofErr w:type="spellStart"/>
      <w:r w:rsidRPr="007852DA">
        <w:rPr>
          <w:rFonts w:ascii="Book Antiqua" w:hAnsi="Book Antiqua"/>
          <w:color w:val="000000" w:themeColor="text1"/>
          <w:sz w:val="24"/>
        </w:rPr>
        <w:t>Piao</w:t>
      </w:r>
      <w:proofErr w:type="spellEnd"/>
      <w:r w:rsidRPr="007852DA">
        <w:rPr>
          <w:rFonts w:ascii="Book Antiqua" w:hAnsi="Book Antiqua"/>
          <w:color w:val="000000" w:themeColor="text1"/>
          <w:sz w:val="24"/>
        </w:rPr>
        <w:t xml:space="preserve"> YS, </w:t>
      </w:r>
      <w:proofErr w:type="spellStart"/>
      <w:r w:rsidRPr="007852DA">
        <w:rPr>
          <w:rFonts w:ascii="Book Antiqua" w:hAnsi="Book Antiqua"/>
          <w:color w:val="000000" w:themeColor="text1"/>
          <w:sz w:val="24"/>
        </w:rPr>
        <w:t>Kakita</w:t>
      </w:r>
      <w:proofErr w:type="spellEnd"/>
      <w:r w:rsidRPr="007852DA">
        <w:rPr>
          <w:rFonts w:ascii="Book Antiqua" w:hAnsi="Book Antiqua"/>
          <w:color w:val="000000" w:themeColor="text1"/>
          <w:sz w:val="24"/>
        </w:rPr>
        <w:t xml:space="preserve"> A, Takahashi H, Nishizawa M. Early development of autonomic dysfunction may predict poor prognosis in patients with multiple system atrophy. </w:t>
      </w:r>
      <w:r w:rsidRPr="007852DA">
        <w:rPr>
          <w:rFonts w:ascii="Book Antiqua" w:hAnsi="Book Antiqua"/>
          <w:i/>
          <w:color w:val="000000" w:themeColor="text1"/>
          <w:sz w:val="24"/>
        </w:rPr>
        <w:t>Arch Neurol</w:t>
      </w:r>
      <w:r w:rsidRPr="007852DA">
        <w:rPr>
          <w:rFonts w:ascii="Book Antiqua" w:hAnsi="Book Antiqua"/>
          <w:color w:val="000000" w:themeColor="text1"/>
          <w:sz w:val="24"/>
        </w:rPr>
        <w:t xml:space="preserve"> 2007; </w:t>
      </w:r>
      <w:r w:rsidRPr="007852DA">
        <w:rPr>
          <w:rFonts w:ascii="Book Antiqua" w:hAnsi="Book Antiqua"/>
          <w:b/>
          <w:color w:val="000000" w:themeColor="text1"/>
          <w:sz w:val="24"/>
        </w:rPr>
        <w:t>64</w:t>
      </w:r>
      <w:r w:rsidRPr="007852DA">
        <w:rPr>
          <w:rFonts w:ascii="Book Antiqua" w:hAnsi="Book Antiqua"/>
          <w:color w:val="000000" w:themeColor="text1"/>
          <w:sz w:val="24"/>
        </w:rPr>
        <w:t>: 256-260 [PMID: 17296842 DOI: 10.1001/archneur.64.2.256]</w:t>
      </w:r>
    </w:p>
    <w:p w14:paraId="5B8AF201"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5</w:t>
      </w:r>
      <w:r w:rsidR="00041FB5" w:rsidRPr="007852DA">
        <w:rPr>
          <w:rFonts w:ascii="Book Antiqua" w:hAnsi="Book Antiqua"/>
          <w:color w:val="000000" w:themeColor="text1"/>
          <w:sz w:val="24"/>
        </w:rPr>
        <w:t>3</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Low PA</w:t>
      </w:r>
      <w:r w:rsidRPr="007852DA">
        <w:rPr>
          <w:rFonts w:ascii="Book Antiqua" w:hAnsi="Book Antiqua"/>
          <w:color w:val="000000" w:themeColor="text1"/>
          <w:sz w:val="24"/>
        </w:rPr>
        <w:t xml:space="preserve">, Reich SG, Jankovic J, Shults CW, Stern MB, Novak P, Tanner CM, Gilman S, Marshall FJ, Wooten F, </w:t>
      </w:r>
      <w:proofErr w:type="spellStart"/>
      <w:r w:rsidRPr="007852DA">
        <w:rPr>
          <w:rFonts w:ascii="Book Antiqua" w:hAnsi="Book Antiqua"/>
          <w:color w:val="000000" w:themeColor="text1"/>
          <w:sz w:val="24"/>
        </w:rPr>
        <w:t>Racette</w:t>
      </w:r>
      <w:proofErr w:type="spellEnd"/>
      <w:r w:rsidRPr="007852DA">
        <w:rPr>
          <w:rFonts w:ascii="Book Antiqua" w:hAnsi="Book Antiqua"/>
          <w:color w:val="000000" w:themeColor="text1"/>
          <w:sz w:val="24"/>
        </w:rPr>
        <w:t xml:space="preserve"> B, </w:t>
      </w:r>
      <w:proofErr w:type="spellStart"/>
      <w:r w:rsidRPr="007852DA">
        <w:rPr>
          <w:rFonts w:ascii="Book Antiqua" w:hAnsi="Book Antiqua"/>
          <w:color w:val="000000" w:themeColor="text1"/>
          <w:sz w:val="24"/>
        </w:rPr>
        <w:t>Chelimsky</w:t>
      </w:r>
      <w:proofErr w:type="spellEnd"/>
      <w:r w:rsidRPr="007852DA">
        <w:rPr>
          <w:rFonts w:ascii="Book Antiqua" w:hAnsi="Book Antiqua"/>
          <w:color w:val="000000" w:themeColor="text1"/>
          <w:sz w:val="24"/>
        </w:rPr>
        <w:t xml:space="preserve"> T, Singer W, </w:t>
      </w:r>
      <w:proofErr w:type="spellStart"/>
      <w:r w:rsidRPr="007852DA">
        <w:rPr>
          <w:rFonts w:ascii="Book Antiqua" w:hAnsi="Book Antiqua"/>
          <w:color w:val="000000" w:themeColor="text1"/>
          <w:sz w:val="24"/>
        </w:rPr>
        <w:t>Sletten</w:t>
      </w:r>
      <w:proofErr w:type="spellEnd"/>
      <w:r w:rsidRPr="007852DA">
        <w:rPr>
          <w:rFonts w:ascii="Book Antiqua" w:hAnsi="Book Antiqua"/>
          <w:color w:val="000000" w:themeColor="text1"/>
          <w:sz w:val="24"/>
        </w:rPr>
        <w:t xml:space="preserve"> </w:t>
      </w:r>
      <w:r w:rsidRPr="007852DA">
        <w:rPr>
          <w:rFonts w:ascii="Book Antiqua" w:hAnsi="Book Antiqua"/>
          <w:color w:val="000000" w:themeColor="text1"/>
          <w:sz w:val="24"/>
        </w:rPr>
        <w:lastRenderedPageBreak/>
        <w:t xml:space="preserve">DM, Sandroni P, </w:t>
      </w:r>
      <w:proofErr w:type="spellStart"/>
      <w:r w:rsidRPr="007852DA">
        <w:rPr>
          <w:rFonts w:ascii="Book Antiqua" w:hAnsi="Book Antiqua"/>
          <w:color w:val="000000" w:themeColor="text1"/>
          <w:sz w:val="24"/>
        </w:rPr>
        <w:t>Mandrekar</w:t>
      </w:r>
      <w:proofErr w:type="spellEnd"/>
      <w:r w:rsidRPr="007852DA">
        <w:rPr>
          <w:rFonts w:ascii="Book Antiqua" w:hAnsi="Book Antiqua"/>
          <w:color w:val="000000" w:themeColor="text1"/>
          <w:sz w:val="24"/>
        </w:rPr>
        <w:t xml:space="preserve"> J. Natural history of multiple system atrophy in the USA: a prospective cohort study. </w:t>
      </w:r>
      <w:r w:rsidRPr="007852DA">
        <w:rPr>
          <w:rFonts w:ascii="Book Antiqua" w:hAnsi="Book Antiqua"/>
          <w:i/>
          <w:color w:val="000000" w:themeColor="text1"/>
          <w:sz w:val="24"/>
        </w:rPr>
        <w:t>Lancet Neurol</w:t>
      </w:r>
      <w:r w:rsidRPr="007852DA">
        <w:rPr>
          <w:rFonts w:ascii="Book Antiqua" w:hAnsi="Book Antiqua"/>
          <w:color w:val="000000" w:themeColor="text1"/>
          <w:sz w:val="24"/>
        </w:rPr>
        <w:t xml:space="preserve"> 2015; </w:t>
      </w:r>
      <w:r w:rsidRPr="007852DA">
        <w:rPr>
          <w:rFonts w:ascii="Book Antiqua" w:hAnsi="Book Antiqua"/>
          <w:b/>
          <w:color w:val="000000" w:themeColor="text1"/>
          <w:sz w:val="24"/>
        </w:rPr>
        <w:t>14</w:t>
      </w:r>
      <w:r w:rsidRPr="007852DA">
        <w:rPr>
          <w:rFonts w:ascii="Book Antiqua" w:hAnsi="Book Antiqua"/>
          <w:color w:val="000000" w:themeColor="text1"/>
          <w:sz w:val="24"/>
        </w:rPr>
        <w:t>: 710-719 [PMID: 26025783 DOI: 10.1016/S1474-4422(15)00058-7]</w:t>
      </w:r>
    </w:p>
    <w:p w14:paraId="7C730852"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5</w:t>
      </w:r>
      <w:r w:rsidR="00041FB5" w:rsidRPr="007852DA">
        <w:rPr>
          <w:rFonts w:ascii="Book Antiqua" w:hAnsi="Book Antiqua"/>
          <w:color w:val="000000" w:themeColor="text1"/>
          <w:sz w:val="24"/>
        </w:rPr>
        <w:t>4</w:t>
      </w:r>
      <w:r w:rsidRPr="007852DA">
        <w:rPr>
          <w:rFonts w:ascii="Book Antiqua" w:hAnsi="Book Antiqua"/>
          <w:color w:val="000000" w:themeColor="text1"/>
          <w:sz w:val="24"/>
        </w:rPr>
        <w:t xml:space="preserve"> </w:t>
      </w:r>
      <w:proofErr w:type="spellStart"/>
      <w:r w:rsidRPr="007852DA">
        <w:rPr>
          <w:rFonts w:ascii="Book Antiqua" w:hAnsi="Book Antiqua"/>
          <w:b/>
          <w:color w:val="000000" w:themeColor="text1"/>
          <w:sz w:val="24"/>
        </w:rPr>
        <w:t>Petrovic</w:t>
      </w:r>
      <w:proofErr w:type="spellEnd"/>
      <w:r w:rsidRPr="007852DA">
        <w:rPr>
          <w:rFonts w:ascii="Book Antiqua" w:hAnsi="Book Antiqua"/>
          <w:b/>
          <w:color w:val="000000" w:themeColor="text1"/>
          <w:sz w:val="24"/>
        </w:rPr>
        <w:t xml:space="preserve"> IN</w:t>
      </w:r>
      <w:r w:rsidRPr="007852DA">
        <w:rPr>
          <w:rFonts w:ascii="Book Antiqua" w:hAnsi="Book Antiqua"/>
          <w:color w:val="000000" w:themeColor="text1"/>
          <w:sz w:val="24"/>
        </w:rPr>
        <w:t xml:space="preserve">, Ling H, </w:t>
      </w:r>
      <w:proofErr w:type="spellStart"/>
      <w:r w:rsidRPr="007852DA">
        <w:rPr>
          <w:rFonts w:ascii="Book Antiqua" w:hAnsi="Book Antiqua"/>
          <w:color w:val="000000" w:themeColor="text1"/>
          <w:sz w:val="24"/>
        </w:rPr>
        <w:t>Asi</w:t>
      </w:r>
      <w:proofErr w:type="spellEnd"/>
      <w:r w:rsidRPr="007852DA">
        <w:rPr>
          <w:rFonts w:ascii="Book Antiqua" w:hAnsi="Book Antiqua"/>
          <w:color w:val="000000" w:themeColor="text1"/>
          <w:sz w:val="24"/>
        </w:rPr>
        <w:t xml:space="preserve"> Y, Ahmed Z, </w:t>
      </w:r>
      <w:proofErr w:type="spellStart"/>
      <w:r w:rsidRPr="007852DA">
        <w:rPr>
          <w:rFonts w:ascii="Book Antiqua" w:hAnsi="Book Antiqua"/>
          <w:color w:val="000000" w:themeColor="text1"/>
          <w:sz w:val="24"/>
        </w:rPr>
        <w:t>Kukkle</w:t>
      </w:r>
      <w:proofErr w:type="spellEnd"/>
      <w:r w:rsidRPr="007852DA">
        <w:rPr>
          <w:rFonts w:ascii="Book Antiqua" w:hAnsi="Book Antiqua"/>
          <w:color w:val="000000" w:themeColor="text1"/>
          <w:sz w:val="24"/>
        </w:rPr>
        <w:t xml:space="preserve"> PL, </w:t>
      </w:r>
      <w:proofErr w:type="spellStart"/>
      <w:r w:rsidRPr="007852DA">
        <w:rPr>
          <w:rFonts w:ascii="Book Antiqua" w:hAnsi="Book Antiqua"/>
          <w:color w:val="000000" w:themeColor="text1"/>
          <w:sz w:val="24"/>
        </w:rPr>
        <w:t>Hazrati</w:t>
      </w:r>
      <w:proofErr w:type="spellEnd"/>
      <w:r w:rsidRPr="007852DA">
        <w:rPr>
          <w:rFonts w:ascii="Book Antiqua" w:hAnsi="Book Antiqua"/>
          <w:color w:val="000000" w:themeColor="text1"/>
          <w:sz w:val="24"/>
        </w:rPr>
        <w:t xml:space="preserve"> LN, Lang AE, </w:t>
      </w:r>
      <w:proofErr w:type="spellStart"/>
      <w:r w:rsidRPr="007852DA">
        <w:rPr>
          <w:rFonts w:ascii="Book Antiqua" w:hAnsi="Book Antiqua"/>
          <w:color w:val="000000" w:themeColor="text1"/>
          <w:sz w:val="24"/>
        </w:rPr>
        <w:t>Revesz</w:t>
      </w:r>
      <w:proofErr w:type="spellEnd"/>
      <w:r w:rsidRPr="007852DA">
        <w:rPr>
          <w:rFonts w:ascii="Book Antiqua" w:hAnsi="Book Antiqua"/>
          <w:color w:val="000000" w:themeColor="text1"/>
          <w:sz w:val="24"/>
        </w:rPr>
        <w:t xml:space="preserve"> T, Holton JL, Lees AJ. Multiple system atrophy-parkinsonism with slow progression and prolonged survival: a diagnostic catch. </w:t>
      </w:r>
      <w:proofErr w:type="spellStart"/>
      <w:r w:rsidRPr="007852DA">
        <w:rPr>
          <w:rFonts w:ascii="Book Antiqua" w:hAnsi="Book Antiqua"/>
          <w:i/>
          <w:color w:val="000000" w:themeColor="text1"/>
          <w:sz w:val="24"/>
        </w:rPr>
        <w:t>Mov</w:t>
      </w:r>
      <w:proofErr w:type="spellEnd"/>
      <w:r w:rsidRPr="007852DA">
        <w:rPr>
          <w:rFonts w:ascii="Book Antiqua" w:hAnsi="Book Antiqua"/>
          <w:i/>
          <w:color w:val="000000" w:themeColor="text1"/>
          <w:sz w:val="24"/>
        </w:rPr>
        <w:t xml:space="preserve"> </w:t>
      </w:r>
      <w:proofErr w:type="spellStart"/>
      <w:r w:rsidRPr="007852DA">
        <w:rPr>
          <w:rFonts w:ascii="Book Antiqua" w:hAnsi="Book Antiqua"/>
          <w:i/>
          <w:color w:val="000000" w:themeColor="text1"/>
          <w:sz w:val="24"/>
        </w:rPr>
        <w:t>Disord</w:t>
      </w:r>
      <w:proofErr w:type="spellEnd"/>
      <w:r w:rsidRPr="007852DA">
        <w:rPr>
          <w:rFonts w:ascii="Book Antiqua" w:hAnsi="Book Antiqua"/>
          <w:color w:val="000000" w:themeColor="text1"/>
          <w:sz w:val="24"/>
        </w:rPr>
        <w:t xml:space="preserve"> 2012; </w:t>
      </w:r>
      <w:r w:rsidRPr="007852DA">
        <w:rPr>
          <w:rFonts w:ascii="Book Antiqua" w:hAnsi="Book Antiqua"/>
          <w:b/>
          <w:color w:val="000000" w:themeColor="text1"/>
          <w:sz w:val="24"/>
        </w:rPr>
        <w:t>27</w:t>
      </w:r>
      <w:r w:rsidRPr="007852DA">
        <w:rPr>
          <w:rFonts w:ascii="Book Antiqua" w:hAnsi="Book Antiqua"/>
          <w:color w:val="000000" w:themeColor="text1"/>
          <w:sz w:val="24"/>
        </w:rPr>
        <w:t>: 1186-1190 [PMID: 22806758 DOI: 10.1002/mds.25115]</w:t>
      </w:r>
    </w:p>
    <w:p w14:paraId="64132A92"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5</w:t>
      </w:r>
      <w:r w:rsidR="00041FB5" w:rsidRPr="007852DA">
        <w:rPr>
          <w:rFonts w:ascii="Book Antiqua" w:hAnsi="Book Antiqua"/>
          <w:color w:val="000000" w:themeColor="text1"/>
          <w:sz w:val="24"/>
        </w:rPr>
        <w:t>5</w:t>
      </w:r>
      <w:r w:rsidRPr="007852DA">
        <w:rPr>
          <w:rFonts w:ascii="Book Antiqua" w:hAnsi="Book Antiqua"/>
          <w:color w:val="000000" w:themeColor="text1"/>
          <w:sz w:val="24"/>
        </w:rPr>
        <w:t xml:space="preserve"> </w:t>
      </w:r>
      <w:r w:rsidRPr="007852DA">
        <w:rPr>
          <w:rFonts w:ascii="Book Antiqua" w:hAnsi="Book Antiqua"/>
          <w:b/>
          <w:color w:val="000000" w:themeColor="text1"/>
          <w:sz w:val="24"/>
        </w:rPr>
        <w:t>Calandra-</w:t>
      </w:r>
      <w:proofErr w:type="spellStart"/>
      <w:r w:rsidRPr="007852DA">
        <w:rPr>
          <w:rFonts w:ascii="Book Antiqua" w:hAnsi="Book Antiqua"/>
          <w:b/>
          <w:color w:val="000000" w:themeColor="text1"/>
          <w:sz w:val="24"/>
        </w:rPr>
        <w:t>Buonaura</w:t>
      </w:r>
      <w:proofErr w:type="spellEnd"/>
      <w:r w:rsidRPr="007852DA">
        <w:rPr>
          <w:rFonts w:ascii="Book Antiqua" w:hAnsi="Book Antiqua"/>
          <w:b/>
          <w:color w:val="000000" w:themeColor="text1"/>
          <w:sz w:val="24"/>
        </w:rPr>
        <w:t xml:space="preserve"> G</w:t>
      </w:r>
      <w:r w:rsidRPr="007852DA">
        <w:rPr>
          <w:rFonts w:ascii="Book Antiqua" w:hAnsi="Book Antiqua"/>
          <w:color w:val="000000" w:themeColor="text1"/>
          <w:sz w:val="24"/>
        </w:rPr>
        <w:t xml:space="preserve">, Guaraldi P, </w:t>
      </w:r>
      <w:proofErr w:type="spellStart"/>
      <w:r w:rsidRPr="007852DA">
        <w:rPr>
          <w:rFonts w:ascii="Book Antiqua" w:hAnsi="Book Antiqua"/>
          <w:color w:val="000000" w:themeColor="text1"/>
          <w:sz w:val="24"/>
        </w:rPr>
        <w:t>Sambati</w:t>
      </w:r>
      <w:proofErr w:type="spellEnd"/>
      <w:r w:rsidRPr="007852DA">
        <w:rPr>
          <w:rFonts w:ascii="Book Antiqua" w:hAnsi="Book Antiqua"/>
          <w:color w:val="000000" w:themeColor="text1"/>
          <w:sz w:val="24"/>
        </w:rPr>
        <w:t xml:space="preserve"> L, </w:t>
      </w:r>
      <w:proofErr w:type="spellStart"/>
      <w:r w:rsidRPr="007852DA">
        <w:rPr>
          <w:rFonts w:ascii="Book Antiqua" w:hAnsi="Book Antiqua"/>
          <w:color w:val="000000" w:themeColor="text1"/>
          <w:sz w:val="24"/>
        </w:rPr>
        <w:t>Lopane</w:t>
      </w:r>
      <w:proofErr w:type="spellEnd"/>
      <w:r w:rsidRPr="007852DA">
        <w:rPr>
          <w:rFonts w:ascii="Book Antiqua" w:hAnsi="Book Antiqua"/>
          <w:color w:val="000000" w:themeColor="text1"/>
          <w:sz w:val="24"/>
        </w:rPr>
        <w:t xml:space="preserve"> G, </w:t>
      </w:r>
      <w:proofErr w:type="spellStart"/>
      <w:r w:rsidRPr="007852DA">
        <w:rPr>
          <w:rFonts w:ascii="Book Antiqua" w:hAnsi="Book Antiqua"/>
          <w:color w:val="000000" w:themeColor="text1"/>
          <w:sz w:val="24"/>
        </w:rPr>
        <w:t>Cecere</w:t>
      </w:r>
      <w:proofErr w:type="spellEnd"/>
      <w:r w:rsidRPr="007852DA">
        <w:rPr>
          <w:rFonts w:ascii="Book Antiqua" w:hAnsi="Book Antiqua"/>
          <w:color w:val="000000" w:themeColor="text1"/>
          <w:sz w:val="24"/>
        </w:rPr>
        <w:t xml:space="preserve"> A, Barletta G, </w:t>
      </w:r>
      <w:proofErr w:type="spellStart"/>
      <w:r w:rsidRPr="007852DA">
        <w:rPr>
          <w:rFonts w:ascii="Book Antiqua" w:hAnsi="Book Antiqua"/>
          <w:color w:val="000000" w:themeColor="text1"/>
          <w:sz w:val="24"/>
        </w:rPr>
        <w:t>Provini</w:t>
      </w:r>
      <w:proofErr w:type="spellEnd"/>
      <w:r w:rsidRPr="007852DA">
        <w:rPr>
          <w:rFonts w:ascii="Book Antiqua" w:hAnsi="Book Antiqua"/>
          <w:color w:val="000000" w:themeColor="text1"/>
          <w:sz w:val="24"/>
        </w:rPr>
        <w:t xml:space="preserve"> F, </w:t>
      </w:r>
      <w:proofErr w:type="spellStart"/>
      <w:r w:rsidRPr="007852DA">
        <w:rPr>
          <w:rFonts w:ascii="Book Antiqua" w:hAnsi="Book Antiqua"/>
          <w:color w:val="000000" w:themeColor="text1"/>
          <w:sz w:val="24"/>
        </w:rPr>
        <w:t>Contin</w:t>
      </w:r>
      <w:proofErr w:type="spellEnd"/>
      <w:r w:rsidRPr="007852DA">
        <w:rPr>
          <w:rFonts w:ascii="Book Antiqua" w:hAnsi="Book Antiqua"/>
          <w:color w:val="000000" w:themeColor="text1"/>
          <w:sz w:val="24"/>
        </w:rPr>
        <w:t xml:space="preserve"> M, </w:t>
      </w:r>
      <w:proofErr w:type="spellStart"/>
      <w:r w:rsidRPr="007852DA">
        <w:rPr>
          <w:rFonts w:ascii="Book Antiqua" w:hAnsi="Book Antiqua"/>
          <w:color w:val="000000" w:themeColor="text1"/>
          <w:sz w:val="24"/>
        </w:rPr>
        <w:t>Martinelli</w:t>
      </w:r>
      <w:proofErr w:type="spellEnd"/>
      <w:r w:rsidRPr="007852DA">
        <w:rPr>
          <w:rFonts w:ascii="Book Antiqua" w:hAnsi="Book Antiqua"/>
          <w:color w:val="000000" w:themeColor="text1"/>
          <w:sz w:val="24"/>
        </w:rPr>
        <w:t xml:space="preserve"> P, </w:t>
      </w:r>
      <w:proofErr w:type="spellStart"/>
      <w:r w:rsidRPr="007852DA">
        <w:rPr>
          <w:rFonts w:ascii="Book Antiqua" w:hAnsi="Book Antiqua"/>
          <w:color w:val="000000" w:themeColor="text1"/>
          <w:sz w:val="24"/>
        </w:rPr>
        <w:t>Cortelli</w:t>
      </w:r>
      <w:proofErr w:type="spellEnd"/>
      <w:r w:rsidRPr="007852DA">
        <w:rPr>
          <w:rFonts w:ascii="Book Antiqua" w:hAnsi="Book Antiqua"/>
          <w:color w:val="000000" w:themeColor="text1"/>
          <w:sz w:val="24"/>
        </w:rPr>
        <w:t xml:space="preserve"> P. Multiple system atrophy with prolonged survival: is late onset of dysautonomia the clue? </w:t>
      </w:r>
      <w:r w:rsidRPr="007852DA">
        <w:rPr>
          <w:rFonts w:ascii="Book Antiqua" w:hAnsi="Book Antiqua"/>
          <w:i/>
          <w:color w:val="000000" w:themeColor="text1"/>
          <w:sz w:val="24"/>
        </w:rPr>
        <w:t>Neurol Sci</w:t>
      </w:r>
      <w:r w:rsidRPr="007852DA">
        <w:rPr>
          <w:rFonts w:ascii="Book Antiqua" w:hAnsi="Book Antiqua"/>
          <w:color w:val="000000" w:themeColor="text1"/>
          <w:sz w:val="24"/>
        </w:rPr>
        <w:t xml:space="preserve"> 2013; </w:t>
      </w:r>
      <w:r w:rsidRPr="007852DA">
        <w:rPr>
          <w:rFonts w:ascii="Book Antiqua" w:hAnsi="Book Antiqua"/>
          <w:b/>
          <w:color w:val="000000" w:themeColor="text1"/>
          <w:sz w:val="24"/>
        </w:rPr>
        <w:t>34</w:t>
      </w:r>
      <w:r w:rsidRPr="007852DA">
        <w:rPr>
          <w:rFonts w:ascii="Book Antiqua" w:hAnsi="Book Antiqua"/>
          <w:color w:val="000000" w:themeColor="text1"/>
          <w:sz w:val="24"/>
        </w:rPr>
        <w:t>: 1875-1878 [PMID: 23728718 DOI: 10.1007/s10072-013-1470-1]</w:t>
      </w:r>
    </w:p>
    <w:p w14:paraId="4E551BBF" w14:textId="77777777" w:rsidR="004436DE" w:rsidRPr="007852DA" w:rsidRDefault="004436DE"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5</w:t>
      </w:r>
      <w:r w:rsidR="00041FB5" w:rsidRPr="007852DA">
        <w:rPr>
          <w:rFonts w:ascii="Book Antiqua" w:hAnsi="Book Antiqua"/>
          <w:color w:val="000000" w:themeColor="text1"/>
          <w:sz w:val="24"/>
        </w:rPr>
        <w:t>6</w:t>
      </w:r>
      <w:r w:rsidRPr="007852DA">
        <w:rPr>
          <w:rFonts w:ascii="Book Antiqua" w:hAnsi="Book Antiqua"/>
          <w:color w:val="000000" w:themeColor="text1"/>
          <w:sz w:val="24"/>
        </w:rPr>
        <w:t xml:space="preserve"> </w:t>
      </w:r>
      <w:proofErr w:type="spellStart"/>
      <w:r w:rsidRPr="007852DA">
        <w:rPr>
          <w:rFonts w:ascii="Book Antiqua" w:hAnsi="Book Antiqua"/>
          <w:b/>
          <w:color w:val="000000" w:themeColor="text1"/>
          <w:sz w:val="24"/>
        </w:rPr>
        <w:t>Fernagut</w:t>
      </w:r>
      <w:proofErr w:type="spellEnd"/>
      <w:r w:rsidRPr="007852DA">
        <w:rPr>
          <w:rFonts w:ascii="Book Antiqua" w:hAnsi="Book Antiqua"/>
          <w:b/>
          <w:color w:val="000000" w:themeColor="text1"/>
          <w:sz w:val="24"/>
        </w:rPr>
        <w:t xml:space="preserve"> PO</w:t>
      </w:r>
      <w:r w:rsidRPr="007852DA">
        <w:rPr>
          <w:rFonts w:ascii="Book Antiqua" w:hAnsi="Book Antiqua"/>
          <w:color w:val="000000" w:themeColor="text1"/>
          <w:sz w:val="24"/>
        </w:rPr>
        <w:t xml:space="preserve">, </w:t>
      </w:r>
      <w:proofErr w:type="spellStart"/>
      <w:r w:rsidRPr="007852DA">
        <w:rPr>
          <w:rFonts w:ascii="Book Antiqua" w:hAnsi="Book Antiqua"/>
          <w:color w:val="000000" w:themeColor="text1"/>
          <w:sz w:val="24"/>
        </w:rPr>
        <w:t>Dehay</w:t>
      </w:r>
      <w:proofErr w:type="spellEnd"/>
      <w:r w:rsidRPr="007852DA">
        <w:rPr>
          <w:rFonts w:ascii="Book Antiqua" w:hAnsi="Book Antiqua"/>
          <w:color w:val="000000" w:themeColor="text1"/>
          <w:sz w:val="24"/>
        </w:rPr>
        <w:t xml:space="preserve"> B, </w:t>
      </w:r>
      <w:proofErr w:type="spellStart"/>
      <w:r w:rsidRPr="007852DA">
        <w:rPr>
          <w:rFonts w:ascii="Book Antiqua" w:hAnsi="Book Antiqua"/>
          <w:color w:val="000000" w:themeColor="text1"/>
          <w:sz w:val="24"/>
        </w:rPr>
        <w:t>Maillard</w:t>
      </w:r>
      <w:proofErr w:type="spellEnd"/>
      <w:r w:rsidRPr="007852DA">
        <w:rPr>
          <w:rFonts w:ascii="Book Antiqua" w:hAnsi="Book Antiqua"/>
          <w:color w:val="000000" w:themeColor="text1"/>
          <w:sz w:val="24"/>
        </w:rPr>
        <w:t xml:space="preserve"> A, </w:t>
      </w:r>
      <w:proofErr w:type="spellStart"/>
      <w:r w:rsidRPr="007852DA">
        <w:rPr>
          <w:rFonts w:ascii="Book Antiqua" w:hAnsi="Book Antiqua"/>
          <w:color w:val="000000" w:themeColor="text1"/>
          <w:sz w:val="24"/>
        </w:rPr>
        <w:t>Bezard</w:t>
      </w:r>
      <w:proofErr w:type="spellEnd"/>
      <w:r w:rsidRPr="007852DA">
        <w:rPr>
          <w:rFonts w:ascii="Book Antiqua" w:hAnsi="Book Antiqua"/>
          <w:color w:val="000000" w:themeColor="text1"/>
          <w:sz w:val="24"/>
        </w:rPr>
        <w:t xml:space="preserve"> E, Perez P, </w:t>
      </w:r>
      <w:proofErr w:type="spellStart"/>
      <w:r w:rsidRPr="007852DA">
        <w:rPr>
          <w:rFonts w:ascii="Book Antiqua" w:hAnsi="Book Antiqua"/>
          <w:color w:val="000000" w:themeColor="text1"/>
          <w:sz w:val="24"/>
        </w:rPr>
        <w:t>Pavy</w:t>
      </w:r>
      <w:proofErr w:type="spellEnd"/>
      <w:r w:rsidRPr="007852DA">
        <w:rPr>
          <w:rFonts w:ascii="Book Antiqua" w:hAnsi="Book Antiqua"/>
          <w:color w:val="000000" w:themeColor="text1"/>
          <w:sz w:val="24"/>
        </w:rPr>
        <w:t xml:space="preserve">-Le </w:t>
      </w:r>
      <w:proofErr w:type="spellStart"/>
      <w:r w:rsidRPr="007852DA">
        <w:rPr>
          <w:rFonts w:ascii="Book Antiqua" w:hAnsi="Book Antiqua"/>
          <w:color w:val="000000" w:themeColor="text1"/>
          <w:sz w:val="24"/>
        </w:rPr>
        <w:t>Traon</w:t>
      </w:r>
      <w:proofErr w:type="spellEnd"/>
      <w:r w:rsidRPr="007852DA">
        <w:rPr>
          <w:rFonts w:ascii="Book Antiqua" w:hAnsi="Book Antiqua"/>
          <w:color w:val="000000" w:themeColor="text1"/>
          <w:sz w:val="24"/>
        </w:rPr>
        <w:t xml:space="preserve"> A, </w:t>
      </w:r>
      <w:proofErr w:type="spellStart"/>
      <w:r w:rsidRPr="007852DA">
        <w:rPr>
          <w:rFonts w:ascii="Book Antiqua" w:hAnsi="Book Antiqua"/>
          <w:color w:val="000000" w:themeColor="text1"/>
          <w:sz w:val="24"/>
        </w:rPr>
        <w:t>Rascol</w:t>
      </w:r>
      <w:proofErr w:type="spellEnd"/>
      <w:r w:rsidRPr="007852DA">
        <w:rPr>
          <w:rFonts w:ascii="Book Antiqua" w:hAnsi="Book Antiqua"/>
          <w:color w:val="000000" w:themeColor="text1"/>
          <w:sz w:val="24"/>
        </w:rPr>
        <w:t xml:space="preserve"> O, </w:t>
      </w:r>
      <w:proofErr w:type="spellStart"/>
      <w:r w:rsidRPr="007852DA">
        <w:rPr>
          <w:rFonts w:ascii="Book Antiqua" w:hAnsi="Book Antiqua"/>
          <w:color w:val="000000" w:themeColor="text1"/>
          <w:sz w:val="24"/>
        </w:rPr>
        <w:t>Foubert-Samier</w:t>
      </w:r>
      <w:proofErr w:type="spellEnd"/>
      <w:r w:rsidRPr="007852DA">
        <w:rPr>
          <w:rFonts w:ascii="Book Antiqua" w:hAnsi="Book Antiqua"/>
          <w:color w:val="000000" w:themeColor="text1"/>
          <w:sz w:val="24"/>
        </w:rPr>
        <w:t xml:space="preserve"> A, </w:t>
      </w:r>
      <w:proofErr w:type="spellStart"/>
      <w:r w:rsidRPr="007852DA">
        <w:rPr>
          <w:rFonts w:ascii="Book Antiqua" w:hAnsi="Book Antiqua"/>
          <w:color w:val="000000" w:themeColor="text1"/>
          <w:sz w:val="24"/>
        </w:rPr>
        <w:t>Tison</w:t>
      </w:r>
      <w:proofErr w:type="spellEnd"/>
      <w:r w:rsidRPr="007852DA">
        <w:rPr>
          <w:rFonts w:ascii="Book Antiqua" w:hAnsi="Book Antiqua"/>
          <w:color w:val="000000" w:themeColor="text1"/>
          <w:sz w:val="24"/>
        </w:rPr>
        <w:t xml:space="preserve"> F, Meissner WG. Multiple system atrophy: a prototypical </w:t>
      </w:r>
      <w:proofErr w:type="spellStart"/>
      <w:r w:rsidRPr="007852DA">
        <w:rPr>
          <w:rFonts w:ascii="Book Antiqua" w:hAnsi="Book Antiqua"/>
          <w:color w:val="000000" w:themeColor="text1"/>
          <w:sz w:val="24"/>
        </w:rPr>
        <w:t>synucleinopathy</w:t>
      </w:r>
      <w:proofErr w:type="spellEnd"/>
      <w:r w:rsidRPr="007852DA">
        <w:rPr>
          <w:rFonts w:ascii="Book Antiqua" w:hAnsi="Book Antiqua"/>
          <w:color w:val="000000" w:themeColor="text1"/>
          <w:sz w:val="24"/>
        </w:rPr>
        <w:t xml:space="preserve"> for disease-modifying therapeutic strategies. </w:t>
      </w:r>
      <w:proofErr w:type="spellStart"/>
      <w:r w:rsidRPr="007852DA">
        <w:rPr>
          <w:rFonts w:ascii="Book Antiqua" w:hAnsi="Book Antiqua"/>
          <w:i/>
          <w:color w:val="000000" w:themeColor="text1"/>
          <w:sz w:val="24"/>
        </w:rPr>
        <w:t>Neurobiol</w:t>
      </w:r>
      <w:proofErr w:type="spellEnd"/>
      <w:r w:rsidRPr="007852DA">
        <w:rPr>
          <w:rFonts w:ascii="Book Antiqua" w:hAnsi="Book Antiqua"/>
          <w:i/>
          <w:color w:val="000000" w:themeColor="text1"/>
          <w:sz w:val="24"/>
        </w:rPr>
        <w:t xml:space="preserve"> Dis</w:t>
      </w:r>
      <w:r w:rsidRPr="007852DA">
        <w:rPr>
          <w:rFonts w:ascii="Book Antiqua" w:hAnsi="Book Antiqua"/>
          <w:color w:val="000000" w:themeColor="text1"/>
          <w:sz w:val="24"/>
        </w:rPr>
        <w:t xml:space="preserve"> 2014; </w:t>
      </w:r>
      <w:r w:rsidRPr="007852DA">
        <w:rPr>
          <w:rFonts w:ascii="Book Antiqua" w:hAnsi="Book Antiqua"/>
          <w:b/>
          <w:color w:val="000000" w:themeColor="text1"/>
          <w:sz w:val="24"/>
        </w:rPr>
        <w:t>67</w:t>
      </w:r>
      <w:r w:rsidRPr="007852DA">
        <w:rPr>
          <w:rFonts w:ascii="Book Antiqua" w:hAnsi="Book Antiqua"/>
          <w:color w:val="000000" w:themeColor="text1"/>
          <w:sz w:val="24"/>
        </w:rPr>
        <w:t>: 133-139 [PMID: 24727096 DOI: 10.1016/j.nbd.2014.03.021]</w:t>
      </w:r>
    </w:p>
    <w:p w14:paraId="32166021" w14:textId="77777777" w:rsidR="004436DE" w:rsidRPr="007852DA" w:rsidRDefault="00041FB5"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57</w:t>
      </w:r>
      <w:r w:rsidR="004436DE" w:rsidRPr="007852DA">
        <w:rPr>
          <w:rFonts w:ascii="Book Antiqua" w:hAnsi="Book Antiqua"/>
          <w:color w:val="000000" w:themeColor="text1"/>
          <w:sz w:val="24"/>
        </w:rPr>
        <w:t xml:space="preserve"> </w:t>
      </w:r>
      <w:proofErr w:type="spellStart"/>
      <w:r w:rsidR="004436DE" w:rsidRPr="007852DA">
        <w:rPr>
          <w:rFonts w:ascii="Book Antiqua" w:hAnsi="Book Antiqua"/>
          <w:b/>
          <w:color w:val="000000" w:themeColor="text1"/>
          <w:sz w:val="24"/>
        </w:rPr>
        <w:t>Jellinger</w:t>
      </w:r>
      <w:proofErr w:type="spellEnd"/>
      <w:r w:rsidR="004436DE" w:rsidRPr="007852DA">
        <w:rPr>
          <w:rFonts w:ascii="Book Antiqua" w:hAnsi="Book Antiqua"/>
          <w:b/>
          <w:color w:val="000000" w:themeColor="text1"/>
          <w:sz w:val="24"/>
        </w:rPr>
        <w:t xml:space="preserve"> KA</w:t>
      </w:r>
      <w:r w:rsidR="004436DE" w:rsidRPr="007852DA">
        <w:rPr>
          <w:rFonts w:ascii="Book Antiqua" w:hAnsi="Book Antiqua"/>
          <w:color w:val="000000" w:themeColor="text1"/>
          <w:sz w:val="24"/>
        </w:rPr>
        <w:t xml:space="preserve">. Interaction between pathogenic proteins in neurodegenerative disorders. </w:t>
      </w:r>
      <w:r w:rsidR="004436DE" w:rsidRPr="007852DA">
        <w:rPr>
          <w:rFonts w:ascii="Book Antiqua" w:hAnsi="Book Antiqua"/>
          <w:i/>
          <w:color w:val="000000" w:themeColor="text1"/>
          <w:sz w:val="24"/>
        </w:rPr>
        <w:t>J Cell Mol Med</w:t>
      </w:r>
      <w:r w:rsidR="004436DE" w:rsidRPr="007852DA">
        <w:rPr>
          <w:rFonts w:ascii="Book Antiqua" w:hAnsi="Book Antiqua"/>
          <w:color w:val="000000" w:themeColor="text1"/>
          <w:sz w:val="24"/>
        </w:rPr>
        <w:t xml:space="preserve"> 2012; </w:t>
      </w:r>
      <w:r w:rsidR="004436DE" w:rsidRPr="007852DA">
        <w:rPr>
          <w:rFonts w:ascii="Book Antiqua" w:hAnsi="Book Antiqua"/>
          <w:b/>
          <w:color w:val="000000" w:themeColor="text1"/>
          <w:sz w:val="24"/>
        </w:rPr>
        <w:t>16</w:t>
      </w:r>
      <w:r w:rsidR="004436DE" w:rsidRPr="007852DA">
        <w:rPr>
          <w:rFonts w:ascii="Book Antiqua" w:hAnsi="Book Antiqua"/>
          <w:color w:val="000000" w:themeColor="text1"/>
          <w:sz w:val="24"/>
        </w:rPr>
        <w:t>: 1166-1183 [PMID: 22176890 DOI: 10.1111/j.1582-4934.2011.01507.x]</w:t>
      </w:r>
    </w:p>
    <w:p w14:paraId="1F72A17D" w14:textId="77777777" w:rsidR="004436DE" w:rsidRPr="007852DA" w:rsidRDefault="00041FB5"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t>58</w:t>
      </w:r>
      <w:r w:rsidR="004436DE" w:rsidRPr="007852DA">
        <w:rPr>
          <w:rFonts w:ascii="Book Antiqua" w:hAnsi="Book Antiqua"/>
          <w:color w:val="000000" w:themeColor="text1"/>
          <w:sz w:val="24"/>
        </w:rPr>
        <w:t xml:space="preserve"> </w:t>
      </w:r>
      <w:proofErr w:type="spellStart"/>
      <w:r w:rsidR="004436DE" w:rsidRPr="007852DA">
        <w:rPr>
          <w:rFonts w:ascii="Book Antiqua" w:hAnsi="Book Antiqua"/>
          <w:b/>
          <w:color w:val="000000" w:themeColor="text1"/>
          <w:sz w:val="24"/>
        </w:rPr>
        <w:t>Kalko</w:t>
      </w:r>
      <w:proofErr w:type="spellEnd"/>
      <w:r w:rsidR="004436DE" w:rsidRPr="007852DA">
        <w:rPr>
          <w:rFonts w:ascii="Book Antiqua" w:hAnsi="Book Antiqua"/>
          <w:b/>
          <w:color w:val="000000" w:themeColor="text1"/>
          <w:sz w:val="24"/>
        </w:rPr>
        <w:t xml:space="preserve"> SG</w:t>
      </w:r>
      <w:r w:rsidR="004436DE" w:rsidRPr="007852DA">
        <w:rPr>
          <w:rFonts w:ascii="Book Antiqua" w:hAnsi="Book Antiqua"/>
          <w:color w:val="000000" w:themeColor="text1"/>
          <w:sz w:val="24"/>
        </w:rPr>
        <w:t xml:space="preserve">, </w:t>
      </w:r>
      <w:proofErr w:type="spellStart"/>
      <w:r w:rsidR="004436DE" w:rsidRPr="007852DA">
        <w:rPr>
          <w:rFonts w:ascii="Book Antiqua" w:hAnsi="Book Antiqua"/>
          <w:color w:val="000000" w:themeColor="text1"/>
          <w:sz w:val="24"/>
        </w:rPr>
        <w:t>Paco</w:t>
      </w:r>
      <w:proofErr w:type="spellEnd"/>
      <w:r w:rsidR="004436DE" w:rsidRPr="007852DA">
        <w:rPr>
          <w:rFonts w:ascii="Book Antiqua" w:hAnsi="Book Antiqua"/>
          <w:color w:val="000000" w:themeColor="text1"/>
          <w:sz w:val="24"/>
        </w:rPr>
        <w:t xml:space="preserve"> S, </w:t>
      </w:r>
      <w:proofErr w:type="spellStart"/>
      <w:r w:rsidR="004436DE" w:rsidRPr="007852DA">
        <w:rPr>
          <w:rFonts w:ascii="Book Antiqua" w:hAnsi="Book Antiqua"/>
          <w:color w:val="000000" w:themeColor="text1"/>
          <w:sz w:val="24"/>
        </w:rPr>
        <w:t>Jou</w:t>
      </w:r>
      <w:proofErr w:type="spellEnd"/>
      <w:r w:rsidR="004436DE" w:rsidRPr="007852DA">
        <w:rPr>
          <w:rFonts w:ascii="Book Antiqua" w:hAnsi="Book Antiqua"/>
          <w:color w:val="000000" w:themeColor="text1"/>
          <w:sz w:val="24"/>
        </w:rPr>
        <w:t xml:space="preserve"> C, Rodríguez MA, </w:t>
      </w:r>
      <w:proofErr w:type="spellStart"/>
      <w:r w:rsidR="004436DE" w:rsidRPr="007852DA">
        <w:rPr>
          <w:rFonts w:ascii="Book Antiqua" w:hAnsi="Book Antiqua"/>
          <w:color w:val="000000" w:themeColor="text1"/>
          <w:sz w:val="24"/>
        </w:rPr>
        <w:t>Meznaric</w:t>
      </w:r>
      <w:proofErr w:type="spellEnd"/>
      <w:r w:rsidR="004436DE" w:rsidRPr="007852DA">
        <w:rPr>
          <w:rFonts w:ascii="Book Antiqua" w:hAnsi="Book Antiqua"/>
          <w:color w:val="000000" w:themeColor="text1"/>
          <w:sz w:val="24"/>
        </w:rPr>
        <w:t xml:space="preserve"> M, </w:t>
      </w:r>
      <w:proofErr w:type="spellStart"/>
      <w:r w:rsidR="004436DE" w:rsidRPr="007852DA">
        <w:rPr>
          <w:rFonts w:ascii="Book Antiqua" w:hAnsi="Book Antiqua"/>
          <w:color w:val="000000" w:themeColor="text1"/>
          <w:sz w:val="24"/>
        </w:rPr>
        <w:t>Rogac</w:t>
      </w:r>
      <w:proofErr w:type="spellEnd"/>
      <w:r w:rsidR="004436DE" w:rsidRPr="007852DA">
        <w:rPr>
          <w:rFonts w:ascii="Book Antiqua" w:hAnsi="Book Antiqua"/>
          <w:color w:val="000000" w:themeColor="text1"/>
          <w:sz w:val="24"/>
        </w:rPr>
        <w:t xml:space="preserve"> M, </w:t>
      </w:r>
      <w:proofErr w:type="spellStart"/>
      <w:r w:rsidR="004436DE" w:rsidRPr="007852DA">
        <w:rPr>
          <w:rFonts w:ascii="Book Antiqua" w:hAnsi="Book Antiqua"/>
          <w:color w:val="000000" w:themeColor="text1"/>
          <w:sz w:val="24"/>
        </w:rPr>
        <w:t>Jekovec-Vrhovsek</w:t>
      </w:r>
      <w:proofErr w:type="spellEnd"/>
      <w:r w:rsidR="004436DE" w:rsidRPr="007852DA">
        <w:rPr>
          <w:rFonts w:ascii="Book Antiqua" w:hAnsi="Book Antiqua"/>
          <w:color w:val="000000" w:themeColor="text1"/>
          <w:sz w:val="24"/>
        </w:rPr>
        <w:t xml:space="preserve"> M, </w:t>
      </w:r>
      <w:proofErr w:type="spellStart"/>
      <w:r w:rsidR="004436DE" w:rsidRPr="007852DA">
        <w:rPr>
          <w:rFonts w:ascii="Book Antiqua" w:hAnsi="Book Antiqua"/>
          <w:color w:val="000000" w:themeColor="text1"/>
          <w:sz w:val="24"/>
        </w:rPr>
        <w:t>Sciacco</w:t>
      </w:r>
      <w:proofErr w:type="spellEnd"/>
      <w:r w:rsidR="004436DE" w:rsidRPr="007852DA">
        <w:rPr>
          <w:rFonts w:ascii="Book Antiqua" w:hAnsi="Book Antiqua"/>
          <w:color w:val="000000" w:themeColor="text1"/>
          <w:sz w:val="24"/>
        </w:rPr>
        <w:t xml:space="preserve"> M, </w:t>
      </w:r>
      <w:proofErr w:type="spellStart"/>
      <w:r w:rsidR="004436DE" w:rsidRPr="007852DA">
        <w:rPr>
          <w:rFonts w:ascii="Book Antiqua" w:hAnsi="Book Antiqua"/>
          <w:color w:val="000000" w:themeColor="text1"/>
          <w:sz w:val="24"/>
        </w:rPr>
        <w:t>Moggio</w:t>
      </w:r>
      <w:proofErr w:type="spellEnd"/>
      <w:r w:rsidR="004436DE" w:rsidRPr="007852DA">
        <w:rPr>
          <w:rFonts w:ascii="Book Antiqua" w:hAnsi="Book Antiqua"/>
          <w:color w:val="000000" w:themeColor="text1"/>
          <w:sz w:val="24"/>
        </w:rPr>
        <w:t xml:space="preserve"> M, </w:t>
      </w:r>
      <w:proofErr w:type="spellStart"/>
      <w:r w:rsidR="004436DE" w:rsidRPr="007852DA">
        <w:rPr>
          <w:rFonts w:ascii="Book Antiqua" w:hAnsi="Book Antiqua"/>
          <w:color w:val="000000" w:themeColor="text1"/>
          <w:sz w:val="24"/>
        </w:rPr>
        <w:t>Fagiolari</w:t>
      </w:r>
      <w:proofErr w:type="spellEnd"/>
      <w:r w:rsidR="004436DE" w:rsidRPr="007852DA">
        <w:rPr>
          <w:rFonts w:ascii="Book Antiqua" w:hAnsi="Book Antiqua"/>
          <w:color w:val="000000" w:themeColor="text1"/>
          <w:sz w:val="24"/>
        </w:rPr>
        <w:t xml:space="preserve"> G, De </w:t>
      </w:r>
      <w:proofErr w:type="spellStart"/>
      <w:r w:rsidR="004436DE" w:rsidRPr="007852DA">
        <w:rPr>
          <w:rFonts w:ascii="Book Antiqua" w:hAnsi="Book Antiqua"/>
          <w:color w:val="000000" w:themeColor="text1"/>
          <w:sz w:val="24"/>
        </w:rPr>
        <w:t>Paepe</w:t>
      </w:r>
      <w:proofErr w:type="spellEnd"/>
      <w:r w:rsidR="004436DE" w:rsidRPr="007852DA">
        <w:rPr>
          <w:rFonts w:ascii="Book Antiqua" w:hAnsi="Book Antiqua"/>
          <w:color w:val="000000" w:themeColor="text1"/>
          <w:sz w:val="24"/>
        </w:rPr>
        <w:t xml:space="preserve"> B, De </w:t>
      </w:r>
      <w:proofErr w:type="spellStart"/>
      <w:r w:rsidR="004436DE" w:rsidRPr="007852DA">
        <w:rPr>
          <w:rFonts w:ascii="Book Antiqua" w:hAnsi="Book Antiqua"/>
          <w:color w:val="000000" w:themeColor="text1"/>
          <w:sz w:val="24"/>
        </w:rPr>
        <w:t>Meirleir</w:t>
      </w:r>
      <w:proofErr w:type="spellEnd"/>
      <w:r w:rsidR="004436DE" w:rsidRPr="007852DA">
        <w:rPr>
          <w:rFonts w:ascii="Book Antiqua" w:hAnsi="Book Antiqua"/>
          <w:color w:val="000000" w:themeColor="text1"/>
          <w:sz w:val="24"/>
        </w:rPr>
        <w:t xml:space="preserve"> L, Ferrer I, </w:t>
      </w:r>
      <w:proofErr w:type="spellStart"/>
      <w:r w:rsidR="004436DE" w:rsidRPr="007852DA">
        <w:rPr>
          <w:rFonts w:ascii="Book Antiqua" w:hAnsi="Book Antiqua"/>
          <w:color w:val="000000" w:themeColor="text1"/>
          <w:sz w:val="24"/>
        </w:rPr>
        <w:t>Roig-Quilis</w:t>
      </w:r>
      <w:proofErr w:type="spellEnd"/>
      <w:r w:rsidR="004436DE" w:rsidRPr="007852DA">
        <w:rPr>
          <w:rFonts w:ascii="Book Antiqua" w:hAnsi="Book Antiqua"/>
          <w:color w:val="000000" w:themeColor="text1"/>
          <w:sz w:val="24"/>
        </w:rPr>
        <w:t xml:space="preserve"> M, </w:t>
      </w:r>
      <w:proofErr w:type="spellStart"/>
      <w:r w:rsidR="004436DE" w:rsidRPr="007852DA">
        <w:rPr>
          <w:rFonts w:ascii="Book Antiqua" w:hAnsi="Book Antiqua"/>
          <w:color w:val="000000" w:themeColor="text1"/>
          <w:sz w:val="24"/>
        </w:rPr>
        <w:t>Munell</w:t>
      </w:r>
      <w:proofErr w:type="spellEnd"/>
      <w:r w:rsidR="004436DE" w:rsidRPr="007852DA">
        <w:rPr>
          <w:rFonts w:ascii="Book Antiqua" w:hAnsi="Book Antiqua"/>
          <w:color w:val="000000" w:themeColor="text1"/>
          <w:sz w:val="24"/>
        </w:rPr>
        <w:t xml:space="preserve"> F, Montoya J, </w:t>
      </w:r>
      <w:proofErr w:type="spellStart"/>
      <w:r w:rsidR="004436DE" w:rsidRPr="007852DA">
        <w:rPr>
          <w:rFonts w:ascii="Book Antiqua" w:hAnsi="Book Antiqua"/>
          <w:color w:val="000000" w:themeColor="text1"/>
          <w:sz w:val="24"/>
        </w:rPr>
        <w:t>López</w:t>
      </w:r>
      <w:proofErr w:type="spellEnd"/>
      <w:r w:rsidR="004436DE" w:rsidRPr="007852DA">
        <w:rPr>
          <w:rFonts w:ascii="Book Antiqua" w:hAnsi="Book Antiqua"/>
          <w:color w:val="000000" w:themeColor="text1"/>
          <w:sz w:val="24"/>
        </w:rPr>
        <w:t>-Gallardo E, Ruiz-</w:t>
      </w:r>
      <w:proofErr w:type="spellStart"/>
      <w:r w:rsidR="004436DE" w:rsidRPr="007852DA">
        <w:rPr>
          <w:rFonts w:ascii="Book Antiqua" w:hAnsi="Book Antiqua"/>
          <w:color w:val="000000" w:themeColor="text1"/>
          <w:sz w:val="24"/>
        </w:rPr>
        <w:t>Pesini</w:t>
      </w:r>
      <w:proofErr w:type="spellEnd"/>
      <w:r w:rsidR="004436DE" w:rsidRPr="007852DA">
        <w:rPr>
          <w:rFonts w:ascii="Book Antiqua" w:hAnsi="Book Antiqua"/>
          <w:color w:val="000000" w:themeColor="text1"/>
          <w:sz w:val="24"/>
        </w:rPr>
        <w:t xml:space="preserve"> E, </w:t>
      </w:r>
      <w:proofErr w:type="spellStart"/>
      <w:r w:rsidR="004436DE" w:rsidRPr="007852DA">
        <w:rPr>
          <w:rFonts w:ascii="Book Antiqua" w:hAnsi="Book Antiqua"/>
          <w:color w:val="000000" w:themeColor="text1"/>
          <w:sz w:val="24"/>
        </w:rPr>
        <w:t>Artuch</w:t>
      </w:r>
      <w:proofErr w:type="spellEnd"/>
      <w:r w:rsidR="004436DE" w:rsidRPr="007852DA">
        <w:rPr>
          <w:rFonts w:ascii="Book Antiqua" w:hAnsi="Book Antiqua"/>
          <w:color w:val="000000" w:themeColor="text1"/>
          <w:sz w:val="24"/>
        </w:rPr>
        <w:t xml:space="preserve"> R, Montero R, </w:t>
      </w:r>
      <w:proofErr w:type="spellStart"/>
      <w:r w:rsidR="004436DE" w:rsidRPr="007852DA">
        <w:rPr>
          <w:rFonts w:ascii="Book Antiqua" w:hAnsi="Book Antiqua"/>
          <w:color w:val="000000" w:themeColor="text1"/>
          <w:sz w:val="24"/>
        </w:rPr>
        <w:t>Torner</w:t>
      </w:r>
      <w:proofErr w:type="spellEnd"/>
      <w:r w:rsidR="004436DE" w:rsidRPr="007852DA">
        <w:rPr>
          <w:rFonts w:ascii="Book Antiqua" w:hAnsi="Book Antiqua"/>
          <w:color w:val="000000" w:themeColor="text1"/>
          <w:sz w:val="24"/>
        </w:rPr>
        <w:t xml:space="preserve"> F, </w:t>
      </w:r>
      <w:proofErr w:type="spellStart"/>
      <w:r w:rsidR="004436DE" w:rsidRPr="007852DA">
        <w:rPr>
          <w:rFonts w:ascii="Book Antiqua" w:hAnsi="Book Antiqua"/>
          <w:color w:val="000000" w:themeColor="text1"/>
          <w:sz w:val="24"/>
        </w:rPr>
        <w:t>Nascimento</w:t>
      </w:r>
      <w:proofErr w:type="spellEnd"/>
      <w:r w:rsidR="004436DE" w:rsidRPr="007852DA">
        <w:rPr>
          <w:rFonts w:ascii="Book Antiqua" w:hAnsi="Book Antiqua"/>
          <w:color w:val="000000" w:themeColor="text1"/>
          <w:sz w:val="24"/>
        </w:rPr>
        <w:t xml:space="preserve"> A, </w:t>
      </w:r>
      <w:proofErr w:type="spellStart"/>
      <w:r w:rsidR="004436DE" w:rsidRPr="007852DA">
        <w:rPr>
          <w:rFonts w:ascii="Book Antiqua" w:hAnsi="Book Antiqua"/>
          <w:color w:val="000000" w:themeColor="text1"/>
          <w:sz w:val="24"/>
        </w:rPr>
        <w:t>Ortez</w:t>
      </w:r>
      <w:proofErr w:type="spellEnd"/>
      <w:r w:rsidR="004436DE" w:rsidRPr="007852DA">
        <w:rPr>
          <w:rFonts w:ascii="Book Antiqua" w:hAnsi="Book Antiqua"/>
          <w:color w:val="000000" w:themeColor="text1"/>
          <w:sz w:val="24"/>
        </w:rPr>
        <w:t xml:space="preserve"> C, </w:t>
      </w:r>
      <w:proofErr w:type="spellStart"/>
      <w:r w:rsidR="004436DE" w:rsidRPr="007852DA">
        <w:rPr>
          <w:rFonts w:ascii="Book Antiqua" w:hAnsi="Book Antiqua"/>
          <w:color w:val="000000" w:themeColor="text1"/>
          <w:sz w:val="24"/>
        </w:rPr>
        <w:t>Colomer</w:t>
      </w:r>
      <w:proofErr w:type="spellEnd"/>
      <w:r w:rsidR="004436DE" w:rsidRPr="007852DA">
        <w:rPr>
          <w:rFonts w:ascii="Book Antiqua" w:hAnsi="Book Antiqua"/>
          <w:color w:val="000000" w:themeColor="text1"/>
          <w:sz w:val="24"/>
        </w:rPr>
        <w:t xml:space="preserve"> J, Jimenez-</w:t>
      </w:r>
      <w:proofErr w:type="spellStart"/>
      <w:r w:rsidR="004436DE" w:rsidRPr="007852DA">
        <w:rPr>
          <w:rFonts w:ascii="Book Antiqua" w:hAnsi="Book Antiqua"/>
          <w:color w:val="000000" w:themeColor="text1"/>
          <w:sz w:val="24"/>
        </w:rPr>
        <w:t>Mallebrera</w:t>
      </w:r>
      <w:proofErr w:type="spellEnd"/>
      <w:r w:rsidR="004436DE" w:rsidRPr="007852DA">
        <w:rPr>
          <w:rFonts w:ascii="Book Antiqua" w:hAnsi="Book Antiqua"/>
          <w:color w:val="000000" w:themeColor="text1"/>
          <w:sz w:val="24"/>
        </w:rPr>
        <w:t xml:space="preserve"> C. Transcriptomic profiling of TK2 deficient human skeletal muscle suggests a role for the p53 </w:t>
      </w:r>
      <w:proofErr w:type="spellStart"/>
      <w:r w:rsidR="004436DE" w:rsidRPr="007852DA">
        <w:rPr>
          <w:rFonts w:ascii="Book Antiqua" w:hAnsi="Book Antiqua"/>
          <w:color w:val="000000" w:themeColor="text1"/>
          <w:sz w:val="24"/>
        </w:rPr>
        <w:t>signalling</w:t>
      </w:r>
      <w:proofErr w:type="spellEnd"/>
      <w:r w:rsidR="004436DE" w:rsidRPr="007852DA">
        <w:rPr>
          <w:rFonts w:ascii="Book Antiqua" w:hAnsi="Book Antiqua"/>
          <w:color w:val="000000" w:themeColor="text1"/>
          <w:sz w:val="24"/>
        </w:rPr>
        <w:t xml:space="preserve"> pathway and identifies growth and differentiation factor-15 as a potential novel biomarker for mitochondrial myopathies. </w:t>
      </w:r>
      <w:r w:rsidR="004436DE" w:rsidRPr="007852DA">
        <w:rPr>
          <w:rFonts w:ascii="Book Antiqua" w:hAnsi="Book Antiqua"/>
          <w:i/>
          <w:color w:val="000000" w:themeColor="text1"/>
          <w:sz w:val="24"/>
        </w:rPr>
        <w:t>BMC Genomics</w:t>
      </w:r>
      <w:r w:rsidR="004436DE" w:rsidRPr="007852DA">
        <w:rPr>
          <w:rFonts w:ascii="Book Antiqua" w:hAnsi="Book Antiqua"/>
          <w:color w:val="000000" w:themeColor="text1"/>
          <w:sz w:val="24"/>
        </w:rPr>
        <w:t xml:space="preserve"> 2014; </w:t>
      </w:r>
      <w:r w:rsidR="004436DE" w:rsidRPr="007852DA">
        <w:rPr>
          <w:rFonts w:ascii="Book Antiqua" w:hAnsi="Book Antiqua"/>
          <w:b/>
          <w:color w:val="000000" w:themeColor="text1"/>
          <w:sz w:val="24"/>
        </w:rPr>
        <w:t>15</w:t>
      </w:r>
      <w:r w:rsidR="004436DE" w:rsidRPr="007852DA">
        <w:rPr>
          <w:rFonts w:ascii="Book Antiqua" w:hAnsi="Book Antiqua"/>
          <w:color w:val="000000" w:themeColor="text1"/>
          <w:sz w:val="24"/>
        </w:rPr>
        <w:t>: 91 [PMID: 24484525 DOI: 10.1186/1471-2164-15-91]</w:t>
      </w:r>
    </w:p>
    <w:p w14:paraId="0BAA078A" w14:textId="77777777" w:rsidR="000D474F" w:rsidRPr="007852DA" w:rsidRDefault="00041FB5" w:rsidP="001F49D0">
      <w:pPr>
        <w:spacing w:line="360" w:lineRule="auto"/>
        <w:rPr>
          <w:rFonts w:ascii="Book Antiqua" w:hAnsi="Book Antiqua"/>
          <w:color w:val="000000" w:themeColor="text1"/>
          <w:sz w:val="24"/>
        </w:rPr>
      </w:pPr>
      <w:r w:rsidRPr="007852DA">
        <w:rPr>
          <w:rFonts w:ascii="Book Antiqua" w:hAnsi="Book Antiqua"/>
          <w:color w:val="000000" w:themeColor="text1"/>
          <w:sz w:val="24"/>
        </w:rPr>
        <w:lastRenderedPageBreak/>
        <w:t>59</w:t>
      </w:r>
      <w:r w:rsidR="004436DE" w:rsidRPr="007852DA">
        <w:rPr>
          <w:rFonts w:ascii="Book Antiqua" w:hAnsi="Book Antiqua"/>
          <w:color w:val="000000" w:themeColor="text1"/>
          <w:sz w:val="24"/>
        </w:rPr>
        <w:t xml:space="preserve"> </w:t>
      </w:r>
      <w:proofErr w:type="spellStart"/>
      <w:r w:rsidR="004436DE" w:rsidRPr="007852DA">
        <w:rPr>
          <w:rFonts w:ascii="Book Antiqua" w:hAnsi="Book Antiqua"/>
          <w:b/>
          <w:color w:val="000000" w:themeColor="text1"/>
          <w:sz w:val="24"/>
        </w:rPr>
        <w:t>Koene</w:t>
      </w:r>
      <w:proofErr w:type="spellEnd"/>
      <w:r w:rsidR="004436DE" w:rsidRPr="007852DA">
        <w:rPr>
          <w:rFonts w:ascii="Book Antiqua" w:hAnsi="Book Antiqua"/>
          <w:b/>
          <w:color w:val="000000" w:themeColor="text1"/>
          <w:sz w:val="24"/>
        </w:rPr>
        <w:t xml:space="preserve"> S</w:t>
      </w:r>
      <w:r w:rsidR="004436DE" w:rsidRPr="007852DA">
        <w:rPr>
          <w:rFonts w:ascii="Book Antiqua" w:hAnsi="Book Antiqua"/>
          <w:color w:val="000000" w:themeColor="text1"/>
          <w:sz w:val="24"/>
        </w:rPr>
        <w:t xml:space="preserve">, de </w:t>
      </w:r>
      <w:proofErr w:type="spellStart"/>
      <w:r w:rsidR="004436DE" w:rsidRPr="007852DA">
        <w:rPr>
          <w:rFonts w:ascii="Book Antiqua" w:hAnsi="Book Antiqua"/>
          <w:color w:val="000000" w:themeColor="text1"/>
          <w:sz w:val="24"/>
        </w:rPr>
        <w:t>Laat</w:t>
      </w:r>
      <w:proofErr w:type="spellEnd"/>
      <w:r w:rsidR="004436DE" w:rsidRPr="007852DA">
        <w:rPr>
          <w:rFonts w:ascii="Book Antiqua" w:hAnsi="Book Antiqua"/>
          <w:color w:val="000000" w:themeColor="text1"/>
          <w:sz w:val="24"/>
        </w:rPr>
        <w:t xml:space="preserve"> P, van </w:t>
      </w:r>
      <w:proofErr w:type="spellStart"/>
      <w:r w:rsidR="004436DE" w:rsidRPr="007852DA">
        <w:rPr>
          <w:rFonts w:ascii="Book Antiqua" w:hAnsi="Book Antiqua"/>
          <w:color w:val="000000" w:themeColor="text1"/>
          <w:sz w:val="24"/>
        </w:rPr>
        <w:t>Tienoven</w:t>
      </w:r>
      <w:proofErr w:type="spellEnd"/>
      <w:r w:rsidR="004436DE" w:rsidRPr="007852DA">
        <w:rPr>
          <w:rFonts w:ascii="Book Antiqua" w:hAnsi="Book Antiqua"/>
          <w:color w:val="000000" w:themeColor="text1"/>
          <w:sz w:val="24"/>
        </w:rPr>
        <w:t xml:space="preserve"> DH, </w:t>
      </w:r>
      <w:proofErr w:type="spellStart"/>
      <w:r w:rsidR="004436DE" w:rsidRPr="007852DA">
        <w:rPr>
          <w:rFonts w:ascii="Book Antiqua" w:hAnsi="Book Antiqua"/>
          <w:color w:val="000000" w:themeColor="text1"/>
          <w:sz w:val="24"/>
        </w:rPr>
        <w:t>Weijers</w:t>
      </w:r>
      <w:proofErr w:type="spellEnd"/>
      <w:r w:rsidR="004436DE" w:rsidRPr="007852DA">
        <w:rPr>
          <w:rFonts w:ascii="Book Antiqua" w:hAnsi="Book Antiqua"/>
          <w:color w:val="000000" w:themeColor="text1"/>
          <w:sz w:val="24"/>
        </w:rPr>
        <w:t xml:space="preserve"> G, </w:t>
      </w:r>
      <w:proofErr w:type="spellStart"/>
      <w:r w:rsidR="004436DE" w:rsidRPr="007852DA">
        <w:rPr>
          <w:rFonts w:ascii="Book Antiqua" w:hAnsi="Book Antiqua"/>
          <w:color w:val="000000" w:themeColor="text1"/>
          <w:sz w:val="24"/>
        </w:rPr>
        <w:t>Vriens</w:t>
      </w:r>
      <w:proofErr w:type="spellEnd"/>
      <w:r w:rsidR="004436DE" w:rsidRPr="007852DA">
        <w:rPr>
          <w:rFonts w:ascii="Book Antiqua" w:hAnsi="Book Antiqua"/>
          <w:color w:val="000000" w:themeColor="text1"/>
          <w:sz w:val="24"/>
        </w:rPr>
        <w:t xml:space="preserve"> D, Sweep FC, Timmermans J, </w:t>
      </w:r>
      <w:proofErr w:type="spellStart"/>
      <w:r w:rsidR="004436DE" w:rsidRPr="007852DA">
        <w:rPr>
          <w:rFonts w:ascii="Book Antiqua" w:hAnsi="Book Antiqua"/>
          <w:color w:val="000000" w:themeColor="text1"/>
          <w:sz w:val="24"/>
        </w:rPr>
        <w:t>Kapusta</w:t>
      </w:r>
      <w:proofErr w:type="spellEnd"/>
      <w:r w:rsidR="004436DE" w:rsidRPr="007852DA">
        <w:rPr>
          <w:rFonts w:ascii="Book Antiqua" w:hAnsi="Book Antiqua"/>
          <w:color w:val="000000" w:themeColor="text1"/>
          <w:sz w:val="24"/>
        </w:rPr>
        <w:t xml:space="preserve"> L, Janssen MC, </w:t>
      </w:r>
      <w:proofErr w:type="spellStart"/>
      <w:r w:rsidR="004436DE" w:rsidRPr="007852DA">
        <w:rPr>
          <w:rFonts w:ascii="Book Antiqua" w:hAnsi="Book Antiqua"/>
          <w:color w:val="000000" w:themeColor="text1"/>
          <w:sz w:val="24"/>
        </w:rPr>
        <w:t>Smeitink</w:t>
      </w:r>
      <w:proofErr w:type="spellEnd"/>
      <w:r w:rsidR="004436DE" w:rsidRPr="007852DA">
        <w:rPr>
          <w:rFonts w:ascii="Book Antiqua" w:hAnsi="Book Antiqua"/>
          <w:color w:val="000000" w:themeColor="text1"/>
          <w:sz w:val="24"/>
        </w:rPr>
        <w:t xml:space="preserve"> JA. Serum GDF15 Levels Correlate to Mitochondrial Disease Severity and Myocardial Strain, but Not to Disease Progression in Adult m.3243A&gt;G Carriers. </w:t>
      </w:r>
      <w:r w:rsidR="004436DE" w:rsidRPr="007852DA">
        <w:rPr>
          <w:rFonts w:ascii="Book Antiqua" w:hAnsi="Book Antiqua"/>
          <w:i/>
          <w:color w:val="000000" w:themeColor="text1"/>
          <w:sz w:val="24"/>
        </w:rPr>
        <w:t>JIMD Rep</w:t>
      </w:r>
      <w:r w:rsidR="004436DE" w:rsidRPr="007852DA">
        <w:rPr>
          <w:rFonts w:ascii="Book Antiqua" w:hAnsi="Book Antiqua"/>
          <w:color w:val="000000" w:themeColor="text1"/>
          <w:sz w:val="24"/>
        </w:rPr>
        <w:t xml:space="preserve"> 2015; </w:t>
      </w:r>
      <w:r w:rsidR="004436DE" w:rsidRPr="007852DA">
        <w:rPr>
          <w:rFonts w:ascii="Book Antiqua" w:hAnsi="Book Antiqua"/>
          <w:b/>
          <w:color w:val="000000" w:themeColor="text1"/>
          <w:sz w:val="24"/>
        </w:rPr>
        <w:t>24</w:t>
      </w:r>
      <w:r w:rsidR="004436DE" w:rsidRPr="007852DA">
        <w:rPr>
          <w:rFonts w:ascii="Book Antiqua" w:hAnsi="Book Antiqua"/>
          <w:color w:val="000000" w:themeColor="text1"/>
          <w:sz w:val="24"/>
        </w:rPr>
        <w:t>: 69-81 [PMID: 25967227 DOI: 10.1007/8904_2015_436]</w:t>
      </w:r>
    </w:p>
    <w:p w14:paraId="14EFE56B" w14:textId="77777777" w:rsidR="004436DE" w:rsidRPr="007852DA" w:rsidRDefault="004436DE" w:rsidP="001F49D0">
      <w:pPr>
        <w:widowControl/>
        <w:spacing w:line="360" w:lineRule="auto"/>
        <w:rPr>
          <w:rFonts w:ascii="Book Antiqua" w:eastAsia="宋体" w:hAnsi="Book Antiqua" w:cs="Times New Roman"/>
          <w:b/>
          <w:color w:val="000000" w:themeColor="text1"/>
          <w:sz w:val="24"/>
        </w:rPr>
      </w:pPr>
      <w:r w:rsidRPr="007852DA">
        <w:rPr>
          <w:rFonts w:ascii="Book Antiqua" w:eastAsia="宋体" w:hAnsi="Book Antiqua" w:cs="Times New Roman"/>
          <w:b/>
          <w:color w:val="000000" w:themeColor="text1"/>
          <w:sz w:val="24"/>
        </w:rPr>
        <w:br w:type="page"/>
      </w:r>
    </w:p>
    <w:p w14:paraId="5240FAC2" w14:textId="77777777" w:rsidR="001F49D0" w:rsidRPr="007852DA" w:rsidRDefault="001F49D0" w:rsidP="001F49D0">
      <w:pPr>
        <w:adjustRightInd w:val="0"/>
        <w:spacing w:line="360" w:lineRule="auto"/>
        <w:rPr>
          <w:rFonts w:ascii="Book Antiqua" w:hAnsi="Book Antiqua"/>
          <w:b/>
          <w:color w:val="000000" w:themeColor="text1"/>
          <w:sz w:val="24"/>
        </w:rPr>
      </w:pPr>
      <w:r w:rsidRPr="007852DA">
        <w:rPr>
          <w:rFonts w:ascii="Book Antiqua" w:hAnsi="Book Antiqua"/>
          <w:b/>
          <w:color w:val="000000" w:themeColor="text1"/>
          <w:sz w:val="24"/>
        </w:rPr>
        <w:lastRenderedPageBreak/>
        <w:t>Footnotes</w:t>
      </w:r>
    </w:p>
    <w:p w14:paraId="21E0C9DB" w14:textId="77777777" w:rsidR="000D474F" w:rsidRPr="007852DA" w:rsidRDefault="001F49D0" w:rsidP="001F49D0">
      <w:pPr>
        <w:autoSpaceDE w:val="0"/>
        <w:autoSpaceDN w:val="0"/>
        <w:adjustRightInd w:val="0"/>
        <w:spacing w:line="360" w:lineRule="auto"/>
        <w:rPr>
          <w:rFonts w:ascii="Book Antiqua" w:eastAsia="宋体" w:hAnsi="Book Antiqua" w:cs="Times New Roman"/>
          <w:b/>
          <w:color w:val="000000" w:themeColor="text1"/>
          <w:sz w:val="24"/>
        </w:rPr>
      </w:pPr>
      <w:r w:rsidRPr="007852DA">
        <w:rPr>
          <w:rFonts w:ascii="Book Antiqua" w:hAnsi="Book Antiqua"/>
          <w:b/>
          <w:color w:val="000000" w:themeColor="text1"/>
          <w:sz w:val="24"/>
        </w:rPr>
        <w:t>Institutional review board statement</w:t>
      </w:r>
      <w:r w:rsidRPr="007852DA">
        <w:rPr>
          <w:rFonts w:ascii="Book Antiqua" w:hAnsi="Book Antiqua"/>
          <w:b/>
          <w:bCs/>
          <w:iCs/>
          <w:color w:val="000000" w:themeColor="text1"/>
          <w:sz w:val="24"/>
        </w:rPr>
        <w:t xml:space="preserve">: </w:t>
      </w:r>
      <w:r w:rsidR="0096702B" w:rsidRPr="007852DA">
        <w:rPr>
          <w:rFonts w:ascii="Book Antiqua" w:eastAsia="宋体" w:hAnsi="Book Antiqua" w:cs="Times New Roman"/>
          <w:color w:val="000000" w:themeColor="text1"/>
          <w:sz w:val="24"/>
        </w:rPr>
        <w:t xml:space="preserve">The study was approved by the </w:t>
      </w:r>
      <w:r w:rsidR="0096702B" w:rsidRPr="007852DA">
        <w:rPr>
          <w:rFonts w:ascii="Book Antiqua" w:eastAsia="宋体" w:hAnsi="Book Antiqua" w:cs="Times New Roman"/>
          <w:caps/>
          <w:color w:val="000000" w:themeColor="text1"/>
          <w:sz w:val="24"/>
        </w:rPr>
        <w:t>e</w:t>
      </w:r>
      <w:r w:rsidR="0096702B" w:rsidRPr="007852DA">
        <w:rPr>
          <w:rFonts w:ascii="Book Antiqua" w:eastAsia="宋体" w:hAnsi="Book Antiqua" w:cs="Times New Roman"/>
          <w:color w:val="000000" w:themeColor="text1"/>
          <w:sz w:val="24"/>
        </w:rPr>
        <w:t xml:space="preserve">thics </w:t>
      </w:r>
      <w:r w:rsidR="0096702B" w:rsidRPr="007852DA">
        <w:rPr>
          <w:rFonts w:ascii="Book Antiqua" w:eastAsia="宋体" w:hAnsi="Book Antiqua" w:cs="Times New Roman"/>
          <w:caps/>
          <w:color w:val="000000" w:themeColor="text1"/>
          <w:sz w:val="24"/>
        </w:rPr>
        <w:t>c</w:t>
      </w:r>
      <w:r w:rsidR="0096702B" w:rsidRPr="007852DA">
        <w:rPr>
          <w:rFonts w:ascii="Book Antiqua" w:eastAsia="宋体" w:hAnsi="Book Antiqua" w:cs="Times New Roman"/>
          <w:color w:val="000000" w:themeColor="text1"/>
          <w:sz w:val="24"/>
        </w:rPr>
        <w:t xml:space="preserve">ommittee of </w:t>
      </w:r>
      <w:proofErr w:type="spellStart"/>
      <w:r w:rsidR="0096702B" w:rsidRPr="007852DA">
        <w:rPr>
          <w:rFonts w:ascii="Book Antiqua" w:eastAsia="宋体" w:hAnsi="Book Antiqua" w:cs="Times New Roman"/>
          <w:color w:val="000000" w:themeColor="text1"/>
          <w:sz w:val="24"/>
        </w:rPr>
        <w:t>Qilu</w:t>
      </w:r>
      <w:proofErr w:type="spellEnd"/>
      <w:r w:rsidR="0096702B" w:rsidRPr="007852DA">
        <w:rPr>
          <w:rFonts w:ascii="Book Antiqua" w:eastAsia="宋体" w:hAnsi="Book Antiqua" w:cs="Times New Roman"/>
          <w:color w:val="000000" w:themeColor="text1"/>
          <w:sz w:val="24"/>
        </w:rPr>
        <w:t xml:space="preserve"> Hospital of Shandong University</w:t>
      </w:r>
      <w:r w:rsidR="00465FE5" w:rsidRPr="007852DA">
        <w:rPr>
          <w:rFonts w:ascii="Book Antiqua" w:eastAsia="宋体" w:hAnsi="Book Antiqua" w:cs="Times New Roman"/>
          <w:color w:val="000000" w:themeColor="text1"/>
          <w:sz w:val="24"/>
        </w:rPr>
        <w:t>.</w:t>
      </w:r>
    </w:p>
    <w:p w14:paraId="47ACA72E" w14:textId="77777777" w:rsidR="000D474F" w:rsidRPr="007852DA" w:rsidRDefault="000D474F" w:rsidP="001F49D0">
      <w:pPr>
        <w:autoSpaceDE w:val="0"/>
        <w:autoSpaceDN w:val="0"/>
        <w:adjustRightInd w:val="0"/>
        <w:spacing w:line="360" w:lineRule="auto"/>
        <w:rPr>
          <w:rFonts w:ascii="Book Antiqua" w:eastAsia="宋体" w:hAnsi="Book Antiqua" w:cs="Times New Roman"/>
          <w:b/>
          <w:color w:val="000000" w:themeColor="text1"/>
          <w:sz w:val="24"/>
        </w:rPr>
      </w:pPr>
    </w:p>
    <w:p w14:paraId="45967AA2" w14:textId="77777777" w:rsidR="000D474F" w:rsidRPr="007852DA" w:rsidRDefault="001F49D0"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hAnsi="Book Antiqua"/>
          <w:b/>
          <w:color w:val="000000" w:themeColor="text1"/>
          <w:sz w:val="24"/>
        </w:rPr>
        <w:t>Informed consent statement</w:t>
      </w:r>
      <w:r w:rsidRPr="007852DA">
        <w:rPr>
          <w:rFonts w:ascii="Book Antiqua" w:hAnsi="Book Antiqua"/>
          <w:b/>
          <w:bCs/>
          <w:iCs/>
          <w:color w:val="000000" w:themeColor="text1"/>
          <w:sz w:val="24"/>
        </w:rPr>
        <w:t xml:space="preserve">: </w:t>
      </w:r>
      <w:r w:rsidR="0096702B" w:rsidRPr="007852DA">
        <w:rPr>
          <w:rFonts w:ascii="Book Antiqua" w:eastAsia="宋体" w:hAnsi="Book Antiqua" w:cs="Times New Roman"/>
          <w:color w:val="000000" w:themeColor="text1"/>
          <w:sz w:val="24"/>
        </w:rPr>
        <w:t>All patients gave informed consent.</w:t>
      </w:r>
    </w:p>
    <w:p w14:paraId="38EB7A69" w14:textId="77777777" w:rsidR="000D474F" w:rsidRPr="007852DA" w:rsidRDefault="000D474F" w:rsidP="001F49D0">
      <w:pPr>
        <w:autoSpaceDE w:val="0"/>
        <w:autoSpaceDN w:val="0"/>
        <w:adjustRightInd w:val="0"/>
        <w:spacing w:line="360" w:lineRule="auto"/>
        <w:rPr>
          <w:rFonts w:ascii="Book Antiqua" w:eastAsia="宋体" w:hAnsi="Book Antiqua" w:cs="Times New Roman"/>
          <w:b/>
          <w:color w:val="000000" w:themeColor="text1"/>
          <w:sz w:val="24"/>
        </w:rPr>
      </w:pPr>
    </w:p>
    <w:p w14:paraId="3CC3D4A7" w14:textId="77777777" w:rsidR="000D474F" w:rsidRPr="007852DA" w:rsidRDefault="001F49D0"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hAnsi="Book Antiqua"/>
          <w:b/>
          <w:color w:val="000000" w:themeColor="text1"/>
          <w:sz w:val="24"/>
        </w:rPr>
        <w:t>Conflict-of-interest statement</w:t>
      </w:r>
      <w:r w:rsidRPr="007852DA">
        <w:rPr>
          <w:rFonts w:ascii="Book Antiqua" w:hAnsi="Book Antiqua" w:cs="TimesNewRomanPS-BoldItalicMT"/>
          <w:b/>
          <w:bCs/>
          <w:iCs/>
          <w:color w:val="000000" w:themeColor="text1"/>
          <w:sz w:val="24"/>
        </w:rPr>
        <w:t>:</w:t>
      </w:r>
      <w:r w:rsidRPr="007852DA">
        <w:rPr>
          <w:rFonts w:ascii="Book Antiqua" w:hAnsi="Book Antiqua"/>
          <w:color w:val="000000" w:themeColor="text1"/>
          <w:sz w:val="24"/>
          <w:lang w:eastAsia="fr-FR"/>
        </w:rPr>
        <w:t xml:space="preserve"> </w:t>
      </w:r>
      <w:r w:rsidR="0096702B" w:rsidRPr="007852DA">
        <w:rPr>
          <w:rFonts w:ascii="Book Antiqua" w:eastAsia="宋体" w:hAnsi="Book Antiqua" w:cs="Times New Roman"/>
          <w:color w:val="000000" w:themeColor="text1"/>
          <w:sz w:val="24"/>
        </w:rPr>
        <w:t>No benefits in any form have been received or will be received from a commercial party related directly or indirectly to the subject of this article.</w:t>
      </w:r>
    </w:p>
    <w:p w14:paraId="3FC1E196" w14:textId="77777777" w:rsidR="004436DE" w:rsidRPr="007852DA" w:rsidRDefault="004436DE" w:rsidP="001F49D0">
      <w:pPr>
        <w:autoSpaceDE w:val="0"/>
        <w:autoSpaceDN w:val="0"/>
        <w:adjustRightInd w:val="0"/>
        <w:spacing w:line="360" w:lineRule="auto"/>
        <w:rPr>
          <w:rFonts w:ascii="Book Antiqua" w:eastAsia="宋体" w:hAnsi="Book Antiqua" w:cs="Times New Roman"/>
          <w:b/>
          <w:color w:val="000000" w:themeColor="text1"/>
          <w:sz w:val="24"/>
        </w:rPr>
      </w:pPr>
    </w:p>
    <w:p w14:paraId="0BF805F2" w14:textId="77777777" w:rsidR="000D474F" w:rsidRPr="007852DA" w:rsidRDefault="001F49D0" w:rsidP="001F49D0">
      <w:pPr>
        <w:autoSpaceDE w:val="0"/>
        <w:autoSpaceDN w:val="0"/>
        <w:adjustRightInd w:val="0"/>
        <w:spacing w:line="360" w:lineRule="auto"/>
        <w:rPr>
          <w:rFonts w:ascii="Book Antiqua" w:hAnsi="Book Antiqua"/>
          <w:color w:val="000000" w:themeColor="text1"/>
          <w:sz w:val="24"/>
        </w:rPr>
      </w:pPr>
      <w:r w:rsidRPr="007852DA">
        <w:rPr>
          <w:rFonts w:ascii="Book Antiqua" w:hAnsi="Book Antiqua" w:cs="TimesNewRomanPS-BoldItalicMT"/>
          <w:b/>
          <w:bCs/>
          <w:iCs/>
          <w:color w:val="000000" w:themeColor="text1"/>
          <w:sz w:val="24"/>
        </w:rPr>
        <w:t>Data sharing</w:t>
      </w:r>
      <w:r w:rsidRPr="007852DA">
        <w:rPr>
          <w:rFonts w:ascii="Book Antiqua" w:hAnsi="Book Antiqua"/>
          <w:b/>
          <w:color w:val="000000" w:themeColor="text1"/>
          <w:sz w:val="24"/>
        </w:rPr>
        <w:t xml:space="preserve"> statement</w:t>
      </w:r>
      <w:r w:rsidRPr="007852DA">
        <w:rPr>
          <w:rFonts w:ascii="Book Antiqua" w:hAnsi="Book Antiqua" w:cs="TimesNewRomanPS-BoldItalicMT"/>
          <w:b/>
          <w:bCs/>
          <w:iCs/>
          <w:color w:val="000000" w:themeColor="text1"/>
          <w:sz w:val="24"/>
        </w:rPr>
        <w:t>:</w:t>
      </w:r>
      <w:r w:rsidRPr="007852DA">
        <w:rPr>
          <w:rFonts w:ascii="Book Antiqua" w:hAnsi="Book Antiqua"/>
          <w:color w:val="000000" w:themeColor="text1"/>
          <w:sz w:val="24"/>
          <w:shd w:val="clear" w:color="auto" w:fill="FFFFFF"/>
        </w:rPr>
        <w:t xml:space="preserve"> </w:t>
      </w:r>
      <w:r w:rsidR="0096702B" w:rsidRPr="007852DA">
        <w:rPr>
          <w:rFonts w:ascii="Book Antiqua" w:eastAsia="宋体" w:hAnsi="Book Antiqua" w:cs="Times New Roman"/>
          <w:color w:val="000000" w:themeColor="text1"/>
          <w:sz w:val="24"/>
        </w:rPr>
        <w:t xml:space="preserve">Technical appendix, statistical code, and dataset available from the corresponding author at </w:t>
      </w:r>
      <w:hyperlink r:id="rId9" w:history="1">
        <w:r w:rsidR="0096702B" w:rsidRPr="007852DA">
          <w:rPr>
            <w:rStyle w:val="ab"/>
            <w:rFonts w:ascii="Book Antiqua" w:hAnsi="Book Antiqua"/>
            <w:color w:val="000000" w:themeColor="text1"/>
            <w:sz w:val="24"/>
          </w:rPr>
          <w:t>liuym@sdu.edu.cn</w:t>
        </w:r>
      </w:hyperlink>
      <w:r w:rsidR="0096702B" w:rsidRPr="007852DA">
        <w:rPr>
          <w:rFonts w:ascii="Book Antiqua" w:hAnsi="Book Antiqua"/>
          <w:color w:val="000000" w:themeColor="text1"/>
          <w:sz w:val="24"/>
        </w:rPr>
        <w:t>.</w:t>
      </w:r>
    </w:p>
    <w:p w14:paraId="4508CF35" w14:textId="77777777" w:rsidR="000D474F" w:rsidRPr="007852DA" w:rsidRDefault="000D474F" w:rsidP="001F49D0">
      <w:pPr>
        <w:autoSpaceDE w:val="0"/>
        <w:autoSpaceDN w:val="0"/>
        <w:adjustRightInd w:val="0"/>
        <w:spacing w:line="360" w:lineRule="auto"/>
        <w:rPr>
          <w:rFonts w:ascii="Book Antiqua" w:hAnsi="Book Antiqua"/>
          <w:color w:val="000000" w:themeColor="text1"/>
          <w:sz w:val="24"/>
        </w:rPr>
      </w:pPr>
    </w:p>
    <w:p w14:paraId="7E020A3A" w14:textId="77777777" w:rsidR="000D474F" w:rsidRPr="007852DA" w:rsidRDefault="001F49D0" w:rsidP="001F49D0">
      <w:pPr>
        <w:tabs>
          <w:tab w:val="left" w:pos="9000"/>
        </w:tabs>
        <w:adjustRightInd w:val="0"/>
        <w:spacing w:line="360" w:lineRule="auto"/>
        <w:rPr>
          <w:rFonts w:ascii="Book Antiqua" w:hAnsi="Book Antiqua"/>
          <w:b/>
          <w:color w:val="000000" w:themeColor="text1"/>
          <w:sz w:val="24"/>
        </w:rPr>
      </w:pPr>
      <w:r w:rsidRPr="007852DA">
        <w:rPr>
          <w:rFonts w:ascii="Book Antiqua" w:hAnsi="Book Antiqua"/>
          <w:b/>
          <w:color w:val="000000" w:themeColor="text1"/>
          <w:sz w:val="24"/>
        </w:rPr>
        <w:t xml:space="preserve">STROBE Statement: </w:t>
      </w:r>
      <w:r w:rsidR="0096702B" w:rsidRPr="007852DA">
        <w:rPr>
          <w:rFonts w:ascii="Book Antiqua" w:hAnsi="Book Antiqua"/>
          <w:color w:val="000000" w:themeColor="text1"/>
          <w:kern w:val="0"/>
          <w:sz w:val="24"/>
        </w:rPr>
        <w:t>The authors have read the STROBE Statement</w:t>
      </w:r>
      <w:r w:rsidR="004436DE" w:rsidRPr="007852DA">
        <w:rPr>
          <w:rFonts w:ascii="Book Antiqua" w:hAnsi="Book Antiqua"/>
          <w:color w:val="000000" w:themeColor="text1"/>
          <w:kern w:val="0"/>
          <w:sz w:val="24"/>
        </w:rPr>
        <w:t>-</w:t>
      </w:r>
      <w:r w:rsidR="0096702B" w:rsidRPr="007852DA">
        <w:rPr>
          <w:rFonts w:ascii="Book Antiqua" w:hAnsi="Book Antiqua"/>
          <w:color w:val="000000" w:themeColor="text1"/>
          <w:kern w:val="0"/>
          <w:sz w:val="24"/>
        </w:rPr>
        <w:t>checklist of items, and the manuscript was prepared and revised according to the STROBE Statement</w:t>
      </w:r>
      <w:r w:rsidR="004436DE" w:rsidRPr="007852DA">
        <w:rPr>
          <w:rFonts w:ascii="Book Antiqua" w:hAnsi="Book Antiqua"/>
          <w:color w:val="000000" w:themeColor="text1"/>
          <w:kern w:val="0"/>
          <w:sz w:val="24"/>
        </w:rPr>
        <w:t>-</w:t>
      </w:r>
      <w:r w:rsidR="0096702B" w:rsidRPr="007852DA">
        <w:rPr>
          <w:rFonts w:ascii="Book Antiqua" w:hAnsi="Book Antiqua"/>
          <w:color w:val="000000" w:themeColor="text1"/>
          <w:kern w:val="0"/>
          <w:sz w:val="24"/>
        </w:rPr>
        <w:t>checklist of items.</w:t>
      </w:r>
    </w:p>
    <w:p w14:paraId="2F4F5B71" w14:textId="77777777" w:rsidR="000D474F" w:rsidRPr="007852DA" w:rsidRDefault="000D474F" w:rsidP="001F49D0">
      <w:pPr>
        <w:autoSpaceDE w:val="0"/>
        <w:autoSpaceDN w:val="0"/>
        <w:adjustRightInd w:val="0"/>
        <w:spacing w:line="360" w:lineRule="auto"/>
        <w:rPr>
          <w:rFonts w:ascii="Book Antiqua" w:eastAsia="宋体" w:hAnsi="Book Antiqua" w:cs="Times New Roman"/>
          <w:b/>
          <w:color w:val="000000" w:themeColor="text1"/>
          <w:sz w:val="24"/>
        </w:rPr>
      </w:pPr>
    </w:p>
    <w:p w14:paraId="1273C802" w14:textId="77777777" w:rsidR="001F49D0" w:rsidRPr="007852DA" w:rsidRDefault="001F49D0" w:rsidP="001F49D0">
      <w:pPr>
        <w:spacing w:line="360" w:lineRule="auto"/>
        <w:rPr>
          <w:rFonts w:ascii="Book Antiqua" w:hAnsi="Book Antiqua"/>
          <w:color w:val="000000" w:themeColor="text1"/>
          <w:sz w:val="24"/>
        </w:rPr>
      </w:pPr>
      <w:r w:rsidRPr="007852DA">
        <w:rPr>
          <w:rFonts w:ascii="Book Antiqua" w:hAnsi="Book Antiqua"/>
          <w:b/>
          <w:color w:val="000000" w:themeColor="text1"/>
          <w:sz w:val="24"/>
        </w:rPr>
        <w:t>Open-Access:</w:t>
      </w:r>
      <w:r w:rsidRPr="007852DA">
        <w:rPr>
          <w:rFonts w:ascii="Book Antiqua" w:hAnsi="Book Antiqua"/>
          <w:color w:val="000000" w:themeColor="text1"/>
          <w:sz w:val="24"/>
        </w:rPr>
        <w:t xml:space="preserve"> This article is an open-access article that was selected by an in-house editor and fully peer-reviewed by external reviewers. It is distributed in accordance with the Creative Commons Attribution </w:t>
      </w:r>
      <w:proofErr w:type="spellStart"/>
      <w:r w:rsidRPr="007852DA">
        <w:rPr>
          <w:rFonts w:ascii="Book Antiqua" w:hAnsi="Book Antiqua"/>
          <w:color w:val="000000" w:themeColor="text1"/>
          <w:sz w:val="24"/>
        </w:rPr>
        <w:t>NonCommercial</w:t>
      </w:r>
      <w:proofErr w:type="spellEnd"/>
      <w:r w:rsidRPr="007852DA">
        <w:rPr>
          <w:rFonts w:ascii="Book Antiqua" w:hAnsi="Book Antiqua"/>
          <w:color w:val="000000" w:themeColor="text1"/>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CCB2EA" w14:textId="77777777" w:rsidR="001F49D0" w:rsidRPr="007852DA" w:rsidRDefault="001F49D0" w:rsidP="001F49D0">
      <w:pPr>
        <w:adjustRightInd w:val="0"/>
        <w:spacing w:line="360" w:lineRule="auto"/>
        <w:rPr>
          <w:rFonts w:ascii="Book Antiqua" w:hAnsi="Book Antiqua"/>
          <w:b/>
          <w:bCs/>
          <w:color w:val="000000" w:themeColor="text1"/>
          <w:sz w:val="24"/>
        </w:rPr>
      </w:pPr>
    </w:p>
    <w:p w14:paraId="0DF8B212" w14:textId="77777777" w:rsidR="000D474F" w:rsidRPr="007852DA" w:rsidRDefault="001F49D0" w:rsidP="001F49D0">
      <w:pPr>
        <w:adjustRightInd w:val="0"/>
        <w:spacing w:line="360" w:lineRule="auto"/>
        <w:rPr>
          <w:rFonts w:ascii="Book Antiqua" w:eastAsia="等线" w:hAnsi="Book Antiqua"/>
          <w:bCs/>
          <w:color w:val="000000" w:themeColor="text1"/>
          <w:sz w:val="24"/>
        </w:rPr>
      </w:pPr>
      <w:r w:rsidRPr="007852DA">
        <w:rPr>
          <w:rFonts w:ascii="Book Antiqua" w:hAnsi="Book Antiqua"/>
          <w:b/>
          <w:bCs/>
          <w:color w:val="000000" w:themeColor="text1"/>
          <w:sz w:val="24"/>
          <w:lang w:eastAsia="pl-PL"/>
        </w:rPr>
        <w:t>Manuscript source:</w:t>
      </w:r>
      <w:r w:rsidRPr="007852DA">
        <w:rPr>
          <w:rFonts w:ascii="Book Antiqua" w:hAnsi="Book Antiqua"/>
          <w:b/>
          <w:bCs/>
          <w:color w:val="000000" w:themeColor="text1"/>
          <w:sz w:val="24"/>
        </w:rPr>
        <w:t xml:space="preserve"> </w:t>
      </w:r>
      <w:r w:rsidR="0096702B" w:rsidRPr="007852DA">
        <w:rPr>
          <w:rFonts w:ascii="Book Antiqua" w:eastAsia="等线" w:hAnsi="Book Antiqua"/>
          <w:bCs/>
          <w:color w:val="000000" w:themeColor="text1"/>
          <w:sz w:val="24"/>
        </w:rPr>
        <w:t>Invited manuscript</w:t>
      </w:r>
    </w:p>
    <w:p w14:paraId="18D42825" w14:textId="77777777" w:rsidR="00537E6A" w:rsidRPr="007852DA" w:rsidRDefault="00537E6A" w:rsidP="001F49D0">
      <w:pPr>
        <w:adjustRightInd w:val="0"/>
        <w:spacing w:line="360" w:lineRule="auto"/>
        <w:rPr>
          <w:rFonts w:ascii="Book Antiqua" w:eastAsia="等线" w:hAnsi="Book Antiqua"/>
          <w:b/>
          <w:color w:val="000000" w:themeColor="text1"/>
          <w:sz w:val="24"/>
        </w:rPr>
      </w:pPr>
    </w:p>
    <w:p w14:paraId="1E14D17C" w14:textId="77777777" w:rsidR="000D474F" w:rsidRPr="007852DA" w:rsidRDefault="001F49D0" w:rsidP="001F49D0">
      <w:pPr>
        <w:adjustRightInd w:val="0"/>
        <w:spacing w:line="360" w:lineRule="auto"/>
        <w:rPr>
          <w:rFonts w:ascii="Book Antiqua" w:eastAsia="等线" w:hAnsi="Book Antiqua"/>
          <w:b/>
          <w:bCs/>
          <w:color w:val="000000" w:themeColor="text1"/>
          <w:sz w:val="24"/>
        </w:rPr>
      </w:pPr>
      <w:r w:rsidRPr="007852DA">
        <w:rPr>
          <w:rFonts w:ascii="Book Antiqua" w:eastAsia="等线" w:hAnsi="Book Antiqua"/>
          <w:b/>
          <w:bCs/>
          <w:color w:val="000000" w:themeColor="text1"/>
          <w:sz w:val="24"/>
        </w:rPr>
        <w:t xml:space="preserve">Corresponding Author's Membership in Professional Societies: </w:t>
      </w:r>
      <w:r w:rsidR="00537E6A" w:rsidRPr="007852DA">
        <w:rPr>
          <w:rFonts w:ascii="Book Antiqua" w:eastAsia="等线" w:hAnsi="Book Antiqua"/>
          <w:color w:val="000000" w:themeColor="text1"/>
          <w:sz w:val="24"/>
        </w:rPr>
        <w:t xml:space="preserve">Member of </w:t>
      </w:r>
      <w:r w:rsidR="00537E6A" w:rsidRPr="007852DA">
        <w:rPr>
          <w:rFonts w:ascii="Book Antiqua" w:eastAsia="等线" w:hAnsi="Book Antiqua"/>
          <w:color w:val="000000" w:themeColor="text1"/>
          <w:sz w:val="24"/>
        </w:rPr>
        <w:lastRenderedPageBreak/>
        <w:t xml:space="preserve">Parkinson's </w:t>
      </w:r>
      <w:r w:rsidR="00537E6A" w:rsidRPr="007852DA">
        <w:rPr>
          <w:rFonts w:ascii="Book Antiqua" w:eastAsia="等线" w:hAnsi="Book Antiqua"/>
          <w:caps/>
          <w:color w:val="000000" w:themeColor="text1"/>
          <w:sz w:val="24"/>
        </w:rPr>
        <w:t>d</w:t>
      </w:r>
      <w:r w:rsidR="00537E6A" w:rsidRPr="007852DA">
        <w:rPr>
          <w:rFonts w:ascii="Book Antiqua" w:eastAsia="等线" w:hAnsi="Book Antiqua"/>
          <w:color w:val="000000" w:themeColor="text1"/>
          <w:sz w:val="24"/>
        </w:rPr>
        <w:t xml:space="preserve">isease and </w:t>
      </w:r>
      <w:r w:rsidR="00537E6A" w:rsidRPr="007852DA">
        <w:rPr>
          <w:rFonts w:ascii="Book Antiqua" w:eastAsia="等线" w:hAnsi="Book Antiqua"/>
          <w:caps/>
          <w:color w:val="000000" w:themeColor="text1"/>
          <w:sz w:val="24"/>
        </w:rPr>
        <w:t>m</w:t>
      </w:r>
      <w:r w:rsidR="00537E6A" w:rsidRPr="007852DA">
        <w:rPr>
          <w:rFonts w:ascii="Book Antiqua" w:eastAsia="等线" w:hAnsi="Book Antiqua"/>
          <w:color w:val="000000" w:themeColor="text1"/>
          <w:sz w:val="24"/>
        </w:rPr>
        <w:t xml:space="preserve">otor </w:t>
      </w:r>
      <w:r w:rsidR="00537E6A" w:rsidRPr="007852DA">
        <w:rPr>
          <w:rFonts w:ascii="Book Antiqua" w:eastAsia="等线" w:hAnsi="Book Antiqua"/>
          <w:caps/>
          <w:color w:val="000000" w:themeColor="text1"/>
          <w:sz w:val="24"/>
        </w:rPr>
        <w:t>d</w:t>
      </w:r>
      <w:r w:rsidR="00537E6A" w:rsidRPr="007852DA">
        <w:rPr>
          <w:rFonts w:ascii="Book Antiqua" w:eastAsia="等线" w:hAnsi="Book Antiqua"/>
          <w:color w:val="000000" w:themeColor="text1"/>
          <w:sz w:val="24"/>
        </w:rPr>
        <w:t xml:space="preserve">isorders </w:t>
      </w:r>
      <w:r w:rsidR="00537E6A" w:rsidRPr="007852DA">
        <w:rPr>
          <w:rFonts w:ascii="Book Antiqua" w:eastAsia="等线" w:hAnsi="Book Antiqua"/>
          <w:caps/>
          <w:color w:val="000000" w:themeColor="text1"/>
          <w:sz w:val="24"/>
        </w:rPr>
        <w:t>g</w:t>
      </w:r>
      <w:r w:rsidR="00537E6A" w:rsidRPr="007852DA">
        <w:rPr>
          <w:rFonts w:ascii="Book Antiqua" w:eastAsia="等线" w:hAnsi="Book Antiqua"/>
          <w:color w:val="000000" w:themeColor="text1"/>
          <w:sz w:val="24"/>
        </w:rPr>
        <w:t xml:space="preserve">roup, </w:t>
      </w:r>
      <w:r w:rsidR="00537E6A" w:rsidRPr="007852DA">
        <w:rPr>
          <w:rFonts w:ascii="Book Antiqua" w:eastAsia="等线" w:hAnsi="Book Antiqua"/>
          <w:caps/>
          <w:color w:val="000000" w:themeColor="text1"/>
          <w:sz w:val="24"/>
        </w:rPr>
        <w:t>n</w:t>
      </w:r>
      <w:r w:rsidR="00537E6A" w:rsidRPr="007852DA">
        <w:rPr>
          <w:rFonts w:ascii="Book Antiqua" w:eastAsia="等线" w:hAnsi="Book Antiqua"/>
          <w:color w:val="000000" w:themeColor="text1"/>
          <w:sz w:val="24"/>
        </w:rPr>
        <w:t>eurology</w:t>
      </w:r>
      <w:r w:rsidR="00537E6A" w:rsidRPr="007852DA">
        <w:rPr>
          <w:rFonts w:ascii="Book Antiqua" w:eastAsia="等线" w:hAnsi="Book Antiqua"/>
          <w:caps/>
          <w:color w:val="000000" w:themeColor="text1"/>
          <w:sz w:val="24"/>
        </w:rPr>
        <w:t xml:space="preserve"> b</w:t>
      </w:r>
      <w:r w:rsidR="00537E6A" w:rsidRPr="007852DA">
        <w:rPr>
          <w:rFonts w:ascii="Book Antiqua" w:eastAsia="等线" w:hAnsi="Book Antiqua"/>
          <w:color w:val="000000" w:themeColor="text1"/>
          <w:sz w:val="24"/>
        </w:rPr>
        <w:t>ranch, Chinese Medical Association</w:t>
      </w:r>
      <w:r w:rsidR="00F34D76" w:rsidRPr="007852DA">
        <w:rPr>
          <w:rFonts w:ascii="Book Antiqua" w:eastAsia="等线" w:hAnsi="Book Antiqua" w:hint="eastAsia"/>
          <w:color w:val="000000" w:themeColor="text1"/>
          <w:sz w:val="24"/>
        </w:rPr>
        <w:t>.</w:t>
      </w:r>
    </w:p>
    <w:p w14:paraId="1FB544CF" w14:textId="77777777" w:rsidR="000D474F" w:rsidRPr="007852DA" w:rsidRDefault="000D474F" w:rsidP="001F49D0">
      <w:pPr>
        <w:adjustRightInd w:val="0"/>
        <w:spacing w:line="360" w:lineRule="auto"/>
        <w:rPr>
          <w:rFonts w:ascii="Book Antiqua" w:eastAsia="等线" w:hAnsi="Book Antiqua"/>
          <w:color w:val="000000" w:themeColor="text1"/>
          <w:sz w:val="24"/>
        </w:rPr>
      </w:pPr>
    </w:p>
    <w:p w14:paraId="081D8CF9" w14:textId="77777777" w:rsidR="000D474F" w:rsidRPr="007852DA" w:rsidRDefault="0096702B" w:rsidP="001F49D0">
      <w:pPr>
        <w:adjustRightInd w:val="0"/>
        <w:spacing w:line="360" w:lineRule="auto"/>
        <w:rPr>
          <w:rFonts w:ascii="Book Antiqua" w:hAnsi="Book Antiqua"/>
          <w:b/>
          <w:color w:val="000000" w:themeColor="text1"/>
          <w:sz w:val="24"/>
        </w:rPr>
      </w:pPr>
      <w:bookmarkStart w:id="91" w:name="_Hlk26890791"/>
      <w:bookmarkStart w:id="92" w:name="_Hlk26802702"/>
      <w:r w:rsidRPr="007852DA">
        <w:rPr>
          <w:rFonts w:ascii="Book Antiqua" w:hAnsi="Book Antiqua"/>
          <w:b/>
          <w:color w:val="000000" w:themeColor="text1"/>
          <w:sz w:val="24"/>
        </w:rPr>
        <w:t xml:space="preserve">Peer-review started: </w:t>
      </w:r>
      <w:r w:rsidRPr="007852DA">
        <w:rPr>
          <w:rFonts w:ascii="Book Antiqua" w:hAnsi="Book Antiqua"/>
          <w:bCs/>
          <w:color w:val="000000" w:themeColor="text1"/>
          <w:sz w:val="24"/>
        </w:rPr>
        <w:t xml:space="preserve">January </w:t>
      </w:r>
      <w:r w:rsidR="004436DE" w:rsidRPr="007852DA">
        <w:rPr>
          <w:rFonts w:ascii="Book Antiqua" w:hAnsi="Book Antiqua"/>
          <w:bCs/>
          <w:color w:val="000000" w:themeColor="text1"/>
          <w:sz w:val="24"/>
        </w:rPr>
        <w:t>3</w:t>
      </w:r>
      <w:r w:rsidRPr="007852DA">
        <w:rPr>
          <w:rFonts w:ascii="Book Antiqua" w:hAnsi="Book Antiqua"/>
          <w:bCs/>
          <w:color w:val="000000" w:themeColor="text1"/>
          <w:sz w:val="24"/>
        </w:rPr>
        <w:t>0, 2020</w:t>
      </w:r>
    </w:p>
    <w:p w14:paraId="70B5E2C7" w14:textId="77777777" w:rsidR="000D474F" w:rsidRPr="007852DA" w:rsidRDefault="0096702B" w:rsidP="001F49D0">
      <w:pPr>
        <w:adjustRightInd w:val="0"/>
        <w:spacing w:line="360" w:lineRule="auto"/>
        <w:rPr>
          <w:rFonts w:ascii="Book Antiqua" w:hAnsi="Book Antiqua"/>
          <w:b/>
          <w:color w:val="000000" w:themeColor="text1"/>
          <w:sz w:val="24"/>
        </w:rPr>
      </w:pPr>
      <w:r w:rsidRPr="007852DA">
        <w:rPr>
          <w:rFonts w:ascii="Book Antiqua" w:hAnsi="Book Antiqua"/>
          <w:b/>
          <w:color w:val="000000" w:themeColor="text1"/>
          <w:sz w:val="24"/>
        </w:rPr>
        <w:t xml:space="preserve">First decision: </w:t>
      </w:r>
      <w:r w:rsidRPr="007852DA">
        <w:rPr>
          <w:rFonts w:ascii="Book Antiqua" w:hAnsi="Book Antiqua"/>
          <w:bCs/>
          <w:color w:val="000000" w:themeColor="text1"/>
          <w:sz w:val="24"/>
        </w:rPr>
        <w:t>April 21, 2020</w:t>
      </w:r>
    </w:p>
    <w:p w14:paraId="0CC9E096" w14:textId="77777777" w:rsidR="000D474F" w:rsidRPr="007852DA" w:rsidRDefault="0096702B" w:rsidP="001F49D0">
      <w:pPr>
        <w:adjustRightInd w:val="0"/>
        <w:spacing w:line="360" w:lineRule="auto"/>
        <w:rPr>
          <w:rFonts w:ascii="Book Antiqua" w:hAnsi="Book Antiqua"/>
          <w:b/>
          <w:color w:val="000000" w:themeColor="text1"/>
          <w:sz w:val="24"/>
        </w:rPr>
      </w:pPr>
      <w:r w:rsidRPr="007852DA">
        <w:rPr>
          <w:rFonts w:ascii="Book Antiqua" w:hAnsi="Book Antiqua"/>
          <w:b/>
          <w:color w:val="000000" w:themeColor="text1"/>
          <w:sz w:val="24"/>
        </w:rPr>
        <w:t>Article in press:</w:t>
      </w:r>
      <w:bookmarkEnd w:id="91"/>
    </w:p>
    <w:bookmarkEnd w:id="92"/>
    <w:p w14:paraId="37B98A5F" w14:textId="77777777" w:rsidR="000D474F" w:rsidRPr="007852DA" w:rsidRDefault="000D474F" w:rsidP="001F49D0">
      <w:pPr>
        <w:autoSpaceDE w:val="0"/>
        <w:autoSpaceDN w:val="0"/>
        <w:adjustRightInd w:val="0"/>
        <w:spacing w:line="360" w:lineRule="auto"/>
        <w:rPr>
          <w:rFonts w:ascii="Book Antiqua" w:eastAsia="宋体" w:hAnsi="Book Antiqua" w:cs="Times New Roman"/>
          <w:b/>
          <w:color w:val="000000" w:themeColor="text1"/>
          <w:sz w:val="24"/>
        </w:rPr>
      </w:pPr>
    </w:p>
    <w:p w14:paraId="63FE3AF9" w14:textId="77777777" w:rsidR="000D474F" w:rsidRPr="007852DA" w:rsidRDefault="0096702B" w:rsidP="001F49D0">
      <w:pPr>
        <w:adjustRightInd w:val="0"/>
        <w:spacing w:line="360" w:lineRule="auto"/>
        <w:rPr>
          <w:rFonts w:ascii="Book Antiqua" w:eastAsia="微软雅黑" w:hAnsi="Book Antiqua" w:cs="宋体"/>
          <w:color w:val="000000" w:themeColor="text1"/>
          <w:sz w:val="24"/>
        </w:rPr>
      </w:pPr>
      <w:r w:rsidRPr="007852DA">
        <w:rPr>
          <w:rFonts w:ascii="Book Antiqua" w:hAnsi="Book Antiqua" w:cs="宋体"/>
          <w:b/>
          <w:color w:val="000000" w:themeColor="text1"/>
          <w:sz w:val="24"/>
        </w:rPr>
        <w:t xml:space="preserve">Specialty type: </w:t>
      </w:r>
      <w:r w:rsidR="004436DE" w:rsidRPr="007852DA">
        <w:rPr>
          <w:rFonts w:ascii="Book Antiqua" w:hAnsi="Book Antiqua" w:cs="宋体"/>
          <w:color w:val="000000" w:themeColor="text1"/>
          <w:sz w:val="24"/>
        </w:rPr>
        <w:t xml:space="preserve">Medicine, </w:t>
      </w:r>
      <w:r w:rsidR="00B300A8" w:rsidRPr="007852DA">
        <w:rPr>
          <w:rFonts w:ascii="Book Antiqua" w:hAnsi="Book Antiqua" w:cs="宋体"/>
          <w:color w:val="000000" w:themeColor="text1"/>
          <w:sz w:val="24"/>
        </w:rPr>
        <w:t>r</w:t>
      </w:r>
      <w:r w:rsidR="004436DE" w:rsidRPr="007852DA">
        <w:rPr>
          <w:rFonts w:ascii="Book Antiqua" w:hAnsi="Book Antiqua" w:cs="宋体"/>
          <w:color w:val="000000" w:themeColor="text1"/>
          <w:sz w:val="24"/>
        </w:rPr>
        <w:t xml:space="preserve">esearch and </w:t>
      </w:r>
      <w:r w:rsidR="00B300A8" w:rsidRPr="007852DA">
        <w:rPr>
          <w:rFonts w:ascii="Book Antiqua" w:hAnsi="Book Antiqua" w:cs="宋体"/>
          <w:color w:val="000000" w:themeColor="text1"/>
          <w:sz w:val="24"/>
        </w:rPr>
        <w:t>e</w:t>
      </w:r>
      <w:r w:rsidR="004436DE" w:rsidRPr="007852DA">
        <w:rPr>
          <w:rFonts w:ascii="Book Antiqua" w:hAnsi="Book Antiqua" w:cs="宋体"/>
          <w:color w:val="000000" w:themeColor="text1"/>
          <w:sz w:val="24"/>
        </w:rPr>
        <w:t>xperimental</w:t>
      </w:r>
    </w:p>
    <w:p w14:paraId="2B2941D8" w14:textId="77777777" w:rsidR="000D474F" w:rsidRPr="007852DA" w:rsidRDefault="0096702B" w:rsidP="001F49D0">
      <w:pPr>
        <w:adjustRightInd w:val="0"/>
        <w:spacing w:line="360" w:lineRule="auto"/>
        <w:rPr>
          <w:rFonts w:ascii="Book Antiqua" w:hAnsi="Book Antiqua" w:cs="宋体"/>
          <w:color w:val="000000" w:themeColor="text1"/>
          <w:sz w:val="24"/>
        </w:rPr>
      </w:pPr>
      <w:r w:rsidRPr="007852DA">
        <w:rPr>
          <w:rFonts w:ascii="Book Antiqua" w:hAnsi="Book Antiqua" w:cs="宋体"/>
          <w:b/>
          <w:color w:val="000000" w:themeColor="text1"/>
          <w:sz w:val="24"/>
        </w:rPr>
        <w:t xml:space="preserve">Country/Territory of origin: </w:t>
      </w:r>
      <w:r w:rsidRPr="007852DA">
        <w:rPr>
          <w:rFonts w:ascii="Book Antiqua" w:hAnsi="Book Antiqua" w:cs="宋体"/>
          <w:color w:val="000000" w:themeColor="text1"/>
          <w:sz w:val="24"/>
        </w:rPr>
        <w:t>China</w:t>
      </w:r>
    </w:p>
    <w:p w14:paraId="68CFB7B5" w14:textId="77777777" w:rsidR="000D474F" w:rsidRPr="007852DA" w:rsidRDefault="0096702B" w:rsidP="001F49D0">
      <w:pPr>
        <w:adjustRightInd w:val="0"/>
        <w:spacing w:line="360" w:lineRule="auto"/>
        <w:rPr>
          <w:rFonts w:ascii="Book Antiqua" w:hAnsi="Book Antiqua" w:cs="宋体"/>
          <w:b/>
          <w:color w:val="000000" w:themeColor="text1"/>
          <w:sz w:val="24"/>
        </w:rPr>
      </w:pPr>
      <w:bookmarkStart w:id="93" w:name="OLE_LINK463"/>
      <w:bookmarkStart w:id="94" w:name="OLE_LINK487"/>
      <w:r w:rsidRPr="007852DA">
        <w:rPr>
          <w:rFonts w:ascii="Book Antiqua" w:hAnsi="Book Antiqua" w:cs="宋体"/>
          <w:b/>
          <w:color w:val="000000" w:themeColor="text1"/>
          <w:sz w:val="24"/>
        </w:rPr>
        <w:t>Peer-review report’s scientific quality classification</w:t>
      </w:r>
      <w:bookmarkEnd w:id="93"/>
      <w:bookmarkEnd w:id="94"/>
    </w:p>
    <w:p w14:paraId="03C79C75" w14:textId="77777777" w:rsidR="000D474F" w:rsidRPr="007852DA" w:rsidRDefault="0096702B" w:rsidP="001F49D0">
      <w:pPr>
        <w:adjustRightInd w:val="0"/>
        <w:spacing w:line="360" w:lineRule="auto"/>
        <w:rPr>
          <w:rFonts w:ascii="Book Antiqua" w:hAnsi="Book Antiqua" w:cs="宋体"/>
          <w:color w:val="000000" w:themeColor="text1"/>
          <w:sz w:val="24"/>
        </w:rPr>
      </w:pPr>
      <w:r w:rsidRPr="007852DA">
        <w:rPr>
          <w:rFonts w:ascii="Book Antiqua" w:hAnsi="Book Antiqua" w:cs="宋体"/>
          <w:color w:val="000000" w:themeColor="text1"/>
          <w:sz w:val="24"/>
        </w:rPr>
        <w:t>Grade A (Excellent): 0</w:t>
      </w:r>
    </w:p>
    <w:p w14:paraId="1BC9F817" w14:textId="77777777" w:rsidR="000D474F" w:rsidRPr="007852DA" w:rsidRDefault="0096702B" w:rsidP="001F49D0">
      <w:pPr>
        <w:adjustRightInd w:val="0"/>
        <w:spacing w:line="360" w:lineRule="auto"/>
        <w:rPr>
          <w:rFonts w:ascii="Book Antiqua" w:hAnsi="Book Antiqua" w:cs="宋体"/>
          <w:color w:val="000000" w:themeColor="text1"/>
          <w:sz w:val="24"/>
        </w:rPr>
      </w:pPr>
      <w:r w:rsidRPr="007852DA">
        <w:rPr>
          <w:rFonts w:ascii="Book Antiqua" w:hAnsi="Book Antiqua" w:cs="宋体"/>
          <w:color w:val="000000" w:themeColor="text1"/>
          <w:sz w:val="24"/>
        </w:rPr>
        <w:t>Grade B (Very good): 0</w:t>
      </w:r>
    </w:p>
    <w:p w14:paraId="2E3F5E0D" w14:textId="77777777" w:rsidR="000D474F" w:rsidRPr="007852DA" w:rsidRDefault="0096702B" w:rsidP="001F49D0">
      <w:pPr>
        <w:adjustRightInd w:val="0"/>
        <w:spacing w:line="360" w:lineRule="auto"/>
        <w:rPr>
          <w:rFonts w:ascii="Book Antiqua" w:hAnsi="Book Antiqua" w:cs="宋体"/>
          <w:color w:val="000000" w:themeColor="text1"/>
          <w:sz w:val="24"/>
        </w:rPr>
      </w:pPr>
      <w:r w:rsidRPr="007852DA">
        <w:rPr>
          <w:rFonts w:ascii="Book Antiqua" w:hAnsi="Book Antiqua" w:cs="宋体"/>
          <w:color w:val="000000" w:themeColor="text1"/>
          <w:sz w:val="24"/>
        </w:rPr>
        <w:t>Grade C (Good): C</w:t>
      </w:r>
    </w:p>
    <w:p w14:paraId="5007EE71" w14:textId="77777777" w:rsidR="000D474F" w:rsidRPr="007852DA" w:rsidRDefault="0096702B" w:rsidP="001F49D0">
      <w:pPr>
        <w:adjustRightInd w:val="0"/>
        <w:spacing w:line="360" w:lineRule="auto"/>
        <w:rPr>
          <w:rFonts w:ascii="Book Antiqua" w:hAnsi="Book Antiqua" w:cs="宋体"/>
          <w:color w:val="000000" w:themeColor="text1"/>
          <w:sz w:val="24"/>
        </w:rPr>
      </w:pPr>
      <w:r w:rsidRPr="007852DA">
        <w:rPr>
          <w:rFonts w:ascii="Book Antiqua" w:hAnsi="Book Antiqua" w:cs="宋体"/>
          <w:color w:val="000000" w:themeColor="text1"/>
          <w:sz w:val="24"/>
        </w:rPr>
        <w:t>Grade D (Fair): 0</w:t>
      </w:r>
    </w:p>
    <w:p w14:paraId="5B533719" w14:textId="77777777" w:rsidR="000D474F" w:rsidRPr="007852DA" w:rsidRDefault="0096702B" w:rsidP="001F49D0">
      <w:pPr>
        <w:adjustRightInd w:val="0"/>
        <w:spacing w:line="360" w:lineRule="auto"/>
        <w:rPr>
          <w:rFonts w:ascii="Book Antiqua" w:hAnsi="Book Antiqua" w:cs="宋体"/>
          <w:color w:val="000000" w:themeColor="text1"/>
          <w:sz w:val="24"/>
        </w:rPr>
      </w:pPr>
      <w:r w:rsidRPr="007852DA">
        <w:rPr>
          <w:rFonts w:ascii="Book Antiqua" w:hAnsi="Book Antiqua" w:cs="宋体"/>
          <w:color w:val="000000" w:themeColor="text1"/>
          <w:sz w:val="24"/>
        </w:rPr>
        <w:t>Grade E (Poor): 0</w:t>
      </w:r>
    </w:p>
    <w:p w14:paraId="22758FF4" w14:textId="77777777" w:rsidR="004436DE" w:rsidRPr="007852DA" w:rsidRDefault="004436DE" w:rsidP="001F49D0">
      <w:pPr>
        <w:adjustRightInd w:val="0"/>
        <w:spacing w:line="360" w:lineRule="auto"/>
        <w:rPr>
          <w:rFonts w:ascii="Book Antiqua" w:eastAsia="等线" w:hAnsi="Book Antiqua"/>
          <w:color w:val="000000" w:themeColor="text1"/>
          <w:sz w:val="24"/>
          <w:lang w:val="hu-HU"/>
        </w:rPr>
      </w:pPr>
    </w:p>
    <w:p w14:paraId="13203D43" w14:textId="6E4303C7" w:rsidR="004436DE" w:rsidRPr="007852DA" w:rsidRDefault="0096702B" w:rsidP="001F49D0">
      <w:pPr>
        <w:widowControl/>
        <w:adjustRightInd w:val="0"/>
        <w:spacing w:line="360" w:lineRule="auto"/>
        <w:rPr>
          <w:rFonts w:ascii="Book Antiqua" w:hAnsi="Book Antiqua"/>
          <w:b/>
          <w:bCs/>
          <w:color w:val="000000" w:themeColor="text1"/>
          <w:sz w:val="24"/>
        </w:rPr>
      </w:pPr>
      <w:bookmarkStart w:id="95" w:name="_Hlk26541535"/>
      <w:bookmarkStart w:id="96" w:name="OLE_LINK357"/>
      <w:r w:rsidRPr="007852DA">
        <w:rPr>
          <w:rFonts w:ascii="Book Antiqua" w:hAnsi="Book Antiqua"/>
          <w:b/>
          <w:bCs/>
          <w:color w:val="000000" w:themeColor="text1"/>
          <w:sz w:val="24"/>
        </w:rPr>
        <w:t>P-Reviewer:</w:t>
      </w:r>
      <w:r w:rsidRPr="007852DA">
        <w:rPr>
          <w:rFonts w:ascii="Book Antiqua" w:hAnsi="Book Antiqua"/>
          <w:bCs/>
          <w:color w:val="000000" w:themeColor="text1"/>
          <w:sz w:val="24"/>
        </w:rPr>
        <w:t xml:space="preserve"> </w:t>
      </w:r>
      <w:r w:rsidR="004436DE" w:rsidRPr="007852DA">
        <w:rPr>
          <w:rFonts w:ascii="Book Antiqua" w:hAnsi="Book Antiqua"/>
          <w:bCs/>
          <w:color w:val="000000" w:themeColor="text1"/>
          <w:sz w:val="24"/>
        </w:rPr>
        <w:t xml:space="preserve">Ishizawa K </w:t>
      </w:r>
      <w:r w:rsidRPr="007852DA">
        <w:rPr>
          <w:rFonts w:ascii="Book Antiqua" w:hAnsi="Book Antiqua"/>
          <w:b/>
          <w:bCs/>
          <w:color w:val="000000" w:themeColor="text1"/>
          <w:sz w:val="24"/>
        </w:rPr>
        <w:t>S-Editor:</w:t>
      </w:r>
      <w:r w:rsidRPr="007852DA">
        <w:rPr>
          <w:rFonts w:ascii="Book Antiqua" w:hAnsi="Book Antiqua"/>
          <w:color w:val="000000" w:themeColor="text1"/>
          <w:sz w:val="24"/>
        </w:rPr>
        <w:t xml:space="preserve"> </w:t>
      </w:r>
      <w:r w:rsidR="004436DE" w:rsidRPr="007852DA">
        <w:rPr>
          <w:rFonts w:ascii="Book Antiqua" w:hAnsi="Book Antiqua"/>
          <w:color w:val="000000" w:themeColor="text1"/>
          <w:sz w:val="24"/>
        </w:rPr>
        <w:t xml:space="preserve">Dou Y </w:t>
      </w:r>
      <w:r w:rsidRPr="007852DA">
        <w:rPr>
          <w:rFonts w:ascii="Book Antiqua" w:hAnsi="Book Antiqua"/>
          <w:b/>
          <w:bCs/>
          <w:color w:val="000000" w:themeColor="text1"/>
          <w:sz w:val="24"/>
        </w:rPr>
        <w:t>L-Editor:</w:t>
      </w:r>
      <w:r w:rsidRPr="007852DA">
        <w:rPr>
          <w:rFonts w:ascii="Book Antiqua" w:hAnsi="Book Antiqua"/>
          <w:color w:val="000000" w:themeColor="text1"/>
          <w:sz w:val="24"/>
        </w:rPr>
        <w:t xml:space="preserve"> </w:t>
      </w:r>
      <w:r w:rsidR="006F5AC9" w:rsidRPr="007852DA">
        <w:rPr>
          <w:rFonts w:ascii="Book Antiqua" w:hAnsi="Book Antiqua"/>
          <w:color w:val="000000" w:themeColor="text1"/>
          <w:sz w:val="24"/>
        </w:rPr>
        <w:t xml:space="preserve">Webster JR </w:t>
      </w:r>
      <w:r w:rsidRPr="007852DA">
        <w:rPr>
          <w:rFonts w:ascii="Book Antiqua" w:hAnsi="Book Antiqua"/>
          <w:b/>
          <w:bCs/>
          <w:color w:val="000000" w:themeColor="text1"/>
          <w:sz w:val="24"/>
        </w:rPr>
        <w:t>E-Editor:</w:t>
      </w:r>
      <w:bookmarkEnd w:id="95"/>
      <w:bookmarkEnd w:id="96"/>
    </w:p>
    <w:p w14:paraId="56DB00F7" w14:textId="77777777" w:rsidR="000D474F" w:rsidRPr="007852DA" w:rsidRDefault="0096702B" w:rsidP="001F49D0">
      <w:pPr>
        <w:widowControl/>
        <w:adjustRightInd w:val="0"/>
        <w:spacing w:line="360" w:lineRule="auto"/>
        <w:rPr>
          <w:rFonts w:ascii="Book Antiqua" w:hAnsi="Book Antiqua"/>
          <w:bCs/>
          <w:color w:val="000000" w:themeColor="text1"/>
          <w:sz w:val="24"/>
        </w:rPr>
      </w:pPr>
      <w:r w:rsidRPr="007852DA">
        <w:rPr>
          <w:rFonts w:ascii="Book Antiqua" w:hAnsi="Book Antiqua"/>
          <w:b/>
          <w:color w:val="000000" w:themeColor="text1"/>
          <w:sz w:val="24"/>
        </w:rPr>
        <w:br w:type="page"/>
      </w:r>
    </w:p>
    <w:p w14:paraId="2AC0E477" w14:textId="77777777" w:rsidR="001F49D0" w:rsidRPr="007852DA" w:rsidRDefault="001F49D0" w:rsidP="001F49D0">
      <w:pPr>
        <w:adjustRightInd w:val="0"/>
        <w:spacing w:line="360" w:lineRule="auto"/>
        <w:rPr>
          <w:rFonts w:ascii="Book Antiqua" w:hAnsi="Book Antiqua"/>
          <w:b/>
          <w:color w:val="000000" w:themeColor="text1"/>
          <w:sz w:val="24"/>
        </w:rPr>
      </w:pPr>
      <w:r w:rsidRPr="007852DA">
        <w:rPr>
          <w:rFonts w:ascii="Book Antiqua" w:hAnsi="Book Antiqua"/>
          <w:b/>
          <w:color w:val="000000" w:themeColor="text1"/>
          <w:sz w:val="24"/>
        </w:rPr>
        <w:lastRenderedPageBreak/>
        <w:t>Figure Legends</w:t>
      </w:r>
    </w:p>
    <w:p w14:paraId="45096FD0" w14:textId="77777777" w:rsidR="001F49D0" w:rsidRPr="007852DA" w:rsidRDefault="009C6A79" w:rsidP="001F49D0">
      <w:pPr>
        <w:autoSpaceDE w:val="0"/>
        <w:autoSpaceDN w:val="0"/>
        <w:adjustRightInd w:val="0"/>
        <w:spacing w:line="360" w:lineRule="auto"/>
        <w:rPr>
          <w:rFonts w:ascii="Book Antiqua" w:eastAsia="宋体" w:hAnsi="Book Antiqua" w:cs="Times New Roman"/>
          <w:b/>
          <w:color w:val="000000" w:themeColor="text1"/>
          <w:sz w:val="24"/>
        </w:rPr>
      </w:pPr>
      <w:r w:rsidRPr="007852DA">
        <w:rPr>
          <w:noProof/>
          <w:color w:val="000000" w:themeColor="text1"/>
        </w:rPr>
        <w:drawing>
          <wp:inline distT="0" distB="0" distL="0" distR="0" wp14:anchorId="5C290ADB" wp14:editId="2D9263CD">
            <wp:extent cx="4169783" cy="3220278"/>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75187" cy="3224452"/>
                    </a:xfrm>
                    <a:prstGeom prst="rect">
                      <a:avLst/>
                    </a:prstGeom>
                  </pic:spPr>
                </pic:pic>
              </a:graphicData>
            </a:graphic>
          </wp:inline>
        </w:drawing>
      </w:r>
    </w:p>
    <w:p w14:paraId="16135C73" w14:textId="3FD4E26F" w:rsidR="00A50C54" w:rsidRPr="007852DA" w:rsidRDefault="001F49D0" w:rsidP="00A50C54">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b/>
          <w:color w:val="000000" w:themeColor="text1"/>
          <w:sz w:val="24"/>
        </w:rPr>
        <w:t xml:space="preserve">Figure 1 </w:t>
      </w:r>
      <w:proofErr w:type="gramStart"/>
      <w:r w:rsidRPr="007852DA">
        <w:rPr>
          <w:rFonts w:ascii="Book Antiqua" w:eastAsia="宋体" w:hAnsi="Book Antiqua" w:cs="Times New Roman"/>
          <w:b/>
          <w:bCs/>
          <w:color w:val="000000" w:themeColor="text1"/>
          <w:sz w:val="24"/>
        </w:rPr>
        <w:t>The</w:t>
      </w:r>
      <w:proofErr w:type="gramEnd"/>
      <w:r w:rsidRPr="007852DA">
        <w:rPr>
          <w:rFonts w:ascii="Book Antiqua" w:eastAsia="宋体" w:hAnsi="Book Antiqua" w:cs="Times New Roman"/>
          <w:b/>
          <w:bCs/>
          <w:color w:val="000000" w:themeColor="text1"/>
          <w:sz w:val="24"/>
        </w:rPr>
        <w:t xml:space="preserve"> serum levels of growth differentiation factor 15 in </w:t>
      </w:r>
      <w:r w:rsidR="00A50C54" w:rsidRPr="007852DA">
        <w:rPr>
          <w:rFonts w:ascii="Book Antiqua" w:eastAsia="宋体" w:hAnsi="Book Antiqua" w:cs="Times New Roman"/>
          <w:b/>
          <w:bCs/>
          <w:color w:val="000000" w:themeColor="text1"/>
          <w:sz w:val="24"/>
        </w:rPr>
        <w:t>multiple system atrophy-parkinsonian type</w:t>
      </w:r>
      <w:r w:rsidRPr="007852DA">
        <w:rPr>
          <w:rFonts w:ascii="Book Antiqua" w:eastAsia="宋体" w:hAnsi="Book Antiqua" w:cs="Times New Roman"/>
          <w:b/>
          <w:bCs/>
          <w:color w:val="000000" w:themeColor="text1"/>
          <w:sz w:val="24"/>
        </w:rPr>
        <w:t xml:space="preserve"> patients, </w:t>
      </w:r>
      <w:r w:rsidR="00A50C54" w:rsidRPr="007852DA">
        <w:rPr>
          <w:rFonts w:ascii="Book Antiqua" w:eastAsia="宋体" w:hAnsi="Book Antiqua" w:cs="Times New Roman"/>
          <w:b/>
          <w:bCs/>
          <w:color w:val="000000" w:themeColor="text1"/>
          <w:sz w:val="24"/>
        </w:rPr>
        <w:t>multiple system atrophy-cerebellar type</w:t>
      </w:r>
      <w:r w:rsidRPr="007852DA">
        <w:rPr>
          <w:rFonts w:ascii="Book Antiqua" w:eastAsia="宋体" w:hAnsi="Book Antiqua" w:cs="Times New Roman"/>
          <w:b/>
          <w:bCs/>
          <w:color w:val="000000" w:themeColor="text1"/>
          <w:sz w:val="24"/>
        </w:rPr>
        <w:t xml:space="preserve"> patients and </w:t>
      </w:r>
      <w:r w:rsidR="00A50C54" w:rsidRPr="007852DA">
        <w:rPr>
          <w:rFonts w:ascii="Book Antiqua" w:eastAsia="宋体" w:hAnsi="Book Antiqua" w:cs="Times New Roman"/>
          <w:b/>
          <w:bCs/>
          <w:color w:val="000000" w:themeColor="text1"/>
          <w:sz w:val="24"/>
        </w:rPr>
        <w:t xml:space="preserve">Parkinson disease </w:t>
      </w:r>
      <w:r w:rsidRPr="007852DA">
        <w:rPr>
          <w:rFonts w:ascii="Book Antiqua" w:eastAsia="宋体" w:hAnsi="Book Antiqua" w:cs="Times New Roman"/>
          <w:b/>
          <w:bCs/>
          <w:color w:val="000000" w:themeColor="text1"/>
          <w:sz w:val="24"/>
        </w:rPr>
        <w:t xml:space="preserve">patients. </w:t>
      </w:r>
      <w:r w:rsidR="006F5AC9" w:rsidRPr="007852DA">
        <w:rPr>
          <w:rFonts w:ascii="Book Antiqua" w:eastAsia="宋体" w:hAnsi="Book Antiqua" w:cs="Times New Roman"/>
          <w:color w:val="000000" w:themeColor="text1"/>
          <w:sz w:val="24"/>
        </w:rPr>
        <w:t>S</w:t>
      </w:r>
      <w:r w:rsidRPr="007852DA">
        <w:rPr>
          <w:rFonts w:ascii="Book Antiqua" w:eastAsia="宋体" w:hAnsi="Book Antiqua" w:cs="Times New Roman"/>
          <w:color w:val="000000" w:themeColor="text1"/>
          <w:sz w:val="24"/>
        </w:rPr>
        <w:t xml:space="preserve">erum </w:t>
      </w:r>
      <w:r w:rsidR="00A50C54" w:rsidRPr="007852DA">
        <w:rPr>
          <w:rFonts w:ascii="Book Antiqua" w:eastAsia="宋体" w:hAnsi="Book Antiqua" w:cs="Times New Roman"/>
          <w:color w:val="000000" w:themeColor="text1"/>
          <w:sz w:val="24"/>
        </w:rPr>
        <w:t xml:space="preserve">growth differentiation factor 15 </w:t>
      </w:r>
      <w:r w:rsidRPr="007852DA">
        <w:rPr>
          <w:rFonts w:ascii="Book Antiqua" w:eastAsia="宋体" w:hAnsi="Book Antiqua" w:cs="Times New Roman"/>
          <w:color w:val="000000" w:themeColor="text1"/>
          <w:sz w:val="24"/>
        </w:rPr>
        <w:t xml:space="preserve">levels in </w:t>
      </w:r>
      <w:r w:rsidR="00A50C54" w:rsidRPr="007852DA">
        <w:rPr>
          <w:rFonts w:ascii="Book Antiqua" w:eastAsia="宋体" w:hAnsi="Book Antiqua" w:cs="Times New Roman"/>
          <w:color w:val="000000" w:themeColor="text1"/>
          <w:sz w:val="24"/>
        </w:rPr>
        <w:t>multiple system atrophy-parkinsonian type</w:t>
      </w:r>
      <w:r w:rsidRPr="007852DA">
        <w:rPr>
          <w:rFonts w:ascii="Book Antiqua" w:eastAsia="宋体" w:hAnsi="Book Antiqua" w:cs="Times New Roman"/>
          <w:color w:val="000000" w:themeColor="text1"/>
          <w:sz w:val="24"/>
        </w:rPr>
        <w:t xml:space="preserve"> patients and </w:t>
      </w:r>
      <w:r w:rsidR="00A50C54" w:rsidRPr="007852DA">
        <w:rPr>
          <w:rFonts w:ascii="Book Antiqua" w:eastAsia="宋体" w:hAnsi="Book Antiqua" w:cs="Times New Roman"/>
          <w:color w:val="000000" w:themeColor="text1"/>
          <w:sz w:val="24"/>
        </w:rPr>
        <w:t>multiple system atrophy-cerebellar type</w:t>
      </w:r>
      <w:r w:rsidRPr="007852DA">
        <w:rPr>
          <w:rFonts w:ascii="Book Antiqua" w:eastAsia="宋体" w:hAnsi="Book Antiqua" w:cs="Times New Roman"/>
          <w:color w:val="000000" w:themeColor="text1"/>
          <w:sz w:val="24"/>
        </w:rPr>
        <w:t xml:space="preserve"> patients were both significantly higher than </w:t>
      </w:r>
      <w:r w:rsidR="006F5AC9" w:rsidRPr="007852DA">
        <w:rPr>
          <w:rFonts w:ascii="Book Antiqua" w:eastAsia="宋体" w:hAnsi="Book Antiqua" w:cs="Times New Roman"/>
          <w:color w:val="000000" w:themeColor="text1"/>
          <w:sz w:val="24"/>
        </w:rPr>
        <w:t xml:space="preserve">those in </w:t>
      </w:r>
      <w:r w:rsidR="00A50C54" w:rsidRPr="007852DA">
        <w:rPr>
          <w:rFonts w:ascii="Book Antiqua" w:eastAsia="宋体" w:hAnsi="Book Antiqua" w:cs="Times New Roman"/>
          <w:color w:val="000000" w:themeColor="text1"/>
          <w:sz w:val="24"/>
        </w:rPr>
        <w:t xml:space="preserve">Parkinson disease </w:t>
      </w:r>
      <w:r w:rsidRPr="007852DA">
        <w:rPr>
          <w:rFonts w:ascii="Book Antiqua" w:eastAsia="宋体" w:hAnsi="Book Antiqua" w:cs="Times New Roman"/>
          <w:color w:val="000000" w:themeColor="text1"/>
          <w:sz w:val="24"/>
        </w:rPr>
        <w:t>patients (</w:t>
      </w:r>
      <w:r w:rsidRPr="007852DA">
        <w:rPr>
          <w:rFonts w:ascii="Book Antiqua" w:eastAsia="宋体" w:hAnsi="Book Antiqua" w:cs="Times New Roman"/>
          <w:i/>
          <w:iCs/>
          <w:color w:val="000000" w:themeColor="text1"/>
          <w:sz w:val="24"/>
        </w:rPr>
        <w:t>P</w:t>
      </w:r>
      <w:r w:rsidRPr="007852DA">
        <w:rPr>
          <w:rFonts w:ascii="Book Antiqua" w:eastAsia="宋体" w:hAnsi="Book Antiqua" w:cs="Times New Roman"/>
          <w:color w:val="000000" w:themeColor="text1"/>
          <w:sz w:val="24"/>
        </w:rPr>
        <w:t xml:space="preserve"> = 0.000, 0.000</w:t>
      </w:r>
      <w:r w:rsidR="006F5AC9"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respectively).</w:t>
      </w:r>
      <w:r w:rsidR="00A50C54" w:rsidRPr="007852DA">
        <w:rPr>
          <w:rFonts w:ascii="Book Antiqua" w:eastAsia="宋体" w:hAnsi="Book Antiqua" w:cs="Times New Roman" w:hint="eastAsia"/>
          <w:color w:val="000000" w:themeColor="text1"/>
          <w:sz w:val="24"/>
        </w:rPr>
        <w:t xml:space="preserve"> </w:t>
      </w:r>
      <w:r w:rsidR="00A50C54" w:rsidRPr="007852DA">
        <w:rPr>
          <w:rFonts w:ascii="Book Antiqua" w:eastAsia="宋体" w:hAnsi="Book Antiqua" w:cs="Times New Roman"/>
          <w:color w:val="000000" w:themeColor="text1"/>
          <w:sz w:val="24"/>
        </w:rPr>
        <w:t>MSA-P: Multiple system atrophy-parkinsonian type; MSA-C: Multiple system atrophy-cerebellar type; MSA: Multiple system atrophy; PD: Parkinson disease; GDF15: Growth differentiation factor 15.</w:t>
      </w:r>
    </w:p>
    <w:p w14:paraId="7FCE721A" w14:textId="77777777" w:rsidR="001F49D0" w:rsidRPr="007852DA" w:rsidRDefault="001F49D0" w:rsidP="001F49D0">
      <w:pPr>
        <w:autoSpaceDE w:val="0"/>
        <w:autoSpaceDN w:val="0"/>
        <w:adjustRightInd w:val="0"/>
        <w:spacing w:line="360" w:lineRule="auto"/>
        <w:rPr>
          <w:rFonts w:ascii="Book Antiqua" w:eastAsia="宋体" w:hAnsi="Book Antiqua" w:cs="Times New Roman"/>
          <w:b/>
          <w:color w:val="000000" w:themeColor="text1"/>
          <w:sz w:val="24"/>
        </w:rPr>
      </w:pPr>
      <w:r w:rsidRPr="007852DA">
        <w:rPr>
          <w:rFonts w:ascii="Book Antiqua" w:eastAsia="宋体" w:hAnsi="Book Antiqua" w:cs="Times New Roman"/>
          <w:b/>
          <w:noProof/>
          <w:color w:val="000000" w:themeColor="text1"/>
          <w:sz w:val="24"/>
        </w:rPr>
        <w:lastRenderedPageBreak/>
        <w:drawing>
          <wp:inline distT="0" distB="0" distL="0" distR="0" wp14:anchorId="640B8D0E" wp14:editId="2A2F4D45">
            <wp:extent cx="5270500" cy="3554095"/>
            <wp:effectExtent l="0" t="0" r="0" b="1905"/>
            <wp:docPr id="1" name="图片 1" descr="社交网络的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3554095"/>
                    </a:xfrm>
                    <a:prstGeom prst="rect">
                      <a:avLst/>
                    </a:prstGeom>
                  </pic:spPr>
                </pic:pic>
              </a:graphicData>
            </a:graphic>
          </wp:inline>
        </w:drawing>
      </w:r>
    </w:p>
    <w:p w14:paraId="2DFC56D8" w14:textId="77777777" w:rsidR="001F49D0" w:rsidRPr="007852DA" w:rsidRDefault="001F49D0"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b/>
          <w:color w:val="000000" w:themeColor="text1"/>
          <w:sz w:val="24"/>
        </w:rPr>
        <w:t>Figure 2</w:t>
      </w:r>
      <w:r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b/>
          <w:bCs/>
          <w:color w:val="000000" w:themeColor="text1"/>
          <w:sz w:val="24"/>
        </w:rPr>
        <w:t xml:space="preserve">Receiver-operating characteristic curve analysis of </w:t>
      </w:r>
      <w:r w:rsidR="00A50C54" w:rsidRPr="007852DA">
        <w:rPr>
          <w:rFonts w:ascii="Book Antiqua" w:eastAsia="宋体" w:hAnsi="Book Antiqua" w:cs="Times New Roman"/>
          <w:b/>
          <w:bCs/>
          <w:color w:val="000000" w:themeColor="text1"/>
          <w:sz w:val="24"/>
        </w:rPr>
        <w:t xml:space="preserve">growth </w:t>
      </w:r>
      <w:r w:rsidRPr="007852DA">
        <w:rPr>
          <w:rFonts w:ascii="Book Antiqua" w:eastAsia="宋体" w:hAnsi="Book Antiqua" w:cs="Times New Roman"/>
          <w:b/>
          <w:bCs/>
          <w:color w:val="000000" w:themeColor="text1"/>
          <w:sz w:val="24"/>
        </w:rPr>
        <w:t xml:space="preserve">differentiation factor 15 for the diagnosis of </w:t>
      </w:r>
      <w:r w:rsidR="00A50C54" w:rsidRPr="007852DA">
        <w:rPr>
          <w:rFonts w:ascii="Book Antiqua" w:eastAsia="宋体" w:hAnsi="Book Antiqua" w:cs="Times New Roman"/>
          <w:b/>
          <w:bCs/>
          <w:color w:val="000000" w:themeColor="text1"/>
          <w:sz w:val="24"/>
        </w:rPr>
        <w:t>multiple system atrophy</w:t>
      </w:r>
      <w:r w:rsidRPr="007852DA">
        <w:rPr>
          <w:rFonts w:ascii="Book Antiqua" w:eastAsia="宋体" w:hAnsi="Book Antiqua" w:cs="Times New Roman"/>
          <w:b/>
          <w:bCs/>
          <w:color w:val="000000" w:themeColor="text1"/>
          <w:sz w:val="24"/>
        </w:rPr>
        <w:t xml:space="preserve">. </w:t>
      </w:r>
      <w:r w:rsidRPr="007852DA">
        <w:rPr>
          <w:rFonts w:ascii="Book Antiqua" w:eastAsia="宋体" w:hAnsi="Book Antiqua" w:cs="Times New Roman"/>
          <w:color w:val="000000" w:themeColor="text1"/>
          <w:sz w:val="24"/>
        </w:rPr>
        <w:t xml:space="preserve">A: Total </w:t>
      </w:r>
      <w:r w:rsidR="00A50C54" w:rsidRPr="007852DA">
        <w:rPr>
          <w:rFonts w:ascii="Book Antiqua" w:eastAsia="宋体" w:hAnsi="Book Antiqua" w:cs="Times New Roman"/>
          <w:color w:val="000000" w:themeColor="text1"/>
          <w:sz w:val="24"/>
        </w:rPr>
        <w:t>multiple system atrophy (</w:t>
      </w:r>
      <w:r w:rsidRPr="007852DA">
        <w:rPr>
          <w:rFonts w:ascii="Book Antiqua" w:eastAsia="宋体" w:hAnsi="Book Antiqua" w:cs="Times New Roman"/>
          <w:color w:val="000000" w:themeColor="text1"/>
          <w:sz w:val="24"/>
        </w:rPr>
        <w:t>MSA</w:t>
      </w:r>
      <w:r w:rsidR="00A50C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patients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total controls; B: Male MSA patients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male controls; C: Female MSA patients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female controls; D: Total MSA patients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total </w:t>
      </w:r>
      <w:r w:rsidR="00A50C54" w:rsidRPr="007852DA">
        <w:rPr>
          <w:rFonts w:ascii="Book Antiqua" w:eastAsia="宋体" w:hAnsi="Book Antiqua" w:cs="Times New Roman"/>
          <w:color w:val="000000" w:themeColor="text1"/>
          <w:sz w:val="24"/>
        </w:rPr>
        <w:t xml:space="preserve">Parkinson disease </w:t>
      </w:r>
      <w:r w:rsidRPr="007852DA">
        <w:rPr>
          <w:rFonts w:ascii="Book Antiqua" w:eastAsia="宋体" w:hAnsi="Book Antiqua" w:cs="Times New Roman"/>
          <w:color w:val="000000" w:themeColor="text1"/>
          <w:sz w:val="24"/>
        </w:rPr>
        <w:t xml:space="preserve">patients; E: Male MSA patients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male </w:t>
      </w:r>
      <w:r w:rsidR="00A50C54" w:rsidRPr="007852DA">
        <w:rPr>
          <w:rFonts w:ascii="Book Antiqua" w:eastAsia="宋体" w:hAnsi="Book Antiqua" w:cs="Times New Roman"/>
          <w:color w:val="000000" w:themeColor="text1"/>
          <w:sz w:val="24"/>
        </w:rPr>
        <w:t xml:space="preserve">Parkinson disease </w:t>
      </w:r>
      <w:r w:rsidRPr="007852DA">
        <w:rPr>
          <w:rFonts w:ascii="Book Antiqua" w:eastAsia="宋体" w:hAnsi="Book Antiqua" w:cs="Times New Roman"/>
          <w:color w:val="000000" w:themeColor="text1"/>
          <w:sz w:val="24"/>
        </w:rPr>
        <w:t xml:space="preserve">patients; F: Female MSA patients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female controls. AUC</w:t>
      </w:r>
      <w:r w:rsidR="00A50C54" w:rsidRPr="007852DA">
        <w:rPr>
          <w:rFonts w:ascii="Book Antiqua" w:eastAsia="宋体" w:hAnsi="Book Antiqua" w:cs="Times New Roman"/>
          <w:color w:val="000000" w:themeColor="text1"/>
          <w:sz w:val="24"/>
        </w:rPr>
        <w:t>:</w:t>
      </w:r>
      <w:r w:rsidRPr="007852DA">
        <w:rPr>
          <w:rFonts w:ascii="Book Antiqua" w:eastAsia="宋体" w:hAnsi="Book Antiqua" w:cs="Times New Roman"/>
          <w:color w:val="000000" w:themeColor="text1"/>
          <w:sz w:val="24"/>
        </w:rPr>
        <w:t xml:space="preserve"> </w:t>
      </w:r>
      <w:r w:rsidR="00A50C54" w:rsidRPr="007852DA">
        <w:rPr>
          <w:rFonts w:ascii="Book Antiqua" w:eastAsia="宋体" w:hAnsi="Book Antiqua" w:cs="Times New Roman"/>
          <w:color w:val="000000" w:themeColor="text1"/>
          <w:sz w:val="24"/>
        </w:rPr>
        <w:t xml:space="preserve">Area </w:t>
      </w:r>
      <w:r w:rsidRPr="007852DA">
        <w:rPr>
          <w:rFonts w:ascii="Book Antiqua" w:eastAsia="宋体" w:hAnsi="Book Antiqua" w:cs="Times New Roman"/>
          <w:color w:val="000000" w:themeColor="text1"/>
          <w:sz w:val="24"/>
        </w:rPr>
        <w:t xml:space="preserve">under the </w:t>
      </w:r>
      <w:r w:rsidR="00A50C54" w:rsidRPr="007852DA">
        <w:rPr>
          <w:rFonts w:ascii="Book Antiqua" w:eastAsia="宋体" w:hAnsi="Book Antiqua" w:cs="Times New Roman"/>
          <w:color w:val="000000" w:themeColor="text1"/>
          <w:sz w:val="24"/>
        </w:rPr>
        <w:t xml:space="preserve">receiver-operating characteristic </w:t>
      </w:r>
      <w:r w:rsidRPr="007852DA">
        <w:rPr>
          <w:rFonts w:ascii="Book Antiqua" w:eastAsia="宋体" w:hAnsi="Book Antiqua" w:cs="Times New Roman"/>
          <w:color w:val="000000" w:themeColor="text1"/>
          <w:sz w:val="24"/>
        </w:rPr>
        <w:t>curve.</w:t>
      </w:r>
    </w:p>
    <w:p w14:paraId="449C58A3" w14:textId="77777777" w:rsidR="001F49D0" w:rsidRPr="007852DA" w:rsidRDefault="001F49D0" w:rsidP="001F49D0">
      <w:pPr>
        <w:widowControl/>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br w:type="page"/>
      </w:r>
    </w:p>
    <w:p w14:paraId="3D013996"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lastRenderedPageBreak/>
        <w:t xml:space="preserve">Table 1 Clinical characteristics of </w:t>
      </w:r>
      <w:r w:rsidR="004436DE" w:rsidRPr="007852DA">
        <w:rPr>
          <w:rFonts w:ascii="Book Antiqua" w:eastAsia="宋体" w:hAnsi="Book Antiqua" w:cs="Times New Roman"/>
          <w:b/>
          <w:bCs/>
          <w:color w:val="000000" w:themeColor="text1"/>
          <w:sz w:val="24"/>
        </w:rPr>
        <w:t xml:space="preserve">multiple </w:t>
      </w:r>
      <w:r w:rsidRPr="007852DA">
        <w:rPr>
          <w:rFonts w:ascii="Book Antiqua" w:eastAsia="宋体" w:hAnsi="Book Antiqua" w:cs="Times New Roman"/>
          <w:b/>
          <w:bCs/>
          <w:color w:val="000000" w:themeColor="text1"/>
          <w:sz w:val="24"/>
        </w:rPr>
        <w:t>system atrophy patients</w:t>
      </w:r>
      <w:r w:rsidR="00A50C54" w:rsidRPr="007852DA">
        <w:rPr>
          <w:rFonts w:ascii="Book Antiqua" w:eastAsia="宋体" w:hAnsi="Book Antiqua" w:cs="Times New Roman" w:hint="eastAsia"/>
          <w:b/>
          <w:bCs/>
          <w:color w:val="000000" w:themeColor="text1"/>
          <w:sz w:val="24"/>
        </w:rPr>
        <w:t>,</w:t>
      </w:r>
      <w:r w:rsidR="00A50C54" w:rsidRPr="007852DA">
        <w:rPr>
          <w:rFonts w:ascii="Book Antiqua" w:eastAsia="宋体" w:hAnsi="Book Antiqua" w:cs="Times New Roman"/>
          <w:b/>
          <w:bCs/>
          <w:color w:val="000000" w:themeColor="text1"/>
          <w:sz w:val="24"/>
        </w:rPr>
        <w:t xml:space="preserve"> </w:t>
      </w:r>
      <w:r w:rsidRPr="007852DA">
        <w:rPr>
          <w:rFonts w:ascii="Book Antiqua" w:eastAsia="宋体" w:hAnsi="Book Antiqua" w:cs="Times New Roman"/>
          <w:b/>
          <w:bCs/>
          <w:color w:val="000000" w:themeColor="text1"/>
          <w:sz w:val="24"/>
        </w:rPr>
        <w:t>Parkinson disease patients and controls</w:t>
      </w:r>
    </w:p>
    <w:tbl>
      <w:tblPr>
        <w:tblStyle w:val="a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42"/>
        <w:gridCol w:w="1551"/>
        <w:gridCol w:w="1423"/>
        <w:gridCol w:w="1406"/>
        <w:gridCol w:w="1394"/>
      </w:tblGrid>
      <w:tr w:rsidR="007852DA" w:rsidRPr="007852DA" w14:paraId="7588C556" w14:textId="77777777" w:rsidTr="00691360">
        <w:tc>
          <w:tcPr>
            <w:tcW w:w="2552" w:type="dxa"/>
            <w:tcBorders>
              <w:bottom w:val="single" w:sz="4" w:space="0" w:color="auto"/>
            </w:tcBorders>
            <w:shd w:val="clear" w:color="auto" w:fill="FFFFFF" w:themeFill="background1"/>
          </w:tcPr>
          <w:p w14:paraId="730AF732"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p>
        </w:tc>
        <w:tc>
          <w:tcPr>
            <w:tcW w:w="1423" w:type="dxa"/>
            <w:tcBorders>
              <w:bottom w:val="single" w:sz="4" w:space="0" w:color="auto"/>
            </w:tcBorders>
            <w:shd w:val="clear" w:color="auto" w:fill="FFFFFF" w:themeFill="background1"/>
          </w:tcPr>
          <w:p w14:paraId="06BA32DA"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MSA</w:t>
            </w:r>
          </w:p>
        </w:tc>
        <w:tc>
          <w:tcPr>
            <w:tcW w:w="1423" w:type="dxa"/>
            <w:tcBorders>
              <w:bottom w:val="single" w:sz="4" w:space="0" w:color="auto"/>
            </w:tcBorders>
            <w:shd w:val="clear" w:color="auto" w:fill="FFFFFF" w:themeFill="background1"/>
          </w:tcPr>
          <w:p w14:paraId="303D8813"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PD</w:t>
            </w:r>
          </w:p>
        </w:tc>
        <w:tc>
          <w:tcPr>
            <w:tcW w:w="1423" w:type="dxa"/>
            <w:tcBorders>
              <w:bottom w:val="single" w:sz="4" w:space="0" w:color="auto"/>
            </w:tcBorders>
            <w:shd w:val="clear" w:color="auto" w:fill="FFFFFF" w:themeFill="background1"/>
          </w:tcPr>
          <w:p w14:paraId="439A0131"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Control</w:t>
            </w:r>
          </w:p>
        </w:tc>
        <w:tc>
          <w:tcPr>
            <w:tcW w:w="1423" w:type="dxa"/>
            <w:tcBorders>
              <w:bottom w:val="single" w:sz="4" w:space="0" w:color="auto"/>
            </w:tcBorders>
            <w:shd w:val="clear" w:color="auto" w:fill="FFFFFF" w:themeFill="background1"/>
          </w:tcPr>
          <w:p w14:paraId="062C88CD"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i/>
                <w:iCs/>
                <w:color w:val="000000" w:themeColor="text1"/>
                <w:sz w:val="24"/>
              </w:rPr>
              <w:t>P</w:t>
            </w:r>
            <w:r w:rsidR="004436DE" w:rsidRPr="007852DA">
              <w:rPr>
                <w:rFonts w:ascii="Book Antiqua" w:eastAsia="宋体" w:hAnsi="Book Antiqua" w:cs="Times New Roman"/>
                <w:b/>
                <w:bCs/>
                <w:color w:val="000000" w:themeColor="text1"/>
                <w:sz w:val="24"/>
              </w:rPr>
              <w:t xml:space="preserve"> value</w:t>
            </w:r>
          </w:p>
        </w:tc>
      </w:tr>
      <w:tr w:rsidR="007852DA" w:rsidRPr="007852DA" w14:paraId="5976A43A" w14:textId="77777777" w:rsidTr="00691360">
        <w:tc>
          <w:tcPr>
            <w:tcW w:w="2552" w:type="dxa"/>
            <w:tcBorders>
              <w:bottom w:val="nil"/>
            </w:tcBorders>
          </w:tcPr>
          <w:p w14:paraId="1B075C2C"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All</w:t>
            </w:r>
          </w:p>
        </w:tc>
        <w:tc>
          <w:tcPr>
            <w:tcW w:w="1423" w:type="dxa"/>
            <w:tcBorders>
              <w:bottom w:val="nil"/>
            </w:tcBorders>
          </w:tcPr>
          <w:p w14:paraId="0467B511"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c>
          <w:tcPr>
            <w:tcW w:w="1423" w:type="dxa"/>
            <w:tcBorders>
              <w:bottom w:val="nil"/>
            </w:tcBorders>
          </w:tcPr>
          <w:p w14:paraId="1999FFAE"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c>
          <w:tcPr>
            <w:tcW w:w="1423" w:type="dxa"/>
            <w:tcBorders>
              <w:bottom w:val="nil"/>
            </w:tcBorders>
          </w:tcPr>
          <w:p w14:paraId="43F27A05"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c>
          <w:tcPr>
            <w:tcW w:w="1423" w:type="dxa"/>
            <w:tcBorders>
              <w:bottom w:val="nil"/>
            </w:tcBorders>
          </w:tcPr>
          <w:p w14:paraId="483FFA6B"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r>
      <w:tr w:rsidR="007852DA" w:rsidRPr="007852DA" w14:paraId="7FFA4BE8" w14:textId="77777777" w:rsidTr="00691360">
        <w:tc>
          <w:tcPr>
            <w:tcW w:w="2552" w:type="dxa"/>
            <w:tcBorders>
              <w:top w:val="nil"/>
              <w:bottom w:val="nil"/>
            </w:tcBorders>
          </w:tcPr>
          <w:p w14:paraId="3787183E"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Subjects, </w:t>
            </w:r>
            <w:r w:rsidRPr="007852DA">
              <w:rPr>
                <w:rFonts w:ascii="Book Antiqua" w:eastAsia="宋体" w:hAnsi="Book Antiqua" w:cs="Times New Roman"/>
                <w:i/>
                <w:iCs/>
                <w:color w:val="000000" w:themeColor="text1"/>
                <w:sz w:val="24"/>
              </w:rPr>
              <w:t>n</w:t>
            </w:r>
          </w:p>
        </w:tc>
        <w:tc>
          <w:tcPr>
            <w:tcW w:w="1423" w:type="dxa"/>
            <w:tcBorders>
              <w:top w:val="nil"/>
              <w:bottom w:val="nil"/>
            </w:tcBorders>
          </w:tcPr>
          <w:p w14:paraId="54B9CDD3"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49</w:t>
            </w:r>
          </w:p>
        </w:tc>
        <w:tc>
          <w:tcPr>
            <w:tcW w:w="1423" w:type="dxa"/>
            <w:tcBorders>
              <w:top w:val="nil"/>
              <w:bottom w:val="nil"/>
            </w:tcBorders>
          </w:tcPr>
          <w:p w14:paraId="771A068B"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50</w:t>
            </w:r>
          </w:p>
        </w:tc>
        <w:tc>
          <w:tcPr>
            <w:tcW w:w="1423" w:type="dxa"/>
            <w:tcBorders>
              <w:top w:val="nil"/>
              <w:bottom w:val="nil"/>
            </w:tcBorders>
          </w:tcPr>
          <w:p w14:paraId="3C79FC1B"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50</w:t>
            </w:r>
          </w:p>
        </w:tc>
        <w:tc>
          <w:tcPr>
            <w:tcW w:w="1423" w:type="dxa"/>
            <w:tcBorders>
              <w:top w:val="nil"/>
              <w:bottom w:val="nil"/>
            </w:tcBorders>
          </w:tcPr>
          <w:p w14:paraId="2EC96A28"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w:t>
            </w:r>
          </w:p>
        </w:tc>
      </w:tr>
      <w:tr w:rsidR="007852DA" w:rsidRPr="007852DA" w14:paraId="780A0514" w14:textId="77777777" w:rsidTr="00691360">
        <w:tc>
          <w:tcPr>
            <w:tcW w:w="2552" w:type="dxa"/>
            <w:tcBorders>
              <w:top w:val="nil"/>
              <w:bottom w:val="nil"/>
            </w:tcBorders>
          </w:tcPr>
          <w:p w14:paraId="403EF925"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Age, </w:t>
            </w:r>
            <w:proofErr w:type="spellStart"/>
            <w:r w:rsidRPr="007852DA">
              <w:rPr>
                <w:rFonts w:ascii="Book Antiqua" w:eastAsia="宋体" w:hAnsi="Book Antiqua" w:cs="Times New Roman"/>
                <w:color w:val="000000" w:themeColor="text1"/>
                <w:sz w:val="24"/>
              </w:rPr>
              <w:t>yr</w:t>
            </w:r>
            <w:proofErr w:type="spellEnd"/>
          </w:p>
        </w:tc>
        <w:tc>
          <w:tcPr>
            <w:tcW w:w="1423" w:type="dxa"/>
            <w:tcBorders>
              <w:top w:val="nil"/>
              <w:bottom w:val="nil"/>
            </w:tcBorders>
          </w:tcPr>
          <w:p w14:paraId="4AE8CFA4"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61.7</w:t>
            </w:r>
            <w:bookmarkStart w:id="97" w:name="OLE_LINK25"/>
            <w:bookmarkStart w:id="98" w:name="OLE_LINK26"/>
            <w:r w:rsidRPr="007852DA">
              <w:rPr>
                <w:rFonts w:ascii="Book Antiqua" w:eastAsia="宋体" w:hAnsi="Book Antiqua" w:cs="Times New Roman"/>
                <w:color w:val="000000" w:themeColor="text1"/>
                <w:sz w:val="24"/>
              </w:rPr>
              <w:t xml:space="preserve"> ± </w:t>
            </w:r>
            <w:bookmarkEnd w:id="97"/>
            <w:bookmarkEnd w:id="98"/>
            <w:r w:rsidRPr="007852DA">
              <w:rPr>
                <w:rFonts w:ascii="Book Antiqua" w:eastAsia="宋体" w:hAnsi="Book Antiqua" w:cs="Times New Roman"/>
                <w:color w:val="000000" w:themeColor="text1"/>
                <w:sz w:val="24"/>
              </w:rPr>
              <w:t>7.7</w:t>
            </w:r>
          </w:p>
        </w:tc>
        <w:tc>
          <w:tcPr>
            <w:tcW w:w="1423" w:type="dxa"/>
            <w:tcBorders>
              <w:top w:val="nil"/>
              <w:bottom w:val="nil"/>
            </w:tcBorders>
          </w:tcPr>
          <w:p w14:paraId="6072A031"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61.4</w:t>
            </w:r>
            <w:bookmarkStart w:id="99" w:name="OLE_LINK30"/>
            <w:bookmarkStart w:id="100" w:name="OLE_LINK29"/>
            <w:r w:rsidRPr="007852DA">
              <w:rPr>
                <w:rFonts w:ascii="Book Antiqua" w:eastAsia="宋体" w:hAnsi="Book Antiqua" w:cs="Times New Roman"/>
                <w:color w:val="000000" w:themeColor="text1"/>
                <w:sz w:val="24"/>
              </w:rPr>
              <w:t xml:space="preserve"> ± </w:t>
            </w:r>
            <w:bookmarkEnd w:id="99"/>
            <w:bookmarkEnd w:id="100"/>
            <w:r w:rsidRPr="007852DA">
              <w:rPr>
                <w:rFonts w:ascii="Book Antiqua" w:eastAsia="宋体" w:hAnsi="Book Antiqua" w:cs="Times New Roman"/>
                <w:color w:val="000000" w:themeColor="text1"/>
                <w:sz w:val="24"/>
              </w:rPr>
              <w:t>7.5</w:t>
            </w:r>
          </w:p>
        </w:tc>
        <w:tc>
          <w:tcPr>
            <w:tcW w:w="1423" w:type="dxa"/>
            <w:tcBorders>
              <w:top w:val="nil"/>
              <w:bottom w:val="nil"/>
            </w:tcBorders>
          </w:tcPr>
          <w:p w14:paraId="28785AEF"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58.5 ± 7.5</w:t>
            </w:r>
          </w:p>
        </w:tc>
        <w:tc>
          <w:tcPr>
            <w:tcW w:w="1423" w:type="dxa"/>
            <w:tcBorders>
              <w:top w:val="nil"/>
              <w:bottom w:val="nil"/>
            </w:tcBorders>
          </w:tcPr>
          <w:p w14:paraId="2C454237"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0.077</w:t>
            </w:r>
          </w:p>
        </w:tc>
      </w:tr>
      <w:tr w:rsidR="007852DA" w:rsidRPr="007852DA" w14:paraId="719BCB7E" w14:textId="77777777" w:rsidTr="00691360">
        <w:tc>
          <w:tcPr>
            <w:tcW w:w="2552" w:type="dxa"/>
            <w:tcBorders>
              <w:top w:val="nil"/>
              <w:bottom w:val="nil"/>
            </w:tcBorders>
          </w:tcPr>
          <w:p w14:paraId="3371CCF3"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Female/male, </w:t>
            </w:r>
            <w:r w:rsidRPr="007852DA">
              <w:rPr>
                <w:rFonts w:ascii="Book Antiqua" w:eastAsia="宋体" w:hAnsi="Book Antiqua" w:cs="Times New Roman"/>
                <w:i/>
                <w:iCs/>
                <w:color w:val="000000" w:themeColor="text1"/>
                <w:sz w:val="24"/>
              </w:rPr>
              <w:t>n</w:t>
            </w:r>
          </w:p>
        </w:tc>
        <w:tc>
          <w:tcPr>
            <w:tcW w:w="1423" w:type="dxa"/>
            <w:tcBorders>
              <w:top w:val="nil"/>
              <w:bottom w:val="nil"/>
            </w:tcBorders>
          </w:tcPr>
          <w:p w14:paraId="2FD04358"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26/23</w:t>
            </w:r>
          </w:p>
        </w:tc>
        <w:tc>
          <w:tcPr>
            <w:tcW w:w="1423" w:type="dxa"/>
            <w:tcBorders>
              <w:top w:val="nil"/>
              <w:bottom w:val="nil"/>
            </w:tcBorders>
          </w:tcPr>
          <w:p w14:paraId="63B4623B"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26/24</w:t>
            </w:r>
          </w:p>
        </w:tc>
        <w:tc>
          <w:tcPr>
            <w:tcW w:w="1423" w:type="dxa"/>
            <w:tcBorders>
              <w:top w:val="nil"/>
              <w:bottom w:val="nil"/>
            </w:tcBorders>
          </w:tcPr>
          <w:p w14:paraId="1A29546B"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30/20</w:t>
            </w:r>
          </w:p>
        </w:tc>
        <w:tc>
          <w:tcPr>
            <w:tcW w:w="1423" w:type="dxa"/>
            <w:tcBorders>
              <w:top w:val="nil"/>
              <w:bottom w:val="nil"/>
            </w:tcBorders>
          </w:tcPr>
          <w:p w14:paraId="3E983E53"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0.683</w:t>
            </w:r>
          </w:p>
        </w:tc>
      </w:tr>
      <w:tr w:rsidR="007852DA" w:rsidRPr="007852DA" w14:paraId="7078A6CA" w14:textId="77777777" w:rsidTr="00691360">
        <w:tc>
          <w:tcPr>
            <w:tcW w:w="2552" w:type="dxa"/>
            <w:tcBorders>
              <w:top w:val="nil"/>
              <w:bottom w:val="nil"/>
            </w:tcBorders>
          </w:tcPr>
          <w:p w14:paraId="00DA9CB6"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Age of onset, </w:t>
            </w:r>
            <w:proofErr w:type="spellStart"/>
            <w:r w:rsidRPr="007852DA">
              <w:rPr>
                <w:rFonts w:ascii="Book Antiqua" w:eastAsia="宋体" w:hAnsi="Book Antiqua" w:cs="Times New Roman"/>
                <w:color w:val="000000" w:themeColor="text1"/>
                <w:sz w:val="24"/>
              </w:rPr>
              <w:t>y</w:t>
            </w:r>
            <w:r w:rsidR="004436DE" w:rsidRPr="007852DA">
              <w:rPr>
                <w:rFonts w:ascii="Book Antiqua" w:eastAsia="宋体" w:hAnsi="Book Antiqua" w:cs="Times New Roman"/>
                <w:color w:val="000000" w:themeColor="text1"/>
                <w:sz w:val="24"/>
              </w:rPr>
              <w:t>r</w:t>
            </w:r>
            <w:proofErr w:type="spellEnd"/>
          </w:p>
        </w:tc>
        <w:tc>
          <w:tcPr>
            <w:tcW w:w="1423" w:type="dxa"/>
            <w:tcBorders>
              <w:top w:val="nil"/>
              <w:bottom w:val="nil"/>
            </w:tcBorders>
          </w:tcPr>
          <w:p w14:paraId="5DBA9003"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58.7 ± 7.4</w:t>
            </w:r>
          </w:p>
        </w:tc>
        <w:tc>
          <w:tcPr>
            <w:tcW w:w="1423" w:type="dxa"/>
            <w:tcBorders>
              <w:top w:val="nil"/>
              <w:bottom w:val="nil"/>
            </w:tcBorders>
          </w:tcPr>
          <w:p w14:paraId="5933AF23"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56.6 ± 7.1</w:t>
            </w:r>
          </w:p>
        </w:tc>
        <w:tc>
          <w:tcPr>
            <w:tcW w:w="1423" w:type="dxa"/>
            <w:tcBorders>
              <w:top w:val="nil"/>
              <w:bottom w:val="nil"/>
            </w:tcBorders>
          </w:tcPr>
          <w:p w14:paraId="2ED2B42C"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w:t>
            </w:r>
          </w:p>
        </w:tc>
        <w:tc>
          <w:tcPr>
            <w:tcW w:w="1423" w:type="dxa"/>
            <w:tcBorders>
              <w:top w:val="nil"/>
              <w:bottom w:val="nil"/>
            </w:tcBorders>
          </w:tcPr>
          <w:p w14:paraId="6456C962"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r>
      <w:tr w:rsidR="007852DA" w:rsidRPr="007852DA" w14:paraId="70028AD8" w14:textId="77777777" w:rsidTr="00691360">
        <w:tc>
          <w:tcPr>
            <w:tcW w:w="2552" w:type="dxa"/>
            <w:tcBorders>
              <w:top w:val="nil"/>
              <w:bottom w:val="nil"/>
            </w:tcBorders>
          </w:tcPr>
          <w:p w14:paraId="5FA38CB1"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MSA-P/MSA-C, </w:t>
            </w:r>
            <w:r w:rsidRPr="007852DA">
              <w:rPr>
                <w:rFonts w:ascii="Book Antiqua" w:eastAsia="宋体" w:hAnsi="Book Antiqua" w:cs="Times New Roman"/>
                <w:i/>
                <w:iCs/>
                <w:color w:val="000000" w:themeColor="text1"/>
                <w:sz w:val="24"/>
              </w:rPr>
              <w:t>n</w:t>
            </w:r>
          </w:p>
        </w:tc>
        <w:tc>
          <w:tcPr>
            <w:tcW w:w="1423" w:type="dxa"/>
            <w:tcBorders>
              <w:top w:val="nil"/>
              <w:bottom w:val="nil"/>
            </w:tcBorders>
          </w:tcPr>
          <w:p w14:paraId="20593F24"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30/20</w:t>
            </w:r>
          </w:p>
        </w:tc>
        <w:tc>
          <w:tcPr>
            <w:tcW w:w="1423" w:type="dxa"/>
            <w:tcBorders>
              <w:top w:val="nil"/>
              <w:bottom w:val="nil"/>
            </w:tcBorders>
          </w:tcPr>
          <w:p w14:paraId="1AD7FD94"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w:t>
            </w:r>
          </w:p>
        </w:tc>
        <w:tc>
          <w:tcPr>
            <w:tcW w:w="1423" w:type="dxa"/>
            <w:tcBorders>
              <w:top w:val="nil"/>
              <w:bottom w:val="nil"/>
            </w:tcBorders>
          </w:tcPr>
          <w:p w14:paraId="6B27E4C3"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w:t>
            </w:r>
          </w:p>
        </w:tc>
        <w:tc>
          <w:tcPr>
            <w:tcW w:w="1423" w:type="dxa"/>
            <w:tcBorders>
              <w:top w:val="nil"/>
              <w:bottom w:val="nil"/>
            </w:tcBorders>
          </w:tcPr>
          <w:p w14:paraId="7480106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w:t>
            </w:r>
          </w:p>
        </w:tc>
      </w:tr>
      <w:tr w:rsidR="007852DA" w:rsidRPr="007852DA" w14:paraId="124CF7E8" w14:textId="77777777" w:rsidTr="00691360">
        <w:tc>
          <w:tcPr>
            <w:tcW w:w="2552" w:type="dxa"/>
            <w:tcBorders>
              <w:top w:val="nil"/>
              <w:bottom w:val="nil"/>
            </w:tcBorders>
          </w:tcPr>
          <w:p w14:paraId="2C9586AB"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Probable/Possible, </w:t>
            </w:r>
            <w:r w:rsidRPr="007852DA">
              <w:rPr>
                <w:rFonts w:ascii="Book Antiqua" w:eastAsia="宋体" w:hAnsi="Book Antiqua" w:cs="Times New Roman"/>
                <w:i/>
                <w:iCs/>
                <w:color w:val="000000" w:themeColor="text1"/>
                <w:sz w:val="24"/>
              </w:rPr>
              <w:t>n</w:t>
            </w:r>
          </w:p>
        </w:tc>
        <w:tc>
          <w:tcPr>
            <w:tcW w:w="1423" w:type="dxa"/>
            <w:tcBorders>
              <w:top w:val="nil"/>
              <w:bottom w:val="nil"/>
            </w:tcBorders>
          </w:tcPr>
          <w:p w14:paraId="7F5C0DE2"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31/18</w:t>
            </w:r>
          </w:p>
        </w:tc>
        <w:tc>
          <w:tcPr>
            <w:tcW w:w="1423" w:type="dxa"/>
            <w:tcBorders>
              <w:top w:val="nil"/>
              <w:bottom w:val="nil"/>
            </w:tcBorders>
          </w:tcPr>
          <w:p w14:paraId="098D870C"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w:t>
            </w:r>
          </w:p>
        </w:tc>
        <w:tc>
          <w:tcPr>
            <w:tcW w:w="1423" w:type="dxa"/>
            <w:tcBorders>
              <w:top w:val="nil"/>
              <w:bottom w:val="nil"/>
            </w:tcBorders>
          </w:tcPr>
          <w:p w14:paraId="1582993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w:t>
            </w:r>
          </w:p>
        </w:tc>
        <w:tc>
          <w:tcPr>
            <w:tcW w:w="1423" w:type="dxa"/>
            <w:tcBorders>
              <w:top w:val="nil"/>
              <w:bottom w:val="nil"/>
            </w:tcBorders>
          </w:tcPr>
          <w:p w14:paraId="4E3CEC95"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w:t>
            </w:r>
          </w:p>
        </w:tc>
      </w:tr>
      <w:tr w:rsidR="007852DA" w:rsidRPr="007852DA" w14:paraId="0ED454B3" w14:textId="77777777" w:rsidTr="00691360">
        <w:tc>
          <w:tcPr>
            <w:tcW w:w="2552" w:type="dxa"/>
            <w:tcBorders>
              <w:top w:val="nil"/>
              <w:bottom w:val="nil"/>
            </w:tcBorders>
          </w:tcPr>
          <w:p w14:paraId="2DCF48B6"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Clinical rate scales</w:t>
            </w:r>
          </w:p>
          <w:p w14:paraId="04254843"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(UMSARS</w:t>
            </w:r>
            <w:r w:rsidRPr="007852DA">
              <w:rPr>
                <w:rFonts w:ascii="Book Antiqua" w:eastAsia="宋体" w:hAnsi="Book Antiqua" w:cs="Times New Roman"/>
                <w:color w:val="000000" w:themeColor="text1"/>
                <w:sz w:val="24"/>
              </w:rPr>
              <w:fldChar w:fldCharType="begin"/>
            </w:r>
            <w:r w:rsidRPr="007852DA">
              <w:rPr>
                <w:rFonts w:ascii="Book Antiqua" w:eastAsia="宋体" w:hAnsi="Book Antiqua" w:cs="Times New Roman"/>
                <w:color w:val="000000" w:themeColor="text1"/>
                <w:sz w:val="24"/>
              </w:rPr>
              <w:instrText xml:space="preserve"> = 2 \* ROMAN </w:instrText>
            </w:r>
            <w:r w:rsidRPr="007852DA">
              <w:rPr>
                <w:rFonts w:ascii="Book Antiqua" w:eastAsia="宋体" w:hAnsi="Book Antiqua" w:cs="Times New Roman"/>
                <w:color w:val="000000" w:themeColor="text1"/>
                <w:sz w:val="24"/>
              </w:rPr>
              <w:fldChar w:fldCharType="separate"/>
            </w:r>
            <w:r w:rsidRPr="007852DA">
              <w:rPr>
                <w:rFonts w:ascii="Book Antiqua" w:eastAsia="宋体" w:hAnsi="Book Antiqua" w:cs="Times New Roman"/>
                <w:color w:val="000000" w:themeColor="text1"/>
                <w:sz w:val="24"/>
              </w:rPr>
              <w:t>II</w:t>
            </w:r>
            <w:r w:rsidRPr="007852DA">
              <w:rPr>
                <w:rFonts w:ascii="Book Antiqua" w:eastAsia="宋体" w:hAnsi="Book Antiqua" w:cs="Times New Roman"/>
                <w:color w:val="000000" w:themeColor="text1"/>
                <w:sz w:val="24"/>
              </w:rPr>
              <w:fldChar w:fldCharType="end"/>
            </w:r>
            <w:r w:rsidRPr="007852DA">
              <w:rPr>
                <w:rFonts w:ascii="Book Antiqua" w:eastAsia="宋体" w:hAnsi="Book Antiqua" w:cs="Times New Roman"/>
                <w:color w:val="000000" w:themeColor="text1"/>
                <w:sz w:val="24"/>
              </w:rPr>
              <w:t>/UPDRS</w:t>
            </w:r>
            <w:r w:rsidRPr="007852DA">
              <w:rPr>
                <w:rFonts w:ascii="Book Antiqua" w:eastAsia="宋体" w:hAnsi="Book Antiqua" w:cs="Times New Roman"/>
                <w:color w:val="000000" w:themeColor="text1"/>
                <w:sz w:val="24"/>
              </w:rPr>
              <w:fldChar w:fldCharType="begin"/>
            </w:r>
            <w:r w:rsidRPr="007852DA">
              <w:rPr>
                <w:rFonts w:ascii="Book Antiqua" w:eastAsia="宋体" w:hAnsi="Book Antiqua" w:cs="Times New Roman"/>
                <w:color w:val="000000" w:themeColor="text1"/>
                <w:sz w:val="24"/>
              </w:rPr>
              <w:instrText xml:space="preserve"> = 3 \* ROMAN </w:instrText>
            </w:r>
            <w:r w:rsidRPr="007852DA">
              <w:rPr>
                <w:rFonts w:ascii="Book Antiqua" w:eastAsia="宋体" w:hAnsi="Book Antiqua" w:cs="Times New Roman"/>
                <w:color w:val="000000" w:themeColor="text1"/>
                <w:sz w:val="24"/>
              </w:rPr>
              <w:fldChar w:fldCharType="separate"/>
            </w:r>
            <w:r w:rsidRPr="007852DA">
              <w:rPr>
                <w:rFonts w:ascii="Book Antiqua" w:eastAsia="宋体" w:hAnsi="Book Antiqua" w:cs="Times New Roman"/>
                <w:color w:val="000000" w:themeColor="text1"/>
                <w:sz w:val="24"/>
              </w:rPr>
              <w:t>III</w:t>
            </w:r>
            <w:r w:rsidRPr="007852DA">
              <w:rPr>
                <w:rFonts w:ascii="Book Antiqua" w:eastAsia="宋体" w:hAnsi="Book Antiqua" w:cs="Times New Roman"/>
                <w:color w:val="000000" w:themeColor="text1"/>
                <w:sz w:val="24"/>
              </w:rPr>
              <w:fldChar w:fldCharType="end"/>
            </w:r>
            <w:r w:rsidRPr="007852DA">
              <w:rPr>
                <w:rFonts w:ascii="Book Antiqua" w:eastAsia="宋体" w:hAnsi="Book Antiqua" w:cs="Times New Roman"/>
                <w:color w:val="000000" w:themeColor="text1"/>
                <w:sz w:val="24"/>
              </w:rPr>
              <w:t>)</w:t>
            </w:r>
          </w:p>
        </w:tc>
        <w:tc>
          <w:tcPr>
            <w:tcW w:w="1423" w:type="dxa"/>
            <w:tcBorders>
              <w:top w:val="nil"/>
              <w:bottom w:val="nil"/>
            </w:tcBorders>
          </w:tcPr>
          <w:p w14:paraId="2551D32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19.5 ±</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6.4</w:t>
            </w:r>
          </w:p>
          <w:p w14:paraId="4F1E94CD"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(UMSARS</w:t>
            </w:r>
            <w:bookmarkStart w:id="101" w:name="OLE_LINK19"/>
            <w:bookmarkStart w:id="102" w:name="OLE_LINK20"/>
            <w:r w:rsidRPr="007852DA">
              <w:rPr>
                <w:rFonts w:ascii="Book Antiqua" w:eastAsia="宋体" w:hAnsi="Book Antiqua" w:cs="Times New Roman"/>
                <w:color w:val="000000" w:themeColor="text1"/>
                <w:sz w:val="24"/>
              </w:rPr>
              <w:fldChar w:fldCharType="begin"/>
            </w:r>
            <w:r w:rsidRPr="007852DA">
              <w:rPr>
                <w:rFonts w:ascii="Book Antiqua" w:eastAsia="宋体" w:hAnsi="Book Antiqua" w:cs="Times New Roman"/>
                <w:color w:val="000000" w:themeColor="text1"/>
                <w:sz w:val="24"/>
              </w:rPr>
              <w:instrText xml:space="preserve"> = 2 \* ROMAN </w:instrText>
            </w:r>
            <w:r w:rsidRPr="007852DA">
              <w:rPr>
                <w:rFonts w:ascii="Book Antiqua" w:eastAsia="宋体" w:hAnsi="Book Antiqua" w:cs="Times New Roman"/>
                <w:color w:val="000000" w:themeColor="text1"/>
                <w:sz w:val="24"/>
              </w:rPr>
              <w:fldChar w:fldCharType="separate"/>
            </w:r>
            <w:r w:rsidRPr="007852DA">
              <w:rPr>
                <w:rFonts w:ascii="Book Antiqua" w:eastAsia="宋体" w:hAnsi="Book Antiqua" w:cs="Times New Roman"/>
                <w:color w:val="000000" w:themeColor="text1"/>
                <w:sz w:val="24"/>
              </w:rPr>
              <w:t>I</w:t>
            </w:r>
            <w:bookmarkStart w:id="103" w:name="OLE_LINK18"/>
            <w:bookmarkStart w:id="104" w:name="OLE_LINK17"/>
            <w:r w:rsidRPr="007852DA">
              <w:rPr>
                <w:rFonts w:ascii="Book Antiqua" w:eastAsia="宋体" w:hAnsi="Book Antiqua" w:cs="Times New Roman"/>
                <w:color w:val="000000" w:themeColor="text1"/>
                <w:sz w:val="24"/>
              </w:rPr>
              <w:t>I</w:t>
            </w:r>
            <w:bookmarkEnd w:id="103"/>
            <w:bookmarkEnd w:id="104"/>
            <w:r w:rsidRPr="007852DA">
              <w:rPr>
                <w:rFonts w:ascii="Book Antiqua" w:eastAsia="宋体" w:hAnsi="Book Antiqua" w:cs="Times New Roman"/>
                <w:color w:val="000000" w:themeColor="text1"/>
                <w:sz w:val="24"/>
              </w:rPr>
              <w:fldChar w:fldCharType="end"/>
            </w:r>
            <w:bookmarkEnd w:id="101"/>
            <w:bookmarkEnd w:id="102"/>
            <w:r w:rsidRPr="007852DA">
              <w:rPr>
                <w:rFonts w:ascii="Book Antiqua" w:eastAsia="宋体" w:hAnsi="Book Antiqua" w:cs="Times New Roman"/>
                <w:color w:val="000000" w:themeColor="text1"/>
                <w:sz w:val="24"/>
              </w:rPr>
              <w:t>)</w:t>
            </w:r>
          </w:p>
        </w:tc>
        <w:tc>
          <w:tcPr>
            <w:tcW w:w="1423" w:type="dxa"/>
            <w:tcBorders>
              <w:top w:val="nil"/>
              <w:bottom w:val="nil"/>
            </w:tcBorders>
          </w:tcPr>
          <w:p w14:paraId="633F4C32"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26.1 ± 13.2</w:t>
            </w:r>
          </w:p>
          <w:p w14:paraId="0E5AFE32"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(UPDRS</w:t>
            </w:r>
            <w:bookmarkStart w:id="105" w:name="OLE_LINK21"/>
            <w:bookmarkStart w:id="106" w:name="OLE_LINK22"/>
            <w:r w:rsidRPr="007852DA">
              <w:rPr>
                <w:rFonts w:ascii="Book Antiqua" w:eastAsia="宋体" w:hAnsi="Book Antiqua" w:cs="Times New Roman"/>
                <w:color w:val="000000" w:themeColor="text1"/>
                <w:sz w:val="24"/>
              </w:rPr>
              <w:fldChar w:fldCharType="begin"/>
            </w:r>
            <w:r w:rsidRPr="007852DA">
              <w:rPr>
                <w:rFonts w:ascii="Book Antiqua" w:eastAsia="宋体" w:hAnsi="Book Antiqua" w:cs="Times New Roman"/>
                <w:color w:val="000000" w:themeColor="text1"/>
                <w:sz w:val="24"/>
              </w:rPr>
              <w:instrText xml:space="preserve"> = 3 \* ROMAN </w:instrText>
            </w:r>
            <w:r w:rsidRPr="007852DA">
              <w:rPr>
                <w:rFonts w:ascii="Book Antiqua" w:eastAsia="宋体" w:hAnsi="Book Antiqua" w:cs="Times New Roman"/>
                <w:color w:val="000000" w:themeColor="text1"/>
                <w:sz w:val="24"/>
              </w:rPr>
              <w:fldChar w:fldCharType="separate"/>
            </w:r>
            <w:r w:rsidRPr="007852DA">
              <w:rPr>
                <w:rFonts w:ascii="Book Antiqua" w:eastAsia="宋体" w:hAnsi="Book Antiqua" w:cs="Times New Roman"/>
                <w:color w:val="000000" w:themeColor="text1"/>
                <w:sz w:val="24"/>
              </w:rPr>
              <w:t>III</w:t>
            </w:r>
            <w:r w:rsidRPr="007852DA">
              <w:rPr>
                <w:rFonts w:ascii="Book Antiqua" w:eastAsia="宋体" w:hAnsi="Book Antiqua" w:cs="Times New Roman"/>
                <w:color w:val="000000" w:themeColor="text1"/>
                <w:sz w:val="24"/>
              </w:rPr>
              <w:fldChar w:fldCharType="end"/>
            </w:r>
            <w:bookmarkEnd w:id="105"/>
            <w:bookmarkEnd w:id="106"/>
            <w:r w:rsidRPr="007852DA">
              <w:rPr>
                <w:rFonts w:ascii="Book Antiqua" w:eastAsia="宋体" w:hAnsi="Book Antiqua" w:cs="Times New Roman"/>
                <w:color w:val="000000" w:themeColor="text1"/>
                <w:sz w:val="24"/>
              </w:rPr>
              <w:t>)</w:t>
            </w:r>
          </w:p>
        </w:tc>
        <w:tc>
          <w:tcPr>
            <w:tcW w:w="1423" w:type="dxa"/>
            <w:tcBorders>
              <w:top w:val="nil"/>
              <w:bottom w:val="nil"/>
            </w:tcBorders>
          </w:tcPr>
          <w:p w14:paraId="53D68A72"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w:t>
            </w:r>
          </w:p>
          <w:p w14:paraId="688A1FC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w:t>
            </w:r>
          </w:p>
        </w:tc>
        <w:tc>
          <w:tcPr>
            <w:tcW w:w="1423" w:type="dxa"/>
            <w:tcBorders>
              <w:top w:val="nil"/>
              <w:bottom w:val="nil"/>
            </w:tcBorders>
          </w:tcPr>
          <w:p w14:paraId="15F26333"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w:t>
            </w:r>
          </w:p>
        </w:tc>
      </w:tr>
      <w:tr w:rsidR="007852DA" w:rsidRPr="007852DA" w14:paraId="2D250168" w14:textId="77777777" w:rsidTr="00691360">
        <w:tc>
          <w:tcPr>
            <w:tcW w:w="2552" w:type="dxa"/>
            <w:tcBorders>
              <w:top w:val="nil"/>
            </w:tcBorders>
          </w:tcPr>
          <w:p w14:paraId="02C22136"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GDF15, </w:t>
            </w:r>
            <w:proofErr w:type="spellStart"/>
            <w:r w:rsidRPr="007852DA">
              <w:rPr>
                <w:rFonts w:ascii="Book Antiqua" w:eastAsia="宋体" w:hAnsi="Book Antiqua" w:cs="Times New Roman"/>
                <w:color w:val="000000" w:themeColor="text1"/>
                <w:sz w:val="24"/>
              </w:rPr>
              <w:t>pg</w:t>
            </w:r>
            <w:proofErr w:type="spellEnd"/>
            <w:r w:rsidRPr="007852DA">
              <w:rPr>
                <w:rFonts w:ascii="Book Antiqua" w:eastAsia="宋体" w:hAnsi="Book Antiqua" w:cs="Times New Roman"/>
                <w:color w:val="000000" w:themeColor="text1"/>
                <w:sz w:val="24"/>
              </w:rPr>
              <w:t>/m</w:t>
            </w:r>
            <w:r w:rsidR="004436DE" w:rsidRPr="007852DA">
              <w:rPr>
                <w:rFonts w:ascii="Book Antiqua" w:eastAsia="宋体" w:hAnsi="Book Antiqua" w:cs="Times New Roman"/>
                <w:color w:val="000000" w:themeColor="text1"/>
                <w:sz w:val="24"/>
              </w:rPr>
              <w:t>L</w:t>
            </w:r>
          </w:p>
        </w:tc>
        <w:tc>
          <w:tcPr>
            <w:tcW w:w="1423" w:type="dxa"/>
            <w:tcBorders>
              <w:top w:val="nil"/>
            </w:tcBorders>
          </w:tcPr>
          <w:p w14:paraId="6C80C15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1105.69 (984.24)</w:t>
            </w:r>
          </w:p>
        </w:tc>
        <w:tc>
          <w:tcPr>
            <w:tcW w:w="1423" w:type="dxa"/>
            <w:tcBorders>
              <w:top w:val="nil"/>
            </w:tcBorders>
          </w:tcPr>
          <w:p w14:paraId="22865E0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506.70 (346.80)</w:t>
            </w:r>
          </w:p>
        </w:tc>
        <w:tc>
          <w:tcPr>
            <w:tcW w:w="1423" w:type="dxa"/>
            <w:tcBorders>
              <w:top w:val="nil"/>
            </w:tcBorders>
          </w:tcPr>
          <w:p w14:paraId="17D23CA3"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313.85 (247.76)</w:t>
            </w:r>
          </w:p>
        </w:tc>
        <w:tc>
          <w:tcPr>
            <w:tcW w:w="1423" w:type="dxa"/>
            <w:tcBorders>
              <w:top w:val="nil"/>
            </w:tcBorders>
          </w:tcPr>
          <w:p w14:paraId="776D09FC"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0.000</w:t>
            </w:r>
          </w:p>
        </w:tc>
      </w:tr>
    </w:tbl>
    <w:p w14:paraId="7FB3CC2B" w14:textId="77777777" w:rsidR="00537E6A" w:rsidRPr="007852DA" w:rsidRDefault="004436DE"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MSA: Multiple system atrophy; </w:t>
      </w:r>
      <w:r w:rsidR="00A50C54" w:rsidRPr="007852DA">
        <w:rPr>
          <w:rFonts w:ascii="Book Antiqua" w:eastAsia="宋体" w:hAnsi="Book Antiqua" w:cs="Times New Roman"/>
          <w:color w:val="000000" w:themeColor="text1"/>
          <w:sz w:val="24"/>
        </w:rPr>
        <w:t xml:space="preserve">MSA-P: Multiple system atrophy-parkinsonian type; MSA-C: Multiple system atrophy-cerebellar type; </w:t>
      </w:r>
      <w:r w:rsidRPr="007852DA">
        <w:rPr>
          <w:rFonts w:ascii="Book Antiqua" w:eastAsia="宋体" w:hAnsi="Book Antiqua" w:cs="Times New Roman"/>
          <w:color w:val="000000" w:themeColor="text1"/>
          <w:sz w:val="24"/>
        </w:rPr>
        <w:t>PD: Parkinson disease; GDF15: Growth differentiation factor 15.</w:t>
      </w:r>
    </w:p>
    <w:p w14:paraId="2FAC8236" w14:textId="77777777" w:rsidR="001F49D0" w:rsidRPr="007852DA" w:rsidRDefault="001F49D0" w:rsidP="001F49D0">
      <w:pPr>
        <w:widowControl/>
        <w:spacing w:line="360" w:lineRule="auto"/>
        <w:rPr>
          <w:rFonts w:ascii="Book Antiqua" w:eastAsia="宋体" w:hAnsi="Book Antiqua" w:cs="Times New Roman"/>
          <w:b/>
          <w:color w:val="000000" w:themeColor="text1"/>
          <w:sz w:val="24"/>
        </w:rPr>
      </w:pPr>
      <w:r w:rsidRPr="007852DA">
        <w:rPr>
          <w:rFonts w:ascii="Book Antiqua" w:eastAsia="宋体" w:hAnsi="Book Antiqua" w:cs="Times New Roman"/>
          <w:b/>
          <w:color w:val="000000" w:themeColor="text1"/>
          <w:sz w:val="24"/>
        </w:rPr>
        <w:br w:type="page"/>
      </w:r>
    </w:p>
    <w:p w14:paraId="080C1D60"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lastRenderedPageBreak/>
        <w:t xml:space="preserve">Table 2 Serum levels of </w:t>
      </w:r>
      <w:r w:rsidR="004436DE" w:rsidRPr="007852DA">
        <w:rPr>
          <w:rFonts w:ascii="Book Antiqua" w:eastAsia="宋体" w:hAnsi="Book Antiqua" w:cs="Times New Roman"/>
          <w:b/>
          <w:bCs/>
          <w:color w:val="000000" w:themeColor="text1"/>
          <w:sz w:val="24"/>
        </w:rPr>
        <w:t>growth differentiation factor 15</w:t>
      </w:r>
      <w:r w:rsidR="00A50C54" w:rsidRPr="007852DA">
        <w:rPr>
          <w:rFonts w:ascii="Book Antiqua" w:eastAsia="宋体" w:hAnsi="Book Antiqua" w:cs="Times New Roman"/>
          <w:b/>
          <w:bCs/>
          <w:color w:val="000000" w:themeColor="text1"/>
          <w:sz w:val="24"/>
        </w:rPr>
        <w:t xml:space="preserve"> </w:t>
      </w:r>
      <w:r w:rsidRPr="007852DA">
        <w:rPr>
          <w:rFonts w:ascii="Book Antiqua" w:eastAsia="宋体" w:hAnsi="Book Antiqua" w:cs="Times New Roman"/>
          <w:b/>
          <w:bCs/>
          <w:color w:val="000000" w:themeColor="text1"/>
          <w:sz w:val="24"/>
        </w:rPr>
        <w:t xml:space="preserve">in different subgroups of </w:t>
      </w:r>
      <w:r w:rsidR="004436DE" w:rsidRPr="007852DA">
        <w:rPr>
          <w:rFonts w:ascii="Book Antiqua" w:eastAsia="宋体" w:hAnsi="Book Antiqua" w:cs="Times New Roman"/>
          <w:b/>
          <w:bCs/>
          <w:color w:val="000000" w:themeColor="text1"/>
          <w:sz w:val="24"/>
        </w:rPr>
        <w:t>multiple system atrophy</w:t>
      </w:r>
    </w:p>
    <w:tbl>
      <w:tblPr>
        <w:tblStyle w:val="aa"/>
        <w:tblW w:w="8299" w:type="dxa"/>
        <w:tblBorders>
          <w:left w:val="none" w:sz="0" w:space="0" w:color="auto"/>
          <w:right w:val="none" w:sz="0" w:space="0" w:color="auto"/>
          <w:insideV w:val="none" w:sz="0" w:space="0" w:color="auto"/>
        </w:tblBorders>
        <w:tblLook w:val="04A0" w:firstRow="1" w:lastRow="0" w:firstColumn="1" w:lastColumn="0" w:noHBand="0" w:noVBand="1"/>
      </w:tblPr>
      <w:tblGrid>
        <w:gridCol w:w="3264"/>
        <w:gridCol w:w="3378"/>
        <w:gridCol w:w="1657"/>
      </w:tblGrid>
      <w:tr w:rsidR="007852DA" w:rsidRPr="007852DA" w14:paraId="5AC1B2D8" w14:textId="77777777" w:rsidTr="00062DE5">
        <w:trPr>
          <w:trHeight w:val="520"/>
        </w:trPr>
        <w:tc>
          <w:tcPr>
            <w:tcW w:w="3264" w:type="dxa"/>
            <w:tcBorders>
              <w:bottom w:val="single" w:sz="4" w:space="0" w:color="auto"/>
            </w:tcBorders>
            <w:shd w:val="clear" w:color="auto" w:fill="FFFFFF" w:themeFill="background1"/>
          </w:tcPr>
          <w:p w14:paraId="53CF917D"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Subgroups</w:t>
            </w:r>
          </w:p>
        </w:tc>
        <w:tc>
          <w:tcPr>
            <w:tcW w:w="3378" w:type="dxa"/>
            <w:tcBorders>
              <w:bottom w:val="single" w:sz="4" w:space="0" w:color="auto"/>
            </w:tcBorders>
            <w:shd w:val="clear" w:color="auto" w:fill="FFFFFF" w:themeFill="background1"/>
          </w:tcPr>
          <w:p w14:paraId="5D0D494A"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 xml:space="preserve">GDF15, </w:t>
            </w:r>
            <w:proofErr w:type="spellStart"/>
            <w:r w:rsidRPr="007852DA">
              <w:rPr>
                <w:rFonts w:ascii="Book Antiqua" w:eastAsia="宋体" w:hAnsi="Book Antiqua" w:cs="Times New Roman"/>
                <w:b/>
                <w:bCs/>
                <w:color w:val="000000" w:themeColor="text1"/>
                <w:sz w:val="24"/>
              </w:rPr>
              <w:t>pg</w:t>
            </w:r>
            <w:proofErr w:type="spellEnd"/>
            <w:r w:rsidRPr="007852DA">
              <w:rPr>
                <w:rFonts w:ascii="Book Antiqua" w:eastAsia="宋体" w:hAnsi="Book Antiqua" w:cs="Times New Roman"/>
                <w:b/>
                <w:bCs/>
                <w:color w:val="000000" w:themeColor="text1"/>
                <w:sz w:val="24"/>
              </w:rPr>
              <w:t>/m</w:t>
            </w:r>
            <w:r w:rsidR="004436DE" w:rsidRPr="007852DA">
              <w:rPr>
                <w:rFonts w:ascii="Book Antiqua" w:eastAsia="宋体" w:hAnsi="Book Antiqua" w:cs="Times New Roman"/>
                <w:b/>
                <w:bCs/>
                <w:color w:val="000000" w:themeColor="text1"/>
                <w:sz w:val="24"/>
              </w:rPr>
              <w:t>L</w:t>
            </w:r>
          </w:p>
        </w:tc>
        <w:tc>
          <w:tcPr>
            <w:tcW w:w="1657" w:type="dxa"/>
            <w:tcBorders>
              <w:bottom w:val="single" w:sz="4" w:space="0" w:color="auto"/>
            </w:tcBorders>
            <w:shd w:val="clear" w:color="auto" w:fill="FFFFFF" w:themeFill="background1"/>
          </w:tcPr>
          <w:p w14:paraId="61C196C3"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i/>
                <w:iCs/>
                <w:color w:val="000000" w:themeColor="text1"/>
                <w:sz w:val="24"/>
              </w:rPr>
              <w:t>P</w:t>
            </w:r>
            <w:r w:rsidR="004436DE" w:rsidRPr="007852DA">
              <w:rPr>
                <w:rFonts w:ascii="Book Antiqua" w:eastAsia="宋体" w:hAnsi="Book Antiqua" w:cs="Times New Roman"/>
                <w:b/>
                <w:bCs/>
                <w:color w:val="000000" w:themeColor="text1"/>
                <w:sz w:val="24"/>
              </w:rPr>
              <w:t xml:space="preserve"> value</w:t>
            </w:r>
          </w:p>
        </w:tc>
      </w:tr>
      <w:tr w:rsidR="007852DA" w:rsidRPr="007852DA" w14:paraId="24D10F04" w14:textId="77777777" w:rsidTr="00062DE5">
        <w:trPr>
          <w:trHeight w:val="508"/>
        </w:trPr>
        <w:tc>
          <w:tcPr>
            <w:tcW w:w="3264" w:type="dxa"/>
            <w:tcBorders>
              <w:top w:val="nil"/>
              <w:bottom w:val="nil"/>
            </w:tcBorders>
          </w:tcPr>
          <w:p w14:paraId="53F6F9E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bookmarkStart w:id="107" w:name="OLE_LINK245"/>
            <w:bookmarkStart w:id="108" w:name="OLE_LINK246"/>
            <w:bookmarkStart w:id="109" w:name="_Hlk19431281"/>
            <w:r w:rsidRPr="007852DA">
              <w:rPr>
                <w:rFonts w:ascii="Book Antiqua" w:eastAsia="宋体" w:hAnsi="Book Antiqua" w:cs="Times New Roman"/>
                <w:color w:val="000000" w:themeColor="text1"/>
                <w:sz w:val="24"/>
              </w:rPr>
              <w:t>Age of onset</w:t>
            </w:r>
            <w:bookmarkEnd w:id="107"/>
            <w:bookmarkEnd w:id="108"/>
          </w:p>
        </w:tc>
        <w:tc>
          <w:tcPr>
            <w:tcW w:w="3378" w:type="dxa"/>
            <w:tcBorders>
              <w:top w:val="nil"/>
              <w:bottom w:val="nil"/>
            </w:tcBorders>
          </w:tcPr>
          <w:p w14:paraId="44DE39A2"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c>
          <w:tcPr>
            <w:tcW w:w="1657" w:type="dxa"/>
            <w:tcBorders>
              <w:top w:val="nil"/>
              <w:bottom w:val="nil"/>
            </w:tcBorders>
          </w:tcPr>
          <w:p w14:paraId="1C55DB76"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r>
      <w:tr w:rsidR="007852DA" w:rsidRPr="007852DA" w14:paraId="17D0FCAB" w14:textId="77777777" w:rsidTr="00062DE5">
        <w:trPr>
          <w:trHeight w:val="556"/>
        </w:trPr>
        <w:tc>
          <w:tcPr>
            <w:tcW w:w="3264" w:type="dxa"/>
            <w:tcBorders>
              <w:top w:val="nil"/>
              <w:bottom w:val="nil"/>
            </w:tcBorders>
          </w:tcPr>
          <w:p w14:paraId="0339DB6E" w14:textId="77777777" w:rsidR="00537E6A" w:rsidRPr="007852DA" w:rsidRDefault="00537E6A"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bookmarkStart w:id="110" w:name="OLE_LINK164"/>
            <w:bookmarkStart w:id="111" w:name="OLE_LINK165"/>
            <w:r w:rsidRPr="007852DA">
              <w:rPr>
                <w:rFonts w:ascii="Book Antiqua" w:eastAsia="宋体" w:hAnsi="Book Antiqua" w:cs="Times New Roman"/>
                <w:color w:val="000000" w:themeColor="text1"/>
                <w:sz w:val="24"/>
              </w:rPr>
              <w:t>&gt;</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50 </w:t>
            </w:r>
            <w:proofErr w:type="spellStart"/>
            <w:r w:rsidRPr="007852DA">
              <w:rPr>
                <w:rFonts w:ascii="Book Antiqua" w:eastAsia="宋体" w:hAnsi="Book Antiqua" w:cs="Times New Roman"/>
                <w:color w:val="000000" w:themeColor="text1"/>
                <w:sz w:val="24"/>
              </w:rPr>
              <w:t>yr</w:t>
            </w:r>
            <w:bookmarkEnd w:id="110"/>
            <w:bookmarkEnd w:id="111"/>
            <w:proofErr w:type="spellEnd"/>
          </w:p>
        </w:tc>
        <w:tc>
          <w:tcPr>
            <w:tcW w:w="3378" w:type="dxa"/>
            <w:tcBorders>
              <w:top w:val="nil"/>
              <w:bottom w:val="nil"/>
            </w:tcBorders>
          </w:tcPr>
          <w:p w14:paraId="5DA3CFAB"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bookmarkStart w:id="112" w:name="OLE_LINK70"/>
            <w:bookmarkStart w:id="113" w:name="OLE_LINK69"/>
            <w:r w:rsidRPr="007852DA">
              <w:rPr>
                <w:rFonts w:ascii="Book Antiqua" w:eastAsia="宋体" w:hAnsi="Book Antiqua" w:cs="Times New Roman"/>
                <w:color w:val="000000" w:themeColor="text1"/>
                <w:sz w:val="24"/>
              </w:rPr>
              <w:t>1156.99 (1028.41)</w:t>
            </w:r>
            <w:bookmarkEnd w:id="112"/>
            <w:bookmarkEnd w:id="113"/>
          </w:p>
        </w:tc>
        <w:tc>
          <w:tcPr>
            <w:tcW w:w="1657" w:type="dxa"/>
            <w:vMerge w:val="restart"/>
            <w:tcBorders>
              <w:top w:val="nil"/>
            </w:tcBorders>
            <w:vAlign w:val="center"/>
          </w:tcPr>
          <w:p w14:paraId="7062C29D"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0.185</w:t>
            </w:r>
          </w:p>
        </w:tc>
      </w:tr>
      <w:tr w:rsidR="007852DA" w:rsidRPr="007852DA" w14:paraId="19DB2B66" w14:textId="77777777" w:rsidTr="00062DE5">
        <w:trPr>
          <w:trHeight w:val="460"/>
        </w:trPr>
        <w:tc>
          <w:tcPr>
            <w:tcW w:w="3264" w:type="dxa"/>
            <w:tcBorders>
              <w:top w:val="nil"/>
              <w:bottom w:val="nil"/>
            </w:tcBorders>
          </w:tcPr>
          <w:p w14:paraId="4779FADF" w14:textId="77777777" w:rsidR="00537E6A" w:rsidRPr="007852DA" w:rsidRDefault="00537E6A"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bookmarkStart w:id="114" w:name="OLE_LINK167"/>
            <w:bookmarkStart w:id="115" w:name="OLE_LINK166"/>
            <w:r w:rsidRPr="007852DA">
              <w:rPr>
                <w:rFonts w:ascii="Book Antiqua" w:eastAsia="宋体" w:hAnsi="Book Antiqua" w:cs="Times New Roman"/>
                <w:color w:val="000000" w:themeColor="text1"/>
                <w:sz w:val="24"/>
              </w:rPr>
              <w:t>≤</w:t>
            </w:r>
            <w:r w:rsidR="004436DE" w:rsidRPr="007852DA">
              <w:rPr>
                <w:rFonts w:ascii="Book Antiqua" w:eastAsia="宋体" w:hAnsi="Book Antiqua" w:cs="Times New Roman"/>
                <w:color w:val="000000" w:themeColor="text1"/>
                <w:sz w:val="24"/>
              </w:rPr>
              <w:t xml:space="preserve"> </w:t>
            </w:r>
            <w:r w:rsidRPr="007852DA">
              <w:rPr>
                <w:rFonts w:ascii="Book Antiqua" w:eastAsia="宋体" w:hAnsi="Book Antiqua" w:cs="Times New Roman"/>
                <w:color w:val="000000" w:themeColor="text1"/>
                <w:sz w:val="24"/>
              </w:rPr>
              <w:t xml:space="preserve">50 </w:t>
            </w:r>
            <w:proofErr w:type="spellStart"/>
            <w:r w:rsidRPr="007852DA">
              <w:rPr>
                <w:rFonts w:ascii="Book Antiqua" w:eastAsia="宋体" w:hAnsi="Book Antiqua" w:cs="Times New Roman"/>
                <w:color w:val="000000" w:themeColor="text1"/>
                <w:sz w:val="24"/>
              </w:rPr>
              <w:t>yr</w:t>
            </w:r>
            <w:bookmarkEnd w:id="114"/>
            <w:bookmarkEnd w:id="115"/>
            <w:proofErr w:type="spellEnd"/>
          </w:p>
        </w:tc>
        <w:tc>
          <w:tcPr>
            <w:tcW w:w="3378" w:type="dxa"/>
            <w:tcBorders>
              <w:top w:val="nil"/>
              <w:bottom w:val="nil"/>
            </w:tcBorders>
          </w:tcPr>
          <w:p w14:paraId="2D9A132E"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bookmarkStart w:id="116" w:name="OLE_LINK72"/>
            <w:bookmarkStart w:id="117" w:name="OLE_LINK71"/>
            <w:r w:rsidRPr="007852DA">
              <w:rPr>
                <w:rFonts w:ascii="Book Antiqua" w:eastAsia="宋体" w:hAnsi="Book Antiqua" w:cs="Times New Roman"/>
                <w:color w:val="000000" w:themeColor="text1"/>
                <w:sz w:val="24"/>
              </w:rPr>
              <w:t>795.32 (605.42)</w:t>
            </w:r>
            <w:bookmarkEnd w:id="116"/>
            <w:bookmarkEnd w:id="117"/>
          </w:p>
        </w:tc>
        <w:tc>
          <w:tcPr>
            <w:tcW w:w="1657" w:type="dxa"/>
            <w:vMerge/>
            <w:tcBorders>
              <w:bottom w:val="nil"/>
            </w:tcBorders>
          </w:tcPr>
          <w:p w14:paraId="0ADEA135"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r>
      <w:bookmarkEnd w:id="109"/>
      <w:tr w:rsidR="007852DA" w:rsidRPr="007852DA" w14:paraId="5AB99BF7" w14:textId="77777777" w:rsidTr="00062DE5">
        <w:trPr>
          <w:trHeight w:val="520"/>
        </w:trPr>
        <w:tc>
          <w:tcPr>
            <w:tcW w:w="3264" w:type="dxa"/>
            <w:tcBorders>
              <w:top w:val="nil"/>
              <w:bottom w:val="nil"/>
            </w:tcBorders>
          </w:tcPr>
          <w:p w14:paraId="081CA3ED"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Gender</w:t>
            </w:r>
          </w:p>
        </w:tc>
        <w:tc>
          <w:tcPr>
            <w:tcW w:w="3378" w:type="dxa"/>
            <w:tcBorders>
              <w:top w:val="nil"/>
              <w:bottom w:val="nil"/>
            </w:tcBorders>
          </w:tcPr>
          <w:p w14:paraId="4DC97398"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c>
          <w:tcPr>
            <w:tcW w:w="1657" w:type="dxa"/>
            <w:tcBorders>
              <w:top w:val="nil"/>
              <w:bottom w:val="nil"/>
            </w:tcBorders>
          </w:tcPr>
          <w:p w14:paraId="4464666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r>
      <w:tr w:rsidR="007852DA" w:rsidRPr="007852DA" w14:paraId="3B238EF3" w14:textId="77777777" w:rsidTr="00062DE5">
        <w:trPr>
          <w:trHeight w:val="508"/>
        </w:trPr>
        <w:tc>
          <w:tcPr>
            <w:tcW w:w="3264" w:type="dxa"/>
            <w:tcBorders>
              <w:top w:val="nil"/>
              <w:bottom w:val="nil"/>
            </w:tcBorders>
          </w:tcPr>
          <w:p w14:paraId="1DA13A0F" w14:textId="77777777" w:rsidR="00537E6A" w:rsidRPr="007852DA" w:rsidRDefault="00537E6A"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Female</w:t>
            </w:r>
          </w:p>
        </w:tc>
        <w:tc>
          <w:tcPr>
            <w:tcW w:w="3378" w:type="dxa"/>
            <w:tcBorders>
              <w:top w:val="nil"/>
              <w:bottom w:val="nil"/>
            </w:tcBorders>
          </w:tcPr>
          <w:p w14:paraId="4D3D176F"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bookmarkStart w:id="118" w:name="OLE_LINK45"/>
            <w:bookmarkStart w:id="119" w:name="OLE_LINK46"/>
            <w:r w:rsidRPr="007852DA">
              <w:rPr>
                <w:rFonts w:ascii="Book Antiqua" w:eastAsia="宋体" w:hAnsi="Book Antiqua" w:cs="Times New Roman"/>
                <w:color w:val="000000" w:themeColor="text1"/>
                <w:sz w:val="24"/>
              </w:rPr>
              <w:t>795.31 (698.54)</w:t>
            </w:r>
            <w:bookmarkEnd w:id="118"/>
            <w:bookmarkEnd w:id="119"/>
          </w:p>
        </w:tc>
        <w:tc>
          <w:tcPr>
            <w:tcW w:w="1657" w:type="dxa"/>
            <w:vMerge w:val="restart"/>
            <w:tcBorders>
              <w:top w:val="nil"/>
            </w:tcBorders>
            <w:vAlign w:val="center"/>
          </w:tcPr>
          <w:p w14:paraId="3BB8C9D4"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bookmarkStart w:id="120" w:name="OLE_LINK267"/>
            <w:bookmarkStart w:id="121" w:name="OLE_LINK268"/>
            <w:r w:rsidRPr="007852DA">
              <w:rPr>
                <w:rFonts w:ascii="Book Antiqua" w:eastAsia="宋体" w:hAnsi="Book Antiqua" w:cs="Times New Roman"/>
                <w:color w:val="000000" w:themeColor="text1"/>
                <w:sz w:val="24"/>
              </w:rPr>
              <w:t>0.043</w:t>
            </w:r>
            <w:bookmarkEnd w:id="120"/>
            <w:bookmarkEnd w:id="121"/>
          </w:p>
        </w:tc>
      </w:tr>
      <w:tr w:rsidR="007852DA" w:rsidRPr="007852DA" w14:paraId="76EF799D" w14:textId="77777777" w:rsidTr="00062DE5">
        <w:trPr>
          <w:trHeight w:val="452"/>
        </w:trPr>
        <w:tc>
          <w:tcPr>
            <w:tcW w:w="3264" w:type="dxa"/>
            <w:tcBorders>
              <w:top w:val="nil"/>
              <w:bottom w:val="nil"/>
            </w:tcBorders>
          </w:tcPr>
          <w:p w14:paraId="5E2FDE50" w14:textId="77777777" w:rsidR="00537E6A" w:rsidRPr="007852DA" w:rsidRDefault="00537E6A"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Male</w:t>
            </w:r>
          </w:p>
        </w:tc>
        <w:tc>
          <w:tcPr>
            <w:tcW w:w="3378" w:type="dxa"/>
            <w:tcBorders>
              <w:top w:val="nil"/>
              <w:bottom w:val="nil"/>
            </w:tcBorders>
          </w:tcPr>
          <w:p w14:paraId="6D707B53"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bookmarkStart w:id="122" w:name="OLE_LINK43"/>
            <w:bookmarkStart w:id="123" w:name="OLE_LINK44"/>
            <w:r w:rsidRPr="007852DA">
              <w:rPr>
                <w:rFonts w:ascii="Book Antiqua" w:eastAsia="宋体" w:hAnsi="Book Antiqua" w:cs="Times New Roman"/>
                <w:color w:val="000000" w:themeColor="text1"/>
                <w:sz w:val="24"/>
              </w:rPr>
              <w:t>1311.84 (1214.16)</w:t>
            </w:r>
            <w:bookmarkEnd w:id="122"/>
            <w:bookmarkEnd w:id="123"/>
          </w:p>
        </w:tc>
        <w:tc>
          <w:tcPr>
            <w:tcW w:w="1657" w:type="dxa"/>
            <w:vMerge/>
            <w:tcBorders>
              <w:bottom w:val="nil"/>
            </w:tcBorders>
          </w:tcPr>
          <w:p w14:paraId="0F381E4F"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r>
      <w:tr w:rsidR="007852DA" w:rsidRPr="007852DA" w14:paraId="273AFEEE" w14:textId="77777777" w:rsidTr="00062DE5">
        <w:trPr>
          <w:trHeight w:val="563"/>
        </w:trPr>
        <w:tc>
          <w:tcPr>
            <w:tcW w:w="3264" w:type="dxa"/>
            <w:tcBorders>
              <w:top w:val="nil"/>
              <w:bottom w:val="nil"/>
            </w:tcBorders>
          </w:tcPr>
          <w:p w14:paraId="5C196FB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bookmarkStart w:id="124" w:name="OLE_LINK169"/>
            <w:bookmarkStart w:id="125" w:name="OLE_LINK168"/>
            <w:r w:rsidRPr="007852DA">
              <w:rPr>
                <w:rFonts w:ascii="Book Antiqua" w:eastAsia="宋体" w:hAnsi="Book Antiqua" w:cs="Times New Roman"/>
                <w:color w:val="000000" w:themeColor="text1"/>
                <w:sz w:val="24"/>
              </w:rPr>
              <w:t xml:space="preserve">Clinical </w:t>
            </w:r>
            <w:r w:rsidR="004436DE" w:rsidRPr="007852DA">
              <w:rPr>
                <w:rFonts w:ascii="Book Antiqua" w:eastAsia="宋体" w:hAnsi="Book Antiqua" w:cs="Times New Roman"/>
                <w:color w:val="000000" w:themeColor="text1"/>
                <w:sz w:val="24"/>
              </w:rPr>
              <w:t>subtype</w:t>
            </w:r>
            <w:bookmarkEnd w:id="124"/>
            <w:bookmarkEnd w:id="125"/>
          </w:p>
        </w:tc>
        <w:tc>
          <w:tcPr>
            <w:tcW w:w="3378" w:type="dxa"/>
            <w:tcBorders>
              <w:top w:val="nil"/>
              <w:bottom w:val="nil"/>
            </w:tcBorders>
          </w:tcPr>
          <w:p w14:paraId="56DFF76E"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c>
          <w:tcPr>
            <w:tcW w:w="1657" w:type="dxa"/>
            <w:tcBorders>
              <w:top w:val="nil"/>
              <w:bottom w:val="nil"/>
            </w:tcBorders>
          </w:tcPr>
          <w:p w14:paraId="69240E07"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r>
      <w:tr w:rsidR="007852DA" w:rsidRPr="007852DA" w14:paraId="31A46341" w14:textId="77777777" w:rsidTr="00062DE5">
        <w:trPr>
          <w:trHeight w:val="477"/>
        </w:trPr>
        <w:tc>
          <w:tcPr>
            <w:tcW w:w="3264" w:type="dxa"/>
            <w:tcBorders>
              <w:top w:val="nil"/>
              <w:bottom w:val="nil"/>
            </w:tcBorders>
          </w:tcPr>
          <w:p w14:paraId="1D52C8E1" w14:textId="77777777" w:rsidR="00537E6A" w:rsidRPr="007852DA" w:rsidRDefault="00537E6A"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MSA-P</w:t>
            </w:r>
          </w:p>
        </w:tc>
        <w:tc>
          <w:tcPr>
            <w:tcW w:w="3378" w:type="dxa"/>
            <w:tcBorders>
              <w:top w:val="nil"/>
              <w:bottom w:val="nil"/>
            </w:tcBorders>
          </w:tcPr>
          <w:p w14:paraId="0BF1201B"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bookmarkStart w:id="126" w:name="OLE_LINK38"/>
            <w:bookmarkStart w:id="127" w:name="OLE_LINK40"/>
            <w:bookmarkStart w:id="128" w:name="OLE_LINK39"/>
            <w:r w:rsidRPr="007852DA">
              <w:rPr>
                <w:rFonts w:ascii="Book Antiqua" w:eastAsia="宋体" w:hAnsi="Book Antiqua" w:cs="Times New Roman"/>
                <w:color w:val="000000" w:themeColor="text1"/>
                <w:sz w:val="24"/>
              </w:rPr>
              <w:t>1121.82 (897.09)</w:t>
            </w:r>
            <w:bookmarkEnd w:id="126"/>
            <w:bookmarkEnd w:id="127"/>
            <w:bookmarkEnd w:id="128"/>
          </w:p>
        </w:tc>
        <w:tc>
          <w:tcPr>
            <w:tcW w:w="1657" w:type="dxa"/>
            <w:vMerge w:val="restart"/>
            <w:tcBorders>
              <w:top w:val="nil"/>
            </w:tcBorders>
            <w:vAlign w:val="center"/>
          </w:tcPr>
          <w:p w14:paraId="3C69606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0.622</w:t>
            </w:r>
          </w:p>
        </w:tc>
      </w:tr>
      <w:tr w:rsidR="007852DA" w:rsidRPr="007852DA" w14:paraId="377EB355" w14:textId="77777777" w:rsidTr="00062DE5">
        <w:trPr>
          <w:trHeight w:val="567"/>
        </w:trPr>
        <w:tc>
          <w:tcPr>
            <w:tcW w:w="3264" w:type="dxa"/>
            <w:tcBorders>
              <w:top w:val="nil"/>
              <w:bottom w:val="nil"/>
            </w:tcBorders>
          </w:tcPr>
          <w:p w14:paraId="0A80768E" w14:textId="77777777" w:rsidR="00537E6A" w:rsidRPr="007852DA" w:rsidRDefault="00537E6A"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MSA-C</w:t>
            </w:r>
          </w:p>
        </w:tc>
        <w:tc>
          <w:tcPr>
            <w:tcW w:w="3378" w:type="dxa"/>
            <w:tcBorders>
              <w:top w:val="nil"/>
              <w:bottom w:val="nil"/>
            </w:tcBorders>
          </w:tcPr>
          <w:p w14:paraId="7D50D310"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bookmarkStart w:id="129" w:name="OLE_LINK42"/>
            <w:bookmarkStart w:id="130" w:name="OLE_LINK41"/>
            <w:r w:rsidRPr="007852DA">
              <w:rPr>
                <w:rFonts w:ascii="Book Antiqua" w:eastAsia="宋体" w:hAnsi="Book Antiqua" w:cs="Times New Roman"/>
                <w:color w:val="000000" w:themeColor="text1"/>
                <w:sz w:val="24"/>
              </w:rPr>
              <w:t>916.14 (1009.59)</w:t>
            </w:r>
            <w:bookmarkEnd w:id="129"/>
            <w:bookmarkEnd w:id="130"/>
          </w:p>
        </w:tc>
        <w:tc>
          <w:tcPr>
            <w:tcW w:w="1657" w:type="dxa"/>
            <w:vMerge/>
            <w:tcBorders>
              <w:bottom w:val="nil"/>
            </w:tcBorders>
          </w:tcPr>
          <w:p w14:paraId="20BE16D5"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r>
      <w:tr w:rsidR="007852DA" w:rsidRPr="007852DA" w14:paraId="352ADD31" w14:textId="77777777" w:rsidTr="00062DE5">
        <w:trPr>
          <w:trHeight w:val="463"/>
        </w:trPr>
        <w:tc>
          <w:tcPr>
            <w:tcW w:w="3264" w:type="dxa"/>
            <w:tcBorders>
              <w:top w:val="nil"/>
              <w:bottom w:val="nil"/>
            </w:tcBorders>
          </w:tcPr>
          <w:p w14:paraId="12B2A870"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bookmarkStart w:id="131" w:name="OLE_LINK170"/>
            <w:bookmarkStart w:id="132" w:name="OLE_LINK171"/>
            <w:r w:rsidRPr="007852DA">
              <w:rPr>
                <w:rFonts w:ascii="Book Antiqua" w:eastAsia="宋体" w:hAnsi="Book Antiqua" w:cs="Times New Roman"/>
                <w:color w:val="000000" w:themeColor="text1"/>
                <w:sz w:val="24"/>
              </w:rPr>
              <w:t xml:space="preserve">Diagnosis </w:t>
            </w:r>
            <w:r w:rsidR="004436DE" w:rsidRPr="007852DA">
              <w:rPr>
                <w:rFonts w:ascii="Book Antiqua" w:eastAsia="宋体" w:hAnsi="Book Antiqua" w:cs="Times New Roman"/>
                <w:color w:val="000000" w:themeColor="text1"/>
                <w:sz w:val="24"/>
              </w:rPr>
              <w:t>criteria</w:t>
            </w:r>
            <w:bookmarkEnd w:id="131"/>
            <w:bookmarkEnd w:id="132"/>
          </w:p>
        </w:tc>
        <w:tc>
          <w:tcPr>
            <w:tcW w:w="3378" w:type="dxa"/>
            <w:tcBorders>
              <w:top w:val="nil"/>
              <w:bottom w:val="nil"/>
            </w:tcBorders>
          </w:tcPr>
          <w:p w14:paraId="6AF47B05"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c>
          <w:tcPr>
            <w:tcW w:w="1657" w:type="dxa"/>
            <w:tcBorders>
              <w:top w:val="nil"/>
              <w:bottom w:val="nil"/>
            </w:tcBorders>
          </w:tcPr>
          <w:p w14:paraId="402060B5"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r>
      <w:tr w:rsidR="007852DA" w:rsidRPr="007852DA" w14:paraId="43047D81" w14:textId="77777777" w:rsidTr="00062DE5">
        <w:trPr>
          <w:trHeight w:val="408"/>
        </w:trPr>
        <w:tc>
          <w:tcPr>
            <w:tcW w:w="3264" w:type="dxa"/>
            <w:tcBorders>
              <w:top w:val="nil"/>
              <w:bottom w:val="nil"/>
            </w:tcBorders>
          </w:tcPr>
          <w:p w14:paraId="487467AF" w14:textId="77777777" w:rsidR="00537E6A" w:rsidRPr="007852DA" w:rsidRDefault="00537E6A"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Probable</w:t>
            </w:r>
          </w:p>
        </w:tc>
        <w:tc>
          <w:tcPr>
            <w:tcW w:w="3378" w:type="dxa"/>
            <w:tcBorders>
              <w:top w:val="nil"/>
              <w:bottom w:val="nil"/>
            </w:tcBorders>
          </w:tcPr>
          <w:p w14:paraId="34BA77F8"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887.55 (1004.50)</w:t>
            </w:r>
          </w:p>
        </w:tc>
        <w:tc>
          <w:tcPr>
            <w:tcW w:w="1657" w:type="dxa"/>
            <w:vMerge w:val="restart"/>
            <w:tcBorders>
              <w:top w:val="nil"/>
            </w:tcBorders>
            <w:vAlign w:val="center"/>
          </w:tcPr>
          <w:p w14:paraId="7099454D"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0.561</w:t>
            </w:r>
          </w:p>
        </w:tc>
      </w:tr>
      <w:tr w:rsidR="007852DA" w:rsidRPr="007852DA" w14:paraId="28254398" w14:textId="77777777" w:rsidTr="00062DE5">
        <w:trPr>
          <w:trHeight w:val="528"/>
        </w:trPr>
        <w:tc>
          <w:tcPr>
            <w:tcW w:w="3264" w:type="dxa"/>
            <w:tcBorders>
              <w:top w:val="nil"/>
              <w:bottom w:val="nil"/>
            </w:tcBorders>
          </w:tcPr>
          <w:p w14:paraId="1E4F924F" w14:textId="77777777" w:rsidR="00537E6A" w:rsidRPr="007852DA" w:rsidRDefault="00537E6A"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Possible</w:t>
            </w:r>
          </w:p>
        </w:tc>
        <w:tc>
          <w:tcPr>
            <w:tcW w:w="3378" w:type="dxa"/>
            <w:tcBorders>
              <w:top w:val="nil"/>
              <w:bottom w:val="nil"/>
            </w:tcBorders>
          </w:tcPr>
          <w:p w14:paraId="6DACAF5F"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1182.16 (753.32)</w:t>
            </w:r>
          </w:p>
        </w:tc>
        <w:tc>
          <w:tcPr>
            <w:tcW w:w="1657" w:type="dxa"/>
            <w:vMerge/>
            <w:tcBorders>
              <w:bottom w:val="nil"/>
            </w:tcBorders>
          </w:tcPr>
          <w:p w14:paraId="14D0C514"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r>
      <w:tr w:rsidR="007852DA" w:rsidRPr="007852DA" w14:paraId="7E806013" w14:textId="77777777" w:rsidTr="00062DE5">
        <w:trPr>
          <w:trHeight w:val="520"/>
        </w:trPr>
        <w:tc>
          <w:tcPr>
            <w:tcW w:w="3264" w:type="dxa"/>
            <w:tcBorders>
              <w:top w:val="nil"/>
              <w:bottom w:val="nil"/>
            </w:tcBorders>
          </w:tcPr>
          <w:p w14:paraId="389EE1F4"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Duration</w:t>
            </w:r>
          </w:p>
        </w:tc>
        <w:tc>
          <w:tcPr>
            <w:tcW w:w="3378" w:type="dxa"/>
            <w:tcBorders>
              <w:top w:val="nil"/>
              <w:bottom w:val="nil"/>
            </w:tcBorders>
          </w:tcPr>
          <w:p w14:paraId="424F2F46"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c>
          <w:tcPr>
            <w:tcW w:w="1657" w:type="dxa"/>
            <w:tcBorders>
              <w:top w:val="nil"/>
              <w:bottom w:val="nil"/>
            </w:tcBorders>
          </w:tcPr>
          <w:p w14:paraId="72D55DE7"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r>
      <w:tr w:rsidR="007852DA" w:rsidRPr="007852DA" w14:paraId="6E899D6A" w14:textId="77777777" w:rsidTr="00062DE5">
        <w:trPr>
          <w:trHeight w:val="244"/>
        </w:trPr>
        <w:tc>
          <w:tcPr>
            <w:tcW w:w="3264" w:type="dxa"/>
            <w:tcBorders>
              <w:top w:val="nil"/>
              <w:bottom w:val="nil"/>
            </w:tcBorders>
          </w:tcPr>
          <w:p w14:paraId="1DF2AE2B" w14:textId="77777777" w:rsidR="00537E6A" w:rsidRPr="007852DA" w:rsidRDefault="00537E6A"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bookmarkStart w:id="133" w:name="OLE_LINK12"/>
            <w:bookmarkStart w:id="134" w:name="OLE_LINK11"/>
            <w:r w:rsidRPr="007852DA">
              <w:rPr>
                <w:rFonts w:ascii="Book Antiqua" w:eastAsia="宋体" w:hAnsi="Book Antiqua" w:cs="Times New Roman"/>
                <w:color w:val="000000" w:themeColor="text1"/>
                <w:sz w:val="24"/>
              </w:rPr>
              <w:t>&gt;</w:t>
            </w:r>
            <w:r w:rsidR="004436DE" w:rsidRPr="007852DA">
              <w:rPr>
                <w:rFonts w:ascii="Book Antiqua" w:eastAsia="宋体" w:hAnsi="Book Antiqua" w:cs="Times New Roman"/>
                <w:color w:val="000000" w:themeColor="text1"/>
                <w:sz w:val="24"/>
              </w:rPr>
              <w:t xml:space="preserve"> </w:t>
            </w:r>
            <w:r w:rsidR="00062DE5" w:rsidRPr="007852DA">
              <w:rPr>
                <w:rFonts w:ascii="Book Antiqua" w:eastAsia="宋体" w:hAnsi="Book Antiqua" w:cs="Times New Roman"/>
                <w:color w:val="000000" w:themeColor="text1"/>
                <w:sz w:val="24"/>
              </w:rPr>
              <w:t xml:space="preserve">3 </w:t>
            </w:r>
            <w:proofErr w:type="spellStart"/>
            <w:r w:rsidR="00062DE5" w:rsidRPr="007852DA">
              <w:rPr>
                <w:rFonts w:ascii="Book Antiqua" w:eastAsia="宋体" w:hAnsi="Book Antiqua" w:cs="Times New Roman"/>
                <w:color w:val="000000" w:themeColor="text1"/>
                <w:sz w:val="24"/>
              </w:rPr>
              <w:t>y</w:t>
            </w:r>
            <w:r w:rsidRPr="007852DA">
              <w:rPr>
                <w:rFonts w:ascii="Book Antiqua" w:eastAsia="宋体" w:hAnsi="Book Antiqua" w:cs="Times New Roman"/>
                <w:color w:val="000000" w:themeColor="text1"/>
                <w:sz w:val="24"/>
              </w:rPr>
              <w:t>r</w:t>
            </w:r>
            <w:bookmarkEnd w:id="133"/>
            <w:bookmarkEnd w:id="134"/>
            <w:proofErr w:type="spellEnd"/>
          </w:p>
        </w:tc>
        <w:tc>
          <w:tcPr>
            <w:tcW w:w="3378" w:type="dxa"/>
            <w:tcBorders>
              <w:top w:val="nil"/>
              <w:bottom w:val="nil"/>
            </w:tcBorders>
          </w:tcPr>
          <w:p w14:paraId="02106571"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bookmarkStart w:id="135" w:name="OLE_LINK66"/>
            <w:bookmarkStart w:id="136" w:name="OLE_LINK47"/>
            <w:r w:rsidRPr="007852DA">
              <w:rPr>
                <w:rFonts w:ascii="Book Antiqua" w:eastAsia="宋体" w:hAnsi="Book Antiqua" w:cs="Times New Roman"/>
                <w:color w:val="000000" w:themeColor="text1"/>
                <w:sz w:val="24"/>
              </w:rPr>
              <w:t>1393.79 (1021.36)</w:t>
            </w:r>
            <w:bookmarkEnd w:id="135"/>
            <w:bookmarkEnd w:id="136"/>
          </w:p>
        </w:tc>
        <w:tc>
          <w:tcPr>
            <w:tcW w:w="1657" w:type="dxa"/>
            <w:tcBorders>
              <w:top w:val="nil"/>
              <w:bottom w:val="nil"/>
            </w:tcBorders>
            <w:vAlign w:val="center"/>
          </w:tcPr>
          <w:p w14:paraId="4A104DE8"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0.000</w:t>
            </w:r>
          </w:p>
        </w:tc>
      </w:tr>
      <w:tr w:rsidR="007852DA" w:rsidRPr="007852DA" w14:paraId="25676B25" w14:textId="77777777" w:rsidTr="00062DE5">
        <w:trPr>
          <w:trHeight w:val="520"/>
        </w:trPr>
        <w:tc>
          <w:tcPr>
            <w:tcW w:w="3264" w:type="dxa"/>
            <w:tcBorders>
              <w:top w:val="nil"/>
              <w:bottom w:val="single" w:sz="4" w:space="0" w:color="auto"/>
            </w:tcBorders>
          </w:tcPr>
          <w:p w14:paraId="3068DE13" w14:textId="77777777" w:rsidR="00537E6A" w:rsidRPr="007852DA" w:rsidRDefault="00537E6A" w:rsidP="001F49D0">
            <w:pPr>
              <w:autoSpaceDE w:val="0"/>
              <w:autoSpaceDN w:val="0"/>
              <w:adjustRightInd w:val="0"/>
              <w:spacing w:line="360" w:lineRule="auto"/>
              <w:ind w:firstLineChars="100" w:firstLine="240"/>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w:t>
            </w:r>
            <w:r w:rsidR="004436DE" w:rsidRPr="007852DA">
              <w:rPr>
                <w:rFonts w:ascii="Book Antiqua" w:eastAsia="宋体" w:hAnsi="Book Antiqua" w:cs="Times New Roman"/>
                <w:color w:val="000000" w:themeColor="text1"/>
                <w:sz w:val="24"/>
              </w:rPr>
              <w:t xml:space="preserve"> </w:t>
            </w:r>
            <w:r w:rsidR="00062DE5" w:rsidRPr="007852DA">
              <w:rPr>
                <w:rFonts w:ascii="Book Antiqua" w:eastAsia="宋体" w:hAnsi="Book Antiqua" w:cs="Times New Roman"/>
                <w:color w:val="000000" w:themeColor="text1"/>
                <w:sz w:val="24"/>
              </w:rPr>
              <w:t xml:space="preserve">3 </w:t>
            </w:r>
            <w:proofErr w:type="spellStart"/>
            <w:r w:rsidR="00062DE5" w:rsidRPr="007852DA">
              <w:rPr>
                <w:rFonts w:ascii="Book Antiqua" w:eastAsia="宋体" w:hAnsi="Book Antiqua" w:cs="Times New Roman"/>
                <w:color w:val="000000" w:themeColor="text1"/>
                <w:sz w:val="24"/>
              </w:rPr>
              <w:t>yr</w:t>
            </w:r>
            <w:proofErr w:type="spellEnd"/>
          </w:p>
        </w:tc>
        <w:tc>
          <w:tcPr>
            <w:tcW w:w="3378" w:type="dxa"/>
            <w:tcBorders>
              <w:top w:val="nil"/>
              <w:bottom w:val="single" w:sz="4" w:space="0" w:color="auto"/>
            </w:tcBorders>
          </w:tcPr>
          <w:p w14:paraId="421C4E67"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bookmarkStart w:id="137" w:name="OLE_LINK67"/>
            <w:bookmarkStart w:id="138" w:name="OLE_LINK68"/>
            <w:r w:rsidRPr="007852DA">
              <w:rPr>
                <w:rFonts w:ascii="Book Antiqua" w:eastAsia="宋体" w:hAnsi="Book Antiqua" w:cs="Times New Roman"/>
                <w:color w:val="000000" w:themeColor="text1"/>
                <w:sz w:val="24"/>
              </w:rPr>
              <w:t>612.31 (527.96)</w:t>
            </w:r>
            <w:bookmarkEnd w:id="137"/>
            <w:bookmarkEnd w:id="138"/>
          </w:p>
        </w:tc>
        <w:tc>
          <w:tcPr>
            <w:tcW w:w="1657" w:type="dxa"/>
            <w:tcBorders>
              <w:top w:val="nil"/>
              <w:bottom w:val="single" w:sz="4" w:space="0" w:color="auto"/>
            </w:tcBorders>
          </w:tcPr>
          <w:p w14:paraId="52F8948B"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r>
    </w:tbl>
    <w:p w14:paraId="0B862B55" w14:textId="77777777" w:rsidR="00537E6A" w:rsidRPr="007852DA" w:rsidRDefault="004436DE"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GDF15: Growth differentiation factor 15</w:t>
      </w:r>
      <w:r w:rsidR="00A50C54" w:rsidRPr="007852DA">
        <w:rPr>
          <w:rFonts w:ascii="Book Antiqua" w:eastAsia="宋体" w:hAnsi="Book Antiqua" w:cs="Times New Roman"/>
          <w:color w:val="000000" w:themeColor="text1"/>
          <w:sz w:val="24"/>
        </w:rPr>
        <w:t>; MSA-P: Multiple system atrophy-parkinsonian type; MSA-C: Multiple system atrophy-cerebellar type.</w:t>
      </w:r>
    </w:p>
    <w:p w14:paraId="35391AE5" w14:textId="77777777" w:rsidR="001F49D0" w:rsidRPr="007852DA" w:rsidRDefault="001F49D0" w:rsidP="001F49D0">
      <w:pPr>
        <w:widowControl/>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br w:type="page"/>
      </w:r>
    </w:p>
    <w:p w14:paraId="6AC993D0"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lastRenderedPageBreak/>
        <w:t xml:space="preserve">Table 3 </w:t>
      </w:r>
      <w:r w:rsidR="00A50C54" w:rsidRPr="007852DA">
        <w:rPr>
          <w:rFonts w:ascii="Book Antiqua" w:eastAsia="宋体" w:hAnsi="Book Antiqua" w:cs="Times New Roman"/>
          <w:b/>
          <w:bCs/>
          <w:color w:val="000000" w:themeColor="text1"/>
          <w:sz w:val="24"/>
        </w:rPr>
        <w:t xml:space="preserve">Receiver-operating characteristic </w:t>
      </w:r>
      <w:r w:rsidRPr="007852DA">
        <w:rPr>
          <w:rFonts w:ascii="Book Antiqua" w:eastAsia="宋体" w:hAnsi="Book Antiqua" w:cs="Times New Roman"/>
          <w:b/>
          <w:bCs/>
          <w:color w:val="000000" w:themeColor="text1"/>
          <w:sz w:val="24"/>
        </w:rPr>
        <w:t xml:space="preserve">curve analysis of serum </w:t>
      </w:r>
      <w:r w:rsidR="004436DE" w:rsidRPr="007852DA">
        <w:rPr>
          <w:rFonts w:ascii="Book Antiqua" w:eastAsia="宋体" w:hAnsi="Book Antiqua" w:cs="Times New Roman"/>
          <w:b/>
          <w:bCs/>
          <w:color w:val="000000" w:themeColor="text1"/>
          <w:sz w:val="24"/>
        </w:rPr>
        <w:t>growth differentiation factor 15</w:t>
      </w:r>
      <w:r w:rsidR="00A50C54" w:rsidRPr="007852DA">
        <w:rPr>
          <w:rFonts w:ascii="Book Antiqua" w:eastAsia="宋体" w:hAnsi="Book Antiqua" w:cs="Times New Roman"/>
          <w:b/>
          <w:bCs/>
          <w:color w:val="000000" w:themeColor="text1"/>
          <w:sz w:val="24"/>
        </w:rPr>
        <w:t xml:space="preserve"> </w:t>
      </w:r>
      <w:r w:rsidRPr="007852DA">
        <w:rPr>
          <w:rFonts w:ascii="Book Antiqua" w:eastAsia="宋体" w:hAnsi="Book Antiqua" w:cs="Times New Roman"/>
          <w:b/>
          <w:bCs/>
          <w:color w:val="000000" w:themeColor="text1"/>
          <w:sz w:val="24"/>
        </w:rPr>
        <w:t xml:space="preserve">levels as a potential </w:t>
      </w:r>
      <w:r w:rsidR="004436DE" w:rsidRPr="007852DA">
        <w:rPr>
          <w:rFonts w:ascii="Book Antiqua" w:eastAsia="宋体" w:hAnsi="Book Antiqua" w:cs="Times New Roman"/>
          <w:b/>
          <w:bCs/>
          <w:color w:val="000000" w:themeColor="text1"/>
          <w:sz w:val="24"/>
        </w:rPr>
        <w:t xml:space="preserve">multiple system atrophy </w:t>
      </w:r>
      <w:r w:rsidRPr="007852DA">
        <w:rPr>
          <w:rFonts w:ascii="Book Antiqua" w:eastAsia="宋体" w:hAnsi="Book Antiqua" w:cs="Times New Roman"/>
          <w:b/>
          <w:bCs/>
          <w:color w:val="000000" w:themeColor="text1"/>
          <w:sz w:val="24"/>
        </w:rPr>
        <w:t>diagnostic biomarker</w:t>
      </w:r>
    </w:p>
    <w:tbl>
      <w:tblPr>
        <w:tblStyle w:val="aa"/>
        <w:tblW w:w="0" w:type="auto"/>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1041"/>
        <w:gridCol w:w="706"/>
        <w:gridCol w:w="700"/>
        <w:gridCol w:w="1256"/>
        <w:gridCol w:w="754"/>
        <w:gridCol w:w="916"/>
        <w:gridCol w:w="1334"/>
        <w:gridCol w:w="1321"/>
      </w:tblGrid>
      <w:tr w:rsidR="007852DA" w:rsidRPr="007852DA" w14:paraId="510E7894" w14:textId="77777777" w:rsidTr="00B51693">
        <w:tc>
          <w:tcPr>
            <w:tcW w:w="1359" w:type="dxa"/>
            <w:tcBorders>
              <w:top w:val="single" w:sz="4" w:space="0" w:color="auto"/>
              <w:bottom w:val="single" w:sz="4" w:space="0" w:color="auto"/>
            </w:tcBorders>
            <w:vAlign w:val="center"/>
          </w:tcPr>
          <w:p w14:paraId="52387D7C"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Group</w:t>
            </w:r>
          </w:p>
        </w:tc>
        <w:tc>
          <w:tcPr>
            <w:tcW w:w="987" w:type="dxa"/>
            <w:tcBorders>
              <w:top w:val="single" w:sz="4" w:space="0" w:color="auto"/>
              <w:bottom w:val="single" w:sz="4" w:space="0" w:color="auto"/>
            </w:tcBorders>
            <w:vAlign w:val="center"/>
          </w:tcPr>
          <w:p w14:paraId="5C32DFAD" w14:textId="77777777" w:rsidR="00537E6A" w:rsidRPr="007852DA" w:rsidRDefault="004436DE"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Subtype</w:t>
            </w:r>
          </w:p>
        </w:tc>
        <w:tc>
          <w:tcPr>
            <w:tcW w:w="674" w:type="dxa"/>
            <w:tcBorders>
              <w:top w:val="single" w:sz="4" w:space="0" w:color="auto"/>
              <w:bottom w:val="single" w:sz="4" w:space="0" w:color="auto"/>
            </w:tcBorders>
            <w:vAlign w:val="center"/>
          </w:tcPr>
          <w:p w14:paraId="26BBE3B0"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AUC</w:t>
            </w:r>
          </w:p>
        </w:tc>
        <w:tc>
          <w:tcPr>
            <w:tcW w:w="668" w:type="dxa"/>
            <w:tcBorders>
              <w:top w:val="single" w:sz="4" w:space="0" w:color="auto"/>
              <w:bottom w:val="single" w:sz="4" w:space="0" w:color="auto"/>
            </w:tcBorders>
            <w:vAlign w:val="center"/>
          </w:tcPr>
          <w:p w14:paraId="111AA9BD"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SE</w:t>
            </w:r>
          </w:p>
        </w:tc>
        <w:tc>
          <w:tcPr>
            <w:tcW w:w="1188" w:type="dxa"/>
            <w:tcBorders>
              <w:top w:val="single" w:sz="4" w:space="0" w:color="auto"/>
              <w:bottom w:val="single" w:sz="4" w:space="0" w:color="auto"/>
            </w:tcBorders>
            <w:vAlign w:val="center"/>
          </w:tcPr>
          <w:p w14:paraId="46EE601F"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95%CI</w:t>
            </w:r>
          </w:p>
        </w:tc>
        <w:tc>
          <w:tcPr>
            <w:tcW w:w="719" w:type="dxa"/>
            <w:tcBorders>
              <w:top w:val="single" w:sz="4" w:space="0" w:color="auto"/>
              <w:bottom w:val="single" w:sz="4" w:space="0" w:color="auto"/>
            </w:tcBorders>
            <w:vAlign w:val="center"/>
          </w:tcPr>
          <w:p w14:paraId="41EA6266"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i/>
                <w:iCs/>
                <w:color w:val="000000" w:themeColor="text1"/>
                <w:sz w:val="24"/>
              </w:rPr>
              <w:t>P</w:t>
            </w:r>
            <w:r w:rsidR="004436DE" w:rsidRPr="007852DA">
              <w:rPr>
                <w:rFonts w:ascii="Book Antiqua" w:eastAsia="宋体" w:hAnsi="Book Antiqua" w:cs="Times New Roman"/>
                <w:b/>
                <w:bCs/>
                <w:color w:val="000000" w:themeColor="text1"/>
                <w:sz w:val="24"/>
              </w:rPr>
              <w:t xml:space="preserve"> value</w:t>
            </w:r>
          </w:p>
        </w:tc>
        <w:tc>
          <w:tcPr>
            <w:tcW w:w="870" w:type="dxa"/>
            <w:tcBorders>
              <w:top w:val="single" w:sz="4" w:space="0" w:color="auto"/>
              <w:bottom w:val="single" w:sz="4" w:space="0" w:color="auto"/>
            </w:tcBorders>
            <w:vAlign w:val="center"/>
          </w:tcPr>
          <w:p w14:paraId="57CDB46D"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Cutoff,</w:t>
            </w:r>
            <w:r w:rsidR="000C217E" w:rsidRPr="007852DA">
              <w:rPr>
                <w:rFonts w:ascii="Book Antiqua" w:eastAsia="宋体" w:hAnsi="Book Antiqua" w:cs="Times New Roman" w:hint="eastAsia"/>
                <w:b/>
                <w:bCs/>
                <w:color w:val="000000" w:themeColor="text1"/>
                <w:sz w:val="24"/>
              </w:rPr>
              <w:t xml:space="preserve"> </w:t>
            </w:r>
            <w:proofErr w:type="spellStart"/>
            <w:r w:rsidRPr="007852DA">
              <w:rPr>
                <w:rFonts w:ascii="Book Antiqua" w:eastAsia="宋体" w:hAnsi="Book Antiqua" w:cs="Times New Roman"/>
                <w:b/>
                <w:bCs/>
                <w:color w:val="000000" w:themeColor="text1"/>
                <w:sz w:val="24"/>
              </w:rPr>
              <w:t>pg</w:t>
            </w:r>
            <w:proofErr w:type="spellEnd"/>
            <w:r w:rsidRPr="007852DA">
              <w:rPr>
                <w:rFonts w:ascii="Book Antiqua" w:eastAsia="宋体" w:hAnsi="Book Antiqua" w:cs="Times New Roman"/>
                <w:b/>
                <w:bCs/>
                <w:color w:val="000000" w:themeColor="text1"/>
                <w:sz w:val="24"/>
              </w:rPr>
              <w:t>/m</w:t>
            </w:r>
            <w:r w:rsidR="004436DE" w:rsidRPr="007852DA">
              <w:rPr>
                <w:rFonts w:ascii="Book Antiqua" w:eastAsia="宋体" w:hAnsi="Book Antiqua" w:cs="Times New Roman"/>
                <w:b/>
                <w:bCs/>
                <w:color w:val="000000" w:themeColor="text1"/>
                <w:sz w:val="24"/>
              </w:rPr>
              <w:t>L</w:t>
            </w:r>
          </w:p>
        </w:tc>
        <w:tc>
          <w:tcPr>
            <w:tcW w:w="1261" w:type="dxa"/>
            <w:tcBorders>
              <w:top w:val="single" w:sz="4" w:space="0" w:color="auto"/>
              <w:bottom w:val="single" w:sz="4" w:space="0" w:color="auto"/>
            </w:tcBorders>
            <w:vAlign w:val="center"/>
          </w:tcPr>
          <w:p w14:paraId="098F9D7B"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Sensitivity,</w:t>
            </w:r>
          </w:p>
          <w:p w14:paraId="65993007"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w:t>
            </w:r>
          </w:p>
        </w:tc>
        <w:tc>
          <w:tcPr>
            <w:tcW w:w="1249" w:type="dxa"/>
            <w:tcBorders>
              <w:top w:val="single" w:sz="4" w:space="0" w:color="auto"/>
              <w:bottom w:val="single" w:sz="4" w:space="0" w:color="auto"/>
            </w:tcBorders>
            <w:vAlign w:val="center"/>
          </w:tcPr>
          <w:p w14:paraId="40D46D29"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Specificity,</w:t>
            </w:r>
          </w:p>
          <w:p w14:paraId="306C97F6" w14:textId="77777777" w:rsidR="00537E6A" w:rsidRPr="007852DA" w:rsidRDefault="00537E6A" w:rsidP="001F49D0">
            <w:pPr>
              <w:autoSpaceDE w:val="0"/>
              <w:autoSpaceDN w:val="0"/>
              <w:adjustRightInd w:val="0"/>
              <w:spacing w:line="360" w:lineRule="auto"/>
              <w:rPr>
                <w:rFonts w:ascii="Book Antiqua" w:eastAsia="宋体" w:hAnsi="Book Antiqua" w:cs="Times New Roman"/>
                <w:b/>
                <w:bCs/>
                <w:color w:val="000000" w:themeColor="text1"/>
                <w:sz w:val="24"/>
              </w:rPr>
            </w:pPr>
            <w:r w:rsidRPr="007852DA">
              <w:rPr>
                <w:rFonts w:ascii="Book Antiqua" w:eastAsia="宋体" w:hAnsi="Book Antiqua" w:cs="Times New Roman"/>
                <w:b/>
                <w:bCs/>
                <w:color w:val="000000" w:themeColor="text1"/>
                <w:sz w:val="24"/>
              </w:rPr>
              <w:t>%</w:t>
            </w:r>
          </w:p>
        </w:tc>
      </w:tr>
      <w:tr w:rsidR="007852DA" w:rsidRPr="007852DA" w14:paraId="4444A979" w14:textId="77777777" w:rsidTr="00B51693">
        <w:tc>
          <w:tcPr>
            <w:tcW w:w="1359" w:type="dxa"/>
            <w:vMerge w:val="restart"/>
            <w:tcBorders>
              <w:top w:val="single" w:sz="4" w:space="0" w:color="auto"/>
            </w:tcBorders>
            <w:vAlign w:val="center"/>
          </w:tcPr>
          <w:p w14:paraId="3334B928"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MSA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Control</w:t>
            </w:r>
          </w:p>
        </w:tc>
        <w:tc>
          <w:tcPr>
            <w:tcW w:w="987" w:type="dxa"/>
            <w:tcBorders>
              <w:top w:val="single" w:sz="4" w:space="0" w:color="auto"/>
            </w:tcBorders>
            <w:vAlign w:val="center"/>
          </w:tcPr>
          <w:p w14:paraId="08B002E2"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Overall</w:t>
            </w:r>
          </w:p>
        </w:tc>
        <w:tc>
          <w:tcPr>
            <w:tcW w:w="674" w:type="dxa"/>
            <w:tcBorders>
              <w:top w:val="single" w:sz="4" w:space="0" w:color="auto"/>
            </w:tcBorders>
            <w:vAlign w:val="center"/>
          </w:tcPr>
          <w:p w14:paraId="636B594A"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0.929</w:t>
            </w:r>
          </w:p>
        </w:tc>
        <w:tc>
          <w:tcPr>
            <w:tcW w:w="668" w:type="dxa"/>
            <w:tcBorders>
              <w:top w:val="single" w:sz="4" w:space="0" w:color="auto"/>
            </w:tcBorders>
            <w:vAlign w:val="center"/>
          </w:tcPr>
          <w:p w14:paraId="284D46C6"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0.027</w:t>
            </w:r>
          </w:p>
        </w:tc>
        <w:tc>
          <w:tcPr>
            <w:tcW w:w="1188" w:type="dxa"/>
            <w:tcBorders>
              <w:top w:val="single" w:sz="4" w:space="0" w:color="auto"/>
            </w:tcBorders>
            <w:vAlign w:val="center"/>
          </w:tcPr>
          <w:p w14:paraId="37A0DA12"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0.876-0.981</w:t>
            </w:r>
          </w:p>
        </w:tc>
        <w:tc>
          <w:tcPr>
            <w:tcW w:w="719" w:type="dxa"/>
            <w:tcBorders>
              <w:top w:val="single" w:sz="4" w:space="0" w:color="auto"/>
            </w:tcBorders>
            <w:vAlign w:val="center"/>
          </w:tcPr>
          <w:p w14:paraId="30DAAA9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0.000</w:t>
            </w:r>
          </w:p>
        </w:tc>
        <w:tc>
          <w:tcPr>
            <w:tcW w:w="870" w:type="dxa"/>
            <w:tcBorders>
              <w:top w:val="single" w:sz="4" w:space="0" w:color="auto"/>
            </w:tcBorders>
            <w:vAlign w:val="center"/>
          </w:tcPr>
          <w:p w14:paraId="4FCF830D"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470.42</w:t>
            </w:r>
          </w:p>
        </w:tc>
        <w:tc>
          <w:tcPr>
            <w:tcW w:w="1261" w:type="dxa"/>
            <w:tcBorders>
              <w:top w:val="single" w:sz="4" w:space="0" w:color="auto"/>
            </w:tcBorders>
            <w:vAlign w:val="center"/>
          </w:tcPr>
          <w:p w14:paraId="66E370E6"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85.7</w:t>
            </w:r>
          </w:p>
        </w:tc>
        <w:tc>
          <w:tcPr>
            <w:tcW w:w="1249" w:type="dxa"/>
            <w:tcBorders>
              <w:top w:val="single" w:sz="4" w:space="0" w:color="auto"/>
            </w:tcBorders>
            <w:vAlign w:val="center"/>
          </w:tcPr>
          <w:p w14:paraId="3E6F05F7"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88.0</w:t>
            </w:r>
          </w:p>
        </w:tc>
      </w:tr>
      <w:tr w:rsidR="007852DA" w:rsidRPr="007852DA" w14:paraId="1B229066" w14:textId="77777777" w:rsidTr="00B51693">
        <w:tc>
          <w:tcPr>
            <w:tcW w:w="1359" w:type="dxa"/>
            <w:vMerge/>
            <w:vAlign w:val="center"/>
          </w:tcPr>
          <w:p w14:paraId="19267182"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c>
          <w:tcPr>
            <w:tcW w:w="987" w:type="dxa"/>
            <w:vAlign w:val="center"/>
          </w:tcPr>
          <w:p w14:paraId="72DD46F0"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Male</w:t>
            </w:r>
          </w:p>
        </w:tc>
        <w:tc>
          <w:tcPr>
            <w:tcW w:w="674" w:type="dxa"/>
            <w:vAlign w:val="center"/>
          </w:tcPr>
          <w:p w14:paraId="2DF766AA"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0.954</w:t>
            </w:r>
          </w:p>
        </w:tc>
        <w:tc>
          <w:tcPr>
            <w:tcW w:w="668" w:type="dxa"/>
            <w:vAlign w:val="center"/>
          </w:tcPr>
          <w:p w14:paraId="072A5CCE"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0.030</w:t>
            </w:r>
          </w:p>
        </w:tc>
        <w:tc>
          <w:tcPr>
            <w:tcW w:w="1188" w:type="dxa"/>
            <w:vAlign w:val="center"/>
          </w:tcPr>
          <w:p w14:paraId="7F370487"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0.896-1.000</w:t>
            </w:r>
          </w:p>
        </w:tc>
        <w:tc>
          <w:tcPr>
            <w:tcW w:w="719" w:type="dxa"/>
            <w:vAlign w:val="center"/>
          </w:tcPr>
          <w:p w14:paraId="7CB5A9FF"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0.000</w:t>
            </w:r>
          </w:p>
        </w:tc>
        <w:tc>
          <w:tcPr>
            <w:tcW w:w="870" w:type="dxa"/>
            <w:vAlign w:val="center"/>
          </w:tcPr>
          <w:p w14:paraId="60479EAF"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552.10</w:t>
            </w:r>
          </w:p>
        </w:tc>
        <w:tc>
          <w:tcPr>
            <w:tcW w:w="1261" w:type="dxa"/>
            <w:vAlign w:val="center"/>
          </w:tcPr>
          <w:p w14:paraId="369F93F0"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82.6</w:t>
            </w:r>
          </w:p>
        </w:tc>
        <w:tc>
          <w:tcPr>
            <w:tcW w:w="1249" w:type="dxa"/>
            <w:vAlign w:val="center"/>
          </w:tcPr>
          <w:p w14:paraId="22FB3B67"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100.0</w:t>
            </w:r>
          </w:p>
        </w:tc>
      </w:tr>
      <w:tr w:rsidR="007852DA" w:rsidRPr="007852DA" w14:paraId="1142981B" w14:textId="77777777" w:rsidTr="00B51693">
        <w:tc>
          <w:tcPr>
            <w:tcW w:w="1359" w:type="dxa"/>
            <w:vMerge/>
            <w:vAlign w:val="center"/>
          </w:tcPr>
          <w:p w14:paraId="180A5274"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c>
          <w:tcPr>
            <w:tcW w:w="987" w:type="dxa"/>
            <w:vAlign w:val="center"/>
          </w:tcPr>
          <w:p w14:paraId="5F09E4DC"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Female</w:t>
            </w:r>
          </w:p>
        </w:tc>
        <w:tc>
          <w:tcPr>
            <w:tcW w:w="674" w:type="dxa"/>
            <w:vAlign w:val="center"/>
          </w:tcPr>
          <w:p w14:paraId="199DB905"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0.905</w:t>
            </w:r>
          </w:p>
        </w:tc>
        <w:tc>
          <w:tcPr>
            <w:tcW w:w="668" w:type="dxa"/>
            <w:vAlign w:val="center"/>
          </w:tcPr>
          <w:p w14:paraId="52CFBA46"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0.044</w:t>
            </w:r>
          </w:p>
        </w:tc>
        <w:tc>
          <w:tcPr>
            <w:tcW w:w="1188" w:type="dxa"/>
            <w:vAlign w:val="center"/>
          </w:tcPr>
          <w:p w14:paraId="0629F7E2"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0.820-0.990</w:t>
            </w:r>
          </w:p>
        </w:tc>
        <w:tc>
          <w:tcPr>
            <w:tcW w:w="719" w:type="dxa"/>
            <w:vAlign w:val="center"/>
          </w:tcPr>
          <w:p w14:paraId="13175486"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0.000</w:t>
            </w:r>
          </w:p>
        </w:tc>
        <w:tc>
          <w:tcPr>
            <w:tcW w:w="870" w:type="dxa"/>
            <w:vAlign w:val="center"/>
          </w:tcPr>
          <w:p w14:paraId="01124DBC"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470.42</w:t>
            </w:r>
          </w:p>
        </w:tc>
        <w:tc>
          <w:tcPr>
            <w:tcW w:w="1261" w:type="dxa"/>
            <w:vAlign w:val="center"/>
          </w:tcPr>
          <w:p w14:paraId="363CC97D"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80.8</w:t>
            </w:r>
          </w:p>
        </w:tc>
        <w:tc>
          <w:tcPr>
            <w:tcW w:w="1249" w:type="dxa"/>
            <w:vAlign w:val="center"/>
          </w:tcPr>
          <w:p w14:paraId="550A8FFC"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90.0</w:t>
            </w:r>
          </w:p>
        </w:tc>
      </w:tr>
      <w:tr w:rsidR="007852DA" w:rsidRPr="007852DA" w14:paraId="656F4C26" w14:textId="77777777" w:rsidTr="00B51693">
        <w:tc>
          <w:tcPr>
            <w:tcW w:w="1359" w:type="dxa"/>
            <w:vMerge w:val="restart"/>
            <w:vAlign w:val="center"/>
          </w:tcPr>
          <w:p w14:paraId="42D20A51"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 xml:space="preserve">MSA </w:t>
            </w:r>
            <w:r w:rsidRPr="007852DA">
              <w:rPr>
                <w:rFonts w:ascii="Book Antiqua" w:eastAsia="宋体" w:hAnsi="Book Antiqua" w:cs="Times New Roman"/>
                <w:i/>
                <w:iCs/>
                <w:color w:val="000000" w:themeColor="text1"/>
                <w:sz w:val="24"/>
              </w:rPr>
              <w:t>vs</w:t>
            </w:r>
            <w:r w:rsidRPr="007852DA">
              <w:rPr>
                <w:rFonts w:ascii="Book Antiqua" w:eastAsia="宋体" w:hAnsi="Book Antiqua" w:cs="Times New Roman"/>
                <w:color w:val="000000" w:themeColor="text1"/>
                <w:sz w:val="24"/>
              </w:rPr>
              <w:t xml:space="preserve"> PD</w:t>
            </w:r>
          </w:p>
        </w:tc>
        <w:tc>
          <w:tcPr>
            <w:tcW w:w="987" w:type="dxa"/>
            <w:vAlign w:val="center"/>
          </w:tcPr>
          <w:p w14:paraId="0EE29C5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Overall</w:t>
            </w:r>
          </w:p>
        </w:tc>
        <w:tc>
          <w:tcPr>
            <w:tcW w:w="674" w:type="dxa"/>
            <w:vAlign w:val="center"/>
          </w:tcPr>
          <w:p w14:paraId="2694AA6C"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0.765</w:t>
            </w:r>
          </w:p>
        </w:tc>
        <w:tc>
          <w:tcPr>
            <w:tcW w:w="668" w:type="dxa"/>
            <w:vAlign w:val="center"/>
          </w:tcPr>
          <w:p w14:paraId="305AAB88"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0.048</w:t>
            </w:r>
          </w:p>
        </w:tc>
        <w:tc>
          <w:tcPr>
            <w:tcW w:w="1188" w:type="dxa"/>
            <w:vAlign w:val="center"/>
          </w:tcPr>
          <w:p w14:paraId="21734006"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0.671-0.859</w:t>
            </w:r>
          </w:p>
        </w:tc>
        <w:tc>
          <w:tcPr>
            <w:tcW w:w="719" w:type="dxa"/>
            <w:vAlign w:val="center"/>
          </w:tcPr>
          <w:p w14:paraId="5D6BE1D2"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0.000</w:t>
            </w:r>
          </w:p>
        </w:tc>
        <w:tc>
          <w:tcPr>
            <w:tcW w:w="870" w:type="dxa"/>
            <w:vAlign w:val="center"/>
          </w:tcPr>
          <w:p w14:paraId="0EC3259C"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1075.91</w:t>
            </w:r>
          </w:p>
        </w:tc>
        <w:tc>
          <w:tcPr>
            <w:tcW w:w="1261" w:type="dxa"/>
            <w:vAlign w:val="center"/>
          </w:tcPr>
          <w:p w14:paraId="6F868FDC"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51.0</w:t>
            </w:r>
          </w:p>
        </w:tc>
        <w:tc>
          <w:tcPr>
            <w:tcW w:w="1249" w:type="dxa"/>
            <w:vAlign w:val="center"/>
          </w:tcPr>
          <w:p w14:paraId="1849E1FC"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96.0</w:t>
            </w:r>
          </w:p>
        </w:tc>
      </w:tr>
      <w:tr w:rsidR="007852DA" w:rsidRPr="007852DA" w14:paraId="04A1EF3E" w14:textId="77777777" w:rsidTr="00B51693">
        <w:tc>
          <w:tcPr>
            <w:tcW w:w="1359" w:type="dxa"/>
            <w:vMerge/>
            <w:vAlign w:val="center"/>
          </w:tcPr>
          <w:p w14:paraId="79C93235"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c>
          <w:tcPr>
            <w:tcW w:w="987" w:type="dxa"/>
            <w:vAlign w:val="center"/>
          </w:tcPr>
          <w:p w14:paraId="36980461"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Male</w:t>
            </w:r>
          </w:p>
        </w:tc>
        <w:tc>
          <w:tcPr>
            <w:tcW w:w="674" w:type="dxa"/>
            <w:vAlign w:val="center"/>
          </w:tcPr>
          <w:p w14:paraId="00ECD116"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0.772</w:t>
            </w:r>
          </w:p>
        </w:tc>
        <w:tc>
          <w:tcPr>
            <w:tcW w:w="668" w:type="dxa"/>
            <w:vAlign w:val="center"/>
          </w:tcPr>
          <w:p w14:paraId="181DF64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0.072</w:t>
            </w:r>
          </w:p>
        </w:tc>
        <w:tc>
          <w:tcPr>
            <w:tcW w:w="1188" w:type="dxa"/>
            <w:vAlign w:val="center"/>
          </w:tcPr>
          <w:p w14:paraId="507E1853"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0.630-0.914</w:t>
            </w:r>
          </w:p>
        </w:tc>
        <w:tc>
          <w:tcPr>
            <w:tcW w:w="719" w:type="dxa"/>
            <w:vAlign w:val="center"/>
          </w:tcPr>
          <w:p w14:paraId="10780A46"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0.001</w:t>
            </w:r>
          </w:p>
        </w:tc>
        <w:tc>
          <w:tcPr>
            <w:tcW w:w="870" w:type="dxa"/>
            <w:vAlign w:val="center"/>
          </w:tcPr>
          <w:p w14:paraId="682EE09D"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1075.91</w:t>
            </w:r>
          </w:p>
        </w:tc>
        <w:tc>
          <w:tcPr>
            <w:tcW w:w="1261" w:type="dxa"/>
            <w:vAlign w:val="center"/>
          </w:tcPr>
          <w:p w14:paraId="696BE84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65.2</w:t>
            </w:r>
          </w:p>
        </w:tc>
        <w:tc>
          <w:tcPr>
            <w:tcW w:w="1249" w:type="dxa"/>
            <w:vAlign w:val="center"/>
          </w:tcPr>
          <w:p w14:paraId="6BBB1F05"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95.8</w:t>
            </w:r>
          </w:p>
        </w:tc>
      </w:tr>
      <w:tr w:rsidR="007852DA" w:rsidRPr="007852DA" w14:paraId="20D449BE" w14:textId="77777777" w:rsidTr="00B51693">
        <w:tc>
          <w:tcPr>
            <w:tcW w:w="1359" w:type="dxa"/>
            <w:vMerge/>
            <w:vAlign w:val="center"/>
          </w:tcPr>
          <w:p w14:paraId="5363CAB4"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p>
        </w:tc>
        <w:tc>
          <w:tcPr>
            <w:tcW w:w="987" w:type="dxa"/>
            <w:vAlign w:val="center"/>
          </w:tcPr>
          <w:p w14:paraId="36644989"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Female</w:t>
            </w:r>
          </w:p>
        </w:tc>
        <w:tc>
          <w:tcPr>
            <w:tcW w:w="674" w:type="dxa"/>
            <w:vAlign w:val="center"/>
          </w:tcPr>
          <w:p w14:paraId="4065E70F"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0.783</w:t>
            </w:r>
          </w:p>
        </w:tc>
        <w:tc>
          <w:tcPr>
            <w:tcW w:w="668" w:type="dxa"/>
            <w:vAlign w:val="center"/>
          </w:tcPr>
          <w:p w14:paraId="205DFF92"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0.066</w:t>
            </w:r>
          </w:p>
        </w:tc>
        <w:tc>
          <w:tcPr>
            <w:tcW w:w="1188" w:type="dxa"/>
            <w:vAlign w:val="center"/>
          </w:tcPr>
          <w:p w14:paraId="512244B4"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0.654-0.911</w:t>
            </w:r>
          </w:p>
        </w:tc>
        <w:tc>
          <w:tcPr>
            <w:tcW w:w="719" w:type="dxa"/>
            <w:vAlign w:val="center"/>
          </w:tcPr>
          <w:p w14:paraId="2AB27DDE"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0.000</w:t>
            </w:r>
          </w:p>
        </w:tc>
        <w:tc>
          <w:tcPr>
            <w:tcW w:w="870" w:type="dxa"/>
            <w:vAlign w:val="center"/>
          </w:tcPr>
          <w:p w14:paraId="1C936446"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616.39</w:t>
            </w:r>
          </w:p>
        </w:tc>
        <w:tc>
          <w:tcPr>
            <w:tcW w:w="1261" w:type="dxa"/>
            <w:vAlign w:val="center"/>
          </w:tcPr>
          <w:p w14:paraId="5D7A94DD"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65.4</w:t>
            </w:r>
          </w:p>
        </w:tc>
        <w:tc>
          <w:tcPr>
            <w:tcW w:w="1249" w:type="dxa"/>
            <w:vAlign w:val="center"/>
          </w:tcPr>
          <w:p w14:paraId="42ADCE68" w14:textId="77777777" w:rsidR="00537E6A" w:rsidRPr="007852DA" w:rsidRDefault="00537E6A" w:rsidP="001F49D0">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88.5</w:t>
            </w:r>
          </w:p>
        </w:tc>
      </w:tr>
    </w:tbl>
    <w:p w14:paraId="0B1DCF53" w14:textId="77777777" w:rsidR="00A50C54" w:rsidRPr="007852DA" w:rsidRDefault="00A50C54" w:rsidP="00A50C54">
      <w:pPr>
        <w:autoSpaceDE w:val="0"/>
        <w:autoSpaceDN w:val="0"/>
        <w:adjustRightInd w:val="0"/>
        <w:spacing w:line="360" w:lineRule="auto"/>
        <w:rPr>
          <w:rFonts w:ascii="Book Antiqua" w:eastAsia="宋体" w:hAnsi="Book Antiqua" w:cs="Times New Roman"/>
          <w:color w:val="000000" w:themeColor="text1"/>
          <w:sz w:val="24"/>
        </w:rPr>
      </w:pPr>
      <w:r w:rsidRPr="007852DA">
        <w:rPr>
          <w:rFonts w:ascii="Book Antiqua" w:eastAsia="宋体" w:hAnsi="Book Antiqua" w:cs="Times New Roman"/>
          <w:color w:val="000000" w:themeColor="text1"/>
          <w:sz w:val="24"/>
        </w:rPr>
        <w:t>MSA: Multiple system atrophy; PD: Parkinson disease; AUC: Area under the receiver-operating characteristic curve.</w:t>
      </w:r>
    </w:p>
    <w:p w14:paraId="11A759B4" w14:textId="77777777" w:rsidR="000D474F" w:rsidRPr="007852DA" w:rsidRDefault="000D474F" w:rsidP="001F49D0">
      <w:pPr>
        <w:autoSpaceDE w:val="0"/>
        <w:autoSpaceDN w:val="0"/>
        <w:adjustRightInd w:val="0"/>
        <w:spacing w:line="360" w:lineRule="auto"/>
        <w:rPr>
          <w:rFonts w:ascii="Book Antiqua" w:eastAsia="宋体" w:hAnsi="Book Antiqua" w:cs="Times New Roman"/>
          <w:color w:val="000000" w:themeColor="text1"/>
          <w:sz w:val="24"/>
        </w:rPr>
      </w:pPr>
    </w:p>
    <w:sectPr w:rsidR="000D474F" w:rsidRPr="007852DA">
      <w:footerReference w:type="default" r:id="rId12"/>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AAF34" w14:textId="77777777" w:rsidR="00BF0FC2" w:rsidRDefault="00BF0FC2">
      <w:r>
        <w:separator/>
      </w:r>
    </w:p>
  </w:endnote>
  <w:endnote w:type="continuationSeparator" w:id="0">
    <w:p w14:paraId="4C116E23" w14:textId="77777777" w:rsidR="00BF0FC2" w:rsidRDefault="00BF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dvPTimesB">
    <w:altName w:val="Cambria"/>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630627"/>
      <w:docPartObj>
        <w:docPartGallery w:val="AutoText"/>
      </w:docPartObj>
    </w:sdtPr>
    <w:sdtEndPr/>
    <w:sdtContent>
      <w:p w14:paraId="2E666F44" w14:textId="77777777" w:rsidR="00827AAD" w:rsidRDefault="00827AAD">
        <w:pPr>
          <w:pStyle w:val="a5"/>
          <w:jc w:val="right"/>
        </w:pPr>
        <w:r>
          <w:fldChar w:fldCharType="begin"/>
        </w:r>
        <w:r>
          <w:instrText>PAGE   \* MERGEFORMAT</w:instrText>
        </w:r>
        <w:r>
          <w:fldChar w:fldCharType="separate"/>
        </w:r>
        <w:r w:rsidR="007852DA" w:rsidRPr="007852DA">
          <w:rPr>
            <w:noProof/>
            <w:lang w:val="zh-CN"/>
          </w:rPr>
          <w:t>1</w:t>
        </w:r>
        <w:r>
          <w:fldChar w:fldCharType="end"/>
        </w:r>
      </w:p>
    </w:sdtContent>
  </w:sdt>
  <w:p w14:paraId="2AC757A0" w14:textId="77777777" w:rsidR="00827AAD" w:rsidRDefault="00827AAD" w:rsidP="00537E6A">
    <w:pPr>
      <w:pStyle w:val="a5"/>
      <w:ind w:firstLineChars="20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0D03F" w14:textId="77777777" w:rsidR="00BF0FC2" w:rsidRDefault="00BF0FC2">
      <w:r>
        <w:separator/>
      </w:r>
    </w:p>
  </w:footnote>
  <w:footnote w:type="continuationSeparator" w:id="0">
    <w:p w14:paraId="4F042489" w14:textId="77777777" w:rsidR="00BF0FC2" w:rsidRDefault="00BF0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 w:name="MachineID" w:val="202|207|197|202|189|197|188|205|197|187|202|197|207|204|197|185|198|"/>
    <w:docVar w:name="Username" w:val="Editor"/>
  </w:docVars>
  <w:rsids>
    <w:rsidRoot w:val="00C86423"/>
    <w:rsid w:val="000000A5"/>
    <w:rsid w:val="00001460"/>
    <w:rsid w:val="000014CB"/>
    <w:rsid w:val="00002745"/>
    <w:rsid w:val="00004BC4"/>
    <w:rsid w:val="00006145"/>
    <w:rsid w:val="00006230"/>
    <w:rsid w:val="000102F4"/>
    <w:rsid w:val="00021E80"/>
    <w:rsid w:val="0002288E"/>
    <w:rsid w:val="00024452"/>
    <w:rsid w:val="00026541"/>
    <w:rsid w:val="00026EF3"/>
    <w:rsid w:val="00030601"/>
    <w:rsid w:val="00031720"/>
    <w:rsid w:val="00032DCA"/>
    <w:rsid w:val="00034369"/>
    <w:rsid w:val="000404C8"/>
    <w:rsid w:val="00041FB5"/>
    <w:rsid w:val="0004388E"/>
    <w:rsid w:val="00047F1C"/>
    <w:rsid w:val="00052800"/>
    <w:rsid w:val="000541E5"/>
    <w:rsid w:val="00056012"/>
    <w:rsid w:val="00057CD2"/>
    <w:rsid w:val="0006032E"/>
    <w:rsid w:val="00062088"/>
    <w:rsid w:val="00062792"/>
    <w:rsid w:val="00062DE5"/>
    <w:rsid w:val="00063071"/>
    <w:rsid w:val="00064985"/>
    <w:rsid w:val="000655A7"/>
    <w:rsid w:val="0006678D"/>
    <w:rsid w:val="000724E4"/>
    <w:rsid w:val="00073070"/>
    <w:rsid w:val="00074B23"/>
    <w:rsid w:val="00080F4A"/>
    <w:rsid w:val="00081A90"/>
    <w:rsid w:val="00083A86"/>
    <w:rsid w:val="000866F0"/>
    <w:rsid w:val="0008686A"/>
    <w:rsid w:val="00086F93"/>
    <w:rsid w:val="00090A66"/>
    <w:rsid w:val="00090B17"/>
    <w:rsid w:val="00091EC5"/>
    <w:rsid w:val="00092F98"/>
    <w:rsid w:val="00094B2F"/>
    <w:rsid w:val="00094C04"/>
    <w:rsid w:val="000A26C9"/>
    <w:rsid w:val="000A2766"/>
    <w:rsid w:val="000A551B"/>
    <w:rsid w:val="000A559D"/>
    <w:rsid w:val="000A79D2"/>
    <w:rsid w:val="000B2033"/>
    <w:rsid w:val="000B2F1B"/>
    <w:rsid w:val="000B6FFF"/>
    <w:rsid w:val="000C0A22"/>
    <w:rsid w:val="000C19EF"/>
    <w:rsid w:val="000C217E"/>
    <w:rsid w:val="000C354D"/>
    <w:rsid w:val="000D0BA3"/>
    <w:rsid w:val="000D474F"/>
    <w:rsid w:val="000D58DA"/>
    <w:rsid w:val="000E14B2"/>
    <w:rsid w:val="000E2427"/>
    <w:rsid w:val="000E5C1A"/>
    <w:rsid w:val="000F18CA"/>
    <w:rsid w:val="000F1CFD"/>
    <w:rsid w:val="000F3877"/>
    <w:rsid w:val="00104239"/>
    <w:rsid w:val="001063DC"/>
    <w:rsid w:val="001109CE"/>
    <w:rsid w:val="00110F5A"/>
    <w:rsid w:val="00116EBE"/>
    <w:rsid w:val="001205AE"/>
    <w:rsid w:val="00121C51"/>
    <w:rsid w:val="00124B6E"/>
    <w:rsid w:val="0013235A"/>
    <w:rsid w:val="00135289"/>
    <w:rsid w:val="00143D79"/>
    <w:rsid w:val="001524D2"/>
    <w:rsid w:val="00155822"/>
    <w:rsid w:val="00160AF7"/>
    <w:rsid w:val="00160D89"/>
    <w:rsid w:val="00161572"/>
    <w:rsid w:val="00162F9B"/>
    <w:rsid w:val="0016342A"/>
    <w:rsid w:val="001643DE"/>
    <w:rsid w:val="001644AA"/>
    <w:rsid w:val="0016579E"/>
    <w:rsid w:val="0017187D"/>
    <w:rsid w:val="0017577A"/>
    <w:rsid w:val="00183146"/>
    <w:rsid w:val="00193EC1"/>
    <w:rsid w:val="00194089"/>
    <w:rsid w:val="001942CE"/>
    <w:rsid w:val="00194415"/>
    <w:rsid w:val="001948CB"/>
    <w:rsid w:val="001A04B4"/>
    <w:rsid w:val="001A1430"/>
    <w:rsid w:val="001A3E13"/>
    <w:rsid w:val="001A3EFB"/>
    <w:rsid w:val="001A5440"/>
    <w:rsid w:val="001A56E5"/>
    <w:rsid w:val="001A64EC"/>
    <w:rsid w:val="001A7F6A"/>
    <w:rsid w:val="001B0C23"/>
    <w:rsid w:val="001B394E"/>
    <w:rsid w:val="001B3E81"/>
    <w:rsid w:val="001C0A98"/>
    <w:rsid w:val="001C19BB"/>
    <w:rsid w:val="001C389D"/>
    <w:rsid w:val="001C4FB7"/>
    <w:rsid w:val="001C6183"/>
    <w:rsid w:val="001C6316"/>
    <w:rsid w:val="001C6B7B"/>
    <w:rsid w:val="001D0215"/>
    <w:rsid w:val="001D536C"/>
    <w:rsid w:val="001D7C6C"/>
    <w:rsid w:val="001E1568"/>
    <w:rsid w:val="001E3C6D"/>
    <w:rsid w:val="001E4A71"/>
    <w:rsid w:val="001E6A0A"/>
    <w:rsid w:val="001F3E70"/>
    <w:rsid w:val="001F49D0"/>
    <w:rsid w:val="001F583D"/>
    <w:rsid w:val="00201746"/>
    <w:rsid w:val="002019F9"/>
    <w:rsid w:val="00203B3F"/>
    <w:rsid w:val="00204FCC"/>
    <w:rsid w:val="0020554F"/>
    <w:rsid w:val="0021286D"/>
    <w:rsid w:val="00214F52"/>
    <w:rsid w:val="00216114"/>
    <w:rsid w:val="00216E54"/>
    <w:rsid w:val="0021768F"/>
    <w:rsid w:val="00217E04"/>
    <w:rsid w:val="002212CA"/>
    <w:rsid w:val="0022225A"/>
    <w:rsid w:val="00222F49"/>
    <w:rsid w:val="0022537D"/>
    <w:rsid w:val="00231020"/>
    <w:rsid w:val="00233517"/>
    <w:rsid w:val="002447DC"/>
    <w:rsid w:val="002456F9"/>
    <w:rsid w:val="002470B8"/>
    <w:rsid w:val="002504B6"/>
    <w:rsid w:val="00253848"/>
    <w:rsid w:val="00255466"/>
    <w:rsid w:val="002572D8"/>
    <w:rsid w:val="002655BC"/>
    <w:rsid w:val="002715F3"/>
    <w:rsid w:val="002772DC"/>
    <w:rsid w:val="00285A27"/>
    <w:rsid w:val="00287AEF"/>
    <w:rsid w:val="00287DD9"/>
    <w:rsid w:val="0029373D"/>
    <w:rsid w:val="0029398E"/>
    <w:rsid w:val="00293C9C"/>
    <w:rsid w:val="00293DB2"/>
    <w:rsid w:val="00295488"/>
    <w:rsid w:val="002A038B"/>
    <w:rsid w:val="002A3254"/>
    <w:rsid w:val="002B2FB6"/>
    <w:rsid w:val="002B3048"/>
    <w:rsid w:val="002B75F0"/>
    <w:rsid w:val="002B78AE"/>
    <w:rsid w:val="002C1262"/>
    <w:rsid w:val="002C1798"/>
    <w:rsid w:val="002C5D5E"/>
    <w:rsid w:val="002C5ED8"/>
    <w:rsid w:val="002D5BEB"/>
    <w:rsid w:val="002E0DAD"/>
    <w:rsid w:val="002E6EEC"/>
    <w:rsid w:val="002E783C"/>
    <w:rsid w:val="002F6B20"/>
    <w:rsid w:val="002F7F4E"/>
    <w:rsid w:val="003014EC"/>
    <w:rsid w:val="0030252C"/>
    <w:rsid w:val="00302B50"/>
    <w:rsid w:val="00310EC2"/>
    <w:rsid w:val="00311590"/>
    <w:rsid w:val="00311B60"/>
    <w:rsid w:val="0032295B"/>
    <w:rsid w:val="003235AD"/>
    <w:rsid w:val="003239E4"/>
    <w:rsid w:val="00323DB6"/>
    <w:rsid w:val="003276E9"/>
    <w:rsid w:val="00334591"/>
    <w:rsid w:val="00337F4B"/>
    <w:rsid w:val="00343DC6"/>
    <w:rsid w:val="00347D47"/>
    <w:rsid w:val="00350E38"/>
    <w:rsid w:val="00350EF7"/>
    <w:rsid w:val="00352401"/>
    <w:rsid w:val="0035316E"/>
    <w:rsid w:val="0036034A"/>
    <w:rsid w:val="00363253"/>
    <w:rsid w:val="0036513D"/>
    <w:rsid w:val="00367C8E"/>
    <w:rsid w:val="00367CE0"/>
    <w:rsid w:val="00370E76"/>
    <w:rsid w:val="003720F2"/>
    <w:rsid w:val="00373AEE"/>
    <w:rsid w:val="00376F56"/>
    <w:rsid w:val="003822D0"/>
    <w:rsid w:val="0038666C"/>
    <w:rsid w:val="00390355"/>
    <w:rsid w:val="003917FE"/>
    <w:rsid w:val="00392E59"/>
    <w:rsid w:val="00394F64"/>
    <w:rsid w:val="003A0046"/>
    <w:rsid w:val="003B1FB4"/>
    <w:rsid w:val="003B23A2"/>
    <w:rsid w:val="003B5249"/>
    <w:rsid w:val="003B5A96"/>
    <w:rsid w:val="003B65CE"/>
    <w:rsid w:val="003C1773"/>
    <w:rsid w:val="003C615C"/>
    <w:rsid w:val="003C7ECD"/>
    <w:rsid w:val="003D3DA8"/>
    <w:rsid w:val="003D5C23"/>
    <w:rsid w:val="003E1957"/>
    <w:rsid w:val="003E36EC"/>
    <w:rsid w:val="003E3B13"/>
    <w:rsid w:val="003E5BA7"/>
    <w:rsid w:val="003E76F7"/>
    <w:rsid w:val="003E7B3D"/>
    <w:rsid w:val="003F1E39"/>
    <w:rsid w:val="003F4696"/>
    <w:rsid w:val="003F6282"/>
    <w:rsid w:val="00400601"/>
    <w:rsid w:val="0040515B"/>
    <w:rsid w:val="004052F1"/>
    <w:rsid w:val="00407B85"/>
    <w:rsid w:val="0041136D"/>
    <w:rsid w:val="00411FE5"/>
    <w:rsid w:val="00413F07"/>
    <w:rsid w:val="004150AF"/>
    <w:rsid w:val="004175D4"/>
    <w:rsid w:val="0042243C"/>
    <w:rsid w:val="0042369A"/>
    <w:rsid w:val="00431E1B"/>
    <w:rsid w:val="00440C82"/>
    <w:rsid w:val="004436DE"/>
    <w:rsid w:val="00445DD8"/>
    <w:rsid w:val="00446066"/>
    <w:rsid w:val="00453A24"/>
    <w:rsid w:val="00454AFD"/>
    <w:rsid w:val="00457705"/>
    <w:rsid w:val="00460B65"/>
    <w:rsid w:val="00461F79"/>
    <w:rsid w:val="004647D2"/>
    <w:rsid w:val="00465FE5"/>
    <w:rsid w:val="0046715B"/>
    <w:rsid w:val="004701BA"/>
    <w:rsid w:val="004718B7"/>
    <w:rsid w:val="0047385A"/>
    <w:rsid w:val="00475CC1"/>
    <w:rsid w:val="00480579"/>
    <w:rsid w:val="00481C62"/>
    <w:rsid w:val="00482895"/>
    <w:rsid w:val="004851DC"/>
    <w:rsid w:val="004866A3"/>
    <w:rsid w:val="004926AA"/>
    <w:rsid w:val="00493581"/>
    <w:rsid w:val="00494D7F"/>
    <w:rsid w:val="004972D8"/>
    <w:rsid w:val="004A15C0"/>
    <w:rsid w:val="004A3439"/>
    <w:rsid w:val="004A5B5E"/>
    <w:rsid w:val="004A6F9C"/>
    <w:rsid w:val="004B08B8"/>
    <w:rsid w:val="004B261D"/>
    <w:rsid w:val="004B2948"/>
    <w:rsid w:val="004B3ACA"/>
    <w:rsid w:val="004B62B1"/>
    <w:rsid w:val="004C412A"/>
    <w:rsid w:val="004C5DAA"/>
    <w:rsid w:val="004D0F40"/>
    <w:rsid w:val="004D3DB6"/>
    <w:rsid w:val="004D4BCA"/>
    <w:rsid w:val="004D5D71"/>
    <w:rsid w:val="004E5DC0"/>
    <w:rsid w:val="004E63AF"/>
    <w:rsid w:val="004E6935"/>
    <w:rsid w:val="004E720D"/>
    <w:rsid w:val="004E72BE"/>
    <w:rsid w:val="004F5038"/>
    <w:rsid w:val="004F5617"/>
    <w:rsid w:val="004F5B58"/>
    <w:rsid w:val="004F7137"/>
    <w:rsid w:val="0050328A"/>
    <w:rsid w:val="00503F22"/>
    <w:rsid w:val="005043D1"/>
    <w:rsid w:val="00504FEA"/>
    <w:rsid w:val="00505CF1"/>
    <w:rsid w:val="0050682B"/>
    <w:rsid w:val="00506CEB"/>
    <w:rsid w:val="00507BFD"/>
    <w:rsid w:val="005131D3"/>
    <w:rsid w:val="0051348C"/>
    <w:rsid w:val="0052421F"/>
    <w:rsid w:val="005300F8"/>
    <w:rsid w:val="00536CCB"/>
    <w:rsid w:val="00537E6A"/>
    <w:rsid w:val="00545D3B"/>
    <w:rsid w:val="00545E67"/>
    <w:rsid w:val="00545EB0"/>
    <w:rsid w:val="00546F2E"/>
    <w:rsid w:val="00551AC3"/>
    <w:rsid w:val="00556E75"/>
    <w:rsid w:val="005609CA"/>
    <w:rsid w:val="00562BE2"/>
    <w:rsid w:val="005634B1"/>
    <w:rsid w:val="005639E0"/>
    <w:rsid w:val="00565CE0"/>
    <w:rsid w:val="00565E4B"/>
    <w:rsid w:val="005679E3"/>
    <w:rsid w:val="005747DA"/>
    <w:rsid w:val="0057486D"/>
    <w:rsid w:val="00576648"/>
    <w:rsid w:val="00577E69"/>
    <w:rsid w:val="00595A54"/>
    <w:rsid w:val="00595EA6"/>
    <w:rsid w:val="00596ACD"/>
    <w:rsid w:val="005A0DF0"/>
    <w:rsid w:val="005A1BD5"/>
    <w:rsid w:val="005B00AD"/>
    <w:rsid w:val="005B0E0E"/>
    <w:rsid w:val="005B2AB0"/>
    <w:rsid w:val="005C08D4"/>
    <w:rsid w:val="005C0CCE"/>
    <w:rsid w:val="005C281A"/>
    <w:rsid w:val="005C6505"/>
    <w:rsid w:val="005C6C2D"/>
    <w:rsid w:val="005C70A9"/>
    <w:rsid w:val="005D2BB4"/>
    <w:rsid w:val="005D4D5C"/>
    <w:rsid w:val="005D5248"/>
    <w:rsid w:val="005D7B27"/>
    <w:rsid w:val="005E21A7"/>
    <w:rsid w:val="005E2C57"/>
    <w:rsid w:val="005E380C"/>
    <w:rsid w:val="005E50AA"/>
    <w:rsid w:val="005F2B88"/>
    <w:rsid w:val="005F5CB8"/>
    <w:rsid w:val="005F69F4"/>
    <w:rsid w:val="006132ED"/>
    <w:rsid w:val="0061464E"/>
    <w:rsid w:val="006163FA"/>
    <w:rsid w:val="00622157"/>
    <w:rsid w:val="0062271B"/>
    <w:rsid w:val="00622CEC"/>
    <w:rsid w:val="006241E3"/>
    <w:rsid w:val="00631632"/>
    <w:rsid w:val="006348A1"/>
    <w:rsid w:val="0063496B"/>
    <w:rsid w:val="00636828"/>
    <w:rsid w:val="00636EEB"/>
    <w:rsid w:val="00637A23"/>
    <w:rsid w:val="0064051F"/>
    <w:rsid w:val="006416F6"/>
    <w:rsid w:val="00643BCD"/>
    <w:rsid w:val="00643FBF"/>
    <w:rsid w:val="00644050"/>
    <w:rsid w:val="0064411C"/>
    <w:rsid w:val="00646E5E"/>
    <w:rsid w:val="00654FA5"/>
    <w:rsid w:val="00661A53"/>
    <w:rsid w:val="006639FF"/>
    <w:rsid w:val="00664688"/>
    <w:rsid w:val="00665F6C"/>
    <w:rsid w:val="0066782A"/>
    <w:rsid w:val="00670A2E"/>
    <w:rsid w:val="00672588"/>
    <w:rsid w:val="00673CC5"/>
    <w:rsid w:val="006744B6"/>
    <w:rsid w:val="00680121"/>
    <w:rsid w:val="0068155C"/>
    <w:rsid w:val="006844B1"/>
    <w:rsid w:val="00686DB1"/>
    <w:rsid w:val="00691360"/>
    <w:rsid w:val="00691C53"/>
    <w:rsid w:val="00692D25"/>
    <w:rsid w:val="00694A5A"/>
    <w:rsid w:val="00695009"/>
    <w:rsid w:val="006961B8"/>
    <w:rsid w:val="00696668"/>
    <w:rsid w:val="006A0C5C"/>
    <w:rsid w:val="006A1590"/>
    <w:rsid w:val="006A5480"/>
    <w:rsid w:val="006B0714"/>
    <w:rsid w:val="006B427D"/>
    <w:rsid w:val="006B453D"/>
    <w:rsid w:val="006C33D5"/>
    <w:rsid w:val="006C40D7"/>
    <w:rsid w:val="006D013F"/>
    <w:rsid w:val="006D167C"/>
    <w:rsid w:val="006D30E3"/>
    <w:rsid w:val="006D4737"/>
    <w:rsid w:val="006D6146"/>
    <w:rsid w:val="006D780A"/>
    <w:rsid w:val="006E39BC"/>
    <w:rsid w:val="006E4352"/>
    <w:rsid w:val="006E5CF6"/>
    <w:rsid w:val="006E60BD"/>
    <w:rsid w:val="006F4AD3"/>
    <w:rsid w:val="006F5AC9"/>
    <w:rsid w:val="006F6F74"/>
    <w:rsid w:val="007018EC"/>
    <w:rsid w:val="00703720"/>
    <w:rsid w:val="007043F4"/>
    <w:rsid w:val="007053D7"/>
    <w:rsid w:val="0070600C"/>
    <w:rsid w:val="00711D99"/>
    <w:rsid w:val="00714107"/>
    <w:rsid w:val="00717089"/>
    <w:rsid w:val="0072277E"/>
    <w:rsid w:val="00722A00"/>
    <w:rsid w:val="00724B1A"/>
    <w:rsid w:val="00725051"/>
    <w:rsid w:val="007250B2"/>
    <w:rsid w:val="007332A4"/>
    <w:rsid w:val="0073697D"/>
    <w:rsid w:val="00740E98"/>
    <w:rsid w:val="0074130F"/>
    <w:rsid w:val="0074184F"/>
    <w:rsid w:val="007432DA"/>
    <w:rsid w:val="007433D8"/>
    <w:rsid w:val="00752E73"/>
    <w:rsid w:val="007556E5"/>
    <w:rsid w:val="007565FE"/>
    <w:rsid w:val="00757D62"/>
    <w:rsid w:val="0076110A"/>
    <w:rsid w:val="00767B91"/>
    <w:rsid w:val="00771403"/>
    <w:rsid w:val="007717BA"/>
    <w:rsid w:val="00774653"/>
    <w:rsid w:val="00781800"/>
    <w:rsid w:val="00781DC3"/>
    <w:rsid w:val="00783116"/>
    <w:rsid w:val="007852DA"/>
    <w:rsid w:val="007859D0"/>
    <w:rsid w:val="007905B7"/>
    <w:rsid w:val="00796D36"/>
    <w:rsid w:val="00797376"/>
    <w:rsid w:val="007A2DB5"/>
    <w:rsid w:val="007A3124"/>
    <w:rsid w:val="007A36FF"/>
    <w:rsid w:val="007A7471"/>
    <w:rsid w:val="007B378E"/>
    <w:rsid w:val="007B3AE7"/>
    <w:rsid w:val="007B7B6C"/>
    <w:rsid w:val="007C307E"/>
    <w:rsid w:val="007C4332"/>
    <w:rsid w:val="007C46D7"/>
    <w:rsid w:val="007C64B0"/>
    <w:rsid w:val="007D2CF7"/>
    <w:rsid w:val="007D339F"/>
    <w:rsid w:val="007D4228"/>
    <w:rsid w:val="007D484E"/>
    <w:rsid w:val="007E11E9"/>
    <w:rsid w:val="007F268A"/>
    <w:rsid w:val="007F2CAE"/>
    <w:rsid w:val="007F3A4E"/>
    <w:rsid w:val="007F41E1"/>
    <w:rsid w:val="008001AC"/>
    <w:rsid w:val="00800A77"/>
    <w:rsid w:val="00802639"/>
    <w:rsid w:val="00802BF4"/>
    <w:rsid w:val="008130E0"/>
    <w:rsid w:val="0081785B"/>
    <w:rsid w:val="00825256"/>
    <w:rsid w:val="00826334"/>
    <w:rsid w:val="00827AAD"/>
    <w:rsid w:val="008305FD"/>
    <w:rsid w:val="0083072E"/>
    <w:rsid w:val="00831FCC"/>
    <w:rsid w:val="00836605"/>
    <w:rsid w:val="008375BE"/>
    <w:rsid w:val="00841063"/>
    <w:rsid w:val="00842035"/>
    <w:rsid w:val="00845E6F"/>
    <w:rsid w:val="008466A6"/>
    <w:rsid w:val="008500CE"/>
    <w:rsid w:val="008534EF"/>
    <w:rsid w:val="00855931"/>
    <w:rsid w:val="00860B37"/>
    <w:rsid w:val="00866245"/>
    <w:rsid w:val="00873727"/>
    <w:rsid w:val="008821ED"/>
    <w:rsid w:val="00882D65"/>
    <w:rsid w:val="00882EAD"/>
    <w:rsid w:val="00882F8E"/>
    <w:rsid w:val="00884A9F"/>
    <w:rsid w:val="00885CE0"/>
    <w:rsid w:val="00885E5E"/>
    <w:rsid w:val="00886032"/>
    <w:rsid w:val="008868E7"/>
    <w:rsid w:val="00890195"/>
    <w:rsid w:val="0089140A"/>
    <w:rsid w:val="00892041"/>
    <w:rsid w:val="00896013"/>
    <w:rsid w:val="008966F5"/>
    <w:rsid w:val="008A5EEC"/>
    <w:rsid w:val="008A60E3"/>
    <w:rsid w:val="008B1242"/>
    <w:rsid w:val="008B2CF0"/>
    <w:rsid w:val="008B4EB9"/>
    <w:rsid w:val="008B5E6A"/>
    <w:rsid w:val="008B63FF"/>
    <w:rsid w:val="008C0778"/>
    <w:rsid w:val="008C1422"/>
    <w:rsid w:val="008C1DE1"/>
    <w:rsid w:val="008C4A89"/>
    <w:rsid w:val="008C5410"/>
    <w:rsid w:val="008C571A"/>
    <w:rsid w:val="008C6E50"/>
    <w:rsid w:val="008C7372"/>
    <w:rsid w:val="008D43C8"/>
    <w:rsid w:val="008E1179"/>
    <w:rsid w:val="008E39DE"/>
    <w:rsid w:val="008E6596"/>
    <w:rsid w:val="008F57A4"/>
    <w:rsid w:val="009025BC"/>
    <w:rsid w:val="009038B1"/>
    <w:rsid w:val="00915097"/>
    <w:rsid w:val="00915B47"/>
    <w:rsid w:val="00926DC9"/>
    <w:rsid w:val="0093259C"/>
    <w:rsid w:val="009339D1"/>
    <w:rsid w:val="00937696"/>
    <w:rsid w:val="00937A9A"/>
    <w:rsid w:val="009405F1"/>
    <w:rsid w:val="00940A74"/>
    <w:rsid w:val="009412CB"/>
    <w:rsid w:val="009444D4"/>
    <w:rsid w:val="00947500"/>
    <w:rsid w:val="00953320"/>
    <w:rsid w:val="00963241"/>
    <w:rsid w:val="0096702B"/>
    <w:rsid w:val="00972D1A"/>
    <w:rsid w:val="00980E2C"/>
    <w:rsid w:val="009825E8"/>
    <w:rsid w:val="00991A07"/>
    <w:rsid w:val="00992CC4"/>
    <w:rsid w:val="00993E6B"/>
    <w:rsid w:val="00995272"/>
    <w:rsid w:val="009971BA"/>
    <w:rsid w:val="009A0150"/>
    <w:rsid w:val="009A02E8"/>
    <w:rsid w:val="009A3A9F"/>
    <w:rsid w:val="009A443F"/>
    <w:rsid w:val="009B0312"/>
    <w:rsid w:val="009B3B2C"/>
    <w:rsid w:val="009B6BC0"/>
    <w:rsid w:val="009B7157"/>
    <w:rsid w:val="009C0E55"/>
    <w:rsid w:val="009C0F7F"/>
    <w:rsid w:val="009C4BF1"/>
    <w:rsid w:val="009C5387"/>
    <w:rsid w:val="009C6A79"/>
    <w:rsid w:val="009D1893"/>
    <w:rsid w:val="009D2DFC"/>
    <w:rsid w:val="009D4505"/>
    <w:rsid w:val="009D61A1"/>
    <w:rsid w:val="009D6F93"/>
    <w:rsid w:val="009E2B39"/>
    <w:rsid w:val="009E3938"/>
    <w:rsid w:val="009F2F64"/>
    <w:rsid w:val="009F4761"/>
    <w:rsid w:val="009F4992"/>
    <w:rsid w:val="00A0038F"/>
    <w:rsid w:val="00A01D1C"/>
    <w:rsid w:val="00A029A8"/>
    <w:rsid w:val="00A0415A"/>
    <w:rsid w:val="00A05CF2"/>
    <w:rsid w:val="00A0628F"/>
    <w:rsid w:val="00A10B5B"/>
    <w:rsid w:val="00A11357"/>
    <w:rsid w:val="00A144A0"/>
    <w:rsid w:val="00A15E47"/>
    <w:rsid w:val="00A20D93"/>
    <w:rsid w:val="00A22500"/>
    <w:rsid w:val="00A23A06"/>
    <w:rsid w:val="00A2459C"/>
    <w:rsid w:val="00A305C1"/>
    <w:rsid w:val="00A30D80"/>
    <w:rsid w:val="00A3262C"/>
    <w:rsid w:val="00A3579E"/>
    <w:rsid w:val="00A375ED"/>
    <w:rsid w:val="00A44E88"/>
    <w:rsid w:val="00A44EBB"/>
    <w:rsid w:val="00A45B9D"/>
    <w:rsid w:val="00A50C54"/>
    <w:rsid w:val="00A560AA"/>
    <w:rsid w:val="00A56990"/>
    <w:rsid w:val="00A61EAB"/>
    <w:rsid w:val="00A6692F"/>
    <w:rsid w:val="00A72209"/>
    <w:rsid w:val="00A72BE4"/>
    <w:rsid w:val="00A73004"/>
    <w:rsid w:val="00A82190"/>
    <w:rsid w:val="00A82983"/>
    <w:rsid w:val="00A83B97"/>
    <w:rsid w:val="00A841DD"/>
    <w:rsid w:val="00A90CB0"/>
    <w:rsid w:val="00A923EB"/>
    <w:rsid w:val="00A925DD"/>
    <w:rsid w:val="00A93826"/>
    <w:rsid w:val="00A957FE"/>
    <w:rsid w:val="00AA0038"/>
    <w:rsid w:val="00AA1918"/>
    <w:rsid w:val="00AA4078"/>
    <w:rsid w:val="00AA430B"/>
    <w:rsid w:val="00AA6102"/>
    <w:rsid w:val="00AA6C8B"/>
    <w:rsid w:val="00AB1492"/>
    <w:rsid w:val="00AB1F3E"/>
    <w:rsid w:val="00AB30E3"/>
    <w:rsid w:val="00AB5288"/>
    <w:rsid w:val="00AB7C72"/>
    <w:rsid w:val="00AC5A73"/>
    <w:rsid w:val="00AC6E57"/>
    <w:rsid w:val="00AD0769"/>
    <w:rsid w:val="00AE2803"/>
    <w:rsid w:val="00AE59BF"/>
    <w:rsid w:val="00AE7622"/>
    <w:rsid w:val="00AF0338"/>
    <w:rsid w:val="00AF0A86"/>
    <w:rsid w:val="00AF6BDD"/>
    <w:rsid w:val="00B01A31"/>
    <w:rsid w:val="00B0259B"/>
    <w:rsid w:val="00B02706"/>
    <w:rsid w:val="00B0336A"/>
    <w:rsid w:val="00B03883"/>
    <w:rsid w:val="00B0723E"/>
    <w:rsid w:val="00B07F0C"/>
    <w:rsid w:val="00B104CA"/>
    <w:rsid w:val="00B1051A"/>
    <w:rsid w:val="00B107C5"/>
    <w:rsid w:val="00B1202D"/>
    <w:rsid w:val="00B13FB9"/>
    <w:rsid w:val="00B16CDB"/>
    <w:rsid w:val="00B20929"/>
    <w:rsid w:val="00B20E7F"/>
    <w:rsid w:val="00B21317"/>
    <w:rsid w:val="00B21F9D"/>
    <w:rsid w:val="00B21FD2"/>
    <w:rsid w:val="00B237F9"/>
    <w:rsid w:val="00B26765"/>
    <w:rsid w:val="00B300A8"/>
    <w:rsid w:val="00B318C2"/>
    <w:rsid w:val="00B337F4"/>
    <w:rsid w:val="00B34601"/>
    <w:rsid w:val="00B408D2"/>
    <w:rsid w:val="00B41E38"/>
    <w:rsid w:val="00B431A4"/>
    <w:rsid w:val="00B45AB6"/>
    <w:rsid w:val="00B46E4F"/>
    <w:rsid w:val="00B47572"/>
    <w:rsid w:val="00B51693"/>
    <w:rsid w:val="00B53660"/>
    <w:rsid w:val="00B54781"/>
    <w:rsid w:val="00B559F1"/>
    <w:rsid w:val="00B56FE4"/>
    <w:rsid w:val="00B6305E"/>
    <w:rsid w:val="00B647DC"/>
    <w:rsid w:val="00B65EFA"/>
    <w:rsid w:val="00B666C2"/>
    <w:rsid w:val="00B66C11"/>
    <w:rsid w:val="00B70E6B"/>
    <w:rsid w:val="00B7248E"/>
    <w:rsid w:val="00B725B5"/>
    <w:rsid w:val="00B81A9C"/>
    <w:rsid w:val="00B826A6"/>
    <w:rsid w:val="00B84BD8"/>
    <w:rsid w:val="00B855D6"/>
    <w:rsid w:val="00B86DB2"/>
    <w:rsid w:val="00BA03E9"/>
    <w:rsid w:val="00BA74F3"/>
    <w:rsid w:val="00BB2008"/>
    <w:rsid w:val="00BC3E89"/>
    <w:rsid w:val="00BD24B9"/>
    <w:rsid w:val="00BD447A"/>
    <w:rsid w:val="00BD4ABB"/>
    <w:rsid w:val="00BD5614"/>
    <w:rsid w:val="00BD6073"/>
    <w:rsid w:val="00BE195E"/>
    <w:rsid w:val="00BE19EA"/>
    <w:rsid w:val="00BE1F80"/>
    <w:rsid w:val="00BE2DBB"/>
    <w:rsid w:val="00BE37E0"/>
    <w:rsid w:val="00BE551E"/>
    <w:rsid w:val="00BE5EE6"/>
    <w:rsid w:val="00BE5F4F"/>
    <w:rsid w:val="00BF0FC2"/>
    <w:rsid w:val="00BF28FC"/>
    <w:rsid w:val="00BF2A45"/>
    <w:rsid w:val="00BF3C32"/>
    <w:rsid w:val="00BF4DE8"/>
    <w:rsid w:val="00BF596C"/>
    <w:rsid w:val="00C00C86"/>
    <w:rsid w:val="00C054DF"/>
    <w:rsid w:val="00C05735"/>
    <w:rsid w:val="00C06CD0"/>
    <w:rsid w:val="00C11A8E"/>
    <w:rsid w:val="00C11B50"/>
    <w:rsid w:val="00C13F17"/>
    <w:rsid w:val="00C17046"/>
    <w:rsid w:val="00C31D07"/>
    <w:rsid w:val="00C344A5"/>
    <w:rsid w:val="00C35143"/>
    <w:rsid w:val="00C3564D"/>
    <w:rsid w:val="00C42C83"/>
    <w:rsid w:val="00C44269"/>
    <w:rsid w:val="00C50302"/>
    <w:rsid w:val="00C5358E"/>
    <w:rsid w:val="00C53A58"/>
    <w:rsid w:val="00C5652A"/>
    <w:rsid w:val="00C668FD"/>
    <w:rsid w:val="00C66931"/>
    <w:rsid w:val="00C66FD3"/>
    <w:rsid w:val="00C7587E"/>
    <w:rsid w:val="00C75AA1"/>
    <w:rsid w:val="00C76A69"/>
    <w:rsid w:val="00C8263B"/>
    <w:rsid w:val="00C82FA4"/>
    <w:rsid w:val="00C86423"/>
    <w:rsid w:val="00C8684D"/>
    <w:rsid w:val="00C87428"/>
    <w:rsid w:val="00C95B21"/>
    <w:rsid w:val="00CA3638"/>
    <w:rsid w:val="00CA5A7E"/>
    <w:rsid w:val="00CA697C"/>
    <w:rsid w:val="00CA7614"/>
    <w:rsid w:val="00CB08C6"/>
    <w:rsid w:val="00CB2526"/>
    <w:rsid w:val="00CB6157"/>
    <w:rsid w:val="00CC0D9C"/>
    <w:rsid w:val="00CC0F93"/>
    <w:rsid w:val="00CC2416"/>
    <w:rsid w:val="00CC2929"/>
    <w:rsid w:val="00CC34E7"/>
    <w:rsid w:val="00CC77FB"/>
    <w:rsid w:val="00CD17EF"/>
    <w:rsid w:val="00CD4F38"/>
    <w:rsid w:val="00CE063C"/>
    <w:rsid w:val="00CE3B21"/>
    <w:rsid w:val="00CE3F37"/>
    <w:rsid w:val="00CE6331"/>
    <w:rsid w:val="00CE6E70"/>
    <w:rsid w:val="00CE7AA6"/>
    <w:rsid w:val="00CF365B"/>
    <w:rsid w:val="00CF4809"/>
    <w:rsid w:val="00D029FD"/>
    <w:rsid w:val="00D03C28"/>
    <w:rsid w:val="00D05A5C"/>
    <w:rsid w:val="00D06912"/>
    <w:rsid w:val="00D13910"/>
    <w:rsid w:val="00D1427F"/>
    <w:rsid w:val="00D153A8"/>
    <w:rsid w:val="00D157AE"/>
    <w:rsid w:val="00D1786E"/>
    <w:rsid w:val="00D17D3C"/>
    <w:rsid w:val="00D247E6"/>
    <w:rsid w:val="00D2706C"/>
    <w:rsid w:val="00D27AD4"/>
    <w:rsid w:val="00D27FC2"/>
    <w:rsid w:val="00D300FF"/>
    <w:rsid w:val="00D3117A"/>
    <w:rsid w:val="00D37070"/>
    <w:rsid w:val="00D37B6A"/>
    <w:rsid w:val="00D40438"/>
    <w:rsid w:val="00D4276A"/>
    <w:rsid w:val="00D42897"/>
    <w:rsid w:val="00D42D57"/>
    <w:rsid w:val="00D43105"/>
    <w:rsid w:val="00D44094"/>
    <w:rsid w:val="00D462BE"/>
    <w:rsid w:val="00D4793F"/>
    <w:rsid w:val="00D51FA9"/>
    <w:rsid w:val="00D525B9"/>
    <w:rsid w:val="00D53E92"/>
    <w:rsid w:val="00D5564F"/>
    <w:rsid w:val="00D55768"/>
    <w:rsid w:val="00D569FF"/>
    <w:rsid w:val="00D60DF0"/>
    <w:rsid w:val="00D66203"/>
    <w:rsid w:val="00D71EC4"/>
    <w:rsid w:val="00D74098"/>
    <w:rsid w:val="00D838C6"/>
    <w:rsid w:val="00D8664B"/>
    <w:rsid w:val="00D91430"/>
    <w:rsid w:val="00D91686"/>
    <w:rsid w:val="00D9225D"/>
    <w:rsid w:val="00D94064"/>
    <w:rsid w:val="00D945D8"/>
    <w:rsid w:val="00DA065C"/>
    <w:rsid w:val="00DA1AD4"/>
    <w:rsid w:val="00DA5B7E"/>
    <w:rsid w:val="00DB0B10"/>
    <w:rsid w:val="00DB1B3E"/>
    <w:rsid w:val="00DB2348"/>
    <w:rsid w:val="00DB4D39"/>
    <w:rsid w:val="00DC0B11"/>
    <w:rsid w:val="00DC4C51"/>
    <w:rsid w:val="00DC7E6F"/>
    <w:rsid w:val="00DD1E81"/>
    <w:rsid w:val="00DD2E5B"/>
    <w:rsid w:val="00DD4528"/>
    <w:rsid w:val="00DD4937"/>
    <w:rsid w:val="00DE44AB"/>
    <w:rsid w:val="00DE7F86"/>
    <w:rsid w:val="00DF0CF8"/>
    <w:rsid w:val="00DF2CF5"/>
    <w:rsid w:val="00E01333"/>
    <w:rsid w:val="00E0410F"/>
    <w:rsid w:val="00E051FC"/>
    <w:rsid w:val="00E05781"/>
    <w:rsid w:val="00E114F2"/>
    <w:rsid w:val="00E11DAF"/>
    <w:rsid w:val="00E1366F"/>
    <w:rsid w:val="00E13C7A"/>
    <w:rsid w:val="00E23C4F"/>
    <w:rsid w:val="00E301AF"/>
    <w:rsid w:val="00E30DB2"/>
    <w:rsid w:val="00E31214"/>
    <w:rsid w:val="00E3416D"/>
    <w:rsid w:val="00E4014A"/>
    <w:rsid w:val="00E44471"/>
    <w:rsid w:val="00E50B43"/>
    <w:rsid w:val="00E546D4"/>
    <w:rsid w:val="00E56249"/>
    <w:rsid w:val="00E60AE9"/>
    <w:rsid w:val="00E62051"/>
    <w:rsid w:val="00E62540"/>
    <w:rsid w:val="00E628E0"/>
    <w:rsid w:val="00E62A80"/>
    <w:rsid w:val="00E63D56"/>
    <w:rsid w:val="00E64471"/>
    <w:rsid w:val="00E66A34"/>
    <w:rsid w:val="00E70C43"/>
    <w:rsid w:val="00E73E54"/>
    <w:rsid w:val="00E74FDD"/>
    <w:rsid w:val="00E764E8"/>
    <w:rsid w:val="00E7664D"/>
    <w:rsid w:val="00E76BF7"/>
    <w:rsid w:val="00E7751C"/>
    <w:rsid w:val="00E812FE"/>
    <w:rsid w:val="00E850C5"/>
    <w:rsid w:val="00E86ABA"/>
    <w:rsid w:val="00E8721D"/>
    <w:rsid w:val="00E91816"/>
    <w:rsid w:val="00E957B2"/>
    <w:rsid w:val="00E96813"/>
    <w:rsid w:val="00EA4A3E"/>
    <w:rsid w:val="00EB5331"/>
    <w:rsid w:val="00EC441A"/>
    <w:rsid w:val="00EC464C"/>
    <w:rsid w:val="00EC606B"/>
    <w:rsid w:val="00EC6CD4"/>
    <w:rsid w:val="00ED04A5"/>
    <w:rsid w:val="00ED14BB"/>
    <w:rsid w:val="00ED1604"/>
    <w:rsid w:val="00ED16C0"/>
    <w:rsid w:val="00ED3709"/>
    <w:rsid w:val="00ED3F3A"/>
    <w:rsid w:val="00ED675A"/>
    <w:rsid w:val="00ED6BA1"/>
    <w:rsid w:val="00EE19E2"/>
    <w:rsid w:val="00EE6188"/>
    <w:rsid w:val="00EE69DF"/>
    <w:rsid w:val="00EE780A"/>
    <w:rsid w:val="00EE7D7C"/>
    <w:rsid w:val="00EF124C"/>
    <w:rsid w:val="00EF203C"/>
    <w:rsid w:val="00EF30DB"/>
    <w:rsid w:val="00EF73DF"/>
    <w:rsid w:val="00EF7704"/>
    <w:rsid w:val="00F1090F"/>
    <w:rsid w:val="00F1216D"/>
    <w:rsid w:val="00F15358"/>
    <w:rsid w:val="00F1660D"/>
    <w:rsid w:val="00F1717B"/>
    <w:rsid w:val="00F20461"/>
    <w:rsid w:val="00F215F9"/>
    <w:rsid w:val="00F23375"/>
    <w:rsid w:val="00F23688"/>
    <w:rsid w:val="00F23C1B"/>
    <w:rsid w:val="00F240C9"/>
    <w:rsid w:val="00F269C5"/>
    <w:rsid w:val="00F27E99"/>
    <w:rsid w:val="00F30A0F"/>
    <w:rsid w:val="00F327E1"/>
    <w:rsid w:val="00F331D1"/>
    <w:rsid w:val="00F336EE"/>
    <w:rsid w:val="00F340B6"/>
    <w:rsid w:val="00F34D76"/>
    <w:rsid w:val="00F35340"/>
    <w:rsid w:val="00F401D1"/>
    <w:rsid w:val="00F4443E"/>
    <w:rsid w:val="00F44CE7"/>
    <w:rsid w:val="00F4522A"/>
    <w:rsid w:val="00F46C9A"/>
    <w:rsid w:val="00F51B01"/>
    <w:rsid w:val="00F52F3D"/>
    <w:rsid w:val="00F542C3"/>
    <w:rsid w:val="00F60056"/>
    <w:rsid w:val="00F620C8"/>
    <w:rsid w:val="00F669DF"/>
    <w:rsid w:val="00F66BFF"/>
    <w:rsid w:val="00F670BC"/>
    <w:rsid w:val="00F67CA4"/>
    <w:rsid w:val="00F737A1"/>
    <w:rsid w:val="00F73C01"/>
    <w:rsid w:val="00F75611"/>
    <w:rsid w:val="00F7673A"/>
    <w:rsid w:val="00F80F6A"/>
    <w:rsid w:val="00F81C8E"/>
    <w:rsid w:val="00F8364F"/>
    <w:rsid w:val="00F83EB4"/>
    <w:rsid w:val="00F84D7E"/>
    <w:rsid w:val="00F909A8"/>
    <w:rsid w:val="00F91067"/>
    <w:rsid w:val="00F9186A"/>
    <w:rsid w:val="00F919F8"/>
    <w:rsid w:val="00F93AE7"/>
    <w:rsid w:val="00F95C7C"/>
    <w:rsid w:val="00FA688A"/>
    <w:rsid w:val="00FA6D5E"/>
    <w:rsid w:val="00FB46B1"/>
    <w:rsid w:val="00FB60EC"/>
    <w:rsid w:val="00FB69E0"/>
    <w:rsid w:val="00FC0AB4"/>
    <w:rsid w:val="00FC4BC0"/>
    <w:rsid w:val="00FC5C0F"/>
    <w:rsid w:val="00FC5C5F"/>
    <w:rsid w:val="00FC65BD"/>
    <w:rsid w:val="00FD265F"/>
    <w:rsid w:val="00FD35D7"/>
    <w:rsid w:val="00FD3C25"/>
    <w:rsid w:val="00FD3E01"/>
    <w:rsid w:val="00FD3F2C"/>
    <w:rsid w:val="00FE28FD"/>
    <w:rsid w:val="00FE6C52"/>
    <w:rsid w:val="00FF011C"/>
    <w:rsid w:val="00FF182C"/>
    <w:rsid w:val="00FF65F4"/>
    <w:rsid w:val="05896B04"/>
    <w:rsid w:val="0E14480C"/>
    <w:rsid w:val="26091E3C"/>
    <w:rsid w:val="289516CB"/>
    <w:rsid w:val="2E9C33FE"/>
    <w:rsid w:val="3FA84B29"/>
    <w:rsid w:val="40AC6D16"/>
    <w:rsid w:val="503E6A42"/>
    <w:rsid w:val="556F490D"/>
    <w:rsid w:val="5A630152"/>
    <w:rsid w:val="5AFD782B"/>
    <w:rsid w:val="5D4C7E2E"/>
    <w:rsid w:val="61CD6BEF"/>
    <w:rsid w:val="7EA1203F"/>
    <w:rsid w:val="7F4C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8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rPr>
      <w:rFonts w:ascii="Tahoma" w:hAnsi="Tahoma" w:cs="Tahoma"/>
      <w:sz w:val="16"/>
    </w:rPr>
  </w:style>
  <w:style w:type="paragraph" w:styleId="a4">
    <w:name w:val="Balloon Text"/>
    <w:basedOn w:val="a"/>
    <w:link w:val="Char0"/>
    <w:uiPriority w:val="99"/>
    <w:semiHidden/>
    <w:unhideWhenUsed/>
    <w:qFormat/>
    <w:rPr>
      <w:rFonts w:ascii="宋体" w:eastAsia="宋体"/>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Normal (Web)"/>
    <w:basedOn w:val="a"/>
    <w:uiPriority w:val="99"/>
    <w:semiHidden/>
    <w:unhideWhenUsed/>
    <w:pPr>
      <w:widowControl/>
      <w:spacing w:before="100" w:beforeAutospacing="1" w:after="100" w:afterAutospacing="1"/>
      <w:jc w:val="left"/>
    </w:pPr>
    <w:rPr>
      <w:rFonts w:ascii="宋体" w:eastAsia="宋体" w:hAnsi="宋体" w:cs="宋体"/>
      <w:kern w:val="0"/>
      <w:sz w:val="24"/>
    </w:rPr>
  </w:style>
  <w:style w:type="paragraph" w:styleId="a9">
    <w:name w:val="annotation subject"/>
    <w:basedOn w:val="a3"/>
    <w:next w:val="a3"/>
    <w:link w:val="Char4"/>
    <w:uiPriority w:val="99"/>
    <w:semiHidden/>
    <w:unhideWhenUsed/>
    <w:rPr>
      <w:b/>
      <w:bCs/>
    </w:rPr>
  </w:style>
  <w:style w:type="table" w:styleId="aa">
    <w:name w:val="Table Grid"/>
    <w:basedOn w:val="a1"/>
    <w:uiPriority w:val="59"/>
    <w:qFormat/>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qFormat/>
    <w:rPr>
      <w:color w:val="0000FF"/>
      <w:u w:val="single"/>
    </w:rPr>
  </w:style>
  <w:style w:type="character" w:styleId="ac">
    <w:name w:val="annotation reference"/>
    <w:basedOn w:val="a0"/>
    <w:uiPriority w:val="99"/>
    <w:semiHidden/>
    <w:unhideWhenUsed/>
    <w:rPr>
      <w:rFonts w:ascii="Tahoma" w:hAnsi="Tahoma" w:cs="Tahoma"/>
      <w:sz w:val="16"/>
      <w:szCs w:val="21"/>
      <w:u w:val="none"/>
    </w:rPr>
  </w:style>
  <w:style w:type="character" w:styleId="ad">
    <w:name w:val="footnote reference"/>
    <w:basedOn w:val="a0"/>
    <w:uiPriority w:val="99"/>
    <w:semiHidden/>
    <w:unhideWhenUsed/>
    <w:qFormat/>
    <w:rPr>
      <w:vertAlign w:val="superscript"/>
    </w:rPr>
  </w:style>
  <w:style w:type="paragraph" w:styleId="ae">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宋体" w:hAnsiTheme="minorHAnsi" w:cstheme="minorBidi"/>
      <w:kern w:val="2"/>
      <w:sz w:val="18"/>
      <w:szCs w:val="18"/>
    </w:rPr>
  </w:style>
  <w:style w:type="character" w:customStyle="1" w:styleId="fontstyle01">
    <w:name w:val="fontstyle01"/>
    <w:basedOn w:val="a0"/>
    <w:qFormat/>
    <w:rPr>
      <w:rFonts w:ascii="AdvPTimesB" w:hAnsi="AdvPTimesB" w:hint="default"/>
      <w:color w:val="000000"/>
      <w:sz w:val="22"/>
      <w:szCs w:val="22"/>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sz w:val="20"/>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rPr>
      <w:rFonts w:ascii="等线" w:eastAsia="等线" w:hAnsi="等线"/>
      <w:sz w:val="20"/>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3">
    <w:name w:val="脚注文本 Char"/>
    <w:basedOn w:val="a0"/>
    <w:link w:val="a7"/>
    <w:uiPriority w:val="99"/>
    <w:semiHidden/>
    <w:qFormat/>
    <w:rPr>
      <w:sz w:val="18"/>
      <w:szCs w:val="18"/>
    </w:rPr>
  </w:style>
  <w:style w:type="character" w:customStyle="1" w:styleId="Char">
    <w:name w:val="批注文字 Char"/>
    <w:basedOn w:val="a0"/>
    <w:link w:val="a3"/>
    <w:uiPriority w:val="99"/>
    <w:semiHidden/>
    <w:rPr>
      <w:rFonts w:ascii="Tahoma" w:eastAsiaTheme="minorEastAsia" w:hAnsi="Tahoma" w:cs="Tahoma"/>
      <w:kern w:val="2"/>
      <w:sz w:val="16"/>
      <w:szCs w:val="24"/>
    </w:rPr>
  </w:style>
  <w:style w:type="character" w:customStyle="1" w:styleId="Char4">
    <w:name w:val="批注主题 Char"/>
    <w:basedOn w:val="Char"/>
    <w:link w:val="a9"/>
    <w:uiPriority w:val="99"/>
    <w:semiHidden/>
    <w:qFormat/>
    <w:rPr>
      <w:rFonts w:ascii="Tahoma" w:eastAsiaTheme="minorEastAsia" w:hAnsi="Tahoma" w:cs="Tahoma"/>
      <w:b/>
      <w:bCs/>
      <w:kern w:val="2"/>
      <w:sz w:val="16"/>
      <w:szCs w:val="24"/>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character" w:customStyle="1" w:styleId="apple-converted-space">
    <w:name w:val="apple-converted-space"/>
    <w:basedOn w:val="a0"/>
  </w:style>
  <w:style w:type="character" w:customStyle="1" w:styleId="highlight">
    <w:name w:val="highlight"/>
    <w:basedOn w:val="a0"/>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3Char">
    <w:name w:val="标题 3 Char"/>
    <w:basedOn w:val="a0"/>
    <w:link w:val="3"/>
    <w:uiPriority w:val="9"/>
    <w:semiHidden/>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Pr>
      <w:rFonts w:asciiTheme="majorHAnsi" w:eastAsiaTheme="majorEastAsia" w:hAnsiTheme="majorHAnsi" w:cstheme="majorBidi"/>
      <w:b/>
      <w:bCs/>
      <w:kern w:val="2"/>
      <w:sz w:val="28"/>
      <w:szCs w:val="28"/>
    </w:rPr>
  </w:style>
  <w:style w:type="character" w:customStyle="1" w:styleId="2Char">
    <w:name w:val="标题 2 Char"/>
    <w:basedOn w:val="a0"/>
    <w:link w:val="2"/>
    <w:uiPriority w:val="9"/>
    <w:semiHidden/>
    <w:rPr>
      <w:rFonts w:asciiTheme="majorHAnsi" w:eastAsiaTheme="majorEastAsia" w:hAnsiTheme="majorHAnsi" w:cstheme="majorBidi"/>
      <w:b/>
      <w:bCs/>
      <w:kern w:val="2"/>
      <w:sz w:val="32"/>
      <w:szCs w:val="32"/>
    </w:rPr>
  </w:style>
  <w:style w:type="paragraph" w:styleId="af">
    <w:name w:val="Title"/>
    <w:basedOn w:val="a"/>
    <w:next w:val="a"/>
    <w:link w:val="Char5"/>
    <w:uiPriority w:val="10"/>
    <w:qFormat/>
    <w:rsid w:val="001F49D0"/>
    <w:pPr>
      <w:widowControl/>
      <w:spacing w:before="240" w:after="60" w:line="276" w:lineRule="auto"/>
      <w:jc w:val="center"/>
      <w:outlineLvl w:val="0"/>
    </w:pPr>
    <w:rPr>
      <w:rFonts w:ascii="Cambria" w:eastAsia="Times New Roman" w:hAnsi="Cambria" w:cs="Times New Roman"/>
      <w:b/>
      <w:bCs/>
      <w:kern w:val="28"/>
      <w:sz w:val="32"/>
      <w:szCs w:val="32"/>
      <w:lang w:val="x-none" w:eastAsia="en-US"/>
    </w:rPr>
  </w:style>
  <w:style w:type="character" w:customStyle="1" w:styleId="af0">
    <w:name w:val="标题 字符"/>
    <w:basedOn w:val="a0"/>
    <w:uiPriority w:val="10"/>
    <w:rsid w:val="001F49D0"/>
    <w:rPr>
      <w:rFonts w:asciiTheme="majorHAnsi" w:eastAsiaTheme="majorEastAsia" w:hAnsiTheme="majorHAnsi" w:cstheme="majorBidi"/>
      <w:b/>
      <w:bCs/>
      <w:kern w:val="2"/>
      <w:sz w:val="32"/>
      <w:szCs w:val="32"/>
    </w:rPr>
  </w:style>
  <w:style w:type="character" w:customStyle="1" w:styleId="Char5">
    <w:name w:val="标题 Char"/>
    <w:link w:val="af"/>
    <w:uiPriority w:val="10"/>
    <w:rsid w:val="001F49D0"/>
    <w:rPr>
      <w:rFonts w:ascii="Cambria" w:eastAsia="Times New Roman" w:hAnsi="Cambria"/>
      <w:b/>
      <w:bCs/>
      <w:kern w:val="28"/>
      <w:sz w:val="32"/>
      <w:szCs w:val="32"/>
      <w:lang w:val="x-none" w:eastAsia="en-US"/>
    </w:rPr>
  </w:style>
  <w:style w:type="paragraph" w:customStyle="1" w:styleId="Pa28">
    <w:name w:val="Pa28"/>
    <w:basedOn w:val="a"/>
    <w:next w:val="a"/>
    <w:uiPriority w:val="99"/>
    <w:rsid w:val="001F49D0"/>
    <w:pPr>
      <w:widowControl/>
      <w:autoSpaceDE w:val="0"/>
      <w:autoSpaceDN w:val="0"/>
      <w:adjustRightInd w:val="0"/>
      <w:spacing w:line="241" w:lineRule="atLeast"/>
      <w:jc w:val="left"/>
    </w:pPr>
    <w:rPr>
      <w:rFonts w:ascii="Times New Roman" w:eastAsia="宋体" w:hAnsi="Times New Roman" w:cs="Times New Roman"/>
      <w:kern w:val="0"/>
      <w:sz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rPr>
      <w:rFonts w:ascii="Tahoma" w:hAnsi="Tahoma" w:cs="Tahoma"/>
      <w:sz w:val="16"/>
    </w:rPr>
  </w:style>
  <w:style w:type="paragraph" w:styleId="a4">
    <w:name w:val="Balloon Text"/>
    <w:basedOn w:val="a"/>
    <w:link w:val="Char0"/>
    <w:uiPriority w:val="99"/>
    <w:semiHidden/>
    <w:unhideWhenUsed/>
    <w:qFormat/>
    <w:rPr>
      <w:rFonts w:ascii="宋体" w:eastAsia="宋体"/>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Normal (Web)"/>
    <w:basedOn w:val="a"/>
    <w:uiPriority w:val="99"/>
    <w:semiHidden/>
    <w:unhideWhenUsed/>
    <w:pPr>
      <w:widowControl/>
      <w:spacing w:before="100" w:beforeAutospacing="1" w:after="100" w:afterAutospacing="1"/>
      <w:jc w:val="left"/>
    </w:pPr>
    <w:rPr>
      <w:rFonts w:ascii="宋体" w:eastAsia="宋体" w:hAnsi="宋体" w:cs="宋体"/>
      <w:kern w:val="0"/>
      <w:sz w:val="24"/>
    </w:rPr>
  </w:style>
  <w:style w:type="paragraph" w:styleId="a9">
    <w:name w:val="annotation subject"/>
    <w:basedOn w:val="a3"/>
    <w:next w:val="a3"/>
    <w:link w:val="Char4"/>
    <w:uiPriority w:val="99"/>
    <w:semiHidden/>
    <w:unhideWhenUsed/>
    <w:rPr>
      <w:b/>
      <w:bCs/>
    </w:rPr>
  </w:style>
  <w:style w:type="table" w:styleId="aa">
    <w:name w:val="Table Grid"/>
    <w:basedOn w:val="a1"/>
    <w:uiPriority w:val="59"/>
    <w:qFormat/>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qFormat/>
    <w:rPr>
      <w:color w:val="0000FF"/>
      <w:u w:val="single"/>
    </w:rPr>
  </w:style>
  <w:style w:type="character" w:styleId="ac">
    <w:name w:val="annotation reference"/>
    <w:basedOn w:val="a0"/>
    <w:uiPriority w:val="99"/>
    <w:semiHidden/>
    <w:unhideWhenUsed/>
    <w:rPr>
      <w:rFonts w:ascii="Tahoma" w:hAnsi="Tahoma" w:cs="Tahoma"/>
      <w:sz w:val="16"/>
      <w:szCs w:val="21"/>
      <w:u w:val="none"/>
    </w:rPr>
  </w:style>
  <w:style w:type="character" w:styleId="ad">
    <w:name w:val="footnote reference"/>
    <w:basedOn w:val="a0"/>
    <w:uiPriority w:val="99"/>
    <w:semiHidden/>
    <w:unhideWhenUsed/>
    <w:qFormat/>
    <w:rPr>
      <w:vertAlign w:val="superscript"/>
    </w:rPr>
  </w:style>
  <w:style w:type="paragraph" w:styleId="ae">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宋体" w:hAnsiTheme="minorHAnsi" w:cstheme="minorBidi"/>
      <w:kern w:val="2"/>
      <w:sz w:val="18"/>
      <w:szCs w:val="18"/>
    </w:rPr>
  </w:style>
  <w:style w:type="character" w:customStyle="1" w:styleId="fontstyle01">
    <w:name w:val="fontstyle01"/>
    <w:basedOn w:val="a0"/>
    <w:qFormat/>
    <w:rPr>
      <w:rFonts w:ascii="AdvPTimesB" w:hAnsi="AdvPTimesB" w:hint="default"/>
      <w:color w:val="000000"/>
      <w:sz w:val="22"/>
      <w:szCs w:val="22"/>
    </w:rPr>
  </w:style>
  <w:style w:type="paragraph" w:customStyle="1" w:styleId="EndNoteBibliographyTitle">
    <w:name w:val="EndNote Bibliography Title"/>
    <w:basedOn w:val="a"/>
    <w:link w:val="EndNoteBibliographyTitle0"/>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sz w:val="20"/>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rPr>
      <w:rFonts w:ascii="等线" w:eastAsia="等线" w:hAnsi="等线"/>
      <w:sz w:val="20"/>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3">
    <w:name w:val="脚注文本 Char"/>
    <w:basedOn w:val="a0"/>
    <w:link w:val="a7"/>
    <w:uiPriority w:val="99"/>
    <w:semiHidden/>
    <w:qFormat/>
    <w:rPr>
      <w:sz w:val="18"/>
      <w:szCs w:val="18"/>
    </w:rPr>
  </w:style>
  <w:style w:type="character" w:customStyle="1" w:styleId="Char">
    <w:name w:val="批注文字 Char"/>
    <w:basedOn w:val="a0"/>
    <w:link w:val="a3"/>
    <w:uiPriority w:val="99"/>
    <w:semiHidden/>
    <w:rPr>
      <w:rFonts w:ascii="Tahoma" w:eastAsiaTheme="minorEastAsia" w:hAnsi="Tahoma" w:cs="Tahoma"/>
      <w:kern w:val="2"/>
      <w:sz w:val="16"/>
      <w:szCs w:val="24"/>
    </w:rPr>
  </w:style>
  <w:style w:type="character" w:customStyle="1" w:styleId="Char4">
    <w:name w:val="批注主题 Char"/>
    <w:basedOn w:val="Char"/>
    <w:link w:val="a9"/>
    <w:uiPriority w:val="99"/>
    <w:semiHidden/>
    <w:qFormat/>
    <w:rPr>
      <w:rFonts w:ascii="Tahoma" w:eastAsiaTheme="minorEastAsia" w:hAnsi="Tahoma" w:cs="Tahoma"/>
      <w:b/>
      <w:bCs/>
      <w:kern w:val="2"/>
      <w:sz w:val="16"/>
      <w:szCs w:val="24"/>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character" w:customStyle="1" w:styleId="apple-converted-space">
    <w:name w:val="apple-converted-space"/>
    <w:basedOn w:val="a0"/>
  </w:style>
  <w:style w:type="character" w:customStyle="1" w:styleId="highlight">
    <w:name w:val="highlight"/>
    <w:basedOn w:val="a0"/>
    <w:qFormat/>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3Char">
    <w:name w:val="标题 3 Char"/>
    <w:basedOn w:val="a0"/>
    <w:link w:val="3"/>
    <w:uiPriority w:val="9"/>
    <w:semiHidden/>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Pr>
      <w:rFonts w:asciiTheme="majorHAnsi" w:eastAsiaTheme="majorEastAsia" w:hAnsiTheme="majorHAnsi" w:cstheme="majorBidi"/>
      <w:b/>
      <w:bCs/>
      <w:kern w:val="2"/>
      <w:sz w:val="28"/>
      <w:szCs w:val="28"/>
    </w:rPr>
  </w:style>
  <w:style w:type="character" w:customStyle="1" w:styleId="2Char">
    <w:name w:val="标题 2 Char"/>
    <w:basedOn w:val="a0"/>
    <w:link w:val="2"/>
    <w:uiPriority w:val="9"/>
    <w:semiHidden/>
    <w:rPr>
      <w:rFonts w:asciiTheme="majorHAnsi" w:eastAsiaTheme="majorEastAsia" w:hAnsiTheme="majorHAnsi" w:cstheme="majorBidi"/>
      <w:b/>
      <w:bCs/>
      <w:kern w:val="2"/>
      <w:sz w:val="32"/>
      <w:szCs w:val="32"/>
    </w:rPr>
  </w:style>
  <w:style w:type="paragraph" w:styleId="af">
    <w:name w:val="Title"/>
    <w:basedOn w:val="a"/>
    <w:next w:val="a"/>
    <w:link w:val="Char5"/>
    <w:uiPriority w:val="10"/>
    <w:qFormat/>
    <w:rsid w:val="001F49D0"/>
    <w:pPr>
      <w:widowControl/>
      <w:spacing w:before="240" w:after="60" w:line="276" w:lineRule="auto"/>
      <w:jc w:val="center"/>
      <w:outlineLvl w:val="0"/>
    </w:pPr>
    <w:rPr>
      <w:rFonts w:ascii="Cambria" w:eastAsia="Times New Roman" w:hAnsi="Cambria" w:cs="Times New Roman"/>
      <w:b/>
      <w:bCs/>
      <w:kern w:val="28"/>
      <w:sz w:val="32"/>
      <w:szCs w:val="32"/>
      <w:lang w:val="x-none" w:eastAsia="en-US"/>
    </w:rPr>
  </w:style>
  <w:style w:type="character" w:customStyle="1" w:styleId="af0">
    <w:name w:val="标题 字符"/>
    <w:basedOn w:val="a0"/>
    <w:uiPriority w:val="10"/>
    <w:rsid w:val="001F49D0"/>
    <w:rPr>
      <w:rFonts w:asciiTheme="majorHAnsi" w:eastAsiaTheme="majorEastAsia" w:hAnsiTheme="majorHAnsi" w:cstheme="majorBidi"/>
      <w:b/>
      <w:bCs/>
      <w:kern w:val="2"/>
      <w:sz w:val="32"/>
      <w:szCs w:val="32"/>
    </w:rPr>
  </w:style>
  <w:style w:type="character" w:customStyle="1" w:styleId="Char5">
    <w:name w:val="标题 Char"/>
    <w:link w:val="af"/>
    <w:uiPriority w:val="10"/>
    <w:rsid w:val="001F49D0"/>
    <w:rPr>
      <w:rFonts w:ascii="Cambria" w:eastAsia="Times New Roman" w:hAnsi="Cambria"/>
      <w:b/>
      <w:bCs/>
      <w:kern w:val="28"/>
      <w:sz w:val="32"/>
      <w:szCs w:val="32"/>
      <w:lang w:val="x-none" w:eastAsia="en-US"/>
    </w:rPr>
  </w:style>
  <w:style w:type="paragraph" w:customStyle="1" w:styleId="Pa28">
    <w:name w:val="Pa28"/>
    <w:basedOn w:val="a"/>
    <w:next w:val="a"/>
    <w:uiPriority w:val="99"/>
    <w:rsid w:val="001F49D0"/>
    <w:pPr>
      <w:widowControl/>
      <w:autoSpaceDE w:val="0"/>
      <w:autoSpaceDN w:val="0"/>
      <w:adjustRightInd w:val="0"/>
      <w:spacing w:line="241" w:lineRule="atLeast"/>
      <w:jc w:val="left"/>
    </w:pPr>
    <w:rPr>
      <w:rFonts w:ascii="Times New Roman" w:eastAsia="宋体" w:hAnsi="Times New Roman" w:cs="Times New Roman"/>
      <w:kern w:val="0"/>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uym@sd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059730-DDC4-41C4-8456-2E5FD131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7092</Words>
  <Characters>40425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Zhenxiang</dc:creator>
  <cp:lastModifiedBy>Jin-Lei Wang</cp:lastModifiedBy>
  <cp:revision>5</cp:revision>
  <cp:lastPrinted>2019-10-08T12:22:00Z</cp:lastPrinted>
  <dcterms:created xsi:type="dcterms:W3CDTF">2020-05-26T09:57:00Z</dcterms:created>
  <dcterms:modified xsi:type="dcterms:W3CDTF">2020-06-01T09:38:00Z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UseTimer">
    <vt:bool>false</vt:bool>
  </property>
  <property fmtid="{D5CDD505-2E9C-101B-9397-08002B2CF9AE}" pid="4" name="LastTick">
    <vt:r8>43792.7312268519</vt:r8>
  </property>
</Properties>
</file>