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835" w:rsidRPr="009B04A5" w:rsidRDefault="00F11835" w:rsidP="00C709AE">
      <w:pPr>
        <w:adjustRightInd w:val="0"/>
        <w:snapToGrid w:val="0"/>
        <w:spacing w:line="360" w:lineRule="auto"/>
        <w:ind w:firstLine="0"/>
        <w:rPr>
          <w:rFonts w:ascii="Book Antiqua" w:hAnsi="Book Antiqua"/>
        </w:rPr>
      </w:pPr>
      <w:bookmarkStart w:id="0" w:name="_Hlk30975579"/>
      <w:bookmarkStart w:id="1" w:name="_GoBack"/>
      <w:bookmarkEnd w:id="1"/>
      <w:r w:rsidRPr="009B04A5">
        <w:rPr>
          <w:rFonts w:ascii="Book Antiqua" w:hAnsi="Book Antiqua"/>
          <w:b/>
          <w:bCs/>
        </w:rPr>
        <w:t>Name of Journal:</w:t>
      </w:r>
      <w:r w:rsidRPr="009B04A5">
        <w:rPr>
          <w:rFonts w:ascii="Book Antiqua" w:hAnsi="Book Antiqua"/>
          <w:bCs/>
        </w:rPr>
        <w:t xml:space="preserve"> </w:t>
      </w:r>
      <w:r w:rsidRPr="009B04A5">
        <w:rPr>
          <w:rFonts w:ascii="Book Antiqua" w:hAnsi="Book Antiqua"/>
          <w:i/>
          <w:iCs/>
        </w:rPr>
        <w:t>World Journal of Clinical Oncology</w:t>
      </w:r>
    </w:p>
    <w:p w:rsidR="00002742" w:rsidRPr="009B04A5" w:rsidRDefault="00F11835" w:rsidP="00C709AE">
      <w:pPr>
        <w:adjustRightInd w:val="0"/>
        <w:snapToGrid w:val="0"/>
        <w:spacing w:line="360" w:lineRule="auto"/>
        <w:ind w:firstLine="0"/>
        <w:rPr>
          <w:rFonts w:ascii="Book Antiqua" w:hAnsi="Book Antiqua"/>
        </w:rPr>
      </w:pPr>
      <w:r w:rsidRPr="009B04A5">
        <w:rPr>
          <w:rFonts w:ascii="Book Antiqua" w:hAnsi="Book Antiqua"/>
          <w:b/>
          <w:bCs/>
        </w:rPr>
        <w:t xml:space="preserve">Manuscript </w:t>
      </w:r>
      <w:r w:rsidR="00002742" w:rsidRPr="009B04A5">
        <w:rPr>
          <w:rFonts w:ascii="Book Antiqua" w:hAnsi="Book Antiqua"/>
          <w:b/>
          <w:bCs/>
        </w:rPr>
        <w:t>NO:</w:t>
      </w:r>
      <w:r w:rsidR="00002742" w:rsidRPr="009B04A5">
        <w:rPr>
          <w:rFonts w:ascii="Book Antiqua" w:hAnsi="Book Antiqua"/>
          <w:bCs/>
        </w:rPr>
        <w:t xml:space="preserve"> 54438</w:t>
      </w:r>
      <w:r w:rsidR="00002742" w:rsidRPr="009B04A5" w:rsidDel="00002742">
        <w:rPr>
          <w:rFonts w:ascii="Book Antiqua" w:hAnsi="Book Antiqua"/>
          <w:bCs/>
        </w:rPr>
        <w:t xml:space="preserve"> </w:t>
      </w:r>
    </w:p>
    <w:p w:rsidR="00F11835" w:rsidRPr="009B04A5" w:rsidRDefault="00F11835" w:rsidP="00C709AE">
      <w:pPr>
        <w:adjustRightInd w:val="0"/>
        <w:snapToGrid w:val="0"/>
        <w:spacing w:line="360" w:lineRule="auto"/>
        <w:ind w:firstLine="0"/>
        <w:rPr>
          <w:rFonts w:ascii="Book Antiqua" w:hAnsi="Book Antiqua"/>
        </w:rPr>
      </w:pPr>
      <w:r w:rsidRPr="009B04A5">
        <w:rPr>
          <w:rFonts w:ascii="Book Antiqua" w:hAnsi="Book Antiqua"/>
          <w:b/>
        </w:rPr>
        <w:t>Manuscript Type:</w:t>
      </w:r>
      <w:r w:rsidRPr="009B04A5">
        <w:rPr>
          <w:rFonts w:ascii="Book Antiqua" w:hAnsi="Book Antiqua"/>
        </w:rPr>
        <w:t xml:space="preserve"> </w:t>
      </w:r>
      <w:r w:rsidR="000C6B11" w:rsidRPr="009B04A5">
        <w:rPr>
          <w:rFonts w:ascii="Book Antiqua" w:hAnsi="Book Antiqua"/>
        </w:rPr>
        <w:t>REVIEW</w:t>
      </w:r>
    </w:p>
    <w:p w:rsidR="00271511" w:rsidRPr="009B04A5" w:rsidRDefault="00271511" w:rsidP="00C709AE">
      <w:pPr>
        <w:adjustRightInd w:val="0"/>
        <w:snapToGrid w:val="0"/>
        <w:spacing w:line="360" w:lineRule="auto"/>
        <w:ind w:firstLine="0"/>
        <w:rPr>
          <w:rFonts w:ascii="Book Antiqua" w:hAnsi="Book Antiqua"/>
        </w:rPr>
      </w:pPr>
    </w:p>
    <w:p w:rsidR="00F11835" w:rsidRPr="009B04A5" w:rsidRDefault="00F11835" w:rsidP="00C709AE">
      <w:pPr>
        <w:adjustRightInd w:val="0"/>
        <w:snapToGrid w:val="0"/>
        <w:spacing w:line="360" w:lineRule="auto"/>
        <w:ind w:firstLine="0"/>
        <w:rPr>
          <w:rFonts w:ascii="Book Antiqua" w:hAnsi="Book Antiqua"/>
          <w:b/>
        </w:rPr>
      </w:pPr>
      <w:r w:rsidRPr="009B04A5">
        <w:rPr>
          <w:rFonts w:ascii="Book Antiqua" w:hAnsi="Book Antiqua"/>
          <w:b/>
        </w:rPr>
        <w:t>Role of mi</w:t>
      </w:r>
      <w:r w:rsidR="00D043D3" w:rsidRPr="009B04A5">
        <w:rPr>
          <w:rFonts w:ascii="Book Antiqua" w:hAnsi="Book Antiqua"/>
          <w:b/>
        </w:rPr>
        <w:t>cro</w:t>
      </w:r>
      <w:r w:rsidRPr="009B04A5">
        <w:rPr>
          <w:rFonts w:ascii="Book Antiqua" w:hAnsi="Book Antiqua"/>
          <w:b/>
        </w:rPr>
        <w:t>RNA dysregulation in childhood acute leukemias: diagnostics, monitoring and therapeutics</w:t>
      </w:r>
      <w:r w:rsidR="004967A5" w:rsidRPr="009B04A5">
        <w:rPr>
          <w:rFonts w:ascii="Book Antiqua" w:hAnsi="Book Antiqua"/>
          <w:b/>
        </w:rPr>
        <w:t>:</w:t>
      </w:r>
      <w:r w:rsidRPr="009B04A5">
        <w:rPr>
          <w:rFonts w:ascii="Book Antiqua" w:hAnsi="Book Antiqua"/>
          <w:b/>
        </w:rPr>
        <w:t xml:space="preserve"> A comprehensive review</w:t>
      </w:r>
    </w:p>
    <w:p w:rsidR="000C6B11" w:rsidRPr="009B04A5" w:rsidRDefault="000C6B11" w:rsidP="00C709AE">
      <w:pPr>
        <w:adjustRightInd w:val="0"/>
        <w:snapToGrid w:val="0"/>
        <w:spacing w:line="360" w:lineRule="auto"/>
        <w:ind w:firstLine="0"/>
        <w:rPr>
          <w:rFonts w:ascii="Book Antiqua" w:hAnsi="Book Antiqua"/>
          <w:b/>
        </w:rPr>
      </w:pPr>
    </w:p>
    <w:p w:rsidR="00BD5CF2" w:rsidRPr="009B04A5" w:rsidRDefault="000C6B11" w:rsidP="00C709AE">
      <w:pPr>
        <w:adjustRightInd w:val="0"/>
        <w:snapToGrid w:val="0"/>
        <w:spacing w:line="360" w:lineRule="auto"/>
        <w:ind w:firstLine="0"/>
        <w:rPr>
          <w:rFonts w:ascii="Book Antiqua" w:hAnsi="Book Antiqua"/>
        </w:rPr>
      </w:pPr>
      <w:r w:rsidRPr="009B04A5">
        <w:rPr>
          <w:rFonts w:ascii="Book Antiqua" w:hAnsi="Book Antiqua"/>
        </w:rPr>
        <w:t>Szczepanek J.</w:t>
      </w:r>
      <w:r w:rsidR="00BD5CF2" w:rsidRPr="009B04A5">
        <w:rPr>
          <w:rFonts w:ascii="Book Antiqua" w:hAnsi="Book Antiqua"/>
          <w:b/>
        </w:rPr>
        <w:t xml:space="preserve"> </w:t>
      </w:r>
      <w:r w:rsidR="00D043D3" w:rsidRPr="009B04A5">
        <w:rPr>
          <w:rFonts w:ascii="Book Antiqua" w:hAnsi="Book Antiqua"/>
        </w:rPr>
        <w:t>m</w:t>
      </w:r>
      <w:r w:rsidR="00BD5CF2" w:rsidRPr="009B04A5">
        <w:rPr>
          <w:rFonts w:ascii="Book Antiqua" w:hAnsi="Book Antiqua"/>
        </w:rPr>
        <w:t xml:space="preserve">iRNA as a biomarker in pediatric </w:t>
      </w:r>
      <w:r w:rsidRPr="009B04A5">
        <w:rPr>
          <w:rFonts w:ascii="Book Antiqua" w:hAnsi="Book Antiqua"/>
        </w:rPr>
        <w:t>AL</w:t>
      </w:r>
    </w:p>
    <w:p w:rsidR="000C6B11" w:rsidRPr="009B04A5" w:rsidRDefault="000C6B11" w:rsidP="00C709AE">
      <w:pPr>
        <w:adjustRightInd w:val="0"/>
        <w:snapToGrid w:val="0"/>
        <w:spacing w:line="360" w:lineRule="auto"/>
        <w:ind w:firstLine="0"/>
        <w:rPr>
          <w:rFonts w:ascii="Book Antiqua" w:hAnsi="Book Antiqua"/>
        </w:rPr>
      </w:pPr>
    </w:p>
    <w:p w:rsidR="00271511" w:rsidRPr="009B04A5" w:rsidRDefault="008F277C" w:rsidP="00C709AE">
      <w:pPr>
        <w:adjustRightInd w:val="0"/>
        <w:snapToGrid w:val="0"/>
        <w:spacing w:line="360" w:lineRule="auto"/>
        <w:ind w:firstLine="0"/>
        <w:rPr>
          <w:rFonts w:ascii="Book Antiqua" w:hAnsi="Book Antiqua"/>
        </w:rPr>
      </w:pPr>
      <w:r w:rsidRPr="009B04A5">
        <w:rPr>
          <w:rFonts w:ascii="Book Antiqua" w:hAnsi="Book Antiqua"/>
        </w:rPr>
        <w:t>Joanna Szczepanek</w:t>
      </w:r>
    </w:p>
    <w:p w:rsidR="008F277C" w:rsidRPr="009B04A5" w:rsidRDefault="008F277C" w:rsidP="00C709AE">
      <w:pPr>
        <w:adjustRightInd w:val="0"/>
        <w:snapToGrid w:val="0"/>
        <w:spacing w:line="360" w:lineRule="auto"/>
        <w:ind w:firstLine="0"/>
        <w:rPr>
          <w:rFonts w:ascii="Book Antiqua" w:hAnsi="Book Antiqua"/>
        </w:rPr>
      </w:pPr>
    </w:p>
    <w:p w:rsidR="00F11835" w:rsidRPr="009B04A5" w:rsidRDefault="00660817" w:rsidP="00C709AE">
      <w:pPr>
        <w:adjustRightInd w:val="0"/>
        <w:snapToGrid w:val="0"/>
        <w:spacing w:line="360" w:lineRule="auto"/>
        <w:ind w:firstLine="0"/>
        <w:rPr>
          <w:rFonts w:ascii="Book Antiqua" w:hAnsi="Book Antiqua"/>
        </w:rPr>
      </w:pPr>
      <w:r w:rsidRPr="009B04A5">
        <w:rPr>
          <w:rFonts w:ascii="Book Antiqua" w:hAnsi="Book Antiqua"/>
          <w:b/>
          <w:bCs/>
        </w:rPr>
        <w:t xml:space="preserve">Joanna </w:t>
      </w:r>
      <w:r w:rsidR="0082588D" w:rsidRPr="009B04A5">
        <w:rPr>
          <w:rFonts w:ascii="Book Antiqua" w:hAnsi="Book Antiqua"/>
          <w:b/>
          <w:bCs/>
        </w:rPr>
        <w:t>Szczepanek,</w:t>
      </w:r>
      <w:r w:rsidR="0082588D" w:rsidRPr="009B04A5">
        <w:rPr>
          <w:rFonts w:ascii="Book Antiqua" w:hAnsi="Book Antiqua"/>
        </w:rPr>
        <w:t xml:space="preserve"> Centre for Modern Interdisciplinary Technologies, Nicolaus Copernicus University, Toruń 87100, Poland</w:t>
      </w:r>
    </w:p>
    <w:p w:rsidR="003D6C4A" w:rsidRPr="009B04A5" w:rsidRDefault="003D6C4A" w:rsidP="00C709AE">
      <w:pPr>
        <w:adjustRightInd w:val="0"/>
        <w:snapToGrid w:val="0"/>
        <w:spacing w:line="360" w:lineRule="auto"/>
        <w:ind w:firstLine="0"/>
        <w:rPr>
          <w:rFonts w:ascii="Book Antiqua" w:hAnsi="Book Antiqua"/>
        </w:rPr>
      </w:pPr>
    </w:p>
    <w:p w:rsidR="00F11835" w:rsidRPr="009B04A5" w:rsidRDefault="00D043D3" w:rsidP="00C709AE">
      <w:pPr>
        <w:adjustRightInd w:val="0"/>
        <w:snapToGrid w:val="0"/>
        <w:spacing w:line="360" w:lineRule="auto"/>
        <w:ind w:firstLine="0"/>
        <w:rPr>
          <w:rFonts w:ascii="Book Antiqua" w:hAnsi="Book Antiqua"/>
        </w:rPr>
      </w:pPr>
      <w:r w:rsidRPr="009B04A5">
        <w:rPr>
          <w:rFonts w:ascii="Book Antiqua" w:hAnsi="Book Antiqua"/>
          <w:b/>
        </w:rPr>
        <w:t>Author contributions:</w:t>
      </w:r>
      <w:r w:rsidRPr="009B04A5">
        <w:rPr>
          <w:rFonts w:ascii="Book Antiqua" w:eastAsia="宋体" w:hAnsi="Book Antiqua"/>
          <w:b/>
          <w:lang w:eastAsia="zh-CN"/>
        </w:rPr>
        <w:t xml:space="preserve"> </w:t>
      </w:r>
      <w:r w:rsidR="00271511" w:rsidRPr="009B04A5">
        <w:rPr>
          <w:rFonts w:ascii="Book Antiqua" w:hAnsi="Book Antiqua"/>
        </w:rPr>
        <w:t xml:space="preserve">Szczepanek J </w:t>
      </w:r>
      <w:r w:rsidR="0082588D" w:rsidRPr="009B04A5">
        <w:rPr>
          <w:rStyle w:val="tlid-translation"/>
          <w:rFonts w:ascii="Book Antiqua" w:hAnsi="Book Antiqua"/>
        </w:rPr>
        <w:t>conducted an analysis of literature data</w:t>
      </w:r>
      <w:r w:rsidR="00AE37C0" w:rsidRPr="009B04A5">
        <w:rPr>
          <w:rStyle w:val="tlid-translation"/>
          <w:rFonts w:ascii="Book Antiqua" w:hAnsi="Book Antiqua"/>
        </w:rPr>
        <w:t xml:space="preserve"> and</w:t>
      </w:r>
      <w:r w:rsidR="0082588D" w:rsidRPr="009B04A5">
        <w:rPr>
          <w:rStyle w:val="tlid-translation"/>
          <w:rFonts w:ascii="Book Antiqua" w:hAnsi="Book Antiqua"/>
        </w:rPr>
        <w:t xml:space="preserve"> </w:t>
      </w:r>
      <w:r w:rsidR="00F11835" w:rsidRPr="009B04A5">
        <w:rPr>
          <w:rFonts w:ascii="Book Antiqua" w:hAnsi="Book Antiqua"/>
        </w:rPr>
        <w:t>wrote and revised the paper</w:t>
      </w:r>
      <w:r w:rsidR="00AE37C0" w:rsidRPr="009B04A5">
        <w:rPr>
          <w:rFonts w:ascii="Book Antiqua" w:hAnsi="Book Antiqua"/>
        </w:rPr>
        <w:t>.</w:t>
      </w:r>
    </w:p>
    <w:p w:rsidR="00F11835" w:rsidRPr="009B04A5" w:rsidRDefault="00F11835" w:rsidP="00C709AE">
      <w:pPr>
        <w:adjustRightInd w:val="0"/>
        <w:snapToGrid w:val="0"/>
        <w:spacing w:line="360" w:lineRule="auto"/>
        <w:ind w:firstLine="0"/>
        <w:rPr>
          <w:rFonts w:ascii="Book Antiqua" w:hAnsi="Book Antiqua"/>
        </w:rPr>
      </w:pPr>
    </w:p>
    <w:p w:rsidR="00E01286" w:rsidRPr="009B04A5" w:rsidRDefault="00D043D3" w:rsidP="00C709AE">
      <w:pPr>
        <w:adjustRightInd w:val="0"/>
        <w:snapToGrid w:val="0"/>
        <w:spacing w:line="360" w:lineRule="auto"/>
        <w:ind w:firstLine="0"/>
        <w:rPr>
          <w:rFonts w:ascii="Book Antiqua" w:hAnsi="Book Antiqua"/>
        </w:rPr>
      </w:pPr>
      <w:r w:rsidRPr="009B04A5">
        <w:rPr>
          <w:rFonts w:ascii="Book Antiqua" w:hAnsi="Book Antiqua"/>
          <w:b/>
        </w:rPr>
        <w:t>Corresponding author:</w:t>
      </w:r>
      <w:r w:rsidRPr="009B04A5">
        <w:rPr>
          <w:rFonts w:ascii="Book Antiqua" w:eastAsia="宋体" w:hAnsi="Book Antiqua" w:cs="Arial"/>
          <w:b/>
          <w:bCs/>
          <w:lang w:eastAsia="zh-CN"/>
        </w:rPr>
        <w:t xml:space="preserve"> </w:t>
      </w:r>
      <w:r w:rsidR="00660817" w:rsidRPr="009B04A5">
        <w:rPr>
          <w:rFonts w:ascii="Book Antiqua" w:hAnsi="Book Antiqua"/>
          <w:b/>
          <w:bCs/>
        </w:rPr>
        <w:t xml:space="preserve">Joanna </w:t>
      </w:r>
      <w:r w:rsidR="00E01286" w:rsidRPr="009B04A5">
        <w:rPr>
          <w:rFonts w:ascii="Book Antiqua" w:hAnsi="Book Antiqua"/>
          <w:b/>
          <w:bCs/>
        </w:rPr>
        <w:t>Szczepanek,</w:t>
      </w:r>
      <w:r w:rsidR="00660817" w:rsidRPr="009B04A5">
        <w:rPr>
          <w:rFonts w:ascii="Book Antiqua" w:hAnsi="Book Antiqua"/>
        </w:rPr>
        <w:t xml:space="preserve"> </w:t>
      </w:r>
      <w:r w:rsidR="00660817" w:rsidRPr="009B04A5">
        <w:rPr>
          <w:rFonts w:ascii="Book Antiqua" w:hAnsi="Book Antiqua"/>
          <w:b/>
          <w:bCs/>
        </w:rPr>
        <w:t>PhD, Associate Research Scientist,</w:t>
      </w:r>
      <w:r w:rsidR="00E01286" w:rsidRPr="009B04A5">
        <w:rPr>
          <w:rFonts w:ascii="Book Antiqua" w:hAnsi="Book Antiqua"/>
          <w:b/>
          <w:bCs/>
        </w:rPr>
        <w:t xml:space="preserve"> </w:t>
      </w:r>
      <w:r w:rsidR="00E01286" w:rsidRPr="009B04A5">
        <w:rPr>
          <w:rFonts w:ascii="Book Antiqua" w:hAnsi="Book Antiqua"/>
        </w:rPr>
        <w:t xml:space="preserve">Centre for Modern Interdisciplinary Technology, Nicholas Copernicus University, </w:t>
      </w:r>
      <w:r w:rsidR="00660817" w:rsidRPr="009B04A5">
        <w:rPr>
          <w:rFonts w:ascii="Book Antiqua" w:hAnsi="Book Antiqua"/>
        </w:rPr>
        <w:t>Wileńska 4</w:t>
      </w:r>
      <w:r w:rsidR="00AE37C0" w:rsidRPr="009B04A5">
        <w:rPr>
          <w:rFonts w:ascii="Book Antiqua" w:hAnsi="Book Antiqua"/>
        </w:rPr>
        <w:t>,</w:t>
      </w:r>
      <w:r w:rsidR="00E01286" w:rsidRPr="009B04A5">
        <w:rPr>
          <w:rFonts w:ascii="Book Antiqua" w:hAnsi="Book Antiqua"/>
        </w:rPr>
        <w:t xml:space="preserve"> Toruń 87100, Poland</w:t>
      </w:r>
      <w:r w:rsidR="000C6B11" w:rsidRPr="009B04A5">
        <w:rPr>
          <w:rFonts w:ascii="Book Antiqua" w:hAnsi="Book Antiqua"/>
        </w:rPr>
        <w:t>.</w:t>
      </w:r>
      <w:r w:rsidR="00E01286" w:rsidRPr="009B04A5">
        <w:rPr>
          <w:rFonts w:ascii="Book Antiqua" w:hAnsi="Book Antiqua"/>
        </w:rPr>
        <w:t xml:space="preserve"> </w:t>
      </w:r>
      <w:r w:rsidR="00C80BB6" w:rsidRPr="0085420B">
        <w:rPr>
          <w:rFonts w:ascii="Book Antiqua" w:hAnsi="Book Antiqua"/>
        </w:rPr>
        <w:t>szczepanekj@umk.pl</w:t>
      </w:r>
    </w:p>
    <w:p w:rsidR="00C80BB6" w:rsidRPr="009B04A5" w:rsidRDefault="00C80BB6" w:rsidP="00C709AE">
      <w:pPr>
        <w:adjustRightInd w:val="0"/>
        <w:snapToGrid w:val="0"/>
        <w:spacing w:line="360" w:lineRule="auto"/>
        <w:ind w:firstLine="0"/>
        <w:rPr>
          <w:rFonts w:ascii="Book Antiqua" w:hAnsi="Book Antiqua"/>
        </w:rPr>
      </w:pPr>
    </w:p>
    <w:p w:rsidR="00D043D3" w:rsidRPr="009B04A5" w:rsidRDefault="00D043D3" w:rsidP="00C709AE">
      <w:pPr>
        <w:adjustRightInd w:val="0"/>
        <w:snapToGrid w:val="0"/>
        <w:spacing w:line="360" w:lineRule="auto"/>
        <w:ind w:firstLine="0"/>
        <w:rPr>
          <w:rFonts w:ascii="Book Antiqua" w:hAnsi="Book Antiqua"/>
          <w:b/>
        </w:rPr>
      </w:pPr>
      <w:r w:rsidRPr="009B04A5">
        <w:rPr>
          <w:rFonts w:ascii="Book Antiqua" w:hAnsi="Book Antiqua"/>
          <w:b/>
        </w:rPr>
        <w:t>Received:</w:t>
      </w:r>
      <w:r w:rsidRPr="009B04A5">
        <w:rPr>
          <w:rFonts w:ascii="Book Antiqua" w:eastAsia="宋体" w:hAnsi="Book Antiqua"/>
          <w:b/>
          <w:lang w:eastAsia="zh-CN"/>
        </w:rPr>
        <w:t xml:space="preserve"> </w:t>
      </w:r>
      <w:r w:rsidRPr="009B04A5">
        <w:rPr>
          <w:rFonts w:ascii="Book Antiqua" w:hAnsi="Book Antiqua"/>
          <w:bCs/>
        </w:rPr>
        <w:t>January 31, 2020</w:t>
      </w:r>
    </w:p>
    <w:p w:rsidR="00D043D3" w:rsidRPr="009B04A5" w:rsidRDefault="00D043D3" w:rsidP="00C709AE">
      <w:pPr>
        <w:adjustRightInd w:val="0"/>
        <w:snapToGrid w:val="0"/>
        <w:spacing w:line="360" w:lineRule="auto"/>
        <w:ind w:firstLine="0"/>
        <w:rPr>
          <w:rFonts w:ascii="Book Antiqua" w:eastAsia="宋体" w:hAnsi="Book Antiqua"/>
          <w:b/>
          <w:lang w:eastAsia="zh-CN"/>
        </w:rPr>
      </w:pPr>
      <w:r w:rsidRPr="009B04A5">
        <w:rPr>
          <w:rFonts w:ascii="Book Antiqua" w:hAnsi="Book Antiqua"/>
          <w:b/>
        </w:rPr>
        <w:t xml:space="preserve">Revised: </w:t>
      </w:r>
      <w:r w:rsidRPr="009B04A5">
        <w:rPr>
          <w:rFonts w:ascii="Book Antiqua" w:hAnsi="Book Antiqua"/>
          <w:bCs/>
        </w:rPr>
        <w:t>May 18, 2020</w:t>
      </w:r>
    </w:p>
    <w:p w:rsidR="00D043D3" w:rsidRPr="009B04A5" w:rsidRDefault="00D043D3" w:rsidP="00C709AE">
      <w:pPr>
        <w:adjustRightInd w:val="0"/>
        <w:snapToGrid w:val="0"/>
        <w:spacing w:line="360" w:lineRule="auto"/>
        <w:ind w:firstLine="0"/>
        <w:rPr>
          <w:rFonts w:ascii="Book Antiqua" w:hAnsi="Book Antiqua"/>
        </w:rPr>
      </w:pPr>
      <w:r w:rsidRPr="009B04A5">
        <w:rPr>
          <w:rFonts w:ascii="Book Antiqua" w:hAnsi="Book Antiqua"/>
          <w:b/>
        </w:rPr>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Pr="009B04A5">
        <w:rPr>
          <w:rFonts w:ascii="Book Antiqua" w:hAnsi="Book Antiqua"/>
        </w:rPr>
        <w:t xml:space="preserve"> </w:t>
      </w:r>
      <w:bookmarkEnd w:id="2"/>
      <w:bookmarkEnd w:id="3"/>
      <w:bookmarkEnd w:id="4"/>
      <w:bookmarkEnd w:id="5"/>
      <w:bookmarkEnd w:id="6"/>
      <w:bookmarkEnd w:id="7"/>
      <w:bookmarkEnd w:id="8"/>
      <w:r w:rsidR="001F769A" w:rsidRPr="009B04A5">
        <w:rPr>
          <w:rFonts w:ascii="Book Antiqua" w:hAnsi="Book Antiqua"/>
        </w:rPr>
        <w:t>May 21, 2020</w:t>
      </w:r>
    </w:p>
    <w:p w:rsidR="00D043D3" w:rsidRPr="009B04A5" w:rsidRDefault="00D043D3" w:rsidP="00C709AE">
      <w:pPr>
        <w:adjustRightInd w:val="0"/>
        <w:snapToGrid w:val="0"/>
        <w:spacing w:line="360" w:lineRule="auto"/>
        <w:ind w:firstLine="0"/>
        <w:rPr>
          <w:rFonts w:ascii="Book Antiqua" w:hAnsi="Book Antiqua" w:hint="eastAsia"/>
          <w:b/>
          <w:lang w:eastAsia="zh-CN"/>
        </w:rPr>
      </w:pPr>
      <w:r w:rsidRPr="009B04A5">
        <w:rPr>
          <w:rFonts w:ascii="Book Antiqua" w:hAnsi="Book Antiqua"/>
          <w:b/>
        </w:rPr>
        <w:t xml:space="preserve">Published online: </w:t>
      </w:r>
      <w:r w:rsidR="000A052A" w:rsidRPr="000A052A">
        <w:rPr>
          <w:rFonts w:ascii="Book Antiqua" w:hAnsi="Book Antiqua" w:hint="eastAsia"/>
          <w:lang w:eastAsia="zh-CN"/>
        </w:rPr>
        <w:t>June 24, 2020</w:t>
      </w:r>
    </w:p>
    <w:p w:rsidR="00B50FCE" w:rsidRPr="009B04A5" w:rsidRDefault="00B50FCE" w:rsidP="00C709AE">
      <w:pPr>
        <w:adjustRightInd w:val="0"/>
        <w:snapToGrid w:val="0"/>
        <w:spacing w:line="360" w:lineRule="auto"/>
        <w:ind w:firstLine="0"/>
        <w:rPr>
          <w:rFonts w:ascii="Book Antiqua" w:hAnsi="Book Antiqua"/>
          <w:b/>
        </w:rPr>
      </w:pPr>
      <w:r w:rsidRPr="009B04A5">
        <w:rPr>
          <w:rFonts w:ascii="Book Antiqua" w:hAnsi="Book Antiqua"/>
          <w:b/>
        </w:rPr>
        <w:br w:type="page"/>
      </w:r>
      <w:r w:rsidR="00F9124F" w:rsidRPr="009B04A5">
        <w:rPr>
          <w:rFonts w:ascii="Book Antiqua" w:hAnsi="Book Antiqua"/>
          <w:b/>
        </w:rPr>
        <w:lastRenderedPageBreak/>
        <w:t>Abstract</w:t>
      </w:r>
    </w:p>
    <w:p w:rsidR="00EF53E7" w:rsidRPr="009B04A5" w:rsidRDefault="008349BE" w:rsidP="00C709AE">
      <w:pPr>
        <w:adjustRightInd w:val="0"/>
        <w:snapToGrid w:val="0"/>
        <w:spacing w:line="360" w:lineRule="auto"/>
        <w:ind w:firstLine="0"/>
        <w:rPr>
          <w:rFonts w:ascii="Book Antiqua" w:hAnsi="Book Antiqua"/>
        </w:rPr>
      </w:pPr>
      <w:r w:rsidRPr="009B04A5">
        <w:rPr>
          <w:rFonts w:ascii="Book Antiqua" w:hAnsi="Book Antiqua"/>
        </w:rPr>
        <w:t>MicroRNAs</w:t>
      </w:r>
      <w:r w:rsidR="000C6B11" w:rsidRPr="009B04A5">
        <w:rPr>
          <w:rFonts w:ascii="Book Antiqua" w:hAnsi="Book Antiqua"/>
        </w:rPr>
        <w:t xml:space="preserve"> (miRNAs)</w:t>
      </w:r>
      <w:r w:rsidRPr="009B04A5">
        <w:rPr>
          <w:rFonts w:ascii="Book Antiqua" w:hAnsi="Book Antiqua"/>
        </w:rPr>
        <w:t xml:space="preserve"> are short </w:t>
      </w:r>
      <w:r w:rsidR="00AE37C0" w:rsidRPr="009B04A5">
        <w:rPr>
          <w:rFonts w:ascii="Book Antiqua" w:hAnsi="Book Antiqua"/>
        </w:rPr>
        <w:t>noncoding</w:t>
      </w:r>
      <w:r w:rsidRPr="009B04A5">
        <w:rPr>
          <w:rFonts w:ascii="Book Antiqua" w:hAnsi="Book Antiqua"/>
        </w:rPr>
        <w:t xml:space="preserve"> RNAs </w:t>
      </w:r>
      <w:r w:rsidR="00AE37C0" w:rsidRPr="009B04A5">
        <w:rPr>
          <w:rFonts w:ascii="Book Antiqua" w:hAnsi="Book Antiqua"/>
        </w:rPr>
        <w:t>that</w:t>
      </w:r>
      <w:r w:rsidRPr="009B04A5">
        <w:rPr>
          <w:rFonts w:ascii="Book Antiqua" w:hAnsi="Book Antiqua"/>
        </w:rPr>
        <w:t xml:space="preserve"> regulate the expression of genes by sequence-specific binding to mRNA to either promote or block its translation</w:t>
      </w:r>
      <w:r w:rsidR="008257C7" w:rsidRPr="009B04A5">
        <w:rPr>
          <w:rFonts w:ascii="Book Antiqua" w:hAnsi="Book Antiqua"/>
        </w:rPr>
        <w:t>; they</w:t>
      </w:r>
      <w:r w:rsidRPr="009B04A5">
        <w:rPr>
          <w:rFonts w:ascii="Book Antiqua" w:hAnsi="Book Antiqua"/>
        </w:rPr>
        <w:t xml:space="preserve"> can </w:t>
      </w:r>
      <w:r w:rsidR="008257C7" w:rsidRPr="009B04A5">
        <w:rPr>
          <w:rFonts w:ascii="Book Antiqua" w:hAnsi="Book Antiqua"/>
        </w:rPr>
        <w:t xml:space="preserve">also </w:t>
      </w:r>
      <w:r w:rsidRPr="009B04A5">
        <w:rPr>
          <w:rFonts w:ascii="Book Antiqua" w:hAnsi="Book Antiqua"/>
        </w:rPr>
        <w:t xml:space="preserve">act as tumor </w:t>
      </w:r>
      <w:r w:rsidR="00AE37C0" w:rsidRPr="009B04A5">
        <w:rPr>
          <w:rFonts w:ascii="Book Antiqua" w:hAnsi="Book Antiqua"/>
        </w:rPr>
        <w:t>suppressors</w:t>
      </w:r>
      <w:r w:rsidRPr="009B04A5">
        <w:rPr>
          <w:rFonts w:ascii="Book Antiqua" w:hAnsi="Book Antiqua"/>
        </w:rPr>
        <w:t xml:space="preserve"> (</w:t>
      </w:r>
      <w:r w:rsidR="00DE287C" w:rsidRPr="009B04A5">
        <w:rPr>
          <w:rFonts w:ascii="Book Antiqua" w:hAnsi="Book Antiqua"/>
          <w:i/>
        </w:rPr>
        <w:t>e.g.</w:t>
      </w:r>
      <w:r w:rsidR="00AE37C0" w:rsidRPr="009B04A5">
        <w:rPr>
          <w:rFonts w:ascii="Book Antiqua" w:hAnsi="Book Antiqua"/>
          <w:i/>
        </w:rPr>
        <w:t>,</w:t>
      </w:r>
      <w:r w:rsidRPr="009B04A5">
        <w:rPr>
          <w:rFonts w:ascii="Book Antiqua" w:hAnsi="Book Antiqua"/>
        </w:rPr>
        <w:t xml:space="preserve"> let-7b, miR-29a, </w:t>
      </w:r>
      <w:r w:rsidR="00A37B7D" w:rsidRPr="009B04A5">
        <w:rPr>
          <w:rFonts w:ascii="Book Antiqua" w:hAnsi="Book Antiqua"/>
        </w:rPr>
        <w:t>miR</w:t>
      </w:r>
      <w:r w:rsidRPr="009B04A5">
        <w:rPr>
          <w:rFonts w:ascii="Book Antiqua" w:hAnsi="Book Antiqua"/>
        </w:rPr>
        <w:t xml:space="preserve">-99, mir-100, miR-155, </w:t>
      </w:r>
      <w:r w:rsidR="00E36896" w:rsidRPr="009B04A5">
        <w:rPr>
          <w:rFonts w:ascii="Book Antiqua" w:hAnsi="Book Antiqua"/>
        </w:rPr>
        <w:t xml:space="preserve">and </w:t>
      </w:r>
      <w:r w:rsidRPr="009B04A5">
        <w:rPr>
          <w:rFonts w:ascii="Book Antiqua" w:hAnsi="Book Antiqua"/>
        </w:rPr>
        <w:t xml:space="preserve">miR-181) and/or </w:t>
      </w:r>
      <w:r w:rsidR="00AE37C0" w:rsidRPr="009B04A5">
        <w:rPr>
          <w:rFonts w:ascii="Book Antiqua" w:hAnsi="Book Antiqua"/>
        </w:rPr>
        <w:t>oncogenes</w:t>
      </w:r>
      <w:r w:rsidRPr="009B04A5">
        <w:rPr>
          <w:rFonts w:ascii="Book Antiqua" w:hAnsi="Book Antiqua"/>
        </w:rPr>
        <w:t xml:space="preserve"> (</w:t>
      </w:r>
      <w:r w:rsidR="00DE287C" w:rsidRPr="009B04A5">
        <w:rPr>
          <w:rFonts w:ascii="Book Antiqua" w:hAnsi="Book Antiqua"/>
          <w:i/>
        </w:rPr>
        <w:t>e.g.</w:t>
      </w:r>
      <w:r w:rsidRPr="009B04A5">
        <w:rPr>
          <w:rFonts w:ascii="Book Antiqua" w:hAnsi="Book Antiqua"/>
        </w:rPr>
        <w:t>, miR-29a, miR-125b, miR-143-p3, mir-155, miR-181, miR-183, miR-196b, and miR-223) in childhood acute leukemia</w:t>
      </w:r>
      <w:r w:rsidR="00A37B7D" w:rsidRPr="009B04A5">
        <w:rPr>
          <w:rFonts w:ascii="Book Antiqua" w:hAnsi="Book Antiqua"/>
        </w:rPr>
        <w:t xml:space="preserve"> (AL)</w:t>
      </w:r>
      <w:r w:rsidRPr="009B04A5">
        <w:rPr>
          <w:rFonts w:ascii="Book Antiqua" w:hAnsi="Book Antiqua"/>
        </w:rPr>
        <w:t xml:space="preserve">. </w:t>
      </w:r>
      <w:r w:rsidR="00B50FCE" w:rsidRPr="009B04A5">
        <w:rPr>
          <w:rFonts w:ascii="Book Antiqua" w:hAnsi="Book Antiqua"/>
        </w:rPr>
        <w:t xml:space="preserve">Differentially expressed miRNAs are important factors associated with the initiation and progression of AL. </w:t>
      </w:r>
      <w:r w:rsidRPr="009B04A5">
        <w:rPr>
          <w:rFonts w:ascii="Book Antiqua" w:hAnsi="Book Antiqua"/>
        </w:rPr>
        <w:t xml:space="preserve">As shown in many </w:t>
      </w:r>
      <w:r w:rsidR="00AE37C0" w:rsidRPr="009B04A5">
        <w:rPr>
          <w:rFonts w:ascii="Book Antiqua" w:hAnsi="Book Antiqua"/>
        </w:rPr>
        <w:t>studies, they</w:t>
      </w:r>
      <w:r w:rsidRPr="009B04A5">
        <w:rPr>
          <w:rFonts w:ascii="Book Antiqua" w:hAnsi="Book Antiqua"/>
        </w:rPr>
        <w:t xml:space="preserve"> can be used as noninvasive diagnostic and prognostic biomarkers</w:t>
      </w:r>
      <w:r w:rsidR="00A37B7D" w:rsidRPr="009B04A5">
        <w:rPr>
          <w:rFonts w:ascii="Book Antiqua" w:hAnsi="Book Antiqua"/>
        </w:rPr>
        <w:t xml:space="preserve">, which are </w:t>
      </w:r>
      <w:r w:rsidRPr="009B04A5">
        <w:rPr>
          <w:rFonts w:ascii="Book Antiqua" w:hAnsi="Book Antiqua"/>
        </w:rPr>
        <w:t xml:space="preserve">useful in monitoring </w:t>
      </w:r>
      <w:r w:rsidR="002367F0" w:rsidRPr="009B04A5">
        <w:rPr>
          <w:rFonts w:ascii="Book Antiqua" w:hAnsi="Book Antiqua"/>
        </w:rPr>
        <w:t>early stages of AL development or during therapy (</w:t>
      </w:r>
      <w:r w:rsidR="00DE287C" w:rsidRPr="009B04A5">
        <w:rPr>
          <w:rFonts w:ascii="Book Antiqua" w:hAnsi="Book Antiqua"/>
          <w:i/>
        </w:rPr>
        <w:t>e.g.</w:t>
      </w:r>
      <w:r w:rsidR="00AE37C0" w:rsidRPr="009B04A5">
        <w:rPr>
          <w:rFonts w:ascii="Book Antiqua" w:hAnsi="Book Antiqua"/>
          <w:i/>
        </w:rPr>
        <w:t>,</w:t>
      </w:r>
      <w:r w:rsidR="00EC6F9D" w:rsidRPr="009B04A5">
        <w:rPr>
          <w:rFonts w:ascii="Book Antiqua" w:hAnsi="Book Antiqua"/>
        </w:rPr>
        <w:t xml:space="preserve"> miR-125b, miR-146b, miR-181c</w:t>
      </w:r>
      <w:r w:rsidR="00E36896" w:rsidRPr="009B04A5">
        <w:rPr>
          <w:rFonts w:ascii="Book Antiqua" w:hAnsi="Book Antiqua"/>
        </w:rPr>
        <w:t>,</w:t>
      </w:r>
      <w:r w:rsidR="00EC6F9D" w:rsidRPr="009B04A5">
        <w:rPr>
          <w:rFonts w:ascii="Book Antiqua" w:hAnsi="Book Antiqua"/>
        </w:rPr>
        <w:t xml:space="preserve"> and miR-4786)</w:t>
      </w:r>
      <w:r w:rsidR="00613CED" w:rsidRPr="009B04A5">
        <w:rPr>
          <w:rFonts w:ascii="Book Antiqua" w:hAnsi="Book Antiqua"/>
        </w:rPr>
        <w:t xml:space="preserve">, </w:t>
      </w:r>
      <w:r w:rsidR="00EC6F9D" w:rsidRPr="009B04A5">
        <w:rPr>
          <w:rFonts w:ascii="Book Antiqua" w:hAnsi="Book Antiqua"/>
        </w:rPr>
        <w:t>accurate classification of different cellular or molecular AL subgroups (</w:t>
      </w:r>
      <w:r w:rsidR="00DE287C" w:rsidRPr="009B04A5">
        <w:rPr>
          <w:rFonts w:ascii="Book Antiqua" w:hAnsi="Book Antiqua"/>
          <w:i/>
        </w:rPr>
        <w:t>e.g.</w:t>
      </w:r>
      <w:r w:rsidR="00AE37C0" w:rsidRPr="009B04A5">
        <w:rPr>
          <w:rFonts w:ascii="Book Antiqua" w:hAnsi="Book Antiqua"/>
          <w:i/>
        </w:rPr>
        <w:t>,</w:t>
      </w:r>
      <w:r w:rsidR="003D1321" w:rsidRPr="009B04A5">
        <w:rPr>
          <w:rFonts w:ascii="Book Antiqua" w:hAnsi="Book Antiqua"/>
        </w:rPr>
        <w:t xml:space="preserve"> let-7b</w:t>
      </w:r>
      <w:r w:rsidR="001F7ECC" w:rsidRPr="009B04A5">
        <w:rPr>
          <w:rFonts w:ascii="Book Antiqua" w:hAnsi="Book Antiqua"/>
        </w:rPr>
        <w:t xml:space="preserve">, miR-98, miR-100, miR-128b, </w:t>
      </w:r>
      <w:r w:rsidR="00E36896" w:rsidRPr="009B04A5">
        <w:rPr>
          <w:rFonts w:ascii="Book Antiqua" w:hAnsi="Book Antiqua"/>
        </w:rPr>
        <w:t xml:space="preserve">and </w:t>
      </w:r>
      <w:r w:rsidR="001F7ECC" w:rsidRPr="009B04A5">
        <w:rPr>
          <w:rFonts w:ascii="Book Antiqua" w:hAnsi="Book Antiqua"/>
        </w:rPr>
        <w:t xml:space="preserve">miR-223), </w:t>
      </w:r>
      <w:r w:rsidR="00AE37C0" w:rsidRPr="009B04A5">
        <w:rPr>
          <w:rFonts w:ascii="Book Antiqua" w:hAnsi="Book Antiqua"/>
        </w:rPr>
        <w:t>and</w:t>
      </w:r>
      <w:r w:rsidR="001F7ECC" w:rsidRPr="009B04A5">
        <w:rPr>
          <w:rFonts w:ascii="Book Antiqua" w:hAnsi="Book Antiqua"/>
        </w:rPr>
        <w:t xml:space="preserve"> identification and development of new therapeutic </w:t>
      </w:r>
      <w:r w:rsidR="00AE37C0" w:rsidRPr="009B04A5">
        <w:rPr>
          <w:rFonts w:ascii="Book Antiqua" w:hAnsi="Book Antiqua"/>
        </w:rPr>
        <w:t>agents</w:t>
      </w:r>
      <w:r w:rsidR="001F7ECC" w:rsidRPr="009B04A5">
        <w:rPr>
          <w:rFonts w:ascii="Book Antiqua" w:hAnsi="Book Antiqua"/>
        </w:rPr>
        <w:t xml:space="preserve"> (</w:t>
      </w:r>
      <w:r w:rsidR="001E1EDE" w:rsidRPr="009B04A5">
        <w:rPr>
          <w:rFonts w:ascii="Book Antiqua" w:hAnsi="Book Antiqua"/>
          <w:i/>
        </w:rPr>
        <w:t>e.g.</w:t>
      </w:r>
      <w:r w:rsidR="00AE37C0" w:rsidRPr="009B04A5">
        <w:rPr>
          <w:rFonts w:ascii="Book Antiqua" w:hAnsi="Book Antiqua"/>
          <w:i/>
        </w:rPr>
        <w:t>,</w:t>
      </w:r>
      <w:r w:rsidR="001E1EDE" w:rsidRPr="009B04A5">
        <w:rPr>
          <w:rFonts w:ascii="Book Antiqua" w:hAnsi="Book Antiqua"/>
        </w:rPr>
        <w:t xml:space="preserve"> </w:t>
      </w:r>
      <w:r w:rsidR="00613CED" w:rsidRPr="009B04A5">
        <w:rPr>
          <w:rFonts w:ascii="Book Antiqua" w:hAnsi="Book Antiqua"/>
        </w:rPr>
        <w:t xml:space="preserve">mir-10, miR-125b, miR-203, miR-210, miR-335). Specific </w:t>
      </w:r>
      <w:r w:rsidR="001E1EDE" w:rsidRPr="009B04A5">
        <w:rPr>
          <w:rFonts w:ascii="Book Antiqua" w:hAnsi="Book Antiqua"/>
        </w:rPr>
        <w:t>miRNA patterns have also been described for commonly used AL therapy drugs (</w:t>
      </w:r>
      <w:r w:rsidR="001E1EDE" w:rsidRPr="009B04A5">
        <w:rPr>
          <w:rFonts w:ascii="Book Antiqua" w:hAnsi="Book Antiqua"/>
          <w:i/>
        </w:rPr>
        <w:t>e.g.</w:t>
      </w:r>
      <w:r w:rsidR="00AE37C0" w:rsidRPr="009B04A5">
        <w:rPr>
          <w:rFonts w:ascii="Book Antiqua" w:hAnsi="Book Antiqua"/>
          <w:i/>
        </w:rPr>
        <w:t>,</w:t>
      </w:r>
      <w:r w:rsidR="001E1EDE" w:rsidRPr="009B04A5">
        <w:rPr>
          <w:rFonts w:ascii="Book Antiqua" w:hAnsi="Book Antiqua"/>
          <w:i/>
        </w:rPr>
        <w:t xml:space="preserve"> </w:t>
      </w:r>
      <w:r w:rsidR="00B50FCE" w:rsidRPr="009B04A5">
        <w:rPr>
          <w:rFonts w:ascii="Book Antiqua" w:hAnsi="Book Antiqua"/>
        </w:rPr>
        <w:t xml:space="preserve">miR-125b and miR-223 for doxorubicin, miR-335 and miR-1208 for prednisolone, </w:t>
      </w:r>
      <w:r w:rsidR="00E36896" w:rsidRPr="009B04A5">
        <w:rPr>
          <w:rFonts w:ascii="Book Antiqua" w:hAnsi="Book Antiqua"/>
        </w:rPr>
        <w:t xml:space="preserve">and </w:t>
      </w:r>
      <w:r w:rsidR="00B50FCE" w:rsidRPr="009B04A5">
        <w:rPr>
          <w:rFonts w:ascii="Book Antiqua" w:hAnsi="Book Antiqua"/>
        </w:rPr>
        <w:t>miR-203 for imatinib), uncovering miRNAs that are associated with treatment response.</w:t>
      </w:r>
      <w:r w:rsidR="000C6B11" w:rsidRPr="009B04A5">
        <w:rPr>
          <w:rFonts w:ascii="Book Antiqua" w:hAnsi="Book Antiqua"/>
        </w:rPr>
        <w:t xml:space="preserve"> </w:t>
      </w:r>
      <w:r w:rsidR="00EF53E7" w:rsidRPr="009B04A5">
        <w:rPr>
          <w:rFonts w:ascii="Book Antiqua" w:hAnsi="Book Antiqua"/>
        </w:rPr>
        <w:t>In the current review, the role of miRNAs in the development, progression</w:t>
      </w:r>
      <w:r w:rsidR="00E36896" w:rsidRPr="009B04A5">
        <w:rPr>
          <w:rFonts w:ascii="Book Antiqua" w:hAnsi="Book Antiqua"/>
        </w:rPr>
        <w:t>,</w:t>
      </w:r>
      <w:r w:rsidR="00EF53E7" w:rsidRPr="009B04A5">
        <w:rPr>
          <w:rFonts w:ascii="Book Antiqua" w:hAnsi="Book Antiqua"/>
        </w:rPr>
        <w:t xml:space="preserve"> and therapy monitoring of pediatric </w:t>
      </w:r>
      <w:r w:rsidR="000C6B11" w:rsidRPr="009B04A5">
        <w:rPr>
          <w:rFonts w:ascii="Book Antiqua" w:hAnsi="Book Antiqua"/>
        </w:rPr>
        <w:t>AL</w:t>
      </w:r>
      <w:r w:rsidR="00EF53E7" w:rsidRPr="009B04A5">
        <w:rPr>
          <w:rFonts w:ascii="Book Antiqua" w:hAnsi="Book Antiqua"/>
        </w:rPr>
        <w:t>s will be presented and discussed.</w:t>
      </w:r>
    </w:p>
    <w:p w:rsidR="002733F6" w:rsidRPr="009B04A5" w:rsidRDefault="002733F6" w:rsidP="00C709AE">
      <w:pPr>
        <w:adjustRightInd w:val="0"/>
        <w:snapToGrid w:val="0"/>
        <w:spacing w:line="360" w:lineRule="auto"/>
        <w:ind w:firstLine="0"/>
        <w:rPr>
          <w:rFonts w:ascii="Book Antiqua" w:hAnsi="Book Antiqua"/>
        </w:rPr>
      </w:pPr>
    </w:p>
    <w:p w:rsidR="00C477C2" w:rsidRPr="009B04A5" w:rsidRDefault="00D043D3" w:rsidP="00C709AE">
      <w:pPr>
        <w:adjustRightInd w:val="0"/>
        <w:snapToGrid w:val="0"/>
        <w:spacing w:line="360" w:lineRule="auto"/>
        <w:ind w:firstLine="0"/>
        <w:rPr>
          <w:rFonts w:ascii="Book Antiqua" w:hAnsi="Book Antiqua"/>
        </w:rPr>
      </w:pPr>
      <w:r w:rsidRPr="009B04A5">
        <w:rPr>
          <w:rFonts w:ascii="Book Antiqua" w:hAnsi="Book Antiqua"/>
          <w:b/>
          <w:iCs/>
          <w:lang w:eastAsia="es-ES_tradnl"/>
        </w:rPr>
        <w:t>Key words:</w:t>
      </w:r>
      <w:r w:rsidRPr="009B04A5">
        <w:rPr>
          <w:rFonts w:ascii="Book Antiqua" w:eastAsia="宋体" w:hAnsi="Book Antiqua"/>
          <w:lang w:eastAsia="zh-CN"/>
        </w:rPr>
        <w:t xml:space="preserve"> </w:t>
      </w:r>
      <w:r w:rsidR="00CF29D7" w:rsidRPr="009B04A5">
        <w:rPr>
          <w:rFonts w:ascii="Book Antiqua" w:hAnsi="Book Antiqua"/>
        </w:rPr>
        <w:t>M</w:t>
      </w:r>
      <w:r w:rsidR="001D4FAD" w:rsidRPr="009B04A5">
        <w:rPr>
          <w:rFonts w:ascii="Book Antiqua" w:hAnsi="Book Antiqua"/>
        </w:rPr>
        <w:t>iR</w:t>
      </w:r>
      <w:r w:rsidR="00CF29D7" w:rsidRPr="009B04A5">
        <w:rPr>
          <w:rFonts w:ascii="Book Antiqua" w:hAnsi="Book Antiqua"/>
        </w:rPr>
        <w:t>N</w:t>
      </w:r>
      <w:r w:rsidR="001D4FAD" w:rsidRPr="009B04A5">
        <w:rPr>
          <w:rFonts w:ascii="Book Antiqua" w:hAnsi="Book Antiqua"/>
        </w:rPr>
        <w:t xml:space="preserve">ome, </w:t>
      </w:r>
      <w:r w:rsidR="000C6B11" w:rsidRPr="009B04A5">
        <w:rPr>
          <w:rFonts w:ascii="Book Antiqua" w:hAnsi="Book Antiqua"/>
        </w:rPr>
        <w:t>M</w:t>
      </w:r>
      <w:r w:rsidR="001D4FAD" w:rsidRPr="009B04A5">
        <w:rPr>
          <w:rFonts w:ascii="Book Antiqua" w:hAnsi="Book Antiqua"/>
        </w:rPr>
        <w:t>icroRNA</w:t>
      </w:r>
      <w:r w:rsidR="000C6B11" w:rsidRPr="009B04A5">
        <w:rPr>
          <w:rFonts w:ascii="Book Antiqua" w:hAnsi="Book Antiqua"/>
        </w:rPr>
        <w:t>;</w:t>
      </w:r>
      <w:r w:rsidR="001D4FAD" w:rsidRPr="009B04A5">
        <w:rPr>
          <w:rFonts w:ascii="Book Antiqua" w:hAnsi="Book Antiqua"/>
        </w:rPr>
        <w:t xml:space="preserve"> </w:t>
      </w:r>
      <w:r w:rsidR="000C6B11" w:rsidRPr="009B04A5">
        <w:rPr>
          <w:rFonts w:ascii="Book Antiqua" w:hAnsi="Book Antiqua"/>
        </w:rPr>
        <w:t xml:space="preserve">Acute </w:t>
      </w:r>
      <w:r w:rsidR="001D4FAD" w:rsidRPr="009B04A5">
        <w:rPr>
          <w:rFonts w:ascii="Book Antiqua" w:hAnsi="Book Antiqua"/>
        </w:rPr>
        <w:t>leukemia</w:t>
      </w:r>
      <w:r w:rsidR="000C6B11" w:rsidRPr="009B04A5">
        <w:rPr>
          <w:rFonts w:ascii="Book Antiqua" w:hAnsi="Book Antiqua"/>
        </w:rPr>
        <w:t>;</w:t>
      </w:r>
      <w:r w:rsidR="001D4FAD" w:rsidRPr="009B04A5">
        <w:rPr>
          <w:rFonts w:ascii="Book Antiqua" w:hAnsi="Book Antiqua"/>
        </w:rPr>
        <w:t xml:space="preserve"> </w:t>
      </w:r>
      <w:r w:rsidR="000C6B11" w:rsidRPr="009B04A5">
        <w:rPr>
          <w:rFonts w:ascii="Book Antiqua" w:hAnsi="Book Antiqua"/>
        </w:rPr>
        <w:t>Acute myeloid leukemia;</w:t>
      </w:r>
      <w:r w:rsidR="001D4FAD" w:rsidRPr="009B04A5">
        <w:rPr>
          <w:rFonts w:ascii="Book Antiqua" w:hAnsi="Book Antiqua"/>
        </w:rPr>
        <w:t xml:space="preserve"> </w:t>
      </w:r>
      <w:r w:rsidR="000C6B11" w:rsidRPr="009B04A5">
        <w:rPr>
          <w:rFonts w:ascii="Book Antiqua" w:hAnsi="Book Antiqua"/>
        </w:rPr>
        <w:t>Acute lymphoblastic leukemia;</w:t>
      </w:r>
      <w:r w:rsidR="001D4FAD" w:rsidRPr="009B04A5">
        <w:rPr>
          <w:rFonts w:ascii="Book Antiqua" w:hAnsi="Book Antiqua"/>
        </w:rPr>
        <w:t xml:space="preserve"> </w:t>
      </w:r>
      <w:r w:rsidR="000C6B11" w:rsidRPr="009B04A5">
        <w:rPr>
          <w:rFonts w:ascii="Book Antiqua" w:hAnsi="Book Antiqua"/>
        </w:rPr>
        <w:t>Biomarker;</w:t>
      </w:r>
      <w:r w:rsidR="001D4FAD" w:rsidRPr="009B04A5">
        <w:rPr>
          <w:rFonts w:ascii="Book Antiqua" w:hAnsi="Book Antiqua"/>
        </w:rPr>
        <w:t xml:space="preserve"> </w:t>
      </w:r>
      <w:r w:rsidR="000C6B11" w:rsidRPr="009B04A5">
        <w:rPr>
          <w:rFonts w:ascii="Book Antiqua" w:hAnsi="Book Antiqua"/>
        </w:rPr>
        <w:t>Classification;</w:t>
      </w:r>
      <w:r w:rsidR="001D4FAD" w:rsidRPr="009B04A5">
        <w:rPr>
          <w:rFonts w:ascii="Book Antiqua" w:hAnsi="Book Antiqua"/>
        </w:rPr>
        <w:t xml:space="preserve"> </w:t>
      </w:r>
      <w:r w:rsidR="000C6B11" w:rsidRPr="009B04A5">
        <w:rPr>
          <w:rFonts w:ascii="Book Antiqua" w:hAnsi="Book Antiqua"/>
        </w:rPr>
        <w:t>Prognosis;</w:t>
      </w:r>
      <w:r w:rsidR="001D4FAD" w:rsidRPr="009B04A5">
        <w:rPr>
          <w:rFonts w:ascii="Book Antiqua" w:hAnsi="Book Antiqua"/>
        </w:rPr>
        <w:t xml:space="preserve"> </w:t>
      </w:r>
      <w:r w:rsidR="000C6B11" w:rsidRPr="009B04A5">
        <w:rPr>
          <w:rFonts w:ascii="Book Antiqua" w:hAnsi="Book Antiqua"/>
        </w:rPr>
        <w:t xml:space="preserve">Drug </w:t>
      </w:r>
      <w:r w:rsidR="001D4FAD" w:rsidRPr="009B04A5">
        <w:rPr>
          <w:rFonts w:ascii="Book Antiqua" w:hAnsi="Book Antiqua"/>
        </w:rPr>
        <w:t>resistance</w:t>
      </w:r>
    </w:p>
    <w:p w:rsidR="000C6B11" w:rsidRPr="009B04A5" w:rsidRDefault="000C6B11" w:rsidP="00C709AE">
      <w:pPr>
        <w:adjustRightInd w:val="0"/>
        <w:snapToGrid w:val="0"/>
        <w:spacing w:line="360" w:lineRule="auto"/>
        <w:ind w:firstLine="0"/>
        <w:rPr>
          <w:rFonts w:ascii="Book Antiqua" w:hAnsi="Book Antiqua"/>
        </w:rPr>
      </w:pPr>
    </w:p>
    <w:p w:rsidR="0085420B" w:rsidRPr="00745F48" w:rsidRDefault="003301DE" w:rsidP="0085420B">
      <w:pPr>
        <w:spacing w:line="360" w:lineRule="auto"/>
        <w:ind w:firstLine="0"/>
        <w:rPr>
          <w:rFonts w:ascii="Book Antiqua" w:eastAsia="宋体" w:hAnsi="Book Antiqua" w:hint="eastAsia"/>
          <w:bCs/>
          <w:color w:val="000000"/>
          <w:lang w:eastAsia="zh-CN"/>
        </w:rPr>
      </w:pPr>
      <w:r w:rsidRPr="009B04A5">
        <w:rPr>
          <w:rFonts w:ascii="Book Antiqua" w:hAnsi="Book Antiqua"/>
        </w:rPr>
        <w:t>Szczepanek J. Role of mi</w:t>
      </w:r>
      <w:r w:rsidR="00D043D3" w:rsidRPr="009B04A5">
        <w:rPr>
          <w:rFonts w:ascii="Book Antiqua" w:hAnsi="Book Antiqua"/>
        </w:rPr>
        <w:t>cro</w:t>
      </w:r>
      <w:r w:rsidRPr="009B04A5">
        <w:rPr>
          <w:rFonts w:ascii="Book Antiqua" w:hAnsi="Book Antiqua"/>
        </w:rPr>
        <w:t>RNA dysregulation in childhood acute leukemias: diagnostics, monitoring and therapeutics: A comprehensive review</w:t>
      </w:r>
      <w:r w:rsidR="009B3EAC" w:rsidRPr="009B04A5">
        <w:rPr>
          <w:rFonts w:ascii="Book Antiqua" w:hAnsi="Book Antiqua"/>
        </w:rPr>
        <w:t xml:space="preserve">. </w:t>
      </w:r>
      <w:r w:rsidR="009B3EAC" w:rsidRPr="009B04A5">
        <w:rPr>
          <w:rFonts w:ascii="Book Antiqua" w:hAnsi="Book Antiqua"/>
          <w:i/>
        </w:rPr>
        <w:t xml:space="preserve">World J Clin Oncol </w:t>
      </w:r>
      <w:r w:rsidR="0085420B" w:rsidRPr="0085420B">
        <w:rPr>
          <w:rFonts w:ascii="Book Antiqua" w:eastAsia="Times New Roman" w:hAnsi="Book Antiqua"/>
          <w:bCs/>
          <w:color w:val="000000"/>
        </w:rPr>
        <w:t>2020; 11(</w:t>
      </w:r>
      <w:r w:rsidR="0085420B" w:rsidRPr="0085420B">
        <w:rPr>
          <w:rFonts w:ascii="Book Antiqua" w:hAnsi="Book Antiqua" w:hint="eastAsia"/>
          <w:bCs/>
          <w:color w:val="000000"/>
        </w:rPr>
        <w:t>6</w:t>
      </w:r>
      <w:r w:rsidR="003750EA">
        <w:rPr>
          <w:rFonts w:ascii="Book Antiqua" w:eastAsia="Times New Roman" w:hAnsi="Book Antiqua"/>
          <w:bCs/>
          <w:color w:val="000000"/>
        </w:rPr>
        <w:t xml:space="preserve">): </w:t>
      </w:r>
      <w:r w:rsidR="003750EA" w:rsidRPr="00745F48">
        <w:rPr>
          <w:rFonts w:ascii="Book Antiqua" w:eastAsia="宋体" w:hAnsi="Book Antiqua" w:hint="eastAsia"/>
          <w:bCs/>
          <w:color w:val="000000"/>
          <w:lang w:eastAsia="zh-CN"/>
        </w:rPr>
        <w:t>348</w:t>
      </w:r>
      <w:r w:rsidR="003750EA">
        <w:rPr>
          <w:rFonts w:ascii="Book Antiqua" w:eastAsia="Times New Roman" w:hAnsi="Book Antiqua"/>
          <w:bCs/>
          <w:color w:val="000000"/>
        </w:rPr>
        <w:t>-</w:t>
      </w:r>
      <w:r w:rsidR="003750EA" w:rsidRPr="00745F48">
        <w:rPr>
          <w:rFonts w:ascii="Book Antiqua" w:eastAsia="宋体" w:hAnsi="Book Antiqua" w:hint="eastAsia"/>
          <w:bCs/>
          <w:color w:val="000000"/>
          <w:lang w:eastAsia="zh-CN"/>
        </w:rPr>
        <w:t>369</w:t>
      </w:r>
    </w:p>
    <w:p w:rsidR="0085420B" w:rsidRPr="00745F48" w:rsidRDefault="0085420B" w:rsidP="0085420B">
      <w:pPr>
        <w:spacing w:line="360" w:lineRule="auto"/>
        <w:ind w:firstLine="0"/>
        <w:rPr>
          <w:rFonts w:ascii="Book Antiqua" w:eastAsia="宋体" w:hAnsi="Book Antiqua" w:hint="eastAsia"/>
          <w:bCs/>
          <w:color w:val="000000"/>
          <w:lang w:eastAsia="zh-CN"/>
        </w:rPr>
      </w:pPr>
      <w:r w:rsidRPr="0085420B">
        <w:rPr>
          <w:rFonts w:ascii="Book Antiqua" w:eastAsia="Times New Roman" w:hAnsi="Book Antiqua"/>
          <w:bCs/>
          <w:color w:val="000000"/>
        </w:rPr>
        <w:t>URL: https://www.wjgnet.com/2218-4333/full/v11/i</w:t>
      </w:r>
      <w:r w:rsidRPr="0085420B">
        <w:rPr>
          <w:rFonts w:ascii="Book Antiqua" w:hAnsi="Book Antiqua" w:hint="eastAsia"/>
          <w:bCs/>
          <w:color w:val="000000"/>
        </w:rPr>
        <w:t>6</w:t>
      </w:r>
      <w:r w:rsidR="003750EA">
        <w:rPr>
          <w:rFonts w:ascii="Book Antiqua" w:eastAsia="Times New Roman" w:hAnsi="Book Antiqua"/>
          <w:bCs/>
          <w:color w:val="000000"/>
        </w:rPr>
        <w:t>/</w:t>
      </w:r>
      <w:r w:rsidR="003750EA" w:rsidRPr="00745F48">
        <w:rPr>
          <w:rFonts w:ascii="Book Antiqua" w:eastAsia="宋体" w:hAnsi="Book Antiqua" w:hint="eastAsia"/>
          <w:bCs/>
          <w:color w:val="000000"/>
          <w:lang w:eastAsia="zh-CN"/>
        </w:rPr>
        <w:t>348</w:t>
      </w:r>
      <w:r w:rsidRPr="0085420B">
        <w:rPr>
          <w:rFonts w:ascii="Book Antiqua" w:eastAsia="Times New Roman" w:hAnsi="Book Antiqua"/>
          <w:bCs/>
          <w:color w:val="000000"/>
        </w:rPr>
        <w:t>.htm</w:t>
      </w:r>
    </w:p>
    <w:p w:rsidR="0085420B" w:rsidRPr="00745F48" w:rsidRDefault="0085420B" w:rsidP="0085420B">
      <w:pPr>
        <w:spacing w:line="360" w:lineRule="auto"/>
        <w:ind w:firstLine="0"/>
        <w:rPr>
          <w:rFonts w:ascii="Book Antiqua" w:eastAsia="宋体" w:hAnsi="Book Antiqua" w:hint="eastAsia"/>
          <w:bCs/>
          <w:color w:val="000000"/>
          <w:lang w:eastAsia="zh-CN"/>
        </w:rPr>
      </w:pPr>
      <w:r w:rsidRPr="0085420B">
        <w:rPr>
          <w:rFonts w:ascii="Book Antiqua" w:eastAsia="Times New Roman" w:hAnsi="Book Antiqua"/>
          <w:bCs/>
          <w:color w:val="000000"/>
        </w:rPr>
        <w:t>DOI: https://dx.doi.org/10.5306/wjco.v11.i</w:t>
      </w:r>
      <w:r w:rsidRPr="0085420B">
        <w:rPr>
          <w:rFonts w:ascii="Book Antiqua" w:hAnsi="Book Antiqua" w:hint="eastAsia"/>
          <w:bCs/>
          <w:color w:val="000000"/>
        </w:rPr>
        <w:t>6</w:t>
      </w:r>
      <w:r w:rsidR="003750EA">
        <w:rPr>
          <w:rFonts w:ascii="Book Antiqua" w:eastAsia="Times New Roman" w:hAnsi="Book Antiqua"/>
          <w:bCs/>
          <w:color w:val="000000"/>
        </w:rPr>
        <w:t>.</w:t>
      </w:r>
      <w:r w:rsidR="003750EA" w:rsidRPr="00745F48">
        <w:rPr>
          <w:rFonts w:ascii="Book Antiqua" w:eastAsia="宋体" w:hAnsi="Book Antiqua" w:hint="eastAsia"/>
          <w:bCs/>
          <w:color w:val="000000"/>
          <w:lang w:eastAsia="zh-CN"/>
        </w:rPr>
        <w:t>348</w:t>
      </w:r>
    </w:p>
    <w:p w:rsidR="00D043D3" w:rsidRPr="0085420B" w:rsidRDefault="00D043D3" w:rsidP="00C709AE">
      <w:pPr>
        <w:adjustRightInd w:val="0"/>
        <w:snapToGrid w:val="0"/>
        <w:spacing w:line="360" w:lineRule="auto"/>
        <w:ind w:firstLine="0"/>
        <w:rPr>
          <w:rFonts w:ascii="Book Antiqua" w:eastAsia="宋体" w:hAnsi="Book Antiqua"/>
          <w:bCs/>
          <w:lang w:eastAsia="zh-CN"/>
        </w:rPr>
      </w:pPr>
    </w:p>
    <w:p w:rsidR="000C6B11" w:rsidRPr="009B04A5" w:rsidRDefault="000C6B11" w:rsidP="00C709AE">
      <w:pPr>
        <w:adjustRightInd w:val="0"/>
        <w:snapToGrid w:val="0"/>
        <w:spacing w:line="360" w:lineRule="auto"/>
        <w:ind w:firstLine="0"/>
        <w:rPr>
          <w:rFonts w:ascii="Book Antiqua" w:hAnsi="Book Antiqua"/>
          <w:b/>
        </w:rPr>
      </w:pPr>
    </w:p>
    <w:p w:rsidR="003301DE" w:rsidRPr="009B04A5" w:rsidRDefault="00D043D3" w:rsidP="00C709AE">
      <w:pPr>
        <w:adjustRightInd w:val="0"/>
        <w:snapToGrid w:val="0"/>
        <w:spacing w:line="360" w:lineRule="auto"/>
        <w:ind w:firstLine="0"/>
        <w:rPr>
          <w:rFonts w:ascii="Book Antiqua" w:hAnsi="Book Antiqua"/>
        </w:rPr>
      </w:pPr>
      <w:r w:rsidRPr="009B04A5">
        <w:rPr>
          <w:rFonts w:ascii="Book Antiqua" w:hAnsi="Book Antiqua"/>
          <w:b/>
        </w:rPr>
        <w:lastRenderedPageBreak/>
        <w:t>Core tip:</w:t>
      </w:r>
      <w:r w:rsidRPr="009B04A5">
        <w:rPr>
          <w:rFonts w:ascii="Book Antiqua" w:eastAsia="宋体" w:hAnsi="Book Antiqua"/>
          <w:b/>
          <w:lang w:eastAsia="zh-CN"/>
        </w:rPr>
        <w:t xml:space="preserve"> </w:t>
      </w:r>
      <w:r w:rsidR="00660817" w:rsidRPr="009B04A5">
        <w:rPr>
          <w:rFonts w:ascii="Book Antiqua" w:hAnsi="Book Antiqua"/>
        </w:rPr>
        <w:t xml:space="preserve">MicroRNAs (miRNAs) </w:t>
      </w:r>
      <w:r w:rsidR="00603FEB" w:rsidRPr="009B04A5">
        <w:rPr>
          <w:rFonts w:ascii="Book Antiqua" w:hAnsi="Book Antiqua"/>
        </w:rPr>
        <w:t xml:space="preserve">are small endogenous gene expression regulators. </w:t>
      </w:r>
      <w:r w:rsidR="006C0DF5" w:rsidRPr="009B04A5">
        <w:rPr>
          <w:rFonts w:ascii="Book Antiqua" w:hAnsi="Book Antiqua"/>
        </w:rPr>
        <w:t>By p</w:t>
      </w:r>
      <w:r w:rsidR="00603FEB" w:rsidRPr="009B04A5">
        <w:rPr>
          <w:rFonts w:ascii="Book Antiqua" w:hAnsi="Book Antiqua"/>
        </w:rPr>
        <w:t>erforming the function of oncogenes and/or tumor suppressors, they have become interesting candidates for early diagnosis, accurate classification</w:t>
      </w:r>
      <w:r w:rsidR="00E36896" w:rsidRPr="009B04A5">
        <w:rPr>
          <w:rFonts w:ascii="Book Antiqua" w:hAnsi="Book Antiqua"/>
        </w:rPr>
        <w:t>,</w:t>
      </w:r>
      <w:r w:rsidR="00603FEB" w:rsidRPr="009B04A5">
        <w:rPr>
          <w:rFonts w:ascii="Book Antiqua" w:hAnsi="Book Antiqua"/>
        </w:rPr>
        <w:t xml:space="preserve"> and predictors of prognosis in the most common childhood cancers, </w:t>
      </w:r>
      <w:r w:rsidR="00306B86" w:rsidRPr="009B04A5">
        <w:rPr>
          <w:rFonts w:ascii="Book Antiqua" w:hAnsi="Book Antiqua"/>
          <w:i/>
        </w:rPr>
        <w:t>i.e</w:t>
      </w:r>
      <w:r w:rsidR="00603FEB" w:rsidRPr="009B04A5">
        <w:rPr>
          <w:rFonts w:ascii="Book Antiqua" w:hAnsi="Book Antiqua"/>
        </w:rPr>
        <w:t xml:space="preserve">. acute leukemia. The possibility of using modulation of miRNA levels in targeted therapy is also important. </w:t>
      </w:r>
      <w:r w:rsidR="00A37B7D" w:rsidRPr="009B04A5">
        <w:rPr>
          <w:rFonts w:ascii="Book Antiqua" w:hAnsi="Book Antiqua"/>
        </w:rPr>
        <w:t xml:space="preserve">Because they are </w:t>
      </w:r>
      <w:r w:rsidR="00AE37C0" w:rsidRPr="009B04A5">
        <w:rPr>
          <w:rFonts w:ascii="Book Antiqua" w:hAnsi="Book Antiqua"/>
        </w:rPr>
        <w:t>noninvasive</w:t>
      </w:r>
      <w:r w:rsidR="00603FEB" w:rsidRPr="009B04A5">
        <w:rPr>
          <w:rFonts w:ascii="Book Antiqua" w:hAnsi="Book Antiqua"/>
        </w:rPr>
        <w:t xml:space="preserve"> and relatively easy to determine in biological samples, </w:t>
      </w:r>
      <w:r w:rsidR="000C6B11" w:rsidRPr="009B04A5">
        <w:rPr>
          <w:rFonts w:ascii="Book Antiqua" w:hAnsi="Book Antiqua"/>
        </w:rPr>
        <w:t xml:space="preserve">miRNAs </w:t>
      </w:r>
      <w:r w:rsidR="00603FEB" w:rsidRPr="009B04A5">
        <w:rPr>
          <w:rFonts w:ascii="Book Antiqua" w:hAnsi="Book Antiqua"/>
        </w:rPr>
        <w:t xml:space="preserve">are gaining </w:t>
      </w:r>
      <w:r w:rsidR="00AE37C0" w:rsidRPr="009B04A5">
        <w:rPr>
          <w:rFonts w:ascii="Book Antiqua" w:hAnsi="Book Antiqua"/>
        </w:rPr>
        <w:t>increasing</w:t>
      </w:r>
      <w:r w:rsidR="00603FEB" w:rsidRPr="009B04A5">
        <w:rPr>
          <w:rFonts w:ascii="Book Antiqua" w:hAnsi="Book Antiqua"/>
        </w:rPr>
        <w:t xml:space="preserve"> attention from scientists and clinicians.</w:t>
      </w:r>
    </w:p>
    <w:p w:rsidR="00D043D3" w:rsidRPr="009B04A5" w:rsidRDefault="000C6B11" w:rsidP="00C709AE">
      <w:pPr>
        <w:adjustRightInd w:val="0"/>
        <w:snapToGrid w:val="0"/>
        <w:spacing w:line="360" w:lineRule="auto"/>
        <w:ind w:firstLine="0"/>
        <w:rPr>
          <w:rFonts w:ascii="Book Antiqua" w:hAnsi="Book Antiqua"/>
          <w:b/>
        </w:rPr>
      </w:pPr>
      <w:r w:rsidRPr="009B04A5">
        <w:rPr>
          <w:rFonts w:ascii="Book Antiqua" w:hAnsi="Book Antiqua" w:cs="Calibri"/>
          <w:b/>
          <w:u w:val="single"/>
        </w:rPr>
        <w:br w:type="page"/>
      </w:r>
      <w:r w:rsidR="00D043D3" w:rsidRPr="009B04A5">
        <w:rPr>
          <w:rFonts w:ascii="Book Antiqua" w:hAnsi="Book Antiqua"/>
          <w:b/>
          <w:u w:val="single"/>
        </w:rPr>
        <w:lastRenderedPageBreak/>
        <w:t>INTRODUCTION</w:t>
      </w:r>
    </w:p>
    <w:p w:rsidR="00D043D3" w:rsidRPr="009B04A5" w:rsidRDefault="00E33791" w:rsidP="00C709AE">
      <w:pPr>
        <w:adjustRightInd w:val="0"/>
        <w:snapToGrid w:val="0"/>
        <w:spacing w:line="360" w:lineRule="auto"/>
        <w:ind w:firstLine="0"/>
        <w:rPr>
          <w:rFonts w:ascii="Book Antiqua" w:hAnsi="Book Antiqua"/>
          <w:b/>
        </w:rPr>
      </w:pPr>
      <w:r w:rsidRPr="009B04A5">
        <w:rPr>
          <w:rFonts w:ascii="Book Antiqua" w:hAnsi="Book Antiqua"/>
          <w:b/>
          <w:i/>
          <w:iCs/>
        </w:rPr>
        <w:t>Acute leukemias</w:t>
      </w:r>
    </w:p>
    <w:p w:rsidR="00D043D3" w:rsidRPr="009B04A5" w:rsidRDefault="00E33791" w:rsidP="00C709AE">
      <w:pPr>
        <w:adjustRightInd w:val="0"/>
        <w:snapToGrid w:val="0"/>
        <w:spacing w:line="360" w:lineRule="auto"/>
        <w:ind w:firstLine="0"/>
        <w:rPr>
          <w:rFonts w:ascii="Book Antiqua" w:hAnsi="Book Antiqua"/>
          <w:b/>
          <w:i/>
          <w:iCs/>
        </w:rPr>
      </w:pPr>
      <w:r w:rsidRPr="009B04A5">
        <w:rPr>
          <w:rFonts w:ascii="Book Antiqua" w:hAnsi="Book Antiqua"/>
        </w:rPr>
        <w:t>Childhood acute leukemias</w:t>
      </w:r>
      <w:r w:rsidR="000C6B11" w:rsidRPr="009B04A5">
        <w:rPr>
          <w:rFonts w:ascii="Book Antiqua" w:hAnsi="Book Antiqua"/>
        </w:rPr>
        <w:t xml:space="preserve"> (ALs)</w:t>
      </w:r>
      <w:r w:rsidRPr="009B04A5">
        <w:rPr>
          <w:rFonts w:ascii="Book Antiqua" w:hAnsi="Book Antiqua"/>
        </w:rPr>
        <w:t xml:space="preserve"> are a group of diseases with varied immunophenotypes and specific genetic abnormalities</w:t>
      </w:r>
      <w:r w:rsidR="00D85204" w:rsidRPr="009B04A5">
        <w:rPr>
          <w:rFonts w:ascii="Book Antiqua" w:hAnsi="Book Antiqua"/>
          <w:vertAlign w:val="superscript"/>
        </w:rPr>
        <w:t>[1]</w:t>
      </w:r>
      <w:r w:rsidRPr="009B04A5">
        <w:rPr>
          <w:rFonts w:ascii="Book Antiqua" w:hAnsi="Book Antiqua"/>
        </w:rPr>
        <w:t>. Acute lymphoblastic leukemia (ALL)</w:t>
      </w:r>
      <w:r w:rsidR="00AE37C0" w:rsidRPr="009B04A5">
        <w:rPr>
          <w:rFonts w:ascii="Book Antiqua" w:hAnsi="Book Antiqua"/>
        </w:rPr>
        <w:t>,</w:t>
      </w:r>
      <w:r w:rsidRPr="009B04A5">
        <w:rPr>
          <w:rFonts w:ascii="Book Antiqua" w:hAnsi="Book Antiqua"/>
        </w:rPr>
        <w:t xml:space="preserve"> the most common type of childhood leukemia, develops from early forms of B</w:t>
      </w:r>
      <w:r w:rsidR="001030C2" w:rsidRPr="009B04A5">
        <w:rPr>
          <w:rFonts w:ascii="Book Antiqua" w:hAnsi="Book Antiqua"/>
        </w:rPr>
        <w:t>-</w:t>
      </w:r>
      <w:r w:rsidRPr="009B04A5">
        <w:rPr>
          <w:rFonts w:ascii="Book Antiqua" w:hAnsi="Book Antiqua"/>
        </w:rPr>
        <w:t xml:space="preserve"> or T</w:t>
      </w:r>
      <w:r w:rsidR="001030C2" w:rsidRPr="009B04A5">
        <w:rPr>
          <w:rFonts w:ascii="Book Antiqua" w:hAnsi="Book Antiqua"/>
        </w:rPr>
        <w:t>-</w:t>
      </w:r>
      <w:r w:rsidRPr="009B04A5">
        <w:rPr>
          <w:rFonts w:ascii="Book Antiqua" w:hAnsi="Book Antiqua"/>
        </w:rPr>
        <w:t>cells at different stages of maturity</w:t>
      </w:r>
      <w:r w:rsidR="00D85204" w:rsidRPr="009B04A5">
        <w:rPr>
          <w:rFonts w:ascii="Book Antiqua" w:hAnsi="Book Antiqua"/>
          <w:vertAlign w:val="superscript"/>
        </w:rPr>
        <w:t>[2]</w:t>
      </w:r>
      <w:r w:rsidR="006E529E" w:rsidRPr="009B04A5">
        <w:rPr>
          <w:rFonts w:ascii="Book Antiqua" w:hAnsi="Book Antiqua"/>
        </w:rPr>
        <w:t>. Most of the remaining cases account</w:t>
      </w:r>
      <w:r w:rsidR="00AE37C0" w:rsidRPr="009B04A5">
        <w:rPr>
          <w:rFonts w:ascii="Book Antiqua" w:hAnsi="Book Antiqua"/>
        </w:rPr>
        <w:t xml:space="preserve"> for</w:t>
      </w:r>
      <w:r w:rsidR="006E529E" w:rsidRPr="009B04A5">
        <w:rPr>
          <w:rFonts w:ascii="Book Antiqua" w:hAnsi="Book Antiqua"/>
        </w:rPr>
        <w:t xml:space="preserve"> acute myeloid leukemia (AML)</w:t>
      </w:r>
      <w:r w:rsidR="00B04168" w:rsidRPr="009B04A5">
        <w:rPr>
          <w:rFonts w:ascii="Book Antiqua" w:hAnsi="Book Antiqua"/>
        </w:rPr>
        <w:t>, which</w:t>
      </w:r>
      <w:r w:rsidR="006E529E" w:rsidRPr="009B04A5">
        <w:rPr>
          <w:rFonts w:ascii="Book Antiqua" w:hAnsi="Book Antiqua"/>
        </w:rPr>
        <w:t xml:space="preserve"> </w:t>
      </w:r>
      <w:r w:rsidR="00B04168" w:rsidRPr="009B04A5">
        <w:rPr>
          <w:rFonts w:ascii="Book Antiqua" w:hAnsi="Book Antiqua"/>
        </w:rPr>
        <w:t>develops</w:t>
      </w:r>
      <w:r w:rsidR="006E529E" w:rsidRPr="009B04A5">
        <w:rPr>
          <w:rFonts w:ascii="Book Antiqua" w:hAnsi="Book Antiqua"/>
        </w:rPr>
        <w:t xml:space="preserve"> from myeloid cells that form white blood cells</w:t>
      </w:r>
      <w:r w:rsidR="00D85204" w:rsidRPr="009B04A5">
        <w:rPr>
          <w:rFonts w:ascii="Book Antiqua" w:hAnsi="Book Antiqua"/>
          <w:vertAlign w:val="superscript"/>
        </w:rPr>
        <w:t>[3]</w:t>
      </w:r>
      <w:r w:rsidRPr="009B04A5">
        <w:rPr>
          <w:rFonts w:ascii="Book Antiqua" w:hAnsi="Book Antiqua"/>
        </w:rPr>
        <w:t xml:space="preserve"> (other than lymphocytes), red blood cells</w:t>
      </w:r>
      <w:r w:rsidR="00E36896" w:rsidRPr="009B04A5">
        <w:rPr>
          <w:rFonts w:ascii="Book Antiqua" w:hAnsi="Book Antiqua"/>
        </w:rPr>
        <w:t>,</w:t>
      </w:r>
      <w:r w:rsidRPr="009B04A5">
        <w:rPr>
          <w:rFonts w:ascii="Book Antiqua" w:hAnsi="Book Antiqua"/>
        </w:rPr>
        <w:t xml:space="preserve"> or platelets</w:t>
      </w:r>
      <w:r w:rsidR="00D85204" w:rsidRPr="009B04A5">
        <w:rPr>
          <w:rFonts w:ascii="Book Antiqua" w:hAnsi="Book Antiqua"/>
          <w:vertAlign w:val="superscript"/>
        </w:rPr>
        <w:t>[1]</w:t>
      </w:r>
      <w:r w:rsidRPr="009B04A5">
        <w:rPr>
          <w:rFonts w:ascii="Book Antiqua" w:hAnsi="Book Antiqua"/>
        </w:rPr>
        <w:t>. The 5-year survival rate for children with AL has greatly increased over time and is now more than 90% overall for ALL and in the range of 60% to 70% for AML</w:t>
      </w:r>
      <w:r w:rsidR="00D85204" w:rsidRPr="009B04A5">
        <w:rPr>
          <w:rFonts w:ascii="Book Antiqua" w:hAnsi="Book Antiqua"/>
          <w:vertAlign w:val="superscript"/>
        </w:rPr>
        <w:t>[4,5]</w:t>
      </w:r>
      <w:r w:rsidRPr="009B04A5">
        <w:rPr>
          <w:rFonts w:ascii="Book Antiqua" w:hAnsi="Book Antiqua"/>
        </w:rPr>
        <w:t>. Survival</w:t>
      </w:r>
      <w:r w:rsidR="00DD2E6A" w:rsidRPr="009B04A5">
        <w:rPr>
          <w:rFonts w:ascii="Book Antiqua" w:hAnsi="Book Antiqua"/>
        </w:rPr>
        <w:t xml:space="preserve"> </w:t>
      </w:r>
      <w:r w:rsidRPr="009B04A5">
        <w:rPr>
          <w:rFonts w:ascii="Book Antiqua" w:hAnsi="Book Antiqua"/>
        </w:rPr>
        <w:t xml:space="preserve">rates vary depending on the subtype of </w:t>
      </w:r>
      <w:r w:rsidR="000C6B11" w:rsidRPr="009B04A5">
        <w:rPr>
          <w:rFonts w:ascii="Book Antiqua" w:hAnsi="Book Antiqua"/>
        </w:rPr>
        <w:t>AL</w:t>
      </w:r>
      <w:r w:rsidRPr="009B04A5">
        <w:rPr>
          <w:rFonts w:ascii="Book Antiqua" w:hAnsi="Book Antiqua"/>
        </w:rPr>
        <w:t xml:space="preserve"> and other prognostic factors</w:t>
      </w:r>
      <w:r w:rsidR="00D85204" w:rsidRPr="009B04A5">
        <w:rPr>
          <w:rFonts w:ascii="Book Antiqua" w:hAnsi="Book Antiqua"/>
          <w:vertAlign w:val="superscript"/>
        </w:rPr>
        <w:t>[1]</w:t>
      </w:r>
      <w:r w:rsidRPr="009B04A5">
        <w:rPr>
          <w:rFonts w:ascii="Book Antiqua" w:hAnsi="Book Antiqua"/>
        </w:rPr>
        <w:t>. Relapse risk can be predicted by clinical and pharmacogenetic features, early treatment response to tailor chemotherapy intensity</w:t>
      </w:r>
      <w:r w:rsidR="00E36896" w:rsidRPr="009B04A5">
        <w:rPr>
          <w:rFonts w:ascii="Book Antiqua" w:hAnsi="Book Antiqua"/>
        </w:rPr>
        <w:t>,</w:t>
      </w:r>
      <w:r w:rsidRPr="009B04A5">
        <w:rPr>
          <w:rFonts w:ascii="Book Antiqua" w:hAnsi="Book Antiqua"/>
        </w:rPr>
        <w:t xml:space="preserve"> and genetic characteristics of leukemic cells</w:t>
      </w:r>
      <w:r w:rsidR="00153928" w:rsidRPr="009B04A5">
        <w:rPr>
          <w:rFonts w:ascii="Book Antiqua" w:hAnsi="Book Antiqua"/>
          <w:vertAlign w:val="superscript"/>
        </w:rPr>
        <w:t>[6-8]</w:t>
      </w:r>
      <w:r w:rsidRPr="009B04A5">
        <w:rPr>
          <w:rFonts w:ascii="Book Antiqua" w:hAnsi="Book Antiqua"/>
        </w:rPr>
        <w:t>.</w:t>
      </w:r>
    </w:p>
    <w:p w:rsidR="00D043D3" w:rsidRPr="009B04A5" w:rsidRDefault="00D043D3" w:rsidP="00C709AE">
      <w:pPr>
        <w:adjustRightInd w:val="0"/>
        <w:snapToGrid w:val="0"/>
        <w:spacing w:line="360" w:lineRule="auto"/>
        <w:ind w:firstLine="0"/>
        <w:rPr>
          <w:rFonts w:ascii="Book Antiqua" w:hAnsi="Book Antiqua"/>
          <w:b/>
          <w:i/>
          <w:iCs/>
        </w:rPr>
      </w:pPr>
    </w:p>
    <w:p w:rsidR="00D043D3" w:rsidRPr="009B04A5" w:rsidRDefault="00E3125B" w:rsidP="00C709AE">
      <w:pPr>
        <w:adjustRightInd w:val="0"/>
        <w:snapToGrid w:val="0"/>
        <w:spacing w:line="360" w:lineRule="auto"/>
        <w:ind w:firstLine="0"/>
        <w:rPr>
          <w:rFonts w:ascii="Book Antiqua" w:hAnsi="Book Antiqua"/>
          <w:b/>
          <w:i/>
          <w:iCs/>
        </w:rPr>
      </w:pPr>
      <w:r w:rsidRPr="009B04A5">
        <w:rPr>
          <w:rFonts w:ascii="Book Antiqua" w:hAnsi="Book Antiqua"/>
          <w:b/>
          <w:i/>
          <w:iCs/>
        </w:rPr>
        <w:t>MicroRNA</w:t>
      </w:r>
    </w:p>
    <w:p w:rsidR="00E36896" w:rsidRPr="009B04A5" w:rsidRDefault="00852CFB" w:rsidP="00C709AE">
      <w:pPr>
        <w:adjustRightInd w:val="0"/>
        <w:snapToGrid w:val="0"/>
        <w:spacing w:line="360" w:lineRule="auto"/>
        <w:ind w:firstLine="0"/>
        <w:rPr>
          <w:rFonts w:ascii="Book Antiqua" w:hAnsi="Book Antiqua"/>
        </w:rPr>
      </w:pPr>
      <w:r w:rsidRPr="009B04A5">
        <w:rPr>
          <w:rFonts w:ascii="Book Antiqua" w:hAnsi="Book Antiqua"/>
        </w:rPr>
        <w:t>MicroRNAs (miRNAs, miRs) are a family of small (</w:t>
      </w:r>
      <w:r w:rsidR="0030345D" w:rsidRPr="009B04A5">
        <w:rPr>
          <w:rStyle w:val="stix"/>
          <w:rFonts w:ascii="Book Antiqua" w:hAnsi="Book Antiqua" w:cs="Cambria Math"/>
          <w:lang w:eastAsia="zh-CN"/>
        </w:rPr>
        <w:t xml:space="preserve">about </w:t>
      </w:r>
      <w:r w:rsidR="00320611" w:rsidRPr="009B04A5">
        <w:rPr>
          <w:rStyle w:val="stix"/>
          <w:rFonts w:ascii="Book Antiqua" w:hAnsi="Book Antiqua"/>
        </w:rPr>
        <w:t>22</w:t>
      </w:r>
      <w:r w:rsidR="00E3125B" w:rsidRPr="009B04A5">
        <w:rPr>
          <w:rFonts w:ascii="Book Antiqua" w:hAnsi="Book Antiqua"/>
        </w:rPr>
        <w:t xml:space="preserve">-nucleotide), endogenous, </w:t>
      </w:r>
      <w:r w:rsidR="00AE37C0" w:rsidRPr="009B04A5">
        <w:rPr>
          <w:rFonts w:ascii="Book Antiqua" w:hAnsi="Book Antiqua"/>
        </w:rPr>
        <w:t>noncoding</w:t>
      </w:r>
      <w:r w:rsidR="00E3125B" w:rsidRPr="009B04A5">
        <w:rPr>
          <w:rFonts w:ascii="Book Antiqua" w:hAnsi="Book Antiqua"/>
        </w:rPr>
        <w:t xml:space="preserve"> RNAs that negatively regulate gene expression in a sequence-specific manner</w:t>
      </w:r>
      <w:r w:rsidR="00153928" w:rsidRPr="009B04A5">
        <w:rPr>
          <w:rFonts w:ascii="Book Antiqua" w:hAnsi="Book Antiqua"/>
          <w:vertAlign w:val="superscript"/>
        </w:rPr>
        <w:t>[9,10]</w:t>
      </w:r>
      <w:r w:rsidR="00320611" w:rsidRPr="009B04A5">
        <w:rPr>
          <w:rFonts w:ascii="Book Antiqua" w:hAnsi="Book Antiqua"/>
        </w:rPr>
        <w:t xml:space="preserve">. It has been predicted that </w:t>
      </w:r>
      <w:r w:rsidR="00AE37C0" w:rsidRPr="009B04A5">
        <w:rPr>
          <w:rFonts w:ascii="Book Antiqua" w:hAnsi="Book Antiqua"/>
        </w:rPr>
        <w:t>miRNAs</w:t>
      </w:r>
      <w:r w:rsidR="00320611" w:rsidRPr="009B04A5">
        <w:rPr>
          <w:rFonts w:ascii="Book Antiqua" w:hAnsi="Book Antiqua"/>
        </w:rPr>
        <w:t xml:space="preserve">, </w:t>
      </w:r>
      <w:r w:rsidR="00000F3F" w:rsidRPr="009B04A5">
        <w:rPr>
          <w:rFonts w:ascii="Book Antiqua" w:eastAsia="Times-Roman" w:hAnsi="Book Antiqua"/>
          <w:lang w:eastAsia="pl-PL"/>
        </w:rPr>
        <w:t xml:space="preserve">which account for at least 1% of human protein-coding genes, can control </w:t>
      </w:r>
      <w:r w:rsidR="00320611" w:rsidRPr="009B04A5">
        <w:rPr>
          <w:rFonts w:ascii="Book Antiqua" w:hAnsi="Book Antiqua"/>
        </w:rPr>
        <w:t>more than a third of the protein-coding genes</w:t>
      </w:r>
      <w:r w:rsidR="00153928" w:rsidRPr="009B04A5">
        <w:rPr>
          <w:rFonts w:ascii="Book Antiqua" w:hAnsi="Book Antiqua"/>
          <w:vertAlign w:val="superscript"/>
        </w:rPr>
        <w:t>[11-13]</w:t>
      </w:r>
      <w:r w:rsidR="00A954EE" w:rsidRPr="009B04A5">
        <w:rPr>
          <w:rFonts w:ascii="Book Antiqua" w:hAnsi="Book Antiqua"/>
        </w:rPr>
        <w:t xml:space="preserve">. At the </w:t>
      </w:r>
      <w:r w:rsidR="00AE37C0" w:rsidRPr="009B04A5">
        <w:rPr>
          <w:rFonts w:ascii="Book Antiqua" w:hAnsi="Book Antiqua"/>
        </w:rPr>
        <w:t>posttranscriptional</w:t>
      </w:r>
      <w:r w:rsidR="00A954EE" w:rsidRPr="009B04A5">
        <w:rPr>
          <w:rFonts w:ascii="Book Antiqua" w:hAnsi="Book Antiqua"/>
        </w:rPr>
        <w:t xml:space="preserve"> level</w:t>
      </w:r>
      <w:r w:rsidR="00AE37C0" w:rsidRPr="009B04A5">
        <w:rPr>
          <w:rFonts w:ascii="Book Antiqua" w:hAnsi="Book Antiqua"/>
        </w:rPr>
        <w:t>,</w:t>
      </w:r>
      <w:r w:rsidR="00A954EE" w:rsidRPr="009B04A5">
        <w:rPr>
          <w:rFonts w:ascii="Book Antiqua" w:hAnsi="Book Antiqua"/>
        </w:rPr>
        <w:t xml:space="preserve"> miRNAs exhibit temporally and spatially regulated expression patterns</w:t>
      </w:r>
      <w:r w:rsidR="00153928" w:rsidRPr="009B04A5">
        <w:rPr>
          <w:rFonts w:ascii="Book Antiqua" w:hAnsi="Book Antiqua"/>
          <w:vertAlign w:val="superscript"/>
        </w:rPr>
        <w:t>[9,14]</w:t>
      </w:r>
      <w:r w:rsidR="00040561" w:rsidRPr="009B04A5">
        <w:rPr>
          <w:rFonts w:ascii="Book Antiqua" w:hAnsi="Book Antiqua"/>
        </w:rPr>
        <w:t xml:space="preserve">. Discovering </w:t>
      </w:r>
      <w:r w:rsidR="00AE37C0" w:rsidRPr="009B04A5">
        <w:rPr>
          <w:rFonts w:ascii="Book Antiqua" w:hAnsi="Book Antiqua"/>
        </w:rPr>
        <w:t>miRNA</w:t>
      </w:r>
      <w:r w:rsidR="00040561" w:rsidRPr="009B04A5">
        <w:rPr>
          <w:rFonts w:ascii="Book Antiqua" w:hAnsi="Book Antiqua"/>
        </w:rPr>
        <w:t xml:space="preserve"> molecules, identifying their targets</w:t>
      </w:r>
      <w:r w:rsidR="00E36896" w:rsidRPr="009B04A5">
        <w:rPr>
          <w:rFonts w:ascii="Book Antiqua" w:hAnsi="Book Antiqua"/>
        </w:rPr>
        <w:t>,</w:t>
      </w:r>
      <w:r w:rsidR="00040561" w:rsidRPr="009B04A5">
        <w:rPr>
          <w:rFonts w:ascii="Book Antiqua" w:hAnsi="Book Antiqua"/>
        </w:rPr>
        <w:t xml:space="preserve"> and </w:t>
      </w:r>
      <w:r w:rsidR="00AE37C0" w:rsidRPr="009B04A5">
        <w:rPr>
          <w:rFonts w:ascii="Book Antiqua" w:hAnsi="Book Antiqua"/>
        </w:rPr>
        <w:t>predicting</w:t>
      </w:r>
      <w:r w:rsidR="00040561" w:rsidRPr="009B04A5">
        <w:rPr>
          <w:rFonts w:ascii="Book Antiqua" w:hAnsi="Book Antiqua"/>
        </w:rPr>
        <w:t xml:space="preserve"> their functional and regulatory mechanisms are critical for understanding biological processes (</w:t>
      </w:r>
      <w:r w:rsidR="00DE287C" w:rsidRPr="009B04A5">
        <w:rPr>
          <w:rFonts w:ascii="Book Antiqua" w:hAnsi="Book Antiqua"/>
          <w:i/>
        </w:rPr>
        <w:t>e.g.</w:t>
      </w:r>
      <w:r w:rsidR="00AE37C0" w:rsidRPr="009B04A5">
        <w:rPr>
          <w:rFonts w:ascii="Book Antiqua" w:hAnsi="Book Antiqua"/>
          <w:i/>
        </w:rPr>
        <w:t>,</w:t>
      </w:r>
      <w:r w:rsidR="00040561" w:rsidRPr="009B04A5">
        <w:rPr>
          <w:rFonts w:ascii="Book Antiqua" w:hAnsi="Book Antiqua"/>
        </w:rPr>
        <w:t xml:space="preserve"> diverse development, cell growth control proliferation, differentiation</w:t>
      </w:r>
      <w:r w:rsidR="00E36896" w:rsidRPr="009B04A5">
        <w:rPr>
          <w:rFonts w:ascii="Book Antiqua" w:hAnsi="Book Antiqua"/>
        </w:rPr>
        <w:t>,</w:t>
      </w:r>
      <w:r w:rsidR="00040561" w:rsidRPr="009B04A5">
        <w:rPr>
          <w:rFonts w:ascii="Book Antiqua" w:hAnsi="Book Antiqua"/>
        </w:rPr>
        <w:t xml:space="preserve"> and apoptosis) and their roles in the </w:t>
      </w:r>
      <w:r w:rsidR="00153928" w:rsidRPr="009B04A5">
        <w:rPr>
          <w:rFonts w:ascii="Book Antiqua" w:hAnsi="Book Antiqua"/>
        </w:rPr>
        <w:t>etiopathology</w:t>
      </w:r>
      <w:r w:rsidR="00040561" w:rsidRPr="009B04A5">
        <w:rPr>
          <w:rFonts w:ascii="Book Antiqua" w:hAnsi="Book Antiqua"/>
        </w:rPr>
        <w:t xml:space="preserve"> of disease</w:t>
      </w:r>
      <w:r w:rsidR="00153928" w:rsidRPr="009B04A5">
        <w:rPr>
          <w:rFonts w:ascii="Book Antiqua" w:hAnsi="Book Antiqua"/>
          <w:vertAlign w:val="superscript"/>
        </w:rPr>
        <w:t>[15,16]</w:t>
      </w:r>
      <w:r w:rsidR="00464CD2" w:rsidRPr="009B04A5">
        <w:rPr>
          <w:rFonts w:ascii="Book Antiqua" w:hAnsi="Book Antiqua"/>
        </w:rPr>
        <w:t xml:space="preserve">. </w:t>
      </w:r>
    </w:p>
    <w:p w:rsidR="0030345D" w:rsidRPr="009B04A5" w:rsidRDefault="00464CD2" w:rsidP="005402CC">
      <w:pPr>
        <w:adjustRightInd w:val="0"/>
        <w:snapToGrid w:val="0"/>
        <w:spacing w:line="360" w:lineRule="auto"/>
        <w:ind w:firstLine="240"/>
        <w:rPr>
          <w:rFonts w:ascii="Book Antiqua" w:hAnsi="Book Antiqua"/>
          <w:b/>
          <w:i/>
          <w:iCs/>
        </w:rPr>
      </w:pPr>
      <w:r w:rsidRPr="009B04A5">
        <w:rPr>
          <w:rFonts w:ascii="Book Antiqua" w:hAnsi="Book Antiqua"/>
        </w:rPr>
        <w:t xml:space="preserve">Great interest </w:t>
      </w:r>
      <w:r w:rsidR="00E36896" w:rsidRPr="009B04A5">
        <w:rPr>
          <w:rFonts w:ascii="Book Antiqua" w:hAnsi="Book Antiqua"/>
        </w:rPr>
        <w:t xml:space="preserve">has </w:t>
      </w:r>
      <w:r w:rsidRPr="009B04A5">
        <w:rPr>
          <w:rFonts w:ascii="Book Antiqua" w:hAnsi="Book Antiqua"/>
        </w:rPr>
        <w:t xml:space="preserve">emerged in modulating miRNA expression for therapeutic purposes. </w:t>
      </w:r>
      <w:r w:rsidR="00754340" w:rsidRPr="009B04A5">
        <w:rPr>
          <w:rStyle w:val="tlid-translation"/>
          <w:rFonts w:ascii="Book Antiqua" w:hAnsi="Book Antiqua"/>
        </w:rPr>
        <w:t>Many scientific studies have shown that these molecules play an important role</w:t>
      </w:r>
      <w:r w:rsidR="008F06DB" w:rsidRPr="009B04A5">
        <w:rPr>
          <w:rFonts w:ascii="Book Antiqua" w:hAnsi="Book Antiqua"/>
        </w:rPr>
        <w:t xml:space="preserve"> as regulators of genes in many organisms</w:t>
      </w:r>
      <w:r w:rsidR="00596FDE" w:rsidRPr="009B04A5">
        <w:rPr>
          <w:rFonts w:ascii="Book Antiqua" w:hAnsi="Book Antiqua"/>
        </w:rPr>
        <w:t>,</w:t>
      </w:r>
      <w:r w:rsidR="008F06DB" w:rsidRPr="009B04A5">
        <w:rPr>
          <w:rFonts w:ascii="Book Antiqua" w:hAnsi="Book Antiqua"/>
        </w:rPr>
        <w:t xml:space="preserve"> and </w:t>
      </w:r>
      <w:r w:rsidR="00596FDE" w:rsidRPr="009B04A5">
        <w:rPr>
          <w:rFonts w:ascii="Book Antiqua" w:hAnsi="Book Antiqua"/>
        </w:rPr>
        <w:t xml:space="preserve">miRNAs </w:t>
      </w:r>
      <w:r w:rsidR="008F06DB" w:rsidRPr="009B04A5">
        <w:rPr>
          <w:rFonts w:ascii="Book Antiqua" w:hAnsi="Book Antiqua"/>
        </w:rPr>
        <w:t xml:space="preserve">have already been implicated in a growing number of </w:t>
      </w:r>
      <w:r w:rsidR="00D8566C" w:rsidRPr="009B04A5">
        <w:rPr>
          <w:rFonts w:ascii="Book Antiqua" w:hAnsi="Book Antiqua"/>
        </w:rPr>
        <w:t xml:space="preserve">human </w:t>
      </w:r>
      <w:r w:rsidR="008F06DB" w:rsidRPr="009B04A5">
        <w:rPr>
          <w:rFonts w:ascii="Book Antiqua" w:hAnsi="Book Antiqua"/>
        </w:rPr>
        <w:t>diseases,</w:t>
      </w:r>
      <w:r w:rsidR="00AE37C0" w:rsidRPr="009B04A5">
        <w:rPr>
          <w:rFonts w:ascii="Book Antiqua" w:hAnsi="Book Antiqua"/>
        </w:rPr>
        <w:t xml:space="preserve"> including</w:t>
      </w:r>
      <w:r w:rsidR="008F06DB" w:rsidRPr="009B04A5">
        <w:rPr>
          <w:rFonts w:ascii="Book Antiqua" w:hAnsi="Book Antiqua"/>
        </w:rPr>
        <w:t xml:space="preserve"> cancers</w:t>
      </w:r>
      <w:r w:rsidR="00153928" w:rsidRPr="009B04A5">
        <w:rPr>
          <w:rFonts w:ascii="Book Antiqua" w:hAnsi="Book Antiqua"/>
          <w:vertAlign w:val="superscript"/>
        </w:rPr>
        <w:t>[12,16,17]</w:t>
      </w:r>
      <w:r w:rsidR="00040561" w:rsidRPr="009B04A5">
        <w:rPr>
          <w:rFonts w:ascii="Book Antiqua" w:hAnsi="Book Antiqua"/>
        </w:rPr>
        <w:t xml:space="preserve">. miRNAs can act as either oncogenes and/or tumor suppressors, contributing to </w:t>
      </w:r>
      <w:r w:rsidR="00040561" w:rsidRPr="009B04A5">
        <w:rPr>
          <w:rFonts w:ascii="Book Antiqua" w:hAnsi="Book Antiqua"/>
        </w:rPr>
        <w:lastRenderedPageBreak/>
        <w:t>malignant transformation in solid and hematological tumors</w:t>
      </w:r>
      <w:r w:rsidR="00153928" w:rsidRPr="009B04A5">
        <w:rPr>
          <w:rFonts w:ascii="Book Antiqua" w:hAnsi="Book Antiqua"/>
          <w:vertAlign w:val="superscript"/>
        </w:rPr>
        <w:t>[18,19]</w:t>
      </w:r>
      <w:r w:rsidR="004048B8" w:rsidRPr="009B04A5">
        <w:rPr>
          <w:rFonts w:ascii="Book Antiqua" w:hAnsi="Book Antiqua"/>
        </w:rPr>
        <w:t xml:space="preserve">. miRNAs that typically target a tumor suppressor are classified as </w:t>
      </w:r>
      <w:r w:rsidR="004048B8" w:rsidRPr="009B04A5">
        <w:rPr>
          <w:rStyle w:val="topic-highlight"/>
          <w:rFonts w:ascii="Book Antiqua" w:hAnsi="Book Antiqua"/>
        </w:rPr>
        <w:t>oncomiRs</w:t>
      </w:r>
      <w:r w:rsidR="004048B8" w:rsidRPr="009B04A5">
        <w:rPr>
          <w:rFonts w:ascii="Book Antiqua" w:hAnsi="Book Antiqua"/>
        </w:rPr>
        <w:t xml:space="preserve"> and are generally upregulated in different types of cancer. MiRNAs, which downregulate oncogenes, are defined as tumor suppressor miRs</w:t>
      </w:r>
      <w:r w:rsidR="00153928" w:rsidRPr="009B04A5">
        <w:rPr>
          <w:rFonts w:ascii="Book Antiqua" w:hAnsi="Book Antiqua"/>
          <w:vertAlign w:val="superscript"/>
        </w:rPr>
        <w:t>[19]</w:t>
      </w:r>
      <w:r w:rsidR="004048B8" w:rsidRPr="009B04A5">
        <w:rPr>
          <w:rFonts w:ascii="Book Antiqua" w:hAnsi="Book Antiqua"/>
        </w:rPr>
        <w:t>. Promoter methylation, mutation</w:t>
      </w:r>
      <w:r w:rsidR="00E36896" w:rsidRPr="009B04A5">
        <w:rPr>
          <w:rFonts w:ascii="Book Antiqua" w:hAnsi="Book Antiqua"/>
        </w:rPr>
        <w:t>,</w:t>
      </w:r>
      <w:r w:rsidR="004048B8" w:rsidRPr="009B04A5">
        <w:rPr>
          <w:rFonts w:ascii="Book Antiqua" w:hAnsi="Book Antiqua"/>
        </w:rPr>
        <w:t xml:space="preserve"> or deletion or defective miRNA processing </w:t>
      </w:r>
      <w:r w:rsidR="001A7D8D" w:rsidRPr="009B04A5">
        <w:rPr>
          <w:rStyle w:val="tlid-translation"/>
          <w:rFonts w:ascii="Book Antiqua" w:hAnsi="Book Antiqua"/>
        </w:rPr>
        <w:t xml:space="preserve">often leads to loss of </w:t>
      </w:r>
      <w:r w:rsidR="004048B8" w:rsidRPr="009B04A5">
        <w:rPr>
          <w:rFonts w:ascii="Book Antiqua" w:hAnsi="Book Antiqua"/>
        </w:rPr>
        <w:t>suppressor miRs in cancer</w:t>
      </w:r>
      <w:r w:rsidR="00153928" w:rsidRPr="009B04A5">
        <w:rPr>
          <w:rFonts w:ascii="Book Antiqua" w:hAnsi="Book Antiqua"/>
          <w:vertAlign w:val="superscript"/>
        </w:rPr>
        <w:t>[20]</w:t>
      </w:r>
      <w:r w:rsidR="001A7D8D" w:rsidRPr="009B04A5">
        <w:rPr>
          <w:rFonts w:ascii="Book Antiqua" w:hAnsi="Book Antiqua"/>
        </w:rPr>
        <w:t>.</w:t>
      </w:r>
      <w:r w:rsidR="00CD2AB6" w:rsidRPr="009B04A5">
        <w:rPr>
          <w:rFonts w:ascii="Book Antiqua" w:hAnsi="Book Antiqua"/>
          <w:lang w:eastAsia="pl-PL"/>
        </w:rPr>
        <w:t xml:space="preserve"> Some miRNAs may exert contrasting oncogenic/tumor-suppressive effects on cancer-modifying extrinsic factors and the leukemic cells themselves (</w:t>
      </w:r>
      <w:r w:rsidR="003F6944" w:rsidRPr="009B04A5">
        <w:rPr>
          <w:rFonts w:ascii="Book Antiqua" w:hAnsi="Book Antiqua"/>
        </w:rPr>
        <w:t>Figure 1</w:t>
      </w:r>
      <w:r w:rsidR="00DA2811" w:rsidRPr="009B04A5">
        <w:rPr>
          <w:rFonts w:ascii="Book Antiqua" w:hAnsi="Book Antiqua"/>
          <w:lang w:eastAsia="pl-PL"/>
        </w:rPr>
        <w:t>).</w:t>
      </w:r>
    </w:p>
    <w:p w:rsidR="0030345D" w:rsidRPr="009B04A5" w:rsidRDefault="000C1753" w:rsidP="00C709AE">
      <w:pPr>
        <w:adjustRightInd w:val="0"/>
        <w:snapToGrid w:val="0"/>
        <w:spacing w:line="360" w:lineRule="auto"/>
        <w:ind w:firstLineChars="100" w:firstLine="240"/>
        <w:rPr>
          <w:rFonts w:ascii="Book Antiqua" w:hAnsi="Book Antiqua"/>
        </w:rPr>
      </w:pPr>
      <w:r w:rsidRPr="009B04A5">
        <w:rPr>
          <w:rFonts w:ascii="Book Antiqua" w:hAnsi="Book Antiqua"/>
        </w:rPr>
        <w:t xml:space="preserve">Deregulation of </w:t>
      </w:r>
      <w:r w:rsidR="00AE37C0" w:rsidRPr="009B04A5">
        <w:rPr>
          <w:rFonts w:ascii="Book Antiqua" w:hAnsi="Book Antiqua"/>
        </w:rPr>
        <w:t>miRNA</w:t>
      </w:r>
      <w:r w:rsidRPr="009B04A5">
        <w:rPr>
          <w:rFonts w:ascii="Book Antiqua" w:hAnsi="Book Antiqua"/>
        </w:rPr>
        <w:t xml:space="preserve"> expression </w:t>
      </w:r>
      <w:r w:rsidR="00AE37C0" w:rsidRPr="009B04A5">
        <w:rPr>
          <w:rFonts w:ascii="Book Antiqua" w:hAnsi="Book Antiqua"/>
        </w:rPr>
        <w:t>patterns</w:t>
      </w:r>
      <w:r w:rsidRPr="009B04A5">
        <w:rPr>
          <w:rFonts w:ascii="Book Antiqua" w:hAnsi="Book Antiqua"/>
        </w:rPr>
        <w:t xml:space="preserve"> is a hallmark of </w:t>
      </w:r>
      <w:r w:rsidRPr="009B04A5">
        <w:rPr>
          <w:rFonts w:ascii="Book Antiqua" w:hAnsi="Book Antiqua"/>
          <w:lang w:eastAsia="pl-PL"/>
        </w:rPr>
        <w:t>hematological malignancies</w:t>
      </w:r>
      <w:r w:rsidRPr="009B04A5">
        <w:rPr>
          <w:rFonts w:ascii="Book Antiqua" w:hAnsi="Book Antiqua"/>
        </w:rPr>
        <w:t xml:space="preserve"> and can be </w:t>
      </w:r>
      <w:r w:rsidRPr="009B04A5">
        <w:rPr>
          <w:rFonts w:ascii="Book Antiqua" w:hAnsi="Book Antiqua"/>
          <w:lang w:eastAsia="pl-PL"/>
        </w:rPr>
        <w:t>useful for the classification of</w:t>
      </w:r>
      <w:r w:rsidR="00AE37C0" w:rsidRPr="009B04A5">
        <w:rPr>
          <w:rFonts w:ascii="Book Antiqua" w:hAnsi="Book Antiqua"/>
          <w:lang w:eastAsia="pl-PL"/>
        </w:rPr>
        <w:t xml:space="preserve"> AL</w:t>
      </w:r>
      <w:r w:rsidRPr="009B04A5">
        <w:rPr>
          <w:rFonts w:ascii="Book Antiqua" w:hAnsi="Book Antiqua"/>
          <w:lang w:eastAsia="pl-PL"/>
        </w:rPr>
        <w:t xml:space="preserve"> genetic subtypes</w:t>
      </w:r>
      <w:r w:rsidR="00AE37C0" w:rsidRPr="009B04A5">
        <w:rPr>
          <w:rFonts w:ascii="Book Antiqua" w:hAnsi="Book Antiqua"/>
          <w:lang w:eastAsia="pl-PL"/>
        </w:rPr>
        <w:t>, which are</w:t>
      </w:r>
      <w:r w:rsidRPr="009B04A5">
        <w:rPr>
          <w:rFonts w:ascii="Book Antiqua" w:hAnsi="Book Antiqua"/>
          <w:lang w:eastAsia="pl-PL"/>
        </w:rPr>
        <w:t xml:space="preserve"> important for differential diagnosis, prognosis</w:t>
      </w:r>
      <w:r w:rsidR="00E36896" w:rsidRPr="009B04A5">
        <w:rPr>
          <w:rFonts w:ascii="Book Antiqua" w:hAnsi="Book Antiqua"/>
          <w:lang w:eastAsia="pl-PL"/>
        </w:rPr>
        <w:t>,</w:t>
      </w:r>
      <w:r w:rsidRPr="009B04A5">
        <w:rPr>
          <w:rFonts w:ascii="Book Antiqua" w:hAnsi="Book Antiqua"/>
          <w:lang w:eastAsia="pl-PL"/>
        </w:rPr>
        <w:t xml:space="preserve"> and treatment monitoring. These molecules </w:t>
      </w:r>
      <w:r w:rsidRPr="009B04A5">
        <w:rPr>
          <w:rFonts w:ascii="Book Antiqua" w:hAnsi="Book Antiqua"/>
        </w:rPr>
        <w:t xml:space="preserve">control the levels of potentially large numbers of proteins, many of which might be important drug targets, </w:t>
      </w:r>
      <w:r w:rsidR="008A012E" w:rsidRPr="009B04A5">
        <w:rPr>
          <w:rFonts w:ascii="Book Antiqua" w:hAnsi="Book Antiqua"/>
        </w:rPr>
        <w:t xml:space="preserve">and </w:t>
      </w:r>
      <w:r w:rsidRPr="009B04A5">
        <w:rPr>
          <w:rFonts w:ascii="Book Antiqua" w:hAnsi="Book Antiqua"/>
        </w:rPr>
        <w:t>are useful</w:t>
      </w:r>
      <w:r w:rsidRPr="009B04A5">
        <w:rPr>
          <w:rFonts w:ascii="Book Antiqua" w:hAnsi="Book Antiqua"/>
          <w:lang w:eastAsia="pl-PL"/>
        </w:rPr>
        <w:t xml:space="preserve"> in </w:t>
      </w:r>
      <w:r w:rsidR="00AE37C0" w:rsidRPr="009B04A5">
        <w:rPr>
          <w:rFonts w:ascii="Book Antiqua" w:hAnsi="Book Antiqua"/>
          <w:lang w:eastAsia="pl-PL"/>
        </w:rPr>
        <w:t xml:space="preserve">the </w:t>
      </w:r>
      <w:r w:rsidRPr="009B04A5">
        <w:rPr>
          <w:rFonts w:ascii="Book Antiqua" w:hAnsi="Book Antiqua"/>
          <w:lang w:eastAsia="pl-PL"/>
        </w:rPr>
        <w:t>development of new therapeutic regimens</w:t>
      </w:r>
      <w:r w:rsidR="00153928" w:rsidRPr="009B04A5">
        <w:rPr>
          <w:rFonts w:ascii="Book Antiqua" w:hAnsi="Book Antiqua"/>
          <w:vertAlign w:val="superscript"/>
          <w:lang w:eastAsia="pl-PL"/>
        </w:rPr>
        <w:t>[21]</w:t>
      </w:r>
      <w:r w:rsidRPr="009B04A5">
        <w:rPr>
          <w:rFonts w:ascii="Book Antiqua" w:hAnsi="Book Antiqua"/>
          <w:lang w:eastAsia="pl-PL"/>
        </w:rPr>
        <w:t xml:space="preserve">. Cancer-specific miRNA </w:t>
      </w:r>
      <w:r w:rsidR="00A12BD6" w:rsidRPr="009B04A5">
        <w:rPr>
          <w:rFonts w:ascii="Book Antiqua" w:hAnsi="Book Antiqua"/>
          <w:lang w:eastAsia="pl-PL"/>
        </w:rPr>
        <w:t>signatures correlated</w:t>
      </w:r>
      <w:r w:rsidRPr="009B04A5">
        <w:rPr>
          <w:rFonts w:ascii="Book Antiqua" w:hAnsi="Book Antiqua"/>
          <w:lang w:eastAsia="pl-PL"/>
        </w:rPr>
        <w:t xml:space="preserve"> with diagnosis, progression, prognosis, and response to treatment were </w:t>
      </w:r>
      <w:r w:rsidR="00A12BD6" w:rsidRPr="009B04A5">
        <w:rPr>
          <w:rFonts w:ascii="Book Antiqua" w:hAnsi="Book Antiqua"/>
          <w:lang w:eastAsia="pl-PL"/>
        </w:rPr>
        <w:t xml:space="preserve">determined for </w:t>
      </w:r>
      <w:r w:rsidRPr="009B04A5">
        <w:rPr>
          <w:rFonts w:ascii="Book Antiqua" w:hAnsi="Book Antiqua"/>
          <w:lang w:eastAsia="pl-PL"/>
        </w:rPr>
        <w:t>many cancers,</w:t>
      </w:r>
      <w:r w:rsidR="00AE37C0" w:rsidRPr="009B04A5">
        <w:rPr>
          <w:rFonts w:ascii="Book Antiqua" w:hAnsi="Book Antiqua"/>
          <w:lang w:eastAsia="pl-PL"/>
        </w:rPr>
        <w:t xml:space="preserve"> including</w:t>
      </w:r>
      <w:r w:rsidRPr="009B04A5">
        <w:rPr>
          <w:rFonts w:ascii="Book Antiqua" w:hAnsi="Book Antiqua"/>
          <w:lang w:eastAsia="pl-PL"/>
        </w:rPr>
        <w:t xml:space="preserve"> childhood leukemia. </w:t>
      </w:r>
      <w:r w:rsidRPr="009B04A5">
        <w:rPr>
          <w:rStyle w:val="tlid-translation"/>
          <w:rFonts w:ascii="Book Antiqua" w:hAnsi="Book Antiqua"/>
        </w:rPr>
        <w:t>Although the importance of miRNA molecules in the genetic basis of leukemia is documented in an increasing number of publications,</w:t>
      </w:r>
      <w:r w:rsidRPr="009B04A5">
        <w:rPr>
          <w:rFonts w:ascii="Book Antiqua" w:hAnsi="Book Antiqua"/>
          <w:lang w:eastAsia="pl-PL"/>
        </w:rPr>
        <w:t xml:space="preserve"> </w:t>
      </w:r>
      <w:r w:rsidR="00AE37C0" w:rsidRPr="009B04A5">
        <w:rPr>
          <w:rFonts w:ascii="Book Antiqua" w:hAnsi="Book Antiqua"/>
          <w:lang w:eastAsia="pl-PL"/>
        </w:rPr>
        <w:t xml:space="preserve">the </w:t>
      </w:r>
      <w:r w:rsidRPr="009B04A5">
        <w:rPr>
          <w:rFonts w:ascii="Book Antiqua" w:hAnsi="Book Antiqua"/>
          <w:lang w:eastAsia="pl-PL"/>
        </w:rPr>
        <w:t xml:space="preserve">role of miRNAs in pediatric </w:t>
      </w:r>
      <w:r w:rsidR="00AF6ABD" w:rsidRPr="009B04A5">
        <w:rPr>
          <w:rFonts w:ascii="Book Antiqua" w:hAnsi="Book Antiqua"/>
          <w:lang w:eastAsia="pl-PL"/>
        </w:rPr>
        <w:t>AL</w:t>
      </w:r>
      <w:r w:rsidRPr="009B04A5">
        <w:rPr>
          <w:rFonts w:ascii="Book Antiqua" w:hAnsi="Book Antiqua"/>
          <w:lang w:eastAsia="pl-PL"/>
        </w:rPr>
        <w:t xml:space="preserve"> still needs to be established.</w:t>
      </w:r>
      <w:r w:rsidR="0030345D" w:rsidRPr="009B04A5">
        <w:rPr>
          <w:rStyle w:val="a3"/>
          <w:rFonts w:ascii="Book Antiqua" w:hAnsi="Book Antiqua"/>
          <w:color w:val="auto"/>
          <w:u w:val="none"/>
        </w:rPr>
        <w:t xml:space="preserve"> </w:t>
      </w:r>
      <w:r w:rsidRPr="009B04A5">
        <w:rPr>
          <w:rStyle w:val="tlid-translation"/>
          <w:rFonts w:ascii="Book Antiqua" w:hAnsi="Book Antiqua"/>
        </w:rPr>
        <w:t xml:space="preserve">Profiling </w:t>
      </w:r>
      <w:r w:rsidR="00AE37C0" w:rsidRPr="009B04A5">
        <w:rPr>
          <w:rStyle w:val="tlid-translation"/>
          <w:rFonts w:ascii="Book Antiqua" w:hAnsi="Book Antiqua"/>
        </w:rPr>
        <w:t xml:space="preserve">the </w:t>
      </w:r>
      <w:r w:rsidRPr="009B04A5">
        <w:rPr>
          <w:rStyle w:val="tlid-translation"/>
          <w:rFonts w:ascii="Book Antiqua" w:hAnsi="Book Antiqua"/>
        </w:rPr>
        <w:t xml:space="preserve">expression levels of miRNA </w:t>
      </w:r>
      <w:r w:rsidRPr="009B04A5">
        <w:rPr>
          <w:rFonts w:ascii="Book Antiqua" w:hAnsi="Book Antiqua"/>
        </w:rPr>
        <w:t>molecules at several levels with unprecedented resolution, depth</w:t>
      </w:r>
      <w:r w:rsidR="00E36896" w:rsidRPr="009B04A5">
        <w:rPr>
          <w:rFonts w:ascii="Book Antiqua" w:hAnsi="Book Antiqua"/>
        </w:rPr>
        <w:t>,</w:t>
      </w:r>
      <w:r w:rsidRPr="009B04A5">
        <w:rPr>
          <w:rFonts w:ascii="Book Antiqua" w:hAnsi="Book Antiqua"/>
        </w:rPr>
        <w:t xml:space="preserve"> and speed</w:t>
      </w:r>
      <w:r w:rsidRPr="009B04A5">
        <w:rPr>
          <w:rStyle w:val="tlid-translation"/>
          <w:rFonts w:ascii="Book Antiqua" w:hAnsi="Book Antiqua"/>
        </w:rPr>
        <w:t xml:space="preserve"> is possible thanks to the development of high-throughput technologies, such as</w:t>
      </w:r>
      <w:r w:rsidRPr="009B04A5">
        <w:rPr>
          <w:rFonts w:ascii="Book Antiqua" w:hAnsi="Book Antiqua"/>
        </w:rPr>
        <w:t xml:space="preserve"> next</w:t>
      </w:r>
      <w:r w:rsidR="00AE37C0" w:rsidRPr="009B04A5">
        <w:rPr>
          <w:rFonts w:ascii="Book Antiqua" w:hAnsi="Book Antiqua"/>
        </w:rPr>
        <w:t>-</w:t>
      </w:r>
      <w:r w:rsidRPr="009B04A5">
        <w:rPr>
          <w:rFonts w:ascii="Book Antiqua" w:hAnsi="Book Antiqua"/>
        </w:rPr>
        <w:t>generation sequencing, microarrays, mass spectrometry</w:t>
      </w:r>
      <w:r w:rsidR="00E36896" w:rsidRPr="009B04A5">
        <w:rPr>
          <w:rFonts w:ascii="Book Antiqua" w:hAnsi="Book Antiqua"/>
        </w:rPr>
        <w:t>,</w:t>
      </w:r>
      <w:r w:rsidRPr="009B04A5">
        <w:rPr>
          <w:rFonts w:ascii="Book Antiqua" w:hAnsi="Book Antiqua"/>
        </w:rPr>
        <w:t xml:space="preserve"> and new bioinformatics tools</w:t>
      </w:r>
      <w:r w:rsidR="00153928" w:rsidRPr="009B04A5">
        <w:rPr>
          <w:rFonts w:ascii="Book Antiqua" w:hAnsi="Book Antiqua"/>
          <w:vertAlign w:val="superscript"/>
        </w:rPr>
        <w:t>[15,22]</w:t>
      </w:r>
      <w:r w:rsidRPr="009B04A5">
        <w:rPr>
          <w:rFonts w:ascii="Book Antiqua" w:hAnsi="Book Antiqua"/>
        </w:rPr>
        <w:t>.</w:t>
      </w:r>
    </w:p>
    <w:p w:rsidR="00EF53E7" w:rsidRPr="009B04A5" w:rsidRDefault="00EF53E7" w:rsidP="00C709AE">
      <w:pPr>
        <w:adjustRightInd w:val="0"/>
        <w:snapToGrid w:val="0"/>
        <w:spacing w:line="360" w:lineRule="auto"/>
        <w:ind w:firstLineChars="100" w:firstLine="240"/>
        <w:rPr>
          <w:rFonts w:ascii="Book Antiqua" w:hAnsi="Book Antiqua"/>
        </w:rPr>
      </w:pPr>
      <w:r w:rsidRPr="009B04A5">
        <w:rPr>
          <w:rFonts w:ascii="Book Antiqua" w:hAnsi="Book Antiqua"/>
        </w:rPr>
        <w:t>In the current review, the role of miRNAs in the development, progression</w:t>
      </w:r>
      <w:r w:rsidR="00E36896" w:rsidRPr="009B04A5">
        <w:rPr>
          <w:rFonts w:ascii="Book Antiqua" w:hAnsi="Book Antiqua"/>
        </w:rPr>
        <w:t>,</w:t>
      </w:r>
      <w:r w:rsidRPr="009B04A5">
        <w:rPr>
          <w:rFonts w:ascii="Book Antiqua" w:hAnsi="Book Antiqua"/>
        </w:rPr>
        <w:t xml:space="preserve"> and therapy monitoring of pediatric </w:t>
      </w:r>
      <w:r w:rsidR="000C6B11" w:rsidRPr="009B04A5">
        <w:rPr>
          <w:rFonts w:ascii="Book Antiqua" w:hAnsi="Book Antiqua"/>
        </w:rPr>
        <w:t>AL</w:t>
      </w:r>
      <w:r w:rsidRPr="009B04A5">
        <w:rPr>
          <w:rFonts w:ascii="Book Antiqua" w:hAnsi="Book Antiqua"/>
        </w:rPr>
        <w:t>s will be presented and discussed.</w:t>
      </w:r>
    </w:p>
    <w:p w:rsidR="0030345D" w:rsidRPr="009B04A5" w:rsidRDefault="0030345D" w:rsidP="00C709AE">
      <w:pPr>
        <w:adjustRightInd w:val="0"/>
        <w:snapToGrid w:val="0"/>
        <w:spacing w:line="360" w:lineRule="auto"/>
        <w:ind w:firstLineChars="100" w:firstLine="240"/>
        <w:rPr>
          <w:rFonts w:ascii="Book Antiqua" w:hAnsi="Book Antiqua"/>
        </w:rPr>
      </w:pPr>
    </w:p>
    <w:p w:rsidR="00186712" w:rsidRPr="009B04A5" w:rsidRDefault="00897F9D" w:rsidP="00C709AE">
      <w:pPr>
        <w:adjustRightInd w:val="0"/>
        <w:snapToGrid w:val="0"/>
        <w:spacing w:line="360" w:lineRule="auto"/>
        <w:ind w:firstLine="0"/>
        <w:rPr>
          <w:rFonts w:ascii="Book Antiqua" w:hAnsi="Book Antiqua"/>
          <w:u w:val="single"/>
        </w:rPr>
      </w:pPr>
      <w:r w:rsidRPr="009B04A5">
        <w:rPr>
          <w:rFonts w:ascii="Book Antiqua" w:hAnsi="Book Antiqua"/>
          <w:b/>
          <w:u w:val="single"/>
        </w:rPr>
        <w:t>ROLE OF MICRORNA IN DIAGNOSIS AND CLASSIFICATION</w:t>
      </w:r>
    </w:p>
    <w:p w:rsidR="0030345D" w:rsidRPr="009B04A5" w:rsidRDefault="00186712" w:rsidP="00C709AE">
      <w:pPr>
        <w:adjustRightInd w:val="0"/>
        <w:snapToGrid w:val="0"/>
        <w:spacing w:line="360" w:lineRule="auto"/>
        <w:ind w:firstLine="0"/>
        <w:rPr>
          <w:rFonts w:ascii="Book Antiqua" w:hAnsi="Book Antiqua"/>
          <w:lang w:eastAsia="pl-PL"/>
        </w:rPr>
      </w:pPr>
      <w:r w:rsidRPr="009B04A5">
        <w:rPr>
          <w:rFonts w:ascii="Book Antiqua" w:hAnsi="Book Antiqua"/>
          <w:lang w:eastAsia="pl-PL"/>
        </w:rPr>
        <w:t xml:space="preserve">It is very important in the treatment of </w:t>
      </w:r>
      <w:r w:rsidR="000C6B11" w:rsidRPr="009B04A5">
        <w:rPr>
          <w:rFonts w:ascii="Book Antiqua" w:hAnsi="Book Antiqua"/>
          <w:lang w:eastAsia="pl-PL"/>
        </w:rPr>
        <w:t>AL</w:t>
      </w:r>
      <w:r w:rsidR="00467322" w:rsidRPr="009B04A5">
        <w:rPr>
          <w:rFonts w:ascii="Book Antiqua" w:hAnsi="Book Antiqua"/>
          <w:lang w:eastAsia="pl-PL"/>
        </w:rPr>
        <w:t xml:space="preserve"> to treat patients in the right risk groups</w:t>
      </w:r>
      <w:r w:rsidRPr="009B04A5">
        <w:rPr>
          <w:rFonts w:ascii="Book Antiqua" w:hAnsi="Book Antiqua"/>
          <w:lang w:eastAsia="pl-PL"/>
        </w:rPr>
        <w:t xml:space="preserve">, which allows both </w:t>
      </w:r>
      <w:r w:rsidR="00AE37C0" w:rsidRPr="009B04A5">
        <w:rPr>
          <w:rFonts w:ascii="Book Antiqua" w:hAnsi="Book Antiqua"/>
          <w:lang w:eastAsia="pl-PL"/>
        </w:rPr>
        <w:t xml:space="preserve">maximizing </w:t>
      </w:r>
      <w:r w:rsidRPr="009B04A5">
        <w:rPr>
          <w:rFonts w:ascii="Book Antiqua" w:hAnsi="Book Antiqua"/>
          <w:lang w:eastAsia="pl-PL"/>
        </w:rPr>
        <w:t xml:space="preserve">the effectiveness of therapy and </w:t>
      </w:r>
      <w:r w:rsidR="00AE37C0" w:rsidRPr="009B04A5">
        <w:rPr>
          <w:rFonts w:ascii="Book Antiqua" w:hAnsi="Book Antiqua"/>
          <w:lang w:eastAsia="pl-PL"/>
        </w:rPr>
        <w:t>minimizing</w:t>
      </w:r>
      <w:r w:rsidRPr="009B04A5">
        <w:rPr>
          <w:rFonts w:ascii="Book Antiqua" w:hAnsi="Book Antiqua"/>
          <w:lang w:eastAsia="pl-PL"/>
        </w:rPr>
        <w:t xml:space="preserve"> its toxicity. At present, the exact stratification of patients into relevant genetic subclasses, and </w:t>
      </w:r>
      <w:r w:rsidR="0020088E" w:rsidRPr="009B04A5">
        <w:rPr>
          <w:rFonts w:ascii="Book Antiqua" w:hAnsi="Book Antiqua"/>
          <w:lang w:eastAsia="pl-PL"/>
        </w:rPr>
        <w:t xml:space="preserve">subsequent </w:t>
      </w:r>
      <w:r w:rsidRPr="009B04A5">
        <w:rPr>
          <w:rFonts w:ascii="Book Antiqua" w:hAnsi="Book Antiqua"/>
          <w:lang w:eastAsia="pl-PL"/>
        </w:rPr>
        <w:t xml:space="preserve">risk groups, is still a laborious and expensive diagnostic </w:t>
      </w:r>
      <w:r w:rsidRPr="009B04A5">
        <w:rPr>
          <w:rFonts w:ascii="Book Antiqua" w:hAnsi="Book Antiqua"/>
          <w:lang w:eastAsia="pl-PL"/>
        </w:rPr>
        <w:lastRenderedPageBreak/>
        <w:t>process, including comprehensive morphology, immunophenotype, cytogenetics, response to induction therapy</w:t>
      </w:r>
      <w:r w:rsidR="00E36896" w:rsidRPr="009B04A5">
        <w:rPr>
          <w:rFonts w:ascii="Book Antiqua" w:hAnsi="Book Antiqua"/>
          <w:lang w:eastAsia="pl-PL"/>
        </w:rPr>
        <w:t>,</w:t>
      </w:r>
      <w:r w:rsidRPr="009B04A5">
        <w:rPr>
          <w:rFonts w:ascii="Book Antiqua" w:hAnsi="Book Antiqua"/>
          <w:lang w:eastAsia="pl-PL"/>
        </w:rPr>
        <w:t xml:space="preserve"> and genetic testing</w:t>
      </w:r>
      <w:r w:rsidR="00153928" w:rsidRPr="009B04A5">
        <w:rPr>
          <w:rFonts w:ascii="Book Antiqua" w:hAnsi="Book Antiqua"/>
          <w:vertAlign w:val="superscript"/>
          <w:lang w:eastAsia="pl-PL"/>
        </w:rPr>
        <w:t>[23-26]</w:t>
      </w:r>
      <w:r w:rsidRPr="009B04A5">
        <w:rPr>
          <w:rFonts w:ascii="Book Antiqua" w:hAnsi="Book Antiqua"/>
          <w:lang w:eastAsia="pl-PL"/>
        </w:rPr>
        <w:t>.</w:t>
      </w:r>
    </w:p>
    <w:p w:rsidR="0030345D" w:rsidRPr="009B04A5" w:rsidRDefault="00186712" w:rsidP="00C709AE">
      <w:pPr>
        <w:adjustRightInd w:val="0"/>
        <w:snapToGrid w:val="0"/>
        <w:spacing w:line="360" w:lineRule="auto"/>
        <w:ind w:firstLineChars="100" w:firstLine="240"/>
        <w:rPr>
          <w:rFonts w:ascii="Book Antiqua" w:hAnsi="Book Antiqua"/>
          <w:lang w:eastAsia="pl-PL"/>
        </w:rPr>
      </w:pPr>
      <w:r w:rsidRPr="009B04A5">
        <w:rPr>
          <w:rFonts w:ascii="Book Antiqua" w:hAnsi="Book Antiqua"/>
          <w:lang w:eastAsia="pl-PL"/>
        </w:rPr>
        <w:t xml:space="preserve">Currently, several types of classification can be specified in </w:t>
      </w:r>
      <w:r w:rsidR="000C6B11" w:rsidRPr="009B04A5">
        <w:rPr>
          <w:rFonts w:ascii="Book Antiqua" w:hAnsi="Book Antiqua"/>
          <w:lang w:eastAsia="pl-PL"/>
        </w:rPr>
        <w:t>AL</w:t>
      </w:r>
      <w:r w:rsidRPr="009B04A5">
        <w:rPr>
          <w:rFonts w:ascii="Book Antiqua" w:hAnsi="Book Antiqua"/>
          <w:lang w:eastAsia="pl-PL"/>
        </w:rPr>
        <w:t>. The main</w:t>
      </w:r>
      <w:r w:rsidR="00112401" w:rsidRPr="009B04A5">
        <w:rPr>
          <w:rFonts w:ascii="Book Antiqua" w:hAnsi="Book Antiqua"/>
          <w:lang w:eastAsia="pl-PL"/>
        </w:rPr>
        <w:t xml:space="preserve"> ones</w:t>
      </w:r>
      <w:r w:rsidRPr="009B04A5">
        <w:rPr>
          <w:rFonts w:ascii="Book Antiqua" w:hAnsi="Book Antiqua"/>
          <w:lang w:eastAsia="pl-PL"/>
        </w:rPr>
        <w:t xml:space="preserve"> are</w:t>
      </w:r>
      <w:r w:rsidR="00112401" w:rsidRPr="009B04A5">
        <w:rPr>
          <w:rFonts w:ascii="Book Antiqua" w:hAnsi="Book Antiqua"/>
          <w:lang w:eastAsia="pl-PL"/>
        </w:rPr>
        <w:t>:</w:t>
      </w:r>
      <w:r w:rsidRPr="009B04A5">
        <w:rPr>
          <w:rFonts w:ascii="Book Antiqua" w:hAnsi="Book Antiqua"/>
          <w:lang w:eastAsia="pl-PL"/>
        </w:rPr>
        <w:t xml:space="preserve"> (</w:t>
      </w:r>
      <w:r w:rsidR="0030345D" w:rsidRPr="009B04A5">
        <w:rPr>
          <w:rFonts w:ascii="Book Antiqua" w:hAnsi="Book Antiqua"/>
          <w:lang w:eastAsia="pl-PL"/>
        </w:rPr>
        <w:t>A</w:t>
      </w:r>
      <w:r w:rsidRPr="009B04A5">
        <w:rPr>
          <w:rFonts w:ascii="Book Antiqua" w:hAnsi="Book Antiqua"/>
          <w:lang w:eastAsia="pl-PL"/>
        </w:rPr>
        <w:t xml:space="preserve">) </w:t>
      </w:r>
      <w:r w:rsidR="00112401" w:rsidRPr="009B04A5">
        <w:rPr>
          <w:rFonts w:ascii="Book Antiqua" w:hAnsi="Book Antiqua"/>
          <w:lang w:eastAsia="pl-PL"/>
        </w:rPr>
        <w:t>French-American-British (</w:t>
      </w:r>
      <w:r w:rsidRPr="009B04A5">
        <w:rPr>
          <w:rFonts w:ascii="Book Antiqua" w:hAnsi="Book Antiqua"/>
          <w:lang w:eastAsia="pl-PL"/>
        </w:rPr>
        <w:t>FAB</w:t>
      </w:r>
      <w:r w:rsidR="00112401" w:rsidRPr="009B04A5">
        <w:rPr>
          <w:rFonts w:ascii="Book Antiqua" w:hAnsi="Book Antiqua"/>
          <w:lang w:eastAsia="pl-PL"/>
        </w:rPr>
        <w:t>)</w:t>
      </w:r>
      <w:r w:rsidRPr="009B04A5">
        <w:rPr>
          <w:rFonts w:ascii="Book Antiqua" w:hAnsi="Book Antiqua"/>
          <w:lang w:eastAsia="pl-PL"/>
        </w:rPr>
        <w:t xml:space="preserve"> morphological classification, distinguishing three ALL subtypes (L1-L3) and </w:t>
      </w:r>
      <w:r w:rsidR="00112401" w:rsidRPr="009B04A5">
        <w:rPr>
          <w:rFonts w:ascii="Book Antiqua" w:hAnsi="Book Antiqua"/>
          <w:lang w:eastAsia="pl-PL"/>
        </w:rPr>
        <w:t>eight</w:t>
      </w:r>
      <w:r w:rsidRPr="009B04A5">
        <w:rPr>
          <w:rFonts w:ascii="Book Antiqua" w:hAnsi="Book Antiqua"/>
          <w:lang w:eastAsia="pl-PL"/>
        </w:rPr>
        <w:t xml:space="preserve"> AML subtypes (M0-M7)</w:t>
      </w:r>
      <w:r w:rsidR="0030345D" w:rsidRPr="009B04A5">
        <w:rPr>
          <w:rFonts w:ascii="Book Antiqua" w:hAnsi="Book Antiqua"/>
          <w:lang w:eastAsia="pl-PL"/>
        </w:rPr>
        <w:t>;</w:t>
      </w:r>
      <w:r w:rsidRPr="009B04A5">
        <w:rPr>
          <w:rFonts w:ascii="Book Antiqua" w:hAnsi="Book Antiqua"/>
          <w:lang w:eastAsia="pl-PL"/>
        </w:rPr>
        <w:t xml:space="preserve"> (</w:t>
      </w:r>
      <w:r w:rsidR="0030345D" w:rsidRPr="009B04A5">
        <w:rPr>
          <w:rFonts w:ascii="Book Antiqua" w:hAnsi="Book Antiqua"/>
          <w:lang w:eastAsia="pl-PL"/>
        </w:rPr>
        <w:t>B</w:t>
      </w:r>
      <w:r w:rsidRPr="009B04A5">
        <w:rPr>
          <w:rFonts w:ascii="Book Antiqua" w:hAnsi="Book Antiqua"/>
          <w:lang w:eastAsia="pl-PL"/>
        </w:rPr>
        <w:t>) cytochemical classification</w:t>
      </w:r>
      <w:r w:rsidR="0030345D" w:rsidRPr="009B04A5">
        <w:rPr>
          <w:rFonts w:ascii="Book Antiqua" w:hAnsi="Book Antiqua"/>
          <w:lang w:eastAsia="pl-PL"/>
        </w:rPr>
        <w:t>;</w:t>
      </w:r>
      <w:r w:rsidRPr="009B04A5">
        <w:rPr>
          <w:rFonts w:ascii="Book Antiqua" w:hAnsi="Book Antiqua"/>
          <w:lang w:eastAsia="pl-PL"/>
        </w:rPr>
        <w:t xml:space="preserve"> (</w:t>
      </w:r>
      <w:r w:rsidR="0030345D" w:rsidRPr="009B04A5">
        <w:rPr>
          <w:rFonts w:ascii="Book Antiqua" w:hAnsi="Book Antiqua"/>
          <w:lang w:eastAsia="pl-PL"/>
        </w:rPr>
        <w:t>C</w:t>
      </w:r>
      <w:r w:rsidRPr="009B04A5">
        <w:rPr>
          <w:rFonts w:ascii="Book Antiqua" w:hAnsi="Book Antiqua"/>
          <w:lang w:eastAsia="pl-PL"/>
        </w:rPr>
        <w:t>) immunological classification</w:t>
      </w:r>
      <w:r w:rsidR="0030345D" w:rsidRPr="009B04A5">
        <w:rPr>
          <w:rFonts w:ascii="Book Antiqua" w:hAnsi="Book Antiqua"/>
          <w:lang w:eastAsia="pl-PL"/>
        </w:rPr>
        <w:t>;</w:t>
      </w:r>
      <w:r w:rsidRPr="009B04A5">
        <w:rPr>
          <w:rFonts w:ascii="Book Antiqua" w:hAnsi="Book Antiqua"/>
          <w:lang w:eastAsia="pl-PL"/>
        </w:rPr>
        <w:t xml:space="preserve"> (</w:t>
      </w:r>
      <w:r w:rsidR="0030345D" w:rsidRPr="009B04A5">
        <w:rPr>
          <w:rFonts w:ascii="Book Antiqua" w:hAnsi="Book Antiqua"/>
          <w:lang w:eastAsia="pl-PL"/>
        </w:rPr>
        <w:t>D</w:t>
      </w:r>
      <w:r w:rsidRPr="009B04A5">
        <w:rPr>
          <w:rFonts w:ascii="Book Antiqua" w:hAnsi="Book Antiqua"/>
          <w:lang w:eastAsia="pl-PL"/>
        </w:rPr>
        <w:t>) cytogenetic classification</w:t>
      </w:r>
      <w:r w:rsidR="0030345D" w:rsidRPr="009B04A5">
        <w:rPr>
          <w:rFonts w:ascii="Book Antiqua" w:hAnsi="Book Antiqua"/>
          <w:lang w:eastAsia="pl-PL"/>
        </w:rPr>
        <w:t>;</w:t>
      </w:r>
      <w:r w:rsidRPr="009B04A5">
        <w:rPr>
          <w:rFonts w:ascii="Book Antiqua" w:hAnsi="Book Antiqua"/>
          <w:lang w:eastAsia="pl-PL"/>
        </w:rPr>
        <w:t xml:space="preserve"> and (</w:t>
      </w:r>
      <w:r w:rsidR="0030345D" w:rsidRPr="009B04A5">
        <w:rPr>
          <w:rFonts w:ascii="Book Antiqua" w:hAnsi="Book Antiqua"/>
          <w:lang w:eastAsia="pl-PL"/>
        </w:rPr>
        <w:t>E</w:t>
      </w:r>
      <w:r w:rsidRPr="009B04A5">
        <w:rPr>
          <w:rFonts w:ascii="Book Antiqua" w:hAnsi="Book Antiqua"/>
          <w:lang w:eastAsia="pl-PL"/>
        </w:rPr>
        <w:t>) molecular classification</w:t>
      </w:r>
      <w:r w:rsidR="00C163F1" w:rsidRPr="009B04A5">
        <w:rPr>
          <w:rFonts w:ascii="Book Antiqua" w:hAnsi="Book Antiqua"/>
          <w:vertAlign w:val="superscript"/>
          <w:lang w:eastAsia="pl-PL"/>
        </w:rPr>
        <w:t>[27-29]</w:t>
      </w:r>
      <w:r w:rsidRPr="009B04A5">
        <w:rPr>
          <w:rFonts w:ascii="Book Antiqua" w:hAnsi="Book Antiqua"/>
          <w:lang w:eastAsia="pl-PL"/>
        </w:rPr>
        <w:t xml:space="preserve">. </w:t>
      </w:r>
      <w:r w:rsidR="00996DBB" w:rsidRPr="009B04A5">
        <w:rPr>
          <w:rFonts w:ascii="Book Antiqua" w:hAnsi="Book Antiqua"/>
        </w:rPr>
        <w:t xml:space="preserve">The </w:t>
      </w:r>
      <w:r w:rsidR="0030345D" w:rsidRPr="009B04A5">
        <w:rPr>
          <w:rFonts w:ascii="Book Antiqua" w:hAnsi="Book Antiqua"/>
        </w:rPr>
        <w:t>World Health Organization</w:t>
      </w:r>
      <w:r w:rsidR="00996DBB" w:rsidRPr="009B04A5">
        <w:rPr>
          <w:rFonts w:ascii="Book Antiqua" w:hAnsi="Book Antiqua"/>
        </w:rPr>
        <w:t xml:space="preserve"> system divides ALL into several groups,</w:t>
      </w:r>
      <w:r w:rsidR="00996DBB" w:rsidRPr="009B04A5">
        <w:rPr>
          <w:rStyle w:val="tlid-translation"/>
          <w:rFonts w:ascii="Book Antiqua" w:hAnsi="Book Antiqua"/>
        </w:rPr>
        <w:t xml:space="preserve"> the most common </w:t>
      </w:r>
      <w:r w:rsidR="00AE37C0" w:rsidRPr="009B04A5">
        <w:rPr>
          <w:rStyle w:val="tlid-translation"/>
          <w:rFonts w:ascii="Book Antiqua" w:hAnsi="Book Antiqua"/>
        </w:rPr>
        <w:t xml:space="preserve">of which </w:t>
      </w:r>
      <w:r w:rsidR="00996DBB" w:rsidRPr="009B04A5">
        <w:rPr>
          <w:rStyle w:val="tlid-translation"/>
          <w:rFonts w:ascii="Book Antiqua" w:hAnsi="Book Antiqua"/>
        </w:rPr>
        <w:t xml:space="preserve">are </w:t>
      </w:r>
      <w:r w:rsidR="00996DBB" w:rsidRPr="009B04A5">
        <w:rPr>
          <w:rFonts w:ascii="Book Antiqua" w:hAnsi="Book Antiqua"/>
        </w:rPr>
        <w:t xml:space="preserve">B-cell ALL (B-ALL) and T-cell ALL (T-ALL). B-ALL can be further subclassified according to distinct patterns of genomic alterations and gene expression signatures (most frequent abnormalities: </w:t>
      </w:r>
      <w:r w:rsidR="00996DBB" w:rsidRPr="009B04A5">
        <w:rPr>
          <w:rStyle w:val="a4"/>
          <w:rFonts w:ascii="Book Antiqua" w:hAnsi="Book Antiqua"/>
        </w:rPr>
        <w:t>ETV6–RUNX1</w:t>
      </w:r>
      <w:r w:rsidR="00996DBB" w:rsidRPr="009B04A5">
        <w:rPr>
          <w:rFonts w:ascii="Book Antiqua" w:hAnsi="Book Antiqua"/>
        </w:rPr>
        <w:t xml:space="preserve"> fusion, </w:t>
      </w:r>
      <w:r w:rsidR="00996DBB" w:rsidRPr="009B04A5">
        <w:rPr>
          <w:rStyle w:val="a4"/>
          <w:rFonts w:ascii="Book Antiqua" w:hAnsi="Book Antiqua"/>
        </w:rPr>
        <w:t>TFPT–PBX1</w:t>
      </w:r>
      <w:r w:rsidR="00996DBB" w:rsidRPr="009B04A5">
        <w:rPr>
          <w:rFonts w:ascii="Book Antiqua" w:hAnsi="Book Antiqua"/>
        </w:rPr>
        <w:t xml:space="preserve"> fusion, </w:t>
      </w:r>
      <w:r w:rsidR="00996DBB" w:rsidRPr="009B04A5">
        <w:rPr>
          <w:rStyle w:val="a4"/>
          <w:rFonts w:ascii="Book Antiqua" w:hAnsi="Book Antiqua"/>
        </w:rPr>
        <w:t>BCR–ABL1</w:t>
      </w:r>
      <w:r w:rsidR="00996DBB" w:rsidRPr="009B04A5">
        <w:rPr>
          <w:rFonts w:ascii="Book Antiqua" w:hAnsi="Book Antiqua"/>
        </w:rPr>
        <w:t xml:space="preserve"> fusion; </w:t>
      </w:r>
      <w:r w:rsidR="00112401" w:rsidRPr="009B04A5">
        <w:rPr>
          <w:rFonts w:ascii="Book Antiqua" w:hAnsi="Book Antiqua"/>
        </w:rPr>
        <w:t xml:space="preserve">and </w:t>
      </w:r>
      <w:r w:rsidR="00996DBB" w:rsidRPr="009B04A5">
        <w:rPr>
          <w:rStyle w:val="a4"/>
          <w:rFonts w:ascii="Book Antiqua" w:hAnsi="Book Antiqua"/>
        </w:rPr>
        <w:t>MLL</w:t>
      </w:r>
      <w:r w:rsidR="00996DBB" w:rsidRPr="009B04A5">
        <w:rPr>
          <w:rFonts w:ascii="Book Antiqua" w:hAnsi="Book Antiqua"/>
        </w:rPr>
        <w:t xml:space="preserve"> fusions)</w:t>
      </w:r>
      <w:r w:rsidR="00C163F1" w:rsidRPr="009B04A5">
        <w:rPr>
          <w:rFonts w:ascii="Book Antiqua" w:hAnsi="Book Antiqua"/>
          <w:vertAlign w:val="superscript"/>
        </w:rPr>
        <w:t>[30,31]</w:t>
      </w:r>
      <w:r w:rsidR="00996DBB" w:rsidRPr="009B04A5">
        <w:rPr>
          <w:rFonts w:ascii="Book Antiqua" w:hAnsi="Book Antiqua"/>
        </w:rPr>
        <w:t>. In T-ALL</w:t>
      </w:r>
      <w:r w:rsidR="00AE37C0" w:rsidRPr="009B04A5">
        <w:rPr>
          <w:rFonts w:ascii="Book Antiqua" w:hAnsi="Book Antiqua"/>
        </w:rPr>
        <w:t>,</w:t>
      </w:r>
      <w:r w:rsidR="00996DBB" w:rsidRPr="009B04A5">
        <w:rPr>
          <w:rFonts w:ascii="Book Antiqua" w:hAnsi="Book Antiqua"/>
        </w:rPr>
        <w:t xml:space="preserve"> several subgroups </w:t>
      </w:r>
      <w:r w:rsidR="00AE37C0" w:rsidRPr="009B04A5">
        <w:rPr>
          <w:rFonts w:ascii="Book Antiqua" w:hAnsi="Book Antiqua"/>
        </w:rPr>
        <w:t>have</w:t>
      </w:r>
      <w:r w:rsidR="00996DBB" w:rsidRPr="009B04A5">
        <w:rPr>
          <w:rFonts w:ascii="Book Antiqua" w:hAnsi="Book Antiqua"/>
        </w:rPr>
        <w:t xml:space="preserve"> been recognized, </w:t>
      </w:r>
      <w:r w:rsidR="00112401" w:rsidRPr="009B04A5">
        <w:rPr>
          <w:rFonts w:ascii="Book Antiqua" w:hAnsi="Book Antiqua"/>
          <w:i/>
        </w:rPr>
        <w:t>e.g</w:t>
      </w:r>
      <w:r w:rsidR="00996DBB" w:rsidRPr="009B04A5">
        <w:rPr>
          <w:rFonts w:ascii="Book Antiqua" w:hAnsi="Book Antiqua"/>
        </w:rPr>
        <w:t>., immature/</w:t>
      </w:r>
      <w:r w:rsidR="00996DBB" w:rsidRPr="009B04A5">
        <w:rPr>
          <w:rStyle w:val="a4"/>
          <w:rFonts w:ascii="Book Antiqua" w:hAnsi="Book Antiqua"/>
        </w:rPr>
        <w:t>LYL1</w:t>
      </w:r>
      <w:r w:rsidR="00996DBB" w:rsidRPr="009B04A5">
        <w:rPr>
          <w:rFonts w:ascii="Book Antiqua" w:hAnsi="Book Antiqua"/>
        </w:rPr>
        <w:t xml:space="preserve">, </w:t>
      </w:r>
      <w:r w:rsidR="00996DBB" w:rsidRPr="009B04A5">
        <w:rPr>
          <w:rStyle w:val="a4"/>
          <w:rFonts w:ascii="Book Antiqua" w:hAnsi="Book Antiqua"/>
        </w:rPr>
        <w:t>TAL1</w:t>
      </w:r>
      <w:r w:rsidR="00996DBB" w:rsidRPr="009B04A5">
        <w:rPr>
          <w:rFonts w:ascii="Book Antiqua" w:hAnsi="Book Antiqua"/>
        </w:rPr>
        <w:t xml:space="preserve">, </w:t>
      </w:r>
      <w:r w:rsidR="00996DBB" w:rsidRPr="009B04A5">
        <w:rPr>
          <w:rStyle w:val="a4"/>
          <w:rFonts w:ascii="Book Antiqua" w:hAnsi="Book Antiqua"/>
        </w:rPr>
        <w:t>HOX11</w:t>
      </w:r>
      <w:r w:rsidR="00996DBB" w:rsidRPr="009B04A5">
        <w:rPr>
          <w:rFonts w:ascii="Book Antiqua" w:hAnsi="Book Antiqua"/>
        </w:rPr>
        <w:t xml:space="preserve">, </w:t>
      </w:r>
      <w:r w:rsidR="00996DBB" w:rsidRPr="009B04A5">
        <w:rPr>
          <w:rStyle w:val="a4"/>
          <w:rFonts w:ascii="Book Antiqua" w:hAnsi="Book Antiqua"/>
        </w:rPr>
        <w:t>HOX11L2</w:t>
      </w:r>
      <w:r w:rsidR="00112401" w:rsidRPr="009B04A5">
        <w:rPr>
          <w:rFonts w:ascii="Book Antiqua" w:hAnsi="Book Antiqua"/>
        </w:rPr>
        <w:t xml:space="preserve">, </w:t>
      </w:r>
      <w:r w:rsidR="00996DBB" w:rsidRPr="009B04A5">
        <w:rPr>
          <w:rFonts w:ascii="Book Antiqua" w:hAnsi="Book Antiqua"/>
        </w:rPr>
        <w:t xml:space="preserve">and </w:t>
      </w:r>
      <w:r w:rsidR="00996DBB" w:rsidRPr="009B04A5">
        <w:rPr>
          <w:rStyle w:val="a4"/>
          <w:rFonts w:ascii="Book Antiqua" w:hAnsi="Book Antiqua"/>
        </w:rPr>
        <w:t>HOX</w:t>
      </w:r>
      <w:r w:rsidR="00996DBB" w:rsidRPr="009B04A5">
        <w:rPr>
          <w:rFonts w:ascii="Book Antiqua" w:hAnsi="Book Antiqua"/>
        </w:rPr>
        <w:t xml:space="preserve">. The </w:t>
      </w:r>
      <w:r w:rsidR="0030345D" w:rsidRPr="009B04A5">
        <w:rPr>
          <w:rFonts w:ascii="Book Antiqua" w:hAnsi="Book Antiqua"/>
        </w:rPr>
        <w:t xml:space="preserve">World Health Organization </w:t>
      </w:r>
      <w:r w:rsidR="00996DBB" w:rsidRPr="009B04A5">
        <w:rPr>
          <w:rFonts w:ascii="Book Antiqua" w:hAnsi="Book Antiqua"/>
        </w:rPr>
        <w:t xml:space="preserve">classification </w:t>
      </w:r>
      <w:r w:rsidR="00AE37C0" w:rsidRPr="009B04A5">
        <w:rPr>
          <w:rFonts w:ascii="Book Antiqua" w:eastAsia="Times New Roman" w:hAnsi="Book Antiqua"/>
          <w:lang w:eastAsia="pl-PL"/>
        </w:rPr>
        <w:t>includes</w:t>
      </w:r>
      <w:r w:rsidR="00996DBB" w:rsidRPr="009B04A5">
        <w:rPr>
          <w:rFonts w:ascii="Book Antiqua" w:hAnsi="Book Antiqua"/>
        </w:rPr>
        <w:t xml:space="preserve"> several </w:t>
      </w:r>
      <w:r w:rsidR="00996DBB" w:rsidRPr="009B04A5">
        <w:rPr>
          <w:rFonts w:ascii="Book Antiqua" w:eastAsia="Times New Roman" w:hAnsi="Book Antiqua"/>
          <w:lang w:eastAsia="pl-PL"/>
        </w:rPr>
        <w:t xml:space="preserve">AML subtypes with recurrent genetic abnormalities </w:t>
      </w:r>
      <w:r w:rsidR="003834E3" w:rsidRPr="009B04A5">
        <w:rPr>
          <w:rFonts w:ascii="Book Antiqua" w:eastAsia="Times New Roman" w:hAnsi="Book Antiqua"/>
          <w:lang w:eastAsia="pl-PL"/>
        </w:rPr>
        <w:t>[</w:t>
      </w:r>
      <w:r w:rsidR="00996DBB" w:rsidRPr="009B04A5">
        <w:rPr>
          <w:rFonts w:ascii="Book Antiqua" w:eastAsia="Times New Roman" w:hAnsi="Book Antiqua"/>
          <w:i/>
          <w:lang w:eastAsia="pl-PL"/>
        </w:rPr>
        <w:t>e.g.</w:t>
      </w:r>
      <w:r w:rsidR="00AE37C0" w:rsidRPr="009B04A5">
        <w:rPr>
          <w:rFonts w:ascii="Book Antiqua" w:eastAsia="Times New Roman" w:hAnsi="Book Antiqua"/>
          <w:i/>
          <w:lang w:eastAsia="pl-PL"/>
        </w:rPr>
        <w:t>,</w:t>
      </w:r>
      <w:r w:rsidR="00996DBB" w:rsidRPr="009B04A5">
        <w:rPr>
          <w:rFonts w:ascii="Book Antiqua" w:eastAsia="Times New Roman" w:hAnsi="Book Antiqua"/>
          <w:lang w:eastAsia="pl-PL"/>
        </w:rPr>
        <w:t xml:space="preserve"> AML with t(8;21)(q22;q22) </w:t>
      </w:r>
      <w:r w:rsidR="00996DBB" w:rsidRPr="009B04A5">
        <w:rPr>
          <w:rFonts w:ascii="Book Antiqua" w:eastAsia="Times New Roman" w:hAnsi="Book Antiqua"/>
          <w:i/>
          <w:lang w:eastAsia="pl-PL"/>
        </w:rPr>
        <w:t>RUNX1-RUNX1T1</w:t>
      </w:r>
      <w:r w:rsidR="00996DBB" w:rsidRPr="009B04A5">
        <w:rPr>
          <w:rFonts w:ascii="Book Antiqua" w:eastAsia="Times New Roman" w:hAnsi="Book Antiqua"/>
          <w:lang w:eastAsia="pl-PL"/>
        </w:rPr>
        <w:t xml:space="preserve">, AML with inv(16)(p13.1;q22) or t(16;16)(p13.1;q22) </w:t>
      </w:r>
      <w:r w:rsidR="00996DBB" w:rsidRPr="009B04A5">
        <w:rPr>
          <w:rFonts w:ascii="Book Antiqua" w:eastAsia="Times New Roman" w:hAnsi="Book Antiqua"/>
          <w:i/>
          <w:lang w:eastAsia="pl-PL"/>
        </w:rPr>
        <w:t>CBFB-MYH11</w:t>
      </w:r>
      <w:r w:rsidR="00996DBB" w:rsidRPr="009B04A5">
        <w:rPr>
          <w:rFonts w:ascii="Book Antiqua" w:eastAsia="Times New Roman" w:hAnsi="Book Antiqua"/>
          <w:lang w:eastAsia="pl-PL"/>
        </w:rPr>
        <w:t xml:space="preserve">, APL with t(15;17)(q22;q12) </w:t>
      </w:r>
      <w:r w:rsidR="00996DBB" w:rsidRPr="009B04A5">
        <w:rPr>
          <w:rFonts w:ascii="Book Antiqua" w:eastAsia="Times New Roman" w:hAnsi="Book Antiqua"/>
          <w:i/>
          <w:lang w:eastAsia="pl-PL"/>
        </w:rPr>
        <w:t>PML-RARA</w:t>
      </w:r>
      <w:r w:rsidR="00112401" w:rsidRPr="009B04A5">
        <w:rPr>
          <w:rFonts w:ascii="Book Antiqua" w:eastAsia="Times New Roman" w:hAnsi="Book Antiqua"/>
          <w:lang w:eastAsia="pl-PL"/>
        </w:rPr>
        <w:t xml:space="preserve">, </w:t>
      </w:r>
      <w:r w:rsidR="00996DBB" w:rsidRPr="009B04A5">
        <w:rPr>
          <w:rFonts w:ascii="Book Antiqua" w:eastAsia="Times New Roman" w:hAnsi="Book Antiqua"/>
          <w:lang w:eastAsia="pl-PL"/>
        </w:rPr>
        <w:t xml:space="preserve">and AML with t(9;11)(p22;q23) </w:t>
      </w:r>
      <w:r w:rsidR="00996DBB" w:rsidRPr="009B04A5">
        <w:rPr>
          <w:rFonts w:ascii="Book Antiqua" w:eastAsia="Times New Roman" w:hAnsi="Book Antiqua"/>
          <w:i/>
          <w:lang w:eastAsia="pl-PL"/>
        </w:rPr>
        <w:t>MLLT3-MLL</w:t>
      </w:r>
      <w:r w:rsidR="003834E3" w:rsidRPr="009B04A5">
        <w:rPr>
          <w:rFonts w:ascii="Book Antiqua" w:eastAsia="Times New Roman" w:hAnsi="Book Antiqua"/>
          <w:lang w:eastAsia="pl-PL"/>
        </w:rPr>
        <w:t>]</w:t>
      </w:r>
      <w:r w:rsidR="00C163F1" w:rsidRPr="009B04A5">
        <w:rPr>
          <w:rFonts w:ascii="Book Antiqua" w:eastAsia="Times New Roman" w:hAnsi="Book Antiqua"/>
          <w:vertAlign w:val="superscript"/>
          <w:lang w:eastAsia="pl-PL"/>
        </w:rPr>
        <w:t>[32,33]</w:t>
      </w:r>
      <w:r w:rsidR="00996DBB" w:rsidRPr="009B04A5">
        <w:rPr>
          <w:rFonts w:ascii="Book Antiqua" w:eastAsia="Times New Roman" w:hAnsi="Book Antiqua"/>
          <w:lang w:eastAsia="pl-PL"/>
        </w:rPr>
        <w:t xml:space="preserve">. In addition, molecular changes cannot be detected by classical karyotyping, such as </w:t>
      </w:r>
      <w:r w:rsidR="00996DBB" w:rsidRPr="009B04A5">
        <w:rPr>
          <w:rFonts w:ascii="Book Antiqua" w:eastAsia="Times New Roman" w:hAnsi="Book Antiqua"/>
          <w:i/>
          <w:lang w:eastAsia="pl-PL"/>
        </w:rPr>
        <w:t>WT1</w:t>
      </w:r>
      <w:r w:rsidR="00996DBB" w:rsidRPr="009B04A5">
        <w:rPr>
          <w:rFonts w:ascii="Book Antiqua" w:eastAsia="Times New Roman" w:hAnsi="Book Antiqua"/>
          <w:lang w:eastAsia="pl-PL"/>
        </w:rPr>
        <w:t xml:space="preserve">, </w:t>
      </w:r>
      <w:r w:rsidR="00996DBB" w:rsidRPr="009B04A5">
        <w:rPr>
          <w:rFonts w:ascii="Book Antiqua" w:eastAsia="Times New Roman" w:hAnsi="Book Antiqua"/>
          <w:i/>
          <w:lang w:eastAsia="pl-PL"/>
        </w:rPr>
        <w:t>NPM1</w:t>
      </w:r>
      <w:r w:rsidR="00996DBB" w:rsidRPr="009B04A5">
        <w:rPr>
          <w:rFonts w:ascii="Book Antiqua" w:eastAsia="Times New Roman" w:hAnsi="Book Antiqua"/>
          <w:lang w:eastAsia="pl-PL"/>
        </w:rPr>
        <w:t xml:space="preserve">, </w:t>
      </w:r>
      <w:r w:rsidR="00996DBB" w:rsidRPr="009B04A5">
        <w:rPr>
          <w:rFonts w:ascii="Book Antiqua" w:eastAsia="Times New Roman" w:hAnsi="Book Antiqua"/>
          <w:i/>
          <w:lang w:eastAsia="pl-PL"/>
        </w:rPr>
        <w:t>CEBPA</w:t>
      </w:r>
      <w:r w:rsidR="00112401" w:rsidRPr="009B04A5">
        <w:rPr>
          <w:rFonts w:ascii="Book Antiqua" w:eastAsia="Times New Roman" w:hAnsi="Book Antiqua"/>
          <w:lang w:eastAsia="pl-PL"/>
        </w:rPr>
        <w:t xml:space="preserve">, </w:t>
      </w:r>
      <w:r w:rsidR="00996DBB" w:rsidRPr="009B04A5">
        <w:rPr>
          <w:rFonts w:ascii="Book Antiqua" w:eastAsia="Times New Roman" w:hAnsi="Book Antiqua"/>
          <w:lang w:eastAsia="pl-PL"/>
        </w:rPr>
        <w:t xml:space="preserve">and </w:t>
      </w:r>
      <w:r w:rsidR="00996DBB" w:rsidRPr="009B04A5">
        <w:rPr>
          <w:rFonts w:ascii="Book Antiqua" w:eastAsia="Times New Roman" w:hAnsi="Book Antiqua"/>
          <w:i/>
          <w:lang w:eastAsia="pl-PL"/>
        </w:rPr>
        <w:t>DNMT3A</w:t>
      </w:r>
      <w:r w:rsidR="00996DBB" w:rsidRPr="009B04A5">
        <w:rPr>
          <w:rFonts w:ascii="Book Antiqua" w:eastAsia="Times New Roman" w:hAnsi="Book Antiqua"/>
          <w:lang w:eastAsia="pl-PL"/>
        </w:rPr>
        <w:t xml:space="preserve"> mutations. </w:t>
      </w:r>
      <w:r w:rsidR="00996DBB" w:rsidRPr="009B04A5">
        <w:rPr>
          <w:rFonts w:ascii="Book Antiqua" w:hAnsi="Book Antiqua"/>
        </w:rPr>
        <w:t>Based on genetic classifications for subgroups of AML</w:t>
      </w:r>
      <w:r w:rsidR="00AE37C0" w:rsidRPr="009B04A5">
        <w:rPr>
          <w:rFonts w:ascii="Book Antiqua" w:hAnsi="Book Antiqua"/>
        </w:rPr>
        <w:t>,</w:t>
      </w:r>
      <w:r w:rsidR="00996DBB" w:rsidRPr="009B04A5">
        <w:rPr>
          <w:rFonts w:ascii="Book Antiqua" w:hAnsi="Book Antiqua"/>
        </w:rPr>
        <w:t xml:space="preserve"> it is supposed that two of the major subgroups of AML patients are most important: </w:t>
      </w:r>
      <w:r w:rsidR="00112401" w:rsidRPr="009B04A5">
        <w:rPr>
          <w:rFonts w:ascii="Book Antiqua" w:hAnsi="Book Antiqua"/>
        </w:rPr>
        <w:t xml:space="preserve">those </w:t>
      </w:r>
      <w:r w:rsidR="00996DBB" w:rsidRPr="009B04A5">
        <w:rPr>
          <w:rFonts w:ascii="Book Antiqua" w:hAnsi="Book Antiqua"/>
        </w:rPr>
        <w:t xml:space="preserve">with disruptions of the </w:t>
      </w:r>
      <w:r w:rsidR="00996DBB" w:rsidRPr="009B04A5">
        <w:rPr>
          <w:rFonts w:ascii="Book Antiqua" w:hAnsi="Book Antiqua"/>
          <w:i/>
        </w:rPr>
        <w:t>CBF</w:t>
      </w:r>
      <w:r w:rsidR="00996DBB" w:rsidRPr="009B04A5">
        <w:rPr>
          <w:rFonts w:ascii="Book Antiqua" w:hAnsi="Book Antiqua"/>
        </w:rPr>
        <w:t xml:space="preserve"> complex and </w:t>
      </w:r>
      <w:r w:rsidR="00112401" w:rsidRPr="009B04A5">
        <w:rPr>
          <w:rFonts w:ascii="Book Antiqua" w:hAnsi="Book Antiqua"/>
        </w:rPr>
        <w:t xml:space="preserve">those </w:t>
      </w:r>
      <w:r w:rsidR="00996DBB" w:rsidRPr="009B04A5">
        <w:rPr>
          <w:rFonts w:ascii="Book Antiqua" w:hAnsi="Book Antiqua"/>
        </w:rPr>
        <w:t xml:space="preserve">with disruptions of the </w:t>
      </w:r>
      <w:r w:rsidR="00996DBB" w:rsidRPr="009B04A5">
        <w:rPr>
          <w:rFonts w:ascii="Book Antiqua" w:hAnsi="Book Antiqua"/>
          <w:i/>
          <w:iCs/>
        </w:rPr>
        <w:t>FLT3</w:t>
      </w:r>
      <w:r w:rsidR="00996DBB" w:rsidRPr="009B04A5">
        <w:rPr>
          <w:rFonts w:ascii="Book Antiqua" w:hAnsi="Book Antiqua"/>
        </w:rPr>
        <w:t xml:space="preserve"> gene</w:t>
      </w:r>
      <w:r w:rsidR="00C163F1" w:rsidRPr="009B04A5">
        <w:rPr>
          <w:rFonts w:ascii="Book Antiqua" w:hAnsi="Book Antiqua"/>
          <w:vertAlign w:val="superscript"/>
        </w:rPr>
        <w:t>[34,35]</w:t>
      </w:r>
      <w:r w:rsidR="00996DBB" w:rsidRPr="009B04A5">
        <w:rPr>
          <w:rFonts w:ascii="Book Antiqua" w:hAnsi="Book Antiqua"/>
        </w:rPr>
        <w:t xml:space="preserve">. </w:t>
      </w:r>
      <w:r w:rsidRPr="009B04A5">
        <w:rPr>
          <w:rFonts w:ascii="Book Antiqua" w:hAnsi="Book Antiqua"/>
          <w:lang w:eastAsia="pl-PL"/>
        </w:rPr>
        <w:t>Classification systems are still unsatisfactory because most of the recurrences occur in the intermediate and standard risk groups</w:t>
      </w:r>
      <w:r w:rsidR="00153928" w:rsidRPr="009B04A5">
        <w:rPr>
          <w:rFonts w:ascii="Book Antiqua" w:hAnsi="Book Antiqua"/>
          <w:vertAlign w:val="superscript"/>
          <w:lang w:eastAsia="pl-PL"/>
        </w:rPr>
        <w:t>[26]</w:t>
      </w:r>
      <w:r w:rsidRPr="009B04A5">
        <w:rPr>
          <w:rFonts w:ascii="Book Antiqua" w:hAnsi="Book Antiqua"/>
          <w:lang w:eastAsia="pl-PL"/>
        </w:rPr>
        <w:t>.</w:t>
      </w:r>
    </w:p>
    <w:p w:rsidR="00112401" w:rsidRPr="009B04A5" w:rsidRDefault="00945A81" w:rsidP="00C709AE">
      <w:pPr>
        <w:adjustRightInd w:val="0"/>
        <w:snapToGrid w:val="0"/>
        <w:spacing w:line="360" w:lineRule="auto"/>
        <w:ind w:firstLineChars="100" w:firstLine="240"/>
        <w:rPr>
          <w:rFonts w:ascii="Book Antiqua" w:hAnsi="Book Antiqua"/>
        </w:rPr>
      </w:pPr>
      <w:r w:rsidRPr="009B04A5">
        <w:rPr>
          <w:rFonts w:ascii="Book Antiqua" w:hAnsi="Book Antiqua"/>
          <w:lang w:eastAsia="pl-PL"/>
        </w:rPr>
        <w:t xml:space="preserve">It is supposed that the cancer-specific </w:t>
      </w:r>
      <w:r w:rsidR="00AE37C0" w:rsidRPr="009B04A5">
        <w:rPr>
          <w:rFonts w:ascii="Book Antiqua" w:hAnsi="Book Antiqua"/>
          <w:lang w:eastAsia="pl-PL"/>
        </w:rPr>
        <w:t>miRNA</w:t>
      </w:r>
      <w:r w:rsidRPr="009B04A5">
        <w:rPr>
          <w:rFonts w:ascii="Book Antiqua" w:hAnsi="Book Antiqua"/>
          <w:lang w:eastAsia="pl-PL"/>
        </w:rPr>
        <w:t xml:space="preserve"> patterns rather than </w:t>
      </w:r>
      <w:r w:rsidR="00AE37C0" w:rsidRPr="009B04A5">
        <w:rPr>
          <w:rFonts w:ascii="Book Antiqua" w:hAnsi="Book Antiqua"/>
          <w:lang w:eastAsia="pl-PL"/>
        </w:rPr>
        <w:t>mRNA</w:t>
      </w:r>
      <w:r w:rsidRPr="009B04A5">
        <w:rPr>
          <w:rFonts w:ascii="Book Antiqua" w:hAnsi="Book Antiqua"/>
          <w:lang w:eastAsia="pl-PL"/>
        </w:rPr>
        <w:t xml:space="preserve"> signatures </w:t>
      </w:r>
      <w:r w:rsidR="00455A6B" w:rsidRPr="009B04A5">
        <w:rPr>
          <w:rFonts w:ascii="Book Antiqua" w:hAnsi="Book Antiqua"/>
          <w:lang w:eastAsia="pl-PL"/>
        </w:rPr>
        <w:t>are</w:t>
      </w:r>
      <w:r w:rsidRPr="009B04A5">
        <w:rPr>
          <w:rFonts w:ascii="Book Antiqua" w:hAnsi="Book Antiqua"/>
          <w:lang w:eastAsia="pl-PL"/>
        </w:rPr>
        <w:t xml:space="preserve"> a more accurate method of classifying cancer subtypes</w:t>
      </w:r>
      <w:r w:rsidR="00C163F1" w:rsidRPr="009B04A5">
        <w:rPr>
          <w:rFonts w:ascii="Book Antiqua" w:hAnsi="Book Antiqua"/>
          <w:vertAlign w:val="superscript"/>
          <w:lang w:eastAsia="pl-PL"/>
        </w:rPr>
        <w:t>[36,37]</w:t>
      </w:r>
      <w:r w:rsidR="00186712" w:rsidRPr="009B04A5">
        <w:rPr>
          <w:rFonts w:ascii="Book Antiqua" w:hAnsi="Book Antiqua"/>
          <w:lang w:eastAsia="pl-PL"/>
        </w:rPr>
        <w:t>. Molecular classification based on expression alterations (genes or miRNA) allows the determination of the genetic profile of myeloid and lymphoid lin</w:t>
      </w:r>
      <w:r w:rsidR="00C82DF6" w:rsidRPr="009B04A5">
        <w:rPr>
          <w:rFonts w:ascii="Book Antiqua" w:hAnsi="Book Antiqua"/>
          <w:lang w:eastAsia="pl-PL"/>
        </w:rPr>
        <w:t>eag</w:t>
      </w:r>
      <w:r w:rsidR="00186712" w:rsidRPr="009B04A5">
        <w:rPr>
          <w:rFonts w:ascii="Book Antiqua" w:hAnsi="Book Antiqua"/>
          <w:lang w:eastAsia="pl-PL"/>
        </w:rPr>
        <w:t xml:space="preserve">e, </w:t>
      </w:r>
      <w:r w:rsidR="00AE37C0" w:rsidRPr="009B04A5">
        <w:rPr>
          <w:rFonts w:ascii="Book Antiqua" w:hAnsi="Book Antiqua"/>
          <w:lang w:eastAsia="pl-PL"/>
        </w:rPr>
        <w:t>distinguishing</w:t>
      </w:r>
      <w:r w:rsidR="00186712" w:rsidRPr="009B04A5">
        <w:rPr>
          <w:rFonts w:ascii="Book Antiqua" w:hAnsi="Book Antiqua"/>
          <w:lang w:eastAsia="pl-PL"/>
        </w:rPr>
        <w:t xml:space="preserve"> B-linear and T-linear ALL tumors, as well as listing subclasses within leukemia subtypes. Based on miRNA </w:t>
      </w:r>
      <w:r w:rsidR="00AE37C0" w:rsidRPr="009B04A5">
        <w:rPr>
          <w:rFonts w:ascii="Book Antiqua" w:hAnsi="Book Antiqua"/>
          <w:lang w:eastAsia="pl-PL"/>
        </w:rPr>
        <w:t>analyses</w:t>
      </w:r>
      <w:r w:rsidR="00186712" w:rsidRPr="009B04A5">
        <w:rPr>
          <w:rFonts w:ascii="Book Antiqua" w:hAnsi="Book Antiqua"/>
          <w:lang w:eastAsia="pl-PL"/>
        </w:rPr>
        <w:t xml:space="preserve">, a correlation between immunophenotype and chromosome disorders and various miRNA expression patterns in all subtypes of </w:t>
      </w:r>
      <w:r w:rsidR="000C6B11" w:rsidRPr="009B04A5">
        <w:rPr>
          <w:rFonts w:ascii="Book Antiqua" w:hAnsi="Book Antiqua"/>
          <w:lang w:eastAsia="pl-PL"/>
        </w:rPr>
        <w:lastRenderedPageBreak/>
        <w:t>AL</w:t>
      </w:r>
      <w:r w:rsidR="00186712" w:rsidRPr="009B04A5">
        <w:rPr>
          <w:rFonts w:ascii="Book Antiqua" w:hAnsi="Book Antiqua"/>
          <w:lang w:eastAsia="pl-PL"/>
        </w:rPr>
        <w:t xml:space="preserve"> was demonstrated.</w:t>
      </w:r>
      <w:r w:rsidR="00C9124A" w:rsidRPr="009B04A5">
        <w:rPr>
          <w:rFonts w:ascii="Book Antiqua" w:hAnsi="Book Antiqua"/>
        </w:rPr>
        <w:t xml:space="preserve"> A top-ten discriminative miRNA set was proposed for AL types and their main subgroup</w:t>
      </w:r>
      <w:r w:rsidR="00AE37C0" w:rsidRPr="009B04A5">
        <w:rPr>
          <w:rFonts w:ascii="Book Antiqua" w:hAnsi="Book Antiqua"/>
        </w:rPr>
        <w:t>,</w:t>
      </w:r>
      <w:r w:rsidR="00C9124A" w:rsidRPr="009B04A5">
        <w:rPr>
          <w:rFonts w:ascii="Book Antiqua" w:hAnsi="Book Antiqua"/>
        </w:rPr>
        <w:t xml:space="preserve"> as shown in Figures 2 and 3. </w:t>
      </w:r>
    </w:p>
    <w:p w:rsidR="0030345D" w:rsidRPr="009B04A5" w:rsidRDefault="00C9124A" w:rsidP="00C709AE">
      <w:pPr>
        <w:adjustRightInd w:val="0"/>
        <w:snapToGrid w:val="0"/>
        <w:spacing w:line="360" w:lineRule="auto"/>
        <w:ind w:firstLineChars="100" w:firstLine="240"/>
        <w:rPr>
          <w:rFonts w:ascii="Book Antiqua" w:hAnsi="Book Antiqua"/>
          <w:lang w:eastAsia="pl-PL"/>
        </w:rPr>
      </w:pPr>
      <w:r w:rsidRPr="009B04A5">
        <w:rPr>
          <w:rFonts w:ascii="Book Antiqua" w:hAnsi="Book Antiqua"/>
        </w:rPr>
        <w:t xml:space="preserve">The type and subtype of childhood leukemia plays a major role in both treatment options and </w:t>
      </w:r>
      <w:r w:rsidR="00AE37C0" w:rsidRPr="009B04A5">
        <w:rPr>
          <w:rFonts w:ascii="Book Antiqua" w:hAnsi="Book Antiqua"/>
        </w:rPr>
        <w:t xml:space="preserve">patient </w:t>
      </w:r>
      <w:r w:rsidRPr="009B04A5">
        <w:rPr>
          <w:rFonts w:ascii="Book Antiqua" w:hAnsi="Book Antiqua"/>
        </w:rPr>
        <w:t>prognosis. Determining the type (ALL</w:t>
      </w:r>
      <w:r w:rsidR="00A91ED4" w:rsidRPr="009B04A5">
        <w:rPr>
          <w:rFonts w:ascii="Book Antiqua" w:hAnsi="Book Antiqua"/>
        </w:rPr>
        <w:t xml:space="preserve"> or </w:t>
      </w:r>
      <w:r w:rsidRPr="009B04A5">
        <w:rPr>
          <w:rFonts w:ascii="Book Antiqua" w:hAnsi="Book Antiqua"/>
        </w:rPr>
        <w:t xml:space="preserve">AML) and subtype of the leukemia is </w:t>
      </w:r>
      <w:r w:rsidR="007C466E" w:rsidRPr="009B04A5">
        <w:rPr>
          <w:rFonts w:ascii="Book Antiqua" w:hAnsi="Book Antiqua"/>
        </w:rPr>
        <w:t xml:space="preserve">performed </w:t>
      </w:r>
      <w:r w:rsidRPr="009B04A5">
        <w:rPr>
          <w:rFonts w:ascii="Book Antiqua" w:hAnsi="Book Antiqua"/>
        </w:rPr>
        <w:t>by testing samples of the blood, bone marrow, and sometimes lymph nodes or cerebrospinal fluid</w:t>
      </w:r>
      <w:r w:rsidR="00153928" w:rsidRPr="009B04A5">
        <w:rPr>
          <w:rFonts w:ascii="Book Antiqua" w:hAnsi="Book Antiqua"/>
          <w:vertAlign w:val="superscript"/>
        </w:rPr>
        <w:t>[23]</w:t>
      </w:r>
      <w:r w:rsidRPr="009B04A5">
        <w:rPr>
          <w:rFonts w:ascii="Book Antiqua" w:hAnsi="Book Antiqua"/>
        </w:rPr>
        <w:t xml:space="preserve">. </w:t>
      </w:r>
      <w:r w:rsidRPr="009B04A5">
        <w:rPr>
          <w:rStyle w:val="tlid-translation"/>
          <w:rFonts w:ascii="Book Antiqua" w:hAnsi="Book Antiqua"/>
        </w:rPr>
        <w:t>In recent years</w:t>
      </w:r>
      <w:r w:rsidR="00AE37C0" w:rsidRPr="009B04A5">
        <w:rPr>
          <w:rStyle w:val="tlid-translation"/>
          <w:rFonts w:ascii="Book Antiqua" w:hAnsi="Book Antiqua"/>
        </w:rPr>
        <w:t>,</w:t>
      </w:r>
      <w:r w:rsidRPr="009B04A5">
        <w:rPr>
          <w:rStyle w:val="tlid-translation"/>
          <w:rFonts w:ascii="Book Antiqua" w:hAnsi="Book Antiqua"/>
        </w:rPr>
        <w:t xml:space="preserve"> there has been significant progress in the use of comprehensive transcriptomic and genomic methods (expression, </w:t>
      </w:r>
      <w:r w:rsidR="00112401" w:rsidRPr="009B04A5">
        <w:rPr>
          <w:rStyle w:val="tlid-translation"/>
          <w:rFonts w:ascii="Book Antiqua" w:hAnsi="Book Antiqua"/>
        </w:rPr>
        <w:t>single nucleotide polymorphism,</w:t>
      </w:r>
      <w:r w:rsidRPr="009B04A5">
        <w:rPr>
          <w:rStyle w:val="tlid-translation"/>
          <w:rFonts w:ascii="Book Antiqua" w:hAnsi="Book Antiqua"/>
        </w:rPr>
        <w:t xml:space="preserve"> and </w:t>
      </w:r>
      <w:r w:rsidR="00112401" w:rsidRPr="009B04A5">
        <w:rPr>
          <w:rStyle w:val="tlid-translation"/>
          <w:rFonts w:ascii="Book Antiqua" w:hAnsi="Book Antiqua"/>
        </w:rPr>
        <w:t>comparative genomic hybridization</w:t>
      </w:r>
      <w:r w:rsidRPr="009B04A5">
        <w:rPr>
          <w:rStyle w:val="tlid-translation"/>
          <w:rFonts w:ascii="Book Antiqua" w:hAnsi="Book Antiqua"/>
        </w:rPr>
        <w:t xml:space="preserve"> arrays; </w:t>
      </w:r>
      <w:r w:rsidR="00112401" w:rsidRPr="009B04A5">
        <w:rPr>
          <w:rStyle w:val="tlid-translation"/>
          <w:rFonts w:ascii="Book Antiqua" w:hAnsi="Book Antiqua"/>
        </w:rPr>
        <w:t>whole exome</w:t>
      </w:r>
      <w:r w:rsidRPr="009B04A5">
        <w:rPr>
          <w:rStyle w:val="tlid-translation"/>
          <w:rFonts w:ascii="Book Antiqua" w:hAnsi="Book Antiqua"/>
        </w:rPr>
        <w:t xml:space="preserve">, </w:t>
      </w:r>
      <w:r w:rsidR="00112401" w:rsidRPr="009B04A5">
        <w:rPr>
          <w:rStyle w:val="tlid-translation"/>
          <w:rFonts w:ascii="Book Antiqua" w:hAnsi="Book Antiqua"/>
        </w:rPr>
        <w:t>whole transcriptome,</w:t>
      </w:r>
      <w:r w:rsidRPr="009B04A5">
        <w:rPr>
          <w:rStyle w:val="tlid-translation"/>
          <w:rFonts w:ascii="Book Antiqua" w:hAnsi="Book Antiqua"/>
        </w:rPr>
        <w:t xml:space="preserve"> and </w:t>
      </w:r>
      <w:r w:rsidR="00112401" w:rsidRPr="009B04A5">
        <w:rPr>
          <w:rStyle w:val="tlid-translation"/>
          <w:rFonts w:ascii="Book Antiqua" w:hAnsi="Book Antiqua"/>
        </w:rPr>
        <w:t xml:space="preserve">whole genome </w:t>
      </w:r>
      <w:r w:rsidRPr="009B04A5">
        <w:rPr>
          <w:rStyle w:val="tlid-translation"/>
          <w:rFonts w:ascii="Book Antiqua" w:hAnsi="Book Antiqua"/>
        </w:rPr>
        <w:t>sequencing) to identify leukemia subtypes and inherited and somatic genomic changes, but nevertheless</w:t>
      </w:r>
      <w:r w:rsidR="00AE37C0" w:rsidRPr="009B04A5">
        <w:rPr>
          <w:rStyle w:val="tlid-translation"/>
          <w:rFonts w:ascii="Book Antiqua" w:hAnsi="Book Antiqua"/>
        </w:rPr>
        <w:t>,</w:t>
      </w:r>
      <w:r w:rsidRPr="009B04A5">
        <w:rPr>
          <w:rFonts w:ascii="Book Antiqua" w:hAnsi="Book Antiqua"/>
        </w:rPr>
        <w:t xml:space="preserve"> much work is needed to define the intrinsic and extrinsic determinants of leukemia </w:t>
      </w:r>
      <w:r w:rsidR="00AE37C0" w:rsidRPr="009B04A5">
        <w:rPr>
          <w:rFonts w:ascii="Book Antiqua" w:hAnsi="Book Antiqua"/>
        </w:rPr>
        <w:t>progression</w:t>
      </w:r>
      <w:r w:rsidRPr="009B04A5">
        <w:rPr>
          <w:rFonts w:ascii="Book Antiqua" w:hAnsi="Book Antiqua"/>
        </w:rPr>
        <w:t>, prognosis</w:t>
      </w:r>
      <w:r w:rsidR="00112401" w:rsidRPr="009B04A5">
        <w:rPr>
          <w:rFonts w:ascii="Book Antiqua" w:hAnsi="Book Antiqua"/>
        </w:rPr>
        <w:t>,</w:t>
      </w:r>
      <w:r w:rsidRPr="009B04A5">
        <w:rPr>
          <w:rFonts w:ascii="Book Antiqua" w:hAnsi="Book Antiqua"/>
        </w:rPr>
        <w:t xml:space="preserve"> and drug response</w:t>
      </w:r>
      <w:r w:rsidR="000A6432" w:rsidRPr="009B04A5">
        <w:rPr>
          <w:rFonts w:ascii="Book Antiqua" w:hAnsi="Book Antiqua"/>
          <w:vertAlign w:val="superscript"/>
        </w:rPr>
        <w:t>[8,38,39]</w:t>
      </w:r>
      <w:r w:rsidRPr="009B04A5">
        <w:rPr>
          <w:rFonts w:ascii="Book Antiqua" w:hAnsi="Book Antiqua"/>
        </w:rPr>
        <w:t xml:space="preserve">. </w:t>
      </w:r>
      <w:r w:rsidR="00996DBB" w:rsidRPr="009B04A5">
        <w:rPr>
          <w:rStyle w:val="tlid-translation"/>
          <w:rFonts w:ascii="Book Antiqua" w:hAnsi="Book Antiqua"/>
        </w:rPr>
        <w:t>A summary of miRNA marker functions, based on the example of pediatric ALL, is presented in Table 1.</w:t>
      </w:r>
    </w:p>
    <w:p w:rsidR="00116433" w:rsidRPr="009B04A5" w:rsidRDefault="00FF743F" w:rsidP="00C709AE">
      <w:pPr>
        <w:adjustRightInd w:val="0"/>
        <w:snapToGrid w:val="0"/>
        <w:spacing w:line="360" w:lineRule="auto"/>
        <w:ind w:firstLineChars="100" w:firstLine="240"/>
        <w:rPr>
          <w:rFonts w:ascii="Book Antiqua" w:hAnsi="Book Antiqua"/>
        </w:rPr>
      </w:pPr>
      <w:r w:rsidRPr="009B04A5">
        <w:rPr>
          <w:rFonts w:ascii="Book Antiqua" w:hAnsi="Book Antiqua"/>
        </w:rPr>
        <w:t xml:space="preserve">Certain miRNA profiles have been identified to associate specifically with </w:t>
      </w:r>
      <w:r w:rsidR="000C6B11" w:rsidRPr="009B04A5">
        <w:rPr>
          <w:rFonts w:ascii="Book Antiqua" w:hAnsi="Book Antiqua"/>
        </w:rPr>
        <w:t>AL</w:t>
      </w:r>
      <w:r w:rsidRPr="009B04A5">
        <w:rPr>
          <w:rFonts w:ascii="Book Antiqua" w:hAnsi="Book Antiqua"/>
        </w:rPr>
        <w:t xml:space="preserve"> types. </w:t>
      </w:r>
      <w:r w:rsidR="00137386" w:rsidRPr="009B04A5">
        <w:rPr>
          <w:rFonts w:ascii="Book Antiqua" w:hAnsi="Book Antiqua"/>
          <w:lang w:eastAsia="pl-PL"/>
        </w:rPr>
        <w:t xml:space="preserve">Zhang </w:t>
      </w:r>
      <w:r w:rsidR="00783C14" w:rsidRPr="009B04A5">
        <w:rPr>
          <w:rFonts w:ascii="Book Antiqua" w:hAnsi="Book Antiqua"/>
          <w:i/>
          <w:lang w:eastAsia="pl-PL"/>
        </w:rPr>
        <w:t>et al</w:t>
      </w:r>
      <w:r w:rsidR="000A6432" w:rsidRPr="009B04A5">
        <w:rPr>
          <w:rFonts w:ascii="Book Antiqua" w:hAnsi="Book Antiqua"/>
          <w:vertAlign w:val="superscript"/>
          <w:lang w:eastAsia="pl-PL"/>
        </w:rPr>
        <w:t>[40]</w:t>
      </w:r>
      <w:r w:rsidR="00137386" w:rsidRPr="009B04A5">
        <w:rPr>
          <w:rFonts w:ascii="Book Antiqua" w:hAnsi="Book Antiqua"/>
          <w:lang w:eastAsia="pl-PL"/>
        </w:rPr>
        <w:t xml:space="preserve"> </w:t>
      </w:r>
      <w:r w:rsidR="00112401" w:rsidRPr="009B04A5">
        <w:rPr>
          <w:rFonts w:ascii="Book Antiqua" w:hAnsi="Book Antiqua"/>
          <w:lang w:eastAsia="pl-PL"/>
        </w:rPr>
        <w:t>showed</w:t>
      </w:r>
      <w:r w:rsidR="00137386" w:rsidRPr="009B04A5">
        <w:rPr>
          <w:rFonts w:ascii="Book Antiqua" w:hAnsi="Book Antiqua"/>
          <w:lang w:eastAsia="pl-PL"/>
        </w:rPr>
        <w:t xml:space="preserve"> </w:t>
      </w:r>
      <w:r w:rsidR="00AE37C0" w:rsidRPr="009B04A5">
        <w:rPr>
          <w:rFonts w:ascii="Book Antiqua" w:hAnsi="Book Antiqua"/>
          <w:lang w:eastAsia="pl-PL"/>
        </w:rPr>
        <w:t xml:space="preserve">a </w:t>
      </w:r>
      <w:r w:rsidR="004574B4" w:rsidRPr="009B04A5">
        <w:rPr>
          <w:rStyle w:val="tlid-translation"/>
          <w:rFonts w:ascii="Book Antiqua" w:hAnsi="Book Antiqua"/>
        </w:rPr>
        <w:t>general expression pattern</w:t>
      </w:r>
      <w:r w:rsidR="000F6966" w:rsidRPr="009B04A5">
        <w:rPr>
          <w:rStyle w:val="tlid-translation"/>
          <w:rFonts w:ascii="Book Antiqua" w:hAnsi="Book Antiqua"/>
        </w:rPr>
        <w:t xml:space="preserve"> and</w:t>
      </w:r>
      <w:r w:rsidR="004574B4" w:rsidRPr="009B04A5">
        <w:rPr>
          <w:rStyle w:val="tlid-translation"/>
          <w:rFonts w:ascii="Book Antiqua" w:hAnsi="Book Antiqua"/>
        </w:rPr>
        <w:t xml:space="preserve"> assigned 21 upregulated and 11 downregulated miRNAs for primary ALL and 17 upregulated and 18 downregulated miRNAs for primary AML, but only 17 miRNAs showed convergent expression between </w:t>
      </w:r>
      <w:r w:rsidR="00112401" w:rsidRPr="009B04A5">
        <w:rPr>
          <w:rStyle w:val="tlid-translation"/>
          <w:rFonts w:ascii="Book Antiqua" w:hAnsi="Book Antiqua"/>
        </w:rPr>
        <w:t>two</w:t>
      </w:r>
      <w:r w:rsidR="004574B4" w:rsidRPr="009B04A5">
        <w:rPr>
          <w:rStyle w:val="tlid-translation"/>
          <w:rFonts w:ascii="Book Antiqua" w:hAnsi="Book Antiqua"/>
        </w:rPr>
        <w:t xml:space="preserve"> types of pediatric AL. By defining sets of characteristic genes for each leukemia </w:t>
      </w:r>
      <w:r w:rsidR="00AE37C0" w:rsidRPr="009B04A5">
        <w:rPr>
          <w:rStyle w:val="tlid-translation"/>
          <w:rFonts w:ascii="Book Antiqua" w:hAnsi="Book Antiqua"/>
        </w:rPr>
        <w:t>subtype</w:t>
      </w:r>
      <w:r w:rsidR="004574B4" w:rsidRPr="009B04A5">
        <w:rPr>
          <w:rStyle w:val="tlid-translation"/>
          <w:rFonts w:ascii="Book Antiqua" w:hAnsi="Book Antiqua"/>
        </w:rPr>
        <w:t xml:space="preserve">, including miR-34a, miR-128a, miR-128b, and miR-146a in ALL and miR-100, miR-125b, miR-335, miR-146a, and miR-99a in AML, they emphasized that these </w:t>
      </w:r>
      <w:r w:rsidR="00AE37C0" w:rsidRPr="009B04A5">
        <w:rPr>
          <w:rStyle w:val="tlid-translation"/>
          <w:rFonts w:ascii="Book Antiqua" w:hAnsi="Book Antiqua"/>
        </w:rPr>
        <w:t>miRNA</w:t>
      </w:r>
      <w:r w:rsidR="004574B4" w:rsidRPr="009B04A5">
        <w:rPr>
          <w:rStyle w:val="tlid-translation"/>
          <w:rFonts w:ascii="Book Antiqua" w:hAnsi="Book Antiqua"/>
        </w:rPr>
        <w:t xml:space="preserve"> sets are significantly different from those selected for adult leukemias. This observation is consistent with reports of another group of researchers. Zhang </w:t>
      </w:r>
      <w:r w:rsidR="00783C14" w:rsidRPr="009B04A5">
        <w:rPr>
          <w:rStyle w:val="tlid-translation"/>
          <w:rFonts w:ascii="Book Antiqua" w:hAnsi="Book Antiqua"/>
          <w:i/>
        </w:rPr>
        <w:t>et al</w:t>
      </w:r>
      <w:r w:rsidR="000A6432" w:rsidRPr="009B04A5">
        <w:rPr>
          <w:rStyle w:val="tlid-translation"/>
          <w:rFonts w:ascii="Book Antiqua" w:hAnsi="Book Antiqua"/>
          <w:vertAlign w:val="superscript"/>
        </w:rPr>
        <w:t>[40]</w:t>
      </w:r>
      <w:r w:rsidR="004574B4" w:rsidRPr="009B04A5">
        <w:rPr>
          <w:rStyle w:val="tlid-translation"/>
          <w:rFonts w:ascii="Book Antiqua" w:hAnsi="Book Antiqua"/>
        </w:rPr>
        <w:t xml:space="preserve"> selected lineage-specific markers for the most common cytogenetic and FAB classification subtypes of AML.</w:t>
      </w:r>
      <w:r w:rsidR="00AE37C0" w:rsidRPr="009B04A5">
        <w:rPr>
          <w:rStyle w:val="tlid-translation"/>
          <w:rFonts w:ascii="Book Antiqua" w:hAnsi="Book Antiqua"/>
        </w:rPr>
        <w:t xml:space="preserve"> The overexpression</w:t>
      </w:r>
      <w:r w:rsidR="004574B4" w:rsidRPr="009B04A5">
        <w:rPr>
          <w:rStyle w:val="tlid-translation"/>
          <w:rFonts w:ascii="Book Antiqua" w:hAnsi="Book Antiqua"/>
        </w:rPr>
        <w:t xml:space="preserve"> of several miRs was significantly related </w:t>
      </w:r>
      <w:r w:rsidR="00AE37C0" w:rsidRPr="009B04A5">
        <w:rPr>
          <w:rStyle w:val="tlid-translation"/>
          <w:rFonts w:ascii="Book Antiqua" w:hAnsi="Book Antiqua"/>
        </w:rPr>
        <w:t>to the</w:t>
      </w:r>
      <w:r w:rsidR="004574B4" w:rsidRPr="009B04A5">
        <w:rPr>
          <w:rStyle w:val="tlid-translation"/>
          <w:rFonts w:ascii="Book Antiqua" w:hAnsi="Book Antiqua"/>
        </w:rPr>
        <w:t xml:space="preserve"> degree of </w:t>
      </w:r>
      <w:r w:rsidR="00AE37C0" w:rsidRPr="009B04A5">
        <w:rPr>
          <w:rStyle w:val="tlid-translation"/>
          <w:rFonts w:ascii="Book Antiqua" w:hAnsi="Book Antiqua"/>
        </w:rPr>
        <w:t>cell</w:t>
      </w:r>
      <w:r w:rsidR="004574B4" w:rsidRPr="009B04A5">
        <w:rPr>
          <w:rStyle w:val="tlid-translation"/>
          <w:rFonts w:ascii="Book Antiqua" w:hAnsi="Book Antiqua"/>
        </w:rPr>
        <w:t xml:space="preserve"> maturity and differentiation. High expression </w:t>
      </w:r>
      <w:r w:rsidR="00AE37C0" w:rsidRPr="009B04A5">
        <w:rPr>
          <w:rStyle w:val="tlid-translation"/>
          <w:rFonts w:ascii="Book Antiqua" w:hAnsi="Book Antiqua"/>
        </w:rPr>
        <w:t>levels</w:t>
      </w:r>
      <w:r w:rsidR="004574B4" w:rsidRPr="009B04A5">
        <w:rPr>
          <w:rStyle w:val="tlid-translation"/>
          <w:rFonts w:ascii="Book Antiqua" w:hAnsi="Book Antiqua"/>
        </w:rPr>
        <w:t xml:space="preserve"> of miR-335 in M1, miR-126 in M2 (and </w:t>
      </w:r>
      <w:r w:rsidR="004574B4" w:rsidRPr="009B04A5">
        <w:rPr>
          <w:rStyle w:val="tlid-translation"/>
          <w:rFonts w:ascii="Book Antiqua" w:hAnsi="Book Antiqua"/>
          <w:i/>
        </w:rPr>
        <w:t>AML1-ETO</w:t>
      </w:r>
      <w:r w:rsidR="004574B4" w:rsidRPr="009B04A5">
        <w:rPr>
          <w:rStyle w:val="tlid-translation"/>
          <w:rFonts w:ascii="Book Antiqua" w:hAnsi="Book Antiqua"/>
        </w:rPr>
        <w:t xml:space="preserve">+), and miR-125b in M3 (and </w:t>
      </w:r>
      <w:r w:rsidR="004574B4" w:rsidRPr="009B04A5">
        <w:rPr>
          <w:rStyle w:val="tlid-translation"/>
          <w:rFonts w:ascii="Book Antiqua" w:hAnsi="Book Antiqua"/>
          <w:i/>
        </w:rPr>
        <w:t>PML/RARA</w:t>
      </w:r>
      <w:r w:rsidR="004574B4" w:rsidRPr="009B04A5">
        <w:rPr>
          <w:rStyle w:val="tlid-translation"/>
          <w:rFonts w:ascii="Book Antiqua" w:hAnsi="Book Antiqua"/>
        </w:rPr>
        <w:t xml:space="preserve"> status) </w:t>
      </w:r>
      <w:r w:rsidR="00AE37C0" w:rsidRPr="009B04A5">
        <w:rPr>
          <w:rStyle w:val="tlid-translation"/>
          <w:rFonts w:ascii="Book Antiqua" w:hAnsi="Book Antiqua"/>
        </w:rPr>
        <w:t>were</w:t>
      </w:r>
      <w:r w:rsidR="004574B4" w:rsidRPr="009B04A5">
        <w:rPr>
          <w:rStyle w:val="tlid-translation"/>
          <w:rFonts w:ascii="Book Antiqua" w:hAnsi="Book Antiqua"/>
        </w:rPr>
        <w:t xml:space="preserve"> observed</w:t>
      </w:r>
      <w:r w:rsidR="000A6432" w:rsidRPr="009B04A5">
        <w:rPr>
          <w:rStyle w:val="tlid-translation"/>
          <w:rFonts w:ascii="Book Antiqua" w:hAnsi="Book Antiqua"/>
          <w:vertAlign w:val="superscript"/>
        </w:rPr>
        <w:t>[40]</w:t>
      </w:r>
      <w:r w:rsidR="00EB341A" w:rsidRPr="009B04A5">
        <w:rPr>
          <w:rStyle w:val="tlid-translation"/>
          <w:rFonts w:ascii="Book Antiqua" w:hAnsi="Book Antiqua"/>
        </w:rPr>
        <w:t>.</w:t>
      </w:r>
      <w:r w:rsidR="00137386" w:rsidRPr="009B04A5">
        <w:rPr>
          <w:rFonts w:ascii="Book Antiqua" w:hAnsi="Book Antiqua"/>
          <w:lang w:eastAsia="pl-PL"/>
        </w:rPr>
        <w:t xml:space="preserve"> In that study</w:t>
      </w:r>
      <w:r w:rsidR="00AE37C0" w:rsidRPr="009B04A5">
        <w:rPr>
          <w:rFonts w:ascii="Book Antiqua" w:hAnsi="Book Antiqua"/>
          <w:lang w:eastAsia="pl-PL"/>
        </w:rPr>
        <w:t>,</w:t>
      </w:r>
      <w:r w:rsidR="00137386" w:rsidRPr="009B04A5">
        <w:rPr>
          <w:rFonts w:ascii="Book Antiqua" w:hAnsi="Book Antiqua"/>
          <w:lang w:eastAsia="pl-PL"/>
        </w:rPr>
        <w:t xml:space="preserve"> </w:t>
      </w:r>
      <w:r w:rsidR="00AE37C0" w:rsidRPr="009B04A5">
        <w:rPr>
          <w:rFonts w:ascii="Book Antiqua" w:hAnsi="Book Antiqua"/>
          <w:lang w:eastAsia="pl-PL"/>
        </w:rPr>
        <w:t xml:space="preserve">the </w:t>
      </w:r>
      <w:r w:rsidR="00137386" w:rsidRPr="009B04A5">
        <w:rPr>
          <w:rFonts w:ascii="Book Antiqua" w:hAnsi="Book Antiqua"/>
          <w:lang w:eastAsia="pl-PL"/>
        </w:rPr>
        <w:t xml:space="preserve">authors indicated that miR-125b and miR-126 may serve as favorable prognosticators for M3 and M2 patients, respectively. </w:t>
      </w:r>
      <w:r w:rsidR="00137386" w:rsidRPr="009B04A5">
        <w:rPr>
          <w:rFonts w:ascii="Book Antiqua" w:hAnsi="Book Antiqua"/>
        </w:rPr>
        <w:t xml:space="preserve">Mi </w:t>
      </w:r>
      <w:r w:rsidR="00783C14" w:rsidRPr="009B04A5">
        <w:rPr>
          <w:rFonts w:ascii="Book Antiqua" w:hAnsi="Book Antiqua"/>
          <w:i/>
        </w:rPr>
        <w:t>et al</w:t>
      </w:r>
      <w:r w:rsidR="000A6432" w:rsidRPr="009B04A5">
        <w:rPr>
          <w:rFonts w:ascii="Book Antiqua" w:hAnsi="Book Antiqua"/>
          <w:vertAlign w:val="superscript"/>
        </w:rPr>
        <w:t>[41]</w:t>
      </w:r>
      <w:r w:rsidR="000E31B3" w:rsidRPr="009B04A5">
        <w:rPr>
          <w:rFonts w:ascii="Book Antiqua" w:hAnsi="Book Antiqua"/>
        </w:rPr>
        <w:t xml:space="preserve"> </w:t>
      </w:r>
      <w:r w:rsidR="00116433" w:rsidRPr="009B04A5">
        <w:rPr>
          <w:rFonts w:ascii="Book Antiqua" w:hAnsi="Book Antiqua"/>
        </w:rPr>
        <w:t xml:space="preserve">demonstrated, </w:t>
      </w:r>
      <w:r w:rsidR="000E31B3" w:rsidRPr="009B04A5">
        <w:rPr>
          <w:rFonts w:ascii="Book Antiqua" w:hAnsi="Book Antiqua"/>
        </w:rPr>
        <w:t xml:space="preserve">based </w:t>
      </w:r>
      <w:r w:rsidR="00AE37C0" w:rsidRPr="009B04A5">
        <w:rPr>
          <w:rFonts w:ascii="Book Antiqua" w:hAnsi="Book Antiqua"/>
        </w:rPr>
        <w:t>on</w:t>
      </w:r>
      <w:r w:rsidR="000E31B3" w:rsidRPr="009B04A5">
        <w:rPr>
          <w:rFonts w:ascii="Book Antiqua" w:hAnsi="Book Antiqua"/>
        </w:rPr>
        <w:t xml:space="preserve"> a genome-wide miRNA expression analysis on </w:t>
      </w:r>
      <w:r w:rsidR="000C6B11" w:rsidRPr="009B04A5">
        <w:rPr>
          <w:rFonts w:ascii="Book Antiqua" w:hAnsi="Book Antiqua"/>
        </w:rPr>
        <w:t>AL</w:t>
      </w:r>
      <w:r w:rsidR="000E31B3" w:rsidRPr="009B04A5">
        <w:rPr>
          <w:rFonts w:ascii="Book Antiqua" w:hAnsi="Book Antiqua"/>
        </w:rPr>
        <w:t xml:space="preserve"> samples</w:t>
      </w:r>
      <w:r w:rsidR="00116433" w:rsidRPr="009B04A5">
        <w:rPr>
          <w:rFonts w:ascii="Book Antiqua" w:hAnsi="Book Antiqua"/>
        </w:rPr>
        <w:t>,</w:t>
      </w:r>
      <w:r w:rsidR="000E31B3" w:rsidRPr="009B04A5">
        <w:rPr>
          <w:rFonts w:ascii="Book Antiqua" w:hAnsi="Book Antiqua"/>
        </w:rPr>
        <w:t xml:space="preserve"> </w:t>
      </w:r>
      <w:r w:rsidR="000E31B3" w:rsidRPr="009B04A5">
        <w:rPr>
          <w:rFonts w:ascii="Book Antiqua" w:hAnsi="Book Antiqua"/>
        </w:rPr>
        <w:lastRenderedPageBreak/>
        <w:t>that the expression signatures</w:t>
      </w:r>
      <w:r w:rsidR="00AE37C0" w:rsidRPr="009B04A5">
        <w:rPr>
          <w:rFonts w:ascii="Book Antiqua" w:hAnsi="Book Antiqua"/>
        </w:rPr>
        <w:t xml:space="preserve"> of</w:t>
      </w:r>
      <w:r w:rsidR="000E31B3" w:rsidRPr="009B04A5">
        <w:rPr>
          <w:rFonts w:ascii="Book Antiqua" w:hAnsi="Book Antiqua"/>
        </w:rPr>
        <w:t xml:space="preserve"> only two miRNAs could accurately discriminate ALL from AML (accuracy rate &gt;</w:t>
      </w:r>
      <w:r w:rsidR="0030345D" w:rsidRPr="009B04A5">
        <w:rPr>
          <w:rFonts w:ascii="Book Antiqua" w:hAnsi="Book Antiqua"/>
        </w:rPr>
        <w:t xml:space="preserve"> </w:t>
      </w:r>
      <w:r w:rsidR="000E31B3" w:rsidRPr="009B04A5">
        <w:rPr>
          <w:rFonts w:ascii="Book Antiqua" w:hAnsi="Book Antiqua"/>
        </w:rPr>
        <w:t>95%). They</w:t>
      </w:r>
      <w:r w:rsidR="00AE37C0" w:rsidRPr="009B04A5">
        <w:rPr>
          <w:rFonts w:ascii="Book Antiqua" w:hAnsi="Book Antiqua"/>
        </w:rPr>
        <w:t xml:space="preserve"> proposed the</w:t>
      </w:r>
      <w:r w:rsidR="000E31B3" w:rsidRPr="009B04A5">
        <w:rPr>
          <w:rFonts w:ascii="Book Antiqua" w:hAnsi="Book Antiqua"/>
        </w:rPr>
        <w:t xml:space="preserve"> possibility of using such lineage discriminatory miRNAs to develop a rapid and accurate diagnostic test of ALL </w:t>
      </w:r>
      <w:r w:rsidR="000E31B3" w:rsidRPr="009B04A5">
        <w:rPr>
          <w:rFonts w:ascii="Book Antiqua" w:hAnsi="Book Antiqua"/>
          <w:i/>
        </w:rPr>
        <w:t>v</w:t>
      </w:r>
      <w:r w:rsidR="00C66FB2">
        <w:rPr>
          <w:rFonts w:ascii="Book Antiqua" w:hAnsi="Book Antiqua"/>
          <w:i/>
        </w:rPr>
        <w:t>ersu</w:t>
      </w:r>
      <w:r w:rsidR="000E31B3" w:rsidRPr="009B04A5">
        <w:rPr>
          <w:rFonts w:ascii="Book Antiqua" w:hAnsi="Book Antiqua"/>
          <w:i/>
        </w:rPr>
        <w:t>s</w:t>
      </w:r>
      <w:r w:rsidR="000E31B3" w:rsidRPr="009B04A5">
        <w:rPr>
          <w:rFonts w:ascii="Book Antiqua" w:hAnsi="Book Antiqua"/>
        </w:rPr>
        <w:t xml:space="preserve"> AML in the future</w:t>
      </w:r>
      <w:r w:rsidR="00AE37C0" w:rsidRPr="009B04A5">
        <w:rPr>
          <w:rFonts w:ascii="Book Antiqua" w:hAnsi="Book Antiqua"/>
        </w:rPr>
        <w:t>;</w:t>
      </w:r>
      <w:r w:rsidR="000E31B3" w:rsidRPr="009B04A5">
        <w:rPr>
          <w:rFonts w:ascii="Book Antiqua" w:hAnsi="Book Antiqua"/>
        </w:rPr>
        <w:t xml:space="preserve"> however</w:t>
      </w:r>
      <w:r w:rsidR="00AE37C0" w:rsidRPr="009B04A5">
        <w:rPr>
          <w:rFonts w:ascii="Book Antiqua" w:hAnsi="Book Antiqua"/>
        </w:rPr>
        <w:t>,</w:t>
      </w:r>
      <w:r w:rsidR="000E31B3" w:rsidRPr="009B04A5">
        <w:rPr>
          <w:rFonts w:ascii="Book Antiqua" w:hAnsi="Book Antiqua"/>
        </w:rPr>
        <w:t xml:space="preserve"> the possibility of a more accurate diagnosis of childhood AL based on </w:t>
      </w:r>
      <w:r w:rsidR="00AE37C0" w:rsidRPr="009B04A5">
        <w:rPr>
          <w:rFonts w:ascii="Book Antiqua" w:hAnsi="Book Antiqua"/>
        </w:rPr>
        <w:t>the miRNA</w:t>
      </w:r>
      <w:r w:rsidR="000E31B3" w:rsidRPr="009B04A5">
        <w:rPr>
          <w:rFonts w:ascii="Book Antiqua" w:hAnsi="Book Antiqua"/>
        </w:rPr>
        <w:t xml:space="preserve"> signature remains to be realized. Mi </w:t>
      </w:r>
      <w:r w:rsidR="00783C14" w:rsidRPr="009B04A5">
        <w:rPr>
          <w:rFonts w:ascii="Book Antiqua" w:hAnsi="Book Antiqua"/>
          <w:i/>
        </w:rPr>
        <w:t>et al</w:t>
      </w:r>
      <w:r w:rsidR="000A6432" w:rsidRPr="009B04A5">
        <w:rPr>
          <w:rFonts w:ascii="Book Antiqua" w:hAnsi="Book Antiqua"/>
          <w:vertAlign w:val="superscript"/>
        </w:rPr>
        <w:t>[41]</w:t>
      </w:r>
      <w:r w:rsidR="00C90D90" w:rsidRPr="009B04A5">
        <w:rPr>
          <w:rFonts w:ascii="Book Antiqua" w:hAnsi="Book Antiqua"/>
        </w:rPr>
        <w:t xml:space="preserve"> used</w:t>
      </w:r>
      <w:r w:rsidR="000E31B3" w:rsidRPr="009B04A5">
        <w:rPr>
          <w:rFonts w:ascii="Book Antiqua" w:hAnsi="Book Antiqua"/>
        </w:rPr>
        <w:t xml:space="preserve"> </w:t>
      </w:r>
      <w:r w:rsidR="00C90D90" w:rsidRPr="009B04A5">
        <w:rPr>
          <w:rFonts w:ascii="Book Antiqua" w:hAnsi="Book Antiqua"/>
        </w:rPr>
        <w:t>a</w:t>
      </w:r>
      <w:r w:rsidR="000E31B3" w:rsidRPr="009B04A5">
        <w:rPr>
          <w:rFonts w:ascii="Book Antiqua" w:hAnsi="Book Antiqua"/>
        </w:rPr>
        <w:t xml:space="preserve"> large-scale genome-wide miRNA expression assay</w:t>
      </w:r>
      <w:r w:rsidR="00C90D90" w:rsidRPr="009B04A5">
        <w:rPr>
          <w:rFonts w:ascii="Book Antiqua" w:hAnsi="Book Antiqua"/>
        </w:rPr>
        <w:t xml:space="preserve"> to identify</w:t>
      </w:r>
      <w:r w:rsidR="000E31B3" w:rsidRPr="009B04A5">
        <w:rPr>
          <w:rFonts w:ascii="Book Antiqua" w:hAnsi="Book Antiqua"/>
        </w:rPr>
        <w:t xml:space="preserve"> 27 differentially expressed miRNAs as markers for diagnosis and treatment. Of these, miR-128a and miR-128b were significantly overexpressed in ALL compared to AML, whereas let-7b and miR-223 were significantly </w:t>
      </w:r>
      <w:r w:rsidR="00AE37C0" w:rsidRPr="009B04A5">
        <w:rPr>
          <w:rFonts w:ascii="Book Antiqua" w:hAnsi="Book Antiqua"/>
        </w:rPr>
        <w:t>downregulated</w:t>
      </w:r>
      <w:r w:rsidR="000A6432" w:rsidRPr="009B04A5">
        <w:rPr>
          <w:rFonts w:ascii="Book Antiqua" w:hAnsi="Book Antiqua"/>
          <w:vertAlign w:val="superscript"/>
        </w:rPr>
        <w:t>[41]</w:t>
      </w:r>
      <w:r w:rsidR="000E31B3" w:rsidRPr="009B04A5">
        <w:rPr>
          <w:rFonts w:ascii="Book Antiqua" w:hAnsi="Book Antiqua"/>
        </w:rPr>
        <w:t xml:space="preserve">. </w:t>
      </w:r>
    </w:p>
    <w:p w:rsidR="0030345D" w:rsidRPr="009B04A5" w:rsidRDefault="000E31B3" w:rsidP="00C709AE">
      <w:pPr>
        <w:adjustRightInd w:val="0"/>
        <w:snapToGrid w:val="0"/>
        <w:spacing w:line="360" w:lineRule="auto"/>
        <w:ind w:firstLineChars="100" w:firstLine="240"/>
        <w:rPr>
          <w:rFonts w:ascii="Book Antiqua" w:hAnsi="Book Antiqua"/>
          <w:lang w:eastAsia="pl-PL"/>
        </w:rPr>
      </w:pPr>
      <w:r w:rsidRPr="009B04A5">
        <w:rPr>
          <w:rFonts w:ascii="Book Antiqua" w:hAnsi="Book Antiqua"/>
        </w:rPr>
        <w:t xml:space="preserve">Schotte </w:t>
      </w:r>
      <w:r w:rsidR="00783C14" w:rsidRPr="009B04A5">
        <w:rPr>
          <w:rFonts w:ascii="Book Antiqua" w:hAnsi="Book Antiqua"/>
          <w:i/>
        </w:rPr>
        <w:t>et al</w:t>
      </w:r>
      <w:r w:rsidR="000A6432" w:rsidRPr="009B04A5">
        <w:rPr>
          <w:rFonts w:ascii="Book Antiqua" w:hAnsi="Book Antiqua"/>
          <w:vertAlign w:val="superscript"/>
        </w:rPr>
        <w:t>[42]</w:t>
      </w:r>
      <w:r w:rsidRPr="009B04A5">
        <w:rPr>
          <w:rFonts w:ascii="Book Antiqua" w:hAnsi="Book Antiqua"/>
        </w:rPr>
        <w:t xml:space="preserve"> </w:t>
      </w:r>
      <w:r w:rsidR="00AE37C0" w:rsidRPr="009B04A5">
        <w:rPr>
          <w:rFonts w:ascii="Book Antiqua" w:hAnsi="Book Antiqua"/>
        </w:rPr>
        <w:t>revealed</w:t>
      </w:r>
      <w:r w:rsidRPr="009B04A5">
        <w:rPr>
          <w:rFonts w:ascii="Book Antiqua" w:hAnsi="Book Antiqua"/>
        </w:rPr>
        <w:t xml:space="preserve"> distinct miRNA expression profiles for seven different subtypes of pediatric ALL. </w:t>
      </w:r>
      <w:r w:rsidR="009A35DA" w:rsidRPr="009B04A5">
        <w:rPr>
          <w:rFonts w:ascii="Book Antiqua" w:hAnsi="Book Antiqua"/>
        </w:rPr>
        <w:t xml:space="preserve">They showed that the </w:t>
      </w:r>
      <w:r w:rsidR="007C71F6" w:rsidRPr="009B04A5">
        <w:rPr>
          <w:rFonts w:ascii="Book Antiqua" w:hAnsi="Book Antiqua"/>
        </w:rPr>
        <w:t xml:space="preserve">precursor </w:t>
      </w:r>
      <w:r w:rsidR="009A35DA" w:rsidRPr="009B04A5">
        <w:rPr>
          <w:rFonts w:ascii="Book Antiqua" w:hAnsi="Book Antiqua"/>
        </w:rPr>
        <w:t xml:space="preserve">B-ALL has a specific expression pattern characterized by low expression levels of miR-127 and miR-143. This feature allowed </w:t>
      </w:r>
      <w:r w:rsidR="00116433" w:rsidRPr="009B04A5">
        <w:rPr>
          <w:rFonts w:ascii="Book Antiqua" w:hAnsi="Book Antiqua"/>
        </w:rPr>
        <w:t>distinguishing</w:t>
      </w:r>
      <w:r w:rsidR="009A35DA" w:rsidRPr="009B04A5">
        <w:rPr>
          <w:rFonts w:ascii="Book Antiqua" w:hAnsi="Book Antiqua"/>
        </w:rPr>
        <w:t xml:space="preserve"> this cell line from control and CD34+ cells. In turn, T-ALL cells showed differentia</w:t>
      </w:r>
      <w:r w:rsidR="00116433" w:rsidRPr="009B04A5">
        <w:rPr>
          <w:rFonts w:ascii="Book Antiqua" w:hAnsi="Book Antiqua"/>
        </w:rPr>
        <w:t>l</w:t>
      </w:r>
      <w:r w:rsidR="009A35DA" w:rsidRPr="009B04A5">
        <w:rPr>
          <w:rFonts w:ascii="Book Antiqua" w:hAnsi="Book Antiqua"/>
        </w:rPr>
        <w:t xml:space="preserve"> expression of 28 miRNAs. High expression of various miRNAs (</w:t>
      </w:r>
      <w:r w:rsidR="009A35DA" w:rsidRPr="009B04A5">
        <w:rPr>
          <w:rFonts w:ascii="Book Antiqua" w:hAnsi="Book Antiqua"/>
          <w:i/>
        </w:rPr>
        <w:t>e.g.</w:t>
      </w:r>
      <w:r w:rsidR="00116433" w:rsidRPr="009B04A5">
        <w:rPr>
          <w:rFonts w:ascii="Book Antiqua" w:hAnsi="Book Antiqua"/>
        </w:rPr>
        <w:t>,</w:t>
      </w:r>
      <w:r w:rsidR="009A35DA" w:rsidRPr="009B04A5">
        <w:rPr>
          <w:rFonts w:ascii="Book Antiqua" w:hAnsi="Book Antiqua"/>
        </w:rPr>
        <w:t xml:space="preserve"> miR-223, miR-222/222*, miR-98</w:t>
      </w:r>
      <w:r w:rsidR="00116433" w:rsidRPr="009B04A5">
        <w:rPr>
          <w:rFonts w:ascii="Book Antiqua" w:hAnsi="Book Antiqua"/>
        </w:rPr>
        <w:t>,</w:t>
      </w:r>
      <w:r w:rsidR="009A35DA" w:rsidRPr="009B04A5">
        <w:rPr>
          <w:rFonts w:ascii="Book Antiqua" w:hAnsi="Book Antiqua"/>
        </w:rPr>
        <w:t xml:space="preserve"> and miR-511) was observed in ALL with </w:t>
      </w:r>
      <w:r w:rsidR="0030345D" w:rsidRPr="009B04A5">
        <w:rPr>
          <w:rFonts w:ascii="Book Antiqua" w:hAnsi="Book Antiqua"/>
        </w:rPr>
        <w:t>hyperdiploidy</w:t>
      </w:r>
      <w:r w:rsidR="009A35DA" w:rsidRPr="009B04A5">
        <w:rPr>
          <w:rFonts w:ascii="Book Antiqua" w:hAnsi="Book Antiqua"/>
        </w:rPr>
        <w:t>.</w:t>
      </w:r>
      <w:r w:rsidR="00A700CC" w:rsidRPr="009B04A5">
        <w:rPr>
          <w:rFonts w:ascii="Book Antiqua" w:hAnsi="Book Antiqua"/>
        </w:rPr>
        <w:t xml:space="preserve"> </w:t>
      </w:r>
      <w:r w:rsidRPr="009B04A5">
        <w:rPr>
          <w:rFonts w:ascii="Book Antiqua" w:hAnsi="Book Antiqua"/>
        </w:rPr>
        <w:t xml:space="preserve">Interestingly, the miRNA signature of </w:t>
      </w:r>
      <w:r w:rsidRPr="009B04A5">
        <w:rPr>
          <w:rFonts w:ascii="Book Antiqua" w:hAnsi="Book Antiqua"/>
          <w:i/>
          <w:iCs/>
        </w:rPr>
        <w:t>TEL-AML1</w:t>
      </w:r>
      <w:r w:rsidRPr="009B04A5">
        <w:rPr>
          <w:rFonts w:ascii="Book Antiqua" w:hAnsi="Book Antiqua"/>
        </w:rPr>
        <w:t xml:space="preserve">-positive and </w:t>
      </w:r>
      <w:r w:rsidR="0030345D" w:rsidRPr="009B04A5">
        <w:rPr>
          <w:rFonts w:ascii="Book Antiqua" w:hAnsi="Book Antiqua"/>
        </w:rPr>
        <w:t>hyper diploid</w:t>
      </w:r>
      <w:r w:rsidRPr="009B04A5">
        <w:rPr>
          <w:rFonts w:ascii="Book Antiqua" w:hAnsi="Book Antiqua"/>
        </w:rPr>
        <w:t xml:space="preserve"> cases partly overlapped, which may suggest a common underlying biology.</w:t>
      </w:r>
      <w:r w:rsidR="00A30941" w:rsidRPr="009B04A5">
        <w:rPr>
          <w:rFonts w:ascii="Book Antiqua" w:hAnsi="Book Antiqua"/>
        </w:rPr>
        <w:t xml:space="preserve"> Interestingly, specific classification profiles have been described for each of the pediatric </w:t>
      </w:r>
      <w:r w:rsidR="000C6B11" w:rsidRPr="009B04A5">
        <w:rPr>
          <w:rFonts w:ascii="Book Antiqua" w:hAnsi="Book Antiqua"/>
        </w:rPr>
        <w:t>AL</w:t>
      </w:r>
      <w:r w:rsidR="00A30941" w:rsidRPr="009B04A5">
        <w:rPr>
          <w:rFonts w:ascii="Book Antiqua" w:hAnsi="Book Antiqua"/>
        </w:rPr>
        <w:t xml:space="preserve"> subtypes, except for </w:t>
      </w:r>
      <w:r w:rsidR="00A30941" w:rsidRPr="009B04A5">
        <w:rPr>
          <w:rFonts w:ascii="Book Antiqua" w:hAnsi="Book Antiqua"/>
          <w:i/>
        </w:rPr>
        <w:t>BCR-ABL1</w:t>
      </w:r>
      <w:r w:rsidR="00A30941" w:rsidRPr="009B04A5">
        <w:rPr>
          <w:rFonts w:ascii="Book Antiqua" w:hAnsi="Book Antiqua"/>
        </w:rPr>
        <w:t>-positive and "B-other" ALL</w:t>
      </w:r>
      <w:r w:rsidR="00756CF6" w:rsidRPr="009B04A5">
        <w:rPr>
          <w:rFonts w:ascii="Book Antiqua" w:hAnsi="Book Antiqua"/>
        </w:rPr>
        <w:t>.</w:t>
      </w:r>
    </w:p>
    <w:p w:rsidR="0030345D" w:rsidRPr="009B04A5" w:rsidRDefault="000E31B3" w:rsidP="00C709AE">
      <w:pPr>
        <w:adjustRightInd w:val="0"/>
        <w:snapToGrid w:val="0"/>
        <w:spacing w:line="360" w:lineRule="auto"/>
        <w:ind w:firstLineChars="100" w:firstLine="240"/>
        <w:rPr>
          <w:rFonts w:ascii="Book Antiqua" w:hAnsi="Book Antiqua"/>
          <w:lang w:eastAsia="pl-PL"/>
        </w:rPr>
      </w:pPr>
      <w:r w:rsidRPr="009B04A5">
        <w:rPr>
          <w:rFonts w:ascii="Book Antiqua" w:hAnsi="Book Antiqua"/>
          <w:lang w:eastAsia="pl-PL"/>
        </w:rPr>
        <w:t xml:space="preserve">Almeida </w:t>
      </w:r>
      <w:r w:rsidR="00783C14" w:rsidRPr="009B04A5">
        <w:rPr>
          <w:rFonts w:ascii="Book Antiqua" w:hAnsi="Book Antiqua"/>
          <w:i/>
          <w:lang w:eastAsia="pl-PL"/>
        </w:rPr>
        <w:t>et al</w:t>
      </w:r>
      <w:r w:rsidR="00153928" w:rsidRPr="009B04A5">
        <w:rPr>
          <w:rFonts w:ascii="Book Antiqua" w:hAnsi="Book Antiqua"/>
          <w:vertAlign w:val="superscript"/>
          <w:lang w:eastAsia="pl-PL"/>
        </w:rPr>
        <w:t>[21]</w:t>
      </w:r>
      <w:r w:rsidRPr="009B04A5">
        <w:rPr>
          <w:rFonts w:ascii="Book Antiqua" w:hAnsi="Book Antiqua"/>
          <w:lang w:eastAsia="pl-PL"/>
        </w:rPr>
        <w:t xml:space="preserve"> </w:t>
      </w:r>
      <w:r w:rsidR="000D356D" w:rsidRPr="009B04A5">
        <w:rPr>
          <w:rFonts w:ascii="Book Antiqua" w:hAnsi="Book Antiqua"/>
          <w:lang w:eastAsia="pl-PL"/>
        </w:rPr>
        <w:t>used</w:t>
      </w:r>
      <w:r w:rsidRPr="009B04A5">
        <w:rPr>
          <w:rFonts w:ascii="Book Antiqua" w:hAnsi="Book Antiqua"/>
          <w:lang w:eastAsia="pl-PL"/>
        </w:rPr>
        <w:t xml:space="preserve"> massive parallel sequencing </w:t>
      </w:r>
      <w:r w:rsidR="000D356D" w:rsidRPr="009B04A5">
        <w:rPr>
          <w:rFonts w:ascii="Book Antiqua" w:hAnsi="Book Antiqua"/>
          <w:lang w:eastAsia="pl-PL"/>
        </w:rPr>
        <w:t xml:space="preserve">to </w:t>
      </w:r>
      <w:r w:rsidRPr="009B04A5">
        <w:rPr>
          <w:rFonts w:ascii="Book Antiqua" w:hAnsi="Book Antiqua"/>
          <w:lang w:eastAsia="pl-PL"/>
        </w:rPr>
        <w:t xml:space="preserve">describe novel sets of </w:t>
      </w:r>
      <w:r w:rsidR="00116433" w:rsidRPr="009B04A5">
        <w:rPr>
          <w:rFonts w:ascii="Book Antiqua" w:hAnsi="Book Antiqua"/>
          <w:lang w:eastAsia="pl-PL"/>
        </w:rPr>
        <w:t xml:space="preserve">16 </w:t>
      </w:r>
      <w:r w:rsidRPr="009B04A5">
        <w:rPr>
          <w:rFonts w:ascii="Book Antiqua" w:hAnsi="Book Antiqua"/>
          <w:lang w:eastAsia="pl-PL"/>
        </w:rPr>
        <w:t xml:space="preserve">miRNAs correlated with childhood ALL subtypes. Among </w:t>
      </w:r>
      <w:r w:rsidR="00AE37C0" w:rsidRPr="009B04A5">
        <w:rPr>
          <w:rFonts w:ascii="Book Antiqua" w:hAnsi="Book Antiqua"/>
          <w:lang w:eastAsia="pl-PL"/>
        </w:rPr>
        <w:t>the subtype</w:t>
      </w:r>
      <w:r w:rsidRPr="009B04A5">
        <w:rPr>
          <w:rFonts w:ascii="Book Antiqua" w:hAnsi="Book Antiqua"/>
          <w:lang w:eastAsia="pl-PL"/>
        </w:rPr>
        <w:t xml:space="preserve"> discriminators, ten (miR-708-5p, miR-497-5p, miR-151a-5p, miR-151b, miR-371b-5p, miR-455-5p, miR-195-5p, miR-1266-5p, miR-574-5p, and miR-425-5p) were downregulated and six (miR-450b-5p, miR-450a-5p, miR-542-5p, miR-424-5p, miR-629-5p, and miR-29c-5p) were upregulated in pediatric T</w:t>
      </w:r>
      <w:r w:rsidRPr="009B04A5">
        <w:rPr>
          <w:rFonts w:ascii="Cambria Math" w:hAnsi="Cambria Math" w:cs="Cambria Math"/>
          <w:lang w:eastAsia="pl-PL"/>
        </w:rPr>
        <w:t>‐</w:t>
      </w:r>
      <w:r w:rsidRPr="009B04A5">
        <w:rPr>
          <w:rFonts w:ascii="Book Antiqua" w:hAnsi="Book Antiqua"/>
          <w:lang w:eastAsia="pl-PL"/>
        </w:rPr>
        <w:t xml:space="preserve">ALL. </w:t>
      </w:r>
      <w:r w:rsidRPr="009B04A5">
        <w:rPr>
          <w:rStyle w:val="tlid-translation"/>
          <w:rFonts w:ascii="Book Antiqua" w:hAnsi="Book Antiqua"/>
        </w:rPr>
        <w:t xml:space="preserve">Researchers also assigned individual molecules to six functional categories, of which </w:t>
      </w:r>
      <w:r w:rsidRPr="009B04A5">
        <w:rPr>
          <w:rFonts w:ascii="Book Antiqua" w:hAnsi="Book Antiqua"/>
          <w:lang w:eastAsia="pl-PL"/>
        </w:rPr>
        <w:t xml:space="preserve">three were associated with induced </w:t>
      </w:r>
      <w:r w:rsidR="000D356D" w:rsidRPr="009B04A5">
        <w:rPr>
          <w:rFonts w:ascii="Book Antiqua" w:hAnsi="Book Antiqua"/>
          <w:lang w:eastAsia="pl-PL"/>
        </w:rPr>
        <w:t xml:space="preserve">miRNAs </w:t>
      </w:r>
      <w:r w:rsidRPr="009B04A5">
        <w:rPr>
          <w:rFonts w:ascii="Book Antiqua" w:hAnsi="Book Antiqua"/>
          <w:lang w:eastAsia="pl-PL"/>
        </w:rPr>
        <w:t>and three with repressed miRNAs in T</w:t>
      </w:r>
      <w:r w:rsidRPr="009B04A5">
        <w:rPr>
          <w:rFonts w:ascii="Cambria Math" w:hAnsi="Cambria Math" w:cs="Cambria Math"/>
          <w:lang w:eastAsia="pl-PL"/>
        </w:rPr>
        <w:t>‐</w:t>
      </w:r>
      <w:r w:rsidRPr="009B04A5">
        <w:rPr>
          <w:rFonts w:ascii="Book Antiqua" w:hAnsi="Book Antiqua"/>
          <w:lang w:eastAsia="pl-PL"/>
        </w:rPr>
        <w:t xml:space="preserve">ALL (encompassed 45 genes that were shared by induced and repressed miRNAs; 210 genes were targeted by overexpressed miRNAs, and 143 genes were targeted by downregulated miRNAs). Differentially expressed genes and their targets </w:t>
      </w:r>
      <w:r w:rsidRPr="009B04A5">
        <w:rPr>
          <w:rFonts w:ascii="Book Antiqua" w:hAnsi="Book Antiqua"/>
          <w:lang w:eastAsia="pl-PL"/>
        </w:rPr>
        <w:lastRenderedPageBreak/>
        <w:t>represented relevant biological pathways</w:t>
      </w:r>
      <w:r w:rsidR="00AE37C0" w:rsidRPr="009B04A5">
        <w:rPr>
          <w:rFonts w:ascii="Book Antiqua" w:hAnsi="Book Antiqua"/>
          <w:lang w:eastAsia="pl-PL"/>
        </w:rPr>
        <w:t>,</w:t>
      </w:r>
      <w:r w:rsidRPr="009B04A5">
        <w:rPr>
          <w:rFonts w:ascii="Book Antiqua" w:hAnsi="Book Antiqua"/>
          <w:lang w:eastAsia="pl-PL"/>
        </w:rPr>
        <w:t xml:space="preserve"> including viral carcinogenesis, cell cycle, and B-cell receptor signaling pathways for induced miRNAs and </w:t>
      </w:r>
      <w:r w:rsidRPr="009B04A5">
        <w:rPr>
          <w:rFonts w:ascii="Book Antiqua" w:hAnsi="Book Antiqua"/>
          <w:i/>
          <w:lang w:eastAsia="pl-PL"/>
        </w:rPr>
        <w:t>TGF</w:t>
      </w:r>
      <w:r w:rsidRPr="009B04A5">
        <w:rPr>
          <w:rFonts w:ascii="Book Antiqua" w:hAnsi="Book Antiqua"/>
          <w:lang w:eastAsia="pl-PL"/>
        </w:rPr>
        <w:t>-</w:t>
      </w:r>
      <w:r w:rsidR="004F6A31" w:rsidRPr="005402CC">
        <w:rPr>
          <w:rFonts w:ascii="Book Antiqua" w:hAnsi="Book Antiqua"/>
          <w:i/>
        </w:rPr>
        <w:t>β</w:t>
      </w:r>
      <w:r w:rsidRPr="009B04A5">
        <w:rPr>
          <w:rFonts w:ascii="Book Antiqua" w:hAnsi="Book Antiqua"/>
          <w:lang w:eastAsia="pl-PL"/>
        </w:rPr>
        <w:t xml:space="preserve"> signaling, apoptosis, </w:t>
      </w:r>
      <w:r w:rsidRPr="009B04A5">
        <w:rPr>
          <w:rFonts w:ascii="Book Antiqua" w:hAnsi="Book Antiqua"/>
          <w:i/>
          <w:lang w:eastAsia="pl-PL"/>
        </w:rPr>
        <w:t>NF-kappa B</w:t>
      </w:r>
      <w:r w:rsidRPr="009B04A5">
        <w:rPr>
          <w:rFonts w:ascii="Book Antiqua" w:hAnsi="Book Antiqua"/>
          <w:lang w:eastAsia="pl-PL"/>
        </w:rPr>
        <w:t xml:space="preserve"> signaling, and cell differentiation and hematopoiesis processes</w:t>
      </w:r>
      <w:r w:rsidR="00153928" w:rsidRPr="009B04A5">
        <w:rPr>
          <w:rFonts w:ascii="Book Antiqua" w:hAnsi="Book Antiqua"/>
          <w:vertAlign w:val="superscript"/>
          <w:lang w:eastAsia="pl-PL"/>
        </w:rPr>
        <w:t>[21]</w:t>
      </w:r>
      <w:r w:rsidRPr="009B04A5">
        <w:rPr>
          <w:rFonts w:ascii="Book Antiqua" w:hAnsi="Book Antiqua"/>
          <w:lang w:eastAsia="pl-PL"/>
        </w:rPr>
        <w:t xml:space="preserve">. Almeida </w:t>
      </w:r>
      <w:r w:rsidR="00783C14" w:rsidRPr="009B04A5">
        <w:rPr>
          <w:rFonts w:ascii="Book Antiqua" w:hAnsi="Book Antiqua"/>
          <w:i/>
          <w:lang w:eastAsia="pl-PL"/>
        </w:rPr>
        <w:t>et al</w:t>
      </w:r>
      <w:r w:rsidR="00153928" w:rsidRPr="009B04A5">
        <w:rPr>
          <w:rFonts w:ascii="Book Antiqua" w:hAnsi="Book Antiqua"/>
          <w:vertAlign w:val="superscript"/>
          <w:lang w:eastAsia="pl-PL"/>
        </w:rPr>
        <w:t>[21]</w:t>
      </w:r>
      <w:r w:rsidRPr="009B04A5">
        <w:rPr>
          <w:rFonts w:ascii="Book Antiqua" w:hAnsi="Book Antiqua"/>
          <w:lang w:eastAsia="pl-PL"/>
        </w:rPr>
        <w:t xml:space="preserve"> </w:t>
      </w:r>
      <w:r w:rsidRPr="009B04A5">
        <w:rPr>
          <w:rStyle w:val="tlid-translation"/>
          <w:rFonts w:ascii="Book Antiqua" w:hAnsi="Book Antiqua"/>
        </w:rPr>
        <w:t xml:space="preserve">also </w:t>
      </w:r>
      <w:r w:rsidR="00AE37C0" w:rsidRPr="009B04A5">
        <w:rPr>
          <w:rStyle w:val="tlid-translation"/>
          <w:rFonts w:ascii="Book Antiqua" w:hAnsi="Book Antiqua"/>
        </w:rPr>
        <w:t>identified</w:t>
      </w:r>
      <w:r w:rsidRPr="009B04A5">
        <w:rPr>
          <w:rStyle w:val="tlid-translation"/>
          <w:rFonts w:ascii="Book Antiqua" w:hAnsi="Book Antiqua"/>
        </w:rPr>
        <w:t xml:space="preserve"> </w:t>
      </w:r>
      <w:r w:rsidRPr="009B04A5">
        <w:rPr>
          <w:rFonts w:ascii="Book Antiqua" w:hAnsi="Book Antiqua"/>
          <w:lang w:eastAsia="pl-PL"/>
        </w:rPr>
        <w:t>miR-29c-5p as the best discriminator of</w:t>
      </w:r>
      <w:r w:rsidR="00AE37C0" w:rsidRPr="009B04A5">
        <w:rPr>
          <w:rFonts w:ascii="Book Antiqua" w:hAnsi="Book Antiqua"/>
          <w:lang w:eastAsia="pl-PL"/>
        </w:rPr>
        <w:t xml:space="preserve"> the</w:t>
      </w:r>
      <w:r w:rsidRPr="009B04A5">
        <w:rPr>
          <w:rFonts w:ascii="Book Antiqua" w:hAnsi="Book Antiqua"/>
          <w:lang w:eastAsia="pl-PL"/>
        </w:rPr>
        <w:t xml:space="preserve"> pediatric leukemia cell line.</w:t>
      </w:r>
    </w:p>
    <w:p w:rsidR="00116433" w:rsidRPr="009B04A5" w:rsidRDefault="005B2114" w:rsidP="00C709AE">
      <w:pPr>
        <w:adjustRightInd w:val="0"/>
        <w:snapToGrid w:val="0"/>
        <w:spacing w:line="360" w:lineRule="auto"/>
        <w:ind w:firstLineChars="100" w:firstLine="240"/>
        <w:rPr>
          <w:rFonts w:ascii="Book Antiqua" w:hAnsi="Book Antiqua"/>
        </w:rPr>
      </w:pPr>
      <w:r w:rsidRPr="009B04A5">
        <w:rPr>
          <w:rFonts w:ascii="Book Antiqua" w:hAnsi="Book Antiqua"/>
        </w:rPr>
        <w:t xml:space="preserve">Li </w:t>
      </w:r>
      <w:r w:rsidR="00783C14" w:rsidRPr="009B04A5">
        <w:rPr>
          <w:rFonts w:ascii="Book Antiqua" w:hAnsi="Book Antiqua"/>
          <w:i/>
        </w:rPr>
        <w:t>et al</w:t>
      </w:r>
      <w:r w:rsidR="000A6432" w:rsidRPr="009B04A5">
        <w:rPr>
          <w:rFonts w:ascii="Book Antiqua" w:hAnsi="Book Antiqua"/>
          <w:vertAlign w:val="superscript"/>
        </w:rPr>
        <w:t>[43]</w:t>
      </w:r>
      <w:r w:rsidRPr="009B04A5">
        <w:rPr>
          <w:rFonts w:ascii="Book Antiqua" w:hAnsi="Book Antiqua"/>
        </w:rPr>
        <w:t xml:space="preserve"> </w:t>
      </w:r>
      <w:r w:rsidR="00EF2014" w:rsidRPr="009B04A5">
        <w:rPr>
          <w:rStyle w:val="tlid-translation"/>
          <w:rFonts w:ascii="Book Antiqua" w:hAnsi="Book Antiqua"/>
        </w:rPr>
        <w:t xml:space="preserve">showed that the </w:t>
      </w:r>
      <w:r w:rsidR="00AE37C0" w:rsidRPr="009B04A5">
        <w:rPr>
          <w:rStyle w:val="tlid-translation"/>
          <w:rFonts w:ascii="Book Antiqua" w:hAnsi="Book Antiqua"/>
        </w:rPr>
        <w:t>downregulation</w:t>
      </w:r>
      <w:r w:rsidR="00EF2014" w:rsidRPr="009B04A5">
        <w:rPr>
          <w:rStyle w:val="tlid-translation"/>
          <w:rFonts w:ascii="Book Antiqua" w:hAnsi="Book Antiqua"/>
        </w:rPr>
        <w:t xml:space="preserve"> of </w:t>
      </w:r>
      <w:r w:rsidR="00EF2014" w:rsidRPr="009B04A5">
        <w:rPr>
          <w:rFonts w:ascii="Book Antiqua" w:hAnsi="Book Antiqua"/>
        </w:rPr>
        <w:t>miR-100 and miR-99a</w:t>
      </w:r>
      <w:r w:rsidR="00CE0C4C" w:rsidRPr="009B04A5">
        <w:rPr>
          <w:rStyle w:val="tlid-translation"/>
          <w:rFonts w:ascii="Book Antiqua" w:hAnsi="Book Antiqua"/>
        </w:rPr>
        <w:t xml:space="preserve"> expression </w:t>
      </w:r>
      <w:r w:rsidR="00AE37C0" w:rsidRPr="009B04A5">
        <w:rPr>
          <w:rStyle w:val="tlid-translation"/>
          <w:rFonts w:ascii="Book Antiqua" w:hAnsi="Book Antiqua"/>
        </w:rPr>
        <w:t>levels</w:t>
      </w:r>
      <w:r w:rsidR="00CE0C4C" w:rsidRPr="009B04A5">
        <w:rPr>
          <w:rStyle w:val="tlid-translation"/>
          <w:rFonts w:ascii="Book Antiqua" w:hAnsi="Book Antiqua"/>
        </w:rPr>
        <w:t xml:space="preserve"> was a significant feature of leukemic blasts and </w:t>
      </w:r>
      <w:r w:rsidR="00AE37C0" w:rsidRPr="009B04A5">
        <w:rPr>
          <w:rStyle w:val="tlid-translation"/>
          <w:rFonts w:ascii="Book Antiqua" w:hAnsi="Book Antiqua"/>
        </w:rPr>
        <w:t>was</w:t>
      </w:r>
      <w:r w:rsidR="00CE0C4C" w:rsidRPr="009B04A5">
        <w:rPr>
          <w:rStyle w:val="tlid-translation"/>
          <w:rFonts w:ascii="Book Antiqua" w:hAnsi="Book Antiqua"/>
        </w:rPr>
        <w:t xml:space="preserve"> strongly correlated with the patient's 5-year survival. </w:t>
      </w:r>
      <w:r w:rsidR="0020691E" w:rsidRPr="009B04A5">
        <w:rPr>
          <w:rFonts w:ascii="Book Antiqua" w:hAnsi="Book Antiqua"/>
        </w:rPr>
        <w:t>For these two marker molecules,</w:t>
      </w:r>
      <w:r w:rsidR="00AE37C0" w:rsidRPr="009B04A5">
        <w:rPr>
          <w:rFonts w:ascii="Book Antiqua" w:hAnsi="Book Antiqua"/>
        </w:rPr>
        <w:t xml:space="preserve"> </w:t>
      </w:r>
      <w:r w:rsidR="0020691E" w:rsidRPr="009B04A5">
        <w:rPr>
          <w:rFonts w:ascii="Book Antiqua" w:hAnsi="Book Antiqua"/>
        </w:rPr>
        <w:t xml:space="preserve">differences in expression </w:t>
      </w:r>
      <w:r w:rsidR="00AE37C0" w:rsidRPr="009B04A5">
        <w:rPr>
          <w:rFonts w:ascii="Book Antiqua" w:hAnsi="Book Antiqua"/>
        </w:rPr>
        <w:t>patterns</w:t>
      </w:r>
      <w:r w:rsidR="0020691E" w:rsidRPr="009B04A5">
        <w:rPr>
          <w:rFonts w:ascii="Book Antiqua" w:hAnsi="Book Antiqua"/>
        </w:rPr>
        <w:t xml:space="preserve"> between ALL and AML were noted, </w:t>
      </w:r>
      <w:r w:rsidR="00AE37C0" w:rsidRPr="009B04A5">
        <w:rPr>
          <w:rFonts w:ascii="Book Antiqua" w:hAnsi="Book Antiqua"/>
        </w:rPr>
        <w:t>and</w:t>
      </w:r>
      <w:r w:rsidR="0020691E" w:rsidRPr="009B04A5">
        <w:rPr>
          <w:rFonts w:ascii="Book Antiqua" w:hAnsi="Book Antiqua"/>
        </w:rPr>
        <w:t xml:space="preserve"> white blood cell (WBC) count, ALL type (T-cell or B-cell), the </w:t>
      </w:r>
      <w:r w:rsidR="0020691E" w:rsidRPr="009B04A5">
        <w:rPr>
          <w:rFonts w:ascii="Book Antiqua" w:hAnsi="Book Antiqua"/>
          <w:i/>
          <w:iCs/>
        </w:rPr>
        <w:t>MLL</w:t>
      </w:r>
      <w:r w:rsidR="0020691E" w:rsidRPr="009B04A5">
        <w:rPr>
          <w:rFonts w:ascii="Book Antiqua" w:hAnsi="Book Antiqua"/>
        </w:rPr>
        <w:t>-rearranged gene</w:t>
      </w:r>
      <w:r w:rsidR="00116433" w:rsidRPr="009B04A5">
        <w:rPr>
          <w:rFonts w:ascii="Book Antiqua" w:hAnsi="Book Antiqua"/>
        </w:rPr>
        <w:t>,</w:t>
      </w:r>
      <w:r w:rsidR="0020691E" w:rsidRPr="009B04A5">
        <w:rPr>
          <w:rFonts w:ascii="Book Antiqua" w:hAnsi="Book Antiqua"/>
        </w:rPr>
        <w:t xml:space="preserve"> and the </w:t>
      </w:r>
      <w:r w:rsidR="0020691E" w:rsidRPr="009B04A5">
        <w:rPr>
          <w:rFonts w:ascii="Book Antiqua" w:hAnsi="Book Antiqua"/>
          <w:i/>
          <w:iCs/>
        </w:rPr>
        <w:t>BCR-ABL</w:t>
      </w:r>
      <w:r w:rsidR="0020691E" w:rsidRPr="009B04A5">
        <w:rPr>
          <w:rFonts w:ascii="Book Antiqua" w:hAnsi="Book Antiqua"/>
        </w:rPr>
        <w:t xml:space="preserve"> fusion gene were correlated with changes in miR-100 and miR-99a </w:t>
      </w:r>
      <w:r w:rsidR="00AE37C0" w:rsidRPr="009B04A5">
        <w:rPr>
          <w:rFonts w:ascii="Book Antiqua" w:hAnsi="Book Antiqua"/>
        </w:rPr>
        <w:t>levels</w:t>
      </w:r>
      <w:r w:rsidR="0020691E" w:rsidRPr="009B04A5">
        <w:rPr>
          <w:rFonts w:ascii="Book Antiqua" w:hAnsi="Book Antiqua"/>
        </w:rPr>
        <w:t xml:space="preserve">. </w:t>
      </w:r>
      <w:r w:rsidR="00EF2014" w:rsidRPr="009B04A5">
        <w:rPr>
          <w:rStyle w:val="tlid-translation"/>
          <w:rFonts w:ascii="Book Antiqua" w:hAnsi="Book Antiqua"/>
        </w:rPr>
        <w:t xml:space="preserve">In addition, it has been shown in </w:t>
      </w:r>
      <w:r w:rsidR="00EF2014" w:rsidRPr="009B04A5">
        <w:rPr>
          <w:rStyle w:val="tlid-translation"/>
          <w:rFonts w:ascii="Book Antiqua" w:hAnsi="Book Antiqua"/>
          <w:i/>
        </w:rPr>
        <w:t>ex vivo</w:t>
      </w:r>
      <w:r w:rsidR="00EF2014" w:rsidRPr="009B04A5">
        <w:rPr>
          <w:rStyle w:val="tlid-translation"/>
          <w:rFonts w:ascii="Book Antiqua" w:hAnsi="Book Antiqua"/>
        </w:rPr>
        <w:t xml:space="preserve"> experiments that upregulation of</w:t>
      </w:r>
      <w:r w:rsidR="00AE37C0" w:rsidRPr="009B04A5">
        <w:rPr>
          <w:rStyle w:val="tlid-translation"/>
          <w:rFonts w:ascii="Book Antiqua" w:hAnsi="Book Antiqua"/>
        </w:rPr>
        <w:t xml:space="preserve"> the expression of these</w:t>
      </w:r>
      <w:r w:rsidR="00EF2014" w:rsidRPr="009B04A5">
        <w:rPr>
          <w:rStyle w:val="tlid-translation"/>
          <w:rFonts w:ascii="Book Antiqua" w:hAnsi="Book Antiqua"/>
        </w:rPr>
        <w:t xml:space="preserve"> molecules inhibited the expression of </w:t>
      </w:r>
      <w:r w:rsidR="00EF2014" w:rsidRPr="009B04A5">
        <w:rPr>
          <w:rStyle w:val="tlid-translation"/>
          <w:rFonts w:ascii="Book Antiqua" w:hAnsi="Book Antiqua"/>
          <w:i/>
        </w:rPr>
        <w:t>IGF1R</w:t>
      </w:r>
      <w:r w:rsidR="00EF2014" w:rsidRPr="009B04A5">
        <w:rPr>
          <w:rStyle w:val="tlid-translation"/>
          <w:rFonts w:ascii="Book Antiqua" w:hAnsi="Book Antiqua"/>
        </w:rPr>
        <w:t xml:space="preserve"> and </w:t>
      </w:r>
      <w:r w:rsidR="00EF2014" w:rsidRPr="005402CC">
        <w:rPr>
          <w:rStyle w:val="tlid-translation"/>
          <w:rFonts w:ascii="Book Antiqua" w:hAnsi="Book Antiqua"/>
          <w:i/>
        </w:rPr>
        <w:t>mTOR</w:t>
      </w:r>
      <w:r w:rsidR="00EF2014" w:rsidRPr="009B04A5">
        <w:rPr>
          <w:rStyle w:val="tlid-translation"/>
          <w:rFonts w:ascii="Book Antiqua" w:hAnsi="Book Antiqua"/>
        </w:rPr>
        <w:t xml:space="preserve"> and their downstream oncogene </w:t>
      </w:r>
      <w:r w:rsidR="00EF2014" w:rsidRPr="009B04A5">
        <w:rPr>
          <w:rStyle w:val="tlid-translation"/>
          <w:rFonts w:ascii="Book Antiqua" w:hAnsi="Book Antiqua"/>
          <w:i/>
        </w:rPr>
        <w:t>MCL1</w:t>
      </w:r>
      <w:r w:rsidR="000A6432" w:rsidRPr="009B04A5">
        <w:rPr>
          <w:rStyle w:val="tlid-translation"/>
          <w:rFonts w:ascii="Book Antiqua" w:hAnsi="Book Antiqua"/>
          <w:vertAlign w:val="superscript"/>
        </w:rPr>
        <w:t>[43]</w:t>
      </w:r>
      <w:r w:rsidR="00D902E2" w:rsidRPr="009B04A5">
        <w:rPr>
          <w:rStyle w:val="tlid-translation"/>
          <w:rFonts w:ascii="Book Antiqua" w:hAnsi="Book Antiqua"/>
        </w:rPr>
        <w:t xml:space="preserve">. </w:t>
      </w:r>
      <w:r w:rsidR="00316AEB" w:rsidRPr="009B04A5">
        <w:rPr>
          <w:rStyle w:val="element-citation"/>
          <w:rFonts w:ascii="Book Antiqua" w:hAnsi="Book Antiqua"/>
        </w:rPr>
        <w:t xml:space="preserve">de Oliveira </w:t>
      </w:r>
      <w:r w:rsidR="00783C14" w:rsidRPr="009B04A5">
        <w:rPr>
          <w:rStyle w:val="element-citation"/>
          <w:rFonts w:ascii="Book Antiqua" w:hAnsi="Book Antiqua"/>
          <w:i/>
        </w:rPr>
        <w:t>et al</w:t>
      </w:r>
      <w:r w:rsidR="000A6432" w:rsidRPr="009B04A5">
        <w:rPr>
          <w:rStyle w:val="element-citation"/>
          <w:rFonts w:ascii="Book Antiqua" w:hAnsi="Book Antiqua"/>
          <w:vertAlign w:val="superscript"/>
        </w:rPr>
        <w:t>[44]</w:t>
      </w:r>
      <w:r w:rsidR="00350C4F" w:rsidRPr="009B04A5">
        <w:rPr>
          <w:rStyle w:val="element-citation"/>
          <w:rFonts w:ascii="Book Antiqua" w:hAnsi="Book Antiqua"/>
        </w:rPr>
        <w:t xml:space="preserve"> focused on assessing </w:t>
      </w:r>
      <w:r w:rsidR="00AE37C0" w:rsidRPr="009B04A5">
        <w:rPr>
          <w:rStyle w:val="element-citation"/>
          <w:rFonts w:ascii="Book Antiqua" w:hAnsi="Book Antiqua"/>
        </w:rPr>
        <w:t>expression</w:t>
      </w:r>
      <w:r w:rsidR="00350C4F" w:rsidRPr="009B04A5">
        <w:rPr>
          <w:rStyle w:val="element-citation"/>
          <w:rFonts w:ascii="Book Antiqua" w:hAnsi="Book Antiqua"/>
        </w:rPr>
        <w:t xml:space="preserve"> selected based on previous studies</w:t>
      </w:r>
      <w:r w:rsidR="00AE37C0" w:rsidRPr="009B04A5">
        <w:rPr>
          <w:rStyle w:val="element-citation"/>
          <w:rFonts w:ascii="Book Antiqua" w:hAnsi="Book Antiqua"/>
        </w:rPr>
        <w:t xml:space="preserve"> of</w:t>
      </w:r>
      <w:r w:rsidR="00350C4F" w:rsidRPr="009B04A5">
        <w:rPr>
          <w:rStyle w:val="element-citation"/>
          <w:rFonts w:ascii="Book Antiqua" w:hAnsi="Book Antiqua"/>
        </w:rPr>
        <w:t xml:space="preserve"> miRNA markers</w:t>
      </w:r>
      <w:r w:rsidR="000A6432" w:rsidRPr="009B04A5">
        <w:rPr>
          <w:rStyle w:val="element-citation"/>
          <w:rFonts w:ascii="Book Antiqua" w:hAnsi="Book Antiqua"/>
          <w:vertAlign w:val="superscript"/>
        </w:rPr>
        <w:t>[45]</w:t>
      </w:r>
      <w:r w:rsidR="00446CCC" w:rsidRPr="009B04A5">
        <w:rPr>
          <w:rStyle w:val="element-citation"/>
          <w:rFonts w:ascii="Book Antiqua" w:hAnsi="Book Antiqua"/>
        </w:rPr>
        <w:t>, including miR-92a, miR-100, miR-125a-5p, miR-128a, miR-181b, miR-196b</w:t>
      </w:r>
      <w:r w:rsidR="00116433" w:rsidRPr="009B04A5">
        <w:rPr>
          <w:rStyle w:val="element-citation"/>
          <w:rFonts w:ascii="Book Antiqua" w:hAnsi="Book Antiqua"/>
        </w:rPr>
        <w:t>,</w:t>
      </w:r>
      <w:r w:rsidR="00446CCC" w:rsidRPr="009B04A5">
        <w:rPr>
          <w:rStyle w:val="element-citation"/>
          <w:rFonts w:ascii="Book Antiqua" w:hAnsi="Book Antiqua"/>
        </w:rPr>
        <w:t xml:space="preserve"> and let-7e. As noted in leukemic blasts</w:t>
      </w:r>
      <w:r w:rsidR="00AE37C0" w:rsidRPr="009B04A5">
        <w:rPr>
          <w:rStyle w:val="element-citation"/>
          <w:rFonts w:ascii="Book Antiqua" w:hAnsi="Book Antiqua"/>
        </w:rPr>
        <w:t>,</w:t>
      </w:r>
      <w:r w:rsidR="00446CCC" w:rsidRPr="009B04A5">
        <w:rPr>
          <w:rStyle w:val="element-citation"/>
          <w:rFonts w:ascii="Book Antiqua" w:hAnsi="Book Antiqua"/>
        </w:rPr>
        <w:t xml:space="preserve"> </w:t>
      </w:r>
      <w:r w:rsidR="00350C4F" w:rsidRPr="009B04A5">
        <w:rPr>
          <w:rFonts w:ascii="Book Antiqua" w:hAnsi="Book Antiqua"/>
        </w:rPr>
        <w:t>miR-100, miR-196b</w:t>
      </w:r>
      <w:r w:rsidR="00116433" w:rsidRPr="009B04A5">
        <w:rPr>
          <w:rFonts w:ascii="Book Antiqua" w:hAnsi="Book Antiqua"/>
        </w:rPr>
        <w:t>,</w:t>
      </w:r>
      <w:r w:rsidR="00350C4F" w:rsidRPr="009B04A5">
        <w:rPr>
          <w:rFonts w:ascii="Book Antiqua" w:hAnsi="Book Antiqua"/>
        </w:rPr>
        <w:t xml:space="preserve"> and let-7e </w:t>
      </w:r>
      <w:r w:rsidR="00446CCC" w:rsidRPr="009B04A5">
        <w:rPr>
          <w:rStyle w:val="tlid-translation"/>
          <w:rFonts w:ascii="Book Antiqua" w:hAnsi="Book Antiqua"/>
        </w:rPr>
        <w:t xml:space="preserve">showed lower expression </w:t>
      </w:r>
      <w:r w:rsidR="00AE37C0" w:rsidRPr="009B04A5">
        <w:rPr>
          <w:rStyle w:val="tlid-translation"/>
          <w:rFonts w:ascii="Book Antiqua" w:hAnsi="Book Antiqua"/>
        </w:rPr>
        <w:t>levels,</w:t>
      </w:r>
      <w:r w:rsidR="00446CCC" w:rsidRPr="009B04A5">
        <w:rPr>
          <w:rStyle w:val="tlid-translation"/>
          <w:rFonts w:ascii="Book Antiqua" w:hAnsi="Book Antiqua"/>
        </w:rPr>
        <w:t xml:space="preserve"> and </w:t>
      </w:r>
      <w:r w:rsidR="00AE37C0" w:rsidRPr="009B04A5">
        <w:rPr>
          <w:rStyle w:val="tlid-translation"/>
          <w:rFonts w:ascii="Book Antiqua" w:hAnsi="Book Antiqua"/>
        </w:rPr>
        <w:t>miR</w:t>
      </w:r>
      <w:r w:rsidR="00446CCC" w:rsidRPr="009B04A5">
        <w:rPr>
          <w:rStyle w:val="tlid-translation"/>
          <w:rFonts w:ascii="Book Antiqua" w:hAnsi="Book Antiqua"/>
        </w:rPr>
        <w:t xml:space="preserve">-128 and </w:t>
      </w:r>
      <w:r w:rsidR="00AE37C0" w:rsidRPr="009B04A5">
        <w:rPr>
          <w:rStyle w:val="tlid-translation"/>
          <w:rFonts w:ascii="Book Antiqua" w:hAnsi="Book Antiqua"/>
        </w:rPr>
        <w:t>miR</w:t>
      </w:r>
      <w:r w:rsidR="00446CCC" w:rsidRPr="009B04A5">
        <w:rPr>
          <w:rStyle w:val="tlid-translation"/>
          <w:rFonts w:ascii="Book Antiqua" w:hAnsi="Book Antiqua"/>
        </w:rPr>
        <w:t xml:space="preserve">-181 showed higher expression </w:t>
      </w:r>
      <w:r w:rsidR="00AE37C0" w:rsidRPr="009B04A5">
        <w:rPr>
          <w:rStyle w:val="tlid-translation"/>
          <w:rFonts w:ascii="Book Antiqua" w:hAnsi="Book Antiqua"/>
        </w:rPr>
        <w:t xml:space="preserve">levels than </w:t>
      </w:r>
      <w:r w:rsidR="00446CCC" w:rsidRPr="009B04A5">
        <w:rPr>
          <w:rStyle w:val="tlid-translation"/>
          <w:rFonts w:ascii="Book Antiqua" w:hAnsi="Book Antiqua"/>
        </w:rPr>
        <w:t xml:space="preserve">normal bone marrow cells. </w:t>
      </w:r>
      <w:r w:rsidR="00446CCC" w:rsidRPr="009B04A5">
        <w:rPr>
          <w:rFonts w:ascii="Book Antiqua" w:hAnsi="Book Antiqua"/>
        </w:rPr>
        <w:t xml:space="preserve">Overexpression of miR-196 was </w:t>
      </w:r>
      <w:r w:rsidR="0081231D" w:rsidRPr="009B04A5">
        <w:rPr>
          <w:rFonts w:ascii="Book Antiqua" w:hAnsi="Book Antiqua"/>
        </w:rPr>
        <w:t xml:space="preserve">observed </w:t>
      </w:r>
      <w:r w:rsidR="00446CCC" w:rsidRPr="009B04A5">
        <w:rPr>
          <w:rFonts w:ascii="Book Antiqua" w:hAnsi="Book Antiqua"/>
        </w:rPr>
        <w:t>for T-ALL.</w:t>
      </w:r>
      <w:r w:rsidR="00AE37C0" w:rsidRPr="009B04A5">
        <w:rPr>
          <w:rFonts w:ascii="Book Antiqua" w:hAnsi="Book Antiqua"/>
        </w:rPr>
        <w:t xml:space="preserve"> A high</w:t>
      </w:r>
      <w:r w:rsidR="00446CCC" w:rsidRPr="009B04A5">
        <w:rPr>
          <w:rFonts w:ascii="Book Antiqua" w:hAnsi="Book Antiqua"/>
        </w:rPr>
        <w:t xml:space="preserve"> expression level was characteristic for patients who presented a WBC count &lt;</w:t>
      </w:r>
      <w:r w:rsidR="0030345D" w:rsidRPr="009B04A5">
        <w:rPr>
          <w:rFonts w:ascii="Book Antiqua" w:hAnsi="Book Antiqua"/>
        </w:rPr>
        <w:t xml:space="preserve"> </w:t>
      </w:r>
      <w:r w:rsidR="00446CCC" w:rsidRPr="009B04A5">
        <w:rPr>
          <w:rFonts w:ascii="Book Antiqua" w:hAnsi="Book Antiqua"/>
        </w:rPr>
        <w:t>50000/mm</w:t>
      </w:r>
      <w:r w:rsidR="00446CCC" w:rsidRPr="009B04A5">
        <w:rPr>
          <w:rFonts w:ascii="Book Antiqua" w:hAnsi="Book Antiqua"/>
          <w:vertAlign w:val="superscript"/>
        </w:rPr>
        <w:t>3</w:t>
      </w:r>
      <w:r w:rsidR="00446CCC" w:rsidRPr="009B04A5">
        <w:rPr>
          <w:rFonts w:ascii="Book Antiqua" w:hAnsi="Book Antiqua"/>
        </w:rPr>
        <w:t xml:space="preserve"> </w:t>
      </w:r>
      <w:r w:rsidR="0081231D" w:rsidRPr="009B04A5">
        <w:rPr>
          <w:rFonts w:ascii="Book Antiqua" w:hAnsi="Book Antiqua"/>
        </w:rPr>
        <w:t xml:space="preserve">at diagnosis </w:t>
      </w:r>
      <w:r w:rsidR="00446CCC" w:rsidRPr="009B04A5">
        <w:rPr>
          <w:rFonts w:ascii="Book Antiqua" w:hAnsi="Book Antiqua"/>
        </w:rPr>
        <w:t>(</w:t>
      </w:r>
      <w:r w:rsidR="00446CCC" w:rsidRPr="009B04A5">
        <w:rPr>
          <w:rFonts w:ascii="Book Antiqua" w:hAnsi="Book Antiqua"/>
          <w:i/>
          <w:iCs/>
        </w:rPr>
        <w:t>P</w:t>
      </w:r>
      <w:r w:rsidR="0030345D" w:rsidRPr="009B04A5">
        <w:rPr>
          <w:rFonts w:ascii="Book Antiqua" w:hAnsi="Book Antiqua"/>
        </w:rPr>
        <w:t xml:space="preserve"> </w:t>
      </w:r>
      <w:r w:rsidR="00446CCC" w:rsidRPr="009B04A5">
        <w:rPr>
          <w:rFonts w:ascii="Book Antiqua" w:hAnsi="Book Antiqua"/>
        </w:rPr>
        <w:t>=</w:t>
      </w:r>
      <w:r w:rsidR="0030345D" w:rsidRPr="009B04A5">
        <w:rPr>
          <w:rFonts w:ascii="Book Antiqua" w:hAnsi="Book Antiqua"/>
        </w:rPr>
        <w:t xml:space="preserve"> </w:t>
      </w:r>
      <w:r w:rsidR="00446CCC" w:rsidRPr="009B04A5">
        <w:rPr>
          <w:rFonts w:ascii="Book Antiqua" w:hAnsi="Book Antiqua"/>
        </w:rPr>
        <w:t>0.01) and</w:t>
      </w:r>
      <w:r w:rsidR="00AE37C0" w:rsidRPr="009B04A5">
        <w:rPr>
          <w:rFonts w:ascii="Book Antiqua" w:hAnsi="Book Antiqua"/>
        </w:rPr>
        <w:t xml:space="preserve"> was</w:t>
      </w:r>
      <w:r w:rsidR="00446CCC" w:rsidRPr="009B04A5">
        <w:rPr>
          <w:rFonts w:ascii="Book Antiqua" w:hAnsi="Book Antiqua"/>
        </w:rPr>
        <w:t xml:space="preserve"> also associated with the presence of t(12;21) and the absence of a </w:t>
      </w:r>
      <w:r w:rsidR="0030345D" w:rsidRPr="009B04A5">
        <w:rPr>
          <w:rFonts w:ascii="Book Antiqua" w:hAnsi="Book Antiqua"/>
        </w:rPr>
        <w:t>hyperdiploid</w:t>
      </w:r>
      <w:r w:rsidR="00446CCC" w:rsidRPr="009B04A5">
        <w:rPr>
          <w:rFonts w:ascii="Book Antiqua" w:hAnsi="Book Antiqua"/>
        </w:rPr>
        <w:t xml:space="preserve"> karyotype. </w:t>
      </w:r>
      <w:r w:rsidR="00AE37C0" w:rsidRPr="009B04A5">
        <w:rPr>
          <w:rFonts w:ascii="Book Antiqua" w:hAnsi="Book Antiqua"/>
        </w:rPr>
        <w:t xml:space="preserve">This suggests </w:t>
      </w:r>
      <w:r w:rsidR="00446CCC" w:rsidRPr="009B04A5">
        <w:rPr>
          <w:rFonts w:ascii="Book Antiqua" w:hAnsi="Book Antiqua"/>
        </w:rPr>
        <w:t>the possibility of a t(12;21)-specific regulation of miR-100. Differentiated expression of miR-181b and miR-128a was associated with the presence of t(4;11)</w:t>
      </w:r>
      <w:r w:rsidR="000A6432" w:rsidRPr="009B04A5">
        <w:rPr>
          <w:rFonts w:ascii="Book Antiqua" w:hAnsi="Book Antiqua"/>
          <w:vertAlign w:val="superscript"/>
        </w:rPr>
        <w:t>[44]</w:t>
      </w:r>
      <w:r w:rsidR="002654EF" w:rsidRPr="009B04A5">
        <w:rPr>
          <w:rFonts w:ascii="Book Antiqua" w:hAnsi="Book Antiqua"/>
        </w:rPr>
        <w:t xml:space="preserve">. </w:t>
      </w:r>
    </w:p>
    <w:p w:rsidR="004F6A31" w:rsidRPr="009B04A5" w:rsidRDefault="002654EF" w:rsidP="00C709AE">
      <w:pPr>
        <w:adjustRightInd w:val="0"/>
        <w:snapToGrid w:val="0"/>
        <w:spacing w:line="360" w:lineRule="auto"/>
        <w:ind w:firstLineChars="100" w:firstLine="240"/>
        <w:rPr>
          <w:rFonts w:ascii="Book Antiqua" w:hAnsi="Book Antiqua"/>
        </w:rPr>
      </w:pPr>
      <w:r w:rsidRPr="009B04A5">
        <w:rPr>
          <w:rFonts w:ascii="Book Antiqua" w:hAnsi="Book Antiqua"/>
        </w:rPr>
        <w:t xml:space="preserve">Swellam </w:t>
      </w:r>
      <w:r w:rsidR="00783C14" w:rsidRPr="009B04A5">
        <w:rPr>
          <w:rFonts w:ascii="Book Antiqua" w:hAnsi="Book Antiqua"/>
          <w:i/>
        </w:rPr>
        <w:t>et al</w:t>
      </w:r>
      <w:r w:rsidR="000A6432" w:rsidRPr="009B04A5">
        <w:rPr>
          <w:rFonts w:ascii="Book Antiqua" w:hAnsi="Book Antiqua"/>
          <w:vertAlign w:val="superscript"/>
        </w:rPr>
        <w:t>[46]</w:t>
      </w:r>
      <w:r w:rsidRPr="009B04A5">
        <w:rPr>
          <w:rFonts w:ascii="Book Antiqua" w:hAnsi="Book Antiqua"/>
        </w:rPr>
        <w:t xml:space="preserve"> investigated the expression signature of miRNA-125b-1 and miRNA-203 among childhood ALL</w:t>
      </w:r>
      <w:r w:rsidR="00AE37C0" w:rsidRPr="009B04A5">
        <w:rPr>
          <w:rFonts w:ascii="Book Antiqua" w:hAnsi="Book Antiqua"/>
        </w:rPr>
        <w:t>,</w:t>
      </w:r>
      <w:r w:rsidRPr="009B04A5">
        <w:rPr>
          <w:rFonts w:ascii="Book Antiqua" w:hAnsi="Book Antiqua"/>
        </w:rPr>
        <w:t xml:space="preserve"> </w:t>
      </w:r>
      <w:r w:rsidRPr="009B04A5">
        <w:rPr>
          <w:rStyle w:val="tlid-translation"/>
          <w:rFonts w:ascii="Book Antiqua" w:hAnsi="Book Antiqua"/>
        </w:rPr>
        <w:t xml:space="preserve">and they proposed these miRNAs as </w:t>
      </w:r>
      <w:r w:rsidRPr="009B04A5">
        <w:rPr>
          <w:rFonts w:ascii="Book Antiqua" w:hAnsi="Book Antiqua"/>
        </w:rPr>
        <w:t xml:space="preserve">useful molecular markers for </w:t>
      </w:r>
      <w:r w:rsidR="00AE37C0" w:rsidRPr="009B04A5">
        <w:rPr>
          <w:rFonts w:ascii="Book Antiqua" w:hAnsi="Book Antiqua"/>
        </w:rPr>
        <w:t xml:space="preserve">the </w:t>
      </w:r>
      <w:r w:rsidRPr="009B04A5">
        <w:rPr>
          <w:rFonts w:ascii="Book Antiqua" w:hAnsi="Book Antiqua"/>
        </w:rPr>
        <w:t xml:space="preserve">diagnosis of childhood ALL. They </w:t>
      </w:r>
      <w:r w:rsidRPr="009B04A5">
        <w:rPr>
          <w:rStyle w:val="tlid-translation"/>
          <w:rFonts w:ascii="Book Antiqua" w:hAnsi="Book Antiqua"/>
        </w:rPr>
        <w:t>noticed that</w:t>
      </w:r>
      <w:r w:rsidRPr="009B04A5">
        <w:rPr>
          <w:rFonts w:ascii="Book Antiqua" w:hAnsi="Book Antiqua"/>
        </w:rPr>
        <w:t xml:space="preserve"> </w:t>
      </w:r>
      <w:r w:rsidR="00AE37C0" w:rsidRPr="009B04A5">
        <w:rPr>
          <w:rFonts w:ascii="Book Antiqua" w:hAnsi="Book Antiqua"/>
        </w:rPr>
        <w:t xml:space="preserve">the </w:t>
      </w:r>
      <w:r w:rsidRPr="009B04A5">
        <w:rPr>
          <w:rFonts w:ascii="Book Antiqua" w:hAnsi="Book Antiqua"/>
        </w:rPr>
        <w:t xml:space="preserve">expression level </w:t>
      </w:r>
      <w:r w:rsidR="00AE37C0" w:rsidRPr="009B04A5">
        <w:rPr>
          <w:rFonts w:ascii="Book Antiqua" w:hAnsi="Book Antiqua"/>
        </w:rPr>
        <w:t>of</w:t>
      </w:r>
      <w:r w:rsidRPr="009B04A5">
        <w:rPr>
          <w:rFonts w:ascii="Book Antiqua" w:hAnsi="Book Antiqua"/>
        </w:rPr>
        <w:t xml:space="preserve"> miRNA-125b-1 was significantly higher in peripheral blood </w:t>
      </w:r>
      <w:r w:rsidR="00306B86" w:rsidRPr="009B04A5">
        <w:rPr>
          <w:rFonts w:ascii="Book Antiqua" w:hAnsi="Book Antiqua"/>
        </w:rPr>
        <w:t xml:space="preserve">(PB) </w:t>
      </w:r>
      <w:r w:rsidRPr="009B04A5">
        <w:rPr>
          <w:rFonts w:ascii="Book Antiqua" w:hAnsi="Book Antiqua"/>
        </w:rPr>
        <w:t>isolated from 43 newly diagnosed children with ALL, while</w:t>
      </w:r>
      <w:r w:rsidR="00AE37C0" w:rsidRPr="009B04A5">
        <w:rPr>
          <w:rFonts w:ascii="Book Antiqua" w:hAnsi="Book Antiqua"/>
        </w:rPr>
        <w:t xml:space="preserve"> the</w:t>
      </w:r>
      <w:r w:rsidRPr="009B04A5">
        <w:rPr>
          <w:rFonts w:ascii="Book Antiqua" w:hAnsi="Book Antiqua"/>
        </w:rPr>
        <w:t xml:space="preserve"> miRNA-203 level was significantly lower in childhood ALL compared to control samples. Moreover</w:t>
      </w:r>
      <w:r w:rsidR="00AE37C0" w:rsidRPr="009B04A5">
        <w:rPr>
          <w:rFonts w:ascii="Book Antiqua" w:hAnsi="Book Antiqua"/>
        </w:rPr>
        <w:t>,</w:t>
      </w:r>
      <w:r w:rsidRPr="009B04A5">
        <w:rPr>
          <w:rFonts w:ascii="Book Antiqua" w:hAnsi="Book Antiqua"/>
        </w:rPr>
        <w:t xml:space="preserve"> </w:t>
      </w:r>
      <w:r w:rsidRPr="009B04A5">
        <w:rPr>
          <w:rFonts w:ascii="Book Antiqua" w:hAnsi="Book Antiqua"/>
        </w:rPr>
        <w:lastRenderedPageBreak/>
        <w:t>miRNA-125-1 was increased in T-ALL compared to other ALL phenotypes</w:t>
      </w:r>
      <w:r w:rsidR="00AE37C0" w:rsidRPr="009B04A5">
        <w:rPr>
          <w:rFonts w:ascii="Book Antiqua" w:hAnsi="Book Antiqua"/>
        </w:rPr>
        <w:t>,</w:t>
      </w:r>
      <w:r w:rsidRPr="009B04A5">
        <w:rPr>
          <w:rFonts w:ascii="Book Antiqua" w:hAnsi="Book Antiqua"/>
        </w:rPr>
        <w:t xml:space="preserve"> and</w:t>
      </w:r>
      <w:r w:rsidR="00AE37C0" w:rsidRPr="009B04A5">
        <w:rPr>
          <w:rFonts w:ascii="Book Antiqua" w:hAnsi="Book Antiqua"/>
        </w:rPr>
        <w:t xml:space="preserve"> the</w:t>
      </w:r>
      <w:r w:rsidRPr="009B04A5">
        <w:rPr>
          <w:rFonts w:ascii="Book Antiqua" w:hAnsi="Book Antiqua"/>
        </w:rPr>
        <w:t xml:space="preserve"> miRNA-203 expression level was high in T-ALL followed by pre-B-ALL</w:t>
      </w:r>
      <w:r w:rsidR="000A6432" w:rsidRPr="009B04A5">
        <w:rPr>
          <w:rFonts w:ascii="Book Antiqua" w:hAnsi="Book Antiqua"/>
          <w:vertAlign w:val="superscript"/>
        </w:rPr>
        <w:t>[46]</w:t>
      </w:r>
      <w:r w:rsidR="00F828CA" w:rsidRPr="009B04A5">
        <w:rPr>
          <w:rFonts w:ascii="Book Antiqua" w:hAnsi="Book Antiqua"/>
        </w:rPr>
        <w:t xml:space="preserve">. </w:t>
      </w:r>
    </w:p>
    <w:p w:rsidR="006A47F8" w:rsidRPr="009B04A5" w:rsidRDefault="00F828CA" w:rsidP="00C709AE">
      <w:pPr>
        <w:adjustRightInd w:val="0"/>
        <w:snapToGrid w:val="0"/>
        <w:spacing w:line="360" w:lineRule="auto"/>
        <w:ind w:firstLineChars="100" w:firstLine="240"/>
        <w:rPr>
          <w:rFonts w:ascii="Book Antiqua" w:hAnsi="Book Antiqua"/>
          <w:lang w:eastAsia="pl-PL"/>
        </w:rPr>
      </w:pPr>
      <w:r w:rsidRPr="009B04A5">
        <w:rPr>
          <w:rFonts w:ascii="Book Antiqua" w:hAnsi="Book Antiqua"/>
        </w:rPr>
        <w:t xml:space="preserve">Nabhan </w:t>
      </w:r>
      <w:r w:rsidR="00783C14" w:rsidRPr="009B04A5">
        <w:rPr>
          <w:rFonts w:ascii="Book Antiqua" w:hAnsi="Book Antiqua"/>
          <w:i/>
        </w:rPr>
        <w:t>et al</w:t>
      </w:r>
      <w:r w:rsidR="000A6432" w:rsidRPr="009B04A5">
        <w:rPr>
          <w:rFonts w:ascii="Book Antiqua" w:hAnsi="Book Antiqua"/>
          <w:vertAlign w:val="superscript"/>
        </w:rPr>
        <w:t>[47]</w:t>
      </w:r>
      <w:r w:rsidR="00531CB8" w:rsidRPr="009B04A5">
        <w:rPr>
          <w:rFonts w:ascii="Book Antiqua" w:hAnsi="Book Antiqua"/>
        </w:rPr>
        <w:t xml:space="preserve"> </w:t>
      </w:r>
      <w:r w:rsidR="00531CB8" w:rsidRPr="009B04A5">
        <w:rPr>
          <w:rStyle w:val="tlid-translation"/>
          <w:rFonts w:ascii="Book Antiqua" w:hAnsi="Book Antiqua"/>
        </w:rPr>
        <w:t xml:space="preserve">focused on analyzing the involvement of just one marker molecule in the development of leukemia, </w:t>
      </w:r>
      <w:r w:rsidR="00306B86" w:rsidRPr="009B04A5">
        <w:rPr>
          <w:rStyle w:val="tlid-translation"/>
          <w:rFonts w:ascii="Book Antiqua" w:hAnsi="Book Antiqua"/>
          <w:i/>
        </w:rPr>
        <w:t>i.e</w:t>
      </w:r>
      <w:r w:rsidR="00531CB8" w:rsidRPr="009B04A5">
        <w:rPr>
          <w:rStyle w:val="tlid-translation"/>
          <w:rFonts w:ascii="Book Antiqua" w:hAnsi="Book Antiqua"/>
        </w:rPr>
        <w:t xml:space="preserve">. </w:t>
      </w:r>
      <w:r w:rsidR="00531CB8" w:rsidRPr="009B04A5">
        <w:rPr>
          <w:rFonts w:ascii="Book Antiqua" w:hAnsi="Book Antiqua"/>
        </w:rPr>
        <w:t xml:space="preserve">miR-181a can both </w:t>
      </w:r>
      <w:r w:rsidR="00AE37C0" w:rsidRPr="009B04A5">
        <w:rPr>
          <w:rFonts w:ascii="Book Antiqua" w:hAnsi="Book Antiqua"/>
        </w:rPr>
        <w:t>function as</w:t>
      </w:r>
      <w:r w:rsidR="00531CB8" w:rsidRPr="009B04A5">
        <w:rPr>
          <w:rFonts w:ascii="Book Antiqua" w:hAnsi="Book Antiqua"/>
        </w:rPr>
        <w:t xml:space="preserve"> a tumor suppressor or an oncogene. </w:t>
      </w:r>
      <w:r w:rsidR="008E11E9" w:rsidRPr="009B04A5">
        <w:rPr>
          <w:rFonts w:ascii="Book Antiqua" w:hAnsi="Book Antiqua"/>
        </w:rPr>
        <w:t xml:space="preserve">The function of miR-181a is associated with cell metabolism and expression levels of target mRNAs. A decrease in the expression level of miR-181a was observed in the serum of children diagnosed with </w:t>
      </w:r>
      <w:r w:rsidR="000C6B11" w:rsidRPr="009B04A5">
        <w:rPr>
          <w:rFonts w:ascii="Book Antiqua" w:hAnsi="Book Antiqua"/>
        </w:rPr>
        <w:t>ALL</w:t>
      </w:r>
      <w:r w:rsidR="008E11E9" w:rsidRPr="009B04A5">
        <w:rPr>
          <w:rFonts w:ascii="Book Antiqua" w:hAnsi="Book Antiqua"/>
        </w:rPr>
        <w:t xml:space="preserve">. </w:t>
      </w:r>
      <w:r w:rsidR="00531CB8" w:rsidRPr="009B04A5">
        <w:rPr>
          <w:rFonts w:ascii="Book Antiqua" w:hAnsi="Book Antiqua"/>
        </w:rPr>
        <w:t xml:space="preserve">Investigators, as the first team, linked </w:t>
      </w:r>
      <w:r w:rsidR="00AE37C0" w:rsidRPr="009B04A5">
        <w:rPr>
          <w:rFonts w:ascii="Book Antiqua" w:hAnsi="Book Antiqua"/>
        </w:rPr>
        <w:t xml:space="preserve">the </w:t>
      </w:r>
      <w:r w:rsidR="00531CB8" w:rsidRPr="009B04A5">
        <w:rPr>
          <w:rFonts w:ascii="Book Antiqua" w:hAnsi="Book Antiqua"/>
        </w:rPr>
        <w:t xml:space="preserve">miR-181a expression signature with Smad7 and TGF-β1 protein levels in </w:t>
      </w:r>
      <w:r w:rsidR="00AE37C0" w:rsidRPr="009B04A5">
        <w:rPr>
          <w:rFonts w:ascii="Book Antiqua" w:hAnsi="Book Antiqua"/>
        </w:rPr>
        <w:t xml:space="preserve">the </w:t>
      </w:r>
      <w:r w:rsidR="00531CB8" w:rsidRPr="009B04A5">
        <w:rPr>
          <w:rFonts w:ascii="Book Antiqua" w:hAnsi="Book Antiqua"/>
        </w:rPr>
        <w:t xml:space="preserve">serum of childhood </w:t>
      </w:r>
      <w:r w:rsidR="000C6B11" w:rsidRPr="009B04A5">
        <w:rPr>
          <w:rFonts w:ascii="Book Antiqua" w:hAnsi="Book Antiqua"/>
        </w:rPr>
        <w:t>ALL</w:t>
      </w:r>
      <w:r w:rsidR="00531CB8" w:rsidRPr="009B04A5">
        <w:rPr>
          <w:rFonts w:ascii="Book Antiqua" w:hAnsi="Book Antiqua"/>
        </w:rPr>
        <w:t>. They found that miR-181a expression achieved a highly significant positive and a significant negative correlation with TGF-β1 and Smad7</w:t>
      </w:r>
      <w:r w:rsidR="00AE37C0" w:rsidRPr="009B04A5">
        <w:rPr>
          <w:rFonts w:ascii="Book Antiqua" w:hAnsi="Book Antiqua"/>
        </w:rPr>
        <w:t>,</w:t>
      </w:r>
      <w:r w:rsidR="00531CB8" w:rsidRPr="009B04A5">
        <w:rPr>
          <w:rFonts w:ascii="Book Antiqua" w:hAnsi="Book Antiqua"/>
        </w:rPr>
        <w:t xml:space="preserve"> respectively</w:t>
      </w:r>
      <w:r w:rsidR="000A6432" w:rsidRPr="009B04A5">
        <w:rPr>
          <w:rFonts w:ascii="Book Antiqua" w:hAnsi="Book Antiqua"/>
          <w:vertAlign w:val="superscript"/>
        </w:rPr>
        <w:t>[47]</w:t>
      </w:r>
      <w:r w:rsidR="00885F29" w:rsidRPr="009B04A5">
        <w:rPr>
          <w:rFonts w:ascii="Book Antiqua" w:hAnsi="Book Antiqua"/>
        </w:rPr>
        <w:t xml:space="preserve">. Furthermore, miR-181a was identified by Yang </w:t>
      </w:r>
      <w:r w:rsidR="00783C14" w:rsidRPr="009B04A5">
        <w:rPr>
          <w:rFonts w:ascii="Book Antiqua" w:hAnsi="Book Antiqua"/>
          <w:i/>
        </w:rPr>
        <w:t>et al</w:t>
      </w:r>
      <w:r w:rsidR="000A6432" w:rsidRPr="009B04A5">
        <w:rPr>
          <w:rFonts w:ascii="Book Antiqua" w:hAnsi="Book Antiqua"/>
          <w:vertAlign w:val="superscript"/>
        </w:rPr>
        <w:t>[48]</w:t>
      </w:r>
      <w:r w:rsidRPr="009B04A5">
        <w:rPr>
          <w:rFonts w:ascii="Book Antiqua" w:hAnsi="Book Antiqua"/>
        </w:rPr>
        <w:t xml:space="preserve"> as the most differentially downregulated miRNA (among </w:t>
      </w:r>
      <w:r w:rsidR="00AE37C0" w:rsidRPr="009B04A5">
        <w:rPr>
          <w:rFonts w:ascii="Book Antiqua" w:hAnsi="Book Antiqua"/>
        </w:rPr>
        <w:t>the 17 identified</w:t>
      </w:r>
      <w:r w:rsidRPr="009B04A5">
        <w:rPr>
          <w:rFonts w:ascii="Book Antiqua" w:hAnsi="Book Antiqua"/>
        </w:rPr>
        <w:t xml:space="preserve"> miRNAs) in the PB of childhood ALL patients with the t(12;21) translocation. Nabhan </w:t>
      </w:r>
      <w:r w:rsidR="00783C14" w:rsidRPr="009B04A5">
        <w:rPr>
          <w:rFonts w:ascii="Book Antiqua" w:hAnsi="Book Antiqua"/>
          <w:i/>
        </w:rPr>
        <w:t>et al</w:t>
      </w:r>
      <w:r w:rsidR="000A6432" w:rsidRPr="009B04A5">
        <w:rPr>
          <w:rFonts w:ascii="Book Antiqua" w:hAnsi="Book Antiqua"/>
          <w:vertAlign w:val="superscript"/>
        </w:rPr>
        <w:t>[47]</w:t>
      </w:r>
      <w:r w:rsidR="003A5236" w:rsidRPr="009B04A5">
        <w:rPr>
          <w:rFonts w:ascii="Book Antiqua" w:hAnsi="Book Antiqua"/>
        </w:rPr>
        <w:t xml:space="preserve"> suggested that the diagnostic accuracy of pediatric ALL can be improved by using a small </w:t>
      </w:r>
      <w:r w:rsidR="006A44D9" w:rsidRPr="009B04A5">
        <w:rPr>
          <w:rFonts w:ascii="Book Antiqua" w:hAnsi="Book Antiqua"/>
        </w:rPr>
        <w:t>set</w:t>
      </w:r>
      <w:r w:rsidR="003A5236" w:rsidRPr="009B04A5">
        <w:rPr>
          <w:rFonts w:ascii="Book Antiqua" w:hAnsi="Book Antiqua"/>
        </w:rPr>
        <w:t xml:space="preserve"> of </w:t>
      </w:r>
      <w:r w:rsidR="008E11E9" w:rsidRPr="009B04A5">
        <w:rPr>
          <w:rFonts w:ascii="Book Antiqua" w:hAnsi="Book Antiqua"/>
        </w:rPr>
        <w:t xml:space="preserve">miRNA </w:t>
      </w:r>
      <w:r w:rsidR="003A5236" w:rsidRPr="009B04A5">
        <w:rPr>
          <w:rFonts w:ascii="Book Antiqua" w:hAnsi="Book Antiqua"/>
        </w:rPr>
        <w:t xml:space="preserve">markers. Based on the data, they calculated that </w:t>
      </w:r>
      <w:r w:rsidR="002C5609" w:rsidRPr="009B04A5">
        <w:rPr>
          <w:rFonts w:ascii="Book Antiqua" w:hAnsi="Book Antiqua"/>
        </w:rPr>
        <w:t xml:space="preserve">the combined use of miR-181a and </w:t>
      </w:r>
      <w:r w:rsidR="002520BB" w:rsidRPr="009B04A5">
        <w:rPr>
          <w:rFonts w:ascii="Book Antiqua" w:hAnsi="Book Antiqua"/>
        </w:rPr>
        <w:t>Smad</w:t>
      </w:r>
      <w:r w:rsidR="002C5609" w:rsidRPr="009B04A5">
        <w:rPr>
          <w:rFonts w:ascii="Book Antiqua" w:hAnsi="Book Antiqua"/>
        </w:rPr>
        <w:t>7</w:t>
      </w:r>
      <w:r w:rsidR="00AE37C0" w:rsidRPr="009B04A5">
        <w:rPr>
          <w:rFonts w:ascii="Book Antiqua" w:hAnsi="Book Antiqua"/>
        </w:rPr>
        <w:t xml:space="preserve"> increased</w:t>
      </w:r>
      <w:r w:rsidR="002C5609" w:rsidRPr="009B04A5">
        <w:rPr>
          <w:rFonts w:ascii="Book Antiqua" w:hAnsi="Book Antiqua"/>
        </w:rPr>
        <w:t xml:space="preserve"> the sensitivity of diagnosis to 90%, whereas the combined use of miR-181a and TGF-β</w:t>
      </w:r>
      <w:r w:rsidR="003A5236" w:rsidRPr="009B04A5">
        <w:rPr>
          <w:rFonts w:ascii="Book Antiqua" w:hAnsi="Book Antiqua"/>
        </w:rPr>
        <w:t xml:space="preserve">1 increased sensitivity to </w:t>
      </w:r>
      <w:r w:rsidR="00AE37C0" w:rsidRPr="009B04A5">
        <w:rPr>
          <w:rFonts w:ascii="Book Antiqua" w:hAnsi="Book Antiqua"/>
        </w:rPr>
        <w:t>100%.</w:t>
      </w:r>
    </w:p>
    <w:p w:rsidR="006A47F8" w:rsidRPr="009B04A5" w:rsidRDefault="00381C27" w:rsidP="00C709AE">
      <w:pPr>
        <w:adjustRightInd w:val="0"/>
        <w:snapToGrid w:val="0"/>
        <w:spacing w:line="360" w:lineRule="auto"/>
        <w:ind w:firstLineChars="100" w:firstLine="240"/>
        <w:rPr>
          <w:rFonts w:ascii="Book Antiqua" w:hAnsi="Book Antiqua"/>
          <w:lang w:eastAsia="pl-PL"/>
        </w:rPr>
      </w:pPr>
      <w:r w:rsidRPr="009B04A5">
        <w:rPr>
          <w:rFonts w:ascii="Book Antiqua" w:hAnsi="Book Antiqua"/>
        </w:rPr>
        <w:t xml:space="preserve">It is supposed that differentiated miRNA expression profiles </w:t>
      </w:r>
      <w:r w:rsidR="00AE37C0" w:rsidRPr="009B04A5">
        <w:rPr>
          <w:rFonts w:ascii="Book Antiqua" w:hAnsi="Book Antiqua"/>
        </w:rPr>
        <w:t>contribute</w:t>
      </w:r>
      <w:r w:rsidRPr="009B04A5">
        <w:rPr>
          <w:rFonts w:ascii="Book Antiqua" w:hAnsi="Book Antiqua"/>
        </w:rPr>
        <w:t xml:space="preserve"> to AML heterogeneity and </w:t>
      </w:r>
      <w:r w:rsidR="00AE37C0" w:rsidRPr="009B04A5">
        <w:rPr>
          <w:rFonts w:ascii="Book Antiqua" w:hAnsi="Book Antiqua"/>
        </w:rPr>
        <w:t>have</w:t>
      </w:r>
      <w:r w:rsidRPr="009B04A5">
        <w:rPr>
          <w:rFonts w:ascii="Book Antiqua" w:hAnsi="Book Antiqua"/>
        </w:rPr>
        <w:t xml:space="preserve"> diagnostic and clinical significance. In numerous studies</w:t>
      </w:r>
      <w:r w:rsidR="00AE37C0" w:rsidRPr="009B04A5">
        <w:rPr>
          <w:rFonts w:ascii="Book Antiqua" w:hAnsi="Book Antiqua"/>
        </w:rPr>
        <w:t>,</w:t>
      </w:r>
      <w:r w:rsidRPr="009B04A5">
        <w:rPr>
          <w:rFonts w:ascii="Book Antiqua" w:hAnsi="Book Antiqua"/>
        </w:rPr>
        <w:t xml:space="preserve"> comparisons of miRNA profiles between AML blasts and normal cells and among AML with recurrent genetic abnormalities were made</w:t>
      </w:r>
      <w:r w:rsidR="000A6432" w:rsidRPr="009B04A5">
        <w:rPr>
          <w:rFonts w:ascii="Book Antiqua" w:hAnsi="Book Antiqua"/>
          <w:vertAlign w:val="superscript"/>
        </w:rPr>
        <w:t>[49-56]</w:t>
      </w:r>
      <w:r w:rsidRPr="009B04A5">
        <w:rPr>
          <w:rFonts w:ascii="Book Antiqua" w:hAnsi="Book Antiqua"/>
        </w:rPr>
        <w:t>. In AML, miRNA signatures can also distinguish between cytogenetic subtypes</w:t>
      </w:r>
      <w:r w:rsidR="000A6432" w:rsidRPr="009B04A5">
        <w:rPr>
          <w:rFonts w:ascii="Book Antiqua" w:hAnsi="Book Antiqua"/>
          <w:vertAlign w:val="superscript"/>
        </w:rPr>
        <w:t>[51-53,57]</w:t>
      </w:r>
      <w:r w:rsidRPr="009B04A5">
        <w:rPr>
          <w:rFonts w:ascii="Book Antiqua" w:hAnsi="Book Antiqua"/>
        </w:rPr>
        <w:t xml:space="preserve"> or molecular subtypes (</w:t>
      </w:r>
      <w:r w:rsidR="00783C14" w:rsidRPr="009B04A5">
        <w:rPr>
          <w:rFonts w:ascii="Book Antiqua" w:hAnsi="Book Antiqua"/>
          <w:i/>
        </w:rPr>
        <w:t>e.g</w:t>
      </w:r>
      <w:r w:rsidR="00DE287C" w:rsidRPr="009B04A5">
        <w:rPr>
          <w:rFonts w:ascii="Book Antiqua" w:hAnsi="Book Antiqua"/>
          <w:i/>
        </w:rPr>
        <w:t>.</w:t>
      </w:r>
      <w:r w:rsidR="00AE37C0" w:rsidRPr="009B04A5">
        <w:rPr>
          <w:rFonts w:ascii="Book Antiqua" w:hAnsi="Book Antiqua"/>
          <w:i/>
        </w:rPr>
        <w:t>,</w:t>
      </w:r>
      <w:r w:rsidRPr="009B04A5">
        <w:rPr>
          <w:rFonts w:ascii="Book Antiqua" w:hAnsi="Book Antiqua"/>
        </w:rPr>
        <w:t xml:space="preserve"> </w:t>
      </w:r>
      <w:r w:rsidRPr="009B04A5">
        <w:rPr>
          <w:rStyle w:val="a4"/>
          <w:rFonts w:ascii="Book Antiqua" w:hAnsi="Book Antiqua"/>
        </w:rPr>
        <w:t>NPM1</w:t>
      </w:r>
      <w:r w:rsidRPr="009B04A5">
        <w:rPr>
          <w:rFonts w:ascii="Book Antiqua" w:hAnsi="Book Antiqua"/>
        </w:rPr>
        <w:t xml:space="preserve">, </w:t>
      </w:r>
      <w:r w:rsidRPr="009B04A5">
        <w:rPr>
          <w:rStyle w:val="a4"/>
          <w:rFonts w:ascii="Book Antiqua" w:hAnsi="Book Antiqua"/>
        </w:rPr>
        <w:t>CEBPA</w:t>
      </w:r>
      <w:r w:rsidR="004F6A31" w:rsidRPr="009B04A5">
        <w:rPr>
          <w:rFonts w:ascii="Book Antiqua" w:hAnsi="Book Antiqua"/>
        </w:rPr>
        <w:t xml:space="preserve">, </w:t>
      </w:r>
      <w:r w:rsidRPr="009B04A5">
        <w:rPr>
          <w:rFonts w:ascii="Book Antiqua" w:hAnsi="Book Antiqua"/>
        </w:rPr>
        <w:t xml:space="preserve">or </w:t>
      </w:r>
      <w:r w:rsidRPr="009B04A5">
        <w:rPr>
          <w:rStyle w:val="a4"/>
          <w:rFonts w:ascii="Book Antiqua" w:hAnsi="Book Antiqua"/>
        </w:rPr>
        <w:t>FLT3</w:t>
      </w:r>
      <w:r w:rsidRPr="009B04A5">
        <w:rPr>
          <w:rFonts w:ascii="Book Antiqua" w:hAnsi="Book Antiqua"/>
        </w:rPr>
        <w:t xml:space="preserve"> mutations)</w:t>
      </w:r>
      <w:r w:rsidR="000A6432" w:rsidRPr="009B04A5">
        <w:rPr>
          <w:rFonts w:ascii="Book Antiqua" w:hAnsi="Book Antiqua"/>
          <w:vertAlign w:val="superscript"/>
        </w:rPr>
        <w:t>[52]</w:t>
      </w:r>
      <w:r w:rsidRPr="009B04A5">
        <w:rPr>
          <w:rFonts w:ascii="Book Antiqua" w:hAnsi="Book Antiqua"/>
        </w:rPr>
        <w:t xml:space="preserve">. Most of the reported </w:t>
      </w:r>
      <w:r w:rsidR="00AE37C0" w:rsidRPr="009B04A5">
        <w:rPr>
          <w:rFonts w:ascii="Book Antiqua" w:hAnsi="Book Antiqua"/>
        </w:rPr>
        <w:t>miRNAs</w:t>
      </w:r>
      <w:r w:rsidRPr="009B04A5">
        <w:rPr>
          <w:rFonts w:ascii="Book Antiqua" w:hAnsi="Book Antiqua"/>
        </w:rPr>
        <w:t xml:space="preserve"> in pediatric AML are presented </w:t>
      </w:r>
      <w:r w:rsidR="00AE37C0" w:rsidRPr="009B04A5">
        <w:rPr>
          <w:rFonts w:ascii="Book Antiqua" w:hAnsi="Book Antiqua"/>
        </w:rPr>
        <w:t>in</w:t>
      </w:r>
      <w:r w:rsidRPr="009B04A5">
        <w:rPr>
          <w:rFonts w:ascii="Book Antiqua" w:hAnsi="Book Antiqua"/>
        </w:rPr>
        <w:t xml:space="preserve"> Figure 3. </w:t>
      </w:r>
      <w:r w:rsidR="00AE37C0" w:rsidRPr="009B04A5">
        <w:rPr>
          <w:rFonts w:ascii="Book Antiqua" w:hAnsi="Book Antiqua"/>
        </w:rPr>
        <w:t>The prognostic</w:t>
      </w:r>
      <w:r w:rsidRPr="009B04A5">
        <w:rPr>
          <w:rFonts w:ascii="Book Antiqua" w:hAnsi="Book Antiqua"/>
        </w:rPr>
        <w:t xml:space="preserve"> significance of miRNA expression patterns in AML was confirmed</w:t>
      </w:r>
      <w:r w:rsidR="000A6432" w:rsidRPr="009B04A5">
        <w:rPr>
          <w:rFonts w:ascii="Book Antiqua" w:hAnsi="Book Antiqua"/>
          <w:vertAlign w:val="superscript"/>
        </w:rPr>
        <w:t>[58-66]</w:t>
      </w:r>
      <w:r w:rsidRPr="009B04A5">
        <w:rPr>
          <w:rFonts w:ascii="Book Antiqua" w:hAnsi="Book Antiqua"/>
        </w:rPr>
        <w:t>.</w:t>
      </w:r>
    </w:p>
    <w:p w:rsidR="00381C27" w:rsidRPr="009B04A5" w:rsidRDefault="00F828CA" w:rsidP="00C709AE">
      <w:pPr>
        <w:adjustRightInd w:val="0"/>
        <w:snapToGrid w:val="0"/>
        <w:spacing w:line="360" w:lineRule="auto"/>
        <w:ind w:firstLineChars="100" w:firstLine="240"/>
        <w:rPr>
          <w:rFonts w:ascii="Book Antiqua" w:hAnsi="Book Antiqua"/>
        </w:rPr>
      </w:pPr>
      <w:r w:rsidRPr="009B04A5">
        <w:rPr>
          <w:rFonts w:ascii="Book Antiqua" w:hAnsi="Book Antiqua"/>
        </w:rPr>
        <w:t xml:space="preserve">Zhu </w:t>
      </w:r>
      <w:r w:rsidR="00783C14" w:rsidRPr="009B04A5">
        <w:rPr>
          <w:rFonts w:ascii="Book Antiqua" w:hAnsi="Book Antiqua"/>
          <w:i/>
        </w:rPr>
        <w:t>et al</w:t>
      </w:r>
      <w:r w:rsidR="000A6432" w:rsidRPr="009B04A5">
        <w:rPr>
          <w:rFonts w:ascii="Book Antiqua" w:hAnsi="Book Antiqua"/>
          <w:vertAlign w:val="superscript"/>
        </w:rPr>
        <w:t>[67]</w:t>
      </w:r>
      <w:r w:rsidR="00AE37C0" w:rsidRPr="009B04A5">
        <w:rPr>
          <w:rFonts w:ascii="Book Antiqua" w:hAnsi="Book Antiqua"/>
        </w:rPr>
        <w:t xml:space="preserve"> indicated</w:t>
      </w:r>
      <w:r w:rsidR="00381C27" w:rsidRPr="009B04A5">
        <w:rPr>
          <w:rFonts w:ascii="Book Antiqua" w:hAnsi="Book Antiqua"/>
        </w:rPr>
        <w:t xml:space="preserve"> that </w:t>
      </w:r>
      <w:r w:rsidR="00AE37C0" w:rsidRPr="009B04A5">
        <w:rPr>
          <w:rFonts w:ascii="Book Antiqua" w:hAnsi="Book Antiqua"/>
        </w:rPr>
        <w:t xml:space="preserve">the </w:t>
      </w:r>
      <w:r w:rsidR="00381C27" w:rsidRPr="009B04A5">
        <w:rPr>
          <w:rFonts w:ascii="Book Antiqua" w:hAnsi="Book Antiqua"/>
        </w:rPr>
        <w:t xml:space="preserve">3-miRNA signature contributed to pediatric cytogenetically normal AML </w:t>
      </w:r>
      <w:r w:rsidR="00AE37C0" w:rsidRPr="009B04A5">
        <w:rPr>
          <w:rFonts w:ascii="Book Antiqua" w:hAnsi="Book Antiqua"/>
        </w:rPr>
        <w:t xml:space="preserve">and </w:t>
      </w:r>
      <w:r w:rsidR="00381C27" w:rsidRPr="009B04A5">
        <w:rPr>
          <w:rFonts w:ascii="Book Antiqua" w:hAnsi="Book Antiqua"/>
        </w:rPr>
        <w:t xml:space="preserve">can be a reliable prognostic biomarker. They found that high expression of </w:t>
      </w:r>
      <w:bookmarkStart w:id="9" w:name="_Hlk31317042"/>
      <w:r w:rsidR="00381C27" w:rsidRPr="009B04A5">
        <w:rPr>
          <w:rFonts w:ascii="Book Antiqua" w:hAnsi="Book Antiqua"/>
        </w:rPr>
        <w:t>miR-146b predicts poor prognosis</w:t>
      </w:r>
      <w:r w:rsidR="00AE37C0" w:rsidRPr="009B04A5">
        <w:rPr>
          <w:rFonts w:ascii="Book Antiqua" w:hAnsi="Book Antiqua"/>
        </w:rPr>
        <w:t xml:space="preserve"> and that</w:t>
      </w:r>
      <w:r w:rsidR="00381C27" w:rsidRPr="009B04A5">
        <w:rPr>
          <w:rFonts w:ascii="Book Antiqua" w:hAnsi="Book Antiqua"/>
        </w:rPr>
        <w:t xml:space="preserve"> miR-181c and miR-4786 </w:t>
      </w:r>
      <w:r w:rsidR="00AE37C0" w:rsidRPr="009B04A5">
        <w:rPr>
          <w:rFonts w:ascii="Book Antiqua" w:hAnsi="Book Antiqua"/>
        </w:rPr>
        <w:t xml:space="preserve">are </w:t>
      </w:r>
      <w:bookmarkEnd w:id="9"/>
      <w:r w:rsidR="00381C27" w:rsidRPr="009B04A5">
        <w:rPr>
          <w:rFonts w:ascii="Book Antiqua" w:hAnsi="Book Antiqua"/>
        </w:rPr>
        <w:t xml:space="preserve">significantly related </w:t>
      </w:r>
      <w:r w:rsidR="00AE37C0" w:rsidRPr="009B04A5">
        <w:rPr>
          <w:rFonts w:ascii="Book Antiqua" w:hAnsi="Book Antiqua"/>
        </w:rPr>
        <w:t>to</w:t>
      </w:r>
      <w:r w:rsidR="00381C27" w:rsidRPr="009B04A5">
        <w:rPr>
          <w:rFonts w:ascii="Book Antiqua" w:hAnsi="Book Antiqua"/>
        </w:rPr>
        <w:t xml:space="preserve"> favorable prognosis </w:t>
      </w:r>
      <w:r w:rsidR="00AE37C0" w:rsidRPr="009B04A5">
        <w:rPr>
          <w:rFonts w:ascii="Book Antiqua" w:hAnsi="Book Antiqua"/>
        </w:rPr>
        <w:t>factors</w:t>
      </w:r>
      <w:r w:rsidR="00381C27" w:rsidRPr="009B04A5">
        <w:rPr>
          <w:rFonts w:ascii="Book Antiqua" w:hAnsi="Book Antiqua"/>
        </w:rPr>
        <w:t xml:space="preserve">. The results indicate that the 3-miRNA-based signature is a reliable prognostic biomarker for pediatric </w:t>
      </w:r>
      <w:r w:rsidR="00381C27" w:rsidRPr="009B04A5">
        <w:rPr>
          <w:rFonts w:ascii="Book Antiqua" w:hAnsi="Book Antiqua"/>
        </w:rPr>
        <w:lastRenderedPageBreak/>
        <w:t>AML.</w:t>
      </w:r>
      <w:r w:rsidR="00AE37C0" w:rsidRPr="009B04A5">
        <w:rPr>
          <w:rFonts w:ascii="Book Antiqua" w:hAnsi="Book Antiqua"/>
        </w:rPr>
        <w:t xml:space="preserve"> The upregulation</w:t>
      </w:r>
      <w:r w:rsidR="00381C27" w:rsidRPr="009B04A5">
        <w:rPr>
          <w:rFonts w:ascii="Book Antiqua" w:hAnsi="Book Antiqua"/>
        </w:rPr>
        <w:t xml:space="preserve"> of miR-10a, miR-10b, and miR-196b</w:t>
      </w:r>
      <w:r w:rsidR="000A6432" w:rsidRPr="009B04A5">
        <w:rPr>
          <w:rFonts w:ascii="Book Antiqua" w:hAnsi="Book Antiqua"/>
          <w:vertAlign w:val="superscript"/>
        </w:rPr>
        <w:t>[52,68]</w:t>
      </w:r>
      <w:r w:rsidR="00381C27" w:rsidRPr="009B04A5">
        <w:rPr>
          <w:rFonts w:ascii="Book Antiqua" w:hAnsi="Book Antiqua"/>
        </w:rPr>
        <w:t xml:space="preserve"> and the downregulation of miR-192</w:t>
      </w:r>
      <w:r w:rsidR="000A6432" w:rsidRPr="009B04A5">
        <w:rPr>
          <w:rFonts w:ascii="Book Antiqua" w:hAnsi="Book Antiqua"/>
          <w:vertAlign w:val="superscript"/>
        </w:rPr>
        <w:t>[51,68]</w:t>
      </w:r>
      <w:r w:rsidR="00381C27" w:rsidRPr="009B04A5">
        <w:rPr>
          <w:rFonts w:ascii="Book Antiqua" w:hAnsi="Book Antiqua"/>
        </w:rPr>
        <w:t xml:space="preserve"> can be </w:t>
      </w:r>
      <w:r w:rsidR="00AE37C0" w:rsidRPr="009B04A5">
        <w:rPr>
          <w:rFonts w:ascii="Book Antiqua" w:hAnsi="Book Antiqua"/>
        </w:rPr>
        <w:t xml:space="preserve">biomarkers </w:t>
      </w:r>
      <w:r w:rsidR="00381C27" w:rsidRPr="009B04A5">
        <w:rPr>
          <w:rFonts w:ascii="Book Antiqua" w:hAnsi="Book Antiqua"/>
        </w:rPr>
        <w:t xml:space="preserve">for </w:t>
      </w:r>
      <w:r w:rsidR="00381C27" w:rsidRPr="009B04A5">
        <w:rPr>
          <w:rFonts w:ascii="Book Antiqua" w:hAnsi="Book Antiqua"/>
          <w:i/>
        </w:rPr>
        <w:t>NPM1</w:t>
      </w:r>
      <w:r w:rsidR="00381C27" w:rsidRPr="009B04A5">
        <w:rPr>
          <w:rFonts w:ascii="Book Antiqua" w:hAnsi="Book Antiqua"/>
        </w:rPr>
        <w:t xml:space="preserve"> </w:t>
      </w:r>
      <w:r w:rsidR="00AE37C0" w:rsidRPr="009B04A5">
        <w:rPr>
          <w:rFonts w:ascii="Book Antiqua" w:hAnsi="Book Antiqua"/>
        </w:rPr>
        <w:t>mutations</w:t>
      </w:r>
      <w:r w:rsidR="00381C27" w:rsidRPr="009B04A5">
        <w:rPr>
          <w:rFonts w:ascii="Book Antiqua" w:hAnsi="Book Antiqua"/>
        </w:rPr>
        <w:t xml:space="preserve">. Patients with t(8;21) </w:t>
      </w:r>
      <w:r w:rsidR="00FE4AD7" w:rsidRPr="009B04A5">
        <w:rPr>
          <w:rFonts w:ascii="Book Antiqua" w:hAnsi="Book Antiqua"/>
        </w:rPr>
        <w:t>had</w:t>
      </w:r>
      <w:r w:rsidR="00381C27" w:rsidRPr="009B04A5">
        <w:rPr>
          <w:rFonts w:ascii="Book Antiqua" w:hAnsi="Book Antiqua"/>
        </w:rPr>
        <w:t xml:space="preserve"> </w:t>
      </w:r>
      <w:r w:rsidR="00D615CF" w:rsidRPr="009B04A5">
        <w:rPr>
          <w:rFonts w:ascii="Book Antiqua" w:hAnsi="Book Antiqua"/>
        </w:rPr>
        <w:t>overexpression</w:t>
      </w:r>
      <w:r w:rsidR="00381C27" w:rsidRPr="009B04A5">
        <w:rPr>
          <w:rFonts w:ascii="Book Antiqua" w:hAnsi="Book Antiqua"/>
        </w:rPr>
        <w:t xml:space="preserve"> of miR-126</w:t>
      </w:r>
      <w:r w:rsidR="000A6432" w:rsidRPr="009B04A5">
        <w:rPr>
          <w:rFonts w:ascii="Book Antiqua" w:hAnsi="Book Antiqua"/>
          <w:vertAlign w:val="superscript"/>
        </w:rPr>
        <w:t>[53,56]</w:t>
      </w:r>
      <w:r w:rsidR="00381C27" w:rsidRPr="009B04A5">
        <w:rPr>
          <w:rFonts w:ascii="Book Antiqua" w:hAnsi="Book Antiqua"/>
        </w:rPr>
        <w:t xml:space="preserve"> and miR-146a</w:t>
      </w:r>
      <w:r w:rsidR="000A6432" w:rsidRPr="009B04A5">
        <w:rPr>
          <w:rFonts w:ascii="Book Antiqua" w:hAnsi="Book Antiqua"/>
          <w:vertAlign w:val="superscript"/>
        </w:rPr>
        <w:t>[49,57]</w:t>
      </w:r>
      <w:r w:rsidR="00381C27" w:rsidRPr="009B04A5">
        <w:rPr>
          <w:rFonts w:ascii="Book Antiqua" w:hAnsi="Book Antiqua"/>
        </w:rPr>
        <w:t xml:space="preserve">. </w:t>
      </w:r>
      <w:r w:rsidR="00D615CF" w:rsidRPr="009B04A5">
        <w:rPr>
          <w:rFonts w:ascii="Book Antiqua" w:hAnsi="Book Antiqua"/>
        </w:rPr>
        <w:t xml:space="preserve">High expression level </w:t>
      </w:r>
      <w:r w:rsidR="00381C27" w:rsidRPr="009B04A5">
        <w:rPr>
          <w:rFonts w:ascii="Book Antiqua" w:hAnsi="Book Antiqua"/>
        </w:rPr>
        <w:t xml:space="preserve">of miR-155 was strongly associated with </w:t>
      </w:r>
      <w:r w:rsidR="00381C27" w:rsidRPr="009B04A5">
        <w:rPr>
          <w:rFonts w:ascii="Book Antiqua" w:hAnsi="Book Antiqua"/>
          <w:i/>
        </w:rPr>
        <w:t>FLT3-</w:t>
      </w:r>
      <w:r w:rsidR="003305CA" w:rsidRPr="009B04A5">
        <w:rPr>
          <w:rFonts w:ascii="Book Antiqua" w:hAnsi="Book Antiqua"/>
          <w:i/>
        </w:rPr>
        <w:t>ITD</w:t>
      </w:r>
      <w:r w:rsidR="00381C27" w:rsidRPr="009B04A5">
        <w:rPr>
          <w:rFonts w:ascii="Book Antiqua" w:hAnsi="Book Antiqua"/>
        </w:rPr>
        <w:t xml:space="preserve"> alteration</w:t>
      </w:r>
      <w:r w:rsidR="000A6432" w:rsidRPr="009B04A5">
        <w:rPr>
          <w:rFonts w:ascii="Book Antiqua" w:hAnsi="Book Antiqua"/>
          <w:vertAlign w:val="superscript"/>
        </w:rPr>
        <w:t>[50-52,69]</w:t>
      </w:r>
      <w:r w:rsidR="006A47F8" w:rsidRPr="009B04A5">
        <w:rPr>
          <w:rFonts w:ascii="Book Antiqua" w:hAnsi="Book Antiqua"/>
        </w:rPr>
        <w:t>.</w:t>
      </w:r>
    </w:p>
    <w:p w:rsidR="006A47F8" w:rsidRPr="009B04A5" w:rsidRDefault="006A47F8" w:rsidP="00C709AE">
      <w:pPr>
        <w:adjustRightInd w:val="0"/>
        <w:snapToGrid w:val="0"/>
        <w:spacing w:line="360" w:lineRule="auto"/>
        <w:ind w:firstLineChars="100" w:firstLine="240"/>
        <w:rPr>
          <w:rFonts w:ascii="Book Antiqua" w:hAnsi="Book Antiqua"/>
          <w:lang w:eastAsia="pl-PL"/>
        </w:rPr>
      </w:pPr>
    </w:p>
    <w:p w:rsidR="00E93291" w:rsidRPr="009B04A5" w:rsidRDefault="00897F9D" w:rsidP="00C709AE">
      <w:pPr>
        <w:adjustRightInd w:val="0"/>
        <w:snapToGrid w:val="0"/>
        <w:spacing w:line="360" w:lineRule="auto"/>
        <w:ind w:firstLine="0"/>
        <w:rPr>
          <w:rFonts w:ascii="Book Antiqua" w:hAnsi="Book Antiqua"/>
          <w:u w:val="single"/>
        </w:rPr>
      </w:pPr>
      <w:r w:rsidRPr="009B04A5">
        <w:rPr>
          <w:rFonts w:ascii="Book Antiqua" w:hAnsi="Book Antiqua"/>
          <w:b/>
          <w:u w:val="single"/>
        </w:rPr>
        <w:t>ROLE OF MICRORNA IN DIAGNOSIS AND CLASSIFICATION</w:t>
      </w:r>
    </w:p>
    <w:p w:rsidR="006A47F8" w:rsidRPr="009B04A5" w:rsidRDefault="008C0CCE" w:rsidP="00C709AE">
      <w:pPr>
        <w:adjustRightInd w:val="0"/>
        <w:snapToGrid w:val="0"/>
        <w:spacing w:line="360" w:lineRule="auto"/>
        <w:ind w:firstLine="0"/>
        <w:rPr>
          <w:rFonts w:ascii="Book Antiqua" w:hAnsi="Book Antiqua"/>
        </w:rPr>
      </w:pPr>
      <w:r w:rsidRPr="009B04A5">
        <w:rPr>
          <w:rFonts w:ascii="Book Antiqua" w:hAnsi="Book Antiqua"/>
        </w:rPr>
        <w:t xml:space="preserve">The results of scientific research have led to the selection of biomarkers for diagnostic classification and prognostic </w:t>
      </w:r>
      <w:r w:rsidR="00BD5B61" w:rsidRPr="009B04A5">
        <w:rPr>
          <w:rFonts w:ascii="Book Antiqua" w:hAnsi="Book Antiqua"/>
        </w:rPr>
        <w:t>evaluation</w:t>
      </w:r>
      <w:r w:rsidRPr="009B04A5">
        <w:rPr>
          <w:rFonts w:ascii="Book Antiqua" w:hAnsi="Book Antiqua"/>
        </w:rPr>
        <w:t xml:space="preserve">, and </w:t>
      </w:r>
      <w:r w:rsidR="00136675" w:rsidRPr="009B04A5">
        <w:rPr>
          <w:rFonts w:ascii="Book Antiqua" w:hAnsi="Book Antiqua"/>
        </w:rPr>
        <w:t xml:space="preserve">have </w:t>
      </w:r>
      <w:r w:rsidRPr="009B04A5">
        <w:rPr>
          <w:rFonts w:ascii="Book Antiqua" w:hAnsi="Book Antiqua"/>
        </w:rPr>
        <w:t xml:space="preserve">thus brought closer personalized medicine. Nevertheless, there is a constant need to search for sensitive and specific determinants </w:t>
      </w:r>
      <w:r w:rsidR="00BD5B61" w:rsidRPr="009B04A5">
        <w:rPr>
          <w:rFonts w:ascii="Book Antiqua" w:hAnsi="Book Antiqua"/>
        </w:rPr>
        <w:t>for</w:t>
      </w:r>
      <w:r w:rsidRPr="009B04A5">
        <w:rPr>
          <w:rFonts w:ascii="Book Antiqua" w:hAnsi="Book Antiqua"/>
        </w:rPr>
        <w:t xml:space="preserve"> </w:t>
      </w:r>
      <w:r w:rsidR="00BD5B61" w:rsidRPr="009B04A5">
        <w:rPr>
          <w:rFonts w:ascii="Book Antiqua" w:hAnsi="Book Antiqua"/>
        </w:rPr>
        <w:t xml:space="preserve">childhood </w:t>
      </w:r>
      <w:r w:rsidR="000C6B11" w:rsidRPr="009B04A5">
        <w:rPr>
          <w:rFonts w:ascii="Book Antiqua" w:hAnsi="Book Antiqua"/>
        </w:rPr>
        <w:t>AL</w:t>
      </w:r>
      <w:r w:rsidR="00BD5B61" w:rsidRPr="009B04A5">
        <w:rPr>
          <w:rFonts w:ascii="Book Antiqua" w:hAnsi="Book Antiqua"/>
        </w:rPr>
        <w:t xml:space="preserve"> </w:t>
      </w:r>
      <w:r w:rsidRPr="009B04A5">
        <w:rPr>
          <w:rFonts w:ascii="Book Antiqua" w:hAnsi="Book Antiqua"/>
        </w:rPr>
        <w:t>progression</w:t>
      </w:r>
      <w:r w:rsidR="000A6432" w:rsidRPr="009B04A5">
        <w:rPr>
          <w:rFonts w:ascii="Book Antiqua" w:hAnsi="Book Antiqua"/>
          <w:vertAlign w:val="superscript"/>
        </w:rPr>
        <w:t>[3,70]</w:t>
      </w:r>
      <w:r w:rsidR="004048B8" w:rsidRPr="009B04A5">
        <w:rPr>
          <w:rFonts w:ascii="Book Antiqua" w:hAnsi="Book Antiqua"/>
        </w:rPr>
        <w:t>.</w:t>
      </w:r>
    </w:p>
    <w:p w:rsidR="006A47F8" w:rsidRPr="009B04A5" w:rsidRDefault="00A07614" w:rsidP="00C709AE">
      <w:pPr>
        <w:adjustRightInd w:val="0"/>
        <w:snapToGrid w:val="0"/>
        <w:spacing w:line="360" w:lineRule="auto"/>
        <w:ind w:firstLineChars="100" w:firstLine="240"/>
        <w:rPr>
          <w:rFonts w:ascii="Book Antiqua" w:hAnsi="Book Antiqua"/>
        </w:rPr>
      </w:pPr>
      <w:r w:rsidRPr="009B04A5">
        <w:rPr>
          <w:rStyle w:val="tlid-translation"/>
          <w:rFonts w:ascii="Book Antiqua" w:hAnsi="Book Antiqua"/>
        </w:rPr>
        <w:t xml:space="preserve">One of the most commonly identified biomarkers associated with the development of </w:t>
      </w:r>
      <w:r w:rsidR="000C6B11" w:rsidRPr="009B04A5">
        <w:rPr>
          <w:rStyle w:val="tlid-translation"/>
          <w:rFonts w:ascii="Book Antiqua" w:hAnsi="Book Antiqua"/>
        </w:rPr>
        <w:t>AL</w:t>
      </w:r>
      <w:r w:rsidRPr="009B04A5">
        <w:rPr>
          <w:rStyle w:val="tlid-translation"/>
          <w:rFonts w:ascii="Book Antiqua" w:hAnsi="Book Antiqua"/>
        </w:rPr>
        <w:t xml:space="preserve"> is miR-125b, which is</w:t>
      </w:r>
      <w:r w:rsidR="00AE37C0" w:rsidRPr="009B04A5">
        <w:rPr>
          <w:rStyle w:val="tlid-translation"/>
          <w:rFonts w:ascii="Book Antiqua" w:hAnsi="Book Antiqua"/>
        </w:rPr>
        <w:t xml:space="preserve"> an</w:t>
      </w:r>
      <w:r w:rsidRPr="009B04A5">
        <w:rPr>
          <w:rStyle w:val="tlid-translation"/>
          <w:rFonts w:ascii="Book Antiqua" w:hAnsi="Book Antiqua"/>
        </w:rPr>
        <w:t xml:space="preserve"> important molecular regulator in normal cell homeostasis, cell metastasis</w:t>
      </w:r>
      <w:r w:rsidR="00136675" w:rsidRPr="009B04A5">
        <w:rPr>
          <w:rStyle w:val="tlid-translation"/>
          <w:rFonts w:ascii="Book Antiqua" w:hAnsi="Book Antiqua"/>
        </w:rPr>
        <w:t>,</w:t>
      </w:r>
      <w:r w:rsidRPr="009B04A5">
        <w:rPr>
          <w:rStyle w:val="tlid-translation"/>
          <w:rFonts w:ascii="Book Antiqua" w:hAnsi="Book Antiqua"/>
        </w:rPr>
        <w:t xml:space="preserve"> and disease pathogenesis and progression</w:t>
      </w:r>
      <w:r w:rsidR="000A6432" w:rsidRPr="009B04A5">
        <w:rPr>
          <w:rStyle w:val="tlid-translation"/>
          <w:rFonts w:ascii="Book Antiqua" w:hAnsi="Book Antiqua"/>
          <w:vertAlign w:val="superscript"/>
        </w:rPr>
        <w:t>[71,72]</w:t>
      </w:r>
      <w:r w:rsidRPr="009B04A5">
        <w:rPr>
          <w:rStyle w:val="tlid-translation"/>
          <w:rFonts w:ascii="Book Antiqua" w:hAnsi="Book Antiqua"/>
        </w:rPr>
        <w:t xml:space="preserve">. </w:t>
      </w:r>
      <w:r w:rsidR="00FE6CB4" w:rsidRPr="009B04A5">
        <w:rPr>
          <w:rFonts w:ascii="Book Antiqua" w:hAnsi="Book Antiqua"/>
        </w:rPr>
        <w:t xml:space="preserve">Playing </w:t>
      </w:r>
      <w:r w:rsidR="00CC4CDC" w:rsidRPr="009B04A5">
        <w:rPr>
          <w:rFonts w:ascii="Book Antiqua" w:eastAsia="Times New Roman" w:hAnsi="Book Antiqua"/>
          <w:lang w:eastAsia="pl-PL"/>
        </w:rPr>
        <w:t>either an oncogenic or a tumor</w:t>
      </w:r>
      <w:r w:rsidR="001030C2" w:rsidRPr="009B04A5">
        <w:rPr>
          <w:rFonts w:ascii="Book Antiqua" w:eastAsia="Times New Roman" w:hAnsi="Book Antiqua"/>
          <w:lang w:eastAsia="pl-PL"/>
        </w:rPr>
        <w:t>-</w:t>
      </w:r>
      <w:r w:rsidR="00CC4CDC" w:rsidRPr="009B04A5">
        <w:rPr>
          <w:rFonts w:ascii="Book Antiqua" w:eastAsia="Times New Roman" w:hAnsi="Book Antiqua"/>
          <w:lang w:eastAsia="pl-PL"/>
        </w:rPr>
        <w:t xml:space="preserve">suppressive role </w:t>
      </w:r>
      <w:r w:rsidR="00CC4CDC" w:rsidRPr="009B04A5">
        <w:rPr>
          <w:rStyle w:val="tlid-translation"/>
          <w:rFonts w:ascii="Book Antiqua" w:hAnsi="Book Antiqua"/>
        </w:rPr>
        <w:t>through numerous target genes</w:t>
      </w:r>
      <w:r w:rsidR="00CA20E9" w:rsidRPr="009B04A5">
        <w:rPr>
          <w:rFonts w:ascii="Book Antiqua" w:hAnsi="Book Antiqua"/>
        </w:rPr>
        <w:t xml:space="preserve"> is crucial in abnormal proliferation, metastasis</w:t>
      </w:r>
      <w:r w:rsidR="00136675" w:rsidRPr="009B04A5">
        <w:rPr>
          <w:rFonts w:ascii="Book Antiqua" w:hAnsi="Book Antiqua"/>
        </w:rPr>
        <w:t>,</w:t>
      </w:r>
      <w:r w:rsidR="00CA20E9" w:rsidRPr="009B04A5">
        <w:rPr>
          <w:rFonts w:ascii="Book Antiqua" w:hAnsi="Book Antiqua"/>
        </w:rPr>
        <w:t xml:space="preserve"> and invasion of cells in </w:t>
      </w:r>
      <w:r w:rsidR="00CA20E9" w:rsidRPr="009B04A5">
        <w:rPr>
          <w:rFonts w:ascii="Book Antiqua" w:eastAsia="Times New Roman" w:hAnsi="Book Antiqua"/>
          <w:lang w:eastAsia="pl-PL"/>
        </w:rPr>
        <w:t>hematological malignancies</w:t>
      </w:r>
      <w:r w:rsidR="000A6432" w:rsidRPr="009B04A5">
        <w:rPr>
          <w:rFonts w:ascii="Book Antiqua" w:eastAsia="Times New Roman" w:hAnsi="Book Antiqua"/>
          <w:vertAlign w:val="superscript"/>
          <w:lang w:eastAsia="pl-PL"/>
        </w:rPr>
        <w:t>[71]</w:t>
      </w:r>
      <w:r w:rsidR="00F828CA" w:rsidRPr="009B04A5">
        <w:rPr>
          <w:rFonts w:ascii="Book Antiqua" w:eastAsia="Times New Roman" w:hAnsi="Book Antiqua"/>
          <w:lang w:eastAsia="pl-PL"/>
        </w:rPr>
        <w:t xml:space="preserve">. So </w:t>
      </w:r>
      <w:r w:rsidR="00783C14" w:rsidRPr="009B04A5">
        <w:rPr>
          <w:rFonts w:ascii="Book Antiqua" w:eastAsia="Times New Roman" w:hAnsi="Book Antiqua"/>
          <w:i/>
          <w:lang w:eastAsia="pl-PL"/>
        </w:rPr>
        <w:t>et al</w:t>
      </w:r>
      <w:r w:rsidR="000A6432" w:rsidRPr="009B04A5">
        <w:rPr>
          <w:rFonts w:ascii="Book Antiqua" w:eastAsia="Times New Roman" w:hAnsi="Book Antiqua"/>
          <w:vertAlign w:val="superscript"/>
          <w:lang w:eastAsia="pl-PL"/>
        </w:rPr>
        <w:t>[73]</w:t>
      </w:r>
      <w:r w:rsidR="00440037" w:rsidRPr="009B04A5">
        <w:rPr>
          <w:rFonts w:ascii="Book Antiqua" w:eastAsia="Times New Roman" w:hAnsi="Book Antiqua"/>
          <w:lang w:eastAsia="pl-PL"/>
        </w:rPr>
        <w:t xml:space="preserve"> reported that miR-125b overexpression (through repressing </w:t>
      </w:r>
      <w:r w:rsidR="00440037" w:rsidRPr="009B04A5">
        <w:rPr>
          <w:rFonts w:ascii="Book Antiqua" w:eastAsia="Times New Roman" w:hAnsi="Book Antiqua"/>
          <w:i/>
          <w:lang w:eastAsia="pl-PL"/>
        </w:rPr>
        <w:t>IRF4</w:t>
      </w:r>
      <w:r w:rsidR="00D20A83" w:rsidRPr="009B04A5">
        <w:rPr>
          <w:rFonts w:ascii="Book Antiqua" w:eastAsia="Times New Roman" w:hAnsi="Book Antiqua"/>
          <w:lang w:eastAsia="pl-PL"/>
        </w:rPr>
        <w:t>) promotes myeloid and B-cell leukemia by inducing tumorigenesis, immortality</w:t>
      </w:r>
      <w:r w:rsidR="00136675" w:rsidRPr="009B04A5">
        <w:rPr>
          <w:rFonts w:ascii="Book Antiqua" w:eastAsia="Times New Roman" w:hAnsi="Book Antiqua"/>
          <w:lang w:eastAsia="pl-PL"/>
        </w:rPr>
        <w:t>,</w:t>
      </w:r>
      <w:r w:rsidR="00D20A83" w:rsidRPr="009B04A5">
        <w:rPr>
          <w:rFonts w:ascii="Book Antiqua" w:eastAsia="Times New Roman" w:hAnsi="Book Antiqua"/>
          <w:lang w:eastAsia="pl-PL"/>
        </w:rPr>
        <w:t xml:space="preserve"> and self-renewal of progenitor cells. By targeting </w:t>
      </w:r>
      <w:r w:rsidR="00D20A83" w:rsidRPr="009B04A5">
        <w:rPr>
          <w:rFonts w:ascii="Book Antiqua" w:eastAsia="Times New Roman" w:hAnsi="Book Antiqua"/>
          <w:i/>
          <w:lang w:eastAsia="pl-PL"/>
        </w:rPr>
        <w:t>ARID3a</w:t>
      </w:r>
      <w:r w:rsidR="00D20A83" w:rsidRPr="009B04A5">
        <w:rPr>
          <w:rFonts w:ascii="Book Antiqua" w:eastAsia="Times New Roman" w:hAnsi="Book Antiqua"/>
          <w:lang w:eastAsia="pl-PL"/>
        </w:rPr>
        <w:t xml:space="preserve"> in </w:t>
      </w:r>
      <w:r w:rsidR="0066236E" w:rsidRPr="009B04A5">
        <w:rPr>
          <w:rFonts w:ascii="Book Antiqua" w:hAnsi="Book Antiqua"/>
        </w:rPr>
        <w:t>B-ALL cases with the t(11;14)(q24;q32) translocation</w:t>
      </w:r>
      <w:r w:rsidR="00AE37C0" w:rsidRPr="009B04A5">
        <w:rPr>
          <w:rFonts w:ascii="Book Antiqua" w:hAnsi="Book Antiqua"/>
        </w:rPr>
        <w:t>,</w:t>
      </w:r>
      <w:r w:rsidR="0066236E" w:rsidRPr="009B04A5">
        <w:rPr>
          <w:rFonts w:ascii="Book Antiqua" w:hAnsi="Book Antiqua"/>
        </w:rPr>
        <w:t xml:space="preserve"> upregulation of miR-125b blocked differentiation and </w:t>
      </w:r>
      <w:r w:rsidR="00AE37C0" w:rsidRPr="009B04A5">
        <w:rPr>
          <w:rStyle w:val="tlid-translation"/>
          <w:rFonts w:ascii="Book Antiqua" w:hAnsi="Book Antiqua"/>
        </w:rPr>
        <w:t>helped</w:t>
      </w:r>
      <w:r w:rsidR="00BA2F92" w:rsidRPr="009B04A5">
        <w:rPr>
          <w:rStyle w:val="tlid-translation"/>
          <w:rFonts w:ascii="Book Antiqua" w:hAnsi="Book Antiqua"/>
        </w:rPr>
        <w:t xml:space="preserve"> avoid apoptosis </w:t>
      </w:r>
      <w:r w:rsidR="0066236E" w:rsidRPr="009B04A5">
        <w:rPr>
          <w:rFonts w:ascii="Book Antiqua" w:hAnsi="Book Antiqua"/>
        </w:rPr>
        <w:t xml:space="preserve">by blockade of caspase activation by a mechanism independent of p53 and </w:t>
      </w:r>
      <w:r w:rsidR="0066236E" w:rsidRPr="009B04A5">
        <w:rPr>
          <w:rFonts w:ascii="Book Antiqua" w:hAnsi="Book Antiqua"/>
          <w:i/>
        </w:rPr>
        <w:t>BAK1</w:t>
      </w:r>
      <w:r w:rsidR="00E86E6A" w:rsidRPr="009B04A5">
        <w:rPr>
          <w:rFonts w:ascii="Book Antiqua" w:hAnsi="Book Antiqua"/>
        </w:rPr>
        <w:t>. Moreover</w:t>
      </w:r>
      <w:r w:rsidR="00AE37C0" w:rsidRPr="009B04A5">
        <w:rPr>
          <w:rFonts w:ascii="Book Antiqua" w:hAnsi="Book Antiqua"/>
        </w:rPr>
        <w:t>,</w:t>
      </w:r>
      <w:r w:rsidR="00E86E6A" w:rsidRPr="009B04A5">
        <w:rPr>
          <w:rFonts w:ascii="Book Antiqua" w:hAnsi="Book Antiqua"/>
        </w:rPr>
        <w:t xml:space="preserve"> high </w:t>
      </w:r>
      <w:r w:rsidR="00AE37C0" w:rsidRPr="009B04A5">
        <w:rPr>
          <w:rFonts w:ascii="Book Antiqua" w:hAnsi="Book Antiqua"/>
        </w:rPr>
        <w:t>levels</w:t>
      </w:r>
      <w:r w:rsidR="00E86E6A" w:rsidRPr="009B04A5">
        <w:rPr>
          <w:rFonts w:ascii="Book Antiqua" w:hAnsi="Book Antiqua"/>
        </w:rPr>
        <w:t xml:space="preserve"> of miR-125b were linked </w:t>
      </w:r>
      <w:r w:rsidR="002B0D5A" w:rsidRPr="009B04A5">
        <w:rPr>
          <w:rFonts w:ascii="Book Antiqua" w:hAnsi="Book Antiqua"/>
        </w:rPr>
        <w:t xml:space="preserve">to </w:t>
      </w:r>
      <w:r w:rsidR="00E86E6A" w:rsidRPr="009B04A5">
        <w:rPr>
          <w:rFonts w:ascii="Book Antiqua" w:hAnsi="Book Antiqua"/>
        </w:rPr>
        <w:t>an increase in the expression of pluripotency-associated factors (</w:t>
      </w:r>
      <w:r w:rsidR="00E86E6A" w:rsidRPr="009B04A5">
        <w:rPr>
          <w:rFonts w:ascii="Book Antiqua" w:hAnsi="Book Antiqua"/>
          <w:i/>
          <w:iCs/>
        </w:rPr>
        <w:t>OCT4</w:t>
      </w:r>
      <w:r w:rsidR="00E86E6A" w:rsidRPr="009B04A5">
        <w:rPr>
          <w:rFonts w:ascii="Book Antiqua" w:hAnsi="Book Antiqua"/>
        </w:rPr>
        <w:t xml:space="preserve">, </w:t>
      </w:r>
      <w:r w:rsidR="00E86E6A" w:rsidRPr="009B04A5">
        <w:rPr>
          <w:rFonts w:ascii="Book Antiqua" w:hAnsi="Book Antiqua"/>
          <w:i/>
          <w:iCs/>
        </w:rPr>
        <w:t>SOX2</w:t>
      </w:r>
      <w:r w:rsidR="00E86E6A" w:rsidRPr="009B04A5">
        <w:rPr>
          <w:rFonts w:ascii="Book Antiqua" w:hAnsi="Book Antiqua"/>
        </w:rPr>
        <w:t xml:space="preserve">, </w:t>
      </w:r>
      <w:r w:rsidR="00E86E6A" w:rsidRPr="009B04A5">
        <w:rPr>
          <w:rFonts w:ascii="Book Antiqua" w:hAnsi="Book Antiqua"/>
          <w:i/>
          <w:iCs/>
        </w:rPr>
        <w:t>KLF4</w:t>
      </w:r>
      <w:r w:rsidR="00136675" w:rsidRPr="009B04A5">
        <w:rPr>
          <w:rFonts w:ascii="Book Antiqua" w:hAnsi="Book Antiqua"/>
        </w:rPr>
        <w:t xml:space="preserve">, </w:t>
      </w:r>
      <w:r w:rsidR="00E86E6A" w:rsidRPr="009B04A5">
        <w:rPr>
          <w:rFonts w:ascii="Book Antiqua" w:hAnsi="Book Antiqua"/>
        </w:rPr>
        <w:t xml:space="preserve">and </w:t>
      </w:r>
      <w:r w:rsidR="00E86E6A" w:rsidRPr="009B04A5">
        <w:rPr>
          <w:rFonts w:ascii="Book Antiqua" w:hAnsi="Book Antiqua"/>
          <w:i/>
          <w:iCs/>
        </w:rPr>
        <w:t>NANOG</w:t>
      </w:r>
      <w:r w:rsidR="00E86E6A" w:rsidRPr="009B04A5">
        <w:rPr>
          <w:rFonts w:ascii="Book Antiqua" w:hAnsi="Book Antiqua"/>
        </w:rPr>
        <w:t>)</w:t>
      </w:r>
      <w:r w:rsidR="000A6432" w:rsidRPr="009B04A5">
        <w:rPr>
          <w:rFonts w:ascii="Book Antiqua" w:hAnsi="Book Antiqua"/>
          <w:vertAlign w:val="superscript"/>
        </w:rPr>
        <w:t>[74]</w:t>
      </w:r>
      <w:r w:rsidR="00967909" w:rsidRPr="009B04A5">
        <w:rPr>
          <w:rFonts w:ascii="Book Antiqua" w:hAnsi="Book Antiqua"/>
        </w:rPr>
        <w:t xml:space="preserve">. </w:t>
      </w:r>
      <w:r w:rsidR="00EC27A7" w:rsidRPr="009B04A5">
        <w:rPr>
          <w:rFonts w:ascii="Book Antiqua" w:eastAsia="Times New Roman" w:hAnsi="Book Antiqua"/>
          <w:lang w:eastAsia="pl-PL"/>
        </w:rPr>
        <w:t xml:space="preserve">By suppressing </w:t>
      </w:r>
      <w:r w:rsidR="00EC27A7" w:rsidRPr="009B04A5">
        <w:rPr>
          <w:rFonts w:ascii="Book Antiqua" w:eastAsia="Times New Roman" w:hAnsi="Book Antiqua"/>
          <w:i/>
          <w:lang w:eastAsia="pl-PL"/>
        </w:rPr>
        <w:t>TNFAIP3</w:t>
      </w:r>
      <w:r w:rsidR="00EC27A7" w:rsidRPr="009B04A5">
        <w:rPr>
          <w:rFonts w:ascii="Book Antiqua" w:eastAsia="Times New Roman" w:hAnsi="Book Antiqua"/>
          <w:lang w:eastAsia="pl-PL"/>
        </w:rPr>
        <w:t xml:space="preserve">, the </w:t>
      </w:r>
      <w:r w:rsidR="00EC27A7" w:rsidRPr="009B04A5">
        <w:rPr>
          <w:rFonts w:ascii="Book Antiqua" w:eastAsia="Times New Roman" w:hAnsi="Book Antiqua"/>
          <w:i/>
          <w:lang w:eastAsia="pl-PL"/>
        </w:rPr>
        <w:t>NF-κ</w:t>
      </w:r>
      <w:r w:rsidR="00871A06" w:rsidRPr="009B04A5">
        <w:rPr>
          <w:rFonts w:ascii="Book Antiqua" w:eastAsia="Times New Roman" w:hAnsi="Book Antiqua"/>
          <w:i/>
          <w:lang w:eastAsia="pl-PL"/>
        </w:rPr>
        <w:t>B</w:t>
      </w:r>
      <w:r w:rsidR="00871A06" w:rsidRPr="009B04A5">
        <w:rPr>
          <w:rFonts w:ascii="Book Antiqua" w:eastAsia="Times New Roman" w:hAnsi="Book Antiqua"/>
          <w:lang w:eastAsia="pl-PL"/>
        </w:rPr>
        <w:t xml:space="preserve">-mediated increase </w:t>
      </w:r>
      <w:r w:rsidR="00AE37C0" w:rsidRPr="009B04A5">
        <w:rPr>
          <w:rFonts w:ascii="Book Antiqua" w:eastAsia="Times New Roman" w:hAnsi="Book Antiqua"/>
          <w:lang w:eastAsia="pl-PL"/>
        </w:rPr>
        <w:t>in</w:t>
      </w:r>
      <w:r w:rsidR="00871A06" w:rsidRPr="009B04A5">
        <w:rPr>
          <w:rFonts w:ascii="Book Antiqua" w:eastAsia="Times New Roman" w:hAnsi="Book Antiqua"/>
          <w:lang w:eastAsia="pl-PL"/>
        </w:rPr>
        <w:t xml:space="preserve"> B-cell proliferation and </w:t>
      </w:r>
      <w:r w:rsidR="00E74C3E" w:rsidRPr="009B04A5">
        <w:rPr>
          <w:rFonts w:ascii="Book Antiqua" w:hAnsi="Book Antiqua"/>
        </w:rPr>
        <w:t>dysregulation of glucose metabolism</w:t>
      </w:r>
      <w:r w:rsidR="00AE37C0" w:rsidRPr="009B04A5">
        <w:rPr>
          <w:rFonts w:ascii="Book Antiqua" w:hAnsi="Book Antiqua"/>
        </w:rPr>
        <w:t xml:space="preserve"> result in a</w:t>
      </w:r>
      <w:r w:rsidR="005C344F" w:rsidRPr="009B04A5">
        <w:rPr>
          <w:rFonts w:ascii="Book Antiqua" w:eastAsia="Times New Roman" w:hAnsi="Book Antiqua"/>
          <w:lang w:eastAsia="pl-PL"/>
        </w:rPr>
        <w:t xml:space="preserve"> reduction </w:t>
      </w:r>
      <w:r w:rsidR="00AE37C0" w:rsidRPr="009B04A5">
        <w:rPr>
          <w:rFonts w:ascii="Book Antiqua" w:eastAsia="Times New Roman" w:hAnsi="Book Antiqua"/>
          <w:lang w:eastAsia="pl-PL"/>
        </w:rPr>
        <w:t>in</w:t>
      </w:r>
      <w:r w:rsidR="005C344F" w:rsidRPr="009B04A5">
        <w:rPr>
          <w:rFonts w:ascii="Book Antiqua" w:eastAsia="Times New Roman" w:hAnsi="Book Antiqua"/>
          <w:lang w:eastAsia="pl-PL"/>
        </w:rPr>
        <w:t xml:space="preserve"> apoptosis in T-ALL</w:t>
      </w:r>
      <w:r w:rsidR="000A6432" w:rsidRPr="009B04A5">
        <w:rPr>
          <w:rFonts w:ascii="Book Antiqua" w:eastAsia="Times New Roman" w:hAnsi="Book Antiqua"/>
          <w:vertAlign w:val="superscript"/>
          <w:lang w:eastAsia="pl-PL"/>
        </w:rPr>
        <w:t>[75]</w:t>
      </w:r>
      <w:r w:rsidR="00714BBD" w:rsidRPr="009B04A5">
        <w:rPr>
          <w:rFonts w:ascii="Book Antiqua" w:eastAsia="Times New Roman" w:hAnsi="Book Antiqua"/>
          <w:lang w:eastAsia="pl-PL"/>
        </w:rPr>
        <w:t>.</w:t>
      </w:r>
      <w:r w:rsidR="00714BBD" w:rsidRPr="009B04A5">
        <w:rPr>
          <w:rFonts w:ascii="Book Antiqua" w:hAnsi="Book Antiqua"/>
        </w:rPr>
        <w:t xml:space="preserve"> </w:t>
      </w:r>
      <w:r w:rsidR="002520BB" w:rsidRPr="009B04A5">
        <w:rPr>
          <w:rFonts w:ascii="Book Antiqua" w:hAnsi="Book Antiqua"/>
        </w:rPr>
        <w:t>M</w:t>
      </w:r>
      <w:r w:rsidR="00714BBD" w:rsidRPr="009B04A5">
        <w:rPr>
          <w:rFonts w:ascii="Book Antiqua" w:hAnsi="Book Antiqua"/>
        </w:rPr>
        <w:t>iR-125b</w:t>
      </w:r>
      <w:r w:rsidR="00AE37C0" w:rsidRPr="009B04A5">
        <w:rPr>
          <w:rFonts w:ascii="Book Antiqua" w:hAnsi="Book Antiqua"/>
        </w:rPr>
        <w:t xml:space="preserve"> also</w:t>
      </w:r>
      <w:r w:rsidR="00714BBD" w:rsidRPr="009B04A5">
        <w:rPr>
          <w:rFonts w:ascii="Book Antiqua" w:hAnsi="Book Antiqua"/>
        </w:rPr>
        <w:t xml:space="preserve"> blocks differentiation in myeloid progenitor cells with the t(2;11)(p21;q23) translocation</w:t>
      </w:r>
      <w:r w:rsidR="000A6432" w:rsidRPr="009B04A5">
        <w:rPr>
          <w:rFonts w:ascii="Book Antiqua" w:hAnsi="Book Antiqua"/>
          <w:vertAlign w:val="superscript"/>
        </w:rPr>
        <w:t>[76]</w:t>
      </w:r>
      <w:r w:rsidR="00722B17" w:rsidRPr="009B04A5">
        <w:rPr>
          <w:rFonts w:ascii="Book Antiqua" w:hAnsi="Book Antiqua"/>
        </w:rPr>
        <w:t>. In AML</w:t>
      </w:r>
      <w:r w:rsidR="00AE37C0" w:rsidRPr="009B04A5">
        <w:rPr>
          <w:rFonts w:ascii="Book Antiqua" w:hAnsi="Book Antiqua"/>
        </w:rPr>
        <w:t>, the</w:t>
      </w:r>
      <w:r w:rsidR="00722B17" w:rsidRPr="009B04A5">
        <w:rPr>
          <w:rFonts w:ascii="Book Antiqua" w:hAnsi="Book Antiqua"/>
        </w:rPr>
        <w:t xml:space="preserve"> induction of leukemogenesis can be mediated by</w:t>
      </w:r>
      <w:r w:rsidR="00CF29D7" w:rsidRPr="009B04A5">
        <w:rPr>
          <w:rFonts w:ascii="Book Antiqua" w:hAnsi="Book Antiqua"/>
        </w:rPr>
        <w:t>:</w:t>
      </w:r>
      <w:r w:rsidR="00722B17" w:rsidRPr="009B04A5">
        <w:rPr>
          <w:rFonts w:ascii="Book Antiqua" w:hAnsi="Book Antiqua"/>
        </w:rPr>
        <w:t xml:space="preserve"> (1) </w:t>
      </w:r>
      <w:r w:rsidR="00AE37C0" w:rsidRPr="009B04A5">
        <w:rPr>
          <w:rFonts w:ascii="Book Antiqua" w:hAnsi="Book Antiqua"/>
        </w:rPr>
        <w:t>pathways</w:t>
      </w:r>
      <w:r w:rsidR="00722B17" w:rsidRPr="009B04A5">
        <w:rPr>
          <w:rFonts w:ascii="Book Antiqua" w:hAnsi="Book Antiqua"/>
        </w:rPr>
        <w:t xml:space="preserve"> including </w:t>
      </w:r>
      <w:r w:rsidR="00722B17" w:rsidRPr="009B04A5">
        <w:rPr>
          <w:rFonts w:ascii="Book Antiqua" w:hAnsi="Book Antiqua"/>
          <w:i/>
        </w:rPr>
        <w:t>CDX2</w:t>
      </w:r>
      <w:r w:rsidR="00722B17" w:rsidRPr="009B04A5">
        <w:rPr>
          <w:rFonts w:ascii="Book Antiqua" w:hAnsi="Book Antiqua"/>
        </w:rPr>
        <w:t xml:space="preserve">, miR-125b, and </w:t>
      </w:r>
      <w:r w:rsidR="007E04C8" w:rsidRPr="009B04A5">
        <w:rPr>
          <w:rFonts w:ascii="Book Antiqua" w:hAnsi="Book Antiqua"/>
          <w:i/>
        </w:rPr>
        <w:t xml:space="preserve">CBFβ </w:t>
      </w:r>
      <w:r w:rsidR="007E04C8" w:rsidRPr="009B04A5">
        <w:rPr>
          <w:rFonts w:ascii="Book Antiqua" w:hAnsi="Book Antiqua"/>
        </w:rPr>
        <w:t xml:space="preserve">(high </w:t>
      </w:r>
      <w:r w:rsidR="00AE37C0" w:rsidRPr="009B04A5">
        <w:rPr>
          <w:rFonts w:ascii="Book Antiqua" w:hAnsi="Book Antiqua"/>
        </w:rPr>
        <w:t>levels</w:t>
      </w:r>
      <w:r w:rsidR="007E04C8" w:rsidRPr="009B04A5">
        <w:rPr>
          <w:rFonts w:ascii="Book Antiqua" w:hAnsi="Book Antiqua"/>
        </w:rPr>
        <w:t xml:space="preserve"> of </w:t>
      </w:r>
      <w:r w:rsidR="007E04C8" w:rsidRPr="009B04A5">
        <w:rPr>
          <w:rFonts w:ascii="Book Antiqua" w:hAnsi="Book Antiqua"/>
          <w:i/>
        </w:rPr>
        <w:t>CDX2</w:t>
      </w:r>
      <w:r w:rsidR="007E04C8" w:rsidRPr="009B04A5">
        <w:rPr>
          <w:rFonts w:ascii="Book Antiqua" w:hAnsi="Book Antiqua"/>
        </w:rPr>
        <w:t xml:space="preserve"> </w:t>
      </w:r>
      <w:r w:rsidR="00AE37C0" w:rsidRPr="009B04A5">
        <w:rPr>
          <w:rFonts w:ascii="Book Antiqua" w:hAnsi="Book Antiqua"/>
        </w:rPr>
        <w:t>activate</w:t>
      </w:r>
      <w:r w:rsidR="007E04C8" w:rsidRPr="009B04A5">
        <w:rPr>
          <w:rFonts w:ascii="Book Antiqua" w:hAnsi="Book Antiqua"/>
        </w:rPr>
        <w:t xml:space="preserve"> miR-125b transcription, which in turn inhibits </w:t>
      </w:r>
      <w:r w:rsidR="007E04C8" w:rsidRPr="009B04A5">
        <w:rPr>
          <w:rFonts w:ascii="Book Antiqua" w:hAnsi="Book Antiqua"/>
          <w:i/>
        </w:rPr>
        <w:t>CBFβ</w:t>
      </w:r>
      <w:r w:rsidR="007E04C8" w:rsidRPr="009B04A5">
        <w:rPr>
          <w:rFonts w:ascii="Book Antiqua" w:hAnsi="Book Antiqua"/>
        </w:rPr>
        <w:t xml:space="preserve"> translation)</w:t>
      </w:r>
      <w:r w:rsidR="000A6432" w:rsidRPr="009B04A5">
        <w:rPr>
          <w:rFonts w:ascii="Book Antiqua" w:hAnsi="Book Antiqua"/>
          <w:vertAlign w:val="superscript"/>
        </w:rPr>
        <w:t>[77]</w:t>
      </w:r>
      <w:r w:rsidR="006A47F8" w:rsidRPr="009B04A5">
        <w:rPr>
          <w:rFonts w:ascii="Book Antiqua" w:hAnsi="Book Antiqua"/>
        </w:rPr>
        <w:t>;</w:t>
      </w:r>
      <w:r w:rsidR="00D67B9B" w:rsidRPr="009B04A5">
        <w:rPr>
          <w:rFonts w:ascii="Book Antiqua" w:hAnsi="Book Antiqua"/>
        </w:rPr>
        <w:t xml:space="preserve"> (</w:t>
      </w:r>
      <w:r w:rsidR="006A47F8" w:rsidRPr="009B04A5">
        <w:rPr>
          <w:rFonts w:ascii="Book Antiqua" w:hAnsi="Book Antiqua"/>
        </w:rPr>
        <w:t>2</w:t>
      </w:r>
      <w:r w:rsidR="00D67B9B" w:rsidRPr="009B04A5">
        <w:rPr>
          <w:rFonts w:ascii="Book Antiqua" w:hAnsi="Book Antiqua"/>
        </w:rPr>
        <w:t xml:space="preserve">) targeting </w:t>
      </w:r>
      <w:r w:rsidR="00D67B9B" w:rsidRPr="009B04A5">
        <w:rPr>
          <w:rFonts w:ascii="Book Antiqua" w:eastAsia="Times New Roman" w:hAnsi="Book Antiqua"/>
          <w:i/>
          <w:lang w:eastAsia="pl-PL"/>
        </w:rPr>
        <w:t xml:space="preserve">STAT3 </w:t>
      </w:r>
      <w:r w:rsidR="00CF5028" w:rsidRPr="009B04A5">
        <w:rPr>
          <w:rFonts w:ascii="Book Antiqua" w:eastAsia="Times New Roman" w:hAnsi="Book Antiqua"/>
          <w:lang w:eastAsia="pl-PL"/>
        </w:rPr>
        <w:t xml:space="preserve">transcription factors (also </w:t>
      </w:r>
      <w:r w:rsidR="00CF5028" w:rsidRPr="009B04A5">
        <w:rPr>
          <w:rFonts w:ascii="Book Antiqua" w:eastAsia="Times New Roman" w:hAnsi="Book Antiqua"/>
          <w:i/>
          <w:lang w:eastAsia="pl-PL"/>
        </w:rPr>
        <w:t>JUND</w:t>
      </w:r>
      <w:r w:rsidR="00CF5028" w:rsidRPr="009B04A5">
        <w:rPr>
          <w:rFonts w:ascii="Book Antiqua" w:eastAsia="Times New Roman" w:hAnsi="Book Antiqua"/>
          <w:lang w:eastAsia="pl-PL"/>
        </w:rPr>
        <w:t xml:space="preserve"> and </w:t>
      </w:r>
      <w:r w:rsidR="00CF5028" w:rsidRPr="009B04A5">
        <w:rPr>
          <w:rFonts w:ascii="Book Antiqua" w:eastAsia="Times New Roman" w:hAnsi="Book Antiqua"/>
          <w:i/>
          <w:lang w:eastAsia="pl-PL"/>
        </w:rPr>
        <w:t>BAK1</w:t>
      </w:r>
      <w:r w:rsidR="00CF5028" w:rsidRPr="009B04A5">
        <w:rPr>
          <w:rFonts w:ascii="Book Antiqua" w:eastAsia="Times New Roman" w:hAnsi="Book Antiqua"/>
          <w:lang w:eastAsia="pl-PL"/>
        </w:rPr>
        <w:t>)</w:t>
      </w:r>
      <w:r w:rsidR="000A6432" w:rsidRPr="009B04A5">
        <w:rPr>
          <w:rFonts w:ascii="Book Antiqua" w:eastAsia="Times New Roman" w:hAnsi="Book Antiqua"/>
          <w:vertAlign w:val="superscript"/>
          <w:lang w:eastAsia="pl-PL"/>
        </w:rPr>
        <w:t>[78]</w:t>
      </w:r>
      <w:r w:rsidR="006A47F8" w:rsidRPr="009B04A5">
        <w:rPr>
          <w:rFonts w:ascii="Book Antiqua" w:eastAsia="Times New Roman" w:hAnsi="Book Antiqua"/>
          <w:lang w:eastAsia="pl-PL"/>
        </w:rPr>
        <w:t>;</w:t>
      </w:r>
      <w:r w:rsidR="00310D98" w:rsidRPr="009B04A5">
        <w:rPr>
          <w:rFonts w:ascii="Book Antiqua" w:eastAsia="Times New Roman" w:hAnsi="Book Antiqua"/>
          <w:lang w:eastAsia="pl-PL"/>
        </w:rPr>
        <w:t xml:space="preserve"> and (3) suppressing </w:t>
      </w:r>
      <w:r w:rsidR="00310D98" w:rsidRPr="009B04A5">
        <w:rPr>
          <w:rFonts w:ascii="Book Antiqua" w:eastAsia="Times New Roman" w:hAnsi="Book Antiqua"/>
          <w:i/>
          <w:lang w:eastAsia="pl-PL"/>
        </w:rPr>
        <w:lastRenderedPageBreak/>
        <w:t>ABTB</w:t>
      </w:r>
      <w:r w:rsidR="00310D98" w:rsidRPr="009B04A5">
        <w:rPr>
          <w:rFonts w:ascii="Book Antiqua" w:eastAsia="Times New Roman" w:hAnsi="Book Antiqua"/>
          <w:lang w:eastAsia="pl-PL"/>
        </w:rPr>
        <w:t xml:space="preserve"> </w:t>
      </w:r>
      <w:r w:rsidR="00AE37C0" w:rsidRPr="009B04A5">
        <w:rPr>
          <w:rFonts w:ascii="Book Antiqua" w:eastAsia="Times New Roman" w:hAnsi="Book Antiqua"/>
          <w:lang w:eastAsia="pl-PL"/>
        </w:rPr>
        <w:t xml:space="preserve">antiproliferative factors and deregulating </w:t>
      </w:r>
      <w:r w:rsidR="00310D98" w:rsidRPr="009B04A5">
        <w:rPr>
          <w:rFonts w:ascii="Book Antiqua" w:eastAsia="Times New Roman" w:hAnsi="Book Antiqua"/>
          <w:lang w:eastAsia="pl-PL"/>
        </w:rPr>
        <w:t>genes involved in the p53 pathway</w:t>
      </w:r>
      <w:r w:rsidR="00AE37C0" w:rsidRPr="009B04A5">
        <w:rPr>
          <w:rFonts w:ascii="Book Antiqua" w:eastAsia="Times New Roman" w:hAnsi="Book Antiqua"/>
          <w:lang w:eastAsia="pl-PL"/>
        </w:rPr>
        <w:t>,</w:t>
      </w:r>
      <w:r w:rsidR="00310D98" w:rsidRPr="009B04A5">
        <w:rPr>
          <w:rFonts w:ascii="Book Antiqua" w:eastAsia="Times New Roman" w:hAnsi="Book Antiqua"/>
          <w:lang w:eastAsia="pl-PL"/>
        </w:rPr>
        <w:t xml:space="preserve"> including </w:t>
      </w:r>
      <w:r w:rsidR="00310D98" w:rsidRPr="009B04A5">
        <w:rPr>
          <w:rFonts w:ascii="Book Antiqua" w:eastAsia="Times New Roman" w:hAnsi="Book Antiqua"/>
          <w:i/>
          <w:lang w:eastAsia="pl-PL"/>
        </w:rPr>
        <w:t>BAK1</w:t>
      </w:r>
      <w:r w:rsidR="00310D98" w:rsidRPr="009B04A5">
        <w:rPr>
          <w:rFonts w:ascii="Book Antiqua" w:eastAsia="Times New Roman" w:hAnsi="Book Antiqua"/>
          <w:lang w:eastAsia="pl-PL"/>
        </w:rPr>
        <w:t xml:space="preserve"> and </w:t>
      </w:r>
      <w:r w:rsidR="00310D98" w:rsidRPr="009B04A5">
        <w:rPr>
          <w:rFonts w:ascii="Book Antiqua" w:eastAsia="Times New Roman" w:hAnsi="Book Antiqua"/>
          <w:i/>
          <w:lang w:eastAsia="pl-PL"/>
        </w:rPr>
        <w:t>TP53INP1</w:t>
      </w:r>
      <w:r w:rsidR="000A6432" w:rsidRPr="009B04A5">
        <w:rPr>
          <w:rFonts w:ascii="Book Antiqua" w:eastAsia="Times New Roman" w:hAnsi="Book Antiqua"/>
          <w:iCs/>
          <w:vertAlign w:val="superscript"/>
          <w:lang w:eastAsia="pl-PL"/>
        </w:rPr>
        <w:t>[79]</w:t>
      </w:r>
      <w:r w:rsidR="00802C02" w:rsidRPr="009B04A5">
        <w:rPr>
          <w:rFonts w:ascii="Book Antiqua" w:hAnsi="Book Antiqua"/>
        </w:rPr>
        <w:t>.</w:t>
      </w:r>
    </w:p>
    <w:p w:rsidR="00E40751" w:rsidRPr="009B04A5" w:rsidRDefault="00E40751" w:rsidP="00C709AE">
      <w:pPr>
        <w:adjustRightInd w:val="0"/>
        <w:snapToGrid w:val="0"/>
        <w:spacing w:line="360" w:lineRule="auto"/>
        <w:ind w:firstLineChars="100" w:firstLine="240"/>
        <w:rPr>
          <w:rFonts w:ascii="Book Antiqua" w:hAnsi="Book Antiqua"/>
        </w:rPr>
      </w:pPr>
      <w:r w:rsidRPr="009B04A5">
        <w:rPr>
          <w:rFonts w:ascii="Book Antiqua" w:hAnsi="Book Antiqua"/>
        </w:rPr>
        <w:t>One of the potential miRs related to important regulators in myeloid development is miR-223, a known regulator of myelopoiesis. Experimental works have shown that its expression increases with the degree of cell differentiation</w:t>
      </w:r>
      <w:r w:rsidR="000A6432" w:rsidRPr="009B04A5">
        <w:rPr>
          <w:rFonts w:ascii="Book Antiqua" w:hAnsi="Book Antiqua"/>
          <w:vertAlign w:val="superscript"/>
        </w:rPr>
        <w:t>[80]</w:t>
      </w:r>
      <w:r w:rsidR="00F828CA" w:rsidRPr="009B04A5">
        <w:rPr>
          <w:rFonts w:ascii="Book Antiqua" w:hAnsi="Book Antiqua"/>
        </w:rPr>
        <w:t xml:space="preserve">. The high relative expression of miR-223 in AML1 samples </w:t>
      </w:r>
      <w:r w:rsidR="00AE37C0" w:rsidRPr="009B04A5">
        <w:rPr>
          <w:rFonts w:ascii="Book Antiqua" w:hAnsi="Book Antiqua"/>
        </w:rPr>
        <w:t>was</w:t>
      </w:r>
      <w:r w:rsidR="00F828CA" w:rsidRPr="009B04A5">
        <w:rPr>
          <w:rFonts w:ascii="Book Antiqua" w:hAnsi="Book Antiqua"/>
        </w:rPr>
        <w:t xml:space="preserve"> found by Ramsingh </w:t>
      </w:r>
      <w:r w:rsidR="00783C14" w:rsidRPr="009B04A5">
        <w:rPr>
          <w:rFonts w:ascii="Book Antiqua" w:hAnsi="Book Antiqua"/>
          <w:i/>
        </w:rPr>
        <w:t>et al</w:t>
      </w:r>
      <w:r w:rsidR="000A6432" w:rsidRPr="009B04A5">
        <w:rPr>
          <w:rFonts w:ascii="Book Antiqua" w:hAnsi="Book Antiqua"/>
          <w:vertAlign w:val="superscript"/>
        </w:rPr>
        <w:t>[81]</w:t>
      </w:r>
      <w:r w:rsidR="00F828CA" w:rsidRPr="009B04A5">
        <w:rPr>
          <w:rFonts w:ascii="Book Antiqua" w:hAnsi="Book Antiqua"/>
        </w:rPr>
        <w:t xml:space="preserve">, but overexpression of miR-223 </w:t>
      </w:r>
      <w:r w:rsidR="00AE37C0" w:rsidRPr="009B04A5">
        <w:rPr>
          <w:rFonts w:ascii="Book Antiqua" w:hAnsi="Book Antiqua"/>
        </w:rPr>
        <w:t>was not a</w:t>
      </w:r>
      <w:r w:rsidR="00F828CA" w:rsidRPr="009B04A5">
        <w:rPr>
          <w:rFonts w:ascii="Book Antiqua" w:hAnsi="Book Antiqua"/>
        </w:rPr>
        <w:t xml:space="preserve"> common feature of leukemic cells. Danen-van Oorschot </w:t>
      </w:r>
      <w:r w:rsidR="00783C14" w:rsidRPr="009B04A5">
        <w:rPr>
          <w:rFonts w:ascii="Book Antiqua" w:hAnsi="Book Antiqua"/>
          <w:i/>
        </w:rPr>
        <w:t>et al</w:t>
      </w:r>
      <w:r w:rsidR="000A6432" w:rsidRPr="009B04A5">
        <w:rPr>
          <w:rFonts w:ascii="Book Antiqua" w:hAnsi="Book Antiqua"/>
          <w:vertAlign w:val="superscript"/>
        </w:rPr>
        <w:t>[82]</w:t>
      </w:r>
      <w:r w:rsidRPr="009B04A5">
        <w:rPr>
          <w:rFonts w:ascii="Book Antiqua" w:hAnsi="Book Antiqua"/>
        </w:rPr>
        <w:t xml:space="preserve"> </w:t>
      </w:r>
      <w:r w:rsidR="00EE6C9D" w:rsidRPr="009B04A5">
        <w:rPr>
          <w:rFonts w:ascii="Book Antiqua" w:hAnsi="Book Antiqua"/>
        </w:rPr>
        <w:t xml:space="preserve">observed </w:t>
      </w:r>
      <w:r w:rsidRPr="009B04A5">
        <w:rPr>
          <w:rFonts w:ascii="Book Antiqua" w:hAnsi="Book Antiqua"/>
        </w:rPr>
        <w:t>levels of miR-29a, miR-155, miR-196a</w:t>
      </w:r>
      <w:r w:rsidR="00CF29D7" w:rsidRPr="009B04A5">
        <w:rPr>
          <w:rFonts w:ascii="Book Antiqua" w:hAnsi="Book Antiqua"/>
        </w:rPr>
        <w:t>,</w:t>
      </w:r>
      <w:r w:rsidRPr="009B04A5">
        <w:rPr>
          <w:rFonts w:ascii="Book Antiqua" w:hAnsi="Book Antiqua"/>
        </w:rPr>
        <w:t xml:space="preserve"> and miR-196b in clinically relevant cytogenetic and molecular subgroups of 82 pediatric AML samples and observed higher expression of miR-196a/b in leukemic cells with </w:t>
      </w:r>
      <w:r w:rsidRPr="009B04A5">
        <w:rPr>
          <w:rFonts w:ascii="Book Antiqua" w:hAnsi="Book Antiqua"/>
          <w:i/>
        </w:rPr>
        <w:t>MLL</w:t>
      </w:r>
      <w:r w:rsidRPr="009B04A5">
        <w:rPr>
          <w:rFonts w:ascii="Book Antiqua" w:hAnsi="Book Antiqua"/>
        </w:rPr>
        <w:t xml:space="preserve"> gene rearrangements, </w:t>
      </w:r>
      <w:r w:rsidRPr="009B04A5">
        <w:rPr>
          <w:rFonts w:ascii="Book Antiqua" w:hAnsi="Book Antiqua"/>
          <w:i/>
        </w:rPr>
        <w:t>NPM1</w:t>
      </w:r>
      <w:r w:rsidRPr="009B04A5">
        <w:rPr>
          <w:rFonts w:ascii="Book Antiqua" w:hAnsi="Book Antiqua"/>
        </w:rPr>
        <w:t xml:space="preserve"> mutations,</w:t>
      </w:r>
      <w:r w:rsidR="00EE6C9D" w:rsidRPr="009B04A5">
        <w:rPr>
          <w:rFonts w:ascii="Book Antiqua" w:hAnsi="Book Antiqua"/>
        </w:rPr>
        <w:t xml:space="preserve"> and</w:t>
      </w:r>
      <w:r w:rsidRPr="009B04A5">
        <w:rPr>
          <w:rFonts w:ascii="Book Antiqua" w:hAnsi="Book Antiqua"/>
        </w:rPr>
        <w:t xml:space="preserve"> </w:t>
      </w:r>
      <w:r w:rsidRPr="009B04A5">
        <w:rPr>
          <w:rFonts w:ascii="Book Antiqua" w:hAnsi="Book Antiqua"/>
          <w:i/>
        </w:rPr>
        <w:t>FLT3-ITD</w:t>
      </w:r>
      <w:r w:rsidRPr="009B04A5">
        <w:rPr>
          <w:rFonts w:ascii="Book Antiqua" w:hAnsi="Book Antiqua"/>
        </w:rPr>
        <w:t xml:space="preserve"> in cytogenetically normal AML. Downregulation of miR-196a/b</w:t>
      </w:r>
      <w:r w:rsidR="00AE37C0" w:rsidRPr="009B04A5">
        <w:rPr>
          <w:rFonts w:ascii="Book Antiqua" w:hAnsi="Book Antiqua"/>
        </w:rPr>
        <w:t xml:space="preserve"> expression</w:t>
      </w:r>
      <w:r w:rsidRPr="009B04A5">
        <w:rPr>
          <w:rFonts w:ascii="Book Antiqua" w:hAnsi="Book Antiqua"/>
        </w:rPr>
        <w:t xml:space="preserve"> was observed in </w:t>
      </w:r>
      <w:r w:rsidRPr="009B04A5">
        <w:rPr>
          <w:rFonts w:ascii="Book Antiqua" w:hAnsi="Book Antiqua"/>
          <w:i/>
        </w:rPr>
        <w:t>CEBPA</w:t>
      </w:r>
      <w:r w:rsidRPr="009B04A5">
        <w:rPr>
          <w:rFonts w:ascii="Book Antiqua" w:hAnsi="Book Antiqua"/>
        </w:rPr>
        <w:t xml:space="preserve"> mutated cases. Differentiated expression of these miRs was linked </w:t>
      </w:r>
      <w:r w:rsidR="00EE6C9D" w:rsidRPr="009B04A5">
        <w:rPr>
          <w:rFonts w:ascii="Book Antiqua" w:hAnsi="Book Antiqua"/>
        </w:rPr>
        <w:t xml:space="preserve">to </w:t>
      </w:r>
      <w:r w:rsidRPr="009B04A5">
        <w:rPr>
          <w:rFonts w:ascii="Book Antiqua" w:hAnsi="Book Antiqua"/>
          <w:i/>
        </w:rPr>
        <w:t>HOXA</w:t>
      </w:r>
      <w:r w:rsidRPr="009B04A5">
        <w:rPr>
          <w:rFonts w:ascii="Book Antiqua" w:hAnsi="Book Antiqua"/>
        </w:rPr>
        <w:t xml:space="preserve"> and </w:t>
      </w:r>
      <w:r w:rsidRPr="009B04A5">
        <w:rPr>
          <w:rFonts w:ascii="Book Antiqua" w:hAnsi="Book Antiqua"/>
          <w:i/>
        </w:rPr>
        <w:t>HOXB</w:t>
      </w:r>
      <w:r w:rsidRPr="009B04A5">
        <w:rPr>
          <w:rFonts w:ascii="Book Antiqua" w:hAnsi="Book Antiqua"/>
        </w:rPr>
        <w:t xml:space="preserve"> cluster genes involved in myeloid transformation. In </w:t>
      </w:r>
      <w:r w:rsidRPr="009B04A5">
        <w:rPr>
          <w:rFonts w:ascii="Book Antiqua" w:hAnsi="Book Antiqua"/>
          <w:i/>
        </w:rPr>
        <w:t>FLT3</w:t>
      </w:r>
      <w:r w:rsidRPr="009B04A5">
        <w:rPr>
          <w:rFonts w:ascii="Book Antiqua" w:hAnsi="Book Antiqua"/>
        </w:rPr>
        <w:t>-</w:t>
      </w:r>
      <w:r w:rsidRPr="009B04A5">
        <w:rPr>
          <w:rFonts w:ascii="Book Antiqua" w:hAnsi="Book Antiqua"/>
          <w:i/>
        </w:rPr>
        <w:t>ITD</w:t>
      </w:r>
      <w:r w:rsidRPr="009B04A5">
        <w:rPr>
          <w:rFonts w:ascii="Book Antiqua" w:hAnsi="Book Antiqua"/>
        </w:rPr>
        <w:t xml:space="preserve"> and </w:t>
      </w:r>
      <w:r w:rsidRPr="009B04A5">
        <w:rPr>
          <w:rFonts w:ascii="Book Antiqua" w:hAnsi="Book Antiqua"/>
          <w:i/>
        </w:rPr>
        <w:t>NPM1</w:t>
      </w:r>
      <w:r w:rsidRPr="009B04A5">
        <w:rPr>
          <w:rFonts w:ascii="Book Antiqua" w:hAnsi="Book Antiqua"/>
        </w:rPr>
        <w:t>-mutated cases</w:t>
      </w:r>
      <w:r w:rsidR="00AE37C0" w:rsidRPr="009B04A5">
        <w:rPr>
          <w:rFonts w:ascii="Book Antiqua" w:hAnsi="Book Antiqua"/>
        </w:rPr>
        <w:t>,</w:t>
      </w:r>
      <w:r w:rsidRPr="009B04A5">
        <w:rPr>
          <w:rFonts w:ascii="Book Antiqua" w:hAnsi="Book Antiqua"/>
        </w:rPr>
        <w:t xml:space="preserve"> miR-155 </w:t>
      </w:r>
      <w:r w:rsidR="00AE37C0" w:rsidRPr="009B04A5">
        <w:rPr>
          <w:rFonts w:ascii="Book Antiqua" w:hAnsi="Book Antiqua"/>
        </w:rPr>
        <w:t>was</w:t>
      </w:r>
      <w:r w:rsidRPr="009B04A5">
        <w:rPr>
          <w:rFonts w:ascii="Book Antiqua" w:hAnsi="Book Antiqua"/>
        </w:rPr>
        <w:t xml:space="preserve"> overexpressed</w:t>
      </w:r>
      <w:r w:rsidR="00AE37C0" w:rsidRPr="009B04A5">
        <w:rPr>
          <w:rFonts w:ascii="Book Antiqua" w:hAnsi="Book Antiqua"/>
        </w:rPr>
        <w:t>,</w:t>
      </w:r>
      <w:r w:rsidRPr="009B04A5">
        <w:rPr>
          <w:rFonts w:ascii="Book Antiqua" w:hAnsi="Book Antiqua"/>
        </w:rPr>
        <w:t xml:space="preserve"> and lower expression of miR-29a in </w:t>
      </w:r>
      <w:r w:rsidRPr="009B04A5">
        <w:rPr>
          <w:rFonts w:ascii="Book Antiqua" w:hAnsi="Book Antiqua"/>
          <w:i/>
        </w:rPr>
        <w:t>MLL</w:t>
      </w:r>
      <w:r w:rsidRPr="009B04A5">
        <w:rPr>
          <w:rFonts w:ascii="Book Antiqua" w:hAnsi="Book Antiqua"/>
        </w:rPr>
        <w:t>-rearranged pediatric AML was found</w:t>
      </w:r>
      <w:r w:rsidR="000A6432" w:rsidRPr="009B04A5">
        <w:rPr>
          <w:rFonts w:ascii="Book Antiqua" w:hAnsi="Book Antiqua"/>
          <w:vertAlign w:val="superscript"/>
        </w:rPr>
        <w:t>[82]</w:t>
      </w:r>
      <w:r w:rsidR="00F828CA" w:rsidRPr="009B04A5">
        <w:rPr>
          <w:rFonts w:ascii="Book Antiqua" w:hAnsi="Book Antiqua"/>
        </w:rPr>
        <w:t xml:space="preserve">. A broad miRNA </w:t>
      </w:r>
      <w:r w:rsidR="00AE37C0" w:rsidRPr="009B04A5">
        <w:rPr>
          <w:rFonts w:ascii="Book Antiqua" w:hAnsi="Book Antiqua"/>
        </w:rPr>
        <w:t>profiling</w:t>
      </w:r>
      <w:r w:rsidR="00F828CA" w:rsidRPr="009B04A5">
        <w:rPr>
          <w:rFonts w:ascii="Book Antiqua" w:hAnsi="Book Antiqua"/>
        </w:rPr>
        <w:t xml:space="preserve"> experiment of cytogenetically distinct childhood AML cases</w:t>
      </w:r>
      <w:r w:rsidR="00AE37C0" w:rsidRPr="009B04A5">
        <w:rPr>
          <w:rFonts w:ascii="Book Antiqua" w:hAnsi="Book Antiqua"/>
        </w:rPr>
        <w:t xml:space="preserve"> was</w:t>
      </w:r>
      <w:r w:rsidR="00F828CA" w:rsidRPr="009B04A5">
        <w:rPr>
          <w:rFonts w:ascii="Book Antiqua" w:hAnsi="Book Antiqua"/>
        </w:rPr>
        <w:t xml:space="preserve"> conducted</w:t>
      </w:r>
      <w:r w:rsidR="00AE37C0" w:rsidRPr="009B04A5">
        <w:rPr>
          <w:rFonts w:ascii="Book Antiqua" w:hAnsi="Book Antiqua"/>
        </w:rPr>
        <w:t xml:space="preserve"> by</w:t>
      </w:r>
      <w:r w:rsidR="00F828CA" w:rsidRPr="009B04A5">
        <w:rPr>
          <w:rFonts w:ascii="Book Antiqua" w:hAnsi="Book Antiqua"/>
        </w:rPr>
        <w:t xml:space="preserve"> Daschkey </w:t>
      </w:r>
      <w:r w:rsidR="00783C14" w:rsidRPr="009B04A5">
        <w:rPr>
          <w:rFonts w:ascii="Book Antiqua" w:hAnsi="Book Antiqua"/>
          <w:i/>
        </w:rPr>
        <w:t>et al</w:t>
      </w:r>
      <w:r w:rsidR="000A6432" w:rsidRPr="009B04A5">
        <w:rPr>
          <w:rFonts w:ascii="Book Antiqua" w:hAnsi="Book Antiqua"/>
          <w:vertAlign w:val="superscript"/>
        </w:rPr>
        <w:t>[49]</w:t>
      </w:r>
      <w:r w:rsidR="00F828CA" w:rsidRPr="009B04A5">
        <w:rPr>
          <w:rFonts w:ascii="Book Antiqua" w:hAnsi="Book Antiqua"/>
        </w:rPr>
        <w:t xml:space="preserve">, </w:t>
      </w:r>
      <w:r w:rsidR="00397468" w:rsidRPr="009B04A5">
        <w:rPr>
          <w:rFonts w:ascii="Book Antiqua" w:hAnsi="Book Antiqua"/>
        </w:rPr>
        <w:t>where</w:t>
      </w:r>
      <w:r w:rsidR="00F828CA" w:rsidRPr="009B04A5">
        <w:rPr>
          <w:rFonts w:ascii="Book Antiqua" w:hAnsi="Book Antiqua"/>
        </w:rPr>
        <w:t xml:space="preserve"> they selected miR-126, miR-146a, miR-181a/b, miR-100, and miR-125b as markers </w:t>
      </w:r>
      <w:r w:rsidR="00AE37C0" w:rsidRPr="009B04A5">
        <w:rPr>
          <w:rFonts w:ascii="Book Antiqua" w:hAnsi="Book Antiqua"/>
        </w:rPr>
        <w:t xml:space="preserve">of the </w:t>
      </w:r>
      <w:r w:rsidR="00F828CA" w:rsidRPr="009B04A5">
        <w:rPr>
          <w:rFonts w:ascii="Book Antiqua" w:hAnsi="Book Antiqua"/>
          <w:i/>
        </w:rPr>
        <w:t>MLL</w:t>
      </w:r>
      <w:r w:rsidR="00F828CA" w:rsidRPr="009B04A5">
        <w:rPr>
          <w:rFonts w:ascii="Book Antiqua" w:hAnsi="Book Antiqua"/>
        </w:rPr>
        <w:t xml:space="preserve">-rearranged AML subtype. Emmrich </w:t>
      </w:r>
      <w:r w:rsidR="00783C14" w:rsidRPr="009B04A5">
        <w:rPr>
          <w:rFonts w:ascii="Book Antiqua" w:hAnsi="Book Antiqua"/>
          <w:i/>
        </w:rPr>
        <w:t>et al</w:t>
      </w:r>
      <w:r w:rsidR="000A6432" w:rsidRPr="009B04A5">
        <w:rPr>
          <w:rFonts w:ascii="Book Antiqua" w:hAnsi="Book Antiqua"/>
          <w:vertAlign w:val="superscript"/>
        </w:rPr>
        <w:t>[83]</w:t>
      </w:r>
      <w:r w:rsidRPr="009B04A5">
        <w:rPr>
          <w:rFonts w:ascii="Book Antiqua" w:hAnsi="Book Antiqua"/>
        </w:rPr>
        <w:t xml:space="preserve"> pointed </w:t>
      </w:r>
      <w:r w:rsidR="00AE37C0" w:rsidRPr="009B04A5">
        <w:rPr>
          <w:rFonts w:ascii="Book Antiqua" w:hAnsi="Book Antiqua"/>
        </w:rPr>
        <w:t xml:space="preserve">out that </w:t>
      </w:r>
      <w:r w:rsidRPr="009B04A5">
        <w:rPr>
          <w:rFonts w:ascii="Book Antiqua" w:hAnsi="Book Antiqua"/>
        </w:rPr>
        <w:t>miR-9</w:t>
      </w:r>
      <w:r w:rsidR="00AE37C0" w:rsidRPr="009B04A5">
        <w:rPr>
          <w:rFonts w:ascii="Book Antiqua" w:hAnsi="Book Antiqua"/>
        </w:rPr>
        <w:t xml:space="preserve"> is</w:t>
      </w:r>
      <w:r w:rsidRPr="009B04A5">
        <w:rPr>
          <w:rFonts w:ascii="Book Antiqua" w:hAnsi="Book Antiqua"/>
        </w:rPr>
        <w:t xml:space="preserve"> </w:t>
      </w:r>
      <w:r w:rsidR="00AE37C0" w:rsidRPr="009B04A5">
        <w:rPr>
          <w:rFonts w:ascii="Book Antiqua" w:hAnsi="Book Antiqua"/>
        </w:rPr>
        <w:t>an</w:t>
      </w:r>
      <w:r w:rsidRPr="009B04A5">
        <w:rPr>
          <w:rFonts w:ascii="Book Antiqua" w:hAnsi="Book Antiqua"/>
        </w:rPr>
        <w:t xml:space="preserve"> important regulator of t(8;21)-mediated leukemogenesis. Low </w:t>
      </w:r>
      <w:r w:rsidR="00AE37C0" w:rsidRPr="009B04A5">
        <w:rPr>
          <w:rFonts w:ascii="Book Antiqua" w:hAnsi="Book Antiqua"/>
        </w:rPr>
        <w:t>levels</w:t>
      </w:r>
      <w:r w:rsidRPr="009B04A5">
        <w:rPr>
          <w:rFonts w:ascii="Book Antiqua" w:hAnsi="Book Antiqua"/>
        </w:rPr>
        <w:t xml:space="preserve"> of miR-9 </w:t>
      </w:r>
      <w:r w:rsidR="00AE37C0" w:rsidRPr="009B04A5">
        <w:rPr>
          <w:rFonts w:ascii="Book Antiqua" w:hAnsi="Book Antiqua"/>
        </w:rPr>
        <w:t>were</w:t>
      </w:r>
      <w:r w:rsidRPr="009B04A5">
        <w:rPr>
          <w:rFonts w:ascii="Book Antiqua" w:hAnsi="Book Antiqua"/>
        </w:rPr>
        <w:t xml:space="preserve"> observed in AML patients with t(8;21), but high expression </w:t>
      </w:r>
      <w:r w:rsidR="00AE37C0" w:rsidRPr="009B04A5">
        <w:rPr>
          <w:rFonts w:ascii="Book Antiqua" w:hAnsi="Book Antiqua"/>
        </w:rPr>
        <w:t>levels were</w:t>
      </w:r>
      <w:r w:rsidRPr="009B04A5">
        <w:rPr>
          <w:rFonts w:ascii="Book Antiqua" w:hAnsi="Book Antiqua"/>
        </w:rPr>
        <w:t xml:space="preserve"> noted in cases with </w:t>
      </w:r>
      <w:r w:rsidRPr="009B04A5">
        <w:rPr>
          <w:rFonts w:ascii="Book Antiqua" w:hAnsi="Book Antiqua"/>
          <w:i/>
        </w:rPr>
        <w:t>MLL</w:t>
      </w:r>
      <w:r w:rsidR="00AE37C0" w:rsidRPr="009B04A5">
        <w:rPr>
          <w:rFonts w:ascii="Book Antiqua" w:hAnsi="Book Antiqua"/>
        </w:rPr>
        <w:t xml:space="preserve"> </w:t>
      </w:r>
      <w:r w:rsidRPr="009B04A5">
        <w:rPr>
          <w:rFonts w:ascii="Book Antiqua" w:hAnsi="Book Antiqua"/>
        </w:rPr>
        <w:t xml:space="preserve">rearrangements. As a potential mechanism of regulation </w:t>
      </w:r>
      <w:r w:rsidR="00AE37C0" w:rsidRPr="009B04A5">
        <w:rPr>
          <w:rFonts w:ascii="Book Antiqua" w:hAnsi="Book Antiqua"/>
        </w:rPr>
        <w:t xml:space="preserve">of </w:t>
      </w:r>
      <w:r w:rsidRPr="009B04A5">
        <w:rPr>
          <w:rFonts w:ascii="Book Antiqua" w:hAnsi="Book Antiqua"/>
        </w:rPr>
        <w:t xml:space="preserve">leukemic </w:t>
      </w:r>
      <w:r w:rsidR="00AE37C0" w:rsidRPr="009B04A5">
        <w:rPr>
          <w:rFonts w:ascii="Book Antiqua" w:hAnsi="Book Antiqua"/>
        </w:rPr>
        <w:t>cell</w:t>
      </w:r>
      <w:r w:rsidRPr="009B04A5">
        <w:rPr>
          <w:rFonts w:ascii="Book Antiqua" w:hAnsi="Book Antiqua"/>
        </w:rPr>
        <w:t xml:space="preserve"> proliferation and differentiation, repression</w:t>
      </w:r>
      <w:r w:rsidR="00AE37C0" w:rsidRPr="009B04A5">
        <w:rPr>
          <w:rFonts w:ascii="Book Antiqua" w:hAnsi="Book Antiqua"/>
        </w:rPr>
        <w:t xml:space="preserve"> of</w:t>
      </w:r>
      <w:r w:rsidRPr="009B04A5">
        <w:rPr>
          <w:rFonts w:ascii="Book Antiqua" w:hAnsi="Book Antiqua"/>
        </w:rPr>
        <w:t xml:space="preserve"> the oncogenic </w:t>
      </w:r>
      <w:r w:rsidRPr="009B04A5">
        <w:rPr>
          <w:rFonts w:ascii="Book Antiqua" w:hAnsi="Book Antiqua"/>
          <w:i/>
        </w:rPr>
        <w:t>LIN28B</w:t>
      </w:r>
      <w:r w:rsidRPr="009B04A5">
        <w:rPr>
          <w:rFonts w:ascii="Book Antiqua" w:hAnsi="Book Antiqua"/>
        </w:rPr>
        <w:t>/</w:t>
      </w:r>
      <w:r w:rsidRPr="009B04A5">
        <w:rPr>
          <w:rFonts w:ascii="Book Antiqua" w:hAnsi="Book Antiqua"/>
          <w:i/>
        </w:rPr>
        <w:t>HMGA2</w:t>
      </w:r>
      <w:r w:rsidRPr="009B04A5">
        <w:rPr>
          <w:rFonts w:ascii="Book Antiqua" w:hAnsi="Book Antiqua"/>
        </w:rPr>
        <w:t xml:space="preserve"> axis (including target genes </w:t>
      </w:r>
      <w:r w:rsidRPr="009B04A5">
        <w:rPr>
          <w:rFonts w:ascii="Book Antiqua" w:hAnsi="Book Antiqua"/>
          <w:i/>
        </w:rPr>
        <w:t>CDH1</w:t>
      </w:r>
      <w:r w:rsidRPr="009B04A5">
        <w:rPr>
          <w:rFonts w:ascii="Book Antiqua" w:hAnsi="Book Antiqua"/>
        </w:rPr>
        <w:t xml:space="preserve">, </w:t>
      </w:r>
      <w:r w:rsidRPr="009B04A5">
        <w:rPr>
          <w:rFonts w:ascii="Book Antiqua" w:hAnsi="Book Antiqua"/>
          <w:i/>
        </w:rPr>
        <w:t>NFKB1</w:t>
      </w:r>
      <w:r w:rsidRPr="009B04A5">
        <w:rPr>
          <w:rFonts w:ascii="Book Antiqua" w:hAnsi="Book Antiqua"/>
        </w:rPr>
        <w:t xml:space="preserve">, </w:t>
      </w:r>
      <w:r w:rsidRPr="009B04A5">
        <w:rPr>
          <w:rFonts w:ascii="Book Antiqua" w:hAnsi="Book Antiqua"/>
          <w:i/>
        </w:rPr>
        <w:t>BACE1</w:t>
      </w:r>
      <w:r w:rsidR="00CF29D7" w:rsidRPr="009B04A5">
        <w:rPr>
          <w:rFonts w:ascii="Book Antiqua" w:hAnsi="Book Antiqua"/>
        </w:rPr>
        <w:t xml:space="preserve">, </w:t>
      </w:r>
      <w:r w:rsidRPr="009B04A5">
        <w:rPr>
          <w:rFonts w:ascii="Book Antiqua" w:hAnsi="Book Antiqua"/>
        </w:rPr>
        <w:t xml:space="preserve">and </w:t>
      </w:r>
      <w:r w:rsidRPr="009B04A5">
        <w:rPr>
          <w:rFonts w:ascii="Book Antiqua" w:hAnsi="Book Antiqua"/>
          <w:i/>
        </w:rPr>
        <w:t>RES</w:t>
      </w:r>
      <w:r w:rsidRPr="009B04A5">
        <w:rPr>
          <w:rFonts w:ascii="Book Antiqua" w:hAnsi="Book Antiqua"/>
        </w:rPr>
        <w:t>) was identified.</w:t>
      </w:r>
    </w:p>
    <w:p w:rsidR="006A47F8" w:rsidRPr="009B04A5" w:rsidRDefault="006A47F8" w:rsidP="00C709AE">
      <w:pPr>
        <w:adjustRightInd w:val="0"/>
        <w:snapToGrid w:val="0"/>
        <w:spacing w:line="360" w:lineRule="auto"/>
        <w:ind w:firstLineChars="100" w:firstLine="240"/>
        <w:rPr>
          <w:rFonts w:ascii="Book Antiqua" w:hAnsi="Book Antiqua"/>
        </w:rPr>
      </w:pPr>
    </w:p>
    <w:p w:rsidR="00E74C3E" w:rsidRPr="009B04A5" w:rsidRDefault="00981208" w:rsidP="00C709AE">
      <w:pPr>
        <w:adjustRightInd w:val="0"/>
        <w:snapToGrid w:val="0"/>
        <w:spacing w:line="360" w:lineRule="auto"/>
        <w:ind w:firstLine="0"/>
        <w:rPr>
          <w:rFonts w:ascii="Book Antiqua" w:hAnsi="Book Antiqua"/>
          <w:u w:val="single"/>
        </w:rPr>
      </w:pPr>
      <w:r w:rsidRPr="009B04A5">
        <w:rPr>
          <w:rFonts w:ascii="Book Antiqua" w:hAnsi="Book Antiqua"/>
          <w:b/>
          <w:u w:val="single"/>
        </w:rPr>
        <w:t>ROLE OF MICRORNA IN OUTCOME PREDICTION</w:t>
      </w:r>
    </w:p>
    <w:p w:rsidR="006A47F8" w:rsidRPr="009B04A5" w:rsidRDefault="002370CA" w:rsidP="00C709AE">
      <w:pPr>
        <w:adjustRightInd w:val="0"/>
        <w:snapToGrid w:val="0"/>
        <w:spacing w:line="360" w:lineRule="auto"/>
        <w:ind w:firstLine="0"/>
        <w:rPr>
          <w:rStyle w:val="tlid-translation"/>
          <w:rFonts w:ascii="Book Antiqua" w:hAnsi="Book Antiqua"/>
        </w:rPr>
      </w:pPr>
      <w:r w:rsidRPr="009B04A5">
        <w:rPr>
          <w:rFonts w:ascii="Book Antiqua" w:hAnsi="Book Antiqua"/>
        </w:rPr>
        <w:t xml:space="preserve">Children with AL are often put into </w:t>
      </w:r>
      <w:r w:rsidRPr="009B04A5">
        <w:rPr>
          <w:rStyle w:val="ab"/>
          <w:rFonts w:ascii="Book Antiqua" w:hAnsi="Book Antiqua"/>
          <w:b w:val="0"/>
        </w:rPr>
        <w:t>risk groups</w:t>
      </w:r>
      <w:r w:rsidRPr="009B04A5">
        <w:rPr>
          <w:rStyle w:val="ab"/>
          <w:rFonts w:ascii="Book Antiqua" w:hAnsi="Book Antiqua"/>
        </w:rPr>
        <w:t xml:space="preserve"> </w:t>
      </w:r>
      <w:r w:rsidRPr="009B04A5">
        <w:rPr>
          <w:rFonts w:ascii="Book Antiqua" w:hAnsi="Book Antiqua"/>
        </w:rPr>
        <w:t xml:space="preserve">(low, </w:t>
      </w:r>
      <w:r w:rsidR="00B269DB" w:rsidRPr="009B04A5">
        <w:rPr>
          <w:rFonts w:ascii="Book Antiqua" w:hAnsi="Book Antiqua"/>
        </w:rPr>
        <w:t>intermediate</w:t>
      </w:r>
      <w:r w:rsidR="003E6954" w:rsidRPr="009B04A5">
        <w:rPr>
          <w:rFonts w:ascii="Book Antiqua" w:hAnsi="Book Antiqua"/>
        </w:rPr>
        <w:t>,</w:t>
      </w:r>
      <w:r w:rsidR="00CF6E14" w:rsidRPr="009B04A5">
        <w:rPr>
          <w:rFonts w:ascii="Book Antiqua" w:hAnsi="Book Antiqua"/>
        </w:rPr>
        <w:t xml:space="preserve"> or </w:t>
      </w:r>
      <w:r w:rsidRPr="009B04A5">
        <w:rPr>
          <w:rFonts w:ascii="Book Antiqua" w:hAnsi="Book Antiqua"/>
        </w:rPr>
        <w:t>high risk), with more intensive treatment given to higher risk patients. Generally, children at low risk have a better out</w:t>
      </w:r>
      <w:r w:rsidR="000D308D" w:rsidRPr="009B04A5">
        <w:rPr>
          <w:rFonts w:ascii="Book Antiqua" w:hAnsi="Book Antiqua"/>
        </w:rPr>
        <w:t>come</w:t>
      </w:r>
      <w:r w:rsidRPr="009B04A5">
        <w:rPr>
          <w:rFonts w:ascii="Book Antiqua" w:hAnsi="Book Antiqua"/>
        </w:rPr>
        <w:t xml:space="preserve"> than those at very high risk. </w:t>
      </w:r>
      <w:r w:rsidR="00AE37C0" w:rsidRPr="009B04A5">
        <w:rPr>
          <w:rFonts w:ascii="Book Antiqua" w:hAnsi="Book Antiqua"/>
        </w:rPr>
        <w:t>However, it is</w:t>
      </w:r>
      <w:r w:rsidRPr="009B04A5">
        <w:rPr>
          <w:rFonts w:ascii="Book Antiqua" w:hAnsi="Book Antiqua"/>
        </w:rPr>
        <w:t xml:space="preserve"> important to know that even children in higher risk groups can often still be cured. </w:t>
      </w:r>
      <w:r w:rsidR="000C6B11" w:rsidRPr="009B04A5">
        <w:rPr>
          <w:rStyle w:val="tlid-translation"/>
          <w:rFonts w:ascii="Book Antiqua" w:hAnsi="Book Antiqua"/>
        </w:rPr>
        <w:t>AL</w:t>
      </w:r>
      <w:r w:rsidRPr="009B04A5">
        <w:rPr>
          <w:rStyle w:val="tlid-translation"/>
          <w:rFonts w:ascii="Book Antiqua" w:hAnsi="Book Antiqua"/>
        </w:rPr>
        <w:t xml:space="preserve"> is a </w:t>
      </w:r>
      <w:r w:rsidRPr="009B04A5">
        <w:rPr>
          <w:rStyle w:val="tlid-translation"/>
          <w:rFonts w:ascii="Book Antiqua" w:hAnsi="Book Antiqua"/>
        </w:rPr>
        <w:lastRenderedPageBreak/>
        <w:t>heterogeneous disease</w:t>
      </w:r>
      <w:r w:rsidR="00AE37C0" w:rsidRPr="009B04A5">
        <w:rPr>
          <w:rStyle w:val="tlid-translation"/>
          <w:rFonts w:ascii="Book Antiqua" w:hAnsi="Book Antiqua"/>
        </w:rPr>
        <w:t>;</w:t>
      </w:r>
      <w:r w:rsidRPr="009B04A5">
        <w:rPr>
          <w:rStyle w:val="tlid-translation"/>
          <w:rFonts w:ascii="Book Antiqua" w:hAnsi="Book Antiqua"/>
        </w:rPr>
        <w:t xml:space="preserve"> hence</w:t>
      </w:r>
      <w:r w:rsidR="00AE37C0" w:rsidRPr="009B04A5">
        <w:rPr>
          <w:rStyle w:val="tlid-translation"/>
          <w:rFonts w:ascii="Book Antiqua" w:hAnsi="Book Antiqua"/>
        </w:rPr>
        <w:t>,</w:t>
      </w:r>
      <w:r w:rsidRPr="009B04A5">
        <w:rPr>
          <w:rStyle w:val="tlid-translation"/>
          <w:rFonts w:ascii="Book Antiqua" w:hAnsi="Book Antiqua"/>
        </w:rPr>
        <w:t xml:space="preserve"> different treatment results are observed in patients with similar histopathological </w:t>
      </w:r>
      <w:r w:rsidR="00AE37C0" w:rsidRPr="009B04A5">
        <w:rPr>
          <w:rStyle w:val="tlid-translation"/>
          <w:rFonts w:ascii="Book Antiqua" w:hAnsi="Book Antiqua"/>
        </w:rPr>
        <w:t>diagnoses, stages</w:t>
      </w:r>
      <w:r w:rsidRPr="009B04A5">
        <w:rPr>
          <w:rStyle w:val="tlid-translation"/>
          <w:rFonts w:ascii="Book Antiqua" w:hAnsi="Book Antiqua"/>
        </w:rPr>
        <w:t xml:space="preserve"> of development</w:t>
      </w:r>
      <w:r w:rsidR="003E6954" w:rsidRPr="009B04A5">
        <w:rPr>
          <w:rStyle w:val="tlid-translation"/>
          <w:rFonts w:ascii="Book Antiqua" w:hAnsi="Book Antiqua"/>
        </w:rPr>
        <w:t>,</w:t>
      </w:r>
      <w:r w:rsidRPr="009B04A5">
        <w:rPr>
          <w:rStyle w:val="tlid-translation"/>
          <w:rFonts w:ascii="Book Antiqua" w:hAnsi="Book Antiqua"/>
        </w:rPr>
        <w:t xml:space="preserve"> and similar treatment </w:t>
      </w:r>
      <w:r w:rsidR="00AE37C0" w:rsidRPr="009B04A5">
        <w:rPr>
          <w:rStyle w:val="tlid-translation"/>
          <w:rFonts w:ascii="Book Antiqua" w:hAnsi="Book Antiqua"/>
        </w:rPr>
        <w:t>protocols</w:t>
      </w:r>
      <w:r w:rsidRPr="009B04A5">
        <w:rPr>
          <w:rStyle w:val="tlid-translation"/>
          <w:rFonts w:ascii="Book Antiqua" w:hAnsi="Book Antiqua"/>
        </w:rPr>
        <w:t>.</w:t>
      </w:r>
      <w:r w:rsidR="00E41279" w:rsidRPr="009B04A5">
        <w:rPr>
          <w:rStyle w:val="tlid-translation"/>
          <w:rFonts w:ascii="Book Antiqua" w:hAnsi="Book Antiqua"/>
        </w:rPr>
        <w:t xml:space="preserve"> T</w:t>
      </w:r>
      <w:r w:rsidRPr="009B04A5">
        <w:rPr>
          <w:rStyle w:val="tlid-translation"/>
          <w:rFonts w:ascii="Book Antiqua" w:hAnsi="Book Antiqua"/>
        </w:rPr>
        <w:t xml:space="preserve">he correct stratification of patients </w:t>
      </w:r>
      <w:r w:rsidR="00AE37C0" w:rsidRPr="009B04A5">
        <w:rPr>
          <w:rStyle w:val="tlid-translation"/>
          <w:rFonts w:ascii="Book Antiqua" w:hAnsi="Book Antiqua"/>
        </w:rPr>
        <w:t>into</w:t>
      </w:r>
      <w:r w:rsidRPr="009B04A5">
        <w:rPr>
          <w:rStyle w:val="tlid-translation"/>
          <w:rFonts w:ascii="Book Antiqua" w:hAnsi="Book Antiqua"/>
        </w:rPr>
        <w:t xml:space="preserve"> high-risk groups with recurrence (more intensive treatment) and low-risk patients (avoidance of therapy toxicity)</w:t>
      </w:r>
      <w:r w:rsidR="00AE37C0" w:rsidRPr="009B04A5">
        <w:rPr>
          <w:rStyle w:val="tlid-translation"/>
          <w:rFonts w:ascii="Book Antiqua" w:hAnsi="Book Antiqua"/>
        </w:rPr>
        <w:t xml:space="preserve"> is of great importance</w:t>
      </w:r>
      <w:r w:rsidR="000A6432" w:rsidRPr="009B04A5">
        <w:rPr>
          <w:rStyle w:val="tlid-translation"/>
          <w:rFonts w:ascii="Book Antiqua" w:hAnsi="Book Antiqua"/>
          <w:vertAlign w:val="superscript"/>
        </w:rPr>
        <w:t>[84,85]</w:t>
      </w:r>
      <w:r w:rsidRPr="009B04A5">
        <w:rPr>
          <w:rStyle w:val="tlid-translation"/>
          <w:rFonts w:ascii="Book Antiqua" w:hAnsi="Book Antiqua"/>
        </w:rPr>
        <w:t xml:space="preserve">. The previous stratification does not meet the </w:t>
      </w:r>
      <w:r w:rsidR="00AE37C0" w:rsidRPr="009B04A5">
        <w:rPr>
          <w:rStyle w:val="tlid-translation"/>
          <w:rFonts w:ascii="Book Antiqua" w:hAnsi="Book Antiqua"/>
        </w:rPr>
        <w:t>abovementioned</w:t>
      </w:r>
      <w:r w:rsidRPr="009B04A5">
        <w:rPr>
          <w:rStyle w:val="tlid-translation"/>
          <w:rFonts w:ascii="Book Antiqua" w:hAnsi="Book Antiqua"/>
        </w:rPr>
        <w:t xml:space="preserve"> expectations, which is why high hopes </w:t>
      </w:r>
      <w:r w:rsidR="00C05948" w:rsidRPr="009B04A5">
        <w:rPr>
          <w:rStyle w:val="tlid-translation"/>
          <w:rFonts w:ascii="Book Antiqua" w:hAnsi="Book Antiqua"/>
        </w:rPr>
        <w:t xml:space="preserve">have been </w:t>
      </w:r>
      <w:r w:rsidRPr="009B04A5">
        <w:rPr>
          <w:rStyle w:val="tlid-translation"/>
          <w:rFonts w:ascii="Book Antiqua" w:hAnsi="Book Antiqua"/>
        </w:rPr>
        <w:t xml:space="preserve">placed on the possibilities </w:t>
      </w:r>
      <w:r w:rsidR="00C05948" w:rsidRPr="009B04A5">
        <w:rPr>
          <w:rStyle w:val="tlid-translation"/>
          <w:rFonts w:ascii="Book Antiqua" w:hAnsi="Book Antiqua"/>
        </w:rPr>
        <w:t xml:space="preserve">resulting from </w:t>
      </w:r>
      <w:r w:rsidRPr="009B04A5">
        <w:rPr>
          <w:rStyle w:val="tlid-translation"/>
          <w:rFonts w:ascii="Book Antiqua" w:hAnsi="Book Antiqua"/>
        </w:rPr>
        <w:t>research using genomics and transcriptomics methods</w:t>
      </w:r>
      <w:r w:rsidR="000A6432" w:rsidRPr="009B04A5">
        <w:rPr>
          <w:rStyle w:val="tlid-translation"/>
          <w:rFonts w:ascii="Book Antiqua" w:hAnsi="Book Antiqua"/>
          <w:vertAlign w:val="superscript"/>
        </w:rPr>
        <w:t>[84]</w:t>
      </w:r>
      <w:r w:rsidRPr="009B04A5">
        <w:rPr>
          <w:rStyle w:val="tlid-translation"/>
          <w:rFonts w:ascii="Book Antiqua" w:hAnsi="Book Antiqua"/>
        </w:rPr>
        <w:t>.</w:t>
      </w:r>
    </w:p>
    <w:p w:rsidR="006A47F8" w:rsidRPr="009B04A5" w:rsidRDefault="002370CA" w:rsidP="00C709AE">
      <w:pPr>
        <w:adjustRightInd w:val="0"/>
        <w:snapToGrid w:val="0"/>
        <w:spacing w:line="360" w:lineRule="auto"/>
        <w:ind w:firstLineChars="100" w:firstLine="240"/>
        <w:rPr>
          <w:rFonts w:ascii="Book Antiqua" w:hAnsi="Book Antiqua"/>
          <w:lang w:eastAsia="zh-CN"/>
        </w:rPr>
      </w:pPr>
      <w:r w:rsidRPr="009B04A5">
        <w:rPr>
          <w:rStyle w:val="tlid-translation"/>
          <w:rFonts w:ascii="Book Antiqua" w:hAnsi="Book Antiqua"/>
        </w:rPr>
        <w:t xml:space="preserve">More and more often in pediatric </w:t>
      </w:r>
      <w:r w:rsidR="000C6B11" w:rsidRPr="009B04A5">
        <w:rPr>
          <w:rStyle w:val="tlid-translation"/>
          <w:rFonts w:ascii="Book Antiqua" w:hAnsi="Book Antiqua"/>
        </w:rPr>
        <w:t>AL</w:t>
      </w:r>
      <w:r w:rsidRPr="009B04A5">
        <w:rPr>
          <w:rStyle w:val="tlid-translation"/>
          <w:rFonts w:ascii="Book Antiqua" w:hAnsi="Book Antiqua"/>
        </w:rPr>
        <w:t xml:space="preserve">, the expression signature of the </w:t>
      </w:r>
      <w:r w:rsidR="005C571B" w:rsidRPr="009B04A5">
        <w:rPr>
          <w:rStyle w:val="tlid-translation"/>
          <w:rFonts w:ascii="Book Antiqua" w:hAnsi="Book Antiqua"/>
        </w:rPr>
        <w:t>set</w:t>
      </w:r>
      <w:r w:rsidRPr="009B04A5">
        <w:rPr>
          <w:rStyle w:val="tlid-translation"/>
          <w:rFonts w:ascii="Book Antiqua" w:hAnsi="Book Antiqua"/>
        </w:rPr>
        <w:t xml:space="preserve"> of miRNA molecules </w:t>
      </w:r>
      <w:r w:rsidR="00C05948" w:rsidRPr="009B04A5">
        <w:rPr>
          <w:rStyle w:val="tlid-translation"/>
          <w:rFonts w:ascii="Book Antiqua" w:hAnsi="Book Antiqua"/>
        </w:rPr>
        <w:t xml:space="preserve">has been </w:t>
      </w:r>
      <w:r w:rsidRPr="009B04A5">
        <w:rPr>
          <w:rStyle w:val="tlid-translation"/>
          <w:rFonts w:ascii="Book Antiqua" w:hAnsi="Book Antiqua"/>
        </w:rPr>
        <w:t>correlated with well-known prognostic factors, which include</w:t>
      </w:r>
      <w:r w:rsidR="005C571B" w:rsidRPr="009B04A5">
        <w:rPr>
          <w:rStyle w:val="tlid-translation"/>
          <w:rFonts w:ascii="Book Antiqua" w:hAnsi="Book Antiqua"/>
        </w:rPr>
        <w:t>:</w:t>
      </w:r>
      <w:r w:rsidR="00145297" w:rsidRPr="009B04A5">
        <w:rPr>
          <w:rFonts w:ascii="Book Antiqua" w:hAnsi="Book Antiqua"/>
        </w:rPr>
        <w:t xml:space="preserve"> WBC count, age at diagnosis, </w:t>
      </w:r>
      <w:r w:rsidR="00B269DB" w:rsidRPr="009B04A5">
        <w:rPr>
          <w:rFonts w:ascii="Book Antiqua" w:hAnsi="Book Antiqua"/>
        </w:rPr>
        <w:t>cytogenetic and molecular genetic analyses of blast cells</w:t>
      </w:r>
      <w:r w:rsidR="009B4BCD" w:rsidRPr="009B04A5">
        <w:rPr>
          <w:rFonts w:ascii="Book Antiqua" w:hAnsi="Book Antiqua"/>
        </w:rPr>
        <w:t>,</w:t>
      </w:r>
      <w:r w:rsidR="00145297" w:rsidRPr="009B04A5">
        <w:rPr>
          <w:rFonts w:ascii="Book Antiqua" w:hAnsi="Book Antiqua"/>
        </w:rPr>
        <w:t xml:space="preserve"> </w:t>
      </w:r>
      <w:r w:rsidR="007277AD" w:rsidRPr="009B04A5">
        <w:rPr>
          <w:rFonts w:ascii="Book Antiqua" w:hAnsi="Book Antiqua"/>
        </w:rPr>
        <w:t xml:space="preserve">prednisolone response on day 8, </w:t>
      </w:r>
      <w:r w:rsidR="00145297" w:rsidRPr="009B04A5">
        <w:rPr>
          <w:rFonts w:ascii="Book Antiqua" w:hAnsi="Book Antiqua"/>
        </w:rPr>
        <w:t xml:space="preserve">and </w:t>
      </w:r>
      <w:r w:rsidR="00C25C63" w:rsidRPr="009B04A5">
        <w:rPr>
          <w:rFonts w:ascii="Book Antiqua" w:hAnsi="Book Antiqua"/>
        </w:rPr>
        <w:t>i</w:t>
      </w:r>
      <w:r w:rsidR="00965A1D" w:rsidRPr="009B04A5">
        <w:rPr>
          <w:rFonts w:ascii="Book Antiqua" w:hAnsi="Book Antiqua"/>
        </w:rPr>
        <w:t>mmunophenotype</w:t>
      </w:r>
      <w:r w:rsidR="00145297" w:rsidRPr="009B04A5">
        <w:rPr>
          <w:rFonts w:ascii="Book Antiqua" w:hAnsi="Book Antiqua"/>
        </w:rPr>
        <w:t xml:space="preserve">. </w:t>
      </w:r>
      <w:r w:rsidR="00145297" w:rsidRPr="009B04A5">
        <w:rPr>
          <w:rStyle w:val="tlid-translation"/>
          <w:rFonts w:ascii="Book Antiqua" w:hAnsi="Book Antiqua"/>
        </w:rPr>
        <w:t>The possible model of diagnostic and prognostic management in pediatric ALL based on the miRNA signature is presented in Figure 4.</w:t>
      </w:r>
      <w:r w:rsidR="006A47F8" w:rsidRPr="009B04A5">
        <w:rPr>
          <w:rFonts w:ascii="Book Antiqua" w:hAnsi="Book Antiqua"/>
          <w:lang w:eastAsia="zh-CN"/>
        </w:rPr>
        <w:t xml:space="preserve"> </w:t>
      </w:r>
    </w:p>
    <w:p w:rsidR="006A47F8" w:rsidRPr="009B04A5" w:rsidRDefault="00F64914" w:rsidP="00C709AE">
      <w:pPr>
        <w:adjustRightInd w:val="0"/>
        <w:snapToGrid w:val="0"/>
        <w:spacing w:line="360" w:lineRule="auto"/>
        <w:ind w:firstLineChars="100" w:firstLine="240"/>
        <w:rPr>
          <w:rFonts w:ascii="Book Antiqua" w:hAnsi="Book Antiqua"/>
        </w:rPr>
      </w:pPr>
      <w:r w:rsidRPr="009B04A5">
        <w:rPr>
          <w:rFonts w:ascii="Book Antiqua" w:hAnsi="Book Antiqua"/>
        </w:rPr>
        <w:t xml:space="preserve">In recent years, several studies have been conducted to identify </w:t>
      </w:r>
      <w:r w:rsidR="00AE37C0" w:rsidRPr="009B04A5">
        <w:rPr>
          <w:rFonts w:ascii="Book Antiqua" w:hAnsi="Book Antiqua"/>
        </w:rPr>
        <w:t>miRNAs</w:t>
      </w:r>
      <w:r w:rsidRPr="009B04A5">
        <w:rPr>
          <w:rFonts w:ascii="Book Antiqua" w:hAnsi="Book Antiqua"/>
        </w:rPr>
        <w:t xml:space="preserve"> as predictors of the risk of leukemia recurrence. </w:t>
      </w:r>
      <w:r w:rsidR="00126EF6" w:rsidRPr="009B04A5">
        <w:rPr>
          <w:rStyle w:val="tlid-translation"/>
          <w:rFonts w:ascii="Book Antiqua" w:hAnsi="Book Antiqua"/>
        </w:rPr>
        <w:t xml:space="preserve">One of the first verified biomarkers </w:t>
      </w:r>
      <w:r w:rsidR="009A6038" w:rsidRPr="009B04A5">
        <w:rPr>
          <w:rStyle w:val="tlid-translation"/>
          <w:rFonts w:ascii="Book Antiqua" w:hAnsi="Book Antiqua"/>
        </w:rPr>
        <w:t>wa</w:t>
      </w:r>
      <w:r w:rsidR="00126EF6" w:rsidRPr="009B04A5">
        <w:rPr>
          <w:rStyle w:val="tlid-translation"/>
          <w:rFonts w:ascii="Book Antiqua" w:hAnsi="Book Antiqua"/>
        </w:rPr>
        <w:t xml:space="preserve">s </w:t>
      </w:r>
      <w:r w:rsidR="00E861A3" w:rsidRPr="009B04A5">
        <w:rPr>
          <w:rFonts w:ascii="Book Antiqua" w:hAnsi="Book Antiqua"/>
        </w:rPr>
        <w:t xml:space="preserve">miR-16, which is implicated in apoptosis induction by targeting </w:t>
      </w:r>
      <w:r w:rsidR="00E861A3" w:rsidRPr="009B04A5">
        <w:rPr>
          <w:rFonts w:ascii="Book Antiqua" w:hAnsi="Book Antiqua"/>
          <w:i/>
        </w:rPr>
        <w:t>BCL-2</w:t>
      </w:r>
      <w:r w:rsidR="005C623F" w:rsidRPr="009B04A5">
        <w:rPr>
          <w:rFonts w:ascii="Book Antiqua" w:hAnsi="Book Antiqua"/>
        </w:rPr>
        <w:t xml:space="preserve"> and cell cycle arrest</w:t>
      </w:r>
      <w:r w:rsidR="000A6432" w:rsidRPr="009B04A5">
        <w:rPr>
          <w:rFonts w:ascii="Book Antiqua" w:hAnsi="Book Antiqua"/>
          <w:vertAlign w:val="superscript"/>
        </w:rPr>
        <w:t>[86-88]</w:t>
      </w:r>
      <w:r w:rsidR="00F828CA" w:rsidRPr="009B04A5">
        <w:rPr>
          <w:rFonts w:ascii="Book Antiqua" w:hAnsi="Book Antiqua"/>
        </w:rPr>
        <w:t xml:space="preserve">. Kaddar </w:t>
      </w:r>
      <w:r w:rsidR="00783C14" w:rsidRPr="009B04A5">
        <w:rPr>
          <w:rFonts w:ascii="Book Antiqua" w:hAnsi="Book Antiqua"/>
          <w:i/>
        </w:rPr>
        <w:t>et al</w:t>
      </w:r>
      <w:r w:rsidR="000A6432" w:rsidRPr="009B04A5">
        <w:rPr>
          <w:rFonts w:ascii="Book Antiqua" w:hAnsi="Book Antiqua"/>
          <w:vertAlign w:val="superscript"/>
        </w:rPr>
        <w:t>[89]</w:t>
      </w:r>
      <w:r w:rsidR="004C0E64" w:rsidRPr="009B04A5">
        <w:rPr>
          <w:rFonts w:ascii="Book Antiqua" w:hAnsi="Book Antiqua"/>
        </w:rPr>
        <w:t xml:space="preserve"> obtained statistically significant relationships between low miR-16 </w:t>
      </w:r>
      <w:r w:rsidR="00AE37C0" w:rsidRPr="009B04A5">
        <w:rPr>
          <w:rFonts w:ascii="Book Antiqua" w:hAnsi="Book Antiqua"/>
        </w:rPr>
        <w:t>levels</w:t>
      </w:r>
      <w:r w:rsidR="004C0E64" w:rsidRPr="009B04A5">
        <w:rPr>
          <w:rFonts w:ascii="Book Antiqua" w:hAnsi="Book Antiqua"/>
        </w:rPr>
        <w:t xml:space="preserve"> and low WBC</w:t>
      </w:r>
      <w:r w:rsidR="00AE37C0" w:rsidRPr="009B04A5">
        <w:rPr>
          <w:rFonts w:ascii="Book Antiqua" w:hAnsi="Book Antiqua"/>
        </w:rPr>
        <w:t xml:space="preserve"> counts</w:t>
      </w:r>
      <w:r w:rsidR="004C0E64" w:rsidRPr="009B04A5">
        <w:rPr>
          <w:rFonts w:ascii="Book Antiqua" w:hAnsi="Book Antiqua"/>
        </w:rPr>
        <w:t xml:space="preserve"> and good molecular markers. They found that, in the entire ALL group, miR-16 was significantly downregulated in the group of patients with leukocytes below 50 G/L and with hyperploidy or t(12;21). In T-ALL, overexpression of miR-16 expression </w:t>
      </w:r>
      <w:r w:rsidR="00AE37C0" w:rsidRPr="009B04A5">
        <w:rPr>
          <w:rFonts w:ascii="Book Antiqua" w:hAnsi="Book Antiqua"/>
        </w:rPr>
        <w:t>was</w:t>
      </w:r>
      <w:r w:rsidR="004C0E64" w:rsidRPr="009B04A5">
        <w:rPr>
          <w:rFonts w:ascii="Book Antiqua" w:hAnsi="Book Antiqua"/>
        </w:rPr>
        <w:t xml:space="preserve"> also related to corticosteroid resistance. After all, they </w:t>
      </w:r>
      <w:r w:rsidR="00AE37C0" w:rsidRPr="009B04A5">
        <w:rPr>
          <w:rFonts w:ascii="Book Antiqua" w:hAnsi="Book Antiqua"/>
        </w:rPr>
        <w:t>could not</w:t>
      </w:r>
      <w:r w:rsidR="004C0E64" w:rsidRPr="009B04A5">
        <w:rPr>
          <w:rFonts w:ascii="Book Antiqua" w:hAnsi="Book Antiqua"/>
        </w:rPr>
        <w:t xml:space="preserve"> assign a specific miR-16 expression profile to B-cell and T</w:t>
      </w:r>
      <w:r w:rsidR="0030345D" w:rsidRPr="009B04A5">
        <w:rPr>
          <w:rFonts w:ascii="Book Antiqua" w:hAnsi="Book Antiqua"/>
        </w:rPr>
        <w:t>-</w:t>
      </w:r>
      <w:r w:rsidR="004C0E64" w:rsidRPr="009B04A5">
        <w:rPr>
          <w:rFonts w:ascii="Book Antiqua" w:hAnsi="Book Antiqua"/>
        </w:rPr>
        <w:t>ALL subgroups</w:t>
      </w:r>
      <w:r w:rsidR="000A6432" w:rsidRPr="009B04A5">
        <w:rPr>
          <w:rFonts w:ascii="Book Antiqua" w:hAnsi="Book Antiqua"/>
          <w:vertAlign w:val="superscript"/>
        </w:rPr>
        <w:t>[89]</w:t>
      </w:r>
      <w:r w:rsidR="00C525E5" w:rsidRPr="009B04A5">
        <w:rPr>
          <w:rFonts w:ascii="Book Antiqua" w:hAnsi="Book Antiqua"/>
        </w:rPr>
        <w:t>.</w:t>
      </w:r>
      <w:r w:rsidR="00F828CA" w:rsidRPr="009B04A5">
        <w:rPr>
          <w:rFonts w:ascii="Book Antiqua" w:hAnsi="Book Antiqua"/>
        </w:rPr>
        <w:t xml:space="preserve"> In the next study, Organista-Nava </w:t>
      </w:r>
      <w:r w:rsidR="00783C14" w:rsidRPr="009B04A5">
        <w:rPr>
          <w:rFonts w:ascii="Book Antiqua" w:hAnsi="Book Antiqua"/>
          <w:i/>
        </w:rPr>
        <w:t>et al</w:t>
      </w:r>
      <w:r w:rsidR="000A6432" w:rsidRPr="009B04A5">
        <w:rPr>
          <w:rFonts w:ascii="Book Antiqua" w:hAnsi="Book Antiqua"/>
          <w:vertAlign w:val="superscript"/>
        </w:rPr>
        <w:t>[90]</w:t>
      </w:r>
      <w:r w:rsidR="003A730E" w:rsidRPr="009B04A5">
        <w:rPr>
          <w:rFonts w:ascii="Book Antiqua" w:hAnsi="Book Antiqua"/>
        </w:rPr>
        <w:t xml:space="preserve"> conducted a multivariate analysis (including age at diagnosis, gender, and WBC of miR-24 expression, </w:t>
      </w:r>
      <w:r w:rsidR="00AE37C0" w:rsidRPr="009B04A5">
        <w:rPr>
          <w:rFonts w:ascii="Book Antiqua" w:hAnsi="Book Antiqua"/>
        </w:rPr>
        <w:t xml:space="preserve">a </w:t>
      </w:r>
      <w:r w:rsidR="003A730E" w:rsidRPr="009B04A5">
        <w:rPr>
          <w:rFonts w:ascii="Book Antiqua" w:hAnsi="Book Antiqua"/>
        </w:rPr>
        <w:t>well-known promotor of the survival of hematopoietic cells</w:t>
      </w:r>
      <w:r w:rsidR="003E6954" w:rsidRPr="009B04A5">
        <w:rPr>
          <w:rFonts w:ascii="Book Antiqua" w:hAnsi="Book Antiqua"/>
        </w:rPr>
        <w:t>)</w:t>
      </w:r>
      <w:r w:rsidR="003A730E" w:rsidRPr="009B04A5">
        <w:rPr>
          <w:rFonts w:ascii="Book Antiqua" w:hAnsi="Book Antiqua"/>
        </w:rPr>
        <w:t>. Targets of miR-24 are pro-apoptotic (</w:t>
      </w:r>
      <w:r w:rsidR="003A730E" w:rsidRPr="009B04A5">
        <w:rPr>
          <w:rFonts w:ascii="Book Antiqua" w:hAnsi="Book Antiqua"/>
          <w:i/>
        </w:rPr>
        <w:t>FAF</w:t>
      </w:r>
      <w:r w:rsidR="003A730E" w:rsidRPr="009B04A5">
        <w:rPr>
          <w:rFonts w:ascii="Book Antiqua" w:hAnsi="Book Antiqua"/>
        </w:rPr>
        <w:t xml:space="preserve">-1, caspase 9, </w:t>
      </w:r>
      <w:r w:rsidR="003A730E" w:rsidRPr="009B04A5">
        <w:rPr>
          <w:rFonts w:ascii="Book Antiqua" w:hAnsi="Book Antiqua"/>
          <w:i/>
        </w:rPr>
        <w:t>Bim</w:t>
      </w:r>
      <w:r w:rsidR="003E6954" w:rsidRPr="009B04A5">
        <w:rPr>
          <w:rFonts w:ascii="Book Antiqua" w:hAnsi="Book Antiqua"/>
        </w:rPr>
        <w:t xml:space="preserve">, </w:t>
      </w:r>
      <w:r w:rsidR="003A730E" w:rsidRPr="009B04A5">
        <w:rPr>
          <w:rFonts w:ascii="Book Antiqua" w:hAnsi="Book Antiqua"/>
        </w:rPr>
        <w:t xml:space="preserve">and </w:t>
      </w:r>
      <w:r w:rsidR="003A730E" w:rsidRPr="009B04A5">
        <w:rPr>
          <w:rFonts w:ascii="Book Antiqua" w:hAnsi="Book Antiqua"/>
          <w:i/>
        </w:rPr>
        <w:t>Apaf</w:t>
      </w:r>
      <w:r w:rsidR="003A730E" w:rsidRPr="009B04A5">
        <w:rPr>
          <w:rFonts w:ascii="Book Antiqua" w:hAnsi="Book Antiqua"/>
        </w:rPr>
        <w:t>-</w:t>
      </w:r>
      <w:r w:rsidR="003A730E" w:rsidRPr="009B04A5">
        <w:rPr>
          <w:rFonts w:ascii="Book Antiqua" w:hAnsi="Book Antiqua"/>
          <w:i/>
        </w:rPr>
        <w:t>1</w:t>
      </w:r>
      <w:r w:rsidR="00741F94" w:rsidRPr="009B04A5">
        <w:rPr>
          <w:rFonts w:ascii="Book Antiqua" w:hAnsi="Book Antiqua"/>
        </w:rPr>
        <w:t>) and cell cycle progression (</w:t>
      </w:r>
      <w:r w:rsidR="00AE37C0" w:rsidRPr="009B04A5">
        <w:rPr>
          <w:rFonts w:ascii="Book Antiqua" w:hAnsi="Book Antiqua"/>
        </w:rPr>
        <w:t>enhanced</w:t>
      </w:r>
      <w:r w:rsidR="00741F94" w:rsidRPr="009B04A5">
        <w:rPr>
          <w:rFonts w:ascii="Book Antiqua" w:hAnsi="Book Antiqua"/>
        </w:rPr>
        <w:t xml:space="preserve"> </w:t>
      </w:r>
      <w:r w:rsidR="00741F94" w:rsidRPr="009B04A5">
        <w:rPr>
          <w:rFonts w:ascii="Book Antiqua" w:hAnsi="Book Antiqua"/>
          <w:i/>
          <w:lang w:eastAsia="pl-PL"/>
        </w:rPr>
        <w:t>MYC</w:t>
      </w:r>
      <w:r w:rsidR="00741F94" w:rsidRPr="009B04A5">
        <w:rPr>
          <w:rFonts w:ascii="Book Antiqua" w:hAnsi="Book Antiqua"/>
          <w:lang w:eastAsia="pl-PL"/>
        </w:rPr>
        <w:t xml:space="preserve">, </w:t>
      </w:r>
      <w:r w:rsidR="00741F94" w:rsidRPr="009B04A5">
        <w:rPr>
          <w:rFonts w:ascii="Book Antiqua" w:hAnsi="Book Antiqua"/>
          <w:i/>
          <w:lang w:eastAsia="pl-PL"/>
        </w:rPr>
        <w:t>E2F2</w:t>
      </w:r>
      <w:r w:rsidR="00741F94" w:rsidRPr="009B04A5">
        <w:rPr>
          <w:rFonts w:ascii="Book Antiqua" w:hAnsi="Book Antiqua"/>
          <w:lang w:eastAsia="pl-PL"/>
        </w:rPr>
        <w:t xml:space="preserve">, </w:t>
      </w:r>
      <w:r w:rsidR="00741F94" w:rsidRPr="009B04A5">
        <w:rPr>
          <w:rFonts w:ascii="Book Antiqua" w:hAnsi="Book Antiqua"/>
          <w:i/>
          <w:lang w:eastAsia="pl-PL"/>
        </w:rPr>
        <w:t>CCNB1</w:t>
      </w:r>
      <w:r w:rsidR="00741F94" w:rsidRPr="009B04A5">
        <w:rPr>
          <w:rFonts w:ascii="Book Antiqua" w:hAnsi="Book Antiqua"/>
          <w:lang w:eastAsia="pl-PL"/>
        </w:rPr>
        <w:t xml:space="preserve">, and </w:t>
      </w:r>
      <w:r w:rsidR="00741F94" w:rsidRPr="009B04A5">
        <w:rPr>
          <w:rFonts w:ascii="Book Antiqua" w:hAnsi="Book Antiqua"/>
          <w:i/>
          <w:lang w:eastAsia="pl-PL"/>
        </w:rPr>
        <w:t>CDC2</w:t>
      </w:r>
      <w:r w:rsidR="00741F94" w:rsidRPr="009B04A5">
        <w:rPr>
          <w:rFonts w:ascii="Book Antiqua" w:hAnsi="Book Antiqua"/>
          <w:lang w:eastAsia="pl-PL"/>
        </w:rPr>
        <w:t xml:space="preserve"> or </w:t>
      </w:r>
      <w:r w:rsidR="00AE37C0" w:rsidRPr="009B04A5">
        <w:rPr>
          <w:rFonts w:ascii="Book Antiqua" w:hAnsi="Book Antiqua"/>
          <w:lang w:eastAsia="pl-PL"/>
        </w:rPr>
        <w:t>inhibited</w:t>
      </w:r>
      <w:r w:rsidR="00741F94" w:rsidRPr="009B04A5">
        <w:rPr>
          <w:rFonts w:ascii="Book Antiqua" w:hAnsi="Book Antiqua"/>
          <w:lang w:eastAsia="pl-PL"/>
        </w:rPr>
        <w:t xml:space="preserve"> </w:t>
      </w:r>
      <w:r w:rsidR="00741F94" w:rsidRPr="009B04A5">
        <w:rPr>
          <w:rFonts w:ascii="Book Antiqua" w:hAnsi="Book Antiqua"/>
          <w:i/>
          <w:lang w:eastAsia="pl-PL"/>
        </w:rPr>
        <w:t>p27Kip1</w:t>
      </w:r>
      <w:r w:rsidR="00741F94" w:rsidRPr="009B04A5">
        <w:rPr>
          <w:rFonts w:ascii="Book Antiqua" w:hAnsi="Book Antiqua"/>
          <w:lang w:eastAsia="pl-PL"/>
        </w:rPr>
        <w:t xml:space="preserve"> and </w:t>
      </w:r>
      <w:r w:rsidR="00741F94" w:rsidRPr="009B04A5">
        <w:rPr>
          <w:rFonts w:ascii="Book Antiqua" w:hAnsi="Book Antiqua"/>
          <w:i/>
          <w:lang w:eastAsia="pl-PL"/>
        </w:rPr>
        <w:t>VH</w:t>
      </w:r>
      <w:r w:rsidR="003A730E" w:rsidRPr="009B04A5">
        <w:rPr>
          <w:rFonts w:ascii="Book Antiqua" w:hAnsi="Book Antiqua"/>
        </w:rPr>
        <w:t>) proteins</w:t>
      </w:r>
      <w:r w:rsidR="000A6432" w:rsidRPr="009B04A5">
        <w:rPr>
          <w:rFonts w:ascii="Book Antiqua" w:hAnsi="Book Antiqua"/>
          <w:vertAlign w:val="superscript"/>
        </w:rPr>
        <w:t>[91-93]</w:t>
      </w:r>
      <w:r w:rsidR="004A69EC" w:rsidRPr="009B04A5">
        <w:rPr>
          <w:rFonts w:ascii="Book Antiqua" w:hAnsi="Book Antiqua"/>
        </w:rPr>
        <w:t xml:space="preserve">. In </w:t>
      </w:r>
      <w:r w:rsidR="00AE37C0" w:rsidRPr="009B04A5">
        <w:rPr>
          <w:rFonts w:ascii="Book Antiqua" w:hAnsi="Book Antiqua"/>
        </w:rPr>
        <w:t xml:space="preserve">a </w:t>
      </w:r>
      <w:r w:rsidR="004A69EC" w:rsidRPr="009B04A5">
        <w:rPr>
          <w:rFonts w:ascii="Book Antiqua" w:hAnsi="Book Antiqua"/>
        </w:rPr>
        <w:t>previous study, it was reported that miR-214 expression is associated with cytogenetic and molecular subtypes of adult AML (</w:t>
      </w:r>
      <w:r w:rsidR="00783C14" w:rsidRPr="009B04A5">
        <w:rPr>
          <w:rFonts w:ascii="Book Antiqua" w:hAnsi="Book Antiqua"/>
          <w:i/>
        </w:rPr>
        <w:t>e.g</w:t>
      </w:r>
      <w:r w:rsidR="00DE287C" w:rsidRPr="009B04A5">
        <w:rPr>
          <w:rFonts w:ascii="Book Antiqua" w:hAnsi="Book Antiqua"/>
          <w:i/>
        </w:rPr>
        <w:t>.</w:t>
      </w:r>
      <w:r w:rsidR="004A69EC" w:rsidRPr="009B04A5">
        <w:rPr>
          <w:rFonts w:ascii="Book Antiqua" w:hAnsi="Book Antiqua"/>
        </w:rPr>
        <w:t xml:space="preserve">, AMLs with t(8;21), t(15;17), inv(16), </w:t>
      </w:r>
      <w:r w:rsidR="004A69EC" w:rsidRPr="009B04A5">
        <w:rPr>
          <w:rFonts w:ascii="Book Antiqua" w:hAnsi="Book Antiqua"/>
          <w:i/>
        </w:rPr>
        <w:t>NPM1</w:t>
      </w:r>
      <w:r w:rsidR="004A69EC" w:rsidRPr="009B04A5">
        <w:rPr>
          <w:rFonts w:ascii="Book Antiqua" w:hAnsi="Book Antiqua"/>
        </w:rPr>
        <w:t xml:space="preserve">, and </w:t>
      </w:r>
      <w:r w:rsidR="004A69EC" w:rsidRPr="009B04A5">
        <w:rPr>
          <w:rFonts w:ascii="Book Antiqua" w:hAnsi="Book Antiqua"/>
          <w:i/>
        </w:rPr>
        <w:t>CEBPA</w:t>
      </w:r>
      <w:r w:rsidR="004A69EC" w:rsidRPr="009B04A5">
        <w:rPr>
          <w:rFonts w:ascii="Book Antiqua" w:hAnsi="Book Antiqua"/>
        </w:rPr>
        <w:t xml:space="preserve"> mutations)</w:t>
      </w:r>
      <w:r w:rsidR="000A6432" w:rsidRPr="009B04A5">
        <w:rPr>
          <w:rFonts w:ascii="Book Antiqua" w:hAnsi="Book Antiqua"/>
          <w:vertAlign w:val="superscript"/>
        </w:rPr>
        <w:t>[52]</w:t>
      </w:r>
      <w:r w:rsidR="008E33EE" w:rsidRPr="009B04A5">
        <w:rPr>
          <w:rFonts w:ascii="Book Antiqua" w:hAnsi="Book Antiqua"/>
        </w:rPr>
        <w:t xml:space="preserve">. </w:t>
      </w:r>
      <w:r w:rsidR="00F828CA" w:rsidRPr="009B04A5">
        <w:rPr>
          <w:rFonts w:ascii="Book Antiqua" w:hAnsi="Book Antiqua"/>
        </w:rPr>
        <w:t xml:space="preserve">Organista-Nava </w:t>
      </w:r>
      <w:r w:rsidR="00783C14" w:rsidRPr="009B04A5">
        <w:rPr>
          <w:rFonts w:ascii="Book Antiqua" w:hAnsi="Book Antiqua"/>
          <w:i/>
        </w:rPr>
        <w:t>et al</w:t>
      </w:r>
      <w:r w:rsidR="000A6432" w:rsidRPr="009B04A5">
        <w:rPr>
          <w:rFonts w:ascii="Book Antiqua" w:hAnsi="Book Antiqua"/>
          <w:vertAlign w:val="superscript"/>
        </w:rPr>
        <w:t>[90]</w:t>
      </w:r>
      <w:r w:rsidR="00741F94" w:rsidRPr="009B04A5">
        <w:rPr>
          <w:rFonts w:ascii="Book Antiqua" w:hAnsi="Book Antiqua"/>
        </w:rPr>
        <w:t xml:space="preserve"> </w:t>
      </w:r>
      <w:r w:rsidR="002C5609" w:rsidRPr="009B04A5">
        <w:rPr>
          <w:rFonts w:ascii="Book Antiqua" w:hAnsi="Book Antiqua"/>
        </w:rPr>
        <w:t xml:space="preserve">indicate miR-214 as an independent marker for predicting the clinical outcome in </w:t>
      </w:r>
      <w:r w:rsidR="002C5609" w:rsidRPr="009B04A5">
        <w:rPr>
          <w:rFonts w:ascii="Book Antiqua" w:hAnsi="Book Antiqua"/>
        </w:rPr>
        <w:lastRenderedPageBreak/>
        <w:t xml:space="preserve">both AML and ALL patients. Upregulation of miR-24 was significantly associated with poor prognosis, shorter </w:t>
      </w:r>
      <w:r w:rsidR="003E6954" w:rsidRPr="009B04A5">
        <w:rPr>
          <w:rFonts w:ascii="Book Antiqua" w:hAnsi="Book Antiqua"/>
        </w:rPr>
        <w:t>overall survival (OS),</w:t>
      </w:r>
      <w:r w:rsidR="002C5609" w:rsidRPr="009B04A5">
        <w:rPr>
          <w:rFonts w:ascii="Book Antiqua" w:hAnsi="Book Antiqua"/>
        </w:rPr>
        <w:t xml:space="preserve"> and </w:t>
      </w:r>
      <w:r w:rsidR="00AE37C0" w:rsidRPr="009B04A5">
        <w:rPr>
          <w:rFonts w:ascii="Book Antiqua" w:hAnsi="Book Antiqua"/>
        </w:rPr>
        <w:t>a</w:t>
      </w:r>
      <w:r w:rsidR="002C5609" w:rsidRPr="009B04A5">
        <w:rPr>
          <w:rFonts w:ascii="Book Antiqua" w:hAnsi="Book Antiqua"/>
        </w:rPr>
        <w:t xml:space="preserve"> high risk of</w:t>
      </w:r>
      <w:r w:rsidR="00AE37C0" w:rsidRPr="009B04A5">
        <w:rPr>
          <w:rFonts w:ascii="Book Antiqua" w:hAnsi="Book Antiqua"/>
        </w:rPr>
        <w:t xml:space="preserve"> leukemia</w:t>
      </w:r>
      <w:r w:rsidR="002C5609" w:rsidRPr="009B04A5">
        <w:rPr>
          <w:rFonts w:ascii="Book Antiqua" w:hAnsi="Book Antiqua"/>
        </w:rPr>
        <w:t xml:space="preserve"> relapse</w:t>
      </w:r>
      <w:r w:rsidR="00AE37C0" w:rsidRPr="009B04A5">
        <w:rPr>
          <w:rFonts w:ascii="Book Antiqua" w:hAnsi="Book Antiqua"/>
        </w:rPr>
        <w:t>.</w:t>
      </w:r>
    </w:p>
    <w:p w:rsidR="006A47F8" w:rsidRPr="009B04A5" w:rsidRDefault="00191E77" w:rsidP="00C709AE">
      <w:pPr>
        <w:adjustRightInd w:val="0"/>
        <w:snapToGrid w:val="0"/>
        <w:spacing w:line="360" w:lineRule="auto"/>
        <w:ind w:firstLineChars="100" w:firstLine="240"/>
        <w:rPr>
          <w:rFonts w:ascii="Book Antiqua" w:hAnsi="Book Antiqua"/>
        </w:rPr>
      </w:pPr>
      <w:r w:rsidRPr="009B04A5">
        <w:rPr>
          <w:rFonts w:ascii="Book Antiqua" w:hAnsi="Book Antiqua"/>
        </w:rPr>
        <w:t xml:space="preserve">One of the most interesting research results in this field </w:t>
      </w:r>
      <w:r w:rsidR="003E6954" w:rsidRPr="009B04A5">
        <w:rPr>
          <w:rFonts w:ascii="Book Antiqua" w:hAnsi="Book Antiqua"/>
        </w:rPr>
        <w:t xml:space="preserve">were </w:t>
      </w:r>
      <w:r w:rsidRPr="009B04A5">
        <w:rPr>
          <w:rFonts w:ascii="Book Antiqua" w:hAnsi="Book Antiqua"/>
        </w:rPr>
        <w:t>presented</w:t>
      </w:r>
      <w:r w:rsidR="003E6954" w:rsidRPr="009B04A5">
        <w:rPr>
          <w:rFonts w:ascii="Book Antiqua" w:hAnsi="Book Antiqua"/>
        </w:rPr>
        <w:t xml:space="preserve"> by</w:t>
      </w:r>
      <w:r w:rsidRPr="009B04A5">
        <w:rPr>
          <w:rFonts w:ascii="Book Antiqua" w:hAnsi="Book Antiqua"/>
        </w:rPr>
        <w:t xml:space="preserve"> the team of Nemes </w:t>
      </w:r>
      <w:r w:rsidR="00783C14" w:rsidRPr="009B04A5">
        <w:rPr>
          <w:rFonts w:ascii="Book Antiqua" w:hAnsi="Book Antiqua"/>
          <w:i/>
        </w:rPr>
        <w:t>et al</w:t>
      </w:r>
      <w:r w:rsidR="000A6432" w:rsidRPr="009B04A5">
        <w:rPr>
          <w:rFonts w:ascii="Book Antiqua" w:hAnsi="Book Antiqua"/>
          <w:vertAlign w:val="superscript"/>
        </w:rPr>
        <w:t>[94]</w:t>
      </w:r>
      <w:r w:rsidR="00CE0C4C" w:rsidRPr="009B04A5">
        <w:rPr>
          <w:rFonts w:ascii="Book Antiqua" w:hAnsi="Book Antiqua"/>
        </w:rPr>
        <w:t xml:space="preserve">. Researchers </w:t>
      </w:r>
      <w:r w:rsidR="00937DA5" w:rsidRPr="009B04A5">
        <w:rPr>
          <w:rFonts w:ascii="Book Antiqua" w:hAnsi="Book Antiqua"/>
        </w:rPr>
        <w:t xml:space="preserve">collected PB and </w:t>
      </w:r>
      <w:r w:rsidR="003E6954" w:rsidRPr="009B04A5">
        <w:rPr>
          <w:rFonts w:ascii="Book Antiqua" w:hAnsi="Book Antiqua"/>
        </w:rPr>
        <w:t xml:space="preserve">bone marrow </w:t>
      </w:r>
      <w:r w:rsidR="00937DA5" w:rsidRPr="009B04A5">
        <w:rPr>
          <w:rFonts w:ascii="Book Antiqua" w:hAnsi="Book Antiqua"/>
        </w:rPr>
        <w:t xml:space="preserve">samples from 24 ALL patients from all phases of treatment </w:t>
      </w:r>
      <w:r w:rsidR="006A47F8" w:rsidRPr="009B04A5">
        <w:rPr>
          <w:rFonts w:ascii="Book Antiqua" w:hAnsi="Book Antiqua"/>
        </w:rPr>
        <w:t>[</w:t>
      </w:r>
      <w:r w:rsidR="00937DA5" w:rsidRPr="009B04A5">
        <w:rPr>
          <w:rFonts w:ascii="Book Antiqua" w:hAnsi="Book Antiqua"/>
        </w:rPr>
        <w:t>collected at diagnosis, at conventional response checkpoints (on days 15, 33), and before beginning protocol M</w:t>
      </w:r>
      <w:r w:rsidR="006A47F8" w:rsidRPr="009B04A5">
        <w:rPr>
          <w:rFonts w:ascii="Book Antiqua" w:hAnsi="Book Antiqua"/>
        </w:rPr>
        <w:t>]</w:t>
      </w:r>
      <w:r w:rsidR="00937DA5" w:rsidRPr="009B04A5">
        <w:rPr>
          <w:rFonts w:ascii="Book Antiqua" w:hAnsi="Book Antiqua"/>
        </w:rPr>
        <w:t>. Differentiated expression of set miRNAs (miRNA-16, miRNA-21, miRNA-24, miRNA-29b, miRNA-128b, miRNA-142-3p, miRNA-155</w:t>
      </w:r>
      <w:r w:rsidR="003E6954" w:rsidRPr="009B04A5">
        <w:rPr>
          <w:rFonts w:ascii="Book Antiqua" w:hAnsi="Book Antiqua"/>
        </w:rPr>
        <w:t>,</w:t>
      </w:r>
      <w:r w:rsidR="00937DA5" w:rsidRPr="009B04A5">
        <w:rPr>
          <w:rFonts w:ascii="Book Antiqua" w:hAnsi="Book Antiqua"/>
        </w:rPr>
        <w:t xml:space="preserve"> and miRNA-223) with potential </w:t>
      </w:r>
      <w:r w:rsidR="00AE37C0" w:rsidRPr="009B04A5">
        <w:rPr>
          <w:rFonts w:ascii="Book Antiqua" w:hAnsi="Book Antiqua"/>
        </w:rPr>
        <w:t>roles</w:t>
      </w:r>
      <w:r w:rsidR="00937DA5" w:rsidRPr="009B04A5">
        <w:rPr>
          <w:rFonts w:ascii="Book Antiqua" w:hAnsi="Book Antiqua"/>
        </w:rPr>
        <w:t xml:space="preserve"> in hematologic malignancies </w:t>
      </w:r>
      <w:r w:rsidR="00AE37C0" w:rsidRPr="009B04A5">
        <w:rPr>
          <w:rFonts w:ascii="Book Antiqua" w:hAnsi="Book Antiqua"/>
        </w:rPr>
        <w:t>was</w:t>
      </w:r>
      <w:r w:rsidR="00937DA5" w:rsidRPr="009B04A5">
        <w:rPr>
          <w:rFonts w:ascii="Book Antiqua" w:hAnsi="Book Antiqua"/>
        </w:rPr>
        <w:t xml:space="preserve"> analyzed. </w:t>
      </w:r>
      <w:r w:rsidR="00937DA5" w:rsidRPr="009B04A5">
        <w:rPr>
          <w:rStyle w:val="tlid-translation"/>
          <w:rFonts w:ascii="Book Antiqua" w:hAnsi="Book Antiqua"/>
        </w:rPr>
        <w:t>Based on the results obtained, it was concluded that</w:t>
      </w:r>
      <w:r w:rsidR="00937DA5" w:rsidRPr="009B04A5">
        <w:rPr>
          <w:rFonts w:ascii="Book Antiqua" w:hAnsi="Book Antiqua"/>
        </w:rPr>
        <w:t xml:space="preserve"> miR-223 (involved in the regulation of</w:t>
      </w:r>
      <w:r w:rsidR="00AE37C0" w:rsidRPr="009B04A5">
        <w:rPr>
          <w:rFonts w:ascii="Book Antiqua" w:hAnsi="Book Antiqua"/>
        </w:rPr>
        <w:t xml:space="preserve"> the</w:t>
      </w:r>
      <w:r w:rsidR="00937DA5" w:rsidRPr="009B04A5">
        <w:rPr>
          <w:rFonts w:ascii="Book Antiqua" w:hAnsi="Book Antiqua"/>
        </w:rPr>
        <w:t xml:space="preserve"> cell cycle or different signaling </w:t>
      </w:r>
      <w:r w:rsidR="00AE37C0" w:rsidRPr="009B04A5">
        <w:rPr>
          <w:rFonts w:ascii="Book Antiqua" w:hAnsi="Book Antiqua"/>
        </w:rPr>
        <w:t>mechanisms, such as</w:t>
      </w:r>
      <w:r w:rsidR="00937DA5" w:rsidRPr="009B04A5">
        <w:rPr>
          <w:rFonts w:ascii="Book Antiqua" w:hAnsi="Book Antiqua"/>
        </w:rPr>
        <w:t xml:space="preserve"> </w:t>
      </w:r>
      <w:r w:rsidR="00937DA5" w:rsidRPr="009B04A5">
        <w:rPr>
          <w:rFonts w:ascii="Book Antiqua" w:hAnsi="Book Antiqua"/>
          <w:i/>
        </w:rPr>
        <w:t>E2F1</w:t>
      </w:r>
      <w:r w:rsidR="00937DA5" w:rsidRPr="009B04A5">
        <w:rPr>
          <w:rFonts w:ascii="Book Antiqua" w:hAnsi="Book Antiqua"/>
        </w:rPr>
        <w:t>, CEBPα,</w:t>
      </w:r>
      <w:r w:rsidR="003E6954" w:rsidRPr="009B04A5">
        <w:rPr>
          <w:rFonts w:ascii="Book Antiqua" w:hAnsi="Book Antiqua"/>
        </w:rPr>
        <w:t xml:space="preserve"> and</w:t>
      </w:r>
      <w:r w:rsidR="00937DA5" w:rsidRPr="009B04A5">
        <w:rPr>
          <w:rFonts w:ascii="Book Antiqua" w:hAnsi="Book Antiqua"/>
        </w:rPr>
        <w:t xml:space="preserve"> </w:t>
      </w:r>
      <w:r w:rsidR="00937DA5" w:rsidRPr="009B04A5">
        <w:rPr>
          <w:rFonts w:ascii="Book Antiqua" w:hAnsi="Book Antiqua"/>
          <w:i/>
        </w:rPr>
        <w:t>E2A</w:t>
      </w:r>
      <w:r w:rsidR="00DC6A13" w:rsidRPr="009B04A5">
        <w:rPr>
          <w:rFonts w:ascii="Book Antiqua" w:hAnsi="Book Antiqua"/>
        </w:rPr>
        <w:t xml:space="preserve">) and miR-128b (play </w:t>
      </w:r>
      <w:r w:rsidR="00AE37C0" w:rsidRPr="009B04A5">
        <w:rPr>
          <w:rFonts w:ascii="Book Antiqua" w:hAnsi="Book Antiqua"/>
        </w:rPr>
        <w:t>roles</w:t>
      </w:r>
      <w:r w:rsidR="00DC6A13" w:rsidRPr="009B04A5">
        <w:rPr>
          <w:rFonts w:ascii="Book Antiqua" w:hAnsi="Book Antiqua"/>
        </w:rPr>
        <w:t xml:space="preserve"> in the regulation of </w:t>
      </w:r>
      <w:r w:rsidR="00AE37C0" w:rsidRPr="009B04A5">
        <w:rPr>
          <w:rFonts w:ascii="Book Antiqua" w:hAnsi="Book Antiqua"/>
        </w:rPr>
        <w:t xml:space="preserve">the </w:t>
      </w:r>
      <w:r w:rsidR="00DC6A13" w:rsidRPr="009B04A5">
        <w:rPr>
          <w:rFonts w:ascii="Book Antiqua" w:hAnsi="Book Antiqua"/>
          <w:i/>
        </w:rPr>
        <w:t>PI3K-AKT-mTOR</w:t>
      </w:r>
      <w:r w:rsidR="00DC6A13" w:rsidRPr="009B04A5">
        <w:rPr>
          <w:rFonts w:ascii="Book Antiqua" w:hAnsi="Book Antiqua"/>
        </w:rPr>
        <w:t xml:space="preserve"> signaling pathway through downregulation of </w:t>
      </w:r>
      <w:r w:rsidR="00DC6A13" w:rsidRPr="009B04A5">
        <w:rPr>
          <w:rFonts w:ascii="Book Antiqua" w:hAnsi="Book Antiqua"/>
          <w:i/>
        </w:rPr>
        <w:t>PTEN</w:t>
      </w:r>
      <w:r w:rsidR="002C5609" w:rsidRPr="009B04A5">
        <w:rPr>
          <w:rFonts w:ascii="Book Antiqua" w:hAnsi="Book Antiqua"/>
        </w:rPr>
        <w:t xml:space="preserve">) expression </w:t>
      </w:r>
      <w:r w:rsidR="00AE37C0" w:rsidRPr="009B04A5">
        <w:rPr>
          <w:rFonts w:ascii="Book Antiqua" w:hAnsi="Book Antiqua"/>
        </w:rPr>
        <w:t>signatures</w:t>
      </w:r>
      <w:r w:rsidR="002C5609" w:rsidRPr="009B04A5">
        <w:rPr>
          <w:rFonts w:ascii="Book Antiqua" w:hAnsi="Book Antiqua"/>
        </w:rPr>
        <w:t xml:space="preserve"> could be possible predictors of ALL relapse. </w:t>
      </w:r>
      <w:r w:rsidR="00E9292B" w:rsidRPr="009B04A5">
        <w:rPr>
          <w:rFonts w:ascii="Book Antiqua" w:hAnsi="Book Antiqua"/>
        </w:rPr>
        <w:t xml:space="preserve">Nemes </w:t>
      </w:r>
      <w:r w:rsidR="00783C14" w:rsidRPr="009B04A5">
        <w:rPr>
          <w:rFonts w:ascii="Book Antiqua" w:hAnsi="Book Antiqua"/>
          <w:i/>
        </w:rPr>
        <w:t>et al</w:t>
      </w:r>
      <w:r w:rsidR="000A6432" w:rsidRPr="009B04A5">
        <w:rPr>
          <w:rFonts w:ascii="Book Antiqua" w:hAnsi="Book Antiqua"/>
          <w:vertAlign w:val="superscript"/>
        </w:rPr>
        <w:t>[94]</w:t>
      </w:r>
      <w:r w:rsidR="002C5609" w:rsidRPr="009B04A5">
        <w:rPr>
          <w:rFonts w:ascii="Book Antiqua" w:hAnsi="Book Antiqua"/>
        </w:rPr>
        <w:t xml:space="preserve"> determined in </w:t>
      </w:r>
      <w:r w:rsidR="00AE37C0" w:rsidRPr="009B04A5">
        <w:rPr>
          <w:rFonts w:ascii="Book Antiqua" w:hAnsi="Book Antiqua"/>
        </w:rPr>
        <w:t>general</w:t>
      </w:r>
      <w:r w:rsidR="002C5609" w:rsidRPr="009B04A5">
        <w:rPr>
          <w:rFonts w:ascii="Book Antiqua" w:hAnsi="Book Antiqua"/>
        </w:rPr>
        <w:t xml:space="preserve"> that high </w:t>
      </w:r>
      <w:r w:rsidR="00AE37C0" w:rsidRPr="009B04A5">
        <w:rPr>
          <w:rFonts w:ascii="Book Antiqua" w:hAnsi="Book Antiqua"/>
        </w:rPr>
        <w:t>levels</w:t>
      </w:r>
      <w:r w:rsidR="002C5609" w:rsidRPr="009B04A5">
        <w:rPr>
          <w:rFonts w:ascii="Book Antiqua" w:hAnsi="Book Antiqua"/>
        </w:rPr>
        <w:t xml:space="preserve"> of miR-128b and low </w:t>
      </w:r>
      <w:r w:rsidR="00AE37C0" w:rsidRPr="009B04A5">
        <w:rPr>
          <w:rFonts w:ascii="Book Antiqua" w:hAnsi="Book Antiqua"/>
        </w:rPr>
        <w:t>levels</w:t>
      </w:r>
      <w:r w:rsidR="002C5609" w:rsidRPr="009B04A5">
        <w:rPr>
          <w:rFonts w:ascii="Book Antiqua" w:hAnsi="Book Antiqua"/>
        </w:rPr>
        <w:t xml:space="preserve"> of miR-223 </w:t>
      </w:r>
      <w:r w:rsidR="00AE37C0" w:rsidRPr="009B04A5">
        <w:rPr>
          <w:rFonts w:ascii="Book Antiqua" w:hAnsi="Book Antiqua"/>
        </w:rPr>
        <w:t>show</w:t>
      </w:r>
      <w:r w:rsidR="002C5609" w:rsidRPr="009B04A5">
        <w:rPr>
          <w:rFonts w:ascii="Book Antiqua" w:hAnsi="Book Antiqua"/>
        </w:rPr>
        <w:t xml:space="preserve"> a significant correlation with good prednisolone response and better prognosis in childhood ALL. In particular</w:t>
      </w:r>
      <w:r w:rsidR="00AE37C0" w:rsidRPr="009B04A5">
        <w:rPr>
          <w:rFonts w:ascii="Book Antiqua" w:hAnsi="Book Antiqua"/>
        </w:rPr>
        <w:t>,</w:t>
      </w:r>
      <w:r w:rsidR="002C5609" w:rsidRPr="009B04A5">
        <w:rPr>
          <w:rFonts w:ascii="Book Antiqua" w:hAnsi="Book Antiqua"/>
        </w:rPr>
        <w:t xml:space="preserve"> they found an extreme </w:t>
      </w:r>
      <w:r w:rsidR="00FD7419" w:rsidRPr="009B04A5">
        <w:rPr>
          <w:rFonts w:ascii="Book Antiqua" w:hAnsi="Book Antiqua"/>
        </w:rPr>
        <w:t xml:space="preserve">high expression level </w:t>
      </w:r>
      <w:r w:rsidR="002C5609" w:rsidRPr="009B04A5">
        <w:rPr>
          <w:rFonts w:ascii="Book Antiqua" w:hAnsi="Book Antiqua"/>
        </w:rPr>
        <w:t>of miR-128b at diagnosis, which significantly decreased as patients entered remission where normal levels of miR-128b expression for mononuclear cells were detected. Conversely, miR-223 expression can be undetectable at diagnosis, but during treatment and in remission</w:t>
      </w:r>
      <w:r w:rsidR="00AE37C0" w:rsidRPr="009B04A5">
        <w:rPr>
          <w:rFonts w:ascii="Book Antiqua" w:hAnsi="Book Antiqua"/>
        </w:rPr>
        <w:t>, the</w:t>
      </w:r>
      <w:r w:rsidR="002C5609" w:rsidRPr="009B04A5">
        <w:rPr>
          <w:rFonts w:ascii="Book Antiqua" w:hAnsi="Book Antiqua"/>
        </w:rPr>
        <w:t xml:space="preserve"> level of miRNA is standard and then </w:t>
      </w:r>
      <w:r w:rsidR="00AE37C0" w:rsidRPr="009B04A5">
        <w:rPr>
          <w:rFonts w:ascii="Book Antiqua" w:hAnsi="Book Antiqua"/>
        </w:rPr>
        <w:t>decreases</w:t>
      </w:r>
      <w:r w:rsidR="002C5609" w:rsidRPr="009B04A5">
        <w:rPr>
          <w:rFonts w:ascii="Book Antiqua" w:hAnsi="Book Antiqua"/>
        </w:rPr>
        <w:t xml:space="preserve"> again at relapse</w:t>
      </w:r>
      <w:r w:rsidR="000A6432" w:rsidRPr="009B04A5">
        <w:rPr>
          <w:rFonts w:ascii="Book Antiqua" w:hAnsi="Book Antiqua"/>
          <w:vertAlign w:val="superscript"/>
        </w:rPr>
        <w:t>[94]</w:t>
      </w:r>
      <w:r w:rsidR="002C5609" w:rsidRPr="009B04A5">
        <w:rPr>
          <w:rFonts w:ascii="Book Antiqua" w:hAnsi="Book Antiqua"/>
        </w:rPr>
        <w:t>.</w:t>
      </w:r>
    </w:p>
    <w:p w:rsidR="006A47F8" w:rsidRPr="009B04A5" w:rsidRDefault="00E138C5" w:rsidP="00C709AE">
      <w:pPr>
        <w:adjustRightInd w:val="0"/>
        <w:snapToGrid w:val="0"/>
        <w:spacing w:line="360" w:lineRule="auto"/>
        <w:ind w:firstLineChars="100" w:firstLine="240"/>
        <w:rPr>
          <w:rStyle w:val="tlid-translation"/>
          <w:rFonts w:ascii="Book Antiqua" w:hAnsi="Book Antiqua"/>
        </w:rPr>
      </w:pPr>
      <w:r w:rsidRPr="009B04A5">
        <w:rPr>
          <w:rStyle w:val="tlid-translation"/>
          <w:rFonts w:ascii="Book Antiqua" w:hAnsi="Book Antiqua"/>
        </w:rPr>
        <w:t>Among the newly</w:t>
      </w:r>
      <w:r w:rsidR="00AE37C0" w:rsidRPr="009B04A5">
        <w:rPr>
          <w:rStyle w:val="tlid-translation"/>
          <w:rFonts w:ascii="Book Antiqua" w:hAnsi="Book Antiqua"/>
        </w:rPr>
        <w:t xml:space="preserve"> </w:t>
      </w:r>
      <w:r w:rsidRPr="009B04A5">
        <w:rPr>
          <w:rStyle w:val="tlid-translation"/>
          <w:rFonts w:ascii="Book Antiqua" w:hAnsi="Book Antiqua"/>
        </w:rPr>
        <w:t xml:space="preserve">typed </w:t>
      </w:r>
      <w:r w:rsidRPr="009B04A5">
        <w:rPr>
          <w:rFonts w:ascii="Book Antiqua" w:hAnsi="Book Antiqua"/>
        </w:rPr>
        <w:t>prognostic and therapeutic</w:t>
      </w:r>
      <w:r w:rsidRPr="009B04A5">
        <w:rPr>
          <w:rStyle w:val="tlid-translation"/>
          <w:rFonts w:ascii="Book Antiqua" w:hAnsi="Book Antiqua"/>
        </w:rPr>
        <w:t xml:space="preserve"> markers for pediatric AL is miR-335, </w:t>
      </w:r>
      <w:r w:rsidR="00AE37C0" w:rsidRPr="009B04A5">
        <w:rPr>
          <w:rFonts w:ascii="Book Antiqua" w:hAnsi="Book Antiqua"/>
        </w:rPr>
        <w:t>which acts</w:t>
      </w:r>
      <w:r w:rsidRPr="009B04A5">
        <w:rPr>
          <w:rFonts w:ascii="Book Antiqua" w:hAnsi="Book Antiqua"/>
        </w:rPr>
        <w:t xml:space="preserve"> as a tumor suppressor</w:t>
      </w:r>
      <w:r w:rsidR="00AE37C0" w:rsidRPr="009B04A5">
        <w:rPr>
          <w:rStyle w:val="tlid-translation"/>
          <w:rFonts w:ascii="Book Antiqua" w:hAnsi="Book Antiqua"/>
        </w:rPr>
        <w:t xml:space="preserve"> and targets</w:t>
      </w:r>
      <w:r w:rsidRPr="009B04A5">
        <w:rPr>
          <w:rStyle w:val="tlid-translation"/>
          <w:rFonts w:ascii="Book Antiqua" w:hAnsi="Book Antiqua"/>
        </w:rPr>
        <w:t xml:space="preserve"> genes</w:t>
      </w:r>
      <w:r w:rsidR="00AE37C0" w:rsidRPr="009B04A5">
        <w:rPr>
          <w:rFonts w:ascii="Book Antiqua" w:hAnsi="Book Antiqua"/>
        </w:rPr>
        <w:t xml:space="preserve"> that participate</w:t>
      </w:r>
      <w:r w:rsidRPr="009B04A5">
        <w:rPr>
          <w:rFonts w:ascii="Book Antiqua" w:hAnsi="Book Antiqua"/>
        </w:rPr>
        <w:t xml:space="preserve"> in most of the important biological </w:t>
      </w:r>
      <w:r w:rsidR="00AE37C0" w:rsidRPr="009B04A5">
        <w:rPr>
          <w:rFonts w:ascii="Book Antiqua" w:hAnsi="Book Antiqua"/>
        </w:rPr>
        <w:t>processes</w:t>
      </w:r>
      <w:r w:rsidRPr="009B04A5">
        <w:rPr>
          <w:rFonts w:ascii="Book Antiqua" w:hAnsi="Book Antiqua"/>
        </w:rPr>
        <w:t xml:space="preserve"> associated with human cancer and </w:t>
      </w:r>
      <w:r w:rsidR="000444FB" w:rsidRPr="009B04A5">
        <w:rPr>
          <w:rFonts w:ascii="Book Antiqua" w:hAnsi="Book Antiqua"/>
        </w:rPr>
        <w:t xml:space="preserve">is </w:t>
      </w:r>
      <w:r w:rsidRPr="009B04A5">
        <w:rPr>
          <w:rFonts w:ascii="Book Antiqua" w:hAnsi="Book Antiqua"/>
        </w:rPr>
        <w:t xml:space="preserve">involved in pathways such as </w:t>
      </w:r>
      <w:r w:rsidRPr="009B04A5">
        <w:rPr>
          <w:rFonts w:ascii="Book Antiqua" w:hAnsi="Book Antiqua"/>
          <w:iCs/>
        </w:rPr>
        <w:t xml:space="preserve">p53, </w:t>
      </w:r>
      <w:r w:rsidR="00800655" w:rsidRPr="009B04A5">
        <w:rPr>
          <w:rFonts w:ascii="Book Antiqua" w:hAnsi="Book Antiqua"/>
          <w:iCs/>
        </w:rPr>
        <w:t>mitogen activated protein kinase</w:t>
      </w:r>
      <w:r w:rsidRPr="009B04A5">
        <w:rPr>
          <w:rFonts w:ascii="Book Antiqua" w:hAnsi="Book Antiqua"/>
          <w:iCs/>
        </w:rPr>
        <w:t xml:space="preserve">, TGF-β, Wnt, </w:t>
      </w:r>
      <w:r w:rsidR="00800655" w:rsidRPr="009B04A5">
        <w:rPr>
          <w:rFonts w:ascii="Book Antiqua" w:hAnsi="Book Antiqua"/>
          <w:iCs/>
        </w:rPr>
        <w:t>epidermal growth factor</w:t>
      </w:r>
      <w:r w:rsidRPr="009B04A5">
        <w:rPr>
          <w:rFonts w:ascii="Book Antiqua" w:hAnsi="Book Antiqua"/>
          <w:iCs/>
        </w:rPr>
        <w:t xml:space="preserve">, </w:t>
      </w:r>
      <w:r w:rsidR="00800655" w:rsidRPr="009B04A5">
        <w:rPr>
          <w:rFonts w:ascii="Book Antiqua" w:hAnsi="Book Antiqua"/>
          <w:iCs/>
        </w:rPr>
        <w:t>mammalian target of rapamycin</w:t>
      </w:r>
      <w:r w:rsidRPr="009B04A5">
        <w:rPr>
          <w:rFonts w:ascii="Book Antiqua" w:hAnsi="Book Antiqua"/>
          <w:iCs/>
        </w:rPr>
        <w:t>, Toll-like</w:t>
      </w:r>
      <w:r w:rsidRPr="009B04A5">
        <w:rPr>
          <w:rFonts w:ascii="Book Antiqua" w:hAnsi="Book Antiqua"/>
        </w:rPr>
        <w:t xml:space="preserve"> receptor</w:t>
      </w:r>
      <w:r w:rsidR="00800655" w:rsidRPr="009B04A5">
        <w:rPr>
          <w:rFonts w:ascii="Book Antiqua" w:hAnsi="Book Antiqua"/>
        </w:rPr>
        <w:t>,</w:t>
      </w:r>
      <w:r w:rsidRPr="009B04A5">
        <w:rPr>
          <w:rFonts w:ascii="Book Antiqua" w:hAnsi="Book Antiqua"/>
        </w:rPr>
        <w:t xml:space="preserve"> and focal adhesion</w:t>
      </w:r>
      <w:r w:rsidR="000A6432" w:rsidRPr="009B04A5">
        <w:rPr>
          <w:rFonts w:ascii="Book Antiqua" w:hAnsi="Book Antiqua"/>
          <w:vertAlign w:val="superscript"/>
        </w:rPr>
        <w:t>[95]</w:t>
      </w:r>
      <w:r w:rsidR="00F828CA" w:rsidRPr="009B04A5">
        <w:rPr>
          <w:rFonts w:ascii="Book Antiqua" w:hAnsi="Book Antiqua"/>
        </w:rPr>
        <w:t xml:space="preserve">. </w:t>
      </w:r>
      <w:r w:rsidR="000444FB" w:rsidRPr="009B04A5">
        <w:rPr>
          <w:rFonts w:ascii="Book Antiqua" w:hAnsi="Book Antiqua"/>
        </w:rPr>
        <w:t xml:space="preserve">Using genome-wide miRNA microarray analysis, </w:t>
      </w:r>
      <w:r w:rsidR="00F828CA" w:rsidRPr="009B04A5">
        <w:rPr>
          <w:rFonts w:ascii="Book Antiqua" w:hAnsi="Book Antiqua"/>
        </w:rPr>
        <w:t xml:space="preserve">Yan </w:t>
      </w:r>
      <w:r w:rsidR="00783C14" w:rsidRPr="009B04A5">
        <w:rPr>
          <w:rFonts w:ascii="Book Antiqua" w:hAnsi="Book Antiqua"/>
          <w:i/>
        </w:rPr>
        <w:t>et al</w:t>
      </w:r>
      <w:r w:rsidR="000A6432" w:rsidRPr="009B04A5">
        <w:rPr>
          <w:rFonts w:ascii="Book Antiqua" w:hAnsi="Book Antiqua"/>
          <w:vertAlign w:val="superscript"/>
        </w:rPr>
        <w:t>[96]</w:t>
      </w:r>
      <w:r w:rsidRPr="009B04A5">
        <w:rPr>
          <w:rFonts w:ascii="Book Antiqua" w:hAnsi="Book Antiqua"/>
        </w:rPr>
        <w:t xml:space="preserve"> found that low expression level of </w:t>
      </w:r>
      <w:r w:rsidR="00AE37C0" w:rsidRPr="009B04A5">
        <w:rPr>
          <w:rFonts w:ascii="Book Antiqua" w:hAnsi="Book Antiqua"/>
        </w:rPr>
        <w:t>miR</w:t>
      </w:r>
      <w:r w:rsidRPr="009B04A5">
        <w:rPr>
          <w:rFonts w:ascii="Book Antiqua" w:hAnsi="Book Antiqua"/>
        </w:rPr>
        <w:t xml:space="preserve">-335 </w:t>
      </w:r>
      <w:r w:rsidR="00C3168F" w:rsidRPr="009B04A5">
        <w:rPr>
          <w:rFonts w:ascii="Book Antiqua" w:hAnsi="Book Antiqua"/>
        </w:rPr>
        <w:t xml:space="preserve">was </w:t>
      </w:r>
      <w:r w:rsidRPr="009B04A5">
        <w:rPr>
          <w:rFonts w:ascii="Book Antiqua" w:hAnsi="Book Antiqua"/>
        </w:rPr>
        <w:t xml:space="preserve">associated with unfavorable </w:t>
      </w:r>
      <w:r w:rsidR="00AE37C0" w:rsidRPr="009B04A5">
        <w:rPr>
          <w:rFonts w:ascii="Book Antiqua" w:hAnsi="Book Antiqua"/>
        </w:rPr>
        <w:t>prognosis</w:t>
      </w:r>
      <w:r w:rsidRPr="009B04A5">
        <w:rPr>
          <w:rFonts w:ascii="Book Antiqua" w:hAnsi="Book Antiqua"/>
        </w:rPr>
        <w:t>, poorer 5-year event-free survival</w:t>
      </w:r>
      <w:r w:rsidR="00800655" w:rsidRPr="009B04A5">
        <w:rPr>
          <w:rFonts w:ascii="Book Antiqua" w:hAnsi="Book Antiqua"/>
        </w:rPr>
        <w:t>,</w:t>
      </w:r>
      <w:r w:rsidRPr="009B04A5">
        <w:rPr>
          <w:rFonts w:ascii="Book Antiqua" w:hAnsi="Book Antiqua"/>
        </w:rPr>
        <w:t xml:space="preserve"> and glucocorticoid resistance in ALL. </w:t>
      </w:r>
      <w:r w:rsidRPr="009B04A5">
        <w:rPr>
          <w:rStyle w:val="alt-edited"/>
          <w:rFonts w:ascii="Book Antiqua" w:hAnsi="Book Antiqua"/>
        </w:rPr>
        <w:t xml:space="preserve">Moreover, the study highlighted the potential mechanism of silencing the expression of </w:t>
      </w:r>
      <w:r w:rsidRPr="009B04A5">
        <w:rPr>
          <w:rFonts w:ascii="Book Antiqua" w:hAnsi="Book Antiqua"/>
        </w:rPr>
        <w:t>mi</w:t>
      </w:r>
      <w:r w:rsidR="000444FB" w:rsidRPr="009B04A5">
        <w:rPr>
          <w:rFonts w:ascii="Book Antiqua" w:hAnsi="Book Antiqua"/>
        </w:rPr>
        <w:t>R</w:t>
      </w:r>
      <w:r w:rsidRPr="009B04A5">
        <w:rPr>
          <w:rFonts w:ascii="Book Antiqua" w:hAnsi="Book Antiqua"/>
        </w:rPr>
        <w:t>-335</w:t>
      </w:r>
      <w:r w:rsidRPr="009B04A5">
        <w:rPr>
          <w:rStyle w:val="alt-edited"/>
          <w:rFonts w:ascii="Book Antiqua" w:hAnsi="Book Antiqua"/>
        </w:rPr>
        <w:t>.</w:t>
      </w:r>
      <w:r w:rsidRPr="009B04A5">
        <w:rPr>
          <w:rStyle w:val="tlid-translation"/>
          <w:rFonts w:ascii="Book Antiqua" w:hAnsi="Book Antiqua"/>
        </w:rPr>
        <w:t xml:space="preserve"> </w:t>
      </w:r>
      <w:r w:rsidRPr="009B04A5">
        <w:rPr>
          <w:rStyle w:val="tlid-translation"/>
          <w:rFonts w:ascii="Book Antiqua" w:hAnsi="Book Antiqua"/>
        </w:rPr>
        <w:lastRenderedPageBreak/>
        <w:t>According to previous observations of recurrent leukemia</w:t>
      </w:r>
      <w:r w:rsidR="000A6432" w:rsidRPr="009B04A5">
        <w:rPr>
          <w:rStyle w:val="tlid-translation"/>
          <w:rFonts w:ascii="Book Antiqua" w:hAnsi="Book Antiqua"/>
          <w:vertAlign w:val="superscript"/>
        </w:rPr>
        <w:t>[97-99]</w:t>
      </w:r>
      <w:r w:rsidRPr="009B04A5">
        <w:rPr>
          <w:rStyle w:val="tlid-translation"/>
          <w:rFonts w:ascii="Book Antiqua" w:hAnsi="Book Antiqua"/>
        </w:rPr>
        <w:t xml:space="preserve">, epigenetic silencing </w:t>
      </w:r>
      <w:r w:rsidRPr="009B04A5">
        <w:rPr>
          <w:rFonts w:ascii="Book Antiqua" w:hAnsi="Book Antiqua"/>
        </w:rPr>
        <w:t xml:space="preserve">through DNA methylation was suggested. </w:t>
      </w:r>
      <w:r w:rsidR="00F828CA" w:rsidRPr="009B04A5">
        <w:rPr>
          <w:rFonts w:ascii="Book Antiqua" w:hAnsi="Book Antiqua"/>
        </w:rPr>
        <w:t xml:space="preserve">Yan </w:t>
      </w:r>
      <w:r w:rsidR="00783C14" w:rsidRPr="009B04A5">
        <w:rPr>
          <w:rFonts w:ascii="Book Antiqua" w:hAnsi="Book Antiqua"/>
          <w:i/>
        </w:rPr>
        <w:t>et al</w:t>
      </w:r>
      <w:r w:rsidR="000A6432" w:rsidRPr="009B04A5">
        <w:rPr>
          <w:rFonts w:ascii="Book Antiqua" w:hAnsi="Book Antiqua"/>
          <w:vertAlign w:val="superscript"/>
        </w:rPr>
        <w:t>[96]</w:t>
      </w:r>
      <w:r w:rsidRPr="009B04A5">
        <w:rPr>
          <w:rFonts w:ascii="Book Antiqua" w:hAnsi="Book Antiqua"/>
        </w:rPr>
        <w:t xml:space="preserve"> </w:t>
      </w:r>
      <w:r w:rsidR="000444FB" w:rsidRPr="009B04A5">
        <w:rPr>
          <w:rStyle w:val="tlid-translation"/>
          <w:rFonts w:ascii="Book Antiqua" w:hAnsi="Book Antiqua"/>
        </w:rPr>
        <w:t>used the</w:t>
      </w:r>
      <w:r w:rsidRPr="009B04A5">
        <w:rPr>
          <w:rStyle w:val="tlid-translation"/>
          <w:rFonts w:ascii="Book Antiqua" w:hAnsi="Book Antiqua"/>
        </w:rPr>
        <w:t xml:space="preserve"> </w:t>
      </w:r>
      <w:r w:rsidRPr="009B04A5">
        <w:rPr>
          <w:rFonts w:ascii="Book Antiqua" w:hAnsi="Book Antiqua"/>
        </w:rPr>
        <w:t xml:space="preserve">results of </w:t>
      </w:r>
      <w:r w:rsidRPr="009B04A5">
        <w:rPr>
          <w:rFonts w:ascii="Book Antiqua" w:hAnsi="Book Antiqua"/>
          <w:i/>
        </w:rPr>
        <w:t>in vitro</w:t>
      </w:r>
      <w:r w:rsidRPr="009B04A5">
        <w:rPr>
          <w:rFonts w:ascii="Book Antiqua" w:hAnsi="Book Antiqua"/>
        </w:rPr>
        <w:t xml:space="preserve"> experiments </w:t>
      </w:r>
      <w:r w:rsidR="000444FB" w:rsidRPr="009B04A5">
        <w:rPr>
          <w:rFonts w:ascii="Book Antiqua" w:hAnsi="Book Antiqua"/>
        </w:rPr>
        <w:t xml:space="preserve">to show </w:t>
      </w:r>
      <w:r w:rsidRPr="009B04A5">
        <w:rPr>
          <w:rFonts w:ascii="Book Antiqua" w:hAnsi="Book Antiqua"/>
        </w:rPr>
        <w:t>that exogenous expression of miR-335 in leukemic cells increases sensitization to prednisolone-mediated apoptosis</w:t>
      </w:r>
      <w:r w:rsidR="00AE37C0" w:rsidRPr="009B04A5">
        <w:rPr>
          <w:rFonts w:ascii="Book Antiqua" w:hAnsi="Book Antiqua"/>
        </w:rPr>
        <w:t>,</w:t>
      </w:r>
      <w:r w:rsidRPr="009B04A5">
        <w:rPr>
          <w:rFonts w:ascii="Book Antiqua" w:hAnsi="Book Antiqua"/>
        </w:rPr>
        <w:t xml:space="preserve"> </w:t>
      </w:r>
      <w:r w:rsidR="000444FB" w:rsidRPr="009B04A5">
        <w:rPr>
          <w:rFonts w:ascii="Book Antiqua" w:hAnsi="Book Antiqua"/>
        </w:rPr>
        <w:t xml:space="preserve">and </w:t>
      </w:r>
      <w:r w:rsidRPr="009B04A5">
        <w:rPr>
          <w:rFonts w:ascii="Book Antiqua" w:hAnsi="Book Antiqua"/>
        </w:rPr>
        <w:t xml:space="preserve">they concluded that </w:t>
      </w:r>
      <w:r w:rsidR="00AE37C0" w:rsidRPr="009B04A5">
        <w:rPr>
          <w:rFonts w:ascii="Book Antiqua" w:hAnsi="Book Antiqua"/>
        </w:rPr>
        <w:t xml:space="preserve">reintroducing </w:t>
      </w:r>
      <w:r w:rsidRPr="009B04A5">
        <w:rPr>
          <w:rFonts w:ascii="Book Antiqua" w:hAnsi="Book Antiqua"/>
        </w:rPr>
        <w:t xml:space="preserve">miR-335 expression or </w:t>
      </w:r>
      <w:r w:rsidR="00AE37C0" w:rsidRPr="009B04A5">
        <w:rPr>
          <w:rFonts w:ascii="Book Antiqua" w:hAnsi="Book Antiqua"/>
        </w:rPr>
        <w:t>overriding</w:t>
      </w:r>
      <w:r w:rsidRPr="009B04A5">
        <w:rPr>
          <w:rFonts w:ascii="Book Antiqua" w:hAnsi="Book Antiqua"/>
        </w:rPr>
        <w:t xml:space="preserve"> </w:t>
      </w:r>
      <w:r w:rsidRPr="009B04A5">
        <w:rPr>
          <w:rFonts w:ascii="Book Antiqua" w:hAnsi="Book Antiqua"/>
          <w:i/>
        </w:rPr>
        <w:t>MAPK1</w:t>
      </w:r>
      <w:r w:rsidRPr="009B04A5">
        <w:rPr>
          <w:rFonts w:ascii="Book Antiqua" w:hAnsi="Book Antiqua"/>
        </w:rPr>
        <w:t xml:space="preserve"> activity could become a promising therapeutic target for ALL treatment. </w:t>
      </w:r>
      <w:r w:rsidR="00AE37C0" w:rsidRPr="009B04A5">
        <w:rPr>
          <w:rFonts w:ascii="Book Antiqua" w:hAnsi="Book Antiqua"/>
        </w:rPr>
        <w:t>The role</w:t>
      </w:r>
      <w:r w:rsidRPr="009B04A5">
        <w:rPr>
          <w:rFonts w:ascii="Book Antiqua" w:hAnsi="Book Antiqua"/>
        </w:rPr>
        <w:t xml:space="preserve"> of miR-335 in AML</w:t>
      </w:r>
      <w:r w:rsidR="00AE37C0" w:rsidRPr="009B04A5">
        <w:rPr>
          <w:rFonts w:ascii="Book Antiqua" w:hAnsi="Book Antiqua"/>
        </w:rPr>
        <w:t xml:space="preserve"> was</w:t>
      </w:r>
      <w:r w:rsidRPr="009B04A5">
        <w:rPr>
          <w:rFonts w:ascii="Book Antiqua" w:hAnsi="Book Antiqua"/>
        </w:rPr>
        <w:t xml:space="preserve"> analyzed</w:t>
      </w:r>
      <w:r w:rsidR="00AE37C0" w:rsidRPr="009B04A5">
        <w:rPr>
          <w:rFonts w:ascii="Book Antiqua" w:hAnsi="Book Antiqua"/>
        </w:rPr>
        <w:t xml:space="preserve"> by</w:t>
      </w:r>
      <w:r w:rsidRPr="009B04A5">
        <w:rPr>
          <w:rFonts w:ascii="Book Antiqua" w:hAnsi="Book Antiqua"/>
        </w:rPr>
        <w:t xml:space="preserve"> Zhou </w:t>
      </w:r>
      <w:r w:rsidR="00783C14" w:rsidRPr="009B04A5">
        <w:rPr>
          <w:rFonts w:ascii="Book Antiqua" w:hAnsi="Book Antiqua"/>
          <w:i/>
        </w:rPr>
        <w:t>et al</w:t>
      </w:r>
      <w:r w:rsidR="000A6432" w:rsidRPr="009B04A5">
        <w:rPr>
          <w:rFonts w:ascii="Book Antiqua" w:hAnsi="Book Antiqua"/>
          <w:vertAlign w:val="superscript"/>
        </w:rPr>
        <w:t>[100]</w:t>
      </w:r>
      <w:r w:rsidRPr="009B04A5">
        <w:rPr>
          <w:rFonts w:ascii="Book Antiqua" w:hAnsi="Book Antiqua"/>
        </w:rPr>
        <w:t>. They found that</w:t>
      </w:r>
      <w:r w:rsidR="006F7963" w:rsidRPr="009B04A5">
        <w:rPr>
          <w:rFonts w:ascii="Book Antiqua" w:hAnsi="Book Antiqua"/>
        </w:rPr>
        <w:t>:</w:t>
      </w:r>
      <w:r w:rsidRPr="009B04A5">
        <w:rPr>
          <w:rFonts w:ascii="Book Antiqua" w:hAnsi="Book Antiqua"/>
        </w:rPr>
        <w:t xml:space="preserve"> (1) overexpression of miR-335 (independent of its methylation) was negatively correlated with decreased </w:t>
      </w:r>
      <w:r w:rsidRPr="009B04A5">
        <w:rPr>
          <w:rFonts w:ascii="Book Antiqua" w:hAnsi="Book Antiqua"/>
          <w:i/>
        </w:rPr>
        <w:t>ID4</w:t>
      </w:r>
      <w:r w:rsidRPr="009B04A5">
        <w:rPr>
          <w:rFonts w:ascii="Book Antiqua" w:hAnsi="Book Antiqua"/>
        </w:rPr>
        <w:t xml:space="preserve"> expression</w:t>
      </w:r>
      <w:r w:rsidR="006A47F8" w:rsidRPr="009B04A5">
        <w:rPr>
          <w:rFonts w:ascii="Book Antiqua" w:hAnsi="Book Antiqua"/>
        </w:rPr>
        <w:t>;</w:t>
      </w:r>
      <w:r w:rsidRPr="009B04A5">
        <w:rPr>
          <w:rFonts w:ascii="Book Antiqua" w:hAnsi="Book Antiqua"/>
        </w:rPr>
        <w:t xml:space="preserve"> (2) aberrant miR-335 and </w:t>
      </w:r>
      <w:r w:rsidRPr="009B04A5">
        <w:rPr>
          <w:rFonts w:ascii="Book Antiqua" w:hAnsi="Book Antiqua"/>
          <w:i/>
        </w:rPr>
        <w:t>ID4</w:t>
      </w:r>
      <w:r w:rsidRPr="009B04A5">
        <w:rPr>
          <w:rFonts w:ascii="Book Antiqua" w:hAnsi="Book Antiqua"/>
        </w:rPr>
        <w:t xml:space="preserve"> (direct target) expression independently affected chemotherapy response and leukemia-free/</w:t>
      </w:r>
      <w:r w:rsidR="003E6954" w:rsidRPr="009B04A5">
        <w:rPr>
          <w:rFonts w:ascii="Book Antiqua" w:hAnsi="Book Antiqua"/>
        </w:rPr>
        <w:t>OS</w:t>
      </w:r>
      <w:r w:rsidRPr="009B04A5">
        <w:rPr>
          <w:rFonts w:ascii="Book Antiqua" w:hAnsi="Book Antiqua"/>
        </w:rPr>
        <w:t xml:space="preserve"> in patients with AML</w:t>
      </w:r>
      <w:r w:rsidR="006A47F8" w:rsidRPr="009B04A5">
        <w:rPr>
          <w:rFonts w:ascii="Book Antiqua" w:hAnsi="Book Antiqua"/>
        </w:rPr>
        <w:t>;</w:t>
      </w:r>
      <w:r w:rsidRPr="009B04A5">
        <w:rPr>
          <w:rFonts w:ascii="Book Antiqua" w:hAnsi="Book Antiqua"/>
        </w:rPr>
        <w:t xml:space="preserve"> and (3) miR-335/</w:t>
      </w:r>
      <w:r w:rsidRPr="009B04A5">
        <w:rPr>
          <w:rFonts w:ascii="Book Antiqua" w:hAnsi="Book Antiqua"/>
          <w:i/>
        </w:rPr>
        <w:t>ID4</w:t>
      </w:r>
      <w:r w:rsidRPr="009B04A5">
        <w:rPr>
          <w:rFonts w:ascii="Book Antiqua" w:hAnsi="Book Antiqua"/>
        </w:rPr>
        <w:t xml:space="preserve"> dysregulation facilitated leukemogenesis through the activation of</w:t>
      </w:r>
      <w:r w:rsidR="00AE37C0" w:rsidRPr="009B04A5">
        <w:rPr>
          <w:rFonts w:ascii="Book Antiqua" w:hAnsi="Book Antiqua"/>
        </w:rPr>
        <w:t xml:space="preserve"> the</w:t>
      </w:r>
      <w:r w:rsidRPr="009B04A5">
        <w:rPr>
          <w:rFonts w:ascii="Book Antiqua" w:hAnsi="Book Antiqua"/>
        </w:rPr>
        <w:t xml:space="preserve"> </w:t>
      </w:r>
      <w:r w:rsidRPr="009B04A5">
        <w:rPr>
          <w:rFonts w:ascii="Book Antiqua" w:hAnsi="Book Antiqua"/>
          <w:i/>
        </w:rPr>
        <w:t>PI3K</w:t>
      </w:r>
      <w:r w:rsidRPr="009B04A5">
        <w:rPr>
          <w:rFonts w:ascii="Book Antiqua" w:hAnsi="Book Antiqua"/>
        </w:rPr>
        <w:t>/</w:t>
      </w:r>
      <w:r w:rsidRPr="009B04A5">
        <w:rPr>
          <w:rFonts w:ascii="Book Antiqua" w:hAnsi="Book Antiqua"/>
          <w:i/>
        </w:rPr>
        <w:t>Akt</w:t>
      </w:r>
      <w:r w:rsidR="00F828CA" w:rsidRPr="009B04A5">
        <w:rPr>
          <w:rFonts w:ascii="Book Antiqua" w:hAnsi="Book Antiqua"/>
        </w:rPr>
        <w:t xml:space="preserve"> signaling pathway. </w:t>
      </w:r>
      <w:r w:rsidR="002247EC" w:rsidRPr="009B04A5">
        <w:rPr>
          <w:rFonts w:ascii="Book Antiqua" w:hAnsi="Book Antiqua"/>
        </w:rPr>
        <w:t>These results are s</w:t>
      </w:r>
      <w:r w:rsidR="00F828CA" w:rsidRPr="009B04A5">
        <w:rPr>
          <w:rFonts w:ascii="Book Antiqua" w:hAnsi="Book Antiqua"/>
        </w:rPr>
        <w:t xml:space="preserve">imilar to the Yan </w:t>
      </w:r>
      <w:r w:rsidR="00783C14" w:rsidRPr="009B04A5">
        <w:rPr>
          <w:rFonts w:ascii="Book Antiqua" w:hAnsi="Book Antiqua"/>
          <w:i/>
        </w:rPr>
        <w:t>et al</w:t>
      </w:r>
      <w:r w:rsidR="000A6432" w:rsidRPr="009B04A5">
        <w:rPr>
          <w:rFonts w:ascii="Book Antiqua" w:hAnsi="Book Antiqua"/>
          <w:vertAlign w:val="superscript"/>
        </w:rPr>
        <w:t>[96]</w:t>
      </w:r>
      <w:r w:rsidRPr="009B04A5">
        <w:rPr>
          <w:rFonts w:ascii="Book Antiqua" w:hAnsi="Book Antiqua"/>
        </w:rPr>
        <w:t xml:space="preserve"> study,</w:t>
      </w:r>
      <w:r w:rsidR="002247EC" w:rsidRPr="009B04A5">
        <w:rPr>
          <w:rFonts w:ascii="Book Antiqua" w:hAnsi="Book Antiqua"/>
        </w:rPr>
        <w:t xml:space="preserve"> which used</w:t>
      </w:r>
      <w:r w:rsidRPr="009B04A5">
        <w:rPr>
          <w:rFonts w:ascii="Book Antiqua" w:hAnsi="Book Antiqua"/>
        </w:rPr>
        <w:t xml:space="preserve"> </w:t>
      </w:r>
      <w:r w:rsidR="00AE110B" w:rsidRPr="009B04A5">
        <w:rPr>
          <w:rFonts w:ascii="Book Antiqua" w:hAnsi="Book Antiqua"/>
          <w:i/>
        </w:rPr>
        <w:t>ex vivo</w:t>
      </w:r>
      <w:r w:rsidRPr="009B04A5">
        <w:rPr>
          <w:rFonts w:ascii="Book Antiqua" w:hAnsi="Book Antiqua"/>
        </w:rPr>
        <w:t xml:space="preserve"> experiments </w:t>
      </w:r>
      <w:r w:rsidR="002247EC" w:rsidRPr="009B04A5">
        <w:rPr>
          <w:rFonts w:ascii="Book Antiqua" w:hAnsi="Book Antiqua"/>
        </w:rPr>
        <w:t xml:space="preserve">to show that </w:t>
      </w:r>
      <w:r w:rsidRPr="009B04A5">
        <w:rPr>
          <w:rFonts w:ascii="Book Antiqua" w:hAnsi="Book Antiqua"/>
        </w:rPr>
        <w:t xml:space="preserve">it was possible to reduce pro-proliferative and antiapoptotic effects and </w:t>
      </w:r>
      <w:r w:rsidRPr="009B04A5">
        <w:rPr>
          <w:rStyle w:val="tlid-translation"/>
          <w:rFonts w:ascii="Book Antiqua" w:hAnsi="Book Antiqua"/>
        </w:rPr>
        <w:t xml:space="preserve">restore the physiological role of mir-335 (through restoration of </w:t>
      </w:r>
      <w:r w:rsidRPr="009B04A5">
        <w:rPr>
          <w:rStyle w:val="tlid-translation"/>
          <w:rFonts w:ascii="Book Antiqua" w:hAnsi="Book Antiqua"/>
          <w:i/>
        </w:rPr>
        <w:t>ID4</w:t>
      </w:r>
      <w:r w:rsidRPr="009B04A5">
        <w:rPr>
          <w:rStyle w:val="tlid-translation"/>
          <w:rFonts w:ascii="Book Antiqua" w:hAnsi="Book Antiqua"/>
        </w:rPr>
        <w:t xml:space="preserve"> expression)</w:t>
      </w:r>
      <w:r w:rsidR="000A6432" w:rsidRPr="009B04A5">
        <w:rPr>
          <w:rStyle w:val="tlid-translation"/>
          <w:rFonts w:ascii="Book Antiqua" w:hAnsi="Book Antiqua"/>
          <w:vertAlign w:val="superscript"/>
        </w:rPr>
        <w:t>[100]</w:t>
      </w:r>
      <w:r w:rsidRPr="009B04A5">
        <w:rPr>
          <w:rStyle w:val="tlid-translation"/>
          <w:rFonts w:ascii="Book Antiqua" w:hAnsi="Book Antiqua"/>
        </w:rPr>
        <w:t>.</w:t>
      </w:r>
    </w:p>
    <w:p w:rsidR="00800655" w:rsidRPr="009B04A5" w:rsidRDefault="006F7963" w:rsidP="00C709AE">
      <w:pPr>
        <w:adjustRightInd w:val="0"/>
        <w:snapToGrid w:val="0"/>
        <w:spacing w:line="360" w:lineRule="auto"/>
        <w:ind w:firstLineChars="100" w:firstLine="240"/>
        <w:rPr>
          <w:rFonts w:ascii="Book Antiqua" w:hAnsi="Book Antiqua"/>
        </w:rPr>
      </w:pPr>
      <w:r w:rsidRPr="009B04A5">
        <w:rPr>
          <w:rStyle w:val="tlid-translation"/>
          <w:rFonts w:ascii="Book Antiqua" w:hAnsi="Book Antiqua"/>
        </w:rPr>
        <w:t>M</w:t>
      </w:r>
      <w:r w:rsidR="002247EC" w:rsidRPr="009B04A5">
        <w:rPr>
          <w:rStyle w:val="tlid-translation"/>
          <w:rFonts w:ascii="Book Antiqua" w:hAnsi="Book Antiqua"/>
        </w:rPr>
        <w:t>iR</w:t>
      </w:r>
      <w:r w:rsidR="00E138C5" w:rsidRPr="009B04A5">
        <w:rPr>
          <w:rStyle w:val="tlid-translation"/>
          <w:rFonts w:ascii="Book Antiqua" w:hAnsi="Book Antiqua"/>
        </w:rPr>
        <w:t xml:space="preserve">-155 is another candidate predictive and prognostic marker </w:t>
      </w:r>
      <w:r w:rsidR="002247EC" w:rsidRPr="009B04A5">
        <w:rPr>
          <w:rStyle w:val="tlid-translation"/>
          <w:rFonts w:ascii="Book Antiqua" w:hAnsi="Book Antiqua"/>
        </w:rPr>
        <w:t xml:space="preserve">of </w:t>
      </w:r>
      <w:r w:rsidR="00E138C5" w:rsidRPr="009B04A5">
        <w:rPr>
          <w:rStyle w:val="tlid-translation"/>
          <w:rFonts w:ascii="Book Antiqua" w:hAnsi="Book Antiqua"/>
        </w:rPr>
        <w:t xml:space="preserve">AL outcome. </w:t>
      </w:r>
      <w:r w:rsidRPr="009B04A5">
        <w:rPr>
          <w:rStyle w:val="tlid-translation"/>
          <w:rFonts w:ascii="Book Antiqua" w:hAnsi="Book Antiqua"/>
        </w:rPr>
        <w:t>M</w:t>
      </w:r>
      <w:r w:rsidR="002247EC" w:rsidRPr="009B04A5">
        <w:rPr>
          <w:rStyle w:val="a4"/>
          <w:rFonts w:ascii="Book Antiqua" w:hAnsi="Book Antiqua"/>
          <w:i w:val="0"/>
        </w:rPr>
        <w:t>iR</w:t>
      </w:r>
      <w:r w:rsidR="00E138C5" w:rsidRPr="009B04A5">
        <w:rPr>
          <w:rStyle w:val="a4"/>
          <w:rFonts w:ascii="Book Antiqua" w:hAnsi="Book Antiqua"/>
          <w:i w:val="0"/>
        </w:rPr>
        <w:t>-155</w:t>
      </w:r>
      <w:r w:rsidR="00E138C5" w:rsidRPr="009B04A5">
        <w:rPr>
          <w:rFonts w:ascii="Book Antiqua" w:hAnsi="Book Antiqua"/>
          <w:i/>
        </w:rPr>
        <w:t xml:space="preserve"> </w:t>
      </w:r>
      <w:r w:rsidR="00E138C5" w:rsidRPr="009B04A5">
        <w:rPr>
          <w:rFonts w:ascii="Book Antiqua" w:hAnsi="Book Antiqua"/>
        </w:rPr>
        <w:t>is evolutionarily conserved</w:t>
      </w:r>
      <w:r w:rsidR="00AE37C0" w:rsidRPr="009B04A5">
        <w:rPr>
          <w:rFonts w:ascii="Book Antiqua" w:hAnsi="Book Antiqua"/>
        </w:rPr>
        <w:t>,</w:t>
      </w:r>
      <w:r w:rsidR="00E138C5" w:rsidRPr="009B04A5">
        <w:rPr>
          <w:rFonts w:ascii="Book Antiqua" w:hAnsi="Book Antiqua"/>
        </w:rPr>
        <w:t xml:space="preserve"> and as an inhibitor of lineage differentiation</w:t>
      </w:r>
      <w:r w:rsidR="00AE37C0" w:rsidRPr="009B04A5">
        <w:rPr>
          <w:rFonts w:ascii="Book Antiqua" w:hAnsi="Book Antiqua"/>
        </w:rPr>
        <w:t>, it is</w:t>
      </w:r>
      <w:r w:rsidR="00E138C5" w:rsidRPr="009B04A5">
        <w:rPr>
          <w:rFonts w:ascii="Book Antiqua" w:hAnsi="Book Antiqua"/>
        </w:rPr>
        <w:t xml:space="preserve"> one of the most critical </w:t>
      </w:r>
      <w:r w:rsidR="00AE37C0" w:rsidRPr="009B04A5">
        <w:rPr>
          <w:rFonts w:ascii="Book Antiqua" w:hAnsi="Book Antiqua"/>
        </w:rPr>
        <w:t>regulators</w:t>
      </w:r>
      <w:r w:rsidR="00E138C5" w:rsidRPr="009B04A5">
        <w:rPr>
          <w:rFonts w:ascii="Book Antiqua" w:hAnsi="Book Antiqua"/>
        </w:rPr>
        <w:t xml:space="preserve"> of posttranscriptional gene expression in B cells</w:t>
      </w:r>
      <w:r w:rsidR="000A6432" w:rsidRPr="009B04A5">
        <w:rPr>
          <w:rFonts w:ascii="Book Antiqua" w:hAnsi="Book Antiqua"/>
          <w:vertAlign w:val="superscript"/>
        </w:rPr>
        <w:t>[101,102]</w:t>
      </w:r>
      <w:r w:rsidR="00E138C5" w:rsidRPr="009B04A5">
        <w:rPr>
          <w:rFonts w:ascii="Book Antiqua" w:hAnsi="Book Antiqua"/>
        </w:rPr>
        <w:t xml:space="preserve">. It </w:t>
      </w:r>
      <w:r w:rsidR="00AE37C0" w:rsidRPr="009B04A5">
        <w:rPr>
          <w:rFonts w:ascii="Book Antiqua" w:hAnsi="Book Antiqua"/>
        </w:rPr>
        <w:t>has</w:t>
      </w:r>
      <w:r w:rsidR="00E138C5" w:rsidRPr="009B04A5">
        <w:rPr>
          <w:rFonts w:ascii="Book Antiqua" w:hAnsi="Book Antiqua"/>
        </w:rPr>
        <w:t xml:space="preserve"> also </w:t>
      </w:r>
      <w:r w:rsidR="00AE37C0" w:rsidRPr="009B04A5">
        <w:rPr>
          <w:rFonts w:ascii="Book Antiqua" w:hAnsi="Book Antiqua"/>
        </w:rPr>
        <w:t xml:space="preserve">been </w:t>
      </w:r>
      <w:r w:rsidR="00E138C5" w:rsidRPr="009B04A5">
        <w:rPr>
          <w:rFonts w:ascii="Book Antiqua" w:hAnsi="Book Antiqua"/>
        </w:rPr>
        <w:t xml:space="preserve">confirmed </w:t>
      </w:r>
      <w:r w:rsidR="00800655" w:rsidRPr="009B04A5">
        <w:rPr>
          <w:rFonts w:ascii="Book Antiqua" w:hAnsi="Book Antiqua"/>
        </w:rPr>
        <w:t>to be</w:t>
      </w:r>
      <w:r w:rsidR="00AE37C0" w:rsidRPr="009B04A5">
        <w:rPr>
          <w:rFonts w:ascii="Book Antiqua" w:hAnsi="Book Antiqua"/>
        </w:rPr>
        <w:t xml:space="preserve"> associated with</w:t>
      </w:r>
      <w:r w:rsidR="00E138C5" w:rsidRPr="009B04A5">
        <w:rPr>
          <w:rFonts w:ascii="Book Antiqua" w:hAnsi="Book Antiqua"/>
        </w:rPr>
        <w:t xml:space="preserve"> pathogenesis, aggressiveness and progression</w:t>
      </w:r>
      <w:r w:rsidR="002C43D9" w:rsidRPr="009B04A5">
        <w:rPr>
          <w:rFonts w:ascii="Book Antiqua" w:hAnsi="Book Antiqua"/>
        </w:rPr>
        <w:t xml:space="preserve"> in CLL</w:t>
      </w:r>
      <w:r w:rsidR="000A6432" w:rsidRPr="009B04A5">
        <w:rPr>
          <w:rFonts w:ascii="Book Antiqua" w:hAnsi="Book Antiqua"/>
          <w:vertAlign w:val="superscript"/>
        </w:rPr>
        <w:t>[103,104]</w:t>
      </w:r>
      <w:r w:rsidR="00C554AB" w:rsidRPr="009B04A5">
        <w:rPr>
          <w:rFonts w:ascii="Book Antiqua" w:hAnsi="Book Antiqua"/>
        </w:rPr>
        <w:t>;</w:t>
      </w:r>
      <w:r w:rsidR="00E138C5" w:rsidRPr="009B04A5">
        <w:rPr>
          <w:rFonts w:ascii="Book Antiqua" w:hAnsi="Book Antiqua"/>
        </w:rPr>
        <w:t xml:space="preserve"> poor survival in adult and pediatric AML</w:t>
      </w:r>
      <w:r w:rsidR="000A6432" w:rsidRPr="009B04A5">
        <w:rPr>
          <w:rFonts w:ascii="Book Antiqua" w:hAnsi="Book Antiqua"/>
          <w:vertAlign w:val="superscript"/>
        </w:rPr>
        <w:t>[105]</w:t>
      </w:r>
      <w:r w:rsidR="00C554AB" w:rsidRPr="009B04A5">
        <w:rPr>
          <w:rFonts w:ascii="Book Antiqua" w:hAnsi="Book Antiqua"/>
        </w:rPr>
        <w:t>;</w:t>
      </w:r>
      <w:r w:rsidR="00E138C5" w:rsidRPr="009B04A5">
        <w:rPr>
          <w:rFonts w:ascii="Book Antiqua" w:hAnsi="Book Antiqua"/>
        </w:rPr>
        <w:t xml:space="preserve"> </w:t>
      </w:r>
      <w:r w:rsidR="00AE37C0" w:rsidRPr="009B04A5">
        <w:rPr>
          <w:rFonts w:ascii="Book Antiqua" w:hAnsi="Book Antiqua"/>
        </w:rPr>
        <w:t xml:space="preserve">and </w:t>
      </w:r>
      <w:r w:rsidR="00E138C5" w:rsidRPr="009B04A5">
        <w:rPr>
          <w:rFonts w:ascii="Book Antiqua" w:hAnsi="Book Antiqua"/>
        </w:rPr>
        <w:t>poor clinical prognosis in Hodgkin's lymphomas</w:t>
      </w:r>
      <w:r w:rsidR="000A6432" w:rsidRPr="009B04A5">
        <w:rPr>
          <w:rFonts w:ascii="Book Antiqua" w:hAnsi="Book Antiqua"/>
          <w:vertAlign w:val="superscript"/>
        </w:rPr>
        <w:t>[106]</w:t>
      </w:r>
      <w:r w:rsidR="00E138C5" w:rsidRPr="009B04A5">
        <w:rPr>
          <w:rFonts w:ascii="Book Antiqua" w:hAnsi="Book Antiqua"/>
        </w:rPr>
        <w:t xml:space="preserve"> and B</w:t>
      </w:r>
      <w:r w:rsidR="001030C2" w:rsidRPr="009B04A5">
        <w:rPr>
          <w:rFonts w:ascii="Book Antiqua" w:hAnsi="Book Antiqua"/>
        </w:rPr>
        <w:t>-</w:t>
      </w:r>
      <w:r w:rsidR="00E138C5" w:rsidRPr="009B04A5">
        <w:rPr>
          <w:rFonts w:ascii="Book Antiqua" w:hAnsi="Book Antiqua"/>
        </w:rPr>
        <w:t xml:space="preserve">cell-type </w:t>
      </w:r>
      <w:r w:rsidR="00800655" w:rsidRPr="009B04A5">
        <w:rPr>
          <w:rFonts w:ascii="Book Antiqua" w:hAnsi="Book Antiqua"/>
        </w:rPr>
        <w:t>Diffuse large B-cell lymphoma</w:t>
      </w:r>
      <w:r w:rsidR="000A6432" w:rsidRPr="009B04A5">
        <w:rPr>
          <w:rFonts w:ascii="Book Antiqua" w:hAnsi="Book Antiqua"/>
          <w:vertAlign w:val="superscript"/>
        </w:rPr>
        <w:t>[107,108]</w:t>
      </w:r>
      <w:r w:rsidR="00E138C5" w:rsidRPr="009B04A5">
        <w:rPr>
          <w:rFonts w:ascii="Book Antiqua" w:hAnsi="Book Antiqua"/>
        </w:rPr>
        <w:t>. El-Khazragy</w:t>
      </w:r>
      <w:r w:rsidR="002C43D9" w:rsidRPr="009B04A5">
        <w:rPr>
          <w:rFonts w:ascii="Book Antiqua" w:hAnsi="Book Antiqua"/>
        </w:rPr>
        <w:t xml:space="preserve"> </w:t>
      </w:r>
      <w:r w:rsidR="002C43D9" w:rsidRPr="009B04A5">
        <w:rPr>
          <w:rFonts w:ascii="Book Antiqua" w:hAnsi="Book Antiqua"/>
          <w:i/>
        </w:rPr>
        <w:t>et al</w:t>
      </w:r>
      <w:r w:rsidR="000A6432" w:rsidRPr="009B04A5">
        <w:rPr>
          <w:rFonts w:ascii="Book Antiqua" w:hAnsi="Book Antiqua"/>
          <w:vertAlign w:val="superscript"/>
        </w:rPr>
        <w:t>[109]</w:t>
      </w:r>
      <w:r w:rsidR="00E138C5" w:rsidRPr="009B04A5">
        <w:rPr>
          <w:rFonts w:ascii="Book Antiqua" w:hAnsi="Book Antiqua"/>
        </w:rPr>
        <w:t xml:space="preserve"> tried to connect</w:t>
      </w:r>
      <w:r w:rsidR="00AE37C0" w:rsidRPr="009B04A5">
        <w:rPr>
          <w:rFonts w:ascii="Book Antiqua" w:hAnsi="Book Antiqua"/>
        </w:rPr>
        <w:t xml:space="preserve"> the</w:t>
      </w:r>
      <w:r w:rsidR="00E138C5" w:rsidRPr="009B04A5">
        <w:rPr>
          <w:rFonts w:ascii="Book Antiqua" w:hAnsi="Book Antiqua"/>
        </w:rPr>
        <w:t xml:space="preserve"> upregulation of miRNA</w:t>
      </w:r>
      <w:r w:rsidR="00E138C5" w:rsidRPr="009B04A5">
        <w:rPr>
          <w:rFonts w:ascii="Cambria Math" w:hAnsi="Cambria Math" w:cs="Cambria Math"/>
        </w:rPr>
        <w:t>‐</w:t>
      </w:r>
      <w:r w:rsidR="00E138C5" w:rsidRPr="009B04A5">
        <w:rPr>
          <w:rFonts w:ascii="Book Antiqua" w:hAnsi="Book Antiqua"/>
        </w:rPr>
        <w:t>155a and miRNA</w:t>
      </w:r>
      <w:r w:rsidR="00E138C5" w:rsidRPr="009B04A5">
        <w:rPr>
          <w:rFonts w:ascii="Cambria Math" w:hAnsi="Cambria Math" w:cs="Cambria Math"/>
        </w:rPr>
        <w:t>‐</w:t>
      </w:r>
      <w:r w:rsidR="00E138C5" w:rsidRPr="009B04A5">
        <w:rPr>
          <w:rFonts w:ascii="Book Antiqua" w:hAnsi="Book Antiqua"/>
        </w:rPr>
        <w:t xml:space="preserve">181a expression </w:t>
      </w:r>
      <w:r w:rsidR="00C554AB" w:rsidRPr="009B04A5">
        <w:rPr>
          <w:rFonts w:ascii="Book Antiqua" w:hAnsi="Book Antiqua"/>
        </w:rPr>
        <w:t xml:space="preserve">to </w:t>
      </w:r>
      <w:r w:rsidR="00E138C5" w:rsidRPr="009B04A5">
        <w:rPr>
          <w:rFonts w:ascii="Book Antiqua" w:hAnsi="Book Antiqua"/>
        </w:rPr>
        <w:t>ALL outcome. They found</w:t>
      </w:r>
      <w:r w:rsidR="00AE37C0" w:rsidRPr="009B04A5">
        <w:rPr>
          <w:rFonts w:ascii="Book Antiqua" w:hAnsi="Book Antiqua"/>
        </w:rPr>
        <w:t xml:space="preserve"> a</w:t>
      </w:r>
      <w:r w:rsidR="00E138C5" w:rsidRPr="009B04A5">
        <w:rPr>
          <w:rFonts w:ascii="Book Antiqua" w:hAnsi="Book Antiqua"/>
        </w:rPr>
        <w:t xml:space="preserve"> significant correlation of high levels of </w:t>
      </w:r>
      <w:r w:rsidR="006E4FE4" w:rsidRPr="009B04A5">
        <w:rPr>
          <w:rFonts w:ascii="Book Antiqua" w:hAnsi="Book Antiqua"/>
        </w:rPr>
        <w:t>minimal residual disease (</w:t>
      </w:r>
      <w:r w:rsidR="00E138C5" w:rsidRPr="009B04A5">
        <w:rPr>
          <w:rFonts w:ascii="Book Antiqua" w:hAnsi="Book Antiqua"/>
        </w:rPr>
        <w:t>MRD</w:t>
      </w:r>
      <w:r w:rsidR="006E4FE4" w:rsidRPr="009B04A5">
        <w:rPr>
          <w:rFonts w:ascii="Book Antiqua" w:hAnsi="Book Antiqua"/>
        </w:rPr>
        <w:t>)</w:t>
      </w:r>
      <w:r w:rsidR="00E138C5" w:rsidRPr="009B04A5">
        <w:rPr>
          <w:rFonts w:ascii="Book Antiqua" w:hAnsi="Book Antiqua"/>
        </w:rPr>
        <w:t xml:space="preserve"> and poor prognosis, but only overexpression of miRNA</w:t>
      </w:r>
      <w:r w:rsidR="00E138C5" w:rsidRPr="009B04A5">
        <w:rPr>
          <w:rFonts w:ascii="Cambria Math" w:hAnsi="Cambria Math" w:cs="Cambria Math"/>
        </w:rPr>
        <w:t>‐</w:t>
      </w:r>
      <w:r w:rsidR="00E138C5" w:rsidRPr="009B04A5">
        <w:rPr>
          <w:rFonts w:ascii="Book Antiqua" w:hAnsi="Book Antiqua"/>
        </w:rPr>
        <w:t>155a was significantly related to high blast numbers (&gt;</w:t>
      </w:r>
      <w:r w:rsidR="006A47F8" w:rsidRPr="009B04A5">
        <w:rPr>
          <w:rFonts w:ascii="Book Antiqua" w:hAnsi="Book Antiqua"/>
        </w:rPr>
        <w:t xml:space="preserve"> </w:t>
      </w:r>
      <w:r w:rsidR="00E138C5" w:rsidRPr="009B04A5">
        <w:rPr>
          <w:rFonts w:ascii="Book Antiqua" w:hAnsi="Book Antiqua"/>
        </w:rPr>
        <w:t>25%), unfavorable cytogenetic abnormality, total WBC, higher relapse rate, a higher MRD after 15 d</w:t>
      </w:r>
      <w:r w:rsidR="00800655" w:rsidRPr="009B04A5">
        <w:rPr>
          <w:rFonts w:ascii="Book Antiqua" w:hAnsi="Book Antiqua"/>
        </w:rPr>
        <w:t>,</w:t>
      </w:r>
      <w:r w:rsidR="00E138C5" w:rsidRPr="009B04A5">
        <w:rPr>
          <w:rFonts w:ascii="Book Antiqua" w:hAnsi="Book Antiqua"/>
        </w:rPr>
        <w:t xml:space="preserve"> and poor prognosis</w:t>
      </w:r>
      <w:r w:rsidR="000A6432" w:rsidRPr="009B04A5">
        <w:rPr>
          <w:rFonts w:ascii="Book Antiqua" w:hAnsi="Book Antiqua"/>
          <w:vertAlign w:val="superscript"/>
        </w:rPr>
        <w:t>[109]</w:t>
      </w:r>
      <w:r w:rsidR="00E138C5" w:rsidRPr="009B04A5">
        <w:rPr>
          <w:rFonts w:ascii="Book Antiqua" w:hAnsi="Book Antiqua"/>
        </w:rPr>
        <w:t>. Moreover</w:t>
      </w:r>
      <w:r w:rsidR="00AE37C0" w:rsidRPr="009B04A5">
        <w:rPr>
          <w:rFonts w:ascii="Book Antiqua" w:hAnsi="Book Antiqua"/>
        </w:rPr>
        <w:t>,</w:t>
      </w:r>
      <w:r w:rsidR="00E138C5" w:rsidRPr="009B04A5">
        <w:rPr>
          <w:rFonts w:ascii="Book Antiqua" w:hAnsi="Book Antiqua"/>
        </w:rPr>
        <w:t xml:space="preserve"> expression </w:t>
      </w:r>
      <w:r w:rsidR="00C554AB" w:rsidRPr="009B04A5">
        <w:rPr>
          <w:rFonts w:ascii="Book Antiqua" w:hAnsi="Book Antiqua"/>
        </w:rPr>
        <w:t xml:space="preserve">of both miR-155a and miR-181a was </w:t>
      </w:r>
      <w:r w:rsidR="00E138C5" w:rsidRPr="009B04A5">
        <w:rPr>
          <w:rFonts w:ascii="Book Antiqua" w:hAnsi="Book Antiqua"/>
        </w:rPr>
        <w:t xml:space="preserve">downregulated after chemotherapy, </w:t>
      </w:r>
      <w:r w:rsidR="00AE37C0" w:rsidRPr="009B04A5">
        <w:rPr>
          <w:rFonts w:ascii="Book Antiqua" w:hAnsi="Book Antiqua"/>
        </w:rPr>
        <w:t>suggesting their</w:t>
      </w:r>
      <w:r w:rsidR="00E138C5" w:rsidRPr="009B04A5">
        <w:rPr>
          <w:rFonts w:ascii="Book Antiqua" w:hAnsi="Book Antiqua"/>
        </w:rPr>
        <w:t xml:space="preserve"> potential use as biomarkers of therapeutic response in pediatric ALL. </w:t>
      </w:r>
    </w:p>
    <w:p w:rsidR="006A47F8" w:rsidRPr="009B04A5" w:rsidRDefault="00E138C5" w:rsidP="00C709AE">
      <w:pPr>
        <w:adjustRightInd w:val="0"/>
        <w:snapToGrid w:val="0"/>
        <w:spacing w:line="360" w:lineRule="auto"/>
        <w:ind w:firstLineChars="100" w:firstLine="240"/>
        <w:rPr>
          <w:rFonts w:ascii="Book Antiqua" w:hAnsi="Book Antiqua"/>
        </w:rPr>
      </w:pPr>
      <w:r w:rsidRPr="009B04A5">
        <w:rPr>
          <w:rFonts w:ascii="Book Antiqua" w:hAnsi="Book Antiqua"/>
        </w:rPr>
        <w:t>A consistent and strong association of miR-155 overexpression with poor prognosis in pediatric AML was also confirmed</w:t>
      </w:r>
      <w:r w:rsidR="000A6432" w:rsidRPr="009B04A5">
        <w:rPr>
          <w:rFonts w:ascii="Book Antiqua" w:hAnsi="Book Antiqua"/>
          <w:vertAlign w:val="superscript"/>
        </w:rPr>
        <w:t>[110-112]</w:t>
      </w:r>
      <w:r w:rsidRPr="009B04A5">
        <w:rPr>
          <w:rFonts w:ascii="Book Antiqua" w:hAnsi="Book Antiqua"/>
        </w:rPr>
        <w:t xml:space="preserve">. An interesting relationship </w:t>
      </w:r>
      <w:r w:rsidRPr="009B04A5">
        <w:rPr>
          <w:rFonts w:ascii="Book Antiqua" w:hAnsi="Book Antiqua"/>
        </w:rPr>
        <w:lastRenderedPageBreak/>
        <w:t xml:space="preserve">between the level of expression of </w:t>
      </w:r>
      <w:r w:rsidR="00AE37C0" w:rsidRPr="009B04A5">
        <w:rPr>
          <w:rFonts w:ascii="Book Antiqua" w:hAnsi="Book Antiqua"/>
        </w:rPr>
        <w:t>miR</w:t>
      </w:r>
      <w:r w:rsidRPr="009B04A5">
        <w:rPr>
          <w:rFonts w:ascii="Book Antiqua" w:hAnsi="Book Antiqua"/>
        </w:rPr>
        <w:t xml:space="preserve">-155, </w:t>
      </w:r>
      <w:r w:rsidR="00AE37C0" w:rsidRPr="009B04A5">
        <w:rPr>
          <w:rFonts w:ascii="Book Antiqua" w:hAnsi="Book Antiqua"/>
        </w:rPr>
        <w:t>its</w:t>
      </w:r>
      <w:r w:rsidRPr="009B04A5">
        <w:rPr>
          <w:rFonts w:ascii="Book Antiqua" w:hAnsi="Book Antiqua"/>
        </w:rPr>
        <w:t xml:space="preserve"> biological function and prognosis in AML</w:t>
      </w:r>
      <w:r w:rsidR="00AE37C0" w:rsidRPr="009B04A5">
        <w:rPr>
          <w:rFonts w:ascii="Book Antiqua" w:hAnsi="Book Antiqua"/>
        </w:rPr>
        <w:t xml:space="preserve"> was noted by</w:t>
      </w:r>
      <w:r w:rsidRPr="009B04A5">
        <w:rPr>
          <w:rFonts w:ascii="Book Antiqua" w:hAnsi="Book Antiqua"/>
        </w:rPr>
        <w:t xml:space="preserve"> Narayan </w:t>
      </w:r>
      <w:r w:rsidR="00783C14" w:rsidRPr="009B04A5">
        <w:rPr>
          <w:rFonts w:ascii="Book Antiqua" w:hAnsi="Book Antiqua"/>
          <w:i/>
        </w:rPr>
        <w:t>et al</w:t>
      </w:r>
      <w:r w:rsidR="000A6432" w:rsidRPr="009B04A5">
        <w:rPr>
          <w:rFonts w:ascii="Book Antiqua" w:hAnsi="Book Antiqua"/>
          <w:vertAlign w:val="superscript"/>
        </w:rPr>
        <w:t>[105,111]</w:t>
      </w:r>
      <w:r w:rsidRPr="009B04A5">
        <w:rPr>
          <w:rFonts w:ascii="Book Antiqua" w:hAnsi="Book Antiqua"/>
        </w:rPr>
        <w:t xml:space="preserve">. Researchers conducted experiments on cells obtained from patients diagnosed with AML and on a murine model, </w:t>
      </w:r>
      <w:r w:rsidR="007B3632" w:rsidRPr="009B04A5">
        <w:rPr>
          <w:rFonts w:ascii="Book Antiqua" w:hAnsi="Book Antiqua"/>
        </w:rPr>
        <w:t>where</w:t>
      </w:r>
      <w:r w:rsidRPr="009B04A5">
        <w:rPr>
          <w:rFonts w:ascii="Book Antiqua" w:hAnsi="Book Antiqua"/>
        </w:rPr>
        <w:t xml:space="preserve"> they found that between 10- and 50-fold overexpression </w:t>
      </w:r>
      <w:r w:rsidR="00AE37C0" w:rsidRPr="009B04A5">
        <w:rPr>
          <w:rFonts w:ascii="Book Antiqua" w:hAnsi="Book Antiqua"/>
        </w:rPr>
        <w:t xml:space="preserve">of </w:t>
      </w:r>
      <w:r w:rsidR="007B3632" w:rsidRPr="009B04A5">
        <w:rPr>
          <w:rFonts w:ascii="Book Antiqua" w:hAnsi="Book Antiqua"/>
        </w:rPr>
        <w:t>miR</w:t>
      </w:r>
      <w:r w:rsidRPr="009B04A5">
        <w:rPr>
          <w:rFonts w:ascii="Book Antiqua" w:hAnsi="Book Antiqua"/>
        </w:rPr>
        <w:t xml:space="preserve">-155 (plays the role of oncogene) is associated with poorer </w:t>
      </w:r>
      <w:r w:rsidR="003E6954" w:rsidRPr="009B04A5">
        <w:rPr>
          <w:rFonts w:ascii="Book Antiqua" w:hAnsi="Book Antiqua"/>
        </w:rPr>
        <w:t>OS</w:t>
      </w:r>
      <w:r w:rsidRPr="009B04A5">
        <w:rPr>
          <w:rFonts w:ascii="Book Antiqua" w:hAnsi="Book Antiqua"/>
        </w:rPr>
        <w:t xml:space="preserve"> and increased tumor burden. </w:t>
      </w:r>
      <w:r w:rsidR="00AE37C0" w:rsidRPr="009B04A5">
        <w:rPr>
          <w:rFonts w:ascii="Book Antiqua" w:hAnsi="Book Antiqua"/>
        </w:rPr>
        <w:t>However,</w:t>
      </w:r>
      <w:r w:rsidRPr="009B04A5">
        <w:rPr>
          <w:rFonts w:ascii="Book Antiqua" w:hAnsi="Book Antiqua"/>
        </w:rPr>
        <w:t xml:space="preserve"> when </w:t>
      </w:r>
      <w:r w:rsidR="00AE37C0" w:rsidRPr="009B04A5">
        <w:rPr>
          <w:rFonts w:ascii="Book Antiqua" w:hAnsi="Book Antiqua"/>
        </w:rPr>
        <w:t>the miR</w:t>
      </w:r>
      <w:r w:rsidRPr="009B04A5">
        <w:rPr>
          <w:rFonts w:ascii="Book Antiqua" w:hAnsi="Book Antiqua"/>
        </w:rPr>
        <w:t>-155 expression level is lower than 10-fold</w:t>
      </w:r>
      <w:r w:rsidR="00AE37C0" w:rsidRPr="009B04A5">
        <w:rPr>
          <w:rFonts w:ascii="Book Antiqua" w:hAnsi="Book Antiqua"/>
        </w:rPr>
        <w:t>,</w:t>
      </w:r>
      <w:r w:rsidRPr="009B04A5">
        <w:rPr>
          <w:rFonts w:ascii="Book Antiqua" w:hAnsi="Book Antiqua"/>
        </w:rPr>
        <w:t xml:space="preserve"> outcomes may be favorable. When </w:t>
      </w:r>
      <w:r w:rsidR="00AE37C0" w:rsidRPr="009B04A5">
        <w:rPr>
          <w:rFonts w:ascii="Book Antiqua" w:hAnsi="Book Antiqua"/>
        </w:rPr>
        <w:t xml:space="preserve">the </w:t>
      </w:r>
      <w:r w:rsidRPr="009B04A5">
        <w:rPr>
          <w:rFonts w:ascii="Book Antiqua" w:hAnsi="Book Antiqua"/>
        </w:rPr>
        <w:t xml:space="preserve">level is higher than 50-fold (observed only in </w:t>
      </w:r>
      <w:r w:rsidR="00AE37C0" w:rsidRPr="009B04A5">
        <w:rPr>
          <w:rFonts w:ascii="Book Antiqua" w:hAnsi="Book Antiqua"/>
        </w:rPr>
        <w:t xml:space="preserve">the </w:t>
      </w:r>
      <w:r w:rsidRPr="009B04A5">
        <w:rPr>
          <w:rFonts w:ascii="Book Antiqua" w:hAnsi="Book Antiqua"/>
        </w:rPr>
        <w:t>murine model)</w:t>
      </w:r>
      <w:r w:rsidR="00AE37C0" w:rsidRPr="009B04A5">
        <w:rPr>
          <w:rFonts w:ascii="Book Antiqua" w:hAnsi="Book Antiqua"/>
        </w:rPr>
        <w:t>,</w:t>
      </w:r>
      <w:r w:rsidRPr="009B04A5">
        <w:rPr>
          <w:rFonts w:ascii="Book Antiqua" w:hAnsi="Book Antiqua"/>
        </w:rPr>
        <w:t xml:space="preserve"> </w:t>
      </w:r>
      <w:r w:rsidR="00757D40" w:rsidRPr="009B04A5">
        <w:rPr>
          <w:rFonts w:ascii="Book Antiqua" w:hAnsi="Book Antiqua"/>
        </w:rPr>
        <w:t>miR</w:t>
      </w:r>
      <w:r w:rsidRPr="009B04A5">
        <w:rPr>
          <w:rFonts w:ascii="Book Antiqua" w:hAnsi="Book Antiqua"/>
        </w:rPr>
        <w:t xml:space="preserve">-155 shows suppressor activity. Overexpression of </w:t>
      </w:r>
      <w:r w:rsidR="00AE37C0" w:rsidRPr="009B04A5">
        <w:rPr>
          <w:rFonts w:ascii="Book Antiqua" w:hAnsi="Book Antiqua"/>
        </w:rPr>
        <w:t>miR</w:t>
      </w:r>
      <w:r w:rsidRPr="009B04A5">
        <w:rPr>
          <w:rFonts w:ascii="Book Antiqua" w:hAnsi="Book Antiqua"/>
        </w:rPr>
        <w:t xml:space="preserve">-155 is associated with activation of B cells with an inflammatory stimulus of lipopolysaccharide and </w:t>
      </w:r>
      <w:r w:rsidRPr="009B04A5">
        <w:rPr>
          <w:rFonts w:ascii="Book Antiqua" w:hAnsi="Book Antiqua"/>
          <w:i/>
        </w:rPr>
        <w:t>IL-4</w:t>
      </w:r>
      <w:r w:rsidRPr="009B04A5">
        <w:rPr>
          <w:rFonts w:ascii="Book Antiqua" w:hAnsi="Book Antiqua"/>
        </w:rPr>
        <w:t xml:space="preserve">. </w:t>
      </w:r>
      <w:r w:rsidRPr="009B04A5">
        <w:rPr>
          <w:rStyle w:val="tlid-translation"/>
          <w:rFonts w:ascii="Book Antiqua" w:hAnsi="Book Antiqua"/>
        </w:rPr>
        <w:t xml:space="preserve">The consequence of differentiated </w:t>
      </w:r>
      <w:r w:rsidR="00AE37C0" w:rsidRPr="009B04A5">
        <w:rPr>
          <w:rStyle w:val="tlid-translation"/>
          <w:rFonts w:ascii="Book Antiqua" w:hAnsi="Book Antiqua"/>
        </w:rPr>
        <w:t>miR</w:t>
      </w:r>
      <w:r w:rsidRPr="009B04A5">
        <w:rPr>
          <w:rStyle w:val="tlid-translation"/>
          <w:rFonts w:ascii="Book Antiqua" w:hAnsi="Book Antiqua"/>
        </w:rPr>
        <w:t>-155 expression is downregulation of</w:t>
      </w:r>
      <w:r w:rsidR="00AE37C0" w:rsidRPr="009B04A5">
        <w:rPr>
          <w:rStyle w:val="tlid-translation"/>
          <w:rFonts w:ascii="Book Antiqua" w:hAnsi="Book Antiqua"/>
        </w:rPr>
        <w:t xml:space="preserve"> the</w:t>
      </w:r>
      <w:r w:rsidRPr="009B04A5">
        <w:rPr>
          <w:rStyle w:val="tlid-translation"/>
          <w:rFonts w:ascii="Book Antiqua" w:hAnsi="Book Antiqua"/>
        </w:rPr>
        <w:t xml:space="preserve"> expression of target genes regulated by intermediate </w:t>
      </w:r>
      <w:r w:rsidRPr="009B04A5">
        <w:rPr>
          <w:rFonts w:ascii="Book Antiqua" w:hAnsi="Book Antiqua"/>
        </w:rPr>
        <w:t>(</w:t>
      </w:r>
      <w:r w:rsidR="00336F01" w:rsidRPr="009B04A5">
        <w:rPr>
          <w:rFonts w:ascii="Book Antiqua" w:hAnsi="Book Antiqua"/>
          <w:i/>
        </w:rPr>
        <w:t>CEBPB</w:t>
      </w:r>
      <w:r w:rsidRPr="009B04A5">
        <w:rPr>
          <w:rFonts w:ascii="Book Antiqua" w:hAnsi="Book Antiqua"/>
        </w:rPr>
        <w:t xml:space="preserve">, </w:t>
      </w:r>
      <w:r w:rsidR="00336F01" w:rsidRPr="009B04A5">
        <w:rPr>
          <w:rFonts w:ascii="Book Antiqua" w:hAnsi="Book Antiqua"/>
          <w:i/>
        </w:rPr>
        <w:t>SPI1</w:t>
      </w:r>
      <w:r w:rsidRPr="009B04A5">
        <w:rPr>
          <w:rFonts w:ascii="Book Antiqua" w:hAnsi="Book Antiqua"/>
        </w:rPr>
        <w:t xml:space="preserve">, and </w:t>
      </w:r>
      <w:r w:rsidR="00336F01" w:rsidRPr="009B04A5">
        <w:rPr>
          <w:rFonts w:ascii="Book Antiqua" w:hAnsi="Book Antiqua"/>
          <w:i/>
        </w:rPr>
        <w:t>TLE2</w:t>
      </w:r>
      <w:r w:rsidRPr="009B04A5">
        <w:rPr>
          <w:rFonts w:ascii="Book Antiqua" w:hAnsi="Book Antiqua"/>
        </w:rPr>
        <w:t>) or high (</w:t>
      </w:r>
      <w:r w:rsidR="00336F01" w:rsidRPr="009B04A5">
        <w:rPr>
          <w:rFonts w:ascii="Book Antiqua" w:hAnsi="Book Antiqua"/>
          <w:i/>
        </w:rPr>
        <w:t>MYB</w:t>
      </w:r>
      <w:r w:rsidR="00336F01" w:rsidRPr="009B04A5">
        <w:rPr>
          <w:rFonts w:ascii="Book Antiqua" w:hAnsi="Book Antiqua"/>
        </w:rPr>
        <w:t xml:space="preserve"> </w:t>
      </w:r>
      <w:r w:rsidRPr="009B04A5">
        <w:rPr>
          <w:rFonts w:ascii="Book Antiqua" w:hAnsi="Book Antiqua"/>
        </w:rPr>
        <w:t xml:space="preserve">and </w:t>
      </w:r>
      <w:r w:rsidR="00336F01" w:rsidRPr="009B04A5">
        <w:rPr>
          <w:rFonts w:ascii="Book Antiqua" w:hAnsi="Book Antiqua"/>
          <w:i/>
        </w:rPr>
        <w:t>KIT</w:t>
      </w:r>
      <w:r w:rsidR="00F828CA" w:rsidRPr="009B04A5">
        <w:rPr>
          <w:rFonts w:ascii="Book Antiqua" w:hAnsi="Book Antiqua"/>
        </w:rPr>
        <w:t xml:space="preserve">) miR-155 expression levels. Narayan </w:t>
      </w:r>
      <w:r w:rsidR="00783C14" w:rsidRPr="009B04A5">
        <w:rPr>
          <w:rFonts w:ascii="Book Antiqua" w:hAnsi="Book Antiqua"/>
          <w:i/>
        </w:rPr>
        <w:t>et al</w:t>
      </w:r>
      <w:r w:rsidR="000A6432" w:rsidRPr="009B04A5">
        <w:rPr>
          <w:rFonts w:ascii="Book Antiqua" w:hAnsi="Book Antiqua"/>
          <w:vertAlign w:val="superscript"/>
        </w:rPr>
        <w:t>[105,111]</w:t>
      </w:r>
      <w:r w:rsidR="005B2992" w:rsidRPr="009B04A5">
        <w:rPr>
          <w:rFonts w:ascii="Book Antiqua" w:hAnsi="Book Antiqua"/>
        </w:rPr>
        <w:t xml:space="preserve"> first described a novel dose-dependent function of miR-155 in the progression of AML and pointed</w:t>
      </w:r>
      <w:r w:rsidR="00AE37C0" w:rsidRPr="009B04A5">
        <w:rPr>
          <w:rFonts w:ascii="Book Antiqua" w:hAnsi="Book Antiqua"/>
        </w:rPr>
        <w:t xml:space="preserve"> out</w:t>
      </w:r>
      <w:r w:rsidR="005B2992" w:rsidRPr="009B04A5">
        <w:rPr>
          <w:rFonts w:ascii="Book Antiqua" w:hAnsi="Book Antiqua"/>
        </w:rPr>
        <w:t xml:space="preserve"> that it can </w:t>
      </w:r>
      <w:r w:rsidR="00AE37C0" w:rsidRPr="009B04A5">
        <w:rPr>
          <w:rFonts w:ascii="Book Antiqua" w:hAnsi="Book Antiqua"/>
        </w:rPr>
        <w:t xml:space="preserve">have </w:t>
      </w:r>
      <w:r w:rsidR="005B2992" w:rsidRPr="009B04A5">
        <w:rPr>
          <w:rFonts w:ascii="Book Antiqua" w:hAnsi="Book Antiqua"/>
        </w:rPr>
        <w:t>important therapeutic implications.</w:t>
      </w:r>
    </w:p>
    <w:p w:rsidR="006A47F8" w:rsidRPr="009B04A5" w:rsidRDefault="000C6B11" w:rsidP="00C709AE">
      <w:pPr>
        <w:adjustRightInd w:val="0"/>
        <w:snapToGrid w:val="0"/>
        <w:spacing w:line="360" w:lineRule="auto"/>
        <w:ind w:firstLineChars="100" w:firstLine="240"/>
        <w:rPr>
          <w:rStyle w:val="tlid-translation"/>
          <w:rFonts w:ascii="Book Antiqua" w:hAnsi="Book Antiqua"/>
        </w:rPr>
      </w:pPr>
      <w:r w:rsidRPr="009B04A5">
        <w:rPr>
          <w:rFonts w:ascii="Book Antiqua" w:hAnsi="Book Antiqua"/>
        </w:rPr>
        <w:t>m</w:t>
      </w:r>
      <w:r w:rsidR="005B2992" w:rsidRPr="009B04A5">
        <w:rPr>
          <w:rFonts w:ascii="Book Antiqua" w:hAnsi="Book Antiqua"/>
        </w:rPr>
        <w:t xml:space="preserve">iRNAs can also act as independent prognostic factors to predict clinical outcomes for T-ALL patients. Miao </w:t>
      </w:r>
      <w:r w:rsidR="00783C14" w:rsidRPr="009B04A5">
        <w:rPr>
          <w:rFonts w:ascii="Book Antiqua" w:hAnsi="Book Antiqua"/>
          <w:i/>
        </w:rPr>
        <w:t>et al</w:t>
      </w:r>
      <w:r w:rsidR="000A6432" w:rsidRPr="009B04A5">
        <w:rPr>
          <w:rFonts w:ascii="Book Antiqua" w:hAnsi="Book Antiqua"/>
          <w:vertAlign w:val="superscript"/>
        </w:rPr>
        <w:t>[113]</w:t>
      </w:r>
      <w:r w:rsidR="005B2992" w:rsidRPr="009B04A5">
        <w:rPr>
          <w:rFonts w:ascii="Book Antiqua" w:hAnsi="Book Antiqua"/>
        </w:rPr>
        <w:t xml:space="preserve"> identified </w:t>
      </w:r>
      <w:r w:rsidR="00AE37C0" w:rsidRPr="009B04A5">
        <w:rPr>
          <w:rFonts w:ascii="Book Antiqua" w:hAnsi="Book Antiqua"/>
        </w:rPr>
        <w:t>highly</w:t>
      </w:r>
      <w:r w:rsidR="005B2992" w:rsidRPr="009B04A5">
        <w:rPr>
          <w:rFonts w:ascii="Book Antiqua" w:hAnsi="Book Antiqua"/>
        </w:rPr>
        <w:t xml:space="preserve"> expressed miR-590 as </w:t>
      </w:r>
      <w:r w:rsidR="00AE37C0" w:rsidRPr="009B04A5">
        <w:rPr>
          <w:rFonts w:ascii="Book Antiqua" w:hAnsi="Book Antiqua"/>
        </w:rPr>
        <w:t xml:space="preserve">a </w:t>
      </w:r>
      <w:r w:rsidR="005B2992" w:rsidRPr="009B04A5">
        <w:rPr>
          <w:rFonts w:ascii="Book Antiqua" w:hAnsi="Book Antiqua"/>
        </w:rPr>
        <w:t xml:space="preserve">candidate oncogenic marker for both adult and pediatric T-ALL. Through regulation of </w:t>
      </w:r>
      <w:r w:rsidR="00AE37C0" w:rsidRPr="009B04A5">
        <w:rPr>
          <w:rFonts w:ascii="Book Antiqua" w:hAnsi="Book Antiqua"/>
        </w:rPr>
        <w:t xml:space="preserve">the </w:t>
      </w:r>
      <w:r w:rsidR="005B2992" w:rsidRPr="009B04A5">
        <w:rPr>
          <w:rFonts w:ascii="Book Antiqua" w:hAnsi="Book Antiqua"/>
          <w:i/>
        </w:rPr>
        <w:t xml:space="preserve">RB1 </w:t>
      </w:r>
      <w:r w:rsidR="005B2992" w:rsidRPr="009B04A5">
        <w:rPr>
          <w:rFonts w:ascii="Book Antiqua" w:hAnsi="Book Antiqua"/>
        </w:rPr>
        <w:t>gene</w:t>
      </w:r>
      <w:r w:rsidR="00AE37C0" w:rsidRPr="009B04A5">
        <w:rPr>
          <w:rFonts w:ascii="Book Antiqua" w:hAnsi="Book Antiqua"/>
        </w:rPr>
        <w:t>,</w:t>
      </w:r>
      <w:r w:rsidR="005B2992" w:rsidRPr="009B04A5">
        <w:rPr>
          <w:rFonts w:ascii="Book Antiqua" w:hAnsi="Book Antiqua"/>
        </w:rPr>
        <w:t xml:space="preserve"> miR-590 increased </w:t>
      </w:r>
      <w:r w:rsidR="00AE37C0" w:rsidRPr="009B04A5">
        <w:rPr>
          <w:rFonts w:ascii="Book Antiqua" w:hAnsi="Book Antiqua"/>
        </w:rPr>
        <w:t xml:space="preserve">the </w:t>
      </w:r>
      <w:r w:rsidR="005B2992" w:rsidRPr="009B04A5">
        <w:rPr>
          <w:rFonts w:ascii="Book Antiqua" w:hAnsi="Book Antiqua"/>
        </w:rPr>
        <w:t>proliferation and invasion of T-cells</w:t>
      </w:r>
      <w:r w:rsidR="000A6432" w:rsidRPr="009B04A5">
        <w:rPr>
          <w:rFonts w:ascii="Book Antiqua" w:hAnsi="Book Antiqua"/>
          <w:vertAlign w:val="superscript"/>
        </w:rPr>
        <w:t>[113]</w:t>
      </w:r>
      <w:r w:rsidR="005B2992" w:rsidRPr="009B04A5">
        <w:rPr>
          <w:rFonts w:ascii="Book Antiqua" w:hAnsi="Book Antiqua"/>
        </w:rPr>
        <w:t xml:space="preserve">. </w:t>
      </w:r>
      <w:r w:rsidR="001F2A3D" w:rsidRPr="009B04A5">
        <w:rPr>
          <w:rStyle w:val="tlid-translation"/>
          <w:rFonts w:ascii="Book Antiqua" w:hAnsi="Book Antiqua"/>
        </w:rPr>
        <w:t>A c</w:t>
      </w:r>
      <w:r w:rsidR="005B2992" w:rsidRPr="009B04A5">
        <w:rPr>
          <w:rStyle w:val="tlid-translation"/>
          <w:rFonts w:ascii="Book Antiqua" w:hAnsi="Book Antiqua"/>
        </w:rPr>
        <w:t xml:space="preserve">ommon </w:t>
      </w:r>
      <w:r w:rsidR="00520BA7" w:rsidRPr="009B04A5">
        <w:rPr>
          <w:rStyle w:val="tlid-translation"/>
          <w:rFonts w:ascii="Book Antiqua" w:hAnsi="Book Antiqua"/>
        </w:rPr>
        <w:t xml:space="preserve">oncogenic marker in </w:t>
      </w:r>
      <w:r w:rsidR="005B2992" w:rsidRPr="009B04A5">
        <w:rPr>
          <w:rStyle w:val="tlid-translation"/>
          <w:rFonts w:ascii="Book Antiqua" w:hAnsi="Book Antiqua"/>
        </w:rPr>
        <w:t xml:space="preserve">adult and pediatric T-ALL is miR-149. Overexpression of miR-149 inhibits apoptosis and enhances proliferation </w:t>
      </w:r>
      <w:r w:rsidR="00BD2863" w:rsidRPr="009B04A5">
        <w:rPr>
          <w:rStyle w:val="tlid-translation"/>
          <w:rFonts w:ascii="Book Antiqua" w:hAnsi="Book Antiqua"/>
          <w:i/>
        </w:rPr>
        <w:t>via</w:t>
      </w:r>
      <w:r w:rsidR="005B2992" w:rsidRPr="009B04A5">
        <w:rPr>
          <w:rStyle w:val="tlid-translation"/>
          <w:rFonts w:ascii="Book Antiqua" w:hAnsi="Book Antiqua"/>
        </w:rPr>
        <w:t xml:space="preserve"> the target gene </w:t>
      </w:r>
      <w:r w:rsidR="005B2992" w:rsidRPr="009B04A5">
        <w:rPr>
          <w:rStyle w:val="tlid-translation"/>
          <w:rFonts w:ascii="Book Antiqua" w:hAnsi="Book Antiqua"/>
          <w:i/>
        </w:rPr>
        <w:t>JUNB</w:t>
      </w:r>
      <w:r w:rsidR="000A6432" w:rsidRPr="009B04A5">
        <w:rPr>
          <w:rStyle w:val="tlid-translation"/>
          <w:rFonts w:ascii="Book Antiqua" w:hAnsi="Book Antiqua"/>
          <w:vertAlign w:val="superscript"/>
        </w:rPr>
        <w:t>[114]</w:t>
      </w:r>
      <w:r w:rsidR="005B2992" w:rsidRPr="009B04A5">
        <w:rPr>
          <w:rStyle w:val="tlid-translation"/>
          <w:rFonts w:ascii="Book Antiqua" w:hAnsi="Book Antiqua"/>
        </w:rPr>
        <w:t>.</w:t>
      </w:r>
      <w:r w:rsidR="005B2992" w:rsidRPr="009B04A5">
        <w:rPr>
          <w:rFonts w:ascii="Book Antiqua" w:hAnsi="Book Antiqua"/>
        </w:rPr>
        <w:t xml:space="preserve"> Another example is miR-664, </w:t>
      </w:r>
      <w:r w:rsidR="00AE37C0" w:rsidRPr="009B04A5">
        <w:rPr>
          <w:rFonts w:ascii="Book Antiqua" w:hAnsi="Book Antiqua"/>
        </w:rPr>
        <w:t>whose</w:t>
      </w:r>
      <w:r w:rsidR="005B2992" w:rsidRPr="009B04A5">
        <w:rPr>
          <w:rFonts w:ascii="Book Antiqua" w:hAnsi="Book Antiqua"/>
        </w:rPr>
        <w:t xml:space="preserve"> overexpression </w:t>
      </w:r>
      <w:r w:rsidR="00AE37C0" w:rsidRPr="009B04A5">
        <w:rPr>
          <w:rFonts w:ascii="Book Antiqua" w:hAnsi="Book Antiqua"/>
        </w:rPr>
        <w:t>inhibits the</w:t>
      </w:r>
      <w:r w:rsidR="005B2992" w:rsidRPr="009B04A5">
        <w:rPr>
          <w:rFonts w:ascii="Book Antiqua" w:hAnsi="Book Antiqua"/>
        </w:rPr>
        <w:t xml:space="preserve"> </w:t>
      </w:r>
      <w:r w:rsidR="005B2992" w:rsidRPr="009B04A5">
        <w:rPr>
          <w:rStyle w:val="a4"/>
          <w:rFonts w:ascii="Book Antiqua" w:hAnsi="Book Antiqua"/>
        </w:rPr>
        <w:t>PLP2</w:t>
      </w:r>
      <w:r w:rsidR="005B2992" w:rsidRPr="009B04A5">
        <w:rPr>
          <w:rFonts w:ascii="Book Antiqua" w:hAnsi="Book Antiqua"/>
        </w:rPr>
        <w:t xml:space="preserve"> gene in pediatric T-ALL. Deregulation of </w:t>
      </w:r>
      <w:r w:rsidR="005B2992" w:rsidRPr="009B04A5">
        <w:rPr>
          <w:rFonts w:ascii="Book Antiqua" w:hAnsi="Book Antiqua"/>
          <w:i/>
        </w:rPr>
        <w:t xml:space="preserve">PLP2 </w:t>
      </w:r>
      <w:r w:rsidR="005B2992" w:rsidRPr="009B04A5">
        <w:rPr>
          <w:rFonts w:ascii="Book Antiqua" w:hAnsi="Book Antiqua"/>
        </w:rPr>
        <w:t>results in changes in adhesion and migration</w:t>
      </w:r>
      <w:r w:rsidR="00800655" w:rsidRPr="009B04A5">
        <w:rPr>
          <w:rFonts w:ascii="Book Antiqua" w:hAnsi="Book Antiqua"/>
        </w:rPr>
        <w:t xml:space="preserve"> of</w:t>
      </w:r>
      <w:r w:rsidR="005B2992" w:rsidRPr="009B04A5">
        <w:rPr>
          <w:rFonts w:ascii="Book Antiqua" w:hAnsi="Book Antiqua"/>
        </w:rPr>
        <w:t xml:space="preserve"> leukemic cells</w:t>
      </w:r>
      <w:r w:rsidR="000A6432" w:rsidRPr="009B04A5">
        <w:rPr>
          <w:rFonts w:ascii="Book Antiqua" w:hAnsi="Book Antiqua"/>
          <w:vertAlign w:val="superscript"/>
        </w:rPr>
        <w:t>[115]</w:t>
      </w:r>
      <w:r w:rsidR="005B2992" w:rsidRPr="009B04A5">
        <w:rPr>
          <w:rFonts w:ascii="Book Antiqua" w:hAnsi="Book Antiqua"/>
        </w:rPr>
        <w:t>.</w:t>
      </w:r>
    </w:p>
    <w:p w:rsidR="006A47F8" w:rsidRPr="009B04A5" w:rsidRDefault="00B70C2D" w:rsidP="00C709AE">
      <w:pPr>
        <w:adjustRightInd w:val="0"/>
        <w:snapToGrid w:val="0"/>
        <w:spacing w:line="360" w:lineRule="auto"/>
        <w:ind w:firstLineChars="100" w:firstLine="240"/>
        <w:rPr>
          <w:rFonts w:ascii="Book Antiqua" w:hAnsi="Book Antiqua"/>
        </w:rPr>
      </w:pPr>
      <w:r w:rsidRPr="009B04A5">
        <w:rPr>
          <w:rStyle w:val="tlid-translation"/>
          <w:rFonts w:ascii="Book Antiqua" w:hAnsi="Book Antiqua"/>
        </w:rPr>
        <w:t>M</w:t>
      </w:r>
      <w:r w:rsidR="00BF0D1D" w:rsidRPr="009B04A5">
        <w:rPr>
          <w:rStyle w:val="tlid-translation"/>
          <w:rFonts w:ascii="Book Antiqua" w:hAnsi="Book Antiqua"/>
        </w:rPr>
        <w:t>iR</w:t>
      </w:r>
      <w:r w:rsidR="005B2992" w:rsidRPr="009B04A5">
        <w:rPr>
          <w:rStyle w:val="tlid-translation"/>
          <w:rFonts w:ascii="Book Antiqua" w:hAnsi="Book Antiqua"/>
        </w:rPr>
        <w:t xml:space="preserve">-181 is often mentioned among AML prognostic markers. </w:t>
      </w:r>
      <w:r w:rsidR="00BF0D1D" w:rsidRPr="009B04A5">
        <w:rPr>
          <w:rStyle w:val="tlid-translation"/>
          <w:rFonts w:ascii="Book Antiqua" w:hAnsi="Book Antiqua"/>
        </w:rPr>
        <w:t>I</w:t>
      </w:r>
      <w:r w:rsidR="005B2992" w:rsidRPr="009B04A5">
        <w:rPr>
          <w:rStyle w:val="tlid-translation"/>
          <w:rFonts w:ascii="Book Antiqua" w:hAnsi="Book Antiqua"/>
        </w:rPr>
        <w:t>n adults</w:t>
      </w:r>
      <w:r w:rsidR="00AE37C0" w:rsidRPr="009B04A5">
        <w:rPr>
          <w:rStyle w:val="tlid-translation"/>
          <w:rFonts w:ascii="Book Antiqua" w:hAnsi="Book Antiqua"/>
        </w:rPr>
        <w:t>,</w:t>
      </w:r>
      <w:r w:rsidR="005B2992" w:rsidRPr="009B04A5">
        <w:rPr>
          <w:rStyle w:val="tlid-translation"/>
          <w:rFonts w:ascii="Book Antiqua" w:hAnsi="Book Antiqua"/>
        </w:rPr>
        <w:t xml:space="preserve"> its relationship with prognosis in AML is quite well described</w:t>
      </w:r>
      <w:r w:rsidR="000A6432" w:rsidRPr="009B04A5">
        <w:rPr>
          <w:rStyle w:val="tlid-translation"/>
          <w:rFonts w:ascii="Book Antiqua" w:hAnsi="Book Antiqua"/>
          <w:vertAlign w:val="superscript"/>
        </w:rPr>
        <w:t>[60,116]</w:t>
      </w:r>
      <w:r w:rsidR="00BF0D1D" w:rsidRPr="009B04A5">
        <w:rPr>
          <w:rStyle w:val="tlid-translation"/>
          <w:rFonts w:ascii="Book Antiqua" w:hAnsi="Book Antiqua"/>
        </w:rPr>
        <w:t>; however,</w:t>
      </w:r>
      <w:r w:rsidR="00F828CA" w:rsidRPr="009B04A5">
        <w:rPr>
          <w:rStyle w:val="tlid-translation"/>
          <w:rFonts w:ascii="Book Antiqua" w:hAnsi="Book Antiqua"/>
        </w:rPr>
        <w:t xml:space="preserve"> only one published paper </w:t>
      </w:r>
      <w:r w:rsidR="00AE37C0" w:rsidRPr="009B04A5">
        <w:rPr>
          <w:rStyle w:val="tlid-translation"/>
          <w:rFonts w:ascii="Book Antiqua" w:hAnsi="Book Antiqua"/>
        </w:rPr>
        <w:t>describe</w:t>
      </w:r>
      <w:r w:rsidR="00BF0D1D" w:rsidRPr="009B04A5">
        <w:rPr>
          <w:rStyle w:val="tlid-translation"/>
          <w:rFonts w:ascii="Book Antiqua" w:hAnsi="Book Antiqua"/>
        </w:rPr>
        <w:t>s</w:t>
      </w:r>
      <w:r w:rsidR="00F828CA" w:rsidRPr="009B04A5">
        <w:rPr>
          <w:rStyle w:val="tlid-translation"/>
          <w:rFonts w:ascii="Book Antiqua" w:hAnsi="Book Antiqua"/>
        </w:rPr>
        <w:t xml:space="preserve"> the correlation between </w:t>
      </w:r>
      <w:r w:rsidR="00AE37C0" w:rsidRPr="009B04A5">
        <w:rPr>
          <w:rStyle w:val="tlid-translation"/>
          <w:rFonts w:ascii="Book Antiqua" w:hAnsi="Book Antiqua"/>
        </w:rPr>
        <w:t>miR</w:t>
      </w:r>
      <w:r w:rsidR="00F828CA" w:rsidRPr="009B04A5">
        <w:rPr>
          <w:rStyle w:val="tlid-translation"/>
          <w:rFonts w:ascii="Book Antiqua" w:hAnsi="Book Antiqua"/>
        </w:rPr>
        <w:t xml:space="preserve">-181 expression level and prognosis in </w:t>
      </w:r>
      <w:r w:rsidR="00AE37C0" w:rsidRPr="009B04A5">
        <w:rPr>
          <w:rStyle w:val="tlid-translation"/>
          <w:rFonts w:ascii="Book Antiqua" w:hAnsi="Book Antiqua"/>
        </w:rPr>
        <w:t xml:space="preserve">the </w:t>
      </w:r>
      <w:r w:rsidR="00F828CA" w:rsidRPr="009B04A5">
        <w:rPr>
          <w:rStyle w:val="tlid-translation"/>
          <w:rFonts w:ascii="Book Antiqua" w:hAnsi="Book Antiqua"/>
        </w:rPr>
        <w:t xml:space="preserve">pediatric population. Liu </w:t>
      </w:r>
      <w:r w:rsidR="00783C14" w:rsidRPr="009B04A5">
        <w:rPr>
          <w:rStyle w:val="tlid-translation"/>
          <w:rFonts w:ascii="Book Antiqua" w:hAnsi="Book Antiqua"/>
          <w:i/>
        </w:rPr>
        <w:t>et al</w:t>
      </w:r>
      <w:r w:rsidR="000A6432" w:rsidRPr="009B04A5">
        <w:rPr>
          <w:rStyle w:val="tlid-translation"/>
          <w:rFonts w:ascii="Book Antiqua" w:hAnsi="Book Antiqua"/>
          <w:vertAlign w:val="superscript"/>
        </w:rPr>
        <w:t>[117]</w:t>
      </w:r>
      <w:r w:rsidR="005B2992" w:rsidRPr="009B04A5">
        <w:rPr>
          <w:rStyle w:val="tlid-translation"/>
          <w:rFonts w:ascii="Book Antiqua" w:hAnsi="Book Antiqua"/>
        </w:rPr>
        <w:t xml:space="preserve"> analyzed </w:t>
      </w:r>
      <w:r w:rsidR="00AE37C0" w:rsidRPr="009B04A5">
        <w:rPr>
          <w:rStyle w:val="tlid-translation"/>
          <w:rFonts w:ascii="Book Antiqua" w:hAnsi="Book Antiqua"/>
        </w:rPr>
        <w:t xml:space="preserve">the </w:t>
      </w:r>
      <w:r w:rsidR="005B2992" w:rsidRPr="009B04A5">
        <w:rPr>
          <w:rFonts w:ascii="Book Antiqua" w:hAnsi="Book Antiqua"/>
        </w:rPr>
        <w:t xml:space="preserve">physiological function and mechanism of miR-181 and found that these </w:t>
      </w:r>
      <w:r w:rsidR="00AE37C0" w:rsidRPr="009B04A5">
        <w:rPr>
          <w:rFonts w:ascii="Book Antiqua" w:hAnsi="Book Antiqua"/>
        </w:rPr>
        <w:t>molecules are</w:t>
      </w:r>
      <w:r w:rsidR="005B2992" w:rsidRPr="009B04A5">
        <w:rPr>
          <w:rFonts w:ascii="Book Antiqua" w:hAnsi="Book Antiqua"/>
        </w:rPr>
        <w:t xml:space="preserve"> responsible for </w:t>
      </w:r>
      <w:r w:rsidR="00AE37C0" w:rsidRPr="009B04A5">
        <w:rPr>
          <w:rFonts w:ascii="Book Antiqua" w:hAnsi="Book Antiqua"/>
        </w:rPr>
        <w:t xml:space="preserve">the </w:t>
      </w:r>
      <w:r w:rsidR="005B2992" w:rsidRPr="009B04A5">
        <w:rPr>
          <w:rFonts w:ascii="Book Antiqua" w:hAnsi="Book Antiqua"/>
        </w:rPr>
        <w:t xml:space="preserve">G1/S transition and cell proliferation </w:t>
      </w:r>
      <w:r w:rsidR="00BD2863" w:rsidRPr="009B04A5">
        <w:rPr>
          <w:rFonts w:ascii="Book Antiqua" w:hAnsi="Book Antiqua"/>
          <w:i/>
        </w:rPr>
        <w:t>via</w:t>
      </w:r>
      <w:r w:rsidR="005B2992" w:rsidRPr="009B04A5">
        <w:rPr>
          <w:rFonts w:ascii="Book Antiqua" w:hAnsi="Book Antiqua"/>
        </w:rPr>
        <w:t xml:space="preserve"> </w:t>
      </w:r>
      <w:r w:rsidR="00AE37C0" w:rsidRPr="009B04A5">
        <w:rPr>
          <w:rFonts w:ascii="Book Antiqua" w:hAnsi="Book Antiqua"/>
        </w:rPr>
        <w:t xml:space="preserve">the </w:t>
      </w:r>
      <w:r w:rsidR="005B2992" w:rsidRPr="009B04A5">
        <w:rPr>
          <w:rFonts w:ascii="Book Antiqua" w:hAnsi="Book Antiqua"/>
        </w:rPr>
        <w:t xml:space="preserve">tumor suppressor </w:t>
      </w:r>
      <w:r w:rsidR="005B2992" w:rsidRPr="009B04A5">
        <w:rPr>
          <w:rFonts w:ascii="Book Antiqua" w:hAnsi="Book Antiqua"/>
          <w:i/>
        </w:rPr>
        <w:t>ATM</w:t>
      </w:r>
      <w:r w:rsidR="005B2992" w:rsidRPr="009B04A5">
        <w:rPr>
          <w:rFonts w:ascii="Book Antiqua" w:hAnsi="Book Antiqua"/>
        </w:rPr>
        <w:t>.</w:t>
      </w:r>
    </w:p>
    <w:p w:rsidR="007B304E" w:rsidRPr="009B04A5" w:rsidRDefault="00E138C5" w:rsidP="00C709AE">
      <w:pPr>
        <w:adjustRightInd w:val="0"/>
        <w:snapToGrid w:val="0"/>
        <w:spacing w:line="360" w:lineRule="auto"/>
        <w:ind w:firstLineChars="100" w:firstLine="240"/>
        <w:rPr>
          <w:rStyle w:val="tlid-translation"/>
          <w:rFonts w:ascii="Book Antiqua" w:hAnsi="Book Antiqua"/>
        </w:rPr>
      </w:pPr>
      <w:r w:rsidRPr="009B04A5">
        <w:rPr>
          <w:rStyle w:val="tlid-translation"/>
          <w:rFonts w:ascii="Book Antiqua" w:hAnsi="Book Antiqua"/>
        </w:rPr>
        <w:t xml:space="preserve">Zhang </w:t>
      </w:r>
      <w:r w:rsidR="00783C14" w:rsidRPr="009B04A5">
        <w:rPr>
          <w:rStyle w:val="tlid-translation"/>
          <w:rFonts w:ascii="Book Antiqua" w:hAnsi="Book Antiqua"/>
          <w:i/>
        </w:rPr>
        <w:t>et al</w:t>
      </w:r>
      <w:r w:rsidR="000A6432" w:rsidRPr="009B04A5">
        <w:rPr>
          <w:rStyle w:val="tlid-translation"/>
          <w:rFonts w:ascii="Book Antiqua" w:hAnsi="Book Antiqua"/>
          <w:vertAlign w:val="superscript"/>
        </w:rPr>
        <w:t>[65]</w:t>
      </w:r>
      <w:r w:rsidRPr="009B04A5">
        <w:rPr>
          <w:rStyle w:val="tlid-translation"/>
          <w:rFonts w:ascii="Book Antiqua" w:hAnsi="Book Antiqua"/>
        </w:rPr>
        <w:t xml:space="preserve"> found that high expression of oncogenic miR-99 is significantly related </w:t>
      </w:r>
      <w:r w:rsidR="00AE37C0" w:rsidRPr="009B04A5">
        <w:rPr>
          <w:rStyle w:val="tlid-translation"/>
          <w:rFonts w:ascii="Book Antiqua" w:hAnsi="Book Antiqua"/>
        </w:rPr>
        <w:t xml:space="preserve">to the </w:t>
      </w:r>
      <w:r w:rsidRPr="009B04A5">
        <w:rPr>
          <w:rStyle w:val="tlid-translation"/>
          <w:rFonts w:ascii="Book Antiqua" w:hAnsi="Book Antiqua"/>
        </w:rPr>
        <w:t xml:space="preserve">promotion of proliferation and apoptosis inhibition. Overexpression of </w:t>
      </w:r>
      <w:r w:rsidRPr="009B04A5">
        <w:rPr>
          <w:rStyle w:val="tlid-translation"/>
          <w:rFonts w:ascii="Book Antiqua" w:hAnsi="Book Antiqua"/>
        </w:rPr>
        <w:lastRenderedPageBreak/>
        <w:t>m</w:t>
      </w:r>
      <w:r w:rsidRPr="009B04A5">
        <w:rPr>
          <w:rFonts w:ascii="Book Antiqua" w:hAnsi="Book Antiqua"/>
        </w:rPr>
        <w:t>iR-99a was observed in pediatric AML (FAB subtypes M1-M5). Interestingly</w:t>
      </w:r>
      <w:r w:rsidR="00AE37C0" w:rsidRPr="009B04A5">
        <w:rPr>
          <w:rFonts w:ascii="Book Antiqua" w:hAnsi="Book Antiqua"/>
        </w:rPr>
        <w:t>,</w:t>
      </w:r>
      <w:r w:rsidRPr="009B04A5">
        <w:rPr>
          <w:rFonts w:ascii="Book Antiqua" w:hAnsi="Book Antiqua"/>
        </w:rPr>
        <w:t xml:space="preserve"> during complete remission</w:t>
      </w:r>
      <w:r w:rsidR="00AE37C0" w:rsidRPr="009B04A5">
        <w:rPr>
          <w:rFonts w:ascii="Book Antiqua" w:hAnsi="Book Antiqua"/>
        </w:rPr>
        <w:t>,</w:t>
      </w:r>
      <w:r w:rsidRPr="009B04A5">
        <w:rPr>
          <w:rFonts w:ascii="Book Antiqua" w:hAnsi="Book Antiqua"/>
        </w:rPr>
        <w:t xml:space="preserve"> silencing expression of miR-99 was noted.</w:t>
      </w:r>
      <w:r w:rsidRPr="009B04A5">
        <w:rPr>
          <w:rStyle w:val="tlid-translation"/>
          <w:rFonts w:ascii="Book Antiqua" w:hAnsi="Book Antiqua"/>
        </w:rPr>
        <w:t xml:space="preserve"> Regulation of cell growth and differentiation was associated with modulation of the expression of such miR target tumor suppressor genes</w:t>
      </w:r>
      <w:r w:rsidR="003456FA" w:rsidRPr="009B04A5">
        <w:rPr>
          <w:rStyle w:val="tlid-translation"/>
          <w:rFonts w:ascii="Book Antiqua" w:hAnsi="Book Antiqua"/>
        </w:rPr>
        <w:t xml:space="preserve"> as</w:t>
      </w:r>
      <w:r w:rsidRPr="009B04A5">
        <w:rPr>
          <w:rStyle w:val="tlid-translation"/>
          <w:rFonts w:ascii="Book Antiqua" w:hAnsi="Book Antiqua"/>
        </w:rPr>
        <w:t xml:space="preserve"> </w:t>
      </w:r>
      <w:r w:rsidRPr="009B04A5">
        <w:rPr>
          <w:rStyle w:val="tlid-translation"/>
          <w:rFonts w:ascii="Book Antiqua" w:hAnsi="Book Antiqua"/>
          <w:i/>
        </w:rPr>
        <w:t>CTDSPL</w:t>
      </w:r>
      <w:r w:rsidRPr="009B04A5">
        <w:rPr>
          <w:rStyle w:val="tlid-translation"/>
          <w:rFonts w:ascii="Book Antiqua" w:hAnsi="Book Antiqua"/>
        </w:rPr>
        <w:t xml:space="preserve"> and </w:t>
      </w:r>
      <w:r w:rsidRPr="009B04A5">
        <w:rPr>
          <w:rStyle w:val="tlid-translation"/>
          <w:rFonts w:ascii="Book Antiqua" w:hAnsi="Book Antiqua"/>
          <w:i/>
        </w:rPr>
        <w:t>TRIB2</w:t>
      </w:r>
      <w:r w:rsidRPr="009B04A5">
        <w:rPr>
          <w:rStyle w:val="tlid-translation"/>
          <w:rFonts w:ascii="Book Antiqua" w:hAnsi="Book Antiqua"/>
        </w:rPr>
        <w:t>.</w:t>
      </w:r>
    </w:p>
    <w:p w:rsidR="007B304E" w:rsidRPr="009B04A5" w:rsidRDefault="0028617D" w:rsidP="00C709AE">
      <w:pPr>
        <w:adjustRightInd w:val="0"/>
        <w:snapToGrid w:val="0"/>
        <w:spacing w:line="360" w:lineRule="auto"/>
        <w:ind w:firstLineChars="100" w:firstLine="240"/>
        <w:rPr>
          <w:rStyle w:val="tlid-translation"/>
          <w:rFonts w:ascii="Book Antiqua" w:hAnsi="Book Antiqua"/>
        </w:rPr>
      </w:pPr>
      <w:r w:rsidRPr="009B04A5">
        <w:rPr>
          <w:rFonts w:ascii="Book Antiqua" w:hAnsi="Book Antiqua"/>
        </w:rPr>
        <w:t xml:space="preserve">Evolutionarily conserved miR-125b, as an important regulator </w:t>
      </w:r>
      <w:r w:rsidR="00AE37C0" w:rsidRPr="009B04A5">
        <w:rPr>
          <w:rFonts w:ascii="Book Antiqua" w:hAnsi="Book Antiqua"/>
        </w:rPr>
        <w:t xml:space="preserve">of </w:t>
      </w:r>
      <w:r w:rsidRPr="009B04A5">
        <w:rPr>
          <w:rFonts w:ascii="Book Antiqua" w:hAnsi="Book Antiqua"/>
        </w:rPr>
        <w:t>hematopoietic stem/progenitor cell apoptosis, confers a proliferative advantage to leukemic cells</w:t>
      </w:r>
      <w:r w:rsidR="00AE37C0" w:rsidRPr="009B04A5">
        <w:rPr>
          <w:rFonts w:ascii="Book Antiqua" w:hAnsi="Book Antiqua"/>
        </w:rPr>
        <w:t xml:space="preserve"> in</w:t>
      </w:r>
      <w:r w:rsidRPr="009B04A5">
        <w:rPr>
          <w:rFonts w:ascii="Book Antiqua" w:hAnsi="Book Antiqua"/>
        </w:rPr>
        <w:t xml:space="preserve"> both ALL and AML</w:t>
      </w:r>
      <w:r w:rsidR="000A6432" w:rsidRPr="009B04A5">
        <w:rPr>
          <w:rFonts w:ascii="Book Antiqua" w:hAnsi="Book Antiqua"/>
          <w:vertAlign w:val="superscript"/>
        </w:rPr>
        <w:t>[118]</w:t>
      </w:r>
      <w:r w:rsidRPr="009B04A5">
        <w:rPr>
          <w:rFonts w:ascii="Book Antiqua" w:hAnsi="Book Antiqua"/>
        </w:rPr>
        <w:t>. In AML</w:t>
      </w:r>
      <w:r w:rsidR="00AE37C0" w:rsidRPr="009B04A5">
        <w:rPr>
          <w:rFonts w:ascii="Book Antiqua" w:hAnsi="Book Antiqua"/>
        </w:rPr>
        <w:t>,</w:t>
      </w:r>
      <w:r w:rsidRPr="009B04A5">
        <w:rPr>
          <w:rFonts w:ascii="Book Antiqua" w:hAnsi="Book Antiqua"/>
        </w:rPr>
        <w:t xml:space="preserve"> </w:t>
      </w:r>
      <w:r w:rsidR="00AE37C0" w:rsidRPr="009B04A5">
        <w:rPr>
          <w:rFonts w:ascii="Book Antiqua" w:hAnsi="Book Antiqua"/>
        </w:rPr>
        <w:t xml:space="preserve">the </w:t>
      </w:r>
      <w:r w:rsidRPr="009B04A5">
        <w:rPr>
          <w:rFonts w:ascii="Book Antiqua" w:hAnsi="Book Antiqua"/>
        </w:rPr>
        <w:t>level of miR-125b could be up to 90-fold higher in comparison to normal cells</w:t>
      </w:r>
      <w:r w:rsidR="000A6432" w:rsidRPr="009B04A5">
        <w:rPr>
          <w:rFonts w:ascii="Book Antiqua" w:hAnsi="Book Antiqua"/>
          <w:vertAlign w:val="superscript"/>
        </w:rPr>
        <w:t>[76]</w:t>
      </w:r>
      <w:r w:rsidRPr="009B04A5">
        <w:rPr>
          <w:rFonts w:ascii="Book Antiqua" w:hAnsi="Book Antiqua"/>
        </w:rPr>
        <w:t>. In patients with B-ALL carrying the t(11;14)(q24;q32) translocation</w:t>
      </w:r>
      <w:r w:rsidR="00AE37C0" w:rsidRPr="009B04A5">
        <w:rPr>
          <w:rFonts w:ascii="Book Antiqua" w:hAnsi="Book Antiqua"/>
        </w:rPr>
        <w:t>,</w:t>
      </w:r>
      <w:r w:rsidRPr="009B04A5">
        <w:rPr>
          <w:rFonts w:ascii="Book Antiqua" w:hAnsi="Book Antiqua"/>
        </w:rPr>
        <w:t xml:space="preserve"> expression of miR-125b is also 30- to 600-fold higher in </w:t>
      </w:r>
      <w:r w:rsidR="00AE37C0" w:rsidRPr="009B04A5">
        <w:rPr>
          <w:rFonts w:ascii="Book Antiqua" w:hAnsi="Book Antiqua"/>
        </w:rPr>
        <w:t>comparison</w:t>
      </w:r>
      <w:r w:rsidRPr="009B04A5">
        <w:rPr>
          <w:rFonts w:ascii="Book Antiqua" w:hAnsi="Book Antiqua"/>
        </w:rPr>
        <w:t xml:space="preserve"> to cases without the translocation</w:t>
      </w:r>
      <w:r w:rsidR="000A6432" w:rsidRPr="009B04A5">
        <w:rPr>
          <w:rFonts w:ascii="Book Antiqua" w:hAnsi="Book Antiqua"/>
          <w:vertAlign w:val="superscript"/>
        </w:rPr>
        <w:t>[72,119]</w:t>
      </w:r>
      <w:r w:rsidRPr="009B04A5">
        <w:rPr>
          <w:rFonts w:ascii="Book Antiqua" w:hAnsi="Book Antiqua"/>
        </w:rPr>
        <w:t xml:space="preserve">. </w:t>
      </w:r>
      <w:r w:rsidR="00F828CA" w:rsidRPr="009B04A5">
        <w:rPr>
          <w:rFonts w:ascii="Book Antiqua" w:hAnsi="Book Antiqua"/>
        </w:rPr>
        <w:t xml:space="preserve">In AML, as shown </w:t>
      </w:r>
      <w:r w:rsidR="00AE37C0" w:rsidRPr="009B04A5">
        <w:rPr>
          <w:rFonts w:ascii="Book Antiqua" w:hAnsi="Book Antiqua"/>
        </w:rPr>
        <w:t xml:space="preserve">by </w:t>
      </w:r>
      <w:r w:rsidR="00F828CA" w:rsidRPr="009B04A5">
        <w:rPr>
          <w:rFonts w:ascii="Book Antiqua" w:hAnsi="Book Antiqua"/>
        </w:rPr>
        <w:t xml:space="preserve">Ufkin </w:t>
      </w:r>
      <w:r w:rsidR="00783C14" w:rsidRPr="009B04A5">
        <w:rPr>
          <w:rFonts w:ascii="Book Antiqua" w:hAnsi="Book Antiqua"/>
          <w:i/>
        </w:rPr>
        <w:t>et al</w:t>
      </w:r>
      <w:r w:rsidR="000A6432" w:rsidRPr="009B04A5">
        <w:rPr>
          <w:rFonts w:ascii="Book Antiqua" w:hAnsi="Book Antiqua"/>
          <w:vertAlign w:val="superscript"/>
        </w:rPr>
        <w:t>[120]</w:t>
      </w:r>
      <w:r w:rsidRPr="009B04A5">
        <w:rPr>
          <w:rFonts w:ascii="Book Antiqua" w:hAnsi="Book Antiqua"/>
        </w:rPr>
        <w:t xml:space="preserve">, miR-125a expression was downregulated in favorable and intermediate </w:t>
      </w:r>
      <w:r w:rsidR="00AE37C0" w:rsidRPr="009B04A5">
        <w:rPr>
          <w:rFonts w:ascii="Book Antiqua" w:hAnsi="Book Antiqua"/>
        </w:rPr>
        <w:t>prognoses</w:t>
      </w:r>
      <w:r w:rsidRPr="009B04A5">
        <w:rPr>
          <w:rFonts w:ascii="Book Antiqua" w:hAnsi="Book Antiqua"/>
        </w:rPr>
        <w:t xml:space="preserve"> and associated with decreased survival. In addition, </w:t>
      </w:r>
      <w:r w:rsidRPr="009B04A5">
        <w:rPr>
          <w:rFonts w:ascii="Book Antiqua" w:hAnsi="Book Antiqua"/>
          <w:i/>
        </w:rPr>
        <w:t>in vitro</w:t>
      </w:r>
      <w:r w:rsidRPr="009B04A5">
        <w:rPr>
          <w:rFonts w:ascii="Book Antiqua" w:hAnsi="Book Antiqua"/>
        </w:rPr>
        <w:t xml:space="preserve"> experiments </w:t>
      </w:r>
      <w:r w:rsidR="00AE37C0" w:rsidRPr="009B04A5">
        <w:rPr>
          <w:rFonts w:ascii="Book Antiqua" w:hAnsi="Book Antiqua"/>
        </w:rPr>
        <w:t xml:space="preserve">have </w:t>
      </w:r>
      <w:r w:rsidRPr="009B04A5">
        <w:rPr>
          <w:rFonts w:ascii="Book Antiqua" w:hAnsi="Book Antiqua"/>
        </w:rPr>
        <w:t xml:space="preserve">identified a potential mechanism for regulating miR-125a expression, which </w:t>
      </w:r>
      <w:r w:rsidR="00AE37C0" w:rsidRPr="009B04A5">
        <w:rPr>
          <w:rFonts w:ascii="Book Antiqua" w:hAnsi="Book Antiqua"/>
        </w:rPr>
        <w:t>is</w:t>
      </w:r>
      <w:r w:rsidRPr="009B04A5">
        <w:rPr>
          <w:rFonts w:ascii="Book Antiqua" w:hAnsi="Book Antiqua"/>
        </w:rPr>
        <w:t xml:space="preserve"> excessive methylation. They undertook effective attempts at global demethylation using decitabine, which resulted in an increase in miR-125a levels as well as</w:t>
      </w:r>
      <w:r w:rsidR="003456FA" w:rsidRPr="009B04A5">
        <w:rPr>
          <w:rFonts w:ascii="Book Antiqua" w:hAnsi="Book Antiqua"/>
        </w:rPr>
        <w:t>,</w:t>
      </w:r>
      <w:r w:rsidRPr="009B04A5">
        <w:rPr>
          <w:rFonts w:ascii="Book Antiqua" w:hAnsi="Book Antiqua"/>
        </w:rPr>
        <w:t xml:space="preserve"> in consequence</w:t>
      </w:r>
      <w:r w:rsidR="003456FA" w:rsidRPr="009B04A5">
        <w:rPr>
          <w:rFonts w:ascii="Book Antiqua" w:hAnsi="Book Antiqua"/>
        </w:rPr>
        <w:t>,</w:t>
      </w:r>
      <w:r w:rsidRPr="009B04A5">
        <w:rPr>
          <w:rFonts w:ascii="Book Antiqua" w:hAnsi="Book Antiqua"/>
        </w:rPr>
        <w:t xml:space="preserve"> inhibition of cell cycle proliferation and progression with increased apoptosis. In their study, they revealed </w:t>
      </w:r>
      <w:r w:rsidR="00AE37C0" w:rsidRPr="009B04A5">
        <w:rPr>
          <w:rFonts w:ascii="Book Antiqua" w:hAnsi="Book Antiqua"/>
        </w:rPr>
        <w:t xml:space="preserve">that </w:t>
      </w:r>
      <w:r w:rsidRPr="009B04A5">
        <w:rPr>
          <w:rFonts w:ascii="Book Antiqua" w:hAnsi="Book Antiqua"/>
        </w:rPr>
        <w:t xml:space="preserve">the </w:t>
      </w:r>
      <w:r w:rsidRPr="009B04A5">
        <w:rPr>
          <w:rFonts w:ascii="Book Antiqua" w:hAnsi="Book Antiqua"/>
          <w:i/>
        </w:rPr>
        <w:t>ErbB</w:t>
      </w:r>
      <w:r w:rsidRPr="009B04A5">
        <w:rPr>
          <w:rFonts w:ascii="Book Antiqua" w:hAnsi="Book Antiqua"/>
        </w:rPr>
        <w:t xml:space="preserve"> pathway </w:t>
      </w:r>
      <w:r w:rsidR="00AE37C0" w:rsidRPr="009B04A5">
        <w:rPr>
          <w:rFonts w:ascii="Book Antiqua" w:hAnsi="Book Antiqua"/>
        </w:rPr>
        <w:t>is</w:t>
      </w:r>
      <w:r w:rsidRPr="009B04A5">
        <w:rPr>
          <w:rFonts w:ascii="Book Antiqua" w:hAnsi="Book Antiqua"/>
        </w:rPr>
        <w:t xml:space="preserve"> directly regulated by miR-125a. The authors suggested that further research into </w:t>
      </w:r>
      <w:r w:rsidRPr="009B04A5">
        <w:rPr>
          <w:rFonts w:ascii="Book Antiqua" w:hAnsi="Book Antiqua"/>
          <w:i/>
        </w:rPr>
        <w:t>ErbB</w:t>
      </w:r>
      <w:r w:rsidRPr="009B04A5">
        <w:rPr>
          <w:rFonts w:ascii="Book Antiqua" w:hAnsi="Book Antiqua"/>
        </w:rPr>
        <w:t xml:space="preserve"> inhibitors and miR-125a molecules may contribute to the development of targeted AML therapy</w:t>
      </w:r>
      <w:r w:rsidR="000A6432" w:rsidRPr="009B04A5">
        <w:rPr>
          <w:rFonts w:ascii="Book Antiqua" w:hAnsi="Book Antiqua"/>
          <w:vertAlign w:val="superscript"/>
        </w:rPr>
        <w:t>[120]</w:t>
      </w:r>
      <w:r w:rsidRPr="009B04A5">
        <w:rPr>
          <w:rFonts w:ascii="Book Antiqua" w:hAnsi="Book Antiqua"/>
        </w:rPr>
        <w:t>.</w:t>
      </w:r>
    </w:p>
    <w:p w:rsidR="007B304E" w:rsidRPr="009B04A5" w:rsidRDefault="00F828CA" w:rsidP="00C709AE">
      <w:pPr>
        <w:adjustRightInd w:val="0"/>
        <w:snapToGrid w:val="0"/>
        <w:spacing w:line="360" w:lineRule="auto"/>
        <w:ind w:firstLineChars="100" w:firstLine="240"/>
        <w:rPr>
          <w:rFonts w:ascii="Book Antiqua" w:hAnsi="Book Antiqua"/>
        </w:rPr>
      </w:pPr>
      <w:r w:rsidRPr="009B04A5">
        <w:rPr>
          <w:rStyle w:val="tlid-translation"/>
          <w:rFonts w:ascii="Book Antiqua" w:hAnsi="Book Antiqua"/>
        </w:rPr>
        <w:t xml:space="preserve">Lin </w:t>
      </w:r>
      <w:r w:rsidR="00783C14" w:rsidRPr="009B04A5">
        <w:rPr>
          <w:rStyle w:val="tlid-translation"/>
          <w:rFonts w:ascii="Book Antiqua" w:hAnsi="Book Antiqua"/>
          <w:i/>
        </w:rPr>
        <w:t>et al</w:t>
      </w:r>
      <w:r w:rsidR="000A6432" w:rsidRPr="009B04A5">
        <w:rPr>
          <w:rStyle w:val="tlid-translation"/>
          <w:rFonts w:ascii="Book Antiqua" w:hAnsi="Book Antiqua"/>
          <w:vertAlign w:val="superscript"/>
        </w:rPr>
        <w:t>[61]</w:t>
      </w:r>
      <w:r w:rsidRPr="009B04A5">
        <w:rPr>
          <w:rStyle w:val="tlid-translation"/>
          <w:rFonts w:ascii="Book Antiqua" w:hAnsi="Book Antiqua"/>
        </w:rPr>
        <w:t xml:space="preserve"> </w:t>
      </w:r>
      <w:r w:rsidR="00D2326A" w:rsidRPr="009B04A5">
        <w:rPr>
          <w:rStyle w:val="tlid-translation"/>
          <w:rFonts w:ascii="Book Antiqua" w:hAnsi="Book Antiqua"/>
        </w:rPr>
        <w:t xml:space="preserve">indicated miR-370 </w:t>
      </w:r>
      <w:r w:rsidRPr="009B04A5">
        <w:rPr>
          <w:rStyle w:val="tlid-translation"/>
          <w:rFonts w:ascii="Book Antiqua" w:hAnsi="Book Antiqua"/>
        </w:rPr>
        <w:t xml:space="preserve">as </w:t>
      </w:r>
      <w:r w:rsidR="00AE37C0" w:rsidRPr="009B04A5">
        <w:rPr>
          <w:rStyle w:val="tlid-translation"/>
          <w:rFonts w:ascii="Book Antiqua" w:hAnsi="Book Antiqua"/>
        </w:rPr>
        <w:t xml:space="preserve">a </w:t>
      </w:r>
      <w:r w:rsidRPr="009B04A5">
        <w:rPr>
          <w:rStyle w:val="tlid-translation"/>
          <w:rFonts w:ascii="Book Antiqua" w:hAnsi="Book Antiqua"/>
        </w:rPr>
        <w:t xml:space="preserve">potential </w:t>
      </w:r>
      <w:r w:rsidR="00AE37C0" w:rsidRPr="009B04A5">
        <w:rPr>
          <w:rStyle w:val="tlid-translation"/>
          <w:rFonts w:ascii="Book Antiqua" w:hAnsi="Book Antiqua"/>
        </w:rPr>
        <w:t>noninvasive</w:t>
      </w:r>
      <w:r w:rsidRPr="009B04A5">
        <w:rPr>
          <w:rStyle w:val="tlid-translation"/>
          <w:rFonts w:ascii="Book Antiqua" w:hAnsi="Book Antiqua"/>
        </w:rPr>
        <w:t xml:space="preserve"> diagnostic and prognostic miRNA marker for childhood AML cases </w:t>
      </w:r>
      <w:r w:rsidR="00D2326A" w:rsidRPr="009B04A5">
        <w:rPr>
          <w:rStyle w:val="tlid-translation"/>
          <w:rFonts w:ascii="Book Antiqua" w:hAnsi="Book Antiqua"/>
        </w:rPr>
        <w:t xml:space="preserve">because its </w:t>
      </w:r>
      <w:r w:rsidRPr="009B04A5">
        <w:rPr>
          <w:rStyle w:val="tlid-translation"/>
          <w:rFonts w:ascii="Book Antiqua" w:hAnsi="Book Antiqua"/>
        </w:rPr>
        <w:t xml:space="preserve">expression in </w:t>
      </w:r>
      <w:r w:rsidR="003E6954" w:rsidRPr="009B04A5">
        <w:rPr>
          <w:rStyle w:val="tlid-translation"/>
          <w:rFonts w:ascii="Book Antiqua" w:hAnsi="Book Antiqua"/>
        </w:rPr>
        <w:t xml:space="preserve">bone marrow </w:t>
      </w:r>
      <w:r w:rsidRPr="009B04A5">
        <w:rPr>
          <w:rStyle w:val="tlid-translation"/>
          <w:rFonts w:ascii="Book Antiqua" w:hAnsi="Book Antiqua"/>
        </w:rPr>
        <w:t xml:space="preserve">and serum samples </w:t>
      </w:r>
      <w:r w:rsidR="00AE37C0" w:rsidRPr="009B04A5">
        <w:rPr>
          <w:rStyle w:val="tlid-translation"/>
          <w:rFonts w:ascii="Book Antiqua" w:hAnsi="Book Antiqua"/>
        </w:rPr>
        <w:t>at</w:t>
      </w:r>
      <w:r w:rsidRPr="009B04A5">
        <w:rPr>
          <w:rStyle w:val="tlid-translation"/>
          <w:rFonts w:ascii="Book Antiqua" w:hAnsi="Book Antiqua"/>
        </w:rPr>
        <w:t xml:space="preserve"> diagnosis was significantly decreased. </w:t>
      </w:r>
      <w:r w:rsidR="00AE37C0" w:rsidRPr="009B04A5">
        <w:rPr>
          <w:rStyle w:val="tlid-translation"/>
          <w:rFonts w:ascii="Book Antiqua" w:hAnsi="Book Antiqua"/>
        </w:rPr>
        <w:t>The level</w:t>
      </w:r>
      <w:r w:rsidRPr="009B04A5">
        <w:rPr>
          <w:rStyle w:val="tlid-translation"/>
          <w:rFonts w:ascii="Book Antiqua" w:hAnsi="Book Antiqua"/>
        </w:rPr>
        <w:t xml:space="preserve"> of miR-370 was correlated with</w:t>
      </w:r>
      <w:r w:rsidR="00AE37C0" w:rsidRPr="009B04A5">
        <w:rPr>
          <w:rStyle w:val="tlid-translation"/>
          <w:rFonts w:ascii="Book Antiqua" w:hAnsi="Book Antiqua"/>
        </w:rPr>
        <w:t xml:space="preserve"> the</w:t>
      </w:r>
      <w:r w:rsidRPr="009B04A5">
        <w:rPr>
          <w:rStyle w:val="tlid-translation"/>
          <w:rFonts w:ascii="Book Antiqua" w:hAnsi="Book Antiqua"/>
        </w:rPr>
        <w:t xml:space="preserve"> FAB classification subtype M7 (</w:t>
      </w:r>
      <w:r w:rsidRPr="009B04A5">
        <w:rPr>
          <w:rStyle w:val="tlid-translation"/>
          <w:rFonts w:ascii="Book Antiqua" w:hAnsi="Book Antiqua"/>
          <w:i/>
          <w:iCs/>
        </w:rPr>
        <w:t>P</w:t>
      </w:r>
      <w:r w:rsidR="007B304E" w:rsidRPr="009B04A5">
        <w:rPr>
          <w:rStyle w:val="tlid-translation"/>
          <w:rFonts w:ascii="Book Antiqua" w:hAnsi="Book Antiqua"/>
        </w:rPr>
        <w:t xml:space="preserve"> </w:t>
      </w:r>
      <w:r w:rsidRPr="009B04A5">
        <w:rPr>
          <w:rStyle w:val="tlid-translation"/>
          <w:rFonts w:ascii="Book Antiqua" w:hAnsi="Book Antiqua"/>
        </w:rPr>
        <w:t>=</w:t>
      </w:r>
      <w:r w:rsidR="007B304E" w:rsidRPr="009B04A5">
        <w:rPr>
          <w:rStyle w:val="tlid-translation"/>
          <w:rFonts w:ascii="Book Antiqua" w:hAnsi="Book Antiqua"/>
        </w:rPr>
        <w:t xml:space="preserve"> </w:t>
      </w:r>
      <w:r w:rsidRPr="009B04A5">
        <w:rPr>
          <w:rStyle w:val="tlid-translation"/>
          <w:rFonts w:ascii="Book Antiqua" w:hAnsi="Book Antiqua"/>
        </w:rPr>
        <w:t xml:space="preserve">0.02) and unfavorable karyotype and with poor prognosis, unfavorable </w:t>
      </w:r>
      <w:r w:rsidR="003456FA" w:rsidRPr="009B04A5">
        <w:rPr>
          <w:rStyle w:val="tlid-translation"/>
          <w:rFonts w:ascii="Book Antiqua" w:hAnsi="Book Antiqua"/>
        </w:rPr>
        <w:t>relapse-free survival (RFS),</w:t>
      </w:r>
      <w:r w:rsidRPr="009B04A5">
        <w:rPr>
          <w:rStyle w:val="tlid-translation"/>
          <w:rFonts w:ascii="Book Antiqua" w:hAnsi="Book Antiqua"/>
        </w:rPr>
        <w:t xml:space="preserve"> and shorter OS. Lin </w:t>
      </w:r>
      <w:r w:rsidR="00783C14" w:rsidRPr="009B04A5">
        <w:rPr>
          <w:rStyle w:val="tlid-translation"/>
          <w:rFonts w:ascii="Book Antiqua" w:hAnsi="Book Antiqua"/>
          <w:i/>
        </w:rPr>
        <w:t>et al</w:t>
      </w:r>
      <w:r w:rsidR="000A6432" w:rsidRPr="009B04A5">
        <w:rPr>
          <w:rStyle w:val="tlid-translation"/>
          <w:rFonts w:ascii="Book Antiqua" w:hAnsi="Book Antiqua"/>
          <w:vertAlign w:val="superscript"/>
        </w:rPr>
        <w:t>[61]</w:t>
      </w:r>
      <w:r w:rsidRPr="009B04A5">
        <w:rPr>
          <w:rStyle w:val="tlid-translation"/>
          <w:rFonts w:ascii="Book Antiqua" w:hAnsi="Book Antiqua"/>
        </w:rPr>
        <w:t xml:space="preserve"> also noticed that serum miR-370 </w:t>
      </w:r>
      <w:r w:rsidR="00AE37C0" w:rsidRPr="009B04A5">
        <w:rPr>
          <w:rStyle w:val="tlid-translation"/>
          <w:rFonts w:ascii="Book Antiqua" w:hAnsi="Book Antiqua"/>
        </w:rPr>
        <w:t>levels were</w:t>
      </w:r>
      <w:r w:rsidRPr="009B04A5">
        <w:rPr>
          <w:rStyle w:val="tlid-translation"/>
          <w:rFonts w:ascii="Book Antiqua" w:hAnsi="Book Antiqua"/>
        </w:rPr>
        <w:t xml:space="preserve"> more obvious in the subgroup of patients with intermediate-risk cytogenetics. Second, Lin </w:t>
      </w:r>
      <w:r w:rsidR="00783C14" w:rsidRPr="009B04A5">
        <w:rPr>
          <w:rStyle w:val="tlid-translation"/>
          <w:rFonts w:ascii="Book Antiqua" w:hAnsi="Book Antiqua"/>
          <w:i/>
        </w:rPr>
        <w:t>et al</w:t>
      </w:r>
      <w:r w:rsidR="000A6432" w:rsidRPr="009B04A5">
        <w:rPr>
          <w:rStyle w:val="tlid-translation"/>
          <w:rFonts w:ascii="Book Antiqua" w:hAnsi="Book Antiqua"/>
          <w:vertAlign w:val="superscript"/>
        </w:rPr>
        <w:t>[62]</w:t>
      </w:r>
      <w:r w:rsidR="00AE37C0" w:rsidRPr="009B04A5">
        <w:rPr>
          <w:rStyle w:val="tlid-translation"/>
          <w:rFonts w:ascii="Book Antiqua" w:hAnsi="Book Antiqua"/>
        </w:rPr>
        <w:t xml:space="preserve"> described miR-335 as an</w:t>
      </w:r>
      <w:r w:rsidR="00250267" w:rsidRPr="009B04A5">
        <w:rPr>
          <w:rStyle w:val="tlid-translation"/>
          <w:rFonts w:ascii="Book Antiqua" w:hAnsi="Book Antiqua"/>
        </w:rPr>
        <w:t xml:space="preserve"> independent prognostic </w:t>
      </w:r>
      <w:r w:rsidR="00AE37C0" w:rsidRPr="009B04A5">
        <w:rPr>
          <w:rStyle w:val="tlid-translation"/>
          <w:rFonts w:ascii="Book Antiqua" w:hAnsi="Book Antiqua"/>
        </w:rPr>
        <w:t>marker</w:t>
      </w:r>
      <w:r w:rsidR="00250267" w:rsidRPr="009B04A5">
        <w:rPr>
          <w:rStyle w:val="tlid-translation"/>
          <w:rFonts w:ascii="Book Antiqua" w:hAnsi="Book Antiqua"/>
        </w:rPr>
        <w:t xml:space="preserve"> of RFS and OS in pediatric AML. His high expression was related to</w:t>
      </w:r>
      <w:r w:rsidR="00AE37C0" w:rsidRPr="009B04A5">
        <w:rPr>
          <w:rStyle w:val="tlid-translation"/>
          <w:rFonts w:ascii="Book Antiqua" w:hAnsi="Book Antiqua"/>
        </w:rPr>
        <w:t xml:space="preserve"> the</w:t>
      </w:r>
      <w:r w:rsidR="00250267" w:rsidRPr="009B04A5">
        <w:rPr>
          <w:rStyle w:val="tlid-translation"/>
          <w:rFonts w:ascii="Book Antiqua" w:hAnsi="Book Antiqua"/>
        </w:rPr>
        <w:t xml:space="preserve"> M7 subtype, unfavorable karyotype presence and shorter </w:t>
      </w:r>
      <w:r w:rsidR="003456FA" w:rsidRPr="009B04A5">
        <w:rPr>
          <w:rStyle w:val="tlid-translation"/>
          <w:rFonts w:ascii="Book Antiqua" w:hAnsi="Book Antiqua"/>
        </w:rPr>
        <w:t>RFS</w:t>
      </w:r>
      <w:r w:rsidR="00250267" w:rsidRPr="009B04A5">
        <w:rPr>
          <w:rStyle w:val="tlid-translation"/>
          <w:rFonts w:ascii="Book Antiqua" w:hAnsi="Book Antiqua"/>
        </w:rPr>
        <w:t xml:space="preserve"> and </w:t>
      </w:r>
      <w:r w:rsidR="003E6954" w:rsidRPr="009B04A5">
        <w:rPr>
          <w:rStyle w:val="tlid-translation"/>
          <w:rFonts w:ascii="Book Antiqua" w:hAnsi="Book Antiqua"/>
        </w:rPr>
        <w:t>OS</w:t>
      </w:r>
      <w:r w:rsidR="00250267" w:rsidRPr="009B04A5">
        <w:rPr>
          <w:rStyle w:val="tlid-translation"/>
          <w:rFonts w:ascii="Book Antiqua" w:hAnsi="Book Antiqua"/>
        </w:rPr>
        <w:t xml:space="preserve">. The function of the biomarker unfavorable prognosis was confirmed for oncogene miR-183 by Wang </w:t>
      </w:r>
      <w:r w:rsidR="00783C14" w:rsidRPr="009B04A5">
        <w:rPr>
          <w:rStyle w:val="tlid-translation"/>
          <w:rFonts w:ascii="Book Antiqua" w:hAnsi="Book Antiqua"/>
          <w:i/>
        </w:rPr>
        <w:t>et al</w:t>
      </w:r>
      <w:r w:rsidR="000A6432" w:rsidRPr="009B04A5">
        <w:rPr>
          <w:rStyle w:val="tlid-translation"/>
          <w:rFonts w:ascii="Book Antiqua" w:hAnsi="Book Antiqua"/>
          <w:vertAlign w:val="superscript"/>
        </w:rPr>
        <w:t>[63]</w:t>
      </w:r>
      <w:r w:rsidR="00250267" w:rsidRPr="009B04A5">
        <w:rPr>
          <w:rStyle w:val="tlid-translation"/>
          <w:rFonts w:ascii="Book Antiqua" w:hAnsi="Book Antiqua"/>
        </w:rPr>
        <w:t>. High expression of miR-183 (especially in M7 AML) was associated with</w:t>
      </w:r>
      <w:r w:rsidR="00AE37C0" w:rsidRPr="009B04A5">
        <w:rPr>
          <w:rStyle w:val="tlid-translation"/>
          <w:rFonts w:ascii="Book Antiqua" w:hAnsi="Book Antiqua"/>
        </w:rPr>
        <w:t xml:space="preserve"> </w:t>
      </w:r>
      <w:r w:rsidR="00250267" w:rsidRPr="009B04A5">
        <w:rPr>
          <w:rStyle w:val="tlid-translation"/>
          <w:rFonts w:ascii="Book Antiqua" w:hAnsi="Book Antiqua"/>
        </w:rPr>
        <w:t xml:space="preserve">promotion of cell proliferation </w:t>
      </w:r>
      <w:r w:rsidR="00250267" w:rsidRPr="009B04A5">
        <w:rPr>
          <w:rStyle w:val="tlid-translation"/>
          <w:rFonts w:ascii="Book Antiqua" w:hAnsi="Book Antiqua"/>
        </w:rPr>
        <w:lastRenderedPageBreak/>
        <w:t xml:space="preserve">and G1/S transition and inhibition of apoptosis. Short </w:t>
      </w:r>
      <w:r w:rsidR="003456FA" w:rsidRPr="009B04A5">
        <w:rPr>
          <w:rStyle w:val="tlid-translation"/>
          <w:rFonts w:ascii="Book Antiqua" w:hAnsi="Book Antiqua"/>
        </w:rPr>
        <w:t>RFS</w:t>
      </w:r>
      <w:r w:rsidR="00250267" w:rsidRPr="009B04A5">
        <w:rPr>
          <w:rStyle w:val="tlid-translation"/>
          <w:rFonts w:ascii="Book Antiqua" w:hAnsi="Book Antiqua"/>
        </w:rPr>
        <w:t xml:space="preserve"> and </w:t>
      </w:r>
      <w:r w:rsidR="003E6954" w:rsidRPr="009B04A5">
        <w:rPr>
          <w:rStyle w:val="tlid-translation"/>
          <w:rFonts w:ascii="Book Antiqua" w:hAnsi="Book Antiqua"/>
        </w:rPr>
        <w:t>OS</w:t>
      </w:r>
      <w:r w:rsidR="00250267" w:rsidRPr="009B04A5">
        <w:rPr>
          <w:rStyle w:val="tlid-translation"/>
          <w:rFonts w:ascii="Book Antiqua" w:hAnsi="Book Antiqua"/>
        </w:rPr>
        <w:t xml:space="preserve"> </w:t>
      </w:r>
      <w:r w:rsidR="003456FA" w:rsidRPr="009B04A5">
        <w:rPr>
          <w:rStyle w:val="tlid-translation"/>
          <w:rFonts w:ascii="Book Antiqua" w:hAnsi="Book Antiqua"/>
        </w:rPr>
        <w:t xml:space="preserve">were </w:t>
      </w:r>
      <w:r w:rsidR="00250267" w:rsidRPr="009B04A5">
        <w:rPr>
          <w:rStyle w:val="tlid-translation"/>
          <w:rFonts w:ascii="Book Antiqua" w:hAnsi="Book Antiqua"/>
        </w:rPr>
        <w:t xml:space="preserve">linked markedly with silencing of </w:t>
      </w:r>
      <w:r w:rsidR="00250267" w:rsidRPr="009B04A5">
        <w:rPr>
          <w:rStyle w:val="tlid-translation"/>
          <w:rFonts w:ascii="Book Antiqua" w:hAnsi="Book Antiqua"/>
          <w:i/>
        </w:rPr>
        <w:t xml:space="preserve">PDCD6 </w:t>
      </w:r>
      <w:r w:rsidRPr="009B04A5">
        <w:rPr>
          <w:rStyle w:val="tlid-translation"/>
          <w:rFonts w:ascii="Book Antiqua" w:hAnsi="Book Antiqua"/>
        </w:rPr>
        <w:t xml:space="preserve">expression, </w:t>
      </w:r>
      <w:r w:rsidR="00AE37C0" w:rsidRPr="009B04A5">
        <w:rPr>
          <w:rStyle w:val="tlid-translation"/>
          <w:rFonts w:ascii="Book Antiqua" w:hAnsi="Book Antiqua"/>
        </w:rPr>
        <w:t xml:space="preserve">a </w:t>
      </w:r>
      <w:r w:rsidRPr="009B04A5">
        <w:rPr>
          <w:rStyle w:val="tlid-translation"/>
          <w:rFonts w:ascii="Book Antiqua" w:hAnsi="Book Antiqua"/>
        </w:rPr>
        <w:t xml:space="preserve">direct and functional target of miR-183. Wang </w:t>
      </w:r>
      <w:r w:rsidR="00783C14" w:rsidRPr="009B04A5">
        <w:rPr>
          <w:rStyle w:val="tlid-translation"/>
          <w:rFonts w:ascii="Book Antiqua" w:hAnsi="Book Antiqua"/>
          <w:i/>
        </w:rPr>
        <w:t>et al</w:t>
      </w:r>
      <w:r w:rsidR="000A6432" w:rsidRPr="009B04A5">
        <w:rPr>
          <w:rStyle w:val="tlid-translation"/>
          <w:rFonts w:ascii="Book Antiqua" w:hAnsi="Book Antiqua"/>
          <w:vertAlign w:val="superscript"/>
        </w:rPr>
        <w:t>[64]</w:t>
      </w:r>
      <w:r w:rsidR="00250267" w:rsidRPr="009B04A5">
        <w:rPr>
          <w:rStyle w:val="tlid-translation"/>
          <w:rFonts w:ascii="Book Antiqua" w:hAnsi="Book Antiqua"/>
        </w:rPr>
        <w:t xml:space="preserve"> also proposed miR-375 as</w:t>
      </w:r>
      <w:r w:rsidR="00AE37C0" w:rsidRPr="009B04A5">
        <w:rPr>
          <w:rStyle w:val="tlid-translation"/>
          <w:rFonts w:ascii="Book Antiqua" w:hAnsi="Book Antiqua"/>
        </w:rPr>
        <w:t xml:space="preserve"> a</w:t>
      </w:r>
      <w:r w:rsidR="00250267" w:rsidRPr="009B04A5">
        <w:rPr>
          <w:rStyle w:val="tlid-translation"/>
          <w:rFonts w:ascii="Book Antiqua" w:hAnsi="Book Antiqua"/>
        </w:rPr>
        <w:t xml:space="preserve"> prognostic factor </w:t>
      </w:r>
      <w:r w:rsidR="00AE37C0" w:rsidRPr="009B04A5">
        <w:rPr>
          <w:rStyle w:val="tlid-translation"/>
          <w:rFonts w:ascii="Book Antiqua" w:hAnsi="Book Antiqua"/>
        </w:rPr>
        <w:t xml:space="preserve">for </w:t>
      </w:r>
      <w:r w:rsidR="00250267" w:rsidRPr="009B04A5">
        <w:rPr>
          <w:rStyle w:val="tlid-translation"/>
          <w:rFonts w:ascii="Book Antiqua" w:hAnsi="Book Antiqua"/>
        </w:rPr>
        <w:t xml:space="preserve">unfavorable cytogenetic risks in M7 ALL. </w:t>
      </w:r>
      <w:r w:rsidRPr="009B04A5">
        <w:rPr>
          <w:rFonts w:ascii="Book Antiqua" w:hAnsi="Book Antiqua"/>
        </w:rPr>
        <w:t xml:space="preserve">Zhu </w:t>
      </w:r>
      <w:r w:rsidR="00783C14" w:rsidRPr="009B04A5">
        <w:rPr>
          <w:rFonts w:ascii="Book Antiqua" w:hAnsi="Book Antiqua"/>
          <w:i/>
        </w:rPr>
        <w:t>et al</w:t>
      </w:r>
      <w:r w:rsidR="000A6432" w:rsidRPr="009B04A5">
        <w:rPr>
          <w:rFonts w:ascii="Book Antiqua" w:hAnsi="Book Antiqua"/>
          <w:vertAlign w:val="superscript"/>
        </w:rPr>
        <w:t>[66]</w:t>
      </w:r>
      <w:r w:rsidR="00250267" w:rsidRPr="009B04A5">
        <w:rPr>
          <w:rFonts w:ascii="Book Antiqua" w:hAnsi="Book Antiqua"/>
        </w:rPr>
        <w:t xml:space="preserve"> analyzed </w:t>
      </w:r>
      <w:r w:rsidR="00AE37C0" w:rsidRPr="009B04A5">
        <w:rPr>
          <w:rFonts w:ascii="Book Antiqua" w:hAnsi="Book Antiqua"/>
        </w:rPr>
        <w:t xml:space="preserve">the </w:t>
      </w:r>
      <w:r w:rsidR="00250267" w:rsidRPr="009B04A5">
        <w:rPr>
          <w:rFonts w:ascii="Book Antiqua" w:hAnsi="Book Antiqua"/>
        </w:rPr>
        <w:t xml:space="preserve">clinical significance </w:t>
      </w:r>
      <w:r w:rsidR="00AE37C0" w:rsidRPr="009B04A5">
        <w:rPr>
          <w:rFonts w:ascii="Book Antiqua" w:hAnsi="Book Antiqua"/>
        </w:rPr>
        <w:t xml:space="preserve">of </w:t>
      </w:r>
      <w:r w:rsidR="00250267" w:rsidRPr="009B04A5">
        <w:rPr>
          <w:rFonts w:ascii="Book Antiqua" w:hAnsi="Book Antiqua"/>
        </w:rPr>
        <w:t>miR-29a expression,</w:t>
      </w:r>
      <w:r w:rsidR="00AE37C0" w:rsidRPr="009B04A5">
        <w:rPr>
          <w:rFonts w:ascii="Book Antiqua" w:hAnsi="Book Antiqua"/>
        </w:rPr>
        <w:t xml:space="preserve"> a</w:t>
      </w:r>
      <w:r w:rsidR="00250267" w:rsidRPr="009B04A5">
        <w:rPr>
          <w:rFonts w:ascii="Book Antiqua" w:hAnsi="Book Antiqua"/>
        </w:rPr>
        <w:t xml:space="preserve"> well-known gene that can act as either </w:t>
      </w:r>
      <w:r w:rsidR="00AE37C0" w:rsidRPr="009B04A5">
        <w:rPr>
          <w:rFonts w:ascii="Book Antiqua" w:hAnsi="Book Antiqua"/>
        </w:rPr>
        <w:t xml:space="preserve">an </w:t>
      </w:r>
      <w:r w:rsidR="00250267" w:rsidRPr="009B04A5">
        <w:rPr>
          <w:rFonts w:ascii="Book Antiqua" w:hAnsi="Book Antiqua"/>
        </w:rPr>
        <w:t>oncogene or tumor suppressor. Low expression of this gene was characteristic of the M7 subtype of childhood AML</w:t>
      </w:r>
      <w:r w:rsidR="0034454E" w:rsidRPr="009B04A5">
        <w:rPr>
          <w:rFonts w:ascii="Book Antiqua" w:hAnsi="Book Antiqua"/>
        </w:rPr>
        <w:t xml:space="preserve"> and had</w:t>
      </w:r>
      <w:r w:rsidR="00250267" w:rsidRPr="009B04A5">
        <w:rPr>
          <w:rFonts w:ascii="Book Antiqua" w:hAnsi="Book Antiqua"/>
        </w:rPr>
        <w:t xml:space="preserve"> shorter </w:t>
      </w:r>
      <w:r w:rsidR="003456FA" w:rsidRPr="009B04A5">
        <w:rPr>
          <w:rFonts w:ascii="Book Antiqua" w:hAnsi="Book Antiqua"/>
        </w:rPr>
        <w:t>RFS</w:t>
      </w:r>
      <w:r w:rsidR="00250267" w:rsidRPr="009B04A5">
        <w:rPr>
          <w:rFonts w:ascii="Book Antiqua" w:hAnsi="Book Antiqua"/>
        </w:rPr>
        <w:t xml:space="preserve"> and </w:t>
      </w:r>
      <w:r w:rsidR="003E6954" w:rsidRPr="009B04A5">
        <w:rPr>
          <w:rFonts w:ascii="Book Antiqua" w:hAnsi="Book Antiqua"/>
        </w:rPr>
        <w:t>OS</w:t>
      </w:r>
      <w:r w:rsidR="00250267" w:rsidRPr="009B04A5">
        <w:rPr>
          <w:rFonts w:ascii="Book Antiqua" w:hAnsi="Book Antiqua"/>
        </w:rPr>
        <w:t>, while high expression was associated with good prognosis.</w:t>
      </w:r>
    </w:p>
    <w:p w:rsidR="007B304E" w:rsidRPr="009B04A5" w:rsidRDefault="007946C3" w:rsidP="00C709AE">
      <w:pPr>
        <w:adjustRightInd w:val="0"/>
        <w:snapToGrid w:val="0"/>
        <w:spacing w:line="360" w:lineRule="auto"/>
        <w:ind w:firstLineChars="100" w:firstLine="240"/>
        <w:rPr>
          <w:rFonts w:ascii="Book Antiqua" w:hAnsi="Book Antiqua"/>
        </w:rPr>
      </w:pPr>
      <w:r w:rsidRPr="009B04A5">
        <w:rPr>
          <w:rStyle w:val="tlid-translation"/>
          <w:rFonts w:ascii="Book Antiqua" w:hAnsi="Book Antiqua"/>
        </w:rPr>
        <w:t xml:space="preserve">In summary, the most frequently identified prognostic miRNA markers of pediatric AL </w:t>
      </w:r>
      <w:r w:rsidR="00D837E3" w:rsidRPr="009B04A5">
        <w:rPr>
          <w:rStyle w:val="tlid-translation"/>
          <w:rFonts w:ascii="Book Antiqua" w:hAnsi="Book Antiqua"/>
        </w:rPr>
        <w:t>include the following</w:t>
      </w:r>
      <w:r w:rsidRPr="009B04A5">
        <w:rPr>
          <w:rStyle w:val="tlid-translation"/>
          <w:rFonts w:ascii="Book Antiqua" w:hAnsi="Book Antiqua"/>
        </w:rPr>
        <w:t>:</w:t>
      </w:r>
      <w:r w:rsidR="007B304E" w:rsidRPr="009B04A5">
        <w:rPr>
          <w:rStyle w:val="tlid-translation"/>
          <w:rFonts w:ascii="Book Antiqua" w:hAnsi="Book Antiqua"/>
        </w:rPr>
        <w:t xml:space="preserve"> (1) </w:t>
      </w:r>
      <w:r w:rsidR="00110359" w:rsidRPr="009B04A5">
        <w:rPr>
          <w:rFonts w:ascii="Book Antiqua" w:hAnsi="Book Antiqua"/>
        </w:rPr>
        <w:t>miR</w:t>
      </w:r>
      <w:r w:rsidR="00110359" w:rsidRPr="009B04A5">
        <w:rPr>
          <w:rFonts w:ascii="Cambria Math" w:hAnsi="Cambria Math" w:cs="Cambria Math"/>
        </w:rPr>
        <w:t>‐</w:t>
      </w:r>
      <w:r w:rsidR="0043239D" w:rsidRPr="009B04A5">
        <w:rPr>
          <w:rFonts w:ascii="Book Antiqua" w:hAnsi="Book Antiqua"/>
        </w:rPr>
        <w:t>7, miR</w:t>
      </w:r>
      <w:r w:rsidR="0043239D" w:rsidRPr="009B04A5">
        <w:rPr>
          <w:rFonts w:ascii="Cambria Math" w:hAnsi="Cambria Math" w:cs="Cambria Math"/>
        </w:rPr>
        <w:t>‐</w:t>
      </w:r>
      <w:r w:rsidR="0043239D" w:rsidRPr="009B04A5">
        <w:rPr>
          <w:rFonts w:ascii="Book Antiqua" w:hAnsi="Book Antiqua"/>
        </w:rPr>
        <w:t>16, miR</w:t>
      </w:r>
      <w:r w:rsidR="0043239D" w:rsidRPr="009B04A5">
        <w:rPr>
          <w:rFonts w:ascii="Cambria Math" w:hAnsi="Cambria Math" w:cs="Cambria Math"/>
        </w:rPr>
        <w:t>‐</w:t>
      </w:r>
      <w:r w:rsidR="0043239D" w:rsidRPr="009B04A5">
        <w:rPr>
          <w:rFonts w:ascii="Book Antiqua" w:hAnsi="Book Antiqua"/>
        </w:rPr>
        <w:t>33, miR</w:t>
      </w:r>
      <w:r w:rsidR="0043239D" w:rsidRPr="009B04A5">
        <w:rPr>
          <w:rFonts w:ascii="Cambria Math" w:hAnsi="Cambria Math" w:cs="Cambria Math"/>
        </w:rPr>
        <w:t>‐</w:t>
      </w:r>
      <w:r w:rsidR="0043239D" w:rsidRPr="009B04A5">
        <w:rPr>
          <w:rFonts w:ascii="Book Antiqua" w:hAnsi="Book Antiqua"/>
        </w:rPr>
        <w:t>100, miR</w:t>
      </w:r>
      <w:r w:rsidR="0043239D" w:rsidRPr="009B04A5">
        <w:rPr>
          <w:rFonts w:ascii="Cambria Math" w:hAnsi="Cambria Math" w:cs="Cambria Math"/>
        </w:rPr>
        <w:t>‐</w:t>
      </w:r>
      <w:r w:rsidR="00110359" w:rsidRPr="009B04A5">
        <w:rPr>
          <w:rFonts w:ascii="Book Antiqua" w:hAnsi="Book Antiqua"/>
        </w:rPr>
        <w:t>130b, miR</w:t>
      </w:r>
      <w:r w:rsidR="00110359" w:rsidRPr="009B04A5">
        <w:rPr>
          <w:rFonts w:ascii="Cambria Math" w:hAnsi="Cambria Math" w:cs="Cambria Math"/>
        </w:rPr>
        <w:t>‐</w:t>
      </w:r>
      <w:r w:rsidR="0043239D" w:rsidRPr="009B04A5">
        <w:rPr>
          <w:rFonts w:ascii="Book Antiqua" w:hAnsi="Book Antiqua"/>
        </w:rPr>
        <w:t>181, miR</w:t>
      </w:r>
      <w:r w:rsidR="0043239D" w:rsidRPr="009B04A5">
        <w:rPr>
          <w:rFonts w:ascii="Cambria Math" w:hAnsi="Cambria Math" w:cs="Cambria Math"/>
        </w:rPr>
        <w:t>‐</w:t>
      </w:r>
      <w:r w:rsidR="0043239D" w:rsidRPr="009B04A5">
        <w:rPr>
          <w:rFonts w:ascii="Book Antiqua" w:hAnsi="Book Antiqua"/>
        </w:rPr>
        <w:t>215, miR</w:t>
      </w:r>
      <w:r w:rsidR="0043239D" w:rsidRPr="009B04A5">
        <w:rPr>
          <w:rFonts w:ascii="Cambria Math" w:hAnsi="Cambria Math" w:cs="Cambria Math"/>
        </w:rPr>
        <w:t>‐</w:t>
      </w:r>
      <w:r w:rsidR="0043239D" w:rsidRPr="009B04A5">
        <w:rPr>
          <w:rFonts w:ascii="Book Antiqua" w:hAnsi="Book Antiqua"/>
        </w:rPr>
        <w:t>216, miR</w:t>
      </w:r>
      <w:r w:rsidR="00110359" w:rsidRPr="009B04A5">
        <w:rPr>
          <w:rFonts w:ascii="Cambria Math" w:hAnsi="Cambria Math" w:cs="Cambria Math"/>
        </w:rPr>
        <w:t>‐</w:t>
      </w:r>
      <w:r w:rsidR="00110359" w:rsidRPr="009B04A5">
        <w:rPr>
          <w:rFonts w:ascii="Book Antiqua" w:hAnsi="Book Antiqua"/>
        </w:rPr>
        <w:t>369</w:t>
      </w:r>
      <w:r w:rsidR="00110359" w:rsidRPr="009B04A5">
        <w:rPr>
          <w:rFonts w:ascii="Cambria Math" w:hAnsi="Cambria Math" w:cs="Cambria Math"/>
        </w:rPr>
        <w:t>‐</w:t>
      </w:r>
      <w:r w:rsidR="00110359" w:rsidRPr="009B04A5">
        <w:rPr>
          <w:rFonts w:ascii="Book Antiqua" w:hAnsi="Book Antiqua"/>
        </w:rPr>
        <w:t>5p, miR</w:t>
      </w:r>
      <w:r w:rsidR="00110359" w:rsidRPr="009B04A5">
        <w:rPr>
          <w:rFonts w:ascii="Cambria Math" w:hAnsi="Cambria Math" w:cs="Cambria Math"/>
        </w:rPr>
        <w:t>‐</w:t>
      </w:r>
      <w:r w:rsidR="0043239D" w:rsidRPr="009B04A5">
        <w:rPr>
          <w:rFonts w:ascii="Book Antiqua" w:hAnsi="Book Antiqua"/>
        </w:rPr>
        <w:t>496, miR</w:t>
      </w:r>
      <w:r w:rsidR="0043239D" w:rsidRPr="009B04A5">
        <w:rPr>
          <w:rFonts w:ascii="Cambria Math" w:hAnsi="Cambria Math" w:cs="Cambria Math"/>
        </w:rPr>
        <w:t>‐</w:t>
      </w:r>
      <w:r w:rsidR="0043239D" w:rsidRPr="009B04A5">
        <w:rPr>
          <w:rFonts w:ascii="Book Antiqua" w:hAnsi="Book Antiqua"/>
        </w:rPr>
        <w:t>518d, miR</w:t>
      </w:r>
      <w:r w:rsidR="0043239D" w:rsidRPr="009B04A5">
        <w:rPr>
          <w:rFonts w:ascii="Cambria Math" w:hAnsi="Cambria Math" w:cs="Cambria Math"/>
        </w:rPr>
        <w:t>‐</w:t>
      </w:r>
      <w:r w:rsidR="0043239D" w:rsidRPr="009B04A5">
        <w:rPr>
          <w:rFonts w:ascii="Book Antiqua" w:hAnsi="Book Antiqua"/>
        </w:rPr>
        <w:t xml:space="preserve">599, </w:t>
      </w:r>
      <w:r w:rsidR="00AE37C0" w:rsidRPr="009B04A5">
        <w:rPr>
          <w:rFonts w:ascii="Book Antiqua" w:hAnsi="Book Antiqua"/>
        </w:rPr>
        <w:t xml:space="preserve">and </w:t>
      </w:r>
      <w:r w:rsidR="0043239D" w:rsidRPr="009B04A5">
        <w:rPr>
          <w:rFonts w:ascii="Book Antiqua" w:hAnsi="Book Antiqua"/>
        </w:rPr>
        <w:t>miR</w:t>
      </w:r>
      <w:r w:rsidR="0043239D" w:rsidRPr="009B04A5">
        <w:rPr>
          <w:rFonts w:ascii="Cambria Math" w:hAnsi="Cambria Math" w:cs="Cambria Math"/>
        </w:rPr>
        <w:t>‐</w:t>
      </w:r>
      <w:r w:rsidR="00110359" w:rsidRPr="009B04A5">
        <w:rPr>
          <w:rFonts w:ascii="Book Antiqua" w:hAnsi="Book Antiqua"/>
        </w:rPr>
        <w:t xml:space="preserve">708 </w:t>
      </w:r>
      <w:r w:rsidR="00AE37C0" w:rsidRPr="009B04A5">
        <w:rPr>
          <w:rFonts w:ascii="Book Antiqua" w:hAnsi="Book Antiqua"/>
        </w:rPr>
        <w:t>are</w:t>
      </w:r>
      <w:r w:rsidR="00110359" w:rsidRPr="009B04A5">
        <w:rPr>
          <w:rFonts w:ascii="Book Antiqua" w:hAnsi="Book Antiqua"/>
        </w:rPr>
        <w:t xml:space="preserve"> unfavorable factors</w:t>
      </w:r>
      <w:r w:rsidR="000A6432" w:rsidRPr="009B04A5">
        <w:rPr>
          <w:rFonts w:ascii="Book Antiqua" w:hAnsi="Book Antiqua"/>
          <w:vertAlign w:val="superscript"/>
        </w:rPr>
        <w:t>[40,42,89,121,122]</w:t>
      </w:r>
      <w:r w:rsidR="00F75101" w:rsidRPr="009B04A5">
        <w:rPr>
          <w:rFonts w:ascii="Book Antiqua" w:hAnsi="Book Antiqua"/>
        </w:rPr>
        <w:t>;</w:t>
      </w:r>
      <w:r w:rsidR="007B304E" w:rsidRPr="009B04A5">
        <w:rPr>
          <w:rFonts w:ascii="Book Antiqua" w:hAnsi="Book Antiqua"/>
        </w:rPr>
        <w:t xml:space="preserve"> and (2) </w:t>
      </w:r>
      <w:r w:rsidR="00BC35C9" w:rsidRPr="009B04A5">
        <w:rPr>
          <w:rFonts w:ascii="Book Antiqua" w:hAnsi="Book Antiqua"/>
        </w:rPr>
        <w:t>miR</w:t>
      </w:r>
      <w:r w:rsidR="00BC35C9" w:rsidRPr="009B04A5">
        <w:rPr>
          <w:rFonts w:ascii="Cambria Math" w:hAnsi="Cambria Math" w:cs="Cambria Math"/>
        </w:rPr>
        <w:t>‐</w:t>
      </w:r>
      <w:r w:rsidR="00143CF9" w:rsidRPr="009B04A5">
        <w:rPr>
          <w:rFonts w:ascii="Book Antiqua" w:hAnsi="Book Antiqua"/>
        </w:rPr>
        <w:t>10a, miR</w:t>
      </w:r>
      <w:r w:rsidR="00143CF9" w:rsidRPr="009B04A5">
        <w:rPr>
          <w:rFonts w:ascii="Cambria Math" w:hAnsi="Cambria Math" w:cs="Cambria Math"/>
        </w:rPr>
        <w:t>‐</w:t>
      </w:r>
      <w:r w:rsidR="00143CF9" w:rsidRPr="009B04A5">
        <w:rPr>
          <w:rFonts w:ascii="Book Antiqua" w:hAnsi="Book Antiqua"/>
        </w:rPr>
        <w:t>23a, miR</w:t>
      </w:r>
      <w:r w:rsidR="00143CF9" w:rsidRPr="009B04A5">
        <w:rPr>
          <w:rFonts w:ascii="Cambria Math" w:hAnsi="Cambria Math" w:cs="Cambria Math"/>
        </w:rPr>
        <w:t>‐</w:t>
      </w:r>
      <w:r w:rsidR="00143CF9" w:rsidRPr="009B04A5">
        <w:rPr>
          <w:rFonts w:ascii="Book Antiqua" w:hAnsi="Book Antiqua"/>
        </w:rPr>
        <w:t>27a, miR</w:t>
      </w:r>
      <w:r w:rsidR="00143CF9" w:rsidRPr="009B04A5">
        <w:rPr>
          <w:rFonts w:ascii="Cambria Math" w:hAnsi="Cambria Math" w:cs="Cambria Math"/>
        </w:rPr>
        <w:t>‐</w:t>
      </w:r>
      <w:r w:rsidR="00143CF9" w:rsidRPr="009B04A5">
        <w:rPr>
          <w:rFonts w:ascii="Book Antiqua" w:hAnsi="Book Antiqua"/>
        </w:rPr>
        <w:t>128b, miR</w:t>
      </w:r>
      <w:r w:rsidR="00143CF9" w:rsidRPr="009B04A5">
        <w:rPr>
          <w:rFonts w:ascii="Cambria Math" w:hAnsi="Cambria Math" w:cs="Cambria Math"/>
        </w:rPr>
        <w:t>‐</w:t>
      </w:r>
      <w:r w:rsidR="00143CF9" w:rsidRPr="009B04A5">
        <w:rPr>
          <w:rFonts w:ascii="Book Antiqua" w:hAnsi="Book Antiqua"/>
        </w:rPr>
        <w:t>134, miR</w:t>
      </w:r>
      <w:r w:rsidR="00143CF9" w:rsidRPr="009B04A5">
        <w:rPr>
          <w:rFonts w:ascii="Cambria Math" w:hAnsi="Cambria Math" w:cs="Cambria Math"/>
        </w:rPr>
        <w:t>‐</w:t>
      </w:r>
      <w:r w:rsidR="00143CF9" w:rsidRPr="009B04A5">
        <w:rPr>
          <w:rFonts w:ascii="Book Antiqua" w:hAnsi="Book Antiqua"/>
        </w:rPr>
        <w:t>150, miR</w:t>
      </w:r>
      <w:r w:rsidR="00143CF9" w:rsidRPr="009B04A5">
        <w:rPr>
          <w:rFonts w:ascii="Cambria Math" w:hAnsi="Cambria Math" w:cs="Cambria Math"/>
        </w:rPr>
        <w:t>‐</w:t>
      </w:r>
      <w:r w:rsidR="00BC35C9" w:rsidRPr="009B04A5">
        <w:rPr>
          <w:rFonts w:ascii="Book Antiqua" w:hAnsi="Book Antiqua"/>
        </w:rPr>
        <w:t>191, miR</w:t>
      </w:r>
      <w:r w:rsidR="00BC35C9" w:rsidRPr="009B04A5">
        <w:rPr>
          <w:rFonts w:ascii="Cambria Math" w:hAnsi="Cambria Math" w:cs="Cambria Math"/>
        </w:rPr>
        <w:t>‐</w:t>
      </w:r>
      <w:r w:rsidR="00143CF9" w:rsidRPr="009B04A5">
        <w:rPr>
          <w:rFonts w:ascii="Book Antiqua" w:hAnsi="Book Antiqua"/>
        </w:rPr>
        <w:t>214, miR</w:t>
      </w:r>
      <w:r w:rsidR="00143CF9" w:rsidRPr="009B04A5">
        <w:rPr>
          <w:rFonts w:ascii="Cambria Math" w:hAnsi="Cambria Math" w:cs="Cambria Math"/>
        </w:rPr>
        <w:t>‐</w:t>
      </w:r>
      <w:r w:rsidR="00143CF9" w:rsidRPr="009B04A5">
        <w:rPr>
          <w:rFonts w:ascii="Book Antiqua" w:hAnsi="Book Antiqua"/>
        </w:rPr>
        <w:t>223, miR</w:t>
      </w:r>
      <w:r w:rsidR="00143CF9" w:rsidRPr="009B04A5">
        <w:rPr>
          <w:rFonts w:ascii="Cambria Math" w:hAnsi="Cambria Math" w:cs="Cambria Math"/>
        </w:rPr>
        <w:t>‐</w:t>
      </w:r>
      <w:r w:rsidR="00143CF9" w:rsidRPr="009B04A5">
        <w:rPr>
          <w:rFonts w:ascii="Book Antiqua" w:hAnsi="Book Antiqua"/>
        </w:rPr>
        <w:t>342, miR</w:t>
      </w:r>
      <w:r w:rsidR="00143CF9" w:rsidRPr="009B04A5">
        <w:rPr>
          <w:rFonts w:ascii="Cambria Math" w:hAnsi="Cambria Math" w:cs="Cambria Math"/>
        </w:rPr>
        <w:t>‐</w:t>
      </w:r>
      <w:r w:rsidR="00143CF9" w:rsidRPr="009B04A5">
        <w:rPr>
          <w:rFonts w:ascii="Book Antiqua" w:hAnsi="Book Antiqua"/>
        </w:rPr>
        <w:t>484, miR</w:t>
      </w:r>
      <w:r w:rsidR="00143CF9" w:rsidRPr="009B04A5">
        <w:rPr>
          <w:rFonts w:ascii="Cambria Math" w:hAnsi="Cambria Math" w:cs="Cambria Math"/>
        </w:rPr>
        <w:t>‐</w:t>
      </w:r>
      <w:r w:rsidR="00143CF9" w:rsidRPr="009B04A5">
        <w:rPr>
          <w:rFonts w:ascii="Book Antiqua" w:hAnsi="Book Antiqua"/>
        </w:rPr>
        <w:t>486, miR</w:t>
      </w:r>
      <w:r w:rsidR="00143CF9" w:rsidRPr="009B04A5">
        <w:rPr>
          <w:rFonts w:ascii="Cambria Math" w:hAnsi="Cambria Math" w:cs="Cambria Math"/>
        </w:rPr>
        <w:t>‐</w:t>
      </w:r>
      <w:r w:rsidR="00143CF9" w:rsidRPr="009B04A5">
        <w:rPr>
          <w:rFonts w:ascii="Book Antiqua" w:hAnsi="Book Antiqua"/>
        </w:rPr>
        <w:t>487, miR</w:t>
      </w:r>
      <w:r w:rsidR="00143CF9" w:rsidRPr="009B04A5">
        <w:rPr>
          <w:rFonts w:ascii="Cambria Math" w:hAnsi="Cambria Math" w:cs="Cambria Math"/>
        </w:rPr>
        <w:t>‐</w:t>
      </w:r>
      <w:r w:rsidR="00BC35C9" w:rsidRPr="009B04A5">
        <w:rPr>
          <w:rFonts w:ascii="Book Antiqua" w:hAnsi="Book Antiqua"/>
        </w:rPr>
        <w:t>572 miR</w:t>
      </w:r>
      <w:r w:rsidR="00BC35C9" w:rsidRPr="009B04A5">
        <w:rPr>
          <w:rFonts w:ascii="Cambria Math" w:hAnsi="Cambria Math" w:cs="Cambria Math"/>
        </w:rPr>
        <w:t>‐</w:t>
      </w:r>
      <w:r w:rsidR="00143CF9" w:rsidRPr="009B04A5">
        <w:rPr>
          <w:rFonts w:ascii="Book Antiqua" w:hAnsi="Book Antiqua"/>
        </w:rPr>
        <w:t>580, miR</w:t>
      </w:r>
      <w:r w:rsidR="00143CF9" w:rsidRPr="009B04A5">
        <w:rPr>
          <w:rFonts w:ascii="Cambria Math" w:hAnsi="Cambria Math" w:cs="Cambria Math"/>
        </w:rPr>
        <w:t>‐</w:t>
      </w:r>
      <w:r w:rsidR="00BC35C9" w:rsidRPr="009B04A5">
        <w:rPr>
          <w:rFonts w:ascii="Book Antiqua" w:hAnsi="Book Antiqua"/>
        </w:rPr>
        <w:t>627, miR</w:t>
      </w:r>
      <w:r w:rsidR="00BC35C9" w:rsidRPr="009B04A5">
        <w:rPr>
          <w:rFonts w:ascii="Cambria Math" w:hAnsi="Cambria Math" w:cs="Cambria Math"/>
        </w:rPr>
        <w:t>‐</w:t>
      </w:r>
      <w:r w:rsidR="00143CF9" w:rsidRPr="009B04A5">
        <w:rPr>
          <w:rFonts w:ascii="Book Antiqua" w:hAnsi="Book Antiqua"/>
        </w:rPr>
        <w:t>624, let</w:t>
      </w:r>
      <w:r w:rsidR="00143CF9" w:rsidRPr="009B04A5">
        <w:rPr>
          <w:rFonts w:ascii="Cambria Math" w:hAnsi="Cambria Math" w:cs="Cambria Math"/>
        </w:rPr>
        <w:t>‐</w:t>
      </w:r>
      <w:r w:rsidR="00BC35C9" w:rsidRPr="009B04A5">
        <w:rPr>
          <w:rFonts w:ascii="Book Antiqua" w:hAnsi="Book Antiqua"/>
        </w:rPr>
        <w:t>7g,</w:t>
      </w:r>
      <w:r w:rsidR="00AE37C0" w:rsidRPr="009B04A5">
        <w:rPr>
          <w:rFonts w:ascii="Book Antiqua" w:hAnsi="Book Antiqua"/>
        </w:rPr>
        <w:t xml:space="preserve"> and</w:t>
      </w:r>
      <w:r w:rsidR="00BC35C9" w:rsidRPr="009B04A5">
        <w:rPr>
          <w:rFonts w:ascii="Book Antiqua" w:hAnsi="Book Antiqua"/>
        </w:rPr>
        <w:t xml:space="preserve"> let</w:t>
      </w:r>
      <w:r w:rsidR="00BC35C9" w:rsidRPr="009B04A5">
        <w:rPr>
          <w:rFonts w:ascii="Cambria Math" w:hAnsi="Cambria Math" w:cs="Cambria Math"/>
        </w:rPr>
        <w:t>‐</w:t>
      </w:r>
      <w:r w:rsidR="0043239D" w:rsidRPr="009B04A5">
        <w:rPr>
          <w:rFonts w:ascii="Book Antiqua" w:hAnsi="Book Antiqua"/>
        </w:rPr>
        <w:t xml:space="preserve">7i </w:t>
      </w:r>
      <w:r w:rsidR="0034454E" w:rsidRPr="009B04A5">
        <w:rPr>
          <w:rFonts w:ascii="Book Antiqua" w:hAnsi="Book Antiqua"/>
        </w:rPr>
        <w:t xml:space="preserve">are </w:t>
      </w:r>
      <w:r w:rsidR="0043239D" w:rsidRPr="009B04A5">
        <w:rPr>
          <w:rFonts w:ascii="Book Antiqua" w:hAnsi="Book Antiqua"/>
        </w:rPr>
        <w:t>favorable factors</w:t>
      </w:r>
      <w:r w:rsidR="000A6432" w:rsidRPr="009B04A5">
        <w:rPr>
          <w:rFonts w:ascii="Book Antiqua" w:hAnsi="Book Antiqua"/>
          <w:vertAlign w:val="superscript"/>
        </w:rPr>
        <w:t>[40,42,121,122]</w:t>
      </w:r>
      <w:r w:rsidR="0043239D" w:rsidRPr="009B04A5">
        <w:rPr>
          <w:rFonts w:ascii="Book Antiqua" w:hAnsi="Book Antiqua"/>
        </w:rPr>
        <w:t>.</w:t>
      </w:r>
    </w:p>
    <w:p w:rsidR="006B2598" w:rsidRPr="009B04A5" w:rsidRDefault="006B2598" w:rsidP="00C709AE">
      <w:pPr>
        <w:adjustRightInd w:val="0"/>
        <w:snapToGrid w:val="0"/>
        <w:spacing w:line="360" w:lineRule="auto"/>
        <w:ind w:firstLineChars="100" w:firstLine="240"/>
        <w:rPr>
          <w:rFonts w:ascii="Book Antiqua" w:hAnsi="Book Antiqua"/>
          <w:lang w:eastAsia="pl-PL"/>
        </w:rPr>
      </w:pPr>
      <w:r w:rsidRPr="009B04A5">
        <w:rPr>
          <w:rFonts w:ascii="Book Antiqua" w:hAnsi="Book Antiqua"/>
          <w:lang w:eastAsia="pl-PL"/>
        </w:rPr>
        <w:t>Table 1</w:t>
      </w:r>
      <w:r w:rsidR="0034454E" w:rsidRPr="009B04A5">
        <w:rPr>
          <w:rFonts w:ascii="Book Antiqua" w:hAnsi="Book Antiqua"/>
          <w:lang w:eastAsia="pl-PL"/>
        </w:rPr>
        <w:t xml:space="preserve"> summarize</w:t>
      </w:r>
      <w:r w:rsidR="003456FA" w:rsidRPr="009B04A5">
        <w:rPr>
          <w:rFonts w:ascii="Book Antiqua" w:hAnsi="Book Antiqua"/>
          <w:lang w:eastAsia="pl-PL"/>
        </w:rPr>
        <w:t>s</w:t>
      </w:r>
      <w:r w:rsidR="0034454E" w:rsidRPr="009B04A5">
        <w:rPr>
          <w:rFonts w:ascii="Book Antiqua" w:hAnsi="Book Antiqua"/>
          <w:lang w:eastAsia="pl-PL"/>
        </w:rPr>
        <w:t xml:space="preserve"> </w:t>
      </w:r>
      <w:r w:rsidRPr="009B04A5">
        <w:rPr>
          <w:rFonts w:ascii="Book Antiqua" w:hAnsi="Book Antiqua"/>
          <w:lang w:eastAsia="pl-PL"/>
        </w:rPr>
        <w:t xml:space="preserve">miRNAs involved in ALL prognosis, </w:t>
      </w:r>
      <w:r w:rsidR="0034454E" w:rsidRPr="009B04A5">
        <w:rPr>
          <w:rFonts w:ascii="Book Antiqua" w:hAnsi="Book Antiqua"/>
          <w:lang w:eastAsia="pl-PL"/>
        </w:rPr>
        <w:t xml:space="preserve">their </w:t>
      </w:r>
      <w:r w:rsidRPr="009B04A5">
        <w:rPr>
          <w:rFonts w:ascii="Book Antiqua" w:hAnsi="Book Antiqua"/>
          <w:lang w:eastAsia="pl-PL"/>
        </w:rPr>
        <w:t xml:space="preserve">impact in predicting relapse or progression, </w:t>
      </w:r>
      <w:r w:rsidR="0034454E" w:rsidRPr="009B04A5">
        <w:rPr>
          <w:rFonts w:ascii="Book Antiqua" w:hAnsi="Book Antiqua"/>
          <w:lang w:eastAsia="pl-PL"/>
        </w:rPr>
        <w:t>and</w:t>
      </w:r>
      <w:r w:rsidRPr="009B04A5">
        <w:rPr>
          <w:rFonts w:ascii="Book Antiqua" w:hAnsi="Book Antiqua"/>
          <w:lang w:eastAsia="pl-PL"/>
        </w:rPr>
        <w:t xml:space="preserve"> their relationship with </w:t>
      </w:r>
      <w:r w:rsidR="003E6954" w:rsidRPr="009B04A5">
        <w:rPr>
          <w:rFonts w:ascii="Book Antiqua" w:hAnsi="Book Antiqua"/>
          <w:lang w:eastAsia="pl-PL"/>
        </w:rPr>
        <w:t>OS</w:t>
      </w:r>
      <w:r w:rsidRPr="009B04A5">
        <w:rPr>
          <w:rFonts w:ascii="Book Antiqua" w:hAnsi="Book Antiqua"/>
          <w:lang w:eastAsia="pl-PL"/>
        </w:rPr>
        <w:t xml:space="preserve"> and treatment outcome.</w:t>
      </w:r>
    </w:p>
    <w:p w:rsidR="007B304E" w:rsidRPr="009B04A5" w:rsidRDefault="007B304E" w:rsidP="00C709AE">
      <w:pPr>
        <w:adjustRightInd w:val="0"/>
        <w:snapToGrid w:val="0"/>
        <w:spacing w:line="360" w:lineRule="auto"/>
        <w:ind w:firstLineChars="100" w:firstLine="240"/>
        <w:rPr>
          <w:rFonts w:ascii="Book Antiqua" w:hAnsi="Book Antiqua"/>
        </w:rPr>
      </w:pPr>
    </w:p>
    <w:p w:rsidR="00BC6259" w:rsidRPr="009B04A5" w:rsidRDefault="00981208" w:rsidP="00C709AE">
      <w:pPr>
        <w:adjustRightInd w:val="0"/>
        <w:snapToGrid w:val="0"/>
        <w:spacing w:line="360" w:lineRule="auto"/>
        <w:ind w:firstLine="0"/>
        <w:rPr>
          <w:rFonts w:ascii="Book Antiqua" w:hAnsi="Book Antiqua"/>
          <w:b/>
          <w:u w:val="single"/>
        </w:rPr>
      </w:pPr>
      <w:r w:rsidRPr="009B04A5">
        <w:rPr>
          <w:rFonts w:ascii="Book Antiqua" w:hAnsi="Book Antiqua"/>
          <w:b/>
          <w:u w:val="single"/>
        </w:rPr>
        <w:t>ROLE OF MICRORNA IN THERAPY OUTCOME AND DRUG RESISTANCE</w:t>
      </w:r>
    </w:p>
    <w:p w:rsidR="007B304E" w:rsidRPr="009B04A5" w:rsidRDefault="004F28E0" w:rsidP="00C709AE">
      <w:pPr>
        <w:adjustRightInd w:val="0"/>
        <w:snapToGrid w:val="0"/>
        <w:spacing w:line="360" w:lineRule="auto"/>
        <w:ind w:firstLine="0"/>
        <w:rPr>
          <w:rFonts w:ascii="Book Antiqua" w:hAnsi="Book Antiqua"/>
        </w:rPr>
      </w:pPr>
      <w:r w:rsidRPr="009B04A5">
        <w:rPr>
          <w:rFonts w:ascii="Book Antiqua" w:hAnsi="Book Antiqua"/>
        </w:rPr>
        <w:t xml:space="preserve">The correct assignment of patients to risk groups </w:t>
      </w:r>
      <w:r w:rsidR="001A78C0" w:rsidRPr="009B04A5">
        <w:rPr>
          <w:rFonts w:ascii="Book Antiqua" w:hAnsi="Book Antiqua"/>
        </w:rPr>
        <w:t>presents</w:t>
      </w:r>
      <w:r w:rsidRPr="009B04A5">
        <w:rPr>
          <w:rFonts w:ascii="Book Antiqua" w:hAnsi="Book Antiqua"/>
        </w:rPr>
        <w:t xml:space="preserve"> another </w:t>
      </w:r>
      <w:r w:rsidR="001A78C0" w:rsidRPr="009B04A5">
        <w:rPr>
          <w:rFonts w:ascii="Book Antiqua" w:hAnsi="Book Antiqua"/>
        </w:rPr>
        <w:t>challenge</w:t>
      </w:r>
      <w:r w:rsidRPr="009B04A5">
        <w:rPr>
          <w:rFonts w:ascii="Book Antiqua" w:hAnsi="Book Antiqua"/>
        </w:rPr>
        <w:t xml:space="preserve">, which </w:t>
      </w:r>
      <w:r w:rsidR="0007479C" w:rsidRPr="009B04A5">
        <w:rPr>
          <w:rFonts w:ascii="Book Antiqua" w:hAnsi="Book Antiqua"/>
        </w:rPr>
        <w:t>therapy is the most</w:t>
      </w:r>
      <w:r w:rsidRPr="009B04A5">
        <w:rPr>
          <w:rFonts w:ascii="Book Antiqua" w:hAnsi="Book Antiqua"/>
        </w:rPr>
        <w:t xml:space="preserve"> appropriate </w:t>
      </w:r>
      <w:r w:rsidR="0007479C" w:rsidRPr="009B04A5">
        <w:rPr>
          <w:rFonts w:ascii="Book Antiqua" w:hAnsi="Book Antiqua"/>
        </w:rPr>
        <w:t>to use</w:t>
      </w:r>
      <w:r w:rsidRPr="009B04A5">
        <w:rPr>
          <w:rFonts w:ascii="Book Antiqua" w:hAnsi="Book Antiqua"/>
        </w:rPr>
        <w:t xml:space="preserve">. Anticipating the response to the </w:t>
      </w:r>
      <w:r w:rsidR="00AE37C0" w:rsidRPr="009B04A5">
        <w:rPr>
          <w:rFonts w:ascii="Book Antiqua" w:hAnsi="Book Antiqua"/>
        </w:rPr>
        <w:t>administered</w:t>
      </w:r>
      <w:r w:rsidRPr="009B04A5">
        <w:rPr>
          <w:rFonts w:ascii="Book Antiqua" w:hAnsi="Book Antiqua"/>
        </w:rPr>
        <w:t xml:space="preserve"> drug is a challenge in current oncology</w:t>
      </w:r>
      <w:r w:rsidR="000A6432" w:rsidRPr="009B04A5">
        <w:rPr>
          <w:rFonts w:ascii="Book Antiqua" w:hAnsi="Book Antiqua"/>
          <w:vertAlign w:val="superscript"/>
        </w:rPr>
        <w:t>[123-126]</w:t>
      </w:r>
      <w:r w:rsidR="00556B4E" w:rsidRPr="009B04A5">
        <w:rPr>
          <w:rFonts w:ascii="Book Antiqua" w:hAnsi="Book Antiqua"/>
        </w:rPr>
        <w:t>. AL is curable in children in 60</w:t>
      </w:r>
      <w:r w:rsidR="007B304E" w:rsidRPr="009B04A5">
        <w:rPr>
          <w:rFonts w:ascii="Book Antiqua" w:hAnsi="Book Antiqua"/>
        </w:rPr>
        <w:t>%</w:t>
      </w:r>
      <w:r w:rsidR="00556B4E" w:rsidRPr="009B04A5">
        <w:rPr>
          <w:rFonts w:ascii="Book Antiqua" w:hAnsi="Book Antiqua"/>
        </w:rPr>
        <w:t>-90% of cases</w:t>
      </w:r>
      <w:r w:rsidR="00455C00" w:rsidRPr="009B04A5">
        <w:rPr>
          <w:rFonts w:ascii="Book Antiqua" w:hAnsi="Book Antiqua"/>
          <w:vertAlign w:val="superscript"/>
        </w:rPr>
        <w:t>[127,128]</w:t>
      </w:r>
      <w:r w:rsidR="00556B4E" w:rsidRPr="009B04A5">
        <w:rPr>
          <w:rFonts w:ascii="Book Antiqua" w:hAnsi="Book Antiqua"/>
        </w:rPr>
        <w:t>. Several research groups have attempted to search for sets of miRNAs involved in therapy failure. Assuming that the phenomenon of drug resistance is a primary feature of leukemia blasts, it is possible to predict the ineffectiveness of treatment</w:t>
      </w:r>
      <w:r w:rsidR="000A6432" w:rsidRPr="009B04A5">
        <w:rPr>
          <w:rFonts w:ascii="Book Antiqua" w:hAnsi="Book Antiqua"/>
          <w:vertAlign w:val="superscript"/>
        </w:rPr>
        <w:t>[128]</w:t>
      </w:r>
      <w:r w:rsidR="00556B4E" w:rsidRPr="009B04A5">
        <w:rPr>
          <w:rFonts w:ascii="Book Antiqua" w:hAnsi="Book Antiqua"/>
        </w:rPr>
        <w:t xml:space="preserve">. </w:t>
      </w:r>
      <w:r w:rsidR="0007479C" w:rsidRPr="009B04A5">
        <w:rPr>
          <w:rFonts w:ascii="Book Antiqua" w:hAnsi="Book Antiqua"/>
        </w:rPr>
        <w:t>M</w:t>
      </w:r>
      <w:r w:rsidR="00087E1B" w:rsidRPr="009B04A5">
        <w:rPr>
          <w:rFonts w:ascii="Book Antiqua" w:hAnsi="Book Antiqua"/>
        </w:rPr>
        <w:t xml:space="preserve">iRNA </w:t>
      </w:r>
      <w:r w:rsidR="00556B4E" w:rsidRPr="009B04A5">
        <w:rPr>
          <w:rFonts w:ascii="Book Antiqua" w:hAnsi="Book Antiqua"/>
        </w:rPr>
        <w:t xml:space="preserve">profiling is increasingly used in research </w:t>
      </w:r>
      <w:r w:rsidR="00AE37C0" w:rsidRPr="009B04A5">
        <w:rPr>
          <w:rFonts w:ascii="Book Antiqua" w:hAnsi="Book Antiqua"/>
        </w:rPr>
        <w:t>on multifactorial phenomena</w:t>
      </w:r>
      <w:r w:rsidR="0007479C" w:rsidRPr="009B04A5">
        <w:rPr>
          <w:rFonts w:ascii="Book Antiqua" w:hAnsi="Book Antiqua"/>
        </w:rPr>
        <w:t>,</w:t>
      </w:r>
      <w:r w:rsidR="00AE37C0" w:rsidRPr="009B04A5">
        <w:rPr>
          <w:rFonts w:ascii="Book Antiqua" w:hAnsi="Book Antiqua"/>
        </w:rPr>
        <w:t xml:space="preserve"> such </w:t>
      </w:r>
      <w:r w:rsidR="00556B4E" w:rsidRPr="009B04A5">
        <w:rPr>
          <w:rFonts w:ascii="Book Antiqua" w:hAnsi="Book Antiqua"/>
        </w:rPr>
        <w:t>as drug resistance</w:t>
      </w:r>
      <w:r w:rsidR="0007479C" w:rsidRPr="009B04A5">
        <w:rPr>
          <w:rFonts w:ascii="Book Antiqua" w:hAnsi="Book Antiqua"/>
        </w:rPr>
        <w:t>,</w:t>
      </w:r>
      <w:r w:rsidR="00556B4E" w:rsidRPr="009B04A5">
        <w:rPr>
          <w:rFonts w:ascii="Book Antiqua" w:hAnsi="Book Antiqua"/>
        </w:rPr>
        <w:t xml:space="preserve"> due to </w:t>
      </w:r>
      <w:r w:rsidR="0007479C" w:rsidRPr="009B04A5">
        <w:rPr>
          <w:rFonts w:ascii="Book Antiqua" w:hAnsi="Book Antiqua"/>
        </w:rPr>
        <w:t xml:space="preserve">its </w:t>
      </w:r>
      <w:r w:rsidR="00556B4E" w:rsidRPr="009B04A5">
        <w:rPr>
          <w:rFonts w:ascii="Book Antiqua" w:hAnsi="Book Antiqua"/>
        </w:rPr>
        <w:t xml:space="preserve">ability to simultaneously </w:t>
      </w:r>
      <w:r w:rsidR="00AE37C0" w:rsidRPr="009B04A5">
        <w:rPr>
          <w:rFonts w:ascii="Book Antiqua" w:hAnsi="Book Antiqua"/>
        </w:rPr>
        <w:t>analyze</w:t>
      </w:r>
      <w:r w:rsidR="00556B4E" w:rsidRPr="009B04A5">
        <w:rPr>
          <w:rFonts w:ascii="Book Antiqua" w:hAnsi="Book Antiqua"/>
        </w:rPr>
        <w:t xml:space="preserve"> the most important genes for this process</w:t>
      </w:r>
      <w:r w:rsidR="00455C00" w:rsidRPr="009B04A5">
        <w:rPr>
          <w:rFonts w:ascii="Book Antiqua" w:hAnsi="Book Antiqua"/>
          <w:vertAlign w:val="superscript"/>
        </w:rPr>
        <w:t>[129]</w:t>
      </w:r>
      <w:r w:rsidR="00556B4E" w:rsidRPr="009B04A5">
        <w:rPr>
          <w:rFonts w:ascii="Book Antiqua" w:hAnsi="Book Antiqua"/>
        </w:rPr>
        <w:t>. The mechanism of drug resistance consists of many complex processes that overlap one another, including</w:t>
      </w:r>
      <w:r w:rsidR="009B4A85" w:rsidRPr="009B04A5">
        <w:rPr>
          <w:rFonts w:ascii="Book Antiqua" w:hAnsi="Book Antiqua"/>
        </w:rPr>
        <w:t>:</w:t>
      </w:r>
      <w:r w:rsidR="00556B4E" w:rsidRPr="009B04A5">
        <w:rPr>
          <w:rFonts w:ascii="Book Antiqua" w:hAnsi="Book Antiqua"/>
        </w:rPr>
        <w:t xml:space="preserve"> (1) a change in the function of receptors</w:t>
      </w:r>
      <w:r w:rsidR="007B304E" w:rsidRPr="009B04A5">
        <w:rPr>
          <w:rFonts w:ascii="Book Antiqua" w:hAnsi="Book Antiqua"/>
        </w:rPr>
        <w:t>;</w:t>
      </w:r>
      <w:r w:rsidR="00556B4E" w:rsidRPr="009B04A5">
        <w:rPr>
          <w:rFonts w:ascii="Book Antiqua" w:hAnsi="Book Antiqua"/>
        </w:rPr>
        <w:t xml:space="preserve"> (2) heterogeneity of cancer cells</w:t>
      </w:r>
      <w:r w:rsidR="007B304E" w:rsidRPr="009B04A5">
        <w:rPr>
          <w:rFonts w:ascii="Book Antiqua" w:hAnsi="Book Antiqua"/>
        </w:rPr>
        <w:t>;</w:t>
      </w:r>
      <w:r w:rsidR="00556B4E" w:rsidRPr="009B04A5">
        <w:rPr>
          <w:rFonts w:ascii="Book Antiqua" w:hAnsi="Book Antiqua"/>
        </w:rPr>
        <w:t xml:space="preserve"> (3) tissue </w:t>
      </w:r>
      <w:r w:rsidR="00AE37C0" w:rsidRPr="009B04A5">
        <w:rPr>
          <w:rFonts w:ascii="Book Antiqua" w:hAnsi="Book Antiqua"/>
        </w:rPr>
        <w:t>microenvironment</w:t>
      </w:r>
      <w:r w:rsidR="007B304E" w:rsidRPr="009B04A5">
        <w:rPr>
          <w:rFonts w:ascii="Book Antiqua" w:hAnsi="Book Antiqua"/>
        </w:rPr>
        <w:t>;</w:t>
      </w:r>
      <w:r w:rsidR="00556B4E" w:rsidRPr="009B04A5">
        <w:rPr>
          <w:rFonts w:ascii="Book Antiqua" w:hAnsi="Book Antiqua"/>
        </w:rPr>
        <w:t xml:space="preserve"> (4) intercellular interactions</w:t>
      </w:r>
      <w:r w:rsidR="007B304E" w:rsidRPr="009B04A5">
        <w:rPr>
          <w:rFonts w:ascii="Book Antiqua" w:hAnsi="Book Antiqua"/>
        </w:rPr>
        <w:t>;</w:t>
      </w:r>
      <w:r w:rsidR="00556B4E" w:rsidRPr="009B04A5">
        <w:rPr>
          <w:rFonts w:ascii="Book Antiqua" w:hAnsi="Book Antiqua"/>
        </w:rPr>
        <w:t xml:space="preserve"> (5) disorders in transport and signal transduction</w:t>
      </w:r>
      <w:r w:rsidR="007B304E" w:rsidRPr="009B04A5">
        <w:rPr>
          <w:rFonts w:ascii="Book Antiqua" w:hAnsi="Book Antiqua"/>
        </w:rPr>
        <w:t>;</w:t>
      </w:r>
      <w:r w:rsidR="00556B4E" w:rsidRPr="009B04A5">
        <w:rPr>
          <w:rFonts w:ascii="Book Antiqua" w:hAnsi="Book Antiqua"/>
        </w:rPr>
        <w:t xml:space="preserve"> and </w:t>
      </w:r>
      <w:r w:rsidR="00556B4E" w:rsidRPr="009B04A5">
        <w:rPr>
          <w:rFonts w:ascii="Book Antiqua" w:hAnsi="Book Antiqua"/>
        </w:rPr>
        <w:lastRenderedPageBreak/>
        <w:t>(6) a change in the expression of key genes</w:t>
      </w:r>
      <w:r w:rsidR="00455C00" w:rsidRPr="009B04A5">
        <w:rPr>
          <w:rFonts w:ascii="Book Antiqua" w:hAnsi="Book Antiqua"/>
          <w:vertAlign w:val="superscript"/>
        </w:rPr>
        <w:t>[130]</w:t>
      </w:r>
      <w:r w:rsidR="007F687D" w:rsidRPr="009B04A5">
        <w:rPr>
          <w:rFonts w:ascii="Book Antiqua" w:hAnsi="Book Antiqua"/>
        </w:rPr>
        <w:t xml:space="preserve">. However, the genetic basis of chemotherapy resistance </w:t>
      </w:r>
      <w:r w:rsidR="00AE37C0" w:rsidRPr="009B04A5">
        <w:rPr>
          <w:rFonts w:ascii="Book Antiqua" w:hAnsi="Book Antiqua"/>
        </w:rPr>
        <w:t>is</w:t>
      </w:r>
      <w:r w:rsidR="007F687D" w:rsidRPr="009B04A5">
        <w:rPr>
          <w:rFonts w:ascii="Book Antiqua" w:hAnsi="Book Antiqua"/>
        </w:rPr>
        <w:t xml:space="preserve"> still not well understood. Based on the genetic profile, it is possible to predict the response to the treatment used by establishing a correlation between the expression of specific sets of miRNA</w:t>
      </w:r>
      <w:r w:rsidR="00F9596E" w:rsidRPr="009B04A5">
        <w:rPr>
          <w:rFonts w:ascii="Book Antiqua" w:hAnsi="Book Antiqua"/>
        </w:rPr>
        <w:t>s</w:t>
      </w:r>
      <w:r w:rsidR="007F687D" w:rsidRPr="009B04A5">
        <w:rPr>
          <w:rFonts w:ascii="Book Antiqua" w:hAnsi="Book Antiqua"/>
        </w:rPr>
        <w:t xml:space="preserve"> and the sensitivity/resistance to a given anticancer agent or the effectiveness of the treatment (Table 2)</w:t>
      </w:r>
      <w:r w:rsidR="000A6432" w:rsidRPr="009B04A5">
        <w:rPr>
          <w:rFonts w:ascii="Book Antiqua" w:hAnsi="Book Antiqua"/>
          <w:vertAlign w:val="superscript"/>
        </w:rPr>
        <w:t>[25,84]</w:t>
      </w:r>
      <w:r w:rsidR="00556B4E" w:rsidRPr="009B04A5">
        <w:rPr>
          <w:rFonts w:ascii="Book Antiqua" w:hAnsi="Book Antiqua"/>
        </w:rPr>
        <w:t>.</w:t>
      </w:r>
    </w:p>
    <w:p w:rsidR="007B304E" w:rsidRPr="009B04A5" w:rsidRDefault="0077557C" w:rsidP="00C709AE">
      <w:pPr>
        <w:adjustRightInd w:val="0"/>
        <w:snapToGrid w:val="0"/>
        <w:spacing w:line="360" w:lineRule="auto"/>
        <w:ind w:firstLineChars="100" w:firstLine="240"/>
        <w:rPr>
          <w:rFonts w:ascii="Book Antiqua" w:hAnsi="Book Antiqua"/>
        </w:rPr>
      </w:pPr>
      <w:r w:rsidRPr="009B04A5">
        <w:rPr>
          <w:rFonts w:ascii="Book Antiqua" w:hAnsi="Book Antiqua"/>
        </w:rPr>
        <w:t xml:space="preserve">Multidrug resistance followed by relapse </w:t>
      </w:r>
      <w:r w:rsidRPr="009B04A5">
        <w:rPr>
          <w:rStyle w:val="st"/>
          <w:rFonts w:ascii="Book Antiqua" w:hAnsi="Book Antiqua"/>
        </w:rPr>
        <w:t>is r</w:t>
      </w:r>
      <w:r w:rsidRPr="009B04A5">
        <w:rPr>
          <w:rStyle w:val="a4"/>
          <w:rFonts w:ascii="Book Antiqua" w:hAnsi="Book Antiqua"/>
          <w:i w:val="0"/>
        </w:rPr>
        <w:t>egarded as one of the most important</w:t>
      </w:r>
      <w:r w:rsidRPr="009B04A5">
        <w:rPr>
          <w:rStyle w:val="a4"/>
          <w:rFonts w:ascii="Book Antiqua" w:hAnsi="Book Antiqua"/>
        </w:rPr>
        <w:t xml:space="preserve"> </w:t>
      </w:r>
      <w:r w:rsidRPr="009B04A5">
        <w:rPr>
          <w:rStyle w:val="st"/>
          <w:rFonts w:ascii="Book Antiqua" w:hAnsi="Book Antiqua"/>
        </w:rPr>
        <w:t xml:space="preserve">clinical </w:t>
      </w:r>
      <w:r w:rsidR="00AE37C0" w:rsidRPr="009B04A5">
        <w:rPr>
          <w:rStyle w:val="st"/>
          <w:rFonts w:ascii="Book Antiqua" w:hAnsi="Book Antiqua"/>
        </w:rPr>
        <w:t>problems for</w:t>
      </w:r>
      <w:r w:rsidRPr="009B04A5">
        <w:rPr>
          <w:rStyle w:val="st"/>
          <w:rFonts w:ascii="Book Antiqua" w:hAnsi="Book Antiqua"/>
        </w:rPr>
        <w:t xml:space="preserve"> effective treatment in patients diagnosed with </w:t>
      </w:r>
      <w:r w:rsidR="000C6B11" w:rsidRPr="009B04A5">
        <w:rPr>
          <w:rStyle w:val="st"/>
          <w:rFonts w:ascii="Book Antiqua" w:hAnsi="Book Antiqua"/>
        </w:rPr>
        <w:t>AL</w:t>
      </w:r>
      <w:r w:rsidRPr="009B04A5">
        <w:rPr>
          <w:rStyle w:val="a4"/>
          <w:rFonts w:ascii="Book Antiqua" w:hAnsi="Book Antiqua"/>
          <w:i w:val="0"/>
        </w:rPr>
        <w:t xml:space="preserve"> and </w:t>
      </w:r>
      <w:r w:rsidRPr="009B04A5">
        <w:rPr>
          <w:rFonts w:ascii="Book Antiqua" w:hAnsi="Book Antiqua"/>
        </w:rPr>
        <w:t>is still the main cause of cancer death in children</w:t>
      </w:r>
      <w:r w:rsidR="00455C00" w:rsidRPr="009B04A5">
        <w:rPr>
          <w:rFonts w:ascii="Book Antiqua" w:hAnsi="Book Antiqua"/>
          <w:vertAlign w:val="superscript"/>
        </w:rPr>
        <w:t>[131]</w:t>
      </w:r>
      <w:r w:rsidRPr="009B04A5">
        <w:rPr>
          <w:rFonts w:ascii="Book Antiqua" w:hAnsi="Book Antiqua"/>
        </w:rPr>
        <w:t>.</w:t>
      </w:r>
      <w:r w:rsidRPr="009B04A5">
        <w:rPr>
          <w:rStyle w:val="a4"/>
          <w:rFonts w:ascii="Book Antiqua" w:hAnsi="Book Antiqua"/>
          <w:i w:val="0"/>
        </w:rPr>
        <w:t xml:space="preserve"> </w:t>
      </w:r>
      <w:r w:rsidR="006B3DC5" w:rsidRPr="009B04A5">
        <w:rPr>
          <w:rStyle w:val="a4"/>
          <w:rFonts w:ascii="Book Antiqua" w:hAnsi="Book Antiqua"/>
          <w:i w:val="0"/>
        </w:rPr>
        <w:t>M</w:t>
      </w:r>
      <w:r w:rsidR="00F9596E" w:rsidRPr="009B04A5">
        <w:rPr>
          <w:rStyle w:val="a4"/>
          <w:rFonts w:ascii="Book Antiqua" w:hAnsi="Book Antiqua"/>
          <w:i w:val="0"/>
        </w:rPr>
        <w:t xml:space="preserve">iRNAs </w:t>
      </w:r>
      <w:r w:rsidRPr="009B04A5">
        <w:rPr>
          <w:rStyle w:val="a4"/>
          <w:rFonts w:ascii="Book Antiqua" w:hAnsi="Book Antiqua"/>
          <w:i w:val="0"/>
        </w:rPr>
        <w:t xml:space="preserve">are considered a relevant </w:t>
      </w:r>
      <w:r w:rsidR="00AE37C0" w:rsidRPr="009B04A5">
        <w:rPr>
          <w:rStyle w:val="a4"/>
          <w:rFonts w:ascii="Book Antiqua" w:hAnsi="Book Antiqua"/>
          <w:i w:val="0"/>
        </w:rPr>
        <w:t>regulator</w:t>
      </w:r>
      <w:r w:rsidRPr="009B04A5">
        <w:rPr>
          <w:rStyle w:val="a4"/>
          <w:rFonts w:ascii="Book Antiqua" w:hAnsi="Book Antiqua"/>
          <w:i w:val="0"/>
        </w:rPr>
        <w:t xml:space="preserve"> response to </w:t>
      </w:r>
      <w:r w:rsidRPr="009B04A5">
        <w:rPr>
          <w:rStyle w:val="tlid-translation"/>
          <w:rFonts w:ascii="Book Antiqua" w:hAnsi="Book Antiqua"/>
        </w:rPr>
        <w:t>drug administration</w:t>
      </w:r>
      <w:r w:rsidRPr="009B04A5">
        <w:rPr>
          <w:rStyle w:val="a4"/>
          <w:rFonts w:ascii="Book Antiqua" w:hAnsi="Book Antiqua"/>
          <w:i w:val="0"/>
        </w:rPr>
        <w:t xml:space="preserve">. </w:t>
      </w:r>
      <w:r w:rsidRPr="009B04A5">
        <w:rPr>
          <w:rFonts w:ascii="Book Antiqua" w:hAnsi="Book Antiqua"/>
        </w:rPr>
        <w:t xml:space="preserve">Ghodousi </w:t>
      </w:r>
      <w:r w:rsidR="003834E3" w:rsidRPr="009B04A5">
        <w:rPr>
          <w:rFonts w:ascii="Book Antiqua" w:hAnsi="Book Antiqua"/>
          <w:i/>
          <w:iCs/>
          <w:lang w:eastAsia="pl-PL"/>
        </w:rPr>
        <w:t>et al</w:t>
      </w:r>
      <w:r w:rsidR="003834E3" w:rsidRPr="009B04A5">
        <w:rPr>
          <w:rFonts w:ascii="Book Antiqua" w:hAnsi="Book Antiqua"/>
          <w:vertAlign w:val="superscript"/>
        </w:rPr>
        <w:t>[132]</w:t>
      </w:r>
      <w:r w:rsidRPr="009B04A5">
        <w:rPr>
          <w:rFonts w:ascii="Book Antiqua" w:hAnsi="Book Antiqua"/>
        </w:rPr>
        <w:t xml:space="preserve"> </w:t>
      </w:r>
      <w:r w:rsidRPr="009B04A5">
        <w:rPr>
          <w:rStyle w:val="tlid-translation"/>
          <w:rFonts w:ascii="Book Antiqua" w:hAnsi="Book Antiqua"/>
        </w:rPr>
        <w:t>conducted an analysis of</w:t>
      </w:r>
      <w:r w:rsidR="00AE37C0" w:rsidRPr="009B04A5">
        <w:rPr>
          <w:rStyle w:val="tlid-translation"/>
          <w:rFonts w:ascii="Book Antiqua" w:hAnsi="Book Antiqua"/>
        </w:rPr>
        <w:t xml:space="preserve"> the</w:t>
      </w:r>
      <w:r w:rsidRPr="009B04A5">
        <w:rPr>
          <w:rStyle w:val="tlid-translation"/>
          <w:rFonts w:ascii="Book Antiqua" w:hAnsi="Book Antiqua"/>
        </w:rPr>
        <w:t xml:space="preserve"> expression </w:t>
      </w:r>
      <w:r w:rsidR="00AE37C0" w:rsidRPr="009B04A5">
        <w:rPr>
          <w:rStyle w:val="tlid-translation"/>
          <w:rFonts w:ascii="Book Antiqua" w:hAnsi="Book Antiqua"/>
        </w:rPr>
        <w:t xml:space="preserve">of </w:t>
      </w:r>
      <w:r w:rsidRPr="009B04A5">
        <w:rPr>
          <w:rFonts w:ascii="Book Antiqua" w:hAnsi="Book Antiqua"/>
          <w:i/>
        </w:rPr>
        <w:t>ABCA2</w:t>
      </w:r>
      <w:r w:rsidRPr="009B04A5">
        <w:rPr>
          <w:rFonts w:ascii="Book Antiqua" w:hAnsi="Book Antiqua"/>
        </w:rPr>
        <w:t xml:space="preserve"> and </w:t>
      </w:r>
      <w:r w:rsidRPr="009B04A5">
        <w:rPr>
          <w:rFonts w:ascii="Book Antiqua" w:hAnsi="Book Antiqua"/>
          <w:i/>
        </w:rPr>
        <w:t>ABCA3</w:t>
      </w:r>
      <w:r w:rsidRPr="009B04A5">
        <w:rPr>
          <w:rFonts w:ascii="Book Antiqua" w:hAnsi="Book Antiqua"/>
        </w:rPr>
        <w:t xml:space="preserve"> transporters and their potential regulators</w:t>
      </w:r>
      <w:r w:rsidR="00F9596E" w:rsidRPr="009B04A5">
        <w:rPr>
          <w:rFonts w:ascii="Book Antiqua" w:hAnsi="Book Antiqua"/>
        </w:rPr>
        <w:t>,</w:t>
      </w:r>
      <w:r w:rsidRPr="009B04A5">
        <w:rPr>
          <w:rFonts w:ascii="Book Antiqua" w:hAnsi="Book Antiqua"/>
        </w:rPr>
        <w:t xml:space="preserve"> miR-326 and miR-200c. First</w:t>
      </w:r>
      <w:r w:rsidR="00AE37C0" w:rsidRPr="009B04A5">
        <w:rPr>
          <w:rFonts w:ascii="Book Antiqua" w:hAnsi="Book Antiqua"/>
        </w:rPr>
        <w:t xml:space="preserve">, </w:t>
      </w:r>
      <w:r w:rsidRPr="009B04A5">
        <w:rPr>
          <w:rFonts w:ascii="Book Antiqua" w:hAnsi="Book Antiqua"/>
        </w:rPr>
        <w:t xml:space="preserve">they confirmed that </w:t>
      </w:r>
      <w:r w:rsidR="00F9596E" w:rsidRPr="009B04A5">
        <w:rPr>
          <w:rFonts w:ascii="Book Antiqua" w:hAnsi="Book Antiqua"/>
        </w:rPr>
        <w:t xml:space="preserve">the expression levels of </w:t>
      </w:r>
      <w:r w:rsidRPr="009B04A5">
        <w:rPr>
          <w:rFonts w:ascii="Book Antiqua" w:hAnsi="Book Antiqua"/>
        </w:rPr>
        <w:t xml:space="preserve">both miR-326 and miR-200c were significantly lower in patients with ALL diagnosis. They showed a </w:t>
      </w:r>
      <w:r w:rsidR="00AE37C0" w:rsidRPr="009B04A5">
        <w:rPr>
          <w:rFonts w:ascii="Book Antiqua" w:hAnsi="Book Antiqua"/>
        </w:rPr>
        <w:t>significant</w:t>
      </w:r>
      <w:r w:rsidRPr="009B04A5">
        <w:rPr>
          <w:rFonts w:ascii="Book Antiqua" w:hAnsi="Book Antiqua"/>
        </w:rPr>
        <w:t xml:space="preserve"> downregulation of miR-326 in MRD+ and relapsed patients compared to the MRD- group, supporting the notion that decreased expression of miR-326 has an adverse impact on treatment response. A significant decrease in miR-200c expression level was observed between the MRD- patients and relapsed ALL</w:t>
      </w:r>
      <w:r w:rsidR="008E519C" w:rsidRPr="009B04A5">
        <w:rPr>
          <w:rFonts w:ascii="Book Antiqua" w:hAnsi="Book Antiqua"/>
        </w:rPr>
        <w:t xml:space="preserve"> patients</w:t>
      </w:r>
      <w:r w:rsidRPr="009B04A5">
        <w:rPr>
          <w:rFonts w:ascii="Book Antiqua" w:hAnsi="Book Antiqua"/>
        </w:rPr>
        <w:t xml:space="preserve">. Ghodousi </w:t>
      </w:r>
      <w:r w:rsidR="007B304E" w:rsidRPr="009B04A5">
        <w:rPr>
          <w:rFonts w:ascii="Book Antiqua" w:hAnsi="Book Antiqua"/>
          <w:i/>
          <w:iCs/>
          <w:lang w:eastAsia="pl-PL"/>
        </w:rPr>
        <w:t>et al</w:t>
      </w:r>
      <w:r w:rsidR="00455C00" w:rsidRPr="009B04A5">
        <w:rPr>
          <w:rFonts w:ascii="Book Antiqua" w:hAnsi="Book Antiqua"/>
          <w:vertAlign w:val="superscript"/>
        </w:rPr>
        <w:t>[132]</w:t>
      </w:r>
      <w:r w:rsidRPr="009B04A5">
        <w:rPr>
          <w:rFonts w:ascii="Book Antiqua" w:hAnsi="Book Antiqua"/>
        </w:rPr>
        <w:t xml:space="preserve"> pointed</w:t>
      </w:r>
      <w:r w:rsidR="00AE37C0" w:rsidRPr="009B04A5">
        <w:rPr>
          <w:rFonts w:ascii="Book Antiqua" w:hAnsi="Book Antiqua"/>
        </w:rPr>
        <w:t xml:space="preserve"> out</w:t>
      </w:r>
      <w:r w:rsidRPr="009B04A5">
        <w:rPr>
          <w:rFonts w:ascii="Book Antiqua" w:hAnsi="Book Antiqua"/>
        </w:rPr>
        <w:t xml:space="preserve"> that only</w:t>
      </w:r>
      <w:r w:rsidR="00AE37C0" w:rsidRPr="009B04A5">
        <w:rPr>
          <w:rFonts w:ascii="Book Antiqua" w:hAnsi="Book Antiqua"/>
        </w:rPr>
        <w:t xml:space="preserve"> the</w:t>
      </w:r>
      <w:r w:rsidRPr="009B04A5">
        <w:rPr>
          <w:rFonts w:ascii="Book Antiqua" w:hAnsi="Book Antiqua"/>
        </w:rPr>
        <w:t xml:space="preserve"> miR-326 level can be a negative prognostic biomarker </w:t>
      </w:r>
      <w:r w:rsidR="00AE37C0" w:rsidRPr="009B04A5">
        <w:rPr>
          <w:rFonts w:ascii="Book Antiqua" w:hAnsi="Book Antiqua"/>
        </w:rPr>
        <w:t>that</w:t>
      </w:r>
      <w:r w:rsidRPr="009B04A5">
        <w:rPr>
          <w:rFonts w:ascii="Book Antiqua" w:hAnsi="Book Antiqua"/>
        </w:rPr>
        <w:t xml:space="preserve"> may discriminate between MRD+ and MRD- patients.</w:t>
      </w:r>
      <w:r w:rsidR="00313788" w:rsidRPr="009B04A5">
        <w:rPr>
          <w:rFonts w:ascii="Book Antiqua" w:hAnsi="Book Antiqua"/>
        </w:rPr>
        <w:t xml:space="preserve"> The </w:t>
      </w:r>
      <w:r w:rsidR="00E20EAE" w:rsidRPr="009B04A5">
        <w:rPr>
          <w:rFonts w:ascii="Book Antiqua" w:hAnsi="Book Antiqua"/>
        </w:rPr>
        <w:t>presented results</w:t>
      </w:r>
      <w:r w:rsidR="00C709AE" w:rsidRPr="009B04A5">
        <w:rPr>
          <w:rFonts w:ascii="Book Antiqua" w:hAnsi="Book Antiqua"/>
        </w:rPr>
        <w:t xml:space="preserve"> </w:t>
      </w:r>
      <w:r w:rsidR="00313788" w:rsidRPr="009B04A5">
        <w:rPr>
          <w:rFonts w:ascii="Book Antiqua" w:hAnsi="Book Antiqua"/>
        </w:rPr>
        <w:t>(higher miR-128b expression correlate</w:t>
      </w:r>
      <w:r w:rsidR="00E20EAE" w:rsidRPr="009B04A5">
        <w:rPr>
          <w:rFonts w:ascii="Book Antiqua" w:hAnsi="Book Antiqua"/>
        </w:rPr>
        <w:t>d</w:t>
      </w:r>
      <w:r w:rsidR="00313788" w:rsidRPr="009B04A5">
        <w:rPr>
          <w:rFonts w:ascii="Book Antiqua" w:hAnsi="Book Antiqua"/>
        </w:rPr>
        <w:t xml:space="preserve"> with good </w:t>
      </w:r>
      <w:r w:rsidR="004B7EE8" w:rsidRPr="009B04A5">
        <w:rPr>
          <w:rFonts w:ascii="Book Antiqua" w:hAnsi="Book Antiqua"/>
        </w:rPr>
        <w:t>prednisolone</w:t>
      </w:r>
      <w:r w:rsidR="00313788" w:rsidRPr="009B04A5">
        <w:rPr>
          <w:rFonts w:ascii="Book Antiqua" w:hAnsi="Book Antiqua"/>
        </w:rPr>
        <w:t xml:space="preserve"> response and </w:t>
      </w:r>
      <w:r w:rsidR="00E20EAE" w:rsidRPr="009B04A5">
        <w:rPr>
          <w:rFonts w:ascii="Book Antiqua" w:hAnsi="Book Antiqua"/>
        </w:rPr>
        <w:t>better</w:t>
      </w:r>
      <w:r w:rsidR="00313788" w:rsidRPr="009B04A5">
        <w:rPr>
          <w:rFonts w:ascii="Book Antiqua" w:hAnsi="Book Antiqua"/>
        </w:rPr>
        <w:t xml:space="preserve"> prognosis) suggest a correlation between miR-128b expression changes and steroid sensitivity of leukemic cells</w:t>
      </w:r>
      <w:r w:rsidR="000A6432" w:rsidRPr="009B04A5">
        <w:rPr>
          <w:rFonts w:ascii="Book Antiqua" w:hAnsi="Book Antiqua"/>
          <w:vertAlign w:val="superscript"/>
        </w:rPr>
        <w:t>[94]</w:t>
      </w:r>
      <w:r w:rsidR="00E52688" w:rsidRPr="009B04A5">
        <w:rPr>
          <w:rFonts w:ascii="Book Antiqua" w:hAnsi="Book Antiqua"/>
        </w:rPr>
        <w:t>.</w:t>
      </w:r>
    </w:p>
    <w:p w:rsidR="007B304E" w:rsidRPr="009B04A5" w:rsidRDefault="000F5C31" w:rsidP="00C709AE">
      <w:pPr>
        <w:adjustRightInd w:val="0"/>
        <w:snapToGrid w:val="0"/>
        <w:spacing w:line="360" w:lineRule="auto"/>
        <w:ind w:firstLineChars="100" w:firstLine="240"/>
        <w:rPr>
          <w:rFonts w:ascii="Book Antiqua" w:hAnsi="Book Antiqua"/>
        </w:rPr>
      </w:pPr>
      <w:r w:rsidRPr="009B04A5">
        <w:rPr>
          <w:rFonts w:ascii="Book Antiqua" w:hAnsi="Book Antiqua"/>
        </w:rPr>
        <w:t>In several subsequent studies</w:t>
      </w:r>
      <w:r w:rsidR="00AE37C0" w:rsidRPr="009B04A5">
        <w:rPr>
          <w:rFonts w:ascii="Book Antiqua" w:hAnsi="Book Antiqua"/>
        </w:rPr>
        <w:t>,</w:t>
      </w:r>
      <w:r w:rsidRPr="009B04A5">
        <w:rPr>
          <w:rFonts w:ascii="Book Antiqua" w:hAnsi="Book Antiqua"/>
        </w:rPr>
        <w:t xml:space="preserve"> </w:t>
      </w:r>
      <w:r w:rsidR="00AE37C0" w:rsidRPr="009B04A5">
        <w:rPr>
          <w:rFonts w:ascii="Book Antiqua" w:hAnsi="Book Antiqua"/>
        </w:rPr>
        <w:t>miR</w:t>
      </w:r>
      <w:r w:rsidRPr="009B04A5">
        <w:rPr>
          <w:rFonts w:ascii="Book Antiqua" w:hAnsi="Book Antiqua"/>
        </w:rPr>
        <w:t>-125b was selected as a potential biomarker for leukemia recurrence</w:t>
      </w:r>
      <w:r w:rsidR="00D07311" w:rsidRPr="009B04A5">
        <w:rPr>
          <w:rFonts w:ascii="Book Antiqua" w:hAnsi="Book Antiqua"/>
        </w:rPr>
        <w:t xml:space="preserve"> and was</w:t>
      </w:r>
      <w:r w:rsidRPr="009B04A5">
        <w:rPr>
          <w:rFonts w:ascii="Book Antiqua" w:hAnsi="Book Antiqua"/>
        </w:rPr>
        <w:t xml:space="preserve"> correlated with </w:t>
      </w:r>
      <w:r w:rsidR="00AE37C0" w:rsidRPr="009B04A5">
        <w:rPr>
          <w:rFonts w:ascii="Book Antiqua" w:hAnsi="Book Antiqua"/>
        </w:rPr>
        <w:t xml:space="preserve">a </w:t>
      </w:r>
      <w:r w:rsidRPr="009B04A5">
        <w:rPr>
          <w:rFonts w:ascii="Book Antiqua" w:hAnsi="Book Antiqua"/>
        </w:rPr>
        <w:t>high risk of therapy failure and poor survival prognosis</w:t>
      </w:r>
      <w:r w:rsidR="00455C00" w:rsidRPr="009B04A5">
        <w:rPr>
          <w:rFonts w:ascii="Book Antiqua" w:hAnsi="Book Antiqua"/>
          <w:vertAlign w:val="superscript"/>
        </w:rPr>
        <w:t>[72,133-135]</w:t>
      </w:r>
      <w:r w:rsidR="00D14356" w:rsidRPr="009B04A5">
        <w:rPr>
          <w:rFonts w:ascii="Book Antiqua" w:hAnsi="Book Antiqua"/>
        </w:rPr>
        <w:t xml:space="preserve">. Piatopoulou </w:t>
      </w:r>
      <w:r w:rsidR="00783C14" w:rsidRPr="009B04A5">
        <w:rPr>
          <w:rFonts w:ascii="Book Antiqua" w:hAnsi="Book Antiqua"/>
          <w:i/>
        </w:rPr>
        <w:t>et al</w:t>
      </w:r>
      <w:r w:rsidR="00455C00" w:rsidRPr="009B04A5">
        <w:rPr>
          <w:rFonts w:ascii="Book Antiqua" w:hAnsi="Book Antiqua"/>
          <w:vertAlign w:val="superscript"/>
        </w:rPr>
        <w:t>[135]</w:t>
      </w:r>
      <w:r w:rsidR="00976543" w:rsidRPr="009B04A5">
        <w:rPr>
          <w:rFonts w:ascii="Book Antiqua" w:hAnsi="Book Antiqua"/>
        </w:rPr>
        <w:t xml:space="preserve"> </w:t>
      </w:r>
      <w:r w:rsidR="00EE1699" w:rsidRPr="009B04A5">
        <w:rPr>
          <w:rFonts w:ascii="Book Antiqua" w:hAnsi="Book Antiqua"/>
        </w:rPr>
        <w:t xml:space="preserve">evaluated </w:t>
      </w:r>
      <w:r w:rsidR="00AE37C0" w:rsidRPr="009B04A5">
        <w:rPr>
          <w:rFonts w:ascii="Book Antiqua" w:hAnsi="Book Antiqua"/>
        </w:rPr>
        <w:t xml:space="preserve">the </w:t>
      </w:r>
      <w:r w:rsidR="00EE1699" w:rsidRPr="009B04A5">
        <w:rPr>
          <w:rFonts w:ascii="Book Antiqua" w:hAnsi="Book Antiqua"/>
        </w:rPr>
        <w:t>clinical significance</w:t>
      </w:r>
      <w:r w:rsidR="00AE37C0" w:rsidRPr="009B04A5">
        <w:rPr>
          <w:rFonts w:ascii="Book Antiqua" w:hAnsi="Book Antiqua"/>
        </w:rPr>
        <w:t xml:space="preserve"> of miR</w:t>
      </w:r>
      <w:r w:rsidR="00EE1699" w:rsidRPr="009B04A5">
        <w:rPr>
          <w:rFonts w:ascii="Book Antiqua" w:hAnsi="Book Antiqua"/>
        </w:rPr>
        <w:t xml:space="preserve">-125b for ALL prognosis and prediction of patients’ response to </w:t>
      </w:r>
      <w:r w:rsidR="00AE37C0" w:rsidRPr="009B04A5">
        <w:rPr>
          <w:rFonts w:ascii="Book Antiqua" w:hAnsi="Book Antiqua"/>
        </w:rPr>
        <w:t xml:space="preserve">the </w:t>
      </w:r>
      <w:r w:rsidR="0072484C" w:rsidRPr="009B04A5">
        <w:rPr>
          <w:rFonts w:ascii="Book Antiqua" w:hAnsi="Book Antiqua"/>
        </w:rPr>
        <w:t>Berlin-Frankfurt-Muenster (</w:t>
      </w:r>
      <w:r w:rsidR="00EE1699" w:rsidRPr="009B04A5">
        <w:rPr>
          <w:rFonts w:ascii="Book Antiqua" w:hAnsi="Book Antiqua"/>
        </w:rPr>
        <w:t>BFM</w:t>
      </w:r>
      <w:r w:rsidR="0072484C" w:rsidRPr="009B04A5">
        <w:rPr>
          <w:rFonts w:ascii="Book Antiqua" w:hAnsi="Book Antiqua"/>
        </w:rPr>
        <w:t>)</w:t>
      </w:r>
      <w:r w:rsidR="00EE1699" w:rsidRPr="009B04A5">
        <w:rPr>
          <w:rFonts w:ascii="Book Antiqua" w:hAnsi="Book Antiqua"/>
        </w:rPr>
        <w:t xml:space="preserve"> chemotherapy protocol. </w:t>
      </w:r>
      <w:r w:rsidR="000E159E" w:rsidRPr="009B04A5">
        <w:rPr>
          <w:rStyle w:val="tlid-translation"/>
          <w:rFonts w:ascii="Book Antiqua" w:hAnsi="Book Antiqua"/>
        </w:rPr>
        <w:t>In their study</w:t>
      </w:r>
      <w:r w:rsidR="00AE37C0" w:rsidRPr="009B04A5">
        <w:rPr>
          <w:rStyle w:val="tlid-translation"/>
          <w:rFonts w:ascii="Book Antiqua" w:hAnsi="Book Antiqua"/>
        </w:rPr>
        <w:t>,</w:t>
      </w:r>
      <w:r w:rsidR="000E159E" w:rsidRPr="009B04A5">
        <w:rPr>
          <w:rStyle w:val="tlid-translation"/>
          <w:rFonts w:ascii="Book Antiqua" w:hAnsi="Book Antiqua"/>
        </w:rPr>
        <w:t xml:space="preserve"> </w:t>
      </w:r>
      <w:r w:rsidR="00AE37C0" w:rsidRPr="009B04A5">
        <w:rPr>
          <w:rStyle w:val="tlid-translation"/>
          <w:rFonts w:ascii="Book Antiqua" w:hAnsi="Book Antiqua"/>
        </w:rPr>
        <w:t xml:space="preserve">a </w:t>
      </w:r>
      <w:r w:rsidR="000E159E" w:rsidRPr="009B04A5">
        <w:rPr>
          <w:rStyle w:val="tlid-translation"/>
          <w:rFonts w:ascii="Book Antiqua" w:hAnsi="Book Antiqua"/>
        </w:rPr>
        <w:t xml:space="preserve">low level of miR-125b was related </w:t>
      </w:r>
      <w:r w:rsidR="00AE37C0" w:rsidRPr="009B04A5">
        <w:rPr>
          <w:rStyle w:val="tlid-translation"/>
          <w:rFonts w:ascii="Book Antiqua" w:hAnsi="Book Antiqua"/>
        </w:rPr>
        <w:t>to</w:t>
      </w:r>
      <w:r w:rsidR="000E159E" w:rsidRPr="009B04A5">
        <w:rPr>
          <w:rStyle w:val="tlid-translation"/>
          <w:rFonts w:ascii="Book Antiqua" w:hAnsi="Book Antiqua"/>
        </w:rPr>
        <w:t xml:space="preserve"> unfavorable prognosis, but after treatment with </w:t>
      </w:r>
      <w:r w:rsidR="00AE37C0" w:rsidRPr="009B04A5">
        <w:rPr>
          <w:rStyle w:val="tlid-translation"/>
          <w:rFonts w:ascii="Book Antiqua" w:hAnsi="Book Antiqua"/>
        </w:rPr>
        <w:t xml:space="preserve">the </w:t>
      </w:r>
      <w:r w:rsidR="000E159E" w:rsidRPr="009B04A5">
        <w:rPr>
          <w:rStyle w:val="tlid-translation"/>
          <w:rFonts w:ascii="Book Antiqua" w:hAnsi="Book Antiqua"/>
        </w:rPr>
        <w:t>BFM protocol</w:t>
      </w:r>
      <w:r w:rsidR="00AE37C0" w:rsidRPr="009B04A5">
        <w:rPr>
          <w:rStyle w:val="tlid-translation"/>
          <w:rFonts w:ascii="Book Antiqua" w:hAnsi="Book Antiqua"/>
        </w:rPr>
        <w:t>,</w:t>
      </w:r>
      <w:r w:rsidR="000E159E" w:rsidRPr="009B04A5">
        <w:rPr>
          <w:rStyle w:val="tlid-translation"/>
          <w:rFonts w:ascii="Book Antiqua" w:hAnsi="Book Antiqua"/>
        </w:rPr>
        <w:t xml:space="preserve"> overexpression </w:t>
      </w:r>
      <w:r w:rsidR="00AE37C0" w:rsidRPr="009B04A5">
        <w:rPr>
          <w:rStyle w:val="tlid-translation"/>
          <w:rFonts w:ascii="Book Antiqua" w:hAnsi="Book Antiqua"/>
        </w:rPr>
        <w:t>of</w:t>
      </w:r>
      <w:r w:rsidR="000E159E" w:rsidRPr="009B04A5">
        <w:rPr>
          <w:rStyle w:val="tlid-translation"/>
          <w:rFonts w:ascii="Book Antiqua" w:hAnsi="Book Antiqua"/>
        </w:rPr>
        <w:t xml:space="preserve"> this miR was detected. Higher expression </w:t>
      </w:r>
      <w:r w:rsidR="00AE37C0" w:rsidRPr="009B04A5">
        <w:rPr>
          <w:rStyle w:val="tlid-translation"/>
          <w:rFonts w:ascii="Book Antiqua" w:hAnsi="Book Antiqua"/>
        </w:rPr>
        <w:t>on</w:t>
      </w:r>
      <w:r w:rsidR="000E159E" w:rsidRPr="009B04A5">
        <w:rPr>
          <w:rStyle w:val="tlid-translation"/>
          <w:rFonts w:ascii="Book Antiqua" w:hAnsi="Book Antiqua"/>
        </w:rPr>
        <w:t xml:space="preserve"> day 33/diagnosis was related to</w:t>
      </w:r>
      <w:r w:rsidR="00AE37C0" w:rsidRPr="009B04A5">
        <w:rPr>
          <w:rStyle w:val="tlid-translation"/>
          <w:rFonts w:ascii="Book Antiqua" w:hAnsi="Book Antiqua"/>
        </w:rPr>
        <w:t xml:space="preserve"> a</w:t>
      </w:r>
      <w:r w:rsidR="000E159E" w:rsidRPr="009B04A5">
        <w:rPr>
          <w:rStyle w:val="tlid-translation"/>
          <w:rFonts w:ascii="Book Antiqua" w:hAnsi="Book Antiqua"/>
        </w:rPr>
        <w:t xml:space="preserve"> </w:t>
      </w:r>
      <w:r w:rsidR="006B3DC5" w:rsidRPr="009B04A5">
        <w:rPr>
          <w:rFonts w:ascii="Book Antiqua" w:hAnsi="Book Antiqua"/>
        </w:rPr>
        <w:t>high</w:t>
      </w:r>
      <w:r w:rsidR="000E159E" w:rsidRPr="009B04A5">
        <w:rPr>
          <w:rFonts w:ascii="Book Antiqua" w:hAnsi="Book Antiqua"/>
        </w:rPr>
        <w:t xml:space="preserve">er risk for disease short-term relapse and worse survival, </w:t>
      </w:r>
      <w:r w:rsidR="0060475F" w:rsidRPr="009B04A5">
        <w:rPr>
          <w:rFonts w:ascii="Book Antiqua" w:hAnsi="Book Antiqua"/>
        </w:rPr>
        <w:t>strongly suggest</w:t>
      </w:r>
      <w:r w:rsidR="0072484C" w:rsidRPr="009B04A5">
        <w:rPr>
          <w:rFonts w:ascii="Book Antiqua" w:hAnsi="Book Antiqua"/>
        </w:rPr>
        <w:t>ing</w:t>
      </w:r>
      <w:r w:rsidR="00CE0C4C" w:rsidRPr="009B04A5">
        <w:rPr>
          <w:rFonts w:ascii="Book Antiqua" w:hAnsi="Book Antiqua"/>
        </w:rPr>
        <w:t xml:space="preserve"> that miR-125b could also be used as a clinically useful predictor of </w:t>
      </w:r>
      <w:r w:rsidR="001A4A2D" w:rsidRPr="009B04A5">
        <w:rPr>
          <w:rFonts w:ascii="Book Antiqua" w:hAnsi="Book Antiqua"/>
        </w:rPr>
        <w:t>resistance to BFM chemotherapy</w:t>
      </w:r>
      <w:r w:rsidR="00455C00" w:rsidRPr="009B04A5">
        <w:rPr>
          <w:rFonts w:ascii="Book Antiqua" w:hAnsi="Book Antiqua"/>
          <w:vertAlign w:val="superscript"/>
        </w:rPr>
        <w:t>[135]</w:t>
      </w:r>
      <w:r w:rsidR="00F828CA" w:rsidRPr="009B04A5">
        <w:rPr>
          <w:rFonts w:ascii="Book Antiqua" w:hAnsi="Book Antiqua"/>
        </w:rPr>
        <w:t xml:space="preserve">. Gefen </w:t>
      </w:r>
      <w:r w:rsidR="00783C14" w:rsidRPr="009B04A5">
        <w:rPr>
          <w:rFonts w:ascii="Book Antiqua" w:hAnsi="Book Antiqua"/>
          <w:i/>
        </w:rPr>
        <w:t>et al</w:t>
      </w:r>
      <w:r w:rsidR="00455C00" w:rsidRPr="009B04A5">
        <w:rPr>
          <w:rFonts w:ascii="Book Antiqua" w:hAnsi="Book Antiqua"/>
          <w:vertAlign w:val="superscript"/>
        </w:rPr>
        <w:t>[134]</w:t>
      </w:r>
      <w:r w:rsidR="00891F42" w:rsidRPr="009B04A5">
        <w:rPr>
          <w:rFonts w:ascii="Book Antiqua" w:hAnsi="Book Antiqua"/>
        </w:rPr>
        <w:t xml:space="preserve"> established</w:t>
      </w:r>
      <w:r w:rsidR="00C709AE" w:rsidRPr="009B04A5">
        <w:rPr>
          <w:rFonts w:ascii="Book Antiqua" w:hAnsi="Book Antiqua"/>
        </w:rPr>
        <w:t xml:space="preserve"> </w:t>
      </w:r>
      <w:r w:rsidR="006867DA" w:rsidRPr="009B04A5">
        <w:rPr>
          <w:rFonts w:ascii="Book Antiqua" w:hAnsi="Book Antiqua"/>
        </w:rPr>
        <w:lastRenderedPageBreak/>
        <w:t xml:space="preserve">upregulation </w:t>
      </w:r>
      <w:r w:rsidR="00891F42" w:rsidRPr="009B04A5">
        <w:rPr>
          <w:rFonts w:ascii="Book Antiqua" w:hAnsi="Book Antiqua"/>
        </w:rPr>
        <w:t xml:space="preserve">of the miR-125b-2 cluster (miR-125b, miR-99a, and let-7c) in </w:t>
      </w:r>
      <w:r w:rsidR="004A1DCE" w:rsidRPr="009B04A5">
        <w:rPr>
          <w:rFonts w:ascii="Book Antiqua" w:hAnsi="Book Antiqua"/>
          <w:i/>
        </w:rPr>
        <w:t>ETV6/RUNX1</w:t>
      </w:r>
      <w:r w:rsidR="004A1DCE" w:rsidRPr="009B04A5">
        <w:rPr>
          <w:rFonts w:ascii="Book Antiqua" w:hAnsi="Book Antiqua"/>
        </w:rPr>
        <w:t>-positive childhood ALL</w:t>
      </w:r>
      <w:r w:rsidR="00E27DDD" w:rsidRPr="009B04A5">
        <w:rPr>
          <w:rFonts w:ascii="Book Antiqua" w:hAnsi="Book Antiqua"/>
        </w:rPr>
        <w:t>. Overexpression of</w:t>
      </w:r>
      <w:r w:rsidR="00AE37C0" w:rsidRPr="009B04A5">
        <w:rPr>
          <w:rFonts w:ascii="Book Antiqua" w:hAnsi="Book Antiqua"/>
        </w:rPr>
        <w:t xml:space="preserve"> the</w:t>
      </w:r>
      <w:r w:rsidR="00E27DDD" w:rsidRPr="009B04A5">
        <w:rPr>
          <w:rFonts w:ascii="Book Antiqua" w:hAnsi="Book Antiqua"/>
        </w:rPr>
        <w:t xml:space="preserve"> cluster was</w:t>
      </w:r>
      <w:r w:rsidR="00AE37C0" w:rsidRPr="009B04A5">
        <w:rPr>
          <w:rFonts w:ascii="Book Antiqua" w:hAnsi="Book Antiqua"/>
        </w:rPr>
        <w:t xml:space="preserve"> an</w:t>
      </w:r>
      <w:r w:rsidR="00E27DDD" w:rsidRPr="009B04A5">
        <w:rPr>
          <w:rFonts w:ascii="Book Antiqua" w:hAnsi="Book Antiqua"/>
        </w:rPr>
        <w:t xml:space="preserve"> </w:t>
      </w:r>
      <w:r w:rsidR="00D558BF" w:rsidRPr="009B04A5">
        <w:rPr>
          <w:rFonts w:ascii="Book Antiqua" w:hAnsi="Book Antiqua"/>
        </w:rPr>
        <w:t>independent leukemia event.</w:t>
      </w:r>
      <w:r w:rsidR="00607DA8" w:rsidRPr="009B04A5">
        <w:rPr>
          <w:rFonts w:ascii="Book Antiqua" w:hAnsi="Book Antiqua"/>
        </w:rPr>
        <w:t xml:space="preserve"> </w:t>
      </w:r>
      <w:r w:rsidR="00AE37C0" w:rsidRPr="009B04A5">
        <w:rPr>
          <w:rFonts w:ascii="Book Antiqua" w:hAnsi="Book Antiqua"/>
        </w:rPr>
        <w:t xml:space="preserve">Increased </w:t>
      </w:r>
      <w:r w:rsidR="00607DA8" w:rsidRPr="009B04A5">
        <w:rPr>
          <w:rFonts w:ascii="Book Antiqua" w:hAnsi="Book Antiqua"/>
        </w:rPr>
        <w:t xml:space="preserve">miR-125b-2 </w:t>
      </w:r>
      <w:r w:rsidR="00AE37C0" w:rsidRPr="009B04A5">
        <w:rPr>
          <w:rFonts w:ascii="Book Antiqua" w:hAnsi="Book Antiqua"/>
        </w:rPr>
        <w:t>levels</w:t>
      </w:r>
      <w:r w:rsidR="00607DA8" w:rsidRPr="009B04A5">
        <w:rPr>
          <w:rFonts w:ascii="Book Antiqua" w:hAnsi="Book Antiqua"/>
        </w:rPr>
        <w:t xml:space="preserve"> </w:t>
      </w:r>
      <w:r w:rsidR="00E957DC" w:rsidRPr="009B04A5">
        <w:rPr>
          <w:rFonts w:ascii="Book Antiqua" w:hAnsi="Book Antiqua"/>
        </w:rPr>
        <w:t xml:space="preserve">protected cells from death. The antiapoptotic activity can be associated with a marked inhibition of caspase 3 activation and the cleavage of its substrate </w:t>
      </w:r>
      <w:r w:rsidR="00E957DC" w:rsidRPr="009B04A5">
        <w:rPr>
          <w:rFonts w:ascii="Book Antiqua" w:hAnsi="Book Antiqua"/>
          <w:i/>
        </w:rPr>
        <w:t>PARP</w:t>
      </w:r>
      <w:r w:rsidR="009C1761" w:rsidRPr="009B04A5">
        <w:rPr>
          <w:rFonts w:ascii="Book Antiqua" w:hAnsi="Book Antiqua"/>
        </w:rPr>
        <w:t xml:space="preserve">. Differentiated expression of </w:t>
      </w:r>
      <w:r w:rsidR="00B343E6" w:rsidRPr="009B04A5">
        <w:rPr>
          <w:rFonts w:ascii="Book Antiqua" w:hAnsi="Book Antiqua"/>
        </w:rPr>
        <w:t>miR</w:t>
      </w:r>
      <w:r w:rsidR="009C1761" w:rsidRPr="009B04A5">
        <w:rPr>
          <w:rFonts w:ascii="Book Antiqua" w:hAnsi="Book Antiqua"/>
        </w:rPr>
        <w:t xml:space="preserve">-125b-2 was also related </w:t>
      </w:r>
      <w:r w:rsidR="00AE37C0" w:rsidRPr="009B04A5">
        <w:rPr>
          <w:rFonts w:ascii="Book Antiqua" w:hAnsi="Book Antiqua"/>
        </w:rPr>
        <w:t>to</w:t>
      </w:r>
      <w:r w:rsidR="009C1761" w:rsidRPr="009B04A5">
        <w:rPr>
          <w:rFonts w:ascii="Book Antiqua" w:hAnsi="Book Antiqua"/>
        </w:rPr>
        <w:t xml:space="preserve"> resistance to antileukemic agents staurosporine and doxorubicin.</w:t>
      </w:r>
    </w:p>
    <w:p w:rsidR="007B304E" w:rsidRPr="009B04A5" w:rsidRDefault="00D173AD" w:rsidP="00C709AE">
      <w:pPr>
        <w:adjustRightInd w:val="0"/>
        <w:snapToGrid w:val="0"/>
        <w:spacing w:line="360" w:lineRule="auto"/>
        <w:ind w:firstLineChars="100" w:firstLine="240"/>
        <w:rPr>
          <w:rFonts w:ascii="Book Antiqua" w:hAnsi="Book Antiqua"/>
        </w:rPr>
      </w:pPr>
      <w:r w:rsidRPr="009B04A5">
        <w:rPr>
          <w:rFonts w:ascii="Book Antiqua" w:hAnsi="Book Antiqua"/>
        </w:rPr>
        <w:t>In</w:t>
      </w:r>
      <w:r w:rsidR="0072484C" w:rsidRPr="009B04A5">
        <w:rPr>
          <w:rFonts w:ascii="Book Antiqua" w:hAnsi="Book Antiqua"/>
        </w:rPr>
        <w:t xml:space="preserve"> a study by</w:t>
      </w:r>
      <w:r w:rsidRPr="009B04A5">
        <w:rPr>
          <w:rFonts w:ascii="Book Antiqua" w:hAnsi="Book Antiqua"/>
        </w:rPr>
        <w:t xml:space="preserve"> Schotte </w:t>
      </w:r>
      <w:r w:rsidR="00783C14" w:rsidRPr="009B04A5">
        <w:rPr>
          <w:rFonts w:ascii="Book Antiqua" w:hAnsi="Book Antiqua"/>
          <w:i/>
        </w:rPr>
        <w:t>et al</w:t>
      </w:r>
      <w:r w:rsidR="000A6432" w:rsidRPr="009B04A5">
        <w:rPr>
          <w:rFonts w:ascii="Book Antiqua" w:hAnsi="Book Antiqua"/>
          <w:vertAlign w:val="superscript"/>
        </w:rPr>
        <w:t>[42]</w:t>
      </w:r>
      <w:r w:rsidR="00C572EC" w:rsidRPr="009B04A5">
        <w:rPr>
          <w:rFonts w:ascii="Book Antiqua" w:hAnsi="Book Antiqua"/>
        </w:rPr>
        <w:t xml:space="preserve">, changes in </w:t>
      </w:r>
      <w:r w:rsidR="00AE37C0" w:rsidRPr="009B04A5">
        <w:rPr>
          <w:rFonts w:ascii="Book Antiqua" w:hAnsi="Book Antiqua"/>
        </w:rPr>
        <w:t xml:space="preserve">the </w:t>
      </w:r>
      <w:r w:rsidR="00C572EC" w:rsidRPr="009B04A5">
        <w:rPr>
          <w:rFonts w:ascii="Book Antiqua" w:hAnsi="Book Antiqua"/>
        </w:rPr>
        <w:t>expression of miR-454 were only related to L-asparaginase resistance, but</w:t>
      </w:r>
      <w:r w:rsidR="00AE37C0" w:rsidRPr="009B04A5">
        <w:rPr>
          <w:rFonts w:ascii="Book Antiqua" w:hAnsi="Book Antiqua"/>
        </w:rPr>
        <w:t xml:space="preserve"> the strong</w:t>
      </w:r>
      <w:r w:rsidR="00C572EC" w:rsidRPr="009B04A5">
        <w:rPr>
          <w:rFonts w:ascii="Book Antiqua" w:hAnsi="Book Antiqua"/>
        </w:rPr>
        <w:t xml:space="preserve"> overexpression </w:t>
      </w:r>
      <w:r w:rsidR="00AE37C0" w:rsidRPr="009B04A5">
        <w:rPr>
          <w:rFonts w:ascii="Book Antiqua" w:hAnsi="Book Antiqua"/>
        </w:rPr>
        <w:t xml:space="preserve">of </w:t>
      </w:r>
      <w:r w:rsidR="0072484C" w:rsidRPr="009B04A5">
        <w:rPr>
          <w:rFonts w:ascii="Book Antiqua" w:hAnsi="Book Antiqua"/>
        </w:rPr>
        <w:t>three</w:t>
      </w:r>
      <w:r w:rsidR="00C572EC" w:rsidRPr="009B04A5">
        <w:rPr>
          <w:rFonts w:ascii="Book Antiqua" w:hAnsi="Book Antiqua"/>
        </w:rPr>
        <w:t xml:space="preserve"> miRs (miR-125b, miR-99a</w:t>
      </w:r>
      <w:r w:rsidR="0072484C" w:rsidRPr="009B04A5">
        <w:rPr>
          <w:rFonts w:ascii="Book Antiqua" w:hAnsi="Book Antiqua"/>
        </w:rPr>
        <w:t>,</w:t>
      </w:r>
      <w:r w:rsidR="00C572EC" w:rsidRPr="009B04A5">
        <w:rPr>
          <w:rFonts w:ascii="Book Antiqua" w:hAnsi="Book Antiqua"/>
        </w:rPr>
        <w:t xml:space="preserve"> and miR-100) </w:t>
      </w:r>
      <w:r w:rsidR="00AE37C0" w:rsidRPr="009B04A5">
        <w:rPr>
          <w:rFonts w:ascii="Book Antiqua" w:hAnsi="Book Antiqua"/>
        </w:rPr>
        <w:t>was correlated</w:t>
      </w:r>
      <w:r w:rsidR="00C572EC" w:rsidRPr="009B04A5">
        <w:rPr>
          <w:rFonts w:ascii="Book Antiqua" w:hAnsi="Book Antiqua"/>
        </w:rPr>
        <w:t xml:space="preserve"> with vincristine</w:t>
      </w:r>
      <w:r w:rsidR="0072484C" w:rsidRPr="009B04A5">
        <w:rPr>
          <w:rFonts w:ascii="Book Antiqua" w:hAnsi="Book Antiqua"/>
        </w:rPr>
        <w:t xml:space="preserve"> (VCR)</w:t>
      </w:r>
      <w:r w:rsidR="00C572EC" w:rsidRPr="009B04A5">
        <w:rPr>
          <w:rFonts w:ascii="Book Antiqua" w:hAnsi="Book Antiqua"/>
        </w:rPr>
        <w:t xml:space="preserve"> and daunorubicin resistance. The strong association of </w:t>
      </w:r>
      <w:r w:rsidR="00E9425B" w:rsidRPr="009B04A5">
        <w:rPr>
          <w:rFonts w:ascii="Book Antiqua" w:hAnsi="Book Antiqua"/>
        </w:rPr>
        <w:t>miR</w:t>
      </w:r>
      <w:r w:rsidR="00C572EC" w:rsidRPr="009B04A5">
        <w:rPr>
          <w:rFonts w:ascii="Book Antiqua" w:hAnsi="Book Antiqua"/>
        </w:rPr>
        <w:t xml:space="preserve">-125b upregulation was especially evident in </w:t>
      </w:r>
      <w:r w:rsidR="0046739E" w:rsidRPr="009B04A5">
        <w:rPr>
          <w:rFonts w:ascii="Book Antiqua" w:hAnsi="Book Antiqua"/>
          <w:i/>
        </w:rPr>
        <w:t>ETV6</w:t>
      </w:r>
      <w:r w:rsidR="0046739E" w:rsidRPr="009B04A5">
        <w:rPr>
          <w:rFonts w:ascii="Book Antiqua" w:hAnsi="Book Antiqua"/>
        </w:rPr>
        <w:t>-</w:t>
      </w:r>
      <w:r w:rsidR="0046739E" w:rsidRPr="009B04A5">
        <w:rPr>
          <w:rFonts w:ascii="Book Antiqua" w:hAnsi="Book Antiqua"/>
          <w:i/>
        </w:rPr>
        <w:t>RUNX1</w:t>
      </w:r>
      <w:r w:rsidR="00CE0C4C" w:rsidRPr="009B04A5">
        <w:rPr>
          <w:rFonts w:ascii="Book Antiqua" w:hAnsi="Book Antiqua"/>
        </w:rPr>
        <w:t xml:space="preserve">+ </w:t>
      </w:r>
      <w:r w:rsidR="0046739E" w:rsidRPr="009B04A5">
        <w:rPr>
          <w:rFonts w:ascii="Book Antiqua" w:hAnsi="Book Antiqua"/>
        </w:rPr>
        <w:t>patients, who were VCR-resistant</w:t>
      </w:r>
      <w:r w:rsidR="000A6432" w:rsidRPr="009B04A5">
        <w:rPr>
          <w:rFonts w:ascii="Book Antiqua" w:hAnsi="Book Antiqua"/>
          <w:vertAlign w:val="superscript"/>
        </w:rPr>
        <w:t>[42]</w:t>
      </w:r>
      <w:r w:rsidR="0046739E" w:rsidRPr="009B04A5">
        <w:rPr>
          <w:rFonts w:ascii="Book Antiqua" w:hAnsi="Book Antiqua"/>
        </w:rPr>
        <w:t xml:space="preserve">. </w:t>
      </w:r>
      <w:r w:rsidR="00612620" w:rsidRPr="009B04A5">
        <w:rPr>
          <w:rFonts w:ascii="Book Antiqua" w:hAnsi="Book Antiqua"/>
        </w:rPr>
        <w:t xml:space="preserve">The overexpression of miR-125b </w:t>
      </w:r>
      <w:r w:rsidR="00AE37C0" w:rsidRPr="009B04A5">
        <w:rPr>
          <w:rFonts w:ascii="Book Antiqua" w:hAnsi="Book Antiqua"/>
        </w:rPr>
        <w:t>was</w:t>
      </w:r>
      <w:r w:rsidR="00612620" w:rsidRPr="009B04A5">
        <w:rPr>
          <w:rFonts w:ascii="Book Antiqua" w:hAnsi="Book Antiqua"/>
        </w:rPr>
        <w:t xml:space="preserve"> linked </w:t>
      </w:r>
      <w:r w:rsidR="00A46009" w:rsidRPr="009B04A5">
        <w:rPr>
          <w:rFonts w:ascii="Book Antiqua" w:hAnsi="Book Antiqua"/>
        </w:rPr>
        <w:t xml:space="preserve">to </w:t>
      </w:r>
      <w:r w:rsidR="00612620" w:rsidRPr="009B04A5">
        <w:rPr>
          <w:rFonts w:ascii="Book Antiqua" w:hAnsi="Book Antiqua"/>
        </w:rPr>
        <w:t xml:space="preserve">inhibition of VCR-induced apoptosis and induction </w:t>
      </w:r>
      <w:r w:rsidR="00AE37C0" w:rsidRPr="009B04A5">
        <w:rPr>
          <w:rFonts w:ascii="Book Antiqua" w:hAnsi="Book Antiqua"/>
        </w:rPr>
        <w:t xml:space="preserve">of </w:t>
      </w:r>
      <w:r w:rsidR="00612620" w:rsidRPr="009B04A5">
        <w:rPr>
          <w:rFonts w:ascii="Book Antiqua" w:hAnsi="Book Antiqua"/>
        </w:rPr>
        <w:t xml:space="preserve">the proliferation of CD34+ cells. Schotte </w:t>
      </w:r>
      <w:r w:rsidR="00783C14" w:rsidRPr="009B04A5">
        <w:rPr>
          <w:rFonts w:ascii="Book Antiqua" w:hAnsi="Book Antiqua"/>
          <w:i/>
        </w:rPr>
        <w:t>et al</w:t>
      </w:r>
      <w:r w:rsidR="000A6432" w:rsidRPr="009B04A5">
        <w:rPr>
          <w:rFonts w:ascii="Book Antiqua" w:hAnsi="Book Antiqua"/>
          <w:vertAlign w:val="superscript"/>
        </w:rPr>
        <w:t>[42]</w:t>
      </w:r>
      <w:r w:rsidR="00D2446F" w:rsidRPr="009B04A5">
        <w:rPr>
          <w:rFonts w:ascii="Book Antiqua" w:hAnsi="Book Antiqua"/>
        </w:rPr>
        <w:t xml:space="preserve"> noticed that the interference of miR-125b function might provide a way to sensitize patients to </w:t>
      </w:r>
      <w:r w:rsidR="0072484C" w:rsidRPr="009B04A5">
        <w:rPr>
          <w:rFonts w:ascii="Book Antiqua" w:hAnsi="Book Antiqua"/>
        </w:rPr>
        <w:t>VCR</w:t>
      </w:r>
      <w:r w:rsidR="00D2446F" w:rsidRPr="009B04A5">
        <w:rPr>
          <w:rFonts w:ascii="Book Antiqua" w:hAnsi="Book Antiqua"/>
        </w:rPr>
        <w:t>. Moreover</w:t>
      </w:r>
      <w:r w:rsidR="00AE37C0" w:rsidRPr="009B04A5">
        <w:rPr>
          <w:rFonts w:ascii="Book Antiqua" w:hAnsi="Book Antiqua"/>
        </w:rPr>
        <w:t>,</w:t>
      </w:r>
      <w:r w:rsidR="00D2446F" w:rsidRPr="009B04A5">
        <w:rPr>
          <w:rFonts w:ascii="Book Antiqua" w:hAnsi="Book Antiqua"/>
        </w:rPr>
        <w:t xml:space="preserve"> researchers identified 14 miR signature</w:t>
      </w:r>
      <w:r w:rsidR="00A46009" w:rsidRPr="009B04A5">
        <w:rPr>
          <w:rFonts w:ascii="Book Antiqua" w:hAnsi="Book Antiqua"/>
        </w:rPr>
        <w:t>s</w:t>
      </w:r>
      <w:r w:rsidR="00D2446F" w:rsidRPr="009B04A5">
        <w:rPr>
          <w:rFonts w:ascii="Book Antiqua" w:hAnsi="Book Antiqua"/>
        </w:rPr>
        <w:t xml:space="preserve"> (</w:t>
      </w:r>
      <w:r w:rsidR="005A7DB6" w:rsidRPr="009B04A5">
        <w:rPr>
          <w:rFonts w:ascii="Book Antiqua" w:hAnsi="Book Antiqua"/>
        </w:rPr>
        <w:t>independent of ALL subtyp</w:t>
      </w:r>
      <w:r w:rsidR="0077603A" w:rsidRPr="009B04A5">
        <w:rPr>
          <w:rFonts w:ascii="Book Antiqua" w:hAnsi="Book Antiqua"/>
        </w:rPr>
        <w:t>e</w:t>
      </w:r>
      <w:r w:rsidR="005A7DB6" w:rsidRPr="009B04A5">
        <w:rPr>
          <w:rFonts w:ascii="Book Antiqua" w:hAnsi="Book Antiqua"/>
        </w:rPr>
        <w:t xml:space="preserve">) </w:t>
      </w:r>
      <w:r w:rsidR="00A54AA3" w:rsidRPr="009B04A5">
        <w:rPr>
          <w:rFonts w:ascii="Book Antiqua" w:hAnsi="Book Antiqua"/>
        </w:rPr>
        <w:t xml:space="preserve">useful for prognosis and prediction in ALL. </w:t>
      </w:r>
      <w:r w:rsidR="00D25049" w:rsidRPr="009B04A5">
        <w:rPr>
          <w:rFonts w:ascii="Book Antiqua" w:hAnsi="Book Antiqua"/>
        </w:rPr>
        <w:t>Among others, miR-10a, miR-134</w:t>
      </w:r>
      <w:r w:rsidR="0072484C" w:rsidRPr="009B04A5">
        <w:rPr>
          <w:rFonts w:ascii="Book Antiqua" w:hAnsi="Book Antiqua"/>
        </w:rPr>
        <w:t>,</w:t>
      </w:r>
      <w:r w:rsidR="00D25049" w:rsidRPr="009B04A5">
        <w:rPr>
          <w:rFonts w:ascii="Book Antiqua" w:hAnsi="Book Antiqua"/>
        </w:rPr>
        <w:t xml:space="preserve"> and miR-214 were </w:t>
      </w:r>
      <w:r w:rsidR="00AE37C0" w:rsidRPr="009B04A5">
        <w:rPr>
          <w:rFonts w:ascii="Book Antiqua" w:hAnsi="Book Antiqua"/>
        </w:rPr>
        <w:t>correlated</w:t>
      </w:r>
      <w:r w:rsidR="00D25049" w:rsidRPr="009B04A5">
        <w:rPr>
          <w:rFonts w:ascii="Book Antiqua" w:hAnsi="Book Antiqua"/>
        </w:rPr>
        <w:t xml:space="preserve"> with a favorable outcome, </w:t>
      </w:r>
      <w:r w:rsidR="00D25049" w:rsidRPr="009B04A5">
        <w:rPr>
          <w:rStyle w:val="tlid-translation"/>
          <w:rFonts w:ascii="Book Antiqua" w:hAnsi="Book Antiqua"/>
        </w:rPr>
        <w:t xml:space="preserve">which confirmed earlier reports linking these miRs with </w:t>
      </w:r>
      <w:r w:rsidR="00E96DF4" w:rsidRPr="009B04A5">
        <w:rPr>
          <w:rFonts w:ascii="Book Antiqua" w:hAnsi="Book Antiqua"/>
        </w:rPr>
        <w:t xml:space="preserve">caspase-dependent </w:t>
      </w:r>
      <w:r w:rsidR="00AE37C0" w:rsidRPr="009B04A5">
        <w:rPr>
          <w:rStyle w:val="tlid-translation"/>
          <w:rFonts w:ascii="Book Antiqua" w:hAnsi="Book Antiqua"/>
        </w:rPr>
        <w:t>proapoptotic</w:t>
      </w:r>
      <w:r w:rsidR="005C424A" w:rsidRPr="009B04A5">
        <w:rPr>
          <w:rStyle w:val="tlid-translation"/>
          <w:rFonts w:ascii="Book Antiqua" w:hAnsi="Book Antiqua"/>
        </w:rPr>
        <w:t xml:space="preserve"> activity of miR-10a</w:t>
      </w:r>
      <w:r w:rsidR="00455C00" w:rsidRPr="009B04A5">
        <w:rPr>
          <w:rStyle w:val="tlid-translation"/>
          <w:rFonts w:ascii="Book Antiqua" w:hAnsi="Book Antiqua"/>
          <w:vertAlign w:val="superscript"/>
        </w:rPr>
        <w:t>[136]</w:t>
      </w:r>
      <w:r w:rsidR="00AA547A" w:rsidRPr="009B04A5">
        <w:rPr>
          <w:rStyle w:val="tlid-translation"/>
          <w:rFonts w:ascii="Book Antiqua" w:hAnsi="Book Antiqua"/>
        </w:rPr>
        <w:t xml:space="preserve">, inhibition of </w:t>
      </w:r>
      <w:r w:rsidR="000300DA" w:rsidRPr="009B04A5">
        <w:rPr>
          <w:rStyle w:val="element-citation"/>
          <w:rFonts w:ascii="Book Antiqua" w:hAnsi="Book Antiqua"/>
          <w:i/>
        </w:rPr>
        <w:t>USF2</w:t>
      </w:r>
      <w:r w:rsidR="000300DA" w:rsidRPr="009B04A5">
        <w:rPr>
          <w:rStyle w:val="element-citation"/>
          <w:rFonts w:ascii="Book Antiqua" w:hAnsi="Book Antiqua"/>
        </w:rPr>
        <w:t xml:space="preserve">-mediated </w:t>
      </w:r>
      <w:r w:rsidR="00AA547A" w:rsidRPr="009B04A5">
        <w:rPr>
          <w:rStyle w:val="tlid-translation"/>
          <w:rFonts w:ascii="Book Antiqua" w:hAnsi="Book Antiqua"/>
        </w:rPr>
        <w:t xml:space="preserve">cell proliferation by </w:t>
      </w:r>
      <w:r w:rsidR="005C424A" w:rsidRPr="009B04A5">
        <w:rPr>
          <w:rFonts w:ascii="Book Antiqua" w:hAnsi="Book Antiqua"/>
        </w:rPr>
        <w:t>miR-10a and miR-214</w:t>
      </w:r>
      <w:r w:rsidR="00455C00" w:rsidRPr="009B04A5">
        <w:rPr>
          <w:rFonts w:ascii="Book Antiqua" w:hAnsi="Book Antiqua"/>
          <w:vertAlign w:val="superscript"/>
        </w:rPr>
        <w:t>[137,138]</w:t>
      </w:r>
      <w:r w:rsidR="0072484C" w:rsidRPr="009B04A5">
        <w:rPr>
          <w:rStyle w:val="tlid-translation"/>
          <w:rFonts w:ascii="Book Antiqua" w:hAnsi="Book Antiqua"/>
        </w:rPr>
        <w:t xml:space="preserve">, </w:t>
      </w:r>
      <w:r w:rsidR="00AA547A" w:rsidRPr="009B04A5">
        <w:rPr>
          <w:rStyle w:val="tlid-translation"/>
          <w:rFonts w:ascii="Book Antiqua" w:hAnsi="Book Antiqua"/>
        </w:rPr>
        <w:t xml:space="preserve">and oncogene </w:t>
      </w:r>
      <w:r w:rsidR="00AA547A" w:rsidRPr="009B04A5">
        <w:rPr>
          <w:rStyle w:val="tlid-translation"/>
          <w:rFonts w:ascii="Book Antiqua" w:hAnsi="Book Antiqua"/>
          <w:i/>
        </w:rPr>
        <w:t>SOX2</w:t>
      </w:r>
      <w:r w:rsidR="00AA547A" w:rsidRPr="009B04A5">
        <w:rPr>
          <w:rStyle w:val="tlid-translation"/>
          <w:rFonts w:ascii="Book Antiqua" w:hAnsi="Book Antiqua"/>
        </w:rPr>
        <w:t xml:space="preserve"> downregulation by miR-134</w:t>
      </w:r>
      <w:r w:rsidR="00455C00" w:rsidRPr="009B04A5">
        <w:rPr>
          <w:rStyle w:val="tlid-translation"/>
          <w:rFonts w:ascii="Book Antiqua" w:hAnsi="Book Antiqua"/>
          <w:vertAlign w:val="superscript"/>
        </w:rPr>
        <w:t>[139]</w:t>
      </w:r>
      <w:r w:rsidR="00B97E31" w:rsidRPr="009B04A5">
        <w:rPr>
          <w:rStyle w:val="tlid-translation"/>
          <w:rFonts w:ascii="Book Antiqua" w:hAnsi="Book Antiqua"/>
        </w:rPr>
        <w:t xml:space="preserve">. </w:t>
      </w:r>
      <w:r w:rsidR="00B97E31" w:rsidRPr="009B04A5">
        <w:rPr>
          <w:rFonts w:ascii="Book Antiqua" w:hAnsi="Book Antiqua"/>
        </w:rPr>
        <w:t xml:space="preserve">Differentiated expression of six </w:t>
      </w:r>
      <w:r w:rsidR="00AE37C0" w:rsidRPr="009B04A5">
        <w:rPr>
          <w:rFonts w:ascii="Book Antiqua" w:hAnsi="Book Antiqua"/>
        </w:rPr>
        <w:t>miRNAs</w:t>
      </w:r>
      <w:r w:rsidR="00B97E31" w:rsidRPr="009B04A5">
        <w:rPr>
          <w:rFonts w:ascii="Book Antiqua" w:hAnsi="Book Antiqua"/>
        </w:rPr>
        <w:t xml:space="preserve"> (miR-33, miR-215, miR-369-5p, miR-496, miR-518d, and miR-599) </w:t>
      </w:r>
      <w:r w:rsidR="00AE37C0" w:rsidRPr="009B04A5">
        <w:rPr>
          <w:rFonts w:ascii="Book Antiqua" w:hAnsi="Book Antiqua"/>
        </w:rPr>
        <w:t>was</w:t>
      </w:r>
      <w:r w:rsidR="00B97E31" w:rsidRPr="009B04A5">
        <w:rPr>
          <w:rFonts w:ascii="Book Antiqua" w:hAnsi="Book Antiqua"/>
        </w:rPr>
        <w:t xml:space="preserve"> related to an unfavorable long-term clinical outcome in ALL. Schotte </w:t>
      </w:r>
      <w:r w:rsidR="00783C14" w:rsidRPr="009B04A5">
        <w:rPr>
          <w:rFonts w:ascii="Book Antiqua" w:hAnsi="Book Antiqua"/>
          <w:i/>
        </w:rPr>
        <w:t>et al</w:t>
      </w:r>
      <w:r w:rsidR="000A6432" w:rsidRPr="009B04A5">
        <w:rPr>
          <w:rFonts w:ascii="Book Antiqua" w:hAnsi="Book Antiqua"/>
          <w:vertAlign w:val="superscript"/>
        </w:rPr>
        <w:t>[42]</w:t>
      </w:r>
      <w:r w:rsidR="00FE4D8D" w:rsidRPr="009B04A5">
        <w:rPr>
          <w:rFonts w:ascii="Book Antiqua" w:hAnsi="Book Antiqua"/>
        </w:rPr>
        <w:t xml:space="preserve"> colleagues selected </w:t>
      </w:r>
      <w:r w:rsidR="0072484C" w:rsidRPr="009B04A5">
        <w:rPr>
          <w:rFonts w:ascii="Book Antiqua" w:hAnsi="Book Antiqua"/>
        </w:rPr>
        <w:t>two</w:t>
      </w:r>
      <w:r w:rsidR="00FE4D8D" w:rsidRPr="009B04A5">
        <w:rPr>
          <w:rFonts w:ascii="Book Antiqua" w:hAnsi="Book Antiqua"/>
        </w:rPr>
        <w:t xml:space="preserve"> miRs as potential targets for targeted therapy. They noted that it may be of clinical interest</w:t>
      </w:r>
      <w:r w:rsidR="00385993" w:rsidRPr="009B04A5">
        <w:rPr>
          <w:rFonts w:ascii="Book Antiqua" w:hAnsi="Book Antiqua"/>
        </w:rPr>
        <w:t>.</w:t>
      </w:r>
      <w:r w:rsidR="00FE4D8D" w:rsidRPr="009B04A5">
        <w:rPr>
          <w:rFonts w:ascii="Book Antiqua" w:hAnsi="Book Antiqua"/>
        </w:rPr>
        <w:t xml:space="preserve"> </w:t>
      </w:r>
      <w:r w:rsidR="00AE37C0" w:rsidRPr="009B04A5">
        <w:rPr>
          <w:rFonts w:ascii="Book Antiqua" w:hAnsi="Book Antiqua"/>
        </w:rPr>
        <w:t>The use</w:t>
      </w:r>
      <w:r w:rsidR="00FE4D8D" w:rsidRPr="009B04A5">
        <w:rPr>
          <w:rFonts w:ascii="Book Antiqua" w:hAnsi="Book Antiqua"/>
        </w:rPr>
        <w:t xml:space="preserve"> of</w:t>
      </w:r>
      <w:r w:rsidR="00AE37C0" w:rsidRPr="009B04A5">
        <w:rPr>
          <w:rFonts w:ascii="Book Antiqua" w:hAnsi="Book Antiqua"/>
        </w:rPr>
        <w:t xml:space="preserve"> a</w:t>
      </w:r>
      <w:r w:rsidR="00FE4D8D" w:rsidRPr="009B04A5">
        <w:rPr>
          <w:rFonts w:ascii="Book Antiqua" w:hAnsi="Book Antiqua"/>
        </w:rPr>
        <w:t xml:space="preserve"> demethylating agent increase</w:t>
      </w:r>
      <w:r w:rsidR="0072484C" w:rsidRPr="009B04A5">
        <w:rPr>
          <w:rFonts w:ascii="Book Antiqua" w:hAnsi="Book Antiqua"/>
        </w:rPr>
        <w:t>d</w:t>
      </w:r>
      <w:r w:rsidR="00FE4D8D" w:rsidRPr="009B04A5">
        <w:rPr>
          <w:rFonts w:ascii="Book Antiqua" w:hAnsi="Book Antiqua"/>
        </w:rPr>
        <w:t xml:space="preserve"> the level of miR-10a in MLL-rearranged patients</w:t>
      </w:r>
      <w:r w:rsidR="000A6432" w:rsidRPr="009B04A5">
        <w:rPr>
          <w:rFonts w:ascii="Book Antiqua" w:hAnsi="Book Antiqua"/>
          <w:vertAlign w:val="superscript"/>
        </w:rPr>
        <w:t>[42,99]</w:t>
      </w:r>
      <w:r w:rsidR="00133988" w:rsidRPr="009B04A5">
        <w:rPr>
          <w:rFonts w:ascii="Book Antiqua" w:hAnsi="Book Antiqua"/>
        </w:rPr>
        <w:t>,</w:t>
      </w:r>
      <w:r w:rsidR="00F01A66" w:rsidRPr="009B04A5">
        <w:rPr>
          <w:rFonts w:ascii="Book Antiqua" w:hAnsi="Book Antiqua"/>
        </w:rPr>
        <w:t xml:space="preserve"> and</w:t>
      </w:r>
      <w:r w:rsidR="00AE37C0" w:rsidRPr="009B04A5">
        <w:rPr>
          <w:rFonts w:ascii="Book Antiqua" w:hAnsi="Book Antiqua"/>
        </w:rPr>
        <w:t xml:space="preserve"> the</w:t>
      </w:r>
      <w:r w:rsidR="00F01A66" w:rsidRPr="009B04A5">
        <w:rPr>
          <w:rFonts w:ascii="Book Antiqua" w:hAnsi="Book Antiqua"/>
        </w:rPr>
        <w:t xml:space="preserve"> application of antagomirs decrease</w:t>
      </w:r>
      <w:r w:rsidR="00133988" w:rsidRPr="009B04A5">
        <w:rPr>
          <w:rFonts w:ascii="Book Antiqua" w:hAnsi="Book Antiqua"/>
        </w:rPr>
        <w:t>d</w:t>
      </w:r>
      <w:r w:rsidR="00F01A66" w:rsidRPr="009B04A5">
        <w:rPr>
          <w:rFonts w:ascii="Book Antiqua" w:hAnsi="Book Antiqua"/>
        </w:rPr>
        <w:t xml:space="preserve"> the level of overexpressed miRNA in poor prognosis samples (</w:t>
      </w:r>
      <w:r w:rsidR="00F01A66" w:rsidRPr="009B04A5">
        <w:rPr>
          <w:rFonts w:ascii="Book Antiqua" w:hAnsi="Book Antiqua"/>
          <w:i/>
        </w:rPr>
        <w:t>e</w:t>
      </w:r>
      <w:r w:rsidR="00AE37C0" w:rsidRPr="009B04A5">
        <w:rPr>
          <w:rFonts w:ascii="Book Antiqua" w:hAnsi="Book Antiqua"/>
          <w:i/>
        </w:rPr>
        <w:t>.</w:t>
      </w:r>
      <w:r w:rsidR="00F01A66" w:rsidRPr="009B04A5">
        <w:rPr>
          <w:rFonts w:ascii="Book Antiqua" w:hAnsi="Book Antiqua"/>
          <w:i/>
        </w:rPr>
        <w:t>g</w:t>
      </w:r>
      <w:r w:rsidR="00AE37C0" w:rsidRPr="009B04A5">
        <w:rPr>
          <w:rFonts w:ascii="Book Antiqua" w:hAnsi="Book Antiqua"/>
        </w:rPr>
        <w:t>.</w:t>
      </w:r>
      <w:r w:rsidR="00F01A66" w:rsidRPr="009B04A5">
        <w:rPr>
          <w:rFonts w:ascii="Book Antiqua" w:hAnsi="Book Antiqua"/>
        </w:rPr>
        <w:t>, miR-33)</w:t>
      </w:r>
      <w:r w:rsidR="000A6432" w:rsidRPr="009B04A5">
        <w:rPr>
          <w:rFonts w:ascii="Book Antiqua" w:hAnsi="Book Antiqua"/>
          <w:vertAlign w:val="superscript"/>
        </w:rPr>
        <w:t>[42]</w:t>
      </w:r>
      <w:r w:rsidR="00F63D49" w:rsidRPr="009B04A5">
        <w:rPr>
          <w:rFonts w:ascii="Book Antiqua" w:hAnsi="Book Antiqua"/>
        </w:rPr>
        <w:t>.</w:t>
      </w:r>
    </w:p>
    <w:p w:rsidR="007B304E" w:rsidRPr="009B04A5" w:rsidRDefault="005B6519" w:rsidP="00C709AE">
      <w:pPr>
        <w:adjustRightInd w:val="0"/>
        <w:snapToGrid w:val="0"/>
        <w:spacing w:line="360" w:lineRule="auto"/>
        <w:ind w:firstLineChars="100" w:firstLine="240"/>
        <w:rPr>
          <w:rStyle w:val="tlid-translation"/>
          <w:rFonts w:ascii="Book Antiqua" w:hAnsi="Book Antiqua"/>
        </w:rPr>
      </w:pPr>
      <w:r w:rsidRPr="009B04A5">
        <w:rPr>
          <w:rFonts w:ascii="Book Antiqua" w:hAnsi="Book Antiqua"/>
        </w:rPr>
        <w:t xml:space="preserve">Akbari Moqadam </w:t>
      </w:r>
      <w:r w:rsidR="00783C14" w:rsidRPr="009B04A5">
        <w:rPr>
          <w:rFonts w:ascii="Book Antiqua" w:hAnsi="Book Antiqua"/>
          <w:i/>
        </w:rPr>
        <w:t>et al</w:t>
      </w:r>
      <w:r w:rsidR="00455C00" w:rsidRPr="009B04A5">
        <w:rPr>
          <w:rFonts w:ascii="Book Antiqua" w:hAnsi="Book Antiqua"/>
          <w:vertAlign w:val="superscript"/>
        </w:rPr>
        <w:t>[140]</w:t>
      </w:r>
      <w:r w:rsidR="00E837CF" w:rsidRPr="009B04A5">
        <w:rPr>
          <w:rFonts w:ascii="Book Antiqua" w:hAnsi="Book Antiqua"/>
        </w:rPr>
        <w:t xml:space="preserve"> analyzed miR-125b, miR-99a, and miR-100 expression </w:t>
      </w:r>
      <w:r w:rsidR="00AE37C0" w:rsidRPr="009B04A5">
        <w:rPr>
          <w:rFonts w:ascii="Book Antiqua" w:hAnsi="Book Antiqua"/>
        </w:rPr>
        <w:t>levels</w:t>
      </w:r>
      <w:r w:rsidR="00E837CF" w:rsidRPr="009B04A5">
        <w:rPr>
          <w:rFonts w:ascii="Book Antiqua" w:hAnsi="Book Antiqua"/>
        </w:rPr>
        <w:t xml:space="preserve"> in correlation with </w:t>
      </w:r>
      <w:r w:rsidR="0072484C" w:rsidRPr="009B04A5">
        <w:rPr>
          <w:rFonts w:ascii="Book Antiqua" w:hAnsi="Book Antiqua"/>
        </w:rPr>
        <w:t xml:space="preserve">VCR </w:t>
      </w:r>
      <w:r w:rsidR="00E837CF" w:rsidRPr="009B04A5">
        <w:rPr>
          <w:rFonts w:ascii="Book Antiqua" w:hAnsi="Book Antiqua"/>
        </w:rPr>
        <w:t xml:space="preserve">resistance in </w:t>
      </w:r>
      <w:r w:rsidR="00E837CF" w:rsidRPr="009B04A5">
        <w:rPr>
          <w:rFonts w:ascii="Book Antiqua" w:hAnsi="Book Antiqua"/>
          <w:i/>
        </w:rPr>
        <w:t>ETV6</w:t>
      </w:r>
      <w:r w:rsidR="00E837CF" w:rsidRPr="009B04A5">
        <w:rPr>
          <w:rFonts w:ascii="Book Antiqua" w:hAnsi="Book Antiqua"/>
        </w:rPr>
        <w:t>-</w:t>
      </w:r>
      <w:r w:rsidR="00E837CF" w:rsidRPr="009B04A5">
        <w:rPr>
          <w:rFonts w:ascii="Book Antiqua" w:hAnsi="Book Antiqua"/>
          <w:i/>
        </w:rPr>
        <w:t>RUNX1</w:t>
      </w:r>
      <w:r w:rsidR="00BE6CC3" w:rsidRPr="009B04A5">
        <w:rPr>
          <w:rFonts w:ascii="Book Antiqua" w:hAnsi="Book Antiqua"/>
        </w:rPr>
        <w:t>+ Reh cells. Only</w:t>
      </w:r>
      <w:r w:rsidR="00AE37C0" w:rsidRPr="009B04A5">
        <w:rPr>
          <w:rFonts w:ascii="Book Antiqua" w:hAnsi="Book Antiqua"/>
        </w:rPr>
        <w:t xml:space="preserve"> the</w:t>
      </w:r>
      <w:r w:rsidR="00BE6CC3" w:rsidRPr="009B04A5">
        <w:rPr>
          <w:rFonts w:ascii="Book Antiqua" w:hAnsi="Book Antiqua"/>
        </w:rPr>
        <w:t xml:space="preserve"> combination set of miRs influenced </w:t>
      </w:r>
      <w:r w:rsidR="00AE37C0" w:rsidRPr="009B04A5">
        <w:rPr>
          <w:rFonts w:ascii="Book Antiqua" w:hAnsi="Book Antiqua"/>
        </w:rPr>
        <w:t xml:space="preserve">cell </w:t>
      </w:r>
      <w:r w:rsidR="00BE6CC3" w:rsidRPr="009B04A5">
        <w:rPr>
          <w:rFonts w:ascii="Book Antiqua" w:hAnsi="Book Antiqua"/>
        </w:rPr>
        <w:t xml:space="preserve">sensitivity to drug administration. MiRNA </w:t>
      </w:r>
      <w:r w:rsidR="00BE6CC3" w:rsidRPr="009B04A5">
        <w:rPr>
          <w:rFonts w:ascii="Book Antiqua" w:hAnsi="Book Antiqua"/>
        </w:rPr>
        <w:lastRenderedPageBreak/>
        <w:t xml:space="preserve">overexpression resulted </w:t>
      </w:r>
      <w:r w:rsidR="00AE37C0" w:rsidRPr="009B04A5">
        <w:rPr>
          <w:rFonts w:ascii="Book Antiqua" w:hAnsi="Book Antiqua"/>
        </w:rPr>
        <w:t>in</w:t>
      </w:r>
      <w:r w:rsidR="00BE6CC3" w:rsidRPr="009B04A5">
        <w:rPr>
          <w:rFonts w:ascii="Book Antiqua" w:hAnsi="Book Antiqua"/>
        </w:rPr>
        <w:t xml:space="preserve"> lower expression of their </w:t>
      </w:r>
      <w:r w:rsidR="00450CEB" w:rsidRPr="009B04A5">
        <w:rPr>
          <w:rFonts w:ascii="Book Antiqua" w:hAnsi="Book Antiqua"/>
        </w:rPr>
        <w:t>directly regulated</w:t>
      </w:r>
      <w:r w:rsidR="000D50C7" w:rsidRPr="009B04A5">
        <w:rPr>
          <w:rFonts w:ascii="Book Antiqua" w:hAnsi="Book Antiqua"/>
        </w:rPr>
        <w:t xml:space="preserve"> target genes (</w:t>
      </w:r>
      <w:r w:rsidR="000D50C7" w:rsidRPr="009B04A5">
        <w:rPr>
          <w:rFonts w:ascii="Book Antiqua" w:hAnsi="Book Antiqua"/>
          <w:i/>
        </w:rPr>
        <w:t>DNTT</w:t>
      </w:r>
      <w:r w:rsidR="000D50C7" w:rsidRPr="009B04A5">
        <w:rPr>
          <w:rFonts w:ascii="Book Antiqua" w:hAnsi="Book Antiqua"/>
        </w:rPr>
        <w:t xml:space="preserve">, </w:t>
      </w:r>
      <w:r w:rsidR="000D50C7" w:rsidRPr="009B04A5">
        <w:rPr>
          <w:rFonts w:ascii="Book Antiqua" w:hAnsi="Book Antiqua"/>
          <w:i/>
        </w:rPr>
        <w:t>NUCKS1</w:t>
      </w:r>
      <w:r w:rsidR="000D50C7" w:rsidRPr="009B04A5">
        <w:rPr>
          <w:rFonts w:ascii="Book Antiqua" w:hAnsi="Book Antiqua"/>
        </w:rPr>
        <w:t xml:space="preserve">, </w:t>
      </w:r>
      <w:r w:rsidR="000D50C7" w:rsidRPr="009B04A5">
        <w:rPr>
          <w:rFonts w:ascii="Book Antiqua" w:hAnsi="Book Antiqua"/>
          <w:i/>
        </w:rPr>
        <w:t>MALAT1</w:t>
      </w:r>
      <w:r w:rsidR="000D50C7" w:rsidRPr="009B04A5">
        <w:rPr>
          <w:rFonts w:ascii="Book Antiqua" w:hAnsi="Book Antiqua"/>
        </w:rPr>
        <w:t xml:space="preserve">, </w:t>
      </w:r>
      <w:r w:rsidR="000D50C7" w:rsidRPr="009B04A5">
        <w:rPr>
          <w:rFonts w:ascii="Book Antiqua" w:hAnsi="Book Antiqua"/>
          <w:i/>
        </w:rPr>
        <w:t>SNRPE</w:t>
      </w:r>
      <w:r w:rsidR="000D50C7" w:rsidRPr="009B04A5">
        <w:rPr>
          <w:rFonts w:ascii="Book Antiqua" w:hAnsi="Book Antiqua"/>
        </w:rPr>
        <w:t xml:space="preserve">, </w:t>
      </w:r>
      <w:r w:rsidR="000D50C7" w:rsidRPr="009B04A5">
        <w:rPr>
          <w:rFonts w:ascii="Book Antiqua" w:hAnsi="Book Antiqua"/>
          <w:i/>
        </w:rPr>
        <w:t>PNO1</w:t>
      </w:r>
      <w:r w:rsidR="000D50C7" w:rsidRPr="009B04A5">
        <w:rPr>
          <w:rFonts w:ascii="Book Antiqua" w:hAnsi="Book Antiqua"/>
        </w:rPr>
        <w:t xml:space="preserve">, </w:t>
      </w:r>
      <w:r w:rsidR="000D50C7" w:rsidRPr="009B04A5">
        <w:rPr>
          <w:rFonts w:ascii="Book Antiqua" w:hAnsi="Book Antiqua"/>
          <w:i/>
        </w:rPr>
        <w:t>SET</w:t>
      </w:r>
      <w:r w:rsidR="000D50C7" w:rsidRPr="009B04A5">
        <w:rPr>
          <w:rFonts w:ascii="Book Antiqua" w:hAnsi="Book Antiqua"/>
        </w:rPr>
        <w:t xml:space="preserve">, </w:t>
      </w:r>
      <w:r w:rsidR="000D50C7" w:rsidRPr="009B04A5">
        <w:rPr>
          <w:rFonts w:ascii="Book Antiqua" w:hAnsi="Book Antiqua"/>
          <w:i/>
        </w:rPr>
        <w:t>KIF5B</w:t>
      </w:r>
      <w:r w:rsidR="000D50C7" w:rsidRPr="009B04A5">
        <w:rPr>
          <w:rFonts w:ascii="Book Antiqua" w:hAnsi="Book Antiqua"/>
        </w:rPr>
        <w:t xml:space="preserve">, </w:t>
      </w:r>
      <w:r w:rsidR="000D50C7" w:rsidRPr="009B04A5">
        <w:rPr>
          <w:rFonts w:ascii="Book Antiqua" w:hAnsi="Book Antiqua"/>
          <w:i/>
        </w:rPr>
        <w:t>PRPS2</w:t>
      </w:r>
      <w:r w:rsidR="000D50C7" w:rsidRPr="009B04A5">
        <w:rPr>
          <w:rFonts w:ascii="Book Antiqua" w:hAnsi="Book Antiqua"/>
        </w:rPr>
        <w:t xml:space="preserve">, </w:t>
      </w:r>
      <w:r w:rsidR="000D50C7" w:rsidRPr="009B04A5">
        <w:rPr>
          <w:rFonts w:ascii="Book Antiqua" w:hAnsi="Book Antiqua"/>
          <w:i/>
        </w:rPr>
        <w:t>RPS11</w:t>
      </w:r>
      <w:r w:rsidR="000D50C7" w:rsidRPr="009B04A5">
        <w:rPr>
          <w:rFonts w:ascii="Book Antiqua" w:hAnsi="Book Antiqua"/>
        </w:rPr>
        <w:t xml:space="preserve">, </w:t>
      </w:r>
      <w:r w:rsidR="000D50C7" w:rsidRPr="009B04A5">
        <w:rPr>
          <w:rFonts w:ascii="Book Antiqua" w:hAnsi="Book Antiqua"/>
          <w:i/>
        </w:rPr>
        <w:t>RPL38</w:t>
      </w:r>
      <w:r w:rsidR="0072484C" w:rsidRPr="009B04A5">
        <w:rPr>
          <w:rFonts w:ascii="Book Antiqua" w:hAnsi="Book Antiqua"/>
        </w:rPr>
        <w:t xml:space="preserve">, </w:t>
      </w:r>
      <w:r w:rsidR="000D50C7" w:rsidRPr="009B04A5">
        <w:rPr>
          <w:rFonts w:ascii="Book Antiqua" w:hAnsi="Book Antiqua"/>
        </w:rPr>
        <w:t xml:space="preserve">and </w:t>
      </w:r>
      <w:r w:rsidR="000D50C7" w:rsidRPr="009B04A5">
        <w:rPr>
          <w:rFonts w:ascii="Book Antiqua" w:hAnsi="Book Antiqua"/>
          <w:i/>
        </w:rPr>
        <w:t>RPL23A</w:t>
      </w:r>
      <w:r w:rsidR="000D50C7" w:rsidRPr="009B04A5">
        <w:rPr>
          <w:rFonts w:ascii="Book Antiqua" w:hAnsi="Book Antiqua"/>
        </w:rPr>
        <w:t>) in VCR-resistant ALL cells</w:t>
      </w:r>
      <w:r w:rsidR="00455C00" w:rsidRPr="009B04A5">
        <w:rPr>
          <w:rFonts w:ascii="Book Antiqua" w:hAnsi="Book Antiqua"/>
          <w:vertAlign w:val="superscript"/>
        </w:rPr>
        <w:t>[140]</w:t>
      </w:r>
      <w:r w:rsidR="00250267" w:rsidRPr="009B04A5">
        <w:rPr>
          <w:rFonts w:ascii="Book Antiqua" w:hAnsi="Book Antiqua"/>
        </w:rPr>
        <w:t xml:space="preserve">. </w:t>
      </w:r>
      <w:r w:rsidR="0020691E" w:rsidRPr="009B04A5">
        <w:rPr>
          <w:rFonts w:ascii="Book Antiqua" w:hAnsi="Book Antiqua"/>
          <w:i/>
          <w:iCs/>
        </w:rPr>
        <w:t>In vitro</w:t>
      </w:r>
      <w:r w:rsidR="00C138D2" w:rsidRPr="009B04A5">
        <w:rPr>
          <w:rFonts w:ascii="Book Antiqua" w:hAnsi="Book Antiqua"/>
        </w:rPr>
        <w:t>, the restoration of miR-100 and miR-99a in ALL cells suppressed cell proliferation and increased dexamethasone-induced cell apoptosis</w:t>
      </w:r>
      <w:r w:rsidR="000A6432" w:rsidRPr="009B04A5">
        <w:rPr>
          <w:rFonts w:ascii="Book Antiqua" w:hAnsi="Book Antiqua"/>
          <w:vertAlign w:val="superscript"/>
        </w:rPr>
        <w:t>[43]</w:t>
      </w:r>
      <w:r w:rsidR="00250267" w:rsidRPr="009B04A5">
        <w:rPr>
          <w:rFonts w:ascii="Book Antiqua" w:hAnsi="Book Antiqua"/>
        </w:rPr>
        <w:t xml:space="preserve">. </w:t>
      </w:r>
      <w:r w:rsidR="00C138D2" w:rsidRPr="009B04A5">
        <w:rPr>
          <w:rStyle w:val="tlid-translation"/>
          <w:rFonts w:ascii="Book Antiqua" w:hAnsi="Book Antiqua"/>
        </w:rPr>
        <w:t xml:space="preserve">It has also been shown that the sensitivity of </w:t>
      </w:r>
      <w:r w:rsidR="00C138D2" w:rsidRPr="009B04A5">
        <w:rPr>
          <w:rFonts w:ascii="Book Antiqua" w:hAnsi="Book Antiqua"/>
          <w:i/>
        </w:rPr>
        <w:t>BCR-ABL1</w:t>
      </w:r>
      <w:r w:rsidR="00CE0C4C" w:rsidRPr="009B04A5">
        <w:rPr>
          <w:rFonts w:ascii="Book Antiqua" w:hAnsi="Book Antiqua"/>
        </w:rPr>
        <w:t xml:space="preserve">(Ph+) </w:t>
      </w:r>
      <w:r w:rsidR="00C138D2" w:rsidRPr="009B04A5">
        <w:rPr>
          <w:rStyle w:val="tlid-translation"/>
          <w:rFonts w:ascii="Book Antiqua" w:hAnsi="Book Antiqua"/>
        </w:rPr>
        <w:t xml:space="preserve">cells to treatment with </w:t>
      </w:r>
      <w:r w:rsidR="00EF1CF8" w:rsidRPr="009B04A5">
        <w:rPr>
          <w:rFonts w:ascii="Book Antiqua" w:hAnsi="Book Antiqua"/>
        </w:rPr>
        <w:t>tyrosine-kinase inhibitors (such as imatinib)</w:t>
      </w:r>
      <w:r w:rsidR="00C138D2" w:rsidRPr="009B04A5">
        <w:rPr>
          <w:rStyle w:val="tlid-translation"/>
          <w:rFonts w:ascii="Book Antiqua" w:hAnsi="Book Antiqua"/>
        </w:rPr>
        <w:t xml:space="preserve"> can be increased </w:t>
      </w:r>
      <w:r w:rsidR="00CE0C4C" w:rsidRPr="009B04A5">
        <w:rPr>
          <w:rStyle w:val="tlid-translation"/>
          <w:rFonts w:ascii="Book Antiqua" w:hAnsi="Book Antiqua"/>
          <w:i/>
        </w:rPr>
        <w:t xml:space="preserve">in vitro </w:t>
      </w:r>
      <w:r w:rsidR="00EF1CF8" w:rsidRPr="009B04A5">
        <w:rPr>
          <w:rStyle w:val="tlid-translation"/>
          <w:rFonts w:ascii="Book Antiqua" w:hAnsi="Book Antiqua"/>
        </w:rPr>
        <w:t xml:space="preserve">by </w:t>
      </w:r>
      <w:r w:rsidR="00AE37C0" w:rsidRPr="009B04A5">
        <w:rPr>
          <w:rFonts w:ascii="Book Antiqua" w:hAnsi="Book Antiqua"/>
        </w:rPr>
        <w:t xml:space="preserve">restoring </w:t>
      </w:r>
      <w:r w:rsidR="00EF1CF8" w:rsidRPr="009B04A5">
        <w:rPr>
          <w:rFonts w:ascii="Book Antiqua" w:hAnsi="Book Antiqua"/>
        </w:rPr>
        <w:t>miR-203</w:t>
      </w:r>
      <w:r w:rsidR="00455C00" w:rsidRPr="009B04A5">
        <w:rPr>
          <w:rFonts w:ascii="Book Antiqua" w:hAnsi="Book Antiqua"/>
          <w:vertAlign w:val="superscript"/>
        </w:rPr>
        <w:t>[141]</w:t>
      </w:r>
      <w:r w:rsidR="00D93DED" w:rsidRPr="009B04A5">
        <w:rPr>
          <w:rFonts w:ascii="Book Antiqua" w:hAnsi="Book Antiqua"/>
        </w:rPr>
        <w:t>. Increasing</w:t>
      </w:r>
      <w:r w:rsidR="00AE37C0" w:rsidRPr="009B04A5">
        <w:rPr>
          <w:rFonts w:ascii="Book Antiqua" w:hAnsi="Book Antiqua"/>
        </w:rPr>
        <w:t xml:space="preserve"> the</w:t>
      </w:r>
      <w:r w:rsidR="00D93DED" w:rsidRPr="009B04A5">
        <w:rPr>
          <w:rFonts w:ascii="Book Antiqua" w:hAnsi="Book Antiqua"/>
        </w:rPr>
        <w:t xml:space="preserve"> miR-203</w:t>
      </w:r>
      <w:r w:rsidR="00D93DED" w:rsidRPr="009B04A5">
        <w:rPr>
          <w:rStyle w:val="tlid-translation"/>
          <w:rFonts w:ascii="Book Antiqua" w:hAnsi="Book Antiqua"/>
        </w:rPr>
        <w:t xml:space="preserve"> expression level negatively regulates the expression level of target oncogenes (</w:t>
      </w:r>
      <w:r w:rsidR="00D93DED" w:rsidRPr="009B04A5">
        <w:rPr>
          <w:rFonts w:ascii="Book Antiqua" w:hAnsi="Book Antiqua"/>
          <w:i/>
        </w:rPr>
        <w:t>ABL1</w:t>
      </w:r>
      <w:r w:rsidR="00D93DED" w:rsidRPr="009B04A5">
        <w:rPr>
          <w:rFonts w:ascii="Book Antiqua" w:hAnsi="Book Antiqua"/>
        </w:rPr>
        <w:t xml:space="preserve"> and </w:t>
      </w:r>
      <w:r w:rsidR="00D93DED" w:rsidRPr="009B04A5">
        <w:rPr>
          <w:rFonts w:ascii="Book Antiqua" w:hAnsi="Book Antiqua"/>
          <w:i/>
        </w:rPr>
        <w:t>BCR</w:t>
      </w:r>
      <w:r w:rsidR="00D93DED" w:rsidRPr="009B04A5">
        <w:rPr>
          <w:rFonts w:ascii="Book Antiqua" w:hAnsi="Book Antiqua"/>
        </w:rPr>
        <w:t>-</w:t>
      </w:r>
      <w:r w:rsidR="00D93DED" w:rsidRPr="009B04A5">
        <w:rPr>
          <w:rFonts w:ascii="Book Antiqua" w:hAnsi="Book Antiqua"/>
          <w:i/>
        </w:rPr>
        <w:t>ABL1</w:t>
      </w:r>
      <w:r w:rsidR="00D93DED" w:rsidRPr="009B04A5">
        <w:rPr>
          <w:rFonts w:ascii="Book Antiqua" w:hAnsi="Book Antiqua"/>
        </w:rPr>
        <w:t xml:space="preserve">) </w:t>
      </w:r>
      <w:r w:rsidR="00D93DED" w:rsidRPr="009B04A5">
        <w:rPr>
          <w:rStyle w:val="tlid-translation"/>
          <w:rFonts w:ascii="Book Antiqua" w:hAnsi="Book Antiqua"/>
        </w:rPr>
        <w:t>and thus inhibits cell proliferation</w:t>
      </w:r>
      <w:r w:rsidR="00455C00" w:rsidRPr="009B04A5">
        <w:rPr>
          <w:rStyle w:val="tlid-translation"/>
          <w:rFonts w:ascii="Book Antiqua" w:hAnsi="Book Antiqua"/>
          <w:vertAlign w:val="superscript"/>
        </w:rPr>
        <w:t>[142]</w:t>
      </w:r>
      <w:r w:rsidR="00C85760" w:rsidRPr="009B04A5">
        <w:rPr>
          <w:rStyle w:val="tlid-translation"/>
          <w:rFonts w:ascii="Book Antiqua" w:hAnsi="Book Antiqua"/>
        </w:rPr>
        <w:t>.</w:t>
      </w:r>
    </w:p>
    <w:p w:rsidR="007B304E" w:rsidRPr="009B04A5" w:rsidRDefault="00F828CA" w:rsidP="00C709AE">
      <w:pPr>
        <w:adjustRightInd w:val="0"/>
        <w:snapToGrid w:val="0"/>
        <w:spacing w:line="360" w:lineRule="auto"/>
        <w:ind w:firstLineChars="100" w:firstLine="240"/>
        <w:rPr>
          <w:rFonts w:ascii="Book Antiqua" w:hAnsi="Book Antiqua"/>
        </w:rPr>
      </w:pPr>
      <w:r w:rsidRPr="009B04A5">
        <w:rPr>
          <w:rFonts w:ascii="Book Antiqua" w:hAnsi="Book Antiqua"/>
        </w:rPr>
        <w:t xml:space="preserve">One of the major </w:t>
      </w:r>
      <w:r w:rsidR="00AE37C0" w:rsidRPr="009B04A5">
        <w:rPr>
          <w:rFonts w:ascii="Book Antiqua" w:hAnsi="Book Antiqua"/>
        </w:rPr>
        <w:t>problems</w:t>
      </w:r>
      <w:r w:rsidRPr="009B04A5">
        <w:rPr>
          <w:rFonts w:ascii="Book Antiqua" w:hAnsi="Book Antiqua"/>
        </w:rPr>
        <w:t xml:space="preserve"> in childhood </w:t>
      </w:r>
      <w:r w:rsidR="000C6B11" w:rsidRPr="009B04A5">
        <w:rPr>
          <w:rFonts w:ascii="Book Antiqua" w:hAnsi="Book Antiqua"/>
        </w:rPr>
        <w:t>AL</w:t>
      </w:r>
      <w:r w:rsidRPr="009B04A5">
        <w:rPr>
          <w:rFonts w:ascii="Book Antiqua" w:hAnsi="Book Antiqua"/>
        </w:rPr>
        <w:t xml:space="preserve"> is</w:t>
      </w:r>
      <w:r w:rsidR="00AE37C0" w:rsidRPr="009B04A5">
        <w:rPr>
          <w:rFonts w:ascii="Book Antiqua" w:hAnsi="Book Antiqua"/>
        </w:rPr>
        <w:t xml:space="preserve"> the</w:t>
      </w:r>
      <w:r w:rsidRPr="009B04A5">
        <w:rPr>
          <w:rFonts w:ascii="Book Antiqua" w:hAnsi="Book Antiqua"/>
        </w:rPr>
        <w:t xml:space="preserve"> risk of relapse</w:t>
      </w:r>
      <w:r w:rsidR="00AE37C0" w:rsidRPr="009B04A5">
        <w:rPr>
          <w:rFonts w:ascii="Book Antiqua" w:hAnsi="Book Antiqua"/>
        </w:rPr>
        <w:t>, and the</w:t>
      </w:r>
      <w:r w:rsidRPr="009B04A5">
        <w:rPr>
          <w:rFonts w:ascii="Book Antiqua" w:hAnsi="Book Antiqua"/>
        </w:rPr>
        <w:t xml:space="preserve"> molecular mechanism is still poorly understood. Intensive scientific work is being conducted </w:t>
      </w:r>
      <w:r w:rsidR="00AE37C0" w:rsidRPr="009B04A5">
        <w:rPr>
          <w:rFonts w:ascii="Book Antiqua" w:hAnsi="Book Antiqua"/>
        </w:rPr>
        <w:t>on</w:t>
      </w:r>
      <w:r w:rsidRPr="009B04A5">
        <w:rPr>
          <w:rFonts w:ascii="Book Antiqua" w:hAnsi="Book Antiqua"/>
        </w:rPr>
        <w:t xml:space="preserve"> cognition factors related to therapy response and the biology of recurrence. Han </w:t>
      </w:r>
      <w:r w:rsidR="00783C14" w:rsidRPr="009B04A5">
        <w:rPr>
          <w:rFonts w:ascii="Book Antiqua" w:hAnsi="Book Antiqua"/>
          <w:i/>
        </w:rPr>
        <w:t>et al</w:t>
      </w:r>
      <w:r w:rsidR="000A6432" w:rsidRPr="009B04A5">
        <w:rPr>
          <w:rFonts w:ascii="Book Antiqua" w:hAnsi="Book Antiqua"/>
          <w:vertAlign w:val="superscript"/>
        </w:rPr>
        <w:t>[121]</w:t>
      </w:r>
      <w:r w:rsidR="00291A28" w:rsidRPr="009B04A5">
        <w:rPr>
          <w:rFonts w:ascii="Book Antiqua" w:hAnsi="Book Antiqua"/>
        </w:rPr>
        <w:t xml:space="preserve"> carried out a genome-wide miRNA array analysis</w:t>
      </w:r>
      <w:r w:rsidR="00AE37C0" w:rsidRPr="009B04A5">
        <w:rPr>
          <w:rFonts w:ascii="Book Antiqua" w:hAnsi="Book Antiqua"/>
        </w:rPr>
        <w:t xml:space="preserve"> to identify</w:t>
      </w:r>
      <w:r w:rsidR="00291A28" w:rsidRPr="009B04A5">
        <w:rPr>
          <w:rFonts w:ascii="Book Antiqua" w:hAnsi="Book Antiqua"/>
        </w:rPr>
        <w:t xml:space="preserve"> the miRNA expression patterns correlated with relapse or complete remission in childhood ALL. They identified </w:t>
      </w:r>
      <w:r w:rsidR="00AE37C0" w:rsidRPr="009B04A5">
        <w:rPr>
          <w:rFonts w:ascii="Book Antiqua" w:hAnsi="Book Antiqua"/>
        </w:rPr>
        <w:t xml:space="preserve">a </w:t>
      </w:r>
      <w:r w:rsidR="00291A28" w:rsidRPr="009B04A5">
        <w:rPr>
          <w:rFonts w:ascii="Book Antiqua" w:hAnsi="Book Antiqua"/>
        </w:rPr>
        <w:t xml:space="preserve">set of 70 differentially expressed miRNAs in samples at relapse or </w:t>
      </w:r>
      <w:r w:rsidR="0072484C" w:rsidRPr="009B04A5">
        <w:rPr>
          <w:rFonts w:ascii="Book Antiqua" w:hAnsi="Book Antiqua"/>
        </w:rPr>
        <w:t>complete remission</w:t>
      </w:r>
      <w:r w:rsidR="00936A4F" w:rsidRPr="009B04A5">
        <w:rPr>
          <w:rFonts w:ascii="Book Antiqua" w:hAnsi="Book Antiqua"/>
        </w:rPr>
        <w:t xml:space="preserve"> (CR)</w:t>
      </w:r>
      <w:r w:rsidR="0072484C" w:rsidRPr="009B04A5">
        <w:rPr>
          <w:rFonts w:ascii="Book Antiqua" w:hAnsi="Book Antiqua"/>
        </w:rPr>
        <w:t xml:space="preserve"> </w:t>
      </w:r>
      <w:r w:rsidR="00291A28" w:rsidRPr="009B04A5">
        <w:rPr>
          <w:rFonts w:ascii="Book Antiqua" w:hAnsi="Book Antiqua"/>
        </w:rPr>
        <w:t>compared with</w:t>
      </w:r>
      <w:r w:rsidR="00AE37C0" w:rsidRPr="009B04A5">
        <w:rPr>
          <w:rFonts w:ascii="Book Antiqua" w:hAnsi="Book Antiqua"/>
        </w:rPr>
        <w:t xml:space="preserve"> the</w:t>
      </w:r>
      <w:r w:rsidR="00291A28" w:rsidRPr="009B04A5">
        <w:rPr>
          <w:rFonts w:ascii="Book Antiqua" w:hAnsi="Book Antiqua"/>
        </w:rPr>
        <w:t xml:space="preserve"> initial diagnosis of the same patients. </w:t>
      </w:r>
      <w:r w:rsidR="0072484C" w:rsidRPr="009B04A5">
        <w:rPr>
          <w:rFonts w:ascii="Book Antiqua" w:hAnsi="Book Antiqua"/>
        </w:rPr>
        <w:t>T</w:t>
      </w:r>
      <w:r w:rsidR="00AE37C0" w:rsidRPr="009B04A5">
        <w:rPr>
          <w:rFonts w:ascii="Book Antiqua" w:hAnsi="Book Antiqua"/>
        </w:rPr>
        <w:t xml:space="preserve">he </w:t>
      </w:r>
      <w:r w:rsidR="00291A28" w:rsidRPr="009B04A5">
        <w:rPr>
          <w:rFonts w:ascii="Book Antiqua" w:hAnsi="Book Antiqua"/>
        </w:rPr>
        <w:t xml:space="preserve">expression </w:t>
      </w:r>
      <w:r w:rsidR="00AE37C0" w:rsidRPr="009B04A5">
        <w:rPr>
          <w:rFonts w:ascii="Book Antiqua" w:hAnsi="Book Antiqua"/>
        </w:rPr>
        <w:t>levels</w:t>
      </w:r>
      <w:r w:rsidR="00291A28" w:rsidRPr="009B04A5">
        <w:rPr>
          <w:rFonts w:ascii="Book Antiqua" w:hAnsi="Book Antiqua"/>
        </w:rPr>
        <w:t xml:space="preserve"> of miR-223, miR-23a, let-7g, miR-181, miR-708</w:t>
      </w:r>
      <w:r w:rsidR="0072484C" w:rsidRPr="009B04A5">
        <w:rPr>
          <w:rFonts w:ascii="Book Antiqua" w:hAnsi="Book Antiqua"/>
        </w:rPr>
        <w:t>,</w:t>
      </w:r>
      <w:r w:rsidR="00291A28" w:rsidRPr="009B04A5">
        <w:rPr>
          <w:rFonts w:ascii="Book Antiqua" w:hAnsi="Book Antiqua"/>
        </w:rPr>
        <w:t xml:space="preserve"> and miR-130b were </w:t>
      </w:r>
      <w:r w:rsidR="0072484C" w:rsidRPr="009B04A5">
        <w:rPr>
          <w:rFonts w:ascii="Book Antiqua" w:hAnsi="Book Antiqua"/>
        </w:rPr>
        <w:t>compared in</w:t>
      </w:r>
      <w:r w:rsidR="00291A28" w:rsidRPr="009B04A5">
        <w:rPr>
          <w:rFonts w:ascii="Book Antiqua" w:hAnsi="Book Antiqua"/>
        </w:rPr>
        <w:t xml:space="preserve"> samples at relapse </w:t>
      </w:r>
      <w:r w:rsidR="00291A28" w:rsidRPr="009B04A5">
        <w:rPr>
          <w:rFonts w:ascii="Book Antiqua" w:hAnsi="Book Antiqua"/>
          <w:i/>
        </w:rPr>
        <w:t>v</w:t>
      </w:r>
      <w:r w:rsidR="00C66FB2">
        <w:rPr>
          <w:rFonts w:ascii="Book Antiqua" w:hAnsi="Book Antiqua"/>
          <w:i/>
        </w:rPr>
        <w:t>ersu</w:t>
      </w:r>
      <w:r w:rsidR="00291A28" w:rsidRPr="009B04A5">
        <w:rPr>
          <w:rFonts w:ascii="Book Antiqua" w:hAnsi="Book Antiqua"/>
          <w:i/>
        </w:rPr>
        <w:t>s</w:t>
      </w:r>
      <w:r w:rsidRPr="009B04A5">
        <w:rPr>
          <w:rFonts w:ascii="Book Antiqua" w:hAnsi="Book Antiqua"/>
        </w:rPr>
        <w:t xml:space="preserve"> diagnosis and miR-27a, miR-223, miR-23a, miR-181</w:t>
      </w:r>
      <w:r w:rsidR="00936A4F" w:rsidRPr="009B04A5">
        <w:rPr>
          <w:rFonts w:ascii="Book Antiqua" w:hAnsi="Book Antiqua"/>
        </w:rPr>
        <w:t>,</w:t>
      </w:r>
      <w:r w:rsidRPr="009B04A5">
        <w:rPr>
          <w:rFonts w:ascii="Book Antiqua" w:hAnsi="Book Antiqua"/>
        </w:rPr>
        <w:t xml:space="preserve"> and miR-128b </w:t>
      </w:r>
      <w:r w:rsidR="00936A4F" w:rsidRPr="009B04A5">
        <w:rPr>
          <w:rFonts w:ascii="Book Antiqua" w:hAnsi="Book Antiqua"/>
        </w:rPr>
        <w:t>levels were compared in</w:t>
      </w:r>
      <w:r w:rsidRPr="009B04A5">
        <w:rPr>
          <w:rFonts w:ascii="Book Antiqua" w:hAnsi="Book Antiqua"/>
        </w:rPr>
        <w:t xml:space="preserve"> CR samples </w:t>
      </w:r>
      <w:r w:rsidR="00936A4F" w:rsidRPr="009B04A5">
        <w:rPr>
          <w:rFonts w:ascii="Book Antiqua" w:hAnsi="Book Antiqua"/>
        </w:rPr>
        <w:t xml:space="preserve">and </w:t>
      </w:r>
      <w:r w:rsidRPr="009B04A5">
        <w:rPr>
          <w:rFonts w:ascii="Book Antiqua" w:hAnsi="Book Antiqua"/>
        </w:rPr>
        <w:t>diagnostic samples. In the relapse samples</w:t>
      </w:r>
      <w:r w:rsidR="00AE37C0" w:rsidRPr="009B04A5">
        <w:rPr>
          <w:rFonts w:ascii="Book Antiqua" w:hAnsi="Book Antiqua"/>
        </w:rPr>
        <w:t>,</w:t>
      </w:r>
      <w:r w:rsidRPr="009B04A5">
        <w:rPr>
          <w:rFonts w:ascii="Book Antiqua" w:hAnsi="Book Antiqua"/>
        </w:rPr>
        <w:t xml:space="preserve"> strong downregulation of miR-223, miR-23a</w:t>
      </w:r>
      <w:r w:rsidR="00936A4F" w:rsidRPr="009B04A5">
        <w:rPr>
          <w:rFonts w:ascii="Book Antiqua" w:hAnsi="Book Antiqua"/>
        </w:rPr>
        <w:t>,</w:t>
      </w:r>
      <w:r w:rsidRPr="009B04A5">
        <w:rPr>
          <w:rFonts w:ascii="Book Antiqua" w:hAnsi="Book Antiqua"/>
        </w:rPr>
        <w:t xml:space="preserve"> and let-7g and upregulation of </w:t>
      </w:r>
      <w:r w:rsidR="00AE37C0" w:rsidRPr="009B04A5">
        <w:rPr>
          <w:rFonts w:ascii="Book Antiqua" w:hAnsi="Book Antiqua"/>
        </w:rPr>
        <w:t xml:space="preserve">the </w:t>
      </w:r>
      <w:r w:rsidRPr="009B04A5">
        <w:rPr>
          <w:rFonts w:ascii="Book Antiqua" w:hAnsi="Book Antiqua"/>
        </w:rPr>
        <w:t>miR-181 family, miR-708</w:t>
      </w:r>
      <w:r w:rsidR="00936A4F" w:rsidRPr="009B04A5">
        <w:rPr>
          <w:rFonts w:ascii="Book Antiqua" w:hAnsi="Book Antiqua"/>
        </w:rPr>
        <w:t>,</w:t>
      </w:r>
      <w:r w:rsidRPr="009B04A5">
        <w:rPr>
          <w:rFonts w:ascii="Book Antiqua" w:hAnsi="Book Antiqua"/>
        </w:rPr>
        <w:t xml:space="preserve"> and miR-130b were confirmed. Han </w:t>
      </w:r>
      <w:r w:rsidR="00783C14" w:rsidRPr="009B04A5">
        <w:rPr>
          <w:rFonts w:ascii="Book Antiqua" w:hAnsi="Book Antiqua"/>
          <w:i/>
        </w:rPr>
        <w:t>et al</w:t>
      </w:r>
      <w:r w:rsidR="000A6432" w:rsidRPr="009B04A5">
        <w:rPr>
          <w:rFonts w:ascii="Book Antiqua" w:hAnsi="Book Antiqua"/>
          <w:vertAlign w:val="superscript"/>
        </w:rPr>
        <w:t>[121]</w:t>
      </w:r>
      <w:r w:rsidR="00291A28" w:rsidRPr="009B04A5">
        <w:rPr>
          <w:rFonts w:ascii="Book Antiqua" w:hAnsi="Book Antiqua"/>
        </w:rPr>
        <w:t xml:space="preserve"> found that miR-223 and miR-27a were </w:t>
      </w:r>
      <w:r w:rsidR="004A1DCE" w:rsidRPr="009B04A5">
        <w:rPr>
          <w:rFonts w:ascii="Book Antiqua" w:hAnsi="Book Antiqua"/>
        </w:rPr>
        <w:t>over</w:t>
      </w:r>
      <w:r w:rsidR="00291A28" w:rsidRPr="009B04A5">
        <w:rPr>
          <w:rFonts w:ascii="Book Antiqua" w:hAnsi="Book Antiqua"/>
        </w:rPr>
        <w:t xml:space="preserve">expressed in patients during </w:t>
      </w:r>
      <w:r w:rsidR="00936A4F" w:rsidRPr="009B04A5">
        <w:rPr>
          <w:rFonts w:ascii="Book Antiqua" w:hAnsi="Book Antiqua"/>
        </w:rPr>
        <w:t>CR</w:t>
      </w:r>
      <w:r w:rsidR="00291A28" w:rsidRPr="009B04A5">
        <w:rPr>
          <w:rFonts w:ascii="Book Antiqua" w:hAnsi="Book Antiqua"/>
        </w:rPr>
        <w:t xml:space="preserve">. Moreover, low </w:t>
      </w:r>
      <w:r w:rsidR="00AE37C0" w:rsidRPr="009B04A5">
        <w:rPr>
          <w:rFonts w:ascii="Book Antiqua" w:hAnsi="Book Antiqua"/>
        </w:rPr>
        <w:t>levels</w:t>
      </w:r>
      <w:r w:rsidR="00291A28" w:rsidRPr="009B04A5">
        <w:rPr>
          <w:rFonts w:ascii="Book Antiqua" w:hAnsi="Book Antiqua"/>
        </w:rPr>
        <w:t xml:space="preserve"> of both miR-223 and miR-27a </w:t>
      </w:r>
      <w:r w:rsidR="00AE37C0" w:rsidRPr="009B04A5">
        <w:rPr>
          <w:rFonts w:ascii="Book Antiqua" w:hAnsi="Book Antiqua"/>
        </w:rPr>
        <w:t>at the</w:t>
      </w:r>
      <w:r w:rsidR="00291A28" w:rsidRPr="009B04A5">
        <w:rPr>
          <w:rFonts w:ascii="Book Antiqua" w:hAnsi="Book Antiqua"/>
        </w:rPr>
        <w:t xml:space="preserve"> time of diagnosis </w:t>
      </w:r>
      <w:r w:rsidR="00936A4F" w:rsidRPr="009B04A5">
        <w:rPr>
          <w:rFonts w:ascii="Book Antiqua" w:hAnsi="Book Antiqua"/>
        </w:rPr>
        <w:t>were</w:t>
      </w:r>
      <w:r w:rsidR="00291A28" w:rsidRPr="009B04A5">
        <w:rPr>
          <w:rFonts w:ascii="Book Antiqua" w:hAnsi="Book Antiqua"/>
        </w:rPr>
        <w:t xml:space="preserve"> confirmed in patients who subsequently relapsed. Furthermore</w:t>
      </w:r>
      <w:r w:rsidR="00AE37C0" w:rsidRPr="009B04A5">
        <w:rPr>
          <w:rFonts w:ascii="Book Antiqua" w:hAnsi="Book Antiqua"/>
        </w:rPr>
        <w:t>,</w:t>
      </w:r>
      <w:r w:rsidR="00291A28" w:rsidRPr="009B04A5">
        <w:rPr>
          <w:rFonts w:ascii="Book Antiqua" w:hAnsi="Book Antiqua"/>
        </w:rPr>
        <w:t xml:space="preserve"> </w:t>
      </w:r>
      <w:r w:rsidRPr="009B04A5">
        <w:rPr>
          <w:rFonts w:ascii="Book Antiqua" w:hAnsi="Book Antiqua"/>
        </w:rPr>
        <w:t xml:space="preserve">Han </w:t>
      </w:r>
      <w:r w:rsidR="00783C14" w:rsidRPr="009B04A5">
        <w:rPr>
          <w:rFonts w:ascii="Book Antiqua" w:hAnsi="Book Antiqua"/>
          <w:i/>
        </w:rPr>
        <w:t>et al</w:t>
      </w:r>
      <w:r w:rsidR="000A6432" w:rsidRPr="009B04A5">
        <w:rPr>
          <w:rFonts w:ascii="Book Antiqua" w:hAnsi="Book Antiqua"/>
          <w:vertAlign w:val="superscript"/>
        </w:rPr>
        <w:t>[121]</w:t>
      </w:r>
      <w:r w:rsidR="00291A28" w:rsidRPr="009B04A5">
        <w:rPr>
          <w:rFonts w:ascii="Book Antiqua" w:hAnsi="Book Antiqua"/>
        </w:rPr>
        <w:t xml:space="preserve"> identified</w:t>
      </w:r>
      <w:r w:rsidR="00AE37C0" w:rsidRPr="009B04A5">
        <w:rPr>
          <w:rFonts w:ascii="Book Antiqua" w:hAnsi="Book Antiqua"/>
        </w:rPr>
        <w:t xml:space="preserve"> a</w:t>
      </w:r>
      <w:r w:rsidR="00291A28" w:rsidRPr="009B04A5">
        <w:rPr>
          <w:rFonts w:ascii="Book Antiqua" w:hAnsi="Book Antiqua"/>
        </w:rPr>
        <w:t xml:space="preserve"> high expression level of </w:t>
      </w:r>
      <w:r w:rsidR="00AE37C0" w:rsidRPr="009B04A5">
        <w:rPr>
          <w:rFonts w:ascii="Book Antiqua" w:hAnsi="Book Antiqua"/>
        </w:rPr>
        <w:t>miR</w:t>
      </w:r>
      <w:r w:rsidR="00291A28" w:rsidRPr="009B04A5">
        <w:rPr>
          <w:rFonts w:ascii="Book Antiqua" w:hAnsi="Book Antiqua"/>
        </w:rPr>
        <w:t xml:space="preserve">-708 in both standard risk and middle risk ALL and </w:t>
      </w:r>
      <w:r w:rsidR="00AE37C0" w:rsidRPr="009B04A5">
        <w:rPr>
          <w:rFonts w:ascii="Book Antiqua" w:hAnsi="Book Antiqua"/>
        </w:rPr>
        <w:t xml:space="preserve">a </w:t>
      </w:r>
      <w:r w:rsidR="00291A28" w:rsidRPr="009B04A5">
        <w:rPr>
          <w:rFonts w:ascii="Book Antiqua" w:hAnsi="Book Antiqua"/>
        </w:rPr>
        <w:t xml:space="preserve">low expression level in high-risk patients. </w:t>
      </w:r>
      <w:r w:rsidR="00AE37C0" w:rsidRPr="009B04A5">
        <w:rPr>
          <w:rFonts w:ascii="Book Antiqua" w:hAnsi="Book Antiqua"/>
        </w:rPr>
        <w:t>The lowest</w:t>
      </w:r>
      <w:r w:rsidR="00291A28" w:rsidRPr="009B04A5">
        <w:rPr>
          <w:rFonts w:ascii="Book Antiqua" w:hAnsi="Book Antiqua"/>
        </w:rPr>
        <w:t xml:space="preserve"> level of miR-708 expression at initial diagnosis </w:t>
      </w:r>
      <w:r w:rsidR="00AE37C0" w:rsidRPr="009B04A5">
        <w:rPr>
          <w:rFonts w:ascii="Book Antiqua" w:hAnsi="Book Antiqua"/>
        </w:rPr>
        <w:t>was</w:t>
      </w:r>
      <w:r w:rsidR="00291A28" w:rsidRPr="009B04A5">
        <w:rPr>
          <w:rFonts w:ascii="Book Antiqua" w:hAnsi="Book Antiqua"/>
        </w:rPr>
        <w:t xml:space="preserve"> confirmed among the four immunophenotypes, pro-B-ALL, pre-B-ALL, common ALL</w:t>
      </w:r>
      <w:r w:rsidR="00936A4F" w:rsidRPr="009B04A5">
        <w:rPr>
          <w:rFonts w:ascii="Book Antiqua" w:hAnsi="Book Antiqua"/>
        </w:rPr>
        <w:t>,</w:t>
      </w:r>
      <w:r w:rsidR="00291A28" w:rsidRPr="009B04A5">
        <w:rPr>
          <w:rFonts w:ascii="Book Antiqua" w:hAnsi="Book Antiqua"/>
        </w:rPr>
        <w:t xml:space="preserve"> and T-ALL</w:t>
      </w:r>
      <w:r w:rsidR="000A6432" w:rsidRPr="009B04A5">
        <w:rPr>
          <w:rFonts w:ascii="Book Antiqua" w:hAnsi="Book Antiqua"/>
          <w:vertAlign w:val="superscript"/>
        </w:rPr>
        <w:t>[121]</w:t>
      </w:r>
      <w:r w:rsidR="00291A28" w:rsidRPr="009B04A5">
        <w:rPr>
          <w:rFonts w:ascii="Book Antiqua" w:hAnsi="Book Antiqua"/>
        </w:rPr>
        <w:t xml:space="preserve">. </w:t>
      </w:r>
      <w:r w:rsidR="00AE37C0" w:rsidRPr="009B04A5">
        <w:rPr>
          <w:rFonts w:ascii="Book Antiqua" w:hAnsi="Book Antiqua"/>
        </w:rPr>
        <w:t>These</w:t>
      </w:r>
      <w:r w:rsidR="00291A28" w:rsidRPr="009B04A5">
        <w:rPr>
          <w:rFonts w:ascii="Book Antiqua" w:hAnsi="Book Antiqua"/>
        </w:rPr>
        <w:t xml:space="preserve"> results suggest that miR-708, miR-27a</w:t>
      </w:r>
      <w:r w:rsidR="00936A4F" w:rsidRPr="009B04A5">
        <w:rPr>
          <w:rFonts w:ascii="Book Antiqua" w:hAnsi="Book Antiqua"/>
        </w:rPr>
        <w:t>,</w:t>
      </w:r>
      <w:r w:rsidR="00291A28" w:rsidRPr="009B04A5">
        <w:rPr>
          <w:rFonts w:ascii="Book Antiqua" w:hAnsi="Book Antiqua"/>
        </w:rPr>
        <w:t xml:space="preserve"> and miR-223 expression</w:t>
      </w:r>
      <w:r w:rsidR="00E148B8" w:rsidRPr="009B04A5">
        <w:rPr>
          <w:rFonts w:ascii="Book Antiqua" w:hAnsi="Book Antiqua"/>
        </w:rPr>
        <w:t xml:space="preserve"> levels</w:t>
      </w:r>
      <w:r w:rsidR="00291A28" w:rsidRPr="009B04A5">
        <w:rPr>
          <w:rFonts w:ascii="Book Antiqua" w:hAnsi="Book Antiqua"/>
        </w:rPr>
        <w:t xml:space="preserve"> at initial diagnosis could be independent and reliable </w:t>
      </w:r>
      <w:r w:rsidR="00AE37C0" w:rsidRPr="009B04A5">
        <w:rPr>
          <w:rFonts w:ascii="Book Antiqua" w:hAnsi="Book Antiqua"/>
        </w:rPr>
        <w:t>predict</w:t>
      </w:r>
      <w:r w:rsidR="00E148B8" w:rsidRPr="009B04A5">
        <w:rPr>
          <w:rFonts w:ascii="Book Antiqua" w:hAnsi="Book Antiqua"/>
        </w:rPr>
        <w:t>ion factors</w:t>
      </w:r>
      <w:r w:rsidR="00AE37C0" w:rsidRPr="009B04A5">
        <w:rPr>
          <w:rFonts w:ascii="Book Antiqua" w:hAnsi="Book Antiqua"/>
        </w:rPr>
        <w:t xml:space="preserve"> of the</w:t>
      </w:r>
      <w:r w:rsidR="00291A28" w:rsidRPr="009B04A5">
        <w:rPr>
          <w:rFonts w:ascii="Book Antiqua" w:hAnsi="Book Antiqua"/>
        </w:rPr>
        <w:t xml:space="preserve"> </w:t>
      </w:r>
      <w:r w:rsidR="003E6954" w:rsidRPr="009B04A5">
        <w:rPr>
          <w:rFonts w:ascii="Book Antiqua" w:hAnsi="Book Antiqua"/>
        </w:rPr>
        <w:t>OS</w:t>
      </w:r>
      <w:r w:rsidR="00291A28" w:rsidRPr="009B04A5">
        <w:rPr>
          <w:rFonts w:ascii="Book Antiqua" w:hAnsi="Book Antiqua"/>
        </w:rPr>
        <w:t xml:space="preserve"> rate in childhood ALL and </w:t>
      </w:r>
      <w:r w:rsidR="00AE37C0" w:rsidRPr="009B04A5">
        <w:rPr>
          <w:rFonts w:ascii="Book Antiqua" w:hAnsi="Book Antiqua"/>
        </w:rPr>
        <w:t xml:space="preserve">could </w:t>
      </w:r>
      <w:r w:rsidR="00291A28" w:rsidRPr="009B04A5">
        <w:rPr>
          <w:rFonts w:ascii="Book Antiqua" w:hAnsi="Book Antiqua"/>
        </w:rPr>
        <w:t xml:space="preserve">also be used to predict the risk of </w:t>
      </w:r>
      <w:r w:rsidR="00291A28" w:rsidRPr="009B04A5">
        <w:rPr>
          <w:rFonts w:ascii="Book Antiqua" w:hAnsi="Book Antiqua"/>
        </w:rPr>
        <w:lastRenderedPageBreak/>
        <w:t>relapse before patients undergo therapy. These miRNAs and their targets (</w:t>
      </w:r>
      <w:r w:rsidR="00DE287C" w:rsidRPr="009B04A5">
        <w:rPr>
          <w:rFonts w:ascii="Book Antiqua" w:hAnsi="Book Antiqua"/>
          <w:i/>
        </w:rPr>
        <w:t>e.g.</w:t>
      </w:r>
      <w:r w:rsidR="00AE37C0" w:rsidRPr="009B04A5">
        <w:rPr>
          <w:rFonts w:ascii="Book Antiqua" w:hAnsi="Book Antiqua"/>
          <w:i/>
        </w:rPr>
        <w:t>,</w:t>
      </w:r>
      <w:r w:rsidR="00291A28" w:rsidRPr="009B04A5">
        <w:rPr>
          <w:rFonts w:ascii="Book Antiqua" w:hAnsi="Book Antiqua"/>
        </w:rPr>
        <w:t xml:space="preserve"> </w:t>
      </w:r>
      <w:r w:rsidR="00291A28" w:rsidRPr="009B04A5">
        <w:rPr>
          <w:rFonts w:ascii="Book Antiqua" w:hAnsi="Book Antiqua"/>
          <w:i/>
          <w:iCs/>
        </w:rPr>
        <w:t>IKZF1</w:t>
      </w:r>
      <w:r w:rsidR="00291A28" w:rsidRPr="009B04A5">
        <w:rPr>
          <w:rFonts w:ascii="Book Antiqua" w:hAnsi="Book Antiqua"/>
        </w:rPr>
        <w:t xml:space="preserve">, </w:t>
      </w:r>
      <w:r w:rsidR="00291A28" w:rsidRPr="009B04A5">
        <w:rPr>
          <w:rFonts w:ascii="Book Antiqua" w:hAnsi="Book Antiqua"/>
          <w:i/>
          <w:iCs/>
        </w:rPr>
        <w:t>IL-15</w:t>
      </w:r>
      <w:r w:rsidR="00291A28" w:rsidRPr="009B04A5">
        <w:rPr>
          <w:rFonts w:ascii="Book Antiqua" w:hAnsi="Book Antiqua"/>
        </w:rPr>
        <w:t xml:space="preserve">, </w:t>
      </w:r>
      <w:r w:rsidR="00936A4F" w:rsidRPr="009B04A5">
        <w:rPr>
          <w:rFonts w:ascii="Book Antiqua" w:hAnsi="Book Antiqua"/>
        </w:rPr>
        <w:t xml:space="preserve">and </w:t>
      </w:r>
      <w:r w:rsidR="00291A28" w:rsidRPr="009B04A5">
        <w:rPr>
          <w:rFonts w:ascii="Book Antiqua" w:hAnsi="Book Antiqua"/>
          <w:i/>
          <w:iCs/>
        </w:rPr>
        <w:t>CASP8AP2</w:t>
      </w:r>
      <w:r w:rsidR="00291A28" w:rsidRPr="009B04A5">
        <w:rPr>
          <w:rFonts w:ascii="Book Antiqua" w:hAnsi="Book Antiqua"/>
        </w:rPr>
        <w:t xml:space="preserve">) might be helpful in </w:t>
      </w:r>
      <w:r w:rsidR="00AE37C0" w:rsidRPr="009B04A5">
        <w:rPr>
          <w:rFonts w:ascii="Book Antiqua" w:hAnsi="Book Antiqua"/>
        </w:rPr>
        <w:t xml:space="preserve">the </w:t>
      </w:r>
      <w:r w:rsidR="00291A28" w:rsidRPr="009B04A5">
        <w:rPr>
          <w:rFonts w:ascii="Book Antiqua" w:hAnsi="Book Antiqua"/>
        </w:rPr>
        <w:t>optimization of therapeutic protocols and novel targets for the development of new antileukemic agents</w:t>
      </w:r>
      <w:r w:rsidR="000A6432" w:rsidRPr="009B04A5">
        <w:rPr>
          <w:rFonts w:ascii="Book Antiqua" w:hAnsi="Book Antiqua"/>
          <w:vertAlign w:val="superscript"/>
        </w:rPr>
        <w:t>[121]</w:t>
      </w:r>
      <w:r w:rsidR="00291A28" w:rsidRPr="009B04A5">
        <w:rPr>
          <w:rFonts w:ascii="Book Antiqua" w:hAnsi="Book Antiqua"/>
        </w:rPr>
        <w:t>.</w:t>
      </w:r>
    </w:p>
    <w:p w:rsidR="00C50990" w:rsidRPr="009B04A5" w:rsidRDefault="00C50990" w:rsidP="00C709AE">
      <w:pPr>
        <w:adjustRightInd w:val="0"/>
        <w:snapToGrid w:val="0"/>
        <w:spacing w:line="360" w:lineRule="auto"/>
        <w:ind w:firstLineChars="100" w:firstLine="240"/>
        <w:rPr>
          <w:rFonts w:ascii="Book Antiqua" w:hAnsi="Book Antiqua"/>
        </w:rPr>
      </w:pPr>
      <w:r w:rsidRPr="009B04A5">
        <w:rPr>
          <w:rStyle w:val="tlid-translation"/>
          <w:rFonts w:ascii="Book Antiqua" w:hAnsi="Book Antiqua"/>
        </w:rPr>
        <w:t>A multifaceted study of miR</w:t>
      </w:r>
      <w:r w:rsidR="00936A4F" w:rsidRPr="009B04A5">
        <w:rPr>
          <w:rStyle w:val="tlid-translation"/>
          <w:rFonts w:ascii="Book Antiqua" w:hAnsi="Book Antiqua"/>
        </w:rPr>
        <w:t>N</w:t>
      </w:r>
      <w:r w:rsidRPr="009B04A5">
        <w:rPr>
          <w:rStyle w:val="tlid-translation"/>
          <w:rFonts w:ascii="Book Antiqua" w:hAnsi="Book Antiqua"/>
        </w:rPr>
        <w:t xml:space="preserve">ome was conducted by Zhang </w:t>
      </w:r>
      <w:r w:rsidR="00783C14" w:rsidRPr="009B04A5">
        <w:rPr>
          <w:rStyle w:val="tlid-translation"/>
          <w:rFonts w:ascii="Book Antiqua" w:hAnsi="Book Antiqua"/>
          <w:i/>
        </w:rPr>
        <w:t>et al</w:t>
      </w:r>
      <w:r w:rsidR="000A6432" w:rsidRPr="009B04A5">
        <w:rPr>
          <w:rStyle w:val="tlid-translation"/>
          <w:rFonts w:ascii="Book Antiqua" w:hAnsi="Book Antiqua"/>
          <w:vertAlign w:val="superscript"/>
        </w:rPr>
        <w:t>[40]</w:t>
      </w:r>
      <w:r w:rsidRPr="009B04A5">
        <w:rPr>
          <w:rStyle w:val="tlid-translation"/>
          <w:rFonts w:ascii="Book Antiqua" w:hAnsi="Book Antiqua"/>
        </w:rPr>
        <w:t>, who described specific expression patterns for both pediatric ALL and AML, selected prognostic markers, and determined the relationship of miRs with the risk of recurrence in the central nervous system and a lack of sensitivity to prednisone. Authors developed the signature of the overexpressed miR-7, miR-198</w:t>
      </w:r>
      <w:r w:rsidR="00936A4F" w:rsidRPr="009B04A5">
        <w:rPr>
          <w:rStyle w:val="tlid-translation"/>
          <w:rFonts w:ascii="Book Antiqua" w:hAnsi="Book Antiqua"/>
        </w:rPr>
        <w:t>,</w:t>
      </w:r>
      <w:r w:rsidRPr="009B04A5">
        <w:rPr>
          <w:rStyle w:val="tlid-translation"/>
          <w:rFonts w:ascii="Book Antiqua" w:hAnsi="Book Antiqua"/>
        </w:rPr>
        <w:t xml:space="preserve"> and miR-633 and downregulated miR-126, miR-345, miR-222, and miR-551a, </w:t>
      </w:r>
      <w:r w:rsidR="0033711F" w:rsidRPr="009B04A5">
        <w:rPr>
          <w:rStyle w:val="tlid-translation"/>
          <w:rFonts w:ascii="Book Antiqua" w:hAnsi="Book Antiqua"/>
        </w:rPr>
        <w:t xml:space="preserve">in </w:t>
      </w:r>
      <w:r w:rsidRPr="009B04A5">
        <w:rPr>
          <w:rStyle w:val="tlid-translation"/>
          <w:rFonts w:ascii="Book Antiqua" w:hAnsi="Book Antiqua"/>
        </w:rPr>
        <w:t xml:space="preserve">which changes in expression level were related to </w:t>
      </w:r>
      <w:r w:rsidR="00936A4F" w:rsidRPr="009B04A5">
        <w:rPr>
          <w:rStyle w:val="tlid-translation"/>
          <w:rFonts w:ascii="Book Antiqua" w:hAnsi="Book Antiqua"/>
        </w:rPr>
        <w:t>central nervous system</w:t>
      </w:r>
      <w:r w:rsidRPr="009B04A5">
        <w:rPr>
          <w:rStyle w:val="tlid-translation"/>
          <w:rFonts w:ascii="Book Antiqua" w:hAnsi="Book Antiqua"/>
        </w:rPr>
        <w:t xml:space="preserve"> relapse in ALL. Zhang </w:t>
      </w:r>
      <w:r w:rsidR="00783C14" w:rsidRPr="009B04A5">
        <w:rPr>
          <w:rStyle w:val="tlid-translation"/>
          <w:rFonts w:ascii="Book Antiqua" w:hAnsi="Book Antiqua"/>
          <w:i/>
        </w:rPr>
        <w:t>et al</w:t>
      </w:r>
      <w:r w:rsidR="000A6432" w:rsidRPr="009B04A5">
        <w:rPr>
          <w:rStyle w:val="tlid-translation"/>
          <w:rFonts w:ascii="Book Antiqua" w:hAnsi="Book Antiqua"/>
          <w:vertAlign w:val="superscript"/>
        </w:rPr>
        <w:t>[40]</w:t>
      </w:r>
      <w:r w:rsidRPr="009B04A5">
        <w:rPr>
          <w:rStyle w:val="tlid-translation"/>
          <w:rFonts w:ascii="Book Antiqua" w:hAnsi="Book Antiqua"/>
        </w:rPr>
        <w:t xml:space="preserve"> identified</w:t>
      </w:r>
      <w:r w:rsidR="00AE37C0" w:rsidRPr="009B04A5">
        <w:rPr>
          <w:rStyle w:val="tlid-translation"/>
          <w:rFonts w:ascii="Book Antiqua" w:hAnsi="Book Antiqua"/>
        </w:rPr>
        <w:t xml:space="preserve"> a</w:t>
      </w:r>
      <w:r w:rsidRPr="009B04A5">
        <w:rPr>
          <w:rStyle w:val="tlid-translation"/>
          <w:rFonts w:ascii="Book Antiqua" w:hAnsi="Book Antiqua"/>
        </w:rPr>
        <w:t xml:space="preserve"> set of </w:t>
      </w:r>
      <w:r w:rsidR="00DD1F15" w:rsidRPr="009B04A5">
        <w:rPr>
          <w:rStyle w:val="tlid-translation"/>
          <w:rFonts w:ascii="Book Antiqua" w:hAnsi="Book Antiqua"/>
        </w:rPr>
        <w:t>eight</w:t>
      </w:r>
      <w:r w:rsidRPr="009B04A5">
        <w:rPr>
          <w:rStyle w:val="tlid-translation"/>
          <w:rFonts w:ascii="Book Antiqua" w:hAnsi="Book Antiqua"/>
        </w:rPr>
        <w:t xml:space="preserve"> differentiated genes, including miR-18a, miR-532, miR-218, miR-625, miR-193a, miR-638, miR-550, and miR-633, </w:t>
      </w:r>
      <w:r w:rsidR="0033711F" w:rsidRPr="009B04A5">
        <w:rPr>
          <w:rStyle w:val="tlid-translation"/>
          <w:rFonts w:ascii="Book Antiqua" w:hAnsi="Book Antiqua"/>
        </w:rPr>
        <w:t xml:space="preserve">that differentiated </w:t>
      </w:r>
      <w:r w:rsidRPr="009B04A5">
        <w:rPr>
          <w:rStyle w:val="tlid-translation"/>
          <w:rFonts w:ascii="Book Antiqua" w:hAnsi="Book Antiqua"/>
        </w:rPr>
        <w:t xml:space="preserve">patients according to a good or poor prednisone response. Interestingly, researchers were unable to confirm the association with </w:t>
      </w:r>
      <w:r w:rsidR="000C6B11" w:rsidRPr="009B04A5">
        <w:rPr>
          <w:rStyle w:val="tlid-translation"/>
          <w:rFonts w:ascii="Book Antiqua" w:hAnsi="Book Antiqua"/>
        </w:rPr>
        <w:t>AL</w:t>
      </w:r>
      <w:r w:rsidRPr="009B04A5">
        <w:rPr>
          <w:rStyle w:val="tlid-translation"/>
          <w:rFonts w:ascii="Book Antiqua" w:hAnsi="Book Antiqua"/>
        </w:rPr>
        <w:t>s for mir-15 and mir-16, frequently mentioned regulators of apoptosis in hematopoietic cells and prednisolone resistance modulators</w:t>
      </w:r>
      <w:r w:rsidR="000A6432" w:rsidRPr="009B04A5">
        <w:rPr>
          <w:rStyle w:val="tlid-translation"/>
          <w:rFonts w:ascii="Book Antiqua" w:hAnsi="Book Antiqua"/>
          <w:vertAlign w:val="superscript"/>
        </w:rPr>
        <w:t>[86,87,89,110,112]</w:t>
      </w:r>
      <w:r w:rsidRPr="009B04A5">
        <w:rPr>
          <w:rStyle w:val="tlid-translation"/>
          <w:rFonts w:ascii="Book Antiqua" w:hAnsi="Book Antiqua"/>
        </w:rPr>
        <w:t xml:space="preserve">. </w:t>
      </w:r>
      <w:r w:rsidR="00F828CA" w:rsidRPr="009B04A5">
        <w:rPr>
          <w:rFonts w:ascii="Book Antiqua" w:hAnsi="Book Antiqua"/>
        </w:rPr>
        <w:t xml:space="preserve">Xu </w:t>
      </w:r>
      <w:r w:rsidR="00783C14" w:rsidRPr="009B04A5">
        <w:rPr>
          <w:rFonts w:ascii="Book Antiqua" w:hAnsi="Book Antiqua"/>
          <w:i/>
        </w:rPr>
        <w:t>et al</w:t>
      </w:r>
      <w:r w:rsidR="00455C00" w:rsidRPr="009B04A5">
        <w:rPr>
          <w:rFonts w:ascii="Book Antiqua" w:hAnsi="Book Antiqua"/>
          <w:vertAlign w:val="superscript"/>
        </w:rPr>
        <w:t>[143]</w:t>
      </w:r>
      <w:r w:rsidRPr="009B04A5">
        <w:rPr>
          <w:rFonts w:ascii="Book Antiqua" w:hAnsi="Book Antiqua"/>
        </w:rPr>
        <w:t xml:space="preserve"> </w:t>
      </w:r>
      <w:r w:rsidR="00E67049" w:rsidRPr="009B04A5">
        <w:rPr>
          <w:rFonts w:ascii="Book Antiqua" w:hAnsi="Book Antiqua"/>
        </w:rPr>
        <w:t xml:space="preserve">performed a study to determine </w:t>
      </w:r>
      <w:r w:rsidRPr="009B04A5">
        <w:rPr>
          <w:rFonts w:ascii="Book Antiqua" w:hAnsi="Book Antiqua"/>
        </w:rPr>
        <w:t xml:space="preserve">an early marker of relapse in pediatric ALL </w:t>
      </w:r>
      <w:r w:rsidR="00E67049" w:rsidRPr="009B04A5">
        <w:rPr>
          <w:rFonts w:ascii="Book Antiqua" w:hAnsi="Book Antiqua"/>
        </w:rPr>
        <w:t xml:space="preserve">and found </w:t>
      </w:r>
      <w:r w:rsidRPr="009B04A5">
        <w:rPr>
          <w:rFonts w:ascii="Book Antiqua" w:hAnsi="Book Antiqua"/>
        </w:rPr>
        <w:t>miR-7, miR-216</w:t>
      </w:r>
      <w:r w:rsidR="00936A4F" w:rsidRPr="009B04A5">
        <w:rPr>
          <w:rFonts w:ascii="Book Antiqua" w:hAnsi="Book Antiqua"/>
        </w:rPr>
        <w:t>,</w:t>
      </w:r>
      <w:r w:rsidRPr="009B04A5">
        <w:rPr>
          <w:rFonts w:ascii="Book Antiqua" w:hAnsi="Book Antiqua"/>
        </w:rPr>
        <w:t xml:space="preserve"> and let-7i (high expression) and miR-486, miR-191, miR-150, miR-487</w:t>
      </w:r>
      <w:r w:rsidR="00936A4F" w:rsidRPr="009B04A5">
        <w:rPr>
          <w:rFonts w:ascii="Book Antiqua" w:hAnsi="Book Antiqua"/>
        </w:rPr>
        <w:t>,</w:t>
      </w:r>
      <w:r w:rsidRPr="009B04A5">
        <w:rPr>
          <w:rFonts w:ascii="Book Antiqua" w:hAnsi="Book Antiqua"/>
        </w:rPr>
        <w:t xml:space="preserve"> and miR-342 (low expression). </w:t>
      </w:r>
    </w:p>
    <w:p w:rsidR="007B304E" w:rsidRPr="009B04A5" w:rsidRDefault="007B304E" w:rsidP="00C709AE">
      <w:pPr>
        <w:adjustRightInd w:val="0"/>
        <w:snapToGrid w:val="0"/>
        <w:spacing w:line="360" w:lineRule="auto"/>
        <w:ind w:firstLineChars="100" w:firstLine="240"/>
        <w:rPr>
          <w:rFonts w:ascii="Book Antiqua" w:hAnsi="Book Antiqua"/>
        </w:rPr>
      </w:pPr>
    </w:p>
    <w:p w:rsidR="00BB764A" w:rsidRPr="009B04A5" w:rsidRDefault="00981208" w:rsidP="00C709AE">
      <w:pPr>
        <w:adjustRightInd w:val="0"/>
        <w:snapToGrid w:val="0"/>
        <w:spacing w:line="360" w:lineRule="auto"/>
        <w:ind w:firstLine="0"/>
        <w:rPr>
          <w:rFonts w:ascii="Book Antiqua" w:hAnsi="Book Antiqua"/>
          <w:u w:val="single"/>
        </w:rPr>
      </w:pPr>
      <w:r w:rsidRPr="009B04A5">
        <w:rPr>
          <w:rFonts w:ascii="Book Antiqua" w:hAnsi="Book Antiqua"/>
          <w:b/>
          <w:u w:val="single"/>
        </w:rPr>
        <w:t>ROLE OF MICRORNA IN NEW THERAPY DEVELOPMENT</w:t>
      </w:r>
    </w:p>
    <w:p w:rsidR="007B304E" w:rsidRPr="009B04A5" w:rsidRDefault="00BB764A" w:rsidP="00C709AE">
      <w:pPr>
        <w:adjustRightInd w:val="0"/>
        <w:snapToGrid w:val="0"/>
        <w:spacing w:line="360" w:lineRule="auto"/>
        <w:ind w:firstLine="0"/>
        <w:rPr>
          <w:rStyle w:val="tlid-translation"/>
          <w:rFonts w:ascii="Book Antiqua" w:hAnsi="Book Antiqua"/>
        </w:rPr>
      </w:pPr>
      <w:r w:rsidRPr="009B04A5">
        <w:rPr>
          <w:rStyle w:val="tlid-translation"/>
          <w:rFonts w:ascii="Book Antiqua" w:hAnsi="Book Antiqua"/>
        </w:rPr>
        <w:t xml:space="preserve">Pharmacogenomics of tumors (a field dealing with the assessment of innate genetic determinants of different drug effects) enables the discovery of new anticancer drugs and </w:t>
      </w:r>
      <w:r w:rsidR="00AD6E41" w:rsidRPr="009B04A5">
        <w:rPr>
          <w:rStyle w:val="tlid-translation"/>
          <w:rFonts w:ascii="Book Antiqua" w:hAnsi="Book Antiqua"/>
        </w:rPr>
        <w:t xml:space="preserve">their </w:t>
      </w:r>
      <w:r w:rsidRPr="009B04A5">
        <w:rPr>
          <w:rStyle w:val="tlid-translation"/>
          <w:rFonts w:ascii="Book Antiqua" w:hAnsi="Book Antiqua"/>
        </w:rPr>
        <w:t>genetic targets on the basis of a well-defined mechanism of oncogenesis</w:t>
      </w:r>
      <w:r w:rsidR="00252CEE" w:rsidRPr="009B04A5">
        <w:rPr>
          <w:rStyle w:val="tlid-translation"/>
          <w:rFonts w:ascii="Book Antiqua" w:hAnsi="Book Antiqua"/>
          <w:vertAlign w:val="superscript"/>
        </w:rPr>
        <w:t>[126]</w:t>
      </w:r>
      <w:r w:rsidRPr="009B04A5">
        <w:rPr>
          <w:rStyle w:val="tlid-translation"/>
          <w:rFonts w:ascii="Book Antiqua" w:hAnsi="Book Antiqua"/>
        </w:rPr>
        <w:t xml:space="preserve">. The </w:t>
      </w:r>
      <w:r w:rsidR="00AE37C0" w:rsidRPr="009B04A5">
        <w:rPr>
          <w:rStyle w:val="tlid-translation"/>
          <w:rFonts w:ascii="Book Antiqua" w:hAnsi="Book Antiqua"/>
        </w:rPr>
        <w:t>search</w:t>
      </w:r>
      <w:r w:rsidRPr="009B04A5">
        <w:rPr>
          <w:rStyle w:val="tlid-translation"/>
          <w:rFonts w:ascii="Book Antiqua" w:hAnsi="Book Antiqua"/>
        </w:rPr>
        <w:t xml:space="preserve"> for candidate molecules among miRNAs can also be used in the typing of a molecular target, drug design, determination of the </w:t>
      </w:r>
      <w:r w:rsidRPr="009B04A5">
        <w:rPr>
          <w:rStyle w:val="tlid-translation"/>
          <w:rFonts w:ascii="Book Antiqua" w:hAnsi="Book Antiqua"/>
          <w:i/>
        </w:rPr>
        <w:t>in vitro</w:t>
      </w:r>
      <w:r w:rsidRPr="009B04A5">
        <w:rPr>
          <w:rStyle w:val="tlid-translation"/>
          <w:rFonts w:ascii="Book Antiqua" w:hAnsi="Book Antiqua"/>
        </w:rPr>
        <w:t xml:space="preserve"> and </w:t>
      </w:r>
      <w:r w:rsidRPr="009B04A5">
        <w:rPr>
          <w:rStyle w:val="tlid-translation"/>
          <w:rFonts w:ascii="Book Antiqua" w:hAnsi="Book Antiqua"/>
          <w:i/>
        </w:rPr>
        <w:t>in vivo</w:t>
      </w:r>
      <w:r w:rsidRPr="009B04A5">
        <w:rPr>
          <w:rStyle w:val="tlid-translation"/>
          <w:rFonts w:ascii="Book Antiqua" w:hAnsi="Book Antiqua"/>
        </w:rPr>
        <w:t xml:space="preserve"> effects of the drug on the global level of gene expression, identification of mechanisms of action, detection of potential toxicity</w:t>
      </w:r>
      <w:r w:rsidR="0084470C" w:rsidRPr="009B04A5">
        <w:rPr>
          <w:rStyle w:val="tlid-translation"/>
          <w:rFonts w:ascii="Book Antiqua" w:hAnsi="Book Antiqua"/>
        </w:rPr>
        <w:t>,</w:t>
      </w:r>
      <w:r w:rsidRPr="009B04A5">
        <w:rPr>
          <w:rStyle w:val="tlid-translation"/>
          <w:rFonts w:ascii="Book Antiqua" w:hAnsi="Book Antiqua"/>
        </w:rPr>
        <w:t xml:space="preserve"> and determination of the pharmacodynamic effect</w:t>
      </w:r>
      <w:r w:rsidR="00455C00" w:rsidRPr="009B04A5">
        <w:rPr>
          <w:rStyle w:val="tlid-translation"/>
          <w:rFonts w:ascii="Book Antiqua" w:hAnsi="Book Antiqua"/>
          <w:vertAlign w:val="superscript"/>
        </w:rPr>
        <w:t>[144-146]</w:t>
      </w:r>
      <w:r w:rsidRPr="009B04A5">
        <w:rPr>
          <w:rStyle w:val="tlid-translation"/>
          <w:rFonts w:ascii="Book Antiqua" w:hAnsi="Book Antiqua"/>
        </w:rPr>
        <w:t>.</w:t>
      </w:r>
    </w:p>
    <w:p w:rsidR="007B304E" w:rsidRPr="009B04A5" w:rsidRDefault="000C6B11" w:rsidP="00C709AE">
      <w:pPr>
        <w:adjustRightInd w:val="0"/>
        <w:snapToGrid w:val="0"/>
        <w:spacing w:line="360" w:lineRule="auto"/>
        <w:ind w:firstLineChars="100" w:firstLine="240"/>
        <w:rPr>
          <w:rFonts w:ascii="Book Antiqua" w:hAnsi="Book Antiqua"/>
        </w:rPr>
      </w:pPr>
      <w:r w:rsidRPr="009B04A5">
        <w:rPr>
          <w:rFonts w:ascii="Book Antiqua" w:hAnsi="Book Antiqua"/>
        </w:rPr>
        <w:t>m</w:t>
      </w:r>
      <w:r w:rsidR="00AE37C0" w:rsidRPr="009B04A5">
        <w:rPr>
          <w:rFonts w:ascii="Book Antiqua" w:hAnsi="Book Antiqua"/>
        </w:rPr>
        <w:t>iRNAs</w:t>
      </w:r>
      <w:r w:rsidR="00A927E0" w:rsidRPr="009B04A5">
        <w:rPr>
          <w:rFonts w:ascii="Book Antiqua" w:hAnsi="Book Antiqua"/>
        </w:rPr>
        <w:t xml:space="preserve"> are one of the most promising molecules in</w:t>
      </w:r>
      <w:r w:rsidR="00AE37C0" w:rsidRPr="009B04A5">
        <w:rPr>
          <w:rFonts w:ascii="Book Antiqua" w:hAnsi="Book Antiqua"/>
        </w:rPr>
        <w:t xml:space="preserve"> the</w:t>
      </w:r>
      <w:r w:rsidR="00A927E0" w:rsidRPr="009B04A5">
        <w:rPr>
          <w:rFonts w:ascii="Book Antiqua" w:hAnsi="Book Antiqua"/>
        </w:rPr>
        <w:t xml:space="preserve"> development of new antileukemic agents and therapeutic protocols. </w:t>
      </w:r>
      <w:r w:rsidR="001C6F4F" w:rsidRPr="009B04A5">
        <w:rPr>
          <w:rStyle w:val="tlid-translation"/>
          <w:rFonts w:ascii="Book Antiqua" w:hAnsi="Book Antiqua"/>
        </w:rPr>
        <w:t>miRNAs</w:t>
      </w:r>
      <w:r w:rsidR="00AE37C0" w:rsidRPr="009B04A5">
        <w:rPr>
          <w:rStyle w:val="tlid-translation"/>
          <w:rFonts w:ascii="Book Antiqua" w:hAnsi="Book Antiqua"/>
        </w:rPr>
        <w:t>,</w:t>
      </w:r>
      <w:r w:rsidR="004B4A70" w:rsidRPr="009B04A5">
        <w:rPr>
          <w:rStyle w:val="tlid-translation"/>
          <w:rFonts w:ascii="Book Antiqua" w:hAnsi="Book Antiqua"/>
        </w:rPr>
        <w:t xml:space="preserve"> as differentially expressed molecules</w:t>
      </w:r>
      <w:r w:rsidR="00AE37C0" w:rsidRPr="009B04A5">
        <w:rPr>
          <w:rStyle w:val="tlid-translation"/>
          <w:rFonts w:ascii="Book Antiqua" w:hAnsi="Book Antiqua"/>
        </w:rPr>
        <w:t>,</w:t>
      </w:r>
      <w:r w:rsidR="004B4A70" w:rsidRPr="009B04A5">
        <w:rPr>
          <w:rStyle w:val="tlid-translation"/>
          <w:rFonts w:ascii="Book Antiqua" w:hAnsi="Book Antiqua"/>
        </w:rPr>
        <w:t xml:space="preserve"> can be regulated by two anti-ancient mechanisms. </w:t>
      </w:r>
      <w:r w:rsidR="00AE37C0" w:rsidRPr="009B04A5">
        <w:rPr>
          <w:rStyle w:val="tlid-translation"/>
          <w:rFonts w:ascii="Book Antiqua" w:hAnsi="Book Antiqua"/>
        </w:rPr>
        <w:t xml:space="preserve">The first </w:t>
      </w:r>
      <w:r w:rsidR="004B4A70" w:rsidRPr="009B04A5">
        <w:rPr>
          <w:rStyle w:val="tlid-translation"/>
          <w:rFonts w:ascii="Book Antiqua" w:hAnsi="Book Antiqua"/>
        </w:rPr>
        <w:t>involves</w:t>
      </w:r>
      <w:r w:rsidR="00A927E0" w:rsidRPr="009B04A5">
        <w:rPr>
          <w:rFonts w:ascii="Book Antiqua" w:hAnsi="Book Antiqua"/>
        </w:rPr>
        <w:t xml:space="preserve"> </w:t>
      </w:r>
      <w:r w:rsidR="00A927E0" w:rsidRPr="009B04A5">
        <w:rPr>
          <w:rFonts w:ascii="Book Antiqua" w:hAnsi="Book Antiqua"/>
        </w:rPr>
        <w:lastRenderedPageBreak/>
        <w:t>inhibition of miRNA activity by</w:t>
      </w:r>
      <w:r w:rsidR="0084470C" w:rsidRPr="009B04A5">
        <w:rPr>
          <w:rFonts w:ascii="Book Antiqua" w:hAnsi="Book Antiqua"/>
        </w:rPr>
        <w:t>:</w:t>
      </w:r>
      <w:r w:rsidR="00A927E0" w:rsidRPr="009B04A5">
        <w:rPr>
          <w:rFonts w:ascii="Book Antiqua" w:hAnsi="Book Antiqua"/>
        </w:rPr>
        <w:t xml:space="preserve"> (1) the use of miRNA inhibitors and oligomers, including RNA, DNA</w:t>
      </w:r>
      <w:r w:rsidR="0084470C" w:rsidRPr="009B04A5">
        <w:rPr>
          <w:rFonts w:ascii="Book Antiqua" w:hAnsi="Book Antiqua"/>
        </w:rPr>
        <w:t>,</w:t>
      </w:r>
      <w:r w:rsidR="00A927E0" w:rsidRPr="009B04A5">
        <w:rPr>
          <w:rFonts w:ascii="Book Antiqua" w:hAnsi="Book Antiqua"/>
        </w:rPr>
        <w:t xml:space="preserve"> and DNA analogues</w:t>
      </w:r>
      <w:r w:rsidR="007B304E" w:rsidRPr="009B04A5">
        <w:rPr>
          <w:rFonts w:ascii="Book Antiqua" w:hAnsi="Book Antiqua"/>
        </w:rPr>
        <w:t xml:space="preserve"> </w:t>
      </w:r>
      <w:r w:rsidR="00A927E0" w:rsidRPr="009B04A5">
        <w:rPr>
          <w:rFonts w:ascii="Book Antiqua" w:hAnsi="Book Antiqua"/>
        </w:rPr>
        <w:t xml:space="preserve">(miRNA antisense therapy), small molecule inhibitors, </w:t>
      </w:r>
      <w:r w:rsidR="0084470C" w:rsidRPr="009B04A5">
        <w:rPr>
          <w:rFonts w:ascii="Book Antiqua" w:hAnsi="Book Antiqua"/>
        </w:rPr>
        <w:t xml:space="preserve">and </w:t>
      </w:r>
      <w:r w:rsidR="00A927E0" w:rsidRPr="009B04A5">
        <w:rPr>
          <w:rFonts w:ascii="Book Antiqua" w:hAnsi="Book Antiqua"/>
        </w:rPr>
        <w:t>miRNA sponges or (2) miRNA masking.</w:t>
      </w:r>
      <w:r w:rsidR="00AE37C0" w:rsidRPr="009B04A5">
        <w:rPr>
          <w:rFonts w:ascii="Book Antiqua" w:hAnsi="Book Antiqua"/>
        </w:rPr>
        <w:t xml:space="preserve"> The second</w:t>
      </w:r>
      <w:r w:rsidR="00A927E0" w:rsidRPr="009B04A5">
        <w:rPr>
          <w:rFonts w:ascii="Book Antiqua" w:hAnsi="Book Antiqua"/>
        </w:rPr>
        <w:t xml:space="preserve"> mechanism includes enhancement of miRNA function (miRNA replacement therapy) by</w:t>
      </w:r>
      <w:r w:rsidR="0084470C" w:rsidRPr="009B04A5">
        <w:rPr>
          <w:rFonts w:ascii="Book Antiqua" w:hAnsi="Book Antiqua"/>
        </w:rPr>
        <w:t>:</w:t>
      </w:r>
      <w:r w:rsidR="00A927E0" w:rsidRPr="009B04A5">
        <w:rPr>
          <w:rFonts w:ascii="Book Antiqua" w:hAnsi="Book Antiqua"/>
        </w:rPr>
        <w:t xml:space="preserve"> (1) the use of modified miRNA mimetics, such as </w:t>
      </w:r>
      <w:r w:rsidR="00AE37C0" w:rsidRPr="009B04A5">
        <w:rPr>
          <w:rFonts w:ascii="Book Antiqua" w:hAnsi="Book Antiqua"/>
        </w:rPr>
        <w:t>plasmids</w:t>
      </w:r>
      <w:r w:rsidR="00A927E0" w:rsidRPr="009B04A5">
        <w:rPr>
          <w:rFonts w:ascii="Book Antiqua" w:hAnsi="Book Antiqua"/>
        </w:rPr>
        <w:t xml:space="preserve"> or (2) lentiviral vectors carrying miRNA sequences</w:t>
      </w:r>
      <w:r w:rsidR="00455C00" w:rsidRPr="009B04A5">
        <w:rPr>
          <w:rFonts w:ascii="Book Antiqua" w:hAnsi="Book Antiqua"/>
          <w:vertAlign w:val="superscript"/>
        </w:rPr>
        <w:t>[147]</w:t>
      </w:r>
      <w:r w:rsidR="00A927E0" w:rsidRPr="009B04A5">
        <w:rPr>
          <w:rFonts w:ascii="Book Antiqua" w:hAnsi="Book Antiqua"/>
        </w:rPr>
        <w:t xml:space="preserve"> (Figure 5).</w:t>
      </w:r>
    </w:p>
    <w:p w:rsidR="00F1298B" w:rsidRPr="009B04A5" w:rsidRDefault="00863F55" w:rsidP="00C709AE">
      <w:pPr>
        <w:adjustRightInd w:val="0"/>
        <w:snapToGrid w:val="0"/>
        <w:spacing w:line="360" w:lineRule="auto"/>
        <w:ind w:firstLineChars="100" w:firstLine="240"/>
        <w:rPr>
          <w:rStyle w:val="tlid-translation"/>
          <w:rFonts w:ascii="Book Antiqua" w:hAnsi="Book Antiqua"/>
        </w:rPr>
      </w:pPr>
      <w:r w:rsidRPr="009B04A5">
        <w:rPr>
          <w:rStyle w:val="tlid-translation"/>
          <w:rFonts w:ascii="Book Antiqua" w:hAnsi="Book Antiqua"/>
        </w:rPr>
        <w:t xml:space="preserve">Currently available therapeutic strategies based on the level of miRNA and its function in a cancer cell include transfection of mimic miRNAs or miRNA inhibitors </w:t>
      </w:r>
      <w:r w:rsidRPr="009B04A5">
        <w:rPr>
          <w:rStyle w:val="tlid-translation"/>
          <w:rFonts w:ascii="Book Antiqua" w:hAnsi="Book Antiqua"/>
          <w:i/>
        </w:rPr>
        <w:t>in vitro</w:t>
      </w:r>
      <w:r w:rsidR="00512E22" w:rsidRPr="009B04A5">
        <w:rPr>
          <w:rStyle w:val="tlid-translation"/>
          <w:rFonts w:ascii="Book Antiqua" w:hAnsi="Book Antiqua"/>
        </w:rPr>
        <w:t xml:space="preserve">, which </w:t>
      </w:r>
      <w:r w:rsidR="001C6F4F" w:rsidRPr="009B04A5">
        <w:rPr>
          <w:rStyle w:val="tlid-translation"/>
          <w:rFonts w:ascii="Book Antiqua" w:hAnsi="Book Antiqua"/>
        </w:rPr>
        <w:t xml:space="preserve">have </w:t>
      </w:r>
      <w:r w:rsidR="00512E22" w:rsidRPr="009B04A5">
        <w:rPr>
          <w:rStyle w:val="tlid-translation"/>
          <w:rFonts w:ascii="Book Antiqua" w:hAnsi="Book Antiqua"/>
        </w:rPr>
        <w:t>the effect of increasing or decreasing the expression level of the candidate miRNA</w:t>
      </w:r>
      <w:r w:rsidR="001C6F4F" w:rsidRPr="009B04A5">
        <w:rPr>
          <w:rStyle w:val="tlid-translation"/>
          <w:rFonts w:ascii="Book Antiqua" w:hAnsi="Book Antiqua"/>
        </w:rPr>
        <w:t>, respectively</w:t>
      </w:r>
      <w:r w:rsidR="00512E22" w:rsidRPr="009B04A5">
        <w:rPr>
          <w:rStyle w:val="tlid-translation"/>
          <w:rFonts w:ascii="Book Antiqua" w:hAnsi="Book Antiqua"/>
        </w:rPr>
        <w:t xml:space="preserve">. Therapy based on modulation of miRNA levels is at a promising early </w:t>
      </w:r>
      <w:r w:rsidR="00894DD3" w:rsidRPr="009B04A5">
        <w:rPr>
          <w:rStyle w:val="tlid-translation"/>
          <w:rFonts w:ascii="Book Antiqua" w:hAnsi="Book Antiqua"/>
          <w:i/>
        </w:rPr>
        <w:t>ex vivo</w:t>
      </w:r>
      <w:r w:rsidR="004609D1" w:rsidRPr="009B04A5">
        <w:rPr>
          <w:rStyle w:val="tlid-translation"/>
          <w:rFonts w:ascii="Book Antiqua" w:hAnsi="Book Antiqua"/>
          <w:i/>
        </w:rPr>
        <w:t xml:space="preserve"> </w:t>
      </w:r>
      <w:r w:rsidR="00512E22" w:rsidRPr="009B04A5">
        <w:rPr>
          <w:rStyle w:val="tlid-translation"/>
          <w:rFonts w:ascii="Book Antiqua" w:hAnsi="Book Antiqua"/>
        </w:rPr>
        <w:t>stage. An effective method of delivering inhibitors and activators of miRNA expression to leukemia cells has not yet been developed</w:t>
      </w:r>
      <w:r w:rsidR="0084470C" w:rsidRPr="009B04A5">
        <w:rPr>
          <w:rStyle w:val="tlid-translation"/>
          <w:rFonts w:ascii="Book Antiqua" w:hAnsi="Book Antiqua"/>
        </w:rPr>
        <w:t>. T</w:t>
      </w:r>
      <w:r w:rsidR="00512E22" w:rsidRPr="009B04A5">
        <w:rPr>
          <w:rStyle w:val="tlid-translation"/>
          <w:rFonts w:ascii="Book Antiqua" w:hAnsi="Book Antiqua"/>
        </w:rPr>
        <w:t xml:space="preserve">he safety and efficacy of such </w:t>
      </w:r>
      <w:r w:rsidR="0084470C" w:rsidRPr="009B04A5">
        <w:rPr>
          <w:rStyle w:val="tlid-translation"/>
          <w:rFonts w:ascii="Book Antiqua" w:hAnsi="Book Antiqua"/>
        </w:rPr>
        <w:t xml:space="preserve">a </w:t>
      </w:r>
      <w:r w:rsidR="00512E22" w:rsidRPr="009B04A5">
        <w:rPr>
          <w:rStyle w:val="tlid-translation"/>
          <w:rFonts w:ascii="Book Antiqua" w:hAnsi="Book Antiqua"/>
        </w:rPr>
        <w:t xml:space="preserve">therapy have not been studied, and it is difficult to predict the long-term effects of such </w:t>
      </w:r>
      <w:r w:rsidR="0084470C" w:rsidRPr="009B04A5">
        <w:rPr>
          <w:rStyle w:val="tlid-translation"/>
          <w:rFonts w:ascii="Book Antiqua" w:hAnsi="Book Antiqua"/>
        </w:rPr>
        <w:t xml:space="preserve">a </w:t>
      </w:r>
      <w:r w:rsidR="00512E22" w:rsidRPr="009B04A5">
        <w:rPr>
          <w:rStyle w:val="tlid-translation"/>
          <w:rFonts w:ascii="Book Antiqua" w:hAnsi="Book Antiqua"/>
        </w:rPr>
        <w:t>treatment.</w:t>
      </w:r>
    </w:p>
    <w:p w:rsidR="007B304E" w:rsidRPr="009B04A5" w:rsidRDefault="007B304E" w:rsidP="00C709AE">
      <w:pPr>
        <w:adjustRightInd w:val="0"/>
        <w:snapToGrid w:val="0"/>
        <w:spacing w:line="360" w:lineRule="auto"/>
        <w:ind w:firstLineChars="100" w:firstLine="240"/>
        <w:rPr>
          <w:rStyle w:val="tlid-translation"/>
          <w:rFonts w:ascii="Book Antiqua" w:hAnsi="Book Antiqua"/>
        </w:rPr>
      </w:pPr>
    </w:p>
    <w:p w:rsidR="000A0251" w:rsidRPr="009B04A5" w:rsidRDefault="00981208" w:rsidP="00C709AE">
      <w:pPr>
        <w:adjustRightInd w:val="0"/>
        <w:snapToGrid w:val="0"/>
        <w:spacing w:line="360" w:lineRule="auto"/>
        <w:ind w:firstLine="0"/>
        <w:rPr>
          <w:rFonts w:ascii="Book Antiqua" w:hAnsi="Book Antiqua"/>
          <w:b/>
          <w:u w:val="single"/>
        </w:rPr>
      </w:pPr>
      <w:r w:rsidRPr="009B04A5">
        <w:rPr>
          <w:rFonts w:ascii="Book Antiqua" w:hAnsi="Book Antiqua"/>
          <w:b/>
          <w:u w:val="single"/>
        </w:rPr>
        <w:t>CONCLUSION</w:t>
      </w:r>
    </w:p>
    <w:p w:rsidR="007B304E" w:rsidRPr="009B04A5" w:rsidRDefault="000D017D" w:rsidP="00C709AE">
      <w:pPr>
        <w:adjustRightInd w:val="0"/>
        <w:snapToGrid w:val="0"/>
        <w:spacing w:line="360" w:lineRule="auto"/>
        <w:ind w:firstLine="0"/>
        <w:rPr>
          <w:rStyle w:val="tlid-translation"/>
          <w:rFonts w:ascii="Book Antiqua" w:hAnsi="Book Antiqua"/>
        </w:rPr>
      </w:pPr>
      <w:r w:rsidRPr="009B04A5">
        <w:rPr>
          <w:rStyle w:val="tlid-translation"/>
          <w:rFonts w:ascii="Book Antiqua" w:hAnsi="Book Antiqua"/>
        </w:rPr>
        <w:t>R</w:t>
      </w:r>
      <w:r w:rsidR="003E3ACC" w:rsidRPr="009B04A5">
        <w:rPr>
          <w:rStyle w:val="tlid-translation"/>
          <w:rFonts w:ascii="Book Antiqua" w:hAnsi="Book Antiqua"/>
        </w:rPr>
        <w:t>esearch using miRNA profiling</w:t>
      </w:r>
      <w:r w:rsidRPr="009B04A5">
        <w:rPr>
          <w:rStyle w:val="tlid-translation"/>
          <w:rFonts w:ascii="Book Antiqua" w:hAnsi="Book Antiqua"/>
        </w:rPr>
        <w:t xml:space="preserve"> in disease</w:t>
      </w:r>
      <w:r w:rsidR="003E3ACC" w:rsidRPr="009B04A5">
        <w:rPr>
          <w:rStyle w:val="tlid-translation"/>
          <w:rFonts w:ascii="Book Antiqua" w:hAnsi="Book Antiqua"/>
        </w:rPr>
        <w:t xml:space="preserve"> is currently in </w:t>
      </w:r>
      <w:r w:rsidRPr="009B04A5">
        <w:rPr>
          <w:rStyle w:val="tlid-translation"/>
          <w:rFonts w:ascii="Book Antiqua" w:hAnsi="Book Antiqua"/>
        </w:rPr>
        <w:t>an</w:t>
      </w:r>
      <w:r w:rsidR="003E3ACC" w:rsidRPr="009B04A5">
        <w:rPr>
          <w:rStyle w:val="tlid-translation"/>
          <w:rFonts w:ascii="Book Antiqua" w:hAnsi="Book Antiqua"/>
        </w:rPr>
        <w:t xml:space="preserve"> intensive phase</w:t>
      </w:r>
      <w:r w:rsidRPr="009B04A5">
        <w:rPr>
          <w:rStyle w:val="tlid-translation"/>
          <w:rFonts w:ascii="Book Antiqua" w:hAnsi="Book Antiqua"/>
        </w:rPr>
        <w:t>, and this</w:t>
      </w:r>
      <w:r w:rsidR="003E3ACC" w:rsidRPr="009B04A5">
        <w:rPr>
          <w:rStyle w:val="tlid-translation"/>
          <w:rFonts w:ascii="Book Antiqua" w:hAnsi="Book Antiqua"/>
        </w:rPr>
        <w:t xml:space="preserve"> technique </w:t>
      </w:r>
      <w:r w:rsidR="00197D15" w:rsidRPr="009B04A5">
        <w:rPr>
          <w:rStyle w:val="tlid-translation"/>
          <w:rFonts w:ascii="Book Antiqua" w:hAnsi="Book Antiqua"/>
        </w:rPr>
        <w:t xml:space="preserve">shows </w:t>
      </w:r>
      <w:r w:rsidR="003E3ACC" w:rsidRPr="009B04A5">
        <w:rPr>
          <w:rStyle w:val="tlid-translation"/>
          <w:rFonts w:ascii="Book Antiqua" w:hAnsi="Book Antiqua"/>
        </w:rPr>
        <w:t>important and promising directions</w:t>
      </w:r>
      <w:r w:rsidR="00F4479A" w:rsidRPr="009B04A5">
        <w:rPr>
          <w:rStyle w:val="tlid-translation"/>
          <w:rFonts w:ascii="Book Antiqua" w:hAnsi="Book Antiqua"/>
        </w:rPr>
        <w:t xml:space="preserve"> for future research</w:t>
      </w:r>
      <w:r w:rsidR="003E3ACC" w:rsidRPr="009B04A5">
        <w:rPr>
          <w:rStyle w:val="tlid-translation"/>
          <w:rFonts w:ascii="Book Antiqua" w:hAnsi="Book Antiqua"/>
        </w:rPr>
        <w:t xml:space="preserve">. </w:t>
      </w:r>
      <w:r w:rsidR="002E0480" w:rsidRPr="009B04A5">
        <w:rPr>
          <w:rStyle w:val="tlid-translation"/>
          <w:rFonts w:ascii="Book Antiqua" w:hAnsi="Book Antiqua"/>
        </w:rPr>
        <w:t>As our</w:t>
      </w:r>
      <w:r w:rsidR="003E3ACC" w:rsidRPr="009B04A5">
        <w:rPr>
          <w:rStyle w:val="tlid-translation"/>
          <w:rFonts w:ascii="Book Antiqua" w:hAnsi="Book Antiqua"/>
        </w:rPr>
        <w:t xml:space="preserve"> knowledge of the mechanisms and course of childhood </w:t>
      </w:r>
      <w:r w:rsidR="000C6B11" w:rsidRPr="009B04A5">
        <w:rPr>
          <w:rStyle w:val="tlid-translation"/>
          <w:rFonts w:ascii="Book Antiqua" w:hAnsi="Book Antiqua"/>
        </w:rPr>
        <w:t>AL</w:t>
      </w:r>
      <w:r w:rsidR="002E0480" w:rsidRPr="009B04A5">
        <w:rPr>
          <w:rStyle w:val="tlid-translation"/>
          <w:rFonts w:ascii="Book Antiqua" w:hAnsi="Book Antiqua"/>
        </w:rPr>
        <w:t xml:space="preserve"> increases along with</w:t>
      </w:r>
      <w:r w:rsidR="003E3ACC" w:rsidRPr="009B04A5">
        <w:rPr>
          <w:rStyle w:val="tlid-translation"/>
          <w:rFonts w:ascii="Book Antiqua" w:hAnsi="Book Antiqua"/>
        </w:rPr>
        <w:t xml:space="preserve"> advances in genetics and molecular biology and the development of sensitive analytical methods</w:t>
      </w:r>
      <w:r w:rsidR="002E0480" w:rsidRPr="009B04A5">
        <w:rPr>
          <w:rStyle w:val="tlid-translation"/>
          <w:rFonts w:ascii="Book Antiqua" w:hAnsi="Book Antiqua"/>
        </w:rPr>
        <w:t>,</w:t>
      </w:r>
      <w:r w:rsidR="0042228C" w:rsidRPr="009B04A5">
        <w:rPr>
          <w:rStyle w:val="tlid-translation"/>
          <w:rFonts w:ascii="Book Antiqua" w:hAnsi="Book Antiqua"/>
        </w:rPr>
        <w:t xml:space="preserve"> the</w:t>
      </w:r>
      <w:r w:rsidR="003E3ACC" w:rsidRPr="009B04A5">
        <w:rPr>
          <w:rStyle w:val="tlid-translation"/>
          <w:rFonts w:ascii="Book Antiqua" w:hAnsi="Book Antiqua"/>
        </w:rPr>
        <w:t xml:space="preserve"> accurate assess</w:t>
      </w:r>
      <w:r w:rsidR="0042228C" w:rsidRPr="009B04A5">
        <w:rPr>
          <w:rStyle w:val="tlid-translation"/>
          <w:rFonts w:ascii="Book Antiqua" w:hAnsi="Book Antiqua"/>
        </w:rPr>
        <w:t>ment of</w:t>
      </w:r>
      <w:r w:rsidR="003E3ACC" w:rsidRPr="009B04A5">
        <w:rPr>
          <w:rStyle w:val="tlid-translation"/>
          <w:rFonts w:ascii="Book Antiqua" w:hAnsi="Book Antiqua"/>
        </w:rPr>
        <w:t xml:space="preserve"> their real relationship with long oncological results</w:t>
      </w:r>
      <w:r w:rsidR="0042228C" w:rsidRPr="009B04A5">
        <w:rPr>
          <w:rStyle w:val="tlid-translation"/>
          <w:rFonts w:ascii="Book Antiqua" w:hAnsi="Book Antiqua"/>
        </w:rPr>
        <w:t xml:space="preserve"> in the near future</w:t>
      </w:r>
      <w:r w:rsidR="002E0480" w:rsidRPr="009B04A5">
        <w:rPr>
          <w:rStyle w:val="tlid-translation"/>
          <w:rFonts w:ascii="Book Antiqua" w:hAnsi="Book Antiqua"/>
        </w:rPr>
        <w:t xml:space="preserve"> may be </w:t>
      </w:r>
      <w:r w:rsidR="00F4479A" w:rsidRPr="009B04A5">
        <w:rPr>
          <w:rStyle w:val="tlid-translation"/>
          <w:rFonts w:ascii="Book Antiqua" w:hAnsi="Book Antiqua"/>
        </w:rPr>
        <w:t>possible</w:t>
      </w:r>
      <w:r w:rsidR="003E3ACC" w:rsidRPr="009B04A5">
        <w:rPr>
          <w:rStyle w:val="tlid-translation"/>
          <w:rFonts w:ascii="Book Antiqua" w:hAnsi="Book Antiqua"/>
        </w:rPr>
        <w:t>.</w:t>
      </w:r>
    </w:p>
    <w:p w:rsidR="007B304E" w:rsidRPr="009B04A5" w:rsidRDefault="00525579" w:rsidP="00C709AE">
      <w:pPr>
        <w:adjustRightInd w:val="0"/>
        <w:snapToGrid w:val="0"/>
        <w:spacing w:line="360" w:lineRule="auto"/>
        <w:ind w:firstLineChars="100" w:firstLine="240"/>
        <w:rPr>
          <w:rFonts w:ascii="Book Antiqua" w:hAnsi="Book Antiqua"/>
        </w:rPr>
      </w:pPr>
      <w:r w:rsidRPr="009B04A5">
        <w:rPr>
          <w:rStyle w:val="tlid-translation"/>
          <w:rFonts w:ascii="Book Antiqua" w:hAnsi="Book Antiqua"/>
        </w:rPr>
        <w:t xml:space="preserve">Research on miRNA patterns at individual stages of leukemogenesis can lead to a better understanding of the disease process itself, as well as to the development of modern classification and more effective therapy. As </w:t>
      </w:r>
      <w:r w:rsidR="00AE37C0" w:rsidRPr="009B04A5">
        <w:rPr>
          <w:rStyle w:val="tlid-translation"/>
          <w:rFonts w:ascii="Book Antiqua" w:hAnsi="Book Antiqua"/>
        </w:rPr>
        <w:t>shown,</w:t>
      </w:r>
      <w:r w:rsidRPr="009B04A5">
        <w:rPr>
          <w:rStyle w:val="tlid-translation"/>
          <w:rFonts w:ascii="Book Antiqua" w:hAnsi="Book Antiqua"/>
        </w:rPr>
        <w:t xml:space="preserve"> mi</w:t>
      </w:r>
      <w:r w:rsidR="00ED24C8" w:rsidRPr="009B04A5">
        <w:rPr>
          <w:rFonts w:ascii="Book Antiqua" w:hAnsi="Book Antiqua"/>
        </w:rPr>
        <w:t xml:space="preserve">RNAs are differentially expressed in distinct stages of lymphopoiesis and </w:t>
      </w:r>
      <w:r w:rsidR="00B422C3" w:rsidRPr="009B04A5">
        <w:rPr>
          <w:rFonts w:ascii="Book Antiqua" w:hAnsi="Book Antiqua"/>
        </w:rPr>
        <w:t>myelopoiesis</w:t>
      </w:r>
      <w:r w:rsidR="00DD56D2" w:rsidRPr="009B04A5">
        <w:rPr>
          <w:rFonts w:ascii="Book Antiqua" w:hAnsi="Book Antiqua"/>
        </w:rPr>
        <w:t xml:space="preserve"> and </w:t>
      </w:r>
      <w:r w:rsidR="00AE37C0" w:rsidRPr="009B04A5">
        <w:rPr>
          <w:rStyle w:val="tlid-translation"/>
          <w:rFonts w:ascii="Book Antiqua" w:hAnsi="Book Antiqua"/>
        </w:rPr>
        <w:t>provide</w:t>
      </w:r>
      <w:r w:rsidR="003E3ACC" w:rsidRPr="009B04A5">
        <w:rPr>
          <w:rStyle w:val="tlid-translation"/>
          <w:rFonts w:ascii="Book Antiqua" w:hAnsi="Book Antiqua"/>
        </w:rPr>
        <w:t xml:space="preserve"> a new look at the molecular pathways leading to AL development and the molecular pathogenesis of pediatric </w:t>
      </w:r>
      <w:r w:rsidR="000C6B11" w:rsidRPr="009B04A5">
        <w:rPr>
          <w:rStyle w:val="tlid-translation"/>
          <w:rFonts w:ascii="Book Antiqua" w:hAnsi="Book Antiqua"/>
        </w:rPr>
        <w:t>AL</w:t>
      </w:r>
      <w:r w:rsidR="003E3ACC" w:rsidRPr="009B04A5">
        <w:rPr>
          <w:rStyle w:val="tlid-translation"/>
          <w:rFonts w:ascii="Book Antiqua" w:hAnsi="Book Antiqua"/>
        </w:rPr>
        <w:t xml:space="preserve">s. </w:t>
      </w:r>
      <w:r w:rsidR="00ED24C8" w:rsidRPr="009B04A5">
        <w:rPr>
          <w:rFonts w:ascii="Book Antiqua" w:hAnsi="Book Antiqua"/>
        </w:rPr>
        <w:t>The aberrant miRNA signatures observed in AL can be used to define biomarkers for diagnosis, classification, prognosis</w:t>
      </w:r>
      <w:r w:rsidR="00F4479A" w:rsidRPr="009B04A5">
        <w:rPr>
          <w:rFonts w:ascii="Book Antiqua" w:hAnsi="Book Antiqua"/>
        </w:rPr>
        <w:t>,</w:t>
      </w:r>
      <w:r w:rsidR="00ED24C8" w:rsidRPr="009B04A5">
        <w:rPr>
          <w:rFonts w:ascii="Book Antiqua" w:hAnsi="Book Antiqua"/>
        </w:rPr>
        <w:t xml:space="preserve"> and therapy monitoring of this disease. </w:t>
      </w:r>
      <w:r w:rsidR="003E3ACC" w:rsidRPr="009B04A5">
        <w:rPr>
          <w:rStyle w:val="tlid-translation"/>
          <w:rFonts w:ascii="Book Antiqua" w:hAnsi="Book Antiqua"/>
        </w:rPr>
        <w:t xml:space="preserve">MiRNA expression level monitoring carried out in the last two decades </w:t>
      </w:r>
      <w:r w:rsidR="00AE37C0" w:rsidRPr="009B04A5">
        <w:rPr>
          <w:rStyle w:val="tlid-translation"/>
          <w:rFonts w:ascii="Book Antiqua" w:hAnsi="Book Antiqua"/>
        </w:rPr>
        <w:t>has</w:t>
      </w:r>
      <w:r w:rsidR="003E3ACC" w:rsidRPr="009B04A5">
        <w:rPr>
          <w:rStyle w:val="tlid-translation"/>
          <w:rFonts w:ascii="Book Antiqua" w:hAnsi="Book Antiqua"/>
        </w:rPr>
        <w:t xml:space="preserve"> shown that hematological cancers can be precisely </w:t>
      </w:r>
      <w:r w:rsidR="003E3ACC" w:rsidRPr="009B04A5">
        <w:rPr>
          <w:rStyle w:val="tlid-translation"/>
          <w:rFonts w:ascii="Book Antiqua" w:hAnsi="Book Antiqua"/>
        </w:rPr>
        <w:lastRenderedPageBreak/>
        <w:t>classified based on a genetic signature that is associated with morphological, immunophenotypic, cytogenetic, molecular</w:t>
      </w:r>
      <w:r w:rsidR="00F4479A" w:rsidRPr="009B04A5">
        <w:rPr>
          <w:rStyle w:val="tlid-translation"/>
          <w:rFonts w:ascii="Book Antiqua" w:hAnsi="Book Antiqua"/>
        </w:rPr>
        <w:t>,</w:t>
      </w:r>
      <w:r w:rsidR="003E3ACC" w:rsidRPr="009B04A5">
        <w:rPr>
          <w:rStyle w:val="tlid-translation"/>
          <w:rFonts w:ascii="Book Antiqua" w:hAnsi="Book Antiqua"/>
        </w:rPr>
        <w:t xml:space="preserve"> and other cellular traits. </w:t>
      </w:r>
      <w:r w:rsidR="00C71546" w:rsidRPr="009B04A5">
        <w:rPr>
          <w:rFonts w:ascii="Book Antiqua" w:hAnsi="Book Antiqua"/>
        </w:rPr>
        <w:t>Circulating miRNAs can be detected with the use of noninvasive and easily applicable methods with high accuracy and sensitivity.</w:t>
      </w:r>
    </w:p>
    <w:p w:rsidR="007B304E" w:rsidRPr="009B04A5" w:rsidRDefault="00F4479A" w:rsidP="00C709AE">
      <w:pPr>
        <w:adjustRightInd w:val="0"/>
        <w:snapToGrid w:val="0"/>
        <w:spacing w:line="360" w:lineRule="auto"/>
        <w:ind w:firstLineChars="100" w:firstLine="240"/>
        <w:rPr>
          <w:rFonts w:ascii="Book Antiqua" w:hAnsi="Book Antiqua"/>
        </w:rPr>
      </w:pPr>
      <w:r w:rsidRPr="009B04A5">
        <w:rPr>
          <w:rStyle w:val="tlid-translation"/>
          <w:rFonts w:ascii="Book Antiqua" w:hAnsi="Book Antiqua"/>
        </w:rPr>
        <w:t>M</w:t>
      </w:r>
      <w:r w:rsidR="009164AE" w:rsidRPr="009B04A5">
        <w:rPr>
          <w:rStyle w:val="tlid-translation"/>
          <w:rFonts w:ascii="Book Antiqua" w:hAnsi="Book Antiqua"/>
        </w:rPr>
        <w:t xml:space="preserve">iRNAs </w:t>
      </w:r>
      <w:r w:rsidR="00DB0242" w:rsidRPr="009B04A5">
        <w:rPr>
          <w:rStyle w:val="tlid-translation"/>
          <w:rFonts w:ascii="Book Antiqua" w:hAnsi="Book Antiqua"/>
        </w:rPr>
        <w:t xml:space="preserve">are becoming </w:t>
      </w:r>
      <w:r w:rsidR="00AE37C0" w:rsidRPr="009B04A5">
        <w:rPr>
          <w:rStyle w:val="tlid-translation"/>
          <w:rFonts w:ascii="Book Antiqua" w:hAnsi="Book Antiqua"/>
        </w:rPr>
        <w:t xml:space="preserve">increasingly </w:t>
      </w:r>
      <w:r w:rsidR="00DB0242" w:rsidRPr="009B04A5">
        <w:rPr>
          <w:rStyle w:val="tlid-translation"/>
          <w:rFonts w:ascii="Book Antiqua" w:hAnsi="Book Antiqua"/>
        </w:rPr>
        <w:t xml:space="preserve">popular among scientists and oncohematologists due to their important role in the etiology of </w:t>
      </w:r>
      <w:r w:rsidR="000C6B11" w:rsidRPr="009B04A5">
        <w:rPr>
          <w:rStyle w:val="tlid-translation"/>
          <w:rFonts w:ascii="Book Antiqua" w:hAnsi="Book Antiqua"/>
        </w:rPr>
        <w:t>AL</w:t>
      </w:r>
      <w:r w:rsidR="00DB0242" w:rsidRPr="009B04A5">
        <w:rPr>
          <w:rStyle w:val="tlid-translation"/>
          <w:rFonts w:ascii="Book Antiqua" w:hAnsi="Book Antiqua"/>
        </w:rPr>
        <w:t>. However, the prospect of their routine use in diagnostics requires further research to identify a small group of sensitive and specific biomarkers of diagnostic and prognostic significance. Undoubtedly, the results of numerous studies indicate a few promising candidates, but nevertheless</w:t>
      </w:r>
      <w:r w:rsidR="00AE37C0" w:rsidRPr="009B04A5">
        <w:rPr>
          <w:rStyle w:val="tlid-translation"/>
          <w:rFonts w:ascii="Book Antiqua" w:hAnsi="Book Antiqua"/>
        </w:rPr>
        <w:t>,</w:t>
      </w:r>
      <w:r w:rsidR="00DB0242" w:rsidRPr="009B04A5">
        <w:rPr>
          <w:rStyle w:val="tlid-translation"/>
          <w:rFonts w:ascii="Book Antiqua" w:hAnsi="Book Antiqua"/>
        </w:rPr>
        <w:t xml:space="preserve"> there is still no one </w:t>
      </w:r>
      <w:r w:rsidR="009164AE" w:rsidRPr="009B04A5">
        <w:rPr>
          <w:rStyle w:val="tlid-translation"/>
          <w:rFonts w:ascii="Book Antiqua" w:hAnsi="Book Antiqua"/>
        </w:rPr>
        <w:t xml:space="preserve">single </w:t>
      </w:r>
      <w:r w:rsidR="00DB0242" w:rsidRPr="009B04A5">
        <w:rPr>
          <w:rStyle w:val="tlid-translation"/>
          <w:rFonts w:ascii="Book Antiqua" w:hAnsi="Book Antiqua"/>
        </w:rPr>
        <w:t xml:space="preserve">miRNA or small set that </w:t>
      </w:r>
      <w:r w:rsidR="009164AE" w:rsidRPr="009B04A5">
        <w:rPr>
          <w:rStyle w:val="tlid-translation"/>
          <w:rFonts w:ascii="Book Antiqua" w:hAnsi="Book Antiqua"/>
        </w:rPr>
        <w:t>has an</w:t>
      </w:r>
      <w:r w:rsidR="00DB0242" w:rsidRPr="009B04A5">
        <w:rPr>
          <w:rStyle w:val="tlid-translation"/>
          <w:rFonts w:ascii="Book Antiqua" w:hAnsi="Book Antiqua"/>
        </w:rPr>
        <w:t xml:space="preserve"> accuracy close to 100% to diagnose </w:t>
      </w:r>
      <w:r w:rsidR="000C6B11" w:rsidRPr="009B04A5">
        <w:rPr>
          <w:rStyle w:val="tlid-translation"/>
          <w:rFonts w:ascii="Book Antiqua" w:hAnsi="Book Antiqua"/>
        </w:rPr>
        <w:t>AL</w:t>
      </w:r>
      <w:r w:rsidR="00DB0242" w:rsidRPr="009B04A5">
        <w:rPr>
          <w:rStyle w:val="tlid-translation"/>
          <w:rFonts w:ascii="Book Antiqua" w:hAnsi="Book Antiqua"/>
        </w:rPr>
        <w:t xml:space="preserve"> or differentiate its subtypes, regardless of other diagnostic factors. A much more promising direction for further research on miRNAs is to utilize their potential for effective and personalized medicine. In the case of miRNA, the therapeutic challenge is also to improve targeting (one miRNA usually regulates the expression of many genes) as well as to increase the circulation time of the molecule. The therapeutic use of miRNA therefore requires a combination with a suitable nanoparticle that directs miR as well as </w:t>
      </w:r>
      <w:r w:rsidR="00AE37C0" w:rsidRPr="009B04A5">
        <w:rPr>
          <w:rStyle w:val="tlid-translation"/>
          <w:rFonts w:ascii="Book Antiqua" w:hAnsi="Book Antiqua"/>
        </w:rPr>
        <w:t>protects</w:t>
      </w:r>
      <w:r w:rsidR="00DB0242" w:rsidRPr="009B04A5">
        <w:rPr>
          <w:rStyle w:val="tlid-translation"/>
          <w:rFonts w:ascii="Book Antiqua" w:hAnsi="Book Antiqua"/>
        </w:rPr>
        <w:t xml:space="preserve"> against inactivation and degradation</w:t>
      </w:r>
      <w:r w:rsidR="00455C00" w:rsidRPr="009B04A5">
        <w:rPr>
          <w:rStyle w:val="tlid-translation"/>
          <w:rFonts w:ascii="Book Antiqua" w:hAnsi="Book Antiqua"/>
          <w:vertAlign w:val="superscript"/>
        </w:rPr>
        <w:t>[148]</w:t>
      </w:r>
      <w:r w:rsidR="00DB0242" w:rsidRPr="009B04A5">
        <w:rPr>
          <w:rStyle w:val="tlid-translation"/>
          <w:rFonts w:ascii="Book Antiqua" w:hAnsi="Book Antiqua"/>
        </w:rPr>
        <w:t>.</w:t>
      </w:r>
    </w:p>
    <w:p w:rsidR="007B304E" w:rsidRPr="009B04A5" w:rsidRDefault="00DB0242" w:rsidP="00C709AE">
      <w:pPr>
        <w:adjustRightInd w:val="0"/>
        <w:snapToGrid w:val="0"/>
        <w:spacing w:line="360" w:lineRule="auto"/>
        <w:ind w:firstLineChars="100" w:firstLine="240"/>
        <w:rPr>
          <w:rFonts w:ascii="Book Antiqua" w:hAnsi="Book Antiqua"/>
        </w:rPr>
      </w:pPr>
      <w:r w:rsidRPr="009B04A5">
        <w:rPr>
          <w:rFonts w:ascii="Book Antiqua" w:hAnsi="Book Antiqua"/>
        </w:rPr>
        <w:t xml:space="preserve">One of the trends in modern diagnostics and antileukemia therapy is the </w:t>
      </w:r>
      <w:r w:rsidR="00AE37C0" w:rsidRPr="009B04A5">
        <w:rPr>
          <w:rFonts w:ascii="Book Antiqua" w:hAnsi="Book Antiqua"/>
        </w:rPr>
        <w:t>exact</w:t>
      </w:r>
      <w:r w:rsidRPr="009B04A5">
        <w:rPr>
          <w:rFonts w:ascii="Book Antiqua" w:hAnsi="Book Antiqua"/>
        </w:rPr>
        <w:t xml:space="preserve"> use of nanotechnology, which primarily offers the opportunity to improve sensitivity, selectivity</w:t>
      </w:r>
      <w:r w:rsidR="00F4479A" w:rsidRPr="009B04A5">
        <w:rPr>
          <w:rFonts w:ascii="Book Antiqua" w:hAnsi="Book Antiqua"/>
        </w:rPr>
        <w:t>,</w:t>
      </w:r>
      <w:r w:rsidRPr="009B04A5">
        <w:rPr>
          <w:rFonts w:ascii="Book Antiqua" w:hAnsi="Book Antiqua"/>
        </w:rPr>
        <w:t xml:space="preserve"> and bioavailability and thus effectiveness</w:t>
      </w:r>
      <w:r w:rsidR="00455C00" w:rsidRPr="009B04A5">
        <w:rPr>
          <w:rFonts w:ascii="Book Antiqua" w:hAnsi="Book Antiqua"/>
          <w:vertAlign w:val="superscript"/>
        </w:rPr>
        <w:t>[149]</w:t>
      </w:r>
      <w:r w:rsidRPr="009B04A5">
        <w:rPr>
          <w:rFonts w:ascii="Book Antiqua" w:hAnsi="Book Antiqua"/>
        </w:rPr>
        <w:t xml:space="preserve">. The advantage of nanoparticles is their size, which allows them to cross biological barriers more effectively. Anticancer drug components include new classes of therapeutic agents such as </w:t>
      </w:r>
      <w:r w:rsidR="00F4479A" w:rsidRPr="009B04A5">
        <w:rPr>
          <w:rFonts w:ascii="Book Antiqua" w:hAnsi="Book Antiqua"/>
        </w:rPr>
        <w:t xml:space="preserve">small interfering </w:t>
      </w:r>
      <w:r w:rsidRPr="009B04A5">
        <w:rPr>
          <w:rFonts w:ascii="Book Antiqua" w:hAnsi="Book Antiqua"/>
        </w:rPr>
        <w:t>RNA, miRs</w:t>
      </w:r>
      <w:r w:rsidR="00F4479A" w:rsidRPr="009B04A5">
        <w:rPr>
          <w:rFonts w:ascii="Book Antiqua" w:hAnsi="Book Antiqua"/>
        </w:rPr>
        <w:t>,</w:t>
      </w:r>
      <w:r w:rsidRPr="009B04A5">
        <w:rPr>
          <w:rFonts w:ascii="Book Antiqua" w:hAnsi="Book Antiqua"/>
        </w:rPr>
        <w:t xml:space="preserve"> and </w:t>
      </w:r>
      <w:r w:rsidR="00F4479A" w:rsidRPr="009B04A5">
        <w:rPr>
          <w:rFonts w:ascii="Book Antiqua" w:hAnsi="Book Antiqua"/>
        </w:rPr>
        <w:t xml:space="preserve">single strand </w:t>
      </w:r>
      <w:r w:rsidRPr="009B04A5">
        <w:rPr>
          <w:rFonts w:ascii="Book Antiqua" w:hAnsi="Book Antiqua"/>
        </w:rPr>
        <w:t>DNA</w:t>
      </w:r>
      <w:r w:rsidR="00455C00" w:rsidRPr="009B04A5">
        <w:rPr>
          <w:rFonts w:ascii="Book Antiqua" w:hAnsi="Book Antiqua"/>
          <w:vertAlign w:val="superscript"/>
        </w:rPr>
        <w:t>[148]</w:t>
      </w:r>
      <w:r w:rsidRPr="009B04A5">
        <w:rPr>
          <w:rFonts w:ascii="Book Antiqua" w:hAnsi="Book Antiqua"/>
        </w:rPr>
        <w:t>. An additional improvement is the possibility of functionalizing the surface of the nanoconstruct with specific ligands</w:t>
      </w:r>
      <w:r w:rsidR="00455C00" w:rsidRPr="009B04A5">
        <w:rPr>
          <w:rFonts w:ascii="Book Antiqua" w:hAnsi="Book Antiqua"/>
          <w:vertAlign w:val="superscript"/>
        </w:rPr>
        <w:t>[150]</w:t>
      </w:r>
      <w:r w:rsidRPr="009B04A5">
        <w:rPr>
          <w:rFonts w:ascii="Book Antiqua" w:hAnsi="Book Antiqua"/>
        </w:rPr>
        <w:t>. Nevertheless, nanomedicine is the domain of solid tumors</w:t>
      </w:r>
      <w:r w:rsidR="00455C00" w:rsidRPr="009B04A5">
        <w:rPr>
          <w:rFonts w:ascii="Book Antiqua" w:hAnsi="Book Antiqua"/>
          <w:vertAlign w:val="superscript"/>
        </w:rPr>
        <w:t>[149,151]</w:t>
      </w:r>
      <w:r w:rsidRPr="009B04A5">
        <w:rPr>
          <w:rFonts w:ascii="Book Antiqua" w:hAnsi="Book Antiqua"/>
        </w:rPr>
        <w:t xml:space="preserve">. In the case of leukemia, however, nanoconstructions are used as </w:t>
      </w:r>
      <w:r w:rsidR="00AE37C0" w:rsidRPr="009B04A5">
        <w:rPr>
          <w:rFonts w:ascii="Book Antiqua" w:hAnsi="Book Antiqua"/>
        </w:rPr>
        <w:t>noninvasive</w:t>
      </w:r>
      <w:r w:rsidRPr="009B04A5">
        <w:rPr>
          <w:rFonts w:ascii="Book Antiqua" w:hAnsi="Book Antiqua"/>
        </w:rPr>
        <w:t xml:space="preserve"> methods of diagnosis and treatment. An example would be the construction of a modern nanoparticle containing antagomiR-126 </w:t>
      </w:r>
      <w:r w:rsidR="007B304E" w:rsidRPr="009B04A5">
        <w:rPr>
          <w:rFonts w:ascii="Book Antiqua" w:hAnsi="Book Antiqua"/>
        </w:rPr>
        <w:t>[</w:t>
      </w:r>
      <w:r w:rsidRPr="009B04A5">
        <w:rPr>
          <w:rFonts w:ascii="Book Antiqua" w:hAnsi="Book Antiqua"/>
        </w:rPr>
        <w:t>nanoconjugate: LNP@antagomiR126@Anti-CD45.2 (lipopolyplex NPs)</w:t>
      </w:r>
      <w:r w:rsidR="007B304E" w:rsidRPr="009B04A5">
        <w:rPr>
          <w:rFonts w:ascii="Book Antiqua" w:hAnsi="Book Antiqua"/>
        </w:rPr>
        <w:t>]</w:t>
      </w:r>
      <w:r w:rsidRPr="009B04A5">
        <w:rPr>
          <w:rFonts w:ascii="Book Antiqua" w:hAnsi="Book Antiqua"/>
        </w:rPr>
        <w:t xml:space="preserve"> for adult AML therapy</w:t>
      </w:r>
      <w:r w:rsidR="00455C00" w:rsidRPr="009B04A5">
        <w:rPr>
          <w:rFonts w:ascii="Book Antiqua" w:hAnsi="Book Antiqua"/>
          <w:vertAlign w:val="superscript"/>
        </w:rPr>
        <w:t>[152]</w:t>
      </w:r>
      <w:r w:rsidRPr="009B04A5">
        <w:rPr>
          <w:rFonts w:ascii="Book Antiqua" w:hAnsi="Book Antiqua"/>
        </w:rPr>
        <w:t>.</w:t>
      </w:r>
    </w:p>
    <w:p w:rsidR="007B304E" w:rsidRPr="009B04A5" w:rsidRDefault="00DB0242" w:rsidP="00C709AE">
      <w:pPr>
        <w:adjustRightInd w:val="0"/>
        <w:snapToGrid w:val="0"/>
        <w:spacing w:line="360" w:lineRule="auto"/>
        <w:ind w:firstLineChars="100" w:firstLine="240"/>
        <w:rPr>
          <w:rStyle w:val="tlid-translation"/>
          <w:rFonts w:ascii="Book Antiqua" w:hAnsi="Book Antiqua"/>
        </w:rPr>
      </w:pPr>
      <w:r w:rsidRPr="009B04A5">
        <w:rPr>
          <w:rStyle w:val="tlid-translation"/>
          <w:rFonts w:ascii="Book Antiqua" w:hAnsi="Book Antiqua"/>
        </w:rPr>
        <w:lastRenderedPageBreak/>
        <w:t>N</w:t>
      </w:r>
      <w:r w:rsidR="003E3ACC" w:rsidRPr="009B04A5">
        <w:rPr>
          <w:rStyle w:val="tlid-translation"/>
          <w:rFonts w:ascii="Book Antiqua" w:hAnsi="Book Antiqua"/>
        </w:rPr>
        <w:t>evertheless, the introduction of miRNA assays</w:t>
      </w:r>
      <w:r w:rsidR="002B024C" w:rsidRPr="009B04A5">
        <w:rPr>
          <w:rStyle w:val="tlid-translation"/>
          <w:rFonts w:ascii="Book Antiqua" w:hAnsi="Book Antiqua"/>
        </w:rPr>
        <w:t xml:space="preserve"> into</w:t>
      </w:r>
      <w:r w:rsidR="003E3ACC" w:rsidRPr="009B04A5">
        <w:rPr>
          <w:rStyle w:val="tlid-translation"/>
          <w:rFonts w:ascii="Book Antiqua" w:hAnsi="Book Antiqua"/>
        </w:rPr>
        <w:t xml:space="preserve"> diagnostics and therapy is a challenge and requires further refinement, above all, of analysis standards. In this field, convergent results of </w:t>
      </w:r>
      <w:r w:rsidR="00AE37C0" w:rsidRPr="009B04A5">
        <w:rPr>
          <w:rStyle w:val="tlid-translation"/>
          <w:rFonts w:ascii="Book Antiqua" w:hAnsi="Book Antiqua"/>
        </w:rPr>
        <w:t>analyses</w:t>
      </w:r>
      <w:r w:rsidR="003E3ACC" w:rsidRPr="009B04A5">
        <w:rPr>
          <w:rStyle w:val="tlid-translation"/>
          <w:rFonts w:ascii="Book Antiqua" w:hAnsi="Book Antiqua"/>
        </w:rPr>
        <w:t xml:space="preserve"> of various research teams obtained </w:t>
      </w:r>
      <w:r w:rsidR="002B024C" w:rsidRPr="009B04A5">
        <w:rPr>
          <w:rStyle w:val="tlid-translation"/>
          <w:rFonts w:ascii="Book Antiqua" w:hAnsi="Book Antiqua"/>
        </w:rPr>
        <w:t xml:space="preserve">in </w:t>
      </w:r>
      <w:r w:rsidR="003E3ACC" w:rsidRPr="009B04A5">
        <w:rPr>
          <w:rStyle w:val="tlid-translation"/>
          <w:rFonts w:ascii="Book Antiqua" w:hAnsi="Book Antiqua"/>
        </w:rPr>
        <w:t xml:space="preserve">independent groups of patients with AL diagnosis are a great achievement. This is possible despite conducting the experiment in different conditions and with different parameters in independent diagnostic laboratories. Therefore, the possibility of using miRNA in the classification and assessment of risk groups in the case of childhood </w:t>
      </w:r>
      <w:r w:rsidR="000C6B11" w:rsidRPr="009B04A5">
        <w:rPr>
          <w:rStyle w:val="tlid-translation"/>
          <w:rFonts w:ascii="Book Antiqua" w:hAnsi="Book Antiqua"/>
        </w:rPr>
        <w:t>AL</w:t>
      </w:r>
      <w:r w:rsidR="003E3ACC" w:rsidRPr="009B04A5">
        <w:rPr>
          <w:rStyle w:val="tlid-translation"/>
          <w:rFonts w:ascii="Book Antiqua" w:hAnsi="Book Antiqua"/>
        </w:rPr>
        <w:t xml:space="preserve"> </w:t>
      </w:r>
      <w:r w:rsidR="002B024C" w:rsidRPr="009B04A5">
        <w:rPr>
          <w:rStyle w:val="tlid-translation"/>
          <w:rFonts w:ascii="Book Antiqua" w:hAnsi="Book Antiqua"/>
        </w:rPr>
        <w:t>does exist</w:t>
      </w:r>
      <w:r w:rsidR="003E3ACC" w:rsidRPr="009B04A5">
        <w:rPr>
          <w:rStyle w:val="tlid-translation"/>
          <w:rFonts w:ascii="Book Antiqua" w:hAnsi="Book Antiqua"/>
        </w:rPr>
        <w:t xml:space="preserve">. Significant technical progress does not go hand in hand with clinical trials. </w:t>
      </w:r>
      <w:r w:rsidR="00BE30C9" w:rsidRPr="009B04A5">
        <w:rPr>
          <w:rFonts w:ascii="Book Antiqua" w:hAnsi="Book Antiqua"/>
        </w:rPr>
        <w:t xml:space="preserve">There is a long way to </w:t>
      </w:r>
      <w:r w:rsidR="002B024C" w:rsidRPr="009B04A5">
        <w:rPr>
          <w:rFonts w:ascii="Book Antiqua" w:hAnsi="Book Antiqua"/>
        </w:rPr>
        <w:t xml:space="preserve">go in </w:t>
      </w:r>
      <w:r w:rsidR="00BE30C9" w:rsidRPr="009B04A5">
        <w:rPr>
          <w:rFonts w:ascii="Book Antiqua" w:hAnsi="Book Antiqua"/>
        </w:rPr>
        <w:t>understand</w:t>
      </w:r>
      <w:r w:rsidR="002B024C" w:rsidRPr="009B04A5">
        <w:rPr>
          <w:rFonts w:ascii="Book Antiqua" w:hAnsi="Book Antiqua"/>
        </w:rPr>
        <w:t>ing</w:t>
      </w:r>
      <w:r w:rsidR="00BE30C9" w:rsidRPr="009B04A5">
        <w:rPr>
          <w:rFonts w:ascii="Book Antiqua" w:hAnsi="Book Antiqua"/>
        </w:rPr>
        <w:t xml:space="preserve"> miRNA regulatory mechanisms in childhood AL. We</w:t>
      </w:r>
      <w:r w:rsidR="006E0613" w:rsidRPr="009B04A5">
        <w:rPr>
          <w:rStyle w:val="tlid-translation"/>
          <w:rFonts w:ascii="Book Antiqua" w:hAnsi="Book Antiqua"/>
        </w:rPr>
        <w:t xml:space="preserve"> still need to acquire and integrate data in the field of</w:t>
      </w:r>
      <w:r w:rsidR="00894186" w:rsidRPr="009B04A5">
        <w:rPr>
          <w:rFonts w:ascii="Book Antiqua" w:hAnsi="Book Antiqua"/>
        </w:rPr>
        <w:t xml:space="preserve"> miRNA-mRNA–protein interaction, phenotypic observation, posttranscriptional regulatory interactions</w:t>
      </w:r>
      <w:r w:rsidR="00F4479A" w:rsidRPr="009B04A5">
        <w:rPr>
          <w:rFonts w:ascii="Book Antiqua" w:hAnsi="Book Antiqua"/>
        </w:rPr>
        <w:t>,</w:t>
      </w:r>
      <w:r w:rsidR="00894186" w:rsidRPr="009B04A5">
        <w:rPr>
          <w:rFonts w:ascii="Book Antiqua" w:hAnsi="Book Antiqua"/>
        </w:rPr>
        <w:t xml:space="preserve"> and functional analysis</w:t>
      </w:r>
      <w:r w:rsidR="00153928" w:rsidRPr="009B04A5">
        <w:rPr>
          <w:rFonts w:ascii="Book Antiqua" w:hAnsi="Book Antiqua"/>
          <w:vertAlign w:val="superscript"/>
        </w:rPr>
        <w:t>[15]</w:t>
      </w:r>
      <w:r w:rsidR="006E0613" w:rsidRPr="009B04A5">
        <w:rPr>
          <w:rFonts w:ascii="Book Antiqua" w:hAnsi="Book Antiqua"/>
        </w:rPr>
        <w:t>.</w:t>
      </w:r>
      <w:r w:rsidR="006E0613" w:rsidRPr="009B04A5">
        <w:rPr>
          <w:rStyle w:val="tlid-translation"/>
          <w:rFonts w:ascii="Book Antiqua" w:hAnsi="Book Antiqua"/>
        </w:rPr>
        <w:t xml:space="preserve"> Much effort should also be made to standardize and validate laboratory procedures for determining miRNA levels.</w:t>
      </w:r>
    </w:p>
    <w:p w:rsidR="002C5609" w:rsidRPr="009B04A5" w:rsidRDefault="002C5609" w:rsidP="00C709AE">
      <w:pPr>
        <w:adjustRightInd w:val="0"/>
        <w:snapToGrid w:val="0"/>
        <w:spacing w:line="360" w:lineRule="auto"/>
        <w:ind w:firstLineChars="100" w:firstLine="240"/>
        <w:rPr>
          <w:rFonts w:ascii="Book Antiqua" w:hAnsi="Book Antiqua"/>
        </w:rPr>
      </w:pPr>
      <w:r w:rsidRPr="009B04A5">
        <w:rPr>
          <w:rFonts w:ascii="Book Antiqua" w:hAnsi="Book Antiqua"/>
        </w:rPr>
        <w:t xml:space="preserve">Finally, although </w:t>
      </w:r>
      <w:r w:rsidR="00AE37C0" w:rsidRPr="009B04A5">
        <w:rPr>
          <w:rFonts w:ascii="Book Antiqua" w:hAnsi="Book Antiqua"/>
        </w:rPr>
        <w:t xml:space="preserve">the </w:t>
      </w:r>
      <w:r w:rsidR="00BF5A86" w:rsidRPr="009B04A5">
        <w:rPr>
          <w:rFonts w:ascii="Book Antiqua" w:hAnsi="Book Antiqua"/>
        </w:rPr>
        <w:t xml:space="preserve">survival rates for pediatric </w:t>
      </w:r>
      <w:r w:rsidR="000C6B11" w:rsidRPr="009B04A5">
        <w:rPr>
          <w:rFonts w:ascii="Book Antiqua" w:hAnsi="Book Antiqua"/>
        </w:rPr>
        <w:t>AL</w:t>
      </w:r>
      <w:r w:rsidR="00BF5A86" w:rsidRPr="009B04A5">
        <w:rPr>
          <w:rFonts w:ascii="Book Antiqua" w:hAnsi="Book Antiqua"/>
        </w:rPr>
        <w:t xml:space="preserve">s </w:t>
      </w:r>
      <w:r w:rsidRPr="009B04A5">
        <w:rPr>
          <w:rFonts w:ascii="Book Antiqua" w:hAnsi="Book Antiqua"/>
        </w:rPr>
        <w:t xml:space="preserve">has improved, there is still a need for </w:t>
      </w:r>
      <w:r w:rsidR="00B0013A" w:rsidRPr="009B04A5">
        <w:rPr>
          <w:rFonts w:ascii="Book Antiqua" w:hAnsi="Book Antiqua"/>
        </w:rPr>
        <w:t xml:space="preserve">identifying </w:t>
      </w:r>
      <w:r w:rsidRPr="009B04A5">
        <w:rPr>
          <w:rFonts w:ascii="Book Antiqua" w:hAnsi="Book Antiqua"/>
        </w:rPr>
        <w:t xml:space="preserve">novel </w:t>
      </w:r>
      <w:r w:rsidR="00821F71" w:rsidRPr="009B04A5">
        <w:rPr>
          <w:rFonts w:ascii="Book Antiqua" w:hAnsi="Book Antiqua"/>
        </w:rPr>
        <w:t xml:space="preserve">reliable, </w:t>
      </w:r>
      <w:r w:rsidR="00B0013A" w:rsidRPr="009B04A5">
        <w:rPr>
          <w:rFonts w:ascii="Book Antiqua" w:hAnsi="Book Antiqua"/>
        </w:rPr>
        <w:t>sensitive,</w:t>
      </w:r>
      <w:r w:rsidR="00821F71" w:rsidRPr="009B04A5">
        <w:rPr>
          <w:rFonts w:ascii="Book Antiqua" w:hAnsi="Book Antiqua"/>
        </w:rPr>
        <w:t xml:space="preserve"> and specific</w:t>
      </w:r>
      <w:r w:rsidR="00C709AE" w:rsidRPr="009B04A5">
        <w:rPr>
          <w:rFonts w:ascii="Book Antiqua" w:hAnsi="Book Antiqua"/>
        </w:rPr>
        <w:t xml:space="preserve"> </w:t>
      </w:r>
      <w:r w:rsidR="00821F71" w:rsidRPr="009B04A5">
        <w:rPr>
          <w:rFonts w:ascii="Book Antiqua" w:hAnsi="Book Antiqua"/>
        </w:rPr>
        <w:t xml:space="preserve">molecular </w:t>
      </w:r>
      <w:r w:rsidRPr="009B04A5">
        <w:rPr>
          <w:rFonts w:ascii="Book Antiqua" w:hAnsi="Book Antiqua"/>
        </w:rPr>
        <w:t>markers</w:t>
      </w:r>
      <w:r w:rsidR="00AE37C0" w:rsidRPr="009B04A5">
        <w:rPr>
          <w:rFonts w:ascii="Book Antiqua" w:hAnsi="Book Antiqua"/>
        </w:rPr>
        <w:t>,</w:t>
      </w:r>
      <w:r w:rsidRPr="009B04A5">
        <w:rPr>
          <w:rFonts w:ascii="Book Antiqua" w:hAnsi="Book Antiqua"/>
        </w:rPr>
        <w:t xml:space="preserve"> such as </w:t>
      </w:r>
      <w:r w:rsidR="00AE37C0" w:rsidRPr="009B04A5">
        <w:rPr>
          <w:rFonts w:ascii="Book Antiqua" w:hAnsi="Book Antiqua"/>
        </w:rPr>
        <w:t>miRNAs,</w:t>
      </w:r>
      <w:r w:rsidRPr="009B04A5">
        <w:rPr>
          <w:rFonts w:ascii="Book Antiqua" w:hAnsi="Book Antiqua"/>
        </w:rPr>
        <w:t xml:space="preserve"> that can be used </w:t>
      </w:r>
      <w:r w:rsidR="005129CE" w:rsidRPr="009B04A5">
        <w:rPr>
          <w:rFonts w:ascii="Book Antiqua" w:hAnsi="Book Antiqua"/>
        </w:rPr>
        <w:t>in a personalized approach to</w:t>
      </w:r>
      <w:r w:rsidRPr="009B04A5">
        <w:rPr>
          <w:rFonts w:ascii="Book Antiqua" w:hAnsi="Book Antiqua"/>
        </w:rPr>
        <w:t xml:space="preserve"> early diagnosis</w:t>
      </w:r>
      <w:r w:rsidR="005129CE" w:rsidRPr="009B04A5">
        <w:rPr>
          <w:rFonts w:ascii="Book Antiqua" w:hAnsi="Book Antiqua"/>
        </w:rPr>
        <w:t xml:space="preserve"> (perhaps even prevention)</w:t>
      </w:r>
      <w:r w:rsidRPr="009B04A5">
        <w:rPr>
          <w:rFonts w:ascii="Book Antiqua" w:hAnsi="Book Antiqua"/>
        </w:rPr>
        <w:t xml:space="preserve">, </w:t>
      </w:r>
      <w:r w:rsidR="00821F71" w:rsidRPr="009B04A5">
        <w:rPr>
          <w:rFonts w:ascii="Book Antiqua" w:hAnsi="Book Antiqua"/>
        </w:rPr>
        <w:t xml:space="preserve">risk group stratification, </w:t>
      </w:r>
      <w:r w:rsidR="005129CE" w:rsidRPr="009B04A5">
        <w:rPr>
          <w:rFonts w:ascii="Book Antiqua" w:hAnsi="Book Antiqua"/>
        </w:rPr>
        <w:t xml:space="preserve">and </w:t>
      </w:r>
      <w:r w:rsidRPr="009B04A5">
        <w:rPr>
          <w:rFonts w:ascii="Book Antiqua" w:hAnsi="Book Antiqua"/>
        </w:rPr>
        <w:t>prediction of treatment response.</w:t>
      </w:r>
    </w:p>
    <w:p w:rsidR="00F1298B" w:rsidRPr="009B04A5" w:rsidRDefault="00F1298B" w:rsidP="00C709AE">
      <w:pPr>
        <w:adjustRightInd w:val="0"/>
        <w:snapToGrid w:val="0"/>
        <w:spacing w:line="360" w:lineRule="auto"/>
        <w:ind w:firstLine="0"/>
        <w:rPr>
          <w:rFonts w:ascii="Book Antiqua" w:hAnsi="Book Antiqua"/>
        </w:rPr>
      </w:pPr>
    </w:p>
    <w:p w:rsidR="00D043D3" w:rsidRPr="009B04A5" w:rsidRDefault="00D043D3" w:rsidP="00C709AE">
      <w:pPr>
        <w:shd w:val="clear" w:color="auto" w:fill="FFFFFF"/>
        <w:spacing w:line="360" w:lineRule="auto"/>
        <w:ind w:firstLine="0"/>
        <w:rPr>
          <w:rFonts w:ascii="Book Antiqua" w:hAnsi="Book Antiqua"/>
          <w:b/>
        </w:rPr>
      </w:pPr>
      <w:r w:rsidRPr="009B04A5">
        <w:rPr>
          <w:rFonts w:ascii="Book Antiqua" w:hAnsi="Book Antiqua"/>
          <w:b/>
        </w:rPr>
        <w:t>REFERENCES</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 </w:t>
      </w:r>
      <w:r w:rsidRPr="009B04A5">
        <w:rPr>
          <w:rFonts w:ascii="Book Antiqua" w:hAnsi="Book Antiqua"/>
          <w:b/>
        </w:rPr>
        <w:t>Pui CH</w:t>
      </w:r>
      <w:r w:rsidRPr="009B04A5">
        <w:rPr>
          <w:rFonts w:ascii="Book Antiqua" w:hAnsi="Book Antiqua"/>
        </w:rPr>
        <w:t xml:space="preserve">, Carroll WL, Meshinchi S, Arceci RJ. Biology, risk stratification, and therapy of pediatric acute leukemias: an update. </w:t>
      </w:r>
      <w:r w:rsidRPr="009B04A5">
        <w:rPr>
          <w:rFonts w:ascii="Book Antiqua" w:hAnsi="Book Antiqua"/>
          <w:i/>
        </w:rPr>
        <w:t>J Clin Oncol</w:t>
      </w:r>
      <w:r w:rsidRPr="009B04A5">
        <w:rPr>
          <w:rFonts w:ascii="Book Antiqua" w:hAnsi="Book Antiqua"/>
        </w:rPr>
        <w:t xml:space="preserve"> 2011; </w:t>
      </w:r>
      <w:r w:rsidRPr="009B04A5">
        <w:rPr>
          <w:rFonts w:ascii="Book Antiqua" w:hAnsi="Book Antiqua"/>
          <w:b/>
        </w:rPr>
        <w:t>29</w:t>
      </w:r>
      <w:r w:rsidRPr="009B04A5">
        <w:rPr>
          <w:rFonts w:ascii="Book Antiqua" w:hAnsi="Book Antiqua"/>
        </w:rPr>
        <w:t>: 551-565 [PMID: 21220611 DOI: 10.1200/JCO.2010.30.7405]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2 </w:t>
      </w:r>
      <w:r w:rsidRPr="009B04A5">
        <w:rPr>
          <w:rFonts w:ascii="Book Antiqua" w:hAnsi="Book Antiqua"/>
          <w:b/>
        </w:rPr>
        <w:t>Wiemels J</w:t>
      </w:r>
      <w:r w:rsidRPr="009B04A5">
        <w:rPr>
          <w:rFonts w:ascii="Book Antiqua" w:hAnsi="Book Antiqua"/>
        </w:rPr>
        <w:t xml:space="preserve">. Perspectives on the causes of childhood leukemia. </w:t>
      </w:r>
      <w:r w:rsidRPr="009B04A5">
        <w:rPr>
          <w:rFonts w:ascii="Book Antiqua" w:hAnsi="Book Antiqua"/>
          <w:i/>
        </w:rPr>
        <w:t>Chem Biol Interact</w:t>
      </w:r>
      <w:r w:rsidRPr="009B04A5">
        <w:rPr>
          <w:rFonts w:ascii="Book Antiqua" w:hAnsi="Book Antiqua"/>
        </w:rPr>
        <w:t xml:space="preserve"> 2012; </w:t>
      </w:r>
      <w:r w:rsidRPr="009B04A5">
        <w:rPr>
          <w:rFonts w:ascii="Book Antiqua" w:hAnsi="Book Antiqua"/>
          <w:b/>
        </w:rPr>
        <w:t>196</w:t>
      </w:r>
      <w:r w:rsidRPr="009B04A5">
        <w:rPr>
          <w:rFonts w:ascii="Book Antiqua" w:hAnsi="Book Antiqua"/>
        </w:rPr>
        <w:t>: 59-67 [PMID: 22326931 DOI: 10.1016/j.cbi.2012.01.007]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3 </w:t>
      </w:r>
      <w:r w:rsidRPr="009B04A5">
        <w:rPr>
          <w:rFonts w:ascii="Book Antiqua" w:hAnsi="Book Antiqua"/>
          <w:b/>
        </w:rPr>
        <w:t>Grobbelaar C</w:t>
      </w:r>
      <w:r w:rsidRPr="009B04A5">
        <w:rPr>
          <w:rFonts w:ascii="Book Antiqua" w:hAnsi="Book Antiqua"/>
        </w:rPr>
        <w:t xml:space="preserve">, Ford AM. The Role of MicroRNA in Paediatric Acute Lymphoblastic Leukaemia: Challenges for Diagnosis and Therapy. </w:t>
      </w:r>
      <w:r w:rsidRPr="009B04A5">
        <w:rPr>
          <w:rFonts w:ascii="Book Antiqua" w:hAnsi="Book Antiqua"/>
          <w:i/>
        </w:rPr>
        <w:t>J Oncol</w:t>
      </w:r>
      <w:r w:rsidRPr="009B04A5">
        <w:rPr>
          <w:rFonts w:ascii="Book Antiqua" w:hAnsi="Book Antiqua"/>
        </w:rPr>
        <w:t xml:space="preserve"> 2019; </w:t>
      </w:r>
      <w:r w:rsidRPr="009B04A5">
        <w:rPr>
          <w:rFonts w:ascii="Book Antiqua" w:hAnsi="Book Antiqua"/>
          <w:b/>
        </w:rPr>
        <w:t>2019</w:t>
      </w:r>
      <w:r w:rsidRPr="009B04A5">
        <w:rPr>
          <w:rFonts w:ascii="Book Antiqua" w:hAnsi="Book Antiqua"/>
        </w:rPr>
        <w:t>: 8941471 [PMID: 31737072 DOI: 10.1155/2019/8941471]</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4 </w:t>
      </w:r>
      <w:r w:rsidRPr="009B04A5">
        <w:rPr>
          <w:rFonts w:ascii="Book Antiqua" w:hAnsi="Book Antiqua"/>
          <w:b/>
        </w:rPr>
        <w:t>Kantarjian H</w:t>
      </w:r>
      <w:r w:rsidRPr="009B04A5">
        <w:rPr>
          <w:rFonts w:ascii="Book Antiqua" w:hAnsi="Book Antiqua"/>
        </w:rPr>
        <w:t xml:space="preserve">, O'Brien S, Cortes J, Wierda W, Faderl S, Garcia-Manero G, Issa JP, Estey E, Keating M, Freireich EJ. Therapeutic advances in leukemia and </w:t>
      </w:r>
      <w:r w:rsidRPr="009B04A5">
        <w:rPr>
          <w:rFonts w:ascii="Book Antiqua" w:hAnsi="Book Antiqua"/>
        </w:rPr>
        <w:lastRenderedPageBreak/>
        <w:t xml:space="preserve">myelodysplastic syndrome over the past 40 years. </w:t>
      </w:r>
      <w:r w:rsidRPr="009B04A5">
        <w:rPr>
          <w:rFonts w:ascii="Book Antiqua" w:hAnsi="Book Antiqua"/>
          <w:i/>
        </w:rPr>
        <w:t>Cancer</w:t>
      </w:r>
      <w:r w:rsidRPr="009B04A5">
        <w:rPr>
          <w:rFonts w:ascii="Book Antiqua" w:hAnsi="Book Antiqua"/>
        </w:rPr>
        <w:t xml:space="preserve"> 2008; </w:t>
      </w:r>
      <w:r w:rsidRPr="009B04A5">
        <w:rPr>
          <w:rFonts w:ascii="Book Antiqua" w:hAnsi="Book Antiqua"/>
          <w:b/>
        </w:rPr>
        <w:t>113</w:t>
      </w:r>
      <w:r w:rsidRPr="009B04A5">
        <w:rPr>
          <w:rFonts w:ascii="Book Antiqua" w:hAnsi="Book Antiqua"/>
        </w:rPr>
        <w:t>: 1933-1952 [PMID: 18798533 DOI: 10.1002/cncr.23655]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5 </w:t>
      </w:r>
      <w:r w:rsidRPr="009B04A5">
        <w:rPr>
          <w:rFonts w:ascii="Book Antiqua" w:hAnsi="Book Antiqua"/>
          <w:b/>
        </w:rPr>
        <w:t>Rubnitz JE</w:t>
      </w:r>
      <w:r w:rsidRPr="009B04A5">
        <w:rPr>
          <w:rFonts w:ascii="Book Antiqua" w:hAnsi="Book Antiqua"/>
        </w:rPr>
        <w:t xml:space="preserve">, Inaba H, Leung WH, Pounds S, Cao X, Campana D, Ribeiro RC, Pui CH. Definition of cure in childhood acute myeloid leukemia. </w:t>
      </w:r>
      <w:r w:rsidRPr="009B04A5">
        <w:rPr>
          <w:rFonts w:ascii="Book Antiqua" w:hAnsi="Book Antiqua"/>
          <w:i/>
        </w:rPr>
        <w:t>Cancer</w:t>
      </w:r>
      <w:r w:rsidRPr="009B04A5">
        <w:rPr>
          <w:rFonts w:ascii="Book Antiqua" w:hAnsi="Book Antiqua"/>
        </w:rPr>
        <w:t xml:space="preserve"> 2014; </w:t>
      </w:r>
      <w:r w:rsidRPr="009B04A5">
        <w:rPr>
          <w:rFonts w:ascii="Book Antiqua" w:hAnsi="Book Antiqua"/>
          <w:b/>
        </w:rPr>
        <w:t>120</w:t>
      </w:r>
      <w:r w:rsidRPr="009B04A5">
        <w:rPr>
          <w:rFonts w:ascii="Book Antiqua" w:hAnsi="Book Antiqua"/>
        </w:rPr>
        <w:t>: 2490-2496 [PMID: 24798038 DOI: 10.1002/cncr.28742]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6 </w:t>
      </w:r>
      <w:r w:rsidRPr="009B04A5">
        <w:rPr>
          <w:rFonts w:ascii="Book Antiqua" w:hAnsi="Book Antiqua"/>
          <w:b/>
        </w:rPr>
        <w:t>Bhojwani D</w:t>
      </w:r>
      <w:r w:rsidRPr="009B04A5">
        <w:rPr>
          <w:rFonts w:ascii="Book Antiqua" w:hAnsi="Book Antiqua"/>
        </w:rPr>
        <w:t xml:space="preserve">, Howard SC, Pui CH. High-risk childhood acute lymphoblastic leukemia. </w:t>
      </w:r>
      <w:r w:rsidRPr="009B04A5">
        <w:rPr>
          <w:rFonts w:ascii="Book Antiqua" w:hAnsi="Book Antiqua"/>
          <w:i/>
        </w:rPr>
        <w:t>Clin Lymphoma Myeloma</w:t>
      </w:r>
      <w:r w:rsidRPr="009B04A5">
        <w:rPr>
          <w:rFonts w:ascii="Book Antiqua" w:hAnsi="Book Antiqua"/>
        </w:rPr>
        <w:t xml:space="preserve"> 2009; </w:t>
      </w:r>
      <w:r w:rsidRPr="009B04A5">
        <w:rPr>
          <w:rFonts w:ascii="Book Antiqua" w:hAnsi="Book Antiqua"/>
          <w:b/>
        </w:rPr>
        <w:t>9 Suppl 3</w:t>
      </w:r>
      <w:r w:rsidRPr="009B04A5">
        <w:rPr>
          <w:rFonts w:ascii="Book Antiqua" w:hAnsi="Book Antiqua"/>
        </w:rPr>
        <w:t>: S222-S230 [PMID: 19778845 DOI: 10.3816/CLM.2009.s.016]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7 </w:t>
      </w:r>
      <w:r w:rsidRPr="009B04A5">
        <w:rPr>
          <w:rFonts w:ascii="Book Antiqua" w:hAnsi="Book Antiqua"/>
          <w:b/>
        </w:rPr>
        <w:t>Teachey DT</w:t>
      </w:r>
      <w:r w:rsidRPr="009B04A5">
        <w:rPr>
          <w:rFonts w:ascii="Book Antiqua" w:hAnsi="Book Antiqua"/>
        </w:rPr>
        <w:t xml:space="preserve">, Hunger SP. Predicting relapse risk in childhood acute lymphoblastic leukaemia. </w:t>
      </w:r>
      <w:r w:rsidRPr="009B04A5">
        <w:rPr>
          <w:rFonts w:ascii="Book Antiqua" w:hAnsi="Book Antiqua"/>
          <w:i/>
        </w:rPr>
        <w:t>Br J Haematol</w:t>
      </w:r>
      <w:r w:rsidRPr="009B04A5">
        <w:rPr>
          <w:rFonts w:ascii="Book Antiqua" w:hAnsi="Book Antiqua"/>
        </w:rPr>
        <w:t xml:space="preserve"> 2013; </w:t>
      </w:r>
      <w:r w:rsidRPr="009B04A5">
        <w:rPr>
          <w:rFonts w:ascii="Book Antiqua" w:hAnsi="Book Antiqua"/>
          <w:b/>
        </w:rPr>
        <w:t>162</w:t>
      </w:r>
      <w:r w:rsidRPr="009B04A5">
        <w:rPr>
          <w:rFonts w:ascii="Book Antiqua" w:hAnsi="Book Antiqua"/>
        </w:rPr>
        <w:t>: 606-620 [PMID: 23808872 DOI: 10.1111/bjh.12442]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8 </w:t>
      </w:r>
      <w:r w:rsidRPr="009B04A5">
        <w:rPr>
          <w:rFonts w:ascii="Book Antiqua" w:hAnsi="Book Antiqua"/>
          <w:b/>
        </w:rPr>
        <w:t>Szczepanek J</w:t>
      </w:r>
      <w:r w:rsidRPr="009B04A5">
        <w:rPr>
          <w:rFonts w:ascii="Book Antiqua" w:hAnsi="Book Antiqua"/>
        </w:rPr>
        <w:t xml:space="preserve">, Styczyński J, Haus O, Tretyn A, Wysocki M. Relapse of acute lymphoblastic leukemia in children in the context of microarray analyses. </w:t>
      </w:r>
      <w:r w:rsidRPr="009B04A5">
        <w:rPr>
          <w:rFonts w:ascii="Book Antiqua" w:hAnsi="Book Antiqua"/>
          <w:i/>
        </w:rPr>
        <w:t>Arch Immunol Ther Exp (Warsz)</w:t>
      </w:r>
      <w:r w:rsidRPr="009B04A5">
        <w:rPr>
          <w:rFonts w:ascii="Book Antiqua" w:hAnsi="Book Antiqua"/>
        </w:rPr>
        <w:t xml:space="preserve"> 2011; </w:t>
      </w:r>
      <w:r w:rsidRPr="009B04A5">
        <w:rPr>
          <w:rFonts w:ascii="Book Antiqua" w:hAnsi="Book Antiqua"/>
          <w:b/>
        </w:rPr>
        <w:t>59</w:t>
      </w:r>
      <w:r w:rsidRPr="009B04A5">
        <w:rPr>
          <w:rFonts w:ascii="Book Antiqua" w:hAnsi="Book Antiqua"/>
        </w:rPr>
        <w:t>: 61-68 [PMID: 21246408 DOI: 10.1007/s00005-010-0110-1]</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9 </w:t>
      </w:r>
      <w:r w:rsidRPr="009B04A5">
        <w:rPr>
          <w:rFonts w:ascii="Book Antiqua" w:hAnsi="Book Antiqua"/>
          <w:b/>
        </w:rPr>
        <w:t>Bartel DP</w:t>
      </w:r>
      <w:r w:rsidRPr="009B04A5">
        <w:rPr>
          <w:rFonts w:ascii="Book Antiqua" w:hAnsi="Book Antiqua"/>
        </w:rPr>
        <w:t xml:space="preserve">. MicroRNAs: genomics, biogenesis, mechanism, and function. </w:t>
      </w:r>
      <w:r w:rsidRPr="009B04A5">
        <w:rPr>
          <w:rFonts w:ascii="Book Antiqua" w:hAnsi="Book Antiqua"/>
          <w:i/>
        </w:rPr>
        <w:t>Cell</w:t>
      </w:r>
      <w:r w:rsidRPr="009B04A5">
        <w:rPr>
          <w:rFonts w:ascii="Book Antiqua" w:hAnsi="Book Antiqua"/>
        </w:rPr>
        <w:t xml:space="preserve"> 2004; </w:t>
      </w:r>
      <w:r w:rsidRPr="009B04A5">
        <w:rPr>
          <w:rFonts w:ascii="Book Antiqua" w:hAnsi="Book Antiqua"/>
          <w:b/>
        </w:rPr>
        <w:t>116</w:t>
      </w:r>
      <w:r w:rsidRPr="009B04A5">
        <w:rPr>
          <w:rFonts w:ascii="Book Antiqua" w:hAnsi="Book Antiqua"/>
        </w:rPr>
        <w:t>: 281-297 [PMID: 14744438 DOI: 10.1016/S0092-8674(04)00045-5]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10 </w:t>
      </w:r>
      <w:r w:rsidRPr="009B04A5">
        <w:rPr>
          <w:rFonts w:ascii="Book Antiqua" w:hAnsi="Book Antiqua"/>
          <w:b/>
        </w:rPr>
        <w:t>He L</w:t>
      </w:r>
      <w:r w:rsidRPr="009B04A5">
        <w:rPr>
          <w:rFonts w:ascii="Book Antiqua" w:hAnsi="Book Antiqua"/>
        </w:rPr>
        <w:t xml:space="preserve">, Hannon GJ. MicroRNAs: small RNAs with a big role in gene regulation. </w:t>
      </w:r>
      <w:r w:rsidRPr="009B04A5">
        <w:rPr>
          <w:rFonts w:ascii="Book Antiqua" w:hAnsi="Book Antiqua"/>
          <w:i/>
        </w:rPr>
        <w:t>Nat Rev Genet</w:t>
      </w:r>
      <w:r w:rsidRPr="009B04A5">
        <w:rPr>
          <w:rFonts w:ascii="Book Antiqua" w:hAnsi="Book Antiqua"/>
        </w:rPr>
        <w:t xml:space="preserve"> 2004; </w:t>
      </w:r>
      <w:r w:rsidRPr="009B04A5">
        <w:rPr>
          <w:rFonts w:ascii="Book Antiqua" w:hAnsi="Book Antiqua"/>
          <w:b/>
        </w:rPr>
        <w:t>5</w:t>
      </w:r>
      <w:r w:rsidRPr="009B04A5">
        <w:rPr>
          <w:rFonts w:ascii="Book Antiqua" w:hAnsi="Book Antiqua"/>
        </w:rPr>
        <w:t>: 522-531 [PMID: 15211354 DOI: 10.1038/nrg1379]</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11 </w:t>
      </w:r>
      <w:r w:rsidRPr="009B04A5">
        <w:rPr>
          <w:rFonts w:ascii="Book Antiqua" w:hAnsi="Book Antiqua"/>
          <w:b/>
        </w:rPr>
        <w:t>Lewis BP</w:t>
      </w:r>
      <w:r w:rsidRPr="009B04A5">
        <w:rPr>
          <w:rFonts w:ascii="Book Antiqua" w:hAnsi="Book Antiqua"/>
        </w:rPr>
        <w:t xml:space="preserve">, Burge CB, Bartel DP. Conserved seed pairing, often flanked by adenosines, indicates that thousands of human genes are microRNA targets. </w:t>
      </w:r>
      <w:r w:rsidRPr="009B04A5">
        <w:rPr>
          <w:rFonts w:ascii="Book Antiqua" w:hAnsi="Book Antiqua"/>
          <w:i/>
        </w:rPr>
        <w:t>Cell</w:t>
      </w:r>
      <w:r w:rsidRPr="009B04A5">
        <w:rPr>
          <w:rFonts w:ascii="Book Antiqua" w:hAnsi="Book Antiqua"/>
        </w:rPr>
        <w:t xml:space="preserve"> 2005; </w:t>
      </w:r>
      <w:r w:rsidRPr="009B04A5">
        <w:rPr>
          <w:rFonts w:ascii="Book Antiqua" w:hAnsi="Book Antiqua"/>
          <w:b/>
        </w:rPr>
        <w:t>120</w:t>
      </w:r>
      <w:r w:rsidRPr="009B04A5">
        <w:rPr>
          <w:rFonts w:ascii="Book Antiqua" w:hAnsi="Book Antiqua"/>
        </w:rPr>
        <w:t>: 15-20 [PMID: 15652477 DOI: 10.1016/j.cell.2004.12.035]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12 </w:t>
      </w:r>
      <w:r w:rsidRPr="009B04A5">
        <w:rPr>
          <w:rFonts w:ascii="Book Antiqua" w:hAnsi="Book Antiqua"/>
          <w:b/>
        </w:rPr>
        <w:t>John B</w:t>
      </w:r>
      <w:r w:rsidRPr="009B04A5">
        <w:rPr>
          <w:rFonts w:ascii="Book Antiqua" w:hAnsi="Book Antiqua"/>
        </w:rPr>
        <w:t xml:space="preserve">, Sander C, Marks DS. Prediction of human microRNA targets. </w:t>
      </w:r>
      <w:r w:rsidRPr="009B04A5">
        <w:rPr>
          <w:rFonts w:ascii="Book Antiqua" w:hAnsi="Book Antiqua"/>
          <w:i/>
        </w:rPr>
        <w:t>Methods Mol Biol</w:t>
      </w:r>
      <w:r w:rsidRPr="009B04A5">
        <w:rPr>
          <w:rFonts w:ascii="Book Antiqua" w:hAnsi="Book Antiqua"/>
        </w:rPr>
        <w:t xml:space="preserve"> 2006; </w:t>
      </w:r>
      <w:r w:rsidRPr="009B04A5">
        <w:rPr>
          <w:rFonts w:ascii="Book Antiqua" w:hAnsi="Book Antiqua"/>
          <w:b/>
        </w:rPr>
        <w:t>342</w:t>
      </w:r>
      <w:r w:rsidRPr="009B04A5">
        <w:rPr>
          <w:rFonts w:ascii="Book Antiqua" w:hAnsi="Book Antiqua"/>
        </w:rPr>
        <w:t>: 101-113 [PMID: 16957370 DOI: 10.1385/1-59745-123-1:101]</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13 </w:t>
      </w:r>
      <w:r w:rsidRPr="009B04A5">
        <w:rPr>
          <w:rFonts w:ascii="Book Antiqua" w:hAnsi="Book Antiqua"/>
          <w:b/>
        </w:rPr>
        <w:t>Lim LP</w:t>
      </w:r>
      <w:r w:rsidRPr="009B04A5">
        <w:rPr>
          <w:rFonts w:ascii="Book Antiqua" w:hAnsi="Book Antiqua"/>
        </w:rPr>
        <w:t xml:space="preserve">, Glasner ME, Yekta S, Burge CB, Bartel DP. Vertebrate microRNA genes. </w:t>
      </w:r>
      <w:r w:rsidRPr="009B04A5">
        <w:rPr>
          <w:rFonts w:ascii="Book Antiqua" w:hAnsi="Book Antiqua"/>
          <w:i/>
        </w:rPr>
        <w:t>Science</w:t>
      </w:r>
      <w:r w:rsidRPr="009B04A5">
        <w:rPr>
          <w:rFonts w:ascii="Book Antiqua" w:hAnsi="Book Antiqua"/>
        </w:rPr>
        <w:t xml:space="preserve"> 2003; </w:t>
      </w:r>
      <w:r w:rsidRPr="009B04A5">
        <w:rPr>
          <w:rFonts w:ascii="Book Antiqua" w:hAnsi="Book Antiqua"/>
          <w:b/>
        </w:rPr>
        <w:t>299</w:t>
      </w:r>
      <w:r w:rsidRPr="009B04A5">
        <w:rPr>
          <w:rFonts w:ascii="Book Antiqua" w:hAnsi="Book Antiqua"/>
        </w:rPr>
        <w:t>: 1540 [PMID: 12624257 DOI: 10.1126/science.1080372]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14 </w:t>
      </w:r>
      <w:r w:rsidRPr="009B04A5">
        <w:rPr>
          <w:rFonts w:ascii="Book Antiqua" w:hAnsi="Book Antiqua"/>
          <w:b/>
        </w:rPr>
        <w:t>Bartel DP</w:t>
      </w:r>
      <w:r w:rsidRPr="009B04A5">
        <w:rPr>
          <w:rFonts w:ascii="Book Antiqua" w:hAnsi="Book Antiqua"/>
        </w:rPr>
        <w:t xml:space="preserve">. MicroRNAs: target recognition and regulatory functions. </w:t>
      </w:r>
      <w:r w:rsidRPr="009B04A5">
        <w:rPr>
          <w:rFonts w:ascii="Book Antiqua" w:hAnsi="Book Antiqua"/>
          <w:i/>
        </w:rPr>
        <w:t>Cell</w:t>
      </w:r>
      <w:r w:rsidRPr="009B04A5">
        <w:rPr>
          <w:rFonts w:ascii="Book Antiqua" w:hAnsi="Book Antiqua"/>
        </w:rPr>
        <w:t xml:space="preserve"> 2009; </w:t>
      </w:r>
      <w:r w:rsidRPr="009B04A5">
        <w:rPr>
          <w:rFonts w:ascii="Book Antiqua" w:hAnsi="Book Antiqua"/>
          <w:b/>
        </w:rPr>
        <w:t>136</w:t>
      </w:r>
      <w:r w:rsidRPr="009B04A5">
        <w:rPr>
          <w:rFonts w:ascii="Book Antiqua" w:hAnsi="Book Antiqua"/>
        </w:rPr>
        <w:t>: 215-233 [PMID: 19167326 DOI: 10.1016/j.cell.2009.01.002]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15 </w:t>
      </w:r>
      <w:r w:rsidRPr="009B04A5">
        <w:rPr>
          <w:rFonts w:ascii="Book Antiqua" w:hAnsi="Book Antiqua"/>
          <w:b/>
        </w:rPr>
        <w:t>Liu B</w:t>
      </w:r>
      <w:r w:rsidRPr="009B04A5">
        <w:rPr>
          <w:rFonts w:ascii="Book Antiqua" w:hAnsi="Book Antiqua"/>
        </w:rPr>
        <w:t xml:space="preserve">, Li J, Cairns MJ. Identifying miRNAs, targets and functions. </w:t>
      </w:r>
      <w:r w:rsidRPr="009B04A5">
        <w:rPr>
          <w:rFonts w:ascii="Book Antiqua" w:hAnsi="Book Antiqua"/>
          <w:i/>
        </w:rPr>
        <w:t>Brief Bioinform</w:t>
      </w:r>
      <w:r w:rsidRPr="009B04A5">
        <w:rPr>
          <w:rFonts w:ascii="Book Antiqua" w:hAnsi="Book Antiqua"/>
        </w:rPr>
        <w:t xml:space="preserve"> 2014; </w:t>
      </w:r>
      <w:r w:rsidRPr="009B04A5">
        <w:rPr>
          <w:rFonts w:ascii="Book Antiqua" w:hAnsi="Book Antiqua"/>
          <w:b/>
        </w:rPr>
        <w:t>15</w:t>
      </w:r>
      <w:r w:rsidRPr="009B04A5">
        <w:rPr>
          <w:rFonts w:ascii="Book Antiqua" w:hAnsi="Book Antiqua"/>
        </w:rPr>
        <w:t>: 1-19 [PMID: 23175680 DOI: 10.1093/bib/bbs075]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16 </w:t>
      </w:r>
      <w:r w:rsidRPr="009B04A5">
        <w:rPr>
          <w:rFonts w:ascii="Book Antiqua" w:hAnsi="Book Antiqua"/>
          <w:b/>
        </w:rPr>
        <w:t>John B</w:t>
      </w:r>
      <w:r w:rsidRPr="009B04A5">
        <w:rPr>
          <w:rFonts w:ascii="Book Antiqua" w:hAnsi="Book Antiqua"/>
        </w:rPr>
        <w:t xml:space="preserve">, Enright AJ, Aravin A, Tuschl T, Sander C, Marks DS. Human MicroRNA targets. </w:t>
      </w:r>
      <w:r w:rsidRPr="009B04A5">
        <w:rPr>
          <w:rFonts w:ascii="Book Antiqua" w:hAnsi="Book Antiqua"/>
          <w:i/>
        </w:rPr>
        <w:t>PLoS Biol</w:t>
      </w:r>
      <w:r w:rsidRPr="009B04A5">
        <w:rPr>
          <w:rFonts w:ascii="Book Antiqua" w:hAnsi="Book Antiqua"/>
        </w:rPr>
        <w:t xml:space="preserve"> 2004; </w:t>
      </w:r>
      <w:r w:rsidRPr="009B04A5">
        <w:rPr>
          <w:rFonts w:ascii="Book Antiqua" w:hAnsi="Book Antiqua"/>
          <w:b/>
        </w:rPr>
        <w:t>2</w:t>
      </w:r>
      <w:r w:rsidRPr="009B04A5">
        <w:rPr>
          <w:rFonts w:ascii="Book Antiqua" w:hAnsi="Book Antiqua"/>
        </w:rPr>
        <w:t>: e363 [PMID: 15502875 DOI: 10.1371/journal.pbio.0020363]</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lastRenderedPageBreak/>
        <w:t xml:space="preserve">17 </w:t>
      </w:r>
      <w:r w:rsidRPr="009B04A5">
        <w:rPr>
          <w:rFonts w:ascii="Book Antiqua" w:hAnsi="Book Antiqua"/>
          <w:b/>
        </w:rPr>
        <w:t>Calin GA</w:t>
      </w:r>
      <w:r w:rsidRPr="009B04A5">
        <w:rPr>
          <w:rFonts w:ascii="Book Antiqua" w:hAnsi="Book Antiqua"/>
        </w:rPr>
        <w:t xml:space="preserve">, Croce CM. MicroRNA signatures in human cancers. </w:t>
      </w:r>
      <w:r w:rsidRPr="009B04A5">
        <w:rPr>
          <w:rFonts w:ascii="Book Antiqua" w:hAnsi="Book Antiqua"/>
          <w:i/>
        </w:rPr>
        <w:t>Nat Rev Cancer</w:t>
      </w:r>
      <w:r w:rsidRPr="009B04A5">
        <w:rPr>
          <w:rFonts w:ascii="Book Antiqua" w:hAnsi="Book Antiqua"/>
        </w:rPr>
        <w:t xml:space="preserve"> 2006; </w:t>
      </w:r>
      <w:r w:rsidRPr="009B04A5">
        <w:rPr>
          <w:rFonts w:ascii="Book Antiqua" w:hAnsi="Book Antiqua"/>
          <w:b/>
        </w:rPr>
        <w:t>6</w:t>
      </w:r>
      <w:r w:rsidRPr="009B04A5">
        <w:rPr>
          <w:rFonts w:ascii="Book Antiqua" w:hAnsi="Book Antiqua"/>
        </w:rPr>
        <w:t>: 857-866 [PMID: 17060945 DOI: 10.1038/nrc1997]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18 </w:t>
      </w:r>
      <w:r w:rsidRPr="009B04A5">
        <w:rPr>
          <w:rFonts w:ascii="Book Antiqua" w:hAnsi="Book Antiqua"/>
          <w:b/>
        </w:rPr>
        <w:t>Simeon V</w:t>
      </w:r>
      <w:r w:rsidRPr="009B04A5">
        <w:rPr>
          <w:rFonts w:ascii="Book Antiqua" w:hAnsi="Book Antiqua"/>
        </w:rPr>
        <w:t xml:space="preserve">, Todoerti K, La Rocca F, Caivano A, Trino S, Lionetti M, Agnelli L, De Luca L, Laurenzana I, Neri A, Musto P. Molecular Classification and Pharmacogenetics of Primary Plasma Cell Leukemia: An Initial Approach toward Precision Medicine. </w:t>
      </w:r>
      <w:r w:rsidRPr="009B04A5">
        <w:rPr>
          <w:rFonts w:ascii="Book Antiqua" w:hAnsi="Book Antiqua"/>
          <w:i/>
        </w:rPr>
        <w:t>Int J Mol Sci</w:t>
      </w:r>
      <w:r w:rsidRPr="009B04A5">
        <w:rPr>
          <w:rFonts w:ascii="Book Antiqua" w:hAnsi="Book Antiqua"/>
        </w:rPr>
        <w:t xml:space="preserve"> 2015; </w:t>
      </w:r>
      <w:r w:rsidRPr="009B04A5">
        <w:rPr>
          <w:rFonts w:ascii="Book Antiqua" w:hAnsi="Book Antiqua"/>
          <w:b/>
        </w:rPr>
        <w:t>16</w:t>
      </w:r>
      <w:r w:rsidRPr="009B04A5">
        <w:rPr>
          <w:rFonts w:ascii="Book Antiqua" w:hAnsi="Book Antiqua"/>
        </w:rPr>
        <w:t>: 17514-17534 [PMID: 26263974 DOI: 10.3390/ijms160817514]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19 </w:t>
      </w:r>
      <w:r w:rsidRPr="009B04A5">
        <w:rPr>
          <w:rFonts w:ascii="Book Antiqua" w:hAnsi="Book Antiqua"/>
          <w:b/>
        </w:rPr>
        <w:t>Svoronos AA</w:t>
      </w:r>
      <w:r w:rsidRPr="009B04A5">
        <w:rPr>
          <w:rFonts w:ascii="Book Antiqua" w:hAnsi="Book Antiqua"/>
        </w:rPr>
        <w:t xml:space="preserve">, Engelman DM, Slack FJ. OncomiR or Tumor Suppressor? The Duplicity of MicroRNAs in Cancer. </w:t>
      </w:r>
      <w:r w:rsidRPr="009B04A5">
        <w:rPr>
          <w:rFonts w:ascii="Book Antiqua" w:hAnsi="Book Antiqua"/>
          <w:i/>
        </w:rPr>
        <w:t>Cancer Res</w:t>
      </w:r>
      <w:r w:rsidRPr="009B04A5">
        <w:rPr>
          <w:rFonts w:ascii="Book Antiqua" w:hAnsi="Book Antiqua"/>
        </w:rPr>
        <w:t xml:space="preserve"> 2016; </w:t>
      </w:r>
      <w:r w:rsidRPr="009B04A5">
        <w:rPr>
          <w:rFonts w:ascii="Book Antiqua" w:hAnsi="Book Antiqua"/>
          <w:b/>
        </w:rPr>
        <w:t>76</w:t>
      </w:r>
      <w:r w:rsidRPr="009B04A5">
        <w:rPr>
          <w:rFonts w:ascii="Book Antiqua" w:hAnsi="Book Antiqua"/>
        </w:rPr>
        <w:t>: 3666-3670 [PMID: 27325641 DOI: 10.1158/0008-5472.CAN-16-0359]</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20 </w:t>
      </w:r>
      <w:r w:rsidRPr="009B04A5">
        <w:rPr>
          <w:rFonts w:ascii="Book Antiqua" w:hAnsi="Book Antiqua"/>
          <w:b/>
        </w:rPr>
        <w:t>Zhang B</w:t>
      </w:r>
      <w:r w:rsidRPr="009B04A5">
        <w:rPr>
          <w:rFonts w:ascii="Book Antiqua" w:hAnsi="Book Antiqua"/>
        </w:rPr>
        <w:t xml:space="preserve">, Pan X, Cobb GP, Anderson TA. microRNAs as oncogenes and tumor suppressors. </w:t>
      </w:r>
      <w:r w:rsidRPr="009B04A5">
        <w:rPr>
          <w:rFonts w:ascii="Book Antiqua" w:hAnsi="Book Antiqua"/>
          <w:i/>
        </w:rPr>
        <w:t>Dev Biol</w:t>
      </w:r>
      <w:r w:rsidRPr="009B04A5">
        <w:rPr>
          <w:rFonts w:ascii="Book Antiqua" w:hAnsi="Book Antiqua"/>
        </w:rPr>
        <w:t xml:space="preserve"> 2007; </w:t>
      </w:r>
      <w:r w:rsidRPr="009B04A5">
        <w:rPr>
          <w:rFonts w:ascii="Book Antiqua" w:hAnsi="Book Antiqua"/>
          <w:b/>
        </w:rPr>
        <w:t>302</w:t>
      </w:r>
      <w:r w:rsidRPr="009B04A5">
        <w:rPr>
          <w:rFonts w:ascii="Book Antiqua" w:hAnsi="Book Antiqua"/>
        </w:rPr>
        <w:t>: 1-12 [PMID: 16989803 DOI: 10.1016/j.ydbio.2006.08.028]</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21 </w:t>
      </w:r>
      <w:r w:rsidRPr="009B04A5">
        <w:rPr>
          <w:rFonts w:ascii="Book Antiqua" w:hAnsi="Book Antiqua"/>
          <w:b/>
        </w:rPr>
        <w:t>Almeida RS</w:t>
      </w:r>
      <w:r w:rsidRPr="009B04A5">
        <w:rPr>
          <w:rFonts w:ascii="Book Antiqua" w:hAnsi="Book Antiqua"/>
        </w:rPr>
        <w:t xml:space="preserve">, Costa E Silva M, Coutinho LL, Garcia Gomes R, Pedrosa F, Massaro JD, Donadi EA, Lucena-Silva N. MicroRNA expression profiles discriminate childhood T- from B-acute lymphoblastic leukemia. </w:t>
      </w:r>
      <w:r w:rsidRPr="009B04A5">
        <w:rPr>
          <w:rFonts w:ascii="Book Antiqua" w:hAnsi="Book Antiqua"/>
          <w:i/>
        </w:rPr>
        <w:t>Hematol Oncol</w:t>
      </w:r>
      <w:r w:rsidRPr="009B04A5">
        <w:rPr>
          <w:rFonts w:ascii="Book Antiqua" w:hAnsi="Book Antiqua"/>
        </w:rPr>
        <w:t xml:space="preserve"> 2019; </w:t>
      </w:r>
      <w:r w:rsidRPr="009B04A5">
        <w:rPr>
          <w:rFonts w:ascii="Book Antiqua" w:hAnsi="Book Antiqua"/>
          <w:b/>
        </w:rPr>
        <w:t>37</w:t>
      </w:r>
      <w:r w:rsidRPr="009B04A5">
        <w:rPr>
          <w:rFonts w:ascii="Book Antiqua" w:hAnsi="Book Antiqua"/>
        </w:rPr>
        <w:t>: 103-112 [PMID: 30393877 DOI: 10.1002/hon.2567]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22 </w:t>
      </w:r>
      <w:r w:rsidRPr="009B04A5">
        <w:rPr>
          <w:rFonts w:ascii="Book Antiqua" w:hAnsi="Book Antiqua"/>
          <w:b/>
        </w:rPr>
        <w:t>Berezikov E</w:t>
      </w:r>
      <w:r w:rsidRPr="009B04A5">
        <w:rPr>
          <w:rFonts w:ascii="Book Antiqua" w:hAnsi="Book Antiqua"/>
        </w:rPr>
        <w:t xml:space="preserve">, Cuppen E, Plasterk RH. Approaches to microRNA discovery. </w:t>
      </w:r>
      <w:r w:rsidRPr="009B04A5">
        <w:rPr>
          <w:rFonts w:ascii="Book Antiqua" w:hAnsi="Book Antiqua"/>
          <w:i/>
        </w:rPr>
        <w:t>Nat Genet</w:t>
      </w:r>
      <w:r w:rsidRPr="009B04A5">
        <w:rPr>
          <w:rFonts w:ascii="Book Antiqua" w:hAnsi="Book Antiqua"/>
        </w:rPr>
        <w:t xml:space="preserve"> 2006; </w:t>
      </w:r>
      <w:r w:rsidRPr="009B04A5">
        <w:rPr>
          <w:rFonts w:ascii="Book Antiqua" w:hAnsi="Book Antiqua"/>
          <w:b/>
        </w:rPr>
        <w:t>38 Suppl</w:t>
      </w:r>
      <w:r w:rsidRPr="009B04A5">
        <w:rPr>
          <w:rFonts w:ascii="Book Antiqua" w:hAnsi="Book Antiqua"/>
        </w:rPr>
        <w:t>: S2-S7 [PMID: 16736019 DOI: 10.1038/ng1794]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23 </w:t>
      </w:r>
      <w:r w:rsidRPr="009B04A5">
        <w:rPr>
          <w:rFonts w:ascii="Book Antiqua" w:hAnsi="Book Antiqua"/>
          <w:b/>
        </w:rPr>
        <w:t>Haferlach T</w:t>
      </w:r>
      <w:r w:rsidRPr="009B04A5">
        <w:rPr>
          <w:rFonts w:ascii="Book Antiqua" w:hAnsi="Book Antiqua"/>
        </w:rPr>
        <w:t xml:space="preserve">, Kern W, Schnittger S, Schoch C. Modern diagnostics in acute leukemias. </w:t>
      </w:r>
      <w:r w:rsidRPr="009B04A5">
        <w:rPr>
          <w:rFonts w:ascii="Book Antiqua" w:hAnsi="Book Antiqua"/>
          <w:i/>
        </w:rPr>
        <w:t>Crit Rev Oncol Hematol</w:t>
      </w:r>
      <w:r w:rsidRPr="009B04A5">
        <w:rPr>
          <w:rFonts w:ascii="Book Antiqua" w:hAnsi="Book Antiqua"/>
        </w:rPr>
        <w:t xml:space="preserve"> 2005; </w:t>
      </w:r>
      <w:r w:rsidRPr="009B04A5">
        <w:rPr>
          <w:rFonts w:ascii="Book Antiqua" w:hAnsi="Book Antiqua"/>
          <w:b/>
        </w:rPr>
        <w:t>56</w:t>
      </w:r>
      <w:r w:rsidRPr="009B04A5">
        <w:rPr>
          <w:rFonts w:ascii="Book Antiqua" w:hAnsi="Book Antiqua"/>
        </w:rPr>
        <w:t>: 223-234 [PMID: 16213152 DOI: 10.1016/j.critrevonc.2004.04.008]</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24 </w:t>
      </w:r>
      <w:r w:rsidRPr="009B04A5">
        <w:rPr>
          <w:rFonts w:ascii="Book Antiqua" w:hAnsi="Book Antiqua"/>
          <w:b/>
        </w:rPr>
        <w:t>Willenbrock H</w:t>
      </w:r>
      <w:r w:rsidRPr="009B04A5">
        <w:rPr>
          <w:rFonts w:ascii="Book Antiqua" w:hAnsi="Book Antiqua"/>
        </w:rPr>
        <w:t xml:space="preserve">, Juncker AS, Schmiegelow K, Knudsen S, Ryder LP. Prediction of immunophenotype, treatment response, and relapse in childhood acute lymphoblastic leukemia using DNA microarrays. </w:t>
      </w:r>
      <w:r w:rsidRPr="009B04A5">
        <w:rPr>
          <w:rFonts w:ascii="Book Antiqua" w:hAnsi="Book Antiqua"/>
          <w:i/>
        </w:rPr>
        <w:t>Leukemia</w:t>
      </w:r>
      <w:r w:rsidRPr="009B04A5">
        <w:rPr>
          <w:rFonts w:ascii="Book Antiqua" w:hAnsi="Book Antiqua"/>
        </w:rPr>
        <w:t xml:space="preserve"> 2004; </w:t>
      </w:r>
      <w:r w:rsidRPr="009B04A5">
        <w:rPr>
          <w:rFonts w:ascii="Book Antiqua" w:hAnsi="Book Antiqua"/>
          <w:b/>
        </w:rPr>
        <w:t>18</w:t>
      </w:r>
      <w:r w:rsidRPr="009B04A5">
        <w:rPr>
          <w:rFonts w:ascii="Book Antiqua" w:hAnsi="Book Antiqua"/>
        </w:rPr>
        <w:t>: 1270-1277 [PMID: 15152267 DOI: 10.1038/sj.leu.2403392]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25 </w:t>
      </w:r>
      <w:r w:rsidRPr="009B04A5">
        <w:rPr>
          <w:rFonts w:ascii="Book Antiqua" w:hAnsi="Book Antiqua"/>
          <w:b/>
        </w:rPr>
        <w:t>Carroll WL</w:t>
      </w:r>
      <w:r w:rsidRPr="009B04A5">
        <w:rPr>
          <w:rFonts w:ascii="Book Antiqua" w:hAnsi="Book Antiqua"/>
        </w:rPr>
        <w:t xml:space="preserve">, Bhojwani D, Min DJ, Moskowitz N, Raetz EA. Childhood acute lymphoblastic leukemia in the age of genomics. </w:t>
      </w:r>
      <w:r w:rsidRPr="009B04A5">
        <w:rPr>
          <w:rFonts w:ascii="Book Antiqua" w:hAnsi="Book Antiqua"/>
          <w:i/>
        </w:rPr>
        <w:t>Pediatr Blood Cancer</w:t>
      </w:r>
      <w:r w:rsidRPr="009B04A5">
        <w:rPr>
          <w:rFonts w:ascii="Book Antiqua" w:hAnsi="Book Antiqua"/>
        </w:rPr>
        <w:t xml:space="preserve"> 2006; </w:t>
      </w:r>
      <w:r w:rsidRPr="009B04A5">
        <w:rPr>
          <w:rFonts w:ascii="Book Antiqua" w:hAnsi="Book Antiqua"/>
          <w:b/>
        </w:rPr>
        <w:t>46</w:t>
      </w:r>
      <w:r w:rsidRPr="009B04A5">
        <w:rPr>
          <w:rFonts w:ascii="Book Antiqua" w:hAnsi="Book Antiqua"/>
        </w:rPr>
        <w:t>: 570-578 [PMID: 16365862 DOI: 10.1002/pbc.20722]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lastRenderedPageBreak/>
        <w:t xml:space="preserve">26 </w:t>
      </w:r>
      <w:r w:rsidRPr="009B04A5">
        <w:rPr>
          <w:rFonts w:ascii="Book Antiqua" w:hAnsi="Book Antiqua"/>
          <w:b/>
        </w:rPr>
        <w:t>Mullighan CG</w:t>
      </w:r>
      <w:r w:rsidRPr="009B04A5">
        <w:rPr>
          <w:rFonts w:ascii="Book Antiqua" w:hAnsi="Book Antiqua"/>
        </w:rPr>
        <w:t xml:space="preserve">, Flotho C, Downing JR. Genomic assessment of pediatric acute leukemia. </w:t>
      </w:r>
      <w:r w:rsidRPr="009B04A5">
        <w:rPr>
          <w:rFonts w:ascii="Book Antiqua" w:hAnsi="Book Antiqua"/>
          <w:i/>
        </w:rPr>
        <w:t>Cancer J</w:t>
      </w:r>
      <w:r w:rsidRPr="009B04A5">
        <w:rPr>
          <w:rFonts w:ascii="Book Antiqua" w:hAnsi="Book Antiqua"/>
        </w:rPr>
        <w:t xml:space="preserve"> 2005; </w:t>
      </w:r>
      <w:r w:rsidRPr="009B04A5">
        <w:rPr>
          <w:rFonts w:ascii="Book Antiqua" w:hAnsi="Book Antiqua"/>
          <w:b/>
        </w:rPr>
        <w:t>11</w:t>
      </w:r>
      <w:r w:rsidRPr="009B04A5">
        <w:rPr>
          <w:rFonts w:ascii="Book Antiqua" w:hAnsi="Book Antiqua"/>
        </w:rPr>
        <w:t>: 268-282 [PMID: 16197717 DOI: 10.1097/00130404-200507000-00003]</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27 </w:t>
      </w:r>
      <w:r w:rsidRPr="009B04A5">
        <w:rPr>
          <w:rFonts w:ascii="Book Antiqua" w:hAnsi="Book Antiqua"/>
          <w:b/>
        </w:rPr>
        <w:t>Pinkel D</w:t>
      </w:r>
      <w:r w:rsidRPr="009B04A5">
        <w:rPr>
          <w:rFonts w:ascii="Book Antiqua" w:hAnsi="Book Antiqua"/>
        </w:rPr>
        <w:t xml:space="preserve">. Genotypic classification of childhood acute lymphoid leukemia. </w:t>
      </w:r>
      <w:r w:rsidRPr="009B04A5">
        <w:rPr>
          <w:rFonts w:ascii="Book Antiqua" w:hAnsi="Book Antiqua"/>
          <w:i/>
        </w:rPr>
        <w:t>Leukemia</w:t>
      </w:r>
      <w:r w:rsidRPr="009B04A5">
        <w:rPr>
          <w:rFonts w:ascii="Book Antiqua" w:hAnsi="Book Antiqua"/>
        </w:rPr>
        <w:t xml:space="preserve"> 1999; </w:t>
      </w:r>
      <w:r w:rsidRPr="009B04A5">
        <w:rPr>
          <w:rFonts w:ascii="Book Antiqua" w:hAnsi="Book Antiqua"/>
          <w:b/>
        </w:rPr>
        <w:t>13 Suppl 1</w:t>
      </w:r>
      <w:r w:rsidRPr="009B04A5">
        <w:rPr>
          <w:rFonts w:ascii="Book Antiqua" w:hAnsi="Book Antiqua"/>
        </w:rPr>
        <w:t>: S90-S91 [PMID: 10232375 DOI: 10.1038/sj.leu.2401317]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28 </w:t>
      </w:r>
      <w:r w:rsidRPr="009B04A5">
        <w:rPr>
          <w:rFonts w:ascii="Book Antiqua" w:hAnsi="Book Antiqua"/>
          <w:b/>
        </w:rPr>
        <w:t>Starý J</w:t>
      </w:r>
      <w:r w:rsidRPr="009B04A5">
        <w:rPr>
          <w:rFonts w:ascii="Book Antiqua" w:hAnsi="Book Antiqua"/>
        </w:rPr>
        <w:t xml:space="preserve">, Zuna J, Zaliova M. New biological and genetic classification and therapeutically relevant categories in childhood B-cell precursor acute lymphoblastic leukemia. </w:t>
      </w:r>
      <w:r w:rsidRPr="009B04A5">
        <w:rPr>
          <w:rFonts w:ascii="Book Antiqua" w:hAnsi="Book Antiqua"/>
          <w:i/>
        </w:rPr>
        <w:t>F1000Res</w:t>
      </w:r>
      <w:r w:rsidRPr="009B04A5">
        <w:rPr>
          <w:rFonts w:ascii="Book Antiqua" w:hAnsi="Book Antiqua"/>
        </w:rPr>
        <w:t xml:space="preserve"> 2018; </w:t>
      </w:r>
      <w:r w:rsidRPr="009B04A5">
        <w:rPr>
          <w:rFonts w:ascii="Book Antiqua" w:hAnsi="Book Antiqua"/>
          <w:b/>
        </w:rPr>
        <w:t>7</w:t>
      </w:r>
      <w:r w:rsidRPr="009B04A5">
        <w:rPr>
          <w:rFonts w:ascii="Book Antiqua" w:hAnsi="Book Antiqua"/>
        </w:rPr>
        <w:t xml:space="preserve"> [PMID: 30345005 DOI: 10.12688/f1000research.16074.1]</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29 </w:t>
      </w:r>
      <w:r w:rsidRPr="009B04A5">
        <w:rPr>
          <w:rFonts w:ascii="Book Antiqua" w:hAnsi="Book Antiqua"/>
          <w:b/>
        </w:rPr>
        <w:t>Vrooman LM</w:t>
      </w:r>
      <w:r w:rsidRPr="009B04A5">
        <w:rPr>
          <w:rFonts w:ascii="Book Antiqua" w:hAnsi="Book Antiqua"/>
        </w:rPr>
        <w:t xml:space="preserve">, Blonquist TM, Harris MH, Stevenson KE, Place AE, Hunt SK, O'Brien JE, Asselin BL, Athale UH, Clavell LA, Cole PD, Kelly KM, Laverdiere C, Leclerc JM, Michon B, Schorin MA, Sulis ML, Welch JJG, Neuberg DS, Sallan SE, Silverman LB. Refining risk classification in childhood B acute lymphoblastic leukemia: results of DFCI ALL Consortium Protocol 05-001. </w:t>
      </w:r>
      <w:r w:rsidRPr="009B04A5">
        <w:rPr>
          <w:rFonts w:ascii="Book Antiqua" w:hAnsi="Book Antiqua"/>
          <w:i/>
        </w:rPr>
        <w:t>Blood Adv</w:t>
      </w:r>
      <w:r w:rsidRPr="009B04A5">
        <w:rPr>
          <w:rFonts w:ascii="Book Antiqua" w:hAnsi="Book Antiqua"/>
        </w:rPr>
        <w:t xml:space="preserve"> 2018; </w:t>
      </w:r>
      <w:r w:rsidRPr="009B04A5">
        <w:rPr>
          <w:rFonts w:ascii="Book Antiqua" w:hAnsi="Book Antiqua"/>
          <w:b/>
        </w:rPr>
        <w:t>2</w:t>
      </w:r>
      <w:r w:rsidRPr="009B04A5">
        <w:rPr>
          <w:rFonts w:ascii="Book Antiqua" w:hAnsi="Book Antiqua"/>
        </w:rPr>
        <w:t>: 1449-1458 [PMID: 29941458 DOI: 10.1182/bloodadvances.2018016584]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30 </w:t>
      </w:r>
      <w:r w:rsidRPr="009B04A5">
        <w:rPr>
          <w:rFonts w:ascii="Book Antiqua" w:hAnsi="Book Antiqua"/>
          <w:b/>
        </w:rPr>
        <w:t>Iacobucci I</w:t>
      </w:r>
      <w:r w:rsidRPr="009B04A5">
        <w:rPr>
          <w:rFonts w:ascii="Book Antiqua" w:hAnsi="Book Antiqua"/>
        </w:rPr>
        <w:t xml:space="preserve">, Mullighan CG. Genetic Basis of Acute Lymphoblastic Leukemia. </w:t>
      </w:r>
      <w:r w:rsidRPr="009B04A5">
        <w:rPr>
          <w:rFonts w:ascii="Book Antiqua" w:hAnsi="Book Antiqua"/>
          <w:i/>
        </w:rPr>
        <w:t>J Clin Oncol</w:t>
      </w:r>
      <w:r w:rsidRPr="009B04A5">
        <w:rPr>
          <w:rFonts w:ascii="Book Antiqua" w:hAnsi="Book Antiqua"/>
        </w:rPr>
        <w:t xml:space="preserve"> 2017; </w:t>
      </w:r>
      <w:r w:rsidRPr="009B04A5">
        <w:rPr>
          <w:rFonts w:ascii="Book Antiqua" w:hAnsi="Book Antiqua"/>
          <w:b/>
        </w:rPr>
        <w:t>35</w:t>
      </w:r>
      <w:r w:rsidRPr="009B04A5">
        <w:rPr>
          <w:rFonts w:ascii="Book Antiqua" w:hAnsi="Book Antiqua"/>
        </w:rPr>
        <w:t>: 975-983 [PMID: 28297628 DOI: 10.1200/JCO.2016.70.7836]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31 </w:t>
      </w:r>
      <w:r w:rsidRPr="009B04A5">
        <w:rPr>
          <w:rFonts w:ascii="Book Antiqua" w:hAnsi="Book Antiqua"/>
          <w:b/>
        </w:rPr>
        <w:t>Puumala SE</w:t>
      </w:r>
      <w:r w:rsidRPr="009B04A5">
        <w:rPr>
          <w:rFonts w:ascii="Book Antiqua" w:hAnsi="Book Antiqua"/>
        </w:rPr>
        <w:t xml:space="preserve">, Ross JA, Aplenc R, Spector LG. Epidemiology of childhood acute myeloid leukemia. </w:t>
      </w:r>
      <w:r w:rsidRPr="009B04A5">
        <w:rPr>
          <w:rFonts w:ascii="Book Antiqua" w:hAnsi="Book Antiqua"/>
          <w:i/>
        </w:rPr>
        <w:t>Pediatr Blood Cancer</w:t>
      </w:r>
      <w:r w:rsidRPr="009B04A5">
        <w:rPr>
          <w:rFonts w:ascii="Book Antiqua" w:hAnsi="Book Antiqua"/>
        </w:rPr>
        <w:t xml:space="preserve"> 2013; </w:t>
      </w:r>
      <w:r w:rsidRPr="009B04A5">
        <w:rPr>
          <w:rFonts w:ascii="Book Antiqua" w:hAnsi="Book Antiqua"/>
          <w:b/>
        </w:rPr>
        <w:t>60</w:t>
      </w:r>
      <w:r w:rsidRPr="009B04A5">
        <w:rPr>
          <w:rFonts w:ascii="Book Antiqua" w:hAnsi="Book Antiqua"/>
        </w:rPr>
        <w:t>: 728-733 [PMID: 23303597 DOI: 10.1002/pbc.24464]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32 </w:t>
      </w:r>
      <w:r w:rsidRPr="009B04A5">
        <w:rPr>
          <w:rFonts w:ascii="Book Antiqua" w:hAnsi="Book Antiqua"/>
          <w:b/>
        </w:rPr>
        <w:t>Foucar K</w:t>
      </w:r>
      <w:r w:rsidRPr="009B04A5">
        <w:rPr>
          <w:rFonts w:ascii="Book Antiqua" w:hAnsi="Book Antiqua"/>
        </w:rPr>
        <w:t xml:space="preserve">, Anastasi J. Acute Myeloid Leukemia With Recurrent Cytogenetic Abnormalities. </w:t>
      </w:r>
      <w:r w:rsidRPr="009B04A5">
        <w:rPr>
          <w:rFonts w:ascii="Book Antiqua" w:hAnsi="Book Antiqua"/>
          <w:i/>
        </w:rPr>
        <w:t>Am J Clin Pathol</w:t>
      </w:r>
      <w:r w:rsidRPr="009B04A5">
        <w:rPr>
          <w:rFonts w:ascii="Book Antiqua" w:hAnsi="Book Antiqua"/>
        </w:rPr>
        <w:t xml:space="preserve"> 2015; </w:t>
      </w:r>
      <w:r w:rsidRPr="009B04A5">
        <w:rPr>
          <w:rFonts w:ascii="Book Antiqua" w:hAnsi="Book Antiqua"/>
          <w:b/>
        </w:rPr>
        <w:t>144</w:t>
      </w:r>
      <w:r w:rsidRPr="009B04A5">
        <w:rPr>
          <w:rFonts w:ascii="Book Antiqua" w:hAnsi="Book Antiqua"/>
        </w:rPr>
        <w:t>: 6-18 [PMID: 26071458 DOI: 10.1309/AJCPI9C8UILYQTNS]</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33 </w:t>
      </w:r>
      <w:r w:rsidRPr="009B04A5">
        <w:rPr>
          <w:rFonts w:ascii="Book Antiqua" w:hAnsi="Book Antiqua"/>
          <w:b/>
        </w:rPr>
        <w:t>Yang JJ</w:t>
      </w:r>
      <w:r w:rsidRPr="009B04A5">
        <w:rPr>
          <w:rFonts w:ascii="Book Antiqua" w:hAnsi="Book Antiqua"/>
        </w:rPr>
        <w:t xml:space="preserve">, Park TS, Wan TS. Recurrent Cytogenetic Abnormalities in Acute Myeloid Leukemia. </w:t>
      </w:r>
      <w:r w:rsidRPr="009B04A5">
        <w:rPr>
          <w:rFonts w:ascii="Book Antiqua" w:hAnsi="Book Antiqua"/>
          <w:i/>
        </w:rPr>
        <w:t>Methods Mol Biol</w:t>
      </w:r>
      <w:r w:rsidRPr="009B04A5">
        <w:rPr>
          <w:rFonts w:ascii="Book Antiqua" w:hAnsi="Book Antiqua"/>
        </w:rPr>
        <w:t xml:space="preserve"> 2017; </w:t>
      </w:r>
      <w:r w:rsidRPr="009B04A5">
        <w:rPr>
          <w:rFonts w:ascii="Book Antiqua" w:hAnsi="Book Antiqua"/>
          <w:b/>
        </w:rPr>
        <w:t>1541</w:t>
      </w:r>
      <w:r w:rsidRPr="009B04A5">
        <w:rPr>
          <w:rFonts w:ascii="Book Antiqua" w:hAnsi="Book Antiqua"/>
        </w:rPr>
        <w:t>: 223-245 [PMID: 27910027 DOI: 10.1007/978-1-4939-6703-2_19]</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34 </w:t>
      </w:r>
      <w:r w:rsidRPr="009B04A5">
        <w:rPr>
          <w:rFonts w:ascii="Book Antiqua" w:hAnsi="Book Antiqua"/>
          <w:b/>
        </w:rPr>
        <w:t>Bullinger L</w:t>
      </w:r>
      <w:r w:rsidRPr="009B04A5">
        <w:rPr>
          <w:rFonts w:ascii="Book Antiqua" w:hAnsi="Book Antiqua"/>
        </w:rPr>
        <w:t xml:space="preserve">, Rücker FG, Kurz S, Du J, Scholl C, Sander S, Corbacioglu A, Lottaz C, Krauter J, Fröhling S, Ganser A, Schlenk RF, Döhner K, Pollack JR, Döhner H. Gene-expression profiling identifies distinct subclasses of core binding factor acute myeloid leukemia. </w:t>
      </w:r>
      <w:r w:rsidRPr="009B04A5">
        <w:rPr>
          <w:rFonts w:ascii="Book Antiqua" w:hAnsi="Book Antiqua"/>
          <w:i/>
        </w:rPr>
        <w:t>Blood</w:t>
      </w:r>
      <w:r w:rsidRPr="009B04A5">
        <w:rPr>
          <w:rFonts w:ascii="Book Antiqua" w:hAnsi="Book Antiqua"/>
        </w:rPr>
        <w:t xml:space="preserve"> 2007; </w:t>
      </w:r>
      <w:r w:rsidRPr="009B04A5">
        <w:rPr>
          <w:rFonts w:ascii="Book Antiqua" w:hAnsi="Book Antiqua"/>
          <w:b/>
        </w:rPr>
        <w:t>110</w:t>
      </w:r>
      <w:r w:rsidRPr="009B04A5">
        <w:rPr>
          <w:rFonts w:ascii="Book Antiqua" w:hAnsi="Book Antiqua"/>
        </w:rPr>
        <w:t>: 1291-1300 [PMID: 17485551 DOI: 10.1182/blood-2006-10-049783]</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lastRenderedPageBreak/>
        <w:t xml:space="preserve">35 </w:t>
      </w:r>
      <w:r w:rsidRPr="009B04A5">
        <w:rPr>
          <w:rFonts w:ascii="Book Antiqua" w:hAnsi="Book Antiqua"/>
          <w:b/>
        </w:rPr>
        <w:t>Mead AJ</w:t>
      </w:r>
      <w:r w:rsidRPr="009B04A5">
        <w:rPr>
          <w:rFonts w:ascii="Book Antiqua" w:hAnsi="Book Antiqua"/>
        </w:rPr>
        <w:t xml:space="preserve">, Linch DC, Hills RK, Wheatley K, Burnett AK, Gale RE. FLT3 tyrosine kinase domain mutations are biologically distinct from and have a significantly more favorable prognosis than FLT3 internal tandem duplications in patients with acute myeloid leukemia. </w:t>
      </w:r>
      <w:r w:rsidRPr="009B04A5">
        <w:rPr>
          <w:rFonts w:ascii="Book Antiqua" w:hAnsi="Book Antiqua"/>
          <w:i/>
        </w:rPr>
        <w:t>Blood</w:t>
      </w:r>
      <w:r w:rsidRPr="009B04A5">
        <w:rPr>
          <w:rFonts w:ascii="Book Antiqua" w:hAnsi="Book Antiqua"/>
        </w:rPr>
        <w:t xml:space="preserve"> 2007; </w:t>
      </w:r>
      <w:r w:rsidRPr="009B04A5">
        <w:rPr>
          <w:rFonts w:ascii="Book Antiqua" w:hAnsi="Book Antiqua"/>
          <w:b/>
        </w:rPr>
        <w:t>110</w:t>
      </w:r>
      <w:r w:rsidRPr="009B04A5">
        <w:rPr>
          <w:rFonts w:ascii="Book Antiqua" w:hAnsi="Book Antiqua"/>
        </w:rPr>
        <w:t>: 1262-1270 [PMID: 17456725 DOI: 10.1182/blood-2006-04-015826]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36 </w:t>
      </w:r>
      <w:r w:rsidRPr="009B04A5">
        <w:rPr>
          <w:rFonts w:ascii="Book Antiqua" w:hAnsi="Book Antiqua"/>
          <w:b/>
        </w:rPr>
        <w:t>Esquela-Kerscher A</w:t>
      </w:r>
      <w:r w:rsidRPr="009B04A5">
        <w:rPr>
          <w:rFonts w:ascii="Book Antiqua" w:hAnsi="Book Antiqua"/>
        </w:rPr>
        <w:t xml:space="preserve">, Slack FJ. Oncomirs - microRNAs with a role in cancer. </w:t>
      </w:r>
      <w:r w:rsidRPr="009B04A5">
        <w:rPr>
          <w:rFonts w:ascii="Book Antiqua" w:hAnsi="Book Antiqua"/>
          <w:i/>
        </w:rPr>
        <w:t>Nat Rev Cancer</w:t>
      </w:r>
      <w:r w:rsidRPr="009B04A5">
        <w:rPr>
          <w:rFonts w:ascii="Book Antiqua" w:hAnsi="Book Antiqua"/>
        </w:rPr>
        <w:t xml:space="preserve"> 2006; </w:t>
      </w:r>
      <w:r w:rsidRPr="009B04A5">
        <w:rPr>
          <w:rFonts w:ascii="Book Antiqua" w:hAnsi="Book Antiqua"/>
          <w:b/>
        </w:rPr>
        <w:t>6</w:t>
      </w:r>
      <w:r w:rsidRPr="009B04A5">
        <w:rPr>
          <w:rFonts w:ascii="Book Antiqua" w:hAnsi="Book Antiqua"/>
        </w:rPr>
        <w:t>: 259-269 [PMID: 16557279 DOI: 10.1038/nrc1840]</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37 </w:t>
      </w:r>
      <w:r w:rsidRPr="009B04A5">
        <w:rPr>
          <w:rFonts w:ascii="Book Antiqua" w:hAnsi="Book Antiqua"/>
          <w:b/>
        </w:rPr>
        <w:t>Manikandan J</w:t>
      </w:r>
      <w:r w:rsidRPr="009B04A5">
        <w:rPr>
          <w:rFonts w:ascii="Book Antiqua" w:hAnsi="Book Antiqua"/>
        </w:rPr>
        <w:t xml:space="preserve">, Aarthi JJ, Kumar SD, Pushparaj PN. Oncomirs: the potential role of non-coding microRNAs in understanding cancer. </w:t>
      </w:r>
      <w:r w:rsidRPr="009B04A5">
        <w:rPr>
          <w:rFonts w:ascii="Book Antiqua" w:hAnsi="Book Antiqua"/>
          <w:i/>
        </w:rPr>
        <w:t>Bioinformation</w:t>
      </w:r>
      <w:r w:rsidRPr="009B04A5">
        <w:rPr>
          <w:rFonts w:ascii="Book Antiqua" w:hAnsi="Book Antiqua"/>
        </w:rPr>
        <w:t xml:space="preserve"> 2008; </w:t>
      </w:r>
      <w:r w:rsidRPr="009B04A5">
        <w:rPr>
          <w:rFonts w:ascii="Book Antiqua" w:hAnsi="Book Antiqua"/>
          <w:b/>
        </w:rPr>
        <w:t>2</w:t>
      </w:r>
      <w:r w:rsidRPr="009B04A5">
        <w:rPr>
          <w:rFonts w:ascii="Book Antiqua" w:hAnsi="Book Antiqua"/>
        </w:rPr>
        <w:t>: 330-334 [PMID: 18685719 DOI: 10.6026/97320630002330]</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38 </w:t>
      </w:r>
      <w:r w:rsidRPr="009B04A5">
        <w:rPr>
          <w:rFonts w:ascii="Book Antiqua" w:hAnsi="Book Antiqua"/>
          <w:b/>
        </w:rPr>
        <w:t>Mullighan CG</w:t>
      </w:r>
      <w:r w:rsidRPr="009B04A5">
        <w:rPr>
          <w:rFonts w:ascii="Book Antiqua" w:hAnsi="Book Antiqua"/>
        </w:rPr>
        <w:t xml:space="preserve">. How advanced are we in targeting novel subtypes of ALL? </w:t>
      </w:r>
      <w:r w:rsidRPr="009B04A5">
        <w:rPr>
          <w:rFonts w:ascii="Book Antiqua" w:hAnsi="Book Antiqua"/>
          <w:i/>
        </w:rPr>
        <w:t>Best Pract Res Clin Haematol</w:t>
      </w:r>
      <w:r w:rsidRPr="009B04A5">
        <w:rPr>
          <w:rFonts w:ascii="Book Antiqua" w:hAnsi="Book Antiqua"/>
        </w:rPr>
        <w:t xml:space="preserve"> 2019; </w:t>
      </w:r>
      <w:r w:rsidRPr="009B04A5">
        <w:rPr>
          <w:rFonts w:ascii="Book Antiqua" w:hAnsi="Book Antiqua"/>
          <w:b/>
        </w:rPr>
        <w:t>32</w:t>
      </w:r>
      <w:r w:rsidRPr="009B04A5">
        <w:rPr>
          <w:rFonts w:ascii="Book Antiqua" w:hAnsi="Book Antiqua"/>
        </w:rPr>
        <w:t>: 101095 [PMID: 31779973 DOI: 10.1016/j.beha.2019.101095]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39 </w:t>
      </w:r>
      <w:r w:rsidRPr="009B04A5">
        <w:rPr>
          <w:rFonts w:ascii="Book Antiqua" w:hAnsi="Book Antiqua"/>
          <w:b/>
        </w:rPr>
        <w:t>Szczepanek J</w:t>
      </w:r>
      <w:r w:rsidRPr="009B04A5">
        <w:rPr>
          <w:rFonts w:ascii="Book Antiqua" w:hAnsi="Book Antiqua"/>
        </w:rPr>
        <w:t xml:space="preserve">, Jarzab M, Oczko-Wojciechowska M, Kowalska M, Tretyn A, Haus O, Pogorzala M, Wysocki M, Jarzab B, Styczynski J. Gene expression signatures and ex vivo drug sensitivity profiles in children with acute lymphoblastic leukemia. </w:t>
      </w:r>
      <w:r w:rsidRPr="009B04A5">
        <w:rPr>
          <w:rFonts w:ascii="Book Antiqua" w:hAnsi="Book Antiqua"/>
          <w:i/>
        </w:rPr>
        <w:t>J Appl Genet</w:t>
      </w:r>
      <w:r w:rsidRPr="009B04A5">
        <w:rPr>
          <w:rFonts w:ascii="Book Antiqua" w:hAnsi="Book Antiqua"/>
        </w:rPr>
        <w:t xml:space="preserve"> 2012; </w:t>
      </w:r>
      <w:r w:rsidRPr="009B04A5">
        <w:rPr>
          <w:rFonts w:ascii="Book Antiqua" w:hAnsi="Book Antiqua"/>
          <w:b/>
        </w:rPr>
        <w:t>53</w:t>
      </w:r>
      <w:r w:rsidRPr="009B04A5">
        <w:rPr>
          <w:rFonts w:ascii="Book Antiqua" w:hAnsi="Book Antiqua"/>
        </w:rPr>
        <w:t>: 83-91 [PMID: 22038456 DOI: 10.1007/s13353-011-0073-x]</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40 </w:t>
      </w:r>
      <w:r w:rsidRPr="009B04A5">
        <w:rPr>
          <w:rFonts w:ascii="Book Antiqua" w:hAnsi="Book Antiqua"/>
          <w:b/>
        </w:rPr>
        <w:t>Zhang H</w:t>
      </w:r>
      <w:r w:rsidRPr="009B04A5">
        <w:rPr>
          <w:rFonts w:ascii="Book Antiqua" w:hAnsi="Book Antiqua"/>
        </w:rPr>
        <w:t xml:space="preserve">, Luo XQ, Zhang P, Huang LB, Zheng YS, Wu J, Zhou H, Qu LH, Xu L, Chen YQ. MicroRNA patterns associated with clinical prognostic parameters and CNS relapse prediction in pediatric acute leukemia. </w:t>
      </w:r>
      <w:r w:rsidRPr="009B04A5">
        <w:rPr>
          <w:rFonts w:ascii="Book Antiqua" w:hAnsi="Book Antiqua"/>
          <w:i/>
        </w:rPr>
        <w:t>PLoS One</w:t>
      </w:r>
      <w:r w:rsidRPr="009B04A5">
        <w:rPr>
          <w:rFonts w:ascii="Book Antiqua" w:hAnsi="Book Antiqua"/>
        </w:rPr>
        <w:t xml:space="preserve"> 2009; </w:t>
      </w:r>
      <w:r w:rsidRPr="009B04A5">
        <w:rPr>
          <w:rFonts w:ascii="Book Antiqua" w:hAnsi="Book Antiqua"/>
          <w:b/>
        </w:rPr>
        <w:t>4</w:t>
      </w:r>
      <w:r w:rsidRPr="009B04A5">
        <w:rPr>
          <w:rFonts w:ascii="Book Antiqua" w:hAnsi="Book Antiqua"/>
        </w:rPr>
        <w:t>: e7826 [PMID: 19915715 DOI: 10.1371/journal.pone.0007826]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41 </w:t>
      </w:r>
      <w:r w:rsidRPr="009B04A5">
        <w:rPr>
          <w:rFonts w:ascii="Book Antiqua" w:hAnsi="Book Antiqua"/>
          <w:b/>
        </w:rPr>
        <w:t>Mi S</w:t>
      </w:r>
      <w:r w:rsidRPr="009B04A5">
        <w:rPr>
          <w:rFonts w:ascii="Book Antiqua" w:hAnsi="Book Antiqua"/>
        </w:rPr>
        <w:t xml:space="preserve">, Lu J, Sun M, Li Z, Zhang H, Neilly MB, Wang Y, Qian Z, Jin J, Zhang Y, Bohlander SK, Le Beau MM, Larson RA, Golub TR, Rowley JD, Chen J. MicroRNA expression signatures accurately discriminate acute lymphoblastic leukemia from acute myeloid leukemia. </w:t>
      </w:r>
      <w:r w:rsidRPr="009B04A5">
        <w:rPr>
          <w:rFonts w:ascii="Book Antiqua" w:hAnsi="Book Antiqua"/>
          <w:i/>
        </w:rPr>
        <w:t>Proc Natl Acad Sci USA</w:t>
      </w:r>
      <w:r w:rsidRPr="009B04A5">
        <w:rPr>
          <w:rFonts w:ascii="Book Antiqua" w:hAnsi="Book Antiqua"/>
        </w:rPr>
        <w:t xml:space="preserve"> 2007; </w:t>
      </w:r>
      <w:r w:rsidRPr="009B04A5">
        <w:rPr>
          <w:rFonts w:ascii="Book Antiqua" w:hAnsi="Book Antiqua"/>
          <w:b/>
        </w:rPr>
        <w:t>104</w:t>
      </w:r>
      <w:r w:rsidRPr="009B04A5">
        <w:rPr>
          <w:rFonts w:ascii="Book Antiqua" w:hAnsi="Book Antiqua"/>
        </w:rPr>
        <w:t>: 19971-19976 [PMID: 18056805 DOI: 10.1073/pnas.0709313104]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42 </w:t>
      </w:r>
      <w:r w:rsidRPr="009B04A5">
        <w:rPr>
          <w:rFonts w:ascii="Book Antiqua" w:hAnsi="Book Antiqua"/>
          <w:b/>
        </w:rPr>
        <w:t>Schotte D</w:t>
      </w:r>
      <w:r w:rsidRPr="009B04A5">
        <w:rPr>
          <w:rFonts w:ascii="Book Antiqua" w:hAnsi="Book Antiqua"/>
        </w:rPr>
        <w:t xml:space="preserve">, De Menezes RX, Akbari Moqadam F, Khankahdani LM, Lange-Turenhout E, Chen C, Pieters R, Den Boer ML. MicroRNA characterize genetic diversity and drug resistance in pediatric acute lymphoblastic leukemia. </w:t>
      </w:r>
      <w:r w:rsidRPr="009B04A5">
        <w:rPr>
          <w:rFonts w:ascii="Book Antiqua" w:hAnsi="Book Antiqua"/>
          <w:i/>
        </w:rPr>
        <w:t>Haematologica</w:t>
      </w:r>
      <w:r w:rsidRPr="009B04A5">
        <w:rPr>
          <w:rFonts w:ascii="Book Antiqua" w:hAnsi="Book Antiqua"/>
        </w:rPr>
        <w:t xml:space="preserve"> 2011; </w:t>
      </w:r>
      <w:r w:rsidRPr="009B04A5">
        <w:rPr>
          <w:rFonts w:ascii="Book Antiqua" w:hAnsi="Book Antiqua"/>
          <w:b/>
        </w:rPr>
        <w:t>96</w:t>
      </w:r>
      <w:r w:rsidRPr="009B04A5">
        <w:rPr>
          <w:rFonts w:ascii="Book Antiqua" w:hAnsi="Book Antiqua"/>
        </w:rPr>
        <w:t>: 703-711 [PMID: 21242186 DOI: 10.3324/haematol.2010.026138]</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lastRenderedPageBreak/>
        <w:t xml:space="preserve">43 </w:t>
      </w:r>
      <w:r w:rsidRPr="009B04A5">
        <w:rPr>
          <w:rFonts w:ascii="Book Antiqua" w:hAnsi="Book Antiqua"/>
          <w:b/>
        </w:rPr>
        <w:t>Li XJ</w:t>
      </w:r>
      <w:r w:rsidRPr="009B04A5">
        <w:rPr>
          <w:rFonts w:ascii="Book Antiqua" w:hAnsi="Book Antiqua"/>
        </w:rPr>
        <w:t xml:space="preserve">, Luo XQ, Han BW, Duan FT, Wei PP, Chen YQ. MicroRNA-100/99a, deregulated in acute lymphoblastic leukaemia, suppress proliferation and promote apoptosis by regulating the FKBP51 and IGF1R/mTOR signalling pathways. </w:t>
      </w:r>
      <w:r w:rsidRPr="009B04A5">
        <w:rPr>
          <w:rFonts w:ascii="Book Antiqua" w:hAnsi="Book Antiqua"/>
          <w:i/>
        </w:rPr>
        <w:t>Br J Cancer</w:t>
      </w:r>
      <w:r w:rsidRPr="009B04A5">
        <w:rPr>
          <w:rFonts w:ascii="Book Antiqua" w:hAnsi="Book Antiqua"/>
        </w:rPr>
        <w:t xml:space="preserve"> 2013; </w:t>
      </w:r>
      <w:r w:rsidRPr="009B04A5">
        <w:rPr>
          <w:rFonts w:ascii="Book Antiqua" w:hAnsi="Book Antiqua"/>
          <w:b/>
        </w:rPr>
        <w:t>109</w:t>
      </w:r>
      <w:r w:rsidRPr="009B04A5">
        <w:rPr>
          <w:rFonts w:ascii="Book Antiqua" w:hAnsi="Book Antiqua"/>
        </w:rPr>
        <w:t>: 2189-2198 [PMID: 24030073 DOI: 10.1038/bjc.2013.562]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44 </w:t>
      </w:r>
      <w:r w:rsidRPr="009B04A5">
        <w:rPr>
          <w:rFonts w:ascii="Book Antiqua" w:hAnsi="Book Antiqua"/>
          <w:b/>
        </w:rPr>
        <w:t>de Oliveira JC</w:t>
      </w:r>
      <w:r w:rsidRPr="009B04A5">
        <w:rPr>
          <w:rFonts w:ascii="Book Antiqua" w:hAnsi="Book Antiqua"/>
        </w:rPr>
        <w:t xml:space="preserve">, Scrideli CA, Brassesco MS, Morales AG, Pezuk JA, Queiroz Rde P, Yunes JA, Brandalise SR, Tone LG. Differential miRNA expression in childhood acute lymphoblastic leukemia and association with clinical and biological features. </w:t>
      </w:r>
      <w:r w:rsidRPr="009B04A5">
        <w:rPr>
          <w:rFonts w:ascii="Book Antiqua" w:hAnsi="Book Antiqua"/>
          <w:i/>
        </w:rPr>
        <w:t>Leuk Res</w:t>
      </w:r>
      <w:r w:rsidRPr="009B04A5">
        <w:rPr>
          <w:rFonts w:ascii="Book Antiqua" w:hAnsi="Book Antiqua"/>
        </w:rPr>
        <w:t xml:space="preserve"> 2012; </w:t>
      </w:r>
      <w:r w:rsidRPr="009B04A5">
        <w:rPr>
          <w:rFonts w:ascii="Book Antiqua" w:hAnsi="Book Antiqua"/>
          <w:b/>
        </w:rPr>
        <w:t>36</w:t>
      </w:r>
      <w:r w:rsidRPr="009B04A5">
        <w:rPr>
          <w:rFonts w:ascii="Book Antiqua" w:hAnsi="Book Antiqua"/>
        </w:rPr>
        <w:t>: 293-298 [PMID: 22099053 DOI: 10.1016/j.leukres.2011.10.005]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45 </w:t>
      </w:r>
      <w:r w:rsidRPr="009B04A5">
        <w:rPr>
          <w:rFonts w:ascii="Book Antiqua" w:hAnsi="Book Antiqua"/>
          <w:b/>
        </w:rPr>
        <w:t>de Oliveira JC</w:t>
      </w:r>
      <w:r w:rsidRPr="009B04A5">
        <w:rPr>
          <w:rFonts w:ascii="Book Antiqua" w:hAnsi="Book Antiqua"/>
        </w:rPr>
        <w:t xml:space="preserve">, Brassesco MS, Scrideli CA, Tone LG, Narendran A. MicroRNA expression and activity in pediatric acute lymphoblastic leukemia (ALL). </w:t>
      </w:r>
      <w:r w:rsidRPr="009B04A5">
        <w:rPr>
          <w:rFonts w:ascii="Book Antiqua" w:hAnsi="Book Antiqua"/>
          <w:i/>
        </w:rPr>
        <w:t>Pediatr Blood Cancer</w:t>
      </w:r>
      <w:r w:rsidRPr="009B04A5">
        <w:rPr>
          <w:rFonts w:ascii="Book Antiqua" w:hAnsi="Book Antiqua"/>
        </w:rPr>
        <w:t xml:space="preserve"> 2012; </w:t>
      </w:r>
      <w:r w:rsidRPr="009B04A5">
        <w:rPr>
          <w:rFonts w:ascii="Book Antiqua" w:hAnsi="Book Antiqua"/>
          <w:b/>
        </w:rPr>
        <w:t>59</w:t>
      </w:r>
      <w:r w:rsidRPr="009B04A5">
        <w:rPr>
          <w:rFonts w:ascii="Book Antiqua" w:hAnsi="Book Antiqua"/>
        </w:rPr>
        <w:t>: 599-604 [PMID: 22492670 DOI: 10.1002/pbc.24167]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46 </w:t>
      </w:r>
      <w:r w:rsidRPr="009B04A5">
        <w:rPr>
          <w:rFonts w:ascii="Book Antiqua" w:hAnsi="Book Antiqua"/>
          <w:b/>
        </w:rPr>
        <w:t>Swellam M</w:t>
      </w:r>
      <w:r w:rsidRPr="009B04A5">
        <w:rPr>
          <w:rFonts w:ascii="Book Antiqua" w:hAnsi="Book Antiqua"/>
        </w:rPr>
        <w:t xml:space="preserve">, Hashim M, Mahmoud MS, Ramadan A, Hassan NM. Aberrant Expression of Some Circulating miRNAs in Childhood Acute Lymphoblastic Leukemia. </w:t>
      </w:r>
      <w:r w:rsidRPr="009B04A5">
        <w:rPr>
          <w:rFonts w:ascii="Book Antiqua" w:hAnsi="Book Antiqua"/>
          <w:i/>
        </w:rPr>
        <w:t>Biochem Genet</w:t>
      </w:r>
      <w:r w:rsidRPr="009B04A5">
        <w:rPr>
          <w:rFonts w:ascii="Book Antiqua" w:hAnsi="Book Antiqua"/>
        </w:rPr>
        <w:t xml:space="preserve"> 2018; </w:t>
      </w:r>
      <w:r w:rsidRPr="009B04A5">
        <w:rPr>
          <w:rFonts w:ascii="Book Antiqua" w:hAnsi="Book Antiqua"/>
          <w:b/>
        </w:rPr>
        <w:t>56</w:t>
      </w:r>
      <w:r w:rsidRPr="009B04A5">
        <w:rPr>
          <w:rFonts w:ascii="Book Antiqua" w:hAnsi="Book Antiqua"/>
        </w:rPr>
        <w:t>: 283-294 [PMID: 29460192 DOI: 10.1007/s10528-018-9844-y]</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47 </w:t>
      </w:r>
      <w:r w:rsidRPr="009B04A5">
        <w:rPr>
          <w:rFonts w:ascii="Book Antiqua" w:hAnsi="Book Antiqua"/>
          <w:b/>
        </w:rPr>
        <w:t>Nabhan M</w:t>
      </w:r>
      <w:r w:rsidRPr="009B04A5">
        <w:rPr>
          <w:rFonts w:ascii="Book Antiqua" w:hAnsi="Book Antiqua"/>
        </w:rPr>
        <w:t xml:space="preserve">, Louka ML, Khairy E, Tash F, Ali-Labib R, El-Habashy S. MicroRNA-181a and its target Smad 7 as potential biomarkers for tracking child acute lymphoblastic leukemia. </w:t>
      </w:r>
      <w:r w:rsidRPr="009B04A5">
        <w:rPr>
          <w:rFonts w:ascii="Book Antiqua" w:hAnsi="Book Antiqua"/>
          <w:i/>
        </w:rPr>
        <w:t>Gene</w:t>
      </w:r>
      <w:r w:rsidRPr="009B04A5">
        <w:rPr>
          <w:rFonts w:ascii="Book Antiqua" w:hAnsi="Book Antiqua"/>
        </w:rPr>
        <w:t xml:space="preserve"> 2017; </w:t>
      </w:r>
      <w:r w:rsidRPr="009B04A5">
        <w:rPr>
          <w:rFonts w:ascii="Book Antiqua" w:hAnsi="Book Antiqua"/>
          <w:b/>
        </w:rPr>
        <w:t>628</w:t>
      </w:r>
      <w:r w:rsidRPr="009B04A5">
        <w:rPr>
          <w:rFonts w:ascii="Book Antiqua" w:hAnsi="Book Antiqua"/>
        </w:rPr>
        <w:t>: 253-258 [PMID: 28732737 DOI: 10.1016/j.gene.2017.07.052]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48 </w:t>
      </w:r>
      <w:r w:rsidRPr="009B04A5">
        <w:rPr>
          <w:rFonts w:ascii="Book Antiqua" w:hAnsi="Book Antiqua"/>
          <w:b/>
        </w:rPr>
        <w:t>Yang YL</w:t>
      </w:r>
      <w:r w:rsidRPr="009B04A5">
        <w:rPr>
          <w:rFonts w:ascii="Book Antiqua" w:hAnsi="Book Antiqua"/>
        </w:rPr>
        <w:t xml:space="preserve">, Yen CT, Pai CH, Chen HY, Yu SL, Lin CY, Hu CY, Jou ST, Lin DT, Lin SR, Lin SW. A Double Negative Loop Comprising ETV6/RUNX1 and MIR181A1 Contributes to Differentiation Block in t(12;21)-Positive Acute Lymphoblastic Leukemia. </w:t>
      </w:r>
      <w:r w:rsidRPr="009B04A5">
        <w:rPr>
          <w:rFonts w:ascii="Book Antiqua" w:hAnsi="Book Antiqua"/>
          <w:i/>
        </w:rPr>
        <w:t>PLoS One</w:t>
      </w:r>
      <w:r w:rsidRPr="009B04A5">
        <w:rPr>
          <w:rFonts w:ascii="Book Antiqua" w:hAnsi="Book Antiqua"/>
        </w:rPr>
        <w:t xml:space="preserve"> 2015; </w:t>
      </w:r>
      <w:r w:rsidRPr="009B04A5">
        <w:rPr>
          <w:rFonts w:ascii="Book Antiqua" w:hAnsi="Book Antiqua"/>
          <w:b/>
        </w:rPr>
        <w:t>10</w:t>
      </w:r>
      <w:r w:rsidRPr="009B04A5">
        <w:rPr>
          <w:rFonts w:ascii="Book Antiqua" w:hAnsi="Book Antiqua"/>
        </w:rPr>
        <w:t>: e0142863 [PMID: 26580398 DOI: 10.1371/journal.pone.0142863]</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49 </w:t>
      </w:r>
      <w:r w:rsidRPr="009B04A5">
        <w:rPr>
          <w:rFonts w:ascii="Book Antiqua" w:hAnsi="Book Antiqua"/>
          <w:b/>
        </w:rPr>
        <w:t>Daschkey S</w:t>
      </w:r>
      <w:r w:rsidRPr="009B04A5">
        <w:rPr>
          <w:rFonts w:ascii="Book Antiqua" w:hAnsi="Book Antiqua"/>
        </w:rPr>
        <w:t xml:space="preserve">, Röttgers S, Giri A, Bradtke J, Teigler-Schlegel A, Meister G, Borkhardt A, Landgraf P. MicroRNAs distinguish cytogenetic subgroups in pediatric AML and contribute to complex regulatory networks in AML-relevant pathways. </w:t>
      </w:r>
      <w:r w:rsidRPr="009B04A5">
        <w:rPr>
          <w:rFonts w:ascii="Book Antiqua" w:hAnsi="Book Antiqua"/>
          <w:i/>
        </w:rPr>
        <w:t>PLoS One</w:t>
      </w:r>
      <w:r w:rsidRPr="009B04A5">
        <w:rPr>
          <w:rFonts w:ascii="Book Antiqua" w:hAnsi="Book Antiqua"/>
        </w:rPr>
        <w:t xml:space="preserve"> 2013; </w:t>
      </w:r>
      <w:r w:rsidRPr="009B04A5">
        <w:rPr>
          <w:rFonts w:ascii="Book Antiqua" w:hAnsi="Book Antiqua"/>
          <w:b/>
        </w:rPr>
        <w:t>8</w:t>
      </w:r>
      <w:r w:rsidRPr="009B04A5">
        <w:rPr>
          <w:rFonts w:ascii="Book Antiqua" w:hAnsi="Book Antiqua"/>
        </w:rPr>
        <w:t>: e56334 [PMID: 23418555 DOI: 10.1371/journal.pone.0056334]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50 </w:t>
      </w:r>
      <w:r w:rsidRPr="009B04A5">
        <w:rPr>
          <w:rFonts w:ascii="Book Antiqua" w:hAnsi="Book Antiqua"/>
          <w:b/>
        </w:rPr>
        <w:t>Faraoni I</w:t>
      </w:r>
      <w:r w:rsidRPr="009B04A5">
        <w:rPr>
          <w:rFonts w:ascii="Book Antiqua" w:hAnsi="Book Antiqua"/>
        </w:rPr>
        <w:t xml:space="preserve">, Laterza S, Ardiri D, Ciardi C, Fazi F, Lo-Coco F. MiR-424 and miR-155 deregulated expression in cytogenetically normal acute myeloid leukaemia: </w:t>
      </w:r>
      <w:r w:rsidRPr="009B04A5">
        <w:rPr>
          <w:rFonts w:ascii="Book Antiqua" w:hAnsi="Book Antiqua"/>
        </w:rPr>
        <w:lastRenderedPageBreak/>
        <w:t xml:space="preserve">correlation with NPM1 and FLT3 mutation status. </w:t>
      </w:r>
      <w:r w:rsidRPr="009B04A5">
        <w:rPr>
          <w:rFonts w:ascii="Book Antiqua" w:hAnsi="Book Antiqua"/>
          <w:i/>
        </w:rPr>
        <w:t>J Hematol Oncol</w:t>
      </w:r>
      <w:r w:rsidRPr="009B04A5">
        <w:rPr>
          <w:rFonts w:ascii="Book Antiqua" w:hAnsi="Book Antiqua"/>
        </w:rPr>
        <w:t xml:space="preserve"> 2012; </w:t>
      </w:r>
      <w:r w:rsidRPr="009B04A5">
        <w:rPr>
          <w:rFonts w:ascii="Book Antiqua" w:hAnsi="Book Antiqua"/>
          <w:b/>
        </w:rPr>
        <w:t>5</w:t>
      </w:r>
      <w:r w:rsidRPr="009B04A5">
        <w:rPr>
          <w:rFonts w:ascii="Book Antiqua" w:hAnsi="Book Antiqua"/>
        </w:rPr>
        <w:t>: 26 [PMID: 22681934 DOI: 10.1186/1756-8722-5-26]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51 </w:t>
      </w:r>
      <w:r w:rsidRPr="009B04A5">
        <w:rPr>
          <w:rFonts w:ascii="Book Antiqua" w:hAnsi="Book Antiqua"/>
          <w:b/>
        </w:rPr>
        <w:t>Garzon R</w:t>
      </w:r>
      <w:r w:rsidRPr="009B04A5">
        <w:rPr>
          <w:rFonts w:ascii="Book Antiqua" w:hAnsi="Book Antiqua"/>
        </w:rPr>
        <w:t xml:space="preserve">, Volinia S, Liu CG, Fernandez-Cymering C, Palumbo T, Pichiorri F, Fabbri M, Coombes K, Alder H, Nakamura T, Flomenberg N, Marcucci G, Calin GA, Kornblau SM, Kantarjian H, Bloomfield CD, Andreeff M, Croce CM. MicroRNA signatures associated with cytogenetics and prognosis in acute myeloid leukemia. </w:t>
      </w:r>
      <w:r w:rsidRPr="009B04A5">
        <w:rPr>
          <w:rFonts w:ascii="Book Antiqua" w:hAnsi="Book Antiqua"/>
          <w:i/>
        </w:rPr>
        <w:t>Blood</w:t>
      </w:r>
      <w:r w:rsidRPr="009B04A5">
        <w:rPr>
          <w:rFonts w:ascii="Book Antiqua" w:hAnsi="Book Antiqua"/>
        </w:rPr>
        <w:t xml:space="preserve"> 2008; </w:t>
      </w:r>
      <w:r w:rsidRPr="009B04A5">
        <w:rPr>
          <w:rFonts w:ascii="Book Antiqua" w:hAnsi="Book Antiqua"/>
          <w:b/>
        </w:rPr>
        <w:t>111</w:t>
      </w:r>
      <w:r w:rsidRPr="009B04A5">
        <w:rPr>
          <w:rFonts w:ascii="Book Antiqua" w:hAnsi="Book Antiqua"/>
        </w:rPr>
        <w:t>: 3183-3189 [PMID: 18187662 DOI: 10.1182/blood-2007-07-098749]</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52 </w:t>
      </w:r>
      <w:r w:rsidRPr="009B04A5">
        <w:rPr>
          <w:rFonts w:ascii="Book Antiqua" w:hAnsi="Book Antiqua"/>
          <w:b/>
        </w:rPr>
        <w:t>Jongen-Lavrencic M</w:t>
      </w:r>
      <w:r w:rsidRPr="009B04A5">
        <w:rPr>
          <w:rFonts w:ascii="Book Antiqua" w:hAnsi="Book Antiqua"/>
        </w:rPr>
        <w:t xml:space="preserve">, Sun SM, Dijkstra MK, Valk PJ, Löwenberg B. MicroRNA expression profiling in relation to the genetic heterogeneity of acute myeloid leukemia. </w:t>
      </w:r>
      <w:r w:rsidRPr="009B04A5">
        <w:rPr>
          <w:rFonts w:ascii="Book Antiqua" w:hAnsi="Book Antiqua"/>
          <w:i/>
        </w:rPr>
        <w:t>Blood</w:t>
      </w:r>
      <w:r w:rsidRPr="009B04A5">
        <w:rPr>
          <w:rFonts w:ascii="Book Antiqua" w:hAnsi="Book Antiqua"/>
        </w:rPr>
        <w:t xml:space="preserve"> 2008; </w:t>
      </w:r>
      <w:r w:rsidRPr="009B04A5">
        <w:rPr>
          <w:rFonts w:ascii="Book Antiqua" w:hAnsi="Book Antiqua"/>
          <w:b/>
        </w:rPr>
        <w:t>111</w:t>
      </w:r>
      <w:r w:rsidRPr="009B04A5">
        <w:rPr>
          <w:rFonts w:ascii="Book Antiqua" w:hAnsi="Book Antiqua"/>
        </w:rPr>
        <w:t>: 5078-5085 [PMID: 18337557 DOI: 10.1182/blood-2008-01-133355]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53 </w:t>
      </w:r>
      <w:r w:rsidRPr="009B04A5">
        <w:rPr>
          <w:rFonts w:ascii="Book Antiqua" w:hAnsi="Book Antiqua"/>
          <w:b/>
        </w:rPr>
        <w:t>Li Z</w:t>
      </w:r>
      <w:r w:rsidRPr="009B04A5">
        <w:rPr>
          <w:rFonts w:ascii="Book Antiqua" w:hAnsi="Book Antiqua"/>
        </w:rPr>
        <w:t xml:space="preserve">, Lu J, Sun M, Mi S, Zhang H, Luo RT, Chen P, Wang Y, Yan M, Qian Z, Neilly MB, Jin J, Zhang Y, Bohlander SK, Zhang DE, Larson RA, Le Beau MM, Thirman MJ, Golub TR, Rowley JD, Chen J. Distinct microRNA expression profiles in acute myeloid leukemia with common translocations. </w:t>
      </w:r>
      <w:r w:rsidRPr="009B04A5">
        <w:rPr>
          <w:rFonts w:ascii="Book Antiqua" w:hAnsi="Book Antiqua"/>
          <w:i/>
        </w:rPr>
        <w:t>Proc Natl Acad Sci USA</w:t>
      </w:r>
      <w:r w:rsidRPr="009B04A5">
        <w:rPr>
          <w:rFonts w:ascii="Book Antiqua" w:hAnsi="Book Antiqua"/>
        </w:rPr>
        <w:t xml:space="preserve"> 2008; </w:t>
      </w:r>
      <w:r w:rsidRPr="009B04A5">
        <w:rPr>
          <w:rFonts w:ascii="Book Antiqua" w:hAnsi="Book Antiqua"/>
          <w:b/>
        </w:rPr>
        <w:t>105</w:t>
      </w:r>
      <w:r w:rsidRPr="009B04A5">
        <w:rPr>
          <w:rFonts w:ascii="Book Antiqua" w:hAnsi="Book Antiqua"/>
        </w:rPr>
        <w:t>: 15535-15540 [PMID: 18832181 DOI: 10.1073/pnas.0808266105]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54 </w:t>
      </w:r>
      <w:r w:rsidRPr="009B04A5">
        <w:rPr>
          <w:rFonts w:ascii="Book Antiqua" w:hAnsi="Book Antiqua"/>
          <w:b/>
        </w:rPr>
        <w:t>Mendler JH</w:t>
      </w:r>
      <w:r w:rsidRPr="009B04A5">
        <w:rPr>
          <w:rFonts w:ascii="Book Antiqua" w:hAnsi="Book Antiqua"/>
        </w:rPr>
        <w:t xml:space="preserve">, Maharry K, Radmacher MD, Mrózek K, Becker H, Metzeler KH, Schwind S, Whitman SP, Khalife J, Kohlschmidt J, Nicolet D, Powell BL, Carter TH, Wetzler M, Moore JO, Kolitz JE, Baer MR, Carroll AJ, Larson RA, Caligiuri MA, Marcucci G, Bloomfield CD. RUNX1 mutations are associated with poor outcome in younger and older patients with cytogenetically normal acute myeloid leukemia and with distinct gene and MicroRNA expression signatures. </w:t>
      </w:r>
      <w:r w:rsidRPr="009B04A5">
        <w:rPr>
          <w:rFonts w:ascii="Book Antiqua" w:hAnsi="Book Antiqua"/>
          <w:i/>
        </w:rPr>
        <w:t>J Clin Oncol</w:t>
      </w:r>
      <w:r w:rsidRPr="009B04A5">
        <w:rPr>
          <w:rFonts w:ascii="Book Antiqua" w:hAnsi="Book Antiqua"/>
        </w:rPr>
        <w:t xml:space="preserve"> 2012; </w:t>
      </w:r>
      <w:r w:rsidRPr="009B04A5">
        <w:rPr>
          <w:rFonts w:ascii="Book Antiqua" w:hAnsi="Book Antiqua"/>
          <w:b/>
        </w:rPr>
        <w:t>30</w:t>
      </w:r>
      <w:r w:rsidRPr="009B04A5">
        <w:rPr>
          <w:rFonts w:ascii="Book Antiqua" w:hAnsi="Book Antiqua"/>
        </w:rPr>
        <w:t>: 3109-3118 [PMID: 22753902 DOI: 10.1200/JCO.2011.40.6652]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55 </w:t>
      </w:r>
      <w:r w:rsidRPr="009B04A5">
        <w:rPr>
          <w:rFonts w:ascii="Book Antiqua" w:hAnsi="Book Antiqua"/>
          <w:b/>
        </w:rPr>
        <w:t>Sun SM</w:t>
      </w:r>
      <w:r w:rsidRPr="009B04A5">
        <w:rPr>
          <w:rFonts w:ascii="Book Antiqua" w:hAnsi="Book Antiqua"/>
        </w:rPr>
        <w:t xml:space="preserve">, Rockova V, Bullinger L, Dijkstra MK, Döhner H, Löwenberg B, Jongen-Lavrencic M. The prognostic relevance of miR-212 expression with survival in cytogenetically and molecularly heterogeneous AML. </w:t>
      </w:r>
      <w:r w:rsidRPr="009B04A5">
        <w:rPr>
          <w:rFonts w:ascii="Book Antiqua" w:hAnsi="Book Antiqua"/>
          <w:i/>
        </w:rPr>
        <w:t>Leukemia</w:t>
      </w:r>
      <w:r w:rsidRPr="009B04A5">
        <w:rPr>
          <w:rFonts w:ascii="Book Antiqua" w:hAnsi="Book Antiqua"/>
        </w:rPr>
        <w:t xml:space="preserve"> 2013; </w:t>
      </w:r>
      <w:r w:rsidRPr="009B04A5">
        <w:rPr>
          <w:rFonts w:ascii="Book Antiqua" w:hAnsi="Book Antiqua"/>
          <w:b/>
        </w:rPr>
        <w:t>27</w:t>
      </w:r>
      <w:r w:rsidRPr="009B04A5">
        <w:rPr>
          <w:rFonts w:ascii="Book Antiqua" w:hAnsi="Book Antiqua"/>
        </w:rPr>
        <w:t>: 100-106 [PMID: 22692398 DOI: 10.1038/leu.2012.158]</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56 </w:t>
      </w:r>
      <w:r w:rsidRPr="009B04A5">
        <w:rPr>
          <w:rFonts w:ascii="Book Antiqua" w:hAnsi="Book Antiqua"/>
          <w:b/>
        </w:rPr>
        <w:t>Cammarata G</w:t>
      </w:r>
      <w:r w:rsidRPr="009B04A5">
        <w:rPr>
          <w:rFonts w:ascii="Book Antiqua" w:hAnsi="Book Antiqua"/>
        </w:rPr>
        <w:t xml:space="preserve">, Augugliaro L, Salemi D, Agueli C, La Rosa M, Dagnino L, Civiletto G, Messana F, Marfia A, Bica MG, Cascio L, Floridia PM, Mineo AM, Russo M, Fabbiano F, Santoro A. Differential expression of specific microRNA and their </w:t>
      </w:r>
      <w:r w:rsidRPr="009B04A5">
        <w:rPr>
          <w:rFonts w:ascii="Book Antiqua" w:hAnsi="Book Antiqua"/>
        </w:rPr>
        <w:lastRenderedPageBreak/>
        <w:t xml:space="preserve">targets in acute myeloid leukemia. </w:t>
      </w:r>
      <w:r w:rsidRPr="009B04A5">
        <w:rPr>
          <w:rFonts w:ascii="Book Antiqua" w:hAnsi="Book Antiqua"/>
          <w:i/>
        </w:rPr>
        <w:t>Am J Hematol</w:t>
      </w:r>
      <w:r w:rsidRPr="009B04A5">
        <w:rPr>
          <w:rFonts w:ascii="Book Antiqua" w:hAnsi="Book Antiqua"/>
        </w:rPr>
        <w:t xml:space="preserve"> 2010; </w:t>
      </w:r>
      <w:r w:rsidRPr="009B04A5">
        <w:rPr>
          <w:rFonts w:ascii="Book Antiqua" w:hAnsi="Book Antiqua"/>
          <w:b/>
        </w:rPr>
        <w:t>85</w:t>
      </w:r>
      <w:r w:rsidRPr="009B04A5">
        <w:rPr>
          <w:rFonts w:ascii="Book Antiqua" w:hAnsi="Book Antiqua"/>
        </w:rPr>
        <w:t>: 331-339 [PMID: 20425795 DOI: 10.1002/ajh.21667]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57 </w:t>
      </w:r>
      <w:r w:rsidRPr="009B04A5">
        <w:rPr>
          <w:rFonts w:ascii="Book Antiqua" w:hAnsi="Book Antiqua"/>
          <w:b/>
        </w:rPr>
        <w:t>Dixon-McIver A</w:t>
      </w:r>
      <w:r w:rsidRPr="009B04A5">
        <w:rPr>
          <w:rFonts w:ascii="Book Antiqua" w:hAnsi="Book Antiqua"/>
        </w:rPr>
        <w:t xml:space="preserve">, East P, Mein CA, Cazier JB, Molloy G, Chaplin T, Andrew Lister T, Young BD, Debernardi S. Distinctive patterns of microRNA expression associated with karyotype in acute myeloid leukaemia. </w:t>
      </w:r>
      <w:r w:rsidRPr="009B04A5">
        <w:rPr>
          <w:rFonts w:ascii="Book Antiqua" w:hAnsi="Book Antiqua"/>
          <w:i/>
        </w:rPr>
        <w:t>PLoS One</w:t>
      </w:r>
      <w:r w:rsidRPr="009B04A5">
        <w:rPr>
          <w:rFonts w:ascii="Book Antiqua" w:hAnsi="Book Antiqua"/>
        </w:rPr>
        <w:t xml:space="preserve"> 2008; </w:t>
      </w:r>
      <w:r w:rsidRPr="009B04A5">
        <w:rPr>
          <w:rFonts w:ascii="Book Antiqua" w:hAnsi="Book Antiqua"/>
          <w:b/>
        </w:rPr>
        <w:t>3</w:t>
      </w:r>
      <w:r w:rsidRPr="009B04A5">
        <w:rPr>
          <w:rFonts w:ascii="Book Antiqua" w:hAnsi="Book Antiqua"/>
        </w:rPr>
        <w:t>: e2141 [PMID: 18478077 DOI: 10.1371/journal.pone.0002141]</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58 </w:t>
      </w:r>
      <w:r w:rsidRPr="009B04A5">
        <w:rPr>
          <w:rFonts w:ascii="Book Antiqua" w:hAnsi="Book Antiqua"/>
          <w:b/>
        </w:rPr>
        <w:t>Marcucci G</w:t>
      </w:r>
      <w:r w:rsidRPr="009B04A5">
        <w:rPr>
          <w:rFonts w:ascii="Book Antiqua" w:hAnsi="Book Antiqua"/>
        </w:rPr>
        <w:t xml:space="preserve">, Maharry K, Radmacher MD, Mrózek K, Vukosavljevic T, Paschka P, Whitman SP, Langer C, Baldus CD, Liu CG, Ruppert AS, Powell BL, Carroll AJ, Caligiuri MA, Kolitz JE, Larson RA, Bloomfield CD. Prognostic significance of, and gene and microRNA expression signatures associated with, CEBPA mutations in cytogenetically normal acute myeloid leukemia with high-risk molecular features: a Cancer and Leukemia Group B Study. </w:t>
      </w:r>
      <w:r w:rsidRPr="009B04A5">
        <w:rPr>
          <w:rFonts w:ascii="Book Antiqua" w:hAnsi="Book Antiqua"/>
          <w:i/>
        </w:rPr>
        <w:t>J Clin Oncol</w:t>
      </w:r>
      <w:r w:rsidRPr="009B04A5">
        <w:rPr>
          <w:rFonts w:ascii="Book Antiqua" w:hAnsi="Book Antiqua"/>
        </w:rPr>
        <w:t xml:space="preserve"> 2008; </w:t>
      </w:r>
      <w:r w:rsidRPr="009B04A5">
        <w:rPr>
          <w:rFonts w:ascii="Book Antiqua" w:hAnsi="Book Antiqua"/>
          <w:b/>
        </w:rPr>
        <w:t>26</w:t>
      </w:r>
      <w:r w:rsidRPr="009B04A5">
        <w:rPr>
          <w:rFonts w:ascii="Book Antiqua" w:hAnsi="Book Antiqua"/>
        </w:rPr>
        <w:t>: 5078-5087 [PMID: 18809607 DOI: 10.1200/JCO.2008.17.5554]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59 </w:t>
      </w:r>
      <w:r w:rsidRPr="009B04A5">
        <w:rPr>
          <w:rFonts w:ascii="Book Antiqua" w:hAnsi="Book Antiqua"/>
          <w:b/>
        </w:rPr>
        <w:t>Marcucci G</w:t>
      </w:r>
      <w:r w:rsidRPr="009B04A5">
        <w:rPr>
          <w:rFonts w:ascii="Book Antiqua" w:hAnsi="Book Antiqua"/>
        </w:rPr>
        <w:t xml:space="preserve">, Radmacher MD, Maharry K, Mrózek K, Ruppert AS, Paschka P, Vukosavljevic T, Whitman SP, Baldus CD, Langer C, Liu CG, Carroll AJ, Powell BL, Garzon R, Croce CM, Kolitz JE, Caligiuri MA, Larson RA, Bloomfield CD. MicroRNA expression in cytogenetically normal acute myeloid leukemia. </w:t>
      </w:r>
      <w:r w:rsidRPr="009B04A5">
        <w:rPr>
          <w:rFonts w:ascii="Book Antiqua" w:hAnsi="Book Antiqua"/>
          <w:i/>
        </w:rPr>
        <w:t>N Engl J Med</w:t>
      </w:r>
      <w:r w:rsidRPr="009B04A5">
        <w:rPr>
          <w:rFonts w:ascii="Book Antiqua" w:hAnsi="Book Antiqua"/>
        </w:rPr>
        <w:t xml:space="preserve"> 2008; </w:t>
      </w:r>
      <w:r w:rsidRPr="009B04A5">
        <w:rPr>
          <w:rFonts w:ascii="Book Antiqua" w:hAnsi="Book Antiqua"/>
          <w:b/>
        </w:rPr>
        <w:t>358</w:t>
      </w:r>
      <w:r w:rsidRPr="009B04A5">
        <w:rPr>
          <w:rFonts w:ascii="Book Antiqua" w:hAnsi="Book Antiqua"/>
        </w:rPr>
        <w:t>: 1919-1928 [PMID: 18450603 DOI: 10.1056/NEJMoa074256]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60 </w:t>
      </w:r>
      <w:r w:rsidRPr="009B04A5">
        <w:rPr>
          <w:rFonts w:ascii="Book Antiqua" w:hAnsi="Book Antiqua"/>
          <w:b/>
        </w:rPr>
        <w:t>Schwind S</w:t>
      </w:r>
      <w:r w:rsidRPr="009B04A5">
        <w:rPr>
          <w:rFonts w:ascii="Book Antiqua" w:hAnsi="Book Antiqua"/>
        </w:rPr>
        <w:t xml:space="preserve">, Maharry K, Radmacher MD, Mrózek K, Holland KB, Margeson D, Whitman SP, Hickey C, Becker H, Metzeler KH, Paschka P, Baldus CD, Liu S, Garzon R, Powell BL, Kolitz JE, Carroll AJ, Caligiuri MA, Larson RA, Marcucci G, Bloomfield CD. Prognostic significance of expression of a single microRNA, miR-181a, in cytogenetically normal acute myeloid leukemia: a Cancer and Leukemia Group B study. </w:t>
      </w:r>
      <w:r w:rsidRPr="009B04A5">
        <w:rPr>
          <w:rFonts w:ascii="Book Antiqua" w:hAnsi="Book Antiqua"/>
          <w:i/>
        </w:rPr>
        <w:t>J Clin Oncol</w:t>
      </w:r>
      <w:r w:rsidRPr="009B04A5">
        <w:rPr>
          <w:rFonts w:ascii="Book Antiqua" w:hAnsi="Book Antiqua"/>
        </w:rPr>
        <w:t xml:space="preserve"> 2010; </w:t>
      </w:r>
      <w:r w:rsidRPr="009B04A5">
        <w:rPr>
          <w:rFonts w:ascii="Book Antiqua" w:hAnsi="Book Antiqua"/>
          <w:b/>
        </w:rPr>
        <w:t>28</w:t>
      </w:r>
      <w:r w:rsidRPr="009B04A5">
        <w:rPr>
          <w:rFonts w:ascii="Book Antiqua" w:hAnsi="Book Antiqua"/>
        </w:rPr>
        <w:t>: 5257-5264 [PMID: 21079133 DOI: 10.1200/JCO.2010.29.2953]</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61 </w:t>
      </w:r>
      <w:r w:rsidRPr="009B04A5">
        <w:rPr>
          <w:rFonts w:ascii="Book Antiqua" w:hAnsi="Book Antiqua"/>
          <w:b/>
        </w:rPr>
        <w:t>Lin X</w:t>
      </w:r>
      <w:r w:rsidRPr="009B04A5">
        <w:rPr>
          <w:rFonts w:ascii="Book Antiqua" w:hAnsi="Book Antiqua"/>
        </w:rPr>
        <w:t xml:space="preserve">, Wang Z, Wang Y, Feng W. Serum MicroRNA-370 as a potential diagnostic and prognostic biomarker for pediatric acute myeloid leukemia. </w:t>
      </w:r>
      <w:r w:rsidRPr="009B04A5">
        <w:rPr>
          <w:rFonts w:ascii="Book Antiqua" w:hAnsi="Book Antiqua"/>
          <w:i/>
        </w:rPr>
        <w:t>Int J Clin Exp Pathol</w:t>
      </w:r>
      <w:r w:rsidRPr="009B04A5">
        <w:rPr>
          <w:rFonts w:ascii="Book Antiqua" w:hAnsi="Book Antiqua"/>
        </w:rPr>
        <w:t xml:space="preserve"> 2015; </w:t>
      </w:r>
      <w:r w:rsidRPr="009B04A5">
        <w:rPr>
          <w:rFonts w:ascii="Book Antiqua" w:hAnsi="Book Antiqua"/>
          <w:b/>
        </w:rPr>
        <w:t>8</w:t>
      </w:r>
      <w:r w:rsidRPr="009B04A5">
        <w:rPr>
          <w:rFonts w:ascii="Book Antiqua" w:hAnsi="Book Antiqua"/>
        </w:rPr>
        <w:t>: 14658-14666 [PMID: 26823789]</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62 </w:t>
      </w:r>
      <w:r w:rsidRPr="009B04A5">
        <w:rPr>
          <w:rFonts w:ascii="Book Antiqua" w:hAnsi="Book Antiqua"/>
          <w:b/>
        </w:rPr>
        <w:t>Lin X</w:t>
      </w:r>
      <w:r w:rsidRPr="009B04A5">
        <w:rPr>
          <w:rFonts w:ascii="Book Antiqua" w:hAnsi="Book Antiqua"/>
        </w:rPr>
        <w:t xml:space="preserve">, Wang Z, Zhang R, Feng W. High serum microRNA-335 level predicts aggressive tumor progression and unfavorable prognosis in pediatric acute myeloid </w:t>
      </w:r>
      <w:r w:rsidRPr="009B04A5">
        <w:rPr>
          <w:rFonts w:ascii="Book Antiqua" w:hAnsi="Book Antiqua"/>
        </w:rPr>
        <w:lastRenderedPageBreak/>
        <w:t xml:space="preserve">leukemia. </w:t>
      </w:r>
      <w:r w:rsidRPr="009B04A5">
        <w:rPr>
          <w:rFonts w:ascii="Book Antiqua" w:hAnsi="Book Antiqua"/>
          <w:i/>
        </w:rPr>
        <w:t>Clin Transl Oncol</w:t>
      </w:r>
      <w:r w:rsidRPr="009B04A5">
        <w:rPr>
          <w:rFonts w:ascii="Book Antiqua" w:hAnsi="Book Antiqua"/>
        </w:rPr>
        <w:t xml:space="preserve"> 2015; </w:t>
      </w:r>
      <w:r w:rsidRPr="009B04A5">
        <w:rPr>
          <w:rFonts w:ascii="Book Antiqua" w:hAnsi="Book Antiqua"/>
          <w:b/>
        </w:rPr>
        <w:t>17</w:t>
      </w:r>
      <w:r w:rsidRPr="009B04A5">
        <w:rPr>
          <w:rFonts w:ascii="Book Antiqua" w:hAnsi="Book Antiqua"/>
        </w:rPr>
        <w:t>: 358-364 [PMID: 25301405 DOI: 10.1007/s12094-014-1237-z]</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63 </w:t>
      </w:r>
      <w:r w:rsidRPr="009B04A5">
        <w:rPr>
          <w:rFonts w:ascii="Book Antiqua" w:hAnsi="Book Antiqua"/>
          <w:b/>
        </w:rPr>
        <w:t>Wang X</w:t>
      </w:r>
      <w:r w:rsidRPr="009B04A5">
        <w:rPr>
          <w:rFonts w:ascii="Book Antiqua" w:hAnsi="Book Antiqua"/>
        </w:rPr>
        <w:t xml:space="preserve">, Zuo D, Yuan Y, Yang X, Hong Z, Zhang R. MicroRNA-183 promotes cell proliferation via regulating programmed cell death 6 in pediatric acute myeloid leukemia. </w:t>
      </w:r>
      <w:r w:rsidRPr="009B04A5">
        <w:rPr>
          <w:rFonts w:ascii="Book Antiqua" w:hAnsi="Book Antiqua"/>
          <w:i/>
        </w:rPr>
        <w:t>J Cancer Res Clin Oncol</w:t>
      </w:r>
      <w:r w:rsidRPr="009B04A5">
        <w:rPr>
          <w:rFonts w:ascii="Book Antiqua" w:hAnsi="Book Antiqua"/>
        </w:rPr>
        <w:t xml:space="preserve"> 2017; </w:t>
      </w:r>
      <w:r w:rsidRPr="009B04A5">
        <w:rPr>
          <w:rFonts w:ascii="Book Antiqua" w:hAnsi="Book Antiqua"/>
          <w:b/>
        </w:rPr>
        <w:t>143</w:t>
      </w:r>
      <w:r w:rsidRPr="009B04A5">
        <w:rPr>
          <w:rFonts w:ascii="Book Antiqua" w:hAnsi="Book Antiqua"/>
        </w:rPr>
        <w:t>: 169-180 [PMID: 27738758 DOI: 10.1007/s00432-016-2277-2]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64 </w:t>
      </w:r>
      <w:r w:rsidRPr="009B04A5">
        <w:rPr>
          <w:rFonts w:ascii="Book Antiqua" w:hAnsi="Book Antiqua"/>
          <w:b/>
        </w:rPr>
        <w:t>Wang Z</w:t>
      </w:r>
      <w:r w:rsidRPr="009B04A5">
        <w:rPr>
          <w:rFonts w:ascii="Book Antiqua" w:hAnsi="Book Antiqua"/>
        </w:rPr>
        <w:t xml:space="preserve">, Hong Z, Gao F, Feng W. Upregulation of microRNA-375 is associated with poor prognosis in pediatric acute myeloid leukemia. </w:t>
      </w:r>
      <w:r w:rsidRPr="009B04A5">
        <w:rPr>
          <w:rFonts w:ascii="Book Antiqua" w:hAnsi="Book Antiqua"/>
          <w:i/>
        </w:rPr>
        <w:t>Mol Cell Biochem</w:t>
      </w:r>
      <w:r w:rsidRPr="009B04A5">
        <w:rPr>
          <w:rFonts w:ascii="Book Antiqua" w:hAnsi="Book Antiqua"/>
        </w:rPr>
        <w:t xml:space="preserve"> 2013; </w:t>
      </w:r>
      <w:r w:rsidRPr="009B04A5">
        <w:rPr>
          <w:rFonts w:ascii="Book Antiqua" w:hAnsi="Book Antiqua"/>
          <w:b/>
        </w:rPr>
        <w:t>383</w:t>
      </w:r>
      <w:r w:rsidRPr="009B04A5">
        <w:rPr>
          <w:rFonts w:ascii="Book Antiqua" w:hAnsi="Book Antiqua"/>
        </w:rPr>
        <w:t>: 59-65 [PMID: 23864342 DOI: 10.1007/s11010-013-1754-z]</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65 </w:t>
      </w:r>
      <w:r w:rsidRPr="009B04A5">
        <w:rPr>
          <w:rFonts w:ascii="Book Antiqua" w:hAnsi="Book Antiqua"/>
          <w:b/>
        </w:rPr>
        <w:t>Zhang L</w:t>
      </w:r>
      <w:r w:rsidRPr="009B04A5">
        <w:rPr>
          <w:rFonts w:ascii="Book Antiqua" w:hAnsi="Book Antiqua"/>
        </w:rPr>
        <w:t xml:space="preserve">, Li X, Ke Z, Huang L, Liang Y, Wu J, Zhang X, Chen Y, Zhang H, Luo X. MiR-99a may serve as a potential oncogene in pediatric myeloid leukemia. </w:t>
      </w:r>
      <w:r w:rsidRPr="009B04A5">
        <w:rPr>
          <w:rFonts w:ascii="Book Antiqua" w:hAnsi="Book Antiqua"/>
          <w:i/>
        </w:rPr>
        <w:t>Cancer Cell Int</w:t>
      </w:r>
      <w:r w:rsidRPr="009B04A5">
        <w:rPr>
          <w:rFonts w:ascii="Book Antiqua" w:hAnsi="Book Antiqua"/>
        </w:rPr>
        <w:t xml:space="preserve"> 2013; </w:t>
      </w:r>
      <w:r w:rsidRPr="009B04A5">
        <w:rPr>
          <w:rFonts w:ascii="Book Antiqua" w:hAnsi="Book Antiqua"/>
          <w:b/>
        </w:rPr>
        <w:t>13</w:t>
      </w:r>
      <w:r w:rsidRPr="009B04A5">
        <w:rPr>
          <w:rFonts w:ascii="Book Antiqua" w:hAnsi="Book Antiqua"/>
        </w:rPr>
        <w:t>: 110 [PMID: 24191888 DOI: 10.1186/1475-2867-13-110]</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66 </w:t>
      </w:r>
      <w:r w:rsidRPr="009B04A5">
        <w:rPr>
          <w:rFonts w:ascii="Book Antiqua" w:hAnsi="Book Antiqua"/>
          <w:b/>
        </w:rPr>
        <w:t>Zhu C</w:t>
      </w:r>
      <w:r w:rsidRPr="009B04A5">
        <w:rPr>
          <w:rFonts w:ascii="Book Antiqua" w:hAnsi="Book Antiqua"/>
        </w:rPr>
        <w:t xml:space="preserve">, Wang Y, Kuai W, Sun X, Chen H, Hong Z. Prognostic value of miR-29a expression in pediatric acute myeloid leukemia. </w:t>
      </w:r>
      <w:r w:rsidRPr="009B04A5">
        <w:rPr>
          <w:rFonts w:ascii="Book Antiqua" w:hAnsi="Book Antiqua"/>
          <w:i/>
        </w:rPr>
        <w:t>Clin Biochem</w:t>
      </w:r>
      <w:r w:rsidRPr="009B04A5">
        <w:rPr>
          <w:rFonts w:ascii="Book Antiqua" w:hAnsi="Book Antiqua"/>
        </w:rPr>
        <w:t xml:space="preserve"> 2013; </w:t>
      </w:r>
      <w:r w:rsidRPr="009B04A5">
        <w:rPr>
          <w:rFonts w:ascii="Book Antiqua" w:hAnsi="Book Antiqua"/>
          <w:b/>
        </w:rPr>
        <w:t>46</w:t>
      </w:r>
      <w:r w:rsidRPr="009B04A5">
        <w:rPr>
          <w:rFonts w:ascii="Book Antiqua" w:hAnsi="Book Antiqua"/>
        </w:rPr>
        <w:t>: 49-53 [PMID: 22981932 DOI: 10.1016/j.clinbiochem.2012.09.002]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67 </w:t>
      </w:r>
      <w:r w:rsidRPr="009B04A5">
        <w:rPr>
          <w:rFonts w:ascii="Book Antiqua" w:hAnsi="Book Antiqua"/>
          <w:b/>
        </w:rPr>
        <w:t>Zhu R</w:t>
      </w:r>
      <w:r w:rsidRPr="009B04A5">
        <w:rPr>
          <w:rFonts w:ascii="Book Antiqua" w:hAnsi="Book Antiqua"/>
        </w:rPr>
        <w:t xml:space="preserve">, Zhao W, Fan F, Tang L, Liu J, Luo T, Deng J, Hu Y. A 3-miRNA signature predicts prognosis of pediatric and adolescent cytogenetically normal acute myeloid leukemia. </w:t>
      </w:r>
      <w:r w:rsidRPr="009B04A5">
        <w:rPr>
          <w:rFonts w:ascii="Book Antiqua" w:hAnsi="Book Antiqua"/>
          <w:i/>
        </w:rPr>
        <w:t>Oncotarget</w:t>
      </w:r>
      <w:r w:rsidRPr="009B04A5">
        <w:rPr>
          <w:rFonts w:ascii="Book Antiqua" w:hAnsi="Book Antiqua"/>
        </w:rPr>
        <w:t xml:space="preserve"> 2017; </w:t>
      </w:r>
      <w:r w:rsidRPr="009B04A5">
        <w:rPr>
          <w:rFonts w:ascii="Book Antiqua" w:hAnsi="Book Antiqua"/>
          <w:b/>
        </w:rPr>
        <w:t>8</w:t>
      </w:r>
      <w:r w:rsidRPr="009B04A5">
        <w:rPr>
          <w:rFonts w:ascii="Book Antiqua" w:hAnsi="Book Antiqua"/>
        </w:rPr>
        <w:t>: 38902-38913 [PMID: 28473658 DOI: 10.18632/oncotarget.17151]</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68 </w:t>
      </w:r>
      <w:r w:rsidRPr="009B04A5">
        <w:rPr>
          <w:rFonts w:ascii="Book Antiqua" w:hAnsi="Book Antiqua"/>
          <w:b/>
        </w:rPr>
        <w:t>Russ AC</w:t>
      </w:r>
      <w:r w:rsidRPr="009B04A5">
        <w:rPr>
          <w:rFonts w:ascii="Book Antiqua" w:hAnsi="Book Antiqua"/>
        </w:rPr>
        <w:t xml:space="preserve">, Sander S, Lück SC, Lang KM, Bauer M, Rücker FG, Kestler HA, Schlenk RF, Döhner H, Holzmann K, Döhner K, Bullinger L. Integrative nucleophosmin mutation-associated microRNA and gene expression pattern analysis identifies novel microRNA - target gene interactions in acute myeloid leukemia. </w:t>
      </w:r>
      <w:r w:rsidRPr="009B04A5">
        <w:rPr>
          <w:rFonts w:ascii="Book Antiqua" w:hAnsi="Book Antiqua"/>
          <w:i/>
        </w:rPr>
        <w:t>Haematologica</w:t>
      </w:r>
      <w:r w:rsidRPr="009B04A5">
        <w:rPr>
          <w:rFonts w:ascii="Book Antiqua" w:hAnsi="Book Antiqua"/>
        </w:rPr>
        <w:t xml:space="preserve"> 2011; </w:t>
      </w:r>
      <w:r w:rsidRPr="009B04A5">
        <w:rPr>
          <w:rFonts w:ascii="Book Antiqua" w:hAnsi="Book Antiqua"/>
          <w:b/>
        </w:rPr>
        <w:t>96</w:t>
      </w:r>
      <w:r w:rsidRPr="009B04A5">
        <w:rPr>
          <w:rFonts w:ascii="Book Antiqua" w:hAnsi="Book Antiqua"/>
        </w:rPr>
        <w:t>: 1783-1791 [PMID: 21880628 DOI: 10.3324/haematol.2011.046888]</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69 </w:t>
      </w:r>
      <w:r w:rsidRPr="009B04A5">
        <w:rPr>
          <w:rFonts w:ascii="Book Antiqua" w:hAnsi="Book Antiqua"/>
          <w:b/>
        </w:rPr>
        <w:t>Trino S</w:t>
      </w:r>
      <w:r w:rsidRPr="009B04A5">
        <w:rPr>
          <w:rFonts w:ascii="Book Antiqua" w:hAnsi="Book Antiqua"/>
        </w:rPr>
        <w:t xml:space="preserve">, Lamorte D, Caivano A, Laurenzana I, Tagliaferri D, Falco G, Del Vecchio L, Musto P, De Luca L. MicroRNAs as New Biomarkers for Diagnosis and Prognosis, and as Potential Therapeutic Targets in Acute Myeloid Leukemia. </w:t>
      </w:r>
      <w:r w:rsidRPr="009B04A5">
        <w:rPr>
          <w:rFonts w:ascii="Book Antiqua" w:hAnsi="Book Antiqua"/>
          <w:i/>
        </w:rPr>
        <w:t>Int J Mol Sci</w:t>
      </w:r>
      <w:r w:rsidRPr="009B04A5">
        <w:rPr>
          <w:rFonts w:ascii="Book Antiqua" w:hAnsi="Book Antiqua"/>
        </w:rPr>
        <w:t xml:space="preserve"> 2018; </w:t>
      </w:r>
      <w:r w:rsidRPr="009B04A5">
        <w:rPr>
          <w:rFonts w:ascii="Book Antiqua" w:hAnsi="Book Antiqua"/>
          <w:b/>
        </w:rPr>
        <w:t>19</w:t>
      </w:r>
      <w:r w:rsidRPr="009B04A5">
        <w:rPr>
          <w:rFonts w:ascii="Book Antiqua" w:hAnsi="Book Antiqua"/>
        </w:rPr>
        <w:t xml:space="preserve"> [PMID: 29401684 DOI: 10.3390/ijms19020460]</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70 </w:t>
      </w:r>
      <w:r w:rsidRPr="009B04A5">
        <w:rPr>
          <w:rFonts w:ascii="Book Antiqua" w:hAnsi="Book Antiqua"/>
          <w:b/>
        </w:rPr>
        <w:t>Xu LH</w:t>
      </w:r>
      <w:r w:rsidRPr="009B04A5">
        <w:rPr>
          <w:rFonts w:ascii="Book Antiqua" w:hAnsi="Book Antiqua"/>
        </w:rPr>
        <w:t xml:space="preserve">, Guo Y, Zhang XL, Chen JJ, Hu SY. Blood-Based Circulating MicroRNAs are Potential Diagnostic Biomarkers for Leukemia: Result from a Meta-Analysis. </w:t>
      </w:r>
      <w:r w:rsidRPr="009B04A5">
        <w:rPr>
          <w:rFonts w:ascii="Book Antiqua" w:hAnsi="Book Antiqua"/>
          <w:i/>
        </w:rPr>
        <w:t>Cell Physiol Biochem</w:t>
      </w:r>
      <w:r w:rsidRPr="009B04A5">
        <w:rPr>
          <w:rFonts w:ascii="Book Antiqua" w:hAnsi="Book Antiqua"/>
        </w:rPr>
        <w:t xml:space="preserve"> 2016; </w:t>
      </w:r>
      <w:r w:rsidRPr="009B04A5">
        <w:rPr>
          <w:rFonts w:ascii="Book Antiqua" w:hAnsi="Book Antiqua"/>
          <w:b/>
        </w:rPr>
        <w:t>38</w:t>
      </w:r>
      <w:r w:rsidRPr="009B04A5">
        <w:rPr>
          <w:rFonts w:ascii="Book Antiqua" w:hAnsi="Book Antiqua"/>
        </w:rPr>
        <w:t>: 939-949 [PMID: 26938054 DOI: 10.1159/000443046]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lastRenderedPageBreak/>
        <w:t xml:space="preserve">71 </w:t>
      </w:r>
      <w:r w:rsidRPr="009B04A5">
        <w:rPr>
          <w:rFonts w:ascii="Book Antiqua" w:hAnsi="Book Antiqua"/>
          <w:b/>
        </w:rPr>
        <w:t>Sun YM</w:t>
      </w:r>
      <w:r w:rsidRPr="009B04A5">
        <w:rPr>
          <w:rFonts w:ascii="Book Antiqua" w:hAnsi="Book Antiqua"/>
        </w:rPr>
        <w:t xml:space="preserve">, Lin KY, Chen YQ. Diverse functions of miR-125 family in different cell contexts. </w:t>
      </w:r>
      <w:r w:rsidRPr="009B04A5">
        <w:rPr>
          <w:rFonts w:ascii="Book Antiqua" w:hAnsi="Book Antiqua"/>
          <w:i/>
        </w:rPr>
        <w:t>J Hematol Oncol</w:t>
      </w:r>
      <w:r w:rsidRPr="009B04A5">
        <w:rPr>
          <w:rFonts w:ascii="Book Antiqua" w:hAnsi="Book Antiqua"/>
        </w:rPr>
        <w:t xml:space="preserve"> 2013; </w:t>
      </w:r>
      <w:r w:rsidRPr="009B04A5">
        <w:rPr>
          <w:rFonts w:ascii="Book Antiqua" w:hAnsi="Book Antiqua"/>
          <w:b/>
        </w:rPr>
        <w:t>6</w:t>
      </w:r>
      <w:r w:rsidRPr="009B04A5">
        <w:rPr>
          <w:rFonts w:ascii="Book Antiqua" w:hAnsi="Book Antiqua"/>
        </w:rPr>
        <w:t>: 6 [PMID: 23321005 DOI: 10.1186/1756-8722-6-6]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72 </w:t>
      </w:r>
      <w:r w:rsidRPr="009B04A5">
        <w:rPr>
          <w:rFonts w:ascii="Book Antiqua" w:hAnsi="Book Antiqua"/>
          <w:b/>
        </w:rPr>
        <w:t>Bousquet M</w:t>
      </w:r>
      <w:r w:rsidRPr="009B04A5">
        <w:rPr>
          <w:rFonts w:ascii="Book Antiqua" w:hAnsi="Book Antiqua"/>
        </w:rPr>
        <w:t xml:space="preserve">, Harris MH, Zhou B, Lodish HF. MicroRNA miR-125b causes leukemia. </w:t>
      </w:r>
      <w:r w:rsidRPr="009B04A5">
        <w:rPr>
          <w:rFonts w:ascii="Book Antiqua" w:hAnsi="Book Antiqua"/>
          <w:i/>
        </w:rPr>
        <w:t>Proc Natl Acad Sci USA</w:t>
      </w:r>
      <w:r w:rsidRPr="009B04A5">
        <w:rPr>
          <w:rFonts w:ascii="Book Antiqua" w:hAnsi="Book Antiqua"/>
        </w:rPr>
        <w:t xml:space="preserve"> 2010; </w:t>
      </w:r>
      <w:r w:rsidRPr="009B04A5">
        <w:rPr>
          <w:rFonts w:ascii="Book Antiqua" w:hAnsi="Book Antiqua"/>
          <w:b/>
        </w:rPr>
        <w:t>107</w:t>
      </w:r>
      <w:r w:rsidRPr="009B04A5">
        <w:rPr>
          <w:rFonts w:ascii="Book Antiqua" w:hAnsi="Book Antiqua"/>
        </w:rPr>
        <w:t>: 21558-21563 [PMID: 21118985 DOI: 10.1073/pnas.1016611107]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73 </w:t>
      </w:r>
      <w:r w:rsidRPr="009B04A5">
        <w:rPr>
          <w:rFonts w:ascii="Book Antiqua" w:hAnsi="Book Antiqua"/>
          <w:b/>
        </w:rPr>
        <w:t>So AY</w:t>
      </w:r>
      <w:r w:rsidRPr="009B04A5">
        <w:rPr>
          <w:rFonts w:ascii="Book Antiqua" w:hAnsi="Book Antiqua"/>
        </w:rPr>
        <w:t xml:space="preserve">, Sookram R, Chaudhuri AA, Minisandram A, Cheng D, Xie C, Lim EL, Flores YG, Jiang S, Kim JT, Keown C, Ramakrishnan P, Baltimore D. Dual mechanisms by which miR-125b represses IRF4 to induce myeloid and B-cell leukemias. </w:t>
      </w:r>
      <w:r w:rsidRPr="009B04A5">
        <w:rPr>
          <w:rFonts w:ascii="Book Antiqua" w:hAnsi="Book Antiqua"/>
          <w:i/>
        </w:rPr>
        <w:t>Blood</w:t>
      </w:r>
      <w:r w:rsidRPr="009B04A5">
        <w:rPr>
          <w:rFonts w:ascii="Book Antiqua" w:hAnsi="Book Antiqua"/>
        </w:rPr>
        <w:t xml:space="preserve"> 2014; </w:t>
      </w:r>
      <w:r w:rsidRPr="009B04A5">
        <w:rPr>
          <w:rFonts w:ascii="Book Antiqua" w:hAnsi="Book Antiqua"/>
          <w:b/>
        </w:rPr>
        <w:t>124</w:t>
      </w:r>
      <w:r w:rsidRPr="009B04A5">
        <w:rPr>
          <w:rFonts w:ascii="Book Antiqua" w:hAnsi="Book Antiqua"/>
        </w:rPr>
        <w:t>: 1502-1512 [PMID: 25006123 DOI: 10.1182/blood-2014-02-553842]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74 </w:t>
      </w:r>
      <w:r w:rsidRPr="009B04A5">
        <w:rPr>
          <w:rFonts w:ascii="Book Antiqua" w:hAnsi="Book Antiqua"/>
          <w:b/>
        </w:rPr>
        <w:t>Puissegur MP</w:t>
      </w:r>
      <w:r w:rsidRPr="009B04A5">
        <w:rPr>
          <w:rFonts w:ascii="Book Antiqua" w:hAnsi="Book Antiqua"/>
        </w:rPr>
        <w:t xml:space="preserve">, Eichner R, Quelen C, Coyaud E, Mari B, Lebrigand K, Broccardo C, Nguyen-Khac F, Bousquet M, Brousset P. B-cell regulator of immunoglobulin heavy-chain transcription (Bright)/ARID3a is a direct target of the oncomir microRNA-125b in progenitor B-cells. </w:t>
      </w:r>
      <w:r w:rsidRPr="009B04A5">
        <w:rPr>
          <w:rFonts w:ascii="Book Antiqua" w:hAnsi="Book Antiqua"/>
          <w:i/>
        </w:rPr>
        <w:t>Leukemia</w:t>
      </w:r>
      <w:r w:rsidRPr="009B04A5">
        <w:rPr>
          <w:rFonts w:ascii="Book Antiqua" w:hAnsi="Book Antiqua"/>
        </w:rPr>
        <w:t xml:space="preserve"> 2012; </w:t>
      </w:r>
      <w:r w:rsidRPr="009B04A5">
        <w:rPr>
          <w:rFonts w:ascii="Book Antiqua" w:hAnsi="Book Antiqua"/>
          <w:b/>
        </w:rPr>
        <w:t>26</w:t>
      </w:r>
      <w:r w:rsidRPr="009B04A5">
        <w:rPr>
          <w:rFonts w:ascii="Book Antiqua" w:hAnsi="Book Antiqua"/>
        </w:rPr>
        <w:t>: 2224-2232 [PMID: 22469780 DOI: 10.1038/leu.2012.95]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75 </w:t>
      </w:r>
      <w:r w:rsidRPr="009B04A5">
        <w:rPr>
          <w:rFonts w:ascii="Book Antiqua" w:hAnsi="Book Antiqua"/>
          <w:b/>
        </w:rPr>
        <w:t>Liu Z</w:t>
      </w:r>
      <w:r w:rsidRPr="009B04A5">
        <w:rPr>
          <w:rFonts w:ascii="Book Antiqua" w:hAnsi="Book Antiqua"/>
        </w:rPr>
        <w:t xml:space="preserve">, Smith KR, Khong HT, Huang J, Ahn EE, Zhou M, Tan M. miR-125b regulates differentiation and metabolic reprogramming of T cell acute lymphoblastic leukemia by directly targeting A20. </w:t>
      </w:r>
      <w:r w:rsidRPr="009B04A5">
        <w:rPr>
          <w:rFonts w:ascii="Book Antiqua" w:hAnsi="Book Antiqua"/>
          <w:i/>
        </w:rPr>
        <w:t>Oncotarget</w:t>
      </w:r>
      <w:r w:rsidRPr="009B04A5">
        <w:rPr>
          <w:rFonts w:ascii="Book Antiqua" w:hAnsi="Book Antiqua"/>
        </w:rPr>
        <w:t xml:space="preserve"> 2016; </w:t>
      </w:r>
      <w:r w:rsidRPr="009B04A5">
        <w:rPr>
          <w:rFonts w:ascii="Book Antiqua" w:hAnsi="Book Antiqua"/>
          <w:b/>
        </w:rPr>
        <w:t>7</w:t>
      </w:r>
      <w:r w:rsidRPr="009B04A5">
        <w:rPr>
          <w:rFonts w:ascii="Book Antiqua" w:hAnsi="Book Antiqua"/>
        </w:rPr>
        <w:t>: 78667-78679 [PMID: 27637078 DOI: 10.18632/oncotarget.12018]</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76 </w:t>
      </w:r>
      <w:r w:rsidRPr="009B04A5">
        <w:rPr>
          <w:rFonts w:ascii="Book Antiqua" w:hAnsi="Book Antiqua"/>
          <w:b/>
        </w:rPr>
        <w:t>Bousquet M</w:t>
      </w:r>
      <w:r w:rsidRPr="009B04A5">
        <w:rPr>
          <w:rFonts w:ascii="Book Antiqua" w:hAnsi="Book Antiqua"/>
        </w:rPr>
        <w:t xml:space="preserve">, Quelen C, Rosati R, Mansat-De Mas V, La Starza R, Bastard C, Lippert E, Talmant P, Lafage-Pochitaloff M, Leroux D, Gervais C, Viguié F, Lai JL, Terre C, Beverlo B, Sambani C, Hagemeijer A, Marynen P, Delsol G, Dastugue N, Mecucci C, Brousset P. Myeloid cell differentiation arrest by miR-125b-1 in myelodysplastic syndrome and acute myeloid leukemia with the t(2;11)(p21;q23) translocation. </w:t>
      </w:r>
      <w:r w:rsidRPr="009B04A5">
        <w:rPr>
          <w:rFonts w:ascii="Book Antiqua" w:hAnsi="Book Antiqua"/>
          <w:i/>
        </w:rPr>
        <w:t>J Exp Med</w:t>
      </w:r>
      <w:r w:rsidRPr="009B04A5">
        <w:rPr>
          <w:rFonts w:ascii="Book Antiqua" w:hAnsi="Book Antiqua"/>
        </w:rPr>
        <w:t xml:space="preserve"> 2008; </w:t>
      </w:r>
      <w:r w:rsidRPr="009B04A5">
        <w:rPr>
          <w:rFonts w:ascii="Book Antiqua" w:hAnsi="Book Antiqua"/>
          <w:b/>
        </w:rPr>
        <w:t>205</w:t>
      </w:r>
      <w:r w:rsidRPr="009B04A5">
        <w:rPr>
          <w:rFonts w:ascii="Book Antiqua" w:hAnsi="Book Antiqua"/>
        </w:rPr>
        <w:t>: 2499-2506 [PMID: 18936236 DOI: 10.1084/jem.20080285]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77 </w:t>
      </w:r>
      <w:r w:rsidRPr="009B04A5">
        <w:rPr>
          <w:rFonts w:ascii="Book Antiqua" w:hAnsi="Book Antiqua"/>
          <w:b/>
        </w:rPr>
        <w:t>Lin KY</w:t>
      </w:r>
      <w:r w:rsidRPr="009B04A5">
        <w:rPr>
          <w:rFonts w:ascii="Book Antiqua" w:hAnsi="Book Antiqua"/>
        </w:rPr>
        <w:t xml:space="preserve">, Zhang XJ, Feng DD, Zhang H, Zeng CW, Han BW, Zhou AD, Qu LH, Xu L, Chen YQ. miR-125b, a target of CDX2, regulates cell differentiation through repression of the core binding factor in hematopoietic malignancies. </w:t>
      </w:r>
      <w:r w:rsidRPr="009B04A5">
        <w:rPr>
          <w:rFonts w:ascii="Book Antiqua" w:hAnsi="Book Antiqua"/>
          <w:i/>
        </w:rPr>
        <w:t>J Biol Chem</w:t>
      </w:r>
      <w:r w:rsidRPr="009B04A5">
        <w:rPr>
          <w:rFonts w:ascii="Book Antiqua" w:hAnsi="Book Antiqua"/>
        </w:rPr>
        <w:t xml:space="preserve"> 2011; </w:t>
      </w:r>
      <w:r w:rsidRPr="009B04A5">
        <w:rPr>
          <w:rFonts w:ascii="Book Antiqua" w:hAnsi="Book Antiqua"/>
          <w:b/>
        </w:rPr>
        <w:t>286</w:t>
      </w:r>
      <w:r w:rsidRPr="009B04A5">
        <w:rPr>
          <w:rFonts w:ascii="Book Antiqua" w:hAnsi="Book Antiqua"/>
        </w:rPr>
        <w:t>: 38253-38263 [PMID: 21903586 DOI: 10.1074/jbc.M111.269670]</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lastRenderedPageBreak/>
        <w:t xml:space="preserve">78 </w:t>
      </w:r>
      <w:r w:rsidRPr="009B04A5">
        <w:rPr>
          <w:rFonts w:ascii="Book Antiqua" w:hAnsi="Book Antiqua"/>
          <w:b/>
        </w:rPr>
        <w:t>Surdziel E</w:t>
      </w:r>
      <w:r w:rsidRPr="009B04A5">
        <w:rPr>
          <w:rFonts w:ascii="Book Antiqua" w:hAnsi="Book Antiqua"/>
        </w:rPr>
        <w:t xml:space="preserve">, Cabanski M, Dallmann I, Lyszkiewicz M, Krueger A, Ganser A, Scherr M, Eder M. Enforced expression of miR-125b affects myelopoiesis by targeting multiple signaling pathways. </w:t>
      </w:r>
      <w:r w:rsidRPr="009B04A5">
        <w:rPr>
          <w:rFonts w:ascii="Book Antiqua" w:hAnsi="Book Antiqua"/>
          <w:i/>
        </w:rPr>
        <w:t>Blood</w:t>
      </w:r>
      <w:r w:rsidRPr="009B04A5">
        <w:rPr>
          <w:rFonts w:ascii="Book Antiqua" w:hAnsi="Book Antiqua"/>
        </w:rPr>
        <w:t xml:space="preserve"> 2011; </w:t>
      </w:r>
      <w:r w:rsidRPr="009B04A5">
        <w:rPr>
          <w:rFonts w:ascii="Book Antiqua" w:hAnsi="Book Antiqua"/>
          <w:b/>
        </w:rPr>
        <w:t>117</w:t>
      </w:r>
      <w:r w:rsidRPr="009B04A5">
        <w:rPr>
          <w:rFonts w:ascii="Book Antiqua" w:hAnsi="Book Antiqua"/>
        </w:rPr>
        <w:t>: 4338-4348 [PMID: 21368288 DOI: 10.1182/blood-2010-06-289058]</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79 </w:t>
      </w:r>
      <w:r w:rsidRPr="009B04A5">
        <w:rPr>
          <w:rFonts w:ascii="Book Antiqua" w:hAnsi="Book Antiqua"/>
          <w:b/>
        </w:rPr>
        <w:t>Bousquet M</w:t>
      </w:r>
      <w:r w:rsidRPr="009B04A5">
        <w:rPr>
          <w:rFonts w:ascii="Book Antiqua" w:hAnsi="Book Antiqua"/>
        </w:rPr>
        <w:t xml:space="preserve">, Nguyen D, Chen C, Shields L, Lodish HF. MicroRNA-125b transforms myeloid cell lines by repressing multiple mRNA. </w:t>
      </w:r>
      <w:r w:rsidRPr="009B04A5">
        <w:rPr>
          <w:rFonts w:ascii="Book Antiqua" w:hAnsi="Book Antiqua"/>
          <w:i/>
        </w:rPr>
        <w:t>Haematologica</w:t>
      </w:r>
      <w:r w:rsidRPr="009B04A5">
        <w:rPr>
          <w:rFonts w:ascii="Book Antiqua" w:hAnsi="Book Antiqua"/>
        </w:rPr>
        <w:t xml:space="preserve"> 2012; </w:t>
      </w:r>
      <w:r w:rsidRPr="009B04A5">
        <w:rPr>
          <w:rFonts w:ascii="Book Antiqua" w:hAnsi="Book Antiqua"/>
          <w:b/>
        </w:rPr>
        <w:t>97</w:t>
      </w:r>
      <w:r w:rsidRPr="009B04A5">
        <w:rPr>
          <w:rFonts w:ascii="Book Antiqua" w:hAnsi="Book Antiqua"/>
        </w:rPr>
        <w:t>: 1713-1721 [PMID: 22689670 DOI: 10.3324/haematol.2011.061515]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80 </w:t>
      </w:r>
      <w:r w:rsidRPr="009B04A5">
        <w:rPr>
          <w:rFonts w:ascii="Book Antiqua" w:hAnsi="Book Antiqua"/>
          <w:b/>
        </w:rPr>
        <w:t>Johnnidis JB</w:t>
      </w:r>
      <w:r w:rsidRPr="009B04A5">
        <w:rPr>
          <w:rFonts w:ascii="Book Antiqua" w:hAnsi="Book Antiqua"/>
        </w:rPr>
        <w:t xml:space="preserve">, Harris MH, Wheeler RT, Stehling-Sun S, Lam MH, Kirak O, Brummelkamp TR, Fleming MD, Camargo FD. Regulation of progenitor cell proliferation and granulocyte function by microRNA-223. </w:t>
      </w:r>
      <w:r w:rsidRPr="009B04A5">
        <w:rPr>
          <w:rFonts w:ascii="Book Antiqua" w:hAnsi="Book Antiqua"/>
          <w:i/>
        </w:rPr>
        <w:t>Nature</w:t>
      </w:r>
      <w:r w:rsidRPr="009B04A5">
        <w:rPr>
          <w:rFonts w:ascii="Book Antiqua" w:hAnsi="Book Antiqua"/>
        </w:rPr>
        <w:t xml:space="preserve"> 2008; </w:t>
      </w:r>
      <w:r w:rsidRPr="009B04A5">
        <w:rPr>
          <w:rFonts w:ascii="Book Antiqua" w:hAnsi="Book Antiqua"/>
          <w:b/>
        </w:rPr>
        <w:t>451</w:t>
      </w:r>
      <w:r w:rsidRPr="009B04A5">
        <w:rPr>
          <w:rFonts w:ascii="Book Antiqua" w:hAnsi="Book Antiqua"/>
        </w:rPr>
        <w:t>: 1125-1129 [PMID: 18278031 DOI: 10.1038/nature06607]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81 </w:t>
      </w:r>
      <w:r w:rsidRPr="009B04A5">
        <w:rPr>
          <w:rFonts w:ascii="Book Antiqua" w:hAnsi="Book Antiqua"/>
          <w:b/>
        </w:rPr>
        <w:t>Ramsingh G</w:t>
      </w:r>
      <w:r w:rsidRPr="009B04A5">
        <w:rPr>
          <w:rFonts w:ascii="Book Antiqua" w:hAnsi="Book Antiqua"/>
        </w:rPr>
        <w:t xml:space="preserve">, Koboldt DC, Trissal M, Chiappinelli KB, Wylie T, Koul S, Chang LW, Nagarajan R, Fehniger TA, Goodfellow P, Magrini V, Wilson RK, Ding L, Ley TJ, Mardis ER, Link DC. Complete characterization of the microRNAome in a patient with acute myeloid leukemia. </w:t>
      </w:r>
      <w:r w:rsidRPr="009B04A5">
        <w:rPr>
          <w:rFonts w:ascii="Book Antiqua" w:hAnsi="Book Antiqua"/>
          <w:i/>
        </w:rPr>
        <w:t>Blood</w:t>
      </w:r>
      <w:r w:rsidRPr="009B04A5">
        <w:rPr>
          <w:rFonts w:ascii="Book Antiqua" w:hAnsi="Book Antiqua"/>
        </w:rPr>
        <w:t xml:space="preserve"> 2010; </w:t>
      </w:r>
      <w:r w:rsidRPr="009B04A5">
        <w:rPr>
          <w:rFonts w:ascii="Book Antiqua" w:hAnsi="Book Antiqua"/>
          <w:b/>
        </w:rPr>
        <w:t>116</w:t>
      </w:r>
      <w:r w:rsidRPr="009B04A5">
        <w:rPr>
          <w:rFonts w:ascii="Book Antiqua" w:hAnsi="Book Antiqua"/>
        </w:rPr>
        <w:t>: 5316-5326 [PMID: 20876853 DOI: 10.1182/blood-2010-05-285395]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82 </w:t>
      </w:r>
      <w:r w:rsidRPr="009B04A5">
        <w:rPr>
          <w:rFonts w:ascii="Book Antiqua" w:hAnsi="Book Antiqua"/>
          <w:b/>
        </w:rPr>
        <w:t>Danen-van Oorschot AA</w:t>
      </w:r>
      <w:r w:rsidRPr="009B04A5">
        <w:rPr>
          <w:rFonts w:ascii="Book Antiqua" w:hAnsi="Book Antiqua"/>
        </w:rPr>
        <w:t xml:space="preserve">, Kuipers JE, Arentsen-Peters S, Schotte D, de Haas V, Trka J, Baruchel A, Reinhardt D, Pieters R, Zwaan CM, van den Heuvel-Eibrink MM. Differentially expressed miRNAs in cytogenetic and molecular subtypes of pediatric acute myeloid leukemia. </w:t>
      </w:r>
      <w:r w:rsidRPr="009B04A5">
        <w:rPr>
          <w:rFonts w:ascii="Book Antiqua" w:hAnsi="Book Antiqua"/>
          <w:i/>
        </w:rPr>
        <w:t>Pediatr Blood Cancer</w:t>
      </w:r>
      <w:r w:rsidRPr="009B04A5">
        <w:rPr>
          <w:rFonts w:ascii="Book Antiqua" w:hAnsi="Book Antiqua"/>
        </w:rPr>
        <w:t xml:space="preserve"> 2012; </w:t>
      </w:r>
      <w:r w:rsidRPr="009B04A5">
        <w:rPr>
          <w:rFonts w:ascii="Book Antiqua" w:hAnsi="Book Antiqua"/>
          <w:b/>
        </w:rPr>
        <w:t>58</w:t>
      </w:r>
      <w:r w:rsidRPr="009B04A5">
        <w:rPr>
          <w:rFonts w:ascii="Book Antiqua" w:hAnsi="Book Antiqua"/>
        </w:rPr>
        <w:t>: 715-721 [PMID: 21818844 DOI: 10.1002/pbc.23279]</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83 </w:t>
      </w:r>
      <w:r w:rsidRPr="009B04A5">
        <w:rPr>
          <w:rFonts w:ascii="Book Antiqua" w:hAnsi="Book Antiqua"/>
          <w:b/>
        </w:rPr>
        <w:t>Emmrich S</w:t>
      </w:r>
      <w:r w:rsidRPr="009B04A5">
        <w:rPr>
          <w:rFonts w:ascii="Book Antiqua" w:hAnsi="Book Antiqua"/>
        </w:rPr>
        <w:t xml:space="preserve">, Katsman-Kuipers JE, Henke K, Khatib ME, Jammal R, Engeland F, Dasci F, Zwaan CM, den Boer ML, Verboon L, Stary J, Baruchel A, de Haas V, Danen-van Oorschot AA, Fornerod M, Pieters R, Reinhardt D, Klusmann JH, van den Heuvel-Eibrink MM. miR-9 is a tumor suppressor in pediatric AML with t(8;21). </w:t>
      </w:r>
      <w:r w:rsidRPr="009B04A5">
        <w:rPr>
          <w:rFonts w:ascii="Book Antiqua" w:hAnsi="Book Antiqua"/>
          <w:i/>
        </w:rPr>
        <w:t>Leukemia</w:t>
      </w:r>
      <w:r w:rsidRPr="009B04A5">
        <w:rPr>
          <w:rFonts w:ascii="Book Antiqua" w:hAnsi="Book Antiqua"/>
        </w:rPr>
        <w:t xml:space="preserve"> 2014; </w:t>
      </w:r>
      <w:r w:rsidRPr="009B04A5">
        <w:rPr>
          <w:rFonts w:ascii="Book Antiqua" w:hAnsi="Book Antiqua"/>
          <w:b/>
        </w:rPr>
        <w:t>28</w:t>
      </w:r>
      <w:r w:rsidRPr="009B04A5">
        <w:rPr>
          <w:rFonts w:ascii="Book Antiqua" w:hAnsi="Book Antiqua"/>
        </w:rPr>
        <w:t>: 1022-1032 [PMID: 24270738 DOI: 10.1038/leu.2013.357]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84 </w:t>
      </w:r>
      <w:r w:rsidRPr="009B04A5">
        <w:rPr>
          <w:rFonts w:ascii="Book Antiqua" w:hAnsi="Book Antiqua"/>
          <w:b/>
        </w:rPr>
        <w:t>Chung CH</w:t>
      </w:r>
      <w:r w:rsidRPr="009B04A5">
        <w:rPr>
          <w:rFonts w:ascii="Book Antiqua" w:hAnsi="Book Antiqua"/>
        </w:rPr>
        <w:t xml:space="preserve">, Levy S, Chaurand P, Carbone DP. Genomics and proteomics: emerging technologies in clinical cancer research. </w:t>
      </w:r>
      <w:r w:rsidRPr="009B04A5">
        <w:rPr>
          <w:rFonts w:ascii="Book Antiqua" w:hAnsi="Book Antiqua"/>
          <w:i/>
        </w:rPr>
        <w:t>Crit Rev Oncol Hematol</w:t>
      </w:r>
      <w:r w:rsidRPr="009B04A5">
        <w:rPr>
          <w:rFonts w:ascii="Book Antiqua" w:hAnsi="Book Antiqua"/>
        </w:rPr>
        <w:t xml:space="preserve"> 2007; </w:t>
      </w:r>
      <w:r w:rsidRPr="009B04A5">
        <w:rPr>
          <w:rFonts w:ascii="Book Antiqua" w:hAnsi="Book Antiqua"/>
          <w:b/>
        </w:rPr>
        <w:t>61</w:t>
      </w:r>
      <w:r w:rsidRPr="009B04A5">
        <w:rPr>
          <w:rFonts w:ascii="Book Antiqua" w:hAnsi="Book Antiqua"/>
        </w:rPr>
        <w:t>: 1-25 [PMID: 17015021 DOI: 10.1016/j.critrevonc.2006.06.005]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85 </w:t>
      </w:r>
      <w:r w:rsidRPr="009B04A5">
        <w:rPr>
          <w:rFonts w:ascii="Book Antiqua" w:hAnsi="Book Antiqua"/>
          <w:b/>
        </w:rPr>
        <w:t>Stegmaier K</w:t>
      </w:r>
      <w:r w:rsidRPr="009B04A5">
        <w:rPr>
          <w:rFonts w:ascii="Book Antiqua" w:hAnsi="Book Antiqua"/>
        </w:rPr>
        <w:t xml:space="preserve">. Genomic approaches in acute leukemia. </w:t>
      </w:r>
      <w:r w:rsidRPr="009B04A5">
        <w:rPr>
          <w:rFonts w:ascii="Book Antiqua" w:hAnsi="Book Antiqua"/>
          <w:i/>
        </w:rPr>
        <w:t>Best Pract Res Clin Haematol</w:t>
      </w:r>
      <w:r w:rsidRPr="009B04A5">
        <w:rPr>
          <w:rFonts w:ascii="Book Antiqua" w:hAnsi="Book Antiqua"/>
        </w:rPr>
        <w:t xml:space="preserve"> 2006; </w:t>
      </w:r>
      <w:r w:rsidRPr="009B04A5">
        <w:rPr>
          <w:rFonts w:ascii="Book Antiqua" w:hAnsi="Book Antiqua"/>
          <w:b/>
        </w:rPr>
        <w:t>19</w:t>
      </w:r>
      <w:r w:rsidRPr="009B04A5">
        <w:rPr>
          <w:rFonts w:ascii="Book Antiqua" w:hAnsi="Book Antiqua"/>
        </w:rPr>
        <w:t>: 263-268 [PMID: 16516123 DOI: 10.1016/j.beha.2005.11.001]</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lastRenderedPageBreak/>
        <w:t xml:space="preserve">86 </w:t>
      </w:r>
      <w:r w:rsidRPr="009B04A5">
        <w:rPr>
          <w:rFonts w:ascii="Book Antiqua" w:hAnsi="Book Antiqua"/>
          <w:b/>
        </w:rPr>
        <w:t>Calin GA</w:t>
      </w:r>
      <w:r w:rsidRPr="009B04A5">
        <w:rPr>
          <w:rFonts w:ascii="Book Antiqua" w:hAnsi="Book Antiqua"/>
        </w:rPr>
        <w:t xml:space="preserve">, Cimmino A, Fabbri M, Ferracin M, Wojcik SE, Shimizu M, Taccioli C, Zanesi N, Garzon R, Aqeilan RI, Alder H, Volinia S, Rassenti L, Liu X, Liu CG, Kipps TJ, Negrini M, Croce CM. MiR-15a and miR-16-1 cluster functions in human leukemia. </w:t>
      </w:r>
      <w:r w:rsidRPr="009B04A5">
        <w:rPr>
          <w:rFonts w:ascii="Book Antiqua" w:hAnsi="Book Antiqua"/>
          <w:i/>
        </w:rPr>
        <w:t>Proc Natl Acad Sci USA</w:t>
      </w:r>
      <w:r w:rsidRPr="009B04A5">
        <w:rPr>
          <w:rFonts w:ascii="Book Antiqua" w:hAnsi="Book Antiqua"/>
        </w:rPr>
        <w:t xml:space="preserve"> 2008; </w:t>
      </w:r>
      <w:r w:rsidRPr="009B04A5">
        <w:rPr>
          <w:rFonts w:ascii="Book Antiqua" w:hAnsi="Book Antiqua"/>
          <w:b/>
        </w:rPr>
        <w:t>105</w:t>
      </w:r>
      <w:r w:rsidRPr="009B04A5">
        <w:rPr>
          <w:rFonts w:ascii="Book Antiqua" w:hAnsi="Book Antiqua"/>
        </w:rPr>
        <w:t>: 5166-5171 [PMID: 18362358 DOI: 10.1073/pnas.0800121105]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87 </w:t>
      </w:r>
      <w:r w:rsidRPr="009B04A5">
        <w:rPr>
          <w:rFonts w:ascii="Book Antiqua" w:hAnsi="Book Antiqua"/>
          <w:b/>
        </w:rPr>
        <w:t>Cimmino A</w:t>
      </w:r>
      <w:r w:rsidRPr="009B04A5">
        <w:rPr>
          <w:rFonts w:ascii="Book Antiqua" w:hAnsi="Book Antiqua"/>
        </w:rPr>
        <w:t xml:space="preserve">, Calin GA, Fabbri M, Iorio MV, Ferracin M, Shimizu M, Wojcik SE, Aqeilan RI, Zupo S, Dono M, Rassenti L, Alder H, Volinia S, Liu CG, Kipps TJ, Negrini M, Croce CM. miR-15 and miR-16 induce apoptosis by targeting BCL2. </w:t>
      </w:r>
      <w:r w:rsidRPr="009B04A5">
        <w:rPr>
          <w:rFonts w:ascii="Book Antiqua" w:hAnsi="Book Antiqua"/>
          <w:i/>
        </w:rPr>
        <w:t>Proc Natl Acad Sci USA</w:t>
      </w:r>
      <w:r w:rsidRPr="009B04A5">
        <w:rPr>
          <w:rFonts w:ascii="Book Antiqua" w:hAnsi="Book Antiqua"/>
        </w:rPr>
        <w:t xml:space="preserve"> 2005; </w:t>
      </w:r>
      <w:r w:rsidRPr="009B04A5">
        <w:rPr>
          <w:rFonts w:ascii="Book Antiqua" w:hAnsi="Book Antiqua"/>
          <w:b/>
        </w:rPr>
        <w:t>102</w:t>
      </w:r>
      <w:r w:rsidRPr="009B04A5">
        <w:rPr>
          <w:rFonts w:ascii="Book Antiqua" w:hAnsi="Book Antiqua"/>
        </w:rPr>
        <w:t>: 13944-13949 [PMID: 16166262 DOI: 10.1073/pnas.0506654102]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88 </w:t>
      </w:r>
      <w:r w:rsidRPr="009B04A5">
        <w:rPr>
          <w:rFonts w:ascii="Book Antiqua" w:hAnsi="Book Antiqua"/>
          <w:b/>
        </w:rPr>
        <w:t>Linsley PS</w:t>
      </w:r>
      <w:r w:rsidRPr="009B04A5">
        <w:rPr>
          <w:rFonts w:ascii="Book Antiqua" w:hAnsi="Book Antiqua"/>
        </w:rPr>
        <w:t xml:space="preserve">, Schelter J, Burchard J, Kibukawa M, Martin MM, Bartz SR, Johnson JM, Cummins JM, Raymond CK, Dai H, Chau N, Cleary M, Jackson AL, Carleton M, Lim L. Transcripts targeted by the microRNA-16 family cooperatively regulate cell cycle progression. </w:t>
      </w:r>
      <w:r w:rsidRPr="009B04A5">
        <w:rPr>
          <w:rFonts w:ascii="Book Antiqua" w:hAnsi="Book Antiqua"/>
          <w:i/>
        </w:rPr>
        <w:t>Mol Cell Biol</w:t>
      </w:r>
      <w:r w:rsidRPr="009B04A5">
        <w:rPr>
          <w:rFonts w:ascii="Book Antiqua" w:hAnsi="Book Antiqua"/>
        </w:rPr>
        <w:t xml:space="preserve"> 2007; </w:t>
      </w:r>
      <w:r w:rsidRPr="009B04A5">
        <w:rPr>
          <w:rFonts w:ascii="Book Antiqua" w:hAnsi="Book Antiqua"/>
          <w:b/>
        </w:rPr>
        <w:t>27</w:t>
      </w:r>
      <w:r w:rsidRPr="009B04A5">
        <w:rPr>
          <w:rFonts w:ascii="Book Antiqua" w:hAnsi="Book Antiqua"/>
        </w:rPr>
        <w:t>: 2240-2252 [PMID: 17242205 DOI: 10.1128/MCB.02005-06]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89 </w:t>
      </w:r>
      <w:r w:rsidRPr="009B04A5">
        <w:rPr>
          <w:rFonts w:ascii="Book Antiqua" w:hAnsi="Book Antiqua"/>
          <w:b/>
        </w:rPr>
        <w:t>Kaddar T</w:t>
      </w:r>
      <w:r w:rsidRPr="009B04A5">
        <w:rPr>
          <w:rFonts w:ascii="Book Antiqua" w:hAnsi="Book Antiqua"/>
        </w:rPr>
        <w:t xml:space="preserve">, Chien WW, Bertrand Y, Pages MP, Rouault JP, Salles G, Ffrench M, Magaud JP. Prognostic value of miR-16 expression in childhood acute lymphoblastic leukemia relationships to normal and malignant lymphocyte proliferation. </w:t>
      </w:r>
      <w:r w:rsidRPr="009B04A5">
        <w:rPr>
          <w:rFonts w:ascii="Book Antiqua" w:hAnsi="Book Antiqua"/>
          <w:i/>
        </w:rPr>
        <w:t>Leuk Res</w:t>
      </w:r>
      <w:r w:rsidRPr="009B04A5">
        <w:rPr>
          <w:rFonts w:ascii="Book Antiqua" w:hAnsi="Book Antiqua"/>
        </w:rPr>
        <w:t xml:space="preserve"> 2009; </w:t>
      </w:r>
      <w:r w:rsidRPr="009B04A5">
        <w:rPr>
          <w:rFonts w:ascii="Book Antiqua" w:hAnsi="Book Antiqua"/>
          <w:b/>
        </w:rPr>
        <w:t>33</w:t>
      </w:r>
      <w:r w:rsidRPr="009B04A5">
        <w:rPr>
          <w:rFonts w:ascii="Book Antiqua" w:hAnsi="Book Antiqua"/>
        </w:rPr>
        <w:t>: 1217-1223 [PMID: 19195700 DOI: 10.1016/j.leukres.2008.12.015]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90 </w:t>
      </w:r>
      <w:r w:rsidRPr="009B04A5">
        <w:rPr>
          <w:rFonts w:ascii="Book Antiqua" w:hAnsi="Book Antiqua"/>
          <w:b/>
        </w:rPr>
        <w:t>Organista-Nava J</w:t>
      </w:r>
      <w:r w:rsidRPr="009B04A5">
        <w:rPr>
          <w:rFonts w:ascii="Book Antiqua" w:hAnsi="Book Antiqua"/>
        </w:rPr>
        <w:t xml:space="preserve">, Gómez-Gómez Y, Illades-Aguiar B, Del Carmen Alarcón-Romero L, Saavedra-Herrera MV, Rivera-Ramírez AB, Garzón-Barrientos VH, Leyva-Vázquez MA. High miR-24 expression is associated with risk of relapse and poor survival in acute leukemia. </w:t>
      </w:r>
      <w:r w:rsidRPr="009B04A5">
        <w:rPr>
          <w:rFonts w:ascii="Book Antiqua" w:hAnsi="Book Antiqua"/>
          <w:i/>
        </w:rPr>
        <w:t>Oncol Rep</w:t>
      </w:r>
      <w:r w:rsidRPr="009B04A5">
        <w:rPr>
          <w:rFonts w:ascii="Book Antiqua" w:hAnsi="Book Antiqua"/>
        </w:rPr>
        <w:t xml:space="preserve"> 2015; </w:t>
      </w:r>
      <w:r w:rsidRPr="009B04A5">
        <w:rPr>
          <w:rFonts w:ascii="Book Antiqua" w:hAnsi="Book Antiqua"/>
          <w:b/>
        </w:rPr>
        <w:t>33</w:t>
      </w:r>
      <w:r w:rsidRPr="009B04A5">
        <w:rPr>
          <w:rFonts w:ascii="Book Antiqua" w:hAnsi="Book Antiqua"/>
        </w:rPr>
        <w:t>: 1639-1649 [PMID: 25672522 DOI: 10.3892/or.2015.3787]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91 </w:t>
      </w:r>
      <w:r w:rsidRPr="009B04A5">
        <w:rPr>
          <w:rFonts w:ascii="Book Antiqua" w:hAnsi="Book Antiqua"/>
          <w:b/>
        </w:rPr>
        <w:t>Cheng AM</w:t>
      </w:r>
      <w:r w:rsidRPr="009B04A5">
        <w:rPr>
          <w:rFonts w:ascii="Book Antiqua" w:hAnsi="Book Antiqua"/>
        </w:rPr>
        <w:t xml:space="preserve">, Byrom MW, Shelton J, Ford LP. Antisense inhibition of human miRNAs and indications for an involvement of miRNA in cell growth and apoptosis. </w:t>
      </w:r>
      <w:r w:rsidRPr="009B04A5">
        <w:rPr>
          <w:rFonts w:ascii="Book Antiqua" w:hAnsi="Book Antiqua"/>
          <w:i/>
        </w:rPr>
        <w:t>Nucleic Acids Res</w:t>
      </w:r>
      <w:r w:rsidRPr="009B04A5">
        <w:rPr>
          <w:rFonts w:ascii="Book Antiqua" w:hAnsi="Book Antiqua"/>
        </w:rPr>
        <w:t xml:space="preserve"> 2005; </w:t>
      </w:r>
      <w:r w:rsidRPr="009B04A5">
        <w:rPr>
          <w:rFonts w:ascii="Book Antiqua" w:hAnsi="Book Antiqua"/>
          <w:b/>
        </w:rPr>
        <w:t>33</w:t>
      </w:r>
      <w:r w:rsidRPr="009B04A5">
        <w:rPr>
          <w:rFonts w:ascii="Book Antiqua" w:hAnsi="Book Antiqua"/>
        </w:rPr>
        <w:t>: 1290-1297 [PMID: 15741182 DOI: 10.1093/nar/gki200]</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92 </w:t>
      </w:r>
      <w:r w:rsidRPr="009B04A5">
        <w:rPr>
          <w:rFonts w:ascii="Book Antiqua" w:hAnsi="Book Antiqua"/>
          <w:b/>
        </w:rPr>
        <w:t>Lal A</w:t>
      </w:r>
      <w:r w:rsidRPr="009B04A5">
        <w:rPr>
          <w:rFonts w:ascii="Book Antiqua" w:hAnsi="Book Antiqua"/>
        </w:rPr>
        <w:t xml:space="preserve">, Navarro F, Maher CA, Maliszewski LE, Yan N, O'Day E, Chowdhury D, Dykxhoorn DM, Tsai P, Hofmann O, Becker KG, Gorospe M, Hide W, Lieberman J. miR-24 Inhibits cell proliferation by targeting E2F2, MYC, and other cell-cycle genes </w:t>
      </w:r>
      <w:r w:rsidRPr="009B04A5">
        <w:rPr>
          <w:rFonts w:ascii="Book Antiqua" w:hAnsi="Book Antiqua"/>
        </w:rPr>
        <w:lastRenderedPageBreak/>
        <w:t xml:space="preserve">via binding to "seedless" 3'UTR microRNA recognition elements. </w:t>
      </w:r>
      <w:r w:rsidRPr="009B04A5">
        <w:rPr>
          <w:rFonts w:ascii="Book Antiqua" w:hAnsi="Book Antiqua"/>
          <w:i/>
        </w:rPr>
        <w:t>Mol Cell</w:t>
      </w:r>
      <w:r w:rsidRPr="009B04A5">
        <w:rPr>
          <w:rFonts w:ascii="Book Antiqua" w:hAnsi="Book Antiqua"/>
        </w:rPr>
        <w:t xml:space="preserve"> 2009; </w:t>
      </w:r>
      <w:r w:rsidRPr="009B04A5">
        <w:rPr>
          <w:rFonts w:ascii="Book Antiqua" w:hAnsi="Book Antiqua"/>
          <w:b/>
        </w:rPr>
        <w:t>35</w:t>
      </w:r>
      <w:r w:rsidRPr="009B04A5">
        <w:rPr>
          <w:rFonts w:ascii="Book Antiqua" w:hAnsi="Book Antiqua"/>
        </w:rPr>
        <w:t>: 610-625 [PMID: 19748357 DOI: 10.1016/j.molcel.2009.08.020]</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93 </w:t>
      </w:r>
      <w:r w:rsidRPr="009B04A5">
        <w:rPr>
          <w:rFonts w:ascii="Book Antiqua" w:hAnsi="Book Antiqua"/>
          <w:b/>
        </w:rPr>
        <w:t>Qin W</w:t>
      </w:r>
      <w:r w:rsidRPr="009B04A5">
        <w:rPr>
          <w:rFonts w:ascii="Book Antiqua" w:hAnsi="Book Antiqua"/>
        </w:rPr>
        <w:t xml:space="preserve">, Shi Y, Zhao B, Yao C, Jin L, Ma J, Jin Y. miR-24 regulates apoptosis by targeting the open reading frame (ORF) region of FAF1 in cancer cells. </w:t>
      </w:r>
      <w:r w:rsidRPr="009B04A5">
        <w:rPr>
          <w:rFonts w:ascii="Book Antiqua" w:hAnsi="Book Antiqua"/>
          <w:i/>
        </w:rPr>
        <w:t>PLoS One</w:t>
      </w:r>
      <w:r w:rsidRPr="009B04A5">
        <w:rPr>
          <w:rFonts w:ascii="Book Antiqua" w:hAnsi="Book Antiqua"/>
        </w:rPr>
        <w:t xml:space="preserve"> 2010; </w:t>
      </w:r>
      <w:r w:rsidRPr="009B04A5">
        <w:rPr>
          <w:rFonts w:ascii="Book Antiqua" w:hAnsi="Book Antiqua"/>
          <w:b/>
        </w:rPr>
        <w:t>5</w:t>
      </w:r>
      <w:r w:rsidRPr="009B04A5">
        <w:rPr>
          <w:rFonts w:ascii="Book Antiqua" w:hAnsi="Book Antiqua"/>
        </w:rPr>
        <w:t>: e9429 [PMID: 20195546 DOI: 10.1371/journal.pone.0009429]</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94 </w:t>
      </w:r>
      <w:r w:rsidRPr="009B04A5">
        <w:rPr>
          <w:rFonts w:ascii="Book Antiqua" w:hAnsi="Book Antiqua"/>
          <w:b/>
        </w:rPr>
        <w:t>Nemes K</w:t>
      </w:r>
      <w:r w:rsidRPr="009B04A5">
        <w:rPr>
          <w:rFonts w:ascii="Book Antiqua" w:hAnsi="Book Antiqua"/>
        </w:rPr>
        <w:t xml:space="preserve">, Csóka M, Nagy N, Márk Á, Váradi Z, Dankó T, Kovács G, Kopper L, Sebestyén A. Expression of certain leukemia/lymphoma related microRNAs and its correlation with prognosis in childhood acute lymphoblastic leukemia. </w:t>
      </w:r>
      <w:r w:rsidRPr="009B04A5">
        <w:rPr>
          <w:rFonts w:ascii="Book Antiqua" w:hAnsi="Book Antiqua"/>
          <w:i/>
        </w:rPr>
        <w:t>Pathol Oncol Res</w:t>
      </w:r>
      <w:r w:rsidRPr="009B04A5">
        <w:rPr>
          <w:rFonts w:ascii="Book Antiqua" w:hAnsi="Book Antiqua"/>
        </w:rPr>
        <w:t xml:space="preserve"> 2015; </w:t>
      </w:r>
      <w:r w:rsidRPr="009B04A5">
        <w:rPr>
          <w:rFonts w:ascii="Book Antiqua" w:hAnsi="Book Antiqua"/>
          <w:b/>
        </w:rPr>
        <w:t>21</w:t>
      </w:r>
      <w:r w:rsidRPr="009B04A5">
        <w:rPr>
          <w:rFonts w:ascii="Book Antiqua" w:hAnsi="Book Antiqua"/>
        </w:rPr>
        <w:t>: 597-604 [PMID: 25388103 DOI: 10.1007/s12253-014-9861-z]</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95 </w:t>
      </w:r>
      <w:r w:rsidRPr="009B04A5">
        <w:rPr>
          <w:rFonts w:ascii="Book Antiqua" w:hAnsi="Book Antiqua"/>
          <w:b/>
        </w:rPr>
        <w:t>Yan Z</w:t>
      </w:r>
      <w:r w:rsidRPr="009B04A5">
        <w:rPr>
          <w:rFonts w:ascii="Book Antiqua" w:hAnsi="Book Antiqua"/>
        </w:rPr>
        <w:t xml:space="preserve">, Xiong Y, Xu W, Gao J, Cheng Y, Wang Z, Chen F, Zheng G. Identification of hsa-miR-335 as a prognostic signature in gastric cancer. </w:t>
      </w:r>
      <w:r w:rsidRPr="009B04A5">
        <w:rPr>
          <w:rFonts w:ascii="Book Antiqua" w:hAnsi="Book Antiqua"/>
          <w:i/>
        </w:rPr>
        <w:t>PLoS One</w:t>
      </w:r>
      <w:r w:rsidRPr="009B04A5">
        <w:rPr>
          <w:rFonts w:ascii="Book Antiqua" w:hAnsi="Book Antiqua"/>
        </w:rPr>
        <w:t xml:space="preserve"> 2012; </w:t>
      </w:r>
      <w:r w:rsidRPr="009B04A5">
        <w:rPr>
          <w:rFonts w:ascii="Book Antiqua" w:hAnsi="Book Antiqua"/>
          <w:b/>
        </w:rPr>
        <w:t>7</w:t>
      </w:r>
      <w:r w:rsidRPr="009B04A5">
        <w:rPr>
          <w:rFonts w:ascii="Book Antiqua" w:hAnsi="Book Antiqua"/>
        </w:rPr>
        <w:t>: e40037 [PMID: 22802949 DOI: 10.1371/journal.pone.0040037]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96 </w:t>
      </w:r>
      <w:r w:rsidRPr="009B04A5">
        <w:rPr>
          <w:rFonts w:ascii="Book Antiqua" w:hAnsi="Book Antiqua"/>
          <w:b/>
        </w:rPr>
        <w:t>Yan J</w:t>
      </w:r>
      <w:r w:rsidRPr="009B04A5">
        <w:rPr>
          <w:rFonts w:ascii="Book Antiqua" w:hAnsi="Book Antiqua"/>
        </w:rPr>
        <w:t xml:space="preserve">, Jiang N, Huang G, Tay JL, Lin B, Bi C, Koh GS, Li Z, Tan J, Chung TH, Lu Y, Ariffin H, Kham SK, Yeoh AE, Chng WJ. Deregulated MIR335 that targets MAPK1 is implicated in poor outcome of paediatric acute lymphoblastic leukaemia. </w:t>
      </w:r>
      <w:r w:rsidRPr="009B04A5">
        <w:rPr>
          <w:rFonts w:ascii="Book Antiqua" w:hAnsi="Book Antiqua"/>
          <w:i/>
        </w:rPr>
        <w:t>Br J Haematol</w:t>
      </w:r>
      <w:r w:rsidRPr="009B04A5">
        <w:rPr>
          <w:rFonts w:ascii="Book Antiqua" w:hAnsi="Book Antiqua"/>
        </w:rPr>
        <w:t xml:space="preserve"> 2013; </w:t>
      </w:r>
      <w:r w:rsidRPr="009B04A5">
        <w:rPr>
          <w:rFonts w:ascii="Book Antiqua" w:hAnsi="Book Antiqua"/>
          <w:b/>
        </w:rPr>
        <w:t>163</w:t>
      </w:r>
      <w:r w:rsidRPr="009B04A5">
        <w:rPr>
          <w:rFonts w:ascii="Book Antiqua" w:hAnsi="Book Antiqua"/>
        </w:rPr>
        <w:t>: 93-103 [PMID: 23888996 DOI: 10.1111/bjh.12489]</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97 </w:t>
      </w:r>
      <w:r w:rsidRPr="009B04A5">
        <w:rPr>
          <w:rFonts w:ascii="Book Antiqua" w:hAnsi="Book Antiqua"/>
          <w:b/>
        </w:rPr>
        <w:t>Agirre X</w:t>
      </w:r>
      <w:r w:rsidRPr="009B04A5">
        <w:rPr>
          <w:rFonts w:ascii="Book Antiqua" w:hAnsi="Book Antiqua"/>
        </w:rPr>
        <w:t xml:space="preserve">, Martínez-Climent JÁ, Odero MD, Prósper F. Epigenetic regulation of miRNA genes in acute leukemia. </w:t>
      </w:r>
      <w:r w:rsidRPr="009B04A5">
        <w:rPr>
          <w:rFonts w:ascii="Book Antiqua" w:hAnsi="Book Antiqua"/>
          <w:i/>
        </w:rPr>
        <w:t>Leukemia</w:t>
      </w:r>
      <w:r w:rsidRPr="009B04A5">
        <w:rPr>
          <w:rFonts w:ascii="Book Antiqua" w:hAnsi="Book Antiqua"/>
        </w:rPr>
        <w:t xml:space="preserve"> 2012; </w:t>
      </w:r>
      <w:r w:rsidRPr="009B04A5">
        <w:rPr>
          <w:rFonts w:ascii="Book Antiqua" w:hAnsi="Book Antiqua"/>
          <w:b/>
        </w:rPr>
        <w:t>26</w:t>
      </w:r>
      <w:r w:rsidRPr="009B04A5">
        <w:rPr>
          <w:rFonts w:ascii="Book Antiqua" w:hAnsi="Book Antiqua"/>
        </w:rPr>
        <w:t>: 395-403 [PMID: 22143672 DOI: 10.1038/leu.2011.344]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98 </w:t>
      </w:r>
      <w:r w:rsidRPr="009B04A5">
        <w:rPr>
          <w:rFonts w:ascii="Book Antiqua" w:hAnsi="Book Antiqua"/>
          <w:b/>
        </w:rPr>
        <w:t>Roman-Gomez J</w:t>
      </w:r>
      <w:r w:rsidRPr="009B04A5">
        <w:rPr>
          <w:rFonts w:ascii="Book Antiqua" w:hAnsi="Book Antiqua"/>
        </w:rPr>
        <w:t xml:space="preserve">, Agirre X, Jiménez-Velasco A, Arqueros V, Vilas-Zornoza A, Rodriguez-Otero P, Martin-Subero I, Garate L, Cordeu L, San José-Eneriz E, Martin V, Castillejo JA, Bandrés E, Calasanz MJ, Siebert R, Heiniger A, Torres A, Prosper F. Epigenetic regulation of microRNAs in acute lymphoblastic leukemia. </w:t>
      </w:r>
      <w:r w:rsidRPr="009B04A5">
        <w:rPr>
          <w:rFonts w:ascii="Book Antiqua" w:hAnsi="Book Antiqua"/>
          <w:i/>
        </w:rPr>
        <w:t>J Clin Oncol</w:t>
      </w:r>
      <w:r w:rsidRPr="009B04A5">
        <w:rPr>
          <w:rFonts w:ascii="Book Antiqua" w:hAnsi="Book Antiqua"/>
        </w:rPr>
        <w:t xml:space="preserve"> 2009; </w:t>
      </w:r>
      <w:r w:rsidRPr="009B04A5">
        <w:rPr>
          <w:rFonts w:ascii="Book Antiqua" w:hAnsi="Book Antiqua"/>
          <w:b/>
        </w:rPr>
        <w:t>27</w:t>
      </w:r>
      <w:r w:rsidRPr="009B04A5">
        <w:rPr>
          <w:rFonts w:ascii="Book Antiqua" w:hAnsi="Book Antiqua"/>
        </w:rPr>
        <w:t>: 1316-1322 [PMID: 19164206 DOI: 10.1200/JCO.2008.19.3441]</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99 </w:t>
      </w:r>
      <w:r w:rsidRPr="009B04A5">
        <w:rPr>
          <w:rFonts w:ascii="Book Antiqua" w:hAnsi="Book Antiqua"/>
          <w:b/>
        </w:rPr>
        <w:t>Stumpel DJ</w:t>
      </w:r>
      <w:r w:rsidRPr="009B04A5">
        <w:rPr>
          <w:rFonts w:ascii="Book Antiqua" w:hAnsi="Book Antiqua"/>
        </w:rPr>
        <w:t xml:space="preserve">, Schotte D, Lange-Turenhout EA, Schneider P, Seslija L, de Menezes RX, Marquez VE, Pieters R, den Boer ML, Stam RW. Hypermethylation of specific microRNA genes in MLL-rearranged infant acute lymphoblastic leukemia: major matters at a micro scale. </w:t>
      </w:r>
      <w:r w:rsidRPr="009B04A5">
        <w:rPr>
          <w:rFonts w:ascii="Book Antiqua" w:hAnsi="Book Antiqua"/>
          <w:i/>
        </w:rPr>
        <w:t>Leukemia</w:t>
      </w:r>
      <w:r w:rsidRPr="009B04A5">
        <w:rPr>
          <w:rFonts w:ascii="Book Antiqua" w:hAnsi="Book Antiqua"/>
        </w:rPr>
        <w:t xml:space="preserve"> 2011; </w:t>
      </w:r>
      <w:r w:rsidRPr="009B04A5">
        <w:rPr>
          <w:rFonts w:ascii="Book Antiqua" w:hAnsi="Book Antiqua"/>
          <w:b/>
        </w:rPr>
        <w:t>25</w:t>
      </w:r>
      <w:r w:rsidRPr="009B04A5">
        <w:rPr>
          <w:rFonts w:ascii="Book Antiqua" w:hAnsi="Book Antiqua"/>
        </w:rPr>
        <w:t>: 429-439 [PMID: 21116279 DOI: 10.1038/leu.2010.282]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100 </w:t>
      </w:r>
      <w:r w:rsidRPr="009B04A5">
        <w:rPr>
          <w:rFonts w:ascii="Book Antiqua" w:hAnsi="Book Antiqua"/>
          <w:b/>
        </w:rPr>
        <w:t>Zhou JD</w:t>
      </w:r>
      <w:r w:rsidRPr="009B04A5">
        <w:rPr>
          <w:rFonts w:ascii="Book Antiqua" w:hAnsi="Book Antiqua"/>
        </w:rPr>
        <w:t xml:space="preserve">, Li XX, Zhang TJ, Xu ZJ, Zhang ZH, Gu Y, Wen XM, Zhang W, Ji RB, Deng ZQ, Lin J, Qian J. </w:t>
      </w:r>
      <w:r w:rsidRPr="009B04A5">
        <w:rPr>
          <w:rFonts w:ascii="Book Antiqua" w:hAnsi="Book Antiqua"/>
          <w:i/>
        </w:rPr>
        <w:t>MicroRNA-335</w:t>
      </w:r>
      <w:r w:rsidRPr="009B04A5">
        <w:rPr>
          <w:rFonts w:ascii="Book Antiqua" w:hAnsi="Book Antiqua"/>
        </w:rPr>
        <w:t>/</w:t>
      </w:r>
      <w:r w:rsidRPr="009B04A5">
        <w:rPr>
          <w:rFonts w:ascii="Book Antiqua" w:hAnsi="Book Antiqua"/>
          <w:i/>
        </w:rPr>
        <w:t>ID4</w:t>
      </w:r>
      <w:r w:rsidRPr="009B04A5">
        <w:rPr>
          <w:rFonts w:ascii="Book Antiqua" w:hAnsi="Book Antiqua"/>
        </w:rPr>
        <w:t xml:space="preserve"> dysregulation predicts clinical outcome </w:t>
      </w:r>
      <w:r w:rsidRPr="009B04A5">
        <w:rPr>
          <w:rFonts w:ascii="Book Antiqua" w:hAnsi="Book Antiqua"/>
        </w:rPr>
        <w:lastRenderedPageBreak/>
        <w:t xml:space="preserve">and facilitates leukemogenesis by activating PI3K/Akt signaling pathway in acute myeloid leukemia. </w:t>
      </w:r>
      <w:r w:rsidRPr="009B04A5">
        <w:rPr>
          <w:rFonts w:ascii="Book Antiqua" w:hAnsi="Book Antiqua"/>
          <w:i/>
        </w:rPr>
        <w:t>Aging (Albany NY)</w:t>
      </w:r>
      <w:r w:rsidRPr="009B04A5">
        <w:rPr>
          <w:rFonts w:ascii="Book Antiqua" w:hAnsi="Book Antiqua"/>
        </w:rPr>
        <w:t xml:space="preserve"> 2019; </w:t>
      </w:r>
      <w:r w:rsidRPr="009B04A5">
        <w:rPr>
          <w:rFonts w:ascii="Book Antiqua" w:hAnsi="Book Antiqua"/>
          <w:b/>
        </w:rPr>
        <w:t>11</w:t>
      </w:r>
      <w:r w:rsidRPr="009B04A5">
        <w:rPr>
          <w:rFonts w:ascii="Book Antiqua" w:hAnsi="Book Antiqua"/>
        </w:rPr>
        <w:t>: 3376-3391 [PMID: 31147526 DOI: 10.18632/aging.101991]</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101 </w:t>
      </w:r>
      <w:r w:rsidRPr="009B04A5">
        <w:rPr>
          <w:rFonts w:ascii="Book Antiqua" w:hAnsi="Book Antiqua"/>
          <w:b/>
        </w:rPr>
        <w:t>Vigorito E</w:t>
      </w:r>
      <w:r w:rsidRPr="009B04A5">
        <w:rPr>
          <w:rFonts w:ascii="Book Antiqua" w:hAnsi="Book Antiqua"/>
        </w:rPr>
        <w:t xml:space="preserve">, Perks KL, Abreu-Goodger C, Bunting S, Xiang Z, Kohlhaas S, Das PP, Miska EA, Rodriguez A, Bradley A, Smith KG, Rada C, Enright AJ, Toellner KM, Maclennan IC, Turner M. microRNA-155 regulates the generation of immunoglobulin class-switched plasma cells. </w:t>
      </w:r>
      <w:r w:rsidRPr="009B04A5">
        <w:rPr>
          <w:rFonts w:ascii="Book Antiqua" w:hAnsi="Book Antiqua"/>
          <w:i/>
        </w:rPr>
        <w:t>Immunity</w:t>
      </w:r>
      <w:r w:rsidRPr="009B04A5">
        <w:rPr>
          <w:rFonts w:ascii="Book Antiqua" w:hAnsi="Book Antiqua"/>
        </w:rPr>
        <w:t xml:space="preserve"> 2007; </w:t>
      </w:r>
      <w:r w:rsidRPr="009B04A5">
        <w:rPr>
          <w:rFonts w:ascii="Book Antiqua" w:hAnsi="Book Antiqua"/>
          <w:b/>
        </w:rPr>
        <w:t>27</w:t>
      </w:r>
      <w:r w:rsidRPr="009B04A5">
        <w:rPr>
          <w:rFonts w:ascii="Book Antiqua" w:hAnsi="Book Antiqua"/>
        </w:rPr>
        <w:t>: 847-859 [PMID: 18055230 DOI: 10.1016/j.immuni.2007.10.009]</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102 </w:t>
      </w:r>
      <w:r w:rsidRPr="009B04A5">
        <w:rPr>
          <w:rFonts w:ascii="Book Antiqua" w:hAnsi="Book Antiqua"/>
          <w:b/>
        </w:rPr>
        <w:t>Georgantas RW 3rd</w:t>
      </w:r>
      <w:r w:rsidRPr="009B04A5">
        <w:rPr>
          <w:rFonts w:ascii="Book Antiqua" w:hAnsi="Book Antiqua"/>
        </w:rPr>
        <w:t xml:space="preserve">, Hildreth R, Morisot S, Alder J, Liu CG, Heimfeld S, Calin GA, Croce CM, Civin CI. CD34+ hematopoietic stem-progenitor cell microRNA expression and function: a circuit diagram of differentiation control. </w:t>
      </w:r>
      <w:r w:rsidRPr="009B04A5">
        <w:rPr>
          <w:rFonts w:ascii="Book Antiqua" w:hAnsi="Book Antiqua"/>
          <w:i/>
        </w:rPr>
        <w:t>Proc Natl Acad Sci USA</w:t>
      </w:r>
      <w:r w:rsidRPr="009B04A5">
        <w:rPr>
          <w:rFonts w:ascii="Book Antiqua" w:hAnsi="Book Antiqua"/>
        </w:rPr>
        <w:t xml:space="preserve"> 2007; </w:t>
      </w:r>
      <w:r w:rsidRPr="009B04A5">
        <w:rPr>
          <w:rFonts w:ascii="Book Antiqua" w:hAnsi="Book Antiqua"/>
          <w:b/>
        </w:rPr>
        <w:t>104</w:t>
      </w:r>
      <w:r w:rsidRPr="009B04A5">
        <w:rPr>
          <w:rFonts w:ascii="Book Antiqua" w:hAnsi="Book Antiqua"/>
        </w:rPr>
        <w:t>: 2750-2755 [PMID: 17293455 DOI: 10.1073/pnas.0610983104]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103 </w:t>
      </w:r>
      <w:r w:rsidRPr="009B04A5">
        <w:rPr>
          <w:rFonts w:ascii="Book Antiqua" w:hAnsi="Book Antiqua"/>
          <w:b/>
        </w:rPr>
        <w:t>Vargova K</w:t>
      </w:r>
      <w:r w:rsidRPr="009B04A5">
        <w:rPr>
          <w:rFonts w:ascii="Book Antiqua" w:hAnsi="Book Antiqua"/>
        </w:rPr>
        <w:t xml:space="preserve">, Pesta M, Obrtlikova P, Dusilkova N, Minarik L, Vargova J, Berkova A, Zemanova Z, Michalova K, Spacek M, Trneny M, Stopka T. MiR-155/miR-150 network regulates progression through the disease phases of chronic lymphocytic leukemia. </w:t>
      </w:r>
      <w:r w:rsidRPr="009B04A5">
        <w:rPr>
          <w:rFonts w:ascii="Book Antiqua" w:hAnsi="Book Antiqua"/>
          <w:i/>
        </w:rPr>
        <w:t>Blood Cancer J</w:t>
      </w:r>
      <w:r w:rsidRPr="009B04A5">
        <w:rPr>
          <w:rFonts w:ascii="Book Antiqua" w:hAnsi="Book Antiqua"/>
        </w:rPr>
        <w:t xml:space="preserve"> 2017; </w:t>
      </w:r>
      <w:r w:rsidRPr="009B04A5">
        <w:rPr>
          <w:rFonts w:ascii="Book Antiqua" w:hAnsi="Book Antiqua"/>
          <w:b/>
        </w:rPr>
        <w:t>7</w:t>
      </w:r>
      <w:r w:rsidRPr="009B04A5">
        <w:rPr>
          <w:rFonts w:ascii="Book Antiqua" w:hAnsi="Book Antiqua"/>
        </w:rPr>
        <w:t>: e585 [PMID: 28731457 DOI: 10.1038/bcj.2017.63]</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104 </w:t>
      </w:r>
      <w:r w:rsidRPr="009B04A5">
        <w:rPr>
          <w:rFonts w:ascii="Book Antiqua" w:hAnsi="Book Antiqua"/>
          <w:b/>
        </w:rPr>
        <w:t>Cui B</w:t>
      </w:r>
      <w:r w:rsidRPr="009B04A5">
        <w:rPr>
          <w:rFonts w:ascii="Book Antiqua" w:hAnsi="Book Antiqua"/>
        </w:rPr>
        <w:t xml:space="preserve">, Chen L, Zhang S, Mraz M, Fecteau JF, Yu J, Ghia EM, Zhang L, Bao L, Rassenti LZ, Messer K, Calin GA, Croce CM, Kipps TJ. MicroRNA-155 influences B-cell receptor signaling and associates with aggressive disease in chronic lymphocytic leukemia. </w:t>
      </w:r>
      <w:r w:rsidRPr="009B04A5">
        <w:rPr>
          <w:rFonts w:ascii="Book Antiqua" w:hAnsi="Book Antiqua"/>
          <w:i/>
        </w:rPr>
        <w:t>Blood</w:t>
      </w:r>
      <w:r w:rsidRPr="009B04A5">
        <w:rPr>
          <w:rFonts w:ascii="Book Antiqua" w:hAnsi="Book Antiqua"/>
        </w:rPr>
        <w:t xml:space="preserve"> 2014; </w:t>
      </w:r>
      <w:r w:rsidRPr="009B04A5">
        <w:rPr>
          <w:rFonts w:ascii="Book Antiqua" w:hAnsi="Book Antiqua"/>
          <w:b/>
        </w:rPr>
        <w:t>124</w:t>
      </w:r>
      <w:r w:rsidRPr="009B04A5">
        <w:rPr>
          <w:rFonts w:ascii="Book Antiqua" w:hAnsi="Book Antiqua"/>
        </w:rPr>
        <w:t>: 546-554 [PMID: 24914134 DOI: 10.1182/blood-2014-03-559690]</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105 </w:t>
      </w:r>
      <w:r w:rsidRPr="009B04A5">
        <w:rPr>
          <w:rFonts w:ascii="Book Antiqua" w:hAnsi="Book Antiqua"/>
          <w:b/>
        </w:rPr>
        <w:t>Narayan N</w:t>
      </w:r>
      <w:r w:rsidRPr="009B04A5">
        <w:rPr>
          <w:rFonts w:ascii="Book Antiqua" w:hAnsi="Book Antiqua"/>
        </w:rPr>
        <w:t xml:space="preserve">, Bracken CP, Ekert PG. MicroRNA-155 expression and function in AML: An evolving paradigm. </w:t>
      </w:r>
      <w:r w:rsidRPr="009B04A5">
        <w:rPr>
          <w:rFonts w:ascii="Book Antiqua" w:hAnsi="Book Antiqua"/>
          <w:i/>
        </w:rPr>
        <w:t>Exp Hematol</w:t>
      </w:r>
      <w:r w:rsidRPr="009B04A5">
        <w:rPr>
          <w:rFonts w:ascii="Book Antiqua" w:hAnsi="Book Antiqua"/>
        </w:rPr>
        <w:t xml:space="preserve"> 2018; </w:t>
      </w:r>
      <w:r w:rsidRPr="009B04A5">
        <w:rPr>
          <w:rFonts w:ascii="Book Antiqua" w:hAnsi="Book Antiqua"/>
          <w:b/>
        </w:rPr>
        <w:t>62</w:t>
      </w:r>
      <w:r w:rsidRPr="009B04A5">
        <w:rPr>
          <w:rFonts w:ascii="Book Antiqua" w:hAnsi="Book Antiqua"/>
        </w:rPr>
        <w:t>: 1-6 [PMID: 29601851 DOI: 10.1016/j.exphem.2018.03.007]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106 </w:t>
      </w:r>
      <w:r w:rsidRPr="009B04A5">
        <w:rPr>
          <w:rFonts w:ascii="Book Antiqua" w:hAnsi="Book Antiqua"/>
          <w:b/>
        </w:rPr>
        <w:t>Kluiver J</w:t>
      </w:r>
      <w:r w:rsidRPr="009B04A5">
        <w:rPr>
          <w:rFonts w:ascii="Book Antiqua" w:hAnsi="Book Antiqua"/>
        </w:rPr>
        <w:t xml:space="preserve">, Poppema S, de Jong D, Blokzijl T, Harms G, Jacobs S, Kroesen BJ, van den Berg A. BIC and miR-155 are highly expressed in Hodgkin, primary mediastinal and diffuse large B cell lymphomas. </w:t>
      </w:r>
      <w:r w:rsidRPr="009B04A5">
        <w:rPr>
          <w:rFonts w:ascii="Book Antiqua" w:hAnsi="Book Antiqua"/>
          <w:i/>
        </w:rPr>
        <w:t>J Pathol</w:t>
      </w:r>
      <w:r w:rsidRPr="009B04A5">
        <w:rPr>
          <w:rFonts w:ascii="Book Antiqua" w:hAnsi="Book Antiqua"/>
        </w:rPr>
        <w:t xml:space="preserve"> 2005; </w:t>
      </w:r>
      <w:r w:rsidRPr="009B04A5">
        <w:rPr>
          <w:rFonts w:ascii="Book Antiqua" w:hAnsi="Book Antiqua"/>
          <w:b/>
        </w:rPr>
        <w:t>207</w:t>
      </w:r>
      <w:r w:rsidRPr="009B04A5">
        <w:rPr>
          <w:rFonts w:ascii="Book Antiqua" w:hAnsi="Book Antiqua"/>
        </w:rPr>
        <w:t>: 243-249 [PMID: 16041695 DOI: 10.1002/path.1825]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107 </w:t>
      </w:r>
      <w:r w:rsidRPr="009B04A5">
        <w:rPr>
          <w:rFonts w:ascii="Book Antiqua" w:hAnsi="Book Antiqua"/>
          <w:b/>
        </w:rPr>
        <w:t>Eis PS</w:t>
      </w:r>
      <w:r w:rsidRPr="009B04A5">
        <w:rPr>
          <w:rFonts w:ascii="Book Antiqua" w:hAnsi="Book Antiqua"/>
        </w:rPr>
        <w:t xml:space="preserve">, Tam W, Sun L, Chadburn A, Li Z, Gomez MF, Lund E, Dahlberg JE. Accumulation of miR-155 and BIC RNA in human B cell lymphomas. </w:t>
      </w:r>
      <w:r w:rsidRPr="009B04A5">
        <w:rPr>
          <w:rFonts w:ascii="Book Antiqua" w:hAnsi="Book Antiqua"/>
          <w:i/>
        </w:rPr>
        <w:t>Proc Natl Acad Sci U</w:t>
      </w:r>
      <w:r w:rsidR="00C709AE" w:rsidRPr="009B04A5">
        <w:rPr>
          <w:rFonts w:ascii="Book Antiqua" w:hAnsi="Book Antiqua"/>
          <w:i/>
        </w:rPr>
        <w:t>S</w:t>
      </w:r>
      <w:r w:rsidRPr="009B04A5">
        <w:rPr>
          <w:rFonts w:ascii="Book Antiqua" w:hAnsi="Book Antiqua"/>
          <w:i/>
        </w:rPr>
        <w:t>A</w:t>
      </w:r>
      <w:r w:rsidRPr="009B04A5">
        <w:rPr>
          <w:rFonts w:ascii="Book Antiqua" w:hAnsi="Book Antiqua"/>
        </w:rPr>
        <w:t xml:space="preserve"> 2005; </w:t>
      </w:r>
      <w:r w:rsidRPr="009B04A5">
        <w:rPr>
          <w:rFonts w:ascii="Book Antiqua" w:hAnsi="Book Antiqua"/>
          <w:b/>
        </w:rPr>
        <w:t>102</w:t>
      </w:r>
      <w:r w:rsidRPr="009B04A5">
        <w:rPr>
          <w:rFonts w:ascii="Book Antiqua" w:hAnsi="Book Antiqua"/>
        </w:rPr>
        <w:t>: 3627-3632 [PMID: 15738415 DOI: 10.1073/pnas.0500613102]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lastRenderedPageBreak/>
        <w:t xml:space="preserve">108 </w:t>
      </w:r>
      <w:r w:rsidRPr="009B04A5">
        <w:rPr>
          <w:rFonts w:ascii="Book Antiqua" w:hAnsi="Book Antiqua"/>
          <w:b/>
        </w:rPr>
        <w:t>Hezaveh K</w:t>
      </w:r>
      <w:r w:rsidRPr="009B04A5">
        <w:rPr>
          <w:rFonts w:ascii="Book Antiqua" w:hAnsi="Book Antiqua"/>
        </w:rPr>
        <w:t xml:space="preserve">, Kloetgen A, Bernhart SH, Mahapatra KD, Lenze D, Richter J, Haake A, Bergmann AK, Brors B, Burkhardt B, Claviez A, Drexler HG, Eils R, Haas S, Hoffmann S, Karsch D, Klapper W, Kleinheinz K, Korbel J, Kretzmer H, Kreuz M, Küppers R, Lawerenz C, Leich E, Loeffler M, Mantovani-Loeffler L, López C, McHardy AC, Möller P, Rohde M, Rosenstiel P, Rosenwald A, Schilhabel M, Schlesner M, Scholz I, Stadler PF, Stilgenbauer S, Sungalee S, Szczepanowski M, Trümper L, Weniger MA, Siebert R, Borkhardt A, Hummel M, Hoell JI; ICGC MMML-Seq Project. Alterations of microRNA and microRNA-regulated messenger RNA expression in germinal center B-cell lymphomas determined by integrative sequencing analysis. </w:t>
      </w:r>
      <w:r w:rsidRPr="009B04A5">
        <w:rPr>
          <w:rFonts w:ascii="Book Antiqua" w:hAnsi="Book Antiqua"/>
          <w:i/>
        </w:rPr>
        <w:t>Haematologica</w:t>
      </w:r>
      <w:r w:rsidRPr="009B04A5">
        <w:rPr>
          <w:rFonts w:ascii="Book Antiqua" w:hAnsi="Book Antiqua"/>
        </w:rPr>
        <w:t xml:space="preserve"> 2016; </w:t>
      </w:r>
      <w:r w:rsidRPr="009B04A5">
        <w:rPr>
          <w:rFonts w:ascii="Book Antiqua" w:hAnsi="Book Antiqua"/>
          <w:b/>
        </w:rPr>
        <w:t>101</w:t>
      </w:r>
      <w:r w:rsidRPr="009B04A5">
        <w:rPr>
          <w:rFonts w:ascii="Book Antiqua" w:hAnsi="Book Antiqua"/>
        </w:rPr>
        <w:t>: 1380-1389 [PMID: 27390358 DOI: 10.3324/haematol.2016.143891]</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109 </w:t>
      </w:r>
      <w:r w:rsidRPr="009B04A5">
        <w:rPr>
          <w:rFonts w:ascii="Book Antiqua" w:hAnsi="Book Antiqua"/>
          <w:b/>
        </w:rPr>
        <w:t>El-Khazragy N</w:t>
      </w:r>
      <w:r w:rsidRPr="009B04A5">
        <w:rPr>
          <w:rFonts w:ascii="Book Antiqua" w:hAnsi="Book Antiqua"/>
        </w:rPr>
        <w:t xml:space="preserve">, Noshi MA, Abdel-Malak C, Zahran RF, Swellam M. miRNA-155 and miRNA-181a as prognostic biomarkers for pediatric acute lymphoblastic leukemia. </w:t>
      </w:r>
      <w:r w:rsidRPr="009B04A5">
        <w:rPr>
          <w:rFonts w:ascii="Book Antiqua" w:hAnsi="Book Antiqua"/>
          <w:i/>
        </w:rPr>
        <w:t>J Cell Biochem</w:t>
      </w:r>
      <w:r w:rsidRPr="009B04A5">
        <w:rPr>
          <w:rFonts w:ascii="Book Antiqua" w:hAnsi="Book Antiqua"/>
        </w:rPr>
        <w:t xml:space="preserve"> 2019; </w:t>
      </w:r>
      <w:r w:rsidRPr="009B04A5">
        <w:rPr>
          <w:rFonts w:ascii="Book Antiqua" w:hAnsi="Book Antiqua"/>
          <w:b/>
        </w:rPr>
        <w:t>120</w:t>
      </w:r>
      <w:r w:rsidRPr="009B04A5">
        <w:rPr>
          <w:rFonts w:ascii="Book Antiqua" w:hAnsi="Book Antiqua"/>
        </w:rPr>
        <w:t>: 6315-6321 [PMID: 30362157 DOI: 10.1002/jcb.27918]</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110 </w:t>
      </w:r>
      <w:r w:rsidRPr="009B04A5">
        <w:rPr>
          <w:rFonts w:ascii="Book Antiqua" w:hAnsi="Book Antiqua"/>
          <w:b/>
        </w:rPr>
        <w:t>Ramamurthy R</w:t>
      </w:r>
      <w:r w:rsidRPr="009B04A5">
        <w:rPr>
          <w:rFonts w:ascii="Book Antiqua" w:hAnsi="Book Antiqua"/>
        </w:rPr>
        <w:t xml:space="preserve">, Hughes M, Morris V, Bolouri H, Gerbing RB, Wang YC, Loken MR, Raimondi SC, Hirsch BA, Gamis AS, Oehler VG, Alonzo TA, Meshinchi S. miR-155 expression and correlation with clinical outcome in pediatric AML: A report from Children's Oncology Group. </w:t>
      </w:r>
      <w:r w:rsidRPr="009B04A5">
        <w:rPr>
          <w:rFonts w:ascii="Book Antiqua" w:hAnsi="Book Antiqua"/>
          <w:i/>
        </w:rPr>
        <w:t>Pediatr Blood Cancer</w:t>
      </w:r>
      <w:r w:rsidRPr="009B04A5">
        <w:rPr>
          <w:rFonts w:ascii="Book Antiqua" w:hAnsi="Book Antiqua"/>
        </w:rPr>
        <w:t xml:space="preserve"> 2016; </w:t>
      </w:r>
      <w:r w:rsidRPr="009B04A5">
        <w:rPr>
          <w:rFonts w:ascii="Book Antiqua" w:hAnsi="Book Antiqua"/>
          <w:b/>
        </w:rPr>
        <w:t>63</w:t>
      </w:r>
      <w:r w:rsidRPr="009B04A5">
        <w:rPr>
          <w:rFonts w:ascii="Book Antiqua" w:hAnsi="Book Antiqua"/>
        </w:rPr>
        <w:t>: 2096-2103 [PMID: 27511899 DOI: 10.1002/pbc.26157]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111 </w:t>
      </w:r>
      <w:r w:rsidRPr="009B04A5">
        <w:rPr>
          <w:rFonts w:ascii="Book Antiqua" w:hAnsi="Book Antiqua"/>
          <w:b/>
        </w:rPr>
        <w:t>Narayan N</w:t>
      </w:r>
      <w:r w:rsidRPr="009B04A5">
        <w:rPr>
          <w:rFonts w:ascii="Book Antiqua" w:hAnsi="Book Antiqua"/>
        </w:rPr>
        <w:t xml:space="preserve">, Morenos L, Phipson B, Willis SN, Brumatti G, Eggers S, Lalaoui N, Brown LM, Kosasih HJ, Bartolo RC, Zhou L, Catchpoole D, Saffery R, Oshlack A, Goodall GJ, Ekert PG. Functionally distinct roles for different miR-155 expression levels through contrasting effects on gene expression, in acute myeloid leukaemia. </w:t>
      </w:r>
      <w:r w:rsidRPr="009B04A5">
        <w:rPr>
          <w:rFonts w:ascii="Book Antiqua" w:hAnsi="Book Antiqua"/>
          <w:i/>
        </w:rPr>
        <w:t>Leukemia</w:t>
      </w:r>
      <w:r w:rsidRPr="009B04A5">
        <w:rPr>
          <w:rFonts w:ascii="Book Antiqua" w:hAnsi="Book Antiqua"/>
        </w:rPr>
        <w:t xml:space="preserve"> 2017; </w:t>
      </w:r>
      <w:r w:rsidRPr="009B04A5">
        <w:rPr>
          <w:rFonts w:ascii="Book Antiqua" w:hAnsi="Book Antiqua"/>
          <w:b/>
        </w:rPr>
        <w:t>31</w:t>
      </w:r>
      <w:r w:rsidRPr="009B04A5">
        <w:rPr>
          <w:rFonts w:ascii="Book Antiqua" w:hAnsi="Book Antiqua"/>
        </w:rPr>
        <w:t>: 808-820 [PMID: 27740637 DOI: 10.1038/leu.2016.279]</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112 </w:t>
      </w:r>
      <w:r w:rsidRPr="009B04A5">
        <w:rPr>
          <w:rFonts w:ascii="Book Antiqua" w:hAnsi="Book Antiqua"/>
          <w:b/>
        </w:rPr>
        <w:t>Marcucci G</w:t>
      </w:r>
      <w:r w:rsidRPr="009B04A5">
        <w:rPr>
          <w:rFonts w:ascii="Book Antiqua" w:hAnsi="Book Antiqua"/>
        </w:rPr>
        <w:t xml:space="preserve">, Maharry KS, Metzeler KH, Volinia S, Wu YZ, Mrózek K, Nicolet D, Kohlschmidt J, Whitman SP, Mendler JH, Schwind S, Becker H, Eisfeld AK, Carroll AJ, Powell BL, Kolitz JE, Garzon R, Caligiuri MA, Stone RM, Bloomfield CD. Clinical role of microRNAs in cytogenetically normal acute myeloid leukemia: miR-155 upregulation independently identifies high-risk patients. </w:t>
      </w:r>
      <w:r w:rsidRPr="009B04A5">
        <w:rPr>
          <w:rFonts w:ascii="Book Antiqua" w:hAnsi="Book Antiqua"/>
          <w:i/>
        </w:rPr>
        <w:t>J Clin Oncol</w:t>
      </w:r>
      <w:r w:rsidRPr="009B04A5">
        <w:rPr>
          <w:rFonts w:ascii="Book Antiqua" w:hAnsi="Book Antiqua"/>
        </w:rPr>
        <w:t xml:space="preserve"> 2013; </w:t>
      </w:r>
      <w:r w:rsidRPr="009B04A5">
        <w:rPr>
          <w:rFonts w:ascii="Book Antiqua" w:hAnsi="Book Antiqua"/>
          <w:b/>
        </w:rPr>
        <w:t>31</w:t>
      </w:r>
      <w:r w:rsidRPr="009B04A5">
        <w:rPr>
          <w:rFonts w:ascii="Book Antiqua" w:hAnsi="Book Antiqua"/>
        </w:rPr>
        <w:t>: 2086-2093 [PMID: 23650424 DOI: 10.1200/JCO.2012.45.6228]</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lastRenderedPageBreak/>
        <w:t xml:space="preserve">113 </w:t>
      </w:r>
      <w:r w:rsidRPr="009B04A5">
        <w:rPr>
          <w:rFonts w:ascii="Book Antiqua" w:hAnsi="Book Antiqua"/>
          <w:b/>
        </w:rPr>
        <w:t>Miao MH</w:t>
      </w:r>
      <w:r w:rsidRPr="009B04A5">
        <w:rPr>
          <w:rFonts w:ascii="Book Antiqua" w:hAnsi="Book Antiqua"/>
        </w:rPr>
        <w:t xml:space="preserve">, Ji XQ, Zhang H, Xu J, Zhu H, Shao XJ. miR-590 promotes cell proliferation and invasion in T-cell acute lymphoblastic leukaemia by inhibiting RB1. </w:t>
      </w:r>
      <w:r w:rsidRPr="009B04A5">
        <w:rPr>
          <w:rFonts w:ascii="Book Antiqua" w:hAnsi="Book Antiqua"/>
          <w:i/>
        </w:rPr>
        <w:t>Oncotarget</w:t>
      </w:r>
      <w:r w:rsidRPr="009B04A5">
        <w:rPr>
          <w:rFonts w:ascii="Book Antiqua" w:hAnsi="Book Antiqua"/>
        </w:rPr>
        <w:t xml:space="preserve"> 2016; </w:t>
      </w:r>
      <w:r w:rsidRPr="009B04A5">
        <w:rPr>
          <w:rFonts w:ascii="Book Antiqua" w:hAnsi="Book Antiqua"/>
          <w:b/>
        </w:rPr>
        <w:t>7</w:t>
      </w:r>
      <w:r w:rsidRPr="009B04A5">
        <w:rPr>
          <w:rFonts w:ascii="Book Antiqua" w:hAnsi="Book Antiqua"/>
        </w:rPr>
        <w:t>: 39527-39534 [PMID: 27036041 DOI: 10.18632/oncotarget.8414]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114 </w:t>
      </w:r>
      <w:r w:rsidRPr="009B04A5">
        <w:rPr>
          <w:rFonts w:ascii="Book Antiqua" w:hAnsi="Book Antiqua"/>
          <w:b/>
        </w:rPr>
        <w:t>Fan SJ</w:t>
      </w:r>
      <w:r w:rsidRPr="009B04A5">
        <w:rPr>
          <w:rFonts w:ascii="Book Antiqua" w:hAnsi="Book Antiqua"/>
        </w:rPr>
        <w:t xml:space="preserve">, Li HB, Cui G, Kong XL, Sun LL, Zhao YQ, Li YH, Zhou J. miRNA-149* promotes cell proliferation and suppresses apoptosis by mediating JunB in T-cell acute lymphoblastic leukemia. </w:t>
      </w:r>
      <w:r w:rsidRPr="009B04A5">
        <w:rPr>
          <w:rFonts w:ascii="Book Antiqua" w:hAnsi="Book Antiqua"/>
          <w:i/>
        </w:rPr>
        <w:t>Leuk Res</w:t>
      </w:r>
      <w:r w:rsidRPr="009B04A5">
        <w:rPr>
          <w:rFonts w:ascii="Book Antiqua" w:hAnsi="Book Antiqua"/>
        </w:rPr>
        <w:t xml:space="preserve"> 2016; </w:t>
      </w:r>
      <w:r w:rsidRPr="009B04A5">
        <w:rPr>
          <w:rFonts w:ascii="Book Antiqua" w:hAnsi="Book Antiqua"/>
          <w:b/>
        </w:rPr>
        <w:t>41</w:t>
      </w:r>
      <w:r w:rsidRPr="009B04A5">
        <w:rPr>
          <w:rFonts w:ascii="Book Antiqua" w:hAnsi="Book Antiqua"/>
        </w:rPr>
        <w:t>: 62-70 [PMID: 26725775 DOI: 10.1016/j.leukres.2015.11.016]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115 </w:t>
      </w:r>
      <w:r w:rsidRPr="009B04A5">
        <w:rPr>
          <w:rFonts w:ascii="Book Antiqua" w:hAnsi="Book Antiqua"/>
          <w:b/>
        </w:rPr>
        <w:t>Zhu H</w:t>
      </w:r>
      <w:r w:rsidRPr="009B04A5">
        <w:rPr>
          <w:rFonts w:ascii="Book Antiqua" w:hAnsi="Book Antiqua"/>
        </w:rPr>
        <w:t xml:space="preserve">, Miao MH, Ji XQ, Xue J, Shao XJ. miR-664 negatively regulates PLP2 and promotes cell proliferation and invasion in T-cell acute lymphoblastic leukaemia. </w:t>
      </w:r>
      <w:r w:rsidRPr="009B04A5">
        <w:rPr>
          <w:rFonts w:ascii="Book Antiqua" w:hAnsi="Book Antiqua"/>
          <w:i/>
        </w:rPr>
        <w:t>Biochem Biophys Res Commun</w:t>
      </w:r>
      <w:r w:rsidRPr="009B04A5">
        <w:rPr>
          <w:rFonts w:ascii="Book Antiqua" w:hAnsi="Book Antiqua"/>
        </w:rPr>
        <w:t xml:space="preserve"> 2015; </w:t>
      </w:r>
      <w:r w:rsidRPr="009B04A5">
        <w:rPr>
          <w:rFonts w:ascii="Book Antiqua" w:hAnsi="Book Antiqua"/>
          <w:b/>
        </w:rPr>
        <w:t>459</w:t>
      </w:r>
      <w:r w:rsidRPr="009B04A5">
        <w:rPr>
          <w:rFonts w:ascii="Book Antiqua" w:hAnsi="Book Antiqua"/>
        </w:rPr>
        <w:t>: 340-345 [PMID: 25735976 DOI: 10.1016/j.bbrc.2015.02.116]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116 </w:t>
      </w:r>
      <w:r w:rsidRPr="009B04A5">
        <w:rPr>
          <w:rFonts w:ascii="Book Antiqua" w:hAnsi="Book Antiqua"/>
          <w:b/>
        </w:rPr>
        <w:t>Guo Q</w:t>
      </w:r>
      <w:r w:rsidRPr="009B04A5">
        <w:rPr>
          <w:rFonts w:ascii="Book Antiqua" w:hAnsi="Book Antiqua"/>
        </w:rPr>
        <w:t xml:space="preserve">, Luan J, Li N, Zhang Z, Zhu X, Zhao L, Wei R, Sun L, Shi Y, Yin X, Ding N, Jiang G, Li X. MicroRNA-181 as a prognostic biomarker for survival in acute myeloid leukemia: a meta-analysis. </w:t>
      </w:r>
      <w:r w:rsidRPr="009B04A5">
        <w:rPr>
          <w:rFonts w:ascii="Book Antiqua" w:hAnsi="Book Antiqua"/>
          <w:i/>
        </w:rPr>
        <w:t>Oncotarget</w:t>
      </w:r>
      <w:r w:rsidRPr="009B04A5">
        <w:rPr>
          <w:rFonts w:ascii="Book Antiqua" w:hAnsi="Book Antiqua"/>
        </w:rPr>
        <w:t xml:space="preserve"> 2017; </w:t>
      </w:r>
      <w:r w:rsidRPr="009B04A5">
        <w:rPr>
          <w:rFonts w:ascii="Book Antiqua" w:hAnsi="Book Antiqua"/>
          <w:b/>
        </w:rPr>
        <w:t>8</w:t>
      </w:r>
      <w:r w:rsidRPr="009B04A5">
        <w:rPr>
          <w:rFonts w:ascii="Book Antiqua" w:hAnsi="Book Antiqua"/>
        </w:rPr>
        <w:t>: 89130-89141 [PMID: 29179505 DOI: 10.18632/oncotarget.19195]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117 </w:t>
      </w:r>
      <w:r w:rsidRPr="009B04A5">
        <w:rPr>
          <w:rFonts w:ascii="Book Antiqua" w:hAnsi="Book Antiqua"/>
          <w:b/>
        </w:rPr>
        <w:t>Liu X</w:t>
      </w:r>
      <w:r w:rsidRPr="009B04A5">
        <w:rPr>
          <w:rFonts w:ascii="Book Antiqua" w:hAnsi="Book Antiqua"/>
        </w:rPr>
        <w:t xml:space="preserve">, Liao W, Peng H, Luo X, Luo Z, Jiang H, Xu L. miR-181a promotes G1/S transition and cell proliferation in pediatric acute myeloid leukemia by targeting ATM. </w:t>
      </w:r>
      <w:r w:rsidRPr="009B04A5">
        <w:rPr>
          <w:rFonts w:ascii="Book Antiqua" w:hAnsi="Book Antiqua"/>
          <w:i/>
        </w:rPr>
        <w:t>J Cancer Res Clin Oncol</w:t>
      </w:r>
      <w:r w:rsidRPr="009B04A5">
        <w:rPr>
          <w:rFonts w:ascii="Book Antiqua" w:hAnsi="Book Antiqua"/>
        </w:rPr>
        <w:t xml:space="preserve"> 2016; </w:t>
      </w:r>
      <w:r w:rsidRPr="009B04A5">
        <w:rPr>
          <w:rFonts w:ascii="Book Antiqua" w:hAnsi="Book Antiqua"/>
          <w:b/>
        </w:rPr>
        <w:t>142</w:t>
      </w:r>
      <w:r w:rsidRPr="009B04A5">
        <w:rPr>
          <w:rFonts w:ascii="Book Antiqua" w:hAnsi="Book Antiqua"/>
        </w:rPr>
        <w:t>: 77-87 [PMID: 26113450 DOI: 10.1007/s00432-015-1995-1]</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118 </w:t>
      </w:r>
      <w:r w:rsidRPr="009B04A5">
        <w:rPr>
          <w:rFonts w:ascii="Book Antiqua" w:hAnsi="Book Antiqua"/>
          <w:b/>
        </w:rPr>
        <w:t>Guo S</w:t>
      </w:r>
      <w:r w:rsidRPr="009B04A5">
        <w:rPr>
          <w:rFonts w:ascii="Book Antiqua" w:hAnsi="Book Antiqua"/>
        </w:rPr>
        <w:t xml:space="preserve">, Lu J, Schlanger R, Zhang H, Wang JY, Fox MC, Purton LE, Fleming HH, Cobb B, Merkenschlager M, Golub TR, Scadden DT. MicroRNA miR-125a controls hematopoietic stem cell number. </w:t>
      </w:r>
      <w:r w:rsidRPr="009B04A5">
        <w:rPr>
          <w:rFonts w:ascii="Book Antiqua" w:hAnsi="Book Antiqua"/>
          <w:i/>
        </w:rPr>
        <w:t>Proc Natl Acad Sci USA</w:t>
      </w:r>
      <w:r w:rsidRPr="009B04A5">
        <w:rPr>
          <w:rFonts w:ascii="Book Antiqua" w:hAnsi="Book Antiqua"/>
        </w:rPr>
        <w:t xml:space="preserve"> 2010; </w:t>
      </w:r>
      <w:r w:rsidRPr="009B04A5">
        <w:rPr>
          <w:rFonts w:ascii="Book Antiqua" w:hAnsi="Book Antiqua"/>
          <w:b/>
        </w:rPr>
        <w:t>107</w:t>
      </w:r>
      <w:r w:rsidRPr="009B04A5">
        <w:rPr>
          <w:rFonts w:ascii="Book Antiqua" w:hAnsi="Book Antiqua"/>
        </w:rPr>
        <w:t>: 14229-14234 [PMID: 20616003 DOI: 10.1073/pnas.0913574107]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119 </w:t>
      </w:r>
      <w:r w:rsidRPr="009B04A5">
        <w:rPr>
          <w:rFonts w:ascii="Book Antiqua" w:hAnsi="Book Antiqua"/>
          <w:b/>
        </w:rPr>
        <w:t>Chapiro E</w:t>
      </w:r>
      <w:r w:rsidRPr="009B04A5">
        <w:rPr>
          <w:rFonts w:ascii="Book Antiqua" w:hAnsi="Book Antiqua"/>
        </w:rPr>
        <w:t xml:space="preserve">, Russell LJ, Struski S, Cavé H, Radford-Weiss I, Valle VD, Lachenaud J, Brousset P, Bernard OA, Harrison CJ, Nguyen-Khac F. A new recurrent translocation t(11;14)(q24;q32) involving IGH@ and miR-125b-1 in B-cell progenitor acute lymphoblastic leukemia. </w:t>
      </w:r>
      <w:r w:rsidRPr="009B04A5">
        <w:rPr>
          <w:rFonts w:ascii="Book Antiqua" w:hAnsi="Book Antiqua"/>
          <w:i/>
        </w:rPr>
        <w:t>Leukemia</w:t>
      </w:r>
      <w:r w:rsidRPr="009B04A5">
        <w:rPr>
          <w:rFonts w:ascii="Book Antiqua" w:hAnsi="Book Antiqua"/>
        </w:rPr>
        <w:t xml:space="preserve"> 2010; </w:t>
      </w:r>
      <w:r w:rsidRPr="009B04A5">
        <w:rPr>
          <w:rFonts w:ascii="Book Antiqua" w:hAnsi="Book Antiqua"/>
          <w:b/>
        </w:rPr>
        <w:t>24</w:t>
      </w:r>
      <w:r w:rsidRPr="009B04A5">
        <w:rPr>
          <w:rFonts w:ascii="Book Antiqua" w:hAnsi="Book Antiqua"/>
        </w:rPr>
        <w:t>: 1362-1364 [PMID: 20485370 DOI: 10.1038/leu.2010.93]</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120 </w:t>
      </w:r>
      <w:r w:rsidRPr="009B04A5">
        <w:rPr>
          <w:rFonts w:ascii="Book Antiqua" w:hAnsi="Book Antiqua"/>
          <w:b/>
        </w:rPr>
        <w:t>Ufkin ML</w:t>
      </w:r>
      <w:r w:rsidRPr="009B04A5">
        <w:rPr>
          <w:rFonts w:ascii="Book Antiqua" w:hAnsi="Book Antiqua"/>
        </w:rPr>
        <w:t xml:space="preserve">, Peterson S, Yang X, Driscoll H, Duarte C, Sathyanarayana P. miR-125a regulates cell cycle, proliferation, and apoptosis by targeting the ErbB pathway </w:t>
      </w:r>
      <w:r w:rsidRPr="009B04A5">
        <w:rPr>
          <w:rFonts w:ascii="Book Antiqua" w:hAnsi="Book Antiqua"/>
        </w:rPr>
        <w:lastRenderedPageBreak/>
        <w:t xml:space="preserve">in acute myeloid leukemia. </w:t>
      </w:r>
      <w:r w:rsidRPr="009B04A5">
        <w:rPr>
          <w:rFonts w:ascii="Book Antiqua" w:hAnsi="Book Antiqua"/>
          <w:i/>
        </w:rPr>
        <w:t>Leuk Res</w:t>
      </w:r>
      <w:r w:rsidRPr="009B04A5">
        <w:rPr>
          <w:rFonts w:ascii="Book Antiqua" w:hAnsi="Book Antiqua"/>
        </w:rPr>
        <w:t xml:space="preserve"> 2014; </w:t>
      </w:r>
      <w:r w:rsidRPr="009B04A5">
        <w:rPr>
          <w:rFonts w:ascii="Book Antiqua" w:hAnsi="Book Antiqua"/>
          <w:b/>
        </w:rPr>
        <w:t>38</w:t>
      </w:r>
      <w:r w:rsidRPr="009B04A5">
        <w:rPr>
          <w:rFonts w:ascii="Book Antiqua" w:hAnsi="Book Antiqua"/>
        </w:rPr>
        <w:t>: 402-410 [PMID: 24484870 DOI: 10.1016/j.leukres.2013.12.021]</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121 </w:t>
      </w:r>
      <w:r w:rsidRPr="009B04A5">
        <w:rPr>
          <w:rFonts w:ascii="Book Antiqua" w:hAnsi="Book Antiqua"/>
          <w:b/>
        </w:rPr>
        <w:t>Han BW</w:t>
      </w:r>
      <w:r w:rsidRPr="009B04A5">
        <w:rPr>
          <w:rFonts w:ascii="Book Antiqua" w:hAnsi="Book Antiqua"/>
        </w:rPr>
        <w:t xml:space="preserve">, Feng DD, Li ZG, Luo XQ, Zhang H, Li XJ, Zhang XJ, Zheng LL, Zeng CW, Lin KY, Zhang P, Xu L, Chen YQ. A set of miRNAs that involve in the pathways of drug resistance and leukemic stem-cell differentiation is associated with the risk of relapse and glucocorticoid response in childhood ALL. </w:t>
      </w:r>
      <w:r w:rsidRPr="009B04A5">
        <w:rPr>
          <w:rFonts w:ascii="Book Antiqua" w:hAnsi="Book Antiqua"/>
          <w:i/>
        </w:rPr>
        <w:t>Hum Mol Genet</w:t>
      </w:r>
      <w:r w:rsidRPr="009B04A5">
        <w:rPr>
          <w:rFonts w:ascii="Book Antiqua" w:hAnsi="Book Antiqua"/>
        </w:rPr>
        <w:t xml:space="preserve"> 2011; </w:t>
      </w:r>
      <w:r w:rsidRPr="009B04A5">
        <w:rPr>
          <w:rFonts w:ascii="Book Antiqua" w:hAnsi="Book Antiqua"/>
          <w:b/>
        </w:rPr>
        <w:t>20</w:t>
      </w:r>
      <w:r w:rsidRPr="009B04A5">
        <w:rPr>
          <w:rFonts w:ascii="Book Antiqua" w:hAnsi="Book Antiqua"/>
        </w:rPr>
        <w:t>: 4903-4915 [PMID: 21926415 DOI: 10.1093/hmg/ddr428]</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122 </w:t>
      </w:r>
      <w:r w:rsidRPr="009B04A5">
        <w:rPr>
          <w:rFonts w:ascii="Book Antiqua" w:hAnsi="Book Antiqua"/>
          <w:b/>
        </w:rPr>
        <w:t>Schotte D</w:t>
      </w:r>
      <w:r w:rsidRPr="009B04A5">
        <w:rPr>
          <w:rFonts w:ascii="Book Antiqua" w:hAnsi="Book Antiqua"/>
        </w:rPr>
        <w:t xml:space="preserve">, Akbari Moqadam F, Lange-Turenhout EA, Chen C, van Ijcken WF, Pieters R, den Boer ML. Discovery of new microRNAs by small RNAome deep sequencing in childhood acute lymphoblastic leukemia. </w:t>
      </w:r>
      <w:r w:rsidRPr="009B04A5">
        <w:rPr>
          <w:rFonts w:ascii="Book Antiqua" w:hAnsi="Book Antiqua"/>
          <w:i/>
        </w:rPr>
        <w:t>Leukemia</w:t>
      </w:r>
      <w:r w:rsidRPr="009B04A5">
        <w:rPr>
          <w:rFonts w:ascii="Book Antiqua" w:hAnsi="Book Antiqua"/>
        </w:rPr>
        <w:t xml:space="preserve"> 2011; </w:t>
      </w:r>
      <w:r w:rsidRPr="009B04A5">
        <w:rPr>
          <w:rFonts w:ascii="Book Antiqua" w:hAnsi="Book Antiqua"/>
          <w:b/>
        </w:rPr>
        <w:t>25</w:t>
      </w:r>
      <w:r w:rsidRPr="009B04A5">
        <w:rPr>
          <w:rFonts w:ascii="Book Antiqua" w:hAnsi="Book Antiqua"/>
        </w:rPr>
        <w:t>: 1389-1399 [PMID: 21606961 DOI: 10.1038/leu.2011.105]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123 </w:t>
      </w:r>
      <w:r w:rsidRPr="009B04A5">
        <w:rPr>
          <w:rFonts w:ascii="Book Antiqua" w:hAnsi="Book Antiqua"/>
          <w:b/>
        </w:rPr>
        <w:t>Bank PC</w:t>
      </w:r>
      <w:r w:rsidRPr="009B04A5">
        <w:rPr>
          <w:rFonts w:ascii="Book Antiqua" w:hAnsi="Book Antiqua"/>
        </w:rPr>
        <w:t xml:space="preserve">, Swen JJ, Guchelaar HJ. Pharmacogenetic biomarkers for predicting drug response. </w:t>
      </w:r>
      <w:r w:rsidRPr="009B04A5">
        <w:rPr>
          <w:rFonts w:ascii="Book Antiqua" w:hAnsi="Book Antiqua"/>
          <w:i/>
        </w:rPr>
        <w:t>Expert Rev Mol Diagn</w:t>
      </w:r>
      <w:r w:rsidRPr="009B04A5">
        <w:rPr>
          <w:rFonts w:ascii="Book Antiqua" w:hAnsi="Book Antiqua"/>
        </w:rPr>
        <w:t xml:space="preserve"> 2014; </w:t>
      </w:r>
      <w:r w:rsidRPr="009B04A5">
        <w:rPr>
          <w:rFonts w:ascii="Book Antiqua" w:hAnsi="Book Antiqua"/>
          <w:b/>
        </w:rPr>
        <w:t>14</w:t>
      </w:r>
      <w:r w:rsidRPr="009B04A5">
        <w:rPr>
          <w:rFonts w:ascii="Book Antiqua" w:hAnsi="Book Antiqua"/>
        </w:rPr>
        <w:t>: 723-735 [PMID: 24857685 DOI: 10.1586/14737159.2014.923759]</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124 </w:t>
      </w:r>
      <w:r w:rsidRPr="009B04A5">
        <w:rPr>
          <w:rFonts w:ascii="Book Antiqua" w:hAnsi="Book Antiqua"/>
          <w:b/>
        </w:rPr>
        <w:t>Ma Y</w:t>
      </w:r>
      <w:r w:rsidRPr="009B04A5">
        <w:rPr>
          <w:rFonts w:ascii="Book Antiqua" w:hAnsi="Book Antiqua"/>
        </w:rPr>
        <w:t xml:space="preserve">, Ding Z, Qian Y, Shi X, Castranova V, Harner EJ, Guo L. Predicting cancer drug response by proteomic profiling. </w:t>
      </w:r>
      <w:r w:rsidRPr="009B04A5">
        <w:rPr>
          <w:rFonts w:ascii="Book Antiqua" w:hAnsi="Book Antiqua"/>
          <w:i/>
        </w:rPr>
        <w:t>Clin Cancer Res</w:t>
      </w:r>
      <w:r w:rsidRPr="009B04A5">
        <w:rPr>
          <w:rFonts w:ascii="Book Antiqua" w:hAnsi="Book Antiqua"/>
        </w:rPr>
        <w:t xml:space="preserve"> 2006; </w:t>
      </w:r>
      <w:r w:rsidRPr="009B04A5">
        <w:rPr>
          <w:rFonts w:ascii="Book Antiqua" w:hAnsi="Book Antiqua"/>
          <w:b/>
        </w:rPr>
        <w:t>12</w:t>
      </w:r>
      <w:r w:rsidRPr="009B04A5">
        <w:rPr>
          <w:rFonts w:ascii="Book Antiqua" w:hAnsi="Book Antiqua"/>
        </w:rPr>
        <w:t>: 4583-4589 [PMID: 16899605 DOI: 10.1158/1078-0432.CCR-06-0290]</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125 </w:t>
      </w:r>
      <w:r w:rsidRPr="009B04A5">
        <w:rPr>
          <w:rFonts w:ascii="Book Antiqua" w:hAnsi="Book Antiqua"/>
          <w:b/>
        </w:rPr>
        <w:t>Robert J</w:t>
      </w:r>
      <w:r w:rsidRPr="009B04A5">
        <w:rPr>
          <w:rFonts w:ascii="Book Antiqua" w:hAnsi="Book Antiqua"/>
        </w:rPr>
        <w:t xml:space="preserve">, Morvan VL, Smith D, Pourquier P, Bonnet J. Predicting drug response and toxicity based on gene polymorphisms. </w:t>
      </w:r>
      <w:r w:rsidRPr="009B04A5">
        <w:rPr>
          <w:rFonts w:ascii="Book Antiqua" w:hAnsi="Book Antiqua"/>
          <w:i/>
        </w:rPr>
        <w:t>Crit Rev Oncol Hematol</w:t>
      </w:r>
      <w:r w:rsidRPr="009B04A5">
        <w:rPr>
          <w:rFonts w:ascii="Book Antiqua" w:hAnsi="Book Antiqua"/>
        </w:rPr>
        <w:t xml:space="preserve"> 2005; </w:t>
      </w:r>
      <w:r w:rsidRPr="009B04A5">
        <w:rPr>
          <w:rFonts w:ascii="Book Antiqua" w:hAnsi="Book Antiqua"/>
          <w:b/>
        </w:rPr>
        <w:t>54</w:t>
      </w:r>
      <w:r w:rsidRPr="009B04A5">
        <w:rPr>
          <w:rFonts w:ascii="Book Antiqua" w:hAnsi="Book Antiqua"/>
        </w:rPr>
        <w:t>: 171-196 [PMID: 15890268 DOI: 10.1016/j.critrevonc.2005.01.005]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126 </w:t>
      </w:r>
      <w:r w:rsidRPr="009B04A5">
        <w:rPr>
          <w:rFonts w:ascii="Book Antiqua" w:hAnsi="Book Antiqua"/>
          <w:b/>
        </w:rPr>
        <w:t>Robert J</w:t>
      </w:r>
      <w:r w:rsidRPr="009B04A5">
        <w:rPr>
          <w:rFonts w:ascii="Book Antiqua" w:hAnsi="Book Antiqua"/>
        </w:rPr>
        <w:t xml:space="preserve">, Vekris A, Pourquier P, Bonnet J. Predicting drug response based on gene expression. </w:t>
      </w:r>
      <w:r w:rsidRPr="009B04A5">
        <w:rPr>
          <w:rFonts w:ascii="Book Antiqua" w:hAnsi="Book Antiqua"/>
          <w:i/>
        </w:rPr>
        <w:t>Crit Rev Oncol Hematol</w:t>
      </w:r>
      <w:r w:rsidRPr="009B04A5">
        <w:rPr>
          <w:rFonts w:ascii="Book Antiqua" w:hAnsi="Book Antiqua"/>
        </w:rPr>
        <w:t xml:space="preserve"> 2004; </w:t>
      </w:r>
      <w:r w:rsidRPr="009B04A5">
        <w:rPr>
          <w:rFonts w:ascii="Book Antiqua" w:hAnsi="Book Antiqua"/>
          <w:b/>
        </w:rPr>
        <w:t>51</w:t>
      </w:r>
      <w:r w:rsidRPr="009B04A5">
        <w:rPr>
          <w:rFonts w:ascii="Book Antiqua" w:hAnsi="Book Antiqua"/>
        </w:rPr>
        <w:t>: 205-227 [PMID: 15331079 DOI: 10.1016/j.critrevonc.2004.06.002]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127 </w:t>
      </w:r>
      <w:r w:rsidRPr="009B04A5">
        <w:rPr>
          <w:rFonts w:ascii="Book Antiqua" w:hAnsi="Book Antiqua"/>
          <w:b/>
        </w:rPr>
        <w:t>Greaves M</w:t>
      </w:r>
      <w:r w:rsidRPr="009B04A5">
        <w:rPr>
          <w:rFonts w:ascii="Book Antiqua" w:hAnsi="Book Antiqua"/>
        </w:rPr>
        <w:t xml:space="preserve">. Childhood leukaemia. </w:t>
      </w:r>
      <w:r w:rsidRPr="009B04A5">
        <w:rPr>
          <w:rFonts w:ascii="Book Antiqua" w:hAnsi="Book Antiqua"/>
          <w:i/>
        </w:rPr>
        <w:t>BMJ</w:t>
      </w:r>
      <w:r w:rsidRPr="009B04A5">
        <w:rPr>
          <w:rFonts w:ascii="Book Antiqua" w:hAnsi="Book Antiqua"/>
        </w:rPr>
        <w:t xml:space="preserve"> 2002; </w:t>
      </w:r>
      <w:r w:rsidRPr="009B04A5">
        <w:rPr>
          <w:rFonts w:ascii="Book Antiqua" w:hAnsi="Book Antiqua"/>
          <w:b/>
        </w:rPr>
        <w:t>324</w:t>
      </w:r>
      <w:r w:rsidRPr="009B04A5">
        <w:rPr>
          <w:rFonts w:ascii="Book Antiqua" w:hAnsi="Book Antiqua"/>
        </w:rPr>
        <w:t>: 283-287 [PMID: 11823363 DOI: 10.1136/bmj.324.7332.283]</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128 </w:t>
      </w:r>
      <w:r w:rsidRPr="009B04A5">
        <w:rPr>
          <w:rFonts w:ascii="Book Antiqua" w:hAnsi="Book Antiqua"/>
          <w:b/>
        </w:rPr>
        <w:t>Pui CH</w:t>
      </w:r>
      <w:r w:rsidRPr="009B04A5">
        <w:rPr>
          <w:rFonts w:ascii="Book Antiqua" w:hAnsi="Book Antiqua"/>
        </w:rPr>
        <w:t xml:space="preserve">. Recent research advances in childhood acute lymphoblastic leukemia. </w:t>
      </w:r>
      <w:r w:rsidRPr="009B04A5">
        <w:rPr>
          <w:rFonts w:ascii="Book Antiqua" w:hAnsi="Book Antiqua"/>
          <w:i/>
        </w:rPr>
        <w:t>J Formos Med Assoc</w:t>
      </w:r>
      <w:r w:rsidRPr="009B04A5">
        <w:rPr>
          <w:rFonts w:ascii="Book Antiqua" w:hAnsi="Book Antiqua"/>
        </w:rPr>
        <w:t xml:space="preserve"> 2010; </w:t>
      </w:r>
      <w:r w:rsidRPr="009B04A5">
        <w:rPr>
          <w:rFonts w:ascii="Book Antiqua" w:hAnsi="Book Antiqua"/>
          <w:b/>
        </w:rPr>
        <w:t>109</w:t>
      </w:r>
      <w:r w:rsidRPr="009B04A5">
        <w:rPr>
          <w:rFonts w:ascii="Book Antiqua" w:hAnsi="Book Antiqua"/>
        </w:rPr>
        <w:t>: 777-787 [PMID: 21126650 DOI: 10.1016/S0929-6646(10)60123-4]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129 </w:t>
      </w:r>
      <w:r w:rsidRPr="009B04A5">
        <w:rPr>
          <w:rFonts w:ascii="Book Antiqua" w:hAnsi="Book Antiqua"/>
          <w:b/>
        </w:rPr>
        <w:t>Zhu L</w:t>
      </w:r>
      <w:r w:rsidRPr="009B04A5">
        <w:rPr>
          <w:rFonts w:ascii="Book Antiqua" w:hAnsi="Book Antiqua"/>
        </w:rPr>
        <w:t xml:space="preserve">, Liu J, Liang F, Rayner S, Xiong J. Predicting response to preoperative chemotherapy agents by identifying drug action on modeled microRNA regulation </w:t>
      </w:r>
      <w:r w:rsidRPr="009B04A5">
        <w:rPr>
          <w:rFonts w:ascii="Book Antiqua" w:hAnsi="Book Antiqua"/>
        </w:rPr>
        <w:lastRenderedPageBreak/>
        <w:t xml:space="preserve">networks. </w:t>
      </w:r>
      <w:r w:rsidRPr="009B04A5">
        <w:rPr>
          <w:rFonts w:ascii="Book Antiqua" w:hAnsi="Book Antiqua"/>
          <w:i/>
        </w:rPr>
        <w:t>PLoS One</w:t>
      </w:r>
      <w:r w:rsidRPr="009B04A5">
        <w:rPr>
          <w:rFonts w:ascii="Book Antiqua" w:hAnsi="Book Antiqua"/>
        </w:rPr>
        <w:t xml:space="preserve"> 2014; </w:t>
      </w:r>
      <w:r w:rsidRPr="009B04A5">
        <w:rPr>
          <w:rFonts w:ascii="Book Antiqua" w:hAnsi="Book Antiqua"/>
          <w:b/>
        </w:rPr>
        <w:t>9</w:t>
      </w:r>
      <w:r w:rsidRPr="009B04A5">
        <w:rPr>
          <w:rFonts w:ascii="Book Antiqua" w:hAnsi="Book Antiqua"/>
        </w:rPr>
        <w:t>: e98140 [PMID: 24848634 DOI: 10.1371/journal.pone.0098140]</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130 </w:t>
      </w:r>
      <w:r w:rsidRPr="009B04A5">
        <w:rPr>
          <w:rFonts w:ascii="Book Antiqua" w:hAnsi="Book Antiqua"/>
          <w:b/>
        </w:rPr>
        <w:t>Alaoui-Jamali MA</w:t>
      </w:r>
      <w:r w:rsidRPr="009B04A5">
        <w:rPr>
          <w:rFonts w:ascii="Book Antiqua" w:hAnsi="Book Antiqua"/>
        </w:rPr>
        <w:t xml:space="preserve">, Dupré I, Qiang H. Prediction of drug sensitivity and drug resistance in cancer by transcriptional and proteomic profiling. </w:t>
      </w:r>
      <w:r w:rsidRPr="009B04A5">
        <w:rPr>
          <w:rFonts w:ascii="Book Antiqua" w:hAnsi="Book Antiqua"/>
          <w:i/>
        </w:rPr>
        <w:t>Drug Resist Updat</w:t>
      </w:r>
      <w:r w:rsidRPr="009B04A5">
        <w:rPr>
          <w:rFonts w:ascii="Book Antiqua" w:hAnsi="Book Antiqua"/>
        </w:rPr>
        <w:t xml:space="preserve"> 2004; </w:t>
      </w:r>
      <w:r w:rsidRPr="009B04A5">
        <w:rPr>
          <w:rFonts w:ascii="Book Antiqua" w:hAnsi="Book Antiqua"/>
          <w:b/>
        </w:rPr>
        <w:t>7</w:t>
      </w:r>
      <w:r w:rsidRPr="009B04A5">
        <w:rPr>
          <w:rFonts w:ascii="Book Antiqua" w:hAnsi="Book Antiqua"/>
        </w:rPr>
        <w:t>: 245-255 [PMID: 15533762 DOI: 10.1016/j.drup.2004.06.004]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131 </w:t>
      </w:r>
      <w:r w:rsidRPr="009B04A5">
        <w:rPr>
          <w:rFonts w:ascii="Book Antiqua" w:hAnsi="Book Antiqua"/>
          <w:b/>
        </w:rPr>
        <w:t>Bhatla T</w:t>
      </w:r>
      <w:r w:rsidRPr="009B04A5">
        <w:rPr>
          <w:rFonts w:ascii="Book Antiqua" w:hAnsi="Book Antiqua"/>
        </w:rPr>
        <w:t xml:space="preserve">, Jones CL, Meyer JA, Vitanza NA, Raetz EA, Carroll WL. The biology of relapsed acute lymphoblastic leukemia: opportunities for therapeutic interventions. </w:t>
      </w:r>
      <w:r w:rsidRPr="009B04A5">
        <w:rPr>
          <w:rFonts w:ascii="Book Antiqua" w:hAnsi="Book Antiqua"/>
          <w:i/>
        </w:rPr>
        <w:t>J Pediatr Hematol Oncol</w:t>
      </w:r>
      <w:r w:rsidRPr="009B04A5">
        <w:rPr>
          <w:rFonts w:ascii="Book Antiqua" w:hAnsi="Book Antiqua"/>
        </w:rPr>
        <w:t xml:space="preserve"> 2014; </w:t>
      </w:r>
      <w:r w:rsidRPr="009B04A5">
        <w:rPr>
          <w:rFonts w:ascii="Book Antiqua" w:hAnsi="Book Antiqua"/>
          <w:b/>
        </w:rPr>
        <w:t>36</w:t>
      </w:r>
      <w:r w:rsidRPr="009B04A5">
        <w:rPr>
          <w:rFonts w:ascii="Book Antiqua" w:hAnsi="Book Antiqua"/>
        </w:rPr>
        <w:t>: 413-418 [PMID: 24942023 DOI: 10.1097/MPH.0000000000000179]</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132 </w:t>
      </w:r>
      <w:r w:rsidRPr="009B04A5">
        <w:rPr>
          <w:rFonts w:ascii="Book Antiqua" w:hAnsi="Book Antiqua"/>
          <w:b/>
        </w:rPr>
        <w:t>Ghodousi ES</w:t>
      </w:r>
      <w:r w:rsidRPr="009B04A5">
        <w:rPr>
          <w:rFonts w:ascii="Book Antiqua" w:hAnsi="Book Antiqua"/>
        </w:rPr>
        <w:t xml:space="preserve">, Rahgozar S. MicroRNA-326 and microRNA-200c: Two novel biomarkers for diagnosis and prognosis of pediatric acute lymphoblastic leukemia. </w:t>
      </w:r>
      <w:r w:rsidRPr="009B04A5">
        <w:rPr>
          <w:rFonts w:ascii="Book Antiqua" w:hAnsi="Book Antiqua"/>
          <w:i/>
        </w:rPr>
        <w:t>J Cell Biochem</w:t>
      </w:r>
      <w:r w:rsidRPr="009B04A5">
        <w:rPr>
          <w:rFonts w:ascii="Book Antiqua" w:hAnsi="Book Antiqua"/>
        </w:rPr>
        <w:t xml:space="preserve"> 2018; </w:t>
      </w:r>
      <w:r w:rsidRPr="009B04A5">
        <w:rPr>
          <w:rFonts w:ascii="Book Antiqua" w:hAnsi="Book Antiqua"/>
          <w:b/>
        </w:rPr>
        <w:t>119</w:t>
      </w:r>
      <w:r w:rsidRPr="009B04A5">
        <w:rPr>
          <w:rFonts w:ascii="Book Antiqua" w:hAnsi="Book Antiqua"/>
        </w:rPr>
        <w:t>: 6024-6032 [PMID: 29630744 DOI: 10.1002/jcb.26800]</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133 </w:t>
      </w:r>
      <w:r w:rsidRPr="009B04A5">
        <w:rPr>
          <w:rFonts w:ascii="Book Antiqua" w:hAnsi="Book Antiqua"/>
          <w:b/>
        </w:rPr>
        <w:t>El-Khazragy N</w:t>
      </w:r>
      <w:r w:rsidRPr="009B04A5">
        <w:rPr>
          <w:rFonts w:ascii="Book Antiqua" w:hAnsi="Book Antiqua"/>
        </w:rPr>
        <w:t xml:space="preserve">, Elshimy AA, Hassan SS, Matbouly S, Safwat G, Zannoun M, Riad RA. Dysregulation of miR-125b predicts poor response to therapy in pediatric acute lymphoblastic leukemia. </w:t>
      </w:r>
      <w:r w:rsidRPr="009B04A5">
        <w:rPr>
          <w:rFonts w:ascii="Book Antiqua" w:hAnsi="Book Antiqua"/>
          <w:i/>
        </w:rPr>
        <w:t>J Cell Biochem</w:t>
      </w:r>
      <w:r w:rsidRPr="009B04A5">
        <w:rPr>
          <w:rFonts w:ascii="Book Antiqua" w:hAnsi="Book Antiqua"/>
        </w:rPr>
        <w:t xml:space="preserve"> 2018 [PMID: 30390332 DOI: 10.1002/jcb.28017]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134 </w:t>
      </w:r>
      <w:r w:rsidRPr="009B04A5">
        <w:rPr>
          <w:rFonts w:ascii="Book Antiqua" w:hAnsi="Book Antiqua"/>
          <w:b/>
        </w:rPr>
        <w:t>Gefen N</w:t>
      </w:r>
      <w:r w:rsidRPr="009B04A5">
        <w:rPr>
          <w:rFonts w:ascii="Book Antiqua" w:hAnsi="Book Antiqua"/>
        </w:rPr>
        <w:t xml:space="preserve">, Binder V, Zaliova M, Linka Y, Morrow M, Novosel A, Edry L, Hertzberg L, Shomron N, Williams O, Trka J, Borkhardt A, Izraeli S. Hsa-mir-125b-2 is highly expressed in childhood ETV6/RUNX1 (TEL/AML1) leukemias and confers survival advantage to growth inhibitory signals independent of p53. </w:t>
      </w:r>
      <w:r w:rsidRPr="009B04A5">
        <w:rPr>
          <w:rFonts w:ascii="Book Antiqua" w:hAnsi="Book Antiqua"/>
          <w:i/>
        </w:rPr>
        <w:t>Leukemia</w:t>
      </w:r>
      <w:r w:rsidRPr="009B04A5">
        <w:rPr>
          <w:rFonts w:ascii="Book Antiqua" w:hAnsi="Book Antiqua"/>
        </w:rPr>
        <w:t xml:space="preserve"> 2010; </w:t>
      </w:r>
      <w:r w:rsidRPr="009B04A5">
        <w:rPr>
          <w:rFonts w:ascii="Book Antiqua" w:hAnsi="Book Antiqua"/>
          <w:b/>
        </w:rPr>
        <w:t>24</w:t>
      </w:r>
      <w:r w:rsidRPr="009B04A5">
        <w:rPr>
          <w:rFonts w:ascii="Book Antiqua" w:hAnsi="Book Antiqua"/>
        </w:rPr>
        <w:t>: 89-96 [PMID: 19890372 DOI: 10.1038/leu.2009.208]</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135 </w:t>
      </w:r>
      <w:r w:rsidRPr="009B04A5">
        <w:rPr>
          <w:rFonts w:ascii="Book Antiqua" w:hAnsi="Book Antiqua"/>
          <w:b/>
        </w:rPr>
        <w:t>Piatopoulou D</w:t>
      </w:r>
      <w:r w:rsidRPr="009B04A5">
        <w:rPr>
          <w:rFonts w:ascii="Book Antiqua" w:hAnsi="Book Antiqua"/>
        </w:rPr>
        <w:t xml:space="preserve">, Avgeris M, Marmarinos A, Xagorari M, Baka M, Doganis D, Kossiva L, Scorilas A, Gourgiotis D. miR-125b predicts childhood acute lymphoblastic leukaemia poor response to BFM chemotherapy treatment. </w:t>
      </w:r>
      <w:r w:rsidRPr="009B04A5">
        <w:rPr>
          <w:rFonts w:ascii="Book Antiqua" w:hAnsi="Book Antiqua"/>
          <w:i/>
        </w:rPr>
        <w:t>Br J Cancer</w:t>
      </w:r>
      <w:r w:rsidRPr="009B04A5">
        <w:rPr>
          <w:rFonts w:ascii="Book Antiqua" w:hAnsi="Book Antiqua"/>
        </w:rPr>
        <w:t xml:space="preserve"> 2017; </w:t>
      </w:r>
      <w:r w:rsidRPr="009B04A5">
        <w:rPr>
          <w:rFonts w:ascii="Book Antiqua" w:hAnsi="Book Antiqua"/>
          <w:b/>
        </w:rPr>
        <w:t>117</w:t>
      </w:r>
      <w:r w:rsidRPr="009B04A5">
        <w:rPr>
          <w:rFonts w:ascii="Book Antiqua" w:hAnsi="Book Antiqua"/>
        </w:rPr>
        <w:t>: 801-812 [PMID: 28787435 DOI: 10.1038/bjc.2017.256]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136 </w:t>
      </w:r>
      <w:r w:rsidRPr="009B04A5">
        <w:rPr>
          <w:rFonts w:ascii="Book Antiqua" w:hAnsi="Book Antiqua"/>
          <w:b/>
        </w:rPr>
        <w:t>Ovcharenko D</w:t>
      </w:r>
      <w:r w:rsidRPr="009B04A5">
        <w:rPr>
          <w:rFonts w:ascii="Book Antiqua" w:hAnsi="Book Antiqua"/>
        </w:rPr>
        <w:t xml:space="preserve">, Kelnar K, Johnson C, Leng N, Brown D. Genome-scale microRNA and small interfering RNA screens identify small RNA modulators of TRAIL-induced apoptosis pathway. </w:t>
      </w:r>
      <w:r w:rsidRPr="009B04A5">
        <w:rPr>
          <w:rFonts w:ascii="Book Antiqua" w:hAnsi="Book Antiqua"/>
          <w:i/>
        </w:rPr>
        <w:t>Cancer Res</w:t>
      </w:r>
      <w:r w:rsidRPr="009B04A5">
        <w:rPr>
          <w:rFonts w:ascii="Book Antiqua" w:hAnsi="Book Antiqua"/>
        </w:rPr>
        <w:t xml:space="preserve"> 2007; </w:t>
      </w:r>
      <w:r w:rsidRPr="009B04A5">
        <w:rPr>
          <w:rFonts w:ascii="Book Antiqua" w:hAnsi="Book Antiqua"/>
          <w:b/>
        </w:rPr>
        <w:t>67</w:t>
      </w:r>
      <w:r w:rsidRPr="009B04A5">
        <w:rPr>
          <w:rFonts w:ascii="Book Antiqua" w:hAnsi="Book Antiqua"/>
        </w:rPr>
        <w:t>: 10782-10788 [PMID: 18006822 DOI: 10.1158/0008-5472.CAN-07-1484]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137 </w:t>
      </w:r>
      <w:r w:rsidRPr="009B04A5">
        <w:rPr>
          <w:rFonts w:ascii="Book Antiqua" w:hAnsi="Book Antiqua"/>
          <w:b/>
        </w:rPr>
        <w:t>Agirre X</w:t>
      </w:r>
      <w:r w:rsidRPr="009B04A5">
        <w:rPr>
          <w:rFonts w:ascii="Book Antiqua" w:hAnsi="Book Antiqua"/>
        </w:rPr>
        <w:t xml:space="preserve">, Jiménez-Velasco A, San José-Enériz E, Garate L, Bandrés E, Cordeu L, Aparicio O, Saez B, Navarro G, Vilas-Zornoza A, Pérez-Roger I, García-Foncillas J, </w:t>
      </w:r>
      <w:r w:rsidRPr="009B04A5">
        <w:rPr>
          <w:rFonts w:ascii="Book Antiqua" w:hAnsi="Book Antiqua"/>
        </w:rPr>
        <w:lastRenderedPageBreak/>
        <w:t xml:space="preserve">Torres A, Heiniger A, Calasanz MJ, Fortes P, Román-Gómez J, Prósper F. Down-regulation of hsa-miR-10a in chronic myeloid leukemia CD34+ cells increases USF2-mediated cell growth. </w:t>
      </w:r>
      <w:r w:rsidRPr="009B04A5">
        <w:rPr>
          <w:rFonts w:ascii="Book Antiqua" w:hAnsi="Book Antiqua"/>
          <w:i/>
        </w:rPr>
        <w:t>Mol Cancer Res</w:t>
      </w:r>
      <w:r w:rsidRPr="009B04A5">
        <w:rPr>
          <w:rFonts w:ascii="Book Antiqua" w:hAnsi="Book Antiqua"/>
        </w:rPr>
        <w:t xml:space="preserve"> 2008; </w:t>
      </w:r>
      <w:r w:rsidRPr="009B04A5">
        <w:rPr>
          <w:rFonts w:ascii="Book Antiqua" w:hAnsi="Book Antiqua"/>
          <w:b/>
        </w:rPr>
        <w:t>6</w:t>
      </w:r>
      <w:r w:rsidRPr="009B04A5">
        <w:rPr>
          <w:rFonts w:ascii="Book Antiqua" w:hAnsi="Book Antiqua"/>
        </w:rPr>
        <w:t>: 1830-1840 [PMID: 19074828 DOI: 10.1158/1541-7786.MCR-08-0167]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138 </w:t>
      </w:r>
      <w:r w:rsidRPr="009B04A5">
        <w:rPr>
          <w:rFonts w:ascii="Book Antiqua" w:hAnsi="Book Antiqua"/>
          <w:b/>
        </w:rPr>
        <w:t>Yang Z</w:t>
      </w:r>
      <w:r w:rsidRPr="009B04A5">
        <w:rPr>
          <w:rFonts w:ascii="Book Antiqua" w:hAnsi="Book Antiqua"/>
        </w:rPr>
        <w:t xml:space="preserve">, Chen S, Luan X, Li Y, Liu M, Li X, Liu T, Tang H. MicroRNA-214 is aberrantly expressed in cervical cancers and inhibits the growth of HeLa cells. </w:t>
      </w:r>
      <w:r w:rsidRPr="009B04A5">
        <w:rPr>
          <w:rFonts w:ascii="Book Antiqua" w:hAnsi="Book Antiqua"/>
          <w:i/>
        </w:rPr>
        <w:t>IUBMB Life</w:t>
      </w:r>
      <w:r w:rsidRPr="009B04A5">
        <w:rPr>
          <w:rFonts w:ascii="Book Antiqua" w:hAnsi="Book Antiqua"/>
        </w:rPr>
        <w:t xml:space="preserve"> 2009; </w:t>
      </w:r>
      <w:r w:rsidRPr="009B04A5">
        <w:rPr>
          <w:rFonts w:ascii="Book Antiqua" w:hAnsi="Book Antiqua"/>
          <w:b/>
        </w:rPr>
        <w:t>61</w:t>
      </w:r>
      <w:r w:rsidRPr="009B04A5">
        <w:rPr>
          <w:rFonts w:ascii="Book Antiqua" w:hAnsi="Book Antiqua"/>
        </w:rPr>
        <w:t>: 1075-1082 [PMID: 19859982 DOI: 10.1002/iub.252]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139 </w:t>
      </w:r>
      <w:r w:rsidRPr="009B04A5">
        <w:rPr>
          <w:rFonts w:ascii="Book Antiqua" w:hAnsi="Book Antiqua"/>
          <w:b/>
        </w:rPr>
        <w:t>Zhang L</w:t>
      </w:r>
      <w:r w:rsidRPr="009B04A5">
        <w:rPr>
          <w:rFonts w:ascii="Book Antiqua" w:hAnsi="Book Antiqua"/>
        </w:rPr>
        <w:t xml:space="preserve">, Zheng Y, Sun Y, Zhang Y, Yan J, Chen Z, Jiang H. MiR-134-Mbd3 axis regulates the induction of pluripotency. </w:t>
      </w:r>
      <w:r w:rsidRPr="009B04A5">
        <w:rPr>
          <w:rFonts w:ascii="Book Antiqua" w:hAnsi="Book Antiqua"/>
          <w:i/>
        </w:rPr>
        <w:t>J Cell Mol Med</w:t>
      </w:r>
      <w:r w:rsidRPr="009B04A5">
        <w:rPr>
          <w:rFonts w:ascii="Book Antiqua" w:hAnsi="Book Antiqua"/>
        </w:rPr>
        <w:t xml:space="preserve"> 2016; </w:t>
      </w:r>
      <w:r w:rsidRPr="009B04A5">
        <w:rPr>
          <w:rFonts w:ascii="Book Antiqua" w:hAnsi="Book Antiqua"/>
          <w:b/>
        </w:rPr>
        <w:t>20</w:t>
      </w:r>
      <w:r w:rsidRPr="009B04A5">
        <w:rPr>
          <w:rFonts w:ascii="Book Antiqua" w:hAnsi="Book Antiqua"/>
        </w:rPr>
        <w:t>: 1150-1158 [PMID: 26929159 DOI: 10.1111/jcmm.12805]</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140 </w:t>
      </w:r>
      <w:r w:rsidRPr="009B04A5">
        <w:rPr>
          <w:rFonts w:ascii="Book Antiqua" w:hAnsi="Book Antiqua"/>
          <w:b/>
        </w:rPr>
        <w:t>Akbari Moqadam F</w:t>
      </w:r>
      <w:r w:rsidRPr="009B04A5">
        <w:rPr>
          <w:rFonts w:ascii="Book Antiqua" w:hAnsi="Book Antiqua"/>
        </w:rPr>
        <w:t xml:space="preserve">, Lange-Turenhout EA, Ariës IM, Pieters R, den Boer ML. MiR-125b, miR-100 and miR-99a co-regulate vincristine resistance in childhood acute lymphoblastic leukemia. </w:t>
      </w:r>
      <w:r w:rsidRPr="009B04A5">
        <w:rPr>
          <w:rFonts w:ascii="Book Antiqua" w:hAnsi="Book Antiqua"/>
          <w:i/>
        </w:rPr>
        <w:t>Leuk Res</w:t>
      </w:r>
      <w:r w:rsidRPr="009B04A5">
        <w:rPr>
          <w:rFonts w:ascii="Book Antiqua" w:hAnsi="Book Antiqua"/>
        </w:rPr>
        <w:t xml:space="preserve"> 2013; </w:t>
      </w:r>
      <w:r w:rsidRPr="009B04A5">
        <w:rPr>
          <w:rFonts w:ascii="Book Antiqua" w:hAnsi="Book Antiqua"/>
          <w:b/>
        </w:rPr>
        <w:t>37</w:t>
      </w:r>
      <w:r w:rsidRPr="009B04A5">
        <w:rPr>
          <w:rFonts w:ascii="Book Antiqua" w:hAnsi="Book Antiqua"/>
        </w:rPr>
        <w:t>: 1315-1321 [PMID: 23915977 DOI: 10.1016/j.leukres.2013.06.027]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141 </w:t>
      </w:r>
      <w:r w:rsidRPr="009B04A5">
        <w:rPr>
          <w:rFonts w:ascii="Book Antiqua" w:hAnsi="Book Antiqua"/>
          <w:b/>
        </w:rPr>
        <w:t>Li Y</w:t>
      </w:r>
      <w:r w:rsidRPr="009B04A5">
        <w:rPr>
          <w:rFonts w:ascii="Book Antiqua" w:hAnsi="Book Antiqua"/>
        </w:rPr>
        <w:t xml:space="preserve">, Yuan Y, Tao K, Wang X, Xiao Q, Huang Z, Zhong L, Cao W, Wen J, Feng W. Inhibition of BCR/ABL protein expression by miR-203 sensitizes for imatinib mesylate. </w:t>
      </w:r>
      <w:r w:rsidRPr="009B04A5">
        <w:rPr>
          <w:rFonts w:ascii="Book Antiqua" w:hAnsi="Book Antiqua"/>
          <w:i/>
        </w:rPr>
        <w:t>PLoS One</w:t>
      </w:r>
      <w:r w:rsidRPr="009B04A5">
        <w:rPr>
          <w:rFonts w:ascii="Book Antiqua" w:hAnsi="Book Antiqua"/>
        </w:rPr>
        <w:t xml:space="preserve"> 2013; </w:t>
      </w:r>
      <w:r w:rsidRPr="009B04A5">
        <w:rPr>
          <w:rFonts w:ascii="Book Antiqua" w:hAnsi="Book Antiqua"/>
          <w:b/>
        </w:rPr>
        <w:t>8</w:t>
      </w:r>
      <w:r w:rsidRPr="009B04A5">
        <w:rPr>
          <w:rFonts w:ascii="Book Antiqua" w:hAnsi="Book Antiqua"/>
        </w:rPr>
        <w:t>: e61858 [PMID: 23613955 DOI: 10.1371/journal.pone.0061858]</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142 </w:t>
      </w:r>
      <w:r w:rsidRPr="009B04A5">
        <w:rPr>
          <w:rFonts w:ascii="Book Antiqua" w:hAnsi="Book Antiqua"/>
          <w:b/>
        </w:rPr>
        <w:t>Bueno MJ</w:t>
      </w:r>
      <w:r w:rsidRPr="009B04A5">
        <w:rPr>
          <w:rFonts w:ascii="Book Antiqua" w:hAnsi="Book Antiqua"/>
        </w:rPr>
        <w:t xml:space="preserve">, Pérez de Castro I, Gómez de Cedrón M, Santos J, Calin GA, Cigudosa JC, Croce CM, Fernández-Piqueras J, Malumbres M. Genetic and epigenetic silencing of microRNA-203 enhances ABL1 and BCR-ABL1 oncogene expression. </w:t>
      </w:r>
      <w:r w:rsidRPr="009B04A5">
        <w:rPr>
          <w:rFonts w:ascii="Book Antiqua" w:hAnsi="Book Antiqua"/>
          <w:i/>
        </w:rPr>
        <w:t>Cancer Cell</w:t>
      </w:r>
      <w:r w:rsidRPr="009B04A5">
        <w:rPr>
          <w:rFonts w:ascii="Book Antiqua" w:hAnsi="Book Antiqua"/>
        </w:rPr>
        <w:t xml:space="preserve"> 2008; </w:t>
      </w:r>
      <w:r w:rsidRPr="009B04A5">
        <w:rPr>
          <w:rFonts w:ascii="Book Antiqua" w:hAnsi="Book Antiqua"/>
          <w:b/>
        </w:rPr>
        <w:t>13</w:t>
      </w:r>
      <w:r w:rsidRPr="009B04A5">
        <w:rPr>
          <w:rFonts w:ascii="Book Antiqua" w:hAnsi="Book Antiqua"/>
        </w:rPr>
        <w:t>: 496-506 [PMID: 18538733 DOI: 10.1016/j.ccr.2008.04.018]</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143 </w:t>
      </w:r>
      <w:r w:rsidRPr="009B04A5">
        <w:rPr>
          <w:rFonts w:ascii="Book Antiqua" w:hAnsi="Book Antiqua"/>
          <w:b/>
        </w:rPr>
        <w:t>Xu L</w:t>
      </w:r>
      <w:r w:rsidRPr="009B04A5">
        <w:rPr>
          <w:rFonts w:ascii="Book Antiqua" w:hAnsi="Book Antiqua"/>
        </w:rPr>
        <w:t xml:space="preserve">, Liang YN, Luo XQ, Liu XD, Guo HX. [Association of miRNAs expression profiles with prognosis and relapse in childhood acute lymphoblastic leukemia]. </w:t>
      </w:r>
      <w:r w:rsidRPr="009B04A5">
        <w:rPr>
          <w:rFonts w:ascii="Book Antiqua" w:hAnsi="Book Antiqua"/>
          <w:i/>
        </w:rPr>
        <w:t>Zhonghua Xue Ye Xue Za Zhi</w:t>
      </w:r>
      <w:r w:rsidRPr="009B04A5">
        <w:rPr>
          <w:rFonts w:ascii="Book Antiqua" w:hAnsi="Book Antiqua"/>
        </w:rPr>
        <w:t xml:space="preserve"> 2011; </w:t>
      </w:r>
      <w:r w:rsidRPr="009B04A5">
        <w:rPr>
          <w:rFonts w:ascii="Book Antiqua" w:hAnsi="Book Antiqua"/>
          <w:b/>
        </w:rPr>
        <w:t>32</w:t>
      </w:r>
      <w:r w:rsidRPr="009B04A5">
        <w:rPr>
          <w:rFonts w:ascii="Book Antiqua" w:hAnsi="Book Antiqua"/>
        </w:rPr>
        <w:t>: 178-181 [PMID: 21535956]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144 </w:t>
      </w:r>
      <w:r w:rsidRPr="009B04A5">
        <w:rPr>
          <w:rFonts w:ascii="Book Antiqua" w:hAnsi="Book Antiqua"/>
          <w:b/>
        </w:rPr>
        <w:t>Armstrong SA</w:t>
      </w:r>
      <w:r w:rsidRPr="009B04A5">
        <w:rPr>
          <w:rFonts w:ascii="Book Antiqua" w:hAnsi="Book Antiqua"/>
        </w:rPr>
        <w:t xml:space="preserve">, Look AT. Molecular genetics of acute lymphoblastic leukemia. </w:t>
      </w:r>
      <w:r w:rsidRPr="009B04A5">
        <w:rPr>
          <w:rFonts w:ascii="Book Antiqua" w:hAnsi="Book Antiqua"/>
          <w:i/>
        </w:rPr>
        <w:t>J Clin Oncol</w:t>
      </w:r>
      <w:r w:rsidRPr="009B04A5">
        <w:rPr>
          <w:rFonts w:ascii="Book Antiqua" w:hAnsi="Book Antiqua"/>
        </w:rPr>
        <w:t xml:space="preserve"> 2005; </w:t>
      </w:r>
      <w:r w:rsidRPr="009B04A5">
        <w:rPr>
          <w:rFonts w:ascii="Book Antiqua" w:hAnsi="Book Antiqua"/>
          <w:b/>
        </w:rPr>
        <w:t>23</w:t>
      </w:r>
      <w:r w:rsidRPr="009B04A5">
        <w:rPr>
          <w:rFonts w:ascii="Book Antiqua" w:hAnsi="Book Antiqua"/>
        </w:rPr>
        <w:t>: 6306-6315 [PMID: 16155013 DOI: 10.1200/JCO.2005.05.047]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145 </w:t>
      </w:r>
      <w:r w:rsidRPr="009B04A5">
        <w:rPr>
          <w:rFonts w:ascii="Book Antiqua" w:hAnsi="Book Antiqua"/>
          <w:b/>
        </w:rPr>
        <w:t>Harrison CJ</w:t>
      </w:r>
      <w:r w:rsidRPr="009B04A5">
        <w:rPr>
          <w:rFonts w:ascii="Book Antiqua" w:hAnsi="Book Antiqua"/>
        </w:rPr>
        <w:t xml:space="preserve">, Foroni L. Cytogenetics and molecular genetics of acute lymphoblastic leukemia. </w:t>
      </w:r>
      <w:r w:rsidRPr="009B04A5">
        <w:rPr>
          <w:rFonts w:ascii="Book Antiqua" w:hAnsi="Book Antiqua"/>
          <w:i/>
        </w:rPr>
        <w:t>Rev Clin Exp Hematol</w:t>
      </w:r>
      <w:r w:rsidRPr="009B04A5">
        <w:rPr>
          <w:rFonts w:ascii="Book Antiqua" w:hAnsi="Book Antiqua"/>
        </w:rPr>
        <w:t xml:space="preserve"> 2002; </w:t>
      </w:r>
      <w:r w:rsidRPr="009B04A5">
        <w:rPr>
          <w:rFonts w:ascii="Book Antiqua" w:hAnsi="Book Antiqua"/>
          <w:b/>
        </w:rPr>
        <w:t>6</w:t>
      </w:r>
      <w:r w:rsidRPr="009B04A5">
        <w:rPr>
          <w:rFonts w:ascii="Book Antiqua" w:hAnsi="Book Antiqua"/>
        </w:rPr>
        <w:t>: 91-113; discussion 200-</w:t>
      </w:r>
      <w:r w:rsidR="00C709AE" w:rsidRPr="009B04A5">
        <w:rPr>
          <w:rFonts w:ascii="Book Antiqua" w:hAnsi="Book Antiqua"/>
        </w:rPr>
        <w:t>20</w:t>
      </w:r>
      <w:r w:rsidRPr="009B04A5">
        <w:rPr>
          <w:rFonts w:ascii="Book Antiqua" w:hAnsi="Book Antiqua"/>
        </w:rPr>
        <w:t>2 [PMID: 12196211 DOI: 10.1046/j.1468-0734.2002.00069.x]</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lastRenderedPageBreak/>
        <w:t xml:space="preserve">146 </w:t>
      </w:r>
      <w:r w:rsidRPr="009B04A5">
        <w:rPr>
          <w:rFonts w:ascii="Book Antiqua" w:hAnsi="Book Antiqua"/>
          <w:b/>
        </w:rPr>
        <w:t>Mullighan CG</w:t>
      </w:r>
      <w:r w:rsidRPr="009B04A5">
        <w:rPr>
          <w:rFonts w:ascii="Book Antiqua" w:hAnsi="Book Antiqua"/>
        </w:rPr>
        <w:t xml:space="preserve">. Molecular genetics of B-precursor acute lymphoblastic leukemia. </w:t>
      </w:r>
      <w:r w:rsidRPr="009B04A5">
        <w:rPr>
          <w:rFonts w:ascii="Book Antiqua" w:hAnsi="Book Antiqua"/>
          <w:i/>
        </w:rPr>
        <w:t>J Clin Invest</w:t>
      </w:r>
      <w:r w:rsidRPr="009B04A5">
        <w:rPr>
          <w:rFonts w:ascii="Book Antiqua" w:hAnsi="Book Antiqua"/>
        </w:rPr>
        <w:t xml:space="preserve"> 2012; </w:t>
      </w:r>
      <w:r w:rsidRPr="009B04A5">
        <w:rPr>
          <w:rFonts w:ascii="Book Antiqua" w:hAnsi="Book Antiqua"/>
          <w:b/>
        </w:rPr>
        <w:t>122</w:t>
      </w:r>
      <w:r w:rsidRPr="009B04A5">
        <w:rPr>
          <w:rFonts w:ascii="Book Antiqua" w:hAnsi="Book Antiqua"/>
        </w:rPr>
        <w:t>: 3407-3415 [PMID: 23023711 DOI: 10.1172/JCI61203]</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147 </w:t>
      </w:r>
      <w:r w:rsidRPr="009B04A5">
        <w:rPr>
          <w:rFonts w:ascii="Book Antiqua" w:hAnsi="Book Antiqua"/>
          <w:b/>
        </w:rPr>
        <w:t>Gambari R</w:t>
      </w:r>
      <w:r w:rsidRPr="009B04A5">
        <w:rPr>
          <w:rFonts w:ascii="Book Antiqua" w:hAnsi="Book Antiqua"/>
        </w:rPr>
        <w:t xml:space="preserve">, Brognara E, Spandidos DA, Fabbri E. Targeting oncomiRNAs and mimicking tumor suppressor miRNAs: Νew trends in the development of miRNA therapeutic strategies in oncology (Review). </w:t>
      </w:r>
      <w:r w:rsidRPr="009B04A5">
        <w:rPr>
          <w:rFonts w:ascii="Book Antiqua" w:hAnsi="Book Antiqua"/>
          <w:i/>
        </w:rPr>
        <w:t>Int J Oncol</w:t>
      </w:r>
      <w:r w:rsidRPr="009B04A5">
        <w:rPr>
          <w:rFonts w:ascii="Book Antiqua" w:hAnsi="Book Antiqua"/>
        </w:rPr>
        <w:t xml:space="preserve"> 2016; </w:t>
      </w:r>
      <w:r w:rsidRPr="009B04A5">
        <w:rPr>
          <w:rFonts w:ascii="Book Antiqua" w:hAnsi="Book Antiqua"/>
          <w:b/>
        </w:rPr>
        <w:t>49</w:t>
      </w:r>
      <w:r w:rsidRPr="009B04A5">
        <w:rPr>
          <w:rFonts w:ascii="Book Antiqua" w:hAnsi="Book Antiqua"/>
        </w:rPr>
        <w:t>: 5-32 [PMID: 27175518 DOI: 10.3892/ijo.2016.3503]</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148 </w:t>
      </w:r>
      <w:r w:rsidRPr="009B04A5">
        <w:rPr>
          <w:rFonts w:ascii="Book Antiqua" w:hAnsi="Book Antiqua"/>
          <w:b/>
        </w:rPr>
        <w:t>Lee SWL</w:t>
      </w:r>
      <w:r w:rsidRPr="009B04A5">
        <w:rPr>
          <w:rFonts w:ascii="Book Antiqua" w:hAnsi="Book Antiqua"/>
        </w:rPr>
        <w:t xml:space="preserve">, Paoletti C, Campisi M, Osaki T, Adriani G, Kamm RD, Mattu C, Chiono V. MicroRNA delivery through nanoparticles. </w:t>
      </w:r>
      <w:r w:rsidRPr="009B04A5">
        <w:rPr>
          <w:rFonts w:ascii="Book Antiqua" w:hAnsi="Book Antiqua"/>
          <w:i/>
        </w:rPr>
        <w:t>J Control Release</w:t>
      </w:r>
      <w:r w:rsidRPr="009B04A5">
        <w:rPr>
          <w:rFonts w:ascii="Book Antiqua" w:hAnsi="Book Antiqua"/>
        </w:rPr>
        <w:t xml:space="preserve"> 2019; </w:t>
      </w:r>
      <w:r w:rsidRPr="009B04A5">
        <w:rPr>
          <w:rFonts w:ascii="Book Antiqua" w:hAnsi="Book Antiqua"/>
          <w:b/>
        </w:rPr>
        <w:t>313</w:t>
      </w:r>
      <w:r w:rsidRPr="009B04A5">
        <w:rPr>
          <w:rFonts w:ascii="Book Antiqua" w:hAnsi="Book Antiqua"/>
        </w:rPr>
        <w:t>: 80-95 [PMID: 31622695 DOI: 10.1016/j.jconrel.2019.10.007]</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149 </w:t>
      </w:r>
      <w:r w:rsidRPr="009B04A5">
        <w:rPr>
          <w:rFonts w:ascii="Book Antiqua" w:hAnsi="Book Antiqua"/>
          <w:b/>
        </w:rPr>
        <w:t>Vinhas R</w:t>
      </w:r>
      <w:r w:rsidRPr="009B04A5">
        <w:rPr>
          <w:rFonts w:ascii="Book Antiqua" w:hAnsi="Book Antiqua"/>
        </w:rPr>
        <w:t xml:space="preserve">, Mendes R, Fernandes AR, Baptista PV. Nanoparticles-Emerging Potential for Managing Leukemia and Lymphoma. </w:t>
      </w:r>
      <w:r w:rsidRPr="009B04A5">
        <w:rPr>
          <w:rFonts w:ascii="Book Antiqua" w:hAnsi="Book Antiqua"/>
          <w:i/>
        </w:rPr>
        <w:t>Front Bioeng Biotechnol</w:t>
      </w:r>
      <w:r w:rsidRPr="009B04A5">
        <w:rPr>
          <w:rFonts w:ascii="Book Antiqua" w:hAnsi="Book Antiqua"/>
        </w:rPr>
        <w:t xml:space="preserve"> 2017; </w:t>
      </w:r>
      <w:r w:rsidRPr="009B04A5">
        <w:rPr>
          <w:rFonts w:ascii="Book Antiqua" w:hAnsi="Book Antiqua"/>
          <w:b/>
        </w:rPr>
        <w:t>5</w:t>
      </w:r>
      <w:r w:rsidRPr="009B04A5">
        <w:rPr>
          <w:rFonts w:ascii="Book Antiqua" w:hAnsi="Book Antiqua"/>
        </w:rPr>
        <w:t>: 79 [PMID: 29326927 DOI: 10.3389/fbioe.2017.00079]</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150 </w:t>
      </w:r>
      <w:r w:rsidRPr="009B04A5">
        <w:rPr>
          <w:rFonts w:ascii="Book Antiqua" w:hAnsi="Book Antiqua"/>
          <w:b/>
        </w:rPr>
        <w:t>Pérez-Herrero E</w:t>
      </w:r>
      <w:r w:rsidRPr="009B04A5">
        <w:rPr>
          <w:rFonts w:ascii="Book Antiqua" w:hAnsi="Book Antiqua"/>
        </w:rPr>
        <w:t xml:space="preserve">, Fernández-Medarde A. Advanced targeted therapies in cancer: Drug nanocarriers, the future of chemotherapy. </w:t>
      </w:r>
      <w:r w:rsidRPr="009B04A5">
        <w:rPr>
          <w:rFonts w:ascii="Book Antiqua" w:hAnsi="Book Antiqua"/>
          <w:i/>
        </w:rPr>
        <w:t>Eur J Pharm Biopharm</w:t>
      </w:r>
      <w:r w:rsidRPr="009B04A5">
        <w:rPr>
          <w:rFonts w:ascii="Book Antiqua" w:hAnsi="Book Antiqua"/>
        </w:rPr>
        <w:t xml:space="preserve"> 2015; </w:t>
      </w:r>
      <w:r w:rsidRPr="009B04A5">
        <w:rPr>
          <w:rFonts w:ascii="Book Antiqua" w:hAnsi="Book Antiqua"/>
          <w:b/>
        </w:rPr>
        <w:t>93</w:t>
      </w:r>
      <w:r w:rsidRPr="009B04A5">
        <w:rPr>
          <w:rFonts w:ascii="Book Antiqua" w:hAnsi="Book Antiqua"/>
        </w:rPr>
        <w:t>: 52-79 [PMID: 25813885 DOI: 10.1016/j.ejpb.2015.03.018]</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151 </w:t>
      </w:r>
      <w:r w:rsidRPr="009B04A5">
        <w:rPr>
          <w:rFonts w:ascii="Book Antiqua" w:hAnsi="Book Antiqua"/>
          <w:b/>
        </w:rPr>
        <w:t>Ganju A</w:t>
      </w:r>
      <w:r w:rsidRPr="009B04A5">
        <w:rPr>
          <w:rFonts w:ascii="Book Antiqua" w:hAnsi="Book Antiqua"/>
        </w:rPr>
        <w:t xml:space="preserve">, Khan S, Hafeez BB, Behrman SW, Yallapu MM, Chauhan SC, Jaggi M. miRNA nanotherapeutics for cancer. </w:t>
      </w:r>
      <w:r w:rsidRPr="009B04A5">
        <w:rPr>
          <w:rFonts w:ascii="Book Antiqua" w:hAnsi="Book Antiqua"/>
          <w:i/>
        </w:rPr>
        <w:t>Drug Discov Today</w:t>
      </w:r>
      <w:r w:rsidRPr="009B04A5">
        <w:rPr>
          <w:rFonts w:ascii="Book Antiqua" w:hAnsi="Book Antiqua"/>
        </w:rPr>
        <w:t xml:space="preserve"> 2017; </w:t>
      </w:r>
      <w:r w:rsidRPr="009B04A5">
        <w:rPr>
          <w:rFonts w:ascii="Book Antiqua" w:hAnsi="Book Antiqua"/>
          <w:b/>
        </w:rPr>
        <w:t>22</w:t>
      </w:r>
      <w:r w:rsidRPr="009B04A5">
        <w:rPr>
          <w:rFonts w:ascii="Book Antiqua" w:hAnsi="Book Antiqua"/>
        </w:rPr>
        <w:t>: 424-432 [PMID: 27815139 DOI: 10.1016/j.drudis.2016.10.014]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152 </w:t>
      </w:r>
      <w:r w:rsidRPr="009B04A5">
        <w:rPr>
          <w:rFonts w:ascii="Book Antiqua" w:hAnsi="Book Antiqua"/>
          <w:b/>
        </w:rPr>
        <w:t>Dorrance AM</w:t>
      </w:r>
      <w:r w:rsidRPr="009B04A5">
        <w:rPr>
          <w:rFonts w:ascii="Book Antiqua" w:hAnsi="Book Antiqua"/>
        </w:rPr>
        <w:t xml:space="preserve">, Neviani P, Ferenchak GJ, Huang X, Nicolet D, Maharry KS, Ozer HG, Hoellarbauer P, Khalife J, Hill EB, Yadav M, Bolon BN, Lee RJ, Lee LJ, Croce CM, Garzon R, Caligiuri MA, Bloomfield CD, Marcucci G. Targeting leukemia stem cells in vivo with antagomiR-126 nanoparticles in acute myeloid leukemia. </w:t>
      </w:r>
      <w:r w:rsidRPr="009B04A5">
        <w:rPr>
          <w:rFonts w:ascii="Book Antiqua" w:hAnsi="Book Antiqua"/>
          <w:i/>
        </w:rPr>
        <w:t>Leukemia</w:t>
      </w:r>
      <w:r w:rsidRPr="009B04A5">
        <w:rPr>
          <w:rFonts w:ascii="Book Antiqua" w:hAnsi="Book Antiqua"/>
        </w:rPr>
        <w:t xml:space="preserve"> 2015; </w:t>
      </w:r>
      <w:r w:rsidRPr="009B04A5">
        <w:rPr>
          <w:rFonts w:ascii="Book Antiqua" w:hAnsi="Book Antiqua"/>
          <w:b/>
        </w:rPr>
        <w:t>29</w:t>
      </w:r>
      <w:r w:rsidRPr="009B04A5">
        <w:rPr>
          <w:rFonts w:ascii="Book Antiqua" w:hAnsi="Book Antiqua"/>
        </w:rPr>
        <w:t>: 2143-2153 [PMID: 26055302 DOI: 10.1038/leu.2015.139]</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153 </w:t>
      </w:r>
      <w:r w:rsidRPr="009B04A5">
        <w:rPr>
          <w:rFonts w:ascii="Book Antiqua" w:hAnsi="Book Antiqua"/>
          <w:b/>
        </w:rPr>
        <w:t>Ghelani HS</w:t>
      </w:r>
      <w:r w:rsidRPr="009B04A5">
        <w:rPr>
          <w:rFonts w:ascii="Book Antiqua" w:hAnsi="Book Antiqua"/>
        </w:rPr>
        <w:t xml:space="preserve">, Rachchh MA, Gokani RH. MicroRNAs as newer therapeutic targets: A big hope from a tiny player. </w:t>
      </w:r>
      <w:r w:rsidRPr="009B04A5">
        <w:rPr>
          <w:rFonts w:ascii="Book Antiqua" w:hAnsi="Book Antiqua"/>
          <w:i/>
        </w:rPr>
        <w:t>J Pharmacol Pharmacother</w:t>
      </w:r>
      <w:r w:rsidRPr="009B04A5">
        <w:rPr>
          <w:rFonts w:ascii="Book Antiqua" w:hAnsi="Book Antiqua"/>
        </w:rPr>
        <w:t xml:space="preserve"> 2012; </w:t>
      </w:r>
      <w:r w:rsidRPr="009B04A5">
        <w:rPr>
          <w:rFonts w:ascii="Book Antiqua" w:hAnsi="Book Antiqua"/>
          <w:b/>
        </w:rPr>
        <w:t>3</w:t>
      </w:r>
      <w:r w:rsidRPr="009B04A5">
        <w:rPr>
          <w:rFonts w:ascii="Book Antiqua" w:hAnsi="Book Antiqua"/>
        </w:rPr>
        <w:t>: 217-227 [PMID: 23129956 DOI: 10.4103/0976-500X.99416]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154 </w:t>
      </w:r>
      <w:r w:rsidRPr="009B04A5">
        <w:rPr>
          <w:rFonts w:ascii="Book Antiqua" w:hAnsi="Book Antiqua"/>
          <w:b/>
        </w:rPr>
        <w:t>Xu WQ</w:t>
      </w:r>
      <w:r w:rsidRPr="009B04A5">
        <w:rPr>
          <w:rFonts w:ascii="Book Antiqua" w:hAnsi="Book Antiqua"/>
        </w:rPr>
        <w:t xml:space="preserve">, Huang YM, Xiao HF. [Expression Analysis and Epigenetics of MicroRNA let-7b in Acute Lymphoblastic Leukemia]. </w:t>
      </w:r>
      <w:r w:rsidRPr="009B04A5">
        <w:rPr>
          <w:rFonts w:ascii="Book Antiqua" w:hAnsi="Book Antiqua"/>
          <w:i/>
        </w:rPr>
        <w:t>Zhongguo Shi Yan Xue Ye Xue Za Zhi</w:t>
      </w:r>
      <w:r w:rsidRPr="009B04A5">
        <w:rPr>
          <w:rFonts w:ascii="Book Antiqua" w:hAnsi="Book Antiqua"/>
        </w:rPr>
        <w:t xml:space="preserve"> 2015; </w:t>
      </w:r>
      <w:r w:rsidRPr="009B04A5">
        <w:rPr>
          <w:rFonts w:ascii="Book Antiqua" w:hAnsi="Book Antiqua"/>
          <w:b/>
        </w:rPr>
        <w:t>23</w:t>
      </w:r>
      <w:r w:rsidRPr="009B04A5">
        <w:rPr>
          <w:rFonts w:ascii="Book Antiqua" w:hAnsi="Book Antiqua"/>
        </w:rPr>
        <w:t>: 1535-1541 [PMID: 26708866]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155 </w:t>
      </w:r>
      <w:r w:rsidRPr="009B04A5">
        <w:rPr>
          <w:rFonts w:ascii="Book Antiqua" w:hAnsi="Book Antiqua"/>
          <w:b/>
        </w:rPr>
        <w:t>Scherr M</w:t>
      </w:r>
      <w:r w:rsidRPr="009B04A5">
        <w:rPr>
          <w:rFonts w:ascii="Book Antiqua" w:hAnsi="Book Antiqua"/>
        </w:rPr>
        <w:t xml:space="preserve">, Elder A, Battmer K, Barzan D, Bomken S, Ricke-Hoch M, Schröder A, Venturini L, Blair HJ, Vormoor J, Ottmann O, Ganser A, Pich A, Hilfiker-Kleiner D, </w:t>
      </w:r>
      <w:r w:rsidRPr="009B04A5">
        <w:rPr>
          <w:rFonts w:ascii="Book Antiqua" w:hAnsi="Book Antiqua"/>
        </w:rPr>
        <w:lastRenderedPageBreak/>
        <w:t xml:space="preserve">Heidenreich O, Eder M. Differential expression of miR-17~92 identifies BCL2 as a therapeutic target in BCR-ABL-positive B-lineage acute lymphoblastic leukemia. </w:t>
      </w:r>
      <w:r w:rsidRPr="009B04A5">
        <w:rPr>
          <w:rFonts w:ascii="Book Antiqua" w:hAnsi="Book Antiqua"/>
          <w:i/>
        </w:rPr>
        <w:t>Leukemia</w:t>
      </w:r>
      <w:r w:rsidRPr="009B04A5">
        <w:rPr>
          <w:rFonts w:ascii="Book Antiqua" w:hAnsi="Book Antiqua"/>
        </w:rPr>
        <w:t xml:space="preserve"> 2014; </w:t>
      </w:r>
      <w:r w:rsidRPr="009B04A5">
        <w:rPr>
          <w:rFonts w:ascii="Book Antiqua" w:hAnsi="Book Antiqua"/>
          <w:b/>
        </w:rPr>
        <w:t>28</w:t>
      </w:r>
      <w:r w:rsidRPr="009B04A5">
        <w:rPr>
          <w:rFonts w:ascii="Book Antiqua" w:hAnsi="Book Antiqua"/>
        </w:rPr>
        <w:t>: 554-565 [PMID: 24280866 DOI: 10.1038/leu.2013.361]</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156 </w:t>
      </w:r>
      <w:r w:rsidRPr="009B04A5">
        <w:rPr>
          <w:rFonts w:ascii="Book Antiqua" w:hAnsi="Book Antiqua"/>
          <w:b/>
        </w:rPr>
        <w:t>Liu X</w:t>
      </w:r>
      <w:r w:rsidRPr="009B04A5">
        <w:rPr>
          <w:rFonts w:ascii="Book Antiqua" w:hAnsi="Book Antiqua"/>
        </w:rPr>
        <w:t xml:space="preserve">, Zou L, Zhu L, Zhang H, Du C, Li Z, Gao C, Zhao X, Bao S, Zheng H. miRNA mediated up-regulation of cochaperone p23 acts as an anti-apoptotic factor in childhood acute lymphoblastic leukemia. </w:t>
      </w:r>
      <w:r w:rsidRPr="009B04A5">
        <w:rPr>
          <w:rFonts w:ascii="Book Antiqua" w:hAnsi="Book Antiqua"/>
          <w:i/>
        </w:rPr>
        <w:t>Leuk Res</w:t>
      </w:r>
      <w:r w:rsidRPr="009B04A5">
        <w:rPr>
          <w:rFonts w:ascii="Book Antiqua" w:hAnsi="Book Antiqua"/>
        </w:rPr>
        <w:t xml:space="preserve"> 2012; </w:t>
      </w:r>
      <w:r w:rsidRPr="009B04A5">
        <w:rPr>
          <w:rFonts w:ascii="Book Antiqua" w:hAnsi="Book Antiqua"/>
          <w:b/>
        </w:rPr>
        <w:t>36</w:t>
      </w:r>
      <w:r w:rsidRPr="009B04A5">
        <w:rPr>
          <w:rFonts w:ascii="Book Antiqua" w:hAnsi="Book Antiqua"/>
        </w:rPr>
        <w:t>: 1098-1104 [PMID: 22677230 DOI: 10.1016/j.leukres.2012.05.003]</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157 </w:t>
      </w:r>
      <w:r w:rsidRPr="009B04A5">
        <w:rPr>
          <w:rFonts w:ascii="Book Antiqua" w:hAnsi="Book Antiqua"/>
          <w:b/>
        </w:rPr>
        <w:t>Liang YN</w:t>
      </w:r>
      <w:r w:rsidRPr="009B04A5">
        <w:rPr>
          <w:rFonts w:ascii="Book Antiqua" w:hAnsi="Book Antiqua"/>
        </w:rPr>
        <w:t xml:space="preserve">, Tang YL, Ke ZY, Chen YQ, Luo XQ, Zhang H, Huang LB. MiR-124 contributes to glucocorticoid resistance in acute lymphoblastic leukemia by promoting proliferation, inhibiting apoptosis and targeting the glucocorticoid receptor. </w:t>
      </w:r>
      <w:r w:rsidRPr="009B04A5">
        <w:rPr>
          <w:rFonts w:ascii="Book Antiqua" w:hAnsi="Book Antiqua"/>
          <w:i/>
        </w:rPr>
        <w:t>J Steroid Biochem Mol Biol</w:t>
      </w:r>
      <w:r w:rsidRPr="009B04A5">
        <w:rPr>
          <w:rFonts w:ascii="Book Antiqua" w:hAnsi="Book Antiqua"/>
        </w:rPr>
        <w:t xml:space="preserve"> 2017; </w:t>
      </w:r>
      <w:r w:rsidRPr="009B04A5">
        <w:rPr>
          <w:rFonts w:ascii="Book Antiqua" w:hAnsi="Book Antiqua"/>
          <w:b/>
        </w:rPr>
        <w:t>172</w:t>
      </w:r>
      <w:r w:rsidRPr="009B04A5">
        <w:rPr>
          <w:rFonts w:ascii="Book Antiqua" w:hAnsi="Book Antiqua"/>
        </w:rPr>
        <w:t>: 62-68 [PMID: 28578002 DOI: 10.1016/j.jsbmb.2017.05.014]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158 </w:t>
      </w:r>
      <w:r w:rsidRPr="009B04A5">
        <w:rPr>
          <w:rFonts w:ascii="Book Antiqua" w:hAnsi="Book Antiqua"/>
          <w:b/>
        </w:rPr>
        <w:t>Li Z</w:t>
      </w:r>
      <w:r w:rsidRPr="009B04A5">
        <w:rPr>
          <w:rFonts w:ascii="Book Antiqua" w:hAnsi="Book Antiqua"/>
        </w:rPr>
        <w:t xml:space="preserve">, Chen P, Su R, Li Y, Hu C, Wang Y, Arnovitz S, He M, Gurbuxani S, Zuo Z, Elkahloun AG, Li S, Weng H, Huang H, Neilly MB, Wang S, Olson EN, Larson RA, Le Beau MM, Zhang J, Jiang X, Wei M, Jin J, Liu PP, Chen J. Overexpression and knockout of miR-126 both promote leukemogenesis. </w:t>
      </w:r>
      <w:r w:rsidRPr="009B04A5">
        <w:rPr>
          <w:rFonts w:ascii="Book Antiqua" w:hAnsi="Book Antiqua"/>
          <w:i/>
        </w:rPr>
        <w:t>Blood</w:t>
      </w:r>
      <w:r w:rsidRPr="009B04A5">
        <w:rPr>
          <w:rFonts w:ascii="Book Antiqua" w:hAnsi="Book Antiqua"/>
        </w:rPr>
        <w:t xml:space="preserve"> 2015; </w:t>
      </w:r>
      <w:r w:rsidRPr="009B04A5">
        <w:rPr>
          <w:rFonts w:ascii="Book Antiqua" w:hAnsi="Book Antiqua"/>
          <w:b/>
        </w:rPr>
        <w:t>126</w:t>
      </w:r>
      <w:r w:rsidRPr="009B04A5">
        <w:rPr>
          <w:rFonts w:ascii="Book Antiqua" w:hAnsi="Book Antiqua"/>
        </w:rPr>
        <w:t>: 2005-2015 [PMID: 26361793 DOI: 10.1182/blood-2015-04-639062]</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159 </w:t>
      </w:r>
      <w:r w:rsidRPr="009B04A5">
        <w:rPr>
          <w:rFonts w:ascii="Book Antiqua" w:hAnsi="Book Antiqua"/>
          <w:b/>
        </w:rPr>
        <w:t>Dou L</w:t>
      </w:r>
      <w:r w:rsidRPr="009B04A5">
        <w:rPr>
          <w:rFonts w:ascii="Book Antiqua" w:hAnsi="Book Antiqua"/>
        </w:rPr>
        <w:t xml:space="preserve">, Li J, Zheng D, Li Y, Gao X, Xu C, Gao L, Wang L, Yu L. MicroRNA-142-3p inhibits cell proliferation in human acute lymphoblastic leukemia by targeting the MLL-AF4 oncogene. </w:t>
      </w:r>
      <w:r w:rsidRPr="009B04A5">
        <w:rPr>
          <w:rFonts w:ascii="Book Antiqua" w:hAnsi="Book Antiqua"/>
          <w:i/>
        </w:rPr>
        <w:t>Mol Biol Rep</w:t>
      </w:r>
      <w:r w:rsidRPr="009B04A5">
        <w:rPr>
          <w:rFonts w:ascii="Book Antiqua" w:hAnsi="Book Antiqua"/>
        </w:rPr>
        <w:t xml:space="preserve"> 2013; </w:t>
      </w:r>
      <w:r w:rsidRPr="009B04A5">
        <w:rPr>
          <w:rFonts w:ascii="Book Antiqua" w:hAnsi="Book Antiqua"/>
          <w:b/>
        </w:rPr>
        <w:t>40</w:t>
      </w:r>
      <w:r w:rsidRPr="009B04A5">
        <w:rPr>
          <w:rFonts w:ascii="Book Antiqua" w:hAnsi="Book Antiqua"/>
        </w:rPr>
        <w:t>: 6811-6819 [PMID: 24057258 DOI: 10.1007/s11033-013-2798-6]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160 </w:t>
      </w:r>
      <w:r w:rsidRPr="009B04A5">
        <w:rPr>
          <w:rFonts w:ascii="Book Antiqua" w:hAnsi="Book Antiqua"/>
          <w:b/>
        </w:rPr>
        <w:t>Bhatia S</w:t>
      </w:r>
      <w:r w:rsidRPr="009B04A5">
        <w:rPr>
          <w:rFonts w:ascii="Book Antiqua" w:hAnsi="Book Antiqua"/>
        </w:rPr>
        <w:t xml:space="preserve">, Kaul D, Varma N. Functional genomics of tumor suppressor miR-196b in T-cell acute lymphoblastic leukemia. </w:t>
      </w:r>
      <w:r w:rsidRPr="009B04A5">
        <w:rPr>
          <w:rFonts w:ascii="Book Antiqua" w:hAnsi="Book Antiqua"/>
          <w:i/>
        </w:rPr>
        <w:t>Mol Cell Biochem</w:t>
      </w:r>
      <w:r w:rsidRPr="009B04A5">
        <w:rPr>
          <w:rFonts w:ascii="Book Antiqua" w:hAnsi="Book Antiqua"/>
        </w:rPr>
        <w:t xml:space="preserve"> 2011; </w:t>
      </w:r>
      <w:r w:rsidRPr="009B04A5">
        <w:rPr>
          <w:rFonts w:ascii="Book Antiqua" w:hAnsi="Book Antiqua"/>
          <w:b/>
        </w:rPr>
        <w:t>346</w:t>
      </w:r>
      <w:r w:rsidRPr="009B04A5">
        <w:rPr>
          <w:rFonts w:ascii="Book Antiqua" w:hAnsi="Book Antiqua"/>
        </w:rPr>
        <w:t>: 103-116 [PMID: 20924650 DOI: 10.1007/s11010-010-0597-0]</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161 </w:t>
      </w:r>
      <w:r w:rsidRPr="009B04A5">
        <w:rPr>
          <w:rFonts w:ascii="Book Antiqua" w:hAnsi="Book Antiqua"/>
          <w:b/>
        </w:rPr>
        <w:t>Zhou W</w:t>
      </w:r>
      <w:r w:rsidRPr="009B04A5">
        <w:rPr>
          <w:rFonts w:ascii="Book Antiqua" w:hAnsi="Book Antiqua"/>
        </w:rPr>
        <w:t xml:space="preserve">, Wang S, Ying Y, Zhou R, Mao P. miR-196b/miR-1290 participate in the antitumor effect of resveratrol via regulation of IGFBP3 expression in acute lymphoblastic leukemia. </w:t>
      </w:r>
      <w:r w:rsidRPr="009B04A5">
        <w:rPr>
          <w:rFonts w:ascii="Book Antiqua" w:hAnsi="Book Antiqua"/>
          <w:i/>
        </w:rPr>
        <w:t>Oncol Rep</w:t>
      </w:r>
      <w:r w:rsidRPr="009B04A5">
        <w:rPr>
          <w:rFonts w:ascii="Book Antiqua" w:hAnsi="Book Antiqua"/>
        </w:rPr>
        <w:t xml:space="preserve"> 2017; </w:t>
      </w:r>
      <w:r w:rsidRPr="009B04A5">
        <w:rPr>
          <w:rFonts w:ascii="Book Antiqua" w:hAnsi="Book Antiqua"/>
          <w:b/>
        </w:rPr>
        <w:t>37</w:t>
      </w:r>
      <w:r w:rsidRPr="009B04A5">
        <w:rPr>
          <w:rFonts w:ascii="Book Antiqua" w:hAnsi="Book Antiqua"/>
        </w:rPr>
        <w:t>: 1075-1083 [PMID: 28000876 DOI: 10.3892/or.2016.5321]</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162 </w:t>
      </w:r>
      <w:r w:rsidRPr="009B04A5">
        <w:rPr>
          <w:rFonts w:ascii="Book Antiqua" w:hAnsi="Book Antiqua"/>
          <w:b/>
        </w:rPr>
        <w:t>Moses BS</w:t>
      </w:r>
      <w:r w:rsidRPr="009B04A5">
        <w:rPr>
          <w:rFonts w:ascii="Book Antiqua" w:hAnsi="Book Antiqua"/>
        </w:rPr>
        <w:t xml:space="preserve">, Evans R, Slone WL, Piktel D, Martinez I, Craig MD, Gibson LF. Bone Marrow Microenvironment Niche Regulates miR-221/222 in Acute Lymphoblastic </w:t>
      </w:r>
      <w:r w:rsidRPr="009B04A5">
        <w:rPr>
          <w:rFonts w:ascii="Book Antiqua" w:hAnsi="Book Antiqua"/>
        </w:rPr>
        <w:lastRenderedPageBreak/>
        <w:t xml:space="preserve">Leukemia. </w:t>
      </w:r>
      <w:r w:rsidRPr="009B04A5">
        <w:rPr>
          <w:rFonts w:ascii="Book Antiqua" w:hAnsi="Book Antiqua"/>
          <w:i/>
        </w:rPr>
        <w:t>Mol Cancer Res</w:t>
      </w:r>
      <w:r w:rsidRPr="009B04A5">
        <w:rPr>
          <w:rFonts w:ascii="Book Antiqua" w:hAnsi="Book Antiqua"/>
        </w:rPr>
        <w:t xml:space="preserve"> 2016; </w:t>
      </w:r>
      <w:r w:rsidRPr="009B04A5">
        <w:rPr>
          <w:rFonts w:ascii="Book Antiqua" w:hAnsi="Book Antiqua"/>
          <w:b/>
        </w:rPr>
        <w:t>14</w:t>
      </w:r>
      <w:r w:rsidRPr="009B04A5">
        <w:rPr>
          <w:rFonts w:ascii="Book Antiqua" w:hAnsi="Book Antiqua"/>
        </w:rPr>
        <w:t>: 909-919 [PMID: 27358112 DOI: 10.1158/1541-7786.MCR-15-0474]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163 </w:t>
      </w:r>
      <w:r w:rsidRPr="009B04A5">
        <w:rPr>
          <w:rFonts w:ascii="Book Antiqua" w:hAnsi="Book Antiqua"/>
          <w:b/>
        </w:rPr>
        <w:t>Li S</w:t>
      </w:r>
      <w:r w:rsidRPr="009B04A5">
        <w:rPr>
          <w:rFonts w:ascii="Book Antiqua" w:hAnsi="Book Antiqua"/>
        </w:rPr>
        <w:t xml:space="preserve">, Wang C, Wang W, Liu W, Zhang G. Abnormally high expression of POLD1, MCM2, and PLK4 promotes relapse of acute lymphoblastic leukemia. </w:t>
      </w:r>
      <w:r w:rsidRPr="009B04A5">
        <w:rPr>
          <w:rFonts w:ascii="Book Antiqua" w:hAnsi="Book Antiqua"/>
          <w:i/>
        </w:rPr>
        <w:t>Medicine (Baltimore)</w:t>
      </w:r>
      <w:r w:rsidRPr="009B04A5">
        <w:rPr>
          <w:rFonts w:ascii="Book Antiqua" w:hAnsi="Book Antiqua"/>
        </w:rPr>
        <w:t xml:space="preserve"> 2018; </w:t>
      </w:r>
      <w:r w:rsidRPr="009B04A5">
        <w:rPr>
          <w:rFonts w:ascii="Book Antiqua" w:hAnsi="Book Antiqua"/>
          <w:b/>
        </w:rPr>
        <w:t>97</w:t>
      </w:r>
      <w:r w:rsidRPr="009B04A5">
        <w:rPr>
          <w:rFonts w:ascii="Book Antiqua" w:hAnsi="Book Antiqua"/>
        </w:rPr>
        <w:t>: e10734 [PMID: 29768346 DOI: 10.1097/MD.0000000000010734]</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164 </w:t>
      </w:r>
      <w:r w:rsidRPr="009B04A5">
        <w:rPr>
          <w:rFonts w:ascii="Book Antiqua" w:hAnsi="Book Antiqua"/>
          <w:b/>
        </w:rPr>
        <w:t>Wang SM</w:t>
      </w:r>
      <w:r w:rsidRPr="009B04A5">
        <w:rPr>
          <w:rFonts w:ascii="Book Antiqua" w:hAnsi="Book Antiqua"/>
        </w:rPr>
        <w:t xml:space="preserve">, Sun LL, Wu WS, Yan D. MiR-595 Suppresses the Cellular Uptake and Cytotoxic Effects of Methotrexate by Targeting SLC19A1 in CEM/C1 Cells. </w:t>
      </w:r>
      <w:r w:rsidRPr="009B04A5">
        <w:rPr>
          <w:rFonts w:ascii="Book Antiqua" w:hAnsi="Book Antiqua"/>
          <w:i/>
        </w:rPr>
        <w:t>Basic Clin Pharmacol Toxicol</w:t>
      </w:r>
      <w:r w:rsidRPr="009B04A5">
        <w:rPr>
          <w:rFonts w:ascii="Book Antiqua" w:hAnsi="Book Antiqua"/>
        </w:rPr>
        <w:t xml:space="preserve"> 2018; </w:t>
      </w:r>
      <w:r w:rsidRPr="009B04A5">
        <w:rPr>
          <w:rFonts w:ascii="Book Antiqua" w:hAnsi="Book Antiqua"/>
          <w:b/>
        </w:rPr>
        <w:t>123</w:t>
      </w:r>
      <w:r w:rsidRPr="009B04A5">
        <w:rPr>
          <w:rFonts w:ascii="Book Antiqua" w:hAnsi="Book Antiqua"/>
        </w:rPr>
        <w:t>: 8-13 [PMID: 29345051 DOI: 10.1111/bcpt.12966]</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165 </w:t>
      </w:r>
      <w:r w:rsidRPr="009B04A5">
        <w:rPr>
          <w:rFonts w:ascii="Book Antiqua" w:hAnsi="Book Antiqua"/>
          <w:b/>
        </w:rPr>
        <w:t>Li X</w:t>
      </w:r>
      <w:r w:rsidRPr="009B04A5">
        <w:rPr>
          <w:rFonts w:ascii="Book Antiqua" w:hAnsi="Book Antiqua"/>
        </w:rPr>
        <w:t xml:space="preserve">, Li D, Zhuang Y, Shi Q, Wei W, Ju X. Overexpression of miR-708 and its targets in the childhood common precursor B-cell ALL. </w:t>
      </w:r>
      <w:r w:rsidRPr="009B04A5">
        <w:rPr>
          <w:rFonts w:ascii="Book Antiqua" w:hAnsi="Book Antiqua"/>
          <w:i/>
        </w:rPr>
        <w:t>Pediatr Blood Cancer</w:t>
      </w:r>
      <w:r w:rsidRPr="009B04A5">
        <w:rPr>
          <w:rFonts w:ascii="Book Antiqua" w:hAnsi="Book Antiqua"/>
        </w:rPr>
        <w:t xml:space="preserve"> 2013; </w:t>
      </w:r>
      <w:r w:rsidRPr="009B04A5">
        <w:rPr>
          <w:rFonts w:ascii="Book Antiqua" w:hAnsi="Book Antiqua"/>
          <w:b/>
        </w:rPr>
        <w:t>60</w:t>
      </w:r>
      <w:r w:rsidRPr="009B04A5">
        <w:rPr>
          <w:rFonts w:ascii="Book Antiqua" w:hAnsi="Book Antiqua"/>
        </w:rPr>
        <w:t>: 2060-2067 [PMID: 23970374 DOI: 10.1002/pbc.24583]</w:t>
      </w:r>
    </w:p>
    <w:p w:rsidR="007B304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 xml:space="preserve">166 </w:t>
      </w:r>
      <w:r w:rsidRPr="009B04A5">
        <w:rPr>
          <w:rFonts w:ascii="Book Antiqua" w:hAnsi="Book Antiqua"/>
          <w:b/>
        </w:rPr>
        <w:t>Malik D</w:t>
      </w:r>
      <w:r w:rsidRPr="009B04A5">
        <w:rPr>
          <w:rFonts w:ascii="Book Antiqua" w:hAnsi="Book Antiqua"/>
        </w:rPr>
        <w:t xml:space="preserve">, Kaul D, Chauhan N, Marwaha RK. miR-2909-mediated regulation of KLF4: a novel molecular mechanism for differentiating between B-cell and T-cell pediatric acute lymphoblastic leukemias. </w:t>
      </w:r>
      <w:r w:rsidRPr="009B04A5">
        <w:rPr>
          <w:rFonts w:ascii="Book Antiqua" w:hAnsi="Book Antiqua"/>
          <w:i/>
        </w:rPr>
        <w:t>Mol Cancer</w:t>
      </w:r>
      <w:r w:rsidRPr="009B04A5">
        <w:rPr>
          <w:rFonts w:ascii="Book Antiqua" w:hAnsi="Book Antiqua"/>
        </w:rPr>
        <w:t xml:space="preserve"> 2014; </w:t>
      </w:r>
      <w:r w:rsidRPr="009B04A5">
        <w:rPr>
          <w:rFonts w:ascii="Book Antiqua" w:hAnsi="Book Antiqua"/>
          <w:b/>
        </w:rPr>
        <w:t>13</w:t>
      </w:r>
      <w:r w:rsidRPr="009B04A5">
        <w:rPr>
          <w:rFonts w:ascii="Book Antiqua" w:hAnsi="Book Antiqua"/>
        </w:rPr>
        <w:t>: 175 [PMID: 25037230 DOI: 10.1186/1476-4598-13-175]</w:t>
      </w:r>
    </w:p>
    <w:bookmarkEnd w:id="0"/>
    <w:p w:rsidR="006E29FC" w:rsidRPr="009B04A5" w:rsidRDefault="007B304E" w:rsidP="00C709AE">
      <w:pPr>
        <w:adjustRightInd w:val="0"/>
        <w:snapToGrid w:val="0"/>
        <w:spacing w:line="360" w:lineRule="auto"/>
        <w:ind w:firstLine="0"/>
        <w:rPr>
          <w:rFonts w:ascii="Book Antiqua" w:hAnsi="Book Antiqua"/>
          <w:b/>
        </w:rPr>
      </w:pPr>
      <w:r w:rsidRPr="009B04A5">
        <w:rPr>
          <w:rFonts w:ascii="Book Antiqua" w:hAnsi="Book Antiqua"/>
          <w:b/>
        </w:rPr>
        <w:br w:type="page"/>
      </w:r>
      <w:r w:rsidR="006E29FC" w:rsidRPr="009B04A5">
        <w:rPr>
          <w:rFonts w:ascii="Book Antiqua" w:hAnsi="Book Antiqua"/>
          <w:b/>
        </w:rPr>
        <w:lastRenderedPageBreak/>
        <w:t>Footnotes</w:t>
      </w:r>
    </w:p>
    <w:p w:rsidR="00BD277C" w:rsidRPr="009B04A5" w:rsidRDefault="006E29FC" w:rsidP="00C709AE">
      <w:pPr>
        <w:adjustRightInd w:val="0"/>
        <w:snapToGrid w:val="0"/>
        <w:spacing w:line="360" w:lineRule="auto"/>
        <w:ind w:firstLine="0"/>
        <w:rPr>
          <w:rFonts w:ascii="Book Antiqua" w:hAnsi="Book Antiqua"/>
          <w:bCs/>
        </w:rPr>
      </w:pPr>
      <w:r w:rsidRPr="009B04A5">
        <w:rPr>
          <w:rFonts w:ascii="Book Antiqua" w:hAnsi="Book Antiqua"/>
          <w:b/>
        </w:rPr>
        <w:t>Conflict-of-interest statement:</w:t>
      </w:r>
      <w:r w:rsidRPr="009B04A5">
        <w:rPr>
          <w:rFonts w:ascii="Book Antiqua" w:eastAsia="宋体" w:hAnsi="Book Antiqua" w:cs="TimesNewRomanPS-BoldItalicMT"/>
          <w:bCs/>
          <w:iCs/>
          <w:lang w:eastAsia="zh-CN"/>
        </w:rPr>
        <w:t xml:space="preserve"> </w:t>
      </w:r>
      <w:r w:rsidR="00827DB8" w:rsidRPr="009B04A5">
        <w:rPr>
          <w:rFonts w:ascii="Book Antiqua" w:hAnsi="Book Antiqua"/>
          <w:bCs/>
        </w:rPr>
        <w:t>The author declares that there are no conflicts of interest</w:t>
      </w:r>
      <w:r w:rsidR="00BD277C" w:rsidRPr="009B04A5">
        <w:rPr>
          <w:rFonts w:ascii="Book Antiqua" w:hAnsi="Book Antiqua"/>
          <w:bCs/>
        </w:rPr>
        <w:t>.</w:t>
      </w:r>
    </w:p>
    <w:p w:rsidR="00BD277C" w:rsidRPr="009B04A5" w:rsidRDefault="00BD277C" w:rsidP="00C709AE">
      <w:pPr>
        <w:adjustRightInd w:val="0"/>
        <w:snapToGrid w:val="0"/>
        <w:spacing w:line="360" w:lineRule="auto"/>
        <w:ind w:firstLine="0"/>
        <w:rPr>
          <w:rFonts w:ascii="Book Antiqua" w:hAnsi="Book Antiqua"/>
          <w:lang w:eastAsia="pl-PL"/>
        </w:rPr>
      </w:pPr>
    </w:p>
    <w:p w:rsidR="00BD277C" w:rsidRPr="009B04A5" w:rsidRDefault="00BD277C" w:rsidP="00C709AE">
      <w:pPr>
        <w:spacing w:line="360" w:lineRule="auto"/>
        <w:ind w:firstLine="0"/>
        <w:rPr>
          <w:rFonts w:ascii="Book Antiqua" w:hAnsi="Book Antiqua"/>
        </w:rPr>
      </w:pPr>
      <w:r w:rsidRPr="009B04A5">
        <w:rPr>
          <w:rFonts w:ascii="Book Antiqua" w:hAnsi="Book Antiqua"/>
          <w:b/>
        </w:rPr>
        <w:t>Open-Access:</w:t>
      </w:r>
      <w:r w:rsidRPr="009B04A5">
        <w:rPr>
          <w:rFonts w:ascii="Book Antiqua" w:hAnsi="Book Antiqua"/>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D277C" w:rsidRPr="009B04A5" w:rsidRDefault="00BD277C" w:rsidP="00C709AE">
      <w:pPr>
        <w:pStyle w:val="af"/>
        <w:spacing w:line="360" w:lineRule="auto"/>
        <w:rPr>
          <w:rFonts w:ascii="Book Antiqua" w:eastAsia="宋体" w:hAnsi="Book Antiqua" w:cs="Times New Roman"/>
          <w:bCs/>
          <w:sz w:val="24"/>
          <w:szCs w:val="24"/>
          <w:lang w:eastAsia="zh-CN"/>
        </w:rPr>
      </w:pPr>
    </w:p>
    <w:p w:rsidR="00BD277C" w:rsidRPr="009B04A5" w:rsidRDefault="00BD277C" w:rsidP="00C709AE">
      <w:pPr>
        <w:adjustRightInd w:val="0"/>
        <w:snapToGrid w:val="0"/>
        <w:spacing w:line="360" w:lineRule="auto"/>
        <w:ind w:firstLine="0"/>
        <w:rPr>
          <w:rFonts w:ascii="Book Antiqua" w:hAnsi="Book Antiqua"/>
          <w:bCs/>
          <w:lang w:eastAsia="zh-CN"/>
        </w:rPr>
      </w:pPr>
      <w:r w:rsidRPr="009B04A5">
        <w:rPr>
          <w:rFonts w:ascii="Book Antiqua" w:hAnsi="Book Antiqua"/>
          <w:b/>
          <w:bCs/>
          <w:lang w:eastAsia="pl-PL"/>
        </w:rPr>
        <w:t>Manuscript source:</w:t>
      </w:r>
      <w:r w:rsidRPr="009B04A5">
        <w:rPr>
          <w:rFonts w:ascii="Book Antiqua" w:hAnsi="Book Antiqua"/>
          <w:b/>
          <w:bCs/>
          <w:lang w:eastAsia="zh-CN"/>
        </w:rPr>
        <w:t xml:space="preserve"> </w:t>
      </w:r>
      <w:r w:rsidRPr="009B04A5">
        <w:rPr>
          <w:rFonts w:ascii="Book Antiqua" w:hAnsi="Book Antiqua"/>
          <w:bCs/>
          <w:lang w:eastAsia="pl-PL"/>
        </w:rPr>
        <w:t>Invited manuscript</w:t>
      </w:r>
    </w:p>
    <w:p w:rsidR="00BD277C" w:rsidRPr="009B04A5" w:rsidRDefault="00BD277C" w:rsidP="00C709AE">
      <w:pPr>
        <w:adjustRightInd w:val="0"/>
        <w:snapToGrid w:val="0"/>
        <w:spacing w:line="360" w:lineRule="auto"/>
        <w:rPr>
          <w:rFonts w:ascii="Book Antiqua" w:hAnsi="Book Antiqua"/>
          <w:b/>
          <w:bCs/>
          <w:lang w:eastAsia="zh-CN"/>
        </w:rPr>
      </w:pPr>
    </w:p>
    <w:p w:rsidR="00BD277C" w:rsidRPr="009B04A5" w:rsidRDefault="00BD277C" w:rsidP="00C709AE">
      <w:pPr>
        <w:spacing w:line="360" w:lineRule="auto"/>
        <w:ind w:firstLine="0"/>
        <w:rPr>
          <w:rFonts w:ascii="Book Antiqua" w:eastAsia="宋体" w:hAnsi="Book Antiqua"/>
          <w:b/>
          <w:lang w:eastAsia="zh-CN"/>
        </w:rPr>
      </w:pPr>
      <w:r w:rsidRPr="009B04A5">
        <w:rPr>
          <w:rFonts w:ascii="Book Antiqua" w:hAnsi="Book Antiqua"/>
          <w:b/>
        </w:rPr>
        <w:t>Peer-review started:</w:t>
      </w:r>
      <w:r w:rsidRPr="009B04A5">
        <w:rPr>
          <w:rFonts w:ascii="Book Antiqua" w:eastAsia="宋体" w:hAnsi="Book Antiqua"/>
          <w:b/>
          <w:lang w:eastAsia="zh-CN"/>
        </w:rPr>
        <w:t xml:space="preserve"> </w:t>
      </w:r>
      <w:r w:rsidRPr="009B04A5">
        <w:rPr>
          <w:rFonts w:ascii="Book Antiqua" w:eastAsia="宋体" w:hAnsi="Book Antiqua"/>
        </w:rPr>
        <w:t>January</w:t>
      </w:r>
      <w:r w:rsidRPr="009B04A5">
        <w:rPr>
          <w:rFonts w:ascii="Book Antiqua" w:eastAsia="宋体" w:hAnsi="Book Antiqua"/>
          <w:lang w:eastAsia="zh-CN"/>
        </w:rPr>
        <w:t xml:space="preserve"> 3</w:t>
      </w:r>
      <w:r w:rsidRPr="009B04A5">
        <w:rPr>
          <w:rFonts w:ascii="Book Antiqua" w:eastAsia="宋体" w:hAnsi="Book Antiqua"/>
        </w:rPr>
        <w:t>1</w:t>
      </w:r>
      <w:r w:rsidRPr="009B04A5">
        <w:rPr>
          <w:rFonts w:ascii="Book Antiqua" w:eastAsia="宋体" w:hAnsi="Book Antiqua"/>
          <w:lang w:eastAsia="zh-CN"/>
        </w:rPr>
        <w:t>, 20</w:t>
      </w:r>
      <w:r w:rsidRPr="009B04A5">
        <w:rPr>
          <w:rFonts w:ascii="Book Antiqua" w:eastAsia="宋体" w:hAnsi="Book Antiqua"/>
        </w:rPr>
        <w:t>20</w:t>
      </w:r>
    </w:p>
    <w:p w:rsidR="00BD277C" w:rsidRPr="009B04A5" w:rsidRDefault="00BD277C" w:rsidP="00C709AE">
      <w:pPr>
        <w:spacing w:line="360" w:lineRule="auto"/>
        <w:ind w:firstLine="0"/>
        <w:rPr>
          <w:rFonts w:ascii="Book Antiqua" w:eastAsia="宋体" w:hAnsi="Book Antiqua"/>
          <w:b/>
          <w:lang w:eastAsia="zh-CN"/>
        </w:rPr>
      </w:pPr>
      <w:r w:rsidRPr="009B04A5">
        <w:rPr>
          <w:rFonts w:ascii="Book Antiqua" w:hAnsi="Book Antiqua"/>
          <w:b/>
        </w:rPr>
        <w:t>First decision:</w:t>
      </w:r>
      <w:r w:rsidRPr="009B04A5">
        <w:rPr>
          <w:rFonts w:ascii="Book Antiqua" w:eastAsia="宋体" w:hAnsi="Book Antiqua"/>
          <w:b/>
          <w:lang w:eastAsia="zh-CN"/>
        </w:rPr>
        <w:t xml:space="preserve"> </w:t>
      </w:r>
      <w:r w:rsidRPr="009B04A5">
        <w:rPr>
          <w:rFonts w:ascii="Book Antiqua" w:eastAsia="宋体" w:hAnsi="Book Antiqua"/>
        </w:rPr>
        <w:t>April</w:t>
      </w:r>
      <w:r w:rsidRPr="009B04A5">
        <w:rPr>
          <w:rFonts w:ascii="Book Antiqua" w:eastAsia="宋体" w:hAnsi="Book Antiqua"/>
          <w:lang w:eastAsia="zh-CN"/>
        </w:rPr>
        <w:t xml:space="preserve"> 18, 20</w:t>
      </w:r>
      <w:r w:rsidRPr="009B04A5">
        <w:rPr>
          <w:rFonts w:ascii="Book Antiqua" w:eastAsia="宋体" w:hAnsi="Book Antiqua"/>
        </w:rPr>
        <w:t>20</w:t>
      </w:r>
    </w:p>
    <w:p w:rsidR="00BD277C" w:rsidRPr="009B04A5" w:rsidRDefault="00BD277C" w:rsidP="00C709AE">
      <w:pPr>
        <w:spacing w:line="360" w:lineRule="auto"/>
        <w:ind w:firstLine="0"/>
        <w:rPr>
          <w:rFonts w:ascii="Book Antiqua" w:hAnsi="Book Antiqua" w:hint="eastAsia"/>
          <w:b/>
          <w:lang w:eastAsia="zh-CN"/>
        </w:rPr>
      </w:pPr>
      <w:r w:rsidRPr="009B04A5">
        <w:rPr>
          <w:rFonts w:ascii="Book Antiqua" w:hAnsi="Book Antiqua"/>
          <w:b/>
        </w:rPr>
        <w:t>Article in press:</w:t>
      </w:r>
      <w:r w:rsidR="00FB6A5D">
        <w:rPr>
          <w:rFonts w:ascii="Book Antiqua" w:hAnsi="Book Antiqua" w:hint="eastAsia"/>
          <w:b/>
          <w:lang w:eastAsia="zh-CN"/>
        </w:rPr>
        <w:t xml:space="preserve"> </w:t>
      </w:r>
      <w:r w:rsidR="00FB6A5D" w:rsidRPr="009B04A5">
        <w:rPr>
          <w:rFonts w:ascii="Book Antiqua" w:hAnsi="Book Antiqua"/>
        </w:rPr>
        <w:t>May 21, 2020</w:t>
      </w:r>
    </w:p>
    <w:p w:rsidR="00BD277C" w:rsidRPr="009B04A5" w:rsidRDefault="00BD277C" w:rsidP="00C709AE">
      <w:pPr>
        <w:spacing w:line="360" w:lineRule="auto"/>
        <w:ind w:firstLine="0"/>
        <w:rPr>
          <w:rFonts w:ascii="Book Antiqua" w:eastAsia="宋体" w:hAnsi="Book Antiqua"/>
          <w:lang w:eastAsia="zh-CN"/>
        </w:rPr>
      </w:pPr>
    </w:p>
    <w:p w:rsidR="00BD277C" w:rsidRPr="009B04A5" w:rsidRDefault="00BD277C" w:rsidP="00C709AE">
      <w:pPr>
        <w:widowControl w:val="0"/>
        <w:adjustRightInd w:val="0"/>
        <w:snapToGrid w:val="0"/>
        <w:spacing w:line="360" w:lineRule="auto"/>
        <w:ind w:firstLine="0"/>
        <w:rPr>
          <w:rFonts w:ascii="Book Antiqua" w:eastAsia="微软雅黑" w:hAnsi="Book Antiqua" w:cs="宋体"/>
          <w:lang w:eastAsia="zh-CN"/>
        </w:rPr>
      </w:pPr>
      <w:r w:rsidRPr="009B04A5">
        <w:rPr>
          <w:rFonts w:ascii="Book Antiqua" w:hAnsi="Book Antiqua" w:cs="宋体"/>
          <w:b/>
          <w:lang w:eastAsia="zh-CN"/>
        </w:rPr>
        <w:t xml:space="preserve">Specialty type: </w:t>
      </w:r>
      <w:r w:rsidRPr="009B04A5">
        <w:rPr>
          <w:rFonts w:ascii="Book Antiqua" w:eastAsia="微软雅黑" w:hAnsi="Book Antiqua" w:cs="宋体"/>
          <w:lang w:eastAsia="zh-CN"/>
        </w:rPr>
        <w:t>Oncology</w:t>
      </w:r>
    </w:p>
    <w:p w:rsidR="00BD277C" w:rsidRPr="009B04A5" w:rsidRDefault="00BD277C" w:rsidP="00C709AE">
      <w:pPr>
        <w:widowControl w:val="0"/>
        <w:adjustRightInd w:val="0"/>
        <w:snapToGrid w:val="0"/>
        <w:spacing w:line="360" w:lineRule="auto"/>
        <w:ind w:firstLine="0"/>
        <w:rPr>
          <w:rFonts w:ascii="Book Antiqua" w:hAnsi="Book Antiqua" w:cs="宋体"/>
          <w:lang w:eastAsia="zh-CN"/>
        </w:rPr>
      </w:pPr>
      <w:r w:rsidRPr="009B04A5">
        <w:rPr>
          <w:rFonts w:ascii="Book Antiqua" w:hAnsi="Book Antiqua" w:cs="宋体"/>
          <w:b/>
          <w:lang w:eastAsia="zh-CN"/>
        </w:rPr>
        <w:t xml:space="preserve">Country/Territory of origin: </w:t>
      </w:r>
      <w:r w:rsidRPr="009B04A5">
        <w:rPr>
          <w:rFonts w:ascii="Book Antiqua" w:eastAsia="宋体" w:hAnsi="Book Antiqua"/>
          <w:lang w:eastAsia="es-ES_tradnl"/>
        </w:rPr>
        <w:t>Poland</w:t>
      </w:r>
    </w:p>
    <w:p w:rsidR="00BD277C" w:rsidRPr="009B04A5" w:rsidRDefault="00BD277C" w:rsidP="00C709AE">
      <w:pPr>
        <w:widowControl w:val="0"/>
        <w:adjustRightInd w:val="0"/>
        <w:snapToGrid w:val="0"/>
        <w:spacing w:line="360" w:lineRule="auto"/>
        <w:ind w:firstLine="0"/>
        <w:rPr>
          <w:rFonts w:ascii="Book Antiqua" w:hAnsi="Book Antiqua" w:cs="宋体"/>
          <w:b/>
          <w:lang w:eastAsia="zh-CN"/>
        </w:rPr>
      </w:pPr>
      <w:r w:rsidRPr="009B04A5">
        <w:rPr>
          <w:rFonts w:ascii="Book Antiqua" w:hAnsi="Book Antiqua" w:cs="宋体"/>
          <w:b/>
          <w:lang w:eastAsia="zh-CN"/>
        </w:rPr>
        <w:t>Peer-review report’s scientific quality classification</w:t>
      </w:r>
    </w:p>
    <w:p w:rsidR="00BD277C" w:rsidRPr="009B04A5" w:rsidRDefault="00BD277C" w:rsidP="00C709AE">
      <w:pPr>
        <w:widowControl w:val="0"/>
        <w:adjustRightInd w:val="0"/>
        <w:snapToGrid w:val="0"/>
        <w:spacing w:line="360" w:lineRule="auto"/>
        <w:ind w:firstLine="0"/>
        <w:rPr>
          <w:rFonts w:ascii="Book Antiqua" w:hAnsi="Book Antiqua" w:cs="宋体"/>
          <w:lang w:eastAsia="zh-CN"/>
        </w:rPr>
      </w:pPr>
      <w:r w:rsidRPr="009B04A5">
        <w:rPr>
          <w:rFonts w:ascii="Book Antiqua" w:hAnsi="Book Antiqua" w:cs="宋体"/>
          <w:lang w:eastAsia="zh-CN"/>
        </w:rPr>
        <w:t>Grade A (Excellent): A</w:t>
      </w:r>
    </w:p>
    <w:p w:rsidR="00BD277C" w:rsidRPr="009B04A5" w:rsidRDefault="00BD277C" w:rsidP="00C709AE">
      <w:pPr>
        <w:widowControl w:val="0"/>
        <w:adjustRightInd w:val="0"/>
        <w:snapToGrid w:val="0"/>
        <w:spacing w:line="360" w:lineRule="auto"/>
        <w:ind w:firstLine="0"/>
        <w:rPr>
          <w:rFonts w:ascii="Book Antiqua" w:eastAsia="宋体" w:hAnsi="Book Antiqua" w:cs="宋体"/>
          <w:lang w:eastAsia="zh-CN"/>
        </w:rPr>
      </w:pPr>
      <w:r w:rsidRPr="009B04A5">
        <w:rPr>
          <w:rFonts w:ascii="Book Antiqua" w:hAnsi="Book Antiqua" w:cs="宋体"/>
          <w:lang w:eastAsia="zh-CN"/>
        </w:rPr>
        <w:t xml:space="preserve">Grade B (Very good): </w:t>
      </w:r>
      <w:r w:rsidR="00AE0FCD" w:rsidRPr="009B04A5">
        <w:rPr>
          <w:rFonts w:ascii="Book Antiqua" w:eastAsia="宋体" w:hAnsi="Book Antiqua" w:cs="宋体"/>
          <w:lang w:eastAsia="zh-CN"/>
        </w:rPr>
        <w:t>0</w:t>
      </w:r>
    </w:p>
    <w:p w:rsidR="00BD277C" w:rsidRPr="009B04A5" w:rsidRDefault="00BD277C" w:rsidP="00C709AE">
      <w:pPr>
        <w:widowControl w:val="0"/>
        <w:adjustRightInd w:val="0"/>
        <w:snapToGrid w:val="0"/>
        <w:spacing w:line="360" w:lineRule="auto"/>
        <w:ind w:firstLine="0"/>
        <w:rPr>
          <w:rFonts w:ascii="Book Antiqua" w:hAnsi="Book Antiqua" w:cs="宋体"/>
          <w:lang w:eastAsia="zh-CN"/>
        </w:rPr>
      </w:pPr>
      <w:r w:rsidRPr="009B04A5">
        <w:rPr>
          <w:rFonts w:ascii="Book Antiqua" w:hAnsi="Book Antiqua" w:cs="宋体"/>
          <w:lang w:eastAsia="zh-CN"/>
        </w:rPr>
        <w:t>Grade C (Good): C</w:t>
      </w:r>
      <w:r w:rsidR="00AE0FCD" w:rsidRPr="009B04A5">
        <w:rPr>
          <w:rFonts w:ascii="Book Antiqua" w:hAnsi="Book Antiqua" w:cs="宋体"/>
          <w:lang w:eastAsia="zh-CN"/>
        </w:rPr>
        <w:t>, C</w:t>
      </w:r>
    </w:p>
    <w:p w:rsidR="00BD277C" w:rsidRPr="009B04A5" w:rsidRDefault="00BD277C" w:rsidP="00C709AE">
      <w:pPr>
        <w:widowControl w:val="0"/>
        <w:adjustRightInd w:val="0"/>
        <w:snapToGrid w:val="0"/>
        <w:spacing w:line="360" w:lineRule="auto"/>
        <w:ind w:firstLine="0"/>
        <w:rPr>
          <w:rFonts w:ascii="Book Antiqua" w:hAnsi="Book Antiqua" w:cs="宋体"/>
          <w:lang w:eastAsia="zh-CN"/>
        </w:rPr>
      </w:pPr>
      <w:r w:rsidRPr="009B04A5">
        <w:rPr>
          <w:rFonts w:ascii="Book Antiqua" w:hAnsi="Book Antiqua" w:cs="宋体"/>
          <w:lang w:eastAsia="zh-CN"/>
        </w:rPr>
        <w:t>Grade D (Fair): 0</w:t>
      </w:r>
    </w:p>
    <w:p w:rsidR="00BD277C" w:rsidRPr="009B04A5" w:rsidRDefault="00BD277C" w:rsidP="00C709AE">
      <w:pPr>
        <w:widowControl w:val="0"/>
        <w:adjustRightInd w:val="0"/>
        <w:snapToGrid w:val="0"/>
        <w:spacing w:line="360" w:lineRule="auto"/>
        <w:ind w:firstLine="0"/>
        <w:rPr>
          <w:rFonts w:ascii="Book Antiqua" w:hAnsi="Book Antiqua"/>
          <w:kern w:val="2"/>
          <w:lang w:eastAsia="zh-CN"/>
        </w:rPr>
      </w:pPr>
      <w:r w:rsidRPr="009B04A5">
        <w:rPr>
          <w:rFonts w:ascii="Book Antiqua" w:hAnsi="Book Antiqua" w:cs="宋体"/>
          <w:lang w:eastAsia="zh-CN"/>
        </w:rPr>
        <w:t>Grade E (Poor): 0</w:t>
      </w:r>
    </w:p>
    <w:p w:rsidR="00BD277C" w:rsidRPr="009B04A5" w:rsidRDefault="00BD277C" w:rsidP="00C709AE">
      <w:pPr>
        <w:spacing w:line="360" w:lineRule="auto"/>
        <w:rPr>
          <w:rFonts w:ascii="Book Antiqua" w:eastAsia="宋体" w:hAnsi="Book Antiqua"/>
          <w:b/>
          <w:lang w:eastAsia="zh-CN"/>
        </w:rPr>
      </w:pPr>
    </w:p>
    <w:p w:rsidR="00BD277C" w:rsidRPr="009B04A5" w:rsidRDefault="00BD277C" w:rsidP="00C709AE">
      <w:pPr>
        <w:spacing w:line="360" w:lineRule="auto"/>
        <w:ind w:firstLine="0"/>
        <w:rPr>
          <w:rFonts w:ascii="Book Antiqua" w:eastAsia="宋体" w:hAnsi="Book Antiqua" w:cs="宋体" w:hint="eastAsia"/>
          <w:lang w:eastAsia="zh-CN"/>
        </w:rPr>
      </w:pPr>
      <w:r w:rsidRPr="009B04A5">
        <w:rPr>
          <w:rFonts w:ascii="Book Antiqua" w:hAnsi="Book Antiqua"/>
          <w:b/>
        </w:rPr>
        <w:t>P- Reviewer:</w:t>
      </w:r>
      <w:r w:rsidRPr="009B04A5">
        <w:rPr>
          <w:rFonts w:ascii="Book Antiqua" w:eastAsia="宋体" w:hAnsi="Book Antiqua"/>
          <w:b/>
          <w:lang w:eastAsia="zh-CN"/>
        </w:rPr>
        <w:t xml:space="preserve"> </w:t>
      </w:r>
      <w:r w:rsidR="00AE0FCD" w:rsidRPr="009B04A5">
        <w:rPr>
          <w:rFonts w:ascii="Book Antiqua" w:eastAsia="宋体" w:hAnsi="Book Antiqua" w:cs="宋体"/>
          <w:shd w:val="clear" w:color="auto" w:fill="FFFFFF"/>
          <w:lang w:eastAsia="zh-CN"/>
        </w:rPr>
        <w:t>Farhat</w:t>
      </w:r>
      <w:r w:rsidR="00AE0FCD" w:rsidRPr="009B04A5">
        <w:rPr>
          <w:rFonts w:ascii="Book Antiqua" w:eastAsia="宋体" w:hAnsi="Book Antiqua" w:cs="宋体"/>
          <w:lang w:eastAsia="zh-CN"/>
        </w:rPr>
        <w:t xml:space="preserve"> S, </w:t>
      </w:r>
      <w:r w:rsidR="00AE0FCD" w:rsidRPr="009B04A5">
        <w:rPr>
          <w:rFonts w:ascii="Book Antiqua" w:eastAsia="宋体" w:hAnsi="Book Antiqua" w:cs="宋体"/>
          <w:shd w:val="clear" w:color="auto" w:fill="FFFFFF"/>
          <w:lang w:eastAsia="zh-CN"/>
        </w:rPr>
        <w:t>Moschovi</w:t>
      </w:r>
      <w:r w:rsidR="00AE0FCD" w:rsidRPr="009B04A5">
        <w:rPr>
          <w:rFonts w:ascii="Book Antiqua" w:eastAsia="宋体" w:hAnsi="Book Antiqua" w:cs="宋体"/>
          <w:lang w:eastAsia="zh-CN"/>
        </w:rPr>
        <w:t xml:space="preserve"> MA, Yao DF</w:t>
      </w:r>
      <w:r w:rsidRPr="009B04A5">
        <w:rPr>
          <w:rFonts w:ascii="Book Antiqua" w:eastAsia="宋体" w:hAnsi="Book Antiqua" w:cs="宋体"/>
          <w:lang w:eastAsia="zh-CN"/>
        </w:rPr>
        <w:t xml:space="preserve"> </w:t>
      </w:r>
      <w:r w:rsidRPr="009B04A5">
        <w:rPr>
          <w:rFonts w:ascii="Book Antiqua" w:hAnsi="Book Antiqua"/>
          <w:b/>
        </w:rPr>
        <w:t>S- Editor:</w:t>
      </w:r>
      <w:r w:rsidRPr="009B04A5">
        <w:rPr>
          <w:rFonts w:ascii="Book Antiqua" w:hAnsi="Book Antiqua"/>
        </w:rPr>
        <w:t xml:space="preserve"> Dou Y</w:t>
      </w:r>
      <w:r w:rsidRPr="009B04A5">
        <w:rPr>
          <w:rFonts w:ascii="Book Antiqua" w:hAnsi="Book Antiqua"/>
          <w:b/>
        </w:rPr>
        <w:t xml:space="preserve"> L- Editor:</w:t>
      </w:r>
      <w:r w:rsidRPr="009B04A5">
        <w:rPr>
          <w:rFonts w:ascii="Book Antiqua" w:hAnsi="Book Antiqua"/>
        </w:rPr>
        <w:t xml:space="preserve"> </w:t>
      </w:r>
      <w:r w:rsidR="007C2079" w:rsidRPr="009B04A5">
        <w:rPr>
          <w:rFonts w:ascii="Book Antiqua" w:hAnsi="Book Antiqua"/>
        </w:rPr>
        <w:t xml:space="preserve">Filipodia </w:t>
      </w:r>
      <w:r w:rsidRPr="009B04A5">
        <w:rPr>
          <w:rFonts w:ascii="Book Antiqua" w:hAnsi="Book Antiqua"/>
          <w:b/>
        </w:rPr>
        <w:t>E- Editor:</w:t>
      </w:r>
      <w:r w:rsidR="00FB6A5D">
        <w:rPr>
          <w:rFonts w:ascii="Book Antiqua" w:hAnsi="Book Antiqua" w:hint="eastAsia"/>
          <w:b/>
          <w:lang w:eastAsia="zh-CN"/>
        </w:rPr>
        <w:t xml:space="preserve"> </w:t>
      </w:r>
      <w:r w:rsidR="00FB6A5D" w:rsidRPr="00FB6A5D">
        <w:rPr>
          <w:rFonts w:ascii="Book Antiqua" w:hAnsi="Book Antiqua" w:hint="eastAsia"/>
          <w:lang w:eastAsia="zh-CN"/>
        </w:rPr>
        <w:t>Zhang YL</w:t>
      </w:r>
    </w:p>
    <w:p w:rsidR="00BD277C" w:rsidRPr="009B04A5" w:rsidRDefault="00BD277C" w:rsidP="00C709AE">
      <w:pPr>
        <w:spacing w:line="360" w:lineRule="auto"/>
        <w:rPr>
          <w:rFonts w:ascii="Book Antiqua" w:eastAsia="宋体" w:hAnsi="Book Antiqua"/>
          <w:b/>
          <w:lang w:eastAsia="zh-CN"/>
        </w:rPr>
      </w:pPr>
    </w:p>
    <w:p w:rsidR="00AE0FCD" w:rsidRPr="009B04A5" w:rsidRDefault="00827DB8" w:rsidP="00C709AE">
      <w:pPr>
        <w:adjustRightInd w:val="0"/>
        <w:snapToGrid w:val="0"/>
        <w:spacing w:line="360" w:lineRule="auto"/>
        <w:ind w:firstLine="0"/>
        <w:rPr>
          <w:rFonts w:ascii="Book Antiqua" w:eastAsia="宋体" w:hAnsi="Book Antiqua"/>
          <w:b/>
          <w:lang w:eastAsia="zh-CN"/>
        </w:rPr>
      </w:pPr>
      <w:r w:rsidRPr="009B04A5">
        <w:rPr>
          <w:rFonts w:ascii="Book Antiqua" w:hAnsi="Book Antiqua"/>
          <w:lang w:eastAsia="pl-PL"/>
        </w:rPr>
        <w:br w:type="page"/>
      </w:r>
      <w:r w:rsidR="00AE0FCD" w:rsidRPr="009B04A5">
        <w:rPr>
          <w:rFonts w:ascii="Book Antiqua" w:hAnsi="Book Antiqua"/>
          <w:b/>
        </w:rPr>
        <w:lastRenderedPageBreak/>
        <w:t>Figure Legends</w:t>
      </w:r>
    </w:p>
    <w:p w:rsidR="001A2CFE" w:rsidRPr="009B04A5" w:rsidRDefault="00D321D6" w:rsidP="00C709AE">
      <w:pPr>
        <w:adjustRightInd w:val="0"/>
        <w:snapToGrid w:val="0"/>
        <w:spacing w:line="360" w:lineRule="auto"/>
        <w:ind w:firstLine="0"/>
        <w:rPr>
          <w:rFonts w:ascii="Book Antiqua" w:hAnsi="Book Antiqua"/>
        </w:rPr>
      </w:pPr>
      <w:r>
        <w:rPr>
          <w:rFonts w:ascii="Book Antiqua" w:hAnsi="Book Antiqua"/>
          <w:noProof/>
          <w:lang w:eastAsia="zh-CN"/>
        </w:rPr>
        <w:drawing>
          <wp:inline distT="0" distB="0" distL="0" distR="0">
            <wp:extent cx="5760085" cy="3254375"/>
            <wp:effectExtent l="0" t="0" r="0" b="3175"/>
            <wp:docPr id="1"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手机屏幕截图&#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254375"/>
                    </a:xfrm>
                    <a:prstGeom prst="rect">
                      <a:avLst/>
                    </a:prstGeom>
                    <a:noFill/>
                    <a:ln>
                      <a:noFill/>
                    </a:ln>
                  </pic:spPr>
                </pic:pic>
              </a:graphicData>
            </a:graphic>
          </wp:inline>
        </w:drawing>
      </w:r>
    </w:p>
    <w:p w:rsidR="00EC750E" w:rsidRPr="009B04A5" w:rsidRDefault="00EC750E" w:rsidP="00C709AE">
      <w:pPr>
        <w:adjustRightInd w:val="0"/>
        <w:snapToGrid w:val="0"/>
        <w:spacing w:line="360" w:lineRule="auto"/>
        <w:ind w:firstLine="0"/>
        <w:rPr>
          <w:rFonts w:ascii="Book Antiqua" w:hAnsi="Book Antiqua"/>
          <w:b/>
          <w:bCs/>
        </w:rPr>
      </w:pPr>
      <w:bookmarkStart w:id="10" w:name="_Ref29808400"/>
      <w:r w:rsidRPr="009B04A5">
        <w:rPr>
          <w:rFonts w:ascii="Book Antiqua" w:hAnsi="Book Antiqua"/>
          <w:b/>
          <w:bCs/>
        </w:rPr>
        <w:t>Figure 1</w:t>
      </w:r>
      <w:bookmarkEnd w:id="10"/>
      <w:r w:rsidRPr="009B04A5">
        <w:rPr>
          <w:rFonts w:ascii="Book Antiqua" w:hAnsi="Book Antiqua"/>
          <w:b/>
          <w:bCs/>
        </w:rPr>
        <w:t xml:space="preserve"> Examples of </w:t>
      </w:r>
      <w:r w:rsidR="007B304E" w:rsidRPr="009B04A5">
        <w:rPr>
          <w:rFonts w:ascii="Book Antiqua" w:hAnsi="Book Antiqua"/>
          <w:b/>
        </w:rPr>
        <w:t xml:space="preserve">microRNAs </w:t>
      </w:r>
      <w:r w:rsidRPr="009B04A5">
        <w:rPr>
          <w:rFonts w:ascii="Book Antiqua" w:hAnsi="Book Antiqua"/>
          <w:b/>
          <w:bCs/>
        </w:rPr>
        <w:t xml:space="preserve">that may exert contrasting oncogenic/tumor-suppressive effects on tumor-modifying extrinsic factors and the leukemic cells themselves (modified from Svoronos </w:t>
      </w:r>
      <w:r w:rsidR="00783C14" w:rsidRPr="009B04A5">
        <w:rPr>
          <w:rFonts w:ascii="Book Antiqua" w:hAnsi="Book Antiqua"/>
          <w:b/>
          <w:bCs/>
          <w:i/>
        </w:rPr>
        <w:t>et al</w:t>
      </w:r>
      <w:r w:rsidR="00153928" w:rsidRPr="009B04A5">
        <w:rPr>
          <w:rFonts w:ascii="Book Antiqua" w:hAnsi="Book Antiqua"/>
          <w:b/>
          <w:bCs/>
          <w:vertAlign w:val="superscript"/>
        </w:rPr>
        <w:t>[19]</w:t>
      </w:r>
      <w:r w:rsidR="009F510A" w:rsidRPr="009B04A5">
        <w:rPr>
          <w:rFonts w:ascii="Book Antiqua" w:hAnsi="Book Antiqua"/>
          <w:b/>
          <w:bCs/>
        </w:rPr>
        <w:t>, with the permission of the author</w:t>
      </w:r>
      <w:r w:rsidRPr="009B04A5">
        <w:rPr>
          <w:rFonts w:ascii="Book Antiqua" w:hAnsi="Book Antiqua"/>
          <w:b/>
          <w:bCs/>
        </w:rPr>
        <w:t>).</w:t>
      </w:r>
      <w:r w:rsidR="007B304E" w:rsidRPr="009B04A5">
        <w:rPr>
          <w:rFonts w:ascii="Book Antiqua" w:hAnsi="Book Antiqua"/>
          <w:b/>
          <w:bCs/>
        </w:rPr>
        <w:t xml:space="preserve"> </w:t>
      </w:r>
      <w:r w:rsidRPr="009B04A5">
        <w:rPr>
          <w:rFonts w:ascii="Book Antiqua" w:hAnsi="Book Antiqua"/>
          <w:bCs/>
        </w:rPr>
        <w:t xml:space="preserve">Green arrows, positive regulation; red arrows, negative regulation; blue arrows, either positive or negative regulation. A narrow </w:t>
      </w:r>
      <w:r w:rsidR="00AE37C0" w:rsidRPr="009B04A5">
        <w:rPr>
          <w:rFonts w:ascii="Book Antiqua" w:hAnsi="Book Antiqua"/>
          <w:bCs/>
        </w:rPr>
        <w:t>extension</w:t>
      </w:r>
      <w:r w:rsidRPr="009B04A5">
        <w:rPr>
          <w:rFonts w:ascii="Book Antiqua" w:hAnsi="Book Antiqua"/>
          <w:bCs/>
        </w:rPr>
        <w:t xml:space="preserve"> directly from a </w:t>
      </w:r>
      <w:r w:rsidR="007B304E" w:rsidRPr="009B04A5">
        <w:rPr>
          <w:rFonts w:ascii="Book Antiqua" w:hAnsi="Book Antiqua"/>
          <w:bCs/>
        </w:rPr>
        <w:t>microRNA</w:t>
      </w:r>
      <w:r w:rsidR="007B304E" w:rsidRPr="009B04A5">
        <w:rPr>
          <w:rFonts w:ascii="Book Antiqua" w:hAnsi="Book Antiqua"/>
          <w:b/>
        </w:rPr>
        <w:t xml:space="preserve"> </w:t>
      </w:r>
      <w:r w:rsidRPr="009B04A5">
        <w:rPr>
          <w:rFonts w:ascii="Book Antiqua" w:hAnsi="Book Antiqua"/>
          <w:bCs/>
        </w:rPr>
        <w:t xml:space="preserve">to the central leukemic cell refers to promotion/inhibition of leukemic cell progression/survival through the </w:t>
      </w:r>
      <w:r w:rsidR="007B304E" w:rsidRPr="009B04A5">
        <w:rPr>
          <w:rFonts w:ascii="Book Antiqua" w:hAnsi="Book Antiqua"/>
          <w:bCs/>
        </w:rPr>
        <w:t>microRNA’s</w:t>
      </w:r>
      <w:r w:rsidR="007B304E" w:rsidRPr="009B04A5">
        <w:rPr>
          <w:rFonts w:ascii="Book Antiqua" w:hAnsi="Book Antiqua"/>
          <w:b/>
        </w:rPr>
        <w:t xml:space="preserve"> </w:t>
      </w:r>
      <w:r w:rsidRPr="009B04A5">
        <w:rPr>
          <w:rFonts w:ascii="Book Antiqua" w:hAnsi="Book Antiqua"/>
          <w:bCs/>
        </w:rPr>
        <w:t>direct regulation of leukemic cell–endogenous mRNAs.</w:t>
      </w:r>
    </w:p>
    <w:p w:rsidR="00EC750E" w:rsidRPr="009B04A5" w:rsidRDefault="00D321D6" w:rsidP="00C709AE">
      <w:pPr>
        <w:adjustRightInd w:val="0"/>
        <w:snapToGrid w:val="0"/>
        <w:spacing w:line="360" w:lineRule="auto"/>
        <w:ind w:firstLine="0"/>
        <w:rPr>
          <w:rFonts w:ascii="Book Antiqua" w:hAnsi="Book Antiqua"/>
        </w:rPr>
      </w:pPr>
      <w:r>
        <w:rPr>
          <w:rFonts w:ascii="Book Antiqua" w:hAnsi="Book Antiqua"/>
          <w:noProof/>
          <w:lang w:eastAsia="zh-CN"/>
        </w:rPr>
        <w:lastRenderedPageBreak/>
        <w:drawing>
          <wp:inline distT="0" distB="0" distL="0" distR="0">
            <wp:extent cx="5579745" cy="6120130"/>
            <wp:effectExtent l="0" t="0" r="1905" b="0"/>
            <wp:docPr id="2"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包含 游戏机&#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6120130"/>
                    </a:xfrm>
                    <a:prstGeom prst="rect">
                      <a:avLst/>
                    </a:prstGeom>
                    <a:noFill/>
                    <a:ln>
                      <a:noFill/>
                    </a:ln>
                  </pic:spPr>
                </pic:pic>
              </a:graphicData>
            </a:graphic>
          </wp:inline>
        </w:drawing>
      </w:r>
    </w:p>
    <w:p w:rsidR="00EC750E" w:rsidRPr="009B04A5" w:rsidRDefault="00EC750E" w:rsidP="00C709AE">
      <w:pPr>
        <w:pStyle w:val="a8"/>
        <w:adjustRightInd w:val="0"/>
        <w:snapToGrid w:val="0"/>
        <w:spacing w:line="360" w:lineRule="auto"/>
        <w:ind w:firstLine="0"/>
        <w:rPr>
          <w:rFonts w:ascii="Book Antiqua" w:hAnsi="Book Antiqua"/>
          <w:b w:val="0"/>
          <w:sz w:val="24"/>
          <w:szCs w:val="24"/>
        </w:rPr>
      </w:pPr>
      <w:r w:rsidRPr="009B04A5">
        <w:rPr>
          <w:rFonts w:ascii="Book Antiqua" w:hAnsi="Book Antiqua"/>
          <w:bCs w:val="0"/>
          <w:sz w:val="24"/>
          <w:szCs w:val="24"/>
        </w:rPr>
        <w:t>Figure 2 A top</w:t>
      </w:r>
      <w:r w:rsidR="00AE37C0" w:rsidRPr="009B04A5">
        <w:rPr>
          <w:rFonts w:ascii="Book Antiqua" w:hAnsi="Book Antiqua"/>
          <w:bCs w:val="0"/>
          <w:sz w:val="24"/>
          <w:szCs w:val="24"/>
        </w:rPr>
        <w:t xml:space="preserve"> </w:t>
      </w:r>
      <w:r w:rsidRPr="009B04A5">
        <w:rPr>
          <w:rFonts w:ascii="Book Antiqua" w:hAnsi="Book Antiqua"/>
          <w:bCs w:val="0"/>
          <w:sz w:val="24"/>
          <w:szCs w:val="24"/>
        </w:rPr>
        <w:t xml:space="preserve">ten discriminative </w:t>
      </w:r>
      <w:r w:rsidR="007B304E" w:rsidRPr="009B04A5">
        <w:rPr>
          <w:rFonts w:ascii="Book Antiqua" w:hAnsi="Book Antiqua"/>
          <w:bCs w:val="0"/>
          <w:sz w:val="24"/>
          <w:szCs w:val="24"/>
        </w:rPr>
        <w:t>microRNA</w:t>
      </w:r>
      <w:r w:rsidR="007B304E" w:rsidRPr="009B04A5">
        <w:rPr>
          <w:rFonts w:ascii="Book Antiqua" w:hAnsi="Book Antiqua"/>
          <w:b w:val="0"/>
          <w:sz w:val="24"/>
          <w:szCs w:val="24"/>
        </w:rPr>
        <w:t xml:space="preserve"> </w:t>
      </w:r>
      <w:r w:rsidRPr="009B04A5">
        <w:rPr>
          <w:rFonts w:ascii="Book Antiqua" w:hAnsi="Book Antiqua"/>
          <w:bCs w:val="0"/>
          <w:sz w:val="24"/>
          <w:szCs w:val="24"/>
        </w:rPr>
        <w:t>set for the main acute lymphoblastic leukemia subgroups</w:t>
      </w:r>
      <w:r w:rsidRPr="005402CC">
        <w:rPr>
          <w:rFonts w:ascii="Book Antiqua" w:hAnsi="Book Antiqua"/>
          <w:bCs w:val="0"/>
          <w:sz w:val="24"/>
          <w:szCs w:val="24"/>
        </w:rPr>
        <w:t>.</w:t>
      </w:r>
      <w:r w:rsidRPr="009B04A5">
        <w:rPr>
          <w:rFonts w:ascii="Book Antiqua" w:hAnsi="Book Antiqua"/>
          <w:b w:val="0"/>
          <w:sz w:val="24"/>
          <w:szCs w:val="24"/>
        </w:rPr>
        <w:t xml:space="preserve"> The subtypes display a unique discriminating </w:t>
      </w:r>
      <w:r w:rsidR="007B304E" w:rsidRPr="009B04A5">
        <w:rPr>
          <w:rFonts w:ascii="Book Antiqua" w:hAnsi="Book Antiqua"/>
          <w:b w:val="0"/>
          <w:sz w:val="24"/>
          <w:szCs w:val="24"/>
        </w:rPr>
        <w:t xml:space="preserve">microRNA </w:t>
      </w:r>
      <w:r w:rsidRPr="009B04A5">
        <w:rPr>
          <w:rFonts w:ascii="Book Antiqua" w:hAnsi="Book Antiqua"/>
          <w:b w:val="0"/>
          <w:sz w:val="24"/>
          <w:szCs w:val="24"/>
        </w:rPr>
        <w:t xml:space="preserve">(except where overlap is shown) that distinguishes each subgroup from each other (modified from </w:t>
      </w:r>
      <w:r w:rsidRPr="009B04A5">
        <w:rPr>
          <w:rFonts w:ascii="Book Antiqua" w:hAnsi="Book Antiqua"/>
          <w:b w:val="0"/>
          <w:sz w:val="24"/>
          <w:szCs w:val="24"/>
          <w:lang w:eastAsia="pl-PL"/>
        </w:rPr>
        <w:t>Grobbelaar</w:t>
      </w:r>
      <w:r w:rsidRPr="009B04A5">
        <w:rPr>
          <w:rFonts w:ascii="Book Antiqua" w:hAnsi="Book Antiqua"/>
          <w:b w:val="0"/>
          <w:sz w:val="24"/>
          <w:szCs w:val="24"/>
        </w:rPr>
        <w:t xml:space="preserve"> </w:t>
      </w:r>
      <w:r w:rsidR="007B304E" w:rsidRPr="009B04A5">
        <w:rPr>
          <w:rFonts w:ascii="Book Antiqua" w:hAnsi="Book Antiqua"/>
          <w:b w:val="0"/>
          <w:i/>
          <w:iCs/>
          <w:sz w:val="24"/>
          <w:szCs w:val="24"/>
        </w:rPr>
        <w:t>et al</w:t>
      </w:r>
      <w:r w:rsidRPr="009B04A5">
        <w:rPr>
          <w:rFonts w:ascii="Book Antiqua" w:hAnsi="Book Antiqua"/>
          <w:b w:val="0"/>
          <w:sz w:val="24"/>
          <w:szCs w:val="24"/>
          <w:vertAlign w:val="superscript"/>
        </w:rPr>
        <w:t>[3]</w:t>
      </w:r>
      <w:r w:rsidR="008B62DD" w:rsidRPr="009B04A5">
        <w:rPr>
          <w:rFonts w:ascii="Book Antiqua" w:hAnsi="Book Antiqua"/>
          <w:b w:val="0"/>
          <w:sz w:val="24"/>
          <w:szCs w:val="24"/>
        </w:rPr>
        <w:t>, with the permission of the author</w:t>
      </w:r>
      <w:r w:rsidRPr="009B04A5">
        <w:rPr>
          <w:rFonts w:ascii="Book Antiqua" w:hAnsi="Book Antiqua"/>
          <w:b w:val="0"/>
          <w:sz w:val="24"/>
          <w:szCs w:val="24"/>
        </w:rPr>
        <w:t>).</w:t>
      </w:r>
      <w:r w:rsidR="007B304E" w:rsidRPr="009B04A5">
        <w:rPr>
          <w:rFonts w:ascii="Book Antiqua" w:hAnsi="Book Antiqua"/>
          <w:b w:val="0"/>
          <w:bCs w:val="0"/>
          <w:sz w:val="24"/>
          <w:szCs w:val="24"/>
        </w:rPr>
        <w:t xml:space="preserve"> ALL: Acute lymphoblastic leukemia</w:t>
      </w:r>
      <w:r w:rsidR="001F769A" w:rsidRPr="009B04A5">
        <w:rPr>
          <w:rFonts w:ascii="Book Antiqua" w:hAnsi="Book Antiqua"/>
          <w:b w:val="0"/>
          <w:bCs w:val="0"/>
          <w:sz w:val="24"/>
          <w:szCs w:val="24"/>
        </w:rPr>
        <w:t>.</w:t>
      </w:r>
    </w:p>
    <w:p w:rsidR="00EC750E" w:rsidRPr="009B04A5" w:rsidRDefault="00D321D6" w:rsidP="00C709AE">
      <w:pPr>
        <w:adjustRightInd w:val="0"/>
        <w:snapToGrid w:val="0"/>
        <w:spacing w:line="360" w:lineRule="auto"/>
        <w:ind w:firstLine="0"/>
        <w:rPr>
          <w:rFonts w:ascii="Book Antiqua" w:hAnsi="Book Antiqua"/>
        </w:rPr>
      </w:pPr>
      <w:r>
        <w:rPr>
          <w:rFonts w:ascii="Book Antiqua" w:hAnsi="Book Antiqua"/>
          <w:noProof/>
          <w:lang w:eastAsia="zh-CN"/>
        </w:rPr>
        <w:lastRenderedPageBreak/>
        <w:drawing>
          <wp:inline distT="0" distB="0" distL="0" distR="0">
            <wp:extent cx="5514975" cy="6069330"/>
            <wp:effectExtent l="0" t="0" r="9525" b="7620"/>
            <wp:docPr id="3"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片包含 游戏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6069330"/>
                    </a:xfrm>
                    <a:prstGeom prst="rect">
                      <a:avLst/>
                    </a:prstGeom>
                    <a:noFill/>
                    <a:ln>
                      <a:noFill/>
                    </a:ln>
                  </pic:spPr>
                </pic:pic>
              </a:graphicData>
            </a:graphic>
          </wp:inline>
        </w:drawing>
      </w:r>
    </w:p>
    <w:p w:rsidR="007B304E" w:rsidRPr="009B04A5" w:rsidRDefault="00EC750E" w:rsidP="00C709AE">
      <w:pPr>
        <w:adjustRightInd w:val="0"/>
        <w:snapToGrid w:val="0"/>
        <w:spacing w:line="360" w:lineRule="auto"/>
        <w:ind w:firstLine="0"/>
        <w:rPr>
          <w:rFonts w:ascii="Book Antiqua" w:hAnsi="Book Antiqua"/>
        </w:rPr>
      </w:pPr>
      <w:r w:rsidRPr="009B04A5">
        <w:rPr>
          <w:rFonts w:ascii="Book Antiqua" w:hAnsi="Book Antiqua"/>
          <w:b/>
        </w:rPr>
        <w:t>Figure 3 A top</w:t>
      </w:r>
      <w:r w:rsidR="00AE37C0" w:rsidRPr="009B04A5">
        <w:rPr>
          <w:rFonts w:ascii="Book Antiqua" w:hAnsi="Book Antiqua"/>
          <w:b/>
        </w:rPr>
        <w:t xml:space="preserve"> </w:t>
      </w:r>
      <w:r w:rsidRPr="009B04A5">
        <w:rPr>
          <w:rFonts w:ascii="Book Antiqua" w:hAnsi="Book Antiqua"/>
          <w:b/>
        </w:rPr>
        <w:t xml:space="preserve">ten discriminative </w:t>
      </w:r>
      <w:r w:rsidR="007B304E" w:rsidRPr="009B04A5">
        <w:rPr>
          <w:rFonts w:ascii="Book Antiqua" w:hAnsi="Book Antiqua"/>
          <w:b/>
        </w:rPr>
        <w:t xml:space="preserve">microRNA </w:t>
      </w:r>
      <w:r w:rsidRPr="009B04A5">
        <w:rPr>
          <w:rFonts w:ascii="Book Antiqua" w:hAnsi="Book Antiqua"/>
          <w:b/>
        </w:rPr>
        <w:t xml:space="preserve">set for the main acute myeloid leukemia subgroups. </w:t>
      </w:r>
      <w:r w:rsidRPr="009B04A5">
        <w:rPr>
          <w:rFonts w:ascii="Book Antiqua" w:hAnsi="Book Antiqua"/>
          <w:bCs/>
        </w:rPr>
        <w:t xml:space="preserve">The subtypes display a unique discriminating </w:t>
      </w:r>
      <w:r w:rsidR="007B304E" w:rsidRPr="009B04A5">
        <w:rPr>
          <w:rFonts w:ascii="Book Antiqua" w:hAnsi="Book Antiqua"/>
          <w:bCs/>
        </w:rPr>
        <w:t xml:space="preserve">microRNA </w:t>
      </w:r>
      <w:r w:rsidRPr="009B04A5">
        <w:rPr>
          <w:rFonts w:ascii="Book Antiqua" w:hAnsi="Book Antiqua"/>
          <w:bCs/>
        </w:rPr>
        <w:t>(except where overlap is shown) that distinguishes each subgroup from each other (</w:t>
      </w:r>
      <w:r w:rsidR="00BE1E03" w:rsidRPr="009B04A5">
        <w:rPr>
          <w:rFonts w:ascii="Book Antiqua" w:hAnsi="Book Antiqua"/>
          <w:bCs/>
        </w:rPr>
        <w:t>based on data from</w:t>
      </w:r>
      <w:r w:rsidR="00BE1E03" w:rsidRPr="009B04A5" w:rsidDel="00BE1E03">
        <w:rPr>
          <w:rFonts w:ascii="Book Antiqua" w:hAnsi="Book Antiqua"/>
          <w:bCs/>
        </w:rPr>
        <w:t xml:space="preserve"> </w:t>
      </w:r>
      <w:r w:rsidR="00F828CA" w:rsidRPr="009B04A5">
        <w:rPr>
          <w:rFonts w:ascii="Book Antiqua" w:hAnsi="Book Antiqua"/>
          <w:bCs/>
          <w:lang w:eastAsia="pl-PL"/>
        </w:rPr>
        <w:t xml:space="preserve">Trino </w:t>
      </w:r>
      <w:r w:rsidR="00783C14" w:rsidRPr="009B04A5">
        <w:rPr>
          <w:rFonts w:ascii="Book Antiqua" w:hAnsi="Book Antiqua"/>
          <w:bCs/>
          <w:i/>
          <w:lang w:eastAsia="pl-PL"/>
        </w:rPr>
        <w:t>et al</w:t>
      </w:r>
      <w:r w:rsidR="000A6432" w:rsidRPr="009B04A5">
        <w:rPr>
          <w:rFonts w:ascii="Book Antiqua" w:hAnsi="Book Antiqua"/>
          <w:bCs/>
          <w:vertAlign w:val="superscript"/>
        </w:rPr>
        <w:t>[69]</w:t>
      </w:r>
      <w:r w:rsidRPr="009B04A5">
        <w:rPr>
          <w:rFonts w:ascii="Book Antiqua" w:hAnsi="Book Antiqua"/>
          <w:bCs/>
        </w:rPr>
        <w:t>).</w:t>
      </w:r>
      <w:r w:rsidR="007B304E" w:rsidRPr="009B04A5">
        <w:rPr>
          <w:rFonts w:ascii="Book Antiqua" w:hAnsi="Book Antiqua"/>
          <w:bCs/>
        </w:rPr>
        <w:t xml:space="preserve"> </w:t>
      </w:r>
      <w:r w:rsidR="007B304E" w:rsidRPr="009B04A5">
        <w:rPr>
          <w:rFonts w:ascii="Book Antiqua" w:hAnsi="Book Antiqua"/>
        </w:rPr>
        <w:t>AML: Acute myeloid leukemia.</w:t>
      </w:r>
    </w:p>
    <w:p w:rsidR="00EC750E" w:rsidRPr="009B04A5" w:rsidRDefault="00EC750E" w:rsidP="00C709AE">
      <w:pPr>
        <w:pStyle w:val="a8"/>
        <w:adjustRightInd w:val="0"/>
        <w:snapToGrid w:val="0"/>
        <w:spacing w:line="360" w:lineRule="auto"/>
        <w:ind w:firstLine="0"/>
        <w:rPr>
          <w:rStyle w:val="tlid-translation"/>
          <w:rFonts w:ascii="Book Antiqua" w:hAnsi="Book Antiqua"/>
          <w:b w:val="0"/>
          <w:sz w:val="24"/>
          <w:szCs w:val="24"/>
        </w:rPr>
      </w:pPr>
    </w:p>
    <w:p w:rsidR="00EC750E" w:rsidRPr="009B04A5" w:rsidRDefault="00D321D6" w:rsidP="00C709AE">
      <w:pPr>
        <w:adjustRightInd w:val="0"/>
        <w:snapToGrid w:val="0"/>
        <w:spacing w:line="360" w:lineRule="auto"/>
        <w:ind w:firstLine="0"/>
        <w:rPr>
          <w:rFonts w:ascii="Book Antiqua" w:hAnsi="Book Antiqua"/>
        </w:rPr>
      </w:pPr>
      <w:r>
        <w:rPr>
          <w:rFonts w:ascii="Book Antiqua" w:hAnsi="Book Antiqua"/>
          <w:noProof/>
          <w:lang w:eastAsia="zh-CN"/>
        </w:rPr>
        <w:lastRenderedPageBreak/>
        <w:drawing>
          <wp:inline distT="0" distB="0" distL="0" distR="0">
            <wp:extent cx="5767070" cy="4039235"/>
            <wp:effectExtent l="0" t="0" r="5080" b="0"/>
            <wp:docPr id="4"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手机屏幕截图&#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070" cy="4039235"/>
                    </a:xfrm>
                    <a:prstGeom prst="rect">
                      <a:avLst/>
                    </a:prstGeom>
                    <a:noFill/>
                    <a:ln>
                      <a:noFill/>
                    </a:ln>
                  </pic:spPr>
                </pic:pic>
              </a:graphicData>
            </a:graphic>
          </wp:inline>
        </w:drawing>
      </w:r>
    </w:p>
    <w:p w:rsidR="00987970" w:rsidRPr="009B04A5" w:rsidRDefault="00EC750E" w:rsidP="00C709AE">
      <w:pPr>
        <w:adjustRightInd w:val="0"/>
        <w:snapToGrid w:val="0"/>
        <w:spacing w:line="360" w:lineRule="auto"/>
        <w:ind w:firstLine="0"/>
        <w:rPr>
          <w:rFonts w:ascii="Book Antiqua" w:hAnsi="Book Antiqua"/>
        </w:rPr>
      </w:pPr>
      <w:r w:rsidRPr="009B04A5">
        <w:rPr>
          <w:rFonts w:ascii="Book Antiqua" w:hAnsi="Book Antiqua"/>
          <w:b/>
        </w:rPr>
        <w:t xml:space="preserve">Figure 4 Possible roles of </w:t>
      </w:r>
      <w:r w:rsidR="00AE37C0" w:rsidRPr="009B04A5">
        <w:rPr>
          <w:rFonts w:ascii="Book Antiqua" w:hAnsi="Book Antiqua"/>
          <w:b/>
        </w:rPr>
        <w:t>microRNAs</w:t>
      </w:r>
      <w:r w:rsidRPr="009B04A5">
        <w:rPr>
          <w:rFonts w:ascii="Book Antiqua" w:hAnsi="Book Antiqua"/>
          <w:b/>
        </w:rPr>
        <w:t xml:space="preserve"> in</w:t>
      </w:r>
      <w:r w:rsidR="00AE37C0" w:rsidRPr="009B04A5">
        <w:rPr>
          <w:rFonts w:ascii="Book Antiqua" w:hAnsi="Book Antiqua"/>
          <w:b/>
        </w:rPr>
        <w:t xml:space="preserve"> the</w:t>
      </w:r>
      <w:r w:rsidRPr="009B04A5">
        <w:rPr>
          <w:rFonts w:ascii="Book Antiqua" w:hAnsi="Book Antiqua"/>
          <w:b/>
        </w:rPr>
        <w:t xml:space="preserve"> diagnosis and prognosis of childhood </w:t>
      </w:r>
      <w:r w:rsidR="007B304E" w:rsidRPr="009B04A5">
        <w:rPr>
          <w:rFonts w:ascii="Book Antiqua" w:hAnsi="Book Antiqua"/>
          <w:b/>
        </w:rPr>
        <w:t xml:space="preserve">acute lymphoblastic leukemia </w:t>
      </w:r>
      <w:r w:rsidRPr="009B04A5">
        <w:rPr>
          <w:rFonts w:ascii="Book Antiqua" w:hAnsi="Book Antiqua"/>
          <w:b/>
        </w:rPr>
        <w:t xml:space="preserve">(modified from </w:t>
      </w:r>
      <w:r w:rsidR="00F828CA" w:rsidRPr="009B04A5">
        <w:rPr>
          <w:rFonts w:ascii="Book Antiqua" w:hAnsi="Book Antiqua"/>
          <w:b/>
          <w:lang w:eastAsia="pl-PL"/>
        </w:rPr>
        <w:t xml:space="preserve">Grobbelaar </w:t>
      </w:r>
      <w:r w:rsidR="00783C14" w:rsidRPr="009B04A5">
        <w:rPr>
          <w:rFonts w:ascii="Book Antiqua" w:hAnsi="Book Antiqua"/>
          <w:b/>
          <w:i/>
          <w:lang w:eastAsia="pl-PL"/>
        </w:rPr>
        <w:t>et al</w:t>
      </w:r>
      <w:r w:rsidRPr="009B04A5">
        <w:rPr>
          <w:rFonts w:ascii="Book Antiqua" w:hAnsi="Book Antiqua"/>
          <w:b/>
          <w:vertAlign w:val="superscript"/>
        </w:rPr>
        <w:t>[3]</w:t>
      </w:r>
      <w:r w:rsidR="00BE1E03" w:rsidRPr="009B04A5">
        <w:rPr>
          <w:rFonts w:ascii="Book Antiqua" w:hAnsi="Book Antiqua"/>
          <w:b/>
        </w:rPr>
        <w:t>, with the permission of the author</w:t>
      </w:r>
      <w:r w:rsidRPr="009B04A5">
        <w:rPr>
          <w:rFonts w:ascii="Book Antiqua" w:hAnsi="Book Antiqua"/>
          <w:b/>
        </w:rPr>
        <w:t>).</w:t>
      </w:r>
      <w:r w:rsidR="007B304E" w:rsidRPr="009B04A5">
        <w:rPr>
          <w:rFonts w:ascii="Book Antiqua" w:hAnsi="Book Antiqua"/>
        </w:rPr>
        <w:t xml:space="preserve"> ALL: Acute lymphoblastic leukemia; AML: Acute myeloid leukemia.</w:t>
      </w:r>
    </w:p>
    <w:p w:rsidR="00EC750E"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br w:type="page"/>
      </w:r>
      <w:r w:rsidR="00D321D6">
        <w:rPr>
          <w:rFonts w:ascii="Book Antiqua" w:hAnsi="Book Antiqua"/>
          <w:noProof/>
          <w:lang w:eastAsia="zh-CN"/>
        </w:rPr>
        <w:lastRenderedPageBreak/>
        <w:drawing>
          <wp:inline distT="0" distB="0" distL="0" distR="0">
            <wp:extent cx="5760085" cy="3420110"/>
            <wp:effectExtent l="0" t="0" r="0" b="8890"/>
            <wp:docPr id="5" name="图片 9"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地图的截图&#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420110"/>
                    </a:xfrm>
                    <a:prstGeom prst="rect">
                      <a:avLst/>
                    </a:prstGeom>
                    <a:noFill/>
                    <a:ln>
                      <a:noFill/>
                    </a:ln>
                  </pic:spPr>
                </pic:pic>
              </a:graphicData>
            </a:graphic>
          </wp:inline>
        </w:drawing>
      </w:r>
    </w:p>
    <w:p w:rsidR="00E3125B" w:rsidRPr="009B04A5" w:rsidRDefault="00EC750E" w:rsidP="00C709AE">
      <w:pPr>
        <w:pStyle w:val="a8"/>
        <w:adjustRightInd w:val="0"/>
        <w:snapToGrid w:val="0"/>
        <w:spacing w:line="360" w:lineRule="auto"/>
        <w:ind w:firstLine="0"/>
        <w:rPr>
          <w:rFonts w:ascii="Book Antiqua" w:hAnsi="Book Antiqua"/>
          <w:b w:val="0"/>
          <w:sz w:val="24"/>
          <w:szCs w:val="24"/>
        </w:rPr>
      </w:pPr>
      <w:r w:rsidRPr="009B04A5">
        <w:rPr>
          <w:rFonts w:ascii="Book Antiqua" w:hAnsi="Book Antiqua"/>
          <w:bCs w:val="0"/>
          <w:sz w:val="24"/>
          <w:szCs w:val="24"/>
        </w:rPr>
        <w:t xml:space="preserve">Figure 5 Schematic strategy for the development of new therapeutic protocols to modulate the biological activity of </w:t>
      </w:r>
      <w:r w:rsidR="007B304E" w:rsidRPr="009B04A5">
        <w:rPr>
          <w:rFonts w:ascii="Book Antiqua" w:hAnsi="Book Antiqua"/>
          <w:bCs w:val="0"/>
          <w:sz w:val="24"/>
          <w:szCs w:val="24"/>
        </w:rPr>
        <w:t>microRNAs</w:t>
      </w:r>
      <w:r w:rsidRPr="009B04A5">
        <w:rPr>
          <w:rFonts w:ascii="Book Antiqua" w:hAnsi="Book Antiqua"/>
          <w:bCs w:val="0"/>
          <w:sz w:val="24"/>
          <w:szCs w:val="24"/>
        </w:rPr>
        <w:t xml:space="preserve">. </w:t>
      </w:r>
      <w:r w:rsidRPr="009B04A5">
        <w:rPr>
          <w:rFonts w:ascii="Book Antiqua" w:hAnsi="Book Antiqua"/>
          <w:b w:val="0"/>
          <w:sz w:val="24"/>
          <w:szCs w:val="24"/>
        </w:rPr>
        <w:t>This approach involve</w:t>
      </w:r>
      <w:r w:rsidR="00B0013A" w:rsidRPr="009B04A5">
        <w:rPr>
          <w:rFonts w:ascii="Book Antiqua" w:hAnsi="Book Antiqua"/>
          <w:b w:val="0"/>
          <w:sz w:val="24"/>
          <w:szCs w:val="24"/>
        </w:rPr>
        <w:t>s</w:t>
      </w:r>
      <w:r w:rsidRPr="009B04A5">
        <w:rPr>
          <w:rFonts w:ascii="Book Antiqua" w:hAnsi="Book Antiqua"/>
          <w:b w:val="0"/>
          <w:sz w:val="24"/>
          <w:szCs w:val="24"/>
        </w:rPr>
        <w:t xml:space="preserve"> several </w:t>
      </w:r>
      <w:r w:rsidR="00AE37C0" w:rsidRPr="009B04A5">
        <w:rPr>
          <w:rFonts w:ascii="Book Antiqua" w:hAnsi="Book Antiqua"/>
          <w:b w:val="0"/>
          <w:sz w:val="24"/>
          <w:szCs w:val="24"/>
        </w:rPr>
        <w:t>mechanisms</w:t>
      </w:r>
      <w:r w:rsidRPr="009B04A5">
        <w:rPr>
          <w:rFonts w:ascii="Book Antiqua" w:hAnsi="Book Antiqua"/>
          <w:b w:val="0"/>
          <w:sz w:val="24"/>
          <w:szCs w:val="24"/>
        </w:rPr>
        <w:t xml:space="preserve"> of the downregulation of oncomiRNAs or the upregulation/mimicking of oncosuppressor </w:t>
      </w:r>
      <w:r w:rsidR="007B304E" w:rsidRPr="009B04A5">
        <w:rPr>
          <w:rFonts w:ascii="Book Antiqua" w:hAnsi="Book Antiqua"/>
          <w:b w:val="0"/>
          <w:sz w:val="24"/>
          <w:szCs w:val="24"/>
        </w:rPr>
        <w:t xml:space="preserve">microRNAs </w:t>
      </w:r>
      <w:r w:rsidRPr="009B04A5">
        <w:rPr>
          <w:rFonts w:ascii="Book Antiqua" w:hAnsi="Book Antiqua"/>
          <w:b w:val="0"/>
          <w:sz w:val="24"/>
          <w:szCs w:val="24"/>
        </w:rPr>
        <w:t>(modified from G</w:t>
      </w:r>
      <w:r w:rsidR="00DE3814" w:rsidRPr="009B04A5">
        <w:rPr>
          <w:rFonts w:ascii="Book Antiqua" w:hAnsi="Book Antiqua"/>
          <w:b w:val="0"/>
          <w:sz w:val="24"/>
          <w:szCs w:val="24"/>
        </w:rPr>
        <w:t>okani</w:t>
      </w:r>
      <w:r w:rsidRPr="009B04A5">
        <w:rPr>
          <w:rFonts w:ascii="Book Antiqua" w:hAnsi="Book Antiqua"/>
          <w:b w:val="0"/>
          <w:sz w:val="24"/>
          <w:szCs w:val="24"/>
        </w:rPr>
        <w:t xml:space="preserve"> </w:t>
      </w:r>
      <w:r w:rsidR="00783C14" w:rsidRPr="009B04A5">
        <w:rPr>
          <w:rFonts w:ascii="Book Antiqua" w:hAnsi="Book Antiqua"/>
          <w:b w:val="0"/>
          <w:i/>
          <w:sz w:val="24"/>
          <w:szCs w:val="24"/>
        </w:rPr>
        <w:t>et al</w:t>
      </w:r>
      <w:r w:rsidR="00DE3814" w:rsidRPr="009B04A5">
        <w:rPr>
          <w:rFonts w:ascii="Book Antiqua" w:hAnsi="Book Antiqua"/>
          <w:b w:val="0"/>
          <w:sz w:val="24"/>
          <w:szCs w:val="24"/>
          <w:vertAlign w:val="superscript"/>
        </w:rPr>
        <w:t>[153]</w:t>
      </w:r>
      <w:r w:rsidR="004A3CA7" w:rsidRPr="009B04A5">
        <w:rPr>
          <w:rFonts w:ascii="Book Antiqua" w:hAnsi="Book Antiqua"/>
          <w:b w:val="0"/>
          <w:sz w:val="24"/>
          <w:szCs w:val="24"/>
        </w:rPr>
        <w:t>, with the permission of the author</w:t>
      </w:r>
      <w:r w:rsidRPr="009B04A5">
        <w:rPr>
          <w:rFonts w:ascii="Book Antiqua" w:hAnsi="Book Antiqua"/>
          <w:b w:val="0"/>
          <w:sz w:val="24"/>
          <w:szCs w:val="24"/>
        </w:rPr>
        <w:t>).</w:t>
      </w:r>
      <w:r w:rsidR="007B304E" w:rsidRPr="009B04A5">
        <w:rPr>
          <w:rFonts w:ascii="Book Antiqua" w:hAnsi="Book Antiqua"/>
          <w:b w:val="0"/>
          <w:sz w:val="24"/>
          <w:szCs w:val="24"/>
        </w:rPr>
        <w:t xml:space="preserve"> </w:t>
      </w:r>
      <w:r w:rsidR="00B0013A" w:rsidRPr="009B04A5">
        <w:rPr>
          <w:rFonts w:ascii="Book Antiqua" w:hAnsi="Book Antiqua"/>
          <w:b w:val="0"/>
          <w:sz w:val="24"/>
          <w:szCs w:val="24"/>
        </w:rPr>
        <w:t>M</w:t>
      </w:r>
      <w:r w:rsidR="007B304E" w:rsidRPr="009B04A5">
        <w:rPr>
          <w:rFonts w:ascii="Book Antiqua" w:hAnsi="Book Antiqua"/>
          <w:b w:val="0"/>
          <w:sz w:val="24"/>
          <w:szCs w:val="24"/>
        </w:rPr>
        <w:t>iRNAs: MicroRNAs.</w:t>
      </w:r>
    </w:p>
    <w:p w:rsidR="00987970" w:rsidRPr="009B04A5" w:rsidRDefault="007B304E" w:rsidP="00C709AE">
      <w:pPr>
        <w:pStyle w:val="a8"/>
        <w:tabs>
          <w:tab w:val="left" w:pos="284"/>
        </w:tabs>
        <w:adjustRightInd w:val="0"/>
        <w:snapToGrid w:val="0"/>
        <w:spacing w:line="360" w:lineRule="auto"/>
        <w:ind w:firstLine="0"/>
        <w:rPr>
          <w:rFonts w:ascii="Book Antiqua" w:hAnsi="Book Antiqua"/>
          <w:sz w:val="24"/>
          <w:szCs w:val="24"/>
        </w:rPr>
      </w:pPr>
      <w:r w:rsidRPr="009B04A5">
        <w:rPr>
          <w:rFonts w:ascii="Book Antiqua" w:hAnsi="Book Antiqua"/>
          <w:sz w:val="24"/>
          <w:szCs w:val="24"/>
        </w:rPr>
        <w:br w:type="page"/>
      </w:r>
      <w:r w:rsidR="00987970" w:rsidRPr="009B04A5">
        <w:rPr>
          <w:rFonts w:ascii="Book Antiqua" w:hAnsi="Book Antiqua"/>
          <w:sz w:val="24"/>
          <w:szCs w:val="24"/>
        </w:rPr>
        <w:lastRenderedPageBreak/>
        <w:t>Table 1 Targets of microRNA associated with acute leukemia (based on data in Human microRNA Disease Database http://www.cuilab.cn/hmdd)</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285"/>
        <w:gridCol w:w="6768"/>
        <w:gridCol w:w="1003"/>
      </w:tblGrid>
      <w:tr w:rsidR="009B04A5" w:rsidRPr="009B04A5" w:rsidTr="007B304E">
        <w:trPr>
          <w:trHeight w:val="113"/>
        </w:trPr>
        <w:tc>
          <w:tcPr>
            <w:tcW w:w="709" w:type="pct"/>
            <w:tcBorders>
              <w:top w:val="single" w:sz="4" w:space="0" w:color="auto"/>
              <w:bottom w:val="single" w:sz="4" w:space="0" w:color="auto"/>
            </w:tcBorders>
            <w:vAlign w:val="center"/>
            <w:hideMark/>
          </w:tcPr>
          <w:p w:rsidR="00E834F1" w:rsidRPr="009B04A5" w:rsidRDefault="00E834F1" w:rsidP="00C709AE">
            <w:pPr>
              <w:adjustRightInd w:val="0"/>
              <w:snapToGrid w:val="0"/>
              <w:spacing w:line="360" w:lineRule="auto"/>
              <w:ind w:firstLine="0"/>
              <w:rPr>
                <w:rFonts w:ascii="Book Antiqua" w:hAnsi="Book Antiqua"/>
                <w:b/>
              </w:rPr>
            </w:pPr>
            <w:r w:rsidRPr="009B04A5">
              <w:rPr>
                <w:rFonts w:ascii="Book Antiqua" w:hAnsi="Book Antiqua"/>
                <w:b/>
              </w:rPr>
              <w:t>miRNA name</w:t>
            </w:r>
          </w:p>
        </w:tc>
        <w:tc>
          <w:tcPr>
            <w:tcW w:w="3737" w:type="pct"/>
            <w:tcBorders>
              <w:top w:val="single" w:sz="4" w:space="0" w:color="auto"/>
              <w:bottom w:val="single" w:sz="4" w:space="0" w:color="auto"/>
            </w:tcBorders>
            <w:vAlign w:val="center"/>
            <w:hideMark/>
          </w:tcPr>
          <w:p w:rsidR="00E834F1" w:rsidRPr="009B04A5" w:rsidRDefault="00E834F1" w:rsidP="00C709AE">
            <w:pPr>
              <w:adjustRightInd w:val="0"/>
              <w:snapToGrid w:val="0"/>
              <w:spacing w:line="360" w:lineRule="auto"/>
              <w:ind w:firstLine="0"/>
              <w:rPr>
                <w:rFonts w:ascii="Book Antiqua" w:hAnsi="Book Antiqua"/>
                <w:b/>
              </w:rPr>
            </w:pPr>
            <w:r w:rsidRPr="009B04A5">
              <w:rPr>
                <w:rFonts w:ascii="Book Antiqua" w:hAnsi="Book Antiqua"/>
                <w:b/>
              </w:rPr>
              <w:t>Description</w:t>
            </w:r>
          </w:p>
        </w:tc>
        <w:tc>
          <w:tcPr>
            <w:tcW w:w="554" w:type="pct"/>
            <w:tcBorders>
              <w:top w:val="single" w:sz="4" w:space="0" w:color="auto"/>
              <w:bottom w:val="single" w:sz="4" w:space="0" w:color="auto"/>
            </w:tcBorders>
            <w:vAlign w:val="center"/>
          </w:tcPr>
          <w:p w:rsidR="00E834F1" w:rsidRPr="009B04A5" w:rsidRDefault="00E834F1" w:rsidP="00C709AE">
            <w:pPr>
              <w:adjustRightInd w:val="0"/>
              <w:snapToGrid w:val="0"/>
              <w:spacing w:line="360" w:lineRule="auto"/>
              <w:ind w:firstLine="0"/>
              <w:rPr>
                <w:rFonts w:ascii="Book Antiqua" w:hAnsi="Book Antiqua"/>
                <w:b/>
              </w:rPr>
            </w:pPr>
            <w:r w:rsidRPr="009B04A5">
              <w:rPr>
                <w:rFonts w:ascii="Book Antiqua" w:hAnsi="Book Antiqua"/>
                <w:b/>
              </w:rPr>
              <w:t>Ref</w:t>
            </w:r>
            <w:r w:rsidR="007B304E" w:rsidRPr="009B04A5">
              <w:rPr>
                <w:rFonts w:ascii="Book Antiqua" w:hAnsi="Book Antiqua"/>
                <w:b/>
              </w:rPr>
              <w:t>.</w:t>
            </w:r>
          </w:p>
        </w:tc>
      </w:tr>
      <w:tr w:rsidR="009B04A5" w:rsidRPr="009B04A5" w:rsidTr="007B304E">
        <w:trPr>
          <w:trHeight w:val="113"/>
        </w:trPr>
        <w:tc>
          <w:tcPr>
            <w:tcW w:w="709" w:type="pct"/>
            <w:tcBorders>
              <w:top w:val="single" w:sz="4" w:space="0" w:color="auto"/>
            </w:tcBorders>
            <w:vAlign w:val="center"/>
            <w:hideMark/>
          </w:tcPr>
          <w:p w:rsidR="00E834F1" w:rsidRPr="009B04A5" w:rsidRDefault="00E834F1" w:rsidP="00C709AE">
            <w:pPr>
              <w:adjustRightInd w:val="0"/>
              <w:snapToGrid w:val="0"/>
              <w:spacing w:line="360" w:lineRule="auto"/>
              <w:ind w:firstLine="0"/>
              <w:rPr>
                <w:rFonts w:ascii="Book Antiqua" w:hAnsi="Book Antiqua"/>
                <w:lang w:eastAsia="pl-PL"/>
              </w:rPr>
            </w:pPr>
            <w:r w:rsidRPr="009B04A5">
              <w:rPr>
                <w:rFonts w:ascii="Book Antiqua" w:hAnsi="Book Antiqua"/>
              </w:rPr>
              <w:t>hsa-let-7b</w:t>
            </w:r>
          </w:p>
        </w:tc>
        <w:tc>
          <w:tcPr>
            <w:tcW w:w="3737" w:type="pct"/>
            <w:tcBorders>
              <w:top w:val="single" w:sz="4" w:space="0" w:color="auto"/>
            </w:tcBorders>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 xml:space="preserve">In patients with ALL, the expression of microRNA let-7b is regulated by methylation of CpG islands in the region of </w:t>
            </w:r>
            <w:r w:rsidR="00DB7619" w:rsidRPr="009B04A5">
              <w:rPr>
                <w:rFonts w:ascii="Book Antiqua" w:hAnsi="Book Antiqua"/>
              </w:rPr>
              <w:t xml:space="preserve">the </w:t>
            </w:r>
            <w:r w:rsidRPr="009B04A5">
              <w:rPr>
                <w:rFonts w:ascii="Book Antiqua" w:hAnsi="Book Antiqua"/>
              </w:rPr>
              <w:t>genomic promoter. The microRNA let-7b may act as a tumor suppressor, whose low expression is involved in ALL development, indicating the microRNA let-7b may become a new therapeutic target for ALL</w:t>
            </w:r>
          </w:p>
        </w:tc>
        <w:tc>
          <w:tcPr>
            <w:tcW w:w="554" w:type="pct"/>
            <w:tcBorders>
              <w:top w:val="single" w:sz="4" w:space="0" w:color="auto"/>
            </w:tcBorders>
            <w:vAlign w:val="center"/>
          </w:tcPr>
          <w:p w:rsidR="00E834F1" w:rsidRPr="009B04A5" w:rsidRDefault="00A73036" w:rsidP="00C709AE">
            <w:pPr>
              <w:adjustRightInd w:val="0"/>
              <w:snapToGrid w:val="0"/>
              <w:spacing w:line="360" w:lineRule="auto"/>
              <w:ind w:firstLine="0"/>
              <w:rPr>
                <w:rFonts w:ascii="Book Antiqua" w:hAnsi="Book Antiqua"/>
              </w:rPr>
            </w:pPr>
            <w:r w:rsidRPr="009B04A5">
              <w:rPr>
                <w:rFonts w:ascii="Book Antiqua" w:hAnsi="Book Antiqua"/>
              </w:rPr>
              <w:t>[154]</w:t>
            </w:r>
          </w:p>
        </w:tc>
      </w:tr>
      <w:tr w:rsidR="009B04A5" w:rsidRPr="009B04A5" w:rsidTr="007B304E">
        <w:trPr>
          <w:trHeight w:val="113"/>
        </w:trPr>
        <w:tc>
          <w:tcPr>
            <w:tcW w:w="709"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hsa-mir-17</w:t>
            </w:r>
          </w:p>
        </w:tc>
        <w:tc>
          <w:tcPr>
            <w:tcW w:w="3737"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 xml:space="preserve">Differential expression of miR-17~92 identifies </w:t>
            </w:r>
            <w:r w:rsidRPr="009B04A5">
              <w:rPr>
                <w:rFonts w:ascii="Book Antiqua" w:hAnsi="Book Antiqua"/>
                <w:i/>
              </w:rPr>
              <w:t>BCL2</w:t>
            </w:r>
            <w:r w:rsidRPr="009B04A5">
              <w:rPr>
                <w:rFonts w:ascii="Book Antiqua" w:hAnsi="Book Antiqua"/>
              </w:rPr>
              <w:t xml:space="preserve"> as a therapeutic target in BCR-ABL-positive B-lineage acute lymphoblastic leukemia</w:t>
            </w:r>
          </w:p>
        </w:tc>
        <w:tc>
          <w:tcPr>
            <w:tcW w:w="554" w:type="pct"/>
            <w:vAlign w:val="center"/>
          </w:tcPr>
          <w:p w:rsidR="00E834F1" w:rsidRPr="009B04A5" w:rsidRDefault="00A73036" w:rsidP="00C709AE">
            <w:pPr>
              <w:adjustRightInd w:val="0"/>
              <w:snapToGrid w:val="0"/>
              <w:spacing w:line="360" w:lineRule="auto"/>
              <w:ind w:firstLine="0"/>
              <w:rPr>
                <w:rFonts w:ascii="Book Antiqua" w:hAnsi="Book Antiqua"/>
              </w:rPr>
            </w:pPr>
            <w:r w:rsidRPr="009B04A5">
              <w:rPr>
                <w:rFonts w:ascii="Book Antiqua" w:hAnsi="Book Antiqua"/>
              </w:rPr>
              <w:t>[155]</w:t>
            </w:r>
          </w:p>
        </w:tc>
      </w:tr>
      <w:tr w:rsidR="009B04A5" w:rsidRPr="009B04A5" w:rsidTr="007B304E">
        <w:trPr>
          <w:trHeight w:val="113"/>
        </w:trPr>
        <w:tc>
          <w:tcPr>
            <w:tcW w:w="709"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hsa-mir-99a</w:t>
            </w:r>
          </w:p>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hsa-mir-100</w:t>
            </w:r>
          </w:p>
        </w:tc>
        <w:tc>
          <w:tcPr>
            <w:tcW w:w="3737" w:type="pct"/>
            <w:vAlign w:val="center"/>
            <w:hideMark/>
          </w:tcPr>
          <w:p w:rsidR="00E834F1" w:rsidRPr="009B04A5" w:rsidRDefault="00DB7619" w:rsidP="00C709AE">
            <w:pPr>
              <w:adjustRightInd w:val="0"/>
              <w:snapToGrid w:val="0"/>
              <w:spacing w:line="360" w:lineRule="auto"/>
              <w:ind w:firstLine="0"/>
              <w:rPr>
                <w:rFonts w:ascii="Book Antiqua" w:hAnsi="Book Antiqua"/>
              </w:rPr>
            </w:pPr>
            <w:r w:rsidRPr="009B04A5">
              <w:rPr>
                <w:rFonts w:ascii="Book Antiqua" w:hAnsi="Book Antiqua"/>
              </w:rPr>
              <w:t>miR</w:t>
            </w:r>
            <w:r w:rsidR="00E834F1" w:rsidRPr="009B04A5">
              <w:rPr>
                <w:rFonts w:ascii="Book Antiqua" w:hAnsi="Book Antiqua"/>
              </w:rPr>
              <w:t xml:space="preserve">-100 and miR-99a have critical roles in altering cellular processes by targeting both the </w:t>
            </w:r>
            <w:r w:rsidR="00E834F1" w:rsidRPr="009B04A5">
              <w:rPr>
                <w:rFonts w:ascii="Book Antiqua" w:hAnsi="Book Antiqua"/>
                <w:i/>
              </w:rPr>
              <w:t>FKBP51</w:t>
            </w:r>
            <w:r w:rsidR="00E834F1" w:rsidRPr="009B04A5">
              <w:rPr>
                <w:rFonts w:ascii="Book Antiqua" w:hAnsi="Book Antiqua"/>
              </w:rPr>
              <w:t xml:space="preserve"> and </w:t>
            </w:r>
            <w:r w:rsidR="00E834F1" w:rsidRPr="009B04A5">
              <w:rPr>
                <w:rFonts w:ascii="Book Antiqua" w:hAnsi="Book Antiqua"/>
                <w:i/>
              </w:rPr>
              <w:t>IGF1R/mTOR</w:t>
            </w:r>
            <w:r w:rsidR="00E834F1" w:rsidRPr="009B04A5">
              <w:rPr>
                <w:rFonts w:ascii="Book Antiqua" w:hAnsi="Book Antiqua"/>
              </w:rPr>
              <w:t xml:space="preserve"> signaling pathways </w:t>
            </w:r>
            <w:r w:rsidR="00E834F1" w:rsidRPr="009B04A5">
              <w:rPr>
                <w:rFonts w:ascii="Book Antiqua" w:hAnsi="Book Antiqua"/>
                <w:i/>
              </w:rPr>
              <w:t>in vitro</w:t>
            </w:r>
            <w:r w:rsidR="00E834F1" w:rsidRPr="009B04A5">
              <w:rPr>
                <w:rFonts w:ascii="Book Antiqua" w:hAnsi="Book Antiqua"/>
              </w:rPr>
              <w:t xml:space="preserve"> and might represent a potential novel strategy for ALL treatment</w:t>
            </w:r>
          </w:p>
        </w:tc>
        <w:tc>
          <w:tcPr>
            <w:tcW w:w="554" w:type="pct"/>
            <w:vAlign w:val="center"/>
          </w:tcPr>
          <w:p w:rsidR="00E834F1" w:rsidRPr="009B04A5" w:rsidRDefault="000A6432" w:rsidP="00C709AE">
            <w:pPr>
              <w:adjustRightInd w:val="0"/>
              <w:snapToGrid w:val="0"/>
              <w:spacing w:line="360" w:lineRule="auto"/>
              <w:ind w:firstLine="0"/>
              <w:rPr>
                <w:rFonts w:ascii="Book Antiqua" w:hAnsi="Book Antiqua"/>
              </w:rPr>
            </w:pPr>
            <w:r w:rsidRPr="009B04A5">
              <w:rPr>
                <w:rFonts w:ascii="Book Antiqua" w:hAnsi="Book Antiqua"/>
              </w:rPr>
              <w:t>[43]</w:t>
            </w:r>
          </w:p>
        </w:tc>
      </w:tr>
      <w:tr w:rsidR="009B04A5" w:rsidRPr="009B04A5" w:rsidTr="007B304E">
        <w:trPr>
          <w:trHeight w:val="113"/>
        </w:trPr>
        <w:tc>
          <w:tcPr>
            <w:tcW w:w="709"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hsa-mir-101</w:t>
            </w:r>
          </w:p>
        </w:tc>
        <w:tc>
          <w:tcPr>
            <w:tcW w:w="3737" w:type="pct"/>
            <w:vAlign w:val="center"/>
            <w:hideMark/>
          </w:tcPr>
          <w:p w:rsidR="00E834F1" w:rsidRPr="009B04A5" w:rsidRDefault="00E834F1" w:rsidP="00B0013A">
            <w:pPr>
              <w:adjustRightInd w:val="0"/>
              <w:snapToGrid w:val="0"/>
              <w:spacing w:line="360" w:lineRule="auto"/>
              <w:ind w:firstLine="0"/>
              <w:rPr>
                <w:rFonts w:ascii="Book Antiqua" w:hAnsi="Book Antiqua"/>
              </w:rPr>
            </w:pPr>
            <w:r w:rsidRPr="009B04A5">
              <w:rPr>
                <w:rFonts w:ascii="Book Antiqua" w:hAnsi="Book Antiqua"/>
              </w:rPr>
              <w:t>Hsp90 co</w:t>
            </w:r>
            <w:r w:rsidR="007148B7" w:rsidRPr="009B04A5">
              <w:rPr>
                <w:rFonts w:ascii="Book Antiqua" w:hAnsi="Book Antiqua"/>
              </w:rPr>
              <w:t>-</w:t>
            </w:r>
            <w:r w:rsidRPr="009B04A5">
              <w:rPr>
                <w:rFonts w:ascii="Book Antiqua" w:hAnsi="Book Antiqua"/>
              </w:rPr>
              <w:t>chaperone – p23, is regulated by hsa-miR-101</w:t>
            </w:r>
            <w:r w:rsidR="00DB7619" w:rsidRPr="009B04A5">
              <w:rPr>
                <w:rFonts w:ascii="Book Antiqua" w:hAnsi="Book Antiqua"/>
              </w:rPr>
              <w:t>,</w:t>
            </w:r>
            <w:r w:rsidRPr="009B04A5">
              <w:rPr>
                <w:rFonts w:ascii="Book Antiqua" w:hAnsi="Book Antiqua"/>
              </w:rPr>
              <w:t xml:space="preserve"> which is downregulated in childhood ALL cases</w:t>
            </w:r>
          </w:p>
        </w:tc>
        <w:tc>
          <w:tcPr>
            <w:tcW w:w="554" w:type="pct"/>
            <w:vAlign w:val="center"/>
          </w:tcPr>
          <w:p w:rsidR="00E834F1" w:rsidRPr="009B04A5" w:rsidRDefault="00A73036" w:rsidP="00C709AE">
            <w:pPr>
              <w:adjustRightInd w:val="0"/>
              <w:snapToGrid w:val="0"/>
              <w:spacing w:line="360" w:lineRule="auto"/>
              <w:ind w:firstLine="0"/>
              <w:rPr>
                <w:rFonts w:ascii="Book Antiqua" w:hAnsi="Book Antiqua"/>
              </w:rPr>
            </w:pPr>
            <w:r w:rsidRPr="009B04A5">
              <w:rPr>
                <w:rFonts w:ascii="Book Antiqua" w:hAnsi="Book Antiqua"/>
              </w:rPr>
              <w:t>[156]</w:t>
            </w:r>
          </w:p>
        </w:tc>
      </w:tr>
      <w:tr w:rsidR="009B04A5" w:rsidRPr="009B04A5" w:rsidTr="007B304E">
        <w:trPr>
          <w:trHeight w:val="113"/>
        </w:trPr>
        <w:tc>
          <w:tcPr>
            <w:tcW w:w="709"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hsa-mir-124</w:t>
            </w:r>
          </w:p>
        </w:tc>
        <w:tc>
          <w:tcPr>
            <w:tcW w:w="3737" w:type="pct"/>
            <w:vAlign w:val="center"/>
            <w:hideMark/>
          </w:tcPr>
          <w:p w:rsidR="00E834F1" w:rsidRPr="009B04A5" w:rsidRDefault="00DB7619" w:rsidP="00C709AE">
            <w:pPr>
              <w:adjustRightInd w:val="0"/>
              <w:snapToGrid w:val="0"/>
              <w:spacing w:line="360" w:lineRule="auto"/>
              <w:ind w:firstLine="0"/>
              <w:rPr>
                <w:rFonts w:ascii="Book Antiqua" w:hAnsi="Book Antiqua"/>
              </w:rPr>
            </w:pPr>
            <w:r w:rsidRPr="009B04A5">
              <w:rPr>
                <w:rFonts w:ascii="Book Antiqua" w:hAnsi="Book Antiqua"/>
              </w:rPr>
              <w:t>miR</w:t>
            </w:r>
            <w:r w:rsidR="00E834F1" w:rsidRPr="009B04A5">
              <w:rPr>
                <w:rFonts w:ascii="Book Antiqua" w:hAnsi="Book Antiqua"/>
              </w:rPr>
              <w:t>-124 contributes to glucocorticoid resistance in acute lymphoblastic leukemia by promoting proliferation, inhibiting apoptosis</w:t>
            </w:r>
            <w:r w:rsidR="00B0013A" w:rsidRPr="009B04A5">
              <w:rPr>
                <w:rFonts w:ascii="Book Antiqua" w:hAnsi="Book Antiqua"/>
              </w:rPr>
              <w:t>,</w:t>
            </w:r>
            <w:r w:rsidR="00E834F1" w:rsidRPr="009B04A5">
              <w:rPr>
                <w:rFonts w:ascii="Book Antiqua" w:hAnsi="Book Antiqua"/>
              </w:rPr>
              <w:t xml:space="preserve"> and targeting the glucocorticoid receptor</w:t>
            </w:r>
          </w:p>
        </w:tc>
        <w:tc>
          <w:tcPr>
            <w:tcW w:w="554" w:type="pct"/>
            <w:vAlign w:val="center"/>
          </w:tcPr>
          <w:p w:rsidR="00E834F1" w:rsidRPr="009B04A5" w:rsidRDefault="00A73036" w:rsidP="00C709AE">
            <w:pPr>
              <w:adjustRightInd w:val="0"/>
              <w:snapToGrid w:val="0"/>
              <w:spacing w:line="360" w:lineRule="auto"/>
              <w:ind w:firstLine="0"/>
              <w:rPr>
                <w:rFonts w:ascii="Book Antiqua" w:hAnsi="Book Antiqua"/>
              </w:rPr>
            </w:pPr>
            <w:r w:rsidRPr="009B04A5">
              <w:rPr>
                <w:rFonts w:ascii="Book Antiqua" w:hAnsi="Book Antiqua"/>
              </w:rPr>
              <w:t>[157]</w:t>
            </w:r>
          </w:p>
        </w:tc>
      </w:tr>
      <w:tr w:rsidR="009B04A5" w:rsidRPr="009B04A5" w:rsidTr="007B304E">
        <w:trPr>
          <w:trHeight w:val="113"/>
        </w:trPr>
        <w:tc>
          <w:tcPr>
            <w:tcW w:w="709"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hsa-mir-126</w:t>
            </w:r>
          </w:p>
        </w:tc>
        <w:tc>
          <w:tcPr>
            <w:tcW w:w="3737" w:type="pct"/>
            <w:vAlign w:val="center"/>
            <w:hideMark/>
          </w:tcPr>
          <w:p w:rsidR="00E834F1" w:rsidRPr="009B04A5" w:rsidRDefault="00341989" w:rsidP="00C709AE">
            <w:pPr>
              <w:adjustRightInd w:val="0"/>
              <w:snapToGrid w:val="0"/>
              <w:spacing w:line="360" w:lineRule="auto"/>
              <w:ind w:firstLine="0"/>
              <w:rPr>
                <w:rFonts w:ascii="Book Antiqua" w:hAnsi="Book Antiqua"/>
              </w:rPr>
            </w:pPr>
            <w:r w:rsidRPr="009B04A5">
              <w:rPr>
                <w:rFonts w:ascii="Book Antiqua" w:hAnsi="Book Antiqua"/>
              </w:rPr>
              <w:t>miR</w:t>
            </w:r>
            <w:r w:rsidR="00E834F1" w:rsidRPr="009B04A5">
              <w:rPr>
                <w:rFonts w:ascii="Book Antiqua" w:hAnsi="Book Antiqua"/>
              </w:rPr>
              <w:t>-126 plays a critical but 2-faceted role in leukemia and thereby uncover</w:t>
            </w:r>
            <w:r w:rsidR="000E7D3B" w:rsidRPr="009B04A5">
              <w:rPr>
                <w:rFonts w:ascii="Book Antiqua" w:hAnsi="Book Antiqua"/>
              </w:rPr>
              <w:t>s</w:t>
            </w:r>
            <w:r w:rsidR="00E834F1" w:rsidRPr="009B04A5">
              <w:rPr>
                <w:rFonts w:ascii="Book Antiqua" w:hAnsi="Book Antiqua"/>
              </w:rPr>
              <w:t xml:space="preserve"> a new layer of miRNA regulation in cancer. </w:t>
            </w:r>
            <w:r w:rsidR="000E7D3B" w:rsidRPr="009B04A5">
              <w:rPr>
                <w:rFonts w:ascii="Book Antiqua" w:hAnsi="Book Antiqua"/>
              </w:rPr>
              <w:t>miR</w:t>
            </w:r>
            <w:r w:rsidR="00E834F1" w:rsidRPr="009B04A5">
              <w:rPr>
                <w:rFonts w:ascii="Book Antiqua" w:hAnsi="Book Antiqua"/>
              </w:rPr>
              <w:t xml:space="preserve">-126 depletion can sensitize AML cells to standard chemotherapy, </w:t>
            </w:r>
            <w:r w:rsidR="000E7D3B" w:rsidRPr="009B04A5">
              <w:rPr>
                <w:rFonts w:ascii="Book Antiqua" w:hAnsi="Book Antiqua"/>
              </w:rPr>
              <w:t xml:space="preserve">which </w:t>
            </w:r>
            <w:r w:rsidR="00E834F1" w:rsidRPr="009B04A5">
              <w:rPr>
                <w:rFonts w:ascii="Book Antiqua" w:hAnsi="Book Antiqua"/>
              </w:rPr>
              <w:t>suggest</w:t>
            </w:r>
            <w:r w:rsidR="000E7D3B" w:rsidRPr="009B04A5">
              <w:rPr>
                <w:rFonts w:ascii="Book Antiqua" w:hAnsi="Book Antiqua"/>
              </w:rPr>
              <w:t>s</w:t>
            </w:r>
            <w:r w:rsidR="00E834F1" w:rsidRPr="009B04A5">
              <w:rPr>
                <w:rFonts w:ascii="Book Antiqua" w:hAnsi="Book Antiqua"/>
              </w:rPr>
              <w:t xml:space="preserve"> that miR-126 represents a promising therapeutic target</w:t>
            </w:r>
          </w:p>
        </w:tc>
        <w:tc>
          <w:tcPr>
            <w:tcW w:w="554" w:type="pct"/>
            <w:vAlign w:val="center"/>
          </w:tcPr>
          <w:p w:rsidR="00E834F1" w:rsidRPr="009B04A5" w:rsidRDefault="00A73036" w:rsidP="00C709AE">
            <w:pPr>
              <w:adjustRightInd w:val="0"/>
              <w:snapToGrid w:val="0"/>
              <w:spacing w:line="360" w:lineRule="auto"/>
              <w:ind w:firstLine="0"/>
              <w:rPr>
                <w:rFonts w:ascii="Book Antiqua" w:hAnsi="Book Antiqua"/>
              </w:rPr>
            </w:pPr>
            <w:r w:rsidRPr="009B04A5">
              <w:rPr>
                <w:rFonts w:ascii="Book Antiqua" w:hAnsi="Book Antiqua"/>
              </w:rPr>
              <w:t>[158]</w:t>
            </w:r>
          </w:p>
        </w:tc>
      </w:tr>
      <w:tr w:rsidR="009B04A5" w:rsidRPr="009B04A5" w:rsidTr="007B304E">
        <w:trPr>
          <w:trHeight w:val="113"/>
        </w:trPr>
        <w:tc>
          <w:tcPr>
            <w:tcW w:w="709"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hsa-mir-142</w:t>
            </w:r>
          </w:p>
        </w:tc>
        <w:tc>
          <w:tcPr>
            <w:tcW w:w="3737"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 xml:space="preserve">Upregulation of miR-142-3p decreased </w:t>
            </w:r>
            <w:r w:rsidRPr="009B04A5">
              <w:rPr>
                <w:rFonts w:ascii="Book Antiqua" w:hAnsi="Book Antiqua"/>
                <w:i/>
              </w:rPr>
              <w:t>MLL-AF4</w:t>
            </w:r>
            <w:r w:rsidRPr="009B04A5">
              <w:rPr>
                <w:rFonts w:ascii="Book Antiqua" w:hAnsi="Book Antiqua"/>
              </w:rPr>
              <w:t xml:space="preserve"> expression in the RS4;11 leukemic cell line. Ectopic expression of miR-142-3p remarkably suppressed cell proliferation and induced </w:t>
            </w:r>
            <w:r w:rsidRPr="009B04A5">
              <w:rPr>
                <w:rFonts w:ascii="Book Antiqua" w:hAnsi="Book Antiqua"/>
              </w:rPr>
              <w:lastRenderedPageBreak/>
              <w:t xml:space="preserve">apoptosis, </w:t>
            </w:r>
            <w:r w:rsidR="000E7D3B" w:rsidRPr="009B04A5">
              <w:rPr>
                <w:rFonts w:ascii="Book Antiqua" w:hAnsi="Book Antiqua"/>
              </w:rPr>
              <w:t xml:space="preserve">and </w:t>
            </w:r>
            <w:r w:rsidRPr="009B04A5">
              <w:rPr>
                <w:rFonts w:ascii="Book Antiqua" w:hAnsi="Book Antiqua"/>
              </w:rPr>
              <w:t xml:space="preserve">exogenous expression of miR-142-3p strongly reduced the expression of MLL-AF4 target genes such as homeobox A </w:t>
            </w:r>
            <w:r w:rsidRPr="009B04A5">
              <w:rPr>
                <w:rFonts w:ascii="Book Antiqua" w:hAnsi="Book Antiqua"/>
                <w:i/>
              </w:rPr>
              <w:t>HOXA</w:t>
            </w:r>
            <w:r w:rsidRPr="009B04A5">
              <w:rPr>
                <w:rFonts w:ascii="Book Antiqua" w:hAnsi="Book Antiqua"/>
              </w:rPr>
              <w:t xml:space="preserve">9, </w:t>
            </w:r>
            <w:r w:rsidRPr="009B04A5">
              <w:rPr>
                <w:rFonts w:ascii="Book Antiqua" w:hAnsi="Book Antiqua"/>
                <w:i/>
              </w:rPr>
              <w:t>HOXA7</w:t>
            </w:r>
            <w:r w:rsidRPr="009B04A5">
              <w:rPr>
                <w:rFonts w:ascii="Book Antiqua" w:hAnsi="Book Antiqua"/>
              </w:rPr>
              <w:t xml:space="preserve">, and </w:t>
            </w:r>
            <w:r w:rsidRPr="009B04A5">
              <w:rPr>
                <w:rFonts w:ascii="Book Antiqua" w:hAnsi="Book Antiqua"/>
                <w:i/>
              </w:rPr>
              <w:t>HOXA10</w:t>
            </w:r>
          </w:p>
        </w:tc>
        <w:tc>
          <w:tcPr>
            <w:tcW w:w="554" w:type="pct"/>
            <w:vAlign w:val="center"/>
          </w:tcPr>
          <w:p w:rsidR="00E834F1" w:rsidRPr="009B04A5" w:rsidRDefault="00A73036" w:rsidP="00C709AE">
            <w:pPr>
              <w:adjustRightInd w:val="0"/>
              <w:snapToGrid w:val="0"/>
              <w:spacing w:line="360" w:lineRule="auto"/>
              <w:ind w:firstLine="0"/>
              <w:rPr>
                <w:rFonts w:ascii="Book Antiqua" w:hAnsi="Book Antiqua"/>
              </w:rPr>
            </w:pPr>
            <w:r w:rsidRPr="009B04A5">
              <w:rPr>
                <w:rFonts w:ascii="Book Antiqua" w:hAnsi="Book Antiqua"/>
              </w:rPr>
              <w:lastRenderedPageBreak/>
              <w:t>[159]</w:t>
            </w:r>
          </w:p>
        </w:tc>
      </w:tr>
      <w:tr w:rsidR="009B04A5" w:rsidRPr="009B04A5" w:rsidTr="007B304E">
        <w:trPr>
          <w:trHeight w:val="113"/>
        </w:trPr>
        <w:tc>
          <w:tcPr>
            <w:tcW w:w="709"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lastRenderedPageBreak/>
              <w:t>hsa-mir-181a</w:t>
            </w:r>
          </w:p>
        </w:tc>
        <w:tc>
          <w:tcPr>
            <w:tcW w:w="3737"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 xml:space="preserve">Ectopic expression of miR-181a resulted in decreased CD10 hyperexpression in </w:t>
            </w:r>
            <w:r w:rsidRPr="009B04A5">
              <w:rPr>
                <w:rFonts w:ascii="Book Antiqua" w:hAnsi="Book Antiqua"/>
                <w:i/>
              </w:rPr>
              <w:t>ETV6/RUNX1+</w:t>
            </w:r>
            <w:r w:rsidRPr="009B04A5">
              <w:rPr>
                <w:rFonts w:ascii="Book Antiqua" w:hAnsi="Book Antiqua"/>
              </w:rPr>
              <w:t xml:space="preserve"> primary patient samples. miR-181a could target ETV6/RUNX1 and cause a reduction in the level of that oncoprotein, cell growth arrest, an increase in apoptosis, and induction of cell differentiation in ETV6/RUNX1+ cell line</w:t>
            </w:r>
          </w:p>
        </w:tc>
        <w:tc>
          <w:tcPr>
            <w:tcW w:w="554" w:type="pct"/>
            <w:vAlign w:val="center"/>
          </w:tcPr>
          <w:p w:rsidR="00E834F1" w:rsidRPr="009B04A5" w:rsidRDefault="000A6432" w:rsidP="00C709AE">
            <w:pPr>
              <w:adjustRightInd w:val="0"/>
              <w:snapToGrid w:val="0"/>
              <w:spacing w:line="360" w:lineRule="auto"/>
              <w:ind w:firstLine="0"/>
              <w:rPr>
                <w:rFonts w:ascii="Book Antiqua" w:hAnsi="Book Antiqua"/>
              </w:rPr>
            </w:pPr>
            <w:r w:rsidRPr="009B04A5">
              <w:rPr>
                <w:rFonts w:ascii="Book Antiqua" w:hAnsi="Book Antiqua"/>
              </w:rPr>
              <w:t>[48]</w:t>
            </w:r>
          </w:p>
        </w:tc>
      </w:tr>
      <w:tr w:rsidR="009B04A5" w:rsidRPr="009B04A5" w:rsidTr="007B304E">
        <w:trPr>
          <w:trHeight w:val="113"/>
        </w:trPr>
        <w:tc>
          <w:tcPr>
            <w:tcW w:w="709"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hsa-mir-181a</w:t>
            </w:r>
          </w:p>
        </w:tc>
        <w:tc>
          <w:tcPr>
            <w:tcW w:w="3737" w:type="pct"/>
            <w:vAlign w:val="center"/>
            <w:hideMark/>
          </w:tcPr>
          <w:p w:rsidR="00E834F1"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m</w:t>
            </w:r>
            <w:r w:rsidR="00E834F1" w:rsidRPr="009B04A5">
              <w:rPr>
                <w:rFonts w:ascii="Book Antiqua" w:hAnsi="Book Antiqua"/>
              </w:rPr>
              <w:t>i</w:t>
            </w:r>
            <w:r w:rsidR="00C07AEE" w:rsidRPr="009B04A5">
              <w:rPr>
                <w:rFonts w:ascii="Book Antiqua" w:hAnsi="Book Antiqua"/>
              </w:rPr>
              <w:t>R</w:t>
            </w:r>
            <w:r w:rsidR="00E834F1" w:rsidRPr="009B04A5">
              <w:rPr>
                <w:rFonts w:ascii="Book Antiqua" w:hAnsi="Book Antiqua"/>
              </w:rPr>
              <w:t>-181a play role as negative regulator for the TGF-β1 signaling pathway</w:t>
            </w:r>
          </w:p>
        </w:tc>
        <w:tc>
          <w:tcPr>
            <w:tcW w:w="554" w:type="pct"/>
            <w:vAlign w:val="center"/>
          </w:tcPr>
          <w:p w:rsidR="00E834F1" w:rsidRPr="009B04A5" w:rsidRDefault="000A6432" w:rsidP="00C709AE">
            <w:pPr>
              <w:adjustRightInd w:val="0"/>
              <w:snapToGrid w:val="0"/>
              <w:spacing w:line="360" w:lineRule="auto"/>
              <w:ind w:firstLine="0"/>
              <w:rPr>
                <w:rFonts w:ascii="Book Antiqua" w:hAnsi="Book Antiqua"/>
              </w:rPr>
            </w:pPr>
            <w:r w:rsidRPr="009B04A5">
              <w:rPr>
                <w:rFonts w:ascii="Book Antiqua" w:hAnsi="Book Antiqua"/>
              </w:rPr>
              <w:t>[47]</w:t>
            </w:r>
          </w:p>
        </w:tc>
      </w:tr>
      <w:tr w:rsidR="009B04A5" w:rsidRPr="009B04A5" w:rsidTr="007B304E">
        <w:trPr>
          <w:trHeight w:val="113"/>
        </w:trPr>
        <w:tc>
          <w:tcPr>
            <w:tcW w:w="709"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hsa-mir-196b</w:t>
            </w:r>
          </w:p>
        </w:tc>
        <w:tc>
          <w:tcPr>
            <w:tcW w:w="3737" w:type="pct"/>
            <w:vAlign w:val="center"/>
            <w:hideMark/>
          </w:tcPr>
          <w:p w:rsidR="00E834F1"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m</w:t>
            </w:r>
            <w:r w:rsidR="000E7D3B" w:rsidRPr="009B04A5">
              <w:rPr>
                <w:rFonts w:ascii="Book Antiqua" w:hAnsi="Book Antiqua"/>
              </w:rPr>
              <w:t>iR</w:t>
            </w:r>
            <w:r w:rsidR="00E834F1" w:rsidRPr="009B04A5">
              <w:rPr>
                <w:rFonts w:ascii="Book Antiqua" w:hAnsi="Book Antiqua"/>
              </w:rPr>
              <w:t>-196b becomes nonfunctional in T-cell ALL as a consequence of mutations in 3'-UTR of</w:t>
            </w:r>
            <w:r w:rsidR="000E7D3B" w:rsidRPr="009B04A5">
              <w:rPr>
                <w:rFonts w:ascii="Book Antiqua" w:hAnsi="Book Antiqua"/>
              </w:rPr>
              <w:t xml:space="preserve"> the</w:t>
            </w:r>
            <w:r w:rsidR="00E834F1" w:rsidRPr="009B04A5">
              <w:rPr>
                <w:rFonts w:ascii="Book Antiqua" w:hAnsi="Book Antiqua"/>
              </w:rPr>
              <w:t xml:space="preserve"> </w:t>
            </w:r>
            <w:r w:rsidR="00E834F1" w:rsidRPr="009B04A5">
              <w:rPr>
                <w:rFonts w:ascii="Book Antiqua" w:hAnsi="Book Antiqua"/>
                <w:i/>
              </w:rPr>
              <w:t>c-myc</w:t>
            </w:r>
            <w:r w:rsidR="00E834F1" w:rsidRPr="009B04A5">
              <w:rPr>
                <w:rFonts w:ascii="Book Antiqua" w:hAnsi="Book Antiqua"/>
              </w:rPr>
              <w:t xml:space="preserve"> gene in T-cell ALL cellular models</w:t>
            </w:r>
          </w:p>
        </w:tc>
        <w:tc>
          <w:tcPr>
            <w:tcW w:w="554" w:type="pct"/>
            <w:vAlign w:val="center"/>
          </w:tcPr>
          <w:p w:rsidR="00E834F1" w:rsidRPr="009B04A5" w:rsidRDefault="00A73036" w:rsidP="00C709AE">
            <w:pPr>
              <w:adjustRightInd w:val="0"/>
              <w:snapToGrid w:val="0"/>
              <w:spacing w:line="360" w:lineRule="auto"/>
              <w:ind w:firstLine="0"/>
              <w:rPr>
                <w:rFonts w:ascii="Book Antiqua" w:hAnsi="Book Antiqua"/>
              </w:rPr>
            </w:pPr>
            <w:r w:rsidRPr="009B04A5">
              <w:rPr>
                <w:rFonts w:ascii="Book Antiqua" w:hAnsi="Book Antiqua"/>
              </w:rPr>
              <w:t>[160]</w:t>
            </w:r>
          </w:p>
        </w:tc>
      </w:tr>
      <w:tr w:rsidR="009B04A5" w:rsidRPr="009B04A5" w:rsidTr="007B304E">
        <w:trPr>
          <w:trHeight w:val="113"/>
        </w:trPr>
        <w:tc>
          <w:tcPr>
            <w:tcW w:w="709"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hsa-mir-196b</w:t>
            </w:r>
          </w:p>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hsa-mir-1290</w:t>
            </w:r>
          </w:p>
        </w:tc>
        <w:tc>
          <w:tcPr>
            <w:tcW w:w="3737" w:type="pct"/>
            <w:vAlign w:val="center"/>
            <w:hideMark/>
          </w:tcPr>
          <w:p w:rsidR="00E834F1"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m</w:t>
            </w:r>
            <w:r w:rsidR="00D305A8" w:rsidRPr="009B04A5">
              <w:rPr>
                <w:rFonts w:ascii="Book Antiqua" w:hAnsi="Book Antiqua"/>
              </w:rPr>
              <w:t>iR</w:t>
            </w:r>
            <w:r w:rsidR="00E834F1" w:rsidRPr="009B04A5">
              <w:rPr>
                <w:rFonts w:ascii="Book Antiqua" w:hAnsi="Book Antiqua"/>
              </w:rPr>
              <w:noBreakHyphen/>
              <w:t xml:space="preserve">196b and miR-1290 target the </w:t>
            </w:r>
            <w:r w:rsidR="00E834F1" w:rsidRPr="009B04A5">
              <w:rPr>
                <w:rFonts w:ascii="Book Antiqua" w:hAnsi="Book Antiqua"/>
                <w:i/>
              </w:rPr>
              <w:t>IGFBP3</w:t>
            </w:r>
            <w:r w:rsidR="00E834F1" w:rsidRPr="009B04A5">
              <w:rPr>
                <w:rFonts w:ascii="Book Antiqua" w:hAnsi="Book Antiqua"/>
              </w:rPr>
              <w:t xml:space="preserve"> 3'-UTR and participate in the antitumor effect of resveratrol </w:t>
            </w:r>
            <w:r w:rsidR="00E834F1" w:rsidRPr="009B04A5">
              <w:rPr>
                <w:rFonts w:ascii="Book Antiqua" w:hAnsi="Book Antiqua"/>
                <w:i/>
              </w:rPr>
              <w:t>via</w:t>
            </w:r>
            <w:r w:rsidR="00E834F1" w:rsidRPr="009B04A5">
              <w:rPr>
                <w:rFonts w:ascii="Book Antiqua" w:hAnsi="Book Antiqua"/>
              </w:rPr>
              <w:t xml:space="preserve"> regulation of </w:t>
            </w:r>
            <w:r w:rsidR="00E834F1" w:rsidRPr="009B04A5">
              <w:rPr>
                <w:rFonts w:ascii="Book Antiqua" w:hAnsi="Book Antiqua"/>
                <w:i/>
              </w:rPr>
              <w:t>IGFBP3</w:t>
            </w:r>
            <w:r w:rsidR="00E834F1" w:rsidRPr="009B04A5">
              <w:rPr>
                <w:rFonts w:ascii="Book Antiqua" w:hAnsi="Book Antiqua"/>
              </w:rPr>
              <w:t xml:space="preserve"> expression in acute lymphoblastic leukemia. </w:t>
            </w:r>
            <w:r w:rsidR="00F7758E" w:rsidRPr="009B04A5">
              <w:rPr>
                <w:rFonts w:ascii="Book Antiqua" w:hAnsi="Book Antiqua"/>
              </w:rPr>
              <w:t>miR</w:t>
            </w:r>
            <w:r w:rsidR="00E834F1" w:rsidRPr="009B04A5">
              <w:rPr>
                <w:rFonts w:ascii="Book Antiqua" w:hAnsi="Book Antiqua"/>
              </w:rPr>
              <w:t>-196b/miR-1290 are potential therapeutic targets for ALL</w:t>
            </w:r>
          </w:p>
        </w:tc>
        <w:tc>
          <w:tcPr>
            <w:tcW w:w="554" w:type="pct"/>
            <w:vAlign w:val="center"/>
          </w:tcPr>
          <w:p w:rsidR="00E834F1" w:rsidRPr="009B04A5" w:rsidRDefault="00A73036" w:rsidP="00C709AE">
            <w:pPr>
              <w:adjustRightInd w:val="0"/>
              <w:snapToGrid w:val="0"/>
              <w:spacing w:line="360" w:lineRule="auto"/>
              <w:ind w:firstLine="0"/>
              <w:rPr>
                <w:rFonts w:ascii="Book Antiqua" w:hAnsi="Book Antiqua"/>
              </w:rPr>
            </w:pPr>
            <w:r w:rsidRPr="009B04A5">
              <w:rPr>
                <w:rFonts w:ascii="Book Antiqua" w:hAnsi="Book Antiqua"/>
              </w:rPr>
              <w:t>[161]</w:t>
            </w:r>
          </w:p>
        </w:tc>
      </w:tr>
      <w:tr w:rsidR="009B04A5" w:rsidRPr="009B04A5" w:rsidTr="007B304E">
        <w:trPr>
          <w:trHeight w:val="113"/>
        </w:trPr>
        <w:tc>
          <w:tcPr>
            <w:tcW w:w="709"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hsa-mir-221</w:t>
            </w:r>
          </w:p>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hsa-mir-222</w:t>
            </w:r>
          </w:p>
        </w:tc>
        <w:tc>
          <w:tcPr>
            <w:tcW w:w="3737"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Overexpression of miR-221 in ALL cells prompted cell-cycle progression and sensitization of ALL cells to cytotoxic agents. Niche-influenced miR-221/222 may define a novel therapeutic target in ALL</w:t>
            </w:r>
          </w:p>
        </w:tc>
        <w:tc>
          <w:tcPr>
            <w:tcW w:w="554" w:type="pct"/>
            <w:vAlign w:val="center"/>
          </w:tcPr>
          <w:p w:rsidR="00E834F1" w:rsidRPr="009B04A5" w:rsidRDefault="00A73036" w:rsidP="00C709AE">
            <w:pPr>
              <w:adjustRightInd w:val="0"/>
              <w:snapToGrid w:val="0"/>
              <w:spacing w:line="360" w:lineRule="auto"/>
              <w:ind w:firstLine="0"/>
              <w:rPr>
                <w:rFonts w:ascii="Book Antiqua" w:hAnsi="Book Antiqua"/>
              </w:rPr>
            </w:pPr>
            <w:r w:rsidRPr="009B04A5">
              <w:rPr>
                <w:rFonts w:ascii="Book Antiqua" w:hAnsi="Book Antiqua"/>
              </w:rPr>
              <w:t>[162]</w:t>
            </w:r>
          </w:p>
        </w:tc>
      </w:tr>
      <w:tr w:rsidR="009B04A5" w:rsidRPr="009B04A5" w:rsidTr="007B304E">
        <w:trPr>
          <w:trHeight w:val="113"/>
        </w:trPr>
        <w:tc>
          <w:tcPr>
            <w:tcW w:w="709"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hsa-mir-520 h</w:t>
            </w:r>
          </w:p>
        </w:tc>
        <w:tc>
          <w:tcPr>
            <w:tcW w:w="3737"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 xml:space="preserve">POLD1 and MCM2 were found to be regulated by miR-520H </w:t>
            </w:r>
            <w:r w:rsidRPr="009B04A5">
              <w:rPr>
                <w:rFonts w:ascii="Book Antiqua" w:hAnsi="Book Antiqua"/>
                <w:i/>
              </w:rPr>
              <w:t>via</w:t>
            </w:r>
            <w:r w:rsidRPr="009B04A5">
              <w:rPr>
                <w:rFonts w:ascii="Book Antiqua" w:hAnsi="Book Antiqua"/>
              </w:rPr>
              <w:t xml:space="preserve"> E2F1. High expression of POLD1, MCM2, and PLK4 might play positive roles in the recurrence of ALL</w:t>
            </w:r>
          </w:p>
        </w:tc>
        <w:tc>
          <w:tcPr>
            <w:tcW w:w="554" w:type="pct"/>
            <w:vAlign w:val="center"/>
          </w:tcPr>
          <w:p w:rsidR="00E834F1" w:rsidRPr="009B04A5" w:rsidRDefault="00A73036" w:rsidP="00C709AE">
            <w:pPr>
              <w:adjustRightInd w:val="0"/>
              <w:snapToGrid w:val="0"/>
              <w:spacing w:line="360" w:lineRule="auto"/>
              <w:ind w:firstLine="0"/>
              <w:rPr>
                <w:rFonts w:ascii="Book Antiqua" w:hAnsi="Book Antiqua"/>
              </w:rPr>
            </w:pPr>
            <w:r w:rsidRPr="009B04A5">
              <w:rPr>
                <w:rFonts w:ascii="Book Antiqua" w:hAnsi="Book Antiqua"/>
              </w:rPr>
              <w:t>[163]</w:t>
            </w:r>
          </w:p>
        </w:tc>
      </w:tr>
      <w:tr w:rsidR="009B04A5" w:rsidRPr="009B04A5" w:rsidTr="007B304E">
        <w:trPr>
          <w:trHeight w:val="113"/>
        </w:trPr>
        <w:tc>
          <w:tcPr>
            <w:tcW w:w="709"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hsa-mir-595</w:t>
            </w:r>
          </w:p>
        </w:tc>
        <w:tc>
          <w:tcPr>
            <w:tcW w:w="3737" w:type="pct"/>
            <w:vAlign w:val="center"/>
            <w:hideMark/>
          </w:tcPr>
          <w:p w:rsidR="00E834F1"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m</w:t>
            </w:r>
            <w:r w:rsidR="00F7758E" w:rsidRPr="009B04A5">
              <w:rPr>
                <w:rFonts w:ascii="Book Antiqua" w:hAnsi="Book Antiqua"/>
              </w:rPr>
              <w:t>iR</w:t>
            </w:r>
            <w:r w:rsidR="00E834F1" w:rsidRPr="009B04A5">
              <w:rPr>
                <w:rFonts w:ascii="Book Antiqua" w:hAnsi="Book Antiqua"/>
              </w:rPr>
              <w:t xml:space="preserve">-595 suppresses the cellular uptake and cytotoxic effects of methotrexate by targeting </w:t>
            </w:r>
            <w:r w:rsidR="00E834F1" w:rsidRPr="009B04A5">
              <w:rPr>
                <w:rFonts w:ascii="Book Antiqua" w:hAnsi="Book Antiqua"/>
                <w:i/>
              </w:rPr>
              <w:t>SLC19A1</w:t>
            </w:r>
            <w:r w:rsidR="00E834F1" w:rsidRPr="009B04A5">
              <w:rPr>
                <w:rFonts w:ascii="Book Antiqua" w:hAnsi="Book Antiqua"/>
              </w:rPr>
              <w:t xml:space="preserve"> in CEM/C1 cells</w:t>
            </w:r>
          </w:p>
        </w:tc>
        <w:tc>
          <w:tcPr>
            <w:tcW w:w="554" w:type="pct"/>
            <w:vAlign w:val="center"/>
          </w:tcPr>
          <w:p w:rsidR="00E834F1" w:rsidRPr="009B04A5" w:rsidRDefault="00A73036" w:rsidP="00C709AE">
            <w:pPr>
              <w:adjustRightInd w:val="0"/>
              <w:snapToGrid w:val="0"/>
              <w:spacing w:line="360" w:lineRule="auto"/>
              <w:ind w:firstLine="0"/>
              <w:rPr>
                <w:rFonts w:ascii="Book Antiqua" w:hAnsi="Book Antiqua"/>
              </w:rPr>
            </w:pPr>
            <w:r w:rsidRPr="009B04A5">
              <w:rPr>
                <w:rFonts w:ascii="Book Antiqua" w:hAnsi="Book Antiqua"/>
              </w:rPr>
              <w:t>[164]</w:t>
            </w:r>
          </w:p>
        </w:tc>
      </w:tr>
      <w:tr w:rsidR="009B04A5" w:rsidRPr="009B04A5" w:rsidTr="007B304E">
        <w:trPr>
          <w:trHeight w:val="113"/>
        </w:trPr>
        <w:tc>
          <w:tcPr>
            <w:tcW w:w="709"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hsa-mir-664</w:t>
            </w:r>
          </w:p>
        </w:tc>
        <w:tc>
          <w:tcPr>
            <w:tcW w:w="3737" w:type="pct"/>
            <w:vAlign w:val="center"/>
            <w:hideMark/>
          </w:tcPr>
          <w:p w:rsidR="00E834F1" w:rsidRPr="009B04A5" w:rsidRDefault="007B304E" w:rsidP="00C709AE">
            <w:pPr>
              <w:adjustRightInd w:val="0"/>
              <w:snapToGrid w:val="0"/>
              <w:spacing w:line="360" w:lineRule="auto"/>
              <w:ind w:firstLine="0"/>
              <w:rPr>
                <w:rFonts w:ascii="Book Antiqua" w:hAnsi="Book Antiqua"/>
              </w:rPr>
            </w:pPr>
            <w:r w:rsidRPr="009B04A5">
              <w:rPr>
                <w:rFonts w:ascii="Book Antiqua" w:hAnsi="Book Antiqua"/>
              </w:rPr>
              <w:t>m</w:t>
            </w:r>
            <w:r w:rsidR="00F7758E" w:rsidRPr="009B04A5">
              <w:rPr>
                <w:rFonts w:ascii="Book Antiqua" w:hAnsi="Book Antiqua"/>
              </w:rPr>
              <w:t>iR</w:t>
            </w:r>
            <w:r w:rsidR="00E834F1" w:rsidRPr="009B04A5">
              <w:rPr>
                <w:rFonts w:ascii="Book Antiqua" w:hAnsi="Book Antiqua"/>
              </w:rPr>
              <w:t xml:space="preserve">-664 negatively regulates </w:t>
            </w:r>
            <w:r w:rsidR="00E834F1" w:rsidRPr="009B04A5">
              <w:rPr>
                <w:rFonts w:ascii="Book Antiqua" w:hAnsi="Book Antiqua"/>
                <w:i/>
              </w:rPr>
              <w:t>PLP2</w:t>
            </w:r>
            <w:r w:rsidR="00E834F1" w:rsidRPr="009B04A5">
              <w:rPr>
                <w:rFonts w:ascii="Book Antiqua" w:hAnsi="Book Antiqua"/>
              </w:rPr>
              <w:t xml:space="preserve"> and promotes cell proliferation and invasion in T-cell acute lymphoblastic leukemia. </w:t>
            </w:r>
            <w:r w:rsidR="00F7758E" w:rsidRPr="009B04A5">
              <w:rPr>
                <w:rFonts w:ascii="Book Antiqua" w:hAnsi="Book Antiqua"/>
              </w:rPr>
              <w:t>m</w:t>
            </w:r>
            <w:r w:rsidR="00E834F1" w:rsidRPr="009B04A5">
              <w:rPr>
                <w:rFonts w:ascii="Book Antiqua" w:hAnsi="Book Antiqua"/>
              </w:rPr>
              <w:t xml:space="preserve">iR-664 may represent a potential therapeutic target </w:t>
            </w:r>
            <w:r w:rsidR="00E834F1" w:rsidRPr="009B04A5">
              <w:rPr>
                <w:rFonts w:ascii="Book Antiqua" w:hAnsi="Book Antiqua"/>
              </w:rPr>
              <w:lastRenderedPageBreak/>
              <w:t>for T-ALL intervention</w:t>
            </w:r>
          </w:p>
        </w:tc>
        <w:tc>
          <w:tcPr>
            <w:tcW w:w="554" w:type="pct"/>
            <w:vAlign w:val="center"/>
          </w:tcPr>
          <w:p w:rsidR="00E834F1" w:rsidRPr="009B04A5" w:rsidRDefault="000A6432" w:rsidP="00C709AE">
            <w:pPr>
              <w:adjustRightInd w:val="0"/>
              <w:snapToGrid w:val="0"/>
              <w:spacing w:line="360" w:lineRule="auto"/>
              <w:ind w:firstLine="0"/>
              <w:rPr>
                <w:rFonts w:ascii="Book Antiqua" w:hAnsi="Book Antiqua"/>
              </w:rPr>
            </w:pPr>
            <w:r w:rsidRPr="009B04A5">
              <w:rPr>
                <w:rFonts w:ascii="Book Antiqua" w:hAnsi="Book Antiqua"/>
              </w:rPr>
              <w:lastRenderedPageBreak/>
              <w:t>[115]</w:t>
            </w:r>
          </w:p>
        </w:tc>
      </w:tr>
      <w:tr w:rsidR="009B04A5" w:rsidRPr="009B04A5" w:rsidTr="007B304E">
        <w:trPr>
          <w:trHeight w:val="113"/>
        </w:trPr>
        <w:tc>
          <w:tcPr>
            <w:tcW w:w="709"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lastRenderedPageBreak/>
              <w:t>hsa-mir-708</w:t>
            </w:r>
          </w:p>
        </w:tc>
        <w:tc>
          <w:tcPr>
            <w:tcW w:w="3737"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 xml:space="preserve">The expression level of miR-708 reflects differences among the clinical types of common-ALL, and </w:t>
            </w:r>
            <w:r w:rsidRPr="009B04A5">
              <w:rPr>
                <w:rFonts w:ascii="Book Antiqua" w:hAnsi="Book Antiqua"/>
                <w:i/>
              </w:rPr>
              <w:t>CNTFR</w:t>
            </w:r>
            <w:r w:rsidRPr="009B04A5">
              <w:rPr>
                <w:rFonts w:ascii="Book Antiqua" w:hAnsi="Book Antiqua"/>
              </w:rPr>
              <w:t xml:space="preserve">, </w:t>
            </w:r>
            <w:r w:rsidRPr="009B04A5">
              <w:rPr>
                <w:rFonts w:ascii="Book Antiqua" w:hAnsi="Book Antiqua"/>
                <w:i/>
              </w:rPr>
              <w:t>NNAT</w:t>
            </w:r>
            <w:r w:rsidRPr="009B04A5">
              <w:rPr>
                <w:rFonts w:ascii="Book Antiqua" w:hAnsi="Book Antiqua"/>
              </w:rPr>
              <w:t xml:space="preserve">, and </w:t>
            </w:r>
            <w:r w:rsidRPr="009B04A5">
              <w:rPr>
                <w:rFonts w:ascii="Book Antiqua" w:hAnsi="Book Antiqua"/>
                <w:i/>
              </w:rPr>
              <w:t>GNG12</w:t>
            </w:r>
            <w:r w:rsidRPr="009B04A5">
              <w:rPr>
                <w:rFonts w:ascii="Book Antiqua" w:hAnsi="Book Antiqua"/>
              </w:rPr>
              <w:t xml:space="preserve"> were identified as targets of miR-708</w:t>
            </w:r>
          </w:p>
        </w:tc>
        <w:tc>
          <w:tcPr>
            <w:tcW w:w="554" w:type="pct"/>
            <w:vAlign w:val="center"/>
          </w:tcPr>
          <w:p w:rsidR="00E834F1" w:rsidRPr="009B04A5" w:rsidRDefault="00A73036" w:rsidP="00C709AE">
            <w:pPr>
              <w:adjustRightInd w:val="0"/>
              <w:snapToGrid w:val="0"/>
              <w:spacing w:line="360" w:lineRule="auto"/>
              <w:ind w:firstLine="0"/>
              <w:rPr>
                <w:rFonts w:ascii="Book Antiqua" w:hAnsi="Book Antiqua"/>
              </w:rPr>
            </w:pPr>
            <w:r w:rsidRPr="009B04A5">
              <w:rPr>
                <w:rFonts w:ascii="Book Antiqua" w:hAnsi="Book Antiqua"/>
              </w:rPr>
              <w:t>[165]</w:t>
            </w:r>
          </w:p>
        </w:tc>
      </w:tr>
      <w:tr w:rsidR="009B04A5" w:rsidRPr="009B04A5" w:rsidTr="007B304E">
        <w:trPr>
          <w:trHeight w:val="113"/>
        </w:trPr>
        <w:tc>
          <w:tcPr>
            <w:tcW w:w="709" w:type="pct"/>
            <w:vAlign w:val="center"/>
            <w:hideMark/>
          </w:tcPr>
          <w:p w:rsidR="00E834F1" w:rsidRPr="009B04A5" w:rsidRDefault="00E834F1" w:rsidP="00C709AE">
            <w:pPr>
              <w:adjustRightInd w:val="0"/>
              <w:snapToGrid w:val="0"/>
              <w:spacing w:line="360" w:lineRule="auto"/>
              <w:ind w:firstLine="0"/>
              <w:rPr>
                <w:rFonts w:ascii="Book Antiqua" w:hAnsi="Book Antiqua"/>
              </w:rPr>
            </w:pPr>
            <w:r w:rsidRPr="009B04A5">
              <w:rPr>
                <w:rFonts w:ascii="Book Antiqua" w:hAnsi="Book Antiqua"/>
              </w:rPr>
              <w:t>hsa-mir-2909</w:t>
            </w:r>
          </w:p>
        </w:tc>
        <w:tc>
          <w:tcPr>
            <w:tcW w:w="3737" w:type="pct"/>
            <w:vAlign w:val="center"/>
            <w:hideMark/>
          </w:tcPr>
          <w:p w:rsidR="00E834F1" w:rsidRPr="009B04A5" w:rsidRDefault="00F7758E" w:rsidP="00C709AE">
            <w:pPr>
              <w:adjustRightInd w:val="0"/>
              <w:snapToGrid w:val="0"/>
              <w:spacing w:line="360" w:lineRule="auto"/>
              <w:ind w:firstLine="0"/>
              <w:rPr>
                <w:rFonts w:ascii="Book Antiqua" w:hAnsi="Book Antiqua"/>
              </w:rPr>
            </w:pPr>
            <w:r w:rsidRPr="009B04A5">
              <w:rPr>
                <w:rFonts w:ascii="Book Antiqua" w:hAnsi="Book Antiqua"/>
              </w:rPr>
              <w:t>The miR</w:t>
            </w:r>
            <w:r w:rsidR="00E834F1" w:rsidRPr="009B04A5">
              <w:rPr>
                <w:rFonts w:ascii="Book Antiqua" w:hAnsi="Book Antiqua"/>
              </w:rPr>
              <w:t>-2909-KLF4 molecular axis is able to differentiate between the pathogeneses of pediatric B- and T-cell ALLs, which may represent a new diagnostic/prognostic marker</w:t>
            </w:r>
          </w:p>
        </w:tc>
        <w:tc>
          <w:tcPr>
            <w:tcW w:w="554" w:type="pct"/>
            <w:vAlign w:val="center"/>
          </w:tcPr>
          <w:p w:rsidR="00E834F1" w:rsidRPr="009B04A5" w:rsidRDefault="00A73036" w:rsidP="00C709AE">
            <w:pPr>
              <w:adjustRightInd w:val="0"/>
              <w:snapToGrid w:val="0"/>
              <w:spacing w:line="360" w:lineRule="auto"/>
              <w:ind w:firstLine="0"/>
              <w:rPr>
                <w:rFonts w:ascii="Book Antiqua" w:hAnsi="Book Antiqua"/>
              </w:rPr>
            </w:pPr>
            <w:r w:rsidRPr="009B04A5">
              <w:rPr>
                <w:rFonts w:ascii="Book Antiqua" w:hAnsi="Book Antiqua"/>
              </w:rPr>
              <w:t>[166]</w:t>
            </w:r>
          </w:p>
        </w:tc>
      </w:tr>
    </w:tbl>
    <w:p w:rsidR="00987970" w:rsidRPr="009B04A5" w:rsidRDefault="00B0013A" w:rsidP="00C709AE">
      <w:pPr>
        <w:adjustRightInd w:val="0"/>
        <w:snapToGrid w:val="0"/>
        <w:spacing w:line="360" w:lineRule="auto"/>
        <w:ind w:firstLine="0"/>
        <w:rPr>
          <w:rFonts w:ascii="Book Antiqua" w:hAnsi="Book Antiqua"/>
        </w:rPr>
      </w:pPr>
      <w:r w:rsidRPr="009B04A5">
        <w:rPr>
          <w:rFonts w:ascii="Book Antiqua" w:hAnsi="Book Antiqua"/>
        </w:rPr>
        <w:t xml:space="preserve">MiRNA: MicroRNA; </w:t>
      </w:r>
      <w:r w:rsidR="007B304E" w:rsidRPr="009B04A5">
        <w:rPr>
          <w:rFonts w:ascii="Book Antiqua" w:hAnsi="Book Antiqua"/>
        </w:rPr>
        <w:t>ALL: Acute lymphoblastic leukemia; AML: Acute myeloid leukemia</w:t>
      </w:r>
      <w:r w:rsidRPr="009B04A5">
        <w:rPr>
          <w:rFonts w:ascii="Book Antiqua" w:hAnsi="Book Antiqua"/>
        </w:rPr>
        <w:t>; Hsp90: Heat shock protein 90; TGF-β1: Transforming growth factor beta 1; UTR, Untranslated region; POLD1: Polymerase delta 1; MCM2: Minichromosome maintenance complex component 2</w:t>
      </w:r>
      <w:r w:rsidR="009F45D6" w:rsidRPr="009B04A5">
        <w:rPr>
          <w:rFonts w:ascii="Book Antiqua" w:hAnsi="Book Antiqua"/>
        </w:rPr>
        <w:t>; PLK-4: Polo-like kinase 4</w:t>
      </w:r>
      <w:r w:rsidR="007B304E" w:rsidRPr="009B04A5">
        <w:rPr>
          <w:rFonts w:ascii="Book Antiqua" w:hAnsi="Book Antiqua"/>
        </w:rPr>
        <w:t>.</w:t>
      </w:r>
    </w:p>
    <w:p w:rsidR="00987970" w:rsidRPr="009B04A5" w:rsidRDefault="004A180B" w:rsidP="00C709AE">
      <w:pPr>
        <w:pStyle w:val="a8"/>
        <w:adjustRightInd w:val="0"/>
        <w:snapToGrid w:val="0"/>
        <w:spacing w:line="360" w:lineRule="auto"/>
        <w:ind w:firstLine="0"/>
        <w:rPr>
          <w:rFonts w:ascii="Book Antiqua" w:hAnsi="Book Antiqua"/>
          <w:sz w:val="24"/>
          <w:szCs w:val="24"/>
        </w:rPr>
      </w:pPr>
      <w:r w:rsidRPr="009B04A5">
        <w:rPr>
          <w:rFonts w:ascii="Book Antiqua" w:hAnsi="Book Antiqua"/>
          <w:sz w:val="24"/>
          <w:szCs w:val="24"/>
        </w:rPr>
        <w:br w:type="page"/>
      </w:r>
      <w:r w:rsidR="00987970" w:rsidRPr="009B04A5">
        <w:rPr>
          <w:rFonts w:ascii="Book Antiqua" w:hAnsi="Book Antiqua"/>
          <w:sz w:val="24"/>
          <w:szCs w:val="24"/>
        </w:rPr>
        <w:lastRenderedPageBreak/>
        <w:t>Table 2 MicroRNAs associated with resistance to commonly used drugs in childhood acute leukemia treatment</w:t>
      </w:r>
    </w:p>
    <w:tbl>
      <w:tblPr>
        <w:tblW w:w="0" w:type="auto"/>
        <w:tblBorders>
          <w:top w:val="single" w:sz="4" w:space="0" w:color="auto"/>
          <w:bottom w:val="single" w:sz="4" w:space="0" w:color="auto"/>
        </w:tblBorders>
        <w:tblLook w:val="04A0" w:firstRow="1" w:lastRow="0" w:firstColumn="1" w:lastColumn="0" w:noHBand="0" w:noVBand="1"/>
      </w:tblPr>
      <w:tblGrid>
        <w:gridCol w:w="1913"/>
        <w:gridCol w:w="7329"/>
      </w:tblGrid>
      <w:tr w:rsidR="009B04A5" w:rsidRPr="009B04A5" w:rsidTr="007B304E">
        <w:tc>
          <w:tcPr>
            <w:tcW w:w="1526" w:type="dxa"/>
            <w:tcBorders>
              <w:top w:val="single" w:sz="4" w:space="0" w:color="auto"/>
              <w:bottom w:val="single" w:sz="4" w:space="0" w:color="auto"/>
            </w:tcBorders>
            <w:shd w:val="clear" w:color="auto" w:fill="auto"/>
          </w:tcPr>
          <w:p w:rsidR="00987970" w:rsidRPr="009B04A5" w:rsidRDefault="00987970" w:rsidP="00C709AE">
            <w:pPr>
              <w:adjustRightInd w:val="0"/>
              <w:snapToGrid w:val="0"/>
              <w:spacing w:line="360" w:lineRule="auto"/>
              <w:ind w:firstLine="0"/>
              <w:rPr>
                <w:rFonts w:ascii="Book Antiqua" w:hAnsi="Book Antiqua"/>
                <w:b/>
              </w:rPr>
            </w:pPr>
            <w:r w:rsidRPr="009B04A5">
              <w:rPr>
                <w:rFonts w:ascii="Book Antiqua" w:hAnsi="Book Antiqua"/>
                <w:b/>
              </w:rPr>
              <w:t>Drug name</w:t>
            </w:r>
          </w:p>
        </w:tc>
        <w:tc>
          <w:tcPr>
            <w:tcW w:w="7762" w:type="dxa"/>
            <w:tcBorders>
              <w:top w:val="single" w:sz="4" w:space="0" w:color="auto"/>
              <w:bottom w:val="single" w:sz="4" w:space="0" w:color="auto"/>
            </w:tcBorders>
            <w:shd w:val="clear" w:color="auto" w:fill="auto"/>
          </w:tcPr>
          <w:p w:rsidR="00987970" w:rsidRPr="009B04A5" w:rsidRDefault="00987970" w:rsidP="00C709AE">
            <w:pPr>
              <w:adjustRightInd w:val="0"/>
              <w:snapToGrid w:val="0"/>
              <w:spacing w:line="360" w:lineRule="auto"/>
              <w:ind w:firstLine="0"/>
              <w:rPr>
                <w:rFonts w:ascii="Book Antiqua" w:hAnsi="Book Antiqua"/>
                <w:b/>
              </w:rPr>
            </w:pPr>
            <w:r w:rsidRPr="009B04A5">
              <w:rPr>
                <w:rFonts w:ascii="Book Antiqua" w:hAnsi="Book Antiqua"/>
                <w:b/>
              </w:rPr>
              <w:t xml:space="preserve">Most </w:t>
            </w:r>
            <w:r w:rsidR="00DB7619" w:rsidRPr="009B04A5">
              <w:rPr>
                <w:rFonts w:ascii="Book Antiqua" w:hAnsi="Book Antiqua"/>
                <w:b/>
              </w:rPr>
              <w:t xml:space="preserve">discriminating </w:t>
            </w:r>
            <w:r w:rsidRPr="009B04A5">
              <w:rPr>
                <w:rFonts w:ascii="Book Antiqua" w:hAnsi="Book Antiqua"/>
                <w:b/>
              </w:rPr>
              <w:t>microRNAs</w:t>
            </w:r>
          </w:p>
        </w:tc>
      </w:tr>
      <w:tr w:rsidR="009B04A5" w:rsidRPr="009B04A5" w:rsidTr="007B304E">
        <w:tc>
          <w:tcPr>
            <w:tcW w:w="1526" w:type="dxa"/>
            <w:tcBorders>
              <w:top w:val="single" w:sz="4" w:space="0" w:color="auto"/>
            </w:tcBorders>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Prednisolone</w:t>
            </w:r>
          </w:p>
        </w:tc>
        <w:tc>
          <w:tcPr>
            <w:tcW w:w="7762" w:type="dxa"/>
            <w:tcBorders>
              <w:top w:val="single" w:sz="4" w:space="0" w:color="auto"/>
            </w:tcBorders>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miR-99a, miR-125a, mir-128b, miR-210, miR-221, miR-550, miR-595, miR-633, miR-638, miR-652</w:t>
            </w:r>
          </w:p>
        </w:tc>
      </w:tr>
      <w:tr w:rsidR="009B04A5" w:rsidRPr="009B04A5" w:rsidTr="007B304E">
        <w:tc>
          <w:tcPr>
            <w:tcW w:w="1526"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L-asparaginase</w:t>
            </w:r>
          </w:p>
        </w:tc>
        <w:tc>
          <w:tcPr>
            <w:tcW w:w="7762"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miR-210, miR</w:t>
            </w:r>
            <w:r w:rsidRPr="009B04A5">
              <w:rPr>
                <w:rFonts w:ascii="Cambria Math" w:hAnsi="Cambria Math" w:cs="Cambria Math"/>
              </w:rPr>
              <w:t>‐</w:t>
            </w:r>
            <w:r w:rsidRPr="009B04A5">
              <w:rPr>
                <w:rFonts w:ascii="Book Antiqua" w:hAnsi="Book Antiqua"/>
              </w:rPr>
              <w:t>454</w:t>
            </w:r>
          </w:p>
        </w:tc>
      </w:tr>
      <w:tr w:rsidR="009B04A5" w:rsidRPr="009B04A5" w:rsidTr="007B304E">
        <w:tc>
          <w:tcPr>
            <w:tcW w:w="1526"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Vincristine</w:t>
            </w:r>
          </w:p>
        </w:tc>
        <w:tc>
          <w:tcPr>
            <w:tcW w:w="7762"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miR</w:t>
            </w:r>
            <w:r w:rsidRPr="009B04A5">
              <w:rPr>
                <w:rFonts w:ascii="Cambria Math" w:hAnsi="Cambria Math" w:cs="Cambria Math"/>
              </w:rPr>
              <w:t>‐</w:t>
            </w:r>
            <w:r w:rsidRPr="009B04A5">
              <w:rPr>
                <w:rFonts w:ascii="Book Antiqua" w:hAnsi="Book Antiqua"/>
              </w:rPr>
              <w:t>9, miR</w:t>
            </w:r>
            <w:r w:rsidRPr="009B04A5">
              <w:rPr>
                <w:rFonts w:ascii="Cambria Math" w:hAnsi="Cambria Math" w:cs="Cambria Math"/>
              </w:rPr>
              <w:t>‐</w:t>
            </w:r>
            <w:r w:rsidRPr="009B04A5">
              <w:rPr>
                <w:rFonts w:ascii="Book Antiqua" w:hAnsi="Book Antiqua"/>
              </w:rPr>
              <w:t>99a, miR-100, miR-124, miR</w:t>
            </w:r>
            <w:r w:rsidRPr="009B04A5">
              <w:rPr>
                <w:rFonts w:ascii="Cambria Math" w:hAnsi="Cambria Math" w:cs="Cambria Math"/>
              </w:rPr>
              <w:t>‐</w:t>
            </w:r>
            <w:r w:rsidRPr="009B04A5">
              <w:rPr>
                <w:rFonts w:ascii="Book Antiqua" w:hAnsi="Book Antiqua"/>
              </w:rPr>
              <w:t>125b, miR-126, miR-128b, miR</w:t>
            </w:r>
            <w:r w:rsidRPr="009B04A5">
              <w:rPr>
                <w:rFonts w:ascii="Cambria Math" w:hAnsi="Cambria Math" w:cs="Cambria Math"/>
              </w:rPr>
              <w:t>‐</w:t>
            </w:r>
            <w:r w:rsidRPr="009B04A5">
              <w:rPr>
                <w:rFonts w:ascii="Book Antiqua" w:hAnsi="Book Antiqua"/>
              </w:rPr>
              <w:t>141, miR</w:t>
            </w:r>
            <w:r w:rsidRPr="009B04A5">
              <w:rPr>
                <w:rFonts w:ascii="Cambria Math" w:hAnsi="Cambria Math" w:cs="Cambria Math"/>
              </w:rPr>
              <w:t>‐</w:t>
            </w:r>
            <w:r w:rsidRPr="009B04A5">
              <w:rPr>
                <w:rFonts w:ascii="Book Antiqua" w:hAnsi="Book Antiqua"/>
              </w:rPr>
              <w:t>200c, miR-218, miR</w:t>
            </w:r>
            <w:r w:rsidRPr="009B04A5">
              <w:rPr>
                <w:rFonts w:ascii="Cambria Math" w:hAnsi="Cambria Math" w:cs="Cambria Math"/>
              </w:rPr>
              <w:t>‐</w:t>
            </w:r>
            <w:r w:rsidRPr="009B04A5">
              <w:rPr>
                <w:rFonts w:ascii="Book Antiqua" w:hAnsi="Book Antiqua"/>
              </w:rPr>
              <w:t>625, miR-633, miR</w:t>
            </w:r>
            <w:r w:rsidRPr="009B04A5">
              <w:rPr>
                <w:rFonts w:ascii="Cambria Math" w:hAnsi="Cambria Math" w:cs="Cambria Math"/>
              </w:rPr>
              <w:t>‐</w:t>
            </w:r>
            <w:r w:rsidRPr="009B04A5">
              <w:rPr>
                <w:rFonts w:ascii="Book Antiqua" w:hAnsi="Book Antiqua"/>
              </w:rPr>
              <w:t>629, miR-1206</w:t>
            </w:r>
          </w:p>
        </w:tc>
      </w:tr>
      <w:tr w:rsidR="009B04A5" w:rsidRPr="009B04A5" w:rsidTr="007B304E">
        <w:tc>
          <w:tcPr>
            <w:tcW w:w="1526"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Prednisone</w:t>
            </w:r>
          </w:p>
        </w:tc>
        <w:tc>
          <w:tcPr>
            <w:tcW w:w="7762"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miR-15a, miR</w:t>
            </w:r>
            <w:r w:rsidRPr="009B04A5">
              <w:rPr>
                <w:rFonts w:ascii="Cambria Math" w:hAnsi="Cambria Math" w:cs="Cambria Math"/>
              </w:rPr>
              <w:t>‐</w:t>
            </w:r>
            <w:r w:rsidRPr="009B04A5">
              <w:rPr>
                <w:rFonts w:ascii="Book Antiqua" w:hAnsi="Book Antiqua"/>
              </w:rPr>
              <w:t>18a, miR-16-1, miR-128b, miR</w:t>
            </w:r>
            <w:r w:rsidRPr="009B04A5">
              <w:rPr>
                <w:rFonts w:ascii="Cambria Math" w:hAnsi="Cambria Math" w:cs="Cambria Math"/>
              </w:rPr>
              <w:t>‐</w:t>
            </w:r>
            <w:r w:rsidRPr="009B04A5">
              <w:rPr>
                <w:rFonts w:ascii="Book Antiqua" w:hAnsi="Book Antiqua"/>
              </w:rPr>
              <w:t>193a, miR</w:t>
            </w:r>
            <w:r w:rsidRPr="009B04A5">
              <w:rPr>
                <w:rFonts w:ascii="Cambria Math" w:hAnsi="Cambria Math" w:cs="Cambria Math"/>
              </w:rPr>
              <w:t>‐</w:t>
            </w:r>
            <w:r w:rsidRPr="009B04A5">
              <w:rPr>
                <w:rFonts w:ascii="Book Antiqua" w:hAnsi="Book Antiqua"/>
              </w:rPr>
              <w:t>218, miR-223, miR</w:t>
            </w:r>
            <w:r w:rsidRPr="009B04A5">
              <w:rPr>
                <w:rFonts w:ascii="Cambria Math" w:hAnsi="Cambria Math" w:cs="Cambria Math"/>
              </w:rPr>
              <w:t>‐</w:t>
            </w:r>
            <w:r w:rsidRPr="009B04A5">
              <w:rPr>
                <w:rFonts w:ascii="Book Antiqua" w:hAnsi="Book Antiqua"/>
              </w:rPr>
              <w:t>532, miR</w:t>
            </w:r>
            <w:r w:rsidRPr="009B04A5">
              <w:rPr>
                <w:rFonts w:ascii="Cambria Math" w:hAnsi="Cambria Math" w:cs="Cambria Math"/>
              </w:rPr>
              <w:t>‐</w:t>
            </w:r>
            <w:r w:rsidRPr="009B04A5">
              <w:rPr>
                <w:rFonts w:ascii="Book Antiqua" w:hAnsi="Book Antiqua"/>
              </w:rPr>
              <w:t>550, miR-625, miR</w:t>
            </w:r>
            <w:r w:rsidRPr="009B04A5">
              <w:rPr>
                <w:rFonts w:ascii="Cambria Math" w:hAnsi="Cambria Math" w:cs="Cambria Math"/>
              </w:rPr>
              <w:t>‐</w:t>
            </w:r>
            <w:r w:rsidRPr="009B04A5">
              <w:rPr>
                <w:rFonts w:ascii="Book Antiqua" w:hAnsi="Book Antiqua"/>
              </w:rPr>
              <w:t>633, miR</w:t>
            </w:r>
            <w:r w:rsidRPr="009B04A5">
              <w:rPr>
                <w:rFonts w:ascii="Cambria Math" w:hAnsi="Cambria Math" w:cs="Cambria Math"/>
              </w:rPr>
              <w:t>‐</w:t>
            </w:r>
            <w:r w:rsidRPr="009B04A5">
              <w:rPr>
                <w:rFonts w:ascii="Book Antiqua" w:hAnsi="Book Antiqua"/>
              </w:rPr>
              <w:t xml:space="preserve">638 </w:t>
            </w:r>
          </w:p>
        </w:tc>
      </w:tr>
      <w:tr w:rsidR="009B04A5" w:rsidRPr="009B04A5" w:rsidTr="007B304E">
        <w:tc>
          <w:tcPr>
            <w:tcW w:w="1526"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Daunorubicin</w:t>
            </w:r>
          </w:p>
        </w:tc>
        <w:tc>
          <w:tcPr>
            <w:tcW w:w="7762"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miR-99a, miR-100, miR-125b, miR-126, miR</w:t>
            </w:r>
            <w:r w:rsidRPr="009B04A5">
              <w:rPr>
                <w:rFonts w:ascii="Cambria Math" w:hAnsi="Cambria Math" w:cs="Cambria Math"/>
              </w:rPr>
              <w:t>‐</w:t>
            </w:r>
            <w:r w:rsidRPr="009B04A5">
              <w:rPr>
                <w:rFonts w:ascii="Book Antiqua" w:hAnsi="Book Antiqua"/>
              </w:rPr>
              <w:t>199b, miR</w:t>
            </w:r>
            <w:r w:rsidRPr="009B04A5">
              <w:rPr>
                <w:rFonts w:ascii="Cambria Math" w:hAnsi="Cambria Math" w:cs="Cambria Math"/>
              </w:rPr>
              <w:t>‐</w:t>
            </w:r>
            <w:r w:rsidRPr="009B04A5">
              <w:rPr>
                <w:rFonts w:ascii="Book Antiqua" w:hAnsi="Book Antiqua"/>
              </w:rPr>
              <w:t>203, miR-210, miR</w:t>
            </w:r>
            <w:r w:rsidRPr="009B04A5">
              <w:rPr>
                <w:rFonts w:ascii="Cambria Math" w:hAnsi="Cambria Math" w:cs="Cambria Math"/>
              </w:rPr>
              <w:t>‐</w:t>
            </w:r>
            <w:r w:rsidRPr="009B04A5">
              <w:rPr>
                <w:rFonts w:ascii="Book Antiqua" w:hAnsi="Book Antiqua"/>
              </w:rPr>
              <w:t>335, miR</w:t>
            </w:r>
            <w:r w:rsidRPr="009B04A5">
              <w:rPr>
                <w:rFonts w:ascii="Cambria Math" w:hAnsi="Cambria Math" w:cs="Cambria Math"/>
              </w:rPr>
              <w:t>‐</w:t>
            </w:r>
            <w:r w:rsidRPr="009B04A5">
              <w:rPr>
                <w:rFonts w:ascii="Book Antiqua" w:hAnsi="Book Antiqua"/>
              </w:rPr>
              <w:t>383, let</w:t>
            </w:r>
            <w:r w:rsidRPr="009B04A5">
              <w:rPr>
                <w:rFonts w:ascii="Cambria Math" w:hAnsi="Cambria Math" w:cs="Cambria Math"/>
              </w:rPr>
              <w:t>‐</w:t>
            </w:r>
            <w:r w:rsidRPr="009B04A5">
              <w:rPr>
                <w:rFonts w:ascii="Book Antiqua" w:hAnsi="Book Antiqua"/>
              </w:rPr>
              <w:t>7c</w:t>
            </w:r>
          </w:p>
        </w:tc>
      </w:tr>
      <w:tr w:rsidR="009B04A5" w:rsidRPr="009B04A5" w:rsidTr="007B304E">
        <w:tc>
          <w:tcPr>
            <w:tcW w:w="1526"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Doxorubicin</w:t>
            </w:r>
          </w:p>
        </w:tc>
        <w:tc>
          <w:tcPr>
            <w:tcW w:w="7762"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miR-125b</w:t>
            </w:r>
          </w:p>
        </w:tc>
      </w:tr>
      <w:tr w:rsidR="009B04A5" w:rsidRPr="009B04A5" w:rsidTr="007B304E">
        <w:tc>
          <w:tcPr>
            <w:tcW w:w="1526"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Methotrexate</w:t>
            </w:r>
          </w:p>
        </w:tc>
        <w:tc>
          <w:tcPr>
            <w:tcW w:w="7762"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miR-595, miR-1206, miR-6083</w:t>
            </w:r>
          </w:p>
        </w:tc>
      </w:tr>
      <w:tr w:rsidR="009B04A5" w:rsidRPr="009B04A5" w:rsidTr="007B304E">
        <w:tc>
          <w:tcPr>
            <w:tcW w:w="1526"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Cytarabin</w:t>
            </w:r>
          </w:p>
        </w:tc>
        <w:tc>
          <w:tcPr>
            <w:tcW w:w="7762"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miR-562</w:t>
            </w:r>
          </w:p>
        </w:tc>
      </w:tr>
      <w:tr w:rsidR="009B04A5" w:rsidRPr="009B04A5" w:rsidTr="007B304E">
        <w:tc>
          <w:tcPr>
            <w:tcW w:w="1526"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Dexamethasone</w:t>
            </w:r>
          </w:p>
        </w:tc>
        <w:tc>
          <w:tcPr>
            <w:tcW w:w="7762"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miR-210</w:t>
            </w:r>
          </w:p>
        </w:tc>
      </w:tr>
      <w:tr w:rsidR="009B04A5" w:rsidRPr="009B04A5" w:rsidTr="007B304E">
        <w:tc>
          <w:tcPr>
            <w:tcW w:w="1526"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Imatinib</w:t>
            </w:r>
          </w:p>
        </w:tc>
        <w:tc>
          <w:tcPr>
            <w:tcW w:w="7762"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miR-203</w:t>
            </w:r>
          </w:p>
        </w:tc>
      </w:tr>
      <w:tr w:rsidR="009B04A5" w:rsidRPr="009B04A5" w:rsidTr="007B304E">
        <w:tc>
          <w:tcPr>
            <w:tcW w:w="1526"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Staurosporine</w:t>
            </w:r>
          </w:p>
        </w:tc>
        <w:tc>
          <w:tcPr>
            <w:tcW w:w="7762" w:type="dxa"/>
            <w:shd w:val="clear" w:color="auto" w:fill="auto"/>
          </w:tcPr>
          <w:p w:rsidR="00987970" w:rsidRPr="009B04A5" w:rsidRDefault="00987970" w:rsidP="00C709AE">
            <w:pPr>
              <w:adjustRightInd w:val="0"/>
              <w:snapToGrid w:val="0"/>
              <w:spacing w:line="360" w:lineRule="auto"/>
              <w:ind w:firstLine="0"/>
              <w:rPr>
                <w:rFonts w:ascii="Book Antiqua" w:hAnsi="Book Antiqua"/>
              </w:rPr>
            </w:pPr>
            <w:r w:rsidRPr="009B04A5">
              <w:rPr>
                <w:rFonts w:ascii="Book Antiqua" w:hAnsi="Book Antiqua"/>
              </w:rPr>
              <w:t>miR-125b</w:t>
            </w:r>
          </w:p>
        </w:tc>
      </w:tr>
    </w:tbl>
    <w:p w:rsidR="00987970" w:rsidRPr="009B04A5" w:rsidRDefault="00987970" w:rsidP="00C709AE">
      <w:pPr>
        <w:adjustRightInd w:val="0"/>
        <w:snapToGrid w:val="0"/>
        <w:spacing w:line="360" w:lineRule="auto"/>
        <w:ind w:firstLine="0"/>
        <w:rPr>
          <w:rFonts w:ascii="Book Antiqua" w:hAnsi="Book Antiqua"/>
        </w:rPr>
      </w:pPr>
    </w:p>
    <w:sectPr w:rsidR="00987970" w:rsidRPr="009B04A5" w:rsidSect="009B04A5">
      <w:footerReference w:type="default" r:id="rId14"/>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ACB" w:rsidRPr="00C3168F" w:rsidRDefault="00BD7ACB" w:rsidP="004F136B">
      <w:r w:rsidRPr="00C3168F">
        <w:separator/>
      </w:r>
    </w:p>
  </w:endnote>
  <w:endnote w:type="continuationSeparator" w:id="0">
    <w:p w:rsidR="00BD7ACB" w:rsidRPr="00C3168F" w:rsidRDefault="00BD7ACB" w:rsidP="004F136B">
      <w:r w:rsidRPr="00C3168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Roman">
    <w:altName w:val="Times"/>
    <w:panose1 w:val="00000000000000000000"/>
    <w:charset w:val="00"/>
    <w:family w:val="roman"/>
    <w:notTrueType/>
    <w:pitch w:val="default"/>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896" w:rsidRPr="005402CC" w:rsidRDefault="00E36896" w:rsidP="00E36896">
    <w:pPr>
      <w:pStyle w:val="aa"/>
      <w:jc w:val="center"/>
      <w:rPr>
        <w:rFonts w:ascii="Book Antiqua" w:hAnsi="Book Antiqua"/>
      </w:rPr>
    </w:pPr>
    <w:r w:rsidRPr="005402CC">
      <w:rPr>
        <w:rFonts w:ascii="Book Antiqua" w:hAnsi="Book Antiqua"/>
      </w:rPr>
      <w:fldChar w:fldCharType="begin"/>
    </w:r>
    <w:r w:rsidRPr="005402CC">
      <w:rPr>
        <w:rFonts w:ascii="Book Antiqua" w:hAnsi="Book Antiqua"/>
      </w:rPr>
      <w:instrText xml:space="preserve"> PAGE   \* MERGEFORMAT </w:instrText>
    </w:r>
    <w:r w:rsidRPr="005402CC">
      <w:rPr>
        <w:rFonts w:ascii="Book Antiqua" w:hAnsi="Book Antiqua"/>
      </w:rPr>
      <w:fldChar w:fldCharType="separate"/>
    </w:r>
    <w:r w:rsidR="00D321D6">
      <w:rPr>
        <w:rFonts w:ascii="Book Antiqua" w:hAnsi="Book Antiqua"/>
        <w:noProof/>
      </w:rPr>
      <w:t>1</w:t>
    </w:r>
    <w:r w:rsidRPr="005402CC">
      <w:rPr>
        <w:rFonts w:ascii="Book Antiqua" w:hAnsi="Book Antiqua"/>
        <w:noProof/>
      </w:rPr>
      <w:fldChar w:fldCharType="end"/>
    </w:r>
  </w:p>
  <w:p w:rsidR="007B304E" w:rsidRPr="00C3168F" w:rsidRDefault="007B304E" w:rsidP="00E11987">
    <w:pPr>
      <w:pStyle w:val="a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ACB" w:rsidRPr="00C3168F" w:rsidRDefault="00BD7ACB" w:rsidP="004F136B">
      <w:r w:rsidRPr="00C3168F">
        <w:separator/>
      </w:r>
    </w:p>
  </w:footnote>
  <w:footnote w:type="continuationSeparator" w:id="0">
    <w:p w:rsidR="00BD7ACB" w:rsidRPr="00C3168F" w:rsidRDefault="00BD7ACB" w:rsidP="004F136B">
      <w:r w:rsidRPr="00C3168F">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58CEF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574AC6"/>
    <w:multiLevelType w:val="multilevel"/>
    <w:tmpl w:val="BEC07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B24E1E"/>
    <w:multiLevelType w:val="multilevel"/>
    <w:tmpl w:val="3856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3901BD"/>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4C5F0DC2"/>
    <w:multiLevelType w:val="multilevel"/>
    <w:tmpl w:val="F6E0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602435"/>
    <w:multiLevelType w:val="hybridMultilevel"/>
    <w:tmpl w:val="D4A43574"/>
    <w:lvl w:ilvl="0">
      <w:start w:val="5"/>
      <w:numFmt w:val="bullet"/>
      <w:lvlText w:val="-"/>
      <w:lvlJc w:val="left"/>
      <w:pPr>
        <w:ind w:left="1068" w:hanging="360"/>
      </w:pPr>
      <w:rPr>
        <w:rFonts w:ascii="Arial" w:eastAsia="Calibri" w:hAnsi="Arial"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num w:numId="1">
    <w:abstractNumId w:val="1"/>
  </w:num>
  <w:num w:numId="2">
    <w:abstractNumId w:val="2"/>
  </w:num>
  <w:num w:numId="3">
    <w:abstractNumId w:val="3"/>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4">
    <w:abstractNumId w:val="3"/>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5">
    <w:abstractNumId w:val="3"/>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Clin Onko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0rat9vmvvxv9ewzzop2vepprt2xz9ztxrd&quot;&gt;bibligrafia AL miRNA(1)&lt;record-ids&gt;&lt;item&gt;2&lt;/item&gt;&lt;item&gt;6&lt;/item&gt;&lt;item&gt;9&lt;/item&gt;&lt;item&gt;10&lt;/item&gt;&lt;item&gt;16&lt;/item&gt;&lt;item&gt;19&lt;/item&gt;&lt;item&gt;20&lt;/item&gt;&lt;item&gt;27&lt;/item&gt;&lt;item&gt;28&lt;/item&gt;&lt;item&gt;37&lt;/item&gt;&lt;item&gt;40&lt;/item&gt;&lt;item&gt;43&lt;/item&gt;&lt;item&gt;44&lt;/item&gt;&lt;item&gt;47&lt;/item&gt;&lt;item&gt;50&lt;/item&gt;&lt;item&gt;51&lt;/item&gt;&lt;item&gt;52&lt;/item&gt;&lt;item&gt;53&lt;/item&gt;&lt;item&gt;54&lt;/item&gt;&lt;item&gt;55&lt;/item&gt;&lt;item&gt;57&lt;/item&gt;&lt;item&gt;58&lt;/item&gt;&lt;item&gt;60&lt;/item&gt;&lt;item&gt;61&lt;/item&gt;&lt;item&gt;62&lt;/item&gt;&lt;item&gt;63&lt;/item&gt;&lt;item&gt;64&lt;/item&gt;&lt;item&gt;65&lt;/item&gt;&lt;item&gt;66&lt;/item&gt;&lt;item&gt;67&lt;/item&gt;&lt;item&gt;68&lt;/item&gt;&lt;item&gt;70&lt;/item&gt;&lt;item&gt;71&lt;/item&gt;&lt;item&gt;72&lt;/item&gt;&lt;item&gt;73&lt;/item&gt;&lt;item&gt;75&lt;/item&gt;&lt;item&gt;76&lt;/item&gt;&lt;item&gt;77&lt;/item&gt;&lt;item&gt;79&lt;/item&gt;&lt;item&gt;80&lt;/item&gt;&lt;item&gt;81&lt;/item&gt;&lt;item&gt;82&lt;/item&gt;&lt;item&gt;83&lt;/item&gt;&lt;item&gt;84&lt;/item&gt;&lt;item&gt;85&lt;/item&gt;&lt;item&gt;86&lt;/item&gt;&lt;item&gt;87&lt;/item&gt;&lt;item&gt;88&lt;/item&gt;&lt;item&gt;89&lt;/item&gt;&lt;item&gt;90&lt;/item&gt;&lt;item&gt;91&lt;/item&gt;&lt;item&gt;94&lt;/item&gt;&lt;item&gt;95&lt;/item&gt;&lt;item&gt;96&lt;/item&gt;&lt;item&gt;99&lt;/item&gt;&lt;item&gt;103&lt;/item&gt;&lt;item&gt;104&lt;/item&gt;&lt;item&gt;105&lt;/item&gt;&lt;item&gt;106&lt;/item&gt;&lt;item&gt;107&lt;/item&gt;&lt;item&gt;108&lt;/item&gt;&lt;item&gt;109&lt;/item&gt;&lt;item&gt;110&lt;/item&gt;&lt;item&gt;111&lt;/item&gt;&lt;item&gt;112&lt;/item&gt;&lt;item&gt;113&lt;/item&gt;&lt;item&gt;114&lt;/item&gt;&lt;item&gt;115&lt;/item&gt;&lt;item&gt;117&lt;/item&gt;&lt;item&gt;118&lt;/item&gt;&lt;item&gt;119&lt;/item&gt;&lt;item&gt;120&lt;/item&gt;&lt;item&gt;121&lt;/item&gt;&lt;item&gt;122&lt;/item&gt;&lt;item&gt;123&lt;/item&gt;&lt;item&gt;124&lt;/item&gt;&lt;item&gt;125&lt;/item&gt;&lt;item&gt;126&lt;/item&gt;&lt;item&gt;130&lt;/item&gt;&lt;item&gt;131&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51&lt;/item&gt;&lt;item&gt;152&lt;/item&gt;&lt;item&gt;153&lt;/item&gt;&lt;item&gt;154&lt;/item&gt;&lt;item&gt;155&lt;/item&gt;&lt;item&gt;156&lt;/item&gt;&lt;item&gt;157&lt;/item&gt;&lt;item&gt;158&lt;/item&gt;&lt;item&gt;159&lt;/item&gt;&lt;item&gt;160&lt;/item&gt;&lt;item&gt;161&lt;/item&gt;&lt;item&gt;162&lt;/item&gt;&lt;item&gt;169&lt;/item&gt;&lt;item&gt;170&lt;/item&gt;&lt;item&gt;171&lt;/item&gt;&lt;item&gt;173&lt;/item&gt;&lt;item&gt;177&lt;/item&gt;&lt;item&gt;179&lt;/item&gt;&lt;item&gt;181&lt;/item&gt;&lt;item&gt;184&lt;/item&gt;&lt;item&gt;190&lt;/item&gt;&lt;item&gt;194&lt;/item&gt;&lt;item&gt;198&lt;/item&gt;&lt;item&gt;200&lt;/item&gt;&lt;item&gt;201&lt;/item&gt;&lt;item&gt;202&lt;/item&gt;&lt;item&gt;203&lt;/item&gt;&lt;item&gt;211&lt;/item&gt;&lt;item&gt;217&lt;/item&gt;&lt;item&gt;220&lt;/item&gt;&lt;item&gt;222&lt;/item&gt;&lt;item&gt;227&lt;/item&gt;&lt;item&gt;228&lt;/item&gt;&lt;item&gt;229&lt;/item&gt;&lt;item&gt;230&lt;/item&gt;&lt;item&gt;232&lt;/item&gt;&lt;item&gt;233&lt;/item&gt;&lt;item&gt;234&lt;/item&gt;&lt;item&gt;235&lt;/item&gt;&lt;item&gt;236&lt;/item&gt;&lt;item&gt;237&lt;/item&gt;&lt;item&gt;238&lt;/item&gt;&lt;item&gt;239&lt;/item&gt;&lt;item&gt;240&lt;/item&gt;&lt;item&gt;242&lt;/item&gt;&lt;item&gt;243&lt;/item&gt;&lt;item&gt;244&lt;/item&gt;&lt;item&gt;245&lt;/item&gt;&lt;item&gt;247&lt;/item&gt;&lt;item&gt;248&lt;/item&gt;&lt;item&gt;249&lt;/item&gt;&lt;item&gt;250&lt;/item&gt;&lt;item&gt;252&lt;/item&gt;&lt;item&gt;255&lt;/item&gt;&lt;item&gt;256&lt;/item&gt;&lt;item&gt;257&lt;/item&gt;&lt;item&gt;258&lt;/item&gt;&lt;item&gt;259&lt;/item&gt;&lt;item&gt;260&lt;/item&gt;&lt;item&gt;261&lt;/item&gt;&lt;item&gt;284&lt;/item&gt;&lt;item&gt;285&lt;/item&gt;&lt;item&gt;286&lt;/item&gt;&lt;item&gt;287&lt;/item&gt;&lt;item&gt;288&lt;/item&gt;&lt;item&gt;289&lt;/item&gt;&lt;item&gt;290&lt;/item&gt;&lt;/record-ids&gt;&lt;/item&gt;&lt;/Libraries&gt;"/>
  </w:docVars>
  <w:rsids>
    <w:rsidRoot w:val="00C07BF3"/>
    <w:rsid w:val="00000F3F"/>
    <w:rsid w:val="000013AC"/>
    <w:rsid w:val="00002742"/>
    <w:rsid w:val="00011249"/>
    <w:rsid w:val="000135DF"/>
    <w:rsid w:val="0001406F"/>
    <w:rsid w:val="00021312"/>
    <w:rsid w:val="0002223C"/>
    <w:rsid w:val="00023207"/>
    <w:rsid w:val="000300DA"/>
    <w:rsid w:val="00030882"/>
    <w:rsid w:val="00035465"/>
    <w:rsid w:val="0004020F"/>
    <w:rsid w:val="00040561"/>
    <w:rsid w:val="00042155"/>
    <w:rsid w:val="00042ED9"/>
    <w:rsid w:val="000444FB"/>
    <w:rsid w:val="00045EDF"/>
    <w:rsid w:val="00046B76"/>
    <w:rsid w:val="00047FB4"/>
    <w:rsid w:val="000510CF"/>
    <w:rsid w:val="00053D7F"/>
    <w:rsid w:val="00055B38"/>
    <w:rsid w:val="00061D8A"/>
    <w:rsid w:val="000621F7"/>
    <w:rsid w:val="00065A2B"/>
    <w:rsid w:val="00066F7A"/>
    <w:rsid w:val="00073521"/>
    <w:rsid w:val="0007479C"/>
    <w:rsid w:val="00076634"/>
    <w:rsid w:val="00077E99"/>
    <w:rsid w:val="00082A09"/>
    <w:rsid w:val="00082AEA"/>
    <w:rsid w:val="0008459E"/>
    <w:rsid w:val="000858DD"/>
    <w:rsid w:val="00087E1B"/>
    <w:rsid w:val="00090CFB"/>
    <w:rsid w:val="00095071"/>
    <w:rsid w:val="000961BB"/>
    <w:rsid w:val="000A0251"/>
    <w:rsid w:val="000A052A"/>
    <w:rsid w:val="000A1598"/>
    <w:rsid w:val="000A583D"/>
    <w:rsid w:val="000A5CB7"/>
    <w:rsid w:val="000A6432"/>
    <w:rsid w:val="000B117F"/>
    <w:rsid w:val="000B3771"/>
    <w:rsid w:val="000B3BF0"/>
    <w:rsid w:val="000B4E20"/>
    <w:rsid w:val="000C058C"/>
    <w:rsid w:val="000C15E7"/>
    <w:rsid w:val="000C1753"/>
    <w:rsid w:val="000C2EA6"/>
    <w:rsid w:val="000C6B11"/>
    <w:rsid w:val="000D017D"/>
    <w:rsid w:val="000D1DF3"/>
    <w:rsid w:val="000D23BF"/>
    <w:rsid w:val="000D308D"/>
    <w:rsid w:val="000D356D"/>
    <w:rsid w:val="000D446E"/>
    <w:rsid w:val="000D50C7"/>
    <w:rsid w:val="000D50E5"/>
    <w:rsid w:val="000D6D25"/>
    <w:rsid w:val="000D7E80"/>
    <w:rsid w:val="000E159E"/>
    <w:rsid w:val="000E31B3"/>
    <w:rsid w:val="000E39D1"/>
    <w:rsid w:val="000E688F"/>
    <w:rsid w:val="000E7D3B"/>
    <w:rsid w:val="000F0855"/>
    <w:rsid w:val="000F5C31"/>
    <w:rsid w:val="000F6966"/>
    <w:rsid w:val="000F6BFC"/>
    <w:rsid w:val="00101E10"/>
    <w:rsid w:val="00102F84"/>
    <w:rsid w:val="001030C2"/>
    <w:rsid w:val="00110359"/>
    <w:rsid w:val="00110BA2"/>
    <w:rsid w:val="00110F14"/>
    <w:rsid w:val="00112401"/>
    <w:rsid w:val="00116433"/>
    <w:rsid w:val="00126EF6"/>
    <w:rsid w:val="00131D96"/>
    <w:rsid w:val="00133988"/>
    <w:rsid w:val="00134110"/>
    <w:rsid w:val="00134413"/>
    <w:rsid w:val="00136675"/>
    <w:rsid w:val="00137359"/>
    <w:rsid w:val="00137386"/>
    <w:rsid w:val="00140D09"/>
    <w:rsid w:val="001422C5"/>
    <w:rsid w:val="00143CF9"/>
    <w:rsid w:val="00145297"/>
    <w:rsid w:val="0015252F"/>
    <w:rsid w:val="001529FC"/>
    <w:rsid w:val="0015338F"/>
    <w:rsid w:val="00153928"/>
    <w:rsid w:val="00153B68"/>
    <w:rsid w:val="001548EC"/>
    <w:rsid w:val="001574A3"/>
    <w:rsid w:val="00157FF5"/>
    <w:rsid w:val="0016436A"/>
    <w:rsid w:val="00171C3A"/>
    <w:rsid w:val="00172790"/>
    <w:rsid w:val="00175CE6"/>
    <w:rsid w:val="001768BB"/>
    <w:rsid w:val="00181CC7"/>
    <w:rsid w:val="001837B0"/>
    <w:rsid w:val="00186712"/>
    <w:rsid w:val="00191E77"/>
    <w:rsid w:val="0019789A"/>
    <w:rsid w:val="00197D15"/>
    <w:rsid w:val="001A0D96"/>
    <w:rsid w:val="001A2CFE"/>
    <w:rsid w:val="001A4A2D"/>
    <w:rsid w:val="001A78C0"/>
    <w:rsid w:val="001A7C40"/>
    <w:rsid w:val="001A7D8D"/>
    <w:rsid w:val="001B0452"/>
    <w:rsid w:val="001B1167"/>
    <w:rsid w:val="001B1D98"/>
    <w:rsid w:val="001B28F5"/>
    <w:rsid w:val="001B3ECE"/>
    <w:rsid w:val="001B55AD"/>
    <w:rsid w:val="001C0E70"/>
    <w:rsid w:val="001C5E86"/>
    <w:rsid w:val="001C6F4F"/>
    <w:rsid w:val="001D3B8E"/>
    <w:rsid w:val="001D4A9A"/>
    <w:rsid w:val="001D4FAD"/>
    <w:rsid w:val="001D65D7"/>
    <w:rsid w:val="001D6CB8"/>
    <w:rsid w:val="001E1EDE"/>
    <w:rsid w:val="001E7783"/>
    <w:rsid w:val="001E7EB3"/>
    <w:rsid w:val="001F2A3D"/>
    <w:rsid w:val="001F31F9"/>
    <w:rsid w:val="001F4822"/>
    <w:rsid w:val="001F769A"/>
    <w:rsid w:val="001F7C0C"/>
    <w:rsid w:val="001F7ECC"/>
    <w:rsid w:val="0020088E"/>
    <w:rsid w:val="002025A4"/>
    <w:rsid w:val="00202794"/>
    <w:rsid w:val="0020296E"/>
    <w:rsid w:val="0020691E"/>
    <w:rsid w:val="00216A39"/>
    <w:rsid w:val="00216C15"/>
    <w:rsid w:val="00221424"/>
    <w:rsid w:val="00221EA8"/>
    <w:rsid w:val="00223005"/>
    <w:rsid w:val="002247EC"/>
    <w:rsid w:val="00225A4E"/>
    <w:rsid w:val="0023221C"/>
    <w:rsid w:val="00235AA7"/>
    <w:rsid w:val="00235E44"/>
    <w:rsid w:val="0023602F"/>
    <w:rsid w:val="002367F0"/>
    <w:rsid w:val="002370CA"/>
    <w:rsid w:val="002411CA"/>
    <w:rsid w:val="002414E0"/>
    <w:rsid w:val="002430E3"/>
    <w:rsid w:val="0024360F"/>
    <w:rsid w:val="00247BC0"/>
    <w:rsid w:val="00250267"/>
    <w:rsid w:val="002520BB"/>
    <w:rsid w:val="00252CEE"/>
    <w:rsid w:val="0025388F"/>
    <w:rsid w:val="002538CF"/>
    <w:rsid w:val="002552E6"/>
    <w:rsid w:val="00261A0E"/>
    <w:rsid w:val="0026267F"/>
    <w:rsid w:val="00265028"/>
    <w:rsid w:val="002654EF"/>
    <w:rsid w:val="00266AD7"/>
    <w:rsid w:val="00267AF1"/>
    <w:rsid w:val="00271511"/>
    <w:rsid w:val="002729C9"/>
    <w:rsid w:val="002733F6"/>
    <w:rsid w:val="00273F62"/>
    <w:rsid w:val="00274D14"/>
    <w:rsid w:val="00275100"/>
    <w:rsid w:val="002769DA"/>
    <w:rsid w:val="00280F7B"/>
    <w:rsid w:val="0028304A"/>
    <w:rsid w:val="0028617D"/>
    <w:rsid w:val="00290943"/>
    <w:rsid w:val="00291A28"/>
    <w:rsid w:val="00293CAD"/>
    <w:rsid w:val="0029474C"/>
    <w:rsid w:val="00295E3F"/>
    <w:rsid w:val="0029625B"/>
    <w:rsid w:val="002A69F8"/>
    <w:rsid w:val="002A6B32"/>
    <w:rsid w:val="002B024C"/>
    <w:rsid w:val="002B0D5A"/>
    <w:rsid w:val="002B4BDD"/>
    <w:rsid w:val="002C1016"/>
    <w:rsid w:val="002C413F"/>
    <w:rsid w:val="002C43D9"/>
    <w:rsid w:val="002C5609"/>
    <w:rsid w:val="002D2454"/>
    <w:rsid w:val="002E0480"/>
    <w:rsid w:val="002E0A25"/>
    <w:rsid w:val="002E5404"/>
    <w:rsid w:val="002F04DB"/>
    <w:rsid w:val="002F2B64"/>
    <w:rsid w:val="002F3272"/>
    <w:rsid w:val="002F346B"/>
    <w:rsid w:val="002F7FAB"/>
    <w:rsid w:val="00300EF7"/>
    <w:rsid w:val="0030129D"/>
    <w:rsid w:val="0030345D"/>
    <w:rsid w:val="0030376C"/>
    <w:rsid w:val="00303E50"/>
    <w:rsid w:val="00304ACC"/>
    <w:rsid w:val="00304DFE"/>
    <w:rsid w:val="00306B24"/>
    <w:rsid w:val="00306B86"/>
    <w:rsid w:val="00310D98"/>
    <w:rsid w:val="00313788"/>
    <w:rsid w:val="00313D05"/>
    <w:rsid w:val="0031680E"/>
    <w:rsid w:val="00316AEB"/>
    <w:rsid w:val="00317661"/>
    <w:rsid w:val="00320611"/>
    <w:rsid w:val="0032135E"/>
    <w:rsid w:val="003265BD"/>
    <w:rsid w:val="00326F76"/>
    <w:rsid w:val="003301DE"/>
    <w:rsid w:val="003305CA"/>
    <w:rsid w:val="003306DD"/>
    <w:rsid w:val="003314B2"/>
    <w:rsid w:val="00331632"/>
    <w:rsid w:val="00334260"/>
    <w:rsid w:val="00334407"/>
    <w:rsid w:val="00336F01"/>
    <w:rsid w:val="0033711F"/>
    <w:rsid w:val="0034077C"/>
    <w:rsid w:val="00341989"/>
    <w:rsid w:val="003443EC"/>
    <w:rsid w:val="0034454E"/>
    <w:rsid w:val="003456FA"/>
    <w:rsid w:val="00346E50"/>
    <w:rsid w:val="00347001"/>
    <w:rsid w:val="00347A80"/>
    <w:rsid w:val="00350C4F"/>
    <w:rsid w:val="003530CE"/>
    <w:rsid w:val="00354D7C"/>
    <w:rsid w:val="00356AC1"/>
    <w:rsid w:val="00356CCA"/>
    <w:rsid w:val="00362A82"/>
    <w:rsid w:val="00362BB7"/>
    <w:rsid w:val="00370BAC"/>
    <w:rsid w:val="003715B8"/>
    <w:rsid w:val="00371EC2"/>
    <w:rsid w:val="00373BCA"/>
    <w:rsid w:val="00374587"/>
    <w:rsid w:val="003750EA"/>
    <w:rsid w:val="0037689F"/>
    <w:rsid w:val="00376976"/>
    <w:rsid w:val="003812C3"/>
    <w:rsid w:val="00381C27"/>
    <w:rsid w:val="0038332F"/>
    <w:rsid w:val="003834E3"/>
    <w:rsid w:val="00385993"/>
    <w:rsid w:val="00385E1B"/>
    <w:rsid w:val="00386CDC"/>
    <w:rsid w:val="003877F9"/>
    <w:rsid w:val="00390DF9"/>
    <w:rsid w:val="00392FF2"/>
    <w:rsid w:val="00393029"/>
    <w:rsid w:val="003936D2"/>
    <w:rsid w:val="00396251"/>
    <w:rsid w:val="00397468"/>
    <w:rsid w:val="003979F1"/>
    <w:rsid w:val="003A25C2"/>
    <w:rsid w:val="003A25C4"/>
    <w:rsid w:val="003A3DB9"/>
    <w:rsid w:val="003A5098"/>
    <w:rsid w:val="003A5236"/>
    <w:rsid w:val="003A6818"/>
    <w:rsid w:val="003A6CA2"/>
    <w:rsid w:val="003A6E1F"/>
    <w:rsid w:val="003A730E"/>
    <w:rsid w:val="003B2BBF"/>
    <w:rsid w:val="003B3A9F"/>
    <w:rsid w:val="003C1542"/>
    <w:rsid w:val="003C22DE"/>
    <w:rsid w:val="003C3B7B"/>
    <w:rsid w:val="003C3DD6"/>
    <w:rsid w:val="003D0596"/>
    <w:rsid w:val="003D1321"/>
    <w:rsid w:val="003D1C38"/>
    <w:rsid w:val="003D2347"/>
    <w:rsid w:val="003D60CB"/>
    <w:rsid w:val="003D6642"/>
    <w:rsid w:val="003D6C4A"/>
    <w:rsid w:val="003E3ACC"/>
    <w:rsid w:val="003E5BEB"/>
    <w:rsid w:val="003E6954"/>
    <w:rsid w:val="003E6FC2"/>
    <w:rsid w:val="003F6944"/>
    <w:rsid w:val="003F776A"/>
    <w:rsid w:val="0040445F"/>
    <w:rsid w:val="004048B8"/>
    <w:rsid w:val="00404C23"/>
    <w:rsid w:val="00406BCC"/>
    <w:rsid w:val="00407938"/>
    <w:rsid w:val="00421D97"/>
    <w:rsid w:val="0042228C"/>
    <w:rsid w:val="004239F3"/>
    <w:rsid w:val="00430EE1"/>
    <w:rsid w:val="004314F9"/>
    <w:rsid w:val="00431F13"/>
    <w:rsid w:val="0043239D"/>
    <w:rsid w:val="00433C90"/>
    <w:rsid w:val="00433F98"/>
    <w:rsid w:val="0043676E"/>
    <w:rsid w:val="00437874"/>
    <w:rsid w:val="00440037"/>
    <w:rsid w:val="00440466"/>
    <w:rsid w:val="0044269C"/>
    <w:rsid w:val="00446CCC"/>
    <w:rsid w:val="00450CEB"/>
    <w:rsid w:val="00450DF4"/>
    <w:rsid w:val="004547EF"/>
    <w:rsid w:val="00455A6B"/>
    <w:rsid w:val="00455C00"/>
    <w:rsid w:val="00456B43"/>
    <w:rsid w:val="004574B4"/>
    <w:rsid w:val="004609D1"/>
    <w:rsid w:val="004643FE"/>
    <w:rsid w:val="004649C8"/>
    <w:rsid w:val="00464CD2"/>
    <w:rsid w:val="00467322"/>
    <w:rsid w:val="0046739E"/>
    <w:rsid w:val="00471F90"/>
    <w:rsid w:val="004736EB"/>
    <w:rsid w:val="00475376"/>
    <w:rsid w:val="004761FA"/>
    <w:rsid w:val="00480544"/>
    <w:rsid w:val="00485A11"/>
    <w:rsid w:val="004967A5"/>
    <w:rsid w:val="004A180B"/>
    <w:rsid w:val="004A1955"/>
    <w:rsid w:val="004A1DCE"/>
    <w:rsid w:val="004A33FC"/>
    <w:rsid w:val="004A3CA7"/>
    <w:rsid w:val="004A69EC"/>
    <w:rsid w:val="004A70BF"/>
    <w:rsid w:val="004A796B"/>
    <w:rsid w:val="004B32A4"/>
    <w:rsid w:val="004B4A70"/>
    <w:rsid w:val="004B6762"/>
    <w:rsid w:val="004B6F48"/>
    <w:rsid w:val="004B7EE8"/>
    <w:rsid w:val="004C0E64"/>
    <w:rsid w:val="004C4191"/>
    <w:rsid w:val="004C521B"/>
    <w:rsid w:val="004C74D0"/>
    <w:rsid w:val="004D1658"/>
    <w:rsid w:val="004D6D52"/>
    <w:rsid w:val="004D722C"/>
    <w:rsid w:val="004E152C"/>
    <w:rsid w:val="004E2D12"/>
    <w:rsid w:val="004E4400"/>
    <w:rsid w:val="004E5878"/>
    <w:rsid w:val="004E5937"/>
    <w:rsid w:val="004F136B"/>
    <w:rsid w:val="004F28E0"/>
    <w:rsid w:val="004F2E37"/>
    <w:rsid w:val="004F2F20"/>
    <w:rsid w:val="004F325D"/>
    <w:rsid w:val="004F6A31"/>
    <w:rsid w:val="004F7041"/>
    <w:rsid w:val="005033EC"/>
    <w:rsid w:val="005129CE"/>
    <w:rsid w:val="00512E22"/>
    <w:rsid w:val="00516235"/>
    <w:rsid w:val="00517180"/>
    <w:rsid w:val="00520089"/>
    <w:rsid w:val="005207F6"/>
    <w:rsid w:val="00520868"/>
    <w:rsid w:val="00520BA7"/>
    <w:rsid w:val="00522165"/>
    <w:rsid w:val="00523C74"/>
    <w:rsid w:val="00525579"/>
    <w:rsid w:val="005267D0"/>
    <w:rsid w:val="00531BF3"/>
    <w:rsid w:val="00531CB8"/>
    <w:rsid w:val="00532218"/>
    <w:rsid w:val="00532CAC"/>
    <w:rsid w:val="00533FB3"/>
    <w:rsid w:val="00534859"/>
    <w:rsid w:val="00535AB5"/>
    <w:rsid w:val="005402CC"/>
    <w:rsid w:val="0054153B"/>
    <w:rsid w:val="00542546"/>
    <w:rsid w:val="005428B9"/>
    <w:rsid w:val="00544C05"/>
    <w:rsid w:val="0054798F"/>
    <w:rsid w:val="00550BC1"/>
    <w:rsid w:val="0055225F"/>
    <w:rsid w:val="00552D77"/>
    <w:rsid w:val="0055688C"/>
    <w:rsid w:val="00556B4E"/>
    <w:rsid w:val="00556DE5"/>
    <w:rsid w:val="00557725"/>
    <w:rsid w:val="00561046"/>
    <w:rsid w:val="00562DA2"/>
    <w:rsid w:val="00563496"/>
    <w:rsid w:val="005641FA"/>
    <w:rsid w:val="0056462C"/>
    <w:rsid w:val="00565E85"/>
    <w:rsid w:val="00567CAC"/>
    <w:rsid w:val="005746A5"/>
    <w:rsid w:val="00575DE1"/>
    <w:rsid w:val="00576ACE"/>
    <w:rsid w:val="00576F56"/>
    <w:rsid w:val="00581B12"/>
    <w:rsid w:val="005826A4"/>
    <w:rsid w:val="00582BF7"/>
    <w:rsid w:val="005846DA"/>
    <w:rsid w:val="0058569D"/>
    <w:rsid w:val="00594BB4"/>
    <w:rsid w:val="00596D16"/>
    <w:rsid w:val="00596FDE"/>
    <w:rsid w:val="005A1A7B"/>
    <w:rsid w:val="005A1A87"/>
    <w:rsid w:val="005A5E66"/>
    <w:rsid w:val="005A7606"/>
    <w:rsid w:val="005A79CE"/>
    <w:rsid w:val="005A7DB6"/>
    <w:rsid w:val="005B01AC"/>
    <w:rsid w:val="005B2114"/>
    <w:rsid w:val="005B2510"/>
    <w:rsid w:val="005B2992"/>
    <w:rsid w:val="005B5CAA"/>
    <w:rsid w:val="005B6519"/>
    <w:rsid w:val="005C1669"/>
    <w:rsid w:val="005C344F"/>
    <w:rsid w:val="005C424A"/>
    <w:rsid w:val="005C571B"/>
    <w:rsid w:val="005C5974"/>
    <w:rsid w:val="005C5BF5"/>
    <w:rsid w:val="005C623F"/>
    <w:rsid w:val="005C706D"/>
    <w:rsid w:val="005D0F4A"/>
    <w:rsid w:val="005D2A42"/>
    <w:rsid w:val="005D2CF0"/>
    <w:rsid w:val="005D3793"/>
    <w:rsid w:val="005D383B"/>
    <w:rsid w:val="005D3A7D"/>
    <w:rsid w:val="005E05BD"/>
    <w:rsid w:val="005E090F"/>
    <w:rsid w:val="005E3153"/>
    <w:rsid w:val="005E5439"/>
    <w:rsid w:val="005E6A21"/>
    <w:rsid w:val="005F4BAF"/>
    <w:rsid w:val="005F4C1F"/>
    <w:rsid w:val="005F5634"/>
    <w:rsid w:val="005F6461"/>
    <w:rsid w:val="00600999"/>
    <w:rsid w:val="006027D3"/>
    <w:rsid w:val="006031FC"/>
    <w:rsid w:val="00603FEB"/>
    <w:rsid w:val="0060475F"/>
    <w:rsid w:val="006048DF"/>
    <w:rsid w:val="0060502A"/>
    <w:rsid w:val="00607DA8"/>
    <w:rsid w:val="00611CC9"/>
    <w:rsid w:val="00612620"/>
    <w:rsid w:val="00613CED"/>
    <w:rsid w:val="00614307"/>
    <w:rsid w:val="0061451A"/>
    <w:rsid w:val="00614549"/>
    <w:rsid w:val="0061456C"/>
    <w:rsid w:val="00614A67"/>
    <w:rsid w:val="00615DB6"/>
    <w:rsid w:val="006211FA"/>
    <w:rsid w:val="00621760"/>
    <w:rsid w:val="00624EEA"/>
    <w:rsid w:val="00627FF0"/>
    <w:rsid w:val="00631215"/>
    <w:rsid w:val="00632CD7"/>
    <w:rsid w:val="00635B22"/>
    <w:rsid w:val="00635F1D"/>
    <w:rsid w:val="00636CF7"/>
    <w:rsid w:val="006370C5"/>
    <w:rsid w:val="006403E6"/>
    <w:rsid w:val="0064617D"/>
    <w:rsid w:val="00655DD9"/>
    <w:rsid w:val="006571EC"/>
    <w:rsid w:val="00660817"/>
    <w:rsid w:val="006610E6"/>
    <w:rsid w:val="006622B9"/>
    <w:rsid w:val="0066236E"/>
    <w:rsid w:val="00662FFB"/>
    <w:rsid w:val="006649F6"/>
    <w:rsid w:val="00680C5F"/>
    <w:rsid w:val="006847BB"/>
    <w:rsid w:val="006859A6"/>
    <w:rsid w:val="00685B60"/>
    <w:rsid w:val="006867DA"/>
    <w:rsid w:val="006874EA"/>
    <w:rsid w:val="006943F1"/>
    <w:rsid w:val="00694B19"/>
    <w:rsid w:val="0069601D"/>
    <w:rsid w:val="006A1F64"/>
    <w:rsid w:val="006A44D9"/>
    <w:rsid w:val="006A47F8"/>
    <w:rsid w:val="006A4E49"/>
    <w:rsid w:val="006B2598"/>
    <w:rsid w:val="006B372D"/>
    <w:rsid w:val="006B3DC5"/>
    <w:rsid w:val="006B5859"/>
    <w:rsid w:val="006B6F59"/>
    <w:rsid w:val="006B7422"/>
    <w:rsid w:val="006B7F4C"/>
    <w:rsid w:val="006C034B"/>
    <w:rsid w:val="006C0637"/>
    <w:rsid w:val="006C0DF5"/>
    <w:rsid w:val="006C2C69"/>
    <w:rsid w:val="006C36A1"/>
    <w:rsid w:val="006C3B05"/>
    <w:rsid w:val="006C41AD"/>
    <w:rsid w:val="006D0E9E"/>
    <w:rsid w:val="006D1B85"/>
    <w:rsid w:val="006D22C5"/>
    <w:rsid w:val="006D23D5"/>
    <w:rsid w:val="006D285D"/>
    <w:rsid w:val="006D2F6F"/>
    <w:rsid w:val="006D46F4"/>
    <w:rsid w:val="006D4D8E"/>
    <w:rsid w:val="006D570A"/>
    <w:rsid w:val="006D6291"/>
    <w:rsid w:val="006E0613"/>
    <w:rsid w:val="006E29FC"/>
    <w:rsid w:val="006E4FE4"/>
    <w:rsid w:val="006E529E"/>
    <w:rsid w:val="006E56E7"/>
    <w:rsid w:val="006E69D6"/>
    <w:rsid w:val="006F56C8"/>
    <w:rsid w:val="006F623A"/>
    <w:rsid w:val="006F7963"/>
    <w:rsid w:val="00700617"/>
    <w:rsid w:val="0070211A"/>
    <w:rsid w:val="007129D8"/>
    <w:rsid w:val="007130BE"/>
    <w:rsid w:val="007136A2"/>
    <w:rsid w:val="007148B7"/>
    <w:rsid w:val="00714BBD"/>
    <w:rsid w:val="00714F0D"/>
    <w:rsid w:val="00715154"/>
    <w:rsid w:val="00720356"/>
    <w:rsid w:val="00722B17"/>
    <w:rsid w:val="00722D49"/>
    <w:rsid w:val="0072484C"/>
    <w:rsid w:val="00724D90"/>
    <w:rsid w:val="00727686"/>
    <w:rsid w:val="007277AD"/>
    <w:rsid w:val="0073113D"/>
    <w:rsid w:val="00731FD6"/>
    <w:rsid w:val="00732889"/>
    <w:rsid w:val="00733C94"/>
    <w:rsid w:val="00737191"/>
    <w:rsid w:val="00740EAC"/>
    <w:rsid w:val="00741F94"/>
    <w:rsid w:val="007439FC"/>
    <w:rsid w:val="00745E4E"/>
    <w:rsid w:val="00745F48"/>
    <w:rsid w:val="007479EA"/>
    <w:rsid w:val="0075158F"/>
    <w:rsid w:val="00751EBE"/>
    <w:rsid w:val="007522AD"/>
    <w:rsid w:val="00754340"/>
    <w:rsid w:val="00756425"/>
    <w:rsid w:val="00756CF6"/>
    <w:rsid w:val="00757C28"/>
    <w:rsid w:val="00757D02"/>
    <w:rsid w:val="00757D40"/>
    <w:rsid w:val="007634BC"/>
    <w:rsid w:val="007645C6"/>
    <w:rsid w:val="007653DE"/>
    <w:rsid w:val="00767A30"/>
    <w:rsid w:val="00771604"/>
    <w:rsid w:val="007749CC"/>
    <w:rsid w:val="00774AC5"/>
    <w:rsid w:val="0077557C"/>
    <w:rsid w:val="00775CAD"/>
    <w:rsid w:val="0077603A"/>
    <w:rsid w:val="007767F5"/>
    <w:rsid w:val="007808F0"/>
    <w:rsid w:val="00781002"/>
    <w:rsid w:val="00783C14"/>
    <w:rsid w:val="0078495B"/>
    <w:rsid w:val="007856CE"/>
    <w:rsid w:val="00791969"/>
    <w:rsid w:val="007946C3"/>
    <w:rsid w:val="007A2960"/>
    <w:rsid w:val="007A49DE"/>
    <w:rsid w:val="007A60CA"/>
    <w:rsid w:val="007A6996"/>
    <w:rsid w:val="007A6DE5"/>
    <w:rsid w:val="007B1832"/>
    <w:rsid w:val="007B304E"/>
    <w:rsid w:val="007B3632"/>
    <w:rsid w:val="007B4C7D"/>
    <w:rsid w:val="007B7CC7"/>
    <w:rsid w:val="007C0F78"/>
    <w:rsid w:val="007C15E1"/>
    <w:rsid w:val="007C2079"/>
    <w:rsid w:val="007C466E"/>
    <w:rsid w:val="007C591C"/>
    <w:rsid w:val="007C59DA"/>
    <w:rsid w:val="007C6F55"/>
    <w:rsid w:val="007C71F6"/>
    <w:rsid w:val="007D3D4E"/>
    <w:rsid w:val="007D7D6B"/>
    <w:rsid w:val="007E04C8"/>
    <w:rsid w:val="007E33A9"/>
    <w:rsid w:val="007E6CDA"/>
    <w:rsid w:val="007E760C"/>
    <w:rsid w:val="007E78C7"/>
    <w:rsid w:val="007E7C03"/>
    <w:rsid w:val="007F4D6B"/>
    <w:rsid w:val="007F687D"/>
    <w:rsid w:val="007F7043"/>
    <w:rsid w:val="00800655"/>
    <w:rsid w:val="00802C02"/>
    <w:rsid w:val="00803CE2"/>
    <w:rsid w:val="00806893"/>
    <w:rsid w:val="00807B2A"/>
    <w:rsid w:val="00810539"/>
    <w:rsid w:val="0081231D"/>
    <w:rsid w:val="00812805"/>
    <w:rsid w:val="00814EBC"/>
    <w:rsid w:val="0081788F"/>
    <w:rsid w:val="0082052A"/>
    <w:rsid w:val="0082171F"/>
    <w:rsid w:val="00821988"/>
    <w:rsid w:val="00821F71"/>
    <w:rsid w:val="008222EB"/>
    <w:rsid w:val="008257C7"/>
    <w:rsid w:val="0082588D"/>
    <w:rsid w:val="00827DB8"/>
    <w:rsid w:val="00831BCB"/>
    <w:rsid w:val="008346C7"/>
    <w:rsid w:val="008349BE"/>
    <w:rsid w:val="0084470C"/>
    <w:rsid w:val="00846966"/>
    <w:rsid w:val="00851148"/>
    <w:rsid w:val="0085129C"/>
    <w:rsid w:val="0085141A"/>
    <w:rsid w:val="00851E6A"/>
    <w:rsid w:val="00852CFB"/>
    <w:rsid w:val="00852FA6"/>
    <w:rsid w:val="00854057"/>
    <w:rsid w:val="0085420B"/>
    <w:rsid w:val="0085567D"/>
    <w:rsid w:val="00860DEC"/>
    <w:rsid w:val="00861A67"/>
    <w:rsid w:val="00863F55"/>
    <w:rsid w:val="00871A06"/>
    <w:rsid w:val="008732AE"/>
    <w:rsid w:val="00874622"/>
    <w:rsid w:val="00875E0C"/>
    <w:rsid w:val="00877A78"/>
    <w:rsid w:val="00885F29"/>
    <w:rsid w:val="00891F42"/>
    <w:rsid w:val="008940B8"/>
    <w:rsid w:val="00894186"/>
    <w:rsid w:val="00894DD3"/>
    <w:rsid w:val="00897F9D"/>
    <w:rsid w:val="008A012E"/>
    <w:rsid w:val="008A0715"/>
    <w:rsid w:val="008A74EE"/>
    <w:rsid w:val="008A7530"/>
    <w:rsid w:val="008B62DD"/>
    <w:rsid w:val="008B6834"/>
    <w:rsid w:val="008B6E5D"/>
    <w:rsid w:val="008B7062"/>
    <w:rsid w:val="008C0CCE"/>
    <w:rsid w:val="008C44C7"/>
    <w:rsid w:val="008C5533"/>
    <w:rsid w:val="008C67C3"/>
    <w:rsid w:val="008C7889"/>
    <w:rsid w:val="008C78BD"/>
    <w:rsid w:val="008D0B45"/>
    <w:rsid w:val="008D4A61"/>
    <w:rsid w:val="008D51A6"/>
    <w:rsid w:val="008D6F95"/>
    <w:rsid w:val="008D7189"/>
    <w:rsid w:val="008E11E9"/>
    <w:rsid w:val="008E33EE"/>
    <w:rsid w:val="008E4028"/>
    <w:rsid w:val="008E4080"/>
    <w:rsid w:val="008E519C"/>
    <w:rsid w:val="008F06DB"/>
    <w:rsid w:val="008F1D5F"/>
    <w:rsid w:val="008F277C"/>
    <w:rsid w:val="008F5046"/>
    <w:rsid w:val="008F7AA9"/>
    <w:rsid w:val="00903F84"/>
    <w:rsid w:val="009057E3"/>
    <w:rsid w:val="0091152B"/>
    <w:rsid w:val="00913A3C"/>
    <w:rsid w:val="009164AE"/>
    <w:rsid w:val="00917072"/>
    <w:rsid w:val="009200F3"/>
    <w:rsid w:val="009216B6"/>
    <w:rsid w:val="00930043"/>
    <w:rsid w:val="00930843"/>
    <w:rsid w:val="00932A2A"/>
    <w:rsid w:val="00933B6F"/>
    <w:rsid w:val="00936A4F"/>
    <w:rsid w:val="00936FE0"/>
    <w:rsid w:val="0093774B"/>
    <w:rsid w:val="00937DA5"/>
    <w:rsid w:val="00942D23"/>
    <w:rsid w:val="0094308B"/>
    <w:rsid w:val="00945204"/>
    <w:rsid w:val="00945A81"/>
    <w:rsid w:val="00950767"/>
    <w:rsid w:val="009632D1"/>
    <w:rsid w:val="00965A1D"/>
    <w:rsid w:val="00967909"/>
    <w:rsid w:val="009748CF"/>
    <w:rsid w:val="00976543"/>
    <w:rsid w:val="00981208"/>
    <w:rsid w:val="009829F4"/>
    <w:rsid w:val="00984D46"/>
    <w:rsid w:val="00986095"/>
    <w:rsid w:val="00987970"/>
    <w:rsid w:val="009917A1"/>
    <w:rsid w:val="0099458B"/>
    <w:rsid w:val="00996DBB"/>
    <w:rsid w:val="00997F64"/>
    <w:rsid w:val="009A1567"/>
    <w:rsid w:val="009A35DA"/>
    <w:rsid w:val="009A421C"/>
    <w:rsid w:val="009A6038"/>
    <w:rsid w:val="009A6081"/>
    <w:rsid w:val="009A6F14"/>
    <w:rsid w:val="009B04A5"/>
    <w:rsid w:val="009B3EAC"/>
    <w:rsid w:val="009B4A85"/>
    <w:rsid w:val="009B4BCD"/>
    <w:rsid w:val="009B5962"/>
    <w:rsid w:val="009B758C"/>
    <w:rsid w:val="009C1761"/>
    <w:rsid w:val="009C2C35"/>
    <w:rsid w:val="009C634B"/>
    <w:rsid w:val="009C7A46"/>
    <w:rsid w:val="009D0F5F"/>
    <w:rsid w:val="009D246A"/>
    <w:rsid w:val="009D3DD8"/>
    <w:rsid w:val="009E42F0"/>
    <w:rsid w:val="009E5481"/>
    <w:rsid w:val="009E6E7E"/>
    <w:rsid w:val="009E7B6A"/>
    <w:rsid w:val="009F12D1"/>
    <w:rsid w:val="009F1D00"/>
    <w:rsid w:val="009F45D6"/>
    <w:rsid w:val="009F510A"/>
    <w:rsid w:val="009F520C"/>
    <w:rsid w:val="00A014FD"/>
    <w:rsid w:val="00A02049"/>
    <w:rsid w:val="00A0215C"/>
    <w:rsid w:val="00A07353"/>
    <w:rsid w:val="00A07614"/>
    <w:rsid w:val="00A07C76"/>
    <w:rsid w:val="00A11AF2"/>
    <w:rsid w:val="00A120EB"/>
    <w:rsid w:val="00A12BD6"/>
    <w:rsid w:val="00A1401D"/>
    <w:rsid w:val="00A22626"/>
    <w:rsid w:val="00A24551"/>
    <w:rsid w:val="00A30941"/>
    <w:rsid w:val="00A30C8C"/>
    <w:rsid w:val="00A328AB"/>
    <w:rsid w:val="00A33649"/>
    <w:rsid w:val="00A36486"/>
    <w:rsid w:val="00A37B7D"/>
    <w:rsid w:val="00A44669"/>
    <w:rsid w:val="00A44CDA"/>
    <w:rsid w:val="00A44ED8"/>
    <w:rsid w:val="00A46009"/>
    <w:rsid w:val="00A476BC"/>
    <w:rsid w:val="00A54AA3"/>
    <w:rsid w:val="00A56FAB"/>
    <w:rsid w:val="00A60E7B"/>
    <w:rsid w:val="00A60F2A"/>
    <w:rsid w:val="00A62404"/>
    <w:rsid w:val="00A66B08"/>
    <w:rsid w:val="00A700CC"/>
    <w:rsid w:val="00A70DF1"/>
    <w:rsid w:val="00A73036"/>
    <w:rsid w:val="00A73488"/>
    <w:rsid w:val="00A75600"/>
    <w:rsid w:val="00A77E2F"/>
    <w:rsid w:val="00A803ED"/>
    <w:rsid w:val="00A85EA1"/>
    <w:rsid w:val="00A90BFD"/>
    <w:rsid w:val="00A91D3E"/>
    <w:rsid w:val="00A91ED4"/>
    <w:rsid w:val="00A921EA"/>
    <w:rsid w:val="00A927E0"/>
    <w:rsid w:val="00A94ACD"/>
    <w:rsid w:val="00A94D6A"/>
    <w:rsid w:val="00A954EE"/>
    <w:rsid w:val="00A960C3"/>
    <w:rsid w:val="00A9628C"/>
    <w:rsid w:val="00A96636"/>
    <w:rsid w:val="00AA0155"/>
    <w:rsid w:val="00AA3947"/>
    <w:rsid w:val="00AA547A"/>
    <w:rsid w:val="00AC337D"/>
    <w:rsid w:val="00AC6683"/>
    <w:rsid w:val="00AD004B"/>
    <w:rsid w:val="00AD31B5"/>
    <w:rsid w:val="00AD3435"/>
    <w:rsid w:val="00AD3FD7"/>
    <w:rsid w:val="00AD6300"/>
    <w:rsid w:val="00AD6E41"/>
    <w:rsid w:val="00AD7967"/>
    <w:rsid w:val="00AE037D"/>
    <w:rsid w:val="00AE0FCD"/>
    <w:rsid w:val="00AE110B"/>
    <w:rsid w:val="00AE1579"/>
    <w:rsid w:val="00AE37C0"/>
    <w:rsid w:val="00AE3FAE"/>
    <w:rsid w:val="00AE5298"/>
    <w:rsid w:val="00AE5526"/>
    <w:rsid w:val="00AF2CF2"/>
    <w:rsid w:val="00AF6ABD"/>
    <w:rsid w:val="00AF7785"/>
    <w:rsid w:val="00B0013A"/>
    <w:rsid w:val="00B00260"/>
    <w:rsid w:val="00B0386D"/>
    <w:rsid w:val="00B04168"/>
    <w:rsid w:val="00B04CBB"/>
    <w:rsid w:val="00B05E02"/>
    <w:rsid w:val="00B20237"/>
    <w:rsid w:val="00B225B9"/>
    <w:rsid w:val="00B246FE"/>
    <w:rsid w:val="00B269DB"/>
    <w:rsid w:val="00B31576"/>
    <w:rsid w:val="00B315CB"/>
    <w:rsid w:val="00B32E0E"/>
    <w:rsid w:val="00B343E6"/>
    <w:rsid w:val="00B34578"/>
    <w:rsid w:val="00B3533A"/>
    <w:rsid w:val="00B422C3"/>
    <w:rsid w:val="00B50FCE"/>
    <w:rsid w:val="00B52548"/>
    <w:rsid w:val="00B53524"/>
    <w:rsid w:val="00B53689"/>
    <w:rsid w:val="00B56B46"/>
    <w:rsid w:val="00B579B7"/>
    <w:rsid w:val="00B61D1E"/>
    <w:rsid w:val="00B627CE"/>
    <w:rsid w:val="00B64C8D"/>
    <w:rsid w:val="00B653CA"/>
    <w:rsid w:val="00B70C2D"/>
    <w:rsid w:val="00B73734"/>
    <w:rsid w:val="00B7532A"/>
    <w:rsid w:val="00B75BC7"/>
    <w:rsid w:val="00B77C85"/>
    <w:rsid w:val="00B82A5A"/>
    <w:rsid w:val="00B927D7"/>
    <w:rsid w:val="00B97E31"/>
    <w:rsid w:val="00BA01B0"/>
    <w:rsid w:val="00BA0503"/>
    <w:rsid w:val="00BA168C"/>
    <w:rsid w:val="00BA1E64"/>
    <w:rsid w:val="00BA2263"/>
    <w:rsid w:val="00BA2D0F"/>
    <w:rsid w:val="00BA2F92"/>
    <w:rsid w:val="00BA4898"/>
    <w:rsid w:val="00BB17C0"/>
    <w:rsid w:val="00BB3E6A"/>
    <w:rsid w:val="00BB4EAC"/>
    <w:rsid w:val="00BB764A"/>
    <w:rsid w:val="00BC002A"/>
    <w:rsid w:val="00BC1156"/>
    <w:rsid w:val="00BC175C"/>
    <w:rsid w:val="00BC1F91"/>
    <w:rsid w:val="00BC24F4"/>
    <w:rsid w:val="00BC35C9"/>
    <w:rsid w:val="00BC36CB"/>
    <w:rsid w:val="00BC499D"/>
    <w:rsid w:val="00BC6259"/>
    <w:rsid w:val="00BD277C"/>
    <w:rsid w:val="00BD2863"/>
    <w:rsid w:val="00BD2D1A"/>
    <w:rsid w:val="00BD4784"/>
    <w:rsid w:val="00BD596C"/>
    <w:rsid w:val="00BD5B61"/>
    <w:rsid w:val="00BD5CF2"/>
    <w:rsid w:val="00BD5E1E"/>
    <w:rsid w:val="00BD7ACB"/>
    <w:rsid w:val="00BE1E03"/>
    <w:rsid w:val="00BE30C9"/>
    <w:rsid w:val="00BE45A1"/>
    <w:rsid w:val="00BE68E6"/>
    <w:rsid w:val="00BE6CC3"/>
    <w:rsid w:val="00BE752F"/>
    <w:rsid w:val="00BF0D1D"/>
    <w:rsid w:val="00BF5A86"/>
    <w:rsid w:val="00BF7790"/>
    <w:rsid w:val="00C00686"/>
    <w:rsid w:val="00C0112A"/>
    <w:rsid w:val="00C038B8"/>
    <w:rsid w:val="00C05948"/>
    <w:rsid w:val="00C060E3"/>
    <w:rsid w:val="00C07AEE"/>
    <w:rsid w:val="00C07B75"/>
    <w:rsid w:val="00C07BF3"/>
    <w:rsid w:val="00C10DC6"/>
    <w:rsid w:val="00C138D2"/>
    <w:rsid w:val="00C163F1"/>
    <w:rsid w:val="00C17282"/>
    <w:rsid w:val="00C21AB2"/>
    <w:rsid w:val="00C21ABF"/>
    <w:rsid w:val="00C22011"/>
    <w:rsid w:val="00C22A1D"/>
    <w:rsid w:val="00C23E4D"/>
    <w:rsid w:val="00C24B3F"/>
    <w:rsid w:val="00C25C63"/>
    <w:rsid w:val="00C2730D"/>
    <w:rsid w:val="00C27CF2"/>
    <w:rsid w:val="00C3168F"/>
    <w:rsid w:val="00C4142F"/>
    <w:rsid w:val="00C4450A"/>
    <w:rsid w:val="00C473C6"/>
    <w:rsid w:val="00C47539"/>
    <w:rsid w:val="00C475D6"/>
    <w:rsid w:val="00C477C2"/>
    <w:rsid w:val="00C50990"/>
    <w:rsid w:val="00C525E5"/>
    <w:rsid w:val="00C53D11"/>
    <w:rsid w:val="00C55205"/>
    <w:rsid w:val="00C554AB"/>
    <w:rsid w:val="00C56543"/>
    <w:rsid w:val="00C572EC"/>
    <w:rsid w:val="00C60216"/>
    <w:rsid w:val="00C662A5"/>
    <w:rsid w:val="00C66FB2"/>
    <w:rsid w:val="00C709AE"/>
    <w:rsid w:val="00C7122D"/>
    <w:rsid w:val="00C71546"/>
    <w:rsid w:val="00C726FE"/>
    <w:rsid w:val="00C738E3"/>
    <w:rsid w:val="00C7485A"/>
    <w:rsid w:val="00C74DF9"/>
    <w:rsid w:val="00C75DC2"/>
    <w:rsid w:val="00C768C2"/>
    <w:rsid w:val="00C803A8"/>
    <w:rsid w:val="00C80BB6"/>
    <w:rsid w:val="00C80CD7"/>
    <w:rsid w:val="00C80FB2"/>
    <w:rsid w:val="00C82DF6"/>
    <w:rsid w:val="00C83686"/>
    <w:rsid w:val="00C85760"/>
    <w:rsid w:val="00C903FB"/>
    <w:rsid w:val="00C907CE"/>
    <w:rsid w:val="00C90D90"/>
    <w:rsid w:val="00C911F4"/>
    <w:rsid w:val="00C9124A"/>
    <w:rsid w:val="00C9222E"/>
    <w:rsid w:val="00CA1864"/>
    <w:rsid w:val="00CA20E9"/>
    <w:rsid w:val="00CA3B22"/>
    <w:rsid w:val="00CA5AFC"/>
    <w:rsid w:val="00CB2506"/>
    <w:rsid w:val="00CB3975"/>
    <w:rsid w:val="00CC07CF"/>
    <w:rsid w:val="00CC3950"/>
    <w:rsid w:val="00CC4CDC"/>
    <w:rsid w:val="00CC5D20"/>
    <w:rsid w:val="00CC5FDD"/>
    <w:rsid w:val="00CC631C"/>
    <w:rsid w:val="00CC6B0A"/>
    <w:rsid w:val="00CD2AB6"/>
    <w:rsid w:val="00CD4D4D"/>
    <w:rsid w:val="00CD5574"/>
    <w:rsid w:val="00CD656A"/>
    <w:rsid w:val="00CD767C"/>
    <w:rsid w:val="00CE0C4C"/>
    <w:rsid w:val="00CE135B"/>
    <w:rsid w:val="00CE4693"/>
    <w:rsid w:val="00CE7E77"/>
    <w:rsid w:val="00CE7F70"/>
    <w:rsid w:val="00CF075C"/>
    <w:rsid w:val="00CF29D7"/>
    <w:rsid w:val="00CF38F6"/>
    <w:rsid w:val="00CF5028"/>
    <w:rsid w:val="00CF5CDE"/>
    <w:rsid w:val="00CF6E14"/>
    <w:rsid w:val="00D0398C"/>
    <w:rsid w:val="00D043D3"/>
    <w:rsid w:val="00D04E1A"/>
    <w:rsid w:val="00D05C01"/>
    <w:rsid w:val="00D07311"/>
    <w:rsid w:val="00D07803"/>
    <w:rsid w:val="00D14356"/>
    <w:rsid w:val="00D16158"/>
    <w:rsid w:val="00D173AD"/>
    <w:rsid w:val="00D20A83"/>
    <w:rsid w:val="00D210A6"/>
    <w:rsid w:val="00D2326A"/>
    <w:rsid w:val="00D2446F"/>
    <w:rsid w:val="00D25049"/>
    <w:rsid w:val="00D305A8"/>
    <w:rsid w:val="00D31BA8"/>
    <w:rsid w:val="00D321D6"/>
    <w:rsid w:val="00D3367E"/>
    <w:rsid w:val="00D35682"/>
    <w:rsid w:val="00D35D08"/>
    <w:rsid w:val="00D419C9"/>
    <w:rsid w:val="00D41DA2"/>
    <w:rsid w:val="00D431F9"/>
    <w:rsid w:val="00D464D4"/>
    <w:rsid w:val="00D475DA"/>
    <w:rsid w:val="00D51B1D"/>
    <w:rsid w:val="00D53DE4"/>
    <w:rsid w:val="00D558BF"/>
    <w:rsid w:val="00D55F0A"/>
    <w:rsid w:val="00D56CDF"/>
    <w:rsid w:val="00D6109F"/>
    <w:rsid w:val="00D615CF"/>
    <w:rsid w:val="00D62CDD"/>
    <w:rsid w:val="00D62D05"/>
    <w:rsid w:val="00D63929"/>
    <w:rsid w:val="00D6511E"/>
    <w:rsid w:val="00D6626E"/>
    <w:rsid w:val="00D66781"/>
    <w:rsid w:val="00D67B9B"/>
    <w:rsid w:val="00D73270"/>
    <w:rsid w:val="00D837E3"/>
    <w:rsid w:val="00D83B84"/>
    <w:rsid w:val="00D85204"/>
    <w:rsid w:val="00D8566C"/>
    <w:rsid w:val="00D85ECC"/>
    <w:rsid w:val="00D85F8B"/>
    <w:rsid w:val="00D902E2"/>
    <w:rsid w:val="00D90507"/>
    <w:rsid w:val="00D90EAB"/>
    <w:rsid w:val="00D93DED"/>
    <w:rsid w:val="00D9516C"/>
    <w:rsid w:val="00D9662B"/>
    <w:rsid w:val="00DA1CA5"/>
    <w:rsid w:val="00DA2811"/>
    <w:rsid w:val="00DA4679"/>
    <w:rsid w:val="00DA60FF"/>
    <w:rsid w:val="00DB0019"/>
    <w:rsid w:val="00DB0242"/>
    <w:rsid w:val="00DB0486"/>
    <w:rsid w:val="00DB07AD"/>
    <w:rsid w:val="00DB26C8"/>
    <w:rsid w:val="00DB2BD5"/>
    <w:rsid w:val="00DB3053"/>
    <w:rsid w:val="00DB3D67"/>
    <w:rsid w:val="00DB7619"/>
    <w:rsid w:val="00DC5B77"/>
    <w:rsid w:val="00DC6A13"/>
    <w:rsid w:val="00DC72F0"/>
    <w:rsid w:val="00DC7F39"/>
    <w:rsid w:val="00DD174D"/>
    <w:rsid w:val="00DD1F15"/>
    <w:rsid w:val="00DD2E6A"/>
    <w:rsid w:val="00DD56D2"/>
    <w:rsid w:val="00DE1B1F"/>
    <w:rsid w:val="00DE287C"/>
    <w:rsid w:val="00DE324F"/>
    <w:rsid w:val="00DE3814"/>
    <w:rsid w:val="00DE3EC2"/>
    <w:rsid w:val="00DE5EB8"/>
    <w:rsid w:val="00DF1A4E"/>
    <w:rsid w:val="00DF440C"/>
    <w:rsid w:val="00E0000F"/>
    <w:rsid w:val="00E010CF"/>
    <w:rsid w:val="00E01286"/>
    <w:rsid w:val="00E04413"/>
    <w:rsid w:val="00E11987"/>
    <w:rsid w:val="00E138C5"/>
    <w:rsid w:val="00E148B8"/>
    <w:rsid w:val="00E17E49"/>
    <w:rsid w:val="00E2042F"/>
    <w:rsid w:val="00E20EAE"/>
    <w:rsid w:val="00E27DDD"/>
    <w:rsid w:val="00E30FD1"/>
    <w:rsid w:val="00E3125B"/>
    <w:rsid w:val="00E32033"/>
    <w:rsid w:val="00E321D9"/>
    <w:rsid w:val="00E335ED"/>
    <w:rsid w:val="00E33791"/>
    <w:rsid w:val="00E3593C"/>
    <w:rsid w:val="00E3604C"/>
    <w:rsid w:val="00E36896"/>
    <w:rsid w:val="00E40751"/>
    <w:rsid w:val="00E40DE3"/>
    <w:rsid w:val="00E41279"/>
    <w:rsid w:val="00E44B3F"/>
    <w:rsid w:val="00E474D4"/>
    <w:rsid w:val="00E52688"/>
    <w:rsid w:val="00E52D5B"/>
    <w:rsid w:val="00E553BF"/>
    <w:rsid w:val="00E556AF"/>
    <w:rsid w:val="00E55885"/>
    <w:rsid w:val="00E6084F"/>
    <w:rsid w:val="00E610BD"/>
    <w:rsid w:val="00E6573A"/>
    <w:rsid w:val="00E67049"/>
    <w:rsid w:val="00E72BEA"/>
    <w:rsid w:val="00E74C3E"/>
    <w:rsid w:val="00E76CBC"/>
    <w:rsid w:val="00E76EBB"/>
    <w:rsid w:val="00E775EB"/>
    <w:rsid w:val="00E806DA"/>
    <w:rsid w:val="00E834F1"/>
    <w:rsid w:val="00E837CF"/>
    <w:rsid w:val="00E845C9"/>
    <w:rsid w:val="00E85088"/>
    <w:rsid w:val="00E861A3"/>
    <w:rsid w:val="00E86E6A"/>
    <w:rsid w:val="00E87ADD"/>
    <w:rsid w:val="00E90B9C"/>
    <w:rsid w:val="00E919C0"/>
    <w:rsid w:val="00E926FC"/>
    <w:rsid w:val="00E9272B"/>
    <w:rsid w:val="00E9292B"/>
    <w:rsid w:val="00E93291"/>
    <w:rsid w:val="00E9425B"/>
    <w:rsid w:val="00E957DC"/>
    <w:rsid w:val="00E960F7"/>
    <w:rsid w:val="00E96DF4"/>
    <w:rsid w:val="00EA4858"/>
    <w:rsid w:val="00EA685C"/>
    <w:rsid w:val="00EB20EB"/>
    <w:rsid w:val="00EB341A"/>
    <w:rsid w:val="00EB5803"/>
    <w:rsid w:val="00EB67D0"/>
    <w:rsid w:val="00EC03C5"/>
    <w:rsid w:val="00EC27A7"/>
    <w:rsid w:val="00EC613B"/>
    <w:rsid w:val="00EC6F9D"/>
    <w:rsid w:val="00EC750E"/>
    <w:rsid w:val="00ED24C8"/>
    <w:rsid w:val="00ED31C8"/>
    <w:rsid w:val="00ED3950"/>
    <w:rsid w:val="00ED41DA"/>
    <w:rsid w:val="00EE1699"/>
    <w:rsid w:val="00EE18AD"/>
    <w:rsid w:val="00EE3D79"/>
    <w:rsid w:val="00EE6226"/>
    <w:rsid w:val="00EE6C9D"/>
    <w:rsid w:val="00EE6FEA"/>
    <w:rsid w:val="00EF10EB"/>
    <w:rsid w:val="00EF1CF8"/>
    <w:rsid w:val="00EF2014"/>
    <w:rsid w:val="00EF3790"/>
    <w:rsid w:val="00EF53E7"/>
    <w:rsid w:val="00F01417"/>
    <w:rsid w:val="00F0154F"/>
    <w:rsid w:val="00F01A66"/>
    <w:rsid w:val="00F02E27"/>
    <w:rsid w:val="00F11835"/>
    <w:rsid w:val="00F1298B"/>
    <w:rsid w:val="00F13D74"/>
    <w:rsid w:val="00F15498"/>
    <w:rsid w:val="00F201F0"/>
    <w:rsid w:val="00F204D5"/>
    <w:rsid w:val="00F214F2"/>
    <w:rsid w:val="00F22011"/>
    <w:rsid w:val="00F22D4C"/>
    <w:rsid w:val="00F24DAF"/>
    <w:rsid w:val="00F25181"/>
    <w:rsid w:val="00F350A4"/>
    <w:rsid w:val="00F410AE"/>
    <w:rsid w:val="00F4479A"/>
    <w:rsid w:val="00F46190"/>
    <w:rsid w:val="00F54EDF"/>
    <w:rsid w:val="00F56E41"/>
    <w:rsid w:val="00F56EDF"/>
    <w:rsid w:val="00F63267"/>
    <w:rsid w:val="00F63D49"/>
    <w:rsid w:val="00F64914"/>
    <w:rsid w:val="00F65923"/>
    <w:rsid w:val="00F70395"/>
    <w:rsid w:val="00F7154D"/>
    <w:rsid w:val="00F75101"/>
    <w:rsid w:val="00F7758E"/>
    <w:rsid w:val="00F77A78"/>
    <w:rsid w:val="00F8199B"/>
    <w:rsid w:val="00F828CA"/>
    <w:rsid w:val="00F83F59"/>
    <w:rsid w:val="00F84A3B"/>
    <w:rsid w:val="00F85314"/>
    <w:rsid w:val="00F871BB"/>
    <w:rsid w:val="00F9124F"/>
    <w:rsid w:val="00F954A5"/>
    <w:rsid w:val="00F9596E"/>
    <w:rsid w:val="00FA234B"/>
    <w:rsid w:val="00FA3CB6"/>
    <w:rsid w:val="00FB08B5"/>
    <w:rsid w:val="00FB2B26"/>
    <w:rsid w:val="00FB2F8D"/>
    <w:rsid w:val="00FB42C9"/>
    <w:rsid w:val="00FB5708"/>
    <w:rsid w:val="00FB6A5D"/>
    <w:rsid w:val="00FC26E6"/>
    <w:rsid w:val="00FC39AE"/>
    <w:rsid w:val="00FC44F6"/>
    <w:rsid w:val="00FC5400"/>
    <w:rsid w:val="00FC6ADE"/>
    <w:rsid w:val="00FD37EF"/>
    <w:rsid w:val="00FD7419"/>
    <w:rsid w:val="00FE1A91"/>
    <w:rsid w:val="00FE4AD7"/>
    <w:rsid w:val="00FE4D8D"/>
    <w:rsid w:val="00FE626E"/>
    <w:rsid w:val="00FE633E"/>
    <w:rsid w:val="00FE6CB4"/>
    <w:rsid w:val="00FE794C"/>
    <w:rsid w:val="00FF48BF"/>
    <w:rsid w:val="00FF6F6B"/>
    <w:rsid w:val="00FF743F"/>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等线"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36B"/>
    <w:pPr>
      <w:spacing w:line="276" w:lineRule="auto"/>
      <w:ind w:firstLine="708"/>
      <w:jc w:val="both"/>
    </w:pPr>
    <w:rPr>
      <w:rFonts w:ascii="Times New Roman" w:hAnsi="Times New Roman"/>
      <w:sz w:val="24"/>
      <w:szCs w:val="24"/>
      <w:lang w:eastAsia="en-US"/>
    </w:rPr>
  </w:style>
  <w:style w:type="paragraph" w:styleId="1">
    <w:name w:val="heading 1"/>
    <w:basedOn w:val="a"/>
    <w:link w:val="1Char"/>
    <w:uiPriority w:val="9"/>
    <w:qFormat/>
    <w:rsid w:val="00E3125B"/>
    <w:pPr>
      <w:spacing w:before="100" w:beforeAutospacing="1" w:after="100" w:afterAutospacing="1" w:line="240" w:lineRule="auto"/>
      <w:outlineLvl w:val="0"/>
    </w:pPr>
    <w:rPr>
      <w:rFonts w:eastAsia="Times New Roman"/>
      <w:b/>
      <w:bCs/>
      <w:kern w:val="36"/>
      <w:sz w:val="48"/>
      <w:szCs w:val="48"/>
      <w:lang w:eastAsia="pl-PL"/>
    </w:rPr>
  </w:style>
  <w:style w:type="paragraph" w:styleId="3">
    <w:name w:val="heading 3"/>
    <w:basedOn w:val="a"/>
    <w:link w:val="3Char"/>
    <w:uiPriority w:val="9"/>
    <w:qFormat/>
    <w:rsid w:val="00E3125B"/>
    <w:pPr>
      <w:spacing w:before="100" w:beforeAutospacing="1" w:after="100" w:afterAutospacing="1" w:line="240" w:lineRule="auto"/>
      <w:outlineLvl w:val="2"/>
    </w:pPr>
    <w:rPr>
      <w:rFonts w:eastAsia="Times New Roman"/>
      <w:b/>
      <w:bCs/>
      <w:sz w:val="27"/>
      <w:szCs w:val="27"/>
      <w:lang w:eastAsia="pl-PL"/>
    </w:rPr>
  </w:style>
  <w:style w:type="paragraph" w:styleId="4">
    <w:name w:val="heading 4"/>
    <w:basedOn w:val="a"/>
    <w:next w:val="a"/>
    <w:link w:val="4Char"/>
    <w:uiPriority w:val="9"/>
    <w:qFormat/>
    <w:rsid w:val="00E3593C"/>
    <w:pPr>
      <w:keepNext/>
      <w:spacing w:before="240" w:after="60"/>
      <w:outlineLvl w:val="3"/>
    </w:pPr>
    <w:rPr>
      <w:rFonts w:ascii="Calibri" w:eastAsia="Times New Roman" w:hAnsi="Calibri"/>
      <w:b/>
      <w:bCs/>
      <w:sz w:val="28"/>
      <w:szCs w:val="28"/>
    </w:rPr>
  </w:style>
  <w:style w:type="paragraph" w:styleId="5">
    <w:name w:val="heading 5"/>
    <w:basedOn w:val="a"/>
    <w:next w:val="a"/>
    <w:link w:val="5Char"/>
    <w:uiPriority w:val="9"/>
    <w:qFormat/>
    <w:rsid w:val="00E3593C"/>
    <w:pPr>
      <w:spacing w:before="240" w:after="60"/>
      <w:outlineLvl w:val="4"/>
    </w:pPr>
    <w:rPr>
      <w:rFonts w:ascii="Calibri" w:eastAsia="Times New Roman" w:hAnsi="Calibri"/>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3125B"/>
    <w:rPr>
      <w:color w:val="0000FF"/>
      <w:u w:val="single"/>
    </w:rPr>
  </w:style>
  <w:style w:type="character" w:styleId="a4">
    <w:name w:val="Emphasis"/>
    <w:uiPriority w:val="20"/>
    <w:qFormat/>
    <w:rsid w:val="00E3125B"/>
    <w:rPr>
      <w:i/>
      <w:iCs/>
    </w:rPr>
  </w:style>
  <w:style w:type="character" w:customStyle="1" w:styleId="1Char">
    <w:name w:val="标题 1 Char"/>
    <w:link w:val="1"/>
    <w:uiPriority w:val="9"/>
    <w:rsid w:val="00E3125B"/>
    <w:rPr>
      <w:rFonts w:ascii="Times New Roman" w:eastAsia="Times New Roman" w:hAnsi="Times New Roman"/>
      <w:b/>
      <w:bCs/>
      <w:kern w:val="36"/>
      <w:sz w:val="48"/>
      <w:szCs w:val="48"/>
    </w:rPr>
  </w:style>
  <w:style w:type="character" w:customStyle="1" w:styleId="3Char">
    <w:name w:val="标题 3 Char"/>
    <w:link w:val="3"/>
    <w:uiPriority w:val="9"/>
    <w:rsid w:val="00E3125B"/>
    <w:rPr>
      <w:rFonts w:ascii="Times New Roman" w:eastAsia="Times New Roman" w:hAnsi="Times New Roman"/>
      <w:b/>
      <w:bCs/>
      <w:sz w:val="27"/>
      <w:szCs w:val="27"/>
    </w:rPr>
  </w:style>
  <w:style w:type="character" w:customStyle="1" w:styleId="ui-ncbitoggler-master-text">
    <w:name w:val="ui-ncbitoggler-master-text"/>
    <w:rsid w:val="00E3125B"/>
  </w:style>
  <w:style w:type="paragraph" w:styleId="a5">
    <w:name w:val="Normal (Web)"/>
    <w:basedOn w:val="a"/>
    <w:uiPriority w:val="99"/>
    <w:unhideWhenUsed/>
    <w:rsid w:val="00E3125B"/>
    <w:pPr>
      <w:spacing w:before="100" w:beforeAutospacing="1" w:after="100" w:afterAutospacing="1" w:line="240" w:lineRule="auto"/>
    </w:pPr>
    <w:rPr>
      <w:rFonts w:eastAsia="Times New Roman"/>
      <w:lang w:eastAsia="pl-PL"/>
    </w:rPr>
  </w:style>
  <w:style w:type="character" w:customStyle="1" w:styleId="stix">
    <w:name w:val="stix"/>
    <w:rsid w:val="00175CE6"/>
  </w:style>
  <w:style w:type="character" w:styleId="a6">
    <w:name w:val="FollowedHyperlink"/>
    <w:uiPriority w:val="99"/>
    <w:semiHidden/>
    <w:unhideWhenUsed/>
    <w:rsid w:val="009A6F14"/>
    <w:rPr>
      <w:color w:val="954F72"/>
      <w:u w:val="single"/>
    </w:rPr>
  </w:style>
  <w:style w:type="paragraph" w:customStyle="1" w:styleId="EndNoteBibliographyTitle">
    <w:name w:val="EndNote Bibliography Title"/>
    <w:basedOn w:val="a"/>
    <w:link w:val="EndNoteBibliographyTitleZnak"/>
    <w:rsid w:val="009A6F14"/>
    <w:pPr>
      <w:jc w:val="center"/>
    </w:pPr>
    <w:rPr>
      <w:rFonts w:ascii="Calibri" w:hAnsi="Calibri" w:cs="Calibri"/>
      <w:noProof/>
      <w:sz w:val="22"/>
    </w:rPr>
  </w:style>
  <w:style w:type="character" w:customStyle="1" w:styleId="EndNoteBibliographyTitleZnak">
    <w:name w:val="EndNote Bibliography Title Znak"/>
    <w:link w:val="EndNoteBibliographyTitle"/>
    <w:rsid w:val="009A6F14"/>
    <w:rPr>
      <w:rFonts w:cs="Calibri"/>
      <w:noProof/>
      <w:sz w:val="22"/>
      <w:szCs w:val="24"/>
      <w:lang w:val="en-US" w:eastAsia="en-US"/>
    </w:rPr>
  </w:style>
  <w:style w:type="paragraph" w:customStyle="1" w:styleId="EndNoteBibliography">
    <w:name w:val="EndNote Bibliography"/>
    <w:basedOn w:val="a"/>
    <w:link w:val="EndNoteBibliographyZnak"/>
    <w:rsid w:val="009A6F14"/>
    <w:pPr>
      <w:spacing w:line="240" w:lineRule="auto"/>
    </w:pPr>
    <w:rPr>
      <w:rFonts w:ascii="Calibri" w:hAnsi="Calibri" w:cs="Calibri"/>
      <w:noProof/>
      <w:sz w:val="22"/>
    </w:rPr>
  </w:style>
  <w:style w:type="character" w:customStyle="1" w:styleId="EndNoteBibliographyZnak">
    <w:name w:val="EndNote Bibliography Znak"/>
    <w:link w:val="EndNoteBibliography"/>
    <w:rsid w:val="009A6F14"/>
    <w:rPr>
      <w:rFonts w:cs="Calibri"/>
      <w:noProof/>
      <w:sz w:val="22"/>
      <w:szCs w:val="24"/>
      <w:lang w:val="en-US" w:eastAsia="en-US"/>
    </w:rPr>
  </w:style>
  <w:style w:type="character" w:customStyle="1" w:styleId="tlid-translation">
    <w:name w:val="tlid-translation"/>
    <w:rsid w:val="00754340"/>
  </w:style>
  <w:style w:type="character" w:customStyle="1" w:styleId="4Char">
    <w:name w:val="标题 4 Char"/>
    <w:link w:val="4"/>
    <w:uiPriority w:val="9"/>
    <w:semiHidden/>
    <w:rsid w:val="00E3593C"/>
    <w:rPr>
      <w:rFonts w:ascii="Calibri" w:eastAsia="Times New Roman" w:hAnsi="Calibri" w:cs="Times New Roman"/>
      <w:b/>
      <w:bCs/>
      <w:sz w:val="28"/>
      <w:szCs w:val="28"/>
      <w:lang w:eastAsia="en-US"/>
    </w:rPr>
  </w:style>
  <w:style w:type="character" w:customStyle="1" w:styleId="5Char">
    <w:name w:val="标题 5 Char"/>
    <w:link w:val="5"/>
    <w:uiPriority w:val="9"/>
    <w:rsid w:val="00E3593C"/>
    <w:rPr>
      <w:rFonts w:ascii="Calibri" w:eastAsia="Times New Roman" w:hAnsi="Calibri" w:cs="Times New Roman"/>
      <w:b/>
      <w:bCs/>
      <w:i/>
      <w:iCs/>
      <w:sz w:val="26"/>
      <w:szCs w:val="26"/>
      <w:lang w:eastAsia="en-US"/>
    </w:rPr>
  </w:style>
  <w:style w:type="table" w:styleId="a7">
    <w:name w:val="Table Grid"/>
    <w:basedOn w:val="a1"/>
    <w:uiPriority w:val="39"/>
    <w:rsid w:val="00E359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a1"/>
    <w:uiPriority w:val="46"/>
    <w:rsid w:val="00E3593C"/>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msonormal0">
    <w:name w:val="msonormal"/>
    <w:basedOn w:val="a"/>
    <w:rsid w:val="00433F98"/>
    <w:pPr>
      <w:spacing w:before="100" w:beforeAutospacing="1" w:after="100" w:afterAutospacing="1" w:line="240" w:lineRule="auto"/>
    </w:pPr>
    <w:rPr>
      <w:rFonts w:eastAsia="Times New Roman"/>
      <w:lang w:eastAsia="pl-PL"/>
    </w:rPr>
  </w:style>
  <w:style w:type="paragraph" w:styleId="a8">
    <w:name w:val="caption"/>
    <w:basedOn w:val="a"/>
    <w:next w:val="a"/>
    <w:uiPriority w:val="35"/>
    <w:qFormat/>
    <w:rsid w:val="003C22DE"/>
    <w:rPr>
      <w:b/>
      <w:bCs/>
      <w:sz w:val="20"/>
      <w:szCs w:val="20"/>
    </w:rPr>
  </w:style>
  <w:style w:type="paragraph" w:customStyle="1" w:styleId="Default">
    <w:name w:val="Default"/>
    <w:rsid w:val="00FE794C"/>
    <w:pPr>
      <w:autoSpaceDE w:val="0"/>
      <w:autoSpaceDN w:val="0"/>
      <w:adjustRightInd w:val="0"/>
    </w:pPr>
    <w:rPr>
      <w:rFonts w:ascii="Verdana" w:hAnsi="Verdana" w:cs="Verdana"/>
      <w:color w:val="000000"/>
      <w:sz w:val="24"/>
      <w:szCs w:val="24"/>
      <w:lang w:val="pl-PL" w:eastAsia="pl-PL"/>
    </w:rPr>
  </w:style>
  <w:style w:type="character" w:customStyle="1" w:styleId="topic-highlight">
    <w:name w:val="topic-highlight"/>
    <w:rsid w:val="00FE1A91"/>
  </w:style>
  <w:style w:type="paragraph" w:styleId="a9">
    <w:name w:val="header"/>
    <w:basedOn w:val="a"/>
    <w:link w:val="Char"/>
    <w:uiPriority w:val="99"/>
    <w:unhideWhenUsed/>
    <w:rsid w:val="00BC499D"/>
    <w:pPr>
      <w:tabs>
        <w:tab w:val="center" w:pos="4536"/>
        <w:tab w:val="right" w:pos="9072"/>
      </w:tabs>
    </w:pPr>
  </w:style>
  <w:style w:type="character" w:customStyle="1" w:styleId="Char">
    <w:name w:val="页眉 Char"/>
    <w:link w:val="a9"/>
    <w:uiPriority w:val="99"/>
    <w:rsid w:val="00BC499D"/>
    <w:rPr>
      <w:sz w:val="22"/>
      <w:szCs w:val="22"/>
      <w:lang w:eastAsia="en-US"/>
    </w:rPr>
  </w:style>
  <w:style w:type="paragraph" w:styleId="aa">
    <w:name w:val="footer"/>
    <w:basedOn w:val="a"/>
    <w:link w:val="Char1"/>
    <w:uiPriority w:val="99"/>
    <w:unhideWhenUsed/>
    <w:rsid w:val="00BC499D"/>
    <w:pPr>
      <w:tabs>
        <w:tab w:val="center" w:pos="4536"/>
        <w:tab w:val="right" w:pos="9072"/>
      </w:tabs>
    </w:pPr>
  </w:style>
  <w:style w:type="character" w:customStyle="1" w:styleId="Char1">
    <w:name w:val="页脚 Char1"/>
    <w:link w:val="aa"/>
    <w:uiPriority w:val="99"/>
    <w:rsid w:val="00BC499D"/>
    <w:rPr>
      <w:sz w:val="22"/>
      <w:szCs w:val="22"/>
      <w:lang w:eastAsia="en-US"/>
    </w:rPr>
  </w:style>
  <w:style w:type="character" w:styleId="ab">
    <w:name w:val="Strong"/>
    <w:uiPriority w:val="22"/>
    <w:qFormat/>
    <w:rsid w:val="00C475D6"/>
    <w:rPr>
      <w:b/>
      <w:bCs/>
    </w:rPr>
  </w:style>
  <w:style w:type="paragraph" w:styleId="ac">
    <w:name w:val="Balloon Text"/>
    <w:basedOn w:val="a"/>
    <w:link w:val="Char0"/>
    <w:uiPriority w:val="99"/>
    <w:semiHidden/>
    <w:unhideWhenUsed/>
    <w:rsid w:val="00A22626"/>
    <w:pPr>
      <w:spacing w:line="240" w:lineRule="auto"/>
    </w:pPr>
    <w:rPr>
      <w:rFonts w:ascii="Segoe UI" w:hAnsi="Segoe UI" w:cs="Segoe UI"/>
      <w:sz w:val="18"/>
      <w:szCs w:val="18"/>
    </w:rPr>
  </w:style>
  <w:style w:type="character" w:customStyle="1" w:styleId="Char0">
    <w:name w:val="批注框文本 Char"/>
    <w:link w:val="ac"/>
    <w:uiPriority w:val="99"/>
    <w:semiHidden/>
    <w:rsid w:val="00A22626"/>
    <w:rPr>
      <w:rFonts w:ascii="Segoe UI" w:hAnsi="Segoe UI" w:cs="Segoe UI"/>
      <w:sz w:val="18"/>
      <w:szCs w:val="18"/>
    </w:rPr>
  </w:style>
  <w:style w:type="character" w:customStyle="1" w:styleId="small-caps">
    <w:name w:val="small-caps"/>
    <w:rsid w:val="00DC5B77"/>
  </w:style>
  <w:style w:type="paragraph" w:styleId="HTML">
    <w:name w:val="HTML Preformatted"/>
    <w:basedOn w:val="a"/>
    <w:link w:val="HTMLChar"/>
    <w:uiPriority w:val="99"/>
    <w:unhideWhenUsed/>
    <w:rsid w:val="00E91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l-PL"/>
    </w:rPr>
  </w:style>
  <w:style w:type="character" w:customStyle="1" w:styleId="HTMLChar">
    <w:name w:val="HTML 预设格式 Char"/>
    <w:link w:val="HTML"/>
    <w:uiPriority w:val="99"/>
    <w:rsid w:val="00E919C0"/>
    <w:rPr>
      <w:rFonts w:ascii="Courier New" w:eastAsia="Times New Roman" w:hAnsi="Courier New" w:cs="Courier New"/>
    </w:rPr>
  </w:style>
  <w:style w:type="character" w:customStyle="1" w:styleId="element-citation">
    <w:name w:val="element-citation"/>
    <w:rsid w:val="00316AEB"/>
  </w:style>
  <w:style w:type="character" w:customStyle="1" w:styleId="st">
    <w:name w:val="st"/>
    <w:rsid w:val="008A0715"/>
  </w:style>
  <w:style w:type="character" w:customStyle="1" w:styleId="alt-edited">
    <w:name w:val="alt-edited"/>
    <w:rsid w:val="006031FC"/>
  </w:style>
  <w:style w:type="character" w:customStyle="1" w:styleId="ad">
    <w:name w:val="未处理的提及"/>
    <w:uiPriority w:val="99"/>
    <w:semiHidden/>
    <w:unhideWhenUsed/>
    <w:rsid w:val="007C15E1"/>
    <w:rPr>
      <w:color w:val="605E5C"/>
      <w:shd w:val="clear" w:color="auto" w:fill="E1DFDD"/>
    </w:rPr>
  </w:style>
  <w:style w:type="paragraph" w:customStyle="1" w:styleId="p">
    <w:name w:val="p"/>
    <w:basedOn w:val="a"/>
    <w:rsid w:val="00B53524"/>
    <w:pPr>
      <w:spacing w:before="100" w:beforeAutospacing="1" w:after="100" w:afterAutospacing="1" w:line="240" w:lineRule="auto"/>
      <w:ind w:firstLine="0"/>
      <w:jc w:val="left"/>
    </w:pPr>
    <w:rPr>
      <w:rFonts w:eastAsia="Times New Roman"/>
      <w:lang w:val="pl-PL" w:eastAsia="pl-PL"/>
    </w:rPr>
  </w:style>
  <w:style w:type="character" w:styleId="ae">
    <w:name w:val="annotation reference"/>
    <w:rsid w:val="00805BCE"/>
    <w:rPr>
      <w:rFonts w:ascii="Tahoma" w:hAnsi="Tahoma" w:cs="Tahoma"/>
      <w:b w:val="0"/>
      <w:i w:val="0"/>
      <w:caps w:val="0"/>
      <w:strike w:val="0"/>
      <w:sz w:val="16"/>
      <w:szCs w:val="16"/>
      <w:u w:val="none"/>
    </w:rPr>
  </w:style>
  <w:style w:type="paragraph" w:styleId="af">
    <w:name w:val="annotation text"/>
    <w:basedOn w:val="a"/>
    <w:link w:val="Char10"/>
    <w:semiHidden/>
    <w:unhideWhenUsed/>
    <w:rsid w:val="00C3168F"/>
    <w:rPr>
      <w:rFonts w:ascii="Tahoma" w:hAnsi="Tahoma" w:cs="Tahoma"/>
      <w:sz w:val="16"/>
      <w:szCs w:val="20"/>
    </w:rPr>
  </w:style>
  <w:style w:type="character" w:customStyle="1" w:styleId="Char10">
    <w:name w:val="批注文字 Char1"/>
    <w:link w:val="af"/>
    <w:uiPriority w:val="99"/>
    <w:semiHidden/>
    <w:rsid w:val="00C3168F"/>
    <w:rPr>
      <w:rFonts w:ascii="Tahoma" w:hAnsi="Tahoma" w:cs="Tahoma"/>
      <w:sz w:val="16"/>
    </w:rPr>
  </w:style>
  <w:style w:type="paragraph" w:styleId="af0">
    <w:name w:val="annotation subject"/>
    <w:basedOn w:val="af"/>
    <w:next w:val="af"/>
    <w:link w:val="Char2"/>
    <w:uiPriority w:val="99"/>
    <w:semiHidden/>
    <w:unhideWhenUsed/>
    <w:rsid w:val="00C3168F"/>
    <w:rPr>
      <w:b/>
      <w:bCs/>
    </w:rPr>
  </w:style>
  <w:style w:type="character" w:customStyle="1" w:styleId="Char2">
    <w:name w:val="批注主题 Char"/>
    <w:link w:val="af0"/>
    <w:uiPriority w:val="99"/>
    <w:semiHidden/>
    <w:rsid w:val="00C3168F"/>
    <w:rPr>
      <w:rFonts w:ascii="Tahoma" w:hAnsi="Tahoma" w:cs="Tahoma"/>
      <w:b/>
      <w:bCs/>
      <w:sz w:val="16"/>
    </w:rPr>
  </w:style>
  <w:style w:type="character" w:customStyle="1" w:styleId="Char3">
    <w:name w:val="批注文字 Char"/>
    <w:semiHidden/>
    <w:rsid w:val="00BD277C"/>
    <w:rPr>
      <w:rFonts w:ascii="Calibri" w:eastAsia="Calibri" w:hAnsi="Calibri" w:cs="Calibri"/>
      <w:sz w:val="22"/>
      <w:szCs w:val="22"/>
      <w:lang w:val="en-US" w:eastAsia="ar-SA"/>
    </w:rPr>
  </w:style>
  <w:style w:type="character" w:customStyle="1" w:styleId="Char4">
    <w:name w:val="页脚 Char"/>
    <w:uiPriority w:val="99"/>
    <w:rsid w:val="006B74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等线"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36B"/>
    <w:pPr>
      <w:spacing w:line="276" w:lineRule="auto"/>
      <w:ind w:firstLine="708"/>
      <w:jc w:val="both"/>
    </w:pPr>
    <w:rPr>
      <w:rFonts w:ascii="Times New Roman" w:hAnsi="Times New Roman"/>
      <w:sz w:val="24"/>
      <w:szCs w:val="24"/>
      <w:lang w:eastAsia="en-US"/>
    </w:rPr>
  </w:style>
  <w:style w:type="paragraph" w:styleId="1">
    <w:name w:val="heading 1"/>
    <w:basedOn w:val="a"/>
    <w:link w:val="1Char"/>
    <w:uiPriority w:val="9"/>
    <w:qFormat/>
    <w:rsid w:val="00E3125B"/>
    <w:pPr>
      <w:spacing w:before="100" w:beforeAutospacing="1" w:after="100" w:afterAutospacing="1" w:line="240" w:lineRule="auto"/>
      <w:outlineLvl w:val="0"/>
    </w:pPr>
    <w:rPr>
      <w:rFonts w:eastAsia="Times New Roman"/>
      <w:b/>
      <w:bCs/>
      <w:kern w:val="36"/>
      <w:sz w:val="48"/>
      <w:szCs w:val="48"/>
      <w:lang w:eastAsia="pl-PL"/>
    </w:rPr>
  </w:style>
  <w:style w:type="paragraph" w:styleId="3">
    <w:name w:val="heading 3"/>
    <w:basedOn w:val="a"/>
    <w:link w:val="3Char"/>
    <w:uiPriority w:val="9"/>
    <w:qFormat/>
    <w:rsid w:val="00E3125B"/>
    <w:pPr>
      <w:spacing w:before="100" w:beforeAutospacing="1" w:after="100" w:afterAutospacing="1" w:line="240" w:lineRule="auto"/>
      <w:outlineLvl w:val="2"/>
    </w:pPr>
    <w:rPr>
      <w:rFonts w:eastAsia="Times New Roman"/>
      <w:b/>
      <w:bCs/>
      <w:sz w:val="27"/>
      <w:szCs w:val="27"/>
      <w:lang w:eastAsia="pl-PL"/>
    </w:rPr>
  </w:style>
  <w:style w:type="paragraph" w:styleId="4">
    <w:name w:val="heading 4"/>
    <w:basedOn w:val="a"/>
    <w:next w:val="a"/>
    <w:link w:val="4Char"/>
    <w:uiPriority w:val="9"/>
    <w:qFormat/>
    <w:rsid w:val="00E3593C"/>
    <w:pPr>
      <w:keepNext/>
      <w:spacing w:before="240" w:after="60"/>
      <w:outlineLvl w:val="3"/>
    </w:pPr>
    <w:rPr>
      <w:rFonts w:ascii="Calibri" w:eastAsia="Times New Roman" w:hAnsi="Calibri"/>
      <w:b/>
      <w:bCs/>
      <w:sz w:val="28"/>
      <w:szCs w:val="28"/>
    </w:rPr>
  </w:style>
  <w:style w:type="paragraph" w:styleId="5">
    <w:name w:val="heading 5"/>
    <w:basedOn w:val="a"/>
    <w:next w:val="a"/>
    <w:link w:val="5Char"/>
    <w:uiPriority w:val="9"/>
    <w:qFormat/>
    <w:rsid w:val="00E3593C"/>
    <w:pPr>
      <w:spacing w:before="240" w:after="60"/>
      <w:outlineLvl w:val="4"/>
    </w:pPr>
    <w:rPr>
      <w:rFonts w:ascii="Calibri" w:eastAsia="Times New Roman" w:hAnsi="Calibri"/>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3125B"/>
    <w:rPr>
      <w:color w:val="0000FF"/>
      <w:u w:val="single"/>
    </w:rPr>
  </w:style>
  <w:style w:type="character" w:styleId="a4">
    <w:name w:val="Emphasis"/>
    <w:uiPriority w:val="20"/>
    <w:qFormat/>
    <w:rsid w:val="00E3125B"/>
    <w:rPr>
      <w:i/>
      <w:iCs/>
    </w:rPr>
  </w:style>
  <w:style w:type="character" w:customStyle="1" w:styleId="1Char">
    <w:name w:val="标题 1 Char"/>
    <w:link w:val="1"/>
    <w:uiPriority w:val="9"/>
    <w:rsid w:val="00E3125B"/>
    <w:rPr>
      <w:rFonts w:ascii="Times New Roman" w:eastAsia="Times New Roman" w:hAnsi="Times New Roman"/>
      <w:b/>
      <w:bCs/>
      <w:kern w:val="36"/>
      <w:sz w:val="48"/>
      <w:szCs w:val="48"/>
    </w:rPr>
  </w:style>
  <w:style w:type="character" w:customStyle="1" w:styleId="3Char">
    <w:name w:val="标题 3 Char"/>
    <w:link w:val="3"/>
    <w:uiPriority w:val="9"/>
    <w:rsid w:val="00E3125B"/>
    <w:rPr>
      <w:rFonts w:ascii="Times New Roman" w:eastAsia="Times New Roman" w:hAnsi="Times New Roman"/>
      <w:b/>
      <w:bCs/>
      <w:sz w:val="27"/>
      <w:szCs w:val="27"/>
    </w:rPr>
  </w:style>
  <w:style w:type="character" w:customStyle="1" w:styleId="ui-ncbitoggler-master-text">
    <w:name w:val="ui-ncbitoggler-master-text"/>
    <w:rsid w:val="00E3125B"/>
  </w:style>
  <w:style w:type="paragraph" w:styleId="a5">
    <w:name w:val="Normal (Web)"/>
    <w:basedOn w:val="a"/>
    <w:uiPriority w:val="99"/>
    <w:unhideWhenUsed/>
    <w:rsid w:val="00E3125B"/>
    <w:pPr>
      <w:spacing w:before="100" w:beforeAutospacing="1" w:after="100" w:afterAutospacing="1" w:line="240" w:lineRule="auto"/>
    </w:pPr>
    <w:rPr>
      <w:rFonts w:eastAsia="Times New Roman"/>
      <w:lang w:eastAsia="pl-PL"/>
    </w:rPr>
  </w:style>
  <w:style w:type="character" w:customStyle="1" w:styleId="stix">
    <w:name w:val="stix"/>
    <w:rsid w:val="00175CE6"/>
  </w:style>
  <w:style w:type="character" w:styleId="a6">
    <w:name w:val="FollowedHyperlink"/>
    <w:uiPriority w:val="99"/>
    <w:semiHidden/>
    <w:unhideWhenUsed/>
    <w:rsid w:val="009A6F14"/>
    <w:rPr>
      <w:color w:val="954F72"/>
      <w:u w:val="single"/>
    </w:rPr>
  </w:style>
  <w:style w:type="paragraph" w:customStyle="1" w:styleId="EndNoteBibliographyTitle">
    <w:name w:val="EndNote Bibliography Title"/>
    <w:basedOn w:val="a"/>
    <w:link w:val="EndNoteBibliographyTitleZnak"/>
    <w:rsid w:val="009A6F14"/>
    <w:pPr>
      <w:jc w:val="center"/>
    </w:pPr>
    <w:rPr>
      <w:rFonts w:ascii="Calibri" w:hAnsi="Calibri" w:cs="Calibri"/>
      <w:noProof/>
      <w:sz w:val="22"/>
    </w:rPr>
  </w:style>
  <w:style w:type="character" w:customStyle="1" w:styleId="EndNoteBibliographyTitleZnak">
    <w:name w:val="EndNote Bibliography Title Znak"/>
    <w:link w:val="EndNoteBibliographyTitle"/>
    <w:rsid w:val="009A6F14"/>
    <w:rPr>
      <w:rFonts w:cs="Calibri"/>
      <w:noProof/>
      <w:sz w:val="22"/>
      <w:szCs w:val="24"/>
      <w:lang w:val="en-US" w:eastAsia="en-US"/>
    </w:rPr>
  </w:style>
  <w:style w:type="paragraph" w:customStyle="1" w:styleId="EndNoteBibliography">
    <w:name w:val="EndNote Bibliography"/>
    <w:basedOn w:val="a"/>
    <w:link w:val="EndNoteBibliographyZnak"/>
    <w:rsid w:val="009A6F14"/>
    <w:pPr>
      <w:spacing w:line="240" w:lineRule="auto"/>
    </w:pPr>
    <w:rPr>
      <w:rFonts w:ascii="Calibri" w:hAnsi="Calibri" w:cs="Calibri"/>
      <w:noProof/>
      <w:sz w:val="22"/>
    </w:rPr>
  </w:style>
  <w:style w:type="character" w:customStyle="1" w:styleId="EndNoteBibliographyZnak">
    <w:name w:val="EndNote Bibliography Znak"/>
    <w:link w:val="EndNoteBibliography"/>
    <w:rsid w:val="009A6F14"/>
    <w:rPr>
      <w:rFonts w:cs="Calibri"/>
      <w:noProof/>
      <w:sz w:val="22"/>
      <w:szCs w:val="24"/>
      <w:lang w:val="en-US" w:eastAsia="en-US"/>
    </w:rPr>
  </w:style>
  <w:style w:type="character" w:customStyle="1" w:styleId="tlid-translation">
    <w:name w:val="tlid-translation"/>
    <w:rsid w:val="00754340"/>
  </w:style>
  <w:style w:type="character" w:customStyle="1" w:styleId="4Char">
    <w:name w:val="标题 4 Char"/>
    <w:link w:val="4"/>
    <w:uiPriority w:val="9"/>
    <w:semiHidden/>
    <w:rsid w:val="00E3593C"/>
    <w:rPr>
      <w:rFonts w:ascii="Calibri" w:eastAsia="Times New Roman" w:hAnsi="Calibri" w:cs="Times New Roman"/>
      <w:b/>
      <w:bCs/>
      <w:sz w:val="28"/>
      <w:szCs w:val="28"/>
      <w:lang w:eastAsia="en-US"/>
    </w:rPr>
  </w:style>
  <w:style w:type="character" w:customStyle="1" w:styleId="5Char">
    <w:name w:val="标题 5 Char"/>
    <w:link w:val="5"/>
    <w:uiPriority w:val="9"/>
    <w:rsid w:val="00E3593C"/>
    <w:rPr>
      <w:rFonts w:ascii="Calibri" w:eastAsia="Times New Roman" w:hAnsi="Calibri" w:cs="Times New Roman"/>
      <w:b/>
      <w:bCs/>
      <w:i/>
      <w:iCs/>
      <w:sz w:val="26"/>
      <w:szCs w:val="26"/>
      <w:lang w:eastAsia="en-US"/>
    </w:rPr>
  </w:style>
  <w:style w:type="table" w:styleId="a7">
    <w:name w:val="Table Grid"/>
    <w:basedOn w:val="a1"/>
    <w:uiPriority w:val="39"/>
    <w:rsid w:val="00E359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a1"/>
    <w:uiPriority w:val="46"/>
    <w:rsid w:val="00E3593C"/>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msonormal0">
    <w:name w:val="msonormal"/>
    <w:basedOn w:val="a"/>
    <w:rsid w:val="00433F98"/>
    <w:pPr>
      <w:spacing w:before="100" w:beforeAutospacing="1" w:after="100" w:afterAutospacing="1" w:line="240" w:lineRule="auto"/>
    </w:pPr>
    <w:rPr>
      <w:rFonts w:eastAsia="Times New Roman"/>
      <w:lang w:eastAsia="pl-PL"/>
    </w:rPr>
  </w:style>
  <w:style w:type="paragraph" w:styleId="a8">
    <w:name w:val="caption"/>
    <w:basedOn w:val="a"/>
    <w:next w:val="a"/>
    <w:uiPriority w:val="35"/>
    <w:qFormat/>
    <w:rsid w:val="003C22DE"/>
    <w:rPr>
      <w:b/>
      <w:bCs/>
      <w:sz w:val="20"/>
      <w:szCs w:val="20"/>
    </w:rPr>
  </w:style>
  <w:style w:type="paragraph" w:customStyle="1" w:styleId="Default">
    <w:name w:val="Default"/>
    <w:rsid w:val="00FE794C"/>
    <w:pPr>
      <w:autoSpaceDE w:val="0"/>
      <w:autoSpaceDN w:val="0"/>
      <w:adjustRightInd w:val="0"/>
    </w:pPr>
    <w:rPr>
      <w:rFonts w:ascii="Verdana" w:hAnsi="Verdana" w:cs="Verdana"/>
      <w:color w:val="000000"/>
      <w:sz w:val="24"/>
      <w:szCs w:val="24"/>
      <w:lang w:val="pl-PL" w:eastAsia="pl-PL"/>
    </w:rPr>
  </w:style>
  <w:style w:type="character" w:customStyle="1" w:styleId="topic-highlight">
    <w:name w:val="topic-highlight"/>
    <w:rsid w:val="00FE1A91"/>
  </w:style>
  <w:style w:type="paragraph" w:styleId="a9">
    <w:name w:val="header"/>
    <w:basedOn w:val="a"/>
    <w:link w:val="Char"/>
    <w:uiPriority w:val="99"/>
    <w:unhideWhenUsed/>
    <w:rsid w:val="00BC499D"/>
    <w:pPr>
      <w:tabs>
        <w:tab w:val="center" w:pos="4536"/>
        <w:tab w:val="right" w:pos="9072"/>
      </w:tabs>
    </w:pPr>
  </w:style>
  <w:style w:type="character" w:customStyle="1" w:styleId="Char">
    <w:name w:val="页眉 Char"/>
    <w:link w:val="a9"/>
    <w:uiPriority w:val="99"/>
    <w:rsid w:val="00BC499D"/>
    <w:rPr>
      <w:sz w:val="22"/>
      <w:szCs w:val="22"/>
      <w:lang w:eastAsia="en-US"/>
    </w:rPr>
  </w:style>
  <w:style w:type="paragraph" w:styleId="aa">
    <w:name w:val="footer"/>
    <w:basedOn w:val="a"/>
    <w:link w:val="Char1"/>
    <w:uiPriority w:val="99"/>
    <w:unhideWhenUsed/>
    <w:rsid w:val="00BC499D"/>
    <w:pPr>
      <w:tabs>
        <w:tab w:val="center" w:pos="4536"/>
        <w:tab w:val="right" w:pos="9072"/>
      </w:tabs>
    </w:pPr>
  </w:style>
  <w:style w:type="character" w:customStyle="1" w:styleId="Char1">
    <w:name w:val="页脚 Char1"/>
    <w:link w:val="aa"/>
    <w:uiPriority w:val="99"/>
    <w:rsid w:val="00BC499D"/>
    <w:rPr>
      <w:sz w:val="22"/>
      <w:szCs w:val="22"/>
      <w:lang w:eastAsia="en-US"/>
    </w:rPr>
  </w:style>
  <w:style w:type="character" w:styleId="ab">
    <w:name w:val="Strong"/>
    <w:uiPriority w:val="22"/>
    <w:qFormat/>
    <w:rsid w:val="00C475D6"/>
    <w:rPr>
      <w:b/>
      <w:bCs/>
    </w:rPr>
  </w:style>
  <w:style w:type="paragraph" w:styleId="ac">
    <w:name w:val="Balloon Text"/>
    <w:basedOn w:val="a"/>
    <w:link w:val="Char0"/>
    <w:uiPriority w:val="99"/>
    <w:semiHidden/>
    <w:unhideWhenUsed/>
    <w:rsid w:val="00A22626"/>
    <w:pPr>
      <w:spacing w:line="240" w:lineRule="auto"/>
    </w:pPr>
    <w:rPr>
      <w:rFonts w:ascii="Segoe UI" w:hAnsi="Segoe UI" w:cs="Segoe UI"/>
      <w:sz w:val="18"/>
      <w:szCs w:val="18"/>
    </w:rPr>
  </w:style>
  <w:style w:type="character" w:customStyle="1" w:styleId="Char0">
    <w:name w:val="批注框文本 Char"/>
    <w:link w:val="ac"/>
    <w:uiPriority w:val="99"/>
    <w:semiHidden/>
    <w:rsid w:val="00A22626"/>
    <w:rPr>
      <w:rFonts w:ascii="Segoe UI" w:hAnsi="Segoe UI" w:cs="Segoe UI"/>
      <w:sz w:val="18"/>
      <w:szCs w:val="18"/>
    </w:rPr>
  </w:style>
  <w:style w:type="character" w:customStyle="1" w:styleId="small-caps">
    <w:name w:val="small-caps"/>
    <w:rsid w:val="00DC5B77"/>
  </w:style>
  <w:style w:type="paragraph" w:styleId="HTML">
    <w:name w:val="HTML Preformatted"/>
    <w:basedOn w:val="a"/>
    <w:link w:val="HTMLChar"/>
    <w:uiPriority w:val="99"/>
    <w:unhideWhenUsed/>
    <w:rsid w:val="00E91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l-PL"/>
    </w:rPr>
  </w:style>
  <w:style w:type="character" w:customStyle="1" w:styleId="HTMLChar">
    <w:name w:val="HTML 预设格式 Char"/>
    <w:link w:val="HTML"/>
    <w:uiPriority w:val="99"/>
    <w:rsid w:val="00E919C0"/>
    <w:rPr>
      <w:rFonts w:ascii="Courier New" w:eastAsia="Times New Roman" w:hAnsi="Courier New" w:cs="Courier New"/>
    </w:rPr>
  </w:style>
  <w:style w:type="character" w:customStyle="1" w:styleId="element-citation">
    <w:name w:val="element-citation"/>
    <w:rsid w:val="00316AEB"/>
  </w:style>
  <w:style w:type="character" w:customStyle="1" w:styleId="st">
    <w:name w:val="st"/>
    <w:rsid w:val="008A0715"/>
  </w:style>
  <w:style w:type="character" w:customStyle="1" w:styleId="alt-edited">
    <w:name w:val="alt-edited"/>
    <w:rsid w:val="006031FC"/>
  </w:style>
  <w:style w:type="character" w:customStyle="1" w:styleId="ad">
    <w:name w:val="未处理的提及"/>
    <w:uiPriority w:val="99"/>
    <w:semiHidden/>
    <w:unhideWhenUsed/>
    <w:rsid w:val="007C15E1"/>
    <w:rPr>
      <w:color w:val="605E5C"/>
      <w:shd w:val="clear" w:color="auto" w:fill="E1DFDD"/>
    </w:rPr>
  </w:style>
  <w:style w:type="paragraph" w:customStyle="1" w:styleId="p">
    <w:name w:val="p"/>
    <w:basedOn w:val="a"/>
    <w:rsid w:val="00B53524"/>
    <w:pPr>
      <w:spacing w:before="100" w:beforeAutospacing="1" w:after="100" w:afterAutospacing="1" w:line="240" w:lineRule="auto"/>
      <w:ind w:firstLine="0"/>
      <w:jc w:val="left"/>
    </w:pPr>
    <w:rPr>
      <w:rFonts w:eastAsia="Times New Roman"/>
      <w:lang w:val="pl-PL" w:eastAsia="pl-PL"/>
    </w:rPr>
  </w:style>
  <w:style w:type="character" w:styleId="ae">
    <w:name w:val="annotation reference"/>
    <w:rsid w:val="00805BCE"/>
    <w:rPr>
      <w:rFonts w:ascii="Tahoma" w:hAnsi="Tahoma" w:cs="Tahoma"/>
      <w:b w:val="0"/>
      <w:i w:val="0"/>
      <w:caps w:val="0"/>
      <w:strike w:val="0"/>
      <w:sz w:val="16"/>
      <w:szCs w:val="16"/>
      <w:u w:val="none"/>
    </w:rPr>
  </w:style>
  <w:style w:type="paragraph" w:styleId="af">
    <w:name w:val="annotation text"/>
    <w:basedOn w:val="a"/>
    <w:link w:val="Char10"/>
    <w:semiHidden/>
    <w:unhideWhenUsed/>
    <w:rsid w:val="00C3168F"/>
    <w:rPr>
      <w:rFonts w:ascii="Tahoma" w:hAnsi="Tahoma" w:cs="Tahoma"/>
      <w:sz w:val="16"/>
      <w:szCs w:val="20"/>
    </w:rPr>
  </w:style>
  <w:style w:type="character" w:customStyle="1" w:styleId="Char10">
    <w:name w:val="批注文字 Char1"/>
    <w:link w:val="af"/>
    <w:uiPriority w:val="99"/>
    <w:semiHidden/>
    <w:rsid w:val="00C3168F"/>
    <w:rPr>
      <w:rFonts w:ascii="Tahoma" w:hAnsi="Tahoma" w:cs="Tahoma"/>
      <w:sz w:val="16"/>
    </w:rPr>
  </w:style>
  <w:style w:type="paragraph" w:styleId="af0">
    <w:name w:val="annotation subject"/>
    <w:basedOn w:val="af"/>
    <w:next w:val="af"/>
    <w:link w:val="Char2"/>
    <w:uiPriority w:val="99"/>
    <w:semiHidden/>
    <w:unhideWhenUsed/>
    <w:rsid w:val="00C3168F"/>
    <w:rPr>
      <w:b/>
      <w:bCs/>
    </w:rPr>
  </w:style>
  <w:style w:type="character" w:customStyle="1" w:styleId="Char2">
    <w:name w:val="批注主题 Char"/>
    <w:link w:val="af0"/>
    <w:uiPriority w:val="99"/>
    <w:semiHidden/>
    <w:rsid w:val="00C3168F"/>
    <w:rPr>
      <w:rFonts w:ascii="Tahoma" w:hAnsi="Tahoma" w:cs="Tahoma"/>
      <w:b/>
      <w:bCs/>
      <w:sz w:val="16"/>
    </w:rPr>
  </w:style>
  <w:style w:type="character" w:customStyle="1" w:styleId="Char3">
    <w:name w:val="批注文字 Char"/>
    <w:semiHidden/>
    <w:rsid w:val="00BD277C"/>
    <w:rPr>
      <w:rFonts w:ascii="Calibri" w:eastAsia="Calibri" w:hAnsi="Calibri" w:cs="Calibri"/>
      <w:sz w:val="22"/>
      <w:szCs w:val="22"/>
      <w:lang w:val="en-US" w:eastAsia="ar-SA"/>
    </w:rPr>
  </w:style>
  <w:style w:type="character" w:customStyle="1" w:styleId="Char4">
    <w:name w:val="页脚 Char"/>
    <w:uiPriority w:val="99"/>
    <w:rsid w:val="006B74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58900">
      <w:bodyDiv w:val="1"/>
      <w:marLeft w:val="0"/>
      <w:marRight w:val="0"/>
      <w:marTop w:val="0"/>
      <w:marBottom w:val="0"/>
      <w:divBdr>
        <w:top w:val="none" w:sz="0" w:space="0" w:color="auto"/>
        <w:left w:val="none" w:sz="0" w:space="0" w:color="auto"/>
        <w:bottom w:val="none" w:sz="0" w:space="0" w:color="auto"/>
        <w:right w:val="none" w:sz="0" w:space="0" w:color="auto"/>
      </w:divBdr>
    </w:div>
    <w:div w:id="155923689">
      <w:bodyDiv w:val="1"/>
      <w:marLeft w:val="0"/>
      <w:marRight w:val="0"/>
      <w:marTop w:val="0"/>
      <w:marBottom w:val="0"/>
      <w:divBdr>
        <w:top w:val="none" w:sz="0" w:space="0" w:color="auto"/>
        <w:left w:val="none" w:sz="0" w:space="0" w:color="auto"/>
        <w:bottom w:val="none" w:sz="0" w:space="0" w:color="auto"/>
        <w:right w:val="none" w:sz="0" w:space="0" w:color="auto"/>
      </w:divBdr>
      <w:divsChild>
        <w:div w:id="116340959">
          <w:marLeft w:val="547"/>
          <w:marRight w:val="0"/>
          <w:marTop w:val="0"/>
          <w:marBottom w:val="0"/>
          <w:divBdr>
            <w:top w:val="none" w:sz="0" w:space="0" w:color="auto"/>
            <w:left w:val="none" w:sz="0" w:space="0" w:color="auto"/>
            <w:bottom w:val="none" w:sz="0" w:space="0" w:color="auto"/>
            <w:right w:val="none" w:sz="0" w:space="0" w:color="auto"/>
          </w:divBdr>
        </w:div>
        <w:div w:id="293830427">
          <w:marLeft w:val="547"/>
          <w:marRight w:val="0"/>
          <w:marTop w:val="0"/>
          <w:marBottom w:val="0"/>
          <w:divBdr>
            <w:top w:val="none" w:sz="0" w:space="0" w:color="auto"/>
            <w:left w:val="none" w:sz="0" w:space="0" w:color="auto"/>
            <w:bottom w:val="none" w:sz="0" w:space="0" w:color="auto"/>
            <w:right w:val="none" w:sz="0" w:space="0" w:color="auto"/>
          </w:divBdr>
        </w:div>
        <w:div w:id="731002128">
          <w:marLeft w:val="547"/>
          <w:marRight w:val="0"/>
          <w:marTop w:val="0"/>
          <w:marBottom w:val="0"/>
          <w:divBdr>
            <w:top w:val="none" w:sz="0" w:space="0" w:color="auto"/>
            <w:left w:val="none" w:sz="0" w:space="0" w:color="auto"/>
            <w:bottom w:val="none" w:sz="0" w:space="0" w:color="auto"/>
            <w:right w:val="none" w:sz="0" w:space="0" w:color="auto"/>
          </w:divBdr>
        </w:div>
        <w:div w:id="748620231">
          <w:marLeft w:val="547"/>
          <w:marRight w:val="0"/>
          <w:marTop w:val="0"/>
          <w:marBottom w:val="0"/>
          <w:divBdr>
            <w:top w:val="none" w:sz="0" w:space="0" w:color="auto"/>
            <w:left w:val="none" w:sz="0" w:space="0" w:color="auto"/>
            <w:bottom w:val="none" w:sz="0" w:space="0" w:color="auto"/>
            <w:right w:val="none" w:sz="0" w:space="0" w:color="auto"/>
          </w:divBdr>
        </w:div>
        <w:div w:id="1206679257">
          <w:marLeft w:val="547"/>
          <w:marRight w:val="0"/>
          <w:marTop w:val="0"/>
          <w:marBottom w:val="0"/>
          <w:divBdr>
            <w:top w:val="none" w:sz="0" w:space="0" w:color="auto"/>
            <w:left w:val="none" w:sz="0" w:space="0" w:color="auto"/>
            <w:bottom w:val="none" w:sz="0" w:space="0" w:color="auto"/>
            <w:right w:val="none" w:sz="0" w:space="0" w:color="auto"/>
          </w:divBdr>
        </w:div>
        <w:div w:id="1223908098">
          <w:marLeft w:val="547"/>
          <w:marRight w:val="0"/>
          <w:marTop w:val="0"/>
          <w:marBottom w:val="0"/>
          <w:divBdr>
            <w:top w:val="none" w:sz="0" w:space="0" w:color="auto"/>
            <w:left w:val="none" w:sz="0" w:space="0" w:color="auto"/>
            <w:bottom w:val="none" w:sz="0" w:space="0" w:color="auto"/>
            <w:right w:val="none" w:sz="0" w:space="0" w:color="auto"/>
          </w:divBdr>
        </w:div>
        <w:div w:id="1665552939">
          <w:marLeft w:val="547"/>
          <w:marRight w:val="0"/>
          <w:marTop w:val="0"/>
          <w:marBottom w:val="0"/>
          <w:divBdr>
            <w:top w:val="none" w:sz="0" w:space="0" w:color="auto"/>
            <w:left w:val="none" w:sz="0" w:space="0" w:color="auto"/>
            <w:bottom w:val="none" w:sz="0" w:space="0" w:color="auto"/>
            <w:right w:val="none" w:sz="0" w:space="0" w:color="auto"/>
          </w:divBdr>
        </w:div>
        <w:div w:id="1688947275">
          <w:marLeft w:val="547"/>
          <w:marRight w:val="0"/>
          <w:marTop w:val="0"/>
          <w:marBottom w:val="0"/>
          <w:divBdr>
            <w:top w:val="none" w:sz="0" w:space="0" w:color="auto"/>
            <w:left w:val="none" w:sz="0" w:space="0" w:color="auto"/>
            <w:bottom w:val="none" w:sz="0" w:space="0" w:color="auto"/>
            <w:right w:val="none" w:sz="0" w:space="0" w:color="auto"/>
          </w:divBdr>
        </w:div>
        <w:div w:id="1739476658">
          <w:marLeft w:val="547"/>
          <w:marRight w:val="0"/>
          <w:marTop w:val="0"/>
          <w:marBottom w:val="0"/>
          <w:divBdr>
            <w:top w:val="none" w:sz="0" w:space="0" w:color="auto"/>
            <w:left w:val="none" w:sz="0" w:space="0" w:color="auto"/>
            <w:bottom w:val="none" w:sz="0" w:space="0" w:color="auto"/>
            <w:right w:val="none" w:sz="0" w:space="0" w:color="auto"/>
          </w:divBdr>
        </w:div>
        <w:div w:id="2061590022">
          <w:marLeft w:val="547"/>
          <w:marRight w:val="0"/>
          <w:marTop w:val="0"/>
          <w:marBottom w:val="0"/>
          <w:divBdr>
            <w:top w:val="none" w:sz="0" w:space="0" w:color="auto"/>
            <w:left w:val="none" w:sz="0" w:space="0" w:color="auto"/>
            <w:bottom w:val="none" w:sz="0" w:space="0" w:color="auto"/>
            <w:right w:val="none" w:sz="0" w:space="0" w:color="auto"/>
          </w:divBdr>
        </w:div>
        <w:div w:id="2122726213">
          <w:marLeft w:val="547"/>
          <w:marRight w:val="0"/>
          <w:marTop w:val="0"/>
          <w:marBottom w:val="0"/>
          <w:divBdr>
            <w:top w:val="none" w:sz="0" w:space="0" w:color="auto"/>
            <w:left w:val="none" w:sz="0" w:space="0" w:color="auto"/>
            <w:bottom w:val="none" w:sz="0" w:space="0" w:color="auto"/>
            <w:right w:val="none" w:sz="0" w:space="0" w:color="auto"/>
          </w:divBdr>
        </w:div>
      </w:divsChild>
    </w:div>
    <w:div w:id="205260270">
      <w:bodyDiv w:val="1"/>
      <w:marLeft w:val="0"/>
      <w:marRight w:val="0"/>
      <w:marTop w:val="0"/>
      <w:marBottom w:val="0"/>
      <w:divBdr>
        <w:top w:val="none" w:sz="0" w:space="0" w:color="auto"/>
        <w:left w:val="none" w:sz="0" w:space="0" w:color="auto"/>
        <w:bottom w:val="none" w:sz="0" w:space="0" w:color="auto"/>
        <w:right w:val="none" w:sz="0" w:space="0" w:color="auto"/>
      </w:divBdr>
    </w:div>
    <w:div w:id="214974094">
      <w:bodyDiv w:val="1"/>
      <w:marLeft w:val="0"/>
      <w:marRight w:val="0"/>
      <w:marTop w:val="0"/>
      <w:marBottom w:val="0"/>
      <w:divBdr>
        <w:top w:val="none" w:sz="0" w:space="0" w:color="auto"/>
        <w:left w:val="none" w:sz="0" w:space="0" w:color="auto"/>
        <w:bottom w:val="none" w:sz="0" w:space="0" w:color="auto"/>
        <w:right w:val="none" w:sz="0" w:space="0" w:color="auto"/>
      </w:divBdr>
    </w:div>
    <w:div w:id="283578553">
      <w:bodyDiv w:val="1"/>
      <w:marLeft w:val="0"/>
      <w:marRight w:val="0"/>
      <w:marTop w:val="0"/>
      <w:marBottom w:val="0"/>
      <w:divBdr>
        <w:top w:val="none" w:sz="0" w:space="0" w:color="auto"/>
        <w:left w:val="none" w:sz="0" w:space="0" w:color="auto"/>
        <w:bottom w:val="none" w:sz="0" w:space="0" w:color="auto"/>
        <w:right w:val="none" w:sz="0" w:space="0" w:color="auto"/>
      </w:divBdr>
    </w:div>
    <w:div w:id="286393847">
      <w:bodyDiv w:val="1"/>
      <w:marLeft w:val="0"/>
      <w:marRight w:val="0"/>
      <w:marTop w:val="0"/>
      <w:marBottom w:val="0"/>
      <w:divBdr>
        <w:top w:val="none" w:sz="0" w:space="0" w:color="auto"/>
        <w:left w:val="none" w:sz="0" w:space="0" w:color="auto"/>
        <w:bottom w:val="none" w:sz="0" w:space="0" w:color="auto"/>
        <w:right w:val="none" w:sz="0" w:space="0" w:color="auto"/>
      </w:divBdr>
    </w:div>
    <w:div w:id="326637485">
      <w:bodyDiv w:val="1"/>
      <w:marLeft w:val="0"/>
      <w:marRight w:val="0"/>
      <w:marTop w:val="0"/>
      <w:marBottom w:val="0"/>
      <w:divBdr>
        <w:top w:val="none" w:sz="0" w:space="0" w:color="auto"/>
        <w:left w:val="none" w:sz="0" w:space="0" w:color="auto"/>
        <w:bottom w:val="none" w:sz="0" w:space="0" w:color="auto"/>
        <w:right w:val="none" w:sz="0" w:space="0" w:color="auto"/>
      </w:divBdr>
    </w:div>
    <w:div w:id="437332189">
      <w:bodyDiv w:val="1"/>
      <w:marLeft w:val="0"/>
      <w:marRight w:val="0"/>
      <w:marTop w:val="0"/>
      <w:marBottom w:val="0"/>
      <w:divBdr>
        <w:top w:val="none" w:sz="0" w:space="0" w:color="auto"/>
        <w:left w:val="none" w:sz="0" w:space="0" w:color="auto"/>
        <w:bottom w:val="none" w:sz="0" w:space="0" w:color="auto"/>
        <w:right w:val="none" w:sz="0" w:space="0" w:color="auto"/>
      </w:divBdr>
    </w:div>
    <w:div w:id="536161479">
      <w:bodyDiv w:val="1"/>
      <w:marLeft w:val="0"/>
      <w:marRight w:val="0"/>
      <w:marTop w:val="0"/>
      <w:marBottom w:val="0"/>
      <w:divBdr>
        <w:top w:val="none" w:sz="0" w:space="0" w:color="auto"/>
        <w:left w:val="none" w:sz="0" w:space="0" w:color="auto"/>
        <w:bottom w:val="none" w:sz="0" w:space="0" w:color="auto"/>
        <w:right w:val="none" w:sz="0" w:space="0" w:color="auto"/>
      </w:divBdr>
    </w:div>
    <w:div w:id="546720922">
      <w:bodyDiv w:val="1"/>
      <w:marLeft w:val="0"/>
      <w:marRight w:val="0"/>
      <w:marTop w:val="0"/>
      <w:marBottom w:val="0"/>
      <w:divBdr>
        <w:top w:val="none" w:sz="0" w:space="0" w:color="auto"/>
        <w:left w:val="none" w:sz="0" w:space="0" w:color="auto"/>
        <w:bottom w:val="none" w:sz="0" w:space="0" w:color="auto"/>
        <w:right w:val="none" w:sz="0" w:space="0" w:color="auto"/>
      </w:divBdr>
    </w:div>
    <w:div w:id="585727269">
      <w:bodyDiv w:val="1"/>
      <w:marLeft w:val="0"/>
      <w:marRight w:val="0"/>
      <w:marTop w:val="0"/>
      <w:marBottom w:val="0"/>
      <w:divBdr>
        <w:top w:val="none" w:sz="0" w:space="0" w:color="auto"/>
        <w:left w:val="none" w:sz="0" w:space="0" w:color="auto"/>
        <w:bottom w:val="none" w:sz="0" w:space="0" w:color="auto"/>
        <w:right w:val="none" w:sz="0" w:space="0" w:color="auto"/>
      </w:divBdr>
      <w:divsChild>
        <w:div w:id="282808109">
          <w:marLeft w:val="0"/>
          <w:marRight w:val="0"/>
          <w:marTop w:val="0"/>
          <w:marBottom w:val="0"/>
          <w:divBdr>
            <w:top w:val="none" w:sz="0" w:space="0" w:color="auto"/>
            <w:left w:val="none" w:sz="0" w:space="0" w:color="auto"/>
            <w:bottom w:val="none" w:sz="0" w:space="0" w:color="auto"/>
            <w:right w:val="none" w:sz="0" w:space="0" w:color="auto"/>
          </w:divBdr>
          <w:divsChild>
            <w:div w:id="333991498">
              <w:marLeft w:val="0"/>
              <w:marRight w:val="0"/>
              <w:marTop w:val="0"/>
              <w:marBottom w:val="0"/>
              <w:divBdr>
                <w:top w:val="none" w:sz="0" w:space="0" w:color="auto"/>
                <w:left w:val="none" w:sz="0" w:space="0" w:color="auto"/>
                <w:bottom w:val="none" w:sz="0" w:space="0" w:color="auto"/>
                <w:right w:val="none" w:sz="0" w:space="0" w:color="auto"/>
              </w:divBdr>
              <w:divsChild>
                <w:div w:id="2077169166">
                  <w:marLeft w:val="0"/>
                  <w:marRight w:val="0"/>
                  <w:marTop w:val="0"/>
                  <w:marBottom w:val="0"/>
                  <w:divBdr>
                    <w:top w:val="none" w:sz="0" w:space="0" w:color="auto"/>
                    <w:left w:val="none" w:sz="0" w:space="0" w:color="auto"/>
                    <w:bottom w:val="none" w:sz="0" w:space="0" w:color="auto"/>
                    <w:right w:val="none" w:sz="0" w:space="0" w:color="auto"/>
                  </w:divBdr>
                  <w:divsChild>
                    <w:div w:id="1831359520">
                      <w:marLeft w:val="0"/>
                      <w:marRight w:val="0"/>
                      <w:marTop w:val="0"/>
                      <w:marBottom w:val="0"/>
                      <w:divBdr>
                        <w:top w:val="none" w:sz="0" w:space="0" w:color="auto"/>
                        <w:left w:val="none" w:sz="0" w:space="0" w:color="auto"/>
                        <w:bottom w:val="none" w:sz="0" w:space="0" w:color="auto"/>
                        <w:right w:val="none" w:sz="0" w:space="0" w:color="auto"/>
                      </w:divBdr>
                      <w:divsChild>
                        <w:div w:id="54403804">
                          <w:marLeft w:val="0"/>
                          <w:marRight w:val="0"/>
                          <w:marTop w:val="0"/>
                          <w:marBottom w:val="0"/>
                          <w:divBdr>
                            <w:top w:val="none" w:sz="0" w:space="0" w:color="auto"/>
                            <w:left w:val="none" w:sz="0" w:space="0" w:color="auto"/>
                            <w:bottom w:val="none" w:sz="0" w:space="0" w:color="auto"/>
                            <w:right w:val="none" w:sz="0" w:space="0" w:color="auto"/>
                          </w:divBdr>
                          <w:divsChild>
                            <w:div w:id="51596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67684">
          <w:marLeft w:val="0"/>
          <w:marRight w:val="0"/>
          <w:marTop w:val="0"/>
          <w:marBottom w:val="0"/>
          <w:divBdr>
            <w:top w:val="none" w:sz="0" w:space="0" w:color="auto"/>
            <w:left w:val="none" w:sz="0" w:space="0" w:color="auto"/>
            <w:bottom w:val="none" w:sz="0" w:space="0" w:color="auto"/>
            <w:right w:val="none" w:sz="0" w:space="0" w:color="auto"/>
          </w:divBdr>
          <w:divsChild>
            <w:div w:id="1603144330">
              <w:marLeft w:val="0"/>
              <w:marRight w:val="0"/>
              <w:marTop w:val="0"/>
              <w:marBottom w:val="0"/>
              <w:divBdr>
                <w:top w:val="none" w:sz="0" w:space="0" w:color="auto"/>
                <w:left w:val="none" w:sz="0" w:space="0" w:color="auto"/>
                <w:bottom w:val="none" w:sz="0" w:space="0" w:color="auto"/>
                <w:right w:val="none" w:sz="0" w:space="0" w:color="auto"/>
              </w:divBdr>
            </w:div>
          </w:divsChild>
        </w:div>
        <w:div w:id="1570925556">
          <w:marLeft w:val="0"/>
          <w:marRight w:val="0"/>
          <w:marTop w:val="0"/>
          <w:marBottom w:val="0"/>
          <w:divBdr>
            <w:top w:val="none" w:sz="0" w:space="0" w:color="auto"/>
            <w:left w:val="none" w:sz="0" w:space="0" w:color="auto"/>
            <w:bottom w:val="none" w:sz="0" w:space="0" w:color="auto"/>
            <w:right w:val="none" w:sz="0" w:space="0" w:color="auto"/>
          </w:divBdr>
          <w:divsChild>
            <w:div w:id="770781283">
              <w:marLeft w:val="0"/>
              <w:marRight w:val="0"/>
              <w:marTop w:val="0"/>
              <w:marBottom w:val="0"/>
              <w:divBdr>
                <w:top w:val="none" w:sz="0" w:space="0" w:color="auto"/>
                <w:left w:val="none" w:sz="0" w:space="0" w:color="auto"/>
                <w:bottom w:val="none" w:sz="0" w:space="0" w:color="auto"/>
                <w:right w:val="none" w:sz="0" w:space="0" w:color="auto"/>
              </w:divBdr>
              <w:divsChild>
                <w:div w:id="1014572876">
                  <w:marLeft w:val="0"/>
                  <w:marRight w:val="0"/>
                  <w:marTop w:val="0"/>
                  <w:marBottom w:val="0"/>
                  <w:divBdr>
                    <w:top w:val="none" w:sz="0" w:space="0" w:color="auto"/>
                    <w:left w:val="none" w:sz="0" w:space="0" w:color="auto"/>
                    <w:bottom w:val="none" w:sz="0" w:space="0" w:color="auto"/>
                    <w:right w:val="none" w:sz="0" w:space="0" w:color="auto"/>
                  </w:divBdr>
                  <w:divsChild>
                    <w:div w:id="1520268735">
                      <w:marLeft w:val="0"/>
                      <w:marRight w:val="0"/>
                      <w:marTop w:val="0"/>
                      <w:marBottom w:val="0"/>
                      <w:divBdr>
                        <w:top w:val="none" w:sz="0" w:space="0" w:color="auto"/>
                        <w:left w:val="none" w:sz="0" w:space="0" w:color="auto"/>
                        <w:bottom w:val="none" w:sz="0" w:space="0" w:color="auto"/>
                        <w:right w:val="none" w:sz="0" w:space="0" w:color="auto"/>
                      </w:divBdr>
                      <w:divsChild>
                        <w:div w:id="543954357">
                          <w:marLeft w:val="0"/>
                          <w:marRight w:val="0"/>
                          <w:marTop w:val="0"/>
                          <w:marBottom w:val="0"/>
                          <w:divBdr>
                            <w:top w:val="none" w:sz="0" w:space="0" w:color="auto"/>
                            <w:left w:val="none" w:sz="0" w:space="0" w:color="auto"/>
                            <w:bottom w:val="none" w:sz="0" w:space="0" w:color="auto"/>
                            <w:right w:val="none" w:sz="0" w:space="0" w:color="auto"/>
                          </w:divBdr>
                          <w:divsChild>
                            <w:div w:id="1093939688">
                              <w:marLeft w:val="0"/>
                              <w:marRight w:val="0"/>
                              <w:marTop w:val="0"/>
                              <w:marBottom w:val="0"/>
                              <w:divBdr>
                                <w:top w:val="none" w:sz="0" w:space="0" w:color="auto"/>
                                <w:left w:val="none" w:sz="0" w:space="0" w:color="auto"/>
                                <w:bottom w:val="none" w:sz="0" w:space="0" w:color="auto"/>
                                <w:right w:val="none" w:sz="0" w:space="0" w:color="auto"/>
                              </w:divBdr>
                            </w:div>
                            <w:div w:id="133307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127564">
          <w:marLeft w:val="0"/>
          <w:marRight w:val="0"/>
          <w:marTop w:val="0"/>
          <w:marBottom w:val="0"/>
          <w:divBdr>
            <w:top w:val="none" w:sz="0" w:space="0" w:color="auto"/>
            <w:left w:val="none" w:sz="0" w:space="0" w:color="auto"/>
            <w:bottom w:val="none" w:sz="0" w:space="0" w:color="auto"/>
            <w:right w:val="none" w:sz="0" w:space="0" w:color="auto"/>
          </w:divBdr>
          <w:divsChild>
            <w:div w:id="514461779">
              <w:marLeft w:val="0"/>
              <w:marRight w:val="0"/>
              <w:marTop w:val="0"/>
              <w:marBottom w:val="0"/>
              <w:divBdr>
                <w:top w:val="none" w:sz="0" w:space="0" w:color="auto"/>
                <w:left w:val="none" w:sz="0" w:space="0" w:color="auto"/>
                <w:bottom w:val="none" w:sz="0" w:space="0" w:color="auto"/>
                <w:right w:val="none" w:sz="0" w:space="0" w:color="auto"/>
              </w:divBdr>
              <w:divsChild>
                <w:div w:id="114250101">
                  <w:marLeft w:val="0"/>
                  <w:marRight w:val="0"/>
                  <w:marTop w:val="0"/>
                  <w:marBottom w:val="0"/>
                  <w:divBdr>
                    <w:top w:val="none" w:sz="0" w:space="0" w:color="auto"/>
                    <w:left w:val="none" w:sz="0" w:space="0" w:color="auto"/>
                    <w:bottom w:val="none" w:sz="0" w:space="0" w:color="auto"/>
                    <w:right w:val="none" w:sz="0" w:space="0" w:color="auto"/>
                  </w:divBdr>
                </w:div>
              </w:divsChild>
            </w:div>
            <w:div w:id="527642947">
              <w:marLeft w:val="0"/>
              <w:marRight w:val="0"/>
              <w:marTop w:val="0"/>
              <w:marBottom w:val="0"/>
              <w:divBdr>
                <w:top w:val="none" w:sz="0" w:space="0" w:color="auto"/>
                <w:left w:val="none" w:sz="0" w:space="0" w:color="auto"/>
                <w:bottom w:val="none" w:sz="0" w:space="0" w:color="auto"/>
                <w:right w:val="none" w:sz="0" w:space="0" w:color="auto"/>
              </w:divBdr>
              <w:divsChild>
                <w:div w:id="159431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50923">
      <w:bodyDiv w:val="1"/>
      <w:marLeft w:val="0"/>
      <w:marRight w:val="0"/>
      <w:marTop w:val="0"/>
      <w:marBottom w:val="0"/>
      <w:divBdr>
        <w:top w:val="none" w:sz="0" w:space="0" w:color="auto"/>
        <w:left w:val="none" w:sz="0" w:space="0" w:color="auto"/>
        <w:bottom w:val="none" w:sz="0" w:space="0" w:color="auto"/>
        <w:right w:val="none" w:sz="0" w:space="0" w:color="auto"/>
      </w:divBdr>
    </w:div>
    <w:div w:id="602029830">
      <w:bodyDiv w:val="1"/>
      <w:marLeft w:val="0"/>
      <w:marRight w:val="0"/>
      <w:marTop w:val="0"/>
      <w:marBottom w:val="0"/>
      <w:divBdr>
        <w:top w:val="none" w:sz="0" w:space="0" w:color="auto"/>
        <w:left w:val="none" w:sz="0" w:space="0" w:color="auto"/>
        <w:bottom w:val="none" w:sz="0" w:space="0" w:color="auto"/>
        <w:right w:val="none" w:sz="0" w:space="0" w:color="auto"/>
      </w:divBdr>
    </w:div>
    <w:div w:id="612522226">
      <w:bodyDiv w:val="1"/>
      <w:marLeft w:val="0"/>
      <w:marRight w:val="0"/>
      <w:marTop w:val="0"/>
      <w:marBottom w:val="0"/>
      <w:divBdr>
        <w:top w:val="none" w:sz="0" w:space="0" w:color="auto"/>
        <w:left w:val="none" w:sz="0" w:space="0" w:color="auto"/>
        <w:bottom w:val="none" w:sz="0" w:space="0" w:color="auto"/>
        <w:right w:val="none" w:sz="0" w:space="0" w:color="auto"/>
      </w:divBdr>
    </w:div>
    <w:div w:id="644818335">
      <w:bodyDiv w:val="1"/>
      <w:marLeft w:val="0"/>
      <w:marRight w:val="0"/>
      <w:marTop w:val="0"/>
      <w:marBottom w:val="0"/>
      <w:divBdr>
        <w:top w:val="none" w:sz="0" w:space="0" w:color="auto"/>
        <w:left w:val="none" w:sz="0" w:space="0" w:color="auto"/>
        <w:bottom w:val="none" w:sz="0" w:space="0" w:color="auto"/>
        <w:right w:val="none" w:sz="0" w:space="0" w:color="auto"/>
      </w:divBdr>
      <w:divsChild>
        <w:div w:id="23528376">
          <w:marLeft w:val="0"/>
          <w:marRight w:val="0"/>
          <w:marTop w:val="0"/>
          <w:marBottom w:val="0"/>
          <w:divBdr>
            <w:top w:val="none" w:sz="0" w:space="0" w:color="auto"/>
            <w:left w:val="none" w:sz="0" w:space="0" w:color="auto"/>
            <w:bottom w:val="none" w:sz="0" w:space="0" w:color="auto"/>
            <w:right w:val="none" w:sz="0" w:space="0" w:color="auto"/>
          </w:divBdr>
          <w:divsChild>
            <w:div w:id="1585143361">
              <w:marLeft w:val="0"/>
              <w:marRight w:val="0"/>
              <w:marTop w:val="0"/>
              <w:marBottom w:val="0"/>
              <w:divBdr>
                <w:top w:val="none" w:sz="0" w:space="0" w:color="auto"/>
                <w:left w:val="none" w:sz="0" w:space="0" w:color="auto"/>
                <w:bottom w:val="none" w:sz="0" w:space="0" w:color="auto"/>
                <w:right w:val="none" w:sz="0" w:space="0" w:color="auto"/>
              </w:divBdr>
            </w:div>
          </w:divsChild>
        </w:div>
        <w:div w:id="824930836">
          <w:marLeft w:val="0"/>
          <w:marRight w:val="0"/>
          <w:marTop w:val="0"/>
          <w:marBottom w:val="0"/>
          <w:divBdr>
            <w:top w:val="none" w:sz="0" w:space="0" w:color="auto"/>
            <w:left w:val="none" w:sz="0" w:space="0" w:color="auto"/>
            <w:bottom w:val="none" w:sz="0" w:space="0" w:color="auto"/>
            <w:right w:val="none" w:sz="0" w:space="0" w:color="auto"/>
          </w:divBdr>
          <w:divsChild>
            <w:div w:id="942954313">
              <w:marLeft w:val="0"/>
              <w:marRight w:val="0"/>
              <w:marTop w:val="0"/>
              <w:marBottom w:val="0"/>
              <w:divBdr>
                <w:top w:val="none" w:sz="0" w:space="0" w:color="auto"/>
                <w:left w:val="none" w:sz="0" w:space="0" w:color="auto"/>
                <w:bottom w:val="none" w:sz="0" w:space="0" w:color="auto"/>
                <w:right w:val="none" w:sz="0" w:space="0" w:color="auto"/>
              </w:divBdr>
            </w:div>
          </w:divsChild>
        </w:div>
        <w:div w:id="1283875522">
          <w:marLeft w:val="0"/>
          <w:marRight w:val="0"/>
          <w:marTop w:val="0"/>
          <w:marBottom w:val="0"/>
          <w:divBdr>
            <w:top w:val="none" w:sz="0" w:space="0" w:color="auto"/>
            <w:left w:val="none" w:sz="0" w:space="0" w:color="auto"/>
            <w:bottom w:val="none" w:sz="0" w:space="0" w:color="auto"/>
            <w:right w:val="none" w:sz="0" w:space="0" w:color="auto"/>
          </w:divBdr>
        </w:div>
      </w:divsChild>
    </w:div>
    <w:div w:id="649020191">
      <w:bodyDiv w:val="1"/>
      <w:marLeft w:val="0"/>
      <w:marRight w:val="0"/>
      <w:marTop w:val="0"/>
      <w:marBottom w:val="0"/>
      <w:divBdr>
        <w:top w:val="none" w:sz="0" w:space="0" w:color="auto"/>
        <w:left w:val="none" w:sz="0" w:space="0" w:color="auto"/>
        <w:bottom w:val="none" w:sz="0" w:space="0" w:color="auto"/>
        <w:right w:val="none" w:sz="0" w:space="0" w:color="auto"/>
      </w:divBdr>
    </w:div>
    <w:div w:id="705713200">
      <w:bodyDiv w:val="1"/>
      <w:marLeft w:val="0"/>
      <w:marRight w:val="0"/>
      <w:marTop w:val="0"/>
      <w:marBottom w:val="0"/>
      <w:divBdr>
        <w:top w:val="none" w:sz="0" w:space="0" w:color="auto"/>
        <w:left w:val="none" w:sz="0" w:space="0" w:color="auto"/>
        <w:bottom w:val="none" w:sz="0" w:space="0" w:color="auto"/>
        <w:right w:val="none" w:sz="0" w:space="0" w:color="auto"/>
      </w:divBdr>
    </w:div>
    <w:div w:id="723530495">
      <w:bodyDiv w:val="1"/>
      <w:marLeft w:val="0"/>
      <w:marRight w:val="0"/>
      <w:marTop w:val="0"/>
      <w:marBottom w:val="0"/>
      <w:divBdr>
        <w:top w:val="none" w:sz="0" w:space="0" w:color="auto"/>
        <w:left w:val="none" w:sz="0" w:space="0" w:color="auto"/>
        <w:bottom w:val="none" w:sz="0" w:space="0" w:color="auto"/>
        <w:right w:val="none" w:sz="0" w:space="0" w:color="auto"/>
      </w:divBdr>
    </w:div>
    <w:div w:id="773204839">
      <w:bodyDiv w:val="1"/>
      <w:marLeft w:val="0"/>
      <w:marRight w:val="0"/>
      <w:marTop w:val="0"/>
      <w:marBottom w:val="0"/>
      <w:divBdr>
        <w:top w:val="none" w:sz="0" w:space="0" w:color="auto"/>
        <w:left w:val="none" w:sz="0" w:space="0" w:color="auto"/>
        <w:bottom w:val="none" w:sz="0" w:space="0" w:color="auto"/>
        <w:right w:val="none" w:sz="0" w:space="0" w:color="auto"/>
      </w:divBdr>
    </w:div>
    <w:div w:id="826094018">
      <w:bodyDiv w:val="1"/>
      <w:marLeft w:val="0"/>
      <w:marRight w:val="0"/>
      <w:marTop w:val="0"/>
      <w:marBottom w:val="0"/>
      <w:divBdr>
        <w:top w:val="none" w:sz="0" w:space="0" w:color="auto"/>
        <w:left w:val="none" w:sz="0" w:space="0" w:color="auto"/>
        <w:bottom w:val="none" w:sz="0" w:space="0" w:color="auto"/>
        <w:right w:val="none" w:sz="0" w:space="0" w:color="auto"/>
      </w:divBdr>
    </w:div>
    <w:div w:id="833380820">
      <w:bodyDiv w:val="1"/>
      <w:marLeft w:val="0"/>
      <w:marRight w:val="0"/>
      <w:marTop w:val="0"/>
      <w:marBottom w:val="0"/>
      <w:divBdr>
        <w:top w:val="none" w:sz="0" w:space="0" w:color="auto"/>
        <w:left w:val="none" w:sz="0" w:space="0" w:color="auto"/>
        <w:bottom w:val="none" w:sz="0" w:space="0" w:color="auto"/>
        <w:right w:val="none" w:sz="0" w:space="0" w:color="auto"/>
      </w:divBdr>
      <w:divsChild>
        <w:div w:id="1495410634">
          <w:marLeft w:val="0"/>
          <w:marRight w:val="0"/>
          <w:marTop w:val="0"/>
          <w:marBottom w:val="0"/>
          <w:divBdr>
            <w:top w:val="none" w:sz="0" w:space="0" w:color="auto"/>
            <w:left w:val="none" w:sz="0" w:space="0" w:color="auto"/>
            <w:bottom w:val="none" w:sz="0" w:space="0" w:color="auto"/>
            <w:right w:val="none" w:sz="0" w:space="0" w:color="auto"/>
          </w:divBdr>
          <w:divsChild>
            <w:div w:id="1070731774">
              <w:marLeft w:val="0"/>
              <w:marRight w:val="0"/>
              <w:marTop w:val="0"/>
              <w:marBottom w:val="0"/>
              <w:divBdr>
                <w:top w:val="none" w:sz="0" w:space="0" w:color="auto"/>
                <w:left w:val="none" w:sz="0" w:space="0" w:color="auto"/>
                <w:bottom w:val="none" w:sz="0" w:space="0" w:color="auto"/>
                <w:right w:val="none" w:sz="0" w:space="0" w:color="auto"/>
              </w:divBdr>
              <w:divsChild>
                <w:div w:id="21441194">
                  <w:marLeft w:val="0"/>
                  <w:marRight w:val="0"/>
                  <w:marTop w:val="0"/>
                  <w:marBottom w:val="0"/>
                  <w:divBdr>
                    <w:top w:val="none" w:sz="0" w:space="0" w:color="auto"/>
                    <w:left w:val="none" w:sz="0" w:space="0" w:color="auto"/>
                    <w:bottom w:val="none" w:sz="0" w:space="0" w:color="auto"/>
                    <w:right w:val="none" w:sz="0" w:space="0" w:color="auto"/>
                  </w:divBdr>
                  <w:divsChild>
                    <w:div w:id="1079985170">
                      <w:marLeft w:val="0"/>
                      <w:marRight w:val="0"/>
                      <w:marTop w:val="0"/>
                      <w:marBottom w:val="0"/>
                      <w:divBdr>
                        <w:top w:val="none" w:sz="0" w:space="0" w:color="auto"/>
                        <w:left w:val="none" w:sz="0" w:space="0" w:color="auto"/>
                        <w:bottom w:val="none" w:sz="0" w:space="0" w:color="auto"/>
                        <w:right w:val="none" w:sz="0" w:space="0" w:color="auto"/>
                      </w:divBdr>
                      <w:divsChild>
                        <w:div w:id="779911102">
                          <w:marLeft w:val="0"/>
                          <w:marRight w:val="0"/>
                          <w:marTop w:val="0"/>
                          <w:marBottom w:val="0"/>
                          <w:divBdr>
                            <w:top w:val="none" w:sz="0" w:space="0" w:color="auto"/>
                            <w:left w:val="none" w:sz="0" w:space="0" w:color="auto"/>
                            <w:bottom w:val="none" w:sz="0" w:space="0" w:color="auto"/>
                            <w:right w:val="none" w:sz="0" w:space="0" w:color="auto"/>
                          </w:divBdr>
                          <w:divsChild>
                            <w:div w:id="438140640">
                              <w:marLeft w:val="0"/>
                              <w:marRight w:val="0"/>
                              <w:marTop w:val="0"/>
                              <w:marBottom w:val="0"/>
                              <w:divBdr>
                                <w:top w:val="none" w:sz="0" w:space="0" w:color="auto"/>
                                <w:left w:val="none" w:sz="0" w:space="0" w:color="auto"/>
                                <w:bottom w:val="none" w:sz="0" w:space="0" w:color="auto"/>
                                <w:right w:val="none" w:sz="0" w:space="0" w:color="auto"/>
                              </w:divBdr>
                            </w:div>
                            <w:div w:id="198142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999883">
          <w:marLeft w:val="0"/>
          <w:marRight w:val="0"/>
          <w:marTop w:val="0"/>
          <w:marBottom w:val="0"/>
          <w:divBdr>
            <w:top w:val="none" w:sz="0" w:space="0" w:color="auto"/>
            <w:left w:val="none" w:sz="0" w:space="0" w:color="auto"/>
            <w:bottom w:val="none" w:sz="0" w:space="0" w:color="auto"/>
            <w:right w:val="none" w:sz="0" w:space="0" w:color="auto"/>
          </w:divBdr>
          <w:divsChild>
            <w:div w:id="1236865458">
              <w:marLeft w:val="0"/>
              <w:marRight w:val="0"/>
              <w:marTop w:val="0"/>
              <w:marBottom w:val="0"/>
              <w:divBdr>
                <w:top w:val="none" w:sz="0" w:space="0" w:color="auto"/>
                <w:left w:val="none" w:sz="0" w:space="0" w:color="auto"/>
                <w:bottom w:val="none" w:sz="0" w:space="0" w:color="auto"/>
                <w:right w:val="none" w:sz="0" w:space="0" w:color="auto"/>
              </w:divBdr>
              <w:divsChild>
                <w:div w:id="103816696">
                  <w:marLeft w:val="0"/>
                  <w:marRight w:val="0"/>
                  <w:marTop w:val="0"/>
                  <w:marBottom w:val="0"/>
                  <w:divBdr>
                    <w:top w:val="none" w:sz="0" w:space="0" w:color="auto"/>
                    <w:left w:val="none" w:sz="0" w:space="0" w:color="auto"/>
                    <w:bottom w:val="none" w:sz="0" w:space="0" w:color="auto"/>
                    <w:right w:val="none" w:sz="0" w:space="0" w:color="auto"/>
                  </w:divBdr>
                  <w:divsChild>
                    <w:div w:id="235365561">
                      <w:marLeft w:val="0"/>
                      <w:marRight w:val="0"/>
                      <w:marTop w:val="0"/>
                      <w:marBottom w:val="0"/>
                      <w:divBdr>
                        <w:top w:val="none" w:sz="0" w:space="0" w:color="auto"/>
                        <w:left w:val="none" w:sz="0" w:space="0" w:color="auto"/>
                        <w:bottom w:val="none" w:sz="0" w:space="0" w:color="auto"/>
                        <w:right w:val="none" w:sz="0" w:space="0" w:color="auto"/>
                      </w:divBdr>
                      <w:divsChild>
                        <w:div w:id="1719276132">
                          <w:marLeft w:val="0"/>
                          <w:marRight w:val="0"/>
                          <w:marTop w:val="0"/>
                          <w:marBottom w:val="0"/>
                          <w:divBdr>
                            <w:top w:val="none" w:sz="0" w:space="0" w:color="auto"/>
                            <w:left w:val="none" w:sz="0" w:space="0" w:color="auto"/>
                            <w:bottom w:val="none" w:sz="0" w:space="0" w:color="auto"/>
                            <w:right w:val="none" w:sz="0" w:space="0" w:color="auto"/>
                          </w:divBdr>
                        </w:div>
                      </w:divsChild>
                    </w:div>
                    <w:div w:id="963654286">
                      <w:marLeft w:val="0"/>
                      <w:marRight w:val="0"/>
                      <w:marTop w:val="0"/>
                      <w:marBottom w:val="0"/>
                      <w:divBdr>
                        <w:top w:val="none" w:sz="0" w:space="0" w:color="auto"/>
                        <w:left w:val="none" w:sz="0" w:space="0" w:color="auto"/>
                        <w:bottom w:val="none" w:sz="0" w:space="0" w:color="auto"/>
                        <w:right w:val="none" w:sz="0" w:space="0" w:color="auto"/>
                      </w:divBdr>
                      <w:divsChild>
                        <w:div w:id="19010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4846">
                  <w:marLeft w:val="0"/>
                  <w:marRight w:val="0"/>
                  <w:marTop w:val="0"/>
                  <w:marBottom w:val="0"/>
                  <w:divBdr>
                    <w:top w:val="none" w:sz="0" w:space="0" w:color="auto"/>
                    <w:left w:val="none" w:sz="0" w:space="0" w:color="auto"/>
                    <w:bottom w:val="none" w:sz="0" w:space="0" w:color="auto"/>
                    <w:right w:val="none" w:sz="0" w:space="0" w:color="auto"/>
                  </w:divBdr>
                  <w:divsChild>
                    <w:div w:id="911893795">
                      <w:marLeft w:val="0"/>
                      <w:marRight w:val="0"/>
                      <w:marTop w:val="0"/>
                      <w:marBottom w:val="0"/>
                      <w:divBdr>
                        <w:top w:val="none" w:sz="0" w:space="0" w:color="auto"/>
                        <w:left w:val="none" w:sz="0" w:space="0" w:color="auto"/>
                        <w:bottom w:val="none" w:sz="0" w:space="0" w:color="auto"/>
                        <w:right w:val="none" w:sz="0" w:space="0" w:color="auto"/>
                      </w:divBdr>
                    </w:div>
                  </w:divsChild>
                </w:div>
                <w:div w:id="580141773">
                  <w:marLeft w:val="0"/>
                  <w:marRight w:val="0"/>
                  <w:marTop w:val="0"/>
                  <w:marBottom w:val="0"/>
                  <w:divBdr>
                    <w:top w:val="none" w:sz="0" w:space="0" w:color="auto"/>
                    <w:left w:val="none" w:sz="0" w:space="0" w:color="auto"/>
                    <w:bottom w:val="none" w:sz="0" w:space="0" w:color="auto"/>
                    <w:right w:val="none" w:sz="0" w:space="0" w:color="auto"/>
                  </w:divBdr>
                  <w:divsChild>
                    <w:div w:id="393043464">
                      <w:marLeft w:val="0"/>
                      <w:marRight w:val="0"/>
                      <w:marTop w:val="0"/>
                      <w:marBottom w:val="0"/>
                      <w:divBdr>
                        <w:top w:val="none" w:sz="0" w:space="0" w:color="auto"/>
                        <w:left w:val="none" w:sz="0" w:space="0" w:color="auto"/>
                        <w:bottom w:val="none" w:sz="0" w:space="0" w:color="auto"/>
                        <w:right w:val="none" w:sz="0" w:space="0" w:color="auto"/>
                      </w:divBdr>
                      <w:divsChild>
                        <w:div w:id="66810585">
                          <w:marLeft w:val="0"/>
                          <w:marRight w:val="0"/>
                          <w:marTop w:val="0"/>
                          <w:marBottom w:val="0"/>
                          <w:divBdr>
                            <w:top w:val="none" w:sz="0" w:space="0" w:color="auto"/>
                            <w:left w:val="none" w:sz="0" w:space="0" w:color="auto"/>
                            <w:bottom w:val="none" w:sz="0" w:space="0" w:color="auto"/>
                            <w:right w:val="none" w:sz="0" w:space="0" w:color="auto"/>
                          </w:divBdr>
                        </w:div>
                      </w:divsChild>
                    </w:div>
                    <w:div w:id="1335760058">
                      <w:marLeft w:val="0"/>
                      <w:marRight w:val="0"/>
                      <w:marTop w:val="0"/>
                      <w:marBottom w:val="0"/>
                      <w:divBdr>
                        <w:top w:val="none" w:sz="0" w:space="0" w:color="auto"/>
                        <w:left w:val="none" w:sz="0" w:space="0" w:color="auto"/>
                        <w:bottom w:val="none" w:sz="0" w:space="0" w:color="auto"/>
                        <w:right w:val="none" w:sz="0" w:space="0" w:color="auto"/>
                      </w:divBdr>
                      <w:divsChild>
                        <w:div w:id="21128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05994">
          <w:marLeft w:val="0"/>
          <w:marRight w:val="0"/>
          <w:marTop w:val="0"/>
          <w:marBottom w:val="0"/>
          <w:divBdr>
            <w:top w:val="none" w:sz="0" w:space="0" w:color="auto"/>
            <w:left w:val="none" w:sz="0" w:space="0" w:color="auto"/>
            <w:bottom w:val="none" w:sz="0" w:space="0" w:color="auto"/>
            <w:right w:val="none" w:sz="0" w:space="0" w:color="auto"/>
          </w:divBdr>
          <w:divsChild>
            <w:div w:id="1564098140">
              <w:marLeft w:val="0"/>
              <w:marRight w:val="0"/>
              <w:marTop w:val="0"/>
              <w:marBottom w:val="0"/>
              <w:divBdr>
                <w:top w:val="none" w:sz="0" w:space="0" w:color="auto"/>
                <w:left w:val="none" w:sz="0" w:space="0" w:color="auto"/>
                <w:bottom w:val="none" w:sz="0" w:space="0" w:color="auto"/>
                <w:right w:val="none" w:sz="0" w:space="0" w:color="auto"/>
              </w:divBdr>
              <w:divsChild>
                <w:div w:id="282424234">
                  <w:marLeft w:val="0"/>
                  <w:marRight w:val="0"/>
                  <w:marTop w:val="0"/>
                  <w:marBottom w:val="0"/>
                  <w:divBdr>
                    <w:top w:val="none" w:sz="0" w:space="0" w:color="auto"/>
                    <w:left w:val="none" w:sz="0" w:space="0" w:color="auto"/>
                    <w:bottom w:val="none" w:sz="0" w:space="0" w:color="auto"/>
                    <w:right w:val="none" w:sz="0" w:space="0" w:color="auto"/>
                  </w:divBdr>
                  <w:divsChild>
                    <w:div w:id="1458915213">
                      <w:marLeft w:val="0"/>
                      <w:marRight w:val="0"/>
                      <w:marTop w:val="0"/>
                      <w:marBottom w:val="0"/>
                      <w:divBdr>
                        <w:top w:val="none" w:sz="0" w:space="0" w:color="auto"/>
                        <w:left w:val="none" w:sz="0" w:space="0" w:color="auto"/>
                        <w:bottom w:val="none" w:sz="0" w:space="0" w:color="auto"/>
                        <w:right w:val="none" w:sz="0" w:space="0" w:color="auto"/>
                      </w:divBdr>
                      <w:divsChild>
                        <w:div w:id="86311104">
                          <w:marLeft w:val="0"/>
                          <w:marRight w:val="0"/>
                          <w:marTop w:val="0"/>
                          <w:marBottom w:val="0"/>
                          <w:divBdr>
                            <w:top w:val="none" w:sz="0" w:space="0" w:color="auto"/>
                            <w:left w:val="none" w:sz="0" w:space="0" w:color="auto"/>
                            <w:bottom w:val="none" w:sz="0" w:space="0" w:color="auto"/>
                            <w:right w:val="none" w:sz="0" w:space="0" w:color="auto"/>
                          </w:divBdr>
                          <w:divsChild>
                            <w:div w:id="3815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744686">
      <w:bodyDiv w:val="1"/>
      <w:marLeft w:val="0"/>
      <w:marRight w:val="0"/>
      <w:marTop w:val="0"/>
      <w:marBottom w:val="0"/>
      <w:divBdr>
        <w:top w:val="none" w:sz="0" w:space="0" w:color="auto"/>
        <w:left w:val="none" w:sz="0" w:space="0" w:color="auto"/>
        <w:bottom w:val="none" w:sz="0" w:space="0" w:color="auto"/>
        <w:right w:val="none" w:sz="0" w:space="0" w:color="auto"/>
      </w:divBdr>
    </w:div>
    <w:div w:id="983973646">
      <w:bodyDiv w:val="1"/>
      <w:marLeft w:val="0"/>
      <w:marRight w:val="0"/>
      <w:marTop w:val="0"/>
      <w:marBottom w:val="0"/>
      <w:divBdr>
        <w:top w:val="none" w:sz="0" w:space="0" w:color="auto"/>
        <w:left w:val="none" w:sz="0" w:space="0" w:color="auto"/>
        <w:bottom w:val="none" w:sz="0" w:space="0" w:color="auto"/>
        <w:right w:val="none" w:sz="0" w:space="0" w:color="auto"/>
      </w:divBdr>
      <w:divsChild>
        <w:div w:id="1645503373">
          <w:marLeft w:val="0"/>
          <w:marRight w:val="0"/>
          <w:marTop w:val="0"/>
          <w:marBottom w:val="0"/>
          <w:divBdr>
            <w:top w:val="none" w:sz="0" w:space="0" w:color="auto"/>
            <w:left w:val="none" w:sz="0" w:space="0" w:color="auto"/>
            <w:bottom w:val="none" w:sz="0" w:space="0" w:color="auto"/>
            <w:right w:val="none" w:sz="0" w:space="0" w:color="auto"/>
          </w:divBdr>
          <w:divsChild>
            <w:div w:id="9613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5989">
      <w:bodyDiv w:val="1"/>
      <w:marLeft w:val="0"/>
      <w:marRight w:val="0"/>
      <w:marTop w:val="0"/>
      <w:marBottom w:val="0"/>
      <w:divBdr>
        <w:top w:val="none" w:sz="0" w:space="0" w:color="auto"/>
        <w:left w:val="none" w:sz="0" w:space="0" w:color="auto"/>
        <w:bottom w:val="none" w:sz="0" w:space="0" w:color="auto"/>
        <w:right w:val="none" w:sz="0" w:space="0" w:color="auto"/>
      </w:divBdr>
    </w:div>
    <w:div w:id="1051616641">
      <w:bodyDiv w:val="1"/>
      <w:marLeft w:val="0"/>
      <w:marRight w:val="0"/>
      <w:marTop w:val="0"/>
      <w:marBottom w:val="0"/>
      <w:divBdr>
        <w:top w:val="none" w:sz="0" w:space="0" w:color="auto"/>
        <w:left w:val="none" w:sz="0" w:space="0" w:color="auto"/>
        <w:bottom w:val="none" w:sz="0" w:space="0" w:color="auto"/>
        <w:right w:val="none" w:sz="0" w:space="0" w:color="auto"/>
      </w:divBdr>
    </w:div>
    <w:div w:id="1066533538">
      <w:bodyDiv w:val="1"/>
      <w:marLeft w:val="0"/>
      <w:marRight w:val="0"/>
      <w:marTop w:val="0"/>
      <w:marBottom w:val="0"/>
      <w:divBdr>
        <w:top w:val="none" w:sz="0" w:space="0" w:color="auto"/>
        <w:left w:val="none" w:sz="0" w:space="0" w:color="auto"/>
        <w:bottom w:val="none" w:sz="0" w:space="0" w:color="auto"/>
        <w:right w:val="none" w:sz="0" w:space="0" w:color="auto"/>
      </w:divBdr>
    </w:div>
    <w:div w:id="1146967392">
      <w:bodyDiv w:val="1"/>
      <w:marLeft w:val="0"/>
      <w:marRight w:val="0"/>
      <w:marTop w:val="0"/>
      <w:marBottom w:val="0"/>
      <w:divBdr>
        <w:top w:val="none" w:sz="0" w:space="0" w:color="auto"/>
        <w:left w:val="none" w:sz="0" w:space="0" w:color="auto"/>
        <w:bottom w:val="none" w:sz="0" w:space="0" w:color="auto"/>
        <w:right w:val="none" w:sz="0" w:space="0" w:color="auto"/>
      </w:divBdr>
    </w:div>
    <w:div w:id="1155612954">
      <w:bodyDiv w:val="1"/>
      <w:marLeft w:val="0"/>
      <w:marRight w:val="0"/>
      <w:marTop w:val="0"/>
      <w:marBottom w:val="0"/>
      <w:divBdr>
        <w:top w:val="none" w:sz="0" w:space="0" w:color="auto"/>
        <w:left w:val="none" w:sz="0" w:space="0" w:color="auto"/>
        <w:bottom w:val="none" w:sz="0" w:space="0" w:color="auto"/>
        <w:right w:val="none" w:sz="0" w:space="0" w:color="auto"/>
      </w:divBdr>
    </w:div>
    <w:div w:id="1181621521">
      <w:bodyDiv w:val="1"/>
      <w:marLeft w:val="0"/>
      <w:marRight w:val="0"/>
      <w:marTop w:val="0"/>
      <w:marBottom w:val="0"/>
      <w:divBdr>
        <w:top w:val="none" w:sz="0" w:space="0" w:color="auto"/>
        <w:left w:val="none" w:sz="0" w:space="0" w:color="auto"/>
        <w:bottom w:val="none" w:sz="0" w:space="0" w:color="auto"/>
        <w:right w:val="none" w:sz="0" w:space="0" w:color="auto"/>
      </w:divBdr>
      <w:divsChild>
        <w:div w:id="634722301">
          <w:marLeft w:val="0"/>
          <w:marRight w:val="0"/>
          <w:marTop w:val="0"/>
          <w:marBottom w:val="0"/>
          <w:divBdr>
            <w:top w:val="none" w:sz="0" w:space="0" w:color="auto"/>
            <w:left w:val="none" w:sz="0" w:space="0" w:color="auto"/>
            <w:bottom w:val="none" w:sz="0" w:space="0" w:color="auto"/>
            <w:right w:val="none" w:sz="0" w:space="0" w:color="auto"/>
          </w:divBdr>
        </w:div>
        <w:div w:id="1705906559">
          <w:marLeft w:val="0"/>
          <w:marRight w:val="0"/>
          <w:marTop w:val="0"/>
          <w:marBottom w:val="0"/>
          <w:divBdr>
            <w:top w:val="none" w:sz="0" w:space="0" w:color="auto"/>
            <w:left w:val="none" w:sz="0" w:space="0" w:color="auto"/>
            <w:bottom w:val="none" w:sz="0" w:space="0" w:color="auto"/>
            <w:right w:val="none" w:sz="0" w:space="0" w:color="auto"/>
          </w:divBdr>
        </w:div>
      </w:divsChild>
    </w:div>
    <w:div w:id="1213688632">
      <w:bodyDiv w:val="1"/>
      <w:marLeft w:val="0"/>
      <w:marRight w:val="0"/>
      <w:marTop w:val="0"/>
      <w:marBottom w:val="0"/>
      <w:divBdr>
        <w:top w:val="none" w:sz="0" w:space="0" w:color="auto"/>
        <w:left w:val="none" w:sz="0" w:space="0" w:color="auto"/>
        <w:bottom w:val="none" w:sz="0" w:space="0" w:color="auto"/>
        <w:right w:val="none" w:sz="0" w:space="0" w:color="auto"/>
      </w:divBdr>
    </w:div>
    <w:div w:id="1224871686">
      <w:bodyDiv w:val="1"/>
      <w:marLeft w:val="0"/>
      <w:marRight w:val="0"/>
      <w:marTop w:val="0"/>
      <w:marBottom w:val="0"/>
      <w:divBdr>
        <w:top w:val="none" w:sz="0" w:space="0" w:color="auto"/>
        <w:left w:val="none" w:sz="0" w:space="0" w:color="auto"/>
        <w:bottom w:val="none" w:sz="0" w:space="0" w:color="auto"/>
        <w:right w:val="none" w:sz="0" w:space="0" w:color="auto"/>
      </w:divBdr>
    </w:div>
    <w:div w:id="1279262967">
      <w:bodyDiv w:val="1"/>
      <w:marLeft w:val="0"/>
      <w:marRight w:val="0"/>
      <w:marTop w:val="0"/>
      <w:marBottom w:val="0"/>
      <w:divBdr>
        <w:top w:val="none" w:sz="0" w:space="0" w:color="auto"/>
        <w:left w:val="none" w:sz="0" w:space="0" w:color="auto"/>
        <w:bottom w:val="none" w:sz="0" w:space="0" w:color="auto"/>
        <w:right w:val="none" w:sz="0" w:space="0" w:color="auto"/>
      </w:divBdr>
      <w:divsChild>
        <w:div w:id="1411924001">
          <w:marLeft w:val="0"/>
          <w:marRight w:val="0"/>
          <w:marTop w:val="0"/>
          <w:marBottom w:val="0"/>
          <w:divBdr>
            <w:top w:val="none" w:sz="0" w:space="0" w:color="auto"/>
            <w:left w:val="none" w:sz="0" w:space="0" w:color="auto"/>
            <w:bottom w:val="none" w:sz="0" w:space="0" w:color="auto"/>
            <w:right w:val="none" w:sz="0" w:space="0" w:color="auto"/>
          </w:divBdr>
          <w:divsChild>
            <w:div w:id="1759980933">
              <w:marLeft w:val="0"/>
              <w:marRight w:val="0"/>
              <w:marTop w:val="0"/>
              <w:marBottom w:val="0"/>
              <w:divBdr>
                <w:top w:val="none" w:sz="0" w:space="0" w:color="auto"/>
                <w:left w:val="none" w:sz="0" w:space="0" w:color="auto"/>
                <w:bottom w:val="none" w:sz="0" w:space="0" w:color="auto"/>
                <w:right w:val="none" w:sz="0" w:space="0" w:color="auto"/>
              </w:divBdr>
              <w:divsChild>
                <w:div w:id="8870349">
                  <w:marLeft w:val="0"/>
                  <w:marRight w:val="0"/>
                  <w:marTop w:val="0"/>
                  <w:marBottom w:val="0"/>
                  <w:divBdr>
                    <w:top w:val="none" w:sz="0" w:space="0" w:color="auto"/>
                    <w:left w:val="none" w:sz="0" w:space="0" w:color="auto"/>
                    <w:bottom w:val="none" w:sz="0" w:space="0" w:color="auto"/>
                    <w:right w:val="none" w:sz="0" w:space="0" w:color="auto"/>
                  </w:divBdr>
                  <w:divsChild>
                    <w:div w:id="263536034">
                      <w:marLeft w:val="0"/>
                      <w:marRight w:val="0"/>
                      <w:marTop w:val="0"/>
                      <w:marBottom w:val="0"/>
                      <w:divBdr>
                        <w:top w:val="none" w:sz="0" w:space="0" w:color="auto"/>
                        <w:left w:val="none" w:sz="0" w:space="0" w:color="auto"/>
                        <w:bottom w:val="none" w:sz="0" w:space="0" w:color="auto"/>
                        <w:right w:val="none" w:sz="0" w:space="0" w:color="auto"/>
                      </w:divBdr>
                    </w:div>
                  </w:divsChild>
                </w:div>
                <w:div w:id="374501822">
                  <w:marLeft w:val="0"/>
                  <w:marRight w:val="0"/>
                  <w:marTop w:val="0"/>
                  <w:marBottom w:val="0"/>
                  <w:divBdr>
                    <w:top w:val="none" w:sz="0" w:space="0" w:color="auto"/>
                    <w:left w:val="none" w:sz="0" w:space="0" w:color="auto"/>
                    <w:bottom w:val="none" w:sz="0" w:space="0" w:color="auto"/>
                    <w:right w:val="none" w:sz="0" w:space="0" w:color="auto"/>
                  </w:divBdr>
                  <w:divsChild>
                    <w:div w:id="120153532">
                      <w:marLeft w:val="0"/>
                      <w:marRight w:val="0"/>
                      <w:marTop w:val="0"/>
                      <w:marBottom w:val="0"/>
                      <w:divBdr>
                        <w:top w:val="none" w:sz="0" w:space="0" w:color="auto"/>
                        <w:left w:val="none" w:sz="0" w:space="0" w:color="auto"/>
                        <w:bottom w:val="none" w:sz="0" w:space="0" w:color="auto"/>
                        <w:right w:val="none" w:sz="0" w:space="0" w:color="auto"/>
                      </w:divBdr>
                      <w:divsChild>
                        <w:div w:id="1308826549">
                          <w:marLeft w:val="0"/>
                          <w:marRight w:val="0"/>
                          <w:marTop w:val="0"/>
                          <w:marBottom w:val="0"/>
                          <w:divBdr>
                            <w:top w:val="none" w:sz="0" w:space="0" w:color="auto"/>
                            <w:left w:val="none" w:sz="0" w:space="0" w:color="auto"/>
                            <w:bottom w:val="none" w:sz="0" w:space="0" w:color="auto"/>
                            <w:right w:val="none" w:sz="0" w:space="0" w:color="auto"/>
                          </w:divBdr>
                        </w:div>
                      </w:divsChild>
                    </w:div>
                    <w:div w:id="396174491">
                      <w:marLeft w:val="0"/>
                      <w:marRight w:val="0"/>
                      <w:marTop w:val="0"/>
                      <w:marBottom w:val="0"/>
                      <w:divBdr>
                        <w:top w:val="none" w:sz="0" w:space="0" w:color="auto"/>
                        <w:left w:val="none" w:sz="0" w:space="0" w:color="auto"/>
                        <w:bottom w:val="none" w:sz="0" w:space="0" w:color="auto"/>
                        <w:right w:val="none" w:sz="0" w:space="0" w:color="auto"/>
                      </w:divBdr>
                      <w:divsChild>
                        <w:div w:id="38884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85999">
                  <w:marLeft w:val="0"/>
                  <w:marRight w:val="0"/>
                  <w:marTop w:val="0"/>
                  <w:marBottom w:val="0"/>
                  <w:divBdr>
                    <w:top w:val="none" w:sz="0" w:space="0" w:color="auto"/>
                    <w:left w:val="none" w:sz="0" w:space="0" w:color="auto"/>
                    <w:bottom w:val="none" w:sz="0" w:space="0" w:color="auto"/>
                    <w:right w:val="none" w:sz="0" w:space="0" w:color="auto"/>
                  </w:divBdr>
                  <w:divsChild>
                    <w:div w:id="338776590">
                      <w:marLeft w:val="0"/>
                      <w:marRight w:val="0"/>
                      <w:marTop w:val="0"/>
                      <w:marBottom w:val="0"/>
                      <w:divBdr>
                        <w:top w:val="none" w:sz="0" w:space="0" w:color="auto"/>
                        <w:left w:val="none" w:sz="0" w:space="0" w:color="auto"/>
                        <w:bottom w:val="none" w:sz="0" w:space="0" w:color="auto"/>
                        <w:right w:val="none" w:sz="0" w:space="0" w:color="auto"/>
                      </w:divBdr>
                      <w:divsChild>
                        <w:div w:id="721445281">
                          <w:marLeft w:val="0"/>
                          <w:marRight w:val="0"/>
                          <w:marTop w:val="0"/>
                          <w:marBottom w:val="0"/>
                          <w:divBdr>
                            <w:top w:val="none" w:sz="0" w:space="0" w:color="auto"/>
                            <w:left w:val="none" w:sz="0" w:space="0" w:color="auto"/>
                            <w:bottom w:val="none" w:sz="0" w:space="0" w:color="auto"/>
                            <w:right w:val="none" w:sz="0" w:space="0" w:color="auto"/>
                          </w:divBdr>
                        </w:div>
                      </w:divsChild>
                    </w:div>
                    <w:div w:id="2097896747">
                      <w:marLeft w:val="0"/>
                      <w:marRight w:val="0"/>
                      <w:marTop w:val="0"/>
                      <w:marBottom w:val="0"/>
                      <w:divBdr>
                        <w:top w:val="none" w:sz="0" w:space="0" w:color="auto"/>
                        <w:left w:val="none" w:sz="0" w:space="0" w:color="auto"/>
                        <w:bottom w:val="none" w:sz="0" w:space="0" w:color="auto"/>
                        <w:right w:val="none" w:sz="0" w:space="0" w:color="auto"/>
                      </w:divBdr>
                      <w:divsChild>
                        <w:div w:id="42870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06986">
          <w:marLeft w:val="0"/>
          <w:marRight w:val="0"/>
          <w:marTop w:val="0"/>
          <w:marBottom w:val="0"/>
          <w:divBdr>
            <w:top w:val="none" w:sz="0" w:space="0" w:color="auto"/>
            <w:left w:val="none" w:sz="0" w:space="0" w:color="auto"/>
            <w:bottom w:val="none" w:sz="0" w:space="0" w:color="auto"/>
            <w:right w:val="none" w:sz="0" w:space="0" w:color="auto"/>
          </w:divBdr>
          <w:divsChild>
            <w:div w:id="1923828597">
              <w:marLeft w:val="0"/>
              <w:marRight w:val="0"/>
              <w:marTop w:val="0"/>
              <w:marBottom w:val="0"/>
              <w:divBdr>
                <w:top w:val="none" w:sz="0" w:space="0" w:color="auto"/>
                <w:left w:val="none" w:sz="0" w:space="0" w:color="auto"/>
                <w:bottom w:val="none" w:sz="0" w:space="0" w:color="auto"/>
                <w:right w:val="none" w:sz="0" w:space="0" w:color="auto"/>
              </w:divBdr>
              <w:divsChild>
                <w:div w:id="2018968836">
                  <w:marLeft w:val="0"/>
                  <w:marRight w:val="0"/>
                  <w:marTop w:val="0"/>
                  <w:marBottom w:val="0"/>
                  <w:divBdr>
                    <w:top w:val="none" w:sz="0" w:space="0" w:color="auto"/>
                    <w:left w:val="none" w:sz="0" w:space="0" w:color="auto"/>
                    <w:bottom w:val="none" w:sz="0" w:space="0" w:color="auto"/>
                    <w:right w:val="none" w:sz="0" w:space="0" w:color="auto"/>
                  </w:divBdr>
                  <w:divsChild>
                    <w:div w:id="680013643">
                      <w:marLeft w:val="0"/>
                      <w:marRight w:val="0"/>
                      <w:marTop w:val="0"/>
                      <w:marBottom w:val="0"/>
                      <w:divBdr>
                        <w:top w:val="none" w:sz="0" w:space="0" w:color="auto"/>
                        <w:left w:val="none" w:sz="0" w:space="0" w:color="auto"/>
                        <w:bottom w:val="none" w:sz="0" w:space="0" w:color="auto"/>
                        <w:right w:val="none" w:sz="0" w:space="0" w:color="auto"/>
                      </w:divBdr>
                      <w:divsChild>
                        <w:div w:id="2105299935">
                          <w:marLeft w:val="0"/>
                          <w:marRight w:val="0"/>
                          <w:marTop w:val="0"/>
                          <w:marBottom w:val="0"/>
                          <w:divBdr>
                            <w:top w:val="none" w:sz="0" w:space="0" w:color="auto"/>
                            <w:left w:val="none" w:sz="0" w:space="0" w:color="auto"/>
                            <w:bottom w:val="none" w:sz="0" w:space="0" w:color="auto"/>
                            <w:right w:val="none" w:sz="0" w:space="0" w:color="auto"/>
                          </w:divBdr>
                          <w:divsChild>
                            <w:div w:id="1097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588334">
          <w:marLeft w:val="0"/>
          <w:marRight w:val="0"/>
          <w:marTop w:val="0"/>
          <w:marBottom w:val="0"/>
          <w:divBdr>
            <w:top w:val="none" w:sz="0" w:space="0" w:color="auto"/>
            <w:left w:val="none" w:sz="0" w:space="0" w:color="auto"/>
            <w:bottom w:val="none" w:sz="0" w:space="0" w:color="auto"/>
            <w:right w:val="none" w:sz="0" w:space="0" w:color="auto"/>
          </w:divBdr>
          <w:divsChild>
            <w:div w:id="252055960">
              <w:marLeft w:val="0"/>
              <w:marRight w:val="0"/>
              <w:marTop w:val="0"/>
              <w:marBottom w:val="0"/>
              <w:divBdr>
                <w:top w:val="none" w:sz="0" w:space="0" w:color="auto"/>
                <w:left w:val="none" w:sz="0" w:space="0" w:color="auto"/>
                <w:bottom w:val="none" w:sz="0" w:space="0" w:color="auto"/>
                <w:right w:val="none" w:sz="0" w:space="0" w:color="auto"/>
              </w:divBdr>
              <w:divsChild>
                <w:div w:id="914626832">
                  <w:marLeft w:val="0"/>
                  <w:marRight w:val="0"/>
                  <w:marTop w:val="0"/>
                  <w:marBottom w:val="0"/>
                  <w:divBdr>
                    <w:top w:val="none" w:sz="0" w:space="0" w:color="auto"/>
                    <w:left w:val="none" w:sz="0" w:space="0" w:color="auto"/>
                    <w:bottom w:val="none" w:sz="0" w:space="0" w:color="auto"/>
                    <w:right w:val="none" w:sz="0" w:space="0" w:color="auto"/>
                  </w:divBdr>
                  <w:divsChild>
                    <w:div w:id="1117483241">
                      <w:marLeft w:val="0"/>
                      <w:marRight w:val="0"/>
                      <w:marTop w:val="0"/>
                      <w:marBottom w:val="0"/>
                      <w:divBdr>
                        <w:top w:val="none" w:sz="0" w:space="0" w:color="auto"/>
                        <w:left w:val="none" w:sz="0" w:space="0" w:color="auto"/>
                        <w:bottom w:val="none" w:sz="0" w:space="0" w:color="auto"/>
                        <w:right w:val="none" w:sz="0" w:space="0" w:color="auto"/>
                      </w:divBdr>
                      <w:divsChild>
                        <w:div w:id="1875925410">
                          <w:marLeft w:val="0"/>
                          <w:marRight w:val="0"/>
                          <w:marTop w:val="0"/>
                          <w:marBottom w:val="0"/>
                          <w:divBdr>
                            <w:top w:val="none" w:sz="0" w:space="0" w:color="auto"/>
                            <w:left w:val="none" w:sz="0" w:space="0" w:color="auto"/>
                            <w:bottom w:val="none" w:sz="0" w:space="0" w:color="auto"/>
                            <w:right w:val="none" w:sz="0" w:space="0" w:color="auto"/>
                          </w:divBdr>
                          <w:divsChild>
                            <w:div w:id="868952105">
                              <w:marLeft w:val="0"/>
                              <w:marRight w:val="0"/>
                              <w:marTop w:val="0"/>
                              <w:marBottom w:val="0"/>
                              <w:divBdr>
                                <w:top w:val="none" w:sz="0" w:space="0" w:color="auto"/>
                                <w:left w:val="none" w:sz="0" w:space="0" w:color="auto"/>
                                <w:bottom w:val="none" w:sz="0" w:space="0" w:color="auto"/>
                                <w:right w:val="none" w:sz="0" w:space="0" w:color="auto"/>
                              </w:divBdr>
                            </w:div>
                            <w:div w:id="100089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531851">
      <w:bodyDiv w:val="1"/>
      <w:marLeft w:val="0"/>
      <w:marRight w:val="0"/>
      <w:marTop w:val="0"/>
      <w:marBottom w:val="0"/>
      <w:divBdr>
        <w:top w:val="none" w:sz="0" w:space="0" w:color="auto"/>
        <w:left w:val="none" w:sz="0" w:space="0" w:color="auto"/>
        <w:bottom w:val="none" w:sz="0" w:space="0" w:color="auto"/>
        <w:right w:val="none" w:sz="0" w:space="0" w:color="auto"/>
      </w:divBdr>
    </w:div>
    <w:div w:id="1303465001">
      <w:bodyDiv w:val="1"/>
      <w:marLeft w:val="0"/>
      <w:marRight w:val="0"/>
      <w:marTop w:val="0"/>
      <w:marBottom w:val="0"/>
      <w:divBdr>
        <w:top w:val="none" w:sz="0" w:space="0" w:color="auto"/>
        <w:left w:val="none" w:sz="0" w:space="0" w:color="auto"/>
        <w:bottom w:val="none" w:sz="0" w:space="0" w:color="auto"/>
        <w:right w:val="none" w:sz="0" w:space="0" w:color="auto"/>
      </w:divBdr>
    </w:div>
    <w:div w:id="1314598756">
      <w:bodyDiv w:val="1"/>
      <w:marLeft w:val="0"/>
      <w:marRight w:val="0"/>
      <w:marTop w:val="0"/>
      <w:marBottom w:val="0"/>
      <w:divBdr>
        <w:top w:val="none" w:sz="0" w:space="0" w:color="auto"/>
        <w:left w:val="none" w:sz="0" w:space="0" w:color="auto"/>
        <w:bottom w:val="none" w:sz="0" w:space="0" w:color="auto"/>
        <w:right w:val="none" w:sz="0" w:space="0" w:color="auto"/>
      </w:divBdr>
    </w:div>
    <w:div w:id="1393427990">
      <w:bodyDiv w:val="1"/>
      <w:marLeft w:val="0"/>
      <w:marRight w:val="0"/>
      <w:marTop w:val="0"/>
      <w:marBottom w:val="0"/>
      <w:divBdr>
        <w:top w:val="none" w:sz="0" w:space="0" w:color="auto"/>
        <w:left w:val="none" w:sz="0" w:space="0" w:color="auto"/>
        <w:bottom w:val="none" w:sz="0" w:space="0" w:color="auto"/>
        <w:right w:val="none" w:sz="0" w:space="0" w:color="auto"/>
      </w:divBdr>
    </w:div>
    <w:div w:id="1636527120">
      <w:bodyDiv w:val="1"/>
      <w:marLeft w:val="0"/>
      <w:marRight w:val="0"/>
      <w:marTop w:val="0"/>
      <w:marBottom w:val="0"/>
      <w:divBdr>
        <w:top w:val="none" w:sz="0" w:space="0" w:color="auto"/>
        <w:left w:val="none" w:sz="0" w:space="0" w:color="auto"/>
        <w:bottom w:val="none" w:sz="0" w:space="0" w:color="auto"/>
        <w:right w:val="none" w:sz="0" w:space="0" w:color="auto"/>
      </w:divBdr>
    </w:div>
    <w:div w:id="1693992093">
      <w:bodyDiv w:val="1"/>
      <w:marLeft w:val="0"/>
      <w:marRight w:val="0"/>
      <w:marTop w:val="0"/>
      <w:marBottom w:val="0"/>
      <w:divBdr>
        <w:top w:val="none" w:sz="0" w:space="0" w:color="auto"/>
        <w:left w:val="none" w:sz="0" w:space="0" w:color="auto"/>
        <w:bottom w:val="none" w:sz="0" w:space="0" w:color="auto"/>
        <w:right w:val="none" w:sz="0" w:space="0" w:color="auto"/>
      </w:divBdr>
    </w:div>
    <w:div w:id="1695811003">
      <w:bodyDiv w:val="1"/>
      <w:marLeft w:val="0"/>
      <w:marRight w:val="0"/>
      <w:marTop w:val="0"/>
      <w:marBottom w:val="0"/>
      <w:divBdr>
        <w:top w:val="none" w:sz="0" w:space="0" w:color="auto"/>
        <w:left w:val="none" w:sz="0" w:space="0" w:color="auto"/>
        <w:bottom w:val="none" w:sz="0" w:space="0" w:color="auto"/>
        <w:right w:val="none" w:sz="0" w:space="0" w:color="auto"/>
      </w:divBdr>
    </w:div>
    <w:div w:id="1734431274">
      <w:bodyDiv w:val="1"/>
      <w:marLeft w:val="0"/>
      <w:marRight w:val="0"/>
      <w:marTop w:val="0"/>
      <w:marBottom w:val="0"/>
      <w:divBdr>
        <w:top w:val="none" w:sz="0" w:space="0" w:color="auto"/>
        <w:left w:val="none" w:sz="0" w:space="0" w:color="auto"/>
        <w:bottom w:val="none" w:sz="0" w:space="0" w:color="auto"/>
        <w:right w:val="none" w:sz="0" w:space="0" w:color="auto"/>
      </w:divBdr>
    </w:div>
    <w:div w:id="1735202886">
      <w:bodyDiv w:val="1"/>
      <w:marLeft w:val="0"/>
      <w:marRight w:val="0"/>
      <w:marTop w:val="0"/>
      <w:marBottom w:val="0"/>
      <w:divBdr>
        <w:top w:val="none" w:sz="0" w:space="0" w:color="auto"/>
        <w:left w:val="none" w:sz="0" w:space="0" w:color="auto"/>
        <w:bottom w:val="none" w:sz="0" w:space="0" w:color="auto"/>
        <w:right w:val="none" w:sz="0" w:space="0" w:color="auto"/>
      </w:divBdr>
      <w:divsChild>
        <w:div w:id="1955363141">
          <w:marLeft w:val="0"/>
          <w:marRight w:val="0"/>
          <w:marTop w:val="0"/>
          <w:marBottom w:val="0"/>
          <w:divBdr>
            <w:top w:val="none" w:sz="0" w:space="0" w:color="auto"/>
            <w:left w:val="none" w:sz="0" w:space="0" w:color="auto"/>
            <w:bottom w:val="none" w:sz="0" w:space="0" w:color="auto"/>
            <w:right w:val="none" w:sz="0" w:space="0" w:color="auto"/>
          </w:divBdr>
          <w:divsChild>
            <w:div w:id="2076781354">
              <w:marLeft w:val="0"/>
              <w:marRight w:val="0"/>
              <w:marTop w:val="0"/>
              <w:marBottom w:val="0"/>
              <w:divBdr>
                <w:top w:val="none" w:sz="0" w:space="0" w:color="auto"/>
                <w:left w:val="none" w:sz="0" w:space="0" w:color="auto"/>
                <w:bottom w:val="none" w:sz="0" w:space="0" w:color="auto"/>
                <w:right w:val="none" w:sz="0" w:space="0" w:color="auto"/>
              </w:divBdr>
            </w:div>
          </w:divsChild>
        </w:div>
        <w:div w:id="2002007489">
          <w:marLeft w:val="0"/>
          <w:marRight w:val="0"/>
          <w:marTop w:val="0"/>
          <w:marBottom w:val="0"/>
          <w:divBdr>
            <w:top w:val="none" w:sz="0" w:space="0" w:color="auto"/>
            <w:left w:val="none" w:sz="0" w:space="0" w:color="auto"/>
            <w:bottom w:val="none" w:sz="0" w:space="0" w:color="auto"/>
            <w:right w:val="none" w:sz="0" w:space="0" w:color="auto"/>
          </w:divBdr>
        </w:div>
        <w:div w:id="2039305689">
          <w:marLeft w:val="0"/>
          <w:marRight w:val="0"/>
          <w:marTop w:val="0"/>
          <w:marBottom w:val="0"/>
          <w:divBdr>
            <w:top w:val="none" w:sz="0" w:space="0" w:color="auto"/>
            <w:left w:val="none" w:sz="0" w:space="0" w:color="auto"/>
            <w:bottom w:val="none" w:sz="0" w:space="0" w:color="auto"/>
            <w:right w:val="none" w:sz="0" w:space="0" w:color="auto"/>
          </w:divBdr>
          <w:divsChild>
            <w:div w:id="9351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03860">
      <w:bodyDiv w:val="1"/>
      <w:marLeft w:val="0"/>
      <w:marRight w:val="0"/>
      <w:marTop w:val="0"/>
      <w:marBottom w:val="0"/>
      <w:divBdr>
        <w:top w:val="none" w:sz="0" w:space="0" w:color="auto"/>
        <w:left w:val="none" w:sz="0" w:space="0" w:color="auto"/>
        <w:bottom w:val="none" w:sz="0" w:space="0" w:color="auto"/>
        <w:right w:val="none" w:sz="0" w:space="0" w:color="auto"/>
      </w:divBdr>
    </w:div>
    <w:div w:id="1845239619">
      <w:bodyDiv w:val="1"/>
      <w:marLeft w:val="0"/>
      <w:marRight w:val="0"/>
      <w:marTop w:val="0"/>
      <w:marBottom w:val="0"/>
      <w:divBdr>
        <w:top w:val="none" w:sz="0" w:space="0" w:color="auto"/>
        <w:left w:val="none" w:sz="0" w:space="0" w:color="auto"/>
        <w:bottom w:val="none" w:sz="0" w:space="0" w:color="auto"/>
        <w:right w:val="none" w:sz="0" w:space="0" w:color="auto"/>
      </w:divBdr>
    </w:div>
    <w:div w:id="1878161376">
      <w:bodyDiv w:val="1"/>
      <w:marLeft w:val="0"/>
      <w:marRight w:val="0"/>
      <w:marTop w:val="0"/>
      <w:marBottom w:val="0"/>
      <w:divBdr>
        <w:top w:val="none" w:sz="0" w:space="0" w:color="auto"/>
        <w:left w:val="none" w:sz="0" w:space="0" w:color="auto"/>
        <w:bottom w:val="none" w:sz="0" w:space="0" w:color="auto"/>
        <w:right w:val="none" w:sz="0" w:space="0" w:color="auto"/>
      </w:divBdr>
    </w:div>
    <w:div w:id="1888949996">
      <w:bodyDiv w:val="1"/>
      <w:marLeft w:val="0"/>
      <w:marRight w:val="0"/>
      <w:marTop w:val="0"/>
      <w:marBottom w:val="0"/>
      <w:divBdr>
        <w:top w:val="none" w:sz="0" w:space="0" w:color="auto"/>
        <w:left w:val="none" w:sz="0" w:space="0" w:color="auto"/>
        <w:bottom w:val="none" w:sz="0" w:space="0" w:color="auto"/>
        <w:right w:val="none" w:sz="0" w:space="0" w:color="auto"/>
      </w:divBdr>
    </w:div>
    <w:div w:id="1925066389">
      <w:bodyDiv w:val="1"/>
      <w:marLeft w:val="0"/>
      <w:marRight w:val="0"/>
      <w:marTop w:val="0"/>
      <w:marBottom w:val="0"/>
      <w:divBdr>
        <w:top w:val="none" w:sz="0" w:space="0" w:color="auto"/>
        <w:left w:val="none" w:sz="0" w:space="0" w:color="auto"/>
        <w:bottom w:val="none" w:sz="0" w:space="0" w:color="auto"/>
        <w:right w:val="none" w:sz="0" w:space="0" w:color="auto"/>
      </w:divBdr>
    </w:div>
    <w:div w:id="1993024511">
      <w:bodyDiv w:val="1"/>
      <w:marLeft w:val="0"/>
      <w:marRight w:val="0"/>
      <w:marTop w:val="0"/>
      <w:marBottom w:val="0"/>
      <w:divBdr>
        <w:top w:val="none" w:sz="0" w:space="0" w:color="auto"/>
        <w:left w:val="none" w:sz="0" w:space="0" w:color="auto"/>
        <w:bottom w:val="none" w:sz="0" w:space="0" w:color="auto"/>
        <w:right w:val="none" w:sz="0" w:space="0" w:color="auto"/>
      </w:divBdr>
    </w:div>
    <w:div w:id="20757402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3C3AF-FE29-42AD-A348-5757066FC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15795</Words>
  <Characters>90032</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105616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Szczepanek</dc:creator>
  <cp:lastModifiedBy>xiang li</cp:lastModifiedBy>
  <cp:revision>2</cp:revision>
  <cp:lastPrinted>2020-01-30T04:40:00Z</cp:lastPrinted>
  <dcterms:created xsi:type="dcterms:W3CDTF">2020-06-24T10:17:00Z</dcterms:created>
  <dcterms:modified xsi:type="dcterms:W3CDTF">2020-06-24T10:17:00Z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43952.4439467593</vt:r8>
  </property>
  <property fmtid="{D5CDD505-2E9C-101B-9397-08002B2CF9AE}" pid="4" name="EditTotal">
    <vt:i4>8981</vt:i4>
  </property>
</Properties>
</file>