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DAF8" w14:textId="489191CF" w:rsidR="00FE2F7E" w:rsidRPr="007214E1" w:rsidRDefault="00FE2F7E" w:rsidP="00EB43EE">
      <w:pPr>
        <w:snapToGrid w:val="0"/>
        <w:spacing w:line="360" w:lineRule="auto"/>
        <w:jc w:val="both"/>
        <w:rPr>
          <w:rFonts w:ascii="Book Antiqua" w:hAnsi="Book Antiqua"/>
          <w:b/>
          <w:i/>
        </w:rPr>
      </w:pPr>
      <w:r w:rsidRPr="007214E1">
        <w:rPr>
          <w:rFonts w:ascii="Book Antiqua" w:hAnsi="Book Antiqua"/>
          <w:b/>
        </w:rPr>
        <w:t xml:space="preserve">Name of Journal: </w:t>
      </w:r>
      <w:r w:rsidRPr="007214E1">
        <w:rPr>
          <w:rFonts w:ascii="Book Antiqua" w:hAnsi="Book Antiqua"/>
          <w:i/>
        </w:rPr>
        <w:t xml:space="preserve">World Journal of </w:t>
      </w:r>
      <w:r w:rsidR="002331FB" w:rsidRPr="007214E1">
        <w:rPr>
          <w:rFonts w:ascii="Book Antiqua" w:hAnsi="Book Antiqua"/>
          <w:i/>
        </w:rPr>
        <w:t>Meta-Analysis</w:t>
      </w:r>
    </w:p>
    <w:p w14:paraId="151CEC08" w14:textId="13938E70" w:rsidR="00FE2F7E" w:rsidRPr="007214E1" w:rsidRDefault="00FE2F7E" w:rsidP="00EB43EE">
      <w:pPr>
        <w:snapToGrid w:val="0"/>
        <w:spacing w:line="360" w:lineRule="auto"/>
        <w:jc w:val="both"/>
        <w:rPr>
          <w:rFonts w:ascii="Book Antiqua" w:hAnsi="Book Antiqua"/>
        </w:rPr>
      </w:pPr>
      <w:r w:rsidRPr="007214E1">
        <w:rPr>
          <w:rFonts w:ascii="Book Antiqua" w:hAnsi="Book Antiqua"/>
          <w:b/>
        </w:rPr>
        <w:t xml:space="preserve">Manuscript </w:t>
      </w:r>
      <w:r w:rsidRPr="007214E1">
        <w:rPr>
          <w:rFonts w:ascii="Book Antiqua" w:hAnsi="Book Antiqua"/>
          <w:b/>
          <w:caps/>
        </w:rPr>
        <w:t>No</w:t>
      </w:r>
      <w:r w:rsidRPr="007214E1">
        <w:rPr>
          <w:rFonts w:ascii="Book Antiqua" w:hAnsi="Book Antiqua"/>
          <w:b/>
        </w:rPr>
        <w:t xml:space="preserve">: </w:t>
      </w:r>
      <w:r w:rsidR="002331FB" w:rsidRPr="007214E1">
        <w:rPr>
          <w:rFonts w:ascii="Book Antiqua" w:hAnsi="Book Antiqua"/>
        </w:rPr>
        <w:t>54481</w:t>
      </w:r>
    </w:p>
    <w:p w14:paraId="7784DCA9" w14:textId="5E736676" w:rsidR="00FE2F7E" w:rsidRPr="007214E1" w:rsidRDefault="00FE2F7E" w:rsidP="00EB43EE">
      <w:pPr>
        <w:snapToGrid w:val="0"/>
        <w:spacing w:line="360" w:lineRule="auto"/>
        <w:jc w:val="both"/>
        <w:rPr>
          <w:rFonts w:ascii="Book Antiqua" w:hAnsi="Book Antiqua"/>
          <w:b/>
        </w:rPr>
      </w:pPr>
      <w:r w:rsidRPr="007214E1">
        <w:rPr>
          <w:rFonts w:ascii="Book Antiqua" w:hAnsi="Book Antiqua"/>
          <w:b/>
        </w:rPr>
        <w:t xml:space="preserve">Manuscript Type: </w:t>
      </w:r>
      <w:r w:rsidRPr="007214E1">
        <w:rPr>
          <w:rFonts w:ascii="Book Antiqua" w:hAnsi="Book Antiqua"/>
        </w:rPr>
        <w:t>REVIEW</w:t>
      </w:r>
    </w:p>
    <w:p w14:paraId="3CE8C508" w14:textId="77777777" w:rsidR="002331FB" w:rsidRPr="007214E1" w:rsidRDefault="002331FB" w:rsidP="00EB43EE">
      <w:pPr>
        <w:snapToGrid w:val="0"/>
        <w:spacing w:line="360" w:lineRule="auto"/>
        <w:jc w:val="both"/>
        <w:rPr>
          <w:rFonts w:ascii="Book Antiqua" w:hAnsi="Book Antiqua"/>
          <w:b/>
        </w:rPr>
      </w:pPr>
    </w:p>
    <w:p w14:paraId="58BC6AA0" w14:textId="19B734D9" w:rsidR="00881D18" w:rsidRPr="007214E1" w:rsidRDefault="00881D18" w:rsidP="00EB43EE">
      <w:pPr>
        <w:snapToGrid w:val="0"/>
        <w:spacing w:line="360" w:lineRule="auto"/>
        <w:jc w:val="both"/>
        <w:rPr>
          <w:rFonts w:ascii="Book Antiqua" w:hAnsi="Book Antiqua"/>
          <w:b/>
        </w:rPr>
      </w:pPr>
      <w:r w:rsidRPr="007214E1">
        <w:rPr>
          <w:rFonts w:ascii="Book Antiqua" w:hAnsi="Book Antiqua"/>
          <w:b/>
        </w:rPr>
        <w:t>Immunotherapy in hepatoc</w:t>
      </w:r>
      <w:r w:rsidR="00D80005" w:rsidRPr="007214E1">
        <w:rPr>
          <w:rFonts w:ascii="Book Antiqua" w:hAnsi="Book Antiqua"/>
          <w:b/>
        </w:rPr>
        <w:t>ellular carcinoma: Combination s</w:t>
      </w:r>
      <w:r w:rsidRPr="007214E1">
        <w:rPr>
          <w:rFonts w:ascii="Book Antiqua" w:hAnsi="Book Antiqua"/>
          <w:b/>
        </w:rPr>
        <w:t>trategies</w:t>
      </w:r>
    </w:p>
    <w:p w14:paraId="7F0B2C75" w14:textId="77777777" w:rsidR="002331FB" w:rsidRPr="007214E1" w:rsidRDefault="002331FB" w:rsidP="00EB43EE">
      <w:pPr>
        <w:snapToGrid w:val="0"/>
        <w:spacing w:line="360" w:lineRule="auto"/>
        <w:jc w:val="both"/>
        <w:rPr>
          <w:rFonts w:ascii="Book Antiqua" w:hAnsi="Book Antiqua"/>
          <w:b/>
        </w:rPr>
      </w:pPr>
    </w:p>
    <w:p w14:paraId="607FE5D3" w14:textId="549E6A37" w:rsidR="002331FB" w:rsidRPr="007214E1" w:rsidRDefault="002331FB" w:rsidP="00EB43EE">
      <w:pPr>
        <w:snapToGrid w:val="0"/>
        <w:spacing w:line="360" w:lineRule="auto"/>
        <w:jc w:val="both"/>
        <w:rPr>
          <w:rFonts w:ascii="Book Antiqua" w:hAnsi="Book Antiqua"/>
        </w:rPr>
      </w:pPr>
      <w:r w:rsidRPr="007214E1">
        <w:rPr>
          <w:rFonts w:ascii="Book Antiqua" w:hAnsi="Book Antiqua"/>
        </w:rPr>
        <w:t>Jordan AC</w:t>
      </w:r>
      <w:r w:rsidR="00D80005" w:rsidRPr="007214E1">
        <w:rPr>
          <w:rFonts w:ascii="Book Antiqua" w:hAnsi="Book Antiqua"/>
        </w:rPr>
        <w:t xml:space="preserve"> </w:t>
      </w:r>
      <w:r w:rsidR="00D80005" w:rsidRPr="007214E1">
        <w:rPr>
          <w:rFonts w:ascii="Book Antiqua" w:hAnsi="Book Antiqua"/>
          <w:i/>
        </w:rPr>
        <w:t>et al</w:t>
      </w:r>
      <w:r w:rsidRPr="007214E1">
        <w:rPr>
          <w:rFonts w:ascii="Book Antiqua" w:hAnsi="Book Antiqua"/>
        </w:rPr>
        <w:t>. Immunotherapy in hepatocellular carcinoma</w:t>
      </w:r>
    </w:p>
    <w:p w14:paraId="2BB9C2B0" w14:textId="77777777" w:rsidR="002331FB" w:rsidRPr="007214E1" w:rsidRDefault="002331FB" w:rsidP="00EB43EE">
      <w:pPr>
        <w:snapToGrid w:val="0"/>
        <w:spacing w:line="360" w:lineRule="auto"/>
        <w:jc w:val="both"/>
        <w:rPr>
          <w:rFonts w:ascii="Book Antiqua" w:hAnsi="Book Antiqua"/>
          <w:b/>
        </w:rPr>
      </w:pPr>
    </w:p>
    <w:p w14:paraId="1E96DE0A" w14:textId="13CE3215" w:rsidR="00FE2F7E" w:rsidRPr="007214E1" w:rsidRDefault="00D80005" w:rsidP="00EB43EE">
      <w:pPr>
        <w:snapToGrid w:val="0"/>
        <w:spacing w:line="360" w:lineRule="auto"/>
        <w:jc w:val="both"/>
        <w:rPr>
          <w:rFonts w:ascii="Book Antiqua" w:hAnsi="Book Antiqua"/>
        </w:rPr>
      </w:pPr>
      <w:r w:rsidRPr="007214E1">
        <w:rPr>
          <w:rFonts w:ascii="Book Antiqua" w:hAnsi="Book Antiqua"/>
        </w:rPr>
        <w:t>Alexander Claudius Jordan</w:t>
      </w:r>
      <w:r w:rsidR="00F27FAE" w:rsidRPr="007214E1">
        <w:rPr>
          <w:rFonts w:ascii="Book Antiqua" w:hAnsi="Book Antiqua"/>
        </w:rPr>
        <w:t>, Jennifer Wu</w:t>
      </w:r>
    </w:p>
    <w:p w14:paraId="681471A0" w14:textId="735802D4" w:rsidR="002331FB" w:rsidRPr="007214E1" w:rsidRDefault="002331FB" w:rsidP="00EB43EE">
      <w:pPr>
        <w:snapToGrid w:val="0"/>
        <w:spacing w:line="360" w:lineRule="auto"/>
        <w:jc w:val="both"/>
        <w:rPr>
          <w:rFonts w:ascii="Book Antiqua" w:hAnsi="Book Antiqua"/>
        </w:rPr>
      </w:pPr>
    </w:p>
    <w:p w14:paraId="074ED228" w14:textId="022A746D" w:rsidR="002331FB" w:rsidRPr="007214E1" w:rsidRDefault="00D80005" w:rsidP="00EB43EE">
      <w:pPr>
        <w:snapToGrid w:val="0"/>
        <w:spacing w:line="360" w:lineRule="auto"/>
        <w:jc w:val="both"/>
        <w:rPr>
          <w:rFonts w:ascii="Book Antiqua" w:hAnsi="Book Antiqua"/>
          <w:color w:val="000000" w:themeColor="text1"/>
        </w:rPr>
      </w:pPr>
      <w:r w:rsidRPr="007214E1">
        <w:rPr>
          <w:rFonts w:ascii="Book Antiqua" w:hAnsi="Book Antiqua"/>
          <w:b/>
        </w:rPr>
        <w:t xml:space="preserve">Alexander Claudius </w:t>
      </w:r>
      <w:bookmarkStart w:id="0" w:name="OLE_LINK3"/>
      <w:bookmarkStart w:id="1" w:name="OLE_LINK4"/>
      <w:r w:rsidRPr="007214E1">
        <w:rPr>
          <w:rFonts w:ascii="Book Antiqua" w:hAnsi="Book Antiqua"/>
          <w:b/>
        </w:rPr>
        <w:t>Jordan</w:t>
      </w:r>
      <w:bookmarkEnd w:id="0"/>
      <w:bookmarkEnd w:id="1"/>
      <w:r w:rsidRPr="007214E1">
        <w:rPr>
          <w:rFonts w:ascii="Book Antiqua" w:hAnsi="Book Antiqua"/>
          <w:b/>
        </w:rPr>
        <w:t>,</w:t>
      </w:r>
      <w:r w:rsidR="002331FB" w:rsidRPr="007214E1">
        <w:rPr>
          <w:rFonts w:ascii="Book Antiqua" w:hAnsi="Book Antiqua"/>
          <w:b/>
        </w:rPr>
        <w:t xml:space="preserve"> </w:t>
      </w:r>
      <w:r w:rsidR="002331FB" w:rsidRPr="007214E1">
        <w:rPr>
          <w:rFonts w:ascii="Book Antiqua" w:hAnsi="Book Antiqua"/>
        </w:rPr>
        <w:t>Department of Internal Medicine, New York University School of Medicine</w:t>
      </w:r>
      <w:r w:rsidR="002331FB" w:rsidRPr="007214E1">
        <w:rPr>
          <w:rFonts w:ascii="Book Antiqua" w:hAnsi="Book Antiqua"/>
          <w:b/>
        </w:rPr>
        <w:t xml:space="preserve">, </w:t>
      </w:r>
      <w:r w:rsidR="002331FB" w:rsidRPr="007214E1">
        <w:rPr>
          <w:rFonts w:ascii="Book Antiqua" w:hAnsi="Book Antiqua"/>
          <w:color w:val="000000" w:themeColor="text1"/>
        </w:rPr>
        <w:t>New York, NY 10016</w:t>
      </w:r>
      <w:r w:rsidRPr="007214E1">
        <w:rPr>
          <w:rFonts w:ascii="Book Antiqua" w:hAnsi="Book Antiqua"/>
          <w:color w:val="000000" w:themeColor="text1"/>
        </w:rPr>
        <w:t>, United States</w:t>
      </w:r>
    </w:p>
    <w:p w14:paraId="10FDF3D2" w14:textId="77777777" w:rsidR="002331FB" w:rsidRPr="007214E1" w:rsidRDefault="002331FB" w:rsidP="00EB43EE">
      <w:pPr>
        <w:snapToGrid w:val="0"/>
        <w:spacing w:line="360" w:lineRule="auto"/>
        <w:jc w:val="both"/>
        <w:rPr>
          <w:rFonts w:ascii="Book Antiqua" w:hAnsi="Book Antiqua"/>
          <w:b/>
        </w:rPr>
      </w:pPr>
    </w:p>
    <w:p w14:paraId="797F6FEA" w14:textId="305D17DC" w:rsidR="002331FB" w:rsidRPr="007214E1" w:rsidRDefault="002331FB" w:rsidP="00EB43EE">
      <w:pPr>
        <w:snapToGrid w:val="0"/>
        <w:spacing w:line="360" w:lineRule="auto"/>
        <w:jc w:val="both"/>
        <w:rPr>
          <w:rFonts w:ascii="Book Antiqua" w:hAnsi="Book Antiqua"/>
          <w:b/>
        </w:rPr>
      </w:pPr>
      <w:r w:rsidRPr="007214E1">
        <w:rPr>
          <w:rFonts w:ascii="Book Antiqua" w:hAnsi="Book Antiqua"/>
          <w:b/>
        </w:rPr>
        <w:t xml:space="preserve">Jennifer Wu, </w:t>
      </w:r>
      <w:r w:rsidRPr="007214E1">
        <w:rPr>
          <w:rFonts w:ascii="Book Antiqua" w:hAnsi="Book Antiqua"/>
        </w:rPr>
        <w:t>Division of Hematology and Oncology,</w:t>
      </w:r>
      <w:r w:rsidRPr="007214E1">
        <w:rPr>
          <w:rFonts w:ascii="Book Antiqua" w:hAnsi="Book Antiqua"/>
          <w:b/>
        </w:rPr>
        <w:t xml:space="preserve"> </w:t>
      </w:r>
      <w:r w:rsidRPr="007214E1">
        <w:rPr>
          <w:rFonts w:ascii="Book Antiqua" w:hAnsi="Book Antiqua"/>
        </w:rPr>
        <w:t xml:space="preserve">Perlmutter Cancer Center, </w:t>
      </w:r>
      <w:r w:rsidR="00D80005" w:rsidRPr="007214E1">
        <w:rPr>
          <w:rFonts w:ascii="Book Antiqua" w:hAnsi="Book Antiqua"/>
        </w:rPr>
        <w:t>New York University</w:t>
      </w:r>
      <w:r w:rsidRPr="007214E1">
        <w:rPr>
          <w:rFonts w:ascii="Book Antiqua" w:hAnsi="Book Antiqua"/>
        </w:rPr>
        <w:t xml:space="preserve"> Langone Medical Center, </w:t>
      </w:r>
      <w:r w:rsidRPr="007214E1">
        <w:rPr>
          <w:rFonts w:ascii="Book Antiqua" w:hAnsi="Book Antiqua"/>
          <w:color w:val="000000" w:themeColor="text1"/>
        </w:rPr>
        <w:t>New York, NY 10016</w:t>
      </w:r>
      <w:r w:rsidR="00D80005" w:rsidRPr="007214E1">
        <w:rPr>
          <w:rFonts w:ascii="Book Antiqua" w:hAnsi="Book Antiqua"/>
          <w:color w:val="000000" w:themeColor="text1"/>
        </w:rPr>
        <w:t>, United States</w:t>
      </w:r>
    </w:p>
    <w:p w14:paraId="2107BB87" w14:textId="77777777" w:rsidR="002331FB" w:rsidRPr="007214E1" w:rsidRDefault="002331FB" w:rsidP="00EB43EE">
      <w:pPr>
        <w:snapToGrid w:val="0"/>
        <w:spacing w:line="360" w:lineRule="auto"/>
        <w:jc w:val="both"/>
        <w:rPr>
          <w:rFonts w:ascii="Book Antiqua" w:hAnsi="Book Antiqua"/>
          <w:b/>
        </w:rPr>
      </w:pPr>
    </w:p>
    <w:p w14:paraId="6868A4EB" w14:textId="1152798A" w:rsidR="002331FB" w:rsidRPr="007214E1" w:rsidRDefault="002331FB" w:rsidP="00EB43EE">
      <w:pPr>
        <w:snapToGrid w:val="0"/>
        <w:spacing w:line="360" w:lineRule="auto"/>
        <w:jc w:val="both"/>
        <w:rPr>
          <w:rFonts w:ascii="Book Antiqua" w:hAnsi="Book Antiqua"/>
        </w:rPr>
      </w:pPr>
      <w:r w:rsidRPr="007214E1">
        <w:rPr>
          <w:rFonts w:ascii="Book Antiqua" w:hAnsi="Book Antiqua"/>
          <w:b/>
        </w:rPr>
        <w:t xml:space="preserve">Author contributions: </w:t>
      </w:r>
      <w:r w:rsidR="00D80005" w:rsidRPr="007214E1">
        <w:rPr>
          <w:rFonts w:ascii="Book Antiqua" w:hAnsi="Book Antiqua"/>
        </w:rPr>
        <w:t>Jordan AC</w:t>
      </w:r>
      <w:r w:rsidRPr="007214E1">
        <w:rPr>
          <w:rFonts w:ascii="Book Antiqua" w:hAnsi="Book Antiqua"/>
        </w:rPr>
        <w:t xml:space="preserve"> wrote and edited the manuscript</w:t>
      </w:r>
      <w:r w:rsidR="00272B5D" w:rsidRPr="007214E1">
        <w:rPr>
          <w:rFonts w:ascii="Book Antiqua" w:hAnsi="Book Antiqua"/>
        </w:rPr>
        <w:t xml:space="preserve">; </w:t>
      </w:r>
      <w:r w:rsidRPr="007214E1">
        <w:rPr>
          <w:rFonts w:ascii="Book Antiqua" w:hAnsi="Book Antiqua"/>
        </w:rPr>
        <w:t>Wu</w:t>
      </w:r>
      <w:r w:rsidR="00D80005" w:rsidRPr="007214E1">
        <w:rPr>
          <w:rFonts w:ascii="Book Antiqua" w:hAnsi="Book Antiqua"/>
        </w:rPr>
        <w:t xml:space="preserve"> J</w:t>
      </w:r>
      <w:r w:rsidRPr="007214E1">
        <w:rPr>
          <w:rFonts w:ascii="Book Antiqua" w:hAnsi="Book Antiqua"/>
        </w:rPr>
        <w:t xml:space="preserve"> reviewed and edited the manuscript.</w:t>
      </w:r>
    </w:p>
    <w:p w14:paraId="372DE4B1" w14:textId="77777777" w:rsidR="002331FB" w:rsidRPr="007214E1" w:rsidRDefault="002331FB" w:rsidP="00EB43EE">
      <w:pPr>
        <w:snapToGrid w:val="0"/>
        <w:spacing w:line="360" w:lineRule="auto"/>
        <w:jc w:val="both"/>
        <w:rPr>
          <w:rFonts w:ascii="Book Antiqua" w:hAnsi="Book Antiqua"/>
          <w:b/>
        </w:rPr>
      </w:pPr>
    </w:p>
    <w:p w14:paraId="2143F785" w14:textId="43DA02BD" w:rsidR="002331FB" w:rsidRPr="007214E1" w:rsidRDefault="002331FB" w:rsidP="00EB43EE">
      <w:pPr>
        <w:snapToGrid w:val="0"/>
        <w:spacing w:line="360" w:lineRule="auto"/>
        <w:jc w:val="both"/>
        <w:rPr>
          <w:rFonts w:ascii="Book Antiqua" w:hAnsi="Book Antiqua"/>
          <w:color w:val="000000" w:themeColor="text1"/>
        </w:rPr>
      </w:pPr>
      <w:r w:rsidRPr="007214E1">
        <w:rPr>
          <w:rFonts w:ascii="Book Antiqua" w:hAnsi="Book Antiqua"/>
          <w:b/>
        </w:rPr>
        <w:t xml:space="preserve">Corresponding author: Jennifer Wu, MD, </w:t>
      </w:r>
      <w:r w:rsidR="00D80005" w:rsidRPr="007214E1">
        <w:rPr>
          <w:rFonts w:ascii="Book Antiqua" w:hAnsi="Book Antiqua"/>
          <w:b/>
        </w:rPr>
        <w:t xml:space="preserve">Associate Professor, </w:t>
      </w:r>
      <w:r w:rsidR="00CE06E0" w:rsidRPr="007214E1">
        <w:rPr>
          <w:rFonts w:ascii="Book Antiqua" w:hAnsi="Book Antiqua"/>
        </w:rPr>
        <w:t>Division of Hematology and Oncology,</w:t>
      </w:r>
      <w:r w:rsidR="00CE06E0" w:rsidRPr="007214E1">
        <w:rPr>
          <w:rFonts w:ascii="Book Antiqua" w:hAnsi="Book Antiqua"/>
          <w:b/>
        </w:rPr>
        <w:t xml:space="preserve"> </w:t>
      </w:r>
      <w:bookmarkStart w:id="2" w:name="OLE_LINK24"/>
      <w:bookmarkStart w:id="3" w:name="OLE_LINK25"/>
      <w:r w:rsidRPr="007214E1">
        <w:rPr>
          <w:rFonts w:ascii="Book Antiqua" w:hAnsi="Book Antiqua"/>
        </w:rPr>
        <w:t xml:space="preserve">Perlmutter Cancer Center, </w:t>
      </w:r>
      <w:r w:rsidR="00D80005" w:rsidRPr="007214E1">
        <w:rPr>
          <w:rFonts w:ascii="Book Antiqua" w:hAnsi="Book Antiqua"/>
        </w:rPr>
        <w:t>New York University</w:t>
      </w:r>
      <w:r w:rsidRPr="007214E1">
        <w:rPr>
          <w:rFonts w:ascii="Book Antiqua" w:hAnsi="Book Antiqua"/>
        </w:rPr>
        <w:t xml:space="preserve"> Langone Medical Center</w:t>
      </w:r>
      <w:bookmarkEnd w:id="2"/>
      <w:bookmarkEnd w:id="3"/>
      <w:r w:rsidRPr="007214E1">
        <w:rPr>
          <w:rFonts w:ascii="Book Antiqua" w:hAnsi="Book Antiqua"/>
        </w:rPr>
        <w:t xml:space="preserve">, </w:t>
      </w:r>
      <w:r w:rsidRPr="007214E1">
        <w:rPr>
          <w:rFonts w:ascii="Book Antiqua" w:hAnsi="Book Antiqua"/>
          <w:color w:val="000000" w:themeColor="text1"/>
        </w:rPr>
        <w:t>550 1</w:t>
      </w:r>
      <w:r w:rsidRPr="007214E1">
        <w:rPr>
          <w:rFonts w:ascii="Book Antiqua" w:hAnsi="Book Antiqua"/>
          <w:color w:val="000000" w:themeColor="text1"/>
          <w:vertAlign w:val="superscript"/>
        </w:rPr>
        <w:t>st</w:t>
      </w:r>
      <w:r w:rsidRPr="007214E1">
        <w:rPr>
          <w:rFonts w:ascii="Book Antiqua" w:hAnsi="Book Antiqua"/>
          <w:color w:val="000000" w:themeColor="text1"/>
        </w:rPr>
        <w:t xml:space="preserve"> </w:t>
      </w:r>
      <w:r w:rsidR="00CE06E0" w:rsidRPr="007214E1">
        <w:rPr>
          <w:rFonts w:ascii="Book Antiqua" w:hAnsi="Book Antiqua"/>
          <w:color w:val="000000" w:themeColor="text1"/>
        </w:rPr>
        <w:t>Avenue</w:t>
      </w:r>
      <w:r w:rsidRPr="007214E1">
        <w:rPr>
          <w:rFonts w:ascii="Book Antiqua" w:hAnsi="Book Antiqua"/>
          <w:color w:val="000000" w:themeColor="text1"/>
        </w:rPr>
        <w:t>, New York, NY 10016</w:t>
      </w:r>
      <w:r w:rsidR="00CE06E0" w:rsidRPr="007214E1">
        <w:rPr>
          <w:rFonts w:ascii="Book Antiqua" w:hAnsi="Book Antiqua"/>
          <w:color w:val="000000" w:themeColor="text1"/>
        </w:rPr>
        <w:t>, United States.</w:t>
      </w:r>
      <w:r w:rsidR="00CE06E0" w:rsidRPr="007214E1">
        <w:rPr>
          <w:rFonts w:ascii="Book Antiqua" w:eastAsiaTheme="minorEastAsia" w:hAnsi="Book Antiqua"/>
          <w:color w:val="000000" w:themeColor="text1"/>
          <w:lang w:eastAsia="zh-CN"/>
        </w:rPr>
        <w:t xml:space="preserve"> </w:t>
      </w:r>
      <w:r w:rsidR="00CE06E0" w:rsidRPr="007214E1">
        <w:rPr>
          <w:rFonts w:ascii="Book Antiqua" w:hAnsi="Book Antiqua"/>
          <w:color w:val="212121"/>
          <w:u w:val="single"/>
          <w:shd w:val="clear" w:color="auto" w:fill="FFFFFF"/>
        </w:rPr>
        <w:t>jennifer.w</w:t>
      </w:r>
      <w:r w:rsidRPr="007214E1">
        <w:rPr>
          <w:rFonts w:ascii="Book Antiqua" w:hAnsi="Book Antiqua"/>
          <w:color w:val="212121"/>
          <w:u w:val="single"/>
          <w:shd w:val="clear" w:color="auto" w:fill="FFFFFF"/>
        </w:rPr>
        <w:t>u@nyulangone.org</w:t>
      </w:r>
    </w:p>
    <w:p w14:paraId="6464153E" w14:textId="77777777" w:rsidR="002331FB" w:rsidRPr="007214E1" w:rsidRDefault="002331FB" w:rsidP="00EB43EE">
      <w:pPr>
        <w:snapToGrid w:val="0"/>
        <w:spacing w:line="360" w:lineRule="auto"/>
        <w:jc w:val="both"/>
        <w:rPr>
          <w:rFonts w:ascii="Book Antiqua" w:hAnsi="Book Antiqua"/>
          <w:b/>
        </w:rPr>
      </w:pPr>
    </w:p>
    <w:p w14:paraId="259AD8C5" w14:textId="6E2318A8" w:rsidR="00CE06E0" w:rsidRPr="007214E1" w:rsidRDefault="00CE06E0" w:rsidP="00EB43EE">
      <w:pPr>
        <w:snapToGrid w:val="0"/>
        <w:spacing w:line="360" w:lineRule="auto"/>
        <w:jc w:val="both"/>
        <w:rPr>
          <w:rFonts w:ascii="Book Antiqua" w:hAnsi="Book Antiqua"/>
          <w:b/>
        </w:rPr>
      </w:pPr>
      <w:r w:rsidRPr="007214E1">
        <w:rPr>
          <w:rFonts w:ascii="Book Antiqua" w:hAnsi="Book Antiqua"/>
          <w:b/>
        </w:rPr>
        <w:t>Received:</w:t>
      </w:r>
      <w:r w:rsidRPr="007214E1">
        <w:rPr>
          <w:rFonts w:ascii="Book Antiqua" w:eastAsia="宋体" w:hAnsi="Book Antiqua"/>
          <w:b/>
          <w:lang w:eastAsia="zh-CN"/>
        </w:rPr>
        <w:t xml:space="preserve"> </w:t>
      </w:r>
      <w:r w:rsidRPr="007214E1">
        <w:rPr>
          <w:rFonts w:ascii="Book Antiqua" w:eastAsia="宋体" w:hAnsi="Book Antiqua"/>
          <w:lang w:eastAsia="zh-CN"/>
        </w:rPr>
        <w:t>February 1, 2020</w:t>
      </w:r>
    </w:p>
    <w:p w14:paraId="407AD349" w14:textId="218CCB00" w:rsidR="00CE06E0" w:rsidRPr="007214E1" w:rsidRDefault="00CE06E0" w:rsidP="00EB43EE">
      <w:pPr>
        <w:snapToGrid w:val="0"/>
        <w:spacing w:line="360" w:lineRule="auto"/>
        <w:jc w:val="both"/>
        <w:rPr>
          <w:rFonts w:ascii="Book Antiqua" w:eastAsia="宋体" w:hAnsi="Book Antiqua"/>
          <w:b/>
          <w:lang w:eastAsia="zh-CN"/>
        </w:rPr>
      </w:pPr>
      <w:r w:rsidRPr="007214E1">
        <w:rPr>
          <w:rFonts w:ascii="Book Antiqua" w:hAnsi="Book Antiqua"/>
          <w:b/>
        </w:rPr>
        <w:t xml:space="preserve">Revised: </w:t>
      </w:r>
      <w:r w:rsidRPr="007214E1">
        <w:rPr>
          <w:rFonts w:ascii="Book Antiqua" w:eastAsia="宋体" w:hAnsi="Book Antiqua"/>
          <w:lang w:eastAsia="zh-CN"/>
        </w:rPr>
        <w:t>May 1, 2020</w:t>
      </w:r>
    </w:p>
    <w:p w14:paraId="43086991" w14:textId="38C60CA2" w:rsidR="00CE06E0" w:rsidRPr="007214E1" w:rsidRDefault="00CE06E0" w:rsidP="00EB43EE">
      <w:pPr>
        <w:snapToGrid w:val="0"/>
        <w:spacing w:line="360" w:lineRule="auto"/>
        <w:jc w:val="both"/>
        <w:rPr>
          <w:rFonts w:ascii="Book Antiqua" w:hAnsi="Book Antiqua"/>
          <w:color w:val="000000"/>
        </w:rPr>
      </w:pPr>
      <w:r w:rsidRPr="007214E1">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7214E1">
        <w:rPr>
          <w:rFonts w:ascii="Book Antiqua" w:hAnsi="Book Antiqua"/>
          <w:color w:val="000000"/>
        </w:rPr>
        <w:t xml:space="preserve"> </w:t>
      </w:r>
      <w:bookmarkEnd w:id="4"/>
      <w:bookmarkEnd w:id="5"/>
      <w:bookmarkEnd w:id="6"/>
      <w:bookmarkEnd w:id="7"/>
      <w:bookmarkEnd w:id="8"/>
      <w:bookmarkEnd w:id="9"/>
      <w:bookmarkEnd w:id="10"/>
      <w:r w:rsidR="00F86C93" w:rsidRPr="007214E1">
        <w:rPr>
          <w:rFonts w:ascii="Book Antiqua" w:hAnsi="Book Antiqua"/>
          <w:color w:val="000000"/>
        </w:rPr>
        <w:t>June 25, 2020</w:t>
      </w:r>
    </w:p>
    <w:p w14:paraId="34C6B58B" w14:textId="3D19681C" w:rsidR="00CE06E0" w:rsidRPr="007214E1" w:rsidRDefault="00CE06E0" w:rsidP="00EB43EE">
      <w:pPr>
        <w:snapToGrid w:val="0"/>
        <w:spacing w:line="360" w:lineRule="auto"/>
        <w:jc w:val="both"/>
        <w:rPr>
          <w:rFonts w:ascii="Book Antiqua" w:hAnsi="Book Antiqua"/>
          <w:b/>
        </w:rPr>
      </w:pPr>
      <w:r w:rsidRPr="007214E1">
        <w:rPr>
          <w:rFonts w:ascii="Book Antiqua" w:hAnsi="Book Antiqua"/>
          <w:b/>
        </w:rPr>
        <w:t xml:space="preserve">Published online: </w:t>
      </w:r>
      <w:r w:rsidR="00AC49C7" w:rsidRPr="007214E1">
        <w:rPr>
          <w:rFonts w:ascii="Book Antiqua" w:hAnsi="Book Antiqua"/>
          <w:color w:val="000000"/>
        </w:rPr>
        <w:t>June 28</w:t>
      </w:r>
      <w:proofErr w:type="gramStart"/>
      <w:r w:rsidR="00AC49C7" w:rsidRPr="007214E1">
        <w:rPr>
          <w:rFonts w:ascii="Book Antiqua" w:hAnsi="Book Antiqua" w:hint="eastAsia"/>
          <w:color w:val="000000"/>
        </w:rPr>
        <w:t>,2020</w:t>
      </w:r>
      <w:proofErr w:type="gramEnd"/>
    </w:p>
    <w:p w14:paraId="493D27B5" w14:textId="274BAB65" w:rsidR="00E17BB1" w:rsidRPr="007214E1" w:rsidRDefault="00CE06E0" w:rsidP="00EB43EE">
      <w:pPr>
        <w:snapToGrid w:val="0"/>
        <w:spacing w:line="360" w:lineRule="auto"/>
        <w:jc w:val="both"/>
        <w:rPr>
          <w:rFonts w:ascii="Book Antiqua" w:hAnsi="Book Antiqua"/>
          <w:b/>
        </w:rPr>
      </w:pPr>
      <w:r w:rsidRPr="007214E1">
        <w:rPr>
          <w:rFonts w:ascii="Book Antiqua" w:hAnsi="Book Antiqua"/>
          <w:b/>
        </w:rPr>
        <w:br w:type="page"/>
      </w:r>
      <w:r w:rsidR="00E17BB1" w:rsidRPr="007214E1">
        <w:rPr>
          <w:rFonts w:ascii="Book Antiqua" w:hAnsi="Book Antiqua"/>
          <w:b/>
        </w:rPr>
        <w:lastRenderedPageBreak/>
        <w:t>Abstract</w:t>
      </w:r>
    </w:p>
    <w:p w14:paraId="74771D8F" w14:textId="38B5FE6D" w:rsidR="00DE521E" w:rsidRPr="007214E1" w:rsidRDefault="00E17BB1" w:rsidP="00EB43EE">
      <w:pPr>
        <w:snapToGrid w:val="0"/>
        <w:spacing w:line="360" w:lineRule="auto"/>
        <w:jc w:val="both"/>
        <w:rPr>
          <w:rFonts w:ascii="Book Antiqua" w:hAnsi="Book Antiqua"/>
          <w:i/>
        </w:rPr>
      </w:pPr>
      <w:r w:rsidRPr="007214E1">
        <w:rPr>
          <w:rFonts w:ascii="Book Antiqua" w:hAnsi="Book Antiqua"/>
        </w:rPr>
        <w:t>Liver</w:t>
      </w:r>
      <w:r w:rsidR="000C3AF3" w:rsidRPr="007214E1">
        <w:rPr>
          <w:rFonts w:ascii="Book Antiqua" w:hAnsi="Book Antiqua"/>
        </w:rPr>
        <w:t xml:space="preserve"> cancer</w:t>
      </w:r>
      <w:r w:rsidRPr="007214E1">
        <w:rPr>
          <w:rFonts w:ascii="Book Antiqua" w:hAnsi="Book Antiqua"/>
        </w:rPr>
        <w:t xml:space="preserve"> is one of the most common causes of cancer death </w:t>
      </w:r>
      <w:r w:rsidR="00342FB4" w:rsidRPr="007214E1">
        <w:rPr>
          <w:rFonts w:ascii="Book Antiqua" w:hAnsi="Book Antiqua"/>
        </w:rPr>
        <w:t>globally</w:t>
      </w:r>
      <w:r w:rsidRPr="007214E1">
        <w:rPr>
          <w:rFonts w:ascii="Book Antiqua" w:hAnsi="Book Antiqua"/>
        </w:rPr>
        <w:t xml:space="preserve">, and its incidence in the United States is increasing. </w:t>
      </w:r>
      <w:r w:rsidR="00550E76" w:rsidRPr="007214E1">
        <w:rPr>
          <w:rFonts w:ascii="Book Antiqua" w:hAnsi="Book Antiqua"/>
        </w:rPr>
        <w:t>Patients with</w:t>
      </w:r>
      <w:r w:rsidR="00B069BC" w:rsidRPr="007214E1">
        <w:rPr>
          <w:rFonts w:ascii="Book Antiqua" w:hAnsi="Book Antiqua"/>
        </w:rPr>
        <w:t xml:space="preserve"> advanced </w:t>
      </w:r>
      <w:r w:rsidR="0041276D" w:rsidRPr="007214E1">
        <w:rPr>
          <w:rFonts w:ascii="Book Antiqua" w:hAnsi="Book Antiqua"/>
        </w:rPr>
        <w:t>hepatocellular carcinoma (HCC)</w:t>
      </w:r>
      <w:r w:rsidR="00DE521E" w:rsidRPr="007214E1">
        <w:rPr>
          <w:rFonts w:ascii="Book Antiqua" w:hAnsi="Book Antiqua"/>
        </w:rPr>
        <w:t xml:space="preserve"> </w:t>
      </w:r>
      <w:r w:rsidR="00B069BC" w:rsidRPr="007214E1">
        <w:rPr>
          <w:rFonts w:ascii="Book Antiqua" w:hAnsi="Book Antiqua"/>
        </w:rPr>
        <w:t xml:space="preserve">who are not candidates for surgical resection, liver transplant, or </w:t>
      </w:r>
      <w:r w:rsidR="00DE521E" w:rsidRPr="007214E1">
        <w:rPr>
          <w:rFonts w:ascii="Book Antiqua" w:hAnsi="Book Antiqua"/>
        </w:rPr>
        <w:t>locoregional therapies</w:t>
      </w:r>
      <w:r w:rsidR="00B069BC" w:rsidRPr="007214E1">
        <w:rPr>
          <w:rFonts w:ascii="Book Antiqua" w:hAnsi="Book Antiqua"/>
        </w:rPr>
        <w:t xml:space="preserve"> </w:t>
      </w:r>
      <w:r w:rsidR="00550E76" w:rsidRPr="007214E1">
        <w:rPr>
          <w:rFonts w:ascii="Book Antiqua" w:hAnsi="Book Antiqua"/>
        </w:rPr>
        <w:t xml:space="preserve">can be treated with systemic therapies. </w:t>
      </w:r>
      <w:r w:rsidR="00DE521E" w:rsidRPr="007214E1">
        <w:rPr>
          <w:rFonts w:ascii="Book Antiqua" w:hAnsi="Book Antiqua"/>
        </w:rPr>
        <w:t>Multiple agents, including</w:t>
      </w:r>
      <w:r w:rsidR="00342FB4" w:rsidRPr="007214E1">
        <w:rPr>
          <w:rFonts w:ascii="Book Antiqua" w:hAnsi="Book Antiqua"/>
        </w:rPr>
        <w:t xml:space="preserve"> </w:t>
      </w:r>
      <w:proofErr w:type="spellStart"/>
      <w:r w:rsidR="00342FB4" w:rsidRPr="007214E1">
        <w:rPr>
          <w:rFonts w:ascii="Book Antiqua" w:hAnsi="Book Antiqua"/>
        </w:rPr>
        <w:t>sorafenib</w:t>
      </w:r>
      <w:proofErr w:type="spellEnd"/>
      <w:r w:rsidR="00342FB4" w:rsidRPr="007214E1">
        <w:rPr>
          <w:rFonts w:ascii="Book Antiqua" w:hAnsi="Book Antiqua"/>
        </w:rPr>
        <w:t xml:space="preserve">, </w:t>
      </w:r>
      <w:proofErr w:type="spellStart"/>
      <w:r w:rsidR="00342FB4" w:rsidRPr="007214E1">
        <w:rPr>
          <w:rFonts w:ascii="Book Antiqua" w:hAnsi="Book Antiqua"/>
        </w:rPr>
        <w:t>lenvatinib</w:t>
      </w:r>
      <w:proofErr w:type="spellEnd"/>
      <w:r w:rsidR="00342FB4" w:rsidRPr="007214E1">
        <w:rPr>
          <w:rFonts w:ascii="Book Antiqua" w:hAnsi="Book Antiqua"/>
        </w:rPr>
        <w:t xml:space="preserve">, and </w:t>
      </w:r>
      <w:proofErr w:type="spellStart"/>
      <w:r w:rsidR="00342FB4" w:rsidRPr="007214E1">
        <w:rPr>
          <w:rFonts w:ascii="Book Antiqua" w:hAnsi="Book Antiqua"/>
        </w:rPr>
        <w:t>regorafenib</w:t>
      </w:r>
      <w:proofErr w:type="spellEnd"/>
      <w:r w:rsidR="00342FB4" w:rsidRPr="007214E1">
        <w:rPr>
          <w:rFonts w:ascii="Book Antiqua" w:hAnsi="Book Antiqua"/>
        </w:rPr>
        <w:t xml:space="preserve"> are approved for use as either first- or second-line therapy in</w:t>
      </w:r>
      <w:r w:rsidRPr="007214E1">
        <w:rPr>
          <w:rFonts w:ascii="Book Antiqua" w:hAnsi="Book Antiqua"/>
        </w:rPr>
        <w:t xml:space="preserve"> </w:t>
      </w:r>
      <w:r w:rsidR="00AC0312" w:rsidRPr="007214E1">
        <w:rPr>
          <w:rFonts w:ascii="Book Antiqua" w:hAnsi="Book Antiqua"/>
        </w:rPr>
        <w:t>this patient population</w:t>
      </w:r>
      <w:r w:rsidR="00342FB4" w:rsidRPr="007214E1">
        <w:rPr>
          <w:rFonts w:ascii="Book Antiqua" w:hAnsi="Book Antiqua"/>
        </w:rPr>
        <w:t>, but all</w:t>
      </w:r>
      <w:r w:rsidRPr="007214E1">
        <w:rPr>
          <w:rFonts w:ascii="Book Antiqua" w:hAnsi="Book Antiqua"/>
        </w:rPr>
        <w:t xml:space="preserve"> have relatively modest survival benefits. </w:t>
      </w:r>
      <w:r w:rsidR="00E5747E" w:rsidRPr="007214E1">
        <w:rPr>
          <w:rFonts w:ascii="Book Antiqua" w:hAnsi="Book Antiqua"/>
        </w:rPr>
        <w:t>HCC</w:t>
      </w:r>
      <w:r w:rsidR="00E22BC1" w:rsidRPr="007214E1">
        <w:rPr>
          <w:rFonts w:ascii="Book Antiqua" w:hAnsi="Book Antiqua"/>
        </w:rPr>
        <w:t xml:space="preserve"> is potentially susceptible to </w:t>
      </w:r>
      <w:r w:rsidR="00DE521E" w:rsidRPr="007214E1">
        <w:rPr>
          <w:rFonts w:ascii="Book Antiqua" w:hAnsi="Book Antiqua"/>
        </w:rPr>
        <w:t>therapy with checkpoint inhibitors</w:t>
      </w:r>
      <w:r w:rsidR="00E22BC1" w:rsidRPr="007214E1">
        <w:rPr>
          <w:rFonts w:ascii="Book Antiqua" w:hAnsi="Book Antiqua"/>
        </w:rPr>
        <w:t xml:space="preserve">, including agents such as nivolumab and pembrolizumab, which are both approved </w:t>
      </w:r>
      <w:r w:rsidR="00DD3246" w:rsidRPr="007214E1">
        <w:rPr>
          <w:rFonts w:ascii="Book Antiqua" w:hAnsi="Book Antiqua"/>
        </w:rPr>
        <w:t>by t</w:t>
      </w:r>
      <w:r w:rsidR="00F973BF" w:rsidRPr="007214E1">
        <w:rPr>
          <w:rFonts w:ascii="Book Antiqua" w:hAnsi="Book Antiqua"/>
        </w:rPr>
        <w:t>he Food and Drug Administration</w:t>
      </w:r>
      <w:r w:rsidR="00DD3246" w:rsidRPr="007214E1">
        <w:rPr>
          <w:rFonts w:ascii="Book Antiqua" w:hAnsi="Book Antiqua"/>
        </w:rPr>
        <w:t xml:space="preserve"> </w:t>
      </w:r>
      <w:r w:rsidR="00DE521E" w:rsidRPr="007214E1">
        <w:rPr>
          <w:rFonts w:ascii="Book Antiqua" w:hAnsi="Book Antiqua"/>
        </w:rPr>
        <w:t xml:space="preserve">for patients previously treated with sorafenib </w:t>
      </w:r>
      <w:r w:rsidR="00E22BC1" w:rsidRPr="007214E1">
        <w:rPr>
          <w:rFonts w:ascii="Book Antiqua" w:hAnsi="Book Antiqua"/>
        </w:rPr>
        <w:t xml:space="preserve">but have not demonstrated superior overall survival in phase III </w:t>
      </w:r>
      <w:r w:rsidR="00DE521E" w:rsidRPr="007214E1">
        <w:rPr>
          <w:rFonts w:ascii="Book Antiqua" w:hAnsi="Book Antiqua"/>
        </w:rPr>
        <w:t>trials</w:t>
      </w:r>
      <w:r w:rsidR="00E22BC1" w:rsidRPr="007214E1">
        <w:rPr>
          <w:rFonts w:ascii="Book Antiqua" w:hAnsi="Book Antiqua"/>
        </w:rPr>
        <w:t>.</w:t>
      </w:r>
      <w:r w:rsidR="00DE521E" w:rsidRPr="007214E1">
        <w:rPr>
          <w:rFonts w:ascii="Book Antiqua" w:hAnsi="Book Antiqua"/>
        </w:rPr>
        <w:t xml:space="preserve"> It is clear that more effective approaches are needed</w:t>
      </w:r>
      <w:r w:rsidR="00DD71A3" w:rsidRPr="007214E1">
        <w:rPr>
          <w:rFonts w:ascii="Book Antiqua" w:hAnsi="Book Antiqua"/>
        </w:rPr>
        <w:t xml:space="preserve"> to potentiate the effects of checkpoint inhibitors in patients with HCC</w:t>
      </w:r>
      <w:r w:rsidR="00DE521E" w:rsidRPr="007214E1">
        <w:rPr>
          <w:rFonts w:ascii="Book Antiqua" w:hAnsi="Book Antiqua"/>
        </w:rPr>
        <w:t xml:space="preserve">. </w:t>
      </w:r>
      <w:r w:rsidR="00E22BC1" w:rsidRPr="007214E1">
        <w:rPr>
          <w:rFonts w:ascii="Book Antiqua" w:hAnsi="Book Antiqua"/>
        </w:rPr>
        <w:t>This review w</w:t>
      </w:r>
      <w:r w:rsidR="00550E76" w:rsidRPr="007214E1">
        <w:rPr>
          <w:rFonts w:ascii="Book Antiqua" w:hAnsi="Book Antiqua"/>
        </w:rPr>
        <w:t>ill outline</w:t>
      </w:r>
      <w:r w:rsidR="00DE521E" w:rsidRPr="007214E1">
        <w:rPr>
          <w:rFonts w:ascii="Book Antiqua" w:hAnsi="Book Antiqua"/>
        </w:rPr>
        <w:t xml:space="preserve"> and appraise</w:t>
      </w:r>
      <w:r w:rsidR="00550E76" w:rsidRPr="007214E1">
        <w:rPr>
          <w:rFonts w:ascii="Book Antiqua" w:hAnsi="Book Antiqua"/>
        </w:rPr>
        <w:t xml:space="preserve"> the </w:t>
      </w:r>
      <w:r w:rsidR="00DD3246" w:rsidRPr="007214E1">
        <w:rPr>
          <w:rFonts w:ascii="Book Antiqua" w:hAnsi="Book Antiqua"/>
        </w:rPr>
        <w:t>current literature</w:t>
      </w:r>
      <w:r w:rsidR="00550E76" w:rsidRPr="007214E1">
        <w:rPr>
          <w:rFonts w:ascii="Book Antiqua" w:hAnsi="Book Antiqua"/>
        </w:rPr>
        <w:t xml:space="preserve"> on the use of checkpoint inhibitors in HCC</w:t>
      </w:r>
      <w:r w:rsidR="00DE521E" w:rsidRPr="007214E1">
        <w:rPr>
          <w:rFonts w:ascii="Book Antiqua" w:hAnsi="Book Antiqua"/>
        </w:rPr>
        <w:t xml:space="preserve"> as part of a combination </w:t>
      </w:r>
      <w:r w:rsidR="00DD71A3" w:rsidRPr="007214E1">
        <w:rPr>
          <w:rFonts w:ascii="Book Antiqua" w:hAnsi="Book Antiqua"/>
        </w:rPr>
        <w:t xml:space="preserve">treatment </w:t>
      </w:r>
      <w:r w:rsidR="00272B5D" w:rsidRPr="007214E1">
        <w:rPr>
          <w:rFonts w:ascii="Book Antiqua" w:hAnsi="Book Antiqua"/>
        </w:rPr>
        <w:t xml:space="preserve">involving </w:t>
      </w:r>
      <w:r w:rsidR="000F2CA8" w:rsidRPr="007214E1">
        <w:rPr>
          <w:rFonts w:ascii="Book Antiqua" w:hAnsi="Book Antiqua"/>
        </w:rPr>
        <w:t>an additional mode of therapy</w:t>
      </w:r>
      <w:r w:rsidR="00E5747E" w:rsidRPr="007214E1">
        <w:rPr>
          <w:rFonts w:ascii="Book Antiqua" w:hAnsi="Book Antiqua"/>
        </w:rPr>
        <w:t>.</w:t>
      </w:r>
      <w:r w:rsidR="00E5747E" w:rsidRPr="007214E1">
        <w:rPr>
          <w:rFonts w:ascii="Book Antiqua" w:hAnsi="Book Antiqua"/>
          <w:i/>
        </w:rPr>
        <w:t xml:space="preserve"> </w:t>
      </w:r>
      <w:r w:rsidR="00DD71A3" w:rsidRPr="007214E1">
        <w:rPr>
          <w:rFonts w:ascii="Book Antiqua" w:hAnsi="Book Antiqua"/>
        </w:rPr>
        <w:t xml:space="preserve">The list of agents that can be paired with </w:t>
      </w:r>
      <w:r w:rsidR="00DD3246" w:rsidRPr="007214E1">
        <w:rPr>
          <w:rFonts w:ascii="Book Antiqua" w:hAnsi="Book Antiqua"/>
        </w:rPr>
        <w:t>checkpoint inhibitors</w:t>
      </w:r>
      <w:r w:rsidR="000F2CA8" w:rsidRPr="007214E1">
        <w:rPr>
          <w:rFonts w:ascii="Book Antiqua" w:hAnsi="Book Antiqua"/>
        </w:rPr>
        <w:t xml:space="preserve"> </w:t>
      </w:r>
      <w:r w:rsidR="00DD71A3" w:rsidRPr="007214E1">
        <w:rPr>
          <w:rFonts w:ascii="Book Antiqua" w:hAnsi="Book Antiqua"/>
        </w:rPr>
        <w:t xml:space="preserve">includes </w:t>
      </w:r>
      <w:r w:rsidR="00DD3246" w:rsidRPr="007214E1">
        <w:rPr>
          <w:rFonts w:ascii="Book Antiqua" w:hAnsi="Book Antiqua"/>
        </w:rPr>
        <w:t xml:space="preserve">an additional </w:t>
      </w:r>
      <w:r w:rsidR="000F2CA8" w:rsidRPr="007214E1">
        <w:rPr>
          <w:rFonts w:ascii="Book Antiqua" w:hAnsi="Book Antiqua"/>
        </w:rPr>
        <w:t xml:space="preserve">checkpoint inhibitor, </w:t>
      </w:r>
      <w:r w:rsidR="0041276D" w:rsidRPr="007214E1">
        <w:rPr>
          <w:rFonts w:ascii="Book Antiqua" w:hAnsi="Book Antiqua"/>
        </w:rPr>
        <w:t>vas</w:t>
      </w:r>
      <w:r w:rsidR="00F973BF" w:rsidRPr="007214E1">
        <w:rPr>
          <w:rFonts w:ascii="Book Antiqua" w:hAnsi="Book Antiqua"/>
        </w:rPr>
        <w:t>cular endothelial growth factor</w:t>
      </w:r>
      <w:r w:rsidR="00DD71A3" w:rsidRPr="007214E1">
        <w:rPr>
          <w:rFonts w:ascii="Book Antiqua" w:hAnsi="Book Antiqua"/>
        </w:rPr>
        <w:t xml:space="preserve"> or </w:t>
      </w:r>
      <w:r w:rsidR="00F973BF" w:rsidRPr="007214E1">
        <w:rPr>
          <w:rFonts w:ascii="Book Antiqua" w:hAnsi="Book Antiqua"/>
        </w:rPr>
        <w:t>vascular endothelial growth factor</w:t>
      </w:r>
      <w:r w:rsidR="0041276D" w:rsidRPr="007214E1">
        <w:rPr>
          <w:rFonts w:ascii="Book Antiqua" w:hAnsi="Book Antiqua"/>
        </w:rPr>
        <w:t xml:space="preserve"> receptor</w:t>
      </w:r>
      <w:r w:rsidR="00DD71A3" w:rsidRPr="007214E1">
        <w:rPr>
          <w:rFonts w:ascii="Book Antiqua" w:hAnsi="Book Antiqua"/>
        </w:rPr>
        <w:t xml:space="preserve"> inhibitors, tyrosine kinase inhibitors, OX-40 agonists, and PT-112 inhibitors.</w:t>
      </w:r>
      <w:r w:rsidR="00A67B5D" w:rsidRPr="007214E1">
        <w:rPr>
          <w:rFonts w:ascii="Book Antiqua" w:hAnsi="Book Antiqua"/>
        </w:rPr>
        <w:t xml:space="preserve"> The main non-pharmacologic therapies currently being studied for inclusion in a combination strategy include r</w:t>
      </w:r>
      <w:r w:rsidR="00DD71A3" w:rsidRPr="007214E1">
        <w:rPr>
          <w:rFonts w:ascii="Book Antiqua" w:hAnsi="Book Antiqua"/>
        </w:rPr>
        <w:t>adiation therapy</w:t>
      </w:r>
      <w:r w:rsidR="00A67B5D" w:rsidRPr="007214E1">
        <w:rPr>
          <w:rFonts w:ascii="Book Antiqua" w:hAnsi="Book Antiqua"/>
        </w:rPr>
        <w:t xml:space="preserve">, </w:t>
      </w:r>
      <w:r w:rsidR="0041276D" w:rsidRPr="007214E1">
        <w:rPr>
          <w:rFonts w:ascii="Book Antiqua" w:hAnsi="Book Antiqua"/>
        </w:rPr>
        <w:t>trans-arterial chemoembolization</w:t>
      </w:r>
      <w:r w:rsidR="00A67B5D" w:rsidRPr="007214E1">
        <w:rPr>
          <w:rFonts w:ascii="Book Antiqua" w:hAnsi="Book Antiqua"/>
        </w:rPr>
        <w:t xml:space="preserve">, and </w:t>
      </w:r>
      <w:r w:rsidR="00F973BF" w:rsidRPr="007214E1">
        <w:rPr>
          <w:rFonts w:ascii="Book Antiqua" w:hAnsi="Book Antiqua"/>
        </w:rPr>
        <w:t>ablation.</w:t>
      </w:r>
    </w:p>
    <w:p w14:paraId="2507EB62" w14:textId="2FD39B81" w:rsidR="00E17BB1" w:rsidRPr="007214E1" w:rsidRDefault="00E17BB1" w:rsidP="00EB43EE">
      <w:pPr>
        <w:snapToGrid w:val="0"/>
        <w:spacing w:line="360" w:lineRule="auto"/>
        <w:jc w:val="both"/>
        <w:rPr>
          <w:rFonts w:ascii="Book Antiqua" w:hAnsi="Book Antiqua"/>
          <w:i/>
        </w:rPr>
      </w:pPr>
    </w:p>
    <w:p w14:paraId="14CCC68C" w14:textId="203F6F7F" w:rsidR="008E0E13" w:rsidRPr="007214E1" w:rsidRDefault="008E0E13" w:rsidP="00EB43EE">
      <w:pPr>
        <w:snapToGrid w:val="0"/>
        <w:spacing w:line="360" w:lineRule="auto"/>
        <w:jc w:val="both"/>
        <w:rPr>
          <w:rFonts w:ascii="Book Antiqua" w:hAnsi="Book Antiqua"/>
        </w:rPr>
      </w:pPr>
      <w:r w:rsidRPr="007214E1">
        <w:rPr>
          <w:rFonts w:ascii="Book Antiqua" w:hAnsi="Book Antiqua"/>
          <w:b/>
        </w:rPr>
        <w:t xml:space="preserve">Key words: </w:t>
      </w:r>
      <w:r w:rsidRPr="007214E1">
        <w:rPr>
          <w:rFonts w:ascii="Book Antiqua" w:hAnsi="Book Antiqua"/>
        </w:rPr>
        <w:t>Hepatocellular carcinoma;</w:t>
      </w:r>
      <w:r w:rsidR="00F973BF" w:rsidRPr="007214E1">
        <w:rPr>
          <w:rFonts w:ascii="Book Antiqua" w:hAnsi="Book Antiqua"/>
        </w:rPr>
        <w:t xml:space="preserve"> Liver neoplasms; </w:t>
      </w:r>
      <w:r w:rsidR="005A0FB3" w:rsidRPr="007214E1">
        <w:rPr>
          <w:rFonts w:ascii="Book Antiqua" w:hAnsi="Book Antiqua"/>
        </w:rPr>
        <w:t xml:space="preserve">Antineoplastic </w:t>
      </w:r>
      <w:r w:rsidR="00F973BF" w:rsidRPr="007214E1">
        <w:rPr>
          <w:rFonts w:ascii="Book Antiqua" w:hAnsi="Book Antiqua"/>
        </w:rPr>
        <w:t>a</w:t>
      </w:r>
      <w:r w:rsidR="005A0FB3" w:rsidRPr="007214E1">
        <w:rPr>
          <w:rFonts w:ascii="Book Antiqua" w:hAnsi="Book Antiqua"/>
        </w:rPr>
        <w:t>gents; Immunological</w:t>
      </w:r>
      <w:r w:rsidRPr="007214E1">
        <w:rPr>
          <w:rFonts w:ascii="Book Antiqua" w:hAnsi="Book Antiqua"/>
        </w:rPr>
        <w:t xml:space="preserve">; </w:t>
      </w:r>
      <w:r w:rsidR="00F973BF" w:rsidRPr="007214E1">
        <w:rPr>
          <w:rFonts w:ascii="Book Antiqua" w:hAnsi="Book Antiqua"/>
        </w:rPr>
        <w:t>Protein kinase i</w:t>
      </w:r>
      <w:r w:rsidR="005A0FB3" w:rsidRPr="007214E1">
        <w:rPr>
          <w:rFonts w:ascii="Book Antiqua" w:hAnsi="Book Antiqua"/>
        </w:rPr>
        <w:t>nhibitors</w:t>
      </w:r>
      <w:r w:rsidRPr="007214E1">
        <w:rPr>
          <w:rFonts w:ascii="Book Antiqua" w:hAnsi="Book Antiqua"/>
        </w:rPr>
        <w:t xml:space="preserve">; </w:t>
      </w:r>
      <w:r w:rsidR="00F973BF" w:rsidRPr="007214E1">
        <w:rPr>
          <w:rFonts w:ascii="Book Antiqua" w:hAnsi="Book Antiqua"/>
        </w:rPr>
        <w:t>Angiogenesis i</w:t>
      </w:r>
      <w:r w:rsidR="005A0FB3" w:rsidRPr="007214E1">
        <w:rPr>
          <w:rFonts w:ascii="Book Antiqua" w:hAnsi="Book Antiqua"/>
        </w:rPr>
        <w:t>nhibitors</w:t>
      </w:r>
    </w:p>
    <w:p w14:paraId="5C5BE0F7" w14:textId="18C56213" w:rsidR="008E0E13" w:rsidRPr="007214E1" w:rsidRDefault="008E0E13" w:rsidP="00EB43EE">
      <w:pPr>
        <w:snapToGrid w:val="0"/>
        <w:spacing w:line="360" w:lineRule="auto"/>
        <w:jc w:val="both"/>
        <w:rPr>
          <w:rFonts w:ascii="Book Antiqua" w:hAnsi="Book Antiqua"/>
          <w:i/>
        </w:rPr>
      </w:pPr>
    </w:p>
    <w:p w14:paraId="695CAD72" w14:textId="764765AB" w:rsidR="007214E1" w:rsidRDefault="007214E1" w:rsidP="00EB43EE">
      <w:pPr>
        <w:snapToGrid w:val="0"/>
        <w:spacing w:line="360" w:lineRule="auto"/>
        <w:jc w:val="both"/>
        <w:rPr>
          <w:rFonts w:ascii="Calibri" w:eastAsia="宋体" w:hAnsi="Calibri" w:hint="eastAsia"/>
          <w:iCs/>
          <w:kern w:val="2"/>
          <w:lang w:val="el-GR" w:eastAsia="zh-CN"/>
        </w:rPr>
      </w:pPr>
      <w:r w:rsidRPr="007214E1">
        <w:rPr>
          <w:rFonts w:ascii="Book Antiqua" w:eastAsia="宋体" w:hAnsi="Book Antiqua" w:hint="eastAsia"/>
          <w:b/>
          <w:lang w:eastAsia="zh-CN"/>
        </w:rPr>
        <w:t>Citation:</w:t>
      </w:r>
      <w:r>
        <w:rPr>
          <w:rFonts w:ascii="Book Antiqua" w:eastAsia="宋体" w:hAnsi="Book Antiqua" w:hint="eastAsia"/>
          <w:lang w:eastAsia="zh-CN"/>
        </w:rPr>
        <w:t xml:space="preserve"> </w:t>
      </w:r>
      <w:r w:rsidR="00F973BF" w:rsidRPr="007214E1">
        <w:rPr>
          <w:rFonts w:ascii="Book Antiqua" w:hAnsi="Book Antiqua"/>
        </w:rPr>
        <w:t>Jordan AC, Wu J. Immunotherapy in hepatocellular carcinoma: Combination strategies.</w:t>
      </w:r>
      <w:r w:rsidR="00F973BF" w:rsidRPr="007214E1">
        <w:rPr>
          <w:rFonts w:ascii="Book Antiqua" w:eastAsiaTheme="minorEastAsia" w:hAnsi="Book Antiqua"/>
          <w:lang w:eastAsia="zh-CN"/>
        </w:rPr>
        <w:t xml:space="preserve"> </w:t>
      </w:r>
      <w:r w:rsidR="004B389C" w:rsidRPr="007214E1">
        <w:rPr>
          <w:rFonts w:ascii="Book Antiqua" w:hAnsi="Book Antiqua"/>
          <w:i/>
        </w:rPr>
        <w:t>World J Meta-Anal</w:t>
      </w:r>
      <w:r w:rsidR="004B389C" w:rsidRPr="007214E1">
        <w:rPr>
          <w:rFonts w:ascii="Book Antiqua" w:hAnsi="Book Antiqua"/>
        </w:rPr>
        <w:t xml:space="preserve"> 2020; </w:t>
      </w:r>
      <w:r w:rsidR="00737C3D" w:rsidRPr="007214E1">
        <w:rPr>
          <w:rFonts w:ascii="Calibri" w:eastAsia="宋体" w:hAnsi="Calibri" w:hint="eastAsia"/>
          <w:iCs/>
          <w:kern w:val="2"/>
          <w:lang w:val="el-GR" w:eastAsia="zh-CN"/>
        </w:rPr>
        <w:t>8</w:t>
      </w:r>
      <w:r w:rsidR="00737C3D" w:rsidRPr="007214E1">
        <w:rPr>
          <w:rFonts w:ascii="Calibri" w:eastAsia="宋体" w:hAnsi="Calibri"/>
          <w:iCs/>
          <w:kern w:val="2"/>
          <w:lang w:val="el-GR" w:eastAsia="zh-CN"/>
        </w:rPr>
        <w:t>(</w:t>
      </w:r>
      <w:r w:rsidR="00737C3D" w:rsidRPr="007214E1">
        <w:rPr>
          <w:rFonts w:ascii="Calibri" w:eastAsia="宋体" w:hAnsi="Calibri" w:hint="eastAsia"/>
          <w:iCs/>
          <w:kern w:val="2"/>
          <w:lang w:val="el-GR" w:eastAsia="zh-CN"/>
        </w:rPr>
        <w:t>3</w:t>
      </w:r>
      <w:r>
        <w:rPr>
          <w:rFonts w:ascii="Calibri" w:eastAsia="宋体" w:hAnsi="Calibri"/>
          <w:iCs/>
          <w:kern w:val="2"/>
          <w:lang w:val="el-GR" w:eastAsia="zh-CN"/>
        </w:rPr>
        <w:t xml:space="preserve">): </w:t>
      </w:r>
      <w:r>
        <w:rPr>
          <w:rFonts w:ascii="Calibri" w:eastAsia="宋体" w:hAnsi="Calibri" w:hint="eastAsia"/>
          <w:iCs/>
          <w:kern w:val="2"/>
          <w:lang w:val="el-GR" w:eastAsia="zh-CN"/>
        </w:rPr>
        <w:t>190</w:t>
      </w:r>
      <w:r>
        <w:rPr>
          <w:rFonts w:ascii="Calibri" w:eastAsia="宋体" w:hAnsi="Calibri"/>
          <w:iCs/>
          <w:kern w:val="2"/>
          <w:lang w:val="el-GR" w:eastAsia="zh-CN"/>
        </w:rPr>
        <w:t>-</w:t>
      </w:r>
      <w:r>
        <w:rPr>
          <w:rFonts w:ascii="Calibri" w:eastAsia="宋体" w:hAnsi="Calibri" w:hint="eastAsia"/>
          <w:iCs/>
          <w:kern w:val="2"/>
          <w:lang w:val="el-GR" w:eastAsia="zh-CN"/>
        </w:rPr>
        <w:t>209</w:t>
      </w:r>
    </w:p>
    <w:p w14:paraId="321A2F0C" w14:textId="12DFE9E9" w:rsidR="007214E1" w:rsidRDefault="00737C3D" w:rsidP="00EB43EE">
      <w:pPr>
        <w:snapToGrid w:val="0"/>
        <w:spacing w:line="360" w:lineRule="auto"/>
        <w:jc w:val="both"/>
        <w:rPr>
          <w:rFonts w:ascii="Calibri" w:eastAsia="宋体" w:hAnsi="Calibri" w:hint="eastAsia"/>
          <w:iCs/>
          <w:kern w:val="2"/>
          <w:lang w:val="el-GR" w:eastAsia="zh-CN"/>
        </w:rPr>
      </w:pPr>
      <w:r w:rsidRPr="007214E1">
        <w:rPr>
          <w:rFonts w:ascii="Calibri" w:eastAsia="宋体" w:hAnsi="Calibri"/>
          <w:iCs/>
          <w:kern w:val="2"/>
          <w:lang w:val="el-GR" w:eastAsia="zh-CN"/>
        </w:rPr>
        <w:t xml:space="preserve">URL: </w:t>
      </w:r>
      <w:r w:rsidR="007214E1">
        <w:rPr>
          <w:rFonts w:ascii="Calibri" w:eastAsia="宋体" w:hAnsi="Calibri"/>
          <w:iCs/>
          <w:kern w:val="2"/>
          <w:lang w:val="el-GR" w:eastAsia="zh-CN"/>
        </w:rPr>
        <w:fldChar w:fldCharType="begin"/>
      </w:r>
      <w:r w:rsidR="007214E1">
        <w:rPr>
          <w:rFonts w:ascii="Calibri" w:eastAsia="宋体" w:hAnsi="Calibri"/>
          <w:iCs/>
          <w:kern w:val="2"/>
          <w:lang w:val="el-GR" w:eastAsia="zh-CN"/>
        </w:rPr>
        <w:instrText xml:space="preserve"> HYPERLINK "</w:instrText>
      </w:r>
      <w:r w:rsidR="007214E1" w:rsidRPr="007214E1">
        <w:rPr>
          <w:rFonts w:ascii="Calibri" w:eastAsia="宋体" w:hAnsi="Calibri"/>
          <w:iCs/>
          <w:kern w:val="2"/>
          <w:lang w:val="el-GR" w:eastAsia="zh-CN"/>
        </w:rPr>
        <w:instrText>https://www.wjgnet.com/</w:instrText>
      </w:r>
      <w:r w:rsidR="007214E1" w:rsidRPr="007214E1">
        <w:rPr>
          <w:rFonts w:ascii="Calibri" w:eastAsia="宋体" w:hAnsi="Calibri"/>
          <w:iCs/>
          <w:kern w:val="2"/>
          <w:lang w:eastAsia="zh-CN"/>
        </w:rPr>
        <w:instrText>2308-3840</w:instrText>
      </w:r>
      <w:r w:rsidR="007214E1" w:rsidRPr="007214E1">
        <w:rPr>
          <w:rFonts w:ascii="Calibri" w:eastAsia="宋体" w:hAnsi="Calibri"/>
          <w:iCs/>
          <w:kern w:val="2"/>
          <w:lang w:val="el-GR" w:eastAsia="zh-CN"/>
        </w:rPr>
        <w:instrText>/full/v</w:instrText>
      </w:r>
      <w:r w:rsidR="007214E1" w:rsidRPr="007214E1">
        <w:rPr>
          <w:rFonts w:ascii="Calibri" w:eastAsia="宋体" w:hAnsi="Calibri" w:hint="eastAsia"/>
          <w:iCs/>
          <w:kern w:val="2"/>
          <w:lang w:val="el-GR" w:eastAsia="zh-CN"/>
        </w:rPr>
        <w:instrText>8</w:instrText>
      </w:r>
      <w:r w:rsidR="007214E1" w:rsidRPr="007214E1">
        <w:rPr>
          <w:rFonts w:ascii="Calibri" w:eastAsia="宋体" w:hAnsi="Calibri"/>
          <w:iCs/>
          <w:kern w:val="2"/>
          <w:lang w:val="el-GR" w:eastAsia="zh-CN"/>
        </w:rPr>
        <w:instrText>/i</w:instrText>
      </w:r>
      <w:r w:rsidR="007214E1" w:rsidRPr="007214E1">
        <w:rPr>
          <w:rFonts w:ascii="Calibri" w:eastAsia="宋体" w:hAnsi="Calibri" w:hint="eastAsia"/>
          <w:iCs/>
          <w:kern w:val="2"/>
          <w:lang w:val="el-GR" w:eastAsia="zh-CN"/>
        </w:rPr>
        <w:instrText>3</w:instrText>
      </w:r>
      <w:r w:rsidR="007214E1" w:rsidRPr="007214E1">
        <w:rPr>
          <w:rFonts w:ascii="Calibri" w:eastAsia="宋体" w:hAnsi="Calibri"/>
          <w:iCs/>
          <w:kern w:val="2"/>
          <w:lang w:val="el-GR" w:eastAsia="zh-CN"/>
        </w:rPr>
        <w:instrText>/</w:instrText>
      </w:r>
      <w:r w:rsidR="007214E1" w:rsidRPr="007214E1">
        <w:rPr>
          <w:rFonts w:ascii="Calibri" w:eastAsia="宋体" w:hAnsi="Calibri" w:hint="eastAsia"/>
          <w:iCs/>
          <w:kern w:val="2"/>
          <w:lang w:val="el-GR" w:eastAsia="zh-CN"/>
        </w:rPr>
        <w:instrText>190</w:instrText>
      </w:r>
      <w:r w:rsidR="007214E1" w:rsidRPr="007214E1">
        <w:rPr>
          <w:rFonts w:ascii="Calibri" w:eastAsia="宋体" w:hAnsi="Calibri"/>
          <w:iCs/>
          <w:kern w:val="2"/>
          <w:lang w:val="el-GR" w:eastAsia="zh-CN"/>
        </w:rPr>
        <w:instrText>.htm</w:instrText>
      </w:r>
      <w:r w:rsidR="007214E1">
        <w:rPr>
          <w:rFonts w:ascii="Calibri" w:eastAsia="宋体" w:hAnsi="Calibri"/>
          <w:iCs/>
          <w:kern w:val="2"/>
          <w:lang w:val="el-GR" w:eastAsia="zh-CN"/>
        </w:rPr>
        <w:instrText xml:space="preserve">" </w:instrText>
      </w:r>
      <w:r w:rsidR="007214E1">
        <w:rPr>
          <w:rFonts w:ascii="Calibri" w:eastAsia="宋体" w:hAnsi="Calibri"/>
          <w:iCs/>
          <w:kern w:val="2"/>
          <w:lang w:val="el-GR" w:eastAsia="zh-CN"/>
        </w:rPr>
        <w:fldChar w:fldCharType="separate"/>
      </w:r>
      <w:r w:rsidR="007214E1" w:rsidRPr="007E66A1">
        <w:rPr>
          <w:rStyle w:val="a8"/>
          <w:rFonts w:ascii="Calibri" w:eastAsia="宋体" w:hAnsi="Calibri"/>
          <w:iCs/>
          <w:kern w:val="2"/>
          <w:lang w:val="el-GR" w:eastAsia="zh-CN"/>
        </w:rPr>
        <w:t>https://www.wjgnet.com/</w:t>
      </w:r>
      <w:r w:rsidR="007214E1" w:rsidRPr="007E66A1">
        <w:rPr>
          <w:rStyle w:val="a8"/>
          <w:rFonts w:ascii="Calibri" w:eastAsia="宋体" w:hAnsi="Calibri"/>
          <w:iCs/>
          <w:kern w:val="2"/>
          <w:lang w:eastAsia="zh-CN"/>
        </w:rPr>
        <w:t>2308-3840</w:t>
      </w:r>
      <w:r w:rsidR="007214E1" w:rsidRPr="007E66A1">
        <w:rPr>
          <w:rStyle w:val="a8"/>
          <w:rFonts w:ascii="Calibri" w:eastAsia="宋体" w:hAnsi="Calibri"/>
          <w:iCs/>
          <w:kern w:val="2"/>
          <w:lang w:val="el-GR" w:eastAsia="zh-CN"/>
        </w:rPr>
        <w:t>/full/v</w:t>
      </w:r>
      <w:r w:rsidR="007214E1" w:rsidRPr="007E66A1">
        <w:rPr>
          <w:rStyle w:val="a8"/>
          <w:rFonts w:ascii="Calibri" w:eastAsia="宋体" w:hAnsi="Calibri" w:hint="eastAsia"/>
          <w:iCs/>
          <w:kern w:val="2"/>
          <w:lang w:val="el-GR" w:eastAsia="zh-CN"/>
        </w:rPr>
        <w:t>8</w:t>
      </w:r>
      <w:r w:rsidR="007214E1" w:rsidRPr="007E66A1">
        <w:rPr>
          <w:rStyle w:val="a8"/>
          <w:rFonts w:ascii="Calibri" w:eastAsia="宋体" w:hAnsi="Calibri"/>
          <w:iCs/>
          <w:kern w:val="2"/>
          <w:lang w:val="el-GR" w:eastAsia="zh-CN"/>
        </w:rPr>
        <w:t>/i</w:t>
      </w:r>
      <w:r w:rsidR="007214E1" w:rsidRPr="007E66A1">
        <w:rPr>
          <w:rStyle w:val="a8"/>
          <w:rFonts w:ascii="Calibri" w:eastAsia="宋体" w:hAnsi="Calibri" w:hint="eastAsia"/>
          <w:iCs/>
          <w:kern w:val="2"/>
          <w:lang w:val="el-GR" w:eastAsia="zh-CN"/>
        </w:rPr>
        <w:t>3</w:t>
      </w:r>
      <w:r w:rsidR="007214E1" w:rsidRPr="007E66A1">
        <w:rPr>
          <w:rStyle w:val="a8"/>
          <w:rFonts w:ascii="Calibri" w:eastAsia="宋体" w:hAnsi="Calibri"/>
          <w:iCs/>
          <w:kern w:val="2"/>
          <w:lang w:val="el-GR" w:eastAsia="zh-CN"/>
        </w:rPr>
        <w:t>/</w:t>
      </w:r>
      <w:r w:rsidR="007214E1" w:rsidRPr="007E66A1">
        <w:rPr>
          <w:rStyle w:val="a8"/>
          <w:rFonts w:ascii="Calibri" w:eastAsia="宋体" w:hAnsi="Calibri" w:hint="eastAsia"/>
          <w:iCs/>
          <w:kern w:val="2"/>
          <w:lang w:val="el-GR" w:eastAsia="zh-CN"/>
        </w:rPr>
        <w:t>190</w:t>
      </w:r>
      <w:r w:rsidR="007214E1" w:rsidRPr="007E66A1">
        <w:rPr>
          <w:rStyle w:val="a8"/>
          <w:rFonts w:ascii="Calibri" w:eastAsia="宋体" w:hAnsi="Calibri"/>
          <w:iCs/>
          <w:kern w:val="2"/>
          <w:lang w:val="el-GR" w:eastAsia="zh-CN"/>
        </w:rPr>
        <w:t>.htm</w:t>
      </w:r>
      <w:r w:rsidR="007214E1">
        <w:rPr>
          <w:rFonts w:ascii="Calibri" w:eastAsia="宋体" w:hAnsi="Calibri"/>
          <w:iCs/>
          <w:kern w:val="2"/>
          <w:lang w:val="el-GR" w:eastAsia="zh-CN"/>
        </w:rPr>
        <w:fldChar w:fldCharType="end"/>
      </w:r>
    </w:p>
    <w:p w14:paraId="6CA153CB" w14:textId="32ABD061" w:rsidR="00FE2F7E" w:rsidRPr="007214E1" w:rsidRDefault="00737C3D" w:rsidP="00EB43EE">
      <w:pPr>
        <w:snapToGrid w:val="0"/>
        <w:spacing w:line="360" w:lineRule="auto"/>
        <w:jc w:val="both"/>
        <w:rPr>
          <w:rFonts w:ascii="Book Antiqua" w:hAnsi="Book Antiqua"/>
        </w:rPr>
      </w:pPr>
      <w:r w:rsidRPr="007214E1">
        <w:rPr>
          <w:rFonts w:ascii="Calibri" w:eastAsia="宋体" w:hAnsi="Calibri"/>
          <w:iCs/>
          <w:kern w:val="2"/>
          <w:lang w:val="el-GR" w:eastAsia="zh-CN"/>
        </w:rPr>
        <w:lastRenderedPageBreak/>
        <w:t>DOI: https://dx.doi.org/</w:t>
      </w:r>
      <w:r w:rsidRPr="007214E1">
        <w:rPr>
          <w:rFonts w:ascii="Calibri" w:eastAsia="宋体" w:hAnsi="Calibri"/>
          <w:iCs/>
          <w:kern w:val="2"/>
          <w:lang w:eastAsia="zh-CN"/>
        </w:rPr>
        <w:t>10.13105</w:t>
      </w:r>
      <w:r w:rsidRPr="007214E1">
        <w:rPr>
          <w:rFonts w:ascii="Calibri" w:eastAsia="宋体" w:hAnsi="Calibri"/>
          <w:iCs/>
          <w:kern w:val="2"/>
          <w:lang w:val="el-GR" w:eastAsia="zh-CN"/>
        </w:rPr>
        <w:t>/wj</w:t>
      </w:r>
      <w:r w:rsidRPr="007214E1">
        <w:rPr>
          <w:rFonts w:ascii="Calibri" w:eastAsia="宋体" w:hAnsi="Calibri" w:hint="eastAsia"/>
          <w:iCs/>
          <w:kern w:val="2"/>
          <w:lang w:val="el-GR" w:eastAsia="zh-CN"/>
        </w:rPr>
        <w:t>ma</w:t>
      </w:r>
      <w:r w:rsidRPr="007214E1">
        <w:rPr>
          <w:rFonts w:ascii="Calibri" w:eastAsia="宋体" w:hAnsi="Calibri"/>
          <w:iCs/>
          <w:kern w:val="2"/>
          <w:lang w:val="el-GR" w:eastAsia="zh-CN"/>
        </w:rPr>
        <w:t>.v</w:t>
      </w:r>
      <w:r w:rsidRPr="007214E1">
        <w:rPr>
          <w:rFonts w:ascii="Calibri" w:eastAsia="宋体" w:hAnsi="Calibri" w:hint="eastAsia"/>
          <w:iCs/>
          <w:kern w:val="2"/>
          <w:lang w:val="el-GR" w:eastAsia="zh-CN"/>
        </w:rPr>
        <w:t>8</w:t>
      </w:r>
      <w:r w:rsidRPr="007214E1">
        <w:rPr>
          <w:rFonts w:ascii="Calibri" w:eastAsia="宋体" w:hAnsi="Calibri"/>
          <w:iCs/>
          <w:kern w:val="2"/>
          <w:lang w:val="el-GR" w:eastAsia="zh-CN"/>
        </w:rPr>
        <w:t>.i</w:t>
      </w:r>
      <w:r w:rsidRPr="007214E1">
        <w:rPr>
          <w:rFonts w:ascii="Calibri" w:eastAsia="宋体" w:hAnsi="Calibri" w:hint="eastAsia"/>
          <w:iCs/>
          <w:kern w:val="2"/>
          <w:lang w:val="el-GR" w:eastAsia="zh-CN"/>
        </w:rPr>
        <w:t>3</w:t>
      </w:r>
      <w:r w:rsidRPr="007214E1">
        <w:rPr>
          <w:rFonts w:ascii="Calibri" w:eastAsia="宋体" w:hAnsi="Calibri"/>
          <w:iCs/>
          <w:kern w:val="2"/>
          <w:lang w:val="el-GR" w:eastAsia="zh-CN"/>
        </w:rPr>
        <w:t>.</w:t>
      </w:r>
      <w:r w:rsidR="007214E1">
        <w:rPr>
          <w:rFonts w:ascii="Calibri" w:eastAsia="宋体" w:hAnsi="Calibri" w:hint="eastAsia"/>
          <w:iCs/>
          <w:kern w:val="2"/>
          <w:lang w:val="el-GR" w:eastAsia="zh-CN"/>
        </w:rPr>
        <w:t>190</w:t>
      </w:r>
      <w:bookmarkStart w:id="11" w:name="_GoBack"/>
      <w:bookmarkEnd w:id="11"/>
    </w:p>
    <w:p w14:paraId="12F0E2A7" w14:textId="77777777" w:rsidR="00DE521E" w:rsidRPr="007214E1" w:rsidRDefault="00DE521E" w:rsidP="00EB43EE">
      <w:pPr>
        <w:snapToGrid w:val="0"/>
        <w:spacing w:line="360" w:lineRule="auto"/>
        <w:jc w:val="both"/>
        <w:rPr>
          <w:rFonts w:ascii="Book Antiqua" w:hAnsi="Book Antiqua"/>
          <w:i/>
        </w:rPr>
      </w:pPr>
    </w:p>
    <w:p w14:paraId="15B48729" w14:textId="4C673DD1" w:rsidR="008E0E13" w:rsidRPr="007214E1" w:rsidRDefault="008E0E13" w:rsidP="00EB43EE">
      <w:pPr>
        <w:snapToGrid w:val="0"/>
        <w:spacing w:line="360" w:lineRule="auto"/>
        <w:jc w:val="both"/>
        <w:rPr>
          <w:rFonts w:ascii="Book Antiqua" w:hAnsi="Book Antiqua"/>
          <w:b/>
        </w:rPr>
      </w:pPr>
      <w:r w:rsidRPr="007214E1">
        <w:rPr>
          <w:rFonts w:ascii="Book Antiqua" w:hAnsi="Book Antiqua"/>
          <w:b/>
        </w:rPr>
        <w:t>Core tip:</w:t>
      </w:r>
      <w:r w:rsidR="00067246" w:rsidRPr="007214E1">
        <w:rPr>
          <w:rFonts w:ascii="Book Antiqua" w:hAnsi="Book Antiqua"/>
          <w:b/>
          <w:i/>
        </w:rPr>
        <w:t xml:space="preserve"> </w:t>
      </w:r>
      <w:r w:rsidR="00967FAF" w:rsidRPr="007214E1">
        <w:rPr>
          <w:rFonts w:ascii="Book Antiqua" w:hAnsi="Book Antiqua"/>
        </w:rPr>
        <w:t xml:space="preserve">Immunotherapy </w:t>
      </w:r>
      <w:r w:rsidR="00067246" w:rsidRPr="007214E1">
        <w:rPr>
          <w:rFonts w:ascii="Book Antiqua" w:hAnsi="Book Antiqua"/>
        </w:rPr>
        <w:t xml:space="preserve">remains </w:t>
      </w:r>
      <w:r w:rsidR="00BD6A65" w:rsidRPr="007214E1">
        <w:rPr>
          <w:rFonts w:ascii="Book Antiqua" w:hAnsi="Book Antiqua"/>
        </w:rPr>
        <w:t>a viable option for the systemic treatment of patients with</w:t>
      </w:r>
      <w:r w:rsidR="00967FAF" w:rsidRPr="007214E1">
        <w:rPr>
          <w:rFonts w:ascii="Book Antiqua" w:hAnsi="Book Antiqua"/>
        </w:rPr>
        <w:t xml:space="preserve"> unresectable </w:t>
      </w:r>
      <w:r w:rsidR="00F973BF" w:rsidRPr="007214E1">
        <w:rPr>
          <w:rFonts w:ascii="Book Antiqua" w:hAnsi="Book Antiqua"/>
        </w:rPr>
        <w:t>hepatocellular carcinoma</w:t>
      </w:r>
      <w:r w:rsidR="00067246" w:rsidRPr="007214E1">
        <w:rPr>
          <w:rFonts w:ascii="Book Antiqua" w:hAnsi="Book Antiqua"/>
        </w:rPr>
        <w:t>, although n</w:t>
      </w:r>
      <w:r w:rsidR="00A67B5D" w:rsidRPr="007214E1">
        <w:rPr>
          <w:rFonts w:ascii="Book Antiqua" w:hAnsi="Book Antiqua"/>
        </w:rPr>
        <w:t xml:space="preserve">ivolumab </w:t>
      </w:r>
      <w:r w:rsidR="00154A2B" w:rsidRPr="007214E1">
        <w:rPr>
          <w:rFonts w:ascii="Book Antiqua" w:hAnsi="Book Antiqua"/>
        </w:rPr>
        <w:t xml:space="preserve">and pembrolizumab </w:t>
      </w:r>
      <w:r w:rsidR="00A67B5D" w:rsidRPr="007214E1">
        <w:rPr>
          <w:rFonts w:ascii="Book Antiqua" w:hAnsi="Book Antiqua"/>
        </w:rPr>
        <w:t>failed to meet their endpoint</w:t>
      </w:r>
      <w:r w:rsidR="00067246" w:rsidRPr="007214E1">
        <w:rPr>
          <w:rFonts w:ascii="Book Antiqua" w:hAnsi="Book Antiqua"/>
        </w:rPr>
        <w:t>s</w:t>
      </w:r>
      <w:r w:rsidR="00154A2B" w:rsidRPr="007214E1">
        <w:rPr>
          <w:rFonts w:ascii="Book Antiqua" w:hAnsi="Book Antiqua"/>
        </w:rPr>
        <w:t xml:space="preserve"> in phase III studies</w:t>
      </w:r>
      <w:r w:rsidR="00967FAF" w:rsidRPr="007214E1">
        <w:rPr>
          <w:rFonts w:ascii="Book Antiqua" w:hAnsi="Book Antiqua"/>
        </w:rPr>
        <w:t xml:space="preserve">. </w:t>
      </w:r>
      <w:r w:rsidR="00FE2F7E" w:rsidRPr="007214E1">
        <w:rPr>
          <w:rFonts w:ascii="Book Antiqua" w:hAnsi="Book Antiqua"/>
        </w:rPr>
        <w:t xml:space="preserve">Combining immunotherapy with other treatment modalities may </w:t>
      </w:r>
      <w:r w:rsidR="00A67B5D" w:rsidRPr="007214E1">
        <w:rPr>
          <w:rFonts w:ascii="Book Antiqua" w:hAnsi="Book Antiqua"/>
        </w:rPr>
        <w:t>improve treatment responses</w:t>
      </w:r>
      <w:r w:rsidR="00FE2F7E" w:rsidRPr="007214E1">
        <w:rPr>
          <w:rFonts w:ascii="Book Antiqua" w:hAnsi="Book Antiqua"/>
        </w:rPr>
        <w:t>. Multiple clinical trials are evaluating the safety and efficacy of</w:t>
      </w:r>
      <w:r w:rsidRPr="007214E1">
        <w:rPr>
          <w:rFonts w:ascii="Book Antiqua" w:hAnsi="Book Antiqua"/>
        </w:rPr>
        <w:t xml:space="preserve"> </w:t>
      </w:r>
      <w:r w:rsidR="00A67B5D" w:rsidRPr="007214E1">
        <w:rPr>
          <w:rFonts w:ascii="Book Antiqua" w:hAnsi="Book Antiqua"/>
        </w:rPr>
        <w:t>these new combination strategies, which involve pairing PD-1 or PD-L1 inhibitors with CTLA-4 inhibitors</w:t>
      </w:r>
      <w:r w:rsidR="00FE2F7E" w:rsidRPr="007214E1">
        <w:rPr>
          <w:rFonts w:ascii="Book Antiqua" w:hAnsi="Book Antiqua"/>
        </w:rPr>
        <w:t xml:space="preserve">, </w:t>
      </w:r>
      <w:r w:rsidR="00A67B5D" w:rsidRPr="007214E1">
        <w:rPr>
          <w:rFonts w:ascii="Book Antiqua" w:hAnsi="Book Antiqua"/>
        </w:rPr>
        <w:t xml:space="preserve">or pairing checkpoint inhibitors with alternative agents </w:t>
      </w:r>
      <w:r w:rsidR="00F973BF" w:rsidRPr="007214E1">
        <w:rPr>
          <w:rFonts w:ascii="Book Antiqua" w:hAnsi="Book Antiqua"/>
        </w:rPr>
        <w:t>or non-pharmacologic therapies.</w:t>
      </w:r>
    </w:p>
    <w:p w14:paraId="6FE18B14" w14:textId="77777777" w:rsidR="00F973BF" w:rsidRPr="007214E1" w:rsidRDefault="00F973BF" w:rsidP="00EB43EE">
      <w:pPr>
        <w:snapToGrid w:val="0"/>
        <w:spacing w:line="360" w:lineRule="auto"/>
        <w:jc w:val="both"/>
        <w:rPr>
          <w:rFonts w:ascii="Book Antiqua" w:hAnsi="Book Antiqua"/>
          <w:i/>
        </w:rPr>
      </w:pPr>
      <w:r w:rsidRPr="007214E1">
        <w:rPr>
          <w:rFonts w:ascii="Book Antiqua" w:hAnsi="Book Antiqua"/>
          <w:i/>
        </w:rPr>
        <w:br w:type="page"/>
      </w:r>
    </w:p>
    <w:p w14:paraId="2B9E9E49" w14:textId="77777777" w:rsidR="00F973BF" w:rsidRPr="007214E1" w:rsidRDefault="00F973BF" w:rsidP="00EB43EE">
      <w:pPr>
        <w:pStyle w:val="a5"/>
        <w:snapToGrid w:val="0"/>
        <w:spacing w:line="360" w:lineRule="auto"/>
        <w:jc w:val="both"/>
        <w:rPr>
          <w:rFonts w:ascii="Book Antiqua" w:hAnsi="Book Antiqua" w:cs="Times New Roman"/>
          <w:sz w:val="24"/>
          <w:szCs w:val="24"/>
          <w:lang w:val="en-GB"/>
        </w:rPr>
      </w:pPr>
      <w:r w:rsidRPr="007214E1">
        <w:rPr>
          <w:rFonts w:ascii="Book Antiqua" w:hAnsi="Book Antiqua"/>
          <w:b/>
          <w:sz w:val="24"/>
          <w:szCs w:val="24"/>
          <w:u w:val="single"/>
          <w:lang w:val="en-GB"/>
        </w:rPr>
        <w:lastRenderedPageBreak/>
        <w:t>INTRODUCTION</w:t>
      </w:r>
    </w:p>
    <w:p w14:paraId="4A1E9A17" w14:textId="6817052E" w:rsidR="00781B1B" w:rsidRPr="007214E1" w:rsidRDefault="008347F3" w:rsidP="00EB43EE">
      <w:pPr>
        <w:pStyle w:val="a5"/>
        <w:snapToGrid w:val="0"/>
        <w:spacing w:line="360" w:lineRule="auto"/>
        <w:jc w:val="both"/>
        <w:rPr>
          <w:rFonts w:ascii="Book Antiqua" w:hAnsi="Book Antiqua" w:cs="Times New Roman"/>
          <w:sz w:val="24"/>
          <w:szCs w:val="24"/>
        </w:rPr>
      </w:pPr>
      <w:r w:rsidRPr="007214E1">
        <w:rPr>
          <w:rFonts w:ascii="Book Antiqua" w:hAnsi="Book Antiqua" w:cs="Times New Roman"/>
          <w:sz w:val="24"/>
          <w:szCs w:val="24"/>
        </w:rPr>
        <w:t>Worldwide, liver cancer is the fourth</w:t>
      </w:r>
      <w:r w:rsidR="003A2A49" w:rsidRPr="007214E1">
        <w:rPr>
          <w:rFonts w:ascii="Book Antiqua" w:hAnsi="Book Antiqua" w:cs="Times New Roman"/>
          <w:sz w:val="24"/>
          <w:szCs w:val="24"/>
        </w:rPr>
        <w:t xml:space="preserve"> </w:t>
      </w:r>
      <w:r w:rsidRPr="007214E1">
        <w:rPr>
          <w:rFonts w:ascii="Book Antiqua" w:hAnsi="Book Antiqua" w:cs="Times New Roman"/>
          <w:sz w:val="24"/>
          <w:szCs w:val="24"/>
        </w:rPr>
        <w:t>leading cause of cancer death and the seventh</w:t>
      </w:r>
      <w:r w:rsidR="003A2A49" w:rsidRPr="007214E1">
        <w:rPr>
          <w:rFonts w:ascii="Book Antiqua" w:hAnsi="Book Antiqua" w:cs="Times New Roman"/>
          <w:sz w:val="24"/>
          <w:szCs w:val="24"/>
        </w:rPr>
        <w:t xml:space="preserve"> </w:t>
      </w:r>
      <w:r w:rsidRPr="007214E1">
        <w:rPr>
          <w:rFonts w:ascii="Book Antiqua" w:hAnsi="Book Antiqua" w:cs="Times New Roman"/>
          <w:sz w:val="24"/>
          <w:szCs w:val="24"/>
        </w:rPr>
        <w:t>most common cancer</w:t>
      </w:r>
      <w:r w:rsidR="0089360B" w:rsidRPr="007214E1">
        <w:rPr>
          <w:rFonts w:ascii="Book Antiqua" w:hAnsi="Book Antiqua" w:cs="Times New Roman"/>
          <w:sz w:val="24"/>
          <w:szCs w:val="24"/>
        </w:rPr>
        <w:t xml:space="preserve"> in terms of </w:t>
      </w:r>
      <w:proofErr w:type="gramStart"/>
      <w:r w:rsidR="0089360B" w:rsidRPr="007214E1">
        <w:rPr>
          <w:rFonts w:ascii="Book Antiqua" w:hAnsi="Book Antiqua" w:cs="Times New Roman"/>
          <w:sz w:val="24"/>
          <w:szCs w:val="24"/>
        </w:rPr>
        <w:t>incidence</w:t>
      </w:r>
      <w:r w:rsidRPr="007214E1">
        <w:rPr>
          <w:rFonts w:ascii="Book Antiqua" w:hAnsi="Book Antiqua" w:cs="Times New Roman"/>
          <w:sz w:val="24"/>
          <w:szCs w:val="24"/>
          <w:vertAlign w:val="superscript"/>
        </w:rPr>
        <w:t>[</w:t>
      </w:r>
      <w:proofErr w:type="gramEnd"/>
      <w:r w:rsidR="00AE229E" w:rsidRPr="007214E1">
        <w:rPr>
          <w:rFonts w:ascii="Book Antiqua" w:hAnsi="Book Antiqua" w:cs="Times New Roman"/>
          <w:sz w:val="24"/>
          <w:szCs w:val="24"/>
          <w:vertAlign w:val="superscript"/>
        </w:rPr>
        <w:t>1</w:t>
      </w:r>
      <w:r w:rsidRPr="007214E1">
        <w:rPr>
          <w:rFonts w:ascii="Book Antiqua" w:hAnsi="Book Antiqua" w:cs="Times New Roman"/>
          <w:sz w:val="24"/>
          <w:szCs w:val="24"/>
          <w:vertAlign w:val="superscript"/>
        </w:rPr>
        <w:t>]</w:t>
      </w:r>
      <w:r w:rsidRPr="007214E1">
        <w:rPr>
          <w:rFonts w:ascii="Book Antiqua" w:hAnsi="Book Antiqua" w:cs="Times New Roman"/>
          <w:sz w:val="24"/>
          <w:szCs w:val="24"/>
        </w:rPr>
        <w:t xml:space="preserve">. </w:t>
      </w:r>
      <w:r w:rsidR="009C5CD3" w:rsidRPr="007214E1">
        <w:rPr>
          <w:rFonts w:ascii="Book Antiqua" w:hAnsi="Book Antiqua" w:cs="Times New Roman"/>
          <w:sz w:val="24"/>
          <w:szCs w:val="24"/>
        </w:rPr>
        <w:t xml:space="preserve">The </w:t>
      </w:r>
      <w:r w:rsidR="00842560" w:rsidRPr="007214E1">
        <w:rPr>
          <w:rFonts w:ascii="Book Antiqua" w:hAnsi="Book Antiqua" w:cs="Times New Roman"/>
          <w:sz w:val="24"/>
          <w:szCs w:val="24"/>
        </w:rPr>
        <w:t xml:space="preserve">most common liver cancer subtype is hepatocellular </w:t>
      </w:r>
      <w:proofErr w:type="gramStart"/>
      <w:r w:rsidR="00842560" w:rsidRPr="007214E1">
        <w:rPr>
          <w:rFonts w:ascii="Book Antiqua" w:hAnsi="Book Antiqua" w:cs="Times New Roman"/>
          <w:sz w:val="24"/>
          <w:szCs w:val="24"/>
        </w:rPr>
        <w:t>carcinoma</w:t>
      </w:r>
      <w:r w:rsidR="009C5CD3" w:rsidRPr="007214E1">
        <w:rPr>
          <w:rFonts w:ascii="Book Antiqua" w:hAnsi="Book Antiqua" w:cs="Times New Roman"/>
          <w:sz w:val="24"/>
          <w:szCs w:val="24"/>
          <w:vertAlign w:val="superscript"/>
        </w:rPr>
        <w:t>[</w:t>
      </w:r>
      <w:proofErr w:type="gramEnd"/>
      <w:r w:rsidR="00842560" w:rsidRPr="007214E1">
        <w:rPr>
          <w:rFonts w:ascii="Book Antiqua" w:hAnsi="Book Antiqua" w:cs="Times New Roman"/>
          <w:sz w:val="24"/>
          <w:szCs w:val="24"/>
          <w:vertAlign w:val="superscript"/>
        </w:rPr>
        <w:t>1</w:t>
      </w:r>
      <w:r w:rsidR="008F742E" w:rsidRPr="007214E1">
        <w:rPr>
          <w:rFonts w:ascii="Book Antiqua" w:hAnsi="Book Antiqua" w:cs="Times New Roman"/>
          <w:sz w:val="24"/>
          <w:szCs w:val="24"/>
          <w:vertAlign w:val="superscript"/>
        </w:rPr>
        <w:t>]</w:t>
      </w:r>
      <w:r w:rsidR="009C5CD3" w:rsidRPr="007214E1">
        <w:rPr>
          <w:rFonts w:ascii="Book Antiqua" w:hAnsi="Book Antiqua" w:cs="Times New Roman"/>
          <w:sz w:val="24"/>
          <w:szCs w:val="24"/>
        </w:rPr>
        <w:t xml:space="preserve">. </w:t>
      </w:r>
      <w:r w:rsidR="005576CD" w:rsidRPr="007214E1">
        <w:rPr>
          <w:rFonts w:ascii="Book Antiqua" w:hAnsi="Book Antiqua" w:cs="Times New Roman"/>
          <w:sz w:val="24"/>
          <w:szCs w:val="24"/>
        </w:rPr>
        <w:t xml:space="preserve">Over the last 40 years, </w:t>
      </w:r>
      <w:r w:rsidR="003B5352" w:rsidRPr="007214E1">
        <w:rPr>
          <w:rFonts w:ascii="Book Antiqua" w:hAnsi="Book Antiqua"/>
          <w:sz w:val="24"/>
          <w:szCs w:val="24"/>
        </w:rPr>
        <w:t>hepatocellular carcinoma</w:t>
      </w:r>
      <w:r w:rsidR="003B5352" w:rsidRPr="007214E1">
        <w:rPr>
          <w:rFonts w:ascii="Book Antiqua" w:hAnsi="Book Antiqua" w:cs="Times New Roman"/>
          <w:sz w:val="24"/>
          <w:szCs w:val="24"/>
        </w:rPr>
        <w:t xml:space="preserve"> (</w:t>
      </w:r>
      <w:r w:rsidR="005576CD" w:rsidRPr="007214E1">
        <w:rPr>
          <w:rFonts w:ascii="Book Antiqua" w:hAnsi="Book Antiqua" w:cs="Times New Roman"/>
          <w:sz w:val="24"/>
          <w:szCs w:val="24"/>
        </w:rPr>
        <w:t>HCC</w:t>
      </w:r>
      <w:r w:rsidR="003B5352" w:rsidRPr="007214E1">
        <w:rPr>
          <w:rFonts w:ascii="Book Antiqua" w:hAnsi="Book Antiqua" w:cs="Times New Roman"/>
          <w:sz w:val="24"/>
          <w:szCs w:val="24"/>
        </w:rPr>
        <w:t>)</w:t>
      </w:r>
      <w:r w:rsidR="005576CD" w:rsidRPr="007214E1">
        <w:rPr>
          <w:rFonts w:ascii="Book Antiqua" w:hAnsi="Book Antiqua" w:cs="Times New Roman"/>
          <w:sz w:val="24"/>
          <w:szCs w:val="24"/>
        </w:rPr>
        <w:t xml:space="preserve"> incidence has </w:t>
      </w:r>
      <w:r w:rsidR="008B32AC" w:rsidRPr="007214E1">
        <w:rPr>
          <w:rFonts w:ascii="Book Antiqua" w:hAnsi="Book Antiqua" w:cs="Times New Roman"/>
          <w:sz w:val="24"/>
          <w:szCs w:val="24"/>
        </w:rPr>
        <w:t>risen by approximately</w:t>
      </w:r>
      <w:r w:rsidR="005576CD" w:rsidRPr="007214E1">
        <w:rPr>
          <w:rFonts w:ascii="Book Antiqua" w:hAnsi="Book Antiqua" w:cs="Times New Roman"/>
          <w:sz w:val="24"/>
          <w:szCs w:val="24"/>
        </w:rPr>
        <w:t xml:space="preserve"> three-fold in the </w:t>
      </w:r>
      <w:proofErr w:type="spellStart"/>
      <w:r w:rsidR="005576CD" w:rsidRPr="007214E1">
        <w:rPr>
          <w:rFonts w:ascii="Book Antiqua" w:hAnsi="Book Antiqua" w:cs="Times New Roman"/>
          <w:sz w:val="24"/>
          <w:szCs w:val="24"/>
        </w:rPr>
        <w:t>U</w:t>
      </w:r>
      <w:r w:rsidR="003B5352" w:rsidRPr="007214E1">
        <w:rPr>
          <w:rFonts w:ascii="Book Antiqua" w:hAnsi="Book Antiqua" w:cs="Times New Roman"/>
          <w:sz w:val="24"/>
          <w:szCs w:val="24"/>
        </w:rPr>
        <w:t>nite</w:t>
      </w:r>
      <w:proofErr w:type="spellEnd"/>
      <w:r w:rsidR="003B5352" w:rsidRPr="007214E1">
        <w:rPr>
          <w:rFonts w:ascii="Book Antiqua" w:hAnsi="Book Antiqua" w:cs="Times New Roman"/>
          <w:sz w:val="24"/>
          <w:szCs w:val="24"/>
        </w:rPr>
        <w:t xml:space="preserve"> </w:t>
      </w:r>
      <w:proofErr w:type="gramStart"/>
      <w:r w:rsidR="005576CD" w:rsidRPr="007214E1">
        <w:rPr>
          <w:rFonts w:ascii="Book Antiqua" w:hAnsi="Book Antiqua" w:cs="Times New Roman"/>
          <w:sz w:val="24"/>
          <w:szCs w:val="24"/>
        </w:rPr>
        <w:t>S</w:t>
      </w:r>
      <w:r w:rsidR="003B5352" w:rsidRPr="007214E1">
        <w:rPr>
          <w:rFonts w:ascii="Book Antiqua" w:hAnsi="Book Antiqua" w:cs="Times New Roman"/>
          <w:sz w:val="24"/>
          <w:szCs w:val="24"/>
        </w:rPr>
        <w:t>tates</w:t>
      </w:r>
      <w:r w:rsidR="005576CD" w:rsidRPr="007214E1">
        <w:rPr>
          <w:rFonts w:ascii="Book Antiqua" w:hAnsi="Book Antiqua" w:cs="Times New Roman"/>
          <w:sz w:val="24"/>
          <w:szCs w:val="24"/>
          <w:vertAlign w:val="superscript"/>
        </w:rPr>
        <w:t>[</w:t>
      </w:r>
      <w:proofErr w:type="gramEnd"/>
      <w:r w:rsidR="008B32AC" w:rsidRPr="007214E1">
        <w:rPr>
          <w:rFonts w:ascii="Book Antiqua" w:hAnsi="Book Antiqua" w:cs="Times New Roman"/>
          <w:sz w:val="24"/>
          <w:szCs w:val="24"/>
          <w:vertAlign w:val="superscript"/>
        </w:rPr>
        <w:t>2</w:t>
      </w:r>
      <w:r w:rsidR="005576CD" w:rsidRPr="007214E1">
        <w:rPr>
          <w:rFonts w:ascii="Book Antiqua" w:hAnsi="Book Antiqua" w:cs="Times New Roman"/>
          <w:sz w:val="24"/>
          <w:szCs w:val="24"/>
          <w:vertAlign w:val="superscript"/>
        </w:rPr>
        <w:t>]</w:t>
      </w:r>
      <w:r w:rsidR="005576CD" w:rsidRPr="007214E1">
        <w:rPr>
          <w:rFonts w:ascii="Book Antiqua" w:hAnsi="Book Antiqua" w:cs="Times New Roman"/>
          <w:sz w:val="24"/>
          <w:szCs w:val="24"/>
        </w:rPr>
        <w:t xml:space="preserve">. Between 2000 and 2009, the incidence rose by approximately 4.5% per year </w:t>
      </w:r>
      <w:r w:rsidR="001F143E" w:rsidRPr="007214E1">
        <w:rPr>
          <w:rFonts w:ascii="Book Antiqua" w:hAnsi="Book Antiqua" w:cs="Times New Roman"/>
          <w:sz w:val="24"/>
          <w:szCs w:val="24"/>
        </w:rPr>
        <w:t xml:space="preserve">and </w:t>
      </w:r>
      <w:r w:rsidR="005576CD" w:rsidRPr="007214E1">
        <w:rPr>
          <w:rFonts w:ascii="Book Antiqua" w:hAnsi="Book Antiqua" w:cs="Times New Roman"/>
          <w:sz w:val="24"/>
          <w:szCs w:val="24"/>
        </w:rPr>
        <w:t>0.7% per year from 2010 to 2012</w:t>
      </w:r>
      <w:r w:rsidR="005576CD" w:rsidRPr="007214E1">
        <w:rPr>
          <w:rFonts w:ascii="Book Antiqua" w:hAnsi="Book Antiqua" w:cs="Times New Roman"/>
          <w:sz w:val="24"/>
          <w:szCs w:val="24"/>
          <w:vertAlign w:val="superscript"/>
        </w:rPr>
        <w:t>[</w:t>
      </w:r>
      <w:r w:rsidR="008B32AC" w:rsidRPr="007214E1">
        <w:rPr>
          <w:rFonts w:ascii="Book Antiqua" w:hAnsi="Book Antiqua" w:cs="Times New Roman"/>
          <w:sz w:val="24"/>
          <w:szCs w:val="24"/>
          <w:vertAlign w:val="superscript"/>
        </w:rPr>
        <w:t>3</w:t>
      </w:r>
      <w:r w:rsidR="005576CD" w:rsidRPr="007214E1">
        <w:rPr>
          <w:rFonts w:ascii="Book Antiqua" w:hAnsi="Book Antiqua" w:cs="Times New Roman"/>
          <w:sz w:val="24"/>
          <w:szCs w:val="24"/>
          <w:vertAlign w:val="superscript"/>
        </w:rPr>
        <w:t>]</w:t>
      </w:r>
      <w:r w:rsidR="005576CD" w:rsidRPr="007214E1">
        <w:rPr>
          <w:rFonts w:ascii="Book Antiqua" w:hAnsi="Book Antiqua" w:cs="Times New Roman"/>
          <w:sz w:val="24"/>
          <w:szCs w:val="24"/>
        </w:rPr>
        <w:t>.</w:t>
      </w:r>
      <w:r w:rsidR="00FF6242" w:rsidRPr="007214E1">
        <w:rPr>
          <w:rFonts w:ascii="Book Antiqua" w:hAnsi="Book Antiqua" w:cs="Times New Roman"/>
          <w:i/>
          <w:sz w:val="24"/>
          <w:szCs w:val="24"/>
        </w:rPr>
        <w:t xml:space="preserve"> </w:t>
      </w:r>
      <w:r w:rsidR="005576CD" w:rsidRPr="007214E1">
        <w:rPr>
          <w:rFonts w:ascii="Book Antiqua" w:eastAsia="Times New Roman" w:hAnsi="Book Antiqua" w:cs="Times New Roman"/>
          <w:color w:val="000000"/>
          <w:sz w:val="24"/>
          <w:szCs w:val="24"/>
          <w:shd w:val="clear" w:color="auto" w:fill="FFFFFF"/>
        </w:rPr>
        <w:t xml:space="preserve">Between the years 2018 and 2040, </w:t>
      </w:r>
      <w:r w:rsidR="0041276D" w:rsidRPr="007214E1">
        <w:rPr>
          <w:rFonts w:ascii="Book Antiqua" w:eastAsia="Times New Roman" w:hAnsi="Book Antiqua" w:cs="Times New Roman"/>
          <w:color w:val="000000"/>
          <w:sz w:val="24"/>
          <w:szCs w:val="24"/>
          <w:shd w:val="clear" w:color="auto" w:fill="FFFFFF"/>
        </w:rPr>
        <w:t xml:space="preserve">global </w:t>
      </w:r>
      <w:r w:rsidR="005576CD" w:rsidRPr="007214E1">
        <w:rPr>
          <w:rFonts w:ascii="Book Antiqua" w:eastAsia="Times New Roman" w:hAnsi="Book Antiqua" w:cs="Times New Roman"/>
          <w:color w:val="000000"/>
          <w:sz w:val="24"/>
          <w:szCs w:val="24"/>
          <w:shd w:val="clear" w:color="auto" w:fill="FFFFFF"/>
        </w:rPr>
        <w:t xml:space="preserve">liver cancer incidence is expected to rise by approximately 62%, while </w:t>
      </w:r>
      <w:r w:rsidR="0041276D" w:rsidRPr="007214E1">
        <w:rPr>
          <w:rFonts w:ascii="Book Antiqua" w:eastAsia="Times New Roman" w:hAnsi="Book Antiqua" w:cs="Times New Roman"/>
          <w:color w:val="000000"/>
          <w:sz w:val="24"/>
          <w:szCs w:val="24"/>
          <w:shd w:val="clear" w:color="auto" w:fill="FFFFFF"/>
        </w:rPr>
        <w:t xml:space="preserve">the number of </w:t>
      </w:r>
      <w:r w:rsidR="005576CD" w:rsidRPr="007214E1">
        <w:rPr>
          <w:rFonts w:ascii="Book Antiqua" w:eastAsia="Times New Roman" w:hAnsi="Book Antiqua" w:cs="Times New Roman"/>
          <w:color w:val="000000"/>
          <w:sz w:val="24"/>
          <w:szCs w:val="24"/>
          <w:shd w:val="clear" w:color="auto" w:fill="FFFFFF"/>
        </w:rPr>
        <w:t xml:space="preserve">liver </w:t>
      </w:r>
      <w:r w:rsidR="00C833D0" w:rsidRPr="007214E1">
        <w:rPr>
          <w:rFonts w:ascii="Book Antiqua" w:eastAsia="Times New Roman" w:hAnsi="Book Antiqua" w:cs="Times New Roman"/>
          <w:color w:val="000000"/>
          <w:sz w:val="24"/>
          <w:szCs w:val="24"/>
          <w:shd w:val="clear" w:color="auto" w:fill="FFFFFF"/>
        </w:rPr>
        <w:t>cancer</w:t>
      </w:r>
      <w:r w:rsidR="005576CD" w:rsidRPr="007214E1">
        <w:rPr>
          <w:rFonts w:ascii="Book Antiqua" w:eastAsia="Times New Roman" w:hAnsi="Book Antiqua" w:cs="Times New Roman"/>
          <w:color w:val="000000"/>
          <w:sz w:val="24"/>
          <w:szCs w:val="24"/>
          <w:shd w:val="clear" w:color="auto" w:fill="FFFFFF"/>
        </w:rPr>
        <w:t xml:space="preserve"> deaths </w:t>
      </w:r>
      <w:r w:rsidR="0041276D" w:rsidRPr="007214E1">
        <w:rPr>
          <w:rFonts w:ascii="Book Antiqua" w:eastAsia="Times New Roman" w:hAnsi="Book Antiqua" w:cs="Times New Roman"/>
          <w:color w:val="000000"/>
          <w:sz w:val="24"/>
          <w:szCs w:val="24"/>
          <w:shd w:val="clear" w:color="auto" w:fill="FFFFFF"/>
        </w:rPr>
        <w:t xml:space="preserve">worldwide </w:t>
      </w:r>
      <w:r w:rsidR="005576CD" w:rsidRPr="007214E1">
        <w:rPr>
          <w:rFonts w:ascii="Book Antiqua" w:eastAsia="Times New Roman" w:hAnsi="Book Antiqua" w:cs="Times New Roman"/>
          <w:color w:val="000000"/>
          <w:sz w:val="24"/>
          <w:szCs w:val="24"/>
          <w:shd w:val="clear" w:color="auto" w:fill="FFFFFF"/>
        </w:rPr>
        <w:t>will rise by 64</w:t>
      </w:r>
      <w:proofErr w:type="gramStart"/>
      <w:r w:rsidR="005576CD" w:rsidRPr="007214E1">
        <w:rPr>
          <w:rFonts w:ascii="Book Antiqua" w:eastAsia="Times New Roman" w:hAnsi="Book Antiqua" w:cs="Times New Roman"/>
          <w:color w:val="000000"/>
          <w:sz w:val="24"/>
          <w:szCs w:val="24"/>
          <w:shd w:val="clear" w:color="auto" w:fill="FFFFFF"/>
        </w:rPr>
        <w:t>%</w:t>
      </w:r>
      <w:r w:rsidR="005576CD" w:rsidRPr="007214E1">
        <w:rPr>
          <w:rFonts w:ascii="Book Antiqua" w:eastAsia="Times New Roman" w:hAnsi="Book Antiqua" w:cs="Times New Roman"/>
          <w:color w:val="000000"/>
          <w:sz w:val="24"/>
          <w:szCs w:val="24"/>
          <w:shd w:val="clear" w:color="auto" w:fill="FFFFFF"/>
          <w:vertAlign w:val="superscript"/>
        </w:rPr>
        <w:t>[</w:t>
      </w:r>
      <w:proofErr w:type="gramEnd"/>
      <w:r w:rsidR="001F143E" w:rsidRPr="007214E1">
        <w:rPr>
          <w:rFonts w:ascii="Book Antiqua" w:eastAsia="Times New Roman" w:hAnsi="Book Antiqua" w:cs="Times New Roman"/>
          <w:color w:val="000000"/>
          <w:sz w:val="24"/>
          <w:szCs w:val="24"/>
          <w:shd w:val="clear" w:color="auto" w:fill="FFFFFF"/>
          <w:vertAlign w:val="superscript"/>
        </w:rPr>
        <w:t>2</w:t>
      </w:r>
      <w:r w:rsidR="005576CD" w:rsidRPr="007214E1">
        <w:rPr>
          <w:rFonts w:ascii="Book Antiqua" w:eastAsia="Times New Roman" w:hAnsi="Book Antiqua" w:cs="Times New Roman"/>
          <w:color w:val="000000"/>
          <w:sz w:val="24"/>
          <w:szCs w:val="24"/>
          <w:shd w:val="clear" w:color="auto" w:fill="FFFFFF"/>
          <w:vertAlign w:val="superscript"/>
        </w:rPr>
        <w:t>]</w:t>
      </w:r>
      <w:r w:rsidR="005576CD" w:rsidRPr="007214E1">
        <w:rPr>
          <w:rFonts w:ascii="Book Antiqua" w:eastAsia="Times New Roman" w:hAnsi="Book Antiqua" w:cs="Times New Roman"/>
          <w:color w:val="000000"/>
          <w:sz w:val="24"/>
          <w:szCs w:val="24"/>
          <w:shd w:val="clear" w:color="auto" w:fill="FFFFFF"/>
        </w:rPr>
        <w:t xml:space="preserve">. </w:t>
      </w:r>
      <w:r w:rsidR="00050619" w:rsidRPr="007214E1">
        <w:rPr>
          <w:rFonts w:ascii="Book Antiqua" w:hAnsi="Book Antiqua" w:cs="Times New Roman"/>
          <w:sz w:val="24"/>
          <w:szCs w:val="24"/>
        </w:rPr>
        <w:t>If HCC is detected at an early stage</w:t>
      </w:r>
      <w:r w:rsidR="004F6D6F" w:rsidRPr="007214E1">
        <w:rPr>
          <w:rFonts w:ascii="Book Antiqua" w:hAnsi="Book Antiqua" w:cs="Times New Roman"/>
          <w:sz w:val="24"/>
          <w:szCs w:val="24"/>
        </w:rPr>
        <w:t xml:space="preserve"> (B</w:t>
      </w:r>
      <w:r w:rsidR="008F742E" w:rsidRPr="007214E1">
        <w:rPr>
          <w:rFonts w:ascii="Book Antiqua" w:hAnsi="Book Antiqua" w:cs="Times New Roman"/>
          <w:sz w:val="24"/>
          <w:szCs w:val="24"/>
        </w:rPr>
        <w:t xml:space="preserve">arcelona Clinic Liver Cancer </w:t>
      </w:r>
      <w:r w:rsidR="004F6D6F" w:rsidRPr="007214E1">
        <w:rPr>
          <w:rFonts w:ascii="Book Antiqua" w:hAnsi="Book Antiqua" w:cs="Times New Roman"/>
          <w:sz w:val="24"/>
          <w:szCs w:val="24"/>
        </w:rPr>
        <w:t>stage 0 or A)</w:t>
      </w:r>
      <w:r w:rsidR="00F061CD" w:rsidRPr="007214E1">
        <w:rPr>
          <w:rFonts w:ascii="Book Antiqua" w:hAnsi="Book Antiqua" w:cs="Times New Roman"/>
          <w:sz w:val="24"/>
          <w:szCs w:val="24"/>
        </w:rPr>
        <w:t xml:space="preserve">, </w:t>
      </w:r>
      <w:r w:rsidR="00050619" w:rsidRPr="007214E1">
        <w:rPr>
          <w:rFonts w:ascii="Book Antiqua" w:hAnsi="Book Antiqua" w:cs="Times New Roman"/>
          <w:sz w:val="24"/>
          <w:szCs w:val="24"/>
        </w:rPr>
        <w:t>surgical resection</w:t>
      </w:r>
      <w:r w:rsidR="000C3AF3" w:rsidRPr="007214E1">
        <w:rPr>
          <w:rFonts w:ascii="Book Antiqua" w:hAnsi="Book Antiqua" w:cs="Times New Roman"/>
          <w:sz w:val="24"/>
          <w:szCs w:val="24"/>
        </w:rPr>
        <w:t xml:space="preserve"> or ablation</w:t>
      </w:r>
      <w:r w:rsidR="00050619" w:rsidRPr="007214E1">
        <w:rPr>
          <w:rFonts w:ascii="Book Antiqua" w:hAnsi="Book Antiqua" w:cs="Times New Roman"/>
          <w:sz w:val="24"/>
          <w:szCs w:val="24"/>
        </w:rPr>
        <w:t xml:space="preserve"> </w:t>
      </w:r>
      <w:r w:rsidR="009C5CD3" w:rsidRPr="007214E1">
        <w:rPr>
          <w:rFonts w:ascii="Book Antiqua" w:hAnsi="Book Antiqua" w:cs="Times New Roman"/>
          <w:sz w:val="24"/>
          <w:szCs w:val="24"/>
        </w:rPr>
        <w:t>can be</w:t>
      </w:r>
      <w:r w:rsidR="00050619" w:rsidRPr="007214E1">
        <w:rPr>
          <w:rFonts w:ascii="Book Antiqua" w:hAnsi="Book Antiqua" w:cs="Times New Roman"/>
          <w:sz w:val="24"/>
          <w:szCs w:val="24"/>
        </w:rPr>
        <w:t xml:space="preserve"> performed </w:t>
      </w:r>
      <w:r w:rsidR="00276A46" w:rsidRPr="007214E1">
        <w:rPr>
          <w:rFonts w:ascii="Book Antiqua" w:hAnsi="Book Antiqua" w:cs="Times New Roman"/>
          <w:sz w:val="24"/>
          <w:szCs w:val="24"/>
        </w:rPr>
        <w:t>in</w:t>
      </w:r>
      <w:r w:rsidR="00F061CD" w:rsidRPr="007214E1">
        <w:rPr>
          <w:rFonts w:ascii="Book Antiqua" w:hAnsi="Book Antiqua" w:cs="Times New Roman"/>
          <w:sz w:val="24"/>
          <w:szCs w:val="24"/>
        </w:rPr>
        <w:t xml:space="preserve"> select group</w:t>
      </w:r>
      <w:r w:rsidR="000C3AF3" w:rsidRPr="007214E1">
        <w:rPr>
          <w:rFonts w:ascii="Book Antiqua" w:hAnsi="Book Antiqua" w:cs="Times New Roman"/>
          <w:sz w:val="24"/>
          <w:szCs w:val="24"/>
        </w:rPr>
        <w:t>s</w:t>
      </w:r>
      <w:r w:rsidR="00F061CD" w:rsidRPr="007214E1">
        <w:rPr>
          <w:rFonts w:ascii="Book Antiqua" w:hAnsi="Book Antiqua" w:cs="Times New Roman"/>
          <w:sz w:val="24"/>
          <w:szCs w:val="24"/>
        </w:rPr>
        <w:t xml:space="preserve"> of </w:t>
      </w:r>
      <w:proofErr w:type="gramStart"/>
      <w:r w:rsidR="00F061CD" w:rsidRPr="007214E1">
        <w:rPr>
          <w:rFonts w:ascii="Book Antiqua" w:hAnsi="Book Antiqua" w:cs="Times New Roman"/>
          <w:sz w:val="24"/>
          <w:szCs w:val="24"/>
        </w:rPr>
        <w:t>patients</w:t>
      </w:r>
      <w:r w:rsidR="00276A46" w:rsidRPr="007214E1">
        <w:rPr>
          <w:rFonts w:ascii="Book Antiqua" w:hAnsi="Book Antiqua" w:cs="Times New Roman"/>
          <w:sz w:val="24"/>
          <w:szCs w:val="24"/>
          <w:vertAlign w:val="superscript"/>
        </w:rPr>
        <w:t>[</w:t>
      </w:r>
      <w:proofErr w:type="gramEnd"/>
      <w:r w:rsidR="00D17BF4" w:rsidRPr="007214E1">
        <w:rPr>
          <w:rFonts w:ascii="Book Antiqua" w:hAnsi="Book Antiqua" w:cs="Times New Roman"/>
          <w:sz w:val="24"/>
          <w:szCs w:val="24"/>
          <w:vertAlign w:val="superscript"/>
        </w:rPr>
        <w:t>4</w:t>
      </w:r>
      <w:r w:rsidR="00276A46" w:rsidRPr="007214E1">
        <w:rPr>
          <w:rFonts w:ascii="Book Antiqua" w:hAnsi="Book Antiqua" w:cs="Times New Roman"/>
          <w:sz w:val="24"/>
          <w:szCs w:val="24"/>
          <w:vertAlign w:val="superscript"/>
        </w:rPr>
        <w:t>]</w:t>
      </w:r>
      <w:r w:rsidR="00276A46" w:rsidRPr="007214E1">
        <w:rPr>
          <w:rFonts w:ascii="Book Antiqua" w:hAnsi="Book Antiqua" w:cs="Times New Roman"/>
          <w:sz w:val="24"/>
          <w:szCs w:val="24"/>
        </w:rPr>
        <w:t xml:space="preserve">. </w:t>
      </w:r>
      <w:r w:rsidR="00F061CD" w:rsidRPr="007214E1">
        <w:rPr>
          <w:rFonts w:ascii="Book Antiqua" w:hAnsi="Book Antiqua" w:cs="Times New Roman"/>
          <w:sz w:val="24"/>
          <w:szCs w:val="24"/>
        </w:rPr>
        <w:t>A</w:t>
      </w:r>
      <w:r w:rsidR="009C5CD3" w:rsidRPr="007214E1">
        <w:rPr>
          <w:rFonts w:ascii="Book Antiqua" w:hAnsi="Book Antiqua" w:cs="Times New Roman"/>
          <w:sz w:val="24"/>
          <w:szCs w:val="24"/>
        </w:rPr>
        <w:t>pproximately</w:t>
      </w:r>
      <w:r w:rsidR="00417A08" w:rsidRPr="007214E1">
        <w:rPr>
          <w:rFonts w:ascii="Book Antiqua" w:hAnsi="Book Antiqua" w:cs="Times New Roman"/>
          <w:sz w:val="24"/>
          <w:szCs w:val="24"/>
        </w:rPr>
        <w:t xml:space="preserve"> 70% of patients will develop evidence of recurrence following </w:t>
      </w:r>
      <w:proofErr w:type="gramStart"/>
      <w:r w:rsidR="00417A08" w:rsidRPr="007214E1">
        <w:rPr>
          <w:rFonts w:ascii="Book Antiqua" w:hAnsi="Book Antiqua" w:cs="Times New Roman"/>
          <w:sz w:val="24"/>
          <w:szCs w:val="24"/>
        </w:rPr>
        <w:t>resection</w:t>
      </w:r>
      <w:r w:rsidR="009A2350" w:rsidRPr="007214E1">
        <w:rPr>
          <w:rFonts w:ascii="Book Antiqua" w:hAnsi="Book Antiqua" w:cs="Times New Roman"/>
          <w:sz w:val="24"/>
          <w:szCs w:val="24"/>
          <w:vertAlign w:val="superscript"/>
        </w:rPr>
        <w:t>[</w:t>
      </w:r>
      <w:proofErr w:type="gramEnd"/>
      <w:r w:rsidR="003B5352" w:rsidRPr="007214E1">
        <w:rPr>
          <w:rFonts w:ascii="Book Antiqua" w:hAnsi="Book Antiqua" w:cs="Times New Roman"/>
          <w:sz w:val="24"/>
          <w:szCs w:val="24"/>
          <w:vertAlign w:val="superscript"/>
        </w:rPr>
        <w:t>4,</w:t>
      </w:r>
      <w:r w:rsidR="00D17BF4" w:rsidRPr="007214E1">
        <w:rPr>
          <w:rFonts w:ascii="Book Antiqua" w:hAnsi="Book Antiqua" w:cs="Times New Roman"/>
          <w:sz w:val="24"/>
          <w:szCs w:val="24"/>
          <w:vertAlign w:val="superscript"/>
        </w:rPr>
        <w:t>5</w:t>
      </w:r>
      <w:r w:rsidR="00417A08" w:rsidRPr="007214E1">
        <w:rPr>
          <w:rFonts w:ascii="Book Antiqua" w:hAnsi="Book Antiqua" w:cs="Times New Roman"/>
          <w:sz w:val="24"/>
          <w:szCs w:val="24"/>
          <w:vertAlign w:val="superscript"/>
        </w:rPr>
        <w:t>]</w:t>
      </w:r>
      <w:r w:rsidR="00354FFA" w:rsidRPr="007214E1">
        <w:rPr>
          <w:rFonts w:ascii="Book Antiqua" w:hAnsi="Book Antiqua" w:cs="Times New Roman"/>
          <w:sz w:val="24"/>
          <w:szCs w:val="24"/>
        </w:rPr>
        <w:t xml:space="preserve">. </w:t>
      </w:r>
      <w:r w:rsidR="00D21D73" w:rsidRPr="007214E1">
        <w:rPr>
          <w:rFonts w:ascii="Book Antiqua" w:hAnsi="Book Antiqua" w:cs="Times New Roman"/>
          <w:sz w:val="24"/>
          <w:szCs w:val="24"/>
        </w:rPr>
        <w:t xml:space="preserve">If patients are not candidates for </w:t>
      </w:r>
      <w:r w:rsidR="003B1856" w:rsidRPr="007214E1">
        <w:rPr>
          <w:rFonts w:ascii="Book Antiqua" w:hAnsi="Book Antiqua" w:cs="Times New Roman"/>
          <w:sz w:val="24"/>
          <w:szCs w:val="24"/>
        </w:rPr>
        <w:t>surg</w:t>
      </w:r>
      <w:r w:rsidR="00B8398A" w:rsidRPr="007214E1">
        <w:rPr>
          <w:rFonts w:ascii="Book Antiqua" w:hAnsi="Book Antiqua" w:cs="Times New Roman"/>
          <w:sz w:val="24"/>
          <w:szCs w:val="24"/>
        </w:rPr>
        <w:t>ical resection</w:t>
      </w:r>
      <w:r w:rsidR="00D21D73" w:rsidRPr="007214E1">
        <w:rPr>
          <w:rFonts w:ascii="Book Antiqua" w:hAnsi="Book Antiqua" w:cs="Times New Roman"/>
          <w:sz w:val="24"/>
          <w:szCs w:val="24"/>
        </w:rPr>
        <w:t xml:space="preserve">, </w:t>
      </w:r>
      <w:r w:rsidR="009C5CD3" w:rsidRPr="007214E1">
        <w:rPr>
          <w:rFonts w:ascii="Book Antiqua" w:hAnsi="Book Antiqua" w:cs="Times New Roman"/>
          <w:sz w:val="24"/>
          <w:szCs w:val="24"/>
        </w:rPr>
        <w:t>l</w:t>
      </w:r>
      <w:r w:rsidR="00050619" w:rsidRPr="007214E1">
        <w:rPr>
          <w:rFonts w:ascii="Book Antiqua" w:hAnsi="Book Antiqua" w:cs="Times New Roman"/>
          <w:sz w:val="24"/>
          <w:szCs w:val="24"/>
        </w:rPr>
        <w:t>iver</w:t>
      </w:r>
      <w:r w:rsidR="00EF69BF" w:rsidRPr="007214E1">
        <w:rPr>
          <w:rFonts w:ascii="Book Antiqua" w:hAnsi="Book Antiqua" w:cs="Times New Roman"/>
          <w:sz w:val="24"/>
          <w:szCs w:val="24"/>
        </w:rPr>
        <w:t xml:space="preserve"> transplant</w:t>
      </w:r>
      <w:r w:rsidR="00050619" w:rsidRPr="007214E1">
        <w:rPr>
          <w:rFonts w:ascii="Book Antiqua" w:hAnsi="Book Antiqua" w:cs="Times New Roman"/>
          <w:sz w:val="24"/>
          <w:szCs w:val="24"/>
        </w:rPr>
        <w:t>ation</w:t>
      </w:r>
      <w:r w:rsidR="00B8398A" w:rsidRPr="007214E1">
        <w:rPr>
          <w:rFonts w:ascii="Book Antiqua" w:hAnsi="Book Antiqua" w:cs="Times New Roman"/>
          <w:sz w:val="24"/>
          <w:szCs w:val="24"/>
        </w:rPr>
        <w:t xml:space="preserve"> is offered to patients who meet the Milan criteria and </w:t>
      </w:r>
      <w:r w:rsidR="00BC179F" w:rsidRPr="007214E1">
        <w:rPr>
          <w:rFonts w:ascii="Book Antiqua" w:hAnsi="Book Antiqua" w:cs="Times New Roman"/>
          <w:sz w:val="24"/>
          <w:szCs w:val="24"/>
        </w:rPr>
        <w:t>provides</w:t>
      </w:r>
      <w:r w:rsidR="00B8398A" w:rsidRPr="007214E1">
        <w:rPr>
          <w:rFonts w:ascii="Book Antiqua" w:hAnsi="Book Antiqua" w:cs="Times New Roman"/>
          <w:sz w:val="24"/>
          <w:szCs w:val="24"/>
        </w:rPr>
        <w:t xml:space="preserve"> a possibility of </w:t>
      </w:r>
      <w:proofErr w:type="gramStart"/>
      <w:r w:rsidR="00B8398A" w:rsidRPr="007214E1">
        <w:rPr>
          <w:rFonts w:ascii="Book Antiqua" w:hAnsi="Book Antiqua" w:cs="Times New Roman"/>
          <w:sz w:val="24"/>
          <w:szCs w:val="24"/>
        </w:rPr>
        <w:t>cure</w:t>
      </w:r>
      <w:r w:rsidR="00B8398A" w:rsidRPr="007214E1">
        <w:rPr>
          <w:rFonts w:ascii="Book Antiqua" w:hAnsi="Book Antiqua" w:cs="Times New Roman"/>
          <w:sz w:val="24"/>
          <w:szCs w:val="24"/>
          <w:vertAlign w:val="superscript"/>
        </w:rPr>
        <w:t>[</w:t>
      </w:r>
      <w:proofErr w:type="gramEnd"/>
      <w:r w:rsidR="003B5352" w:rsidRPr="007214E1">
        <w:rPr>
          <w:rFonts w:ascii="Book Antiqua" w:hAnsi="Book Antiqua" w:cs="Times New Roman"/>
          <w:sz w:val="24"/>
          <w:szCs w:val="24"/>
          <w:vertAlign w:val="superscript"/>
        </w:rPr>
        <w:t>4,</w:t>
      </w:r>
      <w:r w:rsidR="00D17BF4" w:rsidRPr="007214E1">
        <w:rPr>
          <w:rFonts w:ascii="Book Antiqua" w:hAnsi="Book Antiqua" w:cs="Times New Roman"/>
          <w:sz w:val="24"/>
          <w:szCs w:val="24"/>
          <w:vertAlign w:val="superscript"/>
        </w:rPr>
        <w:t>5</w:t>
      </w:r>
      <w:r w:rsidR="009A2350" w:rsidRPr="007214E1">
        <w:rPr>
          <w:rFonts w:ascii="Book Antiqua" w:hAnsi="Book Antiqua" w:cs="Times New Roman"/>
          <w:sz w:val="24"/>
          <w:szCs w:val="24"/>
          <w:vertAlign w:val="superscript"/>
        </w:rPr>
        <w:t>]</w:t>
      </w:r>
      <w:r w:rsidR="009A2350" w:rsidRPr="007214E1">
        <w:rPr>
          <w:rFonts w:ascii="Book Antiqua" w:hAnsi="Book Antiqua" w:cs="Times New Roman"/>
          <w:sz w:val="24"/>
          <w:szCs w:val="24"/>
        </w:rPr>
        <w:t xml:space="preserve">. </w:t>
      </w:r>
      <w:r w:rsidR="0060149A" w:rsidRPr="007214E1">
        <w:rPr>
          <w:rFonts w:ascii="Book Antiqua" w:hAnsi="Book Antiqua" w:cs="Times New Roman"/>
          <w:sz w:val="24"/>
          <w:szCs w:val="24"/>
        </w:rPr>
        <w:t xml:space="preserve">Patients who are not eligible for </w:t>
      </w:r>
      <w:r w:rsidR="00B8398A" w:rsidRPr="007214E1">
        <w:rPr>
          <w:rFonts w:ascii="Book Antiqua" w:hAnsi="Book Antiqua" w:cs="Times New Roman"/>
          <w:sz w:val="24"/>
          <w:szCs w:val="24"/>
        </w:rPr>
        <w:t>surgery or liver transplantation</w:t>
      </w:r>
      <w:r w:rsidR="009C5CD3" w:rsidRPr="007214E1">
        <w:rPr>
          <w:rFonts w:ascii="Book Antiqua" w:hAnsi="Book Antiqua" w:cs="Times New Roman"/>
          <w:sz w:val="24"/>
          <w:szCs w:val="24"/>
        </w:rPr>
        <w:t xml:space="preserve"> </w:t>
      </w:r>
      <w:r w:rsidR="0060149A" w:rsidRPr="007214E1">
        <w:rPr>
          <w:rFonts w:ascii="Book Antiqua" w:hAnsi="Book Antiqua" w:cs="Times New Roman"/>
          <w:sz w:val="24"/>
          <w:szCs w:val="24"/>
        </w:rPr>
        <w:t xml:space="preserve">are candidates for </w:t>
      </w:r>
      <w:r w:rsidR="00BD6A65" w:rsidRPr="007214E1">
        <w:rPr>
          <w:rFonts w:ascii="Book Antiqua" w:hAnsi="Book Antiqua" w:cs="Times New Roman"/>
          <w:sz w:val="24"/>
          <w:szCs w:val="24"/>
        </w:rPr>
        <w:t>locoregional therapies</w:t>
      </w:r>
      <w:r w:rsidR="000B3E01" w:rsidRPr="007214E1">
        <w:rPr>
          <w:rFonts w:ascii="Book Antiqua" w:hAnsi="Book Antiqua" w:cs="Times New Roman"/>
          <w:sz w:val="24"/>
          <w:szCs w:val="24"/>
        </w:rPr>
        <w:t>,</w:t>
      </w:r>
      <w:r w:rsidR="00BD6A65" w:rsidRPr="007214E1">
        <w:rPr>
          <w:rFonts w:ascii="Book Antiqua" w:hAnsi="Book Antiqua" w:cs="Times New Roman"/>
          <w:sz w:val="24"/>
          <w:szCs w:val="24"/>
        </w:rPr>
        <w:t xml:space="preserve"> including</w:t>
      </w:r>
      <w:r w:rsidR="0060149A" w:rsidRPr="007214E1">
        <w:rPr>
          <w:rFonts w:ascii="Book Antiqua" w:hAnsi="Book Antiqua" w:cs="Times New Roman"/>
          <w:sz w:val="24"/>
          <w:szCs w:val="24"/>
        </w:rPr>
        <w:t xml:space="preserve"> </w:t>
      </w:r>
      <w:r w:rsidR="00F973BF" w:rsidRPr="007214E1">
        <w:rPr>
          <w:rFonts w:ascii="Book Antiqua" w:hAnsi="Book Antiqua"/>
          <w:sz w:val="24"/>
          <w:szCs w:val="24"/>
        </w:rPr>
        <w:t>trans-arterial chemoembolization</w:t>
      </w:r>
      <w:r w:rsidR="00F973BF" w:rsidRPr="007214E1">
        <w:rPr>
          <w:rFonts w:ascii="Book Antiqua" w:hAnsi="Book Antiqua" w:cs="Times New Roman"/>
          <w:sz w:val="24"/>
          <w:szCs w:val="24"/>
        </w:rPr>
        <w:t xml:space="preserve"> (</w:t>
      </w:r>
      <w:r w:rsidR="0060149A" w:rsidRPr="007214E1">
        <w:rPr>
          <w:rFonts w:ascii="Book Antiqua" w:hAnsi="Book Antiqua" w:cs="Times New Roman"/>
          <w:sz w:val="24"/>
          <w:szCs w:val="24"/>
        </w:rPr>
        <w:t>TACE</w:t>
      </w:r>
      <w:r w:rsidR="00F973BF" w:rsidRPr="007214E1">
        <w:rPr>
          <w:rFonts w:ascii="Book Antiqua" w:hAnsi="Book Antiqua" w:cs="Times New Roman"/>
          <w:sz w:val="24"/>
          <w:szCs w:val="24"/>
        </w:rPr>
        <w:t>)</w:t>
      </w:r>
      <w:r w:rsidR="00B27C2F" w:rsidRPr="007214E1">
        <w:rPr>
          <w:rFonts w:ascii="Book Antiqua" w:hAnsi="Book Antiqua" w:cs="Times New Roman"/>
          <w:sz w:val="24"/>
          <w:szCs w:val="24"/>
        </w:rPr>
        <w:t xml:space="preserve"> and ablation</w:t>
      </w:r>
      <w:r w:rsidR="000B3E01" w:rsidRPr="007214E1">
        <w:rPr>
          <w:rFonts w:ascii="Book Antiqua" w:hAnsi="Book Antiqua" w:cs="Times New Roman"/>
          <w:sz w:val="24"/>
          <w:szCs w:val="24"/>
        </w:rPr>
        <w:t>,</w:t>
      </w:r>
      <w:r w:rsidR="00B12CF4" w:rsidRPr="007214E1">
        <w:rPr>
          <w:rFonts w:ascii="Book Antiqua" w:hAnsi="Book Antiqua" w:cs="Times New Roman"/>
          <w:sz w:val="24"/>
          <w:szCs w:val="24"/>
        </w:rPr>
        <w:t xml:space="preserve"> if they have </w:t>
      </w:r>
      <w:r w:rsidR="00AF7C1F" w:rsidRPr="007214E1">
        <w:rPr>
          <w:rFonts w:ascii="Book Antiqua" w:hAnsi="Book Antiqua" w:cs="Times New Roman"/>
          <w:sz w:val="24"/>
          <w:szCs w:val="24"/>
        </w:rPr>
        <w:t xml:space="preserve">early- or </w:t>
      </w:r>
      <w:r w:rsidR="00B12CF4" w:rsidRPr="007214E1">
        <w:rPr>
          <w:rFonts w:ascii="Book Antiqua" w:hAnsi="Book Antiqua" w:cs="Times New Roman"/>
          <w:sz w:val="24"/>
          <w:szCs w:val="24"/>
        </w:rPr>
        <w:t>intermediate</w:t>
      </w:r>
      <w:r w:rsidR="00AF7C1F" w:rsidRPr="007214E1">
        <w:rPr>
          <w:rFonts w:ascii="Book Antiqua" w:hAnsi="Book Antiqua" w:cs="Times New Roman"/>
          <w:sz w:val="24"/>
          <w:szCs w:val="24"/>
        </w:rPr>
        <w:t>-stage</w:t>
      </w:r>
      <w:r w:rsidR="00B12CF4" w:rsidRPr="007214E1">
        <w:rPr>
          <w:rFonts w:ascii="Book Antiqua" w:hAnsi="Book Antiqua" w:cs="Times New Roman"/>
          <w:sz w:val="24"/>
          <w:szCs w:val="24"/>
        </w:rPr>
        <w:t xml:space="preserve"> disease (</w:t>
      </w:r>
      <w:r w:rsidR="008F742E" w:rsidRPr="007214E1">
        <w:rPr>
          <w:rFonts w:ascii="Book Antiqua" w:hAnsi="Book Antiqua" w:cs="Times New Roman"/>
          <w:sz w:val="24"/>
          <w:szCs w:val="24"/>
        </w:rPr>
        <w:t>Barcelona Clinic Liver Cancer</w:t>
      </w:r>
      <w:r w:rsidR="00B12CF4" w:rsidRPr="007214E1">
        <w:rPr>
          <w:rFonts w:ascii="Book Antiqua" w:hAnsi="Book Antiqua" w:cs="Times New Roman"/>
          <w:sz w:val="24"/>
          <w:szCs w:val="24"/>
        </w:rPr>
        <w:t xml:space="preserve"> stage </w:t>
      </w:r>
      <w:r w:rsidR="00AF7C1F" w:rsidRPr="007214E1">
        <w:rPr>
          <w:rFonts w:ascii="Book Antiqua" w:hAnsi="Book Antiqua" w:cs="Times New Roman"/>
          <w:sz w:val="24"/>
          <w:szCs w:val="24"/>
        </w:rPr>
        <w:t>0-</w:t>
      </w:r>
      <w:r w:rsidR="00B12CF4" w:rsidRPr="007214E1">
        <w:rPr>
          <w:rFonts w:ascii="Book Antiqua" w:hAnsi="Book Antiqua" w:cs="Times New Roman"/>
          <w:sz w:val="24"/>
          <w:szCs w:val="24"/>
        </w:rPr>
        <w:t>B)</w:t>
      </w:r>
      <w:r w:rsidR="007B6787" w:rsidRPr="007214E1">
        <w:rPr>
          <w:rFonts w:ascii="Book Antiqua" w:hAnsi="Book Antiqua" w:cs="Times New Roman"/>
          <w:sz w:val="24"/>
          <w:szCs w:val="24"/>
        </w:rPr>
        <w:t xml:space="preserve">, </w:t>
      </w:r>
      <w:r w:rsidR="00B12CF4" w:rsidRPr="007214E1">
        <w:rPr>
          <w:rFonts w:ascii="Book Antiqua" w:hAnsi="Book Antiqua" w:cs="Times New Roman"/>
          <w:sz w:val="24"/>
          <w:szCs w:val="24"/>
        </w:rPr>
        <w:t>or</w:t>
      </w:r>
      <w:r w:rsidR="007B6787" w:rsidRPr="007214E1">
        <w:rPr>
          <w:rFonts w:ascii="Book Antiqua" w:hAnsi="Book Antiqua" w:cs="Times New Roman"/>
          <w:sz w:val="24"/>
          <w:szCs w:val="24"/>
        </w:rPr>
        <w:t xml:space="preserve"> systemic therapies</w:t>
      </w:r>
      <w:r w:rsidR="000B3E01" w:rsidRPr="007214E1">
        <w:rPr>
          <w:rFonts w:ascii="Book Antiqua" w:hAnsi="Book Antiqua" w:cs="Times New Roman"/>
          <w:sz w:val="24"/>
          <w:szCs w:val="24"/>
        </w:rPr>
        <w:t xml:space="preserve"> </w:t>
      </w:r>
      <w:r w:rsidR="00B12CF4" w:rsidRPr="007214E1">
        <w:rPr>
          <w:rFonts w:ascii="Book Antiqua" w:hAnsi="Book Antiqua" w:cs="Times New Roman"/>
          <w:sz w:val="24"/>
          <w:szCs w:val="24"/>
        </w:rPr>
        <w:t>if they have advanced disease (</w:t>
      </w:r>
      <w:r w:rsidR="008F742E" w:rsidRPr="007214E1">
        <w:rPr>
          <w:rFonts w:ascii="Book Antiqua" w:hAnsi="Book Antiqua" w:cs="Times New Roman"/>
          <w:sz w:val="24"/>
          <w:szCs w:val="24"/>
        </w:rPr>
        <w:t>Barcelona Clinic Liver Cancer</w:t>
      </w:r>
      <w:r w:rsidR="00B12CF4" w:rsidRPr="007214E1">
        <w:rPr>
          <w:rFonts w:ascii="Book Antiqua" w:hAnsi="Book Antiqua" w:cs="Times New Roman"/>
          <w:sz w:val="24"/>
          <w:szCs w:val="24"/>
        </w:rPr>
        <w:t xml:space="preserve"> stage C</w:t>
      </w:r>
      <w:r w:rsidR="000B3E01" w:rsidRPr="007214E1">
        <w:rPr>
          <w:rFonts w:ascii="Book Antiqua" w:hAnsi="Book Antiqua" w:cs="Times New Roman"/>
          <w:sz w:val="24"/>
          <w:szCs w:val="24"/>
        </w:rPr>
        <w:t>)</w:t>
      </w:r>
      <w:r w:rsidR="00D21D73" w:rsidRPr="007214E1">
        <w:rPr>
          <w:rFonts w:ascii="Book Antiqua" w:hAnsi="Book Antiqua" w:cs="Times New Roman"/>
          <w:sz w:val="24"/>
          <w:szCs w:val="24"/>
          <w:vertAlign w:val="superscript"/>
        </w:rPr>
        <w:t>[</w:t>
      </w:r>
      <w:r w:rsidR="00B8398A" w:rsidRPr="007214E1">
        <w:rPr>
          <w:rFonts w:ascii="Book Antiqua" w:hAnsi="Book Antiqua" w:cs="Times New Roman"/>
          <w:sz w:val="24"/>
          <w:szCs w:val="24"/>
          <w:vertAlign w:val="superscript"/>
        </w:rPr>
        <w:t>4</w:t>
      </w:r>
      <w:r w:rsidR="00D21D73" w:rsidRPr="007214E1">
        <w:rPr>
          <w:rFonts w:ascii="Book Antiqua" w:hAnsi="Book Antiqua" w:cs="Times New Roman"/>
          <w:sz w:val="24"/>
          <w:szCs w:val="24"/>
          <w:vertAlign w:val="superscript"/>
        </w:rPr>
        <w:t>]</w:t>
      </w:r>
      <w:r w:rsidR="00CA5B9B" w:rsidRPr="007214E1">
        <w:rPr>
          <w:rFonts w:ascii="Book Antiqua" w:hAnsi="Book Antiqua" w:cs="Times New Roman"/>
          <w:sz w:val="24"/>
          <w:szCs w:val="24"/>
        </w:rPr>
        <w:t xml:space="preserve">. </w:t>
      </w:r>
      <w:r w:rsidR="0038788A" w:rsidRPr="007214E1">
        <w:rPr>
          <w:rFonts w:ascii="Book Antiqua" w:hAnsi="Book Antiqua" w:cs="Times New Roman"/>
          <w:sz w:val="24"/>
          <w:szCs w:val="24"/>
        </w:rPr>
        <w:t>Multiple options for systemic therapy exist</w:t>
      </w:r>
      <w:r w:rsidR="00DA7E22" w:rsidRPr="007214E1">
        <w:rPr>
          <w:rFonts w:ascii="Book Antiqua" w:eastAsia="宋体" w:hAnsi="Book Antiqua" w:cs="Times New Roman"/>
          <w:sz w:val="24"/>
          <w:szCs w:val="24"/>
          <w:lang w:eastAsia="zh-CN"/>
        </w:rPr>
        <w:t xml:space="preserve"> (Table 1)</w:t>
      </w:r>
      <w:r w:rsidR="0038788A" w:rsidRPr="007214E1">
        <w:rPr>
          <w:rFonts w:ascii="Book Antiqua" w:hAnsi="Book Antiqua" w:cs="Times New Roman"/>
          <w:sz w:val="24"/>
          <w:szCs w:val="24"/>
        </w:rPr>
        <w:t xml:space="preserve">. </w:t>
      </w:r>
      <w:r w:rsidR="00D95D39" w:rsidRPr="007214E1">
        <w:rPr>
          <w:rFonts w:ascii="Book Antiqua" w:hAnsi="Book Antiqua" w:cs="Times New Roman"/>
          <w:sz w:val="24"/>
          <w:szCs w:val="24"/>
        </w:rPr>
        <w:t xml:space="preserve">The tyrosine kinase inhibitors </w:t>
      </w:r>
      <w:proofErr w:type="spellStart"/>
      <w:r w:rsidR="00D95D39" w:rsidRPr="007214E1">
        <w:rPr>
          <w:rFonts w:ascii="Book Antiqua" w:hAnsi="Book Antiqua" w:cs="Times New Roman"/>
          <w:sz w:val="24"/>
          <w:szCs w:val="24"/>
        </w:rPr>
        <w:t>sorafenib</w:t>
      </w:r>
      <w:proofErr w:type="spellEnd"/>
      <w:r w:rsidR="00D95D39" w:rsidRPr="007214E1">
        <w:rPr>
          <w:rFonts w:ascii="Book Antiqua" w:hAnsi="Book Antiqua" w:cs="Times New Roman"/>
          <w:sz w:val="24"/>
          <w:szCs w:val="24"/>
        </w:rPr>
        <w:t xml:space="preserve"> </w:t>
      </w:r>
      <w:r w:rsidR="00781B1B" w:rsidRPr="007214E1">
        <w:rPr>
          <w:rFonts w:ascii="Book Antiqua" w:hAnsi="Book Antiqua" w:cs="Times New Roman"/>
          <w:sz w:val="24"/>
          <w:szCs w:val="24"/>
        </w:rPr>
        <w:t xml:space="preserve">and </w:t>
      </w:r>
      <w:proofErr w:type="spellStart"/>
      <w:r w:rsidR="00781B1B" w:rsidRPr="007214E1">
        <w:rPr>
          <w:rFonts w:ascii="Book Antiqua" w:hAnsi="Book Antiqua" w:cs="Times New Roman"/>
          <w:sz w:val="24"/>
          <w:szCs w:val="24"/>
        </w:rPr>
        <w:t>lenvatinib</w:t>
      </w:r>
      <w:proofErr w:type="spellEnd"/>
      <w:r w:rsidR="00781B1B" w:rsidRPr="007214E1">
        <w:rPr>
          <w:rFonts w:ascii="Book Antiqua" w:hAnsi="Book Antiqua" w:cs="Times New Roman"/>
          <w:sz w:val="24"/>
          <w:szCs w:val="24"/>
        </w:rPr>
        <w:t xml:space="preserve"> are approved for use as first-line </w:t>
      </w:r>
      <w:proofErr w:type="gramStart"/>
      <w:r w:rsidR="00781B1B" w:rsidRPr="007214E1">
        <w:rPr>
          <w:rFonts w:ascii="Book Antiqua" w:hAnsi="Book Antiqua" w:cs="Times New Roman"/>
          <w:sz w:val="24"/>
          <w:szCs w:val="24"/>
        </w:rPr>
        <w:t>therapy</w:t>
      </w:r>
      <w:r w:rsidR="00781B1B" w:rsidRPr="007214E1">
        <w:rPr>
          <w:rFonts w:ascii="Book Antiqua" w:hAnsi="Book Antiqua" w:cs="Times New Roman"/>
          <w:sz w:val="24"/>
          <w:szCs w:val="24"/>
          <w:vertAlign w:val="superscript"/>
        </w:rPr>
        <w:t>[</w:t>
      </w:r>
      <w:proofErr w:type="gramEnd"/>
      <w:r w:rsidR="00E222A7" w:rsidRPr="007214E1">
        <w:rPr>
          <w:rFonts w:ascii="Book Antiqua" w:hAnsi="Book Antiqua" w:cs="Times New Roman"/>
          <w:sz w:val="24"/>
          <w:szCs w:val="24"/>
          <w:vertAlign w:val="superscript"/>
        </w:rPr>
        <w:t>6</w:t>
      </w:r>
      <w:r w:rsidR="00781B1B" w:rsidRPr="007214E1">
        <w:rPr>
          <w:rFonts w:ascii="Book Antiqua" w:hAnsi="Book Antiqua" w:cs="Times New Roman"/>
          <w:sz w:val="24"/>
          <w:szCs w:val="24"/>
          <w:vertAlign w:val="superscript"/>
        </w:rPr>
        <w:t>]</w:t>
      </w:r>
      <w:r w:rsidR="00781B1B" w:rsidRPr="007214E1">
        <w:rPr>
          <w:rFonts w:ascii="Book Antiqua" w:hAnsi="Book Antiqua" w:cs="Times New Roman"/>
          <w:sz w:val="24"/>
          <w:szCs w:val="24"/>
        </w:rPr>
        <w:t>.</w:t>
      </w:r>
      <w:r w:rsidR="00781B1B" w:rsidRPr="007214E1">
        <w:rPr>
          <w:rFonts w:ascii="Book Antiqua" w:hAnsi="Book Antiqua" w:cs="Times New Roman"/>
          <w:i/>
          <w:sz w:val="24"/>
          <w:szCs w:val="24"/>
        </w:rPr>
        <w:t xml:space="preserve"> </w:t>
      </w:r>
      <w:r w:rsidR="00823D63" w:rsidRPr="007214E1">
        <w:rPr>
          <w:rFonts w:ascii="Book Antiqua" w:hAnsi="Book Antiqua" w:cs="Times New Roman"/>
          <w:sz w:val="24"/>
          <w:szCs w:val="24"/>
        </w:rPr>
        <w:t xml:space="preserve">Ramucirumab, a monoclonal antibody directed against </w:t>
      </w:r>
      <w:r w:rsidR="00F973BF" w:rsidRPr="007214E1">
        <w:rPr>
          <w:rFonts w:ascii="Book Antiqua" w:hAnsi="Book Antiqua"/>
          <w:sz w:val="24"/>
          <w:szCs w:val="24"/>
        </w:rPr>
        <w:t>vascular endothelial growth factor</w:t>
      </w:r>
      <w:r w:rsidR="00F973BF" w:rsidRPr="007214E1">
        <w:rPr>
          <w:rFonts w:ascii="Book Antiqua" w:hAnsi="Book Antiqua" w:cs="Times New Roman"/>
          <w:sz w:val="24"/>
          <w:szCs w:val="24"/>
        </w:rPr>
        <w:t xml:space="preserve"> (</w:t>
      </w:r>
      <w:r w:rsidR="00823D63" w:rsidRPr="007214E1">
        <w:rPr>
          <w:rFonts w:ascii="Book Antiqua" w:hAnsi="Book Antiqua" w:cs="Times New Roman"/>
          <w:sz w:val="24"/>
          <w:szCs w:val="24"/>
        </w:rPr>
        <w:t>VEGF</w:t>
      </w:r>
      <w:r w:rsidR="00F973BF" w:rsidRPr="007214E1">
        <w:rPr>
          <w:rFonts w:ascii="Book Antiqua" w:hAnsi="Book Antiqua" w:cs="Times New Roman"/>
          <w:sz w:val="24"/>
          <w:szCs w:val="24"/>
        </w:rPr>
        <w:t>)</w:t>
      </w:r>
      <w:r w:rsidR="0041276D" w:rsidRPr="007214E1">
        <w:rPr>
          <w:rFonts w:ascii="Book Antiqua" w:hAnsi="Book Antiqua" w:cs="Times New Roman"/>
          <w:sz w:val="24"/>
          <w:szCs w:val="24"/>
        </w:rPr>
        <w:t xml:space="preserve"> </w:t>
      </w:r>
      <w:r w:rsidR="00823D63" w:rsidRPr="007214E1">
        <w:rPr>
          <w:rFonts w:ascii="Book Antiqua" w:hAnsi="Book Antiqua" w:cs="Times New Roman"/>
          <w:sz w:val="24"/>
          <w:szCs w:val="24"/>
        </w:rPr>
        <w:t>receptor 2, and</w:t>
      </w:r>
      <w:r w:rsidR="00781B1B" w:rsidRPr="007214E1">
        <w:rPr>
          <w:rFonts w:ascii="Book Antiqua" w:hAnsi="Book Antiqua" w:cs="Times New Roman"/>
          <w:sz w:val="24"/>
          <w:szCs w:val="24"/>
        </w:rPr>
        <w:t xml:space="preserve"> </w:t>
      </w:r>
      <w:r w:rsidR="00D95D39" w:rsidRPr="007214E1">
        <w:rPr>
          <w:rFonts w:ascii="Book Antiqua" w:hAnsi="Book Antiqua" w:cs="Times New Roman"/>
          <w:sz w:val="24"/>
          <w:szCs w:val="24"/>
        </w:rPr>
        <w:t xml:space="preserve">the tyrosine kinase inhibitors </w:t>
      </w:r>
      <w:proofErr w:type="spellStart"/>
      <w:r w:rsidR="00781B1B" w:rsidRPr="007214E1">
        <w:rPr>
          <w:rFonts w:ascii="Book Antiqua" w:hAnsi="Book Antiqua" w:cs="Times New Roman"/>
          <w:sz w:val="24"/>
          <w:szCs w:val="24"/>
        </w:rPr>
        <w:t>regorafenib</w:t>
      </w:r>
      <w:proofErr w:type="spellEnd"/>
      <w:r w:rsidR="00781B1B" w:rsidRPr="007214E1">
        <w:rPr>
          <w:rFonts w:ascii="Book Antiqua" w:hAnsi="Book Antiqua" w:cs="Times New Roman"/>
          <w:sz w:val="24"/>
          <w:szCs w:val="24"/>
        </w:rPr>
        <w:t xml:space="preserve"> and </w:t>
      </w:r>
      <w:proofErr w:type="spellStart"/>
      <w:r w:rsidR="00781B1B" w:rsidRPr="007214E1">
        <w:rPr>
          <w:rFonts w:ascii="Book Antiqua" w:hAnsi="Book Antiqua" w:cs="Times New Roman"/>
          <w:sz w:val="24"/>
          <w:szCs w:val="24"/>
        </w:rPr>
        <w:t>cabozantinib</w:t>
      </w:r>
      <w:proofErr w:type="spellEnd"/>
      <w:r w:rsidR="00781B1B" w:rsidRPr="007214E1">
        <w:rPr>
          <w:rFonts w:ascii="Book Antiqua" w:hAnsi="Book Antiqua" w:cs="Times New Roman"/>
          <w:sz w:val="24"/>
          <w:szCs w:val="24"/>
        </w:rPr>
        <w:t xml:space="preserve"> are approved for patients previously treated with sorafenib, however, candidates for ramucirumab therapy must also have an </w:t>
      </w:r>
      <w:r w:rsidR="00D81C9B" w:rsidRPr="007214E1">
        <w:rPr>
          <w:rFonts w:ascii="Book Antiqua" w:hAnsi="Book Antiqua" w:cs="Times New Roman"/>
          <w:sz w:val="24"/>
          <w:szCs w:val="24"/>
        </w:rPr>
        <w:t>alpha-fetoprotein (</w:t>
      </w:r>
      <w:r w:rsidR="00781B1B" w:rsidRPr="007214E1">
        <w:rPr>
          <w:rFonts w:ascii="Book Antiqua" w:hAnsi="Book Antiqua" w:cs="Times New Roman"/>
          <w:sz w:val="24"/>
          <w:szCs w:val="24"/>
        </w:rPr>
        <w:t>AFP</w:t>
      </w:r>
      <w:r w:rsidR="00D81C9B" w:rsidRPr="007214E1">
        <w:rPr>
          <w:rFonts w:ascii="Book Antiqua" w:hAnsi="Book Antiqua" w:cs="Times New Roman"/>
          <w:sz w:val="24"/>
          <w:szCs w:val="24"/>
        </w:rPr>
        <w:t>)</w:t>
      </w:r>
      <w:r w:rsidR="00B278F1" w:rsidRPr="007214E1">
        <w:rPr>
          <w:rFonts w:ascii="Book Antiqua" w:hAnsi="Book Antiqua" w:cs="Times New Roman"/>
          <w:sz w:val="24"/>
          <w:szCs w:val="24"/>
        </w:rPr>
        <w:t xml:space="preserve"> level of</w:t>
      </w:r>
      <w:r w:rsidR="00781B1B" w:rsidRPr="007214E1">
        <w:rPr>
          <w:rFonts w:ascii="Book Antiqua" w:hAnsi="Book Antiqua" w:cs="Times New Roman"/>
          <w:sz w:val="24"/>
          <w:szCs w:val="24"/>
        </w:rPr>
        <w:t xml:space="preserve"> 400 ng/mL or greater</w:t>
      </w:r>
      <w:r w:rsidR="00781B1B" w:rsidRPr="007214E1">
        <w:rPr>
          <w:rFonts w:ascii="Book Antiqua" w:hAnsi="Book Antiqua" w:cs="Times New Roman"/>
          <w:sz w:val="24"/>
          <w:szCs w:val="24"/>
          <w:vertAlign w:val="superscript"/>
        </w:rPr>
        <w:t>[</w:t>
      </w:r>
      <w:r w:rsidR="001C107E" w:rsidRPr="007214E1">
        <w:rPr>
          <w:rFonts w:ascii="Book Antiqua" w:hAnsi="Book Antiqua" w:cs="Times New Roman"/>
          <w:sz w:val="24"/>
          <w:szCs w:val="24"/>
          <w:vertAlign w:val="superscript"/>
        </w:rPr>
        <w:t>6</w:t>
      </w:r>
      <w:r w:rsidR="003B5352" w:rsidRPr="007214E1">
        <w:rPr>
          <w:rFonts w:ascii="Book Antiqua" w:hAnsi="Book Antiqua" w:cs="Times New Roman"/>
          <w:sz w:val="24"/>
          <w:szCs w:val="24"/>
          <w:vertAlign w:val="superscript"/>
        </w:rPr>
        <w:t>,</w:t>
      </w:r>
      <w:r w:rsidR="00417128" w:rsidRPr="007214E1">
        <w:rPr>
          <w:rFonts w:ascii="Book Antiqua" w:hAnsi="Book Antiqua" w:cs="Times New Roman"/>
          <w:sz w:val="24"/>
          <w:szCs w:val="24"/>
          <w:vertAlign w:val="superscript"/>
        </w:rPr>
        <w:t>7</w:t>
      </w:r>
      <w:r w:rsidR="006E6AF9" w:rsidRPr="007214E1">
        <w:rPr>
          <w:rFonts w:ascii="Book Antiqua" w:hAnsi="Book Antiqua" w:cs="Times New Roman"/>
          <w:sz w:val="24"/>
          <w:szCs w:val="24"/>
          <w:vertAlign w:val="superscript"/>
        </w:rPr>
        <w:t>]</w:t>
      </w:r>
      <w:r w:rsidR="00781B1B" w:rsidRPr="007214E1">
        <w:rPr>
          <w:rFonts w:ascii="Book Antiqua" w:hAnsi="Book Antiqua" w:cs="Times New Roman"/>
          <w:sz w:val="24"/>
          <w:szCs w:val="24"/>
        </w:rPr>
        <w:t>.</w:t>
      </w:r>
      <w:r w:rsidR="00781B1B" w:rsidRPr="007214E1">
        <w:rPr>
          <w:rFonts w:ascii="Book Antiqua" w:hAnsi="Book Antiqua" w:cs="Times New Roman"/>
          <w:i/>
          <w:sz w:val="24"/>
          <w:szCs w:val="24"/>
        </w:rPr>
        <w:t xml:space="preserve"> </w:t>
      </w:r>
      <w:r w:rsidR="00781B1B" w:rsidRPr="007214E1">
        <w:rPr>
          <w:rFonts w:ascii="Book Antiqua" w:hAnsi="Book Antiqua" w:cs="Times New Roman"/>
          <w:sz w:val="24"/>
          <w:szCs w:val="24"/>
        </w:rPr>
        <w:t xml:space="preserve">With the exception of </w:t>
      </w:r>
      <w:proofErr w:type="spellStart"/>
      <w:r w:rsidR="00781B1B" w:rsidRPr="007214E1">
        <w:rPr>
          <w:rFonts w:ascii="Book Antiqua" w:hAnsi="Book Antiqua" w:cs="Times New Roman"/>
          <w:sz w:val="24"/>
          <w:szCs w:val="24"/>
        </w:rPr>
        <w:t>lenvatinib</w:t>
      </w:r>
      <w:proofErr w:type="spellEnd"/>
      <w:r w:rsidR="00781B1B" w:rsidRPr="007214E1">
        <w:rPr>
          <w:rFonts w:ascii="Book Antiqua" w:hAnsi="Book Antiqua" w:cs="Times New Roman"/>
          <w:sz w:val="24"/>
          <w:szCs w:val="24"/>
        </w:rPr>
        <w:t>, which produced an objective response rate (ORR) of 24</w:t>
      </w:r>
      <w:r w:rsidR="00417128" w:rsidRPr="007214E1">
        <w:rPr>
          <w:rFonts w:ascii="Book Antiqua" w:hAnsi="Book Antiqua" w:cs="Times New Roman"/>
          <w:sz w:val="24"/>
          <w:szCs w:val="24"/>
        </w:rPr>
        <w:t>.1</w:t>
      </w:r>
      <w:r w:rsidR="00781B1B" w:rsidRPr="007214E1">
        <w:rPr>
          <w:rFonts w:ascii="Book Antiqua" w:hAnsi="Book Antiqua" w:cs="Times New Roman"/>
          <w:sz w:val="24"/>
          <w:szCs w:val="24"/>
        </w:rPr>
        <w:t>%, the rest of the approved systemic therapies could only achi</w:t>
      </w:r>
      <w:r w:rsidR="003B5352" w:rsidRPr="007214E1">
        <w:rPr>
          <w:rFonts w:ascii="Book Antiqua" w:hAnsi="Book Antiqua" w:cs="Times New Roman"/>
          <w:sz w:val="24"/>
          <w:szCs w:val="24"/>
        </w:rPr>
        <w:t xml:space="preserve">eve an ORR in the range of 2 to </w:t>
      </w:r>
      <w:r w:rsidR="00781B1B" w:rsidRPr="007214E1">
        <w:rPr>
          <w:rFonts w:ascii="Book Antiqua" w:hAnsi="Book Antiqua" w:cs="Times New Roman"/>
          <w:sz w:val="24"/>
          <w:szCs w:val="24"/>
        </w:rPr>
        <w:lastRenderedPageBreak/>
        <w:t>11</w:t>
      </w:r>
      <w:proofErr w:type="gramStart"/>
      <w:r w:rsidR="00781B1B" w:rsidRPr="007214E1">
        <w:rPr>
          <w:rFonts w:ascii="Book Antiqua" w:hAnsi="Book Antiqua" w:cs="Times New Roman"/>
          <w:sz w:val="24"/>
          <w:szCs w:val="24"/>
        </w:rPr>
        <w:t>%</w:t>
      </w:r>
      <w:r w:rsidR="00781B1B" w:rsidRPr="007214E1">
        <w:rPr>
          <w:rFonts w:ascii="Book Antiqua" w:hAnsi="Book Antiqua" w:cs="Times New Roman"/>
          <w:sz w:val="24"/>
          <w:szCs w:val="24"/>
          <w:vertAlign w:val="superscript"/>
        </w:rPr>
        <w:t>[</w:t>
      </w:r>
      <w:proofErr w:type="gramEnd"/>
      <w:r w:rsidR="00417128" w:rsidRPr="007214E1">
        <w:rPr>
          <w:rFonts w:ascii="Book Antiqua" w:hAnsi="Book Antiqua" w:cs="Times New Roman"/>
          <w:sz w:val="24"/>
          <w:szCs w:val="24"/>
          <w:vertAlign w:val="superscript"/>
        </w:rPr>
        <w:t>8</w:t>
      </w:r>
      <w:r w:rsidR="00861633" w:rsidRPr="007214E1">
        <w:rPr>
          <w:rFonts w:ascii="Book Antiqua" w:hAnsi="Book Antiqua" w:cs="Times New Roman"/>
          <w:sz w:val="24"/>
          <w:szCs w:val="24"/>
          <w:vertAlign w:val="superscript"/>
        </w:rPr>
        <w:t>-12]</w:t>
      </w:r>
      <w:r w:rsidR="00781B1B" w:rsidRPr="007214E1">
        <w:rPr>
          <w:rFonts w:ascii="Book Antiqua" w:hAnsi="Book Antiqua" w:cs="Times New Roman"/>
          <w:sz w:val="24"/>
          <w:szCs w:val="24"/>
        </w:rPr>
        <w:t>.</w:t>
      </w:r>
      <w:r w:rsidR="00396E50" w:rsidRPr="007214E1">
        <w:rPr>
          <w:rFonts w:ascii="Book Antiqua" w:hAnsi="Book Antiqua" w:cs="Times New Roman"/>
          <w:sz w:val="24"/>
          <w:szCs w:val="24"/>
        </w:rPr>
        <w:t xml:space="preserve"> </w:t>
      </w:r>
      <w:proofErr w:type="spellStart"/>
      <w:r w:rsidR="00396E50" w:rsidRPr="007214E1">
        <w:rPr>
          <w:rFonts w:ascii="Book Antiqua" w:hAnsi="Book Antiqua" w:cs="Times New Roman"/>
          <w:sz w:val="24"/>
          <w:szCs w:val="24"/>
        </w:rPr>
        <w:t>Sorafenib</w:t>
      </w:r>
      <w:proofErr w:type="spellEnd"/>
      <w:r w:rsidR="00396E50" w:rsidRPr="007214E1">
        <w:rPr>
          <w:rFonts w:ascii="Book Antiqua" w:hAnsi="Book Antiqua" w:cs="Times New Roman"/>
          <w:sz w:val="24"/>
          <w:szCs w:val="24"/>
        </w:rPr>
        <w:t xml:space="preserve">, </w:t>
      </w:r>
      <w:proofErr w:type="spellStart"/>
      <w:r w:rsidR="00396E50" w:rsidRPr="007214E1">
        <w:rPr>
          <w:rFonts w:ascii="Book Antiqua" w:hAnsi="Book Antiqua" w:cs="Times New Roman"/>
          <w:sz w:val="24"/>
          <w:szCs w:val="24"/>
        </w:rPr>
        <w:t>ramucirumab</w:t>
      </w:r>
      <w:proofErr w:type="spellEnd"/>
      <w:r w:rsidR="00396E50" w:rsidRPr="007214E1">
        <w:rPr>
          <w:rFonts w:ascii="Book Antiqua" w:hAnsi="Book Antiqua" w:cs="Times New Roman"/>
          <w:sz w:val="24"/>
          <w:szCs w:val="24"/>
        </w:rPr>
        <w:t xml:space="preserve">, </w:t>
      </w:r>
      <w:proofErr w:type="spellStart"/>
      <w:r w:rsidR="00396E50" w:rsidRPr="007214E1">
        <w:rPr>
          <w:rFonts w:ascii="Book Antiqua" w:hAnsi="Book Antiqua" w:cs="Times New Roman"/>
          <w:sz w:val="24"/>
          <w:szCs w:val="24"/>
        </w:rPr>
        <w:t>regorafenib</w:t>
      </w:r>
      <w:proofErr w:type="spellEnd"/>
      <w:r w:rsidR="00396E50" w:rsidRPr="007214E1">
        <w:rPr>
          <w:rFonts w:ascii="Book Antiqua" w:hAnsi="Book Antiqua" w:cs="Times New Roman"/>
          <w:sz w:val="24"/>
          <w:szCs w:val="24"/>
        </w:rPr>
        <w:t xml:space="preserve"> and </w:t>
      </w:r>
      <w:proofErr w:type="spellStart"/>
      <w:r w:rsidR="00396E50" w:rsidRPr="007214E1">
        <w:rPr>
          <w:rFonts w:ascii="Book Antiqua" w:hAnsi="Book Antiqua" w:cs="Times New Roman"/>
          <w:sz w:val="24"/>
          <w:szCs w:val="24"/>
        </w:rPr>
        <w:t>cabozantinib</w:t>
      </w:r>
      <w:proofErr w:type="spellEnd"/>
      <w:r w:rsidR="00396E50" w:rsidRPr="007214E1">
        <w:rPr>
          <w:rFonts w:ascii="Book Antiqua" w:hAnsi="Book Antiqua" w:cs="Times New Roman"/>
          <w:sz w:val="24"/>
          <w:szCs w:val="24"/>
        </w:rPr>
        <w:t xml:space="preserve"> were directly compared to placebo and i</w:t>
      </w:r>
      <w:r w:rsidR="00BC179F" w:rsidRPr="007214E1">
        <w:rPr>
          <w:rFonts w:ascii="Book Antiqua" w:hAnsi="Book Antiqua" w:cs="Times New Roman"/>
          <w:sz w:val="24"/>
          <w:szCs w:val="24"/>
        </w:rPr>
        <w:t>ncreased</w:t>
      </w:r>
      <w:r w:rsidR="00396E50" w:rsidRPr="007214E1">
        <w:rPr>
          <w:rFonts w:ascii="Book Antiqua" w:hAnsi="Book Antiqua" w:cs="Times New Roman"/>
          <w:sz w:val="24"/>
          <w:szCs w:val="24"/>
        </w:rPr>
        <w:t xml:space="preserve"> overall survival by </w:t>
      </w:r>
      <w:r w:rsidR="00B278F1" w:rsidRPr="007214E1">
        <w:rPr>
          <w:rFonts w:ascii="Book Antiqua" w:hAnsi="Book Antiqua" w:cs="Times New Roman"/>
          <w:sz w:val="24"/>
          <w:szCs w:val="24"/>
        </w:rPr>
        <w:t>only</w:t>
      </w:r>
      <w:r w:rsidR="00396E50" w:rsidRPr="007214E1">
        <w:rPr>
          <w:rFonts w:ascii="Book Antiqua" w:hAnsi="Book Antiqua" w:cs="Times New Roman"/>
          <w:sz w:val="24"/>
          <w:szCs w:val="24"/>
        </w:rPr>
        <w:t xml:space="preserve"> 1.2 to 2.8 </w:t>
      </w:r>
      <w:proofErr w:type="spellStart"/>
      <w:proofErr w:type="gramStart"/>
      <w:r w:rsidR="00396E50" w:rsidRPr="007214E1">
        <w:rPr>
          <w:rFonts w:ascii="Book Antiqua" w:hAnsi="Book Antiqua" w:cs="Times New Roman"/>
          <w:sz w:val="24"/>
          <w:szCs w:val="24"/>
        </w:rPr>
        <w:t>mo</w:t>
      </w:r>
      <w:proofErr w:type="spellEnd"/>
      <w:r w:rsidR="00396E50" w:rsidRPr="007214E1">
        <w:rPr>
          <w:rFonts w:ascii="Book Antiqua" w:hAnsi="Book Antiqua" w:cs="Times New Roman"/>
          <w:sz w:val="24"/>
          <w:szCs w:val="24"/>
          <w:vertAlign w:val="superscript"/>
        </w:rPr>
        <w:t>[</w:t>
      </w:r>
      <w:proofErr w:type="gramEnd"/>
      <w:r w:rsidR="00396E50" w:rsidRPr="007214E1">
        <w:rPr>
          <w:rFonts w:ascii="Book Antiqua" w:hAnsi="Book Antiqua" w:cs="Times New Roman"/>
          <w:sz w:val="24"/>
          <w:szCs w:val="24"/>
          <w:vertAlign w:val="superscript"/>
        </w:rPr>
        <w:t>8,10-12]</w:t>
      </w:r>
      <w:r w:rsidR="00396E50" w:rsidRPr="007214E1">
        <w:rPr>
          <w:rFonts w:ascii="Book Antiqua" w:hAnsi="Book Antiqua" w:cs="Times New Roman"/>
          <w:sz w:val="24"/>
          <w:szCs w:val="24"/>
        </w:rPr>
        <w:t>.</w:t>
      </w:r>
    </w:p>
    <w:p w14:paraId="05305AB3" w14:textId="73285C92" w:rsidR="00D95D39" w:rsidRPr="007214E1" w:rsidRDefault="005C43DD" w:rsidP="00EB43EE">
      <w:pPr>
        <w:snapToGrid w:val="0"/>
        <w:spacing w:line="360" w:lineRule="auto"/>
        <w:ind w:firstLineChars="100" w:firstLine="240"/>
        <w:jc w:val="both"/>
        <w:rPr>
          <w:rFonts w:ascii="Book Antiqua" w:hAnsi="Book Antiqua"/>
          <w:i/>
        </w:rPr>
      </w:pPr>
      <w:r w:rsidRPr="007214E1">
        <w:rPr>
          <w:rFonts w:ascii="Book Antiqua" w:hAnsi="Book Antiqua"/>
        </w:rPr>
        <w:t xml:space="preserve">In hopes of discovering therapies that could produce greater responses, investigators began to </w:t>
      </w:r>
      <w:r w:rsidR="00A90CC6" w:rsidRPr="007214E1">
        <w:rPr>
          <w:rFonts w:ascii="Book Antiqua" w:hAnsi="Book Antiqua"/>
        </w:rPr>
        <w:t xml:space="preserve">utilize </w:t>
      </w:r>
      <w:r w:rsidRPr="007214E1">
        <w:rPr>
          <w:rFonts w:ascii="Book Antiqua" w:hAnsi="Book Antiqua"/>
        </w:rPr>
        <w:t>checkpoint inhibitors</w:t>
      </w:r>
      <w:r w:rsidR="00B278F1" w:rsidRPr="007214E1">
        <w:rPr>
          <w:rFonts w:ascii="Book Antiqua" w:hAnsi="Book Antiqua"/>
        </w:rPr>
        <w:t xml:space="preserve"> in HCC patients</w:t>
      </w:r>
      <w:r w:rsidR="00FD5D85" w:rsidRPr="007214E1">
        <w:rPr>
          <w:rFonts w:ascii="Book Antiqua" w:hAnsi="Book Antiqua"/>
        </w:rPr>
        <w:t xml:space="preserve">, </w:t>
      </w:r>
      <w:r w:rsidR="006A3C30" w:rsidRPr="007214E1">
        <w:rPr>
          <w:rFonts w:ascii="Book Antiqua" w:hAnsi="Book Antiqua"/>
        </w:rPr>
        <w:t xml:space="preserve">given </w:t>
      </w:r>
      <w:r w:rsidRPr="007214E1">
        <w:rPr>
          <w:rFonts w:ascii="Book Antiqua" w:hAnsi="Book Antiqua"/>
        </w:rPr>
        <w:t xml:space="preserve">their success </w:t>
      </w:r>
      <w:r w:rsidR="00B278F1" w:rsidRPr="007214E1">
        <w:rPr>
          <w:rFonts w:ascii="Book Antiqua" w:hAnsi="Book Antiqua"/>
        </w:rPr>
        <w:t>in</w:t>
      </w:r>
      <w:r w:rsidR="006A3C30" w:rsidRPr="007214E1">
        <w:rPr>
          <w:rFonts w:ascii="Book Antiqua" w:hAnsi="Book Antiqua"/>
        </w:rPr>
        <w:t xml:space="preserve"> </w:t>
      </w:r>
      <w:r w:rsidR="00212001" w:rsidRPr="007214E1">
        <w:rPr>
          <w:rFonts w:ascii="Book Antiqua" w:hAnsi="Book Antiqua"/>
        </w:rPr>
        <w:t>other malignancies and the</w:t>
      </w:r>
      <w:r w:rsidR="001842FC" w:rsidRPr="007214E1">
        <w:rPr>
          <w:rFonts w:ascii="Book Antiqua" w:hAnsi="Book Antiqua"/>
        </w:rPr>
        <w:t xml:space="preserve"> contribution of the PD-1/PD-L1 and CTLA4 pathways to </w:t>
      </w:r>
      <w:r w:rsidR="00B278F1" w:rsidRPr="007214E1">
        <w:rPr>
          <w:rFonts w:ascii="Book Antiqua" w:hAnsi="Book Antiqua"/>
        </w:rPr>
        <w:t>creating an</w:t>
      </w:r>
      <w:r w:rsidR="00212001" w:rsidRPr="007214E1">
        <w:rPr>
          <w:rFonts w:ascii="Book Antiqua" w:hAnsi="Book Antiqua"/>
        </w:rPr>
        <w:t xml:space="preserve"> immunosuppressive </w:t>
      </w:r>
      <w:r w:rsidR="00B278F1" w:rsidRPr="007214E1">
        <w:rPr>
          <w:rFonts w:ascii="Book Antiqua" w:hAnsi="Book Antiqua"/>
        </w:rPr>
        <w:t xml:space="preserve">tumor </w:t>
      </w:r>
      <w:proofErr w:type="gramStart"/>
      <w:r w:rsidR="00B278F1" w:rsidRPr="007214E1">
        <w:rPr>
          <w:rFonts w:ascii="Book Antiqua" w:hAnsi="Book Antiqua"/>
        </w:rPr>
        <w:t>micro</w:t>
      </w:r>
      <w:r w:rsidR="00212001" w:rsidRPr="007214E1">
        <w:rPr>
          <w:rFonts w:ascii="Book Antiqua" w:hAnsi="Book Antiqua"/>
        </w:rPr>
        <w:t>environment</w:t>
      </w:r>
      <w:r w:rsidR="00FD5D85" w:rsidRPr="007214E1">
        <w:rPr>
          <w:rFonts w:ascii="Book Antiqua" w:hAnsi="Book Antiqua"/>
          <w:vertAlign w:val="superscript"/>
        </w:rPr>
        <w:t>[</w:t>
      </w:r>
      <w:proofErr w:type="gramEnd"/>
      <w:r w:rsidR="00BC179F" w:rsidRPr="007214E1">
        <w:rPr>
          <w:rFonts w:ascii="Book Antiqua" w:hAnsi="Book Antiqua"/>
          <w:vertAlign w:val="superscript"/>
        </w:rPr>
        <w:t>13-15</w:t>
      </w:r>
      <w:r w:rsidR="00FD5D85" w:rsidRPr="007214E1">
        <w:rPr>
          <w:rFonts w:ascii="Book Antiqua" w:hAnsi="Book Antiqua"/>
          <w:vertAlign w:val="superscript"/>
        </w:rPr>
        <w:t>]</w:t>
      </w:r>
      <w:r w:rsidR="001F1560" w:rsidRPr="007214E1">
        <w:rPr>
          <w:rFonts w:ascii="Book Antiqua" w:eastAsia="宋体" w:hAnsi="Book Antiqua"/>
          <w:vertAlign w:val="superscript"/>
          <w:lang w:eastAsia="zh-CN"/>
        </w:rPr>
        <w:t xml:space="preserve"> </w:t>
      </w:r>
      <w:r w:rsidR="001F1560" w:rsidRPr="007214E1">
        <w:rPr>
          <w:rFonts w:ascii="Book Antiqua" w:eastAsia="宋体" w:hAnsi="Book Antiqua"/>
          <w:lang w:eastAsia="zh-CN"/>
        </w:rPr>
        <w:t>(Table 2)</w:t>
      </w:r>
      <w:r w:rsidR="00FD5D85" w:rsidRPr="007214E1">
        <w:rPr>
          <w:rFonts w:ascii="Book Antiqua" w:hAnsi="Book Antiqua"/>
        </w:rPr>
        <w:t>.</w:t>
      </w:r>
      <w:r w:rsidR="00FD5D85" w:rsidRPr="007214E1">
        <w:rPr>
          <w:rFonts w:ascii="Book Antiqua" w:hAnsi="Book Antiqua"/>
          <w:i/>
        </w:rPr>
        <w:t xml:space="preserve"> </w:t>
      </w:r>
      <w:r w:rsidR="009D010E" w:rsidRPr="007214E1">
        <w:rPr>
          <w:rFonts w:ascii="Book Antiqua" w:hAnsi="Book Antiqua"/>
        </w:rPr>
        <w:t>Ni</w:t>
      </w:r>
      <w:r w:rsidR="00D95D39" w:rsidRPr="007214E1">
        <w:rPr>
          <w:rFonts w:ascii="Book Antiqua" w:hAnsi="Book Antiqua"/>
        </w:rPr>
        <w:t xml:space="preserve">volumab </w:t>
      </w:r>
      <w:r w:rsidR="009D010E" w:rsidRPr="007214E1">
        <w:rPr>
          <w:rFonts w:ascii="Book Antiqua" w:hAnsi="Book Antiqua"/>
        </w:rPr>
        <w:t xml:space="preserve">demonstrated an ORR of 15% and 20% in the dose-escalation and dose-expansion phases of the </w:t>
      </w:r>
      <w:proofErr w:type="spellStart"/>
      <w:r w:rsidR="009D010E" w:rsidRPr="007214E1">
        <w:rPr>
          <w:rFonts w:ascii="Book Antiqua" w:hAnsi="Book Antiqua"/>
        </w:rPr>
        <w:t>CheckMate</w:t>
      </w:r>
      <w:proofErr w:type="spellEnd"/>
      <w:r w:rsidR="009D010E" w:rsidRPr="007214E1">
        <w:rPr>
          <w:rFonts w:ascii="Book Antiqua" w:hAnsi="Book Antiqua"/>
        </w:rPr>
        <w:t xml:space="preserve"> 040 trial, respectively, while </w:t>
      </w:r>
      <w:r w:rsidR="00D95D39" w:rsidRPr="007214E1">
        <w:rPr>
          <w:rFonts w:ascii="Book Antiqua" w:hAnsi="Book Antiqua"/>
        </w:rPr>
        <w:t xml:space="preserve">pembrolizumab </w:t>
      </w:r>
      <w:r w:rsidR="009D010E" w:rsidRPr="007214E1">
        <w:rPr>
          <w:rFonts w:ascii="Book Antiqua" w:hAnsi="Book Antiqua"/>
        </w:rPr>
        <w:t>produced an ORR of</w:t>
      </w:r>
      <w:r w:rsidR="00D95D39" w:rsidRPr="007214E1">
        <w:rPr>
          <w:rFonts w:ascii="Book Antiqua" w:hAnsi="Book Antiqua"/>
        </w:rPr>
        <w:t xml:space="preserve"> 17</w:t>
      </w:r>
      <w:r w:rsidR="009D010E" w:rsidRPr="007214E1">
        <w:rPr>
          <w:rFonts w:ascii="Book Antiqua" w:hAnsi="Book Antiqua"/>
        </w:rPr>
        <w:t>% in the</w:t>
      </w:r>
      <w:r w:rsidR="00D95D39" w:rsidRPr="007214E1">
        <w:rPr>
          <w:rFonts w:ascii="Book Antiqua" w:hAnsi="Book Antiqua"/>
        </w:rPr>
        <w:t xml:space="preserve"> KEYNOTE-224 </w:t>
      </w:r>
      <w:proofErr w:type="gramStart"/>
      <w:r w:rsidR="009D010E" w:rsidRPr="007214E1">
        <w:rPr>
          <w:rFonts w:ascii="Book Antiqua" w:hAnsi="Book Antiqua"/>
        </w:rPr>
        <w:t>trial</w:t>
      </w:r>
      <w:r w:rsidR="00D95D39" w:rsidRPr="007214E1">
        <w:rPr>
          <w:rFonts w:ascii="Book Antiqua" w:hAnsi="Book Antiqua"/>
          <w:vertAlign w:val="superscript"/>
        </w:rPr>
        <w:t>[</w:t>
      </w:r>
      <w:proofErr w:type="gramEnd"/>
      <w:r w:rsidR="003A28BE" w:rsidRPr="007214E1">
        <w:rPr>
          <w:rFonts w:ascii="Book Antiqua" w:hAnsi="Book Antiqua"/>
          <w:vertAlign w:val="superscript"/>
        </w:rPr>
        <w:t>13,</w:t>
      </w:r>
      <w:r w:rsidR="009D010E" w:rsidRPr="007214E1">
        <w:rPr>
          <w:rFonts w:ascii="Book Antiqua" w:hAnsi="Book Antiqua"/>
          <w:vertAlign w:val="superscript"/>
        </w:rPr>
        <w:t>14</w:t>
      </w:r>
      <w:r w:rsidR="00D95D39" w:rsidRPr="007214E1">
        <w:rPr>
          <w:rFonts w:ascii="Book Antiqua" w:hAnsi="Book Antiqua"/>
          <w:vertAlign w:val="superscript"/>
        </w:rPr>
        <w:t>]</w:t>
      </w:r>
      <w:r w:rsidR="00D95D39" w:rsidRPr="007214E1">
        <w:rPr>
          <w:rFonts w:ascii="Book Antiqua" w:hAnsi="Book Antiqua"/>
        </w:rPr>
        <w:t>.</w:t>
      </w:r>
      <w:r w:rsidR="00D95D39" w:rsidRPr="007214E1">
        <w:rPr>
          <w:rFonts w:ascii="Book Antiqua" w:hAnsi="Book Antiqua"/>
          <w:i/>
        </w:rPr>
        <w:t xml:space="preserve"> </w:t>
      </w:r>
      <w:r w:rsidR="00D95D39" w:rsidRPr="007214E1">
        <w:rPr>
          <w:rFonts w:ascii="Book Antiqua" w:hAnsi="Book Antiqua"/>
        </w:rPr>
        <w:t xml:space="preserve">Both agents were then </w:t>
      </w:r>
      <w:r w:rsidR="00F973BF" w:rsidRPr="007214E1">
        <w:rPr>
          <w:rFonts w:ascii="Book Antiqua" w:hAnsi="Book Antiqua"/>
        </w:rPr>
        <w:t>Food and Drug Administration (FDA)</w:t>
      </w:r>
      <w:r w:rsidR="00D95D39" w:rsidRPr="007214E1">
        <w:rPr>
          <w:rFonts w:ascii="Book Antiqua" w:hAnsi="Book Antiqua"/>
        </w:rPr>
        <w:t xml:space="preserve">-approved for use in patients who had previously received </w:t>
      </w:r>
      <w:proofErr w:type="gramStart"/>
      <w:r w:rsidR="00D95D39" w:rsidRPr="007214E1">
        <w:rPr>
          <w:rFonts w:ascii="Book Antiqua" w:hAnsi="Book Antiqua"/>
        </w:rPr>
        <w:t>sorafenib</w:t>
      </w:r>
      <w:r w:rsidR="00D95D39" w:rsidRPr="007214E1">
        <w:rPr>
          <w:rFonts w:ascii="Book Antiqua" w:hAnsi="Book Antiqua"/>
          <w:vertAlign w:val="superscript"/>
        </w:rPr>
        <w:t>[</w:t>
      </w:r>
      <w:proofErr w:type="gramEnd"/>
      <w:r w:rsidR="00CE24CD" w:rsidRPr="007214E1">
        <w:rPr>
          <w:rFonts w:ascii="Book Antiqua" w:hAnsi="Book Antiqua"/>
          <w:vertAlign w:val="superscript"/>
        </w:rPr>
        <w:t>16,</w:t>
      </w:r>
      <w:r w:rsidR="00292AC4" w:rsidRPr="007214E1">
        <w:rPr>
          <w:rFonts w:ascii="Book Antiqua" w:hAnsi="Book Antiqua"/>
          <w:vertAlign w:val="superscript"/>
        </w:rPr>
        <w:t>17</w:t>
      </w:r>
      <w:r w:rsidR="00D95D39" w:rsidRPr="007214E1">
        <w:rPr>
          <w:rFonts w:ascii="Book Antiqua" w:hAnsi="Book Antiqua"/>
          <w:vertAlign w:val="superscript"/>
        </w:rPr>
        <w:t>]</w:t>
      </w:r>
      <w:r w:rsidR="00D95D39" w:rsidRPr="007214E1">
        <w:rPr>
          <w:rFonts w:ascii="Book Antiqua" w:hAnsi="Book Antiqua"/>
        </w:rPr>
        <w:t>.</w:t>
      </w:r>
      <w:r w:rsidR="00D95D39" w:rsidRPr="007214E1">
        <w:rPr>
          <w:rFonts w:ascii="Book Antiqua" w:hAnsi="Book Antiqua"/>
          <w:i/>
        </w:rPr>
        <w:t xml:space="preserve"> </w:t>
      </w:r>
      <w:r w:rsidR="00D95D39" w:rsidRPr="007214E1">
        <w:rPr>
          <w:rFonts w:ascii="Book Antiqua" w:hAnsi="Book Antiqua"/>
        </w:rPr>
        <w:t xml:space="preserve">However, </w:t>
      </w:r>
      <w:r w:rsidR="005D71DE" w:rsidRPr="007214E1">
        <w:rPr>
          <w:rFonts w:ascii="Book Antiqua" w:hAnsi="Book Antiqua"/>
        </w:rPr>
        <w:t>neither nivolumab or pembrolizumab</w:t>
      </w:r>
      <w:r w:rsidR="00D95D39" w:rsidRPr="007214E1">
        <w:rPr>
          <w:rFonts w:ascii="Book Antiqua" w:hAnsi="Book Antiqua"/>
        </w:rPr>
        <w:t xml:space="preserve"> demonstrate</w:t>
      </w:r>
      <w:r w:rsidR="005D71DE" w:rsidRPr="007214E1">
        <w:rPr>
          <w:rFonts w:ascii="Book Antiqua" w:hAnsi="Book Antiqua"/>
        </w:rPr>
        <w:t>d</w:t>
      </w:r>
      <w:r w:rsidR="00D95D39" w:rsidRPr="007214E1">
        <w:rPr>
          <w:rFonts w:ascii="Book Antiqua" w:hAnsi="Book Antiqua"/>
        </w:rPr>
        <w:t xml:space="preserve"> a statistically significant improvement in overall survival</w:t>
      </w:r>
      <w:r w:rsidR="00D443DD" w:rsidRPr="007214E1">
        <w:rPr>
          <w:rFonts w:ascii="Book Antiqua" w:hAnsi="Book Antiqua"/>
        </w:rPr>
        <w:t xml:space="preserve"> (OS)</w:t>
      </w:r>
      <w:r w:rsidR="00D95D39" w:rsidRPr="007214E1">
        <w:rPr>
          <w:rFonts w:ascii="Book Antiqua" w:hAnsi="Book Antiqua"/>
        </w:rPr>
        <w:t xml:space="preserve"> in patients with unresectable HCC when compared to sorafenib</w:t>
      </w:r>
      <w:r w:rsidR="005D71DE" w:rsidRPr="007214E1">
        <w:rPr>
          <w:rFonts w:ascii="Book Antiqua" w:hAnsi="Book Antiqua"/>
        </w:rPr>
        <w:t xml:space="preserve"> or placebo in phase III trials, </w:t>
      </w:r>
      <w:proofErr w:type="gramStart"/>
      <w:r w:rsidR="005D71DE" w:rsidRPr="007214E1">
        <w:rPr>
          <w:rFonts w:ascii="Book Antiqua" w:hAnsi="Book Antiqua"/>
        </w:rPr>
        <w:t>respectivel</w:t>
      </w:r>
      <w:r w:rsidR="00C54004" w:rsidRPr="007214E1">
        <w:rPr>
          <w:rFonts w:ascii="Book Antiqua" w:hAnsi="Book Antiqua"/>
        </w:rPr>
        <w:t>y</w:t>
      </w:r>
      <w:r w:rsidR="00D95D39" w:rsidRPr="007214E1">
        <w:rPr>
          <w:rFonts w:ascii="Book Antiqua" w:hAnsi="Book Antiqua"/>
          <w:vertAlign w:val="superscript"/>
        </w:rPr>
        <w:t>[</w:t>
      </w:r>
      <w:proofErr w:type="gramEnd"/>
      <w:r w:rsidR="00CE24CD" w:rsidRPr="007214E1">
        <w:rPr>
          <w:rFonts w:ascii="Book Antiqua" w:hAnsi="Book Antiqua"/>
          <w:vertAlign w:val="superscript"/>
        </w:rPr>
        <w:t>18,</w:t>
      </w:r>
      <w:r w:rsidR="00292AC4" w:rsidRPr="007214E1">
        <w:rPr>
          <w:rFonts w:ascii="Book Antiqua" w:hAnsi="Book Antiqua"/>
          <w:vertAlign w:val="superscript"/>
        </w:rPr>
        <w:t>19</w:t>
      </w:r>
      <w:r w:rsidR="00D95D39" w:rsidRPr="007214E1">
        <w:rPr>
          <w:rFonts w:ascii="Book Antiqua" w:hAnsi="Book Antiqua"/>
          <w:vertAlign w:val="superscript"/>
        </w:rPr>
        <w:t>]</w:t>
      </w:r>
      <w:r w:rsidR="00D95D39" w:rsidRPr="007214E1">
        <w:rPr>
          <w:rFonts w:ascii="Book Antiqua" w:hAnsi="Book Antiqua"/>
        </w:rPr>
        <w:t xml:space="preserve">. Other checkpoint inhibitors </w:t>
      </w:r>
      <w:r w:rsidR="00872E59" w:rsidRPr="007214E1">
        <w:rPr>
          <w:rFonts w:ascii="Book Antiqua" w:hAnsi="Book Antiqua"/>
        </w:rPr>
        <w:t>studied</w:t>
      </w:r>
      <w:r w:rsidR="00D95D39" w:rsidRPr="007214E1">
        <w:rPr>
          <w:rFonts w:ascii="Book Antiqua" w:hAnsi="Book Antiqua"/>
        </w:rPr>
        <w:t xml:space="preserve"> in HCC patients in completed phase II trials include the PD-1 inhibitors </w:t>
      </w:r>
      <w:proofErr w:type="spellStart"/>
      <w:r w:rsidR="00D95D39" w:rsidRPr="007214E1">
        <w:rPr>
          <w:rFonts w:ascii="Book Antiqua" w:hAnsi="Book Antiqua"/>
        </w:rPr>
        <w:t>camrelizumab</w:t>
      </w:r>
      <w:proofErr w:type="spellEnd"/>
      <w:r w:rsidR="00D95D39" w:rsidRPr="007214E1">
        <w:rPr>
          <w:rFonts w:ascii="Book Antiqua" w:hAnsi="Book Antiqua"/>
        </w:rPr>
        <w:t xml:space="preserve">, the PD-L1 inhibitor durvalumab, and the CTLA4 inhibitor </w:t>
      </w:r>
      <w:proofErr w:type="spellStart"/>
      <w:proofErr w:type="gramStart"/>
      <w:r w:rsidR="00D95D39" w:rsidRPr="007214E1">
        <w:rPr>
          <w:rFonts w:ascii="Book Antiqua" w:hAnsi="Book Antiqua"/>
        </w:rPr>
        <w:t>tremelimumab</w:t>
      </w:r>
      <w:proofErr w:type="spellEnd"/>
      <w:r w:rsidR="00D95D39" w:rsidRPr="007214E1">
        <w:rPr>
          <w:rFonts w:ascii="Book Antiqua" w:hAnsi="Book Antiqua"/>
          <w:vertAlign w:val="superscript"/>
        </w:rPr>
        <w:t>[</w:t>
      </w:r>
      <w:proofErr w:type="gramEnd"/>
      <w:r w:rsidR="0084287B" w:rsidRPr="007214E1">
        <w:rPr>
          <w:rFonts w:ascii="Book Antiqua" w:hAnsi="Book Antiqua"/>
          <w:vertAlign w:val="superscript"/>
        </w:rPr>
        <w:t>20-22</w:t>
      </w:r>
      <w:r w:rsidR="00D95D39" w:rsidRPr="007214E1">
        <w:rPr>
          <w:rFonts w:ascii="Book Antiqua" w:hAnsi="Book Antiqua"/>
          <w:vertAlign w:val="superscript"/>
        </w:rPr>
        <w:t>]</w:t>
      </w:r>
      <w:r w:rsidR="00D95D39" w:rsidRPr="007214E1">
        <w:rPr>
          <w:rFonts w:ascii="Book Antiqua" w:hAnsi="Book Antiqua"/>
        </w:rPr>
        <w:t>.</w:t>
      </w:r>
      <w:r w:rsidR="00D95D39" w:rsidRPr="007214E1">
        <w:rPr>
          <w:rFonts w:ascii="Book Antiqua" w:hAnsi="Book Antiqua"/>
          <w:i/>
        </w:rPr>
        <w:t xml:space="preserve"> </w:t>
      </w:r>
      <w:r w:rsidR="00D95D39" w:rsidRPr="007214E1">
        <w:rPr>
          <w:rFonts w:ascii="Book Antiqua" w:hAnsi="Book Antiqua"/>
        </w:rPr>
        <w:t xml:space="preserve">In a phase II multicenter study (NCT02989922) involving </w:t>
      </w:r>
      <w:r w:rsidR="000E1465" w:rsidRPr="007214E1">
        <w:rPr>
          <w:rFonts w:ascii="Book Antiqua" w:hAnsi="Book Antiqua"/>
        </w:rPr>
        <w:t>217 patients from Chinese medical centers</w:t>
      </w:r>
      <w:r w:rsidR="00D95D39" w:rsidRPr="007214E1">
        <w:rPr>
          <w:rFonts w:ascii="Book Antiqua" w:hAnsi="Book Antiqua"/>
        </w:rPr>
        <w:t xml:space="preserve"> with HCC who had failed or could not tolerate prior systemic therapy who were</w:t>
      </w:r>
      <w:r w:rsidR="00D443DD" w:rsidRPr="007214E1">
        <w:rPr>
          <w:rFonts w:ascii="Book Antiqua" w:hAnsi="Book Antiqua"/>
        </w:rPr>
        <w:t xml:space="preserve"> </w:t>
      </w:r>
      <w:r w:rsidR="00293377" w:rsidRPr="007214E1">
        <w:rPr>
          <w:rFonts w:ascii="Book Antiqua" w:hAnsi="Book Antiqua"/>
        </w:rPr>
        <w:t>treated with</w:t>
      </w:r>
      <w:r w:rsidR="00D95D39" w:rsidRPr="007214E1">
        <w:rPr>
          <w:rFonts w:ascii="Book Antiqua" w:hAnsi="Book Antiqua"/>
        </w:rPr>
        <w:t xml:space="preserve"> </w:t>
      </w:r>
      <w:proofErr w:type="spellStart"/>
      <w:r w:rsidR="00D95D39" w:rsidRPr="007214E1">
        <w:rPr>
          <w:rFonts w:ascii="Book Antiqua" w:hAnsi="Book Antiqua"/>
        </w:rPr>
        <w:t>camrelizumab</w:t>
      </w:r>
      <w:proofErr w:type="spellEnd"/>
      <w:r w:rsidR="00D95D39" w:rsidRPr="007214E1">
        <w:rPr>
          <w:rFonts w:ascii="Book Antiqua" w:hAnsi="Book Antiqua"/>
        </w:rPr>
        <w:t>, the ORR was 13.8%, with a six-month OS rate of 74.7%</w:t>
      </w:r>
      <w:r w:rsidR="00D95D39" w:rsidRPr="007214E1">
        <w:rPr>
          <w:rFonts w:ascii="Book Antiqua" w:hAnsi="Book Antiqua"/>
          <w:vertAlign w:val="superscript"/>
        </w:rPr>
        <w:t>[2</w:t>
      </w:r>
      <w:r w:rsidR="0084287B" w:rsidRPr="007214E1">
        <w:rPr>
          <w:rFonts w:ascii="Book Antiqua" w:hAnsi="Book Antiqua"/>
          <w:vertAlign w:val="superscript"/>
        </w:rPr>
        <w:t>0</w:t>
      </w:r>
      <w:r w:rsidR="00D95D39" w:rsidRPr="007214E1">
        <w:rPr>
          <w:rFonts w:ascii="Book Antiqua" w:hAnsi="Book Antiqua"/>
          <w:vertAlign w:val="superscript"/>
        </w:rPr>
        <w:t>]</w:t>
      </w:r>
      <w:r w:rsidR="00D95D39" w:rsidRPr="007214E1">
        <w:rPr>
          <w:rFonts w:ascii="Book Antiqua" w:hAnsi="Book Antiqua"/>
        </w:rPr>
        <w:t>.</w:t>
      </w:r>
      <w:r w:rsidR="00D95D39" w:rsidRPr="007214E1">
        <w:rPr>
          <w:rFonts w:ascii="Book Antiqua" w:hAnsi="Book Antiqua"/>
          <w:i/>
        </w:rPr>
        <w:t xml:space="preserve"> </w:t>
      </w:r>
      <w:r w:rsidR="00D95D39" w:rsidRPr="007214E1">
        <w:rPr>
          <w:rFonts w:ascii="Book Antiqua" w:hAnsi="Book Antiqua"/>
        </w:rPr>
        <w:t>Durvalumab demonstrated an ORR of 10.3% with a median OS of 13.2</w:t>
      </w:r>
      <w:r w:rsidR="003759E0" w:rsidRPr="007214E1">
        <w:rPr>
          <w:rFonts w:ascii="Book Antiqua" w:hAnsi="Book Antiqua"/>
        </w:rPr>
        <w:t xml:space="preserve"> </w:t>
      </w:r>
      <w:proofErr w:type="spellStart"/>
      <w:r w:rsidR="003759E0" w:rsidRPr="007214E1">
        <w:rPr>
          <w:rFonts w:ascii="Book Antiqua" w:hAnsi="Book Antiqua"/>
        </w:rPr>
        <w:t>mo</w:t>
      </w:r>
      <w:proofErr w:type="spellEnd"/>
      <w:r w:rsidR="00D95D39" w:rsidRPr="007214E1">
        <w:rPr>
          <w:rFonts w:ascii="Book Antiqua" w:hAnsi="Book Antiqua"/>
        </w:rPr>
        <w:t xml:space="preserve"> in a multi-center phase </w:t>
      </w:r>
      <w:r w:rsidR="003759E0" w:rsidRPr="007214E1">
        <w:rPr>
          <w:rFonts w:ascii="Book Antiqua" w:hAnsi="Book Antiqua"/>
        </w:rPr>
        <w:t xml:space="preserve">I/II </w:t>
      </w:r>
      <w:r w:rsidR="00D95D39" w:rsidRPr="007214E1">
        <w:rPr>
          <w:rFonts w:ascii="Book Antiqua" w:hAnsi="Book Antiqua"/>
        </w:rPr>
        <w:t>study in a cohort of 40 patients with HCC</w:t>
      </w:r>
      <w:r w:rsidR="00A84D7D" w:rsidRPr="007214E1">
        <w:rPr>
          <w:rFonts w:ascii="Book Antiqua" w:hAnsi="Book Antiqua"/>
        </w:rPr>
        <w:t xml:space="preserve">, most of whom had received prior </w:t>
      </w:r>
      <w:proofErr w:type="gramStart"/>
      <w:r w:rsidR="00A84D7D" w:rsidRPr="007214E1">
        <w:rPr>
          <w:rFonts w:ascii="Book Antiqua" w:hAnsi="Book Antiqua"/>
        </w:rPr>
        <w:t>sorafenib</w:t>
      </w:r>
      <w:r w:rsidR="00293377" w:rsidRPr="007214E1">
        <w:rPr>
          <w:rFonts w:ascii="Book Antiqua" w:hAnsi="Book Antiqua"/>
          <w:vertAlign w:val="superscript"/>
        </w:rPr>
        <w:t>[</w:t>
      </w:r>
      <w:proofErr w:type="gramEnd"/>
      <w:r w:rsidR="00293377" w:rsidRPr="007214E1">
        <w:rPr>
          <w:rFonts w:ascii="Book Antiqua" w:hAnsi="Book Antiqua"/>
          <w:vertAlign w:val="superscript"/>
        </w:rPr>
        <w:t>2</w:t>
      </w:r>
      <w:r w:rsidR="003759E0" w:rsidRPr="007214E1">
        <w:rPr>
          <w:rFonts w:ascii="Book Antiqua" w:hAnsi="Book Antiqua"/>
          <w:vertAlign w:val="superscript"/>
        </w:rPr>
        <w:t>1</w:t>
      </w:r>
      <w:r w:rsidR="00D95D39" w:rsidRPr="007214E1">
        <w:rPr>
          <w:rFonts w:ascii="Book Antiqua" w:hAnsi="Book Antiqua"/>
          <w:vertAlign w:val="superscript"/>
        </w:rPr>
        <w:t>]</w:t>
      </w:r>
      <w:r w:rsidR="00D95D39" w:rsidRPr="007214E1">
        <w:rPr>
          <w:rFonts w:ascii="Book Antiqua" w:hAnsi="Book Antiqua"/>
        </w:rPr>
        <w:t xml:space="preserve">. In a phase II study of </w:t>
      </w:r>
      <w:proofErr w:type="spellStart"/>
      <w:r w:rsidR="00D95D39" w:rsidRPr="007214E1">
        <w:rPr>
          <w:rFonts w:ascii="Book Antiqua" w:hAnsi="Book Antiqua"/>
        </w:rPr>
        <w:t>tremelimumab</w:t>
      </w:r>
      <w:proofErr w:type="spellEnd"/>
      <w:r w:rsidR="00D95D39" w:rsidRPr="007214E1">
        <w:rPr>
          <w:rFonts w:ascii="Book Antiqua" w:hAnsi="Book Antiqua"/>
        </w:rPr>
        <w:t xml:space="preserve"> in 21 patients from S</w:t>
      </w:r>
      <w:r w:rsidR="000E1465" w:rsidRPr="007214E1">
        <w:rPr>
          <w:rFonts w:ascii="Book Antiqua" w:hAnsi="Book Antiqua"/>
        </w:rPr>
        <w:t>panish medical centers</w:t>
      </w:r>
      <w:r w:rsidR="00D95D39" w:rsidRPr="007214E1">
        <w:rPr>
          <w:rFonts w:ascii="Book Antiqua" w:hAnsi="Book Antiqua"/>
        </w:rPr>
        <w:t xml:space="preserve"> with advanced HCC</w:t>
      </w:r>
      <w:r w:rsidR="00820359" w:rsidRPr="007214E1">
        <w:rPr>
          <w:rFonts w:ascii="Book Antiqua" w:hAnsi="Book Antiqua"/>
        </w:rPr>
        <w:t xml:space="preserve"> and chronic </w:t>
      </w:r>
      <w:r w:rsidR="004D3842" w:rsidRPr="007214E1">
        <w:rPr>
          <w:rFonts w:ascii="Book Antiqua" w:hAnsi="Book Antiqua"/>
        </w:rPr>
        <w:t>hepatitis C virus (</w:t>
      </w:r>
      <w:r w:rsidR="00820359" w:rsidRPr="007214E1">
        <w:rPr>
          <w:rFonts w:ascii="Book Antiqua" w:hAnsi="Book Antiqua"/>
        </w:rPr>
        <w:t>HCV</w:t>
      </w:r>
      <w:r w:rsidR="004D3842" w:rsidRPr="007214E1">
        <w:rPr>
          <w:rFonts w:ascii="Book Antiqua" w:hAnsi="Book Antiqua"/>
        </w:rPr>
        <w:t>)</w:t>
      </w:r>
      <w:r w:rsidR="00820359" w:rsidRPr="007214E1">
        <w:rPr>
          <w:rFonts w:ascii="Book Antiqua" w:hAnsi="Book Antiqua"/>
        </w:rPr>
        <w:t xml:space="preserve"> infection</w:t>
      </w:r>
      <w:r w:rsidR="00D95D39" w:rsidRPr="007214E1">
        <w:rPr>
          <w:rFonts w:ascii="Book Antiqua" w:hAnsi="Book Antiqua"/>
        </w:rPr>
        <w:t>,</w:t>
      </w:r>
      <w:r w:rsidR="000E1465" w:rsidRPr="007214E1">
        <w:rPr>
          <w:rFonts w:ascii="Book Antiqua" w:hAnsi="Book Antiqua"/>
        </w:rPr>
        <w:t xml:space="preserve"> the ORR was</w:t>
      </w:r>
      <w:r w:rsidR="00D95D39" w:rsidRPr="007214E1">
        <w:rPr>
          <w:rFonts w:ascii="Book Antiqua" w:hAnsi="Book Antiqua"/>
        </w:rPr>
        <w:t xml:space="preserve"> 17.6%</w:t>
      </w:r>
      <w:r w:rsidR="00806789" w:rsidRPr="007214E1">
        <w:rPr>
          <w:rFonts w:ascii="Book Antiqua" w:hAnsi="Book Antiqua"/>
        </w:rPr>
        <w:t xml:space="preserve"> with a median OS of 8.2 </w:t>
      </w:r>
      <w:proofErr w:type="spellStart"/>
      <w:proofErr w:type="gramStart"/>
      <w:r w:rsidR="00806789" w:rsidRPr="007214E1">
        <w:rPr>
          <w:rFonts w:ascii="Book Antiqua" w:hAnsi="Book Antiqua"/>
        </w:rPr>
        <w:t>mo</w:t>
      </w:r>
      <w:proofErr w:type="spellEnd"/>
      <w:r w:rsidR="00D95D39" w:rsidRPr="007214E1">
        <w:rPr>
          <w:rFonts w:ascii="Book Antiqua" w:hAnsi="Book Antiqua"/>
          <w:vertAlign w:val="superscript"/>
        </w:rPr>
        <w:t>[</w:t>
      </w:r>
      <w:proofErr w:type="gramEnd"/>
      <w:r w:rsidR="00293377" w:rsidRPr="007214E1">
        <w:rPr>
          <w:rFonts w:ascii="Book Antiqua" w:hAnsi="Book Antiqua"/>
          <w:vertAlign w:val="superscript"/>
        </w:rPr>
        <w:t>2</w:t>
      </w:r>
      <w:r w:rsidR="000E1465" w:rsidRPr="007214E1">
        <w:rPr>
          <w:rFonts w:ascii="Book Antiqua" w:hAnsi="Book Antiqua"/>
          <w:vertAlign w:val="superscript"/>
        </w:rPr>
        <w:t>2</w:t>
      </w:r>
      <w:r w:rsidR="00D95D39" w:rsidRPr="007214E1">
        <w:rPr>
          <w:rFonts w:ascii="Book Antiqua" w:hAnsi="Book Antiqua"/>
          <w:vertAlign w:val="superscript"/>
        </w:rPr>
        <w:t>]</w:t>
      </w:r>
      <w:r w:rsidR="00D95D39" w:rsidRPr="007214E1">
        <w:rPr>
          <w:rFonts w:ascii="Book Antiqua" w:hAnsi="Book Antiqua"/>
        </w:rPr>
        <w:t xml:space="preserve">. </w:t>
      </w:r>
      <w:proofErr w:type="spellStart"/>
      <w:r w:rsidR="00D95D39" w:rsidRPr="007214E1">
        <w:rPr>
          <w:rFonts w:ascii="Book Antiqua" w:hAnsi="Book Antiqua"/>
        </w:rPr>
        <w:t>Tremelimumab</w:t>
      </w:r>
      <w:proofErr w:type="spellEnd"/>
      <w:r w:rsidR="00D95D39" w:rsidRPr="007214E1">
        <w:rPr>
          <w:rFonts w:ascii="Book Antiqua" w:hAnsi="Book Antiqua"/>
        </w:rPr>
        <w:t xml:space="preserve"> caused a decrease in AFP levels of more than 50% in </w:t>
      </w:r>
      <w:r w:rsidR="00820359" w:rsidRPr="007214E1">
        <w:rPr>
          <w:rFonts w:ascii="Book Antiqua" w:hAnsi="Book Antiqua"/>
        </w:rPr>
        <w:t>slightly more than one-third of all patients</w:t>
      </w:r>
      <w:r w:rsidR="00D95D39" w:rsidRPr="007214E1">
        <w:rPr>
          <w:rFonts w:ascii="Book Antiqua" w:hAnsi="Book Antiqua"/>
        </w:rPr>
        <w:t xml:space="preserve">, and a </w:t>
      </w:r>
      <w:r w:rsidR="00820359" w:rsidRPr="007214E1">
        <w:rPr>
          <w:rFonts w:ascii="Book Antiqua" w:hAnsi="Book Antiqua"/>
        </w:rPr>
        <w:t xml:space="preserve">reduction </w:t>
      </w:r>
      <w:r w:rsidR="00D95D39" w:rsidRPr="007214E1">
        <w:rPr>
          <w:rFonts w:ascii="Book Antiqua" w:hAnsi="Book Antiqua"/>
        </w:rPr>
        <w:t xml:space="preserve">in HCV viral load in </w:t>
      </w:r>
      <w:r w:rsidR="00820359" w:rsidRPr="007214E1">
        <w:rPr>
          <w:rFonts w:ascii="Book Antiqua" w:hAnsi="Book Antiqua"/>
        </w:rPr>
        <w:t>most</w:t>
      </w:r>
      <w:r w:rsidR="00D95D39" w:rsidRPr="007214E1">
        <w:rPr>
          <w:rFonts w:ascii="Book Antiqua" w:hAnsi="Book Antiqua"/>
        </w:rPr>
        <w:t xml:space="preserve"> </w:t>
      </w:r>
      <w:proofErr w:type="gramStart"/>
      <w:r w:rsidR="00D95D39" w:rsidRPr="007214E1">
        <w:rPr>
          <w:rFonts w:ascii="Book Antiqua" w:hAnsi="Book Antiqua"/>
        </w:rPr>
        <w:t>patients</w:t>
      </w:r>
      <w:r w:rsidR="00D95D39" w:rsidRPr="007214E1">
        <w:rPr>
          <w:rFonts w:ascii="Book Antiqua" w:hAnsi="Book Antiqua"/>
          <w:vertAlign w:val="superscript"/>
        </w:rPr>
        <w:t>[</w:t>
      </w:r>
      <w:proofErr w:type="gramEnd"/>
      <w:r w:rsidR="00293377" w:rsidRPr="007214E1">
        <w:rPr>
          <w:rFonts w:ascii="Book Antiqua" w:hAnsi="Book Antiqua"/>
          <w:vertAlign w:val="superscript"/>
        </w:rPr>
        <w:t>2</w:t>
      </w:r>
      <w:r w:rsidR="000E1465" w:rsidRPr="007214E1">
        <w:rPr>
          <w:rFonts w:ascii="Book Antiqua" w:hAnsi="Book Antiqua"/>
          <w:vertAlign w:val="superscript"/>
        </w:rPr>
        <w:t>2</w:t>
      </w:r>
      <w:r w:rsidR="00D95D39" w:rsidRPr="007214E1">
        <w:rPr>
          <w:rFonts w:ascii="Book Antiqua" w:hAnsi="Book Antiqua"/>
          <w:vertAlign w:val="superscript"/>
        </w:rPr>
        <w:t>]</w:t>
      </w:r>
      <w:r w:rsidR="00D95D39" w:rsidRPr="007214E1">
        <w:rPr>
          <w:rFonts w:ascii="Book Antiqua" w:hAnsi="Book Antiqua"/>
        </w:rPr>
        <w:t>.</w:t>
      </w:r>
    </w:p>
    <w:p w14:paraId="2EFC7F66" w14:textId="7C994E4D" w:rsidR="00D95D39" w:rsidRPr="007214E1" w:rsidRDefault="00D95D39" w:rsidP="00EB43EE">
      <w:pPr>
        <w:snapToGrid w:val="0"/>
        <w:spacing w:line="360" w:lineRule="auto"/>
        <w:ind w:firstLineChars="100" w:firstLine="240"/>
        <w:jc w:val="both"/>
        <w:rPr>
          <w:rFonts w:ascii="Book Antiqua" w:hAnsi="Book Antiqua"/>
        </w:rPr>
      </w:pPr>
      <w:r w:rsidRPr="007214E1">
        <w:rPr>
          <w:rFonts w:ascii="Book Antiqua" w:hAnsi="Book Antiqua"/>
        </w:rPr>
        <w:lastRenderedPageBreak/>
        <w:t xml:space="preserve">The relatively modest benefits of currently-available systemic therapies for patients with advanced or unresectable HCC underscore the need for novel and improved therapies. Although nivolumab and pembrolizumab did not reach their endpoints in phase III trials, checkpoint inhibitors in general remain the focus of multiple active </w:t>
      </w:r>
      <w:proofErr w:type="gramStart"/>
      <w:r w:rsidRPr="007214E1">
        <w:rPr>
          <w:rFonts w:ascii="Book Antiqua" w:hAnsi="Book Antiqua"/>
        </w:rPr>
        <w:t>trials</w:t>
      </w:r>
      <w:r w:rsidRPr="007214E1">
        <w:rPr>
          <w:rFonts w:ascii="Book Antiqua" w:hAnsi="Book Antiqua"/>
          <w:vertAlign w:val="superscript"/>
        </w:rPr>
        <w:t>[</w:t>
      </w:r>
      <w:proofErr w:type="gramEnd"/>
      <w:r w:rsidR="00CE24CD" w:rsidRPr="007214E1">
        <w:rPr>
          <w:rFonts w:ascii="Book Antiqua" w:hAnsi="Book Antiqua"/>
          <w:vertAlign w:val="superscript"/>
        </w:rPr>
        <w:t>18,</w:t>
      </w:r>
      <w:r w:rsidR="009B6B87" w:rsidRPr="007214E1">
        <w:rPr>
          <w:rFonts w:ascii="Book Antiqua" w:hAnsi="Book Antiqua"/>
          <w:vertAlign w:val="superscript"/>
        </w:rPr>
        <w:t>19</w:t>
      </w:r>
      <w:r w:rsidRPr="007214E1">
        <w:rPr>
          <w:rFonts w:ascii="Book Antiqua" w:hAnsi="Book Antiqua"/>
          <w:vertAlign w:val="superscript"/>
        </w:rPr>
        <w:t>]</w:t>
      </w:r>
      <w:r w:rsidR="001F1560" w:rsidRPr="007214E1">
        <w:rPr>
          <w:rFonts w:ascii="Book Antiqua" w:eastAsia="宋体" w:hAnsi="Book Antiqua"/>
          <w:vertAlign w:val="superscript"/>
          <w:lang w:eastAsia="zh-CN"/>
        </w:rPr>
        <w:t xml:space="preserve"> </w:t>
      </w:r>
      <w:r w:rsidR="001F1560" w:rsidRPr="007214E1">
        <w:rPr>
          <w:rFonts w:ascii="Book Antiqua" w:eastAsia="宋体" w:hAnsi="Book Antiqua"/>
          <w:lang w:eastAsia="zh-CN"/>
        </w:rPr>
        <w:t>(Tables 3-6)</w:t>
      </w:r>
      <w:r w:rsidRPr="007214E1">
        <w:rPr>
          <w:rFonts w:ascii="Book Antiqua" w:hAnsi="Book Antiqua"/>
        </w:rPr>
        <w:t>.</w:t>
      </w:r>
      <w:r w:rsidRPr="007214E1">
        <w:rPr>
          <w:rFonts w:ascii="Book Antiqua" w:hAnsi="Book Antiqua"/>
          <w:i/>
        </w:rPr>
        <w:t xml:space="preserve"> </w:t>
      </w:r>
      <w:r w:rsidRPr="007214E1">
        <w:rPr>
          <w:rFonts w:ascii="Book Antiqua" w:hAnsi="Book Antiqua"/>
        </w:rPr>
        <w:t>Updated results from the KEYNOTE-224 trial demonstrate</w:t>
      </w:r>
      <w:r w:rsidR="005018F0" w:rsidRPr="007214E1">
        <w:rPr>
          <w:rFonts w:ascii="Book Antiqua" w:hAnsi="Book Antiqua"/>
        </w:rPr>
        <w:t>d</w:t>
      </w:r>
      <w:r w:rsidRPr="007214E1">
        <w:rPr>
          <w:rFonts w:ascii="Book Antiqua" w:hAnsi="Book Antiqua"/>
        </w:rPr>
        <w:t xml:space="preserve"> that median OS was much greater in patients who responded to pembrolizumab compared to non-responders at the time of the first post-treatment scan</w:t>
      </w:r>
      <w:r w:rsidR="005018F0" w:rsidRPr="007214E1">
        <w:rPr>
          <w:rFonts w:ascii="Book Antiqua" w:hAnsi="Book Antiqua"/>
        </w:rPr>
        <w:t xml:space="preserve">, and that 30.8% of patients were alive at a median follow-up of 31.2 </w:t>
      </w:r>
      <w:proofErr w:type="spellStart"/>
      <w:proofErr w:type="gramStart"/>
      <w:r w:rsidR="005018F0" w:rsidRPr="007214E1">
        <w:rPr>
          <w:rFonts w:ascii="Book Antiqua" w:hAnsi="Book Antiqua"/>
        </w:rPr>
        <w:t>mo</w:t>
      </w:r>
      <w:proofErr w:type="spellEnd"/>
      <w:r w:rsidR="007368B1" w:rsidRPr="007214E1">
        <w:rPr>
          <w:rFonts w:ascii="Book Antiqua" w:hAnsi="Book Antiqua"/>
          <w:vertAlign w:val="superscript"/>
        </w:rPr>
        <w:t>[</w:t>
      </w:r>
      <w:proofErr w:type="gramEnd"/>
      <w:r w:rsidR="007368B1" w:rsidRPr="007214E1">
        <w:rPr>
          <w:rFonts w:ascii="Book Antiqua" w:hAnsi="Book Antiqua"/>
          <w:vertAlign w:val="superscript"/>
        </w:rPr>
        <w:t>2</w:t>
      </w:r>
      <w:r w:rsidR="005018F0" w:rsidRPr="007214E1">
        <w:rPr>
          <w:rFonts w:ascii="Book Antiqua" w:hAnsi="Book Antiqua"/>
          <w:vertAlign w:val="superscript"/>
        </w:rPr>
        <w:t>3</w:t>
      </w:r>
      <w:r w:rsidRPr="007214E1">
        <w:rPr>
          <w:rFonts w:ascii="Book Antiqua" w:hAnsi="Book Antiqua"/>
          <w:vertAlign w:val="superscript"/>
        </w:rPr>
        <w:t>]</w:t>
      </w:r>
      <w:r w:rsidRPr="007214E1">
        <w:rPr>
          <w:rFonts w:ascii="Book Antiqua" w:hAnsi="Book Antiqua"/>
        </w:rPr>
        <w:t>.</w:t>
      </w:r>
      <w:r w:rsidR="00F7688E" w:rsidRPr="007214E1">
        <w:rPr>
          <w:rFonts w:ascii="Book Antiqua" w:hAnsi="Book Antiqua"/>
          <w:i/>
        </w:rPr>
        <w:t xml:space="preserve"> </w:t>
      </w:r>
      <w:r w:rsidR="00F840CA" w:rsidRPr="007214E1">
        <w:rPr>
          <w:rFonts w:ascii="Book Antiqua" w:hAnsi="Book Antiqua"/>
        </w:rPr>
        <w:t xml:space="preserve">These results suggest that patients who respond to checkpoint inhibitors may have a durable response. </w:t>
      </w:r>
      <w:r w:rsidRPr="007214E1">
        <w:rPr>
          <w:rFonts w:ascii="Book Antiqua" w:hAnsi="Book Antiqua"/>
        </w:rPr>
        <w:t xml:space="preserve">Combination therapies involving the use of both a checkpoint inhibitor and </w:t>
      </w:r>
      <w:r w:rsidR="00D443DD" w:rsidRPr="007214E1">
        <w:rPr>
          <w:rFonts w:ascii="Book Antiqua" w:hAnsi="Book Antiqua"/>
        </w:rPr>
        <w:t>another</w:t>
      </w:r>
      <w:r w:rsidRPr="007214E1">
        <w:rPr>
          <w:rFonts w:ascii="Book Antiqua" w:hAnsi="Book Antiqua"/>
        </w:rPr>
        <w:t xml:space="preserve"> therapy may provide a greater benefit than single-agent immunotherapy</w:t>
      </w:r>
      <w:r w:rsidR="00F840CA" w:rsidRPr="007214E1">
        <w:rPr>
          <w:rFonts w:ascii="Book Antiqua" w:hAnsi="Book Antiqua"/>
        </w:rPr>
        <w:t xml:space="preserve"> if they can substantially improve overall response rates</w:t>
      </w:r>
      <w:r w:rsidRPr="007214E1">
        <w:rPr>
          <w:rFonts w:ascii="Book Antiqua" w:hAnsi="Book Antiqua"/>
        </w:rPr>
        <w:t>.</w:t>
      </w:r>
      <w:r w:rsidRPr="007214E1">
        <w:rPr>
          <w:rFonts w:ascii="Book Antiqua" w:hAnsi="Book Antiqua"/>
          <w:i/>
        </w:rPr>
        <w:t xml:space="preserve"> </w:t>
      </w:r>
      <w:r w:rsidRPr="007214E1">
        <w:rPr>
          <w:rFonts w:ascii="Book Antiqua" w:hAnsi="Book Antiqua"/>
        </w:rPr>
        <w:t>This review will</w:t>
      </w:r>
      <w:r w:rsidR="00A84D7D" w:rsidRPr="007214E1">
        <w:rPr>
          <w:rFonts w:ascii="Book Antiqua" w:hAnsi="Book Antiqua"/>
        </w:rPr>
        <w:t xml:space="preserve"> </w:t>
      </w:r>
      <w:r w:rsidR="007E3D32" w:rsidRPr="007214E1">
        <w:rPr>
          <w:rFonts w:ascii="Book Antiqua" w:hAnsi="Book Antiqua"/>
        </w:rPr>
        <w:t>outline the main types</w:t>
      </w:r>
      <w:r w:rsidR="0030285E" w:rsidRPr="007214E1">
        <w:rPr>
          <w:rFonts w:ascii="Book Antiqua" w:hAnsi="Book Antiqua"/>
        </w:rPr>
        <w:t xml:space="preserve"> of combination therap</w:t>
      </w:r>
      <w:r w:rsidR="007E3D32" w:rsidRPr="007214E1">
        <w:rPr>
          <w:rFonts w:ascii="Book Antiqua" w:hAnsi="Book Antiqua"/>
        </w:rPr>
        <w:t>ies</w:t>
      </w:r>
      <w:r w:rsidR="0030285E" w:rsidRPr="007214E1">
        <w:rPr>
          <w:rFonts w:ascii="Book Antiqua" w:hAnsi="Book Antiqua"/>
        </w:rPr>
        <w:t xml:space="preserve"> currently under investigation</w:t>
      </w:r>
      <w:r w:rsidR="007E3D32" w:rsidRPr="007214E1">
        <w:rPr>
          <w:rFonts w:ascii="Book Antiqua" w:hAnsi="Book Antiqua"/>
        </w:rPr>
        <w:t>, discuss the rationale behind their design, and summarize the main clinical trials evaluating their safety and efficacy in HCC patients.</w:t>
      </w:r>
    </w:p>
    <w:p w14:paraId="2C9DCAA0" w14:textId="77777777" w:rsidR="00861633" w:rsidRPr="007214E1" w:rsidRDefault="00861633" w:rsidP="00EB43EE">
      <w:pPr>
        <w:snapToGrid w:val="0"/>
        <w:spacing w:line="360" w:lineRule="auto"/>
        <w:jc w:val="both"/>
        <w:rPr>
          <w:rFonts w:ascii="Book Antiqua" w:hAnsi="Book Antiqua"/>
          <w:i/>
        </w:rPr>
      </w:pPr>
    </w:p>
    <w:p w14:paraId="56DD25DF" w14:textId="3115EC33" w:rsidR="007F10E8" w:rsidRPr="007214E1" w:rsidRDefault="004D3842" w:rsidP="00EB43EE">
      <w:pPr>
        <w:snapToGrid w:val="0"/>
        <w:spacing w:line="360" w:lineRule="auto"/>
        <w:jc w:val="both"/>
        <w:rPr>
          <w:rFonts w:ascii="Book Antiqua" w:eastAsia="宋体" w:hAnsi="Book Antiqua"/>
          <w:lang w:eastAsia="zh-CN"/>
        </w:rPr>
      </w:pPr>
      <w:r w:rsidRPr="007214E1">
        <w:rPr>
          <w:rFonts w:ascii="Book Antiqua" w:hAnsi="Book Antiqua"/>
          <w:b/>
          <w:u w:val="single"/>
        </w:rPr>
        <w:t>COMBINATION THERAPY WITH PD-1/PD-L1 IN</w:t>
      </w:r>
      <w:r w:rsidR="00AB4166" w:rsidRPr="007214E1">
        <w:rPr>
          <w:rFonts w:ascii="Book Antiqua" w:hAnsi="Book Antiqua"/>
          <w:b/>
          <w:u w:val="single"/>
        </w:rPr>
        <w:t>HIBITORS PLUS CTLA-4 INHIBITORS</w:t>
      </w:r>
    </w:p>
    <w:p w14:paraId="7EFEF1BA" w14:textId="2ABDA929" w:rsidR="0087151D" w:rsidRPr="007214E1" w:rsidRDefault="00F637CA" w:rsidP="00EB43EE">
      <w:pPr>
        <w:snapToGrid w:val="0"/>
        <w:spacing w:line="360" w:lineRule="auto"/>
        <w:jc w:val="both"/>
        <w:rPr>
          <w:rFonts w:ascii="Book Antiqua" w:hAnsi="Book Antiqua"/>
        </w:rPr>
      </w:pPr>
      <w:r w:rsidRPr="007214E1">
        <w:rPr>
          <w:rFonts w:ascii="Book Antiqua" w:hAnsi="Book Antiqua"/>
        </w:rPr>
        <w:t>The combination of nivolumab plus ipilimumab</w:t>
      </w:r>
      <w:r w:rsidR="007F10E8" w:rsidRPr="007214E1">
        <w:rPr>
          <w:rFonts w:ascii="Book Antiqua" w:hAnsi="Book Antiqua"/>
        </w:rPr>
        <w:t xml:space="preserve"> has proven </w:t>
      </w:r>
      <w:r w:rsidR="00D40011" w:rsidRPr="007214E1">
        <w:rPr>
          <w:rFonts w:ascii="Book Antiqua" w:hAnsi="Book Antiqua"/>
        </w:rPr>
        <w:t>success</w:t>
      </w:r>
      <w:r w:rsidR="00A56C3F" w:rsidRPr="007214E1">
        <w:rPr>
          <w:rFonts w:ascii="Book Antiqua" w:hAnsi="Book Antiqua"/>
        </w:rPr>
        <w:t>ful in improving treatment responses</w:t>
      </w:r>
      <w:r w:rsidR="00D40011" w:rsidRPr="007214E1">
        <w:rPr>
          <w:rFonts w:ascii="Book Antiqua" w:hAnsi="Book Antiqua"/>
        </w:rPr>
        <w:t xml:space="preserve"> in multiple malignancies</w:t>
      </w:r>
      <w:r w:rsidR="00841F64" w:rsidRPr="007214E1">
        <w:rPr>
          <w:rFonts w:ascii="Book Antiqua" w:hAnsi="Book Antiqua"/>
        </w:rPr>
        <w:t xml:space="preserve"> when compared to standard-of-care </w:t>
      </w:r>
      <w:proofErr w:type="gramStart"/>
      <w:r w:rsidR="00841F64" w:rsidRPr="007214E1">
        <w:rPr>
          <w:rFonts w:ascii="Book Antiqua" w:hAnsi="Book Antiqua"/>
        </w:rPr>
        <w:t>therap</w:t>
      </w:r>
      <w:r w:rsidR="002F34C6" w:rsidRPr="007214E1">
        <w:rPr>
          <w:rFonts w:ascii="Book Antiqua" w:hAnsi="Book Antiqua"/>
        </w:rPr>
        <w:t>y</w:t>
      </w:r>
      <w:r w:rsidR="007D2B0C" w:rsidRPr="007214E1">
        <w:rPr>
          <w:rFonts w:ascii="Book Antiqua" w:hAnsi="Book Antiqua"/>
          <w:vertAlign w:val="superscript"/>
        </w:rPr>
        <w:t>[</w:t>
      </w:r>
      <w:proofErr w:type="gramEnd"/>
      <w:r w:rsidR="00951AD3" w:rsidRPr="007214E1">
        <w:rPr>
          <w:rFonts w:ascii="Book Antiqua" w:hAnsi="Book Antiqua"/>
          <w:vertAlign w:val="superscript"/>
        </w:rPr>
        <w:t>24-27</w:t>
      </w:r>
      <w:r w:rsidR="005914FE" w:rsidRPr="007214E1">
        <w:rPr>
          <w:rFonts w:ascii="Book Antiqua" w:hAnsi="Book Antiqua"/>
          <w:vertAlign w:val="superscript"/>
        </w:rPr>
        <w:t>]</w:t>
      </w:r>
      <w:r w:rsidR="00DB36F3" w:rsidRPr="007214E1">
        <w:rPr>
          <w:rFonts w:ascii="Book Antiqua" w:hAnsi="Book Antiqua"/>
        </w:rPr>
        <w:t>.</w:t>
      </w:r>
      <w:r w:rsidR="00D40011" w:rsidRPr="007214E1">
        <w:rPr>
          <w:rFonts w:ascii="Book Antiqua" w:hAnsi="Book Antiqua"/>
        </w:rPr>
        <w:t xml:space="preserve"> </w:t>
      </w:r>
      <w:r w:rsidR="008B1030" w:rsidRPr="007214E1">
        <w:rPr>
          <w:rFonts w:ascii="Book Antiqua" w:hAnsi="Book Antiqua"/>
        </w:rPr>
        <w:t>As a</w:t>
      </w:r>
      <w:r w:rsidR="00D40011" w:rsidRPr="007214E1">
        <w:rPr>
          <w:rFonts w:ascii="Book Antiqua" w:hAnsi="Book Antiqua"/>
        </w:rPr>
        <w:t xml:space="preserve"> first line regimen, the combination of nivolumab and ipilimumab has demonstrated superior ORR</w:t>
      </w:r>
      <w:r w:rsidR="009E4DC1" w:rsidRPr="007214E1">
        <w:rPr>
          <w:rFonts w:ascii="Book Antiqua" w:hAnsi="Book Antiqua"/>
        </w:rPr>
        <w:t>, OS,</w:t>
      </w:r>
      <w:r w:rsidR="00D40011" w:rsidRPr="007214E1">
        <w:rPr>
          <w:rFonts w:ascii="Book Antiqua" w:hAnsi="Book Antiqua"/>
        </w:rPr>
        <w:t xml:space="preserve"> and </w:t>
      </w:r>
      <w:r w:rsidR="002F34C6" w:rsidRPr="007214E1">
        <w:rPr>
          <w:rFonts w:ascii="Book Antiqua" w:hAnsi="Book Antiqua"/>
        </w:rPr>
        <w:t>progression-free survival (</w:t>
      </w:r>
      <w:r w:rsidR="00D40011" w:rsidRPr="007214E1">
        <w:rPr>
          <w:rFonts w:ascii="Book Antiqua" w:hAnsi="Book Antiqua"/>
        </w:rPr>
        <w:t>PFS</w:t>
      </w:r>
      <w:r w:rsidR="002F34C6" w:rsidRPr="007214E1">
        <w:rPr>
          <w:rFonts w:ascii="Book Antiqua" w:hAnsi="Book Antiqua"/>
        </w:rPr>
        <w:t>)</w:t>
      </w:r>
      <w:r w:rsidR="00D40011" w:rsidRPr="007214E1">
        <w:rPr>
          <w:rFonts w:ascii="Book Antiqua" w:hAnsi="Book Antiqua"/>
        </w:rPr>
        <w:t xml:space="preserve"> when compared to either agent alone in patients with metastatic melanoma</w:t>
      </w:r>
      <w:r w:rsidR="004D3842" w:rsidRPr="007214E1">
        <w:rPr>
          <w:rFonts w:ascii="Book Antiqua" w:hAnsi="Book Antiqua"/>
        </w:rPr>
        <w:t xml:space="preserve">, even after 48 </w:t>
      </w:r>
      <w:proofErr w:type="spellStart"/>
      <w:r w:rsidR="004D3842" w:rsidRPr="007214E1">
        <w:rPr>
          <w:rFonts w:ascii="Book Antiqua" w:hAnsi="Book Antiqua"/>
        </w:rPr>
        <w:t>mo</w:t>
      </w:r>
      <w:proofErr w:type="spellEnd"/>
      <w:r w:rsidR="00EB10DE" w:rsidRPr="007214E1">
        <w:rPr>
          <w:rFonts w:ascii="Book Antiqua" w:hAnsi="Book Antiqua"/>
        </w:rPr>
        <w:t xml:space="preserve"> of median follow-up</w:t>
      </w:r>
      <w:r w:rsidR="00D40011" w:rsidRPr="007214E1">
        <w:rPr>
          <w:rFonts w:ascii="Book Antiqua" w:hAnsi="Book Antiqua"/>
          <w:vertAlign w:val="superscript"/>
        </w:rPr>
        <w:t>[</w:t>
      </w:r>
      <w:r w:rsidRPr="007214E1">
        <w:rPr>
          <w:rFonts w:ascii="Book Antiqua" w:hAnsi="Book Antiqua"/>
          <w:vertAlign w:val="superscript"/>
        </w:rPr>
        <w:t>2</w:t>
      </w:r>
      <w:r w:rsidR="009E4DC1" w:rsidRPr="007214E1">
        <w:rPr>
          <w:rFonts w:ascii="Book Antiqua" w:hAnsi="Book Antiqua"/>
          <w:vertAlign w:val="superscript"/>
        </w:rPr>
        <w:t>4</w:t>
      </w:r>
      <w:r w:rsidR="005A027A" w:rsidRPr="007214E1">
        <w:rPr>
          <w:rFonts w:ascii="Book Antiqua" w:hAnsi="Book Antiqua"/>
          <w:vertAlign w:val="superscript"/>
        </w:rPr>
        <w:t>,</w:t>
      </w:r>
      <w:r w:rsidR="009E4DC1" w:rsidRPr="007214E1">
        <w:rPr>
          <w:rFonts w:ascii="Book Antiqua" w:hAnsi="Book Antiqua"/>
          <w:vertAlign w:val="superscript"/>
        </w:rPr>
        <w:t>28</w:t>
      </w:r>
      <w:r w:rsidR="00D40011" w:rsidRPr="007214E1">
        <w:rPr>
          <w:rFonts w:ascii="Book Antiqua" w:hAnsi="Book Antiqua"/>
          <w:vertAlign w:val="superscript"/>
        </w:rPr>
        <w:t>]</w:t>
      </w:r>
      <w:r w:rsidR="00D40011" w:rsidRPr="007214E1">
        <w:rPr>
          <w:rFonts w:ascii="Book Antiqua" w:hAnsi="Book Antiqua"/>
        </w:rPr>
        <w:t>.</w:t>
      </w:r>
      <w:r w:rsidR="00DD353A" w:rsidRPr="007214E1">
        <w:rPr>
          <w:rFonts w:ascii="Book Antiqua" w:hAnsi="Book Antiqua"/>
        </w:rPr>
        <w:t xml:space="preserve"> </w:t>
      </w:r>
      <w:r w:rsidR="00E93440" w:rsidRPr="007214E1">
        <w:rPr>
          <w:rFonts w:ascii="Book Antiqua" w:hAnsi="Book Antiqua"/>
        </w:rPr>
        <w:t xml:space="preserve">Given </w:t>
      </w:r>
      <w:r w:rsidR="00E36EBF" w:rsidRPr="007214E1">
        <w:rPr>
          <w:rFonts w:ascii="Book Antiqua" w:hAnsi="Book Antiqua"/>
        </w:rPr>
        <w:t xml:space="preserve">what is known regarding the immune microenvironment </w:t>
      </w:r>
      <w:r w:rsidR="00E93440" w:rsidRPr="007214E1">
        <w:rPr>
          <w:rFonts w:ascii="Book Antiqua" w:hAnsi="Book Antiqua"/>
        </w:rPr>
        <w:t>of HCC, t</w:t>
      </w:r>
      <w:r w:rsidR="00A56C3F" w:rsidRPr="007214E1">
        <w:rPr>
          <w:rFonts w:ascii="Book Antiqua" w:hAnsi="Book Antiqua"/>
        </w:rPr>
        <w:t>hese results raise</w:t>
      </w:r>
      <w:r w:rsidR="005A027A" w:rsidRPr="007214E1">
        <w:rPr>
          <w:rFonts w:ascii="Book Antiqua" w:hAnsi="Book Antiqua"/>
        </w:rPr>
        <w:t>d</w:t>
      </w:r>
      <w:r w:rsidR="00A56C3F" w:rsidRPr="007214E1">
        <w:rPr>
          <w:rFonts w:ascii="Book Antiqua" w:hAnsi="Book Antiqua"/>
        </w:rPr>
        <w:t xml:space="preserve"> the question about whether or not th</w:t>
      </w:r>
      <w:r w:rsidR="007F10E8" w:rsidRPr="007214E1">
        <w:rPr>
          <w:rFonts w:ascii="Book Antiqua" w:hAnsi="Book Antiqua"/>
        </w:rPr>
        <w:t>e</w:t>
      </w:r>
      <w:r w:rsidR="00A56C3F" w:rsidRPr="007214E1">
        <w:rPr>
          <w:rFonts w:ascii="Book Antiqua" w:hAnsi="Book Antiqua"/>
        </w:rPr>
        <w:t xml:space="preserve"> combination</w:t>
      </w:r>
      <w:r w:rsidR="007F10E8" w:rsidRPr="007214E1">
        <w:rPr>
          <w:rFonts w:ascii="Book Antiqua" w:hAnsi="Book Antiqua"/>
        </w:rPr>
        <w:t xml:space="preserve"> of a PD-1 inhibitor and CTLA-4 inhibitor can demonstrate durable clinical responses in advanced HCC </w:t>
      </w:r>
      <w:r w:rsidR="007F10E8" w:rsidRPr="007214E1">
        <w:rPr>
          <w:rFonts w:ascii="Book Antiqua" w:hAnsi="Book Antiqua"/>
        </w:rPr>
        <w:lastRenderedPageBreak/>
        <w:t xml:space="preserve">patients that are superior to those seen with </w:t>
      </w:r>
      <w:r w:rsidR="00041F44" w:rsidRPr="007214E1">
        <w:rPr>
          <w:rFonts w:ascii="Book Antiqua" w:hAnsi="Book Antiqua"/>
        </w:rPr>
        <w:t>single-agent checkpoint inhibitors or targe</w:t>
      </w:r>
      <w:r w:rsidR="004D3842" w:rsidRPr="007214E1">
        <w:rPr>
          <w:rFonts w:ascii="Book Antiqua" w:hAnsi="Book Antiqua"/>
        </w:rPr>
        <w:t>ted therapies in HCC patients.</w:t>
      </w:r>
    </w:p>
    <w:p w14:paraId="1D15784B" w14:textId="77777777" w:rsidR="00E36EBF" w:rsidRPr="007214E1" w:rsidRDefault="00E36EBF" w:rsidP="00EB43EE">
      <w:pPr>
        <w:snapToGrid w:val="0"/>
        <w:spacing w:line="360" w:lineRule="auto"/>
        <w:jc w:val="both"/>
        <w:rPr>
          <w:rFonts w:ascii="Book Antiqua" w:hAnsi="Book Antiqua"/>
          <w:b/>
          <w:i/>
        </w:rPr>
      </w:pPr>
    </w:p>
    <w:p w14:paraId="3D0E9F81" w14:textId="008E5787" w:rsidR="00AA0E18" w:rsidRPr="007214E1" w:rsidRDefault="00AA0E18" w:rsidP="00EB43EE">
      <w:pPr>
        <w:snapToGrid w:val="0"/>
        <w:spacing w:line="360" w:lineRule="auto"/>
        <w:jc w:val="both"/>
        <w:rPr>
          <w:rFonts w:ascii="Book Antiqua" w:hAnsi="Book Antiqua"/>
          <w:b/>
          <w:i/>
        </w:rPr>
      </w:pPr>
      <w:r w:rsidRPr="007214E1">
        <w:rPr>
          <w:rFonts w:ascii="Book Antiqua" w:hAnsi="Book Antiqua"/>
          <w:b/>
          <w:i/>
        </w:rPr>
        <w:t>N</w:t>
      </w:r>
      <w:r w:rsidR="00855FE4" w:rsidRPr="007214E1">
        <w:rPr>
          <w:rFonts w:ascii="Book Antiqua" w:hAnsi="Book Antiqua"/>
          <w:b/>
          <w:i/>
        </w:rPr>
        <w:t>ivolumab</w:t>
      </w:r>
      <w:r w:rsidRPr="007214E1">
        <w:rPr>
          <w:rFonts w:ascii="Book Antiqua" w:hAnsi="Book Antiqua"/>
          <w:b/>
          <w:i/>
        </w:rPr>
        <w:t xml:space="preserve"> </w:t>
      </w:r>
      <w:r w:rsidR="004D3842" w:rsidRPr="007214E1">
        <w:rPr>
          <w:rFonts w:ascii="Book Antiqua" w:hAnsi="Book Antiqua"/>
          <w:b/>
          <w:i/>
        </w:rPr>
        <w:t>plus ipilimumab</w:t>
      </w:r>
    </w:p>
    <w:p w14:paraId="5FA0CF2A" w14:textId="4CEC6A67" w:rsidR="008B1030" w:rsidRPr="007214E1" w:rsidRDefault="00BA7751" w:rsidP="00EB43EE">
      <w:pPr>
        <w:snapToGrid w:val="0"/>
        <w:spacing w:line="360" w:lineRule="auto"/>
        <w:jc w:val="both"/>
        <w:rPr>
          <w:rFonts w:ascii="Book Antiqua" w:eastAsiaTheme="minorHAnsi" w:hAnsi="Book Antiqua"/>
        </w:rPr>
      </w:pPr>
      <w:r w:rsidRPr="007214E1">
        <w:rPr>
          <w:rFonts w:ascii="Book Antiqua" w:hAnsi="Book Antiqua"/>
        </w:rPr>
        <w:t xml:space="preserve">The </w:t>
      </w:r>
      <w:proofErr w:type="spellStart"/>
      <w:r w:rsidR="004D3842" w:rsidRPr="007214E1">
        <w:rPr>
          <w:rFonts w:ascii="Book Antiqua" w:hAnsi="Book Antiqua"/>
        </w:rPr>
        <w:t>CheckM</w:t>
      </w:r>
      <w:r w:rsidR="00BE79B6" w:rsidRPr="007214E1">
        <w:rPr>
          <w:rFonts w:ascii="Book Antiqua" w:hAnsi="Book Antiqua"/>
        </w:rPr>
        <w:t>ate</w:t>
      </w:r>
      <w:proofErr w:type="spellEnd"/>
      <w:r w:rsidR="00BE79B6" w:rsidRPr="007214E1">
        <w:rPr>
          <w:rFonts w:ascii="Book Antiqua" w:hAnsi="Book Antiqua"/>
        </w:rPr>
        <w:t xml:space="preserve"> 040 </w:t>
      </w:r>
      <w:r w:rsidRPr="007214E1">
        <w:rPr>
          <w:rFonts w:ascii="Book Antiqua" w:hAnsi="Book Antiqua"/>
        </w:rPr>
        <w:t>study</w:t>
      </w:r>
      <w:r w:rsidR="00CA7EE9" w:rsidRPr="007214E1">
        <w:rPr>
          <w:rFonts w:ascii="Book Antiqua" w:hAnsi="Book Antiqua"/>
        </w:rPr>
        <w:t xml:space="preserve"> (NCT01658878)</w:t>
      </w:r>
      <w:r w:rsidRPr="007214E1">
        <w:rPr>
          <w:rFonts w:ascii="Book Antiqua" w:hAnsi="Book Antiqua"/>
        </w:rPr>
        <w:t xml:space="preserve"> </w:t>
      </w:r>
      <w:r w:rsidR="007904BD" w:rsidRPr="007214E1">
        <w:rPr>
          <w:rFonts w:ascii="Book Antiqua" w:hAnsi="Book Antiqua"/>
        </w:rPr>
        <w:t>randomized</w:t>
      </w:r>
      <w:r w:rsidRPr="007214E1">
        <w:rPr>
          <w:rFonts w:ascii="Book Antiqua" w:hAnsi="Book Antiqua"/>
        </w:rPr>
        <w:t xml:space="preserve"> 148 </w:t>
      </w:r>
      <w:r w:rsidR="00F637CA" w:rsidRPr="007214E1">
        <w:rPr>
          <w:rFonts w:ascii="Book Antiqua" w:hAnsi="Book Antiqua"/>
        </w:rPr>
        <w:t xml:space="preserve">HCC </w:t>
      </w:r>
      <w:r w:rsidRPr="007214E1">
        <w:rPr>
          <w:rFonts w:ascii="Book Antiqua" w:hAnsi="Book Antiqua"/>
        </w:rPr>
        <w:t xml:space="preserve">patients who were previously </w:t>
      </w:r>
      <w:r w:rsidR="00CA7EE9" w:rsidRPr="007214E1">
        <w:rPr>
          <w:rFonts w:ascii="Book Antiqua" w:hAnsi="Book Antiqua"/>
        </w:rPr>
        <w:t>treated with</w:t>
      </w:r>
      <w:r w:rsidRPr="007214E1">
        <w:rPr>
          <w:rFonts w:ascii="Book Antiqua" w:hAnsi="Book Antiqua"/>
        </w:rPr>
        <w:t xml:space="preserve"> sorafenib </w:t>
      </w:r>
      <w:r w:rsidR="00BE79B6" w:rsidRPr="007214E1">
        <w:rPr>
          <w:rFonts w:ascii="Book Antiqua" w:hAnsi="Book Antiqua"/>
        </w:rPr>
        <w:t xml:space="preserve">to </w:t>
      </w:r>
      <w:r w:rsidR="00905357" w:rsidRPr="007214E1">
        <w:rPr>
          <w:rFonts w:ascii="Book Antiqua" w:hAnsi="Book Antiqua"/>
        </w:rPr>
        <w:t>three separate</w:t>
      </w:r>
      <w:r w:rsidR="00BE79B6" w:rsidRPr="007214E1">
        <w:rPr>
          <w:rFonts w:ascii="Book Antiqua" w:hAnsi="Book Antiqua"/>
        </w:rPr>
        <w:t xml:space="preserve"> arms </w:t>
      </w:r>
      <w:r w:rsidR="00711FBD" w:rsidRPr="007214E1">
        <w:rPr>
          <w:rFonts w:ascii="Book Antiqua" w:hAnsi="Book Antiqua"/>
        </w:rPr>
        <w:t>comparing</w:t>
      </w:r>
      <w:r w:rsidR="00BE79B6" w:rsidRPr="007214E1">
        <w:rPr>
          <w:rFonts w:ascii="Book Antiqua" w:hAnsi="Book Antiqua"/>
        </w:rPr>
        <w:t xml:space="preserve"> various </w:t>
      </w:r>
      <w:r w:rsidR="00711FBD" w:rsidRPr="007214E1">
        <w:rPr>
          <w:rFonts w:ascii="Book Antiqua" w:hAnsi="Book Antiqua"/>
        </w:rPr>
        <w:t>treatment regimens utilizing</w:t>
      </w:r>
      <w:r w:rsidR="00BE79B6" w:rsidRPr="007214E1">
        <w:rPr>
          <w:rFonts w:ascii="Book Antiqua" w:hAnsi="Book Antiqua"/>
        </w:rPr>
        <w:t xml:space="preserve"> </w:t>
      </w:r>
      <w:r w:rsidR="00D01A92" w:rsidRPr="007214E1">
        <w:rPr>
          <w:rFonts w:ascii="Book Antiqua" w:hAnsi="Book Antiqua"/>
        </w:rPr>
        <w:t xml:space="preserve">ipilimumab and </w:t>
      </w:r>
      <w:proofErr w:type="gramStart"/>
      <w:r w:rsidR="00D01A92" w:rsidRPr="007214E1">
        <w:rPr>
          <w:rFonts w:ascii="Book Antiqua" w:hAnsi="Book Antiqua"/>
        </w:rPr>
        <w:t>nivolumab</w:t>
      </w:r>
      <w:r w:rsidR="00711FBD" w:rsidRPr="007214E1">
        <w:rPr>
          <w:rFonts w:ascii="Book Antiqua" w:hAnsi="Book Antiqua"/>
          <w:vertAlign w:val="superscript"/>
        </w:rPr>
        <w:t>[</w:t>
      </w:r>
      <w:proofErr w:type="gramEnd"/>
      <w:r w:rsidR="00CA7EE9" w:rsidRPr="007214E1">
        <w:rPr>
          <w:rFonts w:ascii="Book Antiqua" w:hAnsi="Book Antiqua"/>
          <w:vertAlign w:val="superscript"/>
        </w:rPr>
        <w:t>29</w:t>
      </w:r>
      <w:r w:rsidR="004D3842" w:rsidRPr="007214E1">
        <w:rPr>
          <w:rFonts w:ascii="Book Antiqua" w:hAnsi="Book Antiqua"/>
          <w:vertAlign w:val="superscript"/>
        </w:rPr>
        <w:t>,</w:t>
      </w:r>
      <w:r w:rsidR="006E7431" w:rsidRPr="007214E1">
        <w:rPr>
          <w:rFonts w:ascii="Book Antiqua" w:hAnsi="Book Antiqua"/>
          <w:vertAlign w:val="superscript"/>
        </w:rPr>
        <w:t>3</w:t>
      </w:r>
      <w:r w:rsidR="00CA7EE9" w:rsidRPr="007214E1">
        <w:rPr>
          <w:rFonts w:ascii="Book Antiqua" w:hAnsi="Book Antiqua"/>
          <w:vertAlign w:val="superscript"/>
        </w:rPr>
        <w:t>0</w:t>
      </w:r>
      <w:r w:rsidR="00711FBD" w:rsidRPr="007214E1">
        <w:rPr>
          <w:rFonts w:ascii="Book Antiqua" w:hAnsi="Book Antiqua"/>
          <w:vertAlign w:val="superscript"/>
        </w:rPr>
        <w:t>]</w:t>
      </w:r>
      <w:r w:rsidR="00D01A92" w:rsidRPr="007214E1">
        <w:rPr>
          <w:rFonts w:ascii="Book Antiqua" w:hAnsi="Book Antiqua"/>
        </w:rPr>
        <w:t xml:space="preserve">. </w:t>
      </w:r>
      <w:r w:rsidR="00711FBD" w:rsidRPr="007214E1">
        <w:rPr>
          <w:rFonts w:ascii="Book Antiqua" w:hAnsi="Book Antiqua"/>
        </w:rPr>
        <w:t>Patients in</w:t>
      </w:r>
      <w:r w:rsidR="00D01A92" w:rsidRPr="007214E1">
        <w:rPr>
          <w:rFonts w:ascii="Book Antiqua" w:hAnsi="Book Antiqua"/>
        </w:rPr>
        <w:t xml:space="preserve"> Arm A </w:t>
      </w:r>
      <w:r w:rsidR="00711FBD" w:rsidRPr="007214E1">
        <w:rPr>
          <w:rFonts w:ascii="Book Antiqua" w:hAnsi="Book Antiqua"/>
        </w:rPr>
        <w:t>received</w:t>
      </w:r>
      <w:r w:rsidR="00D01A92" w:rsidRPr="007214E1">
        <w:rPr>
          <w:rFonts w:ascii="Book Antiqua" w:hAnsi="Book Antiqua"/>
        </w:rPr>
        <w:t xml:space="preserve"> nivolumab 1</w:t>
      </w:r>
      <w:r w:rsidR="004D3842" w:rsidRPr="007214E1">
        <w:rPr>
          <w:rFonts w:ascii="Book Antiqua" w:hAnsi="Book Antiqua"/>
        </w:rPr>
        <w:t xml:space="preserve"> </w:t>
      </w:r>
      <w:r w:rsidR="00D01A92" w:rsidRPr="007214E1">
        <w:rPr>
          <w:rFonts w:ascii="Book Antiqua" w:hAnsi="Book Antiqua"/>
        </w:rPr>
        <w:t>mg/kg</w:t>
      </w:r>
      <w:r w:rsidR="00711FBD" w:rsidRPr="007214E1">
        <w:rPr>
          <w:rFonts w:ascii="Book Antiqua" w:hAnsi="Book Antiqua"/>
        </w:rPr>
        <w:t xml:space="preserve"> plus</w:t>
      </w:r>
      <w:r w:rsidR="00D01A92" w:rsidRPr="007214E1">
        <w:rPr>
          <w:rFonts w:ascii="Book Antiqua" w:hAnsi="Book Antiqua"/>
        </w:rPr>
        <w:t xml:space="preserve"> ipilimumab 3</w:t>
      </w:r>
      <w:r w:rsidR="004D3842" w:rsidRPr="007214E1">
        <w:rPr>
          <w:rFonts w:ascii="Book Antiqua" w:hAnsi="Book Antiqua"/>
        </w:rPr>
        <w:t xml:space="preserve"> </w:t>
      </w:r>
      <w:r w:rsidR="00D01A92" w:rsidRPr="007214E1">
        <w:rPr>
          <w:rFonts w:ascii="Book Antiqua" w:hAnsi="Book Antiqua"/>
        </w:rPr>
        <w:t xml:space="preserve">mg/kg every </w:t>
      </w:r>
      <w:r w:rsidR="00711FBD" w:rsidRPr="007214E1">
        <w:rPr>
          <w:rFonts w:ascii="Book Antiqua" w:hAnsi="Book Antiqua"/>
        </w:rPr>
        <w:t>three</w:t>
      </w:r>
      <w:r w:rsidR="00D01A92" w:rsidRPr="007214E1">
        <w:rPr>
          <w:rFonts w:ascii="Book Antiqua" w:hAnsi="Book Antiqua"/>
        </w:rPr>
        <w:t xml:space="preserve"> weeks</w:t>
      </w:r>
      <w:r w:rsidR="00711FBD" w:rsidRPr="007214E1">
        <w:rPr>
          <w:rFonts w:ascii="Book Antiqua" w:hAnsi="Book Antiqua"/>
        </w:rPr>
        <w:t xml:space="preserve"> for four </w:t>
      </w:r>
      <w:r w:rsidR="00CA7EE9" w:rsidRPr="007214E1">
        <w:rPr>
          <w:rFonts w:ascii="Book Antiqua" w:hAnsi="Book Antiqua"/>
        </w:rPr>
        <w:t>doses</w:t>
      </w:r>
      <w:r w:rsidR="00711FBD" w:rsidRPr="007214E1">
        <w:rPr>
          <w:rFonts w:ascii="Book Antiqua" w:hAnsi="Book Antiqua"/>
        </w:rPr>
        <w:t xml:space="preserve"> followed by nivolumab 240 mg every two weeks</w:t>
      </w:r>
      <w:r w:rsidR="00D90DCE" w:rsidRPr="007214E1">
        <w:rPr>
          <w:rFonts w:ascii="Book Antiqua" w:hAnsi="Book Antiqua"/>
        </w:rPr>
        <w:t>,</w:t>
      </w:r>
      <w:r w:rsidR="00D01A92" w:rsidRPr="007214E1">
        <w:rPr>
          <w:rFonts w:ascii="Book Antiqua" w:hAnsi="Book Antiqua"/>
        </w:rPr>
        <w:t xml:space="preserve"> </w:t>
      </w:r>
      <w:r w:rsidR="00711FBD" w:rsidRPr="007214E1">
        <w:rPr>
          <w:rFonts w:ascii="Book Antiqua" w:hAnsi="Book Antiqua"/>
        </w:rPr>
        <w:t xml:space="preserve">patients in </w:t>
      </w:r>
      <w:r w:rsidR="00D01A92" w:rsidRPr="007214E1">
        <w:rPr>
          <w:rFonts w:ascii="Book Antiqua" w:hAnsi="Book Antiqua"/>
        </w:rPr>
        <w:t xml:space="preserve">Arm B </w:t>
      </w:r>
      <w:r w:rsidR="00711FBD" w:rsidRPr="007214E1">
        <w:rPr>
          <w:rFonts w:ascii="Book Antiqua" w:hAnsi="Book Antiqua"/>
        </w:rPr>
        <w:t>received</w:t>
      </w:r>
      <w:r w:rsidR="00D01A92" w:rsidRPr="007214E1">
        <w:rPr>
          <w:rFonts w:ascii="Book Antiqua" w:hAnsi="Book Antiqua"/>
        </w:rPr>
        <w:t xml:space="preserve"> nivolumab 3</w:t>
      </w:r>
      <w:r w:rsidR="004D3842" w:rsidRPr="007214E1">
        <w:rPr>
          <w:rFonts w:ascii="Book Antiqua" w:hAnsi="Book Antiqua"/>
        </w:rPr>
        <w:t xml:space="preserve"> </w:t>
      </w:r>
      <w:r w:rsidR="00D01A92" w:rsidRPr="007214E1">
        <w:rPr>
          <w:rFonts w:ascii="Book Antiqua" w:hAnsi="Book Antiqua"/>
        </w:rPr>
        <w:t xml:space="preserve">mg/kg </w:t>
      </w:r>
      <w:r w:rsidR="00711FBD" w:rsidRPr="007214E1">
        <w:rPr>
          <w:rFonts w:ascii="Book Antiqua" w:hAnsi="Book Antiqua"/>
        </w:rPr>
        <w:t>plus</w:t>
      </w:r>
      <w:r w:rsidR="00D01A92" w:rsidRPr="007214E1">
        <w:rPr>
          <w:rFonts w:ascii="Book Antiqua" w:hAnsi="Book Antiqua"/>
        </w:rPr>
        <w:t xml:space="preserve"> ipilimumab 1</w:t>
      </w:r>
      <w:r w:rsidR="004D3842" w:rsidRPr="007214E1">
        <w:rPr>
          <w:rFonts w:ascii="Book Antiqua" w:hAnsi="Book Antiqua"/>
        </w:rPr>
        <w:t xml:space="preserve"> </w:t>
      </w:r>
      <w:r w:rsidR="00D01A92" w:rsidRPr="007214E1">
        <w:rPr>
          <w:rFonts w:ascii="Book Antiqua" w:hAnsi="Book Antiqua"/>
        </w:rPr>
        <w:t xml:space="preserve">mg/kg every </w:t>
      </w:r>
      <w:r w:rsidR="00711FBD" w:rsidRPr="007214E1">
        <w:rPr>
          <w:rFonts w:ascii="Book Antiqua" w:hAnsi="Book Antiqua"/>
        </w:rPr>
        <w:t>three</w:t>
      </w:r>
      <w:r w:rsidR="00D01A92" w:rsidRPr="007214E1">
        <w:rPr>
          <w:rFonts w:ascii="Book Antiqua" w:hAnsi="Book Antiqua"/>
        </w:rPr>
        <w:t xml:space="preserve"> weeks</w:t>
      </w:r>
      <w:r w:rsidR="00711FBD" w:rsidRPr="007214E1">
        <w:rPr>
          <w:rFonts w:ascii="Book Antiqua" w:hAnsi="Book Antiqua"/>
        </w:rPr>
        <w:t xml:space="preserve"> for four </w:t>
      </w:r>
      <w:r w:rsidR="00CA7EE9" w:rsidRPr="007214E1">
        <w:rPr>
          <w:rFonts w:ascii="Book Antiqua" w:hAnsi="Book Antiqua"/>
        </w:rPr>
        <w:t>doses</w:t>
      </w:r>
      <w:r w:rsidR="00711FBD" w:rsidRPr="007214E1">
        <w:rPr>
          <w:rFonts w:ascii="Book Antiqua" w:hAnsi="Book Antiqua"/>
        </w:rPr>
        <w:t xml:space="preserve"> followed by nivolumab 240 mg every two weeks</w:t>
      </w:r>
      <w:r w:rsidR="00D01A92" w:rsidRPr="007214E1">
        <w:rPr>
          <w:rFonts w:ascii="Book Antiqua" w:hAnsi="Book Antiqua"/>
        </w:rPr>
        <w:t xml:space="preserve">, and </w:t>
      </w:r>
      <w:r w:rsidR="00711FBD" w:rsidRPr="007214E1">
        <w:rPr>
          <w:rFonts w:ascii="Book Antiqua" w:hAnsi="Book Antiqua"/>
        </w:rPr>
        <w:t xml:space="preserve">patients in </w:t>
      </w:r>
      <w:r w:rsidR="00D01A92" w:rsidRPr="007214E1">
        <w:rPr>
          <w:rFonts w:ascii="Book Antiqua" w:hAnsi="Book Antiqua"/>
        </w:rPr>
        <w:t xml:space="preserve">Arm C </w:t>
      </w:r>
      <w:r w:rsidR="00711FBD" w:rsidRPr="007214E1">
        <w:rPr>
          <w:rFonts w:ascii="Book Antiqua" w:hAnsi="Book Antiqua"/>
        </w:rPr>
        <w:t xml:space="preserve">received </w:t>
      </w:r>
      <w:r w:rsidR="00D01A92" w:rsidRPr="007214E1">
        <w:rPr>
          <w:rFonts w:ascii="Book Antiqua" w:hAnsi="Book Antiqua"/>
        </w:rPr>
        <w:t>nivolumab 3</w:t>
      </w:r>
      <w:r w:rsidR="004D3842" w:rsidRPr="007214E1">
        <w:rPr>
          <w:rFonts w:ascii="Book Antiqua" w:hAnsi="Book Antiqua"/>
        </w:rPr>
        <w:t xml:space="preserve"> </w:t>
      </w:r>
      <w:r w:rsidR="00D01A92" w:rsidRPr="007214E1">
        <w:rPr>
          <w:rFonts w:ascii="Book Antiqua" w:hAnsi="Book Antiqua"/>
        </w:rPr>
        <w:t xml:space="preserve">mg/kg </w:t>
      </w:r>
      <w:r w:rsidR="00C93D42" w:rsidRPr="007214E1">
        <w:rPr>
          <w:rFonts w:ascii="Book Antiqua" w:hAnsi="Book Antiqua"/>
        </w:rPr>
        <w:t>every</w:t>
      </w:r>
      <w:r w:rsidR="00711FBD" w:rsidRPr="007214E1">
        <w:rPr>
          <w:rFonts w:ascii="Book Antiqua" w:hAnsi="Book Antiqua"/>
        </w:rPr>
        <w:t xml:space="preserve"> two</w:t>
      </w:r>
      <w:r w:rsidR="00C93D42" w:rsidRPr="007214E1">
        <w:rPr>
          <w:rFonts w:ascii="Book Antiqua" w:hAnsi="Book Antiqua"/>
        </w:rPr>
        <w:t xml:space="preserve"> weeks </w:t>
      </w:r>
      <w:r w:rsidR="00711FBD" w:rsidRPr="007214E1">
        <w:rPr>
          <w:rFonts w:ascii="Book Antiqua" w:hAnsi="Book Antiqua"/>
        </w:rPr>
        <w:t>plus</w:t>
      </w:r>
      <w:r w:rsidR="00D01A92" w:rsidRPr="007214E1">
        <w:rPr>
          <w:rFonts w:ascii="Book Antiqua" w:hAnsi="Book Antiqua"/>
        </w:rPr>
        <w:t xml:space="preserve"> ipilimumab 1</w:t>
      </w:r>
      <w:r w:rsidR="004D3842" w:rsidRPr="007214E1">
        <w:rPr>
          <w:rFonts w:ascii="Book Antiqua" w:hAnsi="Book Antiqua"/>
        </w:rPr>
        <w:t xml:space="preserve"> </w:t>
      </w:r>
      <w:r w:rsidR="00D01A92" w:rsidRPr="007214E1">
        <w:rPr>
          <w:rFonts w:ascii="Book Antiqua" w:hAnsi="Book Antiqua"/>
        </w:rPr>
        <w:t xml:space="preserve">mg/kg given every </w:t>
      </w:r>
      <w:r w:rsidR="00711FBD" w:rsidRPr="007214E1">
        <w:rPr>
          <w:rFonts w:ascii="Book Antiqua" w:hAnsi="Book Antiqua"/>
        </w:rPr>
        <w:t>six</w:t>
      </w:r>
      <w:r w:rsidR="00D01A92" w:rsidRPr="007214E1">
        <w:rPr>
          <w:rFonts w:ascii="Book Antiqua" w:hAnsi="Book Antiqua"/>
        </w:rPr>
        <w:t xml:space="preserve"> weeks</w:t>
      </w:r>
      <w:r w:rsidR="00C93D42" w:rsidRPr="007214E1">
        <w:rPr>
          <w:rFonts w:ascii="Book Antiqua" w:hAnsi="Book Antiqua"/>
          <w:vertAlign w:val="superscript"/>
        </w:rPr>
        <w:t>[</w:t>
      </w:r>
      <w:r w:rsidR="00CA7EE9" w:rsidRPr="007214E1">
        <w:rPr>
          <w:rFonts w:ascii="Book Antiqua" w:hAnsi="Book Antiqua"/>
          <w:vertAlign w:val="superscript"/>
        </w:rPr>
        <w:t>29</w:t>
      </w:r>
      <w:r w:rsidR="00C93D42" w:rsidRPr="007214E1">
        <w:rPr>
          <w:rFonts w:ascii="Book Antiqua" w:hAnsi="Book Antiqua"/>
          <w:vertAlign w:val="superscript"/>
        </w:rPr>
        <w:t>]</w:t>
      </w:r>
      <w:r w:rsidR="00BE3892" w:rsidRPr="007214E1">
        <w:rPr>
          <w:rFonts w:ascii="Book Antiqua" w:hAnsi="Book Antiqua"/>
        </w:rPr>
        <w:t xml:space="preserve">. </w:t>
      </w:r>
      <w:r w:rsidR="00FF5CF3" w:rsidRPr="007214E1">
        <w:rPr>
          <w:rFonts w:ascii="Book Antiqua" w:hAnsi="Book Antiqua"/>
        </w:rPr>
        <w:t>Initial results indicated that</w:t>
      </w:r>
      <w:r w:rsidR="00C93D42" w:rsidRPr="007214E1">
        <w:rPr>
          <w:rFonts w:ascii="Book Antiqua" w:hAnsi="Book Antiqua"/>
        </w:rPr>
        <w:t xml:space="preserve"> 37% of patients developed grade 3 or 4 toxicit</w:t>
      </w:r>
      <w:r w:rsidR="00CA7EE9" w:rsidRPr="007214E1">
        <w:rPr>
          <w:rFonts w:ascii="Book Antiqua" w:hAnsi="Book Antiqua"/>
        </w:rPr>
        <w:t>y</w:t>
      </w:r>
      <w:r w:rsidR="00C93D42" w:rsidRPr="007214E1">
        <w:rPr>
          <w:rFonts w:ascii="Book Antiqua" w:hAnsi="Book Antiqua"/>
        </w:rPr>
        <w:t>, with rash and prurit</w:t>
      </w:r>
      <w:r w:rsidR="00B21FA8" w:rsidRPr="007214E1">
        <w:rPr>
          <w:rFonts w:ascii="Book Antiqua" w:hAnsi="Book Antiqua"/>
        </w:rPr>
        <w:t>u</w:t>
      </w:r>
      <w:r w:rsidR="00C93D42" w:rsidRPr="007214E1">
        <w:rPr>
          <w:rFonts w:ascii="Book Antiqua" w:hAnsi="Book Antiqua"/>
        </w:rPr>
        <w:t xml:space="preserve">s </w:t>
      </w:r>
      <w:r w:rsidR="00D90DCE" w:rsidRPr="007214E1">
        <w:rPr>
          <w:rFonts w:ascii="Book Antiqua" w:hAnsi="Book Antiqua"/>
        </w:rPr>
        <w:t xml:space="preserve">being </w:t>
      </w:r>
      <w:r w:rsidR="00C93D42" w:rsidRPr="007214E1">
        <w:rPr>
          <w:rFonts w:ascii="Book Antiqua" w:hAnsi="Book Antiqua"/>
        </w:rPr>
        <w:t xml:space="preserve">the most </w:t>
      </w:r>
      <w:r w:rsidR="00711FBD" w:rsidRPr="007214E1">
        <w:rPr>
          <w:rFonts w:ascii="Book Antiqua" w:hAnsi="Book Antiqua"/>
        </w:rPr>
        <w:t xml:space="preserve">frequently reported </w:t>
      </w:r>
      <w:r w:rsidR="00CA7EE9" w:rsidRPr="007214E1">
        <w:rPr>
          <w:rFonts w:ascii="Book Antiqua" w:hAnsi="Book Antiqua"/>
        </w:rPr>
        <w:t xml:space="preserve">adverse </w:t>
      </w:r>
      <w:proofErr w:type="gramStart"/>
      <w:r w:rsidR="00CA7EE9" w:rsidRPr="007214E1">
        <w:rPr>
          <w:rFonts w:ascii="Book Antiqua" w:hAnsi="Book Antiqua"/>
        </w:rPr>
        <w:t>effect</w:t>
      </w:r>
      <w:r w:rsidR="00711FBD" w:rsidRPr="007214E1">
        <w:rPr>
          <w:rFonts w:ascii="Book Antiqua" w:hAnsi="Book Antiqua"/>
          <w:vertAlign w:val="superscript"/>
        </w:rPr>
        <w:t>[</w:t>
      </w:r>
      <w:proofErr w:type="gramEnd"/>
      <w:r w:rsidR="00CA7EE9" w:rsidRPr="007214E1">
        <w:rPr>
          <w:rFonts w:ascii="Book Antiqua" w:hAnsi="Book Antiqua"/>
          <w:vertAlign w:val="superscript"/>
        </w:rPr>
        <w:t>29</w:t>
      </w:r>
      <w:r w:rsidR="00711FBD" w:rsidRPr="007214E1">
        <w:rPr>
          <w:rFonts w:ascii="Book Antiqua" w:hAnsi="Book Antiqua"/>
          <w:vertAlign w:val="superscript"/>
        </w:rPr>
        <w:t>]</w:t>
      </w:r>
      <w:r w:rsidR="00BE3892" w:rsidRPr="007214E1">
        <w:rPr>
          <w:rFonts w:ascii="Book Antiqua" w:hAnsi="Book Antiqua"/>
        </w:rPr>
        <w:t>.</w:t>
      </w:r>
      <w:r w:rsidR="00D90DCE" w:rsidRPr="007214E1">
        <w:rPr>
          <w:rFonts w:ascii="Book Antiqua" w:hAnsi="Book Antiqua"/>
        </w:rPr>
        <w:t xml:space="preserve"> T</w:t>
      </w:r>
      <w:r w:rsidR="00C93D42" w:rsidRPr="007214E1">
        <w:rPr>
          <w:rFonts w:ascii="Book Antiqua" w:hAnsi="Book Antiqua"/>
        </w:rPr>
        <w:t>he ORR was 31%</w:t>
      </w:r>
      <w:r w:rsidR="00D90DCE" w:rsidRPr="007214E1">
        <w:rPr>
          <w:rFonts w:ascii="Book Antiqua" w:hAnsi="Book Antiqua"/>
        </w:rPr>
        <w:t>,</w:t>
      </w:r>
      <w:r w:rsidR="00C93D42" w:rsidRPr="007214E1">
        <w:rPr>
          <w:rFonts w:ascii="Book Antiqua" w:hAnsi="Book Antiqua"/>
        </w:rPr>
        <w:t xml:space="preserve"> and </w:t>
      </w:r>
      <w:r w:rsidR="00CA7EE9" w:rsidRPr="007214E1">
        <w:rPr>
          <w:rFonts w:ascii="Book Antiqua" w:hAnsi="Book Antiqua"/>
        </w:rPr>
        <w:t xml:space="preserve">after </w:t>
      </w:r>
      <w:r w:rsidR="00C93D42" w:rsidRPr="007214E1">
        <w:rPr>
          <w:rFonts w:ascii="Book Antiqua" w:hAnsi="Book Antiqua"/>
        </w:rPr>
        <w:t xml:space="preserve">24 </w:t>
      </w:r>
      <w:proofErr w:type="spellStart"/>
      <w:r w:rsidR="00C93D42" w:rsidRPr="007214E1">
        <w:rPr>
          <w:rFonts w:ascii="Book Antiqua" w:hAnsi="Book Antiqua"/>
        </w:rPr>
        <w:t>mo</w:t>
      </w:r>
      <w:proofErr w:type="spellEnd"/>
      <w:r w:rsidR="00CA7EE9" w:rsidRPr="007214E1">
        <w:rPr>
          <w:rFonts w:ascii="Book Antiqua" w:hAnsi="Book Antiqua"/>
        </w:rPr>
        <w:t xml:space="preserve"> of</w:t>
      </w:r>
      <w:r w:rsidR="00C93D42" w:rsidRPr="007214E1">
        <w:rPr>
          <w:rFonts w:ascii="Book Antiqua" w:hAnsi="Book Antiqua"/>
        </w:rPr>
        <w:t xml:space="preserve"> follow</w:t>
      </w:r>
      <w:r w:rsidRPr="007214E1">
        <w:rPr>
          <w:rFonts w:ascii="Book Antiqua" w:hAnsi="Book Antiqua"/>
        </w:rPr>
        <w:t>-</w:t>
      </w:r>
      <w:r w:rsidR="00C93D42" w:rsidRPr="007214E1">
        <w:rPr>
          <w:rFonts w:ascii="Book Antiqua" w:hAnsi="Book Antiqua"/>
        </w:rPr>
        <w:t>up, the OS rate was 40</w:t>
      </w:r>
      <w:proofErr w:type="gramStart"/>
      <w:r w:rsidR="00C93D42" w:rsidRPr="007214E1">
        <w:rPr>
          <w:rFonts w:ascii="Book Antiqua" w:hAnsi="Book Antiqua"/>
        </w:rPr>
        <w:t>%</w:t>
      </w:r>
      <w:r w:rsidR="00711FBD" w:rsidRPr="007214E1">
        <w:rPr>
          <w:rFonts w:ascii="Book Antiqua" w:hAnsi="Book Antiqua"/>
          <w:vertAlign w:val="superscript"/>
        </w:rPr>
        <w:t>[</w:t>
      </w:r>
      <w:proofErr w:type="gramEnd"/>
      <w:r w:rsidR="00CA7EE9" w:rsidRPr="007214E1">
        <w:rPr>
          <w:rFonts w:ascii="Book Antiqua" w:hAnsi="Book Antiqua"/>
          <w:vertAlign w:val="superscript"/>
        </w:rPr>
        <w:t>29</w:t>
      </w:r>
      <w:r w:rsidR="00711FBD" w:rsidRPr="007214E1">
        <w:rPr>
          <w:rFonts w:ascii="Book Antiqua" w:hAnsi="Book Antiqua"/>
          <w:vertAlign w:val="superscript"/>
        </w:rPr>
        <w:t>]</w:t>
      </w:r>
      <w:r w:rsidR="00C93D42" w:rsidRPr="007214E1">
        <w:rPr>
          <w:rFonts w:ascii="Book Antiqua" w:hAnsi="Book Antiqua"/>
        </w:rPr>
        <w:t xml:space="preserve">. </w:t>
      </w:r>
      <w:r w:rsidR="00D01A92" w:rsidRPr="007214E1">
        <w:rPr>
          <w:rFonts w:ascii="Book Antiqua" w:hAnsi="Book Antiqua"/>
        </w:rPr>
        <w:t xml:space="preserve">This study was updated at </w:t>
      </w:r>
      <w:r w:rsidR="00D90DCE" w:rsidRPr="007214E1">
        <w:rPr>
          <w:rFonts w:ascii="Book Antiqua" w:hAnsi="Book Antiqua"/>
        </w:rPr>
        <w:t xml:space="preserve">the </w:t>
      </w:r>
      <w:r w:rsidR="00D01A92" w:rsidRPr="007214E1">
        <w:rPr>
          <w:rFonts w:ascii="Book Antiqua" w:hAnsi="Book Antiqua"/>
        </w:rPr>
        <w:t>I</w:t>
      </w:r>
      <w:r w:rsidR="002B53F3" w:rsidRPr="007214E1">
        <w:rPr>
          <w:rFonts w:ascii="Book Antiqua" w:hAnsi="Book Antiqua"/>
        </w:rPr>
        <w:t>nternational Liver Cancer Association</w:t>
      </w:r>
      <w:r w:rsidR="00D01A92" w:rsidRPr="007214E1">
        <w:rPr>
          <w:rFonts w:ascii="Book Antiqua" w:hAnsi="Book Antiqua"/>
        </w:rPr>
        <w:t xml:space="preserve"> Conference in Sep 2019</w:t>
      </w:r>
      <w:r w:rsidR="003E7652" w:rsidRPr="007214E1">
        <w:rPr>
          <w:rFonts w:ascii="Book Antiqua" w:hAnsi="Book Antiqua"/>
          <w:vertAlign w:val="superscript"/>
        </w:rPr>
        <w:t>[</w:t>
      </w:r>
      <w:r w:rsidR="00CA7EE9" w:rsidRPr="007214E1">
        <w:rPr>
          <w:rFonts w:ascii="Book Antiqua" w:hAnsi="Book Antiqua"/>
          <w:vertAlign w:val="superscript"/>
        </w:rPr>
        <w:t>31</w:t>
      </w:r>
      <w:r w:rsidR="003E7652" w:rsidRPr="007214E1">
        <w:rPr>
          <w:rFonts w:ascii="Book Antiqua" w:hAnsi="Book Antiqua"/>
          <w:vertAlign w:val="superscript"/>
        </w:rPr>
        <w:t>]</w:t>
      </w:r>
      <w:r w:rsidR="00BE3892" w:rsidRPr="007214E1">
        <w:rPr>
          <w:rFonts w:ascii="Book Antiqua" w:hAnsi="Book Antiqua"/>
        </w:rPr>
        <w:t>.</w:t>
      </w:r>
      <w:r w:rsidR="00D01A92" w:rsidRPr="007214E1">
        <w:rPr>
          <w:rFonts w:ascii="Book Antiqua" w:hAnsi="Book Antiqua"/>
        </w:rPr>
        <w:t xml:space="preserve"> All 3 arms achieved </w:t>
      </w:r>
      <w:r w:rsidR="000737FB" w:rsidRPr="007214E1">
        <w:rPr>
          <w:rFonts w:ascii="Book Antiqua" w:hAnsi="Book Antiqua"/>
        </w:rPr>
        <w:t xml:space="preserve">a </w:t>
      </w:r>
      <w:r w:rsidR="00C93D42" w:rsidRPr="007214E1">
        <w:rPr>
          <w:rFonts w:ascii="Book Antiqua" w:hAnsi="Book Antiqua"/>
        </w:rPr>
        <w:t>similar ORR (</w:t>
      </w:r>
      <w:r w:rsidR="00CA0A3B" w:rsidRPr="007214E1">
        <w:rPr>
          <w:rFonts w:ascii="Book Antiqua" w:hAnsi="Book Antiqua"/>
        </w:rPr>
        <w:t xml:space="preserve">Arm A - </w:t>
      </w:r>
      <w:r w:rsidR="00C93D42" w:rsidRPr="007214E1">
        <w:rPr>
          <w:rFonts w:ascii="Book Antiqua" w:hAnsi="Book Antiqua"/>
        </w:rPr>
        <w:t xml:space="preserve">32%, </w:t>
      </w:r>
      <w:r w:rsidR="00CA0A3B" w:rsidRPr="007214E1">
        <w:rPr>
          <w:rFonts w:ascii="Book Antiqua" w:hAnsi="Book Antiqua"/>
        </w:rPr>
        <w:t xml:space="preserve">Arm B - </w:t>
      </w:r>
      <w:r w:rsidR="00C93D42" w:rsidRPr="007214E1">
        <w:rPr>
          <w:rFonts w:ascii="Book Antiqua" w:hAnsi="Book Antiqua"/>
        </w:rPr>
        <w:t xml:space="preserve">31% and </w:t>
      </w:r>
      <w:r w:rsidR="00CA0A3B" w:rsidRPr="007214E1">
        <w:rPr>
          <w:rFonts w:ascii="Book Antiqua" w:hAnsi="Book Antiqua"/>
        </w:rPr>
        <w:t>Arm C -</w:t>
      </w:r>
      <w:r w:rsidR="000E49DC" w:rsidRPr="007214E1">
        <w:rPr>
          <w:rFonts w:ascii="Book Antiqua" w:hAnsi="Book Antiqua"/>
        </w:rPr>
        <w:t xml:space="preserve"> </w:t>
      </w:r>
      <w:r w:rsidR="00C93D42" w:rsidRPr="007214E1">
        <w:rPr>
          <w:rFonts w:ascii="Book Antiqua" w:hAnsi="Book Antiqua"/>
        </w:rPr>
        <w:t>31%)</w:t>
      </w:r>
      <w:r w:rsidR="00D01A92" w:rsidRPr="007214E1">
        <w:rPr>
          <w:rFonts w:ascii="Book Antiqua" w:hAnsi="Book Antiqua"/>
        </w:rPr>
        <w:t>, while Arm A</w:t>
      </w:r>
      <w:r w:rsidR="000737FB" w:rsidRPr="007214E1">
        <w:rPr>
          <w:rFonts w:ascii="Book Antiqua" w:hAnsi="Book Antiqua"/>
        </w:rPr>
        <w:t xml:space="preserve"> achieved the</w:t>
      </w:r>
      <w:r w:rsidR="00D01A92" w:rsidRPr="007214E1">
        <w:rPr>
          <w:rFonts w:ascii="Book Antiqua" w:hAnsi="Book Antiqua"/>
        </w:rPr>
        <w:t xml:space="preserve"> longest median OS (22.8 </w:t>
      </w:r>
      <w:proofErr w:type="spellStart"/>
      <w:r w:rsidR="00D01A92" w:rsidRPr="007214E1">
        <w:rPr>
          <w:rFonts w:ascii="Book Antiqua" w:hAnsi="Book Antiqua"/>
        </w:rPr>
        <w:t>mo</w:t>
      </w:r>
      <w:proofErr w:type="spellEnd"/>
      <w:r w:rsidR="004D3842" w:rsidRPr="007214E1">
        <w:rPr>
          <w:rFonts w:ascii="Book Antiqua" w:hAnsi="Book Antiqua"/>
        </w:rPr>
        <w:t xml:space="preserve"> </w:t>
      </w:r>
      <w:proofErr w:type="spellStart"/>
      <w:r w:rsidR="004D3842" w:rsidRPr="007214E1">
        <w:rPr>
          <w:rFonts w:ascii="Book Antiqua" w:hAnsi="Book Antiqua"/>
          <w:i/>
        </w:rPr>
        <w:t>vs</w:t>
      </w:r>
      <w:proofErr w:type="spellEnd"/>
      <w:r w:rsidR="00C93D42" w:rsidRPr="007214E1">
        <w:rPr>
          <w:rFonts w:ascii="Book Antiqua" w:hAnsi="Book Antiqua"/>
        </w:rPr>
        <w:t xml:space="preserve"> 12.5 </w:t>
      </w:r>
      <w:proofErr w:type="spellStart"/>
      <w:r w:rsidR="00C93D42" w:rsidRPr="007214E1">
        <w:rPr>
          <w:rFonts w:ascii="Book Antiqua" w:hAnsi="Book Antiqua"/>
        </w:rPr>
        <w:t>mo</w:t>
      </w:r>
      <w:proofErr w:type="spellEnd"/>
      <w:r w:rsidR="00C93D42" w:rsidRPr="007214E1">
        <w:rPr>
          <w:rFonts w:ascii="Book Antiqua" w:hAnsi="Book Antiqua"/>
        </w:rPr>
        <w:t xml:space="preserve"> </w:t>
      </w:r>
      <w:r w:rsidR="00CA0A3B" w:rsidRPr="007214E1">
        <w:rPr>
          <w:rFonts w:ascii="Book Antiqua" w:hAnsi="Book Antiqua"/>
        </w:rPr>
        <w:t xml:space="preserve">for Arm B </w:t>
      </w:r>
      <w:r w:rsidR="00C93D42" w:rsidRPr="007214E1">
        <w:rPr>
          <w:rFonts w:ascii="Book Antiqua" w:hAnsi="Book Antiqua"/>
        </w:rPr>
        <w:t xml:space="preserve">and 12.7 </w:t>
      </w:r>
      <w:proofErr w:type="spellStart"/>
      <w:r w:rsidR="00C93D42" w:rsidRPr="007214E1">
        <w:rPr>
          <w:rFonts w:ascii="Book Antiqua" w:hAnsi="Book Antiqua"/>
        </w:rPr>
        <w:t>mo</w:t>
      </w:r>
      <w:proofErr w:type="spellEnd"/>
      <w:r w:rsidR="00CA0A3B" w:rsidRPr="007214E1">
        <w:rPr>
          <w:rFonts w:ascii="Book Antiqua" w:hAnsi="Book Antiqua"/>
        </w:rPr>
        <w:t xml:space="preserve"> for Arm C</w:t>
      </w:r>
      <w:r w:rsidR="00D01A92" w:rsidRPr="007214E1">
        <w:rPr>
          <w:rFonts w:ascii="Book Antiqua" w:hAnsi="Book Antiqua"/>
        </w:rPr>
        <w:t xml:space="preserve">) and the highest </w:t>
      </w:r>
      <w:r w:rsidR="009402AD" w:rsidRPr="007214E1">
        <w:rPr>
          <w:rFonts w:ascii="Book Antiqua" w:hAnsi="Book Antiqua"/>
        </w:rPr>
        <w:t>OS</w:t>
      </w:r>
      <w:r w:rsidR="00D01A92" w:rsidRPr="007214E1">
        <w:rPr>
          <w:rFonts w:ascii="Book Antiqua" w:hAnsi="Book Antiqua"/>
        </w:rPr>
        <w:t xml:space="preserve"> rate at 30 </w:t>
      </w:r>
      <w:proofErr w:type="spellStart"/>
      <w:r w:rsidR="00D01A92" w:rsidRPr="007214E1">
        <w:rPr>
          <w:rFonts w:ascii="Book Antiqua" w:hAnsi="Book Antiqua"/>
        </w:rPr>
        <w:t>mo</w:t>
      </w:r>
      <w:proofErr w:type="spellEnd"/>
      <w:r w:rsidR="00D01A92" w:rsidRPr="007214E1">
        <w:rPr>
          <w:rFonts w:ascii="Book Antiqua" w:hAnsi="Book Antiqua"/>
        </w:rPr>
        <w:t xml:space="preserve"> (44%)</w:t>
      </w:r>
      <w:r w:rsidR="00D01A92" w:rsidRPr="007214E1">
        <w:rPr>
          <w:rFonts w:ascii="Book Antiqua" w:hAnsi="Book Antiqua"/>
          <w:vertAlign w:val="superscript"/>
        </w:rPr>
        <w:t>[</w:t>
      </w:r>
      <w:r w:rsidR="00CA7EE9" w:rsidRPr="007214E1">
        <w:rPr>
          <w:rFonts w:ascii="Book Antiqua" w:eastAsiaTheme="minorHAnsi" w:hAnsi="Book Antiqua"/>
          <w:bCs/>
          <w:vertAlign w:val="superscript"/>
        </w:rPr>
        <w:t>31</w:t>
      </w:r>
      <w:r w:rsidR="00C93D42" w:rsidRPr="007214E1">
        <w:rPr>
          <w:rFonts w:ascii="Book Antiqua" w:eastAsiaTheme="minorHAnsi" w:hAnsi="Book Antiqua"/>
          <w:bCs/>
          <w:vertAlign w:val="superscript"/>
        </w:rPr>
        <w:t>]</w:t>
      </w:r>
      <w:r w:rsidR="001F1560" w:rsidRPr="007214E1">
        <w:rPr>
          <w:rFonts w:ascii="Book Antiqua" w:eastAsia="宋体" w:hAnsi="Book Antiqua"/>
          <w:bCs/>
          <w:lang w:eastAsia="zh-CN"/>
        </w:rPr>
        <w:t xml:space="preserve"> (Table 2)</w:t>
      </w:r>
      <w:r w:rsidR="000737FB" w:rsidRPr="007214E1">
        <w:rPr>
          <w:rFonts w:ascii="Book Antiqua" w:eastAsiaTheme="minorHAnsi" w:hAnsi="Book Antiqua"/>
        </w:rPr>
        <w:t>.</w:t>
      </w:r>
      <w:r w:rsidR="00EF55E4" w:rsidRPr="007214E1">
        <w:rPr>
          <w:rFonts w:ascii="Book Antiqua" w:eastAsiaTheme="minorHAnsi" w:hAnsi="Book Antiqua"/>
        </w:rPr>
        <w:t xml:space="preserve"> </w:t>
      </w:r>
      <w:r w:rsidR="00FF5CF3" w:rsidRPr="007214E1">
        <w:rPr>
          <w:rFonts w:ascii="Book Antiqua" w:eastAsiaTheme="minorHAnsi" w:hAnsi="Book Antiqua"/>
        </w:rPr>
        <w:t xml:space="preserve">The study remains </w:t>
      </w:r>
      <w:proofErr w:type="gramStart"/>
      <w:r w:rsidR="00FF5CF3" w:rsidRPr="007214E1">
        <w:rPr>
          <w:rFonts w:ascii="Book Antiqua" w:eastAsiaTheme="minorHAnsi" w:hAnsi="Book Antiqua"/>
        </w:rPr>
        <w:t>active</w:t>
      </w:r>
      <w:r w:rsidR="00FF5CF3" w:rsidRPr="007214E1">
        <w:rPr>
          <w:rFonts w:ascii="Book Antiqua" w:eastAsiaTheme="minorHAnsi" w:hAnsi="Book Antiqua"/>
          <w:vertAlign w:val="superscript"/>
        </w:rPr>
        <w:t>[</w:t>
      </w:r>
      <w:proofErr w:type="gramEnd"/>
      <w:r w:rsidR="00FF5CF3" w:rsidRPr="007214E1">
        <w:rPr>
          <w:rFonts w:ascii="Book Antiqua" w:eastAsiaTheme="minorHAnsi" w:hAnsi="Book Antiqua"/>
          <w:vertAlign w:val="superscript"/>
        </w:rPr>
        <w:t>30]</w:t>
      </w:r>
      <w:r w:rsidR="00FF5CF3" w:rsidRPr="007214E1">
        <w:rPr>
          <w:rFonts w:ascii="Book Antiqua" w:eastAsiaTheme="minorHAnsi" w:hAnsi="Book Antiqua"/>
        </w:rPr>
        <w:t>.</w:t>
      </w:r>
    </w:p>
    <w:p w14:paraId="10A9F045" w14:textId="181E74B9" w:rsidR="00825BBA" w:rsidRPr="007214E1" w:rsidRDefault="008B1030" w:rsidP="00EB43EE">
      <w:pPr>
        <w:snapToGrid w:val="0"/>
        <w:spacing w:line="360" w:lineRule="auto"/>
        <w:ind w:firstLineChars="100" w:firstLine="240"/>
        <w:jc w:val="both"/>
        <w:rPr>
          <w:rFonts w:ascii="Book Antiqua" w:hAnsi="Book Antiqua"/>
        </w:rPr>
      </w:pPr>
      <w:r w:rsidRPr="007214E1">
        <w:rPr>
          <w:rFonts w:ascii="Book Antiqua" w:eastAsiaTheme="minorHAnsi" w:hAnsi="Book Antiqua"/>
        </w:rPr>
        <w:t xml:space="preserve">The rather innovative study design allowed investigators to compare the impact of various doses of nivolumab and ipilimumab on treatment </w:t>
      </w:r>
      <w:proofErr w:type="gramStart"/>
      <w:r w:rsidRPr="007214E1">
        <w:rPr>
          <w:rFonts w:ascii="Book Antiqua" w:eastAsiaTheme="minorHAnsi" w:hAnsi="Book Antiqua"/>
        </w:rPr>
        <w:t>response</w:t>
      </w:r>
      <w:r w:rsidR="00E36EBF" w:rsidRPr="007214E1">
        <w:rPr>
          <w:rFonts w:ascii="Book Antiqua" w:hAnsi="Book Antiqua"/>
          <w:vertAlign w:val="superscript"/>
        </w:rPr>
        <w:t>[</w:t>
      </w:r>
      <w:proofErr w:type="gramEnd"/>
      <w:r w:rsidR="00CA7EE9" w:rsidRPr="007214E1">
        <w:rPr>
          <w:rFonts w:ascii="Book Antiqua" w:hAnsi="Book Antiqua"/>
          <w:vertAlign w:val="superscript"/>
        </w:rPr>
        <w:t>29-31</w:t>
      </w:r>
      <w:r w:rsidR="00E36EBF" w:rsidRPr="007214E1">
        <w:rPr>
          <w:rFonts w:ascii="Book Antiqua" w:hAnsi="Book Antiqua"/>
          <w:vertAlign w:val="superscript"/>
        </w:rPr>
        <w:t>]</w:t>
      </w:r>
      <w:r w:rsidR="00E36EBF" w:rsidRPr="007214E1">
        <w:rPr>
          <w:rFonts w:ascii="Book Antiqua" w:hAnsi="Book Antiqua"/>
        </w:rPr>
        <w:t>.</w:t>
      </w:r>
      <w:r w:rsidRPr="007214E1">
        <w:rPr>
          <w:rFonts w:ascii="Book Antiqua" w:eastAsiaTheme="minorHAnsi" w:hAnsi="Book Antiqua"/>
        </w:rPr>
        <w:t xml:space="preserve"> </w:t>
      </w:r>
      <w:r w:rsidR="00D62742" w:rsidRPr="007214E1">
        <w:rPr>
          <w:rFonts w:ascii="Book Antiqua" w:eastAsiaTheme="minorHAnsi" w:hAnsi="Book Antiqua"/>
        </w:rPr>
        <w:t>The dosing schedule in Arms A and B was similar, however, the dose of ipilimumab was three times higher</w:t>
      </w:r>
      <w:r w:rsidR="006E7431" w:rsidRPr="007214E1">
        <w:rPr>
          <w:rFonts w:ascii="Book Antiqua" w:eastAsiaTheme="minorHAnsi" w:hAnsi="Book Antiqua"/>
        </w:rPr>
        <w:t xml:space="preserve"> in Arm A</w:t>
      </w:r>
      <w:r w:rsidR="00436EC5" w:rsidRPr="007214E1">
        <w:rPr>
          <w:rFonts w:ascii="Book Antiqua" w:eastAsiaTheme="minorHAnsi" w:hAnsi="Book Antiqua"/>
        </w:rPr>
        <w:t>, and patients in Arm C received ipilimumab less frequently</w:t>
      </w:r>
      <w:r w:rsidR="00CA0A3B" w:rsidRPr="007214E1">
        <w:rPr>
          <w:rFonts w:ascii="Book Antiqua" w:eastAsiaTheme="minorHAnsi" w:hAnsi="Book Antiqua"/>
        </w:rPr>
        <w:t xml:space="preserve"> than the other two </w:t>
      </w:r>
      <w:proofErr w:type="gramStart"/>
      <w:r w:rsidR="00CA0A3B" w:rsidRPr="007214E1">
        <w:rPr>
          <w:rFonts w:ascii="Book Antiqua" w:eastAsiaTheme="minorHAnsi" w:hAnsi="Book Antiqua"/>
        </w:rPr>
        <w:t>arms</w:t>
      </w:r>
      <w:r w:rsidR="00D62742" w:rsidRPr="007214E1">
        <w:rPr>
          <w:rFonts w:ascii="Book Antiqua" w:hAnsi="Book Antiqua"/>
          <w:vertAlign w:val="superscript"/>
        </w:rPr>
        <w:t>[</w:t>
      </w:r>
      <w:proofErr w:type="gramEnd"/>
      <w:r w:rsidR="00CA0A3B" w:rsidRPr="007214E1">
        <w:rPr>
          <w:rFonts w:ascii="Book Antiqua" w:hAnsi="Book Antiqua"/>
          <w:vertAlign w:val="superscript"/>
        </w:rPr>
        <w:t>29</w:t>
      </w:r>
      <w:r w:rsidR="00D62742" w:rsidRPr="007214E1">
        <w:rPr>
          <w:rFonts w:ascii="Book Antiqua" w:hAnsi="Book Antiqua"/>
          <w:vertAlign w:val="superscript"/>
        </w:rPr>
        <w:t>]</w:t>
      </w:r>
      <w:r w:rsidR="00D62742" w:rsidRPr="007214E1">
        <w:rPr>
          <w:rFonts w:ascii="Book Antiqua" w:hAnsi="Book Antiqua"/>
        </w:rPr>
        <w:t>. The</w:t>
      </w:r>
      <w:r w:rsidRPr="007214E1">
        <w:rPr>
          <w:rFonts w:ascii="Book Antiqua" w:eastAsiaTheme="minorHAnsi" w:hAnsi="Book Antiqua"/>
        </w:rPr>
        <w:t xml:space="preserve"> higher dose of ipilimumab received by patients in Arm A</w:t>
      </w:r>
      <w:r w:rsidR="00D62742" w:rsidRPr="007214E1">
        <w:rPr>
          <w:rFonts w:ascii="Book Antiqua" w:eastAsiaTheme="minorHAnsi" w:hAnsi="Book Antiqua"/>
        </w:rPr>
        <w:t xml:space="preserve"> compared to patients in Arms B or C</w:t>
      </w:r>
      <w:r w:rsidRPr="007214E1">
        <w:rPr>
          <w:rFonts w:ascii="Book Antiqua" w:eastAsiaTheme="minorHAnsi" w:hAnsi="Book Antiqua"/>
        </w:rPr>
        <w:t xml:space="preserve"> may have been responsible for the improved median </w:t>
      </w:r>
      <w:r w:rsidR="007E3723" w:rsidRPr="007214E1">
        <w:rPr>
          <w:rFonts w:ascii="Book Antiqua" w:eastAsiaTheme="minorHAnsi" w:hAnsi="Book Antiqua"/>
        </w:rPr>
        <w:t xml:space="preserve">overall </w:t>
      </w:r>
      <w:proofErr w:type="gramStart"/>
      <w:r w:rsidRPr="007214E1">
        <w:rPr>
          <w:rFonts w:ascii="Book Antiqua" w:eastAsiaTheme="minorHAnsi" w:hAnsi="Book Antiqua"/>
        </w:rPr>
        <w:t>survival</w:t>
      </w:r>
      <w:r w:rsidR="00D62742" w:rsidRPr="007214E1">
        <w:rPr>
          <w:rFonts w:ascii="Book Antiqua" w:hAnsi="Book Antiqua"/>
          <w:vertAlign w:val="superscript"/>
        </w:rPr>
        <w:t>[</w:t>
      </w:r>
      <w:proofErr w:type="gramEnd"/>
      <w:r w:rsidR="00CA0A3B" w:rsidRPr="007214E1">
        <w:rPr>
          <w:rFonts w:ascii="Book Antiqua" w:hAnsi="Book Antiqua"/>
          <w:vertAlign w:val="superscript"/>
        </w:rPr>
        <w:t>29</w:t>
      </w:r>
      <w:r w:rsidR="00D62742" w:rsidRPr="007214E1">
        <w:rPr>
          <w:rFonts w:ascii="Book Antiqua" w:hAnsi="Book Antiqua"/>
          <w:vertAlign w:val="superscript"/>
        </w:rPr>
        <w:t>]</w:t>
      </w:r>
      <w:r w:rsidR="00436EC5" w:rsidRPr="007214E1">
        <w:rPr>
          <w:rFonts w:ascii="Book Antiqua" w:hAnsi="Book Antiqua"/>
        </w:rPr>
        <w:t xml:space="preserve">. </w:t>
      </w:r>
      <w:r w:rsidR="00D62742" w:rsidRPr="007214E1">
        <w:rPr>
          <w:rFonts w:ascii="Book Antiqua" w:hAnsi="Book Antiqua"/>
        </w:rPr>
        <w:t xml:space="preserve">Unsurprisingly, Arm A also had the highest number of treatment-related </w:t>
      </w:r>
      <w:r w:rsidR="00CA0A3B" w:rsidRPr="007214E1">
        <w:rPr>
          <w:rFonts w:ascii="Book Antiqua" w:hAnsi="Book Antiqua"/>
        </w:rPr>
        <w:t>adverse effects</w:t>
      </w:r>
      <w:r w:rsidR="00D62742" w:rsidRPr="007214E1">
        <w:rPr>
          <w:rFonts w:ascii="Book Antiqua" w:hAnsi="Book Antiqua"/>
        </w:rPr>
        <w:t xml:space="preserve">, possibly due to </w:t>
      </w:r>
      <w:r w:rsidR="00E36EBF" w:rsidRPr="007214E1">
        <w:rPr>
          <w:rFonts w:ascii="Book Antiqua" w:hAnsi="Book Antiqua"/>
        </w:rPr>
        <w:t>the</w:t>
      </w:r>
      <w:r w:rsidR="00D62742" w:rsidRPr="007214E1">
        <w:rPr>
          <w:rFonts w:ascii="Book Antiqua" w:hAnsi="Book Antiqua"/>
        </w:rPr>
        <w:t xml:space="preserve"> </w:t>
      </w:r>
      <w:r w:rsidR="00E36EBF" w:rsidRPr="007214E1">
        <w:rPr>
          <w:rFonts w:ascii="Book Antiqua" w:hAnsi="Book Antiqua"/>
        </w:rPr>
        <w:t>larger</w:t>
      </w:r>
      <w:r w:rsidR="00D62742" w:rsidRPr="007214E1">
        <w:rPr>
          <w:rFonts w:ascii="Book Antiqua" w:hAnsi="Book Antiqua"/>
        </w:rPr>
        <w:t xml:space="preserve"> dose</w:t>
      </w:r>
      <w:r w:rsidR="00E36EBF" w:rsidRPr="007214E1">
        <w:rPr>
          <w:rFonts w:ascii="Book Antiqua" w:hAnsi="Book Antiqua"/>
        </w:rPr>
        <w:t>s</w:t>
      </w:r>
      <w:r w:rsidR="00D62742" w:rsidRPr="007214E1">
        <w:rPr>
          <w:rFonts w:ascii="Book Antiqua" w:hAnsi="Book Antiqua"/>
        </w:rPr>
        <w:t xml:space="preserve"> of ipilimumab</w:t>
      </w:r>
      <w:r w:rsidR="00E36EBF" w:rsidRPr="007214E1">
        <w:rPr>
          <w:rFonts w:ascii="Book Antiqua" w:hAnsi="Book Antiqua"/>
        </w:rPr>
        <w:t xml:space="preserve"> the patients received</w:t>
      </w:r>
      <w:r w:rsidR="00D62742" w:rsidRPr="007214E1">
        <w:rPr>
          <w:rFonts w:ascii="Book Antiqua" w:hAnsi="Book Antiqua"/>
        </w:rPr>
        <w:t xml:space="preserve">, </w:t>
      </w:r>
      <w:r w:rsidR="00D62742" w:rsidRPr="007214E1">
        <w:rPr>
          <w:rFonts w:ascii="Book Antiqua" w:hAnsi="Book Antiqua"/>
        </w:rPr>
        <w:lastRenderedPageBreak/>
        <w:t xml:space="preserve">highlighting the inherent toxicity of this </w:t>
      </w:r>
      <w:proofErr w:type="gramStart"/>
      <w:r w:rsidR="00D62742" w:rsidRPr="007214E1">
        <w:rPr>
          <w:rFonts w:ascii="Book Antiqua" w:hAnsi="Book Antiqua"/>
        </w:rPr>
        <w:t>combination</w:t>
      </w:r>
      <w:r w:rsidR="00D62742" w:rsidRPr="007214E1">
        <w:rPr>
          <w:rFonts w:ascii="Book Antiqua" w:hAnsi="Book Antiqua"/>
          <w:vertAlign w:val="superscript"/>
        </w:rPr>
        <w:t>[</w:t>
      </w:r>
      <w:proofErr w:type="gramEnd"/>
      <w:r w:rsidR="00CA0A3B" w:rsidRPr="007214E1">
        <w:rPr>
          <w:rFonts w:ascii="Book Antiqua" w:hAnsi="Book Antiqua"/>
          <w:vertAlign w:val="superscript"/>
        </w:rPr>
        <w:t>31</w:t>
      </w:r>
      <w:r w:rsidR="00D62742" w:rsidRPr="007214E1">
        <w:rPr>
          <w:rFonts w:ascii="Book Antiqua" w:hAnsi="Book Antiqua"/>
          <w:vertAlign w:val="superscript"/>
        </w:rPr>
        <w:t>]</w:t>
      </w:r>
      <w:r w:rsidR="00D62742" w:rsidRPr="007214E1">
        <w:rPr>
          <w:rFonts w:ascii="Book Antiqua" w:hAnsi="Book Antiqua"/>
        </w:rPr>
        <w:t xml:space="preserve">. </w:t>
      </w:r>
      <w:r w:rsidR="00CA0A3B" w:rsidRPr="007214E1">
        <w:rPr>
          <w:rFonts w:ascii="Book Antiqua" w:hAnsi="Book Antiqua"/>
        </w:rPr>
        <w:t>Twenty-two percent of patients discontinued the combination due to</w:t>
      </w:r>
      <w:r w:rsidR="00D62742" w:rsidRPr="007214E1">
        <w:rPr>
          <w:rFonts w:ascii="Book Antiqua" w:hAnsi="Book Antiqua"/>
        </w:rPr>
        <w:t xml:space="preserve"> drug</w:t>
      </w:r>
      <w:r w:rsidR="00CA0A3B" w:rsidRPr="007214E1">
        <w:rPr>
          <w:rFonts w:ascii="Book Antiqua" w:hAnsi="Book Antiqua"/>
        </w:rPr>
        <w:t>-</w:t>
      </w:r>
      <w:r w:rsidR="00D62742" w:rsidRPr="007214E1">
        <w:rPr>
          <w:rFonts w:ascii="Book Antiqua" w:hAnsi="Book Antiqua"/>
        </w:rPr>
        <w:t>related adverse events</w:t>
      </w:r>
      <w:r w:rsidR="00CA0A3B" w:rsidRPr="007214E1">
        <w:rPr>
          <w:rFonts w:ascii="Book Antiqua" w:hAnsi="Book Antiqua"/>
        </w:rPr>
        <w:t>, compared to</w:t>
      </w:r>
      <w:r w:rsidR="00D62742" w:rsidRPr="007214E1">
        <w:rPr>
          <w:rFonts w:ascii="Book Antiqua" w:hAnsi="Book Antiqua"/>
        </w:rPr>
        <w:t xml:space="preserve"> </w:t>
      </w:r>
      <w:r w:rsidR="00CA0A3B" w:rsidRPr="007214E1">
        <w:rPr>
          <w:rFonts w:ascii="Book Antiqua" w:hAnsi="Book Antiqua"/>
        </w:rPr>
        <w:t xml:space="preserve">6% and 2% of patients in Arms B and C, </w:t>
      </w:r>
      <w:proofErr w:type="gramStart"/>
      <w:r w:rsidR="00CA0A3B" w:rsidRPr="007214E1">
        <w:rPr>
          <w:rFonts w:ascii="Book Antiqua" w:hAnsi="Book Antiqua"/>
        </w:rPr>
        <w:t>respectively</w:t>
      </w:r>
      <w:r w:rsidR="00D62742" w:rsidRPr="007214E1">
        <w:rPr>
          <w:rFonts w:ascii="Book Antiqua" w:hAnsi="Book Antiqua"/>
          <w:vertAlign w:val="superscript"/>
        </w:rPr>
        <w:t>[</w:t>
      </w:r>
      <w:proofErr w:type="gramEnd"/>
      <w:r w:rsidR="006E7431" w:rsidRPr="007214E1">
        <w:rPr>
          <w:rFonts w:ascii="Book Antiqua" w:hAnsi="Book Antiqua"/>
          <w:vertAlign w:val="superscript"/>
        </w:rPr>
        <w:t>3</w:t>
      </w:r>
      <w:r w:rsidR="00CA0A3B" w:rsidRPr="007214E1">
        <w:rPr>
          <w:rFonts w:ascii="Book Antiqua" w:hAnsi="Book Antiqua"/>
          <w:vertAlign w:val="superscript"/>
        </w:rPr>
        <w:t>1</w:t>
      </w:r>
      <w:r w:rsidR="00D62742" w:rsidRPr="007214E1">
        <w:rPr>
          <w:rFonts w:ascii="Book Antiqua" w:hAnsi="Book Antiqua"/>
          <w:vertAlign w:val="superscript"/>
        </w:rPr>
        <w:t>]</w:t>
      </w:r>
      <w:r w:rsidR="00D62742" w:rsidRPr="007214E1">
        <w:rPr>
          <w:rFonts w:ascii="Book Antiqua" w:hAnsi="Book Antiqua"/>
        </w:rPr>
        <w:t xml:space="preserve">. </w:t>
      </w:r>
      <w:r w:rsidR="004D3842" w:rsidRPr="007214E1">
        <w:rPr>
          <w:rFonts w:ascii="Book Antiqua" w:hAnsi="Book Antiqua"/>
        </w:rPr>
        <w:t xml:space="preserve">Based on the results of </w:t>
      </w:r>
      <w:proofErr w:type="spellStart"/>
      <w:r w:rsidR="004D3842" w:rsidRPr="007214E1">
        <w:rPr>
          <w:rFonts w:ascii="Book Antiqua" w:hAnsi="Book Antiqua"/>
        </w:rPr>
        <w:t>CheckM</w:t>
      </w:r>
      <w:r w:rsidR="00A23105" w:rsidRPr="007214E1">
        <w:rPr>
          <w:rFonts w:ascii="Book Antiqua" w:hAnsi="Book Antiqua"/>
        </w:rPr>
        <w:t>ate</w:t>
      </w:r>
      <w:proofErr w:type="spellEnd"/>
      <w:r w:rsidR="00A23105" w:rsidRPr="007214E1">
        <w:rPr>
          <w:rFonts w:ascii="Book Antiqua" w:hAnsi="Book Antiqua"/>
        </w:rPr>
        <w:t xml:space="preserve"> 040, the </w:t>
      </w:r>
      <w:r w:rsidR="00F71A6E" w:rsidRPr="007214E1">
        <w:rPr>
          <w:rFonts w:ascii="Book Antiqua" w:eastAsiaTheme="minorHAnsi" w:hAnsi="Book Antiqua"/>
        </w:rPr>
        <w:t xml:space="preserve">FDA has granted a priority review for </w:t>
      </w:r>
      <w:r w:rsidR="00A23105" w:rsidRPr="007214E1">
        <w:rPr>
          <w:rFonts w:ascii="Book Antiqua" w:eastAsiaTheme="minorHAnsi" w:hAnsi="Book Antiqua"/>
        </w:rPr>
        <w:t>nivolumab plus ipilimumab</w:t>
      </w:r>
      <w:r w:rsidR="00F71A6E" w:rsidRPr="007214E1">
        <w:rPr>
          <w:rFonts w:ascii="Book Antiqua" w:eastAsiaTheme="minorHAnsi" w:hAnsi="Book Antiqua"/>
        </w:rPr>
        <w:t xml:space="preserve"> in the treatment of patients with advanced HCC who progressed on sorafenib as of November 2019</w:t>
      </w:r>
      <w:r w:rsidR="00F71A6E" w:rsidRPr="007214E1">
        <w:rPr>
          <w:rFonts w:ascii="Book Antiqua" w:eastAsiaTheme="minorHAnsi" w:hAnsi="Book Antiqua"/>
          <w:vertAlign w:val="superscript"/>
        </w:rPr>
        <w:t>[</w:t>
      </w:r>
      <w:r w:rsidR="00A23105" w:rsidRPr="007214E1">
        <w:rPr>
          <w:rFonts w:ascii="Book Antiqua" w:eastAsiaTheme="minorHAnsi" w:hAnsi="Book Antiqua"/>
          <w:vertAlign w:val="superscript"/>
        </w:rPr>
        <w:t>32</w:t>
      </w:r>
      <w:r w:rsidR="00F71A6E" w:rsidRPr="007214E1">
        <w:rPr>
          <w:rFonts w:ascii="Book Antiqua" w:eastAsiaTheme="minorHAnsi" w:hAnsi="Book Antiqua"/>
          <w:vertAlign w:val="superscript"/>
        </w:rPr>
        <w:t>]</w:t>
      </w:r>
      <w:r w:rsidR="004D3842" w:rsidRPr="007214E1">
        <w:rPr>
          <w:rFonts w:ascii="Book Antiqua" w:eastAsiaTheme="minorHAnsi" w:hAnsi="Book Antiqua"/>
        </w:rPr>
        <w:t>.</w:t>
      </w:r>
    </w:p>
    <w:p w14:paraId="4D7D5A70" w14:textId="4D3BC2E0" w:rsidR="000F24E0" w:rsidRPr="007214E1" w:rsidRDefault="00D123C5" w:rsidP="00EB43EE">
      <w:pPr>
        <w:snapToGrid w:val="0"/>
        <w:spacing w:line="360" w:lineRule="auto"/>
        <w:ind w:firstLineChars="100" w:firstLine="240"/>
        <w:jc w:val="both"/>
        <w:rPr>
          <w:rFonts w:ascii="Book Antiqua" w:hAnsi="Book Antiqua"/>
        </w:rPr>
      </w:pPr>
      <w:r w:rsidRPr="007214E1">
        <w:rPr>
          <w:rFonts w:ascii="Book Antiqua" w:eastAsiaTheme="minorHAnsi" w:hAnsi="Book Antiqua"/>
        </w:rPr>
        <w:t>There are multiple active clinical tria</w:t>
      </w:r>
      <w:r w:rsidR="004D3842" w:rsidRPr="007214E1">
        <w:rPr>
          <w:rFonts w:ascii="Book Antiqua" w:eastAsiaTheme="minorHAnsi" w:hAnsi="Book Antiqua"/>
        </w:rPr>
        <w:t xml:space="preserve">ls in addition to </w:t>
      </w:r>
      <w:proofErr w:type="spellStart"/>
      <w:r w:rsidR="004D3842" w:rsidRPr="007214E1">
        <w:rPr>
          <w:rFonts w:ascii="Book Antiqua" w:eastAsiaTheme="minorHAnsi" w:hAnsi="Book Antiqua"/>
        </w:rPr>
        <w:t>CheckM</w:t>
      </w:r>
      <w:r w:rsidRPr="007214E1">
        <w:rPr>
          <w:rFonts w:ascii="Book Antiqua" w:eastAsiaTheme="minorHAnsi" w:hAnsi="Book Antiqua"/>
        </w:rPr>
        <w:t>ate</w:t>
      </w:r>
      <w:proofErr w:type="spellEnd"/>
      <w:r w:rsidRPr="007214E1">
        <w:rPr>
          <w:rFonts w:ascii="Book Antiqua" w:eastAsiaTheme="minorHAnsi" w:hAnsi="Book Antiqua"/>
        </w:rPr>
        <w:t xml:space="preserve"> 040 evaluating </w:t>
      </w:r>
      <w:proofErr w:type="spellStart"/>
      <w:r w:rsidRPr="007214E1">
        <w:rPr>
          <w:rFonts w:ascii="Book Antiqua" w:eastAsiaTheme="minorHAnsi" w:hAnsi="Book Antiqua"/>
        </w:rPr>
        <w:t>nivolumab</w:t>
      </w:r>
      <w:proofErr w:type="spellEnd"/>
      <w:r w:rsidRPr="007214E1">
        <w:rPr>
          <w:rFonts w:ascii="Book Antiqua" w:eastAsiaTheme="minorHAnsi" w:hAnsi="Book Antiqua"/>
        </w:rPr>
        <w:t xml:space="preserve"> plus ipilimumab for various treatment indications in HCC patients</w:t>
      </w:r>
      <w:r w:rsidR="001F1560" w:rsidRPr="007214E1">
        <w:rPr>
          <w:rFonts w:ascii="Book Antiqua" w:eastAsia="宋体" w:hAnsi="Book Antiqua"/>
          <w:lang w:eastAsia="zh-CN"/>
        </w:rPr>
        <w:t xml:space="preserve"> (Table 3)</w:t>
      </w:r>
      <w:r w:rsidRPr="007214E1">
        <w:rPr>
          <w:rFonts w:ascii="Book Antiqua" w:eastAsiaTheme="minorHAnsi" w:hAnsi="Book Antiqua"/>
        </w:rPr>
        <w:t>. These include the</w:t>
      </w:r>
      <w:r w:rsidR="004D3842" w:rsidRPr="007214E1">
        <w:rPr>
          <w:rFonts w:ascii="Book Antiqua" w:eastAsiaTheme="minorHAnsi" w:hAnsi="Book Antiqua"/>
        </w:rPr>
        <w:t xml:space="preserve"> phase III </w:t>
      </w:r>
      <w:proofErr w:type="spellStart"/>
      <w:r w:rsidR="004D3842" w:rsidRPr="007214E1">
        <w:rPr>
          <w:rFonts w:ascii="Book Antiqua" w:eastAsiaTheme="minorHAnsi" w:hAnsi="Book Antiqua"/>
        </w:rPr>
        <w:t>CheckM</w:t>
      </w:r>
      <w:r w:rsidR="00F71A6E" w:rsidRPr="007214E1">
        <w:rPr>
          <w:rFonts w:ascii="Book Antiqua" w:eastAsiaTheme="minorHAnsi" w:hAnsi="Book Antiqua"/>
        </w:rPr>
        <w:t>ate</w:t>
      </w:r>
      <w:proofErr w:type="spellEnd"/>
      <w:r w:rsidR="00F71A6E" w:rsidRPr="007214E1">
        <w:rPr>
          <w:rFonts w:ascii="Book Antiqua" w:eastAsiaTheme="minorHAnsi" w:hAnsi="Book Antiqua"/>
        </w:rPr>
        <w:t xml:space="preserve"> 9DW</w:t>
      </w:r>
      <w:r w:rsidR="00F71A6E" w:rsidRPr="007214E1">
        <w:rPr>
          <w:rFonts w:ascii="Book Antiqua" w:hAnsi="Book Antiqua"/>
        </w:rPr>
        <w:t xml:space="preserve"> clinical trial (NCT04039607)</w:t>
      </w:r>
      <w:r w:rsidR="00FF5CF3" w:rsidRPr="007214E1">
        <w:rPr>
          <w:rFonts w:ascii="Book Antiqua" w:hAnsi="Book Antiqua"/>
        </w:rPr>
        <w:t xml:space="preserve"> evaluating nivolumab plus ipilimumab</w:t>
      </w:r>
      <w:r w:rsidR="00F71A6E" w:rsidRPr="007214E1">
        <w:rPr>
          <w:rFonts w:ascii="Book Antiqua" w:hAnsi="Book Antiqua"/>
        </w:rPr>
        <w:t xml:space="preserve"> as first-line therapy in comparison to </w:t>
      </w:r>
      <w:proofErr w:type="spellStart"/>
      <w:r w:rsidR="00F71A6E" w:rsidRPr="007214E1">
        <w:rPr>
          <w:rFonts w:ascii="Book Antiqua" w:hAnsi="Book Antiqua"/>
        </w:rPr>
        <w:t>sorafenib</w:t>
      </w:r>
      <w:proofErr w:type="spellEnd"/>
      <w:r w:rsidR="00F71A6E" w:rsidRPr="007214E1">
        <w:rPr>
          <w:rFonts w:ascii="Book Antiqua" w:hAnsi="Book Antiqua"/>
        </w:rPr>
        <w:t xml:space="preserve"> or </w:t>
      </w:r>
      <w:proofErr w:type="spellStart"/>
      <w:r w:rsidR="00F71A6E" w:rsidRPr="007214E1">
        <w:rPr>
          <w:rFonts w:ascii="Book Antiqua" w:hAnsi="Book Antiqua"/>
        </w:rPr>
        <w:t>lenvatinib</w:t>
      </w:r>
      <w:proofErr w:type="spellEnd"/>
      <w:r w:rsidR="00F71A6E" w:rsidRPr="007214E1">
        <w:rPr>
          <w:rFonts w:ascii="Book Antiqua" w:hAnsi="Book Antiqua"/>
        </w:rPr>
        <w:t xml:space="preserve"> in patients with advanced </w:t>
      </w:r>
      <w:proofErr w:type="gramStart"/>
      <w:r w:rsidR="00F71A6E" w:rsidRPr="007214E1">
        <w:rPr>
          <w:rFonts w:ascii="Book Antiqua" w:hAnsi="Book Antiqua"/>
        </w:rPr>
        <w:t>HCC</w:t>
      </w:r>
      <w:r w:rsidR="00F71A6E" w:rsidRPr="007214E1">
        <w:rPr>
          <w:rFonts w:ascii="Book Antiqua" w:hAnsi="Book Antiqua"/>
          <w:vertAlign w:val="superscript"/>
        </w:rPr>
        <w:t>[</w:t>
      </w:r>
      <w:proofErr w:type="gramEnd"/>
      <w:r w:rsidR="00F71A6E" w:rsidRPr="007214E1">
        <w:rPr>
          <w:rFonts w:ascii="Book Antiqua" w:hAnsi="Book Antiqua"/>
          <w:vertAlign w:val="superscript"/>
        </w:rPr>
        <w:t>3</w:t>
      </w:r>
      <w:r w:rsidR="00A23105" w:rsidRPr="007214E1">
        <w:rPr>
          <w:rFonts w:ascii="Book Antiqua" w:hAnsi="Book Antiqua"/>
          <w:vertAlign w:val="superscript"/>
        </w:rPr>
        <w:t>3</w:t>
      </w:r>
      <w:r w:rsidR="00F71A6E" w:rsidRPr="007214E1">
        <w:rPr>
          <w:rFonts w:ascii="Book Antiqua" w:hAnsi="Book Antiqua"/>
          <w:vertAlign w:val="superscript"/>
        </w:rPr>
        <w:t>]</w:t>
      </w:r>
      <w:r w:rsidR="007070D7" w:rsidRPr="007214E1">
        <w:rPr>
          <w:rFonts w:ascii="Book Antiqua" w:hAnsi="Book Antiqua"/>
        </w:rPr>
        <w:t xml:space="preserve">. </w:t>
      </w:r>
      <w:r w:rsidR="00FF5CF3" w:rsidRPr="007214E1">
        <w:rPr>
          <w:rFonts w:ascii="Book Antiqua" w:hAnsi="Book Antiqua"/>
        </w:rPr>
        <w:t xml:space="preserve">The primary endpoint is overall </w:t>
      </w:r>
      <w:proofErr w:type="gramStart"/>
      <w:r w:rsidR="00FF5CF3" w:rsidRPr="007214E1">
        <w:rPr>
          <w:rFonts w:ascii="Book Antiqua" w:hAnsi="Book Antiqua"/>
        </w:rPr>
        <w:t>survival</w:t>
      </w:r>
      <w:r w:rsidR="008A59D8" w:rsidRPr="007214E1">
        <w:rPr>
          <w:rFonts w:ascii="Book Antiqua" w:hAnsi="Book Antiqua"/>
          <w:vertAlign w:val="superscript"/>
        </w:rPr>
        <w:t>[</w:t>
      </w:r>
      <w:proofErr w:type="gramEnd"/>
      <w:r w:rsidR="008A59D8" w:rsidRPr="007214E1">
        <w:rPr>
          <w:rFonts w:ascii="Book Antiqua" w:hAnsi="Book Antiqua"/>
          <w:vertAlign w:val="superscript"/>
        </w:rPr>
        <w:t>3</w:t>
      </w:r>
      <w:r w:rsidR="00A23105" w:rsidRPr="007214E1">
        <w:rPr>
          <w:rFonts w:ascii="Book Antiqua" w:hAnsi="Book Antiqua"/>
          <w:vertAlign w:val="superscript"/>
        </w:rPr>
        <w:t>3</w:t>
      </w:r>
      <w:r w:rsidR="008A59D8" w:rsidRPr="007214E1">
        <w:rPr>
          <w:rFonts w:ascii="Book Antiqua" w:hAnsi="Book Antiqua"/>
          <w:vertAlign w:val="superscript"/>
        </w:rPr>
        <w:t>]</w:t>
      </w:r>
      <w:r w:rsidR="00354FFA" w:rsidRPr="007214E1">
        <w:rPr>
          <w:rFonts w:ascii="Book Antiqua" w:hAnsi="Book Antiqua"/>
        </w:rPr>
        <w:t xml:space="preserve">. </w:t>
      </w:r>
      <w:r w:rsidR="008A59D8" w:rsidRPr="007214E1">
        <w:rPr>
          <w:rFonts w:ascii="Book Antiqua" w:hAnsi="Book Antiqua"/>
        </w:rPr>
        <w:t xml:space="preserve">If the combination of nivolumab and ipilimumab </w:t>
      </w:r>
      <w:r w:rsidR="00FF5CF3" w:rsidRPr="007214E1">
        <w:rPr>
          <w:rFonts w:ascii="Book Antiqua" w:hAnsi="Book Antiqua"/>
        </w:rPr>
        <w:t xml:space="preserve">demonstrates significantly improved OS compared to standard-of-care </w:t>
      </w:r>
      <w:proofErr w:type="spellStart"/>
      <w:r w:rsidR="00FF5CF3" w:rsidRPr="007214E1">
        <w:rPr>
          <w:rFonts w:ascii="Book Antiqua" w:hAnsi="Book Antiqua"/>
        </w:rPr>
        <w:t>sorafenib</w:t>
      </w:r>
      <w:proofErr w:type="spellEnd"/>
      <w:r w:rsidR="00FF5CF3" w:rsidRPr="007214E1">
        <w:rPr>
          <w:rFonts w:ascii="Book Antiqua" w:hAnsi="Book Antiqua"/>
        </w:rPr>
        <w:t xml:space="preserve"> or </w:t>
      </w:r>
      <w:proofErr w:type="spellStart"/>
      <w:r w:rsidR="00FF5CF3" w:rsidRPr="007214E1">
        <w:rPr>
          <w:rFonts w:ascii="Book Antiqua" w:hAnsi="Book Antiqua"/>
        </w:rPr>
        <w:t>lenvatinib</w:t>
      </w:r>
      <w:proofErr w:type="spellEnd"/>
      <w:r w:rsidR="008A59D8" w:rsidRPr="007214E1">
        <w:rPr>
          <w:rFonts w:ascii="Book Antiqua" w:hAnsi="Book Antiqua"/>
        </w:rPr>
        <w:t xml:space="preserve">, it may become the new standard-of-care </w:t>
      </w:r>
      <w:r w:rsidR="00FF5CF3" w:rsidRPr="007214E1">
        <w:rPr>
          <w:rFonts w:ascii="Book Antiqua" w:hAnsi="Book Antiqua"/>
        </w:rPr>
        <w:t xml:space="preserve">first-line </w:t>
      </w:r>
      <w:r w:rsidR="000E49DC" w:rsidRPr="007214E1">
        <w:rPr>
          <w:rFonts w:ascii="Book Antiqua" w:hAnsi="Book Antiqua"/>
        </w:rPr>
        <w:t>therapy</w:t>
      </w:r>
      <w:r w:rsidR="008A59D8" w:rsidRPr="007214E1">
        <w:rPr>
          <w:rFonts w:ascii="Book Antiqua" w:hAnsi="Book Antiqua"/>
        </w:rPr>
        <w:t>. However, the increased toxicity seen with this combination, especially if doses are similar to t</w:t>
      </w:r>
      <w:r w:rsidR="004D3842" w:rsidRPr="007214E1">
        <w:rPr>
          <w:rFonts w:ascii="Book Antiqua" w:hAnsi="Book Antiqua"/>
        </w:rPr>
        <w:t xml:space="preserve">hose used in Arm A of the </w:t>
      </w:r>
      <w:proofErr w:type="spellStart"/>
      <w:r w:rsidR="004D3842" w:rsidRPr="007214E1">
        <w:rPr>
          <w:rFonts w:ascii="Book Antiqua" w:hAnsi="Book Antiqua"/>
        </w:rPr>
        <w:t>CheckM</w:t>
      </w:r>
      <w:r w:rsidR="008A59D8" w:rsidRPr="007214E1">
        <w:rPr>
          <w:rFonts w:ascii="Book Antiqua" w:hAnsi="Book Antiqua"/>
        </w:rPr>
        <w:t>ate</w:t>
      </w:r>
      <w:proofErr w:type="spellEnd"/>
      <w:r w:rsidR="008A59D8" w:rsidRPr="007214E1">
        <w:rPr>
          <w:rFonts w:ascii="Book Antiqua" w:hAnsi="Book Antiqua"/>
        </w:rPr>
        <w:t xml:space="preserve"> 040 trial, may lead to higher rates of therapy </w:t>
      </w:r>
      <w:proofErr w:type="gramStart"/>
      <w:r w:rsidR="008A59D8" w:rsidRPr="007214E1">
        <w:rPr>
          <w:rFonts w:ascii="Book Antiqua" w:hAnsi="Book Antiqua"/>
        </w:rPr>
        <w:t>discontinuation</w:t>
      </w:r>
      <w:r w:rsidR="008A59D8" w:rsidRPr="007214E1">
        <w:rPr>
          <w:rFonts w:ascii="Book Antiqua" w:hAnsi="Book Antiqua"/>
          <w:vertAlign w:val="superscript"/>
        </w:rPr>
        <w:t>[</w:t>
      </w:r>
      <w:proofErr w:type="gramEnd"/>
      <w:r w:rsidR="000F72D2" w:rsidRPr="007214E1">
        <w:rPr>
          <w:rFonts w:ascii="Book Antiqua" w:hAnsi="Book Antiqua"/>
          <w:vertAlign w:val="superscript"/>
        </w:rPr>
        <w:t>29</w:t>
      </w:r>
      <w:r w:rsidR="008A59D8" w:rsidRPr="007214E1">
        <w:rPr>
          <w:rFonts w:ascii="Book Antiqua" w:hAnsi="Book Antiqua"/>
          <w:vertAlign w:val="superscript"/>
        </w:rPr>
        <w:t>]</w:t>
      </w:r>
      <w:r w:rsidR="008A59D8" w:rsidRPr="007214E1">
        <w:rPr>
          <w:rFonts w:ascii="Book Antiqua" w:hAnsi="Book Antiqua"/>
        </w:rPr>
        <w:t>.</w:t>
      </w:r>
      <w:r w:rsidR="00825BBA" w:rsidRPr="007214E1">
        <w:rPr>
          <w:rFonts w:ascii="Book Antiqua" w:hAnsi="Book Antiqua"/>
        </w:rPr>
        <w:t xml:space="preserve"> </w:t>
      </w:r>
      <w:r w:rsidR="003957C7" w:rsidRPr="007214E1">
        <w:rPr>
          <w:rFonts w:ascii="Book Antiqua" w:hAnsi="Book Antiqua"/>
        </w:rPr>
        <w:t xml:space="preserve">At least </w:t>
      </w:r>
      <w:r w:rsidR="00114DF1" w:rsidRPr="007214E1">
        <w:rPr>
          <w:rFonts w:ascii="Book Antiqua" w:hAnsi="Book Antiqua"/>
        </w:rPr>
        <w:t>t</w:t>
      </w:r>
      <w:r w:rsidR="00825BBA" w:rsidRPr="007214E1">
        <w:rPr>
          <w:rFonts w:ascii="Book Antiqua" w:hAnsi="Book Antiqua"/>
        </w:rPr>
        <w:t>hree</w:t>
      </w:r>
      <w:r w:rsidR="003957C7" w:rsidRPr="007214E1">
        <w:rPr>
          <w:rFonts w:ascii="Book Antiqua" w:hAnsi="Book Antiqua"/>
        </w:rPr>
        <w:t xml:space="preserve"> separate studies will evaluate the safety</w:t>
      </w:r>
      <w:r w:rsidR="0094481A" w:rsidRPr="007214E1">
        <w:rPr>
          <w:rFonts w:ascii="Book Antiqua" w:hAnsi="Book Antiqua"/>
        </w:rPr>
        <w:t xml:space="preserve"> and </w:t>
      </w:r>
      <w:r w:rsidR="007E3D32" w:rsidRPr="007214E1">
        <w:rPr>
          <w:rFonts w:ascii="Book Antiqua" w:hAnsi="Book Antiqua"/>
        </w:rPr>
        <w:t>feasibility</w:t>
      </w:r>
      <w:r w:rsidR="003957C7" w:rsidRPr="007214E1">
        <w:rPr>
          <w:rFonts w:ascii="Book Antiqua" w:hAnsi="Book Antiqua"/>
        </w:rPr>
        <w:t xml:space="preserve"> of neoadjuvant nivolumab plus ipilimumab </w:t>
      </w:r>
      <w:r w:rsidR="007070D7" w:rsidRPr="007214E1">
        <w:rPr>
          <w:rFonts w:ascii="Book Antiqua" w:hAnsi="Book Antiqua"/>
        </w:rPr>
        <w:t xml:space="preserve">administered prior to </w:t>
      </w:r>
      <w:r w:rsidR="003957C7" w:rsidRPr="007214E1">
        <w:rPr>
          <w:rFonts w:ascii="Book Antiqua" w:hAnsi="Book Antiqua"/>
        </w:rPr>
        <w:t xml:space="preserve">surgical </w:t>
      </w:r>
      <w:proofErr w:type="gramStart"/>
      <w:r w:rsidR="003957C7" w:rsidRPr="007214E1">
        <w:rPr>
          <w:rFonts w:ascii="Book Antiqua" w:hAnsi="Book Antiqua"/>
        </w:rPr>
        <w:t>resection</w:t>
      </w:r>
      <w:r w:rsidR="003957C7" w:rsidRPr="007214E1">
        <w:rPr>
          <w:rFonts w:ascii="Book Antiqua" w:hAnsi="Book Antiqua"/>
          <w:vertAlign w:val="superscript"/>
        </w:rPr>
        <w:t>[</w:t>
      </w:r>
      <w:proofErr w:type="gramEnd"/>
      <w:r w:rsidR="00825BBA" w:rsidRPr="007214E1">
        <w:rPr>
          <w:rFonts w:ascii="Book Antiqua" w:hAnsi="Book Antiqua"/>
          <w:vertAlign w:val="superscript"/>
        </w:rPr>
        <w:t>34-36</w:t>
      </w:r>
      <w:r w:rsidR="003957C7" w:rsidRPr="007214E1">
        <w:rPr>
          <w:rFonts w:ascii="Book Antiqua" w:hAnsi="Book Antiqua"/>
          <w:vertAlign w:val="superscript"/>
        </w:rPr>
        <w:t>]</w:t>
      </w:r>
      <w:r w:rsidR="003957C7" w:rsidRPr="007214E1">
        <w:rPr>
          <w:rFonts w:ascii="Book Antiqua" w:hAnsi="Book Antiqua"/>
        </w:rPr>
        <w:t>.</w:t>
      </w:r>
      <w:r w:rsidR="00825BBA" w:rsidRPr="007214E1">
        <w:rPr>
          <w:rFonts w:ascii="Book Antiqua" w:hAnsi="Book Antiqua"/>
        </w:rPr>
        <w:t xml:space="preserve"> The phase II study (NCT03222076) </w:t>
      </w:r>
      <w:r w:rsidRPr="007214E1">
        <w:rPr>
          <w:rFonts w:ascii="Book Antiqua" w:hAnsi="Book Antiqua"/>
        </w:rPr>
        <w:t xml:space="preserve">sponsored </w:t>
      </w:r>
      <w:r w:rsidR="00825BBA" w:rsidRPr="007214E1">
        <w:rPr>
          <w:rFonts w:ascii="Book Antiqua" w:hAnsi="Book Antiqua"/>
        </w:rPr>
        <w:t xml:space="preserve">by Anderson Cancer Center will randomize 45 patients with </w:t>
      </w:r>
      <w:proofErr w:type="spellStart"/>
      <w:r w:rsidR="00825BBA" w:rsidRPr="007214E1">
        <w:rPr>
          <w:rFonts w:ascii="Book Antiqua" w:hAnsi="Book Antiqua"/>
        </w:rPr>
        <w:t>resectable</w:t>
      </w:r>
      <w:proofErr w:type="spellEnd"/>
      <w:r w:rsidR="00825BBA" w:rsidRPr="007214E1">
        <w:rPr>
          <w:rFonts w:ascii="Book Antiqua" w:hAnsi="Book Antiqua"/>
        </w:rPr>
        <w:t xml:space="preserve"> HCC to receive adjuvant nivolumab or nivolumab plus ipilimumab prior to </w:t>
      </w:r>
      <w:proofErr w:type="gramStart"/>
      <w:r w:rsidR="00825BBA" w:rsidRPr="007214E1">
        <w:rPr>
          <w:rFonts w:ascii="Book Antiqua" w:hAnsi="Book Antiqua"/>
        </w:rPr>
        <w:t>resection</w:t>
      </w:r>
      <w:r w:rsidR="00825BBA" w:rsidRPr="007214E1">
        <w:rPr>
          <w:rFonts w:ascii="Book Antiqua" w:hAnsi="Book Antiqua"/>
          <w:vertAlign w:val="superscript"/>
        </w:rPr>
        <w:t>[</w:t>
      </w:r>
      <w:proofErr w:type="gramEnd"/>
      <w:r w:rsidR="00825BBA" w:rsidRPr="007214E1">
        <w:rPr>
          <w:rFonts w:ascii="Book Antiqua" w:hAnsi="Book Antiqua"/>
          <w:vertAlign w:val="superscript"/>
        </w:rPr>
        <w:t>34]</w:t>
      </w:r>
      <w:r w:rsidR="00825BBA" w:rsidRPr="007214E1">
        <w:rPr>
          <w:rFonts w:ascii="Book Antiqua" w:hAnsi="Book Antiqua"/>
        </w:rPr>
        <w:t xml:space="preserve">. </w:t>
      </w:r>
      <w:r w:rsidR="004731E6" w:rsidRPr="007214E1">
        <w:rPr>
          <w:rFonts w:ascii="Book Antiqua" w:hAnsi="Book Antiqua"/>
        </w:rPr>
        <w:t xml:space="preserve">If successful, further studies may explore whether neoadjuvant </w:t>
      </w:r>
      <w:r w:rsidR="004E53E0" w:rsidRPr="007214E1">
        <w:rPr>
          <w:rFonts w:ascii="Book Antiqua" w:hAnsi="Book Antiqua"/>
        </w:rPr>
        <w:t xml:space="preserve">nivolumab plus ipilimumab </w:t>
      </w:r>
      <w:r w:rsidR="004731E6" w:rsidRPr="007214E1">
        <w:rPr>
          <w:rFonts w:ascii="Book Antiqua" w:hAnsi="Book Antiqua"/>
        </w:rPr>
        <w:t>can decrease the high recurrence rate</w:t>
      </w:r>
      <w:r w:rsidR="00FF5CF3" w:rsidRPr="007214E1">
        <w:rPr>
          <w:rFonts w:ascii="Book Antiqua" w:hAnsi="Book Antiqua"/>
        </w:rPr>
        <w:t>s</w:t>
      </w:r>
      <w:r w:rsidR="004731E6" w:rsidRPr="007214E1">
        <w:rPr>
          <w:rFonts w:ascii="Book Antiqua" w:hAnsi="Book Antiqua"/>
        </w:rPr>
        <w:t xml:space="preserve"> </w:t>
      </w:r>
      <w:r w:rsidR="008D1DCB" w:rsidRPr="007214E1">
        <w:rPr>
          <w:rFonts w:ascii="Book Antiqua" w:hAnsi="Book Antiqua"/>
        </w:rPr>
        <w:t>observed</w:t>
      </w:r>
      <w:r w:rsidR="004731E6" w:rsidRPr="007214E1">
        <w:rPr>
          <w:rFonts w:ascii="Book Antiqua" w:hAnsi="Book Antiqua"/>
        </w:rPr>
        <w:t xml:space="preserve"> after surgical </w:t>
      </w:r>
      <w:proofErr w:type="gramStart"/>
      <w:r w:rsidR="004731E6" w:rsidRPr="007214E1">
        <w:rPr>
          <w:rFonts w:ascii="Book Antiqua" w:hAnsi="Book Antiqua"/>
        </w:rPr>
        <w:t>resection</w:t>
      </w:r>
      <w:r w:rsidR="004731E6" w:rsidRPr="007214E1">
        <w:rPr>
          <w:rFonts w:ascii="Book Antiqua" w:hAnsi="Book Antiqua"/>
          <w:vertAlign w:val="superscript"/>
        </w:rPr>
        <w:t>[</w:t>
      </w:r>
      <w:proofErr w:type="gramEnd"/>
      <w:r w:rsidR="004D3842" w:rsidRPr="007214E1">
        <w:rPr>
          <w:rFonts w:ascii="Book Antiqua" w:hAnsi="Book Antiqua"/>
          <w:vertAlign w:val="superscript"/>
        </w:rPr>
        <w:t>4,</w:t>
      </w:r>
      <w:r w:rsidR="00C0556C" w:rsidRPr="007214E1">
        <w:rPr>
          <w:rFonts w:ascii="Book Antiqua" w:hAnsi="Book Antiqua"/>
          <w:vertAlign w:val="superscript"/>
        </w:rPr>
        <w:t>5</w:t>
      </w:r>
      <w:r w:rsidR="004731E6" w:rsidRPr="007214E1">
        <w:rPr>
          <w:rFonts w:ascii="Book Antiqua" w:hAnsi="Book Antiqua"/>
          <w:vertAlign w:val="superscript"/>
        </w:rPr>
        <w:t>]</w:t>
      </w:r>
      <w:r w:rsidR="004731E6" w:rsidRPr="007214E1">
        <w:rPr>
          <w:rFonts w:ascii="Book Antiqua" w:hAnsi="Book Antiqua"/>
        </w:rPr>
        <w:t>.</w:t>
      </w:r>
    </w:p>
    <w:p w14:paraId="2AD6D3EB" w14:textId="0E8C9DC4" w:rsidR="00496BEA" w:rsidRPr="007214E1" w:rsidRDefault="00496BEA" w:rsidP="00EB43EE">
      <w:pPr>
        <w:snapToGrid w:val="0"/>
        <w:spacing w:line="360" w:lineRule="auto"/>
        <w:jc w:val="both"/>
        <w:rPr>
          <w:rFonts w:ascii="Book Antiqua" w:hAnsi="Book Antiqua"/>
          <w:i/>
        </w:rPr>
      </w:pPr>
    </w:p>
    <w:p w14:paraId="49329781" w14:textId="05B682D8" w:rsidR="00D95467" w:rsidRPr="007214E1" w:rsidRDefault="00496BEA" w:rsidP="00EB43EE">
      <w:pPr>
        <w:snapToGrid w:val="0"/>
        <w:spacing w:line="360" w:lineRule="auto"/>
        <w:jc w:val="both"/>
        <w:rPr>
          <w:rFonts w:ascii="Book Antiqua" w:hAnsi="Book Antiqua"/>
          <w:b/>
          <w:i/>
        </w:rPr>
      </w:pPr>
      <w:proofErr w:type="spellStart"/>
      <w:r w:rsidRPr="007214E1">
        <w:rPr>
          <w:rFonts w:ascii="Book Antiqua" w:hAnsi="Book Antiqua"/>
          <w:b/>
          <w:i/>
        </w:rPr>
        <w:t>D</w:t>
      </w:r>
      <w:r w:rsidR="00114DF1" w:rsidRPr="007214E1">
        <w:rPr>
          <w:rFonts w:ascii="Book Antiqua" w:hAnsi="Book Antiqua"/>
          <w:b/>
          <w:i/>
        </w:rPr>
        <w:t>urvalumab</w:t>
      </w:r>
      <w:proofErr w:type="spellEnd"/>
      <w:r w:rsidRPr="007214E1">
        <w:rPr>
          <w:rFonts w:ascii="Book Antiqua" w:hAnsi="Book Antiqua"/>
          <w:b/>
          <w:i/>
        </w:rPr>
        <w:t xml:space="preserve"> </w:t>
      </w:r>
      <w:r w:rsidR="004D3842" w:rsidRPr="007214E1">
        <w:rPr>
          <w:rFonts w:ascii="Book Antiqua" w:hAnsi="Book Antiqua"/>
          <w:b/>
          <w:i/>
        </w:rPr>
        <w:t xml:space="preserve">plus </w:t>
      </w:r>
      <w:proofErr w:type="spellStart"/>
      <w:r w:rsidR="004D3842" w:rsidRPr="007214E1">
        <w:rPr>
          <w:rFonts w:ascii="Book Antiqua" w:hAnsi="Book Antiqua"/>
          <w:b/>
          <w:i/>
        </w:rPr>
        <w:t>tremelimumab</w:t>
      </w:r>
      <w:proofErr w:type="spellEnd"/>
    </w:p>
    <w:p w14:paraId="3B8374B1" w14:textId="24C55F15" w:rsidR="003271FD" w:rsidRPr="007214E1" w:rsidRDefault="00496BEA" w:rsidP="00EB43EE">
      <w:pPr>
        <w:snapToGrid w:val="0"/>
        <w:spacing w:line="360" w:lineRule="auto"/>
        <w:jc w:val="both"/>
        <w:rPr>
          <w:rFonts w:ascii="Book Antiqua" w:hAnsi="Book Antiqua"/>
        </w:rPr>
      </w:pPr>
      <w:r w:rsidRPr="007214E1">
        <w:rPr>
          <w:rFonts w:ascii="Book Antiqua" w:hAnsi="Book Antiqua"/>
        </w:rPr>
        <w:t xml:space="preserve">The combination of </w:t>
      </w:r>
      <w:proofErr w:type="spellStart"/>
      <w:r w:rsidRPr="007214E1">
        <w:rPr>
          <w:rFonts w:ascii="Book Antiqua" w:hAnsi="Book Antiqua"/>
        </w:rPr>
        <w:t>durvalumab</w:t>
      </w:r>
      <w:proofErr w:type="spellEnd"/>
      <w:r w:rsidRPr="007214E1">
        <w:rPr>
          <w:rFonts w:ascii="Book Antiqua" w:hAnsi="Book Antiqua"/>
        </w:rPr>
        <w:t xml:space="preserve"> and </w:t>
      </w:r>
      <w:proofErr w:type="spellStart"/>
      <w:r w:rsidRPr="007214E1">
        <w:rPr>
          <w:rFonts w:ascii="Book Antiqua" w:hAnsi="Book Antiqua"/>
        </w:rPr>
        <w:t>tremelimumab</w:t>
      </w:r>
      <w:proofErr w:type="spellEnd"/>
      <w:r w:rsidRPr="007214E1">
        <w:rPr>
          <w:rFonts w:ascii="Book Antiqua" w:hAnsi="Book Antiqua"/>
        </w:rPr>
        <w:t xml:space="preserve"> w</w:t>
      </w:r>
      <w:r w:rsidR="00AA0E18" w:rsidRPr="007214E1">
        <w:rPr>
          <w:rFonts w:ascii="Book Antiqua" w:hAnsi="Book Antiqua"/>
        </w:rPr>
        <w:t xml:space="preserve">as </w:t>
      </w:r>
      <w:r w:rsidRPr="007214E1">
        <w:rPr>
          <w:rFonts w:ascii="Book Antiqua" w:hAnsi="Book Antiqua"/>
        </w:rPr>
        <w:t>studied in a phase I/II trial</w:t>
      </w:r>
      <w:r w:rsidR="006F41C8" w:rsidRPr="007214E1">
        <w:rPr>
          <w:rFonts w:ascii="Book Antiqua" w:hAnsi="Book Antiqua"/>
        </w:rPr>
        <w:t xml:space="preserve"> (</w:t>
      </w:r>
      <w:r w:rsidR="006F41C8" w:rsidRPr="007214E1">
        <w:rPr>
          <w:rFonts w:ascii="Book Antiqua" w:hAnsi="Book Antiqua"/>
          <w:color w:val="000000"/>
          <w:shd w:val="clear" w:color="auto" w:fill="FFFFFF"/>
        </w:rPr>
        <w:t>NCT02519348</w:t>
      </w:r>
      <w:r w:rsidR="006F41C8" w:rsidRPr="007214E1">
        <w:rPr>
          <w:rFonts w:ascii="Book Antiqua" w:hAnsi="Book Antiqua"/>
        </w:rPr>
        <w:t xml:space="preserve">) </w:t>
      </w:r>
      <w:r w:rsidRPr="007214E1">
        <w:rPr>
          <w:rFonts w:ascii="Book Antiqua" w:hAnsi="Book Antiqua"/>
        </w:rPr>
        <w:t xml:space="preserve">in patients with unresectable </w:t>
      </w:r>
      <w:proofErr w:type="gramStart"/>
      <w:r w:rsidRPr="007214E1">
        <w:rPr>
          <w:rFonts w:ascii="Book Antiqua" w:hAnsi="Book Antiqua"/>
        </w:rPr>
        <w:t>HCC</w:t>
      </w:r>
      <w:r w:rsidRPr="007214E1">
        <w:rPr>
          <w:rFonts w:ascii="Book Antiqua" w:hAnsi="Book Antiqua"/>
          <w:vertAlign w:val="superscript"/>
        </w:rPr>
        <w:t>[</w:t>
      </w:r>
      <w:proofErr w:type="gramEnd"/>
      <w:r w:rsidR="00FF5CF3" w:rsidRPr="007214E1">
        <w:rPr>
          <w:rFonts w:ascii="Book Antiqua" w:hAnsi="Book Antiqua"/>
          <w:vertAlign w:val="superscript"/>
        </w:rPr>
        <w:t>37</w:t>
      </w:r>
      <w:r w:rsidRPr="007214E1">
        <w:rPr>
          <w:rFonts w:ascii="Book Antiqua" w:hAnsi="Book Antiqua"/>
          <w:vertAlign w:val="superscript"/>
        </w:rPr>
        <w:t>]</w:t>
      </w:r>
      <w:r w:rsidRPr="007214E1">
        <w:rPr>
          <w:rFonts w:ascii="Book Antiqua" w:hAnsi="Book Antiqua"/>
        </w:rPr>
        <w:t xml:space="preserve">. The safety profile was deemed tolerable and an ORR of </w:t>
      </w:r>
      <w:r w:rsidR="00BD411D" w:rsidRPr="007214E1">
        <w:rPr>
          <w:rFonts w:ascii="Book Antiqua" w:hAnsi="Book Antiqua"/>
        </w:rPr>
        <w:t>15</w:t>
      </w:r>
      <w:r w:rsidRPr="007214E1">
        <w:rPr>
          <w:rFonts w:ascii="Book Antiqua" w:hAnsi="Book Antiqua"/>
        </w:rPr>
        <w:t>% was noted</w:t>
      </w:r>
      <w:r w:rsidR="00DE71C6" w:rsidRPr="007214E1">
        <w:rPr>
          <w:rFonts w:ascii="Book Antiqua" w:hAnsi="Book Antiqua"/>
        </w:rPr>
        <w:t xml:space="preserve">, according to results from the </w:t>
      </w:r>
      <w:r w:rsidR="00DE71C6" w:rsidRPr="007214E1">
        <w:rPr>
          <w:rFonts w:ascii="Book Antiqua" w:hAnsi="Book Antiqua"/>
        </w:rPr>
        <w:lastRenderedPageBreak/>
        <w:t xml:space="preserve">phase I portion of the </w:t>
      </w:r>
      <w:proofErr w:type="gramStart"/>
      <w:r w:rsidR="00DE71C6" w:rsidRPr="007214E1">
        <w:rPr>
          <w:rFonts w:ascii="Book Antiqua" w:hAnsi="Book Antiqua"/>
        </w:rPr>
        <w:t>study</w:t>
      </w:r>
      <w:r w:rsidR="00BD411D" w:rsidRPr="007214E1">
        <w:rPr>
          <w:rFonts w:ascii="Book Antiqua" w:hAnsi="Book Antiqua"/>
          <w:vertAlign w:val="superscript"/>
        </w:rPr>
        <w:t>[</w:t>
      </w:r>
      <w:proofErr w:type="gramEnd"/>
      <w:r w:rsidR="00DE71C6" w:rsidRPr="007214E1">
        <w:rPr>
          <w:rFonts w:ascii="Book Antiqua" w:hAnsi="Book Antiqua"/>
          <w:vertAlign w:val="superscript"/>
        </w:rPr>
        <w:t>37</w:t>
      </w:r>
      <w:r w:rsidR="00BD411D" w:rsidRPr="007214E1">
        <w:rPr>
          <w:rFonts w:ascii="Book Antiqua" w:hAnsi="Book Antiqua"/>
          <w:vertAlign w:val="superscript"/>
        </w:rPr>
        <w:t>]</w:t>
      </w:r>
      <w:r w:rsidR="001F1560" w:rsidRPr="007214E1">
        <w:rPr>
          <w:rFonts w:ascii="Book Antiqua" w:eastAsia="宋体" w:hAnsi="Book Antiqua"/>
          <w:lang w:eastAsia="zh-CN"/>
        </w:rPr>
        <w:t xml:space="preserve"> (Table 2)</w:t>
      </w:r>
      <w:r w:rsidRPr="007214E1">
        <w:rPr>
          <w:rFonts w:ascii="Book Antiqua" w:hAnsi="Book Antiqua"/>
        </w:rPr>
        <w:t xml:space="preserve">. </w:t>
      </w:r>
      <w:r w:rsidR="00DE71C6" w:rsidRPr="007214E1">
        <w:rPr>
          <w:rFonts w:ascii="Book Antiqua" w:hAnsi="Book Antiqua"/>
        </w:rPr>
        <w:t>Common adverse effects included</w:t>
      </w:r>
      <w:r w:rsidR="003271FD" w:rsidRPr="007214E1">
        <w:rPr>
          <w:rFonts w:ascii="Book Antiqua" w:hAnsi="Book Antiqua"/>
        </w:rPr>
        <w:t xml:space="preserve"> pruritus, fatigue, and elevated transaminases, </w:t>
      </w:r>
      <w:r w:rsidR="00DE71C6" w:rsidRPr="007214E1">
        <w:rPr>
          <w:rFonts w:ascii="Book Antiqua" w:hAnsi="Book Antiqua"/>
        </w:rPr>
        <w:t>which are</w:t>
      </w:r>
      <w:r w:rsidR="003271FD" w:rsidRPr="007214E1">
        <w:rPr>
          <w:rFonts w:ascii="Book Antiqua" w:hAnsi="Book Antiqua"/>
        </w:rPr>
        <w:t xml:space="preserve"> similar to those </w:t>
      </w:r>
      <w:r w:rsidR="00DE71C6" w:rsidRPr="007214E1">
        <w:rPr>
          <w:rFonts w:ascii="Book Antiqua" w:hAnsi="Book Antiqua"/>
        </w:rPr>
        <w:t>noted in patients treated with</w:t>
      </w:r>
      <w:r w:rsidR="003271FD" w:rsidRPr="007214E1">
        <w:rPr>
          <w:rFonts w:ascii="Book Antiqua" w:hAnsi="Book Antiqua"/>
        </w:rPr>
        <w:t xml:space="preserve"> durvalumab in phase II </w:t>
      </w:r>
      <w:proofErr w:type="gramStart"/>
      <w:r w:rsidR="003271FD" w:rsidRPr="007214E1">
        <w:rPr>
          <w:rFonts w:ascii="Book Antiqua" w:hAnsi="Book Antiqua"/>
        </w:rPr>
        <w:t>studies</w:t>
      </w:r>
      <w:r w:rsidR="003271FD" w:rsidRPr="007214E1">
        <w:rPr>
          <w:rFonts w:ascii="Book Antiqua" w:hAnsi="Book Antiqua"/>
          <w:vertAlign w:val="superscript"/>
        </w:rPr>
        <w:t>[</w:t>
      </w:r>
      <w:proofErr w:type="gramEnd"/>
      <w:r w:rsidR="00504563" w:rsidRPr="007214E1">
        <w:rPr>
          <w:rFonts w:ascii="Book Antiqua" w:hAnsi="Book Antiqua"/>
          <w:vertAlign w:val="superscript"/>
        </w:rPr>
        <w:t>2</w:t>
      </w:r>
      <w:r w:rsidR="00E838D5" w:rsidRPr="007214E1">
        <w:rPr>
          <w:rFonts w:ascii="Book Antiqua" w:hAnsi="Book Antiqua"/>
          <w:vertAlign w:val="superscript"/>
        </w:rPr>
        <w:t>1</w:t>
      </w:r>
      <w:r w:rsidR="00504563" w:rsidRPr="007214E1">
        <w:rPr>
          <w:rFonts w:ascii="Book Antiqua" w:hAnsi="Book Antiqua"/>
          <w:vertAlign w:val="superscript"/>
        </w:rPr>
        <w:t>,</w:t>
      </w:r>
      <w:r w:rsidR="00DE71C6" w:rsidRPr="007214E1">
        <w:rPr>
          <w:rFonts w:ascii="Book Antiqua" w:hAnsi="Book Antiqua"/>
          <w:vertAlign w:val="superscript"/>
        </w:rPr>
        <w:t>37</w:t>
      </w:r>
      <w:r w:rsidR="003271FD" w:rsidRPr="007214E1">
        <w:rPr>
          <w:rFonts w:ascii="Book Antiqua" w:hAnsi="Book Antiqua"/>
          <w:vertAlign w:val="superscript"/>
        </w:rPr>
        <w:t>]</w:t>
      </w:r>
      <w:r w:rsidR="003271FD" w:rsidRPr="007214E1">
        <w:rPr>
          <w:rFonts w:ascii="Book Antiqua" w:hAnsi="Book Antiqua"/>
        </w:rPr>
        <w:t xml:space="preserve">. </w:t>
      </w:r>
      <w:r w:rsidR="006F41C8" w:rsidRPr="007214E1">
        <w:rPr>
          <w:rFonts w:ascii="Book Antiqua" w:hAnsi="Book Antiqua"/>
        </w:rPr>
        <w:t xml:space="preserve">The phase II portion of the study seeks to </w:t>
      </w:r>
      <w:r w:rsidR="00ED2D60" w:rsidRPr="007214E1">
        <w:rPr>
          <w:rFonts w:ascii="Book Antiqua" w:hAnsi="Book Antiqua"/>
        </w:rPr>
        <w:t>evaluate</w:t>
      </w:r>
      <w:r w:rsidR="00E838D5" w:rsidRPr="007214E1">
        <w:rPr>
          <w:rFonts w:ascii="Book Antiqua" w:hAnsi="Book Antiqua"/>
        </w:rPr>
        <w:t xml:space="preserve"> the safety and feasibility of</w:t>
      </w:r>
      <w:r w:rsidR="006F41C8" w:rsidRPr="007214E1">
        <w:rPr>
          <w:rFonts w:ascii="Book Antiqua" w:hAnsi="Book Antiqua"/>
        </w:rPr>
        <w:t xml:space="preserve"> </w:t>
      </w:r>
      <w:proofErr w:type="spellStart"/>
      <w:r w:rsidR="006F41C8" w:rsidRPr="007214E1">
        <w:rPr>
          <w:rFonts w:ascii="Book Antiqua" w:hAnsi="Book Antiqua"/>
        </w:rPr>
        <w:t>durvalumab</w:t>
      </w:r>
      <w:proofErr w:type="spellEnd"/>
      <w:r w:rsidR="006F41C8" w:rsidRPr="007214E1">
        <w:rPr>
          <w:rFonts w:ascii="Book Antiqua" w:hAnsi="Book Antiqua"/>
        </w:rPr>
        <w:t xml:space="preserve"> plus </w:t>
      </w:r>
      <w:proofErr w:type="spellStart"/>
      <w:r w:rsidR="006F41C8" w:rsidRPr="007214E1">
        <w:rPr>
          <w:rFonts w:ascii="Book Antiqua" w:hAnsi="Book Antiqua"/>
        </w:rPr>
        <w:t>tremelimumab</w:t>
      </w:r>
      <w:proofErr w:type="spellEnd"/>
      <w:r w:rsidR="00BE5212" w:rsidRPr="007214E1">
        <w:rPr>
          <w:rFonts w:ascii="Book Antiqua" w:hAnsi="Book Antiqua"/>
        </w:rPr>
        <w:t xml:space="preserve"> as second-line </w:t>
      </w:r>
      <w:proofErr w:type="gramStart"/>
      <w:r w:rsidR="00BE5212" w:rsidRPr="007214E1">
        <w:rPr>
          <w:rFonts w:ascii="Book Antiqua" w:hAnsi="Book Antiqua"/>
        </w:rPr>
        <w:t>therapy</w:t>
      </w:r>
      <w:r w:rsidR="00293A47" w:rsidRPr="007214E1">
        <w:rPr>
          <w:rFonts w:ascii="Book Antiqua" w:hAnsi="Book Antiqua"/>
          <w:vertAlign w:val="superscript"/>
        </w:rPr>
        <w:t>[</w:t>
      </w:r>
      <w:proofErr w:type="gramEnd"/>
      <w:r w:rsidR="00E838D5" w:rsidRPr="007214E1">
        <w:rPr>
          <w:rFonts w:ascii="Book Antiqua" w:hAnsi="Book Antiqua"/>
          <w:vertAlign w:val="superscript"/>
        </w:rPr>
        <w:t>38</w:t>
      </w:r>
      <w:r w:rsidR="006F41C8" w:rsidRPr="007214E1">
        <w:rPr>
          <w:rFonts w:ascii="Book Antiqua" w:hAnsi="Book Antiqua"/>
          <w:vertAlign w:val="superscript"/>
        </w:rPr>
        <w:t>]</w:t>
      </w:r>
      <w:r w:rsidR="001F1560" w:rsidRPr="007214E1">
        <w:rPr>
          <w:rFonts w:ascii="Book Antiqua" w:eastAsia="宋体" w:hAnsi="Book Antiqua"/>
          <w:lang w:eastAsia="zh-CN"/>
        </w:rPr>
        <w:t xml:space="preserve"> (Table 3)</w:t>
      </w:r>
      <w:r w:rsidR="006F41C8" w:rsidRPr="007214E1">
        <w:rPr>
          <w:rFonts w:ascii="Book Antiqua" w:hAnsi="Book Antiqua"/>
        </w:rPr>
        <w:t xml:space="preserve">. </w:t>
      </w:r>
      <w:r w:rsidR="00ED2D60" w:rsidRPr="007214E1">
        <w:rPr>
          <w:rFonts w:ascii="Book Antiqua" w:hAnsi="Book Antiqua"/>
        </w:rPr>
        <w:t>This study will randomize 433 patients into five separate arms, in which patients with</w:t>
      </w:r>
      <w:r w:rsidR="0023426F" w:rsidRPr="007214E1">
        <w:rPr>
          <w:rFonts w:ascii="Book Antiqua" w:hAnsi="Book Antiqua"/>
        </w:rPr>
        <w:t xml:space="preserve"> advanced HCC will</w:t>
      </w:r>
      <w:r w:rsidR="00ED2D60" w:rsidRPr="007214E1">
        <w:rPr>
          <w:rFonts w:ascii="Book Antiqua" w:hAnsi="Book Antiqua"/>
        </w:rPr>
        <w:t xml:space="preserve"> receive </w:t>
      </w:r>
      <w:r w:rsidR="0023426F" w:rsidRPr="007214E1">
        <w:rPr>
          <w:rFonts w:ascii="Book Antiqua" w:hAnsi="Book Antiqua"/>
        </w:rPr>
        <w:t xml:space="preserve">either </w:t>
      </w:r>
      <w:proofErr w:type="spellStart"/>
      <w:r w:rsidR="00ED2D60" w:rsidRPr="007214E1">
        <w:rPr>
          <w:rFonts w:ascii="Book Antiqua" w:hAnsi="Book Antiqua"/>
        </w:rPr>
        <w:t>durvalumab</w:t>
      </w:r>
      <w:proofErr w:type="spellEnd"/>
      <w:r w:rsidR="00ED2D60" w:rsidRPr="007214E1">
        <w:rPr>
          <w:rFonts w:ascii="Book Antiqua" w:hAnsi="Book Antiqua"/>
        </w:rPr>
        <w:t xml:space="preserve"> or </w:t>
      </w:r>
      <w:proofErr w:type="spellStart"/>
      <w:r w:rsidR="00ED2D60" w:rsidRPr="007214E1">
        <w:rPr>
          <w:rFonts w:ascii="Book Antiqua" w:hAnsi="Book Antiqua"/>
        </w:rPr>
        <w:t>tremelimumab</w:t>
      </w:r>
      <w:proofErr w:type="spellEnd"/>
      <w:r w:rsidR="00ED2D60" w:rsidRPr="007214E1">
        <w:rPr>
          <w:rFonts w:ascii="Book Antiqua" w:hAnsi="Book Antiqua"/>
        </w:rPr>
        <w:t xml:space="preserve"> alone,</w:t>
      </w:r>
      <w:r w:rsidR="0023426F" w:rsidRPr="007214E1">
        <w:rPr>
          <w:rFonts w:ascii="Book Antiqua" w:hAnsi="Book Antiqua"/>
        </w:rPr>
        <w:t xml:space="preserve"> </w:t>
      </w:r>
      <w:proofErr w:type="spellStart"/>
      <w:r w:rsidR="00ED2D60" w:rsidRPr="007214E1">
        <w:rPr>
          <w:rFonts w:ascii="Book Antiqua" w:hAnsi="Book Antiqua"/>
        </w:rPr>
        <w:t>durvalumab</w:t>
      </w:r>
      <w:proofErr w:type="spellEnd"/>
      <w:r w:rsidR="00ED2D60" w:rsidRPr="007214E1">
        <w:rPr>
          <w:rFonts w:ascii="Book Antiqua" w:hAnsi="Book Antiqua"/>
        </w:rPr>
        <w:t xml:space="preserve"> plus </w:t>
      </w:r>
      <w:proofErr w:type="spellStart"/>
      <w:r w:rsidR="00ED2D60" w:rsidRPr="007214E1">
        <w:rPr>
          <w:rFonts w:ascii="Book Antiqua" w:hAnsi="Book Antiqua"/>
        </w:rPr>
        <w:t>tremelimumab</w:t>
      </w:r>
      <w:proofErr w:type="spellEnd"/>
      <w:r w:rsidR="00ED2D60" w:rsidRPr="007214E1">
        <w:rPr>
          <w:rFonts w:ascii="Book Antiqua" w:hAnsi="Book Antiqua"/>
        </w:rPr>
        <w:t xml:space="preserve">, or </w:t>
      </w:r>
      <w:proofErr w:type="spellStart"/>
      <w:r w:rsidR="00ED2D60" w:rsidRPr="007214E1">
        <w:rPr>
          <w:rFonts w:ascii="Book Antiqua" w:hAnsi="Book Antiqua"/>
        </w:rPr>
        <w:t>durvalumab</w:t>
      </w:r>
      <w:proofErr w:type="spellEnd"/>
      <w:r w:rsidR="00ED2D60" w:rsidRPr="007214E1">
        <w:rPr>
          <w:rFonts w:ascii="Book Antiqua" w:hAnsi="Book Antiqua"/>
        </w:rPr>
        <w:t xml:space="preserve"> plus </w:t>
      </w:r>
      <w:proofErr w:type="spellStart"/>
      <w:proofErr w:type="gramStart"/>
      <w:r w:rsidR="00ED2D60" w:rsidRPr="007214E1">
        <w:rPr>
          <w:rFonts w:ascii="Book Antiqua" w:hAnsi="Book Antiqua"/>
        </w:rPr>
        <w:t>bevacizumab</w:t>
      </w:r>
      <w:proofErr w:type="spellEnd"/>
      <w:r w:rsidR="00ED2D60" w:rsidRPr="007214E1">
        <w:rPr>
          <w:rFonts w:ascii="Book Antiqua" w:hAnsi="Book Antiqua"/>
          <w:vertAlign w:val="superscript"/>
        </w:rPr>
        <w:t>[</w:t>
      </w:r>
      <w:proofErr w:type="gramEnd"/>
      <w:r w:rsidR="00E838D5" w:rsidRPr="007214E1">
        <w:rPr>
          <w:rFonts w:ascii="Book Antiqua" w:hAnsi="Book Antiqua"/>
          <w:vertAlign w:val="superscript"/>
        </w:rPr>
        <w:t>38</w:t>
      </w:r>
      <w:r w:rsidR="00ED2D60" w:rsidRPr="007214E1">
        <w:rPr>
          <w:rFonts w:ascii="Book Antiqua" w:hAnsi="Book Antiqua"/>
          <w:vertAlign w:val="superscript"/>
        </w:rPr>
        <w:t>]</w:t>
      </w:r>
      <w:r w:rsidR="00ED2D60" w:rsidRPr="007214E1">
        <w:rPr>
          <w:rFonts w:ascii="Book Antiqua" w:hAnsi="Book Antiqua"/>
        </w:rPr>
        <w:t>.</w:t>
      </w:r>
      <w:r w:rsidR="0023426F" w:rsidRPr="007214E1">
        <w:rPr>
          <w:rFonts w:ascii="Book Antiqua" w:hAnsi="Book Antiqua"/>
        </w:rPr>
        <w:t xml:space="preserve"> Two arms of the study will compare different regimens of </w:t>
      </w:r>
      <w:proofErr w:type="spellStart"/>
      <w:r w:rsidR="0023426F" w:rsidRPr="007214E1">
        <w:rPr>
          <w:rFonts w:ascii="Book Antiqua" w:hAnsi="Book Antiqua"/>
        </w:rPr>
        <w:t>durvalumab</w:t>
      </w:r>
      <w:proofErr w:type="spellEnd"/>
      <w:r w:rsidR="0023426F" w:rsidRPr="007214E1">
        <w:rPr>
          <w:rFonts w:ascii="Book Antiqua" w:hAnsi="Book Antiqua"/>
        </w:rPr>
        <w:t xml:space="preserve"> plus </w:t>
      </w:r>
      <w:proofErr w:type="spellStart"/>
      <w:proofErr w:type="gramStart"/>
      <w:r w:rsidR="0023426F" w:rsidRPr="007214E1">
        <w:rPr>
          <w:rFonts w:ascii="Book Antiqua" w:hAnsi="Book Antiqua"/>
        </w:rPr>
        <w:t>tremelimumab</w:t>
      </w:r>
      <w:proofErr w:type="spellEnd"/>
      <w:r w:rsidR="0023426F" w:rsidRPr="007214E1">
        <w:rPr>
          <w:rFonts w:ascii="Book Antiqua" w:hAnsi="Book Antiqua"/>
          <w:vertAlign w:val="superscript"/>
        </w:rPr>
        <w:t>[</w:t>
      </w:r>
      <w:proofErr w:type="gramEnd"/>
      <w:r w:rsidR="00E838D5" w:rsidRPr="007214E1">
        <w:rPr>
          <w:rFonts w:ascii="Book Antiqua" w:hAnsi="Book Antiqua"/>
          <w:vertAlign w:val="superscript"/>
        </w:rPr>
        <w:t>38</w:t>
      </w:r>
      <w:r w:rsidR="0023426F" w:rsidRPr="007214E1">
        <w:rPr>
          <w:rFonts w:ascii="Book Antiqua" w:hAnsi="Book Antiqua"/>
          <w:vertAlign w:val="superscript"/>
        </w:rPr>
        <w:t>]</w:t>
      </w:r>
      <w:r w:rsidR="0023426F" w:rsidRPr="007214E1">
        <w:rPr>
          <w:rFonts w:ascii="Book Antiqua" w:hAnsi="Book Antiqua"/>
        </w:rPr>
        <w:t xml:space="preserve">. </w:t>
      </w:r>
      <w:r w:rsidR="005F12F1" w:rsidRPr="007214E1">
        <w:rPr>
          <w:rFonts w:ascii="Book Antiqua" w:hAnsi="Book Antiqua"/>
        </w:rPr>
        <w:t>Additional active studies involving this combination include the</w:t>
      </w:r>
      <w:r w:rsidRPr="007214E1">
        <w:rPr>
          <w:rFonts w:ascii="Book Antiqua" w:hAnsi="Book Antiqua"/>
        </w:rPr>
        <w:t xml:space="preserve"> phase III </w:t>
      </w:r>
      <w:r w:rsidR="00411A65" w:rsidRPr="007214E1">
        <w:rPr>
          <w:rFonts w:ascii="Book Antiqua" w:hAnsi="Book Antiqua"/>
        </w:rPr>
        <w:t xml:space="preserve">HIMALAYA </w:t>
      </w:r>
      <w:r w:rsidRPr="007214E1">
        <w:rPr>
          <w:rFonts w:ascii="Book Antiqua" w:hAnsi="Book Antiqua"/>
        </w:rPr>
        <w:t>clinical trial</w:t>
      </w:r>
      <w:r w:rsidR="00AA0E18" w:rsidRPr="007214E1">
        <w:rPr>
          <w:rFonts w:ascii="Book Antiqua" w:hAnsi="Book Antiqua"/>
        </w:rPr>
        <w:t xml:space="preserve"> (</w:t>
      </w:r>
      <w:r w:rsidR="00AA0E18" w:rsidRPr="007214E1">
        <w:rPr>
          <w:rFonts w:ascii="Book Antiqua" w:hAnsi="Book Antiqua"/>
          <w:color w:val="000000"/>
          <w:shd w:val="clear" w:color="auto" w:fill="FFFFFF"/>
        </w:rPr>
        <w:t>NCT03298451</w:t>
      </w:r>
      <w:r w:rsidR="00AA0E18" w:rsidRPr="007214E1">
        <w:rPr>
          <w:rFonts w:ascii="Book Antiqua" w:hAnsi="Book Antiqua"/>
        </w:rPr>
        <w:t>)</w:t>
      </w:r>
      <w:r w:rsidR="005F12F1" w:rsidRPr="007214E1">
        <w:rPr>
          <w:rFonts w:ascii="Book Antiqua" w:hAnsi="Book Antiqua"/>
        </w:rPr>
        <w:t xml:space="preserve"> which</w:t>
      </w:r>
      <w:r w:rsidR="0023426F" w:rsidRPr="007214E1">
        <w:rPr>
          <w:rFonts w:ascii="Book Antiqua" w:hAnsi="Book Antiqua"/>
        </w:rPr>
        <w:t xml:space="preserve"> will compare </w:t>
      </w:r>
      <w:proofErr w:type="spellStart"/>
      <w:r w:rsidR="0023426F" w:rsidRPr="007214E1">
        <w:rPr>
          <w:rFonts w:ascii="Book Antiqua" w:hAnsi="Book Antiqua"/>
        </w:rPr>
        <w:t>durvalumab</w:t>
      </w:r>
      <w:proofErr w:type="spellEnd"/>
      <w:r w:rsidR="0023426F" w:rsidRPr="007214E1">
        <w:rPr>
          <w:rFonts w:ascii="Book Antiqua" w:hAnsi="Book Antiqua"/>
        </w:rPr>
        <w:t xml:space="preserve"> plus </w:t>
      </w:r>
      <w:proofErr w:type="spellStart"/>
      <w:r w:rsidR="0023426F" w:rsidRPr="007214E1">
        <w:rPr>
          <w:rFonts w:ascii="Book Antiqua" w:hAnsi="Book Antiqua"/>
        </w:rPr>
        <w:t>tremelimumab</w:t>
      </w:r>
      <w:proofErr w:type="spellEnd"/>
      <w:r w:rsidR="0023426F" w:rsidRPr="007214E1">
        <w:rPr>
          <w:rFonts w:ascii="Book Antiqua" w:hAnsi="Book Antiqua"/>
        </w:rPr>
        <w:t xml:space="preserve"> to </w:t>
      </w:r>
      <w:proofErr w:type="spellStart"/>
      <w:r w:rsidR="0023426F" w:rsidRPr="007214E1">
        <w:rPr>
          <w:rFonts w:ascii="Book Antiqua" w:hAnsi="Book Antiqua"/>
        </w:rPr>
        <w:t>sorafenib</w:t>
      </w:r>
      <w:proofErr w:type="spellEnd"/>
      <w:r w:rsidR="0023426F" w:rsidRPr="007214E1">
        <w:rPr>
          <w:rFonts w:ascii="Book Antiqua" w:hAnsi="Book Antiqua"/>
        </w:rPr>
        <w:t xml:space="preserve"> or </w:t>
      </w:r>
      <w:proofErr w:type="spellStart"/>
      <w:r w:rsidR="0023426F" w:rsidRPr="007214E1">
        <w:rPr>
          <w:rFonts w:ascii="Book Antiqua" w:hAnsi="Book Antiqua"/>
        </w:rPr>
        <w:t>durvalumab</w:t>
      </w:r>
      <w:proofErr w:type="spellEnd"/>
      <w:r w:rsidR="0023426F" w:rsidRPr="007214E1">
        <w:rPr>
          <w:rFonts w:ascii="Book Antiqua" w:hAnsi="Book Antiqua"/>
        </w:rPr>
        <w:t xml:space="preserve"> alone as first-line therapy in </w:t>
      </w:r>
      <w:r w:rsidR="005F12F1" w:rsidRPr="007214E1">
        <w:rPr>
          <w:rFonts w:ascii="Book Antiqua" w:hAnsi="Book Antiqua"/>
        </w:rPr>
        <w:t xml:space="preserve">approximately </w:t>
      </w:r>
      <w:r w:rsidR="0023426F" w:rsidRPr="007214E1">
        <w:rPr>
          <w:rFonts w:ascii="Book Antiqua" w:hAnsi="Book Antiqua"/>
        </w:rPr>
        <w:t>13</w:t>
      </w:r>
      <w:r w:rsidR="005F12F1" w:rsidRPr="007214E1">
        <w:rPr>
          <w:rFonts w:ascii="Book Antiqua" w:hAnsi="Book Antiqua"/>
        </w:rPr>
        <w:t>1</w:t>
      </w:r>
      <w:r w:rsidR="0023426F" w:rsidRPr="007214E1">
        <w:rPr>
          <w:rFonts w:ascii="Book Antiqua" w:hAnsi="Book Antiqua"/>
        </w:rPr>
        <w:t xml:space="preserve">0 advanced HCC patients from </w:t>
      </w:r>
      <w:r w:rsidR="005F12F1" w:rsidRPr="007214E1">
        <w:rPr>
          <w:rFonts w:ascii="Book Antiqua" w:hAnsi="Book Antiqua"/>
        </w:rPr>
        <w:t>multiple</w:t>
      </w:r>
      <w:r w:rsidR="0023426F" w:rsidRPr="007214E1">
        <w:rPr>
          <w:rFonts w:ascii="Book Antiqua" w:hAnsi="Book Antiqua"/>
        </w:rPr>
        <w:t xml:space="preserve"> countries</w:t>
      </w:r>
      <w:r w:rsidR="0023426F" w:rsidRPr="007214E1">
        <w:rPr>
          <w:rFonts w:ascii="Book Antiqua" w:hAnsi="Book Antiqua"/>
          <w:vertAlign w:val="superscript"/>
        </w:rPr>
        <w:t>[</w:t>
      </w:r>
      <w:r w:rsidR="005F12F1" w:rsidRPr="007214E1">
        <w:rPr>
          <w:rFonts w:ascii="Book Antiqua" w:hAnsi="Book Antiqua"/>
          <w:vertAlign w:val="superscript"/>
        </w:rPr>
        <w:t>39</w:t>
      </w:r>
      <w:r w:rsidR="0023426F" w:rsidRPr="007214E1">
        <w:rPr>
          <w:rFonts w:ascii="Book Antiqua" w:hAnsi="Book Antiqua"/>
          <w:vertAlign w:val="superscript"/>
        </w:rPr>
        <w:t>]</w:t>
      </w:r>
      <w:r w:rsidR="001F1560" w:rsidRPr="007214E1">
        <w:rPr>
          <w:rFonts w:ascii="Book Antiqua" w:eastAsia="宋体" w:hAnsi="Book Antiqua"/>
          <w:vertAlign w:val="superscript"/>
          <w:lang w:eastAsia="zh-CN"/>
        </w:rPr>
        <w:t xml:space="preserve"> </w:t>
      </w:r>
      <w:r w:rsidR="001F1560" w:rsidRPr="007214E1">
        <w:rPr>
          <w:rFonts w:ascii="Book Antiqua" w:eastAsia="宋体" w:hAnsi="Book Antiqua"/>
          <w:lang w:eastAsia="zh-CN"/>
        </w:rPr>
        <w:t>(Table 3)</w:t>
      </w:r>
      <w:r w:rsidR="0023426F" w:rsidRPr="007214E1">
        <w:rPr>
          <w:rFonts w:ascii="Book Antiqua" w:hAnsi="Book Antiqua"/>
        </w:rPr>
        <w:t xml:space="preserve">. Overall survival </w:t>
      </w:r>
      <w:r w:rsidR="005F12F1" w:rsidRPr="007214E1">
        <w:rPr>
          <w:rFonts w:ascii="Book Antiqua" w:hAnsi="Book Antiqua"/>
        </w:rPr>
        <w:t>is</w:t>
      </w:r>
      <w:r w:rsidR="0023426F" w:rsidRPr="007214E1">
        <w:rPr>
          <w:rFonts w:ascii="Book Antiqua" w:hAnsi="Book Antiqua"/>
        </w:rPr>
        <w:t xml:space="preserve"> the primary </w:t>
      </w:r>
      <w:proofErr w:type="gramStart"/>
      <w:r w:rsidR="0023426F" w:rsidRPr="007214E1">
        <w:rPr>
          <w:rFonts w:ascii="Book Antiqua" w:hAnsi="Book Antiqua"/>
        </w:rPr>
        <w:t>endpoint</w:t>
      </w:r>
      <w:r w:rsidR="0023426F" w:rsidRPr="007214E1">
        <w:rPr>
          <w:rFonts w:ascii="Book Antiqua" w:hAnsi="Book Antiqua"/>
          <w:vertAlign w:val="superscript"/>
        </w:rPr>
        <w:t>[</w:t>
      </w:r>
      <w:proofErr w:type="gramEnd"/>
      <w:r w:rsidR="005F12F1" w:rsidRPr="007214E1">
        <w:rPr>
          <w:rFonts w:ascii="Book Antiqua" w:hAnsi="Book Antiqua"/>
          <w:vertAlign w:val="superscript"/>
        </w:rPr>
        <w:t>39</w:t>
      </w:r>
      <w:r w:rsidR="0023426F" w:rsidRPr="007214E1">
        <w:rPr>
          <w:rFonts w:ascii="Book Antiqua" w:hAnsi="Book Antiqua"/>
          <w:vertAlign w:val="superscript"/>
        </w:rPr>
        <w:t>]</w:t>
      </w:r>
      <w:r w:rsidR="0023426F" w:rsidRPr="007214E1">
        <w:rPr>
          <w:rFonts w:ascii="Book Antiqua" w:hAnsi="Book Antiqua"/>
        </w:rPr>
        <w:t>.</w:t>
      </w:r>
    </w:p>
    <w:p w14:paraId="67673497" w14:textId="53C1152C" w:rsidR="00496BEA" w:rsidRPr="007214E1" w:rsidRDefault="005B7843" w:rsidP="00EB43EE">
      <w:pPr>
        <w:snapToGrid w:val="0"/>
        <w:spacing w:line="360" w:lineRule="auto"/>
        <w:ind w:firstLineChars="100" w:firstLine="240"/>
        <w:jc w:val="both"/>
        <w:rPr>
          <w:rFonts w:ascii="Book Antiqua" w:hAnsi="Book Antiqua"/>
        </w:rPr>
      </w:pPr>
      <w:r w:rsidRPr="007214E1">
        <w:rPr>
          <w:rFonts w:ascii="Book Antiqua" w:hAnsi="Book Antiqua"/>
        </w:rPr>
        <w:t xml:space="preserve">It remains to be seen whether the combination of </w:t>
      </w:r>
      <w:proofErr w:type="spellStart"/>
      <w:r w:rsidRPr="007214E1">
        <w:rPr>
          <w:rFonts w:ascii="Book Antiqua" w:hAnsi="Book Antiqua"/>
        </w:rPr>
        <w:t>durvalumab</w:t>
      </w:r>
      <w:proofErr w:type="spellEnd"/>
      <w:r w:rsidRPr="007214E1">
        <w:rPr>
          <w:rFonts w:ascii="Book Antiqua" w:hAnsi="Book Antiqua"/>
        </w:rPr>
        <w:t xml:space="preserve"> </w:t>
      </w:r>
      <w:r w:rsidR="0023426F" w:rsidRPr="007214E1">
        <w:rPr>
          <w:rFonts w:ascii="Book Antiqua" w:hAnsi="Book Antiqua"/>
        </w:rPr>
        <w:t>plus</w:t>
      </w:r>
      <w:r w:rsidRPr="007214E1">
        <w:rPr>
          <w:rFonts w:ascii="Book Antiqua" w:hAnsi="Book Antiqua"/>
        </w:rPr>
        <w:t xml:space="preserve"> </w:t>
      </w:r>
      <w:proofErr w:type="spellStart"/>
      <w:r w:rsidRPr="007214E1">
        <w:rPr>
          <w:rFonts w:ascii="Book Antiqua" w:hAnsi="Book Antiqua"/>
        </w:rPr>
        <w:t>tremelimumab</w:t>
      </w:r>
      <w:proofErr w:type="spellEnd"/>
      <w:r w:rsidRPr="007214E1">
        <w:rPr>
          <w:rFonts w:ascii="Book Antiqua" w:hAnsi="Book Antiqua"/>
        </w:rPr>
        <w:t xml:space="preserve"> </w:t>
      </w:r>
      <w:r w:rsidR="0023426F" w:rsidRPr="007214E1">
        <w:rPr>
          <w:rFonts w:ascii="Book Antiqua" w:hAnsi="Book Antiqua"/>
        </w:rPr>
        <w:t xml:space="preserve">will have </w:t>
      </w:r>
      <w:r w:rsidR="007C26E8" w:rsidRPr="007214E1">
        <w:rPr>
          <w:rFonts w:ascii="Book Antiqua" w:hAnsi="Book Antiqua"/>
        </w:rPr>
        <w:t>a similar toxicity profile</w:t>
      </w:r>
      <w:r w:rsidRPr="007214E1">
        <w:rPr>
          <w:rFonts w:ascii="Book Antiqua" w:hAnsi="Book Antiqua"/>
        </w:rPr>
        <w:t xml:space="preserve"> </w:t>
      </w:r>
      <w:r w:rsidR="0023426F" w:rsidRPr="007214E1">
        <w:rPr>
          <w:rFonts w:ascii="Book Antiqua" w:hAnsi="Book Antiqua"/>
        </w:rPr>
        <w:t>as</w:t>
      </w:r>
      <w:r w:rsidRPr="007214E1">
        <w:rPr>
          <w:rFonts w:ascii="Book Antiqua" w:hAnsi="Book Antiqua"/>
        </w:rPr>
        <w:t xml:space="preserve"> nivolumab </w:t>
      </w:r>
      <w:r w:rsidR="0023426F" w:rsidRPr="007214E1">
        <w:rPr>
          <w:rFonts w:ascii="Book Antiqua" w:hAnsi="Book Antiqua"/>
        </w:rPr>
        <w:t>plus</w:t>
      </w:r>
      <w:r w:rsidRPr="007214E1">
        <w:rPr>
          <w:rFonts w:ascii="Book Antiqua" w:hAnsi="Book Antiqua"/>
        </w:rPr>
        <w:t xml:space="preserve"> ipilimumab. </w:t>
      </w:r>
      <w:r w:rsidR="00A56C3F" w:rsidRPr="007214E1">
        <w:rPr>
          <w:rFonts w:ascii="Book Antiqua" w:hAnsi="Book Antiqua"/>
        </w:rPr>
        <w:t xml:space="preserve">If </w:t>
      </w:r>
      <w:proofErr w:type="spellStart"/>
      <w:r w:rsidR="0023426F" w:rsidRPr="007214E1">
        <w:rPr>
          <w:rFonts w:ascii="Book Antiqua" w:hAnsi="Book Antiqua"/>
        </w:rPr>
        <w:t>durvalumab</w:t>
      </w:r>
      <w:proofErr w:type="spellEnd"/>
      <w:r w:rsidR="0023426F" w:rsidRPr="007214E1">
        <w:rPr>
          <w:rFonts w:ascii="Book Antiqua" w:hAnsi="Book Antiqua"/>
        </w:rPr>
        <w:t xml:space="preserve"> plus </w:t>
      </w:r>
      <w:proofErr w:type="spellStart"/>
      <w:r w:rsidR="0023426F" w:rsidRPr="007214E1">
        <w:rPr>
          <w:rFonts w:ascii="Book Antiqua" w:hAnsi="Book Antiqua"/>
        </w:rPr>
        <w:t>tremelimumab</w:t>
      </w:r>
      <w:proofErr w:type="spellEnd"/>
      <w:r w:rsidR="00A56C3F" w:rsidRPr="007214E1">
        <w:rPr>
          <w:rFonts w:ascii="Book Antiqua" w:hAnsi="Book Antiqua"/>
        </w:rPr>
        <w:t xml:space="preserve"> can demonstrate a high ORR with a comparatively lower rate of immune-related adverse effects, then it may become a viable alternative for HCC patients who have failed prior systemic therapie</w:t>
      </w:r>
      <w:r w:rsidR="00024075" w:rsidRPr="007214E1">
        <w:rPr>
          <w:rFonts w:ascii="Book Antiqua" w:hAnsi="Book Antiqua"/>
        </w:rPr>
        <w:t>s</w:t>
      </w:r>
      <w:r w:rsidR="0023426F" w:rsidRPr="007214E1">
        <w:rPr>
          <w:rFonts w:ascii="Book Antiqua" w:hAnsi="Book Antiqua"/>
        </w:rPr>
        <w:t xml:space="preserve"> </w:t>
      </w:r>
      <w:r w:rsidR="007C26E8" w:rsidRPr="007214E1">
        <w:rPr>
          <w:rFonts w:ascii="Book Antiqua" w:hAnsi="Book Antiqua"/>
        </w:rPr>
        <w:t>and cannot tolerate nivolumab plus ipilimumab</w:t>
      </w:r>
      <w:r w:rsidR="001E3962" w:rsidRPr="007214E1">
        <w:rPr>
          <w:rFonts w:ascii="Book Antiqua" w:hAnsi="Book Antiqua"/>
        </w:rPr>
        <w:t xml:space="preserve"> due to adverse effects</w:t>
      </w:r>
      <w:r w:rsidR="00A56C3F" w:rsidRPr="007214E1">
        <w:rPr>
          <w:rFonts w:ascii="Book Antiqua" w:hAnsi="Book Antiqua"/>
        </w:rPr>
        <w:t>.</w:t>
      </w:r>
      <w:r w:rsidR="00E3043C" w:rsidRPr="007214E1">
        <w:rPr>
          <w:rFonts w:ascii="Book Antiqua" w:hAnsi="Book Antiqua"/>
        </w:rPr>
        <w:t xml:space="preserve"> If the dosing schedule utilized in the phase I/II clinical trial (</w:t>
      </w:r>
      <w:r w:rsidR="00E3043C" w:rsidRPr="007214E1">
        <w:rPr>
          <w:rFonts w:ascii="Book Antiqua" w:hAnsi="Book Antiqua"/>
          <w:color w:val="000000"/>
          <w:shd w:val="clear" w:color="auto" w:fill="FFFFFF"/>
        </w:rPr>
        <w:t xml:space="preserve">NCT02519348) </w:t>
      </w:r>
      <w:r w:rsidR="00E3043C" w:rsidRPr="007214E1">
        <w:rPr>
          <w:rFonts w:ascii="Book Antiqua" w:hAnsi="Book Antiqua"/>
        </w:rPr>
        <w:t xml:space="preserve">is adopted, this may minimize toxicity given the relatively infrequent dosing schedule of every four </w:t>
      </w:r>
      <w:proofErr w:type="gramStart"/>
      <w:r w:rsidR="00E3043C" w:rsidRPr="007214E1">
        <w:rPr>
          <w:rFonts w:ascii="Book Antiqua" w:hAnsi="Book Antiqua"/>
        </w:rPr>
        <w:t>weeks</w:t>
      </w:r>
      <w:r w:rsidR="00E3043C" w:rsidRPr="007214E1">
        <w:rPr>
          <w:rFonts w:ascii="Book Antiqua" w:hAnsi="Book Antiqua"/>
          <w:vertAlign w:val="superscript"/>
        </w:rPr>
        <w:t>[</w:t>
      </w:r>
      <w:proofErr w:type="gramEnd"/>
      <w:r w:rsidR="001E3962" w:rsidRPr="007214E1">
        <w:rPr>
          <w:rFonts w:ascii="Book Antiqua" w:hAnsi="Book Antiqua"/>
          <w:vertAlign w:val="superscript"/>
        </w:rPr>
        <w:t>37</w:t>
      </w:r>
      <w:r w:rsidR="00E3043C" w:rsidRPr="007214E1">
        <w:rPr>
          <w:rFonts w:ascii="Book Antiqua" w:hAnsi="Book Antiqua"/>
          <w:vertAlign w:val="superscript"/>
        </w:rPr>
        <w:t>]</w:t>
      </w:r>
      <w:r w:rsidR="00E3043C" w:rsidRPr="007214E1">
        <w:rPr>
          <w:rFonts w:ascii="Book Antiqua" w:hAnsi="Book Antiqua"/>
        </w:rPr>
        <w:t>.</w:t>
      </w:r>
      <w:r w:rsidR="00E3043C" w:rsidRPr="007214E1">
        <w:rPr>
          <w:rFonts w:ascii="Book Antiqua" w:hAnsi="Book Antiqua"/>
          <w:i/>
        </w:rPr>
        <w:t xml:space="preserve"> </w:t>
      </w:r>
      <w:r w:rsidR="00DE46FD" w:rsidRPr="007214E1">
        <w:rPr>
          <w:rFonts w:ascii="Book Antiqua" w:hAnsi="Book Antiqua"/>
        </w:rPr>
        <w:t>Although the most common side-effects seen in patients treated with either combination</w:t>
      </w:r>
      <w:r w:rsidR="00024075" w:rsidRPr="007214E1">
        <w:rPr>
          <w:rFonts w:ascii="Book Antiqua" w:hAnsi="Book Antiqua"/>
        </w:rPr>
        <w:t xml:space="preserve"> </w:t>
      </w:r>
      <w:r w:rsidR="00DE46FD" w:rsidRPr="007214E1">
        <w:rPr>
          <w:rFonts w:ascii="Book Antiqua" w:hAnsi="Book Antiqua"/>
        </w:rPr>
        <w:t xml:space="preserve">include liver function test abnormalities and skin ailments such as pruritus or rash, </w:t>
      </w:r>
      <w:r w:rsidR="004D3842" w:rsidRPr="007214E1">
        <w:rPr>
          <w:rFonts w:ascii="Book Antiqua" w:hAnsi="Book Antiqua"/>
        </w:rPr>
        <w:t xml:space="preserve">the </w:t>
      </w:r>
      <w:proofErr w:type="spellStart"/>
      <w:r w:rsidR="004D3842" w:rsidRPr="007214E1">
        <w:rPr>
          <w:rFonts w:ascii="Book Antiqua" w:hAnsi="Book Antiqua"/>
        </w:rPr>
        <w:t>CheckM</w:t>
      </w:r>
      <w:r w:rsidR="00391A99" w:rsidRPr="007214E1">
        <w:rPr>
          <w:rFonts w:ascii="Book Antiqua" w:hAnsi="Book Antiqua"/>
        </w:rPr>
        <w:t>ate</w:t>
      </w:r>
      <w:proofErr w:type="spellEnd"/>
      <w:r w:rsidR="00391A99" w:rsidRPr="007214E1">
        <w:rPr>
          <w:rFonts w:ascii="Book Antiqua" w:hAnsi="Book Antiqua"/>
        </w:rPr>
        <w:t xml:space="preserve"> 040 study</w:t>
      </w:r>
      <w:r w:rsidR="00DE46FD" w:rsidRPr="007214E1">
        <w:rPr>
          <w:rFonts w:ascii="Book Antiqua" w:hAnsi="Book Antiqua"/>
        </w:rPr>
        <w:t xml:space="preserve"> demonstrated that </w:t>
      </w:r>
      <w:r w:rsidR="00391A99" w:rsidRPr="007214E1">
        <w:rPr>
          <w:rFonts w:ascii="Book Antiqua" w:hAnsi="Book Antiqua"/>
        </w:rPr>
        <w:t xml:space="preserve">22% of patients discontinued therapy with nivolumab and ipilimumab due to </w:t>
      </w:r>
      <w:r w:rsidR="00397A94" w:rsidRPr="007214E1">
        <w:rPr>
          <w:rFonts w:ascii="Book Antiqua" w:hAnsi="Book Antiqua"/>
        </w:rPr>
        <w:t xml:space="preserve">treatment-related </w:t>
      </w:r>
      <w:r w:rsidR="00391A99" w:rsidRPr="007214E1">
        <w:rPr>
          <w:rFonts w:ascii="Book Antiqua" w:hAnsi="Book Antiqua"/>
        </w:rPr>
        <w:t xml:space="preserve">toxicity, compared to 7.5% of patients receiving </w:t>
      </w:r>
      <w:proofErr w:type="spellStart"/>
      <w:r w:rsidR="00391A99" w:rsidRPr="007214E1">
        <w:rPr>
          <w:rFonts w:ascii="Book Antiqua" w:hAnsi="Book Antiqua"/>
        </w:rPr>
        <w:t>durvalumab</w:t>
      </w:r>
      <w:proofErr w:type="spellEnd"/>
      <w:r w:rsidR="00391A99" w:rsidRPr="007214E1">
        <w:rPr>
          <w:rFonts w:ascii="Book Antiqua" w:hAnsi="Book Antiqua"/>
        </w:rPr>
        <w:t xml:space="preserve"> and </w:t>
      </w:r>
      <w:proofErr w:type="spellStart"/>
      <w:r w:rsidR="00391A99" w:rsidRPr="007214E1">
        <w:rPr>
          <w:rFonts w:ascii="Book Antiqua" w:hAnsi="Book Antiqua"/>
        </w:rPr>
        <w:t>tremelimumab</w:t>
      </w:r>
      <w:proofErr w:type="spellEnd"/>
      <w:r w:rsidR="00391A99" w:rsidRPr="007214E1">
        <w:rPr>
          <w:rFonts w:ascii="Book Antiqua" w:hAnsi="Book Antiqua"/>
        </w:rPr>
        <w:t xml:space="preserve"> </w:t>
      </w:r>
      <w:r w:rsidR="00EC6BD3" w:rsidRPr="007214E1">
        <w:rPr>
          <w:rFonts w:ascii="Book Antiqua" w:hAnsi="Book Antiqua"/>
        </w:rPr>
        <w:t xml:space="preserve">in the </w:t>
      </w:r>
      <w:r w:rsidR="00EC6BD3" w:rsidRPr="007214E1">
        <w:rPr>
          <w:rFonts w:ascii="Book Antiqua" w:hAnsi="Book Antiqua"/>
          <w:color w:val="000000"/>
          <w:shd w:val="clear" w:color="auto" w:fill="FFFFFF"/>
        </w:rPr>
        <w:t xml:space="preserve">NCT02519348 </w:t>
      </w:r>
      <w:r w:rsidR="008D38FD" w:rsidRPr="007214E1">
        <w:rPr>
          <w:rFonts w:ascii="Book Antiqua" w:hAnsi="Book Antiqua"/>
          <w:color w:val="000000"/>
          <w:shd w:val="clear" w:color="auto" w:fill="FFFFFF"/>
        </w:rPr>
        <w:t>trial</w:t>
      </w:r>
      <w:r w:rsidR="00E117BB" w:rsidRPr="007214E1">
        <w:rPr>
          <w:rFonts w:ascii="Book Antiqua" w:hAnsi="Book Antiqua"/>
          <w:vertAlign w:val="superscript"/>
        </w:rPr>
        <w:t>[</w:t>
      </w:r>
      <w:r w:rsidR="005F12F1" w:rsidRPr="007214E1">
        <w:rPr>
          <w:rFonts w:ascii="Book Antiqua" w:hAnsi="Book Antiqua"/>
          <w:vertAlign w:val="superscript"/>
        </w:rPr>
        <w:t>31</w:t>
      </w:r>
      <w:r w:rsidR="00391A99" w:rsidRPr="007214E1">
        <w:rPr>
          <w:rFonts w:ascii="Book Antiqua" w:hAnsi="Book Antiqua"/>
          <w:vertAlign w:val="superscript"/>
        </w:rPr>
        <w:t>,</w:t>
      </w:r>
      <w:r w:rsidR="00E838D5" w:rsidRPr="007214E1">
        <w:rPr>
          <w:rFonts w:ascii="Book Antiqua" w:hAnsi="Book Antiqua"/>
          <w:vertAlign w:val="superscript"/>
        </w:rPr>
        <w:t>37</w:t>
      </w:r>
      <w:r w:rsidR="00391A99" w:rsidRPr="007214E1">
        <w:rPr>
          <w:rFonts w:ascii="Book Antiqua" w:hAnsi="Book Antiqua"/>
          <w:vertAlign w:val="superscript"/>
        </w:rPr>
        <w:t>]</w:t>
      </w:r>
      <w:r w:rsidR="00391A99" w:rsidRPr="007214E1">
        <w:rPr>
          <w:rFonts w:ascii="Book Antiqua" w:hAnsi="Book Antiqua"/>
        </w:rPr>
        <w:t>.</w:t>
      </w:r>
      <w:r w:rsidR="00DE46FD" w:rsidRPr="007214E1">
        <w:rPr>
          <w:rFonts w:ascii="Book Antiqua" w:hAnsi="Book Antiqua"/>
        </w:rPr>
        <w:t xml:space="preserve"> </w:t>
      </w:r>
      <w:r w:rsidR="007A75F9" w:rsidRPr="007214E1">
        <w:rPr>
          <w:rFonts w:ascii="Book Antiqua" w:hAnsi="Book Antiqua"/>
        </w:rPr>
        <w:t xml:space="preserve">Given the ability of </w:t>
      </w:r>
      <w:proofErr w:type="spellStart"/>
      <w:r w:rsidR="007A75F9" w:rsidRPr="007214E1">
        <w:rPr>
          <w:rFonts w:ascii="Book Antiqua" w:hAnsi="Book Antiqua"/>
        </w:rPr>
        <w:lastRenderedPageBreak/>
        <w:t>tremelimumab</w:t>
      </w:r>
      <w:proofErr w:type="spellEnd"/>
      <w:r w:rsidR="007A75F9" w:rsidRPr="007214E1">
        <w:rPr>
          <w:rFonts w:ascii="Book Antiqua" w:hAnsi="Book Antiqua"/>
        </w:rPr>
        <w:t xml:space="preserve"> to reduce HCV viral load</w:t>
      </w:r>
      <w:r w:rsidR="008D38FD" w:rsidRPr="007214E1">
        <w:rPr>
          <w:rFonts w:ascii="Book Antiqua" w:hAnsi="Book Antiqua"/>
        </w:rPr>
        <w:t>s</w:t>
      </w:r>
      <w:r w:rsidR="007A75F9" w:rsidRPr="007214E1">
        <w:rPr>
          <w:rFonts w:ascii="Book Antiqua" w:hAnsi="Book Antiqua"/>
        </w:rPr>
        <w:t xml:space="preserve">, this combination may be preferred </w:t>
      </w:r>
      <w:r w:rsidR="00EC6BD3" w:rsidRPr="007214E1">
        <w:rPr>
          <w:rFonts w:ascii="Book Antiqua" w:hAnsi="Book Antiqua"/>
        </w:rPr>
        <w:t>for patients with</w:t>
      </w:r>
      <w:r w:rsidR="005F12F1" w:rsidRPr="007214E1">
        <w:rPr>
          <w:rFonts w:ascii="Book Antiqua" w:hAnsi="Book Antiqua"/>
        </w:rPr>
        <w:t xml:space="preserve"> chronic</w:t>
      </w:r>
      <w:r w:rsidR="00EC6BD3" w:rsidRPr="007214E1">
        <w:rPr>
          <w:rFonts w:ascii="Book Antiqua" w:hAnsi="Book Antiqua"/>
        </w:rPr>
        <w:t xml:space="preserve"> hepatitis C</w:t>
      </w:r>
      <w:r w:rsidR="00397A94" w:rsidRPr="007214E1">
        <w:rPr>
          <w:rFonts w:ascii="Book Antiqua" w:hAnsi="Book Antiqua"/>
        </w:rPr>
        <w:t xml:space="preserve"> </w:t>
      </w:r>
      <w:proofErr w:type="gramStart"/>
      <w:r w:rsidR="00397A94" w:rsidRPr="007214E1">
        <w:rPr>
          <w:rFonts w:ascii="Book Antiqua" w:hAnsi="Book Antiqua"/>
        </w:rPr>
        <w:t>infections</w:t>
      </w:r>
      <w:r w:rsidR="007A75F9" w:rsidRPr="007214E1">
        <w:rPr>
          <w:rFonts w:ascii="Book Antiqua" w:hAnsi="Book Antiqua"/>
          <w:vertAlign w:val="superscript"/>
        </w:rPr>
        <w:t>[</w:t>
      </w:r>
      <w:proofErr w:type="gramEnd"/>
      <w:r w:rsidR="00E117BB" w:rsidRPr="007214E1">
        <w:rPr>
          <w:rFonts w:ascii="Book Antiqua" w:hAnsi="Book Antiqua"/>
          <w:vertAlign w:val="superscript"/>
        </w:rPr>
        <w:t>2</w:t>
      </w:r>
      <w:r w:rsidR="005F12F1" w:rsidRPr="007214E1">
        <w:rPr>
          <w:rFonts w:ascii="Book Antiqua" w:hAnsi="Book Antiqua"/>
          <w:vertAlign w:val="superscript"/>
        </w:rPr>
        <w:t>2</w:t>
      </w:r>
      <w:r w:rsidR="007A75F9" w:rsidRPr="007214E1">
        <w:rPr>
          <w:rFonts w:ascii="Book Antiqua" w:hAnsi="Book Antiqua"/>
          <w:vertAlign w:val="superscript"/>
        </w:rPr>
        <w:t>]</w:t>
      </w:r>
      <w:r w:rsidR="00397A94" w:rsidRPr="007214E1">
        <w:rPr>
          <w:rFonts w:ascii="Book Antiqua" w:hAnsi="Book Antiqua"/>
        </w:rPr>
        <w:t>.</w:t>
      </w:r>
    </w:p>
    <w:p w14:paraId="437D6799" w14:textId="3CFC3CE9" w:rsidR="00614284" w:rsidRPr="007214E1" w:rsidRDefault="00614284" w:rsidP="00EB43EE">
      <w:pPr>
        <w:snapToGrid w:val="0"/>
        <w:spacing w:line="360" w:lineRule="auto"/>
        <w:jc w:val="both"/>
        <w:rPr>
          <w:rFonts w:ascii="Book Antiqua" w:hAnsi="Book Antiqua"/>
          <w:i/>
        </w:rPr>
      </w:pPr>
    </w:p>
    <w:p w14:paraId="2D2D6C2E" w14:textId="5856798E" w:rsidR="005572B2" w:rsidRPr="007214E1" w:rsidRDefault="00A56C3F" w:rsidP="00EB43EE">
      <w:pPr>
        <w:snapToGrid w:val="0"/>
        <w:spacing w:line="360" w:lineRule="auto"/>
        <w:jc w:val="both"/>
        <w:rPr>
          <w:rFonts w:ascii="Book Antiqua" w:hAnsi="Book Antiqua"/>
          <w:b/>
          <w:u w:val="single"/>
        </w:rPr>
      </w:pPr>
      <w:r w:rsidRPr="007214E1">
        <w:rPr>
          <w:rFonts w:ascii="Book Antiqua" w:hAnsi="Book Antiqua"/>
          <w:b/>
          <w:u w:val="single"/>
        </w:rPr>
        <w:t>C</w:t>
      </w:r>
      <w:r w:rsidR="00E117BB" w:rsidRPr="007214E1">
        <w:rPr>
          <w:rFonts w:ascii="Book Antiqua" w:hAnsi="Book Antiqua"/>
          <w:b/>
          <w:u w:val="single"/>
        </w:rPr>
        <w:t>OMBINATION THERAPY WITH C</w:t>
      </w:r>
      <w:r w:rsidRPr="007214E1">
        <w:rPr>
          <w:rFonts w:ascii="Book Antiqua" w:hAnsi="Book Antiqua"/>
          <w:b/>
          <w:u w:val="single"/>
        </w:rPr>
        <w:t>HECKPOINT INHIBITORS PLUS OX40 AGONISTS</w:t>
      </w:r>
    </w:p>
    <w:p w14:paraId="08F1DDF4" w14:textId="502D0AF5" w:rsidR="00A15B94" w:rsidRPr="007214E1" w:rsidRDefault="007D2B0C" w:rsidP="00EB43EE">
      <w:pPr>
        <w:snapToGrid w:val="0"/>
        <w:spacing w:line="360" w:lineRule="auto"/>
        <w:jc w:val="both"/>
        <w:rPr>
          <w:rFonts w:ascii="Book Antiqua" w:hAnsi="Book Antiqua"/>
          <w:i/>
        </w:rPr>
      </w:pPr>
      <w:r w:rsidRPr="007214E1">
        <w:rPr>
          <w:rFonts w:ascii="Book Antiqua" w:hAnsi="Book Antiqua"/>
        </w:rPr>
        <w:t>OX40 is a</w:t>
      </w:r>
      <w:r w:rsidR="007B2E03" w:rsidRPr="007214E1">
        <w:rPr>
          <w:rFonts w:ascii="Book Antiqua" w:hAnsi="Book Antiqua"/>
        </w:rPr>
        <w:t xml:space="preserve"> co-stimulatory</w:t>
      </w:r>
      <w:r w:rsidRPr="007214E1">
        <w:rPr>
          <w:rFonts w:ascii="Book Antiqua" w:hAnsi="Book Antiqua"/>
        </w:rPr>
        <w:t xml:space="preserve"> </w:t>
      </w:r>
      <w:r w:rsidR="00E36A5A" w:rsidRPr="007214E1">
        <w:rPr>
          <w:rFonts w:ascii="Book Antiqua" w:hAnsi="Book Antiqua"/>
        </w:rPr>
        <w:t xml:space="preserve">receptor </w:t>
      </w:r>
      <w:r w:rsidRPr="007214E1">
        <w:rPr>
          <w:rFonts w:ascii="Book Antiqua" w:hAnsi="Book Antiqua"/>
        </w:rPr>
        <w:t xml:space="preserve">that is expressed </w:t>
      </w:r>
      <w:r w:rsidR="00E36A5A" w:rsidRPr="007214E1">
        <w:rPr>
          <w:rFonts w:ascii="Book Antiqua" w:hAnsi="Book Antiqua"/>
        </w:rPr>
        <w:t>by</w:t>
      </w:r>
      <w:r w:rsidRPr="007214E1">
        <w:rPr>
          <w:rFonts w:ascii="Book Antiqua" w:hAnsi="Book Antiqua"/>
        </w:rPr>
        <w:t xml:space="preserve"> CD4 and CD8+ T-cells</w:t>
      </w:r>
      <w:r w:rsidR="003D4F3F" w:rsidRPr="007214E1">
        <w:rPr>
          <w:rFonts w:ascii="Book Antiqua" w:hAnsi="Book Antiqua"/>
        </w:rPr>
        <w:t xml:space="preserve"> </w:t>
      </w:r>
      <w:r w:rsidR="007B2E03" w:rsidRPr="007214E1">
        <w:rPr>
          <w:rFonts w:ascii="Book Antiqua" w:hAnsi="Book Antiqua"/>
        </w:rPr>
        <w:t xml:space="preserve">after antigen </w:t>
      </w:r>
      <w:proofErr w:type="gramStart"/>
      <w:r w:rsidR="007B2E03" w:rsidRPr="007214E1">
        <w:rPr>
          <w:rFonts w:ascii="Book Antiqua" w:hAnsi="Book Antiqua"/>
        </w:rPr>
        <w:t>stimulation</w:t>
      </w:r>
      <w:r w:rsidR="00E36A5A" w:rsidRPr="007214E1">
        <w:rPr>
          <w:rFonts w:ascii="Book Antiqua" w:hAnsi="Book Antiqua"/>
          <w:vertAlign w:val="superscript"/>
        </w:rPr>
        <w:t>[</w:t>
      </w:r>
      <w:proofErr w:type="gramEnd"/>
      <w:r w:rsidR="00E36A5A" w:rsidRPr="007214E1">
        <w:rPr>
          <w:rFonts w:ascii="Book Antiqua" w:hAnsi="Book Antiqua"/>
          <w:vertAlign w:val="superscript"/>
        </w:rPr>
        <w:t>40</w:t>
      </w:r>
      <w:r w:rsidRPr="007214E1">
        <w:rPr>
          <w:rFonts w:ascii="Book Antiqua" w:hAnsi="Book Antiqua"/>
          <w:vertAlign w:val="superscript"/>
        </w:rPr>
        <w:t>]</w:t>
      </w:r>
      <w:r w:rsidRPr="007214E1">
        <w:rPr>
          <w:rFonts w:ascii="Book Antiqua" w:hAnsi="Book Antiqua"/>
        </w:rPr>
        <w:t>. Treg cells</w:t>
      </w:r>
      <w:r w:rsidR="00E6508A" w:rsidRPr="007214E1">
        <w:rPr>
          <w:rFonts w:ascii="Book Antiqua" w:hAnsi="Book Antiqua"/>
        </w:rPr>
        <w:t xml:space="preserve"> can also express OX40</w:t>
      </w:r>
      <w:r w:rsidRPr="007214E1">
        <w:rPr>
          <w:rFonts w:ascii="Book Antiqua" w:hAnsi="Book Antiqua"/>
          <w:vertAlign w:val="superscript"/>
        </w:rPr>
        <w:t>[</w:t>
      </w:r>
      <w:r w:rsidR="002B5661" w:rsidRPr="007214E1">
        <w:rPr>
          <w:rFonts w:ascii="Book Antiqua" w:hAnsi="Book Antiqua"/>
          <w:vertAlign w:val="superscript"/>
        </w:rPr>
        <w:t>4</w:t>
      </w:r>
      <w:r w:rsidR="00E6508A" w:rsidRPr="007214E1">
        <w:rPr>
          <w:rFonts w:ascii="Book Antiqua" w:hAnsi="Book Antiqua"/>
          <w:vertAlign w:val="superscript"/>
        </w:rPr>
        <w:t>0</w:t>
      </w:r>
      <w:r w:rsidRPr="007214E1">
        <w:rPr>
          <w:rFonts w:ascii="Book Antiqua" w:hAnsi="Book Antiqua"/>
          <w:vertAlign w:val="superscript"/>
        </w:rPr>
        <w:t>]</w:t>
      </w:r>
      <w:r w:rsidRPr="007214E1">
        <w:rPr>
          <w:rFonts w:ascii="Book Antiqua" w:hAnsi="Book Antiqua"/>
        </w:rPr>
        <w:t>.</w:t>
      </w:r>
      <w:r w:rsidR="004C7695" w:rsidRPr="007214E1">
        <w:rPr>
          <w:rFonts w:ascii="Book Antiqua" w:hAnsi="Book Antiqua"/>
        </w:rPr>
        <w:t xml:space="preserve"> OX40 agonists, which are m</w:t>
      </w:r>
      <w:r w:rsidR="007B2E03" w:rsidRPr="007214E1">
        <w:rPr>
          <w:rFonts w:ascii="Book Antiqua" w:hAnsi="Book Antiqua"/>
        </w:rPr>
        <w:t>onoclonal antibodies that bind OX40</w:t>
      </w:r>
      <w:r w:rsidR="004C7695" w:rsidRPr="007214E1">
        <w:rPr>
          <w:rFonts w:ascii="Book Antiqua" w:hAnsi="Book Antiqua"/>
        </w:rPr>
        <w:t>, induce</w:t>
      </w:r>
      <w:r w:rsidR="007B2E03" w:rsidRPr="007214E1">
        <w:rPr>
          <w:rFonts w:ascii="Book Antiqua" w:hAnsi="Book Antiqua"/>
        </w:rPr>
        <w:t xml:space="preserve"> T-cell </w:t>
      </w:r>
      <w:r w:rsidRPr="007214E1">
        <w:rPr>
          <w:rFonts w:ascii="Book Antiqua" w:hAnsi="Book Antiqua"/>
        </w:rPr>
        <w:t>expansion and persistence and</w:t>
      </w:r>
      <w:r w:rsidR="007B2E03" w:rsidRPr="007214E1">
        <w:rPr>
          <w:rFonts w:ascii="Book Antiqua" w:hAnsi="Book Antiqua"/>
        </w:rPr>
        <w:t xml:space="preserve"> may be able to suppress </w:t>
      </w:r>
      <w:r w:rsidRPr="007214E1">
        <w:rPr>
          <w:rFonts w:ascii="Book Antiqua" w:hAnsi="Book Antiqua"/>
        </w:rPr>
        <w:t xml:space="preserve">Treg </w:t>
      </w:r>
      <w:proofErr w:type="gramStart"/>
      <w:r w:rsidR="007B2E03" w:rsidRPr="007214E1">
        <w:rPr>
          <w:rFonts w:ascii="Book Antiqua" w:hAnsi="Book Antiqua"/>
        </w:rPr>
        <w:t>activity</w:t>
      </w:r>
      <w:r w:rsidRPr="007214E1">
        <w:rPr>
          <w:rFonts w:ascii="Book Antiqua" w:hAnsi="Book Antiqua"/>
          <w:vertAlign w:val="superscript"/>
        </w:rPr>
        <w:t>[</w:t>
      </w:r>
      <w:proofErr w:type="gramEnd"/>
      <w:r w:rsidR="002B5661" w:rsidRPr="007214E1">
        <w:rPr>
          <w:rFonts w:ascii="Book Antiqua" w:hAnsi="Book Antiqua"/>
          <w:vertAlign w:val="superscript"/>
        </w:rPr>
        <w:t>4</w:t>
      </w:r>
      <w:r w:rsidR="007B2E03" w:rsidRPr="007214E1">
        <w:rPr>
          <w:rFonts w:ascii="Book Antiqua" w:hAnsi="Book Antiqua"/>
          <w:vertAlign w:val="superscript"/>
        </w:rPr>
        <w:t>0</w:t>
      </w:r>
      <w:r w:rsidRPr="007214E1">
        <w:rPr>
          <w:rFonts w:ascii="Book Antiqua" w:hAnsi="Book Antiqua"/>
          <w:vertAlign w:val="superscript"/>
        </w:rPr>
        <w:t>]</w:t>
      </w:r>
      <w:r w:rsidRPr="007214E1">
        <w:rPr>
          <w:rFonts w:ascii="Book Antiqua" w:hAnsi="Book Antiqua"/>
        </w:rPr>
        <w:t>.</w:t>
      </w:r>
      <w:r w:rsidRPr="007214E1">
        <w:rPr>
          <w:rFonts w:ascii="Book Antiqua" w:hAnsi="Book Antiqua"/>
          <w:i/>
        </w:rPr>
        <w:t xml:space="preserve"> </w:t>
      </w:r>
      <w:r w:rsidRPr="007214E1">
        <w:rPr>
          <w:rFonts w:ascii="Book Antiqua" w:hAnsi="Book Antiqua"/>
        </w:rPr>
        <w:t xml:space="preserve">The </w:t>
      </w:r>
      <w:r w:rsidR="00DB12AE" w:rsidRPr="007214E1">
        <w:rPr>
          <w:rFonts w:ascii="Book Antiqua" w:hAnsi="Book Antiqua"/>
        </w:rPr>
        <w:t xml:space="preserve">clinical </w:t>
      </w:r>
      <w:r w:rsidRPr="007214E1">
        <w:rPr>
          <w:rFonts w:ascii="Book Antiqua" w:hAnsi="Book Antiqua"/>
        </w:rPr>
        <w:t>use of a monoclonal antibody targeting OX40 was deemed safe following a phase I study (NCT01644968) in</w:t>
      </w:r>
      <w:r w:rsidR="00E6508A" w:rsidRPr="007214E1">
        <w:rPr>
          <w:rFonts w:ascii="Book Antiqua" w:hAnsi="Book Antiqua"/>
        </w:rPr>
        <w:t xml:space="preserve"> 30</w:t>
      </w:r>
      <w:r w:rsidRPr="007214E1">
        <w:rPr>
          <w:rFonts w:ascii="Book Antiqua" w:hAnsi="Book Antiqua"/>
        </w:rPr>
        <w:t xml:space="preserve"> patients with various malignancies</w:t>
      </w:r>
      <w:r w:rsidR="003B1910" w:rsidRPr="007214E1">
        <w:rPr>
          <w:rFonts w:ascii="Book Antiqua" w:hAnsi="Book Antiqua"/>
        </w:rPr>
        <w:t>, with the most common adv</w:t>
      </w:r>
      <w:r w:rsidR="004D3842" w:rsidRPr="007214E1">
        <w:rPr>
          <w:rFonts w:ascii="Book Antiqua" w:hAnsi="Book Antiqua"/>
        </w:rPr>
        <w:t xml:space="preserve">erse effects including fatigue, </w:t>
      </w:r>
      <w:r w:rsidR="003B1910" w:rsidRPr="007214E1">
        <w:rPr>
          <w:rFonts w:ascii="Book Antiqua" w:hAnsi="Book Antiqua"/>
        </w:rPr>
        <w:t>rash, lymphopenia, fever</w:t>
      </w:r>
      <w:r w:rsidR="00735EAA" w:rsidRPr="007214E1">
        <w:rPr>
          <w:rFonts w:ascii="Book Antiqua" w:hAnsi="Book Antiqua"/>
        </w:rPr>
        <w:t xml:space="preserve">, and </w:t>
      </w:r>
      <w:r w:rsidR="00E6508A" w:rsidRPr="007214E1">
        <w:rPr>
          <w:rFonts w:ascii="Book Antiqua" w:hAnsi="Book Antiqua"/>
        </w:rPr>
        <w:t>pruritus</w:t>
      </w:r>
      <w:r w:rsidRPr="007214E1">
        <w:rPr>
          <w:rFonts w:ascii="Book Antiqua" w:hAnsi="Book Antiqua"/>
          <w:vertAlign w:val="superscript"/>
        </w:rPr>
        <w:t>[</w:t>
      </w:r>
      <w:r w:rsidR="002B5661" w:rsidRPr="007214E1">
        <w:rPr>
          <w:rFonts w:ascii="Book Antiqua" w:hAnsi="Book Antiqua"/>
          <w:vertAlign w:val="superscript"/>
        </w:rPr>
        <w:t>4</w:t>
      </w:r>
      <w:r w:rsidR="00A105EE" w:rsidRPr="007214E1">
        <w:rPr>
          <w:rFonts w:ascii="Book Antiqua" w:hAnsi="Book Antiqua"/>
          <w:vertAlign w:val="superscript"/>
        </w:rPr>
        <w:t>1</w:t>
      </w:r>
      <w:r w:rsidRPr="007214E1">
        <w:rPr>
          <w:rFonts w:ascii="Book Antiqua" w:hAnsi="Book Antiqua"/>
          <w:vertAlign w:val="superscript"/>
        </w:rPr>
        <w:t>]</w:t>
      </w:r>
      <w:r w:rsidR="00354FFA" w:rsidRPr="007214E1">
        <w:rPr>
          <w:rFonts w:ascii="Book Antiqua" w:hAnsi="Book Antiqua"/>
        </w:rPr>
        <w:t xml:space="preserve">. </w:t>
      </w:r>
      <w:r w:rsidR="003B1910" w:rsidRPr="007214E1">
        <w:rPr>
          <w:rFonts w:ascii="Book Antiqua" w:hAnsi="Book Antiqua"/>
        </w:rPr>
        <w:t xml:space="preserve">Twelve patients in demonstrated a reduction in the size of at least one individual </w:t>
      </w:r>
      <w:proofErr w:type="gramStart"/>
      <w:r w:rsidR="000822C9" w:rsidRPr="007214E1">
        <w:rPr>
          <w:rFonts w:ascii="Book Antiqua" w:hAnsi="Book Antiqua"/>
        </w:rPr>
        <w:t>metastasis</w:t>
      </w:r>
      <w:r w:rsidR="003B1910" w:rsidRPr="007214E1">
        <w:rPr>
          <w:rFonts w:ascii="Book Antiqua" w:hAnsi="Book Antiqua"/>
          <w:vertAlign w:val="superscript"/>
        </w:rPr>
        <w:t>[</w:t>
      </w:r>
      <w:proofErr w:type="gramEnd"/>
      <w:r w:rsidR="002B5661" w:rsidRPr="007214E1">
        <w:rPr>
          <w:rFonts w:ascii="Book Antiqua" w:hAnsi="Book Antiqua"/>
          <w:vertAlign w:val="superscript"/>
        </w:rPr>
        <w:t>4</w:t>
      </w:r>
      <w:r w:rsidR="00A105EE" w:rsidRPr="007214E1">
        <w:rPr>
          <w:rFonts w:ascii="Book Antiqua" w:hAnsi="Book Antiqua"/>
          <w:vertAlign w:val="superscript"/>
        </w:rPr>
        <w:t>1</w:t>
      </w:r>
      <w:r w:rsidR="003B1910" w:rsidRPr="007214E1">
        <w:rPr>
          <w:rFonts w:ascii="Book Antiqua" w:hAnsi="Book Antiqua"/>
          <w:vertAlign w:val="superscript"/>
        </w:rPr>
        <w:t>]</w:t>
      </w:r>
      <w:r w:rsidR="003B1910" w:rsidRPr="007214E1">
        <w:rPr>
          <w:rFonts w:ascii="Book Antiqua" w:hAnsi="Book Antiqua"/>
        </w:rPr>
        <w:t>.</w:t>
      </w:r>
    </w:p>
    <w:p w14:paraId="429BF30F" w14:textId="4602D15A" w:rsidR="005572B2" w:rsidRPr="007214E1" w:rsidRDefault="007D2B0C" w:rsidP="00EB43EE">
      <w:pPr>
        <w:snapToGrid w:val="0"/>
        <w:spacing w:line="360" w:lineRule="auto"/>
        <w:ind w:firstLineChars="100" w:firstLine="240"/>
        <w:jc w:val="both"/>
        <w:rPr>
          <w:rFonts w:ascii="Book Antiqua" w:hAnsi="Book Antiqua"/>
        </w:rPr>
      </w:pPr>
      <w:r w:rsidRPr="007214E1">
        <w:rPr>
          <w:rFonts w:ascii="Book Antiqua" w:hAnsi="Book Antiqua"/>
        </w:rPr>
        <w:t xml:space="preserve">A </w:t>
      </w:r>
      <w:r w:rsidR="002B5661" w:rsidRPr="007214E1">
        <w:rPr>
          <w:rFonts w:ascii="Book Antiqua" w:hAnsi="Book Antiqua"/>
        </w:rPr>
        <w:t xml:space="preserve">combination strategy utilizing OX-40 agonists </w:t>
      </w:r>
      <w:r w:rsidR="00A105EE" w:rsidRPr="007214E1">
        <w:rPr>
          <w:rFonts w:ascii="Book Antiqua" w:hAnsi="Book Antiqua"/>
        </w:rPr>
        <w:t>in conjunction with</w:t>
      </w:r>
      <w:r w:rsidR="002B5661" w:rsidRPr="007214E1">
        <w:rPr>
          <w:rFonts w:ascii="Book Antiqua" w:hAnsi="Book Antiqua"/>
        </w:rPr>
        <w:t xml:space="preserve"> </w:t>
      </w:r>
      <w:r w:rsidR="00A105EE" w:rsidRPr="007214E1">
        <w:rPr>
          <w:rFonts w:ascii="Book Antiqua" w:hAnsi="Book Antiqua"/>
        </w:rPr>
        <w:t>checkpoint inhibitors</w:t>
      </w:r>
      <w:r w:rsidRPr="007214E1">
        <w:rPr>
          <w:rFonts w:ascii="Book Antiqua" w:hAnsi="Book Antiqua"/>
        </w:rPr>
        <w:t xml:space="preserve"> may be a viable </w:t>
      </w:r>
      <w:r w:rsidR="00DB12AE" w:rsidRPr="007214E1">
        <w:rPr>
          <w:rFonts w:ascii="Book Antiqua" w:hAnsi="Book Antiqua"/>
        </w:rPr>
        <w:t>option</w:t>
      </w:r>
      <w:r w:rsidRPr="007214E1">
        <w:rPr>
          <w:rFonts w:ascii="Book Antiqua" w:hAnsi="Book Antiqua"/>
        </w:rPr>
        <w:t xml:space="preserve"> in the treatment of HCC</w:t>
      </w:r>
      <w:r w:rsidR="00A90CC6" w:rsidRPr="007214E1">
        <w:rPr>
          <w:rFonts w:ascii="Book Antiqua" w:hAnsi="Book Antiqua"/>
        </w:rPr>
        <w:t xml:space="preserve">. PD-1/PDL1 or CTLA4 blockade and OX40 agonism </w:t>
      </w:r>
      <w:r w:rsidR="00D91597" w:rsidRPr="007214E1">
        <w:rPr>
          <w:rFonts w:ascii="Book Antiqua" w:hAnsi="Book Antiqua"/>
        </w:rPr>
        <w:t>administered together</w:t>
      </w:r>
      <w:r w:rsidR="00A90CC6" w:rsidRPr="007214E1">
        <w:rPr>
          <w:rFonts w:ascii="Book Antiqua" w:hAnsi="Book Antiqua"/>
        </w:rPr>
        <w:t xml:space="preserve"> may produce a greater activation of the immune system due to the targeting of distinct pathways. </w:t>
      </w:r>
      <w:r w:rsidR="00A105EE" w:rsidRPr="007214E1">
        <w:rPr>
          <w:rFonts w:ascii="Book Antiqua" w:hAnsi="Book Antiqua"/>
        </w:rPr>
        <w:t xml:space="preserve">The use of an OX-40 monoclonal antibody in conjunction with </w:t>
      </w:r>
      <w:r w:rsidR="00DB12AE" w:rsidRPr="007214E1">
        <w:rPr>
          <w:rFonts w:ascii="Book Antiqua" w:hAnsi="Book Antiqua"/>
        </w:rPr>
        <w:t xml:space="preserve">an </w:t>
      </w:r>
      <w:r w:rsidR="00A105EE" w:rsidRPr="007214E1">
        <w:rPr>
          <w:rFonts w:ascii="Book Antiqua" w:hAnsi="Book Antiqua"/>
        </w:rPr>
        <w:t>anti-PD-1 monoclonal antibod</w:t>
      </w:r>
      <w:r w:rsidR="00DB12AE" w:rsidRPr="007214E1">
        <w:rPr>
          <w:rFonts w:ascii="Book Antiqua" w:hAnsi="Book Antiqua"/>
        </w:rPr>
        <w:t>y</w:t>
      </w:r>
      <w:r w:rsidR="00A105EE" w:rsidRPr="007214E1">
        <w:rPr>
          <w:rFonts w:ascii="Book Antiqua" w:hAnsi="Book Antiqua"/>
        </w:rPr>
        <w:t xml:space="preserve"> in mice</w:t>
      </w:r>
      <w:r w:rsidR="00DB12AE" w:rsidRPr="007214E1">
        <w:rPr>
          <w:rFonts w:ascii="Book Antiqua" w:hAnsi="Book Antiqua"/>
        </w:rPr>
        <w:t xml:space="preserve"> models of ovarian cancer</w:t>
      </w:r>
      <w:r w:rsidR="00A105EE" w:rsidRPr="007214E1">
        <w:rPr>
          <w:rFonts w:ascii="Book Antiqua" w:hAnsi="Book Antiqua"/>
        </w:rPr>
        <w:t xml:space="preserve"> produced </w:t>
      </w:r>
      <w:r w:rsidR="00DB12AE" w:rsidRPr="007214E1">
        <w:rPr>
          <w:rFonts w:ascii="Book Antiqua" w:hAnsi="Book Antiqua"/>
        </w:rPr>
        <w:t>responses that were superior than those from either agent alone</w:t>
      </w:r>
      <w:r w:rsidR="00A105EE" w:rsidRPr="007214E1">
        <w:rPr>
          <w:rFonts w:ascii="Book Antiqua" w:hAnsi="Book Antiqua"/>
          <w:vertAlign w:val="superscript"/>
        </w:rPr>
        <w:t>[42]</w:t>
      </w:r>
      <w:r w:rsidR="00A105EE" w:rsidRPr="007214E1">
        <w:rPr>
          <w:rFonts w:ascii="Book Antiqua" w:hAnsi="Book Antiqua"/>
        </w:rPr>
        <w:t xml:space="preserve">. </w:t>
      </w:r>
      <w:r w:rsidR="0098735A" w:rsidRPr="007214E1">
        <w:rPr>
          <w:rFonts w:ascii="Book Antiqua" w:hAnsi="Book Antiqua"/>
        </w:rPr>
        <w:t>A</w:t>
      </w:r>
      <w:r w:rsidR="00411A65" w:rsidRPr="007214E1">
        <w:rPr>
          <w:rFonts w:ascii="Book Antiqua" w:hAnsi="Book Antiqua"/>
        </w:rPr>
        <w:t xml:space="preserve"> phase I/II clinical trial (NCT03241173)</w:t>
      </w:r>
      <w:r w:rsidR="0098735A" w:rsidRPr="007214E1">
        <w:rPr>
          <w:rFonts w:ascii="Book Antiqua" w:hAnsi="Book Antiqua"/>
        </w:rPr>
        <w:t xml:space="preserve"> was </w:t>
      </w:r>
      <w:r w:rsidR="00DB12AE" w:rsidRPr="007214E1">
        <w:rPr>
          <w:rFonts w:ascii="Book Antiqua" w:hAnsi="Book Antiqua"/>
        </w:rPr>
        <w:t>performed</w:t>
      </w:r>
      <w:r w:rsidR="0098735A" w:rsidRPr="007214E1">
        <w:rPr>
          <w:rFonts w:ascii="Book Antiqua" w:hAnsi="Book Antiqua"/>
        </w:rPr>
        <w:t xml:space="preserve"> t</w:t>
      </w:r>
      <w:r w:rsidR="00A105EE" w:rsidRPr="007214E1">
        <w:rPr>
          <w:rFonts w:ascii="Book Antiqua" w:hAnsi="Book Antiqua"/>
        </w:rPr>
        <w:t xml:space="preserve">o determine whether </w:t>
      </w:r>
      <w:r w:rsidR="00DB12AE" w:rsidRPr="007214E1">
        <w:rPr>
          <w:rFonts w:ascii="Book Antiqua" w:hAnsi="Book Antiqua"/>
        </w:rPr>
        <w:t>this form of combination therapy is</w:t>
      </w:r>
      <w:r w:rsidR="00A105EE" w:rsidRPr="007214E1">
        <w:rPr>
          <w:rFonts w:ascii="Book Antiqua" w:hAnsi="Book Antiqua"/>
        </w:rPr>
        <w:t xml:space="preserve"> safe</w:t>
      </w:r>
      <w:r w:rsidR="00DB12AE" w:rsidRPr="007214E1">
        <w:rPr>
          <w:rFonts w:ascii="Book Antiqua" w:hAnsi="Book Antiqua"/>
        </w:rPr>
        <w:t xml:space="preserve"> and effective</w:t>
      </w:r>
      <w:r w:rsidR="00A105EE" w:rsidRPr="007214E1">
        <w:rPr>
          <w:rFonts w:ascii="Book Antiqua" w:hAnsi="Book Antiqua"/>
        </w:rPr>
        <w:t xml:space="preserve"> in </w:t>
      </w:r>
      <w:r w:rsidR="00D91597" w:rsidRPr="007214E1">
        <w:rPr>
          <w:rFonts w:ascii="Book Antiqua" w:hAnsi="Book Antiqua"/>
        </w:rPr>
        <w:t xml:space="preserve">patients with solid malignancies including </w:t>
      </w:r>
      <w:proofErr w:type="gramStart"/>
      <w:r w:rsidR="00D91597" w:rsidRPr="007214E1">
        <w:rPr>
          <w:rFonts w:ascii="Book Antiqua" w:hAnsi="Book Antiqua"/>
        </w:rPr>
        <w:t>HCC</w:t>
      </w:r>
      <w:r w:rsidR="00411A65" w:rsidRPr="007214E1">
        <w:rPr>
          <w:rFonts w:ascii="Book Antiqua" w:hAnsi="Book Antiqua"/>
          <w:vertAlign w:val="superscript"/>
        </w:rPr>
        <w:t>[</w:t>
      </w:r>
      <w:proofErr w:type="gramEnd"/>
      <w:r w:rsidR="00253E6D" w:rsidRPr="007214E1">
        <w:rPr>
          <w:rFonts w:ascii="Book Antiqua" w:hAnsi="Book Antiqua"/>
          <w:vertAlign w:val="superscript"/>
        </w:rPr>
        <w:t>4</w:t>
      </w:r>
      <w:r w:rsidR="00DB12AE" w:rsidRPr="007214E1">
        <w:rPr>
          <w:rFonts w:ascii="Book Antiqua" w:hAnsi="Book Antiqua"/>
          <w:vertAlign w:val="superscript"/>
        </w:rPr>
        <w:t>3</w:t>
      </w:r>
      <w:r w:rsidR="00411A65" w:rsidRPr="007214E1">
        <w:rPr>
          <w:rFonts w:ascii="Book Antiqua" w:hAnsi="Book Antiqua"/>
          <w:vertAlign w:val="superscript"/>
        </w:rPr>
        <w:t>]</w:t>
      </w:r>
      <w:r w:rsidR="00411A65" w:rsidRPr="007214E1">
        <w:rPr>
          <w:rFonts w:ascii="Book Antiqua" w:hAnsi="Book Antiqua"/>
        </w:rPr>
        <w:t>.</w:t>
      </w:r>
      <w:r w:rsidR="0098735A" w:rsidRPr="007214E1">
        <w:rPr>
          <w:rFonts w:ascii="Book Antiqua" w:hAnsi="Book Antiqua"/>
          <w:i/>
        </w:rPr>
        <w:t xml:space="preserve"> </w:t>
      </w:r>
      <w:r w:rsidR="00D91597" w:rsidRPr="007214E1">
        <w:rPr>
          <w:rFonts w:ascii="Book Antiqua" w:hAnsi="Book Antiqua"/>
        </w:rPr>
        <w:t>The study contained three separate arms</w:t>
      </w:r>
      <w:r w:rsidR="0098735A" w:rsidRPr="007214E1">
        <w:rPr>
          <w:rFonts w:ascii="Book Antiqua" w:hAnsi="Book Antiqua"/>
        </w:rPr>
        <w:t xml:space="preserve">, including two </w:t>
      </w:r>
      <w:r w:rsidR="00DB7BC8" w:rsidRPr="007214E1">
        <w:rPr>
          <w:rFonts w:ascii="Book Antiqua" w:hAnsi="Book Antiqua"/>
        </w:rPr>
        <w:t xml:space="preserve">arms </w:t>
      </w:r>
      <w:r w:rsidR="0098735A" w:rsidRPr="007214E1">
        <w:rPr>
          <w:rFonts w:ascii="Book Antiqua" w:hAnsi="Book Antiqua"/>
        </w:rPr>
        <w:t>where nivolumab or ipilimumab</w:t>
      </w:r>
      <w:r w:rsidR="000822C9" w:rsidRPr="007214E1">
        <w:rPr>
          <w:rFonts w:ascii="Book Antiqua" w:hAnsi="Book Antiqua"/>
        </w:rPr>
        <w:t xml:space="preserve"> alone</w:t>
      </w:r>
      <w:r w:rsidR="0098735A" w:rsidRPr="007214E1">
        <w:rPr>
          <w:rFonts w:ascii="Book Antiqua" w:hAnsi="Book Antiqua"/>
        </w:rPr>
        <w:t xml:space="preserve"> </w:t>
      </w:r>
      <w:r w:rsidR="000822C9" w:rsidRPr="007214E1">
        <w:rPr>
          <w:rFonts w:ascii="Book Antiqua" w:hAnsi="Book Antiqua"/>
        </w:rPr>
        <w:t>w</w:t>
      </w:r>
      <w:r w:rsidR="00D91597" w:rsidRPr="007214E1">
        <w:rPr>
          <w:rFonts w:ascii="Book Antiqua" w:hAnsi="Book Antiqua"/>
        </w:rPr>
        <w:t>ere</w:t>
      </w:r>
      <w:r w:rsidR="0098735A" w:rsidRPr="007214E1">
        <w:rPr>
          <w:rFonts w:ascii="Book Antiqua" w:hAnsi="Book Antiqua"/>
        </w:rPr>
        <w:t xml:space="preserve"> given with the OX-40 inhibitor INCAGN01949, and another</w:t>
      </w:r>
      <w:r w:rsidR="00DB7BC8" w:rsidRPr="007214E1">
        <w:rPr>
          <w:rFonts w:ascii="Book Antiqua" w:hAnsi="Book Antiqua"/>
        </w:rPr>
        <w:t xml:space="preserve"> arm</w:t>
      </w:r>
      <w:r w:rsidR="0098735A" w:rsidRPr="007214E1">
        <w:rPr>
          <w:rFonts w:ascii="Book Antiqua" w:hAnsi="Book Antiqua"/>
        </w:rPr>
        <w:t xml:space="preserve"> where both </w:t>
      </w:r>
      <w:r w:rsidR="002A1FDE" w:rsidRPr="007214E1">
        <w:rPr>
          <w:rFonts w:ascii="Book Antiqua" w:hAnsi="Book Antiqua"/>
        </w:rPr>
        <w:t>checkpoint inhibitors</w:t>
      </w:r>
      <w:r w:rsidR="0098735A" w:rsidRPr="007214E1">
        <w:rPr>
          <w:rFonts w:ascii="Book Antiqua" w:hAnsi="Book Antiqua"/>
        </w:rPr>
        <w:t xml:space="preserve"> </w:t>
      </w:r>
      <w:r w:rsidR="002A1FDE" w:rsidRPr="007214E1">
        <w:rPr>
          <w:rFonts w:ascii="Book Antiqua" w:hAnsi="Book Antiqua"/>
        </w:rPr>
        <w:t>and</w:t>
      </w:r>
      <w:r w:rsidR="0098735A" w:rsidRPr="007214E1">
        <w:rPr>
          <w:rFonts w:ascii="Book Antiqua" w:hAnsi="Book Antiqua"/>
        </w:rPr>
        <w:t xml:space="preserve"> </w:t>
      </w:r>
      <w:r w:rsidR="00253E6D" w:rsidRPr="007214E1">
        <w:rPr>
          <w:rFonts w:ascii="Book Antiqua" w:hAnsi="Book Antiqua"/>
        </w:rPr>
        <w:t>INCAGN01949</w:t>
      </w:r>
      <w:r w:rsidR="002A1FDE" w:rsidRPr="007214E1">
        <w:rPr>
          <w:rFonts w:ascii="Book Antiqua" w:hAnsi="Book Antiqua"/>
        </w:rPr>
        <w:t xml:space="preserve"> were administered </w:t>
      </w:r>
      <w:proofErr w:type="gramStart"/>
      <w:r w:rsidR="002A1FDE" w:rsidRPr="007214E1">
        <w:rPr>
          <w:rFonts w:ascii="Book Antiqua" w:hAnsi="Book Antiqua"/>
        </w:rPr>
        <w:t>together</w:t>
      </w:r>
      <w:r w:rsidR="0098735A" w:rsidRPr="007214E1">
        <w:rPr>
          <w:rFonts w:ascii="Book Antiqua" w:hAnsi="Book Antiqua"/>
          <w:vertAlign w:val="superscript"/>
        </w:rPr>
        <w:t>[</w:t>
      </w:r>
      <w:proofErr w:type="gramEnd"/>
      <w:r w:rsidR="000822C9" w:rsidRPr="007214E1">
        <w:rPr>
          <w:rFonts w:ascii="Book Antiqua" w:hAnsi="Book Antiqua"/>
          <w:vertAlign w:val="superscript"/>
        </w:rPr>
        <w:t>4</w:t>
      </w:r>
      <w:r w:rsidR="00A90CC6" w:rsidRPr="007214E1">
        <w:rPr>
          <w:rFonts w:ascii="Book Antiqua" w:hAnsi="Book Antiqua"/>
          <w:vertAlign w:val="superscript"/>
        </w:rPr>
        <w:t>3</w:t>
      </w:r>
      <w:r w:rsidR="0098735A" w:rsidRPr="007214E1">
        <w:rPr>
          <w:rFonts w:ascii="Book Antiqua" w:hAnsi="Book Antiqua"/>
          <w:vertAlign w:val="superscript"/>
        </w:rPr>
        <w:t>]</w:t>
      </w:r>
      <w:r w:rsidR="0098735A" w:rsidRPr="007214E1">
        <w:rPr>
          <w:rFonts w:ascii="Book Antiqua" w:hAnsi="Book Antiqua"/>
        </w:rPr>
        <w:t xml:space="preserve">. Results are </w:t>
      </w:r>
      <w:proofErr w:type="gramStart"/>
      <w:r w:rsidR="0098735A" w:rsidRPr="007214E1">
        <w:rPr>
          <w:rFonts w:ascii="Book Antiqua" w:hAnsi="Book Antiqua"/>
        </w:rPr>
        <w:t>pending</w:t>
      </w:r>
      <w:r w:rsidR="0098735A" w:rsidRPr="007214E1">
        <w:rPr>
          <w:rFonts w:ascii="Book Antiqua" w:hAnsi="Book Antiqua"/>
          <w:vertAlign w:val="superscript"/>
        </w:rPr>
        <w:t>[</w:t>
      </w:r>
      <w:proofErr w:type="gramEnd"/>
      <w:r w:rsidR="00253E6D" w:rsidRPr="007214E1">
        <w:rPr>
          <w:rFonts w:ascii="Book Antiqua" w:hAnsi="Book Antiqua"/>
          <w:vertAlign w:val="superscript"/>
        </w:rPr>
        <w:t>4</w:t>
      </w:r>
      <w:r w:rsidR="00DB12AE" w:rsidRPr="007214E1">
        <w:rPr>
          <w:rFonts w:ascii="Book Antiqua" w:hAnsi="Book Antiqua"/>
          <w:vertAlign w:val="superscript"/>
        </w:rPr>
        <w:t>3</w:t>
      </w:r>
      <w:r w:rsidR="0098735A" w:rsidRPr="007214E1">
        <w:rPr>
          <w:rFonts w:ascii="Book Antiqua" w:hAnsi="Book Antiqua"/>
          <w:vertAlign w:val="superscript"/>
        </w:rPr>
        <w:t>]</w:t>
      </w:r>
      <w:r w:rsidR="0098735A" w:rsidRPr="007214E1">
        <w:rPr>
          <w:rFonts w:ascii="Book Antiqua" w:hAnsi="Book Antiqua"/>
        </w:rPr>
        <w:t>.</w:t>
      </w:r>
      <w:r w:rsidR="005572B2" w:rsidRPr="007214E1">
        <w:rPr>
          <w:rFonts w:ascii="Book Antiqua" w:hAnsi="Book Antiqua"/>
          <w:i/>
        </w:rPr>
        <w:t xml:space="preserve"> </w:t>
      </w:r>
      <w:r w:rsidR="00411A65" w:rsidRPr="007214E1">
        <w:rPr>
          <w:rFonts w:ascii="Book Antiqua" w:hAnsi="Book Antiqua"/>
        </w:rPr>
        <w:t>An additional</w:t>
      </w:r>
      <w:r w:rsidR="005572B2" w:rsidRPr="007214E1">
        <w:rPr>
          <w:rFonts w:ascii="Book Antiqua" w:hAnsi="Book Antiqua"/>
        </w:rPr>
        <w:t xml:space="preserve"> phase I/II trial</w:t>
      </w:r>
      <w:r w:rsidR="00411A65" w:rsidRPr="007214E1">
        <w:rPr>
          <w:rFonts w:ascii="Book Antiqua" w:hAnsi="Book Antiqua"/>
        </w:rPr>
        <w:t xml:space="preserve"> </w:t>
      </w:r>
      <w:r w:rsidR="00A90CC6" w:rsidRPr="007214E1">
        <w:rPr>
          <w:rFonts w:ascii="Book Antiqua" w:hAnsi="Book Antiqua"/>
        </w:rPr>
        <w:t xml:space="preserve">sponsored </w:t>
      </w:r>
      <w:r w:rsidR="00411A65" w:rsidRPr="007214E1">
        <w:rPr>
          <w:rFonts w:ascii="Book Antiqua" w:hAnsi="Book Antiqua"/>
        </w:rPr>
        <w:t>by Incyte Biosciences</w:t>
      </w:r>
      <w:r w:rsidR="005572B2" w:rsidRPr="007214E1">
        <w:rPr>
          <w:rFonts w:ascii="Book Antiqua" w:hAnsi="Book Antiqua"/>
        </w:rPr>
        <w:t xml:space="preserve"> (NCT03126110)</w:t>
      </w:r>
      <w:r w:rsidR="00411A65" w:rsidRPr="007214E1">
        <w:rPr>
          <w:rFonts w:ascii="Book Antiqua" w:hAnsi="Book Antiqua"/>
        </w:rPr>
        <w:t xml:space="preserve"> </w:t>
      </w:r>
      <w:r w:rsidR="00253E6D" w:rsidRPr="007214E1">
        <w:rPr>
          <w:rFonts w:ascii="Book Antiqua" w:hAnsi="Book Antiqua"/>
        </w:rPr>
        <w:t xml:space="preserve">is active and is similarly designed to the </w:t>
      </w:r>
      <w:r w:rsidR="00D91597" w:rsidRPr="007214E1">
        <w:rPr>
          <w:rFonts w:ascii="Book Antiqua" w:hAnsi="Book Antiqua"/>
        </w:rPr>
        <w:t xml:space="preserve">first </w:t>
      </w:r>
      <w:r w:rsidR="00253E6D" w:rsidRPr="007214E1">
        <w:rPr>
          <w:rFonts w:ascii="Book Antiqua" w:hAnsi="Book Antiqua"/>
        </w:rPr>
        <w:t>trial</w:t>
      </w:r>
      <w:r w:rsidR="0098735A" w:rsidRPr="007214E1">
        <w:rPr>
          <w:rFonts w:ascii="Book Antiqua" w:hAnsi="Book Antiqua"/>
        </w:rPr>
        <w:t xml:space="preserve">, but is </w:t>
      </w:r>
      <w:r w:rsidR="00253E6D" w:rsidRPr="007214E1">
        <w:rPr>
          <w:rFonts w:ascii="Book Antiqua" w:hAnsi="Book Antiqua"/>
        </w:rPr>
        <w:t>employing</w:t>
      </w:r>
      <w:r w:rsidR="0098735A" w:rsidRPr="007214E1">
        <w:rPr>
          <w:rFonts w:ascii="Book Antiqua" w:hAnsi="Book Antiqua"/>
        </w:rPr>
        <w:t xml:space="preserve"> the </w:t>
      </w:r>
      <w:r w:rsidR="00411A65" w:rsidRPr="007214E1">
        <w:rPr>
          <w:rFonts w:ascii="Book Antiqua" w:hAnsi="Book Antiqua"/>
        </w:rPr>
        <w:t xml:space="preserve">OX40 </w:t>
      </w:r>
      <w:r w:rsidR="00411A65" w:rsidRPr="007214E1">
        <w:rPr>
          <w:rFonts w:ascii="Book Antiqua" w:hAnsi="Book Antiqua"/>
        </w:rPr>
        <w:lastRenderedPageBreak/>
        <w:t>agonist INCAGN01876</w:t>
      </w:r>
      <w:r w:rsidR="005572B2" w:rsidRPr="007214E1">
        <w:rPr>
          <w:rFonts w:ascii="Book Antiqua" w:hAnsi="Book Antiqua"/>
        </w:rPr>
        <w:t xml:space="preserve"> in patients with solid malignancies, including HCC</w:t>
      </w:r>
      <w:r w:rsidR="005572B2" w:rsidRPr="007214E1">
        <w:rPr>
          <w:rFonts w:ascii="Book Antiqua" w:hAnsi="Book Antiqua"/>
          <w:vertAlign w:val="superscript"/>
        </w:rPr>
        <w:t>[</w:t>
      </w:r>
      <w:r w:rsidR="00095FC5" w:rsidRPr="007214E1">
        <w:rPr>
          <w:rFonts w:ascii="Book Antiqua" w:hAnsi="Book Antiqua"/>
          <w:vertAlign w:val="superscript"/>
        </w:rPr>
        <w:t>43,</w:t>
      </w:r>
      <w:r w:rsidR="00253E6D" w:rsidRPr="007214E1">
        <w:rPr>
          <w:rFonts w:ascii="Book Antiqua" w:hAnsi="Book Antiqua"/>
          <w:vertAlign w:val="superscript"/>
        </w:rPr>
        <w:t>4</w:t>
      </w:r>
      <w:r w:rsidR="00A90CC6" w:rsidRPr="007214E1">
        <w:rPr>
          <w:rFonts w:ascii="Book Antiqua" w:hAnsi="Book Antiqua"/>
          <w:vertAlign w:val="superscript"/>
        </w:rPr>
        <w:t>4</w:t>
      </w:r>
      <w:r w:rsidR="005572B2" w:rsidRPr="007214E1">
        <w:rPr>
          <w:rFonts w:ascii="Book Antiqua" w:hAnsi="Book Antiqua"/>
          <w:vertAlign w:val="superscript"/>
        </w:rPr>
        <w:t>]</w:t>
      </w:r>
      <w:r w:rsidR="001F1560" w:rsidRPr="007214E1">
        <w:rPr>
          <w:rFonts w:ascii="Book Antiqua" w:eastAsia="宋体" w:hAnsi="Book Antiqua"/>
          <w:vertAlign w:val="superscript"/>
          <w:lang w:eastAsia="zh-CN"/>
        </w:rPr>
        <w:t xml:space="preserve"> </w:t>
      </w:r>
      <w:r w:rsidR="001F1560" w:rsidRPr="007214E1">
        <w:rPr>
          <w:rFonts w:ascii="Book Antiqua" w:eastAsia="宋体" w:hAnsi="Book Antiqua"/>
          <w:lang w:eastAsia="zh-CN"/>
        </w:rPr>
        <w:t>(Table 3)</w:t>
      </w:r>
      <w:r w:rsidR="005572B2" w:rsidRPr="007214E1">
        <w:rPr>
          <w:rFonts w:ascii="Book Antiqua" w:hAnsi="Book Antiqua"/>
        </w:rPr>
        <w:t>.</w:t>
      </w:r>
    </w:p>
    <w:p w14:paraId="3327743A" w14:textId="77777777" w:rsidR="00467EDD" w:rsidRPr="007214E1" w:rsidRDefault="00467EDD" w:rsidP="00EB43EE">
      <w:pPr>
        <w:snapToGrid w:val="0"/>
        <w:spacing w:line="360" w:lineRule="auto"/>
        <w:jc w:val="both"/>
        <w:rPr>
          <w:rFonts w:ascii="Book Antiqua" w:hAnsi="Book Antiqua"/>
          <w:b/>
          <w:i/>
          <w:u w:val="single"/>
        </w:rPr>
      </w:pPr>
    </w:p>
    <w:p w14:paraId="68EEABD6" w14:textId="586D79E7" w:rsidR="005A0FB3" w:rsidRPr="007214E1" w:rsidRDefault="00095FC5" w:rsidP="00EB43EE">
      <w:pPr>
        <w:snapToGrid w:val="0"/>
        <w:spacing w:line="360" w:lineRule="auto"/>
        <w:jc w:val="both"/>
        <w:rPr>
          <w:rFonts w:ascii="Book Antiqua" w:hAnsi="Book Antiqua"/>
          <w:b/>
          <w:caps/>
          <w:u w:val="single"/>
        </w:rPr>
      </w:pPr>
      <w:r w:rsidRPr="007214E1">
        <w:rPr>
          <w:rFonts w:ascii="Book Antiqua" w:hAnsi="Book Antiqua"/>
          <w:b/>
          <w:caps/>
          <w:u w:val="single"/>
        </w:rPr>
        <w:t>COMBINATION THERAPY WITH CHECKPOINT INHIBITORS PLUS Vascular endothelial growth factor OR vascular endothelial growth factor receptor INHIBITORS</w:t>
      </w:r>
    </w:p>
    <w:p w14:paraId="60522392" w14:textId="4A5D52E1" w:rsidR="00D40263" w:rsidRPr="007214E1" w:rsidRDefault="00781AB7" w:rsidP="00EB43EE">
      <w:pPr>
        <w:snapToGrid w:val="0"/>
        <w:spacing w:line="360" w:lineRule="auto"/>
        <w:jc w:val="both"/>
        <w:rPr>
          <w:rFonts w:ascii="Book Antiqua" w:hAnsi="Book Antiqua"/>
          <w:i/>
        </w:rPr>
      </w:pPr>
      <w:r w:rsidRPr="007214E1">
        <w:rPr>
          <w:rFonts w:ascii="Book Antiqua" w:hAnsi="Book Antiqua"/>
        </w:rPr>
        <w:t>Anti-angiogenic agents have been a focus of research in HCC due to the relatively high vascularity of HCC tumor</w:t>
      </w:r>
      <w:r w:rsidR="00DA78EE" w:rsidRPr="007214E1">
        <w:rPr>
          <w:rFonts w:ascii="Book Antiqua" w:hAnsi="Book Antiqua"/>
        </w:rPr>
        <w:t>s</w:t>
      </w:r>
      <w:r w:rsidRPr="007214E1">
        <w:rPr>
          <w:rFonts w:ascii="Book Antiqua" w:hAnsi="Book Antiqua"/>
        </w:rPr>
        <w:t xml:space="preserve">, however, studies suggest they may also have beneficial effects on the immune </w:t>
      </w:r>
      <w:proofErr w:type="gramStart"/>
      <w:r w:rsidRPr="007214E1">
        <w:rPr>
          <w:rFonts w:ascii="Book Antiqua" w:hAnsi="Book Antiqua"/>
        </w:rPr>
        <w:t>system</w:t>
      </w:r>
      <w:r w:rsidRPr="007214E1">
        <w:rPr>
          <w:rFonts w:ascii="Book Antiqua" w:hAnsi="Book Antiqua"/>
          <w:vertAlign w:val="superscript"/>
        </w:rPr>
        <w:t>[</w:t>
      </w:r>
      <w:proofErr w:type="gramEnd"/>
      <w:r w:rsidR="00D91597" w:rsidRPr="007214E1">
        <w:rPr>
          <w:rFonts w:ascii="Book Antiqua" w:hAnsi="Book Antiqua"/>
          <w:vertAlign w:val="superscript"/>
        </w:rPr>
        <w:t>45</w:t>
      </w:r>
      <w:r w:rsidR="00420E82" w:rsidRPr="007214E1">
        <w:rPr>
          <w:rFonts w:ascii="Book Antiqua" w:hAnsi="Book Antiqua"/>
          <w:vertAlign w:val="superscript"/>
        </w:rPr>
        <w:t>-47</w:t>
      </w:r>
      <w:r w:rsidRPr="007214E1">
        <w:rPr>
          <w:rFonts w:ascii="Book Antiqua" w:hAnsi="Book Antiqua"/>
          <w:vertAlign w:val="superscript"/>
        </w:rPr>
        <w:t>]</w:t>
      </w:r>
      <w:r w:rsidRPr="007214E1">
        <w:rPr>
          <w:rFonts w:ascii="Book Antiqua" w:hAnsi="Book Antiqua"/>
        </w:rPr>
        <w:t>.</w:t>
      </w:r>
      <w:r w:rsidRPr="007214E1">
        <w:rPr>
          <w:rFonts w:ascii="Book Antiqua" w:hAnsi="Book Antiqua"/>
          <w:i/>
        </w:rPr>
        <w:t xml:space="preserve"> </w:t>
      </w:r>
      <w:r w:rsidR="00095FC5" w:rsidRPr="007214E1">
        <w:rPr>
          <w:rFonts w:ascii="Book Antiqua" w:hAnsi="Book Antiqua"/>
        </w:rPr>
        <w:t>VEGF</w:t>
      </w:r>
      <w:r w:rsidR="005E1EAF" w:rsidRPr="007214E1">
        <w:rPr>
          <w:rFonts w:ascii="Book Antiqua" w:hAnsi="Book Antiqua"/>
        </w:rPr>
        <w:t xml:space="preserve"> </w:t>
      </w:r>
      <w:r w:rsidR="006444EC" w:rsidRPr="007214E1">
        <w:rPr>
          <w:rFonts w:ascii="Book Antiqua" w:hAnsi="Book Antiqua"/>
        </w:rPr>
        <w:t xml:space="preserve">expression can modulate the immune system </w:t>
      </w:r>
      <w:r w:rsidR="006444EC" w:rsidRPr="007214E1">
        <w:rPr>
          <w:rFonts w:ascii="Book Antiqua" w:hAnsi="Book Antiqua"/>
          <w:i/>
        </w:rPr>
        <w:t>via</w:t>
      </w:r>
      <w:r w:rsidR="006444EC" w:rsidRPr="007214E1">
        <w:rPr>
          <w:rFonts w:ascii="Book Antiqua" w:hAnsi="Book Antiqua"/>
        </w:rPr>
        <w:t xml:space="preserve"> various mechanisms, leading to </w:t>
      </w:r>
      <w:proofErr w:type="gramStart"/>
      <w:r w:rsidR="006444EC" w:rsidRPr="007214E1">
        <w:rPr>
          <w:rFonts w:ascii="Book Antiqua" w:hAnsi="Book Antiqua"/>
        </w:rPr>
        <w:t>immunosuppression</w:t>
      </w:r>
      <w:r w:rsidR="006444EC" w:rsidRPr="007214E1">
        <w:rPr>
          <w:rFonts w:ascii="Book Antiqua" w:hAnsi="Book Antiqua"/>
          <w:vertAlign w:val="superscript"/>
        </w:rPr>
        <w:t>[</w:t>
      </w:r>
      <w:proofErr w:type="gramEnd"/>
      <w:r w:rsidR="00420E82" w:rsidRPr="007214E1">
        <w:rPr>
          <w:rFonts w:ascii="Book Antiqua" w:hAnsi="Book Antiqua"/>
          <w:vertAlign w:val="superscript"/>
        </w:rPr>
        <w:t>46</w:t>
      </w:r>
      <w:r w:rsidR="00095FC5" w:rsidRPr="007214E1">
        <w:rPr>
          <w:rFonts w:ascii="Book Antiqua" w:hAnsi="Book Antiqua"/>
          <w:vertAlign w:val="superscript"/>
        </w:rPr>
        <w:t>,</w:t>
      </w:r>
      <w:r w:rsidR="00420E82" w:rsidRPr="007214E1">
        <w:rPr>
          <w:rFonts w:ascii="Book Antiqua" w:hAnsi="Book Antiqua"/>
          <w:vertAlign w:val="superscript"/>
        </w:rPr>
        <w:t>47</w:t>
      </w:r>
      <w:r w:rsidR="006444EC" w:rsidRPr="007214E1">
        <w:rPr>
          <w:rFonts w:ascii="Book Antiqua" w:hAnsi="Book Antiqua"/>
          <w:vertAlign w:val="superscript"/>
        </w:rPr>
        <w:t>]</w:t>
      </w:r>
      <w:r w:rsidR="006444EC" w:rsidRPr="007214E1">
        <w:rPr>
          <w:rFonts w:ascii="Book Antiqua" w:hAnsi="Book Antiqua"/>
        </w:rPr>
        <w:t>.</w:t>
      </w:r>
      <w:r w:rsidR="00D40263" w:rsidRPr="007214E1">
        <w:rPr>
          <w:rFonts w:ascii="Book Antiqua" w:hAnsi="Book Antiqua"/>
        </w:rPr>
        <w:t xml:space="preserve"> VEGF</w:t>
      </w:r>
      <w:r w:rsidR="0013199D" w:rsidRPr="007214E1">
        <w:rPr>
          <w:rFonts w:ascii="Book Antiqua" w:hAnsi="Book Antiqua"/>
        </w:rPr>
        <w:t xml:space="preserve"> molecules</w:t>
      </w:r>
      <w:r w:rsidR="00E52006" w:rsidRPr="007214E1">
        <w:rPr>
          <w:rFonts w:ascii="Book Antiqua" w:hAnsi="Book Antiqua"/>
        </w:rPr>
        <w:t xml:space="preserve"> can</w:t>
      </w:r>
      <w:r w:rsidR="0013199D" w:rsidRPr="007214E1">
        <w:rPr>
          <w:rFonts w:ascii="Book Antiqua" w:hAnsi="Book Antiqua"/>
        </w:rPr>
        <w:t xml:space="preserve"> </w:t>
      </w:r>
      <w:r w:rsidR="00D40263" w:rsidRPr="007214E1">
        <w:rPr>
          <w:rFonts w:ascii="Book Antiqua" w:hAnsi="Book Antiqua"/>
        </w:rPr>
        <w:t xml:space="preserve">inhibit leukocyte adherence to the endothelium, </w:t>
      </w:r>
      <w:r w:rsidR="0013199D" w:rsidRPr="007214E1">
        <w:rPr>
          <w:rFonts w:ascii="Book Antiqua" w:hAnsi="Book Antiqua"/>
        </w:rPr>
        <w:t xml:space="preserve">inhibit the development of dendritic cells, </w:t>
      </w:r>
      <w:r w:rsidR="00F353A2" w:rsidRPr="007214E1">
        <w:rPr>
          <w:rFonts w:ascii="Book Antiqua" w:hAnsi="Book Antiqua"/>
        </w:rPr>
        <w:t xml:space="preserve">and </w:t>
      </w:r>
      <w:r w:rsidR="0013199D" w:rsidRPr="007214E1">
        <w:rPr>
          <w:rFonts w:ascii="Book Antiqua" w:hAnsi="Book Antiqua"/>
        </w:rPr>
        <w:t xml:space="preserve">promote Treg </w:t>
      </w:r>
      <w:proofErr w:type="gramStart"/>
      <w:r w:rsidR="0013199D" w:rsidRPr="007214E1">
        <w:rPr>
          <w:rFonts w:ascii="Book Antiqua" w:hAnsi="Book Antiqua"/>
        </w:rPr>
        <w:t>proliferation</w:t>
      </w:r>
      <w:r w:rsidR="0013199D" w:rsidRPr="007214E1">
        <w:rPr>
          <w:rFonts w:ascii="Book Antiqua" w:hAnsi="Book Antiqua"/>
          <w:vertAlign w:val="superscript"/>
        </w:rPr>
        <w:t>[</w:t>
      </w:r>
      <w:proofErr w:type="gramEnd"/>
      <w:r w:rsidR="00095FC5" w:rsidRPr="007214E1">
        <w:rPr>
          <w:rFonts w:ascii="Book Antiqua" w:hAnsi="Book Antiqua"/>
          <w:vertAlign w:val="superscript"/>
        </w:rPr>
        <w:t>46,</w:t>
      </w:r>
      <w:r w:rsidR="00420E82" w:rsidRPr="007214E1">
        <w:rPr>
          <w:rFonts w:ascii="Book Antiqua" w:hAnsi="Book Antiqua"/>
          <w:vertAlign w:val="superscript"/>
        </w:rPr>
        <w:t>47</w:t>
      </w:r>
      <w:r w:rsidR="0013199D" w:rsidRPr="007214E1">
        <w:rPr>
          <w:rFonts w:ascii="Book Antiqua" w:hAnsi="Book Antiqua"/>
          <w:vertAlign w:val="superscript"/>
        </w:rPr>
        <w:t>]</w:t>
      </w:r>
      <w:r w:rsidR="0013199D" w:rsidRPr="007214E1">
        <w:rPr>
          <w:rFonts w:ascii="Book Antiqua" w:hAnsi="Book Antiqua"/>
        </w:rPr>
        <w:t xml:space="preserve">. </w:t>
      </w:r>
      <w:r w:rsidR="001D36F4" w:rsidRPr="007214E1">
        <w:rPr>
          <w:rFonts w:ascii="Book Antiqua" w:hAnsi="Book Antiqua"/>
        </w:rPr>
        <w:t xml:space="preserve">The combination of checkpoint inhibitors </w:t>
      </w:r>
      <w:r w:rsidR="005E1EAF" w:rsidRPr="007214E1">
        <w:rPr>
          <w:rFonts w:ascii="Book Antiqua" w:hAnsi="Book Antiqua"/>
        </w:rPr>
        <w:t>and</w:t>
      </w:r>
      <w:r w:rsidR="001D36F4" w:rsidRPr="007214E1">
        <w:rPr>
          <w:rFonts w:ascii="Book Antiqua" w:hAnsi="Book Antiqua"/>
        </w:rPr>
        <w:t xml:space="preserve"> VEGF</w:t>
      </w:r>
      <w:r w:rsidR="005E1EAF" w:rsidRPr="007214E1">
        <w:rPr>
          <w:rFonts w:ascii="Book Antiqua" w:hAnsi="Book Antiqua"/>
        </w:rPr>
        <w:t xml:space="preserve"> or vascular endothelial growth factor receptor (VEGFR)</w:t>
      </w:r>
      <w:r w:rsidR="001D36F4" w:rsidRPr="007214E1">
        <w:rPr>
          <w:rFonts w:ascii="Book Antiqua" w:hAnsi="Book Antiqua"/>
        </w:rPr>
        <w:t xml:space="preserve"> inhibitors</w:t>
      </w:r>
      <w:r w:rsidR="005E1EAF" w:rsidRPr="007214E1">
        <w:rPr>
          <w:rFonts w:ascii="Book Antiqua" w:hAnsi="Book Antiqua"/>
        </w:rPr>
        <w:t xml:space="preserve"> may cause </w:t>
      </w:r>
      <w:r w:rsidR="00C73903" w:rsidRPr="007214E1">
        <w:rPr>
          <w:rFonts w:ascii="Book Antiqua" w:hAnsi="Book Antiqua"/>
        </w:rPr>
        <w:t xml:space="preserve">a </w:t>
      </w:r>
      <w:r w:rsidR="00902229" w:rsidRPr="007214E1">
        <w:rPr>
          <w:rFonts w:ascii="Book Antiqua" w:hAnsi="Book Antiqua"/>
        </w:rPr>
        <w:t>greater</w:t>
      </w:r>
      <w:r w:rsidR="00C73903" w:rsidRPr="007214E1">
        <w:rPr>
          <w:rFonts w:ascii="Book Antiqua" w:hAnsi="Book Antiqua"/>
        </w:rPr>
        <w:t xml:space="preserve"> net</w:t>
      </w:r>
      <w:r w:rsidR="005E1EAF" w:rsidRPr="007214E1">
        <w:rPr>
          <w:rFonts w:ascii="Book Antiqua" w:hAnsi="Book Antiqua"/>
        </w:rPr>
        <w:t xml:space="preserve"> activation of the immune system</w:t>
      </w:r>
      <w:r w:rsidR="00902229" w:rsidRPr="007214E1">
        <w:rPr>
          <w:rFonts w:ascii="Book Antiqua" w:hAnsi="Book Antiqua"/>
        </w:rPr>
        <w:t xml:space="preserve"> than checkpoint inhibitors alone</w:t>
      </w:r>
      <w:r w:rsidR="005E1EAF" w:rsidRPr="007214E1">
        <w:rPr>
          <w:rFonts w:ascii="Book Antiqua" w:hAnsi="Book Antiqua"/>
        </w:rPr>
        <w:t xml:space="preserve"> due to</w:t>
      </w:r>
      <w:r w:rsidR="00902229" w:rsidRPr="007214E1">
        <w:rPr>
          <w:rFonts w:ascii="Book Antiqua" w:hAnsi="Book Antiqua"/>
        </w:rPr>
        <w:t xml:space="preserve"> the added effect of</w:t>
      </w:r>
      <w:r w:rsidR="005E1EAF" w:rsidRPr="007214E1">
        <w:rPr>
          <w:rFonts w:ascii="Book Antiqua" w:hAnsi="Book Antiqua"/>
        </w:rPr>
        <w:t xml:space="preserve"> VEGF inhibition.</w:t>
      </w:r>
    </w:p>
    <w:p w14:paraId="08FE18B4" w14:textId="644F2A53" w:rsidR="00300584" w:rsidRPr="007214E1" w:rsidRDefault="00300584" w:rsidP="00EB43EE">
      <w:pPr>
        <w:snapToGrid w:val="0"/>
        <w:spacing w:line="360" w:lineRule="auto"/>
        <w:jc w:val="both"/>
        <w:rPr>
          <w:rFonts w:ascii="Book Antiqua" w:hAnsi="Book Antiqua"/>
          <w:b/>
          <w:i/>
        </w:rPr>
      </w:pPr>
    </w:p>
    <w:p w14:paraId="655F3A25" w14:textId="588236C2" w:rsidR="00FD0D23" w:rsidRPr="007214E1" w:rsidRDefault="001A659B" w:rsidP="00EB43EE">
      <w:pPr>
        <w:snapToGrid w:val="0"/>
        <w:spacing w:line="360" w:lineRule="auto"/>
        <w:jc w:val="both"/>
        <w:rPr>
          <w:rFonts w:ascii="Book Antiqua" w:hAnsi="Book Antiqua"/>
          <w:b/>
          <w:i/>
        </w:rPr>
      </w:pPr>
      <w:r w:rsidRPr="007214E1">
        <w:rPr>
          <w:rFonts w:ascii="Book Antiqua" w:hAnsi="Book Antiqua"/>
          <w:b/>
          <w:i/>
        </w:rPr>
        <w:t xml:space="preserve">Atezolizumab </w:t>
      </w:r>
      <w:r w:rsidR="00095FC5" w:rsidRPr="007214E1">
        <w:rPr>
          <w:rFonts w:ascii="Book Antiqua" w:hAnsi="Book Antiqua"/>
          <w:b/>
          <w:i/>
        </w:rPr>
        <w:t>plus bevacizumab</w:t>
      </w:r>
    </w:p>
    <w:p w14:paraId="6C4F9AFB" w14:textId="7A864AD7" w:rsidR="00F353A2" w:rsidRPr="007214E1" w:rsidRDefault="006448A1" w:rsidP="00EB43EE">
      <w:pPr>
        <w:snapToGrid w:val="0"/>
        <w:spacing w:line="360" w:lineRule="auto"/>
        <w:jc w:val="both"/>
        <w:rPr>
          <w:rFonts w:ascii="Book Antiqua" w:hAnsi="Book Antiqua"/>
        </w:rPr>
      </w:pPr>
      <w:r w:rsidRPr="007214E1">
        <w:rPr>
          <w:rFonts w:ascii="Book Antiqua" w:hAnsi="Book Antiqua"/>
        </w:rPr>
        <w:t>Bevacizumab, a VEG</w:t>
      </w:r>
      <w:r w:rsidR="005E1EAF" w:rsidRPr="007214E1">
        <w:rPr>
          <w:rFonts w:ascii="Book Antiqua" w:hAnsi="Book Antiqua"/>
        </w:rPr>
        <w:t xml:space="preserve">F </w:t>
      </w:r>
      <w:r w:rsidRPr="007214E1">
        <w:rPr>
          <w:rFonts w:ascii="Book Antiqua" w:hAnsi="Book Antiqua"/>
        </w:rPr>
        <w:t xml:space="preserve">inhibitor, is currently </w:t>
      </w:r>
      <w:r w:rsidR="001D13E1" w:rsidRPr="007214E1">
        <w:rPr>
          <w:rFonts w:ascii="Book Antiqua" w:hAnsi="Book Antiqua"/>
        </w:rPr>
        <w:t>approved for the treatment of multiple malignancies</w:t>
      </w:r>
      <w:r w:rsidRPr="007214E1">
        <w:rPr>
          <w:rFonts w:ascii="Book Antiqua" w:hAnsi="Book Antiqua"/>
        </w:rPr>
        <w:t>, including metastatic colorectal cancer, non</w:t>
      </w:r>
      <w:r w:rsidR="00902229" w:rsidRPr="007214E1">
        <w:rPr>
          <w:rFonts w:ascii="Book Antiqua" w:hAnsi="Book Antiqua"/>
        </w:rPr>
        <w:t>-</w:t>
      </w:r>
      <w:r w:rsidRPr="007214E1">
        <w:rPr>
          <w:rFonts w:ascii="Book Antiqua" w:hAnsi="Book Antiqua"/>
        </w:rPr>
        <w:t xml:space="preserve">squamous </w:t>
      </w:r>
      <w:r w:rsidR="00902229" w:rsidRPr="007214E1">
        <w:rPr>
          <w:rFonts w:ascii="Book Antiqua" w:hAnsi="Book Antiqua"/>
        </w:rPr>
        <w:t>non-small cell lung cancer</w:t>
      </w:r>
      <w:r w:rsidRPr="007214E1">
        <w:rPr>
          <w:rFonts w:ascii="Book Antiqua" w:hAnsi="Book Antiqua"/>
        </w:rPr>
        <w:t xml:space="preserve">, and ovarian </w:t>
      </w:r>
      <w:proofErr w:type="gramStart"/>
      <w:r w:rsidRPr="007214E1">
        <w:rPr>
          <w:rFonts w:ascii="Book Antiqua" w:hAnsi="Book Antiqua"/>
        </w:rPr>
        <w:t>cancer</w:t>
      </w:r>
      <w:r w:rsidRPr="007214E1">
        <w:rPr>
          <w:rFonts w:ascii="Book Antiqua" w:hAnsi="Book Antiqua"/>
          <w:vertAlign w:val="superscript"/>
        </w:rPr>
        <w:t>[</w:t>
      </w:r>
      <w:proofErr w:type="gramEnd"/>
      <w:r w:rsidR="001D13E1" w:rsidRPr="007214E1">
        <w:rPr>
          <w:rFonts w:ascii="Book Antiqua" w:hAnsi="Book Antiqua"/>
          <w:vertAlign w:val="superscript"/>
        </w:rPr>
        <w:t>4</w:t>
      </w:r>
      <w:r w:rsidR="00E85B87" w:rsidRPr="007214E1">
        <w:rPr>
          <w:rFonts w:ascii="Book Antiqua" w:hAnsi="Book Antiqua"/>
          <w:vertAlign w:val="superscript"/>
        </w:rPr>
        <w:t>8</w:t>
      </w:r>
      <w:r w:rsidRPr="007214E1">
        <w:rPr>
          <w:rFonts w:ascii="Book Antiqua" w:hAnsi="Book Antiqua"/>
          <w:vertAlign w:val="superscript"/>
        </w:rPr>
        <w:t>]</w:t>
      </w:r>
      <w:r w:rsidRPr="007214E1">
        <w:rPr>
          <w:rFonts w:ascii="Book Antiqua" w:hAnsi="Book Antiqua"/>
        </w:rPr>
        <w:t>. Bevacizumab was studied in a phase II trial</w:t>
      </w:r>
      <w:r w:rsidR="00896A78" w:rsidRPr="007214E1">
        <w:rPr>
          <w:rFonts w:ascii="Book Antiqua" w:hAnsi="Book Antiqua"/>
        </w:rPr>
        <w:t xml:space="preserve"> </w:t>
      </w:r>
      <w:r w:rsidRPr="007214E1">
        <w:rPr>
          <w:rFonts w:ascii="Book Antiqua" w:hAnsi="Book Antiqua"/>
        </w:rPr>
        <w:t xml:space="preserve">in </w:t>
      </w:r>
      <w:r w:rsidR="00896A78" w:rsidRPr="007214E1">
        <w:rPr>
          <w:rFonts w:ascii="Book Antiqua" w:hAnsi="Book Antiqua"/>
        </w:rPr>
        <w:t xml:space="preserve">46 </w:t>
      </w:r>
      <w:r w:rsidRPr="007214E1">
        <w:rPr>
          <w:rFonts w:ascii="Book Antiqua" w:hAnsi="Book Antiqua"/>
        </w:rPr>
        <w:t xml:space="preserve">patients with unresectable HCC and </w:t>
      </w:r>
      <w:r w:rsidR="002A4F82" w:rsidRPr="007214E1">
        <w:rPr>
          <w:rFonts w:ascii="Book Antiqua" w:hAnsi="Book Antiqua"/>
        </w:rPr>
        <w:t>treatment resulted in</w:t>
      </w:r>
      <w:r w:rsidRPr="007214E1">
        <w:rPr>
          <w:rFonts w:ascii="Book Antiqua" w:hAnsi="Book Antiqua"/>
        </w:rPr>
        <w:t xml:space="preserve"> a median PFS of 6.9 </w:t>
      </w:r>
      <w:proofErr w:type="spellStart"/>
      <w:r w:rsidRPr="007214E1">
        <w:rPr>
          <w:rFonts w:ascii="Book Antiqua" w:hAnsi="Book Antiqua"/>
        </w:rPr>
        <w:t>mo</w:t>
      </w:r>
      <w:proofErr w:type="spellEnd"/>
      <w:r w:rsidRPr="007214E1">
        <w:rPr>
          <w:rFonts w:ascii="Book Antiqua" w:hAnsi="Book Antiqua"/>
        </w:rPr>
        <w:t xml:space="preserve"> and an OS</w:t>
      </w:r>
      <w:r w:rsidR="00DC1FCE" w:rsidRPr="007214E1">
        <w:rPr>
          <w:rFonts w:ascii="Book Antiqua" w:hAnsi="Book Antiqua"/>
        </w:rPr>
        <w:t xml:space="preserve"> rate</w:t>
      </w:r>
      <w:r w:rsidRPr="007214E1">
        <w:rPr>
          <w:rFonts w:ascii="Book Antiqua" w:hAnsi="Book Antiqua"/>
        </w:rPr>
        <w:t xml:space="preserve"> of 53% at 1 year</w:t>
      </w:r>
      <w:r w:rsidR="00DC1FCE" w:rsidRPr="007214E1">
        <w:rPr>
          <w:rFonts w:ascii="Book Antiqua" w:hAnsi="Book Antiqua"/>
        </w:rPr>
        <w:t xml:space="preserve">, 28% at 2 years, and 23% at 3 </w:t>
      </w:r>
      <w:proofErr w:type="gramStart"/>
      <w:r w:rsidR="00DC1FCE" w:rsidRPr="007214E1">
        <w:rPr>
          <w:rFonts w:ascii="Book Antiqua" w:hAnsi="Book Antiqua"/>
        </w:rPr>
        <w:t>years</w:t>
      </w:r>
      <w:r w:rsidRPr="007214E1">
        <w:rPr>
          <w:rFonts w:ascii="Book Antiqua" w:hAnsi="Book Antiqua"/>
          <w:vertAlign w:val="superscript"/>
        </w:rPr>
        <w:t>[</w:t>
      </w:r>
      <w:proofErr w:type="gramEnd"/>
      <w:r w:rsidR="00896A78" w:rsidRPr="007214E1">
        <w:rPr>
          <w:rFonts w:ascii="Book Antiqua" w:hAnsi="Book Antiqua"/>
          <w:vertAlign w:val="superscript"/>
        </w:rPr>
        <w:t>49</w:t>
      </w:r>
      <w:r w:rsidRPr="007214E1">
        <w:rPr>
          <w:rFonts w:ascii="Book Antiqua" w:hAnsi="Book Antiqua"/>
          <w:vertAlign w:val="superscript"/>
        </w:rPr>
        <w:t>]</w:t>
      </w:r>
      <w:r w:rsidRPr="007214E1">
        <w:rPr>
          <w:rFonts w:ascii="Book Antiqua" w:hAnsi="Book Antiqua"/>
        </w:rPr>
        <w:t xml:space="preserve">. However, 11% of patients developed clinically significant bleeding, including one patient who suffered a variceal bleed that was ultimately </w:t>
      </w:r>
      <w:proofErr w:type="gramStart"/>
      <w:r w:rsidRPr="007214E1">
        <w:rPr>
          <w:rFonts w:ascii="Book Antiqua" w:hAnsi="Book Antiqua"/>
        </w:rPr>
        <w:t>fatal</w:t>
      </w:r>
      <w:r w:rsidRPr="007214E1">
        <w:rPr>
          <w:rFonts w:ascii="Book Antiqua" w:hAnsi="Book Antiqua"/>
          <w:vertAlign w:val="superscript"/>
        </w:rPr>
        <w:t>[</w:t>
      </w:r>
      <w:proofErr w:type="gramEnd"/>
      <w:r w:rsidR="00896A78" w:rsidRPr="007214E1">
        <w:rPr>
          <w:rFonts w:ascii="Book Antiqua" w:hAnsi="Book Antiqua"/>
          <w:vertAlign w:val="superscript"/>
        </w:rPr>
        <w:t>49</w:t>
      </w:r>
      <w:r w:rsidRPr="007214E1">
        <w:rPr>
          <w:rFonts w:ascii="Book Antiqua" w:hAnsi="Book Antiqua"/>
          <w:vertAlign w:val="superscript"/>
        </w:rPr>
        <w:t>]</w:t>
      </w:r>
      <w:r w:rsidRPr="007214E1">
        <w:rPr>
          <w:rFonts w:ascii="Book Antiqua" w:hAnsi="Book Antiqua"/>
        </w:rPr>
        <w:t>.</w:t>
      </w:r>
      <w:r w:rsidR="00896A78" w:rsidRPr="007214E1">
        <w:rPr>
          <w:rFonts w:ascii="Book Antiqua" w:hAnsi="Book Antiqua"/>
          <w:i/>
        </w:rPr>
        <w:t xml:space="preserve"> </w:t>
      </w:r>
      <w:r w:rsidR="00896A78" w:rsidRPr="007214E1">
        <w:rPr>
          <w:rFonts w:ascii="Book Antiqua" w:hAnsi="Book Antiqua"/>
        </w:rPr>
        <w:t>Another phase II study evaluating single-agent bevacizumab in advanced HCC patients found that 9%</w:t>
      </w:r>
      <w:r w:rsidR="00DB7BC8" w:rsidRPr="007214E1">
        <w:rPr>
          <w:rFonts w:ascii="Book Antiqua" w:hAnsi="Book Antiqua"/>
        </w:rPr>
        <w:t xml:space="preserve"> of patients</w:t>
      </w:r>
      <w:r w:rsidR="00896A78" w:rsidRPr="007214E1">
        <w:rPr>
          <w:rFonts w:ascii="Book Antiqua" w:hAnsi="Book Antiqua"/>
        </w:rPr>
        <w:t xml:space="preserve"> developed gastrointestinal </w:t>
      </w:r>
      <w:proofErr w:type="gramStart"/>
      <w:r w:rsidR="00896A78" w:rsidRPr="007214E1">
        <w:rPr>
          <w:rFonts w:ascii="Book Antiqua" w:hAnsi="Book Antiqua"/>
        </w:rPr>
        <w:t>bleeding</w:t>
      </w:r>
      <w:r w:rsidR="00896A78" w:rsidRPr="007214E1">
        <w:rPr>
          <w:rFonts w:ascii="Book Antiqua" w:hAnsi="Book Antiqua"/>
          <w:vertAlign w:val="superscript"/>
        </w:rPr>
        <w:t>[</w:t>
      </w:r>
      <w:proofErr w:type="gramEnd"/>
      <w:r w:rsidR="00896A78" w:rsidRPr="007214E1">
        <w:rPr>
          <w:rFonts w:ascii="Book Antiqua" w:hAnsi="Book Antiqua"/>
          <w:vertAlign w:val="superscript"/>
        </w:rPr>
        <w:t>45]</w:t>
      </w:r>
      <w:r w:rsidR="00896A78" w:rsidRPr="007214E1">
        <w:rPr>
          <w:rFonts w:ascii="Book Antiqua" w:hAnsi="Book Antiqua"/>
        </w:rPr>
        <w:t xml:space="preserve">. </w:t>
      </w:r>
      <w:r w:rsidR="002D218E" w:rsidRPr="007214E1">
        <w:rPr>
          <w:rFonts w:ascii="Book Antiqua" w:hAnsi="Book Antiqua"/>
        </w:rPr>
        <w:t>Atezolizumab is a humanized monoclonal antibody that targets PD-L1</w:t>
      </w:r>
      <w:r w:rsidR="00902145" w:rsidRPr="007214E1">
        <w:rPr>
          <w:rFonts w:ascii="Book Antiqua" w:hAnsi="Book Antiqua"/>
        </w:rPr>
        <w:t xml:space="preserve"> and prevents its binding</w:t>
      </w:r>
      <w:r w:rsidR="002D218E" w:rsidRPr="007214E1">
        <w:rPr>
          <w:rFonts w:ascii="Book Antiqua" w:hAnsi="Book Antiqua"/>
        </w:rPr>
        <w:t xml:space="preserve"> to the PD-1 receptor and the B7.1 </w:t>
      </w:r>
      <w:proofErr w:type="gramStart"/>
      <w:r w:rsidR="002D218E" w:rsidRPr="007214E1">
        <w:rPr>
          <w:rFonts w:ascii="Book Antiqua" w:hAnsi="Book Antiqua"/>
        </w:rPr>
        <w:t>molecule</w:t>
      </w:r>
      <w:r w:rsidR="002D218E" w:rsidRPr="007214E1">
        <w:rPr>
          <w:rFonts w:ascii="Book Antiqua" w:hAnsi="Book Antiqua"/>
          <w:vertAlign w:val="superscript"/>
        </w:rPr>
        <w:t>[</w:t>
      </w:r>
      <w:proofErr w:type="gramEnd"/>
      <w:r w:rsidR="00E62B8E" w:rsidRPr="007214E1">
        <w:rPr>
          <w:rFonts w:ascii="Book Antiqua" w:hAnsi="Book Antiqua"/>
          <w:vertAlign w:val="superscript"/>
        </w:rPr>
        <w:t>5</w:t>
      </w:r>
      <w:r w:rsidR="00902145" w:rsidRPr="007214E1">
        <w:rPr>
          <w:rFonts w:ascii="Book Antiqua" w:hAnsi="Book Antiqua"/>
          <w:vertAlign w:val="superscript"/>
        </w:rPr>
        <w:t>0</w:t>
      </w:r>
      <w:r w:rsidR="002D218E" w:rsidRPr="007214E1">
        <w:rPr>
          <w:rFonts w:ascii="Book Antiqua" w:hAnsi="Book Antiqua"/>
          <w:vertAlign w:val="superscript"/>
        </w:rPr>
        <w:t>]</w:t>
      </w:r>
      <w:r w:rsidR="002D218E" w:rsidRPr="007214E1">
        <w:rPr>
          <w:rFonts w:ascii="Book Antiqua" w:hAnsi="Book Antiqua"/>
        </w:rPr>
        <w:t xml:space="preserve">. It has been </w:t>
      </w:r>
      <w:r w:rsidR="002D218E" w:rsidRPr="007214E1">
        <w:rPr>
          <w:rFonts w:ascii="Book Antiqua" w:hAnsi="Book Antiqua"/>
        </w:rPr>
        <w:lastRenderedPageBreak/>
        <w:t xml:space="preserve">approved </w:t>
      </w:r>
      <w:r w:rsidR="007A2002" w:rsidRPr="007214E1">
        <w:rPr>
          <w:rFonts w:ascii="Book Antiqua" w:hAnsi="Book Antiqua"/>
        </w:rPr>
        <w:t xml:space="preserve">either as a single agent or in combination with chemotherapy </w:t>
      </w:r>
      <w:r w:rsidR="002D218E" w:rsidRPr="007214E1">
        <w:rPr>
          <w:rFonts w:ascii="Book Antiqua" w:hAnsi="Book Antiqua"/>
        </w:rPr>
        <w:t xml:space="preserve">for the treatment of patients with </w:t>
      </w:r>
      <w:r w:rsidR="00095FC5" w:rsidRPr="007214E1">
        <w:rPr>
          <w:rFonts w:ascii="Book Antiqua" w:hAnsi="Book Antiqua"/>
        </w:rPr>
        <w:t>non-small cell lung cancer</w:t>
      </w:r>
      <w:r w:rsidR="002D218E" w:rsidRPr="007214E1">
        <w:rPr>
          <w:rFonts w:ascii="Book Antiqua" w:hAnsi="Book Antiqua"/>
        </w:rPr>
        <w:t>, small-cell lung cancer, urothelial carcinoma</w:t>
      </w:r>
      <w:r w:rsidR="00902229" w:rsidRPr="007214E1">
        <w:rPr>
          <w:rFonts w:ascii="Book Antiqua" w:hAnsi="Book Antiqua"/>
        </w:rPr>
        <w:t>,</w:t>
      </w:r>
      <w:r w:rsidR="002D218E" w:rsidRPr="007214E1">
        <w:rPr>
          <w:rFonts w:ascii="Book Antiqua" w:hAnsi="Book Antiqua"/>
        </w:rPr>
        <w:t xml:space="preserve"> and breast </w:t>
      </w:r>
      <w:proofErr w:type="gramStart"/>
      <w:r w:rsidR="002D218E" w:rsidRPr="007214E1">
        <w:rPr>
          <w:rFonts w:ascii="Book Antiqua" w:hAnsi="Book Antiqua"/>
        </w:rPr>
        <w:t>cancer</w:t>
      </w:r>
      <w:r w:rsidR="002D218E" w:rsidRPr="007214E1">
        <w:rPr>
          <w:rFonts w:ascii="Book Antiqua" w:hAnsi="Book Antiqua"/>
          <w:vertAlign w:val="superscript"/>
        </w:rPr>
        <w:t>[</w:t>
      </w:r>
      <w:proofErr w:type="gramEnd"/>
      <w:r w:rsidR="00E62B8E" w:rsidRPr="007214E1">
        <w:rPr>
          <w:rFonts w:ascii="Book Antiqua" w:hAnsi="Book Antiqua"/>
          <w:vertAlign w:val="superscript"/>
        </w:rPr>
        <w:t>5</w:t>
      </w:r>
      <w:r w:rsidR="00902145" w:rsidRPr="007214E1">
        <w:rPr>
          <w:rFonts w:ascii="Book Antiqua" w:hAnsi="Book Antiqua"/>
          <w:vertAlign w:val="superscript"/>
        </w:rPr>
        <w:t>1</w:t>
      </w:r>
      <w:r w:rsidR="002D218E" w:rsidRPr="007214E1">
        <w:rPr>
          <w:rFonts w:ascii="Book Antiqua" w:hAnsi="Book Antiqua"/>
          <w:vertAlign w:val="superscript"/>
        </w:rPr>
        <w:t>]</w:t>
      </w:r>
      <w:r w:rsidR="00BF0AA9" w:rsidRPr="007214E1">
        <w:rPr>
          <w:rFonts w:ascii="Book Antiqua" w:hAnsi="Book Antiqua"/>
        </w:rPr>
        <w:t>.</w:t>
      </w:r>
      <w:r w:rsidR="002D218E" w:rsidRPr="007214E1">
        <w:rPr>
          <w:rFonts w:ascii="Book Antiqua" w:hAnsi="Book Antiqua"/>
        </w:rPr>
        <w:t xml:space="preserve"> </w:t>
      </w:r>
      <w:r w:rsidRPr="007214E1">
        <w:rPr>
          <w:rFonts w:ascii="Book Antiqua" w:hAnsi="Book Antiqua"/>
        </w:rPr>
        <w:t xml:space="preserve">The combination of atezolizumab plus bevacizumab demonstrated prolonged progression-free survival in metastatic </w:t>
      </w:r>
      <w:r w:rsidR="00095FC5" w:rsidRPr="007214E1">
        <w:rPr>
          <w:rFonts w:ascii="Book Antiqua" w:hAnsi="Book Antiqua"/>
        </w:rPr>
        <w:t>renal cell carcinoma</w:t>
      </w:r>
      <w:r w:rsidRPr="007214E1">
        <w:rPr>
          <w:rFonts w:ascii="Book Antiqua" w:hAnsi="Book Antiqua"/>
        </w:rPr>
        <w:t xml:space="preserve"> patients in a phase III trial</w:t>
      </w:r>
      <w:r w:rsidR="00A638AD" w:rsidRPr="007214E1">
        <w:rPr>
          <w:rFonts w:ascii="Book Antiqua" w:hAnsi="Book Antiqua"/>
        </w:rPr>
        <w:t xml:space="preserve"> with an acceptable safety </w:t>
      </w:r>
      <w:proofErr w:type="gramStart"/>
      <w:r w:rsidR="00A638AD" w:rsidRPr="007214E1">
        <w:rPr>
          <w:rFonts w:ascii="Book Antiqua" w:hAnsi="Book Antiqua"/>
        </w:rPr>
        <w:t>profile</w:t>
      </w:r>
      <w:r w:rsidRPr="007214E1">
        <w:rPr>
          <w:rFonts w:ascii="Book Antiqua" w:hAnsi="Book Antiqua"/>
          <w:vertAlign w:val="superscript"/>
        </w:rPr>
        <w:t>[</w:t>
      </w:r>
      <w:proofErr w:type="gramEnd"/>
      <w:r w:rsidR="00E62B8E" w:rsidRPr="007214E1">
        <w:rPr>
          <w:rFonts w:ascii="Book Antiqua" w:hAnsi="Book Antiqua"/>
          <w:vertAlign w:val="superscript"/>
        </w:rPr>
        <w:t>5</w:t>
      </w:r>
      <w:r w:rsidR="00226826" w:rsidRPr="007214E1">
        <w:rPr>
          <w:rFonts w:ascii="Book Antiqua" w:hAnsi="Book Antiqua"/>
          <w:vertAlign w:val="superscript"/>
        </w:rPr>
        <w:t>2</w:t>
      </w:r>
      <w:r w:rsidRPr="007214E1">
        <w:rPr>
          <w:rFonts w:ascii="Book Antiqua" w:hAnsi="Book Antiqua"/>
          <w:vertAlign w:val="superscript"/>
        </w:rPr>
        <w:t>]</w:t>
      </w:r>
      <w:r w:rsidRPr="007214E1">
        <w:rPr>
          <w:rFonts w:ascii="Book Antiqua" w:hAnsi="Book Antiqua"/>
        </w:rPr>
        <w:t>.</w:t>
      </w:r>
    </w:p>
    <w:p w14:paraId="62E342E3" w14:textId="2ABA8201" w:rsidR="00A95A1A" w:rsidRPr="007214E1" w:rsidRDefault="0040366C" w:rsidP="00EB43EE">
      <w:pPr>
        <w:snapToGrid w:val="0"/>
        <w:spacing w:line="360" w:lineRule="auto"/>
        <w:ind w:firstLineChars="100" w:firstLine="240"/>
        <w:jc w:val="both"/>
        <w:rPr>
          <w:rFonts w:ascii="Book Antiqua" w:hAnsi="Book Antiqua"/>
          <w:i/>
        </w:rPr>
      </w:pPr>
      <w:r w:rsidRPr="007214E1">
        <w:rPr>
          <w:rFonts w:ascii="Book Antiqua" w:hAnsi="Book Antiqua"/>
        </w:rPr>
        <w:t>Initial data testing this combination in HCC patients</w:t>
      </w:r>
      <w:r w:rsidR="008E2794" w:rsidRPr="007214E1">
        <w:rPr>
          <w:rFonts w:ascii="Book Antiqua" w:hAnsi="Book Antiqua"/>
        </w:rPr>
        <w:t xml:space="preserve"> </w:t>
      </w:r>
      <w:r w:rsidRPr="007214E1">
        <w:rPr>
          <w:rFonts w:ascii="Book Antiqua" w:hAnsi="Book Antiqua"/>
        </w:rPr>
        <w:t>originates</w:t>
      </w:r>
      <w:r w:rsidR="008E2794" w:rsidRPr="007214E1">
        <w:rPr>
          <w:rFonts w:ascii="Book Antiqua" w:hAnsi="Book Antiqua"/>
        </w:rPr>
        <w:t xml:space="preserve"> from a </w:t>
      </w:r>
      <w:r w:rsidR="00637120" w:rsidRPr="007214E1">
        <w:rPr>
          <w:rFonts w:ascii="Book Antiqua" w:hAnsi="Book Antiqua"/>
        </w:rPr>
        <w:t xml:space="preserve">phase </w:t>
      </w:r>
      <w:proofErr w:type="spellStart"/>
      <w:r w:rsidR="00637120" w:rsidRPr="007214E1">
        <w:rPr>
          <w:rFonts w:ascii="Book Antiqua" w:hAnsi="Book Antiqua"/>
        </w:rPr>
        <w:t>Ib</w:t>
      </w:r>
      <w:proofErr w:type="spellEnd"/>
      <w:r w:rsidR="00637120" w:rsidRPr="007214E1">
        <w:rPr>
          <w:rFonts w:ascii="Book Antiqua" w:hAnsi="Book Antiqua"/>
        </w:rPr>
        <w:t xml:space="preserve"> study (</w:t>
      </w:r>
      <w:r w:rsidR="00637120" w:rsidRPr="007214E1">
        <w:rPr>
          <w:rFonts w:ascii="Book Antiqua" w:hAnsi="Book Antiqua"/>
          <w:color w:val="000000"/>
        </w:rPr>
        <w:t>NCT02</w:t>
      </w:r>
      <w:r w:rsidR="008D722D" w:rsidRPr="007214E1">
        <w:rPr>
          <w:rFonts w:ascii="Book Antiqua" w:hAnsi="Book Antiqua"/>
          <w:color w:val="000000"/>
        </w:rPr>
        <w:t>64</w:t>
      </w:r>
      <w:r w:rsidR="00637120" w:rsidRPr="007214E1">
        <w:rPr>
          <w:rFonts w:ascii="Book Antiqua" w:hAnsi="Book Antiqua"/>
          <w:color w:val="000000"/>
        </w:rPr>
        <w:t>5531)</w:t>
      </w:r>
      <w:r w:rsidR="00637120" w:rsidRPr="007214E1">
        <w:rPr>
          <w:rFonts w:ascii="Book Antiqua" w:hAnsi="Book Antiqua"/>
        </w:rPr>
        <w:t xml:space="preserve"> </w:t>
      </w:r>
      <w:r w:rsidRPr="007214E1">
        <w:rPr>
          <w:rFonts w:ascii="Book Antiqua" w:hAnsi="Book Antiqua"/>
        </w:rPr>
        <w:t>evaluating</w:t>
      </w:r>
      <w:r w:rsidR="00902229" w:rsidRPr="007214E1">
        <w:rPr>
          <w:rFonts w:ascii="Book Antiqua" w:hAnsi="Book Antiqua"/>
        </w:rPr>
        <w:t xml:space="preserve"> this combination as </w:t>
      </w:r>
      <w:r w:rsidR="00637120" w:rsidRPr="007214E1">
        <w:rPr>
          <w:rFonts w:ascii="Book Antiqua" w:hAnsi="Book Antiqua"/>
        </w:rPr>
        <w:t>first</w:t>
      </w:r>
      <w:r w:rsidR="00902229" w:rsidRPr="007214E1">
        <w:rPr>
          <w:rFonts w:ascii="Book Antiqua" w:hAnsi="Book Antiqua"/>
        </w:rPr>
        <w:t>-</w:t>
      </w:r>
      <w:r w:rsidR="00637120" w:rsidRPr="007214E1">
        <w:rPr>
          <w:rFonts w:ascii="Book Antiqua" w:hAnsi="Book Antiqua"/>
        </w:rPr>
        <w:t xml:space="preserve">line therapy </w:t>
      </w:r>
      <w:r w:rsidR="00E67EB7" w:rsidRPr="007214E1">
        <w:rPr>
          <w:rFonts w:ascii="Book Antiqua" w:hAnsi="Book Antiqua"/>
        </w:rPr>
        <w:t>in</w:t>
      </w:r>
      <w:r w:rsidR="008E2794" w:rsidRPr="007214E1">
        <w:rPr>
          <w:rFonts w:ascii="Book Antiqua" w:hAnsi="Book Antiqua"/>
        </w:rPr>
        <w:t xml:space="preserve"> 26</w:t>
      </w:r>
      <w:r w:rsidR="00E67EB7" w:rsidRPr="007214E1">
        <w:rPr>
          <w:rFonts w:ascii="Book Antiqua" w:hAnsi="Book Antiqua"/>
        </w:rPr>
        <w:t xml:space="preserve"> patients</w:t>
      </w:r>
      <w:r w:rsidR="00902229" w:rsidRPr="007214E1">
        <w:rPr>
          <w:rFonts w:ascii="Book Antiqua" w:hAnsi="Book Antiqua"/>
        </w:rPr>
        <w:t xml:space="preserve"> with advanced </w:t>
      </w:r>
      <w:proofErr w:type="gramStart"/>
      <w:r w:rsidR="00902229" w:rsidRPr="007214E1">
        <w:rPr>
          <w:rFonts w:ascii="Book Antiqua" w:hAnsi="Book Antiqua"/>
        </w:rPr>
        <w:t>HCC</w:t>
      </w:r>
      <w:r w:rsidR="00CB4D87" w:rsidRPr="007214E1">
        <w:rPr>
          <w:rFonts w:ascii="Book Antiqua" w:hAnsi="Book Antiqua"/>
          <w:vertAlign w:val="superscript"/>
        </w:rPr>
        <w:t>[</w:t>
      </w:r>
      <w:proofErr w:type="gramEnd"/>
      <w:r w:rsidR="00BB2C64" w:rsidRPr="007214E1">
        <w:rPr>
          <w:rFonts w:ascii="Book Antiqua" w:hAnsi="Book Antiqua"/>
          <w:vertAlign w:val="superscript"/>
        </w:rPr>
        <w:t>53</w:t>
      </w:r>
      <w:r w:rsidR="00CB4D87" w:rsidRPr="007214E1">
        <w:rPr>
          <w:rFonts w:ascii="Book Antiqua" w:hAnsi="Book Antiqua"/>
          <w:vertAlign w:val="superscript"/>
        </w:rPr>
        <w:t>]</w:t>
      </w:r>
      <w:r w:rsidR="00CB4D87" w:rsidRPr="007214E1">
        <w:rPr>
          <w:rFonts w:ascii="Book Antiqua" w:hAnsi="Book Antiqua"/>
        </w:rPr>
        <w:t xml:space="preserve">. </w:t>
      </w:r>
      <w:r w:rsidR="00E62B8E" w:rsidRPr="007214E1">
        <w:rPr>
          <w:rFonts w:ascii="Book Antiqua" w:hAnsi="Book Antiqua"/>
        </w:rPr>
        <w:t xml:space="preserve">Approximately 35% of patients developed </w:t>
      </w:r>
      <w:r w:rsidR="00637120" w:rsidRPr="007214E1">
        <w:rPr>
          <w:rFonts w:ascii="Book Antiqua" w:hAnsi="Book Antiqua"/>
        </w:rPr>
        <w:t>grade 3-4 toxicities</w:t>
      </w:r>
      <w:r w:rsidR="0041324F" w:rsidRPr="007214E1">
        <w:rPr>
          <w:rFonts w:ascii="Book Antiqua" w:hAnsi="Book Antiqua"/>
        </w:rPr>
        <w:t xml:space="preserve"> </w:t>
      </w:r>
      <w:r w:rsidR="00637120" w:rsidRPr="007214E1">
        <w:rPr>
          <w:rFonts w:ascii="Book Antiqua" w:hAnsi="Book Antiqua"/>
        </w:rPr>
        <w:t xml:space="preserve">with hypertension being the most </w:t>
      </w:r>
      <w:r w:rsidR="00BB2C64" w:rsidRPr="007214E1">
        <w:rPr>
          <w:rFonts w:ascii="Book Antiqua" w:hAnsi="Book Antiqua"/>
        </w:rPr>
        <w:t xml:space="preserve">frequently reported adverse event, with an </w:t>
      </w:r>
      <w:r w:rsidR="00637120" w:rsidRPr="007214E1">
        <w:rPr>
          <w:rFonts w:ascii="Book Antiqua" w:hAnsi="Book Antiqua"/>
        </w:rPr>
        <w:t xml:space="preserve">ORR </w:t>
      </w:r>
      <w:r w:rsidR="00BB2C64" w:rsidRPr="007214E1">
        <w:rPr>
          <w:rFonts w:ascii="Book Antiqua" w:hAnsi="Book Antiqua"/>
        </w:rPr>
        <w:t xml:space="preserve">of </w:t>
      </w:r>
      <w:r w:rsidR="00637120" w:rsidRPr="007214E1">
        <w:rPr>
          <w:rFonts w:ascii="Book Antiqua" w:hAnsi="Book Antiqua"/>
        </w:rPr>
        <w:t>62</w:t>
      </w:r>
      <w:proofErr w:type="gramStart"/>
      <w:r w:rsidR="00637120" w:rsidRPr="007214E1">
        <w:rPr>
          <w:rFonts w:ascii="Book Antiqua" w:hAnsi="Book Antiqua"/>
        </w:rPr>
        <w:t>%</w:t>
      </w:r>
      <w:r w:rsidR="00637120" w:rsidRPr="007214E1">
        <w:rPr>
          <w:rFonts w:ascii="Book Antiqua" w:hAnsi="Book Antiqua"/>
          <w:vertAlign w:val="superscript"/>
        </w:rPr>
        <w:t>[</w:t>
      </w:r>
      <w:proofErr w:type="gramEnd"/>
      <w:r w:rsidR="00BB2C64" w:rsidRPr="007214E1">
        <w:rPr>
          <w:rFonts w:ascii="Book Antiqua" w:eastAsiaTheme="minorHAnsi" w:hAnsi="Book Antiqua"/>
          <w:vertAlign w:val="superscript"/>
        </w:rPr>
        <w:t>53</w:t>
      </w:r>
      <w:r w:rsidR="00637120" w:rsidRPr="007214E1">
        <w:rPr>
          <w:rFonts w:ascii="Book Antiqua" w:eastAsiaTheme="minorHAnsi" w:hAnsi="Book Antiqua"/>
          <w:vertAlign w:val="superscript"/>
        </w:rPr>
        <w:t>]</w:t>
      </w:r>
      <w:r w:rsidR="00BF0AA9" w:rsidRPr="007214E1">
        <w:rPr>
          <w:rFonts w:ascii="Book Antiqua" w:eastAsiaTheme="minorHAnsi" w:hAnsi="Book Antiqua"/>
        </w:rPr>
        <w:t>. I</w:t>
      </w:r>
      <w:r w:rsidR="00CB4D87" w:rsidRPr="007214E1">
        <w:rPr>
          <w:rFonts w:ascii="Book Antiqua" w:hAnsi="Book Antiqua"/>
        </w:rPr>
        <w:t>n late 2019, the study authors reported that patients who received the combination therapy in Arm F demonstrated significantly better median progression-free survival (</w:t>
      </w:r>
      <w:r w:rsidR="00CB4D87" w:rsidRPr="007214E1">
        <w:rPr>
          <w:rFonts w:ascii="Book Antiqua" w:hAnsi="Book Antiqua"/>
          <w:color w:val="3D3D3D"/>
          <w:shd w:val="clear" w:color="auto" w:fill="FFFFFF"/>
        </w:rPr>
        <w:t xml:space="preserve">5.6 </w:t>
      </w:r>
      <w:proofErr w:type="spellStart"/>
      <w:r w:rsidR="00CB4D87" w:rsidRPr="007214E1">
        <w:rPr>
          <w:rFonts w:ascii="Book Antiqua" w:hAnsi="Book Antiqua"/>
          <w:i/>
          <w:color w:val="3D3D3D"/>
          <w:shd w:val="clear" w:color="auto" w:fill="FFFFFF"/>
        </w:rPr>
        <w:t>vs</w:t>
      </w:r>
      <w:proofErr w:type="spellEnd"/>
      <w:r w:rsidR="00CB4D87" w:rsidRPr="007214E1">
        <w:rPr>
          <w:rFonts w:ascii="Book Antiqua" w:hAnsi="Book Antiqua"/>
          <w:color w:val="3D3D3D"/>
          <w:shd w:val="clear" w:color="auto" w:fill="FFFFFF"/>
        </w:rPr>
        <w:t xml:space="preserve"> 3.4</w:t>
      </w:r>
      <w:r w:rsidR="00CB4D87" w:rsidRPr="007214E1">
        <w:rPr>
          <w:color w:val="3D3D3D"/>
          <w:shd w:val="clear" w:color="auto" w:fill="FFFFFF"/>
        </w:rPr>
        <w:t> </w:t>
      </w:r>
      <w:proofErr w:type="spellStart"/>
      <w:r w:rsidR="00CB4D87" w:rsidRPr="007214E1">
        <w:rPr>
          <w:rFonts w:ascii="Book Antiqua" w:hAnsi="Book Antiqua"/>
          <w:color w:val="3D3D3D"/>
          <w:shd w:val="clear" w:color="auto" w:fill="FFFFFF"/>
        </w:rPr>
        <w:t>mo</w:t>
      </w:r>
      <w:proofErr w:type="spellEnd"/>
      <w:r w:rsidR="00CB4D87" w:rsidRPr="007214E1">
        <w:rPr>
          <w:rFonts w:ascii="Book Antiqua" w:hAnsi="Book Antiqua"/>
          <w:color w:val="3D3D3D"/>
          <w:shd w:val="clear" w:color="auto" w:fill="FFFFFF"/>
        </w:rPr>
        <w:t xml:space="preserve">, </w:t>
      </w:r>
      <w:r w:rsidR="00CB4D87" w:rsidRPr="007214E1">
        <w:rPr>
          <w:rFonts w:ascii="Book Antiqua" w:hAnsi="Book Antiqua"/>
          <w:i/>
          <w:color w:val="3D3D3D"/>
          <w:shd w:val="clear" w:color="auto" w:fill="FFFFFF"/>
        </w:rPr>
        <w:t>P</w:t>
      </w:r>
      <w:r w:rsidR="00CB4D87" w:rsidRPr="007214E1">
        <w:rPr>
          <w:color w:val="3D3D3D"/>
          <w:shd w:val="clear" w:color="auto" w:fill="FFFFFF"/>
        </w:rPr>
        <w:t> </w:t>
      </w:r>
      <w:r w:rsidR="00CB4D87" w:rsidRPr="007214E1">
        <w:rPr>
          <w:rFonts w:ascii="Book Antiqua" w:hAnsi="Book Antiqua"/>
          <w:color w:val="3D3D3D"/>
          <w:shd w:val="clear" w:color="auto" w:fill="FFFFFF"/>
        </w:rPr>
        <w:t>=</w:t>
      </w:r>
      <w:r w:rsidR="00CB4D87" w:rsidRPr="007214E1">
        <w:rPr>
          <w:color w:val="3D3D3D"/>
          <w:shd w:val="clear" w:color="auto" w:fill="FFFFFF"/>
        </w:rPr>
        <w:t> </w:t>
      </w:r>
      <w:r w:rsidR="00CB4D87" w:rsidRPr="007214E1">
        <w:rPr>
          <w:rFonts w:ascii="Book Antiqua" w:hAnsi="Book Antiqua"/>
          <w:color w:val="3D3D3D"/>
          <w:shd w:val="clear" w:color="auto" w:fill="FFFFFF"/>
        </w:rPr>
        <w:t>0.0108</w:t>
      </w:r>
      <w:r w:rsidR="00CB4D87" w:rsidRPr="007214E1">
        <w:rPr>
          <w:rFonts w:ascii="Book Antiqua" w:hAnsi="Book Antiqua"/>
        </w:rPr>
        <w:t xml:space="preserve">) when compared to atezolizumab </w:t>
      </w:r>
      <w:proofErr w:type="gramStart"/>
      <w:r w:rsidR="00CB4D87" w:rsidRPr="007214E1">
        <w:rPr>
          <w:rFonts w:ascii="Book Antiqua" w:hAnsi="Book Antiqua"/>
        </w:rPr>
        <w:t>alone</w:t>
      </w:r>
      <w:r w:rsidR="00E62B8E" w:rsidRPr="007214E1">
        <w:rPr>
          <w:rFonts w:ascii="Book Antiqua" w:hAnsi="Book Antiqua"/>
          <w:vertAlign w:val="superscript"/>
        </w:rPr>
        <w:t>[</w:t>
      </w:r>
      <w:proofErr w:type="gramEnd"/>
      <w:r w:rsidR="00BB2C64" w:rsidRPr="007214E1">
        <w:rPr>
          <w:rFonts w:ascii="Book Antiqua" w:hAnsi="Book Antiqua"/>
          <w:vertAlign w:val="superscript"/>
        </w:rPr>
        <w:t>54</w:t>
      </w:r>
      <w:r w:rsidR="00CB4D87" w:rsidRPr="007214E1">
        <w:rPr>
          <w:rFonts w:ascii="Book Antiqua" w:hAnsi="Book Antiqua"/>
          <w:vertAlign w:val="superscript"/>
        </w:rPr>
        <w:t>]</w:t>
      </w:r>
      <w:r w:rsidR="00CB4D87" w:rsidRPr="007214E1">
        <w:rPr>
          <w:rFonts w:ascii="Book Antiqua" w:hAnsi="Book Antiqua"/>
        </w:rPr>
        <w:t xml:space="preserve">. </w:t>
      </w:r>
      <w:r w:rsidR="00CB4D87" w:rsidRPr="007214E1">
        <w:rPr>
          <w:rFonts w:ascii="Book Antiqua" w:eastAsiaTheme="minorHAnsi" w:hAnsi="Book Antiqua"/>
        </w:rPr>
        <w:t xml:space="preserve">The most common side effects seen in the patients randomized to combination therapy included proteinuria, fatigue and </w:t>
      </w:r>
      <w:proofErr w:type="gramStart"/>
      <w:r w:rsidR="00CB4D87" w:rsidRPr="007214E1">
        <w:rPr>
          <w:rFonts w:ascii="Book Antiqua" w:eastAsiaTheme="minorHAnsi" w:hAnsi="Book Antiqua"/>
        </w:rPr>
        <w:t>rash</w:t>
      </w:r>
      <w:r w:rsidR="00CB4D87" w:rsidRPr="007214E1">
        <w:rPr>
          <w:rFonts w:ascii="Book Antiqua" w:eastAsiaTheme="minorHAnsi" w:hAnsi="Book Antiqua"/>
          <w:vertAlign w:val="superscript"/>
        </w:rPr>
        <w:t>[</w:t>
      </w:r>
      <w:proofErr w:type="gramEnd"/>
      <w:r w:rsidR="00BB2C64" w:rsidRPr="007214E1">
        <w:rPr>
          <w:rFonts w:ascii="Book Antiqua" w:eastAsiaTheme="minorHAnsi" w:hAnsi="Book Antiqua"/>
          <w:vertAlign w:val="superscript"/>
        </w:rPr>
        <w:t>55</w:t>
      </w:r>
      <w:r w:rsidR="00CB4D87" w:rsidRPr="007214E1">
        <w:rPr>
          <w:rFonts w:ascii="Book Antiqua" w:eastAsiaTheme="minorHAnsi" w:hAnsi="Book Antiqua"/>
          <w:vertAlign w:val="superscript"/>
        </w:rPr>
        <w:t>]</w:t>
      </w:r>
      <w:r w:rsidR="0041324F" w:rsidRPr="007214E1">
        <w:rPr>
          <w:rFonts w:ascii="Book Antiqua" w:eastAsiaTheme="minorHAnsi" w:hAnsi="Book Antiqua"/>
        </w:rPr>
        <w:t xml:space="preserve">. </w:t>
      </w:r>
      <w:r w:rsidR="00CB4D87" w:rsidRPr="007214E1">
        <w:rPr>
          <w:rFonts w:ascii="Book Antiqua" w:eastAsiaTheme="minorHAnsi" w:hAnsi="Book Antiqua"/>
        </w:rPr>
        <w:t xml:space="preserve">Patients in Arm A had </w:t>
      </w:r>
      <w:r w:rsidR="00C233E6" w:rsidRPr="007214E1">
        <w:rPr>
          <w:rFonts w:ascii="Book Antiqua" w:eastAsiaTheme="minorHAnsi" w:hAnsi="Book Antiqua"/>
        </w:rPr>
        <w:t>a</w:t>
      </w:r>
      <w:r w:rsidR="00CB4D87" w:rsidRPr="007214E1">
        <w:rPr>
          <w:rFonts w:ascii="Book Antiqua" w:eastAsiaTheme="minorHAnsi" w:hAnsi="Book Antiqua"/>
        </w:rPr>
        <w:t xml:space="preserve"> median overall survival of 17.1 </w:t>
      </w:r>
      <w:proofErr w:type="spellStart"/>
      <w:proofErr w:type="gramStart"/>
      <w:r w:rsidR="00CB4D87" w:rsidRPr="007214E1">
        <w:rPr>
          <w:rFonts w:ascii="Book Antiqua" w:eastAsiaTheme="minorHAnsi" w:hAnsi="Book Antiqua"/>
        </w:rPr>
        <w:t>mo</w:t>
      </w:r>
      <w:proofErr w:type="spellEnd"/>
      <w:r w:rsidR="00CB4D87" w:rsidRPr="007214E1">
        <w:rPr>
          <w:rFonts w:ascii="Book Antiqua" w:eastAsiaTheme="minorHAnsi" w:hAnsi="Book Antiqua"/>
          <w:vertAlign w:val="superscript"/>
        </w:rPr>
        <w:t>[</w:t>
      </w:r>
      <w:proofErr w:type="gramEnd"/>
      <w:r w:rsidR="00BB2C64" w:rsidRPr="007214E1">
        <w:rPr>
          <w:rFonts w:ascii="Book Antiqua" w:eastAsiaTheme="minorHAnsi" w:hAnsi="Book Antiqua"/>
          <w:vertAlign w:val="superscript"/>
        </w:rPr>
        <w:t>55</w:t>
      </w:r>
      <w:r w:rsidR="00CB4D87" w:rsidRPr="007214E1">
        <w:rPr>
          <w:rFonts w:ascii="Book Antiqua" w:eastAsiaTheme="minorHAnsi" w:hAnsi="Book Antiqua"/>
          <w:vertAlign w:val="superscript"/>
        </w:rPr>
        <w:t>]</w:t>
      </w:r>
      <w:r w:rsidR="00BD2A66" w:rsidRPr="007214E1">
        <w:rPr>
          <w:rFonts w:ascii="Book Antiqua" w:eastAsiaTheme="minorHAnsi" w:hAnsi="Book Antiqua"/>
        </w:rPr>
        <w:t>.</w:t>
      </w:r>
      <w:r w:rsidR="00BD2A66" w:rsidRPr="007214E1">
        <w:rPr>
          <w:rFonts w:ascii="Book Antiqua" w:eastAsiaTheme="minorHAnsi" w:hAnsi="Book Antiqua"/>
          <w:i/>
        </w:rPr>
        <w:t xml:space="preserve"> </w:t>
      </w:r>
      <w:r w:rsidR="00313BC0" w:rsidRPr="007214E1">
        <w:rPr>
          <w:rFonts w:ascii="Book Antiqua" w:hAnsi="Book Antiqua"/>
        </w:rPr>
        <w:t>Initial p</w:t>
      </w:r>
      <w:r w:rsidR="008E2794" w:rsidRPr="007214E1">
        <w:rPr>
          <w:rFonts w:ascii="Book Antiqua" w:hAnsi="Book Antiqua"/>
        </w:rPr>
        <w:t xml:space="preserve">hase III data has been reported from the </w:t>
      </w:r>
      <w:r w:rsidR="009605D7" w:rsidRPr="007214E1">
        <w:rPr>
          <w:rFonts w:ascii="Book Antiqua" w:hAnsi="Book Antiqua"/>
        </w:rPr>
        <w:t xml:space="preserve">IMBRAVE 150 </w:t>
      </w:r>
      <w:r w:rsidR="00746734" w:rsidRPr="007214E1">
        <w:rPr>
          <w:rFonts w:ascii="Book Antiqua" w:hAnsi="Book Antiqua"/>
        </w:rPr>
        <w:t>trial</w:t>
      </w:r>
      <w:r w:rsidR="009605D7" w:rsidRPr="007214E1">
        <w:rPr>
          <w:rFonts w:ascii="Book Antiqua" w:hAnsi="Book Antiqua"/>
        </w:rPr>
        <w:t xml:space="preserve"> that</w:t>
      </w:r>
      <w:r w:rsidR="00746734" w:rsidRPr="007214E1">
        <w:rPr>
          <w:rFonts w:ascii="Book Antiqua" w:hAnsi="Book Antiqua"/>
        </w:rPr>
        <w:t xml:space="preserve"> randomize</w:t>
      </w:r>
      <w:r w:rsidR="009605D7" w:rsidRPr="007214E1">
        <w:rPr>
          <w:rFonts w:ascii="Book Antiqua" w:hAnsi="Book Antiqua"/>
        </w:rPr>
        <w:t>d</w:t>
      </w:r>
      <w:r w:rsidR="00746734" w:rsidRPr="007214E1">
        <w:rPr>
          <w:rFonts w:ascii="Book Antiqua" w:hAnsi="Book Antiqua"/>
        </w:rPr>
        <w:t xml:space="preserve"> approximately </w:t>
      </w:r>
      <w:r w:rsidR="00F45F81" w:rsidRPr="007214E1">
        <w:rPr>
          <w:rFonts w:ascii="Book Antiqua" w:hAnsi="Book Antiqua"/>
        </w:rPr>
        <w:t>501</w:t>
      </w:r>
      <w:r w:rsidR="00746734" w:rsidRPr="007214E1">
        <w:rPr>
          <w:rFonts w:ascii="Book Antiqua" w:hAnsi="Book Antiqua"/>
        </w:rPr>
        <w:t xml:space="preserve"> </w:t>
      </w:r>
      <w:r w:rsidR="00304C96" w:rsidRPr="007214E1">
        <w:rPr>
          <w:rFonts w:ascii="Book Antiqua" w:hAnsi="Book Antiqua"/>
        </w:rPr>
        <w:t xml:space="preserve">systemic treatment-naïve </w:t>
      </w:r>
      <w:r w:rsidR="00746734" w:rsidRPr="007214E1">
        <w:rPr>
          <w:rFonts w:ascii="Book Antiqua" w:hAnsi="Book Antiqua"/>
        </w:rPr>
        <w:t>patients with unresectable HCC to receive atezolizumab plus bevacizumab or sorafenib alone</w:t>
      </w:r>
      <w:r w:rsidR="00E55AE0" w:rsidRPr="007214E1">
        <w:rPr>
          <w:rFonts w:ascii="Book Antiqua" w:hAnsi="Book Antiqua"/>
          <w:vertAlign w:val="superscript"/>
        </w:rPr>
        <w:t>[</w:t>
      </w:r>
      <w:r w:rsidR="00304C96" w:rsidRPr="007214E1">
        <w:rPr>
          <w:rFonts w:ascii="Book Antiqua" w:hAnsi="Book Antiqua"/>
          <w:vertAlign w:val="superscript"/>
        </w:rPr>
        <w:t>56</w:t>
      </w:r>
      <w:r w:rsidR="00E55AE0" w:rsidRPr="007214E1">
        <w:rPr>
          <w:rFonts w:ascii="Book Antiqua" w:hAnsi="Book Antiqua"/>
          <w:vertAlign w:val="superscript"/>
        </w:rPr>
        <w:t>]</w:t>
      </w:r>
      <w:r w:rsidR="009605D7" w:rsidRPr="007214E1">
        <w:rPr>
          <w:rFonts w:ascii="Book Antiqua" w:hAnsi="Book Antiqua"/>
        </w:rPr>
        <w:t xml:space="preserve">. </w:t>
      </w:r>
      <w:r w:rsidR="008E2794" w:rsidRPr="007214E1">
        <w:rPr>
          <w:rFonts w:ascii="Book Antiqua" w:hAnsi="Book Antiqua"/>
        </w:rPr>
        <w:t xml:space="preserve">Preliminary </w:t>
      </w:r>
      <w:r w:rsidR="009605D7" w:rsidRPr="007214E1">
        <w:rPr>
          <w:rFonts w:ascii="Book Antiqua" w:hAnsi="Book Antiqua"/>
        </w:rPr>
        <w:t xml:space="preserve">data </w:t>
      </w:r>
      <w:r w:rsidR="00DC56AE" w:rsidRPr="007214E1">
        <w:rPr>
          <w:rFonts w:ascii="Book Antiqua" w:hAnsi="Book Antiqua"/>
        </w:rPr>
        <w:t>published in November 2019 demonstrate</w:t>
      </w:r>
      <w:r w:rsidR="008E2794" w:rsidRPr="007214E1">
        <w:rPr>
          <w:rFonts w:ascii="Book Antiqua" w:hAnsi="Book Antiqua"/>
        </w:rPr>
        <w:t>d an</w:t>
      </w:r>
      <w:r w:rsidR="00DC56AE" w:rsidRPr="007214E1">
        <w:rPr>
          <w:rFonts w:ascii="Book Antiqua" w:hAnsi="Book Antiqua"/>
        </w:rPr>
        <w:t xml:space="preserve"> improved PFS (6.8 </w:t>
      </w:r>
      <w:r w:rsidR="00DC56AE" w:rsidRPr="007214E1">
        <w:rPr>
          <w:rFonts w:ascii="Book Antiqua" w:hAnsi="Book Antiqua"/>
          <w:i/>
        </w:rPr>
        <w:t>vs</w:t>
      </w:r>
      <w:r w:rsidR="00DC56AE" w:rsidRPr="007214E1">
        <w:rPr>
          <w:rFonts w:ascii="Book Antiqua" w:hAnsi="Book Antiqua"/>
        </w:rPr>
        <w:t xml:space="preserve"> 4.3) and OS </w:t>
      </w:r>
      <w:r w:rsidR="008E2CD9" w:rsidRPr="007214E1">
        <w:rPr>
          <w:rFonts w:ascii="Book Antiqua" w:hAnsi="Book Antiqua"/>
        </w:rPr>
        <w:t>hazard ratio</w:t>
      </w:r>
      <w:r w:rsidR="00DC56AE" w:rsidRPr="007214E1">
        <w:rPr>
          <w:rFonts w:ascii="Book Antiqua" w:hAnsi="Book Antiqua"/>
        </w:rPr>
        <w:t xml:space="preserve"> (0.58) with the combination </w:t>
      </w:r>
      <w:r w:rsidR="00DC56AE" w:rsidRPr="007214E1">
        <w:rPr>
          <w:rFonts w:ascii="Book Antiqua" w:hAnsi="Book Antiqua"/>
          <w:i/>
        </w:rPr>
        <w:t>vs</w:t>
      </w:r>
      <w:r w:rsidR="00DC56AE" w:rsidRPr="007214E1">
        <w:rPr>
          <w:rFonts w:ascii="Book Antiqua" w:hAnsi="Book Antiqua"/>
        </w:rPr>
        <w:t xml:space="preserve"> sorafenib </w:t>
      </w:r>
      <w:proofErr w:type="gramStart"/>
      <w:r w:rsidR="00DC56AE" w:rsidRPr="007214E1">
        <w:rPr>
          <w:rFonts w:ascii="Book Antiqua" w:hAnsi="Book Antiqua"/>
        </w:rPr>
        <w:t>alone</w:t>
      </w:r>
      <w:r w:rsidR="00074C82" w:rsidRPr="007214E1">
        <w:rPr>
          <w:rFonts w:ascii="Book Antiqua" w:hAnsi="Book Antiqua"/>
          <w:vertAlign w:val="superscript"/>
        </w:rPr>
        <w:t>[</w:t>
      </w:r>
      <w:proofErr w:type="gramEnd"/>
      <w:r w:rsidR="00304C96" w:rsidRPr="007214E1">
        <w:rPr>
          <w:rFonts w:ascii="Book Antiqua" w:hAnsi="Book Antiqua"/>
          <w:vertAlign w:val="superscript"/>
        </w:rPr>
        <w:t>56</w:t>
      </w:r>
      <w:r w:rsidR="00746734" w:rsidRPr="007214E1">
        <w:rPr>
          <w:rFonts w:ascii="Book Antiqua" w:hAnsi="Book Antiqua"/>
          <w:vertAlign w:val="superscript"/>
        </w:rPr>
        <w:t>]</w:t>
      </w:r>
      <w:r w:rsidR="001F1560" w:rsidRPr="007214E1">
        <w:rPr>
          <w:rFonts w:ascii="Book Antiqua" w:eastAsia="宋体" w:hAnsi="Book Antiqua"/>
          <w:lang w:eastAsia="zh-CN"/>
        </w:rPr>
        <w:t xml:space="preserve"> (Table 2)</w:t>
      </w:r>
      <w:r w:rsidR="00D15209" w:rsidRPr="007214E1">
        <w:rPr>
          <w:rFonts w:ascii="Book Antiqua" w:hAnsi="Book Antiqua"/>
        </w:rPr>
        <w:t>.</w:t>
      </w:r>
      <w:r w:rsidR="00854BC9" w:rsidRPr="007214E1">
        <w:rPr>
          <w:rFonts w:ascii="Book Antiqua" w:hAnsi="Book Antiqua"/>
        </w:rPr>
        <w:t xml:space="preserve"> </w:t>
      </w:r>
      <w:r w:rsidR="00FA4722" w:rsidRPr="007214E1">
        <w:rPr>
          <w:rFonts w:ascii="Book Antiqua" w:hAnsi="Book Antiqua"/>
        </w:rPr>
        <w:t>Recent quality-of-life data</w:t>
      </w:r>
      <w:r w:rsidR="00D30F05" w:rsidRPr="007214E1">
        <w:rPr>
          <w:rFonts w:ascii="Book Antiqua" w:hAnsi="Book Antiqua"/>
        </w:rPr>
        <w:t xml:space="preserve"> from IMbrave150 presented in January 2020 revealed that patients taking atezolizumab plus bevacizumab had delayed time to deterioration of </w:t>
      </w:r>
      <w:r w:rsidR="00095FC5" w:rsidRPr="007214E1">
        <w:rPr>
          <w:rFonts w:ascii="Book Antiqua" w:hAnsi="Book Antiqua"/>
        </w:rPr>
        <w:t>quality-of-</w:t>
      </w:r>
      <w:proofErr w:type="gramStart"/>
      <w:r w:rsidR="00095FC5" w:rsidRPr="007214E1">
        <w:rPr>
          <w:rFonts w:ascii="Book Antiqua" w:hAnsi="Book Antiqua"/>
        </w:rPr>
        <w:t>life</w:t>
      </w:r>
      <w:r w:rsidR="00D30F05" w:rsidRPr="007214E1">
        <w:rPr>
          <w:rFonts w:ascii="Book Antiqua" w:hAnsi="Book Antiqua"/>
          <w:vertAlign w:val="superscript"/>
        </w:rPr>
        <w:t>[</w:t>
      </w:r>
      <w:proofErr w:type="gramEnd"/>
      <w:r w:rsidR="000F5EF6" w:rsidRPr="007214E1">
        <w:rPr>
          <w:rFonts w:ascii="Book Antiqua" w:hAnsi="Book Antiqua"/>
          <w:vertAlign w:val="superscript"/>
        </w:rPr>
        <w:t>57</w:t>
      </w:r>
      <w:r w:rsidR="00D30F05" w:rsidRPr="007214E1">
        <w:rPr>
          <w:rFonts w:ascii="Book Antiqua" w:hAnsi="Book Antiqua"/>
          <w:vertAlign w:val="superscript"/>
        </w:rPr>
        <w:t>]</w:t>
      </w:r>
      <w:r w:rsidR="00D30F05" w:rsidRPr="007214E1">
        <w:rPr>
          <w:rFonts w:ascii="Book Antiqua" w:hAnsi="Book Antiqua"/>
        </w:rPr>
        <w:t>.</w:t>
      </w:r>
      <w:r w:rsidR="00854BC9" w:rsidRPr="007214E1">
        <w:rPr>
          <w:rFonts w:ascii="Book Antiqua" w:hAnsi="Book Antiqua"/>
        </w:rPr>
        <w:t xml:space="preserve"> Patients in the combination arm reported greater </w:t>
      </w:r>
      <w:r w:rsidR="00095FC5" w:rsidRPr="007214E1">
        <w:rPr>
          <w:rFonts w:ascii="Book Antiqua" w:hAnsi="Book Antiqua"/>
        </w:rPr>
        <w:t>time to deterioration</w:t>
      </w:r>
      <w:r w:rsidR="00854BC9" w:rsidRPr="007214E1">
        <w:rPr>
          <w:rFonts w:ascii="Book Antiqua" w:hAnsi="Book Antiqua"/>
        </w:rPr>
        <w:t xml:space="preserve"> of physical functioning, diarrhea, loss of appetite, fatigue, and </w:t>
      </w:r>
      <w:proofErr w:type="gramStart"/>
      <w:r w:rsidR="00854BC9" w:rsidRPr="007214E1">
        <w:rPr>
          <w:rFonts w:ascii="Book Antiqua" w:hAnsi="Book Antiqua"/>
        </w:rPr>
        <w:t>pain</w:t>
      </w:r>
      <w:r w:rsidR="00854BC9" w:rsidRPr="007214E1">
        <w:rPr>
          <w:rFonts w:ascii="Book Antiqua" w:hAnsi="Book Antiqua"/>
          <w:vertAlign w:val="superscript"/>
        </w:rPr>
        <w:t>[</w:t>
      </w:r>
      <w:proofErr w:type="gramEnd"/>
      <w:r w:rsidR="000F5EF6" w:rsidRPr="007214E1">
        <w:rPr>
          <w:rFonts w:ascii="Book Antiqua" w:hAnsi="Book Antiqua"/>
          <w:vertAlign w:val="superscript"/>
        </w:rPr>
        <w:t>57</w:t>
      </w:r>
      <w:r w:rsidR="00854BC9" w:rsidRPr="007214E1">
        <w:rPr>
          <w:rFonts w:ascii="Book Antiqua" w:hAnsi="Book Antiqua"/>
          <w:vertAlign w:val="superscript"/>
        </w:rPr>
        <w:t>]</w:t>
      </w:r>
      <w:r w:rsidR="001F1560" w:rsidRPr="007214E1">
        <w:rPr>
          <w:rFonts w:ascii="Book Antiqua" w:eastAsia="宋体" w:hAnsi="Book Antiqua"/>
          <w:lang w:eastAsia="zh-CN"/>
        </w:rPr>
        <w:t xml:space="preserve"> (Table 4)</w:t>
      </w:r>
      <w:r w:rsidR="000F03C9" w:rsidRPr="007214E1">
        <w:rPr>
          <w:rFonts w:ascii="Book Antiqua" w:hAnsi="Book Antiqua"/>
        </w:rPr>
        <w:t>.</w:t>
      </w:r>
    </w:p>
    <w:p w14:paraId="298DBB67" w14:textId="0929C5E9" w:rsidR="00DB0A5B" w:rsidRPr="007214E1" w:rsidRDefault="00A95A1A" w:rsidP="00EB43EE">
      <w:pPr>
        <w:snapToGrid w:val="0"/>
        <w:spacing w:line="360" w:lineRule="auto"/>
        <w:ind w:firstLineChars="100" w:firstLine="240"/>
        <w:jc w:val="both"/>
        <w:rPr>
          <w:rFonts w:ascii="Book Antiqua" w:hAnsi="Book Antiqua"/>
          <w:i/>
        </w:rPr>
      </w:pPr>
      <w:r w:rsidRPr="007214E1">
        <w:rPr>
          <w:rFonts w:ascii="Book Antiqua" w:hAnsi="Book Antiqua"/>
        </w:rPr>
        <w:t xml:space="preserve">These data suggest that atezolizumab plus bevacizumab may become an alternative regimen for patients with advanced HCC due to its relatively acceptable toxicity profile when compared to a dual checkpoint inhibitor </w:t>
      </w:r>
      <w:r w:rsidRPr="007214E1">
        <w:rPr>
          <w:rFonts w:ascii="Book Antiqua" w:hAnsi="Book Antiqua"/>
        </w:rPr>
        <w:lastRenderedPageBreak/>
        <w:t>regimen, and improved efficacy when compared to sorafenib alone.</w:t>
      </w:r>
      <w:r w:rsidR="00DF12EB" w:rsidRPr="007214E1">
        <w:rPr>
          <w:rFonts w:ascii="Book Antiqua" w:hAnsi="Book Antiqua"/>
        </w:rPr>
        <w:t xml:space="preserve"> The study remains </w:t>
      </w:r>
      <w:proofErr w:type="gramStart"/>
      <w:r w:rsidR="00DF12EB" w:rsidRPr="007214E1">
        <w:rPr>
          <w:rFonts w:ascii="Book Antiqua" w:hAnsi="Book Antiqua"/>
        </w:rPr>
        <w:t>active</w:t>
      </w:r>
      <w:r w:rsidR="00701F70" w:rsidRPr="007214E1">
        <w:rPr>
          <w:rFonts w:ascii="Book Antiqua" w:hAnsi="Book Antiqua"/>
          <w:vertAlign w:val="superscript"/>
        </w:rPr>
        <w:t>[</w:t>
      </w:r>
      <w:proofErr w:type="gramEnd"/>
      <w:r w:rsidR="00701F70" w:rsidRPr="007214E1">
        <w:rPr>
          <w:rFonts w:ascii="Book Antiqua" w:hAnsi="Book Antiqua"/>
          <w:vertAlign w:val="superscript"/>
        </w:rPr>
        <w:t>58]</w:t>
      </w:r>
      <w:r w:rsidR="00701F70" w:rsidRPr="007214E1">
        <w:rPr>
          <w:rFonts w:ascii="Book Antiqua" w:hAnsi="Book Antiqua"/>
        </w:rPr>
        <w:t>.</w:t>
      </w:r>
    </w:p>
    <w:p w14:paraId="248A19D7" w14:textId="2801A0E4" w:rsidR="006C4F19" w:rsidRPr="007214E1" w:rsidRDefault="00DB0A5B" w:rsidP="00EB43EE">
      <w:pPr>
        <w:snapToGrid w:val="0"/>
        <w:spacing w:line="360" w:lineRule="auto"/>
        <w:ind w:firstLineChars="100" w:firstLine="240"/>
        <w:jc w:val="both"/>
        <w:rPr>
          <w:rFonts w:ascii="Book Antiqua" w:eastAsiaTheme="minorHAnsi" w:hAnsi="Book Antiqua"/>
          <w:b/>
          <w:bCs/>
        </w:rPr>
      </w:pPr>
      <w:r w:rsidRPr="007214E1">
        <w:rPr>
          <w:rFonts w:ascii="Book Antiqua" w:hAnsi="Book Antiqua"/>
        </w:rPr>
        <w:t xml:space="preserve">Other active clinical trials evaluating this combination include the NCT04102098 phase III trial, a part of the </w:t>
      </w:r>
      <w:proofErr w:type="spellStart"/>
      <w:r w:rsidR="00D30F05" w:rsidRPr="007214E1">
        <w:rPr>
          <w:rFonts w:ascii="Book Antiqua" w:hAnsi="Book Antiqua"/>
        </w:rPr>
        <w:t>IMbrave</w:t>
      </w:r>
      <w:proofErr w:type="spellEnd"/>
      <w:r w:rsidR="00D30F05" w:rsidRPr="007214E1">
        <w:rPr>
          <w:rFonts w:ascii="Book Antiqua" w:hAnsi="Book Antiqua"/>
        </w:rPr>
        <w:t xml:space="preserve"> 150</w:t>
      </w:r>
      <w:r w:rsidRPr="007214E1">
        <w:rPr>
          <w:rFonts w:ascii="Book Antiqua" w:hAnsi="Book Antiqua"/>
        </w:rPr>
        <w:t xml:space="preserve"> study, which</w:t>
      </w:r>
      <w:r w:rsidR="00D30F05" w:rsidRPr="007214E1">
        <w:rPr>
          <w:rFonts w:ascii="Book Antiqua" w:hAnsi="Book Antiqua"/>
        </w:rPr>
        <w:t xml:space="preserve"> will randomize </w:t>
      </w:r>
      <w:r w:rsidR="00D1229B" w:rsidRPr="007214E1">
        <w:rPr>
          <w:rFonts w:ascii="Book Antiqua" w:hAnsi="Book Antiqua"/>
        </w:rPr>
        <w:t>662 patients with</w:t>
      </w:r>
      <w:r w:rsidR="00D30F05" w:rsidRPr="007214E1">
        <w:rPr>
          <w:rFonts w:ascii="Book Antiqua" w:hAnsi="Book Antiqua"/>
        </w:rPr>
        <w:t xml:space="preserve"> </w:t>
      </w:r>
      <w:proofErr w:type="spellStart"/>
      <w:r w:rsidRPr="007214E1">
        <w:rPr>
          <w:rFonts w:ascii="Book Antiqua" w:hAnsi="Book Antiqua"/>
        </w:rPr>
        <w:t>resectable</w:t>
      </w:r>
      <w:proofErr w:type="spellEnd"/>
      <w:r w:rsidRPr="007214E1">
        <w:rPr>
          <w:rFonts w:ascii="Book Antiqua" w:hAnsi="Book Antiqua"/>
        </w:rPr>
        <w:t xml:space="preserve"> </w:t>
      </w:r>
      <w:r w:rsidR="00D1229B" w:rsidRPr="007214E1">
        <w:rPr>
          <w:rFonts w:ascii="Book Antiqua" w:hAnsi="Book Antiqua"/>
        </w:rPr>
        <w:t>HCC</w:t>
      </w:r>
      <w:r w:rsidRPr="007214E1">
        <w:rPr>
          <w:rFonts w:ascii="Book Antiqua" w:hAnsi="Book Antiqua"/>
        </w:rPr>
        <w:t xml:space="preserve"> and a high risk of recurrence</w:t>
      </w:r>
      <w:r w:rsidR="00D1229B" w:rsidRPr="007214E1">
        <w:rPr>
          <w:rFonts w:ascii="Book Antiqua" w:hAnsi="Book Antiqua"/>
        </w:rPr>
        <w:t xml:space="preserve"> to receive atezolizumab plus bevacizumab or </w:t>
      </w:r>
      <w:r w:rsidR="00D30F05" w:rsidRPr="007214E1">
        <w:rPr>
          <w:rFonts w:ascii="Book Antiqua" w:hAnsi="Book Antiqua"/>
        </w:rPr>
        <w:t>surveillance</w:t>
      </w:r>
      <w:r w:rsidR="00D1229B" w:rsidRPr="007214E1">
        <w:rPr>
          <w:rFonts w:ascii="Book Antiqua" w:hAnsi="Book Antiqua"/>
        </w:rPr>
        <w:t xml:space="preserve"> </w:t>
      </w:r>
      <w:r w:rsidRPr="007214E1">
        <w:rPr>
          <w:rFonts w:ascii="Book Antiqua" w:hAnsi="Book Antiqua"/>
        </w:rPr>
        <w:t>as adjuvant therapy</w:t>
      </w:r>
      <w:r w:rsidR="00D1229B" w:rsidRPr="007214E1">
        <w:rPr>
          <w:rFonts w:ascii="Book Antiqua" w:hAnsi="Book Antiqua"/>
          <w:vertAlign w:val="superscript"/>
        </w:rPr>
        <w:t>[</w:t>
      </w:r>
      <w:r w:rsidR="000F5EF6" w:rsidRPr="007214E1">
        <w:rPr>
          <w:rFonts w:ascii="Book Antiqua" w:hAnsi="Book Antiqua"/>
          <w:vertAlign w:val="superscript"/>
        </w:rPr>
        <w:t>5</w:t>
      </w:r>
      <w:r w:rsidR="003A4EAB" w:rsidRPr="007214E1">
        <w:rPr>
          <w:rFonts w:ascii="Book Antiqua" w:hAnsi="Book Antiqua"/>
          <w:vertAlign w:val="superscript"/>
        </w:rPr>
        <w:t>9</w:t>
      </w:r>
      <w:r w:rsidR="00D1229B" w:rsidRPr="007214E1">
        <w:rPr>
          <w:rFonts w:ascii="Book Antiqua" w:hAnsi="Book Antiqua"/>
          <w:vertAlign w:val="superscript"/>
        </w:rPr>
        <w:t>]</w:t>
      </w:r>
      <w:r w:rsidR="001F1560" w:rsidRPr="007214E1">
        <w:rPr>
          <w:rFonts w:ascii="Book Antiqua" w:eastAsia="宋体" w:hAnsi="Book Antiqua"/>
          <w:vertAlign w:val="superscript"/>
          <w:lang w:eastAsia="zh-CN"/>
        </w:rPr>
        <w:t xml:space="preserve"> </w:t>
      </w:r>
      <w:r w:rsidR="001F1560" w:rsidRPr="007214E1">
        <w:rPr>
          <w:rFonts w:ascii="Book Antiqua" w:eastAsia="宋体" w:hAnsi="Book Antiqua"/>
          <w:lang w:eastAsia="zh-CN"/>
        </w:rPr>
        <w:t>(Table 4)</w:t>
      </w:r>
      <w:r w:rsidR="008E2CD9" w:rsidRPr="007214E1">
        <w:rPr>
          <w:rFonts w:ascii="Book Antiqua" w:hAnsi="Book Antiqua"/>
        </w:rPr>
        <w:t>.</w:t>
      </w:r>
      <w:r w:rsidR="00A95A1A" w:rsidRPr="007214E1">
        <w:rPr>
          <w:rFonts w:ascii="Book Antiqua" w:hAnsi="Book Antiqua"/>
        </w:rPr>
        <w:t xml:space="preserve"> Given the significant improvement in PFS seen when this combination is used as first-line therapy, it may also be successful as adjuvant therapy and reduce the high recurrence rates often seen post-</w:t>
      </w:r>
      <w:proofErr w:type="gramStart"/>
      <w:r w:rsidR="00A95A1A" w:rsidRPr="007214E1">
        <w:rPr>
          <w:rFonts w:ascii="Book Antiqua" w:hAnsi="Book Antiqua"/>
        </w:rPr>
        <w:t>resection</w:t>
      </w:r>
      <w:r w:rsidR="00A95A1A" w:rsidRPr="007214E1">
        <w:rPr>
          <w:rFonts w:ascii="Book Antiqua" w:hAnsi="Book Antiqua"/>
          <w:vertAlign w:val="superscript"/>
        </w:rPr>
        <w:t>[</w:t>
      </w:r>
      <w:proofErr w:type="gramEnd"/>
      <w:r w:rsidR="00A95A1A" w:rsidRPr="007214E1">
        <w:rPr>
          <w:rFonts w:ascii="Book Antiqua" w:hAnsi="Book Antiqua"/>
          <w:vertAlign w:val="superscript"/>
        </w:rPr>
        <w:t>4-5,56,5</w:t>
      </w:r>
      <w:r w:rsidR="003A4EAB" w:rsidRPr="007214E1">
        <w:rPr>
          <w:rFonts w:ascii="Book Antiqua" w:hAnsi="Book Antiqua"/>
          <w:vertAlign w:val="superscript"/>
        </w:rPr>
        <w:t>9</w:t>
      </w:r>
      <w:r w:rsidR="00A95A1A" w:rsidRPr="007214E1">
        <w:rPr>
          <w:rFonts w:ascii="Book Antiqua" w:hAnsi="Book Antiqua"/>
          <w:vertAlign w:val="superscript"/>
        </w:rPr>
        <w:t>]</w:t>
      </w:r>
      <w:r w:rsidR="00A95A1A" w:rsidRPr="007214E1">
        <w:rPr>
          <w:rFonts w:ascii="Book Antiqua" w:hAnsi="Book Antiqua"/>
        </w:rPr>
        <w:t>.</w:t>
      </w:r>
      <w:r w:rsidR="00A95A1A" w:rsidRPr="007214E1">
        <w:rPr>
          <w:rFonts w:ascii="Book Antiqua" w:hAnsi="Book Antiqua"/>
          <w:i/>
        </w:rPr>
        <w:t xml:space="preserve"> </w:t>
      </w:r>
      <w:r w:rsidR="00A95A1A" w:rsidRPr="007214E1">
        <w:rPr>
          <w:rFonts w:ascii="Book Antiqua" w:hAnsi="Book Antiqua"/>
        </w:rPr>
        <w:t xml:space="preserve">A single-arm phase II trial (NCT04180072) will enroll 48 patients with advanced HCC and chronic HBV infection, allowing the investigators to determine whether HBV infection has any </w:t>
      </w:r>
      <w:r w:rsidR="00DF12EB" w:rsidRPr="007214E1">
        <w:rPr>
          <w:rFonts w:ascii="Book Antiqua" w:hAnsi="Book Antiqua"/>
        </w:rPr>
        <w:t>significant effect</w:t>
      </w:r>
      <w:r w:rsidR="00A95A1A" w:rsidRPr="007214E1">
        <w:rPr>
          <w:rFonts w:ascii="Book Antiqua" w:hAnsi="Book Antiqua"/>
        </w:rPr>
        <w:t xml:space="preserve"> on</w:t>
      </w:r>
      <w:r w:rsidR="00DF12EB" w:rsidRPr="007214E1">
        <w:rPr>
          <w:rFonts w:ascii="Book Antiqua" w:hAnsi="Book Antiqua"/>
        </w:rPr>
        <w:t xml:space="preserve"> the</w:t>
      </w:r>
      <w:r w:rsidR="00A95A1A" w:rsidRPr="007214E1">
        <w:rPr>
          <w:rFonts w:ascii="Book Antiqua" w:hAnsi="Book Antiqua"/>
        </w:rPr>
        <w:t xml:space="preserve"> </w:t>
      </w:r>
      <w:r w:rsidR="007E3D32" w:rsidRPr="007214E1">
        <w:rPr>
          <w:rFonts w:ascii="Book Antiqua" w:hAnsi="Book Antiqua"/>
        </w:rPr>
        <w:t>safety and effectiveness</w:t>
      </w:r>
      <w:r w:rsidR="00A95A1A" w:rsidRPr="007214E1">
        <w:rPr>
          <w:rFonts w:ascii="Book Antiqua" w:hAnsi="Book Antiqua"/>
        </w:rPr>
        <w:t xml:space="preserve"> of atezolizumab plus bevacizumab</w:t>
      </w:r>
      <w:r w:rsidR="00A95A1A" w:rsidRPr="007214E1">
        <w:rPr>
          <w:rFonts w:ascii="Book Antiqua" w:hAnsi="Book Antiqua"/>
          <w:vertAlign w:val="superscript"/>
        </w:rPr>
        <w:t>[</w:t>
      </w:r>
      <w:r w:rsidR="003A4EAB" w:rsidRPr="007214E1">
        <w:rPr>
          <w:rFonts w:ascii="Book Antiqua" w:hAnsi="Book Antiqua"/>
          <w:vertAlign w:val="superscript"/>
        </w:rPr>
        <w:t>60</w:t>
      </w:r>
      <w:r w:rsidR="00A95A1A" w:rsidRPr="007214E1">
        <w:rPr>
          <w:rFonts w:ascii="Book Antiqua" w:hAnsi="Book Antiqua"/>
          <w:vertAlign w:val="superscript"/>
        </w:rPr>
        <w:t>]</w:t>
      </w:r>
      <w:r w:rsidR="001F1560" w:rsidRPr="007214E1">
        <w:rPr>
          <w:rFonts w:ascii="Book Antiqua" w:eastAsia="宋体" w:hAnsi="Book Antiqua"/>
          <w:lang w:eastAsia="zh-CN"/>
        </w:rPr>
        <w:t xml:space="preserve"> (Table 4)</w:t>
      </w:r>
      <w:r w:rsidR="000F03C9" w:rsidRPr="007214E1">
        <w:rPr>
          <w:rFonts w:ascii="Book Antiqua" w:hAnsi="Book Antiqua"/>
        </w:rPr>
        <w:t>.</w:t>
      </w:r>
    </w:p>
    <w:p w14:paraId="06AF6FA3" w14:textId="77777777" w:rsidR="008360C2" w:rsidRPr="007214E1" w:rsidRDefault="008360C2" w:rsidP="00EB43EE">
      <w:pPr>
        <w:snapToGrid w:val="0"/>
        <w:spacing w:line="360" w:lineRule="auto"/>
        <w:jc w:val="both"/>
        <w:rPr>
          <w:rFonts w:ascii="Book Antiqua" w:hAnsi="Book Antiqua"/>
        </w:rPr>
      </w:pPr>
    </w:p>
    <w:p w14:paraId="6E1A6C08" w14:textId="537AA733" w:rsidR="008360C2" w:rsidRPr="007214E1" w:rsidRDefault="008360C2" w:rsidP="00EB43EE">
      <w:pPr>
        <w:snapToGrid w:val="0"/>
        <w:spacing w:line="360" w:lineRule="auto"/>
        <w:jc w:val="both"/>
        <w:rPr>
          <w:rFonts w:ascii="Book Antiqua" w:hAnsi="Book Antiqua"/>
          <w:i/>
        </w:rPr>
      </w:pPr>
      <w:r w:rsidRPr="007214E1">
        <w:rPr>
          <w:rFonts w:ascii="Book Antiqua" w:hAnsi="Book Antiqua"/>
          <w:b/>
          <w:i/>
          <w:color w:val="000000"/>
        </w:rPr>
        <w:t xml:space="preserve">Durvalumab </w:t>
      </w:r>
      <w:r w:rsidR="000F03C9" w:rsidRPr="007214E1">
        <w:rPr>
          <w:rFonts w:ascii="Book Antiqua" w:hAnsi="Book Antiqua"/>
          <w:b/>
          <w:i/>
          <w:color w:val="000000"/>
        </w:rPr>
        <w:t>plus bevacizumab</w:t>
      </w:r>
    </w:p>
    <w:p w14:paraId="7E717090" w14:textId="449CA587" w:rsidR="008360C2" w:rsidRPr="007214E1" w:rsidRDefault="003B1E9A" w:rsidP="00EB43EE">
      <w:pPr>
        <w:snapToGrid w:val="0"/>
        <w:spacing w:line="360" w:lineRule="auto"/>
        <w:jc w:val="both"/>
        <w:rPr>
          <w:rFonts w:ascii="Book Antiqua" w:hAnsi="Book Antiqua"/>
        </w:rPr>
      </w:pPr>
      <w:r w:rsidRPr="007214E1">
        <w:rPr>
          <w:rFonts w:ascii="Book Antiqua" w:hAnsi="Book Antiqua"/>
        </w:rPr>
        <w:t xml:space="preserve">The </w:t>
      </w:r>
      <w:r w:rsidR="006448A1" w:rsidRPr="007214E1">
        <w:rPr>
          <w:rFonts w:ascii="Book Antiqua" w:hAnsi="Book Antiqua"/>
        </w:rPr>
        <w:t xml:space="preserve">results of the studies testing atezolizumab and bevacizumab </w:t>
      </w:r>
      <w:r w:rsidRPr="007214E1">
        <w:rPr>
          <w:rFonts w:ascii="Book Antiqua" w:hAnsi="Book Antiqua"/>
        </w:rPr>
        <w:t xml:space="preserve">may be generalizable to other </w:t>
      </w:r>
      <w:r w:rsidR="00164C68" w:rsidRPr="007214E1">
        <w:rPr>
          <w:rFonts w:ascii="Book Antiqua" w:hAnsi="Book Antiqua"/>
        </w:rPr>
        <w:t>checkpoint</w:t>
      </w:r>
      <w:r w:rsidRPr="007214E1">
        <w:rPr>
          <w:rFonts w:ascii="Book Antiqua" w:hAnsi="Book Antiqua"/>
        </w:rPr>
        <w:t xml:space="preserve"> inhibitors, such as durvalumab, if used in combination with bevacizumab or other VEGF inhibitors given similar mechanisms of action.</w:t>
      </w:r>
      <w:r w:rsidRPr="007214E1">
        <w:rPr>
          <w:rFonts w:ascii="Book Antiqua" w:hAnsi="Book Antiqua"/>
          <w:i/>
        </w:rPr>
        <w:t xml:space="preserve"> </w:t>
      </w:r>
      <w:r w:rsidR="006448A1" w:rsidRPr="007214E1">
        <w:rPr>
          <w:rFonts w:ascii="Book Antiqua" w:hAnsi="Book Antiqua"/>
        </w:rPr>
        <w:t>Th</w:t>
      </w:r>
      <w:r w:rsidR="00164C68" w:rsidRPr="007214E1">
        <w:rPr>
          <w:rFonts w:ascii="Book Antiqua" w:hAnsi="Book Antiqua"/>
        </w:rPr>
        <w:t>e</w:t>
      </w:r>
      <w:r w:rsidR="006448A1" w:rsidRPr="007214E1">
        <w:rPr>
          <w:rFonts w:ascii="Book Antiqua" w:hAnsi="Book Antiqua"/>
        </w:rPr>
        <w:t xml:space="preserve"> combination </w:t>
      </w:r>
      <w:r w:rsidR="00164C68" w:rsidRPr="007214E1">
        <w:rPr>
          <w:rFonts w:ascii="Book Antiqua" w:hAnsi="Book Antiqua"/>
        </w:rPr>
        <w:t xml:space="preserve">of durvalumab plus bevacizumab </w:t>
      </w:r>
      <w:r w:rsidR="006448A1" w:rsidRPr="007214E1">
        <w:rPr>
          <w:rFonts w:ascii="Book Antiqua" w:hAnsi="Book Antiqua"/>
        </w:rPr>
        <w:t xml:space="preserve">is being </w:t>
      </w:r>
      <w:r w:rsidR="00164C68" w:rsidRPr="007214E1">
        <w:rPr>
          <w:rFonts w:ascii="Book Antiqua" w:hAnsi="Book Antiqua"/>
        </w:rPr>
        <w:t>studied</w:t>
      </w:r>
      <w:r w:rsidR="006448A1" w:rsidRPr="007214E1">
        <w:rPr>
          <w:rFonts w:ascii="Book Antiqua" w:hAnsi="Book Antiqua"/>
        </w:rPr>
        <w:t xml:space="preserve"> in multiple different trials, including the aforementioned phase II study (NCT02519348) in patients with advanced HCC as </w:t>
      </w:r>
      <w:r w:rsidR="00635CCA" w:rsidRPr="007214E1">
        <w:rPr>
          <w:rFonts w:ascii="Book Antiqua" w:hAnsi="Book Antiqua"/>
        </w:rPr>
        <w:t>first</w:t>
      </w:r>
      <w:r w:rsidR="006448A1" w:rsidRPr="007214E1">
        <w:rPr>
          <w:rFonts w:ascii="Book Antiqua" w:hAnsi="Book Antiqua"/>
        </w:rPr>
        <w:t>-line therapy</w:t>
      </w:r>
      <w:r w:rsidR="006448A1" w:rsidRPr="007214E1">
        <w:rPr>
          <w:rFonts w:ascii="Book Antiqua" w:hAnsi="Book Antiqua"/>
          <w:vertAlign w:val="superscript"/>
        </w:rPr>
        <w:t>[</w:t>
      </w:r>
      <w:r w:rsidR="00572977" w:rsidRPr="007214E1">
        <w:rPr>
          <w:rFonts w:ascii="Book Antiqua" w:hAnsi="Book Antiqua"/>
          <w:vertAlign w:val="superscript"/>
        </w:rPr>
        <w:t>38</w:t>
      </w:r>
      <w:r w:rsidR="006448A1" w:rsidRPr="007214E1">
        <w:rPr>
          <w:rFonts w:ascii="Book Antiqua" w:hAnsi="Book Antiqua"/>
          <w:vertAlign w:val="superscript"/>
        </w:rPr>
        <w:t>]</w:t>
      </w:r>
      <w:r w:rsidR="001F1560" w:rsidRPr="007214E1">
        <w:rPr>
          <w:rFonts w:ascii="Book Antiqua" w:eastAsia="宋体" w:hAnsi="Book Antiqua"/>
          <w:lang w:eastAsia="zh-CN"/>
        </w:rPr>
        <w:t xml:space="preserve"> (Table 3)</w:t>
      </w:r>
      <w:r w:rsidR="006448A1" w:rsidRPr="007214E1">
        <w:rPr>
          <w:rFonts w:ascii="Book Antiqua" w:hAnsi="Book Antiqua"/>
        </w:rPr>
        <w:t xml:space="preserve">. </w:t>
      </w:r>
      <w:r w:rsidR="000E7867" w:rsidRPr="007214E1">
        <w:rPr>
          <w:rFonts w:ascii="Book Antiqua" w:hAnsi="Book Antiqua"/>
        </w:rPr>
        <w:t xml:space="preserve">The </w:t>
      </w:r>
      <w:r w:rsidR="006448A1" w:rsidRPr="007214E1">
        <w:rPr>
          <w:rFonts w:ascii="Book Antiqua" w:hAnsi="Book Antiqua"/>
        </w:rPr>
        <w:t xml:space="preserve">phase III </w:t>
      </w:r>
      <w:r w:rsidR="000E7867" w:rsidRPr="007214E1">
        <w:rPr>
          <w:rFonts w:ascii="Book Antiqua" w:hAnsi="Book Antiqua"/>
        </w:rPr>
        <w:t xml:space="preserve">EMERALD-2 </w:t>
      </w:r>
      <w:r w:rsidR="006448A1" w:rsidRPr="007214E1">
        <w:rPr>
          <w:rFonts w:ascii="Book Antiqua" w:hAnsi="Book Antiqua"/>
        </w:rPr>
        <w:t>trial</w:t>
      </w:r>
      <w:r w:rsidR="000E7867" w:rsidRPr="007214E1">
        <w:rPr>
          <w:rFonts w:ascii="Book Antiqua" w:hAnsi="Book Antiqua"/>
        </w:rPr>
        <w:t xml:space="preserve"> (</w:t>
      </w:r>
      <w:r w:rsidR="000E7867" w:rsidRPr="007214E1">
        <w:rPr>
          <w:rFonts w:ascii="Book Antiqua" w:hAnsi="Book Antiqua"/>
          <w:color w:val="000000"/>
          <w:shd w:val="clear" w:color="auto" w:fill="FFFFFF"/>
        </w:rPr>
        <w:t>NCT03847428</w:t>
      </w:r>
      <w:r w:rsidR="000E7867" w:rsidRPr="007214E1">
        <w:rPr>
          <w:rFonts w:ascii="Book Antiqua" w:hAnsi="Book Antiqua"/>
        </w:rPr>
        <w:t>)</w:t>
      </w:r>
      <w:r w:rsidR="006448A1" w:rsidRPr="007214E1">
        <w:rPr>
          <w:rFonts w:ascii="Book Antiqua" w:hAnsi="Book Antiqua"/>
        </w:rPr>
        <w:t xml:space="preserve"> will compare </w:t>
      </w:r>
      <w:r w:rsidR="00164C68" w:rsidRPr="007214E1">
        <w:rPr>
          <w:rFonts w:ascii="Book Antiqua" w:hAnsi="Book Antiqua"/>
        </w:rPr>
        <w:t xml:space="preserve">durvalumab plus bevacizumab </w:t>
      </w:r>
      <w:r w:rsidR="006448A1" w:rsidRPr="007214E1">
        <w:rPr>
          <w:rFonts w:ascii="Book Antiqua" w:hAnsi="Book Antiqua"/>
        </w:rPr>
        <w:t>to either durvalumab alone or placebo as adjuvant therapy after either ablation or resection in HCC patients with a high risk of recurrence</w:t>
      </w:r>
      <w:r w:rsidR="006448A1" w:rsidRPr="007214E1">
        <w:rPr>
          <w:rFonts w:ascii="Book Antiqua" w:hAnsi="Book Antiqua"/>
          <w:vertAlign w:val="superscript"/>
        </w:rPr>
        <w:t>[</w:t>
      </w:r>
      <w:r w:rsidR="00164C68" w:rsidRPr="007214E1">
        <w:rPr>
          <w:rFonts w:ascii="Book Antiqua" w:hAnsi="Book Antiqua"/>
          <w:vertAlign w:val="superscript"/>
        </w:rPr>
        <w:t>6</w:t>
      </w:r>
      <w:r w:rsidR="00635CCA" w:rsidRPr="007214E1">
        <w:rPr>
          <w:rFonts w:ascii="Book Antiqua" w:hAnsi="Book Antiqua"/>
          <w:vertAlign w:val="superscript"/>
        </w:rPr>
        <w:t>1</w:t>
      </w:r>
      <w:r w:rsidR="006448A1" w:rsidRPr="007214E1">
        <w:rPr>
          <w:rFonts w:ascii="Book Antiqua" w:hAnsi="Book Antiqua"/>
          <w:vertAlign w:val="superscript"/>
        </w:rPr>
        <w:t>]</w:t>
      </w:r>
      <w:r w:rsidR="001F1560" w:rsidRPr="007214E1">
        <w:rPr>
          <w:rFonts w:ascii="Book Antiqua" w:eastAsia="宋体" w:hAnsi="Book Antiqua"/>
          <w:lang w:eastAsia="zh-CN"/>
        </w:rPr>
        <w:t xml:space="preserve"> (Table 4)</w:t>
      </w:r>
      <w:r w:rsidR="000F03C9" w:rsidRPr="007214E1">
        <w:rPr>
          <w:rFonts w:ascii="Book Antiqua" w:hAnsi="Book Antiqua"/>
        </w:rPr>
        <w:t>.</w:t>
      </w:r>
    </w:p>
    <w:p w14:paraId="319134DF" w14:textId="2AA61765" w:rsidR="008360C2" w:rsidRPr="007214E1" w:rsidRDefault="008360C2" w:rsidP="00EB43EE">
      <w:pPr>
        <w:snapToGrid w:val="0"/>
        <w:spacing w:line="360" w:lineRule="auto"/>
        <w:jc w:val="both"/>
        <w:rPr>
          <w:rFonts w:ascii="Book Antiqua" w:hAnsi="Book Antiqua"/>
        </w:rPr>
      </w:pPr>
    </w:p>
    <w:p w14:paraId="5E8F589D" w14:textId="3AC0382B" w:rsidR="008360C2" w:rsidRPr="007214E1" w:rsidRDefault="000F03C9" w:rsidP="00EB43EE">
      <w:pPr>
        <w:snapToGrid w:val="0"/>
        <w:spacing w:line="360" w:lineRule="auto"/>
        <w:jc w:val="both"/>
        <w:rPr>
          <w:rFonts w:ascii="Book Antiqua" w:hAnsi="Book Antiqua"/>
          <w:b/>
          <w:i/>
          <w:color w:val="000000"/>
        </w:rPr>
      </w:pPr>
      <w:r w:rsidRPr="007214E1">
        <w:rPr>
          <w:rFonts w:ascii="Book Antiqua" w:hAnsi="Book Antiqua"/>
          <w:b/>
          <w:i/>
          <w:color w:val="000000"/>
        </w:rPr>
        <w:t>Durvalumab plus ramucirumab</w:t>
      </w:r>
    </w:p>
    <w:p w14:paraId="40DC4300" w14:textId="1F39468B" w:rsidR="008360C2" w:rsidRPr="007214E1" w:rsidRDefault="008360C2" w:rsidP="00EB43EE">
      <w:pPr>
        <w:snapToGrid w:val="0"/>
        <w:spacing w:line="360" w:lineRule="auto"/>
        <w:jc w:val="both"/>
        <w:rPr>
          <w:rFonts w:ascii="Book Antiqua" w:hAnsi="Book Antiqua"/>
          <w:color w:val="000000"/>
        </w:rPr>
      </w:pPr>
      <w:r w:rsidRPr="007214E1">
        <w:rPr>
          <w:rFonts w:ascii="Book Antiqua" w:hAnsi="Book Antiqua"/>
        </w:rPr>
        <w:t>A phase I trial (</w:t>
      </w:r>
      <w:r w:rsidRPr="007214E1">
        <w:rPr>
          <w:rFonts w:ascii="Book Antiqua" w:hAnsi="Book Antiqua"/>
          <w:color w:val="000000"/>
        </w:rPr>
        <w:t xml:space="preserve">NCT02572687) is evaluating the safety of the combination of ramucirumab and durvalumab in patients with advanced gastrointestinal or </w:t>
      </w:r>
      <w:r w:rsidRPr="007214E1">
        <w:rPr>
          <w:rFonts w:ascii="Book Antiqua" w:hAnsi="Book Antiqua"/>
          <w:color w:val="000000"/>
        </w:rPr>
        <w:lastRenderedPageBreak/>
        <w:t xml:space="preserve">thoracic malignancies including hepatocellular </w:t>
      </w:r>
      <w:proofErr w:type="gramStart"/>
      <w:r w:rsidRPr="007214E1">
        <w:rPr>
          <w:rFonts w:ascii="Book Antiqua" w:hAnsi="Book Antiqua"/>
          <w:color w:val="000000"/>
        </w:rPr>
        <w:t>carcinoma</w:t>
      </w:r>
      <w:r w:rsidRPr="007214E1">
        <w:rPr>
          <w:rFonts w:ascii="Book Antiqua" w:hAnsi="Book Antiqua"/>
          <w:color w:val="000000"/>
          <w:vertAlign w:val="superscript"/>
        </w:rPr>
        <w:t>[</w:t>
      </w:r>
      <w:proofErr w:type="gramEnd"/>
      <w:r w:rsidR="00F03104" w:rsidRPr="007214E1">
        <w:rPr>
          <w:rFonts w:ascii="Book Antiqua" w:hAnsi="Book Antiqua"/>
          <w:color w:val="000000"/>
          <w:vertAlign w:val="superscript"/>
        </w:rPr>
        <w:t>6</w:t>
      </w:r>
      <w:r w:rsidR="00635CCA" w:rsidRPr="007214E1">
        <w:rPr>
          <w:rFonts w:ascii="Book Antiqua" w:hAnsi="Book Antiqua"/>
          <w:color w:val="000000"/>
          <w:vertAlign w:val="superscript"/>
        </w:rPr>
        <w:t>2</w:t>
      </w:r>
      <w:r w:rsidRPr="007214E1">
        <w:rPr>
          <w:rFonts w:ascii="Book Antiqua" w:hAnsi="Book Antiqua"/>
          <w:color w:val="000000"/>
          <w:vertAlign w:val="superscript"/>
        </w:rPr>
        <w:t>]</w:t>
      </w:r>
      <w:r w:rsidRPr="007214E1">
        <w:rPr>
          <w:rFonts w:ascii="Book Antiqua" w:hAnsi="Book Antiqua"/>
          <w:color w:val="000000"/>
        </w:rPr>
        <w:t>. Although no reported phase II or III trials are currently active, if this combination proves to be safe with a tolerable side-effect profile, further study is warranted based on the results of the REACH-2 trial to determine if this combination is most effective in patients with an AFP greater than 400</w:t>
      </w:r>
      <w:r w:rsidRPr="007214E1">
        <w:rPr>
          <w:rFonts w:ascii="Book Antiqua" w:hAnsi="Book Antiqua"/>
          <w:color w:val="000000"/>
          <w:vertAlign w:val="superscript"/>
        </w:rPr>
        <w:t>[</w:t>
      </w:r>
      <w:r w:rsidR="00572977" w:rsidRPr="007214E1">
        <w:rPr>
          <w:rFonts w:ascii="Book Antiqua" w:hAnsi="Book Antiqua"/>
          <w:color w:val="000000"/>
          <w:vertAlign w:val="superscript"/>
        </w:rPr>
        <w:t>10</w:t>
      </w:r>
      <w:r w:rsidRPr="007214E1">
        <w:rPr>
          <w:rFonts w:ascii="Book Antiqua" w:hAnsi="Book Antiqua"/>
          <w:color w:val="000000"/>
          <w:vertAlign w:val="superscript"/>
        </w:rPr>
        <w:t>]</w:t>
      </w:r>
      <w:r w:rsidR="000F03C9" w:rsidRPr="007214E1">
        <w:rPr>
          <w:rFonts w:ascii="Book Antiqua" w:hAnsi="Book Antiqua"/>
          <w:color w:val="000000"/>
        </w:rPr>
        <w:t>.</w:t>
      </w:r>
    </w:p>
    <w:p w14:paraId="3712D654" w14:textId="77777777" w:rsidR="00164C68" w:rsidRPr="007214E1" w:rsidRDefault="00164C68" w:rsidP="00EB43EE">
      <w:pPr>
        <w:snapToGrid w:val="0"/>
        <w:spacing w:line="360" w:lineRule="auto"/>
        <w:jc w:val="both"/>
        <w:rPr>
          <w:rFonts w:ascii="Book Antiqua" w:hAnsi="Book Antiqua"/>
        </w:rPr>
      </w:pPr>
    </w:p>
    <w:p w14:paraId="26375630" w14:textId="01CA2F3F" w:rsidR="003B7912" w:rsidRPr="007214E1" w:rsidRDefault="00250475" w:rsidP="00EB43EE">
      <w:pPr>
        <w:snapToGrid w:val="0"/>
        <w:spacing w:line="360" w:lineRule="auto"/>
        <w:jc w:val="both"/>
        <w:rPr>
          <w:rFonts w:ascii="Book Antiqua" w:hAnsi="Book Antiqua"/>
          <w:i/>
        </w:rPr>
      </w:pPr>
      <w:proofErr w:type="spellStart"/>
      <w:r w:rsidRPr="007214E1">
        <w:rPr>
          <w:rFonts w:ascii="Book Antiqua" w:hAnsi="Book Antiqua"/>
          <w:b/>
          <w:i/>
          <w:color w:val="000000"/>
        </w:rPr>
        <w:t>Camrelizumab</w:t>
      </w:r>
      <w:proofErr w:type="spellEnd"/>
      <w:r w:rsidR="001A659B" w:rsidRPr="007214E1">
        <w:rPr>
          <w:rFonts w:ascii="Book Antiqua" w:hAnsi="Book Antiqua"/>
          <w:b/>
          <w:i/>
          <w:color w:val="000000"/>
        </w:rPr>
        <w:t xml:space="preserve"> plus </w:t>
      </w:r>
      <w:proofErr w:type="spellStart"/>
      <w:r w:rsidR="000F03C9" w:rsidRPr="007214E1">
        <w:rPr>
          <w:rFonts w:ascii="Book Antiqua" w:hAnsi="Book Antiqua"/>
          <w:b/>
          <w:i/>
          <w:color w:val="000000"/>
        </w:rPr>
        <w:t>apatinib</w:t>
      </w:r>
      <w:proofErr w:type="spellEnd"/>
    </w:p>
    <w:p w14:paraId="13E1CBC4" w14:textId="65F4CBE4" w:rsidR="00E359B3" w:rsidRPr="007214E1" w:rsidRDefault="00643C04" w:rsidP="00EB43EE">
      <w:pPr>
        <w:snapToGrid w:val="0"/>
        <w:spacing w:line="360" w:lineRule="auto"/>
        <w:jc w:val="both"/>
        <w:rPr>
          <w:rFonts w:ascii="Book Antiqua" w:hAnsi="Book Antiqua"/>
          <w:i/>
          <w:color w:val="000000"/>
        </w:rPr>
      </w:pPr>
      <w:proofErr w:type="spellStart"/>
      <w:r w:rsidRPr="007214E1">
        <w:rPr>
          <w:rFonts w:ascii="Book Antiqua" w:hAnsi="Book Antiqua"/>
          <w:color w:val="000000"/>
        </w:rPr>
        <w:t>Apatinib</w:t>
      </w:r>
      <w:proofErr w:type="spellEnd"/>
      <w:r w:rsidRPr="007214E1">
        <w:rPr>
          <w:rFonts w:ascii="Book Antiqua" w:hAnsi="Book Antiqua"/>
          <w:color w:val="000000"/>
        </w:rPr>
        <w:t xml:space="preserve"> is a </w:t>
      </w:r>
      <w:r w:rsidR="00B41DFC" w:rsidRPr="007214E1">
        <w:rPr>
          <w:rFonts w:ascii="Book Antiqua" w:hAnsi="Book Antiqua"/>
          <w:color w:val="000000"/>
        </w:rPr>
        <w:t xml:space="preserve">tyrosine kinase inhibitor of </w:t>
      </w:r>
      <w:r w:rsidR="004C3BE7" w:rsidRPr="007214E1">
        <w:rPr>
          <w:rFonts w:ascii="Book Antiqua" w:hAnsi="Book Antiqua"/>
          <w:color w:val="000000"/>
        </w:rPr>
        <w:t>VEGFR2</w:t>
      </w:r>
      <w:r w:rsidR="00C379FB" w:rsidRPr="007214E1">
        <w:rPr>
          <w:rFonts w:ascii="Book Antiqua" w:hAnsi="Book Antiqua"/>
          <w:color w:val="000000"/>
        </w:rPr>
        <w:t xml:space="preserve"> </w:t>
      </w:r>
      <w:r w:rsidR="00EB2468" w:rsidRPr="007214E1">
        <w:rPr>
          <w:rFonts w:ascii="Book Antiqua" w:hAnsi="Book Antiqua"/>
          <w:color w:val="000000"/>
        </w:rPr>
        <w:t>that binds to its target with ten-fold more affinity than</w:t>
      </w:r>
      <w:r w:rsidR="00C379FB" w:rsidRPr="007214E1">
        <w:rPr>
          <w:rFonts w:ascii="Book Antiqua" w:hAnsi="Book Antiqua"/>
          <w:color w:val="000000"/>
        </w:rPr>
        <w:t xml:space="preserve"> sorafenib</w:t>
      </w:r>
      <w:r w:rsidR="00B41DFC" w:rsidRPr="007214E1">
        <w:rPr>
          <w:rFonts w:ascii="Book Antiqua" w:hAnsi="Book Antiqua"/>
          <w:color w:val="000000"/>
        </w:rPr>
        <w:t xml:space="preserve">, and </w:t>
      </w:r>
      <w:r w:rsidR="009605D7" w:rsidRPr="007214E1">
        <w:rPr>
          <w:rFonts w:ascii="Book Antiqua" w:hAnsi="Book Antiqua"/>
          <w:color w:val="000000"/>
        </w:rPr>
        <w:t>is currently approved in China for</w:t>
      </w:r>
      <w:r w:rsidR="00027969" w:rsidRPr="007214E1">
        <w:rPr>
          <w:rFonts w:ascii="Book Antiqua" w:hAnsi="Book Antiqua"/>
          <w:color w:val="000000"/>
        </w:rPr>
        <w:t xml:space="preserve"> use</w:t>
      </w:r>
      <w:r w:rsidR="009605D7" w:rsidRPr="007214E1">
        <w:rPr>
          <w:rFonts w:ascii="Book Antiqua" w:hAnsi="Book Antiqua"/>
          <w:color w:val="000000"/>
        </w:rPr>
        <w:t xml:space="preserve"> </w:t>
      </w:r>
      <w:r w:rsidR="00027969" w:rsidRPr="007214E1">
        <w:rPr>
          <w:rFonts w:ascii="Book Antiqua" w:hAnsi="Book Antiqua"/>
          <w:color w:val="000000"/>
        </w:rPr>
        <w:t xml:space="preserve">in </w:t>
      </w:r>
      <w:r w:rsidR="009605D7" w:rsidRPr="007214E1">
        <w:rPr>
          <w:rFonts w:ascii="Book Antiqua" w:hAnsi="Book Antiqua"/>
          <w:color w:val="000000"/>
        </w:rPr>
        <w:t xml:space="preserve">advanced gastric cancer </w:t>
      </w:r>
      <w:proofErr w:type="gramStart"/>
      <w:r w:rsidR="00027969" w:rsidRPr="007214E1">
        <w:rPr>
          <w:rFonts w:ascii="Book Antiqua" w:hAnsi="Book Antiqua"/>
          <w:color w:val="000000"/>
        </w:rPr>
        <w:t>patients</w:t>
      </w:r>
      <w:r w:rsidR="004C3BE7" w:rsidRPr="007214E1">
        <w:rPr>
          <w:rFonts w:ascii="Book Antiqua" w:hAnsi="Book Antiqua"/>
          <w:color w:val="000000"/>
          <w:vertAlign w:val="superscript"/>
        </w:rPr>
        <w:t>[</w:t>
      </w:r>
      <w:proofErr w:type="gramEnd"/>
      <w:r w:rsidR="006C57B8" w:rsidRPr="007214E1">
        <w:rPr>
          <w:rFonts w:ascii="Book Antiqua" w:hAnsi="Book Antiqua"/>
          <w:color w:val="000000"/>
          <w:vertAlign w:val="superscript"/>
        </w:rPr>
        <w:t>6</w:t>
      </w:r>
      <w:r w:rsidR="00635CCA" w:rsidRPr="007214E1">
        <w:rPr>
          <w:rFonts w:ascii="Book Antiqua" w:hAnsi="Book Antiqua"/>
          <w:color w:val="000000"/>
          <w:vertAlign w:val="superscript"/>
        </w:rPr>
        <w:t>3</w:t>
      </w:r>
      <w:r w:rsidR="000F03C9" w:rsidRPr="007214E1">
        <w:rPr>
          <w:rFonts w:ascii="Book Antiqua" w:hAnsi="Book Antiqua"/>
          <w:color w:val="000000"/>
          <w:vertAlign w:val="superscript"/>
        </w:rPr>
        <w:t>,</w:t>
      </w:r>
      <w:r w:rsidR="006C57B8" w:rsidRPr="007214E1">
        <w:rPr>
          <w:rFonts w:ascii="Book Antiqua" w:hAnsi="Book Antiqua"/>
          <w:color w:val="000000"/>
          <w:vertAlign w:val="superscript"/>
        </w:rPr>
        <w:t>6</w:t>
      </w:r>
      <w:r w:rsidR="00635CCA" w:rsidRPr="007214E1">
        <w:rPr>
          <w:rFonts w:ascii="Book Antiqua" w:hAnsi="Book Antiqua"/>
          <w:color w:val="000000"/>
          <w:vertAlign w:val="superscript"/>
        </w:rPr>
        <w:t>4</w:t>
      </w:r>
      <w:r w:rsidR="004C3BE7" w:rsidRPr="007214E1">
        <w:rPr>
          <w:rFonts w:ascii="Book Antiqua" w:hAnsi="Book Antiqua"/>
          <w:color w:val="000000"/>
          <w:vertAlign w:val="superscript"/>
        </w:rPr>
        <w:t>]</w:t>
      </w:r>
      <w:r w:rsidR="004C3BE7" w:rsidRPr="007214E1">
        <w:rPr>
          <w:rFonts w:ascii="Book Antiqua" w:hAnsi="Book Antiqua"/>
          <w:color w:val="000000"/>
        </w:rPr>
        <w:t>.</w:t>
      </w:r>
      <w:r w:rsidR="005B18F0" w:rsidRPr="007214E1">
        <w:rPr>
          <w:rFonts w:ascii="Book Antiqua" w:hAnsi="Book Antiqua"/>
          <w:i/>
          <w:color w:val="000000"/>
        </w:rPr>
        <w:t xml:space="preserve"> </w:t>
      </w:r>
      <w:proofErr w:type="spellStart"/>
      <w:r w:rsidR="00EB2468" w:rsidRPr="007214E1">
        <w:rPr>
          <w:rFonts w:ascii="Book Antiqua" w:hAnsi="Book Antiqua"/>
          <w:color w:val="000000"/>
        </w:rPr>
        <w:t>Apatinib</w:t>
      </w:r>
      <w:proofErr w:type="spellEnd"/>
      <w:r w:rsidR="00EB2468" w:rsidRPr="007214E1">
        <w:rPr>
          <w:rFonts w:ascii="Book Antiqua" w:hAnsi="Book Antiqua"/>
          <w:color w:val="000000"/>
        </w:rPr>
        <w:t xml:space="preserve"> has demonstrated a tolerable safety profile with evidence of anti-tumor activity in HCC patients as single-agent </w:t>
      </w:r>
      <w:proofErr w:type="gramStart"/>
      <w:r w:rsidR="00EB2468" w:rsidRPr="007214E1">
        <w:rPr>
          <w:rFonts w:ascii="Book Antiqua" w:hAnsi="Book Antiqua"/>
          <w:color w:val="000000"/>
        </w:rPr>
        <w:t>therapy</w:t>
      </w:r>
      <w:r w:rsidR="004C07AD" w:rsidRPr="007214E1">
        <w:rPr>
          <w:rFonts w:ascii="Book Antiqua" w:hAnsi="Book Antiqua"/>
          <w:color w:val="000000"/>
          <w:vertAlign w:val="superscript"/>
        </w:rPr>
        <w:t>[</w:t>
      </w:r>
      <w:proofErr w:type="gramEnd"/>
      <w:r w:rsidR="00EB2468" w:rsidRPr="007214E1">
        <w:rPr>
          <w:rFonts w:ascii="Book Antiqua" w:hAnsi="Book Antiqua"/>
          <w:color w:val="000000"/>
          <w:vertAlign w:val="superscript"/>
        </w:rPr>
        <w:t>6</w:t>
      </w:r>
      <w:r w:rsidR="00635CCA" w:rsidRPr="007214E1">
        <w:rPr>
          <w:rFonts w:ascii="Book Antiqua" w:hAnsi="Book Antiqua"/>
          <w:color w:val="000000"/>
          <w:vertAlign w:val="superscript"/>
        </w:rPr>
        <w:t>4</w:t>
      </w:r>
      <w:r w:rsidR="004C07AD" w:rsidRPr="007214E1">
        <w:rPr>
          <w:rFonts w:ascii="Book Antiqua" w:hAnsi="Book Antiqua"/>
          <w:color w:val="000000"/>
          <w:vertAlign w:val="superscript"/>
        </w:rPr>
        <w:t>]</w:t>
      </w:r>
      <w:r w:rsidR="00B0310D" w:rsidRPr="007214E1">
        <w:rPr>
          <w:rFonts w:ascii="Book Antiqua" w:hAnsi="Book Antiqua"/>
          <w:color w:val="000000"/>
        </w:rPr>
        <w:t>.</w:t>
      </w:r>
      <w:r w:rsidR="004C07AD" w:rsidRPr="007214E1">
        <w:rPr>
          <w:rFonts w:ascii="Book Antiqua" w:hAnsi="Book Antiqua"/>
          <w:color w:val="000000"/>
        </w:rPr>
        <w:t xml:space="preserve"> </w:t>
      </w:r>
      <w:r w:rsidR="006756E2" w:rsidRPr="007214E1">
        <w:rPr>
          <w:rFonts w:ascii="Book Antiqua" w:hAnsi="Book Antiqua"/>
          <w:color w:val="000000"/>
        </w:rPr>
        <w:t xml:space="preserve">In a murine model of lung cancer, the combination of </w:t>
      </w:r>
      <w:proofErr w:type="spellStart"/>
      <w:r w:rsidR="006756E2" w:rsidRPr="007214E1">
        <w:rPr>
          <w:rFonts w:ascii="Book Antiqua" w:hAnsi="Book Antiqua"/>
          <w:color w:val="000000"/>
        </w:rPr>
        <w:t>apatinib</w:t>
      </w:r>
      <w:proofErr w:type="spellEnd"/>
      <w:r w:rsidR="006756E2" w:rsidRPr="007214E1">
        <w:rPr>
          <w:rFonts w:ascii="Book Antiqua" w:hAnsi="Book Antiqua"/>
          <w:color w:val="000000"/>
        </w:rPr>
        <w:t xml:space="preserve"> and </w:t>
      </w:r>
      <w:r w:rsidR="005D2857" w:rsidRPr="007214E1">
        <w:rPr>
          <w:rFonts w:ascii="Book Antiqua" w:hAnsi="Book Antiqua"/>
          <w:color w:val="000000"/>
        </w:rPr>
        <w:t>an anti-PD-L1 monoclonal antibody</w:t>
      </w:r>
      <w:r w:rsidR="006756E2" w:rsidRPr="007214E1">
        <w:rPr>
          <w:rFonts w:ascii="Book Antiqua" w:hAnsi="Book Antiqua"/>
          <w:color w:val="000000"/>
        </w:rPr>
        <w:t xml:space="preserve"> </w:t>
      </w:r>
      <w:r w:rsidR="005D2857" w:rsidRPr="007214E1">
        <w:rPr>
          <w:rFonts w:ascii="Book Antiqua" w:hAnsi="Book Antiqua"/>
          <w:color w:val="000000"/>
        </w:rPr>
        <w:t xml:space="preserve">inhibited tumor growth in a synergistic fashion with a notable increase in tumor-infiltrating </w:t>
      </w:r>
      <w:proofErr w:type="gramStart"/>
      <w:r w:rsidR="005D2857" w:rsidRPr="007214E1">
        <w:rPr>
          <w:rFonts w:ascii="Book Antiqua" w:hAnsi="Book Antiqua"/>
          <w:color w:val="000000"/>
        </w:rPr>
        <w:t>lymphocytes</w:t>
      </w:r>
      <w:r w:rsidR="005D2857" w:rsidRPr="007214E1">
        <w:rPr>
          <w:rFonts w:ascii="Book Antiqua" w:hAnsi="Book Antiqua"/>
          <w:color w:val="000000"/>
          <w:vertAlign w:val="superscript"/>
        </w:rPr>
        <w:t>[</w:t>
      </w:r>
      <w:proofErr w:type="gramEnd"/>
      <w:r w:rsidR="007A7731" w:rsidRPr="007214E1">
        <w:rPr>
          <w:rFonts w:ascii="Book Antiqua" w:hAnsi="Book Antiqua"/>
          <w:color w:val="000000"/>
          <w:vertAlign w:val="superscript"/>
        </w:rPr>
        <w:t>6</w:t>
      </w:r>
      <w:r w:rsidR="00635CCA" w:rsidRPr="007214E1">
        <w:rPr>
          <w:rFonts w:ascii="Book Antiqua" w:hAnsi="Book Antiqua"/>
          <w:color w:val="000000"/>
          <w:vertAlign w:val="superscript"/>
        </w:rPr>
        <w:t>5</w:t>
      </w:r>
      <w:r w:rsidR="005D2857" w:rsidRPr="007214E1">
        <w:rPr>
          <w:rFonts w:ascii="Book Antiqua" w:hAnsi="Book Antiqua"/>
          <w:color w:val="000000"/>
          <w:vertAlign w:val="superscript"/>
        </w:rPr>
        <w:t>]</w:t>
      </w:r>
      <w:r w:rsidR="005D2857" w:rsidRPr="007214E1">
        <w:rPr>
          <w:rFonts w:ascii="Book Antiqua" w:hAnsi="Book Antiqua"/>
          <w:color w:val="000000"/>
        </w:rPr>
        <w:t xml:space="preserve">. </w:t>
      </w:r>
      <w:r w:rsidR="004C3BE7" w:rsidRPr="007214E1">
        <w:rPr>
          <w:rFonts w:ascii="Book Antiqua" w:hAnsi="Book Antiqua"/>
          <w:color w:val="000000"/>
        </w:rPr>
        <w:t xml:space="preserve">The combination of </w:t>
      </w:r>
      <w:proofErr w:type="spellStart"/>
      <w:r w:rsidR="004C3BE7" w:rsidRPr="007214E1">
        <w:rPr>
          <w:rFonts w:ascii="Book Antiqua" w:hAnsi="Book Antiqua"/>
          <w:color w:val="000000"/>
        </w:rPr>
        <w:t>apatinib</w:t>
      </w:r>
      <w:proofErr w:type="spellEnd"/>
      <w:r w:rsidR="004C3BE7" w:rsidRPr="007214E1">
        <w:rPr>
          <w:rFonts w:ascii="Book Antiqua" w:hAnsi="Book Antiqua"/>
          <w:color w:val="000000"/>
        </w:rPr>
        <w:t xml:space="preserve"> and </w:t>
      </w:r>
      <w:proofErr w:type="spellStart"/>
      <w:r w:rsidR="004C3BE7" w:rsidRPr="007214E1">
        <w:rPr>
          <w:rFonts w:ascii="Book Antiqua" w:hAnsi="Book Antiqua"/>
          <w:color w:val="000000"/>
        </w:rPr>
        <w:t>camrelizumab</w:t>
      </w:r>
      <w:proofErr w:type="spellEnd"/>
      <w:r w:rsidR="003B7912" w:rsidRPr="007214E1">
        <w:rPr>
          <w:rFonts w:ascii="Book Antiqua" w:hAnsi="Book Antiqua"/>
          <w:color w:val="000000"/>
        </w:rPr>
        <w:t xml:space="preserve"> was studied in a phase </w:t>
      </w:r>
      <w:proofErr w:type="spellStart"/>
      <w:r w:rsidR="003B7912" w:rsidRPr="007214E1">
        <w:rPr>
          <w:rFonts w:ascii="Book Antiqua" w:hAnsi="Book Antiqua"/>
          <w:color w:val="000000"/>
        </w:rPr>
        <w:t>Ia</w:t>
      </w:r>
      <w:proofErr w:type="spellEnd"/>
      <w:r w:rsidR="003B7912" w:rsidRPr="007214E1">
        <w:rPr>
          <w:rFonts w:ascii="Book Antiqua" w:hAnsi="Book Antiqua"/>
          <w:color w:val="000000"/>
        </w:rPr>
        <w:t xml:space="preserve"> and </w:t>
      </w:r>
      <w:proofErr w:type="spellStart"/>
      <w:r w:rsidR="003B7912" w:rsidRPr="007214E1">
        <w:rPr>
          <w:rFonts w:ascii="Book Antiqua" w:hAnsi="Book Antiqua"/>
          <w:color w:val="000000"/>
        </w:rPr>
        <w:t>Ib</w:t>
      </w:r>
      <w:proofErr w:type="spellEnd"/>
      <w:r w:rsidR="003B7912" w:rsidRPr="007214E1">
        <w:rPr>
          <w:rFonts w:ascii="Book Antiqua" w:hAnsi="Book Antiqua"/>
          <w:color w:val="000000"/>
        </w:rPr>
        <w:t xml:space="preserve"> trial</w:t>
      </w:r>
      <w:r w:rsidR="00BD7DCA" w:rsidRPr="007214E1">
        <w:rPr>
          <w:rFonts w:ascii="Book Antiqua" w:hAnsi="Book Antiqua"/>
          <w:color w:val="000000"/>
        </w:rPr>
        <w:t xml:space="preserve"> (NCT02942329)</w:t>
      </w:r>
      <w:r w:rsidR="003B7912" w:rsidRPr="007214E1">
        <w:rPr>
          <w:rFonts w:ascii="Book Antiqua" w:hAnsi="Book Antiqua"/>
          <w:color w:val="000000"/>
        </w:rPr>
        <w:t xml:space="preserve"> that </w:t>
      </w:r>
      <w:r w:rsidR="00C71557" w:rsidRPr="007214E1">
        <w:rPr>
          <w:rFonts w:ascii="Book Antiqua" w:hAnsi="Book Antiqua"/>
          <w:color w:val="000000"/>
        </w:rPr>
        <w:t>enrolled</w:t>
      </w:r>
      <w:r w:rsidR="003B7912" w:rsidRPr="007214E1">
        <w:rPr>
          <w:rFonts w:ascii="Book Antiqua" w:hAnsi="Book Antiqua"/>
          <w:color w:val="000000"/>
        </w:rPr>
        <w:t xml:space="preserve"> 43 </w:t>
      </w:r>
      <w:r w:rsidR="00B41DFC" w:rsidRPr="007214E1">
        <w:rPr>
          <w:rFonts w:ascii="Book Antiqua" w:hAnsi="Book Antiqua"/>
          <w:color w:val="000000"/>
        </w:rPr>
        <w:t xml:space="preserve">Chinese </w:t>
      </w:r>
      <w:r w:rsidR="003B7912" w:rsidRPr="007214E1">
        <w:rPr>
          <w:rFonts w:ascii="Book Antiqua" w:hAnsi="Book Antiqua"/>
          <w:color w:val="000000"/>
        </w:rPr>
        <w:t>patients with various gastrointestinal malignancies, including gastric cancer, esoph</w:t>
      </w:r>
      <w:r w:rsidR="00C71557" w:rsidRPr="007214E1">
        <w:rPr>
          <w:rFonts w:ascii="Book Antiqua" w:hAnsi="Book Antiqua"/>
          <w:color w:val="000000"/>
        </w:rPr>
        <w:t>ag</w:t>
      </w:r>
      <w:r w:rsidR="003B7912" w:rsidRPr="007214E1">
        <w:rPr>
          <w:rFonts w:ascii="Book Antiqua" w:hAnsi="Book Antiqua"/>
          <w:color w:val="000000"/>
        </w:rPr>
        <w:t xml:space="preserve">ogastric junction cancer, and advanced hepatocellular </w:t>
      </w:r>
      <w:proofErr w:type="gramStart"/>
      <w:r w:rsidR="003B7912" w:rsidRPr="007214E1">
        <w:rPr>
          <w:rFonts w:ascii="Book Antiqua" w:hAnsi="Book Antiqua"/>
          <w:color w:val="000000"/>
        </w:rPr>
        <w:t>carcinoma</w:t>
      </w:r>
      <w:r w:rsidR="003B7912" w:rsidRPr="007214E1">
        <w:rPr>
          <w:rFonts w:ascii="Book Antiqua" w:hAnsi="Book Antiqua"/>
          <w:color w:val="000000"/>
          <w:vertAlign w:val="superscript"/>
        </w:rPr>
        <w:t>[</w:t>
      </w:r>
      <w:proofErr w:type="gramEnd"/>
      <w:r w:rsidR="001A659B" w:rsidRPr="007214E1">
        <w:rPr>
          <w:rFonts w:ascii="Book Antiqua" w:hAnsi="Book Antiqua"/>
          <w:color w:val="000000"/>
          <w:vertAlign w:val="superscript"/>
        </w:rPr>
        <w:t>6</w:t>
      </w:r>
      <w:r w:rsidR="00635CCA" w:rsidRPr="007214E1">
        <w:rPr>
          <w:rFonts w:ascii="Book Antiqua" w:hAnsi="Book Antiqua"/>
          <w:color w:val="000000"/>
          <w:vertAlign w:val="superscript"/>
        </w:rPr>
        <w:t>3</w:t>
      </w:r>
      <w:r w:rsidR="003B7912" w:rsidRPr="007214E1">
        <w:rPr>
          <w:rFonts w:ascii="Book Antiqua" w:hAnsi="Book Antiqua"/>
          <w:color w:val="000000"/>
          <w:vertAlign w:val="superscript"/>
        </w:rPr>
        <w:t>]</w:t>
      </w:r>
      <w:r w:rsidR="000F03C9" w:rsidRPr="007214E1">
        <w:rPr>
          <w:rFonts w:ascii="Book Antiqua" w:hAnsi="Book Antiqua"/>
          <w:color w:val="000000"/>
        </w:rPr>
        <w:t xml:space="preserve">. </w:t>
      </w:r>
      <w:r w:rsidR="003B7912" w:rsidRPr="007214E1">
        <w:rPr>
          <w:rFonts w:ascii="Book Antiqua" w:hAnsi="Book Antiqua"/>
          <w:color w:val="000000"/>
        </w:rPr>
        <w:t>This combination was thought to have a tolerable safety profile</w:t>
      </w:r>
      <w:r w:rsidR="004F2777" w:rsidRPr="007214E1">
        <w:rPr>
          <w:rFonts w:ascii="Book Antiqua" w:hAnsi="Book Antiqua"/>
          <w:color w:val="000000"/>
        </w:rPr>
        <w:t xml:space="preserve">, </w:t>
      </w:r>
      <w:r w:rsidR="00934DA2" w:rsidRPr="007214E1">
        <w:rPr>
          <w:rFonts w:ascii="Book Antiqua" w:hAnsi="Book Antiqua"/>
          <w:color w:val="000000"/>
        </w:rPr>
        <w:t xml:space="preserve">with the most common side-effects being hypertension and </w:t>
      </w:r>
      <w:r w:rsidR="00163F76" w:rsidRPr="007214E1">
        <w:rPr>
          <w:rFonts w:ascii="Book Antiqua" w:hAnsi="Book Antiqua"/>
          <w:color w:val="000000"/>
        </w:rPr>
        <w:t xml:space="preserve">an </w:t>
      </w:r>
      <w:r w:rsidR="00A20DA9" w:rsidRPr="007214E1">
        <w:rPr>
          <w:rFonts w:ascii="Book Antiqua" w:hAnsi="Book Antiqua"/>
          <w:color w:val="000000"/>
        </w:rPr>
        <w:t>elevated</w:t>
      </w:r>
      <w:r w:rsidR="00163F76" w:rsidRPr="007214E1">
        <w:rPr>
          <w:rFonts w:ascii="Book Antiqua" w:hAnsi="Book Antiqua"/>
          <w:color w:val="000000"/>
        </w:rPr>
        <w:t xml:space="preserve"> </w:t>
      </w:r>
      <w:proofErr w:type="gramStart"/>
      <w:r w:rsidR="00163F76" w:rsidRPr="007214E1">
        <w:rPr>
          <w:rFonts w:ascii="Book Antiqua" w:hAnsi="Book Antiqua"/>
          <w:color w:val="000000"/>
        </w:rPr>
        <w:t>AST</w:t>
      </w:r>
      <w:r w:rsidR="00163F76" w:rsidRPr="007214E1">
        <w:rPr>
          <w:rFonts w:ascii="Book Antiqua" w:hAnsi="Book Antiqua"/>
          <w:color w:val="000000"/>
          <w:vertAlign w:val="superscript"/>
        </w:rPr>
        <w:t>[</w:t>
      </w:r>
      <w:proofErr w:type="gramEnd"/>
      <w:r w:rsidR="00164C68" w:rsidRPr="007214E1">
        <w:rPr>
          <w:rFonts w:ascii="Book Antiqua" w:hAnsi="Book Antiqua"/>
          <w:color w:val="000000"/>
          <w:vertAlign w:val="superscript"/>
        </w:rPr>
        <w:t>6</w:t>
      </w:r>
      <w:r w:rsidR="00635CCA" w:rsidRPr="007214E1">
        <w:rPr>
          <w:rFonts w:ascii="Book Antiqua" w:hAnsi="Book Antiqua"/>
          <w:color w:val="000000"/>
          <w:vertAlign w:val="superscript"/>
        </w:rPr>
        <w:t>3</w:t>
      </w:r>
      <w:r w:rsidR="00163F76" w:rsidRPr="007214E1">
        <w:rPr>
          <w:rFonts w:ascii="Book Antiqua" w:hAnsi="Book Antiqua"/>
          <w:color w:val="000000"/>
          <w:vertAlign w:val="superscript"/>
        </w:rPr>
        <w:t>]</w:t>
      </w:r>
      <w:r w:rsidR="00163F76" w:rsidRPr="007214E1">
        <w:rPr>
          <w:rFonts w:ascii="Book Antiqua" w:hAnsi="Book Antiqua"/>
          <w:color w:val="000000"/>
        </w:rPr>
        <w:t>. H</w:t>
      </w:r>
      <w:r w:rsidR="004F2777" w:rsidRPr="007214E1">
        <w:rPr>
          <w:rFonts w:ascii="Book Antiqua" w:hAnsi="Book Antiqua"/>
          <w:color w:val="000000"/>
        </w:rPr>
        <w:t>alf of all HCC patients demonstrated a partial response</w:t>
      </w:r>
      <w:r w:rsidR="00A20DA9" w:rsidRPr="007214E1">
        <w:rPr>
          <w:rFonts w:ascii="Book Antiqua" w:hAnsi="Book Antiqua"/>
          <w:color w:val="000000"/>
        </w:rPr>
        <w:t>, a response</w:t>
      </w:r>
      <w:r w:rsidR="009C69D9" w:rsidRPr="007214E1">
        <w:rPr>
          <w:rFonts w:ascii="Book Antiqua" w:hAnsi="Book Antiqua"/>
          <w:color w:val="000000"/>
        </w:rPr>
        <w:t xml:space="preserve"> similar </w:t>
      </w:r>
      <w:r w:rsidR="006D589B" w:rsidRPr="007214E1">
        <w:rPr>
          <w:rFonts w:ascii="Book Antiqua" w:hAnsi="Book Antiqua"/>
          <w:color w:val="000000"/>
        </w:rPr>
        <w:t xml:space="preserve">in magnitude </w:t>
      </w:r>
      <w:r w:rsidR="00A20DA9" w:rsidRPr="007214E1">
        <w:rPr>
          <w:rFonts w:ascii="Book Antiqua" w:hAnsi="Book Antiqua"/>
          <w:color w:val="000000"/>
        </w:rPr>
        <w:t xml:space="preserve">to results from </w:t>
      </w:r>
      <w:r w:rsidR="006942B4" w:rsidRPr="007214E1">
        <w:rPr>
          <w:rFonts w:ascii="Book Antiqua" w:hAnsi="Book Antiqua"/>
          <w:color w:val="000000"/>
        </w:rPr>
        <w:t>the initial</w:t>
      </w:r>
      <w:r w:rsidR="009C69D9" w:rsidRPr="007214E1">
        <w:rPr>
          <w:rFonts w:ascii="Book Antiqua" w:hAnsi="Book Antiqua"/>
          <w:color w:val="000000"/>
        </w:rPr>
        <w:t xml:space="preserve"> Phase 1b</w:t>
      </w:r>
      <w:r w:rsidR="00E9472E" w:rsidRPr="007214E1">
        <w:rPr>
          <w:rFonts w:ascii="Book Antiqua" w:hAnsi="Book Antiqua"/>
          <w:color w:val="000000"/>
        </w:rPr>
        <w:t xml:space="preserve"> trial</w:t>
      </w:r>
      <w:r w:rsidR="006942B4" w:rsidRPr="007214E1">
        <w:rPr>
          <w:rFonts w:ascii="Book Antiqua" w:hAnsi="Book Antiqua"/>
          <w:color w:val="000000"/>
        </w:rPr>
        <w:t xml:space="preserve"> (NCT02715531)</w:t>
      </w:r>
      <w:r w:rsidR="009C69D9" w:rsidRPr="007214E1">
        <w:rPr>
          <w:rFonts w:ascii="Book Antiqua" w:hAnsi="Book Antiqua"/>
          <w:color w:val="000000"/>
        </w:rPr>
        <w:t xml:space="preserve"> </w:t>
      </w:r>
      <w:r w:rsidR="006942B4" w:rsidRPr="007214E1">
        <w:rPr>
          <w:rFonts w:ascii="Book Antiqua" w:hAnsi="Book Antiqua"/>
          <w:color w:val="000000"/>
        </w:rPr>
        <w:t xml:space="preserve">testing first-line </w:t>
      </w:r>
      <w:r w:rsidR="009C69D9" w:rsidRPr="007214E1">
        <w:rPr>
          <w:rFonts w:ascii="Book Antiqua" w:hAnsi="Book Antiqua"/>
          <w:color w:val="000000"/>
        </w:rPr>
        <w:t>atezolizumab and bevacizumab</w:t>
      </w:r>
      <w:r w:rsidR="004F2777" w:rsidRPr="007214E1">
        <w:rPr>
          <w:rFonts w:ascii="Book Antiqua" w:hAnsi="Book Antiqua"/>
          <w:color w:val="000000"/>
          <w:vertAlign w:val="superscript"/>
        </w:rPr>
        <w:t>[</w:t>
      </w:r>
      <w:r w:rsidR="0011516A" w:rsidRPr="007214E1">
        <w:rPr>
          <w:rFonts w:ascii="Book Antiqua" w:hAnsi="Book Antiqua"/>
          <w:color w:val="000000"/>
          <w:vertAlign w:val="superscript"/>
        </w:rPr>
        <w:t>53</w:t>
      </w:r>
      <w:r w:rsidR="00B0310D" w:rsidRPr="007214E1">
        <w:rPr>
          <w:rFonts w:ascii="Book Antiqua" w:hAnsi="Book Antiqua"/>
          <w:color w:val="000000"/>
          <w:vertAlign w:val="superscript"/>
        </w:rPr>
        <w:t>,</w:t>
      </w:r>
      <w:r w:rsidR="004C348E" w:rsidRPr="007214E1">
        <w:rPr>
          <w:rFonts w:ascii="Book Antiqua" w:hAnsi="Book Antiqua"/>
          <w:color w:val="000000"/>
          <w:vertAlign w:val="superscript"/>
        </w:rPr>
        <w:t>6</w:t>
      </w:r>
      <w:r w:rsidR="00635CCA" w:rsidRPr="007214E1">
        <w:rPr>
          <w:rFonts w:ascii="Book Antiqua" w:hAnsi="Book Antiqua"/>
          <w:color w:val="000000"/>
          <w:vertAlign w:val="superscript"/>
        </w:rPr>
        <w:t>3</w:t>
      </w:r>
      <w:r w:rsidR="004F2777" w:rsidRPr="007214E1">
        <w:rPr>
          <w:rFonts w:ascii="Book Antiqua" w:hAnsi="Book Antiqua"/>
          <w:color w:val="000000"/>
          <w:vertAlign w:val="superscript"/>
        </w:rPr>
        <w:t>]</w:t>
      </w:r>
      <w:r w:rsidR="004F2777" w:rsidRPr="007214E1">
        <w:rPr>
          <w:rFonts w:ascii="Book Antiqua" w:hAnsi="Book Antiqua"/>
          <w:color w:val="000000"/>
        </w:rPr>
        <w:t xml:space="preserve">. </w:t>
      </w:r>
      <w:r w:rsidR="009856B2" w:rsidRPr="007214E1">
        <w:rPr>
          <w:rFonts w:ascii="Book Antiqua" w:hAnsi="Book Antiqua"/>
          <w:color w:val="000000"/>
        </w:rPr>
        <w:t xml:space="preserve">Multiple studies </w:t>
      </w:r>
      <w:r w:rsidR="00B0310D" w:rsidRPr="007214E1">
        <w:rPr>
          <w:rFonts w:ascii="Book Antiqua" w:hAnsi="Book Antiqua"/>
          <w:color w:val="000000"/>
        </w:rPr>
        <w:t>are evaluating</w:t>
      </w:r>
      <w:r w:rsidR="009856B2" w:rsidRPr="007214E1">
        <w:rPr>
          <w:rFonts w:ascii="Book Antiqua" w:hAnsi="Book Antiqua"/>
          <w:color w:val="000000"/>
        </w:rPr>
        <w:t xml:space="preserve"> this combination in d</w:t>
      </w:r>
      <w:r w:rsidR="00B0310D" w:rsidRPr="007214E1">
        <w:rPr>
          <w:rFonts w:ascii="Book Antiqua" w:hAnsi="Book Antiqua"/>
          <w:color w:val="000000"/>
        </w:rPr>
        <w:t>istinct</w:t>
      </w:r>
      <w:r w:rsidR="009856B2" w:rsidRPr="007214E1">
        <w:rPr>
          <w:rFonts w:ascii="Book Antiqua" w:hAnsi="Book Antiqua"/>
          <w:color w:val="000000"/>
        </w:rPr>
        <w:t xml:space="preserve"> HCC patient </w:t>
      </w:r>
      <w:proofErr w:type="gramStart"/>
      <w:r w:rsidR="009856B2" w:rsidRPr="007214E1">
        <w:rPr>
          <w:rFonts w:ascii="Book Antiqua" w:hAnsi="Book Antiqua"/>
          <w:color w:val="000000"/>
        </w:rPr>
        <w:t>populations</w:t>
      </w:r>
      <w:r w:rsidR="002C62E0" w:rsidRPr="007214E1">
        <w:rPr>
          <w:rFonts w:ascii="Book Antiqua" w:hAnsi="Book Antiqua"/>
          <w:color w:val="000000"/>
          <w:vertAlign w:val="superscript"/>
        </w:rPr>
        <w:t>[</w:t>
      </w:r>
      <w:proofErr w:type="gramEnd"/>
      <w:r w:rsidR="0011516A" w:rsidRPr="007214E1">
        <w:rPr>
          <w:rFonts w:ascii="Book Antiqua" w:hAnsi="Book Antiqua"/>
          <w:color w:val="000000"/>
          <w:vertAlign w:val="superscript"/>
        </w:rPr>
        <w:t>6</w:t>
      </w:r>
      <w:r w:rsidR="00635CCA" w:rsidRPr="007214E1">
        <w:rPr>
          <w:rFonts w:ascii="Book Antiqua" w:hAnsi="Book Antiqua"/>
          <w:color w:val="000000"/>
          <w:vertAlign w:val="superscript"/>
        </w:rPr>
        <w:t>6</w:t>
      </w:r>
      <w:r w:rsidR="0011516A" w:rsidRPr="007214E1">
        <w:rPr>
          <w:rFonts w:ascii="Book Antiqua" w:hAnsi="Book Antiqua"/>
          <w:color w:val="000000"/>
          <w:vertAlign w:val="superscript"/>
        </w:rPr>
        <w:t>-6</w:t>
      </w:r>
      <w:r w:rsidR="00635CCA" w:rsidRPr="007214E1">
        <w:rPr>
          <w:rFonts w:ascii="Book Antiqua" w:hAnsi="Book Antiqua"/>
          <w:color w:val="000000"/>
          <w:vertAlign w:val="superscript"/>
        </w:rPr>
        <w:t>9</w:t>
      </w:r>
      <w:r w:rsidR="002C62E0" w:rsidRPr="007214E1">
        <w:rPr>
          <w:rFonts w:ascii="Book Antiqua" w:hAnsi="Book Antiqua"/>
          <w:color w:val="000000"/>
          <w:vertAlign w:val="superscript"/>
        </w:rPr>
        <w:t>]</w:t>
      </w:r>
      <w:r w:rsidR="001F1560" w:rsidRPr="007214E1">
        <w:rPr>
          <w:rFonts w:ascii="Book Antiqua" w:eastAsia="宋体" w:hAnsi="Book Antiqua"/>
          <w:lang w:eastAsia="zh-CN"/>
        </w:rPr>
        <w:t xml:space="preserve"> (Table 4)</w:t>
      </w:r>
      <w:r w:rsidR="009856B2" w:rsidRPr="007214E1">
        <w:rPr>
          <w:rFonts w:ascii="Book Antiqua" w:hAnsi="Book Antiqua"/>
          <w:color w:val="000000"/>
        </w:rPr>
        <w:t>.</w:t>
      </w:r>
      <w:r w:rsidR="009856B2" w:rsidRPr="007214E1">
        <w:rPr>
          <w:rFonts w:ascii="Book Antiqua" w:hAnsi="Book Antiqua"/>
          <w:i/>
          <w:color w:val="000000"/>
        </w:rPr>
        <w:t xml:space="preserve"> </w:t>
      </w:r>
      <w:r w:rsidR="00354FFA" w:rsidRPr="007214E1">
        <w:rPr>
          <w:rFonts w:ascii="Book Antiqua" w:hAnsi="Book Antiqua"/>
          <w:color w:val="000000"/>
        </w:rPr>
        <w:t xml:space="preserve">A phase II study </w:t>
      </w:r>
      <w:r w:rsidR="00C327A3" w:rsidRPr="007214E1">
        <w:rPr>
          <w:rFonts w:ascii="Book Antiqua" w:hAnsi="Book Antiqua"/>
          <w:color w:val="000000"/>
        </w:rPr>
        <w:t xml:space="preserve">(NCT04014101) seeks to determine whether </w:t>
      </w:r>
      <w:proofErr w:type="spellStart"/>
      <w:r w:rsidR="00C327A3" w:rsidRPr="007214E1">
        <w:rPr>
          <w:rFonts w:ascii="Book Antiqua" w:hAnsi="Book Antiqua"/>
          <w:color w:val="000000"/>
        </w:rPr>
        <w:t>camrelizumab</w:t>
      </w:r>
      <w:proofErr w:type="spellEnd"/>
      <w:r w:rsidR="00C327A3" w:rsidRPr="007214E1">
        <w:rPr>
          <w:rFonts w:ascii="Book Antiqua" w:hAnsi="Book Antiqua"/>
          <w:color w:val="000000"/>
        </w:rPr>
        <w:t xml:space="preserve"> plus </w:t>
      </w:r>
      <w:proofErr w:type="spellStart"/>
      <w:r w:rsidR="00C327A3" w:rsidRPr="007214E1">
        <w:rPr>
          <w:rFonts w:ascii="Book Antiqua" w:hAnsi="Book Antiqua"/>
          <w:color w:val="000000"/>
        </w:rPr>
        <w:t>apatinib</w:t>
      </w:r>
      <w:proofErr w:type="spellEnd"/>
      <w:r w:rsidR="00C327A3" w:rsidRPr="007214E1">
        <w:rPr>
          <w:rFonts w:ascii="Book Antiqua" w:hAnsi="Book Antiqua"/>
          <w:color w:val="000000"/>
        </w:rPr>
        <w:t xml:space="preserve"> is safe and e</w:t>
      </w:r>
      <w:r w:rsidR="008360C2" w:rsidRPr="007214E1">
        <w:rPr>
          <w:rFonts w:ascii="Book Antiqua" w:hAnsi="Book Antiqua"/>
          <w:color w:val="000000"/>
        </w:rPr>
        <w:t>ffective</w:t>
      </w:r>
      <w:r w:rsidR="00C327A3" w:rsidRPr="007214E1">
        <w:rPr>
          <w:rFonts w:ascii="Book Antiqua" w:hAnsi="Book Antiqua"/>
          <w:color w:val="000000"/>
        </w:rPr>
        <w:t xml:space="preserve"> in patients with advanced HCC</w:t>
      </w:r>
      <w:r w:rsidR="008360C2" w:rsidRPr="007214E1">
        <w:rPr>
          <w:rFonts w:ascii="Book Antiqua" w:hAnsi="Book Antiqua"/>
          <w:color w:val="000000"/>
        </w:rPr>
        <w:t xml:space="preserve"> as second-line </w:t>
      </w:r>
      <w:proofErr w:type="gramStart"/>
      <w:r w:rsidR="008360C2" w:rsidRPr="007214E1">
        <w:rPr>
          <w:rFonts w:ascii="Book Antiqua" w:hAnsi="Book Antiqua"/>
          <w:color w:val="000000"/>
        </w:rPr>
        <w:t>therapy</w:t>
      </w:r>
      <w:r w:rsidR="00C327A3" w:rsidRPr="007214E1">
        <w:rPr>
          <w:rFonts w:ascii="Book Antiqua" w:hAnsi="Book Antiqua"/>
          <w:color w:val="000000"/>
          <w:vertAlign w:val="superscript"/>
        </w:rPr>
        <w:t>[</w:t>
      </w:r>
      <w:proofErr w:type="gramEnd"/>
      <w:r w:rsidR="0011516A" w:rsidRPr="007214E1">
        <w:rPr>
          <w:rFonts w:ascii="Book Antiqua" w:hAnsi="Book Antiqua"/>
          <w:color w:val="000000"/>
          <w:vertAlign w:val="superscript"/>
        </w:rPr>
        <w:t>6</w:t>
      </w:r>
      <w:r w:rsidR="00635CCA" w:rsidRPr="007214E1">
        <w:rPr>
          <w:rFonts w:ascii="Book Antiqua" w:hAnsi="Book Antiqua"/>
          <w:color w:val="000000"/>
          <w:vertAlign w:val="superscript"/>
        </w:rPr>
        <w:t>6</w:t>
      </w:r>
      <w:r w:rsidR="00C327A3" w:rsidRPr="007214E1">
        <w:rPr>
          <w:rFonts w:ascii="Book Antiqua" w:hAnsi="Book Antiqua"/>
          <w:color w:val="000000"/>
          <w:vertAlign w:val="superscript"/>
        </w:rPr>
        <w:t>]</w:t>
      </w:r>
      <w:r w:rsidR="00354FFA" w:rsidRPr="007214E1">
        <w:rPr>
          <w:rFonts w:ascii="Book Antiqua" w:hAnsi="Book Antiqua"/>
          <w:color w:val="000000"/>
        </w:rPr>
        <w:t xml:space="preserve">. </w:t>
      </w:r>
      <w:r w:rsidR="008360C2" w:rsidRPr="007214E1">
        <w:rPr>
          <w:rFonts w:ascii="Book Antiqua" w:hAnsi="Book Antiqua"/>
          <w:color w:val="000000"/>
        </w:rPr>
        <w:t>Another</w:t>
      </w:r>
      <w:r w:rsidR="00C327A3" w:rsidRPr="007214E1">
        <w:rPr>
          <w:rFonts w:ascii="Book Antiqua" w:hAnsi="Book Antiqua"/>
          <w:color w:val="000000"/>
        </w:rPr>
        <w:t xml:space="preserve"> phase II study (</w:t>
      </w:r>
      <w:r w:rsidR="00C327A3" w:rsidRPr="007214E1">
        <w:rPr>
          <w:rFonts w:ascii="Book Antiqua" w:hAnsi="Book Antiqua"/>
          <w:color w:val="000000"/>
          <w:shd w:val="clear" w:color="auto" w:fill="FFFFFF"/>
        </w:rPr>
        <w:t>NCT03839550)</w:t>
      </w:r>
      <w:r w:rsidR="00C327A3" w:rsidRPr="007214E1">
        <w:rPr>
          <w:rFonts w:ascii="Book Antiqua" w:hAnsi="Book Antiqua"/>
          <w:b/>
          <w:color w:val="000000"/>
          <w:shd w:val="clear" w:color="auto" w:fill="FFFFFF"/>
        </w:rPr>
        <w:t xml:space="preserve"> </w:t>
      </w:r>
      <w:r w:rsidR="00C327A3" w:rsidRPr="007214E1">
        <w:rPr>
          <w:rFonts w:ascii="Book Antiqua" w:hAnsi="Book Antiqua"/>
          <w:color w:val="000000"/>
        </w:rPr>
        <w:t xml:space="preserve">will determine whether this combination is superior to hepatic arterial infusion of chemotherapy in the adjuvant setting, with recurrence-free survival as the primary </w:t>
      </w:r>
      <w:proofErr w:type="gramStart"/>
      <w:r w:rsidR="00C327A3" w:rsidRPr="007214E1">
        <w:rPr>
          <w:rFonts w:ascii="Book Antiqua" w:hAnsi="Book Antiqua"/>
          <w:color w:val="000000"/>
        </w:rPr>
        <w:t>endpoint</w:t>
      </w:r>
      <w:r w:rsidR="00C327A3" w:rsidRPr="007214E1">
        <w:rPr>
          <w:rFonts w:ascii="Book Antiqua" w:hAnsi="Book Antiqua"/>
          <w:color w:val="000000"/>
          <w:vertAlign w:val="superscript"/>
        </w:rPr>
        <w:t>[</w:t>
      </w:r>
      <w:proofErr w:type="gramEnd"/>
      <w:r w:rsidR="00A97CCF" w:rsidRPr="007214E1">
        <w:rPr>
          <w:rFonts w:ascii="Book Antiqua" w:hAnsi="Book Antiqua"/>
          <w:color w:val="000000"/>
          <w:vertAlign w:val="superscript"/>
        </w:rPr>
        <w:t>6</w:t>
      </w:r>
      <w:r w:rsidR="00B26799" w:rsidRPr="007214E1">
        <w:rPr>
          <w:rFonts w:ascii="Book Antiqua" w:hAnsi="Book Antiqua"/>
          <w:color w:val="000000"/>
          <w:vertAlign w:val="superscript"/>
        </w:rPr>
        <w:t>7</w:t>
      </w:r>
      <w:r w:rsidR="00C327A3" w:rsidRPr="007214E1">
        <w:rPr>
          <w:rFonts w:ascii="Book Antiqua" w:hAnsi="Book Antiqua"/>
          <w:color w:val="000000"/>
          <w:vertAlign w:val="superscript"/>
        </w:rPr>
        <w:t>]</w:t>
      </w:r>
      <w:r w:rsidR="00C327A3" w:rsidRPr="007214E1">
        <w:rPr>
          <w:rFonts w:ascii="Book Antiqua" w:hAnsi="Book Antiqua"/>
          <w:color w:val="000000"/>
        </w:rPr>
        <w:t>.</w:t>
      </w:r>
      <w:r w:rsidR="008360C2" w:rsidRPr="007214E1">
        <w:rPr>
          <w:rFonts w:ascii="Book Antiqua" w:hAnsi="Book Antiqua"/>
          <w:color w:val="000000"/>
        </w:rPr>
        <w:t xml:space="preserve"> </w:t>
      </w:r>
      <w:r w:rsidR="008F4DBA" w:rsidRPr="007214E1">
        <w:rPr>
          <w:rFonts w:ascii="Book Antiqua" w:hAnsi="Book Antiqua"/>
          <w:color w:val="000000"/>
        </w:rPr>
        <w:t>The</w:t>
      </w:r>
      <w:r w:rsidR="00423A64" w:rsidRPr="007214E1">
        <w:rPr>
          <w:rFonts w:ascii="Book Antiqua" w:hAnsi="Book Antiqua"/>
          <w:color w:val="000000"/>
        </w:rPr>
        <w:t xml:space="preserve"> </w:t>
      </w:r>
      <w:r w:rsidR="00E84807" w:rsidRPr="007214E1">
        <w:rPr>
          <w:rFonts w:ascii="Book Antiqua" w:hAnsi="Book Antiqua"/>
          <w:color w:val="000000"/>
        </w:rPr>
        <w:t xml:space="preserve">phase II </w:t>
      </w:r>
      <w:r w:rsidR="008F4DBA" w:rsidRPr="007214E1">
        <w:rPr>
          <w:rFonts w:ascii="Book Antiqua" w:hAnsi="Book Antiqua"/>
          <w:color w:val="000000"/>
        </w:rPr>
        <w:t xml:space="preserve">TRIPLET study </w:t>
      </w:r>
      <w:r w:rsidR="007E3DC6" w:rsidRPr="007214E1">
        <w:rPr>
          <w:rFonts w:ascii="Book Antiqua" w:hAnsi="Book Antiqua"/>
          <w:color w:val="000000"/>
        </w:rPr>
        <w:t>(NCT04191889)</w:t>
      </w:r>
      <w:r w:rsidR="00E84807" w:rsidRPr="007214E1">
        <w:rPr>
          <w:rFonts w:ascii="Book Antiqua" w:hAnsi="Book Antiqua"/>
          <w:color w:val="000000"/>
        </w:rPr>
        <w:t xml:space="preserve"> will evaluate the</w:t>
      </w:r>
      <w:r w:rsidR="00C327A3" w:rsidRPr="007214E1">
        <w:rPr>
          <w:rFonts w:ascii="Book Antiqua" w:hAnsi="Book Antiqua"/>
          <w:color w:val="000000"/>
        </w:rPr>
        <w:t xml:space="preserve"> safety and efficacy </w:t>
      </w:r>
      <w:r w:rsidR="00C327A3" w:rsidRPr="007214E1">
        <w:rPr>
          <w:rFonts w:ascii="Book Antiqua" w:hAnsi="Book Antiqua"/>
          <w:color w:val="000000"/>
        </w:rPr>
        <w:lastRenderedPageBreak/>
        <w:t>of the</w:t>
      </w:r>
      <w:r w:rsidR="00E84807" w:rsidRPr="007214E1">
        <w:rPr>
          <w:rFonts w:ascii="Book Antiqua" w:hAnsi="Book Antiqua"/>
          <w:color w:val="000000"/>
        </w:rPr>
        <w:t xml:space="preserve"> combination of FOLFOX chemotherapy infused directly into an artery </w:t>
      </w:r>
      <w:r w:rsidR="002C62E0" w:rsidRPr="007214E1">
        <w:rPr>
          <w:rFonts w:ascii="Book Antiqua" w:hAnsi="Book Antiqua"/>
          <w:color w:val="000000"/>
        </w:rPr>
        <w:t>perfusing the tumors</w:t>
      </w:r>
      <w:r w:rsidR="00E84807" w:rsidRPr="007214E1">
        <w:rPr>
          <w:rFonts w:ascii="Book Antiqua" w:hAnsi="Book Antiqua"/>
          <w:color w:val="000000"/>
        </w:rPr>
        <w:t xml:space="preserve">, followed by </w:t>
      </w:r>
      <w:proofErr w:type="spellStart"/>
      <w:r w:rsidR="00E84807" w:rsidRPr="007214E1">
        <w:rPr>
          <w:rFonts w:ascii="Book Antiqua" w:hAnsi="Book Antiqua"/>
          <w:color w:val="000000"/>
        </w:rPr>
        <w:t>camrelizumab</w:t>
      </w:r>
      <w:proofErr w:type="spellEnd"/>
      <w:r w:rsidR="00E84807" w:rsidRPr="007214E1">
        <w:rPr>
          <w:rFonts w:ascii="Book Antiqua" w:hAnsi="Book Antiqua"/>
          <w:color w:val="000000"/>
        </w:rPr>
        <w:t xml:space="preserve"> and </w:t>
      </w:r>
      <w:proofErr w:type="spellStart"/>
      <w:r w:rsidR="00E84807" w:rsidRPr="007214E1">
        <w:rPr>
          <w:rFonts w:ascii="Book Antiqua" w:hAnsi="Book Antiqua"/>
          <w:color w:val="000000"/>
        </w:rPr>
        <w:t>apatinib</w:t>
      </w:r>
      <w:proofErr w:type="spellEnd"/>
      <w:r w:rsidR="00423A64" w:rsidRPr="007214E1">
        <w:rPr>
          <w:rFonts w:ascii="Book Antiqua" w:hAnsi="Book Antiqua"/>
          <w:color w:val="000000"/>
        </w:rPr>
        <w:t xml:space="preserve"> in 84 patients with</w:t>
      </w:r>
      <w:r w:rsidR="00A97CCF" w:rsidRPr="007214E1">
        <w:rPr>
          <w:rFonts w:ascii="Book Antiqua" w:hAnsi="Book Antiqua"/>
          <w:color w:val="000000"/>
        </w:rPr>
        <w:t xml:space="preserve"> advanced</w:t>
      </w:r>
      <w:r w:rsidR="00423A64" w:rsidRPr="007214E1">
        <w:rPr>
          <w:rFonts w:ascii="Book Antiqua" w:hAnsi="Book Antiqua"/>
          <w:color w:val="000000"/>
        </w:rPr>
        <w:t xml:space="preserve"> </w:t>
      </w:r>
      <w:proofErr w:type="gramStart"/>
      <w:r w:rsidR="00423A64" w:rsidRPr="007214E1">
        <w:rPr>
          <w:rFonts w:ascii="Book Antiqua" w:hAnsi="Book Antiqua"/>
          <w:color w:val="000000"/>
        </w:rPr>
        <w:t>HCC</w:t>
      </w:r>
      <w:r w:rsidR="00C327A3" w:rsidRPr="007214E1">
        <w:rPr>
          <w:rFonts w:ascii="Book Antiqua" w:hAnsi="Book Antiqua"/>
          <w:color w:val="000000"/>
          <w:vertAlign w:val="superscript"/>
        </w:rPr>
        <w:t>[</w:t>
      </w:r>
      <w:proofErr w:type="gramEnd"/>
      <w:r w:rsidR="00A97CCF" w:rsidRPr="007214E1">
        <w:rPr>
          <w:rFonts w:ascii="Book Antiqua" w:hAnsi="Book Antiqua"/>
          <w:color w:val="000000"/>
          <w:vertAlign w:val="superscript"/>
        </w:rPr>
        <w:t>6</w:t>
      </w:r>
      <w:r w:rsidR="00B26799" w:rsidRPr="007214E1">
        <w:rPr>
          <w:rFonts w:ascii="Book Antiqua" w:hAnsi="Book Antiqua"/>
          <w:color w:val="000000"/>
          <w:vertAlign w:val="superscript"/>
        </w:rPr>
        <w:t>8</w:t>
      </w:r>
      <w:r w:rsidR="00C327A3" w:rsidRPr="007214E1">
        <w:rPr>
          <w:rFonts w:ascii="Book Antiqua" w:hAnsi="Book Antiqua"/>
          <w:color w:val="000000"/>
          <w:vertAlign w:val="superscript"/>
        </w:rPr>
        <w:t>]</w:t>
      </w:r>
      <w:r w:rsidR="00C327A3" w:rsidRPr="007214E1">
        <w:rPr>
          <w:rFonts w:ascii="Book Antiqua" w:hAnsi="Book Antiqua"/>
          <w:i/>
          <w:color w:val="000000"/>
        </w:rPr>
        <w:t xml:space="preserve">. </w:t>
      </w:r>
      <w:r w:rsidR="009C69D9" w:rsidRPr="007214E1">
        <w:rPr>
          <w:rFonts w:ascii="Book Antiqua" w:hAnsi="Book Antiqua"/>
          <w:color w:val="000000"/>
        </w:rPr>
        <w:t xml:space="preserve">A phase III study </w:t>
      </w:r>
      <w:r w:rsidR="003C5E94" w:rsidRPr="007214E1">
        <w:rPr>
          <w:rFonts w:ascii="Book Antiqua" w:hAnsi="Book Antiqua"/>
          <w:color w:val="000000"/>
        </w:rPr>
        <w:t xml:space="preserve">(NCT03764293) </w:t>
      </w:r>
      <w:r w:rsidR="007C6DD1" w:rsidRPr="007214E1">
        <w:rPr>
          <w:rFonts w:ascii="Book Antiqua" w:hAnsi="Book Antiqua"/>
          <w:color w:val="000000"/>
        </w:rPr>
        <w:t xml:space="preserve">evaluating </w:t>
      </w:r>
      <w:proofErr w:type="spellStart"/>
      <w:r w:rsidR="009C69D9" w:rsidRPr="007214E1">
        <w:rPr>
          <w:rFonts w:ascii="Book Antiqua" w:hAnsi="Book Antiqua"/>
          <w:color w:val="000000"/>
        </w:rPr>
        <w:t>camrelizumab</w:t>
      </w:r>
      <w:proofErr w:type="spellEnd"/>
      <w:r w:rsidR="009C69D9" w:rsidRPr="007214E1">
        <w:rPr>
          <w:rFonts w:ascii="Book Antiqua" w:hAnsi="Book Antiqua"/>
          <w:color w:val="000000"/>
        </w:rPr>
        <w:t xml:space="preserve"> and </w:t>
      </w:r>
      <w:proofErr w:type="spellStart"/>
      <w:r w:rsidR="009C69D9" w:rsidRPr="007214E1">
        <w:rPr>
          <w:rFonts w:ascii="Book Antiqua" w:hAnsi="Book Antiqua"/>
          <w:color w:val="000000"/>
        </w:rPr>
        <w:t>apatinib</w:t>
      </w:r>
      <w:proofErr w:type="spellEnd"/>
      <w:r w:rsidR="009C69D9" w:rsidRPr="007214E1">
        <w:rPr>
          <w:rFonts w:ascii="Book Antiqua" w:hAnsi="Book Antiqua"/>
          <w:color w:val="000000"/>
        </w:rPr>
        <w:t xml:space="preserve"> </w:t>
      </w:r>
      <w:r w:rsidR="007C6DD1" w:rsidRPr="007214E1">
        <w:rPr>
          <w:rFonts w:ascii="Book Antiqua" w:hAnsi="Book Antiqua"/>
          <w:color w:val="000000"/>
        </w:rPr>
        <w:t xml:space="preserve">as first-line therapy </w:t>
      </w:r>
      <w:r w:rsidR="009C69D9" w:rsidRPr="007214E1">
        <w:rPr>
          <w:rFonts w:ascii="Book Antiqua" w:hAnsi="Book Antiqua"/>
          <w:color w:val="000000"/>
        </w:rPr>
        <w:t>in advanced HCC patients</w:t>
      </w:r>
      <w:r w:rsidR="006D589B" w:rsidRPr="007214E1">
        <w:rPr>
          <w:rFonts w:ascii="Book Antiqua" w:hAnsi="Book Antiqua"/>
          <w:color w:val="000000"/>
        </w:rPr>
        <w:t xml:space="preserve"> </w:t>
      </w:r>
      <w:r w:rsidR="00990598" w:rsidRPr="007214E1">
        <w:rPr>
          <w:rFonts w:ascii="Book Antiqua" w:hAnsi="Book Antiqua"/>
          <w:color w:val="000000"/>
        </w:rPr>
        <w:t xml:space="preserve">will report both OS and PFS as primary </w:t>
      </w:r>
      <w:proofErr w:type="gramStart"/>
      <w:r w:rsidR="00990598" w:rsidRPr="007214E1">
        <w:rPr>
          <w:rFonts w:ascii="Book Antiqua" w:hAnsi="Book Antiqua"/>
          <w:color w:val="000000"/>
        </w:rPr>
        <w:t>endpoints</w:t>
      </w:r>
      <w:r w:rsidR="007C6DD1" w:rsidRPr="007214E1">
        <w:rPr>
          <w:rFonts w:ascii="Book Antiqua" w:hAnsi="Book Antiqua"/>
          <w:color w:val="000000"/>
          <w:vertAlign w:val="superscript"/>
        </w:rPr>
        <w:t>[</w:t>
      </w:r>
      <w:proofErr w:type="gramEnd"/>
      <w:r w:rsidR="00A97CCF" w:rsidRPr="007214E1">
        <w:rPr>
          <w:rFonts w:ascii="Book Antiqua" w:hAnsi="Book Antiqua"/>
          <w:color w:val="000000"/>
          <w:vertAlign w:val="superscript"/>
        </w:rPr>
        <w:t>6</w:t>
      </w:r>
      <w:r w:rsidR="00840E34" w:rsidRPr="007214E1">
        <w:rPr>
          <w:rFonts w:ascii="Book Antiqua" w:hAnsi="Book Antiqua"/>
          <w:color w:val="000000"/>
          <w:vertAlign w:val="superscript"/>
        </w:rPr>
        <w:t>9</w:t>
      </w:r>
      <w:r w:rsidR="007C6DD1" w:rsidRPr="007214E1">
        <w:rPr>
          <w:rFonts w:ascii="Book Antiqua" w:hAnsi="Book Antiqua"/>
          <w:color w:val="000000"/>
          <w:vertAlign w:val="superscript"/>
        </w:rPr>
        <w:t>]</w:t>
      </w:r>
      <w:r w:rsidR="009C69D9" w:rsidRPr="007214E1">
        <w:rPr>
          <w:rFonts w:ascii="Book Antiqua" w:hAnsi="Book Antiqua"/>
          <w:color w:val="000000"/>
        </w:rPr>
        <w:t>.</w:t>
      </w:r>
      <w:r w:rsidR="001E1D9B" w:rsidRPr="007214E1">
        <w:rPr>
          <w:rFonts w:ascii="Book Antiqua" w:hAnsi="Book Antiqua"/>
          <w:i/>
          <w:color w:val="000000"/>
        </w:rPr>
        <w:t xml:space="preserve"> </w:t>
      </w:r>
      <w:r w:rsidR="001E1D9B" w:rsidRPr="007214E1">
        <w:rPr>
          <w:rFonts w:ascii="Book Antiqua" w:hAnsi="Book Antiqua"/>
          <w:color w:val="000000"/>
        </w:rPr>
        <w:t xml:space="preserve">The aforementioned studies are primarily being carried out in Chinese medical centers, which </w:t>
      </w:r>
      <w:r w:rsidR="008F4DBA" w:rsidRPr="007214E1">
        <w:rPr>
          <w:rFonts w:ascii="Book Antiqua" w:hAnsi="Book Antiqua"/>
          <w:color w:val="000000"/>
        </w:rPr>
        <w:t>will</w:t>
      </w:r>
      <w:r w:rsidR="001E1D9B" w:rsidRPr="007214E1">
        <w:rPr>
          <w:rFonts w:ascii="Book Antiqua" w:hAnsi="Book Antiqua"/>
          <w:color w:val="000000"/>
        </w:rPr>
        <w:t xml:space="preserve"> limit the </w:t>
      </w:r>
      <w:r w:rsidR="008360C2" w:rsidRPr="007214E1">
        <w:rPr>
          <w:rFonts w:ascii="Book Antiqua" w:hAnsi="Book Antiqua"/>
          <w:color w:val="000000"/>
        </w:rPr>
        <w:t xml:space="preserve">external validity </w:t>
      </w:r>
      <w:r w:rsidR="001E1D9B" w:rsidRPr="007214E1">
        <w:rPr>
          <w:rFonts w:ascii="Book Antiqua" w:hAnsi="Book Antiqua"/>
          <w:color w:val="000000"/>
        </w:rPr>
        <w:t>of the results</w:t>
      </w:r>
      <w:r w:rsidR="008360C2" w:rsidRPr="007214E1">
        <w:rPr>
          <w:rFonts w:ascii="Book Antiqua" w:hAnsi="Book Antiqua"/>
          <w:color w:val="000000"/>
        </w:rPr>
        <w:t xml:space="preserve"> and </w:t>
      </w:r>
      <w:r w:rsidR="006448A1" w:rsidRPr="007214E1">
        <w:rPr>
          <w:rFonts w:ascii="Book Antiqua" w:hAnsi="Book Antiqua"/>
          <w:color w:val="000000"/>
        </w:rPr>
        <w:t xml:space="preserve">require additional studies </w:t>
      </w:r>
      <w:r w:rsidR="008360C2" w:rsidRPr="007214E1">
        <w:rPr>
          <w:rFonts w:ascii="Book Antiqua" w:hAnsi="Book Antiqua"/>
          <w:color w:val="000000"/>
        </w:rPr>
        <w:t xml:space="preserve">before their findings can be generalized to other patient </w:t>
      </w:r>
      <w:proofErr w:type="gramStart"/>
      <w:r w:rsidR="008360C2" w:rsidRPr="007214E1">
        <w:rPr>
          <w:rFonts w:ascii="Book Antiqua" w:hAnsi="Book Antiqua"/>
          <w:color w:val="000000"/>
        </w:rPr>
        <w:t>populations</w:t>
      </w:r>
      <w:r w:rsidR="001E1D9B" w:rsidRPr="007214E1">
        <w:rPr>
          <w:rFonts w:ascii="Book Antiqua" w:hAnsi="Book Antiqua"/>
          <w:color w:val="000000"/>
          <w:vertAlign w:val="superscript"/>
        </w:rPr>
        <w:t>[</w:t>
      </w:r>
      <w:proofErr w:type="gramEnd"/>
      <w:r w:rsidR="00A87F09" w:rsidRPr="007214E1">
        <w:rPr>
          <w:rFonts w:ascii="Book Antiqua" w:hAnsi="Book Antiqua"/>
          <w:color w:val="000000"/>
          <w:vertAlign w:val="superscript"/>
        </w:rPr>
        <w:t>6</w:t>
      </w:r>
      <w:r w:rsidR="00840E34" w:rsidRPr="007214E1">
        <w:rPr>
          <w:rFonts w:ascii="Book Antiqua" w:hAnsi="Book Antiqua"/>
          <w:color w:val="000000"/>
          <w:vertAlign w:val="superscript"/>
        </w:rPr>
        <w:t>6</w:t>
      </w:r>
      <w:r w:rsidR="000F03C9" w:rsidRPr="007214E1">
        <w:rPr>
          <w:rFonts w:ascii="Book Antiqua" w:hAnsi="Book Antiqua"/>
          <w:color w:val="000000"/>
          <w:vertAlign w:val="superscript"/>
        </w:rPr>
        <w:t>-</w:t>
      </w:r>
      <w:r w:rsidR="00A87F09" w:rsidRPr="007214E1">
        <w:rPr>
          <w:rFonts w:ascii="Book Antiqua" w:hAnsi="Book Antiqua"/>
          <w:color w:val="000000"/>
          <w:vertAlign w:val="superscript"/>
        </w:rPr>
        <w:t>6</w:t>
      </w:r>
      <w:r w:rsidR="00840E34" w:rsidRPr="007214E1">
        <w:rPr>
          <w:rFonts w:ascii="Book Antiqua" w:hAnsi="Book Antiqua"/>
          <w:color w:val="000000"/>
          <w:vertAlign w:val="superscript"/>
        </w:rPr>
        <w:t>9</w:t>
      </w:r>
      <w:r w:rsidR="001E1D9B" w:rsidRPr="007214E1">
        <w:rPr>
          <w:rFonts w:ascii="Book Antiqua" w:hAnsi="Book Antiqua"/>
          <w:color w:val="000000"/>
          <w:vertAlign w:val="superscript"/>
        </w:rPr>
        <w:t>]</w:t>
      </w:r>
      <w:r w:rsidR="001E1D9B" w:rsidRPr="007214E1">
        <w:rPr>
          <w:rFonts w:ascii="Book Antiqua" w:hAnsi="Book Antiqua"/>
          <w:color w:val="000000"/>
        </w:rPr>
        <w:t>.</w:t>
      </w:r>
    </w:p>
    <w:p w14:paraId="6AD1B92E" w14:textId="77777777" w:rsidR="00211590" w:rsidRPr="007214E1" w:rsidRDefault="00211590" w:rsidP="00EB43EE">
      <w:pPr>
        <w:snapToGrid w:val="0"/>
        <w:spacing w:line="360" w:lineRule="auto"/>
        <w:jc w:val="both"/>
        <w:rPr>
          <w:rFonts w:ascii="Book Antiqua" w:hAnsi="Book Antiqua"/>
          <w:i/>
          <w:color w:val="000000"/>
        </w:rPr>
      </w:pPr>
    </w:p>
    <w:p w14:paraId="5AD8E88C" w14:textId="1627FCB0" w:rsidR="006C4F19" w:rsidRPr="007214E1" w:rsidRDefault="000F03C9" w:rsidP="00EB43EE">
      <w:pPr>
        <w:snapToGrid w:val="0"/>
        <w:spacing w:line="360" w:lineRule="auto"/>
        <w:jc w:val="both"/>
        <w:rPr>
          <w:rFonts w:ascii="Book Antiqua" w:hAnsi="Book Antiqua"/>
          <w:color w:val="000000"/>
        </w:rPr>
      </w:pPr>
      <w:r w:rsidRPr="007214E1">
        <w:rPr>
          <w:rFonts w:ascii="Book Antiqua" w:hAnsi="Book Antiqua"/>
          <w:b/>
          <w:u w:val="single"/>
        </w:rPr>
        <w:t>COMBINATION THERAPY WITH CHECKPOINT INHIBITORS PLUS MULTI-TARGETED TYROSINE KINASE INHIBITORS</w:t>
      </w:r>
    </w:p>
    <w:p w14:paraId="2C76501C" w14:textId="165D8079" w:rsidR="003E768D" w:rsidRPr="007214E1" w:rsidRDefault="00F476DA" w:rsidP="00EB43EE">
      <w:pPr>
        <w:snapToGrid w:val="0"/>
        <w:spacing w:line="360" w:lineRule="auto"/>
        <w:jc w:val="both"/>
        <w:rPr>
          <w:rFonts w:ascii="Book Antiqua" w:hAnsi="Book Antiqua"/>
          <w:i/>
        </w:rPr>
      </w:pPr>
      <w:proofErr w:type="spellStart"/>
      <w:r w:rsidRPr="007214E1">
        <w:rPr>
          <w:rFonts w:ascii="Book Antiqua" w:hAnsi="Book Antiqua"/>
        </w:rPr>
        <w:t>Sorafenib</w:t>
      </w:r>
      <w:proofErr w:type="spellEnd"/>
      <w:r w:rsidRPr="007214E1">
        <w:rPr>
          <w:rFonts w:ascii="Book Antiqua" w:hAnsi="Book Antiqua"/>
        </w:rPr>
        <w:t xml:space="preserve">, </w:t>
      </w:r>
      <w:proofErr w:type="spellStart"/>
      <w:r w:rsidRPr="007214E1">
        <w:rPr>
          <w:rFonts w:ascii="Book Antiqua" w:hAnsi="Book Antiqua"/>
        </w:rPr>
        <w:t>lenvatinib</w:t>
      </w:r>
      <w:proofErr w:type="spellEnd"/>
      <w:r w:rsidRPr="007214E1">
        <w:rPr>
          <w:rFonts w:ascii="Book Antiqua" w:hAnsi="Book Antiqua"/>
        </w:rPr>
        <w:t xml:space="preserve">, </w:t>
      </w:r>
      <w:proofErr w:type="spellStart"/>
      <w:r w:rsidRPr="007214E1">
        <w:rPr>
          <w:rFonts w:ascii="Book Antiqua" w:hAnsi="Book Antiqua"/>
        </w:rPr>
        <w:t>cabozantinib</w:t>
      </w:r>
      <w:proofErr w:type="spellEnd"/>
      <w:r w:rsidRPr="007214E1">
        <w:rPr>
          <w:rFonts w:ascii="Book Antiqua" w:hAnsi="Book Antiqua"/>
        </w:rPr>
        <w:t xml:space="preserve">, and </w:t>
      </w:r>
      <w:proofErr w:type="spellStart"/>
      <w:r w:rsidRPr="007214E1">
        <w:rPr>
          <w:rFonts w:ascii="Book Antiqua" w:hAnsi="Book Antiqua"/>
        </w:rPr>
        <w:t>regorafenib</w:t>
      </w:r>
      <w:proofErr w:type="spellEnd"/>
      <w:r w:rsidRPr="007214E1">
        <w:rPr>
          <w:rFonts w:ascii="Book Antiqua" w:hAnsi="Book Antiqua"/>
        </w:rPr>
        <w:t xml:space="preserve"> all have activity against VEGF receptors and may mitigate the immunosuppressive activity of </w:t>
      </w:r>
      <w:proofErr w:type="gramStart"/>
      <w:r w:rsidRPr="007214E1">
        <w:rPr>
          <w:rFonts w:ascii="Book Antiqua" w:hAnsi="Book Antiqua"/>
        </w:rPr>
        <w:t>VEGF</w:t>
      </w:r>
      <w:r w:rsidRPr="007214E1">
        <w:rPr>
          <w:rFonts w:ascii="Book Antiqua" w:hAnsi="Book Antiqua"/>
          <w:vertAlign w:val="superscript"/>
        </w:rPr>
        <w:t>[</w:t>
      </w:r>
      <w:proofErr w:type="gramEnd"/>
      <w:r w:rsidR="00B1439C" w:rsidRPr="007214E1">
        <w:rPr>
          <w:rFonts w:ascii="Book Antiqua" w:hAnsi="Book Antiqua"/>
          <w:vertAlign w:val="superscript"/>
        </w:rPr>
        <w:t>6</w:t>
      </w:r>
      <w:r w:rsidRPr="007214E1">
        <w:rPr>
          <w:rFonts w:ascii="Book Antiqua" w:hAnsi="Book Antiqua"/>
          <w:vertAlign w:val="superscript"/>
        </w:rPr>
        <w:t>]</w:t>
      </w:r>
      <w:r w:rsidR="00354FFA" w:rsidRPr="007214E1">
        <w:rPr>
          <w:rFonts w:ascii="Book Antiqua" w:hAnsi="Book Antiqua"/>
        </w:rPr>
        <w:t xml:space="preserve">. </w:t>
      </w:r>
      <w:r w:rsidRPr="007214E1">
        <w:rPr>
          <w:rFonts w:ascii="Book Antiqua" w:hAnsi="Book Antiqua"/>
        </w:rPr>
        <w:t xml:space="preserve">Although the exact mechanisms of action are unclear, </w:t>
      </w:r>
      <w:r w:rsidR="00211590" w:rsidRPr="007214E1">
        <w:rPr>
          <w:rFonts w:ascii="Book Antiqua" w:hAnsi="Book Antiqua"/>
        </w:rPr>
        <w:t xml:space="preserve">TKIs </w:t>
      </w:r>
      <w:r w:rsidR="008F69D3" w:rsidRPr="007214E1">
        <w:rPr>
          <w:rFonts w:ascii="Book Antiqua" w:hAnsi="Book Antiqua"/>
        </w:rPr>
        <w:t>can</w:t>
      </w:r>
      <w:r w:rsidR="00211590" w:rsidRPr="007214E1">
        <w:rPr>
          <w:rFonts w:ascii="Book Antiqua" w:hAnsi="Book Antiqua"/>
        </w:rPr>
        <w:t xml:space="preserve"> modulate the immune </w:t>
      </w:r>
      <w:proofErr w:type="gramStart"/>
      <w:r w:rsidR="00211590" w:rsidRPr="007214E1">
        <w:rPr>
          <w:rFonts w:ascii="Book Antiqua" w:hAnsi="Book Antiqua"/>
        </w:rPr>
        <w:t>system</w:t>
      </w:r>
      <w:r w:rsidRPr="007214E1">
        <w:rPr>
          <w:rFonts w:ascii="Book Antiqua" w:hAnsi="Book Antiqua"/>
          <w:vertAlign w:val="superscript"/>
        </w:rPr>
        <w:t>[</w:t>
      </w:r>
      <w:proofErr w:type="gramEnd"/>
      <w:r w:rsidR="00FD5FCE" w:rsidRPr="007214E1">
        <w:rPr>
          <w:rFonts w:ascii="Book Antiqua" w:hAnsi="Book Antiqua"/>
          <w:vertAlign w:val="superscript"/>
        </w:rPr>
        <w:t>70</w:t>
      </w:r>
      <w:r w:rsidR="008011C2" w:rsidRPr="007214E1">
        <w:rPr>
          <w:rFonts w:ascii="Book Antiqua" w:hAnsi="Book Antiqua"/>
          <w:vertAlign w:val="superscript"/>
        </w:rPr>
        <w:t>-7</w:t>
      </w:r>
      <w:r w:rsidR="00FD5FCE" w:rsidRPr="007214E1">
        <w:rPr>
          <w:rFonts w:ascii="Book Antiqua" w:hAnsi="Book Antiqua"/>
          <w:vertAlign w:val="superscript"/>
        </w:rPr>
        <w:t>2</w:t>
      </w:r>
      <w:r w:rsidRPr="007214E1">
        <w:rPr>
          <w:rFonts w:ascii="Book Antiqua" w:hAnsi="Book Antiqua"/>
          <w:vertAlign w:val="superscript"/>
        </w:rPr>
        <w:t>]</w:t>
      </w:r>
      <w:r w:rsidR="000F03C9" w:rsidRPr="007214E1">
        <w:rPr>
          <w:rFonts w:ascii="Book Antiqua" w:hAnsi="Book Antiqua"/>
        </w:rPr>
        <w:t xml:space="preserve">. </w:t>
      </w:r>
      <w:r w:rsidR="00010F1F" w:rsidRPr="007214E1">
        <w:rPr>
          <w:rFonts w:ascii="Book Antiqua" w:hAnsi="Book Antiqua"/>
        </w:rPr>
        <w:t xml:space="preserve">Sorafenib decreased the populations of Tregs and CD8+ T cells that expressed PD-1 in the tumors of mice models of </w:t>
      </w:r>
      <w:proofErr w:type="gramStart"/>
      <w:r w:rsidR="00010F1F" w:rsidRPr="007214E1">
        <w:rPr>
          <w:rFonts w:ascii="Book Antiqua" w:hAnsi="Book Antiqua"/>
        </w:rPr>
        <w:t>HCC</w:t>
      </w:r>
      <w:r w:rsidR="008F69D3" w:rsidRPr="007214E1">
        <w:rPr>
          <w:rFonts w:ascii="Book Antiqua" w:hAnsi="Book Antiqua"/>
          <w:vertAlign w:val="superscript"/>
        </w:rPr>
        <w:t>[</w:t>
      </w:r>
      <w:proofErr w:type="gramEnd"/>
      <w:r w:rsidR="00FD5FCE" w:rsidRPr="007214E1">
        <w:rPr>
          <w:rFonts w:ascii="Book Antiqua" w:hAnsi="Book Antiqua"/>
          <w:vertAlign w:val="superscript"/>
        </w:rPr>
        <w:t>70</w:t>
      </w:r>
      <w:r w:rsidR="00010F1F" w:rsidRPr="007214E1">
        <w:rPr>
          <w:rFonts w:ascii="Book Antiqua" w:hAnsi="Book Antiqua"/>
          <w:vertAlign w:val="superscript"/>
        </w:rPr>
        <w:t>]</w:t>
      </w:r>
      <w:r w:rsidR="00354FFA" w:rsidRPr="007214E1">
        <w:rPr>
          <w:rFonts w:ascii="Book Antiqua" w:hAnsi="Book Antiqua"/>
        </w:rPr>
        <w:t xml:space="preserve">. </w:t>
      </w:r>
      <w:r w:rsidR="00010F1F" w:rsidRPr="007214E1">
        <w:rPr>
          <w:rFonts w:ascii="Book Antiqua" w:hAnsi="Book Antiqua"/>
        </w:rPr>
        <w:t xml:space="preserve">An </w:t>
      </w:r>
      <w:r w:rsidR="00010F1F" w:rsidRPr="007214E1">
        <w:rPr>
          <w:rFonts w:ascii="Book Antiqua" w:hAnsi="Book Antiqua"/>
          <w:i/>
        </w:rPr>
        <w:t>in-vitro</w:t>
      </w:r>
      <w:r w:rsidR="00010F1F" w:rsidRPr="007214E1">
        <w:rPr>
          <w:rFonts w:ascii="Book Antiqua" w:hAnsi="Book Antiqua"/>
        </w:rPr>
        <w:t xml:space="preserve"> study demonstrated that sorafenib</w:t>
      </w:r>
      <w:r w:rsidR="000F03C9" w:rsidRPr="007214E1">
        <w:rPr>
          <w:rFonts w:ascii="Book Antiqua" w:hAnsi="Book Antiqua"/>
        </w:rPr>
        <w:t xml:space="preserve"> could increase effector-T cell</w:t>
      </w:r>
      <w:r w:rsidR="00010F1F" w:rsidRPr="007214E1">
        <w:rPr>
          <w:rFonts w:ascii="Book Antiqua" w:hAnsi="Book Antiqua"/>
        </w:rPr>
        <w:t xml:space="preserve"> activation </w:t>
      </w:r>
      <w:r w:rsidR="00231FF5" w:rsidRPr="007214E1">
        <w:rPr>
          <w:rFonts w:ascii="Book Antiqua" w:hAnsi="Book Antiqua"/>
        </w:rPr>
        <w:t>and</w:t>
      </w:r>
      <w:r w:rsidR="00010F1F" w:rsidRPr="007214E1">
        <w:rPr>
          <w:rFonts w:ascii="Book Antiqua" w:hAnsi="Book Antiqua"/>
        </w:rPr>
        <w:t xml:space="preserve"> inhibit Treg suppression of </w:t>
      </w:r>
      <w:r w:rsidR="000F03C9" w:rsidRPr="007214E1">
        <w:rPr>
          <w:rFonts w:ascii="Book Antiqua" w:hAnsi="Book Antiqua"/>
        </w:rPr>
        <w:t>effector-T</w:t>
      </w:r>
      <w:r w:rsidR="00010F1F" w:rsidRPr="007214E1">
        <w:rPr>
          <w:rFonts w:ascii="Book Antiqua" w:hAnsi="Book Antiqua"/>
        </w:rPr>
        <w:t xml:space="preserve"> cells, albeit at sub-pharmacologic </w:t>
      </w:r>
      <w:proofErr w:type="gramStart"/>
      <w:r w:rsidR="00010F1F" w:rsidRPr="007214E1">
        <w:rPr>
          <w:rFonts w:ascii="Book Antiqua" w:hAnsi="Book Antiqua"/>
        </w:rPr>
        <w:t>doses</w:t>
      </w:r>
      <w:r w:rsidR="00010F1F" w:rsidRPr="007214E1">
        <w:rPr>
          <w:rFonts w:ascii="Book Antiqua" w:hAnsi="Book Antiqua"/>
          <w:vertAlign w:val="superscript"/>
        </w:rPr>
        <w:t>[</w:t>
      </w:r>
      <w:proofErr w:type="gramEnd"/>
      <w:r w:rsidR="008F69D3" w:rsidRPr="007214E1">
        <w:rPr>
          <w:rFonts w:ascii="Book Antiqua" w:hAnsi="Book Antiqua"/>
          <w:vertAlign w:val="superscript"/>
        </w:rPr>
        <w:t>7</w:t>
      </w:r>
      <w:r w:rsidR="00FD5FCE" w:rsidRPr="007214E1">
        <w:rPr>
          <w:rFonts w:ascii="Book Antiqua" w:hAnsi="Book Antiqua"/>
          <w:vertAlign w:val="superscript"/>
        </w:rPr>
        <w:t>1</w:t>
      </w:r>
      <w:r w:rsidR="00010F1F" w:rsidRPr="007214E1">
        <w:rPr>
          <w:rFonts w:ascii="Book Antiqua" w:hAnsi="Book Antiqua"/>
          <w:vertAlign w:val="superscript"/>
        </w:rPr>
        <w:t>]</w:t>
      </w:r>
      <w:r w:rsidR="00010F1F" w:rsidRPr="007214E1">
        <w:rPr>
          <w:rFonts w:ascii="Book Antiqua" w:hAnsi="Book Antiqua"/>
        </w:rPr>
        <w:t xml:space="preserve">. Sorafenib has also been shown to restore the ability of dendritic cells to activate T cells </w:t>
      </w:r>
      <w:r w:rsidR="00010F1F" w:rsidRPr="007214E1">
        <w:rPr>
          <w:rFonts w:ascii="Book Antiqua" w:hAnsi="Book Antiqua"/>
          <w:i/>
        </w:rPr>
        <w:t xml:space="preserve">in </w:t>
      </w:r>
      <w:proofErr w:type="gramStart"/>
      <w:r w:rsidR="00010F1F" w:rsidRPr="007214E1">
        <w:rPr>
          <w:rFonts w:ascii="Book Antiqua" w:hAnsi="Book Antiqua"/>
          <w:i/>
        </w:rPr>
        <w:t>vitro</w:t>
      </w:r>
      <w:r w:rsidR="00010F1F" w:rsidRPr="007214E1">
        <w:rPr>
          <w:rFonts w:ascii="Book Antiqua" w:hAnsi="Book Antiqua"/>
          <w:vertAlign w:val="superscript"/>
        </w:rPr>
        <w:t>[</w:t>
      </w:r>
      <w:proofErr w:type="gramEnd"/>
      <w:r w:rsidR="008F69D3" w:rsidRPr="007214E1">
        <w:rPr>
          <w:rFonts w:ascii="Book Antiqua" w:hAnsi="Book Antiqua"/>
          <w:vertAlign w:val="superscript"/>
        </w:rPr>
        <w:t>7</w:t>
      </w:r>
      <w:r w:rsidR="00FD5FCE" w:rsidRPr="007214E1">
        <w:rPr>
          <w:rFonts w:ascii="Book Antiqua" w:hAnsi="Book Antiqua"/>
          <w:vertAlign w:val="superscript"/>
        </w:rPr>
        <w:t>2</w:t>
      </w:r>
      <w:r w:rsidR="00010F1F" w:rsidRPr="007214E1">
        <w:rPr>
          <w:rFonts w:ascii="Book Antiqua" w:hAnsi="Book Antiqua"/>
          <w:vertAlign w:val="superscript"/>
        </w:rPr>
        <w:t>]</w:t>
      </w:r>
      <w:r w:rsidR="00010F1F" w:rsidRPr="007214E1">
        <w:rPr>
          <w:rFonts w:ascii="Book Antiqua" w:hAnsi="Book Antiqua"/>
        </w:rPr>
        <w:t xml:space="preserve">. </w:t>
      </w:r>
      <w:r w:rsidR="00EE1BA8" w:rsidRPr="007214E1">
        <w:rPr>
          <w:rFonts w:ascii="Book Antiqua" w:hAnsi="Book Antiqua"/>
        </w:rPr>
        <w:t xml:space="preserve">In mouse models of HCC, </w:t>
      </w:r>
      <w:proofErr w:type="spellStart"/>
      <w:r w:rsidR="00EE1BA8" w:rsidRPr="007214E1">
        <w:rPr>
          <w:rFonts w:ascii="Book Antiqua" w:hAnsi="Book Antiqua"/>
        </w:rPr>
        <w:t>lenvatinib</w:t>
      </w:r>
      <w:proofErr w:type="spellEnd"/>
      <w:r w:rsidR="00EE1BA8" w:rsidRPr="007214E1">
        <w:rPr>
          <w:rFonts w:ascii="Book Antiqua" w:hAnsi="Book Antiqua"/>
        </w:rPr>
        <w:t xml:space="preserve"> demonstrated greater antitumor activity in immunocompetent mice when compared to sorafenib</w:t>
      </w:r>
      <w:r w:rsidR="002B51EE" w:rsidRPr="007214E1">
        <w:rPr>
          <w:rFonts w:ascii="Book Antiqua" w:hAnsi="Book Antiqua"/>
        </w:rPr>
        <w:t xml:space="preserve"> but not in immunodeficient mice</w:t>
      </w:r>
      <w:r w:rsidR="00EE1BA8" w:rsidRPr="007214E1">
        <w:rPr>
          <w:rFonts w:ascii="Book Antiqua" w:hAnsi="Book Antiqua"/>
        </w:rPr>
        <w:t xml:space="preserve">, </w:t>
      </w:r>
      <w:r w:rsidR="002B51EE" w:rsidRPr="007214E1">
        <w:rPr>
          <w:rFonts w:ascii="Book Antiqua" w:hAnsi="Book Antiqua"/>
        </w:rPr>
        <w:t>suggesting</w:t>
      </w:r>
      <w:r w:rsidR="00EE1BA8" w:rsidRPr="007214E1">
        <w:rPr>
          <w:rFonts w:ascii="Book Antiqua" w:hAnsi="Book Antiqua"/>
        </w:rPr>
        <w:t xml:space="preserve"> that </w:t>
      </w:r>
      <w:r w:rsidR="002B51EE" w:rsidRPr="007214E1">
        <w:rPr>
          <w:rFonts w:ascii="Book Antiqua" w:hAnsi="Book Antiqua"/>
        </w:rPr>
        <w:t>the increase in activity</w:t>
      </w:r>
      <w:r w:rsidR="00EE1BA8" w:rsidRPr="007214E1">
        <w:rPr>
          <w:rFonts w:ascii="Book Antiqua" w:hAnsi="Book Antiqua"/>
        </w:rPr>
        <w:t xml:space="preserve"> may be related to </w:t>
      </w:r>
      <w:r w:rsidR="002B51EE" w:rsidRPr="007214E1">
        <w:rPr>
          <w:rFonts w:ascii="Book Antiqua" w:hAnsi="Book Antiqua"/>
        </w:rPr>
        <w:t xml:space="preserve">immunomodulatory </w:t>
      </w:r>
      <w:proofErr w:type="gramStart"/>
      <w:r w:rsidR="002B51EE" w:rsidRPr="007214E1">
        <w:rPr>
          <w:rFonts w:ascii="Book Antiqua" w:hAnsi="Book Antiqua"/>
        </w:rPr>
        <w:t>effects</w:t>
      </w:r>
      <w:r w:rsidR="00EE1BA8" w:rsidRPr="007214E1">
        <w:rPr>
          <w:rFonts w:ascii="Book Antiqua" w:hAnsi="Book Antiqua"/>
          <w:vertAlign w:val="superscript"/>
        </w:rPr>
        <w:t>[</w:t>
      </w:r>
      <w:proofErr w:type="gramEnd"/>
      <w:r w:rsidR="008F69D3" w:rsidRPr="007214E1">
        <w:rPr>
          <w:rFonts w:ascii="Book Antiqua" w:hAnsi="Book Antiqua"/>
          <w:vertAlign w:val="superscript"/>
        </w:rPr>
        <w:t>7</w:t>
      </w:r>
      <w:r w:rsidR="00FD5FCE" w:rsidRPr="007214E1">
        <w:rPr>
          <w:rFonts w:ascii="Book Antiqua" w:hAnsi="Book Antiqua"/>
          <w:vertAlign w:val="superscript"/>
        </w:rPr>
        <w:t>3</w:t>
      </w:r>
      <w:r w:rsidR="00EE1BA8" w:rsidRPr="007214E1">
        <w:rPr>
          <w:rFonts w:ascii="Book Antiqua" w:hAnsi="Book Antiqua"/>
          <w:vertAlign w:val="superscript"/>
        </w:rPr>
        <w:t>]</w:t>
      </w:r>
      <w:r w:rsidR="00EE1BA8" w:rsidRPr="007214E1">
        <w:rPr>
          <w:rFonts w:ascii="Book Antiqua" w:hAnsi="Book Antiqua"/>
        </w:rPr>
        <w:t>.</w:t>
      </w:r>
    </w:p>
    <w:p w14:paraId="2D819922" w14:textId="62F6FE37" w:rsidR="003E768D" w:rsidRPr="007214E1" w:rsidRDefault="00284E6C" w:rsidP="00EB43EE">
      <w:pPr>
        <w:snapToGrid w:val="0"/>
        <w:spacing w:line="360" w:lineRule="auto"/>
        <w:ind w:firstLineChars="100" w:firstLine="240"/>
        <w:jc w:val="both"/>
        <w:rPr>
          <w:rFonts w:ascii="Book Antiqua" w:hAnsi="Book Antiqua"/>
        </w:rPr>
      </w:pPr>
      <w:r w:rsidRPr="007214E1">
        <w:rPr>
          <w:rFonts w:ascii="Book Antiqua" w:hAnsi="Book Antiqua"/>
        </w:rPr>
        <w:t>Given that the mechanism of action of TKIs</w:t>
      </w:r>
      <w:r w:rsidR="004D7D89" w:rsidRPr="007214E1">
        <w:rPr>
          <w:rFonts w:ascii="Book Antiqua" w:hAnsi="Book Antiqua"/>
        </w:rPr>
        <w:t xml:space="preserve"> differ</w:t>
      </w:r>
      <w:r w:rsidR="00E24DFF" w:rsidRPr="007214E1">
        <w:rPr>
          <w:rFonts w:ascii="Book Antiqua" w:hAnsi="Book Antiqua"/>
        </w:rPr>
        <w:t>s</w:t>
      </w:r>
      <w:r w:rsidRPr="007214E1">
        <w:rPr>
          <w:rFonts w:ascii="Book Antiqua" w:hAnsi="Book Antiqua"/>
        </w:rPr>
        <w:t xml:space="preserve"> </w:t>
      </w:r>
      <w:r w:rsidR="004D7D89" w:rsidRPr="007214E1">
        <w:rPr>
          <w:rFonts w:ascii="Book Antiqua" w:hAnsi="Book Antiqua"/>
        </w:rPr>
        <w:t>from that of</w:t>
      </w:r>
      <w:r w:rsidRPr="007214E1">
        <w:rPr>
          <w:rFonts w:ascii="Book Antiqua" w:hAnsi="Book Antiqua"/>
        </w:rPr>
        <w:t xml:space="preserve"> </w:t>
      </w:r>
      <w:r w:rsidR="003C5E94" w:rsidRPr="007214E1">
        <w:rPr>
          <w:rFonts w:ascii="Book Antiqua" w:hAnsi="Book Antiqua"/>
        </w:rPr>
        <w:t>checkpoint inhibitors</w:t>
      </w:r>
      <w:r w:rsidRPr="007214E1">
        <w:rPr>
          <w:rFonts w:ascii="Book Antiqua" w:hAnsi="Book Antiqua"/>
        </w:rPr>
        <w:t xml:space="preserve">, pairing a TKI with </w:t>
      </w:r>
      <w:r w:rsidR="003C5E94" w:rsidRPr="007214E1">
        <w:rPr>
          <w:rFonts w:ascii="Book Antiqua" w:hAnsi="Book Antiqua"/>
        </w:rPr>
        <w:t>a checkpoint inhibitor</w:t>
      </w:r>
      <w:r w:rsidR="00631E72" w:rsidRPr="007214E1">
        <w:rPr>
          <w:rFonts w:ascii="Book Antiqua" w:hAnsi="Book Antiqua"/>
        </w:rPr>
        <w:t xml:space="preserve"> may produce responses that are </w:t>
      </w:r>
      <w:r w:rsidR="00EE1BA8" w:rsidRPr="007214E1">
        <w:rPr>
          <w:rFonts w:ascii="Book Antiqua" w:hAnsi="Book Antiqua"/>
        </w:rPr>
        <w:t xml:space="preserve">either </w:t>
      </w:r>
      <w:r w:rsidR="00631E72" w:rsidRPr="007214E1">
        <w:rPr>
          <w:rFonts w:ascii="Book Antiqua" w:hAnsi="Book Antiqua"/>
        </w:rPr>
        <w:t xml:space="preserve">additive or synergistic. </w:t>
      </w:r>
      <w:r w:rsidR="0015007E" w:rsidRPr="007214E1">
        <w:rPr>
          <w:rFonts w:ascii="Book Antiqua" w:hAnsi="Book Antiqua"/>
        </w:rPr>
        <w:t xml:space="preserve">Additionally, </w:t>
      </w:r>
      <w:r w:rsidR="00E24DFF" w:rsidRPr="007214E1">
        <w:rPr>
          <w:rFonts w:ascii="Book Antiqua" w:hAnsi="Book Antiqua"/>
        </w:rPr>
        <w:t xml:space="preserve">responses to combination therapy with </w:t>
      </w:r>
      <w:r w:rsidR="0015007E" w:rsidRPr="007214E1">
        <w:rPr>
          <w:rFonts w:ascii="Book Antiqua" w:hAnsi="Book Antiqua"/>
        </w:rPr>
        <w:t>checkpoint inhibitor</w:t>
      </w:r>
      <w:r w:rsidR="00E24DFF" w:rsidRPr="007214E1">
        <w:rPr>
          <w:rFonts w:ascii="Book Antiqua" w:hAnsi="Book Antiqua"/>
        </w:rPr>
        <w:t>s</w:t>
      </w:r>
      <w:r w:rsidR="0015007E" w:rsidRPr="007214E1">
        <w:rPr>
          <w:rFonts w:ascii="Book Antiqua" w:hAnsi="Book Antiqua"/>
        </w:rPr>
        <w:t xml:space="preserve"> </w:t>
      </w:r>
      <w:r w:rsidR="00E24DFF" w:rsidRPr="007214E1">
        <w:rPr>
          <w:rFonts w:ascii="Book Antiqua" w:hAnsi="Book Antiqua"/>
        </w:rPr>
        <w:t>and</w:t>
      </w:r>
      <w:r w:rsidR="0015007E" w:rsidRPr="007214E1">
        <w:rPr>
          <w:rFonts w:ascii="Book Antiqua" w:hAnsi="Book Antiqua"/>
        </w:rPr>
        <w:t xml:space="preserve"> TKIs may be more effective than </w:t>
      </w:r>
      <w:r w:rsidR="00E24DFF" w:rsidRPr="007214E1">
        <w:rPr>
          <w:rFonts w:ascii="Book Antiqua" w:hAnsi="Book Antiqua"/>
        </w:rPr>
        <w:t xml:space="preserve">responses to </w:t>
      </w:r>
      <w:r w:rsidR="0015007E" w:rsidRPr="007214E1">
        <w:rPr>
          <w:rFonts w:ascii="Book Antiqua" w:hAnsi="Book Antiqua"/>
        </w:rPr>
        <w:t xml:space="preserve">VEGF or VEGFR inhibitors alone because TKIs inhibit multiple </w:t>
      </w:r>
      <w:r w:rsidR="00E24DFF" w:rsidRPr="007214E1">
        <w:rPr>
          <w:rFonts w:ascii="Book Antiqua" w:hAnsi="Book Antiqua"/>
        </w:rPr>
        <w:t xml:space="preserve">distinct signaling </w:t>
      </w:r>
      <w:r w:rsidR="0015007E" w:rsidRPr="007214E1">
        <w:rPr>
          <w:rFonts w:ascii="Book Antiqua" w:hAnsi="Book Antiqua"/>
        </w:rPr>
        <w:t>pathways.</w:t>
      </w:r>
      <w:r w:rsidR="003E768D" w:rsidRPr="007214E1">
        <w:rPr>
          <w:rFonts w:ascii="Book Antiqua" w:hAnsi="Book Antiqua"/>
        </w:rPr>
        <w:t xml:space="preserve"> </w:t>
      </w:r>
      <w:r w:rsidR="00211460" w:rsidRPr="007214E1">
        <w:rPr>
          <w:rFonts w:ascii="Book Antiqua" w:hAnsi="Book Antiqua"/>
        </w:rPr>
        <w:t xml:space="preserve">If these combination therapies are proven effective, their safety may </w:t>
      </w:r>
      <w:r w:rsidR="00211460" w:rsidRPr="007214E1">
        <w:rPr>
          <w:rFonts w:ascii="Book Antiqua" w:hAnsi="Book Antiqua"/>
        </w:rPr>
        <w:lastRenderedPageBreak/>
        <w:t xml:space="preserve">be of concern. </w:t>
      </w:r>
      <w:r w:rsidR="003E768D" w:rsidRPr="007214E1">
        <w:rPr>
          <w:rFonts w:ascii="Book Antiqua" w:hAnsi="Book Antiqua"/>
        </w:rPr>
        <w:t xml:space="preserve">Common toxicities </w:t>
      </w:r>
      <w:r w:rsidR="00211460" w:rsidRPr="007214E1">
        <w:rPr>
          <w:rFonts w:ascii="Book Antiqua" w:hAnsi="Book Antiqua"/>
        </w:rPr>
        <w:t>observed with the</w:t>
      </w:r>
      <w:r w:rsidR="003E768D" w:rsidRPr="007214E1">
        <w:rPr>
          <w:rFonts w:ascii="Book Antiqua" w:hAnsi="Book Antiqua"/>
        </w:rPr>
        <w:t xml:space="preserve"> various TKIs include diarrhea, skin rashes, fatigue, nausea, elevated aspartate aminotransferase levels, and </w:t>
      </w:r>
      <w:proofErr w:type="gramStart"/>
      <w:r w:rsidR="003E768D" w:rsidRPr="007214E1">
        <w:rPr>
          <w:rFonts w:ascii="Book Antiqua" w:hAnsi="Book Antiqua"/>
        </w:rPr>
        <w:t>rash</w:t>
      </w:r>
      <w:r w:rsidR="003E768D" w:rsidRPr="007214E1">
        <w:rPr>
          <w:rFonts w:ascii="Book Antiqua" w:hAnsi="Book Antiqua"/>
          <w:vertAlign w:val="superscript"/>
        </w:rPr>
        <w:t>[</w:t>
      </w:r>
      <w:proofErr w:type="gramEnd"/>
      <w:r w:rsidR="000F03C9" w:rsidRPr="007214E1">
        <w:rPr>
          <w:rFonts w:ascii="Book Antiqua" w:hAnsi="Book Antiqua"/>
          <w:vertAlign w:val="superscript"/>
        </w:rPr>
        <w:t>8,9,11,</w:t>
      </w:r>
      <w:r w:rsidR="00913338" w:rsidRPr="007214E1">
        <w:rPr>
          <w:rFonts w:ascii="Book Antiqua" w:hAnsi="Book Antiqua"/>
          <w:vertAlign w:val="superscript"/>
        </w:rPr>
        <w:t>12</w:t>
      </w:r>
      <w:r w:rsidR="003E768D" w:rsidRPr="007214E1">
        <w:rPr>
          <w:rFonts w:ascii="Book Antiqua" w:hAnsi="Book Antiqua"/>
          <w:vertAlign w:val="superscript"/>
        </w:rPr>
        <w:t>]</w:t>
      </w:r>
      <w:r w:rsidR="003E768D" w:rsidRPr="007214E1">
        <w:rPr>
          <w:rFonts w:ascii="Book Antiqua" w:hAnsi="Book Antiqua"/>
        </w:rPr>
        <w:t>. The side-effect profiles of checkpoint inhibitors partially overlap with those of the TKIs</w:t>
      </w:r>
      <w:r w:rsidR="00211460" w:rsidRPr="007214E1">
        <w:rPr>
          <w:rFonts w:ascii="Book Antiqua" w:hAnsi="Book Antiqua"/>
        </w:rPr>
        <w:t xml:space="preserve">, and it is unclear whether this may lead to greater toxicity when compared to single-agent </w:t>
      </w:r>
      <w:proofErr w:type="gramStart"/>
      <w:r w:rsidR="00211460" w:rsidRPr="007214E1">
        <w:rPr>
          <w:rFonts w:ascii="Book Antiqua" w:hAnsi="Book Antiqua"/>
        </w:rPr>
        <w:t>regimens</w:t>
      </w:r>
      <w:r w:rsidR="003E768D" w:rsidRPr="007214E1">
        <w:rPr>
          <w:rFonts w:ascii="Book Antiqua" w:hAnsi="Book Antiqua"/>
          <w:vertAlign w:val="superscript"/>
        </w:rPr>
        <w:t>[</w:t>
      </w:r>
      <w:proofErr w:type="gramEnd"/>
      <w:r w:rsidR="000F03C9" w:rsidRPr="007214E1">
        <w:rPr>
          <w:rFonts w:ascii="Book Antiqua" w:hAnsi="Book Antiqua"/>
          <w:vertAlign w:val="superscript"/>
        </w:rPr>
        <w:t>13,</w:t>
      </w:r>
      <w:r w:rsidR="00862665" w:rsidRPr="007214E1">
        <w:rPr>
          <w:rFonts w:ascii="Book Antiqua" w:hAnsi="Book Antiqua"/>
          <w:vertAlign w:val="superscript"/>
        </w:rPr>
        <w:t>14</w:t>
      </w:r>
      <w:r w:rsidR="003E768D" w:rsidRPr="007214E1">
        <w:rPr>
          <w:rFonts w:ascii="Book Antiqua" w:hAnsi="Book Antiqua"/>
          <w:vertAlign w:val="superscript"/>
        </w:rPr>
        <w:t>,2</w:t>
      </w:r>
      <w:r w:rsidR="008011C2" w:rsidRPr="007214E1">
        <w:rPr>
          <w:rFonts w:ascii="Book Antiqua" w:hAnsi="Book Antiqua"/>
          <w:vertAlign w:val="superscript"/>
        </w:rPr>
        <w:t>4</w:t>
      </w:r>
      <w:r w:rsidR="003E768D" w:rsidRPr="007214E1">
        <w:rPr>
          <w:rFonts w:ascii="Book Antiqua" w:hAnsi="Book Antiqua"/>
          <w:vertAlign w:val="superscript"/>
        </w:rPr>
        <w:t>,</w:t>
      </w:r>
      <w:r w:rsidR="008011C2" w:rsidRPr="007214E1">
        <w:rPr>
          <w:rFonts w:ascii="Book Antiqua" w:hAnsi="Book Antiqua"/>
          <w:vertAlign w:val="superscript"/>
        </w:rPr>
        <w:t>31</w:t>
      </w:r>
      <w:r w:rsidR="003E768D" w:rsidRPr="007214E1">
        <w:rPr>
          <w:rFonts w:ascii="Book Antiqua" w:hAnsi="Book Antiqua"/>
          <w:vertAlign w:val="superscript"/>
        </w:rPr>
        <w:t>]</w:t>
      </w:r>
      <w:r w:rsidR="003E768D" w:rsidRPr="007214E1">
        <w:rPr>
          <w:rFonts w:ascii="Book Antiqua" w:hAnsi="Book Antiqua"/>
          <w:i/>
        </w:rPr>
        <w:t>.</w:t>
      </w:r>
    </w:p>
    <w:p w14:paraId="74AE0B6D" w14:textId="2DCCF3DA" w:rsidR="00990598" w:rsidRPr="007214E1" w:rsidRDefault="00990598" w:rsidP="00EB43EE">
      <w:pPr>
        <w:snapToGrid w:val="0"/>
        <w:spacing w:line="360" w:lineRule="auto"/>
        <w:jc w:val="both"/>
        <w:rPr>
          <w:rFonts w:ascii="Book Antiqua" w:hAnsi="Book Antiqua"/>
          <w:b/>
          <w:i/>
        </w:rPr>
      </w:pPr>
    </w:p>
    <w:p w14:paraId="2AB3B58F" w14:textId="605D7B8F" w:rsidR="00696032" w:rsidRPr="007214E1" w:rsidRDefault="00696032" w:rsidP="00EB43EE">
      <w:pPr>
        <w:snapToGrid w:val="0"/>
        <w:spacing w:line="360" w:lineRule="auto"/>
        <w:jc w:val="both"/>
        <w:rPr>
          <w:rFonts w:ascii="Book Antiqua" w:hAnsi="Book Antiqua"/>
          <w:b/>
          <w:i/>
        </w:rPr>
      </w:pPr>
      <w:r w:rsidRPr="007214E1">
        <w:rPr>
          <w:rFonts w:ascii="Book Antiqua" w:hAnsi="Book Antiqua"/>
          <w:b/>
          <w:i/>
        </w:rPr>
        <w:t xml:space="preserve">Sorafenib </w:t>
      </w:r>
      <w:r w:rsidR="000F03C9" w:rsidRPr="007214E1">
        <w:rPr>
          <w:rFonts w:ascii="Book Antiqua" w:hAnsi="Book Antiqua"/>
          <w:b/>
          <w:i/>
        </w:rPr>
        <w:t>plus checkpoint inhibitors</w:t>
      </w:r>
    </w:p>
    <w:p w14:paraId="648B681D" w14:textId="40490A06" w:rsidR="00E07BBC" w:rsidRPr="007214E1" w:rsidRDefault="00CE3CCB" w:rsidP="00EB43EE">
      <w:pPr>
        <w:snapToGrid w:val="0"/>
        <w:spacing w:line="360" w:lineRule="auto"/>
        <w:jc w:val="both"/>
        <w:rPr>
          <w:rFonts w:ascii="Book Antiqua" w:hAnsi="Book Antiqua"/>
          <w:i/>
          <w:vertAlign w:val="superscript"/>
        </w:rPr>
      </w:pPr>
      <w:r w:rsidRPr="007214E1">
        <w:rPr>
          <w:rFonts w:ascii="Book Antiqua" w:hAnsi="Book Antiqua"/>
        </w:rPr>
        <w:t>The safety and effectiveness of sorafenib plus pembrolizumab</w:t>
      </w:r>
      <w:r w:rsidR="008011C2" w:rsidRPr="007214E1">
        <w:rPr>
          <w:rFonts w:ascii="Book Antiqua" w:hAnsi="Book Antiqua"/>
        </w:rPr>
        <w:t xml:space="preserve"> as first-line therapy</w:t>
      </w:r>
      <w:r w:rsidRPr="007214E1">
        <w:rPr>
          <w:rFonts w:ascii="Book Antiqua" w:hAnsi="Book Antiqua"/>
        </w:rPr>
        <w:t xml:space="preserve"> will be evaluated in 27 patients with advanced or metastatic HCC participating in a phase </w:t>
      </w:r>
      <w:proofErr w:type="spellStart"/>
      <w:r w:rsidRPr="007214E1">
        <w:rPr>
          <w:rFonts w:ascii="Book Antiqua" w:hAnsi="Book Antiqua"/>
        </w:rPr>
        <w:t>Ib</w:t>
      </w:r>
      <w:proofErr w:type="spellEnd"/>
      <w:r w:rsidRPr="007214E1">
        <w:rPr>
          <w:rFonts w:ascii="Book Antiqua" w:hAnsi="Book Antiqua"/>
        </w:rPr>
        <w:t xml:space="preserve">/II study (NCT03211416) by </w:t>
      </w:r>
      <w:r w:rsidR="008011C2" w:rsidRPr="007214E1">
        <w:rPr>
          <w:rFonts w:ascii="Book Antiqua" w:hAnsi="Book Antiqua"/>
        </w:rPr>
        <w:t xml:space="preserve">the </w:t>
      </w:r>
      <w:r w:rsidRPr="007214E1">
        <w:rPr>
          <w:rFonts w:ascii="Book Antiqua" w:hAnsi="Book Antiqua"/>
        </w:rPr>
        <w:t>Roswell Park Cancer Institute</w:t>
      </w:r>
      <w:r w:rsidRPr="007214E1">
        <w:rPr>
          <w:rFonts w:ascii="Book Antiqua" w:hAnsi="Book Antiqua"/>
          <w:vertAlign w:val="superscript"/>
        </w:rPr>
        <w:t>[</w:t>
      </w:r>
      <w:r w:rsidR="008011C2" w:rsidRPr="007214E1">
        <w:rPr>
          <w:rFonts w:ascii="Book Antiqua" w:hAnsi="Book Antiqua"/>
          <w:vertAlign w:val="superscript"/>
        </w:rPr>
        <w:t>7</w:t>
      </w:r>
      <w:r w:rsidR="00FD5FCE" w:rsidRPr="007214E1">
        <w:rPr>
          <w:rFonts w:ascii="Book Antiqua" w:hAnsi="Book Antiqua"/>
          <w:vertAlign w:val="superscript"/>
        </w:rPr>
        <w:t>4</w:t>
      </w:r>
      <w:r w:rsidRPr="007214E1">
        <w:rPr>
          <w:rFonts w:ascii="Book Antiqua" w:hAnsi="Book Antiqua"/>
          <w:vertAlign w:val="superscript"/>
        </w:rPr>
        <w:t>]</w:t>
      </w:r>
      <w:r w:rsidR="001F1560" w:rsidRPr="007214E1">
        <w:rPr>
          <w:rFonts w:ascii="Book Antiqua" w:eastAsia="宋体" w:hAnsi="Book Antiqua"/>
          <w:lang w:eastAsia="zh-CN"/>
        </w:rPr>
        <w:t xml:space="preserve"> (Table 5)</w:t>
      </w:r>
      <w:r w:rsidRPr="007214E1">
        <w:rPr>
          <w:rFonts w:ascii="Book Antiqua" w:hAnsi="Book Antiqua"/>
        </w:rPr>
        <w:t>.</w:t>
      </w:r>
      <w:r w:rsidR="000F03C9" w:rsidRPr="007214E1">
        <w:rPr>
          <w:rFonts w:ascii="Book Antiqua" w:hAnsi="Book Antiqua"/>
          <w:i/>
        </w:rPr>
        <w:t xml:space="preserve"> </w:t>
      </w:r>
      <w:r w:rsidR="00E24DFF" w:rsidRPr="007214E1">
        <w:rPr>
          <w:rFonts w:ascii="Book Antiqua" w:hAnsi="Book Antiqua"/>
        </w:rPr>
        <w:t>One</w:t>
      </w:r>
      <w:r w:rsidR="00990598" w:rsidRPr="007214E1">
        <w:rPr>
          <w:rFonts w:ascii="Book Antiqua" w:hAnsi="Book Antiqua"/>
        </w:rPr>
        <w:t xml:space="preserve"> phase II trial (NCT03439891) will study the combination of nivolumab plus sorafenib</w:t>
      </w:r>
      <w:r w:rsidR="008011C2" w:rsidRPr="007214E1">
        <w:rPr>
          <w:rFonts w:ascii="Book Antiqua" w:hAnsi="Book Antiqua"/>
        </w:rPr>
        <w:t xml:space="preserve"> as first-line therapy</w:t>
      </w:r>
      <w:r w:rsidR="00990598" w:rsidRPr="007214E1">
        <w:rPr>
          <w:rFonts w:ascii="Book Antiqua" w:hAnsi="Book Antiqua"/>
        </w:rPr>
        <w:t xml:space="preserve"> in patients with advanced </w:t>
      </w:r>
      <w:proofErr w:type="gramStart"/>
      <w:r w:rsidR="00990598" w:rsidRPr="007214E1">
        <w:rPr>
          <w:rFonts w:ascii="Book Antiqua" w:hAnsi="Book Antiqua"/>
        </w:rPr>
        <w:t>HCC</w:t>
      </w:r>
      <w:r w:rsidR="00990598" w:rsidRPr="007214E1">
        <w:rPr>
          <w:rFonts w:ascii="Book Antiqua" w:hAnsi="Book Antiqua"/>
          <w:vertAlign w:val="superscript"/>
        </w:rPr>
        <w:t>[</w:t>
      </w:r>
      <w:proofErr w:type="gramEnd"/>
      <w:r w:rsidR="008011C2" w:rsidRPr="007214E1">
        <w:rPr>
          <w:rFonts w:ascii="Book Antiqua" w:hAnsi="Book Antiqua"/>
          <w:vertAlign w:val="superscript"/>
        </w:rPr>
        <w:t>7</w:t>
      </w:r>
      <w:r w:rsidR="00FD5FCE" w:rsidRPr="007214E1">
        <w:rPr>
          <w:rFonts w:ascii="Book Antiqua" w:hAnsi="Book Antiqua"/>
          <w:vertAlign w:val="superscript"/>
        </w:rPr>
        <w:t>5</w:t>
      </w:r>
      <w:r w:rsidRPr="007214E1">
        <w:rPr>
          <w:rFonts w:ascii="Book Antiqua" w:hAnsi="Book Antiqua"/>
          <w:vertAlign w:val="superscript"/>
        </w:rPr>
        <w:t>]</w:t>
      </w:r>
      <w:r w:rsidR="001F1560" w:rsidRPr="007214E1">
        <w:rPr>
          <w:rFonts w:ascii="Book Antiqua" w:eastAsia="宋体" w:hAnsi="Book Antiqua"/>
          <w:lang w:eastAsia="zh-CN"/>
        </w:rPr>
        <w:t xml:space="preserve"> (Table 5)</w:t>
      </w:r>
      <w:r w:rsidR="00990598" w:rsidRPr="007214E1">
        <w:rPr>
          <w:rFonts w:ascii="Book Antiqua" w:hAnsi="Book Antiqua"/>
        </w:rPr>
        <w:t>. ORR</w:t>
      </w:r>
      <w:r w:rsidR="00AC6706" w:rsidRPr="007214E1">
        <w:rPr>
          <w:rFonts w:ascii="Book Antiqua" w:hAnsi="Book Antiqua"/>
        </w:rPr>
        <w:t xml:space="preserve"> </w:t>
      </w:r>
      <w:r w:rsidR="00FD5FCE" w:rsidRPr="007214E1">
        <w:rPr>
          <w:rFonts w:ascii="Book Antiqua" w:hAnsi="Book Antiqua"/>
        </w:rPr>
        <w:t>is</w:t>
      </w:r>
      <w:r w:rsidR="00AC6706" w:rsidRPr="007214E1">
        <w:rPr>
          <w:rFonts w:ascii="Book Antiqua" w:hAnsi="Book Antiqua"/>
        </w:rPr>
        <w:t xml:space="preserve"> one of the primary endpoints for both </w:t>
      </w:r>
      <w:proofErr w:type="gramStart"/>
      <w:r w:rsidR="00AC6706" w:rsidRPr="007214E1">
        <w:rPr>
          <w:rFonts w:ascii="Book Antiqua" w:hAnsi="Book Antiqua"/>
        </w:rPr>
        <w:t>studies</w:t>
      </w:r>
      <w:r w:rsidR="00990598" w:rsidRPr="007214E1">
        <w:rPr>
          <w:rFonts w:ascii="Book Antiqua" w:hAnsi="Book Antiqua"/>
          <w:vertAlign w:val="superscript"/>
        </w:rPr>
        <w:t>[</w:t>
      </w:r>
      <w:proofErr w:type="gramEnd"/>
      <w:r w:rsidR="008011C2" w:rsidRPr="007214E1">
        <w:rPr>
          <w:rFonts w:ascii="Book Antiqua" w:hAnsi="Book Antiqua"/>
          <w:vertAlign w:val="superscript"/>
        </w:rPr>
        <w:t>7</w:t>
      </w:r>
      <w:r w:rsidR="00FD5FCE" w:rsidRPr="007214E1">
        <w:rPr>
          <w:rFonts w:ascii="Book Antiqua" w:hAnsi="Book Antiqua"/>
          <w:vertAlign w:val="superscript"/>
        </w:rPr>
        <w:t>4</w:t>
      </w:r>
      <w:r w:rsidR="000F03C9" w:rsidRPr="007214E1">
        <w:rPr>
          <w:rFonts w:ascii="Book Antiqua" w:hAnsi="Book Antiqua"/>
          <w:vertAlign w:val="superscript"/>
        </w:rPr>
        <w:t>,</w:t>
      </w:r>
      <w:r w:rsidR="00AC6706" w:rsidRPr="007214E1">
        <w:rPr>
          <w:rFonts w:ascii="Book Antiqua" w:hAnsi="Book Antiqua"/>
          <w:vertAlign w:val="superscript"/>
        </w:rPr>
        <w:t>7</w:t>
      </w:r>
      <w:r w:rsidR="00FD5FCE" w:rsidRPr="007214E1">
        <w:rPr>
          <w:rFonts w:ascii="Book Antiqua" w:hAnsi="Book Antiqua"/>
          <w:vertAlign w:val="superscript"/>
        </w:rPr>
        <w:t>5</w:t>
      </w:r>
      <w:r w:rsidR="00E24DFF" w:rsidRPr="007214E1">
        <w:rPr>
          <w:rFonts w:ascii="Book Antiqua" w:hAnsi="Book Antiqua"/>
          <w:vertAlign w:val="superscript"/>
        </w:rPr>
        <w:t>]</w:t>
      </w:r>
      <w:r w:rsidR="00990598" w:rsidRPr="007214E1">
        <w:rPr>
          <w:rFonts w:ascii="Book Antiqua" w:hAnsi="Book Antiqua"/>
        </w:rPr>
        <w:t>.</w:t>
      </w:r>
    </w:p>
    <w:p w14:paraId="2CA8A61A" w14:textId="1ADD1289" w:rsidR="00D95870" w:rsidRPr="007214E1" w:rsidRDefault="00D95870" w:rsidP="00EB43EE">
      <w:pPr>
        <w:snapToGrid w:val="0"/>
        <w:spacing w:line="360" w:lineRule="auto"/>
        <w:jc w:val="both"/>
        <w:rPr>
          <w:rFonts w:ascii="Book Antiqua" w:hAnsi="Book Antiqua"/>
          <w:i/>
        </w:rPr>
      </w:pPr>
    </w:p>
    <w:p w14:paraId="523A710B" w14:textId="063BEA72" w:rsidR="00696032" w:rsidRPr="007214E1" w:rsidRDefault="00696032" w:rsidP="00EB43EE">
      <w:pPr>
        <w:snapToGrid w:val="0"/>
        <w:spacing w:line="360" w:lineRule="auto"/>
        <w:jc w:val="both"/>
        <w:rPr>
          <w:rFonts w:ascii="Book Antiqua" w:hAnsi="Book Antiqua"/>
          <w:b/>
          <w:i/>
        </w:rPr>
      </w:pPr>
      <w:proofErr w:type="spellStart"/>
      <w:r w:rsidRPr="007214E1">
        <w:rPr>
          <w:rFonts w:ascii="Book Antiqua" w:hAnsi="Book Antiqua"/>
          <w:b/>
          <w:i/>
        </w:rPr>
        <w:t>Cabozantinib</w:t>
      </w:r>
      <w:proofErr w:type="spellEnd"/>
      <w:r w:rsidRPr="007214E1">
        <w:rPr>
          <w:rFonts w:ascii="Book Antiqua" w:hAnsi="Book Antiqua"/>
          <w:b/>
          <w:i/>
        </w:rPr>
        <w:t xml:space="preserve"> </w:t>
      </w:r>
      <w:r w:rsidR="000F03C9" w:rsidRPr="007214E1">
        <w:rPr>
          <w:rFonts w:ascii="Book Antiqua" w:hAnsi="Book Antiqua"/>
          <w:b/>
          <w:i/>
        </w:rPr>
        <w:t>plus checkpoint inhibitors</w:t>
      </w:r>
    </w:p>
    <w:p w14:paraId="7C8753C9" w14:textId="0462AAD6" w:rsidR="00916A4B" w:rsidRPr="007214E1" w:rsidRDefault="00D95870" w:rsidP="00EB43EE">
      <w:pPr>
        <w:snapToGrid w:val="0"/>
        <w:spacing w:line="360" w:lineRule="auto"/>
        <w:jc w:val="both"/>
        <w:rPr>
          <w:rFonts w:ascii="Book Antiqua" w:hAnsi="Book Antiqua"/>
        </w:rPr>
      </w:pPr>
      <w:r w:rsidRPr="007214E1">
        <w:rPr>
          <w:rFonts w:ascii="Book Antiqua" w:hAnsi="Book Antiqua"/>
        </w:rPr>
        <w:t>Studies</w:t>
      </w:r>
      <w:r w:rsidR="00D93E6B" w:rsidRPr="007214E1">
        <w:rPr>
          <w:rFonts w:ascii="Book Antiqua" w:hAnsi="Book Antiqua"/>
        </w:rPr>
        <w:t xml:space="preserve"> testing treatment regimens involving</w:t>
      </w:r>
      <w:r w:rsidRPr="007214E1">
        <w:rPr>
          <w:rFonts w:ascii="Book Antiqua" w:hAnsi="Book Antiqua"/>
        </w:rPr>
        <w:t xml:space="preserve"> </w:t>
      </w:r>
      <w:proofErr w:type="spellStart"/>
      <w:r w:rsidRPr="007214E1">
        <w:rPr>
          <w:rFonts w:ascii="Book Antiqua" w:hAnsi="Book Antiqua"/>
        </w:rPr>
        <w:t>cabozantinib</w:t>
      </w:r>
      <w:proofErr w:type="spellEnd"/>
      <w:r w:rsidR="001A2EF8" w:rsidRPr="007214E1">
        <w:rPr>
          <w:rFonts w:ascii="Book Antiqua" w:hAnsi="Book Antiqua"/>
        </w:rPr>
        <w:t xml:space="preserve"> plus immunotherapy</w:t>
      </w:r>
      <w:r w:rsidRPr="007214E1">
        <w:rPr>
          <w:rFonts w:ascii="Book Antiqua" w:hAnsi="Book Antiqua"/>
        </w:rPr>
        <w:t xml:space="preserve"> include the</w:t>
      </w:r>
      <w:r w:rsidR="006B28CB" w:rsidRPr="007214E1">
        <w:rPr>
          <w:rFonts w:ascii="Book Antiqua" w:hAnsi="Book Antiqua"/>
        </w:rPr>
        <w:t xml:space="preserve"> </w:t>
      </w:r>
      <w:r w:rsidR="00863210" w:rsidRPr="007214E1">
        <w:rPr>
          <w:rFonts w:ascii="Book Antiqua" w:hAnsi="Book Antiqua"/>
        </w:rPr>
        <w:t xml:space="preserve">aforementioned </w:t>
      </w:r>
      <w:proofErr w:type="spellStart"/>
      <w:r w:rsidR="004D3842" w:rsidRPr="007214E1">
        <w:rPr>
          <w:rFonts w:ascii="Book Antiqua" w:hAnsi="Book Antiqua"/>
        </w:rPr>
        <w:t>CheckM</w:t>
      </w:r>
      <w:r w:rsidR="006B28CB" w:rsidRPr="007214E1">
        <w:rPr>
          <w:rFonts w:ascii="Book Antiqua" w:hAnsi="Book Antiqua"/>
        </w:rPr>
        <w:t>ate</w:t>
      </w:r>
      <w:proofErr w:type="spellEnd"/>
      <w:r w:rsidR="006B28CB" w:rsidRPr="007214E1">
        <w:rPr>
          <w:rFonts w:ascii="Book Antiqua" w:hAnsi="Book Antiqua"/>
        </w:rPr>
        <w:t xml:space="preserve"> 040 study</w:t>
      </w:r>
      <w:r w:rsidR="00F4094D" w:rsidRPr="007214E1">
        <w:rPr>
          <w:rFonts w:ascii="Book Antiqua" w:hAnsi="Book Antiqua"/>
        </w:rPr>
        <w:t xml:space="preserve"> (NCT01658878)</w:t>
      </w:r>
      <w:r w:rsidR="00D93E6B" w:rsidRPr="007214E1">
        <w:rPr>
          <w:rFonts w:ascii="Book Antiqua" w:hAnsi="Book Antiqua"/>
        </w:rPr>
        <w:t>, which</w:t>
      </w:r>
      <w:r w:rsidR="006B28CB" w:rsidRPr="007214E1">
        <w:rPr>
          <w:rFonts w:ascii="Book Antiqua" w:hAnsi="Book Antiqua"/>
        </w:rPr>
        <w:t xml:space="preserve"> contains two separate arms in which patients are receiving </w:t>
      </w:r>
      <w:proofErr w:type="spellStart"/>
      <w:r w:rsidR="006B28CB" w:rsidRPr="007214E1">
        <w:rPr>
          <w:rFonts w:ascii="Book Antiqua" w:hAnsi="Book Antiqua"/>
        </w:rPr>
        <w:t>nivolumab</w:t>
      </w:r>
      <w:proofErr w:type="spellEnd"/>
      <w:r w:rsidR="006B28CB" w:rsidRPr="007214E1">
        <w:rPr>
          <w:rFonts w:ascii="Book Antiqua" w:hAnsi="Book Antiqua"/>
        </w:rPr>
        <w:t xml:space="preserve"> plus </w:t>
      </w:r>
      <w:proofErr w:type="spellStart"/>
      <w:r w:rsidR="006B28CB" w:rsidRPr="007214E1">
        <w:rPr>
          <w:rFonts w:ascii="Book Antiqua" w:hAnsi="Book Antiqua"/>
        </w:rPr>
        <w:t>cabozantinib</w:t>
      </w:r>
      <w:proofErr w:type="spellEnd"/>
      <w:r w:rsidR="006B28CB" w:rsidRPr="007214E1">
        <w:rPr>
          <w:rFonts w:ascii="Book Antiqua" w:hAnsi="Book Antiqua"/>
        </w:rPr>
        <w:t xml:space="preserve"> and </w:t>
      </w:r>
      <w:proofErr w:type="spellStart"/>
      <w:r w:rsidR="006B28CB" w:rsidRPr="007214E1">
        <w:rPr>
          <w:rFonts w:ascii="Book Antiqua" w:hAnsi="Book Antiqua"/>
        </w:rPr>
        <w:t>nivolumab</w:t>
      </w:r>
      <w:proofErr w:type="spellEnd"/>
      <w:r w:rsidR="006B28CB" w:rsidRPr="007214E1">
        <w:rPr>
          <w:rFonts w:ascii="Book Antiqua" w:hAnsi="Book Antiqua"/>
        </w:rPr>
        <w:t xml:space="preserve"> and </w:t>
      </w:r>
      <w:proofErr w:type="spellStart"/>
      <w:r w:rsidR="006B28CB" w:rsidRPr="007214E1">
        <w:rPr>
          <w:rFonts w:ascii="Book Antiqua" w:hAnsi="Book Antiqua"/>
        </w:rPr>
        <w:t>ipilimumab</w:t>
      </w:r>
      <w:proofErr w:type="spellEnd"/>
      <w:r w:rsidR="006B28CB" w:rsidRPr="007214E1">
        <w:rPr>
          <w:rFonts w:ascii="Book Antiqua" w:hAnsi="Book Antiqua"/>
        </w:rPr>
        <w:t xml:space="preserve"> plus </w:t>
      </w:r>
      <w:proofErr w:type="spellStart"/>
      <w:r w:rsidR="006B28CB" w:rsidRPr="007214E1">
        <w:rPr>
          <w:rFonts w:ascii="Book Antiqua" w:hAnsi="Book Antiqua"/>
        </w:rPr>
        <w:t>cabozantinib</w:t>
      </w:r>
      <w:proofErr w:type="spellEnd"/>
      <w:r w:rsidR="006B28CB" w:rsidRPr="007214E1">
        <w:rPr>
          <w:rFonts w:ascii="Book Antiqua" w:hAnsi="Book Antiqua"/>
          <w:vertAlign w:val="superscript"/>
        </w:rPr>
        <w:t>[</w:t>
      </w:r>
      <w:r w:rsidR="00EA6563" w:rsidRPr="007214E1">
        <w:rPr>
          <w:rFonts w:ascii="Book Antiqua" w:hAnsi="Book Antiqua"/>
          <w:vertAlign w:val="superscript"/>
        </w:rPr>
        <w:t>30</w:t>
      </w:r>
      <w:r w:rsidR="006B28CB" w:rsidRPr="007214E1">
        <w:rPr>
          <w:rFonts w:ascii="Book Antiqua" w:hAnsi="Book Antiqua"/>
          <w:vertAlign w:val="superscript"/>
        </w:rPr>
        <w:t>]</w:t>
      </w:r>
      <w:r w:rsidR="001F1560" w:rsidRPr="007214E1">
        <w:rPr>
          <w:rFonts w:ascii="Book Antiqua" w:eastAsia="宋体" w:hAnsi="Book Antiqua"/>
          <w:lang w:eastAsia="zh-CN"/>
        </w:rPr>
        <w:t xml:space="preserve"> (Table 2)</w:t>
      </w:r>
      <w:r w:rsidR="006B28CB" w:rsidRPr="007214E1">
        <w:rPr>
          <w:rFonts w:ascii="Book Antiqua" w:hAnsi="Book Antiqua"/>
        </w:rPr>
        <w:t>.</w:t>
      </w:r>
      <w:r w:rsidR="00237DB4" w:rsidRPr="007214E1">
        <w:rPr>
          <w:rFonts w:ascii="Book Antiqua" w:hAnsi="Book Antiqua"/>
        </w:rPr>
        <w:t xml:space="preserve"> Initial data</w:t>
      </w:r>
      <w:r w:rsidR="004D3842" w:rsidRPr="007214E1">
        <w:rPr>
          <w:rFonts w:ascii="Book Antiqua" w:hAnsi="Book Antiqua"/>
        </w:rPr>
        <w:t xml:space="preserve"> from this portion of the </w:t>
      </w:r>
      <w:proofErr w:type="spellStart"/>
      <w:r w:rsidR="004D3842" w:rsidRPr="007214E1">
        <w:rPr>
          <w:rFonts w:ascii="Book Antiqua" w:hAnsi="Book Antiqua"/>
        </w:rPr>
        <w:t>CheckM</w:t>
      </w:r>
      <w:r w:rsidR="00237DB4" w:rsidRPr="007214E1">
        <w:rPr>
          <w:rFonts w:ascii="Book Antiqua" w:hAnsi="Book Antiqua"/>
        </w:rPr>
        <w:t>ate</w:t>
      </w:r>
      <w:proofErr w:type="spellEnd"/>
      <w:r w:rsidR="00237DB4" w:rsidRPr="007214E1">
        <w:rPr>
          <w:rFonts w:ascii="Book Antiqua" w:hAnsi="Book Antiqua"/>
        </w:rPr>
        <w:t xml:space="preserve"> 040 study has been </w:t>
      </w:r>
      <w:proofErr w:type="gramStart"/>
      <w:r w:rsidR="00237DB4" w:rsidRPr="007214E1">
        <w:rPr>
          <w:rFonts w:ascii="Book Antiqua" w:hAnsi="Book Antiqua"/>
        </w:rPr>
        <w:t>reported</w:t>
      </w:r>
      <w:r w:rsidR="00237DB4" w:rsidRPr="007214E1">
        <w:rPr>
          <w:rFonts w:ascii="Book Antiqua" w:hAnsi="Book Antiqua"/>
          <w:vertAlign w:val="superscript"/>
        </w:rPr>
        <w:t>[</w:t>
      </w:r>
      <w:proofErr w:type="gramEnd"/>
      <w:r w:rsidR="00237DB4" w:rsidRPr="007214E1">
        <w:rPr>
          <w:rFonts w:ascii="Book Antiqua" w:hAnsi="Book Antiqua"/>
          <w:vertAlign w:val="superscript"/>
        </w:rPr>
        <w:t>7</w:t>
      </w:r>
      <w:r w:rsidR="00FD5FCE" w:rsidRPr="007214E1">
        <w:rPr>
          <w:rFonts w:ascii="Book Antiqua" w:hAnsi="Book Antiqua"/>
          <w:vertAlign w:val="superscript"/>
        </w:rPr>
        <w:t>6</w:t>
      </w:r>
      <w:r w:rsidR="00237DB4" w:rsidRPr="007214E1">
        <w:rPr>
          <w:rFonts w:ascii="Book Antiqua" w:hAnsi="Book Antiqua"/>
          <w:vertAlign w:val="superscript"/>
        </w:rPr>
        <w:t>]</w:t>
      </w:r>
      <w:r w:rsidR="000F03C9" w:rsidRPr="007214E1">
        <w:rPr>
          <w:rFonts w:ascii="Book Antiqua" w:hAnsi="Book Antiqua"/>
        </w:rPr>
        <w:t xml:space="preserve">. </w:t>
      </w:r>
      <w:r w:rsidR="00417B1F" w:rsidRPr="007214E1">
        <w:rPr>
          <w:rFonts w:ascii="Book Antiqua" w:hAnsi="Book Antiqua"/>
        </w:rPr>
        <w:t xml:space="preserve">Seventy-one patients with advanced HCC who were sorafenib-naïve or who had previously been treated with sorafenib were randomized to receive </w:t>
      </w:r>
      <w:proofErr w:type="spellStart"/>
      <w:r w:rsidR="00417B1F" w:rsidRPr="007214E1">
        <w:rPr>
          <w:rFonts w:ascii="Book Antiqua" w:hAnsi="Book Antiqua"/>
        </w:rPr>
        <w:t>nivolumab</w:t>
      </w:r>
      <w:proofErr w:type="spellEnd"/>
      <w:r w:rsidR="00417B1F" w:rsidRPr="007214E1">
        <w:rPr>
          <w:rFonts w:ascii="Book Antiqua" w:hAnsi="Book Antiqua"/>
        </w:rPr>
        <w:t xml:space="preserve"> plus </w:t>
      </w:r>
      <w:proofErr w:type="spellStart"/>
      <w:r w:rsidR="00417B1F" w:rsidRPr="007214E1">
        <w:rPr>
          <w:rFonts w:ascii="Book Antiqua" w:hAnsi="Book Antiqua"/>
        </w:rPr>
        <w:t>cabozantinib</w:t>
      </w:r>
      <w:proofErr w:type="spellEnd"/>
      <w:r w:rsidR="00417B1F" w:rsidRPr="007214E1">
        <w:rPr>
          <w:rFonts w:ascii="Book Antiqua" w:hAnsi="Book Antiqua"/>
        </w:rPr>
        <w:t xml:space="preserve"> or </w:t>
      </w:r>
      <w:proofErr w:type="spellStart"/>
      <w:r w:rsidR="00417B1F" w:rsidRPr="007214E1">
        <w:rPr>
          <w:rFonts w:ascii="Book Antiqua" w:hAnsi="Book Antiqua"/>
        </w:rPr>
        <w:t>nivolumab</w:t>
      </w:r>
      <w:proofErr w:type="spellEnd"/>
      <w:r w:rsidR="00417B1F" w:rsidRPr="007214E1">
        <w:rPr>
          <w:rFonts w:ascii="Book Antiqua" w:hAnsi="Book Antiqua"/>
        </w:rPr>
        <w:t xml:space="preserve"> plus </w:t>
      </w:r>
      <w:proofErr w:type="spellStart"/>
      <w:r w:rsidR="00417B1F" w:rsidRPr="007214E1">
        <w:rPr>
          <w:rFonts w:ascii="Book Antiqua" w:hAnsi="Book Antiqua"/>
        </w:rPr>
        <w:t>ipilimumab</w:t>
      </w:r>
      <w:proofErr w:type="spellEnd"/>
      <w:r w:rsidR="00417B1F" w:rsidRPr="007214E1">
        <w:rPr>
          <w:rFonts w:ascii="Book Antiqua" w:hAnsi="Book Antiqua"/>
        </w:rPr>
        <w:t xml:space="preserve"> and </w:t>
      </w:r>
      <w:proofErr w:type="spellStart"/>
      <w:proofErr w:type="gramStart"/>
      <w:r w:rsidR="00417B1F" w:rsidRPr="007214E1">
        <w:rPr>
          <w:rFonts w:ascii="Book Antiqua" w:hAnsi="Book Antiqua"/>
        </w:rPr>
        <w:t>cabozantinib</w:t>
      </w:r>
      <w:proofErr w:type="spellEnd"/>
      <w:r w:rsidR="00417B1F" w:rsidRPr="007214E1">
        <w:rPr>
          <w:rFonts w:ascii="Book Antiqua" w:hAnsi="Book Antiqua"/>
          <w:vertAlign w:val="superscript"/>
        </w:rPr>
        <w:t>[</w:t>
      </w:r>
      <w:proofErr w:type="gramEnd"/>
      <w:r w:rsidR="00417B1F" w:rsidRPr="007214E1">
        <w:rPr>
          <w:rFonts w:ascii="Book Antiqua" w:hAnsi="Book Antiqua"/>
          <w:vertAlign w:val="superscript"/>
        </w:rPr>
        <w:t>7</w:t>
      </w:r>
      <w:r w:rsidR="00FD5FCE" w:rsidRPr="007214E1">
        <w:rPr>
          <w:rFonts w:ascii="Book Antiqua" w:hAnsi="Book Antiqua"/>
          <w:vertAlign w:val="superscript"/>
        </w:rPr>
        <w:t>6</w:t>
      </w:r>
      <w:r w:rsidR="00417B1F" w:rsidRPr="007214E1">
        <w:rPr>
          <w:rFonts w:ascii="Book Antiqua" w:hAnsi="Book Antiqua"/>
          <w:vertAlign w:val="superscript"/>
        </w:rPr>
        <w:t>]</w:t>
      </w:r>
      <w:r w:rsidR="00417B1F" w:rsidRPr="007214E1">
        <w:rPr>
          <w:rFonts w:ascii="Book Antiqua" w:hAnsi="Book Antiqua"/>
        </w:rPr>
        <w:t xml:space="preserve">. </w:t>
      </w:r>
      <w:r w:rsidR="00237DB4" w:rsidRPr="007214E1">
        <w:rPr>
          <w:rFonts w:ascii="Book Antiqua" w:hAnsi="Book Antiqua"/>
        </w:rPr>
        <w:t xml:space="preserve">The ORR was 26% </w:t>
      </w:r>
      <w:r w:rsidR="00237DB4" w:rsidRPr="007214E1">
        <w:rPr>
          <w:rFonts w:ascii="Book Antiqua" w:hAnsi="Book Antiqua"/>
          <w:i/>
        </w:rPr>
        <w:t>vs</w:t>
      </w:r>
      <w:r w:rsidR="00237DB4" w:rsidRPr="007214E1">
        <w:rPr>
          <w:rFonts w:ascii="Book Antiqua" w:hAnsi="Book Antiqua"/>
        </w:rPr>
        <w:t xml:space="preserve"> 17% for those who received all three drugs or </w:t>
      </w:r>
      <w:proofErr w:type="spellStart"/>
      <w:r w:rsidR="00237DB4" w:rsidRPr="007214E1">
        <w:rPr>
          <w:rFonts w:ascii="Book Antiqua" w:hAnsi="Book Antiqua"/>
        </w:rPr>
        <w:t>nivolumab</w:t>
      </w:r>
      <w:proofErr w:type="spellEnd"/>
      <w:r w:rsidR="00237DB4" w:rsidRPr="007214E1">
        <w:rPr>
          <w:rFonts w:ascii="Book Antiqua" w:hAnsi="Book Antiqua"/>
        </w:rPr>
        <w:t xml:space="preserve"> plus </w:t>
      </w:r>
      <w:proofErr w:type="spellStart"/>
      <w:r w:rsidR="00237DB4" w:rsidRPr="007214E1">
        <w:rPr>
          <w:rFonts w:ascii="Book Antiqua" w:hAnsi="Book Antiqua"/>
        </w:rPr>
        <w:t>cabozantinib</w:t>
      </w:r>
      <w:proofErr w:type="spellEnd"/>
      <w:r w:rsidR="00237DB4" w:rsidRPr="007214E1">
        <w:rPr>
          <w:rFonts w:ascii="Book Antiqua" w:hAnsi="Book Antiqua"/>
        </w:rPr>
        <w:t xml:space="preserve">, </w:t>
      </w:r>
      <w:proofErr w:type="gramStart"/>
      <w:r w:rsidR="00237DB4" w:rsidRPr="007214E1">
        <w:rPr>
          <w:rFonts w:ascii="Book Antiqua" w:hAnsi="Book Antiqua"/>
        </w:rPr>
        <w:t>respectively</w:t>
      </w:r>
      <w:r w:rsidR="00237DB4" w:rsidRPr="007214E1">
        <w:rPr>
          <w:rFonts w:ascii="Book Antiqua" w:hAnsi="Book Antiqua"/>
          <w:vertAlign w:val="superscript"/>
        </w:rPr>
        <w:t>[</w:t>
      </w:r>
      <w:proofErr w:type="gramEnd"/>
      <w:r w:rsidR="00237DB4" w:rsidRPr="007214E1">
        <w:rPr>
          <w:rFonts w:ascii="Book Antiqua" w:hAnsi="Book Antiqua"/>
          <w:vertAlign w:val="superscript"/>
        </w:rPr>
        <w:t>7</w:t>
      </w:r>
      <w:r w:rsidR="00FD5FCE" w:rsidRPr="007214E1">
        <w:rPr>
          <w:rFonts w:ascii="Book Antiqua" w:hAnsi="Book Antiqua"/>
          <w:vertAlign w:val="superscript"/>
        </w:rPr>
        <w:t>6</w:t>
      </w:r>
      <w:r w:rsidR="00237DB4" w:rsidRPr="007214E1">
        <w:rPr>
          <w:rFonts w:ascii="Book Antiqua" w:hAnsi="Book Antiqua"/>
          <w:vertAlign w:val="superscript"/>
        </w:rPr>
        <w:t>]</w:t>
      </w:r>
      <w:r w:rsidR="001F1560" w:rsidRPr="007214E1">
        <w:rPr>
          <w:rFonts w:ascii="Book Antiqua" w:eastAsia="宋体" w:hAnsi="Book Antiqua"/>
          <w:lang w:eastAsia="zh-CN"/>
        </w:rPr>
        <w:t xml:space="preserve"> (Table 2)</w:t>
      </w:r>
      <w:r w:rsidR="00237DB4" w:rsidRPr="007214E1">
        <w:rPr>
          <w:rFonts w:ascii="Book Antiqua" w:hAnsi="Book Antiqua"/>
        </w:rPr>
        <w:t xml:space="preserve">. Median PFS was 6.8 for the </w:t>
      </w:r>
      <w:r w:rsidR="00FD5FCE" w:rsidRPr="007214E1">
        <w:rPr>
          <w:rFonts w:ascii="Book Antiqua" w:hAnsi="Book Antiqua"/>
        </w:rPr>
        <w:t>three-drug regimen</w:t>
      </w:r>
      <w:r w:rsidR="00237DB4" w:rsidRPr="007214E1">
        <w:rPr>
          <w:rFonts w:ascii="Book Antiqua" w:hAnsi="Book Antiqua"/>
        </w:rPr>
        <w:t xml:space="preserve"> arm and 5.5 for the </w:t>
      </w:r>
      <w:r w:rsidR="00FD5FCE" w:rsidRPr="007214E1">
        <w:rPr>
          <w:rFonts w:ascii="Book Antiqua" w:hAnsi="Book Antiqua"/>
        </w:rPr>
        <w:t>two-drug regimen</w:t>
      </w:r>
      <w:r w:rsidR="00237DB4" w:rsidRPr="007214E1">
        <w:rPr>
          <w:rFonts w:ascii="Book Antiqua" w:hAnsi="Book Antiqua"/>
        </w:rPr>
        <w:t xml:space="preserve"> </w:t>
      </w:r>
      <w:proofErr w:type="gramStart"/>
      <w:r w:rsidR="00237DB4" w:rsidRPr="007214E1">
        <w:rPr>
          <w:rFonts w:ascii="Book Antiqua" w:hAnsi="Book Antiqua"/>
        </w:rPr>
        <w:t>arm</w:t>
      </w:r>
      <w:r w:rsidR="00237DB4" w:rsidRPr="007214E1">
        <w:rPr>
          <w:rFonts w:ascii="Book Antiqua" w:hAnsi="Book Antiqua"/>
          <w:vertAlign w:val="superscript"/>
        </w:rPr>
        <w:t>[</w:t>
      </w:r>
      <w:proofErr w:type="gramEnd"/>
      <w:r w:rsidR="00237DB4" w:rsidRPr="007214E1">
        <w:rPr>
          <w:rFonts w:ascii="Book Antiqua" w:hAnsi="Book Antiqua"/>
          <w:vertAlign w:val="superscript"/>
        </w:rPr>
        <w:t>7</w:t>
      </w:r>
      <w:r w:rsidR="00FD5FCE" w:rsidRPr="007214E1">
        <w:rPr>
          <w:rFonts w:ascii="Book Antiqua" w:hAnsi="Book Antiqua"/>
          <w:vertAlign w:val="superscript"/>
        </w:rPr>
        <w:t>6</w:t>
      </w:r>
      <w:r w:rsidR="00237DB4" w:rsidRPr="007214E1">
        <w:rPr>
          <w:rFonts w:ascii="Book Antiqua" w:hAnsi="Book Antiqua"/>
          <w:vertAlign w:val="superscript"/>
        </w:rPr>
        <w:t>]</w:t>
      </w:r>
      <w:r w:rsidR="001F1560" w:rsidRPr="007214E1">
        <w:rPr>
          <w:rFonts w:ascii="Book Antiqua" w:eastAsia="宋体" w:hAnsi="Book Antiqua"/>
          <w:lang w:eastAsia="zh-CN"/>
        </w:rPr>
        <w:t xml:space="preserve"> (Table 2)</w:t>
      </w:r>
      <w:r w:rsidR="00237DB4" w:rsidRPr="007214E1">
        <w:rPr>
          <w:rFonts w:ascii="Book Antiqua" w:hAnsi="Book Antiqua"/>
        </w:rPr>
        <w:t xml:space="preserve">. The three-drug regimen </w:t>
      </w:r>
      <w:r w:rsidR="00FD5FCE" w:rsidRPr="007214E1">
        <w:rPr>
          <w:rFonts w:ascii="Book Antiqua" w:hAnsi="Book Antiqua"/>
        </w:rPr>
        <w:t>caused</w:t>
      </w:r>
      <w:r w:rsidR="00237DB4" w:rsidRPr="007214E1">
        <w:rPr>
          <w:rFonts w:ascii="Book Antiqua" w:hAnsi="Book Antiqua"/>
        </w:rPr>
        <w:t xml:space="preserve"> significantly more toxicity, with 71% of patients in that arm reporting grade 3-4 adverse effects, </w:t>
      </w:r>
      <w:r w:rsidR="00237DB4" w:rsidRPr="007214E1">
        <w:rPr>
          <w:rFonts w:ascii="Book Antiqua" w:hAnsi="Book Antiqua"/>
          <w:i/>
        </w:rPr>
        <w:t>vs</w:t>
      </w:r>
      <w:r w:rsidR="00237DB4" w:rsidRPr="007214E1">
        <w:rPr>
          <w:rFonts w:ascii="Book Antiqua" w:hAnsi="Book Antiqua"/>
        </w:rPr>
        <w:t xml:space="preserve"> 42% of patients in the two-drug arm</w:t>
      </w:r>
      <w:r w:rsidR="00237DB4" w:rsidRPr="007214E1">
        <w:rPr>
          <w:rFonts w:ascii="Book Antiqua" w:hAnsi="Book Antiqua"/>
          <w:vertAlign w:val="superscript"/>
        </w:rPr>
        <w:t>[7</w:t>
      </w:r>
      <w:r w:rsidR="00FD5FCE" w:rsidRPr="007214E1">
        <w:rPr>
          <w:rFonts w:ascii="Book Antiqua" w:hAnsi="Book Antiqua"/>
          <w:vertAlign w:val="superscript"/>
        </w:rPr>
        <w:t>6</w:t>
      </w:r>
      <w:r w:rsidR="00237DB4" w:rsidRPr="007214E1">
        <w:rPr>
          <w:rFonts w:ascii="Book Antiqua" w:hAnsi="Book Antiqua"/>
          <w:vertAlign w:val="superscript"/>
        </w:rPr>
        <w:t>]</w:t>
      </w:r>
      <w:r w:rsidR="00237DB4" w:rsidRPr="007214E1">
        <w:rPr>
          <w:rFonts w:ascii="Book Antiqua" w:hAnsi="Book Antiqua"/>
        </w:rPr>
        <w:t xml:space="preserve">. </w:t>
      </w:r>
      <w:r w:rsidR="00237DB4" w:rsidRPr="007214E1">
        <w:rPr>
          <w:rFonts w:ascii="Book Antiqua" w:hAnsi="Book Antiqua"/>
        </w:rPr>
        <w:lastRenderedPageBreak/>
        <w:t xml:space="preserve">Approximately 20% of patients in the three-drug arm discontinued the drug secondary to toxicity, compared with 3% of the patients in the two-drug </w:t>
      </w:r>
      <w:proofErr w:type="gramStart"/>
      <w:r w:rsidR="00237DB4" w:rsidRPr="007214E1">
        <w:rPr>
          <w:rFonts w:ascii="Book Antiqua" w:hAnsi="Book Antiqua"/>
        </w:rPr>
        <w:t>arm</w:t>
      </w:r>
      <w:r w:rsidR="00237DB4" w:rsidRPr="007214E1">
        <w:rPr>
          <w:rFonts w:ascii="Book Antiqua" w:hAnsi="Book Antiqua"/>
          <w:vertAlign w:val="superscript"/>
        </w:rPr>
        <w:t>[</w:t>
      </w:r>
      <w:proofErr w:type="gramEnd"/>
      <w:r w:rsidR="00237DB4" w:rsidRPr="007214E1">
        <w:rPr>
          <w:rFonts w:ascii="Book Antiqua" w:hAnsi="Book Antiqua"/>
          <w:vertAlign w:val="superscript"/>
        </w:rPr>
        <w:t>7</w:t>
      </w:r>
      <w:r w:rsidR="00FD5FCE" w:rsidRPr="007214E1">
        <w:rPr>
          <w:rFonts w:ascii="Book Antiqua" w:hAnsi="Book Antiqua"/>
          <w:vertAlign w:val="superscript"/>
        </w:rPr>
        <w:t>6</w:t>
      </w:r>
      <w:r w:rsidR="00237DB4" w:rsidRPr="007214E1">
        <w:rPr>
          <w:rFonts w:ascii="Book Antiqua" w:hAnsi="Book Antiqua"/>
          <w:vertAlign w:val="superscript"/>
        </w:rPr>
        <w:t>]</w:t>
      </w:r>
      <w:r w:rsidR="00237DB4" w:rsidRPr="007214E1">
        <w:rPr>
          <w:rFonts w:ascii="Book Antiqua" w:hAnsi="Book Antiqua"/>
        </w:rPr>
        <w:t xml:space="preserve">. </w:t>
      </w:r>
      <w:r w:rsidR="00782715" w:rsidRPr="007214E1">
        <w:rPr>
          <w:rFonts w:ascii="Book Antiqua" w:hAnsi="Book Antiqua"/>
        </w:rPr>
        <w:t>Although the three-drug regimen demonstrates promise based on these early results, its high rate of toxicity may prohibit widespread adoption as standard-of-care therapy.</w:t>
      </w:r>
      <w:r w:rsidR="00237DB4" w:rsidRPr="007214E1">
        <w:rPr>
          <w:rFonts w:ascii="Book Antiqua" w:hAnsi="Book Antiqua"/>
        </w:rPr>
        <w:t xml:space="preserve"> </w:t>
      </w:r>
      <w:r w:rsidR="00E81C63" w:rsidRPr="007214E1">
        <w:rPr>
          <w:rFonts w:ascii="Book Antiqua" w:hAnsi="Book Antiqua"/>
        </w:rPr>
        <w:t xml:space="preserve">Other checkpoint inhibitors, such as atezolizumab, are being studied as part of </w:t>
      </w:r>
      <w:r w:rsidR="00A52934" w:rsidRPr="007214E1">
        <w:rPr>
          <w:rFonts w:ascii="Book Antiqua" w:hAnsi="Book Antiqua"/>
        </w:rPr>
        <w:t xml:space="preserve">combination regimens involving </w:t>
      </w:r>
      <w:proofErr w:type="spellStart"/>
      <w:proofErr w:type="gramStart"/>
      <w:r w:rsidR="00A52934" w:rsidRPr="007214E1">
        <w:rPr>
          <w:rFonts w:ascii="Book Antiqua" w:hAnsi="Book Antiqua"/>
        </w:rPr>
        <w:t>cabozantinib</w:t>
      </w:r>
      <w:proofErr w:type="spellEnd"/>
      <w:r w:rsidR="00E81C63" w:rsidRPr="007214E1">
        <w:rPr>
          <w:rFonts w:ascii="Book Antiqua" w:hAnsi="Book Antiqua"/>
          <w:vertAlign w:val="superscript"/>
        </w:rPr>
        <w:t>[</w:t>
      </w:r>
      <w:proofErr w:type="gramEnd"/>
      <w:r w:rsidR="00EA6563" w:rsidRPr="007214E1">
        <w:rPr>
          <w:rFonts w:ascii="Book Antiqua" w:hAnsi="Book Antiqua"/>
          <w:vertAlign w:val="superscript"/>
        </w:rPr>
        <w:t>7</w:t>
      </w:r>
      <w:r w:rsidR="00237DB4" w:rsidRPr="007214E1">
        <w:rPr>
          <w:rFonts w:ascii="Book Antiqua" w:hAnsi="Book Antiqua"/>
          <w:vertAlign w:val="superscript"/>
        </w:rPr>
        <w:t>6</w:t>
      </w:r>
      <w:r w:rsidR="00E81C63" w:rsidRPr="007214E1">
        <w:rPr>
          <w:rFonts w:ascii="Book Antiqua" w:hAnsi="Book Antiqua"/>
          <w:vertAlign w:val="superscript"/>
        </w:rPr>
        <w:t>]</w:t>
      </w:r>
      <w:r w:rsidR="00B32708" w:rsidRPr="007214E1">
        <w:rPr>
          <w:rFonts w:ascii="Book Antiqua" w:eastAsia="宋体" w:hAnsi="Book Antiqua"/>
          <w:lang w:eastAsia="zh-CN"/>
        </w:rPr>
        <w:t xml:space="preserve"> (Table 5)</w:t>
      </w:r>
      <w:r w:rsidR="00E81C63" w:rsidRPr="007214E1">
        <w:rPr>
          <w:rFonts w:ascii="Book Antiqua" w:hAnsi="Book Antiqua"/>
        </w:rPr>
        <w:t>.</w:t>
      </w:r>
      <w:r w:rsidR="000F03C9" w:rsidRPr="007214E1">
        <w:rPr>
          <w:rFonts w:ascii="Book Antiqua" w:hAnsi="Book Antiqua"/>
          <w:i/>
        </w:rPr>
        <w:t xml:space="preserve"> </w:t>
      </w:r>
      <w:r w:rsidR="001C5154" w:rsidRPr="007214E1">
        <w:rPr>
          <w:rFonts w:ascii="Book Antiqua" w:hAnsi="Book Antiqua"/>
        </w:rPr>
        <w:t>The</w:t>
      </w:r>
      <w:r w:rsidR="00A74796" w:rsidRPr="007214E1">
        <w:rPr>
          <w:rFonts w:ascii="Book Antiqua" w:hAnsi="Book Antiqua"/>
        </w:rPr>
        <w:t xml:space="preserve"> phase III COSMIC-312 trial</w:t>
      </w:r>
      <w:r w:rsidR="00DA2078" w:rsidRPr="007214E1">
        <w:rPr>
          <w:rFonts w:ascii="Book Antiqua" w:hAnsi="Book Antiqua"/>
        </w:rPr>
        <w:t xml:space="preserve"> </w:t>
      </w:r>
      <w:r w:rsidR="001E5F9A" w:rsidRPr="007214E1">
        <w:rPr>
          <w:rFonts w:ascii="Book Antiqua" w:hAnsi="Book Antiqua"/>
        </w:rPr>
        <w:t>(</w:t>
      </w:r>
      <w:r w:rsidR="001E5F9A" w:rsidRPr="007214E1">
        <w:rPr>
          <w:rFonts w:ascii="Book Antiqua" w:hAnsi="Book Antiqua"/>
          <w:color w:val="000000"/>
          <w:shd w:val="clear" w:color="auto" w:fill="FFFFFF"/>
        </w:rPr>
        <w:t>NCT03755791</w:t>
      </w:r>
      <w:r w:rsidR="001E5F9A" w:rsidRPr="007214E1">
        <w:rPr>
          <w:rFonts w:ascii="Book Antiqua" w:hAnsi="Book Antiqua"/>
        </w:rPr>
        <w:t xml:space="preserve">) </w:t>
      </w:r>
      <w:r w:rsidR="00DA2078" w:rsidRPr="007214E1">
        <w:rPr>
          <w:rFonts w:ascii="Book Antiqua" w:hAnsi="Book Antiqua"/>
        </w:rPr>
        <w:t xml:space="preserve">will study the combination of </w:t>
      </w:r>
      <w:proofErr w:type="spellStart"/>
      <w:r w:rsidR="00DA2078" w:rsidRPr="007214E1">
        <w:rPr>
          <w:rFonts w:ascii="Book Antiqua" w:hAnsi="Book Antiqua"/>
        </w:rPr>
        <w:t>cabozantinib</w:t>
      </w:r>
      <w:proofErr w:type="spellEnd"/>
      <w:r w:rsidR="00DA2078" w:rsidRPr="007214E1">
        <w:rPr>
          <w:rFonts w:ascii="Book Antiqua" w:hAnsi="Book Antiqua"/>
        </w:rPr>
        <w:t xml:space="preserve"> and </w:t>
      </w:r>
      <w:proofErr w:type="spellStart"/>
      <w:r w:rsidR="00DA2078" w:rsidRPr="007214E1">
        <w:rPr>
          <w:rFonts w:ascii="Book Antiqua" w:hAnsi="Book Antiqua"/>
        </w:rPr>
        <w:t>atezolizumab</w:t>
      </w:r>
      <w:proofErr w:type="spellEnd"/>
      <w:r w:rsidR="00A74796" w:rsidRPr="007214E1">
        <w:rPr>
          <w:rFonts w:ascii="Book Antiqua" w:hAnsi="Book Antiqua"/>
        </w:rPr>
        <w:t xml:space="preserve"> </w:t>
      </w:r>
      <w:proofErr w:type="spellStart"/>
      <w:r w:rsidR="00A74796" w:rsidRPr="007214E1">
        <w:rPr>
          <w:rFonts w:ascii="Book Antiqua" w:hAnsi="Book Antiqua"/>
          <w:i/>
        </w:rPr>
        <w:t>vs</w:t>
      </w:r>
      <w:proofErr w:type="spellEnd"/>
      <w:r w:rsidR="00A74796" w:rsidRPr="007214E1">
        <w:rPr>
          <w:rFonts w:ascii="Book Antiqua" w:hAnsi="Book Antiqua"/>
        </w:rPr>
        <w:t xml:space="preserve"> sorafenib</w:t>
      </w:r>
      <w:r w:rsidR="00DA2078" w:rsidRPr="007214E1">
        <w:rPr>
          <w:rFonts w:ascii="Book Antiqua" w:hAnsi="Book Antiqua"/>
        </w:rPr>
        <w:t xml:space="preserve"> </w:t>
      </w:r>
      <w:r w:rsidR="001E5F9A" w:rsidRPr="007214E1">
        <w:rPr>
          <w:rFonts w:ascii="Book Antiqua" w:hAnsi="Book Antiqua"/>
        </w:rPr>
        <w:t xml:space="preserve">as first-line therapy </w:t>
      </w:r>
      <w:r w:rsidR="00A74796" w:rsidRPr="007214E1">
        <w:rPr>
          <w:rFonts w:ascii="Book Antiqua" w:hAnsi="Book Antiqua"/>
        </w:rPr>
        <w:t xml:space="preserve">in a multi-national group of patients with advanced </w:t>
      </w:r>
      <w:proofErr w:type="gramStart"/>
      <w:r w:rsidR="00A74796" w:rsidRPr="007214E1">
        <w:rPr>
          <w:rFonts w:ascii="Book Antiqua" w:hAnsi="Book Antiqua"/>
        </w:rPr>
        <w:t>HCC</w:t>
      </w:r>
      <w:r w:rsidR="00436B48" w:rsidRPr="007214E1">
        <w:rPr>
          <w:rFonts w:ascii="Book Antiqua" w:hAnsi="Book Antiqua"/>
          <w:vertAlign w:val="superscript"/>
        </w:rPr>
        <w:t>[</w:t>
      </w:r>
      <w:proofErr w:type="gramEnd"/>
      <w:r w:rsidR="00EA6563" w:rsidRPr="007214E1">
        <w:rPr>
          <w:rFonts w:ascii="Book Antiqua" w:hAnsi="Book Antiqua"/>
          <w:vertAlign w:val="superscript"/>
        </w:rPr>
        <w:t>7</w:t>
      </w:r>
      <w:r w:rsidR="00782715" w:rsidRPr="007214E1">
        <w:rPr>
          <w:rFonts w:ascii="Book Antiqua" w:hAnsi="Book Antiqua"/>
          <w:vertAlign w:val="superscript"/>
        </w:rPr>
        <w:t>7</w:t>
      </w:r>
      <w:r w:rsidR="00A52934" w:rsidRPr="007214E1">
        <w:rPr>
          <w:rFonts w:ascii="Book Antiqua" w:hAnsi="Book Antiqua"/>
          <w:vertAlign w:val="superscript"/>
        </w:rPr>
        <w:t>]</w:t>
      </w:r>
      <w:r w:rsidR="00B32708" w:rsidRPr="007214E1">
        <w:rPr>
          <w:rFonts w:ascii="Book Antiqua" w:eastAsia="宋体" w:hAnsi="Book Antiqua"/>
          <w:lang w:eastAsia="zh-CN"/>
        </w:rPr>
        <w:t xml:space="preserve"> (Table 5)</w:t>
      </w:r>
      <w:r w:rsidR="00A52934" w:rsidRPr="007214E1">
        <w:rPr>
          <w:rFonts w:ascii="Book Antiqua" w:hAnsi="Book Antiqua"/>
        </w:rPr>
        <w:t>.</w:t>
      </w:r>
    </w:p>
    <w:p w14:paraId="7FD80B8F" w14:textId="270F8B44" w:rsidR="00916A4B" w:rsidRPr="007214E1" w:rsidRDefault="00916A4B" w:rsidP="00EB43EE">
      <w:pPr>
        <w:snapToGrid w:val="0"/>
        <w:spacing w:line="360" w:lineRule="auto"/>
        <w:jc w:val="both"/>
        <w:rPr>
          <w:rFonts w:ascii="Book Antiqua" w:hAnsi="Book Antiqua"/>
          <w:i/>
        </w:rPr>
      </w:pPr>
    </w:p>
    <w:p w14:paraId="1A5E6D99" w14:textId="6FE776AE" w:rsidR="00696032" w:rsidRPr="007214E1" w:rsidRDefault="00696032" w:rsidP="00EB43EE">
      <w:pPr>
        <w:snapToGrid w:val="0"/>
        <w:spacing w:line="360" w:lineRule="auto"/>
        <w:jc w:val="both"/>
        <w:rPr>
          <w:rFonts w:ascii="Book Antiqua" w:hAnsi="Book Antiqua"/>
          <w:b/>
          <w:i/>
        </w:rPr>
      </w:pPr>
      <w:r w:rsidRPr="007214E1">
        <w:rPr>
          <w:rFonts w:ascii="Book Antiqua" w:hAnsi="Book Antiqua"/>
          <w:b/>
          <w:i/>
        </w:rPr>
        <w:t xml:space="preserve">Lenvatinib </w:t>
      </w:r>
      <w:r w:rsidR="000F03C9" w:rsidRPr="007214E1">
        <w:rPr>
          <w:rFonts w:ascii="Book Antiqua" w:hAnsi="Book Antiqua"/>
          <w:b/>
          <w:i/>
        </w:rPr>
        <w:t>plus checkpoint inhibitors</w:t>
      </w:r>
    </w:p>
    <w:p w14:paraId="2DBC80E1" w14:textId="75728F74" w:rsidR="00E07BBC" w:rsidRPr="007214E1" w:rsidRDefault="00404CC3" w:rsidP="00EB43EE">
      <w:pPr>
        <w:snapToGrid w:val="0"/>
        <w:spacing w:line="360" w:lineRule="auto"/>
        <w:jc w:val="both"/>
        <w:rPr>
          <w:rFonts w:ascii="Book Antiqua" w:hAnsi="Book Antiqua"/>
          <w:i/>
          <w:color w:val="000000"/>
          <w:shd w:val="clear" w:color="auto" w:fill="FFFFFF"/>
        </w:rPr>
      </w:pPr>
      <w:r w:rsidRPr="007214E1">
        <w:rPr>
          <w:rFonts w:ascii="Book Antiqua" w:hAnsi="Book Antiqua"/>
        </w:rPr>
        <w:t xml:space="preserve">A </w:t>
      </w:r>
      <w:r w:rsidR="00F8075A" w:rsidRPr="007214E1">
        <w:rPr>
          <w:rFonts w:ascii="Book Antiqua" w:hAnsi="Book Antiqua"/>
        </w:rPr>
        <w:t xml:space="preserve">phase 1b trial </w:t>
      </w:r>
      <w:r w:rsidR="00596F87" w:rsidRPr="007214E1">
        <w:rPr>
          <w:rFonts w:ascii="Book Antiqua" w:hAnsi="Book Antiqua"/>
        </w:rPr>
        <w:t xml:space="preserve">(NCT03006926) </w:t>
      </w:r>
      <w:r w:rsidR="00F8075A" w:rsidRPr="007214E1">
        <w:rPr>
          <w:rFonts w:ascii="Book Antiqua" w:hAnsi="Book Antiqua"/>
        </w:rPr>
        <w:t xml:space="preserve">in which 18 patients were given a combination of </w:t>
      </w:r>
      <w:proofErr w:type="spellStart"/>
      <w:r w:rsidR="00F8075A" w:rsidRPr="007214E1">
        <w:rPr>
          <w:rFonts w:ascii="Book Antiqua" w:hAnsi="Book Antiqua"/>
        </w:rPr>
        <w:t>lenvatinib</w:t>
      </w:r>
      <w:proofErr w:type="spellEnd"/>
      <w:r w:rsidR="00F8075A" w:rsidRPr="007214E1">
        <w:rPr>
          <w:rFonts w:ascii="Book Antiqua" w:hAnsi="Book Antiqua"/>
        </w:rPr>
        <w:t xml:space="preserve"> and </w:t>
      </w:r>
      <w:proofErr w:type="spellStart"/>
      <w:r w:rsidR="00F8075A" w:rsidRPr="007214E1">
        <w:rPr>
          <w:rFonts w:ascii="Book Antiqua" w:hAnsi="Book Antiqua"/>
        </w:rPr>
        <w:t>pembrolizumab</w:t>
      </w:r>
      <w:proofErr w:type="spellEnd"/>
      <w:r w:rsidR="00F8075A" w:rsidRPr="007214E1">
        <w:rPr>
          <w:rFonts w:ascii="Book Antiqua" w:hAnsi="Book Antiqua"/>
        </w:rPr>
        <w:t xml:space="preserve"> demonstrated an acceptable safety profile, with hypertension and poor appetite reported as the most common adverse </w:t>
      </w:r>
      <w:proofErr w:type="gramStart"/>
      <w:r w:rsidR="00F8075A" w:rsidRPr="007214E1">
        <w:rPr>
          <w:rFonts w:ascii="Book Antiqua" w:hAnsi="Book Antiqua"/>
        </w:rPr>
        <w:t>effects</w:t>
      </w:r>
      <w:r w:rsidR="00F8075A" w:rsidRPr="007214E1">
        <w:rPr>
          <w:rFonts w:ascii="Book Antiqua" w:hAnsi="Book Antiqua"/>
          <w:vertAlign w:val="superscript"/>
        </w:rPr>
        <w:t>[</w:t>
      </w:r>
      <w:proofErr w:type="gramEnd"/>
      <w:r w:rsidR="00A3230F" w:rsidRPr="007214E1">
        <w:rPr>
          <w:rFonts w:ascii="Book Antiqua" w:hAnsi="Book Antiqua"/>
          <w:vertAlign w:val="superscript"/>
        </w:rPr>
        <w:t>7</w:t>
      </w:r>
      <w:r w:rsidR="00AD211B" w:rsidRPr="007214E1">
        <w:rPr>
          <w:rFonts w:ascii="Book Antiqua" w:hAnsi="Book Antiqua"/>
          <w:vertAlign w:val="superscript"/>
        </w:rPr>
        <w:t>8</w:t>
      </w:r>
      <w:r w:rsidR="00F8075A" w:rsidRPr="007214E1">
        <w:rPr>
          <w:rFonts w:ascii="Book Antiqua" w:hAnsi="Book Antiqua"/>
          <w:vertAlign w:val="superscript"/>
        </w:rPr>
        <w:t>]</w:t>
      </w:r>
      <w:r w:rsidR="00F8075A" w:rsidRPr="007214E1">
        <w:rPr>
          <w:rFonts w:ascii="Book Antiqua" w:hAnsi="Book Antiqua"/>
        </w:rPr>
        <w:t xml:space="preserve">. </w:t>
      </w:r>
      <w:r w:rsidR="005C2CC6" w:rsidRPr="007214E1">
        <w:rPr>
          <w:rFonts w:ascii="Book Antiqua" w:hAnsi="Book Antiqua"/>
        </w:rPr>
        <w:t xml:space="preserve">One </w:t>
      </w:r>
      <w:r w:rsidR="00F8075A" w:rsidRPr="007214E1">
        <w:rPr>
          <w:rFonts w:ascii="Book Antiqua" w:hAnsi="Book Antiqua"/>
        </w:rPr>
        <w:t xml:space="preserve">phase II </w:t>
      </w:r>
      <w:r w:rsidR="005C2CC6" w:rsidRPr="007214E1">
        <w:rPr>
          <w:rFonts w:ascii="Book Antiqua" w:hAnsi="Book Antiqua"/>
        </w:rPr>
        <w:t>study (</w:t>
      </w:r>
      <w:r w:rsidR="00DA6AD1" w:rsidRPr="007214E1">
        <w:rPr>
          <w:rFonts w:ascii="Book Antiqua" w:hAnsi="Book Antiqua"/>
        </w:rPr>
        <w:t xml:space="preserve">NCT03841201) will test the combination of </w:t>
      </w:r>
      <w:proofErr w:type="spellStart"/>
      <w:r w:rsidR="00DA6AD1" w:rsidRPr="007214E1">
        <w:rPr>
          <w:rFonts w:ascii="Book Antiqua" w:hAnsi="Book Antiqua"/>
        </w:rPr>
        <w:t>lenvatinib</w:t>
      </w:r>
      <w:proofErr w:type="spellEnd"/>
      <w:r w:rsidR="00DA6AD1" w:rsidRPr="007214E1">
        <w:rPr>
          <w:rFonts w:ascii="Book Antiqua" w:hAnsi="Book Antiqua"/>
        </w:rPr>
        <w:t xml:space="preserve"> and </w:t>
      </w:r>
      <w:proofErr w:type="spellStart"/>
      <w:r w:rsidR="00DA6AD1" w:rsidRPr="007214E1">
        <w:rPr>
          <w:rFonts w:ascii="Book Antiqua" w:hAnsi="Book Antiqua"/>
        </w:rPr>
        <w:t>nivolumab</w:t>
      </w:r>
      <w:proofErr w:type="spellEnd"/>
      <w:r w:rsidR="00DA6AD1" w:rsidRPr="007214E1">
        <w:rPr>
          <w:rFonts w:ascii="Book Antiqua" w:hAnsi="Book Antiqua"/>
        </w:rPr>
        <w:t xml:space="preserve"> in a cohort of patients from </w:t>
      </w:r>
      <w:r w:rsidR="00933B8A" w:rsidRPr="007214E1">
        <w:rPr>
          <w:rFonts w:ascii="Book Antiqua" w:hAnsi="Book Antiqua"/>
        </w:rPr>
        <w:t>a German medical center with ORR and safety and tolerability measures as the primary endpoints</w:t>
      </w:r>
      <w:r w:rsidR="00933B8A" w:rsidRPr="007214E1">
        <w:rPr>
          <w:rFonts w:ascii="Book Antiqua" w:hAnsi="Book Antiqua"/>
          <w:vertAlign w:val="superscript"/>
        </w:rPr>
        <w:t>[7</w:t>
      </w:r>
      <w:r w:rsidR="00AD211B" w:rsidRPr="007214E1">
        <w:rPr>
          <w:rFonts w:ascii="Book Antiqua" w:hAnsi="Book Antiqua"/>
          <w:vertAlign w:val="superscript"/>
        </w:rPr>
        <w:t>9</w:t>
      </w:r>
      <w:r w:rsidR="00933B8A" w:rsidRPr="007214E1">
        <w:rPr>
          <w:rFonts w:ascii="Book Antiqua" w:hAnsi="Book Antiqua"/>
          <w:vertAlign w:val="superscript"/>
        </w:rPr>
        <w:t>]</w:t>
      </w:r>
      <w:r w:rsidR="00B32708" w:rsidRPr="007214E1">
        <w:rPr>
          <w:rFonts w:ascii="Book Antiqua" w:eastAsia="宋体" w:hAnsi="Book Antiqua"/>
          <w:lang w:eastAsia="zh-CN"/>
        </w:rPr>
        <w:t xml:space="preserve"> (Table 5)</w:t>
      </w:r>
      <w:r w:rsidR="00933B8A" w:rsidRPr="007214E1">
        <w:rPr>
          <w:rFonts w:ascii="Book Antiqua" w:hAnsi="Book Antiqua"/>
        </w:rPr>
        <w:t>. A</w:t>
      </w:r>
      <w:r w:rsidR="00DA6AD1" w:rsidRPr="007214E1">
        <w:rPr>
          <w:rFonts w:ascii="Book Antiqua" w:hAnsi="Book Antiqua"/>
        </w:rPr>
        <w:t xml:space="preserve"> phase </w:t>
      </w:r>
      <w:r w:rsidR="00F8075A" w:rsidRPr="007214E1">
        <w:rPr>
          <w:rFonts w:ascii="Book Antiqua" w:hAnsi="Book Antiqua"/>
        </w:rPr>
        <w:t>III stud</w:t>
      </w:r>
      <w:r w:rsidR="00DA6AD1" w:rsidRPr="007214E1">
        <w:rPr>
          <w:rFonts w:ascii="Book Antiqua" w:hAnsi="Book Antiqua"/>
        </w:rPr>
        <w:t>y (</w:t>
      </w:r>
      <w:r w:rsidR="00F8075A" w:rsidRPr="007214E1">
        <w:rPr>
          <w:rFonts w:ascii="Book Antiqua" w:hAnsi="Book Antiqua"/>
          <w:color w:val="000000"/>
          <w:shd w:val="clear" w:color="auto" w:fill="FFFFFF"/>
        </w:rPr>
        <w:t>NCT03713593</w:t>
      </w:r>
      <w:r w:rsidR="00DA6AD1" w:rsidRPr="007214E1">
        <w:rPr>
          <w:rFonts w:ascii="Book Antiqua" w:hAnsi="Book Antiqua"/>
          <w:color w:val="000000"/>
          <w:shd w:val="clear" w:color="auto" w:fill="FFFFFF"/>
        </w:rPr>
        <w:t>)</w:t>
      </w:r>
      <w:r w:rsidR="007B4DC7" w:rsidRPr="007214E1">
        <w:rPr>
          <w:rFonts w:ascii="Book Antiqua" w:hAnsi="Book Antiqua"/>
          <w:color w:val="000000"/>
          <w:shd w:val="clear" w:color="auto" w:fill="FFFFFF"/>
        </w:rPr>
        <w:t xml:space="preserve"> </w:t>
      </w:r>
      <w:r w:rsidR="00933B8A" w:rsidRPr="007214E1">
        <w:rPr>
          <w:rFonts w:ascii="Book Antiqua" w:hAnsi="Book Antiqua"/>
          <w:color w:val="000000"/>
          <w:shd w:val="clear" w:color="auto" w:fill="FFFFFF"/>
        </w:rPr>
        <w:t xml:space="preserve">sponsored by Merck </w:t>
      </w:r>
      <w:r w:rsidR="00DA6AD1" w:rsidRPr="007214E1">
        <w:rPr>
          <w:rFonts w:ascii="Book Antiqua" w:hAnsi="Book Antiqua"/>
          <w:color w:val="000000"/>
          <w:shd w:val="clear" w:color="auto" w:fill="FFFFFF"/>
        </w:rPr>
        <w:t xml:space="preserve">will </w:t>
      </w:r>
      <w:r w:rsidR="00B2569E" w:rsidRPr="007214E1">
        <w:rPr>
          <w:rFonts w:ascii="Book Antiqua" w:hAnsi="Book Antiqua"/>
          <w:color w:val="000000"/>
          <w:shd w:val="clear" w:color="auto" w:fill="FFFFFF"/>
        </w:rPr>
        <w:t>test</w:t>
      </w:r>
      <w:r w:rsidR="00DA6AD1" w:rsidRPr="007214E1">
        <w:rPr>
          <w:rFonts w:ascii="Book Antiqua" w:hAnsi="Book Antiqua"/>
          <w:color w:val="000000"/>
          <w:shd w:val="clear" w:color="auto" w:fill="FFFFFF"/>
        </w:rPr>
        <w:t xml:space="preserve"> the combination</w:t>
      </w:r>
      <w:r w:rsidR="004617E3" w:rsidRPr="007214E1">
        <w:rPr>
          <w:rFonts w:ascii="Book Antiqua" w:hAnsi="Book Antiqua"/>
          <w:color w:val="000000"/>
          <w:shd w:val="clear" w:color="auto" w:fill="FFFFFF"/>
        </w:rPr>
        <w:t xml:space="preserve"> of</w:t>
      </w:r>
      <w:r w:rsidR="001D609F" w:rsidRPr="007214E1">
        <w:rPr>
          <w:rFonts w:ascii="Book Antiqua" w:hAnsi="Book Antiqua"/>
          <w:color w:val="000000"/>
          <w:shd w:val="clear" w:color="auto" w:fill="FFFFFF"/>
        </w:rPr>
        <w:t xml:space="preserve"> </w:t>
      </w:r>
      <w:proofErr w:type="spellStart"/>
      <w:r w:rsidR="001D609F" w:rsidRPr="007214E1">
        <w:rPr>
          <w:rFonts w:ascii="Book Antiqua" w:hAnsi="Book Antiqua"/>
          <w:color w:val="000000"/>
          <w:shd w:val="clear" w:color="auto" w:fill="FFFFFF"/>
        </w:rPr>
        <w:t>lenvatinib</w:t>
      </w:r>
      <w:proofErr w:type="spellEnd"/>
      <w:r w:rsidR="001D609F" w:rsidRPr="007214E1">
        <w:rPr>
          <w:rFonts w:ascii="Book Antiqua" w:hAnsi="Book Antiqua"/>
          <w:color w:val="000000"/>
          <w:shd w:val="clear" w:color="auto" w:fill="FFFFFF"/>
        </w:rPr>
        <w:t xml:space="preserve"> plus </w:t>
      </w:r>
      <w:proofErr w:type="spellStart"/>
      <w:r w:rsidR="001D609F" w:rsidRPr="007214E1">
        <w:rPr>
          <w:rFonts w:ascii="Book Antiqua" w:hAnsi="Book Antiqua"/>
          <w:color w:val="000000"/>
          <w:shd w:val="clear" w:color="auto" w:fill="FFFFFF"/>
        </w:rPr>
        <w:t>pembrolizumab</w:t>
      </w:r>
      <w:proofErr w:type="spellEnd"/>
      <w:r w:rsidR="00DA6AD1" w:rsidRPr="007214E1">
        <w:rPr>
          <w:rFonts w:ascii="Book Antiqua" w:hAnsi="Book Antiqua"/>
          <w:color w:val="000000"/>
          <w:shd w:val="clear" w:color="auto" w:fill="FFFFFF"/>
        </w:rPr>
        <w:t xml:space="preserve"> </w:t>
      </w:r>
      <w:r w:rsidR="00B2569E" w:rsidRPr="007214E1">
        <w:rPr>
          <w:rFonts w:ascii="Book Antiqua" w:hAnsi="Book Antiqua"/>
          <w:color w:val="000000"/>
          <w:shd w:val="clear" w:color="auto" w:fill="FFFFFF"/>
        </w:rPr>
        <w:t>in</w:t>
      </w:r>
      <w:r w:rsidR="00DA6AD1" w:rsidRPr="007214E1">
        <w:rPr>
          <w:rFonts w:ascii="Book Antiqua" w:hAnsi="Book Antiqua"/>
          <w:color w:val="000000"/>
          <w:shd w:val="clear" w:color="auto" w:fill="FFFFFF"/>
        </w:rPr>
        <w:t xml:space="preserve"> a</w:t>
      </w:r>
      <w:r w:rsidR="00417B1F" w:rsidRPr="007214E1">
        <w:rPr>
          <w:rFonts w:ascii="Book Antiqua" w:hAnsi="Book Antiqua"/>
          <w:color w:val="000000"/>
          <w:shd w:val="clear" w:color="auto" w:fill="FFFFFF"/>
        </w:rPr>
        <w:t xml:space="preserve">n international </w:t>
      </w:r>
      <w:r w:rsidR="00DA6AD1" w:rsidRPr="007214E1">
        <w:rPr>
          <w:rFonts w:ascii="Book Antiqua" w:hAnsi="Book Antiqua"/>
          <w:color w:val="000000"/>
          <w:shd w:val="clear" w:color="auto" w:fill="FFFFFF"/>
        </w:rPr>
        <w:t>cohort of approximately 750 patients with advanced HCC</w:t>
      </w:r>
      <w:r w:rsidR="00CE3CCB" w:rsidRPr="007214E1">
        <w:rPr>
          <w:rFonts w:ascii="Book Antiqua" w:hAnsi="Book Antiqua"/>
          <w:color w:val="000000"/>
          <w:shd w:val="clear" w:color="auto" w:fill="FFFFFF"/>
        </w:rPr>
        <w:t xml:space="preserve"> with PFS and OS as the primary </w:t>
      </w:r>
      <w:proofErr w:type="gramStart"/>
      <w:r w:rsidR="00CE3CCB" w:rsidRPr="007214E1">
        <w:rPr>
          <w:rFonts w:ascii="Book Antiqua" w:hAnsi="Book Antiqua"/>
          <w:color w:val="000000"/>
          <w:shd w:val="clear" w:color="auto" w:fill="FFFFFF"/>
        </w:rPr>
        <w:t>endpoints</w:t>
      </w:r>
      <w:r w:rsidR="000B1873" w:rsidRPr="007214E1">
        <w:rPr>
          <w:rFonts w:ascii="Book Antiqua" w:hAnsi="Book Antiqua"/>
          <w:color w:val="000000"/>
          <w:shd w:val="clear" w:color="auto" w:fill="FFFFFF"/>
          <w:vertAlign w:val="superscript"/>
        </w:rPr>
        <w:t>[</w:t>
      </w:r>
      <w:proofErr w:type="gramEnd"/>
      <w:r w:rsidR="00AD211B" w:rsidRPr="007214E1">
        <w:rPr>
          <w:rFonts w:ascii="Book Antiqua" w:hAnsi="Book Antiqua"/>
          <w:color w:val="000000"/>
          <w:shd w:val="clear" w:color="auto" w:fill="FFFFFF"/>
          <w:vertAlign w:val="superscript"/>
        </w:rPr>
        <w:t>80</w:t>
      </w:r>
      <w:r w:rsidR="000B1873" w:rsidRPr="007214E1">
        <w:rPr>
          <w:rFonts w:ascii="Book Antiqua" w:hAnsi="Book Antiqua"/>
          <w:color w:val="000000"/>
          <w:shd w:val="clear" w:color="auto" w:fill="FFFFFF"/>
          <w:vertAlign w:val="superscript"/>
        </w:rPr>
        <w:t>]</w:t>
      </w:r>
      <w:r w:rsidR="00F8075A" w:rsidRPr="007214E1">
        <w:rPr>
          <w:rFonts w:ascii="Book Antiqua" w:hAnsi="Book Antiqua"/>
          <w:color w:val="000000"/>
          <w:shd w:val="clear" w:color="auto" w:fill="FFFFFF"/>
        </w:rPr>
        <w:t>.</w:t>
      </w:r>
      <w:r w:rsidR="00013490" w:rsidRPr="007214E1">
        <w:rPr>
          <w:rFonts w:ascii="Book Antiqua" w:hAnsi="Book Antiqua"/>
          <w:color w:val="000000"/>
          <w:shd w:val="clear" w:color="auto" w:fill="FFFFFF"/>
        </w:rPr>
        <w:t xml:space="preserve"> </w:t>
      </w:r>
      <w:r w:rsidR="001D609F" w:rsidRPr="007214E1">
        <w:rPr>
          <w:rFonts w:ascii="Book Antiqua" w:hAnsi="Book Antiqua"/>
          <w:color w:val="000000"/>
          <w:shd w:val="clear" w:color="auto" w:fill="FFFFFF"/>
        </w:rPr>
        <w:t xml:space="preserve">Patients will be randomized to receive either </w:t>
      </w:r>
      <w:proofErr w:type="spellStart"/>
      <w:r w:rsidR="001D609F" w:rsidRPr="007214E1">
        <w:rPr>
          <w:rFonts w:ascii="Book Antiqua" w:hAnsi="Book Antiqua"/>
          <w:color w:val="000000"/>
          <w:shd w:val="clear" w:color="auto" w:fill="FFFFFF"/>
        </w:rPr>
        <w:t>lenvatinib</w:t>
      </w:r>
      <w:proofErr w:type="spellEnd"/>
      <w:r w:rsidR="001D609F" w:rsidRPr="007214E1">
        <w:rPr>
          <w:rFonts w:ascii="Book Antiqua" w:hAnsi="Book Antiqua"/>
          <w:color w:val="000000"/>
          <w:shd w:val="clear" w:color="auto" w:fill="FFFFFF"/>
        </w:rPr>
        <w:t xml:space="preserve"> plus </w:t>
      </w:r>
      <w:proofErr w:type="spellStart"/>
      <w:r w:rsidR="001D609F" w:rsidRPr="007214E1">
        <w:rPr>
          <w:rFonts w:ascii="Book Antiqua" w:hAnsi="Book Antiqua"/>
          <w:color w:val="000000"/>
          <w:shd w:val="clear" w:color="auto" w:fill="FFFFFF"/>
        </w:rPr>
        <w:t>pembrolizumab</w:t>
      </w:r>
      <w:proofErr w:type="spellEnd"/>
      <w:r w:rsidR="001D609F" w:rsidRPr="007214E1">
        <w:rPr>
          <w:rFonts w:ascii="Book Antiqua" w:hAnsi="Book Antiqua"/>
          <w:color w:val="000000"/>
          <w:shd w:val="clear" w:color="auto" w:fill="FFFFFF"/>
        </w:rPr>
        <w:t xml:space="preserve"> or </w:t>
      </w:r>
      <w:proofErr w:type="spellStart"/>
      <w:r w:rsidR="001D609F" w:rsidRPr="007214E1">
        <w:rPr>
          <w:rFonts w:ascii="Book Antiqua" w:hAnsi="Book Antiqua"/>
          <w:color w:val="000000"/>
          <w:shd w:val="clear" w:color="auto" w:fill="FFFFFF"/>
        </w:rPr>
        <w:t>lenvatinib</w:t>
      </w:r>
      <w:proofErr w:type="spellEnd"/>
      <w:r w:rsidR="001D609F" w:rsidRPr="007214E1">
        <w:rPr>
          <w:rFonts w:ascii="Book Antiqua" w:hAnsi="Book Antiqua"/>
          <w:color w:val="000000"/>
          <w:shd w:val="clear" w:color="auto" w:fill="FFFFFF"/>
        </w:rPr>
        <w:t xml:space="preserve"> plus </w:t>
      </w:r>
      <w:proofErr w:type="gramStart"/>
      <w:r w:rsidR="001D609F" w:rsidRPr="007214E1">
        <w:rPr>
          <w:rFonts w:ascii="Book Antiqua" w:hAnsi="Book Antiqua"/>
          <w:color w:val="000000"/>
          <w:shd w:val="clear" w:color="auto" w:fill="FFFFFF"/>
        </w:rPr>
        <w:t>placebo</w:t>
      </w:r>
      <w:r w:rsidR="001D609F" w:rsidRPr="007214E1">
        <w:rPr>
          <w:rFonts w:ascii="Book Antiqua" w:hAnsi="Book Antiqua"/>
          <w:color w:val="000000"/>
          <w:shd w:val="clear" w:color="auto" w:fill="FFFFFF"/>
          <w:vertAlign w:val="superscript"/>
        </w:rPr>
        <w:t>[</w:t>
      </w:r>
      <w:proofErr w:type="gramEnd"/>
      <w:r w:rsidR="00AD211B" w:rsidRPr="007214E1">
        <w:rPr>
          <w:rFonts w:ascii="Book Antiqua" w:hAnsi="Book Antiqua"/>
          <w:color w:val="000000"/>
          <w:shd w:val="clear" w:color="auto" w:fill="FFFFFF"/>
          <w:vertAlign w:val="superscript"/>
        </w:rPr>
        <w:t>80</w:t>
      </w:r>
      <w:r w:rsidR="001D609F" w:rsidRPr="007214E1">
        <w:rPr>
          <w:rFonts w:ascii="Book Antiqua" w:hAnsi="Book Antiqua"/>
          <w:color w:val="000000"/>
          <w:shd w:val="clear" w:color="auto" w:fill="FFFFFF"/>
          <w:vertAlign w:val="superscript"/>
        </w:rPr>
        <w:t>]</w:t>
      </w:r>
      <w:r w:rsidR="00B32708" w:rsidRPr="007214E1">
        <w:rPr>
          <w:rFonts w:ascii="Book Antiqua" w:eastAsia="宋体" w:hAnsi="Book Antiqua"/>
          <w:lang w:eastAsia="zh-CN"/>
        </w:rPr>
        <w:t xml:space="preserve"> (Table 5)</w:t>
      </w:r>
      <w:r w:rsidR="001D609F" w:rsidRPr="007214E1">
        <w:rPr>
          <w:rFonts w:ascii="Book Antiqua" w:hAnsi="Book Antiqua"/>
          <w:color w:val="000000"/>
          <w:shd w:val="clear" w:color="auto" w:fill="FFFFFF"/>
        </w:rPr>
        <w:t>.</w:t>
      </w:r>
    </w:p>
    <w:p w14:paraId="76A71CDC" w14:textId="7C7AF49B" w:rsidR="00E07BBC" w:rsidRPr="007214E1" w:rsidRDefault="00E07BBC" w:rsidP="00EB43EE">
      <w:pPr>
        <w:snapToGrid w:val="0"/>
        <w:spacing w:line="360" w:lineRule="auto"/>
        <w:jc w:val="both"/>
        <w:rPr>
          <w:rFonts w:ascii="Book Antiqua" w:hAnsi="Book Antiqua"/>
          <w:i/>
        </w:rPr>
      </w:pPr>
    </w:p>
    <w:p w14:paraId="61A5B992" w14:textId="7106CB6D" w:rsidR="00696032" w:rsidRPr="007214E1" w:rsidRDefault="00696032" w:rsidP="00EB43EE">
      <w:pPr>
        <w:snapToGrid w:val="0"/>
        <w:spacing w:line="360" w:lineRule="auto"/>
        <w:jc w:val="both"/>
        <w:rPr>
          <w:rFonts w:ascii="Book Antiqua" w:hAnsi="Book Antiqua"/>
          <w:b/>
          <w:i/>
        </w:rPr>
      </w:pPr>
      <w:r w:rsidRPr="007214E1">
        <w:rPr>
          <w:rFonts w:ascii="Book Antiqua" w:hAnsi="Book Antiqua"/>
          <w:b/>
          <w:i/>
        </w:rPr>
        <w:t xml:space="preserve">Regorafenib </w:t>
      </w:r>
      <w:r w:rsidR="000F03C9" w:rsidRPr="007214E1">
        <w:rPr>
          <w:rFonts w:ascii="Book Antiqua" w:hAnsi="Book Antiqua"/>
          <w:b/>
          <w:i/>
        </w:rPr>
        <w:t>plus checkpoint inhibitors</w:t>
      </w:r>
    </w:p>
    <w:p w14:paraId="265B948E" w14:textId="12E3B8D7" w:rsidR="00891B62" w:rsidRPr="007214E1" w:rsidRDefault="001E5F9A" w:rsidP="00EB43EE">
      <w:pPr>
        <w:snapToGrid w:val="0"/>
        <w:spacing w:line="360" w:lineRule="auto"/>
        <w:jc w:val="both"/>
        <w:rPr>
          <w:rFonts w:ascii="Book Antiqua" w:hAnsi="Book Antiqua"/>
          <w:color w:val="000000"/>
          <w:shd w:val="clear" w:color="auto" w:fill="FFFFFF"/>
        </w:rPr>
      </w:pPr>
      <w:r w:rsidRPr="007214E1">
        <w:rPr>
          <w:rFonts w:ascii="Book Antiqua" w:hAnsi="Book Antiqua"/>
        </w:rPr>
        <w:t xml:space="preserve">Multiple studies evaluating regorafenib in conjunction with PD-1 inhibitors are </w:t>
      </w:r>
      <w:r w:rsidR="00CE3CCB" w:rsidRPr="007214E1">
        <w:rPr>
          <w:rFonts w:ascii="Book Antiqua" w:hAnsi="Book Antiqua"/>
        </w:rPr>
        <w:t>active</w:t>
      </w:r>
      <w:r w:rsidR="00596F87" w:rsidRPr="007214E1">
        <w:rPr>
          <w:rFonts w:ascii="Book Antiqua" w:hAnsi="Book Antiqua"/>
        </w:rPr>
        <w:t xml:space="preserve">. They include a phase </w:t>
      </w:r>
      <w:proofErr w:type="spellStart"/>
      <w:r w:rsidR="00596F87" w:rsidRPr="007214E1">
        <w:rPr>
          <w:rFonts w:ascii="Book Antiqua" w:hAnsi="Book Antiqua"/>
        </w:rPr>
        <w:t>I</w:t>
      </w:r>
      <w:r w:rsidR="001D609F" w:rsidRPr="007214E1">
        <w:rPr>
          <w:rFonts w:ascii="Book Antiqua" w:hAnsi="Book Antiqua"/>
        </w:rPr>
        <w:t>b</w:t>
      </w:r>
      <w:proofErr w:type="spellEnd"/>
      <w:r w:rsidR="00596F87" w:rsidRPr="007214E1">
        <w:rPr>
          <w:rFonts w:ascii="Book Antiqua" w:hAnsi="Book Antiqua"/>
        </w:rPr>
        <w:t xml:space="preserve"> trial </w:t>
      </w:r>
      <w:r w:rsidR="00417B1F" w:rsidRPr="007214E1">
        <w:rPr>
          <w:rFonts w:ascii="Book Antiqua" w:hAnsi="Book Antiqua"/>
        </w:rPr>
        <w:t xml:space="preserve">sponsored </w:t>
      </w:r>
      <w:r w:rsidR="00596F87" w:rsidRPr="007214E1">
        <w:rPr>
          <w:rFonts w:ascii="Book Antiqua" w:hAnsi="Book Antiqua"/>
        </w:rPr>
        <w:t xml:space="preserve">by </w:t>
      </w:r>
      <w:proofErr w:type="gramStart"/>
      <w:r w:rsidR="00596F87" w:rsidRPr="007214E1">
        <w:rPr>
          <w:rFonts w:ascii="Book Antiqua" w:hAnsi="Book Antiqua"/>
        </w:rPr>
        <w:t>Bayer</w:t>
      </w:r>
      <w:r w:rsidR="000F03C9" w:rsidRPr="007214E1">
        <w:rPr>
          <w:rFonts w:ascii="Book Antiqua" w:hAnsi="Book Antiqua"/>
          <w:vertAlign w:val="superscript"/>
        </w:rPr>
        <w:t>[</w:t>
      </w:r>
      <w:proofErr w:type="gramEnd"/>
      <w:r w:rsidR="000F03C9" w:rsidRPr="007214E1">
        <w:rPr>
          <w:rFonts w:ascii="Book Antiqua" w:hAnsi="Book Antiqua"/>
          <w:vertAlign w:val="superscript"/>
        </w:rPr>
        <w:t>81]</w:t>
      </w:r>
      <w:r w:rsidR="00596F87" w:rsidRPr="007214E1">
        <w:rPr>
          <w:rFonts w:ascii="Book Antiqua" w:hAnsi="Book Antiqua"/>
        </w:rPr>
        <w:t xml:space="preserve"> that will </w:t>
      </w:r>
      <w:r w:rsidR="00AD211B" w:rsidRPr="007214E1">
        <w:rPr>
          <w:rFonts w:ascii="Book Antiqua" w:hAnsi="Book Antiqua"/>
        </w:rPr>
        <w:t>elucidate</w:t>
      </w:r>
      <w:r w:rsidR="00596F87" w:rsidRPr="007214E1">
        <w:rPr>
          <w:rFonts w:ascii="Book Antiqua" w:hAnsi="Book Antiqua"/>
        </w:rPr>
        <w:t xml:space="preserve"> the safety profile of regorafenib plus pembrolizumab. </w:t>
      </w:r>
      <w:r w:rsidR="001D609F" w:rsidRPr="007214E1">
        <w:rPr>
          <w:rFonts w:ascii="Book Antiqua" w:hAnsi="Book Antiqua"/>
        </w:rPr>
        <w:t>Recent results were presented at the Americ</w:t>
      </w:r>
      <w:r w:rsidR="000F03C9" w:rsidRPr="007214E1">
        <w:rPr>
          <w:rFonts w:ascii="Book Antiqua" w:hAnsi="Book Antiqua"/>
        </w:rPr>
        <w:t xml:space="preserve">an Society of Clinical Oncology </w:t>
      </w:r>
      <w:r w:rsidR="001D609F" w:rsidRPr="007214E1">
        <w:rPr>
          <w:rFonts w:ascii="Book Antiqua" w:hAnsi="Book Antiqua"/>
        </w:rPr>
        <w:t>Gastrointestinal Cancers Symposium in January 2020</w:t>
      </w:r>
      <w:r w:rsidR="001D609F" w:rsidRPr="007214E1">
        <w:rPr>
          <w:rFonts w:ascii="Book Antiqua" w:hAnsi="Book Antiqua"/>
          <w:vertAlign w:val="superscript"/>
        </w:rPr>
        <w:t>[8</w:t>
      </w:r>
      <w:r w:rsidR="00AD211B" w:rsidRPr="007214E1">
        <w:rPr>
          <w:rFonts w:ascii="Book Antiqua" w:hAnsi="Book Antiqua"/>
          <w:vertAlign w:val="superscript"/>
        </w:rPr>
        <w:t>2</w:t>
      </w:r>
      <w:r w:rsidR="001D609F" w:rsidRPr="007214E1">
        <w:rPr>
          <w:rFonts w:ascii="Book Antiqua" w:hAnsi="Book Antiqua"/>
          <w:vertAlign w:val="superscript"/>
        </w:rPr>
        <w:t>]</w:t>
      </w:r>
      <w:r w:rsidR="001D609F" w:rsidRPr="007214E1">
        <w:rPr>
          <w:rFonts w:ascii="Book Antiqua" w:hAnsi="Book Antiqua"/>
        </w:rPr>
        <w:t xml:space="preserve">. Thirty-five patients had been treated, with 29 in </w:t>
      </w:r>
      <w:r w:rsidR="001D609F" w:rsidRPr="007214E1">
        <w:rPr>
          <w:rFonts w:ascii="Book Antiqua" w:hAnsi="Book Antiqua"/>
        </w:rPr>
        <w:lastRenderedPageBreak/>
        <w:t xml:space="preserve">the dose-defining cohort and 6 in the dose-expansion </w:t>
      </w:r>
      <w:proofErr w:type="gramStart"/>
      <w:r w:rsidR="001D609F" w:rsidRPr="007214E1">
        <w:rPr>
          <w:rFonts w:ascii="Book Antiqua" w:hAnsi="Book Antiqua"/>
        </w:rPr>
        <w:t>cohort</w:t>
      </w:r>
      <w:r w:rsidR="001D609F" w:rsidRPr="007214E1">
        <w:rPr>
          <w:rFonts w:ascii="Book Antiqua" w:hAnsi="Book Antiqua"/>
          <w:vertAlign w:val="superscript"/>
        </w:rPr>
        <w:t>[</w:t>
      </w:r>
      <w:proofErr w:type="gramEnd"/>
      <w:r w:rsidR="001D609F" w:rsidRPr="007214E1">
        <w:rPr>
          <w:rFonts w:ascii="Book Antiqua" w:hAnsi="Book Antiqua"/>
          <w:vertAlign w:val="superscript"/>
        </w:rPr>
        <w:t>8</w:t>
      </w:r>
      <w:r w:rsidR="00AD211B" w:rsidRPr="007214E1">
        <w:rPr>
          <w:rFonts w:ascii="Book Antiqua" w:hAnsi="Book Antiqua"/>
          <w:vertAlign w:val="superscript"/>
        </w:rPr>
        <w:t>2</w:t>
      </w:r>
      <w:r w:rsidR="001D609F" w:rsidRPr="007214E1">
        <w:rPr>
          <w:rFonts w:ascii="Book Antiqua" w:hAnsi="Book Antiqua"/>
          <w:vertAlign w:val="superscript"/>
        </w:rPr>
        <w:t>]</w:t>
      </w:r>
      <w:r w:rsidR="001D609F" w:rsidRPr="007214E1">
        <w:rPr>
          <w:rFonts w:ascii="Book Antiqua" w:hAnsi="Book Antiqua"/>
        </w:rPr>
        <w:t xml:space="preserve">. Fifteen patients had discontinued treatment, with either clinical or radiologic disease progression as the most common </w:t>
      </w:r>
      <w:proofErr w:type="gramStart"/>
      <w:r w:rsidR="001D609F" w:rsidRPr="007214E1">
        <w:rPr>
          <w:rFonts w:ascii="Book Antiqua" w:hAnsi="Book Antiqua"/>
        </w:rPr>
        <w:t>reason</w:t>
      </w:r>
      <w:r w:rsidR="001D609F" w:rsidRPr="007214E1">
        <w:rPr>
          <w:rFonts w:ascii="Book Antiqua" w:hAnsi="Book Antiqua"/>
          <w:vertAlign w:val="superscript"/>
        </w:rPr>
        <w:t>[</w:t>
      </w:r>
      <w:proofErr w:type="gramEnd"/>
      <w:r w:rsidR="001D609F" w:rsidRPr="007214E1">
        <w:rPr>
          <w:rFonts w:ascii="Book Antiqua" w:hAnsi="Book Antiqua"/>
          <w:vertAlign w:val="superscript"/>
        </w:rPr>
        <w:t>8</w:t>
      </w:r>
      <w:r w:rsidR="00AD211B" w:rsidRPr="007214E1">
        <w:rPr>
          <w:rFonts w:ascii="Book Antiqua" w:hAnsi="Book Antiqua"/>
          <w:vertAlign w:val="superscript"/>
        </w:rPr>
        <w:t>2</w:t>
      </w:r>
      <w:r w:rsidR="001D609F" w:rsidRPr="007214E1">
        <w:rPr>
          <w:rFonts w:ascii="Book Antiqua" w:hAnsi="Book Antiqua"/>
          <w:vertAlign w:val="superscript"/>
        </w:rPr>
        <w:t>]</w:t>
      </w:r>
      <w:r w:rsidR="001D609F" w:rsidRPr="007214E1">
        <w:rPr>
          <w:rFonts w:ascii="Book Antiqua" w:hAnsi="Book Antiqua"/>
        </w:rPr>
        <w:t xml:space="preserve">. Eighty-nine percent of patients experienced grade 3 or 4 treatment-emergent adverse </w:t>
      </w:r>
      <w:proofErr w:type="gramStart"/>
      <w:r w:rsidR="001D609F" w:rsidRPr="007214E1">
        <w:rPr>
          <w:rFonts w:ascii="Book Antiqua" w:hAnsi="Book Antiqua"/>
        </w:rPr>
        <w:t>events</w:t>
      </w:r>
      <w:r w:rsidR="001D609F" w:rsidRPr="007214E1">
        <w:rPr>
          <w:rFonts w:ascii="Book Antiqua" w:hAnsi="Book Antiqua"/>
          <w:vertAlign w:val="superscript"/>
        </w:rPr>
        <w:t>[</w:t>
      </w:r>
      <w:proofErr w:type="gramEnd"/>
      <w:r w:rsidR="001D609F" w:rsidRPr="007214E1">
        <w:rPr>
          <w:rFonts w:ascii="Book Antiqua" w:hAnsi="Book Antiqua"/>
          <w:vertAlign w:val="superscript"/>
        </w:rPr>
        <w:t>8</w:t>
      </w:r>
      <w:r w:rsidR="00AD211B" w:rsidRPr="007214E1">
        <w:rPr>
          <w:rFonts w:ascii="Book Antiqua" w:hAnsi="Book Antiqua"/>
          <w:vertAlign w:val="superscript"/>
        </w:rPr>
        <w:t>2</w:t>
      </w:r>
      <w:r w:rsidR="001D609F" w:rsidRPr="007214E1">
        <w:rPr>
          <w:rFonts w:ascii="Book Antiqua" w:hAnsi="Book Antiqua"/>
          <w:vertAlign w:val="superscript"/>
        </w:rPr>
        <w:t>]</w:t>
      </w:r>
      <w:r w:rsidR="001D609F" w:rsidRPr="007214E1">
        <w:rPr>
          <w:rFonts w:ascii="Book Antiqua" w:hAnsi="Book Antiqua"/>
        </w:rPr>
        <w:t xml:space="preserve">. </w:t>
      </w:r>
      <w:r w:rsidR="00596F87" w:rsidRPr="007214E1">
        <w:rPr>
          <w:rFonts w:ascii="Book Antiqua" w:hAnsi="Book Antiqua"/>
        </w:rPr>
        <w:t>The</w:t>
      </w:r>
      <w:r w:rsidR="00013490" w:rsidRPr="007214E1">
        <w:rPr>
          <w:rFonts w:ascii="Book Antiqua" w:hAnsi="Book Antiqua"/>
        </w:rPr>
        <w:t xml:space="preserve"> </w:t>
      </w:r>
      <w:r w:rsidR="00BB3200" w:rsidRPr="007214E1">
        <w:rPr>
          <w:rFonts w:ascii="Book Antiqua" w:hAnsi="Book Antiqua"/>
          <w:color w:val="000000"/>
        </w:rPr>
        <w:t>multi-center phase II</w:t>
      </w:r>
      <w:r w:rsidR="00013490" w:rsidRPr="007214E1">
        <w:rPr>
          <w:rFonts w:ascii="Book Antiqua" w:hAnsi="Book Antiqua"/>
          <w:color w:val="000000"/>
        </w:rPr>
        <w:t xml:space="preserve"> (GOING) </w:t>
      </w:r>
      <w:r w:rsidR="00BB3200" w:rsidRPr="007214E1">
        <w:rPr>
          <w:rFonts w:ascii="Book Antiqua" w:hAnsi="Book Antiqua"/>
          <w:color w:val="000000"/>
        </w:rPr>
        <w:t>trial (NCT04170556)</w:t>
      </w:r>
      <w:r w:rsidR="00556F70" w:rsidRPr="007214E1">
        <w:rPr>
          <w:rFonts w:ascii="Book Antiqua" w:hAnsi="Book Antiqua"/>
          <w:color w:val="000000"/>
        </w:rPr>
        <w:t xml:space="preserve"> and the single-center phase II (RENOBATE) trial from South Korea</w:t>
      </w:r>
      <w:r w:rsidR="00BB3200" w:rsidRPr="007214E1">
        <w:rPr>
          <w:rFonts w:ascii="Book Antiqua" w:hAnsi="Book Antiqua"/>
          <w:color w:val="000000"/>
        </w:rPr>
        <w:t xml:space="preserve"> </w:t>
      </w:r>
      <w:r w:rsidR="003E768D" w:rsidRPr="007214E1">
        <w:rPr>
          <w:rFonts w:ascii="Book Antiqua" w:hAnsi="Book Antiqua"/>
          <w:color w:val="000000"/>
        </w:rPr>
        <w:t xml:space="preserve">will evaluate </w:t>
      </w:r>
      <w:r w:rsidR="00BB3200" w:rsidRPr="007214E1">
        <w:rPr>
          <w:rFonts w:ascii="Book Antiqua" w:hAnsi="Book Antiqua"/>
          <w:color w:val="000000"/>
        </w:rPr>
        <w:t>the combination of regorafenib and nivolumab as second-line</w:t>
      </w:r>
      <w:r w:rsidR="00641B43" w:rsidRPr="007214E1">
        <w:rPr>
          <w:rFonts w:ascii="Book Antiqua" w:hAnsi="Book Antiqua"/>
          <w:color w:val="000000"/>
        </w:rPr>
        <w:t xml:space="preserve"> and first-line</w:t>
      </w:r>
      <w:r w:rsidR="00BB3200" w:rsidRPr="007214E1">
        <w:rPr>
          <w:rFonts w:ascii="Book Antiqua" w:hAnsi="Book Antiqua"/>
          <w:color w:val="000000"/>
        </w:rPr>
        <w:t xml:space="preserve"> therapy</w:t>
      </w:r>
      <w:r w:rsidR="00641B43" w:rsidRPr="007214E1">
        <w:rPr>
          <w:rFonts w:ascii="Book Antiqua" w:hAnsi="Book Antiqua"/>
          <w:color w:val="000000"/>
        </w:rPr>
        <w:t>, respectively</w:t>
      </w:r>
      <w:r w:rsidRPr="007214E1">
        <w:rPr>
          <w:rFonts w:ascii="Book Antiqua" w:hAnsi="Book Antiqua"/>
          <w:vertAlign w:val="superscript"/>
        </w:rPr>
        <w:t>[</w:t>
      </w:r>
      <w:r w:rsidR="001D609F" w:rsidRPr="007214E1">
        <w:rPr>
          <w:rFonts w:ascii="Book Antiqua" w:hAnsi="Book Antiqua"/>
          <w:vertAlign w:val="superscript"/>
        </w:rPr>
        <w:t>8</w:t>
      </w:r>
      <w:r w:rsidR="00AD211B" w:rsidRPr="007214E1">
        <w:rPr>
          <w:rFonts w:ascii="Book Antiqua" w:hAnsi="Book Antiqua"/>
          <w:vertAlign w:val="superscript"/>
        </w:rPr>
        <w:t>3</w:t>
      </w:r>
      <w:r w:rsidR="000F03C9" w:rsidRPr="007214E1">
        <w:rPr>
          <w:rFonts w:ascii="Book Antiqua" w:hAnsi="Book Antiqua"/>
          <w:vertAlign w:val="superscript"/>
        </w:rPr>
        <w:t>,</w:t>
      </w:r>
      <w:r w:rsidR="001D609F" w:rsidRPr="007214E1">
        <w:rPr>
          <w:rFonts w:ascii="Book Antiqua" w:hAnsi="Book Antiqua"/>
          <w:vertAlign w:val="superscript"/>
        </w:rPr>
        <w:t>8</w:t>
      </w:r>
      <w:r w:rsidR="00AD211B" w:rsidRPr="007214E1">
        <w:rPr>
          <w:rFonts w:ascii="Book Antiqua" w:hAnsi="Book Antiqua"/>
          <w:vertAlign w:val="superscript"/>
        </w:rPr>
        <w:t>4</w:t>
      </w:r>
      <w:r w:rsidRPr="007214E1">
        <w:rPr>
          <w:rFonts w:ascii="Book Antiqua" w:hAnsi="Book Antiqua"/>
          <w:vertAlign w:val="superscript"/>
        </w:rPr>
        <w:t>]</w:t>
      </w:r>
      <w:r w:rsidR="00B32708" w:rsidRPr="007214E1">
        <w:rPr>
          <w:rFonts w:ascii="Book Antiqua" w:eastAsia="宋体" w:hAnsi="Book Antiqua"/>
          <w:lang w:eastAsia="zh-CN"/>
        </w:rPr>
        <w:t xml:space="preserve"> (Table 5)</w:t>
      </w:r>
      <w:r w:rsidR="000F03C9" w:rsidRPr="007214E1">
        <w:rPr>
          <w:rFonts w:ascii="Book Antiqua" w:hAnsi="Book Antiqua"/>
        </w:rPr>
        <w:t>.</w:t>
      </w:r>
    </w:p>
    <w:p w14:paraId="1C175753" w14:textId="77777777" w:rsidR="00C4064B" w:rsidRPr="007214E1" w:rsidRDefault="00C4064B" w:rsidP="00EB43EE">
      <w:pPr>
        <w:snapToGrid w:val="0"/>
        <w:spacing w:line="360" w:lineRule="auto"/>
        <w:jc w:val="both"/>
        <w:rPr>
          <w:rFonts w:ascii="Book Antiqua" w:hAnsi="Book Antiqua"/>
          <w:i/>
        </w:rPr>
      </w:pPr>
    </w:p>
    <w:p w14:paraId="72DF997B" w14:textId="4B9D2C14" w:rsidR="00A96290" w:rsidRPr="007214E1" w:rsidRDefault="00211460" w:rsidP="00EB43EE">
      <w:pPr>
        <w:snapToGrid w:val="0"/>
        <w:spacing w:line="360" w:lineRule="auto"/>
        <w:jc w:val="both"/>
        <w:rPr>
          <w:rFonts w:ascii="Book Antiqua" w:hAnsi="Book Antiqua"/>
          <w:u w:val="single"/>
        </w:rPr>
      </w:pPr>
      <w:r w:rsidRPr="007214E1">
        <w:rPr>
          <w:rFonts w:ascii="Book Antiqua" w:hAnsi="Book Antiqua"/>
          <w:b/>
          <w:u w:val="single"/>
        </w:rPr>
        <w:t>COMBINATION THERAPY WITH CHECKPOINT INHIBITORS PLUS LOCOREGIONAL THERAPIES</w:t>
      </w:r>
    </w:p>
    <w:p w14:paraId="4C0A5591" w14:textId="1F6A26AB" w:rsidR="00127D06" w:rsidRPr="007214E1" w:rsidRDefault="00127D06" w:rsidP="00EB43EE">
      <w:pPr>
        <w:snapToGrid w:val="0"/>
        <w:spacing w:line="360" w:lineRule="auto"/>
        <w:jc w:val="both"/>
        <w:rPr>
          <w:rFonts w:ascii="Book Antiqua" w:hAnsi="Book Antiqua"/>
        </w:rPr>
      </w:pPr>
      <w:r w:rsidRPr="007214E1">
        <w:rPr>
          <w:rFonts w:ascii="Book Antiqua" w:hAnsi="Book Antiqua"/>
        </w:rPr>
        <w:t xml:space="preserve">Locoregional therapies can activate the immune system through various </w:t>
      </w:r>
      <w:proofErr w:type="gramStart"/>
      <w:r w:rsidRPr="007214E1">
        <w:rPr>
          <w:rFonts w:ascii="Book Antiqua" w:hAnsi="Book Antiqua"/>
        </w:rPr>
        <w:t>mechanisms</w:t>
      </w:r>
      <w:r w:rsidRPr="007214E1">
        <w:rPr>
          <w:rFonts w:ascii="Book Antiqua" w:hAnsi="Book Antiqua"/>
          <w:vertAlign w:val="superscript"/>
        </w:rPr>
        <w:t>[</w:t>
      </w:r>
      <w:proofErr w:type="gramEnd"/>
      <w:r w:rsidR="00631F9A" w:rsidRPr="007214E1">
        <w:rPr>
          <w:rFonts w:ascii="Book Antiqua" w:hAnsi="Book Antiqua"/>
          <w:vertAlign w:val="superscript"/>
        </w:rPr>
        <w:t>8</w:t>
      </w:r>
      <w:r w:rsidR="00AD211B" w:rsidRPr="007214E1">
        <w:rPr>
          <w:rFonts w:ascii="Book Antiqua" w:hAnsi="Book Antiqua"/>
          <w:vertAlign w:val="superscript"/>
        </w:rPr>
        <w:t>5</w:t>
      </w:r>
      <w:r w:rsidR="00631F9A" w:rsidRPr="007214E1">
        <w:rPr>
          <w:rFonts w:ascii="Book Antiqua" w:hAnsi="Book Antiqua"/>
          <w:vertAlign w:val="superscript"/>
        </w:rPr>
        <w:t>-8</w:t>
      </w:r>
      <w:r w:rsidR="00AD211B" w:rsidRPr="007214E1">
        <w:rPr>
          <w:rFonts w:ascii="Book Antiqua" w:hAnsi="Book Antiqua"/>
          <w:vertAlign w:val="superscript"/>
        </w:rPr>
        <w:t>7</w:t>
      </w:r>
      <w:r w:rsidRPr="007214E1">
        <w:rPr>
          <w:rFonts w:ascii="Book Antiqua" w:hAnsi="Book Antiqua"/>
          <w:vertAlign w:val="superscript"/>
        </w:rPr>
        <w:t>]</w:t>
      </w:r>
      <w:r w:rsidRPr="007214E1">
        <w:rPr>
          <w:rFonts w:ascii="Book Antiqua" w:hAnsi="Book Antiqua"/>
        </w:rPr>
        <w:t>.</w:t>
      </w:r>
    </w:p>
    <w:p w14:paraId="6C04DE03" w14:textId="210A2A51" w:rsidR="00F50CD6" w:rsidRPr="007214E1" w:rsidRDefault="00127D06" w:rsidP="00EB43EE">
      <w:pPr>
        <w:snapToGrid w:val="0"/>
        <w:spacing w:line="360" w:lineRule="auto"/>
        <w:ind w:firstLineChars="100" w:firstLine="240"/>
        <w:jc w:val="both"/>
        <w:rPr>
          <w:rFonts w:ascii="Book Antiqua" w:hAnsi="Book Antiqua"/>
          <w:vertAlign w:val="superscript"/>
        </w:rPr>
      </w:pPr>
      <w:r w:rsidRPr="007214E1">
        <w:rPr>
          <w:rFonts w:ascii="Book Antiqua" w:hAnsi="Book Antiqua"/>
        </w:rPr>
        <w:t xml:space="preserve">Treatment with either </w:t>
      </w:r>
      <w:r w:rsidR="00DD3246" w:rsidRPr="007214E1">
        <w:rPr>
          <w:rFonts w:ascii="Book Antiqua" w:hAnsi="Book Antiqua"/>
        </w:rPr>
        <w:t>radiofrequency ablation (</w:t>
      </w:r>
      <w:r w:rsidRPr="007214E1">
        <w:rPr>
          <w:rFonts w:ascii="Book Antiqua" w:hAnsi="Book Antiqua"/>
        </w:rPr>
        <w:t>RFA</w:t>
      </w:r>
      <w:r w:rsidR="00DD3246" w:rsidRPr="007214E1">
        <w:rPr>
          <w:rFonts w:ascii="Book Antiqua" w:hAnsi="Book Antiqua"/>
        </w:rPr>
        <w:t xml:space="preserve">) </w:t>
      </w:r>
      <w:r w:rsidRPr="007214E1">
        <w:rPr>
          <w:rFonts w:ascii="Book Antiqua" w:hAnsi="Book Antiqua"/>
        </w:rPr>
        <w:t xml:space="preserve">or TACE can stimulate </w:t>
      </w:r>
      <w:r w:rsidR="00631F9A" w:rsidRPr="007214E1">
        <w:rPr>
          <w:rFonts w:ascii="Book Antiqua" w:hAnsi="Book Antiqua"/>
        </w:rPr>
        <w:t xml:space="preserve">the expansion of </w:t>
      </w:r>
      <w:r w:rsidRPr="007214E1">
        <w:rPr>
          <w:rFonts w:ascii="Book Antiqua" w:hAnsi="Book Antiqua"/>
        </w:rPr>
        <w:t xml:space="preserve">T-cells recognizing tumor-associated antigens, while RFA can lead to </w:t>
      </w:r>
      <w:r w:rsidR="00E35FEC" w:rsidRPr="007214E1">
        <w:rPr>
          <w:rFonts w:ascii="Book Antiqua" w:hAnsi="Book Antiqua"/>
        </w:rPr>
        <w:t>natural killer</w:t>
      </w:r>
      <w:r w:rsidRPr="007214E1">
        <w:rPr>
          <w:rFonts w:ascii="Book Antiqua" w:hAnsi="Book Antiqua"/>
        </w:rPr>
        <w:t xml:space="preserve"> cell </w:t>
      </w:r>
      <w:proofErr w:type="gramStart"/>
      <w:r w:rsidRPr="007214E1">
        <w:rPr>
          <w:rFonts w:ascii="Book Antiqua" w:hAnsi="Book Antiqua"/>
        </w:rPr>
        <w:t>activation</w:t>
      </w:r>
      <w:r w:rsidRPr="007214E1">
        <w:rPr>
          <w:rFonts w:ascii="Book Antiqua" w:hAnsi="Book Antiqua"/>
          <w:vertAlign w:val="superscript"/>
        </w:rPr>
        <w:t>[</w:t>
      </w:r>
      <w:proofErr w:type="gramEnd"/>
      <w:r w:rsidR="00631F9A" w:rsidRPr="007214E1">
        <w:rPr>
          <w:rFonts w:ascii="Book Antiqua" w:hAnsi="Book Antiqua"/>
          <w:vertAlign w:val="superscript"/>
        </w:rPr>
        <w:t>8</w:t>
      </w:r>
      <w:r w:rsidR="00AD211B" w:rsidRPr="007214E1">
        <w:rPr>
          <w:rFonts w:ascii="Book Antiqua" w:hAnsi="Book Antiqua"/>
          <w:vertAlign w:val="superscript"/>
        </w:rPr>
        <w:t>5</w:t>
      </w:r>
      <w:r w:rsidR="00631F9A" w:rsidRPr="007214E1">
        <w:rPr>
          <w:rFonts w:ascii="Book Antiqua" w:hAnsi="Book Antiqua"/>
          <w:vertAlign w:val="superscript"/>
        </w:rPr>
        <w:t>-8</w:t>
      </w:r>
      <w:r w:rsidR="00AD211B" w:rsidRPr="007214E1">
        <w:rPr>
          <w:rFonts w:ascii="Book Antiqua" w:hAnsi="Book Antiqua"/>
          <w:vertAlign w:val="superscript"/>
        </w:rPr>
        <w:t>7</w:t>
      </w:r>
      <w:r w:rsidRPr="007214E1">
        <w:rPr>
          <w:rFonts w:ascii="Book Antiqua" w:hAnsi="Book Antiqua"/>
          <w:vertAlign w:val="superscript"/>
        </w:rPr>
        <w:t>]</w:t>
      </w:r>
      <w:r w:rsidRPr="007214E1">
        <w:rPr>
          <w:rFonts w:ascii="Book Antiqua" w:hAnsi="Book Antiqua"/>
        </w:rPr>
        <w:t xml:space="preserve">. The ability of locoregional therapies to stimulate the immune system makes them potential candidates for an effective combination strategy with checkpoint </w:t>
      </w:r>
      <w:proofErr w:type="gramStart"/>
      <w:r w:rsidRPr="007214E1">
        <w:rPr>
          <w:rFonts w:ascii="Book Antiqua" w:hAnsi="Book Antiqua"/>
        </w:rPr>
        <w:t>inhibitors</w:t>
      </w:r>
      <w:r w:rsidRPr="007214E1">
        <w:rPr>
          <w:rFonts w:ascii="Book Antiqua" w:hAnsi="Book Antiqua"/>
          <w:vertAlign w:val="superscript"/>
        </w:rPr>
        <w:t>[</w:t>
      </w:r>
      <w:proofErr w:type="gramEnd"/>
      <w:r w:rsidR="00631F9A" w:rsidRPr="007214E1">
        <w:rPr>
          <w:rFonts w:ascii="Book Antiqua" w:hAnsi="Book Antiqua"/>
          <w:vertAlign w:val="superscript"/>
        </w:rPr>
        <w:t>8</w:t>
      </w:r>
      <w:r w:rsidR="001E21C4" w:rsidRPr="007214E1">
        <w:rPr>
          <w:rFonts w:ascii="Book Antiqua" w:hAnsi="Book Antiqua"/>
          <w:vertAlign w:val="superscript"/>
        </w:rPr>
        <w:t>5</w:t>
      </w:r>
      <w:r w:rsidR="00631F9A" w:rsidRPr="007214E1">
        <w:rPr>
          <w:rFonts w:ascii="Book Antiqua" w:hAnsi="Book Antiqua"/>
          <w:vertAlign w:val="superscript"/>
        </w:rPr>
        <w:t>-8</w:t>
      </w:r>
      <w:r w:rsidR="001E21C4" w:rsidRPr="007214E1">
        <w:rPr>
          <w:rFonts w:ascii="Book Antiqua" w:hAnsi="Book Antiqua"/>
          <w:vertAlign w:val="superscript"/>
        </w:rPr>
        <w:t>7</w:t>
      </w:r>
      <w:r w:rsidRPr="007214E1">
        <w:rPr>
          <w:rFonts w:ascii="Book Antiqua" w:hAnsi="Book Antiqua"/>
          <w:vertAlign w:val="superscript"/>
        </w:rPr>
        <w:t>]</w:t>
      </w:r>
      <w:r w:rsidRPr="007214E1">
        <w:rPr>
          <w:rFonts w:ascii="Book Antiqua" w:hAnsi="Book Antiqua"/>
        </w:rPr>
        <w:t>. The side-effect profiles of immunotherapy and these locoregional therapies differ significantly, which may lead to relatively low toxicity compared to other combination regimens</w:t>
      </w:r>
      <w:r w:rsidR="00F50CD6" w:rsidRPr="007214E1">
        <w:rPr>
          <w:rFonts w:ascii="Book Antiqua" w:hAnsi="Book Antiqua"/>
        </w:rPr>
        <w:t xml:space="preserve"> previously </w:t>
      </w:r>
      <w:proofErr w:type="gramStart"/>
      <w:r w:rsidR="00F50CD6" w:rsidRPr="007214E1">
        <w:rPr>
          <w:rFonts w:ascii="Book Antiqua" w:hAnsi="Book Antiqua"/>
        </w:rPr>
        <w:t>discussed</w:t>
      </w:r>
      <w:r w:rsidRPr="007214E1">
        <w:rPr>
          <w:rFonts w:ascii="Book Antiqua" w:hAnsi="Book Antiqua"/>
          <w:vertAlign w:val="superscript"/>
        </w:rPr>
        <w:t>[</w:t>
      </w:r>
      <w:proofErr w:type="gramEnd"/>
      <w:r w:rsidR="00E35FEC" w:rsidRPr="007214E1">
        <w:rPr>
          <w:rFonts w:ascii="Book Antiqua" w:hAnsi="Book Antiqua"/>
          <w:vertAlign w:val="superscript"/>
        </w:rPr>
        <w:t>14,</w:t>
      </w:r>
      <w:r w:rsidR="007F7881" w:rsidRPr="007214E1">
        <w:rPr>
          <w:rFonts w:ascii="Book Antiqua" w:hAnsi="Book Antiqua"/>
          <w:vertAlign w:val="superscript"/>
        </w:rPr>
        <w:t>15</w:t>
      </w:r>
      <w:r w:rsidRPr="007214E1">
        <w:rPr>
          <w:rFonts w:ascii="Book Antiqua" w:hAnsi="Book Antiqua"/>
          <w:vertAlign w:val="superscript"/>
        </w:rPr>
        <w:t>,3</w:t>
      </w:r>
      <w:r w:rsidR="007F7881" w:rsidRPr="007214E1">
        <w:rPr>
          <w:rFonts w:ascii="Book Antiqua" w:hAnsi="Book Antiqua"/>
          <w:vertAlign w:val="superscript"/>
        </w:rPr>
        <w:t>1</w:t>
      </w:r>
      <w:r w:rsidRPr="007214E1">
        <w:rPr>
          <w:rFonts w:ascii="Book Antiqua" w:hAnsi="Book Antiqua"/>
          <w:vertAlign w:val="superscript"/>
        </w:rPr>
        <w:t>,</w:t>
      </w:r>
      <w:r w:rsidR="007F7881" w:rsidRPr="007214E1">
        <w:rPr>
          <w:rFonts w:ascii="Book Antiqua" w:hAnsi="Book Antiqua"/>
          <w:vertAlign w:val="superscript"/>
        </w:rPr>
        <w:t>8</w:t>
      </w:r>
      <w:r w:rsidR="001E21C4" w:rsidRPr="007214E1">
        <w:rPr>
          <w:rFonts w:ascii="Book Antiqua" w:hAnsi="Book Antiqua"/>
          <w:vertAlign w:val="superscript"/>
        </w:rPr>
        <w:t>8</w:t>
      </w:r>
      <w:r w:rsidR="00E35FEC" w:rsidRPr="007214E1">
        <w:rPr>
          <w:rFonts w:ascii="Book Antiqua" w:hAnsi="Book Antiqua"/>
          <w:vertAlign w:val="superscript"/>
        </w:rPr>
        <w:t>,</w:t>
      </w:r>
      <w:r w:rsidR="007F7881" w:rsidRPr="007214E1">
        <w:rPr>
          <w:rFonts w:ascii="Book Antiqua" w:hAnsi="Book Antiqua"/>
          <w:vertAlign w:val="superscript"/>
        </w:rPr>
        <w:t>8</w:t>
      </w:r>
      <w:r w:rsidR="001E21C4" w:rsidRPr="007214E1">
        <w:rPr>
          <w:rFonts w:ascii="Book Antiqua" w:hAnsi="Book Antiqua"/>
          <w:vertAlign w:val="superscript"/>
        </w:rPr>
        <w:t>9</w:t>
      </w:r>
      <w:r w:rsidRPr="007214E1">
        <w:rPr>
          <w:rFonts w:ascii="Book Antiqua" w:hAnsi="Book Antiqua"/>
          <w:vertAlign w:val="superscript"/>
        </w:rPr>
        <w:t>]</w:t>
      </w:r>
      <w:r w:rsidR="00E35FEC" w:rsidRPr="007214E1">
        <w:rPr>
          <w:rFonts w:ascii="Book Antiqua" w:hAnsi="Book Antiqua"/>
        </w:rPr>
        <w:t>.</w:t>
      </w:r>
    </w:p>
    <w:p w14:paraId="3FB49081" w14:textId="77777777" w:rsidR="00BE1C62" w:rsidRPr="007214E1" w:rsidRDefault="00BE1C62" w:rsidP="00EB43EE">
      <w:pPr>
        <w:snapToGrid w:val="0"/>
        <w:spacing w:line="360" w:lineRule="auto"/>
        <w:jc w:val="both"/>
        <w:rPr>
          <w:rFonts w:ascii="Book Antiqua" w:hAnsi="Book Antiqua"/>
          <w:i/>
        </w:rPr>
      </w:pPr>
    </w:p>
    <w:p w14:paraId="46349465" w14:textId="378E687C" w:rsidR="00BE1C62" w:rsidRPr="007214E1" w:rsidRDefault="00D9796C" w:rsidP="00EB43EE">
      <w:pPr>
        <w:snapToGrid w:val="0"/>
        <w:spacing w:line="360" w:lineRule="auto"/>
        <w:jc w:val="both"/>
        <w:rPr>
          <w:rFonts w:ascii="Book Antiqua" w:hAnsi="Book Antiqua"/>
          <w:b/>
          <w:i/>
        </w:rPr>
      </w:pPr>
      <w:r w:rsidRPr="007214E1">
        <w:rPr>
          <w:rFonts w:ascii="Book Antiqua" w:hAnsi="Book Antiqua"/>
          <w:b/>
          <w:i/>
        </w:rPr>
        <w:t xml:space="preserve">Checkpoint </w:t>
      </w:r>
      <w:r w:rsidR="00E35FEC" w:rsidRPr="007214E1">
        <w:rPr>
          <w:rFonts w:ascii="Book Antiqua" w:hAnsi="Book Antiqua"/>
          <w:b/>
          <w:i/>
        </w:rPr>
        <w:t>inhibitors plus ablation</w:t>
      </w:r>
    </w:p>
    <w:p w14:paraId="45540A86" w14:textId="43AB5E38" w:rsidR="009F0467" w:rsidRPr="007214E1" w:rsidRDefault="009F0467" w:rsidP="00EB43EE">
      <w:pPr>
        <w:snapToGrid w:val="0"/>
        <w:spacing w:line="360" w:lineRule="auto"/>
        <w:jc w:val="both"/>
        <w:rPr>
          <w:rFonts w:ascii="Book Antiqua" w:hAnsi="Book Antiqua"/>
        </w:rPr>
      </w:pPr>
      <w:r w:rsidRPr="007214E1">
        <w:rPr>
          <w:rFonts w:ascii="Book Antiqua" w:hAnsi="Book Antiqua"/>
        </w:rPr>
        <w:t xml:space="preserve">Patients who will likely be eligible for combination therapies involving ablation will have tumors 3 cm or less with early-stage, BCLC class 0 or A disease who are not candidates for surgical </w:t>
      </w:r>
      <w:proofErr w:type="gramStart"/>
      <w:r w:rsidRPr="007214E1">
        <w:rPr>
          <w:rFonts w:ascii="Book Antiqua" w:hAnsi="Book Antiqua"/>
        </w:rPr>
        <w:t>resection</w:t>
      </w:r>
      <w:r w:rsidRPr="007214E1">
        <w:rPr>
          <w:rFonts w:ascii="Book Antiqua" w:hAnsi="Book Antiqua"/>
          <w:vertAlign w:val="superscript"/>
        </w:rPr>
        <w:t>[</w:t>
      </w:r>
      <w:proofErr w:type="gramEnd"/>
      <w:r w:rsidR="00C658A7" w:rsidRPr="007214E1">
        <w:rPr>
          <w:rFonts w:ascii="Book Antiqua" w:hAnsi="Book Antiqua"/>
          <w:vertAlign w:val="superscript"/>
        </w:rPr>
        <w:t>4,</w:t>
      </w:r>
      <w:r w:rsidR="007F7881" w:rsidRPr="007214E1">
        <w:rPr>
          <w:rFonts w:ascii="Book Antiqua" w:hAnsi="Book Antiqua"/>
          <w:vertAlign w:val="superscript"/>
        </w:rPr>
        <w:t>5</w:t>
      </w:r>
      <w:r w:rsidRPr="007214E1">
        <w:rPr>
          <w:rFonts w:ascii="Book Antiqua" w:hAnsi="Book Antiqua"/>
          <w:vertAlign w:val="superscript"/>
        </w:rPr>
        <w:t>]</w:t>
      </w:r>
      <w:r w:rsidRPr="007214E1">
        <w:rPr>
          <w:rFonts w:ascii="Book Antiqua" w:hAnsi="Book Antiqua"/>
          <w:i/>
        </w:rPr>
        <w:t xml:space="preserve">. </w:t>
      </w:r>
      <w:r w:rsidRPr="007214E1">
        <w:rPr>
          <w:rFonts w:ascii="Book Antiqua" w:hAnsi="Book Antiqua"/>
        </w:rPr>
        <w:t>Although multiple types of ablation exist, RFA is the usual standard of care and adverse events</w:t>
      </w:r>
      <w:r w:rsidRPr="007214E1">
        <w:rPr>
          <w:rFonts w:ascii="Book Antiqua" w:hAnsi="Book Antiqua"/>
          <w:i/>
        </w:rPr>
        <w:t xml:space="preserve"> </w:t>
      </w:r>
      <w:r w:rsidRPr="007214E1">
        <w:rPr>
          <w:rFonts w:ascii="Book Antiqua" w:hAnsi="Book Antiqua"/>
        </w:rPr>
        <w:t>may include intraperitoneal bleeding, intrahepatic abscess, grounding pad burns, bile duct injury, thermal damage to organs in close proximity to the tumor, pneumothorax, pain, and tumor seeding of tissues</w:t>
      </w:r>
      <w:r w:rsidRPr="007214E1">
        <w:rPr>
          <w:rFonts w:ascii="Book Antiqua" w:hAnsi="Book Antiqua"/>
          <w:vertAlign w:val="superscript"/>
        </w:rPr>
        <w:t>[</w:t>
      </w:r>
      <w:r w:rsidR="007F7881" w:rsidRPr="007214E1">
        <w:rPr>
          <w:rFonts w:ascii="Book Antiqua" w:hAnsi="Book Antiqua"/>
          <w:vertAlign w:val="superscript"/>
        </w:rPr>
        <w:t>4</w:t>
      </w:r>
      <w:r w:rsidRPr="007214E1">
        <w:rPr>
          <w:rFonts w:ascii="Book Antiqua" w:hAnsi="Book Antiqua"/>
          <w:vertAlign w:val="superscript"/>
        </w:rPr>
        <w:t>,</w:t>
      </w:r>
      <w:r w:rsidR="007F7881" w:rsidRPr="007214E1">
        <w:rPr>
          <w:rFonts w:ascii="Book Antiqua" w:hAnsi="Book Antiqua"/>
          <w:vertAlign w:val="superscript"/>
        </w:rPr>
        <w:t>8</w:t>
      </w:r>
      <w:r w:rsidR="0061302B" w:rsidRPr="007214E1">
        <w:rPr>
          <w:rFonts w:ascii="Book Antiqua" w:hAnsi="Book Antiqua"/>
          <w:vertAlign w:val="superscript"/>
        </w:rPr>
        <w:t>8</w:t>
      </w:r>
      <w:r w:rsidRPr="007214E1">
        <w:rPr>
          <w:rFonts w:ascii="Book Antiqua" w:hAnsi="Book Antiqua"/>
          <w:vertAlign w:val="superscript"/>
        </w:rPr>
        <w:t>]</w:t>
      </w:r>
      <w:r w:rsidRPr="007214E1">
        <w:rPr>
          <w:rFonts w:ascii="Book Antiqua" w:hAnsi="Book Antiqua"/>
          <w:i/>
        </w:rPr>
        <w:t xml:space="preserve">. </w:t>
      </w:r>
      <w:r w:rsidRPr="007214E1">
        <w:rPr>
          <w:rFonts w:ascii="Book Antiqua" w:hAnsi="Book Antiqua"/>
        </w:rPr>
        <w:t xml:space="preserve">RFA is not optimal for tumors that are </w:t>
      </w:r>
      <w:r w:rsidRPr="007214E1">
        <w:rPr>
          <w:rFonts w:ascii="Book Antiqua" w:hAnsi="Book Antiqua"/>
        </w:rPr>
        <w:lastRenderedPageBreak/>
        <w:t xml:space="preserve">larger than 5 cm, numerous with 3 or more lesions, poorly visible </w:t>
      </w:r>
      <w:r w:rsidRPr="007214E1">
        <w:rPr>
          <w:rFonts w:ascii="Book Antiqua" w:hAnsi="Book Antiqua"/>
          <w:i/>
        </w:rPr>
        <w:t>via</w:t>
      </w:r>
      <w:r w:rsidRPr="007214E1">
        <w:rPr>
          <w:rFonts w:ascii="Book Antiqua" w:hAnsi="Book Antiqua"/>
        </w:rPr>
        <w:t xml:space="preserve"> ultrasound, or adjacent to structures such as the biliary tree, bowel, and vital organs such as the </w:t>
      </w:r>
      <w:proofErr w:type="gramStart"/>
      <w:r w:rsidRPr="007214E1">
        <w:rPr>
          <w:rFonts w:ascii="Book Antiqua" w:hAnsi="Book Antiqua"/>
        </w:rPr>
        <w:t>heart</w:t>
      </w:r>
      <w:r w:rsidRPr="007214E1">
        <w:rPr>
          <w:rFonts w:ascii="Book Antiqua" w:hAnsi="Book Antiqua"/>
          <w:vertAlign w:val="superscript"/>
        </w:rPr>
        <w:t>[</w:t>
      </w:r>
      <w:proofErr w:type="gramEnd"/>
      <w:r w:rsidR="00C658A7" w:rsidRPr="007214E1">
        <w:rPr>
          <w:rFonts w:ascii="Book Antiqua" w:hAnsi="Book Antiqua"/>
          <w:vertAlign w:val="superscript"/>
        </w:rPr>
        <w:t>4,</w:t>
      </w:r>
      <w:r w:rsidR="00347A46" w:rsidRPr="007214E1">
        <w:rPr>
          <w:rFonts w:ascii="Book Antiqua" w:hAnsi="Book Antiqua"/>
          <w:vertAlign w:val="superscript"/>
        </w:rPr>
        <w:t>5</w:t>
      </w:r>
      <w:r w:rsidRPr="007214E1">
        <w:rPr>
          <w:rFonts w:ascii="Book Antiqua" w:hAnsi="Book Antiqua"/>
          <w:vertAlign w:val="superscript"/>
        </w:rPr>
        <w:t>,</w:t>
      </w:r>
      <w:r w:rsidR="0061302B" w:rsidRPr="007214E1">
        <w:rPr>
          <w:rFonts w:ascii="Book Antiqua" w:hAnsi="Book Antiqua"/>
          <w:color w:val="000000"/>
          <w:vertAlign w:val="superscript"/>
        </w:rPr>
        <w:t>90</w:t>
      </w:r>
      <w:r w:rsidRPr="007214E1">
        <w:rPr>
          <w:rFonts w:ascii="Book Antiqua" w:hAnsi="Book Antiqua"/>
          <w:vertAlign w:val="superscript"/>
        </w:rPr>
        <w:t>]</w:t>
      </w:r>
      <w:r w:rsidR="00C658A7" w:rsidRPr="007214E1">
        <w:rPr>
          <w:rFonts w:ascii="Book Antiqua" w:hAnsi="Book Antiqua"/>
        </w:rPr>
        <w:t>.</w:t>
      </w:r>
    </w:p>
    <w:p w14:paraId="0182AA21" w14:textId="79B7696F" w:rsidR="004F0CD1" w:rsidRPr="007214E1" w:rsidRDefault="004F0CD1" w:rsidP="00EB43EE">
      <w:pPr>
        <w:snapToGrid w:val="0"/>
        <w:spacing w:line="360" w:lineRule="auto"/>
        <w:ind w:firstLineChars="100" w:firstLine="240"/>
        <w:jc w:val="both"/>
        <w:rPr>
          <w:rFonts w:ascii="Book Antiqua" w:hAnsi="Book Antiqua"/>
          <w:color w:val="000000"/>
        </w:rPr>
      </w:pPr>
      <w:r w:rsidRPr="007214E1">
        <w:rPr>
          <w:rFonts w:ascii="Book Antiqua" w:hAnsi="Book Antiqua"/>
        </w:rPr>
        <w:t xml:space="preserve">Multiple studies evaluating combinations of radiofrequency ablation and immunotherapy are </w:t>
      </w:r>
      <w:proofErr w:type="gramStart"/>
      <w:r w:rsidRPr="007214E1">
        <w:rPr>
          <w:rFonts w:ascii="Book Antiqua" w:hAnsi="Book Antiqua"/>
        </w:rPr>
        <w:t>ongoing</w:t>
      </w:r>
      <w:r w:rsidRPr="007214E1">
        <w:rPr>
          <w:rFonts w:ascii="Book Antiqua" w:hAnsi="Book Antiqua"/>
          <w:vertAlign w:val="superscript"/>
        </w:rPr>
        <w:t>[</w:t>
      </w:r>
      <w:proofErr w:type="gramEnd"/>
      <w:r w:rsidR="008773EC" w:rsidRPr="007214E1">
        <w:rPr>
          <w:rFonts w:ascii="Book Antiqua" w:hAnsi="Book Antiqua"/>
          <w:vertAlign w:val="superscript"/>
        </w:rPr>
        <w:t>9</w:t>
      </w:r>
      <w:r w:rsidR="0061302B" w:rsidRPr="007214E1">
        <w:rPr>
          <w:rFonts w:ascii="Book Antiqua" w:hAnsi="Book Antiqua"/>
          <w:vertAlign w:val="superscript"/>
        </w:rPr>
        <w:t>1</w:t>
      </w:r>
      <w:r w:rsidR="008773EC" w:rsidRPr="007214E1">
        <w:rPr>
          <w:rFonts w:ascii="Book Antiqua" w:hAnsi="Book Antiqua"/>
          <w:vertAlign w:val="superscript"/>
        </w:rPr>
        <w:t>-9</w:t>
      </w:r>
      <w:r w:rsidR="0061302B" w:rsidRPr="007214E1">
        <w:rPr>
          <w:rFonts w:ascii="Book Antiqua" w:hAnsi="Book Antiqua"/>
          <w:vertAlign w:val="superscript"/>
        </w:rPr>
        <w:t>3</w:t>
      </w:r>
      <w:r w:rsidRPr="007214E1">
        <w:rPr>
          <w:rFonts w:ascii="Book Antiqua" w:hAnsi="Book Antiqua"/>
          <w:vertAlign w:val="superscript"/>
        </w:rPr>
        <w:t>]</w:t>
      </w:r>
      <w:r w:rsidR="00B32708" w:rsidRPr="007214E1">
        <w:rPr>
          <w:rFonts w:ascii="Book Antiqua" w:eastAsia="宋体" w:hAnsi="Book Antiqua"/>
          <w:lang w:eastAsia="zh-CN"/>
        </w:rPr>
        <w:t xml:space="preserve"> (Table 6)</w:t>
      </w:r>
      <w:r w:rsidRPr="007214E1">
        <w:rPr>
          <w:rFonts w:ascii="Book Antiqua" w:hAnsi="Book Antiqua"/>
        </w:rPr>
        <w:t xml:space="preserve">. Patients with unresectable HCC underwent treatment with </w:t>
      </w:r>
      <w:proofErr w:type="spellStart"/>
      <w:r w:rsidRPr="007214E1">
        <w:rPr>
          <w:rFonts w:ascii="Book Antiqua" w:hAnsi="Book Antiqua"/>
        </w:rPr>
        <w:t>tremelimumab</w:t>
      </w:r>
      <w:proofErr w:type="spellEnd"/>
      <w:r w:rsidRPr="007214E1">
        <w:rPr>
          <w:rFonts w:ascii="Book Antiqua" w:hAnsi="Book Antiqua"/>
        </w:rPr>
        <w:t xml:space="preserve"> and radiofrequency ablation or chemoablation in </w:t>
      </w:r>
      <w:r w:rsidR="0061302B" w:rsidRPr="007214E1">
        <w:rPr>
          <w:rFonts w:ascii="Book Antiqua" w:hAnsi="Book Antiqua"/>
        </w:rPr>
        <w:t xml:space="preserve">a </w:t>
      </w:r>
      <w:r w:rsidRPr="007214E1">
        <w:rPr>
          <w:rFonts w:ascii="Book Antiqua" w:hAnsi="Book Antiqua"/>
        </w:rPr>
        <w:t xml:space="preserve">phase I study in which 32 patients were </w:t>
      </w:r>
      <w:proofErr w:type="gramStart"/>
      <w:r w:rsidRPr="007214E1">
        <w:rPr>
          <w:rFonts w:ascii="Book Antiqua" w:hAnsi="Book Antiqua"/>
        </w:rPr>
        <w:t>enrolled</w:t>
      </w:r>
      <w:r w:rsidRPr="007214E1">
        <w:rPr>
          <w:rFonts w:ascii="Book Antiqua" w:hAnsi="Book Antiqua"/>
          <w:vertAlign w:val="superscript"/>
        </w:rPr>
        <w:t>[</w:t>
      </w:r>
      <w:proofErr w:type="gramEnd"/>
      <w:r w:rsidRPr="007214E1">
        <w:rPr>
          <w:rFonts w:ascii="Book Antiqua" w:hAnsi="Book Antiqua"/>
          <w:vertAlign w:val="superscript"/>
        </w:rPr>
        <w:t>9</w:t>
      </w:r>
      <w:r w:rsidR="0061302B" w:rsidRPr="007214E1">
        <w:rPr>
          <w:rFonts w:ascii="Book Antiqua" w:hAnsi="Book Antiqua"/>
          <w:vertAlign w:val="superscript"/>
        </w:rPr>
        <w:t>1</w:t>
      </w:r>
      <w:r w:rsidRPr="007214E1">
        <w:rPr>
          <w:rFonts w:ascii="Book Antiqua" w:hAnsi="Book Antiqua"/>
          <w:vertAlign w:val="superscript"/>
        </w:rPr>
        <w:t>]</w:t>
      </w:r>
      <w:r w:rsidRPr="007214E1">
        <w:rPr>
          <w:rFonts w:ascii="Book Antiqua" w:hAnsi="Book Antiqua"/>
        </w:rPr>
        <w:t xml:space="preserve">. A partial response was noted in 5 out of 19 patients, and 12 out of 14 patients with confirmed HCV infection were noted to have a decrease in their viral load, consistent with prior studies involving </w:t>
      </w:r>
      <w:proofErr w:type="spellStart"/>
      <w:proofErr w:type="gramStart"/>
      <w:r w:rsidRPr="007214E1">
        <w:rPr>
          <w:rFonts w:ascii="Book Antiqua" w:hAnsi="Book Antiqua"/>
        </w:rPr>
        <w:t>tremelimumab</w:t>
      </w:r>
      <w:proofErr w:type="spellEnd"/>
      <w:r w:rsidRPr="007214E1">
        <w:rPr>
          <w:rFonts w:ascii="Book Antiqua" w:hAnsi="Book Antiqua"/>
          <w:vertAlign w:val="superscript"/>
        </w:rPr>
        <w:t>[</w:t>
      </w:r>
      <w:proofErr w:type="gramEnd"/>
      <w:r w:rsidR="007A6DDE" w:rsidRPr="007214E1">
        <w:rPr>
          <w:rFonts w:ascii="Book Antiqua" w:hAnsi="Book Antiqua"/>
          <w:vertAlign w:val="superscript"/>
        </w:rPr>
        <w:t>22</w:t>
      </w:r>
      <w:r w:rsidR="00696FEC" w:rsidRPr="007214E1">
        <w:rPr>
          <w:rFonts w:ascii="Book Antiqua" w:hAnsi="Book Antiqua"/>
          <w:vertAlign w:val="superscript"/>
        </w:rPr>
        <w:t>,</w:t>
      </w:r>
      <w:r w:rsidRPr="007214E1">
        <w:rPr>
          <w:rFonts w:ascii="Book Antiqua" w:hAnsi="Book Antiqua"/>
          <w:vertAlign w:val="superscript"/>
        </w:rPr>
        <w:t>9</w:t>
      </w:r>
      <w:r w:rsidR="0061302B" w:rsidRPr="007214E1">
        <w:rPr>
          <w:rFonts w:ascii="Book Antiqua" w:hAnsi="Book Antiqua"/>
          <w:vertAlign w:val="superscript"/>
        </w:rPr>
        <w:t>1</w:t>
      </w:r>
      <w:r w:rsidRPr="007214E1">
        <w:rPr>
          <w:rFonts w:ascii="Book Antiqua" w:hAnsi="Book Antiqua"/>
          <w:vertAlign w:val="superscript"/>
        </w:rPr>
        <w:t>]</w:t>
      </w:r>
      <w:r w:rsidRPr="007214E1">
        <w:rPr>
          <w:rFonts w:ascii="Book Antiqua" w:hAnsi="Book Antiqua"/>
        </w:rPr>
        <w:t xml:space="preserve">. The phase II </w:t>
      </w:r>
      <w:r w:rsidRPr="007214E1">
        <w:rPr>
          <w:rFonts w:ascii="Book Antiqua" w:hAnsi="Book Antiqua"/>
          <w:color w:val="000000"/>
        </w:rPr>
        <w:t xml:space="preserve">clinical trial </w:t>
      </w:r>
      <w:r w:rsidR="008773EC" w:rsidRPr="007214E1">
        <w:rPr>
          <w:rFonts w:ascii="Book Antiqua" w:hAnsi="Book Antiqua"/>
          <w:color w:val="000000"/>
        </w:rPr>
        <w:t>(NCT02821754) sponsored by the National Cancer Institute</w:t>
      </w:r>
      <w:r w:rsidR="00953423" w:rsidRPr="007214E1">
        <w:rPr>
          <w:rFonts w:ascii="Book Antiqua" w:hAnsi="Book Antiqua"/>
          <w:color w:val="000000"/>
        </w:rPr>
        <w:t xml:space="preserve"> (NCI)</w:t>
      </w:r>
      <w:r w:rsidR="008773EC" w:rsidRPr="007214E1">
        <w:rPr>
          <w:rFonts w:ascii="Book Antiqua" w:hAnsi="Book Antiqua"/>
          <w:color w:val="000000"/>
        </w:rPr>
        <w:t xml:space="preserve"> </w:t>
      </w:r>
      <w:r w:rsidRPr="007214E1">
        <w:rPr>
          <w:rFonts w:ascii="Book Antiqua" w:hAnsi="Book Antiqua"/>
          <w:color w:val="000000"/>
        </w:rPr>
        <w:t xml:space="preserve">includes an arm where patients with </w:t>
      </w:r>
      <w:r w:rsidR="008773EC" w:rsidRPr="007214E1">
        <w:rPr>
          <w:rFonts w:ascii="Book Antiqua" w:hAnsi="Book Antiqua"/>
          <w:color w:val="000000"/>
        </w:rPr>
        <w:t xml:space="preserve">advanced </w:t>
      </w:r>
      <w:r w:rsidRPr="007214E1">
        <w:rPr>
          <w:rFonts w:ascii="Book Antiqua" w:hAnsi="Book Antiqua"/>
          <w:color w:val="000000"/>
        </w:rPr>
        <w:t xml:space="preserve">HCC will receive </w:t>
      </w:r>
      <w:proofErr w:type="spellStart"/>
      <w:r w:rsidRPr="007214E1">
        <w:rPr>
          <w:rFonts w:ascii="Book Antiqua" w:hAnsi="Book Antiqua"/>
          <w:color w:val="000000"/>
        </w:rPr>
        <w:t>durvalumab</w:t>
      </w:r>
      <w:proofErr w:type="spellEnd"/>
      <w:r w:rsidRPr="007214E1">
        <w:rPr>
          <w:rFonts w:ascii="Book Antiqua" w:hAnsi="Book Antiqua"/>
          <w:color w:val="000000"/>
        </w:rPr>
        <w:t xml:space="preserve"> plus </w:t>
      </w:r>
      <w:proofErr w:type="spellStart"/>
      <w:r w:rsidRPr="007214E1">
        <w:rPr>
          <w:rFonts w:ascii="Book Antiqua" w:hAnsi="Book Antiqua"/>
          <w:color w:val="000000"/>
        </w:rPr>
        <w:t>tremelimumab</w:t>
      </w:r>
      <w:proofErr w:type="spellEnd"/>
      <w:r w:rsidRPr="007214E1">
        <w:rPr>
          <w:rFonts w:ascii="Book Antiqua" w:hAnsi="Book Antiqua"/>
          <w:color w:val="000000"/>
        </w:rPr>
        <w:t xml:space="preserve"> and RFA, and another where patients will receive cryoablation in </w:t>
      </w:r>
      <w:r w:rsidR="008773EC" w:rsidRPr="007214E1">
        <w:rPr>
          <w:rFonts w:ascii="Book Antiqua" w:hAnsi="Book Antiqua"/>
          <w:color w:val="000000"/>
        </w:rPr>
        <w:t>conjunction</w:t>
      </w:r>
      <w:r w:rsidRPr="007214E1">
        <w:rPr>
          <w:rFonts w:ascii="Book Antiqua" w:hAnsi="Book Antiqua"/>
          <w:color w:val="000000"/>
        </w:rPr>
        <w:t xml:space="preserve"> with the checkpoint inhibitors</w:t>
      </w:r>
      <w:r w:rsidR="008773EC" w:rsidRPr="007214E1">
        <w:rPr>
          <w:rFonts w:ascii="Book Antiqua" w:hAnsi="Book Antiqua"/>
          <w:color w:val="000000"/>
        </w:rPr>
        <w:t xml:space="preserve"> as second-line </w:t>
      </w:r>
      <w:proofErr w:type="gramStart"/>
      <w:r w:rsidR="008773EC" w:rsidRPr="007214E1">
        <w:rPr>
          <w:rFonts w:ascii="Book Antiqua" w:hAnsi="Book Antiqua"/>
          <w:color w:val="000000"/>
        </w:rPr>
        <w:t>therapy</w:t>
      </w:r>
      <w:r w:rsidRPr="007214E1">
        <w:rPr>
          <w:rFonts w:ascii="Book Antiqua" w:hAnsi="Book Antiqua"/>
          <w:color w:val="000000"/>
          <w:vertAlign w:val="superscript"/>
        </w:rPr>
        <w:t>[</w:t>
      </w:r>
      <w:proofErr w:type="gramEnd"/>
      <w:r w:rsidRPr="007214E1">
        <w:rPr>
          <w:rFonts w:ascii="Book Antiqua" w:hAnsi="Book Antiqua"/>
          <w:color w:val="000000"/>
          <w:vertAlign w:val="superscript"/>
        </w:rPr>
        <w:t>9</w:t>
      </w:r>
      <w:r w:rsidR="0061302B" w:rsidRPr="007214E1">
        <w:rPr>
          <w:rFonts w:ascii="Book Antiqua" w:hAnsi="Book Antiqua"/>
          <w:color w:val="000000"/>
          <w:vertAlign w:val="superscript"/>
        </w:rPr>
        <w:t>2</w:t>
      </w:r>
      <w:r w:rsidRPr="007214E1">
        <w:rPr>
          <w:rFonts w:ascii="Book Antiqua" w:hAnsi="Book Antiqua"/>
          <w:color w:val="000000"/>
          <w:vertAlign w:val="superscript"/>
        </w:rPr>
        <w:t>]</w:t>
      </w:r>
      <w:r w:rsidRPr="007214E1">
        <w:rPr>
          <w:rFonts w:ascii="Book Antiqua" w:hAnsi="Book Antiqua"/>
          <w:color w:val="000000"/>
        </w:rPr>
        <w:t>.</w:t>
      </w:r>
      <w:r w:rsidR="008773EC" w:rsidRPr="007214E1">
        <w:rPr>
          <w:rFonts w:ascii="Book Antiqua" w:hAnsi="Book Antiqua"/>
          <w:color w:val="000000"/>
        </w:rPr>
        <w:t xml:space="preserve"> Progression-free survival is the primary </w:t>
      </w:r>
      <w:proofErr w:type="gramStart"/>
      <w:r w:rsidR="008773EC" w:rsidRPr="007214E1">
        <w:rPr>
          <w:rFonts w:ascii="Book Antiqua" w:hAnsi="Book Antiqua"/>
          <w:color w:val="000000"/>
        </w:rPr>
        <w:t>outcome</w:t>
      </w:r>
      <w:r w:rsidR="008773EC" w:rsidRPr="007214E1">
        <w:rPr>
          <w:rFonts w:ascii="Book Antiqua" w:hAnsi="Book Antiqua"/>
          <w:color w:val="000000"/>
          <w:vertAlign w:val="superscript"/>
        </w:rPr>
        <w:t>[</w:t>
      </w:r>
      <w:proofErr w:type="gramEnd"/>
      <w:r w:rsidR="008773EC" w:rsidRPr="007214E1">
        <w:rPr>
          <w:rFonts w:ascii="Book Antiqua" w:hAnsi="Book Antiqua"/>
          <w:color w:val="000000"/>
          <w:vertAlign w:val="superscript"/>
        </w:rPr>
        <w:t>9</w:t>
      </w:r>
      <w:r w:rsidR="0061302B" w:rsidRPr="007214E1">
        <w:rPr>
          <w:rFonts w:ascii="Book Antiqua" w:hAnsi="Book Antiqua"/>
          <w:color w:val="000000"/>
          <w:vertAlign w:val="superscript"/>
        </w:rPr>
        <w:t>2</w:t>
      </w:r>
      <w:r w:rsidR="008773EC" w:rsidRPr="007214E1">
        <w:rPr>
          <w:rFonts w:ascii="Book Antiqua" w:hAnsi="Book Antiqua"/>
          <w:color w:val="000000"/>
          <w:vertAlign w:val="superscript"/>
        </w:rPr>
        <w:t>]</w:t>
      </w:r>
      <w:r w:rsidR="008773EC" w:rsidRPr="007214E1">
        <w:rPr>
          <w:rFonts w:ascii="Book Antiqua" w:hAnsi="Book Antiqua"/>
          <w:color w:val="000000"/>
        </w:rPr>
        <w:t xml:space="preserve">. </w:t>
      </w:r>
      <w:r w:rsidRPr="007214E1">
        <w:rPr>
          <w:rFonts w:ascii="Book Antiqua" w:hAnsi="Book Antiqua"/>
          <w:color w:val="000000"/>
        </w:rPr>
        <w:t xml:space="preserve">Studies involving pembrolizumab include the IMMULAB phase II study (NCT03753659), which will test the combination of RFA or microwave ablation </w:t>
      </w:r>
      <w:r w:rsidR="008773EC" w:rsidRPr="007214E1">
        <w:rPr>
          <w:rFonts w:ascii="Book Antiqua" w:hAnsi="Book Antiqua"/>
          <w:color w:val="000000"/>
        </w:rPr>
        <w:t>plus</w:t>
      </w:r>
      <w:r w:rsidRPr="007214E1">
        <w:rPr>
          <w:rFonts w:ascii="Book Antiqua" w:hAnsi="Book Antiqua"/>
          <w:color w:val="000000"/>
        </w:rPr>
        <w:t xml:space="preserve"> pembrolizumab in 30 patients who had not received prior systemic therapy</w:t>
      </w:r>
      <w:r w:rsidR="008773EC" w:rsidRPr="007214E1">
        <w:rPr>
          <w:rFonts w:ascii="Book Antiqua" w:hAnsi="Book Antiqua"/>
          <w:color w:val="000000"/>
        </w:rPr>
        <w:t xml:space="preserve"> and report ORR as the primary </w:t>
      </w:r>
      <w:proofErr w:type="gramStart"/>
      <w:r w:rsidR="008773EC" w:rsidRPr="007214E1">
        <w:rPr>
          <w:rFonts w:ascii="Book Antiqua" w:hAnsi="Book Antiqua"/>
          <w:color w:val="000000"/>
        </w:rPr>
        <w:t>outcome</w:t>
      </w:r>
      <w:r w:rsidRPr="007214E1">
        <w:rPr>
          <w:rFonts w:ascii="Book Antiqua" w:hAnsi="Book Antiqua"/>
          <w:color w:val="000000"/>
          <w:vertAlign w:val="superscript"/>
        </w:rPr>
        <w:t>[</w:t>
      </w:r>
      <w:proofErr w:type="gramEnd"/>
      <w:r w:rsidRPr="007214E1">
        <w:rPr>
          <w:rFonts w:ascii="Book Antiqua" w:hAnsi="Book Antiqua"/>
          <w:color w:val="000000"/>
          <w:vertAlign w:val="superscript"/>
        </w:rPr>
        <w:t>9</w:t>
      </w:r>
      <w:r w:rsidR="0061302B" w:rsidRPr="007214E1">
        <w:rPr>
          <w:rFonts w:ascii="Book Antiqua" w:hAnsi="Book Antiqua"/>
          <w:color w:val="000000"/>
          <w:vertAlign w:val="superscript"/>
        </w:rPr>
        <w:t>3</w:t>
      </w:r>
      <w:r w:rsidRPr="007214E1">
        <w:rPr>
          <w:rFonts w:ascii="Book Antiqua" w:hAnsi="Book Antiqua"/>
          <w:color w:val="000000"/>
          <w:vertAlign w:val="superscript"/>
        </w:rPr>
        <w:t>]</w:t>
      </w:r>
      <w:r w:rsidR="00C658A7" w:rsidRPr="007214E1">
        <w:rPr>
          <w:rFonts w:ascii="Book Antiqua" w:hAnsi="Book Antiqua"/>
          <w:color w:val="000000"/>
        </w:rPr>
        <w:t>.</w:t>
      </w:r>
    </w:p>
    <w:p w14:paraId="2598B988" w14:textId="77777777" w:rsidR="00696FEC" w:rsidRPr="007214E1" w:rsidRDefault="00696FEC" w:rsidP="00EB43EE">
      <w:pPr>
        <w:snapToGrid w:val="0"/>
        <w:spacing w:line="360" w:lineRule="auto"/>
        <w:jc w:val="both"/>
        <w:rPr>
          <w:rFonts w:ascii="Book Antiqua" w:hAnsi="Book Antiqua"/>
          <w:i/>
        </w:rPr>
      </w:pPr>
    </w:p>
    <w:p w14:paraId="360DDDEB" w14:textId="2929BD68" w:rsidR="009F0467" w:rsidRPr="007214E1" w:rsidRDefault="00D9796C" w:rsidP="00EB43EE">
      <w:pPr>
        <w:snapToGrid w:val="0"/>
        <w:spacing w:line="360" w:lineRule="auto"/>
        <w:jc w:val="both"/>
        <w:rPr>
          <w:rFonts w:ascii="Book Antiqua" w:hAnsi="Book Antiqua"/>
          <w:b/>
          <w:i/>
        </w:rPr>
      </w:pPr>
      <w:r w:rsidRPr="007214E1">
        <w:rPr>
          <w:rFonts w:ascii="Book Antiqua" w:hAnsi="Book Antiqua"/>
          <w:b/>
          <w:i/>
        </w:rPr>
        <w:t xml:space="preserve">Checkpoint </w:t>
      </w:r>
      <w:r w:rsidR="00C658A7" w:rsidRPr="007214E1">
        <w:rPr>
          <w:rFonts w:ascii="Book Antiqua" w:hAnsi="Book Antiqua"/>
          <w:b/>
          <w:i/>
        </w:rPr>
        <w:t xml:space="preserve">inhibitors plus </w:t>
      </w:r>
      <w:r w:rsidRPr="007214E1">
        <w:rPr>
          <w:rFonts w:ascii="Book Antiqua" w:hAnsi="Book Antiqua"/>
          <w:b/>
          <w:i/>
        </w:rPr>
        <w:t>TACE</w:t>
      </w:r>
    </w:p>
    <w:p w14:paraId="1E7CC21B" w14:textId="1EA99BCC" w:rsidR="00F50CD6" w:rsidRPr="007214E1" w:rsidRDefault="009F0467" w:rsidP="00EB43EE">
      <w:pPr>
        <w:snapToGrid w:val="0"/>
        <w:spacing w:line="360" w:lineRule="auto"/>
        <w:jc w:val="both"/>
        <w:rPr>
          <w:rFonts w:ascii="Book Antiqua" w:hAnsi="Book Antiqua"/>
        </w:rPr>
      </w:pPr>
      <w:r w:rsidRPr="007214E1">
        <w:rPr>
          <w:rFonts w:ascii="Book Antiqua" w:hAnsi="Book Antiqua"/>
        </w:rPr>
        <w:t>TACE</w:t>
      </w:r>
      <w:r w:rsidR="00696FEC" w:rsidRPr="007214E1">
        <w:rPr>
          <w:rFonts w:ascii="Book Antiqua" w:hAnsi="Book Antiqua"/>
        </w:rPr>
        <w:t xml:space="preserve"> plus immunotherapy</w:t>
      </w:r>
      <w:r w:rsidRPr="007214E1">
        <w:rPr>
          <w:rFonts w:ascii="Book Antiqua" w:hAnsi="Book Antiqua"/>
        </w:rPr>
        <w:t xml:space="preserve"> </w:t>
      </w:r>
      <w:r w:rsidR="00696FEC" w:rsidRPr="007214E1">
        <w:rPr>
          <w:rFonts w:ascii="Book Antiqua" w:hAnsi="Book Antiqua"/>
        </w:rPr>
        <w:t>may be</w:t>
      </w:r>
      <w:r w:rsidRPr="007214E1">
        <w:rPr>
          <w:rFonts w:ascii="Book Antiqua" w:hAnsi="Book Antiqua"/>
        </w:rPr>
        <w:t xml:space="preserve"> appropriate for patients with intermediate-stage disease, including those with BCLC class B disease</w:t>
      </w:r>
      <w:r w:rsidR="00696FEC" w:rsidRPr="007214E1">
        <w:rPr>
          <w:rFonts w:ascii="Book Antiqua" w:hAnsi="Book Antiqua"/>
        </w:rPr>
        <w:t xml:space="preserve"> based on current indications for </w:t>
      </w:r>
      <w:proofErr w:type="gramStart"/>
      <w:r w:rsidR="00696FEC" w:rsidRPr="007214E1">
        <w:rPr>
          <w:rFonts w:ascii="Book Antiqua" w:hAnsi="Book Antiqua"/>
        </w:rPr>
        <w:t>TACE</w:t>
      </w:r>
      <w:r w:rsidRPr="007214E1">
        <w:rPr>
          <w:rFonts w:ascii="Book Antiqua" w:hAnsi="Book Antiqua"/>
          <w:vertAlign w:val="superscript"/>
        </w:rPr>
        <w:t>[</w:t>
      </w:r>
      <w:proofErr w:type="gramEnd"/>
      <w:r w:rsidR="008773EC" w:rsidRPr="007214E1">
        <w:rPr>
          <w:rFonts w:ascii="Book Antiqua" w:hAnsi="Book Antiqua"/>
          <w:vertAlign w:val="superscript"/>
        </w:rPr>
        <w:t>4</w:t>
      </w:r>
      <w:r w:rsidRPr="007214E1">
        <w:rPr>
          <w:rFonts w:ascii="Book Antiqua" w:hAnsi="Book Antiqua"/>
          <w:vertAlign w:val="superscript"/>
        </w:rPr>
        <w:t>]</w:t>
      </w:r>
      <w:r w:rsidRPr="007214E1">
        <w:rPr>
          <w:rFonts w:ascii="Book Antiqua" w:hAnsi="Book Antiqua"/>
        </w:rPr>
        <w:t xml:space="preserve">. Some patients who are ineligible for RFA, such as those with larger tumors, multiple lesions, or smaller tumors which cannot be safely ablated may be candidates for </w:t>
      </w:r>
      <w:proofErr w:type="gramStart"/>
      <w:r w:rsidRPr="007214E1">
        <w:rPr>
          <w:rFonts w:ascii="Book Antiqua" w:hAnsi="Book Antiqua"/>
        </w:rPr>
        <w:t>TACE</w:t>
      </w:r>
      <w:r w:rsidRPr="007214E1">
        <w:rPr>
          <w:rFonts w:ascii="Book Antiqua" w:hAnsi="Book Antiqua"/>
          <w:vertAlign w:val="superscript"/>
        </w:rPr>
        <w:t>[</w:t>
      </w:r>
      <w:proofErr w:type="gramEnd"/>
      <w:r w:rsidR="008773EC" w:rsidRPr="007214E1">
        <w:rPr>
          <w:rFonts w:ascii="Book Antiqua" w:hAnsi="Book Antiqua"/>
          <w:vertAlign w:val="superscript"/>
        </w:rPr>
        <w:t>4</w:t>
      </w:r>
      <w:r w:rsidRPr="007214E1">
        <w:rPr>
          <w:rFonts w:ascii="Book Antiqua" w:hAnsi="Book Antiqua"/>
          <w:vertAlign w:val="superscript"/>
        </w:rPr>
        <w:t>]</w:t>
      </w:r>
      <w:r w:rsidRPr="007214E1">
        <w:rPr>
          <w:rFonts w:ascii="Book Antiqua" w:hAnsi="Book Antiqua"/>
        </w:rPr>
        <w:t>. Potential adverse events of TACE therapy include damage to the hepatic artery, bile duct injury, acute liver failure, variceal bleeding</w:t>
      </w:r>
      <w:r w:rsidRPr="007214E1">
        <w:rPr>
          <w:rFonts w:ascii="Book Antiqua" w:hAnsi="Book Antiqua"/>
          <w:i/>
        </w:rPr>
        <w:t xml:space="preserve">, </w:t>
      </w:r>
      <w:r w:rsidRPr="007214E1">
        <w:rPr>
          <w:rFonts w:ascii="Book Antiqua" w:hAnsi="Book Antiqua"/>
        </w:rPr>
        <w:t xml:space="preserve">and </w:t>
      </w:r>
      <w:proofErr w:type="gramStart"/>
      <w:r w:rsidRPr="007214E1">
        <w:rPr>
          <w:rFonts w:ascii="Book Antiqua" w:hAnsi="Book Antiqua"/>
        </w:rPr>
        <w:t>cholecystitis</w:t>
      </w:r>
      <w:r w:rsidRPr="007214E1">
        <w:rPr>
          <w:rFonts w:ascii="Book Antiqua" w:hAnsi="Book Antiqua"/>
          <w:vertAlign w:val="superscript"/>
        </w:rPr>
        <w:t>[</w:t>
      </w:r>
      <w:proofErr w:type="gramEnd"/>
      <w:r w:rsidR="00F56928" w:rsidRPr="007214E1">
        <w:rPr>
          <w:rFonts w:ascii="Book Antiqua" w:hAnsi="Book Antiqua"/>
          <w:vertAlign w:val="superscript"/>
        </w:rPr>
        <w:t>8</w:t>
      </w:r>
      <w:r w:rsidR="0061302B" w:rsidRPr="007214E1">
        <w:rPr>
          <w:rFonts w:ascii="Book Antiqua" w:hAnsi="Book Antiqua"/>
          <w:vertAlign w:val="superscript"/>
        </w:rPr>
        <w:t>9</w:t>
      </w:r>
      <w:r w:rsidR="00C658A7" w:rsidRPr="007214E1">
        <w:rPr>
          <w:rFonts w:ascii="Book Antiqua" w:hAnsi="Book Antiqua"/>
          <w:vertAlign w:val="superscript"/>
        </w:rPr>
        <w:t>,</w:t>
      </w:r>
      <w:r w:rsidRPr="007214E1">
        <w:rPr>
          <w:rFonts w:ascii="Book Antiqua" w:hAnsi="Book Antiqua"/>
          <w:vertAlign w:val="superscript"/>
        </w:rPr>
        <w:t>9</w:t>
      </w:r>
      <w:r w:rsidR="0061302B" w:rsidRPr="007214E1">
        <w:rPr>
          <w:rFonts w:ascii="Book Antiqua" w:hAnsi="Book Antiqua"/>
          <w:vertAlign w:val="superscript"/>
        </w:rPr>
        <w:t>4</w:t>
      </w:r>
      <w:r w:rsidRPr="007214E1">
        <w:rPr>
          <w:rFonts w:ascii="Book Antiqua" w:hAnsi="Book Antiqua"/>
          <w:vertAlign w:val="superscript"/>
        </w:rPr>
        <w:t>]</w:t>
      </w:r>
      <w:r w:rsidRPr="007214E1">
        <w:rPr>
          <w:rFonts w:ascii="Book Antiqua" w:hAnsi="Book Antiqua"/>
        </w:rPr>
        <w:t>.</w:t>
      </w:r>
      <w:r w:rsidRPr="007214E1">
        <w:rPr>
          <w:rFonts w:ascii="Book Antiqua" w:hAnsi="Book Antiqua"/>
          <w:i/>
        </w:rPr>
        <w:t xml:space="preserve"> </w:t>
      </w:r>
      <w:r w:rsidRPr="007214E1">
        <w:rPr>
          <w:rFonts w:ascii="Book Antiqua" w:hAnsi="Book Antiqua"/>
        </w:rPr>
        <w:t xml:space="preserve">Specific protocols for performing TACE may differ, and the types of chemotherapy, embolic agents, and schedule of </w:t>
      </w:r>
      <w:r w:rsidRPr="007214E1">
        <w:rPr>
          <w:rFonts w:ascii="Book Antiqua" w:hAnsi="Book Antiqua"/>
        </w:rPr>
        <w:lastRenderedPageBreak/>
        <w:t xml:space="preserve">TACE sessions may vary between institutions, among other </w:t>
      </w:r>
      <w:proofErr w:type="gramStart"/>
      <w:r w:rsidR="0061302B" w:rsidRPr="007214E1">
        <w:rPr>
          <w:rFonts w:ascii="Book Antiqua" w:hAnsi="Book Antiqua"/>
        </w:rPr>
        <w:t>factors</w:t>
      </w:r>
      <w:r w:rsidRPr="007214E1">
        <w:rPr>
          <w:rFonts w:ascii="Book Antiqua" w:hAnsi="Book Antiqua"/>
          <w:vertAlign w:val="superscript"/>
        </w:rPr>
        <w:t>[</w:t>
      </w:r>
      <w:proofErr w:type="gramEnd"/>
      <w:r w:rsidR="0061302B" w:rsidRPr="007214E1">
        <w:rPr>
          <w:rFonts w:ascii="Book Antiqua" w:hAnsi="Book Antiqua"/>
          <w:vertAlign w:val="superscript"/>
        </w:rPr>
        <w:t>89</w:t>
      </w:r>
      <w:r w:rsidRPr="007214E1">
        <w:rPr>
          <w:rFonts w:ascii="Book Antiqua" w:hAnsi="Book Antiqua"/>
          <w:vertAlign w:val="superscript"/>
        </w:rPr>
        <w:t>]</w:t>
      </w:r>
      <w:r w:rsidRPr="007214E1">
        <w:rPr>
          <w:rFonts w:ascii="Book Antiqua" w:hAnsi="Book Antiqua"/>
        </w:rPr>
        <w:t xml:space="preserve">. This variation in how TACE is performed may lead to variation in side-effect profiles, and could affect </w:t>
      </w:r>
      <w:r w:rsidR="00696FEC" w:rsidRPr="007214E1">
        <w:rPr>
          <w:rFonts w:ascii="Book Antiqua" w:hAnsi="Book Antiqua"/>
        </w:rPr>
        <w:t xml:space="preserve">the efficacy of combination therapies when compared across medical </w:t>
      </w:r>
      <w:proofErr w:type="gramStart"/>
      <w:r w:rsidR="00696FEC" w:rsidRPr="007214E1">
        <w:rPr>
          <w:rFonts w:ascii="Book Antiqua" w:hAnsi="Book Antiqua"/>
        </w:rPr>
        <w:t>centers</w:t>
      </w:r>
      <w:r w:rsidR="00696FEC" w:rsidRPr="007214E1">
        <w:rPr>
          <w:rFonts w:ascii="Book Antiqua" w:hAnsi="Book Antiqua"/>
          <w:vertAlign w:val="superscript"/>
        </w:rPr>
        <w:t>[</w:t>
      </w:r>
      <w:proofErr w:type="gramEnd"/>
      <w:r w:rsidR="0061302B" w:rsidRPr="007214E1">
        <w:rPr>
          <w:rFonts w:ascii="Book Antiqua" w:hAnsi="Book Antiqua"/>
          <w:vertAlign w:val="superscript"/>
        </w:rPr>
        <w:t>89</w:t>
      </w:r>
      <w:r w:rsidRPr="007214E1">
        <w:rPr>
          <w:rFonts w:ascii="Book Antiqua" w:hAnsi="Book Antiqua"/>
          <w:vertAlign w:val="superscript"/>
        </w:rPr>
        <w:t>]</w:t>
      </w:r>
      <w:r w:rsidR="00C658A7" w:rsidRPr="007214E1">
        <w:rPr>
          <w:rFonts w:ascii="Book Antiqua" w:hAnsi="Book Antiqua"/>
        </w:rPr>
        <w:t>.</w:t>
      </w:r>
    </w:p>
    <w:p w14:paraId="53B51C68" w14:textId="2B5950A7" w:rsidR="00BE1C62" w:rsidRPr="007214E1" w:rsidRDefault="00BE1C62" w:rsidP="00EB43EE">
      <w:pPr>
        <w:snapToGrid w:val="0"/>
        <w:spacing w:line="360" w:lineRule="auto"/>
        <w:ind w:firstLineChars="100" w:firstLine="240"/>
        <w:jc w:val="both"/>
        <w:rPr>
          <w:rFonts w:ascii="Book Antiqua" w:hAnsi="Book Antiqua"/>
          <w:color w:val="000000"/>
        </w:rPr>
      </w:pPr>
      <w:r w:rsidRPr="007214E1">
        <w:rPr>
          <w:rFonts w:ascii="Book Antiqua" w:hAnsi="Book Antiqua"/>
        </w:rPr>
        <w:t xml:space="preserve">Multiple studies testing the safety of treatment combinations involving </w:t>
      </w:r>
      <w:r w:rsidR="00696FEC" w:rsidRPr="007214E1">
        <w:rPr>
          <w:rFonts w:ascii="Book Antiqua" w:hAnsi="Book Antiqua"/>
        </w:rPr>
        <w:t>checkpoint</w:t>
      </w:r>
      <w:r w:rsidRPr="007214E1">
        <w:rPr>
          <w:rFonts w:ascii="Book Antiqua" w:hAnsi="Book Antiqua"/>
        </w:rPr>
        <w:t xml:space="preserve"> </w:t>
      </w:r>
      <w:r w:rsidR="004A1921" w:rsidRPr="007214E1">
        <w:rPr>
          <w:rFonts w:ascii="Book Antiqua" w:hAnsi="Book Antiqua"/>
        </w:rPr>
        <w:t xml:space="preserve">inhibitors </w:t>
      </w:r>
      <w:r w:rsidRPr="007214E1">
        <w:rPr>
          <w:rFonts w:ascii="Book Antiqua" w:hAnsi="Book Antiqua"/>
        </w:rPr>
        <w:t xml:space="preserve">and TACE are </w:t>
      </w:r>
      <w:proofErr w:type="gramStart"/>
      <w:r w:rsidR="00696FEC" w:rsidRPr="007214E1">
        <w:rPr>
          <w:rFonts w:ascii="Book Antiqua" w:hAnsi="Book Antiqua"/>
        </w:rPr>
        <w:t>active</w:t>
      </w:r>
      <w:r w:rsidR="007E617B" w:rsidRPr="007214E1">
        <w:rPr>
          <w:rFonts w:ascii="Book Antiqua" w:hAnsi="Book Antiqua"/>
          <w:vertAlign w:val="superscript"/>
        </w:rPr>
        <w:t>[</w:t>
      </w:r>
      <w:proofErr w:type="gramEnd"/>
      <w:r w:rsidR="0061302B" w:rsidRPr="007214E1">
        <w:rPr>
          <w:rFonts w:ascii="Book Antiqua" w:hAnsi="Book Antiqua"/>
          <w:vertAlign w:val="superscript"/>
        </w:rPr>
        <w:t>95-99</w:t>
      </w:r>
      <w:r w:rsidR="007E617B" w:rsidRPr="007214E1">
        <w:rPr>
          <w:rFonts w:ascii="Book Antiqua" w:hAnsi="Book Antiqua"/>
          <w:vertAlign w:val="superscript"/>
        </w:rPr>
        <w:t>]</w:t>
      </w:r>
      <w:r w:rsidR="00B32708" w:rsidRPr="007214E1">
        <w:rPr>
          <w:rFonts w:ascii="Book Antiqua" w:eastAsia="宋体" w:hAnsi="Book Antiqua"/>
          <w:lang w:eastAsia="zh-CN"/>
        </w:rPr>
        <w:t xml:space="preserve"> (Table 6)</w:t>
      </w:r>
      <w:r w:rsidRPr="007214E1">
        <w:rPr>
          <w:rFonts w:ascii="Book Antiqua" w:hAnsi="Book Antiqua"/>
        </w:rPr>
        <w:t xml:space="preserve">. </w:t>
      </w:r>
      <w:r w:rsidRPr="007214E1">
        <w:rPr>
          <w:rFonts w:ascii="Book Antiqua" w:hAnsi="Book Antiqua"/>
          <w:color w:val="000000"/>
        </w:rPr>
        <w:t>The phase II</w:t>
      </w:r>
      <w:r w:rsidR="00953423" w:rsidRPr="007214E1">
        <w:rPr>
          <w:rFonts w:ascii="Book Antiqua" w:hAnsi="Book Antiqua"/>
          <w:color w:val="000000"/>
        </w:rPr>
        <w:t xml:space="preserve">, single-arm </w:t>
      </w:r>
      <w:r w:rsidRPr="007214E1">
        <w:rPr>
          <w:rFonts w:ascii="Book Antiqua" w:hAnsi="Book Antiqua"/>
          <w:color w:val="000000"/>
        </w:rPr>
        <w:t>IMMUTACE study from Germany (</w:t>
      </w:r>
      <w:r w:rsidRPr="007214E1">
        <w:rPr>
          <w:rFonts w:ascii="Book Antiqua" w:hAnsi="Book Antiqua"/>
          <w:color w:val="000000"/>
          <w:shd w:val="clear" w:color="auto" w:fill="FFFFFF"/>
        </w:rPr>
        <w:t>NCT03572582</w:t>
      </w:r>
      <w:r w:rsidRPr="007214E1">
        <w:rPr>
          <w:rFonts w:ascii="Book Antiqua" w:hAnsi="Book Antiqua"/>
          <w:color w:val="000000"/>
        </w:rPr>
        <w:t xml:space="preserve">) will study the effectiveness and safety of nivolumab </w:t>
      </w:r>
      <w:r w:rsidR="00953423" w:rsidRPr="007214E1">
        <w:rPr>
          <w:rFonts w:ascii="Book Antiqua" w:hAnsi="Book Antiqua"/>
          <w:color w:val="000000"/>
        </w:rPr>
        <w:t>plus</w:t>
      </w:r>
      <w:r w:rsidRPr="007214E1">
        <w:rPr>
          <w:rFonts w:ascii="Book Antiqua" w:hAnsi="Book Antiqua"/>
          <w:color w:val="000000"/>
        </w:rPr>
        <w:t xml:space="preserve"> TACE for patients with intermediate-stage HCC who have not received prior systemic therapy or TACE</w:t>
      </w:r>
      <w:r w:rsidR="00953423" w:rsidRPr="007214E1">
        <w:rPr>
          <w:rFonts w:ascii="Book Antiqua" w:hAnsi="Book Antiqua"/>
          <w:color w:val="000000"/>
        </w:rPr>
        <w:t xml:space="preserve">, with ORR as the primary </w:t>
      </w:r>
      <w:proofErr w:type="gramStart"/>
      <w:r w:rsidR="00953423" w:rsidRPr="007214E1">
        <w:rPr>
          <w:rFonts w:ascii="Book Antiqua" w:hAnsi="Book Antiqua"/>
          <w:color w:val="000000"/>
        </w:rPr>
        <w:t>endpoint</w:t>
      </w:r>
      <w:r w:rsidRPr="007214E1">
        <w:rPr>
          <w:rFonts w:ascii="Book Antiqua" w:hAnsi="Book Antiqua"/>
          <w:color w:val="000000"/>
          <w:vertAlign w:val="superscript"/>
        </w:rPr>
        <w:t>[</w:t>
      </w:r>
      <w:proofErr w:type="gramEnd"/>
      <w:r w:rsidR="00696FEC" w:rsidRPr="007214E1">
        <w:rPr>
          <w:rFonts w:ascii="Book Antiqua" w:hAnsi="Book Antiqua"/>
          <w:color w:val="000000"/>
          <w:vertAlign w:val="superscript"/>
        </w:rPr>
        <w:t>9</w:t>
      </w:r>
      <w:r w:rsidR="0061302B" w:rsidRPr="007214E1">
        <w:rPr>
          <w:rFonts w:ascii="Book Antiqua" w:hAnsi="Book Antiqua"/>
          <w:color w:val="000000"/>
          <w:vertAlign w:val="superscript"/>
        </w:rPr>
        <w:t>5</w:t>
      </w:r>
      <w:r w:rsidRPr="007214E1">
        <w:rPr>
          <w:rFonts w:ascii="Book Antiqua" w:hAnsi="Book Antiqua"/>
          <w:color w:val="000000"/>
          <w:vertAlign w:val="superscript"/>
        </w:rPr>
        <w:t>]</w:t>
      </w:r>
      <w:r w:rsidRPr="007214E1">
        <w:rPr>
          <w:rFonts w:ascii="Book Antiqua" w:hAnsi="Book Antiqua"/>
          <w:color w:val="000000"/>
        </w:rPr>
        <w:t xml:space="preserve">. The combination of TACE and pembrolizumab will be </w:t>
      </w:r>
      <w:r w:rsidR="00953423" w:rsidRPr="007214E1">
        <w:rPr>
          <w:rFonts w:ascii="Book Antiqua" w:hAnsi="Book Antiqua"/>
          <w:color w:val="000000"/>
        </w:rPr>
        <w:t>studied</w:t>
      </w:r>
      <w:r w:rsidRPr="007214E1">
        <w:rPr>
          <w:rFonts w:ascii="Book Antiqua" w:hAnsi="Book Antiqua"/>
          <w:color w:val="000000"/>
        </w:rPr>
        <w:t xml:space="preserve"> as first-line therapy in the phase </w:t>
      </w:r>
      <w:r w:rsidR="00953423" w:rsidRPr="007214E1">
        <w:rPr>
          <w:rFonts w:ascii="Book Antiqua" w:hAnsi="Book Antiqua"/>
          <w:color w:val="000000"/>
        </w:rPr>
        <w:t>I/</w:t>
      </w:r>
      <w:r w:rsidRPr="007214E1">
        <w:rPr>
          <w:rFonts w:ascii="Book Antiqua" w:hAnsi="Book Antiqua"/>
          <w:color w:val="000000"/>
        </w:rPr>
        <w:t>II</w:t>
      </w:r>
      <w:r w:rsidR="00953423" w:rsidRPr="007214E1">
        <w:rPr>
          <w:rFonts w:ascii="Book Antiqua" w:hAnsi="Book Antiqua"/>
          <w:color w:val="000000"/>
        </w:rPr>
        <w:t xml:space="preserve">, single-arm </w:t>
      </w:r>
      <w:r w:rsidRPr="007214E1">
        <w:rPr>
          <w:rFonts w:ascii="Book Antiqua" w:hAnsi="Book Antiqua"/>
          <w:color w:val="000000"/>
        </w:rPr>
        <w:t>PETAL trial (NCT03397654)</w:t>
      </w:r>
      <w:r w:rsidR="00953423" w:rsidRPr="007214E1">
        <w:rPr>
          <w:rFonts w:ascii="Book Antiqua" w:hAnsi="Book Antiqua"/>
          <w:color w:val="000000"/>
        </w:rPr>
        <w:t xml:space="preserve">, which will report the incidence of adverse effects as the primary outcome </w:t>
      </w:r>
      <w:proofErr w:type="gramStart"/>
      <w:r w:rsidR="00953423" w:rsidRPr="007214E1">
        <w:rPr>
          <w:rFonts w:ascii="Book Antiqua" w:hAnsi="Book Antiqua"/>
          <w:color w:val="000000"/>
        </w:rPr>
        <w:t>measure</w:t>
      </w:r>
      <w:r w:rsidR="00696FEC" w:rsidRPr="007214E1">
        <w:rPr>
          <w:rFonts w:ascii="Book Antiqua" w:hAnsi="Book Antiqua"/>
          <w:color w:val="000000"/>
          <w:vertAlign w:val="superscript"/>
        </w:rPr>
        <w:t>[</w:t>
      </w:r>
      <w:proofErr w:type="gramEnd"/>
      <w:r w:rsidR="00696FEC" w:rsidRPr="007214E1">
        <w:rPr>
          <w:rFonts w:ascii="Book Antiqua" w:hAnsi="Book Antiqua"/>
          <w:color w:val="000000"/>
          <w:vertAlign w:val="superscript"/>
        </w:rPr>
        <w:t>9</w:t>
      </w:r>
      <w:r w:rsidR="0061302B" w:rsidRPr="007214E1">
        <w:rPr>
          <w:rFonts w:ascii="Book Antiqua" w:hAnsi="Book Antiqua"/>
          <w:color w:val="000000"/>
          <w:vertAlign w:val="superscript"/>
        </w:rPr>
        <w:t>6</w:t>
      </w:r>
      <w:r w:rsidR="00696FEC" w:rsidRPr="007214E1">
        <w:rPr>
          <w:rFonts w:ascii="Book Antiqua" w:hAnsi="Book Antiqua"/>
          <w:color w:val="000000"/>
          <w:vertAlign w:val="superscript"/>
        </w:rPr>
        <w:t>]</w:t>
      </w:r>
      <w:r w:rsidR="00696FEC" w:rsidRPr="007214E1">
        <w:rPr>
          <w:rFonts w:ascii="Book Antiqua" w:hAnsi="Book Antiqua"/>
          <w:color w:val="000000"/>
        </w:rPr>
        <w:t>.</w:t>
      </w:r>
      <w:r w:rsidRPr="007214E1">
        <w:rPr>
          <w:rFonts w:ascii="Book Antiqua" w:hAnsi="Book Antiqua"/>
          <w:i/>
          <w:color w:val="000000"/>
        </w:rPr>
        <w:t xml:space="preserve"> </w:t>
      </w:r>
      <w:r w:rsidR="00953423" w:rsidRPr="007214E1">
        <w:rPr>
          <w:rFonts w:ascii="Book Antiqua" w:hAnsi="Book Antiqua"/>
          <w:color w:val="000000"/>
        </w:rPr>
        <w:t>A phase II</w:t>
      </w:r>
      <w:r w:rsidRPr="007214E1">
        <w:rPr>
          <w:rFonts w:ascii="Book Antiqua" w:hAnsi="Book Antiqua"/>
          <w:color w:val="000000"/>
        </w:rPr>
        <w:t xml:space="preserve"> clinical trial </w:t>
      </w:r>
      <w:r w:rsidR="00953423" w:rsidRPr="007214E1">
        <w:rPr>
          <w:rFonts w:ascii="Book Antiqua" w:hAnsi="Book Antiqua"/>
          <w:color w:val="000000"/>
        </w:rPr>
        <w:t xml:space="preserve">(NCT03638141) </w:t>
      </w:r>
      <w:r w:rsidRPr="007214E1">
        <w:rPr>
          <w:rFonts w:ascii="Book Antiqua" w:hAnsi="Book Antiqua"/>
          <w:color w:val="000000"/>
        </w:rPr>
        <w:t xml:space="preserve">will </w:t>
      </w:r>
      <w:r w:rsidR="00953423" w:rsidRPr="007214E1">
        <w:rPr>
          <w:rFonts w:ascii="Book Antiqua" w:hAnsi="Book Antiqua"/>
          <w:color w:val="000000"/>
        </w:rPr>
        <w:t xml:space="preserve">evaluate the combination of </w:t>
      </w:r>
      <w:proofErr w:type="spellStart"/>
      <w:r w:rsidR="00953423" w:rsidRPr="007214E1">
        <w:rPr>
          <w:rFonts w:ascii="Book Antiqua" w:hAnsi="Book Antiqua"/>
          <w:color w:val="000000"/>
        </w:rPr>
        <w:t>durvalumab</w:t>
      </w:r>
      <w:proofErr w:type="spellEnd"/>
      <w:r w:rsidR="00953423" w:rsidRPr="007214E1">
        <w:rPr>
          <w:rFonts w:ascii="Book Antiqua" w:hAnsi="Book Antiqua"/>
          <w:color w:val="000000"/>
        </w:rPr>
        <w:t xml:space="preserve"> plus </w:t>
      </w:r>
      <w:proofErr w:type="spellStart"/>
      <w:r w:rsidR="00953423" w:rsidRPr="007214E1">
        <w:rPr>
          <w:rFonts w:ascii="Book Antiqua" w:hAnsi="Book Antiqua"/>
          <w:color w:val="000000"/>
        </w:rPr>
        <w:t>tremelimumab</w:t>
      </w:r>
      <w:proofErr w:type="spellEnd"/>
      <w:r w:rsidR="00953423" w:rsidRPr="007214E1">
        <w:rPr>
          <w:rFonts w:ascii="Book Antiqua" w:hAnsi="Book Antiqua"/>
          <w:color w:val="000000"/>
        </w:rPr>
        <w:t xml:space="preserve"> and drug-eluting bead TACE (deb-TACE) in approximately 90 patients with advanced </w:t>
      </w:r>
      <w:proofErr w:type="gramStart"/>
      <w:r w:rsidR="00953423" w:rsidRPr="007214E1">
        <w:rPr>
          <w:rFonts w:ascii="Book Antiqua" w:hAnsi="Book Antiqua"/>
          <w:color w:val="000000"/>
        </w:rPr>
        <w:t>HCC</w:t>
      </w:r>
      <w:r w:rsidR="00953423" w:rsidRPr="007214E1">
        <w:rPr>
          <w:rFonts w:ascii="Book Antiqua" w:hAnsi="Book Antiqua"/>
          <w:color w:val="000000"/>
          <w:vertAlign w:val="superscript"/>
        </w:rPr>
        <w:t>[</w:t>
      </w:r>
      <w:proofErr w:type="gramEnd"/>
      <w:r w:rsidR="007E617B" w:rsidRPr="007214E1">
        <w:rPr>
          <w:rFonts w:ascii="Book Antiqua" w:hAnsi="Book Antiqua"/>
          <w:color w:val="000000"/>
          <w:vertAlign w:val="superscript"/>
        </w:rPr>
        <w:t>9</w:t>
      </w:r>
      <w:r w:rsidR="0061302B" w:rsidRPr="007214E1">
        <w:rPr>
          <w:rFonts w:ascii="Book Antiqua" w:hAnsi="Book Antiqua"/>
          <w:color w:val="000000"/>
          <w:vertAlign w:val="superscript"/>
        </w:rPr>
        <w:t>7</w:t>
      </w:r>
      <w:r w:rsidR="00953423" w:rsidRPr="007214E1">
        <w:rPr>
          <w:rFonts w:ascii="Book Antiqua" w:hAnsi="Book Antiqua"/>
          <w:color w:val="000000"/>
          <w:vertAlign w:val="superscript"/>
        </w:rPr>
        <w:t>]</w:t>
      </w:r>
      <w:r w:rsidR="00953423" w:rsidRPr="007214E1">
        <w:rPr>
          <w:rFonts w:ascii="Book Antiqua" w:hAnsi="Book Antiqua"/>
          <w:color w:val="000000"/>
        </w:rPr>
        <w:t xml:space="preserve">. Patients with active HCV infection will be excluded, which may hinder the ability to detect any effects of the combination therapy on HCV viral load possibly due to </w:t>
      </w:r>
      <w:proofErr w:type="spellStart"/>
      <w:proofErr w:type="gramStart"/>
      <w:r w:rsidR="00953423" w:rsidRPr="007214E1">
        <w:rPr>
          <w:rFonts w:ascii="Book Antiqua" w:hAnsi="Book Antiqua"/>
          <w:color w:val="000000"/>
        </w:rPr>
        <w:t>tremelimumab</w:t>
      </w:r>
      <w:proofErr w:type="spellEnd"/>
      <w:r w:rsidR="00953423" w:rsidRPr="007214E1">
        <w:rPr>
          <w:rFonts w:ascii="Book Antiqua" w:hAnsi="Book Antiqua"/>
          <w:color w:val="000000"/>
          <w:vertAlign w:val="superscript"/>
        </w:rPr>
        <w:t>[</w:t>
      </w:r>
      <w:proofErr w:type="gramEnd"/>
      <w:r w:rsidR="00953423" w:rsidRPr="007214E1">
        <w:rPr>
          <w:rFonts w:ascii="Book Antiqua" w:hAnsi="Book Antiqua"/>
          <w:color w:val="000000"/>
          <w:vertAlign w:val="superscript"/>
        </w:rPr>
        <w:t>22,</w:t>
      </w:r>
      <w:r w:rsidR="007E617B" w:rsidRPr="007214E1">
        <w:rPr>
          <w:rFonts w:ascii="Book Antiqua" w:hAnsi="Book Antiqua"/>
          <w:color w:val="000000"/>
          <w:vertAlign w:val="superscript"/>
        </w:rPr>
        <w:t>9</w:t>
      </w:r>
      <w:r w:rsidR="0061302B" w:rsidRPr="007214E1">
        <w:rPr>
          <w:rFonts w:ascii="Book Antiqua" w:hAnsi="Book Antiqua"/>
          <w:color w:val="000000"/>
          <w:vertAlign w:val="superscript"/>
        </w:rPr>
        <w:t>7</w:t>
      </w:r>
      <w:r w:rsidR="00953423" w:rsidRPr="007214E1">
        <w:rPr>
          <w:rFonts w:ascii="Book Antiqua" w:hAnsi="Book Antiqua"/>
          <w:color w:val="000000"/>
          <w:vertAlign w:val="superscript"/>
        </w:rPr>
        <w:t>]</w:t>
      </w:r>
      <w:r w:rsidR="00953423" w:rsidRPr="007214E1">
        <w:rPr>
          <w:rFonts w:ascii="Book Antiqua" w:hAnsi="Book Antiqua"/>
          <w:color w:val="000000"/>
        </w:rPr>
        <w:t>.</w:t>
      </w:r>
      <w:r w:rsidR="00953423" w:rsidRPr="007214E1">
        <w:rPr>
          <w:rFonts w:ascii="Book Antiqua" w:hAnsi="Book Antiqua"/>
          <w:i/>
          <w:color w:val="000000"/>
        </w:rPr>
        <w:t xml:space="preserve"> </w:t>
      </w:r>
      <w:r w:rsidR="00953423" w:rsidRPr="007214E1">
        <w:rPr>
          <w:rFonts w:ascii="Book Antiqua" w:hAnsi="Book Antiqua"/>
          <w:color w:val="000000"/>
        </w:rPr>
        <w:t xml:space="preserve">The previously mentioned </w:t>
      </w:r>
      <w:r w:rsidRPr="007214E1">
        <w:rPr>
          <w:rFonts w:ascii="Book Antiqua" w:hAnsi="Book Antiqua"/>
          <w:color w:val="000000"/>
        </w:rPr>
        <w:t>NCT0282175</w:t>
      </w:r>
      <w:r w:rsidR="00953423" w:rsidRPr="007214E1">
        <w:rPr>
          <w:rFonts w:ascii="Book Antiqua" w:hAnsi="Book Antiqua"/>
          <w:color w:val="000000"/>
        </w:rPr>
        <w:t>4 phase II trial sponsored by the NCI</w:t>
      </w:r>
      <w:r w:rsidR="007E617B" w:rsidRPr="007214E1">
        <w:rPr>
          <w:rFonts w:ascii="Book Antiqua" w:hAnsi="Book Antiqua"/>
          <w:color w:val="000000"/>
        </w:rPr>
        <w:t xml:space="preserve"> contains an arm in which patients will receive </w:t>
      </w:r>
      <w:proofErr w:type="spellStart"/>
      <w:r w:rsidR="007E617B" w:rsidRPr="007214E1">
        <w:rPr>
          <w:rFonts w:ascii="Book Antiqua" w:hAnsi="Book Antiqua"/>
          <w:color w:val="000000"/>
        </w:rPr>
        <w:t>durvalumab</w:t>
      </w:r>
      <w:proofErr w:type="spellEnd"/>
      <w:r w:rsidR="007E617B" w:rsidRPr="007214E1">
        <w:rPr>
          <w:rFonts w:ascii="Book Antiqua" w:hAnsi="Book Antiqua"/>
          <w:color w:val="000000"/>
        </w:rPr>
        <w:t xml:space="preserve"> plus </w:t>
      </w:r>
      <w:proofErr w:type="spellStart"/>
      <w:r w:rsidR="007E617B" w:rsidRPr="007214E1">
        <w:rPr>
          <w:rFonts w:ascii="Book Antiqua" w:hAnsi="Book Antiqua"/>
          <w:color w:val="000000"/>
        </w:rPr>
        <w:t>tremelimumab</w:t>
      </w:r>
      <w:proofErr w:type="spellEnd"/>
      <w:r w:rsidR="007E617B" w:rsidRPr="007214E1">
        <w:rPr>
          <w:rFonts w:ascii="Book Antiqua" w:hAnsi="Book Antiqua"/>
          <w:color w:val="000000"/>
        </w:rPr>
        <w:t xml:space="preserve"> and </w:t>
      </w:r>
      <w:proofErr w:type="gramStart"/>
      <w:r w:rsidR="007E617B" w:rsidRPr="007214E1">
        <w:rPr>
          <w:rFonts w:ascii="Book Antiqua" w:hAnsi="Book Antiqua"/>
          <w:color w:val="000000"/>
        </w:rPr>
        <w:t>TACE</w:t>
      </w:r>
      <w:r w:rsidRPr="007214E1">
        <w:rPr>
          <w:rFonts w:ascii="Book Antiqua" w:hAnsi="Book Antiqua"/>
          <w:color w:val="000000"/>
          <w:vertAlign w:val="superscript"/>
        </w:rPr>
        <w:t>[</w:t>
      </w:r>
      <w:proofErr w:type="gramEnd"/>
      <w:r w:rsidR="007E617B" w:rsidRPr="007214E1">
        <w:rPr>
          <w:rFonts w:ascii="Book Antiqua" w:hAnsi="Book Antiqua"/>
          <w:color w:val="000000"/>
          <w:vertAlign w:val="superscript"/>
        </w:rPr>
        <w:t>9</w:t>
      </w:r>
      <w:r w:rsidR="0061302B" w:rsidRPr="007214E1">
        <w:rPr>
          <w:rFonts w:ascii="Book Antiqua" w:hAnsi="Book Antiqua"/>
          <w:color w:val="000000"/>
          <w:vertAlign w:val="superscript"/>
        </w:rPr>
        <w:t>2</w:t>
      </w:r>
      <w:r w:rsidRPr="007214E1">
        <w:rPr>
          <w:rFonts w:ascii="Book Antiqua" w:hAnsi="Book Antiqua"/>
          <w:color w:val="000000"/>
          <w:vertAlign w:val="superscript"/>
        </w:rPr>
        <w:t>]</w:t>
      </w:r>
      <w:r w:rsidRPr="007214E1">
        <w:rPr>
          <w:rFonts w:ascii="Book Antiqua" w:hAnsi="Book Antiqua"/>
          <w:color w:val="000000"/>
        </w:rPr>
        <w:t xml:space="preserve">. </w:t>
      </w:r>
      <w:r w:rsidRPr="007214E1">
        <w:rPr>
          <w:rFonts w:ascii="Book Antiqua" w:hAnsi="Book Antiqua"/>
        </w:rPr>
        <w:t xml:space="preserve">The combination of durvalumab plus bevacizumab </w:t>
      </w:r>
      <w:r w:rsidR="007E617B" w:rsidRPr="007214E1">
        <w:rPr>
          <w:rFonts w:ascii="Book Antiqua" w:hAnsi="Book Antiqua"/>
        </w:rPr>
        <w:t>and</w:t>
      </w:r>
      <w:r w:rsidRPr="007214E1">
        <w:rPr>
          <w:rFonts w:ascii="Book Antiqua" w:hAnsi="Book Antiqua"/>
        </w:rPr>
        <w:t xml:space="preserve"> TACE will be evaluated</w:t>
      </w:r>
      <w:r w:rsidR="007E617B" w:rsidRPr="007214E1">
        <w:rPr>
          <w:rFonts w:ascii="Book Antiqua" w:hAnsi="Book Antiqua"/>
        </w:rPr>
        <w:t xml:space="preserve"> as second-line therapy</w:t>
      </w:r>
      <w:r w:rsidRPr="007214E1">
        <w:rPr>
          <w:rFonts w:ascii="Book Antiqua" w:hAnsi="Book Antiqua"/>
        </w:rPr>
        <w:t xml:space="preserve"> in a phase II trial (NCT03937830) </w:t>
      </w:r>
      <w:r w:rsidR="00953423" w:rsidRPr="007214E1">
        <w:rPr>
          <w:rFonts w:ascii="Book Antiqua" w:hAnsi="Book Antiqua"/>
        </w:rPr>
        <w:t>sponsored by the NCI</w:t>
      </w:r>
      <w:r w:rsidR="007E617B" w:rsidRPr="007214E1">
        <w:rPr>
          <w:rFonts w:ascii="Book Antiqua" w:hAnsi="Book Antiqua"/>
        </w:rPr>
        <w:t xml:space="preserve"> in 22 patients with advanced </w:t>
      </w:r>
      <w:proofErr w:type="gramStart"/>
      <w:r w:rsidR="007E617B" w:rsidRPr="007214E1">
        <w:rPr>
          <w:rFonts w:ascii="Book Antiqua" w:hAnsi="Book Antiqua"/>
        </w:rPr>
        <w:t>HCC</w:t>
      </w:r>
      <w:r w:rsidRPr="007214E1">
        <w:rPr>
          <w:rFonts w:ascii="Book Antiqua" w:hAnsi="Book Antiqua"/>
          <w:vertAlign w:val="superscript"/>
        </w:rPr>
        <w:t>[</w:t>
      </w:r>
      <w:proofErr w:type="gramEnd"/>
      <w:r w:rsidR="007E617B" w:rsidRPr="007214E1">
        <w:rPr>
          <w:rFonts w:ascii="Book Antiqua" w:hAnsi="Book Antiqua"/>
          <w:vertAlign w:val="superscript"/>
        </w:rPr>
        <w:t>9</w:t>
      </w:r>
      <w:r w:rsidR="0061302B" w:rsidRPr="007214E1">
        <w:rPr>
          <w:rFonts w:ascii="Book Antiqua" w:hAnsi="Book Antiqua"/>
          <w:vertAlign w:val="superscript"/>
        </w:rPr>
        <w:t>8</w:t>
      </w:r>
      <w:r w:rsidRPr="007214E1">
        <w:rPr>
          <w:rFonts w:ascii="Book Antiqua" w:hAnsi="Book Antiqua"/>
          <w:vertAlign w:val="superscript"/>
        </w:rPr>
        <w:t>]</w:t>
      </w:r>
      <w:r w:rsidRPr="007214E1">
        <w:rPr>
          <w:rFonts w:ascii="Book Antiqua" w:hAnsi="Book Antiqua"/>
        </w:rPr>
        <w:t>.</w:t>
      </w:r>
      <w:r w:rsidRPr="007214E1">
        <w:rPr>
          <w:rFonts w:ascii="Book Antiqua" w:hAnsi="Book Antiqua"/>
          <w:i/>
        </w:rPr>
        <w:t xml:space="preserve"> </w:t>
      </w:r>
      <w:r w:rsidRPr="007214E1">
        <w:rPr>
          <w:rFonts w:ascii="Book Antiqua" w:hAnsi="Book Antiqua"/>
        </w:rPr>
        <w:t xml:space="preserve">The combination of durvalumab, bevacizumab and TACE will be compared to TACE alone or TACE plus durvalumab in </w:t>
      </w:r>
      <w:r w:rsidR="00FF2907" w:rsidRPr="007214E1">
        <w:rPr>
          <w:rFonts w:ascii="Book Antiqua" w:hAnsi="Book Antiqua"/>
        </w:rPr>
        <w:t>the</w:t>
      </w:r>
      <w:r w:rsidRPr="007214E1">
        <w:rPr>
          <w:rFonts w:ascii="Book Antiqua" w:hAnsi="Book Antiqua"/>
        </w:rPr>
        <w:t xml:space="preserve"> phase III</w:t>
      </w:r>
      <w:r w:rsidR="007E617B" w:rsidRPr="007214E1">
        <w:rPr>
          <w:rFonts w:ascii="Book Antiqua" w:hAnsi="Book Antiqua"/>
        </w:rPr>
        <w:t>, multi-center</w:t>
      </w:r>
      <w:r w:rsidRPr="007214E1">
        <w:rPr>
          <w:rFonts w:ascii="Book Antiqua" w:hAnsi="Book Antiqua"/>
        </w:rPr>
        <w:t xml:space="preserve"> </w:t>
      </w:r>
      <w:r w:rsidR="00FF2907" w:rsidRPr="007214E1">
        <w:rPr>
          <w:rFonts w:ascii="Book Antiqua" w:hAnsi="Book Antiqua"/>
        </w:rPr>
        <w:t>EMERALD-</w:t>
      </w:r>
      <w:r w:rsidR="007E617B" w:rsidRPr="007214E1">
        <w:rPr>
          <w:rFonts w:ascii="Book Antiqua" w:hAnsi="Book Antiqua"/>
        </w:rPr>
        <w:t>1</w:t>
      </w:r>
      <w:r w:rsidR="00FF2907" w:rsidRPr="007214E1">
        <w:rPr>
          <w:rFonts w:ascii="Book Antiqua" w:hAnsi="Book Antiqua"/>
        </w:rPr>
        <w:t xml:space="preserve"> </w:t>
      </w:r>
      <w:r w:rsidRPr="007214E1">
        <w:rPr>
          <w:rFonts w:ascii="Book Antiqua" w:hAnsi="Book Antiqua"/>
        </w:rPr>
        <w:t>clinical trial</w:t>
      </w:r>
      <w:r w:rsidR="00FF2907" w:rsidRPr="007214E1">
        <w:rPr>
          <w:rFonts w:ascii="Book Antiqua" w:hAnsi="Book Antiqua"/>
        </w:rPr>
        <w:t xml:space="preserve"> (NCT03778957)</w:t>
      </w:r>
      <w:r w:rsidRPr="007214E1">
        <w:rPr>
          <w:rFonts w:ascii="Book Antiqua" w:hAnsi="Book Antiqua"/>
        </w:rPr>
        <w:t xml:space="preserve"> which will report </w:t>
      </w:r>
      <w:r w:rsidR="007E617B" w:rsidRPr="007214E1">
        <w:rPr>
          <w:rFonts w:ascii="Book Antiqua" w:hAnsi="Book Antiqua"/>
        </w:rPr>
        <w:t>PFS</w:t>
      </w:r>
      <w:r w:rsidRPr="007214E1">
        <w:rPr>
          <w:rFonts w:ascii="Book Antiqua" w:hAnsi="Book Antiqua"/>
        </w:rPr>
        <w:t xml:space="preserve"> as a primary outcome </w:t>
      </w:r>
      <w:proofErr w:type="gramStart"/>
      <w:r w:rsidRPr="007214E1">
        <w:rPr>
          <w:rFonts w:ascii="Book Antiqua" w:hAnsi="Book Antiqua"/>
        </w:rPr>
        <w:t>measure</w:t>
      </w:r>
      <w:r w:rsidRPr="007214E1">
        <w:rPr>
          <w:rFonts w:ascii="Book Antiqua" w:hAnsi="Book Antiqua"/>
          <w:vertAlign w:val="superscript"/>
        </w:rPr>
        <w:t>[</w:t>
      </w:r>
      <w:proofErr w:type="gramEnd"/>
      <w:r w:rsidR="007E617B" w:rsidRPr="007214E1">
        <w:rPr>
          <w:rFonts w:ascii="Book Antiqua" w:hAnsi="Book Antiqua"/>
          <w:vertAlign w:val="superscript"/>
        </w:rPr>
        <w:t>9</w:t>
      </w:r>
      <w:r w:rsidR="0061302B" w:rsidRPr="007214E1">
        <w:rPr>
          <w:rFonts w:ascii="Book Antiqua" w:hAnsi="Book Antiqua"/>
          <w:vertAlign w:val="superscript"/>
        </w:rPr>
        <w:t>9</w:t>
      </w:r>
      <w:r w:rsidRPr="007214E1">
        <w:rPr>
          <w:rFonts w:ascii="Book Antiqua" w:hAnsi="Book Antiqua"/>
          <w:vertAlign w:val="superscript"/>
        </w:rPr>
        <w:t>]</w:t>
      </w:r>
      <w:r w:rsidRPr="007214E1">
        <w:rPr>
          <w:rFonts w:ascii="Book Antiqua" w:hAnsi="Book Antiqua"/>
        </w:rPr>
        <w:t xml:space="preserve">. </w:t>
      </w:r>
      <w:r w:rsidR="007E617B" w:rsidRPr="007214E1">
        <w:rPr>
          <w:rFonts w:ascii="Book Antiqua" w:hAnsi="Book Antiqua"/>
        </w:rPr>
        <w:t xml:space="preserve">Secondary outcome measures include overall </w:t>
      </w:r>
      <w:proofErr w:type="gramStart"/>
      <w:r w:rsidR="007E617B" w:rsidRPr="007214E1">
        <w:rPr>
          <w:rFonts w:ascii="Book Antiqua" w:hAnsi="Book Antiqua"/>
        </w:rPr>
        <w:t>survival</w:t>
      </w:r>
      <w:r w:rsidR="007E617B" w:rsidRPr="007214E1">
        <w:rPr>
          <w:rFonts w:ascii="Book Antiqua" w:hAnsi="Book Antiqua"/>
          <w:vertAlign w:val="superscript"/>
        </w:rPr>
        <w:t>[</w:t>
      </w:r>
      <w:proofErr w:type="gramEnd"/>
      <w:r w:rsidR="007E617B" w:rsidRPr="007214E1">
        <w:rPr>
          <w:rFonts w:ascii="Book Antiqua" w:hAnsi="Book Antiqua"/>
          <w:vertAlign w:val="superscript"/>
        </w:rPr>
        <w:t>9</w:t>
      </w:r>
      <w:r w:rsidR="0061302B" w:rsidRPr="007214E1">
        <w:rPr>
          <w:rFonts w:ascii="Book Antiqua" w:hAnsi="Book Antiqua"/>
          <w:vertAlign w:val="superscript"/>
        </w:rPr>
        <w:t>9</w:t>
      </w:r>
      <w:r w:rsidR="007E617B" w:rsidRPr="007214E1">
        <w:rPr>
          <w:rFonts w:ascii="Book Antiqua" w:hAnsi="Book Antiqua"/>
          <w:vertAlign w:val="superscript"/>
        </w:rPr>
        <w:t>]</w:t>
      </w:r>
      <w:r w:rsidR="007E617B" w:rsidRPr="007214E1">
        <w:rPr>
          <w:rFonts w:ascii="Book Antiqua" w:hAnsi="Book Antiqua"/>
        </w:rPr>
        <w:t>.</w:t>
      </w:r>
    </w:p>
    <w:p w14:paraId="1941FFB7" w14:textId="77777777" w:rsidR="00BE1C62" w:rsidRPr="007214E1" w:rsidRDefault="00BE1C62" w:rsidP="00EB43EE">
      <w:pPr>
        <w:snapToGrid w:val="0"/>
        <w:spacing w:line="360" w:lineRule="auto"/>
        <w:jc w:val="both"/>
        <w:rPr>
          <w:rFonts w:ascii="Book Antiqua" w:hAnsi="Book Antiqua"/>
          <w:i/>
        </w:rPr>
      </w:pPr>
    </w:p>
    <w:p w14:paraId="253FAEB4" w14:textId="2A1FE345" w:rsidR="00D9796C" w:rsidRPr="007214E1" w:rsidRDefault="00D9796C" w:rsidP="00EB43EE">
      <w:pPr>
        <w:snapToGrid w:val="0"/>
        <w:spacing w:line="360" w:lineRule="auto"/>
        <w:jc w:val="both"/>
        <w:rPr>
          <w:rFonts w:ascii="Book Antiqua" w:hAnsi="Book Antiqua"/>
          <w:b/>
          <w:u w:val="single"/>
        </w:rPr>
      </w:pPr>
      <w:r w:rsidRPr="007214E1">
        <w:rPr>
          <w:rFonts w:ascii="Book Antiqua" w:hAnsi="Book Antiqua"/>
          <w:b/>
          <w:u w:val="single"/>
        </w:rPr>
        <w:lastRenderedPageBreak/>
        <w:t>COMBINATION THERAPY WITH CHECK</w:t>
      </w:r>
      <w:r w:rsidR="00C658A7" w:rsidRPr="007214E1">
        <w:rPr>
          <w:rFonts w:ascii="Book Antiqua" w:hAnsi="Book Antiqua"/>
          <w:b/>
          <w:u w:val="single"/>
        </w:rPr>
        <w:t>POINT INHIBITORS PLUS RADIATION</w:t>
      </w:r>
    </w:p>
    <w:p w14:paraId="4A2D28AB" w14:textId="74914048" w:rsidR="0071566E" w:rsidRPr="007214E1" w:rsidRDefault="00D9796C" w:rsidP="00EB43EE">
      <w:pPr>
        <w:snapToGrid w:val="0"/>
        <w:spacing w:line="360" w:lineRule="auto"/>
        <w:jc w:val="both"/>
        <w:rPr>
          <w:rFonts w:ascii="Book Antiqua" w:hAnsi="Book Antiqua"/>
        </w:rPr>
      </w:pPr>
      <w:r w:rsidRPr="007214E1">
        <w:rPr>
          <w:rFonts w:ascii="Book Antiqua" w:hAnsi="Book Antiqua"/>
        </w:rPr>
        <w:t xml:space="preserve">The effect of checkpoint inhibitors on T-cells </w:t>
      </w:r>
      <w:r w:rsidR="00793AAE" w:rsidRPr="007214E1">
        <w:rPr>
          <w:rFonts w:ascii="Book Antiqua" w:hAnsi="Book Antiqua"/>
        </w:rPr>
        <w:t>can be</w:t>
      </w:r>
      <w:r w:rsidRPr="007214E1">
        <w:rPr>
          <w:rFonts w:ascii="Book Antiqua" w:hAnsi="Book Antiqua"/>
        </w:rPr>
        <w:t xml:space="preserve"> amplified by </w:t>
      </w:r>
      <w:proofErr w:type="gramStart"/>
      <w:r w:rsidRPr="007214E1">
        <w:rPr>
          <w:rFonts w:ascii="Book Antiqua" w:hAnsi="Book Antiqua"/>
        </w:rPr>
        <w:t>radiation</w:t>
      </w:r>
      <w:r w:rsidRPr="007214E1">
        <w:rPr>
          <w:rFonts w:ascii="Book Antiqua" w:hAnsi="Book Antiqua"/>
          <w:vertAlign w:val="superscript"/>
        </w:rPr>
        <w:t>[</w:t>
      </w:r>
      <w:proofErr w:type="gramEnd"/>
      <w:r w:rsidR="00831BC4" w:rsidRPr="007214E1">
        <w:rPr>
          <w:rFonts w:ascii="Book Antiqua" w:hAnsi="Book Antiqua"/>
          <w:vertAlign w:val="superscript"/>
        </w:rPr>
        <w:t>100</w:t>
      </w:r>
      <w:r w:rsidRPr="007214E1">
        <w:rPr>
          <w:rFonts w:ascii="Book Antiqua" w:hAnsi="Book Antiqua"/>
          <w:vertAlign w:val="superscript"/>
        </w:rPr>
        <w:t>]</w:t>
      </w:r>
      <w:r w:rsidRPr="007214E1">
        <w:rPr>
          <w:rFonts w:ascii="Book Antiqua" w:hAnsi="Book Antiqua"/>
        </w:rPr>
        <w:t xml:space="preserve">. Radiation therapy (RT) has been shown to induce antitumor immune responses through the formation of antitumor </w:t>
      </w:r>
      <w:proofErr w:type="gramStart"/>
      <w:r w:rsidRPr="007214E1">
        <w:rPr>
          <w:rFonts w:ascii="Book Antiqua" w:hAnsi="Book Antiqua"/>
        </w:rPr>
        <w:t>antibodies</w:t>
      </w:r>
      <w:r w:rsidRPr="007214E1">
        <w:rPr>
          <w:rFonts w:ascii="Book Antiqua" w:hAnsi="Book Antiqua"/>
          <w:vertAlign w:val="superscript"/>
        </w:rPr>
        <w:t>[</w:t>
      </w:r>
      <w:proofErr w:type="gramEnd"/>
      <w:r w:rsidR="00831BC4" w:rsidRPr="007214E1">
        <w:rPr>
          <w:rFonts w:ascii="Book Antiqua" w:hAnsi="Book Antiqua"/>
          <w:vertAlign w:val="superscript"/>
        </w:rPr>
        <w:t>100</w:t>
      </w:r>
      <w:r w:rsidRPr="007214E1">
        <w:rPr>
          <w:rFonts w:ascii="Book Antiqua" w:hAnsi="Book Antiqua"/>
          <w:vertAlign w:val="superscript"/>
        </w:rPr>
        <w:t>]</w:t>
      </w:r>
      <w:r w:rsidRPr="007214E1">
        <w:rPr>
          <w:rFonts w:ascii="Book Antiqua" w:hAnsi="Book Antiqua"/>
        </w:rPr>
        <w:t xml:space="preserve">. </w:t>
      </w:r>
      <w:r w:rsidR="00720F69" w:rsidRPr="007214E1">
        <w:rPr>
          <w:rFonts w:ascii="Book Antiqua" w:hAnsi="Book Antiqua"/>
        </w:rPr>
        <w:t>RT directed at one tumor site can induce responses in other tumor sites not directly targeted, a phenomenon known as the abscopal effect</w:t>
      </w:r>
      <w:r w:rsidR="00831BC4" w:rsidRPr="007214E1">
        <w:rPr>
          <w:rFonts w:ascii="Book Antiqua" w:hAnsi="Book Antiqua"/>
        </w:rPr>
        <w:t>, which is</w:t>
      </w:r>
      <w:r w:rsidR="00720F69" w:rsidRPr="007214E1">
        <w:rPr>
          <w:rFonts w:ascii="Book Antiqua" w:hAnsi="Book Antiqua"/>
        </w:rPr>
        <w:t xml:space="preserve"> related to immune system </w:t>
      </w:r>
      <w:proofErr w:type="gramStart"/>
      <w:r w:rsidR="00720F69" w:rsidRPr="007214E1">
        <w:rPr>
          <w:rFonts w:ascii="Book Antiqua" w:hAnsi="Book Antiqua"/>
        </w:rPr>
        <w:t>activation</w:t>
      </w:r>
      <w:r w:rsidR="00720F69" w:rsidRPr="007214E1">
        <w:rPr>
          <w:rFonts w:ascii="Book Antiqua" w:hAnsi="Book Antiqua"/>
          <w:vertAlign w:val="superscript"/>
        </w:rPr>
        <w:t>[</w:t>
      </w:r>
      <w:proofErr w:type="gramEnd"/>
      <w:r w:rsidR="00831BC4" w:rsidRPr="007214E1">
        <w:rPr>
          <w:rFonts w:ascii="Book Antiqua" w:hAnsi="Book Antiqua"/>
          <w:vertAlign w:val="superscript"/>
        </w:rPr>
        <w:t>100</w:t>
      </w:r>
      <w:r w:rsidR="00720F69" w:rsidRPr="007214E1">
        <w:rPr>
          <w:rFonts w:ascii="Book Antiqua" w:hAnsi="Book Antiqua"/>
          <w:vertAlign w:val="superscript"/>
        </w:rPr>
        <w:t>,10</w:t>
      </w:r>
      <w:r w:rsidR="00831BC4" w:rsidRPr="007214E1">
        <w:rPr>
          <w:rFonts w:ascii="Book Antiqua" w:hAnsi="Book Antiqua"/>
          <w:vertAlign w:val="superscript"/>
        </w:rPr>
        <w:t>2</w:t>
      </w:r>
      <w:r w:rsidR="00C658A7" w:rsidRPr="007214E1">
        <w:rPr>
          <w:rFonts w:ascii="Book Antiqua" w:hAnsi="Book Antiqua"/>
          <w:vertAlign w:val="superscript"/>
        </w:rPr>
        <w:t>,</w:t>
      </w:r>
      <w:r w:rsidR="00720F69" w:rsidRPr="007214E1">
        <w:rPr>
          <w:rFonts w:ascii="Book Antiqua" w:hAnsi="Book Antiqua"/>
          <w:vertAlign w:val="superscript"/>
        </w:rPr>
        <w:t>10</w:t>
      </w:r>
      <w:r w:rsidR="00831BC4" w:rsidRPr="007214E1">
        <w:rPr>
          <w:rFonts w:ascii="Book Antiqua" w:hAnsi="Book Antiqua"/>
          <w:vertAlign w:val="superscript"/>
        </w:rPr>
        <w:t>3</w:t>
      </w:r>
      <w:r w:rsidR="00720F69" w:rsidRPr="007214E1">
        <w:rPr>
          <w:rFonts w:ascii="Book Antiqua" w:hAnsi="Book Antiqua"/>
          <w:vertAlign w:val="superscript"/>
        </w:rPr>
        <w:t>]</w:t>
      </w:r>
      <w:r w:rsidR="00720F69" w:rsidRPr="007214E1">
        <w:rPr>
          <w:rFonts w:ascii="Book Antiqua" w:hAnsi="Book Antiqua"/>
        </w:rPr>
        <w:t xml:space="preserve">. </w:t>
      </w:r>
      <w:r w:rsidRPr="007214E1">
        <w:rPr>
          <w:rFonts w:ascii="Book Antiqua" w:hAnsi="Book Antiqua"/>
        </w:rPr>
        <w:t xml:space="preserve">In mouse models of melanoma, radiation therapy can increase </w:t>
      </w:r>
      <w:r w:rsidR="00831BC4" w:rsidRPr="007214E1">
        <w:rPr>
          <w:rFonts w:ascii="Book Antiqua" w:hAnsi="Book Antiqua"/>
        </w:rPr>
        <w:t xml:space="preserve">both </w:t>
      </w:r>
      <w:r w:rsidRPr="007214E1">
        <w:rPr>
          <w:rFonts w:ascii="Book Antiqua" w:hAnsi="Book Antiqua"/>
        </w:rPr>
        <w:t>antigen presentation to T-cells recognizing tumor antigens and infiltration of tumors by</w:t>
      </w:r>
      <w:r w:rsidR="00831BC4" w:rsidRPr="007214E1">
        <w:rPr>
          <w:rFonts w:ascii="Book Antiqua" w:hAnsi="Book Antiqua"/>
        </w:rPr>
        <w:t xml:space="preserve"> those</w:t>
      </w:r>
      <w:r w:rsidRPr="007214E1">
        <w:rPr>
          <w:rFonts w:ascii="Book Antiqua" w:hAnsi="Book Antiqua"/>
        </w:rPr>
        <w:t xml:space="preserve"> T-</w:t>
      </w:r>
      <w:proofErr w:type="gramStart"/>
      <w:r w:rsidRPr="007214E1">
        <w:rPr>
          <w:rFonts w:ascii="Book Antiqua" w:hAnsi="Book Antiqua"/>
        </w:rPr>
        <w:t>cells</w:t>
      </w:r>
      <w:r w:rsidRPr="007214E1">
        <w:rPr>
          <w:rFonts w:ascii="Book Antiqua" w:hAnsi="Book Antiqua"/>
          <w:vertAlign w:val="superscript"/>
        </w:rPr>
        <w:t>[</w:t>
      </w:r>
      <w:proofErr w:type="gramEnd"/>
      <w:r w:rsidR="007E617B" w:rsidRPr="007214E1">
        <w:rPr>
          <w:rFonts w:ascii="Book Antiqua" w:hAnsi="Book Antiqua"/>
          <w:vertAlign w:val="superscript"/>
        </w:rPr>
        <w:t>10</w:t>
      </w:r>
      <w:r w:rsidR="00831BC4" w:rsidRPr="007214E1">
        <w:rPr>
          <w:rFonts w:ascii="Book Antiqua" w:hAnsi="Book Antiqua"/>
          <w:vertAlign w:val="superscript"/>
        </w:rPr>
        <w:t>1</w:t>
      </w:r>
      <w:r w:rsidRPr="007214E1">
        <w:rPr>
          <w:rFonts w:ascii="Book Antiqua" w:hAnsi="Book Antiqua"/>
          <w:vertAlign w:val="superscript"/>
        </w:rPr>
        <w:t>]</w:t>
      </w:r>
      <w:r w:rsidRPr="007214E1">
        <w:rPr>
          <w:rFonts w:ascii="Book Antiqua" w:hAnsi="Book Antiqua"/>
        </w:rPr>
        <w:t>. RT can increase the expression of MHC-1 (major histocompatibility complex-1) molecules in tumors</w:t>
      </w:r>
      <w:r w:rsidR="00720F69" w:rsidRPr="007214E1">
        <w:rPr>
          <w:rFonts w:ascii="Book Antiqua" w:hAnsi="Book Antiqua"/>
        </w:rPr>
        <w:t xml:space="preserve"> and increase</w:t>
      </w:r>
      <w:r w:rsidRPr="007214E1">
        <w:rPr>
          <w:rFonts w:ascii="Book Antiqua" w:hAnsi="Book Antiqua"/>
        </w:rPr>
        <w:t xml:space="preserve"> T-cell </w:t>
      </w:r>
      <w:r w:rsidR="00720F69" w:rsidRPr="007214E1">
        <w:rPr>
          <w:rFonts w:ascii="Book Antiqua" w:hAnsi="Book Antiqua"/>
        </w:rPr>
        <w:t xml:space="preserve">and </w:t>
      </w:r>
      <w:r w:rsidR="00E35FEC" w:rsidRPr="007214E1">
        <w:rPr>
          <w:rFonts w:ascii="Book Antiqua" w:hAnsi="Book Antiqua"/>
        </w:rPr>
        <w:t>natural killer</w:t>
      </w:r>
      <w:r w:rsidR="00720F69" w:rsidRPr="007214E1">
        <w:rPr>
          <w:rFonts w:ascii="Book Antiqua" w:hAnsi="Book Antiqua"/>
        </w:rPr>
        <w:t xml:space="preserve"> cell </w:t>
      </w:r>
      <w:r w:rsidRPr="007214E1">
        <w:rPr>
          <w:rFonts w:ascii="Book Antiqua" w:hAnsi="Book Antiqua"/>
        </w:rPr>
        <w:t xml:space="preserve">tumor </w:t>
      </w:r>
      <w:proofErr w:type="gramStart"/>
      <w:r w:rsidRPr="007214E1">
        <w:rPr>
          <w:rFonts w:ascii="Book Antiqua" w:hAnsi="Book Antiqua"/>
        </w:rPr>
        <w:t>infiltration</w:t>
      </w:r>
      <w:r w:rsidRPr="007214E1">
        <w:rPr>
          <w:rFonts w:ascii="Book Antiqua" w:hAnsi="Book Antiqua"/>
          <w:vertAlign w:val="superscript"/>
        </w:rPr>
        <w:t>[</w:t>
      </w:r>
      <w:proofErr w:type="gramEnd"/>
      <w:r w:rsidR="00865211" w:rsidRPr="007214E1">
        <w:rPr>
          <w:rFonts w:ascii="Book Antiqua" w:hAnsi="Book Antiqua"/>
          <w:vertAlign w:val="superscript"/>
        </w:rPr>
        <w:t>10</w:t>
      </w:r>
      <w:r w:rsidR="004459EA" w:rsidRPr="007214E1">
        <w:rPr>
          <w:rFonts w:ascii="Book Antiqua" w:hAnsi="Book Antiqua"/>
          <w:vertAlign w:val="superscript"/>
        </w:rPr>
        <w:t>2</w:t>
      </w:r>
      <w:r w:rsidR="00C658A7" w:rsidRPr="007214E1">
        <w:rPr>
          <w:rFonts w:ascii="Book Antiqua" w:hAnsi="Book Antiqua"/>
          <w:vertAlign w:val="superscript"/>
        </w:rPr>
        <w:t>,</w:t>
      </w:r>
      <w:r w:rsidR="00865211" w:rsidRPr="007214E1">
        <w:rPr>
          <w:rFonts w:ascii="Book Antiqua" w:hAnsi="Book Antiqua"/>
          <w:vertAlign w:val="superscript"/>
        </w:rPr>
        <w:t>10</w:t>
      </w:r>
      <w:r w:rsidR="004459EA" w:rsidRPr="007214E1">
        <w:rPr>
          <w:rFonts w:ascii="Book Antiqua" w:hAnsi="Book Antiqua"/>
          <w:vertAlign w:val="superscript"/>
        </w:rPr>
        <w:t>3</w:t>
      </w:r>
      <w:r w:rsidRPr="007214E1">
        <w:rPr>
          <w:rFonts w:ascii="Book Antiqua" w:hAnsi="Book Antiqua"/>
          <w:vertAlign w:val="superscript"/>
        </w:rPr>
        <w:t>]</w:t>
      </w:r>
      <w:r w:rsidRPr="007214E1">
        <w:rPr>
          <w:rFonts w:ascii="Book Antiqua" w:hAnsi="Book Antiqua"/>
        </w:rPr>
        <w:t xml:space="preserve">. </w:t>
      </w:r>
      <w:r w:rsidR="007E3D32" w:rsidRPr="007214E1">
        <w:rPr>
          <w:rFonts w:ascii="Book Antiqua" w:hAnsi="Book Antiqua"/>
        </w:rPr>
        <w:t>Stereotactic body radiotherapy (</w:t>
      </w:r>
      <w:r w:rsidR="0071566E" w:rsidRPr="007214E1">
        <w:rPr>
          <w:rFonts w:ascii="Book Antiqua" w:hAnsi="Book Antiqua"/>
        </w:rPr>
        <w:t>SBRT</w:t>
      </w:r>
      <w:r w:rsidR="007E3D32" w:rsidRPr="007214E1">
        <w:rPr>
          <w:rFonts w:ascii="Book Antiqua" w:hAnsi="Book Antiqua"/>
        </w:rPr>
        <w:t>)</w:t>
      </w:r>
      <w:r w:rsidR="0071566E" w:rsidRPr="007214E1">
        <w:rPr>
          <w:rFonts w:ascii="Book Antiqua" w:hAnsi="Book Antiqua"/>
        </w:rPr>
        <w:t xml:space="preserve"> </w:t>
      </w:r>
      <w:r w:rsidR="00524D46" w:rsidRPr="007214E1">
        <w:rPr>
          <w:rFonts w:ascii="Book Antiqua" w:hAnsi="Book Antiqua"/>
        </w:rPr>
        <w:t>can be used to treat</w:t>
      </w:r>
      <w:r w:rsidR="0071566E" w:rsidRPr="007214E1">
        <w:rPr>
          <w:rFonts w:ascii="Book Antiqua" w:hAnsi="Book Antiqua"/>
        </w:rPr>
        <w:t xml:space="preserve"> early-stage, BCLC A disease that is not amenable to treatment with RF</w:t>
      </w:r>
      <w:r w:rsidR="00524D46" w:rsidRPr="007214E1">
        <w:rPr>
          <w:rFonts w:ascii="Book Antiqua" w:hAnsi="Book Antiqua"/>
        </w:rPr>
        <w:t xml:space="preserve">A, and can achieve local control rates of approximately 80% or </w:t>
      </w:r>
      <w:proofErr w:type="gramStart"/>
      <w:r w:rsidR="00524D46" w:rsidRPr="007214E1">
        <w:rPr>
          <w:rFonts w:ascii="Book Antiqua" w:hAnsi="Book Antiqua"/>
        </w:rPr>
        <w:t>greater</w:t>
      </w:r>
      <w:r w:rsidR="00865211" w:rsidRPr="007214E1">
        <w:rPr>
          <w:rFonts w:ascii="Book Antiqua" w:hAnsi="Book Antiqua"/>
          <w:vertAlign w:val="superscript"/>
        </w:rPr>
        <w:t>[</w:t>
      </w:r>
      <w:proofErr w:type="gramEnd"/>
      <w:r w:rsidR="004459EA" w:rsidRPr="007214E1">
        <w:rPr>
          <w:rFonts w:ascii="Book Antiqua" w:hAnsi="Book Antiqua"/>
          <w:vertAlign w:val="superscript"/>
        </w:rPr>
        <w:t>90</w:t>
      </w:r>
      <w:r w:rsidR="00524D46" w:rsidRPr="007214E1">
        <w:rPr>
          <w:rFonts w:ascii="Book Antiqua" w:hAnsi="Book Antiqua"/>
          <w:vertAlign w:val="superscript"/>
        </w:rPr>
        <w:t>]</w:t>
      </w:r>
      <w:r w:rsidR="00C76A75" w:rsidRPr="007214E1">
        <w:rPr>
          <w:rFonts w:ascii="Book Antiqua" w:hAnsi="Book Antiqua"/>
        </w:rPr>
        <w:t>.</w:t>
      </w:r>
      <w:r w:rsidR="00C76A75" w:rsidRPr="007214E1">
        <w:rPr>
          <w:rFonts w:ascii="Book Antiqua" w:hAnsi="Book Antiqua"/>
          <w:i/>
        </w:rPr>
        <w:t xml:space="preserve"> </w:t>
      </w:r>
      <w:r w:rsidR="00C76A75" w:rsidRPr="007214E1">
        <w:rPr>
          <w:rFonts w:ascii="Book Antiqua" w:hAnsi="Book Antiqua"/>
        </w:rPr>
        <w:t xml:space="preserve">SBRT </w:t>
      </w:r>
      <w:r w:rsidR="004459EA" w:rsidRPr="007214E1">
        <w:rPr>
          <w:rFonts w:ascii="Book Antiqua" w:hAnsi="Book Antiqua"/>
        </w:rPr>
        <w:t xml:space="preserve">is a possible alternative </w:t>
      </w:r>
      <w:r w:rsidR="00C76A75" w:rsidRPr="007214E1">
        <w:rPr>
          <w:rFonts w:ascii="Book Antiqua" w:hAnsi="Book Antiqua"/>
        </w:rPr>
        <w:t xml:space="preserve">treatment </w:t>
      </w:r>
      <w:r w:rsidR="004459EA" w:rsidRPr="007214E1">
        <w:rPr>
          <w:rFonts w:ascii="Book Antiqua" w:hAnsi="Book Antiqua"/>
        </w:rPr>
        <w:t xml:space="preserve">option </w:t>
      </w:r>
      <w:r w:rsidR="00C76A75" w:rsidRPr="007214E1">
        <w:rPr>
          <w:rFonts w:ascii="Book Antiqua" w:hAnsi="Book Antiqua"/>
        </w:rPr>
        <w:t xml:space="preserve">after </w:t>
      </w:r>
      <w:r w:rsidR="00993543" w:rsidRPr="007214E1">
        <w:rPr>
          <w:rFonts w:ascii="Book Antiqua" w:hAnsi="Book Antiqua"/>
        </w:rPr>
        <w:t>TACE has been unsuccessful, with local control rates of approximately 87</w:t>
      </w:r>
      <w:r w:rsidR="00C658A7" w:rsidRPr="007214E1">
        <w:rPr>
          <w:rFonts w:ascii="Book Antiqua" w:hAnsi="Book Antiqua"/>
        </w:rPr>
        <w:t>%</w:t>
      </w:r>
      <w:r w:rsidR="00993543" w:rsidRPr="007214E1">
        <w:rPr>
          <w:rFonts w:ascii="Book Antiqua" w:hAnsi="Book Antiqua"/>
        </w:rPr>
        <w:t xml:space="preserve">-99% in multiple </w:t>
      </w:r>
      <w:proofErr w:type="gramStart"/>
      <w:r w:rsidR="00993543" w:rsidRPr="007214E1">
        <w:rPr>
          <w:rFonts w:ascii="Book Antiqua" w:hAnsi="Book Antiqua"/>
        </w:rPr>
        <w:t>studies</w:t>
      </w:r>
      <w:r w:rsidR="00993543" w:rsidRPr="007214E1">
        <w:rPr>
          <w:rFonts w:ascii="Book Antiqua" w:hAnsi="Book Antiqua"/>
          <w:vertAlign w:val="superscript"/>
        </w:rPr>
        <w:t>[</w:t>
      </w:r>
      <w:proofErr w:type="gramEnd"/>
      <w:r w:rsidR="004459EA" w:rsidRPr="007214E1">
        <w:rPr>
          <w:rFonts w:ascii="Book Antiqua" w:hAnsi="Book Antiqua"/>
          <w:color w:val="000000"/>
          <w:vertAlign w:val="superscript"/>
        </w:rPr>
        <w:t>90</w:t>
      </w:r>
      <w:r w:rsidR="00993543" w:rsidRPr="007214E1">
        <w:rPr>
          <w:rFonts w:ascii="Book Antiqua" w:hAnsi="Book Antiqua"/>
          <w:vertAlign w:val="superscript"/>
        </w:rPr>
        <w:t>]</w:t>
      </w:r>
      <w:r w:rsidR="00993543" w:rsidRPr="007214E1">
        <w:rPr>
          <w:rFonts w:ascii="Book Antiqua" w:hAnsi="Book Antiqua"/>
          <w:i/>
        </w:rPr>
        <w:t>.</w:t>
      </w:r>
      <w:r w:rsidR="0071566E" w:rsidRPr="007214E1">
        <w:rPr>
          <w:rFonts w:ascii="Book Antiqua" w:hAnsi="Book Antiqua"/>
          <w:i/>
        </w:rPr>
        <w:t xml:space="preserve"> </w:t>
      </w:r>
      <w:r w:rsidR="0071566E" w:rsidRPr="007214E1">
        <w:rPr>
          <w:rFonts w:ascii="Book Antiqua" w:hAnsi="Book Antiqua"/>
        </w:rPr>
        <w:t xml:space="preserve">Adverse events as a result of SBRT may include upper </w:t>
      </w:r>
      <w:r w:rsidR="00C658A7" w:rsidRPr="007214E1">
        <w:rPr>
          <w:rFonts w:ascii="Book Antiqua" w:hAnsi="Book Antiqua"/>
        </w:rPr>
        <w:t>gastrointestinal</w:t>
      </w:r>
      <w:r w:rsidR="0071566E" w:rsidRPr="007214E1">
        <w:rPr>
          <w:rFonts w:ascii="Book Antiqua" w:hAnsi="Book Antiqua"/>
        </w:rPr>
        <w:t xml:space="preserve"> bleeding from esophageal varices</w:t>
      </w:r>
      <w:r w:rsidR="00720F69" w:rsidRPr="007214E1">
        <w:rPr>
          <w:rFonts w:ascii="Book Antiqua" w:hAnsi="Book Antiqua"/>
        </w:rPr>
        <w:t xml:space="preserve"> or gastric and duodenal</w:t>
      </w:r>
      <w:r w:rsidR="0071566E" w:rsidRPr="007214E1">
        <w:rPr>
          <w:rFonts w:ascii="Book Antiqua" w:hAnsi="Book Antiqua"/>
        </w:rPr>
        <w:t xml:space="preserve"> ulcers, </w:t>
      </w:r>
      <w:r w:rsidR="004459EA" w:rsidRPr="007214E1">
        <w:rPr>
          <w:rFonts w:ascii="Book Antiqua" w:hAnsi="Book Antiqua"/>
        </w:rPr>
        <w:t xml:space="preserve">and </w:t>
      </w:r>
      <w:r w:rsidR="0071566E" w:rsidRPr="007214E1">
        <w:rPr>
          <w:rFonts w:ascii="Book Antiqua" w:hAnsi="Book Antiqua"/>
        </w:rPr>
        <w:t xml:space="preserve">biliary </w:t>
      </w:r>
      <w:proofErr w:type="gramStart"/>
      <w:r w:rsidR="0071566E" w:rsidRPr="007214E1">
        <w:rPr>
          <w:rFonts w:ascii="Book Antiqua" w:hAnsi="Book Antiqua"/>
        </w:rPr>
        <w:t>strictures</w:t>
      </w:r>
      <w:r w:rsidR="0071566E" w:rsidRPr="007214E1">
        <w:rPr>
          <w:rFonts w:ascii="Book Antiqua" w:hAnsi="Book Antiqua"/>
          <w:vertAlign w:val="superscript"/>
        </w:rPr>
        <w:t>[</w:t>
      </w:r>
      <w:proofErr w:type="gramEnd"/>
      <w:r w:rsidR="00865211" w:rsidRPr="007214E1">
        <w:rPr>
          <w:rFonts w:ascii="Book Antiqua" w:hAnsi="Book Antiqua"/>
          <w:color w:val="000000"/>
          <w:shd w:val="clear" w:color="auto" w:fill="FFFFFF"/>
          <w:vertAlign w:val="superscript"/>
        </w:rPr>
        <w:t>10</w:t>
      </w:r>
      <w:r w:rsidR="004459EA" w:rsidRPr="007214E1">
        <w:rPr>
          <w:rFonts w:ascii="Book Antiqua" w:hAnsi="Book Antiqua"/>
          <w:color w:val="000000"/>
          <w:shd w:val="clear" w:color="auto" w:fill="FFFFFF"/>
          <w:vertAlign w:val="superscript"/>
        </w:rPr>
        <w:t>4</w:t>
      </w:r>
      <w:r w:rsidR="0071566E" w:rsidRPr="007214E1">
        <w:rPr>
          <w:rFonts w:ascii="Book Antiqua" w:hAnsi="Book Antiqua"/>
          <w:vertAlign w:val="superscript"/>
        </w:rPr>
        <w:t>]</w:t>
      </w:r>
      <w:r w:rsidR="00865211" w:rsidRPr="007214E1">
        <w:rPr>
          <w:rFonts w:ascii="Book Antiqua" w:hAnsi="Book Antiqua"/>
        </w:rPr>
        <w:t>.</w:t>
      </w:r>
      <w:r w:rsidR="0071566E" w:rsidRPr="007214E1">
        <w:rPr>
          <w:rFonts w:ascii="Book Antiqua" w:hAnsi="Book Antiqua"/>
          <w:i/>
        </w:rPr>
        <w:t xml:space="preserve"> </w:t>
      </w:r>
      <w:r w:rsidR="0071566E" w:rsidRPr="007214E1">
        <w:rPr>
          <w:rFonts w:ascii="Book Antiqua" w:hAnsi="Book Antiqua"/>
        </w:rPr>
        <w:t xml:space="preserve">SBRT generally has a </w:t>
      </w:r>
      <w:r w:rsidR="004459EA" w:rsidRPr="007214E1">
        <w:rPr>
          <w:rFonts w:ascii="Book Antiqua" w:hAnsi="Book Antiqua"/>
        </w:rPr>
        <w:t>more tolerable</w:t>
      </w:r>
      <w:r w:rsidR="0071566E" w:rsidRPr="007214E1">
        <w:rPr>
          <w:rFonts w:ascii="Book Antiqua" w:hAnsi="Book Antiqua"/>
        </w:rPr>
        <w:t xml:space="preserve"> side-effect profile when compared to TACE, with rates of grade 3 or higher toxicity estimated at 6</w:t>
      </w:r>
      <w:r w:rsidR="00C658A7" w:rsidRPr="007214E1">
        <w:rPr>
          <w:rFonts w:ascii="Book Antiqua" w:hAnsi="Book Antiqua"/>
        </w:rPr>
        <w:t>%</w:t>
      </w:r>
      <w:r w:rsidR="0071566E" w:rsidRPr="007214E1">
        <w:rPr>
          <w:rFonts w:ascii="Book Antiqua" w:hAnsi="Book Antiqua"/>
        </w:rPr>
        <w:t xml:space="preserve"> to 27% in patients with unresectable HCC</w:t>
      </w:r>
      <w:r w:rsidR="006563FE" w:rsidRPr="007214E1">
        <w:rPr>
          <w:rFonts w:ascii="Book Antiqua" w:hAnsi="Book Antiqua"/>
        </w:rPr>
        <w:t xml:space="preserve"> who receive </w:t>
      </w:r>
      <w:proofErr w:type="gramStart"/>
      <w:r w:rsidR="006563FE" w:rsidRPr="007214E1">
        <w:rPr>
          <w:rFonts w:ascii="Book Antiqua" w:hAnsi="Book Antiqua"/>
        </w:rPr>
        <w:t>SBRT</w:t>
      </w:r>
      <w:r w:rsidR="0071566E" w:rsidRPr="007214E1">
        <w:rPr>
          <w:rFonts w:ascii="Book Antiqua" w:hAnsi="Book Antiqua"/>
          <w:vertAlign w:val="superscript"/>
        </w:rPr>
        <w:t>[</w:t>
      </w:r>
      <w:proofErr w:type="gramEnd"/>
      <w:r w:rsidR="004459EA" w:rsidRPr="007214E1">
        <w:rPr>
          <w:rFonts w:ascii="Book Antiqua" w:hAnsi="Book Antiqua"/>
          <w:color w:val="000000"/>
          <w:shd w:val="clear" w:color="auto" w:fill="FFFFFF"/>
          <w:vertAlign w:val="superscript"/>
        </w:rPr>
        <w:t>90</w:t>
      </w:r>
      <w:r w:rsidR="00720F69" w:rsidRPr="007214E1">
        <w:rPr>
          <w:rFonts w:ascii="Book Antiqua" w:hAnsi="Book Antiqua"/>
          <w:color w:val="000000"/>
          <w:shd w:val="clear" w:color="auto" w:fill="FFFFFF"/>
          <w:vertAlign w:val="superscript"/>
        </w:rPr>
        <w:t>,</w:t>
      </w:r>
      <w:r w:rsidR="00897E45" w:rsidRPr="007214E1">
        <w:rPr>
          <w:rFonts w:ascii="Book Antiqua" w:hAnsi="Book Antiqua"/>
          <w:color w:val="000000"/>
          <w:shd w:val="clear" w:color="auto" w:fill="FFFFFF"/>
          <w:vertAlign w:val="superscript"/>
        </w:rPr>
        <w:t>10</w:t>
      </w:r>
      <w:r w:rsidR="004459EA" w:rsidRPr="007214E1">
        <w:rPr>
          <w:rFonts w:ascii="Book Antiqua" w:hAnsi="Book Antiqua"/>
          <w:color w:val="000000"/>
          <w:shd w:val="clear" w:color="auto" w:fill="FFFFFF"/>
          <w:vertAlign w:val="superscript"/>
        </w:rPr>
        <w:t>4</w:t>
      </w:r>
      <w:r w:rsidR="0071566E" w:rsidRPr="007214E1">
        <w:rPr>
          <w:rFonts w:ascii="Book Antiqua" w:hAnsi="Book Antiqua"/>
          <w:vertAlign w:val="superscript"/>
        </w:rPr>
        <w:t>]</w:t>
      </w:r>
      <w:r w:rsidR="00BA1C4D" w:rsidRPr="007214E1">
        <w:rPr>
          <w:rFonts w:ascii="Book Antiqua" w:hAnsi="Book Antiqua"/>
          <w:i/>
        </w:rPr>
        <w:t xml:space="preserve">. </w:t>
      </w:r>
      <w:r w:rsidR="00BA1C4D" w:rsidRPr="007214E1">
        <w:rPr>
          <w:rFonts w:ascii="Book Antiqua" w:hAnsi="Book Antiqua"/>
        </w:rPr>
        <w:t xml:space="preserve">If proven safe, SBRT plus immunotherapy could become a reasonable treatment option for </w:t>
      </w:r>
      <w:r w:rsidR="000E4A12" w:rsidRPr="007214E1">
        <w:rPr>
          <w:rFonts w:ascii="Book Antiqua" w:hAnsi="Book Antiqua"/>
        </w:rPr>
        <w:t>HCC patients who are not candidates for RFA or who have failed</w:t>
      </w:r>
      <w:r w:rsidR="00BA1C4D" w:rsidRPr="007214E1">
        <w:rPr>
          <w:rFonts w:ascii="Book Antiqua" w:hAnsi="Book Antiqua"/>
        </w:rPr>
        <w:t xml:space="preserve"> TACE</w:t>
      </w:r>
      <w:r w:rsidR="000E4A12" w:rsidRPr="007214E1">
        <w:rPr>
          <w:rFonts w:ascii="Book Antiqua" w:hAnsi="Book Antiqua"/>
        </w:rPr>
        <w:t>.</w:t>
      </w:r>
    </w:p>
    <w:p w14:paraId="3F393143" w14:textId="7C64807A" w:rsidR="00842916" w:rsidRPr="007214E1" w:rsidRDefault="0071566E" w:rsidP="00EB43EE">
      <w:pPr>
        <w:snapToGrid w:val="0"/>
        <w:spacing w:line="360" w:lineRule="auto"/>
        <w:ind w:firstLineChars="100" w:firstLine="240"/>
        <w:jc w:val="both"/>
        <w:rPr>
          <w:rFonts w:ascii="Book Antiqua" w:hAnsi="Book Antiqua"/>
        </w:rPr>
      </w:pPr>
      <w:r w:rsidRPr="007214E1">
        <w:rPr>
          <w:rFonts w:ascii="Book Antiqua" w:hAnsi="Book Antiqua"/>
        </w:rPr>
        <w:t xml:space="preserve">Multiple studies testing the combination of ionizing radiation and immunotherapy are ongoing in patients with unresectable </w:t>
      </w:r>
      <w:proofErr w:type="gramStart"/>
      <w:r w:rsidRPr="007214E1">
        <w:rPr>
          <w:rFonts w:ascii="Book Antiqua" w:hAnsi="Book Antiqua"/>
        </w:rPr>
        <w:t>HCC</w:t>
      </w:r>
      <w:r w:rsidRPr="007214E1">
        <w:rPr>
          <w:rFonts w:ascii="Book Antiqua" w:hAnsi="Book Antiqua"/>
          <w:vertAlign w:val="superscript"/>
        </w:rPr>
        <w:t>[</w:t>
      </w:r>
      <w:proofErr w:type="gramEnd"/>
      <w:r w:rsidRPr="007214E1">
        <w:rPr>
          <w:rFonts w:ascii="Book Antiqua" w:hAnsi="Book Antiqua"/>
          <w:vertAlign w:val="superscript"/>
        </w:rPr>
        <w:t>1</w:t>
      </w:r>
      <w:r w:rsidR="008A4A28" w:rsidRPr="007214E1">
        <w:rPr>
          <w:rFonts w:ascii="Book Antiqua" w:hAnsi="Book Antiqua"/>
          <w:vertAlign w:val="superscript"/>
        </w:rPr>
        <w:t>0</w:t>
      </w:r>
      <w:r w:rsidR="004459EA" w:rsidRPr="007214E1">
        <w:rPr>
          <w:rFonts w:ascii="Book Antiqua" w:hAnsi="Book Antiqua"/>
          <w:vertAlign w:val="superscript"/>
        </w:rPr>
        <w:t>5</w:t>
      </w:r>
      <w:r w:rsidR="000E4A12" w:rsidRPr="007214E1">
        <w:rPr>
          <w:rFonts w:ascii="Book Antiqua" w:hAnsi="Book Antiqua"/>
          <w:vertAlign w:val="superscript"/>
        </w:rPr>
        <w:t>-1</w:t>
      </w:r>
      <w:r w:rsidR="002009E9" w:rsidRPr="007214E1">
        <w:rPr>
          <w:rFonts w:ascii="Book Antiqua" w:hAnsi="Book Antiqua"/>
          <w:vertAlign w:val="superscript"/>
        </w:rPr>
        <w:t>0</w:t>
      </w:r>
      <w:r w:rsidR="004459EA" w:rsidRPr="007214E1">
        <w:rPr>
          <w:rFonts w:ascii="Book Antiqua" w:hAnsi="Book Antiqua"/>
          <w:vertAlign w:val="superscript"/>
        </w:rPr>
        <w:t>7</w:t>
      </w:r>
      <w:r w:rsidRPr="007214E1">
        <w:rPr>
          <w:rFonts w:ascii="Book Antiqua" w:hAnsi="Book Antiqua"/>
          <w:vertAlign w:val="superscript"/>
        </w:rPr>
        <w:t>]</w:t>
      </w:r>
      <w:r w:rsidR="00B32708" w:rsidRPr="007214E1">
        <w:rPr>
          <w:rFonts w:ascii="Book Antiqua" w:eastAsia="宋体" w:hAnsi="Book Antiqua"/>
          <w:lang w:eastAsia="zh-CN"/>
        </w:rPr>
        <w:t xml:space="preserve"> (Table 6)</w:t>
      </w:r>
      <w:r w:rsidRPr="007214E1">
        <w:rPr>
          <w:rFonts w:ascii="Book Antiqua" w:hAnsi="Book Antiqua"/>
        </w:rPr>
        <w:t>.</w:t>
      </w:r>
      <w:r w:rsidRPr="007214E1">
        <w:rPr>
          <w:rFonts w:ascii="Book Antiqua" w:hAnsi="Book Antiqua"/>
          <w:vertAlign w:val="superscript"/>
        </w:rPr>
        <w:t xml:space="preserve"> </w:t>
      </w:r>
      <w:r w:rsidRPr="007214E1">
        <w:rPr>
          <w:rFonts w:ascii="Book Antiqua" w:hAnsi="Book Antiqua"/>
        </w:rPr>
        <w:t>One phase I study (NCT03203304) will enroll 50 participants with advanced HCC who will first receive</w:t>
      </w:r>
      <w:r w:rsidR="007E3D32" w:rsidRPr="007214E1">
        <w:rPr>
          <w:rFonts w:ascii="Book Antiqua" w:hAnsi="Book Antiqua"/>
        </w:rPr>
        <w:t xml:space="preserve"> </w:t>
      </w:r>
      <w:proofErr w:type="gramStart"/>
      <w:r w:rsidRPr="007214E1">
        <w:rPr>
          <w:rFonts w:ascii="Book Antiqua" w:hAnsi="Book Antiqua"/>
        </w:rPr>
        <w:t>SBRT</w:t>
      </w:r>
      <w:r w:rsidRPr="007214E1">
        <w:rPr>
          <w:rFonts w:ascii="Book Antiqua" w:hAnsi="Book Antiqua"/>
          <w:vertAlign w:val="superscript"/>
        </w:rPr>
        <w:t>[</w:t>
      </w:r>
      <w:proofErr w:type="gramEnd"/>
      <w:r w:rsidRPr="007214E1">
        <w:rPr>
          <w:rFonts w:ascii="Book Antiqua" w:hAnsi="Book Antiqua"/>
          <w:vertAlign w:val="superscript"/>
        </w:rPr>
        <w:t>1</w:t>
      </w:r>
      <w:r w:rsidR="008A4A28" w:rsidRPr="007214E1">
        <w:rPr>
          <w:rFonts w:ascii="Book Antiqua" w:hAnsi="Book Antiqua"/>
          <w:vertAlign w:val="superscript"/>
        </w:rPr>
        <w:t>0</w:t>
      </w:r>
      <w:r w:rsidR="004459EA" w:rsidRPr="007214E1">
        <w:rPr>
          <w:rFonts w:ascii="Book Antiqua" w:hAnsi="Book Antiqua"/>
          <w:vertAlign w:val="superscript"/>
        </w:rPr>
        <w:t>5</w:t>
      </w:r>
      <w:r w:rsidRPr="007214E1">
        <w:rPr>
          <w:rFonts w:ascii="Book Antiqua" w:hAnsi="Book Antiqua"/>
          <w:vertAlign w:val="superscript"/>
        </w:rPr>
        <w:t>]</w:t>
      </w:r>
      <w:r w:rsidRPr="007214E1">
        <w:rPr>
          <w:rFonts w:ascii="Book Antiqua" w:hAnsi="Book Antiqua"/>
        </w:rPr>
        <w:t>.</w:t>
      </w:r>
      <w:r w:rsidRPr="007214E1">
        <w:rPr>
          <w:rFonts w:ascii="Book Antiqua" w:hAnsi="Book Antiqua"/>
          <w:i/>
        </w:rPr>
        <w:t xml:space="preserve"> </w:t>
      </w:r>
      <w:r w:rsidRPr="007214E1">
        <w:rPr>
          <w:rFonts w:ascii="Book Antiqua" w:hAnsi="Book Antiqua"/>
        </w:rPr>
        <w:t xml:space="preserve">Patients will be randomized into two arms, one of which will receive nivolumab alone after SBRT, while the second will receive nivolumab and </w:t>
      </w:r>
      <w:proofErr w:type="gramStart"/>
      <w:r w:rsidRPr="007214E1">
        <w:rPr>
          <w:rFonts w:ascii="Book Antiqua" w:hAnsi="Book Antiqua"/>
        </w:rPr>
        <w:t>ipilimumab</w:t>
      </w:r>
      <w:r w:rsidRPr="007214E1">
        <w:rPr>
          <w:rFonts w:ascii="Book Antiqua" w:hAnsi="Book Antiqua"/>
          <w:vertAlign w:val="superscript"/>
        </w:rPr>
        <w:t>[</w:t>
      </w:r>
      <w:proofErr w:type="gramEnd"/>
      <w:r w:rsidR="008A4A28" w:rsidRPr="007214E1">
        <w:rPr>
          <w:rFonts w:ascii="Book Antiqua" w:hAnsi="Book Antiqua"/>
          <w:vertAlign w:val="superscript"/>
        </w:rPr>
        <w:t>10</w:t>
      </w:r>
      <w:r w:rsidR="004459EA" w:rsidRPr="007214E1">
        <w:rPr>
          <w:rFonts w:ascii="Book Antiqua" w:hAnsi="Book Antiqua"/>
          <w:vertAlign w:val="superscript"/>
        </w:rPr>
        <w:t>5</w:t>
      </w:r>
      <w:r w:rsidRPr="007214E1">
        <w:rPr>
          <w:rFonts w:ascii="Book Antiqua" w:hAnsi="Book Antiqua"/>
          <w:vertAlign w:val="superscript"/>
        </w:rPr>
        <w:t>]</w:t>
      </w:r>
      <w:r w:rsidRPr="007214E1">
        <w:rPr>
          <w:rFonts w:ascii="Book Antiqua" w:hAnsi="Book Antiqua"/>
        </w:rPr>
        <w:t>.</w:t>
      </w:r>
      <w:r w:rsidRPr="007214E1">
        <w:rPr>
          <w:rFonts w:ascii="Book Antiqua" w:hAnsi="Book Antiqua"/>
          <w:i/>
        </w:rPr>
        <w:t xml:space="preserve"> </w:t>
      </w:r>
      <w:r w:rsidRPr="007214E1">
        <w:rPr>
          <w:rFonts w:ascii="Book Antiqua" w:hAnsi="Book Antiqua"/>
        </w:rPr>
        <w:t xml:space="preserve">If the results from this study suggest that </w:t>
      </w:r>
      <w:r w:rsidRPr="007214E1">
        <w:rPr>
          <w:rFonts w:ascii="Book Antiqua" w:hAnsi="Book Antiqua"/>
        </w:rPr>
        <w:lastRenderedPageBreak/>
        <w:t xml:space="preserve">administering nivolumab plus ipilimumab after SBRT is safe, better responses may be seen with that combination than with nivolumab alone given after SBRT due to the synergistic effects of nivolumab plus </w:t>
      </w:r>
      <w:proofErr w:type="gramStart"/>
      <w:r w:rsidRPr="007214E1">
        <w:rPr>
          <w:rFonts w:ascii="Book Antiqua" w:hAnsi="Book Antiqua"/>
        </w:rPr>
        <w:t>ipilimumab</w:t>
      </w:r>
      <w:r w:rsidRPr="007214E1">
        <w:rPr>
          <w:rFonts w:ascii="Book Antiqua" w:hAnsi="Book Antiqua"/>
          <w:vertAlign w:val="superscript"/>
        </w:rPr>
        <w:t>[</w:t>
      </w:r>
      <w:proofErr w:type="gramEnd"/>
      <w:r w:rsidR="003C55CA" w:rsidRPr="007214E1">
        <w:rPr>
          <w:rFonts w:ascii="Book Antiqua" w:hAnsi="Book Antiqua"/>
          <w:vertAlign w:val="superscript"/>
        </w:rPr>
        <w:t>2</w:t>
      </w:r>
      <w:r w:rsidR="008A4A28" w:rsidRPr="007214E1">
        <w:rPr>
          <w:rFonts w:ascii="Book Antiqua" w:hAnsi="Book Antiqua"/>
          <w:vertAlign w:val="superscript"/>
        </w:rPr>
        <w:t>4</w:t>
      </w:r>
      <w:r w:rsidR="003C55CA" w:rsidRPr="007214E1">
        <w:rPr>
          <w:rFonts w:ascii="Book Antiqua" w:hAnsi="Book Antiqua"/>
          <w:vertAlign w:val="superscript"/>
        </w:rPr>
        <w:t>,</w:t>
      </w:r>
      <w:r w:rsidR="008A4A28" w:rsidRPr="007214E1">
        <w:rPr>
          <w:rFonts w:ascii="Book Antiqua" w:hAnsi="Book Antiqua"/>
          <w:vertAlign w:val="superscript"/>
        </w:rPr>
        <w:t>28</w:t>
      </w:r>
      <w:r w:rsidR="000E4A12" w:rsidRPr="007214E1">
        <w:rPr>
          <w:rFonts w:ascii="Book Antiqua" w:hAnsi="Book Antiqua"/>
          <w:vertAlign w:val="superscript"/>
        </w:rPr>
        <w:t>,1</w:t>
      </w:r>
      <w:r w:rsidR="008A4A28" w:rsidRPr="007214E1">
        <w:rPr>
          <w:rFonts w:ascii="Book Antiqua" w:hAnsi="Book Antiqua"/>
          <w:vertAlign w:val="superscript"/>
        </w:rPr>
        <w:t>0</w:t>
      </w:r>
      <w:r w:rsidR="004459EA" w:rsidRPr="007214E1">
        <w:rPr>
          <w:rFonts w:ascii="Book Antiqua" w:hAnsi="Book Antiqua"/>
          <w:vertAlign w:val="superscript"/>
        </w:rPr>
        <w:t>5</w:t>
      </w:r>
      <w:r w:rsidRPr="007214E1">
        <w:rPr>
          <w:rFonts w:ascii="Book Antiqua" w:hAnsi="Book Antiqua"/>
          <w:vertAlign w:val="superscript"/>
        </w:rPr>
        <w:t>]</w:t>
      </w:r>
      <w:r w:rsidRPr="007214E1">
        <w:rPr>
          <w:rFonts w:ascii="Book Antiqua" w:hAnsi="Book Antiqua"/>
          <w:i/>
        </w:rPr>
        <w:t xml:space="preserve">. </w:t>
      </w:r>
      <w:r w:rsidRPr="007214E1">
        <w:rPr>
          <w:rFonts w:ascii="Book Antiqua" w:hAnsi="Book Antiqua"/>
        </w:rPr>
        <w:t>A phase II study (NCT03482102)</w:t>
      </w:r>
      <w:r w:rsidR="002009E9" w:rsidRPr="007214E1">
        <w:rPr>
          <w:rFonts w:ascii="Book Antiqua" w:hAnsi="Book Antiqua"/>
        </w:rPr>
        <w:t xml:space="preserve"> sponsored by Massachusetts General Hospital</w:t>
      </w:r>
      <w:r w:rsidRPr="007214E1">
        <w:rPr>
          <w:rFonts w:ascii="Book Antiqua" w:hAnsi="Book Antiqua"/>
        </w:rPr>
        <w:t xml:space="preserve"> will evaluate the safety and </w:t>
      </w:r>
      <w:r w:rsidR="002009E9" w:rsidRPr="007214E1">
        <w:rPr>
          <w:rFonts w:ascii="Book Antiqua" w:hAnsi="Book Antiqua"/>
        </w:rPr>
        <w:t xml:space="preserve">efficacy </w:t>
      </w:r>
      <w:r w:rsidRPr="007214E1">
        <w:rPr>
          <w:rFonts w:ascii="Book Antiqua" w:hAnsi="Book Antiqua"/>
        </w:rPr>
        <w:t xml:space="preserve">of </w:t>
      </w:r>
      <w:proofErr w:type="spellStart"/>
      <w:r w:rsidRPr="007214E1">
        <w:rPr>
          <w:rFonts w:ascii="Book Antiqua" w:hAnsi="Book Antiqua"/>
        </w:rPr>
        <w:t>durvalumab</w:t>
      </w:r>
      <w:proofErr w:type="spellEnd"/>
      <w:r w:rsidRPr="007214E1">
        <w:rPr>
          <w:rFonts w:ascii="Book Antiqua" w:hAnsi="Book Antiqua"/>
        </w:rPr>
        <w:t xml:space="preserve"> and </w:t>
      </w:r>
      <w:proofErr w:type="spellStart"/>
      <w:r w:rsidRPr="007214E1">
        <w:rPr>
          <w:rFonts w:ascii="Book Antiqua" w:hAnsi="Book Antiqua"/>
        </w:rPr>
        <w:t>tremelimumab</w:t>
      </w:r>
      <w:proofErr w:type="spellEnd"/>
      <w:r w:rsidRPr="007214E1">
        <w:rPr>
          <w:rFonts w:ascii="Book Antiqua" w:hAnsi="Book Antiqua"/>
        </w:rPr>
        <w:t xml:space="preserve"> administered in combination with radiation</w:t>
      </w:r>
      <w:r w:rsidR="002009E9" w:rsidRPr="007214E1">
        <w:rPr>
          <w:rFonts w:ascii="Book Antiqua" w:hAnsi="Book Antiqua"/>
        </w:rPr>
        <w:t xml:space="preserve"> as second-line </w:t>
      </w:r>
      <w:proofErr w:type="gramStart"/>
      <w:r w:rsidR="002009E9" w:rsidRPr="007214E1">
        <w:rPr>
          <w:rFonts w:ascii="Book Antiqua" w:hAnsi="Book Antiqua"/>
        </w:rPr>
        <w:t>therapy</w:t>
      </w:r>
      <w:r w:rsidRPr="007214E1">
        <w:rPr>
          <w:rFonts w:ascii="Book Antiqua" w:hAnsi="Book Antiqua"/>
          <w:vertAlign w:val="superscript"/>
        </w:rPr>
        <w:t>[</w:t>
      </w:r>
      <w:proofErr w:type="gramEnd"/>
      <w:r w:rsidRPr="007214E1">
        <w:rPr>
          <w:rFonts w:ascii="Book Antiqua" w:hAnsi="Book Antiqua"/>
          <w:vertAlign w:val="superscript"/>
        </w:rPr>
        <w:t>1</w:t>
      </w:r>
      <w:r w:rsidR="002009E9" w:rsidRPr="007214E1">
        <w:rPr>
          <w:rFonts w:ascii="Book Antiqua" w:hAnsi="Book Antiqua"/>
          <w:vertAlign w:val="superscript"/>
        </w:rPr>
        <w:t>0</w:t>
      </w:r>
      <w:r w:rsidR="004459EA" w:rsidRPr="007214E1">
        <w:rPr>
          <w:rFonts w:ascii="Book Antiqua" w:hAnsi="Book Antiqua"/>
          <w:vertAlign w:val="superscript"/>
        </w:rPr>
        <w:t>6</w:t>
      </w:r>
      <w:r w:rsidRPr="007214E1">
        <w:rPr>
          <w:rFonts w:ascii="Book Antiqua" w:hAnsi="Book Antiqua"/>
          <w:vertAlign w:val="superscript"/>
        </w:rPr>
        <w:t>]</w:t>
      </w:r>
      <w:r w:rsidRPr="007214E1">
        <w:rPr>
          <w:rFonts w:ascii="Book Antiqua" w:hAnsi="Book Antiqua"/>
        </w:rPr>
        <w:t xml:space="preserve">. As with prior studies examining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a central question of the NCT03482102 study is whether this combination will be less toxic than those utilizing nivolumab plus ipilimumab in addition to SBRT, and whether </w:t>
      </w:r>
      <w:proofErr w:type="spellStart"/>
      <w:r w:rsidRPr="007214E1">
        <w:rPr>
          <w:rFonts w:ascii="Book Antiqua" w:hAnsi="Book Antiqua"/>
        </w:rPr>
        <w:t>tremelimumab</w:t>
      </w:r>
      <w:proofErr w:type="spellEnd"/>
      <w:r w:rsidRPr="007214E1">
        <w:rPr>
          <w:rFonts w:ascii="Book Antiqua" w:hAnsi="Book Antiqua"/>
        </w:rPr>
        <w:t xml:space="preserve"> will lower the viral load in patients infected with HCV</w:t>
      </w:r>
      <w:r w:rsidRPr="007214E1">
        <w:rPr>
          <w:rFonts w:ascii="Book Antiqua" w:hAnsi="Book Antiqua"/>
          <w:vertAlign w:val="superscript"/>
        </w:rPr>
        <w:t>[</w:t>
      </w:r>
      <w:r w:rsidR="003C55CA" w:rsidRPr="007214E1">
        <w:rPr>
          <w:rFonts w:ascii="Book Antiqua" w:hAnsi="Book Antiqua"/>
          <w:vertAlign w:val="superscript"/>
        </w:rPr>
        <w:t>2</w:t>
      </w:r>
      <w:r w:rsidR="002009E9" w:rsidRPr="007214E1">
        <w:rPr>
          <w:rFonts w:ascii="Book Antiqua" w:hAnsi="Book Antiqua"/>
          <w:vertAlign w:val="superscript"/>
        </w:rPr>
        <w:t>2</w:t>
      </w:r>
      <w:r w:rsidR="003C55CA" w:rsidRPr="007214E1">
        <w:rPr>
          <w:rFonts w:ascii="Book Antiqua" w:hAnsi="Book Antiqua"/>
          <w:vertAlign w:val="superscript"/>
        </w:rPr>
        <w:t>,</w:t>
      </w:r>
      <w:r w:rsidR="002009E9" w:rsidRPr="007214E1">
        <w:rPr>
          <w:rFonts w:ascii="Book Antiqua" w:hAnsi="Book Antiqua"/>
          <w:vertAlign w:val="superscript"/>
        </w:rPr>
        <w:t>31,10</w:t>
      </w:r>
      <w:r w:rsidR="004459EA" w:rsidRPr="007214E1">
        <w:rPr>
          <w:rFonts w:ascii="Book Antiqua" w:hAnsi="Book Antiqua"/>
          <w:vertAlign w:val="superscript"/>
        </w:rPr>
        <w:t>6</w:t>
      </w:r>
      <w:r w:rsidR="003C55CA" w:rsidRPr="007214E1">
        <w:rPr>
          <w:rFonts w:ascii="Book Antiqua" w:hAnsi="Book Antiqua"/>
          <w:vertAlign w:val="superscript"/>
        </w:rPr>
        <w:t>]</w:t>
      </w:r>
      <w:r w:rsidRPr="007214E1">
        <w:rPr>
          <w:rFonts w:ascii="Book Antiqua" w:hAnsi="Book Antiqua"/>
        </w:rPr>
        <w:t>. Another phase II study will report the overall response rate after enrolling approximately 30 patients, and treating them with pembrolizumab and SBRT in the second-line setting</w:t>
      </w:r>
      <w:r w:rsidRPr="007214E1">
        <w:rPr>
          <w:rFonts w:ascii="Book Antiqua" w:hAnsi="Book Antiqua"/>
          <w:vertAlign w:val="superscript"/>
        </w:rPr>
        <w:t>[1</w:t>
      </w:r>
      <w:r w:rsidR="002009E9" w:rsidRPr="007214E1">
        <w:rPr>
          <w:rFonts w:ascii="Book Antiqua" w:hAnsi="Book Antiqua"/>
          <w:vertAlign w:val="superscript"/>
        </w:rPr>
        <w:t>0</w:t>
      </w:r>
      <w:r w:rsidR="004459EA" w:rsidRPr="007214E1">
        <w:rPr>
          <w:rFonts w:ascii="Book Antiqua" w:hAnsi="Book Antiqua"/>
          <w:vertAlign w:val="superscript"/>
        </w:rPr>
        <w:t>7</w:t>
      </w:r>
      <w:r w:rsidRPr="007214E1">
        <w:rPr>
          <w:rFonts w:ascii="Book Antiqua" w:hAnsi="Book Antiqua"/>
          <w:vertAlign w:val="superscript"/>
        </w:rPr>
        <w:t>]</w:t>
      </w:r>
      <w:r w:rsidRPr="007214E1">
        <w:rPr>
          <w:rFonts w:ascii="Book Antiqua" w:hAnsi="Book Antiqua"/>
        </w:rPr>
        <w:t xml:space="preserve">. </w:t>
      </w:r>
      <w:r w:rsidR="009A318B" w:rsidRPr="007214E1">
        <w:rPr>
          <w:rFonts w:ascii="Book Antiqua" w:hAnsi="Book Antiqua"/>
        </w:rPr>
        <w:t xml:space="preserve">Both radiation dosing and the time intervals between radiation treatment and immunotherapy treatment may affect the efficacy of combination therapies, and should be </w:t>
      </w:r>
      <w:r w:rsidR="00C233E6" w:rsidRPr="007214E1">
        <w:rPr>
          <w:rFonts w:ascii="Book Antiqua" w:hAnsi="Book Antiqua"/>
        </w:rPr>
        <w:t>considered</w:t>
      </w:r>
      <w:r w:rsidR="009A318B" w:rsidRPr="007214E1">
        <w:rPr>
          <w:rFonts w:ascii="Book Antiqua" w:hAnsi="Book Antiqua"/>
        </w:rPr>
        <w:t xml:space="preserve"> when the results of these various studies are </w:t>
      </w:r>
      <w:proofErr w:type="gramStart"/>
      <w:r w:rsidR="009A318B" w:rsidRPr="007214E1">
        <w:rPr>
          <w:rFonts w:ascii="Book Antiqua" w:hAnsi="Book Antiqua"/>
        </w:rPr>
        <w:t>available</w:t>
      </w:r>
      <w:r w:rsidR="009A318B" w:rsidRPr="007214E1">
        <w:rPr>
          <w:rFonts w:ascii="Book Antiqua" w:hAnsi="Book Antiqua"/>
          <w:vertAlign w:val="superscript"/>
        </w:rPr>
        <w:t>[</w:t>
      </w:r>
      <w:proofErr w:type="gramEnd"/>
      <w:r w:rsidR="009A318B" w:rsidRPr="007214E1">
        <w:rPr>
          <w:rFonts w:ascii="Book Antiqua" w:hAnsi="Book Antiqua"/>
          <w:vertAlign w:val="superscript"/>
        </w:rPr>
        <w:t>1</w:t>
      </w:r>
      <w:r w:rsidR="002009E9" w:rsidRPr="007214E1">
        <w:rPr>
          <w:rFonts w:ascii="Book Antiqua" w:hAnsi="Book Antiqua"/>
          <w:vertAlign w:val="superscript"/>
        </w:rPr>
        <w:t>0</w:t>
      </w:r>
      <w:r w:rsidR="004459EA" w:rsidRPr="007214E1">
        <w:rPr>
          <w:rFonts w:ascii="Book Antiqua" w:hAnsi="Book Antiqua"/>
          <w:vertAlign w:val="superscript"/>
        </w:rPr>
        <w:t>8</w:t>
      </w:r>
      <w:r w:rsidR="009A318B" w:rsidRPr="007214E1">
        <w:rPr>
          <w:rFonts w:ascii="Book Antiqua" w:hAnsi="Book Antiqua"/>
          <w:vertAlign w:val="superscript"/>
        </w:rPr>
        <w:t>]</w:t>
      </w:r>
      <w:r w:rsidR="009A318B" w:rsidRPr="007214E1">
        <w:rPr>
          <w:rFonts w:ascii="Book Antiqua" w:hAnsi="Book Antiqua"/>
        </w:rPr>
        <w:t>.</w:t>
      </w:r>
    </w:p>
    <w:p w14:paraId="159ACE8F" w14:textId="77777777" w:rsidR="00696FEC" w:rsidRPr="007214E1" w:rsidRDefault="00696FEC" w:rsidP="00EB43EE">
      <w:pPr>
        <w:snapToGrid w:val="0"/>
        <w:spacing w:line="360" w:lineRule="auto"/>
        <w:jc w:val="both"/>
        <w:rPr>
          <w:rFonts w:ascii="Book Antiqua" w:hAnsi="Book Antiqua"/>
          <w:i/>
        </w:rPr>
      </w:pPr>
    </w:p>
    <w:p w14:paraId="105BF518" w14:textId="13491949" w:rsidR="001D1E55" w:rsidRPr="007214E1" w:rsidRDefault="007367F2" w:rsidP="00EB43EE">
      <w:pPr>
        <w:snapToGrid w:val="0"/>
        <w:spacing w:line="360" w:lineRule="auto"/>
        <w:jc w:val="both"/>
        <w:rPr>
          <w:rFonts w:ascii="Book Antiqua" w:hAnsi="Book Antiqua"/>
          <w:b/>
        </w:rPr>
      </w:pPr>
      <w:r w:rsidRPr="007214E1">
        <w:rPr>
          <w:rFonts w:ascii="Book Antiqua" w:hAnsi="Book Antiqua"/>
          <w:b/>
          <w:u w:val="single"/>
        </w:rPr>
        <w:t>FUTURE DIRECTIONS</w:t>
      </w:r>
    </w:p>
    <w:p w14:paraId="3ED90447" w14:textId="33CB2776" w:rsidR="007E6AFC" w:rsidRPr="007214E1" w:rsidRDefault="0092204C" w:rsidP="00EB43EE">
      <w:pPr>
        <w:snapToGrid w:val="0"/>
        <w:spacing w:line="360" w:lineRule="auto"/>
        <w:jc w:val="both"/>
        <w:rPr>
          <w:rFonts w:ascii="Book Antiqua" w:hAnsi="Book Antiqua"/>
          <w:b/>
          <w:i/>
        </w:rPr>
      </w:pPr>
      <w:r w:rsidRPr="007214E1">
        <w:rPr>
          <w:rFonts w:ascii="Book Antiqua" w:hAnsi="Book Antiqua"/>
          <w:b/>
          <w:i/>
        </w:rPr>
        <w:t xml:space="preserve">PD-1 and </w:t>
      </w:r>
      <w:r w:rsidR="008C3CF5" w:rsidRPr="007214E1">
        <w:rPr>
          <w:rFonts w:ascii="Book Antiqua" w:hAnsi="Book Antiqua"/>
          <w:b/>
          <w:i/>
        </w:rPr>
        <w:t>PT-112</w:t>
      </w:r>
      <w:r w:rsidR="001D1E55" w:rsidRPr="007214E1">
        <w:rPr>
          <w:rFonts w:ascii="Book Antiqua" w:hAnsi="Book Antiqua"/>
          <w:b/>
          <w:i/>
        </w:rPr>
        <w:t xml:space="preserve"> </w:t>
      </w:r>
      <w:r w:rsidR="00C658A7" w:rsidRPr="007214E1">
        <w:rPr>
          <w:rFonts w:ascii="Book Antiqua" w:hAnsi="Book Antiqua"/>
          <w:b/>
          <w:i/>
        </w:rPr>
        <w:t>inhibitors</w:t>
      </w:r>
    </w:p>
    <w:p w14:paraId="51A55C00" w14:textId="183B46A4" w:rsidR="001D1E55" w:rsidRPr="007214E1" w:rsidRDefault="007E6AFC" w:rsidP="00EB43EE">
      <w:pPr>
        <w:snapToGrid w:val="0"/>
        <w:spacing w:line="360" w:lineRule="auto"/>
        <w:jc w:val="both"/>
        <w:rPr>
          <w:rFonts w:ascii="Book Antiqua" w:eastAsiaTheme="minorHAnsi" w:hAnsi="Book Antiqua"/>
        </w:rPr>
      </w:pPr>
      <w:r w:rsidRPr="007214E1">
        <w:rPr>
          <w:rFonts w:ascii="Book Antiqua" w:hAnsi="Book Antiqua"/>
        </w:rPr>
        <w:t>PT-112 is a platinum-based drug</w:t>
      </w:r>
      <w:r w:rsidR="008E2CDC" w:rsidRPr="007214E1">
        <w:rPr>
          <w:rFonts w:ascii="Book Antiqua" w:hAnsi="Book Antiqua"/>
        </w:rPr>
        <w:t xml:space="preserve"> of the </w:t>
      </w:r>
      <w:proofErr w:type="spellStart"/>
      <w:r w:rsidR="008E2CDC" w:rsidRPr="007214E1">
        <w:rPr>
          <w:rFonts w:ascii="Book Antiqua" w:hAnsi="Book Antiqua"/>
        </w:rPr>
        <w:t>phosphaplatin</w:t>
      </w:r>
      <w:proofErr w:type="spellEnd"/>
      <w:r w:rsidR="008E2CDC" w:rsidRPr="007214E1">
        <w:rPr>
          <w:rFonts w:ascii="Book Antiqua" w:hAnsi="Book Antiqua"/>
        </w:rPr>
        <w:t xml:space="preserve"> class</w:t>
      </w:r>
      <w:r w:rsidRPr="007214E1">
        <w:rPr>
          <w:rFonts w:ascii="Book Antiqua" w:hAnsi="Book Antiqua"/>
        </w:rPr>
        <w:t xml:space="preserve"> currently under development by </w:t>
      </w:r>
      <w:proofErr w:type="spellStart"/>
      <w:r w:rsidRPr="007214E1">
        <w:rPr>
          <w:rFonts w:ascii="Book Antiqua" w:hAnsi="Book Antiqua"/>
        </w:rPr>
        <w:t>Phosphaplatin</w:t>
      </w:r>
      <w:proofErr w:type="spellEnd"/>
      <w:r w:rsidRPr="007214E1">
        <w:rPr>
          <w:rFonts w:ascii="Book Antiqua" w:hAnsi="Book Antiqua"/>
        </w:rPr>
        <w:t xml:space="preserve"> Therapeutics with reported anti-tumor effects</w:t>
      </w:r>
      <w:r w:rsidR="00CF23D0" w:rsidRPr="007214E1">
        <w:rPr>
          <w:rFonts w:ascii="Book Antiqua" w:hAnsi="Book Antiqua"/>
        </w:rPr>
        <w:t xml:space="preserve"> both </w:t>
      </w:r>
      <w:r w:rsidR="00CF23D0" w:rsidRPr="007214E1">
        <w:rPr>
          <w:rFonts w:ascii="Book Antiqua" w:hAnsi="Book Antiqua"/>
          <w:i/>
        </w:rPr>
        <w:t>in-vivo</w:t>
      </w:r>
      <w:r w:rsidR="00CF23D0" w:rsidRPr="007214E1">
        <w:rPr>
          <w:rFonts w:ascii="Book Antiqua" w:hAnsi="Book Antiqua"/>
        </w:rPr>
        <w:t xml:space="preserve"> and </w:t>
      </w:r>
      <w:r w:rsidR="00CF23D0" w:rsidRPr="007214E1">
        <w:rPr>
          <w:rFonts w:ascii="Book Antiqua" w:hAnsi="Book Antiqua"/>
          <w:i/>
        </w:rPr>
        <w:t>in-</w:t>
      </w:r>
      <w:proofErr w:type="gramStart"/>
      <w:r w:rsidR="00CF23D0" w:rsidRPr="007214E1">
        <w:rPr>
          <w:rFonts w:ascii="Book Antiqua" w:hAnsi="Book Antiqua"/>
          <w:i/>
        </w:rPr>
        <w:t>vitro</w:t>
      </w:r>
      <w:r w:rsidRPr="007214E1">
        <w:rPr>
          <w:rFonts w:ascii="Book Antiqua" w:hAnsi="Book Antiqua"/>
          <w:vertAlign w:val="superscript"/>
        </w:rPr>
        <w:t>[</w:t>
      </w:r>
      <w:proofErr w:type="gramEnd"/>
      <w:r w:rsidR="006E1B05" w:rsidRPr="007214E1">
        <w:rPr>
          <w:rFonts w:ascii="Book Antiqua" w:hAnsi="Book Antiqua"/>
          <w:vertAlign w:val="superscript"/>
        </w:rPr>
        <w:t>10</w:t>
      </w:r>
      <w:r w:rsidR="007E3D32" w:rsidRPr="007214E1">
        <w:rPr>
          <w:rFonts w:ascii="Book Antiqua" w:hAnsi="Book Antiqua"/>
          <w:vertAlign w:val="superscript"/>
        </w:rPr>
        <w:t>9</w:t>
      </w:r>
      <w:r w:rsidR="006E1B05" w:rsidRPr="007214E1">
        <w:rPr>
          <w:rFonts w:ascii="Book Antiqua" w:hAnsi="Book Antiqua"/>
          <w:vertAlign w:val="superscript"/>
        </w:rPr>
        <w:t>-11</w:t>
      </w:r>
      <w:r w:rsidR="007E3D32" w:rsidRPr="007214E1">
        <w:rPr>
          <w:rFonts w:ascii="Book Antiqua" w:hAnsi="Book Antiqua"/>
          <w:vertAlign w:val="superscript"/>
        </w:rPr>
        <w:t>1</w:t>
      </w:r>
      <w:r w:rsidRPr="007214E1">
        <w:rPr>
          <w:rFonts w:ascii="Book Antiqua" w:hAnsi="Book Antiqua"/>
          <w:vertAlign w:val="superscript"/>
        </w:rPr>
        <w:t>]</w:t>
      </w:r>
      <w:r w:rsidRPr="007214E1">
        <w:rPr>
          <w:rFonts w:ascii="Book Antiqua" w:hAnsi="Book Antiqua"/>
        </w:rPr>
        <w:t>.</w:t>
      </w:r>
      <w:r w:rsidR="008E2CDC" w:rsidRPr="007214E1">
        <w:rPr>
          <w:rFonts w:ascii="Book Antiqua" w:hAnsi="Book Antiqua"/>
          <w:i/>
        </w:rPr>
        <w:t xml:space="preserve"> </w:t>
      </w:r>
      <w:r w:rsidR="002E0880" w:rsidRPr="007214E1">
        <w:rPr>
          <w:rFonts w:ascii="Book Antiqua" w:hAnsi="Book Antiqua"/>
        </w:rPr>
        <w:t xml:space="preserve">It promotes apoptosis in tumor cells and may have anti-angiogenic </w:t>
      </w:r>
      <w:proofErr w:type="gramStart"/>
      <w:r w:rsidR="002E0880" w:rsidRPr="007214E1">
        <w:rPr>
          <w:rFonts w:ascii="Book Antiqua" w:hAnsi="Book Antiqua"/>
        </w:rPr>
        <w:t>effects</w:t>
      </w:r>
      <w:r w:rsidR="002E0880" w:rsidRPr="007214E1">
        <w:rPr>
          <w:rFonts w:ascii="Book Antiqua" w:hAnsi="Book Antiqua"/>
          <w:vertAlign w:val="superscript"/>
        </w:rPr>
        <w:t>[</w:t>
      </w:r>
      <w:proofErr w:type="gramEnd"/>
      <w:r w:rsidR="004B555E" w:rsidRPr="007214E1">
        <w:rPr>
          <w:rFonts w:ascii="Book Antiqua" w:hAnsi="Book Antiqua"/>
          <w:vertAlign w:val="superscript"/>
        </w:rPr>
        <w:t>1</w:t>
      </w:r>
      <w:r w:rsidR="007E3D32" w:rsidRPr="007214E1">
        <w:rPr>
          <w:rFonts w:ascii="Book Antiqua" w:hAnsi="Book Antiqua"/>
          <w:vertAlign w:val="superscript"/>
        </w:rPr>
        <w:t>10</w:t>
      </w:r>
      <w:r w:rsidR="002E0880" w:rsidRPr="007214E1">
        <w:rPr>
          <w:rFonts w:ascii="Book Antiqua" w:hAnsi="Book Antiqua"/>
          <w:vertAlign w:val="superscript"/>
        </w:rPr>
        <w:t>]</w:t>
      </w:r>
      <w:r w:rsidR="002E0880" w:rsidRPr="007214E1">
        <w:rPr>
          <w:rFonts w:ascii="Book Antiqua" w:hAnsi="Book Antiqua"/>
        </w:rPr>
        <w:t>.</w:t>
      </w:r>
      <w:r w:rsidR="002E0880" w:rsidRPr="007214E1">
        <w:rPr>
          <w:rFonts w:ascii="Book Antiqua" w:hAnsi="Book Antiqua"/>
          <w:i/>
        </w:rPr>
        <w:t xml:space="preserve"> </w:t>
      </w:r>
      <w:r w:rsidR="0088682F" w:rsidRPr="007214E1">
        <w:rPr>
          <w:rFonts w:ascii="Book Antiqua" w:hAnsi="Book Antiqua"/>
        </w:rPr>
        <w:t xml:space="preserve">An </w:t>
      </w:r>
      <w:r w:rsidR="0088682F" w:rsidRPr="007214E1">
        <w:rPr>
          <w:rFonts w:ascii="Book Antiqua" w:hAnsi="Book Antiqua"/>
          <w:i/>
        </w:rPr>
        <w:t>in-vitro</w:t>
      </w:r>
      <w:r w:rsidR="0088682F" w:rsidRPr="007214E1">
        <w:rPr>
          <w:rFonts w:ascii="Book Antiqua" w:hAnsi="Book Antiqua"/>
        </w:rPr>
        <w:t xml:space="preserve"> study demonstrated that PT-112 treatment led to increased phosphorylation of a wide variety of targets, including VGFR1, EGFR, and CDC2</w:t>
      </w:r>
      <w:r w:rsidR="001940F1" w:rsidRPr="007214E1">
        <w:rPr>
          <w:rFonts w:ascii="Book Antiqua" w:hAnsi="Book Antiqua"/>
        </w:rPr>
        <w:t xml:space="preserve">, suggesting it may have activity against multiple </w:t>
      </w:r>
      <w:r w:rsidR="000A135C" w:rsidRPr="007214E1">
        <w:rPr>
          <w:rFonts w:ascii="Book Antiqua" w:hAnsi="Book Antiqua"/>
        </w:rPr>
        <w:t xml:space="preserve">distinct </w:t>
      </w:r>
      <w:proofErr w:type="gramStart"/>
      <w:r w:rsidR="001940F1" w:rsidRPr="007214E1">
        <w:rPr>
          <w:rFonts w:ascii="Book Antiqua" w:hAnsi="Book Antiqua"/>
        </w:rPr>
        <w:t>pathways</w:t>
      </w:r>
      <w:r w:rsidR="0088682F" w:rsidRPr="007214E1">
        <w:rPr>
          <w:rFonts w:ascii="Book Antiqua" w:hAnsi="Book Antiqua"/>
          <w:vertAlign w:val="superscript"/>
        </w:rPr>
        <w:t>[</w:t>
      </w:r>
      <w:proofErr w:type="gramEnd"/>
      <w:r w:rsidR="000A135C" w:rsidRPr="007214E1">
        <w:rPr>
          <w:rFonts w:ascii="Book Antiqua" w:hAnsi="Book Antiqua"/>
          <w:vertAlign w:val="superscript"/>
        </w:rPr>
        <w:t>1</w:t>
      </w:r>
      <w:r w:rsidR="006E1B05" w:rsidRPr="007214E1">
        <w:rPr>
          <w:rFonts w:ascii="Book Antiqua" w:hAnsi="Book Antiqua"/>
          <w:vertAlign w:val="superscript"/>
        </w:rPr>
        <w:t>1</w:t>
      </w:r>
      <w:r w:rsidR="007E3D32" w:rsidRPr="007214E1">
        <w:rPr>
          <w:rFonts w:ascii="Book Antiqua" w:hAnsi="Book Antiqua"/>
          <w:vertAlign w:val="superscript"/>
        </w:rPr>
        <w:t>1</w:t>
      </w:r>
      <w:r w:rsidR="0088682F" w:rsidRPr="007214E1">
        <w:rPr>
          <w:rFonts w:ascii="Book Antiqua" w:hAnsi="Book Antiqua"/>
          <w:vertAlign w:val="superscript"/>
        </w:rPr>
        <w:t>]</w:t>
      </w:r>
      <w:r w:rsidR="000A135C" w:rsidRPr="007214E1">
        <w:rPr>
          <w:rFonts w:ascii="Book Antiqua" w:hAnsi="Book Antiqua"/>
        </w:rPr>
        <w:t>.</w:t>
      </w:r>
      <w:r w:rsidR="000A135C" w:rsidRPr="007214E1">
        <w:rPr>
          <w:rFonts w:ascii="Book Antiqua" w:hAnsi="Book Antiqua"/>
          <w:i/>
        </w:rPr>
        <w:t xml:space="preserve"> </w:t>
      </w:r>
      <w:r w:rsidR="00E35FFB" w:rsidRPr="007214E1">
        <w:rPr>
          <w:rFonts w:ascii="Book Antiqua" w:hAnsi="Book Antiqua"/>
        </w:rPr>
        <w:t xml:space="preserve">Tumor cells may not be able to evade the drug’s antitumor effects through traditional drug resistance pathways because it binds to transmembrane proteins rather than </w:t>
      </w:r>
      <w:proofErr w:type="gramStart"/>
      <w:r w:rsidR="00E35FFB" w:rsidRPr="007214E1">
        <w:rPr>
          <w:rFonts w:ascii="Book Antiqua" w:hAnsi="Book Antiqua"/>
        </w:rPr>
        <w:t>DNA</w:t>
      </w:r>
      <w:r w:rsidR="00E35FFB" w:rsidRPr="007214E1">
        <w:rPr>
          <w:rFonts w:ascii="Book Antiqua" w:hAnsi="Book Antiqua"/>
          <w:vertAlign w:val="superscript"/>
        </w:rPr>
        <w:t>[</w:t>
      </w:r>
      <w:proofErr w:type="gramEnd"/>
      <w:r w:rsidR="006E1B05" w:rsidRPr="007214E1">
        <w:rPr>
          <w:rFonts w:ascii="Book Antiqua" w:hAnsi="Book Antiqua"/>
          <w:vertAlign w:val="superscript"/>
        </w:rPr>
        <w:t>1</w:t>
      </w:r>
      <w:r w:rsidR="007E3D32" w:rsidRPr="007214E1">
        <w:rPr>
          <w:rFonts w:ascii="Book Antiqua" w:hAnsi="Book Antiqua"/>
          <w:vertAlign w:val="superscript"/>
        </w:rPr>
        <w:t>10</w:t>
      </w:r>
      <w:r w:rsidR="00726DAD" w:rsidRPr="007214E1">
        <w:rPr>
          <w:rFonts w:ascii="Book Antiqua" w:hAnsi="Book Antiqua"/>
          <w:vertAlign w:val="superscript"/>
        </w:rPr>
        <w:t>,</w:t>
      </w:r>
      <w:r w:rsidR="00A33273" w:rsidRPr="007214E1">
        <w:rPr>
          <w:rFonts w:ascii="Book Antiqua" w:hAnsi="Book Antiqua"/>
          <w:vertAlign w:val="superscript"/>
        </w:rPr>
        <w:t>11</w:t>
      </w:r>
      <w:r w:rsidR="007E3D32" w:rsidRPr="007214E1">
        <w:rPr>
          <w:rFonts w:ascii="Book Antiqua" w:hAnsi="Book Antiqua"/>
          <w:vertAlign w:val="superscript"/>
        </w:rPr>
        <w:t>2</w:t>
      </w:r>
      <w:r w:rsidR="00E35FFB" w:rsidRPr="007214E1">
        <w:rPr>
          <w:rFonts w:ascii="Book Antiqua" w:hAnsi="Book Antiqua"/>
          <w:vertAlign w:val="superscript"/>
        </w:rPr>
        <w:t>]</w:t>
      </w:r>
      <w:r w:rsidR="00E35FFB" w:rsidRPr="007214E1">
        <w:rPr>
          <w:rFonts w:ascii="Book Antiqua" w:hAnsi="Book Antiqua"/>
        </w:rPr>
        <w:t xml:space="preserve">. </w:t>
      </w:r>
      <w:r w:rsidR="0065058E" w:rsidRPr="007214E1">
        <w:rPr>
          <w:rFonts w:ascii="Book Antiqua" w:hAnsi="Book Antiqua"/>
        </w:rPr>
        <w:t xml:space="preserve">An </w:t>
      </w:r>
      <w:r w:rsidR="0065058E" w:rsidRPr="007214E1">
        <w:rPr>
          <w:rFonts w:ascii="Book Antiqua" w:hAnsi="Book Antiqua"/>
          <w:i/>
        </w:rPr>
        <w:t>in-vitro</w:t>
      </w:r>
      <w:r w:rsidR="0065058E" w:rsidRPr="007214E1">
        <w:rPr>
          <w:rFonts w:ascii="Book Antiqua" w:hAnsi="Book Antiqua"/>
        </w:rPr>
        <w:t xml:space="preserve"> study in ovarian cancer cells demonstrated that cisplatin enters cells more readily than </w:t>
      </w:r>
      <w:proofErr w:type="spellStart"/>
      <w:r w:rsidR="0065058E" w:rsidRPr="007214E1">
        <w:rPr>
          <w:rFonts w:ascii="Book Antiqua" w:hAnsi="Book Antiqua"/>
        </w:rPr>
        <w:lastRenderedPageBreak/>
        <w:t>phosphaplatins</w:t>
      </w:r>
      <w:proofErr w:type="spellEnd"/>
      <w:r w:rsidR="0065058E" w:rsidRPr="007214E1">
        <w:rPr>
          <w:rFonts w:ascii="Book Antiqua" w:hAnsi="Book Antiqua"/>
        </w:rPr>
        <w:t>,</w:t>
      </w:r>
      <w:r w:rsidR="00A33273" w:rsidRPr="007214E1">
        <w:rPr>
          <w:rFonts w:ascii="Book Antiqua" w:hAnsi="Book Antiqua"/>
        </w:rPr>
        <w:t xml:space="preserve"> and may suggest that </w:t>
      </w:r>
      <w:proofErr w:type="spellStart"/>
      <w:r w:rsidR="00A33273" w:rsidRPr="007214E1">
        <w:rPr>
          <w:rFonts w:ascii="Book Antiqua" w:hAnsi="Book Antiqua"/>
        </w:rPr>
        <w:t>phosphaplatin</w:t>
      </w:r>
      <w:proofErr w:type="spellEnd"/>
      <w:r w:rsidR="00A33273" w:rsidRPr="007214E1">
        <w:rPr>
          <w:rFonts w:ascii="Book Antiqua" w:hAnsi="Book Antiqua"/>
        </w:rPr>
        <w:t xml:space="preserve"> treatment may produce fewer side-effects when compared to cisplatin therapy due to reduced intracellular </w:t>
      </w:r>
      <w:proofErr w:type="gramStart"/>
      <w:r w:rsidR="00A33273" w:rsidRPr="007214E1">
        <w:rPr>
          <w:rFonts w:ascii="Book Antiqua" w:hAnsi="Book Antiqua"/>
        </w:rPr>
        <w:t>accumulation</w:t>
      </w:r>
      <w:r w:rsidR="0065058E" w:rsidRPr="007214E1">
        <w:rPr>
          <w:rFonts w:ascii="Book Antiqua" w:hAnsi="Book Antiqua"/>
          <w:vertAlign w:val="superscript"/>
        </w:rPr>
        <w:t>[</w:t>
      </w:r>
      <w:proofErr w:type="gramEnd"/>
      <w:r w:rsidR="009610A3" w:rsidRPr="007214E1">
        <w:rPr>
          <w:rFonts w:ascii="Book Antiqua" w:hAnsi="Book Antiqua"/>
          <w:vertAlign w:val="superscript"/>
        </w:rPr>
        <w:t>1</w:t>
      </w:r>
      <w:r w:rsidR="00A33273" w:rsidRPr="007214E1">
        <w:rPr>
          <w:rFonts w:ascii="Book Antiqua" w:hAnsi="Book Antiqua"/>
          <w:vertAlign w:val="superscript"/>
        </w:rPr>
        <w:t>1</w:t>
      </w:r>
      <w:r w:rsidR="007E3D32" w:rsidRPr="007214E1">
        <w:rPr>
          <w:rFonts w:ascii="Book Antiqua" w:hAnsi="Book Antiqua"/>
          <w:vertAlign w:val="superscript"/>
        </w:rPr>
        <w:t>3</w:t>
      </w:r>
      <w:r w:rsidR="0065058E" w:rsidRPr="007214E1">
        <w:rPr>
          <w:rFonts w:ascii="Book Antiqua" w:hAnsi="Book Antiqua"/>
          <w:vertAlign w:val="superscript"/>
        </w:rPr>
        <w:t>]</w:t>
      </w:r>
      <w:r w:rsidR="0065058E" w:rsidRPr="007214E1">
        <w:rPr>
          <w:rFonts w:ascii="Book Antiqua" w:hAnsi="Book Antiqua"/>
        </w:rPr>
        <w:t>.</w:t>
      </w:r>
      <w:r w:rsidR="00354FFA" w:rsidRPr="007214E1">
        <w:rPr>
          <w:rFonts w:ascii="Book Antiqua" w:hAnsi="Book Antiqua"/>
          <w:i/>
        </w:rPr>
        <w:t xml:space="preserve"> </w:t>
      </w:r>
      <w:r w:rsidR="00E35FFB" w:rsidRPr="007214E1">
        <w:rPr>
          <w:rFonts w:ascii="Book Antiqua" w:hAnsi="Book Antiqua"/>
        </w:rPr>
        <w:t xml:space="preserve">A phase I clinical trial </w:t>
      </w:r>
      <w:r w:rsidR="00AE229E" w:rsidRPr="007214E1">
        <w:rPr>
          <w:rFonts w:ascii="Book Antiqua" w:hAnsi="Book Antiqua"/>
        </w:rPr>
        <w:t>involving 62 patients receiving PT-112</w:t>
      </w:r>
      <w:r w:rsidR="00E35FFB" w:rsidRPr="007214E1">
        <w:rPr>
          <w:rFonts w:ascii="Book Antiqua" w:hAnsi="Book Antiqua"/>
        </w:rPr>
        <w:t xml:space="preserve"> (</w:t>
      </w:r>
      <w:r w:rsidR="00E35FFB" w:rsidRPr="007214E1">
        <w:rPr>
          <w:rFonts w:ascii="Book Antiqua" w:hAnsi="Book Antiqua"/>
          <w:color w:val="000000"/>
          <w:shd w:val="clear" w:color="auto" w:fill="FFFFFF"/>
        </w:rPr>
        <w:t xml:space="preserve">NCT2266745) </w:t>
      </w:r>
      <w:r w:rsidR="00E35FFB" w:rsidRPr="007214E1">
        <w:rPr>
          <w:rFonts w:ascii="Book Antiqua" w:hAnsi="Book Antiqua"/>
        </w:rPr>
        <w:t>demonstrated no maximum tolerated dose, with fatigue as the most frequently-reported adverse event</w:t>
      </w:r>
      <w:r w:rsidR="00E35FFB" w:rsidRPr="007214E1">
        <w:rPr>
          <w:rFonts w:ascii="Book Antiqua" w:hAnsi="Book Antiqua"/>
          <w:vertAlign w:val="superscript"/>
        </w:rPr>
        <w:t>[</w:t>
      </w:r>
      <w:r w:rsidR="009610A3" w:rsidRPr="007214E1">
        <w:rPr>
          <w:rFonts w:ascii="Book Antiqua" w:hAnsi="Book Antiqua"/>
          <w:vertAlign w:val="superscript"/>
        </w:rPr>
        <w:t>1</w:t>
      </w:r>
      <w:r w:rsidR="008D7470" w:rsidRPr="007214E1">
        <w:rPr>
          <w:rFonts w:ascii="Book Antiqua" w:hAnsi="Book Antiqua"/>
          <w:vertAlign w:val="superscript"/>
        </w:rPr>
        <w:t>1</w:t>
      </w:r>
      <w:r w:rsidR="007E3D32" w:rsidRPr="007214E1">
        <w:rPr>
          <w:rFonts w:ascii="Book Antiqua" w:hAnsi="Book Antiqua"/>
          <w:vertAlign w:val="superscript"/>
        </w:rPr>
        <w:t>4</w:t>
      </w:r>
      <w:r w:rsidR="00E35FFB" w:rsidRPr="007214E1">
        <w:rPr>
          <w:rFonts w:ascii="Book Antiqua" w:hAnsi="Book Antiqua"/>
          <w:vertAlign w:val="superscript"/>
        </w:rPr>
        <w:t>]</w:t>
      </w:r>
      <w:r w:rsidR="00E35FFB" w:rsidRPr="007214E1">
        <w:rPr>
          <w:rFonts w:ascii="Book Antiqua" w:hAnsi="Book Antiqua"/>
        </w:rPr>
        <w:t>.</w:t>
      </w:r>
      <w:r w:rsidR="008E0AB5" w:rsidRPr="007214E1">
        <w:rPr>
          <w:rFonts w:ascii="Book Antiqua" w:hAnsi="Book Antiqua"/>
        </w:rPr>
        <w:t xml:space="preserve"> </w:t>
      </w:r>
      <w:r w:rsidR="0065058E" w:rsidRPr="007214E1">
        <w:rPr>
          <w:rFonts w:ascii="Book Antiqua" w:hAnsi="Book Antiqua"/>
        </w:rPr>
        <w:t xml:space="preserve">A patient with small cell lung cancer who progressed after prior treatment with </w:t>
      </w:r>
      <w:r w:rsidR="00AE229E" w:rsidRPr="007214E1">
        <w:rPr>
          <w:rFonts w:ascii="Book Antiqua" w:hAnsi="Book Antiqua"/>
        </w:rPr>
        <w:t>both a CTLA-4 inhibitor and PD-1 inhibitor</w:t>
      </w:r>
      <w:r w:rsidR="0065058E" w:rsidRPr="007214E1">
        <w:rPr>
          <w:rFonts w:ascii="Book Antiqua" w:hAnsi="Book Antiqua"/>
        </w:rPr>
        <w:t xml:space="preserve"> </w:t>
      </w:r>
      <w:r w:rsidR="00AE229E" w:rsidRPr="007214E1">
        <w:rPr>
          <w:rFonts w:ascii="Book Antiqua" w:hAnsi="Book Antiqua"/>
        </w:rPr>
        <w:t xml:space="preserve">was progression-free at 7.5 </w:t>
      </w:r>
      <w:proofErr w:type="spellStart"/>
      <w:r w:rsidR="00AE229E" w:rsidRPr="007214E1">
        <w:rPr>
          <w:rFonts w:ascii="Book Antiqua" w:hAnsi="Book Antiqua"/>
        </w:rPr>
        <w:t>mo</w:t>
      </w:r>
      <w:proofErr w:type="spellEnd"/>
      <w:r w:rsidR="00AE229E" w:rsidRPr="007214E1">
        <w:rPr>
          <w:rFonts w:ascii="Book Antiqua" w:hAnsi="Book Antiqua"/>
        </w:rPr>
        <w:t>, while</w:t>
      </w:r>
      <w:r w:rsidR="0065058E" w:rsidRPr="007214E1">
        <w:rPr>
          <w:rFonts w:ascii="Book Antiqua" w:hAnsi="Book Antiqua"/>
        </w:rPr>
        <w:t xml:space="preserve"> </w:t>
      </w:r>
      <w:r w:rsidR="00AE229E" w:rsidRPr="007214E1">
        <w:rPr>
          <w:rFonts w:ascii="Book Antiqua" w:hAnsi="Book Antiqua"/>
        </w:rPr>
        <w:t xml:space="preserve">a patient </w:t>
      </w:r>
      <w:r w:rsidR="0065058E" w:rsidRPr="007214E1">
        <w:rPr>
          <w:rFonts w:ascii="Book Antiqua" w:hAnsi="Book Antiqua"/>
        </w:rPr>
        <w:t xml:space="preserve">with non-small cell lung cancer who progressed </w:t>
      </w:r>
      <w:r w:rsidR="00AE229E" w:rsidRPr="007214E1">
        <w:rPr>
          <w:rFonts w:ascii="Book Antiqua" w:hAnsi="Book Antiqua"/>
        </w:rPr>
        <w:t>on</w:t>
      </w:r>
      <w:r w:rsidR="0065058E" w:rsidRPr="007214E1">
        <w:rPr>
          <w:rFonts w:ascii="Book Antiqua" w:hAnsi="Book Antiqua"/>
        </w:rPr>
        <w:t xml:space="preserve"> </w:t>
      </w:r>
      <w:r w:rsidR="00AE229E" w:rsidRPr="007214E1">
        <w:rPr>
          <w:rFonts w:ascii="Book Antiqua" w:hAnsi="Book Antiqua"/>
        </w:rPr>
        <w:t>a PD-1 inhibitor</w:t>
      </w:r>
      <w:r w:rsidR="0065058E" w:rsidRPr="007214E1">
        <w:rPr>
          <w:rFonts w:ascii="Book Antiqua" w:hAnsi="Book Antiqua"/>
        </w:rPr>
        <w:t xml:space="preserve"> </w:t>
      </w:r>
      <w:r w:rsidR="00AE229E" w:rsidRPr="007214E1">
        <w:rPr>
          <w:rFonts w:ascii="Book Antiqua" w:hAnsi="Book Antiqua"/>
        </w:rPr>
        <w:t>was progression</w:t>
      </w:r>
      <w:r w:rsidR="007367F2" w:rsidRPr="007214E1">
        <w:rPr>
          <w:rFonts w:ascii="Book Antiqua" w:hAnsi="Book Antiqua"/>
        </w:rPr>
        <w:t>-</w:t>
      </w:r>
      <w:r w:rsidR="00AE229E" w:rsidRPr="007214E1">
        <w:rPr>
          <w:rFonts w:ascii="Book Antiqua" w:hAnsi="Book Antiqua"/>
        </w:rPr>
        <w:t xml:space="preserve">free at 6 </w:t>
      </w:r>
      <w:proofErr w:type="spellStart"/>
      <w:r w:rsidR="00AE229E" w:rsidRPr="007214E1">
        <w:rPr>
          <w:rFonts w:ascii="Book Antiqua" w:hAnsi="Book Antiqua"/>
        </w:rPr>
        <w:t>mo</w:t>
      </w:r>
      <w:proofErr w:type="spellEnd"/>
      <w:r w:rsidR="00AE229E" w:rsidRPr="007214E1">
        <w:rPr>
          <w:rFonts w:ascii="Book Antiqua" w:hAnsi="Book Antiqua"/>
        </w:rPr>
        <w:t xml:space="preserve">, </w:t>
      </w:r>
      <w:r w:rsidR="0065058E" w:rsidRPr="007214E1">
        <w:rPr>
          <w:rFonts w:ascii="Book Antiqua" w:hAnsi="Book Antiqua"/>
        </w:rPr>
        <w:t>indicating the potential benefit of PT-112 therapy</w:t>
      </w:r>
      <w:r w:rsidR="0065058E" w:rsidRPr="007214E1">
        <w:rPr>
          <w:rFonts w:ascii="Book Antiqua" w:hAnsi="Book Antiqua"/>
          <w:vertAlign w:val="superscript"/>
        </w:rPr>
        <w:t>[</w:t>
      </w:r>
      <w:r w:rsidR="009610A3" w:rsidRPr="007214E1">
        <w:rPr>
          <w:rFonts w:ascii="Book Antiqua" w:eastAsiaTheme="minorHAnsi" w:hAnsi="Book Antiqua"/>
          <w:vertAlign w:val="superscript"/>
        </w:rPr>
        <w:t>1</w:t>
      </w:r>
      <w:r w:rsidR="008D7470" w:rsidRPr="007214E1">
        <w:rPr>
          <w:rFonts w:ascii="Book Antiqua" w:eastAsiaTheme="minorHAnsi" w:hAnsi="Book Antiqua"/>
          <w:vertAlign w:val="superscript"/>
        </w:rPr>
        <w:t>1</w:t>
      </w:r>
      <w:r w:rsidR="007E3D32" w:rsidRPr="007214E1">
        <w:rPr>
          <w:rFonts w:ascii="Book Antiqua" w:eastAsiaTheme="minorHAnsi" w:hAnsi="Book Antiqua"/>
          <w:vertAlign w:val="superscript"/>
        </w:rPr>
        <w:t>4</w:t>
      </w:r>
      <w:r w:rsidR="0065058E" w:rsidRPr="007214E1">
        <w:rPr>
          <w:rFonts w:ascii="Book Antiqua" w:eastAsiaTheme="minorHAnsi" w:hAnsi="Book Antiqua"/>
          <w:vertAlign w:val="superscript"/>
        </w:rPr>
        <w:t>]</w:t>
      </w:r>
      <w:r w:rsidR="009610A3" w:rsidRPr="007214E1">
        <w:rPr>
          <w:rFonts w:ascii="Book Antiqua" w:eastAsiaTheme="minorHAnsi" w:hAnsi="Book Antiqua"/>
        </w:rPr>
        <w:t xml:space="preserve">. </w:t>
      </w:r>
      <w:r w:rsidR="0065058E" w:rsidRPr="007214E1">
        <w:rPr>
          <w:rFonts w:ascii="Book Antiqua" w:hAnsi="Book Antiqua"/>
        </w:rPr>
        <w:t>The ORR was approximately 10.7</w:t>
      </w:r>
      <w:proofErr w:type="gramStart"/>
      <w:r w:rsidR="007367F2" w:rsidRPr="007214E1">
        <w:rPr>
          <w:rFonts w:ascii="Book Antiqua" w:hAnsi="Book Antiqua"/>
        </w:rPr>
        <w:t>%</w:t>
      </w:r>
      <w:r w:rsidR="0065058E" w:rsidRPr="007214E1">
        <w:rPr>
          <w:rFonts w:ascii="Book Antiqua" w:hAnsi="Book Antiqua"/>
          <w:vertAlign w:val="superscript"/>
        </w:rPr>
        <w:t>[</w:t>
      </w:r>
      <w:proofErr w:type="gramEnd"/>
      <w:r w:rsidR="009610A3" w:rsidRPr="007214E1">
        <w:rPr>
          <w:rFonts w:ascii="Book Antiqua" w:hAnsi="Book Antiqua"/>
          <w:vertAlign w:val="superscript"/>
        </w:rPr>
        <w:t>1</w:t>
      </w:r>
      <w:r w:rsidR="008D7470" w:rsidRPr="007214E1">
        <w:rPr>
          <w:rFonts w:ascii="Book Antiqua" w:hAnsi="Book Antiqua"/>
          <w:vertAlign w:val="superscript"/>
        </w:rPr>
        <w:t>1</w:t>
      </w:r>
      <w:r w:rsidR="007E3D32" w:rsidRPr="007214E1">
        <w:rPr>
          <w:rFonts w:ascii="Book Antiqua" w:hAnsi="Book Antiqua"/>
          <w:vertAlign w:val="superscript"/>
        </w:rPr>
        <w:t>4</w:t>
      </w:r>
      <w:r w:rsidR="008D7470" w:rsidRPr="007214E1">
        <w:rPr>
          <w:rFonts w:ascii="Book Antiqua" w:hAnsi="Book Antiqua"/>
          <w:vertAlign w:val="superscript"/>
        </w:rPr>
        <w:t>]</w:t>
      </w:r>
      <w:r w:rsidR="0065058E" w:rsidRPr="007214E1">
        <w:rPr>
          <w:rFonts w:ascii="Book Antiqua" w:hAnsi="Book Antiqua"/>
          <w:i/>
        </w:rPr>
        <w:t>.</w:t>
      </w:r>
      <w:r w:rsidR="00AE229E" w:rsidRPr="007214E1">
        <w:rPr>
          <w:rFonts w:ascii="Book Antiqua" w:hAnsi="Book Antiqua"/>
          <w:i/>
        </w:rPr>
        <w:t xml:space="preserve"> </w:t>
      </w:r>
      <w:r w:rsidR="00AE229E" w:rsidRPr="007214E1">
        <w:rPr>
          <w:rFonts w:ascii="Book Antiqua" w:hAnsi="Book Antiqua"/>
        </w:rPr>
        <w:t>A phase I/II trial testing PT-112 in patients with advanced solid tumors, including patients with</w:t>
      </w:r>
      <w:r w:rsidR="00F31FE2" w:rsidRPr="007214E1">
        <w:rPr>
          <w:rFonts w:ascii="Book Antiqua" w:hAnsi="Book Antiqua"/>
        </w:rPr>
        <w:t xml:space="preserve"> advanced</w:t>
      </w:r>
      <w:r w:rsidR="00AE229E" w:rsidRPr="007214E1">
        <w:rPr>
          <w:rFonts w:ascii="Book Antiqua" w:hAnsi="Book Antiqua"/>
        </w:rPr>
        <w:t xml:space="preserve"> HCC, </w:t>
      </w:r>
      <w:r w:rsidR="00F31FE2" w:rsidRPr="007214E1">
        <w:rPr>
          <w:rFonts w:ascii="Book Antiqua" w:hAnsi="Book Antiqua"/>
        </w:rPr>
        <w:t xml:space="preserve">remains </w:t>
      </w:r>
      <w:proofErr w:type="gramStart"/>
      <w:r w:rsidR="00F31FE2" w:rsidRPr="007214E1">
        <w:rPr>
          <w:rFonts w:ascii="Book Antiqua" w:hAnsi="Book Antiqua"/>
        </w:rPr>
        <w:t>active</w:t>
      </w:r>
      <w:r w:rsidR="00AE229E" w:rsidRPr="007214E1">
        <w:rPr>
          <w:rFonts w:ascii="Book Antiqua" w:hAnsi="Book Antiqua"/>
          <w:vertAlign w:val="superscript"/>
        </w:rPr>
        <w:t>[</w:t>
      </w:r>
      <w:proofErr w:type="gramEnd"/>
      <w:r w:rsidR="009610A3" w:rsidRPr="007214E1">
        <w:rPr>
          <w:rFonts w:ascii="Book Antiqua" w:hAnsi="Book Antiqua"/>
          <w:vertAlign w:val="superscript"/>
        </w:rPr>
        <w:t>1</w:t>
      </w:r>
      <w:r w:rsidR="001F378A" w:rsidRPr="007214E1">
        <w:rPr>
          <w:rFonts w:ascii="Book Antiqua" w:hAnsi="Book Antiqua"/>
          <w:vertAlign w:val="superscript"/>
        </w:rPr>
        <w:t>1</w:t>
      </w:r>
      <w:r w:rsidR="007E3D32" w:rsidRPr="007214E1">
        <w:rPr>
          <w:rFonts w:ascii="Book Antiqua" w:hAnsi="Book Antiqua"/>
          <w:vertAlign w:val="superscript"/>
        </w:rPr>
        <w:t>5</w:t>
      </w:r>
      <w:r w:rsidR="00ED09DD" w:rsidRPr="007214E1">
        <w:rPr>
          <w:rFonts w:ascii="Book Antiqua" w:hAnsi="Book Antiqua"/>
          <w:vertAlign w:val="superscript"/>
        </w:rPr>
        <w:t>]</w:t>
      </w:r>
      <w:r w:rsidR="00AE229E" w:rsidRPr="007214E1">
        <w:rPr>
          <w:rFonts w:ascii="Book Antiqua" w:hAnsi="Book Antiqua"/>
        </w:rPr>
        <w:t>.</w:t>
      </w:r>
      <w:r w:rsidR="00AE229E" w:rsidRPr="007214E1">
        <w:rPr>
          <w:rFonts w:ascii="Book Antiqua" w:hAnsi="Book Antiqua"/>
          <w:i/>
        </w:rPr>
        <w:t xml:space="preserve"> </w:t>
      </w:r>
      <w:r w:rsidR="00AE229E" w:rsidRPr="007214E1">
        <w:rPr>
          <w:rFonts w:ascii="Book Antiqua" w:hAnsi="Book Antiqua"/>
        </w:rPr>
        <w:t xml:space="preserve">The </w:t>
      </w:r>
      <w:r w:rsidR="00ED09DD" w:rsidRPr="007214E1">
        <w:rPr>
          <w:rFonts w:ascii="Book Antiqua" w:hAnsi="Book Antiqua"/>
        </w:rPr>
        <w:t>safety and efficacy</w:t>
      </w:r>
      <w:r w:rsidR="00AE229E" w:rsidRPr="007214E1">
        <w:rPr>
          <w:rFonts w:ascii="Book Antiqua" w:hAnsi="Book Antiqua"/>
        </w:rPr>
        <w:t xml:space="preserve"> of combining PD-1 therapy and PT-112 is being explored in a multi-center, non-</w:t>
      </w:r>
      <w:r w:rsidR="00C233E6" w:rsidRPr="007214E1">
        <w:rPr>
          <w:rFonts w:ascii="Book Antiqua" w:hAnsi="Book Antiqua"/>
        </w:rPr>
        <w:t>randomized</w:t>
      </w:r>
      <w:r w:rsidR="00AE229E" w:rsidRPr="007214E1">
        <w:rPr>
          <w:rFonts w:ascii="Book Antiqua" w:hAnsi="Book Antiqua"/>
        </w:rPr>
        <w:t xml:space="preserve">, phase I/II trial (NCT03409458) by </w:t>
      </w:r>
      <w:proofErr w:type="spellStart"/>
      <w:r w:rsidR="00AE229E" w:rsidRPr="007214E1">
        <w:rPr>
          <w:rFonts w:ascii="Book Antiqua" w:hAnsi="Book Antiqua"/>
        </w:rPr>
        <w:t>Phosphaplatin</w:t>
      </w:r>
      <w:proofErr w:type="spellEnd"/>
      <w:r w:rsidR="00AE229E" w:rsidRPr="007214E1">
        <w:rPr>
          <w:rFonts w:ascii="Book Antiqua" w:hAnsi="Book Antiqua"/>
        </w:rPr>
        <w:t xml:space="preserve"> Therapeutics that will administer PT-112 in combination with avelumab in patients with solid tumors, not including </w:t>
      </w:r>
      <w:proofErr w:type="gramStart"/>
      <w:r w:rsidR="00AE229E" w:rsidRPr="007214E1">
        <w:rPr>
          <w:rFonts w:ascii="Book Antiqua" w:hAnsi="Book Antiqua"/>
        </w:rPr>
        <w:t>HCC</w:t>
      </w:r>
      <w:r w:rsidR="00AE229E" w:rsidRPr="007214E1">
        <w:rPr>
          <w:rFonts w:ascii="Book Antiqua" w:hAnsi="Book Antiqua"/>
          <w:vertAlign w:val="superscript"/>
        </w:rPr>
        <w:t>[</w:t>
      </w:r>
      <w:proofErr w:type="gramEnd"/>
      <w:r w:rsidR="00392518" w:rsidRPr="007214E1">
        <w:rPr>
          <w:rFonts w:ascii="Book Antiqua" w:hAnsi="Book Antiqua"/>
          <w:vertAlign w:val="superscript"/>
        </w:rPr>
        <w:t>1</w:t>
      </w:r>
      <w:r w:rsidR="001F378A" w:rsidRPr="007214E1">
        <w:rPr>
          <w:rFonts w:ascii="Book Antiqua" w:hAnsi="Book Antiqua"/>
          <w:vertAlign w:val="superscript"/>
        </w:rPr>
        <w:t>1</w:t>
      </w:r>
      <w:r w:rsidR="007E3D32" w:rsidRPr="007214E1">
        <w:rPr>
          <w:rFonts w:ascii="Book Antiqua" w:hAnsi="Book Antiqua"/>
          <w:vertAlign w:val="superscript"/>
        </w:rPr>
        <w:t>6</w:t>
      </w:r>
      <w:r w:rsidR="00AE229E" w:rsidRPr="007214E1">
        <w:rPr>
          <w:rFonts w:ascii="Book Antiqua" w:hAnsi="Book Antiqua"/>
          <w:vertAlign w:val="superscript"/>
        </w:rPr>
        <w:t>]</w:t>
      </w:r>
      <w:r w:rsidR="00AE229E" w:rsidRPr="007214E1">
        <w:rPr>
          <w:rFonts w:ascii="Book Antiqua" w:hAnsi="Book Antiqua"/>
        </w:rPr>
        <w:t>.</w:t>
      </w:r>
      <w:r w:rsidR="00AE229E" w:rsidRPr="007214E1">
        <w:rPr>
          <w:rFonts w:ascii="Book Antiqua" w:hAnsi="Book Antiqua"/>
          <w:i/>
        </w:rPr>
        <w:t xml:space="preserve"> </w:t>
      </w:r>
      <w:r w:rsidR="008C7EA1" w:rsidRPr="007214E1">
        <w:rPr>
          <w:rFonts w:ascii="Book Antiqua" w:hAnsi="Book Antiqua"/>
        </w:rPr>
        <w:t xml:space="preserve">If combination therapy involving PT-112 and immunotherapy is safe and effective, the natural properties of </w:t>
      </w:r>
      <w:proofErr w:type="spellStart"/>
      <w:r w:rsidR="008C7EA1" w:rsidRPr="007214E1">
        <w:rPr>
          <w:rFonts w:ascii="Book Antiqua" w:hAnsi="Book Antiqua"/>
        </w:rPr>
        <w:t>phosphaplatins</w:t>
      </w:r>
      <w:proofErr w:type="spellEnd"/>
      <w:r w:rsidR="008C7EA1" w:rsidRPr="007214E1">
        <w:rPr>
          <w:rFonts w:ascii="Book Antiqua" w:hAnsi="Book Antiqua"/>
        </w:rPr>
        <w:t xml:space="preserve"> may prevent drug resistance, leading to more durable responses. </w:t>
      </w:r>
      <w:r w:rsidR="00694A84" w:rsidRPr="007214E1">
        <w:rPr>
          <w:rFonts w:ascii="Book Antiqua" w:hAnsi="Book Antiqua"/>
        </w:rPr>
        <w:t xml:space="preserve">If these regimens are truly less toxic than other combination regimens due to low levels of intracellular accumulation of </w:t>
      </w:r>
      <w:proofErr w:type="spellStart"/>
      <w:r w:rsidR="00694A84" w:rsidRPr="007214E1">
        <w:rPr>
          <w:rFonts w:ascii="Book Antiqua" w:hAnsi="Book Antiqua"/>
        </w:rPr>
        <w:t>phosphaplatins</w:t>
      </w:r>
      <w:proofErr w:type="spellEnd"/>
      <w:r w:rsidR="00694A84" w:rsidRPr="007214E1">
        <w:rPr>
          <w:rFonts w:ascii="Book Antiqua" w:hAnsi="Book Antiqua"/>
        </w:rPr>
        <w:t xml:space="preserve">, PT-112-based combination therapy may become </w:t>
      </w:r>
      <w:r w:rsidR="001F378A" w:rsidRPr="007214E1">
        <w:rPr>
          <w:rFonts w:ascii="Book Antiqua" w:hAnsi="Book Antiqua"/>
        </w:rPr>
        <w:t>an alternative option</w:t>
      </w:r>
      <w:r w:rsidR="00694A84" w:rsidRPr="007214E1">
        <w:rPr>
          <w:rFonts w:ascii="Book Antiqua" w:hAnsi="Book Antiqua"/>
        </w:rPr>
        <w:t xml:space="preserve"> for </w:t>
      </w:r>
      <w:r w:rsidR="001F378A" w:rsidRPr="007214E1">
        <w:rPr>
          <w:rFonts w:ascii="Book Antiqua" w:hAnsi="Book Antiqua"/>
        </w:rPr>
        <w:t xml:space="preserve">HCC </w:t>
      </w:r>
      <w:r w:rsidR="00694A84" w:rsidRPr="007214E1">
        <w:rPr>
          <w:rFonts w:ascii="Book Antiqua" w:hAnsi="Book Antiqua"/>
        </w:rPr>
        <w:t>patients who cannot tolerate other regimens due to adverse effects</w:t>
      </w:r>
      <w:r w:rsidR="001F378A" w:rsidRPr="007214E1">
        <w:rPr>
          <w:rFonts w:ascii="Book Antiqua" w:hAnsi="Book Antiqua"/>
        </w:rPr>
        <w:t xml:space="preserve"> if it is proven safe</w:t>
      </w:r>
      <w:r w:rsidR="00694A84" w:rsidRPr="007214E1">
        <w:rPr>
          <w:rFonts w:ascii="Book Antiqua" w:hAnsi="Book Antiqua"/>
          <w:vertAlign w:val="superscript"/>
        </w:rPr>
        <w:t>[11</w:t>
      </w:r>
      <w:r w:rsidR="007E3D32" w:rsidRPr="007214E1">
        <w:rPr>
          <w:rFonts w:ascii="Book Antiqua" w:hAnsi="Book Antiqua"/>
          <w:vertAlign w:val="superscript"/>
        </w:rPr>
        <w:t>3</w:t>
      </w:r>
      <w:r w:rsidR="008D7470" w:rsidRPr="007214E1">
        <w:rPr>
          <w:rFonts w:ascii="Book Antiqua" w:hAnsi="Book Antiqua"/>
          <w:vertAlign w:val="superscript"/>
        </w:rPr>
        <w:t>]</w:t>
      </w:r>
      <w:r w:rsidR="008D7470" w:rsidRPr="007214E1">
        <w:rPr>
          <w:rFonts w:ascii="Book Antiqua" w:hAnsi="Book Antiqua"/>
        </w:rPr>
        <w:t>.</w:t>
      </w:r>
    </w:p>
    <w:p w14:paraId="43275129" w14:textId="07F0E82E" w:rsidR="008C3CF5" w:rsidRPr="007214E1" w:rsidRDefault="008C3CF5" w:rsidP="00EB43EE">
      <w:pPr>
        <w:snapToGrid w:val="0"/>
        <w:spacing w:line="360" w:lineRule="auto"/>
        <w:jc w:val="both"/>
        <w:rPr>
          <w:rFonts w:ascii="Book Antiqua" w:hAnsi="Book Antiqua"/>
          <w:i/>
        </w:rPr>
      </w:pPr>
    </w:p>
    <w:p w14:paraId="15017D29" w14:textId="27EEA083" w:rsidR="004425A4" w:rsidRPr="007214E1" w:rsidRDefault="005A0FB3" w:rsidP="00EB43EE">
      <w:pPr>
        <w:snapToGrid w:val="0"/>
        <w:spacing w:line="360" w:lineRule="auto"/>
        <w:jc w:val="both"/>
        <w:rPr>
          <w:rFonts w:ascii="Book Antiqua" w:hAnsi="Book Antiqua"/>
          <w:b/>
          <w:u w:val="single"/>
        </w:rPr>
      </w:pPr>
      <w:r w:rsidRPr="007214E1">
        <w:rPr>
          <w:rFonts w:ascii="Book Antiqua" w:hAnsi="Book Antiqua"/>
          <w:b/>
          <w:u w:val="single"/>
        </w:rPr>
        <w:t>CONCLUSION</w:t>
      </w:r>
    </w:p>
    <w:p w14:paraId="5A76F5EA" w14:textId="1F11E96F" w:rsidR="00424CA0" w:rsidRPr="007214E1" w:rsidRDefault="00B7405B" w:rsidP="00EB43EE">
      <w:pPr>
        <w:snapToGrid w:val="0"/>
        <w:spacing w:line="360" w:lineRule="auto"/>
        <w:jc w:val="both"/>
        <w:rPr>
          <w:rFonts w:ascii="Book Antiqua" w:hAnsi="Book Antiqua"/>
        </w:rPr>
      </w:pPr>
      <w:r w:rsidRPr="007214E1">
        <w:rPr>
          <w:rFonts w:ascii="Book Antiqua" w:hAnsi="Book Antiqua"/>
        </w:rPr>
        <w:t>Although i</w:t>
      </w:r>
      <w:r w:rsidR="00EA1DEB" w:rsidRPr="007214E1">
        <w:rPr>
          <w:rFonts w:ascii="Book Antiqua" w:hAnsi="Book Antiqua"/>
        </w:rPr>
        <w:t>mmunotherapy remains a promising strategy for HCC patients with unresectable disease</w:t>
      </w:r>
      <w:r w:rsidRPr="007214E1">
        <w:rPr>
          <w:rFonts w:ascii="Book Antiqua" w:hAnsi="Book Antiqua"/>
        </w:rPr>
        <w:t xml:space="preserve">, checkpoint inhibitors used as single-agent therapy produce relatively modest overall response rates without significant improvements in </w:t>
      </w:r>
      <w:proofErr w:type="gramStart"/>
      <w:r w:rsidRPr="007214E1">
        <w:rPr>
          <w:rFonts w:ascii="Book Antiqua" w:hAnsi="Book Antiqua"/>
        </w:rPr>
        <w:t>survival</w:t>
      </w:r>
      <w:r w:rsidRPr="007214E1">
        <w:rPr>
          <w:rFonts w:ascii="Book Antiqua" w:hAnsi="Book Antiqua"/>
          <w:vertAlign w:val="superscript"/>
        </w:rPr>
        <w:t>[</w:t>
      </w:r>
      <w:proofErr w:type="gramEnd"/>
      <w:r w:rsidR="00C658A7" w:rsidRPr="007214E1">
        <w:rPr>
          <w:rFonts w:ascii="Book Antiqua" w:hAnsi="Book Antiqua"/>
          <w:vertAlign w:val="superscript"/>
        </w:rPr>
        <w:t>18,</w:t>
      </w:r>
      <w:r w:rsidR="001F378A" w:rsidRPr="007214E1">
        <w:rPr>
          <w:rFonts w:ascii="Book Antiqua" w:hAnsi="Book Antiqua"/>
          <w:vertAlign w:val="superscript"/>
        </w:rPr>
        <w:t>19</w:t>
      </w:r>
      <w:r w:rsidRPr="007214E1">
        <w:rPr>
          <w:rFonts w:ascii="Book Antiqua" w:hAnsi="Book Antiqua"/>
          <w:vertAlign w:val="superscript"/>
        </w:rPr>
        <w:t>]</w:t>
      </w:r>
      <w:r w:rsidR="00EA1DEB" w:rsidRPr="007214E1">
        <w:rPr>
          <w:rFonts w:ascii="Book Antiqua" w:hAnsi="Book Antiqua"/>
        </w:rPr>
        <w:t>.</w:t>
      </w:r>
      <w:r w:rsidR="00EA1DEB" w:rsidRPr="007214E1">
        <w:rPr>
          <w:rFonts w:ascii="Book Antiqua" w:hAnsi="Book Antiqua"/>
          <w:i/>
        </w:rPr>
        <w:t xml:space="preserve"> </w:t>
      </w:r>
      <w:r w:rsidRPr="007214E1">
        <w:rPr>
          <w:rFonts w:ascii="Book Antiqua" w:hAnsi="Book Antiqua"/>
        </w:rPr>
        <w:t xml:space="preserve">As we have </w:t>
      </w:r>
      <w:r w:rsidR="006F41A4" w:rsidRPr="007214E1">
        <w:rPr>
          <w:rFonts w:ascii="Book Antiqua" w:hAnsi="Book Antiqua"/>
        </w:rPr>
        <w:t>outlined</w:t>
      </w:r>
      <w:r w:rsidRPr="007214E1">
        <w:rPr>
          <w:rFonts w:ascii="Book Antiqua" w:hAnsi="Book Antiqua"/>
        </w:rPr>
        <w:t xml:space="preserve"> </w:t>
      </w:r>
      <w:r w:rsidR="006F41A4" w:rsidRPr="007214E1">
        <w:rPr>
          <w:rFonts w:ascii="Book Antiqua" w:hAnsi="Book Antiqua"/>
        </w:rPr>
        <w:t xml:space="preserve">in </w:t>
      </w:r>
      <w:r w:rsidRPr="007214E1">
        <w:rPr>
          <w:rFonts w:ascii="Book Antiqua" w:hAnsi="Book Antiqua"/>
        </w:rPr>
        <w:t xml:space="preserve">this review, a combination </w:t>
      </w:r>
      <w:r w:rsidR="006F41A4" w:rsidRPr="007214E1">
        <w:rPr>
          <w:rFonts w:ascii="Book Antiqua" w:hAnsi="Book Antiqua"/>
        </w:rPr>
        <w:t xml:space="preserve">treatment strategy pairing checkpoint inhibitors with </w:t>
      </w:r>
      <w:r w:rsidR="001F378A" w:rsidRPr="007214E1">
        <w:rPr>
          <w:rFonts w:ascii="Book Antiqua" w:hAnsi="Book Antiqua"/>
        </w:rPr>
        <w:t>additional pharmacologic agents</w:t>
      </w:r>
      <w:r w:rsidR="006F41A4" w:rsidRPr="007214E1">
        <w:rPr>
          <w:rFonts w:ascii="Book Antiqua" w:hAnsi="Book Antiqua"/>
        </w:rPr>
        <w:t xml:space="preserve">, </w:t>
      </w:r>
      <w:r w:rsidR="006F41A4" w:rsidRPr="007214E1">
        <w:rPr>
          <w:rFonts w:ascii="Book Antiqua" w:hAnsi="Book Antiqua"/>
        </w:rPr>
        <w:lastRenderedPageBreak/>
        <w:t>locoregional therapy or radiation therapy may produce greater responses than single-agent immunotherapy</w:t>
      </w:r>
      <w:r w:rsidRPr="007214E1">
        <w:rPr>
          <w:rFonts w:ascii="Book Antiqua" w:hAnsi="Book Antiqua"/>
        </w:rPr>
        <w:t xml:space="preserve">. </w:t>
      </w:r>
      <w:r w:rsidR="006F41A4" w:rsidRPr="007214E1">
        <w:rPr>
          <w:rFonts w:ascii="Book Antiqua" w:hAnsi="Book Antiqua"/>
        </w:rPr>
        <w:t>Multiple active clinical trials are underway to</w:t>
      </w:r>
      <w:r w:rsidR="006F41A4" w:rsidRPr="007214E1">
        <w:rPr>
          <w:rFonts w:ascii="Book Antiqua" w:hAnsi="Book Antiqua"/>
          <w:i/>
        </w:rPr>
        <w:t xml:space="preserve"> </w:t>
      </w:r>
      <w:r w:rsidR="006F41A4" w:rsidRPr="007214E1">
        <w:rPr>
          <w:rFonts w:ascii="Book Antiqua" w:hAnsi="Book Antiqua"/>
        </w:rPr>
        <w:t>determine which combination strategies can safely produce durable clinical responses, ideally with significant improvements in overall survival</w:t>
      </w:r>
      <w:r w:rsidR="001F378A" w:rsidRPr="007214E1">
        <w:rPr>
          <w:rFonts w:ascii="Book Antiqua" w:hAnsi="Book Antiqua"/>
        </w:rPr>
        <w:t xml:space="preserve"> and overall response rates</w:t>
      </w:r>
      <w:r w:rsidR="00C658A7" w:rsidRPr="007214E1">
        <w:rPr>
          <w:rFonts w:ascii="Book Antiqua" w:hAnsi="Book Antiqua"/>
        </w:rPr>
        <w:t>.</w:t>
      </w:r>
    </w:p>
    <w:p w14:paraId="60D8B51F" w14:textId="74A93F0D" w:rsidR="00AF2814" w:rsidRPr="007214E1" w:rsidRDefault="00AF2814" w:rsidP="00EB43EE">
      <w:pPr>
        <w:snapToGrid w:val="0"/>
        <w:spacing w:line="360" w:lineRule="auto"/>
        <w:jc w:val="both"/>
        <w:rPr>
          <w:rFonts w:ascii="Book Antiqua" w:hAnsi="Book Antiqua"/>
          <w:i/>
        </w:rPr>
      </w:pPr>
    </w:p>
    <w:p w14:paraId="0E08CC3F" w14:textId="77777777" w:rsidR="0046745C" w:rsidRPr="007214E1" w:rsidRDefault="0046745C" w:rsidP="00EB43EE">
      <w:pPr>
        <w:shd w:val="clear" w:color="auto" w:fill="FFFFFF"/>
        <w:snapToGrid w:val="0"/>
        <w:spacing w:line="360" w:lineRule="auto"/>
        <w:jc w:val="both"/>
        <w:rPr>
          <w:rFonts w:ascii="Book Antiqua" w:hAnsi="Book Antiqua"/>
          <w:b/>
          <w:color w:val="000000"/>
          <w:lang w:val="en-GB"/>
        </w:rPr>
      </w:pPr>
      <w:r w:rsidRPr="007214E1">
        <w:rPr>
          <w:rFonts w:ascii="Book Antiqua" w:hAnsi="Book Antiqua"/>
          <w:b/>
          <w:color w:val="000000"/>
          <w:lang w:val="en-GB"/>
        </w:rPr>
        <w:t>REFERENCES</w:t>
      </w:r>
    </w:p>
    <w:p w14:paraId="46959A57"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 </w:t>
      </w:r>
      <w:r w:rsidRPr="007214E1">
        <w:rPr>
          <w:rFonts w:ascii="Book Antiqua" w:hAnsi="Book Antiqua"/>
          <w:b/>
        </w:rPr>
        <w:t>Bray F</w:t>
      </w:r>
      <w:r w:rsidRPr="007214E1">
        <w:rPr>
          <w:rFonts w:ascii="Book Antiqua" w:hAnsi="Book Antiqua"/>
        </w:rPr>
        <w:t xml:space="preserve">, </w:t>
      </w:r>
      <w:proofErr w:type="spellStart"/>
      <w:r w:rsidRPr="007214E1">
        <w:rPr>
          <w:rFonts w:ascii="Book Antiqua" w:hAnsi="Book Antiqua"/>
        </w:rPr>
        <w:t>Ferlay</w:t>
      </w:r>
      <w:proofErr w:type="spellEnd"/>
      <w:r w:rsidRPr="007214E1">
        <w:rPr>
          <w:rFonts w:ascii="Book Antiqua" w:hAnsi="Book Antiqua"/>
        </w:rPr>
        <w:t xml:space="preserve"> J, </w:t>
      </w:r>
      <w:proofErr w:type="spellStart"/>
      <w:r w:rsidRPr="007214E1">
        <w:rPr>
          <w:rFonts w:ascii="Book Antiqua" w:hAnsi="Book Antiqua"/>
        </w:rPr>
        <w:t>Soerjomataram</w:t>
      </w:r>
      <w:proofErr w:type="spellEnd"/>
      <w:r w:rsidRPr="007214E1">
        <w:rPr>
          <w:rFonts w:ascii="Book Antiqua" w:hAnsi="Book Antiqua"/>
        </w:rPr>
        <w:t xml:space="preserve"> I, Siegel RL, Torre LA, Jemal A. Global cancer statistics 2018: GLOBOCAN estimates of incidence and mortality worldwide for 36 cancers in 185 countries. </w:t>
      </w:r>
      <w:r w:rsidRPr="007214E1">
        <w:rPr>
          <w:rFonts w:ascii="Book Antiqua" w:hAnsi="Book Antiqua"/>
          <w:i/>
        </w:rPr>
        <w:t>CA Cancer J Clin</w:t>
      </w:r>
      <w:r w:rsidRPr="007214E1">
        <w:rPr>
          <w:rFonts w:ascii="Book Antiqua" w:hAnsi="Book Antiqua"/>
        </w:rPr>
        <w:t xml:space="preserve"> 2018; </w:t>
      </w:r>
      <w:r w:rsidRPr="007214E1">
        <w:rPr>
          <w:rFonts w:ascii="Book Antiqua" w:hAnsi="Book Antiqua"/>
          <w:b/>
        </w:rPr>
        <w:t>68</w:t>
      </w:r>
      <w:r w:rsidRPr="007214E1">
        <w:rPr>
          <w:rFonts w:ascii="Book Antiqua" w:hAnsi="Book Antiqua"/>
        </w:rPr>
        <w:t>: 394-424 [PMID: 30207593 DOI: 10.3322/caac.21492]</w:t>
      </w:r>
    </w:p>
    <w:p w14:paraId="744EDB83"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 </w:t>
      </w:r>
      <w:proofErr w:type="spellStart"/>
      <w:r w:rsidRPr="007214E1">
        <w:rPr>
          <w:rFonts w:ascii="Book Antiqua" w:hAnsi="Book Antiqua"/>
          <w:b/>
        </w:rPr>
        <w:t>Rawla</w:t>
      </w:r>
      <w:proofErr w:type="spellEnd"/>
      <w:r w:rsidRPr="007214E1">
        <w:rPr>
          <w:rFonts w:ascii="Book Antiqua" w:hAnsi="Book Antiqua"/>
          <w:b/>
        </w:rPr>
        <w:t xml:space="preserve"> P</w:t>
      </w:r>
      <w:r w:rsidRPr="007214E1">
        <w:rPr>
          <w:rFonts w:ascii="Book Antiqua" w:hAnsi="Book Antiqua"/>
        </w:rPr>
        <w:t xml:space="preserve">, </w:t>
      </w:r>
      <w:proofErr w:type="spellStart"/>
      <w:r w:rsidRPr="007214E1">
        <w:rPr>
          <w:rFonts w:ascii="Book Antiqua" w:hAnsi="Book Antiqua"/>
        </w:rPr>
        <w:t>Sunkara</w:t>
      </w:r>
      <w:proofErr w:type="spellEnd"/>
      <w:r w:rsidRPr="007214E1">
        <w:rPr>
          <w:rFonts w:ascii="Book Antiqua" w:hAnsi="Book Antiqua"/>
        </w:rPr>
        <w:t xml:space="preserve"> T, </w:t>
      </w:r>
      <w:proofErr w:type="spellStart"/>
      <w:r w:rsidRPr="007214E1">
        <w:rPr>
          <w:rFonts w:ascii="Book Antiqua" w:hAnsi="Book Antiqua"/>
        </w:rPr>
        <w:t>Muralidharan</w:t>
      </w:r>
      <w:proofErr w:type="spellEnd"/>
      <w:r w:rsidRPr="007214E1">
        <w:rPr>
          <w:rFonts w:ascii="Book Antiqua" w:hAnsi="Book Antiqua"/>
        </w:rPr>
        <w:t xml:space="preserve"> P, Raj JP. Update in global trends and </w:t>
      </w:r>
      <w:proofErr w:type="spellStart"/>
      <w:r w:rsidRPr="007214E1">
        <w:rPr>
          <w:rFonts w:ascii="Book Antiqua" w:hAnsi="Book Antiqua"/>
        </w:rPr>
        <w:t>aetiology</w:t>
      </w:r>
      <w:proofErr w:type="spellEnd"/>
      <w:r w:rsidRPr="007214E1">
        <w:rPr>
          <w:rFonts w:ascii="Book Antiqua" w:hAnsi="Book Antiqua"/>
        </w:rPr>
        <w:t xml:space="preserve"> of hepatocellular carcinoma. </w:t>
      </w:r>
      <w:proofErr w:type="spellStart"/>
      <w:r w:rsidRPr="007214E1">
        <w:rPr>
          <w:rFonts w:ascii="Book Antiqua" w:hAnsi="Book Antiqua"/>
          <w:i/>
        </w:rPr>
        <w:t>Contemp</w:t>
      </w:r>
      <w:proofErr w:type="spellEnd"/>
      <w:r w:rsidRPr="007214E1">
        <w:rPr>
          <w:rFonts w:ascii="Book Antiqua" w:hAnsi="Book Antiqua"/>
          <w:i/>
        </w:rPr>
        <w:t xml:space="preserve"> </w:t>
      </w:r>
      <w:proofErr w:type="spellStart"/>
      <w:r w:rsidRPr="007214E1">
        <w:rPr>
          <w:rFonts w:ascii="Book Antiqua" w:hAnsi="Book Antiqua"/>
          <w:i/>
        </w:rPr>
        <w:t>Oncol</w:t>
      </w:r>
      <w:proofErr w:type="spellEnd"/>
      <w:r w:rsidRPr="007214E1">
        <w:rPr>
          <w:rFonts w:ascii="Book Antiqua" w:hAnsi="Book Antiqua"/>
          <w:i/>
        </w:rPr>
        <w:t xml:space="preserve"> (</w:t>
      </w:r>
      <w:proofErr w:type="spellStart"/>
      <w:r w:rsidRPr="007214E1">
        <w:rPr>
          <w:rFonts w:ascii="Book Antiqua" w:hAnsi="Book Antiqua"/>
          <w:i/>
        </w:rPr>
        <w:t>Pozn</w:t>
      </w:r>
      <w:proofErr w:type="spellEnd"/>
      <w:r w:rsidRPr="007214E1">
        <w:rPr>
          <w:rFonts w:ascii="Book Antiqua" w:hAnsi="Book Antiqua"/>
          <w:i/>
        </w:rPr>
        <w:t>)</w:t>
      </w:r>
      <w:r w:rsidRPr="007214E1">
        <w:rPr>
          <w:rFonts w:ascii="Book Antiqua" w:hAnsi="Book Antiqua"/>
        </w:rPr>
        <w:t xml:space="preserve"> 2018; </w:t>
      </w:r>
      <w:r w:rsidRPr="007214E1">
        <w:rPr>
          <w:rFonts w:ascii="Book Antiqua" w:hAnsi="Book Antiqua"/>
          <w:b/>
        </w:rPr>
        <w:t>22</w:t>
      </w:r>
      <w:r w:rsidRPr="007214E1">
        <w:rPr>
          <w:rFonts w:ascii="Book Antiqua" w:hAnsi="Book Antiqua"/>
        </w:rPr>
        <w:t>: 141-150 [PMID: 30455585 DOI: 10.5114/wo.2018.78941]</w:t>
      </w:r>
    </w:p>
    <w:p w14:paraId="1048349E" w14:textId="022A7F02"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 </w:t>
      </w:r>
      <w:r w:rsidRPr="007214E1">
        <w:rPr>
          <w:rFonts w:ascii="Book Antiqua" w:hAnsi="Book Antiqua"/>
          <w:b/>
        </w:rPr>
        <w:t>White DL</w:t>
      </w:r>
      <w:r w:rsidRPr="007214E1">
        <w:rPr>
          <w:rFonts w:ascii="Book Antiqua" w:hAnsi="Book Antiqua"/>
        </w:rPr>
        <w:t xml:space="preserve">, Thrift AP, </w:t>
      </w:r>
      <w:proofErr w:type="spellStart"/>
      <w:r w:rsidRPr="007214E1">
        <w:rPr>
          <w:rFonts w:ascii="Book Antiqua" w:hAnsi="Book Antiqua"/>
        </w:rPr>
        <w:t>Kanwal</w:t>
      </w:r>
      <w:proofErr w:type="spellEnd"/>
      <w:r w:rsidRPr="007214E1">
        <w:rPr>
          <w:rFonts w:ascii="Book Antiqua" w:hAnsi="Book Antiqua"/>
        </w:rPr>
        <w:t xml:space="preserve"> F, Davila J, El-</w:t>
      </w:r>
      <w:proofErr w:type="spellStart"/>
      <w:r w:rsidRPr="007214E1">
        <w:rPr>
          <w:rFonts w:ascii="Book Antiqua" w:hAnsi="Book Antiqua"/>
        </w:rPr>
        <w:t>Serag</w:t>
      </w:r>
      <w:proofErr w:type="spellEnd"/>
      <w:r w:rsidRPr="007214E1">
        <w:rPr>
          <w:rFonts w:ascii="Book Antiqua" w:hAnsi="Book Antiqua"/>
        </w:rPr>
        <w:t xml:space="preserve"> HB. Incidence of Hepatocellular Carcinoma in All 50 United States, From 2000 through 2012. </w:t>
      </w:r>
      <w:r w:rsidRPr="007214E1">
        <w:rPr>
          <w:rFonts w:ascii="Book Antiqua" w:hAnsi="Book Antiqua"/>
          <w:i/>
        </w:rPr>
        <w:t>Gastroenterology</w:t>
      </w:r>
      <w:r w:rsidRPr="007214E1">
        <w:rPr>
          <w:rFonts w:ascii="Book Antiqua" w:hAnsi="Book Antiqua"/>
        </w:rPr>
        <w:t xml:space="preserve"> 2017; </w:t>
      </w:r>
      <w:r w:rsidRPr="007214E1">
        <w:rPr>
          <w:rFonts w:ascii="Book Antiqua" w:hAnsi="Book Antiqua"/>
          <w:b/>
        </w:rPr>
        <w:t>152</w:t>
      </w:r>
      <w:r w:rsidRPr="007214E1">
        <w:rPr>
          <w:rFonts w:ascii="Book Antiqua" w:hAnsi="Book Antiqua"/>
        </w:rPr>
        <w:t>: 812-820.e5 [PMID: 27889576 DOI: 10.1053/j.gastro.2016.11.020]</w:t>
      </w:r>
    </w:p>
    <w:p w14:paraId="3D1746F9"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 </w:t>
      </w:r>
      <w:proofErr w:type="spellStart"/>
      <w:r w:rsidRPr="007214E1">
        <w:rPr>
          <w:rFonts w:ascii="Book Antiqua" w:hAnsi="Book Antiqua"/>
          <w:b/>
        </w:rPr>
        <w:t>Llovet</w:t>
      </w:r>
      <w:proofErr w:type="spellEnd"/>
      <w:r w:rsidRPr="007214E1">
        <w:rPr>
          <w:rFonts w:ascii="Book Antiqua" w:hAnsi="Book Antiqua"/>
          <w:b/>
        </w:rPr>
        <w:t xml:space="preserve"> JM</w:t>
      </w:r>
      <w:r w:rsidRPr="007214E1">
        <w:rPr>
          <w:rFonts w:ascii="Book Antiqua" w:hAnsi="Book Antiqua"/>
        </w:rPr>
        <w:t xml:space="preserve">, </w:t>
      </w:r>
      <w:proofErr w:type="spellStart"/>
      <w:r w:rsidRPr="007214E1">
        <w:rPr>
          <w:rFonts w:ascii="Book Antiqua" w:hAnsi="Book Antiqua"/>
        </w:rPr>
        <w:t>Zucman</w:t>
      </w:r>
      <w:proofErr w:type="spellEnd"/>
      <w:r w:rsidRPr="007214E1">
        <w:rPr>
          <w:rFonts w:ascii="Book Antiqua" w:hAnsi="Book Antiqua"/>
        </w:rPr>
        <w:t xml:space="preserve">-Rossi J, </w:t>
      </w:r>
      <w:proofErr w:type="spellStart"/>
      <w:r w:rsidRPr="007214E1">
        <w:rPr>
          <w:rFonts w:ascii="Book Antiqua" w:hAnsi="Book Antiqua"/>
        </w:rPr>
        <w:t>Pikarsky</w:t>
      </w:r>
      <w:proofErr w:type="spellEnd"/>
      <w:r w:rsidRPr="007214E1">
        <w:rPr>
          <w:rFonts w:ascii="Book Antiqua" w:hAnsi="Book Antiqua"/>
        </w:rPr>
        <w:t xml:space="preserve"> E, </w:t>
      </w:r>
      <w:proofErr w:type="spellStart"/>
      <w:r w:rsidRPr="007214E1">
        <w:rPr>
          <w:rFonts w:ascii="Book Antiqua" w:hAnsi="Book Antiqua"/>
        </w:rPr>
        <w:t>Sangro</w:t>
      </w:r>
      <w:proofErr w:type="spellEnd"/>
      <w:r w:rsidRPr="007214E1">
        <w:rPr>
          <w:rFonts w:ascii="Book Antiqua" w:hAnsi="Book Antiqua"/>
        </w:rPr>
        <w:t xml:space="preserve"> B, Schwartz M, Sherman M, Gores G. Hepatocellular carcinoma. </w:t>
      </w:r>
      <w:r w:rsidRPr="007214E1">
        <w:rPr>
          <w:rFonts w:ascii="Book Antiqua" w:hAnsi="Book Antiqua"/>
          <w:i/>
        </w:rPr>
        <w:t>Nat Rev Dis Primers</w:t>
      </w:r>
      <w:r w:rsidRPr="007214E1">
        <w:rPr>
          <w:rFonts w:ascii="Book Antiqua" w:hAnsi="Book Antiqua"/>
        </w:rPr>
        <w:t xml:space="preserve"> 2016; </w:t>
      </w:r>
      <w:r w:rsidRPr="007214E1">
        <w:rPr>
          <w:rFonts w:ascii="Book Antiqua" w:hAnsi="Book Antiqua"/>
          <w:b/>
        </w:rPr>
        <w:t>2</w:t>
      </w:r>
      <w:r w:rsidRPr="007214E1">
        <w:rPr>
          <w:rFonts w:ascii="Book Antiqua" w:hAnsi="Book Antiqua"/>
        </w:rPr>
        <w:t>: 16018 [PMID: 27158749 DOI: 10.1038/nrdp.2016.18]</w:t>
      </w:r>
    </w:p>
    <w:p w14:paraId="410A936D"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 </w:t>
      </w:r>
      <w:proofErr w:type="spellStart"/>
      <w:r w:rsidRPr="007214E1">
        <w:rPr>
          <w:rFonts w:ascii="Book Antiqua" w:hAnsi="Book Antiqua"/>
          <w:b/>
        </w:rPr>
        <w:t>Forner</w:t>
      </w:r>
      <w:proofErr w:type="spellEnd"/>
      <w:r w:rsidRPr="007214E1">
        <w:rPr>
          <w:rFonts w:ascii="Book Antiqua" w:hAnsi="Book Antiqua"/>
          <w:b/>
        </w:rPr>
        <w:t xml:space="preserve"> A</w:t>
      </w:r>
      <w:r w:rsidRPr="007214E1">
        <w:rPr>
          <w:rFonts w:ascii="Book Antiqua" w:hAnsi="Book Antiqua"/>
        </w:rPr>
        <w:t xml:space="preserve">, </w:t>
      </w:r>
      <w:proofErr w:type="spellStart"/>
      <w:r w:rsidRPr="007214E1">
        <w:rPr>
          <w:rFonts w:ascii="Book Antiqua" w:hAnsi="Book Antiqua"/>
        </w:rPr>
        <w:t>Llovet</w:t>
      </w:r>
      <w:proofErr w:type="spellEnd"/>
      <w:r w:rsidRPr="007214E1">
        <w:rPr>
          <w:rFonts w:ascii="Book Antiqua" w:hAnsi="Book Antiqua"/>
        </w:rPr>
        <w:t xml:space="preserve"> JM, </w:t>
      </w:r>
      <w:proofErr w:type="spellStart"/>
      <w:r w:rsidRPr="007214E1">
        <w:rPr>
          <w:rFonts w:ascii="Book Antiqua" w:hAnsi="Book Antiqua"/>
        </w:rPr>
        <w:t>Bruix</w:t>
      </w:r>
      <w:proofErr w:type="spellEnd"/>
      <w:r w:rsidRPr="007214E1">
        <w:rPr>
          <w:rFonts w:ascii="Book Antiqua" w:hAnsi="Book Antiqua"/>
        </w:rPr>
        <w:t xml:space="preserve"> J. Hepatocellular carcinoma. </w:t>
      </w:r>
      <w:r w:rsidRPr="007214E1">
        <w:rPr>
          <w:rFonts w:ascii="Book Antiqua" w:hAnsi="Book Antiqua"/>
          <w:i/>
        </w:rPr>
        <w:t>Lancet</w:t>
      </w:r>
      <w:r w:rsidRPr="007214E1">
        <w:rPr>
          <w:rFonts w:ascii="Book Antiqua" w:hAnsi="Book Antiqua"/>
        </w:rPr>
        <w:t xml:space="preserve"> 2012; </w:t>
      </w:r>
      <w:r w:rsidRPr="007214E1">
        <w:rPr>
          <w:rFonts w:ascii="Book Antiqua" w:hAnsi="Book Antiqua"/>
          <w:b/>
        </w:rPr>
        <w:t>379</w:t>
      </w:r>
      <w:r w:rsidRPr="007214E1">
        <w:rPr>
          <w:rFonts w:ascii="Book Antiqua" w:hAnsi="Book Antiqua"/>
        </w:rPr>
        <w:t>: 1245-1255 [PMID: 22353262 DOI: 10.1016/S0140-6736(11)61347-0]</w:t>
      </w:r>
    </w:p>
    <w:p w14:paraId="4DC695B0"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 </w:t>
      </w:r>
      <w:proofErr w:type="spellStart"/>
      <w:r w:rsidRPr="007214E1">
        <w:rPr>
          <w:rFonts w:ascii="Book Antiqua" w:hAnsi="Book Antiqua"/>
          <w:b/>
        </w:rPr>
        <w:t>Bteich</w:t>
      </w:r>
      <w:proofErr w:type="spellEnd"/>
      <w:r w:rsidRPr="007214E1">
        <w:rPr>
          <w:rFonts w:ascii="Book Antiqua" w:hAnsi="Book Antiqua"/>
          <w:b/>
        </w:rPr>
        <w:t xml:space="preserve"> F</w:t>
      </w:r>
      <w:r w:rsidRPr="007214E1">
        <w:rPr>
          <w:rFonts w:ascii="Book Antiqua" w:hAnsi="Book Antiqua"/>
        </w:rPr>
        <w:t xml:space="preserve">, Di </w:t>
      </w:r>
      <w:proofErr w:type="spellStart"/>
      <w:r w:rsidRPr="007214E1">
        <w:rPr>
          <w:rFonts w:ascii="Book Antiqua" w:hAnsi="Book Antiqua"/>
        </w:rPr>
        <w:t>Bisceglie</w:t>
      </w:r>
      <w:proofErr w:type="spellEnd"/>
      <w:r w:rsidRPr="007214E1">
        <w:rPr>
          <w:rFonts w:ascii="Book Antiqua" w:hAnsi="Book Antiqua"/>
        </w:rPr>
        <w:t xml:space="preserve"> AM. Current and Future Systemic Therapies for Hepatocellular Carcinoma. </w:t>
      </w:r>
      <w:r w:rsidRPr="007214E1">
        <w:rPr>
          <w:rFonts w:ascii="Book Antiqua" w:hAnsi="Book Antiqua"/>
          <w:i/>
        </w:rPr>
        <w:t>Gastroenterol Hepatol (N Y)</w:t>
      </w:r>
      <w:r w:rsidRPr="007214E1">
        <w:rPr>
          <w:rFonts w:ascii="Book Antiqua" w:hAnsi="Book Antiqua"/>
        </w:rPr>
        <w:t xml:space="preserve"> 2019; </w:t>
      </w:r>
      <w:r w:rsidRPr="007214E1">
        <w:rPr>
          <w:rFonts w:ascii="Book Antiqua" w:hAnsi="Book Antiqua"/>
          <w:b/>
        </w:rPr>
        <w:t>15</w:t>
      </w:r>
      <w:r w:rsidRPr="007214E1">
        <w:rPr>
          <w:rFonts w:ascii="Book Antiqua" w:hAnsi="Book Antiqua"/>
        </w:rPr>
        <w:t>: 266-272 [PMID: 31360140]</w:t>
      </w:r>
    </w:p>
    <w:p w14:paraId="566959A7" w14:textId="34900F55"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 </w:t>
      </w:r>
      <w:r w:rsidRPr="007214E1">
        <w:rPr>
          <w:rFonts w:ascii="Book Antiqua" w:hAnsi="Book Antiqua"/>
          <w:b/>
        </w:rPr>
        <w:t xml:space="preserve">Food and Drug Administration. </w:t>
      </w:r>
      <w:r w:rsidRPr="007214E1">
        <w:rPr>
          <w:rFonts w:ascii="Book Antiqua" w:hAnsi="Book Antiqua"/>
        </w:rPr>
        <w:t xml:space="preserve">FDA approves ramucirumab for hepatocellular carcinoma 2019. In: U.S. Food and Drug Administration [Internet]. </w:t>
      </w:r>
      <w:r w:rsidRPr="007214E1">
        <w:rPr>
          <w:rFonts w:ascii="Book Antiqua" w:hAnsi="Book Antiqua"/>
        </w:rPr>
        <w:lastRenderedPageBreak/>
        <w:t xml:space="preserve">Available from: </w:t>
      </w:r>
      <w:hyperlink r:id="rId9" w:history="1">
        <w:r w:rsidR="00215BAF" w:rsidRPr="007214E1">
          <w:rPr>
            <w:rStyle w:val="a8"/>
            <w:rFonts w:ascii="Book Antiqua" w:hAnsi="Book Antiqua"/>
          </w:rPr>
          <w:t>https://www.fda.gov/drugs/resources-information-approved-drugs/fda-approves-ramucirumab-hepatocellular-carcinoma</w:t>
        </w:r>
      </w:hyperlink>
      <w:r w:rsidR="00215BAF" w:rsidRPr="007214E1">
        <w:rPr>
          <w:rFonts w:ascii="Book Antiqua" w:hAnsi="Book Antiqua"/>
        </w:rPr>
        <w:t xml:space="preserve"> </w:t>
      </w:r>
    </w:p>
    <w:p w14:paraId="22A137E8"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 </w:t>
      </w:r>
      <w:proofErr w:type="spellStart"/>
      <w:r w:rsidRPr="007214E1">
        <w:rPr>
          <w:rFonts w:ascii="Book Antiqua" w:hAnsi="Book Antiqua"/>
          <w:b/>
        </w:rPr>
        <w:t>Llovet</w:t>
      </w:r>
      <w:proofErr w:type="spellEnd"/>
      <w:r w:rsidRPr="007214E1">
        <w:rPr>
          <w:rFonts w:ascii="Book Antiqua" w:hAnsi="Book Antiqua"/>
          <w:b/>
        </w:rPr>
        <w:t xml:space="preserve"> JM</w:t>
      </w:r>
      <w:r w:rsidRPr="007214E1">
        <w:rPr>
          <w:rFonts w:ascii="Book Antiqua" w:hAnsi="Book Antiqua"/>
        </w:rPr>
        <w:t xml:space="preserve">, Ricci S, </w:t>
      </w:r>
      <w:proofErr w:type="spellStart"/>
      <w:r w:rsidRPr="007214E1">
        <w:rPr>
          <w:rFonts w:ascii="Book Antiqua" w:hAnsi="Book Antiqua"/>
        </w:rPr>
        <w:t>Mazzaferro</w:t>
      </w:r>
      <w:proofErr w:type="spellEnd"/>
      <w:r w:rsidRPr="007214E1">
        <w:rPr>
          <w:rFonts w:ascii="Book Antiqua" w:hAnsi="Book Antiqua"/>
        </w:rPr>
        <w:t xml:space="preserve"> V, </w:t>
      </w:r>
      <w:proofErr w:type="spellStart"/>
      <w:r w:rsidRPr="007214E1">
        <w:rPr>
          <w:rFonts w:ascii="Book Antiqua" w:hAnsi="Book Antiqua"/>
        </w:rPr>
        <w:t>Hilgard</w:t>
      </w:r>
      <w:proofErr w:type="spellEnd"/>
      <w:r w:rsidRPr="007214E1">
        <w:rPr>
          <w:rFonts w:ascii="Book Antiqua" w:hAnsi="Book Antiqua"/>
        </w:rPr>
        <w:t xml:space="preserve"> P, </w:t>
      </w:r>
      <w:proofErr w:type="spellStart"/>
      <w:r w:rsidRPr="007214E1">
        <w:rPr>
          <w:rFonts w:ascii="Book Antiqua" w:hAnsi="Book Antiqua"/>
        </w:rPr>
        <w:t>Gane</w:t>
      </w:r>
      <w:proofErr w:type="spellEnd"/>
      <w:r w:rsidRPr="007214E1">
        <w:rPr>
          <w:rFonts w:ascii="Book Antiqua" w:hAnsi="Book Antiqua"/>
        </w:rPr>
        <w:t xml:space="preserve"> E, Blanc JF, de Oliveira AC, Santoro A, Raoul JL, </w:t>
      </w:r>
      <w:proofErr w:type="spellStart"/>
      <w:r w:rsidRPr="007214E1">
        <w:rPr>
          <w:rFonts w:ascii="Book Antiqua" w:hAnsi="Book Antiqua"/>
        </w:rPr>
        <w:t>Forner</w:t>
      </w:r>
      <w:proofErr w:type="spellEnd"/>
      <w:r w:rsidRPr="007214E1">
        <w:rPr>
          <w:rFonts w:ascii="Book Antiqua" w:hAnsi="Book Antiqua"/>
        </w:rPr>
        <w:t xml:space="preserve"> A, Schwartz M, </w:t>
      </w:r>
      <w:proofErr w:type="spellStart"/>
      <w:r w:rsidRPr="007214E1">
        <w:rPr>
          <w:rFonts w:ascii="Book Antiqua" w:hAnsi="Book Antiqua"/>
        </w:rPr>
        <w:t>Porta</w:t>
      </w:r>
      <w:proofErr w:type="spellEnd"/>
      <w:r w:rsidRPr="007214E1">
        <w:rPr>
          <w:rFonts w:ascii="Book Antiqua" w:hAnsi="Book Antiqua"/>
        </w:rPr>
        <w:t xml:space="preserve"> C, </w:t>
      </w:r>
      <w:proofErr w:type="spellStart"/>
      <w:r w:rsidRPr="007214E1">
        <w:rPr>
          <w:rFonts w:ascii="Book Antiqua" w:hAnsi="Book Antiqua"/>
        </w:rPr>
        <w:t>Zeuzem</w:t>
      </w:r>
      <w:proofErr w:type="spellEnd"/>
      <w:r w:rsidRPr="007214E1">
        <w:rPr>
          <w:rFonts w:ascii="Book Antiqua" w:hAnsi="Book Antiqua"/>
        </w:rPr>
        <w:t xml:space="preserve"> S, </w:t>
      </w:r>
      <w:proofErr w:type="spellStart"/>
      <w:r w:rsidRPr="007214E1">
        <w:rPr>
          <w:rFonts w:ascii="Book Antiqua" w:hAnsi="Book Antiqua"/>
        </w:rPr>
        <w:t>Bolondi</w:t>
      </w:r>
      <w:proofErr w:type="spellEnd"/>
      <w:r w:rsidRPr="007214E1">
        <w:rPr>
          <w:rFonts w:ascii="Book Antiqua" w:hAnsi="Book Antiqua"/>
        </w:rPr>
        <w:t xml:space="preserve"> L, </w:t>
      </w:r>
      <w:proofErr w:type="spellStart"/>
      <w:r w:rsidRPr="007214E1">
        <w:rPr>
          <w:rFonts w:ascii="Book Antiqua" w:hAnsi="Book Antiqua"/>
        </w:rPr>
        <w:t>Greten</w:t>
      </w:r>
      <w:proofErr w:type="spellEnd"/>
      <w:r w:rsidRPr="007214E1">
        <w:rPr>
          <w:rFonts w:ascii="Book Antiqua" w:hAnsi="Book Antiqua"/>
        </w:rPr>
        <w:t xml:space="preserve"> TF, Galle PR, Seitz JF, </w:t>
      </w:r>
      <w:proofErr w:type="spellStart"/>
      <w:r w:rsidRPr="007214E1">
        <w:rPr>
          <w:rFonts w:ascii="Book Antiqua" w:hAnsi="Book Antiqua"/>
        </w:rPr>
        <w:t>Borbath</w:t>
      </w:r>
      <w:proofErr w:type="spellEnd"/>
      <w:r w:rsidRPr="007214E1">
        <w:rPr>
          <w:rFonts w:ascii="Book Antiqua" w:hAnsi="Book Antiqua"/>
        </w:rPr>
        <w:t xml:space="preserve"> I, </w:t>
      </w:r>
      <w:proofErr w:type="spellStart"/>
      <w:r w:rsidRPr="007214E1">
        <w:rPr>
          <w:rFonts w:ascii="Book Antiqua" w:hAnsi="Book Antiqua"/>
        </w:rPr>
        <w:t>Häussinger</w:t>
      </w:r>
      <w:proofErr w:type="spellEnd"/>
      <w:r w:rsidRPr="007214E1">
        <w:rPr>
          <w:rFonts w:ascii="Book Antiqua" w:hAnsi="Book Antiqua"/>
        </w:rPr>
        <w:t xml:space="preserve"> D, </w:t>
      </w:r>
      <w:proofErr w:type="spellStart"/>
      <w:r w:rsidRPr="007214E1">
        <w:rPr>
          <w:rFonts w:ascii="Book Antiqua" w:hAnsi="Book Antiqua"/>
        </w:rPr>
        <w:t>Giannaris</w:t>
      </w:r>
      <w:proofErr w:type="spellEnd"/>
      <w:r w:rsidRPr="007214E1">
        <w:rPr>
          <w:rFonts w:ascii="Book Antiqua" w:hAnsi="Book Antiqua"/>
        </w:rPr>
        <w:t xml:space="preserve"> T, Shan M, </w:t>
      </w:r>
      <w:proofErr w:type="spellStart"/>
      <w:r w:rsidRPr="007214E1">
        <w:rPr>
          <w:rFonts w:ascii="Book Antiqua" w:hAnsi="Book Antiqua"/>
        </w:rPr>
        <w:t>Moscovici</w:t>
      </w:r>
      <w:proofErr w:type="spellEnd"/>
      <w:r w:rsidRPr="007214E1">
        <w:rPr>
          <w:rFonts w:ascii="Book Antiqua" w:hAnsi="Book Antiqua"/>
        </w:rPr>
        <w:t xml:space="preserve"> M, </w:t>
      </w:r>
      <w:proofErr w:type="spellStart"/>
      <w:r w:rsidRPr="007214E1">
        <w:rPr>
          <w:rFonts w:ascii="Book Antiqua" w:hAnsi="Book Antiqua"/>
        </w:rPr>
        <w:t>Voliotis</w:t>
      </w:r>
      <w:proofErr w:type="spellEnd"/>
      <w:r w:rsidRPr="007214E1">
        <w:rPr>
          <w:rFonts w:ascii="Book Antiqua" w:hAnsi="Book Antiqua"/>
        </w:rPr>
        <w:t xml:space="preserve"> D, </w:t>
      </w:r>
      <w:proofErr w:type="spellStart"/>
      <w:r w:rsidRPr="007214E1">
        <w:rPr>
          <w:rFonts w:ascii="Book Antiqua" w:hAnsi="Book Antiqua"/>
        </w:rPr>
        <w:t>Bruix</w:t>
      </w:r>
      <w:proofErr w:type="spellEnd"/>
      <w:r w:rsidRPr="007214E1">
        <w:rPr>
          <w:rFonts w:ascii="Book Antiqua" w:hAnsi="Book Antiqua"/>
        </w:rPr>
        <w:t xml:space="preserve"> J; SHARP Investigators Study Group. Sorafenib in advanced hepatocellular carcinoma. </w:t>
      </w:r>
      <w:r w:rsidRPr="007214E1">
        <w:rPr>
          <w:rFonts w:ascii="Book Antiqua" w:hAnsi="Book Antiqua"/>
          <w:i/>
        </w:rPr>
        <w:t xml:space="preserve">N </w:t>
      </w:r>
      <w:proofErr w:type="spellStart"/>
      <w:r w:rsidRPr="007214E1">
        <w:rPr>
          <w:rFonts w:ascii="Book Antiqua" w:hAnsi="Book Antiqua"/>
          <w:i/>
        </w:rPr>
        <w:t>Engl</w:t>
      </w:r>
      <w:proofErr w:type="spellEnd"/>
      <w:r w:rsidRPr="007214E1">
        <w:rPr>
          <w:rFonts w:ascii="Book Antiqua" w:hAnsi="Book Antiqua"/>
          <w:i/>
        </w:rPr>
        <w:t xml:space="preserve"> J Med</w:t>
      </w:r>
      <w:r w:rsidRPr="007214E1">
        <w:rPr>
          <w:rFonts w:ascii="Book Antiqua" w:hAnsi="Book Antiqua"/>
        </w:rPr>
        <w:t xml:space="preserve"> 2008; </w:t>
      </w:r>
      <w:r w:rsidRPr="007214E1">
        <w:rPr>
          <w:rFonts w:ascii="Book Antiqua" w:hAnsi="Book Antiqua"/>
          <w:b/>
        </w:rPr>
        <w:t>359</w:t>
      </w:r>
      <w:r w:rsidRPr="007214E1">
        <w:rPr>
          <w:rFonts w:ascii="Book Antiqua" w:hAnsi="Book Antiqua"/>
        </w:rPr>
        <w:t>: 378-390 [PMID: 18650514 DOI: 10.1056/NEJMoa0708857]</w:t>
      </w:r>
    </w:p>
    <w:p w14:paraId="1DEA89C3"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9 </w:t>
      </w:r>
      <w:r w:rsidRPr="007214E1">
        <w:rPr>
          <w:rFonts w:ascii="Book Antiqua" w:hAnsi="Book Antiqua"/>
          <w:b/>
        </w:rPr>
        <w:t>Kudo M</w:t>
      </w:r>
      <w:r w:rsidRPr="007214E1">
        <w:rPr>
          <w:rFonts w:ascii="Book Antiqua" w:hAnsi="Book Antiqua"/>
        </w:rPr>
        <w:t xml:space="preserve">, Finn RS, Qin S, Han KH, Ikeda K, </w:t>
      </w:r>
      <w:proofErr w:type="spellStart"/>
      <w:r w:rsidRPr="007214E1">
        <w:rPr>
          <w:rFonts w:ascii="Book Antiqua" w:hAnsi="Book Antiqua"/>
        </w:rPr>
        <w:t>Piscaglia</w:t>
      </w:r>
      <w:proofErr w:type="spellEnd"/>
      <w:r w:rsidRPr="007214E1">
        <w:rPr>
          <w:rFonts w:ascii="Book Antiqua" w:hAnsi="Book Antiqua"/>
        </w:rPr>
        <w:t xml:space="preserve"> F, Baron A, Park JW, Han G, Jassem J, Blanc JF, Vogel A, </w:t>
      </w:r>
      <w:proofErr w:type="spellStart"/>
      <w:r w:rsidRPr="007214E1">
        <w:rPr>
          <w:rFonts w:ascii="Book Antiqua" w:hAnsi="Book Antiqua"/>
        </w:rPr>
        <w:t>Komov</w:t>
      </w:r>
      <w:proofErr w:type="spellEnd"/>
      <w:r w:rsidRPr="007214E1">
        <w:rPr>
          <w:rFonts w:ascii="Book Antiqua" w:hAnsi="Book Antiqua"/>
        </w:rPr>
        <w:t xml:space="preserve"> D, Evans TRJ, Lopez C, </w:t>
      </w:r>
      <w:proofErr w:type="spellStart"/>
      <w:r w:rsidRPr="007214E1">
        <w:rPr>
          <w:rFonts w:ascii="Book Antiqua" w:hAnsi="Book Antiqua"/>
        </w:rPr>
        <w:t>Dutcus</w:t>
      </w:r>
      <w:proofErr w:type="spellEnd"/>
      <w:r w:rsidRPr="007214E1">
        <w:rPr>
          <w:rFonts w:ascii="Book Antiqua" w:hAnsi="Book Antiqua"/>
        </w:rPr>
        <w:t xml:space="preserve"> C, </w:t>
      </w:r>
      <w:proofErr w:type="spellStart"/>
      <w:r w:rsidRPr="007214E1">
        <w:rPr>
          <w:rFonts w:ascii="Book Antiqua" w:hAnsi="Book Antiqua"/>
        </w:rPr>
        <w:t>Guo</w:t>
      </w:r>
      <w:proofErr w:type="spellEnd"/>
      <w:r w:rsidRPr="007214E1">
        <w:rPr>
          <w:rFonts w:ascii="Book Antiqua" w:hAnsi="Book Antiqua"/>
        </w:rPr>
        <w:t xml:space="preserve"> M, Saito K, </w:t>
      </w:r>
      <w:proofErr w:type="spellStart"/>
      <w:r w:rsidRPr="007214E1">
        <w:rPr>
          <w:rFonts w:ascii="Book Antiqua" w:hAnsi="Book Antiqua"/>
        </w:rPr>
        <w:t>Kraljevic</w:t>
      </w:r>
      <w:proofErr w:type="spellEnd"/>
      <w:r w:rsidRPr="007214E1">
        <w:rPr>
          <w:rFonts w:ascii="Book Antiqua" w:hAnsi="Book Antiqua"/>
        </w:rPr>
        <w:t xml:space="preserve"> S, </w:t>
      </w:r>
      <w:proofErr w:type="spellStart"/>
      <w:r w:rsidRPr="007214E1">
        <w:rPr>
          <w:rFonts w:ascii="Book Antiqua" w:hAnsi="Book Antiqua"/>
        </w:rPr>
        <w:t>Tamai</w:t>
      </w:r>
      <w:proofErr w:type="spellEnd"/>
      <w:r w:rsidRPr="007214E1">
        <w:rPr>
          <w:rFonts w:ascii="Book Antiqua" w:hAnsi="Book Antiqua"/>
        </w:rPr>
        <w:t xml:space="preserve"> T, Ren M, Cheng AL. Lenvatinib versus sorafenib in first-line treatment of patients with unresectable hepatocellular carcinoma: a </w:t>
      </w:r>
      <w:proofErr w:type="spellStart"/>
      <w:r w:rsidRPr="007214E1">
        <w:rPr>
          <w:rFonts w:ascii="Book Antiqua" w:hAnsi="Book Antiqua"/>
        </w:rPr>
        <w:t>randomised</w:t>
      </w:r>
      <w:proofErr w:type="spellEnd"/>
      <w:r w:rsidRPr="007214E1">
        <w:rPr>
          <w:rFonts w:ascii="Book Antiqua" w:hAnsi="Book Antiqua"/>
        </w:rPr>
        <w:t xml:space="preserve"> phase 3 non-inferiority trial. </w:t>
      </w:r>
      <w:r w:rsidRPr="007214E1">
        <w:rPr>
          <w:rFonts w:ascii="Book Antiqua" w:hAnsi="Book Antiqua"/>
          <w:i/>
        </w:rPr>
        <w:t>Lancet</w:t>
      </w:r>
      <w:r w:rsidRPr="007214E1">
        <w:rPr>
          <w:rFonts w:ascii="Book Antiqua" w:hAnsi="Book Antiqua"/>
        </w:rPr>
        <w:t xml:space="preserve"> 2018; </w:t>
      </w:r>
      <w:r w:rsidRPr="007214E1">
        <w:rPr>
          <w:rFonts w:ascii="Book Antiqua" w:hAnsi="Book Antiqua"/>
          <w:b/>
        </w:rPr>
        <w:t>391</w:t>
      </w:r>
      <w:r w:rsidRPr="007214E1">
        <w:rPr>
          <w:rFonts w:ascii="Book Antiqua" w:hAnsi="Book Antiqua"/>
        </w:rPr>
        <w:t>: 1163-1173 [PMID: 29433850 DOI: 10.1016/S0140-6736(18)30207-1]</w:t>
      </w:r>
    </w:p>
    <w:p w14:paraId="49B3C672"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10 </w:t>
      </w:r>
      <w:r w:rsidRPr="007214E1">
        <w:rPr>
          <w:rFonts w:ascii="Book Antiqua" w:hAnsi="Book Antiqua"/>
          <w:b/>
        </w:rPr>
        <w:t>Zhu AX</w:t>
      </w:r>
      <w:r w:rsidRPr="007214E1">
        <w:rPr>
          <w:rFonts w:ascii="Book Antiqua" w:hAnsi="Book Antiqua"/>
        </w:rPr>
        <w:t xml:space="preserve">, Kang YK, Yen CJ, Finn RS, Galle PR, </w:t>
      </w:r>
      <w:proofErr w:type="spellStart"/>
      <w:r w:rsidRPr="007214E1">
        <w:rPr>
          <w:rFonts w:ascii="Book Antiqua" w:hAnsi="Book Antiqua"/>
        </w:rPr>
        <w:t>Llovet</w:t>
      </w:r>
      <w:proofErr w:type="spellEnd"/>
      <w:r w:rsidRPr="007214E1">
        <w:rPr>
          <w:rFonts w:ascii="Book Antiqua" w:hAnsi="Book Antiqua"/>
        </w:rPr>
        <w:t xml:space="preserve"> JM, </w:t>
      </w:r>
      <w:proofErr w:type="spellStart"/>
      <w:r w:rsidRPr="007214E1">
        <w:rPr>
          <w:rFonts w:ascii="Book Antiqua" w:hAnsi="Book Antiqua"/>
        </w:rPr>
        <w:t>Assenat</w:t>
      </w:r>
      <w:proofErr w:type="spellEnd"/>
      <w:r w:rsidRPr="007214E1">
        <w:rPr>
          <w:rFonts w:ascii="Book Antiqua" w:hAnsi="Book Antiqua"/>
        </w:rPr>
        <w:t xml:space="preserve"> E, Brandi G, </w:t>
      </w:r>
      <w:proofErr w:type="spellStart"/>
      <w:r w:rsidRPr="007214E1">
        <w:rPr>
          <w:rFonts w:ascii="Book Antiqua" w:hAnsi="Book Antiqua"/>
        </w:rPr>
        <w:t>Pracht</w:t>
      </w:r>
      <w:proofErr w:type="spellEnd"/>
      <w:r w:rsidRPr="007214E1">
        <w:rPr>
          <w:rFonts w:ascii="Book Antiqua" w:hAnsi="Book Antiqua"/>
        </w:rPr>
        <w:t xml:space="preserve"> M, Lim HY, Rau KM, </w:t>
      </w:r>
      <w:proofErr w:type="spellStart"/>
      <w:r w:rsidRPr="007214E1">
        <w:rPr>
          <w:rFonts w:ascii="Book Antiqua" w:hAnsi="Book Antiqua"/>
        </w:rPr>
        <w:t>Motomura</w:t>
      </w:r>
      <w:proofErr w:type="spellEnd"/>
      <w:r w:rsidRPr="007214E1">
        <w:rPr>
          <w:rFonts w:ascii="Book Antiqua" w:hAnsi="Book Antiqua"/>
        </w:rPr>
        <w:t xml:space="preserve"> K, </w:t>
      </w:r>
      <w:proofErr w:type="spellStart"/>
      <w:r w:rsidRPr="007214E1">
        <w:rPr>
          <w:rFonts w:ascii="Book Antiqua" w:hAnsi="Book Antiqua"/>
        </w:rPr>
        <w:t>Ohno</w:t>
      </w:r>
      <w:proofErr w:type="spellEnd"/>
      <w:r w:rsidRPr="007214E1">
        <w:rPr>
          <w:rFonts w:ascii="Book Antiqua" w:hAnsi="Book Antiqua"/>
        </w:rPr>
        <w:t xml:space="preserve"> I, Merle P, Daniele B, Shin DB, </w:t>
      </w:r>
      <w:proofErr w:type="spellStart"/>
      <w:r w:rsidRPr="007214E1">
        <w:rPr>
          <w:rFonts w:ascii="Book Antiqua" w:hAnsi="Book Antiqua"/>
        </w:rPr>
        <w:t>Gerken</w:t>
      </w:r>
      <w:proofErr w:type="spellEnd"/>
      <w:r w:rsidRPr="007214E1">
        <w:rPr>
          <w:rFonts w:ascii="Book Antiqua" w:hAnsi="Book Antiqua"/>
        </w:rPr>
        <w:t xml:space="preserve"> G, Borg C, </w:t>
      </w:r>
      <w:proofErr w:type="spellStart"/>
      <w:r w:rsidRPr="007214E1">
        <w:rPr>
          <w:rFonts w:ascii="Book Antiqua" w:hAnsi="Book Antiqua"/>
        </w:rPr>
        <w:t>Hiriart</w:t>
      </w:r>
      <w:proofErr w:type="spellEnd"/>
      <w:r w:rsidRPr="007214E1">
        <w:rPr>
          <w:rFonts w:ascii="Book Antiqua" w:hAnsi="Book Antiqua"/>
        </w:rPr>
        <w:t xml:space="preserve"> JB, </w:t>
      </w:r>
      <w:proofErr w:type="spellStart"/>
      <w:r w:rsidRPr="007214E1">
        <w:rPr>
          <w:rFonts w:ascii="Book Antiqua" w:hAnsi="Book Antiqua"/>
        </w:rPr>
        <w:t>Okusaka</w:t>
      </w:r>
      <w:proofErr w:type="spellEnd"/>
      <w:r w:rsidRPr="007214E1">
        <w:rPr>
          <w:rFonts w:ascii="Book Antiqua" w:hAnsi="Book Antiqua"/>
        </w:rPr>
        <w:t xml:space="preserve"> T, Morimoto M, Hsu Y, </w:t>
      </w:r>
      <w:proofErr w:type="spellStart"/>
      <w:r w:rsidRPr="007214E1">
        <w:rPr>
          <w:rFonts w:ascii="Book Antiqua" w:hAnsi="Book Antiqua"/>
        </w:rPr>
        <w:t>Abada</w:t>
      </w:r>
      <w:proofErr w:type="spellEnd"/>
      <w:r w:rsidRPr="007214E1">
        <w:rPr>
          <w:rFonts w:ascii="Book Antiqua" w:hAnsi="Book Antiqua"/>
        </w:rPr>
        <w:t xml:space="preserve"> PB, </w:t>
      </w:r>
      <w:proofErr w:type="spellStart"/>
      <w:r w:rsidRPr="007214E1">
        <w:rPr>
          <w:rFonts w:ascii="Book Antiqua" w:hAnsi="Book Antiqua"/>
        </w:rPr>
        <w:t>Kudo</w:t>
      </w:r>
      <w:proofErr w:type="spellEnd"/>
      <w:r w:rsidRPr="007214E1">
        <w:rPr>
          <w:rFonts w:ascii="Book Antiqua" w:hAnsi="Book Antiqua"/>
        </w:rPr>
        <w:t xml:space="preserve"> M; REACH-2 study investigators. Ramucirumab after sorafenib in patients with advanced hepatocellular carcinoma and increased α-fetoprotein concentrations (REACH-2): a </w:t>
      </w:r>
      <w:proofErr w:type="spellStart"/>
      <w:r w:rsidRPr="007214E1">
        <w:rPr>
          <w:rFonts w:ascii="Book Antiqua" w:hAnsi="Book Antiqua"/>
        </w:rPr>
        <w:t>randomised</w:t>
      </w:r>
      <w:proofErr w:type="spellEnd"/>
      <w:r w:rsidRPr="007214E1">
        <w:rPr>
          <w:rFonts w:ascii="Book Antiqua" w:hAnsi="Book Antiqua"/>
        </w:rPr>
        <w:t xml:space="preserve">, double-blind, placebo-controlled, phase 3 trial. </w:t>
      </w:r>
      <w:r w:rsidRPr="007214E1">
        <w:rPr>
          <w:rFonts w:ascii="Book Antiqua" w:hAnsi="Book Antiqua"/>
          <w:i/>
        </w:rPr>
        <w:t>Lancet Oncol</w:t>
      </w:r>
      <w:r w:rsidRPr="007214E1">
        <w:rPr>
          <w:rFonts w:ascii="Book Antiqua" w:hAnsi="Book Antiqua"/>
        </w:rPr>
        <w:t xml:space="preserve"> 2019; </w:t>
      </w:r>
      <w:r w:rsidRPr="007214E1">
        <w:rPr>
          <w:rFonts w:ascii="Book Antiqua" w:hAnsi="Book Antiqua"/>
          <w:b/>
        </w:rPr>
        <w:t>20</w:t>
      </w:r>
      <w:r w:rsidRPr="007214E1">
        <w:rPr>
          <w:rFonts w:ascii="Book Antiqua" w:hAnsi="Book Antiqua"/>
        </w:rPr>
        <w:t>: 282-296 [PMID: 30665869 DOI: 10.1016/S1470-2045(18)30937-9]</w:t>
      </w:r>
    </w:p>
    <w:p w14:paraId="10D0DDA2"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11 </w:t>
      </w:r>
      <w:proofErr w:type="spellStart"/>
      <w:r w:rsidRPr="007214E1">
        <w:rPr>
          <w:rFonts w:ascii="Book Antiqua" w:hAnsi="Book Antiqua"/>
          <w:b/>
        </w:rPr>
        <w:t>Bruix</w:t>
      </w:r>
      <w:proofErr w:type="spellEnd"/>
      <w:r w:rsidRPr="007214E1">
        <w:rPr>
          <w:rFonts w:ascii="Book Antiqua" w:hAnsi="Book Antiqua"/>
          <w:b/>
        </w:rPr>
        <w:t xml:space="preserve"> J</w:t>
      </w:r>
      <w:r w:rsidRPr="007214E1">
        <w:rPr>
          <w:rFonts w:ascii="Book Antiqua" w:hAnsi="Book Antiqua"/>
        </w:rPr>
        <w:t xml:space="preserve">, Qin S, Merle P, </w:t>
      </w:r>
      <w:proofErr w:type="spellStart"/>
      <w:r w:rsidRPr="007214E1">
        <w:rPr>
          <w:rFonts w:ascii="Book Antiqua" w:hAnsi="Book Antiqua"/>
        </w:rPr>
        <w:t>Granito</w:t>
      </w:r>
      <w:proofErr w:type="spellEnd"/>
      <w:r w:rsidRPr="007214E1">
        <w:rPr>
          <w:rFonts w:ascii="Book Antiqua" w:hAnsi="Book Antiqua"/>
        </w:rPr>
        <w:t xml:space="preserve"> A, Huang YH, </w:t>
      </w:r>
      <w:proofErr w:type="spellStart"/>
      <w:r w:rsidRPr="007214E1">
        <w:rPr>
          <w:rFonts w:ascii="Book Antiqua" w:hAnsi="Book Antiqua"/>
        </w:rPr>
        <w:t>Bodoky</w:t>
      </w:r>
      <w:proofErr w:type="spellEnd"/>
      <w:r w:rsidRPr="007214E1">
        <w:rPr>
          <w:rFonts w:ascii="Book Antiqua" w:hAnsi="Book Antiqua"/>
        </w:rPr>
        <w:t xml:space="preserve"> G, </w:t>
      </w:r>
      <w:proofErr w:type="spellStart"/>
      <w:r w:rsidRPr="007214E1">
        <w:rPr>
          <w:rFonts w:ascii="Book Antiqua" w:hAnsi="Book Antiqua"/>
        </w:rPr>
        <w:t>Pracht</w:t>
      </w:r>
      <w:proofErr w:type="spellEnd"/>
      <w:r w:rsidRPr="007214E1">
        <w:rPr>
          <w:rFonts w:ascii="Book Antiqua" w:hAnsi="Book Antiqua"/>
        </w:rPr>
        <w:t xml:space="preserve"> M, Yokosuka O, </w:t>
      </w:r>
      <w:proofErr w:type="spellStart"/>
      <w:r w:rsidRPr="007214E1">
        <w:rPr>
          <w:rFonts w:ascii="Book Antiqua" w:hAnsi="Book Antiqua"/>
        </w:rPr>
        <w:t>Rosmorduc</w:t>
      </w:r>
      <w:proofErr w:type="spellEnd"/>
      <w:r w:rsidRPr="007214E1">
        <w:rPr>
          <w:rFonts w:ascii="Book Antiqua" w:hAnsi="Book Antiqua"/>
        </w:rPr>
        <w:t xml:space="preserve"> O, </w:t>
      </w:r>
      <w:proofErr w:type="spellStart"/>
      <w:r w:rsidRPr="007214E1">
        <w:rPr>
          <w:rFonts w:ascii="Book Antiqua" w:hAnsi="Book Antiqua"/>
        </w:rPr>
        <w:t>Breder</w:t>
      </w:r>
      <w:proofErr w:type="spellEnd"/>
      <w:r w:rsidRPr="007214E1">
        <w:rPr>
          <w:rFonts w:ascii="Book Antiqua" w:hAnsi="Book Antiqua"/>
        </w:rPr>
        <w:t xml:space="preserve"> V, </w:t>
      </w:r>
      <w:proofErr w:type="spellStart"/>
      <w:r w:rsidRPr="007214E1">
        <w:rPr>
          <w:rFonts w:ascii="Book Antiqua" w:hAnsi="Book Antiqua"/>
        </w:rPr>
        <w:t>Gerolami</w:t>
      </w:r>
      <w:proofErr w:type="spellEnd"/>
      <w:r w:rsidRPr="007214E1">
        <w:rPr>
          <w:rFonts w:ascii="Book Antiqua" w:hAnsi="Book Antiqua"/>
        </w:rPr>
        <w:t xml:space="preserve"> R, </w:t>
      </w:r>
      <w:proofErr w:type="spellStart"/>
      <w:r w:rsidRPr="007214E1">
        <w:rPr>
          <w:rFonts w:ascii="Book Antiqua" w:hAnsi="Book Antiqua"/>
        </w:rPr>
        <w:t>Masi</w:t>
      </w:r>
      <w:proofErr w:type="spellEnd"/>
      <w:r w:rsidRPr="007214E1">
        <w:rPr>
          <w:rFonts w:ascii="Book Antiqua" w:hAnsi="Book Antiqua"/>
        </w:rPr>
        <w:t xml:space="preserve"> G, Ross PJ, Song T, </w:t>
      </w:r>
      <w:proofErr w:type="spellStart"/>
      <w:r w:rsidRPr="007214E1">
        <w:rPr>
          <w:rFonts w:ascii="Book Antiqua" w:hAnsi="Book Antiqua"/>
        </w:rPr>
        <w:t>Bronowicki</w:t>
      </w:r>
      <w:proofErr w:type="spellEnd"/>
      <w:r w:rsidRPr="007214E1">
        <w:rPr>
          <w:rFonts w:ascii="Book Antiqua" w:hAnsi="Book Antiqua"/>
        </w:rPr>
        <w:t xml:space="preserve"> JP, </w:t>
      </w:r>
      <w:proofErr w:type="spellStart"/>
      <w:r w:rsidRPr="007214E1">
        <w:rPr>
          <w:rFonts w:ascii="Book Antiqua" w:hAnsi="Book Antiqua"/>
        </w:rPr>
        <w:t>Ollivier-Hourmand</w:t>
      </w:r>
      <w:proofErr w:type="spellEnd"/>
      <w:r w:rsidRPr="007214E1">
        <w:rPr>
          <w:rFonts w:ascii="Book Antiqua" w:hAnsi="Book Antiqua"/>
        </w:rPr>
        <w:t xml:space="preserve"> I, Kudo M, Cheng AL, </w:t>
      </w:r>
      <w:proofErr w:type="spellStart"/>
      <w:r w:rsidRPr="007214E1">
        <w:rPr>
          <w:rFonts w:ascii="Book Antiqua" w:hAnsi="Book Antiqua"/>
        </w:rPr>
        <w:t>Llovet</w:t>
      </w:r>
      <w:proofErr w:type="spellEnd"/>
      <w:r w:rsidRPr="007214E1">
        <w:rPr>
          <w:rFonts w:ascii="Book Antiqua" w:hAnsi="Book Antiqua"/>
        </w:rPr>
        <w:t xml:space="preserve"> JM, Finn RS, </w:t>
      </w:r>
      <w:proofErr w:type="spellStart"/>
      <w:r w:rsidRPr="007214E1">
        <w:rPr>
          <w:rFonts w:ascii="Book Antiqua" w:hAnsi="Book Antiqua"/>
        </w:rPr>
        <w:t>LeBerre</w:t>
      </w:r>
      <w:proofErr w:type="spellEnd"/>
      <w:r w:rsidRPr="007214E1">
        <w:rPr>
          <w:rFonts w:ascii="Book Antiqua" w:hAnsi="Book Antiqua"/>
        </w:rPr>
        <w:t xml:space="preserve"> MA, </w:t>
      </w:r>
      <w:proofErr w:type="spellStart"/>
      <w:r w:rsidRPr="007214E1">
        <w:rPr>
          <w:rFonts w:ascii="Book Antiqua" w:hAnsi="Book Antiqua"/>
        </w:rPr>
        <w:t>Baumhauer</w:t>
      </w:r>
      <w:proofErr w:type="spellEnd"/>
      <w:r w:rsidRPr="007214E1">
        <w:rPr>
          <w:rFonts w:ascii="Book Antiqua" w:hAnsi="Book Antiqua"/>
        </w:rPr>
        <w:t xml:space="preserve"> A, Meinhardt G, Han G; RESORCE Investigators. Regorafenib for patients with hepatocellular carcinoma who progressed on sorafenib treatment (RESORCE): a </w:t>
      </w:r>
      <w:proofErr w:type="spellStart"/>
      <w:r w:rsidRPr="007214E1">
        <w:rPr>
          <w:rFonts w:ascii="Book Antiqua" w:hAnsi="Book Antiqua"/>
        </w:rPr>
        <w:t>randomised</w:t>
      </w:r>
      <w:proofErr w:type="spellEnd"/>
      <w:r w:rsidRPr="007214E1">
        <w:rPr>
          <w:rFonts w:ascii="Book Antiqua" w:hAnsi="Book Antiqua"/>
        </w:rPr>
        <w:t xml:space="preserve">, double-blind, placebo-controlled, phase 3 trial. </w:t>
      </w:r>
      <w:r w:rsidRPr="007214E1">
        <w:rPr>
          <w:rFonts w:ascii="Book Antiqua" w:hAnsi="Book Antiqua"/>
          <w:i/>
        </w:rPr>
        <w:t>Lancet</w:t>
      </w:r>
      <w:r w:rsidRPr="007214E1">
        <w:rPr>
          <w:rFonts w:ascii="Book Antiqua" w:hAnsi="Book Antiqua"/>
        </w:rPr>
        <w:t xml:space="preserve"> 2017; </w:t>
      </w:r>
      <w:r w:rsidRPr="007214E1">
        <w:rPr>
          <w:rFonts w:ascii="Book Antiqua" w:hAnsi="Book Antiqua"/>
          <w:b/>
        </w:rPr>
        <w:t>389</w:t>
      </w:r>
      <w:r w:rsidRPr="007214E1">
        <w:rPr>
          <w:rFonts w:ascii="Book Antiqua" w:hAnsi="Book Antiqua"/>
        </w:rPr>
        <w:t>: 56-66 [PMID: 27932229 DOI: 10.1016/S0140-6736(16)32453-9]</w:t>
      </w:r>
    </w:p>
    <w:p w14:paraId="37D337A4"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lastRenderedPageBreak/>
        <w:t xml:space="preserve">12 </w:t>
      </w:r>
      <w:proofErr w:type="spellStart"/>
      <w:r w:rsidRPr="007214E1">
        <w:rPr>
          <w:rFonts w:ascii="Book Antiqua" w:hAnsi="Book Antiqua"/>
          <w:b/>
        </w:rPr>
        <w:t>Abou</w:t>
      </w:r>
      <w:proofErr w:type="spellEnd"/>
      <w:r w:rsidRPr="007214E1">
        <w:rPr>
          <w:rFonts w:ascii="Book Antiqua" w:hAnsi="Book Antiqua"/>
          <w:b/>
        </w:rPr>
        <w:t>-Alfa GK</w:t>
      </w:r>
      <w:r w:rsidRPr="007214E1">
        <w:rPr>
          <w:rFonts w:ascii="Book Antiqua" w:hAnsi="Book Antiqua"/>
        </w:rPr>
        <w:t>, Meyer T, Cheng AL, El-</w:t>
      </w:r>
      <w:proofErr w:type="spellStart"/>
      <w:r w:rsidRPr="007214E1">
        <w:rPr>
          <w:rFonts w:ascii="Book Antiqua" w:hAnsi="Book Antiqua"/>
        </w:rPr>
        <w:t>Khoueiry</w:t>
      </w:r>
      <w:proofErr w:type="spellEnd"/>
      <w:r w:rsidRPr="007214E1">
        <w:rPr>
          <w:rFonts w:ascii="Book Antiqua" w:hAnsi="Book Antiqua"/>
        </w:rPr>
        <w:t xml:space="preserve"> AB, </w:t>
      </w:r>
      <w:proofErr w:type="spellStart"/>
      <w:r w:rsidRPr="007214E1">
        <w:rPr>
          <w:rFonts w:ascii="Book Antiqua" w:hAnsi="Book Antiqua"/>
        </w:rPr>
        <w:t>Rimassa</w:t>
      </w:r>
      <w:proofErr w:type="spellEnd"/>
      <w:r w:rsidRPr="007214E1">
        <w:rPr>
          <w:rFonts w:ascii="Book Antiqua" w:hAnsi="Book Antiqua"/>
        </w:rPr>
        <w:t xml:space="preserve"> L, </w:t>
      </w:r>
      <w:proofErr w:type="spellStart"/>
      <w:r w:rsidRPr="007214E1">
        <w:rPr>
          <w:rFonts w:ascii="Book Antiqua" w:hAnsi="Book Antiqua"/>
        </w:rPr>
        <w:t>Ryoo</w:t>
      </w:r>
      <w:proofErr w:type="spellEnd"/>
      <w:r w:rsidRPr="007214E1">
        <w:rPr>
          <w:rFonts w:ascii="Book Antiqua" w:hAnsi="Book Antiqua"/>
        </w:rPr>
        <w:t xml:space="preserve"> BY, </w:t>
      </w:r>
      <w:proofErr w:type="spellStart"/>
      <w:r w:rsidRPr="007214E1">
        <w:rPr>
          <w:rFonts w:ascii="Book Antiqua" w:hAnsi="Book Antiqua"/>
        </w:rPr>
        <w:t>Cicin</w:t>
      </w:r>
      <w:proofErr w:type="spellEnd"/>
      <w:r w:rsidRPr="007214E1">
        <w:rPr>
          <w:rFonts w:ascii="Book Antiqua" w:hAnsi="Book Antiqua"/>
        </w:rPr>
        <w:t xml:space="preserve"> I, Merle P, Chen Y, Park JW, Blanc JF, </w:t>
      </w:r>
      <w:proofErr w:type="spellStart"/>
      <w:r w:rsidRPr="007214E1">
        <w:rPr>
          <w:rFonts w:ascii="Book Antiqua" w:hAnsi="Book Antiqua"/>
        </w:rPr>
        <w:t>Bolondi</w:t>
      </w:r>
      <w:proofErr w:type="spellEnd"/>
      <w:r w:rsidRPr="007214E1">
        <w:rPr>
          <w:rFonts w:ascii="Book Antiqua" w:hAnsi="Book Antiqua"/>
        </w:rPr>
        <w:t xml:space="preserve"> L, </w:t>
      </w:r>
      <w:proofErr w:type="spellStart"/>
      <w:r w:rsidRPr="007214E1">
        <w:rPr>
          <w:rFonts w:ascii="Book Antiqua" w:hAnsi="Book Antiqua"/>
        </w:rPr>
        <w:t>Klümpen</w:t>
      </w:r>
      <w:proofErr w:type="spellEnd"/>
      <w:r w:rsidRPr="007214E1">
        <w:rPr>
          <w:rFonts w:ascii="Book Antiqua" w:hAnsi="Book Antiqua"/>
        </w:rPr>
        <w:t xml:space="preserve"> HJ, Chan SL, </w:t>
      </w:r>
      <w:proofErr w:type="spellStart"/>
      <w:r w:rsidRPr="007214E1">
        <w:rPr>
          <w:rFonts w:ascii="Book Antiqua" w:hAnsi="Book Antiqua"/>
        </w:rPr>
        <w:t>Zagonel</w:t>
      </w:r>
      <w:proofErr w:type="spellEnd"/>
      <w:r w:rsidRPr="007214E1">
        <w:rPr>
          <w:rFonts w:ascii="Book Antiqua" w:hAnsi="Book Antiqua"/>
        </w:rPr>
        <w:t xml:space="preserve"> V, </w:t>
      </w:r>
      <w:proofErr w:type="spellStart"/>
      <w:r w:rsidRPr="007214E1">
        <w:rPr>
          <w:rFonts w:ascii="Book Antiqua" w:hAnsi="Book Antiqua"/>
        </w:rPr>
        <w:t>Pressiani</w:t>
      </w:r>
      <w:proofErr w:type="spellEnd"/>
      <w:r w:rsidRPr="007214E1">
        <w:rPr>
          <w:rFonts w:ascii="Book Antiqua" w:hAnsi="Book Antiqua"/>
        </w:rPr>
        <w:t xml:space="preserve"> T, </w:t>
      </w:r>
      <w:proofErr w:type="spellStart"/>
      <w:r w:rsidRPr="007214E1">
        <w:rPr>
          <w:rFonts w:ascii="Book Antiqua" w:hAnsi="Book Antiqua"/>
        </w:rPr>
        <w:t>Ryu</w:t>
      </w:r>
      <w:proofErr w:type="spellEnd"/>
      <w:r w:rsidRPr="007214E1">
        <w:rPr>
          <w:rFonts w:ascii="Book Antiqua" w:hAnsi="Book Antiqua"/>
        </w:rPr>
        <w:t xml:space="preserve"> MH, </w:t>
      </w:r>
      <w:proofErr w:type="spellStart"/>
      <w:r w:rsidRPr="007214E1">
        <w:rPr>
          <w:rFonts w:ascii="Book Antiqua" w:hAnsi="Book Antiqua"/>
        </w:rPr>
        <w:t>Venook</w:t>
      </w:r>
      <w:proofErr w:type="spellEnd"/>
      <w:r w:rsidRPr="007214E1">
        <w:rPr>
          <w:rFonts w:ascii="Book Antiqua" w:hAnsi="Book Antiqua"/>
        </w:rPr>
        <w:t xml:space="preserve"> AP, </w:t>
      </w:r>
      <w:proofErr w:type="spellStart"/>
      <w:r w:rsidRPr="007214E1">
        <w:rPr>
          <w:rFonts w:ascii="Book Antiqua" w:hAnsi="Book Antiqua"/>
        </w:rPr>
        <w:t>Hessel</w:t>
      </w:r>
      <w:proofErr w:type="spellEnd"/>
      <w:r w:rsidRPr="007214E1">
        <w:rPr>
          <w:rFonts w:ascii="Book Antiqua" w:hAnsi="Book Antiqua"/>
        </w:rPr>
        <w:t xml:space="preserve"> C, </w:t>
      </w:r>
      <w:proofErr w:type="spellStart"/>
      <w:r w:rsidRPr="007214E1">
        <w:rPr>
          <w:rFonts w:ascii="Book Antiqua" w:hAnsi="Book Antiqua"/>
        </w:rPr>
        <w:t>Borgman-Hagey</w:t>
      </w:r>
      <w:proofErr w:type="spellEnd"/>
      <w:r w:rsidRPr="007214E1">
        <w:rPr>
          <w:rFonts w:ascii="Book Antiqua" w:hAnsi="Book Antiqua"/>
        </w:rPr>
        <w:t xml:space="preserve"> AE, Schwab G, Kelley RK. </w:t>
      </w:r>
      <w:proofErr w:type="spellStart"/>
      <w:r w:rsidRPr="007214E1">
        <w:rPr>
          <w:rFonts w:ascii="Book Antiqua" w:hAnsi="Book Antiqua"/>
        </w:rPr>
        <w:t>Cabozantinib</w:t>
      </w:r>
      <w:proofErr w:type="spellEnd"/>
      <w:r w:rsidRPr="007214E1">
        <w:rPr>
          <w:rFonts w:ascii="Book Antiqua" w:hAnsi="Book Antiqua"/>
        </w:rPr>
        <w:t xml:space="preserve"> in Patients with Advanced and Progressing Hepatocellular Carcinoma. </w:t>
      </w:r>
      <w:r w:rsidRPr="007214E1">
        <w:rPr>
          <w:rFonts w:ascii="Book Antiqua" w:hAnsi="Book Antiqua"/>
          <w:i/>
        </w:rPr>
        <w:t xml:space="preserve">N </w:t>
      </w:r>
      <w:proofErr w:type="spellStart"/>
      <w:r w:rsidRPr="007214E1">
        <w:rPr>
          <w:rFonts w:ascii="Book Antiqua" w:hAnsi="Book Antiqua"/>
          <w:i/>
        </w:rPr>
        <w:t>Engl</w:t>
      </w:r>
      <w:proofErr w:type="spellEnd"/>
      <w:r w:rsidRPr="007214E1">
        <w:rPr>
          <w:rFonts w:ascii="Book Antiqua" w:hAnsi="Book Antiqua"/>
          <w:i/>
        </w:rPr>
        <w:t xml:space="preserve"> J Med</w:t>
      </w:r>
      <w:r w:rsidRPr="007214E1">
        <w:rPr>
          <w:rFonts w:ascii="Book Antiqua" w:hAnsi="Book Antiqua"/>
        </w:rPr>
        <w:t xml:space="preserve"> 2018; </w:t>
      </w:r>
      <w:r w:rsidRPr="007214E1">
        <w:rPr>
          <w:rFonts w:ascii="Book Antiqua" w:hAnsi="Book Antiqua"/>
          <w:b/>
        </w:rPr>
        <w:t>379</w:t>
      </w:r>
      <w:r w:rsidRPr="007214E1">
        <w:rPr>
          <w:rFonts w:ascii="Book Antiqua" w:hAnsi="Book Antiqua"/>
        </w:rPr>
        <w:t>: 54-63 [PMID: 29972759 DOI: 10.1056/NEJMoa1717002]</w:t>
      </w:r>
    </w:p>
    <w:p w14:paraId="3D0A535D"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13 </w:t>
      </w:r>
      <w:r w:rsidRPr="007214E1">
        <w:rPr>
          <w:rFonts w:ascii="Book Antiqua" w:hAnsi="Book Antiqua"/>
          <w:b/>
        </w:rPr>
        <w:t>El-</w:t>
      </w:r>
      <w:proofErr w:type="spellStart"/>
      <w:r w:rsidRPr="007214E1">
        <w:rPr>
          <w:rFonts w:ascii="Book Antiqua" w:hAnsi="Book Antiqua"/>
          <w:b/>
        </w:rPr>
        <w:t>Khoueiry</w:t>
      </w:r>
      <w:proofErr w:type="spellEnd"/>
      <w:r w:rsidRPr="007214E1">
        <w:rPr>
          <w:rFonts w:ascii="Book Antiqua" w:hAnsi="Book Antiqua"/>
          <w:b/>
        </w:rPr>
        <w:t xml:space="preserve"> AB</w:t>
      </w:r>
      <w:r w:rsidRPr="007214E1">
        <w:rPr>
          <w:rFonts w:ascii="Book Antiqua" w:hAnsi="Book Antiqua"/>
        </w:rPr>
        <w:t xml:space="preserve">, </w:t>
      </w:r>
      <w:proofErr w:type="spellStart"/>
      <w:r w:rsidRPr="007214E1">
        <w:rPr>
          <w:rFonts w:ascii="Book Antiqua" w:hAnsi="Book Antiqua"/>
        </w:rPr>
        <w:t>Sangro</w:t>
      </w:r>
      <w:proofErr w:type="spellEnd"/>
      <w:r w:rsidRPr="007214E1">
        <w:rPr>
          <w:rFonts w:ascii="Book Antiqua" w:hAnsi="Book Antiqua"/>
        </w:rPr>
        <w:t xml:space="preserve"> B, </w:t>
      </w:r>
      <w:proofErr w:type="spellStart"/>
      <w:r w:rsidRPr="007214E1">
        <w:rPr>
          <w:rFonts w:ascii="Book Antiqua" w:hAnsi="Book Antiqua"/>
        </w:rPr>
        <w:t>Yau</w:t>
      </w:r>
      <w:proofErr w:type="spellEnd"/>
      <w:r w:rsidRPr="007214E1">
        <w:rPr>
          <w:rFonts w:ascii="Book Antiqua" w:hAnsi="Book Antiqua"/>
        </w:rPr>
        <w:t xml:space="preserve"> T, </w:t>
      </w:r>
      <w:proofErr w:type="spellStart"/>
      <w:r w:rsidRPr="007214E1">
        <w:rPr>
          <w:rFonts w:ascii="Book Antiqua" w:hAnsi="Book Antiqua"/>
        </w:rPr>
        <w:t>Crocenzi</w:t>
      </w:r>
      <w:proofErr w:type="spellEnd"/>
      <w:r w:rsidRPr="007214E1">
        <w:rPr>
          <w:rFonts w:ascii="Book Antiqua" w:hAnsi="Book Antiqua"/>
        </w:rPr>
        <w:t xml:space="preserve"> TS, Kudo M, Hsu C, Kim TY, Choo SP, Trojan J, Welling TH Rd, Meyer T, Kang YK, Yeo W, Chopra A, Anderson J, Dela Cruz C, Lang L, Neely J, Tang H, </w:t>
      </w:r>
      <w:proofErr w:type="spellStart"/>
      <w:r w:rsidRPr="007214E1">
        <w:rPr>
          <w:rFonts w:ascii="Book Antiqua" w:hAnsi="Book Antiqua"/>
        </w:rPr>
        <w:t>Dastani</w:t>
      </w:r>
      <w:proofErr w:type="spellEnd"/>
      <w:r w:rsidRPr="007214E1">
        <w:rPr>
          <w:rFonts w:ascii="Book Antiqua" w:hAnsi="Book Antiqua"/>
        </w:rPr>
        <w:t xml:space="preserve"> HB, </w:t>
      </w:r>
      <w:proofErr w:type="spellStart"/>
      <w:r w:rsidRPr="007214E1">
        <w:rPr>
          <w:rFonts w:ascii="Book Antiqua" w:hAnsi="Book Antiqua"/>
        </w:rPr>
        <w:t>Melero</w:t>
      </w:r>
      <w:proofErr w:type="spellEnd"/>
      <w:r w:rsidRPr="007214E1">
        <w:rPr>
          <w:rFonts w:ascii="Book Antiqua" w:hAnsi="Book Antiqua"/>
        </w:rPr>
        <w:t xml:space="preserve"> I. Nivolumab in patients with advanced hepatocellular carcinoma (</w:t>
      </w:r>
      <w:proofErr w:type="spellStart"/>
      <w:r w:rsidRPr="007214E1">
        <w:rPr>
          <w:rFonts w:ascii="Book Antiqua" w:hAnsi="Book Antiqua"/>
        </w:rPr>
        <w:t>CheckMate</w:t>
      </w:r>
      <w:proofErr w:type="spellEnd"/>
      <w:r w:rsidRPr="007214E1">
        <w:rPr>
          <w:rFonts w:ascii="Book Antiqua" w:hAnsi="Book Antiqua"/>
        </w:rPr>
        <w:t xml:space="preserve"> 040): an open-label, non-comparative, phase 1/2 dose escalation and expansion trial. </w:t>
      </w:r>
      <w:r w:rsidRPr="007214E1">
        <w:rPr>
          <w:rFonts w:ascii="Book Antiqua" w:hAnsi="Book Antiqua"/>
          <w:i/>
        </w:rPr>
        <w:t>Lancet</w:t>
      </w:r>
      <w:r w:rsidRPr="007214E1">
        <w:rPr>
          <w:rFonts w:ascii="Book Antiqua" w:hAnsi="Book Antiqua"/>
        </w:rPr>
        <w:t xml:space="preserve"> 2017; </w:t>
      </w:r>
      <w:r w:rsidRPr="007214E1">
        <w:rPr>
          <w:rFonts w:ascii="Book Antiqua" w:hAnsi="Book Antiqua"/>
          <w:b/>
        </w:rPr>
        <w:t>389</w:t>
      </w:r>
      <w:r w:rsidRPr="007214E1">
        <w:rPr>
          <w:rFonts w:ascii="Book Antiqua" w:hAnsi="Book Antiqua"/>
        </w:rPr>
        <w:t>: 2492-2502 [PMID: 28434648 DOI: 10.1016/S0140-6736(17)31046-2]</w:t>
      </w:r>
    </w:p>
    <w:p w14:paraId="502CE6E2"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14 </w:t>
      </w:r>
      <w:r w:rsidRPr="007214E1">
        <w:rPr>
          <w:rFonts w:ascii="Book Antiqua" w:hAnsi="Book Antiqua"/>
          <w:b/>
        </w:rPr>
        <w:t>Zhu AX</w:t>
      </w:r>
      <w:r w:rsidRPr="007214E1">
        <w:rPr>
          <w:rFonts w:ascii="Book Antiqua" w:hAnsi="Book Antiqua"/>
        </w:rPr>
        <w:t xml:space="preserve">, Finn RS, </w:t>
      </w:r>
      <w:proofErr w:type="spellStart"/>
      <w:r w:rsidRPr="007214E1">
        <w:rPr>
          <w:rFonts w:ascii="Book Antiqua" w:hAnsi="Book Antiqua"/>
        </w:rPr>
        <w:t>Edeline</w:t>
      </w:r>
      <w:proofErr w:type="spellEnd"/>
      <w:r w:rsidRPr="007214E1">
        <w:rPr>
          <w:rFonts w:ascii="Book Antiqua" w:hAnsi="Book Antiqua"/>
        </w:rPr>
        <w:t xml:space="preserve"> J, </w:t>
      </w:r>
      <w:proofErr w:type="spellStart"/>
      <w:r w:rsidRPr="007214E1">
        <w:rPr>
          <w:rFonts w:ascii="Book Antiqua" w:hAnsi="Book Antiqua"/>
        </w:rPr>
        <w:t>Cattan</w:t>
      </w:r>
      <w:proofErr w:type="spellEnd"/>
      <w:r w:rsidRPr="007214E1">
        <w:rPr>
          <w:rFonts w:ascii="Book Antiqua" w:hAnsi="Book Antiqua"/>
        </w:rPr>
        <w:t xml:space="preserve"> S, Ogasawara S, Palmer D, </w:t>
      </w:r>
      <w:proofErr w:type="spellStart"/>
      <w:r w:rsidRPr="007214E1">
        <w:rPr>
          <w:rFonts w:ascii="Book Antiqua" w:hAnsi="Book Antiqua"/>
        </w:rPr>
        <w:t>Verslype</w:t>
      </w:r>
      <w:proofErr w:type="spellEnd"/>
      <w:r w:rsidRPr="007214E1">
        <w:rPr>
          <w:rFonts w:ascii="Book Antiqua" w:hAnsi="Book Antiqua"/>
        </w:rPr>
        <w:t xml:space="preserve"> C, </w:t>
      </w:r>
      <w:proofErr w:type="spellStart"/>
      <w:r w:rsidRPr="007214E1">
        <w:rPr>
          <w:rFonts w:ascii="Book Antiqua" w:hAnsi="Book Antiqua"/>
        </w:rPr>
        <w:t>Zagonel</w:t>
      </w:r>
      <w:proofErr w:type="spellEnd"/>
      <w:r w:rsidRPr="007214E1">
        <w:rPr>
          <w:rFonts w:ascii="Book Antiqua" w:hAnsi="Book Antiqua"/>
        </w:rPr>
        <w:t xml:space="preserve"> V, </w:t>
      </w:r>
      <w:proofErr w:type="spellStart"/>
      <w:r w:rsidRPr="007214E1">
        <w:rPr>
          <w:rFonts w:ascii="Book Antiqua" w:hAnsi="Book Antiqua"/>
        </w:rPr>
        <w:t>Fartoux</w:t>
      </w:r>
      <w:proofErr w:type="spellEnd"/>
      <w:r w:rsidRPr="007214E1">
        <w:rPr>
          <w:rFonts w:ascii="Book Antiqua" w:hAnsi="Book Antiqua"/>
        </w:rPr>
        <w:t xml:space="preserve"> L, Vogel A, </w:t>
      </w:r>
      <w:proofErr w:type="spellStart"/>
      <w:r w:rsidRPr="007214E1">
        <w:rPr>
          <w:rFonts w:ascii="Book Antiqua" w:hAnsi="Book Antiqua"/>
        </w:rPr>
        <w:t>Sarker</w:t>
      </w:r>
      <w:proofErr w:type="spellEnd"/>
      <w:r w:rsidRPr="007214E1">
        <w:rPr>
          <w:rFonts w:ascii="Book Antiqua" w:hAnsi="Book Antiqua"/>
        </w:rPr>
        <w:t xml:space="preserve"> D, </w:t>
      </w:r>
      <w:proofErr w:type="spellStart"/>
      <w:r w:rsidRPr="007214E1">
        <w:rPr>
          <w:rFonts w:ascii="Book Antiqua" w:hAnsi="Book Antiqua"/>
        </w:rPr>
        <w:t>Verset</w:t>
      </w:r>
      <w:proofErr w:type="spellEnd"/>
      <w:r w:rsidRPr="007214E1">
        <w:rPr>
          <w:rFonts w:ascii="Book Antiqua" w:hAnsi="Book Antiqua"/>
        </w:rPr>
        <w:t xml:space="preserve"> G, Chan SL, Knox J, Daniele B, Webber AL, Ebbinghaus SW, Ma J, Siegel AB, Cheng AL, Kudo M; KEYNOTE-224 investigators. Pembrolizumab in patients with advanced hepatocellular carcinoma previously treated with </w:t>
      </w:r>
      <w:proofErr w:type="spellStart"/>
      <w:r w:rsidRPr="007214E1">
        <w:rPr>
          <w:rFonts w:ascii="Book Antiqua" w:hAnsi="Book Antiqua"/>
        </w:rPr>
        <w:t>sorafenib</w:t>
      </w:r>
      <w:proofErr w:type="spellEnd"/>
      <w:r w:rsidRPr="007214E1">
        <w:rPr>
          <w:rFonts w:ascii="Book Antiqua" w:hAnsi="Book Antiqua"/>
        </w:rPr>
        <w:t xml:space="preserve"> (KEYNOTE-224): a non-</w:t>
      </w:r>
      <w:proofErr w:type="spellStart"/>
      <w:r w:rsidRPr="007214E1">
        <w:rPr>
          <w:rFonts w:ascii="Book Antiqua" w:hAnsi="Book Antiqua"/>
        </w:rPr>
        <w:t>randomised</w:t>
      </w:r>
      <w:proofErr w:type="spellEnd"/>
      <w:r w:rsidRPr="007214E1">
        <w:rPr>
          <w:rFonts w:ascii="Book Antiqua" w:hAnsi="Book Antiqua"/>
        </w:rPr>
        <w:t xml:space="preserve">, open-label phase 2 trial. </w:t>
      </w:r>
      <w:r w:rsidRPr="007214E1">
        <w:rPr>
          <w:rFonts w:ascii="Book Antiqua" w:hAnsi="Book Antiqua"/>
          <w:i/>
        </w:rPr>
        <w:t>Lancet Oncol</w:t>
      </w:r>
      <w:r w:rsidRPr="007214E1">
        <w:rPr>
          <w:rFonts w:ascii="Book Antiqua" w:hAnsi="Book Antiqua"/>
        </w:rPr>
        <w:t xml:space="preserve"> 2018; </w:t>
      </w:r>
      <w:r w:rsidRPr="007214E1">
        <w:rPr>
          <w:rFonts w:ascii="Book Antiqua" w:hAnsi="Book Antiqua"/>
          <w:b/>
        </w:rPr>
        <w:t>19</w:t>
      </w:r>
      <w:r w:rsidRPr="007214E1">
        <w:rPr>
          <w:rFonts w:ascii="Book Antiqua" w:hAnsi="Book Antiqua"/>
        </w:rPr>
        <w:t>: 940-952 [PMID: 29875066 DOI: 10.1016/S1470-2045(18)30351-6]</w:t>
      </w:r>
    </w:p>
    <w:p w14:paraId="65A24C9B"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15 </w:t>
      </w:r>
      <w:proofErr w:type="spellStart"/>
      <w:r w:rsidRPr="007214E1">
        <w:rPr>
          <w:rFonts w:ascii="Book Antiqua" w:hAnsi="Book Antiqua"/>
          <w:b/>
        </w:rPr>
        <w:t>Prieto</w:t>
      </w:r>
      <w:proofErr w:type="spellEnd"/>
      <w:r w:rsidRPr="007214E1">
        <w:rPr>
          <w:rFonts w:ascii="Book Antiqua" w:hAnsi="Book Antiqua"/>
          <w:b/>
        </w:rPr>
        <w:t xml:space="preserve"> J</w:t>
      </w:r>
      <w:r w:rsidRPr="007214E1">
        <w:rPr>
          <w:rFonts w:ascii="Book Antiqua" w:hAnsi="Book Antiqua"/>
        </w:rPr>
        <w:t xml:space="preserve">, </w:t>
      </w:r>
      <w:proofErr w:type="spellStart"/>
      <w:r w:rsidRPr="007214E1">
        <w:rPr>
          <w:rFonts w:ascii="Book Antiqua" w:hAnsi="Book Antiqua"/>
        </w:rPr>
        <w:t>Melero</w:t>
      </w:r>
      <w:proofErr w:type="spellEnd"/>
      <w:r w:rsidRPr="007214E1">
        <w:rPr>
          <w:rFonts w:ascii="Book Antiqua" w:hAnsi="Book Antiqua"/>
        </w:rPr>
        <w:t xml:space="preserve"> I, </w:t>
      </w:r>
      <w:proofErr w:type="spellStart"/>
      <w:r w:rsidRPr="007214E1">
        <w:rPr>
          <w:rFonts w:ascii="Book Antiqua" w:hAnsi="Book Antiqua"/>
        </w:rPr>
        <w:t>Sangro</w:t>
      </w:r>
      <w:proofErr w:type="spellEnd"/>
      <w:r w:rsidRPr="007214E1">
        <w:rPr>
          <w:rFonts w:ascii="Book Antiqua" w:hAnsi="Book Antiqua"/>
        </w:rPr>
        <w:t xml:space="preserve"> B. Immunological landscape and immunotherapy of hepatocellular carcinoma. </w:t>
      </w:r>
      <w:r w:rsidRPr="007214E1">
        <w:rPr>
          <w:rFonts w:ascii="Book Antiqua" w:hAnsi="Book Antiqua"/>
          <w:i/>
        </w:rPr>
        <w:t>Nat Rev Gastroenterol Hepatol</w:t>
      </w:r>
      <w:r w:rsidRPr="007214E1">
        <w:rPr>
          <w:rFonts w:ascii="Book Antiqua" w:hAnsi="Book Antiqua"/>
        </w:rPr>
        <w:t xml:space="preserve"> 2015; </w:t>
      </w:r>
      <w:r w:rsidRPr="007214E1">
        <w:rPr>
          <w:rFonts w:ascii="Book Antiqua" w:hAnsi="Book Antiqua"/>
          <w:b/>
        </w:rPr>
        <w:t>12</w:t>
      </w:r>
      <w:r w:rsidRPr="007214E1">
        <w:rPr>
          <w:rFonts w:ascii="Book Antiqua" w:hAnsi="Book Antiqua"/>
        </w:rPr>
        <w:t>: 681-700 [PMID: 26484443 DOI: 10.1038/nrgastro.2015.173]</w:t>
      </w:r>
    </w:p>
    <w:p w14:paraId="1E61D4B7" w14:textId="653CBA71"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16 </w:t>
      </w:r>
      <w:r w:rsidRPr="007214E1">
        <w:rPr>
          <w:rFonts w:ascii="Book Antiqua" w:hAnsi="Book Antiqua"/>
          <w:b/>
        </w:rPr>
        <w:t xml:space="preserve">Food and Drug Administration. </w:t>
      </w:r>
      <w:r w:rsidRPr="007214E1">
        <w:rPr>
          <w:rFonts w:ascii="Book Antiqua" w:hAnsi="Book Antiqua"/>
        </w:rPr>
        <w:t>FDA grants accelerated approval to nivolumab for HCC previou</w:t>
      </w:r>
      <w:r w:rsidR="00E55903" w:rsidRPr="007214E1">
        <w:rPr>
          <w:rFonts w:ascii="Book Antiqua" w:hAnsi="Book Antiqua"/>
        </w:rPr>
        <w:t xml:space="preserve">sly treated with sorafenib </w:t>
      </w:r>
      <w:r w:rsidRPr="007214E1">
        <w:rPr>
          <w:rFonts w:ascii="Book Antiqua" w:hAnsi="Book Antiqua"/>
        </w:rPr>
        <w:t>2017. In: U.S. Food and Drug Administration [Internet]. Available from: https://www.fda.gov/drugs/resources-information-approved-drugs/fda-grants-accelerated-approval-nivolumab-hcc-previously-treated-sorafenib</w:t>
      </w:r>
    </w:p>
    <w:p w14:paraId="2A2A345E" w14:textId="562C98FD"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17 </w:t>
      </w:r>
      <w:r w:rsidRPr="007214E1">
        <w:rPr>
          <w:rFonts w:ascii="Book Antiqua" w:hAnsi="Book Antiqua"/>
          <w:b/>
        </w:rPr>
        <w:t xml:space="preserve">HemOnc Today. </w:t>
      </w:r>
      <w:r w:rsidRPr="007214E1">
        <w:rPr>
          <w:rFonts w:ascii="Book Antiqua" w:hAnsi="Book Antiqua"/>
        </w:rPr>
        <w:t>FDA approves pembrolizumab for hepatocellular carcinoma,</w:t>
      </w:r>
      <w:r w:rsidR="00E55903" w:rsidRPr="007214E1">
        <w:rPr>
          <w:rFonts w:ascii="Book Antiqua" w:hAnsi="Book Antiqua"/>
        </w:rPr>
        <w:t xml:space="preserve"> </w:t>
      </w:r>
      <w:r w:rsidRPr="007214E1">
        <w:rPr>
          <w:rFonts w:ascii="Book Antiqua" w:hAnsi="Book Antiqua"/>
        </w:rPr>
        <w:t>lung cancer indications 2018</w:t>
      </w:r>
      <w:r w:rsidR="00354FFA" w:rsidRPr="007214E1">
        <w:rPr>
          <w:rFonts w:ascii="Book Antiqua" w:hAnsi="Book Antiqua"/>
        </w:rPr>
        <w:t xml:space="preserve">. In: HemOnc Today [Internet]. </w:t>
      </w:r>
      <w:r w:rsidRPr="007214E1">
        <w:rPr>
          <w:rFonts w:ascii="Book Antiqua" w:hAnsi="Book Antiqua"/>
        </w:rPr>
        <w:t xml:space="preserve">Available from: </w:t>
      </w:r>
      <w:r w:rsidR="00E55903" w:rsidRPr="007214E1">
        <w:rPr>
          <w:rFonts w:ascii="Book Antiqua" w:hAnsi="Book Antiqua"/>
        </w:rPr>
        <w:lastRenderedPageBreak/>
        <w:t>https://www.healio.com/hematology-oncology/lung-cancer/news/print/hemonc-today/%7B36a1e36d-6e3d-4182-a09e-4f97c889281d%7D/fda-approves-pembrolizumab-for-hepatocellular-carcinoma-lung-cancer-indications</w:t>
      </w:r>
    </w:p>
    <w:p w14:paraId="3027C35B" w14:textId="053A6A3C"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18 </w:t>
      </w:r>
      <w:r w:rsidRPr="007214E1">
        <w:rPr>
          <w:rFonts w:ascii="Book Antiqua" w:hAnsi="Book Antiqua"/>
          <w:b/>
        </w:rPr>
        <w:t xml:space="preserve">Bristol-Myers Squibb. </w:t>
      </w:r>
      <w:r w:rsidRPr="007214E1">
        <w:rPr>
          <w:rFonts w:ascii="Book Antiqua" w:hAnsi="Book Antiqua"/>
        </w:rPr>
        <w:t xml:space="preserve">Bristol-Myers Squibb Announces Results from </w:t>
      </w:r>
      <w:proofErr w:type="spellStart"/>
      <w:r w:rsidRPr="007214E1">
        <w:rPr>
          <w:rFonts w:ascii="Book Antiqua" w:hAnsi="Book Antiqua"/>
        </w:rPr>
        <w:t>CheckMate</w:t>
      </w:r>
      <w:proofErr w:type="spellEnd"/>
      <w:r w:rsidRPr="007214E1">
        <w:rPr>
          <w:rFonts w:ascii="Book Antiqua" w:hAnsi="Book Antiqua"/>
        </w:rPr>
        <w:t xml:space="preserve"> -459 Study Evaluating </w:t>
      </w:r>
      <w:proofErr w:type="spellStart"/>
      <w:r w:rsidRPr="007214E1">
        <w:rPr>
          <w:rFonts w:ascii="Book Antiqua" w:hAnsi="Book Antiqua"/>
        </w:rPr>
        <w:t>Opdivo</w:t>
      </w:r>
      <w:proofErr w:type="spellEnd"/>
      <w:r w:rsidRPr="007214E1">
        <w:rPr>
          <w:rFonts w:ascii="Book Antiqua" w:hAnsi="Book Antiqua"/>
        </w:rPr>
        <w:t xml:space="preserve"> (</w:t>
      </w:r>
      <w:proofErr w:type="spellStart"/>
      <w:r w:rsidRPr="007214E1">
        <w:rPr>
          <w:rFonts w:ascii="Book Antiqua" w:hAnsi="Book Antiqua"/>
        </w:rPr>
        <w:t>nivolumab</w:t>
      </w:r>
      <w:proofErr w:type="spellEnd"/>
      <w:r w:rsidRPr="007214E1">
        <w:rPr>
          <w:rFonts w:ascii="Book Antiqua" w:hAnsi="Book Antiqua"/>
        </w:rPr>
        <w:t>) as a First-Line Treatment for Patients with Unrese</w:t>
      </w:r>
      <w:r w:rsidR="00E55903" w:rsidRPr="007214E1">
        <w:rPr>
          <w:rFonts w:ascii="Book Antiqua" w:hAnsi="Book Antiqua"/>
        </w:rPr>
        <w:t>ctable Hepatocellular Carcinoma 2019</w:t>
      </w:r>
      <w:r w:rsidRPr="007214E1">
        <w:rPr>
          <w:rFonts w:ascii="Book Antiqua" w:hAnsi="Book Antiqua"/>
        </w:rPr>
        <w:t>. In: Bristol-Myers Squibb [</w:t>
      </w:r>
      <w:r w:rsidR="00354FFA" w:rsidRPr="007214E1">
        <w:rPr>
          <w:rFonts w:ascii="Book Antiqua" w:hAnsi="Book Antiqua"/>
        </w:rPr>
        <w:t>Internet].</w:t>
      </w:r>
      <w:r w:rsidRPr="007214E1">
        <w:rPr>
          <w:rFonts w:ascii="Book Antiqua" w:hAnsi="Book Antiqua"/>
        </w:rPr>
        <w:t xml:space="preserve"> Available from: https://news.bms.com/press-release/bmy/bristol-myers-squibb-announces-results-checkmate-459-study-evaluating-opdivo-nivol</w:t>
      </w:r>
    </w:p>
    <w:p w14:paraId="007E3F4C"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19 </w:t>
      </w:r>
      <w:r w:rsidRPr="007214E1">
        <w:rPr>
          <w:rFonts w:ascii="Book Antiqua" w:hAnsi="Book Antiqua"/>
          <w:b/>
        </w:rPr>
        <w:t>Finn RS</w:t>
      </w:r>
      <w:r w:rsidRPr="007214E1">
        <w:rPr>
          <w:rFonts w:ascii="Book Antiqua" w:hAnsi="Book Antiqua"/>
        </w:rPr>
        <w:t xml:space="preserve">, </w:t>
      </w:r>
      <w:proofErr w:type="spellStart"/>
      <w:r w:rsidRPr="007214E1">
        <w:rPr>
          <w:rFonts w:ascii="Book Antiqua" w:hAnsi="Book Antiqua"/>
        </w:rPr>
        <w:t>Ryoo</w:t>
      </w:r>
      <w:proofErr w:type="spellEnd"/>
      <w:r w:rsidRPr="007214E1">
        <w:rPr>
          <w:rFonts w:ascii="Book Antiqua" w:hAnsi="Book Antiqua"/>
        </w:rPr>
        <w:t xml:space="preserve"> BY, Merle P, </w:t>
      </w:r>
      <w:proofErr w:type="spellStart"/>
      <w:r w:rsidRPr="007214E1">
        <w:rPr>
          <w:rFonts w:ascii="Book Antiqua" w:hAnsi="Book Antiqua"/>
        </w:rPr>
        <w:t>Kudo</w:t>
      </w:r>
      <w:proofErr w:type="spellEnd"/>
      <w:r w:rsidRPr="007214E1">
        <w:rPr>
          <w:rFonts w:ascii="Book Antiqua" w:hAnsi="Book Antiqua"/>
        </w:rPr>
        <w:t xml:space="preserve"> M, </w:t>
      </w:r>
      <w:proofErr w:type="spellStart"/>
      <w:r w:rsidRPr="007214E1">
        <w:rPr>
          <w:rFonts w:ascii="Book Antiqua" w:hAnsi="Book Antiqua"/>
        </w:rPr>
        <w:t>Bouattour</w:t>
      </w:r>
      <w:proofErr w:type="spellEnd"/>
      <w:r w:rsidRPr="007214E1">
        <w:rPr>
          <w:rFonts w:ascii="Book Antiqua" w:hAnsi="Book Antiqua"/>
        </w:rPr>
        <w:t xml:space="preserve"> M, Lim HY, </w:t>
      </w:r>
      <w:proofErr w:type="spellStart"/>
      <w:r w:rsidRPr="007214E1">
        <w:rPr>
          <w:rFonts w:ascii="Book Antiqua" w:hAnsi="Book Antiqua"/>
        </w:rPr>
        <w:t>Breder</w:t>
      </w:r>
      <w:proofErr w:type="spellEnd"/>
      <w:r w:rsidRPr="007214E1">
        <w:rPr>
          <w:rFonts w:ascii="Book Antiqua" w:hAnsi="Book Antiqua"/>
        </w:rPr>
        <w:t xml:space="preserve"> V, </w:t>
      </w:r>
      <w:proofErr w:type="spellStart"/>
      <w:r w:rsidRPr="007214E1">
        <w:rPr>
          <w:rFonts w:ascii="Book Antiqua" w:hAnsi="Book Antiqua"/>
        </w:rPr>
        <w:t>Edeline</w:t>
      </w:r>
      <w:proofErr w:type="spellEnd"/>
      <w:r w:rsidRPr="007214E1">
        <w:rPr>
          <w:rFonts w:ascii="Book Antiqua" w:hAnsi="Book Antiqua"/>
        </w:rPr>
        <w:t xml:space="preserve"> J, Chao Y, Ogasawara S, </w:t>
      </w:r>
      <w:proofErr w:type="spellStart"/>
      <w:r w:rsidRPr="007214E1">
        <w:rPr>
          <w:rFonts w:ascii="Book Antiqua" w:hAnsi="Book Antiqua"/>
        </w:rPr>
        <w:t>Yau</w:t>
      </w:r>
      <w:proofErr w:type="spellEnd"/>
      <w:r w:rsidRPr="007214E1">
        <w:rPr>
          <w:rFonts w:ascii="Book Antiqua" w:hAnsi="Book Antiqua"/>
        </w:rPr>
        <w:t xml:space="preserve"> T, </w:t>
      </w:r>
      <w:proofErr w:type="spellStart"/>
      <w:r w:rsidRPr="007214E1">
        <w:rPr>
          <w:rFonts w:ascii="Book Antiqua" w:hAnsi="Book Antiqua"/>
        </w:rPr>
        <w:t>Garrido</w:t>
      </w:r>
      <w:proofErr w:type="spellEnd"/>
      <w:r w:rsidRPr="007214E1">
        <w:rPr>
          <w:rFonts w:ascii="Book Antiqua" w:hAnsi="Book Antiqua"/>
        </w:rPr>
        <w:t xml:space="preserve"> M, Chan SL, Knox J, Daniele B, Ebbinghaus SW, Chen E, Siegel AB, Zhu AX, Cheng AL; KEYNOTE-240 investigators. Pembrolizumab As Second-Line Therapy in Patients With Advanced Hepatocellular Carcinoma in KEYNOTE-240: A Randomized, Double-Blind, Phase III Trial. </w:t>
      </w:r>
      <w:r w:rsidRPr="007214E1">
        <w:rPr>
          <w:rFonts w:ascii="Book Antiqua" w:hAnsi="Book Antiqua"/>
          <w:i/>
        </w:rPr>
        <w:t>J Clin Oncol</w:t>
      </w:r>
      <w:r w:rsidRPr="007214E1">
        <w:rPr>
          <w:rFonts w:ascii="Book Antiqua" w:hAnsi="Book Antiqua"/>
        </w:rPr>
        <w:t xml:space="preserve"> 2020; </w:t>
      </w:r>
      <w:r w:rsidRPr="007214E1">
        <w:rPr>
          <w:rFonts w:ascii="Book Antiqua" w:hAnsi="Book Antiqua"/>
          <w:b/>
        </w:rPr>
        <w:t>38</w:t>
      </w:r>
      <w:r w:rsidRPr="007214E1">
        <w:rPr>
          <w:rFonts w:ascii="Book Antiqua" w:hAnsi="Book Antiqua"/>
        </w:rPr>
        <w:t>: 193-202 [PMID: 31790344 DOI: 10.1200/JCO.19.01307]</w:t>
      </w:r>
    </w:p>
    <w:p w14:paraId="064EF3CC" w14:textId="78E5728D"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20 </w:t>
      </w:r>
      <w:r w:rsidRPr="007214E1">
        <w:rPr>
          <w:rFonts w:ascii="Book Antiqua" w:hAnsi="Book Antiqua"/>
          <w:b/>
        </w:rPr>
        <w:t>Qin SK,</w:t>
      </w:r>
      <w:r w:rsidR="00354FFA" w:rsidRPr="007214E1">
        <w:rPr>
          <w:rFonts w:ascii="Book Antiqua" w:hAnsi="Book Antiqua"/>
        </w:rPr>
        <w:t xml:space="preserve"> </w:t>
      </w:r>
      <w:r w:rsidRPr="007214E1">
        <w:rPr>
          <w:rFonts w:ascii="Book Antiqua" w:hAnsi="Book Antiqua"/>
        </w:rPr>
        <w:t xml:space="preserve">Ren ZG, Meng ZQ, Chen ZD, Chai XL, </w:t>
      </w:r>
      <w:proofErr w:type="spellStart"/>
      <w:r w:rsidRPr="007214E1">
        <w:rPr>
          <w:rFonts w:ascii="Book Antiqua" w:hAnsi="Book Antiqua"/>
        </w:rPr>
        <w:t>Xiong</w:t>
      </w:r>
      <w:proofErr w:type="spellEnd"/>
      <w:r w:rsidRPr="007214E1">
        <w:rPr>
          <w:rFonts w:ascii="Book Antiqua" w:hAnsi="Book Antiqua"/>
        </w:rPr>
        <w:t xml:space="preserve"> JP, </w:t>
      </w:r>
      <w:proofErr w:type="spellStart"/>
      <w:r w:rsidRPr="007214E1">
        <w:rPr>
          <w:rFonts w:ascii="Book Antiqua" w:hAnsi="Book Antiqua"/>
        </w:rPr>
        <w:t>Bai</w:t>
      </w:r>
      <w:proofErr w:type="spellEnd"/>
      <w:r w:rsidRPr="007214E1">
        <w:rPr>
          <w:rFonts w:ascii="Book Antiqua" w:hAnsi="Book Antiqua"/>
        </w:rPr>
        <w:t xml:space="preserve"> YX, Yang L, Zhu H, Fang WJ, Lin XY, Chen XM, Li EX, Xia Y, Zou JJ.</w:t>
      </w:r>
      <w:r w:rsidR="007E741C" w:rsidRPr="007214E1">
        <w:rPr>
          <w:rFonts w:ascii="Book Antiqua" w:hAnsi="Book Antiqua"/>
        </w:rPr>
        <w:t xml:space="preserve"> LBA27A randomized multicentered phase II study to evaluate SHR-1210 (PD-1 antibody) in subjects with advanced hepatocellular carcinoma (HCC) who failed or intolerable to prior systemic treatment</w:t>
      </w:r>
      <w:r w:rsidRPr="007214E1">
        <w:rPr>
          <w:rFonts w:ascii="Book Antiqua" w:hAnsi="Book Antiqua"/>
        </w:rPr>
        <w:t xml:space="preserve">. </w:t>
      </w:r>
      <w:r w:rsidR="00E55903" w:rsidRPr="007214E1">
        <w:rPr>
          <w:rFonts w:ascii="Book Antiqua" w:hAnsi="Book Antiqua"/>
          <w:i/>
        </w:rPr>
        <w:t>Ann Oncol</w:t>
      </w:r>
      <w:r w:rsidRPr="007214E1">
        <w:rPr>
          <w:rFonts w:ascii="Book Antiqua" w:hAnsi="Book Antiqua"/>
        </w:rPr>
        <w:t xml:space="preserve"> 2018</w:t>
      </w:r>
      <w:r w:rsidR="007E741C" w:rsidRPr="007214E1">
        <w:rPr>
          <w:rFonts w:ascii="Book Antiqua" w:hAnsi="Book Antiqua"/>
        </w:rPr>
        <w:t>. Available from: https://www.onacademic.com/detail/journal_1000040906706010_a4d9.html</w:t>
      </w:r>
    </w:p>
    <w:p w14:paraId="1DEB7A88" w14:textId="648BFF6F"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21 </w:t>
      </w:r>
      <w:proofErr w:type="spellStart"/>
      <w:r w:rsidRPr="007214E1">
        <w:rPr>
          <w:rFonts w:ascii="Book Antiqua" w:hAnsi="Book Antiqua"/>
          <w:b/>
        </w:rPr>
        <w:t>Wainberg</w:t>
      </w:r>
      <w:proofErr w:type="spellEnd"/>
      <w:r w:rsidRPr="007214E1">
        <w:rPr>
          <w:rFonts w:ascii="Book Antiqua" w:hAnsi="Book Antiqua"/>
          <w:b/>
        </w:rPr>
        <w:t xml:space="preserve"> ZA,</w:t>
      </w:r>
      <w:r w:rsidR="00354FFA" w:rsidRPr="007214E1">
        <w:rPr>
          <w:rFonts w:ascii="Book Antiqua" w:hAnsi="Book Antiqua"/>
        </w:rPr>
        <w:t xml:space="preserve"> </w:t>
      </w:r>
      <w:r w:rsidRPr="007214E1">
        <w:rPr>
          <w:rFonts w:ascii="Book Antiqua" w:hAnsi="Book Antiqua"/>
        </w:rPr>
        <w:t xml:space="preserve">Segal NH, Jaeger D, Lee K-H, Marshall J, Antonia SJ, Butler M, Sanborn RE, </w:t>
      </w:r>
      <w:proofErr w:type="spellStart"/>
      <w:r w:rsidRPr="007214E1">
        <w:rPr>
          <w:rFonts w:ascii="Book Antiqua" w:hAnsi="Book Antiqua"/>
        </w:rPr>
        <w:t>Nemunaitis</w:t>
      </w:r>
      <w:proofErr w:type="spellEnd"/>
      <w:r w:rsidRPr="007214E1">
        <w:rPr>
          <w:rFonts w:ascii="Book Antiqua" w:hAnsi="Book Antiqua"/>
        </w:rPr>
        <w:t xml:space="preserve"> JJ, Carlson CA, Finn RS, Jin X, </w:t>
      </w:r>
      <w:proofErr w:type="spellStart"/>
      <w:r w:rsidRPr="007214E1">
        <w:rPr>
          <w:rFonts w:ascii="Book Antiqua" w:hAnsi="Book Antiqua"/>
        </w:rPr>
        <w:t>Antal</w:t>
      </w:r>
      <w:proofErr w:type="spellEnd"/>
      <w:r w:rsidRPr="007214E1">
        <w:rPr>
          <w:rFonts w:ascii="Book Antiqua" w:hAnsi="Book Antiqua"/>
        </w:rPr>
        <w:t xml:space="preserve"> J, Gupta AK, </w:t>
      </w:r>
      <w:proofErr w:type="spellStart"/>
      <w:r w:rsidRPr="007214E1">
        <w:rPr>
          <w:rFonts w:ascii="Book Antiqua" w:hAnsi="Book Antiqua"/>
        </w:rPr>
        <w:t>Massard</w:t>
      </w:r>
      <w:proofErr w:type="spellEnd"/>
      <w:r w:rsidRPr="007214E1">
        <w:rPr>
          <w:rFonts w:ascii="Book Antiqua" w:hAnsi="Book Antiqua"/>
        </w:rPr>
        <w:t xml:space="preserve"> C. </w:t>
      </w:r>
      <w:bookmarkStart w:id="12" w:name="OLE_LINK12"/>
      <w:bookmarkStart w:id="13" w:name="OLE_LINK13"/>
      <w:r w:rsidRPr="007214E1">
        <w:rPr>
          <w:rFonts w:ascii="Book Antiqua" w:hAnsi="Book Antiqua"/>
        </w:rPr>
        <w:t>Safety and clinical activity of durvalumab monotherapy in patients with hepatocellular carcinoma (HCC)</w:t>
      </w:r>
      <w:bookmarkEnd w:id="12"/>
      <w:bookmarkEnd w:id="13"/>
      <w:r w:rsidRPr="007214E1">
        <w:rPr>
          <w:rFonts w:ascii="Book Antiqua" w:hAnsi="Book Antiqua"/>
        </w:rPr>
        <w:t xml:space="preserve">. </w:t>
      </w:r>
      <w:r w:rsidR="007E741C" w:rsidRPr="007214E1">
        <w:rPr>
          <w:rFonts w:ascii="Book Antiqua" w:hAnsi="Book Antiqua"/>
          <w:i/>
        </w:rPr>
        <w:t>J Clin Oncol</w:t>
      </w:r>
      <w:r w:rsidR="007E741C" w:rsidRPr="007214E1">
        <w:rPr>
          <w:rFonts w:ascii="Book Antiqua" w:hAnsi="Book Antiqua"/>
        </w:rPr>
        <w:t xml:space="preserve"> </w:t>
      </w:r>
      <w:r w:rsidRPr="007214E1">
        <w:rPr>
          <w:rFonts w:ascii="Book Antiqua" w:hAnsi="Book Antiqua"/>
        </w:rPr>
        <w:t>2017;</w:t>
      </w:r>
      <w:r w:rsidR="00E55903" w:rsidRPr="007214E1">
        <w:rPr>
          <w:rFonts w:ascii="Book Antiqua" w:hAnsi="Book Antiqua"/>
        </w:rPr>
        <w:t xml:space="preserve"> </w:t>
      </w:r>
      <w:r w:rsidRPr="007214E1">
        <w:rPr>
          <w:rFonts w:ascii="Book Antiqua" w:hAnsi="Book Antiqua"/>
          <w:b/>
        </w:rPr>
        <w:t>35</w:t>
      </w:r>
      <w:r w:rsidR="00E55903" w:rsidRPr="007214E1">
        <w:rPr>
          <w:rFonts w:ascii="Book Antiqua" w:hAnsi="Book Antiqua"/>
          <w:b/>
        </w:rPr>
        <w:t xml:space="preserve"> </w:t>
      </w:r>
      <w:r w:rsidRPr="007214E1">
        <w:rPr>
          <w:rFonts w:ascii="Book Antiqua" w:hAnsi="Book Antiqua"/>
          <w:b/>
        </w:rPr>
        <w:t>(15_suppl)</w:t>
      </w:r>
      <w:r w:rsidRPr="007214E1">
        <w:rPr>
          <w:rFonts w:ascii="Book Antiqua" w:hAnsi="Book Antiqua"/>
        </w:rPr>
        <w:t>:</w:t>
      </w:r>
      <w:r w:rsidR="00E55903" w:rsidRPr="007214E1">
        <w:rPr>
          <w:rFonts w:ascii="Book Antiqua" w:hAnsi="Book Antiqua"/>
        </w:rPr>
        <w:t xml:space="preserve"> 4071</w:t>
      </w:r>
      <w:r w:rsidRPr="007214E1">
        <w:rPr>
          <w:rFonts w:ascii="Book Antiqua" w:hAnsi="Book Antiqua"/>
        </w:rPr>
        <w:t xml:space="preserve"> [DOI: 10.1200/JCO.2017.35.15_suppl.4071]</w:t>
      </w:r>
    </w:p>
    <w:p w14:paraId="6DC872D3"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lastRenderedPageBreak/>
        <w:t xml:space="preserve">22 </w:t>
      </w:r>
      <w:proofErr w:type="spellStart"/>
      <w:r w:rsidRPr="007214E1">
        <w:rPr>
          <w:rFonts w:ascii="Book Antiqua" w:hAnsi="Book Antiqua"/>
          <w:b/>
        </w:rPr>
        <w:t>Sangro</w:t>
      </w:r>
      <w:proofErr w:type="spellEnd"/>
      <w:r w:rsidRPr="007214E1">
        <w:rPr>
          <w:rFonts w:ascii="Book Antiqua" w:hAnsi="Book Antiqua"/>
          <w:b/>
        </w:rPr>
        <w:t xml:space="preserve"> B</w:t>
      </w:r>
      <w:r w:rsidRPr="007214E1">
        <w:rPr>
          <w:rFonts w:ascii="Book Antiqua" w:hAnsi="Book Antiqua"/>
        </w:rPr>
        <w:t xml:space="preserve">, Gomez-Martin C, de la Mata M, </w:t>
      </w:r>
      <w:proofErr w:type="spellStart"/>
      <w:r w:rsidRPr="007214E1">
        <w:rPr>
          <w:rFonts w:ascii="Book Antiqua" w:hAnsi="Book Antiqua"/>
        </w:rPr>
        <w:t>Iñarrairaegui</w:t>
      </w:r>
      <w:proofErr w:type="spellEnd"/>
      <w:r w:rsidRPr="007214E1">
        <w:rPr>
          <w:rFonts w:ascii="Book Antiqua" w:hAnsi="Book Antiqua"/>
        </w:rPr>
        <w:t xml:space="preserve"> M, </w:t>
      </w:r>
      <w:proofErr w:type="spellStart"/>
      <w:r w:rsidRPr="007214E1">
        <w:rPr>
          <w:rFonts w:ascii="Book Antiqua" w:hAnsi="Book Antiqua"/>
        </w:rPr>
        <w:t>Garralda</w:t>
      </w:r>
      <w:proofErr w:type="spellEnd"/>
      <w:r w:rsidRPr="007214E1">
        <w:rPr>
          <w:rFonts w:ascii="Book Antiqua" w:hAnsi="Book Antiqua"/>
        </w:rPr>
        <w:t xml:space="preserve"> E, Barrera P, </w:t>
      </w:r>
      <w:proofErr w:type="spellStart"/>
      <w:r w:rsidRPr="007214E1">
        <w:rPr>
          <w:rFonts w:ascii="Book Antiqua" w:hAnsi="Book Antiqua"/>
        </w:rPr>
        <w:t>Riezu-Boj</w:t>
      </w:r>
      <w:proofErr w:type="spellEnd"/>
      <w:r w:rsidRPr="007214E1">
        <w:rPr>
          <w:rFonts w:ascii="Book Antiqua" w:hAnsi="Book Antiqua"/>
        </w:rPr>
        <w:t xml:space="preserve"> JI, </w:t>
      </w:r>
      <w:proofErr w:type="spellStart"/>
      <w:r w:rsidRPr="007214E1">
        <w:rPr>
          <w:rFonts w:ascii="Book Antiqua" w:hAnsi="Book Antiqua"/>
        </w:rPr>
        <w:t>Larrea</w:t>
      </w:r>
      <w:proofErr w:type="spellEnd"/>
      <w:r w:rsidRPr="007214E1">
        <w:rPr>
          <w:rFonts w:ascii="Book Antiqua" w:hAnsi="Book Antiqua"/>
        </w:rPr>
        <w:t xml:space="preserve"> E, Alfaro C, </w:t>
      </w:r>
      <w:proofErr w:type="spellStart"/>
      <w:r w:rsidRPr="007214E1">
        <w:rPr>
          <w:rFonts w:ascii="Book Antiqua" w:hAnsi="Book Antiqua"/>
        </w:rPr>
        <w:t>Sarobe</w:t>
      </w:r>
      <w:proofErr w:type="spellEnd"/>
      <w:r w:rsidRPr="007214E1">
        <w:rPr>
          <w:rFonts w:ascii="Book Antiqua" w:hAnsi="Book Antiqua"/>
        </w:rPr>
        <w:t xml:space="preserve"> P, </w:t>
      </w:r>
      <w:proofErr w:type="spellStart"/>
      <w:r w:rsidRPr="007214E1">
        <w:rPr>
          <w:rFonts w:ascii="Book Antiqua" w:hAnsi="Book Antiqua"/>
        </w:rPr>
        <w:t>Lasarte</w:t>
      </w:r>
      <w:proofErr w:type="spellEnd"/>
      <w:r w:rsidRPr="007214E1">
        <w:rPr>
          <w:rFonts w:ascii="Book Antiqua" w:hAnsi="Book Antiqua"/>
        </w:rPr>
        <w:t xml:space="preserve"> JJ, Pérez-</w:t>
      </w:r>
      <w:proofErr w:type="spellStart"/>
      <w:r w:rsidRPr="007214E1">
        <w:rPr>
          <w:rFonts w:ascii="Book Antiqua" w:hAnsi="Book Antiqua"/>
        </w:rPr>
        <w:t>Gracia</w:t>
      </w:r>
      <w:proofErr w:type="spellEnd"/>
      <w:r w:rsidRPr="007214E1">
        <w:rPr>
          <w:rFonts w:ascii="Book Antiqua" w:hAnsi="Book Antiqua"/>
        </w:rPr>
        <w:t xml:space="preserve"> JL, </w:t>
      </w:r>
      <w:proofErr w:type="spellStart"/>
      <w:r w:rsidRPr="007214E1">
        <w:rPr>
          <w:rFonts w:ascii="Book Antiqua" w:hAnsi="Book Antiqua"/>
        </w:rPr>
        <w:t>Melero</w:t>
      </w:r>
      <w:proofErr w:type="spellEnd"/>
      <w:r w:rsidRPr="007214E1">
        <w:rPr>
          <w:rFonts w:ascii="Book Antiqua" w:hAnsi="Book Antiqua"/>
        </w:rPr>
        <w:t xml:space="preserve"> I, Prieto J. A clinical trial of CTLA-4 blockade with </w:t>
      </w:r>
      <w:proofErr w:type="spellStart"/>
      <w:r w:rsidRPr="007214E1">
        <w:rPr>
          <w:rFonts w:ascii="Book Antiqua" w:hAnsi="Book Antiqua"/>
        </w:rPr>
        <w:t>tremelimumab</w:t>
      </w:r>
      <w:proofErr w:type="spellEnd"/>
      <w:r w:rsidRPr="007214E1">
        <w:rPr>
          <w:rFonts w:ascii="Book Antiqua" w:hAnsi="Book Antiqua"/>
        </w:rPr>
        <w:t xml:space="preserve"> in patients with hepatocellular carcinoma and chronic hepatitis C. </w:t>
      </w:r>
      <w:r w:rsidRPr="007214E1">
        <w:rPr>
          <w:rFonts w:ascii="Book Antiqua" w:hAnsi="Book Antiqua"/>
          <w:i/>
        </w:rPr>
        <w:t>J Hepatol</w:t>
      </w:r>
      <w:r w:rsidRPr="007214E1">
        <w:rPr>
          <w:rFonts w:ascii="Book Antiqua" w:hAnsi="Book Antiqua"/>
        </w:rPr>
        <w:t xml:space="preserve"> 2013; </w:t>
      </w:r>
      <w:r w:rsidRPr="007214E1">
        <w:rPr>
          <w:rFonts w:ascii="Book Antiqua" w:hAnsi="Book Antiqua"/>
          <w:b/>
        </w:rPr>
        <w:t>59</w:t>
      </w:r>
      <w:r w:rsidRPr="007214E1">
        <w:rPr>
          <w:rFonts w:ascii="Book Antiqua" w:hAnsi="Book Antiqua"/>
        </w:rPr>
        <w:t>: 81-88 [PMID: 23466307 DOI: 10.1016/j.jhep.2013.02.022]</w:t>
      </w:r>
    </w:p>
    <w:p w14:paraId="3DEA0B24" w14:textId="636DBF48"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23 </w:t>
      </w:r>
      <w:r w:rsidRPr="007214E1">
        <w:rPr>
          <w:rFonts w:ascii="Book Antiqua" w:hAnsi="Book Antiqua"/>
          <w:b/>
        </w:rPr>
        <w:t>Kudo M,</w:t>
      </w:r>
      <w:r w:rsidR="00354FFA" w:rsidRPr="007214E1">
        <w:rPr>
          <w:rFonts w:ascii="Book Antiqua" w:hAnsi="Book Antiqua"/>
        </w:rPr>
        <w:t xml:space="preserve"> </w:t>
      </w:r>
      <w:r w:rsidRPr="007214E1">
        <w:rPr>
          <w:rFonts w:ascii="Book Antiqua" w:hAnsi="Book Antiqua"/>
        </w:rPr>
        <w:t xml:space="preserve">Finn RS, </w:t>
      </w:r>
      <w:proofErr w:type="spellStart"/>
      <w:r w:rsidRPr="007214E1">
        <w:rPr>
          <w:rFonts w:ascii="Book Antiqua" w:hAnsi="Book Antiqua"/>
        </w:rPr>
        <w:t>Edeline</w:t>
      </w:r>
      <w:proofErr w:type="spellEnd"/>
      <w:r w:rsidRPr="007214E1">
        <w:rPr>
          <w:rFonts w:ascii="Book Antiqua" w:hAnsi="Book Antiqua"/>
        </w:rPr>
        <w:t xml:space="preserve"> J, </w:t>
      </w:r>
      <w:proofErr w:type="spellStart"/>
      <w:r w:rsidRPr="007214E1">
        <w:rPr>
          <w:rFonts w:ascii="Book Antiqua" w:hAnsi="Book Antiqua"/>
        </w:rPr>
        <w:t>Cattan</w:t>
      </w:r>
      <w:proofErr w:type="spellEnd"/>
      <w:r w:rsidRPr="007214E1">
        <w:rPr>
          <w:rFonts w:ascii="Book Antiqua" w:hAnsi="Book Antiqua"/>
        </w:rPr>
        <w:t xml:space="preserve"> S, Ogasawara S, Palmer D, </w:t>
      </w:r>
      <w:proofErr w:type="spellStart"/>
      <w:r w:rsidRPr="007214E1">
        <w:rPr>
          <w:rFonts w:ascii="Book Antiqua" w:hAnsi="Book Antiqua"/>
        </w:rPr>
        <w:t>Verslype</w:t>
      </w:r>
      <w:proofErr w:type="spellEnd"/>
      <w:r w:rsidRPr="007214E1">
        <w:rPr>
          <w:rFonts w:ascii="Book Antiqua" w:hAnsi="Book Antiqua"/>
        </w:rPr>
        <w:t xml:space="preserve"> C, </w:t>
      </w:r>
      <w:proofErr w:type="spellStart"/>
      <w:r w:rsidRPr="007214E1">
        <w:rPr>
          <w:rFonts w:ascii="Book Antiqua" w:hAnsi="Book Antiqua"/>
        </w:rPr>
        <w:t>Zagonel</w:t>
      </w:r>
      <w:proofErr w:type="spellEnd"/>
      <w:r w:rsidRPr="007214E1">
        <w:rPr>
          <w:rFonts w:ascii="Book Antiqua" w:hAnsi="Book Antiqua"/>
        </w:rPr>
        <w:t xml:space="preserve"> V, </w:t>
      </w:r>
      <w:proofErr w:type="spellStart"/>
      <w:r w:rsidRPr="007214E1">
        <w:rPr>
          <w:rFonts w:ascii="Book Antiqua" w:hAnsi="Book Antiqua"/>
        </w:rPr>
        <w:t>Fartoux</w:t>
      </w:r>
      <w:proofErr w:type="spellEnd"/>
      <w:r w:rsidRPr="007214E1">
        <w:rPr>
          <w:rFonts w:ascii="Book Antiqua" w:hAnsi="Book Antiqua"/>
        </w:rPr>
        <w:t xml:space="preserve"> L, </w:t>
      </w:r>
      <w:proofErr w:type="spellStart"/>
      <w:r w:rsidRPr="007214E1">
        <w:rPr>
          <w:rFonts w:ascii="Book Antiqua" w:hAnsi="Book Antiqua"/>
        </w:rPr>
        <w:t>Vogal</w:t>
      </w:r>
      <w:proofErr w:type="spellEnd"/>
      <w:r w:rsidRPr="007214E1">
        <w:rPr>
          <w:rFonts w:ascii="Book Antiqua" w:hAnsi="Book Antiqua"/>
        </w:rPr>
        <w:t xml:space="preserve"> A, </w:t>
      </w:r>
      <w:proofErr w:type="spellStart"/>
      <w:r w:rsidRPr="007214E1">
        <w:rPr>
          <w:rFonts w:ascii="Book Antiqua" w:hAnsi="Book Antiqua"/>
        </w:rPr>
        <w:t>Sarker</w:t>
      </w:r>
      <w:proofErr w:type="spellEnd"/>
      <w:r w:rsidRPr="007214E1">
        <w:rPr>
          <w:rFonts w:ascii="Book Antiqua" w:hAnsi="Book Antiqua"/>
        </w:rPr>
        <w:t xml:space="preserve"> D, </w:t>
      </w:r>
      <w:proofErr w:type="spellStart"/>
      <w:r w:rsidRPr="007214E1">
        <w:rPr>
          <w:rFonts w:ascii="Book Antiqua" w:hAnsi="Book Antiqua"/>
        </w:rPr>
        <w:t>Verset</w:t>
      </w:r>
      <w:proofErr w:type="spellEnd"/>
      <w:r w:rsidRPr="007214E1">
        <w:rPr>
          <w:rFonts w:ascii="Book Antiqua" w:hAnsi="Book Antiqua"/>
        </w:rPr>
        <w:t xml:space="preserve"> G, Chan SL, Knox J, Daniele B, </w:t>
      </w:r>
      <w:proofErr w:type="spellStart"/>
      <w:r w:rsidRPr="007214E1">
        <w:rPr>
          <w:rFonts w:ascii="Book Antiqua" w:hAnsi="Book Antiqua"/>
        </w:rPr>
        <w:t>Gurary</w:t>
      </w:r>
      <w:proofErr w:type="spellEnd"/>
      <w:r w:rsidRPr="007214E1">
        <w:rPr>
          <w:rFonts w:ascii="Book Antiqua" w:hAnsi="Book Antiqua"/>
        </w:rPr>
        <w:t xml:space="preserve"> EB, Siegel AB, Jain L, Cheng AL, Zhu AX. Updated Efficacy and Safety of KEYNOTE-224: A Phase 2 Study of Pembrolizumab in Patients </w:t>
      </w:r>
      <w:r w:rsidR="007E741C" w:rsidRPr="007214E1">
        <w:rPr>
          <w:rFonts w:ascii="Book Antiqua" w:hAnsi="Book Antiqua"/>
        </w:rPr>
        <w:t xml:space="preserve">with </w:t>
      </w:r>
      <w:r w:rsidRPr="007214E1">
        <w:rPr>
          <w:rFonts w:ascii="Book Antiqua" w:hAnsi="Book Antiqua"/>
        </w:rPr>
        <w:t>Advanced Hepatocellular Carcinoma. Abstract presented at: Gastrointestinal Cancers Symposium (ASCO-GI) 2020, January 23-25, 2020; San Francisco, CA, U</w:t>
      </w:r>
      <w:r w:rsidR="00C22745" w:rsidRPr="007214E1">
        <w:rPr>
          <w:rFonts w:ascii="Book Antiqua" w:hAnsi="Book Antiqua"/>
        </w:rPr>
        <w:t>nited States</w:t>
      </w:r>
    </w:p>
    <w:p w14:paraId="56BA3753"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24 </w:t>
      </w:r>
      <w:r w:rsidRPr="007214E1">
        <w:rPr>
          <w:rFonts w:ascii="Book Antiqua" w:hAnsi="Book Antiqua"/>
          <w:b/>
        </w:rPr>
        <w:t>Larkin J</w:t>
      </w:r>
      <w:r w:rsidRPr="007214E1">
        <w:rPr>
          <w:rFonts w:ascii="Book Antiqua" w:hAnsi="Book Antiqua"/>
        </w:rPr>
        <w:t xml:space="preserve">, </w:t>
      </w:r>
      <w:proofErr w:type="spellStart"/>
      <w:r w:rsidRPr="007214E1">
        <w:rPr>
          <w:rFonts w:ascii="Book Antiqua" w:hAnsi="Book Antiqua"/>
        </w:rPr>
        <w:t>Chiarion-Sileni</w:t>
      </w:r>
      <w:proofErr w:type="spellEnd"/>
      <w:r w:rsidRPr="007214E1">
        <w:rPr>
          <w:rFonts w:ascii="Book Antiqua" w:hAnsi="Book Antiqua"/>
        </w:rPr>
        <w:t xml:space="preserve"> V, Gonzalez R, </w:t>
      </w:r>
      <w:proofErr w:type="spellStart"/>
      <w:r w:rsidRPr="007214E1">
        <w:rPr>
          <w:rFonts w:ascii="Book Antiqua" w:hAnsi="Book Antiqua"/>
        </w:rPr>
        <w:t>Grob</w:t>
      </w:r>
      <w:proofErr w:type="spellEnd"/>
      <w:r w:rsidRPr="007214E1">
        <w:rPr>
          <w:rFonts w:ascii="Book Antiqua" w:hAnsi="Book Antiqua"/>
        </w:rPr>
        <w:t xml:space="preserve"> JJ, </w:t>
      </w:r>
      <w:proofErr w:type="spellStart"/>
      <w:r w:rsidRPr="007214E1">
        <w:rPr>
          <w:rFonts w:ascii="Book Antiqua" w:hAnsi="Book Antiqua"/>
        </w:rPr>
        <w:t>Cowey</w:t>
      </w:r>
      <w:proofErr w:type="spellEnd"/>
      <w:r w:rsidRPr="007214E1">
        <w:rPr>
          <w:rFonts w:ascii="Book Antiqua" w:hAnsi="Book Antiqua"/>
        </w:rPr>
        <w:t xml:space="preserve"> CL, Lao CD, </w:t>
      </w:r>
      <w:proofErr w:type="spellStart"/>
      <w:r w:rsidRPr="007214E1">
        <w:rPr>
          <w:rFonts w:ascii="Book Antiqua" w:hAnsi="Book Antiqua"/>
        </w:rPr>
        <w:t>Schadendorf</w:t>
      </w:r>
      <w:proofErr w:type="spellEnd"/>
      <w:r w:rsidRPr="007214E1">
        <w:rPr>
          <w:rFonts w:ascii="Book Antiqua" w:hAnsi="Book Antiqua"/>
        </w:rPr>
        <w:t xml:space="preserve"> D, </w:t>
      </w:r>
      <w:proofErr w:type="spellStart"/>
      <w:r w:rsidRPr="007214E1">
        <w:rPr>
          <w:rFonts w:ascii="Book Antiqua" w:hAnsi="Book Antiqua"/>
        </w:rPr>
        <w:t>Dummer</w:t>
      </w:r>
      <w:proofErr w:type="spellEnd"/>
      <w:r w:rsidRPr="007214E1">
        <w:rPr>
          <w:rFonts w:ascii="Book Antiqua" w:hAnsi="Book Antiqua"/>
        </w:rPr>
        <w:t xml:space="preserve"> R, </w:t>
      </w:r>
      <w:proofErr w:type="spellStart"/>
      <w:r w:rsidRPr="007214E1">
        <w:rPr>
          <w:rFonts w:ascii="Book Antiqua" w:hAnsi="Book Antiqua"/>
        </w:rPr>
        <w:t>Smylie</w:t>
      </w:r>
      <w:proofErr w:type="spellEnd"/>
      <w:r w:rsidRPr="007214E1">
        <w:rPr>
          <w:rFonts w:ascii="Book Antiqua" w:hAnsi="Book Antiqua"/>
        </w:rPr>
        <w:t xml:space="preserve"> M, </w:t>
      </w:r>
      <w:proofErr w:type="spellStart"/>
      <w:r w:rsidRPr="007214E1">
        <w:rPr>
          <w:rFonts w:ascii="Book Antiqua" w:hAnsi="Book Antiqua"/>
        </w:rPr>
        <w:t>Rutkowski</w:t>
      </w:r>
      <w:proofErr w:type="spellEnd"/>
      <w:r w:rsidRPr="007214E1">
        <w:rPr>
          <w:rFonts w:ascii="Book Antiqua" w:hAnsi="Book Antiqua"/>
        </w:rPr>
        <w:t xml:space="preserve"> P, </w:t>
      </w:r>
      <w:proofErr w:type="spellStart"/>
      <w:r w:rsidRPr="007214E1">
        <w:rPr>
          <w:rFonts w:ascii="Book Antiqua" w:hAnsi="Book Antiqua"/>
        </w:rPr>
        <w:t>Ferrucci</w:t>
      </w:r>
      <w:proofErr w:type="spellEnd"/>
      <w:r w:rsidRPr="007214E1">
        <w:rPr>
          <w:rFonts w:ascii="Book Antiqua" w:hAnsi="Book Antiqua"/>
        </w:rPr>
        <w:t xml:space="preserve"> PF, Hill A, </w:t>
      </w:r>
      <w:proofErr w:type="spellStart"/>
      <w:r w:rsidRPr="007214E1">
        <w:rPr>
          <w:rFonts w:ascii="Book Antiqua" w:hAnsi="Book Antiqua"/>
        </w:rPr>
        <w:t>Wagstaff</w:t>
      </w:r>
      <w:proofErr w:type="spellEnd"/>
      <w:r w:rsidRPr="007214E1">
        <w:rPr>
          <w:rFonts w:ascii="Book Antiqua" w:hAnsi="Book Antiqua"/>
        </w:rPr>
        <w:t xml:space="preserve"> J, </w:t>
      </w:r>
      <w:proofErr w:type="spellStart"/>
      <w:r w:rsidRPr="007214E1">
        <w:rPr>
          <w:rFonts w:ascii="Book Antiqua" w:hAnsi="Book Antiqua"/>
        </w:rPr>
        <w:t>Carlino</w:t>
      </w:r>
      <w:proofErr w:type="spellEnd"/>
      <w:r w:rsidRPr="007214E1">
        <w:rPr>
          <w:rFonts w:ascii="Book Antiqua" w:hAnsi="Book Antiqua"/>
        </w:rPr>
        <w:t xml:space="preserve"> MS, </w:t>
      </w:r>
      <w:proofErr w:type="spellStart"/>
      <w:r w:rsidRPr="007214E1">
        <w:rPr>
          <w:rFonts w:ascii="Book Antiqua" w:hAnsi="Book Antiqua"/>
        </w:rPr>
        <w:t>Haanen</w:t>
      </w:r>
      <w:proofErr w:type="spellEnd"/>
      <w:r w:rsidRPr="007214E1">
        <w:rPr>
          <w:rFonts w:ascii="Book Antiqua" w:hAnsi="Book Antiqua"/>
        </w:rPr>
        <w:t xml:space="preserve"> JB, </w:t>
      </w:r>
      <w:proofErr w:type="spellStart"/>
      <w:r w:rsidRPr="007214E1">
        <w:rPr>
          <w:rFonts w:ascii="Book Antiqua" w:hAnsi="Book Antiqua"/>
        </w:rPr>
        <w:t>Maio</w:t>
      </w:r>
      <w:proofErr w:type="spellEnd"/>
      <w:r w:rsidRPr="007214E1">
        <w:rPr>
          <w:rFonts w:ascii="Book Antiqua" w:hAnsi="Book Antiqua"/>
        </w:rPr>
        <w:t xml:space="preserve"> M, Marquez-</w:t>
      </w:r>
      <w:proofErr w:type="spellStart"/>
      <w:r w:rsidRPr="007214E1">
        <w:rPr>
          <w:rFonts w:ascii="Book Antiqua" w:hAnsi="Book Antiqua"/>
        </w:rPr>
        <w:t>Rodas</w:t>
      </w:r>
      <w:proofErr w:type="spellEnd"/>
      <w:r w:rsidRPr="007214E1">
        <w:rPr>
          <w:rFonts w:ascii="Book Antiqua" w:hAnsi="Book Antiqua"/>
        </w:rPr>
        <w:t xml:space="preserve"> I, McArthur GA, </w:t>
      </w:r>
      <w:proofErr w:type="spellStart"/>
      <w:r w:rsidRPr="007214E1">
        <w:rPr>
          <w:rFonts w:ascii="Book Antiqua" w:hAnsi="Book Antiqua"/>
        </w:rPr>
        <w:t>Ascierto</w:t>
      </w:r>
      <w:proofErr w:type="spellEnd"/>
      <w:r w:rsidRPr="007214E1">
        <w:rPr>
          <w:rFonts w:ascii="Book Antiqua" w:hAnsi="Book Antiqua"/>
        </w:rPr>
        <w:t xml:space="preserve"> PA, Long GV, Callahan MK, </w:t>
      </w:r>
      <w:proofErr w:type="spellStart"/>
      <w:r w:rsidRPr="007214E1">
        <w:rPr>
          <w:rFonts w:ascii="Book Antiqua" w:hAnsi="Book Antiqua"/>
        </w:rPr>
        <w:t>Postow</w:t>
      </w:r>
      <w:proofErr w:type="spellEnd"/>
      <w:r w:rsidRPr="007214E1">
        <w:rPr>
          <w:rFonts w:ascii="Book Antiqua" w:hAnsi="Book Antiqua"/>
        </w:rPr>
        <w:t xml:space="preserve"> MA, Grossmann K, </w:t>
      </w:r>
      <w:proofErr w:type="spellStart"/>
      <w:r w:rsidRPr="007214E1">
        <w:rPr>
          <w:rFonts w:ascii="Book Antiqua" w:hAnsi="Book Antiqua"/>
        </w:rPr>
        <w:t>Sznol</w:t>
      </w:r>
      <w:proofErr w:type="spellEnd"/>
      <w:r w:rsidRPr="007214E1">
        <w:rPr>
          <w:rFonts w:ascii="Book Antiqua" w:hAnsi="Book Antiqua"/>
        </w:rPr>
        <w:t xml:space="preserve"> M, </w:t>
      </w:r>
      <w:proofErr w:type="spellStart"/>
      <w:r w:rsidRPr="007214E1">
        <w:rPr>
          <w:rFonts w:ascii="Book Antiqua" w:hAnsi="Book Antiqua"/>
        </w:rPr>
        <w:t>Dreno</w:t>
      </w:r>
      <w:proofErr w:type="spellEnd"/>
      <w:r w:rsidRPr="007214E1">
        <w:rPr>
          <w:rFonts w:ascii="Book Antiqua" w:hAnsi="Book Antiqua"/>
        </w:rPr>
        <w:t xml:space="preserve"> B, </w:t>
      </w:r>
      <w:proofErr w:type="spellStart"/>
      <w:r w:rsidRPr="007214E1">
        <w:rPr>
          <w:rFonts w:ascii="Book Antiqua" w:hAnsi="Book Antiqua"/>
        </w:rPr>
        <w:t>Bastholt</w:t>
      </w:r>
      <w:proofErr w:type="spellEnd"/>
      <w:r w:rsidRPr="007214E1">
        <w:rPr>
          <w:rFonts w:ascii="Book Antiqua" w:hAnsi="Book Antiqua"/>
        </w:rPr>
        <w:t xml:space="preserve"> L, Yang A, Rollin LM, </w:t>
      </w:r>
      <w:proofErr w:type="spellStart"/>
      <w:r w:rsidRPr="007214E1">
        <w:rPr>
          <w:rFonts w:ascii="Book Antiqua" w:hAnsi="Book Antiqua"/>
        </w:rPr>
        <w:t>Horak</w:t>
      </w:r>
      <w:proofErr w:type="spellEnd"/>
      <w:r w:rsidRPr="007214E1">
        <w:rPr>
          <w:rFonts w:ascii="Book Antiqua" w:hAnsi="Book Antiqua"/>
        </w:rPr>
        <w:t xml:space="preserve"> C, </w:t>
      </w:r>
      <w:proofErr w:type="spellStart"/>
      <w:r w:rsidRPr="007214E1">
        <w:rPr>
          <w:rFonts w:ascii="Book Antiqua" w:hAnsi="Book Antiqua"/>
        </w:rPr>
        <w:t>Hodi</w:t>
      </w:r>
      <w:proofErr w:type="spellEnd"/>
      <w:r w:rsidRPr="007214E1">
        <w:rPr>
          <w:rFonts w:ascii="Book Antiqua" w:hAnsi="Book Antiqua"/>
        </w:rPr>
        <w:t xml:space="preserve"> FS, </w:t>
      </w:r>
      <w:proofErr w:type="spellStart"/>
      <w:r w:rsidRPr="007214E1">
        <w:rPr>
          <w:rFonts w:ascii="Book Antiqua" w:hAnsi="Book Antiqua"/>
        </w:rPr>
        <w:t>Wolchok</w:t>
      </w:r>
      <w:proofErr w:type="spellEnd"/>
      <w:r w:rsidRPr="007214E1">
        <w:rPr>
          <w:rFonts w:ascii="Book Antiqua" w:hAnsi="Book Antiqua"/>
        </w:rPr>
        <w:t xml:space="preserve"> JD. Combined Nivolumab and Ipilimumab or Monotherapy in Untreated Melanoma. </w:t>
      </w:r>
      <w:r w:rsidRPr="007214E1">
        <w:rPr>
          <w:rFonts w:ascii="Book Antiqua" w:hAnsi="Book Antiqua"/>
          <w:i/>
        </w:rPr>
        <w:t xml:space="preserve">N </w:t>
      </w:r>
      <w:proofErr w:type="spellStart"/>
      <w:r w:rsidRPr="007214E1">
        <w:rPr>
          <w:rFonts w:ascii="Book Antiqua" w:hAnsi="Book Antiqua"/>
          <w:i/>
        </w:rPr>
        <w:t>Engl</w:t>
      </w:r>
      <w:proofErr w:type="spellEnd"/>
      <w:r w:rsidRPr="007214E1">
        <w:rPr>
          <w:rFonts w:ascii="Book Antiqua" w:hAnsi="Book Antiqua"/>
          <w:i/>
        </w:rPr>
        <w:t xml:space="preserve"> J Med</w:t>
      </w:r>
      <w:r w:rsidRPr="007214E1">
        <w:rPr>
          <w:rFonts w:ascii="Book Antiqua" w:hAnsi="Book Antiqua"/>
        </w:rPr>
        <w:t xml:space="preserve"> 2015; </w:t>
      </w:r>
      <w:r w:rsidRPr="007214E1">
        <w:rPr>
          <w:rFonts w:ascii="Book Antiqua" w:hAnsi="Book Antiqua"/>
          <w:b/>
        </w:rPr>
        <w:t>373</w:t>
      </w:r>
      <w:r w:rsidRPr="007214E1">
        <w:rPr>
          <w:rFonts w:ascii="Book Antiqua" w:hAnsi="Book Antiqua"/>
        </w:rPr>
        <w:t>: 23-34 [PMID: 26027431 DOI: 10.1056/NEJMoa1504030]</w:t>
      </w:r>
    </w:p>
    <w:p w14:paraId="40E93D6D"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25 </w:t>
      </w:r>
      <w:proofErr w:type="spellStart"/>
      <w:r w:rsidRPr="007214E1">
        <w:rPr>
          <w:rFonts w:ascii="Book Antiqua" w:hAnsi="Book Antiqua"/>
          <w:b/>
        </w:rPr>
        <w:t>Motzer</w:t>
      </w:r>
      <w:proofErr w:type="spellEnd"/>
      <w:r w:rsidRPr="007214E1">
        <w:rPr>
          <w:rFonts w:ascii="Book Antiqua" w:hAnsi="Book Antiqua"/>
          <w:b/>
        </w:rPr>
        <w:t xml:space="preserve"> RJ</w:t>
      </w:r>
      <w:r w:rsidRPr="007214E1">
        <w:rPr>
          <w:rFonts w:ascii="Book Antiqua" w:hAnsi="Book Antiqua"/>
        </w:rPr>
        <w:t xml:space="preserve">, </w:t>
      </w:r>
      <w:proofErr w:type="spellStart"/>
      <w:r w:rsidRPr="007214E1">
        <w:rPr>
          <w:rFonts w:ascii="Book Antiqua" w:hAnsi="Book Antiqua"/>
        </w:rPr>
        <w:t>Tannir</w:t>
      </w:r>
      <w:proofErr w:type="spellEnd"/>
      <w:r w:rsidRPr="007214E1">
        <w:rPr>
          <w:rFonts w:ascii="Book Antiqua" w:hAnsi="Book Antiqua"/>
        </w:rPr>
        <w:t xml:space="preserve"> NM, McDermott DF, </w:t>
      </w:r>
      <w:proofErr w:type="spellStart"/>
      <w:r w:rsidRPr="007214E1">
        <w:rPr>
          <w:rFonts w:ascii="Book Antiqua" w:hAnsi="Book Antiqua"/>
        </w:rPr>
        <w:t>Arén</w:t>
      </w:r>
      <w:proofErr w:type="spellEnd"/>
      <w:r w:rsidRPr="007214E1">
        <w:rPr>
          <w:rFonts w:ascii="Book Antiqua" w:hAnsi="Book Antiqua"/>
        </w:rPr>
        <w:t xml:space="preserve"> </w:t>
      </w:r>
      <w:proofErr w:type="spellStart"/>
      <w:r w:rsidRPr="007214E1">
        <w:rPr>
          <w:rFonts w:ascii="Book Antiqua" w:hAnsi="Book Antiqua"/>
        </w:rPr>
        <w:t>Frontera</w:t>
      </w:r>
      <w:proofErr w:type="spellEnd"/>
      <w:r w:rsidRPr="007214E1">
        <w:rPr>
          <w:rFonts w:ascii="Book Antiqua" w:hAnsi="Book Antiqua"/>
        </w:rPr>
        <w:t xml:space="preserve"> O, </w:t>
      </w:r>
      <w:proofErr w:type="spellStart"/>
      <w:r w:rsidRPr="007214E1">
        <w:rPr>
          <w:rFonts w:ascii="Book Antiqua" w:hAnsi="Book Antiqua"/>
        </w:rPr>
        <w:t>Melichar</w:t>
      </w:r>
      <w:proofErr w:type="spellEnd"/>
      <w:r w:rsidRPr="007214E1">
        <w:rPr>
          <w:rFonts w:ascii="Book Antiqua" w:hAnsi="Book Antiqua"/>
        </w:rPr>
        <w:t xml:space="preserve"> B, </w:t>
      </w:r>
      <w:proofErr w:type="spellStart"/>
      <w:r w:rsidRPr="007214E1">
        <w:rPr>
          <w:rFonts w:ascii="Book Antiqua" w:hAnsi="Book Antiqua"/>
        </w:rPr>
        <w:t>Choueiri</w:t>
      </w:r>
      <w:proofErr w:type="spellEnd"/>
      <w:r w:rsidRPr="007214E1">
        <w:rPr>
          <w:rFonts w:ascii="Book Antiqua" w:hAnsi="Book Antiqua"/>
        </w:rPr>
        <w:t xml:space="preserve"> TK, </w:t>
      </w:r>
      <w:proofErr w:type="spellStart"/>
      <w:r w:rsidRPr="007214E1">
        <w:rPr>
          <w:rFonts w:ascii="Book Antiqua" w:hAnsi="Book Antiqua"/>
        </w:rPr>
        <w:t>Plimack</w:t>
      </w:r>
      <w:proofErr w:type="spellEnd"/>
      <w:r w:rsidRPr="007214E1">
        <w:rPr>
          <w:rFonts w:ascii="Book Antiqua" w:hAnsi="Book Antiqua"/>
        </w:rPr>
        <w:t xml:space="preserve"> ER, </w:t>
      </w:r>
      <w:proofErr w:type="spellStart"/>
      <w:r w:rsidRPr="007214E1">
        <w:rPr>
          <w:rFonts w:ascii="Book Antiqua" w:hAnsi="Book Antiqua"/>
        </w:rPr>
        <w:t>Barthélémy</w:t>
      </w:r>
      <w:proofErr w:type="spellEnd"/>
      <w:r w:rsidRPr="007214E1">
        <w:rPr>
          <w:rFonts w:ascii="Book Antiqua" w:hAnsi="Book Antiqua"/>
        </w:rPr>
        <w:t xml:space="preserve"> P, </w:t>
      </w:r>
      <w:proofErr w:type="spellStart"/>
      <w:r w:rsidRPr="007214E1">
        <w:rPr>
          <w:rFonts w:ascii="Book Antiqua" w:hAnsi="Book Antiqua"/>
        </w:rPr>
        <w:t>Porta</w:t>
      </w:r>
      <w:proofErr w:type="spellEnd"/>
      <w:r w:rsidRPr="007214E1">
        <w:rPr>
          <w:rFonts w:ascii="Book Antiqua" w:hAnsi="Book Antiqua"/>
        </w:rPr>
        <w:t xml:space="preserve"> C, George S, </w:t>
      </w:r>
      <w:proofErr w:type="spellStart"/>
      <w:r w:rsidRPr="007214E1">
        <w:rPr>
          <w:rFonts w:ascii="Book Antiqua" w:hAnsi="Book Antiqua"/>
        </w:rPr>
        <w:t>Powles</w:t>
      </w:r>
      <w:proofErr w:type="spellEnd"/>
      <w:r w:rsidRPr="007214E1">
        <w:rPr>
          <w:rFonts w:ascii="Book Antiqua" w:hAnsi="Book Antiqua"/>
        </w:rPr>
        <w:t xml:space="preserve"> T, </w:t>
      </w:r>
      <w:proofErr w:type="spellStart"/>
      <w:r w:rsidRPr="007214E1">
        <w:rPr>
          <w:rFonts w:ascii="Book Antiqua" w:hAnsi="Book Antiqua"/>
        </w:rPr>
        <w:t>Donskov</w:t>
      </w:r>
      <w:proofErr w:type="spellEnd"/>
      <w:r w:rsidRPr="007214E1">
        <w:rPr>
          <w:rFonts w:ascii="Book Antiqua" w:hAnsi="Book Antiqua"/>
        </w:rPr>
        <w:t xml:space="preserve"> F, Neiman V, </w:t>
      </w:r>
      <w:proofErr w:type="spellStart"/>
      <w:r w:rsidRPr="007214E1">
        <w:rPr>
          <w:rFonts w:ascii="Book Antiqua" w:hAnsi="Book Antiqua"/>
        </w:rPr>
        <w:t>Kollmannsberger</w:t>
      </w:r>
      <w:proofErr w:type="spellEnd"/>
      <w:r w:rsidRPr="007214E1">
        <w:rPr>
          <w:rFonts w:ascii="Book Antiqua" w:hAnsi="Book Antiqua"/>
        </w:rPr>
        <w:t xml:space="preserve"> CK, Salman P, Gurney H, Hawkins R, </w:t>
      </w:r>
      <w:proofErr w:type="spellStart"/>
      <w:r w:rsidRPr="007214E1">
        <w:rPr>
          <w:rFonts w:ascii="Book Antiqua" w:hAnsi="Book Antiqua"/>
        </w:rPr>
        <w:t>Ravaud</w:t>
      </w:r>
      <w:proofErr w:type="spellEnd"/>
      <w:r w:rsidRPr="007214E1">
        <w:rPr>
          <w:rFonts w:ascii="Book Antiqua" w:hAnsi="Book Antiqua"/>
        </w:rPr>
        <w:t xml:space="preserve"> A, Grimm MO, </w:t>
      </w:r>
      <w:proofErr w:type="spellStart"/>
      <w:r w:rsidRPr="007214E1">
        <w:rPr>
          <w:rFonts w:ascii="Book Antiqua" w:hAnsi="Book Antiqua"/>
        </w:rPr>
        <w:t>Bracarda</w:t>
      </w:r>
      <w:proofErr w:type="spellEnd"/>
      <w:r w:rsidRPr="007214E1">
        <w:rPr>
          <w:rFonts w:ascii="Book Antiqua" w:hAnsi="Book Antiqua"/>
        </w:rPr>
        <w:t xml:space="preserve"> S, Barrios CH, Tomita Y, </w:t>
      </w:r>
      <w:proofErr w:type="spellStart"/>
      <w:r w:rsidRPr="007214E1">
        <w:rPr>
          <w:rFonts w:ascii="Book Antiqua" w:hAnsi="Book Antiqua"/>
        </w:rPr>
        <w:t>Castellano</w:t>
      </w:r>
      <w:proofErr w:type="spellEnd"/>
      <w:r w:rsidRPr="007214E1">
        <w:rPr>
          <w:rFonts w:ascii="Book Antiqua" w:hAnsi="Book Antiqua"/>
        </w:rPr>
        <w:t xml:space="preserve"> D, </w:t>
      </w:r>
      <w:proofErr w:type="spellStart"/>
      <w:r w:rsidRPr="007214E1">
        <w:rPr>
          <w:rFonts w:ascii="Book Antiqua" w:hAnsi="Book Antiqua"/>
        </w:rPr>
        <w:t>Rini</w:t>
      </w:r>
      <w:proofErr w:type="spellEnd"/>
      <w:r w:rsidRPr="007214E1">
        <w:rPr>
          <w:rFonts w:ascii="Book Antiqua" w:hAnsi="Book Antiqua"/>
        </w:rPr>
        <w:t xml:space="preserve"> BI, Chen AC, </w:t>
      </w:r>
      <w:proofErr w:type="spellStart"/>
      <w:r w:rsidRPr="007214E1">
        <w:rPr>
          <w:rFonts w:ascii="Book Antiqua" w:hAnsi="Book Antiqua"/>
        </w:rPr>
        <w:t>Mekan</w:t>
      </w:r>
      <w:proofErr w:type="spellEnd"/>
      <w:r w:rsidRPr="007214E1">
        <w:rPr>
          <w:rFonts w:ascii="Book Antiqua" w:hAnsi="Book Antiqua"/>
        </w:rPr>
        <w:t xml:space="preserve"> S, McHenry MB, Wind-Rotolo M, Doan J, Sharma P, Hammers HJ, </w:t>
      </w:r>
      <w:proofErr w:type="spellStart"/>
      <w:r w:rsidRPr="007214E1">
        <w:rPr>
          <w:rFonts w:ascii="Book Antiqua" w:hAnsi="Book Antiqua"/>
        </w:rPr>
        <w:t>Escudier</w:t>
      </w:r>
      <w:proofErr w:type="spellEnd"/>
      <w:r w:rsidRPr="007214E1">
        <w:rPr>
          <w:rFonts w:ascii="Book Antiqua" w:hAnsi="Book Antiqua"/>
        </w:rPr>
        <w:t xml:space="preserve"> B; </w:t>
      </w:r>
      <w:proofErr w:type="spellStart"/>
      <w:r w:rsidRPr="007214E1">
        <w:rPr>
          <w:rFonts w:ascii="Book Antiqua" w:hAnsi="Book Antiqua"/>
        </w:rPr>
        <w:t>CheckMate</w:t>
      </w:r>
      <w:proofErr w:type="spellEnd"/>
      <w:r w:rsidRPr="007214E1">
        <w:rPr>
          <w:rFonts w:ascii="Book Antiqua" w:hAnsi="Book Antiqua"/>
        </w:rPr>
        <w:t xml:space="preserve"> 214 Investigators. Nivolumab plus Ipilimumab versus Sunitinib in Advanced Renal-Cell Carcinoma. </w:t>
      </w:r>
      <w:r w:rsidRPr="007214E1">
        <w:rPr>
          <w:rFonts w:ascii="Book Antiqua" w:hAnsi="Book Antiqua"/>
          <w:i/>
        </w:rPr>
        <w:t xml:space="preserve">N </w:t>
      </w:r>
      <w:proofErr w:type="spellStart"/>
      <w:r w:rsidRPr="007214E1">
        <w:rPr>
          <w:rFonts w:ascii="Book Antiqua" w:hAnsi="Book Antiqua"/>
          <w:i/>
        </w:rPr>
        <w:t>Engl</w:t>
      </w:r>
      <w:proofErr w:type="spellEnd"/>
      <w:r w:rsidRPr="007214E1">
        <w:rPr>
          <w:rFonts w:ascii="Book Antiqua" w:hAnsi="Book Antiqua"/>
          <w:i/>
        </w:rPr>
        <w:t xml:space="preserve"> J Med</w:t>
      </w:r>
      <w:r w:rsidRPr="007214E1">
        <w:rPr>
          <w:rFonts w:ascii="Book Antiqua" w:hAnsi="Book Antiqua"/>
        </w:rPr>
        <w:t xml:space="preserve"> 2018; </w:t>
      </w:r>
      <w:r w:rsidRPr="007214E1">
        <w:rPr>
          <w:rFonts w:ascii="Book Antiqua" w:hAnsi="Book Antiqua"/>
          <w:b/>
        </w:rPr>
        <w:t>378</w:t>
      </w:r>
      <w:r w:rsidRPr="007214E1">
        <w:rPr>
          <w:rFonts w:ascii="Book Antiqua" w:hAnsi="Book Antiqua"/>
        </w:rPr>
        <w:t>: 1277-1290 [PMID: 29562145 DOI: 10.1056/NEJMoa1712126]</w:t>
      </w:r>
    </w:p>
    <w:p w14:paraId="4EE64302"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26 </w:t>
      </w:r>
      <w:r w:rsidRPr="007214E1">
        <w:rPr>
          <w:rFonts w:ascii="Book Antiqua" w:hAnsi="Book Antiqua"/>
          <w:b/>
        </w:rPr>
        <w:t>Hellmann MD</w:t>
      </w:r>
      <w:r w:rsidRPr="007214E1">
        <w:rPr>
          <w:rFonts w:ascii="Book Antiqua" w:hAnsi="Book Antiqua"/>
        </w:rPr>
        <w:t xml:space="preserve">, </w:t>
      </w:r>
      <w:proofErr w:type="spellStart"/>
      <w:r w:rsidRPr="007214E1">
        <w:rPr>
          <w:rFonts w:ascii="Book Antiqua" w:hAnsi="Book Antiqua"/>
        </w:rPr>
        <w:t>Ciuleanu</w:t>
      </w:r>
      <w:proofErr w:type="spellEnd"/>
      <w:r w:rsidRPr="007214E1">
        <w:rPr>
          <w:rFonts w:ascii="Book Antiqua" w:hAnsi="Book Antiqua"/>
        </w:rPr>
        <w:t xml:space="preserve"> TE, </w:t>
      </w:r>
      <w:proofErr w:type="spellStart"/>
      <w:r w:rsidRPr="007214E1">
        <w:rPr>
          <w:rFonts w:ascii="Book Antiqua" w:hAnsi="Book Antiqua"/>
        </w:rPr>
        <w:t>Pluzanski</w:t>
      </w:r>
      <w:proofErr w:type="spellEnd"/>
      <w:r w:rsidRPr="007214E1">
        <w:rPr>
          <w:rFonts w:ascii="Book Antiqua" w:hAnsi="Book Antiqua"/>
        </w:rPr>
        <w:t xml:space="preserve"> A, Lee JS, </w:t>
      </w:r>
      <w:proofErr w:type="spellStart"/>
      <w:r w:rsidRPr="007214E1">
        <w:rPr>
          <w:rFonts w:ascii="Book Antiqua" w:hAnsi="Book Antiqua"/>
        </w:rPr>
        <w:t>Otterson</w:t>
      </w:r>
      <w:proofErr w:type="spellEnd"/>
      <w:r w:rsidRPr="007214E1">
        <w:rPr>
          <w:rFonts w:ascii="Book Antiqua" w:hAnsi="Book Antiqua"/>
        </w:rPr>
        <w:t xml:space="preserve"> GA, </w:t>
      </w:r>
      <w:proofErr w:type="spellStart"/>
      <w:r w:rsidRPr="007214E1">
        <w:rPr>
          <w:rFonts w:ascii="Book Antiqua" w:hAnsi="Book Antiqua"/>
        </w:rPr>
        <w:t>Audigier-Valette</w:t>
      </w:r>
      <w:proofErr w:type="spellEnd"/>
      <w:r w:rsidRPr="007214E1">
        <w:rPr>
          <w:rFonts w:ascii="Book Antiqua" w:hAnsi="Book Antiqua"/>
        </w:rPr>
        <w:t xml:space="preserve"> C, </w:t>
      </w:r>
      <w:proofErr w:type="spellStart"/>
      <w:r w:rsidRPr="007214E1">
        <w:rPr>
          <w:rFonts w:ascii="Book Antiqua" w:hAnsi="Book Antiqua"/>
        </w:rPr>
        <w:t>Minenza</w:t>
      </w:r>
      <w:proofErr w:type="spellEnd"/>
      <w:r w:rsidRPr="007214E1">
        <w:rPr>
          <w:rFonts w:ascii="Book Antiqua" w:hAnsi="Book Antiqua"/>
        </w:rPr>
        <w:t xml:space="preserve"> E, </w:t>
      </w:r>
      <w:proofErr w:type="spellStart"/>
      <w:r w:rsidRPr="007214E1">
        <w:rPr>
          <w:rFonts w:ascii="Book Antiqua" w:hAnsi="Book Antiqua"/>
        </w:rPr>
        <w:t>Linardou</w:t>
      </w:r>
      <w:proofErr w:type="spellEnd"/>
      <w:r w:rsidRPr="007214E1">
        <w:rPr>
          <w:rFonts w:ascii="Book Antiqua" w:hAnsi="Book Antiqua"/>
        </w:rPr>
        <w:t xml:space="preserve"> H, Burgers S, Salman P, </w:t>
      </w:r>
      <w:proofErr w:type="spellStart"/>
      <w:r w:rsidRPr="007214E1">
        <w:rPr>
          <w:rFonts w:ascii="Book Antiqua" w:hAnsi="Book Antiqua"/>
        </w:rPr>
        <w:t>Borghaei</w:t>
      </w:r>
      <w:proofErr w:type="spellEnd"/>
      <w:r w:rsidRPr="007214E1">
        <w:rPr>
          <w:rFonts w:ascii="Book Antiqua" w:hAnsi="Book Antiqua"/>
        </w:rPr>
        <w:t xml:space="preserve"> H, </w:t>
      </w:r>
      <w:proofErr w:type="spellStart"/>
      <w:r w:rsidRPr="007214E1">
        <w:rPr>
          <w:rFonts w:ascii="Book Antiqua" w:hAnsi="Book Antiqua"/>
        </w:rPr>
        <w:lastRenderedPageBreak/>
        <w:t>Ramalingam</w:t>
      </w:r>
      <w:proofErr w:type="spellEnd"/>
      <w:r w:rsidRPr="007214E1">
        <w:rPr>
          <w:rFonts w:ascii="Book Antiqua" w:hAnsi="Book Antiqua"/>
        </w:rPr>
        <w:t xml:space="preserve"> SS, </w:t>
      </w:r>
      <w:proofErr w:type="spellStart"/>
      <w:r w:rsidRPr="007214E1">
        <w:rPr>
          <w:rFonts w:ascii="Book Antiqua" w:hAnsi="Book Antiqua"/>
        </w:rPr>
        <w:t>Brahmer</w:t>
      </w:r>
      <w:proofErr w:type="spellEnd"/>
      <w:r w:rsidRPr="007214E1">
        <w:rPr>
          <w:rFonts w:ascii="Book Antiqua" w:hAnsi="Book Antiqua"/>
        </w:rPr>
        <w:t xml:space="preserve"> J, </w:t>
      </w:r>
      <w:proofErr w:type="spellStart"/>
      <w:r w:rsidRPr="007214E1">
        <w:rPr>
          <w:rFonts w:ascii="Book Antiqua" w:hAnsi="Book Antiqua"/>
        </w:rPr>
        <w:t>Reck</w:t>
      </w:r>
      <w:proofErr w:type="spellEnd"/>
      <w:r w:rsidRPr="007214E1">
        <w:rPr>
          <w:rFonts w:ascii="Book Antiqua" w:hAnsi="Book Antiqua"/>
        </w:rPr>
        <w:t xml:space="preserve"> M, O'Byrne KJ, Geese WJ, Green G, Chang H, </w:t>
      </w:r>
      <w:proofErr w:type="spellStart"/>
      <w:r w:rsidRPr="007214E1">
        <w:rPr>
          <w:rFonts w:ascii="Book Antiqua" w:hAnsi="Book Antiqua"/>
        </w:rPr>
        <w:t>Szustakowski</w:t>
      </w:r>
      <w:proofErr w:type="spellEnd"/>
      <w:r w:rsidRPr="007214E1">
        <w:rPr>
          <w:rFonts w:ascii="Book Antiqua" w:hAnsi="Book Antiqua"/>
        </w:rPr>
        <w:t xml:space="preserve"> J, </w:t>
      </w:r>
      <w:proofErr w:type="spellStart"/>
      <w:r w:rsidRPr="007214E1">
        <w:rPr>
          <w:rFonts w:ascii="Book Antiqua" w:hAnsi="Book Antiqua"/>
        </w:rPr>
        <w:t>Bhagavatheeswaran</w:t>
      </w:r>
      <w:proofErr w:type="spellEnd"/>
      <w:r w:rsidRPr="007214E1">
        <w:rPr>
          <w:rFonts w:ascii="Book Antiqua" w:hAnsi="Book Antiqua"/>
        </w:rPr>
        <w:t xml:space="preserve"> P, Healey D, Fu Y, Nathan F, Paz-Ares L. Nivolumab plus Ipilimumab in Lung Cancer with a High Tumor Mutational Burden. </w:t>
      </w:r>
      <w:r w:rsidRPr="007214E1">
        <w:rPr>
          <w:rFonts w:ascii="Book Antiqua" w:hAnsi="Book Antiqua"/>
          <w:i/>
        </w:rPr>
        <w:t xml:space="preserve">N </w:t>
      </w:r>
      <w:proofErr w:type="spellStart"/>
      <w:r w:rsidRPr="007214E1">
        <w:rPr>
          <w:rFonts w:ascii="Book Antiqua" w:hAnsi="Book Antiqua"/>
          <w:i/>
        </w:rPr>
        <w:t>Engl</w:t>
      </w:r>
      <w:proofErr w:type="spellEnd"/>
      <w:r w:rsidRPr="007214E1">
        <w:rPr>
          <w:rFonts w:ascii="Book Antiqua" w:hAnsi="Book Antiqua"/>
          <w:i/>
        </w:rPr>
        <w:t xml:space="preserve"> J Med</w:t>
      </w:r>
      <w:r w:rsidRPr="007214E1">
        <w:rPr>
          <w:rFonts w:ascii="Book Antiqua" w:hAnsi="Book Antiqua"/>
        </w:rPr>
        <w:t xml:space="preserve"> 2018; </w:t>
      </w:r>
      <w:r w:rsidRPr="007214E1">
        <w:rPr>
          <w:rFonts w:ascii="Book Antiqua" w:hAnsi="Book Antiqua"/>
          <w:b/>
        </w:rPr>
        <w:t>378</w:t>
      </w:r>
      <w:r w:rsidRPr="007214E1">
        <w:rPr>
          <w:rFonts w:ascii="Book Antiqua" w:hAnsi="Book Antiqua"/>
        </w:rPr>
        <w:t>: 2093-2104 [PMID: 29658845 DOI: 10.1056/NEJMoa1801946]</w:t>
      </w:r>
    </w:p>
    <w:p w14:paraId="72A57758"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27 </w:t>
      </w:r>
      <w:r w:rsidRPr="007214E1">
        <w:rPr>
          <w:rFonts w:ascii="Book Antiqua" w:hAnsi="Book Antiqua"/>
          <w:b/>
        </w:rPr>
        <w:t>Hellmann MD</w:t>
      </w:r>
      <w:r w:rsidRPr="007214E1">
        <w:rPr>
          <w:rFonts w:ascii="Book Antiqua" w:hAnsi="Book Antiqua"/>
        </w:rPr>
        <w:t xml:space="preserve">, Paz-Ares L, </w:t>
      </w:r>
      <w:proofErr w:type="spellStart"/>
      <w:r w:rsidRPr="007214E1">
        <w:rPr>
          <w:rFonts w:ascii="Book Antiqua" w:hAnsi="Book Antiqua"/>
        </w:rPr>
        <w:t>Bernabe</w:t>
      </w:r>
      <w:proofErr w:type="spellEnd"/>
      <w:r w:rsidRPr="007214E1">
        <w:rPr>
          <w:rFonts w:ascii="Book Antiqua" w:hAnsi="Book Antiqua"/>
        </w:rPr>
        <w:t xml:space="preserve"> Caro R, </w:t>
      </w:r>
      <w:proofErr w:type="spellStart"/>
      <w:r w:rsidRPr="007214E1">
        <w:rPr>
          <w:rFonts w:ascii="Book Antiqua" w:hAnsi="Book Antiqua"/>
        </w:rPr>
        <w:t>Zurawski</w:t>
      </w:r>
      <w:proofErr w:type="spellEnd"/>
      <w:r w:rsidRPr="007214E1">
        <w:rPr>
          <w:rFonts w:ascii="Book Antiqua" w:hAnsi="Book Antiqua"/>
        </w:rPr>
        <w:t xml:space="preserve"> B, Kim SW, </w:t>
      </w:r>
      <w:proofErr w:type="spellStart"/>
      <w:r w:rsidRPr="007214E1">
        <w:rPr>
          <w:rFonts w:ascii="Book Antiqua" w:hAnsi="Book Antiqua"/>
        </w:rPr>
        <w:t>Carcereny</w:t>
      </w:r>
      <w:proofErr w:type="spellEnd"/>
      <w:r w:rsidRPr="007214E1">
        <w:rPr>
          <w:rFonts w:ascii="Book Antiqua" w:hAnsi="Book Antiqua"/>
        </w:rPr>
        <w:t xml:space="preserve"> Costa E, Park K, </w:t>
      </w:r>
      <w:proofErr w:type="spellStart"/>
      <w:r w:rsidRPr="007214E1">
        <w:rPr>
          <w:rFonts w:ascii="Book Antiqua" w:hAnsi="Book Antiqua"/>
        </w:rPr>
        <w:t>Alexandru</w:t>
      </w:r>
      <w:proofErr w:type="spellEnd"/>
      <w:r w:rsidRPr="007214E1">
        <w:rPr>
          <w:rFonts w:ascii="Book Antiqua" w:hAnsi="Book Antiqua"/>
        </w:rPr>
        <w:t xml:space="preserve"> A, </w:t>
      </w:r>
      <w:proofErr w:type="spellStart"/>
      <w:r w:rsidRPr="007214E1">
        <w:rPr>
          <w:rFonts w:ascii="Book Antiqua" w:hAnsi="Book Antiqua"/>
        </w:rPr>
        <w:t>Lupinacci</w:t>
      </w:r>
      <w:proofErr w:type="spellEnd"/>
      <w:r w:rsidRPr="007214E1">
        <w:rPr>
          <w:rFonts w:ascii="Book Antiqua" w:hAnsi="Book Antiqua"/>
        </w:rPr>
        <w:t xml:space="preserve"> L, de la Mora Jimenez E, Sakai H, Albert I, </w:t>
      </w:r>
      <w:proofErr w:type="spellStart"/>
      <w:r w:rsidRPr="007214E1">
        <w:rPr>
          <w:rFonts w:ascii="Book Antiqua" w:hAnsi="Book Antiqua"/>
        </w:rPr>
        <w:t>Vergnenegre</w:t>
      </w:r>
      <w:proofErr w:type="spellEnd"/>
      <w:r w:rsidRPr="007214E1">
        <w:rPr>
          <w:rFonts w:ascii="Book Antiqua" w:hAnsi="Book Antiqua"/>
        </w:rPr>
        <w:t xml:space="preserve"> A, Peters S, </w:t>
      </w:r>
      <w:proofErr w:type="spellStart"/>
      <w:r w:rsidRPr="007214E1">
        <w:rPr>
          <w:rFonts w:ascii="Book Antiqua" w:hAnsi="Book Antiqua"/>
        </w:rPr>
        <w:t>Syrigos</w:t>
      </w:r>
      <w:proofErr w:type="spellEnd"/>
      <w:r w:rsidRPr="007214E1">
        <w:rPr>
          <w:rFonts w:ascii="Book Antiqua" w:hAnsi="Book Antiqua"/>
        </w:rPr>
        <w:t xml:space="preserve"> K, </w:t>
      </w:r>
      <w:proofErr w:type="spellStart"/>
      <w:r w:rsidRPr="007214E1">
        <w:rPr>
          <w:rFonts w:ascii="Book Antiqua" w:hAnsi="Book Antiqua"/>
        </w:rPr>
        <w:t>Barlesi</w:t>
      </w:r>
      <w:proofErr w:type="spellEnd"/>
      <w:r w:rsidRPr="007214E1">
        <w:rPr>
          <w:rFonts w:ascii="Book Antiqua" w:hAnsi="Book Antiqua"/>
        </w:rPr>
        <w:t xml:space="preserve"> F, </w:t>
      </w:r>
      <w:proofErr w:type="spellStart"/>
      <w:r w:rsidRPr="007214E1">
        <w:rPr>
          <w:rFonts w:ascii="Book Antiqua" w:hAnsi="Book Antiqua"/>
        </w:rPr>
        <w:t>Reck</w:t>
      </w:r>
      <w:proofErr w:type="spellEnd"/>
      <w:r w:rsidRPr="007214E1">
        <w:rPr>
          <w:rFonts w:ascii="Book Antiqua" w:hAnsi="Book Antiqua"/>
        </w:rPr>
        <w:t xml:space="preserve"> M, </w:t>
      </w:r>
      <w:proofErr w:type="spellStart"/>
      <w:r w:rsidRPr="007214E1">
        <w:rPr>
          <w:rFonts w:ascii="Book Antiqua" w:hAnsi="Book Antiqua"/>
        </w:rPr>
        <w:t>Borghaei</w:t>
      </w:r>
      <w:proofErr w:type="spellEnd"/>
      <w:r w:rsidRPr="007214E1">
        <w:rPr>
          <w:rFonts w:ascii="Book Antiqua" w:hAnsi="Book Antiqua"/>
        </w:rPr>
        <w:t xml:space="preserve"> H, </w:t>
      </w:r>
      <w:proofErr w:type="spellStart"/>
      <w:r w:rsidRPr="007214E1">
        <w:rPr>
          <w:rFonts w:ascii="Book Antiqua" w:hAnsi="Book Antiqua"/>
        </w:rPr>
        <w:t>Brahmer</w:t>
      </w:r>
      <w:proofErr w:type="spellEnd"/>
      <w:r w:rsidRPr="007214E1">
        <w:rPr>
          <w:rFonts w:ascii="Book Antiqua" w:hAnsi="Book Antiqua"/>
        </w:rPr>
        <w:t xml:space="preserve"> JR, O'Byrne KJ, Geese WJ, </w:t>
      </w:r>
      <w:proofErr w:type="spellStart"/>
      <w:r w:rsidRPr="007214E1">
        <w:rPr>
          <w:rFonts w:ascii="Book Antiqua" w:hAnsi="Book Antiqua"/>
        </w:rPr>
        <w:t>Bhagavatheeswaran</w:t>
      </w:r>
      <w:proofErr w:type="spellEnd"/>
      <w:r w:rsidRPr="007214E1">
        <w:rPr>
          <w:rFonts w:ascii="Book Antiqua" w:hAnsi="Book Antiqua"/>
        </w:rPr>
        <w:t xml:space="preserve"> P, </w:t>
      </w:r>
      <w:proofErr w:type="spellStart"/>
      <w:r w:rsidRPr="007214E1">
        <w:rPr>
          <w:rFonts w:ascii="Book Antiqua" w:hAnsi="Book Antiqua"/>
        </w:rPr>
        <w:t>Rabindran</w:t>
      </w:r>
      <w:proofErr w:type="spellEnd"/>
      <w:r w:rsidRPr="007214E1">
        <w:rPr>
          <w:rFonts w:ascii="Book Antiqua" w:hAnsi="Book Antiqua"/>
        </w:rPr>
        <w:t xml:space="preserve"> SK, </w:t>
      </w:r>
      <w:proofErr w:type="spellStart"/>
      <w:r w:rsidRPr="007214E1">
        <w:rPr>
          <w:rFonts w:ascii="Book Antiqua" w:hAnsi="Book Antiqua"/>
        </w:rPr>
        <w:t>Kasinathan</w:t>
      </w:r>
      <w:proofErr w:type="spellEnd"/>
      <w:r w:rsidRPr="007214E1">
        <w:rPr>
          <w:rFonts w:ascii="Book Antiqua" w:hAnsi="Book Antiqua"/>
        </w:rPr>
        <w:t xml:space="preserve"> RS, Nathan FE, Ramalingam SS. Nivolumab plus Ipilimumab in Advanced Non-Small-Cell Lung Cancer. </w:t>
      </w:r>
      <w:r w:rsidRPr="007214E1">
        <w:rPr>
          <w:rFonts w:ascii="Book Antiqua" w:hAnsi="Book Antiqua"/>
          <w:i/>
        </w:rPr>
        <w:t xml:space="preserve">N </w:t>
      </w:r>
      <w:proofErr w:type="spellStart"/>
      <w:r w:rsidRPr="007214E1">
        <w:rPr>
          <w:rFonts w:ascii="Book Antiqua" w:hAnsi="Book Antiqua"/>
          <w:i/>
        </w:rPr>
        <w:t>Engl</w:t>
      </w:r>
      <w:proofErr w:type="spellEnd"/>
      <w:r w:rsidRPr="007214E1">
        <w:rPr>
          <w:rFonts w:ascii="Book Antiqua" w:hAnsi="Book Antiqua"/>
          <w:i/>
        </w:rPr>
        <w:t xml:space="preserve"> J Med</w:t>
      </w:r>
      <w:r w:rsidRPr="007214E1">
        <w:rPr>
          <w:rFonts w:ascii="Book Antiqua" w:hAnsi="Book Antiqua"/>
        </w:rPr>
        <w:t xml:space="preserve"> 2019; </w:t>
      </w:r>
      <w:r w:rsidRPr="007214E1">
        <w:rPr>
          <w:rFonts w:ascii="Book Antiqua" w:hAnsi="Book Antiqua"/>
          <w:b/>
        </w:rPr>
        <w:t>381</w:t>
      </w:r>
      <w:r w:rsidRPr="007214E1">
        <w:rPr>
          <w:rFonts w:ascii="Book Antiqua" w:hAnsi="Book Antiqua"/>
        </w:rPr>
        <w:t>: 2020-2031 [PMID: 31562796 DOI: 10.1056/NEJMoa1910231]</w:t>
      </w:r>
    </w:p>
    <w:p w14:paraId="50E06015"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28 </w:t>
      </w:r>
      <w:proofErr w:type="spellStart"/>
      <w:r w:rsidRPr="007214E1">
        <w:rPr>
          <w:rFonts w:ascii="Book Antiqua" w:hAnsi="Book Antiqua"/>
          <w:b/>
        </w:rPr>
        <w:t>Hodi</w:t>
      </w:r>
      <w:proofErr w:type="spellEnd"/>
      <w:r w:rsidRPr="007214E1">
        <w:rPr>
          <w:rFonts w:ascii="Book Antiqua" w:hAnsi="Book Antiqua"/>
          <w:b/>
        </w:rPr>
        <w:t xml:space="preserve"> FS</w:t>
      </w:r>
      <w:r w:rsidRPr="007214E1">
        <w:rPr>
          <w:rFonts w:ascii="Book Antiqua" w:hAnsi="Book Antiqua"/>
        </w:rPr>
        <w:t xml:space="preserve">, </w:t>
      </w:r>
      <w:proofErr w:type="spellStart"/>
      <w:r w:rsidRPr="007214E1">
        <w:rPr>
          <w:rFonts w:ascii="Book Antiqua" w:hAnsi="Book Antiqua"/>
        </w:rPr>
        <w:t>Chiarion-Sileni</w:t>
      </w:r>
      <w:proofErr w:type="spellEnd"/>
      <w:r w:rsidRPr="007214E1">
        <w:rPr>
          <w:rFonts w:ascii="Book Antiqua" w:hAnsi="Book Antiqua"/>
        </w:rPr>
        <w:t xml:space="preserve"> V, Gonzalez R, </w:t>
      </w:r>
      <w:proofErr w:type="spellStart"/>
      <w:r w:rsidRPr="007214E1">
        <w:rPr>
          <w:rFonts w:ascii="Book Antiqua" w:hAnsi="Book Antiqua"/>
        </w:rPr>
        <w:t>Grob</w:t>
      </w:r>
      <w:proofErr w:type="spellEnd"/>
      <w:r w:rsidRPr="007214E1">
        <w:rPr>
          <w:rFonts w:ascii="Book Antiqua" w:hAnsi="Book Antiqua"/>
        </w:rPr>
        <w:t xml:space="preserve"> JJ, </w:t>
      </w:r>
      <w:proofErr w:type="spellStart"/>
      <w:r w:rsidRPr="007214E1">
        <w:rPr>
          <w:rFonts w:ascii="Book Antiqua" w:hAnsi="Book Antiqua"/>
        </w:rPr>
        <w:t>Rutkowski</w:t>
      </w:r>
      <w:proofErr w:type="spellEnd"/>
      <w:r w:rsidRPr="007214E1">
        <w:rPr>
          <w:rFonts w:ascii="Book Antiqua" w:hAnsi="Book Antiqua"/>
        </w:rPr>
        <w:t xml:space="preserve"> P, </w:t>
      </w:r>
      <w:proofErr w:type="spellStart"/>
      <w:r w:rsidRPr="007214E1">
        <w:rPr>
          <w:rFonts w:ascii="Book Antiqua" w:hAnsi="Book Antiqua"/>
        </w:rPr>
        <w:t>Cowey</w:t>
      </w:r>
      <w:proofErr w:type="spellEnd"/>
      <w:r w:rsidRPr="007214E1">
        <w:rPr>
          <w:rFonts w:ascii="Book Antiqua" w:hAnsi="Book Antiqua"/>
        </w:rPr>
        <w:t xml:space="preserve"> CL, Lao CD, </w:t>
      </w:r>
      <w:proofErr w:type="spellStart"/>
      <w:r w:rsidRPr="007214E1">
        <w:rPr>
          <w:rFonts w:ascii="Book Antiqua" w:hAnsi="Book Antiqua"/>
        </w:rPr>
        <w:t>Schadendorf</w:t>
      </w:r>
      <w:proofErr w:type="spellEnd"/>
      <w:r w:rsidRPr="007214E1">
        <w:rPr>
          <w:rFonts w:ascii="Book Antiqua" w:hAnsi="Book Antiqua"/>
        </w:rPr>
        <w:t xml:space="preserve"> D, </w:t>
      </w:r>
      <w:proofErr w:type="spellStart"/>
      <w:r w:rsidRPr="007214E1">
        <w:rPr>
          <w:rFonts w:ascii="Book Antiqua" w:hAnsi="Book Antiqua"/>
        </w:rPr>
        <w:t>Wagstaff</w:t>
      </w:r>
      <w:proofErr w:type="spellEnd"/>
      <w:r w:rsidRPr="007214E1">
        <w:rPr>
          <w:rFonts w:ascii="Book Antiqua" w:hAnsi="Book Antiqua"/>
        </w:rPr>
        <w:t xml:space="preserve"> J, </w:t>
      </w:r>
      <w:proofErr w:type="spellStart"/>
      <w:r w:rsidRPr="007214E1">
        <w:rPr>
          <w:rFonts w:ascii="Book Antiqua" w:hAnsi="Book Antiqua"/>
        </w:rPr>
        <w:t>Dummer</w:t>
      </w:r>
      <w:proofErr w:type="spellEnd"/>
      <w:r w:rsidRPr="007214E1">
        <w:rPr>
          <w:rFonts w:ascii="Book Antiqua" w:hAnsi="Book Antiqua"/>
        </w:rPr>
        <w:t xml:space="preserve"> R, </w:t>
      </w:r>
      <w:proofErr w:type="spellStart"/>
      <w:r w:rsidRPr="007214E1">
        <w:rPr>
          <w:rFonts w:ascii="Book Antiqua" w:hAnsi="Book Antiqua"/>
        </w:rPr>
        <w:t>Ferrucci</w:t>
      </w:r>
      <w:proofErr w:type="spellEnd"/>
      <w:r w:rsidRPr="007214E1">
        <w:rPr>
          <w:rFonts w:ascii="Book Antiqua" w:hAnsi="Book Antiqua"/>
        </w:rPr>
        <w:t xml:space="preserve"> PF, Smylie M, Hill A, Hogg D, Marquez-</w:t>
      </w:r>
      <w:proofErr w:type="spellStart"/>
      <w:r w:rsidRPr="007214E1">
        <w:rPr>
          <w:rFonts w:ascii="Book Antiqua" w:hAnsi="Book Antiqua"/>
        </w:rPr>
        <w:t>Rodas</w:t>
      </w:r>
      <w:proofErr w:type="spellEnd"/>
      <w:r w:rsidRPr="007214E1">
        <w:rPr>
          <w:rFonts w:ascii="Book Antiqua" w:hAnsi="Book Antiqua"/>
        </w:rPr>
        <w:t xml:space="preserve"> I, Jiang J, Rizzo J, Larkin J, </w:t>
      </w:r>
      <w:proofErr w:type="spellStart"/>
      <w:r w:rsidRPr="007214E1">
        <w:rPr>
          <w:rFonts w:ascii="Book Antiqua" w:hAnsi="Book Antiqua"/>
        </w:rPr>
        <w:t>Wolchok</w:t>
      </w:r>
      <w:proofErr w:type="spellEnd"/>
      <w:r w:rsidRPr="007214E1">
        <w:rPr>
          <w:rFonts w:ascii="Book Antiqua" w:hAnsi="Book Antiqua"/>
        </w:rPr>
        <w:t xml:space="preserve"> JD. Nivolumab plus ipilimumab or nivolumab alone versus ipilimumab alone in advanced melanoma (</w:t>
      </w:r>
      <w:proofErr w:type="spellStart"/>
      <w:r w:rsidRPr="007214E1">
        <w:rPr>
          <w:rFonts w:ascii="Book Antiqua" w:hAnsi="Book Antiqua"/>
        </w:rPr>
        <w:t>CheckMate</w:t>
      </w:r>
      <w:proofErr w:type="spellEnd"/>
      <w:r w:rsidRPr="007214E1">
        <w:rPr>
          <w:rFonts w:ascii="Book Antiqua" w:hAnsi="Book Antiqua"/>
        </w:rPr>
        <w:t xml:space="preserve"> 067): 4-year outcomes of a </w:t>
      </w:r>
      <w:proofErr w:type="spellStart"/>
      <w:r w:rsidRPr="007214E1">
        <w:rPr>
          <w:rFonts w:ascii="Book Antiqua" w:hAnsi="Book Antiqua"/>
        </w:rPr>
        <w:t>multicentre</w:t>
      </w:r>
      <w:proofErr w:type="spellEnd"/>
      <w:r w:rsidRPr="007214E1">
        <w:rPr>
          <w:rFonts w:ascii="Book Antiqua" w:hAnsi="Book Antiqua"/>
        </w:rPr>
        <w:t xml:space="preserve">, </w:t>
      </w:r>
      <w:proofErr w:type="spellStart"/>
      <w:r w:rsidRPr="007214E1">
        <w:rPr>
          <w:rFonts w:ascii="Book Antiqua" w:hAnsi="Book Antiqua"/>
        </w:rPr>
        <w:t>randomised</w:t>
      </w:r>
      <w:proofErr w:type="spellEnd"/>
      <w:r w:rsidRPr="007214E1">
        <w:rPr>
          <w:rFonts w:ascii="Book Antiqua" w:hAnsi="Book Antiqua"/>
        </w:rPr>
        <w:t xml:space="preserve">, phase 3 trial. </w:t>
      </w:r>
      <w:r w:rsidRPr="007214E1">
        <w:rPr>
          <w:rFonts w:ascii="Book Antiqua" w:hAnsi="Book Antiqua"/>
          <w:i/>
        </w:rPr>
        <w:t>Lancet Oncol</w:t>
      </w:r>
      <w:r w:rsidRPr="007214E1">
        <w:rPr>
          <w:rFonts w:ascii="Book Antiqua" w:hAnsi="Book Antiqua"/>
        </w:rPr>
        <w:t xml:space="preserve"> 2018; </w:t>
      </w:r>
      <w:r w:rsidRPr="007214E1">
        <w:rPr>
          <w:rFonts w:ascii="Book Antiqua" w:hAnsi="Book Antiqua"/>
          <w:b/>
        </w:rPr>
        <w:t>19</w:t>
      </w:r>
      <w:r w:rsidRPr="007214E1">
        <w:rPr>
          <w:rFonts w:ascii="Book Antiqua" w:hAnsi="Book Antiqua"/>
        </w:rPr>
        <w:t>: 1480-1492 [PMID: 30361170 DOI: 10.1016/S1470-2045(18)30700-9]</w:t>
      </w:r>
    </w:p>
    <w:p w14:paraId="4AD2DBDF" w14:textId="1AFCF420"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29 </w:t>
      </w:r>
      <w:proofErr w:type="spellStart"/>
      <w:r w:rsidRPr="007214E1">
        <w:rPr>
          <w:rFonts w:ascii="Book Antiqua" w:hAnsi="Book Antiqua"/>
          <w:b/>
        </w:rPr>
        <w:t>Yau</w:t>
      </w:r>
      <w:proofErr w:type="spellEnd"/>
      <w:r w:rsidRPr="007214E1">
        <w:rPr>
          <w:rFonts w:ascii="Book Antiqua" w:hAnsi="Book Antiqua"/>
          <w:b/>
        </w:rPr>
        <w:t xml:space="preserve"> T,</w:t>
      </w:r>
      <w:r w:rsidR="00354FFA" w:rsidRPr="007214E1">
        <w:rPr>
          <w:rFonts w:ascii="Book Antiqua" w:hAnsi="Book Antiqua"/>
        </w:rPr>
        <w:t xml:space="preserve"> </w:t>
      </w:r>
      <w:r w:rsidRPr="007214E1">
        <w:rPr>
          <w:rFonts w:ascii="Book Antiqua" w:hAnsi="Book Antiqua"/>
        </w:rPr>
        <w:t>Kang Y-K, Kim T-Y, El-</w:t>
      </w:r>
      <w:proofErr w:type="spellStart"/>
      <w:r w:rsidRPr="007214E1">
        <w:rPr>
          <w:rFonts w:ascii="Book Antiqua" w:hAnsi="Book Antiqua"/>
        </w:rPr>
        <w:t>Khoueiry</w:t>
      </w:r>
      <w:proofErr w:type="spellEnd"/>
      <w:r w:rsidRPr="007214E1">
        <w:rPr>
          <w:rFonts w:ascii="Book Antiqua" w:hAnsi="Book Antiqua"/>
        </w:rPr>
        <w:t xml:space="preserve"> AB, Santoro A, </w:t>
      </w:r>
      <w:proofErr w:type="spellStart"/>
      <w:r w:rsidRPr="007214E1">
        <w:rPr>
          <w:rFonts w:ascii="Book Antiqua" w:hAnsi="Book Antiqua"/>
        </w:rPr>
        <w:t>Sangro</w:t>
      </w:r>
      <w:proofErr w:type="spellEnd"/>
      <w:r w:rsidRPr="007214E1">
        <w:rPr>
          <w:rFonts w:ascii="Book Antiqua" w:hAnsi="Book Antiqua"/>
        </w:rPr>
        <w:t xml:space="preserve"> B, </w:t>
      </w:r>
      <w:proofErr w:type="spellStart"/>
      <w:r w:rsidRPr="007214E1">
        <w:rPr>
          <w:rFonts w:ascii="Book Antiqua" w:hAnsi="Book Antiqua"/>
        </w:rPr>
        <w:t>Melero</w:t>
      </w:r>
      <w:proofErr w:type="spellEnd"/>
      <w:r w:rsidRPr="007214E1">
        <w:rPr>
          <w:rFonts w:ascii="Book Antiqua" w:hAnsi="Book Antiqua"/>
        </w:rPr>
        <w:t xml:space="preserve"> I, </w:t>
      </w:r>
      <w:proofErr w:type="spellStart"/>
      <w:r w:rsidRPr="007214E1">
        <w:rPr>
          <w:rFonts w:ascii="Book Antiqua" w:hAnsi="Book Antiqua"/>
        </w:rPr>
        <w:t>Kudo</w:t>
      </w:r>
      <w:proofErr w:type="spellEnd"/>
      <w:r w:rsidRPr="007214E1">
        <w:rPr>
          <w:rFonts w:ascii="Book Antiqua" w:hAnsi="Book Antiqua"/>
        </w:rPr>
        <w:t xml:space="preserve"> M, </w:t>
      </w:r>
      <w:proofErr w:type="spellStart"/>
      <w:r w:rsidRPr="007214E1">
        <w:rPr>
          <w:rFonts w:ascii="Book Antiqua" w:hAnsi="Book Antiqua"/>
        </w:rPr>
        <w:t>Hou</w:t>
      </w:r>
      <w:proofErr w:type="spellEnd"/>
      <w:r w:rsidRPr="007214E1">
        <w:rPr>
          <w:rFonts w:ascii="Book Antiqua" w:hAnsi="Book Antiqua"/>
        </w:rPr>
        <w:t xml:space="preserve"> M, </w:t>
      </w:r>
      <w:proofErr w:type="spellStart"/>
      <w:r w:rsidRPr="007214E1">
        <w:rPr>
          <w:rFonts w:ascii="Book Antiqua" w:hAnsi="Book Antiqua"/>
        </w:rPr>
        <w:t>Matilla</w:t>
      </w:r>
      <w:proofErr w:type="spellEnd"/>
      <w:r w:rsidRPr="007214E1">
        <w:rPr>
          <w:rFonts w:ascii="Book Antiqua" w:hAnsi="Book Antiqua"/>
        </w:rPr>
        <w:t xml:space="preserve"> A, </w:t>
      </w:r>
      <w:proofErr w:type="spellStart"/>
      <w:r w:rsidRPr="007214E1">
        <w:rPr>
          <w:rFonts w:ascii="Book Antiqua" w:hAnsi="Book Antiqua"/>
        </w:rPr>
        <w:t>Tovoli</w:t>
      </w:r>
      <w:proofErr w:type="spellEnd"/>
      <w:r w:rsidRPr="007214E1">
        <w:rPr>
          <w:rFonts w:ascii="Book Antiqua" w:hAnsi="Book Antiqua"/>
        </w:rPr>
        <w:t xml:space="preserve"> F, Knox JJ, He AR, El-</w:t>
      </w:r>
      <w:proofErr w:type="spellStart"/>
      <w:r w:rsidRPr="007214E1">
        <w:rPr>
          <w:rFonts w:ascii="Book Antiqua" w:hAnsi="Book Antiqua"/>
        </w:rPr>
        <w:t>Rayes</w:t>
      </w:r>
      <w:proofErr w:type="spellEnd"/>
      <w:r w:rsidRPr="007214E1">
        <w:rPr>
          <w:rFonts w:ascii="Book Antiqua" w:hAnsi="Book Antiqua"/>
        </w:rPr>
        <w:t xml:space="preserve"> BF, Acosta-Rivera M, Neely J, </w:t>
      </w:r>
      <w:proofErr w:type="spellStart"/>
      <w:r w:rsidRPr="007214E1">
        <w:rPr>
          <w:rFonts w:ascii="Book Antiqua" w:hAnsi="Book Antiqua"/>
        </w:rPr>
        <w:t>Shen</w:t>
      </w:r>
      <w:proofErr w:type="spellEnd"/>
      <w:r w:rsidRPr="007214E1">
        <w:rPr>
          <w:rFonts w:ascii="Book Antiqua" w:hAnsi="Book Antiqua"/>
        </w:rPr>
        <w:t xml:space="preserve"> Y, </w:t>
      </w:r>
      <w:proofErr w:type="spellStart"/>
      <w:r w:rsidRPr="007214E1">
        <w:rPr>
          <w:rFonts w:ascii="Book Antiqua" w:hAnsi="Book Antiqua"/>
        </w:rPr>
        <w:t>Baccan</w:t>
      </w:r>
      <w:proofErr w:type="spellEnd"/>
      <w:r w:rsidRPr="007214E1">
        <w:rPr>
          <w:rFonts w:ascii="Book Antiqua" w:hAnsi="Book Antiqua"/>
        </w:rPr>
        <w:t xml:space="preserve"> C, </w:t>
      </w:r>
      <w:proofErr w:type="spellStart"/>
      <w:r w:rsidRPr="007214E1">
        <w:rPr>
          <w:rFonts w:ascii="Book Antiqua" w:hAnsi="Book Antiqua"/>
        </w:rPr>
        <w:t>Dela</w:t>
      </w:r>
      <w:proofErr w:type="spellEnd"/>
      <w:r w:rsidRPr="007214E1">
        <w:rPr>
          <w:rFonts w:ascii="Book Antiqua" w:hAnsi="Book Antiqua"/>
        </w:rPr>
        <w:t xml:space="preserve"> Cruz CM, Hsu C. Nivolumab (NIVO) + ipilimumab (IPI) combination therapy in patients (pts) with advanced hepatocellular carcinoma (</w:t>
      </w:r>
      <w:proofErr w:type="spellStart"/>
      <w:r w:rsidRPr="007214E1">
        <w:rPr>
          <w:rFonts w:ascii="Book Antiqua" w:hAnsi="Book Antiqua"/>
        </w:rPr>
        <w:t>aHCC</w:t>
      </w:r>
      <w:proofErr w:type="spellEnd"/>
      <w:r w:rsidRPr="007214E1">
        <w:rPr>
          <w:rFonts w:ascii="Book Antiqua" w:hAnsi="Book Antiqua"/>
        </w:rPr>
        <w:t xml:space="preserve">): Results from </w:t>
      </w:r>
      <w:proofErr w:type="spellStart"/>
      <w:r w:rsidRPr="007214E1">
        <w:rPr>
          <w:rFonts w:ascii="Book Antiqua" w:hAnsi="Book Antiqua"/>
        </w:rPr>
        <w:t>CheckMate</w:t>
      </w:r>
      <w:proofErr w:type="spellEnd"/>
      <w:r w:rsidRPr="007214E1">
        <w:rPr>
          <w:rFonts w:ascii="Book Antiqua" w:hAnsi="Book Antiqua"/>
        </w:rPr>
        <w:t xml:space="preserve"> 040. </w:t>
      </w:r>
      <w:r w:rsidR="00320213" w:rsidRPr="007214E1">
        <w:rPr>
          <w:rFonts w:ascii="Book Antiqua" w:hAnsi="Book Antiqua"/>
          <w:i/>
        </w:rPr>
        <w:t>J Clin Oncol</w:t>
      </w:r>
      <w:r w:rsidR="00C22745" w:rsidRPr="007214E1">
        <w:rPr>
          <w:rFonts w:ascii="Book Antiqua" w:hAnsi="Book Antiqua"/>
        </w:rPr>
        <w:t xml:space="preserve"> </w:t>
      </w:r>
      <w:r w:rsidRPr="007214E1">
        <w:rPr>
          <w:rFonts w:ascii="Book Antiqua" w:hAnsi="Book Antiqua"/>
        </w:rPr>
        <w:t>2019;</w:t>
      </w:r>
      <w:r w:rsidR="00C22745" w:rsidRPr="007214E1">
        <w:rPr>
          <w:rFonts w:ascii="Book Antiqua" w:hAnsi="Book Antiqua"/>
        </w:rPr>
        <w:t xml:space="preserve"> </w:t>
      </w:r>
      <w:r w:rsidRPr="007214E1">
        <w:rPr>
          <w:rFonts w:ascii="Book Antiqua" w:hAnsi="Book Antiqua"/>
          <w:b/>
        </w:rPr>
        <w:t>37(15_suppl)</w:t>
      </w:r>
      <w:r w:rsidRPr="007214E1">
        <w:rPr>
          <w:rFonts w:ascii="Book Antiqua" w:hAnsi="Book Antiqua"/>
        </w:rPr>
        <w:t>:</w:t>
      </w:r>
      <w:r w:rsidR="00C22745" w:rsidRPr="007214E1">
        <w:rPr>
          <w:rFonts w:ascii="Book Antiqua" w:hAnsi="Book Antiqua"/>
        </w:rPr>
        <w:t xml:space="preserve"> 4012</w:t>
      </w:r>
      <w:r w:rsidRPr="007214E1">
        <w:rPr>
          <w:rFonts w:ascii="Book Antiqua" w:hAnsi="Book Antiqua"/>
        </w:rPr>
        <w:t xml:space="preserve"> [DOI: 10.1200/JCO.2019.37.15_suppl.4012]</w:t>
      </w:r>
    </w:p>
    <w:p w14:paraId="1649D67A" w14:textId="06F9C321"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30 </w:t>
      </w:r>
      <w:r w:rsidRPr="007214E1">
        <w:rPr>
          <w:rFonts w:ascii="Book Antiqua" w:hAnsi="Book Antiqua"/>
          <w:b/>
        </w:rPr>
        <w:t xml:space="preserve">Bristol-Myers Squibb. </w:t>
      </w:r>
      <w:r w:rsidRPr="007214E1">
        <w:rPr>
          <w:rFonts w:ascii="Book Antiqua" w:hAnsi="Book Antiqua"/>
        </w:rPr>
        <w:t xml:space="preserve">An Immuno-therapy Study to Evaluate the Effectiveness, Safety and Tolerability of Nivolumab or Nivolumab in Combination </w:t>
      </w:r>
      <w:r w:rsidR="00FB042D" w:rsidRPr="007214E1">
        <w:rPr>
          <w:rFonts w:ascii="Book Antiqua" w:hAnsi="Book Antiqua"/>
        </w:rPr>
        <w:t xml:space="preserve">with </w:t>
      </w:r>
      <w:r w:rsidRPr="007214E1">
        <w:rPr>
          <w:rFonts w:ascii="Book Antiqua" w:hAnsi="Book Antiqua"/>
        </w:rPr>
        <w:t xml:space="preserve">Other Agents in Patients </w:t>
      </w:r>
      <w:r w:rsidR="00FB042D" w:rsidRPr="007214E1">
        <w:rPr>
          <w:rFonts w:ascii="Book Antiqua" w:hAnsi="Book Antiqua"/>
        </w:rPr>
        <w:t xml:space="preserve">with </w:t>
      </w:r>
      <w:r w:rsidR="00354FFA" w:rsidRPr="007214E1">
        <w:rPr>
          <w:rFonts w:ascii="Book Antiqua" w:hAnsi="Book Antiqua"/>
        </w:rPr>
        <w:t xml:space="preserve">Advanced Liver Cancer. </w:t>
      </w:r>
      <w:r w:rsidRPr="007214E1">
        <w:rPr>
          <w:rFonts w:ascii="Book Antiqua" w:hAnsi="Book Antiqua"/>
        </w:rPr>
        <w:t xml:space="preserve">In: </w:t>
      </w:r>
      <w:r w:rsidRPr="007214E1">
        <w:rPr>
          <w:rFonts w:ascii="Book Antiqua" w:hAnsi="Book Antiqua"/>
        </w:rPr>
        <w:lastRenderedPageBreak/>
        <w:t>ClinicalTrials.g</w:t>
      </w:r>
      <w:r w:rsidR="00FB042D" w:rsidRPr="007214E1">
        <w:rPr>
          <w:rFonts w:ascii="Book Antiqua" w:hAnsi="Book Antiqua"/>
        </w:rPr>
        <w:t>ov [Internet]. Bethesda (MD): US</w:t>
      </w:r>
      <w:r w:rsidRPr="007214E1">
        <w:rPr>
          <w:rFonts w:ascii="Book Antiqua" w:hAnsi="Book Antiqua"/>
        </w:rPr>
        <w:t xml:space="preserve"> National Librar</w:t>
      </w:r>
      <w:r w:rsidR="00FB042D" w:rsidRPr="007214E1">
        <w:rPr>
          <w:rFonts w:ascii="Book Antiqua" w:hAnsi="Book Antiqua"/>
        </w:rPr>
        <w:t xml:space="preserve">y of Medicine. </w:t>
      </w:r>
      <w:r w:rsidRPr="007214E1">
        <w:rPr>
          <w:rFonts w:ascii="Book Antiqua" w:hAnsi="Book Antiqua"/>
        </w:rPr>
        <w:t>Available from: https://Clin</w:t>
      </w:r>
      <w:r w:rsidR="00FB042D" w:rsidRPr="007214E1">
        <w:rPr>
          <w:rFonts w:ascii="Book Antiqua" w:hAnsi="Book Antiqua"/>
        </w:rPr>
        <w:t>icalTrials.gov/show/NCT01658878</w:t>
      </w:r>
    </w:p>
    <w:p w14:paraId="29B5BF58" w14:textId="6A47BC36"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31 </w:t>
      </w:r>
      <w:r w:rsidRPr="007214E1">
        <w:rPr>
          <w:rFonts w:ascii="Book Antiqua" w:hAnsi="Book Antiqua"/>
          <w:b/>
        </w:rPr>
        <w:t>El-</w:t>
      </w:r>
      <w:proofErr w:type="spellStart"/>
      <w:r w:rsidRPr="007214E1">
        <w:rPr>
          <w:rFonts w:ascii="Book Antiqua" w:hAnsi="Book Antiqua"/>
          <w:b/>
        </w:rPr>
        <w:t>Khoueiry</w:t>
      </w:r>
      <w:proofErr w:type="spellEnd"/>
      <w:r w:rsidRPr="007214E1">
        <w:rPr>
          <w:rFonts w:ascii="Book Antiqua" w:hAnsi="Book Antiqua"/>
          <w:b/>
        </w:rPr>
        <w:t xml:space="preserve"> AB,</w:t>
      </w:r>
      <w:r w:rsidR="00354FFA" w:rsidRPr="007214E1">
        <w:rPr>
          <w:rFonts w:ascii="Book Antiqua" w:hAnsi="Book Antiqua"/>
        </w:rPr>
        <w:t xml:space="preserve"> </w:t>
      </w:r>
      <w:r w:rsidRPr="007214E1">
        <w:rPr>
          <w:rFonts w:ascii="Book Antiqua" w:hAnsi="Book Antiqua"/>
        </w:rPr>
        <w:t xml:space="preserve">Hsu C, Kang Y, Kim T, Santoro A, </w:t>
      </w:r>
      <w:proofErr w:type="spellStart"/>
      <w:r w:rsidRPr="007214E1">
        <w:rPr>
          <w:rFonts w:ascii="Book Antiqua" w:hAnsi="Book Antiqua"/>
        </w:rPr>
        <w:t>Sangro</w:t>
      </w:r>
      <w:proofErr w:type="spellEnd"/>
      <w:r w:rsidRPr="007214E1">
        <w:rPr>
          <w:rFonts w:ascii="Book Antiqua" w:hAnsi="Book Antiqua"/>
        </w:rPr>
        <w:t xml:space="preserve"> B, </w:t>
      </w:r>
      <w:proofErr w:type="spellStart"/>
      <w:r w:rsidRPr="007214E1">
        <w:rPr>
          <w:rFonts w:ascii="Book Antiqua" w:hAnsi="Book Antiqua"/>
        </w:rPr>
        <w:t>Melero</w:t>
      </w:r>
      <w:proofErr w:type="spellEnd"/>
      <w:r w:rsidRPr="007214E1">
        <w:rPr>
          <w:rFonts w:ascii="Book Antiqua" w:hAnsi="Book Antiqua"/>
        </w:rPr>
        <w:t xml:space="preserve"> I, </w:t>
      </w:r>
      <w:proofErr w:type="spellStart"/>
      <w:r w:rsidRPr="007214E1">
        <w:rPr>
          <w:rFonts w:ascii="Book Antiqua" w:hAnsi="Book Antiqua"/>
        </w:rPr>
        <w:t>Kudo</w:t>
      </w:r>
      <w:proofErr w:type="spellEnd"/>
      <w:r w:rsidRPr="007214E1">
        <w:rPr>
          <w:rFonts w:ascii="Book Antiqua" w:hAnsi="Book Antiqua"/>
        </w:rPr>
        <w:t xml:space="preserve"> M, </w:t>
      </w:r>
      <w:proofErr w:type="spellStart"/>
      <w:r w:rsidRPr="007214E1">
        <w:rPr>
          <w:rFonts w:ascii="Book Antiqua" w:hAnsi="Book Antiqua"/>
        </w:rPr>
        <w:t>Hou</w:t>
      </w:r>
      <w:proofErr w:type="spellEnd"/>
      <w:r w:rsidRPr="007214E1">
        <w:rPr>
          <w:rFonts w:ascii="Book Antiqua" w:hAnsi="Book Antiqua"/>
        </w:rPr>
        <w:t xml:space="preserve"> M, </w:t>
      </w:r>
      <w:proofErr w:type="spellStart"/>
      <w:r w:rsidRPr="007214E1">
        <w:rPr>
          <w:rFonts w:ascii="Book Antiqua" w:hAnsi="Book Antiqua"/>
        </w:rPr>
        <w:t>Matilla</w:t>
      </w:r>
      <w:proofErr w:type="spellEnd"/>
      <w:r w:rsidRPr="007214E1">
        <w:rPr>
          <w:rFonts w:ascii="Book Antiqua" w:hAnsi="Book Antiqua"/>
        </w:rPr>
        <w:t xml:space="preserve"> A, </w:t>
      </w:r>
      <w:proofErr w:type="spellStart"/>
      <w:r w:rsidRPr="007214E1">
        <w:rPr>
          <w:rFonts w:ascii="Book Antiqua" w:hAnsi="Book Antiqua"/>
        </w:rPr>
        <w:t>Tovoli</w:t>
      </w:r>
      <w:proofErr w:type="spellEnd"/>
      <w:r w:rsidRPr="007214E1">
        <w:rPr>
          <w:rFonts w:ascii="Book Antiqua" w:hAnsi="Book Antiqua"/>
        </w:rPr>
        <w:t xml:space="preserve"> F, Knox JJ, He AR, El-</w:t>
      </w:r>
      <w:proofErr w:type="spellStart"/>
      <w:r w:rsidRPr="007214E1">
        <w:rPr>
          <w:rFonts w:ascii="Book Antiqua" w:hAnsi="Book Antiqua"/>
        </w:rPr>
        <w:t>Rayes</w:t>
      </w:r>
      <w:proofErr w:type="spellEnd"/>
      <w:r w:rsidRPr="007214E1">
        <w:rPr>
          <w:rFonts w:ascii="Book Antiqua" w:hAnsi="Book Antiqua"/>
        </w:rPr>
        <w:t xml:space="preserve"> B, Acosta-Rivera M, Neely J, Shen Y, Anderson J, </w:t>
      </w:r>
      <w:proofErr w:type="spellStart"/>
      <w:r w:rsidRPr="007214E1">
        <w:rPr>
          <w:rFonts w:ascii="Book Antiqua" w:hAnsi="Book Antiqua"/>
        </w:rPr>
        <w:t>Yau</w:t>
      </w:r>
      <w:proofErr w:type="spellEnd"/>
      <w:r w:rsidRPr="007214E1">
        <w:rPr>
          <w:rFonts w:ascii="Book Antiqua" w:hAnsi="Book Antiqua"/>
        </w:rPr>
        <w:t xml:space="preserve"> T. Safety Profile of Nivolumab Plus Ipilimumab Combination Therapy in Patients With Advanced Hepatocellular Carcinoma in the </w:t>
      </w:r>
      <w:proofErr w:type="spellStart"/>
      <w:r w:rsidRPr="007214E1">
        <w:rPr>
          <w:rFonts w:ascii="Book Antiqua" w:hAnsi="Book Antiqua"/>
        </w:rPr>
        <w:t>CheckMate</w:t>
      </w:r>
      <w:proofErr w:type="spellEnd"/>
      <w:r w:rsidRPr="007214E1">
        <w:rPr>
          <w:rFonts w:ascii="Book Antiqua" w:hAnsi="Book Antiqua"/>
        </w:rPr>
        <w:t xml:space="preserve"> 040 Study. </w:t>
      </w:r>
      <w:r w:rsidR="00E47000" w:rsidRPr="007214E1">
        <w:rPr>
          <w:rFonts w:ascii="Book Antiqua" w:hAnsi="Book Antiqua"/>
        </w:rPr>
        <w:t xml:space="preserve">In: </w:t>
      </w:r>
      <w:r w:rsidRPr="007214E1">
        <w:rPr>
          <w:rFonts w:ascii="Book Antiqua" w:hAnsi="Book Antiqua"/>
        </w:rPr>
        <w:t>Proceedings of the 13th International Live</w:t>
      </w:r>
      <w:r w:rsidR="00E47000" w:rsidRPr="007214E1">
        <w:rPr>
          <w:rFonts w:ascii="Book Antiqua" w:hAnsi="Book Antiqua"/>
        </w:rPr>
        <w:t>r Cancer Association Conference</w:t>
      </w:r>
      <w:r w:rsidRPr="007214E1">
        <w:rPr>
          <w:rFonts w:ascii="Book Antiqua" w:hAnsi="Book Antiqua"/>
        </w:rPr>
        <w:t xml:space="preserve"> 2019; Chicago, IL, U</w:t>
      </w:r>
      <w:r w:rsidR="00F743B9" w:rsidRPr="007214E1">
        <w:rPr>
          <w:rFonts w:ascii="Book Antiqua" w:hAnsi="Book Antiqua"/>
        </w:rPr>
        <w:t>nited States</w:t>
      </w:r>
    </w:p>
    <w:p w14:paraId="3C7A4F36" w14:textId="79A3D4E4"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32 </w:t>
      </w:r>
      <w:r w:rsidRPr="007214E1">
        <w:rPr>
          <w:rFonts w:ascii="Book Antiqua" w:hAnsi="Book Antiqua"/>
          <w:b/>
        </w:rPr>
        <w:t xml:space="preserve">Bristol-Myers Squibb. </w:t>
      </w:r>
      <w:r w:rsidRPr="007214E1">
        <w:rPr>
          <w:rFonts w:ascii="Book Antiqua" w:hAnsi="Book Antiqua"/>
        </w:rPr>
        <w:t xml:space="preserve">U.S. Food and Drug Administration Accepts for Priority Review Bristol-Myers Squibb’s Application for </w:t>
      </w:r>
      <w:proofErr w:type="spellStart"/>
      <w:r w:rsidRPr="007214E1">
        <w:rPr>
          <w:rFonts w:ascii="Book Antiqua" w:hAnsi="Book Antiqua"/>
        </w:rPr>
        <w:t>Opdivo</w:t>
      </w:r>
      <w:proofErr w:type="spellEnd"/>
      <w:r w:rsidRPr="007214E1">
        <w:rPr>
          <w:rFonts w:ascii="Book Antiqua" w:hAnsi="Book Antiqua"/>
        </w:rPr>
        <w:t xml:space="preserve"> (</w:t>
      </w:r>
      <w:proofErr w:type="spellStart"/>
      <w:r w:rsidRPr="007214E1">
        <w:rPr>
          <w:rFonts w:ascii="Book Antiqua" w:hAnsi="Book Antiqua"/>
        </w:rPr>
        <w:t>nivolumab</w:t>
      </w:r>
      <w:proofErr w:type="spellEnd"/>
      <w:r w:rsidRPr="007214E1">
        <w:rPr>
          <w:rFonts w:ascii="Book Antiqua" w:hAnsi="Book Antiqua"/>
        </w:rPr>
        <w:t xml:space="preserve">) Plus </w:t>
      </w:r>
      <w:proofErr w:type="spellStart"/>
      <w:r w:rsidRPr="007214E1">
        <w:rPr>
          <w:rFonts w:ascii="Book Antiqua" w:hAnsi="Book Antiqua"/>
        </w:rPr>
        <w:t>Yervoy</w:t>
      </w:r>
      <w:proofErr w:type="spellEnd"/>
      <w:r w:rsidRPr="007214E1">
        <w:rPr>
          <w:rFonts w:ascii="Book Antiqua" w:hAnsi="Book Antiqua"/>
        </w:rPr>
        <w:t xml:space="preserve"> (ipilimumab) Combination for Patients with Previously Treated Advanced Hepatocellular Carc</w:t>
      </w:r>
      <w:r w:rsidR="00E47000" w:rsidRPr="007214E1">
        <w:rPr>
          <w:rFonts w:ascii="Book Antiqua" w:hAnsi="Book Antiqua"/>
        </w:rPr>
        <w:t>inoma 2019</w:t>
      </w:r>
      <w:r w:rsidRPr="007214E1">
        <w:rPr>
          <w:rFonts w:ascii="Book Antiqua" w:hAnsi="Book Antiqua"/>
        </w:rPr>
        <w:t>. In: Bris</w:t>
      </w:r>
      <w:r w:rsidR="00354FFA" w:rsidRPr="007214E1">
        <w:rPr>
          <w:rFonts w:ascii="Book Antiqua" w:hAnsi="Book Antiqua"/>
        </w:rPr>
        <w:t xml:space="preserve">tol-Myers Squibb [Internet]. </w:t>
      </w:r>
      <w:r w:rsidRPr="007214E1">
        <w:rPr>
          <w:rFonts w:ascii="Book Antiqua" w:hAnsi="Book Antiqua"/>
        </w:rPr>
        <w:t xml:space="preserve">Available at: </w:t>
      </w:r>
      <w:bookmarkStart w:id="14" w:name="OLE_LINK14"/>
      <w:bookmarkStart w:id="15" w:name="OLE_LINK15"/>
      <w:r w:rsidRPr="007214E1">
        <w:rPr>
          <w:rFonts w:ascii="Book Antiqua" w:hAnsi="Book Antiqua"/>
        </w:rPr>
        <w:t>https://news.bms.com/press-release/corporatefinancial-news/us-food-and-drug-administration-accepts-priority-review-bris-0</w:t>
      </w:r>
    </w:p>
    <w:bookmarkEnd w:id="14"/>
    <w:bookmarkEnd w:id="15"/>
    <w:p w14:paraId="3B3DA5F5" w14:textId="1E47A5C1"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33 </w:t>
      </w:r>
      <w:r w:rsidRPr="007214E1">
        <w:rPr>
          <w:rFonts w:ascii="Book Antiqua" w:hAnsi="Book Antiqua"/>
          <w:b/>
        </w:rPr>
        <w:t xml:space="preserve">Bristol-Myers Squibb. </w:t>
      </w:r>
      <w:r w:rsidRPr="007214E1">
        <w:rPr>
          <w:rFonts w:ascii="Book Antiqua" w:hAnsi="Book Antiqua"/>
        </w:rPr>
        <w:t xml:space="preserve">A Study of Nivolumab in Combination </w:t>
      </w:r>
      <w:r w:rsidR="00944151" w:rsidRPr="007214E1">
        <w:rPr>
          <w:rFonts w:ascii="Book Antiqua" w:hAnsi="Book Antiqua"/>
        </w:rPr>
        <w:t xml:space="preserve">with </w:t>
      </w:r>
      <w:r w:rsidRPr="007214E1">
        <w:rPr>
          <w:rFonts w:ascii="Book Antiqua" w:hAnsi="Book Antiqua"/>
        </w:rPr>
        <w:t xml:space="preserve">Ipilimumab in Participants </w:t>
      </w:r>
      <w:r w:rsidR="00944151" w:rsidRPr="007214E1">
        <w:rPr>
          <w:rFonts w:ascii="Book Antiqua" w:hAnsi="Book Antiqua"/>
        </w:rPr>
        <w:t xml:space="preserve">with </w:t>
      </w:r>
      <w:r w:rsidRPr="007214E1">
        <w:rPr>
          <w:rFonts w:ascii="Book Antiqua" w:hAnsi="Book Antiqua"/>
        </w:rPr>
        <w:t>Ad</w:t>
      </w:r>
      <w:r w:rsidR="00944151" w:rsidRPr="007214E1">
        <w:rPr>
          <w:rFonts w:ascii="Book Antiqua" w:hAnsi="Book Antiqua"/>
        </w:rPr>
        <w:t>vanced Hepatocellular Carcinoma</w:t>
      </w:r>
      <w:r w:rsidR="00354FFA" w:rsidRPr="007214E1">
        <w:rPr>
          <w:rFonts w:ascii="Book Antiqua" w:hAnsi="Book Antiqua"/>
        </w:rPr>
        <w:t xml:space="preserve">. </w:t>
      </w:r>
      <w:r w:rsidRPr="007214E1">
        <w:rPr>
          <w:rFonts w:ascii="Book Antiqua" w:hAnsi="Book Antiqua"/>
        </w:rPr>
        <w:t>In: ClinicalTrials.gov [Internet]. Bethesda (MD): U.S. National Library of Medicine. Available from: https://ClinicalT</w:t>
      </w:r>
      <w:r w:rsidR="00944151" w:rsidRPr="007214E1">
        <w:rPr>
          <w:rFonts w:ascii="Book Antiqua" w:hAnsi="Book Antiqua"/>
        </w:rPr>
        <w:t>rials.gov/show/NCT04039607</w:t>
      </w:r>
    </w:p>
    <w:p w14:paraId="74257685" w14:textId="583FF7F1" w:rsidR="00944151" w:rsidRPr="007214E1" w:rsidRDefault="00944151" w:rsidP="00EB43EE">
      <w:pPr>
        <w:snapToGrid w:val="0"/>
        <w:spacing w:line="360" w:lineRule="auto"/>
        <w:jc w:val="both"/>
        <w:rPr>
          <w:rFonts w:ascii="Book Antiqua" w:hAnsi="Book Antiqua"/>
        </w:rPr>
      </w:pPr>
      <w:r w:rsidRPr="007214E1">
        <w:rPr>
          <w:rFonts w:ascii="Book Antiqua" w:hAnsi="Book Antiqua"/>
        </w:rPr>
        <w:t xml:space="preserve">34 </w:t>
      </w:r>
      <w:r w:rsidR="0046745C" w:rsidRPr="007214E1">
        <w:rPr>
          <w:rFonts w:ascii="Book Antiqua" w:hAnsi="Book Antiqua"/>
          <w:b/>
        </w:rPr>
        <w:t xml:space="preserve">Anderson Cancer Center. </w:t>
      </w:r>
      <w:r w:rsidR="0046745C" w:rsidRPr="007214E1">
        <w:rPr>
          <w:rFonts w:ascii="Book Antiqua" w:hAnsi="Book Antiqua"/>
        </w:rPr>
        <w:t xml:space="preserve">Nivolumab With or Without Ipilimumab in Treating Patients </w:t>
      </w:r>
      <w:r w:rsidRPr="007214E1">
        <w:rPr>
          <w:rFonts w:ascii="Book Antiqua" w:hAnsi="Book Antiqua"/>
        </w:rPr>
        <w:t xml:space="preserve">with </w:t>
      </w:r>
      <w:proofErr w:type="spellStart"/>
      <w:r w:rsidRPr="007214E1">
        <w:rPr>
          <w:rFonts w:ascii="Book Antiqua" w:hAnsi="Book Antiqua"/>
        </w:rPr>
        <w:t>Resectable</w:t>
      </w:r>
      <w:proofErr w:type="spellEnd"/>
      <w:r w:rsidRPr="007214E1">
        <w:rPr>
          <w:rFonts w:ascii="Book Antiqua" w:hAnsi="Book Antiqua"/>
        </w:rPr>
        <w:t xml:space="preserve"> Liver Cancer</w:t>
      </w:r>
      <w:r w:rsidR="00354FFA" w:rsidRPr="007214E1">
        <w:rPr>
          <w:rFonts w:ascii="Book Antiqua" w:hAnsi="Book Antiqua"/>
        </w:rPr>
        <w:t xml:space="preserve">. </w:t>
      </w:r>
      <w:r w:rsidR="0046745C" w:rsidRPr="007214E1">
        <w:rPr>
          <w:rFonts w:ascii="Book Antiqua" w:hAnsi="Book Antiqua"/>
        </w:rPr>
        <w:t>In: ClinicalTrials.gov [Internet]. Bethesda (MD): U.S. National Library of M</w:t>
      </w:r>
      <w:r w:rsidR="00354FFA" w:rsidRPr="007214E1">
        <w:rPr>
          <w:rFonts w:ascii="Book Antiqua" w:hAnsi="Book Antiqua"/>
        </w:rPr>
        <w:t xml:space="preserve">edicine. </w:t>
      </w:r>
      <w:r w:rsidR="0046745C" w:rsidRPr="007214E1">
        <w:rPr>
          <w:rFonts w:ascii="Book Antiqua" w:hAnsi="Book Antiqua"/>
        </w:rPr>
        <w:t xml:space="preserve">Available from: </w:t>
      </w:r>
      <w:hyperlink r:id="rId10" w:history="1">
        <w:r w:rsidRPr="007214E1">
          <w:rPr>
            <w:rStyle w:val="a8"/>
            <w:rFonts w:ascii="Book Antiqua" w:hAnsi="Book Antiqua"/>
          </w:rPr>
          <w:t>https://ClinicalTrials.gov/show/NCT03222076</w:t>
        </w:r>
      </w:hyperlink>
    </w:p>
    <w:p w14:paraId="7570538C" w14:textId="2EB22CF5"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35 </w:t>
      </w:r>
      <w:r w:rsidRPr="007214E1">
        <w:rPr>
          <w:rFonts w:ascii="Book Antiqua" w:hAnsi="Book Antiqua"/>
          <w:b/>
        </w:rPr>
        <w:t xml:space="preserve">Imperial College London. </w:t>
      </w:r>
      <w:r w:rsidRPr="007214E1">
        <w:rPr>
          <w:rFonts w:ascii="Book Antiqua" w:hAnsi="Book Antiqua"/>
        </w:rPr>
        <w:t>Safety and Bioactivity of Ipilimumab and Nivolumab Combination Prior to Liver Resectio</w:t>
      </w:r>
      <w:r w:rsidR="00354FFA" w:rsidRPr="007214E1">
        <w:rPr>
          <w:rFonts w:ascii="Book Antiqua" w:hAnsi="Book Antiqua"/>
        </w:rPr>
        <w:t xml:space="preserve">n in Hepatocellular Carcinoma. </w:t>
      </w:r>
      <w:r w:rsidRPr="007214E1">
        <w:rPr>
          <w:rFonts w:ascii="Book Antiqua" w:hAnsi="Book Antiqua"/>
        </w:rPr>
        <w:t>In: ClinicalTrials.gov [Internet]. Bethesda (MD): U.S. National Lib</w:t>
      </w:r>
      <w:r w:rsidR="00354FFA" w:rsidRPr="007214E1">
        <w:rPr>
          <w:rFonts w:ascii="Book Antiqua" w:hAnsi="Book Antiqua"/>
        </w:rPr>
        <w:t xml:space="preserve">rary of Medicine. </w:t>
      </w:r>
      <w:r w:rsidRPr="007214E1">
        <w:rPr>
          <w:rFonts w:ascii="Book Antiqua" w:hAnsi="Book Antiqua"/>
        </w:rPr>
        <w:t>Available from: https://Clini</w:t>
      </w:r>
      <w:r w:rsidR="00944151" w:rsidRPr="007214E1">
        <w:rPr>
          <w:rFonts w:ascii="Book Antiqua" w:hAnsi="Book Antiqua"/>
        </w:rPr>
        <w:t>calTrials.gov/show/NCT03682276</w:t>
      </w:r>
    </w:p>
    <w:p w14:paraId="71421DF0" w14:textId="39465E55"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36 </w:t>
      </w:r>
      <w:r w:rsidRPr="007214E1">
        <w:rPr>
          <w:rFonts w:ascii="Book Antiqua" w:hAnsi="Book Antiqua"/>
          <w:b/>
        </w:rPr>
        <w:t>National Health Research Institutes,</w:t>
      </w:r>
      <w:r w:rsidR="00944151" w:rsidRPr="007214E1">
        <w:rPr>
          <w:rFonts w:ascii="Book Antiqua" w:hAnsi="Book Antiqua"/>
        </w:rPr>
        <w:t xml:space="preserve"> Taiwan. </w:t>
      </w:r>
      <w:r w:rsidRPr="007214E1">
        <w:rPr>
          <w:rFonts w:ascii="Book Antiqua" w:hAnsi="Book Antiqua"/>
        </w:rPr>
        <w:t xml:space="preserve">Nivolumab Plus Ipilimumab as Neoadjuvant Therapy for Hepatocellular Carcinoma (HCC). In: </w:t>
      </w:r>
      <w:r w:rsidRPr="007214E1">
        <w:rPr>
          <w:rFonts w:ascii="Book Antiqua" w:hAnsi="Book Antiqua"/>
        </w:rPr>
        <w:lastRenderedPageBreak/>
        <w:t xml:space="preserve">ClinicalTrials.gov [Internet]. Bethesda (MD): U.S. </w:t>
      </w:r>
      <w:r w:rsidR="00354FFA" w:rsidRPr="007214E1">
        <w:rPr>
          <w:rFonts w:ascii="Book Antiqua" w:hAnsi="Book Antiqua"/>
        </w:rPr>
        <w:t xml:space="preserve">National Library of Medicine. </w:t>
      </w:r>
      <w:r w:rsidRPr="007214E1">
        <w:rPr>
          <w:rFonts w:ascii="Book Antiqua" w:hAnsi="Book Antiqua"/>
        </w:rPr>
        <w:t>Available from: https://Clini</w:t>
      </w:r>
      <w:r w:rsidR="00944151" w:rsidRPr="007214E1">
        <w:rPr>
          <w:rFonts w:ascii="Book Antiqua" w:hAnsi="Book Antiqua"/>
        </w:rPr>
        <w:t>calTrials.gov/show/NCT03510871</w:t>
      </w:r>
    </w:p>
    <w:p w14:paraId="1083789A" w14:textId="1A73BFD5"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37 </w:t>
      </w:r>
      <w:bookmarkStart w:id="16" w:name="OLE_LINK17"/>
      <w:bookmarkStart w:id="17" w:name="OLE_LINK18"/>
      <w:r w:rsidRPr="007214E1">
        <w:rPr>
          <w:rFonts w:ascii="Book Antiqua" w:hAnsi="Book Antiqua"/>
          <w:b/>
        </w:rPr>
        <w:t>Kelley</w:t>
      </w:r>
      <w:bookmarkEnd w:id="16"/>
      <w:bookmarkEnd w:id="17"/>
      <w:r w:rsidRPr="007214E1">
        <w:rPr>
          <w:rFonts w:ascii="Book Antiqua" w:hAnsi="Book Antiqua"/>
          <w:b/>
        </w:rPr>
        <w:t xml:space="preserve"> RK,</w:t>
      </w:r>
      <w:r w:rsidR="007738B9" w:rsidRPr="007214E1">
        <w:rPr>
          <w:rFonts w:ascii="Book Antiqua" w:hAnsi="Book Antiqua"/>
        </w:rPr>
        <w:t xml:space="preserve"> </w:t>
      </w:r>
      <w:proofErr w:type="spellStart"/>
      <w:r w:rsidRPr="007214E1">
        <w:rPr>
          <w:rFonts w:ascii="Book Antiqua" w:hAnsi="Book Antiqua"/>
        </w:rPr>
        <w:t>Abou</w:t>
      </w:r>
      <w:proofErr w:type="spellEnd"/>
      <w:r w:rsidRPr="007214E1">
        <w:rPr>
          <w:rFonts w:ascii="Book Antiqua" w:hAnsi="Book Antiqua"/>
        </w:rPr>
        <w:t xml:space="preserve">-Alfa GK, </w:t>
      </w:r>
      <w:proofErr w:type="spellStart"/>
      <w:r w:rsidRPr="007214E1">
        <w:rPr>
          <w:rFonts w:ascii="Book Antiqua" w:hAnsi="Book Antiqua"/>
        </w:rPr>
        <w:t>Bendell</w:t>
      </w:r>
      <w:proofErr w:type="spellEnd"/>
      <w:r w:rsidRPr="007214E1">
        <w:rPr>
          <w:rFonts w:ascii="Book Antiqua" w:hAnsi="Book Antiqua"/>
        </w:rPr>
        <w:t xml:space="preserve"> JC, Kim T, </w:t>
      </w:r>
      <w:proofErr w:type="spellStart"/>
      <w:r w:rsidRPr="007214E1">
        <w:rPr>
          <w:rFonts w:ascii="Book Antiqua" w:hAnsi="Book Antiqua"/>
        </w:rPr>
        <w:t>Borad</w:t>
      </w:r>
      <w:proofErr w:type="spellEnd"/>
      <w:r w:rsidRPr="007214E1">
        <w:rPr>
          <w:rFonts w:ascii="Book Antiqua" w:hAnsi="Book Antiqua"/>
        </w:rPr>
        <w:t xml:space="preserve"> MJ, Yong W, Morse M, Kang Y, </w:t>
      </w:r>
      <w:proofErr w:type="spellStart"/>
      <w:r w:rsidRPr="007214E1">
        <w:rPr>
          <w:rFonts w:ascii="Book Antiqua" w:hAnsi="Book Antiqua"/>
        </w:rPr>
        <w:t>Rebelatto</w:t>
      </w:r>
      <w:proofErr w:type="spellEnd"/>
      <w:r w:rsidRPr="007214E1">
        <w:rPr>
          <w:rFonts w:ascii="Book Antiqua" w:hAnsi="Book Antiqua"/>
        </w:rPr>
        <w:t xml:space="preserve"> M, </w:t>
      </w:r>
      <w:proofErr w:type="spellStart"/>
      <w:r w:rsidRPr="007214E1">
        <w:rPr>
          <w:rFonts w:ascii="Book Antiqua" w:hAnsi="Book Antiqua"/>
        </w:rPr>
        <w:t>Makowsky</w:t>
      </w:r>
      <w:proofErr w:type="spellEnd"/>
      <w:r w:rsidRPr="007214E1">
        <w:rPr>
          <w:rFonts w:ascii="Book Antiqua" w:hAnsi="Book Antiqua"/>
        </w:rPr>
        <w:t xml:space="preserve"> M, Xiao F, Morris SR, </w:t>
      </w:r>
      <w:proofErr w:type="spellStart"/>
      <w:r w:rsidRPr="007214E1">
        <w:rPr>
          <w:rFonts w:ascii="Book Antiqua" w:hAnsi="Book Antiqua"/>
        </w:rPr>
        <w:t>Sangro</w:t>
      </w:r>
      <w:proofErr w:type="spellEnd"/>
      <w:r w:rsidRPr="007214E1">
        <w:rPr>
          <w:rFonts w:ascii="Book Antiqua" w:hAnsi="Book Antiqua"/>
        </w:rPr>
        <w:t xml:space="preserve"> B. </w:t>
      </w:r>
      <w:bookmarkStart w:id="18" w:name="OLE_LINK16"/>
      <w:r w:rsidRPr="007214E1">
        <w:rPr>
          <w:rFonts w:ascii="Book Antiqua" w:hAnsi="Book Antiqua"/>
        </w:rPr>
        <w:t xml:space="preserve">Phase I/II study of </w:t>
      </w:r>
      <w:proofErr w:type="spellStart"/>
      <w:r w:rsidRPr="007214E1">
        <w:rPr>
          <w:rFonts w:ascii="Book Antiqua" w:hAnsi="Book Antiqua"/>
        </w:rPr>
        <w:t>durvalumab</w:t>
      </w:r>
      <w:proofErr w:type="spellEnd"/>
      <w:r w:rsidRPr="007214E1">
        <w:rPr>
          <w:rFonts w:ascii="Book Antiqua" w:hAnsi="Book Antiqua"/>
        </w:rPr>
        <w:t xml:space="preserve"> and </w:t>
      </w:r>
      <w:proofErr w:type="spellStart"/>
      <w:r w:rsidRPr="007214E1">
        <w:rPr>
          <w:rFonts w:ascii="Book Antiqua" w:hAnsi="Book Antiqua"/>
        </w:rPr>
        <w:t>tremelimumab</w:t>
      </w:r>
      <w:proofErr w:type="spellEnd"/>
      <w:r w:rsidRPr="007214E1">
        <w:rPr>
          <w:rFonts w:ascii="Book Antiqua" w:hAnsi="Book Antiqua"/>
        </w:rPr>
        <w:t xml:space="preserve"> in patients with unresectable hepatocellular carcinoma (HCC): Phase I safety and efficacy analyses.</w:t>
      </w:r>
      <w:bookmarkEnd w:id="18"/>
      <w:r w:rsidRPr="007214E1">
        <w:rPr>
          <w:rFonts w:ascii="Book Antiqua" w:hAnsi="Book Antiqua"/>
        </w:rPr>
        <w:t xml:space="preserve"> </w:t>
      </w:r>
      <w:r w:rsidR="00320213" w:rsidRPr="007214E1">
        <w:rPr>
          <w:rFonts w:ascii="Book Antiqua" w:hAnsi="Book Antiqua"/>
          <w:i/>
        </w:rPr>
        <w:t>J Clin Oncol</w:t>
      </w:r>
      <w:r w:rsidR="007738B9" w:rsidRPr="007214E1">
        <w:rPr>
          <w:rFonts w:ascii="Book Antiqua" w:hAnsi="Book Antiqua"/>
        </w:rPr>
        <w:t xml:space="preserve"> 2017</w:t>
      </w:r>
      <w:r w:rsidR="00367E7A" w:rsidRPr="007214E1">
        <w:rPr>
          <w:rFonts w:ascii="Book Antiqua" w:hAnsi="Book Antiqua"/>
        </w:rPr>
        <w:t xml:space="preserve">; </w:t>
      </w:r>
      <w:r w:rsidR="00367E7A" w:rsidRPr="007214E1">
        <w:rPr>
          <w:rFonts w:ascii="Book Antiqua" w:hAnsi="Book Antiqua"/>
          <w:b/>
        </w:rPr>
        <w:t>35</w:t>
      </w:r>
      <w:r w:rsidR="00367E7A" w:rsidRPr="007214E1">
        <w:rPr>
          <w:rFonts w:ascii="Book Antiqua" w:hAnsi="Book Antiqua"/>
        </w:rPr>
        <w:t>: 4073</w:t>
      </w:r>
      <w:r w:rsidR="007738B9" w:rsidRPr="007214E1">
        <w:rPr>
          <w:rFonts w:ascii="Book Antiqua" w:hAnsi="Book Antiqua"/>
        </w:rPr>
        <w:t xml:space="preserve"> </w:t>
      </w:r>
      <w:r w:rsidRPr="007214E1">
        <w:rPr>
          <w:rFonts w:ascii="Book Antiqua" w:hAnsi="Book Antiqua"/>
        </w:rPr>
        <w:t>[DOI: 10.1200/JCO.2017.35.15_suppl.4073]</w:t>
      </w:r>
    </w:p>
    <w:p w14:paraId="1EB65B87" w14:textId="4C0D5FA5"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38 </w:t>
      </w:r>
      <w:proofErr w:type="spellStart"/>
      <w:r w:rsidRPr="007214E1">
        <w:rPr>
          <w:rFonts w:ascii="Book Antiqua" w:hAnsi="Book Antiqua"/>
          <w:b/>
        </w:rPr>
        <w:t>MedImmune</w:t>
      </w:r>
      <w:proofErr w:type="spellEnd"/>
      <w:r w:rsidRPr="007214E1">
        <w:rPr>
          <w:rFonts w:ascii="Book Antiqua" w:hAnsi="Book Antiqua"/>
          <w:b/>
        </w:rPr>
        <w:t xml:space="preserve"> LLC.</w:t>
      </w:r>
      <w:r w:rsidRPr="007214E1">
        <w:rPr>
          <w:rFonts w:ascii="Book Antiqua" w:hAnsi="Book Antiqua"/>
        </w:rPr>
        <w:t xml:space="preserve"> A Study of </w:t>
      </w:r>
      <w:proofErr w:type="spellStart"/>
      <w:r w:rsidRPr="007214E1">
        <w:rPr>
          <w:rFonts w:ascii="Book Antiqua" w:hAnsi="Book Antiqua"/>
        </w:rPr>
        <w:t>Durvalumab</w:t>
      </w:r>
      <w:proofErr w:type="spellEnd"/>
      <w:r w:rsidRPr="007214E1">
        <w:rPr>
          <w:rFonts w:ascii="Book Antiqua" w:hAnsi="Book Antiqua"/>
        </w:rPr>
        <w:t xml:space="preserve"> or </w:t>
      </w:r>
      <w:proofErr w:type="spellStart"/>
      <w:r w:rsidRPr="007214E1">
        <w:rPr>
          <w:rFonts w:ascii="Book Antiqua" w:hAnsi="Book Antiqua"/>
        </w:rPr>
        <w:t>Tremelimumab</w:t>
      </w:r>
      <w:proofErr w:type="spellEnd"/>
      <w:r w:rsidRPr="007214E1">
        <w:rPr>
          <w:rFonts w:ascii="Book Antiqua" w:hAnsi="Book Antiqua"/>
        </w:rPr>
        <w:t xml:space="preserve"> </w:t>
      </w:r>
      <w:proofErr w:type="spellStart"/>
      <w:r w:rsidRPr="007214E1">
        <w:rPr>
          <w:rFonts w:ascii="Book Antiqua" w:hAnsi="Book Antiqua"/>
        </w:rPr>
        <w:t>Monotherapy</w:t>
      </w:r>
      <w:proofErr w:type="spellEnd"/>
      <w:r w:rsidRPr="007214E1">
        <w:rPr>
          <w:rFonts w:ascii="Book Antiqua" w:hAnsi="Book Antiqua"/>
        </w:rPr>
        <w:t xml:space="preserve">, or </w:t>
      </w:r>
      <w:proofErr w:type="spellStart"/>
      <w:r w:rsidRPr="007214E1">
        <w:rPr>
          <w:rFonts w:ascii="Book Antiqua" w:hAnsi="Book Antiqua"/>
        </w:rPr>
        <w:t>Durvalumab</w:t>
      </w:r>
      <w:proofErr w:type="spellEnd"/>
      <w:r w:rsidRPr="007214E1">
        <w:rPr>
          <w:rFonts w:ascii="Book Antiqua" w:hAnsi="Book Antiqua"/>
        </w:rPr>
        <w:t xml:space="preserve"> in Combination </w:t>
      </w:r>
      <w:r w:rsidR="00367E7A" w:rsidRPr="007214E1">
        <w:rPr>
          <w:rFonts w:ascii="Book Antiqua" w:hAnsi="Book Antiqua"/>
        </w:rPr>
        <w:t xml:space="preserve">with </w:t>
      </w:r>
      <w:proofErr w:type="spellStart"/>
      <w:r w:rsidRPr="007214E1">
        <w:rPr>
          <w:rFonts w:ascii="Book Antiqua" w:hAnsi="Book Antiqua"/>
        </w:rPr>
        <w:t>Tremelimumab</w:t>
      </w:r>
      <w:proofErr w:type="spellEnd"/>
      <w:r w:rsidRPr="007214E1">
        <w:rPr>
          <w:rFonts w:ascii="Book Antiqua" w:hAnsi="Book Antiqua"/>
        </w:rPr>
        <w:t xml:space="preserve"> or </w:t>
      </w:r>
      <w:proofErr w:type="spellStart"/>
      <w:r w:rsidRPr="007214E1">
        <w:rPr>
          <w:rFonts w:ascii="Book Antiqua" w:hAnsi="Book Antiqua"/>
        </w:rPr>
        <w:t>Bevacizumab</w:t>
      </w:r>
      <w:proofErr w:type="spellEnd"/>
      <w:r w:rsidRPr="007214E1">
        <w:rPr>
          <w:rFonts w:ascii="Book Antiqua" w:hAnsi="Book Antiqua"/>
        </w:rPr>
        <w:t xml:space="preserve"> in Advanced Hepatocellu</w:t>
      </w:r>
      <w:r w:rsidR="00367E7A" w:rsidRPr="007214E1">
        <w:rPr>
          <w:rFonts w:ascii="Book Antiqua" w:hAnsi="Book Antiqua"/>
        </w:rPr>
        <w:t>lar Carcinoma</w:t>
      </w:r>
      <w:r w:rsidR="00354FFA" w:rsidRPr="007214E1">
        <w:rPr>
          <w:rFonts w:ascii="Book Antiqua" w:hAnsi="Book Antiqua"/>
        </w:rPr>
        <w:t xml:space="preserve">. </w:t>
      </w:r>
      <w:r w:rsidRPr="007214E1">
        <w:rPr>
          <w:rFonts w:ascii="Book Antiqua" w:hAnsi="Book Antiqua"/>
        </w:rPr>
        <w:t>In: ClinicalTrials.gov [Internet]. Bethesda (MD): U.S.</w:t>
      </w:r>
      <w:r w:rsidR="00367E7A" w:rsidRPr="007214E1">
        <w:rPr>
          <w:rFonts w:ascii="Book Antiqua" w:hAnsi="Book Antiqua"/>
        </w:rPr>
        <w:t xml:space="preserve"> National Library of Medicine. </w:t>
      </w:r>
      <w:r w:rsidRPr="007214E1">
        <w:rPr>
          <w:rFonts w:ascii="Book Antiqua" w:hAnsi="Book Antiqua"/>
        </w:rPr>
        <w:t>Available from: https://Clini</w:t>
      </w:r>
      <w:r w:rsidR="00367E7A" w:rsidRPr="007214E1">
        <w:rPr>
          <w:rFonts w:ascii="Book Antiqua" w:hAnsi="Book Antiqua"/>
        </w:rPr>
        <w:t>calTrials.gov/show/NCT02519348</w:t>
      </w:r>
    </w:p>
    <w:p w14:paraId="54E20AA1" w14:textId="4CA446E5"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39 </w:t>
      </w:r>
      <w:r w:rsidRPr="007214E1">
        <w:rPr>
          <w:rFonts w:ascii="Book Antiqua" w:hAnsi="Book Antiqua"/>
          <w:b/>
        </w:rPr>
        <w:t>AstraZeneca.</w:t>
      </w:r>
      <w:r w:rsidRPr="007214E1">
        <w:rPr>
          <w:rFonts w:ascii="Book Antiqua" w:hAnsi="Book Antiqua"/>
        </w:rPr>
        <w:t xml:space="preserve"> Study of </w:t>
      </w:r>
      <w:proofErr w:type="spellStart"/>
      <w:r w:rsidRPr="007214E1">
        <w:rPr>
          <w:rFonts w:ascii="Book Antiqua" w:hAnsi="Book Antiqua"/>
        </w:rPr>
        <w:t>Durvalumab</w:t>
      </w:r>
      <w:proofErr w:type="spellEnd"/>
      <w:r w:rsidRPr="007214E1">
        <w:rPr>
          <w:rFonts w:ascii="Book Antiqua" w:hAnsi="Book Antiqua"/>
        </w:rPr>
        <w:t xml:space="preserve"> and </w:t>
      </w:r>
      <w:proofErr w:type="spellStart"/>
      <w:r w:rsidRPr="007214E1">
        <w:rPr>
          <w:rFonts w:ascii="Book Antiqua" w:hAnsi="Book Antiqua"/>
        </w:rPr>
        <w:t>Tremelimumab</w:t>
      </w:r>
      <w:proofErr w:type="spellEnd"/>
      <w:r w:rsidRPr="007214E1">
        <w:rPr>
          <w:rFonts w:ascii="Book Antiqua" w:hAnsi="Book Antiqua"/>
        </w:rPr>
        <w:t xml:space="preserve"> as First-line Treatment in Patients </w:t>
      </w:r>
      <w:r w:rsidR="00367E7A" w:rsidRPr="007214E1">
        <w:rPr>
          <w:rFonts w:ascii="Book Antiqua" w:hAnsi="Book Antiqua"/>
        </w:rPr>
        <w:t xml:space="preserve">with </w:t>
      </w:r>
      <w:r w:rsidRPr="007214E1">
        <w:rPr>
          <w:rFonts w:ascii="Book Antiqua" w:hAnsi="Book Antiqua"/>
        </w:rPr>
        <w:t>Ad</w:t>
      </w:r>
      <w:r w:rsidR="00367E7A" w:rsidRPr="007214E1">
        <w:rPr>
          <w:rFonts w:ascii="Book Antiqua" w:hAnsi="Book Antiqua"/>
        </w:rPr>
        <w:t>vanced Hepatocellular Carcinoma</w:t>
      </w:r>
      <w:r w:rsidR="00354FFA" w:rsidRPr="007214E1">
        <w:rPr>
          <w:rFonts w:ascii="Book Antiqua" w:hAnsi="Book Antiqua"/>
        </w:rPr>
        <w:t xml:space="preserve">. </w:t>
      </w:r>
      <w:r w:rsidRPr="007214E1">
        <w:rPr>
          <w:rFonts w:ascii="Book Antiqua" w:hAnsi="Book Antiqua"/>
        </w:rPr>
        <w:t>In: ClinicalTrials.gov [Internet]. Bethesda (MD): U.S. N</w:t>
      </w:r>
      <w:r w:rsidR="00354FFA" w:rsidRPr="007214E1">
        <w:rPr>
          <w:rFonts w:ascii="Book Antiqua" w:hAnsi="Book Antiqua"/>
        </w:rPr>
        <w:t xml:space="preserve">ational Library of Medicine. </w:t>
      </w:r>
      <w:r w:rsidRPr="007214E1">
        <w:rPr>
          <w:rFonts w:ascii="Book Antiqua" w:hAnsi="Book Antiqua"/>
        </w:rPr>
        <w:t>Available from: https://Clini</w:t>
      </w:r>
      <w:r w:rsidR="00367E7A" w:rsidRPr="007214E1">
        <w:rPr>
          <w:rFonts w:ascii="Book Antiqua" w:hAnsi="Book Antiqua"/>
        </w:rPr>
        <w:t>calTrials.gov/show/NCT03298451</w:t>
      </w:r>
    </w:p>
    <w:p w14:paraId="7EBEB25A"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40 </w:t>
      </w:r>
      <w:proofErr w:type="spellStart"/>
      <w:r w:rsidRPr="007214E1">
        <w:rPr>
          <w:rFonts w:ascii="Book Antiqua" w:hAnsi="Book Antiqua"/>
          <w:b/>
        </w:rPr>
        <w:t>Linch</w:t>
      </w:r>
      <w:proofErr w:type="spellEnd"/>
      <w:r w:rsidRPr="007214E1">
        <w:rPr>
          <w:rFonts w:ascii="Book Antiqua" w:hAnsi="Book Antiqua"/>
          <w:b/>
        </w:rPr>
        <w:t xml:space="preserve"> SN</w:t>
      </w:r>
      <w:r w:rsidRPr="007214E1">
        <w:rPr>
          <w:rFonts w:ascii="Book Antiqua" w:hAnsi="Book Antiqua"/>
        </w:rPr>
        <w:t xml:space="preserve">, McNamara MJ, Redmond WL. OX40 Agonists and Combination Immunotherapy: Putting the Pedal to the Metal. </w:t>
      </w:r>
      <w:r w:rsidRPr="007214E1">
        <w:rPr>
          <w:rFonts w:ascii="Book Antiqua" w:hAnsi="Book Antiqua"/>
          <w:i/>
        </w:rPr>
        <w:t>Front Oncol</w:t>
      </w:r>
      <w:r w:rsidRPr="007214E1">
        <w:rPr>
          <w:rFonts w:ascii="Book Antiqua" w:hAnsi="Book Antiqua"/>
        </w:rPr>
        <w:t xml:space="preserve"> 2015; </w:t>
      </w:r>
      <w:r w:rsidRPr="007214E1">
        <w:rPr>
          <w:rFonts w:ascii="Book Antiqua" w:hAnsi="Book Antiqua"/>
          <w:b/>
        </w:rPr>
        <w:t>5</w:t>
      </w:r>
      <w:r w:rsidRPr="007214E1">
        <w:rPr>
          <w:rFonts w:ascii="Book Antiqua" w:hAnsi="Book Antiqua"/>
        </w:rPr>
        <w:t>: 34 [PMID: 25763356 DOI: 10.3389/fonc.2015.00034]</w:t>
      </w:r>
    </w:p>
    <w:p w14:paraId="74CD2E2A"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41 </w:t>
      </w:r>
      <w:proofErr w:type="spellStart"/>
      <w:r w:rsidRPr="007214E1">
        <w:rPr>
          <w:rFonts w:ascii="Book Antiqua" w:hAnsi="Book Antiqua"/>
          <w:b/>
        </w:rPr>
        <w:t>Curti</w:t>
      </w:r>
      <w:proofErr w:type="spellEnd"/>
      <w:r w:rsidRPr="007214E1">
        <w:rPr>
          <w:rFonts w:ascii="Book Antiqua" w:hAnsi="Book Antiqua"/>
          <w:b/>
        </w:rPr>
        <w:t xml:space="preserve"> BD</w:t>
      </w:r>
      <w:r w:rsidRPr="007214E1">
        <w:rPr>
          <w:rFonts w:ascii="Book Antiqua" w:hAnsi="Book Antiqua"/>
        </w:rPr>
        <w:t xml:space="preserve">, </w:t>
      </w:r>
      <w:proofErr w:type="spellStart"/>
      <w:r w:rsidRPr="007214E1">
        <w:rPr>
          <w:rFonts w:ascii="Book Antiqua" w:hAnsi="Book Antiqua"/>
        </w:rPr>
        <w:t>Kovacsovics-Bankowski</w:t>
      </w:r>
      <w:proofErr w:type="spellEnd"/>
      <w:r w:rsidRPr="007214E1">
        <w:rPr>
          <w:rFonts w:ascii="Book Antiqua" w:hAnsi="Book Antiqua"/>
        </w:rPr>
        <w:t xml:space="preserve"> M, Morris N, Walker E, Chisholm L, Floyd K, Walker J, Gonzalez I, </w:t>
      </w:r>
      <w:proofErr w:type="spellStart"/>
      <w:r w:rsidRPr="007214E1">
        <w:rPr>
          <w:rFonts w:ascii="Book Antiqua" w:hAnsi="Book Antiqua"/>
        </w:rPr>
        <w:t>Meeuwsen</w:t>
      </w:r>
      <w:proofErr w:type="spellEnd"/>
      <w:r w:rsidRPr="007214E1">
        <w:rPr>
          <w:rFonts w:ascii="Book Antiqua" w:hAnsi="Book Antiqua"/>
        </w:rPr>
        <w:t xml:space="preserve"> T, Fox BA, Moudgil T, Miller W, Haley D, Coffey T, Fisher B, </w:t>
      </w:r>
      <w:proofErr w:type="spellStart"/>
      <w:r w:rsidRPr="007214E1">
        <w:rPr>
          <w:rFonts w:ascii="Book Antiqua" w:hAnsi="Book Antiqua"/>
        </w:rPr>
        <w:t>Delanty</w:t>
      </w:r>
      <w:proofErr w:type="spellEnd"/>
      <w:r w:rsidRPr="007214E1">
        <w:rPr>
          <w:rFonts w:ascii="Book Antiqua" w:hAnsi="Book Antiqua"/>
        </w:rPr>
        <w:t xml:space="preserve">-Miller L, </w:t>
      </w:r>
      <w:proofErr w:type="spellStart"/>
      <w:r w:rsidRPr="007214E1">
        <w:rPr>
          <w:rFonts w:ascii="Book Antiqua" w:hAnsi="Book Antiqua"/>
        </w:rPr>
        <w:t>Rymarchyk</w:t>
      </w:r>
      <w:proofErr w:type="spellEnd"/>
      <w:r w:rsidRPr="007214E1">
        <w:rPr>
          <w:rFonts w:ascii="Book Antiqua" w:hAnsi="Book Antiqua"/>
        </w:rPr>
        <w:t xml:space="preserve"> N, Kelly T, </w:t>
      </w:r>
      <w:proofErr w:type="spellStart"/>
      <w:r w:rsidRPr="007214E1">
        <w:rPr>
          <w:rFonts w:ascii="Book Antiqua" w:hAnsi="Book Antiqua"/>
        </w:rPr>
        <w:t>Crocenzi</w:t>
      </w:r>
      <w:proofErr w:type="spellEnd"/>
      <w:r w:rsidRPr="007214E1">
        <w:rPr>
          <w:rFonts w:ascii="Book Antiqua" w:hAnsi="Book Antiqua"/>
        </w:rPr>
        <w:t xml:space="preserve"> T, Bernstein E, Sanborn R, </w:t>
      </w:r>
      <w:proofErr w:type="spellStart"/>
      <w:r w:rsidRPr="007214E1">
        <w:rPr>
          <w:rFonts w:ascii="Book Antiqua" w:hAnsi="Book Antiqua"/>
        </w:rPr>
        <w:t>Urba</w:t>
      </w:r>
      <w:proofErr w:type="spellEnd"/>
      <w:r w:rsidRPr="007214E1">
        <w:rPr>
          <w:rFonts w:ascii="Book Antiqua" w:hAnsi="Book Antiqua"/>
        </w:rPr>
        <w:t xml:space="preserve"> WJ, Weinberg AD. OX40 is a potent immune-stimulating target in late-stage cancer patients. </w:t>
      </w:r>
      <w:r w:rsidRPr="007214E1">
        <w:rPr>
          <w:rFonts w:ascii="Book Antiqua" w:hAnsi="Book Antiqua"/>
          <w:i/>
        </w:rPr>
        <w:t>Cancer Res</w:t>
      </w:r>
      <w:r w:rsidRPr="007214E1">
        <w:rPr>
          <w:rFonts w:ascii="Book Antiqua" w:hAnsi="Book Antiqua"/>
        </w:rPr>
        <w:t xml:space="preserve"> 2013; </w:t>
      </w:r>
      <w:r w:rsidRPr="007214E1">
        <w:rPr>
          <w:rFonts w:ascii="Book Antiqua" w:hAnsi="Book Antiqua"/>
          <w:b/>
        </w:rPr>
        <w:t>73</w:t>
      </w:r>
      <w:r w:rsidRPr="007214E1">
        <w:rPr>
          <w:rFonts w:ascii="Book Antiqua" w:hAnsi="Book Antiqua"/>
        </w:rPr>
        <w:t>: 7189-7198 [PMID: 24177180 DOI: 10.1158/0008-5472.CAN-12-4174]</w:t>
      </w:r>
    </w:p>
    <w:p w14:paraId="7E70EAAE"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42 </w:t>
      </w:r>
      <w:r w:rsidRPr="007214E1">
        <w:rPr>
          <w:rFonts w:ascii="Book Antiqua" w:hAnsi="Book Antiqua"/>
          <w:b/>
        </w:rPr>
        <w:t>Guo Z</w:t>
      </w:r>
      <w:r w:rsidRPr="007214E1">
        <w:rPr>
          <w:rFonts w:ascii="Book Antiqua" w:hAnsi="Book Antiqua"/>
        </w:rPr>
        <w:t xml:space="preserve">, Wang X, Cheng D, Xia Z, Luan M, Zhang S. PD-1 blockade and OX40 triggering synergistically protects against tumor growth in a murine model of ovarian cancer. </w:t>
      </w:r>
      <w:proofErr w:type="spellStart"/>
      <w:r w:rsidRPr="007214E1">
        <w:rPr>
          <w:rFonts w:ascii="Book Antiqua" w:hAnsi="Book Antiqua"/>
          <w:i/>
        </w:rPr>
        <w:t>PLoS</w:t>
      </w:r>
      <w:proofErr w:type="spellEnd"/>
      <w:r w:rsidRPr="007214E1">
        <w:rPr>
          <w:rFonts w:ascii="Book Antiqua" w:hAnsi="Book Antiqua"/>
          <w:i/>
        </w:rPr>
        <w:t xml:space="preserve"> One</w:t>
      </w:r>
      <w:r w:rsidRPr="007214E1">
        <w:rPr>
          <w:rFonts w:ascii="Book Antiqua" w:hAnsi="Book Antiqua"/>
        </w:rPr>
        <w:t xml:space="preserve"> 2014; </w:t>
      </w:r>
      <w:r w:rsidRPr="007214E1">
        <w:rPr>
          <w:rFonts w:ascii="Book Antiqua" w:hAnsi="Book Antiqua"/>
          <w:b/>
        </w:rPr>
        <w:t>9</w:t>
      </w:r>
      <w:r w:rsidRPr="007214E1">
        <w:rPr>
          <w:rFonts w:ascii="Book Antiqua" w:hAnsi="Book Antiqua"/>
        </w:rPr>
        <w:t>: e89350 [PMID: 24586709 DOI: 10.1371/journal.pone.0089350]</w:t>
      </w:r>
    </w:p>
    <w:p w14:paraId="4CE804EE" w14:textId="56643DAD" w:rsidR="0046745C" w:rsidRPr="007214E1" w:rsidRDefault="0046745C" w:rsidP="00EB43EE">
      <w:pPr>
        <w:snapToGrid w:val="0"/>
        <w:spacing w:line="360" w:lineRule="auto"/>
        <w:jc w:val="both"/>
        <w:rPr>
          <w:rFonts w:ascii="Book Antiqua" w:hAnsi="Book Antiqua"/>
        </w:rPr>
      </w:pPr>
      <w:r w:rsidRPr="007214E1">
        <w:rPr>
          <w:rFonts w:ascii="Book Antiqua" w:hAnsi="Book Antiqua"/>
        </w:rPr>
        <w:lastRenderedPageBreak/>
        <w:t xml:space="preserve">43 </w:t>
      </w:r>
      <w:proofErr w:type="spellStart"/>
      <w:r w:rsidRPr="007214E1">
        <w:rPr>
          <w:rFonts w:ascii="Book Antiqua" w:hAnsi="Book Antiqua"/>
          <w:b/>
        </w:rPr>
        <w:t>Incyte</w:t>
      </w:r>
      <w:proofErr w:type="spellEnd"/>
      <w:r w:rsidRPr="007214E1">
        <w:rPr>
          <w:rFonts w:ascii="Book Antiqua" w:hAnsi="Book Antiqua"/>
          <w:b/>
        </w:rPr>
        <w:t xml:space="preserve"> Biosciences International </w:t>
      </w:r>
      <w:proofErr w:type="spellStart"/>
      <w:r w:rsidRPr="007214E1">
        <w:rPr>
          <w:rFonts w:ascii="Book Antiqua" w:hAnsi="Book Antiqua"/>
          <w:b/>
        </w:rPr>
        <w:t>Sàrl</w:t>
      </w:r>
      <w:proofErr w:type="spellEnd"/>
      <w:r w:rsidRPr="007214E1">
        <w:rPr>
          <w:rFonts w:ascii="Book Antiqua" w:hAnsi="Book Antiqua"/>
          <w:b/>
        </w:rPr>
        <w:t xml:space="preserve">. </w:t>
      </w:r>
      <w:r w:rsidRPr="007214E1">
        <w:rPr>
          <w:rFonts w:ascii="Book Antiqua" w:hAnsi="Book Antiqua"/>
        </w:rPr>
        <w:t xml:space="preserve">A Study Exploring the Safety and Efficacy of INCAGN01949 in Combination </w:t>
      </w:r>
      <w:r w:rsidR="00367E7A" w:rsidRPr="007214E1">
        <w:rPr>
          <w:rFonts w:ascii="Book Antiqua" w:hAnsi="Book Antiqua"/>
        </w:rPr>
        <w:t xml:space="preserve">with </w:t>
      </w:r>
      <w:r w:rsidRPr="007214E1">
        <w:rPr>
          <w:rFonts w:ascii="Book Antiqua" w:hAnsi="Book Antiqua"/>
        </w:rPr>
        <w:t>Immune Therapies in Adva</w:t>
      </w:r>
      <w:r w:rsidR="00367E7A" w:rsidRPr="007214E1">
        <w:rPr>
          <w:rFonts w:ascii="Book Antiqua" w:hAnsi="Book Antiqua"/>
        </w:rPr>
        <w:t>nced or Metastatic Malignancies</w:t>
      </w:r>
      <w:r w:rsidR="00354FFA" w:rsidRPr="007214E1">
        <w:rPr>
          <w:rFonts w:ascii="Book Antiqua" w:hAnsi="Book Antiqua"/>
        </w:rPr>
        <w:t xml:space="preserve">. </w:t>
      </w:r>
      <w:r w:rsidRPr="007214E1">
        <w:rPr>
          <w:rFonts w:ascii="Book Antiqua" w:hAnsi="Book Antiqua"/>
        </w:rPr>
        <w:t xml:space="preserve">In: ClinicalTrials.gov [Internet]. Bethesda (MD): U.S. </w:t>
      </w:r>
      <w:r w:rsidR="00354FFA" w:rsidRPr="007214E1">
        <w:rPr>
          <w:rFonts w:ascii="Book Antiqua" w:hAnsi="Book Antiqua"/>
        </w:rPr>
        <w:t xml:space="preserve">National Library of Medicine. </w:t>
      </w:r>
      <w:r w:rsidRPr="007214E1">
        <w:rPr>
          <w:rFonts w:ascii="Book Antiqua" w:hAnsi="Book Antiqua"/>
        </w:rPr>
        <w:t>Available from: https://Clini</w:t>
      </w:r>
      <w:r w:rsidR="00367E7A" w:rsidRPr="007214E1">
        <w:rPr>
          <w:rFonts w:ascii="Book Antiqua" w:hAnsi="Book Antiqua"/>
        </w:rPr>
        <w:t>calTrials.gov/show/NCT03241173</w:t>
      </w:r>
    </w:p>
    <w:p w14:paraId="7C11F1B4" w14:textId="163DB7FF"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44 </w:t>
      </w:r>
      <w:proofErr w:type="spellStart"/>
      <w:r w:rsidRPr="007214E1">
        <w:rPr>
          <w:rFonts w:ascii="Book Antiqua" w:hAnsi="Book Antiqua"/>
          <w:b/>
        </w:rPr>
        <w:t>Incyte</w:t>
      </w:r>
      <w:proofErr w:type="spellEnd"/>
      <w:r w:rsidRPr="007214E1">
        <w:rPr>
          <w:rFonts w:ascii="Book Antiqua" w:hAnsi="Book Antiqua"/>
          <w:b/>
        </w:rPr>
        <w:t xml:space="preserve"> Biosciences International </w:t>
      </w:r>
      <w:proofErr w:type="spellStart"/>
      <w:r w:rsidRPr="007214E1">
        <w:rPr>
          <w:rFonts w:ascii="Book Antiqua" w:hAnsi="Book Antiqua"/>
          <w:b/>
        </w:rPr>
        <w:t>Sàrl</w:t>
      </w:r>
      <w:proofErr w:type="spellEnd"/>
      <w:r w:rsidRPr="007214E1">
        <w:rPr>
          <w:rFonts w:ascii="Book Antiqua" w:hAnsi="Book Antiqua"/>
          <w:b/>
        </w:rPr>
        <w:t xml:space="preserve">. </w:t>
      </w:r>
      <w:r w:rsidRPr="007214E1">
        <w:rPr>
          <w:rFonts w:ascii="Book Antiqua" w:hAnsi="Book Antiqua"/>
        </w:rPr>
        <w:t>Phase 1/2 Study Exploring the Safety,</w:t>
      </w:r>
      <w:r w:rsidR="00367E7A" w:rsidRPr="007214E1">
        <w:rPr>
          <w:rFonts w:ascii="Book Antiqua" w:hAnsi="Book Antiqua"/>
        </w:rPr>
        <w:t xml:space="preserve"> </w:t>
      </w:r>
      <w:r w:rsidRPr="007214E1">
        <w:rPr>
          <w:rFonts w:ascii="Book Antiqua" w:hAnsi="Book Antiqua"/>
        </w:rPr>
        <w:t>Tolerability, and Efficacy of INCAGN01876 Combined With Immune Therapies in Advanc</w:t>
      </w:r>
      <w:r w:rsidR="00354FFA" w:rsidRPr="007214E1">
        <w:rPr>
          <w:rFonts w:ascii="Book Antiqua" w:hAnsi="Book Antiqua"/>
        </w:rPr>
        <w:t xml:space="preserve">ed or Metastatic Malignancies. </w:t>
      </w:r>
      <w:r w:rsidRPr="007214E1">
        <w:rPr>
          <w:rFonts w:ascii="Book Antiqua" w:hAnsi="Book Antiqua"/>
        </w:rPr>
        <w:t xml:space="preserve">In: ClinicalTrials.gov [Internet]. Bethesda (MD): U.S. </w:t>
      </w:r>
      <w:r w:rsidR="00367E7A" w:rsidRPr="007214E1">
        <w:rPr>
          <w:rFonts w:ascii="Book Antiqua" w:hAnsi="Book Antiqua"/>
        </w:rPr>
        <w:t xml:space="preserve">National Library of Medicine. </w:t>
      </w:r>
      <w:r w:rsidRPr="007214E1">
        <w:rPr>
          <w:rFonts w:ascii="Book Antiqua" w:hAnsi="Book Antiqua"/>
        </w:rPr>
        <w:t>Available from: https://Clini</w:t>
      </w:r>
      <w:r w:rsidR="00367E7A" w:rsidRPr="007214E1">
        <w:rPr>
          <w:rFonts w:ascii="Book Antiqua" w:hAnsi="Book Antiqua"/>
        </w:rPr>
        <w:t>calTrials.gov/show/NCT03126110</w:t>
      </w:r>
    </w:p>
    <w:p w14:paraId="57727F06"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45 </w:t>
      </w:r>
      <w:proofErr w:type="spellStart"/>
      <w:r w:rsidRPr="007214E1">
        <w:rPr>
          <w:rFonts w:ascii="Book Antiqua" w:hAnsi="Book Antiqua"/>
          <w:b/>
        </w:rPr>
        <w:t>Boige</w:t>
      </w:r>
      <w:proofErr w:type="spellEnd"/>
      <w:r w:rsidRPr="007214E1">
        <w:rPr>
          <w:rFonts w:ascii="Book Antiqua" w:hAnsi="Book Antiqua"/>
          <w:b/>
        </w:rPr>
        <w:t xml:space="preserve"> V</w:t>
      </w:r>
      <w:r w:rsidRPr="007214E1">
        <w:rPr>
          <w:rFonts w:ascii="Book Antiqua" w:hAnsi="Book Antiqua"/>
        </w:rPr>
        <w:t xml:space="preserve">, </w:t>
      </w:r>
      <w:proofErr w:type="spellStart"/>
      <w:r w:rsidRPr="007214E1">
        <w:rPr>
          <w:rFonts w:ascii="Book Antiqua" w:hAnsi="Book Antiqua"/>
        </w:rPr>
        <w:t>Malka</w:t>
      </w:r>
      <w:proofErr w:type="spellEnd"/>
      <w:r w:rsidRPr="007214E1">
        <w:rPr>
          <w:rFonts w:ascii="Book Antiqua" w:hAnsi="Book Antiqua"/>
        </w:rPr>
        <w:t xml:space="preserve"> D, </w:t>
      </w:r>
      <w:proofErr w:type="spellStart"/>
      <w:r w:rsidRPr="007214E1">
        <w:rPr>
          <w:rFonts w:ascii="Book Antiqua" w:hAnsi="Book Antiqua"/>
        </w:rPr>
        <w:t>Bourredjem</w:t>
      </w:r>
      <w:proofErr w:type="spellEnd"/>
      <w:r w:rsidRPr="007214E1">
        <w:rPr>
          <w:rFonts w:ascii="Book Antiqua" w:hAnsi="Book Antiqua"/>
        </w:rPr>
        <w:t xml:space="preserve"> A, </w:t>
      </w:r>
      <w:proofErr w:type="spellStart"/>
      <w:r w:rsidRPr="007214E1">
        <w:rPr>
          <w:rFonts w:ascii="Book Antiqua" w:hAnsi="Book Antiqua"/>
        </w:rPr>
        <w:t>Dromain</w:t>
      </w:r>
      <w:proofErr w:type="spellEnd"/>
      <w:r w:rsidRPr="007214E1">
        <w:rPr>
          <w:rFonts w:ascii="Book Antiqua" w:hAnsi="Book Antiqua"/>
        </w:rPr>
        <w:t xml:space="preserve"> C, </w:t>
      </w:r>
      <w:proofErr w:type="spellStart"/>
      <w:r w:rsidRPr="007214E1">
        <w:rPr>
          <w:rFonts w:ascii="Book Antiqua" w:hAnsi="Book Antiqua"/>
        </w:rPr>
        <w:t>Baey</w:t>
      </w:r>
      <w:proofErr w:type="spellEnd"/>
      <w:r w:rsidRPr="007214E1">
        <w:rPr>
          <w:rFonts w:ascii="Book Antiqua" w:hAnsi="Book Antiqua"/>
        </w:rPr>
        <w:t xml:space="preserve"> C, Jacques N, </w:t>
      </w:r>
      <w:proofErr w:type="spellStart"/>
      <w:r w:rsidRPr="007214E1">
        <w:rPr>
          <w:rFonts w:ascii="Book Antiqua" w:hAnsi="Book Antiqua"/>
        </w:rPr>
        <w:t>Pignon</w:t>
      </w:r>
      <w:proofErr w:type="spellEnd"/>
      <w:r w:rsidRPr="007214E1">
        <w:rPr>
          <w:rFonts w:ascii="Book Antiqua" w:hAnsi="Book Antiqua"/>
        </w:rPr>
        <w:t xml:space="preserve"> JP, </w:t>
      </w:r>
      <w:proofErr w:type="spellStart"/>
      <w:r w:rsidRPr="007214E1">
        <w:rPr>
          <w:rFonts w:ascii="Book Antiqua" w:hAnsi="Book Antiqua"/>
        </w:rPr>
        <w:t>Vimond</w:t>
      </w:r>
      <w:proofErr w:type="spellEnd"/>
      <w:r w:rsidRPr="007214E1">
        <w:rPr>
          <w:rFonts w:ascii="Book Antiqua" w:hAnsi="Book Antiqua"/>
        </w:rPr>
        <w:t xml:space="preserve"> N, Bouvet-</w:t>
      </w:r>
      <w:proofErr w:type="spellStart"/>
      <w:r w:rsidRPr="007214E1">
        <w:rPr>
          <w:rFonts w:ascii="Book Antiqua" w:hAnsi="Book Antiqua"/>
        </w:rPr>
        <w:t>Forteau</w:t>
      </w:r>
      <w:proofErr w:type="spellEnd"/>
      <w:r w:rsidRPr="007214E1">
        <w:rPr>
          <w:rFonts w:ascii="Book Antiqua" w:hAnsi="Book Antiqua"/>
        </w:rPr>
        <w:t xml:space="preserve"> N, De </w:t>
      </w:r>
      <w:proofErr w:type="spellStart"/>
      <w:r w:rsidRPr="007214E1">
        <w:rPr>
          <w:rFonts w:ascii="Book Antiqua" w:hAnsi="Book Antiqua"/>
        </w:rPr>
        <w:t>Baere</w:t>
      </w:r>
      <w:proofErr w:type="spellEnd"/>
      <w:r w:rsidRPr="007214E1">
        <w:rPr>
          <w:rFonts w:ascii="Book Antiqua" w:hAnsi="Book Antiqua"/>
        </w:rPr>
        <w:t xml:space="preserve"> T, </w:t>
      </w:r>
      <w:proofErr w:type="spellStart"/>
      <w:r w:rsidRPr="007214E1">
        <w:rPr>
          <w:rFonts w:ascii="Book Antiqua" w:hAnsi="Book Antiqua"/>
        </w:rPr>
        <w:t>Ducreux</w:t>
      </w:r>
      <w:proofErr w:type="spellEnd"/>
      <w:r w:rsidRPr="007214E1">
        <w:rPr>
          <w:rFonts w:ascii="Book Antiqua" w:hAnsi="Book Antiqua"/>
        </w:rPr>
        <w:t xml:space="preserve"> M, </w:t>
      </w:r>
      <w:proofErr w:type="spellStart"/>
      <w:r w:rsidRPr="007214E1">
        <w:rPr>
          <w:rFonts w:ascii="Book Antiqua" w:hAnsi="Book Antiqua"/>
        </w:rPr>
        <w:t>Farace</w:t>
      </w:r>
      <w:proofErr w:type="spellEnd"/>
      <w:r w:rsidRPr="007214E1">
        <w:rPr>
          <w:rFonts w:ascii="Book Antiqua" w:hAnsi="Book Antiqua"/>
        </w:rPr>
        <w:t xml:space="preserve"> F. Efficacy, safety, and biomarkers of single-agent bevacizumab therapy in patients with advanced hepatocellular carcinoma. </w:t>
      </w:r>
      <w:r w:rsidRPr="007214E1">
        <w:rPr>
          <w:rFonts w:ascii="Book Antiqua" w:hAnsi="Book Antiqua"/>
          <w:i/>
        </w:rPr>
        <w:t>Oncologist</w:t>
      </w:r>
      <w:r w:rsidRPr="007214E1">
        <w:rPr>
          <w:rFonts w:ascii="Book Antiqua" w:hAnsi="Book Antiqua"/>
        </w:rPr>
        <w:t xml:space="preserve"> 2012; </w:t>
      </w:r>
      <w:r w:rsidRPr="007214E1">
        <w:rPr>
          <w:rFonts w:ascii="Book Antiqua" w:hAnsi="Book Antiqua"/>
          <w:b/>
        </w:rPr>
        <w:t>17</w:t>
      </w:r>
      <w:r w:rsidRPr="007214E1">
        <w:rPr>
          <w:rFonts w:ascii="Book Antiqua" w:hAnsi="Book Antiqua"/>
        </w:rPr>
        <w:t>: 1063-1072 [PMID: 22707516 DOI: 10.1634/theoncologist.2011-0465]</w:t>
      </w:r>
    </w:p>
    <w:p w14:paraId="5E7FF41A"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46 </w:t>
      </w:r>
      <w:r w:rsidRPr="007214E1">
        <w:rPr>
          <w:rFonts w:ascii="Book Antiqua" w:hAnsi="Book Antiqua"/>
          <w:b/>
        </w:rPr>
        <w:t>Tromp SC</w:t>
      </w:r>
      <w:r w:rsidRPr="007214E1">
        <w:rPr>
          <w:rFonts w:ascii="Book Antiqua" w:hAnsi="Book Antiqua"/>
        </w:rPr>
        <w:t xml:space="preserve">, </w:t>
      </w:r>
      <w:proofErr w:type="spellStart"/>
      <w:r w:rsidRPr="007214E1">
        <w:rPr>
          <w:rFonts w:ascii="Book Antiqua" w:hAnsi="Book Antiqua"/>
        </w:rPr>
        <w:t>oude</w:t>
      </w:r>
      <w:proofErr w:type="spellEnd"/>
      <w:r w:rsidRPr="007214E1">
        <w:rPr>
          <w:rFonts w:ascii="Book Antiqua" w:hAnsi="Book Antiqua"/>
        </w:rPr>
        <w:t xml:space="preserve"> </w:t>
      </w:r>
      <w:proofErr w:type="spellStart"/>
      <w:r w:rsidRPr="007214E1">
        <w:rPr>
          <w:rFonts w:ascii="Book Antiqua" w:hAnsi="Book Antiqua"/>
        </w:rPr>
        <w:t>Egbrink</w:t>
      </w:r>
      <w:proofErr w:type="spellEnd"/>
      <w:r w:rsidRPr="007214E1">
        <w:rPr>
          <w:rFonts w:ascii="Book Antiqua" w:hAnsi="Book Antiqua"/>
        </w:rPr>
        <w:t xml:space="preserve"> MG, Dings RP, van </w:t>
      </w:r>
      <w:proofErr w:type="spellStart"/>
      <w:r w:rsidRPr="007214E1">
        <w:rPr>
          <w:rFonts w:ascii="Book Antiqua" w:hAnsi="Book Antiqua"/>
        </w:rPr>
        <w:t>Velzen</w:t>
      </w:r>
      <w:proofErr w:type="spellEnd"/>
      <w:r w:rsidRPr="007214E1">
        <w:rPr>
          <w:rFonts w:ascii="Book Antiqua" w:hAnsi="Book Antiqua"/>
        </w:rPr>
        <w:t xml:space="preserve"> S, </w:t>
      </w:r>
      <w:proofErr w:type="spellStart"/>
      <w:r w:rsidRPr="007214E1">
        <w:rPr>
          <w:rFonts w:ascii="Book Antiqua" w:hAnsi="Book Antiqua"/>
        </w:rPr>
        <w:t>Slaaf</w:t>
      </w:r>
      <w:proofErr w:type="spellEnd"/>
      <w:r w:rsidRPr="007214E1">
        <w:rPr>
          <w:rFonts w:ascii="Book Antiqua" w:hAnsi="Book Antiqua"/>
        </w:rPr>
        <w:t xml:space="preserve"> DW, </w:t>
      </w:r>
      <w:proofErr w:type="spellStart"/>
      <w:r w:rsidRPr="007214E1">
        <w:rPr>
          <w:rFonts w:ascii="Book Antiqua" w:hAnsi="Book Antiqua"/>
        </w:rPr>
        <w:t>Hillen</w:t>
      </w:r>
      <w:proofErr w:type="spellEnd"/>
      <w:r w:rsidRPr="007214E1">
        <w:rPr>
          <w:rFonts w:ascii="Book Antiqua" w:hAnsi="Book Antiqua"/>
        </w:rPr>
        <w:t xml:space="preserve"> HF, </w:t>
      </w:r>
      <w:proofErr w:type="spellStart"/>
      <w:r w:rsidRPr="007214E1">
        <w:rPr>
          <w:rFonts w:ascii="Book Antiqua" w:hAnsi="Book Antiqua"/>
        </w:rPr>
        <w:t>Tangelder</w:t>
      </w:r>
      <w:proofErr w:type="spellEnd"/>
      <w:r w:rsidRPr="007214E1">
        <w:rPr>
          <w:rFonts w:ascii="Book Antiqua" w:hAnsi="Book Antiqua"/>
        </w:rPr>
        <w:t xml:space="preserve"> GJ, </w:t>
      </w:r>
      <w:proofErr w:type="spellStart"/>
      <w:r w:rsidRPr="007214E1">
        <w:rPr>
          <w:rFonts w:ascii="Book Antiqua" w:hAnsi="Book Antiqua"/>
        </w:rPr>
        <w:t>Reneman</w:t>
      </w:r>
      <w:proofErr w:type="spellEnd"/>
      <w:r w:rsidRPr="007214E1">
        <w:rPr>
          <w:rFonts w:ascii="Book Antiqua" w:hAnsi="Book Antiqua"/>
        </w:rPr>
        <w:t xml:space="preserve"> RS, </w:t>
      </w:r>
      <w:proofErr w:type="spellStart"/>
      <w:r w:rsidRPr="007214E1">
        <w:rPr>
          <w:rFonts w:ascii="Book Antiqua" w:hAnsi="Book Antiqua"/>
        </w:rPr>
        <w:t>Griffioen</w:t>
      </w:r>
      <w:proofErr w:type="spellEnd"/>
      <w:r w:rsidRPr="007214E1">
        <w:rPr>
          <w:rFonts w:ascii="Book Antiqua" w:hAnsi="Book Antiqua"/>
        </w:rPr>
        <w:t xml:space="preserve"> AW. Tumor angiogenesis factors reduce leukocyte adhesion in vivo. </w:t>
      </w:r>
      <w:r w:rsidRPr="007214E1">
        <w:rPr>
          <w:rFonts w:ascii="Book Antiqua" w:hAnsi="Book Antiqua"/>
          <w:i/>
        </w:rPr>
        <w:t>Int Immunol</w:t>
      </w:r>
      <w:r w:rsidRPr="007214E1">
        <w:rPr>
          <w:rFonts w:ascii="Book Antiqua" w:hAnsi="Book Antiqua"/>
        </w:rPr>
        <w:t xml:space="preserve"> 2000; </w:t>
      </w:r>
      <w:r w:rsidRPr="007214E1">
        <w:rPr>
          <w:rFonts w:ascii="Book Antiqua" w:hAnsi="Book Antiqua"/>
          <w:b/>
        </w:rPr>
        <w:t>12</w:t>
      </w:r>
      <w:r w:rsidRPr="007214E1">
        <w:rPr>
          <w:rFonts w:ascii="Book Antiqua" w:hAnsi="Book Antiqua"/>
        </w:rPr>
        <w:t>: 671-676 [PMID: 10784613 DOI: 10.1093/</w:t>
      </w:r>
      <w:proofErr w:type="spellStart"/>
      <w:r w:rsidRPr="007214E1">
        <w:rPr>
          <w:rFonts w:ascii="Book Antiqua" w:hAnsi="Book Antiqua"/>
        </w:rPr>
        <w:t>intimm</w:t>
      </w:r>
      <w:proofErr w:type="spellEnd"/>
      <w:r w:rsidRPr="007214E1">
        <w:rPr>
          <w:rFonts w:ascii="Book Antiqua" w:hAnsi="Book Antiqua"/>
        </w:rPr>
        <w:t>/12.5.671]</w:t>
      </w:r>
    </w:p>
    <w:p w14:paraId="6DC46B00"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47 </w:t>
      </w:r>
      <w:proofErr w:type="spellStart"/>
      <w:r w:rsidRPr="007214E1">
        <w:rPr>
          <w:rFonts w:ascii="Book Antiqua" w:hAnsi="Book Antiqua"/>
          <w:b/>
        </w:rPr>
        <w:t>Terme</w:t>
      </w:r>
      <w:proofErr w:type="spellEnd"/>
      <w:r w:rsidRPr="007214E1">
        <w:rPr>
          <w:rFonts w:ascii="Book Antiqua" w:hAnsi="Book Antiqua"/>
          <w:b/>
        </w:rPr>
        <w:t xml:space="preserve"> M</w:t>
      </w:r>
      <w:r w:rsidRPr="007214E1">
        <w:rPr>
          <w:rFonts w:ascii="Book Antiqua" w:hAnsi="Book Antiqua"/>
        </w:rPr>
        <w:t xml:space="preserve">, </w:t>
      </w:r>
      <w:proofErr w:type="spellStart"/>
      <w:r w:rsidRPr="007214E1">
        <w:rPr>
          <w:rFonts w:ascii="Book Antiqua" w:hAnsi="Book Antiqua"/>
        </w:rPr>
        <w:t>Colussi</w:t>
      </w:r>
      <w:proofErr w:type="spellEnd"/>
      <w:r w:rsidRPr="007214E1">
        <w:rPr>
          <w:rFonts w:ascii="Book Antiqua" w:hAnsi="Book Antiqua"/>
        </w:rPr>
        <w:t xml:space="preserve"> O, </w:t>
      </w:r>
      <w:proofErr w:type="spellStart"/>
      <w:r w:rsidRPr="007214E1">
        <w:rPr>
          <w:rFonts w:ascii="Book Antiqua" w:hAnsi="Book Antiqua"/>
        </w:rPr>
        <w:t>Marcheteau</w:t>
      </w:r>
      <w:proofErr w:type="spellEnd"/>
      <w:r w:rsidRPr="007214E1">
        <w:rPr>
          <w:rFonts w:ascii="Book Antiqua" w:hAnsi="Book Antiqua"/>
        </w:rPr>
        <w:t xml:space="preserve"> E, </w:t>
      </w:r>
      <w:proofErr w:type="spellStart"/>
      <w:r w:rsidRPr="007214E1">
        <w:rPr>
          <w:rFonts w:ascii="Book Antiqua" w:hAnsi="Book Antiqua"/>
        </w:rPr>
        <w:t>Tanchot</w:t>
      </w:r>
      <w:proofErr w:type="spellEnd"/>
      <w:r w:rsidRPr="007214E1">
        <w:rPr>
          <w:rFonts w:ascii="Book Antiqua" w:hAnsi="Book Antiqua"/>
        </w:rPr>
        <w:t xml:space="preserve"> C, </w:t>
      </w:r>
      <w:proofErr w:type="spellStart"/>
      <w:r w:rsidRPr="007214E1">
        <w:rPr>
          <w:rFonts w:ascii="Book Antiqua" w:hAnsi="Book Antiqua"/>
        </w:rPr>
        <w:t>Tartour</w:t>
      </w:r>
      <w:proofErr w:type="spellEnd"/>
      <w:r w:rsidRPr="007214E1">
        <w:rPr>
          <w:rFonts w:ascii="Book Antiqua" w:hAnsi="Book Antiqua"/>
        </w:rPr>
        <w:t xml:space="preserve"> E, </w:t>
      </w:r>
      <w:proofErr w:type="spellStart"/>
      <w:r w:rsidRPr="007214E1">
        <w:rPr>
          <w:rFonts w:ascii="Book Antiqua" w:hAnsi="Book Antiqua"/>
        </w:rPr>
        <w:t>Taieb</w:t>
      </w:r>
      <w:proofErr w:type="spellEnd"/>
      <w:r w:rsidRPr="007214E1">
        <w:rPr>
          <w:rFonts w:ascii="Book Antiqua" w:hAnsi="Book Antiqua"/>
        </w:rPr>
        <w:t xml:space="preserve"> J. Modulation of immunity by antiangiogenic molecules in cancer. </w:t>
      </w:r>
      <w:r w:rsidRPr="007214E1">
        <w:rPr>
          <w:rFonts w:ascii="Book Antiqua" w:hAnsi="Book Antiqua"/>
          <w:i/>
        </w:rPr>
        <w:t>Clin Dev Immunol</w:t>
      </w:r>
      <w:r w:rsidRPr="007214E1">
        <w:rPr>
          <w:rFonts w:ascii="Book Antiqua" w:hAnsi="Book Antiqua"/>
        </w:rPr>
        <w:t xml:space="preserve"> 2012; </w:t>
      </w:r>
      <w:r w:rsidRPr="007214E1">
        <w:rPr>
          <w:rFonts w:ascii="Book Antiqua" w:hAnsi="Book Antiqua"/>
          <w:b/>
        </w:rPr>
        <w:t>2012</w:t>
      </w:r>
      <w:r w:rsidRPr="007214E1">
        <w:rPr>
          <w:rFonts w:ascii="Book Antiqua" w:hAnsi="Book Antiqua"/>
        </w:rPr>
        <w:t>: 492920 [PMID: 23320019 DOI: 10.1155/2012/492920]</w:t>
      </w:r>
    </w:p>
    <w:p w14:paraId="2349CBDF" w14:textId="317E65B9"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48 </w:t>
      </w:r>
      <w:r w:rsidRPr="007214E1">
        <w:rPr>
          <w:rFonts w:ascii="Book Antiqua" w:hAnsi="Book Antiqua"/>
          <w:b/>
        </w:rPr>
        <w:t xml:space="preserve">DAILYMED. </w:t>
      </w:r>
      <w:r w:rsidRPr="007214E1">
        <w:rPr>
          <w:rFonts w:ascii="Book Antiqua" w:hAnsi="Book Antiqua"/>
        </w:rPr>
        <w:t>LABEL: AVASTIN- bevacizumab injection,</w:t>
      </w:r>
      <w:r w:rsidR="00367E7A" w:rsidRPr="007214E1">
        <w:rPr>
          <w:rFonts w:ascii="Book Antiqua" w:hAnsi="Book Antiqua"/>
        </w:rPr>
        <w:t xml:space="preserve"> </w:t>
      </w:r>
      <w:r w:rsidRPr="007214E1">
        <w:rPr>
          <w:rFonts w:ascii="Book Antiqua" w:hAnsi="Book Antiqua"/>
        </w:rPr>
        <w:t>solu</w:t>
      </w:r>
      <w:r w:rsidR="00354FFA" w:rsidRPr="007214E1">
        <w:rPr>
          <w:rFonts w:ascii="Book Antiqua" w:hAnsi="Book Antiqua"/>
        </w:rPr>
        <w:t xml:space="preserve">tion. In: DAILYMED [Internet]. </w:t>
      </w:r>
      <w:r w:rsidRPr="007214E1">
        <w:rPr>
          <w:rFonts w:ascii="Book Antiqua" w:hAnsi="Book Antiqua"/>
        </w:rPr>
        <w:t xml:space="preserve">Available from: </w:t>
      </w:r>
      <w:bookmarkStart w:id="19" w:name="OLE_LINK19"/>
      <w:bookmarkStart w:id="20" w:name="OLE_LINK20"/>
      <w:r w:rsidRPr="007214E1">
        <w:rPr>
          <w:rFonts w:ascii="Book Antiqua" w:hAnsi="Book Antiqua"/>
        </w:rPr>
        <w:t>https://dailymed.nlm.nih.gov/dailymed/drugInfo.cfm?setid=939b5</w:t>
      </w:r>
      <w:r w:rsidR="00367E7A" w:rsidRPr="007214E1">
        <w:rPr>
          <w:rFonts w:ascii="Book Antiqua" w:hAnsi="Book Antiqua"/>
        </w:rPr>
        <w:t>d1f-9fb2-4499-80ef-0607aa6b114e</w:t>
      </w:r>
    </w:p>
    <w:bookmarkEnd w:id="19"/>
    <w:bookmarkEnd w:id="20"/>
    <w:p w14:paraId="611F0100"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49 </w:t>
      </w:r>
      <w:r w:rsidRPr="007214E1">
        <w:rPr>
          <w:rFonts w:ascii="Book Antiqua" w:hAnsi="Book Antiqua"/>
          <w:b/>
        </w:rPr>
        <w:t>Siegel AB</w:t>
      </w:r>
      <w:r w:rsidRPr="007214E1">
        <w:rPr>
          <w:rFonts w:ascii="Book Antiqua" w:hAnsi="Book Antiqua"/>
        </w:rPr>
        <w:t xml:space="preserve">, Cohen EI, Ocean A, Lehrer D, Goldenberg A, Knox JJ, Chen H, Clark-Garvey S, Weinberg A, </w:t>
      </w:r>
      <w:proofErr w:type="spellStart"/>
      <w:r w:rsidRPr="007214E1">
        <w:rPr>
          <w:rFonts w:ascii="Book Antiqua" w:hAnsi="Book Antiqua"/>
        </w:rPr>
        <w:t>Mandeli</w:t>
      </w:r>
      <w:proofErr w:type="spellEnd"/>
      <w:r w:rsidRPr="007214E1">
        <w:rPr>
          <w:rFonts w:ascii="Book Antiqua" w:hAnsi="Book Antiqua"/>
        </w:rPr>
        <w:t xml:space="preserve"> J, Christos P, Mazumdar M, Popa E, Brown RS </w:t>
      </w:r>
      <w:proofErr w:type="spellStart"/>
      <w:r w:rsidRPr="007214E1">
        <w:rPr>
          <w:rFonts w:ascii="Book Antiqua" w:hAnsi="Book Antiqua"/>
        </w:rPr>
        <w:t>Jr</w:t>
      </w:r>
      <w:proofErr w:type="spellEnd"/>
      <w:r w:rsidRPr="007214E1">
        <w:rPr>
          <w:rFonts w:ascii="Book Antiqua" w:hAnsi="Book Antiqua"/>
        </w:rPr>
        <w:t xml:space="preserve">, </w:t>
      </w:r>
      <w:proofErr w:type="spellStart"/>
      <w:r w:rsidRPr="007214E1">
        <w:rPr>
          <w:rFonts w:ascii="Book Antiqua" w:hAnsi="Book Antiqua"/>
        </w:rPr>
        <w:t>Rafii</w:t>
      </w:r>
      <w:proofErr w:type="spellEnd"/>
      <w:r w:rsidRPr="007214E1">
        <w:rPr>
          <w:rFonts w:ascii="Book Antiqua" w:hAnsi="Book Antiqua"/>
        </w:rPr>
        <w:t xml:space="preserve"> S, Schwartz JD. Phase II trial evaluating the clinical and </w:t>
      </w:r>
      <w:r w:rsidRPr="007214E1">
        <w:rPr>
          <w:rFonts w:ascii="Book Antiqua" w:hAnsi="Book Antiqua"/>
        </w:rPr>
        <w:lastRenderedPageBreak/>
        <w:t xml:space="preserve">biologic effects of bevacizumab in unresectable hepatocellular carcinoma. </w:t>
      </w:r>
      <w:r w:rsidRPr="007214E1">
        <w:rPr>
          <w:rFonts w:ascii="Book Antiqua" w:hAnsi="Book Antiqua"/>
          <w:i/>
        </w:rPr>
        <w:t>J Clin Oncol</w:t>
      </w:r>
      <w:r w:rsidRPr="007214E1">
        <w:rPr>
          <w:rFonts w:ascii="Book Antiqua" w:hAnsi="Book Antiqua"/>
        </w:rPr>
        <w:t xml:space="preserve"> 2008; </w:t>
      </w:r>
      <w:r w:rsidRPr="007214E1">
        <w:rPr>
          <w:rFonts w:ascii="Book Antiqua" w:hAnsi="Book Antiqua"/>
          <w:b/>
        </w:rPr>
        <w:t>26</w:t>
      </w:r>
      <w:r w:rsidRPr="007214E1">
        <w:rPr>
          <w:rFonts w:ascii="Book Antiqua" w:hAnsi="Book Antiqua"/>
        </w:rPr>
        <w:t>: 2992-2998 [PMID: 18565886 DOI: 10.1200/JCO.2007.15.9947]</w:t>
      </w:r>
    </w:p>
    <w:p w14:paraId="7D7658C7"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50 </w:t>
      </w:r>
      <w:r w:rsidRPr="007214E1">
        <w:rPr>
          <w:rFonts w:ascii="Book Antiqua" w:hAnsi="Book Antiqua"/>
          <w:b/>
        </w:rPr>
        <w:t>McDermott DF</w:t>
      </w:r>
      <w:r w:rsidRPr="007214E1">
        <w:rPr>
          <w:rFonts w:ascii="Book Antiqua" w:hAnsi="Book Antiqua"/>
        </w:rPr>
        <w:t xml:space="preserve">, </w:t>
      </w:r>
      <w:proofErr w:type="spellStart"/>
      <w:r w:rsidRPr="007214E1">
        <w:rPr>
          <w:rFonts w:ascii="Book Antiqua" w:hAnsi="Book Antiqua"/>
        </w:rPr>
        <w:t>Huseni</w:t>
      </w:r>
      <w:proofErr w:type="spellEnd"/>
      <w:r w:rsidRPr="007214E1">
        <w:rPr>
          <w:rFonts w:ascii="Book Antiqua" w:hAnsi="Book Antiqua"/>
        </w:rPr>
        <w:t xml:space="preserve"> MA, Atkins MB, </w:t>
      </w:r>
      <w:proofErr w:type="spellStart"/>
      <w:r w:rsidRPr="007214E1">
        <w:rPr>
          <w:rFonts w:ascii="Book Antiqua" w:hAnsi="Book Antiqua"/>
        </w:rPr>
        <w:t>Motzer</w:t>
      </w:r>
      <w:proofErr w:type="spellEnd"/>
      <w:r w:rsidRPr="007214E1">
        <w:rPr>
          <w:rFonts w:ascii="Book Antiqua" w:hAnsi="Book Antiqua"/>
        </w:rPr>
        <w:t xml:space="preserve"> RJ, </w:t>
      </w:r>
      <w:proofErr w:type="spellStart"/>
      <w:r w:rsidRPr="007214E1">
        <w:rPr>
          <w:rFonts w:ascii="Book Antiqua" w:hAnsi="Book Antiqua"/>
        </w:rPr>
        <w:t>Rini</w:t>
      </w:r>
      <w:proofErr w:type="spellEnd"/>
      <w:r w:rsidRPr="007214E1">
        <w:rPr>
          <w:rFonts w:ascii="Book Antiqua" w:hAnsi="Book Antiqua"/>
        </w:rPr>
        <w:t xml:space="preserve"> BI, </w:t>
      </w:r>
      <w:proofErr w:type="spellStart"/>
      <w:r w:rsidRPr="007214E1">
        <w:rPr>
          <w:rFonts w:ascii="Book Antiqua" w:hAnsi="Book Antiqua"/>
        </w:rPr>
        <w:t>Escudier</w:t>
      </w:r>
      <w:proofErr w:type="spellEnd"/>
      <w:r w:rsidRPr="007214E1">
        <w:rPr>
          <w:rFonts w:ascii="Book Antiqua" w:hAnsi="Book Antiqua"/>
        </w:rPr>
        <w:t xml:space="preserve"> B, Fong L, Joseph RW, Pal SK, Reeves JA, </w:t>
      </w:r>
      <w:proofErr w:type="spellStart"/>
      <w:r w:rsidRPr="007214E1">
        <w:rPr>
          <w:rFonts w:ascii="Book Antiqua" w:hAnsi="Book Antiqua"/>
        </w:rPr>
        <w:t>Sznol</w:t>
      </w:r>
      <w:proofErr w:type="spellEnd"/>
      <w:r w:rsidRPr="007214E1">
        <w:rPr>
          <w:rFonts w:ascii="Book Antiqua" w:hAnsi="Book Antiqua"/>
        </w:rPr>
        <w:t xml:space="preserve"> M, </w:t>
      </w:r>
      <w:proofErr w:type="spellStart"/>
      <w:r w:rsidRPr="007214E1">
        <w:rPr>
          <w:rFonts w:ascii="Book Antiqua" w:hAnsi="Book Antiqua"/>
        </w:rPr>
        <w:t>Hainsworth</w:t>
      </w:r>
      <w:proofErr w:type="spellEnd"/>
      <w:r w:rsidRPr="007214E1">
        <w:rPr>
          <w:rFonts w:ascii="Book Antiqua" w:hAnsi="Book Antiqua"/>
        </w:rPr>
        <w:t xml:space="preserve"> J, </w:t>
      </w:r>
      <w:proofErr w:type="spellStart"/>
      <w:r w:rsidRPr="007214E1">
        <w:rPr>
          <w:rFonts w:ascii="Book Antiqua" w:hAnsi="Book Antiqua"/>
        </w:rPr>
        <w:t>Rathmell</w:t>
      </w:r>
      <w:proofErr w:type="spellEnd"/>
      <w:r w:rsidRPr="007214E1">
        <w:rPr>
          <w:rFonts w:ascii="Book Antiqua" w:hAnsi="Book Antiqua"/>
        </w:rPr>
        <w:t xml:space="preserve"> WK, </w:t>
      </w:r>
      <w:proofErr w:type="spellStart"/>
      <w:r w:rsidRPr="007214E1">
        <w:rPr>
          <w:rFonts w:ascii="Book Antiqua" w:hAnsi="Book Antiqua"/>
        </w:rPr>
        <w:t>Stadler</w:t>
      </w:r>
      <w:proofErr w:type="spellEnd"/>
      <w:r w:rsidRPr="007214E1">
        <w:rPr>
          <w:rFonts w:ascii="Book Antiqua" w:hAnsi="Book Antiqua"/>
        </w:rPr>
        <w:t xml:space="preserve"> WM, Hutson T, Gore ME, </w:t>
      </w:r>
      <w:proofErr w:type="spellStart"/>
      <w:r w:rsidRPr="007214E1">
        <w:rPr>
          <w:rFonts w:ascii="Book Antiqua" w:hAnsi="Book Antiqua"/>
        </w:rPr>
        <w:t>Ravaud</w:t>
      </w:r>
      <w:proofErr w:type="spellEnd"/>
      <w:r w:rsidRPr="007214E1">
        <w:rPr>
          <w:rFonts w:ascii="Book Antiqua" w:hAnsi="Book Antiqua"/>
        </w:rPr>
        <w:t xml:space="preserve"> A, </w:t>
      </w:r>
      <w:proofErr w:type="spellStart"/>
      <w:r w:rsidRPr="007214E1">
        <w:rPr>
          <w:rFonts w:ascii="Book Antiqua" w:hAnsi="Book Antiqua"/>
        </w:rPr>
        <w:t>Bracarda</w:t>
      </w:r>
      <w:proofErr w:type="spellEnd"/>
      <w:r w:rsidRPr="007214E1">
        <w:rPr>
          <w:rFonts w:ascii="Book Antiqua" w:hAnsi="Book Antiqua"/>
        </w:rPr>
        <w:t xml:space="preserve"> S, </w:t>
      </w:r>
      <w:proofErr w:type="spellStart"/>
      <w:r w:rsidRPr="007214E1">
        <w:rPr>
          <w:rFonts w:ascii="Book Antiqua" w:hAnsi="Book Antiqua"/>
        </w:rPr>
        <w:t>Suárez</w:t>
      </w:r>
      <w:proofErr w:type="spellEnd"/>
      <w:r w:rsidRPr="007214E1">
        <w:rPr>
          <w:rFonts w:ascii="Book Antiqua" w:hAnsi="Book Antiqua"/>
        </w:rPr>
        <w:t xml:space="preserve"> C, </w:t>
      </w:r>
      <w:proofErr w:type="spellStart"/>
      <w:r w:rsidRPr="007214E1">
        <w:rPr>
          <w:rFonts w:ascii="Book Antiqua" w:hAnsi="Book Antiqua"/>
        </w:rPr>
        <w:t>Danielli</w:t>
      </w:r>
      <w:proofErr w:type="spellEnd"/>
      <w:r w:rsidRPr="007214E1">
        <w:rPr>
          <w:rFonts w:ascii="Book Antiqua" w:hAnsi="Book Antiqua"/>
        </w:rPr>
        <w:t xml:space="preserve"> R, </w:t>
      </w:r>
      <w:proofErr w:type="spellStart"/>
      <w:r w:rsidRPr="007214E1">
        <w:rPr>
          <w:rFonts w:ascii="Book Antiqua" w:hAnsi="Book Antiqua"/>
        </w:rPr>
        <w:t>Gruenwald</w:t>
      </w:r>
      <w:proofErr w:type="spellEnd"/>
      <w:r w:rsidRPr="007214E1">
        <w:rPr>
          <w:rFonts w:ascii="Book Antiqua" w:hAnsi="Book Antiqua"/>
        </w:rPr>
        <w:t xml:space="preserve"> V, </w:t>
      </w:r>
      <w:proofErr w:type="spellStart"/>
      <w:r w:rsidRPr="007214E1">
        <w:rPr>
          <w:rFonts w:ascii="Book Antiqua" w:hAnsi="Book Antiqua"/>
        </w:rPr>
        <w:t>Choueiri</w:t>
      </w:r>
      <w:proofErr w:type="spellEnd"/>
      <w:r w:rsidRPr="007214E1">
        <w:rPr>
          <w:rFonts w:ascii="Book Antiqua" w:hAnsi="Book Antiqua"/>
        </w:rPr>
        <w:t xml:space="preserve"> TK, </w:t>
      </w:r>
      <w:proofErr w:type="spellStart"/>
      <w:r w:rsidRPr="007214E1">
        <w:rPr>
          <w:rFonts w:ascii="Book Antiqua" w:hAnsi="Book Antiqua"/>
        </w:rPr>
        <w:t>Nickles</w:t>
      </w:r>
      <w:proofErr w:type="spellEnd"/>
      <w:r w:rsidRPr="007214E1">
        <w:rPr>
          <w:rFonts w:ascii="Book Antiqua" w:hAnsi="Book Antiqua"/>
        </w:rPr>
        <w:t xml:space="preserve"> D, </w:t>
      </w:r>
      <w:proofErr w:type="spellStart"/>
      <w:r w:rsidRPr="007214E1">
        <w:rPr>
          <w:rFonts w:ascii="Book Antiqua" w:hAnsi="Book Antiqua"/>
        </w:rPr>
        <w:t>Jhunjhunwala</w:t>
      </w:r>
      <w:proofErr w:type="spellEnd"/>
      <w:r w:rsidRPr="007214E1">
        <w:rPr>
          <w:rFonts w:ascii="Book Antiqua" w:hAnsi="Book Antiqua"/>
        </w:rPr>
        <w:t xml:space="preserve"> S, </w:t>
      </w:r>
      <w:proofErr w:type="spellStart"/>
      <w:r w:rsidRPr="007214E1">
        <w:rPr>
          <w:rFonts w:ascii="Book Antiqua" w:hAnsi="Book Antiqua"/>
        </w:rPr>
        <w:t>Piault</w:t>
      </w:r>
      <w:proofErr w:type="spellEnd"/>
      <w:r w:rsidRPr="007214E1">
        <w:rPr>
          <w:rFonts w:ascii="Book Antiqua" w:hAnsi="Book Antiqua"/>
        </w:rPr>
        <w:t xml:space="preserve">-Louis E, </w:t>
      </w:r>
      <w:proofErr w:type="spellStart"/>
      <w:r w:rsidRPr="007214E1">
        <w:rPr>
          <w:rFonts w:ascii="Book Antiqua" w:hAnsi="Book Antiqua"/>
        </w:rPr>
        <w:t>Thobhani</w:t>
      </w:r>
      <w:proofErr w:type="spellEnd"/>
      <w:r w:rsidRPr="007214E1">
        <w:rPr>
          <w:rFonts w:ascii="Book Antiqua" w:hAnsi="Book Antiqua"/>
        </w:rPr>
        <w:t xml:space="preserve"> A, </w:t>
      </w:r>
      <w:proofErr w:type="spellStart"/>
      <w:r w:rsidRPr="007214E1">
        <w:rPr>
          <w:rFonts w:ascii="Book Antiqua" w:hAnsi="Book Antiqua"/>
        </w:rPr>
        <w:t>Qiu</w:t>
      </w:r>
      <w:proofErr w:type="spellEnd"/>
      <w:r w:rsidRPr="007214E1">
        <w:rPr>
          <w:rFonts w:ascii="Book Antiqua" w:hAnsi="Book Antiqua"/>
        </w:rPr>
        <w:t xml:space="preserve"> J, Chen DS, Hegde PS, Schiff C, Fine GD, Powles T. Clinical activity and molecular correlates of response to atezolizumab alone or in combination with bevacizumab versus sunitinib in renal cell carcinoma. </w:t>
      </w:r>
      <w:r w:rsidRPr="007214E1">
        <w:rPr>
          <w:rFonts w:ascii="Book Antiqua" w:hAnsi="Book Antiqua"/>
          <w:i/>
        </w:rPr>
        <w:t>Nat Med</w:t>
      </w:r>
      <w:r w:rsidRPr="007214E1">
        <w:rPr>
          <w:rFonts w:ascii="Book Antiqua" w:hAnsi="Book Antiqua"/>
        </w:rPr>
        <w:t xml:space="preserve"> 2018; </w:t>
      </w:r>
      <w:r w:rsidRPr="007214E1">
        <w:rPr>
          <w:rFonts w:ascii="Book Antiqua" w:hAnsi="Book Antiqua"/>
          <w:b/>
        </w:rPr>
        <w:t>24</w:t>
      </w:r>
      <w:r w:rsidRPr="007214E1">
        <w:rPr>
          <w:rFonts w:ascii="Book Antiqua" w:hAnsi="Book Antiqua"/>
        </w:rPr>
        <w:t>: 749-757 [PMID: 29867230 DOI: 10.1038/s41591-018-0053-3]</w:t>
      </w:r>
    </w:p>
    <w:p w14:paraId="4038CD31" w14:textId="783B5E3E"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51 </w:t>
      </w:r>
      <w:r w:rsidRPr="007214E1">
        <w:rPr>
          <w:rFonts w:ascii="Book Antiqua" w:hAnsi="Book Antiqua"/>
          <w:b/>
        </w:rPr>
        <w:t xml:space="preserve">DAILYMED. </w:t>
      </w:r>
      <w:r w:rsidRPr="007214E1">
        <w:rPr>
          <w:rFonts w:ascii="Book Antiqua" w:hAnsi="Book Antiqua"/>
        </w:rPr>
        <w:t>LABEL: TECENTRIQ</w:t>
      </w:r>
      <w:r w:rsidR="00F726DC" w:rsidRPr="007214E1">
        <w:rPr>
          <w:rFonts w:ascii="Book Antiqua" w:hAnsi="Book Antiqua"/>
        </w:rPr>
        <w:t xml:space="preserve"> </w:t>
      </w:r>
      <w:r w:rsidRPr="007214E1">
        <w:rPr>
          <w:rFonts w:ascii="Book Antiqua" w:hAnsi="Book Antiqua"/>
        </w:rPr>
        <w:t>- atezolizumab injection,</w:t>
      </w:r>
      <w:r w:rsidR="00F726DC" w:rsidRPr="007214E1">
        <w:rPr>
          <w:rFonts w:ascii="Book Antiqua" w:hAnsi="Book Antiqua"/>
        </w:rPr>
        <w:t xml:space="preserve"> solution. December 11, 2019. </w:t>
      </w:r>
      <w:r w:rsidR="00354FFA" w:rsidRPr="007214E1">
        <w:rPr>
          <w:rFonts w:ascii="Book Antiqua" w:hAnsi="Book Antiqua"/>
        </w:rPr>
        <w:t xml:space="preserve">In: DAILYMED [Internet]. </w:t>
      </w:r>
      <w:r w:rsidRPr="007214E1">
        <w:rPr>
          <w:rFonts w:ascii="Book Antiqua" w:hAnsi="Book Antiqua"/>
        </w:rPr>
        <w:t>Available from: https://dailymed.nlm.nih.gov/dailymed/drugInfo.cfm?setid=6fa68</w:t>
      </w:r>
      <w:r w:rsidR="00F726DC" w:rsidRPr="007214E1">
        <w:rPr>
          <w:rFonts w:ascii="Book Antiqua" w:hAnsi="Book Antiqua"/>
        </w:rPr>
        <w:t>2c9-a312-4932-9831-f286908660ee</w:t>
      </w:r>
    </w:p>
    <w:p w14:paraId="5E24B73A"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52 </w:t>
      </w:r>
      <w:proofErr w:type="spellStart"/>
      <w:r w:rsidRPr="007214E1">
        <w:rPr>
          <w:rFonts w:ascii="Book Antiqua" w:hAnsi="Book Antiqua"/>
          <w:b/>
        </w:rPr>
        <w:t>Rini</w:t>
      </w:r>
      <w:proofErr w:type="spellEnd"/>
      <w:r w:rsidRPr="007214E1">
        <w:rPr>
          <w:rFonts w:ascii="Book Antiqua" w:hAnsi="Book Antiqua"/>
          <w:b/>
        </w:rPr>
        <w:t xml:space="preserve"> BI</w:t>
      </w:r>
      <w:r w:rsidRPr="007214E1">
        <w:rPr>
          <w:rFonts w:ascii="Book Antiqua" w:hAnsi="Book Antiqua"/>
        </w:rPr>
        <w:t xml:space="preserve">, </w:t>
      </w:r>
      <w:proofErr w:type="spellStart"/>
      <w:r w:rsidRPr="007214E1">
        <w:rPr>
          <w:rFonts w:ascii="Book Antiqua" w:hAnsi="Book Antiqua"/>
        </w:rPr>
        <w:t>Powles</w:t>
      </w:r>
      <w:proofErr w:type="spellEnd"/>
      <w:r w:rsidRPr="007214E1">
        <w:rPr>
          <w:rFonts w:ascii="Book Antiqua" w:hAnsi="Book Antiqua"/>
        </w:rPr>
        <w:t xml:space="preserve"> T, Atkins MB, </w:t>
      </w:r>
      <w:proofErr w:type="spellStart"/>
      <w:r w:rsidRPr="007214E1">
        <w:rPr>
          <w:rFonts w:ascii="Book Antiqua" w:hAnsi="Book Antiqua"/>
        </w:rPr>
        <w:t>Escudier</w:t>
      </w:r>
      <w:proofErr w:type="spellEnd"/>
      <w:r w:rsidRPr="007214E1">
        <w:rPr>
          <w:rFonts w:ascii="Book Antiqua" w:hAnsi="Book Antiqua"/>
        </w:rPr>
        <w:t xml:space="preserve"> B, McDermott DF, Suarez C, </w:t>
      </w:r>
      <w:proofErr w:type="spellStart"/>
      <w:r w:rsidRPr="007214E1">
        <w:rPr>
          <w:rFonts w:ascii="Book Antiqua" w:hAnsi="Book Antiqua"/>
        </w:rPr>
        <w:t>Bracarda</w:t>
      </w:r>
      <w:proofErr w:type="spellEnd"/>
      <w:r w:rsidRPr="007214E1">
        <w:rPr>
          <w:rFonts w:ascii="Book Antiqua" w:hAnsi="Book Antiqua"/>
        </w:rPr>
        <w:t xml:space="preserve"> S, </w:t>
      </w:r>
      <w:proofErr w:type="spellStart"/>
      <w:r w:rsidRPr="007214E1">
        <w:rPr>
          <w:rFonts w:ascii="Book Antiqua" w:hAnsi="Book Antiqua"/>
        </w:rPr>
        <w:t>Stadler</w:t>
      </w:r>
      <w:proofErr w:type="spellEnd"/>
      <w:r w:rsidRPr="007214E1">
        <w:rPr>
          <w:rFonts w:ascii="Book Antiqua" w:hAnsi="Book Antiqua"/>
        </w:rPr>
        <w:t xml:space="preserve"> WM, </w:t>
      </w:r>
      <w:proofErr w:type="spellStart"/>
      <w:r w:rsidRPr="007214E1">
        <w:rPr>
          <w:rFonts w:ascii="Book Antiqua" w:hAnsi="Book Antiqua"/>
        </w:rPr>
        <w:t>Donskov</w:t>
      </w:r>
      <w:proofErr w:type="spellEnd"/>
      <w:r w:rsidRPr="007214E1">
        <w:rPr>
          <w:rFonts w:ascii="Book Antiqua" w:hAnsi="Book Antiqua"/>
        </w:rPr>
        <w:t xml:space="preserve"> F, Lee JL, Hawkins R, </w:t>
      </w:r>
      <w:proofErr w:type="spellStart"/>
      <w:r w:rsidRPr="007214E1">
        <w:rPr>
          <w:rFonts w:ascii="Book Antiqua" w:hAnsi="Book Antiqua"/>
        </w:rPr>
        <w:t>Ravaud</w:t>
      </w:r>
      <w:proofErr w:type="spellEnd"/>
      <w:r w:rsidRPr="007214E1">
        <w:rPr>
          <w:rFonts w:ascii="Book Antiqua" w:hAnsi="Book Antiqua"/>
        </w:rPr>
        <w:t xml:space="preserve"> A, Alekseev B, </w:t>
      </w:r>
      <w:proofErr w:type="spellStart"/>
      <w:r w:rsidRPr="007214E1">
        <w:rPr>
          <w:rFonts w:ascii="Book Antiqua" w:hAnsi="Book Antiqua"/>
        </w:rPr>
        <w:t>Staehler</w:t>
      </w:r>
      <w:proofErr w:type="spellEnd"/>
      <w:r w:rsidRPr="007214E1">
        <w:rPr>
          <w:rFonts w:ascii="Book Antiqua" w:hAnsi="Book Antiqua"/>
        </w:rPr>
        <w:t xml:space="preserve"> M, </w:t>
      </w:r>
      <w:proofErr w:type="spellStart"/>
      <w:r w:rsidRPr="007214E1">
        <w:rPr>
          <w:rFonts w:ascii="Book Antiqua" w:hAnsi="Book Antiqua"/>
        </w:rPr>
        <w:t>Uemura</w:t>
      </w:r>
      <w:proofErr w:type="spellEnd"/>
      <w:r w:rsidRPr="007214E1">
        <w:rPr>
          <w:rFonts w:ascii="Book Antiqua" w:hAnsi="Book Antiqua"/>
        </w:rPr>
        <w:t xml:space="preserve"> M, De </w:t>
      </w:r>
      <w:proofErr w:type="spellStart"/>
      <w:r w:rsidRPr="007214E1">
        <w:rPr>
          <w:rFonts w:ascii="Book Antiqua" w:hAnsi="Book Antiqua"/>
        </w:rPr>
        <w:t>Giorgi</w:t>
      </w:r>
      <w:proofErr w:type="spellEnd"/>
      <w:r w:rsidRPr="007214E1">
        <w:rPr>
          <w:rFonts w:ascii="Book Antiqua" w:hAnsi="Book Antiqua"/>
        </w:rPr>
        <w:t xml:space="preserve"> U, </w:t>
      </w:r>
      <w:proofErr w:type="spellStart"/>
      <w:r w:rsidRPr="007214E1">
        <w:rPr>
          <w:rFonts w:ascii="Book Antiqua" w:hAnsi="Book Antiqua"/>
        </w:rPr>
        <w:t>Mellado</w:t>
      </w:r>
      <w:proofErr w:type="spellEnd"/>
      <w:r w:rsidRPr="007214E1">
        <w:rPr>
          <w:rFonts w:ascii="Book Antiqua" w:hAnsi="Book Antiqua"/>
        </w:rPr>
        <w:t xml:space="preserve"> B, </w:t>
      </w:r>
      <w:proofErr w:type="spellStart"/>
      <w:r w:rsidRPr="007214E1">
        <w:rPr>
          <w:rFonts w:ascii="Book Antiqua" w:hAnsi="Book Antiqua"/>
        </w:rPr>
        <w:t>Porta</w:t>
      </w:r>
      <w:proofErr w:type="spellEnd"/>
      <w:r w:rsidRPr="007214E1">
        <w:rPr>
          <w:rFonts w:ascii="Book Antiqua" w:hAnsi="Book Antiqua"/>
        </w:rPr>
        <w:t xml:space="preserve"> C, </w:t>
      </w:r>
      <w:proofErr w:type="spellStart"/>
      <w:r w:rsidRPr="007214E1">
        <w:rPr>
          <w:rFonts w:ascii="Book Antiqua" w:hAnsi="Book Antiqua"/>
        </w:rPr>
        <w:t>Melichar</w:t>
      </w:r>
      <w:proofErr w:type="spellEnd"/>
      <w:r w:rsidRPr="007214E1">
        <w:rPr>
          <w:rFonts w:ascii="Book Antiqua" w:hAnsi="Book Antiqua"/>
        </w:rPr>
        <w:t xml:space="preserve"> B, Gurney H, </w:t>
      </w:r>
      <w:proofErr w:type="spellStart"/>
      <w:r w:rsidRPr="007214E1">
        <w:rPr>
          <w:rFonts w:ascii="Book Antiqua" w:hAnsi="Book Antiqua"/>
        </w:rPr>
        <w:t>Bedke</w:t>
      </w:r>
      <w:proofErr w:type="spellEnd"/>
      <w:r w:rsidRPr="007214E1">
        <w:rPr>
          <w:rFonts w:ascii="Book Antiqua" w:hAnsi="Book Antiqua"/>
        </w:rPr>
        <w:t xml:space="preserve"> J, </w:t>
      </w:r>
      <w:proofErr w:type="spellStart"/>
      <w:r w:rsidRPr="007214E1">
        <w:rPr>
          <w:rFonts w:ascii="Book Antiqua" w:hAnsi="Book Antiqua"/>
        </w:rPr>
        <w:t>Choueiri</w:t>
      </w:r>
      <w:proofErr w:type="spellEnd"/>
      <w:r w:rsidRPr="007214E1">
        <w:rPr>
          <w:rFonts w:ascii="Book Antiqua" w:hAnsi="Book Antiqua"/>
        </w:rPr>
        <w:t xml:space="preserve"> TK, </w:t>
      </w:r>
      <w:proofErr w:type="spellStart"/>
      <w:r w:rsidRPr="007214E1">
        <w:rPr>
          <w:rFonts w:ascii="Book Antiqua" w:hAnsi="Book Antiqua"/>
        </w:rPr>
        <w:t>Parnis</w:t>
      </w:r>
      <w:proofErr w:type="spellEnd"/>
      <w:r w:rsidRPr="007214E1">
        <w:rPr>
          <w:rFonts w:ascii="Book Antiqua" w:hAnsi="Book Antiqua"/>
        </w:rPr>
        <w:t xml:space="preserve"> F, </w:t>
      </w:r>
      <w:proofErr w:type="spellStart"/>
      <w:r w:rsidRPr="007214E1">
        <w:rPr>
          <w:rFonts w:ascii="Book Antiqua" w:hAnsi="Book Antiqua"/>
        </w:rPr>
        <w:t>Khaznadar</w:t>
      </w:r>
      <w:proofErr w:type="spellEnd"/>
      <w:r w:rsidRPr="007214E1">
        <w:rPr>
          <w:rFonts w:ascii="Book Antiqua" w:hAnsi="Book Antiqua"/>
        </w:rPr>
        <w:t xml:space="preserve"> T, </w:t>
      </w:r>
      <w:proofErr w:type="spellStart"/>
      <w:r w:rsidRPr="007214E1">
        <w:rPr>
          <w:rFonts w:ascii="Book Antiqua" w:hAnsi="Book Antiqua"/>
        </w:rPr>
        <w:t>Thobhani</w:t>
      </w:r>
      <w:proofErr w:type="spellEnd"/>
      <w:r w:rsidRPr="007214E1">
        <w:rPr>
          <w:rFonts w:ascii="Book Antiqua" w:hAnsi="Book Antiqua"/>
        </w:rPr>
        <w:t xml:space="preserve"> A, Li S, </w:t>
      </w:r>
      <w:proofErr w:type="spellStart"/>
      <w:r w:rsidRPr="007214E1">
        <w:rPr>
          <w:rFonts w:ascii="Book Antiqua" w:hAnsi="Book Antiqua"/>
        </w:rPr>
        <w:t>Piault</w:t>
      </w:r>
      <w:proofErr w:type="spellEnd"/>
      <w:r w:rsidRPr="007214E1">
        <w:rPr>
          <w:rFonts w:ascii="Book Antiqua" w:hAnsi="Book Antiqua"/>
        </w:rPr>
        <w:t xml:space="preserve">-Louis E, Frantz G, </w:t>
      </w:r>
      <w:proofErr w:type="spellStart"/>
      <w:r w:rsidRPr="007214E1">
        <w:rPr>
          <w:rFonts w:ascii="Book Antiqua" w:hAnsi="Book Antiqua"/>
        </w:rPr>
        <w:t>Huseni</w:t>
      </w:r>
      <w:proofErr w:type="spellEnd"/>
      <w:r w:rsidRPr="007214E1">
        <w:rPr>
          <w:rFonts w:ascii="Book Antiqua" w:hAnsi="Book Antiqua"/>
        </w:rPr>
        <w:t xml:space="preserve"> M, Schiff C, Green MC, </w:t>
      </w:r>
      <w:proofErr w:type="spellStart"/>
      <w:r w:rsidRPr="007214E1">
        <w:rPr>
          <w:rFonts w:ascii="Book Antiqua" w:hAnsi="Book Antiqua"/>
        </w:rPr>
        <w:t>Motzer</w:t>
      </w:r>
      <w:proofErr w:type="spellEnd"/>
      <w:r w:rsidRPr="007214E1">
        <w:rPr>
          <w:rFonts w:ascii="Book Antiqua" w:hAnsi="Book Antiqua"/>
        </w:rPr>
        <w:t xml:space="preserve"> RJ; IMmotion151 Study Group. Atezolizumab plus bevacizumab versus sunitinib in patients with previously untreated metastatic renal cell carcinoma (IMmotion151): a </w:t>
      </w:r>
      <w:proofErr w:type="spellStart"/>
      <w:r w:rsidRPr="007214E1">
        <w:rPr>
          <w:rFonts w:ascii="Book Antiqua" w:hAnsi="Book Antiqua"/>
        </w:rPr>
        <w:t>multicentre</w:t>
      </w:r>
      <w:proofErr w:type="spellEnd"/>
      <w:r w:rsidRPr="007214E1">
        <w:rPr>
          <w:rFonts w:ascii="Book Antiqua" w:hAnsi="Book Antiqua"/>
        </w:rPr>
        <w:t xml:space="preserve">, open-label, phase 3, </w:t>
      </w:r>
      <w:proofErr w:type="spellStart"/>
      <w:r w:rsidRPr="007214E1">
        <w:rPr>
          <w:rFonts w:ascii="Book Antiqua" w:hAnsi="Book Antiqua"/>
        </w:rPr>
        <w:t>randomised</w:t>
      </w:r>
      <w:proofErr w:type="spellEnd"/>
      <w:r w:rsidRPr="007214E1">
        <w:rPr>
          <w:rFonts w:ascii="Book Antiqua" w:hAnsi="Book Antiqua"/>
        </w:rPr>
        <w:t xml:space="preserve"> controlled trial. </w:t>
      </w:r>
      <w:r w:rsidRPr="007214E1">
        <w:rPr>
          <w:rFonts w:ascii="Book Antiqua" w:hAnsi="Book Antiqua"/>
          <w:i/>
        </w:rPr>
        <w:t>Lancet</w:t>
      </w:r>
      <w:r w:rsidRPr="007214E1">
        <w:rPr>
          <w:rFonts w:ascii="Book Antiqua" w:hAnsi="Book Antiqua"/>
        </w:rPr>
        <w:t xml:space="preserve"> 2019; </w:t>
      </w:r>
      <w:r w:rsidRPr="007214E1">
        <w:rPr>
          <w:rFonts w:ascii="Book Antiqua" w:hAnsi="Book Antiqua"/>
          <w:b/>
        </w:rPr>
        <w:t>393</w:t>
      </w:r>
      <w:r w:rsidRPr="007214E1">
        <w:rPr>
          <w:rFonts w:ascii="Book Antiqua" w:hAnsi="Book Antiqua"/>
        </w:rPr>
        <w:t>: 2404-2415 [PMID: 31079938 DOI: 10.1016/S0140-6736(19)30723-8]</w:t>
      </w:r>
    </w:p>
    <w:p w14:paraId="41961186" w14:textId="1DC7A6C0"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53 </w:t>
      </w:r>
      <w:r w:rsidRPr="007214E1">
        <w:rPr>
          <w:rFonts w:ascii="Book Antiqua" w:hAnsi="Book Antiqua"/>
          <w:b/>
        </w:rPr>
        <w:t>Stein S,</w:t>
      </w:r>
      <w:r w:rsidR="00354FFA" w:rsidRPr="007214E1">
        <w:rPr>
          <w:rFonts w:ascii="Book Antiqua" w:hAnsi="Book Antiqua"/>
        </w:rPr>
        <w:t xml:space="preserve"> </w:t>
      </w:r>
      <w:proofErr w:type="spellStart"/>
      <w:r w:rsidRPr="007214E1">
        <w:rPr>
          <w:rFonts w:ascii="Book Antiqua" w:hAnsi="Book Antiqua"/>
        </w:rPr>
        <w:t>Pishvaian</w:t>
      </w:r>
      <w:proofErr w:type="spellEnd"/>
      <w:r w:rsidRPr="007214E1">
        <w:rPr>
          <w:rFonts w:ascii="Book Antiqua" w:hAnsi="Book Antiqua"/>
        </w:rPr>
        <w:t xml:space="preserve"> MJ, Lee MS, Lee K, Hernandez S, Kwan A, Liu B, Grossman W, </w:t>
      </w:r>
      <w:proofErr w:type="spellStart"/>
      <w:r w:rsidRPr="007214E1">
        <w:rPr>
          <w:rFonts w:ascii="Book Antiqua" w:hAnsi="Book Antiqua"/>
        </w:rPr>
        <w:t>Iizuka</w:t>
      </w:r>
      <w:proofErr w:type="spellEnd"/>
      <w:r w:rsidRPr="007214E1">
        <w:rPr>
          <w:rFonts w:ascii="Book Antiqua" w:hAnsi="Book Antiqua"/>
        </w:rPr>
        <w:t xml:space="preserve"> K, </w:t>
      </w:r>
      <w:proofErr w:type="spellStart"/>
      <w:r w:rsidRPr="007214E1">
        <w:rPr>
          <w:rFonts w:ascii="Book Antiqua" w:hAnsi="Book Antiqua"/>
        </w:rPr>
        <w:t>Ryoo</w:t>
      </w:r>
      <w:proofErr w:type="spellEnd"/>
      <w:r w:rsidRPr="007214E1">
        <w:rPr>
          <w:rFonts w:ascii="Book Antiqua" w:hAnsi="Book Antiqua"/>
        </w:rPr>
        <w:t xml:space="preserve"> B. Safety and clinical activity of 1L atezolizumab + bevacizumab in a phase </w:t>
      </w:r>
      <w:proofErr w:type="spellStart"/>
      <w:r w:rsidRPr="007214E1">
        <w:rPr>
          <w:rFonts w:ascii="Book Antiqua" w:hAnsi="Book Antiqua"/>
        </w:rPr>
        <w:t>Ib</w:t>
      </w:r>
      <w:proofErr w:type="spellEnd"/>
      <w:r w:rsidRPr="007214E1">
        <w:rPr>
          <w:rFonts w:ascii="Book Antiqua" w:hAnsi="Book Antiqua"/>
        </w:rPr>
        <w:t xml:space="preserve"> study in hepatocellular carcinoma (HCC). </w:t>
      </w:r>
      <w:r w:rsidR="00320213" w:rsidRPr="007214E1">
        <w:rPr>
          <w:rFonts w:ascii="Book Antiqua" w:hAnsi="Book Antiqua"/>
          <w:i/>
        </w:rPr>
        <w:t>J Clin Oncol</w:t>
      </w:r>
      <w:r w:rsidRPr="007214E1">
        <w:rPr>
          <w:rFonts w:ascii="Book Antiqua" w:hAnsi="Book Antiqua"/>
        </w:rPr>
        <w:t xml:space="preserve"> 2018;</w:t>
      </w:r>
      <w:r w:rsidR="00F726DC" w:rsidRPr="007214E1">
        <w:rPr>
          <w:rFonts w:ascii="Book Antiqua" w:hAnsi="Book Antiqua"/>
        </w:rPr>
        <w:t xml:space="preserve"> </w:t>
      </w:r>
      <w:r w:rsidRPr="007214E1">
        <w:rPr>
          <w:rFonts w:ascii="Book Antiqua" w:hAnsi="Book Antiqua"/>
          <w:b/>
        </w:rPr>
        <w:t>36(15_suppl):</w:t>
      </w:r>
      <w:r w:rsidR="00F726DC" w:rsidRPr="007214E1">
        <w:rPr>
          <w:rFonts w:ascii="Book Antiqua" w:hAnsi="Book Antiqua"/>
        </w:rPr>
        <w:t xml:space="preserve"> 4074 </w:t>
      </w:r>
      <w:r w:rsidRPr="007214E1">
        <w:rPr>
          <w:rFonts w:ascii="Book Antiqua" w:hAnsi="Book Antiqua"/>
        </w:rPr>
        <w:t>[DOI: 10.1200/JCO.2018.36.15_suppl.4074]</w:t>
      </w:r>
    </w:p>
    <w:p w14:paraId="352B1946" w14:textId="4657009B"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54 </w:t>
      </w:r>
      <w:r w:rsidRPr="007214E1">
        <w:rPr>
          <w:rFonts w:ascii="Book Antiqua" w:hAnsi="Book Antiqua"/>
          <w:b/>
        </w:rPr>
        <w:t>Lee M,</w:t>
      </w:r>
      <w:r w:rsidR="00354FFA" w:rsidRPr="007214E1">
        <w:rPr>
          <w:rFonts w:ascii="Book Antiqua" w:hAnsi="Book Antiqua"/>
        </w:rPr>
        <w:t xml:space="preserve"> </w:t>
      </w:r>
      <w:proofErr w:type="spellStart"/>
      <w:r w:rsidRPr="007214E1">
        <w:rPr>
          <w:rFonts w:ascii="Book Antiqua" w:hAnsi="Book Antiqua"/>
        </w:rPr>
        <w:t>Ryoo</w:t>
      </w:r>
      <w:proofErr w:type="spellEnd"/>
      <w:r w:rsidRPr="007214E1">
        <w:rPr>
          <w:rFonts w:ascii="Book Antiqua" w:hAnsi="Book Antiqua"/>
        </w:rPr>
        <w:t xml:space="preserve"> B-Y, Hsu C-H, </w:t>
      </w:r>
      <w:proofErr w:type="spellStart"/>
      <w:r w:rsidRPr="007214E1">
        <w:rPr>
          <w:rFonts w:ascii="Book Antiqua" w:hAnsi="Book Antiqua"/>
        </w:rPr>
        <w:t>Numata</w:t>
      </w:r>
      <w:proofErr w:type="spellEnd"/>
      <w:r w:rsidRPr="007214E1">
        <w:rPr>
          <w:rFonts w:ascii="Book Antiqua" w:hAnsi="Book Antiqua"/>
        </w:rPr>
        <w:t xml:space="preserve"> K, Stein S, Verret W, Hack S, </w:t>
      </w:r>
      <w:proofErr w:type="spellStart"/>
      <w:r w:rsidRPr="007214E1">
        <w:rPr>
          <w:rFonts w:ascii="Book Antiqua" w:hAnsi="Book Antiqua"/>
        </w:rPr>
        <w:t>Spahn</w:t>
      </w:r>
      <w:proofErr w:type="spellEnd"/>
      <w:r w:rsidRPr="007214E1">
        <w:rPr>
          <w:rFonts w:ascii="Book Antiqua" w:hAnsi="Book Antiqua"/>
        </w:rPr>
        <w:t xml:space="preserve"> J, Liu B, Abdullah H, He R, Lee KH. </w:t>
      </w:r>
      <w:proofErr w:type="spellStart"/>
      <w:r w:rsidRPr="007214E1">
        <w:rPr>
          <w:rFonts w:ascii="Book Antiqua" w:hAnsi="Book Antiqua"/>
        </w:rPr>
        <w:t>Randomised</w:t>
      </w:r>
      <w:proofErr w:type="spellEnd"/>
      <w:r w:rsidRPr="007214E1">
        <w:rPr>
          <w:rFonts w:ascii="Book Antiqua" w:hAnsi="Book Antiqua"/>
        </w:rPr>
        <w:t xml:space="preserve"> efficacy and safety results for </w:t>
      </w:r>
      <w:proofErr w:type="spellStart"/>
      <w:r w:rsidRPr="007214E1">
        <w:rPr>
          <w:rFonts w:ascii="Book Antiqua" w:hAnsi="Book Antiqua"/>
        </w:rPr>
        <w:lastRenderedPageBreak/>
        <w:t>atezolizumab</w:t>
      </w:r>
      <w:proofErr w:type="spellEnd"/>
      <w:r w:rsidRPr="007214E1">
        <w:rPr>
          <w:rFonts w:ascii="Book Antiqua" w:hAnsi="Book Antiqua"/>
        </w:rPr>
        <w:t xml:space="preserve"> (</w:t>
      </w:r>
      <w:proofErr w:type="spellStart"/>
      <w:r w:rsidRPr="007214E1">
        <w:rPr>
          <w:rFonts w:ascii="Book Antiqua" w:hAnsi="Book Antiqua"/>
        </w:rPr>
        <w:t>Atezo</w:t>
      </w:r>
      <w:proofErr w:type="spellEnd"/>
      <w:r w:rsidRPr="007214E1">
        <w:rPr>
          <w:rFonts w:ascii="Book Antiqua" w:hAnsi="Book Antiqua"/>
        </w:rPr>
        <w:t xml:space="preserve">) + </w:t>
      </w:r>
      <w:proofErr w:type="spellStart"/>
      <w:r w:rsidRPr="007214E1">
        <w:rPr>
          <w:rFonts w:ascii="Book Antiqua" w:hAnsi="Book Antiqua"/>
        </w:rPr>
        <w:t>bevacizumab</w:t>
      </w:r>
      <w:proofErr w:type="spellEnd"/>
      <w:r w:rsidRPr="007214E1">
        <w:rPr>
          <w:rFonts w:ascii="Book Antiqua" w:hAnsi="Book Antiqua"/>
        </w:rPr>
        <w:t xml:space="preserve"> (Bev) in patients (pts) with previously untreated, unresectable hepatocellular carc</w:t>
      </w:r>
      <w:r w:rsidR="00F726DC" w:rsidRPr="007214E1">
        <w:rPr>
          <w:rFonts w:ascii="Book Antiqua" w:hAnsi="Book Antiqua"/>
        </w:rPr>
        <w:t xml:space="preserve">inoma (HCC). </w:t>
      </w:r>
      <w:r w:rsidR="00F726DC" w:rsidRPr="007214E1">
        <w:rPr>
          <w:rFonts w:ascii="Book Antiqua" w:hAnsi="Book Antiqua"/>
          <w:i/>
        </w:rPr>
        <w:t>Annals of Oncology</w:t>
      </w:r>
      <w:r w:rsidRPr="007214E1">
        <w:rPr>
          <w:rFonts w:ascii="Book Antiqua" w:hAnsi="Book Antiqua"/>
        </w:rPr>
        <w:t xml:space="preserve"> 2019;</w:t>
      </w:r>
      <w:r w:rsidR="00F726DC" w:rsidRPr="007214E1">
        <w:rPr>
          <w:rFonts w:ascii="Book Antiqua" w:hAnsi="Book Antiqua"/>
        </w:rPr>
        <w:t xml:space="preserve"> </w:t>
      </w:r>
      <w:r w:rsidR="00F726DC" w:rsidRPr="007214E1">
        <w:rPr>
          <w:rFonts w:ascii="Book Antiqua" w:hAnsi="Book Antiqua"/>
          <w:b/>
        </w:rPr>
        <w:t>30(Supplement_5)</w:t>
      </w:r>
      <w:r w:rsidRPr="007214E1">
        <w:rPr>
          <w:rFonts w:ascii="Book Antiqua" w:hAnsi="Book Antiqua"/>
        </w:rPr>
        <w:t xml:space="preserve"> [DOI: 10.1093/</w:t>
      </w:r>
      <w:proofErr w:type="spellStart"/>
      <w:r w:rsidRPr="007214E1">
        <w:rPr>
          <w:rFonts w:ascii="Book Antiqua" w:hAnsi="Book Antiqua"/>
        </w:rPr>
        <w:t>annonc</w:t>
      </w:r>
      <w:proofErr w:type="spellEnd"/>
      <w:r w:rsidRPr="007214E1">
        <w:rPr>
          <w:rFonts w:ascii="Book Antiqua" w:hAnsi="Book Antiqua"/>
        </w:rPr>
        <w:t>/mdz394.030]</w:t>
      </w:r>
    </w:p>
    <w:p w14:paraId="517552DE" w14:textId="28AE026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55 </w:t>
      </w:r>
      <w:r w:rsidRPr="007214E1">
        <w:rPr>
          <w:rFonts w:ascii="Book Antiqua" w:hAnsi="Book Antiqua"/>
          <w:b/>
        </w:rPr>
        <w:t xml:space="preserve">Targeted Oncology. </w:t>
      </w:r>
      <w:r w:rsidRPr="007214E1">
        <w:rPr>
          <w:rFonts w:ascii="Book Antiqua" w:hAnsi="Book Antiqua"/>
        </w:rPr>
        <w:t>Combination of Atezolizumab and Bevacizumab Shows Early Eff</w:t>
      </w:r>
      <w:r w:rsidR="00F726DC" w:rsidRPr="007214E1">
        <w:rPr>
          <w:rFonts w:ascii="Book Antiqua" w:hAnsi="Book Antiqua"/>
        </w:rPr>
        <w:t>icacy in Unresectable HCC 2019</w:t>
      </w:r>
      <w:r w:rsidRPr="007214E1">
        <w:rPr>
          <w:rFonts w:ascii="Book Antiqua" w:hAnsi="Book Antiqua"/>
        </w:rPr>
        <w:t xml:space="preserve">. In: </w:t>
      </w:r>
      <w:r w:rsidR="00F726DC" w:rsidRPr="007214E1">
        <w:rPr>
          <w:rFonts w:ascii="Book Antiqua" w:hAnsi="Book Antiqua"/>
        </w:rPr>
        <w:t xml:space="preserve">Targeted Oncology [Internet]. </w:t>
      </w:r>
      <w:r w:rsidRPr="007214E1">
        <w:rPr>
          <w:rFonts w:ascii="Book Antiqua" w:hAnsi="Book Antiqua"/>
        </w:rPr>
        <w:t>Available from: https://www.targetedonc.com/conference/esmo-2019/combination-of-atezolizumab-and-bevacizumab-shows-ear</w:t>
      </w:r>
      <w:r w:rsidR="00F726DC" w:rsidRPr="007214E1">
        <w:rPr>
          <w:rFonts w:ascii="Book Antiqua" w:hAnsi="Book Antiqua"/>
        </w:rPr>
        <w:t>ly-efficacy-in-unresectable-hcc</w:t>
      </w:r>
    </w:p>
    <w:p w14:paraId="1CF8F095" w14:textId="4A51C680"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56 </w:t>
      </w:r>
      <w:r w:rsidRPr="007214E1">
        <w:rPr>
          <w:rFonts w:ascii="Book Antiqua" w:hAnsi="Book Antiqua"/>
          <w:b/>
        </w:rPr>
        <w:t>Cheng A-L,</w:t>
      </w:r>
      <w:r w:rsidR="00354FFA" w:rsidRPr="007214E1">
        <w:rPr>
          <w:rFonts w:ascii="Book Antiqua" w:hAnsi="Book Antiqua"/>
        </w:rPr>
        <w:t xml:space="preserve"> </w:t>
      </w:r>
      <w:r w:rsidRPr="007214E1">
        <w:rPr>
          <w:rFonts w:ascii="Book Antiqua" w:hAnsi="Book Antiqua"/>
        </w:rPr>
        <w:t xml:space="preserve">Qin S, Ikeda M, Galle P, </w:t>
      </w:r>
      <w:proofErr w:type="spellStart"/>
      <w:r w:rsidRPr="007214E1">
        <w:rPr>
          <w:rFonts w:ascii="Book Antiqua" w:hAnsi="Book Antiqua"/>
        </w:rPr>
        <w:t>Ducreux</w:t>
      </w:r>
      <w:proofErr w:type="spellEnd"/>
      <w:r w:rsidRPr="007214E1">
        <w:rPr>
          <w:rFonts w:ascii="Book Antiqua" w:hAnsi="Book Antiqua"/>
        </w:rPr>
        <w:t xml:space="preserve"> M, Zhu A, Kim T-Y, </w:t>
      </w:r>
      <w:proofErr w:type="spellStart"/>
      <w:r w:rsidRPr="007214E1">
        <w:rPr>
          <w:rFonts w:ascii="Book Antiqua" w:hAnsi="Book Antiqua"/>
        </w:rPr>
        <w:t>Kudo</w:t>
      </w:r>
      <w:proofErr w:type="spellEnd"/>
      <w:r w:rsidRPr="007214E1">
        <w:rPr>
          <w:rFonts w:ascii="Book Antiqua" w:hAnsi="Book Antiqua"/>
        </w:rPr>
        <w:t xml:space="preserve"> M, </w:t>
      </w:r>
      <w:proofErr w:type="spellStart"/>
      <w:r w:rsidRPr="007214E1">
        <w:rPr>
          <w:rFonts w:ascii="Book Antiqua" w:hAnsi="Book Antiqua"/>
        </w:rPr>
        <w:t>Breder</w:t>
      </w:r>
      <w:proofErr w:type="spellEnd"/>
      <w:r w:rsidRPr="007214E1">
        <w:rPr>
          <w:rFonts w:ascii="Book Antiqua" w:hAnsi="Book Antiqua"/>
        </w:rPr>
        <w:t xml:space="preserve"> V, Merle P, </w:t>
      </w:r>
      <w:proofErr w:type="spellStart"/>
      <w:r w:rsidRPr="007214E1">
        <w:rPr>
          <w:rFonts w:ascii="Book Antiqua" w:hAnsi="Book Antiqua"/>
        </w:rPr>
        <w:t>Kaseb</w:t>
      </w:r>
      <w:proofErr w:type="spellEnd"/>
      <w:r w:rsidRPr="007214E1">
        <w:rPr>
          <w:rFonts w:ascii="Book Antiqua" w:hAnsi="Book Antiqua"/>
        </w:rPr>
        <w:t xml:space="preserve"> A, Li D, Verret W, Xu Z, Hernandez S, Liu J, Huang C, Mulla S, Lim HY, Finn R. IMbrave150: Efficacy and safety results from a </w:t>
      </w:r>
      <w:proofErr w:type="spellStart"/>
      <w:r w:rsidRPr="007214E1">
        <w:rPr>
          <w:rFonts w:ascii="Book Antiqua" w:hAnsi="Book Antiqua"/>
        </w:rPr>
        <w:t>ph</w:t>
      </w:r>
      <w:proofErr w:type="spellEnd"/>
      <w:r w:rsidRPr="007214E1">
        <w:rPr>
          <w:rFonts w:ascii="Book Antiqua" w:hAnsi="Book Antiqua"/>
        </w:rPr>
        <w:t xml:space="preserve"> III study evaluating </w:t>
      </w:r>
      <w:proofErr w:type="spellStart"/>
      <w:r w:rsidRPr="007214E1">
        <w:rPr>
          <w:rFonts w:ascii="Book Antiqua" w:hAnsi="Book Antiqua"/>
        </w:rPr>
        <w:t>atezolizumab</w:t>
      </w:r>
      <w:proofErr w:type="spellEnd"/>
      <w:r w:rsidRPr="007214E1">
        <w:rPr>
          <w:rFonts w:ascii="Book Antiqua" w:hAnsi="Book Antiqua"/>
        </w:rPr>
        <w:t xml:space="preserve"> (</w:t>
      </w:r>
      <w:proofErr w:type="spellStart"/>
      <w:r w:rsidRPr="007214E1">
        <w:rPr>
          <w:rFonts w:ascii="Book Antiqua" w:hAnsi="Book Antiqua"/>
        </w:rPr>
        <w:t>atezo</w:t>
      </w:r>
      <w:proofErr w:type="spellEnd"/>
      <w:r w:rsidRPr="007214E1">
        <w:rPr>
          <w:rFonts w:ascii="Book Antiqua" w:hAnsi="Book Antiqua"/>
        </w:rPr>
        <w:t xml:space="preserve">) + </w:t>
      </w:r>
      <w:proofErr w:type="spellStart"/>
      <w:r w:rsidRPr="007214E1">
        <w:rPr>
          <w:rFonts w:ascii="Book Antiqua" w:hAnsi="Book Antiqua"/>
        </w:rPr>
        <w:t>bevacizumab</w:t>
      </w:r>
      <w:proofErr w:type="spellEnd"/>
      <w:r w:rsidRPr="007214E1">
        <w:rPr>
          <w:rFonts w:ascii="Book Antiqua" w:hAnsi="Book Antiqua"/>
        </w:rPr>
        <w:t xml:space="preserve"> (</w:t>
      </w:r>
      <w:proofErr w:type="spellStart"/>
      <w:r w:rsidRPr="007214E1">
        <w:rPr>
          <w:rFonts w:ascii="Book Antiqua" w:hAnsi="Book Antiqua"/>
        </w:rPr>
        <w:t>bev</w:t>
      </w:r>
      <w:proofErr w:type="spellEnd"/>
      <w:r w:rsidRPr="007214E1">
        <w:rPr>
          <w:rFonts w:ascii="Book Antiqua" w:hAnsi="Book Antiqua"/>
        </w:rPr>
        <w:t xml:space="preserve">) </w:t>
      </w:r>
      <w:proofErr w:type="spellStart"/>
      <w:r w:rsidRPr="007214E1">
        <w:rPr>
          <w:rFonts w:ascii="Book Antiqua" w:hAnsi="Book Antiqua"/>
        </w:rPr>
        <w:t>vs</w:t>
      </w:r>
      <w:proofErr w:type="spellEnd"/>
      <w:r w:rsidRPr="007214E1">
        <w:rPr>
          <w:rFonts w:ascii="Book Antiqua" w:hAnsi="Book Antiqua"/>
        </w:rPr>
        <w:t xml:space="preserve"> </w:t>
      </w:r>
      <w:proofErr w:type="spellStart"/>
      <w:r w:rsidRPr="007214E1">
        <w:rPr>
          <w:rFonts w:ascii="Book Antiqua" w:hAnsi="Book Antiqua"/>
        </w:rPr>
        <w:t>sorafenib</w:t>
      </w:r>
      <w:proofErr w:type="spellEnd"/>
      <w:r w:rsidRPr="007214E1">
        <w:rPr>
          <w:rFonts w:ascii="Book Antiqua" w:hAnsi="Book Antiqua"/>
        </w:rPr>
        <w:t xml:space="preserve"> (</w:t>
      </w:r>
      <w:proofErr w:type="spellStart"/>
      <w:r w:rsidRPr="007214E1">
        <w:rPr>
          <w:rFonts w:ascii="Book Antiqua" w:hAnsi="Book Antiqua"/>
        </w:rPr>
        <w:t>Sor</w:t>
      </w:r>
      <w:proofErr w:type="spellEnd"/>
      <w:r w:rsidRPr="007214E1">
        <w:rPr>
          <w:rFonts w:ascii="Book Antiqua" w:hAnsi="Book Antiqua"/>
        </w:rPr>
        <w:t>) as first treatment (</w:t>
      </w:r>
      <w:proofErr w:type="spellStart"/>
      <w:r w:rsidRPr="007214E1">
        <w:rPr>
          <w:rFonts w:ascii="Book Antiqua" w:hAnsi="Book Antiqua"/>
        </w:rPr>
        <w:t>tx</w:t>
      </w:r>
      <w:proofErr w:type="spellEnd"/>
      <w:r w:rsidRPr="007214E1">
        <w:rPr>
          <w:rFonts w:ascii="Book Antiqua" w:hAnsi="Book Antiqua"/>
        </w:rPr>
        <w:t>) for patients (</w:t>
      </w:r>
      <w:proofErr w:type="spellStart"/>
      <w:r w:rsidRPr="007214E1">
        <w:rPr>
          <w:rFonts w:ascii="Book Antiqua" w:hAnsi="Book Antiqua"/>
        </w:rPr>
        <w:t>pts</w:t>
      </w:r>
      <w:proofErr w:type="spellEnd"/>
      <w:r w:rsidRPr="007214E1">
        <w:rPr>
          <w:rFonts w:ascii="Book Antiqua" w:hAnsi="Book Antiqua"/>
        </w:rPr>
        <w:t xml:space="preserve">) with unresectable hepatocellular carcinoma (HCC). </w:t>
      </w:r>
      <w:r w:rsidRPr="007214E1">
        <w:rPr>
          <w:rFonts w:ascii="Book Antiqua" w:hAnsi="Book Antiqua"/>
          <w:i/>
        </w:rPr>
        <w:t>Annals of Oncology</w:t>
      </w:r>
      <w:r w:rsidR="00F726DC" w:rsidRPr="007214E1">
        <w:rPr>
          <w:rFonts w:ascii="Book Antiqua" w:hAnsi="Book Antiqua"/>
        </w:rPr>
        <w:t xml:space="preserve"> 2019;</w:t>
      </w:r>
      <w:r w:rsidR="00F726DC" w:rsidRPr="007214E1">
        <w:rPr>
          <w:rFonts w:ascii="Book Antiqua" w:hAnsi="Book Antiqua"/>
          <w:b/>
        </w:rPr>
        <w:t xml:space="preserve"> 30(Supplement_9)</w:t>
      </w:r>
      <w:r w:rsidRPr="007214E1">
        <w:rPr>
          <w:rFonts w:ascii="Book Antiqua" w:hAnsi="Book Antiqua"/>
        </w:rPr>
        <w:t xml:space="preserve"> [DOI: 10.1093/</w:t>
      </w:r>
      <w:proofErr w:type="spellStart"/>
      <w:r w:rsidRPr="007214E1">
        <w:rPr>
          <w:rFonts w:ascii="Book Antiqua" w:hAnsi="Book Antiqua"/>
        </w:rPr>
        <w:t>annonc</w:t>
      </w:r>
      <w:proofErr w:type="spellEnd"/>
      <w:r w:rsidRPr="007214E1">
        <w:rPr>
          <w:rFonts w:ascii="Book Antiqua" w:hAnsi="Book Antiqua"/>
        </w:rPr>
        <w:t>/mdz446.002]</w:t>
      </w:r>
    </w:p>
    <w:p w14:paraId="1532471E" w14:textId="27FC340D"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57 </w:t>
      </w:r>
      <w:r w:rsidRPr="007214E1">
        <w:rPr>
          <w:rFonts w:ascii="Book Antiqua" w:hAnsi="Book Antiqua"/>
          <w:b/>
        </w:rPr>
        <w:t>Galle PR,</w:t>
      </w:r>
      <w:r w:rsidR="00354FFA" w:rsidRPr="007214E1">
        <w:rPr>
          <w:rFonts w:ascii="Book Antiqua" w:hAnsi="Book Antiqua"/>
        </w:rPr>
        <w:t xml:space="preserve"> </w:t>
      </w:r>
      <w:r w:rsidRPr="007214E1">
        <w:rPr>
          <w:rFonts w:ascii="Book Antiqua" w:hAnsi="Book Antiqua"/>
        </w:rPr>
        <w:t xml:space="preserve">Finn RS, Qin S, Ikeda M, Zhu AX, Kim T-Y, </w:t>
      </w:r>
      <w:proofErr w:type="spellStart"/>
      <w:r w:rsidRPr="007214E1">
        <w:rPr>
          <w:rFonts w:ascii="Book Antiqua" w:hAnsi="Book Antiqua"/>
        </w:rPr>
        <w:t>Kudo</w:t>
      </w:r>
      <w:proofErr w:type="spellEnd"/>
      <w:r w:rsidRPr="007214E1">
        <w:rPr>
          <w:rFonts w:ascii="Book Antiqua" w:hAnsi="Book Antiqua"/>
        </w:rPr>
        <w:t xml:space="preserve"> M, </w:t>
      </w:r>
      <w:proofErr w:type="spellStart"/>
      <w:r w:rsidRPr="007214E1">
        <w:rPr>
          <w:rFonts w:ascii="Book Antiqua" w:hAnsi="Book Antiqua"/>
        </w:rPr>
        <w:t>Breder</w:t>
      </w:r>
      <w:proofErr w:type="spellEnd"/>
      <w:r w:rsidRPr="007214E1">
        <w:rPr>
          <w:rFonts w:ascii="Book Antiqua" w:hAnsi="Book Antiqua"/>
        </w:rPr>
        <w:t xml:space="preserve"> VV, Merle P, </w:t>
      </w:r>
      <w:proofErr w:type="spellStart"/>
      <w:r w:rsidRPr="007214E1">
        <w:rPr>
          <w:rFonts w:ascii="Book Antiqua" w:hAnsi="Book Antiqua"/>
        </w:rPr>
        <w:t>Kaseb</w:t>
      </w:r>
      <w:proofErr w:type="spellEnd"/>
      <w:r w:rsidRPr="007214E1">
        <w:rPr>
          <w:rFonts w:ascii="Book Antiqua" w:hAnsi="Book Antiqua"/>
        </w:rPr>
        <w:t xml:space="preserve"> AO, Li D, Mulla S, Verret W, Xu D-Z, Hernandez S, Liu J, Huang C, Lim HY, Cheng A-L, </w:t>
      </w:r>
      <w:proofErr w:type="spellStart"/>
      <w:r w:rsidRPr="007214E1">
        <w:rPr>
          <w:rFonts w:ascii="Book Antiqua" w:hAnsi="Book Antiqua"/>
        </w:rPr>
        <w:t>Ducreux</w:t>
      </w:r>
      <w:proofErr w:type="spellEnd"/>
      <w:r w:rsidRPr="007214E1">
        <w:rPr>
          <w:rFonts w:ascii="Book Antiqua" w:hAnsi="Book Antiqua"/>
        </w:rPr>
        <w:t xml:space="preserve"> M. Patient-reported outcomes (PROs) from the Phase III IMbrave150 trial of </w:t>
      </w:r>
      <w:proofErr w:type="spellStart"/>
      <w:r w:rsidRPr="007214E1">
        <w:rPr>
          <w:rFonts w:ascii="Book Antiqua" w:hAnsi="Book Antiqua"/>
        </w:rPr>
        <w:t>atezolizumab</w:t>
      </w:r>
      <w:proofErr w:type="spellEnd"/>
      <w:r w:rsidRPr="007214E1">
        <w:rPr>
          <w:rFonts w:ascii="Book Antiqua" w:hAnsi="Book Antiqua"/>
        </w:rPr>
        <w:t xml:space="preserve"> (</w:t>
      </w:r>
      <w:proofErr w:type="spellStart"/>
      <w:r w:rsidRPr="007214E1">
        <w:rPr>
          <w:rFonts w:ascii="Book Antiqua" w:hAnsi="Book Antiqua"/>
        </w:rPr>
        <w:t>atezo</w:t>
      </w:r>
      <w:proofErr w:type="spellEnd"/>
      <w:r w:rsidRPr="007214E1">
        <w:rPr>
          <w:rFonts w:ascii="Book Antiqua" w:hAnsi="Book Antiqua"/>
        </w:rPr>
        <w:t xml:space="preserve">) + </w:t>
      </w:r>
      <w:proofErr w:type="spellStart"/>
      <w:r w:rsidRPr="007214E1">
        <w:rPr>
          <w:rFonts w:ascii="Book Antiqua" w:hAnsi="Book Antiqua"/>
        </w:rPr>
        <w:t>bevacizumab</w:t>
      </w:r>
      <w:proofErr w:type="spellEnd"/>
      <w:r w:rsidRPr="007214E1">
        <w:rPr>
          <w:rFonts w:ascii="Book Antiqua" w:hAnsi="Book Antiqua"/>
        </w:rPr>
        <w:t xml:space="preserve"> (</w:t>
      </w:r>
      <w:proofErr w:type="spellStart"/>
      <w:r w:rsidRPr="007214E1">
        <w:rPr>
          <w:rFonts w:ascii="Book Antiqua" w:hAnsi="Book Antiqua"/>
        </w:rPr>
        <w:t>bev</w:t>
      </w:r>
      <w:proofErr w:type="spellEnd"/>
      <w:r w:rsidRPr="007214E1">
        <w:rPr>
          <w:rFonts w:ascii="Book Antiqua" w:hAnsi="Book Antiqua"/>
        </w:rPr>
        <w:t xml:space="preserve">) </w:t>
      </w:r>
      <w:proofErr w:type="spellStart"/>
      <w:r w:rsidRPr="007214E1">
        <w:rPr>
          <w:rFonts w:ascii="Book Antiqua" w:hAnsi="Book Antiqua"/>
        </w:rPr>
        <w:t>vs</w:t>
      </w:r>
      <w:proofErr w:type="spellEnd"/>
      <w:r w:rsidRPr="007214E1">
        <w:rPr>
          <w:rFonts w:ascii="Book Antiqua" w:hAnsi="Book Antiqua"/>
        </w:rPr>
        <w:t xml:space="preserve"> </w:t>
      </w:r>
      <w:proofErr w:type="spellStart"/>
      <w:r w:rsidRPr="007214E1">
        <w:rPr>
          <w:rFonts w:ascii="Book Antiqua" w:hAnsi="Book Antiqua"/>
        </w:rPr>
        <w:t>sorafenib</w:t>
      </w:r>
      <w:proofErr w:type="spellEnd"/>
      <w:r w:rsidRPr="007214E1">
        <w:rPr>
          <w:rFonts w:ascii="Book Antiqua" w:hAnsi="Book Antiqua"/>
        </w:rPr>
        <w:t xml:space="preserve"> (</w:t>
      </w:r>
      <w:proofErr w:type="spellStart"/>
      <w:r w:rsidRPr="007214E1">
        <w:rPr>
          <w:rFonts w:ascii="Book Antiqua" w:hAnsi="Book Antiqua"/>
        </w:rPr>
        <w:t>sor</w:t>
      </w:r>
      <w:proofErr w:type="spellEnd"/>
      <w:r w:rsidRPr="007214E1">
        <w:rPr>
          <w:rFonts w:ascii="Book Antiqua" w:hAnsi="Book Antiqua"/>
        </w:rPr>
        <w:t>) as first-line treatment (</w:t>
      </w:r>
      <w:proofErr w:type="spellStart"/>
      <w:r w:rsidRPr="007214E1">
        <w:rPr>
          <w:rFonts w:ascii="Book Antiqua" w:hAnsi="Book Antiqua"/>
        </w:rPr>
        <w:t>tx</w:t>
      </w:r>
      <w:proofErr w:type="spellEnd"/>
      <w:r w:rsidRPr="007214E1">
        <w:rPr>
          <w:rFonts w:ascii="Book Antiqua" w:hAnsi="Book Antiqua"/>
        </w:rPr>
        <w:t>) for patients (</w:t>
      </w:r>
      <w:proofErr w:type="spellStart"/>
      <w:r w:rsidRPr="007214E1">
        <w:rPr>
          <w:rFonts w:ascii="Book Antiqua" w:hAnsi="Book Antiqua"/>
        </w:rPr>
        <w:t>pts</w:t>
      </w:r>
      <w:proofErr w:type="spellEnd"/>
      <w:r w:rsidRPr="007214E1">
        <w:rPr>
          <w:rFonts w:ascii="Book Antiqua" w:hAnsi="Book Antiqua"/>
        </w:rPr>
        <w:t xml:space="preserve">) with unresectable hepatocellular carcinoma (HCC). </w:t>
      </w:r>
      <w:r w:rsidR="00320213" w:rsidRPr="007214E1">
        <w:rPr>
          <w:rFonts w:ascii="Book Antiqua" w:hAnsi="Book Antiqua"/>
          <w:i/>
        </w:rPr>
        <w:t>J Clin Oncol</w:t>
      </w:r>
      <w:r w:rsidR="00320213" w:rsidRPr="007214E1">
        <w:rPr>
          <w:rFonts w:ascii="Book Antiqua" w:eastAsiaTheme="minorEastAsia" w:hAnsi="Book Antiqua"/>
          <w:lang w:eastAsia="zh-CN"/>
        </w:rPr>
        <w:t xml:space="preserve"> </w:t>
      </w:r>
      <w:r w:rsidR="00F726DC" w:rsidRPr="007214E1">
        <w:rPr>
          <w:rFonts w:ascii="Book Antiqua" w:hAnsi="Book Antiqua"/>
        </w:rPr>
        <w:t>2020;</w:t>
      </w:r>
      <w:r w:rsidR="00F726DC" w:rsidRPr="007214E1">
        <w:rPr>
          <w:rFonts w:ascii="Book Antiqua" w:hAnsi="Book Antiqua"/>
          <w:b/>
        </w:rPr>
        <w:t xml:space="preserve"> </w:t>
      </w:r>
      <w:r w:rsidR="00320213" w:rsidRPr="007214E1">
        <w:rPr>
          <w:rFonts w:ascii="Book Antiqua" w:hAnsi="Book Antiqua"/>
          <w:b/>
        </w:rPr>
        <w:t>38</w:t>
      </w:r>
      <w:r w:rsidR="00320213" w:rsidRPr="007214E1">
        <w:rPr>
          <w:rFonts w:ascii="Book Antiqua" w:eastAsiaTheme="minorEastAsia" w:hAnsi="Book Antiqua"/>
          <w:b/>
          <w:lang w:eastAsia="zh-CN"/>
        </w:rPr>
        <w:t>(4_suppl):</w:t>
      </w:r>
      <w:r w:rsidR="00320213" w:rsidRPr="007214E1">
        <w:rPr>
          <w:rFonts w:ascii="Book Antiqua" w:eastAsiaTheme="minorEastAsia" w:hAnsi="Book Antiqua"/>
          <w:lang w:eastAsia="zh-CN"/>
        </w:rPr>
        <w:t xml:space="preserve"> 476 [</w:t>
      </w:r>
      <w:r w:rsidR="00320213" w:rsidRPr="007214E1">
        <w:rPr>
          <w:rFonts w:ascii="Book Antiqua" w:eastAsiaTheme="minorEastAsia" w:hAnsi="Book Antiqua"/>
          <w:caps/>
          <w:lang w:eastAsia="zh-CN"/>
        </w:rPr>
        <w:t>doi:</w:t>
      </w:r>
      <w:r w:rsidR="00320213" w:rsidRPr="007214E1">
        <w:rPr>
          <w:rFonts w:ascii="Book Antiqua" w:eastAsiaTheme="minorEastAsia" w:hAnsi="Book Antiqua"/>
          <w:lang w:eastAsia="zh-CN"/>
        </w:rPr>
        <w:t xml:space="preserve"> 10.1200/JCO.2020.38.4_suppl.476]</w:t>
      </w:r>
    </w:p>
    <w:p w14:paraId="44DF0C36" w14:textId="00BE2955"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58 </w:t>
      </w:r>
      <w:r w:rsidRPr="007214E1">
        <w:rPr>
          <w:rFonts w:ascii="Book Antiqua" w:hAnsi="Book Antiqua"/>
          <w:b/>
        </w:rPr>
        <w:t>Hoffmann-La Roche.</w:t>
      </w:r>
      <w:r w:rsidRPr="007214E1">
        <w:rPr>
          <w:rFonts w:ascii="Book Antiqua" w:hAnsi="Book Antiqua"/>
        </w:rPr>
        <w:t xml:space="preserve"> A Study of Atezolizumab in Combination With Bevacizumab Compared With Sorafenib in Patients With Untreated Locally Advanced or Metastatic Hepa</w:t>
      </w:r>
      <w:r w:rsidR="00252142" w:rsidRPr="007214E1">
        <w:rPr>
          <w:rFonts w:ascii="Book Antiqua" w:hAnsi="Book Antiqua"/>
        </w:rPr>
        <w:t>tocellular Carcinoma IMbrave150.</w:t>
      </w:r>
      <w:r w:rsidR="00354FFA" w:rsidRPr="007214E1">
        <w:rPr>
          <w:rFonts w:ascii="Book Antiqua" w:hAnsi="Book Antiqua"/>
        </w:rPr>
        <w:t xml:space="preserve"> </w:t>
      </w:r>
      <w:r w:rsidRPr="007214E1">
        <w:rPr>
          <w:rFonts w:ascii="Book Antiqua" w:hAnsi="Book Antiqua"/>
        </w:rPr>
        <w:t>In: ClinicalTrials.gov [Internet]. Bethesda (MD): U.S.</w:t>
      </w:r>
      <w:r w:rsidR="00252142" w:rsidRPr="007214E1">
        <w:rPr>
          <w:rFonts w:ascii="Book Antiqua" w:hAnsi="Book Antiqua"/>
        </w:rPr>
        <w:t xml:space="preserve"> National Library of Medicine. </w:t>
      </w:r>
      <w:r w:rsidRPr="007214E1">
        <w:rPr>
          <w:rFonts w:ascii="Book Antiqua" w:hAnsi="Book Antiqua"/>
        </w:rPr>
        <w:t>Available from: https://Clini</w:t>
      </w:r>
      <w:r w:rsidR="00252142" w:rsidRPr="007214E1">
        <w:rPr>
          <w:rFonts w:ascii="Book Antiqua" w:hAnsi="Book Antiqua"/>
        </w:rPr>
        <w:t>calTrials.gov/show/NCT03434379</w:t>
      </w:r>
    </w:p>
    <w:p w14:paraId="3BE443F1" w14:textId="6DC5CC28"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59 </w:t>
      </w:r>
      <w:r w:rsidRPr="007214E1">
        <w:rPr>
          <w:rFonts w:ascii="Book Antiqua" w:hAnsi="Book Antiqua"/>
          <w:b/>
        </w:rPr>
        <w:t xml:space="preserve">Hoffmann-La Roche. </w:t>
      </w:r>
      <w:r w:rsidRPr="007214E1">
        <w:rPr>
          <w:rFonts w:ascii="Book Antiqua" w:hAnsi="Book Antiqua"/>
        </w:rPr>
        <w:t xml:space="preserve">A Study of Atezolizumab </w:t>
      </w:r>
      <w:proofErr w:type="gramStart"/>
      <w:r w:rsidRPr="007214E1">
        <w:rPr>
          <w:rFonts w:ascii="Book Antiqua" w:hAnsi="Book Antiqua"/>
        </w:rPr>
        <w:t>Plus</w:t>
      </w:r>
      <w:proofErr w:type="gramEnd"/>
      <w:r w:rsidRPr="007214E1">
        <w:rPr>
          <w:rFonts w:ascii="Book Antiqua" w:hAnsi="Book Antiqua"/>
        </w:rPr>
        <w:t xml:space="preserve"> Bevacizumab Versus Active Surveillance as Adjuvant Therapy in Patients With Hepatocellular </w:t>
      </w:r>
      <w:r w:rsidRPr="007214E1">
        <w:rPr>
          <w:rFonts w:ascii="Book Antiqua" w:hAnsi="Book Antiqua"/>
        </w:rPr>
        <w:lastRenderedPageBreak/>
        <w:t xml:space="preserve">Carcinoma at High Risk of Recurrence After </w:t>
      </w:r>
      <w:r w:rsidR="00354FFA" w:rsidRPr="007214E1">
        <w:rPr>
          <w:rFonts w:ascii="Book Antiqua" w:hAnsi="Book Antiqua"/>
        </w:rPr>
        <w:t>Surgical Resection or Ablation.</w:t>
      </w:r>
      <w:r w:rsidRPr="007214E1">
        <w:rPr>
          <w:rFonts w:ascii="Book Antiqua" w:hAnsi="Book Antiqua"/>
        </w:rPr>
        <w:t xml:space="preserve"> In: ClinicalTrials.gov [Internet]. Bethesda (MD): U.S. </w:t>
      </w:r>
      <w:r w:rsidR="00354FFA" w:rsidRPr="007214E1">
        <w:rPr>
          <w:rFonts w:ascii="Book Antiqua" w:hAnsi="Book Antiqua"/>
        </w:rPr>
        <w:t xml:space="preserve">National Library of Medicine. </w:t>
      </w:r>
      <w:r w:rsidRPr="007214E1">
        <w:rPr>
          <w:rFonts w:ascii="Book Antiqua" w:hAnsi="Book Antiqua"/>
        </w:rPr>
        <w:t>Available from: https://Clini</w:t>
      </w:r>
      <w:r w:rsidR="00252142" w:rsidRPr="007214E1">
        <w:rPr>
          <w:rFonts w:ascii="Book Antiqua" w:hAnsi="Book Antiqua"/>
        </w:rPr>
        <w:t>calTrials.gov/show/NCT04102098</w:t>
      </w:r>
    </w:p>
    <w:p w14:paraId="3F0F439A" w14:textId="2CDAC4FF"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60 </w:t>
      </w:r>
      <w:r w:rsidRPr="007214E1">
        <w:rPr>
          <w:rFonts w:ascii="Book Antiqua" w:hAnsi="Book Antiqua"/>
          <w:b/>
        </w:rPr>
        <w:t>National Health Research Institutes,</w:t>
      </w:r>
      <w:r w:rsidR="00252142" w:rsidRPr="007214E1">
        <w:rPr>
          <w:rFonts w:ascii="Book Antiqua" w:hAnsi="Book Antiqua"/>
        </w:rPr>
        <w:t xml:space="preserve"> </w:t>
      </w:r>
      <w:r w:rsidRPr="007214E1">
        <w:rPr>
          <w:rFonts w:ascii="Book Antiqua" w:hAnsi="Book Antiqua"/>
        </w:rPr>
        <w:t xml:space="preserve">Taiwan. Atezolizumab </w:t>
      </w:r>
      <w:proofErr w:type="gramStart"/>
      <w:r w:rsidRPr="007214E1">
        <w:rPr>
          <w:rFonts w:ascii="Book Antiqua" w:hAnsi="Book Antiqua"/>
        </w:rPr>
        <w:t>Plus</w:t>
      </w:r>
      <w:proofErr w:type="gramEnd"/>
      <w:r w:rsidRPr="007214E1">
        <w:rPr>
          <w:rFonts w:ascii="Book Antiqua" w:hAnsi="Book Antiqua"/>
        </w:rPr>
        <w:t xml:space="preserve"> Bevaciz</w:t>
      </w:r>
      <w:r w:rsidR="009C1029" w:rsidRPr="007214E1">
        <w:rPr>
          <w:rFonts w:ascii="Book Antiqua" w:hAnsi="Book Antiqua"/>
        </w:rPr>
        <w:t>umab With HCC and HBV Infection</w:t>
      </w:r>
      <w:r w:rsidR="00354FFA" w:rsidRPr="007214E1">
        <w:rPr>
          <w:rFonts w:ascii="Book Antiqua" w:hAnsi="Book Antiqua"/>
        </w:rPr>
        <w:t>.</w:t>
      </w:r>
      <w:r w:rsidRPr="007214E1">
        <w:rPr>
          <w:rFonts w:ascii="Book Antiqua" w:hAnsi="Book Antiqua"/>
        </w:rPr>
        <w:t xml:space="preserve"> In: ClinicalTrials.gov [Internet]. Bethesda (MD): U.S. National Library o</w:t>
      </w:r>
      <w:r w:rsidR="009C1029" w:rsidRPr="007214E1">
        <w:rPr>
          <w:rFonts w:ascii="Book Antiqua" w:hAnsi="Book Antiqua"/>
        </w:rPr>
        <w:t xml:space="preserve">f Medicine. </w:t>
      </w:r>
      <w:r w:rsidRPr="007214E1">
        <w:rPr>
          <w:rFonts w:ascii="Book Antiqua" w:hAnsi="Book Antiqua"/>
        </w:rPr>
        <w:t>Available from: https://Clini</w:t>
      </w:r>
      <w:r w:rsidR="009C1029" w:rsidRPr="007214E1">
        <w:rPr>
          <w:rFonts w:ascii="Book Antiqua" w:hAnsi="Book Antiqua"/>
        </w:rPr>
        <w:t>calTrials.gov/show/NCT04180072</w:t>
      </w:r>
    </w:p>
    <w:p w14:paraId="47A1369F" w14:textId="050E4A52"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61 </w:t>
      </w:r>
      <w:r w:rsidRPr="007214E1">
        <w:rPr>
          <w:rFonts w:ascii="Book Antiqua" w:hAnsi="Book Antiqua"/>
          <w:b/>
        </w:rPr>
        <w:t xml:space="preserve">AstraZeneca. </w:t>
      </w:r>
      <w:r w:rsidRPr="007214E1">
        <w:rPr>
          <w:rFonts w:ascii="Book Antiqua" w:hAnsi="Book Antiqua"/>
        </w:rPr>
        <w:t xml:space="preserve">Assess Efficacy and Safety of Durvalumab Alone or Combined With Bevacizumab in High Risk of Recurrence HCC Patients After Curative Treatment. In: ClinicalTrials.gov [Internet]. Bethesda (MD): U.S. </w:t>
      </w:r>
      <w:r w:rsidR="00354FFA" w:rsidRPr="007214E1">
        <w:rPr>
          <w:rFonts w:ascii="Book Antiqua" w:hAnsi="Book Antiqua"/>
        </w:rPr>
        <w:t xml:space="preserve">National Library of Medicine. </w:t>
      </w:r>
      <w:r w:rsidRPr="007214E1">
        <w:rPr>
          <w:rFonts w:ascii="Book Antiqua" w:hAnsi="Book Antiqua"/>
        </w:rPr>
        <w:t>Available from: https://Clini</w:t>
      </w:r>
      <w:r w:rsidR="009C1029" w:rsidRPr="007214E1">
        <w:rPr>
          <w:rFonts w:ascii="Book Antiqua" w:hAnsi="Book Antiqua"/>
        </w:rPr>
        <w:t>calTrials.gov/show/NCT03847428</w:t>
      </w:r>
    </w:p>
    <w:p w14:paraId="0EB95D23" w14:textId="5A9D9B50"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62 </w:t>
      </w:r>
      <w:r w:rsidRPr="007214E1">
        <w:rPr>
          <w:rFonts w:ascii="Book Antiqua" w:hAnsi="Book Antiqua"/>
          <w:b/>
        </w:rPr>
        <w:t xml:space="preserve">Eli Lilly and Company. </w:t>
      </w:r>
      <w:r w:rsidRPr="007214E1">
        <w:rPr>
          <w:rFonts w:ascii="Book Antiqua" w:hAnsi="Book Antiqua"/>
        </w:rPr>
        <w:t xml:space="preserve">A Study of Ramucirumab (LY3009806) </w:t>
      </w:r>
      <w:proofErr w:type="gramStart"/>
      <w:r w:rsidRPr="007214E1">
        <w:rPr>
          <w:rFonts w:ascii="Book Antiqua" w:hAnsi="Book Antiqua"/>
        </w:rPr>
        <w:t>Plus</w:t>
      </w:r>
      <w:proofErr w:type="gramEnd"/>
      <w:r w:rsidRPr="007214E1">
        <w:rPr>
          <w:rFonts w:ascii="Book Antiqua" w:hAnsi="Book Antiqua"/>
        </w:rPr>
        <w:t xml:space="preserve"> MEDI4736 in Participants With Advanced Gastrointestinal or Thoracic Malignancies.</w:t>
      </w:r>
      <w:r w:rsidR="009C1029" w:rsidRPr="007214E1">
        <w:rPr>
          <w:rFonts w:ascii="Book Antiqua" w:hAnsi="Book Antiqua"/>
          <w:b/>
        </w:rPr>
        <w:t xml:space="preserve"> </w:t>
      </w:r>
      <w:r w:rsidRPr="007214E1">
        <w:rPr>
          <w:rFonts w:ascii="Book Antiqua" w:hAnsi="Book Antiqua"/>
        </w:rPr>
        <w:t>In: ClinicalTrials.gov [Internet]. Bethesda (MD): U.S.</w:t>
      </w:r>
      <w:r w:rsidR="009C1029" w:rsidRPr="007214E1">
        <w:rPr>
          <w:rFonts w:ascii="Book Antiqua" w:hAnsi="Book Antiqua"/>
        </w:rPr>
        <w:t xml:space="preserve"> National Library of Medicine. </w:t>
      </w:r>
      <w:r w:rsidRPr="007214E1">
        <w:rPr>
          <w:rFonts w:ascii="Book Antiqua" w:hAnsi="Book Antiqua"/>
        </w:rPr>
        <w:t>Available from: https://Clini</w:t>
      </w:r>
      <w:r w:rsidR="009C1029" w:rsidRPr="007214E1">
        <w:rPr>
          <w:rFonts w:ascii="Book Antiqua" w:hAnsi="Book Antiqua"/>
        </w:rPr>
        <w:t>calTrials.gov/show/NCT02572687</w:t>
      </w:r>
    </w:p>
    <w:p w14:paraId="7836C65A"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63 </w:t>
      </w:r>
      <w:r w:rsidRPr="007214E1">
        <w:rPr>
          <w:rFonts w:ascii="Book Antiqua" w:hAnsi="Book Antiqua"/>
          <w:b/>
        </w:rPr>
        <w:t>Xu J</w:t>
      </w:r>
      <w:r w:rsidRPr="007214E1">
        <w:rPr>
          <w:rFonts w:ascii="Book Antiqua" w:hAnsi="Book Antiqua"/>
        </w:rPr>
        <w:t xml:space="preserve">, Zhang Y, Jia R, Yue C, Chang L, Liu R, Zhang G, Zhao C, Zhang Y, Chen C, Wang Y, Yi X, Hu Z, Zou J, Wang Q. Anti-PD-1 Antibody SHR-1210 Combined with </w:t>
      </w:r>
      <w:proofErr w:type="spellStart"/>
      <w:r w:rsidRPr="007214E1">
        <w:rPr>
          <w:rFonts w:ascii="Book Antiqua" w:hAnsi="Book Antiqua"/>
        </w:rPr>
        <w:t>Apatinib</w:t>
      </w:r>
      <w:proofErr w:type="spellEnd"/>
      <w:r w:rsidRPr="007214E1">
        <w:rPr>
          <w:rFonts w:ascii="Book Antiqua" w:hAnsi="Book Antiqua"/>
        </w:rPr>
        <w:t xml:space="preserve"> for Advanced Hepatocellular Carcinoma, Gastric, or Esophagogastric Junction Cancer: An Open-label, Dose Escalation and Expansion Study. </w:t>
      </w:r>
      <w:r w:rsidRPr="007214E1">
        <w:rPr>
          <w:rFonts w:ascii="Book Antiqua" w:hAnsi="Book Antiqua"/>
          <w:i/>
        </w:rPr>
        <w:t>Clin Cancer Res</w:t>
      </w:r>
      <w:r w:rsidRPr="007214E1">
        <w:rPr>
          <w:rFonts w:ascii="Book Antiqua" w:hAnsi="Book Antiqua"/>
        </w:rPr>
        <w:t xml:space="preserve"> 2019; </w:t>
      </w:r>
      <w:r w:rsidRPr="007214E1">
        <w:rPr>
          <w:rFonts w:ascii="Book Antiqua" w:hAnsi="Book Antiqua"/>
          <w:b/>
        </w:rPr>
        <w:t>25</w:t>
      </w:r>
      <w:r w:rsidRPr="007214E1">
        <w:rPr>
          <w:rFonts w:ascii="Book Antiqua" w:hAnsi="Book Antiqua"/>
        </w:rPr>
        <w:t>: 515-523 [PMID: 30348638 DOI: 10.1158/1078-0432.CCR-18-2484]</w:t>
      </w:r>
    </w:p>
    <w:p w14:paraId="68646533"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64 </w:t>
      </w:r>
      <w:r w:rsidRPr="007214E1">
        <w:rPr>
          <w:rFonts w:ascii="Book Antiqua" w:hAnsi="Book Antiqua"/>
          <w:b/>
        </w:rPr>
        <w:t>Zhang Y</w:t>
      </w:r>
      <w:r w:rsidRPr="007214E1">
        <w:rPr>
          <w:rFonts w:ascii="Book Antiqua" w:hAnsi="Book Antiqua"/>
        </w:rPr>
        <w:t xml:space="preserve">, Fan W, Wang Y, Huang G, Li J. </w:t>
      </w:r>
      <w:proofErr w:type="spellStart"/>
      <w:r w:rsidRPr="007214E1">
        <w:rPr>
          <w:rFonts w:ascii="Book Antiqua" w:hAnsi="Book Antiqua"/>
        </w:rPr>
        <w:t>Apatinib</w:t>
      </w:r>
      <w:proofErr w:type="spellEnd"/>
      <w:r w:rsidRPr="007214E1">
        <w:rPr>
          <w:rFonts w:ascii="Book Antiqua" w:hAnsi="Book Antiqua"/>
        </w:rPr>
        <w:t xml:space="preserve"> for Patients With Sorafenib-Refractory Advanced Hepatitis B Virus Related Hepatocellular Carcinoma: Results of a Pilot Study. </w:t>
      </w:r>
      <w:r w:rsidRPr="007214E1">
        <w:rPr>
          <w:rFonts w:ascii="Book Antiqua" w:hAnsi="Book Antiqua"/>
          <w:i/>
        </w:rPr>
        <w:t>Cancer Control</w:t>
      </w:r>
      <w:r w:rsidRPr="007214E1">
        <w:rPr>
          <w:rFonts w:ascii="Book Antiqua" w:hAnsi="Book Antiqua"/>
        </w:rPr>
        <w:t xml:space="preserve"> 2019; </w:t>
      </w:r>
      <w:r w:rsidRPr="007214E1">
        <w:rPr>
          <w:rFonts w:ascii="Book Antiqua" w:hAnsi="Book Antiqua"/>
          <w:b/>
        </w:rPr>
        <w:t>26</w:t>
      </w:r>
      <w:r w:rsidRPr="007214E1">
        <w:rPr>
          <w:rFonts w:ascii="Book Antiqua" w:hAnsi="Book Antiqua"/>
        </w:rPr>
        <w:t>: 1073274819872216 [PMID: 31466465 DOI: 10.1177/1073274819872216]</w:t>
      </w:r>
    </w:p>
    <w:p w14:paraId="6E8B5521" w14:textId="4A00F239"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65 </w:t>
      </w:r>
      <w:r w:rsidRPr="007214E1">
        <w:rPr>
          <w:rFonts w:ascii="Book Antiqua" w:hAnsi="Book Antiqua"/>
          <w:b/>
        </w:rPr>
        <w:t>Zhao S,</w:t>
      </w:r>
      <w:r w:rsidR="009C1029" w:rsidRPr="007214E1">
        <w:rPr>
          <w:rFonts w:ascii="Book Antiqua" w:hAnsi="Book Antiqua"/>
        </w:rPr>
        <w:t xml:space="preserve"> </w:t>
      </w:r>
      <w:r w:rsidRPr="007214E1">
        <w:rPr>
          <w:rFonts w:ascii="Book Antiqua" w:hAnsi="Book Antiqua"/>
        </w:rPr>
        <w:t xml:space="preserve">Jiang T, Li X, Zhou C. OA11.07 Combining Anti-Angiogenesis and Immunotherapy Enhances Antitumor Effect by Promoting Immune Response in </w:t>
      </w:r>
      <w:r w:rsidRPr="007214E1">
        <w:rPr>
          <w:rFonts w:ascii="Book Antiqua" w:hAnsi="Book Antiqua"/>
        </w:rPr>
        <w:lastRenderedPageBreak/>
        <w:t xml:space="preserve">Lung Cancer. </w:t>
      </w:r>
      <w:r w:rsidRPr="007214E1">
        <w:rPr>
          <w:rFonts w:ascii="Book Antiqua" w:hAnsi="Book Antiqua"/>
          <w:i/>
        </w:rPr>
        <w:t>Journal of Thoracic Oncology</w:t>
      </w:r>
      <w:r w:rsidR="009C1029" w:rsidRPr="007214E1">
        <w:rPr>
          <w:rFonts w:ascii="Book Antiqua" w:hAnsi="Book Antiqua"/>
        </w:rPr>
        <w:t xml:space="preserve"> </w:t>
      </w:r>
      <w:r w:rsidRPr="007214E1">
        <w:rPr>
          <w:rFonts w:ascii="Book Antiqua" w:hAnsi="Book Antiqua"/>
        </w:rPr>
        <w:t>2017;</w:t>
      </w:r>
      <w:r w:rsidR="009C1029" w:rsidRPr="007214E1">
        <w:rPr>
          <w:rFonts w:ascii="Book Antiqua" w:hAnsi="Book Antiqua"/>
        </w:rPr>
        <w:t xml:space="preserve"> </w:t>
      </w:r>
      <w:r w:rsidRPr="007214E1">
        <w:rPr>
          <w:rFonts w:ascii="Book Antiqua" w:hAnsi="Book Antiqua"/>
          <w:b/>
        </w:rPr>
        <w:t>12(1):</w:t>
      </w:r>
      <w:r w:rsidR="009C1029" w:rsidRPr="007214E1">
        <w:rPr>
          <w:rFonts w:ascii="Book Antiqua" w:hAnsi="Book Antiqua"/>
        </w:rPr>
        <w:t xml:space="preserve"> S288 </w:t>
      </w:r>
      <w:r w:rsidRPr="007214E1">
        <w:rPr>
          <w:rFonts w:ascii="Book Antiqua" w:hAnsi="Book Antiqua"/>
        </w:rPr>
        <w:t>[DOI: 10.1016/j.jtho.2016.11.293]</w:t>
      </w:r>
    </w:p>
    <w:p w14:paraId="724DB9A3" w14:textId="407CBD09"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66 </w:t>
      </w:r>
      <w:r w:rsidRPr="007214E1">
        <w:rPr>
          <w:rFonts w:ascii="Book Antiqua" w:hAnsi="Book Antiqua"/>
          <w:b/>
        </w:rPr>
        <w:t xml:space="preserve">Shanghai Zhongshan Hospital. </w:t>
      </w:r>
      <w:r w:rsidRPr="007214E1">
        <w:rPr>
          <w:rFonts w:ascii="Book Antiqua" w:hAnsi="Book Antiqua"/>
        </w:rPr>
        <w:t xml:space="preserve">SHR-1210 </w:t>
      </w:r>
      <w:proofErr w:type="gramStart"/>
      <w:r w:rsidRPr="007214E1">
        <w:rPr>
          <w:rFonts w:ascii="Book Antiqua" w:hAnsi="Book Antiqua"/>
        </w:rPr>
        <w:t>Plus</w:t>
      </w:r>
      <w:proofErr w:type="gramEnd"/>
      <w:r w:rsidRPr="007214E1">
        <w:rPr>
          <w:rFonts w:ascii="Book Antiqua" w:hAnsi="Book Antiqua"/>
        </w:rPr>
        <w:t xml:space="preserve"> </w:t>
      </w:r>
      <w:proofErr w:type="spellStart"/>
      <w:r w:rsidRPr="007214E1">
        <w:rPr>
          <w:rFonts w:ascii="Book Antiqua" w:hAnsi="Book Antiqua"/>
        </w:rPr>
        <w:t>Apatinib</w:t>
      </w:r>
      <w:proofErr w:type="spellEnd"/>
      <w:r w:rsidRPr="007214E1">
        <w:rPr>
          <w:rFonts w:ascii="Book Antiqua" w:hAnsi="Book Antiqua"/>
        </w:rPr>
        <w:t xml:space="preserve"> in Patients With Advanced-Stage Hepatocellular Carcinoma. In: ClinicalTrials.gov [Internet]. Bethesda (MD): U.S.</w:t>
      </w:r>
      <w:r w:rsidR="001977CA" w:rsidRPr="007214E1">
        <w:rPr>
          <w:rFonts w:ascii="Book Antiqua" w:hAnsi="Book Antiqua"/>
        </w:rPr>
        <w:t xml:space="preserve"> National Library of Medicine. </w:t>
      </w:r>
      <w:r w:rsidRPr="007214E1">
        <w:rPr>
          <w:rFonts w:ascii="Book Antiqua" w:hAnsi="Book Antiqua"/>
        </w:rPr>
        <w:t>Available from: https://Clini</w:t>
      </w:r>
      <w:r w:rsidR="001977CA" w:rsidRPr="007214E1">
        <w:rPr>
          <w:rFonts w:ascii="Book Antiqua" w:hAnsi="Book Antiqua"/>
        </w:rPr>
        <w:t>calTrials.gov/show/NCT04014101</w:t>
      </w:r>
    </w:p>
    <w:p w14:paraId="2AD79CB9" w14:textId="60C74593"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67 </w:t>
      </w:r>
      <w:r w:rsidRPr="007214E1">
        <w:rPr>
          <w:rFonts w:ascii="Book Antiqua" w:hAnsi="Book Antiqua"/>
          <w:b/>
        </w:rPr>
        <w:t xml:space="preserve">Cancer Institute and Hospital </w:t>
      </w:r>
      <w:proofErr w:type="spellStart"/>
      <w:r w:rsidRPr="007214E1">
        <w:rPr>
          <w:rFonts w:ascii="Book Antiqua" w:hAnsi="Book Antiqua"/>
          <w:b/>
        </w:rPr>
        <w:t>CAoMS</w:t>
      </w:r>
      <w:proofErr w:type="spellEnd"/>
      <w:r w:rsidRPr="007214E1">
        <w:rPr>
          <w:rFonts w:ascii="Book Antiqua" w:hAnsi="Book Antiqua"/>
          <w:b/>
        </w:rPr>
        <w:t xml:space="preserve">. </w:t>
      </w:r>
      <w:r w:rsidRPr="007214E1">
        <w:rPr>
          <w:rFonts w:ascii="Book Antiqua" w:hAnsi="Book Antiqua"/>
        </w:rPr>
        <w:t xml:space="preserve">Combine </w:t>
      </w:r>
      <w:proofErr w:type="spellStart"/>
      <w:r w:rsidRPr="007214E1">
        <w:rPr>
          <w:rFonts w:ascii="Book Antiqua" w:hAnsi="Book Antiqua"/>
        </w:rPr>
        <w:t>Apatinib</w:t>
      </w:r>
      <w:proofErr w:type="spellEnd"/>
      <w:r w:rsidRPr="007214E1">
        <w:rPr>
          <w:rFonts w:ascii="Book Antiqua" w:hAnsi="Book Antiqua"/>
        </w:rPr>
        <w:t xml:space="preserve"> </w:t>
      </w:r>
      <w:proofErr w:type="spellStart"/>
      <w:r w:rsidRPr="007214E1">
        <w:rPr>
          <w:rFonts w:ascii="Book Antiqua" w:hAnsi="Book Antiqua"/>
        </w:rPr>
        <w:t>Mesylate</w:t>
      </w:r>
      <w:proofErr w:type="spellEnd"/>
      <w:r w:rsidRPr="007214E1">
        <w:rPr>
          <w:rFonts w:ascii="Book Antiqua" w:hAnsi="Book Antiqua"/>
        </w:rPr>
        <w:t xml:space="preserve"> With PD-1 Antibody SHR-1210 for HCC With High Risk of Rec</w:t>
      </w:r>
      <w:r w:rsidR="001977CA" w:rsidRPr="007214E1">
        <w:rPr>
          <w:rFonts w:ascii="Book Antiqua" w:hAnsi="Book Antiqua"/>
        </w:rPr>
        <w:t>urrence After Radical Resection</w:t>
      </w:r>
      <w:r w:rsidRPr="007214E1">
        <w:rPr>
          <w:rFonts w:ascii="Book Antiqua" w:hAnsi="Book Antiqua"/>
        </w:rPr>
        <w:t xml:space="preserve">. In: ClinicalTrials.gov [Internet]. Bethesda (MD): U.S. </w:t>
      </w:r>
      <w:r w:rsidR="00354FFA" w:rsidRPr="007214E1">
        <w:rPr>
          <w:rFonts w:ascii="Book Antiqua" w:hAnsi="Book Antiqua"/>
        </w:rPr>
        <w:t xml:space="preserve">National Library of Medicine. </w:t>
      </w:r>
      <w:r w:rsidRPr="007214E1">
        <w:rPr>
          <w:rFonts w:ascii="Book Antiqua" w:hAnsi="Book Antiqua"/>
        </w:rPr>
        <w:t>Available from: https://Clini</w:t>
      </w:r>
      <w:r w:rsidR="001977CA" w:rsidRPr="007214E1">
        <w:rPr>
          <w:rFonts w:ascii="Book Antiqua" w:hAnsi="Book Antiqua"/>
        </w:rPr>
        <w:t>calTrials.gov/show/NCT03839550</w:t>
      </w:r>
    </w:p>
    <w:p w14:paraId="2CA43E73" w14:textId="3DC9B571"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68 </w:t>
      </w:r>
      <w:r w:rsidRPr="007214E1">
        <w:rPr>
          <w:rFonts w:ascii="Book Antiqua" w:hAnsi="Book Antiqua"/>
          <w:b/>
        </w:rPr>
        <w:t xml:space="preserve">Sun </w:t>
      </w:r>
      <w:proofErr w:type="spellStart"/>
      <w:r w:rsidRPr="007214E1">
        <w:rPr>
          <w:rFonts w:ascii="Book Antiqua" w:hAnsi="Book Antiqua"/>
          <w:b/>
        </w:rPr>
        <w:t>Yat-sen</w:t>
      </w:r>
      <w:proofErr w:type="spellEnd"/>
      <w:r w:rsidRPr="007214E1">
        <w:rPr>
          <w:rFonts w:ascii="Book Antiqua" w:hAnsi="Book Antiqua"/>
          <w:b/>
        </w:rPr>
        <w:t xml:space="preserve"> University. </w:t>
      </w:r>
      <w:r w:rsidRPr="007214E1">
        <w:rPr>
          <w:rFonts w:ascii="Book Antiqua" w:hAnsi="Book Antiqua"/>
        </w:rPr>
        <w:t xml:space="preserve">A Trial of Hepatic Arterial Infusion Combined </w:t>
      </w:r>
      <w:proofErr w:type="gramStart"/>
      <w:r w:rsidRPr="007214E1">
        <w:rPr>
          <w:rFonts w:ascii="Book Antiqua" w:hAnsi="Book Antiqua"/>
        </w:rPr>
        <w:t>With</w:t>
      </w:r>
      <w:proofErr w:type="gramEnd"/>
      <w:r w:rsidRPr="007214E1">
        <w:rPr>
          <w:rFonts w:ascii="Book Antiqua" w:hAnsi="Book Antiqua"/>
        </w:rPr>
        <w:t xml:space="preserve"> </w:t>
      </w:r>
      <w:proofErr w:type="spellStart"/>
      <w:r w:rsidRPr="007214E1">
        <w:rPr>
          <w:rFonts w:ascii="Book Antiqua" w:hAnsi="Book Antiqua"/>
        </w:rPr>
        <w:t>Apatinib</w:t>
      </w:r>
      <w:proofErr w:type="spellEnd"/>
      <w:r w:rsidRPr="007214E1">
        <w:rPr>
          <w:rFonts w:ascii="Book Antiqua" w:hAnsi="Book Antiqua"/>
        </w:rPr>
        <w:t xml:space="preserve"> and </w:t>
      </w:r>
      <w:proofErr w:type="spellStart"/>
      <w:r w:rsidRPr="007214E1">
        <w:rPr>
          <w:rFonts w:ascii="Book Antiqua" w:hAnsi="Book Antiqua"/>
        </w:rPr>
        <w:t>Camrelizumab</w:t>
      </w:r>
      <w:proofErr w:type="spellEnd"/>
      <w:r w:rsidRPr="007214E1">
        <w:rPr>
          <w:rFonts w:ascii="Book Antiqua" w:hAnsi="Book Antiqua"/>
        </w:rPr>
        <w:t xml:space="preserve"> for C-staged Hepatocellular Carcinoma in BCLC Classification. In: ClinicalTrials.gov [Internet]. Bethesda (MD): U.S. </w:t>
      </w:r>
      <w:r w:rsidR="00354FFA" w:rsidRPr="007214E1">
        <w:rPr>
          <w:rFonts w:ascii="Book Antiqua" w:hAnsi="Book Antiqua"/>
        </w:rPr>
        <w:t xml:space="preserve">National Library of Medicine. </w:t>
      </w:r>
      <w:r w:rsidRPr="007214E1">
        <w:rPr>
          <w:rFonts w:ascii="Book Antiqua" w:hAnsi="Book Antiqua"/>
        </w:rPr>
        <w:t>Available from: https://Clini</w:t>
      </w:r>
      <w:r w:rsidR="001977CA" w:rsidRPr="007214E1">
        <w:rPr>
          <w:rFonts w:ascii="Book Antiqua" w:hAnsi="Book Antiqua"/>
        </w:rPr>
        <w:t>calTrials.gov/show/NCT04191889</w:t>
      </w:r>
    </w:p>
    <w:p w14:paraId="33FC8211" w14:textId="382FBFA6"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69 </w:t>
      </w:r>
      <w:r w:rsidRPr="007214E1">
        <w:rPr>
          <w:rFonts w:ascii="Book Antiqua" w:hAnsi="Book Antiqua"/>
          <w:b/>
        </w:rPr>
        <w:t xml:space="preserve">Jiangsu </w:t>
      </w:r>
      <w:proofErr w:type="spellStart"/>
      <w:r w:rsidRPr="007214E1">
        <w:rPr>
          <w:rFonts w:ascii="Book Antiqua" w:hAnsi="Book Antiqua"/>
          <w:b/>
        </w:rPr>
        <w:t>HengRui</w:t>
      </w:r>
      <w:proofErr w:type="spellEnd"/>
      <w:r w:rsidRPr="007214E1">
        <w:rPr>
          <w:rFonts w:ascii="Book Antiqua" w:hAnsi="Book Antiqua"/>
          <w:b/>
        </w:rPr>
        <w:t xml:space="preserve"> Medicine Co. L. </w:t>
      </w:r>
      <w:r w:rsidRPr="007214E1">
        <w:rPr>
          <w:rFonts w:ascii="Book Antiqua" w:hAnsi="Book Antiqua"/>
        </w:rPr>
        <w:t xml:space="preserve">A Study to Evaluate SHR-1210 in Combination </w:t>
      </w:r>
      <w:r w:rsidR="001977CA" w:rsidRPr="007214E1">
        <w:rPr>
          <w:rFonts w:ascii="Book Antiqua" w:hAnsi="Book Antiqua"/>
        </w:rPr>
        <w:t xml:space="preserve">with </w:t>
      </w:r>
      <w:proofErr w:type="spellStart"/>
      <w:r w:rsidRPr="007214E1">
        <w:rPr>
          <w:rFonts w:ascii="Book Antiqua" w:hAnsi="Book Antiqua"/>
        </w:rPr>
        <w:t>Apatinib</w:t>
      </w:r>
      <w:proofErr w:type="spellEnd"/>
      <w:r w:rsidRPr="007214E1">
        <w:rPr>
          <w:rFonts w:ascii="Book Antiqua" w:hAnsi="Book Antiqua"/>
        </w:rPr>
        <w:t xml:space="preserve"> as First-Line Therapy in Patients </w:t>
      </w:r>
      <w:r w:rsidR="001977CA" w:rsidRPr="007214E1">
        <w:rPr>
          <w:rFonts w:ascii="Book Antiqua" w:hAnsi="Book Antiqua"/>
        </w:rPr>
        <w:t xml:space="preserve">with </w:t>
      </w:r>
      <w:r w:rsidRPr="007214E1">
        <w:rPr>
          <w:rFonts w:ascii="Book Antiqua" w:hAnsi="Book Antiqua"/>
        </w:rPr>
        <w:t>Advanced HCC. In: ClinicalTrials.gov [Internet]. Bethesda (MD): U.S.</w:t>
      </w:r>
      <w:r w:rsidR="001977CA" w:rsidRPr="007214E1">
        <w:rPr>
          <w:rFonts w:ascii="Book Antiqua" w:hAnsi="Book Antiqua"/>
        </w:rPr>
        <w:t xml:space="preserve"> National Library of Medicine. </w:t>
      </w:r>
      <w:r w:rsidRPr="007214E1">
        <w:rPr>
          <w:rFonts w:ascii="Book Antiqua" w:hAnsi="Book Antiqua"/>
        </w:rPr>
        <w:t>Available from: https://ClinicalTri</w:t>
      </w:r>
      <w:r w:rsidR="001977CA" w:rsidRPr="007214E1">
        <w:rPr>
          <w:rFonts w:ascii="Book Antiqua" w:hAnsi="Book Antiqua"/>
        </w:rPr>
        <w:t>als.gov/show/NCT03764293</w:t>
      </w:r>
    </w:p>
    <w:p w14:paraId="79169A2B"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70 </w:t>
      </w:r>
      <w:r w:rsidRPr="007214E1">
        <w:rPr>
          <w:rFonts w:ascii="Book Antiqua" w:hAnsi="Book Antiqua"/>
          <w:b/>
        </w:rPr>
        <w:t>Chen ML</w:t>
      </w:r>
      <w:r w:rsidRPr="007214E1">
        <w:rPr>
          <w:rFonts w:ascii="Book Antiqua" w:hAnsi="Book Antiqua"/>
        </w:rPr>
        <w:t xml:space="preserve">, Yan BS, Lu WC, Chen MH, Yu SL, Yang PC, Cheng AL. Sorafenib relieves cell-intrinsic and cell-extrinsic inhibitions of effector T cells in tumor microenvironment to augment antitumor immunity. </w:t>
      </w:r>
      <w:r w:rsidRPr="007214E1">
        <w:rPr>
          <w:rFonts w:ascii="Book Antiqua" w:hAnsi="Book Antiqua"/>
          <w:i/>
        </w:rPr>
        <w:t>Int J Cancer</w:t>
      </w:r>
      <w:r w:rsidRPr="007214E1">
        <w:rPr>
          <w:rFonts w:ascii="Book Antiqua" w:hAnsi="Book Antiqua"/>
        </w:rPr>
        <w:t xml:space="preserve"> 2014; </w:t>
      </w:r>
      <w:r w:rsidRPr="007214E1">
        <w:rPr>
          <w:rFonts w:ascii="Book Antiqua" w:hAnsi="Book Antiqua"/>
          <w:b/>
        </w:rPr>
        <w:t>134</w:t>
      </w:r>
      <w:r w:rsidRPr="007214E1">
        <w:rPr>
          <w:rFonts w:ascii="Book Antiqua" w:hAnsi="Book Antiqua"/>
        </w:rPr>
        <w:t>: 319-331 [PMID: 23818246 DOI: 10.1002/ijc.28362]</w:t>
      </w:r>
    </w:p>
    <w:p w14:paraId="73255536"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71 </w:t>
      </w:r>
      <w:r w:rsidRPr="007214E1">
        <w:rPr>
          <w:rFonts w:ascii="Book Antiqua" w:hAnsi="Book Antiqua"/>
          <w:b/>
        </w:rPr>
        <w:t>Cabrera R</w:t>
      </w:r>
      <w:r w:rsidRPr="007214E1">
        <w:rPr>
          <w:rFonts w:ascii="Book Antiqua" w:hAnsi="Book Antiqua"/>
        </w:rPr>
        <w:t xml:space="preserve">, Ararat M, </w:t>
      </w:r>
      <w:proofErr w:type="spellStart"/>
      <w:r w:rsidRPr="007214E1">
        <w:rPr>
          <w:rFonts w:ascii="Book Antiqua" w:hAnsi="Book Antiqua"/>
        </w:rPr>
        <w:t>Xu</w:t>
      </w:r>
      <w:proofErr w:type="spellEnd"/>
      <w:r w:rsidRPr="007214E1">
        <w:rPr>
          <w:rFonts w:ascii="Book Antiqua" w:hAnsi="Book Antiqua"/>
        </w:rPr>
        <w:t xml:space="preserve"> Y, </w:t>
      </w:r>
      <w:proofErr w:type="spellStart"/>
      <w:r w:rsidRPr="007214E1">
        <w:rPr>
          <w:rFonts w:ascii="Book Antiqua" w:hAnsi="Book Antiqua"/>
        </w:rPr>
        <w:t>Brusko</w:t>
      </w:r>
      <w:proofErr w:type="spellEnd"/>
      <w:r w:rsidRPr="007214E1">
        <w:rPr>
          <w:rFonts w:ascii="Book Antiqua" w:hAnsi="Book Antiqua"/>
        </w:rPr>
        <w:t xml:space="preserve"> T, </w:t>
      </w:r>
      <w:proofErr w:type="spellStart"/>
      <w:r w:rsidRPr="007214E1">
        <w:rPr>
          <w:rFonts w:ascii="Book Antiqua" w:hAnsi="Book Antiqua"/>
        </w:rPr>
        <w:t>Wasserfall</w:t>
      </w:r>
      <w:proofErr w:type="spellEnd"/>
      <w:r w:rsidRPr="007214E1">
        <w:rPr>
          <w:rFonts w:ascii="Book Antiqua" w:hAnsi="Book Antiqua"/>
        </w:rPr>
        <w:t xml:space="preserve"> C, Atkinson MA, Chang LJ, Liu C, Nelson DR. Immune modulation of effector CD4+ and regulatory T cell function by sorafenib in patients with hepatocellular carcinoma. </w:t>
      </w:r>
      <w:r w:rsidRPr="007214E1">
        <w:rPr>
          <w:rFonts w:ascii="Book Antiqua" w:hAnsi="Book Antiqua"/>
          <w:i/>
        </w:rPr>
        <w:t xml:space="preserve">Cancer </w:t>
      </w:r>
      <w:proofErr w:type="spellStart"/>
      <w:r w:rsidRPr="007214E1">
        <w:rPr>
          <w:rFonts w:ascii="Book Antiqua" w:hAnsi="Book Antiqua"/>
          <w:i/>
        </w:rPr>
        <w:t>Immunol</w:t>
      </w:r>
      <w:proofErr w:type="spellEnd"/>
      <w:r w:rsidRPr="007214E1">
        <w:rPr>
          <w:rFonts w:ascii="Book Antiqua" w:hAnsi="Book Antiqua"/>
          <w:i/>
        </w:rPr>
        <w:t xml:space="preserve"> </w:t>
      </w:r>
      <w:proofErr w:type="spellStart"/>
      <w:r w:rsidRPr="007214E1">
        <w:rPr>
          <w:rFonts w:ascii="Book Antiqua" w:hAnsi="Book Antiqua"/>
          <w:i/>
        </w:rPr>
        <w:t>Immunother</w:t>
      </w:r>
      <w:proofErr w:type="spellEnd"/>
      <w:r w:rsidRPr="007214E1">
        <w:rPr>
          <w:rFonts w:ascii="Book Antiqua" w:hAnsi="Book Antiqua"/>
        </w:rPr>
        <w:t xml:space="preserve"> 2013; </w:t>
      </w:r>
      <w:r w:rsidRPr="007214E1">
        <w:rPr>
          <w:rFonts w:ascii="Book Antiqua" w:hAnsi="Book Antiqua"/>
          <w:b/>
        </w:rPr>
        <w:t>62</w:t>
      </w:r>
      <w:r w:rsidRPr="007214E1">
        <w:rPr>
          <w:rFonts w:ascii="Book Antiqua" w:hAnsi="Book Antiqua"/>
        </w:rPr>
        <w:t>: 737-746 [PMID: 23223899 DOI: 10.1007/s00262-012-1380-8]</w:t>
      </w:r>
    </w:p>
    <w:p w14:paraId="7A42E08A"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72 </w:t>
      </w:r>
      <w:r w:rsidRPr="007214E1">
        <w:rPr>
          <w:rFonts w:ascii="Book Antiqua" w:hAnsi="Book Antiqua"/>
          <w:b/>
        </w:rPr>
        <w:t>Alfaro C</w:t>
      </w:r>
      <w:r w:rsidRPr="007214E1">
        <w:rPr>
          <w:rFonts w:ascii="Book Antiqua" w:hAnsi="Book Antiqua"/>
        </w:rPr>
        <w:t xml:space="preserve">, Suarez N, Gonzalez A, Solano S, </w:t>
      </w:r>
      <w:proofErr w:type="spellStart"/>
      <w:r w:rsidRPr="007214E1">
        <w:rPr>
          <w:rFonts w:ascii="Book Antiqua" w:hAnsi="Book Antiqua"/>
        </w:rPr>
        <w:t>Erro</w:t>
      </w:r>
      <w:proofErr w:type="spellEnd"/>
      <w:r w:rsidRPr="007214E1">
        <w:rPr>
          <w:rFonts w:ascii="Book Antiqua" w:hAnsi="Book Antiqua"/>
        </w:rPr>
        <w:t xml:space="preserve"> L, </w:t>
      </w:r>
      <w:proofErr w:type="spellStart"/>
      <w:r w:rsidRPr="007214E1">
        <w:rPr>
          <w:rFonts w:ascii="Book Antiqua" w:hAnsi="Book Antiqua"/>
        </w:rPr>
        <w:t>Dubrot</w:t>
      </w:r>
      <w:proofErr w:type="spellEnd"/>
      <w:r w:rsidRPr="007214E1">
        <w:rPr>
          <w:rFonts w:ascii="Book Antiqua" w:hAnsi="Book Antiqua"/>
        </w:rPr>
        <w:t xml:space="preserve"> J, </w:t>
      </w:r>
      <w:proofErr w:type="spellStart"/>
      <w:r w:rsidRPr="007214E1">
        <w:rPr>
          <w:rFonts w:ascii="Book Antiqua" w:hAnsi="Book Antiqua"/>
        </w:rPr>
        <w:t>Palazon</w:t>
      </w:r>
      <w:proofErr w:type="spellEnd"/>
      <w:r w:rsidRPr="007214E1">
        <w:rPr>
          <w:rFonts w:ascii="Book Antiqua" w:hAnsi="Book Antiqua"/>
        </w:rPr>
        <w:t xml:space="preserve"> A, </w:t>
      </w:r>
      <w:proofErr w:type="spellStart"/>
      <w:r w:rsidRPr="007214E1">
        <w:rPr>
          <w:rFonts w:ascii="Book Antiqua" w:hAnsi="Book Antiqua"/>
        </w:rPr>
        <w:t>Hervas</w:t>
      </w:r>
      <w:proofErr w:type="spellEnd"/>
      <w:r w:rsidRPr="007214E1">
        <w:rPr>
          <w:rFonts w:ascii="Book Antiqua" w:hAnsi="Book Antiqua"/>
        </w:rPr>
        <w:t xml:space="preserve">-Stubbs S, </w:t>
      </w:r>
      <w:proofErr w:type="spellStart"/>
      <w:r w:rsidRPr="007214E1">
        <w:rPr>
          <w:rFonts w:ascii="Book Antiqua" w:hAnsi="Book Antiqua"/>
        </w:rPr>
        <w:t>Gurpide</w:t>
      </w:r>
      <w:proofErr w:type="spellEnd"/>
      <w:r w:rsidRPr="007214E1">
        <w:rPr>
          <w:rFonts w:ascii="Book Antiqua" w:hAnsi="Book Antiqua"/>
        </w:rPr>
        <w:t xml:space="preserve"> A, Lopez-</w:t>
      </w:r>
      <w:proofErr w:type="spellStart"/>
      <w:r w:rsidRPr="007214E1">
        <w:rPr>
          <w:rFonts w:ascii="Book Antiqua" w:hAnsi="Book Antiqua"/>
        </w:rPr>
        <w:t>Picazo</w:t>
      </w:r>
      <w:proofErr w:type="spellEnd"/>
      <w:r w:rsidRPr="007214E1">
        <w:rPr>
          <w:rFonts w:ascii="Book Antiqua" w:hAnsi="Book Antiqua"/>
        </w:rPr>
        <w:t xml:space="preserve"> JM, Grande-</w:t>
      </w:r>
      <w:proofErr w:type="spellStart"/>
      <w:r w:rsidRPr="007214E1">
        <w:rPr>
          <w:rFonts w:ascii="Book Antiqua" w:hAnsi="Book Antiqua"/>
        </w:rPr>
        <w:t>Pulido</w:t>
      </w:r>
      <w:proofErr w:type="spellEnd"/>
      <w:r w:rsidRPr="007214E1">
        <w:rPr>
          <w:rFonts w:ascii="Book Antiqua" w:hAnsi="Book Antiqua"/>
        </w:rPr>
        <w:t xml:space="preserve"> E, </w:t>
      </w:r>
      <w:proofErr w:type="spellStart"/>
      <w:r w:rsidRPr="007214E1">
        <w:rPr>
          <w:rFonts w:ascii="Book Antiqua" w:hAnsi="Book Antiqua"/>
        </w:rPr>
        <w:t>Melero</w:t>
      </w:r>
      <w:proofErr w:type="spellEnd"/>
      <w:r w:rsidRPr="007214E1">
        <w:rPr>
          <w:rFonts w:ascii="Book Antiqua" w:hAnsi="Book Antiqua"/>
        </w:rPr>
        <w:t xml:space="preserve"> I, </w:t>
      </w:r>
      <w:r w:rsidRPr="007214E1">
        <w:rPr>
          <w:rFonts w:ascii="Book Antiqua" w:hAnsi="Book Antiqua"/>
        </w:rPr>
        <w:lastRenderedPageBreak/>
        <w:t>Perez-</w:t>
      </w:r>
      <w:proofErr w:type="spellStart"/>
      <w:r w:rsidRPr="007214E1">
        <w:rPr>
          <w:rFonts w:ascii="Book Antiqua" w:hAnsi="Book Antiqua"/>
        </w:rPr>
        <w:t>Gracia</w:t>
      </w:r>
      <w:proofErr w:type="spellEnd"/>
      <w:r w:rsidRPr="007214E1">
        <w:rPr>
          <w:rFonts w:ascii="Book Antiqua" w:hAnsi="Book Antiqua"/>
        </w:rPr>
        <w:t xml:space="preserve"> JL. Influence of bevacizumab, sunitinib and sorafenib as single agents or in combination on the inhibitory effects of VEGF on human dendritic cell differentiation from monocytes. </w:t>
      </w:r>
      <w:r w:rsidRPr="007214E1">
        <w:rPr>
          <w:rFonts w:ascii="Book Antiqua" w:hAnsi="Book Antiqua"/>
          <w:i/>
        </w:rPr>
        <w:t>Br J Cancer</w:t>
      </w:r>
      <w:r w:rsidRPr="007214E1">
        <w:rPr>
          <w:rFonts w:ascii="Book Antiqua" w:hAnsi="Book Antiqua"/>
        </w:rPr>
        <w:t xml:space="preserve"> 2009; </w:t>
      </w:r>
      <w:r w:rsidRPr="007214E1">
        <w:rPr>
          <w:rFonts w:ascii="Book Antiqua" w:hAnsi="Book Antiqua"/>
          <w:b/>
        </w:rPr>
        <w:t>100</w:t>
      </w:r>
      <w:r w:rsidRPr="007214E1">
        <w:rPr>
          <w:rFonts w:ascii="Book Antiqua" w:hAnsi="Book Antiqua"/>
        </w:rPr>
        <w:t>: 1111-1119 [PMID: 19277038 DOI: 10.1038/sj.bjc.6604965]</w:t>
      </w:r>
    </w:p>
    <w:p w14:paraId="72AD0BEF"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73 </w:t>
      </w:r>
      <w:r w:rsidRPr="007214E1">
        <w:rPr>
          <w:rFonts w:ascii="Book Antiqua" w:hAnsi="Book Antiqua"/>
          <w:b/>
        </w:rPr>
        <w:t>Kimura T</w:t>
      </w:r>
      <w:r w:rsidRPr="007214E1">
        <w:rPr>
          <w:rFonts w:ascii="Book Antiqua" w:hAnsi="Book Antiqua"/>
        </w:rPr>
        <w:t xml:space="preserve">, Kato Y, Ozawa Y, Kodama K, Ito J, Ichikawa K, Yamada K, Hori Y, Tabata K, Takase K, Matsui J, </w:t>
      </w:r>
      <w:proofErr w:type="spellStart"/>
      <w:r w:rsidRPr="007214E1">
        <w:rPr>
          <w:rFonts w:ascii="Book Antiqua" w:hAnsi="Book Antiqua"/>
        </w:rPr>
        <w:t>Funahashi</w:t>
      </w:r>
      <w:proofErr w:type="spellEnd"/>
      <w:r w:rsidRPr="007214E1">
        <w:rPr>
          <w:rFonts w:ascii="Book Antiqua" w:hAnsi="Book Antiqua"/>
        </w:rPr>
        <w:t xml:space="preserve"> Y, </w:t>
      </w:r>
      <w:proofErr w:type="spellStart"/>
      <w:r w:rsidRPr="007214E1">
        <w:rPr>
          <w:rFonts w:ascii="Book Antiqua" w:hAnsi="Book Antiqua"/>
        </w:rPr>
        <w:t>Nomoto</w:t>
      </w:r>
      <w:proofErr w:type="spellEnd"/>
      <w:r w:rsidRPr="007214E1">
        <w:rPr>
          <w:rFonts w:ascii="Book Antiqua" w:hAnsi="Book Antiqua"/>
        </w:rPr>
        <w:t xml:space="preserve"> K. </w:t>
      </w:r>
      <w:proofErr w:type="spellStart"/>
      <w:r w:rsidRPr="007214E1">
        <w:rPr>
          <w:rFonts w:ascii="Book Antiqua" w:hAnsi="Book Antiqua"/>
        </w:rPr>
        <w:t>Immunomodulatory</w:t>
      </w:r>
      <w:proofErr w:type="spellEnd"/>
      <w:r w:rsidRPr="007214E1">
        <w:rPr>
          <w:rFonts w:ascii="Book Antiqua" w:hAnsi="Book Antiqua"/>
        </w:rPr>
        <w:t xml:space="preserve"> activity of </w:t>
      </w:r>
      <w:proofErr w:type="spellStart"/>
      <w:r w:rsidRPr="007214E1">
        <w:rPr>
          <w:rFonts w:ascii="Book Antiqua" w:hAnsi="Book Antiqua"/>
        </w:rPr>
        <w:t>lenvatinib</w:t>
      </w:r>
      <w:proofErr w:type="spellEnd"/>
      <w:r w:rsidRPr="007214E1">
        <w:rPr>
          <w:rFonts w:ascii="Book Antiqua" w:hAnsi="Book Antiqua"/>
        </w:rPr>
        <w:t xml:space="preserve"> contributes to antitumor activity in the Hepa1-6 hepatocellular carcinoma model. </w:t>
      </w:r>
      <w:r w:rsidRPr="007214E1">
        <w:rPr>
          <w:rFonts w:ascii="Book Antiqua" w:hAnsi="Book Antiqua"/>
          <w:i/>
        </w:rPr>
        <w:t>Cancer Sci</w:t>
      </w:r>
      <w:r w:rsidRPr="007214E1">
        <w:rPr>
          <w:rFonts w:ascii="Book Antiqua" w:hAnsi="Book Antiqua"/>
        </w:rPr>
        <w:t xml:space="preserve"> 2018; </w:t>
      </w:r>
      <w:r w:rsidRPr="007214E1">
        <w:rPr>
          <w:rFonts w:ascii="Book Antiqua" w:hAnsi="Book Antiqua"/>
          <w:b/>
        </w:rPr>
        <w:t>109</w:t>
      </w:r>
      <w:r w:rsidRPr="007214E1">
        <w:rPr>
          <w:rFonts w:ascii="Book Antiqua" w:hAnsi="Book Antiqua"/>
        </w:rPr>
        <w:t>: 3993-4002 [PMID: 30447042 DOI: 10.1111/cas.13806]</w:t>
      </w:r>
    </w:p>
    <w:p w14:paraId="73AFCF20" w14:textId="6E48AE90"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74 </w:t>
      </w:r>
      <w:r w:rsidRPr="007214E1">
        <w:rPr>
          <w:rFonts w:ascii="Book Antiqua" w:hAnsi="Book Antiqua"/>
          <w:b/>
        </w:rPr>
        <w:t xml:space="preserve">Roswell Park Cancer Institute. </w:t>
      </w:r>
      <w:proofErr w:type="spellStart"/>
      <w:r w:rsidRPr="007214E1">
        <w:rPr>
          <w:rFonts w:ascii="Book Antiqua" w:hAnsi="Book Antiqua"/>
        </w:rPr>
        <w:t>Sorafenib</w:t>
      </w:r>
      <w:proofErr w:type="spellEnd"/>
      <w:r w:rsidRPr="007214E1">
        <w:rPr>
          <w:rFonts w:ascii="Book Antiqua" w:hAnsi="Book Antiqua"/>
        </w:rPr>
        <w:t xml:space="preserve"> </w:t>
      </w:r>
      <w:proofErr w:type="spellStart"/>
      <w:r w:rsidRPr="007214E1">
        <w:rPr>
          <w:rFonts w:ascii="Book Antiqua" w:hAnsi="Book Antiqua"/>
        </w:rPr>
        <w:t>Tosylate</w:t>
      </w:r>
      <w:proofErr w:type="spellEnd"/>
      <w:r w:rsidRPr="007214E1">
        <w:rPr>
          <w:rFonts w:ascii="Book Antiqua" w:hAnsi="Book Antiqua"/>
        </w:rPr>
        <w:t xml:space="preserve"> and </w:t>
      </w:r>
      <w:proofErr w:type="spellStart"/>
      <w:r w:rsidRPr="007214E1">
        <w:rPr>
          <w:rFonts w:ascii="Book Antiqua" w:hAnsi="Book Antiqua"/>
        </w:rPr>
        <w:t>Pembrolizumab</w:t>
      </w:r>
      <w:proofErr w:type="spellEnd"/>
      <w:r w:rsidRPr="007214E1">
        <w:rPr>
          <w:rFonts w:ascii="Book Antiqua" w:hAnsi="Book Antiqua"/>
        </w:rPr>
        <w:t xml:space="preserve"> in Treating Patients </w:t>
      </w:r>
      <w:r w:rsidR="001977CA" w:rsidRPr="007214E1">
        <w:rPr>
          <w:rFonts w:ascii="Book Antiqua" w:hAnsi="Book Antiqua"/>
        </w:rPr>
        <w:t xml:space="preserve">with </w:t>
      </w:r>
      <w:r w:rsidRPr="007214E1">
        <w:rPr>
          <w:rFonts w:ascii="Book Antiqua" w:hAnsi="Book Antiqua"/>
        </w:rPr>
        <w:t>Advanc</w:t>
      </w:r>
      <w:r w:rsidR="001977CA" w:rsidRPr="007214E1">
        <w:rPr>
          <w:rFonts w:ascii="Book Antiqua" w:hAnsi="Book Antiqua"/>
        </w:rPr>
        <w:t xml:space="preserve">ed or Metastatic Liver Cancer. </w:t>
      </w:r>
      <w:r w:rsidRPr="007214E1">
        <w:rPr>
          <w:rFonts w:ascii="Book Antiqua" w:hAnsi="Book Antiqua"/>
        </w:rPr>
        <w:t>In: ClinicalTrials.gov [Internet]. Bethesda (MD): U.S. N</w:t>
      </w:r>
      <w:r w:rsidR="00354FFA" w:rsidRPr="007214E1">
        <w:rPr>
          <w:rFonts w:ascii="Book Antiqua" w:hAnsi="Book Antiqua"/>
        </w:rPr>
        <w:t xml:space="preserve">ational Library of Medicine. </w:t>
      </w:r>
      <w:r w:rsidRPr="007214E1">
        <w:rPr>
          <w:rFonts w:ascii="Book Antiqua" w:hAnsi="Book Antiqua"/>
        </w:rPr>
        <w:t>Available from: https://Clini</w:t>
      </w:r>
      <w:r w:rsidR="001977CA" w:rsidRPr="007214E1">
        <w:rPr>
          <w:rFonts w:ascii="Book Antiqua" w:hAnsi="Book Antiqua"/>
        </w:rPr>
        <w:t>calTrials.gov/show/NCT03211416</w:t>
      </w:r>
    </w:p>
    <w:p w14:paraId="3AA9EFD8" w14:textId="2AE133AF"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75 </w:t>
      </w:r>
      <w:r w:rsidRPr="007214E1">
        <w:rPr>
          <w:rFonts w:ascii="Book Antiqua" w:hAnsi="Book Antiqua"/>
          <w:b/>
        </w:rPr>
        <w:t xml:space="preserve">Kelley RK. </w:t>
      </w:r>
      <w:r w:rsidRPr="007214E1">
        <w:rPr>
          <w:rFonts w:ascii="Book Antiqua" w:hAnsi="Book Antiqua"/>
        </w:rPr>
        <w:t xml:space="preserve">Sorafenib and Nivolumab in Treating Participants </w:t>
      </w:r>
      <w:r w:rsidR="001977CA" w:rsidRPr="007214E1">
        <w:rPr>
          <w:rFonts w:ascii="Book Antiqua" w:hAnsi="Book Antiqua"/>
        </w:rPr>
        <w:t xml:space="preserve">with </w:t>
      </w:r>
      <w:r w:rsidRPr="007214E1">
        <w:rPr>
          <w:rFonts w:ascii="Book Antiqua" w:hAnsi="Book Antiqua"/>
        </w:rPr>
        <w:t>Unresectable, Locally Advanc</w:t>
      </w:r>
      <w:r w:rsidR="00354FFA" w:rsidRPr="007214E1">
        <w:rPr>
          <w:rFonts w:ascii="Book Antiqua" w:hAnsi="Book Antiqua"/>
        </w:rPr>
        <w:t xml:space="preserve">ed or Metastatic Liver Cancer. </w:t>
      </w:r>
      <w:r w:rsidRPr="007214E1">
        <w:rPr>
          <w:rFonts w:ascii="Book Antiqua" w:hAnsi="Book Antiqua"/>
        </w:rPr>
        <w:t xml:space="preserve">In: ClinicalTrials.gov [Internet]. Bethesda (MD): U.S. </w:t>
      </w:r>
      <w:r w:rsidR="001977CA" w:rsidRPr="007214E1">
        <w:rPr>
          <w:rFonts w:ascii="Book Antiqua" w:hAnsi="Book Antiqua"/>
        </w:rPr>
        <w:t xml:space="preserve">National Library of Medicine. </w:t>
      </w:r>
      <w:r w:rsidRPr="007214E1">
        <w:rPr>
          <w:rFonts w:ascii="Book Antiqua" w:hAnsi="Book Antiqua"/>
        </w:rPr>
        <w:t>Available from: https://Clini</w:t>
      </w:r>
      <w:r w:rsidR="001977CA" w:rsidRPr="007214E1">
        <w:rPr>
          <w:rFonts w:ascii="Book Antiqua" w:hAnsi="Book Antiqua"/>
        </w:rPr>
        <w:t>calTrials.gov/show/NCT03439891</w:t>
      </w:r>
    </w:p>
    <w:p w14:paraId="2462F6A1" w14:textId="5B28B2FD"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76 </w:t>
      </w:r>
      <w:proofErr w:type="spellStart"/>
      <w:r w:rsidRPr="007214E1">
        <w:rPr>
          <w:rFonts w:ascii="Book Antiqua" w:hAnsi="Book Antiqua"/>
          <w:b/>
        </w:rPr>
        <w:t>Yau</w:t>
      </w:r>
      <w:proofErr w:type="spellEnd"/>
      <w:r w:rsidRPr="007214E1">
        <w:rPr>
          <w:rFonts w:ascii="Book Antiqua" w:hAnsi="Book Antiqua"/>
          <w:b/>
        </w:rPr>
        <w:t xml:space="preserve"> T,</w:t>
      </w:r>
      <w:r w:rsidR="00354FFA" w:rsidRPr="007214E1">
        <w:rPr>
          <w:rFonts w:ascii="Book Antiqua" w:hAnsi="Book Antiqua"/>
        </w:rPr>
        <w:t xml:space="preserve"> </w:t>
      </w:r>
      <w:proofErr w:type="spellStart"/>
      <w:r w:rsidRPr="007214E1">
        <w:rPr>
          <w:rFonts w:ascii="Book Antiqua" w:hAnsi="Book Antiqua"/>
        </w:rPr>
        <w:t>Zagonel</w:t>
      </w:r>
      <w:proofErr w:type="spellEnd"/>
      <w:r w:rsidRPr="007214E1">
        <w:rPr>
          <w:rFonts w:ascii="Book Antiqua" w:hAnsi="Book Antiqua"/>
        </w:rPr>
        <w:t xml:space="preserve"> V, Santoro A, Acosta-Rivera M, </w:t>
      </w:r>
      <w:proofErr w:type="spellStart"/>
      <w:r w:rsidRPr="007214E1">
        <w:rPr>
          <w:rFonts w:ascii="Book Antiqua" w:hAnsi="Book Antiqua"/>
        </w:rPr>
        <w:t>Choo</w:t>
      </w:r>
      <w:proofErr w:type="spellEnd"/>
      <w:r w:rsidRPr="007214E1">
        <w:rPr>
          <w:rFonts w:ascii="Book Antiqua" w:hAnsi="Book Antiqua"/>
        </w:rPr>
        <w:t xml:space="preserve"> SP, </w:t>
      </w:r>
      <w:proofErr w:type="spellStart"/>
      <w:r w:rsidRPr="007214E1">
        <w:rPr>
          <w:rFonts w:ascii="Book Antiqua" w:hAnsi="Book Antiqua"/>
        </w:rPr>
        <w:t>Matilla</w:t>
      </w:r>
      <w:proofErr w:type="spellEnd"/>
      <w:r w:rsidRPr="007214E1">
        <w:rPr>
          <w:rFonts w:ascii="Book Antiqua" w:hAnsi="Book Antiqua"/>
        </w:rPr>
        <w:t xml:space="preserve"> A, He AR, </w:t>
      </w:r>
      <w:proofErr w:type="spellStart"/>
      <w:r w:rsidRPr="007214E1">
        <w:rPr>
          <w:rFonts w:ascii="Book Antiqua" w:hAnsi="Book Antiqua"/>
        </w:rPr>
        <w:t>Gracian</w:t>
      </w:r>
      <w:proofErr w:type="spellEnd"/>
      <w:r w:rsidRPr="007214E1">
        <w:rPr>
          <w:rFonts w:ascii="Book Antiqua" w:hAnsi="Book Antiqua"/>
        </w:rPr>
        <w:t xml:space="preserve"> AC, El-</w:t>
      </w:r>
      <w:proofErr w:type="spellStart"/>
      <w:r w:rsidRPr="007214E1">
        <w:rPr>
          <w:rFonts w:ascii="Book Antiqua" w:hAnsi="Book Antiqua"/>
        </w:rPr>
        <w:t>Khoueiry</w:t>
      </w:r>
      <w:proofErr w:type="spellEnd"/>
      <w:r w:rsidRPr="007214E1">
        <w:rPr>
          <w:rFonts w:ascii="Book Antiqua" w:hAnsi="Book Antiqua"/>
        </w:rPr>
        <w:t xml:space="preserve"> AB, </w:t>
      </w:r>
      <w:proofErr w:type="spellStart"/>
      <w:r w:rsidRPr="007214E1">
        <w:rPr>
          <w:rFonts w:ascii="Book Antiqua" w:hAnsi="Book Antiqua"/>
        </w:rPr>
        <w:t>Sangro</w:t>
      </w:r>
      <w:proofErr w:type="spellEnd"/>
      <w:r w:rsidRPr="007214E1">
        <w:rPr>
          <w:rFonts w:ascii="Book Antiqua" w:hAnsi="Book Antiqua"/>
        </w:rPr>
        <w:t xml:space="preserve"> B, </w:t>
      </w:r>
      <w:proofErr w:type="spellStart"/>
      <w:r w:rsidRPr="007214E1">
        <w:rPr>
          <w:rFonts w:ascii="Book Antiqua" w:hAnsi="Book Antiqua"/>
        </w:rPr>
        <w:t>Eldawy</w:t>
      </w:r>
      <w:proofErr w:type="spellEnd"/>
      <w:r w:rsidRPr="007214E1">
        <w:rPr>
          <w:rFonts w:ascii="Book Antiqua" w:hAnsi="Book Antiqua"/>
        </w:rPr>
        <w:t xml:space="preserve"> T, </w:t>
      </w:r>
      <w:proofErr w:type="spellStart"/>
      <w:r w:rsidRPr="007214E1">
        <w:rPr>
          <w:rFonts w:ascii="Book Antiqua" w:hAnsi="Book Antiqua"/>
        </w:rPr>
        <w:t>Bruix</w:t>
      </w:r>
      <w:proofErr w:type="spellEnd"/>
      <w:r w:rsidRPr="007214E1">
        <w:rPr>
          <w:rFonts w:ascii="Book Antiqua" w:hAnsi="Book Antiqua"/>
        </w:rPr>
        <w:t xml:space="preserve"> J, </w:t>
      </w:r>
      <w:proofErr w:type="spellStart"/>
      <w:r w:rsidRPr="007214E1">
        <w:rPr>
          <w:rFonts w:ascii="Book Antiqua" w:hAnsi="Book Antiqua"/>
        </w:rPr>
        <w:t>Frassineti</w:t>
      </w:r>
      <w:proofErr w:type="spellEnd"/>
      <w:r w:rsidRPr="007214E1">
        <w:rPr>
          <w:rFonts w:ascii="Book Antiqua" w:hAnsi="Book Antiqua"/>
        </w:rPr>
        <w:t xml:space="preserve"> G, </w:t>
      </w:r>
      <w:proofErr w:type="spellStart"/>
      <w:r w:rsidRPr="007214E1">
        <w:rPr>
          <w:rFonts w:ascii="Book Antiqua" w:hAnsi="Book Antiqua"/>
        </w:rPr>
        <w:t>Vaccaro</w:t>
      </w:r>
      <w:proofErr w:type="spellEnd"/>
      <w:r w:rsidRPr="007214E1">
        <w:rPr>
          <w:rFonts w:ascii="Book Antiqua" w:hAnsi="Book Antiqua"/>
        </w:rPr>
        <w:t xml:space="preserve"> GM, </w:t>
      </w:r>
      <w:proofErr w:type="spellStart"/>
      <w:r w:rsidRPr="007214E1">
        <w:rPr>
          <w:rFonts w:ascii="Book Antiqua" w:hAnsi="Book Antiqua"/>
        </w:rPr>
        <w:t>Tschaika</w:t>
      </w:r>
      <w:proofErr w:type="spellEnd"/>
      <w:r w:rsidRPr="007214E1">
        <w:rPr>
          <w:rFonts w:ascii="Book Antiqua" w:hAnsi="Book Antiqua"/>
        </w:rPr>
        <w:t xml:space="preserve"> M, </w:t>
      </w:r>
      <w:proofErr w:type="spellStart"/>
      <w:r w:rsidRPr="007214E1">
        <w:rPr>
          <w:rFonts w:ascii="Book Antiqua" w:hAnsi="Book Antiqua"/>
        </w:rPr>
        <w:t>Scheffold</w:t>
      </w:r>
      <w:proofErr w:type="spellEnd"/>
      <w:r w:rsidRPr="007214E1">
        <w:rPr>
          <w:rFonts w:ascii="Book Antiqua" w:hAnsi="Book Antiqua"/>
        </w:rPr>
        <w:t xml:space="preserve"> C, </w:t>
      </w:r>
      <w:proofErr w:type="spellStart"/>
      <w:r w:rsidRPr="007214E1">
        <w:rPr>
          <w:rFonts w:ascii="Book Antiqua" w:hAnsi="Book Antiqua"/>
        </w:rPr>
        <w:t>Shen</w:t>
      </w:r>
      <w:proofErr w:type="spellEnd"/>
      <w:r w:rsidRPr="007214E1">
        <w:rPr>
          <w:rFonts w:ascii="Book Antiqua" w:hAnsi="Book Antiqua"/>
        </w:rPr>
        <w:t xml:space="preserve"> Y, Neely J, </w:t>
      </w:r>
      <w:proofErr w:type="spellStart"/>
      <w:r w:rsidRPr="007214E1">
        <w:rPr>
          <w:rFonts w:ascii="Book Antiqua" w:hAnsi="Book Antiqua"/>
        </w:rPr>
        <w:t>Piscaglia</w:t>
      </w:r>
      <w:proofErr w:type="spellEnd"/>
      <w:r w:rsidRPr="007214E1">
        <w:rPr>
          <w:rFonts w:ascii="Book Antiqua" w:hAnsi="Book Antiqua"/>
        </w:rPr>
        <w:t xml:space="preserve"> F. </w:t>
      </w:r>
      <w:proofErr w:type="spellStart"/>
      <w:r w:rsidRPr="007214E1">
        <w:rPr>
          <w:rFonts w:ascii="Book Antiqua" w:hAnsi="Book Antiqua"/>
        </w:rPr>
        <w:t>Nivolumab</w:t>
      </w:r>
      <w:proofErr w:type="spellEnd"/>
      <w:r w:rsidRPr="007214E1">
        <w:rPr>
          <w:rFonts w:ascii="Book Antiqua" w:hAnsi="Book Antiqua"/>
        </w:rPr>
        <w:t xml:space="preserve"> (NIVO) + </w:t>
      </w:r>
      <w:proofErr w:type="spellStart"/>
      <w:r w:rsidRPr="007214E1">
        <w:rPr>
          <w:rFonts w:ascii="Book Antiqua" w:hAnsi="Book Antiqua"/>
        </w:rPr>
        <w:t>ipilimumab</w:t>
      </w:r>
      <w:proofErr w:type="spellEnd"/>
      <w:r w:rsidRPr="007214E1">
        <w:rPr>
          <w:rFonts w:ascii="Book Antiqua" w:hAnsi="Book Antiqua"/>
        </w:rPr>
        <w:t xml:space="preserve"> (IPI) + </w:t>
      </w:r>
      <w:proofErr w:type="spellStart"/>
      <w:r w:rsidRPr="007214E1">
        <w:rPr>
          <w:rFonts w:ascii="Book Antiqua" w:hAnsi="Book Antiqua"/>
        </w:rPr>
        <w:t>cabozantinib</w:t>
      </w:r>
      <w:proofErr w:type="spellEnd"/>
      <w:r w:rsidRPr="007214E1">
        <w:rPr>
          <w:rFonts w:ascii="Book Antiqua" w:hAnsi="Book Antiqua"/>
        </w:rPr>
        <w:t xml:space="preserve"> (CABO) combination therapy in patients (pts) with advanced hepatocellular carcinoma (</w:t>
      </w:r>
      <w:proofErr w:type="spellStart"/>
      <w:r w:rsidRPr="007214E1">
        <w:rPr>
          <w:rFonts w:ascii="Book Antiqua" w:hAnsi="Book Antiqua"/>
        </w:rPr>
        <w:t>aHCC</w:t>
      </w:r>
      <w:proofErr w:type="spellEnd"/>
      <w:r w:rsidRPr="007214E1">
        <w:rPr>
          <w:rFonts w:ascii="Book Antiqua" w:hAnsi="Book Antiqua"/>
        </w:rPr>
        <w:t xml:space="preserve">): Results from </w:t>
      </w:r>
      <w:proofErr w:type="spellStart"/>
      <w:r w:rsidRPr="007214E1">
        <w:rPr>
          <w:rFonts w:ascii="Book Antiqua" w:hAnsi="Book Antiqua"/>
        </w:rPr>
        <w:t>CheckMate</w:t>
      </w:r>
      <w:proofErr w:type="spellEnd"/>
      <w:r w:rsidRPr="007214E1">
        <w:rPr>
          <w:rFonts w:ascii="Book Antiqua" w:hAnsi="Book Antiqua"/>
        </w:rPr>
        <w:t xml:space="preserve"> 040. </w:t>
      </w:r>
      <w:r w:rsidR="001977CA" w:rsidRPr="007214E1">
        <w:rPr>
          <w:rFonts w:ascii="Book Antiqua" w:hAnsi="Book Antiqua"/>
          <w:i/>
        </w:rPr>
        <w:t>J Clin Oncol</w:t>
      </w:r>
      <w:r w:rsidR="00C22745" w:rsidRPr="007214E1">
        <w:rPr>
          <w:rFonts w:ascii="Book Antiqua" w:hAnsi="Book Antiqua"/>
        </w:rPr>
        <w:t xml:space="preserve"> </w:t>
      </w:r>
      <w:r w:rsidRPr="007214E1">
        <w:rPr>
          <w:rFonts w:ascii="Book Antiqua" w:hAnsi="Book Antiqua"/>
        </w:rPr>
        <w:t>2020;</w:t>
      </w:r>
      <w:r w:rsidR="00C22745" w:rsidRPr="007214E1">
        <w:rPr>
          <w:rFonts w:ascii="Book Antiqua" w:hAnsi="Book Antiqua"/>
        </w:rPr>
        <w:t xml:space="preserve"> </w:t>
      </w:r>
      <w:r w:rsidRPr="007214E1">
        <w:rPr>
          <w:rFonts w:ascii="Book Antiqua" w:hAnsi="Book Antiqua"/>
          <w:b/>
        </w:rPr>
        <w:t>38(4_suppl)</w:t>
      </w:r>
      <w:r w:rsidRPr="007214E1">
        <w:rPr>
          <w:rFonts w:ascii="Book Antiqua" w:hAnsi="Book Antiqua"/>
        </w:rPr>
        <w:t>:</w:t>
      </w:r>
      <w:r w:rsidR="00C22745" w:rsidRPr="007214E1">
        <w:rPr>
          <w:rFonts w:ascii="Book Antiqua" w:hAnsi="Book Antiqua"/>
        </w:rPr>
        <w:t xml:space="preserve"> 478 </w:t>
      </w:r>
      <w:r w:rsidRPr="007214E1">
        <w:rPr>
          <w:rFonts w:ascii="Book Antiqua" w:hAnsi="Book Antiqua"/>
        </w:rPr>
        <w:t>[DOI: 10.1200/JCO.2020.38.4_suppl.478]</w:t>
      </w:r>
    </w:p>
    <w:p w14:paraId="039C4B12" w14:textId="24FD0CDD"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77 </w:t>
      </w:r>
      <w:proofErr w:type="spellStart"/>
      <w:r w:rsidRPr="007214E1">
        <w:rPr>
          <w:rFonts w:ascii="Book Antiqua" w:hAnsi="Book Antiqua"/>
          <w:b/>
        </w:rPr>
        <w:t>Exelixis</w:t>
      </w:r>
      <w:proofErr w:type="spellEnd"/>
      <w:r w:rsidRPr="007214E1">
        <w:rPr>
          <w:rFonts w:ascii="Book Antiqua" w:hAnsi="Book Antiqua"/>
          <w:b/>
        </w:rPr>
        <w:t xml:space="preserve">. </w:t>
      </w:r>
      <w:r w:rsidRPr="007214E1">
        <w:rPr>
          <w:rFonts w:ascii="Book Antiqua" w:hAnsi="Book Antiqua"/>
        </w:rPr>
        <w:t xml:space="preserve">Study of </w:t>
      </w:r>
      <w:proofErr w:type="spellStart"/>
      <w:r w:rsidRPr="007214E1">
        <w:rPr>
          <w:rFonts w:ascii="Book Antiqua" w:hAnsi="Book Antiqua"/>
        </w:rPr>
        <w:t>Cabozantinib</w:t>
      </w:r>
      <w:proofErr w:type="spellEnd"/>
      <w:r w:rsidRPr="007214E1">
        <w:rPr>
          <w:rFonts w:ascii="Book Antiqua" w:hAnsi="Book Antiqua"/>
        </w:rPr>
        <w:t xml:space="preserve"> in Combination </w:t>
      </w:r>
      <w:r w:rsidR="001977CA" w:rsidRPr="007214E1">
        <w:rPr>
          <w:rFonts w:ascii="Book Antiqua" w:hAnsi="Book Antiqua"/>
        </w:rPr>
        <w:t xml:space="preserve">with </w:t>
      </w:r>
      <w:r w:rsidRPr="007214E1">
        <w:rPr>
          <w:rFonts w:ascii="Book Antiqua" w:hAnsi="Book Antiqua"/>
        </w:rPr>
        <w:t xml:space="preserve">Atezolizumab </w:t>
      </w:r>
      <w:r w:rsidR="001977CA" w:rsidRPr="007214E1">
        <w:rPr>
          <w:rFonts w:ascii="Book Antiqua" w:hAnsi="Book Antiqua"/>
        </w:rPr>
        <w:t xml:space="preserve">versus </w:t>
      </w:r>
      <w:r w:rsidRPr="007214E1">
        <w:rPr>
          <w:rFonts w:ascii="Book Antiqua" w:hAnsi="Book Antiqua"/>
        </w:rPr>
        <w:t xml:space="preserve">Sorafenib in Subjects </w:t>
      </w:r>
      <w:r w:rsidR="001977CA" w:rsidRPr="007214E1">
        <w:rPr>
          <w:rFonts w:ascii="Book Antiqua" w:hAnsi="Book Antiqua"/>
        </w:rPr>
        <w:t xml:space="preserve">with </w:t>
      </w:r>
      <w:r w:rsidRPr="007214E1">
        <w:rPr>
          <w:rFonts w:ascii="Book Antiqua" w:hAnsi="Book Antiqua"/>
        </w:rPr>
        <w:t>Advanced HCC Who Have Not Received Previous Systemic Anticancer Therapy</w:t>
      </w:r>
      <w:r w:rsidR="001977CA" w:rsidRPr="007214E1">
        <w:rPr>
          <w:rFonts w:ascii="Book Antiqua" w:hAnsi="Book Antiqua"/>
        </w:rPr>
        <w:t xml:space="preserve">. </w:t>
      </w:r>
      <w:r w:rsidRPr="007214E1">
        <w:rPr>
          <w:rFonts w:ascii="Book Antiqua" w:hAnsi="Book Antiqua"/>
        </w:rPr>
        <w:t>In: ClinicalTrials.gov [Internet]. Bethesda (MD): U.S. National Library of</w:t>
      </w:r>
      <w:r w:rsidR="001977CA" w:rsidRPr="007214E1">
        <w:rPr>
          <w:rFonts w:ascii="Book Antiqua" w:hAnsi="Book Antiqua"/>
        </w:rPr>
        <w:t xml:space="preserve"> Medicine. </w:t>
      </w:r>
      <w:r w:rsidRPr="007214E1">
        <w:rPr>
          <w:rFonts w:ascii="Book Antiqua" w:hAnsi="Book Antiqua"/>
        </w:rPr>
        <w:t>Available from: https://Clini</w:t>
      </w:r>
      <w:r w:rsidR="001977CA" w:rsidRPr="007214E1">
        <w:rPr>
          <w:rFonts w:ascii="Book Antiqua" w:hAnsi="Book Antiqua"/>
        </w:rPr>
        <w:t>calTrials.gov/show/NCT03755791</w:t>
      </w:r>
    </w:p>
    <w:p w14:paraId="1DF89715" w14:textId="43676A87" w:rsidR="0046745C" w:rsidRPr="007214E1" w:rsidRDefault="0046745C" w:rsidP="00EB43EE">
      <w:pPr>
        <w:snapToGrid w:val="0"/>
        <w:spacing w:line="360" w:lineRule="auto"/>
        <w:jc w:val="both"/>
        <w:rPr>
          <w:rFonts w:ascii="Book Antiqua" w:hAnsi="Book Antiqua"/>
        </w:rPr>
      </w:pPr>
      <w:r w:rsidRPr="007214E1">
        <w:rPr>
          <w:rFonts w:ascii="Book Antiqua" w:hAnsi="Book Antiqua"/>
        </w:rPr>
        <w:lastRenderedPageBreak/>
        <w:t xml:space="preserve">78 </w:t>
      </w:r>
      <w:r w:rsidRPr="007214E1">
        <w:rPr>
          <w:rFonts w:ascii="Book Antiqua" w:hAnsi="Book Antiqua"/>
          <w:b/>
        </w:rPr>
        <w:t>Ikeda M,</w:t>
      </w:r>
      <w:r w:rsidRPr="007214E1">
        <w:rPr>
          <w:rFonts w:ascii="Book Antiqua" w:hAnsi="Book Antiqua"/>
        </w:rPr>
        <w:t xml:space="preserve"> Sung MW, Kudo M, Kobayashi M, Baron AD, Finn RS, Kaneko S, Zhu AX, Kubota T, </w:t>
      </w:r>
      <w:proofErr w:type="spellStart"/>
      <w:r w:rsidRPr="007214E1">
        <w:rPr>
          <w:rFonts w:ascii="Book Antiqua" w:hAnsi="Book Antiqua"/>
        </w:rPr>
        <w:t>Kraljevic</w:t>
      </w:r>
      <w:proofErr w:type="spellEnd"/>
      <w:r w:rsidRPr="007214E1">
        <w:rPr>
          <w:rFonts w:ascii="Book Antiqua" w:hAnsi="Book Antiqua"/>
        </w:rPr>
        <w:t xml:space="preserve"> S, Ishikawa K, Siegel AB, </w:t>
      </w:r>
      <w:proofErr w:type="spellStart"/>
      <w:r w:rsidRPr="007214E1">
        <w:rPr>
          <w:rFonts w:ascii="Book Antiqua" w:hAnsi="Book Antiqua"/>
        </w:rPr>
        <w:t>Kumada</w:t>
      </w:r>
      <w:proofErr w:type="spellEnd"/>
      <w:r w:rsidRPr="007214E1">
        <w:rPr>
          <w:rFonts w:ascii="Book Antiqua" w:hAnsi="Book Antiqua"/>
        </w:rPr>
        <w:t xml:space="preserve"> H, </w:t>
      </w:r>
      <w:proofErr w:type="spellStart"/>
      <w:r w:rsidRPr="007214E1">
        <w:rPr>
          <w:rFonts w:ascii="Book Antiqua" w:hAnsi="Book Antiqua"/>
        </w:rPr>
        <w:t>Okusaka</w:t>
      </w:r>
      <w:proofErr w:type="spellEnd"/>
      <w:r w:rsidRPr="007214E1">
        <w:rPr>
          <w:rFonts w:ascii="Book Antiqua" w:hAnsi="Book Antiqua"/>
        </w:rPr>
        <w:t xml:space="preserve"> T. A phase 1b trial of </w:t>
      </w:r>
      <w:proofErr w:type="spellStart"/>
      <w:r w:rsidRPr="007214E1">
        <w:rPr>
          <w:rFonts w:ascii="Book Antiqua" w:hAnsi="Book Antiqua"/>
        </w:rPr>
        <w:t>lenvatinib</w:t>
      </w:r>
      <w:proofErr w:type="spellEnd"/>
      <w:r w:rsidRPr="007214E1">
        <w:rPr>
          <w:rFonts w:ascii="Book Antiqua" w:hAnsi="Book Antiqua"/>
        </w:rPr>
        <w:t xml:space="preserve"> (LEN) plus </w:t>
      </w:r>
      <w:proofErr w:type="spellStart"/>
      <w:r w:rsidRPr="007214E1">
        <w:rPr>
          <w:rFonts w:ascii="Book Antiqua" w:hAnsi="Book Antiqua"/>
        </w:rPr>
        <w:t>pembrolizumab</w:t>
      </w:r>
      <w:proofErr w:type="spellEnd"/>
      <w:r w:rsidRPr="007214E1">
        <w:rPr>
          <w:rFonts w:ascii="Book Antiqua" w:hAnsi="Book Antiqua"/>
        </w:rPr>
        <w:t xml:space="preserve"> (PEM) in patients (pts) with unresectable hepatocellular carcinoma (</w:t>
      </w:r>
      <w:proofErr w:type="spellStart"/>
      <w:r w:rsidRPr="007214E1">
        <w:rPr>
          <w:rFonts w:ascii="Book Antiqua" w:hAnsi="Book Antiqua"/>
        </w:rPr>
        <w:t>uHCC</w:t>
      </w:r>
      <w:proofErr w:type="spellEnd"/>
      <w:r w:rsidRPr="007214E1">
        <w:rPr>
          <w:rFonts w:ascii="Book Antiqua" w:hAnsi="Book Antiqua"/>
        </w:rPr>
        <w:t xml:space="preserve">). </w:t>
      </w:r>
      <w:r w:rsidR="001977CA" w:rsidRPr="007214E1">
        <w:rPr>
          <w:rFonts w:ascii="Book Antiqua" w:hAnsi="Book Antiqua"/>
          <w:i/>
        </w:rPr>
        <w:t>J Clin Oncol</w:t>
      </w:r>
      <w:r w:rsidR="001977CA" w:rsidRPr="007214E1">
        <w:rPr>
          <w:rFonts w:ascii="Book Antiqua" w:hAnsi="Book Antiqua"/>
        </w:rPr>
        <w:t xml:space="preserve"> </w:t>
      </w:r>
      <w:r w:rsidRPr="007214E1">
        <w:rPr>
          <w:rFonts w:ascii="Book Antiqua" w:hAnsi="Book Antiqua"/>
        </w:rPr>
        <w:t>2018;</w:t>
      </w:r>
      <w:r w:rsidR="001977CA" w:rsidRPr="007214E1">
        <w:rPr>
          <w:rFonts w:ascii="Book Antiqua" w:hAnsi="Book Antiqua"/>
          <w:b/>
        </w:rPr>
        <w:t xml:space="preserve"> </w:t>
      </w:r>
      <w:r w:rsidRPr="007214E1">
        <w:rPr>
          <w:rFonts w:ascii="Book Antiqua" w:hAnsi="Book Antiqua"/>
          <w:b/>
        </w:rPr>
        <w:t>36(15_suppl)</w:t>
      </w:r>
      <w:r w:rsidRPr="007214E1">
        <w:rPr>
          <w:rFonts w:ascii="Book Antiqua" w:hAnsi="Book Antiqua"/>
        </w:rPr>
        <w:t>:</w:t>
      </w:r>
      <w:r w:rsidR="001977CA" w:rsidRPr="007214E1">
        <w:rPr>
          <w:rFonts w:ascii="Book Antiqua" w:hAnsi="Book Antiqua"/>
        </w:rPr>
        <w:t xml:space="preserve"> 4076 </w:t>
      </w:r>
      <w:r w:rsidRPr="007214E1">
        <w:rPr>
          <w:rFonts w:ascii="Book Antiqua" w:hAnsi="Book Antiqua"/>
        </w:rPr>
        <w:t>[DOI: 10.1200/JCO.2018.36.15_suppl.4076]</w:t>
      </w:r>
    </w:p>
    <w:p w14:paraId="64C8B42D" w14:textId="6A0D5BC1"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79 </w:t>
      </w:r>
      <w:r w:rsidRPr="007214E1">
        <w:rPr>
          <w:rFonts w:ascii="Book Antiqua" w:hAnsi="Book Antiqua"/>
          <w:b/>
        </w:rPr>
        <w:t xml:space="preserve">IKF </w:t>
      </w:r>
      <w:proofErr w:type="spellStart"/>
      <w:r w:rsidRPr="007214E1">
        <w:rPr>
          <w:rFonts w:ascii="Book Antiqua" w:hAnsi="Book Antiqua"/>
          <w:b/>
        </w:rPr>
        <w:t>Klinische</w:t>
      </w:r>
      <w:proofErr w:type="spellEnd"/>
      <w:r w:rsidRPr="007214E1">
        <w:rPr>
          <w:rFonts w:ascii="Book Antiqua" w:hAnsi="Book Antiqua"/>
          <w:b/>
        </w:rPr>
        <w:t xml:space="preserve"> </w:t>
      </w:r>
      <w:proofErr w:type="spellStart"/>
      <w:r w:rsidRPr="007214E1">
        <w:rPr>
          <w:rFonts w:ascii="Book Antiqua" w:hAnsi="Book Antiqua"/>
          <w:b/>
        </w:rPr>
        <w:t>Krebsforschung</w:t>
      </w:r>
      <w:proofErr w:type="spellEnd"/>
      <w:r w:rsidRPr="007214E1">
        <w:rPr>
          <w:rFonts w:ascii="Book Antiqua" w:hAnsi="Book Antiqua"/>
          <w:b/>
        </w:rPr>
        <w:t xml:space="preserve"> GmbH at </w:t>
      </w:r>
      <w:proofErr w:type="spellStart"/>
      <w:r w:rsidRPr="007214E1">
        <w:rPr>
          <w:rFonts w:ascii="Book Antiqua" w:hAnsi="Book Antiqua"/>
          <w:b/>
        </w:rPr>
        <w:t>Krankenhaus</w:t>
      </w:r>
      <w:proofErr w:type="spellEnd"/>
      <w:r w:rsidRPr="007214E1">
        <w:rPr>
          <w:rFonts w:ascii="Book Antiqua" w:hAnsi="Book Antiqua"/>
          <w:b/>
        </w:rPr>
        <w:t xml:space="preserve"> </w:t>
      </w:r>
      <w:proofErr w:type="spellStart"/>
      <w:r w:rsidRPr="007214E1">
        <w:rPr>
          <w:rFonts w:ascii="Book Antiqua" w:hAnsi="Book Antiqua"/>
          <w:b/>
        </w:rPr>
        <w:t>Nordwest</w:t>
      </w:r>
      <w:proofErr w:type="spellEnd"/>
      <w:r w:rsidRPr="007214E1">
        <w:rPr>
          <w:rFonts w:ascii="Book Antiqua" w:hAnsi="Book Antiqua"/>
          <w:b/>
        </w:rPr>
        <w:t>.</w:t>
      </w:r>
      <w:r w:rsidRPr="007214E1">
        <w:rPr>
          <w:rFonts w:ascii="Book Antiqua" w:hAnsi="Book Antiqua"/>
        </w:rPr>
        <w:t xml:space="preserve"> Immunotherapy </w:t>
      </w:r>
      <w:r w:rsidR="001977CA" w:rsidRPr="007214E1">
        <w:rPr>
          <w:rFonts w:ascii="Book Antiqua" w:hAnsi="Book Antiqua"/>
        </w:rPr>
        <w:t xml:space="preserve">with </w:t>
      </w:r>
      <w:r w:rsidRPr="007214E1">
        <w:rPr>
          <w:rFonts w:ascii="Book Antiqua" w:hAnsi="Book Antiqua"/>
        </w:rPr>
        <w:t xml:space="preserve">Nivolumab in Combination </w:t>
      </w:r>
      <w:r w:rsidR="001977CA" w:rsidRPr="007214E1">
        <w:rPr>
          <w:rFonts w:ascii="Book Antiqua" w:hAnsi="Book Antiqua"/>
        </w:rPr>
        <w:t xml:space="preserve">with </w:t>
      </w:r>
      <w:r w:rsidRPr="007214E1">
        <w:rPr>
          <w:rFonts w:ascii="Book Antiqua" w:hAnsi="Book Antiqua"/>
        </w:rPr>
        <w:t>Lenvatinib for Advanced</w:t>
      </w:r>
      <w:r w:rsidR="001977CA" w:rsidRPr="007214E1">
        <w:rPr>
          <w:rFonts w:ascii="Book Antiqua" w:hAnsi="Book Antiqua"/>
        </w:rPr>
        <w:t xml:space="preserve"> Stage Hepatocellular Carcinoma.</w:t>
      </w:r>
      <w:r w:rsidRPr="007214E1">
        <w:rPr>
          <w:rFonts w:ascii="Book Antiqua" w:hAnsi="Book Antiqua"/>
        </w:rPr>
        <w:t xml:space="preserve"> In: ClinicalTrials.gov [Internet]. Bethesda (MD): U.S. N</w:t>
      </w:r>
      <w:r w:rsidR="001977CA" w:rsidRPr="007214E1">
        <w:rPr>
          <w:rFonts w:ascii="Book Antiqua" w:hAnsi="Book Antiqua"/>
        </w:rPr>
        <w:t xml:space="preserve">ational Library of Medicine. </w:t>
      </w:r>
      <w:r w:rsidRPr="007214E1">
        <w:rPr>
          <w:rFonts w:ascii="Book Antiqua" w:hAnsi="Book Antiqua"/>
        </w:rPr>
        <w:t>Available from: https://Clinic</w:t>
      </w:r>
      <w:r w:rsidR="001977CA" w:rsidRPr="007214E1">
        <w:rPr>
          <w:rFonts w:ascii="Book Antiqua" w:hAnsi="Book Antiqua"/>
        </w:rPr>
        <w:t>alTrials.gov/show/NCT03841201</w:t>
      </w:r>
    </w:p>
    <w:p w14:paraId="02B5215B" w14:textId="4495268F"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80 </w:t>
      </w:r>
      <w:r w:rsidR="00354FFA" w:rsidRPr="007214E1">
        <w:rPr>
          <w:rFonts w:ascii="Book Antiqua" w:hAnsi="Book Antiqua"/>
          <w:b/>
        </w:rPr>
        <w:t xml:space="preserve">Merck Sharp </w:t>
      </w:r>
      <w:r w:rsidRPr="007214E1">
        <w:rPr>
          <w:rFonts w:ascii="Book Antiqua" w:hAnsi="Book Antiqua"/>
          <w:b/>
        </w:rPr>
        <w:t xml:space="preserve">Dohme Corp. </w:t>
      </w:r>
      <w:r w:rsidRPr="007214E1">
        <w:rPr>
          <w:rFonts w:ascii="Book Antiqua" w:hAnsi="Book Antiqua"/>
        </w:rPr>
        <w:t>Safety and Efficacy of Lenvatinib (E7080/MK-7902) in Combination With Pembrolizumab (MK-3475) Versus Lenvatinib as First-line Therapy in Participants With Advanced Hepatocellular Carcinoma (MK-790</w:t>
      </w:r>
      <w:r w:rsidR="00074AD0" w:rsidRPr="007214E1">
        <w:rPr>
          <w:rFonts w:ascii="Book Antiqua" w:hAnsi="Book Antiqua"/>
        </w:rPr>
        <w:t>2-002/E7080-G000-311/LEAP-002).</w:t>
      </w:r>
      <w:r w:rsidRPr="007214E1">
        <w:rPr>
          <w:rFonts w:ascii="Book Antiqua" w:hAnsi="Book Antiqua"/>
        </w:rPr>
        <w:t xml:space="preserve"> In: ClinicalTrials.gov [Internet]. Bethesda (MD): U.S. Na</w:t>
      </w:r>
      <w:r w:rsidR="00074AD0" w:rsidRPr="007214E1">
        <w:rPr>
          <w:rFonts w:ascii="Book Antiqua" w:hAnsi="Book Antiqua"/>
        </w:rPr>
        <w:t xml:space="preserve">tional Library of Medicine. </w:t>
      </w:r>
      <w:r w:rsidRPr="007214E1">
        <w:rPr>
          <w:rFonts w:ascii="Book Antiqua" w:hAnsi="Book Antiqua"/>
        </w:rPr>
        <w:t>Available from: https://Clini</w:t>
      </w:r>
      <w:r w:rsidR="00074AD0" w:rsidRPr="007214E1">
        <w:rPr>
          <w:rFonts w:ascii="Book Antiqua" w:hAnsi="Book Antiqua"/>
        </w:rPr>
        <w:t>calTrials.gov/show/NCT03713593</w:t>
      </w:r>
    </w:p>
    <w:p w14:paraId="79CD4EF6" w14:textId="5DEA1133"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81 </w:t>
      </w:r>
      <w:r w:rsidRPr="007214E1">
        <w:rPr>
          <w:rFonts w:ascii="Book Antiqua" w:hAnsi="Book Antiqua"/>
          <w:b/>
        </w:rPr>
        <w:t xml:space="preserve">Bayer. </w:t>
      </w:r>
      <w:r w:rsidRPr="007214E1">
        <w:rPr>
          <w:rFonts w:ascii="Book Antiqua" w:hAnsi="Book Antiqua"/>
        </w:rPr>
        <w:t xml:space="preserve">Regorafenib Plus Pembrolizumab in First Line Systemic Treatment of HCC. In: ClinicalTrials.gov [Internet]. Bethesda (MD): U.S. </w:t>
      </w:r>
      <w:r w:rsidR="00354FFA" w:rsidRPr="007214E1">
        <w:rPr>
          <w:rFonts w:ascii="Book Antiqua" w:hAnsi="Book Antiqua"/>
        </w:rPr>
        <w:t xml:space="preserve">National Library of Medicine. </w:t>
      </w:r>
      <w:r w:rsidRPr="007214E1">
        <w:rPr>
          <w:rFonts w:ascii="Book Antiqua" w:hAnsi="Book Antiqua"/>
        </w:rPr>
        <w:t>Available from: https://Clini</w:t>
      </w:r>
      <w:r w:rsidR="00074AD0" w:rsidRPr="007214E1">
        <w:rPr>
          <w:rFonts w:ascii="Book Antiqua" w:hAnsi="Book Antiqua"/>
        </w:rPr>
        <w:t>calTrials.gov/show/NCT03347292</w:t>
      </w:r>
    </w:p>
    <w:p w14:paraId="545B2855" w14:textId="3847134B"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82 </w:t>
      </w:r>
      <w:r w:rsidRPr="007214E1">
        <w:rPr>
          <w:rFonts w:ascii="Book Antiqua" w:hAnsi="Book Antiqua"/>
          <w:b/>
        </w:rPr>
        <w:t>El-</w:t>
      </w:r>
      <w:proofErr w:type="spellStart"/>
      <w:r w:rsidRPr="007214E1">
        <w:rPr>
          <w:rFonts w:ascii="Book Antiqua" w:hAnsi="Book Antiqua"/>
          <w:b/>
        </w:rPr>
        <w:t>Khoueiry</w:t>
      </w:r>
      <w:proofErr w:type="spellEnd"/>
      <w:r w:rsidRPr="007214E1">
        <w:rPr>
          <w:rFonts w:ascii="Book Antiqua" w:hAnsi="Book Antiqua"/>
          <w:b/>
        </w:rPr>
        <w:t xml:space="preserve"> AB,</w:t>
      </w:r>
      <w:r w:rsidR="00354FFA" w:rsidRPr="007214E1">
        <w:rPr>
          <w:rFonts w:ascii="Book Antiqua" w:hAnsi="Book Antiqua"/>
        </w:rPr>
        <w:t xml:space="preserve"> </w:t>
      </w:r>
      <w:r w:rsidRPr="007214E1">
        <w:rPr>
          <w:rFonts w:ascii="Book Antiqua" w:hAnsi="Book Antiqua"/>
        </w:rPr>
        <w:t xml:space="preserve">Kim RD, Harris WP, Sung MW, </w:t>
      </w:r>
      <w:proofErr w:type="spellStart"/>
      <w:r w:rsidRPr="007214E1">
        <w:rPr>
          <w:rFonts w:ascii="Book Antiqua" w:hAnsi="Book Antiqua"/>
        </w:rPr>
        <w:t>Waldschmidt</w:t>
      </w:r>
      <w:proofErr w:type="spellEnd"/>
      <w:r w:rsidRPr="007214E1">
        <w:rPr>
          <w:rFonts w:ascii="Book Antiqua" w:hAnsi="Book Antiqua"/>
        </w:rPr>
        <w:t xml:space="preserve"> D, </w:t>
      </w:r>
      <w:proofErr w:type="spellStart"/>
      <w:r w:rsidRPr="007214E1">
        <w:rPr>
          <w:rFonts w:ascii="Book Antiqua" w:hAnsi="Book Antiqua"/>
        </w:rPr>
        <w:t>Iqbal</w:t>
      </w:r>
      <w:proofErr w:type="spellEnd"/>
      <w:r w:rsidRPr="007214E1">
        <w:rPr>
          <w:rFonts w:ascii="Book Antiqua" w:hAnsi="Book Antiqua"/>
        </w:rPr>
        <w:t xml:space="preserve"> S, Zhang A, Nakajima K, Galle PR. Phase 1b study of regorafenib plus pembrolizumab for first-line treatment of advanced hepatocellular carcinoma. Poster presented at: American Society of Clinical Oncology-Gastrointestinal Ca</w:t>
      </w:r>
      <w:r w:rsidR="00074AD0" w:rsidRPr="007214E1">
        <w:rPr>
          <w:rFonts w:ascii="Book Antiqua" w:hAnsi="Book Antiqua"/>
        </w:rPr>
        <w:t>ncers Symposium 2020; San Francisco, CA, United States</w:t>
      </w:r>
    </w:p>
    <w:p w14:paraId="4827241D" w14:textId="4514BA1F"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83 </w:t>
      </w:r>
      <w:proofErr w:type="spellStart"/>
      <w:r w:rsidRPr="007214E1">
        <w:rPr>
          <w:rFonts w:ascii="Book Antiqua" w:hAnsi="Book Antiqua"/>
          <w:b/>
        </w:rPr>
        <w:t>Fundacion</w:t>
      </w:r>
      <w:proofErr w:type="spellEnd"/>
      <w:r w:rsidRPr="007214E1">
        <w:rPr>
          <w:rFonts w:ascii="Book Antiqua" w:hAnsi="Book Antiqua"/>
          <w:b/>
        </w:rPr>
        <w:t xml:space="preserve"> Clinic per a la </w:t>
      </w:r>
      <w:proofErr w:type="spellStart"/>
      <w:r w:rsidRPr="007214E1">
        <w:rPr>
          <w:rFonts w:ascii="Book Antiqua" w:hAnsi="Book Antiqua"/>
          <w:b/>
        </w:rPr>
        <w:t>Recerca</w:t>
      </w:r>
      <w:proofErr w:type="spellEnd"/>
      <w:r w:rsidRPr="007214E1">
        <w:rPr>
          <w:rFonts w:ascii="Book Antiqua" w:hAnsi="Book Antiqua"/>
          <w:b/>
        </w:rPr>
        <w:t xml:space="preserve"> </w:t>
      </w:r>
      <w:proofErr w:type="spellStart"/>
      <w:r w:rsidRPr="007214E1">
        <w:rPr>
          <w:rFonts w:ascii="Book Antiqua" w:hAnsi="Book Antiqua"/>
          <w:b/>
        </w:rPr>
        <w:t>Biomédica</w:t>
      </w:r>
      <w:proofErr w:type="spellEnd"/>
      <w:r w:rsidRPr="007214E1">
        <w:rPr>
          <w:rFonts w:ascii="Book Antiqua" w:hAnsi="Book Antiqua"/>
          <w:b/>
        </w:rPr>
        <w:t xml:space="preserve">. </w:t>
      </w:r>
      <w:r w:rsidRPr="007214E1">
        <w:rPr>
          <w:rFonts w:ascii="Book Antiqua" w:hAnsi="Book Antiqua"/>
        </w:rPr>
        <w:t xml:space="preserve">Regorafenib Followed by Nivolumab in Patients </w:t>
      </w:r>
      <w:r w:rsidR="00074AD0" w:rsidRPr="007214E1">
        <w:rPr>
          <w:rFonts w:ascii="Book Antiqua" w:hAnsi="Book Antiqua"/>
        </w:rPr>
        <w:t xml:space="preserve">with </w:t>
      </w:r>
      <w:r w:rsidRPr="007214E1">
        <w:rPr>
          <w:rFonts w:ascii="Book Antiqua" w:hAnsi="Book Antiqua"/>
        </w:rPr>
        <w:t>H</w:t>
      </w:r>
      <w:r w:rsidR="00074AD0" w:rsidRPr="007214E1">
        <w:rPr>
          <w:rFonts w:ascii="Book Antiqua" w:hAnsi="Book Antiqua"/>
        </w:rPr>
        <w:t xml:space="preserve">epatocellular Carcinoma (GOING). </w:t>
      </w:r>
      <w:r w:rsidRPr="007214E1">
        <w:rPr>
          <w:rFonts w:ascii="Book Antiqua" w:hAnsi="Book Antiqua"/>
        </w:rPr>
        <w:t xml:space="preserve">In: ClinicalTrials.gov [Internet]. Bethesda (MD): U.S. </w:t>
      </w:r>
      <w:r w:rsidR="00074AD0" w:rsidRPr="007214E1">
        <w:rPr>
          <w:rFonts w:ascii="Book Antiqua" w:hAnsi="Book Antiqua"/>
        </w:rPr>
        <w:t xml:space="preserve">National Library of Medicine. </w:t>
      </w:r>
      <w:r w:rsidRPr="007214E1">
        <w:rPr>
          <w:rFonts w:ascii="Book Antiqua" w:hAnsi="Book Antiqua"/>
        </w:rPr>
        <w:t>Available from: https://Clini</w:t>
      </w:r>
      <w:r w:rsidR="00074AD0" w:rsidRPr="007214E1">
        <w:rPr>
          <w:rFonts w:ascii="Book Antiqua" w:hAnsi="Book Antiqua"/>
        </w:rPr>
        <w:t>calTrials.gov/show/NCT04170556</w:t>
      </w:r>
    </w:p>
    <w:p w14:paraId="20A14135" w14:textId="2D42446B" w:rsidR="0046745C" w:rsidRPr="007214E1" w:rsidRDefault="00074AD0" w:rsidP="00EB43EE">
      <w:pPr>
        <w:snapToGrid w:val="0"/>
        <w:spacing w:line="360" w:lineRule="auto"/>
        <w:jc w:val="both"/>
        <w:rPr>
          <w:rFonts w:ascii="Book Antiqua" w:hAnsi="Book Antiqua"/>
        </w:rPr>
      </w:pPr>
      <w:r w:rsidRPr="007214E1">
        <w:rPr>
          <w:rFonts w:ascii="Book Antiqua" w:hAnsi="Book Antiqua"/>
        </w:rPr>
        <w:lastRenderedPageBreak/>
        <w:t xml:space="preserve">84 </w:t>
      </w:r>
      <w:proofErr w:type="spellStart"/>
      <w:r w:rsidR="0046745C" w:rsidRPr="007214E1">
        <w:rPr>
          <w:rFonts w:ascii="Book Antiqua" w:hAnsi="Book Antiqua"/>
          <w:b/>
        </w:rPr>
        <w:t>Asan</w:t>
      </w:r>
      <w:proofErr w:type="spellEnd"/>
      <w:r w:rsidR="0046745C" w:rsidRPr="007214E1">
        <w:rPr>
          <w:rFonts w:ascii="Book Antiqua" w:hAnsi="Book Antiqua"/>
          <w:b/>
        </w:rPr>
        <w:t xml:space="preserve"> Medical Center. </w:t>
      </w:r>
      <w:r w:rsidR="0046745C" w:rsidRPr="007214E1">
        <w:rPr>
          <w:rFonts w:ascii="Book Antiqua" w:hAnsi="Book Antiqua"/>
        </w:rPr>
        <w:t>Combination of Regorafenib and Nivolumab in Unresecta</w:t>
      </w:r>
      <w:r w:rsidRPr="007214E1">
        <w:rPr>
          <w:rFonts w:ascii="Book Antiqua" w:hAnsi="Book Antiqua"/>
        </w:rPr>
        <w:t xml:space="preserve">ble Hepatocellular Carcinoma. </w:t>
      </w:r>
      <w:r w:rsidR="0046745C" w:rsidRPr="007214E1">
        <w:rPr>
          <w:rFonts w:ascii="Book Antiqua" w:hAnsi="Book Antiqua"/>
        </w:rPr>
        <w:t>In: ClinicalTrials.gov [Internet]. Bethesda (MD): U.S.</w:t>
      </w:r>
      <w:r w:rsidRPr="007214E1">
        <w:rPr>
          <w:rFonts w:ascii="Book Antiqua" w:hAnsi="Book Antiqua"/>
        </w:rPr>
        <w:t xml:space="preserve"> National Library of Medicine. </w:t>
      </w:r>
      <w:r w:rsidR="0046745C" w:rsidRPr="007214E1">
        <w:rPr>
          <w:rFonts w:ascii="Book Antiqua" w:hAnsi="Book Antiqua"/>
        </w:rPr>
        <w:t>Available from: https://Clini</w:t>
      </w:r>
      <w:r w:rsidRPr="007214E1">
        <w:rPr>
          <w:rFonts w:ascii="Book Antiqua" w:hAnsi="Book Antiqua"/>
        </w:rPr>
        <w:t>calTrials.gov/show/NCT04310709</w:t>
      </w:r>
    </w:p>
    <w:p w14:paraId="654F4B78"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85 </w:t>
      </w:r>
      <w:proofErr w:type="spellStart"/>
      <w:r w:rsidRPr="007214E1">
        <w:rPr>
          <w:rFonts w:ascii="Book Antiqua" w:hAnsi="Book Antiqua"/>
          <w:b/>
        </w:rPr>
        <w:t>Ayaru</w:t>
      </w:r>
      <w:proofErr w:type="spellEnd"/>
      <w:r w:rsidRPr="007214E1">
        <w:rPr>
          <w:rFonts w:ascii="Book Antiqua" w:hAnsi="Book Antiqua"/>
          <w:b/>
        </w:rPr>
        <w:t xml:space="preserve"> L</w:t>
      </w:r>
      <w:r w:rsidRPr="007214E1">
        <w:rPr>
          <w:rFonts w:ascii="Book Antiqua" w:hAnsi="Book Antiqua"/>
        </w:rPr>
        <w:t xml:space="preserve">, Pereira SP, Alisa A, Pathan AA, Williams R, Davidson B, Burroughs AK, Meyer T, </w:t>
      </w:r>
      <w:proofErr w:type="spellStart"/>
      <w:r w:rsidRPr="007214E1">
        <w:rPr>
          <w:rFonts w:ascii="Book Antiqua" w:hAnsi="Book Antiqua"/>
        </w:rPr>
        <w:t>Behboudi</w:t>
      </w:r>
      <w:proofErr w:type="spellEnd"/>
      <w:r w:rsidRPr="007214E1">
        <w:rPr>
          <w:rFonts w:ascii="Book Antiqua" w:hAnsi="Book Antiqua"/>
        </w:rPr>
        <w:t xml:space="preserve"> S. Unmasking of alpha-fetoprotein-specific CD4(+) T cell responses in hepatocellular carcinoma patients undergoing embolization. </w:t>
      </w:r>
      <w:r w:rsidRPr="007214E1">
        <w:rPr>
          <w:rFonts w:ascii="Book Antiqua" w:hAnsi="Book Antiqua"/>
          <w:i/>
        </w:rPr>
        <w:t>J Immunol</w:t>
      </w:r>
      <w:r w:rsidRPr="007214E1">
        <w:rPr>
          <w:rFonts w:ascii="Book Antiqua" w:hAnsi="Book Antiqua"/>
        </w:rPr>
        <w:t xml:space="preserve"> 2007; </w:t>
      </w:r>
      <w:r w:rsidRPr="007214E1">
        <w:rPr>
          <w:rFonts w:ascii="Book Antiqua" w:hAnsi="Book Antiqua"/>
          <w:b/>
        </w:rPr>
        <w:t>178</w:t>
      </w:r>
      <w:r w:rsidRPr="007214E1">
        <w:rPr>
          <w:rFonts w:ascii="Book Antiqua" w:hAnsi="Book Antiqua"/>
        </w:rPr>
        <w:t>: 1914-1922 [PMID: 17237442 DOI: 10.4049/jimmunol.178.3.1914]</w:t>
      </w:r>
    </w:p>
    <w:p w14:paraId="2E0F23CB"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86 </w:t>
      </w:r>
      <w:proofErr w:type="spellStart"/>
      <w:r w:rsidRPr="007214E1">
        <w:rPr>
          <w:rFonts w:ascii="Book Antiqua" w:hAnsi="Book Antiqua"/>
          <w:b/>
        </w:rPr>
        <w:t>Zerbini</w:t>
      </w:r>
      <w:proofErr w:type="spellEnd"/>
      <w:r w:rsidRPr="007214E1">
        <w:rPr>
          <w:rFonts w:ascii="Book Antiqua" w:hAnsi="Book Antiqua"/>
          <w:b/>
        </w:rPr>
        <w:t xml:space="preserve"> A</w:t>
      </w:r>
      <w:r w:rsidRPr="007214E1">
        <w:rPr>
          <w:rFonts w:ascii="Book Antiqua" w:hAnsi="Book Antiqua"/>
        </w:rPr>
        <w:t xml:space="preserve">, Pilli M, </w:t>
      </w:r>
      <w:proofErr w:type="spellStart"/>
      <w:r w:rsidRPr="007214E1">
        <w:rPr>
          <w:rFonts w:ascii="Book Antiqua" w:hAnsi="Book Antiqua"/>
        </w:rPr>
        <w:t>Laccabue</w:t>
      </w:r>
      <w:proofErr w:type="spellEnd"/>
      <w:r w:rsidRPr="007214E1">
        <w:rPr>
          <w:rFonts w:ascii="Book Antiqua" w:hAnsi="Book Antiqua"/>
        </w:rPr>
        <w:t xml:space="preserve"> D, Pelosi G, Molinari A, </w:t>
      </w:r>
      <w:proofErr w:type="spellStart"/>
      <w:r w:rsidRPr="007214E1">
        <w:rPr>
          <w:rFonts w:ascii="Book Antiqua" w:hAnsi="Book Antiqua"/>
        </w:rPr>
        <w:t>Negri</w:t>
      </w:r>
      <w:proofErr w:type="spellEnd"/>
      <w:r w:rsidRPr="007214E1">
        <w:rPr>
          <w:rFonts w:ascii="Book Antiqua" w:hAnsi="Book Antiqua"/>
        </w:rPr>
        <w:t xml:space="preserve"> E, </w:t>
      </w:r>
      <w:proofErr w:type="spellStart"/>
      <w:r w:rsidRPr="007214E1">
        <w:rPr>
          <w:rFonts w:ascii="Book Antiqua" w:hAnsi="Book Antiqua"/>
        </w:rPr>
        <w:t>Cerioni</w:t>
      </w:r>
      <w:proofErr w:type="spellEnd"/>
      <w:r w:rsidRPr="007214E1">
        <w:rPr>
          <w:rFonts w:ascii="Book Antiqua" w:hAnsi="Book Antiqua"/>
        </w:rPr>
        <w:t xml:space="preserve"> S, </w:t>
      </w:r>
      <w:proofErr w:type="spellStart"/>
      <w:r w:rsidRPr="007214E1">
        <w:rPr>
          <w:rFonts w:ascii="Book Antiqua" w:hAnsi="Book Antiqua"/>
        </w:rPr>
        <w:t>Fagnoni</w:t>
      </w:r>
      <w:proofErr w:type="spellEnd"/>
      <w:r w:rsidRPr="007214E1">
        <w:rPr>
          <w:rFonts w:ascii="Book Antiqua" w:hAnsi="Book Antiqua"/>
        </w:rPr>
        <w:t xml:space="preserve"> F, </w:t>
      </w:r>
      <w:proofErr w:type="spellStart"/>
      <w:r w:rsidRPr="007214E1">
        <w:rPr>
          <w:rFonts w:ascii="Book Antiqua" w:hAnsi="Book Antiqua"/>
        </w:rPr>
        <w:t>Soliani</w:t>
      </w:r>
      <w:proofErr w:type="spellEnd"/>
      <w:r w:rsidRPr="007214E1">
        <w:rPr>
          <w:rFonts w:ascii="Book Antiqua" w:hAnsi="Book Antiqua"/>
        </w:rPr>
        <w:t xml:space="preserve"> P, Ferrari C, </w:t>
      </w:r>
      <w:proofErr w:type="spellStart"/>
      <w:r w:rsidRPr="007214E1">
        <w:rPr>
          <w:rFonts w:ascii="Book Antiqua" w:hAnsi="Book Antiqua"/>
        </w:rPr>
        <w:t>Missale</w:t>
      </w:r>
      <w:proofErr w:type="spellEnd"/>
      <w:r w:rsidRPr="007214E1">
        <w:rPr>
          <w:rFonts w:ascii="Book Antiqua" w:hAnsi="Book Antiqua"/>
        </w:rPr>
        <w:t xml:space="preserve"> G. Radiofrequency thermal ablation for hepatocellular carcinoma stimulates autologous NK-cell response. </w:t>
      </w:r>
      <w:r w:rsidRPr="007214E1">
        <w:rPr>
          <w:rFonts w:ascii="Book Antiqua" w:hAnsi="Book Antiqua"/>
          <w:i/>
        </w:rPr>
        <w:t>Gastroenterology</w:t>
      </w:r>
      <w:r w:rsidRPr="007214E1">
        <w:rPr>
          <w:rFonts w:ascii="Book Antiqua" w:hAnsi="Book Antiqua"/>
        </w:rPr>
        <w:t xml:space="preserve"> 2010; </w:t>
      </w:r>
      <w:r w:rsidRPr="007214E1">
        <w:rPr>
          <w:rFonts w:ascii="Book Antiqua" w:hAnsi="Book Antiqua"/>
          <w:b/>
        </w:rPr>
        <w:t>138</w:t>
      </w:r>
      <w:r w:rsidRPr="007214E1">
        <w:rPr>
          <w:rFonts w:ascii="Book Antiqua" w:hAnsi="Book Antiqua"/>
        </w:rPr>
        <w:t>: 1931-1942 [PMID: 20060829 DOI: 10.1053/j.gastro.2009.12.051]</w:t>
      </w:r>
    </w:p>
    <w:p w14:paraId="15DCFD7D"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87 </w:t>
      </w:r>
      <w:proofErr w:type="spellStart"/>
      <w:r w:rsidRPr="007214E1">
        <w:rPr>
          <w:rFonts w:ascii="Book Antiqua" w:hAnsi="Book Antiqua"/>
          <w:b/>
        </w:rPr>
        <w:t>Hiroishi</w:t>
      </w:r>
      <w:proofErr w:type="spellEnd"/>
      <w:r w:rsidRPr="007214E1">
        <w:rPr>
          <w:rFonts w:ascii="Book Antiqua" w:hAnsi="Book Antiqua"/>
          <w:b/>
        </w:rPr>
        <w:t xml:space="preserve"> K</w:t>
      </w:r>
      <w:r w:rsidRPr="007214E1">
        <w:rPr>
          <w:rFonts w:ascii="Book Antiqua" w:hAnsi="Book Antiqua"/>
        </w:rPr>
        <w:t xml:space="preserve">, </w:t>
      </w:r>
      <w:proofErr w:type="spellStart"/>
      <w:r w:rsidRPr="007214E1">
        <w:rPr>
          <w:rFonts w:ascii="Book Antiqua" w:hAnsi="Book Antiqua"/>
        </w:rPr>
        <w:t>Eguchi</w:t>
      </w:r>
      <w:proofErr w:type="spellEnd"/>
      <w:r w:rsidRPr="007214E1">
        <w:rPr>
          <w:rFonts w:ascii="Book Antiqua" w:hAnsi="Book Antiqua"/>
        </w:rPr>
        <w:t xml:space="preserve"> J, Baba T, </w:t>
      </w:r>
      <w:proofErr w:type="spellStart"/>
      <w:r w:rsidRPr="007214E1">
        <w:rPr>
          <w:rFonts w:ascii="Book Antiqua" w:hAnsi="Book Antiqua"/>
        </w:rPr>
        <w:t>Shimazaki</w:t>
      </w:r>
      <w:proofErr w:type="spellEnd"/>
      <w:r w:rsidRPr="007214E1">
        <w:rPr>
          <w:rFonts w:ascii="Book Antiqua" w:hAnsi="Book Antiqua"/>
        </w:rPr>
        <w:t xml:space="preserve"> T, Ishii S, </w:t>
      </w:r>
      <w:proofErr w:type="spellStart"/>
      <w:r w:rsidRPr="007214E1">
        <w:rPr>
          <w:rFonts w:ascii="Book Antiqua" w:hAnsi="Book Antiqua"/>
        </w:rPr>
        <w:t>Hiraide</w:t>
      </w:r>
      <w:proofErr w:type="spellEnd"/>
      <w:r w:rsidRPr="007214E1">
        <w:rPr>
          <w:rFonts w:ascii="Book Antiqua" w:hAnsi="Book Antiqua"/>
        </w:rPr>
        <w:t xml:space="preserve"> A, </w:t>
      </w:r>
      <w:proofErr w:type="spellStart"/>
      <w:r w:rsidRPr="007214E1">
        <w:rPr>
          <w:rFonts w:ascii="Book Antiqua" w:hAnsi="Book Antiqua"/>
        </w:rPr>
        <w:t>Sakaki</w:t>
      </w:r>
      <w:proofErr w:type="spellEnd"/>
      <w:r w:rsidRPr="007214E1">
        <w:rPr>
          <w:rFonts w:ascii="Book Antiqua" w:hAnsi="Book Antiqua"/>
        </w:rPr>
        <w:t xml:space="preserve"> M, </w:t>
      </w:r>
      <w:proofErr w:type="spellStart"/>
      <w:r w:rsidRPr="007214E1">
        <w:rPr>
          <w:rFonts w:ascii="Book Antiqua" w:hAnsi="Book Antiqua"/>
        </w:rPr>
        <w:t>Doi</w:t>
      </w:r>
      <w:proofErr w:type="spellEnd"/>
      <w:r w:rsidRPr="007214E1">
        <w:rPr>
          <w:rFonts w:ascii="Book Antiqua" w:hAnsi="Book Antiqua"/>
        </w:rPr>
        <w:t xml:space="preserve"> H, </w:t>
      </w:r>
      <w:proofErr w:type="spellStart"/>
      <w:r w:rsidRPr="007214E1">
        <w:rPr>
          <w:rFonts w:ascii="Book Antiqua" w:hAnsi="Book Antiqua"/>
        </w:rPr>
        <w:t>Uozumi</w:t>
      </w:r>
      <w:proofErr w:type="spellEnd"/>
      <w:r w:rsidRPr="007214E1">
        <w:rPr>
          <w:rFonts w:ascii="Book Antiqua" w:hAnsi="Book Antiqua"/>
        </w:rPr>
        <w:t xml:space="preserve"> S, Omori R, Matsumura T, </w:t>
      </w:r>
      <w:proofErr w:type="spellStart"/>
      <w:r w:rsidRPr="007214E1">
        <w:rPr>
          <w:rFonts w:ascii="Book Antiqua" w:hAnsi="Book Antiqua"/>
        </w:rPr>
        <w:t>Yanagawa</w:t>
      </w:r>
      <w:proofErr w:type="spellEnd"/>
      <w:r w:rsidRPr="007214E1">
        <w:rPr>
          <w:rFonts w:ascii="Book Antiqua" w:hAnsi="Book Antiqua"/>
        </w:rPr>
        <w:t xml:space="preserve"> T, Ito T, </w:t>
      </w:r>
      <w:proofErr w:type="spellStart"/>
      <w:r w:rsidRPr="007214E1">
        <w:rPr>
          <w:rFonts w:ascii="Book Antiqua" w:hAnsi="Book Antiqua"/>
        </w:rPr>
        <w:t>Imawari</w:t>
      </w:r>
      <w:proofErr w:type="spellEnd"/>
      <w:r w:rsidRPr="007214E1">
        <w:rPr>
          <w:rFonts w:ascii="Book Antiqua" w:hAnsi="Book Antiqua"/>
        </w:rPr>
        <w:t xml:space="preserve"> M. Strong CD8(+) T-cell responses against tumor-associated antigens prolong the recurrence-free interval after tumor treatment in patients with hepatocellular carcinoma. </w:t>
      </w:r>
      <w:r w:rsidRPr="007214E1">
        <w:rPr>
          <w:rFonts w:ascii="Book Antiqua" w:hAnsi="Book Antiqua"/>
          <w:i/>
        </w:rPr>
        <w:t>J Gastroenterol</w:t>
      </w:r>
      <w:r w:rsidRPr="007214E1">
        <w:rPr>
          <w:rFonts w:ascii="Book Antiqua" w:hAnsi="Book Antiqua"/>
        </w:rPr>
        <w:t xml:space="preserve"> 2010; </w:t>
      </w:r>
      <w:r w:rsidRPr="007214E1">
        <w:rPr>
          <w:rFonts w:ascii="Book Antiqua" w:hAnsi="Book Antiqua"/>
          <w:b/>
        </w:rPr>
        <w:t>45</w:t>
      </w:r>
      <w:r w:rsidRPr="007214E1">
        <w:rPr>
          <w:rFonts w:ascii="Book Antiqua" w:hAnsi="Book Antiqua"/>
        </w:rPr>
        <w:t>: 451-458 [PMID: 19936602 DOI: 10.1007/s00535-009-0155-2]</w:t>
      </w:r>
    </w:p>
    <w:p w14:paraId="59F5569C"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88 </w:t>
      </w:r>
      <w:proofErr w:type="spellStart"/>
      <w:r w:rsidRPr="007214E1">
        <w:rPr>
          <w:rFonts w:ascii="Book Antiqua" w:hAnsi="Book Antiqua"/>
          <w:b/>
        </w:rPr>
        <w:t>Rhim</w:t>
      </w:r>
      <w:proofErr w:type="spellEnd"/>
      <w:r w:rsidRPr="007214E1">
        <w:rPr>
          <w:rFonts w:ascii="Book Antiqua" w:hAnsi="Book Antiqua"/>
          <w:b/>
        </w:rPr>
        <w:t xml:space="preserve"> H</w:t>
      </w:r>
      <w:r w:rsidRPr="007214E1">
        <w:rPr>
          <w:rFonts w:ascii="Book Antiqua" w:hAnsi="Book Antiqua"/>
        </w:rPr>
        <w:t xml:space="preserve">. Complications of radiofrequency ablation in hepatocellular carcinoma. </w:t>
      </w:r>
      <w:proofErr w:type="spellStart"/>
      <w:r w:rsidRPr="007214E1">
        <w:rPr>
          <w:rFonts w:ascii="Book Antiqua" w:hAnsi="Book Antiqua"/>
          <w:i/>
        </w:rPr>
        <w:t>Abdom</w:t>
      </w:r>
      <w:proofErr w:type="spellEnd"/>
      <w:r w:rsidRPr="007214E1">
        <w:rPr>
          <w:rFonts w:ascii="Book Antiqua" w:hAnsi="Book Antiqua"/>
          <w:i/>
        </w:rPr>
        <w:t xml:space="preserve"> Imaging</w:t>
      </w:r>
      <w:r w:rsidRPr="007214E1">
        <w:rPr>
          <w:rFonts w:ascii="Book Antiqua" w:hAnsi="Book Antiqua"/>
        </w:rPr>
        <w:t xml:space="preserve"> 2005; </w:t>
      </w:r>
      <w:r w:rsidRPr="007214E1">
        <w:rPr>
          <w:rFonts w:ascii="Book Antiqua" w:hAnsi="Book Antiqua"/>
          <w:b/>
        </w:rPr>
        <w:t>30</w:t>
      </w:r>
      <w:r w:rsidRPr="007214E1">
        <w:rPr>
          <w:rFonts w:ascii="Book Antiqua" w:hAnsi="Book Antiqua"/>
        </w:rPr>
        <w:t>: 409-418 [PMID: 15688113 DOI: 10.1007/s00261-004-0255-7]</w:t>
      </w:r>
    </w:p>
    <w:p w14:paraId="34089356"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89 </w:t>
      </w:r>
      <w:proofErr w:type="spellStart"/>
      <w:r w:rsidRPr="007214E1">
        <w:rPr>
          <w:rFonts w:ascii="Book Antiqua" w:hAnsi="Book Antiqua"/>
          <w:b/>
        </w:rPr>
        <w:t>Pietrosi</w:t>
      </w:r>
      <w:proofErr w:type="spellEnd"/>
      <w:r w:rsidRPr="007214E1">
        <w:rPr>
          <w:rFonts w:ascii="Book Antiqua" w:hAnsi="Book Antiqua"/>
          <w:b/>
        </w:rPr>
        <w:t xml:space="preserve"> G</w:t>
      </w:r>
      <w:r w:rsidRPr="007214E1">
        <w:rPr>
          <w:rFonts w:ascii="Book Antiqua" w:hAnsi="Book Antiqua"/>
        </w:rPr>
        <w:t xml:space="preserve">, </w:t>
      </w:r>
      <w:proofErr w:type="spellStart"/>
      <w:r w:rsidRPr="007214E1">
        <w:rPr>
          <w:rFonts w:ascii="Book Antiqua" w:hAnsi="Book Antiqua"/>
        </w:rPr>
        <w:t>Miraglia</w:t>
      </w:r>
      <w:proofErr w:type="spellEnd"/>
      <w:r w:rsidRPr="007214E1">
        <w:rPr>
          <w:rFonts w:ascii="Book Antiqua" w:hAnsi="Book Antiqua"/>
        </w:rPr>
        <w:t xml:space="preserve"> R, Luca A, </w:t>
      </w:r>
      <w:proofErr w:type="spellStart"/>
      <w:r w:rsidRPr="007214E1">
        <w:rPr>
          <w:rFonts w:ascii="Book Antiqua" w:hAnsi="Book Antiqua"/>
        </w:rPr>
        <w:t>Vizzini</w:t>
      </w:r>
      <w:proofErr w:type="spellEnd"/>
      <w:r w:rsidRPr="007214E1">
        <w:rPr>
          <w:rFonts w:ascii="Book Antiqua" w:hAnsi="Book Antiqua"/>
        </w:rPr>
        <w:t xml:space="preserve"> GB, </w:t>
      </w:r>
      <w:proofErr w:type="spellStart"/>
      <w:r w:rsidRPr="007214E1">
        <w:rPr>
          <w:rFonts w:ascii="Book Antiqua" w:hAnsi="Book Antiqua"/>
        </w:rPr>
        <w:t>Fili</w:t>
      </w:r>
      <w:proofErr w:type="spellEnd"/>
      <w:r w:rsidRPr="007214E1">
        <w:rPr>
          <w:rFonts w:ascii="Book Antiqua" w:hAnsi="Book Antiqua"/>
        </w:rPr>
        <w:t xml:space="preserve">' D, Riccardo V, </w:t>
      </w:r>
      <w:proofErr w:type="spellStart"/>
      <w:r w:rsidRPr="007214E1">
        <w:rPr>
          <w:rFonts w:ascii="Book Antiqua" w:hAnsi="Book Antiqua"/>
        </w:rPr>
        <w:t>D'Antoni</w:t>
      </w:r>
      <w:proofErr w:type="spellEnd"/>
      <w:r w:rsidRPr="007214E1">
        <w:rPr>
          <w:rFonts w:ascii="Book Antiqua" w:hAnsi="Book Antiqua"/>
        </w:rPr>
        <w:t xml:space="preserve"> A, Petridis I, </w:t>
      </w:r>
      <w:proofErr w:type="spellStart"/>
      <w:r w:rsidRPr="007214E1">
        <w:rPr>
          <w:rFonts w:ascii="Book Antiqua" w:hAnsi="Book Antiqua"/>
        </w:rPr>
        <w:t>Maruzzelli</w:t>
      </w:r>
      <w:proofErr w:type="spellEnd"/>
      <w:r w:rsidRPr="007214E1">
        <w:rPr>
          <w:rFonts w:ascii="Book Antiqua" w:hAnsi="Book Antiqua"/>
        </w:rPr>
        <w:t xml:space="preserve"> L, </w:t>
      </w:r>
      <w:proofErr w:type="spellStart"/>
      <w:r w:rsidRPr="007214E1">
        <w:rPr>
          <w:rFonts w:ascii="Book Antiqua" w:hAnsi="Book Antiqua"/>
        </w:rPr>
        <w:t>Biondo</w:t>
      </w:r>
      <w:proofErr w:type="spellEnd"/>
      <w:r w:rsidRPr="007214E1">
        <w:rPr>
          <w:rFonts w:ascii="Book Antiqua" w:hAnsi="Book Antiqua"/>
        </w:rPr>
        <w:t xml:space="preserve"> D, </w:t>
      </w:r>
      <w:proofErr w:type="spellStart"/>
      <w:r w:rsidRPr="007214E1">
        <w:rPr>
          <w:rFonts w:ascii="Book Antiqua" w:hAnsi="Book Antiqua"/>
        </w:rPr>
        <w:t>Gridelli</w:t>
      </w:r>
      <w:proofErr w:type="spellEnd"/>
      <w:r w:rsidRPr="007214E1">
        <w:rPr>
          <w:rFonts w:ascii="Book Antiqua" w:hAnsi="Book Antiqua"/>
        </w:rPr>
        <w:t xml:space="preserve"> B. Arterial chemoembolization/embolization and early complications after hepatocellular carcinoma treatment: a safe standardized protocol in selected patients with Child class A and B cirrhosis. </w:t>
      </w:r>
      <w:r w:rsidRPr="007214E1">
        <w:rPr>
          <w:rFonts w:ascii="Book Antiqua" w:hAnsi="Book Antiqua"/>
          <w:i/>
        </w:rPr>
        <w:t xml:space="preserve">J </w:t>
      </w:r>
      <w:proofErr w:type="spellStart"/>
      <w:r w:rsidRPr="007214E1">
        <w:rPr>
          <w:rFonts w:ascii="Book Antiqua" w:hAnsi="Book Antiqua"/>
          <w:i/>
        </w:rPr>
        <w:t>Vasc</w:t>
      </w:r>
      <w:proofErr w:type="spellEnd"/>
      <w:r w:rsidRPr="007214E1">
        <w:rPr>
          <w:rFonts w:ascii="Book Antiqua" w:hAnsi="Book Antiqua"/>
          <w:i/>
        </w:rPr>
        <w:t xml:space="preserve"> </w:t>
      </w:r>
      <w:proofErr w:type="spellStart"/>
      <w:r w:rsidRPr="007214E1">
        <w:rPr>
          <w:rFonts w:ascii="Book Antiqua" w:hAnsi="Book Antiqua"/>
          <w:i/>
        </w:rPr>
        <w:t>Interv</w:t>
      </w:r>
      <w:proofErr w:type="spellEnd"/>
      <w:r w:rsidRPr="007214E1">
        <w:rPr>
          <w:rFonts w:ascii="Book Antiqua" w:hAnsi="Book Antiqua"/>
          <w:i/>
        </w:rPr>
        <w:t xml:space="preserve"> </w:t>
      </w:r>
      <w:proofErr w:type="spellStart"/>
      <w:r w:rsidRPr="007214E1">
        <w:rPr>
          <w:rFonts w:ascii="Book Antiqua" w:hAnsi="Book Antiqua"/>
          <w:i/>
        </w:rPr>
        <w:t>Radiol</w:t>
      </w:r>
      <w:proofErr w:type="spellEnd"/>
      <w:r w:rsidRPr="007214E1">
        <w:rPr>
          <w:rFonts w:ascii="Book Antiqua" w:hAnsi="Book Antiqua"/>
        </w:rPr>
        <w:t xml:space="preserve"> 2009; </w:t>
      </w:r>
      <w:r w:rsidRPr="007214E1">
        <w:rPr>
          <w:rFonts w:ascii="Book Antiqua" w:hAnsi="Book Antiqua"/>
          <w:b/>
        </w:rPr>
        <w:t>20</w:t>
      </w:r>
      <w:r w:rsidRPr="007214E1">
        <w:rPr>
          <w:rFonts w:ascii="Book Antiqua" w:hAnsi="Book Antiqua"/>
        </w:rPr>
        <w:t>: 896-902 [PMID: 19497762 DOI: 10.1016/j.jvir.2009.03.032]</w:t>
      </w:r>
    </w:p>
    <w:p w14:paraId="48091CF6"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lastRenderedPageBreak/>
        <w:t xml:space="preserve">90 </w:t>
      </w:r>
      <w:r w:rsidRPr="007214E1">
        <w:rPr>
          <w:rFonts w:ascii="Book Antiqua" w:hAnsi="Book Antiqua"/>
          <w:b/>
        </w:rPr>
        <w:t>Xu MJ</w:t>
      </w:r>
      <w:r w:rsidRPr="007214E1">
        <w:rPr>
          <w:rFonts w:ascii="Book Antiqua" w:hAnsi="Book Antiqua"/>
        </w:rPr>
        <w:t xml:space="preserve">, Feng M. Radiation Therapy in HCC: What Data Exist and What Data Do We Need to Incorporate into Guidelines? </w:t>
      </w:r>
      <w:r w:rsidRPr="007214E1">
        <w:rPr>
          <w:rFonts w:ascii="Book Antiqua" w:hAnsi="Book Antiqua"/>
          <w:i/>
        </w:rPr>
        <w:t>Semin Liver Dis</w:t>
      </w:r>
      <w:r w:rsidRPr="007214E1">
        <w:rPr>
          <w:rFonts w:ascii="Book Antiqua" w:hAnsi="Book Antiqua"/>
        </w:rPr>
        <w:t xml:space="preserve"> 2019; </w:t>
      </w:r>
      <w:r w:rsidRPr="007214E1">
        <w:rPr>
          <w:rFonts w:ascii="Book Antiqua" w:hAnsi="Book Antiqua"/>
          <w:b/>
        </w:rPr>
        <w:t>39</w:t>
      </w:r>
      <w:r w:rsidRPr="007214E1">
        <w:rPr>
          <w:rFonts w:ascii="Book Antiqua" w:hAnsi="Book Antiqua"/>
        </w:rPr>
        <w:t>: 43-52 [PMID: 30536291 DOI: 10.1055/s-0038-1676098]</w:t>
      </w:r>
    </w:p>
    <w:p w14:paraId="20A8F797"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91 </w:t>
      </w:r>
      <w:r w:rsidRPr="007214E1">
        <w:rPr>
          <w:rFonts w:ascii="Book Antiqua" w:hAnsi="Book Antiqua"/>
          <w:b/>
        </w:rPr>
        <w:t>Duffy AG</w:t>
      </w:r>
      <w:r w:rsidRPr="007214E1">
        <w:rPr>
          <w:rFonts w:ascii="Book Antiqua" w:hAnsi="Book Antiqua"/>
        </w:rPr>
        <w:t xml:space="preserve">, </w:t>
      </w:r>
      <w:proofErr w:type="spellStart"/>
      <w:r w:rsidRPr="007214E1">
        <w:rPr>
          <w:rFonts w:ascii="Book Antiqua" w:hAnsi="Book Antiqua"/>
        </w:rPr>
        <w:t>Ulahannan</w:t>
      </w:r>
      <w:proofErr w:type="spellEnd"/>
      <w:r w:rsidRPr="007214E1">
        <w:rPr>
          <w:rFonts w:ascii="Book Antiqua" w:hAnsi="Book Antiqua"/>
        </w:rPr>
        <w:t xml:space="preserve"> SV, </w:t>
      </w:r>
      <w:proofErr w:type="spellStart"/>
      <w:r w:rsidRPr="007214E1">
        <w:rPr>
          <w:rFonts w:ascii="Book Antiqua" w:hAnsi="Book Antiqua"/>
        </w:rPr>
        <w:t>Makorova</w:t>
      </w:r>
      <w:proofErr w:type="spellEnd"/>
      <w:r w:rsidRPr="007214E1">
        <w:rPr>
          <w:rFonts w:ascii="Book Antiqua" w:hAnsi="Book Antiqua"/>
        </w:rPr>
        <w:t xml:space="preserve">-Rusher O, </w:t>
      </w:r>
      <w:proofErr w:type="spellStart"/>
      <w:r w:rsidRPr="007214E1">
        <w:rPr>
          <w:rFonts w:ascii="Book Antiqua" w:hAnsi="Book Antiqua"/>
        </w:rPr>
        <w:t>Rahma</w:t>
      </w:r>
      <w:proofErr w:type="spellEnd"/>
      <w:r w:rsidRPr="007214E1">
        <w:rPr>
          <w:rFonts w:ascii="Book Antiqua" w:hAnsi="Book Antiqua"/>
        </w:rPr>
        <w:t xml:space="preserve"> O, </w:t>
      </w:r>
      <w:proofErr w:type="spellStart"/>
      <w:r w:rsidRPr="007214E1">
        <w:rPr>
          <w:rFonts w:ascii="Book Antiqua" w:hAnsi="Book Antiqua"/>
        </w:rPr>
        <w:t>Wedemeyer</w:t>
      </w:r>
      <w:proofErr w:type="spellEnd"/>
      <w:r w:rsidRPr="007214E1">
        <w:rPr>
          <w:rFonts w:ascii="Book Antiqua" w:hAnsi="Book Antiqua"/>
        </w:rPr>
        <w:t xml:space="preserve"> H, Pratt D, Davis JL, Hughes MS, Heller T, </w:t>
      </w:r>
      <w:proofErr w:type="spellStart"/>
      <w:r w:rsidRPr="007214E1">
        <w:rPr>
          <w:rFonts w:ascii="Book Antiqua" w:hAnsi="Book Antiqua"/>
        </w:rPr>
        <w:t>ElGindi</w:t>
      </w:r>
      <w:proofErr w:type="spellEnd"/>
      <w:r w:rsidRPr="007214E1">
        <w:rPr>
          <w:rFonts w:ascii="Book Antiqua" w:hAnsi="Book Antiqua"/>
        </w:rPr>
        <w:t xml:space="preserve"> M, </w:t>
      </w:r>
      <w:proofErr w:type="spellStart"/>
      <w:r w:rsidRPr="007214E1">
        <w:rPr>
          <w:rFonts w:ascii="Book Antiqua" w:hAnsi="Book Antiqua"/>
        </w:rPr>
        <w:t>Uppala</w:t>
      </w:r>
      <w:proofErr w:type="spellEnd"/>
      <w:r w:rsidRPr="007214E1">
        <w:rPr>
          <w:rFonts w:ascii="Book Antiqua" w:hAnsi="Book Antiqua"/>
        </w:rPr>
        <w:t xml:space="preserve"> A, </w:t>
      </w:r>
      <w:proofErr w:type="spellStart"/>
      <w:r w:rsidRPr="007214E1">
        <w:rPr>
          <w:rFonts w:ascii="Book Antiqua" w:hAnsi="Book Antiqua"/>
        </w:rPr>
        <w:t>Korangy</w:t>
      </w:r>
      <w:proofErr w:type="spellEnd"/>
      <w:r w:rsidRPr="007214E1">
        <w:rPr>
          <w:rFonts w:ascii="Book Antiqua" w:hAnsi="Book Antiqua"/>
        </w:rPr>
        <w:t xml:space="preserve"> F, </w:t>
      </w:r>
      <w:proofErr w:type="spellStart"/>
      <w:r w:rsidRPr="007214E1">
        <w:rPr>
          <w:rFonts w:ascii="Book Antiqua" w:hAnsi="Book Antiqua"/>
        </w:rPr>
        <w:t>Kleiner</w:t>
      </w:r>
      <w:proofErr w:type="spellEnd"/>
      <w:r w:rsidRPr="007214E1">
        <w:rPr>
          <w:rFonts w:ascii="Book Antiqua" w:hAnsi="Book Antiqua"/>
        </w:rPr>
        <w:t xml:space="preserve"> DE, </w:t>
      </w:r>
      <w:proofErr w:type="spellStart"/>
      <w:r w:rsidRPr="007214E1">
        <w:rPr>
          <w:rFonts w:ascii="Book Antiqua" w:hAnsi="Book Antiqua"/>
        </w:rPr>
        <w:t>Figg</w:t>
      </w:r>
      <w:proofErr w:type="spellEnd"/>
      <w:r w:rsidRPr="007214E1">
        <w:rPr>
          <w:rFonts w:ascii="Book Antiqua" w:hAnsi="Book Antiqua"/>
        </w:rPr>
        <w:t xml:space="preserve"> WD, </w:t>
      </w:r>
      <w:proofErr w:type="spellStart"/>
      <w:r w:rsidRPr="007214E1">
        <w:rPr>
          <w:rFonts w:ascii="Book Antiqua" w:hAnsi="Book Antiqua"/>
        </w:rPr>
        <w:t>Venzon</w:t>
      </w:r>
      <w:proofErr w:type="spellEnd"/>
      <w:r w:rsidRPr="007214E1">
        <w:rPr>
          <w:rFonts w:ascii="Book Antiqua" w:hAnsi="Book Antiqua"/>
        </w:rPr>
        <w:t xml:space="preserve"> D, Steinberg SM, </w:t>
      </w:r>
      <w:proofErr w:type="spellStart"/>
      <w:r w:rsidRPr="007214E1">
        <w:rPr>
          <w:rFonts w:ascii="Book Antiqua" w:hAnsi="Book Antiqua"/>
        </w:rPr>
        <w:t>Venkatesan</w:t>
      </w:r>
      <w:proofErr w:type="spellEnd"/>
      <w:r w:rsidRPr="007214E1">
        <w:rPr>
          <w:rFonts w:ascii="Book Antiqua" w:hAnsi="Book Antiqua"/>
        </w:rPr>
        <w:t xml:space="preserve"> AM, </w:t>
      </w:r>
      <w:proofErr w:type="spellStart"/>
      <w:r w:rsidRPr="007214E1">
        <w:rPr>
          <w:rFonts w:ascii="Book Antiqua" w:hAnsi="Book Antiqua"/>
        </w:rPr>
        <w:t>Krishnasamy</w:t>
      </w:r>
      <w:proofErr w:type="spellEnd"/>
      <w:r w:rsidRPr="007214E1">
        <w:rPr>
          <w:rFonts w:ascii="Book Antiqua" w:hAnsi="Book Antiqua"/>
        </w:rPr>
        <w:t xml:space="preserve"> V, </w:t>
      </w:r>
      <w:proofErr w:type="spellStart"/>
      <w:r w:rsidRPr="007214E1">
        <w:rPr>
          <w:rFonts w:ascii="Book Antiqua" w:hAnsi="Book Antiqua"/>
        </w:rPr>
        <w:t>Abi-Jaoudeh</w:t>
      </w:r>
      <w:proofErr w:type="spellEnd"/>
      <w:r w:rsidRPr="007214E1">
        <w:rPr>
          <w:rFonts w:ascii="Book Antiqua" w:hAnsi="Book Antiqua"/>
        </w:rPr>
        <w:t xml:space="preserve"> N, Levy E, Wood BJ, </w:t>
      </w:r>
      <w:proofErr w:type="spellStart"/>
      <w:r w:rsidRPr="007214E1">
        <w:rPr>
          <w:rFonts w:ascii="Book Antiqua" w:hAnsi="Book Antiqua"/>
        </w:rPr>
        <w:t>Greten</w:t>
      </w:r>
      <w:proofErr w:type="spellEnd"/>
      <w:r w:rsidRPr="007214E1">
        <w:rPr>
          <w:rFonts w:ascii="Book Antiqua" w:hAnsi="Book Antiqua"/>
        </w:rPr>
        <w:t xml:space="preserve"> TF. </w:t>
      </w:r>
      <w:proofErr w:type="spellStart"/>
      <w:r w:rsidRPr="007214E1">
        <w:rPr>
          <w:rFonts w:ascii="Book Antiqua" w:hAnsi="Book Antiqua"/>
        </w:rPr>
        <w:t>Tremelimumab</w:t>
      </w:r>
      <w:proofErr w:type="spellEnd"/>
      <w:r w:rsidRPr="007214E1">
        <w:rPr>
          <w:rFonts w:ascii="Book Antiqua" w:hAnsi="Book Antiqua"/>
        </w:rPr>
        <w:t xml:space="preserve"> in combination with ablation in patients with advanced hepatocellular carcinoma. </w:t>
      </w:r>
      <w:r w:rsidRPr="007214E1">
        <w:rPr>
          <w:rFonts w:ascii="Book Antiqua" w:hAnsi="Book Antiqua"/>
          <w:i/>
        </w:rPr>
        <w:t>J Hepatol</w:t>
      </w:r>
      <w:r w:rsidRPr="007214E1">
        <w:rPr>
          <w:rFonts w:ascii="Book Antiqua" w:hAnsi="Book Antiqua"/>
        </w:rPr>
        <w:t xml:space="preserve"> 2017; </w:t>
      </w:r>
      <w:r w:rsidRPr="007214E1">
        <w:rPr>
          <w:rFonts w:ascii="Book Antiqua" w:hAnsi="Book Antiqua"/>
          <w:b/>
        </w:rPr>
        <w:t>66</w:t>
      </w:r>
      <w:r w:rsidRPr="007214E1">
        <w:rPr>
          <w:rFonts w:ascii="Book Antiqua" w:hAnsi="Book Antiqua"/>
        </w:rPr>
        <w:t>: 545-551 [PMID: 27816492 DOI: 10.1016/j.jhep.2016.10.029]</w:t>
      </w:r>
    </w:p>
    <w:p w14:paraId="0D2F16C1" w14:textId="15A6531F"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92 </w:t>
      </w:r>
      <w:r w:rsidRPr="007214E1">
        <w:rPr>
          <w:rFonts w:ascii="Book Antiqua" w:hAnsi="Book Antiqua"/>
          <w:b/>
        </w:rPr>
        <w:t xml:space="preserve">National Cancer Institute (NCI). </w:t>
      </w:r>
      <w:r w:rsidRPr="007214E1">
        <w:rPr>
          <w:rFonts w:ascii="Book Antiqua" w:hAnsi="Book Antiqua"/>
        </w:rPr>
        <w:t xml:space="preserve">A Pilot Study of Combined Immune Checkpoint Inhibition in Combination </w:t>
      </w:r>
      <w:r w:rsidR="00074AD0" w:rsidRPr="007214E1">
        <w:rPr>
          <w:rFonts w:ascii="Book Antiqua" w:hAnsi="Book Antiqua"/>
        </w:rPr>
        <w:t xml:space="preserve">with </w:t>
      </w:r>
      <w:r w:rsidRPr="007214E1">
        <w:rPr>
          <w:rFonts w:ascii="Book Antiqua" w:hAnsi="Book Antiqua"/>
        </w:rPr>
        <w:t xml:space="preserve">Ablative Therapies in Subjects </w:t>
      </w:r>
      <w:r w:rsidR="00074AD0" w:rsidRPr="007214E1">
        <w:rPr>
          <w:rFonts w:ascii="Book Antiqua" w:hAnsi="Book Antiqua"/>
        </w:rPr>
        <w:t xml:space="preserve">with </w:t>
      </w:r>
      <w:r w:rsidRPr="007214E1">
        <w:rPr>
          <w:rFonts w:ascii="Book Antiqua" w:hAnsi="Book Antiqua"/>
        </w:rPr>
        <w:t>Hepatocellular Carcinoma (HCC) or Biliary T</w:t>
      </w:r>
      <w:r w:rsidR="00074AD0" w:rsidRPr="007214E1">
        <w:rPr>
          <w:rFonts w:ascii="Book Antiqua" w:hAnsi="Book Antiqua"/>
        </w:rPr>
        <w:t xml:space="preserve">ract Carcinomas (BTC). </w:t>
      </w:r>
      <w:r w:rsidRPr="007214E1">
        <w:rPr>
          <w:rFonts w:ascii="Book Antiqua" w:hAnsi="Book Antiqua"/>
        </w:rPr>
        <w:t>In: ClinicalTrials.gov [Internet]. Bethesda (MD): U.S.</w:t>
      </w:r>
      <w:r w:rsidR="00354FFA" w:rsidRPr="007214E1">
        <w:rPr>
          <w:rFonts w:ascii="Book Antiqua" w:hAnsi="Book Antiqua"/>
        </w:rPr>
        <w:t xml:space="preserve"> National Library of Medicine. </w:t>
      </w:r>
      <w:r w:rsidRPr="007214E1">
        <w:rPr>
          <w:rFonts w:ascii="Book Antiqua" w:hAnsi="Book Antiqua"/>
        </w:rPr>
        <w:t>Available from: https://Clin</w:t>
      </w:r>
      <w:r w:rsidR="00074AD0" w:rsidRPr="007214E1">
        <w:rPr>
          <w:rFonts w:ascii="Book Antiqua" w:hAnsi="Book Antiqua"/>
        </w:rPr>
        <w:t>icalTrials.gov/show/NCT02821754</w:t>
      </w:r>
    </w:p>
    <w:p w14:paraId="628894BF" w14:textId="3D376251"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93 </w:t>
      </w:r>
      <w:proofErr w:type="spellStart"/>
      <w:r w:rsidRPr="007214E1">
        <w:rPr>
          <w:rFonts w:ascii="Book Antiqua" w:hAnsi="Book Antiqua"/>
          <w:b/>
        </w:rPr>
        <w:t>Institut</w:t>
      </w:r>
      <w:proofErr w:type="spellEnd"/>
      <w:r w:rsidRPr="007214E1">
        <w:rPr>
          <w:rFonts w:ascii="Book Antiqua" w:hAnsi="Book Antiqua"/>
          <w:b/>
        </w:rPr>
        <w:t xml:space="preserve"> </w:t>
      </w:r>
      <w:proofErr w:type="spellStart"/>
      <w:r w:rsidRPr="007214E1">
        <w:rPr>
          <w:rFonts w:ascii="Book Antiqua" w:hAnsi="Book Antiqua"/>
          <w:b/>
        </w:rPr>
        <w:t>für</w:t>
      </w:r>
      <w:proofErr w:type="spellEnd"/>
      <w:r w:rsidRPr="007214E1">
        <w:rPr>
          <w:rFonts w:ascii="Book Antiqua" w:hAnsi="Book Antiqua"/>
          <w:b/>
        </w:rPr>
        <w:t xml:space="preserve"> </w:t>
      </w:r>
      <w:proofErr w:type="spellStart"/>
      <w:r w:rsidRPr="007214E1">
        <w:rPr>
          <w:rFonts w:ascii="Book Antiqua" w:hAnsi="Book Antiqua"/>
          <w:b/>
        </w:rPr>
        <w:t>Klinische</w:t>
      </w:r>
      <w:proofErr w:type="spellEnd"/>
      <w:r w:rsidRPr="007214E1">
        <w:rPr>
          <w:rFonts w:ascii="Book Antiqua" w:hAnsi="Book Antiqua"/>
          <w:b/>
        </w:rPr>
        <w:t xml:space="preserve"> </w:t>
      </w:r>
      <w:proofErr w:type="spellStart"/>
      <w:r w:rsidRPr="007214E1">
        <w:rPr>
          <w:rFonts w:ascii="Book Antiqua" w:hAnsi="Book Antiqua"/>
          <w:b/>
        </w:rPr>
        <w:t>Krebsforschung</w:t>
      </w:r>
      <w:proofErr w:type="spellEnd"/>
      <w:r w:rsidRPr="007214E1">
        <w:rPr>
          <w:rFonts w:ascii="Book Antiqua" w:hAnsi="Book Antiqua"/>
          <w:b/>
        </w:rPr>
        <w:t xml:space="preserve"> IKF GmbH at </w:t>
      </w:r>
      <w:proofErr w:type="spellStart"/>
      <w:r w:rsidRPr="007214E1">
        <w:rPr>
          <w:rFonts w:ascii="Book Antiqua" w:hAnsi="Book Antiqua"/>
          <w:b/>
        </w:rPr>
        <w:t>Krankenhaus</w:t>
      </w:r>
      <w:proofErr w:type="spellEnd"/>
      <w:r w:rsidRPr="007214E1">
        <w:rPr>
          <w:rFonts w:ascii="Book Antiqua" w:hAnsi="Book Antiqua"/>
          <w:b/>
        </w:rPr>
        <w:t xml:space="preserve"> </w:t>
      </w:r>
      <w:proofErr w:type="spellStart"/>
      <w:r w:rsidRPr="007214E1">
        <w:rPr>
          <w:rFonts w:ascii="Book Antiqua" w:hAnsi="Book Antiqua"/>
          <w:b/>
        </w:rPr>
        <w:t>Nordwest</w:t>
      </w:r>
      <w:proofErr w:type="spellEnd"/>
      <w:r w:rsidRPr="007214E1">
        <w:rPr>
          <w:rFonts w:ascii="Book Antiqua" w:hAnsi="Book Antiqua"/>
          <w:b/>
        </w:rPr>
        <w:t xml:space="preserve">. </w:t>
      </w:r>
      <w:r w:rsidRPr="007214E1">
        <w:rPr>
          <w:rFonts w:ascii="Book Antiqua" w:hAnsi="Book Antiqua"/>
        </w:rPr>
        <w:t xml:space="preserve">IMMULAB - Immunotherapy </w:t>
      </w:r>
      <w:r w:rsidR="00074AD0" w:rsidRPr="007214E1">
        <w:rPr>
          <w:rFonts w:ascii="Book Antiqua" w:hAnsi="Book Antiqua"/>
        </w:rPr>
        <w:t xml:space="preserve">with </w:t>
      </w:r>
      <w:r w:rsidRPr="007214E1">
        <w:rPr>
          <w:rFonts w:ascii="Book Antiqua" w:hAnsi="Book Antiqua"/>
        </w:rPr>
        <w:t xml:space="preserve">Pembrolizumab in Combination </w:t>
      </w:r>
      <w:r w:rsidR="00074AD0" w:rsidRPr="007214E1">
        <w:rPr>
          <w:rFonts w:ascii="Book Antiqua" w:hAnsi="Book Antiqua"/>
        </w:rPr>
        <w:t xml:space="preserve">with </w:t>
      </w:r>
      <w:r w:rsidRPr="007214E1">
        <w:rPr>
          <w:rFonts w:ascii="Book Antiqua" w:hAnsi="Book Antiqua"/>
        </w:rPr>
        <w:t>Local Ablation in H</w:t>
      </w:r>
      <w:r w:rsidR="00354FFA" w:rsidRPr="007214E1">
        <w:rPr>
          <w:rFonts w:ascii="Book Antiqua" w:hAnsi="Book Antiqua"/>
        </w:rPr>
        <w:t xml:space="preserve">epatocellular Carcinoma (HCC). </w:t>
      </w:r>
      <w:r w:rsidRPr="007214E1">
        <w:rPr>
          <w:rFonts w:ascii="Book Antiqua" w:hAnsi="Book Antiqua"/>
        </w:rPr>
        <w:t>In: ClinicalTrials.gov [Internet]. Bethesda (MD): U.S.</w:t>
      </w:r>
      <w:r w:rsidR="00074AD0" w:rsidRPr="007214E1">
        <w:rPr>
          <w:rFonts w:ascii="Book Antiqua" w:hAnsi="Book Antiqua"/>
        </w:rPr>
        <w:t xml:space="preserve"> National Library of Medicine. </w:t>
      </w:r>
      <w:r w:rsidRPr="007214E1">
        <w:rPr>
          <w:rFonts w:ascii="Book Antiqua" w:hAnsi="Book Antiqua"/>
        </w:rPr>
        <w:t>Available from: https://clinical</w:t>
      </w:r>
      <w:r w:rsidR="00074AD0" w:rsidRPr="007214E1">
        <w:rPr>
          <w:rFonts w:ascii="Book Antiqua" w:hAnsi="Book Antiqua"/>
        </w:rPr>
        <w:t>trials.gov/ct2/show/NCT03753659</w:t>
      </w:r>
    </w:p>
    <w:p w14:paraId="2CBF4ACA"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94 </w:t>
      </w:r>
      <w:proofErr w:type="spellStart"/>
      <w:r w:rsidRPr="007214E1">
        <w:rPr>
          <w:rFonts w:ascii="Book Antiqua" w:hAnsi="Book Antiqua"/>
          <w:b/>
        </w:rPr>
        <w:t>Miyayama</w:t>
      </w:r>
      <w:proofErr w:type="spellEnd"/>
      <w:r w:rsidRPr="007214E1">
        <w:rPr>
          <w:rFonts w:ascii="Book Antiqua" w:hAnsi="Book Antiqua"/>
          <w:b/>
        </w:rPr>
        <w:t xml:space="preserve"> S</w:t>
      </w:r>
      <w:r w:rsidRPr="007214E1">
        <w:rPr>
          <w:rFonts w:ascii="Book Antiqua" w:hAnsi="Book Antiqua"/>
        </w:rPr>
        <w:t xml:space="preserve">, </w:t>
      </w:r>
      <w:proofErr w:type="spellStart"/>
      <w:r w:rsidRPr="007214E1">
        <w:rPr>
          <w:rFonts w:ascii="Book Antiqua" w:hAnsi="Book Antiqua"/>
        </w:rPr>
        <w:t>Yamashiro</w:t>
      </w:r>
      <w:proofErr w:type="spellEnd"/>
      <w:r w:rsidRPr="007214E1">
        <w:rPr>
          <w:rFonts w:ascii="Book Antiqua" w:hAnsi="Book Antiqua"/>
        </w:rPr>
        <w:t xml:space="preserve"> M, Okuda M, Yoshie Y, Nakashima Y, </w:t>
      </w:r>
      <w:proofErr w:type="spellStart"/>
      <w:r w:rsidRPr="007214E1">
        <w:rPr>
          <w:rFonts w:ascii="Book Antiqua" w:hAnsi="Book Antiqua"/>
        </w:rPr>
        <w:t>Ikeno</w:t>
      </w:r>
      <w:proofErr w:type="spellEnd"/>
      <w:r w:rsidRPr="007214E1">
        <w:rPr>
          <w:rFonts w:ascii="Book Antiqua" w:hAnsi="Book Antiqua"/>
        </w:rPr>
        <w:t xml:space="preserve"> H, </w:t>
      </w:r>
      <w:proofErr w:type="spellStart"/>
      <w:r w:rsidRPr="007214E1">
        <w:rPr>
          <w:rFonts w:ascii="Book Antiqua" w:hAnsi="Book Antiqua"/>
        </w:rPr>
        <w:t>Orito</w:t>
      </w:r>
      <w:proofErr w:type="spellEnd"/>
      <w:r w:rsidRPr="007214E1">
        <w:rPr>
          <w:rFonts w:ascii="Book Antiqua" w:hAnsi="Book Antiqua"/>
        </w:rPr>
        <w:t xml:space="preserve"> N, </w:t>
      </w:r>
      <w:proofErr w:type="spellStart"/>
      <w:r w:rsidRPr="007214E1">
        <w:rPr>
          <w:rFonts w:ascii="Book Antiqua" w:hAnsi="Book Antiqua"/>
        </w:rPr>
        <w:t>Notsumata</w:t>
      </w:r>
      <w:proofErr w:type="spellEnd"/>
      <w:r w:rsidRPr="007214E1">
        <w:rPr>
          <w:rFonts w:ascii="Book Antiqua" w:hAnsi="Book Antiqua"/>
        </w:rPr>
        <w:t xml:space="preserve"> K, Watanabe H, Toya D, Tanaka N, Matsui O. Main bile duct stricture occurring after transcatheter arterial chemoembolization for hepatocellular carcinoma. </w:t>
      </w:r>
      <w:proofErr w:type="spellStart"/>
      <w:r w:rsidRPr="007214E1">
        <w:rPr>
          <w:rFonts w:ascii="Book Antiqua" w:hAnsi="Book Antiqua"/>
          <w:i/>
        </w:rPr>
        <w:t>Cardiovasc</w:t>
      </w:r>
      <w:proofErr w:type="spellEnd"/>
      <w:r w:rsidRPr="007214E1">
        <w:rPr>
          <w:rFonts w:ascii="Book Antiqua" w:hAnsi="Book Antiqua"/>
          <w:i/>
        </w:rPr>
        <w:t xml:space="preserve"> </w:t>
      </w:r>
      <w:proofErr w:type="spellStart"/>
      <w:r w:rsidRPr="007214E1">
        <w:rPr>
          <w:rFonts w:ascii="Book Antiqua" w:hAnsi="Book Antiqua"/>
          <w:i/>
        </w:rPr>
        <w:t>Intervent</w:t>
      </w:r>
      <w:proofErr w:type="spellEnd"/>
      <w:r w:rsidRPr="007214E1">
        <w:rPr>
          <w:rFonts w:ascii="Book Antiqua" w:hAnsi="Book Antiqua"/>
          <w:i/>
        </w:rPr>
        <w:t xml:space="preserve"> </w:t>
      </w:r>
      <w:proofErr w:type="spellStart"/>
      <w:r w:rsidRPr="007214E1">
        <w:rPr>
          <w:rFonts w:ascii="Book Antiqua" w:hAnsi="Book Antiqua"/>
          <w:i/>
        </w:rPr>
        <w:t>Radiol</w:t>
      </w:r>
      <w:proofErr w:type="spellEnd"/>
      <w:r w:rsidRPr="007214E1">
        <w:rPr>
          <w:rFonts w:ascii="Book Antiqua" w:hAnsi="Book Antiqua"/>
        </w:rPr>
        <w:t xml:space="preserve"> 2010; </w:t>
      </w:r>
      <w:r w:rsidRPr="007214E1">
        <w:rPr>
          <w:rFonts w:ascii="Book Antiqua" w:hAnsi="Book Antiqua"/>
          <w:b/>
        </w:rPr>
        <w:t>33</w:t>
      </w:r>
      <w:r w:rsidRPr="007214E1">
        <w:rPr>
          <w:rFonts w:ascii="Book Antiqua" w:hAnsi="Book Antiqua"/>
        </w:rPr>
        <w:t>: 1168-1179 [PMID: 20058008 DOI: 10.1007/s00270-009-9781-6]</w:t>
      </w:r>
    </w:p>
    <w:p w14:paraId="41A4F456" w14:textId="7848DB41"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95 </w:t>
      </w:r>
      <w:r w:rsidRPr="007214E1">
        <w:rPr>
          <w:rFonts w:ascii="Book Antiqua" w:hAnsi="Book Antiqua"/>
          <w:b/>
        </w:rPr>
        <w:t>AIO-</w:t>
      </w:r>
      <w:proofErr w:type="spellStart"/>
      <w:r w:rsidRPr="007214E1">
        <w:rPr>
          <w:rFonts w:ascii="Book Antiqua" w:hAnsi="Book Antiqua"/>
          <w:b/>
        </w:rPr>
        <w:t>Studien</w:t>
      </w:r>
      <w:proofErr w:type="spellEnd"/>
      <w:r w:rsidRPr="007214E1">
        <w:rPr>
          <w:rFonts w:ascii="Book Antiqua" w:hAnsi="Book Antiqua"/>
          <w:b/>
        </w:rPr>
        <w:t>-</w:t>
      </w:r>
      <w:proofErr w:type="spellStart"/>
      <w:r w:rsidRPr="007214E1">
        <w:rPr>
          <w:rFonts w:ascii="Book Antiqua" w:hAnsi="Book Antiqua"/>
          <w:b/>
        </w:rPr>
        <w:t>gGmbH</w:t>
      </w:r>
      <w:proofErr w:type="spellEnd"/>
      <w:r w:rsidRPr="007214E1">
        <w:rPr>
          <w:rFonts w:ascii="Book Antiqua" w:hAnsi="Book Antiqua"/>
          <w:b/>
        </w:rPr>
        <w:t xml:space="preserve">. </w:t>
      </w:r>
      <w:proofErr w:type="spellStart"/>
      <w:r w:rsidRPr="007214E1">
        <w:rPr>
          <w:rFonts w:ascii="Book Antiqua" w:hAnsi="Book Antiqua"/>
        </w:rPr>
        <w:t>Transarterial</w:t>
      </w:r>
      <w:proofErr w:type="spellEnd"/>
      <w:r w:rsidRPr="007214E1">
        <w:rPr>
          <w:rFonts w:ascii="Book Antiqua" w:hAnsi="Book Antiqua"/>
        </w:rPr>
        <w:t xml:space="preserve"> Chemoembolization in Combination With Nivolumab Performed for Intermediate Stage Hepatocellular Carcinoma.</w:t>
      </w:r>
      <w:r w:rsidR="00074AD0" w:rsidRPr="007214E1">
        <w:rPr>
          <w:rFonts w:ascii="Book Antiqua" w:hAnsi="Book Antiqua"/>
        </w:rPr>
        <w:t xml:space="preserve"> </w:t>
      </w:r>
      <w:r w:rsidRPr="007214E1">
        <w:rPr>
          <w:rFonts w:ascii="Book Antiqua" w:hAnsi="Book Antiqua"/>
        </w:rPr>
        <w:t>In:</w:t>
      </w:r>
      <w:r w:rsidR="00074AD0" w:rsidRPr="007214E1">
        <w:rPr>
          <w:rFonts w:ascii="Book Antiqua" w:hAnsi="Book Antiqua"/>
        </w:rPr>
        <w:t xml:space="preserve"> ClinicalTrials.gov [Internet]. </w:t>
      </w:r>
      <w:r w:rsidRPr="007214E1">
        <w:rPr>
          <w:rFonts w:ascii="Book Antiqua" w:hAnsi="Book Antiqua"/>
        </w:rPr>
        <w:t>Bethesda (MD): U.S. National Library of Medicine.</w:t>
      </w:r>
      <w:r w:rsidR="00074AD0" w:rsidRPr="007214E1">
        <w:rPr>
          <w:rFonts w:ascii="Book Antiqua" w:hAnsi="Book Antiqua"/>
        </w:rPr>
        <w:t xml:space="preserve"> </w:t>
      </w:r>
      <w:r w:rsidRPr="007214E1">
        <w:rPr>
          <w:rFonts w:ascii="Book Antiqua" w:hAnsi="Book Antiqua"/>
        </w:rPr>
        <w:t>Available from: https://Clin</w:t>
      </w:r>
      <w:r w:rsidR="00074AD0" w:rsidRPr="007214E1">
        <w:rPr>
          <w:rFonts w:ascii="Book Antiqua" w:hAnsi="Book Antiqua"/>
        </w:rPr>
        <w:t>icalTrials.gov/show/NCT03572582</w:t>
      </w:r>
    </w:p>
    <w:p w14:paraId="703E4F9F" w14:textId="5DD1EFBC" w:rsidR="0046745C" w:rsidRPr="007214E1" w:rsidRDefault="0046745C" w:rsidP="00EB43EE">
      <w:pPr>
        <w:snapToGrid w:val="0"/>
        <w:spacing w:line="360" w:lineRule="auto"/>
        <w:jc w:val="both"/>
        <w:rPr>
          <w:rFonts w:ascii="Book Antiqua" w:hAnsi="Book Antiqua"/>
        </w:rPr>
      </w:pPr>
      <w:r w:rsidRPr="007214E1">
        <w:rPr>
          <w:rFonts w:ascii="Book Antiqua" w:hAnsi="Book Antiqua"/>
        </w:rPr>
        <w:lastRenderedPageBreak/>
        <w:t xml:space="preserve">96 </w:t>
      </w:r>
      <w:r w:rsidRPr="007214E1">
        <w:rPr>
          <w:rFonts w:ascii="Book Antiqua" w:hAnsi="Book Antiqua"/>
          <w:b/>
        </w:rPr>
        <w:t xml:space="preserve">Imperial College London. </w:t>
      </w:r>
      <w:r w:rsidRPr="007214E1">
        <w:rPr>
          <w:rFonts w:ascii="Book Antiqua" w:hAnsi="Book Antiqua"/>
        </w:rPr>
        <w:t>Study of Pembrolizumab Following TA</w:t>
      </w:r>
      <w:r w:rsidR="00074AD0" w:rsidRPr="007214E1">
        <w:rPr>
          <w:rFonts w:ascii="Book Antiqua" w:hAnsi="Book Antiqua"/>
        </w:rPr>
        <w:t xml:space="preserve">CE in Primary Liver Carcinoma. </w:t>
      </w:r>
      <w:r w:rsidRPr="007214E1">
        <w:rPr>
          <w:rFonts w:ascii="Book Antiqua" w:hAnsi="Book Antiqua"/>
        </w:rPr>
        <w:t>In: ClinicalTrials.gov [Internet]. Bethesda (MD): U.S.</w:t>
      </w:r>
      <w:r w:rsidR="00074AD0" w:rsidRPr="007214E1">
        <w:rPr>
          <w:rFonts w:ascii="Book Antiqua" w:hAnsi="Book Antiqua"/>
        </w:rPr>
        <w:t xml:space="preserve"> National Library of Medicine. </w:t>
      </w:r>
      <w:r w:rsidRPr="007214E1">
        <w:rPr>
          <w:rFonts w:ascii="Book Antiqua" w:hAnsi="Book Antiqua"/>
        </w:rPr>
        <w:t>Available from: https://Clini</w:t>
      </w:r>
      <w:r w:rsidR="00074AD0" w:rsidRPr="007214E1">
        <w:rPr>
          <w:rFonts w:ascii="Book Antiqua" w:hAnsi="Book Antiqua"/>
        </w:rPr>
        <w:t>calTrials.gov/show/NCT03397654</w:t>
      </w:r>
    </w:p>
    <w:p w14:paraId="21817270" w14:textId="3FC3EFE2"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97 </w:t>
      </w:r>
      <w:r w:rsidRPr="007214E1">
        <w:rPr>
          <w:rFonts w:ascii="Book Antiqua" w:hAnsi="Book Antiqua"/>
          <w:b/>
        </w:rPr>
        <w:t xml:space="preserve">Sidney Kimmel Comprehensive Cancer Center at Johns Hopkins. </w:t>
      </w:r>
      <w:r w:rsidRPr="007214E1">
        <w:rPr>
          <w:rFonts w:ascii="Book Antiqua" w:hAnsi="Book Antiqua"/>
        </w:rPr>
        <w:t xml:space="preserve">CTLA-4 PD-L1 Blockade Following </w:t>
      </w:r>
      <w:proofErr w:type="spellStart"/>
      <w:r w:rsidRPr="007214E1">
        <w:rPr>
          <w:rFonts w:ascii="Book Antiqua" w:hAnsi="Book Antiqua"/>
        </w:rPr>
        <w:t>Transarterial</w:t>
      </w:r>
      <w:proofErr w:type="spellEnd"/>
      <w:r w:rsidRPr="007214E1">
        <w:rPr>
          <w:rFonts w:ascii="Book Antiqua" w:hAnsi="Book Antiqua"/>
        </w:rPr>
        <w:t xml:space="preserve"> Chemoembolization (DEB-TACE) in Patients </w:t>
      </w:r>
      <w:r w:rsidR="00074AD0" w:rsidRPr="007214E1">
        <w:rPr>
          <w:rFonts w:ascii="Book Antiqua" w:hAnsi="Book Antiqua"/>
        </w:rPr>
        <w:t xml:space="preserve">with </w:t>
      </w:r>
      <w:r w:rsidRPr="007214E1">
        <w:rPr>
          <w:rFonts w:ascii="Book Antiqua" w:hAnsi="Book Antiqua"/>
        </w:rPr>
        <w:t>Intermediate Stage of HCC (Hepatocellular Carcinoma) Us</w:t>
      </w:r>
      <w:r w:rsidR="00074AD0" w:rsidRPr="007214E1">
        <w:rPr>
          <w:rFonts w:ascii="Book Antiqua" w:hAnsi="Book Antiqua"/>
        </w:rPr>
        <w:t xml:space="preserve">ing </w:t>
      </w:r>
      <w:proofErr w:type="spellStart"/>
      <w:r w:rsidR="00074AD0" w:rsidRPr="007214E1">
        <w:rPr>
          <w:rFonts w:ascii="Book Antiqua" w:hAnsi="Book Antiqua"/>
        </w:rPr>
        <w:t>Durvalumab</w:t>
      </w:r>
      <w:proofErr w:type="spellEnd"/>
      <w:r w:rsidR="00074AD0" w:rsidRPr="007214E1">
        <w:rPr>
          <w:rFonts w:ascii="Book Antiqua" w:hAnsi="Book Antiqua"/>
        </w:rPr>
        <w:t xml:space="preserve"> and </w:t>
      </w:r>
      <w:proofErr w:type="spellStart"/>
      <w:r w:rsidR="00074AD0" w:rsidRPr="007214E1">
        <w:rPr>
          <w:rFonts w:ascii="Book Antiqua" w:hAnsi="Book Antiqua"/>
        </w:rPr>
        <w:t>Tremelimumab</w:t>
      </w:r>
      <w:proofErr w:type="spellEnd"/>
      <w:r w:rsidR="0044142A" w:rsidRPr="007214E1">
        <w:rPr>
          <w:rFonts w:ascii="Book Antiqua" w:hAnsi="Book Antiqua"/>
        </w:rPr>
        <w:t xml:space="preserve">. </w:t>
      </w:r>
      <w:r w:rsidRPr="007214E1">
        <w:rPr>
          <w:rFonts w:ascii="Book Antiqua" w:hAnsi="Book Antiqua"/>
        </w:rPr>
        <w:t xml:space="preserve">In: ClinicalTrials.gov [Internet]. Bethesda (MD): U.S. </w:t>
      </w:r>
      <w:r w:rsidR="0044142A" w:rsidRPr="007214E1">
        <w:rPr>
          <w:rFonts w:ascii="Book Antiqua" w:hAnsi="Book Antiqua"/>
        </w:rPr>
        <w:t xml:space="preserve">National Library of Medicine. </w:t>
      </w:r>
      <w:r w:rsidRPr="007214E1">
        <w:rPr>
          <w:rFonts w:ascii="Book Antiqua" w:hAnsi="Book Antiqua"/>
        </w:rPr>
        <w:t>Available from: https://Clini</w:t>
      </w:r>
      <w:r w:rsidR="0044142A" w:rsidRPr="007214E1">
        <w:rPr>
          <w:rFonts w:ascii="Book Antiqua" w:hAnsi="Book Antiqua"/>
        </w:rPr>
        <w:t>calTrials.gov/show/NCT03638141</w:t>
      </w:r>
    </w:p>
    <w:p w14:paraId="7E0FE6E9" w14:textId="00A0719C"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98 </w:t>
      </w:r>
      <w:r w:rsidRPr="007214E1">
        <w:rPr>
          <w:rFonts w:ascii="Book Antiqua" w:hAnsi="Book Antiqua"/>
          <w:b/>
        </w:rPr>
        <w:t xml:space="preserve">National Cancer Institute (NCI). </w:t>
      </w:r>
      <w:r w:rsidRPr="007214E1">
        <w:rPr>
          <w:rFonts w:ascii="Book Antiqua" w:hAnsi="Book Antiqua"/>
        </w:rPr>
        <w:t xml:space="preserve">Combined Treatment of </w:t>
      </w:r>
      <w:proofErr w:type="spellStart"/>
      <w:r w:rsidRPr="007214E1">
        <w:rPr>
          <w:rFonts w:ascii="Book Antiqua" w:hAnsi="Book Antiqua"/>
        </w:rPr>
        <w:t>Durvalumab</w:t>
      </w:r>
      <w:proofErr w:type="spellEnd"/>
      <w:r w:rsidRPr="007214E1">
        <w:rPr>
          <w:rFonts w:ascii="Book Antiqua" w:hAnsi="Book Antiqua"/>
        </w:rPr>
        <w:t>,</w:t>
      </w:r>
      <w:r w:rsidR="0044142A" w:rsidRPr="007214E1">
        <w:rPr>
          <w:rFonts w:ascii="Book Antiqua" w:hAnsi="Book Antiqua"/>
        </w:rPr>
        <w:t xml:space="preserve"> </w:t>
      </w:r>
      <w:proofErr w:type="spellStart"/>
      <w:r w:rsidRPr="007214E1">
        <w:rPr>
          <w:rFonts w:ascii="Book Antiqua" w:hAnsi="Book Antiqua"/>
        </w:rPr>
        <w:t>Bevacizumab</w:t>
      </w:r>
      <w:proofErr w:type="spellEnd"/>
      <w:r w:rsidRPr="007214E1">
        <w:rPr>
          <w:rFonts w:ascii="Book Antiqua" w:hAnsi="Book Antiqua"/>
        </w:rPr>
        <w:t xml:space="preserve">, and </w:t>
      </w:r>
      <w:proofErr w:type="spellStart"/>
      <w:r w:rsidRPr="007214E1">
        <w:rPr>
          <w:rFonts w:ascii="Book Antiqua" w:hAnsi="Book Antiqua"/>
        </w:rPr>
        <w:t>Transarterial</w:t>
      </w:r>
      <w:proofErr w:type="spellEnd"/>
      <w:r w:rsidRPr="007214E1">
        <w:rPr>
          <w:rFonts w:ascii="Book Antiqua" w:hAnsi="Book Antiqua"/>
        </w:rPr>
        <w:t xml:space="preserve"> Chemoembolization (TACE) in Subjects</w:t>
      </w:r>
      <w:r w:rsidR="0044142A" w:rsidRPr="007214E1">
        <w:rPr>
          <w:rFonts w:ascii="Book Antiqua" w:hAnsi="Book Antiqua"/>
        </w:rPr>
        <w:t xml:space="preserve"> With Hepatocellular Carcinoma. </w:t>
      </w:r>
      <w:r w:rsidRPr="007214E1">
        <w:rPr>
          <w:rFonts w:ascii="Book Antiqua" w:hAnsi="Book Antiqua"/>
        </w:rPr>
        <w:t>In: ClinicalTrials.gov [Internet]. Bethesda (MD): U.S.</w:t>
      </w:r>
      <w:r w:rsidR="0044142A" w:rsidRPr="007214E1">
        <w:rPr>
          <w:rFonts w:ascii="Book Antiqua" w:hAnsi="Book Antiqua"/>
        </w:rPr>
        <w:t xml:space="preserve"> National Library of Medicine. </w:t>
      </w:r>
      <w:r w:rsidRPr="007214E1">
        <w:rPr>
          <w:rFonts w:ascii="Book Antiqua" w:hAnsi="Book Antiqua"/>
        </w:rPr>
        <w:t>Available from: https://Clini</w:t>
      </w:r>
      <w:r w:rsidR="0044142A" w:rsidRPr="007214E1">
        <w:rPr>
          <w:rFonts w:ascii="Book Antiqua" w:hAnsi="Book Antiqua"/>
        </w:rPr>
        <w:t>calTrials.gov/show/NCT03937830</w:t>
      </w:r>
    </w:p>
    <w:p w14:paraId="431A69A3" w14:textId="3ABE4B34"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99 </w:t>
      </w:r>
      <w:r w:rsidRPr="007214E1">
        <w:rPr>
          <w:rFonts w:ascii="Book Antiqua" w:hAnsi="Book Antiqua"/>
          <w:b/>
        </w:rPr>
        <w:t xml:space="preserve">AstraZeneca. </w:t>
      </w:r>
      <w:r w:rsidRPr="007214E1">
        <w:rPr>
          <w:rFonts w:ascii="Book Antiqua" w:hAnsi="Book Antiqua"/>
        </w:rPr>
        <w:t xml:space="preserve">A Global Study to Evaluate </w:t>
      </w:r>
      <w:proofErr w:type="spellStart"/>
      <w:r w:rsidRPr="007214E1">
        <w:rPr>
          <w:rFonts w:ascii="Book Antiqua" w:hAnsi="Book Antiqua"/>
        </w:rPr>
        <w:t>Transarterial</w:t>
      </w:r>
      <w:proofErr w:type="spellEnd"/>
      <w:r w:rsidRPr="007214E1">
        <w:rPr>
          <w:rFonts w:ascii="Book Antiqua" w:hAnsi="Book Antiqua"/>
        </w:rPr>
        <w:t xml:space="preserve"> Chemoembolization (TACE) in Combination </w:t>
      </w:r>
      <w:r w:rsidR="0044142A" w:rsidRPr="007214E1">
        <w:rPr>
          <w:rFonts w:ascii="Book Antiqua" w:hAnsi="Book Antiqua"/>
        </w:rPr>
        <w:t xml:space="preserve">with </w:t>
      </w:r>
      <w:r w:rsidRPr="007214E1">
        <w:rPr>
          <w:rFonts w:ascii="Book Antiqua" w:hAnsi="Book Antiqua"/>
        </w:rPr>
        <w:t xml:space="preserve">Durvalumab and Bevacizumab Therapy in Patients </w:t>
      </w:r>
      <w:r w:rsidR="0044142A" w:rsidRPr="007214E1">
        <w:rPr>
          <w:rFonts w:ascii="Book Antiqua" w:hAnsi="Book Antiqua"/>
        </w:rPr>
        <w:t xml:space="preserve">with </w:t>
      </w:r>
      <w:r w:rsidRPr="007214E1">
        <w:rPr>
          <w:rFonts w:ascii="Book Antiqua" w:hAnsi="Book Antiqua"/>
        </w:rPr>
        <w:t>Locoregi</w:t>
      </w:r>
      <w:r w:rsidR="00354FFA" w:rsidRPr="007214E1">
        <w:rPr>
          <w:rFonts w:ascii="Book Antiqua" w:hAnsi="Book Antiqua"/>
        </w:rPr>
        <w:t xml:space="preserve">onal Hepatocellular Carcinoma. </w:t>
      </w:r>
      <w:r w:rsidRPr="007214E1">
        <w:rPr>
          <w:rFonts w:ascii="Book Antiqua" w:hAnsi="Book Antiqua"/>
        </w:rPr>
        <w:t xml:space="preserve">In: ClinicalTrials.gov [Internet]. Bethesda (MD): U.S. </w:t>
      </w:r>
      <w:r w:rsidR="0044142A" w:rsidRPr="007214E1">
        <w:rPr>
          <w:rFonts w:ascii="Book Antiqua" w:hAnsi="Book Antiqua"/>
        </w:rPr>
        <w:t xml:space="preserve">National Library of Medicine. </w:t>
      </w:r>
      <w:r w:rsidRPr="007214E1">
        <w:rPr>
          <w:rFonts w:ascii="Book Antiqua" w:hAnsi="Book Antiqua"/>
        </w:rPr>
        <w:t>Available from: https://Clin</w:t>
      </w:r>
      <w:r w:rsidR="0044142A" w:rsidRPr="007214E1">
        <w:rPr>
          <w:rFonts w:ascii="Book Antiqua" w:hAnsi="Book Antiqua"/>
        </w:rPr>
        <w:t>icalTrials.gov/show/NCT03778957</w:t>
      </w:r>
    </w:p>
    <w:p w14:paraId="675368C1"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100 </w:t>
      </w:r>
      <w:proofErr w:type="spellStart"/>
      <w:r w:rsidRPr="007214E1">
        <w:rPr>
          <w:rFonts w:ascii="Book Antiqua" w:hAnsi="Book Antiqua"/>
          <w:b/>
        </w:rPr>
        <w:t>Kalbasi</w:t>
      </w:r>
      <w:proofErr w:type="spellEnd"/>
      <w:r w:rsidRPr="007214E1">
        <w:rPr>
          <w:rFonts w:ascii="Book Antiqua" w:hAnsi="Book Antiqua"/>
          <w:b/>
        </w:rPr>
        <w:t xml:space="preserve"> </w:t>
      </w:r>
      <w:proofErr w:type="gramStart"/>
      <w:r w:rsidRPr="007214E1">
        <w:rPr>
          <w:rFonts w:ascii="Book Antiqua" w:hAnsi="Book Antiqua"/>
          <w:b/>
        </w:rPr>
        <w:t>A</w:t>
      </w:r>
      <w:proofErr w:type="gramEnd"/>
      <w:r w:rsidRPr="007214E1">
        <w:rPr>
          <w:rFonts w:ascii="Book Antiqua" w:hAnsi="Book Antiqua"/>
        </w:rPr>
        <w:t xml:space="preserve">, June CH, Haas N, </w:t>
      </w:r>
      <w:proofErr w:type="spellStart"/>
      <w:r w:rsidRPr="007214E1">
        <w:rPr>
          <w:rFonts w:ascii="Book Antiqua" w:hAnsi="Book Antiqua"/>
        </w:rPr>
        <w:t>Vapiwala</w:t>
      </w:r>
      <w:proofErr w:type="spellEnd"/>
      <w:r w:rsidRPr="007214E1">
        <w:rPr>
          <w:rFonts w:ascii="Book Antiqua" w:hAnsi="Book Antiqua"/>
        </w:rPr>
        <w:t xml:space="preserve"> N. Radiation and immunotherapy: a synergistic combination. </w:t>
      </w:r>
      <w:r w:rsidRPr="007214E1">
        <w:rPr>
          <w:rFonts w:ascii="Book Antiqua" w:hAnsi="Book Antiqua"/>
          <w:i/>
        </w:rPr>
        <w:t>J Clin Invest</w:t>
      </w:r>
      <w:r w:rsidRPr="007214E1">
        <w:rPr>
          <w:rFonts w:ascii="Book Antiqua" w:hAnsi="Book Antiqua"/>
        </w:rPr>
        <w:t xml:space="preserve"> 2013; </w:t>
      </w:r>
      <w:r w:rsidRPr="007214E1">
        <w:rPr>
          <w:rFonts w:ascii="Book Antiqua" w:hAnsi="Book Antiqua"/>
          <w:b/>
        </w:rPr>
        <w:t>123</w:t>
      </w:r>
      <w:r w:rsidRPr="007214E1">
        <w:rPr>
          <w:rFonts w:ascii="Book Antiqua" w:hAnsi="Book Antiqua"/>
        </w:rPr>
        <w:t>: 2756-2763 [PMID: 23863633 DOI: 10.1172/JCI69219]</w:t>
      </w:r>
    </w:p>
    <w:p w14:paraId="05E6AC74"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101 </w:t>
      </w:r>
      <w:proofErr w:type="spellStart"/>
      <w:r w:rsidRPr="007214E1">
        <w:rPr>
          <w:rFonts w:ascii="Book Antiqua" w:hAnsi="Book Antiqua"/>
          <w:b/>
        </w:rPr>
        <w:t>Lugade</w:t>
      </w:r>
      <w:proofErr w:type="spellEnd"/>
      <w:r w:rsidRPr="007214E1">
        <w:rPr>
          <w:rFonts w:ascii="Book Antiqua" w:hAnsi="Book Antiqua"/>
          <w:b/>
        </w:rPr>
        <w:t xml:space="preserve"> AA</w:t>
      </w:r>
      <w:r w:rsidRPr="007214E1">
        <w:rPr>
          <w:rFonts w:ascii="Book Antiqua" w:hAnsi="Book Antiqua"/>
        </w:rPr>
        <w:t xml:space="preserve">, Moran JP, Gerber SA, Rose RC, </w:t>
      </w:r>
      <w:proofErr w:type="spellStart"/>
      <w:r w:rsidRPr="007214E1">
        <w:rPr>
          <w:rFonts w:ascii="Book Antiqua" w:hAnsi="Book Antiqua"/>
        </w:rPr>
        <w:t>Frelinger</w:t>
      </w:r>
      <w:proofErr w:type="spellEnd"/>
      <w:r w:rsidRPr="007214E1">
        <w:rPr>
          <w:rFonts w:ascii="Book Antiqua" w:hAnsi="Book Antiqua"/>
        </w:rPr>
        <w:t xml:space="preserve"> JG, Lord EM. Local radiation therapy of B16 melanoma tumors increases the generation of tumor antigen-specific effector cells that traffic to the tumor. </w:t>
      </w:r>
      <w:r w:rsidRPr="007214E1">
        <w:rPr>
          <w:rFonts w:ascii="Book Antiqua" w:hAnsi="Book Antiqua"/>
          <w:i/>
        </w:rPr>
        <w:t>J Immunol</w:t>
      </w:r>
      <w:r w:rsidRPr="007214E1">
        <w:rPr>
          <w:rFonts w:ascii="Book Antiqua" w:hAnsi="Book Antiqua"/>
        </w:rPr>
        <w:t xml:space="preserve"> 2005; </w:t>
      </w:r>
      <w:r w:rsidRPr="007214E1">
        <w:rPr>
          <w:rFonts w:ascii="Book Antiqua" w:hAnsi="Book Antiqua"/>
          <w:b/>
        </w:rPr>
        <w:t>174</w:t>
      </w:r>
      <w:r w:rsidRPr="007214E1">
        <w:rPr>
          <w:rFonts w:ascii="Book Antiqua" w:hAnsi="Book Antiqua"/>
        </w:rPr>
        <w:t>: 7516-7523 [PMID: 15944250 DOI: 10.4049/jimmunol.174.12.7516]</w:t>
      </w:r>
    </w:p>
    <w:p w14:paraId="7D7286AC"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lastRenderedPageBreak/>
        <w:t xml:space="preserve">102 </w:t>
      </w:r>
      <w:r w:rsidRPr="007214E1">
        <w:rPr>
          <w:rFonts w:ascii="Book Antiqua" w:hAnsi="Book Antiqua"/>
          <w:b/>
        </w:rPr>
        <w:t>Park B</w:t>
      </w:r>
      <w:r w:rsidRPr="007214E1">
        <w:rPr>
          <w:rFonts w:ascii="Book Antiqua" w:hAnsi="Book Antiqua"/>
        </w:rPr>
        <w:t xml:space="preserve">, Yee C, Lee KM. The effect of radiation on the immune response to cancers. </w:t>
      </w:r>
      <w:r w:rsidRPr="007214E1">
        <w:rPr>
          <w:rFonts w:ascii="Book Antiqua" w:hAnsi="Book Antiqua"/>
          <w:i/>
        </w:rPr>
        <w:t>Int J Mol Sci</w:t>
      </w:r>
      <w:r w:rsidRPr="007214E1">
        <w:rPr>
          <w:rFonts w:ascii="Book Antiqua" w:hAnsi="Book Antiqua"/>
        </w:rPr>
        <w:t xml:space="preserve"> 2014; </w:t>
      </w:r>
      <w:r w:rsidRPr="007214E1">
        <w:rPr>
          <w:rFonts w:ascii="Book Antiqua" w:hAnsi="Book Antiqua"/>
          <w:b/>
        </w:rPr>
        <w:t>15</w:t>
      </w:r>
      <w:r w:rsidRPr="007214E1">
        <w:rPr>
          <w:rFonts w:ascii="Book Antiqua" w:hAnsi="Book Antiqua"/>
        </w:rPr>
        <w:t>: 927-943 [PMID: 24434638 DOI: 10.3390/ijms15010927]</w:t>
      </w:r>
    </w:p>
    <w:p w14:paraId="2DA57EF4"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103 </w:t>
      </w:r>
      <w:proofErr w:type="spellStart"/>
      <w:r w:rsidRPr="007214E1">
        <w:rPr>
          <w:rFonts w:ascii="Book Antiqua" w:hAnsi="Book Antiqua"/>
          <w:b/>
        </w:rPr>
        <w:t>Reits</w:t>
      </w:r>
      <w:proofErr w:type="spellEnd"/>
      <w:r w:rsidRPr="007214E1">
        <w:rPr>
          <w:rFonts w:ascii="Book Antiqua" w:hAnsi="Book Antiqua"/>
          <w:b/>
        </w:rPr>
        <w:t xml:space="preserve"> EA</w:t>
      </w:r>
      <w:r w:rsidRPr="007214E1">
        <w:rPr>
          <w:rFonts w:ascii="Book Antiqua" w:hAnsi="Book Antiqua"/>
        </w:rPr>
        <w:t xml:space="preserve">, Hodge JW, </w:t>
      </w:r>
      <w:proofErr w:type="spellStart"/>
      <w:r w:rsidRPr="007214E1">
        <w:rPr>
          <w:rFonts w:ascii="Book Antiqua" w:hAnsi="Book Antiqua"/>
        </w:rPr>
        <w:t>Herberts</w:t>
      </w:r>
      <w:proofErr w:type="spellEnd"/>
      <w:r w:rsidRPr="007214E1">
        <w:rPr>
          <w:rFonts w:ascii="Book Antiqua" w:hAnsi="Book Antiqua"/>
        </w:rPr>
        <w:t xml:space="preserve"> CA, </w:t>
      </w:r>
      <w:proofErr w:type="spellStart"/>
      <w:r w:rsidRPr="007214E1">
        <w:rPr>
          <w:rFonts w:ascii="Book Antiqua" w:hAnsi="Book Antiqua"/>
        </w:rPr>
        <w:t>Groothuis</w:t>
      </w:r>
      <w:proofErr w:type="spellEnd"/>
      <w:r w:rsidRPr="007214E1">
        <w:rPr>
          <w:rFonts w:ascii="Book Antiqua" w:hAnsi="Book Antiqua"/>
        </w:rPr>
        <w:t xml:space="preserve"> TA, </w:t>
      </w:r>
      <w:proofErr w:type="spellStart"/>
      <w:r w:rsidRPr="007214E1">
        <w:rPr>
          <w:rFonts w:ascii="Book Antiqua" w:hAnsi="Book Antiqua"/>
        </w:rPr>
        <w:t>Chakraborty</w:t>
      </w:r>
      <w:proofErr w:type="spellEnd"/>
      <w:r w:rsidRPr="007214E1">
        <w:rPr>
          <w:rFonts w:ascii="Book Antiqua" w:hAnsi="Book Antiqua"/>
        </w:rPr>
        <w:t xml:space="preserve"> M, </w:t>
      </w:r>
      <w:proofErr w:type="spellStart"/>
      <w:r w:rsidRPr="007214E1">
        <w:rPr>
          <w:rFonts w:ascii="Book Antiqua" w:hAnsi="Book Antiqua"/>
        </w:rPr>
        <w:t>Wansley</w:t>
      </w:r>
      <w:proofErr w:type="spellEnd"/>
      <w:r w:rsidRPr="007214E1">
        <w:rPr>
          <w:rFonts w:ascii="Book Antiqua" w:hAnsi="Book Antiqua"/>
        </w:rPr>
        <w:t xml:space="preserve"> EK, </w:t>
      </w:r>
      <w:proofErr w:type="spellStart"/>
      <w:r w:rsidRPr="007214E1">
        <w:rPr>
          <w:rFonts w:ascii="Book Antiqua" w:hAnsi="Book Antiqua"/>
        </w:rPr>
        <w:t>Camphausen</w:t>
      </w:r>
      <w:proofErr w:type="spellEnd"/>
      <w:r w:rsidRPr="007214E1">
        <w:rPr>
          <w:rFonts w:ascii="Book Antiqua" w:hAnsi="Book Antiqua"/>
        </w:rPr>
        <w:t xml:space="preserve"> K, </w:t>
      </w:r>
      <w:proofErr w:type="spellStart"/>
      <w:r w:rsidRPr="007214E1">
        <w:rPr>
          <w:rFonts w:ascii="Book Antiqua" w:hAnsi="Book Antiqua"/>
        </w:rPr>
        <w:t>Luiten</w:t>
      </w:r>
      <w:proofErr w:type="spellEnd"/>
      <w:r w:rsidRPr="007214E1">
        <w:rPr>
          <w:rFonts w:ascii="Book Antiqua" w:hAnsi="Book Antiqua"/>
        </w:rPr>
        <w:t xml:space="preserve"> RM, de </w:t>
      </w:r>
      <w:proofErr w:type="spellStart"/>
      <w:r w:rsidRPr="007214E1">
        <w:rPr>
          <w:rFonts w:ascii="Book Antiqua" w:hAnsi="Book Antiqua"/>
        </w:rPr>
        <w:t>Ru</w:t>
      </w:r>
      <w:proofErr w:type="spellEnd"/>
      <w:r w:rsidRPr="007214E1">
        <w:rPr>
          <w:rFonts w:ascii="Book Antiqua" w:hAnsi="Book Antiqua"/>
        </w:rPr>
        <w:t xml:space="preserve"> AH, </w:t>
      </w:r>
      <w:proofErr w:type="spellStart"/>
      <w:r w:rsidRPr="007214E1">
        <w:rPr>
          <w:rFonts w:ascii="Book Antiqua" w:hAnsi="Book Antiqua"/>
        </w:rPr>
        <w:t>Neijssen</w:t>
      </w:r>
      <w:proofErr w:type="spellEnd"/>
      <w:r w:rsidRPr="007214E1">
        <w:rPr>
          <w:rFonts w:ascii="Book Antiqua" w:hAnsi="Book Antiqua"/>
        </w:rPr>
        <w:t xml:space="preserve"> J, </w:t>
      </w:r>
      <w:proofErr w:type="spellStart"/>
      <w:r w:rsidRPr="007214E1">
        <w:rPr>
          <w:rFonts w:ascii="Book Antiqua" w:hAnsi="Book Antiqua"/>
        </w:rPr>
        <w:t>Griekspoor</w:t>
      </w:r>
      <w:proofErr w:type="spellEnd"/>
      <w:r w:rsidRPr="007214E1">
        <w:rPr>
          <w:rFonts w:ascii="Book Antiqua" w:hAnsi="Book Antiqua"/>
        </w:rPr>
        <w:t xml:space="preserve"> A, </w:t>
      </w:r>
      <w:proofErr w:type="spellStart"/>
      <w:r w:rsidRPr="007214E1">
        <w:rPr>
          <w:rFonts w:ascii="Book Antiqua" w:hAnsi="Book Antiqua"/>
        </w:rPr>
        <w:t>Mesman</w:t>
      </w:r>
      <w:proofErr w:type="spellEnd"/>
      <w:r w:rsidRPr="007214E1">
        <w:rPr>
          <w:rFonts w:ascii="Book Antiqua" w:hAnsi="Book Antiqua"/>
        </w:rPr>
        <w:t xml:space="preserve"> E, </w:t>
      </w:r>
      <w:proofErr w:type="spellStart"/>
      <w:r w:rsidRPr="007214E1">
        <w:rPr>
          <w:rFonts w:ascii="Book Antiqua" w:hAnsi="Book Antiqua"/>
        </w:rPr>
        <w:t>Verreck</w:t>
      </w:r>
      <w:proofErr w:type="spellEnd"/>
      <w:r w:rsidRPr="007214E1">
        <w:rPr>
          <w:rFonts w:ascii="Book Antiqua" w:hAnsi="Book Antiqua"/>
        </w:rPr>
        <w:t xml:space="preserve"> FA, Spits H, </w:t>
      </w:r>
      <w:proofErr w:type="spellStart"/>
      <w:r w:rsidRPr="007214E1">
        <w:rPr>
          <w:rFonts w:ascii="Book Antiqua" w:hAnsi="Book Antiqua"/>
        </w:rPr>
        <w:t>Schlom</w:t>
      </w:r>
      <w:proofErr w:type="spellEnd"/>
      <w:r w:rsidRPr="007214E1">
        <w:rPr>
          <w:rFonts w:ascii="Book Antiqua" w:hAnsi="Book Antiqua"/>
        </w:rPr>
        <w:t xml:space="preserve"> J, van </w:t>
      </w:r>
      <w:proofErr w:type="spellStart"/>
      <w:r w:rsidRPr="007214E1">
        <w:rPr>
          <w:rFonts w:ascii="Book Antiqua" w:hAnsi="Book Antiqua"/>
        </w:rPr>
        <w:t>Veelen</w:t>
      </w:r>
      <w:proofErr w:type="spellEnd"/>
      <w:r w:rsidRPr="007214E1">
        <w:rPr>
          <w:rFonts w:ascii="Book Antiqua" w:hAnsi="Book Antiqua"/>
        </w:rPr>
        <w:t xml:space="preserve"> P, </w:t>
      </w:r>
      <w:proofErr w:type="spellStart"/>
      <w:r w:rsidRPr="007214E1">
        <w:rPr>
          <w:rFonts w:ascii="Book Antiqua" w:hAnsi="Book Antiqua"/>
        </w:rPr>
        <w:t>Neefjes</w:t>
      </w:r>
      <w:proofErr w:type="spellEnd"/>
      <w:r w:rsidRPr="007214E1">
        <w:rPr>
          <w:rFonts w:ascii="Book Antiqua" w:hAnsi="Book Antiqua"/>
        </w:rPr>
        <w:t xml:space="preserve"> JJ. Radiation modulates the peptide repertoire, enhances MHC class I expression, and induces successful antitumor immunotherapy. </w:t>
      </w:r>
      <w:r w:rsidRPr="007214E1">
        <w:rPr>
          <w:rFonts w:ascii="Book Antiqua" w:hAnsi="Book Antiqua"/>
          <w:i/>
        </w:rPr>
        <w:t>J Exp Med</w:t>
      </w:r>
      <w:r w:rsidRPr="007214E1">
        <w:rPr>
          <w:rFonts w:ascii="Book Antiqua" w:hAnsi="Book Antiqua"/>
        </w:rPr>
        <w:t xml:space="preserve"> 2006; </w:t>
      </w:r>
      <w:r w:rsidRPr="007214E1">
        <w:rPr>
          <w:rFonts w:ascii="Book Antiqua" w:hAnsi="Book Antiqua"/>
          <w:b/>
        </w:rPr>
        <w:t>203</w:t>
      </w:r>
      <w:r w:rsidRPr="007214E1">
        <w:rPr>
          <w:rFonts w:ascii="Book Antiqua" w:hAnsi="Book Antiqua"/>
        </w:rPr>
        <w:t>: 1259-1271 [PMID: 16636135 DOI: 10.1084/jem.20052494]</w:t>
      </w:r>
    </w:p>
    <w:p w14:paraId="410423E4"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104 </w:t>
      </w:r>
      <w:r w:rsidRPr="007214E1">
        <w:rPr>
          <w:rFonts w:ascii="Book Antiqua" w:hAnsi="Book Antiqua"/>
          <w:b/>
        </w:rPr>
        <w:t>Sapir E</w:t>
      </w:r>
      <w:r w:rsidRPr="007214E1">
        <w:rPr>
          <w:rFonts w:ascii="Book Antiqua" w:hAnsi="Book Antiqua"/>
        </w:rPr>
        <w:t xml:space="preserve">, Tao Y, </w:t>
      </w:r>
      <w:proofErr w:type="spellStart"/>
      <w:r w:rsidRPr="007214E1">
        <w:rPr>
          <w:rFonts w:ascii="Book Antiqua" w:hAnsi="Book Antiqua"/>
        </w:rPr>
        <w:t>Schipper</w:t>
      </w:r>
      <w:proofErr w:type="spellEnd"/>
      <w:r w:rsidRPr="007214E1">
        <w:rPr>
          <w:rFonts w:ascii="Book Antiqua" w:hAnsi="Book Antiqua"/>
        </w:rPr>
        <w:t xml:space="preserve"> MJ, </w:t>
      </w:r>
      <w:proofErr w:type="spellStart"/>
      <w:r w:rsidRPr="007214E1">
        <w:rPr>
          <w:rFonts w:ascii="Book Antiqua" w:hAnsi="Book Antiqua"/>
        </w:rPr>
        <w:t>Bazzi</w:t>
      </w:r>
      <w:proofErr w:type="spellEnd"/>
      <w:r w:rsidRPr="007214E1">
        <w:rPr>
          <w:rFonts w:ascii="Book Antiqua" w:hAnsi="Book Antiqua"/>
        </w:rPr>
        <w:t xml:space="preserve"> L, </w:t>
      </w:r>
      <w:proofErr w:type="spellStart"/>
      <w:r w:rsidRPr="007214E1">
        <w:rPr>
          <w:rFonts w:ascii="Book Antiqua" w:hAnsi="Book Antiqua"/>
        </w:rPr>
        <w:t>Novelli</w:t>
      </w:r>
      <w:proofErr w:type="spellEnd"/>
      <w:r w:rsidRPr="007214E1">
        <w:rPr>
          <w:rFonts w:ascii="Book Antiqua" w:hAnsi="Book Antiqua"/>
        </w:rPr>
        <w:t xml:space="preserve"> PM, Devlin P, Owen D, Cuneo KC, Lawrence TS, Parikh ND, Feng M. Stereotactic Body Radiation Therapy as an Alternative to </w:t>
      </w:r>
      <w:proofErr w:type="spellStart"/>
      <w:r w:rsidRPr="007214E1">
        <w:rPr>
          <w:rFonts w:ascii="Book Antiqua" w:hAnsi="Book Antiqua"/>
        </w:rPr>
        <w:t>Transarterial</w:t>
      </w:r>
      <w:proofErr w:type="spellEnd"/>
      <w:r w:rsidRPr="007214E1">
        <w:rPr>
          <w:rFonts w:ascii="Book Antiqua" w:hAnsi="Book Antiqua"/>
        </w:rPr>
        <w:t xml:space="preserve"> Chemoembolization for Hepatocellular Carcinoma. </w:t>
      </w:r>
      <w:proofErr w:type="spellStart"/>
      <w:r w:rsidRPr="007214E1">
        <w:rPr>
          <w:rFonts w:ascii="Book Antiqua" w:hAnsi="Book Antiqua"/>
          <w:i/>
        </w:rPr>
        <w:t>Int</w:t>
      </w:r>
      <w:proofErr w:type="spellEnd"/>
      <w:r w:rsidRPr="007214E1">
        <w:rPr>
          <w:rFonts w:ascii="Book Antiqua" w:hAnsi="Book Antiqua"/>
          <w:i/>
        </w:rPr>
        <w:t xml:space="preserve"> J </w:t>
      </w:r>
      <w:proofErr w:type="spellStart"/>
      <w:r w:rsidRPr="007214E1">
        <w:rPr>
          <w:rFonts w:ascii="Book Antiqua" w:hAnsi="Book Antiqua"/>
          <w:i/>
        </w:rPr>
        <w:t>Radiat</w:t>
      </w:r>
      <w:proofErr w:type="spellEnd"/>
      <w:r w:rsidRPr="007214E1">
        <w:rPr>
          <w:rFonts w:ascii="Book Antiqua" w:hAnsi="Book Antiqua"/>
          <w:i/>
        </w:rPr>
        <w:t xml:space="preserve"> </w:t>
      </w:r>
      <w:proofErr w:type="spellStart"/>
      <w:r w:rsidRPr="007214E1">
        <w:rPr>
          <w:rFonts w:ascii="Book Antiqua" w:hAnsi="Book Antiqua"/>
          <w:i/>
        </w:rPr>
        <w:t>Oncol</w:t>
      </w:r>
      <w:proofErr w:type="spellEnd"/>
      <w:r w:rsidRPr="007214E1">
        <w:rPr>
          <w:rFonts w:ascii="Book Antiqua" w:hAnsi="Book Antiqua"/>
          <w:i/>
        </w:rPr>
        <w:t xml:space="preserve"> </w:t>
      </w:r>
      <w:proofErr w:type="spellStart"/>
      <w:r w:rsidRPr="007214E1">
        <w:rPr>
          <w:rFonts w:ascii="Book Antiqua" w:hAnsi="Book Antiqua"/>
          <w:i/>
        </w:rPr>
        <w:t>Biol</w:t>
      </w:r>
      <w:proofErr w:type="spellEnd"/>
      <w:r w:rsidRPr="007214E1">
        <w:rPr>
          <w:rFonts w:ascii="Book Antiqua" w:hAnsi="Book Antiqua"/>
          <w:i/>
        </w:rPr>
        <w:t xml:space="preserve"> </w:t>
      </w:r>
      <w:proofErr w:type="spellStart"/>
      <w:r w:rsidRPr="007214E1">
        <w:rPr>
          <w:rFonts w:ascii="Book Antiqua" w:hAnsi="Book Antiqua"/>
          <w:i/>
        </w:rPr>
        <w:t>Phys</w:t>
      </w:r>
      <w:proofErr w:type="spellEnd"/>
      <w:r w:rsidRPr="007214E1">
        <w:rPr>
          <w:rFonts w:ascii="Book Antiqua" w:hAnsi="Book Antiqua"/>
        </w:rPr>
        <w:t xml:space="preserve"> 2018; </w:t>
      </w:r>
      <w:r w:rsidRPr="007214E1">
        <w:rPr>
          <w:rFonts w:ascii="Book Antiqua" w:hAnsi="Book Antiqua"/>
          <w:b/>
        </w:rPr>
        <w:t>100</w:t>
      </w:r>
      <w:r w:rsidRPr="007214E1">
        <w:rPr>
          <w:rFonts w:ascii="Book Antiqua" w:hAnsi="Book Antiqua"/>
        </w:rPr>
        <w:t>: 122-130 [PMID: 29066120 DOI: 10.1016/j.ijrobp.2017.09.001]</w:t>
      </w:r>
    </w:p>
    <w:p w14:paraId="56E1C615" w14:textId="14804655"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105 </w:t>
      </w:r>
      <w:r w:rsidRPr="007214E1">
        <w:rPr>
          <w:rFonts w:ascii="Book Antiqua" w:hAnsi="Book Antiqua"/>
          <w:b/>
        </w:rPr>
        <w:t xml:space="preserve">University of Chicago. </w:t>
      </w:r>
      <w:r w:rsidRPr="007214E1">
        <w:rPr>
          <w:rFonts w:ascii="Book Antiqua" w:hAnsi="Book Antiqua"/>
        </w:rPr>
        <w:t>Stereotactic Body Radiotherapy (SBRT) Followed by Immunotherapy in Liver Cancer. In: ClinicalTrials.gov [Internet]. Bethesda (MD): U.S. National Library of Medicine. Available from: https://ClinicalTrials.gov/show/NCT03203304.</w:t>
      </w:r>
      <w:r w:rsidR="00354FFA" w:rsidRPr="007214E1">
        <w:rPr>
          <w:rFonts w:ascii="Book Antiqua" w:hAnsi="Book Antiqua"/>
        </w:rPr>
        <w:t xml:space="preserve"> ClinicalTrials.gov Identifier:</w:t>
      </w:r>
      <w:r w:rsidRPr="007214E1">
        <w:rPr>
          <w:rFonts w:ascii="Book Antiqua" w:hAnsi="Book Antiqua"/>
        </w:rPr>
        <w:t xml:space="preserve"> NCT03203304</w:t>
      </w:r>
    </w:p>
    <w:p w14:paraId="2E78EED1" w14:textId="7FC73F64"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106 </w:t>
      </w:r>
      <w:r w:rsidRPr="007214E1">
        <w:rPr>
          <w:rFonts w:ascii="Book Antiqua" w:hAnsi="Book Antiqua"/>
          <w:b/>
        </w:rPr>
        <w:t xml:space="preserve">Massachusetts General Hospital. </w:t>
      </w:r>
      <w:proofErr w:type="spellStart"/>
      <w:r w:rsidRPr="007214E1">
        <w:rPr>
          <w:rFonts w:ascii="Book Antiqua" w:hAnsi="Book Antiqua"/>
        </w:rPr>
        <w:t>Durvalumab</w:t>
      </w:r>
      <w:proofErr w:type="spellEnd"/>
      <w:r w:rsidRPr="007214E1">
        <w:rPr>
          <w:rFonts w:ascii="Book Antiqua" w:hAnsi="Book Antiqua"/>
        </w:rPr>
        <w:t xml:space="preserve"> (MEDI4736) and </w:t>
      </w:r>
      <w:proofErr w:type="spellStart"/>
      <w:r w:rsidRPr="007214E1">
        <w:rPr>
          <w:rFonts w:ascii="Book Antiqua" w:hAnsi="Book Antiqua"/>
        </w:rPr>
        <w:t>Tremelimumab</w:t>
      </w:r>
      <w:proofErr w:type="spellEnd"/>
      <w:r w:rsidRPr="007214E1">
        <w:rPr>
          <w:rFonts w:ascii="Book Antiqua" w:hAnsi="Book Antiqua"/>
        </w:rPr>
        <w:t xml:space="preserve"> and Radiation Therapy in Hepatocellular Carcinoma and Biliary Tract Cancer.</w:t>
      </w:r>
      <w:r w:rsidR="00557080" w:rsidRPr="007214E1">
        <w:rPr>
          <w:rFonts w:ascii="Book Antiqua" w:hAnsi="Book Antiqua"/>
        </w:rPr>
        <w:t xml:space="preserve"> </w:t>
      </w:r>
      <w:r w:rsidRPr="007214E1">
        <w:rPr>
          <w:rFonts w:ascii="Book Antiqua" w:hAnsi="Book Antiqua"/>
        </w:rPr>
        <w:t>In: ClinicalTrials.gov [Internet]. Bethesda (MD): U.S.</w:t>
      </w:r>
      <w:r w:rsidR="00354FFA" w:rsidRPr="007214E1">
        <w:rPr>
          <w:rFonts w:ascii="Book Antiqua" w:hAnsi="Book Antiqua"/>
        </w:rPr>
        <w:t xml:space="preserve"> National Library of Medicine. </w:t>
      </w:r>
      <w:r w:rsidRPr="007214E1">
        <w:rPr>
          <w:rFonts w:ascii="Book Antiqua" w:hAnsi="Book Antiqua"/>
        </w:rPr>
        <w:t>Available from: https://ClinicalTrials.gov/show/NCT03482102</w:t>
      </w:r>
    </w:p>
    <w:p w14:paraId="706EA3EF" w14:textId="294102BB"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107 </w:t>
      </w:r>
      <w:r w:rsidRPr="007214E1">
        <w:rPr>
          <w:rFonts w:ascii="Book Antiqua" w:hAnsi="Book Antiqua"/>
          <w:b/>
        </w:rPr>
        <w:t xml:space="preserve">University Health Network T. </w:t>
      </w:r>
      <w:r w:rsidRPr="007214E1">
        <w:rPr>
          <w:rFonts w:ascii="Book Antiqua" w:hAnsi="Book Antiqua"/>
        </w:rPr>
        <w:t>Study of Pembrolizumab and Radiotherapy in Liver Cancer.</w:t>
      </w:r>
      <w:r w:rsidR="00557080" w:rsidRPr="007214E1">
        <w:rPr>
          <w:rFonts w:ascii="Book Antiqua" w:hAnsi="Book Antiqua"/>
        </w:rPr>
        <w:t xml:space="preserve"> </w:t>
      </w:r>
      <w:r w:rsidRPr="007214E1">
        <w:rPr>
          <w:rFonts w:ascii="Book Antiqua" w:hAnsi="Book Antiqua"/>
        </w:rPr>
        <w:t>In: ClinicalTrials.gov [Internet]. Bethesda (MD): U.S.</w:t>
      </w:r>
      <w:r w:rsidR="00557080" w:rsidRPr="007214E1">
        <w:rPr>
          <w:rFonts w:ascii="Book Antiqua" w:hAnsi="Book Antiqua"/>
        </w:rPr>
        <w:t xml:space="preserve"> National Library of Medicine. </w:t>
      </w:r>
      <w:r w:rsidRPr="007214E1">
        <w:rPr>
          <w:rFonts w:ascii="Book Antiqua" w:hAnsi="Book Antiqua"/>
        </w:rPr>
        <w:t>Available from: https://Clin</w:t>
      </w:r>
      <w:r w:rsidR="00557080" w:rsidRPr="007214E1">
        <w:rPr>
          <w:rFonts w:ascii="Book Antiqua" w:hAnsi="Book Antiqua"/>
        </w:rPr>
        <w:t>icalTrials.gov/show/NCT03316872</w:t>
      </w:r>
    </w:p>
    <w:p w14:paraId="5F940A1F"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lastRenderedPageBreak/>
        <w:t xml:space="preserve">108 </w:t>
      </w:r>
      <w:r w:rsidRPr="007214E1">
        <w:rPr>
          <w:rFonts w:ascii="Book Antiqua" w:hAnsi="Book Antiqua"/>
          <w:b/>
        </w:rPr>
        <w:t>Demaria S</w:t>
      </w:r>
      <w:r w:rsidRPr="007214E1">
        <w:rPr>
          <w:rFonts w:ascii="Book Antiqua" w:hAnsi="Book Antiqua"/>
        </w:rPr>
        <w:t xml:space="preserve">, Coleman CN, </w:t>
      </w:r>
      <w:proofErr w:type="spellStart"/>
      <w:r w:rsidRPr="007214E1">
        <w:rPr>
          <w:rFonts w:ascii="Book Antiqua" w:hAnsi="Book Antiqua"/>
        </w:rPr>
        <w:t>Formenti</w:t>
      </w:r>
      <w:proofErr w:type="spellEnd"/>
      <w:r w:rsidRPr="007214E1">
        <w:rPr>
          <w:rFonts w:ascii="Book Antiqua" w:hAnsi="Book Antiqua"/>
        </w:rPr>
        <w:t xml:space="preserve"> SC. Radiotherapy: Changing the Game in Immunotherapy. </w:t>
      </w:r>
      <w:r w:rsidRPr="007214E1">
        <w:rPr>
          <w:rFonts w:ascii="Book Antiqua" w:hAnsi="Book Antiqua"/>
          <w:i/>
        </w:rPr>
        <w:t>Trends Cancer</w:t>
      </w:r>
      <w:r w:rsidRPr="007214E1">
        <w:rPr>
          <w:rFonts w:ascii="Book Antiqua" w:hAnsi="Book Antiqua"/>
        </w:rPr>
        <w:t xml:space="preserve"> 2016; </w:t>
      </w:r>
      <w:r w:rsidRPr="007214E1">
        <w:rPr>
          <w:rFonts w:ascii="Book Antiqua" w:hAnsi="Book Antiqua"/>
          <w:b/>
        </w:rPr>
        <w:t>2</w:t>
      </w:r>
      <w:r w:rsidRPr="007214E1">
        <w:rPr>
          <w:rFonts w:ascii="Book Antiqua" w:hAnsi="Book Antiqua"/>
        </w:rPr>
        <w:t>: 286-294 [PMID: 27774519 DOI: 10.1016/j.trecan.2016.05.002]</w:t>
      </w:r>
    </w:p>
    <w:p w14:paraId="4D5542AB" w14:textId="6EC431BB"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109 </w:t>
      </w:r>
      <w:proofErr w:type="spellStart"/>
      <w:r w:rsidRPr="007214E1">
        <w:rPr>
          <w:rFonts w:ascii="Book Antiqua" w:hAnsi="Book Antiqua"/>
          <w:b/>
        </w:rPr>
        <w:t>Phosplatin</w:t>
      </w:r>
      <w:proofErr w:type="spellEnd"/>
      <w:r w:rsidRPr="007214E1">
        <w:rPr>
          <w:rFonts w:ascii="Book Antiqua" w:hAnsi="Book Antiqua"/>
          <w:b/>
        </w:rPr>
        <w:t xml:space="preserve"> Therapeut</w:t>
      </w:r>
      <w:r w:rsidR="00557080" w:rsidRPr="007214E1">
        <w:rPr>
          <w:rFonts w:ascii="Book Antiqua" w:hAnsi="Book Antiqua"/>
          <w:b/>
        </w:rPr>
        <w:t xml:space="preserve">ics. </w:t>
      </w:r>
      <w:r w:rsidRPr="007214E1">
        <w:rPr>
          <w:rFonts w:ascii="Book Antiqua" w:hAnsi="Book Antiqua"/>
        </w:rPr>
        <w:t>About</w:t>
      </w:r>
      <w:r w:rsidR="00557080" w:rsidRPr="007214E1">
        <w:rPr>
          <w:rFonts w:ascii="Book Antiqua" w:hAnsi="Book Antiqua"/>
        </w:rPr>
        <w:t xml:space="preserve"> </w:t>
      </w:r>
      <w:proofErr w:type="spellStart"/>
      <w:r w:rsidR="00557080" w:rsidRPr="007214E1">
        <w:rPr>
          <w:rFonts w:ascii="Book Antiqua" w:hAnsi="Book Antiqua"/>
        </w:rPr>
        <w:t>Phosplatin</w:t>
      </w:r>
      <w:proofErr w:type="spellEnd"/>
      <w:r w:rsidR="00557080" w:rsidRPr="007214E1">
        <w:rPr>
          <w:rFonts w:ascii="Book Antiqua" w:hAnsi="Book Antiqua"/>
        </w:rPr>
        <w:t xml:space="preserve"> Therapeutics 2017. </w:t>
      </w:r>
      <w:r w:rsidRPr="007214E1">
        <w:rPr>
          <w:rFonts w:ascii="Book Antiqua" w:hAnsi="Book Antiqua"/>
        </w:rPr>
        <w:t xml:space="preserve">In: </w:t>
      </w:r>
      <w:proofErr w:type="spellStart"/>
      <w:r w:rsidRPr="007214E1">
        <w:rPr>
          <w:rFonts w:ascii="Book Antiqua" w:hAnsi="Book Antiqua"/>
        </w:rPr>
        <w:t>Phosp</w:t>
      </w:r>
      <w:r w:rsidR="00557080" w:rsidRPr="007214E1">
        <w:rPr>
          <w:rFonts w:ascii="Book Antiqua" w:hAnsi="Book Antiqua"/>
        </w:rPr>
        <w:t>latin</w:t>
      </w:r>
      <w:proofErr w:type="spellEnd"/>
      <w:r w:rsidR="00557080" w:rsidRPr="007214E1">
        <w:rPr>
          <w:rFonts w:ascii="Book Antiqua" w:hAnsi="Book Antiqua"/>
        </w:rPr>
        <w:t xml:space="preserve"> Therapeutics [Internet]. </w:t>
      </w:r>
      <w:r w:rsidRPr="007214E1">
        <w:rPr>
          <w:rFonts w:ascii="Book Antiqua" w:hAnsi="Book Antiqua"/>
        </w:rPr>
        <w:t xml:space="preserve">Available </w:t>
      </w:r>
      <w:r w:rsidR="00557080" w:rsidRPr="007214E1">
        <w:rPr>
          <w:rFonts w:ascii="Book Antiqua" w:hAnsi="Book Antiqua"/>
        </w:rPr>
        <w:t>at: http://phosplatin.com/about</w:t>
      </w:r>
    </w:p>
    <w:p w14:paraId="5AEB7A2E" w14:textId="17829F29"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110 </w:t>
      </w:r>
      <w:r w:rsidRPr="007214E1">
        <w:rPr>
          <w:rFonts w:ascii="Book Antiqua" w:hAnsi="Book Antiqua"/>
          <w:b/>
        </w:rPr>
        <w:t xml:space="preserve">National Cancer Institute. </w:t>
      </w:r>
      <w:r w:rsidR="00557080" w:rsidRPr="007214E1">
        <w:rPr>
          <w:rFonts w:ascii="Book Antiqua" w:hAnsi="Book Antiqua"/>
        </w:rPr>
        <w:t xml:space="preserve">NCI Drug Dictionary. </w:t>
      </w:r>
      <w:r w:rsidRPr="007214E1">
        <w:rPr>
          <w:rFonts w:ascii="Book Antiqua" w:hAnsi="Book Antiqua"/>
        </w:rPr>
        <w:t>In: National Cancer Institut</w:t>
      </w:r>
      <w:r w:rsidR="00557080" w:rsidRPr="007214E1">
        <w:rPr>
          <w:rFonts w:ascii="Book Antiqua" w:hAnsi="Book Antiqua"/>
        </w:rPr>
        <w:t xml:space="preserve">e [Internet]. </w:t>
      </w:r>
      <w:r w:rsidRPr="007214E1">
        <w:rPr>
          <w:rFonts w:ascii="Book Antiqua" w:hAnsi="Book Antiqua"/>
        </w:rPr>
        <w:t>Available at: https://www.cancer.gov/publications/dictionaries/cancer-drug/def/795706</w:t>
      </w:r>
    </w:p>
    <w:p w14:paraId="16BB0B4F" w14:textId="5E971200"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111 </w:t>
      </w:r>
      <w:proofErr w:type="spellStart"/>
      <w:r w:rsidRPr="007214E1">
        <w:rPr>
          <w:rFonts w:ascii="Book Antiqua" w:hAnsi="Book Antiqua"/>
          <w:b/>
        </w:rPr>
        <w:t>Tosi</w:t>
      </w:r>
      <w:proofErr w:type="spellEnd"/>
      <w:r w:rsidRPr="007214E1">
        <w:rPr>
          <w:rFonts w:ascii="Book Antiqua" w:hAnsi="Book Antiqua"/>
          <w:b/>
        </w:rPr>
        <w:t xml:space="preserve"> D,</w:t>
      </w:r>
      <w:r w:rsidR="00557080" w:rsidRPr="007214E1">
        <w:rPr>
          <w:rFonts w:ascii="Book Antiqua" w:hAnsi="Book Antiqua"/>
        </w:rPr>
        <w:t xml:space="preserve"> </w:t>
      </w:r>
      <w:r w:rsidRPr="007214E1">
        <w:rPr>
          <w:rFonts w:ascii="Book Antiqua" w:hAnsi="Book Antiqua"/>
        </w:rPr>
        <w:t>Perez-</w:t>
      </w:r>
      <w:proofErr w:type="spellStart"/>
      <w:r w:rsidRPr="007214E1">
        <w:rPr>
          <w:rFonts w:ascii="Book Antiqua" w:hAnsi="Book Antiqua"/>
        </w:rPr>
        <w:t>Gracia</w:t>
      </w:r>
      <w:proofErr w:type="spellEnd"/>
      <w:r w:rsidRPr="007214E1">
        <w:rPr>
          <w:rFonts w:ascii="Book Antiqua" w:hAnsi="Book Antiqua"/>
        </w:rPr>
        <w:t xml:space="preserve"> E, </w:t>
      </w:r>
      <w:proofErr w:type="spellStart"/>
      <w:r w:rsidRPr="007214E1">
        <w:rPr>
          <w:rFonts w:ascii="Book Antiqua" w:hAnsi="Book Antiqua"/>
        </w:rPr>
        <w:t>Pourquier</w:t>
      </w:r>
      <w:proofErr w:type="spellEnd"/>
      <w:r w:rsidRPr="007214E1">
        <w:rPr>
          <w:rFonts w:ascii="Book Antiqua" w:hAnsi="Book Antiqua"/>
        </w:rPr>
        <w:t xml:space="preserve"> P, Ames TD, Wing RA, </w:t>
      </w:r>
      <w:proofErr w:type="spellStart"/>
      <w:r w:rsidRPr="007214E1">
        <w:rPr>
          <w:rFonts w:ascii="Book Antiqua" w:hAnsi="Book Antiqua"/>
        </w:rPr>
        <w:t>Jimeno</w:t>
      </w:r>
      <w:proofErr w:type="spellEnd"/>
      <w:r w:rsidRPr="007214E1">
        <w:rPr>
          <w:rFonts w:ascii="Book Antiqua" w:hAnsi="Book Antiqua"/>
        </w:rPr>
        <w:t xml:space="preserve"> J, </w:t>
      </w:r>
      <w:proofErr w:type="spellStart"/>
      <w:r w:rsidRPr="007214E1">
        <w:rPr>
          <w:rFonts w:ascii="Book Antiqua" w:hAnsi="Book Antiqua"/>
        </w:rPr>
        <w:t>Gongora</w:t>
      </w:r>
      <w:proofErr w:type="spellEnd"/>
      <w:r w:rsidRPr="007214E1">
        <w:rPr>
          <w:rFonts w:ascii="Book Antiqua" w:hAnsi="Book Antiqua"/>
        </w:rPr>
        <w:t xml:space="preserve"> C. Abstract 2378: A </w:t>
      </w:r>
      <w:proofErr w:type="spellStart"/>
      <w:r w:rsidRPr="007214E1">
        <w:rPr>
          <w:rFonts w:ascii="Book Antiqua" w:hAnsi="Book Antiqua"/>
        </w:rPr>
        <w:t>kinome</w:t>
      </w:r>
      <w:proofErr w:type="spellEnd"/>
      <w:r w:rsidRPr="007214E1">
        <w:rPr>
          <w:rFonts w:ascii="Book Antiqua" w:hAnsi="Book Antiqua"/>
        </w:rPr>
        <w:t xml:space="preserve"> analysis of the molecular pharmacodynamics of PT-112 in a human cancer cell line. </w:t>
      </w:r>
      <w:r w:rsidRPr="007214E1">
        <w:rPr>
          <w:rFonts w:ascii="Book Antiqua" w:hAnsi="Book Antiqua"/>
          <w:i/>
        </w:rPr>
        <w:t>Cancer Research</w:t>
      </w:r>
      <w:r w:rsidR="00557080" w:rsidRPr="007214E1">
        <w:rPr>
          <w:rFonts w:ascii="Book Antiqua" w:hAnsi="Book Antiqua"/>
        </w:rPr>
        <w:t xml:space="preserve"> </w:t>
      </w:r>
      <w:r w:rsidRPr="007214E1">
        <w:rPr>
          <w:rFonts w:ascii="Book Antiqua" w:hAnsi="Book Antiqua"/>
        </w:rPr>
        <w:t>2017;</w:t>
      </w:r>
      <w:r w:rsidR="00557080" w:rsidRPr="007214E1">
        <w:rPr>
          <w:rFonts w:ascii="Book Antiqua" w:hAnsi="Book Antiqua"/>
        </w:rPr>
        <w:t xml:space="preserve"> </w:t>
      </w:r>
      <w:r w:rsidRPr="007214E1">
        <w:rPr>
          <w:rFonts w:ascii="Book Antiqua" w:hAnsi="Book Antiqua"/>
          <w:b/>
        </w:rPr>
        <w:t>77(13 Supplement):</w:t>
      </w:r>
      <w:r w:rsidR="00557080" w:rsidRPr="007214E1">
        <w:rPr>
          <w:rFonts w:ascii="Book Antiqua" w:hAnsi="Book Antiqua"/>
        </w:rPr>
        <w:t xml:space="preserve"> </w:t>
      </w:r>
      <w:r w:rsidRPr="007214E1">
        <w:rPr>
          <w:rFonts w:ascii="Book Antiqua" w:hAnsi="Book Antiqua"/>
        </w:rPr>
        <w:t>2378 [DOI: 10.1158/1538-7445.Am2017-2378]</w:t>
      </w:r>
    </w:p>
    <w:p w14:paraId="20AD8BF3" w14:textId="77777777"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112 </w:t>
      </w:r>
      <w:r w:rsidRPr="007214E1">
        <w:rPr>
          <w:rFonts w:ascii="Book Antiqua" w:hAnsi="Book Antiqua"/>
          <w:b/>
        </w:rPr>
        <w:t>Bose RN</w:t>
      </w:r>
      <w:r w:rsidRPr="007214E1">
        <w:rPr>
          <w:rFonts w:ascii="Book Antiqua" w:hAnsi="Book Antiqua"/>
        </w:rPr>
        <w:t xml:space="preserve">, </w:t>
      </w:r>
      <w:proofErr w:type="spellStart"/>
      <w:r w:rsidRPr="007214E1">
        <w:rPr>
          <w:rFonts w:ascii="Book Antiqua" w:hAnsi="Book Antiqua"/>
        </w:rPr>
        <w:t>Moghaddas</w:t>
      </w:r>
      <w:proofErr w:type="spellEnd"/>
      <w:r w:rsidRPr="007214E1">
        <w:rPr>
          <w:rFonts w:ascii="Book Antiqua" w:hAnsi="Book Antiqua"/>
        </w:rPr>
        <w:t xml:space="preserve"> S, </w:t>
      </w:r>
      <w:proofErr w:type="spellStart"/>
      <w:r w:rsidRPr="007214E1">
        <w:rPr>
          <w:rFonts w:ascii="Book Antiqua" w:hAnsi="Book Antiqua"/>
        </w:rPr>
        <w:t>Belkacemi</w:t>
      </w:r>
      <w:proofErr w:type="spellEnd"/>
      <w:r w:rsidRPr="007214E1">
        <w:rPr>
          <w:rFonts w:ascii="Book Antiqua" w:hAnsi="Book Antiqua"/>
        </w:rPr>
        <w:t xml:space="preserve"> L, Tripathi S, Adams NR, </w:t>
      </w:r>
      <w:proofErr w:type="spellStart"/>
      <w:r w:rsidRPr="007214E1">
        <w:rPr>
          <w:rFonts w:ascii="Book Antiqua" w:hAnsi="Book Antiqua"/>
        </w:rPr>
        <w:t>Majmudar</w:t>
      </w:r>
      <w:proofErr w:type="spellEnd"/>
      <w:r w:rsidRPr="007214E1">
        <w:rPr>
          <w:rFonts w:ascii="Book Antiqua" w:hAnsi="Book Antiqua"/>
        </w:rPr>
        <w:t xml:space="preserve"> P, McCall K, </w:t>
      </w:r>
      <w:proofErr w:type="spellStart"/>
      <w:r w:rsidRPr="007214E1">
        <w:rPr>
          <w:rFonts w:ascii="Book Antiqua" w:hAnsi="Book Antiqua"/>
        </w:rPr>
        <w:t>Dezvareh</w:t>
      </w:r>
      <w:proofErr w:type="spellEnd"/>
      <w:r w:rsidRPr="007214E1">
        <w:rPr>
          <w:rFonts w:ascii="Book Antiqua" w:hAnsi="Book Antiqua"/>
        </w:rPr>
        <w:t xml:space="preserve"> H, </w:t>
      </w:r>
      <w:proofErr w:type="spellStart"/>
      <w:r w:rsidRPr="007214E1">
        <w:rPr>
          <w:rFonts w:ascii="Book Antiqua" w:hAnsi="Book Antiqua"/>
        </w:rPr>
        <w:t>Nislow</w:t>
      </w:r>
      <w:proofErr w:type="spellEnd"/>
      <w:r w:rsidRPr="007214E1">
        <w:rPr>
          <w:rFonts w:ascii="Book Antiqua" w:hAnsi="Book Antiqua"/>
        </w:rPr>
        <w:t xml:space="preserve"> C. Absence of Activation of DNA Repair Genes and Excellent Efficacy of </w:t>
      </w:r>
      <w:proofErr w:type="spellStart"/>
      <w:r w:rsidRPr="007214E1">
        <w:rPr>
          <w:rFonts w:ascii="Book Antiqua" w:hAnsi="Book Antiqua"/>
        </w:rPr>
        <w:t>Phosphaplatins</w:t>
      </w:r>
      <w:proofErr w:type="spellEnd"/>
      <w:r w:rsidRPr="007214E1">
        <w:rPr>
          <w:rFonts w:ascii="Book Antiqua" w:hAnsi="Book Antiqua"/>
        </w:rPr>
        <w:t xml:space="preserve"> against Human Ovarian Cancers: Implications To Treat Resistant Cancers. </w:t>
      </w:r>
      <w:r w:rsidRPr="007214E1">
        <w:rPr>
          <w:rFonts w:ascii="Book Antiqua" w:hAnsi="Book Antiqua"/>
          <w:i/>
        </w:rPr>
        <w:t>J Med Chem</w:t>
      </w:r>
      <w:r w:rsidRPr="007214E1">
        <w:rPr>
          <w:rFonts w:ascii="Book Antiqua" w:hAnsi="Book Antiqua"/>
        </w:rPr>
        <w:t xml:space="preserve"> 2015; </w:t>
      </w:r>
      <w:r w:rsidRPr="007214E1">
        <w:rPr>
          <w:rFonts w:ascii="Book Antiqua" w:hAnsi="Book Antiqua"/>
          <w:b/>
        </w:rPr>
        <w:t>58</w:t>
      </w:r>
      <w:r w:rsidRPr="007214E1">
        <w:rPr>
          <w:rFonts w:ascii="Book Antiqua" w:hAnsi="Book Antiqua"/>
        </w:rPr>
        <w:t>: 8387-8401 [PMID: 26455832 DOI: 10.1021/acs.jmedchem.5b00732]</w:t>
      </w:r>
    </w:p>
    <w:p w14:paraId="3CDEB03C" w14:textId="06B6180A"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113 </w:t>
      </w:r>
      <w:r w:rsidRPr="007214E1">
        <w:rPr>
          <w:rFonts w:ascii="Book Antiqua" w:hAnsi="Book Antiqua"/>
          <w:b/>
        </w:rPr>
        <w:t>Bose RN,</w:t>
      </w:r>
      <w:r w:rsidR="00354FFA" w:rsidRPr="007214E1">
        <w:rPr>
          <w:rFonts w:ascii="Book Antiqua" w:hAnsi="Book Antiqua"/>
        </w:rPr>
        <w:t xml:space="preserve"> </w:t>
      </w:r>
      <w:proofErr w:type="spellStart"/>
      <w:r w:rsidRPr="007214E1">
        <w:rPr>
          <w:rFonts w:ascii="Book Antiqua" w:hAnsi="Book Antiqua"/>
        </w:rPr>
        <w:t>Maurmann</w:t>
      </w:r>
      <w:proofErr w:type="spellEnd"/>
      <w:r w:rsidRPr="007214E1">
        <w:rPr>
          <w:rFonts w:ascii="Book Antiqua" w:hAnsi="Book Antiqua"/>
        </w:rPr>
        <w:t xml:space="preserve"> L, </w:t>
      </w:r>
      <w:proofErr w:type="spellStart"/>
      <w:r w:rsidRPr="007214E1">
        <w:rPr>
          <w:rFonts w:ascii="Book Antiqua" w:hAnsi="Book Antiqua"/>
        </w:rPr>
        <w:t>Mishur</w:t>
      </w:r>
      <w:proofErr w:type="spellEnd"/>
      <w:r w:rsidRPr="007214E1">
        <w:rPr>
          <w:rFonts w:ascii="Book Antiqua" w:hAnsi="Book Antiqua"/>
        </w:rPr>
        <w:t xml:space="preserve"> RJ, </w:t>
      </w:r>
      <w:proofErr w:type="spellStart"/>
      <w:r w:rsidRPr="007214E1">
        <w:rPr>
          <w:rFonts w:ascii="Book Antiqua" w:hAnsi="Book Antiqua"/>
        </w:rPr>
        <w:t>Yasui</w:t>
      </w:r>
      <w:proofErr w:type="spellEnd"/>
      <w:r w:rsidRPr="007214E1">
        <w:rPr>
          <w:rFonts w:ascii="Book Antiqua" w:hAnsi="Book Antiqua"/>
        </w:rPr>
        <w:t xml:space="preserve"> L, Gupta S, </w:t>
      </w:r>
      <w:proofErr w:type="spellStart"/>
      <w:r w:rsidRPr="007214E1">
        <w:rPr>
          <w:rFonts w:ascii="Book Antiqua" w:hAnsi="Book Antiqua"/>
        </w:rPr>
        <w:t>Grayburn</w:t>
      </w:r>
      <w:proofErr w:type="spellEnd"/>
      <w:r w:rsidRPr="007214E1">
        <w:rPr>
          <w:rFonts w:ascii="Book Antiqua" w:hAnsi="Book Antiqua"/>
        </w:rPr>
        <w:t xml:space="preserve"> WS, </w:t>
      </w:r>
      <w:proofErr w:type="spellStart"/>
      <w:r w:rsidRPr="007214E1">
        <w:rPr>
          <w:rFonts w:ascii="Book Antiqua" w:hAnsi="Book Antiqua"/>
        </w:rPr>
        <w:t>Hofstetter</w:t>
      </w:r>
      <w:proofErr w:type="spellEnd"/>
      <w:r w:rsidRPr="007214E1">
        <w:rPr>
          <w:rFonts w:ascii="Book Antiqua" w:hAnsi="Book Antiqua"/>
        </w:rPr>
        <w:t xml:space="preserve"> H, </w:t>
      </w:r>
      <w:proofErr w:type="spellStart"/>
      <w:r w:rsidRPr="007214E1">
        <w:rPr>
          <w:rFonts w:ascii="Book Antiqua" w:hAnsi="Book Antiqua"/>
        </w:rPr>
        <w:t>Salley</w:t>
      </w:r>
      <w:proofErr w:type="spellEnd"/>
      <w:r w:rsidRPr="007214E1">
        <w:rPr>
          <w:rFonts w:ascii="Book Antiqua" w:hAnsi="Book Antiqua"/>
        </w:rPr>
        <w:t xml:space="preserve"> T. Non-DNA-binding platinum anticancer agents: Cytotoxic activities of platinum–</w:t>
      </w:r>
      <w:proofErr w:type="spellStart"/>
      <w:r w:rsidRPr="007214E1">
        <w:rPr>
          <w:rFonts w:ascii="Book Antiqua" w:hAnsi="Book Antiqua"/>
        </w:rPr>
        <w:t>phosphato</w:t>
      </w:r>
      <w:proofErr w:type="spellEnd"/>
      <w:r w:rsidRPr="007214E1">
        <w:rPr>
          <w:rFonts w:ascii="Book Antiqua" w:hAnsi="Book Antiqua"/>
        </w:rPr>
        <w:t xml:space="preserve"> complexes towards human ovarian cancer cells. </w:t>
      </w:r>
      <w:r w:rsidRPr="007214E1">
        <w:rPr>
          <w:rFonts w:ascii="Book Antiqua" w:hAnsi="Book Antiqua"/>
          <w:i/>
        </w:rPr>
        <w:t>Proceedings of t</w:t>
      </w:r>
      <w:r w:rsidR="00557080" w:rsidRPr="007214E1">
        <w:rPr>
          <w:rFonts w:ascii="Book Antiqua" w:hAnsi="Book Antiqua"/>
          <w:i/>
        </w:rPr>
        <w:t>he National Academy of Sciences</w:t>
      </w:r>
      <w:r w:rsidRPr="007214E1">
        <w:rPr>
          <w:rFonts w:ascii="Book Antiqua" w:hAnsi="Book Antiqua"/>
          <w:i/>
        </w:rPr>
        <w:t xml:space="preserve"> </w:t>
      </w:r>
      <w:r w:rsidRPr="007214E1">
        <w:rPr>
          <w:rFonts w:ascii="Book Antiqua" w:hAnsi="Book Antiqua"/>
        </w:rPr>
        <w:t>2008;</w:t>
      </w:r>
      <w:r w:rsidR="00557080" w:rsidRPr="007214E1">
        <w:rPr>
          <w:rFonts w:ascii="Book Antiqua" w:hAnsi="Book Antiqua"/>
          <w:b/>
        </w:rPr>
        <w:t xml:space="preserve"> </w:t>
      </w:r>
      <w:r w:rsidRPr="007214E1">
        <w:rPr>
          <w:rFonts w:ascii="Book Antiqua" w:hAnsi="Book Antiqua"/>
          <w:b/>
        </w:rPr>
        <w:t>105(47):</w:t>
      </w:r>
      <w:r w:rsidR="00557080" w:rsidRPr="007214E1">
        <w:rPr>
          <w:rFonts w:ascii="Book Antiqua" w:hAnsi="Book Antiqua"/>
        </w:rPr>
        <w:t xml:space="preserve"> </w:t>
      </w:r>
      <w:r w:rsidRPr="007214E1">
        <w:rPr>
          <w:rFonts w:ascii="Book Antiqua" w:hAnsi="Book Antiqua"/>
        </w:rPr>
        <w:t>18314-</w:t>
      </w:r>
      <w:r w:rsidR="00557080" w:rsidRPr="007214E1">
        <w:rPr>
          <w:rFonts w:ascii="Book Antiqua" w:hAnsi="Book Antiqua"/>
        </w:rPr>
        <w:t xml:space="preserve">18319 </w:t>
      </w:r>
      <w:r w:rsidRPr="007214E1">
        <w:rPr>
          <w:rFonts w:ascii="Book Antiqua" w:hAnsi="Book Antiqua"/>
        </w:rPr>
        <w:t>[DOI: 10.1073/pnas.0803094105]</w:t>
      </w:r>
    </w:p>
    <w:p w14:paraId="461BC829" w14:textId="4FDF4900"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114 </w:t>
      </w:r>
      <w:r w:rsidR="00557080" w:rsidRPr="007214E1">
        <w:rPr>
          <w:rFonts w:ascii="Book Antiqua" w:hAnsi="Book Antiqua"/>
          <w:b/>
        </w:rPr>
        <w:t>Karp D</w:t>
      </w:r>
      <w:r w:rsidRPr="007214E1">
        <w:rPr>
          <w:rFonts w:ascii="Book Antiqua" w:hAnsi="Book Antiqua"/>
          <w:b/>
        </w:rPr>
        <w:t>D,</w:t>
      </w:r>
      <w:r w:rsidR="00557080" w:rsidRPr="007214E1">
        <w:rPr>
          <w:rFonts w:ascii="Book Antiqua" w:hAnsi="Book Antiqua"/>
        </w:rPr>
        <w:t xml:space="preserve"> </w:t>
      </w:r>
      <w:proofErr w:type="spellStart"/>
      <w:r w:rsidR="00557080" w:rsidRPr="007214E1">
        <w:rPr>
          <w:rFonts w:ascii="Book Antiqua" w:hAnsi="Book Antiqua"/>
        </w:rPr>
        <w:t>Camidge</w:t>
      </w:r>
      <w:proofErr w:type="spellEnd"/>
      <w:r w:rsidR="00557080" w:rsidRPr="007214E1">
        <w:rPr>
          <w:rFonts w:ascii="Book Antiqua" w:hAnsi="Book Antiqua"/>
        </w:rPr>
        <w:t xml:space="preserve"> DR, </w:t>
      </w:r>
      <w:proofErr w:type="spellStart"/>
      <w:r w:rsidR="00557080" w:rsidRPr="007214E1">
        <w:rPr>
          <w:rFonts w:ascii="Book Antiqua" w:hAnsi="Book Antiqua"/>
        </w:rPr>
        <w:t>Infante</w:t>
      </w:r>
      <w:proofErr w:type="spellEnd"/>
      <w:r w:rsidR="00557080" w:rsidRPr="007214E1">
        <w:rPr>
          <w:rFonts w:ascii="Book Antiqua" w:hAnsi="Book Antiqua"/>
        </w:rPr>
        <w:t xml:space="preserve"> JR, Ames TD, </w:t>
      </w:r>
      <w:proofErr w:type="spellStart"/>
      <w:r w:rsidR="00557080" w:rsidRPr="007214E1">
        <w:rPr>
          <w:rFonts w:ascii="Book Antiqua" w:hAnsi="Book Antiqua"/>
        </w:rPr>
        <w:t>Jimeno</w:t>
      </w:r>
      <w:proofErr w:type="spellEnd"/>
      <w:r w:rsidR="00557080" w:rsidRPr="007214E1">
        <w:rPr>
          <w:rFonts w:ascii="Book Antiqua" w:hAnsi="Book Antiqua"/>
        </w:rPr>
        <w:t xml:space="preserve"> JM, Bryce AH</w:t>
      </w:r>
      <w:r w:rsidRPr="007214E1">
        <w:rPr>
          <w:rFonts w:ascii="Book Antiqua" w:hAnsi="Book Antiqua"/>
        </w:rPr>
        <w:t>, PT-112: A Well-Tolerated Novel Immunogenic Cell Death (ICD) Inducer with Activity in Advanced S</w:t>
      </w:r>
      <w:r w:rsidR="00557080" w:rsidRPr="007214E1">
        <w:rPr>
          <w:rFonts w:ascii="Book Antiqua" w:hAnsi="Book Antiqua"/>
        </w:rPr>
        <w:t>olid Tumors. ESMO 2018 Congress</w:t>
      </w:r>
      <w:r w:rsidRPr="007214E1">
        <w:rPr>
          <w:rFonts w:ascii="Book Antiqua" w:hAnsi="Book Antiqua"/>
        </w:rPr>
        <w:t xml:space="preserve"> 2018. </w:t>
      </w:r>
      <w:r w:rsidR="00C24F7F" w:rsidRPr="007214E1">
        <w:rPr>
          <w:rFonts w:ascii="Book Antiqua" w:hAnsi="Book Antiqua"/>
          <w:i/>
        </w:rPr>
        <w:t>Ann Oncol</w:t>
      </w:r>
      <w:r w:rsidR="00E72B89" w:rsidRPr="007214E1">
        <w:rPr>
          <w:rFonts w:ascii="Book Antiqua" w:hAnsi="Book Antiqua"/>
        </w:rPr>
        <w:t xml:space="preserve"> 2018; </w:t>
      </w:r>
      <w:r w:rsidR="00E72B89" w:rsidRPr="007214E1">
        <w:rPr>
          <w:rFonts w:ascii="Book Antiqua" w:hAnsi="Book Antiqua"/>
          <w:b/>
        </w:rPr>
        <w:t>29</w:t>
      </w:r>
      <w:r w:rsidR="00E72B89" w:rsidRPr="007214E1">
        <w:rPr>
          <w:rFonts w:ascii="Book Antiqua" w:hAnsi="Book Antiqua"/>
        </w:rPr>
        <w:t>: viii133-viii148 [DOI: 10.1093/</w:t>
      </w:r>
      <w:proofErr w:type="spellStart"/>
      <w:r w:rsidR="00E72B89" w:rsidRPr="007214E1">
        <w:rPr>
          <w:rFonts w:ascii="Book Antiqua" w:hAnsi="Book Antiqua"/>
        </w:rPr>
        <w:t>annonc</w:t>
      </w:r>
      <w:proofErr w:type="spellEnd"/>
      <w:r w:rsidR="00E72B89" w:rsidRPr="007214E1">
        <w:rPr>
          <w:rFonts w:ascii="Book Antiqua" w:hAnsi="Book Antiqua"/>
        </w:rPr>
        <w:t>/mdy279]</w:t>
      </w:r>
    </w:p>
    <w:p w14:paraId="32DAA8FC" w14:textId="2AD2139A"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115 </w:t>
      </w:r>
      <w:proofErr w:type="spellStart"/>
      <w:r w:rsidRPr="007214E1">
        <w:rPr>
          <w:rFonts w:ascii="Book Antiqua" w:hAnsi="Book Antiqua"/>
          <w:b/>
        </w:rPr>
        <w:t>SciClone</w:t>
      </w:r>
      <w:proofErr w:type="spellEnd"/>
      <w:r w:rsidRPr="007214E1">
        <w:rPr>
          <w:rFonts w:ascii="Book Antiqua" w:hAnsi="Book Antiqua"/>
          <w:b/>
        </w:rPr>
        <w:t xml:space="preserve"> Pharmaceuticals. </w:t>
      </w:r>
      <w:r w:rsidRPr="007214E1">
        <w:rPr>
          <w:rFonts w:ascii="Book Antiqua" w:hAnsi="Book Antiqua"/>
        </w:rPr>
        <w:t>An Open-label Phase I/II Clinical Trial of PT-112 Injection for Advanced Solid Tumors and Adva</w:t>
      </w:r>
      <w:r w:rsidR="00557080" w:rsidRPr="007214E1">
        <w:rPr>
          <w:rFonts w:ascii="Book Antiqua" w:hAnsi="Book Antiqua"/>
        </w:rPr>
        <w:t xml:space="preserve">nced Hepatocellular Carcinoma. </w:t>
      </w:r>
      <w:r w:rsidR="00557080" w:rsidRPr="007214E1">
        <w:rPr>
          <w:rFonts w:ascii="Book Antiqua" w:hAnsi="Book Antiqua"/>
        </w:rPr>
        <w:lastRenderedPageBreak/>
        <w:t xml:space="preserve">In: ClinicalTrials.gov </w:t>
      </w:r>
      <w:r w:rsidRPr="007214E1">
        <w:rPr>
          <w:rFonts w:ascii="Book Antiqua" w:hAnsi="Book Antiqua"/>
        </w:rPr>
        <w:t>[Internet]. Bethesda (MD): U.S.</w:t>
      </w:r>
      <w:r w:rsidR="00557080" w:rsidRPr="007214E1">
        <w:rPr>
          <w:rFonts w:ascii="Book Antiqua" w:hAnsi="Book Antiqua"/>
        </w:rPr>
        <w:t xml:space="preserve"> National Library of Medicine. </w:t>
      </w:r>
      <w:r w:rsidRPr="007214E1">
        <w:rPr>
          <w:rFonts w:ascii="Book Antiqua" w:hAnsi="Book Antiqua"/>
        </w:rPr>
        <w:t>Available from: https://Clin</w:t>
      </w:r>
      <w:r w:rsidR="00557080" w:rsidRPr="007214E1">
        <w:rPr>
          <w:rFonts w:ascii="Book Antiqua" w:hAnsi="Book Antiqua"/>
        </w:rPr>
        <w:t>icalTrials.gov/show/NCT03439761</w:t>
      </w:r>
    </w:p>
    <w:p w14:paraId="01AF8BDF" w14:textId="227065D0" w:rsidR="0046745C" w:rsidRPr="007214E1" w:rsidRDefault="0046745C" w:rsidP="00EB43EE">
      <w:pPr>
        <w:snapToGrid w:val="0"/>
        <w:spacing w:line="360" w:lineRule="auto"/>
        <w:jc w:val="both"/>
        <w:rPr>
          <w:rFonts w:ascii="Book Antiqua" w:hAnsi="Book Antiqua"/>
        </w:rPr>
      </w:pPr>
      <w:r w:rsidRPr="007214E1">
        <w:rPr>
          <w:rFonts w:ascii="Book Antiqua" w:hAnsi="Book Antiqua"/>
        </w:rPr>
        <w:t xml:space="preserve">116 </w:t>
      </w:r>
      <w:proofErr w:type="spellStart"/>
      <w:r w:rsidRPr="007214E1">
        <w:rPr>
          <w:rFonts w:ascii="Book Antiqua" w:hAnsi="Book Antiqua"/>
          <w:b/>
        </w:rPr>
        <w:t>Phosphaplatin</w:t>
      </w:r>
      <w:proofErr w:type="spellEnd"/>
      <w:r w:rsidRPr="007214E1">
        <w:rPr>
          <w:rFonts w:ascii="Book Antiqua" w:hAnsi="Book Antiqua"/>
          <w:b/>
        </w:rPr>
        <w:t xml:space="preserve"> Therapeutics. </w:t>
      </w:r>
      <w:r w:rsidRPr="007214E1">
        <w:rPr>
          <w:rFonts w:ascii="Book Antiqua" w:hAnsi="Book Antiqua"/>
        </w:rPr>
        <w:t xml:space="preserve">A Dose Escalation and Confirmation Study of PT-112 in Advanced Solid Tumors in Combination </w:t>
      </w:r>
      <w:r w:rsidR="00557080" w:rsidRPr="007214E1">
        <w:rPr>
          <w:rFonts w:ascii="Book Antiqua" w:hAnsi="Book Antiqua"/>
        </w:rPr>
        <w:t xml:space="preserve">with </w:t>
      </w:r>
      <w:r w:rsidRPr="007214E1">
        <w:rPr>
          <w:rFonts w:ascii="Book Antiqua" w:hAnsi="Book Antiqua"/>
        </w:rPr>
        <w:t>Avelumab.</w:t>
      </w:r>
      <w:r w:rsidR="00557080" w:rsidRPr="007214E1">
        <w:rPr>
          <w:rFonts w:ascii="Book Antiqua" w:hAnsi="Book Antiqua"/>
        </w:rPr>
        <w:t xml:space="preserve"> </w:t>
      </w:r>
      <w:r w:rsidRPr="007214E1">
        <w:rPr>
          <w:rFonts w:ascii="Book Antiqua" w:hAnsi="Book Antiqua"/>
        </w:rPr>
        <w:t>In: ClinicalTrials.gov [Internet]. Bethesda (MD): U.S. N</w:t>
      </w:r>
      <w:r w:rsidR="00557080" w:rsidRPr="007214E1">
        <w:rPr>
          <w:rFonts w:ascii="Book Antiqua" w:hAnsi="Book Antiqua"/>
        </w:rPr>
        <w:t xml:space="preserve">ational Library of Medicine. </w:t>
      </w:r>
      <w:r w:rsidRPr="007214E1">
        <w:rPr>
          <w:rFonts w:ascii="Book Antiqua" w:hAnsi="Book Antiqua"/>
        </w:rPr>
        <w:t>Available from: https://Clin</w:t>
      </w:r>
      <w:r w:rsidR="00557080" w:rsidRPr="007214E1">
        <w:rPr>
          <w:rFonts w:ascii="Book Antiqua" w:hAnsi="Book Antiqua"/>
        </w:rPr>
        <w:t>icalTrials.gov/show/NCT03409458</w:t>
      </w:r>
    </w:p>
    <w:p w14:paraId="7B5B894F" w14:textId="77777777" w:rsidR="0046745C" w:rsidRPr="007214E1" w:rsidRDefault="0046745C" w:rsidP="00EB43EE">
      <w:pPr>
        <w:snapToGrid w:val="0"/>
        <w:spacing w:line="360" w:lineRule="auto"/>
        <w:jc w:val="both"/>
        <w:rPr>
          <w:rFonts w:ascii="Book Antiqua" w:hAnsi="Book Antiqua"/>
          <w:b/>
          <w:color w:val="000000"/>
          <w:lang w:val="en-GB"/>
        </w:rPr>
      </w:pPr>
      <w:r w:rsidRPr="007214E1">
        <w:rPr>
          <w:rFonts w:ascii="Book Antiqua" w:hAnsi="Book Antiqua"/>
          <w:b/>
          <w:color w:val="000000"/>
          <w:lang w:val="en-GB"/>
        </w:rPr>
        <w:br w:type="page"/>
      </w:r>
    </w:p>
    <w:p w14:paraId="6CD88882" w14:textId="77777777" w:rsidR="00557080" w:rsidRPr="007214E1" w:rsidRDefault="00557080" w:rsidP="00EB43EE">
      <w:pPr>
        <w:adjustRightInd w:val="0"/>
        <w:snapToGrid w:val="0"/>
        <w:spacing w:line="360" w:lineRule="auto"/>
        <w:jc w:val="both"/>
        <w:rPr>
          <w:rFonts w:ascii="Book Antiqua" w:hAnsi="Book Antiqua"/>
          <w:b/>
        </w:rPr>
      </w:pPr>
      <w:r w:rsidRPr="007214E1">
        <w:rPr>
          <w:rFonts w:ascii="Book Antiqua" w:hAnsi="Book Antiqua"/>
          <w:b/>
        </w:rPr>
        <w:lastRenderedPageBreak/>
        <w:t>Footnotes</w:t>
      </w:r>
    </w:p>
    <w:p w14:paraId="49F9CBE7" w14:textId="77777777" w:rsidR="00557080" w:rsidRPr="007214E1" w:rsidRDefault="00557080" w:rsidP="00EB43EE">
      <w:pPr>
        <w:snapToGrid w:val="0"/>
        <w:spacing w:line="360" w:lineRule="auto"/>
        <w:jc w:val="both"/>
        <w:rPr>
          <w:rFonts w:ascii="Book Antiqua" w:eastAsia="宋体" w:hAnsi="Book Antiqua"/>
          <w:color w:val="000000"/>
          <w:lang w:eastAsia="zh-CN"/>
        </w:rPr>
      </w:pPr>
      <w:r w:rsidRPr="007214E1">
        <w:rPr>
          <w:rFonts w:ascii="Book Antiqua" w:hAnsi="Book Antiqua"/>
          <w:b/>
          <w:color w:val="000000"/>
        </w:rPr>
        <w:t>Conflict-of-interest statement</w:t>
      </w:r>
      <w:r w:rsidRPr="007214E1">
        <w:rPr>
          <w:rFonts w:ascii="Book Antiqua" w:hAnsi="Book Antiqua"/>
          <w:b/>
        </w:rPr>
        <w:t>:</w:t>
      </w:r>
      <w:r w:rsidRPr="007214E1">
        <w:rPr>
          <w:rFonts w:ascii="Book Antiqua" w:eastAsia="宋体" w:hAnsi="Book Antiqua" w:cs="TimesNewRomanPS-BoldItalicMT"/>
          <w:b/>
          <w:bCs/>
          <w:iCs/>
          <w:color w:val="000000"/>
          <w:lang w:eastAsia="zh-CN"/>
        </w:rPr>
        <w:t xml:space="preserve"> </w:t>
      </w:r>
      <w:r w:rsidRPr="007214E1">
        <w:rPr>
          <w:rFonts w:ascii="Book Antiqua" w:hAnsi="Book Antiqua"/>
          <w:color w:val="000000"/>
        </w:rPr>
        <w:t>Authors declare no conflict of interests for this article.</w:t>
      </w:r>
    </w:p>
    <w:p w14:paraId="0F102D52" w14:textId="77777777" w:rsidR="00557080" w:rsidRPr="007214E1" w:rsidRDefault="00557080" w:rsidP="00EB43EE">
      <w:pPr>
        <w:snapToGrid w:val="0"/>
        <w:spacing w:line="360" w:lineRule="auto"/>
        <w:jc w:val="both"/>
        <w:rPr>
          <w:rFonts w:ascii="Book Antiqua" w:eastAsia="宋体" w:hAnsi="Book Antiqua"/>
          <w:b/>
          <w:color w:val="000000"/>
          <w:lang w:eastAsia="zh-CN"/>
        </w:rPr>
      </w:pPr>
    </w:p>
    <w:p w14:paraId="7AA75271" w14:textId="77777777" w:rsidR="00557080" w:rsidRPr="007214E1" w:rsidRDefault="00557080" w:rsidP="00EB43EE">
      <w:pPr>
        <w:snapToGrid w:val="0"/>
        <w:spacing w:line="360" w:lineRule="auto"/>
        <w:jc w:val="both"/>
        <w:rPr>
          <w:rFonts w:ascii="Book Antiqua" w:hAnsi="Book Antiqua"/>
        </w:rPr>
      </w:pPr>
      <w:r w:rsidRPr="007214E1">
        <w:rPr>
          <w:rFonts w:ascii="Book Antiqua" w:hAnsi="Book Antiqua"/>
          <w:b/>
          <w:color w:val="000000"/>
        </w:rPr>
        <w:t>Open-Access:</w:t>
      </w:r>
      <w:r w:rsidRPr="007214E1">
        <w:rPr>
          <w:rFonts w:ascii="Book Antiqua" w:hAnsi="Book Antiqua"/>
          <w:color w:val="000000"/>
        </w:rPr>
        <w:t xml:space="preserve"> This article is an open-access </w:t>
      </w:r>
      <w:r w:rsidRPr="007214E1">
        <w:rPr>
          <w:rFonts w:ascii="Book Antiqua" w:hAnsi="Book Antiqua"/>
        </w:rPr>
        <w:t xml:space="preserve">article that was selected </w:t>
      </w:r>
      <w:r w:rsidRPr="007214E1">
        <w:rPr>
          <w:rFonts w:ascii="Book Antiqua" w:hAnsi="Book Antiqua"/>
          <w:color w:val="000000"/>
        </w:rPr>
        <w:t xml:space="preserve">by an in-house editor and fully peer-reviewed by external reviewers. It is distributed in accordance with the Creative Commons Attribution </w:t>
      </w:r>
      <w:proofErr w:type="spellStart"/>
      <w:r w:rsidRPr="007214E1">
        <w:rPr>
          <w:rFonts w:ascii="Book Antiqua" w:hAnsi="Book Antiqua"/>
          <w:color w:val="000000"/>
        </w:rPr>
        <w:t>NonCommercial</w:t>
      </w:r>
      <w:proofErr w:type="spellEnd"/>
      <w:r w:rsidRPr="007214E1">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12A6FA" w14:textId="77777777" w:rsidR="00557080" w:rsidRPr="007214E1" w:rsidRDefault="00557080" w:rsidP="00EB43EE">
      <w:pPr>
        <w:pStyle w:val="a5"/>
        <w:snapToGrid w:val="0"/>
        <w:spacing w:line="360" w:lineRule="auto"/>
        <w:jc w:val="both"/>
        <w:rPr>
          <w:rFonts w:ascii="Book Antiqua" w:eastAsia="宋体" w:hAnsi="Book Antiqua" w:cs="Times New Roman"/>
          <w:bCs/>
          <w:color w:val="000000"/>
          <w:sz w:val="24"/>
          <w:szCs w:val="24"/>
          <w:lang w:eastAsia="zh-CN"/>
        </w:rPr>
      </w:pPr>
    </w:p>
    <w:p w14:paraId="669C63EA" w14:textId="0E274F4B" w:rsidR="00557080" w:rsidRPr="007214E1" w:rsidRDefault="00557080" w:rsidP="00EB43EE">
      <w:pPr>
        <w:adjustRightInd w:val="0"/>
        <w:snapToGrid w:val="0"/>
        <w:spacing w:line="360" w:lineRule="auto"/>
        <w:jc w:val="both"/>
        <w:rPr>
          <w:rFonts w:ascii="Book Antiqua" w:hAnsi="Book Antiqua"/>
          <w:bCs/>
          <w:color w:val="000000"/>
          <w:lang w:eastAsia="zh-CN"/>
        </w:rPr>
      </w:pPr>
      <w:r w:rsidRPr="007214E1">
        <w:rPr>
          <w:rFonts w:ascii="Book Antiqua" w:hAnsi="Book Antiqua"/>
          <w:b/>
          <w:bCs/>
          <w:color w:val="000000"/>
          <w:lang w:eastAsia="pl-PL"/>
        </w:rPr>
        <w:t>Manuscript source:</w:t>
      </w:r>
      <w:r w:rsidRPr="007214E1">
        <w:rPr>
          <w:rFonts w:ascii="Book Antiqua" w:hAnsi="Book Antiqua"/>
          <w:b/>
          <w:bCs/>
          <w:color w:val="000000"/>
          <w:lang w:eastAsia="zh-CN"/>
        </w:rPr>
        <w:t xml:space="preserve"> </w:t>
      </w:r>
      <w:r w:rsidRPr="007214E1">
        <w:rPr>
          <w:rFonts w:ascii="Book Antiqua" w:hAnsi="Book Antiqua"/>
          <w:bCs/>
          <w:color w:val="000000"/>
          <w:lang w:eastAsia="pl-PL"/>
        </w:rPr>
        <w:t>Invited manuscript</w:t>
      </w:r>
    </w:p>
    <w:p w14:paraId="4CD0E665" w14:textId="77777777" w:rsidR="00557080" w:rsidRPr="007214E1" w:rsidRDefault="00557080" w:rsidP="00EB43EE">
      <w:pPr>
        <w:widowControl w:val="0"/>
        <w:adjustRightInd w:val="0"/>
        <w:snapToGrid w:val="0"/>
        <w:spacing w:line="360" w:lineRule="auto"/>
        <w:jc w:val="both"/>
        <w:rPr>
          <w:rFonts w:ascii="Book Antiqua" w:hAnsi="Book Antiqua"/>
          <w:b/>
          <w:kern w:val="2"/>
          <w:lang w:eastAsia="zh-CN"/>
        </w:rPr>
      </w:pPr>
    </w:p>
    <w:p w14:paraId="05238CA2" w14:textId="7748B7C4" w:rsidR="00557080" w:rsidRPr="007214E1" w:rsidRDefault="00557080" w:rsidP="00EB43EE">
      <w:pPr>
        <w:snapToGrid w:val="0"/>
        <w:spacing w:line="360" w:lineRule="auto"/>
        <w:jc w:val="both"/>
        <w:rPr>
          <w:rFonts w:ascii="Book Antiqua" w:eastAsia="宋体" w:hAnsi="Book Antiqua"/>
          <w:b/>
          <w:lang w:eastAsia="zh-CN"/>
        </w:rPr>
      </w:pPr>
      <w:r w:rsidRPr="007214E1">
        <w:rPr>
          <w:rFonts w:ascii="Book Antiqua" w:hAnsi="Book Antiqua"/>
          <w:b/>
        </w:rPr>
        <w:t>Peer-review started:</w:t>
      </w:r>
      <w:r w:rsidRPr="007214E1">
        <w:rPr>
          <w:rFonts w:ascii="Book Antiqua" w:eastAsia="宋体" w:hAnsi="Book Antiqua"/>
          <w:b/>
          <w:lang w:eastAsia="zh-CN"/>
        </w:rPr>
        <w:t xml:space="preserve"> </w:t>
      </w:r>
      <w:r w:rsidR="001912DE" w:rsidRPr="007214E1">
        <w:rPr>
          <w:rFonts w:ascii="Book Antiqua" w:eastAsia="宋体" w:hAnsi="Book Antiqua"/>
          <w:lang w:eastAsia="zh-CN"/>
        </w:rPr>
        <w:t>February 1, 2020</w:t>
      </w:r>
    </w:p>
    <w:p w14:paraId="3FD6D175" w14:textId="490B229B" w:rsidR="00557080" w:rsidRPr="007214E1" w:rsidRDefault="00557080" w:rsidP="00EB43EE">
      <w:pPr>
        <w:snapToGrid w:val="0"/>
        <w:spacing w:line="360" w:lineRule="auto"/>
        <w:jc w:val="both"/>
        <w:rPr>
          <w:rFonts w:ascii="Book Antiqua" w:eastAsia="宋体" w:hAnsi="Book Antiqua"/>
          <w:b/>
          <w:lang w:eastAsia="zh-CN"/>
        </w:rPr>
      </w:pPr>
      <w:r w:rsidRPr="007214E1">
        <w:rPr>
          <w:rFonts w:ascii="Book Antiqua" w:hAnsi="Book Antiqua"/>
          <w:b/>
        </w:rPr>
        <w:t>First decision:</w:t>
      </w:r>
      <w:r w:rsidRPr="007214E1">
        <w:rPr>
          <w:rFonts w:ascii="Book Antiqua" w:eastAsia="宋体" w:hAnsi="Book Antiqua"/>
          <w:b/>
          <w:lang w:eastAsia="zh-CN"/>
        </w:rPr>
        <w:t xml:space="preserve"> </w:t>
      </w:r>
      <w:r w:rsidR="001912DE" w:rsidRPr="007214E1">
        <w:rPr>
          <w:rFonts w:ascii="Book Antiqua" w:eastAsia="宋体" w:hAnsi="Book Antiqua"/>
          <w:lang w:eastAsia="zh-CN"/>
        </w:rPr>
        <w:t>February 24, 2020</w:t>
      </w:r>
    </w:p>
    <w:p w14:paraId="2F2E4E98" w14:textId="331110FA" w:rsidR="00557080" w:rsidRPr="007214E1" w:rsidRDefault="00557080" w:rsidP="00EB43EE">
      <w:pPr>
        <w:snapToGrid w:val="0"/>
        <w:spacing w:line="360" w:lineRule="auto"/>
        <w:jc w:val="both"/>
        <w:rPr>
          <w:rFonts w:ascii="Book Antiqua" w:hAnsi="Book Antiqua"/>
          <w:b/>
        </w:rPr>
      </w:pPr>
      <w:r w:rsidRPr="007214E1">
        <w:rPr>
          <w:rFonts w:ascii="Book Antiqua" w:hAnsi="Book Antiqua"/>
          <w:b/>
        </w:rPr>
        <w:t>Article in press:</w:t>
      </w:r>
      <w:r w:rsidR="00072AC0" w:rsidRPr="007214E1">
        <w:rPr>
          <w:rFonts w:ascii="Book Antiqua" w:hAnsi="Book Antiqua"/>
          <w:color w:val="000000"/>
        </w:rPr>
        <w:t xml:space="preserve"> June 25, 2020</w:t>
      </w:r>
    </w:p>
    <w:p w14:paraId="1E89F5F0" w14:textId="77777777" w:rsidR="00557080" w:rsidRPr="007214E1" w:rsidRDefault="00557080" w:rsidP="00EB43EE">
      <w:pPr>
        <w:snapToGrid w:val="0"/>
        <w:spacing w:line="360" w:lineRule="auto"/>
        <w:jc w:val="both"/>
        <w:rPr>
          <w:rFonts w:ascii="Book Antiqua" w:eastAsia="宋体" w:hAnsi="Book Antiqua"/>
          <w:color w:val="000000"/>
          <w:lang w:eastAsia="zh-CN"/>
        </w:rPr>
      </w:pPr>
    </w:p>
    <w:p w14:paraId="2DACAE10" w14:textId="0A23EEF8" w:rsidR="00557080" w:rsidRPr="007214E1" w:rsidRDefault="00557080" w:rsidP="00EB43EE">
      <w:pPr>
        <w:widowControl w:val="0"/>
        <w:adjustRightInd w:val="0"/>
        <w:snapToGrid w:val="0"/>
        <w:spacing w:line="360" w:lineRule="auto"/>
        <w:jc w:val="both"/>
        <w:rPr>
          <w:rFonts w:ascii="Book Antiqua" w:eastAsia="微软雅黑" w:hAnsi="Book Antiqua" w:cs="宋体"/>
          <w:lang w:eastAsia="zh-CN"/>
        </w:rPr>
      </w:pPr>
      <w:r w:rsidRPr="007214E1">
        <w:rPr>
          <w:rFonts w:ascii="Book Antiqua" w:hAnsi="Book Antiqua" w:cs="宋体"/>
          <w:b/>
          <w:lang w:eastAsia="zh-CN"/>
        </w:rPr>
        <w:t xml:space="preserve">Specialty type: </w:t>
      </w:r>
      <w:r w:rsidR="001F48B6" w:rsidRPr="007214E1">
        <w:rPr>
          <w:rFonts w:ascii="Book Antiqua" w:eastAsia="微软雅黑" w:hAnsi="Book Antiqua" w:cs="宋体"/>
          <w:lang w:eastAsia="zh-CN"/>
        </w:rPr>
        <w:t>Medicine, research and experimental</w:t>
      </w:r>
    </w:p>
    <w:p w14:paraId="549E664A" w14:textId="11D44F39" w:rsidR="00557080" w:rsidRPr="007214E1" w:rsidRDefault="00557080" w:rsidP="00EB43EE">
      <w:pPr>
        <w:widowControl w:val="0"/>
        <w:adjustRightInd w:val="0"/>
        <w:snapToGrid w:val="0"/>
        <w:spacing w:line="360" w:lineRule="auto"/>
        <w:jc w:val="both"/>
        <w:rPr>
          <w:rFonts w:ascii="Book Antiqua" w:hAnsi="Book Antiqua" w:cs="宋体"/>
          <w:lang w:eastAsia="zh-CN"/>
        </w:rPr>
      </w:pPr>
      <w:r w:rsidRPr="007214E1">
        <w:rPr>
          <w:rFonts w:ascii="Book Antiqua" w:hAnsi="Book Antiqua" w:cs="宋体"/>
          <w:b/>
          <w:lang w:eastAsia="zh-CN"/>
        </w:rPr>
        <w:t xml:space="preserve">Country/Territory of origin: </w:t>
      </w:r>
      <w:r w:rsidR="001F48B6" w:rsidRPr="007214E1">
        <w:rPr>
          <w:rFonts w:ascii="Book Antiqua" w:eastAsia="宋体" w:hAnsi="Book Antiqua"/>
          <w:lang w:eastAsia="es-ES_tradnl"/>
        </w:rPr>
        <w:t>United States</w:t>
      </w:r>
    </w:p>
    <w:p w14:paraId="5BC713DA" w14:textId="77777777" w:rsidR="00557080" w:rsidRPr="007214E1" w:rsidRDefault="00557080" w:rsidP="00EB43EE">
      <w:pPr>
        <w:widowControl w:val="0"/>
        <w:adjustRightInd w:val="0"/>
        <w:snapToGrid w:val="0"/>
        <w:spacing w:line="360" w:lineRule="auto"/>
        <w:jc w:val="both"/>
        <w:rPr>
          <w:rFonts w:ascii="Book Antiqua" w:hAnsi="Book Antiqua" w:cs="宋体"/>
          <w:b/>
          <w:lang w:eastAsia="zh-CN"/>
        </w:rPr>
      </w:pPr>
      <w:r w:rsidRPr="007214E1">
        <w:rPr>
          <w:rFonts w:ascii="Book Antiqua" w:hAnsi="Book Antiqua" w:cs="宋体"/>
          <w:b/>
          <w:lang w:eastAsia="zh-CN"/>
        </w:rPr>
        <w:t>Peer-review report’s scientific quality classification</w:t>
      </w:r>
    </w:p>
    <w:p w14:paraId="7F516C68" w14:textId="77777777" w:rsidR="00557080" w:rsidRPr="007214E1" w:rsidRDefault="00557080" w:rsidP="00EB43EE">
      <w:pPr>
        <w:widowControl w:val="0"/>
        <w:adjustRightInd w:val="0"/>
        <w:snapToGrid w:val="0"/>
        <w:spacing w:line="360" w:lineRule="auto"/>
        <w:jc w:val="both"/>
        <w:rPr>
          <w:rFonts w:ascii="Book Antiqua" w:hAnsi="Book Antiqua" w:cs="宋体"/>
          <w:lang w:eastAsia="zh-CN"/>
        </w:rPr>
      </w:pPr>
      <w:r w:rsidRPr="007214E1">
        <w:rPr>
          <w:rFonts w:ascii="Book Antiqua" w:hAnsi="Book Antiqua" w:cs="宋体"/>
          <w:lang w:eastAsia="zh-CN"/>
        </w:rPr>
        <w:t>Grade A (Excellent): A</w:t>
      </w:r>
    </w:p>
    <w:p w14:paraId="71B8C64B" w14:textId="46CDF7B7" w:rsidR="00557080" w:rsidRPr="007214E1" w:rsidRDefault="00557080" w:rsidP="00EB43EE">
      <w:pPr>
        <w:widowControl w:val="0"/>
        <w:adjustRightInd w:val="0"/>
        <w:snapToGrid w:val="0"/>
        <w:spacing w:line="360" w:lineRule="auto"/>
        <w:jc w:val="both"/>
        <w:rPr>
          <w:rFonts w:ascii="Book Antiqua" w:eastAsia="宋体" w:hAnsi="Book Antiqua" w:cs="宋体"/>
          <w:lang w:eastAsia="zh-CN"/>
        </w:rPr>
      </w:pPr>
      <w:r w:rsidRPr="007214E1">
        <w:rPr>
          <w:rFonts w:ascii="Book Antiqua" w:hAnsi="Book Antiqua" w:cs="宋体"/>
          <w:lang w:eastAsia="zh-CN"/>
        </w:rPr>
        <w:t xml:space="preserve">Grade B (Very good): </w:t>
      </w:r>
      <w:r w:rsidR="001F48B6" w:rsidRPr="007214E1">
        <w:rPr>
          <w:rFonts w:ascii="Book Antiqua" w:eastAsia="宋体" w:hAnsi="Book Antiqua" w:cs="宋体"/>
          <w:lang w:eastAsia="zh-CN"/>
        </w:rPr>
        <w:t>0</w:t>
      </w:r>
    </w:p>
    <w:p w14:paraId="589C1678" w14:textId="5FC74337" w:rsidR="00557080" w:rsidRPr="007214E1" w:rsidRDefault="001F48B6" w:rsidP="00EB43EE">
      <w:pPr>
        <w:widowControl w:val="0"/>
        <w:adjustRightInd w:val="0"/>
        <w:snapToGrid w:val="0"/>
        <w:spacing w:line="360" w:lineRule="auto"/>
        <w:jc w:val="both"/>
        <w:rPr>
          <w:rFonts w:ascii="Book Antiqua" w:hAnsi="Book Antiqua" w:cs="宋体"/>
          <w:lang w:eastAsia="zh-CN"/>
        </w:rPr>
      </w:pPr>
      <w:r w:rsidRPr="007214E1">
        <w:rPr>
          <w:rFonts w:ascii="Book Antiqua" w:hAnsi="Book Antiqua" w:cs="宋体"/>
          <w:lang w:eastAsia="zh-CN"/>
        </w:rPr>
        <w:t>Grade C (Good): 0</w:t>
      </w:r>
    </w:p>
    <w:p w14:paraId="7716D0BB" w14:textId="64EF83A4" w:rsidR="00557080" w:rsidRPr="007214E1" w:rsidRDefault="001F48B6" w:rsidP="00EB43EE">
      <w:pPr>
        <w:widowControl w:val="0"/>
        <w:adjustRightInd w:val="0"/>
        <w:snapToGrid w:val="0"/>
        <w:spacing w:line="360" w:lineRule="auto"/>
        <w:jc w:val="both"/>
        <w:rPr>
          <w:rFonts w:ascii="Book Antiqua" w:hAnsi="Book Antiqua" w:cs="宋体"/>
          <w:lang w:eastAsia="zh-CN"/>
        </w:rPr>
      </w:pPr>
      <w:r w:rsidRPr="007214E1">
        <w:rPr>
          <w:rFonts w:ascii="Book Antiqua" w:hAnsi="Book Antiqua" w:cs="宋体"/>
          <w:lang w:eastAsia="zh-CN"/>
        </w:rPr>
        <w:t>Grade D (Fair): D</w:t>
      </w:r>
    </w:p>
    <w:p w14:paraId="41529FA7" w14:textId="1F8797A8" w:rsidR="00557080" w:rsidRPr="007214E1" w:rsidRDefault="001F48B6" w:rsidP="00EB43EE">
      <w:pPr>
        <w:widowControl w:val="0"/>
        <w:adjustRightInd w:val="0"/>
        <w:snapToGrid w:val="0"/>
        <w:spacing w:line="360" w:lineRule="auto"/>
        <w:jc w:val="both"/>
        <w:rPr>
          <w:rFonts w:ascii="Book Antiqua" w:eastAsia="等线" w:hAnsi="Book Antiqua"/>
          <w:kern w:val="2"/>
          <w:lang w:val="hu-HU" w:eastAsia="zh-CN"/>
        </w:rPr>
      </w:pPr>
      <w:r w:rsidRPr="007214E1">
        <w:rPr>
          <w:rFonts w:ascii="Book Antiqua" w:hAnsi="Book Antiqua" w:cs="宋体"/>
          <w:lang w:eastAsia="zh-CN"/>
        </w:rPr>
        <w:t>Grade E (Poor): E</w:t>
      </w:r>
    </w:p>
    <w:p w14:paraId="19C39E1D" w14:textId="77777777" w:rsidR="00557080" w:rsidRPr="007214E1" w:rsidRDefault="00557080" w:rsidP="00EB43EE">
      <w:pPr>
        <w:snapToGrid w:val="0"/>
        <w:spacing w:line="360" w:lineRule="auto"/>
        <w:jc w:val="both"/>
        <w:rPr>
          <w:rFonts w:ascii="Book Antiqua" w:eastAsia="宋体" w:hAnsi="Book Antiqua"/>
          <w:b/>
          <w:lang w:val="hu-HU" w:eastAsia="zh-CN"/>
        </w:rPr>
      </w:pPr>
    </w:p>
    <w:p w14:paraId="3E4EB73E" w14:textId="0AAF60D9" w:rsidR="00557080" w:rsidRPr="007214E1" w:rsidRDefault="00557080" w:rsidP="00EB43EE">
      <w:pPr>
        <w:snapToGrid w:val="0"/>
        <w:spacing w:line="360" w:lineRule="auto"/>
        <w:jc w:val="both"/>
        <w:rPr>
          <w:rFonts w:ascii="Book Antiqua" w:hAnsi="Book Antiqua"/>
          <w:b/>
        </w:rPr>
      </w:pPr>
      <w:r w:rsidRPr="007214E1">
        <w:rPr>
          <w:rFonts w:ascii="Book Antiqua" w:hAnsi="Book Antiqua"/>
          <w:b/>
        </w:rPr>
        <w:t>P- Reviewer:</w:t>
      </w:r>
      <w:r w:rsidRPr="007214E1">
        <w:rPr>
          <w:rFonts w:ascii="Book Antiqua" w:eastAsia="宋体" w:hAnsi="Book Antiqua"/>
          <w:b/>
          <w:lang w:eastAsia="zh-CN"/>
        </w:rPr>
        <w:t xml:space="preserve"> </w:t>
      </w:r>
      <w:proofErr w:type="spellStart"/>
      <w:r w:rsidR="001F48B6" w:rsidRPr="007214E1">
        <w:rPr>
          <w:rFonts w:ascii="Book Antiqua" w:hAnsi="Book Antiqua" w:cs="宋体"/>
          <w:color w:val="000000"/>
        </w:rPr>
        <w:t>Eskens</w:t>
      </w:r>
      <w:proofErr w:type="spellEnd"/>
      <w:r w:rsidR="001F48B6" w:rsidRPr="007214E1">
        <w:rPr>
          <w:rFonts w:ascii="Book Antiqua" w:hAnsi="Book Antiqua" w:cs="宋体"/>
          <w:color w:val="000000"/>
        </w:rPr>
        <w:t xml:space="preserve"> F, </w:t>
      </w:r>
      <w:proofErr w:type="spellStart"/>
      <w:r w:rsidR="001F48B6" w:rsidRPr="007214E1">
        <w:rPr>
          <w:rFonts w:ascii="Book Antiqua" w:hAnsi="Book Antiqua" w:cs="宋体"/>
          <w:color w:val="000000"/>
        </w:rPr>
        <w:t>Niu</w:t>
      </w:r>
      <w:proofErr w:type="spellEnd"/>
      <w:r w:rsidR="001F48B6" w:rsidRPr="007214E1">
        <w:rPr>
          <w:rFonts w:ascii="Book Antiqua" w:hAnsi="Book Antiqua" w:cs="宋体"/>
          <w:color w:val="000000"/>
        </w:rPr>
        <w:t xml:space="preserve"> ZS,</w:t>
      </w:r>
      <w:r w:rsidR="001F48B6" w:rsidRPr="007214E1">
        <w:rPr>
          <w:rFonts w:ascii="Book Antiqua" w:hAnsi="Book Antiqua"/>
        </w:rPr>
        <w:t xml:space="preserve"> </w:t>
      </w:r>
      <w:r w:rsidR="001F48B6" w:rsidRPr="007214E1">
        <w:rPr>
          <w:rFonts w:ascii="Book Antiqua" w:hAnsi="Book Antiqua" w:cs="宋体"/>
          <w:color w:val="000000"/>
        </w:rPr>
        <w:t>Wang GY</w:t>
      </w:r>
      <w:r w:rsidRPr="007214E1">
        <w:rPr>
          <w:rFonts w:ascii="Book Antiqua" w:eastAsia="宋体" w:hAnsi="Book Antiqua" w:cs="宋体"/>
          <w:color w:val="000000"/>
          <w:lang w:eastAsia="zh-CN"/>
        </w:rPr>
        <w:t xml:space="preserve"> </w:t>
      </w:r>
      <w:r w:rsidRPr="007214E1">
        <w:rPr>
          <w:rFonts w:ascii="Book Antiqua" w:hAnsi="Book Antiqua"/>
          <w:b/>
        </w:rPr>
        <w:t>S- Editor:</w:t>
      </w:r>
      <w:r w:rsidRPr="007214E1">
        <w:rPr>
          <w:rFonts w:ascii="Book Antiqua" w:hAnsi="Book Antiqua"/>
        </w:rPr>
        <w:t xml:space="preserve"> </w:t>
      </w:r>
      <w:r w:rsidR="001F48B6" w:rsidRPr="007214E1">
        <w:rPr>
          <w:rFonts w:ascii="Book Antiqua" w:hAnsi="Book Antiqua"/>
        </w:rPr>
        <w:t>Zhang L</w:t>
      </w:r>
      <w:r w:rsidR="001F48B6" w:rsidRPr="007214E1">
        <w:rPr>
          <w:rFonts w:ascii="Book Antiqua" w:eastAsia="宋体" w:hAnsi="Book Antiqua"/>
          <w:lang w:eastAsia="zh-CN"/>
        </w:rPr>
        <w:t xml:space="preserve"> </w:t>
      </w:r>
      <w:r w:rsidR="00072AC0" w:rsidRPr="007214E1">
        <w:rPr>
          <w:rFonts w:ascii="Book Antiqua" w:hAnsi="Book Antiqua"/>
          <w:b/>
        </w:rPr>
        <w:t>L-</w:t>
      </w:r>
      <w:r w:rsidRPr="007214E1">
        <w:rPr>
          <w:rFonts w:ascii="Book Antiqua" w:hAnsi="Book Antiqua"/>
          <w:b/>
        </w:rPr>
        <w:t>Editor:</w:t>
      </w:r>
      <w:r w:rsidRPr="007214E1">
        <w:rPr>
          <w:rFonts w:ascii="Book Antiqua" w:hAnsi="Book Antiqua"/>
        </w:rPr>
        <w:t xml:space="preserve"> </w:t>
      </w:r>
      <w:r w:rsidR="00072AC0" w:rsidRPr="007214E1">
        <w:rPr>
          <w:rFonts w:ascii="Book Antiqua" w:eastAsia="宋体" w:hAnsi="Book Antiqua" w:hint="eastAsia"/>
          <w:lang w:eastAsia="zh-CN"/>
        </w:rPr>
        <w:t xml:space="preserve">A </w:t>
      </w:r>
      <w:r w:rsidR="00072AC0" w:rsidRPr="007214E1">
        <w:rPr>
          <w:rFonts w:ascii="Book Antiqua" w:hAnsi="Book Antiqua"/>
          <w:b/>
        </w:rPr>
        <w:t>E-Editor:</w:t>
      </w:r>
      <w:r w:rsidR="00072AC0" w:rsidRPr="007214E1">
        <w:rPr>
          <w:rFonts w:ascii="Book Antiqua" w:eastAsia="宋体" w:hAnsi="Book Antiqua" w:hint="eastAsia"/>
          <w:b/>
          <w:lang w:eastAsia="zh-CN"/>
        </w:rPr>
        <w:t xml:space="preserve"> </w:t>
      </w:r>
      <w:r w:rsidR="00072AC0" w:rsidRPr="007214E1">
        <w:rPr>
          <w:rFonts w:ascii="Book Antiqua" w:eastAsia="宋体" w:hAnsi="Book Antiqua" w:hint="eastAsia"/>
          <w:lang w:eastAsia="zh-CN"/>
        </w:rPr>
        <w:t>Wang LL</w:t>
      </w:r>
      <w:r w:rsidR="00072AC0" w:rsidRPr="007214E1">
        <w:rPr>
          <w:rFonts w:ascii="Book Antiqua" w:hAnsi="Book Antiqua"/>
          <w:b/>
        </w:rPr>
        <w:t xml:space="preserve"> </w:t>
      </w:r>
      <w:r w:rsidRPr="007214E1">
        <w:rPr>
          <w:rFonts w:ascii="Book Antiqua" w:hAnsi="Book Antiqua"/>
          <w:b/>
        </w:rPr>
        <w:br w:type="page"/>
      </w:r>
    </w:p>
    <w:p w14:paraId="1724A081" w14:textId="48224879" w:rsidR="008D6BF4" w:rsidRPr="007214E1" w:rsidRDefault="00AB4166" w:rsidP="00EB43EE">
      <w:pPr>
        <w:shd w:val="clear" w:color="auto" w:fill="FFFFFF"/>
        <w:snapToGrid w:val="0"/>
        <w:spacing w:line="360" w:lineRule="auto"/>
        <w:jc w:val="both"/>
        <w:rPr>
          <w:rFonts w:ascii="Book Antiqua" w:hAnsi="Book Antiqua"/>
          <w:b/>
          <w:color w:val="000000"/>
          <w:lang w:val="en-GB"/>
        </w:rPr>
      </w:pPr>
      <w:r w:rsidRPr="007214E1">
        <w:rPr>
          <w:rFonts w:ascii="Book Antiqua" w:hAnsi="Book Antiqua"/>
          <w:b/>
        </w:rPr>
        <w:lastRenderedPageBreak/>
        <w:t>Table 1 List of systemic therapies utilized in combination therapy</w:t>
      </w:r>
    </w:p>
    <w:tbl>
      <w:tblPr>
        <w:tblStyle w:val="ad"/>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977"/>
        <w:gridCol w:w="4253"/>
      </w:tblGrid>
      <w:tr w:rsidR="008D6BF4" w:rsidRPr="007214E1" w14:paraId="4D2F5AB8" w14:textId="77777777" w:rsidTr="00A859B6">
        <w:tc>
          <w:tcPr>
            <w:tcW w:w="2263" w:type="dxa"/>
            <w:tcBorders>
              <w:top w:val="single" w:sz="4" w:space="0" w:color="auto"/>
              <w:bottom w:val="single" w:sz="4" w:space="0" w:color="auto"/>
            </w:tcBorders>
          </w:tcPr>
          <w:p w14:paraId="732E2185" w14:textId="6576A516"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Drug </w:t>
            </w:r>
            <w:r w:rsidR="00A859B6" w:rsidRPr="007214E1">
              <w:rPr>
                <w:rFonts w:ascii="Book Antiqua" w:hAnsi="Book Antiqua"/>
                <w:b/>
              </w:rPr>
              <w:t>class</w:t>
            </w:r>
          </w:p>
        </w:tc>
        <w:tc>
          <w:tcPr>
            <w:tcW w:w="2977" w:type="dxa"/>
            <w:tcBorders>
              <w:top w:val="single" w:sz="4" w:space="0" w:color="auto"/>
              <w:bottom w:val="single" w:sz="4" w:space="0" w:color="auto"/>
            </w:tcBorders>
          </w:tcPr>
          <w:p w14:paraId="4BC8CF0C" w14:textId="15E6BB7E" w:rsidR="008D6BF4" w:rsidRPr="007214E1" w:rsidRDefault="00A859B6" w:rsidP="00EB43EE">
            <w:pPr>
              <w:snapToGrid w:val="0"/>
              <w:spacing w:line="360" w:lineRule="auto"/>
              <w:jc w:val="both"/>
              <w:rPr>
                <w:rFonts w:ascii="Book Antiqua" w:hAnsi="Book Antiqua"/>
                <w:b/>
              </w:rPr>
            </w:pPr>
            <w:r w:rsidRPr="007214E1">
              <w:rPr>
                <w:rFonts w:ascii="Book Antiqua" w:hAnsi="Book Antiqua"/>
                <w:b/>
              </w:rPr>
              <w:t>List of agents</w:t>
            </w:r>
          </w:p>
        </w:tc>
        <w:tc>
          <w:tcPr>
            <w:tcW w:w="4253" w:type="dxa"/>
            <w:tcBorders>
              <w:top w:val="single" w:sz="4" w:space="0" w:color="auto"/>
              <w:bottom w:val="single" w:sz="4" w:space="0" w:color="auto"/>
            </w:tcBorders>
          </w:tcPr>
          <w:p w14:paraId="71BBD034" w14:textId="39910F4E"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Mechanism of </w:t>
            </w:r>
            <w:r w:rsidR="00A859B6" w:rsidRPr="007214E1">
              <w:rPr>
                <w:rFonts w:ascii="Book Antiqua" w:hAnsi="Book Antiqua"/>
                <w:b/>
              </w:rPr>
              <w:t>action</w:t>
            </w:r>
          </w:p>
        </w:tc>
      </w:tr>
      <w:tr w:rsidR="008D6BF4" w:rsidRPr="007214E1" w14:paraId="4618C0DA" w14:textId="77777777" w:rsidTr="00A859B6">
        <w:tc>
          <w:tcPr>
            <w:tcW w:w="2263" w:type="dxa"/>
            <w:tcBorders>
              <w:top w:val="single" w:sz="4" w:space="0" w:color="auto"/>
            </w:tcBorders>
          </w:tcPr>
          <w:p w14:paraId="2CB81A30" w14:textId="27EC991E"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PD-1 </w:t>
            </w:r>
            <w:r w:rsidR="00A859B6" w:rsidRPr="007214E1">
              <w:rPr>
                <w:rFonts w:ascii="Book Antiqua" w:hAnsi="Book Antiqua"/>
              </w:rPr>
              <w:t>inhibitors</w:t>
            </w:r>
          </w:p>
        </w:tc>
        <w:tc>
          <w:tcPr>
            <w:tcW w:w="2977" w:type="dxa"/>
            <w:tcBorders>
              <w:top w:val="single" w:sz="4" w:space="0" w:color="auto"/>
            </w:tcBorders>
          </w:tcPr>
          <w:p w14:paraId="2DD17902" w14:textId="66944B92" w:rsidR="008D6BF4" w:rsidRPr="007214E1" w:rsidRDefault="00A859B6" w:rsidP="00EB43EE">
            <w:pPr>
              <w:snapToGrid w:val="0"/>
              <w:spacing w:line="360" w:lineRule="auto"/>
              <w:jc w:val="both"/>
              <w:rPr>
                <w:rFonts w:ascii="Book Antiqua" w:hAnsi="Book Antiqua"/>
              </w:rPr>
            </w:pPr>
            <w:proofErr w:type="spellStart"/>
            <w:r w:rsidRPr="007214E1">
              <w:rPr>
                <w:rFonts w:ascii="Book Antiqua" w:hAnsi="Book Antiqua"/>
              </w:rPr>
              <w:t>Nivolumab</w:t>
            </w:r>
            <w:proofErr w:type="spellEnd"/>
            <w:r w:rsidRPr="007214E1">
              <w:rPr>
                <w:rFonts w:ascii="Book Antiqua" w:hAnsi="Book Antiqua"/>
              </w:rPr>
              <w:t xml:space="preserve">, </w:t>
            </w:r>
            <w:proofErr w:type="spellStart"/>
            <w:r w:rsidRPr="007214E1">
              <w:rPr>
                <w:rFonts w:ascii="Book Antiqua" w:hAnsi="Book Antiqua"/>
              </w:rPr>
              <w:t>Pembrolizumab</w:t>
            </w:r>
            <w:proofErr w:type="spellEnd"/>
            <w:r w:rsidRPr="007214E1">
              <w:rPr>
                <w:rFonts w:ascii="Book Antiqua" w:hAnsi="Book Antiqua"/>
              </w:rPr>
              <w:t xml:space="preserve">, </w:t>
            </w:r>
            <w:proofErr w:type="spellStart"/>
            <w:r w:rsidR="008D6BF4" w:rsidRPr="007214E1">
              <w:rPr>
                <w:rFonts w:ascii="Book Antiqua" w:hAnsi="Book Antiqua"/>
              </w:rPr>
              <w:t>Camrelizumab</w:t>
            </w:r>
            <w:proofErr w:type="spellEnd"/>
            <w:r w:rsidR="008D6BF4" w:rsidRPr="007214E1">
              <w:rPr>
                <w:rFonts w:ascii="Book Antiqua" w:hAnsi="Book Antiqua"/>
              </w:rPr>
              <w:t xml:space="preserve">, </w:t>
            </w:r>
            <w:proofErr w:type="spellStart"/>
            <w:r w:rsidR="008D6BF4" w:rsidRPr="007214E1">
              <w:rPr>
                <w:rFonts w:ascii="Book Antiqua" w:hAnsi="Book Antiqua"/>
              </w:rPr>
              <w:t>Tislelizumab</w:t>
            </w:r>
            <w:proofErr w:type="spellEnd"/>
          </w:p>
        </w:tc>
        <w:tc>
          <w:tcPr>
            <w:tcW w:w="4253" w:type="dxa"/>
            <w:tcBorders>
              <w:top w:val="single" w:sz="4" w:space="0" w:color="auto"/>
            </w:tcBorders>
          </w:tcPr>
          <w:p w14:paraId="581C05D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Inhibits PD-1 receptor from binding to PD-L1</w:t>
            </w:r>
          </w:p>
        </w:tc>
      </w:tr>
      <w:tr w:rsidR="008D6BF4" w:rsidRPr="007214E1" w14:paraId="1D562B61" w14:textId="77777777" w:rsidTr="00A859B6">
        <w:tc>
          <w:tcPr>
            <w:tcW w:w="2263" w:type="dxa"/>
          </w:tcPr>
          <w:p w14:paraId="3EAB4A6E" w14:textId="0946C434"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PD-L1 </w:t>
            </w:r>
            <w:r w:rsidR="00A859B6" w:rsidRPr="007214E1">
              <w:rPr>
                <w:rFonts w:ascii="Book Antiqua" w:hAnsi="Book Antiqua"/>
              </w:rPr>
              <w:t>inhibitors</w:t>
            </w:r>
          </w:p>
        </w:tc>
        <w:tc>
          <w:tcPr>
            <w:tcW w:w="2977" w:type="dxa"/>
          </w:tcPr>
          <w:p w14:paraId="4C5332A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Atezolizumab, Durvalumab, Avelumab</w:t>
            </w:r>
          </w:p>
        </w:tc>
        <w:tc>
          <w:tcPr>
            <w:tcW w:w="4253" w:type="dxa"/>
          </w:tcPr>
          <w:p w14:paraId="2ECA2E1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Inhibits PD-L1 ligand from binding to PD-1 receptor</w:t>
            </w:r>
          </w:p>
        </w:tc>
      </w:tr>
      <w:tr w:rsidR="008D6BF4" w:rsidRPr="007214E1" w14:paraId="6A33409B" w14:textId="77777777" w:rsidTr="00A859B6">
        <w:tc>
          <w:tcPr>
            <w:tcW w:w="2263" w:type="dxa"/>
          </w:tcPr>
          <w:p w14:paraId="0DCADC9E" w14:textId="4D3CC499"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CTLA-4 </w:t>
            </w:r>
            <w:r w:rsidR="00A859B6" w:rsidRPr="007214E1">
              <w:rPr>
                <w:rFonts w:ascii="Book Antiqua" w:hAnsi="Book Antiqua"/>
              </w:rPr>
              <w:t>inhibitors</w:t>
            </w:r>
          </w:p>
        </w:tc>
        <w:tc>
          <w:tcPr>
            <w:tcW w:w="2977" w:type="dxa"/>
          </w:tcPr>
          <w:p w14:paraId="3A7E4B9A"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Ipilimumab</w:t>
            </w:r>
            <w:proofErr w:type="spellEnd"/>
            <w:r w:rsidRPr="007214E1">
              <w:rPr>
                <w:rFonts w:ascii="Book Antiqua" w:hAnsi="Book Antiqua"/>
              </w:rPr>
              <w:t xml:space="preserve">, </w:t>
            </w:r>
            <w:proofErr w:type="spellStart"/>
            <w:r w:rsidRPr="007214E1">
              <w:rPr>
                <w:rFonts w:ascii="Book Antiqua" w:hAnsi="Book Antiqua"/>
              </w:rPr>
              <w:t>Tremelimumab</w:t>
            </w:r>
            <w:proofErr w:type="spellEnd"/>
          </w:p>
        </w:tc>
        <w:tc>
          <w:tcPr>
            <w:tcW w:w="4253" w:type="dxa"/>
          </w:tcPr>
          <w:p w14:paraId="1A27213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Inhibits CTLA-4 receptor from binding to CD80 or CD86</w:t>
            </w:r>
          </w:p>
        </w:tc>
      </w:tr>
      <w:tr w:rsidR="008D6BF4" w:rsidRPr="007214E1" w14:paraId="73FB2016" w14:textId="77777777" w:rsidTr="00A859B6">
        <w:tc>
          <w:tcPr>
            <w:tcW w:w="2263" w:type="dxa"/>
          </w:tcPr>
          <w:p w14:paraId="4B42688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OX40 agonists</w:t>
            </w:r>
          </w:p>
        </w:tc>
        <w:tc>
          <w:tcPr>
            <w:tcW w:w="2977" w:type="dxa"/>
          </w:tcPr>
          <w:p w14:paraId="16332EF9" w14:textId="2F3454C4" w:rsidR="008D6BF4" w:rsidRPr="007214E1" w:rsidRDefault="00A859B6" w:rsidP="00EB43EE">
            <w:pPr>
              <w:snapToGrid w:val="0"/>
              <w:spacing w:line="360" w:lineRule="auto"/>
              <w:jc w:val="both"/>
              <w:rPr>
                <w:rFonts w:ascii="Book Antiqua" w:hAnsi="Book Antiqua"/>
              </w:rPr>
            </w:pPr>
            <w:r w:rsidRPr="007214E1">
              <w:rPr>
                <w:rFonts w:ascii="Book Antiqua" w:hAnsi="Book Antiqua"/>
              </w:rPr>
              <w:t xml:space="preserve">INCAGN01876, </w:t>
            </w:r>
            <w:r w:rsidR="008D6BF4" w:rsidRPr="007214E1">
              <w:rPr>
                <w:rFonts w:ascii="Book Antiqua" w:hAnsi="Book Antiqua"/>
              </w:rPr>
              <w:t>INCAGN01949</w:t>
            </w:r>
          </w:p>
        </w:tc>
        <w:tc>
          <w:tcPr>
            <w:tcW w:w="4253" w:type="dxa"/>
          </w:tcPr>
          <w:p w14:paraId="449DC77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Activates OX40 receptor </w:t>
            </w:r>
            <w:r w:rsidRPr="007214E1">
              <w:rPr>
                <w:rFonts w:ascii="Book Antiqua" w:hAnsi="Book Antiqua"/>
                <w:i/>
              </w:rPr>
              <w:t>via</w:t>
            </w:r>
            <w:r w:rsidRPr="007214E1">
              <w:rPr>
                <w:rFonts w:ascii="Book Antiqua" w:hAnsi="Book Antiqua"/>
              </w:rPr>
              <w:t xml:space="preserve"> direct binding</w:t>
            </w:r>
          </w:p>
        </w:tc>
      </w:tr>
      <w:tr w:rsidR="008D6BF4" w:rsidRPr="007214E1" w14:paraId="5438BD1D" w14:textId="77777777" w:rsidTr="00A859B6">
        <w:tc>
          <w:tcPr>
            <w:tcW w:w="2263" w:type="dxa"/>
          </w:tcPr>
          <w:p w14:paraId="040ADABD" w14:textId="662E370A"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Multiple </w:t>
            </w:r>
            <w:r w:rsidR="00A859B6" w:rsidRPr="007214E1">
              <w:rPr>
                <w:rFonts w:ascii="Book Antiqua" w:hAnsi="Book Antiqua"/>
              </w:rPr>
              <w:t>tyrosine kinase inhibitors</w:t>
            </w:r>
          </w:p>
        </w:tc>
        <w:tc>
          <w:tcPr>
            <w:tcW w:w="2977" w:type="dxa"/>
          </w:tcPr>
          <w:p w14:paraId="2F764A1F"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Sorafenib</w:t>
            </w:r>
            <w:proofErr w:type="spellEnd"/>
            <w:r w:rsidRPr="007214E1">
              <w:rPr>
                <w:rFonts w:ascii="Book Antiqua" w:hAnsi="Book Antiqua"/>
              </w:rPr>
              <w:t xml:space="preserve">, </w:t>
            </w:r>
            <w:proofErr w:type="spellStart"/>
            <w:r w:rsidRPr="007214E1">
              <w:rPr>
                <w:rFonts w:ascii="Book Antiqua" w:hAnsi="Book Antiqua"/>
              </w:rPr>
              <w:t>Cabozantinib</w:t>
            </w:r>
            <w:proofErr w:type="spellEnd"/>
            <w:r w:rsidRPr="007214E1">
              <w:rPr>
                <w:rFonts w:ascii="Book Antiqua" w:hAnsi="Book Antiqua"/>
              </w:rPr>
              <w:t xml:space="preserve">, </w:t>
            </w:r>
            <w:proofErr w:type="spellStart"/>
            <w:r w:rsidRPr="007214E1">
              <w:rPr>
                <w:rFonts w:ascii="Book Antiqua" w:hAnsi="Book Antiqua"/>
              </w:rPr>
              <w:t>Lenvatinib</w:t>
            </w:r>
            <w:proofErr w:type="spellEnd"/>
            <w:r w:rsidRPr="007214E1">
              <w:rPr>
                <w:rFonts w:ascii="Book Antiqua" w:hAnsi="Book Antiqua"/>
              </w:rPr>
              <w:t xml:space="preserve">, </w:t>
            </w:r>
            <w:proofErr w:type="spellStart"/>
            <w:r w:rsidRPr="007214E1">
              <w:rPr>
                <w:rFonts w:ascii="Book Antiqua" w:hAnsi="Book Antiqua"/>
              </w:rPr>
              <w:t>Regorafenib</w:t>
            </w:r>
            <w:proofErr w:type="spellEnd"/>
            <w:r w:rsidRPr="007214E1">
              <w:rPr>
                <w:rFonts w:ascii="Book Antiqua" w:hAnsi="Book Antiqua"/>
              </w:rPr>
              <w:t xml:space="preserve">, </w:t>
            </w:r>
            <w:proofErr w:type="spellStart"/>
            <w:r w:rsidRPr="007214E1">
              <w:rPr>
                <w:rFonts w:ascii="Book Antiqua" w:hAnsi="Book Antiqua"/>
              </w:rPr>
              <w:t>Apatinib</w:t>
            </w:r>
            <w:proofErr w:type="spellEnd"/>
          </w:p>
        </w:tc>
        <w:tc>
          <w:tcPr>
            <w:tcW w:w="4253" w:type="dxa"/>
          </w:tcPr>
          <w:p w14:paraId="6806495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Inhibits signaling from multiple tyrosine kinases</w:t>
            </w:r>
          </w:p>
        </w:tc>
      </w:tr>
      <w:tr w:rsidR="008D6BF4" w:rsidRPr="007214E1" w14:paraId="4D9E18BC" w14:textId="77777777" w:rsidTr="00A859B6">
        <w:tc>
          <w:tcPr>
            <w:tcW w:w="2263" w:type="dxa"/>
          </w:tcPr>
          <w:p w14:paraId="1FBBDCF3"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VEGF or VEGFR inhibitors</w:t>
            </w:r>
          </w:p>
        </w:tc>
        <w:tc>
          <w:tcPr>
            <w:tcW w:w="2977" w:type="dxa"/>
          </w:tcPr>
          <w:p w14:paraId="051820D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Ramucirumab, Bevacizumab</w:t>
            </w:r>
          </w:p>
        </w:tc>
        <w:tc>
          <w:tcPr>
            <w:tcW w:w="4253" w:type="dxa"/>
          </w:tcPr>
          <w:p w14:paraId="09B05AF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 Inhibits VEGF interaction with VEGFR</w:t>
            </w:r>
          </w:p>
        </w:tc>
      </w:tr>
      <w:tr w:rsidR="008D6BF4" w:rsidRPr="007214E1" w14:paraId="2554FBAB" w14:textId="77777777" w:rsidTr="00A859B6">
        <w:tc>
          <w:tcPr>
            <w:tcW w:w="2263" w:type="dxa"/>
          </w:tcPr>
          <w:p w14:paraId="4527B2D2"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Phosphaplatins</w:t>
            </w:r>
            <w:proofErr w:type="spellEnd"/>
          </w:p>
        </w:tc>
        <w:tc>
          <w:tcPr>
            <w:tcW w:w="2977" w:type="dxa"/>
          </w:tcPr>
          <w:p w14:paraId="1F0409E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PT-112</w:t>
            </w:r>
          </w:p>
        </w:tc>
        <w:tc>
          <w:tcPr>
            <w:tcW w:w="4253" w:type="dxa"/>
          </w:tcPr>
          <w:p w14:paraId="78FD37DC" w14:textId="1AB04F49" w:rsidR="008D6BF4" w:rsidRPr="007214E1" w:rsidRDefault="008D6BF4" w:rsidP="00EB43EE">
            <w:pPr>
              <w:snapToGrid w:val="0"/>
              <w:spacing w:line="360" w:lineRule="auto"/>
              <w:jc w:val="both"/>
              <w:rPr>
                <w:rFonts w:ascii="Book Antiqua" w:hAnsi="Book Antiqua"/>
              </w:rPr>
            </w:pPr>
            <w:r w:rsidRPr="007214E1">
              <w:rPr>
                <w:rFonts w:ascii="Book Antiqua" w:hAnsi="Book Antiqua"/>
              </w:rPr>
              <w:t>Activates tumor cell a</w:t>
            </w:r>
            <w:r w:rsidR="00A859B6" w:rsidRPr="007214E1">
              <w:rPr>
                <w:rFonts w:ascii="Book Antiqua" w:hAnsi="Book Antiqua"/>
              </w:rPr>
              <w:t>poptosis, inhibits angiogenesis</w:t>
            </w:r>
          </w:p>
        </w:tc>
      </w:tr>
    </w:tbl>
    <w:p w14:paraId="78648C74" w14:textId="77777777" w:rsidR="004D2778" w:rsidRPr="007214E1" w:rsidRDefault="00A859B6" w:rsidP="00EB43EE">
      <w:pPr>
        <w:snapToGrid w:val="0"/>
        <w:spacing w:line="360" w:lineRule="auto"/>
        <w:jc w:val="both"/>
        <w:rPr>
          <w:rFonts w:ascii="Book Antiqua" w:hAnsi="Book Antiqua"/>
        </w:rPr>
        <w:sectPr w:rsidR="004D2778" w:rsidRPr="007214E1" w:rsidSect="00AB4166">
          <w:footerReference w:type="default" r:id="rId11"/>
          <w:type w:val="continuous"/>
          <w:pgSz w:w="12240" w:h="15840"/>
          <w:pgMar w:top="1440" w:right="1800" w:bottom="1440" w:left="1800" w:header="720" w:footer="720" w:gutter="0"/>
          <w:cols w:space="720"/>
          <w:docGrid w:linePitch="360"/>
        </w:sectPr>
      </w:pPr>
      <w:r w:rsidRPr="007214E1">
        <w:rPr>
          <w:rFonts w:ascii="Book Antiqua" w:hAnsi="Book Antiqua"/>
        </w:rPr>
        <w:t>VEGF: Vascular endothelial growth factor; VEGFR: Vascular endothelial growth factor receptor.</w:t>
      </w:r>
    </w:p>
    <w:p w14:paraId="336CE42B" w14:textId="2AF2963A" w:rsidR="008D6BF4" w:rsidRPr="007214E1" w:rsidRDefault="00A859B6" w:rsidP="00EB43EE">
      <w:pPr>
        <w:snapToGrid w:val="0"/>
        <w:spacing w:line="360" w:lineRule="auto"/>
        <w:jc w:val="both"/>
        <w:rPr>
          <w:rFonts w:ascii="Book Antiqua" w:hAnsi="Book Antiqua"/>
          <w:b/>
        </w:rPr>
      </w:pPr>
      <w:r w:rsidRPr="007214E1">
        <w:rPr>
          <w:rFonts w:ascii="Book Antiqua" w:hAnsi="Book Antiqua"/>
          <w:b/>
        </w:rPr>
        <w:lastRenderedPageBreak/>
        <w:t>Table 2</w:t>
      </w:r>
      <w:r w:rsidR="008D6BF4" w:rsidRPr="007214E1">
        <w:rPr>
          <w:rFonts w:ascii="Book Antiqua" w:hAnsi="Book Antiqua"/>
          <w:b/>
        </w:rPr>
        <w:t xml:space="preserve"> Reported </w:t>
      </w:r>
      <w:r w:rsidRPr="007214E1">
        <w:rPr>
          <w:rFonts w:ascii="Book Antiqua" w:hAnsi="Book Antiqua"/>
          <w:b/>
        </w:rPr>
        <w:t>results of successful clinical trials evaluating immunotherapy in hepatocellular carcinoma patients</w:t>
      </w:r>
    </w:p>
    <w:tbl>
      <w:tblPr>
        <w:tblStyle w:val="ad"/>
        <w:tblW w:w="13101" w:type="dxa"/>
        <w:tblInd w:w="-4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985"/>
        <w:gridCol w:w="1381"/>
        <w:gridCol w:w="856"/>
        <w:gridCol w:w="1656"/>
        <w:gridCol w:w="1408"/>
        <w:gridCol w:w="1995"/>
        <w:gridCol w:w="1693"/>
      </w:tblGrid>
      <w:tr w:rsidR="008D6BF4" w:rsidRPr="007214E1" w14:paraId="583C2BBF" w14:textId="77777777" w:rsidTr="00BC3483">
        <w:tc>
          <w:tcPr>
            <w:tcW w:w="2127" w:type="dxa"/>
            <w:tcBorders>
              <w:top w:val="single" w:sz="4" w:space="0" w:color="auto"/>
              <w:bottom w:val="single" w:sz="4" w:space="0" w:color="auto"/>
            </w:tcBorders>
          </w:tcPr>
          <w:p w14:paraId="737A0C33"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Therapy </w:t>
            </w:r>
          </w:p>
        </w:tc>
        <w:tc>
          <w:tcPr>
            <w:tcW w:w="1985" w:type="dxa"/>
            <w:tcBorders>
              <w:top w:val="single" w:sz="4" w:space="0" w:color="auto"/>
              <w:bottom w:val="single" w:sz="4" w:space="0" w:color="auto"/>
            </w:tcBorders>
          </w:tcPr>
          <w:p w14:paraId="2C3304C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Comparator</w:t>
            </w:r>
          </w:p>
        </w:tc>
        <w:tc>
          <w:tcPr>
            <w:tcW w:w="1381" w:type="dxa"/>
            <w:tcBorders>
              <w:top w:val="single" w:sz="4" w:space="0" w:color="auto"/>
              <w:bottom w:val="single" w:sz="4" w:space="0" w:color="auto"/>
            </w:tcBorders>
          </w:tcPr>
          <w:p w14:paraId="3C4B10B3" w14:textId="302E99E3"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Therapy </w:t>
            </w:r>
            <w:r w:rsidR="004D2778" w:rsidRPr="007214E1">
              <w:rPr>
                <w:rFonts w:ascii="Book Antiqua" w:hAnsi="Book Antiqua"/>
                <w:b/>
              </w:rPr>
              <w:t>indication</w:t>
            </w:r>
          </w:p>
        </w:tc>
        <w:tc>
          <w:tcPr>
            <w:tcW w:w="856" w:type="dxa"/>
            <w:tcBorders>
              <w:top w:val="single" w:sz="4" w:space="0" w:color="auto"/>
              <w:bottom w:val="single" w:sz="4" w:space="0" w:color="auto"/>
            </w:tcBorders>
          </w:tcPr>
          <w:p w14:paraId="26CC64A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Phase</w:t>
            </w:r>
          </w:p>
        </w:tc>
        <w:tc>
          <w:tcPr>
            <w:tcW w:w="1656" w:type="dxa"/>
            <w:tcBorders>
              <w:top w:val="single" w:sz="4" w:space="0" w:color="auto"/>
              <w:bottom w:val="single" w:sz="4" w:space="0" w:color="auto"/>
            </w:tcBorders>
          </w:tcPr>
          <w:p w14:paraId="0A3EAC19" w14:textId="0DA9DC2E"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Approximate </w:t>
            </w:r>
            <w:r w:rsidR="004D2778" w:rsidRPr="007214E1">
              <w:rPr>
                <w:rFonts w:ascii="Book Antiqua" w:hAnsi="Book Antiqua"/>
                <w:b/>
              </w:rPr>
              <w:t>data collection period</w:t>
            </w:r>
          </w:p>
        </w:tc>
        <w:tc>
          <w:tcPr>
            <w:tcW w:w="1408" w:type="dxa"/>
            <w:tcBorders>
              <w:top w:val="single" w:sz="4" w:space="0" w:color="auto"/>
              <w:bottom w:val="single" w:sz="4" w:space="0" w:color="auto"/>
            </w:tcBorders>
          </w:tcPr>
          <w:p w14:paraId="215CE27F" w14:textId="346CFEAD"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Patients </w:t>
            </w:r>
            <w:r w:rsidR="004D2778" w:rsidRPr="007214E1">
              <w:rPr>
                <w:rFonts w:ascii="Book Antiqua" w:hAnsi="Book Antiqua"/>
                <w:b/>
              </w:rPr>
              <w:t>enrolled</w:t>
            </w:r>
          </w:p>
        </w:tc>
        <w:tc>
          <w:tcPr>
            <w:tcW w:w="1995" w:type="dxa"/>
            <w:tcBorders>
              <w:top w:val="single" w:sz="4" w:space="0" w:color="auto"/>
              <w:bottom w:val="single" w:sz="4" w:space="0" w:color="auto"/>
            </w:tcBorders>
          </w:tcPr>
          <w:p w14:paraId="0369EA72" w14:textId="54BC072F"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Primary </w:t>
            </w:r>
            <w:r w:rsidR="004D2778" w:rsidRPr="007214E1">
              <w:rPr>
                <w:rFonts w:ascii="Book Antiqua" w:hAnsi="Book Antiqua"/>
                <w:b/>
              </w:rPr>
              <w:t>endpoints</w:t>
            </w:r>
          </w:p>
        </w:tc>
        <w:tc>
          <w:tcPr>
            <w:tcW w:w="1693" w:type="dxa"/>
            <w:tcBorders>
              <w:top w:val="single" w:sz="4" w:space="0" w:color="auto"/>
              <w:bottom w:val="single" w:sz="4" w:space="0" w:color="auto"/>
            </w:tcBorders>
          </w:tcPr>
          <w:p w14:paraId="1153D5C2" w14:textId="3E20B274"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Trial </w:t>
            </w:r>
            <w:r w:rsidR="004D2778" w:rsidRPr="007214E1">
              <w:rPr>
                <w:rFonts w:ascii="Book Antiqua" w:hAnsi="Book Antiqua"/>
                <w:b/>
              </w:rPr>
              <w:t>identifier</w:t>
            </w:r>
          </w:p>
        </w:tc>
      </w:tr>
      <w:tr w:rsidR="008D6BF4" w:rsidRPr="007214E1" w14:paraId="2FAE2F9D" w14:textId="77777777" w:rsidTr="00BC3483">
        <w:tc>
          <w:tcPr>
            <w:tcW w:w="2127" w:type="dxa"/>
            <w:tcBorders>
              <w:top w:val="single" w:sz="4" w:space="0" w:color="auto"/>
            </w:tcBorders>
          </w:tcPr>
          <w:p w14:paraId="1767280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Nivolumab</w:t>
            </w:r>
          </w:p>
        </w:tc>
        <w:tc>
          <w:tcPr>
            <w:tcW w:w="1985" w:type="dxa"/>
            <w:tcBorders>
              <w:top w:val="single" w:sz="4" w:space="0" w:color="auto"/>
            </w:tcBorders>
          </w:tcPr>
          <w:p w14:paraId="6B77BF7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381" w:type="dxa"/>
            <w:tcBorders>
              <w:top w:val="single" w:sz="4" w:space="0" w:color="auto"/>
            </w:tcBorders>
          </w:tcPr>
          <w:p w14:paraId="6BF8AB5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Not specified</w:t>
            </w:r>
          </w:p>
        </w:tc>
        <w:tc>
          <w:tcPr>
            <w:tcW w:w="856" w:type="dxa"/>
            <w:tcBorders>
              <w:top w:val="single" w:sz="4" w:space="0" w:color="auto"/>
            </w:tcBorders>
          </w:tcPr>
          <w:p w14:paraId="3DD21F8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1656" w:type="dxa"/>
            <w:tcBorders>
              <w:top w:val="single" w:sz="4" w:space="0" w:color="auto"/>
            </w:tcBorders>
          </w:tcPr>
          <w:p w14:paraId="410FEEFC" w14:textId="377C5380" w:rsidR="008D6BF4" w:rsidRPr="007214E1" w:rsidRDefault="00BC3483" w:rsidP="00EB43EE">
            <w:pPr>
              <w:snapToGrid w:val="0"/>
              <w:spacing w:line="360" w:lineRule="auto"/>
              <w:jc w:val="both"/>
              <w:rPr>
                <w:rFonts w:ascii="Book Antiqua" w:hAnsi="Book Antiqua"/>
              </w:rPr>
            </w:pPr>
            <w:r w:rsidRPr="007214E1">
              <w:rPr>
                <w:rFonts w:ascii="Book Antiqua" w:hAnsi="Book Antiqua"/>
              </w:rPr>
              <w:t>November 26, 2012-August 8, 2016</w:t>
            </w:r>
          </w:p>
        </w:tc>
        <w:tc>
          <w:tcPr>
            <w:tcW w:w="1408" w:type="dxa"/>
            <w:tcBorders>
              <w:top w:val="single" w:sz="4" w:space="0" w:color="auto"/>
            </w:tcBorders>
          </w:tcPr>
          <w:p w14:paraId="1B4FFFD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214 (dose-escalation), 48 (dose-expansion)</w:t>
            </w:r>
          </w:p>
        </w:tc>
        <w:tc>
          <w:tcPr>
            <w:tcW w:w="1995" w:type="dxa"/>
            <w:tcBorders>
              <w:top w:val="single" w:sz="4" w:space="0" w:color="auto"/>
            </w:tcBorders>
          </w:tcPr>
          <w:p w14:paraId="67165064" w14:textId="3C855DEF" w:rsidR="008D6BF4" w:rsidRPr="007214E1" w:rsidRDefault="008D6BF4" w:rsidP="00EB43EE">
            <w:pPr>
              <w:snapToGrid w:val="0"/>
              <w:spacing w:line="360" w:lineRule="auto"/>
              <w:jc w:val="both"/>
              <w:rPr>
                <w:rFonts w:ascii="Book Antiqua" w:hAnsi="Book Antiqua"/>
              </w:rPr>
            </w:pPr>
            <w:r w:rsidRPr="007214E1">
              <w:rPr>
                <w:rFonts w:ascii="Book Antiqua" w:hAnsi="Book Antiqua"/>
              </w:rPr>
              <w:t>ORR (dose-escalation phase -</w:t>
            </w:r>
            <w:r w:rsidR="00BC3483" w:rsidRPr="007214E1">
              <w:rPr>
                <w:rFonts w:ascii="Book Antiqua" w:hAnsi="Book Antiqua"/>
              </w:rPr>
              <w:t xml:space="preserve"> </w:t>
            </w:r>
            <w:r w:rsidRPr="007214E1">
              <w:rPr>
                <w:rFonts w:ascii="Book Antiqua" w:hAnsi="Book Antiqua"/>
              </w:rPr>
              <w:t>15%</w:t>
            </w:r>
            <w:r w:rsidR="00BC3483" w:rsidRPr="007214E1">
              <w:rPr>
                <w:rFonts w:ascii="Book Antiqua" w:hAnsi="Book Antiqua"/>
              </w:rPr>
              <w:t>), (dose-expansion phase – 20%)</w:t>
            </w:r>
          </w:p>
        </w:tc>
        <w:tc>
          <w:tcPr>
            <w:tcW w:w="1693" w:type="dxa"/>
            <w:tcBorders>
              <w:top w:val="single" w:sz="4" w:space="0" w:color="auto"/>
            </w:tcBorders>
          </w:tcPr>
          <w:p w14:paraId="5E16E724" w14:textId="280E4BC8" w:rsidR="008D6BF4" w:rsidRPr="007214E1" w:rsidRDefault="004D3842" w:rsidP="00EB43EE">
            <w:pPr>
              <w:snapToGrid w:val="0"/>
              <w:spacing w:line="360" w:lineRule="auto"/>
              <w:jc w:val="both"/>
              <w:rPr>
                <w:rFonts w:ascii="Book Antiqua" w:hAnsi="Book Antiqua"/>
              </w:rPr>
            </w:pPr>
            <w:r w:rsidRPr="007214E1">
              <w:rPr>
                <w:rFonts w:ascii="Book Antiqua" w:hAnsi="Book Antiqua"/>
              </w:rPr>
              <w:t>NCT01658878 (</w:t>
            </w:r>
            <w:proofErr w:type="spellStart"/>
            <w:r w:rsidRPr="007214E1">
              <w:rPr>
                <w:rFonts w:ascii="Book Antiqua" w:hAnsi="Book Antiqua"/>
              </w:rPr>
              <w:t>CheckM</w:t>
            </w:r>
            <w:r w:rsidR="008D6BF4" w:rsidRPr="007214E1">
              <w:rPr>
                <w:rFonts w:ascii="Book Antiqua" w:hAnsi="Book Antiqua"/>
              </w:rPr>
              <w:t>ate</w:t>
            </w:r>
            <w:proofErr w:type="spellEnd"/>
            <w:r w:rsidR="008D6BF4" w:rsidRPr="007214E1">
              <w:rPr>
                <w:rFonts w:ascii="Book Antiqua" w:hAnsi="Book Antiqua"/>
              </w:rPr>
              <w:t xml:space="preserve"> 040)</w:t>
            </w:r>
          </w:p>
        </w:tc>
      </w:tr>
      <w:tr w:rsidR="008D6BF4" w:rsidRPr="007214E1" w14:paraId="14A6088E" w14:textId="77777777" w:rsidTr="00BC3483">
        <w:tc>
          <w:tcPr>
            <w:tcW w:w="2127" w:type="dxa"/>
          </w:tcPr>
          <w:p w14:paraId="4865643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Pembrolizumab</w:t>
            </w:r>
          </w:p>
        </w:tc>
        <w:tc>
          <w:tcPr>
            <w:tcW w:w="1985" w:type="dxa"/>
          </w:tcPr>
          <w:p w14:paraId="74C26513" w14:textId="28719E80" w:rsidR="008D6BF4" w:rsidRPr="007214E1" w:rsidRDefault="004D2778" w:rsidP="00EB43EE">
            <w:pPr>
              <w:snapToGrid w:val="0"/>
              <w:spacing w:line="360" w:lineRule="auto"/>
              <w:jc w:val="both"/>
              <w:rPr>
                <w:rFonts w:ascii="Book Antiqua" w:hAnsi="Book Antiqua"/>
              </w:rPr>
            </w:pPr>
            <w:r w:rsidRPr="007214E1">
              <w:rPr>
                <w:rFonts w:ascii="Book Antiqua" w:hAnsi="Book Antiqua"/>
              </w:rPr>
              <w:t>None</w:t>
            </w:r>
          </w:p>
        </w:tc>
        <w:tc>
          <w:tcPr>
            <w:tcW w:w="1381" w:type="dxa"/>
          </w:tcPr>
          <w:p w14:paraId="60AC749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856" w:type="dxa"/>
          </w:tcPr>
          <w:p w14:paraId="5302049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1656" w:type="dxa"/>
          </w:tcPr>
          <w:p w14:paraId="0F773475" w14:textId="2C0B33AC" w:rsidR="008D6BF4" w:rsidRPr="007214E1" w:rsidRDefault="008D6BF4" w:rsidP="00EB43EE">
            <w:pPr>
              <w:snapToGrid w:val="0"/>
              <w:spacing w:line="360" w:lineRule="auto"/>
              <w:jc w:val="both"/>
              <w:rPr>
                <w:rFonts w:ascii="Book Antiqua" w:hAnsi="Book Antiqua"/>
              </w:rPr>
            </w:pPr>
            <w:r w:rsidRPr="007214E1">
              <w:rPr>
                <w:rFonts w:ascii="Book Antiqua" w:hAnsi="Book Antiqua"/>
              </w:rPr>
              <w:t>June 22, 2016- Feb</w:t>
            </w:r>
            <w:r w:rsidR="00BC3483" w:rsidRPr="007214E1">
              <w:rPr>
                <w:rFonts w:ascii="Book Antiqua" w:hAnsi="Book Antiqua"/>
              </w:rPr>
              <w:t>ruary</w:t>
            </w:r>
            <w:r w:rsidRPr="007214E1">
              <w:rPr>
                <w:rFonts w:ascii="Book Antiqua" w:hAnsi="Book Antiqua"/>
              </w:rPr>
              <w:t xml:space="preserve"> 20, 2017</w:t>
            </w:r>
          </w:p>
        </w:tc>
        <w:tc>
          <w:tcPr>
            <w:tcW w:w="1408" w:type="dxa"/>
          </w:tcPr>
          <w:p w14:paraId="6B241BE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104</w:t>
            </w:r>
          </w:p>
        </w:tc>
        <w:tc>
          <w:tcPr>
            <w:tcW w:w="1995" w:type="dxa"/>
          </w:tcPr>
          <w:p w14:paraId="635078D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ORR – 18.3%, median OS 13.2 </w:t>
            </w:r>
            <w:proofErr w:type="spellStart"/>
            <w:r w:rsidRPr="007214E1">
              <w:rPr>
                <w:rFonts w:ascii="Book Antiqua" w:hAnsi="Book Antiqua"/>
              </w:rPr>
              <w:t>mo</w:t>
            </w:r>
            <w:proofErr w:type="spellEnd"/>
          </w:p>
        </w:tc>
        <w:tc>
          <w:tcPr>
            <w:tcW w:w="1693" w:type="dxa"/>
          </w:tcPr>
          <w:p w14:paraId="2138A1D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NCT02702414 (KEYNOTE-224)</w:t>
            </w:r>
          </w:p>
        </w:tc>
      </w:tr>
      <w:tr w:rsidR="008D6BF4" w:rsidRPr="007214E1" w14:paraId="2238286F" w14:textId="77777777" w:rsidTr="00BC3483">
        <w:tc>
          <w:tcPr>
            <w:tcW w:w="2127" w:type="dxa"/>
          </w:tcPr>
          <w:p w14:paraId="40A2F9B1"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Camrelizumab</w:t>
            </w:r>
            <w:proofErr w:type="spellEnd"/>
          </w:p>
        </w:tc>
        <w:tc>
          <w:tcPr>
            <w:tcW w:w="1985" w:type="dxa"/>
          </w:tcPr>
          <w:p w14:paraId="4751C76E"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Camrelizumab</w:t>
            </w:r>
            <w:proofErr w:type="spellEnd"/>
            <w:r w:rsidRPr="007214E1">
              <w:rPr>
                <w:rFonts w:ascii="Book Antiqua" w:hAnsi="Book Antiqua"/>
              </w:rPr>
              <w:t xml:space="preserve"> (regimen 1) </w:t>
            </w:r>
            <w:proofErr w:type="spellStart"/>
            <w:r w:rsidRPr="007214E1">
              <w:rPr>
                <w:rFonts w:ascii="Book Antiqua" w:hAnsi="Book Antiqua"/>
                <w:i/>
              </w:rPr>
              <w:t>vs</w:t>
            </w:r>
            <w:proofErr w:type="spellEnd"/>
            <w:r w:rsidRPr="007214E1">
              <w:rPr>
                <w:rFonts w:ascii="Book Antiqua" w:hAnsi="Book Antiqua"/>
              </w:rPr>
              <w:t xml:space="preserve"> </w:t>
            </w:r>
            <w:proofErr w:type="spellStart"/>
            <w:r w:rsidRPr="007214E1">
              <w:rPr>
                <w:rFonts w:ascii="Book Antiqua" w:hAnsi="Book Antiqua"/>
              </w:rPr>
              <w:t>camrelizumab</w:t>
            </w:r>
            <w:proofErr w:type="spellEnd"/>
            <w:r w:rsidRPr="007214E1">
              <w:rPr>
                <w:rFonts w:ascii="Book Antiqua" w:hAnsi="Book Antiqua"/>
              </w:rPr>
              <w:t xml:space="preserve"> (regimen 2)</w:t>
            </w:r>
          </w:p>
        </w:tc>
        <w:tc>
          <w:tcPr>
            <w:tcW w:w="1381" w:type="dxa"/>
          </w:tcPr>
          <w:p w14:paraId="275C8F6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856" w:type="dxa"/>
          </w:tcPr>
          <w:p w14:paraId="24F6C82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1656" w:type="dxa"/>
          </w:tcPr>
          <w:p w14:paraId="2A693033" w14:textId="29BFC731" w:rsidR="008D6BF4" w:rsidRPr="007214E1" w:rsidRDefault="00BC3483" w:rsidP="00EB43EE">
            <w:pPr>
              <w:snapToGrid w:val="0"/>
              <w:spacing w:line="360" w:lineRule="auto"/>
              <w:jc w:val="both"/>
              <w:rPr>
                <w:rFonts w:ascii="Book Antiqua" w:hAnsi="Book Antiqua"/>
              </w:rPr>
            </w:pPr>
            <w:r w:rsidRPr="007214E1">
              <w:rPr>
                <w:rFonts w:ascii="Book Antiqua" w:hAnsi="Book Antiqua"/>
              </w:rPr>
              <w:t>November 15, 2016</w:t>
            </w:r>
            <w:r w:rsidR="008D6BF4" w:rsidRPr="007214E1">
              <w:rPr>
                <w:rFonts w:ascii="Book Antiqua" w:hAnsi="Book Antiqua"/>
              </w:rPr>
              <w:t>– November 16, 2017</w:t>
            </w:r>
          </w:p>
        </w:tc>
        <w:tc>
          <w:tcPr>
            <w:tcW w:w="1408" w:type="dxa"/>
          </w:tcPr>
          <w:p w14:paraId="206AD89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220</w:t>
            </w:r>
          </w:p>
        </w:tc>
        <w:tc>
          <w:tcPr>
            <w:tcW w:w="1995" w:type="dxa"/>
          </w:tcPr>
          <w:p w14:paraId="3E02E374" w14:textId="294B2E06" w:rsidR="008D6BF4" w:rsidRPr="007214E1" w:rsidRDefault="00354FFA" w:rsidP="00EB43EE">
            <w:pPr>
              <w:snapToGrid w:val="0"/>
              <w:spacing w:line="360" w:lineRule="auto"/>
              <w:jc w:val="both"/>
              <w:rPr>
                <w:rFonts w:ascii="Book Antiqua" w:hAnsi="Book Antiqua"/>
              </w:rPr>
            </w:pPr>
            <w:r w:rsidRPr="007214E1">
              <w:rPr>
                <w:rFonts w:ascii="Book Antiqua" w:hAnsi="Book Antiqua"/>
              </w:rPr>
              <w:t xml:space="preserve">ORR 13.8%, </w:t>
            </w:r>
            <w:r w:rsidR="008D6BF4" w:rsidRPr="007214E1">
              <w:rPr>
                <w:rFonts w:ascii="Book Antiqua" w:hAnsi="Book Antiqua"/>
              </w:rPr>
              <w:t>median OS not reached</w:t>
            </w:r>
          </w:p>
        </w:tc>
        <w:tc>
          <w:tcPr>
            <w:tcW w:w="1693" w:type="dxa"/>
          </w:tcPr>
          <w:p w14:paraId="0FDCBC8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NCT02989922</w:t>
            </w:r>
          </w:p>
        </w:tc>
      </w:tr>
      <w:tr w:rsidR="008D6BF4" w:rsidRPr="007214E1" w14:paraId="17F342C9" w14:textId="77777777" w:rsidTr="00BC3483">
        <w:tc>
          <w:tcPr>
            <w:tcW w:w="2127" w:type="dxa"/>
          </w:tcPr>
          <w:p w14:paraId="5F73EB1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Durvalumab</w:t>
            </w:r>
          </w:p>
        </w:tc>
        <w:tc>
          <w:tcPr>
            <w:tcW w:w="1985" w:type="dxa"/>
          </w:tcPr>
          <w:p w14:paraId="7D0D9C4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381" w:type="dxa"/>
          </w:tcPr>
          <w:p w14:paraId="0E30427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Not specified</w:t>
            </w:r>
          </w:p>
        </w:tc>
        <w:tc>
          <w:tcPr>
            <w:tcW w:w="856" w:type="dxa"/>
          </w:tcPr>
          <w:p w14:paraId="6C732CA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1656" w:type="dxa"/>
          </w:tcPr>
          <w:p w14:paraId="1984861E" w14:textId="1CD65902" w:rsidR="008D6BF4" w:rsidRPr="007214E1" w:rsidRDefault="008D6BF4" w:rsidP="00EB43EE">
            <w:pPr>
              <w:snapToGrid w:val="0"/>
              <w:spacing w:line="360" w:lineRule="auto"/>
              <w:jc w:val="both"/>
              <w:rPr>
                <w:rFonts w:ascii="Book Antiqua" w:hAnsi="Book Antiqua"/>
              </w:rPr>
            </w:pPr>
            <w:r w:rsidRPr="007214E1">
              <w:rPr>
                <w:rFonts w:ascii="Book Antiqua" w:hAnsi="Book Antiqua"/>
              </w:rPr>
              <w:t>August 29, 2012-Oct</w:t>
            </w:r>
            <w:r w:rsidR="00BC3483" w:rsidRPr="007214E1">
              <w:rPr>
                <w:rFonts w:ascii="Book Antiqua" w:hAnsi="Book Antiqua"/>
              </w:rPr>
              <w:t>ober</w:t>
            </w:r>
            <w:r w:rsidRPr="007214E1">
              <w:rPr>
                <w:rFonts w:ascii="Book Antiqua" w:hAnsi="Book Antiqua"/>
              </w:rPr>
              <w:t xml:space="preserve"> </w:t>
            </w:r>
            <w:r w:rsidRPr="007214E1">
              <w:rPr>
                <w:rFonts w:ascii="Book Antiqua" w:hAnsi="Book Antiqua"/>
              </w:rPr>
              <w:lastRenderedPageBreak/>
              <w:t>24, 2016</w:t>
            </w:r>
          </w:p>
        </w:tc>
        <w:tc>
          <w:tcPr>
            <w:tcW w:w="1408" w:type="dxa"/>
          </w:tcPr>
          <w:p w14:paraId="0C19EE2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40</w:t>
            </w:r>
          </w:p>
        </w:tc>
        <w:tc>
          <w:tcPr>
            <w:tcW w:w="1995" w:type="dxa"/>
          </w:tcPr>
          <w:p w14:paraId="59D27CC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ORR – 10.3%, median OS 13.2 </w:t>
            </w:r>
            <w:proofErr w:type="spellStart"/>
            <w:r w:rsidRPr="007214E1">
              <w:rPr>
                <w:rFonts w:ascii="Book Antiqua" w:hAnsi="Book Antiqua"/>
              </w:rPr>
              <w:lastRenderedPageBreak/>
              <w:t>mo</w:t>
            </w:r>
            <w:proofErr w:type="spellEnd"/>
          </w:p>
        </w:tc>
        <w:tc>
          <w:tcPr>
            <w:tcW w:w="1693" w:type="dxa"/>
          </w:tcPr>
          <w:p w14:paraId="7B08B42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NCT01693562</w:t>
            </w:r>
          </w:p>
        </w:tc>
      </w:tr>
      <w:tr w:rsidR="008D6BF4" w:rsidRPr="007214E1" w14:paraId="1E03A632" w14:textId="77777777" w:rsidTr="00BC3483">
        <w:tc>
          <w:tcPr>
            <w:tcW w:w="2127" w:type="dxa"/>
          </w:tcPr>
          <w:p w14:paraId="6A55E8F7"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lastRenderedPageBreak/>
              <w:t>Tremelimumab</w:t>
            </w:r>
            <w:proofErr w:type="spellEnd"/>
          </w:p>
        </w:tc>
        <w:tc>
          <w:tcPr>
            <w:tcW w:w="1985" w:type="dxa"/>
          </w:tcPr>
          <w:p w14:paraId="7CD744A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381" w:type="dxa"/>
          </w:tcPr>
          <w:p w14:paraId="69720E0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Not specified</w:t>
            </w:r>
          </w:p>
        </w:tc>
        <w:tc>
          <w:tcPr>
            <w:tcW w:w="856" w:type="dxa"/>
          </w:tcPr>
          <w:p w14:paraId="57917F3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1656" w:type="dxa"/>
          </w:tcPr>
          <w:p w14:paraId="03C9EB79" w14:textId="4185BBEA" w:rsidR="008D6BF4" w:rsidRPr="007214E1" w:rsidRDefault="00BC3483" w:rsidP="00EB43EE">
            <w:pPr>
              <w:snapToGrid w:val="0"/>
              <w:spacing w:line="360" w:lineRule="auto"/>
              <w:jc w:val="both"/>
              <w:rPr>
                <w:rFonts w:ascii="Book Antiqua" w:hAnsi="Book Antiqua"/>
              </w:rPr>
            </w:pPr>
            <w:r w:rsidRPr="007214E1">
              <w:rPr>
                <w:rFonts w:ascii="Book Antiqua" w:hAnsi="Book Antiqua"/>
              </w:rPr>
              <w:t>December 2008-</w:t>
            </w:r>
            <w:r w:rsidR="008D6BF4" w:rsidRPr="007214E1">
              <w:rPr>
                <w:rFonts w:ascii="Book Antiqua" w:hAnsi="Book Antiqua"/>
              </w:rPr>
              <w:t>May 2012</w:t>
            </w:r>
          </w:p>
        </w:tc>
        <w:tc>
          <w:tcPr>
            <w:tcW w:w="1408" w:type="dxa"/>
          </w:tcPr>
          <w:p w14:paraId="745B44E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21</w:t>
            </w:r>
          </w:p>
        </w:tc>
        <w:tc>
          <w:tcPr>
            <w:tcW w:w="1995" w:type="dxa"/>
          </w:tcPr>
          <w:p w14:paraId="6C6FBB8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ORR - 17.6%, DCR 76.4%</w:t>
            </w:r>
          </w:p>
        </w:tc>
        <w:tc>
          <w:tcPr>
            <w:tcW w:w="1693" w:type="dxa"/>
          </w:tcPr>
          <w:p w14:paraId="157AAB2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NCT01008358</w:t>
            </w:r>
          </w:p>
        </w:tc>
      </w:tr>
      <w:tr w:rsidR="008D6BF4" w:rsidRPr="007214E1" w14:paraId="1A4B5E2B" w14:textId="77777777" w:rsidTr="00BC3483">
        <w:tc>
          <w:tcPr>
            <w:tcW w:w="2127" w:type="dxa"/>
          </w:tcPr>
          <w:p w14:paraId="0D0B8F2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Pembrolizumab</w:t>
            </w:r>
          </w:p>
        </w:tc>
        <w:tc>
          <w:tcPr>
            <w:tcW w:w="1985" w:type="dxa"/>
          </w:tcPr>
          <w:p w14:paraId="0F7F8D7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Placebo</w:t>
            </w:r>
          </w:p>
        </w:tc>
        <w:tc>
          <w:tcPr>
            <w:tcW w:w="1381" w:type="dxa"/>
          </w:tcPr>
          <w:p w14:paraId="2B63780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856" w:type="dxa"/>
          </w:tcPr>
          <w:p w14:paraId="21FFB3C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1656" w:type="dxa"/>
          </w:tcPr>
          <w:p w14:paraId="69A0A4F8" w14:textId="1ED19768" w:rsidR="008D6BF4" w:rsidRPr="007214E1" w:rsidRDefault="00BC3483" w:rsidP="00EB43EE">
            <w:pPr>
              <w:snapToGrid w:val="0"/>
              <w:spacing w:line="360" w:lineRule="auto"/>
              <w:jc w:val="both"/>
              <w:rPr>
                <w:rFonts w:ascii="Book Antiqua" w:hAnsi="Book Antiqua"/>
              </w:rPr>
            </w:pPr>
            <w:r w:rsidRPr="007214E1">
              <w:rPr>
                <w:rFonts w:ascii="Book Antiqua" w:hAnsi="Book Antiqua"/>
              </w:rPr>
              <w:t>May 31, 2016-</w:t>
            </w:r>
            <w:r w:rsidR="008D6BF4" w:rsidRPr="007214E1">
              <w:rPr>
                <w:rFonts w:ascii="Book Antiqua" w:hAnsi="Book Antiqua"/>
              </w:rPr>
              <w:t>November 23, 2017</w:t>
            </w:r>
          </w:p>
        </w:tc>
        <w:tc>
          <w:tcPr>
            <w:tcW w:w="1408" w:type="dxa"/>
          </w:tcPr>
          <w:p w14:paraId="52E5A97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413</w:t>
            </w:r>
          </w:p>
        </w:tc>
        <w:tc>
          <w:tcPr>
            <w:tcW w:w="1995" w:type="dxa"/>
          </w:tcPr>
          <w:p w14:paraId="3FF214F1" w14:textId="36C623CB"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Median OS 13.9 </w:t>
            </w:r>
            <w:proofErr w:type="spellStart"/>
            <w:r w:rsidRPr="007214E1">
              <w:rPr>
                <w:rFonts w:ascii="Book Antiqua" w:hAnsi="Book Antiqua"/>
                <w:i/>
              </w:rPr>
              <w:t>vs</w:t>
            </w:r>
            <w:proofErr w:type="spellEnd"/>
            <w:r w:rsidR="00BC3483" w:rsidRPr="007214E1">
              <w:rPr>
                <w:rFonts w:ascii="Book Antiqua" w:hAnsi="Book Antiqua"/>
              </w:rPr>
              <w:t xml:space="preserve"> 10.6 </w:t>
            </w:r>
            <w:proofErr w:type="spellStart"/>
            <w:r w:rsidR="00BC3483" w:rsidRPr="007214E1">
              <w:rPr>
                <w:rFonts w:ascii="Book Antiqua" w:hAnsi="Book Antiqua"/>
              </w:rPr>
              <w:t>mo</w:t>
            </w:r>
            <w:proofErr w:type="spellEnd"/>
            <w:r w:rsidR="00BC3483" w:rsidRPr="007214E1">
              <w:rPr>
                <w:rFonts w:ascii="Book Antiqua" w:hAnsi="Book Antiqua"/>
              </w:rPr>
              <w:t xml:space="preserve"> – HR: 0.781; 95%CI:</w:t>
            </w:r>
            <w:r w:rsidRPr="007214E1">
              <w:rPr>
                <w:rFonts w:ascii="Book Antiqua" w:hAnsi="Book Antiqua"/>
              </w:rPr>
              <w:t xml:space="preserve"> 0.611 to 0.998; </w:t>
            </w:r>
            <w:r w:rsidRPr="007214E1">
              <w:rPr>
                <w:rFonts w:ascii="Book Antiqua" w:hAnsi="Book Antiqua"/>
                <w:i/>
                <w:iCs/>
              </w:rPr>
              <w:t>P</w:t>
            </w:r>
            <w:r w:rsidR="00BC3483" w:rsidRPr="007214E1">
              <w:rPr>
                <w:rFonts w:ascii="Book Antiqua" w:hAnsi="Book Antiqua"/>
              </w:rPr>
              <w:t xml:space="preserve"> </w:t>
            </w:r>
            <w:r w:rsidRPr="007214E1">
              <w:rPr>
                <w:rFonts w:ascii="Book Antiqua" w:hAnsi="Book Antiqua"/>
              </w:rPr>
              <w:t>=</w:t>
            </w:r>
            <w:r w:rsidR="00BC3483" w:rsidRPr="007214E1">
              <w:rPr>
                <w:rFonts w:ascii="Book Antiqua" w:hAnsi="Book Antiqua"/>
              </w:rPr>
              <w:t xml:space="preserve"> 0</w:t>
            </w:r>
            <w:r w:rsidRPr="007214E1">
              <w:rPr>
                <w:rFonts w:ascii="Book Antiqua" w:hAnsi="Book Antiqua"/>
              </w:rPr>
              <w:t>.0238</w:t>
            </w:r>
            <w:r w:rsidR="00BC3483" w:rsidRPr="007214E1">
              <w:rPr>
                <w:rFonts w:ascii="Book Antiqua" w:hAnsi="Book Antiqua"/>
              </w:rPr>
              <w:t>,</w:t>
            </w:r>
            <w:r w:rsidR="00BC3483" w:rsidRPr="007214E1">
              <w:rPr>
                <w:rFonts w:ascii="Book Antiqua" w:eastAsiaTheme="minorEastAsia" w:hAnsi="Book Antiqua"/>
                <w:lang w:eastAsia="zh-CN"/>
              </w:rPr>
              <w:t xml:space="preserve"> </w:t>
            </w:r>
            <w:r w:rsidRPr="007214E1">
              <w:rPr>
                <w:rFonts w:ascii="Book Antiqua" w:hAnsi="Book Antiqua"/>
              </w:rPr>
              <w:t xml:space="preserve">PFS 3.0 </w:t>
            </w:r>
            <w:proofErr w:type="spellStart"/>
            <w:r w:rsidRPr="007214E1">
              <w:rPr>
                <w:rFonts w:ascii="Book Antiqua" w:hAnsi="Book Antiqua"/>
                <w:i/>
              </w:rPr>
              <w:t>vs</w:t>
            </w:r>
            <w:proofErr w:type="spellEnd"/>
            <w:r w:rsidR="00BC3483" w:rsidRPr="007214E1">
              <w:rPr>
                <w:rFonts w:ascii="Book Antiqua" w:hAnsi="Book Antiqua"/>
              </w:rPr>
              <w:t xml:space="preserve"> 2.8 </w:t>
            </w:r>
            <w:proofErr w:type="spellStart"/>
            <w:r w:rsidR="00BC3483" w:rsidRPr="007214E1">
              <w:rPr>
                <w:rFonts w:ascii="Book Antiqua" w:hAnsi="Book Antiqua"/>
              </w:rPr>
              <w:t>mo</w:t>
            </w:r>
            <w:proofErr w:type="spellEnd"/>
            <w:r w:rsidR="00BC3483" w:rsidRPr="007214E1">
              <w:rPr>
                <w:rFonts w:ascii="Book Antiqua" w:hAnsi="Book Antiqua"/>
              </w:rPr>
              <w:t xml:space="preserve"> – HR: 0.718; 95%</w:t>
            </w:r>
            <w:r w:rsidRPr="007214E1">
              <w:rPr>
                <w:rFonts w:ascii="Book Antiqua" w:hAnsi="Book Antiqua"/>
              </w:rPr>
              <w:t xml:space="preserve">CI, 0.570 to 0.904; </w:t>
            </w:r>
            <w:r w:rsidRPr="007214E1">
              <w:rPr>
                <w:rFonts w:ascii="Book Antiqua" w:hAnsi="Book Antiqua"/>
                <w:i/>
              </w:rPr>
              <w:t>P</w:t>
            </w:r>
            <w:r w:rsidRPr="007214E1">
              <w:rPr>
                <w:rFonts w:ascii="Book Antiqua" w:hAnsi="Book Antiqua"/>
              </w:rPr>
              <w:t xml:space="preserve"> = </w:t>
            </w:r>
            <w:r w:rsidR="00BC3483" w:rsidRPr="007214E1">
              <w:rPr>
                <w:rFonts w:ascii="Book Antiqua" w:hAnsi="Book Antiqua"/>
              </w:rPr>
              <w:t>0</w:t>
            </w:r>
            <w:r w:rsidR="00354FFA" w:rsidRPr="007214E1">
              <w:rPr>
                <w:rFonts w:ascii="Book Antiqua" w:hAnsi="Book Antiqua"/>
              </w:rPr>
              <w:t xml:space="preserve">.0022 </w:t>
            </w:r>
            <w:r w:rsidRPr="007214E1">
              <w:rPr>
                <w:rFonts w:ascii="Book Antiqua" w:hAnsi="Book Antiqua"/>
              </w:rPr>
              <w:t xml:space="preserve">(pembrolizumab </w:t>
            </w:r>
            <w:r w:rsidRPr="007214E1">
              <w:rPr>
                <w:rFonts w:ascii="Book Antiqua" w:hAnsi="Book Antiqua"/>
                <w:i/>
              </w:rPr>
              <w:t>vs</w:t>
            </w:r>
            <w:r w:rsidRPr="007214E1">
              <w:rPr>
                <w:rFonts w:ascii="Book Antiqua" w:hAnsi="Book Antiqua"/>
              </w:rPr>
              <w:t xml:space="preserve"> placebo)</w:t>
            </w:r>
          </w:p>
        </w:tc>
        <w:tc>
          <w:tcPr>
            <w:tcW w:w="1693" w:type="dxa"/>
          </w:tcPr>
          <w:p w14:paraId="451A3AB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NCT02702401</w:t>
            </w:r>
          </w:p>
        </w:tc>
      </w:tr>
      <w:tr w:rsidR="008D6BF4" w:rsidRPr="007214E1" w14:paraId="2E0788E5" w14:textId="77777777" w:rsidTr="00BC3483">
        <w:tc>
          <w:tcPr>
            <w:tcW w:w="2127" w:type="dxa"/>
          </w:tcPr>
          <w:p w14:paraId="33D3B2BB" w14:textId="1FF8F9CB" w:rsidR="008D6BF4" w:rsidRPr="007214E1" w:rsidRDefault="00BC3483" w:rsidP="00EB43EE">
            <w:pPr>
              <w:snapToGrid w:val="0"/>
              <w:spacing w:line="360" w:lineRule="auto"/>
              <w:jc w:val="both"/>
              <w:rPr>
                <w:rFonts w:ascii="Book Antiqua" w:hAnsi="Book Antiqua"/>
              </w:rPr>
            </w:pPr>
            <w:r w:rsidRPr="007214E1">
              <w:rPr>
                <w:rFonts w:ascii="Book Antiqua" w:hAnsi="Book Antiqua"/>
              </w:rPr>
              <w:t xml:space="preserve">Nivolumab plus </w:t>
            </w:r>
            <w:r w:rsidR="008D6BF4" w:rsidRPr="007214E1">
              <w:rPr>
                <w:rFonts w:ascii="Book Antiqua" w:hAnsi="Book Antiqua"/>
              </w:rPr>
              <w:t>ipilimumab</w:t>
            </w:r>
          </w:p>
        </w:tc>
        <w:tc>
          <w:tcPr>
            <w:tcW w:w="1985" w:type="dxa"/>
          </w:tcPr>
          <w:p w14:paraId="5B7C750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Nivolumab plus ipilimumab (regimen 1 </w:t>
            </w:r>
            <w:r w:rsidRPr="007214E1">
              <w:rPr>
                <w:rFonts w:ascii="Book Antiqua" w:hAnsi="Book Antiqua"/>
                <w:i/>
              </w:rPr>
              <w:t xml:space="preserve">vs </w:t>
            </w:r>
            <w:r w:rsidRPr="007214E1">
              <w:rPr>
                <w:rFonts w:ascii="Book Antiqua" w:hAnsi="Book Antiqua"/>
              </w:rPr>
              <w:t xml:space="preserve">regimen 2 </w:t>
            </w:r>
            <w:r w:rsidRPr="007214E1">
              <w:rPr>
                <w:rFonts w:ascii="Book Antiqua" w:hAnsi="Book Antiqua"/>
                <w:i/>
              </w:rPr>
              <w:t xml:space="preserve">vs </w:t>
            </w:r>
            <w:r w:rsidRPr="007214E1">
              <w:rPr>
                <w:rFonts w:ascii="Book Antiqua" w:hAnsi="Book Antiqua"/>
              </w:rPr>
              <w:t>regimen 3)</w:t>
            </w:r>
          </w:p>
        </w:tc>
        <w:tc>
          <w:tcPr>
            <w:tcW w:w="1381" w:type="dxa"/>
          </w:tcPr>
          <w:p w14:paraId="50A2066D"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856" w:type="dxa"/>
          </w:tcPr>
          <w:p w14:paraId="72DD539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1656" w:type="dxa"/>
          </w:tcPr>
          <w:p w14:paraId="2FDDD44D" w14:textId="1870AFE9" w:rsidR="008D6BF4" w:rsidRPr="007214E1" w:rsidRDefault="00BC3483" w:rsidP="00EB43EE">
            <w:pPr>
              <w:snapToGrid w:val="0"/>
              <w:spacing w:line="360" w:lineRule="auto"/>
              <w:jc w:val="both"/>
              <w:rPr>
                <w:rFonts w:ascii="Book Antiqua" w:hAnsi="Book Antiqua"/>
              </w:rPr>
            </w:pPr>
            <w:r w:rsidRPr="007214E1">
              <w:rPr>
                <w:rFonts w:ascii="Book Antiqua" w:hAnsi="Book Antiqua"/>
              </w:rPr>
              <w:t>Minimum follow-up-</w:t>
            </w:r>
            <w:r w:rsidR="008D6BF4" w:rsidRPr="007214E1">
              <w:rPr>
                <w:rFonts w:ascii="Book Antiqua" w:hAnsi="Book Antiqua"/>
              </w:rPr>
              <w:t xml:space="preserve">28 </w:t>
            </w:r>
            <w:proofErr w:type="spellStart"/>
            <w:r w:rsidR="008D6BF4" w:rsidRPr="007214E1">
              <w:rPr>
                <w:rFonts w:ascii="Book Antiqua" w:hAnsi="Book Antiqua"/>
              </w:rPr>
              <w:t>mo</w:t>
            </w:r>
            <w:proofErr w:type="spellEnd"/>
            <w:r w:rsidR="008D6BF4" w:rsidRPr="007214E1">
              <w:rPr>
                <w:rFonts w:ascii="Book Antiqua" w:hAnsi="Book Antiqua"/>
              </w:rPr>
              <w:t xml:space="preserve"> at time of data cutoff</w:t>
            </w:r>
          </w:p>
        </w:tc>
        <w:tc>
          <w:tcPr>
            <w:tcW w:w="1408" w:type="dxa"/>
          </w:tcPr>
          <w:p w14:paraId="6C266A3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148</w:t>
            </w:r>
          </w:p>
        </w:tc>
        <w:tc>
          <w:tcPr>
            <w:tcW w:w="1995" w:type="dxa"/>
          </w:tcPr>
          <w:p w14:paraId="18C5641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ORR – (32 - Arm A, 31- Arm B, 31 - Arm C), median DOR (17.5 - Arm A, </w:t>
            </w:r>
            <w:r w:rsidRPr="007214E1">
              <w:rPr>
                <w:rFonts w:ascii="Book Antiqua" w:hAnsi="Book Antiqua"/>
              </w:rPr>
              <w:lastRenderedPageBreak/>
              <w:t>22.2 - Arm B, 16.6 - Arm C )</w:t>
            </w:r>
          </w:p>
        </w:tc>
        <w:tc>
          <w:tcPr>
            <w:tcW w:w="1693" w:type="dxa"/>
          </w:tcPr>
          <w:p w14:paraId="679DDBD6" w14:textId="141C4FD1" w:rsidR="008D6BF4" w:rsidRPr="007214E1" w:rsidRDefault="004D3842" w:rsidP="00EB43EE">
            <w:pPr>
              <w:snapToGrid w:val="0"/>
              <w:spacing w:line="360" w:lineRule="auto"/>
              <w:jc w:val="both"/>
              <w:rPr>
                <w:rFonts w:ascii="Book Antiqua" w:hAnsi="Book Antiqua"/>
              </w:rPr>
            </w:pPr>
            <w:r w:rsidRPr="007214E1">
              <w:rPr>
                <w:rFonts w:ascii="Book Antiqua" w:hAnsi="Book Antiqua"/>
              </w:rPr>
              <w:lastRenderedPageBreak/>
              <w:t>NCT01658878 (</w:t>
            </w:r>
            <w:proofErr w:type="spellStart"/>
            <w:r w:rsidRPr="007214E1">
              <w:rPr>
                <w:rFonts w:ascii="Book Antiqua" w:hAnsi="Book Antiqua"/>
              </w:rPr>
              <w:t>CheckM</w:t>
            </w:r>
            <w:r w:rsidR="008D6BF4" w:rsidRPr="007214E1">
              <w:rPr>
                <w:rFonts w:ascii="Book Antiqua" w:hAnsi="Book Antiqua"/>
              </w:rPr>
              <w:t>ate</w:t>
            </w:r>
            <w:proofErr w:type="spellEnd"/>
            <w:r w:rsidR="008D6BF4" w:rsidRPr="007214E1">
              <w:rPr>
                <w:rFonts w:ascii="Book Antiqua" w:hAnsi="Book Antiqua"/>
              </w:rPr>
              <w:t xml:space="preserve"> 040)</w:t>
            </w:r>
          </w:p>
        </w:tc>
      </w:tr>
      <w:tr w:rsidR="008D6BF4" w:rsidRPr="007214E1" w14:paraId="3AB5161B" w14:textId="77777777" w:rsidTr="00BC3483">
        <w:tc>
          <w:tcPr>
            <w:tcW w:w="2127" w:type="dxa"/>
          </w:tcPr>
          <w:p w14:paraId="721B7F19"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lastRenderedPageBreak/>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p>
        </w:tc>
        <w:tc>
          <w:tcPr>
            <w:tcW w:w="1985" w:type="dxa"/>
          </w:tcPr>
          <w:p w14:paraId="23E7CDFB" w14:textId="62426460" w:rsidR="008D6BF4" w:rsidRPr="007214E1" w:rsidRDefault="00BC3483" w:rsidP="00EB43EE">
            <w:pPr>
              <w:snapToGrid w:val="0"/>
              <w:spacing w:line="360" w:lineRule="auto"/>
              <w:jc w:val="both"/>
              <w:rPr>
                <w:rFonts w:ascii="Book Antiqua" w:hAnsi="Book Antiqua"/>
              </w:rPr>
            </w:pPr>
            <w:r w:rsidRPr="007214E1">
              <w:rPr>
                <w:rFonts w:ascii="Book Antiqua" w:hAnsi="Book Antiqua"/>
              </w:rPr>
              <w:t>None</w:t>
            </w:r>
          </w:p>
        </w:tc>
        <w:tc>
          <w:tcPr>
            <w:tcW w:w="1381" w:type="dxa"/>
          </w:tcPr>
          <w:p w14:paraId="0ED5DF3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856" w:type="dxa"/>
          </w:tcPr>
          <w:p w14:paraId="3DE204D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1656" w:type="dxa"/>
          </w:tcPr>
          <w:p w14:paraId="22DFC814" w14:textId="43FBCF57" w:rsidR="008D6BF4" w:rsidRPr="007214E1" w:rsidRDefault="00BC3483" w:rsidP="00EB43EE">
            <w:pPr>
              <w:snapToGrid w:val="0"/>
              <w:spacing w:line="360" w:lineRule="auto"/>
              <w:jc w:val="both"/>
              <w:rPr>
                <w:rFonts w:ascii="Book Antiqua" w:hAnsi="Book Antiqua"/>
              </w:rPr>
            </w:pPr>
            <w:r w:rsidRPr="007214E1">
              <w:rPr>
                <w:rFonts w:ascii="Book Antiqua" w:hAnsi="Book Antiqua"/>
              </w:rPr>
              <w:t>October 19, 2015-</w:t>
            </w:r>
            <w:r w:rsidR="008D6BF4" w:rsidRPr="007214E1">
              <w:rPr>
                <w:rFonts w:ascii="Book Antiqua" w:hAnsi="Book Antiqua"/>
              </w:rPr>
              <w:t>January 10, 2017</w:t>
            </w:r>
          </w:p>
        </w:tc>
        <w:tc>
          <w:tcPr>
            <w:tcW w:w="1408" w:type="dxa"/>
          </w:tcPr>
          <w:p w14:paraId="7E0B6E4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40</w:t>
            </w:r>
          </w:p>
        </w:tc>
        <w:tc>
          <w:tcPr>
            <w:tcW w:w="1995" w:type="dxa"/>
          </w:tcPr>
          <w:p w14:paraId="17933AF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ORR – 15%</w:t>
            </w:r>
          </w:p>
        </w:tc>
        <w:tc>
          <w:tcPr>
            <w:tcW w:w="1693" w:type="dxa"/>
          </w:tcPr>
          <w:p w14:paraId="06490798"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NCT02519348</w:t>
            </w:r>
          </w:p>
        </w:tc>
      </w:tr>
      <w:tr w:rsidR="008D6BF4" w:rsidRPr="007214E1" w14:paraId="6E07EC6D" w14:textId="77777777" w:rsidTr="00BC3483">
        <w:tc>
          <w:tcPr>
            <w:tcW w:w="2127" w:type="dxa"/>
          </w:tcPr>
          <w:p w14:paraId="501DD303"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Atezolizumab plus bevacizumab</w:t>
            </w:r>
          </w:p>
        </w:tc>
        <w:tc>
          <w:tcPr>
            <w:tcW w:w="1985" w:type="dxa"/>
          </w:tcPr>
          <w:p w14:paraId="233505B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Sorafenib</w:t>
            </w:r>
          </w:p>
        </w:tc>
        <w:tc>
          <w:tcPr>
            <w:tcW w:w="1381" w:type="dxa"/>
          </w:tcPr>
          <w:p w14:paraId="4428047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First-line</w:t>
            </w:r>
          </w:p>
        </w:tc>
        <w:tc>
          <w:tcPr>
            <w:tcW w:w="856" w:type="dxa"/>
          </w:tcPr>
          <w:p w14:paraId="4E40D0D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1656" w:type="dxa"/>
          </w:tcPr>
          <w:p w14:paraId="27982F4E" w14:textId="206CA999" w:rsidR="008D6BF4" w:rsidRPr="007214E1" w:rsidRDefault="00BC3483" w:rsidP="00EB43EE">
            <w:pPr>
              <w:snapToGrid w:val="0"/>
              <w:spacing w:line="360" w:lineRule="auto"/>
              <w:jc w:val="both"/>
              <w:rPr>
                <w:rFonts w:ascii="Book Antiqua" w:hAnsi="Book Antiqua"/>
              </w:rPr>
            </w:pPr>
            <w:r w:rsidRPr="007214E1">
              <w:rPr>
                <w:rFonts w:ascii="Book Antiqua" w:hAnsi="Book Antiqua"/>
              </w:rPr>
              <w:t>March 15, 2018-</w:t>
            </w:r>
            <w:r w:rsidR="008D6BF4" w:rsidRPr="007214E1">
              <w:rPr>
                <w:rFonts w:ascii="Book Antiqua" w:hAnsi="Book Antiqua"/>
              </w:rPr>
              <w:t>November 2019</w:t>
            </w:r>
          </w:p>
        </w:tc>
        <w:tc>
          <w:tcPr>
            <w:tcW w:w="1408" w:type="dxa"/>
          </w:tcPr>
          <w:p w14:paraId="145B987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501</w:t>
            </w:r>
          </w:p>
        </w:tc>
        <w:tc>
          <w:tcPr>
            <w:tcW w:w="1995" w:type="dxa"/>
          </w:tcPr>
          <w:p w14:paraId="770C1F17" w14:textId="2908AD6E" w:rsidR="008D6BF4" w:rsidRPr="007214E1" w:rsidRDefault="00BC3483" w:rsidP="00EB43EE">
            <w:pPr>
              <w:snapToGrid w:val="0"/>
              <w:spacing w:line="360" w:lineRule="auto"/>
              <w:jc w:val="both"/>
              <w:rPr>
                <w:rFonts w:ascii="Book Antiqua" w:hAnsi="Book Antiqua"/>
              </w:rPr>
            </w:pPr>
            <w:r w:rsidRPr="007214E1">
              <w:rPr>
                <w:rFonts w:ascii="Book Antiqua" w:hAnsi="Book Antiqua"/>
              </w:rPr>
              <w:t>OS HR: 0.58 (95%CI: 0.42-</w:t>
            </w:r>
            <w:r w:rsidR="008D6BF4" w:rsidRPr="007214E1">
              <w:rPr>
                <w:rFonts w:ascii="Book Antiqua" w:hAnsi="Book Antiqua"/>
              </w:rPr>
              <w:t xml:space="preserve"> 0.79; </w:t>
            </w:r>
            <w:r w:rsidR="008D6BF4" w:rsidRPr="007214E1">
              <w:rPr>
                <w:rFonts w:ascii="Book Antiqua" w:hAnsi="Book Antiqua"/>
                <w:i/>
              </w:rPr>
              <w:t>P</w:t>
            </w:r>
            <w:r w:rsidRPr="007214E1">
              <w:rPr>
                <w:rFonts w:ascii="Book Antiqua" w:hAnsi="Book Antiqua"/>
              </w:rPr>
              <w:t xml:space="preserve"> = 0.0006)</w:t>
            </w:r>
            <w:r w:rsidR="008D6BF4" w:rsidRPr="007214E1">
              <w:rPr>
                <w:rFonts w:ascii="Book Antiqua" w:hAnsi="Book Antiqua"/>
              </w:rPr>
              <w:t xml:space="preserve">, PFS 6.8 </w:t>
            </w:r>
            <w:proofErr w:type="spellStart"/>
            <w:r w:rsidR="008D6BF4" w:rsidRPr="007214E1">
              <w:rPr>
                <w:rFonts w:ascii="Book Antiqua" w:hAnsi="Book Antiqua"/>
                <w:i/>
              </w:rPr>
              <w:t>vs</w:t>
            </w:r>
            <w:proofErr w:type="spellEnd"/>
            <w:r w:rsidR="008D6BF4" w:rsidRPr="007214E1">
              <w:rPr>
                <w:rFonts w:ascii="Book Antiqua" w:hAnsi="Book Antiqua"/>
              </w:rPr>
              <w:t xml:space="preserve"> 4.3 </w:t>
            </w:r>
            <w:proofErr w:type="spellStart"/>
            <w:r w:rsidR="008D6BF4" w:rsidRPr="007214E1">
              <w:rPr>
                <w:rFonts w:ascii="Book Antiqua" w:hAnsi="Book Antiqua"/>
              </w:rPr>
              <w:t>mo</w:t>
            </w:r>
            <w:proofErr w:type="spellEnd"/>
            <w:r w:rsidR="008D6BF4" w:rsidRPr="007214E1">
              <w:rPr>
                <w:rFonts w:ascii="Book Antiqua" w:hAnsi="Book Antiqua"/>
              </w:rPr>
              <w:t xml:space="preserve">, </w:t>
            </w:r>
            <w:r w:rsidR="008D6BF4" w:rsidRPr="007214E1">
              <w:rPr>
                <w:rFonts w:ascii="Book Antiqua" w:hAnsi="Book Antiqua"/>
                <w:i/>
              </w:rPr>
              <w:t>P</w:t>
            </w:r>
            <w:r w:rsidR="008D6BF4" w:rsidRPr="007214E1">
              <w:rPr>
                <w:rFonts w:ascii="Book Antiqua" w:hAnsi="Book Antiqua"/>
              </w:rPr>
              <w:t xml:space="preserve"> &lt; 0.0001 (atezolizumab plus bevacizumab </w:t>
            </w:r>
            <w:r w:rsidR="008D6BF4" w:rsidRPr="007214E1">
              <w:rPr>
                <w:rFonts w:ascii="Book Antiqua" w:hAnsi="Book Antiqua"/>
                <w:i/>
              </w:rPr>
              <w:t xml:space="preserve">vs </w:t>
            </w:r>
            <w:r w:rsidR="008D6BF4" w:rsidRPr="007214E1">
              <w:rPr>
                <w:rFonts w:ascii="Book Antiqua" w:hAnsi="Book Antiqua"/>
              </w:rPr>
              <w:t>sorafenib)</w:t>
            </w:r>
          </w:p>
        </w:tc>
        <w:tc>
          <w:tcPr>
            <w:tcW w:w="1693" w:type="dxa"/>
          </w:tcPr>
          <w:p w14:paraId="6DE7BB43" w14:textId="4CF22ECD" w:rsidR="008D6BF4" w:rsidRPr="007214E1" w:rsidRDefault="00BC3483" w:rsidP="00EB43EE">
            <w:pPr>
              <w:snapToGrid w:val="0"/>
              <w:spacing w:line="360" w:lineRule="auto"/>
              <w:jc w:val="both"/>
              <w:rPr>
                <w:rFonts w:ascii="Book Antiqua" w:hAnsi="Book Antiqua"/>
              </w:rPr>
            </w:pPr>
            <w:r w:rsidRPr="007214E1">
              <w:rPr>
                <w:rFonts w:ascii="Book Antiqua" w:hAnsi="Book Antiqua"/>
              </w:rPr>
              <w:t>NCT03434379</w:t>
            </w:r>
            <w:r w:rsidR="008D6BF4" w:rsidRPr="007214E1">
              <w:rPr>
                <w:rFonts w:ascii="Book Antiqua" w:hAnsi="Book Antiqua"/>
              </w:rPr>
              <w:t>(</w:t>
            </w:r>
            <w:proofErr w:type="spellStart"/>
            <w:r w:rsidR="008D6BF4" w:rsidRPr="007214E1">
              <w:rPr>
                <w:rFonts w:ascii="Book Antiqua" w:hAnsi="Book Antiqua"/>
              </w:rPr>
              <w:t>IMbrave</w:t>
            </w:r>
            <w:proofErr w:type="spellEnd"/>
            <w:r w:rsidR="008D6BF4" w:rsidRPr="007214E1">
              <w:rPr>
                <w:rFonts w:ascii="Book Antiqua" w:hAnsi="Book Antiqua"/>
              </w:rPr>
              <w:t xml:space="preserve"> 150)</w:t>
            </w:r>
          </w:p>
        </w:tc>
      </w:tr>
    </w:tbl>
    <w:p w14:paraId="410611CD" w14:textId="75AD49D2" w:rsidR="008D6BF4" w:rsidRPr="007214E1" w:rsidRDefault="00BC3483" w:rsidP="00EB43EE">
      <w:pPr>
        <w:snapToGrid w:val="0"/>
        <w:spacing w:line="360" w:lineRule="auto"/>
        <w:jc w:val="both"/>
        <w:rPr>
          <w:rFonts w:ascii="Book Antiqua" w:hAnsi="Book Antiqua"/>
        </w:rPr>
      </w:pPr>
      <w:r w:rsidRPr="007214E1">
        <w:rPr>
          <w:rFonts w:ascii="Book Antiqua" w:hAnsi="Book Antiqua"/>
        </w:rPr>
        <w:t>ORR: Overall response rate; OS: Overall survival; DCR: Disease control rate; PFS: Progression</w:t>
      </w:r>
      <w:r w:rsidR="008D6BF4" w:rsidRPr="007214E1">
        <w:rPr>
          <w:rFonts w:ascii="Book Antiqua" w:hAnsi="Book Antiqua"/>
        </w:rPr>
        <w:t>-free surv</w:t>
      </w:r>
      <w:r w:rsidRPr="007214E1">
        <w:rPr>
          <w:rFonts w:ascii="Book Antiqua" w:hAnsi="Book Antiqua"/>
        </w:rPr>
        <w:t>ival; DOR: Duration of response;</w:t>
      </w:r>
      <w:r w:rsidR="008D6BF4" w:rsidRPr="007214E1">
        <w:rPr>
          <w:rFonts w:ascii="Book Antiqua" w:hAnsi="Book Antiqua"/>
        </w:rPr>
        <w:t xml:space="preserve"> </w:t>
      </w:r>
      <w:r w:rsidRPr="007214E1">
        <w:rPr>
          <w:rFonts w:ascii="Book Antiqua" w:hAnsi="Book Antiqua"/>
        </w:rPr>
        <w:t>OS HR: Overall survival hazard rate.</w:t>
      </w:r>
    </w:p>
    <w:p w14:paraId="20E5B739" w14:textId="6C4DC9FF" w:rsidR="00A859B6" w:rsidRPr="007214E1" w:rsidRDefault="00A859B6" w:rsidP="00EB43EE">
      <w:pPr>
        <w:snapToGrid w:val="0"/>
        <w:spacing w:line="360" w:lineRule="auto"/>
        <w:jc w:val="both"/>
        <w:rPr>
          <w:rFonts w:ascii="Book Antiqua" w:hAnsi="Book Antiqua"/>
        </w:rPr>
      </w:pPr>
      <w:r w:rsidRPr="007214E1">
        <w:rPr>
          <w:rFonts w:ascii="Book Antiqua" w:hAnsi="Book Antiqua"/>
        </w:rPr>
        <w:br w:type="page"/>
      </w:r>
    </w:p>
    <w:p w14:paraId="0F71267F" w14:textId="5991FA3C" w:rsidR="008D6BF4" w:rsidRPr="007214E1" w:rsidRDefault="00A859B6" w:rsidP="00EB43EE">
      <w:pPr>
        <w:snapToGrid w:val="0"/>
        <w:spacing w:line="360" w:lineRule="auto"/>
        <w:jc w:val="both"/>
        <w:rPr>
          <w:rFonts w:ascii="Book Antiqua" w:hAnsi="Book Antiqua"/>
          <w:b/>
        </w:rPr>
      </w:pPr>
      <w:r w:rsidRPr="007214E1">
        <w:rPr>
          <w:rFonts w:ascii="Book Antiqua" w:hAnsi="Book Antiqua"/>
          <w:b/>
        </w:rPr>
        <w:lastRenderedPageBreak/>
        <w:t xml:space="preserve">Table 3 </w:t>
      </w:r>
      <w:r w:rsidR="008D6BF4" w:rsidRPr="007214E1">
        <w:rPr>
          <w:rFonts w:ascii="Book Antiqua" w:hAnsi="Book Antiqua"/>
          <w:b/>
        </w:rPr>
        <w:t xml:space="preserve">Summary of </w:t>
      </w:r>
      <w:r w:rsidR="00BC3483" w:rsidRPr="007214E1">
        <w:rPr>
          <w:rFonts w:ascii="Book Antiqua" w:hAnsi="Book Antiqua"/>
          <w:b/>
        </w:rPr>
        <w:t>active clinical trials evaluating checkpoint inhibitor combination therapy</w:t>
      </w:r>
    </w:p>
    <w:tbl>
      <w:tblPr>
        <w:tblStyle w:val="ad"/>
        <w:tblW w:w="83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36"/>
        <w:gridCol w:w="1705"/>
        <w:gridCol w:w="856"/>
        <w:gridCol w:w="1349"/>
        <w:gridCol w:w="1430"/>
        <w:gridCol w:w="1583"/>
        <w:gridCol w:w="1751"/>
      </w:tblGrid>
      <w:tr w:rsidR="008D6BF4" w:rsidRPr="007214E1" w14:paraId="7CB657EC" w14:textId="77777777" w:rsidTr="00EB43EE">
        <w:trPr>
          <w:trHeight w:val="584"/>
        </w:trPr>
        <w:tc>
          <w:tcPr>
            <w:tcW w:w="1280" w:type="dxa"/>
            <w:tcBorders>
              <w:top w:val="single" w:sz="4" w:space="0" w:color="auto"/>
              <w:bottom w:val="single" w:sz="4" w:space="0" w:color="auto"/>
            </w:tcBorders>
          </w:tcPr>
          <w:p w14:paraId="02DEA245" w14:textId="77777777" w:rsidR="008D6BF4" w:rsidRPr="007214E1" w:rsidRDefault="008D6BF4" w:rsidP="00EB43EE">
            <w:pPr>
              <w:snapToGrid w:val="0"/>
              <w:spacing w:line="360" w:lineRule="auto"/>
              <w:jc w:val="both"/>
              <w:rPr>
                <w:rFonts w:ascii="Book Antiqua" w:hAnsi="Book Antiqua"/>
                <w:b/>
              </w:rPr>
            </w:pPr>
            <w:r w:rsidRPr="007214E1">
              <w:rPr>
                <w:rFonts w:ascii="Book Antiqua" w:hAnsi="Book Antiqua"/>
                <w:b/>
              </w:rPr>
              <w:t>Therapy</w:t>
            </w:r>
          </w:p>
        </w:tc>
        <w:tc>
          <w:tcPr>
            <w:tcW w:w="1279" w:type="dxa"/>
            <w:tcBorders>
              <w:top w:val="single" w:sz="4" w:space="0" w:color="auto"/>
              <w:bottom w:val="single" w:sz="4" w:space="0" w:color="auto"/>
            </w:tcBorders>
          </w:tcPr>
          <w:p w14:paraId="3203D329" w14:textId="77777777" w:rsidR="008D6BF4" w:rsidRPr="007214E1" w:rsidRDefault="008D6BF4" w:rsidP="00EB43EE">
            <w:pPr>
              <w:snapToGrid w:val="0"/>
              <w:spacing w:line="360" w:lineRule="auto"/>
              <w:jc w:val="both"/>
              <w:rPr>
                <w:rFonts w:ascii="Book Antiqua" w:hAnsi="Book Antiqua"/>
                <w:b/>
              </w:rPr>
            </w:pPr>
            <w:r w:rsidRPr="007214E1">
              <w:rPr>
                <w:rFonts w:ascii="Book Antiqua" w:hAnsi="Book Antiqua"/>
                <w:b/>
              </w:rPr>
              <w:t>Comparator</w:t>
            </w:r>
          </w:p>
        </w:tc>
        <w:tc>
          <w:tcPr>
            <w:tcW w:w="1058" w:type="dxa"/>
            <w:tcBorders>
              <w:top w:val="single" w:sz="4" w:space="0" w:color="auto"/>
              <w:bottom w:val="single" w:sz="4" w:space="0" w:color="auto"/>
            </w:tcBorders>
          </w:tcPr>
          <w:p w14:paraId="57C8982C" w14:textId="03652CBF" w:rsidR="008D6BF4" w:rsidRPr="007214E1" w:rsidRDefault="008D6BF4" w:rsidP="00EB43EE">
            <w:pPr>
              <w:snapToGrid w:val="0"/>
              <w:spacing w:line="360" w:lineRule="auto"/>
              <w:jc w:val="both"/>
              <w:rPr>
                <w:rFonts w:ascii="Book Antiqua" w:hAnsi="Book Antiqua"/>
                <w:b/>
              </w:rPr>
            </w:pPr>
            <w:r w:rsidRPr="007214E1">
              <w:rPr>
                <w:rFonts w:ascii="Book Antiqua" w:hAnsi="Book Antiqua"/>
                <w:b/>
              </w:rPr>
              <w:t xml:space="preserve">Therapy </w:t>
            </w:r>
            <w:r w:rsidR="00BC3483" w:rsidRPr="007214E1">
              <w:rPr>
                <w:rFonts w:ascii="Book Antiqua" w:hAnsi="Book Antiqua"/>
                <w:b/>
              </w:rPr>
              <w:t>indication</w:t>
            </w:r>
          </w:p>
        </w:tc>
        <w:tc>
          <w:tcPr>
            <w:tcW w:w="591" w:type="dxa"/>
            <w:tcBorders>
              <w:top w:val="single" w:sz="4" w:space="0" w:color="auto"/>
              <w:bottom w:val="single" w:sz="4" w:space="0" w:color="auto"/>
            </w:tcBorders>
          </w:tcPr>
          <w:p w14:paraId="4582BD61" w14:textId="77777777" w:rsidR="008D6BF4" w:rsidRPr="007214E1" w:rsidRDefault="008D6BF4" w:rsidP="00EB43EE">
            <w:pPr>
              <w:snapToGrid w:val="0"/>
              <w:spacing w:line="360" w:lineRule="auto"/>
              <w:jc w:val="both"/>
              <w:rPr>
                <w:rFonts w:ascii="Book Antiqua" w:hAnsi="Book Antiqua"/>
                <w:b/>
              </w:rPr>
            </w:pPr>
            <w:r w:rsidRPr="007214E1">
              <w:rPr>
                <w:rFonts w:ascii="Book Antiqua" w:hAnsi="Book Antiqua"/>
                <w:b/>
              </w:rPr>
              <w:t>Phase</w:t>
            </w:r>
          </w:p>
        </w:tc>
        <w:tc>
          <w:tcPr>
            <w:tcW w:w="925" w:type="dxa"/>
            <w:tcBorders>
              <w:top w:val="single" w:sz="4" w:space="0" w:color="auto"/>
              <w:bottom w:val="single" w:sz="4" w:space="0" w:color="auto"/>
            </w:tcBorders>
          </w:tcPr>
          <w:p w14:paraId="43A81392" w14:textId="77964B24" w:rsidR="008D6BF4" w:rsidRPr="007214E1" w:rsidRDefault="008D6BF4" w:rsidP="00EB43EE">
            <w:pPr>
              <w:snapToGrid w:val="0"/>
              <w:spacing w:line="360" w:lineRule="auto"/>
              <w:jc w:val="both"/>
              <w:rPr>
                <w:rFonts w:ascii="Book Antiqua" w:hAnsi="Book Antiqua"/>
                <w:b/>
              </w:rPr>
            </w:pPr>
            <w:r w:rsidRPr="007214E1">
              <w:rPr>
                <w:rFonts w:ascii="Book Antiqua" w:hAnsi="Book Antiqua"/>
                <w:b/>
              </w:rPr>
              <w:t xml:space="preserve">Estimated </w:t>
            </w:r>
            <w:r w:rsidR="00BC3483" w:rsidRPr="007214E1">
              <w:rPr>
                <w:rFonts w:ascii="Book Antiqua" w:hAnsi="Book Antiqua"/>
                <w:b/>
              </w:rPr>
              <w:t>study duration</w:t>
            </w:r>
          </w:p>
        </w:tc>
        <w:tc>
          <w:tcPr>
            <w:tcW w:w="950" w:type="dxa"/>
            <w:tcBorders>
              <w:top w:val="single" w:sz="4" w:space="0" w:color="auto"/>
              <w:bottom w:val="single" w:sz="4" w:space="0" w:color="auto"/>
            </w:tcBorders>
          </w:tcPr>
          <w:p w14:paraId="2203A002" w14:textId="6BA39F2B" w:rsidR="008D6BF4" w:rsidRPr="007214E1" w:rsidRDefault="008D6BF4" w:rsidP="00EB43EE">
            <w:pPr>
              <w:snapToGrid w:val="0"/>
              <w:spacing w:line="360" w:lineRule="auto"/>
              <w:jc w:val="both"/>
              <w:rPr>
                <w:rFonts w:ascii="Book Antiqua" w:hAnsi="Book Antiqua"/>
                <w:b/>
              </w:rPr>
            </w:pPr>
            <w:r w:rsidRPr="007214E1">
              <w:rPr>
                <w:rFonts w:ascii="Book Antiqua" w:hAnsi="Book Antiqua"/>
                <w:b/>
              </w:rPr>
              <w:t xml:space="preserve">Estimated </w:t>
            </w:r>
            <w:r w:rsidR="00BC3483" w:rsidRPr="007214E1">
              <w:rPr>
                <w:rFonts w:ascii="Book Antiqua" w:hAnsi="Book Antiqua"/>
                <w:b/>
              </w:rPr>
              <w:t>patient enrollment</w:t>
            </w:r>
          </w:p>
        </w:tc>
        <w:tc>
          <w:tcPr>
            <w:tcW w:w="995" w:type="dxa"/>
            <w:tcBorders>
              <w:top w:val="single" w:sz="4" w:space="0" w:color="auto"/>
              <w:bottom w:val="single" w:sz="4" w:space="0" w:color="auto"/>
            </w:tcBorders>
          </w:tcPr>
          <w:p w14:paraId="001E29A6" w14:textId="1BB6B039" w:rsidR="008D6BF4" w:rsidRPr="007214E1" w:rsidRDefault="008D6BF4" w:rsidP="00EB43EE">
            <w:pPr>
              <w:snapToGrid w:val="0"/>
              <w:spacing w:line="360" w:lineRule="auto"/>
              <w:jc w:val="both"/>
              <w:rPr>
                <w:rFonts w:ascii="Book Antiqua" w:hAnsi="Book Antiqua"/>
                <w:b/>
              </w:rPr>
            </w:pPr>
            <w:r w:rsidRPr="007214E1">
              <w:rPr>
                <w:rFonts w:ascii="Book Antiqua" w:hAnsi="Book Antiqua"/>
                <w:b/>
              </w:rPr>
              <w:t xml:space="preserve">Primary </w:t>
            </w:r>
            <w:r w:rsidR="00BC3483" w:rsidRPr="007214E1">
              <w:rPr>
                <w:rFonts w:ascii="Book Antiqua" w:hAnsi="Book Antiqua"/>
                <w:b/>
              </w:rPr>
              <w:t>endpoints</w:t>
            </w:r>
          </w:p>
        </w:tc>
        <w:tc>
          <w:tcPr>
            <w:tcW w:w="1226" w:type="dxa"/>
            <w:tcBorders>
              <w:top w:val="single" w:sz="4" w:space="0" w:color="auto"/>
              <w:bottom w:val="single" w:sz="4" w:space="0" w:color="auto"/>
            </w:tcBorders>
          </w:tcPr>
          <w:p w14:paraId="20306C45" w14:textId="0159B202" w:rsidR="008D6BF4" w:rsidRPr="007214E1" w:rsidRDefault="008D6BF4" w:rsidP="00EB43EE">
            <w:pPr>
              <w:snapToGrid w:val="0"/>
              <w:spacing w:line="360" w:lineRule="auto"/>
              <w:jc w:val="both"/>
              <w:rPr>
                <w:rFonts w:ascii="Book Antiqua" w:hAnsi="Book Antiqua"/>
                <w:b/>
              </w:rPr>
            </w:pPr>
            <w:r w:rsidRPr="007214E1">
              <w:rPr>
                <w:rFonts w:ascii="Book Antiqua" w:hAnsi="Book Antiqua"/>
                <w:b/>
              </w:rPr>
              <w:t xml:space="preserve">Trial </w:t>
            </w:r>
            <w:r w:rsidR="00BC3483" w:rsidRPr="007214E1">
              <w:rPr>
                <w:rFonts w:ascii="Book Antiqua" w:hAnsi="Book Antiqua"/>
                <w:b/>
              </w:rPr>
              <w:t>identifier</w:t>
            </w:r>
          </w:p>
        </w:tc>
      </w:tr>
      <w:tr w:rsidR="008D6BF4" w:rsidRPr="007214E1" w14:paraId="2F0FA812" w14:textId="77777777" w:rsidTr="00EB43EE">
        <w:trPr>
          <w:trHeight w:val="187"/>
        </w:trPr>
        <w:tc>
          <w:tcPr>
            <w:tcW w:w="1280" w:type="dxa"/>
            <w:tcBorders>
              <w:top w:val="single" w:sz="4" w:space="0" w:color="auto"/>
            </w:tcBorders>
          </w:tcPr>
          <w:p w14:paraId="7A58048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Nivolumab plus ipilimumab</w:t>
            </w:r>
          </w:p>
        </w:tc>
        <w:tc>
          <w:tcPr>
            <w:tcW w:w="1279" w:type="dxa"/>
            <w:tcBorders>
              <w:top w:val="single" w:sz="4" w:space="0" w:color="auto"/>
            </w:tcBorders>
          </w:tcPr>
          <w:p w14:paraId="1DB36CF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058" w:type="dxa"/>
            <w:tcBorders>
              <w:top w:val="single" w:sz="4" w:space="0" w:color="auto"/>
            </w:tcBorders>
          </w:tcPr>
          <w:p w14:paraId="07680E2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Neoadjuvant</w:t>
            </w:r>
          </w:p>
        </w:tc>
        <w:tc>
          <w:tcPr>
            <w:tcW w:w="591" w:type="dxa"/>
            <w:tcBorders>
              <w:top w:val="single" w:sz="4" w:space="0" w:color="auto"/>
            </w:tcBorders>
          </w:tcPr>
          <w:p w14:paraId="3DF4DB5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925" w:type="dxa"/>
            <w:tcBorders>
              <w:top w:val="single" w:sz="4" w:space="0" w:color="auto"/>
            </w:tcBorders>
          </w:tcPr>
          <w:p w14:paraId="75908B1F" w14:textId="3473F650" w:rsidR="008D6BF4" w:rsidRPr="007214E1" w:rsidRDefault="00BC3483" w:rsidP="00EB43EE">
            <w:pPr>
              <w:snapToGrid w:val="0"/>
              <w:spacing w:line="360" w:lineRule="auto"/>
              <w:jc w:val="both"/>
              <w:rPr>
                <w:rFonts w:ascii="Book Antiqua" w:hAnsi="Book Antiqua"/>
              </w:rPr>
            </w:pPr>
            <w:r w:rsidRPr="007214E1">
              <w:rPr>
                <w:rFonts w:ascii="Book Antiqua" w:hAnsi="Book Antiqua"/>
              </w:rPr>
              <w:t>March 1, 2019-</w:t>
            </w:r>
            <w:r w:rsidR="008D6BF4" w:rsidRPr="007214E1">
              <w:rPr>
                <w:rFonts w:ascii="Book Antiqua" w:hAnsi="Book Antiqua"/>
              </w:rPr>
              <w:t>September 1, 2022</w:t>
            </w:r>
          </w:p>
        </w:tc>
        <w:tc>
          <w:tcPr>
            <w:tcW w:w="950" w:type="dxa"/>
            <w:tcBorders>
              <w:top w:val="single" w:sz="4" w:space="0" w:color="auto"/>
            </w:tcBorders>
          </w:tcPr>
          <w:p w14:paraId="45362CA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32</w:t>
            </w:r>
          </w:p>
        </w:tc>
        <w:tc>
          <w:tcPr>
            <w:tcW w:w="995" w:type="dxa"/>
            <w:tcBorders>
              <w:top w:val="single" w:sz="4" w:space="0" w:color="auto"/>
            </w:tcBorders>
          </w:tcPr>
          <w:p w14:paraId="4A5B0CC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Delay to surgery, incidence of treatment-related adverse events</w:t>
            </w:r>
          </w:p>
        </w:tc>
        <w:tc>
          <w:tcPr>
            <w:tcW w:w="1226" w:type="dxa"/>
            <w:tcBorders>
              <w:top w:val="single" w:sz="4" w:space="0" w:color="auto"/>
            </w:tcBorders>
          </w:tcPr>
          <w:p w14:paraId="064C1008" w14:textId="784757BA"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shd w:val="clear" w:color="auto" w:fill="FFFFFF"/>
              </w:rPr>
              <w:t>NCT03682276</w:t>
            </w:r>
            <w:r w:rsidR="00BC3483" w:rsidRPr="007214E1">
              <w:rPr>
                <w:rFonts w:ascii="Book Antiqua" w:eastAsiaTheme="minorEastAsia" w:hAnsi="Book Antiqua"/>
                <w:lang w:eastAsia="zh-CN"/>
              </w:rPr>
              <w:t xml:space="preserve"> </w:t>
            </w:r>
            <w:r w:rsidRPr="007214E1">
              <w:rPr>
                <w:rFonts w:ascii="Book Antiqua" w:hAnsi="Book Antiqua"/>
              </w:rPr>
              <w:t>(PRIME-HCC)</w:t>
            </w:r>
          </w:p>
        </w:tc>
      </w:tr>
      <w:tr w:rsidR="008D6BF4" w:rsidRPr="007214E1" w14:paraId="2DCD03BA" w14:textId="77777777" w:rsidTr="00EB43EE">
        <w:trPr>
          <w:trHeight w:val="187"/>
        </w:trPr>
        <w:tc>
          <w:tcPr>
            <w:tcW w:w="1280" w:type="dxa"/>
          </w:tcPr>
          <w:p w14:paraId="06AF97F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Nivolumab plus ipilimumab</w:t>
            </w:r>
          </w:p>
        </w:tc>
        <w:tc>
          <w:tcPr>
            <w:tcW w:w="1279" w:type="dxa"/>
          </w:tcPr>
          <w:p w14:paraId="196618B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Nivolumab </w:t>
            </w:r>
            <w:r w:rsidRPr="007214E1">
              <w:rPr>
                <w:rFonts w:ascii="Book Antiqua" w:hAnsi="Book Antiqua"/>
                <w:i/>
              </w:rPr>
              <w:t>vs</w:t>
            </w:r>
            <w:r w:rsidRPr="007214E1">
              <w:rPr>
                <w:rFonts w:ascii="Book Antiqua" w:hAnsi="Book Antiqua"/>
              </w:rPr>
              <w:t xml:space="preserve"> nivolumab plus ipilimumab (regimen 1) </w:t>
            </w:r>
            <w:r w:rsidRPr="007214E1">
              <w:rPr>
                <w:rFonts w:ascii="Book Antiqua" w:hAnsi="Book Antiqua"/>
                <w:i/>
              </w:rPr>
              <w:t>vs</w:t>
            </w:r>
            <w:r w:rsidRPr="007214E1">
              <w:rPr>
                <w:rFonts w:ascii="Book Antiqua" w:hAnsi="Book Antiqua"/>
              </w:rPr>
              <w:t xml:space="preserve"> nivolumab plus ipilimumab (regimen 2)</w:t>
            </w:r>
          </w:p>
        </w:tc>
        <w:tc>
          <w:tcPr>
            <w:tcW w:w="1058" w:type="dxa"/>
          </w:tcPr>
          <w:p w14:paraId="7CCE84C8"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Neoadjuvant</w:t>
            </w:r>
          </w:p>
        </w:tc>
        <w:tc>
          <w:tcPr>
            <w:tcW w:w="591" w:type="dxa"/>
          </w:tcPr>
          <w:p w14:paraId="19C8F33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925" w:type="dxa"/>
          </w:tcPr>
          <w:p w14:paraId="4D27DA9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September 28, 2017-September 30, 2022</w:t>
            </w:r>
          </w:p>
        </w:tc>
        <w:tc>
          <w:tcPr>
            <w:tcW w:w="950" w:type="dxa"/>
          </w:tcPr>
          <w:p w14:paraId="0CFA1A5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45</w:t>
            </w:r>
          </w:p>
        </w:tc>
        <w:tc>
          <w:tcPr>
            <w:tcW w:w="995" w:type="dxa"/>
          </w:tcPr>
          <w:p w14:paraId="71D05D2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Incidence of adverse events</w:t>
            </w:r>
          </w:p>
        </w:tc>
        <w:tc>
          <w:tcPr>
            <w:tcW w:w="1226" w:type="dxa"/>
          </w:tcPr>
          <w:p w14:paraId="6191B4A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NCT03222076</w:t>
            </w:r>
          </w:p>
        </w:tc>
      </w:tr>
      <w:tr w:rsidR="008D6BF4" w:rsidRPr="007214E1" w14:paraId="0FBD557A" w14:textId="77777777" w:rsidTr="00EB43EE">
        <w:trPr>
          <w:trHeight w:val="187"/>
        </w:trPr>
        <w:tc>
          <w:tcPr>
            <w:tcW w:w="1280" w:type="dxa"/>
          </w:tcPr>
          <w:p w14:paraId="2D14B6D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Nivolumab plus ipilimumab</w:t>
            </w:r>
          </w:p>
        </w:tc>
        <w:tc>
          <w:tcPr>
            <w:tcW w:w="1279" w:type="dxa"/>
          </w:tcPr>
          <w:p w14:paraId="0EB7E9E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058" w:type="dxa"/>
          </w:tcPr>
          <w:p w14:paraId="4095A79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Neoadjuvant</w:t>
            </w:r>
          </w:p>
        </w:tc>
        <w:tc>
          <w:tcPr>
            <w:tcW w:w="591" w:type="dxa"/>
          </w:tcPr>
          <w:p w14:paraId="484B808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925" w:type="dxa"/>
          </w:tcPr>
          <w:p w14:paraId="138DD299" w14:textId="62CA3AE4" w:rsidR="008D6BF4" w:rsidRPr="007214E1" w:rsidRDefault="00BC3483" w:rsidP="00EB43EE">
            <w:pPr>
              <w:snapToGrid w:val="0"/>
              <w:spacing w:line="360" w:lineRule="auto"/>
              <w:jc w:val="both"/>
              <w:rPr>
                <w:rFonts w:ascii="Book Antiqua" w:hAnsi="Book Antiqua"/>
              </w:rPr>
            </w:pPr>
            <w:r w:rsidRPr="007214E1">
              <w:rPr>
                <w:rFonts w:ascii="Book Antiqua" w:hAnsi="Book Antiqua"/>
              </w:rPr>
              <w:t>June 1, 2018-</w:t>
            </w:r>
            <w:r w:rsidR="008D6BF4" w:rsidRPr="007214E1">
              <w:rPr>
                <w:rFonts w:ascii="Book Antiqua" w:hAnsi="Book Antiqua"/>
              </w:rPr>
              <w:t>December 31, 2022</w:t>
            </w:r>
          </w:p>
        </w:tc>
        <w:tc>
          <w:tcPr>
            <w:tcW w:w="950" w:type="dxa"/>
          </w:tcPr>
          <w:p w14:paraId="42D4E31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40</w:t>
            </w:r>
          </w:p>
        </w:tc>
        <w:tc>
          <w:tcPr>
            <w:tcW w:w="995" w:type="dxa"/>
          </w:tcPr>
          <w:p w14:paraId="7C19BDD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Percentage of subjects with tumor shrinkage after therapy</w:t>
            </w:r>
          </w:p>
        </w:tc>
        <w:tc>
          <w:tcPr>
            <w:tcW w:w="1226" w:type="dxa"/>
          </w:tcPr>
          <w:p w14:paraId="0294563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NCT03510871</w:t>
            </w:r>
          </w:p>
        </w:tc>
      </w:tr>
      <w:tr w:rsidR="008D6BF4" w:rsidRPr="007214E1" w14:paraId="70DC91B5" w14:textId="77777777" w:rsidTr="00EB43EE">
        <w:trPr>
          <w:trHeight w:val="187"/>
        </w:trPr>
        <w:tc>
          <w:tcPr>
            <w:tcW w:w="1280" w:type="dxa"/>
          </w:tcPr>
          <w:p w14:paraId="6D84F1B3" w14:textId="178BD1EC" w:rsidR="008D6BF4" w:rsidRPr="007214E1" w:rsidRDefault="008D6BF4" w:rsidP="00EB43EE">
            <w:pPr>
              <w:snapToGrid w:val="0"/>
              <w:spacing w:line="360" w:lineRule="auto"/>
              <w:jc w:val="both"/>
              <w:rPr>
                <w:rFonts w:ascii="Book Antiqua" w:hAnsi="Book Antiqua"/>
              </w:rPr>
            </w:pPr>
            <w:r w:rsidRPr="007214E1">
              <w:rPr>
                <w:rFonts w:ascii="Book Antiqua" w:hAnsi="Book Antiqua"/>
              </w:rPr>
              <w:t>Nivolumab and ipilimumab p</w:t>
            </w:r>
            <w:r w:rsidR="00D56E9E" w:rsidRPr="007214E1">
              <w:rPr>
                <w:rFonts w:ascii="Book Antiqua" w:hAnsi="Book Antiqua"/>
              </w:rPr>
              <w:t>lus INCAGN01876 (OX-40 Agonist)</w:t>
            </w:r>
          </w:p>
        </w:tc>
        <w:tc>
          <w:tcPr>
            <w:tcW w:w="1279" w:type="dxa"/>
          </w:tcPr>
          <w:p w14:paraId="203962B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Nivolumab plus INCAGN01876 </w:t>
            </w:r>
            <w:r w:rsidRPr="007214E1">
              <w:rPr>
                <w:rFonts w:ascii="Book Antiqua" w:hAnsi="Book Antiqua"/>
                <w:i/>
              </w:rPr>
              <w:t>vs</w:t>
            </w:r>
            <w:r w:rsidRPr="007214E1">
              <w:rPr>
                <w:rFonts w:ascii="Book Antiqua" w:hAnsi="Book Antiqua"/>
              </w:rPr>
              <w:t xml:space="preserve"> ipilimumab plus INCAGN01876 </w:t>
            </w:r>
          </w:p>
        </w:tc>
        <w:tc>
          <w:tcPr>
            <w:tcW w:w="1058" w:type="dxa"/>
          </w:tcPr>
          <w:p w14:paraId="548C64D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Not specified</w:t>
            </w:r>
          </w:p>
        </w:tc>
        <w:tc>
          <w:tcPr>
            <w:tcW w:w="591" w:type="dxa"/>
          </w:tcPr>
          <w:p w14:paraId="2905509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925" w:type="dxa"/>
          </w:tcPr>
          <w:p w14:paraId="4BF18B72" w14:textId="59413785" w:rsidR="008D6BF4" w:rsidRPr="007214E1" w:rsidRDefault="00D56E9E" w:rsidP="00EB43EE">
            <w:pPr>
              <w:snapToGrid w:val="0"/>
              <w:spacing w:line="360" w:lineRule="auto"/>
              <w:jc w:val="both"/>
              <w:rPr>
                <w:rFonts w:ascii="Book Antiqua" w:hAnsi="Book Antiqua"/>
              </w:rPr>
            </w:pPr>
            <w:r w:rsidRPr="007214E1">
              <w:rPr>
                <w:rFonts w:ascii="Book Antiqua" w:hAnsi="Book Antiqua"/>
              </w:rPr>
              <w:t>April 13, 2017-</w:t>
            </w:r>
            <w:r w:rsidR="008D6BF4" w:rsidRPr="007214E1">
              <w:rPr>
                <w:rFonts w:ascii="Book Antiqua" w:hAnsi="Book Antiqua"/>
              </w:rPr>
              <w:t>October 28, 2021</w:t>
            </w:r>
          </w:p>
        </w:tc>
        <w:tc>
          <w:tcPr>
            <w:tcW w:w="950" w:type="dxa"/>
          </w:tcPr>
          <w:p w14:paraId="0C7F5F0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285</w:t>
            </w:r>
          </w:p>
        </w:tc>
        <w:tc>
          <w:tcPr>
            <w:tcW w:w="995" w:type="dxa"/>
          </w:tcPr>
          <w:p w14:paraId="0D6DFF8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Safety and tolerability, ORR</w:t>
            </w:r>
          </w:p>
        </w:tc>
        <w:tc>
          <w:tcPr>
            <w:tcW w:w="1226" w:type="dxa"/>
          </w:tcPr>
          <w:p w14:paraId="4FF1231B" w14:textId="77777777" w:rsidR="008D6BF4" w:rsidRPr="007214E1" w:rsidRDefault="008D6BF4" w:rsidP="00EB43EE">
            <w:pPr>
              <w:snapToGrid w:val="0"/>
              <w:spacing w:line="360" w:lineRule="auto"/>
              <w:jc w:val="both"/>
              <w:rPr>
                <w:rFonts w:ascii="Book Antiqua" w:hAnsi="Book Antiqua"/>
                <w:color w:val="000000"/>
                <w:shd w:val="clear" w:color="auto" w:fill="FFFFFF"/>
              </w:rPr>
            </w:pPr>
            <w:r w:rsidRPr="007214E1">
              <w:rPr>
                <w:rFonts w:ascii="Book Antiqua" w:hAnsi="Book Antiqua"/>
              </w:rPr>
              <w:t>NCT03126110</w:t>
            </w:r>
          </w:p>
        </w:tc>
      </w:tr>
      <w:tr w:rsidR="008D6BF4" w:rsidRPr="007214E1" w14:paraId="61185A06" w14:textId="77777777" w:rsidTr="00EB43EE">
        <w:trPr>
          <w:trHeight w:val="187"/>
        </w:trPr>
        <w:tc>
          <w:tcPr>
            <w:tcW w:w="1280" w:type="dxa"/>
          </w:tcPr>
          <w:p w14:paraId="58CEB0D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Nivolumab plus ipilimumab</w:t>
            </w:r>
          </w:p>
        </w:tc>
        <w:tc>
          <w:tcPr>
            <w:tcW w:w="1279" w:type="dxa"/>
          </w:tcPr>
          <w:p w14:paraId="0C63B52D" w14:textId="464A0B14" w:rsidR="008D6BF4" w:rsidRPr="007214E1" w:rsidRDefault="00D56E9E" w:rsidP="00EB43EE">
            <w:pPr>
              <w:snapToGrid w:val="0"/>
              <w:spacing w:line="360" w:lineRule="auto"/>
              <w:jc w:val="both"/>
              <w:rPr>
                <w:rFonts w:ascii="Book Antiqua" w:hAnsi="Book Antiqua"/>
              </w:rPr>
            </w:pPr>
            <w:proofErr w:type="spellStart"/>
            <w:r w:rsidRPr="007214E1">
              <w:rPr>
                <w:rFonts w:ascii="Book Antiqua" w:hAnsi="Book Antiqua"/>
              </w:rPr>
              <w:t>Sorafenib</w:t>
            </w:r>
            <w:proofErr w:type="spellEnd"/>
            <w:r w:rsidRPr="007214E1">
              <w:rPr>
                <w:rFonts w:ascii="Book Antiqua" w:hAnsi="Book Antiqua"/>
              </w:rPr>
              <w:t xml:space="preserve"> or </w:t>
            </w:r>
            <w:proofErr w:type="spellStart"/>
            <w:r w:rsidRPr="007214E1">
              <w:rPr>
                <w:rFonts w:ascii="Book Antiqua" w:hAnsi="Book Antiqua"/>
              </w:rPr>
              <w:t>lenvatinib</w:t>
            </w:r>
            <w:proofErr w:type="spellEnd"/>
          </w:p>
        </w:tc>
        <w:tc>
          <w:tcPr>
            <w:tcW w:w="1058" w:type="dxa"/>
          </w:tcPr>
          <w:p w14:paraId="682A3D3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First-line</w:t>
            </w:r>
          </w:p>
        </w:tc>
        <w:tc>
          <w:tcPr>
            <w:tcW w:w="591" w:type="dxa"/>
          </w:tcPr>
          <w:p w14:paraId="377C285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925" w:type="dxa"/>
          </w:tcPr>
          <w:p w14:paraId="3124BA58"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September 16, 2019 – September 16, 2023</w:t>
            </w:r>
          </w:p>
        </w:tc>
        <w:tc>
          <w:tcPr>
            <w:tcW w:w="950" w:type="dxa"/>
          </w:tcPr>
          <w:p w14:paraId="690D9DE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1084</w:t>
            </w:r>
          </w:p>
        </w:tc>
        <w:tc>
          <w:tcPr>
            <w:tcW w:w="995" w:type="dxa"/>
          </w:tcPr>
          <w:p w14:paraId="4A6FA24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OS</w:t>
            </w:r>
          </w:p>
        </w:tc>
        <w:tc>
          <w:tcPr>
            <w:tcW w:w="1226" w:type="dxa"/>
          </w:tcPr>
          <w:p w14:paraId="0120C453" w14:textId="58C61B6E" w:rsidR="008D6BF4" w:rsidRPr="007214E1" w:rsidRDefault="00D56E9E" w:rsidP="00EB43EE">
            <w:pPr>
              <w:snapToGrid w:val="0"/>
              <w:spacing w:line="360" w:lineRule="auto"/>
              <w:jc w:val="both"/>
              <w:rPr>
                <w:rFonts w:ascii="Book Antiqua" w:hAnsi="Book Antiqua"/>
              </w:rPr>
            </w:pPr>
            <w:r w:rsidRPr="007214E1">
              <w:rPr>
                <w:rFonts w:ascii="Book Antiqua" w:hAnsi="Book Antiqua"/>
              </w:rPr>
              <w:t>NCT04039607</w:t>
            </w:r>
            <w:r w:rsidRPr="007214E1">
              <w:rPr>
                <w:rFonts w:ascii="Book Antiqua" w:eastAsiaTheme="minorEastAsia" w:hAnsi="Book Antiqua"/>
                <w:lang w:eastAsia="zh-CN"/>
              </w:rPr>
              <w:t xml:space="preserve"> </w:t>
            </w:r>
            <w:r w:rsidR="008D6BF4" w:rsidRPr="007214E1">
              <w:rPr>
                <w:rFonts w:ascii="Book Antiqua" w:hAnsi="Book Antiqua"/>
              </w:rPr>
              <w:t>(</w:t>
            </w:r>
            <w:proofErr w:type="spellStart"/>
            <w:r w:rsidR="008D6BF4" w:rsidRPr="007214E1">
              <w:rPr>
                <w:rFonts w:ascii="Book Antiqua" w:hAnsi="Book Antiqua"/>
              </w:rPr>
              <w:t>CheckMate</w:t>
            </w:r>
            <w:proofErr w:type="spellEnd"/>
            <w:r w:rsidR="008D6BF4" w:rsidRPr="007214E1">
              <w:rPr>
                <w:rFonts w:ascii="Book Antiqua" w:hAnsi="Book Antiqua"/>
              </w:rPr>
              <w:t xml:space="preserve"> 9DW)</w:t>
            </w:r>
          </w:p>
        </w:tc>
      </w:tr>
      <w:tr w:rsidR="008D6BF4" w:rsidRPr="007214E1" w14:paraId="1883A1B8" w14:textId="77777777" w:rsidTr="00EB43EE">
        <w:trPr>
          <w:trHeight w:val="187"/>
        </w:trPr>
        <w:tc>
          <w:tcPr>
            <w:tcW w:w="1280" w:type="dxa"/>
          </w:tcPr>
          <w:p w14:paraId="7E428905"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p>
        </w:tc>
        <w:tc>
          <w:tcPr>
            <w:tcW w:w="1279" w:type="dxa"/>
          </w:tcPr>
          <w:p w14:paraId="598F7F3F" w14:textId="4BAA41DD"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w:t>
            </w:r>
            <w:proofErr w:type="spellStart"/>
            <w:r w:rsidRPr="007214E1">
              <w:rPr>
                <w:rFonts w:ascii="Book Antiqua" w:hAnsi="Book Antiqua"/>
                <w:i/>
              </w:rPr>
              <w:t>vs</w:t>
            </w:r>
            <w:proofErr w:type="spellEnd"/>
            <w:r w:rsidR="00354FFA" w:rsidRPr="007214E1">
              <w:rPr>
                <w:rFonts w:ascii="Book Antiqua" w:hAnsi="Book Antiqua"/>
              </w:rPr>
              <w:t xml:space="preserve"> </w:t>
            </w:r>
            <w:proofErr w:type="spellStart"/>
            <w:r w:rsidRPr="007214E1">
              <w:rPr>
                <w:rFonts w:ascii="Book Antiqua" w:hAnsi="Book Antiqua"/>
              </w:rPr>
              <w:t>tremelimumab</w:t>
            </w:r>
            <w:proofErr w:type="spellEnd"/>
            <w:r w:rsidRPr="007214E1">
              <w:rPr>
                <w:rFonts w:ascii="Book Antiqua" w:hAnsi="Book Antiqua"/>
              </w:rPr>
              <w:t xml:space="preserve"> </w:t>
            </w:r>
            <w:proofErr w:type="spellStart"/>
            <w:r w:rsidRPr="007214E1">
              <w:rPr>
                <w:rFonts w:ascii="Book Antiqua" w:hAnsi="Book Antiqua"/>
                <w:i/>
              </w:rPr>
              <w:lastRenderedPageBreak/>
              <w:t>vs</w:t>
            </w:r>
            <w:proofErr w:type="spellEnd"/>
            <w:r w:rsidRPr="007214E1">
              <w:rPr>
                <w:rFonts w:ascii="Book Antiqua" w:hAnsi="Book Antiqua"/>
              </w:rPr>
              <w:t xml:space="preserve">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(regimen 1) </w:t>
            </w:r>
            <w:proofErr w:type="spellStart"/>
            <w:r w:rsidRPr="007214E1">
              <w:rPr>
                <w:rFonts w:ascii="Book Antiqua" w:hAnsi="Book Antiqua"/>
                <w:i/>
              </w:rPr>
              <w:t>vs</w:t>
            </w:r>
            <w:proofErr w:type="spellEnd"/>
            <w:r w:rsidRPr="007214E1">
              <w:rPr>
                <w:rFonts w:ascii="Book Antiqua" w:hAnsi="Book Antiqua"/>
              </w:rPr>
              <w:t xml:space="preserve">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(regimen 2) </w:t>
            </w:r>
            <w:proofErr w:type="spellStart"/>
            <w:r w:rsidRPr="007214E1">
              <w:rPr>
                <w:rFonts w:ascii="Book Antiqua" w:hAnsi="Book Antiqua"/>
                <w:i/>
              </w:rPr>
              <w:t>vs</w:t>
            </w:r>
            <w:proofErr w:type="spellEnd"/>
            <w:r w:rsidRPr="007214E1">
              <w:rPr>
                <w:rFonts w:ascii="Book Antiqua" w:hAnsi="Book Antiqua"/>
                <w:i/>
              </w:rPr>
              <w:t xml:space="preserve">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bevacizumab</w:t>
            </w:r>
            <w:proofErr w:type="spellEnd"/>
          </w:p>
        </w:tc>
        <w:tc>
          <w:tcPr>
            <w:tcW w:w="1058" w:type="dxa"/>
          </w:tcPr>
          <w:p w14:paraId="71118C98"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 xml:space="preserve">Second-line (first-line for patients </w:t>
            </w:r>
            <w:r w:rsidRPr="007214E1">
              <w:rPr>
                <w:rFonts w:ascii="Book Antiqua" w:hAnsi="Book Antiqua"/>
              </w:rPr>
              <w:lastRenderedPageBreak/>
              <w:t>receiving durvalumab plus bevacizumab)</w:t>
            </w:r>
          </w:p>
        </w:tc>
        <w:tc>
          <w:tcPr>
            <w:tcW w:w="591" w:type="dxa"/>
          </w:tcPr>
          <w:p w14:paraId="494B94F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II</w:t>
            </w:r>
          </w:p>
        </w:tc>
        <w:tc>
          <w:tcPr>
            <w:tcW w:w="925" w:type="dxa"/>
          </w:tcPr>
          <w:p w14:paraId="739E7103" w14:textId="7D83E410" w:rsidR="008D6BF4" w:rsidRPr="007214E1" w:rsidRDefault="00D56E9E" w:rsidP="00EB43EE">
            <w:pPr>
              <w:snapToGrid w:val="0"/>
              <w:spacing w:line="360" w:lineRule="auto"/>
              <w:jc w:val="both"/>
              <w:rPr>
                <w:rFonts w:ascii="Book Antiqua" w:hAnsi="Book Antiqua"/>
              </w:rPr>
            </w:pPr>
            <w:r w:rsidRPr="007214E1">
              <w:rPr>
                <w:rFonts w:ascii="Book Antiqua" w:hAnsi="Book Antiqua"/>
              </w:rPr>
              <w:t>October 19, 2015-</w:t>
            </w:r>
            <w:r w:rsidR="008D6BF4" w:rsidRPr="007214E1">
              <w:rPr>
                <w:rFonts w:ascii="Book Antiqua" w:hAnsi="Book Antiqua"/>
              </w:rPr>
              <w:t xml:space="preserve">January 6, </w:t>
            </w:r>
            <w:r w:rsidR="008D6BF4" w:rsidRPr="007214E1">
              <w:rPr>
                <w:rFonts w:ascii="Book Antiqua" w:hAnsi="Book Antiqua"/>
              </w:rPr>
              <w:lastRenderedPageBreak/>
              <w:t>2021</w:t>
            </w:r>
          </w:p>
        </w:tc>
        <w:tc>
          <w:tcPr>
            <w:tcW w:w="950" w:type="dxa"/>
          </w:tcPr>
          <w:p w14:paraId="2062838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433</w:t>
            </w:r>
          </w:p>
        </w:tc>
        <w:tc>
          <w:tcPr>
            <w:tcW w:w="995" w:type="dxa"/>
          </w:tcPr>
          <w:p w14:paraId="7E5C298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Number patients experiencing </w:t>
            </w:r>
            <w:r w:rsidRPr="007214E1">
              <w:rPr>
                <w:rFonts w:ascii="Book Antiqua" w:hAnsi="Book Antiqua"/>
              </w:rPr>
              <w:lastRenderedPageBreak/>
              <w:t>adverse events and dose-limiting toxicities</w:t>
            </w:r>
          </w:p>
        </w:tc>
        <w:tc>
          <w:tcPr>
            <w:tcW w:w="1226" w:type="dxa"/>
          </w:tcPr>
          <w:p w14:paraId="30B12FCD" w14:textId="77777777" w:rsidR="008D6BF4" w:rsidRPr="007214E1" w:rsidRDefault="008D6BF4" w:rsidP="00EB43EE">
            <w:pPr>
              <w:snapToGrid w:val="0"/>
              <w:spacing w:line="360" w:lineRule="auto"/>
              <w:jc w:val="both"/>
              <w:rPr>
                <w:rFonts w:ascii="Book Antiqua" w:hAnsi="Book Antiqua"/>
                <w:color w:val="000000"/>
                <w:shd w:val="clear" w:color="auto" w:fill="FFFFFF"/>
              </w:rPr>
            </w:pPr>
            <w:r w:rsidRPr="007214E1">
              <w:rPr>
                <w:rFonts w:ascii="Book Antiqua" w:hAnsi="Book Antiqua"/>
              </w:rPr>
              <w:lastRenderedPageBreak/>
              <w:t>NCT02519348</w:t>
            </w:r>
          </w:p>
        </w:tc>
      </w:tr>
      <w:tr w:rsidR="008D6BF4" w:rsidRPr="007214E1" w14:paraId="5E6C585A" w14:textId="77777777" w:rsidTr="00EB43EE">
        <w:trPr>
          <w:trHeight w:val="187"/>
        </w:trPr>
        <w:tc>
          <w:tcPr>
            <w:tcW w:w="1280" w:type="dxa"/>
          </w:tcPr>
          <w:p w14:paraId="0CDFC5F2"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lastRenderedPageBreak/>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p>
        </w:tc>
        <w:tc>
          <w:tcPr>
            <w:tcW w:w="1279" w:type="dxa"/>
          </w:tcPr>
          <w:p w14:paraId="7FB98DEE"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w:t>
            </w:r>
            <w:proofErr w:type="spellStart"/>
            <w:r w:rsidRPr="007214E1">
              <w:rPr>
                <w:rFonts w:ascii="Book Antiqua" w:hAnsi="Book Antiqua"/>
                <w:i/>
              </w:rPr>
              <w:t>vs</w:t>
            </w:r>
            <w:proofErr w:type="spellEnd"/>
            <w:r w:rsidRPr="007214E1">
              <w:rPr>
                <w:rFonts w:ascii="Book Antiqua" w:hAnsi="Book Antiqua"/>
              </w:rPr>
              <w:t xml:space="preserve">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(regimen 1) </w:t>
            </w:r>
            <w:proofErr w:type="spellStart"/>
            <w:r w:rsidRPr="007214E1">
              <w:rPr>
                <w:rFonts w:ascii="Book Antiqua" w:hAnsi="Book Antiqua"/>
                <w:i/>
              </w:rPr>
              <w:t>vs</w:t>
            </w:r>
            <w:proofErr w:type="spellEnd"/>
            <w:r w:rsidRPr="007214E1">
              <w:rPr>
                <w:rFonts w:ascii="Book Antiqua" w:hAnsi="Book Antiqua"/>
              </w:rPr>
              <w:t xml:space="preserve">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(regimen 2) </w:t>
            </w:r>
            <w:proofErr w:type="spellStart"/>
            <w:r w:rsidRPr="007214E1">
              <w:rPr>
                <w:rFonts w:ascii="Book Antiqua" w:hAnsi="Book Antiqua"/>
                <w:i/>
              </w:rPr>
              <w:t>vs</w:t>
            </w:r>
            <w:proofErr w:type="spellEnd"/>
            <w:r w:rsidRPr="007214E1">
              <w:rPr>
                <w:rFonts w:ascii="Book Antiqua" w:hAnsi="Book Antiqua"/>
              </w:rPr>
              <w:t xml:space="preserve"> </w:t>
            </w:r>
            <w:proofErr w:type="spellStart"/>
            <w:r w:rsidRPr="007214E1">
              <w:rPr>
                <w:rFonts w:ascii="Book Antiqua" w:hAnsi="Book Antiqua"/>
              </w:rPr>
              <w:lastRenderedPageBreak/>
              <w:t>sorafenib</w:t>
            </w:r>
            <w:proofErr w:type="spellEnd"/>
          </w:p>
        </w:tc>
        <w:tc>
          <w:tcPr>
            <w:tcW w:w="1058" w:type="dxa"/>
          </w:tcPr>
          <w:p w14:paraId="0C86EC6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First-line</w:t>
            </w:r>
          </w:p>
        </w:tc>
        <w:tc>
          <w:tcPr>
            <w:tcW w:w="591" w:type="dxa"/>
          </w:tcPr>
          <w:p w14:paraId="2F29134D"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925" w:type="dxa"/>
          </w:tcPr>
          <w:p w14:paraId="15AB25A6" w14:textId="6C4EAD2B" w:rsidR="008D6BF4" w:rsidRPr="007214E1" w:rsidRDefault="00D56E9E" w:rsidP="00EB43EE">
            <w:pPr>
              <w:snapToGrid w:val="0"/>
              <w:spacing w:line="360" w:lineRule="auto"/>
              <w:jc w:val="both"/>
              <w:rPr>
                <w:rFonts w:ascii="Book Antiqua" w:hAnsi="Book Antiqua"/>
              </w:rPr>
            </w:pPr>
            <w:r w:rsidRPr="007214E1">
              <w:rPr>
                <w:rFonts w:ascii="Book Antiqua" w:hAnsi="Book Antiqua"/>
              </w:rPr>
              <w:t>October 11, 2017-</w:t>
            </w:r>
            <w:r w:rsidR="008D6BF4" w:rsidRPr="007214E1">
              <w:rPr>
                <w:rFonts w:ascii="Book Antiqua" w:hAnsi="Book Antiqua"/>
              </w:rPr>
              <w:t>October 30, 2020</w:t>
            </w:r>
          </w:p>
        </w:tc>
        <w:tc>
          <w:tcPr>
            <w:tcW w:w="950" w:type="dxa"/>
          </w:tcPr>
          <w:p w14:paraId="61D000A8"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1310</w:t>
            </w:r>
          </w:p>
        </w:tc>
        <w:tc>
          <w:tcPr>
            <w:tcW w:w="995" w:type="dxa"/>
          </w:tcPr>
          <w:p w14:paraId="03B6257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OS</w:t>
            </w:r>
          </w:p>
        </w:tc>
        <w:tc>
          <w:tcPr>
            <w:tcW w:w="1226" w:type="dxa"/>
          </w:tcPr>
          <w:p w14:paraId="7DC735E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NCT03298451 (HIMALAYA)</w:t>
            </w:r>
          </w:p>
        </w:tc>
      </w:tr>
    </w:tbl>
    <w:p w14:paraId="7D8668C1" w14:textId="7C5A4ED8" w:rsidR="008D6BF4" w:rsidRPr="007214E1" w:rsidRDefault="00D56E9E" w:rsidP="00EB43EE">
      <w:pPr>
        <w:snapToGrid w:val="0"/>
        <w:spacing w:line="360" w:lineRule="auto"/>
        <w:jc w:val="both"/>
        <w:rPr>
          <w:rFonts w:ascii="Book Antiqua" w:hAnsi="Book Antiqua"/>
        </w:rPr>
      </w:pPr>
      <w:r w:rsidRPr="007214E1">
        <w:rPr>
          <w:rFonts w:ascii="Book Antiqua" w:hAnsi="Book Antiqua"/>
        </w:rPr>
        <w:lastRenderedPageBreak/>
        <w:t>HCC: Hepatocellular carcinoma; ORR: Overall response rate; OS: Overall survival.</w:t>
      </w:r>
    </w:p>
    <w:p w14:paraId="03C6CC3C" w14:textId="77777777" w:rsidR="00EB43EE" w:rsidRPr="007214E1" w:rsidRDefault="00EB43EE" w:rsidP="00EB43EE">
      <w:pPr>
        <w:snapToGrid w:val="0"/>
        <w:spacing w:line="360" w:lineRule="auto"/>
        <w:jc w:val="both"/>
        <w:rPr>
          <w:rFonts w:ascii="Book Antiqua" w:hAnsi="Book Antiqua"/>
        </w:rPr>
      </w:pPr>
      <w:r w:rsidRPr="007214E1">
        <w:rPr>
          <w:rFonts w:ascii="Book Antiqua" w:hAnsi="Book Antiqua"/>
        </w:rPr>
        <w:br w:type="page"/>
      </w:r>
    </w:p>
    <w:p w14:paraId="2219FEB2" w14:textId="31D998C7" w:rsidR="008D6BF4" w:rsidRPr="007214E1" w:rsidRDefault="00A859B6" w:rsidP="00EB43EE">
      <w:pPr>
        <w:snapToGrid w:val="0"/>
        <w:spacing w:line="360" w:lineRule="auto"/>
        <w:jc w:val="both"/>
        <w:rPr>
          <w:rFonts w:ascii="Book Antiqua" w:hAnsi="Book Antiqua"/>
          <w:b/>
          <w:color w:val="000000"/>
        </w:rPr>
      </w:pPr>
      <w:r w:rsidRPr="007214E1">
        <w:rPr>
          <w:rFonts w:ascii="Book Antiqua" w:hAnsi="Book Antiqua"/>
          <w:b/>
          <w:color w:val="000000"/>
        </w:rPr>
        <w:lastRenderedPageBreak/>
        <w:t>Table 4</w:t>
      </w:r>
      <w:r w:rsidR="008D6BF4" w:rsidRPr="007214E1">
        <w:rPr>
          <w:rFonts w:ascii="Book Antiqua" w:hAnsi="Book Antiqua"/>
          <w:b/>
          <w:color w:val="000000"/>
        </w:rPr>
        <w:t xml:space="preserve"> </w:t>
      </w:r>
      <w:r w:rsidR="008D6BF4" w:rsidRPr="007214E1">
        <w:rPr>
          <w:rFonts w:ascii="Book Antiqua" w:hAnsi="Book Antiqua"/>
          <w:b/>
        </w:rPr>
        <w:t xml:space="preserve">Summary of </w:t>
      </w:r>
      <w:r w:rsidR="00D56E9E" w:rsidRPr="007214E1">
        <w:rPr>
          <w:rFonts w:ascii="Book Antiqua" w:hAnsi="Book Antiqua"/>
          <w:b/>
        </w:rPr>
        <w:t>active clinical trials evaluating combination therapy</w:t>
      </w:r>
      <w:r w:rsidR="00D56E9E" w:rsidRPr="007214E1">
        <w:rPr>
          <w:rFonts w:ascii="Book Antiqua" w:hAnsi="Book Antiqua"/>
          <w:b/>
          <w:color w:val="000000"/>
        </w:rPr>
        <w:t xml:space="preserve"> of checkpoint inhibitors plus vascular endothelial growth factor/factor receptor inhibitors</w:t>
      </w:r>
    </w:p>
    <w:tbl>
      <w:tblPr>
        <w:tblStyle w:val="ad"/>
        <w:tblW w:w="8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792"/>
        <w:gridCol w:w="1336"/>
        <w:gridCol w:w="856"/>
        <w:gridCol w:w="1309"/>
        <w:gridCol w:w="1430"/>
        <w:gridCol w:w="1583"/>
        <w:gridCol w:w="1693"/>
      </w:tblGrid>
      <w:tr w:rsidR="008D6BF4" w:rsidRPr="007214E1" w14:paraId="3A6C42FB" w14:textId="77777777" w:rsidTr="00D56E9E">
        <w:tc>
          <w:tcPr>
            <w:tcW w:w="1199" w:type="dxa"/>
            <w:tcBorders>
              <w:top w:val="single" w:sz="4" w:space="0" w:color="auto"/>
              <w:bottom w:val="single" w:sz="4" w:space="0" w:color="auto"/>
            </w:tcBorders>
          </w:tcPr>
          <w:p w14:paraId="5A4CBF17" w14:textId="77777777" w:rsidR="008D6BF4" w:rsidRPr="007214E1" w:rsidRDefault="008D6BF4" w:rsidP="00EB43EE">
            <w:pPr>
              <w:snapToGrid w:val="0"/>
              <w:spacing w:line="360" w:lineRule="auto"/>
              <w:jc w:val="both"/>
              <w:rPr>
                <w:rFonts w:ascii="Book Antiqua" w:hAnsi="Book Antiqua"/>
                <w:b/>
                <w:color w:val="000000"/>
              </w:rPr>
            </w:pPr>
            <w:r w:rsidRPr="007214E1">
              <w:rPr>
                <w:rFonts w:ascii="Book Antiqua" w:hAnsi="Book Antiqua"/>
                <w:b/>
              </w:rPr>
              <w:t>Therapy</w:t>
            </w:r>
          </w:p>
        </w:tc>
        <w:tc>
          <w:tcPr>
            <w:tcW w:w="1223" w:type="dxa"/>
            <w:tcBorders>
              <w:top w:val="single" w:sz="4" w:space="0" w:color="auto"/>
              <w:bottom w:val="single" w:sz="4" w:space="0" w:color="auto"/>
            </w:tcBorders>
          </w:tcPr>
          <w:p w14:paraId="4D4BB9AF" w14:textId="77777777" w:rsidR="008D6BF4" w:rsidRPr="007214E1" w:rsidRDefault="008D6BF4" w:rsidP="00EB43EE">
            <w:pPr>
              <w:snapToGrid w:val="0"/>
              <w:spacing w:line="360" w:lineRule="auto"/>
              <w:jc w:val="both"/>
              <w:rPr>
                <w:rFonts w:ascii="Book Antiqua" w:hAnsi="Book Antiqua"/>
                <w:b/>
                <w:color w:val="000000"/>
              </w:rPr>
            </w:pPr>
            <w:r w:rsidRPr="007214E1">
              <w:rPr>
                <w:rFonts w:ascii="Book Antiqua" w:hAnsi="Book Antiqua"/>
                <w:b/>
              </w:rPr>
              <w:t>Comparator</w:t>
            </w:r>
          </w:p>
        </w:tc>
        <w:tc>
          <w:tcPr>
            <w:tcW w:w="1058" w:type="dxa"/>
            <w:tcBorders>
              <w:top w:val="single" w:sz="4" w:space="0" w:color="auto"/>
              <w:bottom w:val="single" w:sz="4" w:space="0" w:color="auto"/>
            </w:tcBorders>
          </w:tcPr>
          <w:p w14:paraId="6D1F50BA" w14:textId="73F47E67" w:rsidR="008D6BF4" w:rsidRPr="007214E1" w:rsidRDefault="008D6BF4" w:rsidP="00EB43EE">
            <w:pPr>
              <w:snapToGrid w:val="0"/>
              <w:spacing w:line="360" w:lineRule="auto"/>
              <w:jc w:val="both"/>
              <w:rPr>
                <w:rFonts w:ascii="Book Antiqua" w:hAnsi="Book Antiqua"/>
                <w:b/>
                <w:color w:val="000000"/>
              </w:rPr>
            </w:pPr>
            <w:r w:rsidRPr="007214E1">
              <w:rPr>
                <w:rFonts w:ascii="Book Antiqua" w:hAnsi="Book Antiqua"/>
                <w:b/>
              </w:rPr>
              <w:t xml:space="preserve">Therapy </w:t>
            </w:r>
            <w:r w:rsidR="00D56E9E" w:rsidRPr="007214E1">
              <w:rPr>
                <w:rFonts w:ascii="Book Antiqua" w:hAnsi="Book Antiqua"/>
                <w:b/>
              </w:rPr>
              <w:t>indication</w:t>
            </w:r>
          </w:p>
        </w:tc>
        <w:tc>
          <w:tcPr>
            <w:tcW w:w="591" w:type="dxa"/>
            <w:tcBorders>
              <w:top w:val="single" w:sz="4" w:space="0" w:color="auto"/>
              <w:bottom w:val="single" w:sz="4" w:space="0" w:color="auto"/>
            </w:tcBorders>
          </w:tcPr>
          <w:p w14:paraId="6568EDD3" w14:textId="77777777" w:rsidR="008D6BF4" w:rsidRPr="007214E1" w:rsidRDefault="008D6BF4" w:rsidP="00EB43EE">
            <w:pPr>
              <w:snapToGrid w:val="0"/>
              <w:spacing w:line="360" w:lineRule="auto"/>
              <w:jc w:val="both"/>
              <w:rPr>
                <w:rFonts w:ascii="Book Antiqua" w:hAnsi="Book Antiqua"/>
                <w:b/>
                <w:color w:val="000000"/>
              </w:rPr>
            </w:pPr>
            <w:r w:rsidRPr="007214E1">
              <w:rPr>
                <w:rFonts w:ascii="Book Antiqua" w:hAnsi="Book Antiqua"/>
                <w:b/>
              </w:rPr>
              <w:t>Phase</w:t>
            </w:r>
          </w:p>
        </w:tc>
        <w:tc>
          <w:tcPr>
            <w:tcW w:w="874" w:type="dxa"/>
            <w:tcBorders>
              <w:top w:val="single" w:sz="4" w:space="0" w:color="auto"/>
              <w:bottom w:val="single" w:sz="4" w:space="0" w:color="auto"/>
            </w:tcBorders>
          </w:tcPr>
          <w:p w14:paraId="0578940B" w14:textId="183FDF0F" w:rsidR="008D6BF4" w:rsidRPr="007214E1" w:rsidRDefault="008D6BF4" w:rsidP="00EB43EE">
            <w:pPr>
              <w:snapToGrid w:val="0"/>
              <w:spacing w:line="360" w:lineRule="auto"/>
              <w:jc w:val="both"/>
              <w:rPr>
                <w:rFonts w:ascii="Book Antiqua" w:hAnsi="Book Antiqua"/>
                <w:b/>
                <w:color w:val="000000"/>
              </w:rPr>
            </w:pPr>
            <w:r w:rsidRPr="007214E1">
              <w:rPr>
                <w:rFonts w:ascii="Book Antiqua" w:hAnsi="Book Antiqua"/>
                <w:b/>
              </w:rPr>
              <w:t xml:space="preserve">Estimated </w:t>
            </w:r>
            <w:r w:rsidR="00D56E9E" w:rsidRPr="007214E1">
              <w:rPr>
                <w:rFonts w:ascii="Book Antiqua" w:hAnsi="Book Antiqua"/>
                <w:b/>
              </w:rPr>
              <w:t>study duration</w:t>
            </w:r>
          </w:p>
        </w:tc>
        <w:tc>
          <w:tcPr>
            <w:tcW w:w="950" w:type="dxa"/>
            <w:tcBorders>
              <w:top w:val="single" w:sz="4" w:space="0" w:color="auto"/>
              <w:bottom w:val="single" w:sz="4" w:space="0" w:color="auto"/>
            </w:tcBorders>
          </w:tcPr>
          <w:p w14:paraId="7DD41C0B" w14:textId="08528A77" w:rsidR="008D6BF4" w:rsidRPr="007214E1" w:rsidRDefault="008D6BF4" w:rsidP="00EB43EE">
            <w:pPr>
              <w:snapToGrid w:val="0"/>
              <w:spacing w:line="360" w:lineRule="auto"/>
              <w:jc w:val="both"/>
              <w:rPr>
                <w:rFonts w:ascii="Book Antiqua" w:hAnsi="Book Antiqua"/>
                <w:b/>
                <w:color w:val="000000"/>
              </w:rPr>
            </w:pPr>
            <w:r w:rsidRPr="007214E1">
              <w:rPr>
                <w:rFonts w:ascii="Book Antiqua" w:hAnsi="Book Antiqua"/>
                <w:b/>
              </w:rPr>
              <w:t xml:space="preserve">Estimated </w:t>
            </w:r>
            <w:r w:rsidR="00D56E9E" w:rsidRPr="007214E1">
              <w:rPr>
                <w:rFonts w:ascii="Book Antiqua" w:hAnsi="Book Antiqua"/>
                <w:b/>
              </w:rPr>
              <w:t>patient enrollment</w:t>
            </w:r>
          </w:p>
        </w:tc>
        <w:tc>
          <w:tcPr>
            <w:tcW w:w="991" w:type="dxa"/>
            <w:tcBorders>
              <w:top w:val="single" w:sz="4" w:space="0" w:color="auto"/>
              <w:bottom w:val="single" w:sz="4" w:space="0" w:color="auto"/>
            </w:tcBorders>
          </w:tcPr>
          <w:p w14:paraId="4D44DF16" w14:textId="5D6864E0" w:rsidR="008D6BF4" w:rsidRPr="007214E1" w:rsidRDefault="008D6BF4" w:rsidP="00EB43EE">
            <w:pPr>
              <w:snapToGrid w:val="0"/>
              <w:spacing w:line="360" w:lineRule="auto"/>
              <w:jc w:val="both"/>
              <w:rPr>
                <w:rFonts w:ascii="Book Antiqua" w:hAnsi="Book Antiqua"/>
                <w:b/>
                <w:color w:val="000000"/>
              </w:rPr>
            </w:pPr>
            <w:r w:rsidRPr="007214E1">
              <w:rPr>
                <w:rFonts w:ascii="Book Antiqua" w:hAnsi="Book Antiqua"/>
                <w:b/>
              </w:rPr>
              <w:t xml:space="preserve">Primary </w:t>
            </w:r>
            <w:r w:rsidR="00D56E9E" w:rsidRPr="007214E1">
              <w:rPr>
                <w:rFonts w:ascii="Book Antiqua" w:hAnsi="Book Antiqua"/>
                <w:b/>
              </w:rPr>
              <w:t>endpoints</w:t>
            </w:r>
          </w:p>
        </w:tc>
        <w:tc>
          <w:tcPr>
            <w:tcW w:w="1299" w:type="dxa"/>
            <w:tcBorders>
              <w:top w:val="single" w:sz="4" w:space="0" w:color="auto"/>
              <w:bottom w:val="single" w:sz="4" w:space="0" w:color="auto"/>
            </w:tcBorders>
          </w:tcPr>
          <w:p w14:paraId="662F2A07" w14:textId="0930D9DF" w:rsidR="008D6BF4" w:rsidRPr="007214E1" w:rsidRDefault="008D6BF4" w:rsidP="00EB43EE">
            <w:pPr>
              <w:snapToGrid w:val="0"/>
              <w:spacing w:line="360" w:lineRule="auto"/>
              <w:jc w:val="both"/>
              <w:rPr>
                <w:rFonts w:ascii="Book Antiqua" w:hAnsi="Book Antiqua"/>
                <w:b/>
                <w:color w:val="000000"/>
              </w:rPr>
            </w:pPr>
            <w:r w:rsidRPr="007214E1">
              <w:rPr>
                <w:rFonts w:ascii="Book Antiqua" w:hAnsi="Book Antiqua"/>
                <w:b/>
              </w:rPr>
              <w:t xml:space="preserve">Trial </w:t>
            </w:r>
            <w:r w:rsidR="00D56E9E" w:rsidRPr="007214E1">
              <w:rPr>
                <w:rFonts w:ascii="Book Antiqua" w:hAnsi="Book Antiqua"/>
                <w:b/>
              </w:rPr>
              <w:t>identifier</w:t>
            </w:r>
          </w:p>
        </w:tc>
      </w:tr>
      <w:tr w:rsidR="008D6BF4" w:rsidRPr="007214E1" w14:paraId="0EF8DF3F" w14:textId="77777777" w:rsidTr="00D56E9E">
        <w:tc>
          <w:tcPr>
            <w:tcW w:w="1199" w:type="dxa"/>
            <w:tcBorders>
              <w:top w:val="single" w:sz="4" w:space="0" w:color="auto"/>
            </w:tcBorders>
          </w:tcPr>
          <w:p w14:paraId="66527B5C"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Atezolizumab plus bevacizumab</w:t>
            </w:r>
          </w:p>
        </w:tc>
        <w:tc>
          <w:tcPr>
            <w:tcW w:w="1223" w:type="dxa"/>
            <w:tcBorders>
              <w:top w:val="single" w:sz="4" w:space="0" w:color="auto"/>
            </w:tcBorders>
          </w:tcPr>
          <w:p w14:paraId="05537302"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None</w:t>
            </w:r>
          </w:p>
        </w:tc>
        <w:tc>
          <w:tcPr>
            <w:tcW w:w="1058" w:type="dxa"/>
            <w:tcBorders>
              <w:top w:val="single" w:sz="4" w:space="0" w:color="auto"/>
            </w:tcBorders>
          </w:tcPr>
          <w:p w14:paraId="6D6FCD7E"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First-line</w:t>
            </w:r>
          </w:p>
        </w:tc>
        <w:tc>
          <w:tcPr>
            <w:tcW w:w="591" w:type="dxa"/>
            <w:tcBorders>
              <w:top w:val="single" w:sz="4" w:space="0" w:color="auto"/>
            </w:tcBorders>
          </w:tcPr>
          <w:p w14:paraId="752B5CB2"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II</w:t>
            </w:r>
          </w:p>
        </w:tc>
        <w:tc>
          <w:tcPr>
            <w:tcW w:w="874" w:type="dxa"/>
            <w:tcBorders>
              <w:top w:val="single" w:sz="4" w:space="0" w:color="auto"/>
            </w:tcBorders>
          </w:tcPr>
          <w:p w14:paraId="1B9017AC" w14:textId="3B027650" w:rsidR="008D6BF4" w:rsidRPr="007214E1" w:rsidRDefault="00D56E9E" w:rsidP="00EB43EE">
            <w:pPr>
              <w:snapToGrid w:val="0"/>
              <w:spacing w:line="360" w:lineRule="auto"/>
              <w:jc w:val="both"/>
              <w:rPr>
                <w:rFonts w:ascii="Book Antiqua" w:hAnsi="Book Antiqua"/>
                <w:color w:val="000000"/>
              </w:rPr>
            </w:pPr>
            <w:r w:rsidRPr="007214E1">
              <w:rPr>
                <w:rFonts w:ascii="Book Antiqua" w:hAnsi="Book Antiqua"/>
                <w:color w:val="000000"/>
              </w:rPr>
              <w:t>January 1, 2020-</w:t>
            </w:r>
            <w:r w:rsidR="008D6BF4" w:rsidRPr="007214E1">
              <w:rPr>
                <w:rFonts w:ascii="Book Antiqua" w:hAnsi="Book Antiqua"/>
                <w:color w:val="000000"/>
              </w:rPr>
              <w:t>June 30, 2022</w:t>
            </w:r>
          </w:p>
        </w:tc>
        <w:tc>
          <w:tcPr>
            <w:tcW w:w="950" w:type="dxa"/>
            <w:tcBorders>
              <w:top w:val="single" w:sz="4" w:space="0" w:color="auto"/>
            </w:tcBorders>
          </w:tcPr>
          <w:p w14:paraId="01E8D078"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48</w:t>
            </w:r>
          </w:p>
        </w:tc>
        <w:tc>
          <w:tcPr>
            <w:tcW w:w="991" w:type="dxa"/>
            <w:tcBorders>
              <w:top w:val="single" w:sz="4" w:space="0" w:color="auto"/>
            </w:tcBorders>
          </w:tcPr>
          <w:p w14:paraId="5B923ACC"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Best overall response rate</w:t>
            </w:r>
          </w:p>
        </w:tc>
        <w:tc>
          <w:tcPr>
            <w:tcW w:w="1299" w:type="dxa"/>
            <w:tcBorders>
              <w:top w:val="single" w:sz="4" w:space="0" w:color="auto"/>
            </w:tcBorders>
          </w:tcPr>
          <w:p w14:paraId="13E68E96"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NCT04180072</w:t>
            </w:r>
          </w:p>
        </w:tc>
      </w:tr>
      <w:tr w:rsidR="008D6BF4" w:rsidRPr="007214E1" w14:paraId="23C195C2" w14:textId="77777777" w:rsidTr="00D56E9E">
        <w:tc>
          <w:tcPr>
            <w:tcW w:w="1199" w:type="dxa"/>
          </w:tcPr>
          <w:p w14:paraId="7C9923B0"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Atezolizumab plus bevacizumab</w:t>
            </w:r>
          </w:p>
        </w:tc>
        <w:tc>
          <w:tcPr>
            <w:tcW w:w="1223" w:type="dxa"/>
          </w:tcPr>
          <w:p w14:paraId="19FB12CC"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Sorafenib</w:t>
            </w:r>
          </w:p>
        </w:tc>
        <w:tc>
          <w:tcPr>
            <w:tcW w:w="1058" w:type="dxa"/>
          </w:tcPr>
          <w:p w14:paraId="500CD953"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First-line</w:t>
            </w:r>
          </w:p>
        </w:tc>
        <w:tc>
          <w:tcPr>
            <w:tcW w:w="591" w:type="dxa"/>
          </w:tcPr>
          <w:p w14:paraId="17FA2E5B"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III</w:t>
            </w:r>
          </w:p>
        </w:tc>
        <w:tc>
          <w:tcPr>
            <w:tcW w:w="874" w:type="dxa"/>
          </w:tcPr>
          <w:p w14:paraId="73D10D6E" w14:textId="7FA61D78" w:rsidR="008D6BF4" w:rsidRPr="007214E1" w:rsidRDefault="00D56E9E" w:rsidP="00EB43EE">
            <w:pPr>
              <w:snapToGrid w:val="0"/>
              <w:spacing w:line="360" w:lineRule="auto"/>
              <w:jc w:val="both"/>
              <w:rPr>
                <w:rFonts w:ascii="Book Antiqua" w:hAnsi="Book Antiqua"/>
                <w:color w:val="000000"/>
              </w:rPr>
            </w:pPr>
            <w:r w:rsidRPr="007214E1">
              <w:rPr>
                <w:rFonts w:ascii="Book Antiqua" w:hAnsi="Book Antiqua"/>
                <w:color w:val="000000"/>
              </w:rPr>
              <w:t>March 15, 2018-</w:t>
            </w:r>
            <w:r w:rsidR="008D6BF4" w:rsidRPr="007214E1">
              <w:rPr>
                <w:rFonts w:ascii="Book Antiqua" w:hAnsi="Book Antiqua"/>
                <w:color w:val="000000"/>
              </w:rPr>
              <w:t>June 29, 2022</w:t>
            </w:r>
          </w:p>
        </w:tc>
        <w:tc>
          <w:tcPr>
            <w:tcW w:w="950" w:type="dxa"/>
          </w:tcPr>
          <w:p w14:paraId="35FD33E4"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480</w:t>
            </w:r>
          </w:p>
        </w:tc>
        <w:tc>
          <w:tcPr>
            <w:tcW w:w="991" w:type="dxa"/>
          </w:tcPr>
          <w:p w14:paraId="4DBC8047"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OS, PFS</w:t>
            </w:r>
          </w:p>
        </w:tc>
        <w:tc>
          <w:tcPr>
            <w:tcW w:w="1299" w:type="dxa"/>
          </w:tcPr>
          <w:p w14:paraId="53920473"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NCT03434379 (</w:t>
            </w:r>
            <w:proofErr w:type="spellStart"/>
            <w:r w:rsidRPr="007214E1">
              <w:rPr>
                <w:rFonts w:ascii="Book Antiqua" w:hAnsi="Book Antiqua"/>
                <w:color w:val="000000"/>
              </w:rPr>
              <w:t>IMbrave</w:t>
            </w:r>
            <w:proofErr w:type="spellEnd"/>
            <w:r w:rsidRPr="007214E1">
              <w:rPr>
                <w:rFonts w:ascii="Book Antiqua" w:hAnsi="Book Antiqua"/>
                <w:color w:val="000000"/>
              </w:rPr>
              <w:t xml:space="preserve"> 150)</w:t>
            </w:r>
          </w:p>
        </w:tc>
      </w:tr>
      <w:tr w:rsidR="008D6BF4" w:rsidRPr="007214E1" w14:paraId="0CB5BBD8" w14:textId="77777777" w:rsidTr="00D56E9E">
        <w:tc>
          <w:tcPr>
            <w:tcW w:w="1199" w:type="dxa"/>
          </w:tcPr>
          <w:p w14:paraId="549AEF1E"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Atezolizumab plus bevacizumab</w:t>
            </w:r>
          </w:p>
        </w:tc>
        <w:tc>
          <w:tcPr>
            <w:tcW w:w="1223" w:type="dxa"/>
          </w:tcPr>
          <w:p w14:paraId="56D44237"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Active surveillance</w:t>
            </w:r>
          </w:p>
        </w:tc>
        <w:tc>
          <w:tcPr>
            <w:tcW w:w="1058" w:type="dxa"/>
          </w:tcPr>
          <w:p w14:paraId="27FD1C89"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Adjuvant</w:t>
            </w:r>
          </w:p>
        </w:tc>
        <w:tc>
          <w:tcPr>
            <w:tcW w:w="591" w:type="dxa"/>
          </w:tcPr>
          <w:p w14:paraId="343C8478"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III</w:t>
            </w:r>
          </w:p>
        </w:tc>
        <w:tc>
          <w:tcPr>
            <w:tcW w:w="874" w:type="dxa"/>
          </w:tcPr>
          <w:p w14:paraId="10B2BB20" w14:textId="1D408E7A" w:rsidR="008D6BF4" w:rsidRPr="007214E1" w:rsidRDefault="00D56E9E" w:rsidP="00EB43EE">
            <w:pPr>
              <w:snapToGrid w:val="0"/>
              <w:spacing w:line="360" w:lineRule="auto"/>
              <w:jc w:val="both"/>
              <w:rPr>
                <w:rFonts w:ascii="Book Antiqua" w:hAnsi="Book Antiqua"/>
                <w:color w:val="000000"/>
              </w:rPr>
            </w:pPr>
            <w:r w:rsidRPr="007214E1">
              <w:rPr>
                <w:rFonts w:ascii="Book Antiqua" w:hAnsi="Book Antiqua"/>
                <w:color w:val="000000"/>
              </w:rPr>
              <w:t>December 31, 2019-</w:t>
            </w:r>
            <w:r w:rsidR="008D6BF4" w:rsidRPr="007214E1">
              <w:rPr>
                <w:rFonts w:ascii="Book Antiqua" w:hAnsi="Book Antiqua"/>
                <w:color w:val="000000"/>
              </w:rPr>
              <w:t>July 12, 2027</w:t>
            </w:r>
          </w:p>
        </w:tc>
        <w:tc>
          <w:tcPr>
            <w:tcW w:w="950" w:type="dxa"/>
          </w:tcPr>
          <w:p w14:paraId="33C171B3"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662</w:t>
            </w:r>
          </w:p>
        </w:tc>
        <w:tc>
          <w:tcPr>
            <w:tcW w:w="991" w:type="dxa"/>
          </w:tcPr>
          <w:p w14:paraId="1F33A6E9"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RFS</w:t>
            </w:r>
          </w:p>
        </w:tc>
        <w:tc>
          <w:tcPr>
            <w:tcW w:w="1299" w:type="dxa"/>
          </w:tcPr>
          <w:p w14:paraId="1B970C0B"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NCT04102098 (</w:t>
            </w:r>
            <w:proofErr w:type="spellStart"/>
            <w:r w:rsidRPr="007214E1">
              <w:rPr>
                <w:rFonts w:ascii="Book Antiqua" w:hAnsi="Book Antiqua"/>
                <w:color w:val="000000"/>
              </w:rPr>
              <w:t>IMbrave</w:t>
            </w:r>
            <w:proofErr w:type="spellEnd"/>
            <w:r w:rsidRPr="007214E1">
              <w:rPr>
                <w:rFonts w:ascii="Book Antiqua" w:hAnsi="Book Antiqua"/>
                <w:color w:val="000000"/>
              </w:rPr>
              <w:t xml:space="preserve"> 150)</w:t>
            </w:r>
          </w:p>
        </w:tc>
      </w:tr>
      <w:tr w:rsidR="008D6BF4" w:rsidRPr="007214E1" w14:paraId="0685AD2C" w14:textId="77777777" w:rsidTr="00D56E9E">
        <w:tc>
          <w:tcPr>
            <w:tcW w:w="1199" w:type="dxa"/>
          </w:tcPr>
          <w:p w14:paraId="32F409A3"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Durvalumab plus bevacizumab</w:t>
            </w:r>
          </w:p>
        </w:tc>
        <w:tc>
          <w:tcPr>
            <w:tcW w:w="1223" w:type="dxa"/>
          </w:tcPr>
          <w:p w14:paraId="57228695" w14:textId="6780DB52"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alone </w:t>
            </w:r>
            <w:proofErr w:type="spellStart"/>
            <w:r w:rsidRPr="007214E1">
              <w:rPr>
                <w:rFonts w:ascii="Book Antiqua" w:hAnsi="Book Antiqua"/>
                <w:i/>
              </w:rPr>
              <w:t>vs</w:t>
            </w:r>
            <w:proofErr w:type="spellEnd"/>
            <w:r w:rsidR="00354FFA" w:rsidRPr="007214E1">
              <w:rPr>
                <w:rFonts w:ascii="Book Antiqua" w:hAnsi="Book Antiqua"/>
              </w:rPr>
              <w:t xml:space="preserve"> </w:t>
            </w:r>
            <w:proofErr w:type="spellStart"/>
            <w:r w:rsidRPr="007214E1">
              <w:rPr>
                <w:rFonts w:ascii="Book Antiqua" w:hAnsi="Book Antiqua"/>
              </w:rPr>
              <w:t>tremelimumab</w:t>
            </w:r>
            <w:proofErr w:type="spellEnd"/>
            <w:r w:rsidRPr="007214E1">
              <w:rPr>
                <w:rFonts w:ascii="Book Antiqua" w:hAnsi="Book Antiqua"/>
              </w:rPr>
              <w:t xml:space="preserve"> alone </w:t>
            </w:r>
            <w:proofErr w:type="spellStart"/>
            <w:r w:rsidRPr="007214E1">
              <w:rPr>
                <w:rFonts w:ascii="Book Antiqua" w:hAnsi="Book Antiqua"/>
                <w:i/>
              </w:rPr>
              <w:t>vs</w:t>
            </w:r>
            <w:proofErr w:type="spellEnd"/>
            <w:r w:rsidRPr="007214E1">
              <w:rPr>
                <w:rFonts w:ascii="Book Antiqua" w:hAnsi="Book Antiqua"/>
              </w:rPr>
              <w:t xml:space="preserve">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lastRenderedPageBreak/>
              <w:t>tremelimumab</w:t>
            </w:r>
            <w:proofErr w:type="spellEnd"/>
            <w:r w:rsidRPr="007214E1">
              <w:rPr>
                <w:rFonts w:ascii="Book Antiqua" w:hAnsi="Book Antiqua"/>
              </w:rPr>
              <w:t xml:space="preserve"> (regimen 1 </w:t>
            </w:r>
            <w:proofErr w:type="spellStart"/>
            <w:r w:rsidRPr="007214E1">
              <w:rPr>
                <w:rFonts w:ascii="Book Antiqua" w:hAnsi="Book Antiqua"/>
                <w:i/>
              </w:rPr>
              <w:t>vs</w:t>
            </w:r>
            <w:proofErr w:type="spellEnd"/>
            <w:r w:rsidRPr="007214E1">
              <w:rPr>
                <w:rFonts w:ascii="Book Antiqua" w:hAnsi="Book Antiqua"/>
              </w:rPr>
              <w:t xml:space="preserve"> regimen 2) </w:t>
            </w:r>
            <w:proofErr w:type="spellStart"/>
            <w:r w:rsidRPr="007214E1">
              <w:rPr>
                <w:rFonts w:ascii="Book Antiqua" w:hAnsi="Book Antiqua"/>
                <w:i/>
              </w:rPr>
              <w:t>vs</w:t>
            </w:r>
            <w:proofErr w:type="spellEnd"/>
            <w:r w:rsidRPr="007214E1">
              <w:rPr>
                <w:rFonts w:ascii="Book Antiqua" w:hAnsi="Book Antiqua"/>
              </w:rPr>
              <w:t xml:space="preserve"> durvalumab plus bevacizumab</w:t>
            </w:r>
          </w:p>
        </w:tc>
        <w:tc>
          <w:tcPr>
            <w:tcW w:w="1058" w:type="dxa"/>
          </w:tcPr>
          <w:p w14:paraId="6291F03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 xml:space="preserve">First-line </w:t>
            </w:r>
          </w:p>
        </w:tc>
        <w:tc>
          <w:tcPr>
            <w:tcW w:w="591" w:type="dxa"/>
          </w:tcPr>
          <w:p w14:paraId="13B8A7D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874" w:type="dxa"/>
          </w:tcPr>
          <w:p w14:paraId="2E0C0913" w14:textId="29369D92" w:rsidR="008D6BF4" w:rsidRPr="007214E1" w:rsidRDefault="00D56E9E" w:rsidP="00EB43EE">
            <w:pPr>
              <w:snapToGrid w:val="0"/>
              <w:spacing w:line="360" w:lineRule="auto"/>
              <w:jc w:val="both"/>
              <w:rPr>
                <w:rFonts w:ascii="Book Antiqua" w:hAnsi="Book Antiqua"/>
              </w:rPr>
            </w:pPr>
            <w:r w:rsidRPr="007214E1">
              <w:rPr>
                <w:rFonts w:ascii="Book Antiqua" w:hAnsi="Book Antiqua"/>
              </w:rPr>
              <w:t>October 19, 2015-</w:t>
            </w:r>
            <w:r w:rsidR="008D6BF4" w:rsidRPr="007214E1">
              <w:rPr>
                <w:rFonts w:ascii="Book Antiqua" w:hAnsi="Book Antiqua"/>
              </w:rPr>
              <w:t>January 6, 2021</w:t>
            </w:r>
          </w:p>
        </w:tc>
        <w:tc>
          <w:tcPr>
            <w:tcW w:w="950" w:type="dxa"/>
          </w:tcPr>
          <w:p w14:paraId="1EC4DE3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433</w:t>
            </w:r>
          </w:p>
        </w:tc>
        <w:tc>
          <w:tcPr>
            <w:tcW w:w="991" w:type="dxa"/>
          </w:tcPr>
          <w:p w14:paraId="018CD1CD"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Number patients experiencing adverse events and dose-</w:t>
            </w:r>
            <w:r w:rsidRPr="007214E1">
              <w:rPr>
                <w:rFonts w:ascii="Book Antiqua" w:hAnsi="Book Antiqua"/>
              </w:rPr>
              <w:lastRenderedPageBreak/>
              <w:t>limiting toxicities</w:t>
            </w:r>
          </w:p>
        </w:tc>
        <w:tc>
          <w:tcPr>
            <w:tcW w:w="1299" w:type="dxa"/>
          </w:tcPr>
          <w:p w14:paraId="12594A57" w14:textId="77777777" w:rsidR="008D6BF4" w:rsidRPr="007214E1" w:rsidRDefault="008D6BF4" w:rsidP="00EB43EE">
            <w:pPr>
              <w:snapToGrid w:val="0"/>
              <w:spacing w:line="360" w:lineRule="auto"/>
              <w:jc w:val="both"/>
              <w:rPr>
                <w:rFonts w:ascii="Book Antiqua" w:hAnsi="Book Antiqua"/>
                <w:color w:val="000000"/>
                <w:shd w:val="clear" w:color="auto" w:fill="FFFFFF"/>
              </w:rPr>
            </w:pPr>
            <w:r w:rsidRPr="007214E1">
              <w:rPr>
                <w:rFonts w:ascii="Book Antiqua" w:hAnsi="Book Antiqua"/>
              </w:rPr>
              <w:lastRenderedPageBreak/>
              <w:t>NCT02519348</w:t>
            </w:r>
          </w:p>
        </w:tc>
      </w:tr>
      <w:tr w:rsidR="008D6BF4" w:rsidRPr="007214E1" w14:paraId="018CF329" w14:textId="77777777" w:rsidTr="00D56E9E">
        <w:tc>
          <w:tcPr>
            <w:tcW w:w="1199" w:type="dxa"/>
          </w:tcPr>
          <w:p w14:paraId="51512D7D"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lastRenderedPageBreak/>
              <w:t>Durvalumab plus bevacizumab</w:t>
            </w:r>
          </w:p>
        </w:tc>
        <w:tc>
          <w:tcPr>
            <w:tcW w:w="1223" w:type="dxa"/>
          </w:tcPr>
          <w:p w14:paraId="324AF4F5"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 xml:space="preserve">Durvalumab plus placebo </w:t>
            </w:r>
            <w:r w:rsidRPr="007214E1">
              <w:rPr>
                <w:rFonts w:ascii="Book Antiqua" w:hAnsi="Book Antiqua"/>
                <w:i/>
              </w:rPr>
              <w:t>vs</w:t>
            </w:r>
            <w:r w:rsidRPr="007214E1">
              <w:rPr>
                <w:rFonts w:ascii="Book Antiqua" w:hAnsi="Book Antiqua"/>
              </w:rPr>
              <w:t xml:space="preserve"> placebo alone</w:t>
            </w:r>
          </w:p>
        </w:tc>
        <w:tc>
          <w:tcPr>
            <w:tcW w:w="1058" w:type="dxa"/>
          </w:tcPr>
          <w:p w14:paraId="00A42364"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Adjuvant</w:t>
            </w:r>
          </w:p>
        </w:tc>
        <w:tc>
          <w:tcPr>
            <w:tcW w:w="591" w:type="dxa"/>
          </w:tcPr>
          <w:p w14:paraId="33EE5246"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III</w:t>
            </w:r>
          </w:p>
        </w:tc>
        <w:tc>
          <w:tcPr>
            <w:tcW w:w="874" w:type="dxa"/>
          </w:tcPr>
          <w:p w14:paraId="58D721F1" w14:textId="7A7336E3" w:rsidR="008D6BF4" w:rsidRPr="007214E1" w:rsidRDefault="00D56E9E" w:rsidP="00EB43EE">
            <w:pPr>
              <w:snapToGrid w:val="0"/>
              <w:spacing w:line="360" w:lineRule="auto"/>
              <w:jc w:val="both"/>
              <w:rPr>
                <w:rFonts w:ascii="Book Antiqua" w:hAnsi="Book Antiqua"/>
                <w:color w:val="000000"/>
              </w:rPr>
            </w:pPr>
            <w:r w:rsidRPr="007214E1">
              <w:rPr>
                <w:rFonts w:ascii="Book Antiqua" w:hAnsi="Book Antiqua"/>
              </w:rPr>
              <w:t>April 29, 2019-</w:t>
            </w:r>
            <w:r w:rsidR="008D6BF4" w:rsidRPr="007214E1">
              <w:rPr>
                <w:rFonts w:ascii="Book Antiqua" w:hAnsi="Book Antiqua"/>
              </w:rPr>
              <w:t>June 16, 2023</w:t>
            </w:r>
          </w:p>
        </w:tc>
        <w:tc>
          <w:tcPr>
            <w:tcW w:w="950" w:type="dxa"/>
          </w:tcPr>
          <w:p w14:paraId="503E1013"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888</w:t>
            </w:r>
          </w:p>
        </w:tc>
        <w:tc>
          <w:tcPr>
            <w:tcW w:w="991" w:type="dxa"/>
          </w:tcPr>
          <w:p w14:paraId="77FB9240"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RFS</w:t>
            </w:r>
          </w:p>
        </w:tc>
        <w:tc>
          <w:tcPr>
            <w:tcW w:w="1299" w:type="dxa"/>
          </w:tcPr>
          <w:p w14:paraId="092689E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NCT03847428</w:t>
            </w:r>
          </w:p>
          <w:p w14:paraId="2686197F"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(EMERALD-2)</w:t>
            </w:r>
          </w:p>
        </w:tc>
      </w:tr>
      <w:tr w:rsidR="008D6BF4" w:rsidRPr="007214E1" w14:paraId="5889B9D6" w14:textId="77777777" w:rsidTr="00D56E9E">
        <w:trPr>
          <w:trHeight w:val="800"/>
        </w:trPr>
        <w:tc>
          <w:tcPr>
            <w:tcW w:w="1199" w:type="dxa"/>
          </w:tcPr>
          <w:p w14:paraId="17590D17" w14:textId="77777777" w:rsidR="008D6BF4" w:rsidRPr="007214E1" w:rsidRDefault="008D6BF4" w:rsidP="00EB43EE">
            <w:pPr>
              <w:snapToGrid w:val="0"/>
              <w:spacing w:line="360" w:lineRule="auto"/>
              <w:jc w:val="both"/>
              <w:rPr>
                <w:rFonts w:ascii="Book Antiqua" w:hAnsi="Book Antiqua"/>
                <w:color w:val="000000"/>
              </w:rPr>
            </w:pPr>
            <w:proofErr w:type="spellStart"/>
            <w:r w:rsidRPr="007214E1">
              <w:rPr>
                <w:rFonts w:ascii="Book Antiqua" w:hAnsi="Book Antiqua"/>
                <w:color w:val="000000"/>
              </w:rPr>
              <w:t>Camrelizumab</w:t>
            </w:r>
            <w:proofErr w:type="spellEnd"/>
            <w:r w:rsidRPr="007214E1">
              <w:rPr>
                <w:rFonts w:ascii="Book Antiqua" w:hAnsi="Book Antiqua"/>
                <w:color w:val="000000"/>
              </w:rPr>
              <w:t xml:space="preserve"> plus </w:t>
            </w:r>
            <w:proofErr w:type="spellStart"/>
            <w:r w:rsidRPr="007214E1">
              <w:rPr>
                <w:rFonts w:ascii="Book Antiqua" w:hAnsi="Book Antiqua"/>
                <w:color w:val="000000"/>
              </w:rPr>
              <w:t>apatinib</w:t>
            </w:r>
            <w:proofErr w:type="spellEnd"/>
          </w:p>
        </w:tc>
        <w:tc>
          <w:tcPr>
            <w:tcW w:w="1223" w:type="dxa"/>
          </w:tcPr>
          <w:p w14:paraId="4E57F0BD"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None</w:t>
            </w:r>
          </w:p>
        </w:tc>
        <w:tc>
          <w:tcPr>
            <w:tcW w:w="1058" w:type="dxa"/>
          </w:tcPr>
          <w:p w14:paraId="1EBB6FA5"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Second-line</w:t>
            </w:r>
          </w:p>
        </w:tc>
        <w:tc>
          <w:tcPr>
            <w:tcW w:w="591" w:type="dxa"/>
          </w:tcPr>
          <w:p w14:paraId="17B6DB2B"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II</w:t>
            </w:r>
          </w:p>
        </w:tc>
        <w:tc>
          <w:tcPr>
            <w:tcW w:w="874" w:type="dxa"/>
          </w:tcPr>
          <w:p w14:paraId="5D02CC5F"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June 1, 2019 – October 1, 2020</w:t>
            </w:r>
          </w:p>
        </w:tc>
        <w:tc>
          <w:tcPr>
            <w:tcW w:w="950" w:type="dxa"/>
          </w:tcPr>
          <w:p w14:paraId="4F674ADA"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40</w:t>
            </w:r>
          </w:p>
        </w:tc>
        <w:tc>
          <w:tcPr>
            <w:tcW w:w="991" w:type="dxa"/>
          </w:tcPr>
          <w:p w14:paraId="48AF6E14"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ORR</w:t>
            </w:r>
          </w:p>
        </w:tc>
        <w:tc>
          <w:tcPr>
            <w:tcW w:w="1299" w:type="dxa"/>
          </w:tcPr>
          <w:p w14:paraId="712FF9A9" w14:textId="310D8D77" w:rsidR="008D6BF4" w:rsidRPr="007214E1" w:rsidRDefault="00D56E9E" w:rsidP="00EB43EE">
            <w:pPr>
              <w:snapToGrid w:val="0"/>
              <w:spacing w:line="360" w:lineRule="auto"/>
              <w:jc w:val="both"/>
              <w:rPr>
                <w:rFonts w:ascii="Book Antiqua" w:hAnsi="Book Antiqua"/>
                <w:color w:val="000000"/>
                <w:shd w:val="clear" w:color="auto" w:fill="FFFFFF"/>
              </w:rPr>
            </w:pPr>
            <w:r w:rsidRPr="007214E1">
              <w:rPr>
                <w:rFonts w:ascii="Book Antiqua" w:hAnsi="Book Antiqua"/>
                <w:color w:val="000000"/>
                <w:shd w:val="clear" w:color="auto" w:fill="FFFFFF"/>
              </w:rPr>
              <w:t>NCT04014101</w:t>
            </w:r>
          </w:p>
        </w:tc>
      </w:tr>
      <w:tr w:rsidR="008D6BF4" w:rsidRPr="007214E1" w14:paraId="143CBEB4" w14:textId="77777777" w:rsidTr="00D56E9E">
        <w:tc>
          <w:tcPr>
            <w:tcW w:w="1199" w:type="dxa"/>
          </w:tcPr>
          <w:p w14:paraId="36AB20E2" w14:textId="77777777" w:rsidR="008D6BF4" w:rsidRPr="007214E1" w:rsidRDefault="008D6BF4" w:rsidP="00EB43EE">
            <w:pPr>
              <w:snapToGrid w:val="0"/>
              <w:spacing w:line="360" w:lineRule="auto"/>
              <w:jc w:val="both"/>
              <w:rPr>
                <w:rFonts w:ascii="Book Antiqua" w:hAnsi="Book Antiqua"/>
                <w:color w:val="000000"/>
              </w:rPr>
            </w:pPr>
            <w:proofErr w:type="spellStart"/>
            <w:r w:rsidRPr="007214E1">
              <w:rPr>
                <w:rFonts w:ascii="Book Antiqua" w:hAnsi="Book Antiqua"/>
                <w:color w:val="000000"/>
              </w:rPr>
              <w:t>Camrelizumab</w:t>
            </w:r>
            <w:proofErr w:type="spellEnd"/>
            <w:r w:rsidRPr="007214E1">
              <w:rPr>
                <w:rFonts w:ascii="Book Antiqua" w:hAnsi="Book Antiqua"/>
                <w:color w:val="000000"/>
              </w:rPr>
              <w:t xml:space="preserve"> plus </w:t>
            </w:r>
            <w:proofErr w:type="spellStart"/>
            <w:r w:rsidRPr="007214E1">
              <w:rPr>
                <w:rFonts w:ascii="Book Antiqua" w:hAnsi="Book Antiqua"/>
                <w:color w:val="000000"/>
              </w:rPr>
              <w:t>apatinib</w:t>
            </w:r>
            <w:proofErr w:type="spellEnd"/>
          </w:p>
        </w:tc>
        <w:tc>
          <w:tcPr>
            <w:tcW w:w="1223" w:type="dxa"/>
          </w:tcPr>
          <w:p w14:paraId="5E194548" w14:textId="7F874914"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Hepatic ar</w:t>
            </w:r>
            <w:r w:rsidR="00D56E9E" w:rsidRPr="007214E1">
              <w:rPr>
                <w:rFonts w:ascii="Book Antiqua" w:hAnsi="Book Antiqua"/>
                <w:color w:val="000000"/>
              </w:rPr>
              <w:t>terial infusion of chemotherapy</w:t>
            </w:r>
          </w:p>
        </w:tc>
        <w:tc>
          <w:tcPr>
            <w:tcW w:w="1058" w:type="dxa"/>
          </w:tcPr>
          <w:p w14:paraId="0A83CA6E"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Adjuvant</w:t>
            </w:r>
          </w:p>
        </w:tc>
        <w:tc>
          <w:tcPr>
            <w:tcW w:w="591" w:type="dxa"/>
          </w:tcPr>
          <w:p w14:paraId="7CF98751"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II</w:t>
            </w:r>
          </w:p>
        </w:tc>
        <w:tc>
          <w:tcPr>
            <w:tcW w:w="874" w:type="dxa"/>
          </w:tcPr>
          <w:p w14:paraId="0BC938D2" w14:textId="2D6BD6FF" w:rsidR="008D6BF4" w:rsidRPr="007214E1" w:rsidRDefault="00D56E9E" w:rsidP="00EB43EE">
            <w:pPr>
              <w:snapToGrid w:val="0"/>
              <w:spacing w:line="360" w:lineRule="auto"/>
              <w:jc w:val="both"/>
              <w:rPr>
                <w:rFonts w:ascii="Book Antiqua" w:hAnsi="Book Antiqua"/>
                <w:color w:val="000000"/>
              </w:rPr>
            </w:pPr>
            <w:r w:rsidRPr="007214E1">
              <w:rPr>
                <w:rFonts w:ascii="Book Antiqua" w:hAnsi="Book Antiqua"/>
                <w:color w:val="000000"/>
              </w:rPr>
              <w:t>February 15, 2019-</w:t>
            </w:r>
            <w:r w:rsidR="008D6BF4" w:rsidRPr="007214E1">
              <w:rPr>
                <w:rFonts w:ascii="Book Antiqua" w:hAnsi="Book Antiqua"/>
                <w:color w:val="000000"/>
              </w:rPr>
              <w:t>February 28, 2023</w:t>
            </w:r>
          </w:p>
        </w:tc>
        <w:tc>
          <w:tcPr>
            <w:tcW w:w="950" w:type="dxa"/>
          </w:tcPr>
          <w:p w14:paraId="419596A6"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200</w:t>
            </w:r>
          </w:p>
        </w:tc>
        <w:tc>
          <w:tcPr>
            <w:tcW w:w="991" w:type="dxa"/>
          </w:tcPr>
          <w:p w14:paraId="22C12749"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RFS</w:t>
            </w:r>
          </w:p>
        </w:tc>
        <w:tc>
          <w:tcPr>
            <w:tcW w:w="1299" w:type="dxa"/>
          </w:tcPr>
          <w:p w14:paraId="76B4E186" w14:textId="6FF8D064" w:rsidR="008D6BF4" w:rsidRPr="007214E1" w:rsidRDefault="00D56E9E" w:rsidP="00EB43EE">
            <w:pPr>
              <w:snapToGrid w:val="0"/>
              <w:spacing w:line="360" w:lineRule="auto"/>
              <w:jc w:val="both"/>
              <w:rPr>
                <w:rFonts w:ascii="Book Antiqua" w:hAnsi="Book Antiqua"/>
                <w:color w:val="000000"/>
                <w:shd w:val="clear" w:color="auto" w:fill="FFFFFF"/>
              </w:rPr>
            </w:pPr>
            <w:r w:rsidRPr="007214E1">
              <w:rPr>
                <w:rFonts w:ascii="Book Antiqua" w:hAnsi="Book Antiqua"/>
                <w:color w:val="000000"/>
                <w:shd w:val="clear" w:color="auto" w:fill="FFFFFF"/>
              </w:rPr>
              <w:t>NCT03839550</w:t>
            </w:r>
          </w:p>
        </w:tc>
      </w:tr>
      <w:tr w:rsidR="008D6BF4" w:rsidRPr="007214E1" w14:paraId="2CA37B0A" w14:textId="77777777" w:rsidTr="00D56E9E">
        <w:tc>
          <w:tcPr>
            <w:tcW w:w="1199" w:type="dxa"/>
          </w:tcPr>
          <w:p w14:paraId="796CBDF4" w14:textId="77777777" w:rsidR="008D6BF4" w:rsidRPr="007214E1" w:rsidRDefault="008D6BF4" w:rsidP="00EB43EE">
            <w:pPr>
              <w:snapToGrid w:val="0"/>
              <w:spacing w:line="360" w:lineRule="auto"/>
              <w:jc w:val="both"/>
              <w:rPr>
                <w:rFonts w:ascii="Book Antiqua" w:hAnsi="Book Antiqua"/>
                <w:color w:val="000000"/>
              </w:rPr>
            </w:pPr>
            <w:proofErr w:type="spellStart"/>
            <w:r w:rsidRPr="007214E1">
              <w:rPr>
                <w:rFonts w:ascii="Book Antiqua" w:hAnsi="Book Antiqua"/>
              </w:rPr>
              <w:t>Camrelizumab</w:t>
            </w:r>
            <w:proofErr w:type="spellEnd"/>
            <w:r w:rsidRPr="007214E1">
              <w:rPr>
                <w:rFonts w:ascii="Book Antiqua" w:hAnsi="Book Antiqua"/>
              </w:rPr>
              <w:t xml:space="preserve"> plus </w:t>
            </w:r>
            <w:proofErr w:type="spellStart"/>
            <w:r w:rsidRPr="007214E1">
              <w:rPr>
                <w:rFonts w:ascii="Book Antiqua" w:hAnsi="Book Antiqua"/>
              </w:rPr>
              <w:t>apatinib</w:t>
            </w:r>
            <w:proofErr w:type="spellEnd"/>
            <w:r w:rsidRPr="007214E1">
              <w:rPr>
                <w:rFonts w:ascii="Book Antiqua" w:hAnsi="Book Antiqua"/>
              </w:rPr>
              <w:t xml:space="preserve"> </w:t>
            </w:r>
            <w:r w:rsidRPr="007214E1">
              <w:rPr>
                <w:rFonts w:ascii="Book Antiqua" w:hAnsi="Book Antiqua"/>
              </w:rPr>
              <w:lastRenderedPageBreak/>
              <w:t>and hepatic arterial infusion of FOLFOX chemotherapy regimen</w:t>
            </w:r>
          </w:p>
        </w:tc>
        <w:tc>
          <w:tcPr>
            <w:tcW w:w="1223" w:type="dxa"/>
          </w:tcPr>
          <w:p w14:paraId="5BC02D2E"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lastRenderedPageBreak/>
              <w:t>None</w:t>
            </w:r>
          </w:p>
        </w:tc>
        <w:tc>
          <w:tcPr>
            <w:tcW w:w="1058" w:type="dxa"/>
          </w:tcPr>
          <w:p w14:paraId="76921B25"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Not specified</w:t>
            </w:r>
          </w:p>
        </w:tc>
        <w:tc>
          <w:tcPr>
            <w:tcW w:w="591" w:type="dxa"/>
          </w:tcPr>
          <w:p w14:paraId="5E2847AF"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II</w:t>
            </w:r>
          </w:p>
        </w:tc>
        <w:tc>
          <w:tcPr>
            <w:tcW w:w="874" w:type="dxa"/>
          </w:tcPr>
          <w:p w14:paraId="4A52FE7B" w14:textId="5830AD47" w:rsidR="008D6BF4" w:rsidRPr="007214E1" w:rsidRDefault="00D56E9E" w:rsidP="00EB43EE">
            <w:pPr>
              <w:snapToGrid w:val="0"/>
              <w:spacing w:line="360" w:lineRule="auto"/>
              <w:jc w:val="both"/>
              <w:rPr>
                <w:rFonts w:ascii="Book Antiqua" w:hAnsi="Book Antiqua"/>
                <w:color w:val="000000"/>
              </w:rPr>
            </w:pPr>
            <w:r w:rsidRPr="007214E1">
              <w:rPr>
                <w:rFonts w:ascii="Book Antiqua" w:hAnsi="Book Antiqua"/>
              </w:rPr>
              <w:t>April 13, 2020-</w:t>
            </w:r>
            <w:r w:rsidR="008D6BF4" w:rsidRPr="007214E1">
              <w:rPr>
                <w:rFonts w:ascii="Book Antiqua" w:hAnsi="Book Antiqua"/>
              </w:rPr>
              <w:lastRenderedPageBreak/>
              <w:t>December 31, 2025</w:t>
            </w:r>
          </w:p>
        </w:tc>
        <w:tc>
          <w:tcPr>
            <w:tcW w:w="950" w:type="dxa"/>
          </w:tcPr>
          <w:p w14:paraId="6CF9A2D3"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lastRenderedPageBreak/>
              <w:t>84</w:t>
            </w:r>
          </w:p>
        </w:tc>
        <w:tc>
          <w:tcPr>
            <w:tcW w:w="991" w:type="dxa"/>
          </w:tcPr>
          <w:p w14:paraId="3FE8794E"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ORR</w:t>
            </w:r>
          </w:p>
        </w:tc>
        <w:tc>
          <w:tcPr>
            <w:tcW w:w="1299" w:type="dxa"/>
          </w:tcPr>
          <w:p w14:paraId="54827A87" w14:textId="77777777" w:rsidR="008D6BF4" w:rsidRPr="007214E1" w:rsidRDefault="008D6BF4" w:rsidP="00EB43EE">
            <w:pPr>
              <w:snapToGrid w:val="0"/>
              <w:spacing w:line="360" w:lineRule="auto"/>
              <w:jc w:val="both"/>
              <w:rPr>
                <w:rFonts w:ascii="Book Antiqua" w:hAnsi="Book Antiqua"/>
                <w:color w:val="000000"/>
                <w:shd w:val="clear" w:color="auto" w:fill="FFFFFF"/>
              </w:rPr>
            </w:pPr>
            <w:r w:rsidRPr="007214E1">
              <w:rPr>
                <w:rFonts w:ascii="Book Antiqua" w:hAnsi="Book Antiqua"/>
                <w:color w:val="000000"/>
                <w:shd w:val="clear" w:color="auto" w:fill="FFFFFF"/>
              </w:rPr>
              <w:t>NCT04191889</w:t>
            </w:r>
          </w:p>
        </w:tc>
      </w:tr>
      <w:tr w:rsidR="008D6BF4" w:rsidRPr="007214E1" w14:paraId="1B758A30" w14:textId="77777777" w:rsidTr="00D56E9E">
        <w:tc>
          <w:tcPr>
            <w:tcW w:w="1199" w:type="dxa"/>
          </w:tcPr>
          <w:p w14:paraId="16B3FAFD"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color w:val="000000"/>
              </w:rPr>
              <w:lastRenderedPageBreak/>
              <w:t>Camrelizumab</w:t>
            </w:r>
            <w:proofErr w:type="spellEnd"/>
            <w:r w:rsidRPr="007214E1">
              <w:rPr>
                <w:rFonts w:ascii="Book Antiqua" w:hAnsi="Book Antiqua"/>
                <w:color w:val="000000"/>
              </w:rPr>
              <w:t xml:space="preserve"> plus </w:t>
            </w:r>
            <w:proofErr w:type="spellStart"/>
            <w:r w:rsidRPr="007214E1">
              <w:rPr>
                <w:rFonts w:ascii="Book Antiqua" w:hAnsi="Book Antiqua"/>
                <w:color w:val="000000"/>
              </w:rPr>
              <w:t>apatinib</w:t>
            </w:r>
            <w:proofErr w:type="spellEnd"/>
          </w:p>
        </w:tc>
        <w:tc>
          <w:tcPr>
            <w:tcW w:w="1223" w:type="dxa"/>
          </w:tcPr>
          <w:p w14:paraId="11B072E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Sorafenib</w:t>
            </w:r>
          </w:p>
        </w:tc>
        <w:tc>
          <w:tcPr>
            <w:tcW w:w="1058" w:type="dxa"/>
          </w:tcPr>
          <w:p w14:paraId="3935148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First-line</w:t>
            </w:r>
          </w:p>
        </w:tc>
        <w:tc>
          <w:tcPr>
            <w:tcW w:w="591" w:type="dxa"/>
          </w:tcPr>
          <w:p w14:paraId="4462897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III</w:t>
            </w:r>
          </w:p>
        </w:tc>
        <w:tc>
          <w:tcPr>
            <w:tcW w:w="874" w:type="dxa"/>
          </w:tcPr>
          <w:p w14:paraId="13407A11" w14:textId="1038B5DB" w:rsidR="008D6BF4" w:rsidRPr="007214E1" w:rsidRDefault="00D56E9E" w:rsidP="00EB43EE">
            <w:pPr>
              <w:snapToGrid w:val="0"/>
              <w:spacing w:line="360" w:lineRule="auto"/>
              <w:jc w:val="both"/>
              <w:rPr>
                <w:rFonts w:ascii="Book Antiqua" w:hAnsi="Book Antiqua"/>
              </w:rPr>
            </w:pPr>
            <w:r w:rsidRPr="007214E1">
              <w:rPr>
                <w:rFonts w:ascii="Book Antiqua" w:hAnsi="Book Antiqua"/>
                <w:color w:val="000000"/>
              </w:rPr>
              <w:t>June 10, 2019-</w:t>
            </w:r>
            <w:r w:rsidR="008D6BF4" w:rsidRPr="007214E1">
              <w:rPr>
                <w:rFonts w:ascii="Book Antiqua" w:hAnsi="Book Antiqua"/>
                <w:color w:val="000000"/>
              </w:rPr>
              <w:t>June 2022</w:t>
            </w:r>
          </w:p>
        </w:tc>
        <w:tc>
          <w:tcPr>
            <w:tcW w:w="950" w:type="dxa"/>
          </w:tcPr>
          <w:p w14:paraId="2B979DD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510</w:t>
            </w:r>
          </w:p>
        </w:tc>
        <w:tc>
          <w:tcPr>
            <w:tcW w:w="991" w:type="dxa"/>
          </w:tcPr>
          <w:p w14:paraId="7290104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OS, PFS</w:t>
            </w:r>
          </w:p>
        </w:tc>
        <w:tc>
          <w:tcPr>
            <w:tcW w:w="1299" w:type="dxa"/>
          </w:tcPr>
          <w:p w14:paraId="14299CEA" w14:textId="6AA54CDA"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shd w:val="clear" w:color="auto" w:fill="FFFFFF"/>
              </w:rPr>
              <w:t>NCT03764293</w:t>
            </w:r>
          </w:p>
        </w:tc>
      </w:tr>
    </w:tbl>
    <w:p w14:paraId="07430A5D" w14:textId="452C350A" w:rsidR="008D6BF4" w:rsidRPr="007214E1" w:rsidRDefault="00D56E9E" w:rsidP="00EB43EE">
      <w:pPr>
        <w:snapToGrid w:val="0"/>
        <w:spacing w:line="360" w:lineRule="auto"/>
        <w:jc w:val="both"/>
        <w:rPr>
          <w:rFonts w:ascii="Book Antiqua" w:hAnsi="Book Antiqua"/>
        </w:rPr>
      </w:pPr>
      <w:r w:rsidRPr="007214E1">
        <w:rPr>
          <w:rFonts w:ascii="Book Antiqua" w:hAnsi="Book Antiqua"/>
        </w:rPr>
        <w:t>OS: Overall survival; PFS: Progression-free survival;</w:t>
      </w:r>
      <w:r w:rsidR="008D6BF4" w:rsidRPr="007214E1">
        <w:rPr>
          <w:rFonts w:ascii="Book Antiqua" w:hAnsi="Book Antiqua"/>
        </w:rPr>
        <w:t xml:space="preserve"> </w:t>
      </w:r>
      <w:r w:rsidRPr="007214E1">
        <w:rPr>
          <w:rFonts w:ascii="Book Antiqua" w:hAnsi="Book Antiqua"/>
        </w:rPr>
        <w:t>RFS: Recurrence-free survival;</w:t>
      </w:r>
      <w:r w:rsidR="008D6BF4" w:rsidRPr="007214E1">
        <w:rPr>
          <w:rFonts w:ascii="Book Antiqua" w:hAnsi="Book Antiqua"/>
        </w:rPr>
        <w:t xml:space="preserve"> </w:t>
      </w:r>
      <w:r w:rsidRPr="007214E1">
        <w:rPr>
          <w:rFonts w:ascii="Book Antiqua" w:hAnsi="Book Antiqua"/>
        </w:rPr>
        <w:t>ORR: Overall response rate.</w:t>
      </w:r>
    </w:p>
    <w:p w14:paraId="7161F0DB" w14:textId="77777777" w:rsidR="00A859B6" w:rsidRPr="007214E1" w:rsidRDefault="00A859B6" w:rsidP="00EB43EE">
      <w:pPr>
        <w:snapToGrid w:val="0"/>
        <w:spacing w:line="360" w:lineRule="auto"/>
        <w:jc w:val="both"/>
        <w:rPr>
          <w:rFonts w:ascii="Book Antiqua" w:hAnsi="Book Antiqua"/>
        </w:rPr>
      </w:pPr>
      <w:r w:rsidRPr="007214E1">
        <w:rPr>
          <w:rFonts w:ascii="Book Antiqua" w:hAnsi="Book Antiqua"/>
        </w:rPr>
        <w:br w:type="page"/>
      </w:r>
    </w:p>
    <w:p w14:paraId="6EE93955" w14:textId="2E20F906" w:rsidR="008D6BF4" w:rsidRPr="007214E1" w:rsidRDefault="00A859B6" w:rsidP="00EB43EE">
      <w:pPr>
        <w:snapToGrid w:val="0"/>
        <w:spacing w:line="360" w:lineRule="auto"/>
        <w:jc w:val="both"/>
        <w:rPr>
          <w:rFonts w:ascii="Book Antiqua" w:hAnsi="Book Antiqua"/>
          <w:b/>
          <w:color w:val="000000"/>
        </w:rPr>
      </w:pPr>
      <w:r w:rsidRPr="007214E1">
        <w:rPr>
          <w:rFonts w:ascii="Book Antiqua" w:hAnsi="Book Antiqua"/>
          <w:b/>
          <w:color w:val="000000"/>
        </w:rPr>
        <w:lastRenderedPageBreak/>
        <w:t>Table 5</w:t>
      </w:r>
      <w:r w:rsidR="008D6BF4" w:rsidRPr="007214E1">
        <w:rPr>
          <w:rFonts w:ascii="Book Antiqua" w:hAnsi="Book Antiqua"/>
          <w:b/>
          <w:color w:val="000000"/>
        </w:rPr>
        <w:t xml:space="preserve"> </w:t>
      </w:r>
      <w:r w:rsidR="008D6BF4" w:rsidRPr="007214E1">
        <w:rPr>
          <w:rFonts w:ascii="Book Antiqua" w:hAnsi="Book Antiqua"/>
          <w:b/>
        </w:rPr>
        <w:t>Summary of</w:t>
      </w:r>
      <w:r w:rsidR="00D56E9E" w:rsidRPr="007214E1">
        <w:rPr>
          <w:rFonts w:ascii="Book Antiqua" w:hAnsi="Book Antiqua"/>
          <w:b/>
        </w:rPr>
        <w:t xml:space="preserve"> active clinical trials evaluating combination therapy</w:t>
      </w:r>
      <w:r w:rsidR="00D56E9E" w:rsidRPr="007214E1">
        <w:rPr>
          <w:rFonts w:ascii="Book Antiqua" w:hAnsi="Book Antiqua"/>
          <w:b/>
          <w:color w:val="000000"/>
        </w:rPr>
        <w:t xml:space="preserve"> of checkpoint inhibitors plus tyrosine kinase inhibitors</w:t>
      </w:r>
    </w:p>
    <w:tbl>
      <w:tblPr>
        <w:tblStyle w:val="ad"/>
        <w:tblW w:w="1275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276"/>
        <w:gridCol w:w="1417"/>
        <w:gridCol w:w="1418"/>
        <w:gridCol w:w="1842"/>
        <w:gridCol w:w="1560"/>
        <w:gridCol w:w="1842"/>
        <w:gridCol w:w="1985"/>
      </w:tblGrid>
      <w:tr w:rsidR="00D56E9E" w:rsidRPr="007214E1" w14:paraId="4DE3CB97" w14:textId="77777777" w:rsidTr="001B265D">
        <w:tc>
          <w:tcPr>
            <w:tcW w:w="1413" w:type="dxa"/>
            <w:tcBorders>
              <w:top w:val="single" w:sz="4" w:space="0" w:color="auto"/>
              <w:bottom w:val="single" w:sz="4" w:space="0" w:color="auto"/>
            </w:tcBorders>
          </w:tcPr>
          <w:p w14:paraId="04495C35"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b/>
              </w:rPr>
              <w:t>Therapy</w:t>
            </w:r>
          </w:p>
        </w:tc>
        <w:tc>
          <w:tcPr>
            <w:tcW w:w="1276" w:type="dxa"/>
            <w:tcBorders>
              <w:top w:val="single" w:sz="4" w:space="0" w:color="auto"/>
              <w:bottom w:val="single" w:sz="4" w:space="0" w:color="auto"/>
            </w:tcBorders>
          </w:tcPr>
          <w:p w14:paraId="0D630724"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b/>
              </w:rPr>
              <w:t>Comparator</w:t>
            </w:r>
          </w:p>
        </w:tc>
        <w:tc>
          <w:tcPr>
            <w:tcW w:w="1417" w:type="dxa"/>
            <w:tcBorders>
              <w:top w:val="single" w:sz="4" w:space="0" w:color="auto"/>
              <w:bottom w:val="single" w:sz="4" w:space="0" w:color="auto"/>
            </w:tcBorders>
          </w:tcPr>
          <w:p w14:paraId="2B15B829" w14:textId="58FF755C"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b/>
              </w:rPr>
              <w:t xml:space="preserve">Therapy </w:t>
            </w:r>
            <w:r w:rsidR="00D56E9E" w:rsidRPr="007214E1">
              <w:rPr>
                <w:rFonts w:ascii="Book Antiqua" w:hAnsi="Book Antiqua"/>
                <w:b/>
              </w:rPr>
              <w:t>indication</w:t>
            </w:r>
          </w:p>
        </w:tc>
        <w:tc>
          <w:tcPr>
            <w:tcW w:w="1418" w:type="dxa"/>
            <w:tcBorders>
              <w:top w:val="single" w:sz="4" w:space="0" w:color="auto"/>
              <w:bottom w:val="single" w:sz="4" w:space="0" w:color="auto"/>
            </w:tcBorders>
          </w:tcPr>
          <w:p w14:paraId="7B46CCB1"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b/>
              </w:rPr>
              <w:t>Phase</w:t>
            </w:r>
          </w:p>
        </w:tc>
        <w:tc>
          <w:tcPr>
            <w:tcW w:w="1842" w:type="dxa"/>
            <w:tcBorders>
              <w:top w:val="single" w:sz="4" w:space="0" w:color="auto"/>
              <w:bottom w:val="single" w:sz="4" w:space="0" w:color="auto"/>
            </w:tcBorders>
          </w:tcPr>
          <w:p w14:paraId="66278D4C" w14:textId="66A8ACD6"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b/>
              </w:rPr>
              <w:t xml:space="preserve">Estimated </w:t>
            </w:r>
            <w:r w:rsidR="00D56E9E" w:rsidRPr="007214E1">
              <w:rPr>
                <w:rFonts w:ascii="Book Antiqua" w:hAnsi="Book Antiqua"/>
                <w:b/>
              </w:rPr>
              <w:t>study duration</w:t>
            </w:r>
          </w:p>
        </w:tc>
        <w:tc>
          <w:tcPr>
            <w:tcW w:w="1560" w:type="dxa"/>
            <w:tcBorders>
              <w:top w:val="single" w:sz="4" w:space="0" w:color="auto"/>
              <w:bottom w:val="single" w:sz="4" w:space="0" w:color="auto"/>
            </w:tcBorders>
          </w:tcPr>
          <w:p w14:paraId="16648523" w14:textId="74B46AFC"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b/>
              </w:rPr>
              <w:t xml:space="preserve">Estimated </w:t>
            </w:r>
            <w:r w:rsidR="00D56E9E" w:rsidRPr="007214E1">
              <w:rPr>
                <w:rFonts w:ascii="Book Antiqua" w:hAnsi="Book Antiqua"/>
                <w:b/>
              </w:rPr>
              <w:t>patient enrollment</w:t>
            </w:r>
          </w:p>
        </w:tc>
        <w:tc>
          <w:tcPr>
            <w:tcW w:w="1842" w:type="dxa"/>
            <w:tcBorders>
              <w:top w:val="single" w:sz="4" w:space="0" w:color="auto"/>
              <w:bottom w:val="single" w:sz="4" w:space="0" w:color="auto"/>
            </w:tcBorders>
          </w:tcPr>
          <w:p w14:paraId="2954521A" w14:textId="0E3BA770"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b/>
              </w:rPr>
              <w:t xml:space="preserve">Primary </w:t>
            </w:r>
            <w:r w:rsidR="00D56E9E" w:rsidRPr="007214E1">
              <w:rPr>
                <w:rFonts w:ascii="Book Antiqua" w:hAnsi="Book Antiqua"/>
                <w:b/>
              </w:rPr>
              <w:t>endpoints</w:t>
            </w:r>
          </w:p>
        </w:tc>
        <w:tc>
          <w:tcPr>
            <w:tcW w:w="1985" w:type="dxa"/>
            <w:tcBorders>
              <w:top w:val="single" w:sz="4" w:space="0" w:color="auto"/>
              <w:bottom w:val="single" w:sz="4" w:space="0" w:color="auto"/>
            </w:tcBorders>
          </w:tcPr>
          <w:p w14:paraId="22DE86BD" w14:textId="7C327BF8"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b/>
              </w:rPr>
              <w:t xml:space="preserve">Trial </w:t>
            </w:r>
            <w:r w:rsidR="00D56E9E" w:rsidRPr="007214E1">
              <w:rPr>
                <w:rFonts w:ascii="Book Antiqua" w:hAnsi="Book Antiqua"/>
                <w:b/>
              </w:rPr>
              <w:t>identifier</w:t>
            </w:r>
          </w:p>
        </w:tc>
      </w:tr>
      <w:tr w:rsidR="00D56E9E" w:rsidRPr="007214E1" w14:paraId="56A258DA" w14:textId="77777777" w:rsidTr="001B265D">
        <w:trPr>
          <w:trHeight w:val="818"/>
        </w:trPr>
        <w:tc>
          <w:tcPr>
            <w:tcW w:w="1413" w:type="dxa"/>
            <w:tcBorders>
              <w:top w:val="single" w:sz="4" w:space="0" w:color="auto"/>
            </w:tcBorders>
          </w:tcPr>
          <w:p w14:paraId="37062BE9" w14:textId="574303F2"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Nivolumab </w:t>
            </w:r>
            <w:r w:rsidR="001B265D" w:rsidRPr="007214E1">
              <w:rPr>
                <w:rFonts w:ascii="Book Antiqua" w:hAnsi="Book Antiqua"/>
              </w:rPr>
              <w:t>plus sorafenib</w:t>
            </w:r>
          </w:p>
        </w:tc>
        <w:tc>
          <w:tcPr>
            <w:tcW w:w="1276" w:type="dxa"/>
            <w:tcBorders>
              <w:top w:val="single" w:sz="4" w:space="0" w:color="auto"/>
            </w:tcBorders>
          </w:tcPr>
          <w:p w14:paraId="02CF4B23" w14:textId="583AEE51"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Nivolumab </w:t>
            </w:r>
            <w:r w:rsidR="00D56E9E" w:rsidRPr="007214E1">
              <w:rPr>
                <w:rFonts w:ascii="Book Antiqua" w:hAnsi="Book Antiqua"/>
              </w:rPr>
              <w:t xml:space="preserve">plus sorafenib </w:t>
            </w:r>
            <w:r w:rsidRPr="007214E1">
              <w:rPr>
                <w:rFonts w:ascii="Book Antiqua" w:hAnsi="Book Antiqua"/>
              </w:rPr>
              <w:t xml:space="preserve">(regimen 1 </w:t>
            </w:r>
            <w:r w:rsidRPr="007214E1">
              <w:rPr>
                <w:rFonts w:ascii="Book Antiqua" w:hAnsi="Book Antiqua"/>
                <w:i/>
              </w:rPr>
              <w:t>vs</w:t>
            </w:r>
            <w:r w:rsidRPr="007214E1">
              <w:rPr>
                <w:rFonts w:ascii="Book Antiqua" w:hAnsi="Book Antiqua"/>
              </w:rPr>
              <w:t xml:space="preserve"> regimen 2)</w:t>
            </w:r>
          </w:p>
        </w:tc>
        <w:tc>
          <w:tcPr>
            <w:tcW w:w="1417" w:type="dxa"/>
            <w:tcBorders>
              <w:top w:val="single" w:sz="4" w:space="0" w:color="auto"/>
            </w:tcBorders>
          </w:tcPr>
          <w:p w14:paraId="658227BF"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First-line</w:t>
            </w:r>
          </w:p>
        </w:tc>
        <w:tc>
          <w:tcPr>
            <w:tcW w:w="1418" w:type="dxa"/>
            <w:tcBorders>
              <w:top w:val="single" w:sz="4" w:space="0" w:color="auto"/>
            </w:tcBorders>
          </w:tcPr>
          <w:p w14:paraId="4D3BC6C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1842" w:type="dxa"/>
            <w:tcBorders>
              <w:top w:val="single" w:sz="4" w:space="0" w:color="auto"/>
            </w:tcBorders>
          </w:tcPr>
          <w:p w14:paraId="09455221" w14:textId="38400811" w:rsidR="008D6BF4" w:rsidRPr="007214E1" w:rsidRDefault="00D56E9E" w:rsidP="00EB43EE">
            <w:pPr>
              <w:snapToGrid w:val="0"/>
              <w:spacing w:line="360" w:lineRule="auto"/>
              <w:jc w:val="both"/>
              <w:rPr>
                <w:rFonts w:ascii="Book Antiqua" w:hAnsi="Book Antiqua"/>
              </w:rPr>
            </w:pPr>
            <w:r w:rsidRPr="007214E1">
              <w:rPr>
                <w:rFonts w:ascii="Book Antiqua" w:hAnsi="Book Antiqua"/>
              </w:rPr>
              <w:t>April 16, 2018-</w:t>
            </w:r>
            <w:r w:rsidR="008D6BF4" w:rsidRPr="007214E1">
              <w:rPr>
                <w:rFonts w:ascii="Book Antiqua" w:hAnsi="Book Antiqua"/>
              </w:rPr>
              <w:t>May 31, 2020</w:t>
            </w:r>
          </w:p>
        </w:tc>
        <w:tc>
          <w:tcPr>
            <w:tcW w:w="1560" w:type="dxa"/>
            <w:tcBorders>
              <w:top w:val="single" w:sz="4" w:space="0" w:color="auto"/>
            </w:tcBorders>
          </w:tcPr>
          <w:p w14:paraId="436C784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40</w:t>
            </w:r>
          </w:p>
        </w:tc>
        <w:tc>
          <w:tcPr>
            <w:tcW w:w="1842" w:type="dxa"/>
            <w:tcBorders>
              <w:top w:val="single" w:sz="4" w:space="0" w:color="auto"/>
            </w:tcBorders>
          </w:tcPr>
          <w:p w14:paraId="33502AA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MTD, ORR</w:t>
            </w:r>
          </w:p>
        </w:tc>
        <w:tc>
          <w:tcPr>
            <w:tcW w:w="1985" w:type="dxa"/>
            <w:tcBorders>
              <w:top w:val="single" w:sz="4" w:space="0" w:color="auto"/>
            </w:tcBorders>
          </w:tcPr>
          <w:p w14:paraId="2580BB68"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NCT03439891</w:t>
            </w:r>
          </w:p>
        </w:tc>
      </w:tr>
      <w:tr w:rsidR="00D56E9E" w:rsidRPr="007214E1" w14:paraId="12034195" w14:textId="77777777" w:rsidTr="001B265D">
        <w:trPr>
          <w:trHeight w:val="800"/>
        </w:trPr>
        <w:tc>
          <w:tcPr>
            <w:tcW w:w="1413" w:type="dxa"/>
          </w:tcPr>
          <w:p w14:paraId="2D37756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Pembrolizumab plus sorafenib</w:t>
            </w:r>
          </w:p>
        </w:tc>
        <w:tc>
          <w:tcPr>
            <w:tcW w:w="1276" w:type="dxa"/>
          </w:tcPr>
          <w:p w14:paraId="439F612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417" w:type="dxa"/>
          </w:tcPr>
          <w:p w14:paraId="545E2D17"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First-line</w:t>
            </w:r>
          </w:p>
        </w:tc>
        <w:tc>
          <w:tcPr>
            <w:tcW w:w="1418" w:type="dxa"/>
          </w:tcPr>
          <w:p w14:paraId="3BF4C018"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Ib</w:t>
            </w:r>
            <w:proofErr w:type="spellEnd"/>
            <w:r w:rsidRPr="007214E1">
              <w:rPr>
                <w:rFonts w:ascii="Book Antiqua" w:hAnsi="Book Antiqua"/>
              </w:rPr>
              <w:t>/II</w:t>
            </w:r>
          </w:p>
        </w:tc>
        <w:tc>
          <w:tcPr>
            <w:tcW w:w="1842" w:type="dxa"/>
          </w:tcPr>
          <w:p w14:paraId="377A3269" w14:textId="53D4171C" w:rsidR="008D6BF4" w:rsidRPr="007214E1" w:rsidRDefault="00D56E9E" w:rsidP="00EB43EE">
            <w:pPr>
              <w:snapToGrid w:val="0"/>
              <w:spacing w:line="360" w:lineRule="auto"/>
              <w:jc w:val="both"/>
              <w:rPr>
                <w:rFonts w:ascii="Book Antiqua" w:hAnsi="Book Antiqua"/>
              </w:rPr>
            </w:pPr>
            <w:r w:rsidRPr="007214E1">
              <w:rPr>
                <w:rFonts w:ascii="Book Antiqua" w:hAnsi="Book Antiqua"/>
              </w:rPr>
              <w:t>September 13, 2017-</w:t>
            </w:r>
            <w:r w:rsidR="008D6BF4" w:rsidRPr="007214E1">
              <w:rPr>
                <w:rFonts w:ascii="Book Antiqua" w:hAnsi="Book Antiqua"/>
              </w:rPr>
              <w:t>September 13, 2021</w:t>
            </w:r>
          </w:p>
        </w:tc>
        <w:tc>
          <w:tcPr>
            <w:tcW w:w="1560" w:type="dxa"/>
          </w:tcPr>
          <w:p w14:paraId="65ECA9E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27</w:t>
            </w:r>
          </w:p>
        </w:tc>
        <w:tc>
          <w:tcPr>
            <w:tcW w:w="1842" w:type="dxa"/>
          </w:tcPr>
          <w:p w14:paraId="433DFE5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ORR</w:t>
            </w:r>
          </w:p>
        </w:tc>
        <w:tc>
          <w:tcPr>
            <w:tcW w:w="1985" w:type="dxa"/>
          </w:tcPr>
          <w:p w14:paraId="098D6FB6" w14:textId="0A877660" w:rsidR="008D6BF4" w:rsidRPr="007214E1" w:rsidRDefault="00D56E9E" w:rsidP="00EB43EE">
            <w:pPr>
              <w:snapToGrid w:val="0"/>
              <w:spacing w:line="360" w:lineRule="auto"/>
              <w:jc w:val="both"/>
              <w:rPr>
                <w:rFonts w:ascii="Book Antiqua" w:hAnsi="Book Antiqua"/>
              </w:rPr>
            </w:pPr>
            <w:r w:rsidRPr="007214E1">
              <w:rPr>
                <w:rFonts w:ascii="Book Antiqua" w:hAnsi="Book Antiqua"/>
              </w:rPr>
              <w:t>NCT03211416</w:t>
            </w:r>
          </w:p>
        </w:tc>
      </w:tr>
      <w:tr w:rsidR="00D56E9E" w:rsidRPr="007214E1" w14:paraId="6FD2E136" w14:textId="77777777" w:rsidTr="001B265D">
        <w:trPr>
          <w:trHeight w:val="800"/>
        </w:trPr>
        <w:tc>
          <w:tcPr>
            <w:tcW w:w="1413" w:type="dxa"/>
          </w:tcPr>
          <w:p w14:paraId="21F7A7E7"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color w:val="000000"/>
              </w:rPr>
              <w:t>Nivolumab</w:t>
            </w:r>
            <w:proofErr w:type="spellEnd"/>
            <w:r w:rsidRPr="007214E1">
              <w:rPr>
                <w:rFonts w:ascii="Book Antiqua" w:hAnsi="Book Antiqua"/>
                <w:color w:val="000000"/>
              </w:rPr>
              <w:t xml:space="preserve"> plus </w:t>
            </w:r>
            <w:proofErr w:type="spellStart"/>
            <w:r w:rsidRPr="007214E1">
              <w:rPr>
                <w:rFonts w:ascii="Book Antiqua" w:hAnsi="Book Antiqua"/>
                <w:color w:val="000000"/>
              </w:rPr>
              <w:t>lenvatinib</w:t>
            </w:r>
            <w:proofErr w:type="spellEnd"/>
          </w:p>
        </w:tc>
        <w:tc>
          <w:tcPr>
            <w:tcW w:w="1276" w:type="dxa"/>
          </w:tcPr>
          <w:p w14:paraId="34F11A4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None</w:t>
            </w:r>
          </w:p>
        </w:tc>
        <w:tc>
          <w:tcPr>
            <w:tcW w:w="1417" w:type="dxa"/>
          </w:tcPr>
          <w:p w14:paraId="208A6CC4"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First-line</w:t>
            </w:r>
          </w:p>
        </w:tc>
        <w:tc>
          <w:tcPr>
            <w:tcW w:w="1418" w:type="dxa"/>
          </w:tcPr>
          <w:p w14:paraId="797B538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II</w:t>
            </w:r>
          </w:p>
        </w:tc>
        <w:tc>
          <w:tcPr>
            <w:tcW w:w="1842" w:type="dxa"/>
          </w:tcPr>
          <w:p w14:paraId="0B41127B" w14:textId="02E1D03B" w:rsidR="008D6BF4" w:rsidRPr="007214E1" w:rsidRDefault="00D56E9E" w:rsidP="00EB43EE">
            <w:pPr>
              <w:snapToGrid w:val="0"/>
              <w:spacing w:line="360" w:lineRule="auto"/>
              <w:jc w:val="both"/>
              <w:rPr>
                <w:rFonts w:ascii="Book Antiqua" w:hAnsi="Book Antiqua"/>
              </w:rPr>
            </w:pPr>
            <w:r w:rsidRPr="007214E1">
              <w:rPr>
                <w:rFonts w:ascii="Book Antiqua" w:hAnsi="Book Antiqua"/>
                <w:color w:val="000000"/>
              </w:rPr>
              <w:t>June 12, 2019-</w:t>
            </w:r>
            <w:r w:rsidR="008D6BF4" w:rsidRPr="007214E1">
              <w:rPr>
                <w:rFonts w:ascii="Book Antiqua" w:hAnsi="Book Antiqua"/>
                <w:color w:val="000000"/>
              </w:rPr>
              <w:t>October 2021</w:t>
            </w:r>
          </w:p>
        </w:tc>
        <w:tc>
          <w:tcPr>
            <w:tcW w:w="1560" w:type="dxa"/>
          </w:tcPr>
          <w:p w14:paraId="5A6EAC7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50</w:t>
            </w:r>
          </w:p>
        </w:tc>
        <w:tc>
          <w:tcPr>
            <w:tcW w:w="1842" w:type="dxa"/>
          </w:tcPr>
          <w:p w14:paraId="62DAF20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ORR, safety/tolerability</w:t>
            </w:r>
          </w:p>
        </w:tc>
        <w:tc>
          <w:tcPr>
            <w:tcW w:w="1985" w:type="dxa"/>
          </w:tcPr>
          <w:p w14:paraId="0484A5A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NCT03841201</w:t>
            </w:r>
          </w:p>
        </w:tc>
      </w:tr>
      <w:tr w:rsidR="00D56E9E" w:rsidRPr="007214E1" w14:paraId="6A15C52A" w14:textId="77777777" w:rsidTr="001B265D">
        <w:trPr>
          <w:trHeight w:val="890"/>
        </w:trPr>
        <w:tc>
          <w:tcPr>
            <w:tcW w:w="1413" w:type="dxa"/>
          </w:tcPr>
          <w:p w14:paraId="0816B8A6"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color w:val="000000"/>
              </w:rPr>
              <w:t>Pembrolizumab</w:t>
            </w:r>
            <w:proofErr w:type="spellEnd"/>
            <w:r w:rsidRPr="007214E1">
              <w:rPr>
                <w:rFonts w:ascii="Book Antiqua" w:hAnsi="Book Antiqua"/>
                <w:color w:val="000000"/>
              </w:rPr>
              <w:t xml:space="preserve"> plus </w:t>
            </w:r>
            <w:proofErr w:type="spellStart"/>
            <w:r w:rsidRPr="007214E1">
              <w:rPr>
                <w:rFonts w:ascii="Book Antiqua" w:hAnsi="Book Antiqua"/>
                <w:color w:val="000000"/>
              </w:rPr>
              <w:lastRenderedPageBreak/>
              <w:t>lenvatinib</w:t>
            </w:r>
            <w:proofErr w:type="spellEnd"/>
          </w:p>
        </w:tc>
        <w:tc>
          <w:tcPr>
            <w:tcW w:w="1276" w:type="dxa"/>
          </w:tcPr>
          <w:p w14:paraId="6AB67EA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lastRenderedPageBreak/>
              <w:t xml:space="preserve">Placebo plus </w:t>
            </w:r>
            <w:proofErr w:type="spellStart"/>
            <w:r w:rsidRPr="007214E1">
              <w:rPr>
                <w:rFonts w:ascii="Book Antiqua" w:hAnsi="Book Antiqua"/>
                <w:color w:val="000000"/>
              </w:rPr>
              <w:lastRenderedPageBreak/>
              <w:t>lenvatinib</w:t>
            </w:r>
            <w:proofErr w:type="spellEnd"/>
          </w:p>
        </w:tc>
        <w:tc>
          <w:tcPr>
            <w:tcW w:w="1417" w:type="dxa"/>
          </w:tcPr>
          <w:p w14:paraId="762608BC"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lastRenderedPageBreak/>
              <w:t>First-line</w:t>
            </w:r>
          </w:p>
        </w:tc>
        <w:tc>
          <w:tcPr>
            <w:tcW w:w="1418" w:type="dxa"/>
          </w:tcPr>
          <w:p w14:paraId="2C2A115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III</w:t>
            </w:r>
          </w:p>
        </w:tc>
        <w:tc>
          <w:tcPr>
            <w:tcW w:w="1842" w:type="dxa"/>
          </w:tcPr>
          <w:p w14:paraId="64E889AD" w14:textId="5ABCF09B" w:rsidR="008D6BF4" w:rsidRPr="007214E1" w:rsidRDefault="00D56E9E" w:rsidP="00EB43EE">
            <w:pPr>
              <w:snapToGrid w:val="0"/>
              <w:spacing w:line="360" w:lineRule="auto"/>
              <w:jc w:val="both"/>
              <w:rPr>
                <w:rFonts w:ascii="Book Antiqua" w:hAnsi="Book Antiqua"/>
              </w:rPr>
            </w:pPr>
            <w:r w:rsidRPr="007214E1">
              <w:rPr>
                <w:rFonts w:ascii="Book Antiqua" w:hAnsi="Book Antiqua"/>
                <w:color w:val="000000"/>
              </w:rPr>
              <w:t>December 31, 2018-</w:t>
            </w:r>
            <w:r w:rsidR="008D6BF4" w:rsidRPr="007214E1">
              <w:rPr>
                <w:rFonts w:ascii="Book Antiqua" w:hAnsi="Book Antiqua"/>
                <w:color w:val="000000"/>
              </w:rPr>
              <w:t xml:space="preserve">May 13, </w:t>
            </w:r>
            <w:r w:rsidR="008D6BF4" w:rsidRPr="007214E1">
              <w:rPr>
                <w:rFonts w:ascii="Book Antiqua" w:hAnsi="Book Antiqua"/>
                <w:color w:val="000000"/>
              </w:rPr>
              <w:lastRenderedPageBreak/>
              <w:t>2022</w:t>
            </w:r>
          </w:p>
        </w:tc>
        <w:tc>
          <w:tcPr>
            <w:tcW w:w="1560" w:type="dxa"/>
          </w:tcPr>
          <w:p w14:paraId="47F6A5D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lastRenderedPageBreak/>
              <w:t>750</w:t>
            </w:r>
          </w:p>
        </w:tc>
        <w:tc>
          <w:tcPr>
            <w:tcW w:w="1842" w:type="dxa"/>
          </w:tcPr>
          <w:p w14:paraId="5C44E37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PFS, OS</w:t>
            </w:r>
          </w:p>
        </w:tc>
        <w:tc>
          <w:tcPr>
            <w:tcW w:w="1985" w:type="dxa"/>
          </w:tcPr>
          <w:p w14:paraId="3C38CCCE" w14:textId="20F87196" w:rsidR="008D6BF4" w:rsidRPr="007214E1" w:rsidRDefault="00D56E9E" w:rsidP="00EB43EE">
            <w:pPr>
              <w:snapToGrid w:val="0"/>
              <w:spacing w:line="360" w:lineRule="auto"/>
              <w:jc w:val="both"/>
              <w:rPr>
                <w:rFonts w:ascii="Book Antiqua" w:hAnsi="Book Antiqua"/>
                <w:color w:val="000000"/>
              </w:rPr>
            </w:pPr>
            <w:r w:rsidRPr="007214E1">
              <w:rPr>
                <w:rFonts w:ascii="Book Antiqua" w:hAnsi="Book Antiqua"/>
                <w:color w:val="000000"/>
              </w:rPr>
              <w:t>NCT03713593</w:t>
            </w:r>
            <w:r w:rsidRPr="007214E1">
              <w:rPr>
                <w:rFonts w:ascii="Book Antiqua" w:eastAsiaTheme="minorEastAsia" w:hAnsi="Book Antiqua"/>
                <w:color w:val="000000"/>
                <w:lang w:eastAsia="zh-CN"/>
              </w:rPr>
              <w:t xml:space="preserve"> </w:t>
            </w:r>
            <w:r w:rsidR="008D6BF4" w:rsidRPr="007214E1">
              <w:rPr>
                <w:rFonts w:ascii="Book Antiqua" w:hAnsi="Book Antiqua"/>
              </w:rPr>
              <w:t>(LEAP-002)</w:t>
            </w:r>
          </w:p>
        </w:tc>
      </w:tr>
      <w:tr w:rsidR="00D56E9E" w:rsidRPr="007214E1" w14:paraId="57AAC485" w14:textId="77777777" w:rsidTr="001B265D">
        <w:trPr>
          <w:trHeight w:val="800"/>
        </w:trPr>
        <w:tc>
          <w:tcPr>
            <w:tcW w:w="1413" w:type="dxa"/>
          </w:tcPr>
          <w:p w14:paraId="6039BD4A" w14:textId="639B1332"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lastRenderedPageBreak/>
              <w:t>Nivolumab</w:t>
            </w:r>
            <w:proofErr w:type="spellEnd"/>
            <w:r w:rsidRPr="007214E1">
              <w:rPr>
                <w:rFonts w:ascii="Book Antiqua" w:hAnsi="Book Antiqua"/>
              </w:rPr>
              <w:t xml:space="preserve"> </w:t>
            </w:r>
            <w:r w:rsidR="001B265D" w:rsidRPr="007214E1">
              <w:rPr>
                <w:rFonts w:ascii="Book Antiqua" w:hAnsi="Book Antiqua"/>
              </w:rPr>
              <w:t xml:space="preserve">plus </w:t>
            </w:r>
            <w:proofErr w:type="spellStart"/>
            <w:r w:rsidR="001B265D" w:rsidRPr="007214E1">
              <w:rPr>
                <w:rFonts w:ascii="Book Antiqua" w:hAnsi="Book Antiqua"/>
              </w:rPr>
              <w:t>cabozantinib</w:t>
            </w:r>
            <w:proofErr w:type="spellEnd"/>
          </w:p>
        </w:tc>
        <w:tc>
          <w:tcPr>
            <w:tcW w:w="1276" w:type="dxa"/>
          </w:tcPr>
          <w:p w14:paraId="221FA257" w14:textId="30453CAD"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Nivolumab</w:t>
            </w:r>
            <w:proofErr w:type="spellEnd"/>
            <w:r w:rsidRPr="007214E1">
              <w:rPr>
                <w:rFonts w:ascii="Book Antiqua" w:hAnsi="Book Antiqua"/>
              </w:rPr>
              <w:t xml:space="preserve"> </w:t>
            </w:r>
            <w:r w:rsidR="001B265D" w:rsidRPr="007214E1">
              <w:rPr>
                <w:rFonts w:ascii="Book Antiqua" w:hAnsi="Book Antiqua"/>
              </w:rPr>
              <w:t xml:space="preserve">plus </w:t>
            </w:r>
            <w:proofErr w:type="spellStart"/>
            <w:r w:rsidRPr="007214E1">
              <w:rPr>
                <w:rFonts w:ascii="Book Antiqua" w:hAnsi="Book Antiqua"/>
              </w:rPr>
              <w:t>Ipilimumab</w:t>
            </w:r>
            <w:proofErr w:type="spellEnd"/>
            <w:r w:rsidRPr="007214E1">
              <w:rPr>
                <w:rFonts w:ascii="Book Antiqua" w:hAnsi="Book Antiqua"/>
              </w:rPr>
              <w:t xml:space="preserve"> </w:t>
            </w:r>
            <w:r w:rsidR="001B265D" w:rsidRPr="007214E1">
              <w:rPr>
                <w:rFonts w:ascii="Book Antiqua" w:hAnsi="Book Antiqua"/>
              </w:rPr>
              <w:t xml:space="preserve">plus </w:t>
            </w:r>
            <w:proofErr w:type="spellStart"/>
            <w:r w:rsidR="001B265D" w:rsidRPr="007214E1">
              <w:rPr>
                <w:rFonts w:ascii="Book Antiqua" w:hAnsi="Book Antiqua"/>
              </w:rPr>
              <w:t>cabozantinib</w:t>
            </w:r>
            <w:proofErr w:type="spellEnd"/>
          </w:p>
        </w:tc>
        <w:tc>
          <w:tcPr>
            <w:tcW w:w="1417" w:type="dxa"/>
          </w:tcPr>
          <w:p w14:paraId="32A3B102"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Not Specified</w:t>
            </w:r>
          </w:p>
        </w:tc>
        <w:tc>
          <w:tcPr>
            <w:tcW w:w="1418" w:type="dxa"/>
          </w:tcPr>
          <w:p w14:paraId="4CCA658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1842" w:type="dxa"/>
          </w:tcPr>
          <w:p w14:paraId="0BA6CB89" w14:textId="208DE7B5" w:rsidR="008D6BF4" w:rsidRPr="007214E1" w:rsidRDefault="00D56E9E" w:rsidP="00EB43EE">
            <w:pPr>
              <w:snapToGrid w:val="0"/>
              <w:spacing w:line="360" w:lineRule="auto"/>
              <w:jc w:val="both"/>
              <w:rPr>
                <w:rFonts w:ascii="Book Antiqua" w:hAnsi="Book Antiqua"/>
              </w:rPr>
            </w:pPr>
            <w:r w:rsidRPr="007214E1">
              <w:rPr>
                <w:rFonts w:ascii="Book Antiqua" w:hAnsi="Book Antiqua"/>
              </w:rPr>
              <w:t>September 26, 2012-</w:t>
            </w:r>
            <w:r w:rsidR="008D6BF4" w:rsidRPr="007214E1">
              <w:rPr>
                <w:rFonts w:ascii="Book Antiqua" w:hAnsi="Book Antiqua"/>
              </w:rPr>
              <w:t>April 29, 2022</w:t>
            </w:r>
          </w:p>
        </w:tc>
        <w:tc>
          <w:tcPr>
            <w:tcW w:w="1560" w:type="dxa"/>
          </w:tcPr>
          <w:p w14:paraId="18DAFD2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1097</w:t>
            </w:r>
          </w:p>
        </w:tc>
        <w:tc>
          <w:tcPr>
            <w:tcW w:w="1842" w:type="dxa"/>
          </w:tcPr>
          <w:p w14:paraId="242F2F8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Safety and tolerability</w:t>
            </w:r>
          </w:p>
        </w:tc>
        <w:tc>
          <w:tcPr>
            <w:tcW w:w="1985" w:type="dxa"/>
          </w:tcPr>
          <w:p w14:paraId="1C828EBE" w14:textId="50190BC1" w:rsidR="008D6BF4" w:rsidRPr="007214E1" w:rsidRDefault="00D56E9E" w:rsidP="00EB43EE">
            <w:pPr>
              <w:snapToGrid w:val="0"/>
              <w:spacing w:line="360" w:lineRule="auto"/>
              <w:jc w:val="both"/>
              <w:rPr>
                <w:rFonts w:ascii="Book Antiqua" w:hAnsi="Book Antiqua"/>
              </w:rPr>
            </w:pPr>
            <w:r w:rsidRPr="007214E1">
              <w:rPr>
                <w:rFonts w:ascii="Book Antiqua" w:hAnsi="Book Antiqua"/>
              </w:rPr>
              <w:t>NCT01658878</w:t>
            </w:r>
            <w:r w:rsidRPr="007214E1">
              <w:rPr>
                <w:rFonts w:ascii="Book Antiqua" w:eastAsiaTheme="minorEastAsia" w:hAnsi="Book Antiqua"/>
                <w:lang w:eastAsia="zh-CN"/>
              </w:rPr>
              <w:t xml:space="preserve"> </w:t>
            </w:r>
            <w:r w:rsidR="004D3842" w:rsidRPr="007214E1">
              <w:rPr>
                <w:rFonts w:ascii="Book Antiqua" w:hAnsi="Book Antiqua"/>
              </w:rPr>
              <w:t>(</w:t>
            </w:r>
            <w:proofErr w:type="spellStart"/>
            <w:r w:rsidR="004D3842" w:rsidRPr="007214E1">
              <w:rPr>
                <w:rFonts w:ascii="Book Antiqua" w:hAnsi="Book Antiqua"/>
              </w:rPr>
              <w:t>CheckM</w:t>
            </w:r>
            <w:r w:rsidR="008D6BF4" w:rsidRPr="007214E1">
              <w:rPr>
                <w:rFonts w:ascii="Book Antiqua" w:hAnsi="Book Antiqua"/>
              </w:rPr>
              <w:t>ate</w:t>
            </w:r>
            <w:proofErr w:type="spellEnd"/>
            <w:r w:rsidR="008D6BF4" w:rsidRPr="007214E1">
              <w:rPr>
                <w:rFonts w:ascii="Book Antiqua" w:hAnsi="Book Antiqua"/>
              </w:rPr>
              <w:t xml:space="preserve"> 040)</w:t>
            </w:r>
          </w:p>
        </w:tc>
      </w:tr>
      <w:tr w:rsidR="00D56E9E" w:rsidRPr="007214E1" w14:paraId="01CE9488" w14:textId="77777777" w:rsidTr="001B265D">
        <w:trPr>
          <w:trHeight w:val="800"/>
        </w:trPr>
        <w:tc>
          <w:tcPr>
            <w:tcW w:w="1413" w:type="dxa"/>
          </w:tcPr>
          <w:p w14:paraId="4D4216AE" w14:textId="4AD43B73" w:rsidR="008D6BF4" w:rsidRPr="007214E1" w:rsidRDefault="008D6BF4" w:rsidP="00EB43EE">
            <w:pPr>
              <w:snapToGrid w:val="0"/>
              <w:spacing w:line="360" w:lineRule="auto"/>
              <w:jc w:val="both"/>
              <w:rPr>
                <w:rFonts w:ascii="Book Antiqua" w:hAnsi="Book Antiqua"/>
                <w:color w:val="000000"/>
              </w:rPr>
            </w:pPr>
            <w:proofErr w:type="spellStart"/>
            <w:r w:rsidRPr="007214E1">
              <w:rPr>
                <w:rFonts w:ascii="Book Antiqua" w:hAnsi="Book Antiqua"/>
              </w:rPr>
              <w:t>Nivolumab</w:t>
            </w:r>
            <w:proofErr w:type="spellEnd"/>
            <w:r w:rsidRPr="007214E1">
              <w:rPr>
                <w:rFonts w:ascii="Book Antiqua" w:hAnsi="Book Antiqua"/>
              </w:rPr>
              <w:t xml:space="preserve"> </w:t>
            </w:r>
            <w:r w:rsidR="001B265D" w:rsidRPr="007214E1">
              <w:rPr>
                <w:rFonts w:ascii="Book Antiqua" w:hAnsi="Book Antiqua"/>
              </w:rPr>
              <w:t xml:space="preserve">plus </w:t>
            </w:r>
            <w:proofErr w:type="spellStart"/>
            <w:r w:rsidRPr="007214E1">
              <w:rPr>
                <w:rFonts w:ascii="Book Antiqua" w:hAnsi="Book Antiqua"/>
              </w:rPr>
              <w:t>Ipilimumab</w:t>
            </w:r>
            <w:proofErr w:type="spellEnd"/>
            <w:r w:rsidRPr="007214E1">
              <w:rPr>
                <w:rFonts w:ascii="Book Antiqua" w:hAnsi="Book Antiqua"/>
              </w:rPr>
              <w:t xml:space="preserve"> </w:t>
            </w:r>
            <w:r w:rsidR="001B265D" w:rsidRPr="007214E1">
              <w:rPr>
                <w:rFonts w:ascii="Book Antiqua" w:hAnsi="Book Antiqua"/>
              </w:rPr>
              <w:t xml:space="preserve">plus </w:t>
            </w:r>
            <w:proofErr w:type="spellStart"/>
            <w:r w:rsidR="001B265D" w:rsidRPr="007214E1">
              <w:rPr>
                <w:rFonts w:ascii="Book Antiqua" w:hAnsi="Book Antiqua"/>
              </w:rPr>
              <w:t>cabozantinib</w:t>
            </w:r>
            <w:proofErr w:type="spellEnd"/>
          </w:p>
        </w:tc>
        <w:tc>
          <w:tcPr>
            <w:tcW w:w="1276" w:type="dxa"/>
          </w:tcPr>
          <w:p w14:paraId="7B6CEE6B" w14:textId="11314C6C" w:rsidR="008D6BF4" w:rsidRPr="007214E1" w:rsidRDefault="008D6BF4" w:rsidP="00EB43EE">
            <w:pPr>
              <w:snapToGrid w:val="0"/>
              <w:spacing w:line="360" w:lineRule="auto"/>
              <w:jc w:val="both"/>
              <w:rPr>
                <w:rFonts w:ascii="Book Antiqua" w:hAnsi="Book Antiqua"/>
                <w:color w:val="000000"/>
              </w:rPr>
            </w:pPr>
            <w:proofErr w:type="spellStart"/>
            <w:r w:rsidRPr="007214E1">
              <w:rPr>
                <w:rFonts w:ascii="Book Antiqua" w:hAnsi="Book Antiqua"/>
              </w:rPr>
              <w:t>Nivolumab</w:t>
            </w:r>
            <w:proofErr w:type="spellEnd"/>
            <w:r w:rsidRPr="007214E1">
              <w:rPr>
                <w:rFonts w:ascii="Book Antiqua" w:hAnsi="Book Antiqua"/>
              </w:rPr>
              <w:t xml:space="preserve"> </w:t>
            </w:r>
            <w:r w:rsidR="001B265D" w:rsidRPr="007214E1">
              <w:rPr>
                <w:rFonts w:ascii="Book Antiqua" w:hAnsi="Book Antiqua"/>
              </w:rPr>
              <w:t xml:space="preserve">plus </w:t>
            </w:r>
            <w:proofErr w:type="spellStart"/>
            <w:r w:rsidR="001B265D" w:rsidRPr="007214E1">
              <w:rPr>
                <w:rFonts w:ascii="Book Antiqua" w:hAnsi="Book Antiqua"/>
              </w:rPr>
              <w:t>cabozantinib</w:t>
            </w:r>
            <w:proofErr w:type="spellEnd"/>
          </w:p>
        </w:tc>
        <w:tc>
          <w:tcPr>
            <w:tcW w:w="1417" w:type="dxa"/>
          </w:tcPr>
          <w:p w14:paraId="1D037D94"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Not Specified</w:t>
            </w:r>
          </w:p>
        </w:tc>
        <w:tc>
          <w:tcPr>
            <w:tcW w:w="1418" w:type="dxa"/>
          </w:tcPr>
          <w:p w14:paraId="29F5503D"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I/II</w:t>
            </w:r>
          </w:p>
        </w:tc>
        <w:tc>
          <w:tcPr>
            <w:tcW w:w="1842" w:type="dxa"/>
          </w:tcPr>
          <w:p w14:paraId="4313F3D9" w14:textId="11C811A7" w:rsidR="008D6BF4" w:rsidRPr="007214E1" w:rsidRDefault="001B265D" w:rsidP="00EB43EE">
            <w:pPr>
              <w:snapToGrid w:val="0"/>
              <w:spacing w:line="360" w:lineRule="auto"/>
              <w:jc w:val="both"/>
              <w:rPr>
                <w:rFonts w:ascii="Book Antiqua" w:hAnsi="Book Antiqua"/>
                <w:color w:val="000000"/>
              </w:rPr>
            </w:pPr>
            <w:r w:rsidRPr="007214E1">
              <w:rPr>
                <w:rFonts w:ascii="Book Antiqua" w:hAnsi="Book Antiqua"/>
              </w:rPr>
              <w:t>September 26, 2012-</w:t>
            </w:r>
            <w:r w:rsidR="008D6BF4" w:rsidRPr="007214E1">
              <w:rPr>
                <w:rFonts w:ascii="Book Antiqua" w:hAnsi="Book Antiqua"/>
              </w:rPr>
              <w:t>April 29, 2022</w:t>
            </w:r>
          </w:p>
        </w:tc>
        <w:tc>
          <w:tcPr>
            <w:tcW w:w="1560" w:type="dxa"/>
          </w:tcPr>
          <w:p w14:paraId="6F7EB4CE"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1097</w:t>
            </w:r>
          </w:p>
        </w:tc>
        <w:tc>
          <w:tcPr>
            <w:tcW w:w="1842" w:type="dxa"/>
          </w:tcPr>
          <w:p w14:paraId="6AEB2F08"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rPr>
              <w:t>Safety and tolerability</w:t>
            </w:r>
          </w:p>
        </w:tc>
        <w:tc>
          <w:tcPr>
            <w:tcW w:w="1985" w:type="dxa"/>
          </w:tcPr>
          <w:p w14:paraId="2C1020FF" w14:textId="40E367A4" w:rsidR="008D6BF4" w:rsidRPr="007214E1" w:rsidRDefault="00D56E9E" w:rsidP="00EB43EE">
            <w:pPr>
              <w:snapToGrid w:val="0"/>
              <w:spacing w:line="360" w:lineRule="auto"/>
              <w:jc w:val="both"/>
              <w:rPr>
                <w:rFonts w:ascii="Book Antiqua" w:hAnsi="Book Antiqua"/>
              </w:rPr>
            </w:pPr>
            <w:r w:rsidRPr="007214E1">
              <w:rPr>
                <w:rFonts w:ascii="Book Antiqua" w:hAnsi="Book Antiqua"/>
              </w:rPr>
              <w:t>NCT01658878</w:t>
            </w:r>
            <w:r w:rsidRPr="007214E1">
              <w:rPr>
                <w:rFonts w:ascii="Book Antiqua" w:eastAsiaTheme="minorEastAsia" w:hAnsi="Book Antiqua"/>
                <w:lang w:eastAsia="zh-CN"/>
              </w:rPr>
              <w:t xml:space="preserve"> </w:t>
            </w:r>
            <w:r w:rsidR="004D3842" w:rsidRPr="007214E1">
              <w:rPr>
                <w:rFonts w:ascii="Book Antiqua" w:hAnsi="Book Antiqua"/>
              </w:rPr>
              <w:t>(</w:t>
            </w:r>
            <w:proofErr w:type="spellStart"/>
            <w:r w:rsidR="004D3842" w:rsidRPr="007214E1">
              <w:rPr>
                <w:rFonts w:ascii="Book Antiqua" w:hAnsi="Book Antiqua"/>
              </w:rPr>
              <w:t>CheckM</w:t>
            </w:r>
            <w:r w:rsidR="008D6BF4" w:rsidRPr="007214E1">
              <w:rPr>
                <w:rFonts w:ascii="Book Antiqua" w:hAnsi="Book Antiqua"/>
              </w:rPr>
              <w:t>ate</w:t>
            </w:r>
            <w:proofErr w:type="spellEnd"/>
            <w:r w:rsidR="008D6BF4" w:rsidRPr="007214E1">
              <w:rPr>
                <w:rFonts w:ascii="Book Antiqua" w:hAnsi="Book Antiqua"/>
              </w:rPr>
              <w:t xml:space="preserve"> 040)</w:t>
            </w:r>
          </w:p>
        </w:tc>
      </w:tr>
      <w:tr w:rsidR="00D56E9E" w:rsidRPr="007214E1" w14:paraId="7B68D7E6" w14:textId="77777777" w:rsidTr="001B265D">
        <w:trPr>
          <w:trHeight w:val="800"/>
        </w:trPr>
        <w:tc>
          <w:tcPr>
            <w:tcW w:w="1413" w:type="dxa"/>
          </w:tcPr>
          <w:p w14:paraId="6D24DA3A"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color w:val="000000"/>
              </w:rPr>
              <w:t>Atezolizumab</w:t>
            </w:r>
            <w:proofErr w:type="spellEnd"/>
            <w:r w:rsidRPr="007214E1">
              <w:rPr>
                <w:rFonts w:ascii="Book Antiqua" w:hAnsi="Book Antiqua"/>
                <w:color w:val="000000"/>
              </w:rPr>
              <w:t xml:space="preserve"> plus </w:t>
            </w:r>
            <w:proofErr w:type="spellStart"/>
            <w:r w:rsidRPr="007214E1">
              <w:rPr>
                <w:rFonts w:ascii="Book Antiqua" w:hAnsi="Book Antiqua"/>
                <w:color w:val="000000"/>
              </w:rPr>
              <w:t>cabozantinib</w:t>
            </w:r>
            <w:proofErr w:type="spellEnd"/>
          </w:p>
        </w:tc>
        <w:tc>
          <w:tcPr>
            <w:tcW w:w="1276" w:type="dxa"/>
          </w:tcPr>
          <w:p w14:paraId="39D4E573" w14:textId="37BAD08E"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color w:val="000000"/>
              </w:rPr>
              <w:t>Sorafenib</w:t>
            </w:r>
            <w:proofErr w:type="spellEnd"/>
            <w:r w:rsidRPr="007214E1">
              <w:rPr>
                <w:rFonts w:ascii="Book Antiqua" w:hAnsi="Book Antiqua"/>
                <w:color w:val="000000"/>
              </w:rPr>
              <w:t xml:space="preserve"> </w:t>
            </w:r>
            <w:proofErr w:type="spellStart"/>
            <w:r w:rsidRPr="007214E1">
              <w:rPr>
                <w:rFonts w:ascii="Book Antiqua" w:hAnsi="Book Antiqua"/>
                <w:i/>
                <w:color w:val="000000"/>
              </w:rPr>
              <w:t>vs</w:t>
            </w:r>
            <w:proofErr w:type="spellEnd"/>
            <w:r w:rsidRPr="007214E1">
              <w:rPr>
                <w:rFonts w:ascii="Book Antiqua" w:hAnsi="Book Antiqua"/>
                <w:i/>
                <w:color w:val="000000"/>
              </w:rPr>
              <w:t xml:space="preserve"> </w:t>
            </w:r>
            <w:proofErr w:type="spellStart"/>
            <w:r w:rsidR="001B265D" w:rsidRPr="007214E1">
              <w:rPr>
                <w:rFonts w:ascii="Book Antiqua" w:hAnsi="Book Antiqua"/>
                <w:color w:val="000000"/>
              </w:rPr>
              <w:t>cabozantinib</w:t>
            </w:r>
            <w:proofErr w:type="spellEnd"/>
          </w:p>
        </w:tc>
        <w:tc>
          <w:tcPr>
            <w:tcW w:w="1417" w:type="dxa"/>
          </w:tcPr>
          <w:p w14:paraId="3773396E"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First-line</w:t>
            </w:r>
          </w:p>
        </w:tc>
        <w:tc>
          <w:tcPr>
            <w:tcW w:w="1418" w:type="dxa"/>
          </w:tcPr>
          <w:p w14:paraId="5A6F03D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III</w:t>
            </w:r>
          </w:p>
        </w:tc>
        <w:tc>
          <w:tcPr>
            <w:tcW w:w="1842" w:type="dxa"/>
          </w:tcPr>
          <w:p w14:paraId="6FF2D82B" w14:textId="119C396A" w:rsidR="008D6BF4" w:rsidRPr="007214E1" w:rsidRDefault="001B265D" w:rsidP="00EB43EE">
            <w:pPr>
              <w:snapToGrid w:val="0"/>
              <w:spacing w:line="360" w:lineRule="auto"/>
              <w:jc w:val="both"/>
              <w:rPr>
                <w:rFonts w:ascii="Book Antiqua" w:hAnsi="Book Antiqua"/>
              </w:rPr>
            </w:pPr>
            <w:r w:rsidRPr="007214E1">
              <w:rPr>
                <w:rFonts w:ascii="Book Antiqua" w:hAnsi="Book Antiqua"/>
                <w:color w:val="000000"/>
              </w:rPr>
              <w:t>December 10, 2018-</w:t>
            </w:r>
            <w:r w:rsidR="008D6BF4" w:rsidRPr="007214E1">
              <w:rPr>
                <w:rFonts w:ascii="Book Antiqua" w:hAnsi="Book Antiqua"/>
                <w:color w:val="000000"/>
              </w:rPr>
              <w:t>December 1, 2021</w:t>
            </w:r>
          </w:p>
        </w:tc>
        <w:tc>
          <w:tcPr>
            <w:tcW w:w="1560" w:type="dxa"/>
          </w:tcPr>
          <w:p w14:paraId="525BE90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740</w:t>
            </w:r>
          </w:p>
        </w:tc>
        <w:tc>
          <w:tcPr>
            <w:tcW w:w="1842" w:type="dxa"/>
          </w:tcPr>
          <w:p w14:paraId="2B0676C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rPr>
              <w:t>Duration of PFS, duration of OS</w:t>
            </w:r>
          </w:p>
        </w:tc>
        <w:tc>
          <w:tcPr>
            <w:tcW w:w="1985" w:type="dxa"/>
          </w:tcPr>
          <w:p w14:paraId="3947327E" w14:textId="3B2A3784" w:rsidR="008D6BF4" w:rsidRPr="007214E1" w:rsidRDefault="001B265D" w:rsidP="00EB43EE">
            <w:pPr>
              <w:snapToGrid w:val="0"/>
              <w:spacing w:line="360" w:lineRule="auto"/>
              <w:jc w:val="both"/>
              <w:rPr>
                <w:rFonts w:ascii="Book Antiqua" w:hAnsi="Book Antiqua"/>
                <w:color w:val="000000"/>
              </w:rPr>
            </w:pPr>
            <w:r w:rsidRPr="007214E1">
              <w:rPr>
                <w:rFonts w:ascii="Book Antiqua" w:hAnsi="Book Antiqua"/>
                <w:color w:val="000000"/>
              </w:rPr>
              <w:t>NCT03755791</w:t>
            </w:r>
            <w:r w:rsidRPr="007214E1">
              <w:rPr>
                <w:rFonts w:ascii="Book Antiqua" w:eastAsiaTheme="minorEastAsia" w:hAnsi="Book Antiqua"/>
                <w:color w:val="000000"/>
                <w:lang w:eastAsia="zh-CN"/>
              </w:rPr>
              <w:t xml:space="preserve"> </w:t>
            </w:r>
            <w:r w:rsidR="008D6BF4" w:rsidRPr="007214E1">
              <w:rPr>
                <w:rFonts w:ascii="Book Antiqua" w:hAnsi="Book Antiqua"/>
              </w:rPr>
              <w:t>(COSMIC-312)</w:t>
            </w:r>
          </w:p>
        </w:tc>
      </w:tr>
      <w:tr w:rsidR="00D56E9E" w:rsidRPr="007214E1" w14:paraId="401014A4" w14:textId="77777777" w:rsidTr="001B265D">
        <w:tc>
          <w:tcPr>
            <w:tcW w:w="1413" w:type="dxa"/>
          </w:tcPr>
          <w:p w14:paraId="002F8161"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 xml:space="preserve">Nivolumab plus </w:t>
            </w:r>
            <w:r w:rsidRPr="007214E1">
              <w:rPr>
                <w:rFonts w:ascii="Book Antiqua" w:hAnsi="Book Antiqua"/>
                <w:color w:val="000000"/>
              </w:rPr>
              <w:lastRenderedPageBreak/>
              <w:t>regorafenib</w:t>
            </w:r>
          </w:p>
        </w:tc>
        <w:tc>
          <w:tcPr>
            <w:tcW w:w="1276" w:type="dxa"/>
          </w:tcPr>
          <w:p w14:paraId="39830C3A"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lastRenderedPageBreak/>
              <w:t>None</w:t>
            </w:r>
          </w:p>
        </w:tc>
        <w:tc>
          <w:tcPr>
            <w:tcW w:w="1417" w:type="dxa"/>
          </w:tcPr>
          <w:p w14:paraId="7378EA6E"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Second-line</w:t>
            </w:r>
          </w:p>
        </w:tc>
        <w:tc>
          <w:tcPr>
            <w:tcW w:w="1418" w:type="dxa"/>
          </w:tcPr>
          <w:p w14:paraId="00C672A1"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I/II</w:t>
            </w:r>
          </w:p>
        </w:tc>
        <w:tc>
          <w:tcPr>
            <w:tcW w:w="1842" w:type="dxa"/>
          </w:tcPr>
          <w:p w14:paraId="582836EB" w14:textId="2798B62E" w:rsidR="008D6BF4" w:rsidRPr="007214E1" w:rsidRDefault="001B265D" w:rsidP="00EB43EE">
            <w:pPr>
              <w:snapToGrid w:val="0"/>
              <w:spacing w:line="360" w:lineRule="auto"/>
              <w:jc w:val="both"/>
              <w:rPr>
                <w:rFonts w:ascii="Book Antiqua" w:hAnsi="Book Antiqua"/>
                <w:color w:val="000000"/>
              </w:rPr>
            </w:pPr>
            <w:r w:rsidRPr="007214E1">
              <w:rPr>
                <w:rFonts w:ascii="Book Antiqua" w:hAnsi="Book Antiqua"/>
                <w:color w:val="000000"/>
              </w:rPr>
              <w:t>March 16 2020-</w:t>
            </w:r>
            <w:r w:rsidR="008D6BF4" w:rsidRPr="007214E1">
              <w:rPr>
                <w:rFonts w:ascii="Book Antiqua" w:hAnsi="Book Antiqua"/>
                <w:color w:val="000000"/>
              </w:rPr>
              <w:t>December 2022</w:t>
            </w:r>
          </w:p>
        </w:tc>
        <w:tc>
          <w:tcPr>
            <w:tcW w:w="1560" w:type="dxa"/>
          </w:tcPr>
          <w:p w14:paraId="19CFCA90"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60</w:t>
            </w:r>
          </w:p>
        </w:tc>
        <w:tc>
          <w:tcPr>
            <w:tcW w:w="1842" w:type="dxa"/>
          </w:tcPr>
          <w:p w14:paraId="539AB88C"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 xml:space="preserve">Rate of adverse </w:t>
            </w:r>
            <w:r w:rsidRPr="007214E1">
              <w:rPr>
                <w:rFonts w:ascii="Book Antiqua" w:hAnsi="Book Antiqua"/>
                <w:color w:val="000000"/>
              </w:rPr>
              <w:lastRenderedPageBreak/>
              <w:t>events, rate of death</w:t>
            </w:r>
          </w:p>
        </w:tc>
        <w:tc>
          <w:tcPr>
            <w:tcW w:w="1985" w:type="dxa"/>
          </w:tcPr>
          <w:p w14:paraId="25837AF0" w14:textId="742ABABF" w:rsidR="008D6BF4" w:rsidRPr="007214E1" w:rsidRDefault="001B265D" w:rsidP="00EB43EE">
            <w:pPr>
              <w:snapToGrid w:val="0"/>
              <w:spacing w:line="360" w:lineRule="auto"/>
              <w:jc w:val="both"/>
              <w:rPr>
                <w:rFonts w:ascii="Book Antiqua" w:hAnsi="Book Antiqua"/>
                <w:color w:val="000000"/>
              </w:rPr>
            </w:pPr>
            <w:r w:rsidRPr="007214E1">
              <w:rPr>
                <w:rFonts w:ascii="Book Antiqua" w:hAnsi="Book Antiqua"/>
                <w:color w:val="000000"/>
              </w:rPr>
              <w:lastRenderedPageBreak/>
              <w:t>NCT04170556</w:t>
            </w:r>
            <w:r w:rsidRPr="007214E1">
              <w:rPr>
                <w:rFonts w:ascii="Book Antiqua" w:eastAsiaTheme="minorEastAsia" w:hAnsi="Book Antiqua"/>
                <w:color w:val="000000"/>
                <w:lang w:eastAsia="zh-CN"/>
              </w:rPr>
              <w:t xml:space="preserve"> </w:t>
            </w:r>
            <w:r w:rsidR="008D6BF4" w:rsidRPr="007214E1">
              <w:rPr>
                <w:rFonts w:ascii="Book Antiqua" w:hAnsi="Book Antiqua"/>
                <w:color w:val="000000"/>
              </w:rPr>
              <w:t>(GOING)</w:t>
            </w:r>
          </w:p>
        </w:tc>
      </w:tr>
      <w:tr w:rsidR="00D56E9E" w:rsidRPr="007214E1" w14:paraId="2BE57305" w14:textId="77777777" w:rsidTr="001B265D">
        <w:tc>
          <w:tcPr>
            <w:tcW w:w="1413" w:type="dxa"/>
          </w:tcPr>
          <w:p w14:paraId="43F4AE0C"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lastRenderedPageBreak/>
              <w:t>Nivolumab plus regorafenib</w:t>
            </w:r>
          </w:p>
        </w:tc>
        <w:tc>
          <w:tcPr>
            <w:tcW w:w="1276" w:type="dxa"/>
          </w:tcPr>
          <w:p w14:paraId="1CC5CD5D"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None</w:t>
            </w:r>
          </w:p>
        </w:tc>
        <w:tc>
          <w:tcPr>
            <w:tcW w:w="1417" w:type="dxa"/>
          </w:tcPr>
          <w:p w14:paraId="6B643BCE"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First-line</w:t>
            </w:r>
          </w:p>
        </w:tc>
        <w:tc>
          <w:tcPr>
            <w:tcW w:w="1418" w:type="dxa"/>
          </w:tcPr>
          <w:p w14:paraId="7F573190"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II</w:t>
            </w:r>
          </w:p>
        </w:tc>
        <w:tc>
          <w:tcPr>
            <w:tcW w:w="1842" w:type="dxa"/>
          </w:tcPr>
          <w:p w14:paraId="4F155886" w14:textId="340F6146" w:rsidR="008D6BF4" w:rsidRPr="007214E1" w:rsidRDefault="001B265D" w:rsidP="00EB43EE">
            <w:pPr>
              <w:snapToGrid w:val="0"/>
              <w:spacing w:line="360" w:lineRule="auto"/>
              <w:jc w:val="both"/>
              <w:rPr>
                <w:rFonts w:ascii="Book Antiqua" w:hAnsi="Book Antiqua"/>
                <w:color w:val="000000"/>
              </w:rPr>
            </w:pPr>
            <w:r w:rsidRPr="007214E1">
              <w:rPr>
                <w:rFonts w:ascii="Book Antiqua" w:hAnsi="Book Antiqua"/>
                <w:color w:val="000000"/>
              </w:rPr>
              <w:t>May 30, 2020-</w:t>
            </w:r>
            <w:r w:rsidR="008D6BF4" w:rsidRPr="007214E1">
              <w:rPr>
                <w:rFonts w:ascii="Book Antiqua" w:hAnsi="Book Antiqua"/>
                <w:color w:val="000000"/>
              </w:rPr>
              <w:t>May 30, 2023</w:t>
            </w:r>
          </w:p>
        </w:tc>
        <w:tc>
          <w:tcPr>
            <w:tcW w:w="1560" w:type="dxa"/>
          </w:tcPr>
          <w:p w14:paraId="00F1E639"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42</w:t>
            </w:r>
          </w:p>
        </w:tc>
        <w:tc>
          <w:tcPr>
            <w:tcW w:w="1842" w:type="dxa"/>
          </w:tcPr>
          <w:p w14:paraId="5B19CE81" w14:textId="77777777" w:rsidR="008D6BF4" w:rsidRPr="007214E1" w:rsidRDefault="008D6BF4" w:rsidP="00EB43EE">
            <w:pPr>
              <w:snapToGrid w:val="0"/>
              <w:spacing w:line="360" w:lineRule="auto"/>
              <w:jc w:val="both"/>
              <w:rPr>
                <w:rFonts w:ascii="Book Antiqua" w:hAnsi="Book Antiqua"/>
                <w:color w:val="000000"/>
              </w:rPr>
            </w:pPr>
            <w:r w:rsidRPr="007214E1">
              <w:rPr>
                <w:rFonts w:ascii="Book Antiqua" w:hAnsi="Book Antiqua"/>
                <w:color w:val="000000"/>
              </w:rPr>
              <w:t>Response rate</w:t>
            </w:r>
          </w:p>
        </w:tc>
        <w:tc>
          <w:tcPr>
            <w:tcW w:w="1985" w:type="dxa"/>
          </w:tcPr>
          <w:p w14:paraId="056C6EDB" w14:textId="2A2DE879" w:rsidR="008D6BF4" w:rsidRPr="007214E1" w:rsidRDefault="001B265D" w:rsidP="00EB43EE">
            <w:pPr>
              <w:snapToGrid w:val="0"/>
              <w:spacing w:line="360" w:lineRule="auto"/>
              <w:jc w:val="both"/>
              <w:rPr>
                <w:rFonts w:ascii="Book Antiqua" w:hAnsi="Book Antiqua"/>
                <w:color w:val="000000"/>
              </w:rPr>
            </w:pPr>
            <w:r w:rsidRPr="007214E1">
              <w:rPr>
                <w:rFonts w:ascii="Book Antiqua" w:hAnsi="Book Antiqua"/>
                <w:color w:val="000000"/>
              </w:rPr>
              <w:t>NCT04310709</w:t>
            </w:r>
            <w:r w:rsidRPr="007214E1">
              <w:rPr>
                <w:rFonts w:ascii="Book Antiqua" w:eastAsiaTheme="minorEastAsia" w:hAnsi="Book Antiqua"/>
                <w:color w:val="000000"/>
                <w:lang w:eastAsia="zh-CN"/>
              </w:rPr>
              <w:t xml:space="preserve"> </w:t>
            </w:r>
            <w:r w:rsidR="008D6BF4" w:rsidRPr="007214E1">
              <w:rPr>
                <w:rFonts w:ascii="Book Antiqua" w:hAnsi="Book Antiqua"/>
                <w:color w:val="000000"/>
              </w:rPr>
              <w:t>(RENOBATE)</w:t>
            </w:r>
          </w:p>
        </w:tc>
      </w:tr>
    </w:tbl>
    <w:p w14:paraId="1C7A47C8" w14:textId="6A3BD644" w:rsidR="008D6BF4" w:rsidRPr="007214E1" w:rsidRDefault="001B265D" w:rsidP="00EB43EE">
      <w:pPr>
        <w:snapToGrid w:val="0"/>
        <w:spacing w:line="360" w:lineRule="auto"/>
        <w:jc w:val="both"/>
        <w:rPr>
          <w:rFonts w:ascii="Book Antiqua" w:hAnsi="Book Antiqua"/>
          <w:color w:val="000000"/>
        </w:rPr>
      </w:pPr>
      <w:r w:rsidRPr="007214E1">
        <w:rPr>
          <w:rFonts w:ascii="Book Antiqua" w:hAnsi="Book Antiqua"/>
          <w:color w:val="000000"/>
        </w:rPr>
        <w:t>MTD: Maximum tolerated dose; ORR: Overall response rate;</w:t>
      </w:r>
      <w:r w:rsidR="008D6BF4" w:rsidRPr="007214E1">
        <w:rPr>
          <w:rFonts w:ascii="Book Antiqua" w:hAnsi="Book Antiqua"/>
          <w:color w:val="000000"/>
        </w:rPr>
        <w:t xml:space="preserve"> </w:t>
      </w:r>
      <w:r w:rsidRPr="007214E1">
        <w:rPr>
          <w:rFonts w:ascii="Book Antiqua" w:hAnsi="Book Antiqua"/>
          <w:color w:val="000000"/>
        </w:rPr>
        <w:t>PFS: Progression-free survival; OS: Overall survival.</w:t>
      </w:r>
    </w:p>
    <w:p w14:paraId="79D8ADFD" w14:textId="77777777" w:rsidR="00A859B6" w:rsidRPr="007214E1" w:rsidRDefault="00A859B6" w:rsidP="00EB43EE">
      <w:pPr>
        <w:snapToGrid w:val="0"/>
        <w:spacing w:line="360" w:lineRule="auto"/>
        <w:jc w:val="both"/>
        <w:rPr>
          <w:rFonts w:ascii="Book Antiqua" w:hAnsi="Book Antiqua"/>
          <w:b/>
        </w:rPr>
      </w:pPr>
      <w:r w:rsidRPr="007214E1">
        <w:rPr>
          <w:rFonts w:ascii="Book Antiqua" w:hAnsi="Book Antiqua"/>
          <w:b/>
        </w:rPr>
        <w:br w:type="page"/>
      </w:r>
    </w:p>
    <w:p w14:paraId="0F340B9A" w14:textId="316C7A5C" w:rsidR="008D6BF4" w:rsidRPr="007214E1" w:rsidRDefault="00D56E9E" w:rsidP="00EB43EE">
      <w:pPr>
        <w:snapToGrid w:val="0"/>
        <w:spacing w:line="360" w:lineRule="auto"/>
        <w:jc w:val="both"/>
        <w:rPr>
          <w:rFonts w:ascii="Book Antiqua" w:hAnsi="Book Antiqua"/>
          <w:b/>
          <w:color w:val="000000"/>
        </w:rPr>
      </w:pPr>
      <w:r w:rsidRPr="007214E1">
        <w:rPr>
          <w:rFonts w:ascii="Book Antiqua" w:hAnsi="Book Antiqua"/>
          <w:b/>
        </w:rPr>
        <w:lastRenderedPageBreak/>
        <w:t>Table 6</w:t>
      </w:r>
      <w:r w:rsidR="008D6BF4" w:rsidRPr="007214E1">
        <w:rPr>
          <w:rFonts w:ascii="Book Antiqua" w:hAnsi="Book Antiqua"/>
          <w:b/>
        </w:rPr>
        <w:t xml:space="preserve"> Summary of </w:t>
      </w:r>
      <w:r w:rsidR="001B265D" w:rsidRPr="007214E1">
        <w:rPr>
          <w:rFonts w:ascii="Book Antiqua" w:hAnsi="Book Antiqua"/>
          <w:b/>
        </w:rPr>
        <w:t>active clinical trials evaluating combination therapy</w:t>
      </w:r>
      <w:r w:rsidR="001B265D" w:rsidRPr="007214E1">
        <w:rPr>
          <w:rFonts w:ascii="Book Antiqua" w:hAnsi="Book Antiqua"/>
          <w:b/>
          <w:color w:val="000000"/>
        </w:rPr>
        <w:t xml:space="preserve"> of checkpoint inhibitors plus ablation, </w:t>
      </w:r>
      <w:r w:rsidR="001B265D" w:rsidRPr="007214E1">
        <w:rPr>
          <w:rFonts w:ascii="Book Antiqua" w:hAnsi="Book Antiqua"/>
          <w:b/>
        </w:rPr>
        <w:t>trans-arterial chemoembolization</w:t>
      </w:r>
      <w:r w:rsidR="00A859B6" w:rsidRPr="007214E1">
        <w:rPr>
          <w:rFonts w:ascii="Book Antiqua" w:hAnsi="Book Antiqua"/>
          <w:b/>
          <w:color w:val="000000"/>
        </w:rPr>
        <w:t xml:space="preserve">, or </w:t>
      </w:r>
      <w:r w:rsidR="001B265D" w:rsidRPr="007214E1">
        <w:rPr>
          <w:rFonts w:ascii="Book Antiqua" w:hAnsi="Book Antiqua"/>
          <w:b/>
          <w:color w:val="000000"/>
        </w:rPr>
        <w:t>radiation</w:t>
      </w:r>
    </w:p>
    <w:tbl>
      <w:tblPr>
        <w:tblStyle w:val="ad"/>
        <w:tblW w:w="83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97"/>
        <w:gridCol w:w="1336"/>
        <w:gridCol w:w="856"/>
        <w:gridCol w:w="1352"/>
        <w:gridCol w:w="1430"/>
        <w:gridCol w:w="1323"/>
        <w:gridCol w:w="1748"/>
      </w:tblGrid>
      <w:tr w:rsidR="009301A8" w:rsidRPr="007214E1" w14:paraId="5C78CBEA" w14:textId="77777777" w:rsidTr="009301A8">
        <w:trPr>
          <w:trHeight w:val="519"/>
        </w:trPr>
        <w:tc>
          <w:tcPr>
            <w:tcW w:w="1383" w:type="dxa"/>
            <w:tcBorders>
              <w:top w:val="single" w:sz="4" w:space="0" w:color="auto"/>
              <w:bottom w:val="single" w:sz="4" w:space="0" w:color="auto"/>
            </w:tcBorders>
          </w:tcPr>
          <w:p w14:paraId="5AADC55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Therapy</w:t>
            </w:r>
          </w:p>
        </w:tc>
        <w:tc>
          <w:tcPr>
            <w:tcW w:w="1250" w:type="dxa"/>
            <w:tcBorders>
              <w:top w:val="single" w:sz="4" w:space="0" w:color="auto"/>
              <w:bottom w:val="single" w:sz="4" w:space="0" w:color="auto"/>
            </w:tcBorders>
          </w:tcPr>
          <w:p w14:paraId="5779B0B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Comparator</w:t>
            </w:r>
          </w:p>
        </w:tc>
        <w:tc>
          <w:tcPr>
            <w:tcW w:w="1042" w:type="dxa"/>
            <w:tcBorders>
              <w:top w:val="single" w:sz="4" w:space="0" w:color="auto"/>
              <w:bottom w:val="single" w:sz="4" w:space="0" w:color="auto"/>
            </w:tcBorders>
          </w:tcPr>
          <w:p w14:paraId="727D4933" w14:textId="6EA4AADD"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Therapy </w:t>
            </w:r>
            <w:r w:rsidR="001B265D" w:rsidRPr="007214E1">
              <w:rPr>
                <w:rFonts w:ascii="Book Antiqua" w:hAnsi="Book Antiqua"/>
                <w:b/>
              </w:rPr>
              <w:t>indication</w:t>
            </w:r>
          </w:p>
        </w:tc>
        <w:tc>
          <w:tcPr>
            <w:tcW w:w="591" w:type="dxa"/>
            <w:tcBorders>
              <w:top w:val="single" w:sz="4" w:space="0" w:color="auto"/>
              <w:bottom w:val="single" w:sz="4" w:space="0" w:color="auto"/>
            </w:tcBorders>
          </w:tcPr>
          <w:p w14:paraId="4B6E18D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Phase</w:t>
            </w:r>
          </w:p>
        </w:tc>
        <w:tc>
          <w:tcPr>
            <w:tcW w:w="883" w:type="dxa"/>
            <w:tcBorders>
              <w:top w:val="single" w:sz="4" w:space="0" w:color="auto"/>
              <w:bottom w:val="single" w:sz="4" w:space="0" w:color="auto"/>
            </w:tcBorders>
          </w:tcPr>
          <w:p w14:paraId="59BCF9DA" w14:textId="2D3ADB7B"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Estimated </w:t>
            </w:r>
            <w:r w:rsidR="001B265D" w:rsidRPr="007214E1">
              <w:rPr>
                <w:rFonts w:ascii="Book Antiqua" w:hAnsi="Book Antiqua"/>
                <w:b/>
              </w:rPr>
              <w:t>study duration</w:t>
            </w:r>
          </w:p>
        </w:tc>
        <w:tc>
          <w:tcPr>
            <w:tcW w:w="950" w:type="dxa"/>
            <w:tcBorders>
              <w:top w:val="single" w:sz="4" w:space="0" w:color="auto"/>
              <w:bottom w:val="single" w:sz="4" w:space="0" w:color="auto"/>
            </w:tcBorders>
          </w:tcPr>
          <w:p w14:paraId="41CA0E0A" w14:textId="7E3DCB87"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Estimated </w:t>
            </w:r>
            <w:r w:rsidR="001B265D" w:rsidRPr="007214E1">
              <w:rPr>
                <w:rFonts w:ascii="Book Antiqua" w:hAnsi="Book Antiqua"/>
                <w:b/>
              </w:rPr>
              <w:t xml:space="preserve">patient </w:t>
            </w:r>
            <w:r w:rsidR="009301A8" w:rsidRPr="007214E1">
              <w:rPr>
                <w:rFonts w:ascii="Book Antiqua" w:hAnsi="Book Antiqua"/>
                <w:b/>
              </w:rPr>
              <w:t>enrollment</w:t>
            </w:r>
          </w:p>
        </w:tc>
        <w:tc>
          <w:tcPr>
            <w:tcW w:w="958" w:type="dxa"/>
            <w:tcBorders>
              <w:top w:val="single" w:sz="4" w:space="0" w:color="auto"/>
              <w:bottom w:val="single" w:sz="4" w:space="0" w:color="auto"/>
            </w:tcBorders>
          </w:tcPr>
          <w:p w14:paraId="7F897A68" w14:textId="6ECD63E6"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Primary </w:t>
            </w:r>
            <w:r w:rsidR="001B265D" w:rsidRPr="007214E1">
              <w:rPr>
                <w:rFonts w:ascii="Book Antiqua" w:hAnsi="Book Antiqua"/>
                <w:b/>
              </w:rPr>
              <w:t>endpoints</w:t>
            </w:r>
          </w:p>
        </w:tc>
        <w:tc>
          <w:tcPr>
            <w:tcW w:w="1308" w:type="dxa"/>
            <w:tcBorders>
              <w:top w:val="single" w:sz="4" w:space="0" w:color="auto"/>
              <w:bottom w:val="single" w:sz="4" w:space="0" w:color="auto"/>
            </w:tcBorders>
          </w:tcPr>
          <w:p w14:paraId="5829F3BF" w14:textId="52D9A9D3" w:rsidR="008D6BF4" w:rsidRPr="007214E1" w:rsidRDefault="008D6BF4" w:rsidP="00EB43EE">
            <w:pPr>
              <w:snapToGrid w:val="0"/>
              <w:spacing w:line="360" w:lineRule="auto"/>
              <w:jc w:val="both"/>
              <w:rPr>
                <w:rFonts w:ascii="Book Antiqua" w:hAnsi="Book Antiqua"/>
              </w:rPr>
            </w:pPr>
            <w:r w:rsidRPr="007214E1">
              <w:rPr>
                <w:rFonts w:ascii="Book Antiqua" w:hAnsi="Book Antiqua"/>
                <w:b/>
              </w:rPr>
              <w:t xml:space="preserve">Trial </w:t>
            </w:r>
            <w:r w:rsidR="001B265D" w:rsidRPr="007214E1">
              <w:rPr>
                <w:rFonts w:ascii="Book Antiqua" w:hAnsi="Book Antiqua"/>
                <w:b/>
              </w:rPr>
              <w:t>identifier</w:t>
            </w:r>
          </w:p>
        </w:tc>
      </w:tr>
      <w:tr w:rsidR="009301A8" w:rsidRPr="007214E1" w14:paraId="645B6D95" w14:textId="77777777" w:rsidTr="009301A8">
        <w:trPr>
          <w:trHeight w:val="746"/>
        </w:trPr>
        <w:tc>
          <w:tcPr>
            <w:tcW w:w="1383" w:type="dxa"/>
            <w:tcBorders>
              <w:top w:val="single" w:sz="4" w:space="0" w:color="auto"/>
            </w:tcBorders>
          </w:tcPr>
          <w:p w14:paraId="2133AE9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Pembrolizumab plus RFA or MWA</w:t>
            </w:r>
          </w:p>
        </w:tc>
        <w:tc>
          <w:tcPr>
            <w:tcW w:w="1250" w:type="dxa"/>
            <w:tcBorders>
              <w:top w:val="single" w:sz="4" w:space="0" w:color="auto"/>
            </w:tcBorders>
          </w:tcPr>
          <w:p w14:paraId="56BCD35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None </w:t>
            </w:r>
          </w:p>
        </w:tc>
        <w:tc>
          <w:tcPr>
            <w:tcW w:w="1042" w:type="dxa"/>
            <w:tcBorders>
              <w:top w:val="single" w:sz="4" w:space="0" w:color="auto"/>
            </w:tcBorders>
          </w:tcPr>
          <w:p w14:paraId="25052C5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First-line</w:t>
            </w:r>
          </w:p>
        </w:tc>
        <w:tc>
          <w:tcPr>
            <w:tcW w:w="591" w:type="dxa"/>
            <w:tcBorders>
              <w:top w:val="single" w:sz="4" w:space="0" w:color="auto"/>
            </w:tcBorders>
          </w:tcPr>
          <w:p w14:paraId="5283D19D"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883" w:type="dxa"/>
            <w:tcBorders>
              <w:top w:val="single" w:sz="4" w:space="0" w:color="auto"/>
            </w:tcBorders>
          </w:tcPr>
          <w:p w14:paraId="260D481B" w14:textId="6EC95E49" w:rsidR="008D6BF4" w:rsidRPr="007214E1" w:rsidRDefault="001B265D" w:rsidP="00EB43EE">
            <w:pPr>
              <w:snapToGrid w:val="0"/>
              <w:spacing w:line="360" w:lineRule="auto"/>
              <w:jc w:val="both"/>
              <w:rPr>
                <w:rFonts w:ascii="Book Antiqua" w:hAnsi="Book Antiqua"/>
              </w:rPr>
            </w:pPr>
            <w:r w:rsidRPr="007214E1">
              <w:rPr>
                <w:rFonts w:ascii="Book Antiqua" w:hAnsi="Book Antiqua"/>
              </w:rPr>
              <w:t>May 9, 2019-</w:t>
            </w:r>
            <w:r w:rsidR="008D6BF4" w:rsidRPr="007214E1">
              <w:rPr>
                <w:rFonts w:ascii="Book Antiqua" w:hAnsi="Book Antiqua"/>
              </w:rPr>
              <w:t>September 2022</w:t>
            </w:r>
          </w:p>
        </w:tc>
        <w:tc>
          <w:tcPr>
            <w:tcW w:w="950" w:type="dxa"/>
            <w:tcBorders>
              <w:top w:val="single" w:sz="4" w:space="0" w:color="auto"/>
            </w:tcBorders>
          </w:tcPr>
          <w:p w14:paraId="6694060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30</w:t>
            </w:r>
          </w:p>
        </w:tc>
        <w:tc>
          <w:tcPr>
            <w:tcW w:w="958" w:type="dxa"/>
            <w:tcBorders>
              <w:top w:val="single" w:sz="4" w:space="0" w:color="auto"/>
            </w:tcBorders>
          </w:tcPr>
          <w:p w14:paraId="57B7382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ORR</w:t>
            </w:r>
          </w:p>
        </w:tc>
        <w:tc>
          <w:tcPr>
            <w:tcW w:w="1308" w:type="dxa"/>
            <w:tcBorders>
              <w:top w:val="single" w:sz="4" w:space="0" w:color="auto"/>
            </w:tcBorders>
          </w:tcPr>
          <w:p w14:paraId="39253B29" w14:textId="690444FB" w:rsidR="008D6BF4" w:rsidRPr="007214E1" w:rsidRDefault="001B265D" w:rsidP="00EB43EE">
            <w:pPr>
              <w:snapToGrid w:val="0"/>
              <w:spacing w:line="360" w:lineRule="auto"/>
              <w:jc w:val="both"/>
              <w:rPr>
                <w:rFonts w:ascii="Book Antiqua" w:hAnsi="Book Antiqua"/>
                <w:color w:val="000000"/>
                <w:shd w:val="clear" w:color="auto" w:fill="FFFFFF"/>
              </w:rPr>
            </w:pPr>
            <w:r w:rsidRPr="007214E1">
              <w:rPr>
                <w:rFonts w:ascii="Book Antiqua" w:hAnsi="Book Antiqua"/>
                <w:color w:val="000000"/>
                <w:shd w:val="clear" w:color="auto" w:fill="FFFFFF"/>
              </w:rPr>
              <w:t>NCT03753659</w:t>
            </w:r>
            <w:r w:rsidRPr="007214E1">
              <w:rPr>
                <w:rFonts w:ascii="Book Antiqua" w:eastAsiaTheme="minorEastAsia" w:hAnsi="Book Antiqua"/>
                <w:color w:val="000000"/>
                <w:shd w:val="clear" w:color="auto" w:fill="FFFFFF"/>
                <w:lang w:eastAsia="zh-CN"/>
              </w:rPr>
              <w:t xml:space="preserve"> </w:t>
            </w:r>
            <w:r w:rsidR="008D6BF4" w:rsidRPr="007214E1">
              <w:rPr>
                <w:rFonts w:ascii="Book Antiqua" w:hAnsi="Book Antiqua"/>
                <w:color w:val="000000"/>
                <w:shd w:val="clear" w:color="auto" w:fill="FFFFFF"/>
              </w:rPr>
              <w:t>(IMMULAB)</w:t>
            </w:r>
          </w:p>
        </w:tc>
      </w:tr>
      <w:tr w:rsidR="009301A8" w:rsidRPr="007214E1" w14:paraId="4BB732E6" w14:textId="77777777" w:rsidTr="009301A8">
        <w:trPr>
          <w:trHeight w:val="746"/>
        </w:trPr>
        <w:tc>
          <w:tcPr>
            <w:tcW w:w="1383" w:type="dxa"/>
          </w:tcPr>
          <w:p w14:paraId="2287D73B"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plus RFA</w:t>
            </w:r>
          </w:p>
        </w:tc>
        <w:tc>
          <w:tcPr>
            <w:tcW w:w="1250" w:type="dxa"/>
          </w:tcPr>
          <w:p w14:paraId="5058ADB4" w14:textId="46BCEA72"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tremelimuumab</w:t>
            </w:r>
            <w:proofErr w:type="spellEnd"/>
            <w:r w:rsidRPr="007214E1">
              <w:rPr>
                <w:rFonts w:ascii="Book Antiqua" w:hAnsi="Book Antiqua"/>
              </w:rPr>
              <w:t xml:space="preserve">,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plus TACE, or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w:t>
            </w:r>
            <w:r w:rsidR="001B265D" w:rsidRPr="007214E1">
              <w:rPr>
                <w:rFonts w:ascii="Book Antiqua" w:hAnsi="Book Antiqua"/>
              </w:rPr>
              <w:t xml:space="preserve">plus </w:t>
            </w:r>
            <w:proofErr w:type="spellStart"/>
            <w:r w:rsidR="001B265D" w:rsidRPr="007214E1">
              <w:rPr>
                <w:rFonts w:ascii="Book Antiqua" w:hAnsi="Book Antiqua"/>
              </w:rPr>
              <w:t>cryoablation</w:t>
            </w:r>
            <w:proofErr w:type="spellEnd"/>
          </w:p>
        </w:tc>
        <w:tc>
          <w:tcPr>
            <w:tcW w:w="1042" w:type="dxa"/>
          </w:tcPr>
          <w:p w14:paraId="750C9FDD"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591" w:type="dxa"/>
          </w:tcPr>
          <w:p w14:paraId="005DDA73"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883" w:type="dxa"/>
          </w:tcPr>
          <w:p w14:paraId="2B92165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July 5, 2016, December 31, 2021</w:t>
            </w:r>
          </w:p>
        </w:tc>
        <w:tc>
          <w:tcPr>
            <w:tcW w:w="950" w:type="dxa"/>
          </w:tcPr>
          <w:p w14:paraId="1E6EDF2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90</w:t>
            </w:r>
          </w:p>
        </w:tc>
        <w:tc>
          <w:tcPr>
            <w:tcW w:w="958" w:type="dxa"/>
          </w:tcPr>
          <w:p w14:paraId="1E745043"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PFS</w:t>
            </w:r>
          </w:p>
        </w:tc>
        <w:tc>
          <w:tcPr>
            <w:tcW w:w="1308" w:type="dxa"/>
          </w:tcPr>
          <w:p w14:paraId="6F37D36F" w14:textId="77777777" w:rsidR="008D6BF4" w:rsidRPr="007214E1" w:rsidRDefault="008D6BF4" w:rsidP="00EB43EE">
            <w:pPr>
              <w:snapToGrid w:val="0"/>
              <w:spacing w:line="360" w:lineRule="auto"/>
              <w:jc w:val="both"/>
              <w:rPr>
                <w:rFonts w:ascii="Book Antiqua" w:hAnsi="Book Antiqua"/>
                <w:color w:val="000000"/>
                <w:shd w:val="clear" w:color="auto" w:fill="FFFFFF"/>
              </w:rPr>
            </w:pPr>
            <w:r w:rsidRPr="007214E1">
              <w:rPr>
                <w:rFonts w:ascii="Book Antiqua" w:hAnsi="Book Antiqua"/>
                <w:color w:val="000000"/>
                <w:shd w:val="clear" w:color="auto" w:fill="FFFFFF"/>
              </w:rPr>
              <w:t>NCT02821754</w:t>
            </w:r>
          </w:p>
        </w:tc>
      </w:tr>
      <w:tr w:rsidR="009301A8" w:rsidRPr="007214E1" w14:paraId="19020B96" w14:textId="77777777" w:rsidTr="009301A8">
        <w:trPr>
          <w:trHeight w:val="746"/>
        </w:trPr>
        <w:tc>
          <w:tcPr>
            <w:tcW w:w="1383" w:type="dxa"/>
          </w:tcPr>
          <w:p w14:paraId="4E2878D8"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Nivolumab plus TACE</w:t>
            </w:r>
          </w:p>
        </w:tc>
        <w:tc>
          <w:tcPr>
            <w:tcW w:w="1250" w:type="dxa"/>
          </w:tcPr>
          <w:p w14:paraId="01B0E7C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042" w:type="dxa"/>
          </w:tcPr>
          <w:p w14:paraId="7AB7EFE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First-line</w:t>
            </w:r>
          </w:p>
        </w:tc>
        <w:tc>
          <w:tcPr>
            <w:tcW w:w="591" w:type="dxa"/>
          </w:tcPr>
          <w:p w14:paraId="7D7AE5AD"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883" w:type="dxa"/>
          </w:tcPr>
          <w:p w14:paraId="6ECA2BAF" w14:textId="141D9FD1" w:rsidR="008D6BF4" w:rsidRPr="007214E1" w:rsidRDefault="001B265D" w:rsidP="00EB43EE">
            <w:pPr>
              <w:snapToGrid w:val="0"/>
              <w:spacing w:line="360" w:lineRule="auto"/>
              <w:jc w:val="both"/>
              <w:rPr>
                <w:rFonts w:ascii="Book Antiqua" w:hAnsi="Book Antiqua"/>
              </w:rPr>
            </w:pPr>
            <w:r w:rsidRPr="007214E1">
              <w:rPr>
                <w:rFonts w:ascii="Book Antiqua" w:hAnsi="Book Antiqua"/>
              </w:rPr>
              <w:t>June 14, 2018-</w:t>
            </w:r>
            <w:r w:rsidR="008D6BF4" w:rsidRPr="007214E1">
              <w:rPr>
                <w:rFonts w:ascii="Book Antiqua" w:hAnsi="Book Antiqua"/>
              </w:rPr>
              <w:t>September 2022</w:t>
            </w:r>
          </w:p>
        </w:tc>
        <w:tc>
          <w:tcPr>
            <w:tcW w:w="950" w:type="dxa"/>
          </w:tcPr>
          <w:p w14:paraId="5CFAD2E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49</w:t>
            </w:r>
          </w:p>
        </w:tc>
        <w:tc>
          <w:tcPr>
            <w:tcW w:w="958" w:type="dxa"/>
          </w:tcPr>
          <w:p w14:paraId="1D7AE62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ORR</w:t>
            </w:r>
          </w:p>
        </w:tc>
        <w:tc>
          <w:tcPr>
            <w:tcW w:w="1308" w:type="dxa"/>
          </w:tcPr>
          <w:p w14:paraId="0D79E991" w14:textId="0B4C97D6" w:rsidR="008D6BF4" w:rsidRPr="007214E1" w:rsidRDefault="001B265D" w:rsidP="00EB43EE">
            <w:pPr>
              <w:snapToGrid w:val="0"/>
              <w:spacing w:line="360" w:lineRule="auto"/>
              <w:jc w:val="both"/>
              <w:rPr>
                <w:rFonts w:ascii="Book Antiqua" w:hAnsi="Book Antiqua"/>
              </w:rPr>
            </w:pPr>
            <w:r w:rsidRPr="007214E1">
              <w:rPr>
                <w:rFonts w:ascii="Book Antiqua" w:hAnsi="Book Antiqua"/>
              </w:rPr>
              <w:t>NCT03572582</w:t>
            </w:r>
            <w:r w:rsidRPr="007214E1">
              <w:rPr>
                <w:rFonts w:ascii="Book Antiqua" w:eastAsiaTheme="minorEastAsia" w:hAnsi="Book Antiqua"/>
                <w:lang w:eastAsia="zh-CN"/>
              </w:rPr>
              <w:t xml:space="preserve"> </w:t>
            </w:r>
            <w:r w:rsidR="008D6BF4" w:rsidRPr="007214E1">
              <w:rPr>
                <w:rFonts w:ascii="Book Antiqua" w:hAnsi="Book Antiqua"/>
              </w:rPr>
              <w:t>(IMMUTACE)</w:t>
            </w:r>
          </w:p>
        </w:tc>
      </w:tr>
      <w:tr w:rsidR="009301A8" w:rsidRPr="007214E1" w14:paraId="5F910D36" w14:textId="77777777" w:rsidTr="009301A8">
        <w:trPr>
          <w:trHeight w:val="746"/>
        </w:trPr>
        <w:tc>
          <w:tcPr>
            <w:tcW w:w="1383" w:type="dxa"/>
          </w:tcPr>
          <w:p w14:paraId="7E833DE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Pembrolizumab plus TACE</w:t>
            </w:r>
          </w:p>
        </w:tc>
        <w:tc>
          <w:tcPr>
            <w:tcW w:w="1250" w:type="dxa"/>
          </w:tcPr>
          <w:p w14:paraId="0BEA9A8B"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042" w:type="dxa"/>
          </w:tcPr>
          <w:p w14:paraId="42376EE2"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First-line</w:t>
            </w:r>
          </w:p>
        </w:tc>
        <w:tc>
          <w:tcPr>
            <w:tcW w:w="591" w:type="dxa"/>
          </w:tcPr>
          <w:p w14:paraId="63A5AA4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883" w:type="dxa"/>
          </w:tcPr>
          <w:p w14:paraId="6581EE8F" w14:textId="13A757E6" w:rsidR="008D6BF4" w:rsidRPr="007214E1" w:rsidRDefault="001B265D" w:rsidP="00EB43EE">
            <w:pPr>
              <w:snapToGrid w:val="0"/>
              <w:spacing w:line="360" w:lineRule="auto"/>
              <w:jc w:val="both"/>
              <w:rPr>
                <w:rFonts w:ascii="Book Antiqua" w:hAnsi="Book Antiqua"/>
              </w:rPr>
            </w:pPr>
            <w:r w:rsidRPr="007214E1">
              <w:rPr>
                <w:rFonts w:ascii="Book Antiqua" w:hAnsi="Book Antiqua"/>
              </w:rPr>
              <w:t>January 28, 2018-</w:t>
            </w:r>
            <w:r w:rsidR="008D6BF4" w:rsidRPr="007214E1">
              <w:rPr>
                <w:rFonts w:ascii="Book Antiqua" w:hAnsi="Book Antiqua"/>
              </w:rPr>
              <w:t>December 31, 2020</w:t>
            </w:r>
          </w:p>
        </w:tc>
        <w:tc>
          <w:tcPr>
            <w:tcW w:w="950" w:type="dxa"/>
          </w:tcPr>
          <w:p w14:paraId="44A9C77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26</w:t>
            </w:r>
          </w:p>
        </w:tc>
        <w:tc>
          <w:tcPr>
            <w:tcW w:w="958" w:type="dxa"/>
          </w:tcPr>
          <w:p w14:paraId="40558F5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Incidence of adverse events</w:t>
            </w:r>
          </w:p>
        </w:tc>
        <w:tc>
          <w:tcPr>
            <w:tcW w:w="1308" w:type="dxa"/>
          </w:tcPr>
          <w:p w14:paraId="58B62AB3" w14:textId="3231A1A8" w:rsidR="008D6BF4" w:rsidRPr="007214E1" w:rsidRDefault="001B265D" w:rsidP="00EB43EE">
            <w:pPr>
              <w:snapToGrid w:val="0"/>
              <w:spacing w:line="360" w:lineRule="auto"/>
              <w:jc w:val="both"/>
              <w:rPr>
                <w:rFonts w:ascii="Book Antiqua" w:hAnsi="Book Antiqua"/>
              </w:rPr>
            </w:pPr>
            <w:r w:rsidRPr="007214E1">
              <w:rPr>
                <w:rFonts w:ascii="Book Antiqua" w:hAnsi="Book Antiqua"/>
              </w:rPr>
              <w:t>NCT03397654</w:t>
            </w:r>
            <w:r w:rsidRPr="007214E1">
              <w:rPr>
                <w:rFonts w:ascii="Book Antiqua" w:eastAsiaTheme="minorEastAsia" w:hAnsi="Book Antiqua"/>
                <w:lang w:eastAsia="zh-CN"/>
              </w:rPr>
              <w:t xml:space="preserve"> </w:t>
            </w:r>
            <w:r w:rsidR="008D6BF4" w:rsidRPr="007214E1">
              <w:rPr>
                <w:rFonts w:ascii="Book Antiqua" w:hAnsi="Book Antiqua"/>
              </w:rPr>
              <w:t>(PETAL)</w:t>
            </w:r>
          </w:p>
        </w:tc>
      </w:tr>
      <w:tr w:rsidR="009301A8" w:rsidRPr="007214E1" w14:paraId="787E237C" w14:textId="77777777" w:rsidTr="009301A8">
        <w:trPr>
          <w:trHeight w:val="746"/>
        </w:trPr>
        <w:tc>
          <w:tcPr>
            <w:tcW w:w="1383" w:type="dxa"/>
          </w:tcPr>
          <w:p w14:paraId="5AB4B7F1"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plus TACE</w:t>
            </w:r>
          </w:p>
        </w:tc>
        <w:tc>
          <w:tcPr>
            <w:tcW w:w="1250" w:type="dxa"/>
          </w:tcPr>
          <w:p w14:paraId="620184E5"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tremelimuumab</w:t>
            </w:r>
            <w:proofErr w:type="spellEnd"/>
            <w:r w:rsidRPr="007214E1">
              <w:rPr>
                <w:rFonts w:ascii="Book Antiqua" w:hAnsi="Book Antiqua"/>
              </w:rPr>
              <w:t xml:space="preserve">,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plus RFA, or </w:t>
            </w: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plus </w:t>
            </w:r>
            <w:proofErr w:type="spellStart"/>
            <w:r w:rsidRPr="007214E1">
              <w:rPr>
                <w:rFonts w:ascii="Book Antiqua" w:hAnsi="Book Antiqua"/>
              </w:rPr>
              <w:t>cryoablation</w:t>
            </w:r>
            <w:proofErr w:type="spellEnd"/>
          </w:p>
        </w:tc>
        <w:tc>
          <w:tcPr>
            <w:tcW w:w="1042" w:type="dxa"/>
          </w:tcPr>
          <w:p w14:paraId="6F54380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591" w:type="dxa"/>
          </w:tcPr>
          <w:p w14:paraId="0CF75C63"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883" w:type="dxa"/>
          </w:tcPr>
          <w:p w14:paraId="089FF9A4" w14:textId="6660F328" w:rsidR="008D6BF4" w:rsidRPr="007214E1" w:rsidRDefault="001B265D" w:rsidP="00EB43EE">
            <w:pPr>
              <w:snapToGrid w:val="0"/>
              <w:spacing w:line="360" w:lineRule="auto"/>
              <w:jc w:val="both"/>
              <w:rPr>
                <w:rFonts w:ascii="Book Antiqua" w:hAnsi="Book Antiqua"/>
              </w:rPr>
            </w:pPr>
            <w:r w:rsidRPr="007214E1">
              <w:rPr>
                <w:rFonts w:ascii="Book Antiqua" w:hAnsi="Book Antiqua"/>
              </w:rPr>
              <w:t>July 5, 2016-</w:t>
            </w:r>
            <w:r w:rsidR="008D6BF4" w:rsidRPr="007214E1">
              <w:rPr>
                <w:rFonts w:ascii="Book Antiqua" w:hAnsi="Book Antiqua"/>
              </w:rPr>
              <w:t>December 31, 2021</w:t>
            </w:r>
          </w:p>
        </w:tc>
        <w:tc>
          <w:tcPr>
            <w:tcW w:w="950" w:type="dxa"/>
          </w:tcPr>
          <w:p w14:paraId="7C38BA7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90</w:t>
            </w:r>
          </w:p>
        </w:tc>
        <w:tc>
          <w:tcPr>
            <w:tcW w:w="958" w:type="dxa"/>
          </w:tcPr>
          <w:p w14:paraId="2756D97A"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PFS</w:t>
            </w:r>
          </w:p>
        </w:tc>
        <w:tc>
          <w:tcPr>
            <w:tcW w:w="1308" w:type="dxa"/>
          </w:tcPr>
          <w:p w14:paraId="49E1DA3D" w14:textId="77777777" w:rsidR="008D6BF4" w:rsidRPr="007214E1" w:rsidRDefault="008D6BF4" w:rsidP="00EB43EE">
            <w:pPr>
              <w:snapToGrid w:val="0"/>
              <w:spacing w:line="360" w:lineRule="auto"/>
              <w:jc w:val="both"/>
              <w:rPr>
                <w:rFonts w:ascii="Book Antiqua" w:hAnsi="Book Antiqua"/>
                <w:color w:val="000000"/>
                <w:shd w:val="clear" w:color="auto" w:fill="FFFFFF"/>
              </w:rPr>
            </w:pPr>
            <w:r w:rsidRPr="007214E1">
              <w:rPr>
                <w:rFonts w:ascii="Book Antiqua" w:hAnsi="Book Antiqua"/>
                <w:color w:val="000000"/>
                <w:shd w:val="clear" w:color="auto" w:fill="FFFFFF"/>
              </w:rPr>
              <w:t>NCT02821754</w:t>
            </w:r>
          </w:p>
        </w:tc>
      </w:tr>
      <w:tr w:rsidR="009301A8" w:rsidRPr="007214E1" w14:paraId="7D8F0B02" w14:textId="77777777" w:rsidTr="009301A8">
        <w:trPr>
          <w:trHeight w:val="746"/>
        </w:trPr>
        <w:tc>
          <w:tcPr>
            <w:tcW w:w="1383" w:type="dxa"/>
          </w:tcPr>
          <w:p w14:paraId="1A243746"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lastRenderedPageBreak/>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plus DEB-TACE</w:t>
            </w:r>
          </w:p>
        </w:tc>
        <w:tc>
          <w:tcPr>
            <w:tcW w:w="1250" w:type="dxa"/>
          </w:tcPr>
          <w:p w14:paraId="7A692934"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plus DEB-TACE (regimen 1 vs regimen 2)</w:t>
            </w:r>
          </w:p>
        </w:tc>
        <w:tc>
          <w:tcPr>
            <w:tcW w:w="1042" w:type="dxa"/>
          </w:tcPr>
          <w:p w14:paraId="2F5EB99C"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Not Specified</w:t>
            </w:r>
          </w:p>
        </w:tc>
        <w:tc>
          <w:tcPr>
            <w:tcW w:w="591" w:type="dxa"/>
          </w:tcPr>
          <w:p w14:paraId="60036A1D"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883" w:type="dxa"/>
          </w:tcPr>
          <w:p w14:paraId="7E0ACF92" w14:textId="0AF3A13E" w:rsidR="008D6BF4" w:rsidRPr="007214E1" w:rsidRDefault="001B265D" w:rsidP="00EB43EE">
            <w:pPr>
              <w:snapToGrid w:val="0"/>
              <w:spacing w:line="360" w:lineRule="auto"/>
              <w:jc w:val="both"/>
              <w:rPr>
                <w:rFonts w:ascii="Book Antiqua" w:hAnsi="Book Antiqua"/>
              </w:rPr>
            </w:pPr>
            <w:r w:rsidRPr="007214E1">
              <w:rPr>
                <w:rFonts w:ascii="Book Antiqua" w:hAnsi="Book Antiqua"/>
              </w:rPr>
              <w:t>June 12, 2019-</w:t>
            </w:r>
            <w:r w:rsidR="008D6BF4" w:rsidRPr="007214E1">
              <w:rPr>
                <w:rFonts w:ascii="Book Antiqua" w:hAnsi="Book Antiqua"/>
              </w:rPr>
              <w:t>November 2020</w:t>
            </w:r>
          </w:p>
        </w:tc>
        <w:tc>
          <w:tcPr>
            <w:tcW w:w="950" w:type="dxa"/>
          </w:tcPr>
          <w:p w14:paraId="7FCA099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30</w:t>
            </w:r>
          </w:p>
        </w:tc>
        <w:tc>
          <w:tcPr>
            <w:tcW w:w="958" w:type="dxa"/>
          </w:tcPr>
          <w:p w14:paraId="04DF32A3"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ORR</w:t>
            </w:r>
          </w:p>
        </w:tc>
        <w:tc>
          <w:tcPr>
            <w:tcW w:w="1308" w:type="dxa"/>
          </w:tcPr>
          <w:p w14:paraId="65FEDDC7" w14:textId="3F7D8C88" w:rsidR="008D6BF4" w:rsidRPr="007214E1" w:rsidRDefault="008D6BF4" w:rsidP="00EB43EE">
            <w:pPr>
              <w:snapToGrid w:val="0"/>
              <w:spacing w:line="360" w:lineRule="auto"/>
              <w:jc w:val="both"/>
              <w:rPr>
                <w:rFonts w:ascii="Book Antiqua" w:hAnsi="Book Antiqua"/>
              </w:rPr>
            </w:pPr>
            <w:r w:rsidRPr="007214E1">
              <w:rPr>
                <w:rFonts w:ascii="Book Antiqua" w:hAnsi="Book Antiqua"/>
                <w:color w:val="000000"/>
                <w:shd w:val="clear" w:color="auto" w:fill="FFFFFF"/>
              </w:rPr>
              <w:t>NCT03638141</w:t>
            </w:r>
          </w:p>
        </w:tc>
      </w:tr>
      <w:tr w:rsidR="009301A8" w:rsidRPr="007214E1" w14:paraId="4D3E31AD" w14:textId="77777777" w:rsidTr="009301A8">
        <w:trPr>
          <w:trHeight w:val="746"/>
        </w:trPr>
        <w:tc>
          <w:tcPr>
            <w:tcW w:w="1383" w:type="dxa"/>
          </w:tcPr>
          <w:p w14:paraId="73A650B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Durvalumab plus bevacizumab plus TACE</w:t>
            </w:r>
          </w:p>
        </w:tc>
        <w:tc>
          <w:tcPr>
            <w:tcW w:w="1250" w:type="dxa"/>
          </w:tcPr>
          <w:p w14:paraId="4E73B2E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Durvalumab plus bevacizumab plus TACE (one TACE procedure </w:t>
            </w:r>
            <w:r w:rsidRPr="007214E1">
              <w:rPr>
                <w:rFonts w:ascii="Book Antiqua" w:hAnsi="Book Antiqua"/>
                <w:i/>
              </w:rPr>
              <w:t>vs</w:t>
            </w:r>
            <w:r w:rsidRPr="007214E1">
              <w:rPr>
                <w:rFonts w:ascii="Book Antiqua" w:hAnsi="Book Antiqua"/>
              </w:rPr>
              <w:t xml:space="preserve"> possibility of multiple procedures)</w:t>
            </w:r>
          </w:p>
        </w:tc>
        <w:tc>
          <w:tcPr>
            <w:tcW w:w="1042" w:type="dxa"/>
          </w:tcPr>
          <w:p w14:paraId="47A439B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591" w:type="dxa"/>
          </w:tcPr>
          <w:p w14:paraId="0245FDF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883" w:type="dxa"/>
          </w:tcPr>
          <w:p w14:paraId="522D9FB6" w14:textId="663C20A0" w:rsidR="008D6BF4" w:rsidRPr="007214E1" w:rsidRDefault="001B265D" w:rsidP="00EB43EE">
            <w:pPr>
              <w:snapToGrid w:val="0"/>
              <w:spacing w:line="360" w:lineRule="auto"/>
              <w:jc w:val="both"/>
              <w:rPr>
                <w:rFonts w:ascii="Book Antiqua" w:hAnsi="Book Antiqua"/>
              </w:rPr>
            </w:pPr>
            <w:r w:rsidRPr="007214E1">
              <w:rPr>
                <w:rFonts w:ascii="Book Antiqua" w:hAnsi="Book Antiqua"/>
              </w:rPr>
              <w:t>April 27, 2020-</w:t>
            </w:r>
            <w:r w:rsidR="008D6BF4" w:rsidRPr="007214E1">
              <w:rPr>
                <w:rFonts w:ascii="Book Antiqua" w:hAnsi="Book Antiqua"/>
              </w:rPr>
              <w:t>December 31, 2022</w:t>
            </w:r>
          </w:p>
        </w:tc>
        <w:tc>
          <w:tcPr>
            <w:tcW w:w="950" w:type="dxa"/>
          </w:tcPr>
          <w:p w14:paraId="3B54E9ED"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22</w:t>
            </w:r>
          </w:p>
        </w:tc>
        <w:tc>
          <w:tcPr>
            <w:tcW w:w="958" w:type="dxa"/>
          </w:tcPr>
          <w:p w14:paraId="439F0DA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PFS</w:t>
            </w:r>
          </w:p>
        </w:tc>
        <w:tc>
          <w:tcPr>
            <w:tcW w:w="1308" w:type="dxa"/>
          </w:tcPr>
          <w:p w14:paraId="47DB905E" w14:textId="77777777" w:rsidR="008D6BF4" w:rsidRPr="007214E1" w:rsidRDefault="008D6BF4" w:rsidP="00EB43EE">
            <w:pPr>
              <w:snapToGrid w:val="0"/>
              <w:spacing w:line="360" w:lineRule="auto"/>
              <w:jc w:val="both"/>
              <w:rPr>
                <w:rFonts w:ascii="Book Antiqua" w:hAnsi="Book Antiqua"/>
                <w:color w:val="000000"/>
                <w:shd w:val="clear" w:color="auto" w:fill="FFFFFF"/>
              </w:rPr>
            </w:pPr>
            <w:r w:rsidRPr="007214E1">
              <w:rPr>
                <w:rFonts w:ascii="Book Antiqua" w:hAnsi="Book Antiqua"/>
                <w:color w:val="000000"/>
                <w:shd w:val="clear" w:color="auto" w:fill="FFFFFF"/>
              </w:rPr>
              <w:t>NCT03937830</w:t>
            </w:r>
          </w:p>
        </w:tc>
      </w:tr>
      <w:tr w:rsidR="009301A8" w:rsidRPr="007214E1" w14:paraId="1DF73DF2" w14:textId="77777777" w:rsidTr="009301A8">
        <w:trPr>
          <w:trHeight w:val="746"/>
        </w:trPr>
        <w:tc>
          <w:tcPr>
            <w:tcW w:w="1383" w:type="dxa"/>
          </w:tcPr>
          <w:p w14:paraId="66049748"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Durvalumab and bevacizumab plus TACE</w:t>
            </w:r>
          </w:p>
        </w:tc>
        <w:tc>
          <w:tcPr>
            <w:tcW w:w="1250" w:type="dxa"/>
          </w:tcPr>
          <w:p w14:paraId="592C9267"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 xml:space="preserve">Durvalumab plus placebo plus TACE </w:t>
            </w:r>
            <w:r w:rsidRPr="007214E1">
              <w:rPr>
                <w:rFonts w:ascii="Book Antiqua" w:hAnsi="Book Antiqua"/>
                <w:i/>
              </w:rPr>
              <w:t>vs</w:t>
            </w:r>
            <w:r w:rsidRPr="007214E1">
              <w:rPr>
                <w:rFonts w:ascii="Book Antiqua" w:hAnsi="Book Antiqua"/>
              </w:rPr>
              <w:t xml:space="preserve"> placebo plus TACE</w:t>
            </w:r>
          </w:p>
        </w:tc>
        <w:tc>
          <w:tcPr>
            <w:tcW w:w="1042" w:type="dxa"/>
          </w:tcPr>
          <w:p w14:paraId="1DF94CD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Not specified</w:t>
            </w:r>
          </w:p>
        </w:tc>
        <w:tc>
          <w:tcPr>
            <w:tcW w:w="591" w:type="dxa"/>
          </w:tcPr>
          <w:p w14:paraId="0004A7C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III</w:t>
            </w:r>
          </w:p>
        </w:tc>
        <w:tc>
          <w:tcPr>
            <w:tcW w:w="883" w:type="dxa"/>
          </w:tcPr>
          <w:p w14:paraId="4DA51319" w14:textId="45504E4D" w:rsidR="008D6BF4" w:rsidRPr="007214E1" w:rsidRDefault="001B265D" w:rsidP="00EB43EE">
            <w:pPr>
              <w:snapToGrid w:val="0"/>
              <w:spacing w:line="360" w:lineRule="auto"/>
              <w:jc w:val="both"/>
              <w:rPr>
                <w:rFonts w:ascii="Book Antiqua" w:hAnsi="Book Antiqua"/>
              </w:rPr>
            </w:pPr>
            <w:r w:rsidRPr="007214E1">
              <w:rPr>
                <w:rFonts w:ascii="Book Antiqua" w:hAnsi="Book Antiqua"/>
              </w:rPr>
              <w:t>November 30, 2018-</w:t>
            </w:r>
            <w:r w:rsidR="008D6BF4" w:rsidRPr="007214E1">
              <w:rPr>
                <w:rFonts w:ascii="Book Antiqua" w:hAnsi="Book Antiqua"/>
              </w:rPr>
              <w:t>November 29, 2023</w:t>
            </w:r>
          </w:p>
        </w:tc>
        <w:tc>
          <w:tcPr>
            <w:tcW w:w="950" w:type="dxa"/>
          </w:tcPr>
          <w:p w14:paraId="50DA7A7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600</w:t>
            </w:r>
          </w:p>
        </w:tc>
        <w:tc>
          <w:tcPr>
            <w:tcW w:w="958" w:type="dxa"/>
          </w:tcPr>
          <w:p w14:paraId="689889B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PFS</w:t>
            </w:r>
          </w:p>
        </w:tc>
        <w:tc>
          <w:tcPr>
            <w:tcW w:w="1308" w:type="dxa"/>
          </w:tcPr>
          <w:p w14:paraId="5E05C22E" w14:textId="7A2C28EB" w:rsidR="008D6BF4" w:rsidRPr="007214E1" w:rsidRDefault="001B265D" w:rsidP="00EB43EE">
            <w:pPr>
              <w:snapToGrid w:val="0"/>
              <w:spacing w:line="360" w:lineRule="auto"/>
              <w:jc w:val="both"/>
              <w:rPr>
                <w:rFonts w:ascii="Book Antiqua" w:hAnsi="Book Antiqua"/>
                <w:color w:val="000000"/>
                <w:shd w:val="clear" w:color="auto" w:fill="FFFFFF"/>
              </w:rPr>
            </w:pPr>
            <w:r w:rsidRPr="007214E1">
              <w:rPr>
                <w:rFonts w:ascii="Book Antiqua" w:hAnsi="Book Antiqua"/>
                <w:color w:val="000000"/>
                <w:shd w:val="clear" w:color="auto" w:fill="FFFFFF"/>
              </w:rPr>
              <w:t>NCT03778957</w:t>
            </w:r>
            <w:r w:rsidRPr="007214E1">
              <w:rPr>
                <w:rFonts w:ascii="Book Antiqua" w:eastAsiaTheme="minorEastAsia" w:hAnsi="Book Antiqua"/>
                <w:color w:val="000000"/>
                <w:shd w:val="clear" w:color="auto" w:fill="FFFFFF"/>
                <w:lang w:eastAsia="zh-CN"/>
              </w:rPr>
              <w:t xml:space="preserve"> </w:t>
            </w:r>
            <w:r w:rsidR="008D6BF4" w:rsidRPr="007214E1">
              <w:rPr>
                <w:rFonts w:ascii="Book Antiqua" w:hAnsi="Book Antiqua"/>
              </w:rPr>
              <w:t>(EMERALD-1)</w:t>
            </w:r>
          </w:p>
        </w:tc>
      </w:tr>
      <w:tr w:rsidR="009301A8" w:rsidRPr="007214E1" w14:paraId="72A1CC28" w14:textId="77777777" w:rsidTr="009301A8">
        <w:trPr>
          <w:trHeight w:val="746"/>
        </w:trPr>
        <w:tc>
          <w:tcPr>
            <w:tcW w:w="1383" w:type="dxa"/>
          </w:tcPr>
          <w:p w14:paraId="31104196"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lastRenderedPageBreak/>
              <w:t>Pembrolizumab plus SBRT</w:t>
            </w:r>
          </w:p>
        </w:tc>
        <w:tc>
          <w:tcPr>
            <w:tcW w:w="1250" w:type="dxa"/>
          </w:tcPr>
          <w:p w14:paraId="57B0D4B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042" w:type="dxa"/>
          </w:tcPr>
          <w:p w14:paraId="35DD0CF4"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591" w:type="dxa"/>
          </w:tcPr>
          <w:p w14:paraId="7C46C760"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883" w:type="dxa"/>
          </w:tcPr>
          <w:p w14:paraId="425BACCE" w14:textId="613C6E7A" w:rsidR="008D6BF4" w:rsidRPr="007214E1" w:rsidRDefault="001B265D" w:rsidP="00EB43EE">
            <w:pPr>
              <w:snapToGrid w:val="0"/>
              <w:spacing w:line="360" w:lineRule="auto"/>
              <w:jc w:val="both"/>
              <w:rPr>
                <w:rFonts w:ascii="Book Antiqua" w:hAnsi="Book Antiqua"/>
              </w:rPr>
            </w:pPr>
            <w:r w:rsidRPr="007214E1">
              <w:rPr>
                <w:rFonts w:ascii="Book Antiqua" w:hAnsi="Book Antiqua"/>
              </w:rPr>
              <w:t>February 15, 2018-</w:t>
            </w:r>
            <w:r w:rsidR="008D6BF4" w:rsidRPr="007214E1">
              <w:rPr>
                <w:rFonts w:ascii="Book Antiqua" w:hAnsi="Book Antiqua"/>
              </w:rPr>
              <w:t>April 2, 2022</w:t>
            </w:r>
          </w:p>
        </w:tc>
        <w:tc>
          <w:tcPr>
            <w:tcW w:w="950" w:type="dxa"/>
          </w:tcPr>
          <w:p w14:paraId="52012949"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30</w:t>
            </w:r>
          </w:p>
        </w:tc>
        <w:tc>
          <w:tcPr>
            <w:tcW w:w="958" w:type="dxa"/>
          </w:tcPr>
          <w:p w14:paraId="1199B62E"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ORR</w:t>
            </w:r>
          </w:p>
        </w:tc>
        <w:tc>
          <w:tcPr>
            <w:tcW w:w="1308" w:type="dxa"/>
          </w:tcPr>
          <w:p w14:paraId="50EEC253"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NCT03316872</w:t>
            </w:r>
          </w:p>
        </w:tc>
      </w:tr>
      <w:tr w:rsidR="009301A8" w:rsidRPr="007214E1" w14:paraId="3B8F542F" w14:textId="77777777" w:rsidTr="009301A8">
        <w:trPr>
          <w:trHeight w:val="800"/>
        </w:trPr>
        <w:tc>
          <w:tcPr>
            <w:tcW w:w="1383" w:type="dxa"/>
          </w:tcPr>
          <w:p w14:paraId="44220AD9" w14:textId="77777777" w:rsidR="008D6BF4" w:rsidRPr="007214E1" w:rsidRDefault="008D6BF4" w:rsidP="00EB43EE">
            <w:pPr>
              <w:snapToGrid w:val="0"/>
              <w:spacing w:line="360" w:lineRule="auto"/>
              <w:jc w:val="both"/>
              <w:rPr>
                <w:rFonts w:ascii="Book Antiqua" w:hAnsi="Book Antiqua"/>
              </w:rPr>
            </w:pPr>
            <w:proofErr w:type="spellStart"/>
            <w:r w:rsidRPr="007214E1">
              <w:rPr>
                <w:rFonts w:ascii="Book Antiqua" w:hAnsi="Book Antiqua"/>
              </w:rPr>
              <w:t>Durvalumab</w:t>
            </w:r>
            <w:proofErr w:type="spellEnd"/>
            <w:r w:rsidRPr="007214E1">
              <w:rPr>
                <w:rFonts w:ascii="Book Antiqua" w:hAnsi="Book Antiqua"/>
              </w:rPr>
              <w:t xml:space="preserve"> plus </w:t>
            </w:r>
            <w:proofErr w:type="spellStart"/>
            <w:r w:rsidRPr="007214E1">
              <w:rPr>
                <w:rFonts w:ascii="Book Antiqua" w:hAnsi="Book Antiqua"/>
              </w:rPr>
              <w:t>tremelimumab</w:t>
            </w:r>
            <w:proofErr w:type="spellEnd"/>
            <w:r w:rsidRPr="007214E1">
              <w:rPr>
                <w:rFonts w:ascii="Book Antiqua" w:hAnsi="Book Antiqua"/>
              </w:rPr>
              <w:t xml:space="preserve"> and radiation</w:t>
            </w:r>
          </w:p>
        </w:tc>
        <w:tc>
          <w:tcPr>
            <w:tcW w:w="1250" w:type="dxa"/>
          </w:tcPr>
          <w:p w14:paraId="69070B7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None</w:t>
            </w:r>
          </w:p>
        </w:tc>
        <w:tc>
          <w:tcPr>
            <w:tcW w:w="1042" w:type="dxa"/>
          </w:tcPr>
          <w:p w14:paraId="4E4F8588"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Second-line</w:t>
            </w:r>
          </w:p>
        </w:tc>
        <w:tc>
          <w:tcPr>
            <w:tcW w:w="591" w:type="dxa"/>
          </w:tcPr>
          <w:p w14:paraId="5BC2A02D"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II</w:t>
            </w:r>
          </w:p>
        </w:tc>
        <w:tc>
          <w:tcPr>
            <w:tcW w:w="883" w:type="dxa"/>
          </w:tcPr>
          <w:p w14:paraId="5487BC28" w14:textId="295C4855" w:rsidR="008D6BF4" w:rsidRPr="007214E1" w:rsidRDefault="008D6BF4" w:rsidP="00EB43EE">
            <w:pPr>
              <w:snapToGrid w:val="0"/>
              <w:spacing w:line="360" w:lineRule="auto"/>
              <w:jc w:val="both"/>
              <w:rPr>
                <w:rFonts w:ascii="Book Antiqua" w:hAnsi="Book Antiqua"/>
              </w:rPr>
            </w:pPr>
            <w:r w:rsidRPr="007214E1">
              <w:rPr>
                <w:rFonts w:ascii="Book Antiqua" w:hAnsi="Book Antiqua"/>
              </w:rPr>
              <w:t>May</w:t>
            </w:r>
            <w:r w:rsidR="001B265D" w:rsidRPr="007214E1">
              <w:rPr>
                <w:rFonts w:ascii="Book Antiqua" w:hAnsi="Book Antiqua"/>
              </w:rPr>
              <w:t xml:space="preserve"> 14, 2018-</w:t>
            </w:r>
            <w:r w:rsidRPr="007214E1">
              <w:rPr>
                <w:rFonts w:ascii="Book Antiqua" w:hAnsi="Book Antiqua"/>
              </w:rPr>
              <w:t>October 31, 2025</w:t>
            </w:r>
          </w:p>
        </w:tc>
        <w:tc>
          <w:tcPr>
            <w:tcW w:w="950" w:type="dxa"/>
          </w:tcPr>
          <w:p w14:paraId="764A3441"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70</w:t>
            </w:r>
          </w:p>
        </w:tc>
        <w:tc>
          <w:tcPr>
            <w:tcW w:w="958" w:type="dxa"/>
          </w:tcPr>
          <w:p w14:paraId="17C386C5"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ORR</w:t>
            </w:r>
          </w:p>
        </w:tc>
        <w:tc>
          <w:tcPr>
            <w:tcW w:w="1308" w:type="dxa"/>
          </w:tcPr>
          <w:p w14:paraId="4315EF6F" w14:textId="77777777" w:rsidR="008D6BF4" w:rsidRPr="007214E1" w:rsidRDefault="008D6BF4" w:rsidP="00EB43EE">
            <w:pPr>
              <w:snapToGrid w:val="0"/>
              <w:spacing w:line="360" w:lineRule="auto"/>
              <w:jc w:val="both"/>
              <w:rPr>
                <w:rFonts w:ascii="Book Antiqua" w:hAnsi="Book Antiqua"/>
              </w:rPr>
            </w:pPr>
            <w:r w:rsidRPr="007214E1">
              <w:rPr>
                <w:rFonts w:ascii="Book Antiqua" w:hAnsi="Book Antiqua"/>
              </w:rPr>
              <w:t>NCT03482102</w:t>
            </w:r>
          </w:p>
        </w:tc>
      </w:tr>
    </w:tbl>
    <w:p w14:paraId="46A34057" w14:textId="0B220F97" w:rsidR="00C833D0" w:rsidRPr="00EB43EE" w:rsidRDefault="001B265D" w:rsidP="00EB43EE">
      <w:pPr>
        <w:snapToGrid w:val="0"/>
        <w:spacing w:line="360" w:lineRule="auto"/>
        <w:jc w:val="both"/>
        <w:rPr>
          <w:rFonts w:ascii="Book Antiqua" w:hAnsi="Book Antiqua"/>
        </w:rPr>
      </w:pPr>
      <w:r w:rsidRPr="007214E1">
        <w:rPr>
          <w:rFonts w:ascii="Book Antiqua" w:hAnsi="Book Antiqua"/>
        </w:rPr>
        <w:t>RFA: Radiofrequency ablation;</w:t>
      </w:r>
      <w:r w:rsidR="008D6BF4" w:rsidRPr="007214E1">
        <w:rPr>
          <w:rFonts w:ascii="Book Antiqua" w:hAnsi="Book Antiqua"/>
        </w:rPr>
        <w:t xml:space="preserve"> MWA</w:t>
      </w:r>
      <w:r w:rsidRPr="007214E1">
        <w:rPr>
          <w:rFonts w:ascii="Book Antiqua" w:hAnsi="Book Antiqua"/>
        </w:rPr>
        <w:t>: Microwave ablation;</w:t>
      </w:r>
      <w:r w:rsidR="008D6BF4" w:rsidRPr="007214E1">
        <w:rPr>
          <w:rFonts w:ascii="Book Antiqua" w:hAnsi="Book Antiqua"/>
        </w:rPr>
        <w:t xml:space="preserve"> </w:t>
      </w:r>
      <w:r w:rsidRPr="007214E1">
        <w:rPr>
          <w:rFonts w:ascii="Book Antiqua" w:hAnsi="Book Antiqua"/>
        </w:rPr>
        <w:t xml:space="preserve">ORR: Overall response rate; TACE: </w:t>
      </w:r>
      <w:proofErr w:type="spellStart"/>
      <w:r w:rsidRPr="007214E1">
        <w:rPr>
          <w:rFonts w:ascii="Book Antiqua" w:hAnsi="Book Antiqua"/>
        </w:rPr>
        <w:t>Transarterial</w:t>
      </w:r>
      <w:proofErr w:type="spellEnd"/>
      <w:r w:rsidRPr="007214E1">
        <w:rPr>
          <w:rFonts w:ascii="Book Antiqua" w:hAnsi="Book Antiqua"/>
        </w:rPr>
        <w:t xml:space="preserve"> chemoembolization; </w:t>
      </w:r>
      <w:r w:rsidR="009301A8" w:rsidRPr="007214E1">
        <w:rPr>
          <w:rFonts w:ascii="Book Antiqua" w:hAnsi="Book Antiqua"/>
        </w:rPr>
        <w:t xml:space="preserve">PFS: Progression-free survival; DEB-TACE: Drug-eluting bead </w:t>
      </w:r>
      <w:proofErr w:type="spellStart"/>
      <w:r w:rsidR="009301A8" w:rsidRPr="007214E1">
        <w:rPr>
          <w:rFonts w:ascii="Book Antiqua" w:hAnsi="Book Antiqua"/>
        </w:rPr>
        <w:t>transarterial</w:t>
      </w:r>
      <w:proofErr w:type="spellEnd"/>
      <w:r w:rsidR="009301A8" w:rsidRPr="007214E1">
        <w:rPr>
          <w:rFonts w:ascii="Book Antiqua" w:hAnsi="Book Antiqua"/>
        </w:rPr>
        <w:t xml:space="preserve"> chemoembolization;</w:t>
      </w:r>
      <w:r w:rsidR="008D6BF4" w:rsidRPr="007214E1">
        <w:rPr>
          <w:rFonts w:ascii="Book Antiqua" w:hAnsi="Book Antiqua"/>
        </w:rPr>
        <w:t xml:space="preserve"> SBR</w:t>
      </w:r>
      <w:r w:rsidR="009301A8" w:rsidRPr="007214E1">
        <w:rPr>
          <w:rFonts w:ascii="Book Antiqua" w:hAnsi="Book Antiqua"/>
        </w:rPr>
        <w:t>T: Stereotactic body radiotherapy.</w:t>
      </w:r>
    </w:p>
    <w:sectPr w:rsidR="00C833D0" w:rsidRPr="00EB43EE" w:rsidSect="00AB4166">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06BA9" w14:textId="77777777" w:rsidR="00E71114" w:rsidRDefault="00E71114" w:rsidP="00502319">
      <w:r>
        <w:separator/>
      </w:r>
    </w:p>
  </w:endnote>
  <w:endnote w:type="continuationSeparator" w:id="0">
    <w:p w14:paraId="3BAF6153" w14:textId="77777777" w:rsidR="00E71114" w:rsidRDefault="00E71114" w:rsidP="0050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87A9" w14:textId="3E174B60" w:rsidR="00AC49C7" w:rsidRPr="00215BAF" w:rsidRDefault="00AC49C7" w:rsidP="00215BAF">
    <w:pPr>
      <w:pStyle w:val="af0"/>
      <w:jc w:val="right"/>
    </w:pPr>
    <w:r w:rsidRPr="00215BAF">
      <w:rPr>
        <w:lang w:val="zh-CN" w:eastAsia="zh-CN"/>
      </w:rPr>
      <w:t xml:space="preserve"> </w:t>
    </w:r>
    <w:r w:rsidRPr="00215BAF">
      <w:rPr>
        <w:bCs/>
      </w:rPr>
      <w:fldChar w:fldCharType="begin"/>
    </w:r>
    <w:r w:rsidRPr="00215BAF">
      <w:rPr>
        <w:bCs/>
      </w:rPr>
      <w:instrText>PAGE  \* Arabic  \* MERGEFORMAT</w:instrText>
    </w:r>
    <w:r w:rsidRPr="00215BAF">
      <w:rPr>
        <w:bCs/>
      </w:rPr>
      <w:fldChar w:fldCharType="separate"/>
    </w:r>
    <w:r w:rsidR="007214E1" w:rsidRPr="007214E1">
      <w:rPr>
        <w:bCs/>
        <w:noProof/>
        <w:lang w:val="zh-CN" w:eastAsia="zh-CN"/>
      </w:rPr>
      <w:t>3</w:t>
    </w:r>
    <w:r w:rsidRPr="00215BAF">
      <w:rPr>
        <w:bCs/>
      </w:rPr>
      <w:fldChar w:fldCharType="end"/>
    </w:r>
    <w:r w:rsidRPr="00215BAF">
      <w:rPr>
        <w:lang w:val="zh-CN" w:eastAsia="zh-CN"/>
      </w:rPr>
      <w:t xml:space="preserve"> / </w:t>
    </w:r>
    <w:r w:rsidRPr="00215BAF">
      <w:rPr>
        <w:bCs/>
      </w:rPr>
      <w:fldChar w:fldCharType="begin"/>
    </w:r>
    <w:r w:rsidRPr="00215BAF">
      <w:rPr>
        <w:bCs/>
      </w:rPr>
      <w:instrText>NUMPAGES  \* Arabic  \* MERGEFORMAT</w:instrText>
    </w:r>
    <w:r w:rsidRPr="00215BAF">
      <w:rPr>
        <w:bCs/>
      </w:rPr>
      <w:fldChar w:fldCharType="separate"/>
    </w:r>
    <w:r w:rsidR="007214E1" w:rsidRPr="007214E1">
      <w:rPr>
        <w:bCs/>
        <w:noProof/>
        <w:lang w:val="zh-CN" w:eastAsia="zh-CN"/>
      </w:rPr>
      <w:t>63</w:t>
    </w:r>
    <w:r w:rsidRPr="00215BAF">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7B9F" w14:textId="77777777" w:rsidR="00E71114" w:rsidRDefault="00E71114" w:rsidP="00502319">
      <w:r>
        <w:separator/>
      </w:r>
    </w:p>
  </w:footnote>
  <w:footnote w:type="continuationSeparator" w:id="0">
    <w:p w14:paraId="3EB5DC8A" w14:textId="77777777" w:rsidR="00E71114" w:rsidRDefault="00E71114" w:rsidP="00502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42E"/>
    <w:multiLevelType w:val="hybridMultilevel"/>
    <w:tmpl w:val="66F2EBAA"/>
    <w:lvl w:ilvl="0" w:tplc="04090001">
      <w:start w:val="1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D596F"/>
    <w:multiLevelType w:val="multilevel"/>
    <w:tmpl w:val="9966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F3DC0"/>
    <w:multiLevelType w:val="hybridMultilevel"/>
    <w:tmpl w:val="E4842C88"/>
    <w:lvl w:ilvl="0" w:tplc="EECC94C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B3295"/>
    <w:multiLevelType w:val="hybridMultilevel"/>
    <w:tmpl w:val="847C26E6"/>
    <w:lvl w:ilvl="0" w:tplc="2D2A313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E500F72"/>
    <w:multiLevelType w:val="hybridMultilevel"/>
    <w:tmpl w:val="8F5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D3B93"/>
    <w:multiLevelType w:val="hybridMultilevel"/>
    <w:tmpl w:val="80F475C0"/>
    <w:lvl w:ilvl="0" w:tplc="5A4802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52885"/>
    <w:multiLevelType w:val="multilevel"/>
    <w:tmpl w:val="823A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F3AD5"/>
    <w:multiLevelType w:val="hybridMultilevel"/>
    <w:tmpl w:val="E04EB84A"/>
    <w:lvl w:ilvl="0" w:tplc="36CECC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7409F"/>
    <w:multiLevelType w:val="hybridMultilevel"/>
    <w:tmpl w:val="D07EE98E"/>
    <w:lvl w:ilvl="0" w:tplc="4BB85A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56F1E"/>
    <w:multiLevelType w:val="multilevel"/>
    <w:tmpl w:val="2EC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6A7CBE"/>
    <w:multiLevelType w:val="hybridMultilevel"/>
    <w:tmpl w:val="8F5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E6F78"/>
    <w:multiLevelType w:val="hybridMultilevel"/>
    <w:tmpl w:val="B1DA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A2156"/>
    <w:multiLevelType w:val="hybridMultilevel"/>
    <w:tmpl w:val="2DF8E1F8"/>
    <w:lvl w:ilvl="0" w:tplc="BF743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9"/>
  </w:num>
  <w:num w:numId="5">
    <w:abstractNumId w:val="11"/>
  </w:num>
  <w:num w:numId="6">
    <w:abstractNumId w:val="4"/>
  </w:num>
  <w:num w:numId="7">
    <w:abstractNumId w:val="6"/>
  </w:num>
  <w:num w:numId="8">
    <w:abstractNumId w:val="8"/>
  </w:num>
  <w:num w:numId="9">
    <w:abstractNumId w:val="0"/>
  </w:num>
  <w:num w:numId="10">
    <w:abstractNumId w:val="2"/>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6B"/>
    <w:rsid w:val="000041B3"/>
    <w:rsid w:val="00010F13"/>
    <w:rsid w:val="00010F1F"/>
    <w:rsid w:val="00011411"/>
    <w:rsid w:val="000128F4"/>
    <w:rsid w:val="00013490"/>
    <w:rsid w:val="0001357C"/>
    <w:rsid w:val="0001385A"/>
    <w:rsid w:val="0001658D"/>
    <w:rsid w:val="00016EB9"/>
    <w:rsid w:val="00023AA2"/>
    <w:rsid w:val="00023D9E"/>
    <w:rsid w:val="00024075"/>
    <w:rsid w:val="00026FED"/>
    <w:rsid w:val="00027969"/>
    <w:rsid w:val="00027F01"/>
    <w:rsid w:val="000304A0"/>
    <w:rsid w:val="00030EF2"/>
    <w:rsid w:val="00032F55"/>
    <w:rsid w:val="00033A76"/>
    <w:rsid w:val="0003771C"/>
    <w:rsid w:val="00041F44"/>
    <w:rsid w:val="000436C2"/>
    <w:rsid w:val="00047EFD"/>
    <w:rsid w:val="00050619"/>
    <w:rsid w:val="00055551"/>
    <w:rsid w:val="00056E6A"/>
    <w:rsid w:val="00060266"/>
    <w:rsid w:val="00061E6C"/>
    <w:rsid w:val="000628F4"/>
    <w:rsid w:val="00066C0B"/>
    <w:rsid w:val="00067186"/>
    <w:rsid w:val="00067246"/>
    <w:rsid w:val="00067860"/>
    <w:rsid w:val="00067BCC"/>
    <w:rsid w:val="00072AC0"/>
    <w:rsid w:val="00072DF5"/>
    <w:rsid w:val="000737FB"/>
    <w:rsid w:val="00074AD0"/>
    <w:rsid w:val="00074C82"/>
    <w:rsid w:val="00076963"/>
    <w:rsid w:val="000822C9"/>
    <w:rsid w:val="000827A0"/>
    <w:rsid w:val="00083524"/>
    <w:rsid w:val="00085394"/>
    <w:rsid w:val="0008551B"/>
    <w:rsid w:val="00086501"/>
    <w:rsid w:val="000928C8"/>
    <w:rsid w:val="0009396D"/>
    <w:rsid w:val="00095583"/>
    <w:rsid w:val="00095FC5"/>
    <w:rsid w:val="0009631E"/>
    <w:rsid w:val="000A135C"/>
    <w:rsid w:val="000A1410"/>
    <w:rsid w:val="000A16DF"/>
    <w:rsid w:val="000A260C"/>
    <w:rsid w:val="000A531B"/>
    <w:rsid w:val="000A565F"/>
    <w:rsid w:val="000B1873"/>
    <w:rsid w:val="000B3E01"/>
    <w:rsid w:val="000B422D"/>
    <w:rsid w:val="000B5EFB"/>
    <w:rsid w:val="000C147F"/>
    <w:rsid w:val="000C3AF3"/>
    <w:rsid w:val="000C3B68"/>
    <w:rsid w:val="000C4732"/>
    <w:rsid w:val="000D143E"/>
    <w:rsid w:val="000D397C"/>
    <w:rsid w:val="000D4A5A"/>
    <w:rsid w:val="000D6DC3"/>
    <w:rsid w:val="000E0EC3"/>
    <w:rsid w:val="000E1465"/>
    <w:rsid w:val="000E49DC"/>
    <w:rsid w:val="000E4A12"/>
    <w:rsid w:val="000E5555"/>
    <w:rsid w:val="000E7867"/>
    <w:rsid w:val="000E7B86"/>
    <w:rsid w:val="000F03C9"/>
    <w:rsid w:val="000F14AB"/>
    <w:rsid w:val="000F24E0"/>
    <w:rsid w:val="000F2CA8"/>
    <w:rsid w:val="000F38E7"/>
    <w:rsid w:val="000F5EF6"/>
    <w:rsid w:val="000F5FF8"/>
    <w:rsid w:val="000F72D2"/>
    <w:rsid w:val="0010124A"/>
    <w:rsid w:val="00107426"/>
    <w:rsid w:val="001109B9"/>
    <w:rsid w:val="00113100"/>
    <w:rsid w:val="00113B3E"/>
    <w:rsid w:val="00113DEE"/>
    <w:rsid w:val="00114DF1"/>
    <w:rsid w:val="0011516A"/>
    <w:rsid w:val="00115852"/>
    <w:rsid w:val="00116699"/>
    <w:rsid w:val="00117178"/>
    <w:rsid w:val="0012043D"/>
    <w:rsid w:val="00122A24"/>
    <w:rsid w:val="00122D9A"/>
    <w:rsid w:val="0012464C"/>
    <w:rsid w:val="00125DD8"/>
    <w:rsid w:val="00126DE8"/>
    <w:rsid w:val="00127D06"/>
    <w:rsid w:val="0013199D"/>
    <w:rsid w:val="00133723"/>
    <w:rsid w:val="00134DE1"/>
    <w:rsid w:val="0013583F"/>
    <w:rsid w:val="00137BD4"/>
    <w:rsid w:val="00140F43"/>
    <w:rsid w:val="001428BD"/>
    <w:rsid w:val="00142BD1"/>
    <w:rsid w:val="00142E2F"/>
    <w:rsid w:val="001438FC"/>
    <w:rsid w:val="00144800"/>
    <w:rsid w:val="00147CD6"/>
    <w:rsid w:val="0015007E"/>
    <w:rsid w:val="0015039E"/>
    <w:rsid w:val="00152142"/>
    <w:rsid w:val="00152CC3"/>
    <w:rsid w:val="00152DEE"/>
    <w:rsid w:val="001542F1"/>
    <w:rsid w:val="00154A2B"/>
    <w:rsid w:val="00157F94"/>
    <w:rsid w:val="001612CD"/>
    <w:rsid w:val="00162F5B"/>
    <w:rsid w:val="00163679"/>
    <w:rsid w:val="00163F76"/>
    <w:rsid w:val="00164C68"/>
    <w:rsid w:val="00165780"/>
    <w:rsid w:val="001677BB"/>
    <w:rsid w:val="00170E05"/>
    <w:rsid w:val="00171224"/>
    <w:rsid w:val="00171DBF"/>
    <w:rsid w:val="001733EB"/>
    <w:rsid w:val="001779FD"/>
    <w:rsid w:val="00177FB6"/>
    <w:rsid w:val="001803E7"/>
    <w:rsid w:val="001820A8"/>
    <w:rsid w:val="0018301F"/>
    <w:rsid w:val="00183612"/>
    <w:rsid w:val="001842FC"/>
    <w:rsid w:val="00184D11"/>
    <w:rsid w:val="00185A7E"/>
    <w:rsid w:val="0018723D"/>
    <w:rsid w:val="00187C59"/>
    <w:rsid w:val="001912DE"/>
    <w:rsid w:val="001940F1"/>
    <w:rsid w:val="001948DE"/>
    <w:rsid w:val="001967D6"/>
    <w:rsid w:val="001977CA"/>
    <w:rsid w:val="001A2D6B"/>
    <w:rsid w:val="001A2EF8"/>
    <w:rsid w:val="001A327B"/>
    <w:rsid w:val="001A4451"/>
    <w:rsid w:val="001A659B"/>
    <w:rsid w:val="001A6899"/>
    <w:rsid w:val="001A7052"/>
    <w:rsid w:val="001A77F2"/>
    <w:rsid w:val="001B19E0"/>
    <w:rsid w:val="001B265D"/>
    <w:rsid w:val="001C107E"/>
    <w:rsid w:val="001C39D6"/>
    <w:rsid w:val="001C5154"/>
    <w:rsid w:val="001C5BB0"/>
    <w:rsid w:val="001D13E1"/>
    <w:rsid w:val="001D1E55"/>
    <w:rsid w:val="001D36F4"/>
    <w:rsid w:val="001D3739"/>
    <w:rsid w:val="001D609F"/>
    <w:rsid w:val="001D7F02"/>
    <w:rsid w:val="001E1D9B"/>
    <w:rsid w:val="001E21C4"/>
    <w:rsid w:val="001E3962"/>
    <w:rsid w:val="001E3EF5"/>
    <w:rsid w:val="001E55C0"/>
    <w:rsid w:val="001E5F9A"/>
    <w:rsid w:val="001F04C8"/>
    <w:rsid w:val="001F1395"/>
    <w:rsid w:val="001F143E"/>
    <w:rsid w:val="001F1560"/>
    <w:rsid w:val="001F2CA9"/>
    <w:rsid w:val="001F2CEB"/>
    <w:rsid w:val="001F378A"/>
    <w:rsid w:val="001F4619"/>
    <w:rsid w:val="001F48B6"/>
    <w:rsid w:val="001F48C3"/>
    <w:rsid w:val="002009E9"/>
    <w:rsid w:val="0020253E"/>
    <w:rsid w:val="00210BD0"/>
    <w:rsid w:val="00211460"/>
    <w:rsid w:val="00211590"/>
    <w:rsid w:val="00212001"/>
    <w:rsid w:val="0021382C"/>
    <w:rsid w:val="002142BE"/>
    <w:rsid w:val="00215BAF"/>
    <w:rsid w:val="00220242"/>
    <w:rsid w:val="00224E04"/>
    <w:rsid w:val="00226826"/>
    <w:rsid w:val="0023098C"/>
    <w:rsid w:val="00231FF5"/>
    <w:rsid w:val="0023287E"/>
    <w:rsid w:val="002331FB"/>
    <w:rsid w:val="0023426F"/>
    <w:rsid w:val="00237DB4"/>
    <w:rsid w:val="00240AEE"/>
    <w:rsid w:val="00241F75"/>
    <w:rsid w:val="00244E26"/>
    <w:rsid w:val="00245C02"/>
    <w:rsid w:val="002470EF"/>
    <w:rsid w:val="00250475"/>
    <w:rsid w:val="00252142"/>
    <w:rsid w:val="00253E6D"/>
    <w:rsid w:val="00254AA7"/>
    <w:rsid w:val="0026333D"/>
    <w:rsid w:val="00272B5D"/>
    <w:rsid w:val="0027305C"/>
    <w:rsid w:val="0027547D"/>
    <w:rsid w:val="00275631"/>
    <w:rsid w:val="002764EC"/>
    <w:rsid w:val="00276A46"/>
    <w:rsid w:val="002808BC"/>
    <w:rsid w:val="00281EF6"/>
    <w:rsid w:val="002839C5"/>
    <w:rsid w:val="00284E6C"/>
    <w:rsid w:val="00287971"/>
    <w:rsid w:val="00287AC0"/>
    <w:rsid w:val="002927EC"/>
    <w:rsid w:val="00292AC4"/>
    <w:rsid w:val="00293377"/>
    <w:rsid w:val="00293A47"/>
    <w:rsid w:val="002941F6"/>
    <w:rsid w:val="002978DF"/>
    <w:rsid w:val="00297938"/>
    <w:rsid w:val="002A1FDE"/>
    <w:rsid w:val="002A25B6"/>
    <w:rsid w:val="002A2672"/>
    <w:rsid w:val="002A4D8E"/>
    <w:rsid w:val="002A4F82"/>
    <w:rsid w:val="002A5880"/>
    <w:rsid w:val="002B04A3"/>
    <w:rsid w:val="002B1C6F"/>
    <w:rsid w:val="002B51EE"/>
    <w:rsid w:val="002B53F3"/>
    <w:rsid w:val="002B55A5"/>
    <w:rsid w:val="002B5661"/>
    <w:rsid w:val="002B67A7"/>
    <w:rsid w:val="002B7A50"/>
    <w:rsid w:val="002B7AE8"/>
    <w:rsid w:val="002C098F"/>
    <w:rsid w:val="002C0F46"/>
    <w:rsid w:val="002C2E84"/>
    <w:rsid w:val="002C3414"/>
    <w:rsid w:val="002C3C26"/>
    <w:rsid w:val="002C4EE4"/>
    <w:rsid w:val="002C62E0"/>
    <w:rsid w:val="002C666C"/>
    <w:rsid w:val="002D218E"/>
    <w:rsid w:val="002D36DD"/>
    <w:rsid w:val="002E0525"/>
    <w:rsid w:val="002E0880"/>
    <w:rsid w:val="002E2EE9"/>
    <w:rsid w:val="002E353E"/>
    <w:rsid w:val="002E3D1F"/>
    <w:rsid w:val="002E5806"/>
    <w:rsid w:val="002E62B5"/>
    <w:rsid w:val="002F0746"/>
    <w:rsid w:val="002F1EDD"/>
    <w:rsid w:val="002F22A9"/>
    <w:rsid w:val="002F34C6"/>
    <w:rsid w:val="00300584"/>
    <w:rsid w:val="0030285E"/>
    <w:rsid w:val="00303D3D"/>
    <w:rsid w:val="00304C96"/>
    <w:rsid w:val="00312CE3"/>
    <w:rsid w:val="00313845"/>
    <w:rsid w:val="00313BC0"/>
    <w:rsid w:val="00320213"/>
    <w:rsid w:val="003249ED"/>
    <w:rsid w:val="00325F82"/>
    <w:rsid w:val="003271FD"/>
    <w:rsid w:val="00327EB2"/>
    <w:rsid w:val="003322C0"/>
    <w:rsid w:val="00332EE7"/>
    <w:rsid w:val="00333ABF"/>
    <w:rsid w:val="00334659"/>
    <w:rsid w:val="00336CC0"/>
    <w:rsid w:val="00337BFD"/>
    <w:rsid w:val="00340C5A"/>
    <w:rsid w:val="00342FB4"/>
    <w:rsid w:val="0034375F"/>
    <w:rsid w:val="00347308"/>
    <w:rsid w:val="00347A46"/>
    <w:rsid w:val="00354F77"/>
    <w:rsid w:val="00354FFA"/>
    <w:rsid w:val="00355408"/>
    <w:rsid w:val="0035785E"/>
    <w:rsid w:val="00360490"/>
    <w:rsid w:val="00365390"/>
    <w:rsid w:val="00365C7F"/>
    <w:rsid w:val="00365EAC"/>
    <w:rsid w:val="00367D8A"/>
    <w:rsid w:val="00367E7A"/>
    <w:rsid w:val="00374BA2"/>
    <w:rsid w:val="00375619"/>
    <w:rsid w:val="00375787"/>
    <w:rsid w:val="003759A9"/>
    <w:rsid w:val="003759E0"/>
    <w:rsid w:val="003761B8"/>
    <w:rsid w:val="0037719A"/>
    <w:rsid w:val="00386950"/>
    <w:rsid w:val="0038788A"/>
    <w:rsid w:val="00391A99"/>
    <w:rsid w:val="00391F53"/>
    <w:rsid w:val="00392518"/>
    <w:rsid w:val="00393701"/>
    <w:rsid w:val="0039388C"/>
    <w:rsid w:val="0039538E"/>
    <w:rsid w:val="003957C7"/>
    <w:rsid w:val="0039581F"/>
    <w:rsid w:val="0039611C"/>
    <w:rsid w:val="00396E50"/>
    <w:rsid w:val="003978B6"/>
    <w:rsid w:val="00397A94"/>
    <w:rsid w:val="003A0BFF"/>
    <w:rsid w:val="003A242E"/>
    <w:rsid w:val="003A2619"/>
    <w:rsid w:val="003A28BE"/>
    <w:rsid w:val="003A2A49"/>
    <w:rsid w:val="003A4AC2"/>
    <w:rsid w:val="003A4EAB"/>
    <w:rsid w:val="003A6C18"/>
    <w:rsid w:val="003A761B"/>
    <w:rsid w:val="003A7A79"/>
    <w:rsid w:val="003B1064"/>
    <w:rsid w:val="003B12F1"/>
    <w:rsid w:val="003B1856"/>
    <w:rsid w:val="003B1910"/>
    <w:rsid w:val="003B19BC"/>
    <w:rsid w:val="003B1D5C"/>
    <w:rsid w:val="003B1E9A"/>
    <w:rsid w:val="003B38CB"/>
    <w:rsid w:val="003B3BB0"/>
    <w:rsid w:val="003B5352"/>
    <w:rsid w:val="003B6ABD"/>
    <w:rsid w:val="003B7912"/>
    <w:rsid w:val="003C0EC0"/>
    <w:rsid w:val="003C0FE9"/>
    <w:rsid w:val="003C55CA"/>
    <w:rsid w:val="003C5E94"/>
    <w:rsid w:val="003D0F3F"/>
    <w:rsid w:val="003D4F3F"/>
    <w:rsid w:val="003E0169"/>
    <w:rsid w:val="003E0A63"/>
    <w:rsid w:val="003E1A1A"/>
    <w:rsid w:val="003E224B"/>
    <w:rsid w:val="003E4519"/>
    <w:rsid w:val="003E4525"/>
    <w:rsid w:val="003E5AB4"/>
    <w:rsid w:val="003E7652"/>
    <w:rsid w:val="003E768D"/>
    <w:rsid w:val="0040156B"/>
    <w:rsid w:val="0040366C"/>
    <w:rsid w:val="00404CC3"/>
    <w:rsid w:val="0040522B"/>
    <w:rsid w:val="00407554"/>
    <w:rsid w:val="00411A65"/>
    <w:rsid w:val="0041276D"/>
    <w:rsid w:val="0041324F"/>
    <w:rsid w:val="0041684C"/>
    <w:rsid w:val="00417128"/>
    <w:rsid w:val="00417A08"/>
    <w:rsid w:val="00417B1F"/>
    <w:rsid w:val="00417FA6"/>
    <w:rsid w:val="00420E82"/>
    <w:rsid w:val="004233FA"/>
    <w:rsid w:val="00423A64"/>
    <w:rsid w:val="00424CA0"/>
    <w:rsid w:val="004326CE"/>
    <w:rsid w:val="00435076"/>
    <w:rsid w:val="00436059"/>
    <w:rsid w:val="004366EF"/>
    <w:rsid w:val="00436B48"/>
    <w:rsid w:val="00436EC5"/>
    <w:rsid w:val="0044142A"/>
    <w:rsid w:val="004425A4"/>
    <w:rsid w:val="00442AA3"/>
    <w:rsid w:val="00444891"/>
    <w:rsid w:val="004450CB"/>
    <w:rsid w:val="004459EA"/>
    <w:rsid w:val="0045674B"/>
    <w:rsid w:val="00460279"/>
    <w:rsid w:val="00460692"/>
    <w:rsid w:val="00460B5F"/>
    <w:rsid w:val="00460E71"/>
    <w:rsid w:val="004617E3"/>
    <w:rsid w:val="0046381F"/>
    <w:rsid w:val="004639AF"/>
    <w:rsid w:val="00463BC6"/>
    <w:rsid w:val="00464631"/>
    <w:rsid w:val="00465580"/>
    <w:rsid w:val="00466330"/>
    <w:rsid w:val="0046745C"/>
    <w:rsid w:val="00467EDD"/>
    <w:rsid w:val="00470CF0"/>
    <w:rsid w:val="00471001"/>
    <w:rsid w:val="00471C15"/>
    <w:rsid w:val="004720B3"/>
    <w:rsid w:val="00472242"/>
    <w:rsid w:val="004731E6"/>
    <w:rsid w:val="0047733A"/>
    <w:rsid w:val="00477899"/>
    <w:rsid w:val="0048009E"/>
    <w:rsid w:val="0048096F"/>
    <w:rsid w:val="00482B37"/>
    <w:rsid w:val="00484F54"/>
    <w:rsid w:val="004862E9"/>
    <w:rsid w:val="004863BB"/>
    <w:rsid w:val="0049030B"/>
    <w:rsid w:val="004951C3"/>
    <w:rsid w:val="0049671F"/>
    <w:rsid w:val="00496BEA"/>
    <w:rsid w:val="00497DD8"/>
    <w:rsid w:val="00497E32"/>
    <w:rsid w:val="004A1921"/>
    <w:rsid w:val="004A1B1A"/>
    <w:rsid w:val="004A6D05"/>
    <w:rsid w:val="004B389C"/>
    <w:rsid w:val="004B555E"/>
    <w:rsid w:val="004C07AD"/>
    <w:rsid w:val="004C0A33"/>
    <w:rsid w:val="004C2379"/>
    <w:rsid w:val="004C348E"/>
    <w:rsid w:val="004C3AFB"/>
    <w:rsid w:val="004C3BE7"/>
    <w:rsid w:val="004C5398"/>
    <w:rsid w:val="004C72D0"/>
    <w:rsid w:val="004C7695"/>
    <w:rsid w:val="004D266E"/>
    <w:rsid w:val="004D2778"/>
    <w:rsid w:val="004D3842"/>
    <w:rsid w:val="004D545F"/>
    <w:rsid w:val="004D57CF"/>
    <w:rsid w:val="004D7BC8"/>
    <w:rsid w:val="004D7D89"/>
    <w:rsid w:val="004E1322"/>
    <w:rsid w:val="004E53E0"/>
    <w:rsid w:val="004E66AD"/>
    <w:rsid w:val="004E6C0E"/>
    <w:rsid w:val="004F0CD1"/>
    <w:rsid w:val="004F2777"/>
    <w:rsid w:val="004F329C"/>
    <w:rsid w:val="004F51CC"/>
    <w:rsid w:val="004F6D6F"/>
    <w:rsid w:val="005001CE"/>
    <w:rsid w:val="00500744"/>
    <w:rsid w:val="005018F0"/>
    <w:rsid w:val="00502319"/>
    <w:rsid w:val="00502EC4"/>
    <w:rsid w:val="0050403F"/>
    <w:rsid w:val="00504563"/>
    <w:rsid w:val="00504A45"/>
    <w:rsid w:val="00504D47"/>
    <w:rsid w:val="00505819"/>
    <w:rsid w:val="005163D0"/>
    <w:rsid w:val="00520F86"/>
    <w:rsid w:val="005214C2"/>
    <w:rsid w:val="00524D46"/>
    <w:rsid w:val="00532F5B"/>
    <w:rsid w:val="005335EA"/>
    <w:rsid w:val="00534703"/>
    <w:rsid w:val="00536116"/>
    <w:rsid w:val="00537C7E"/>
    <w:rsid w:val="005412DE"/>
    <w:rsid w:val="005418ED"/>
    <w:rsid w:val="005433D9"/>
    <w:rsid w:val="00543823"/>
    <w:rsid w:val="00550E76"/>
    <w:rsid w:val="00553534"/>
    <w:rsid w:val="0055610C"/>
    <w:rsid w:val="00556F70"/>
    <w:rsid w:val="00557080"/>
    <w:rsid w:val="005572B2"/>
    <w:rsid w:val="005576CD"/>
    <w:rsid w:val="00564008"/>
    <w:rsid w:val="00565E55"/>
    <w:rsid w:val="005662ED"/>
    <w:rsid w:val="005669C0"/>
    <w:rsid w:val="00567AED"/>
    <w:rsid w:val="00571007"/>
    <w:rsid w:val="005715E6"/>
    <w:rsid w:val="00572977"/>
    <w:rsid w:val="00572D87"/>
    <w:rsid w:val="0057378D"/>
    <w:rsid w:val="0057672B"/>
    <w:rsid w:val="005810CA"/>
    <w:rsid w:val="00581B60"/>
    <w:rsid w:val="005831E9"/>
    <w:rsid w:val="00583721"/>
    <w:rsid w:val="0058726A"/>
    <w:rsid w:val="005875B2"/>
    <w:rsid w:val="005914FE"/>
    <w:rsid w:val="00593C88"/>
    <w:rsid w:val="00596597"/>
    <w:rsid w:val="00596F87"/>
    <w:rsid w:val="005A027A"/>
    <w:rsid w:val="005A0A17"/>
    <w:rsid w:val="005A0E7B"/>
    <w:rsid w:val="005A0FB3"/>
    <w:rsid w:val="005A1EBE"/>
    <w:rsid w:val="005A7EA1"/>
    <w:rsid w:val="005B091B"/>
    <w:rsid w:val="005B18F0"/>
    <w:rsid w:val="005B5E2E"/>
    <w:rsid w:val="005B6144"/>
    <w:rsid w:val="005B7266"/>
    <w:rsid w:val="005B7843"/>
    <w:rsid w:val="005C2CC6"/>
    <w:rsid w:val="005C430C"/>
    <w:rsid w:val="005C43DD"/>
    <w:rsid w:val="005C4C7B"/>
    <w:rsid w:val="005D2857"/>
    <w:rsid w:val="005D71DE"/>
    <w:rsid w:val="005E1E8A"/>
    <w:rsid w:val="005E1EAF"/>
    <w:rsid w:val="005E1F83"/>
    <w:rsid w:val="005E20AE"/>
    <w:rsid w:val="005F0ADC"/>
    <w:rsid w:val="005F12F1"/>
    <w:rsid w:val="005F44B7"/>
    <w:rsid w:val="005F5D1C"/>
    <w:rsid w:val="0060114F"/>
    <w:rsid w:val="0060149A"/>
    <w:rsid w:val="00602532"/>
    <w:rsid w:val="00612D1E"/>
    <w:rsid w:val="0061302B"/>
    <w:rsid w:val="006133B7"/>
    <w:rsid w:val="00614284"/>
    <w:rsid w:val="006161AA"/>
    <w:rsid w:val="00617CF9"/>
    <w:rsid w:val="00622896"/>
    <w:rsid w:val="00623DE9"/>
    <w:rsid w:val="00624B16"/>
    <w:rsid w:val="00624CD1"/>
    <w:rsid w:val="00626999"/>
    <w:rsid w:val="00631E72"/>
    <w:rsid w:val="00631F9A"/>
    <w:rsid w:val="00635CCA"/>
    <w:rsid w:val="00637120"/>
    <w:rsid w:val="00641B43"/>
    <w:rsid w:val="00643C04"/>
    <w:rsid w:val="006444EC"/>
    <w:rsid w:val="006448A1"/>
    <w:rsid w:val="0065058E"/>
    <w:rsid w:val="00651F26"/>
    <w:rsid w:val="006554E3"/>
    <w:rsid w:val="006556E7"/>
    <w:rsid w:val="00655E41"/>
    <w:rsid w:val="006563FE"/>
    <w:rsid w:val="0065702E"/>
    <w:rsid w:val="006637AC"/>
    <w:rsid w:val="00670636"/>
    <w:rsid w:val="006713C7"/>
    <w:rsid w:val="00672C8C"/>
    <w:rsid w:val="0067410B"/>
    <w:rsid w:val="00674DDA"/>
    <w:rsid w:val="006756E2"/>
    <w:rsid w:val="006769AD"/>
    <w:rsid w:val="00676F84"/>
    <w:rsid w:val="0068066F"/>
    <w:rsid w:val="0068297D"/>
    <w:rsid w:val="00684D78"/>
    <w:rsid w:val="00687698"/>
    <w:rsid w:val="00687D30"/>
    <w:rsid w:val="00691D96"/>
    <w:rsid w:val="006942B4"/>
    <w:rsid w:val="0069496F"/>
    <w:rsid w:val="00694A84"/>
    <w:rsid w:val="00696032"/>
    <w:rsid w:val="00696FEC"/>
    <w:rsid w:val="006A2388"/>
    <w:rsid w:val="006A3C30"/>
    <w:rsid w:val="006A7B55"/>
    <w:rsid w:val="006B28CB"/>
    <w:rsid w:val="006B53E8"/>
    <w:rsid w:val="006B53EF"/>
    <w:rsid w:val="006B5CC7"/>
    <w:rsid w:val="006B63E9"/>
    <w:rsid w:val="006C19C9"/>
    <w:rsid w:val="006C4F19"/>
    <w:rsid w:val="006C57B8"/>
    <w:rsid w:val="006C75A2"/>
    <w:rsid w:val="006D0662"/>
    <w:rsid w:val="006D123B"/>
    <w:rsid w:val="006D1B18"/>
    <w:rsid w:val="006D589B"/>
    <w:rsid w:val="006D6E55"/>
    <w:rsid w:val="006E1B05"/>
    <w:rsid w:val="006E24B0"/>
    <w:rsid w:val="006E306D"/>
    <w:rsid w:val="006E31EC"/>
    <w:rsid w:val="006E3DC0"/>
    <w:rsid w:val="006E3E30"/>
    <w:rsid w:val="006E4493"/>
    <w:rsid w:val="006E5012"/>
    <w:rsid w:val="006E5E9A"/>
    <w:rsid w:val="006E6428"/>
    <w:rsid w:val="006E6AF9"/>
    <w:rsid w:val="006E7431"/>
    <w:rsid w:val="006F02D5"/>
    <w:rsid w:val="006F41A4"/>
    <w:rsid w:val="006F41C8"/>
    <w:rsid w:val="006F50E5"/>
    <w:rsid w:val="006F76A4"/>
    <w:rsid w:val="00701F70"/>
    <w:rsid w:val="0070700D"/>
    <w:rsid w:val="007070D7"/>
    <w:rsid w:val="00707C2C"/>
    <w:rsid w:val="0071028F"/>
    <w:rsid w:val="00711FBD"/>
    <w:rsid w:val="0071566E"/>
    <w:rsid w:val="00715A5F"/>
    <w:rsid w:val="00720F69"/>
    <w:rsid w:val="00721354"/>
    <w:rsid w:val="007214E1"/>
    <w:rsid w:val="007215B3"/>
    <w:rsid w:val="00721FB5"/>
    <w:rsid w:val="0072462D"/>
    <w:rsid w:val="00726526"/>
    <w:rsid w:val="007269C1"/>
    <w:rsid w:val="00726DAD"/>
    <w:rsid w:val="007279B0"/>
    <w:rsid w:val="00731A58"/>
    <w:rsid w:val="00733656"/>
    <w:rsid w:val="00735EAA"/>
    <w:rsid w:val="007367F2"/>
    <w:rsid w:val="007368B1"/>
    <w:rsid w:val="00737C3D"/>
    <w:rsid w:val="00740A51"/>
    <w:rsid w:val="00741639"/>
    <w:rsid w:val="00742A45"/>
    <w:rsid w:val="0074374E"/>
    <w:rsid w:val="00745C5A"/>
    <w:rsid w:val="00746734"/>
    <w:rsid w:val="00747576"/>
    <w:rsid w:val="007503A6"/>
    <w:rsid w:val="00752B49"/>
    <w:rsid w:val="00757F67"/>
    <w:rsid w:val="00770615"/>
    <w:rsid w:val="007738B9"/>
    <w:rsid w:val="00773CD6"/>
    <w:rsid w:val="00777FB1"/>
    <w:rsid w:val="00780D81"/>
    <w:rsid w:val="00780DB5"/>
    <w:rsid w:val="00780E0C"/>
    <w:rsid w:val="00781AB7"/>
    <w:rsid w:val="00781B1B"/>
    <w:rsid w:val="00782715"/>
    <w:rsid w:val="007904BD"/>
    <w:rsid w:val="007918B8"/>
    <w:rsid w:val="007928DE"/>
    <w:rsid w:val="00793AAE"/>
    <w:rsid w:val="00795B1B"/>
    <w:rsid w:val="00796A37"/>
    <w:rsid w:val="007A126A"/>
    <w:rsid w:val="007A2002"/>
    <w:rsid w:val="007A2A83"/>
    <w:rsid w:val="007A4815"/>
    <w:rsid w:val="007A5712"/>
    <w:rsid w:val="007A6DDE"/>
    <w:rsid w:val="007A75F9"/>
    <w:rsid w:val="007A7731"/>
    <w:rsid w:val="007B1DD8"/>
    <w:rsid w:val="007B21C8"/>
    <w:rsid w:val="007B2E03"/>
    <w:rsid w:val="007B3A0C"/>
    <w:rsid w:val="007B4DC7"/>
    <w:rsid w:val="007B6787"/>
    <w:rsid w:val="007B75D0"/>
    <w:rsid w:val="007C26E8"/>
    <w:rsid w:val="007C2716"/>
    <w:rsid w:val="007C4E9E"/>
    <w:rsid w:val="007C65ED"/>
    <w:rsid w:val="007C6814"/>
    <w:rsid w:val="007C6DD1"/>
    <w:rsid w:val="007D0527"/>
    <w:rsid w:val="007D0A8C"/>
    <w:rsid w:val="007D1772"/>
    <w:rsid w:val="007D2B0C"/>
    <w:rsid w:val="007D54E9"/>
    <w:rsid w:val="007D69E9"/>
    <w:rsid w:val="007E0774"/>
    <w:rsid w:val="007E0FB0"/>
    <w:rsid w:val="007E3723"/>
    <w:rsid w:val="007E3D32"/>
    <w:rsid w:val="007E3DC6"/>
    <w:rsid w:val="007E5BBF"/>
    <w:rsid w:val="007E617B"/>
    <w:rsid w:val="007E65E6"/>
    <w:rsid w:val="007E6AFC"/>
    <w:rsid w:val="007E741C"/>
    <w:rsid w:val="007E7CAE"/>
    <w:rsid w:val="007F10E8"/>
    <w:rsid w:val="007F24BE"/>
    <w:rsid w:val="007F4DDB"/>
    <w:rsid w:val="007F4ED0"/>
    <w:rsid w:val="007F784F"/>
    <w:rsid w:val="007F7881"/>
    <w:rsid w:val="008011C2"/>
    <w:rsid w:val="00804C27"/>
    <w:rsid w:val="00806789"/>
    <w:rsid w:val="00810A1D"/>
    <w:rsid w:val="0081496C"/>
    <w:rsid w:val="00816499"/>
    <w:rsid w:val="00820359"/>
    <w:rsid w:val="00821627"/>
    <w:rsid w:val="00823D63"/>
    <w:rsid w:val="00825BBA"/>
    <w:rsid w:val="008267D8"/>
    <w:rsid w:val="0082755B"/>
    <w:rsid w:val="00831BC4"/>
    <w:rsid w:val="00831FEC"/>
    <w:rsid w:val="0083278E"/>
    <w:rsid w:val="00832A1C"/>
    <w:rsid w:val="00832DCC"/>
    <w:rsid w:val="008347F3"/>
    <w:rsid w:val="008360C2"/>
    <w:rsid w:val="00840E34"/>
    <w:rsid w:val="00841F64"/>
    <w:rsid w:val="00842560"/>
    <w:rsid w:val="0084287B"/>
    <w:rsid w:val="00842916"/>
    <w:rsid w:val="008448EF"/>
    <w:rsid w:val="0085312C"/>
    <w:rsid w:val="00854BC9"/>
    <w:rsid w:val="00855FE4"/>
    <w:rsid w:val="00856D6F"/>
    <w:rsid w:val="00860ABF"/>
    <w:rsid w:val="00861633"/>
    <w:rsid w:val="00862665"/>
    <w:rsid w:val="00863210"/>
    <w:rsid w:val="00865211"/>
    <w:rsid w:val="008657F5"/>
    <w:rsid w:val="008664CA"/>
    <w:rsid w:val="00867018"/>
    <w:rsid w:val="0087151D"/>
    <w:rsid w:val="00871E23"/>
    <w:rsid w:val="00872E59"/>
    <w:rsid w:val="008762FA"/>
    <w:rsid w:val="00876646"/>
    <w:rsid w:val="008768A1"/>
    <w:rsid w:val="008773EC"/>
    <w:rsid w:val="00881D18"/>
    <w:rsid w:val="00885984"/>
    <w:rsid w:val="0088682F"/>
    <w:rsid w:val="00891B62"/>
    <w:rsid w:val="008922BD"/>
    <w:rsid w:val="0089360B"/>
    <w:rsid w:val="00893F5A"/>
    <w:rsid w:val="00895D29"/>
    <w:rsid w:val="00896A78"/>
    <w:rsid w:val="00897E45"/>
    <w:rsid w:val="008A115B"/>
    <w:rsid w:val="008A4A28"/>
    <w:rsid w:val="008A59D5"/>
    <w:rsid w:val="008A59D8"/>
    <w:rsid w:val="008A65DA"/>
    <w:rsid w:val="008B1030"/>
    <w:rsid w:val="008B255B"/>
    <w:rsid w:val="008B32AC"/>
    <w:rsid w:val="008B471D"/>
    <w:rsid w:val="008B678C"/>
    <w:rsid w:val="008C126C"/>
    <w:rsid w:val="008C3B3E"/>
    <w:rsid w:val="008C3CF5"/>
    <w:rsid w:val="008C7EA1"/>
    <w:rsid w:val="008D0868"/>
    <w:rsid w:val="008D1DCB"/>
    <w:rsid w:val="008D38FD"/>
    <w:rsid w:val="008D6B5C"/>
    <w:rsid w:val="008D6BF4"/>
    <w:rsid w:val="008D722D"/>
    <w:rsid w:val="008D7470"/>
    <w:rsid w:val="008E03D1"/>
    <w:rsid w:val="008E0563"/>
    <w:rsid w:val="008E0AB5"/>
    <w:rsid w:val="008E0E13"/>
    <w:rsid w:val="008E2794"/>
    <w:rsid w:val="008E2CD9"/>
    <w:rsid w:val="008E2CDC"/>
    <w:rsid w:val="008E4DC9"/>
    <w:rsid w:val="008F0483"/>
    <w:rsid w:val="008F22FA"/>
    <w:rsid w:val="008F3FF5"/>
    <w:rsid w:val="008F4DBA"/>
    <w:rsid w:val="008F590A"/>
    <w:rsid w:val="008F60FF"/>
    <w:rsid w:val="008F69D3"/>
    <w:rsid w:val="008F742E"/>
    <w:rsid w:val="00901700"/>
    <w:rsid w:val="00902145"/>
    <w:rsid w:val="00902229"/>
    <w:rsid w:val="00902545"/>
    <w:rsid w:val="009026B6"/>
    <w:rsid w:val="00903EA4"/>
    <w:rsid w:val="00905357"/>
    <w:rsid w:val="0090560F"/>
    <w:rsid w:val="00907E7C"/>
    <w:rsid w:val="009103BF"/>
    <w:rsid w:val="00911D2C"/>
    <w:rsid w:val="009120F8"/>
    <w:rsid w:val="00912A48"/>
    <w:rsid w:val="00913338"/>
    <w:rsid w:val="00915F88"/>
    <w:rsid w:val="00916A4B"/>
    <w:rsid w:val="0092171D"/>
    <w:rsid w:val="00921AB0"/>
    <w:rsid w:val="0092204C"/>
    <w:rsid w:val="009301A8"/>
    <w:rsid w:val="00930A40"/>
    <w:rsid w:val="009311CC"/>
    <w:rsid w:val="009321CB"/>
    <w:rsid w:val="00933B8A"/>
    <w:rsid w:val="00934DA2"/>
    <w:rsid w:val="00937B13"/>
    <w:rsid w:val="009402AD"/>
    <w:rsid w:val="009431B1"/>
    <w:rsid w:val="00944151"/>
    <w:rsid w:val="0094481A"/>
    <w:rsid w:val="009474B0"/>
    <w:rsid w:val="00947531"/>
    <w:rsid w:val="00951AD3"/>
    <w:rsid w:val="00953423"/>
    <w:rsid w:val="0095386F"/>
    <w:rsid w:val="009541CE"/>
    <w:rsid w:val="00954B74"/>
    <w:rsid w:val="0095722D"/>
    <w:rsid w:val="009572CA"/>
    <w:rsid w:val="009579AA"/>
    <w:rsid w:val="009605D7"/>
    <w:rsid w:val="009610A3"/>
    <w:rsid w:val="00963459"/>
    <w:rsid w:val="00967FAF"/>
    <w:rsid w:val="00973D04"/>
    <w:rsid w:val="00973D0F"/>
    <w:rsid w:val="009837F0"/>
    <w:rsid w:val="00984DFB"/>
    <w:rsid w:val="009856B2"/>
    <w:rsid w:val="00985B35"/>
    <w:rsid w:val="0098735A"/>
    <w:rsid w:val="00987A2C"/>
    <w:rsid w:val="009900A6"/>
    <w:rsid w:val="00990598"/>
    <w:rsid w:val="00991F6B"/>
    <w:rsid w:val="0099208B"/>
    <w:rsid w:val="00992C46"/>
    <w:rsid w:val="00993543"/>
    <w:rsid w:val="009A0DF4"/>
    <w:rsid w:val="009A1F1E"/>
    <w:rsid w:val="009A2350"/>
    <w:rsid w:val="009A318B"/>
    <w:rsid w:val="009A4D2F"/>
    <w:rsid w:val="009B2E3E"/>
    <w:rsid w:val="009B5D63"/>
    <w:rsid w:val="009B65D5"/>
    <w:rsid w:val="009B6B87"/>
    <w:rsid w:val="009B7498"/>
    <w:rsid w:val="009C1029"/>
    <w:rsid w:val="009C3CB9"/>
    <w:rsid w:val="009C5CD3"/>
    <w:rsid w:val="009C69D9"/>
    <w:rsid w:val="009C7C82"/>
    <w:rsid w:val="009D010E"/>
    <w:rsid w:val="009D388B"/>
    <w:rsid w:val="009D5A4E"/>
    <w:rsid w:val="009E18F8"/>
    <w:rsid w:val="009E364E"/>
    <w:rsid w:val="009E4DC1"/>
    <w:rsid w:val="009F0467"/>
    <w:rsid w:val="00A03476"/>
    <w:rsid w:val="00A051D2"/>
    <w:rsid w:val="00A105EE"/>
    <w:rsid w:val="00A10783"/>
    <w:rsid w:val="00A108EB"/>
    <w:rsid w:val="00A1170B"/>
    <w:rsid w:val="00A12B47"/>
    <w:rsid w:val="00A139BE"/>
    <w:rsid w:val="00A13FA7"/>
    <w:rsid w:val="00A14774"/>
    <w:rsid w:val="00A15B94"/>
    <w:rsid w:val="00A16F22"/>
    <w:rsid w:val="00A17190"/>
    <w:rsid w:val="00A20DA9"/>
    <w:rsid w:val="00A22B6B"/>
    <w:rsid w:val="00A23105"/>
    <w:rsid w:val="00A23A4B"/>
    <w:rsid w:val="00A2769B"/>
    <w:rsid w:val="00A27800"/>
    <w:rsid w:val="00A27FDE"/>
    <w:rsid w:val="00A3230F"/>
    <w:rsid w:val="00A33273"/>
    <w:rsid w:val="00A374F9"/>
    <w:rsid w:val="00A4216C"/>
    <w:rsid w:val="00A441CB"/>
    <w:rsid w:val="00A46098"/>
    <w:rsid w:val="00A47D18"/>
    <w:rsid w:val="00A52934"/>
    <w:rsid w:val="00A56C3F"/>
    <w:rsid w:val="00A629C5"/>
    <w:rsid w:val="00A638AD"/>
    <w:rsid w:val="00A64A58"/>
    <w:rsid w:val="00A65ED8"/>
    <w:rsid w:val="00A67B5D"/>
    <w:rsid w:val="00A70FC6"/>
    <w:rsid w:val="00A72A4D"/>
    <w:rsid w:val="00A73046"/>
    <w:rsid w:val="00A73ECE"/>
    <w:rsid w:val="00A74796"/>
    <w:rsid w:val="00A84D7D"/>
    <w:rsid w:val="00A85934"/>
    <w:rsid w:val="00A859B6"/>
    <w:rsid w:val="00A87F09"/>
    <w:rsid w:val="00A90B5E"/>
    <w:rsid w:val="00A90CC6"/>
    <w:rsid w:val="00A915BE"/>
    <w:rsid w:val="00A91D56"/>
    <w:rsid w:val="00A926CA"/>
    <w:rsid w:val="00A92974"/>
    <w:rsid w:val="00A94966"/>
    <w:rsid w:val="00A95A1A"/>
    <w:rsid w:val="00A96290"/>
    <w:rsid w:val="00A97CCF"/>
    <w:rsid w:val="00AA0E18"/>
    <w:rsid w:val="00AA2CB4"/>
    <w:rsid w:val="00AA40FC"/>
    <w:rsid w:val="00AA51CB"/>
    <w:rsid w:val="00AB0011"/>
    <w:rsid w:val="00AB058F"/>
    <w:rsid w:val="00AB064C"/>
    <w:rsid w:val="00AB4166"/>
    <w:rsid w:val="00AB581E"/>
    <w:rsid w:val="00AB6456"/>
    <w:rsid w:val="00AC0312"/>
    <w:rsid w:val="00AC333E"/>
    <w:rsid w:val="00AC49C7"/>
    <w:rsid w:val="00AC6706"/>
    <w:rsid w:val="00AC6973"/>
    <w:rsid w:val="00AC7586"/>
    <w:rsid w:val="00AD195A"/>
    <w:rsid w:val="00AD211B"/>
    <w:rsid w:val="00AD4CB2"/>
    <w:rsid w:val="00AD6F2B"/>
    <w:rsid w:val="00AE1F1D"/>
    <w:rsid w:val="00AE229E"/>
    <w:rsid w:val="00AE5A6B"/>
    <w:rsid w:val="00AF0FF0"/>
    <w:rsid w:val="00AF2696"/>
    <w:rsid w:val="00AF2814"/>
    <w:rsid w:val="00AF4E27"/>
    <w:rsid w:val="00AF557B"/>
    <w:rsid w:val="00AF5A76"/>
    <w:rsid w:val="00AF7C1F"/>
    <w:rsid w:val="00B013A8"/>
    <w:rsid w:val="00B01673"/>
    <w:rsid w:val="00B0310D"/>
    <w:rsid w:val="00B04385"/>
    <w:rsid w:val="00B049E8"/>
    <w:rsid w:val="00B069BC"/>
    <w:rsid w:val="00B11955"/>
    <w:rsid w:val="00B12B41"/>
    <w:rsid w:val="00B12CF4"/>
    <w:rsid w:val="00B141A4"/>
    <w:rsid w:val="00B1439C"/>
    <w:rsid w:val="00B21FA8"/>
    <w:rsid w:val="00B23E4E"/>
    <w:rsid w:val="00B2569E"/>
    <w:rsid w:val="00B26799"/>
    <w:rsid w:val="00B278F1"/>
    <w:rsid w:val="00B27C2F"/>
    <w:rsid w:val="00B32708"/>
    <w:rsid w:val="00B41DFC"/>
    <w:rsid w:val="00B4644E"/>
    <w:rsid w:val="00B54675"/>
    <w:rsid w:val="00B55C32"/>
    <w:rsid w:val="00B577B5"/>
    <w:rsid w:val="00B601D7"/>
    <w:rsid w:val="00B61C51"/>
    <w:rsid w:val="00B622BC"/>
    <w:rsid w:val="00B62562"/>
    <w:rsid w:val="00B661EC"/>
    <w:rsid w:val="00B705FF"/>
    <w:rsid w:val="00B7332C"/>
    <w:rsid w:val="00B7405B"/>
    <w:rsid w:val="00B76C9A"/>
    <w:rsid w:val="00B775AE"/>
    <w:rsid w:val="00B77643"/>
    <w:rsid w:val="00B8398A"/>
    <w:rsid w:val="00B85073"/>
    <w:rsid w:val="00B850E7"/>
    <w:rsid w:val="00B853F4"/>
    <w:rsid w:val="00B85932"/>
    <w:rsid w:val="00B86605"/>
    <w:rsid w:val="00B90429"/>
    <w:rsid w:val="00B91B35"/>
    <w:rsid w:val="00B92E8E"/>
    <w:rsid w:val="00B94668"/>
    <w:rsid w:val="00BA1C4D"/>
    <w:rsid w:val="00BA3427"/>
    <w:rsid w:val="00BA3520"/>
    <w:rsid w:val="00BA5015"/>
    <w:rsid w:val="00BA7751"/>
    <w:rsid w:val="00BA7ACF"/>
    <w:rsid w:val="00BB2BF1"/>
    <w:rsid w:val="00BB2C64"/>
    <w:rsid w:val="00BB3200"/>
    <w:rsid w:val="00BB5981"/>
    <w:rsid w:val="00BB646C"/>
    <w:rsid w:val="00BB70A4"/>
    <w:rsid w:val="00BB71FD"/>
    <w:rsid w:val="00BC179F"/>
    <w:rsid w:val="00BC3483"/>
    <w:rsid w:val="00BC3C54"/>
    <w:rsid w:val="00BC5683"/>
    <w:rsid w:val="00BD2A66"/>
    <w:rsid w:val="00BD334B"/>
    <w:rsid w:val="00BD411D"/>
    <w:rsid w:val="00BD6A65"/>
    <w:rsid w:val="00BD7DCA"/>
    <w:rsid w:val="00BE0714"/>
    <w:rsid w:val="00BE1C62"/>
    <w:rsid w:val="00BE3892"/>
    <w:rsid w:val="00BE497E"/>
    <w:rsid w:val="00BE4D55"/>
    <w:rsid w:val="00BE5212"/>
    <w:rsid w:val="00BE79B6"/>
    <w:rsid w:val="00BF0AA9"/>
    <w:rsid w:val="00BF2B5A"/>
    <w:rsid w:val="00BF37F3"/>
    <w:rsid w:val="00BF3D20"/>
    <w:rsid w:val="00BF4284"/>
    <w:rsid w:val="00BF56F6"/>
    <w:rsid w:val="00BF7A66"/>
    <w:rsid w:val="00C0271A"/>
    <w:rsid w:val="00C02F9E"/>
    <w:rsid w:val="00C0307A"/>
    <w:rsid w:val="00C0394E"/>
    <w:rsid w:val="00C0556C"/>
    <w:rsid w:val="00C151F9"/>
    <w:rsid w:val="00C1556C"/>
    <w:rsid w:val="00C217B0"/>
    <w:rsid w:val="00C22745"/>
    <w:rsid w:val="00C233E6"/>
    <w:rsid w:val="00C237CA"/>
    <w:rsid w:val="00C2425C"/>
    <w:rsid w:val="00C24F7F"/>
    <w:rsid w:val="00C325FB"/>
    <w:rsid w:val="00C327A3"/>
    <w:rsid w:val="00C32FBF"/>
    <w:rsid w:val="00C35BE9"/>
    <w:rsid w:val="00C36FBB"/>
    <w:rsid w:val="00C37153"/>
    <w:rsid w:val="00C379FB"/>
    <w:rsid w:val="00C4064B"/>
    <w:rsid w:val="00C40B80"/>
    <w:rsid w:val="00C4162C"/>
    <w:rsid w:val="00C41F96"/>
    <w:rsid w:val="00C43A7C"/>
    <w:rsid w:val="00C4478E"/>
    <w:rsid w:val="00C46BC4"/>
    <w:rsid w:val="00C47329"/>
    <w:rsid w:val="00C50378"/>
    <w:rsid w:val="00C54004"/>
    <w:rsid w:val="00C572D3"/>
    <w:rsid w:val="00C6059B"/>
    <w:rsid w:val="00C63177"/>
    <w:rsid w:val="00C635E0"/>
    <w:rsid w:val="00C64BA1"/>
    <w:rsid w:val="00C65772"/>
    <w:rsid w:val="00C658A7"/>
    <w:rsid w:val="00C71557"/>
    <w:rsid w:val="00C73903"/>
    <w:rsid w:val="00C76A75"/>
    <w:rsid w:val="00C76C4B"/>
    <w:rsid w:val="00C77E51"/>
    <w:rsid w:val="00C81A63"/>
    <w:rsid w:val="00C833D0"/>
    <w:rsid w:val="00C86DF1"/>
    <w:rsid w:val="00C90878"/>
    <w:rsid w:val="00C9087C"/>
    <w:rsid w:val="00C911C9"/>
    <w:rsid w:val="00C92019"/>
    <w:rsid w:val="00C92851"/>
    <w:rsid w:val="00C93D42"/>
    <w:rsid w:val="00C9515D"/>
    <w:rsid w:val="00C952E2"/>
    <w:rsid w:val="00C95D14"/>
    <w:rsid w:val="00CA0A3B"/>
    <w:rsid w:val="00CA502D"/>
    <w:rsid w:val="00CA5B9B"/>
    <w:rsid w:val="00CA5D57"/>
    <w:rsid w:val="00CA5FDE"/>
    <w:rsid w:val="00CA68EE"/>
    <w:rsid w:val="00CA7EE9"/>
    <w:rsid w:val="00CB4B65"/>
    <w:rsid w:val="00CB4D87"/>
    <w:rsid w:val="00CB52D4"/>
    <w:rsid w:val="00CB7AA7"/>
    <w:rsid w:val="00CC4B79"/>
    <w:rsid w:val="00CC599E"/>
    <w:rsid w:val="00CC63B5"/>
    <w:rsid w:val="00CC7FE2"/>
    <w:rsid w:val="00CD3699"/>
    <w:rsid w:val="00CD6934"/>
    <w:rsid w:val="00CD6D2F"/>
    <w:rsid w:val="00CE06E0"/>
    <w:rsid w:val="00CE2302"/>
    <w:rsid w:val="00CE24CD"/>
    <w:rsid w:val="00CE2AC8"/>
    <w:rsid w:val="00CE33E2"/>
    <w:rsid w:val="00CE3CCB"/>
    <w:rsid w:val="00CE6D98"/>
    <w:rsid w:val="00CE7C1E"/>
    <w:rsid w:val="00CE7E07"/>
    <w:rsid w:val="00CF09E6"/>
    <w:rsid w:val="00CF1834"/>
    <w:rsid w:val="00CF23D0"/>
    <w:rsid w:val="00CF3173"/>
    <w:rsid w:val="00D01A92"/>
    <w:rsid w:val="00D06C85"/>
    <w:rsid w:val="00D072AD"/>
    <w:rsid w:val="00D072BB"/>
    <w:rsid w:val="00D10B08"/>
    <w:rsid w:val="00D1229B"/>
    <w:rsid w:val="00D123C5"/>
    <w:rsid w:val="00D13AA4"/>
    <w:rsid w:val="00D147F4"/>
    <w:rsid w:val="00D15209"/>
    <w:rsid w:val="00D16A30"/>
    <w:rsid w:val="00D17BF4"/>
    <w:rsid w:val="00D17E96"/>
    <w:rsid w:val="00D21D73"/>
    <w:rsid w:val="00D2280A"/>
    <w:rsid w:val="00D25061"/>
    <w:rsid w:val="00D26B53"/>
    <w:rsid w:val="00D30F05"/>
    <w:rsid w:val="00D32399"/>
    <w:rsid w:val="00D33ED5"/>
    <w:rsid w:val="00D34EE9"/>
    <w:rsid w:val="00D40011"/>
    <w:rsid w:val="00D40263"/>
    <w:rsid w:val="00D42B22"/>
    <w:rsid w:val="00D43E7D"/>
    <w:rsid w:val="00D443DD"/>
    <w:rsid w:val="00D466EE"/>
    <w:rsid w:val="00D46D53"/>
    <w:rsid w:val="00D4741A"/>
    <w:rsid w:val="00D47895"/>
    <w:rsid w:val="00D51371"/>
    <w:rsid w:val="00D55A0F"/>
    <w:rsid w:val="00D569EF"/>
    <w:rsid w:val="00D56E9E"/>
    <w:rsid w:val="00D62742"/>
    <w:rsid w:val="00D64B87"/>
    <w:rsid w:val="00D653FF"/>
    <w:rsid w:val="00D707D2"/>
    <w:rsid w:val="00D712CD"/>
    <w:rsid w:val="00D715B5"/>
    <w:rsid w:val="00D7304B"/>
    <w:rsid w:val="00D73216"/>
    <w:rsid w:val="00D77240"/>
    <w:rsid w:val="00D80005"/>
    <w:rsid w:val="00D81C9B"/>
    <w:rsid w:val="00D84FE6"/>
    <w:rsid w:val="00D900CA"/>
    <w:rsid w:val="00D90DCE"/>
    <w:rsid w:val="00D91597"/>
    <w:rsid w:val="00D91A62"/>
    <w:rsid w:val="00D91EA0"/>
    <w:rsid w:val="00D93E5F"/>
    <w:rsid w:val="00D93E6B"/>
    <w:rsid w:val="00D94485"/>
    <w:rsid w:val="00D95467"/>
    <w:rsid w:val="00D95870"/>
    <w:rsid w:val="00D95D39"/>
    <w:rsid w:val="00D96B32"/>
    <w:rsid w:val="00D9796C"/>
    <w:rsid w:val="00DA2078"/>
    <w:rsid w:val="00DA2EC5"/>
    <w:rsid w:val="00DA443F"/>
    <w:rsid w:val="00DA58C7"/>
    <w:rsid w:val="00DA5A67"/>
    <w:rsid w:val="00DA6775"/>
    <w:rsid w:val="00DA6AD1"/>
    <w:rsid w:val="00DA78EE"/>
    <w:rsid w:val="00DA7E22"/>
    <w:rsid w:val="00DB0884"/>
    <w:rsid w:val="00DB0A5B"/>
    <w:rsid w:val="00DB0A73"/>
    <w:rsid w:val="00DB11FE"/>
    <w:rsid w:val="00DB12AE"/>
    <w:rsid w:val="00DB3310"/>
    <w:rsid w:val="00DB36F3"/>
    <w:rsid w:val="00DB374B"/>
    <w:rsid w:val="00DB7BC8"/>
    <w:rsid w:val="00DC1FCE"/>
    <w:rsid w:val="00DC56AE"/>
    <w:rsid w:val="00DD04D9"/>
    <w:rsid w:val="00DD1D12"/>
    <w:rsid w:val="00DD3246"/>
    <w:rsid w:val="00DD353A"/>
    <w:rsid w:val="00DD4EA6"/>
    <w:rsid w:val="00DD71A3"/>
    <w:rsid w:val="00DE00FD"/>
    <w:rsid w:val="00DE1A97"/>
    <w:rsid w:val="00DE46FD"/>
    <w:rsid w:val="00DE521E"/>
    <w:rsid w:val="00DE599C"/>
    <w:rsid w:val="00DE71C6"/>
    <w:rsid w:val="00DF12EB"/>
    <w:rsid w:val="00DF162B"/>
    <w:rsid w:val="00DF4CCD"/>
    <w:rsid w:val="00DF7878"/>
    <w:rsid w:val="00E022B2"/>
    <w:rsid w:val="00E02A6A"/>
    <w:rsid w:val="00E07AE5"/>
    <w:rsid w:val="00E07BBC"/>
    <w:rsid w:val="00E1085D"/>
    <w:rsid w:val="00E109B4"/>
    <w:rsid w:val="00E117BB"/>
    <w:rsid w:val="00E11AD4"/>
    <w:rsid w:val="00E12914"/>
    <w:rsid w:val="00E164B2"/>
    <w:rsid w:val="00E17043"/>
    <w:rsid w:val="00E17BB1"/>
    <w:rsid w:val="00E222A7"/>
    <w:rsid w:val="00E22BC1"/>
    <w:rsid w:val="00E239DD"/>
    <w:rsid w:val="00E24DFF"/>
    <w:rsid w:val="00E25A96"/>
    <w:rsid w:val="00E263E2"/>
    <w:rsid w:val="00E3043C"/>
    <w:rsid w:val="00E30F7F"/>
    <w:rsid w:val="00E31F4A"/>
    <w:rsid w:val="00E35270"/>
    <w:rsid w:val="00E359B3"/>
    <w:rsid w:val="00E35FEC"/>
    <w:rsid w:val="00E35FFB"/>
    <w:rsid w:val="00E3609E"/>
    <w:rsid w:val="00E36A5A"/>
    <w:rsid w:val="00E36C8A"/>
    <w:rsid w:val="00E36EBF"/>
    <w:rsid w:val="00E41C92"/>
    <w:rsid w:val="00E450BD"/>
    <w:rsid w:val="00E46BC9"/>
    <w:rsid w:val="00E47000"/>
    <w:rsid w:val="00E506C4"/>
    <w:rsid w:val="00E52006"/>
    <w:rsid w:val="00E52123"/>
    <w:rsid w:val="00E526A8"/>
    <w:rsid w:val="00E52D56"/>
    <w:rsid w:val="00E52F09"/>
    <w:rsid w:val="00E55903"/>
    <w:rsid w:val="00E55AE0"/>
    <w:rsid w:val="00E562D9"/>
    <w:rsid w:val="00E5747E"/>
    <w:rsid w:val="00E574A0"/>
    <w:rsid w:val="00E61BC6"/>
    <w:rsid w:val="00E62B8E"/>
    <w:rsid w:val="00E6508A"/>
    <w:rsid w:val="00E65EDF"/>
    <w:rsid w:val="00E67624"/>
    <w:rsid w:val="00E67EB7"/>
    <w:rsid w:val="00E71114"/>
    <w:rsid w:val="00E72B89"/>
    <w:rsid w:val="00E7360F"/>
    <w:rsid w:val="00E75085"/>
    <w:rsid w:val="00E77073"/>
    <w:rsid w:val="00E77A48"/>
    <w:rsid w:val="00E802BE"/>
    <w:rsid w:val="00E81C63"/>
    <w:rsid w:val="00E838D5"/>
    <w:rsid w:val="00E844D1"/>
    <w:rsid w:val="00E84807"/>
    <w:rsid w:val="00E85B87"/>
    <w:rsid w:val="00E91EB5"/>
    <w:rsid w:val="00E93440"/>
    <w:rsid w:val="00E9472E"/>
    <w:rsid w:val="00E9742B"/>
    <w:rsid w:val="00E9790C"/>
    <w:rsid w:val="00EA000C"/>
    <w:rsid w:val="00EA09C1"/>
    <w:rsid w:val="00EA1DEB"/>
    <w:rsid w:val="00EA35D1"/>
    <w:rsid w:val="00EA6563"/>
    <w:rsid w:val="00EA7E95"/>
    <w:rsid w:val="00EB0926"/>
    <w:rsid w:val="00EB10DE"/>
    <w:rsid w:val="00EB2468"/>
    <w:rsid w:val="00EB43EE"/>
    <w:rsid w:val="00EB5151"/>
    <w:rsid w:val="00EB68BC"/>
    <w:rsid w:val="00EB6CA3"/>
    <w:rsid w:val="00EC0F78"/>
    <w:rsid w:val="00EC6BD3"/>
    <w:rsid w:val="00ED0809"/>
    <w:rsid w:val="00ED09DD"/>
    <w:rsid w:val="00ED2D60"/>
    <w:rsid w:val="00ED5349"/>
    <w:rsid w:val="00ED6C09"/>
    <w:rsid w:val="00ED6F2C"/>
    <w:rsid w:val="00ED775E"/>
    <w:rsid w:val="00EE0ABA"/>
    <w:rsid w:val="00EE0E68"/>
    <w:rsid w:val="00EE17E7"/>
    <w:rsid w:val="00EE1BA8"/>
    <w:rsid w:val="00EE3EB4"/>
    <w:rsid w:val="00EE5A6B"/>
    <w:rsid w:val="00EE6A9D"/>
    <w:rsid w:val="00EF55E4"/>
    <w:rsid w:val="00EF5726"/>
    <w:rsid w:val="00EF63A9"/>
    <w:rsid w:val="00EF69BF"/>
    <w:rsid w:val="00F00261"/>
    <w:rsid w:val="00F01ED8"/>
    <w:rsid w:val="00F02535"/>
    <w:rsid w:val="00F0273F"/>
    <w:rsid w:val="00F03104"/>
    <w:rsid w:val="00F0585E"/>
    <w:rsid w:val="00F061CD"/>
    <w:rsid w:val="00F10486"/>
    <w:rsid w:val="00F137AA"/>
    <w:rsid w:val="00F16156"/>
    <w:rsid w:val="00F20926"/>
    <w:rsid w:val="00F24AC3"/>
    <w:rsid w:val="00F27FAE"/>
    <w:rsid w:val="00F302B3"/>
    <w:rsid w:val="00F30B8C"/>
    <w:rsid w:val="00F31FE2"/>
    <w:rsid w:val="00F353A2"/>
    <w:rsid w:val="00F35AFB"/>
    <w:rsid w:val="00F4094D"/>
    <w:rsid w:val="00F44F2F"/>
    <w:rsid w:val="00F45F81"/>
    <w:rsid w:val="00F476DA"/>
    <w:rsid w:val="00F50228"/>
    <w:rsid w:val="00F50CD6"/>
    <w:rsid w:val="00F5193A"/>
    <w:rsid w:val="00F56152"/>
    <w:rsid w:val="00F56352"/>
    <w:rsid w:val="00F56928"/>
    <w:rsid w:val="00F631AA"/>
    <w:rsid w:val="00F637CA"/>
    <w:rsid w:val="00F6737C"/>
    <w:rsid w:val="00F71A6E"/>
    <w:rsid w:val="00F726DC"/>
    <w:rsid w:val="00F72D3C"/>
    <w:rsid w:val="00F743B9"/>
    <w:rsid w:val="00F75CBF"/>
    <w:rsid w:val="00F7688E"/>
    <w:rsid w:val="00F76F1B"/>
    <w:rsid w:val="00F8075A"/>
    <w:rsid w:val="00F822FB"/>
    <w:rsid w:val="00F840CA"/>
    <w:rsid w:val="00F85B83"/>
    <w:rsid w:val="00F86C93"/>
    <w:rsid w:val="00F90049"/>
    <w:rsid w:val="00F973BF"/>
    <w:rsid w:val="00F97AE6"/>
    <w:rsid w:val="00FA29F2"/>
    <w:rsid w:val="00FA3F53"/>
    <w:rsid w:val="00FA4722"/>
    <w:rsid w:val="00FA67B5"/>
    <w:rsid w:val="00FB042D"/>
    <w:rsid w:val="00FB1633"/>
    <w:rsid w:val="00FB2828"/>
    <w:rsid w:val="00FB2C56"/>
    <w:rsid w:val="00FB6E81"/>
    <w:rsid w:val="00FC00C2"/>
    <w:rsid w:val="00FC26EA"/>
    <w:rsid w:val="00FC31FE"/>
    <w:rsid w:val="00FC34EE"/>
    <w:rsid w:val="00FC44BC"/>
    <w:rsid w:val="00FC5FA4"/>
    <w:rsid w:val="00FC6C0E"/>
    <w:rsid w:val="00FD0D23"/>
    <w:rsid w:val="00FD103E"/>
    <w:rsid w:val="00FD1520"/>
    <w:rsid w:val="00FD5D85"/>
    <w:rsid w:val="00FD5FCE"/>
    <w:rsid w:val="00FD7826"/>
    <w:rsid w:val="00FD7C46"/>
    <w:rsid w:val="00FE0968"/>
    <w:rsid w:val="00FE169C"/>
    <w:rsid w:val="00FE223A"/>
    <w:rsid w:val="00FE2698"/>
    <w:rsid w:val="00FE2F7E"/>
    <w:rsid w:val="00FE2FC8"/>
    <w:rsid w:val="00FE48BE"/>
    <w:rsid w:val="00FE5C35"/>
    <w:rsid w:val="00FF216F"/>
    <w:rsid w:val="00FF2907"/>
    <w:rsid w:val="00FF5CF3"/>
    <w:rsid w:val="00FF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EA9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B8"/>
    <w:rPr>
      <w:rFonts w:ascii="Times New Roman" w:eastAsia="Times New Roman" w:hAnsi="Times New Roman" w:cs="Times New Roman"/>
    </w:rPr>
  </w:style>
  <w:style w:type="paragraph" w:styleId="1">
    <w:name w:val="heading 1"/>
    <w:basedOn w:val="a"/>
    <w:link w:val="1Char"/>
    <w:uiPriority w:val="9"/>
    <w:qFormat/>
    <w:rsid w:val="00687D30"/>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D7304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4720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7F3"/>
    <w:pPr>
      <w:ind w:left="720"/>
      <w:contextualSpacing/>
    </w:pPr>
    <w:rPr>
      <w:rFonts w:asciiTheme="minorHAnsi" w:eastAsiaTheme="minorHAnsi" w:hAnsiTheme="minorHAnsi" w:cstheme="minorBidi"/>
    </w:rPr>
  </w:style>
  <w:style w:type="character" w:customStyle="1" w:styleId="ref-journal">
    <w:name w:val="ref-journal"/>
    <w:basedOn w:val="a0"/>
    <w:rsid w:val="00276A46"/>
  </w:style>
  <w:style w:type="character" w:customStyle="1" w:styleId="ref-vol">
    <w:name w:val="ref-vol"/>
    <w:basedOn w:val="a0"/>
    <w:rsid w:val="00276A46"/>
  </w:style>
  <w:style w:type="character" w:customStyle="1" w:styleId="author">
    <w:name w:val="author"/>
    <w:basedOn w:val="a0"/>
    <w:rsid w:val="00D21D73"/>
  </w:style>
  <w:style w:type="character" w:customStyle="1" w:styleId="articletitle">
    <w:name w:val="articletitle"/>
    <w:basedOn w:val="a0"/>
    <w:rsid w:val="00D21D73"/>
  </w:style>
  <w:style w:type="character" w:customStyle="1" w:styleId="journaltitle">
    <w:name w:val="journaltitle"/>
    <w:basedOn w:val="a0"/>
    <w:rsid w:val="00D21D73"/>
  </w:style>
  <w:style w:type="character" w:customStyle="1" w:styleId="pubyear">
    <w:name w:val="pubyear"/>
    <w:basedOn w:val="a0"/>
    <w:rsid w:val="00D21D73"/>
  </w:style>
  <w:style w:type="character" w:customStyle="1" w:styleId="vol">
    <w:name w:val="vol"/>
    <w:basedOn w:val="a0"/>
    <w:rsid w:val="00D21D73"/>
  </w:style>
  <w:style w:type="character" w:customStyle="1" w:styleId="pagefirst">
    <w:name w:val="pagefirst"/>
    <w:basedOn w:val="a0"/>
    <w:rsid w:val="00D21D73"/>
  </w:style>
  <w:style w:type="character" w:customStyle="1" w:styleId="pagelast">
    <w:name w:val="pagelast"/>
    <w:basedOn w:val="a0"/>
    <w:rsid w:val="00D21D73"/>
  </w:style>
  <w:style w:type="character" w:styleId="a4">
    <w:name w:val="annotation reference"/>
    <w:basedOn w:val="a0"/>
    <w:uiPriority w:val="99"/>
    <w:semiHidden/>
    <w:unhideWhenUsed/>
    <w:rsid w:val="00D21D73"/>
    <w:rPr>
      <w:sz w:val="16"/>
      <w:szCs w:val="16"/>
    </w:rPr>
  </w:style>
  <w:style w:type="paragraph" w:styleId="a5">
    <w:name w:val="annotation text"/>
    <w:basedOn w:val="a"/>
    <w:link w:val="Char"/>
    <w:unhideWhenUsed/>
    <w:rsid w:val="00D21D73"/>
    <w:rPr>
      <w:rFonts w:asciiTheme="minorHAnsi" w:eastAsiaTheme="minorHAnsi" w:hAnsiTheme="minorHAnsi" w:cstheme="minorBidi"/>
      <w:sz w:val="20"/>
      <w:szCs w:val="20"/>
    </w:rPr>
  </w:style>
  <w:style w:type="character" w:customStyle="1" w:styleId="Char">
    <w:name w:val="批注文字 Char"/>
    <w:basedOn w:val="a0"/>
    <w:link w:val="a5"/>
    <w:rsid w:val="00D21D73"/>
    <w:rPr>
      <w:sz w:val="20"/>
      <w:szCs w:val="20"/>
    </w:rPr>
  </w:style>
  <w:style w:type="paragraph" w:styleId="a6">
    <w:name w:val="annotation subject"/>
    <w:basedOn w:val="a5"/>
    <w:next w:val="a5"/>
    <w:link w:val="Char0"/>
    <w:uiPriority w:val="99"/>
    <w:semiHidden/>
    <w:unhideWhenUsed/>
    <w:rsid w:val="00D21D73"/>
    <w:rPr>
      <w:b/>
      <w:bCs/>
    </w:rPr>
  </w:style>
  <w:style w:type="character" w:customStyle="1" w:styleId="Char0">
    <w:name w:val="批注主题 Char"/>
    <w:basedOn w:val="Char"/>
    <w:link w:val="a6"/>
    <w:uiPriority w:val="99"/>
    <w:semiHidden/>
    <w:rsid w:val="00D21D73"/>
    <w:rPr>
      <w:b/>
      <w:bCs/>
      <w:sz w:val="20"/>
      <w:szCs w:val="20"/>
    </w:rPr>
  </w:style>
  <w:style w:type="paragraph" w:styleId="a7">
    <w:name w:val="Balloon Text"/>
    <w:basedOn w:val="a"/>
    <w:link w:val="Char1"/>
    <w:uiPriority w:val="99"/>
    <w:semiHidden/>
    <w:unhideWhenUsed/>
    <w:rsid w:val="00D21D73"/>
    <w:rPr>
      <w:rFonts w:eastAsiaTheme="minorHAnsi"/>
      <w:sz w:val="18"/>
      <w:szCs w:val="18"/>
    </w:rPr>
  </w:style>
  <w:style w:type="character" w:customStyle="1" w:styleId="Char1">
    <w:name w:val="批注框文本 Char"/>
    <w:basedOn w:val="a0"/>
    <w:link w:val="a7"/>
    <w:uiPriority w:val="99"/>
    <w:semiHidden/>
    <w:rsid w:val="00D21D73"/>
    <w:rPr>
      <w:rFonts w:ascii="Times New Roman" w:hAnsi="Times New Roman" w:cs="Times New Roman"/>
      <w:sz w:val="18"/>
      <w:szCs w:val="18"/>
    </w:rPr>
  </w:style>
  <w:style w:type="character" w:customStyle="1" w:styleId="externalref">
    <w:name w:val="externalref"/>
    <w:basedOn w:val="a0"/>
    <w:rsid w:val="008664CA"/>
  </w:style>
  <w:style w:type="character" w:customStyle="1" w:styleId="refsource">
    <w:name w:val="refsource"/>
    <w:basedOn w:val="a0"/>
    <w:rsid w:val="008664CA"/>
  </w:style>
  <w:style w:type="character" w:styleId="a8">
    <w:name w:val="Hyperlink"/>
    <w:basedOn w:val="a0"/>
    <w:uiPriority w:val="99"/>
    <w:unhideWhenUsed/>
    <w:rsid w:val="00687D30"/>
    <w:rPr>
      <w:color w:val="0000FF"/>
      <w:u w:val="single"/>
    </w:rPr>
  </w:style>
  <w:style w:type="character" w:styleId="a9">
    <w:name w:val="FollowedHyperlink"/>
    <w:basedOn w:val="a0"/>
    <w:uiPriority w:val="99"/>
    <w:semiHidden/>
    <w:unhideWhenUsed/>
    <w:rsid w:val="00687D30"/>
    <w:rPr>
      <w:color w:val="954F72" w:themeColor="followedHyperlink"/>
      <w:u w:val="single"/>
    </w:rPr>
  </w:style>
  <w:style w:type="character" w:customStyle="1" w:styleId="1Char">
    <w:name w:val="标题 1 Char"/>
    <w:basedOn w:val="a0"/>
    <w:link w:val="1"/>
    <w:uiPriority w:val="9"/>
    <w:rsid w:val="00687D30"/>
    <w:rPr>
      <w:rFonts w:ascii="Times New Roman" w:eastAsia="Times New Roman" w:hAnsi="Times New Roman" w:cs="Times New Roman"/>
      <w:b/>
      <w:bCs/>
      <w:kern w:val="36"/>
      <w:sz w:val="48"/>
      <w:szCs w:val="48"/>
    </w:rPr>
  </w:style>
  <w:style w:type="character" w:customStyle="1" w:styleId="UnresolvedMention1">
    <w:name w:val="Unresolved Mention1"/>
    <w:basedOn w:val="a0"/>
    <w:uiPriority w:val="99"/>
    <w:rsid w:val="00365EAC"/>
    <w:rPr>
      <w:color w:val="605E5C"/>
      <w:shd w:val="clear" w:color="auto" w:fill="E1DFDD"/>
    </w:rPr>
  </w:style>
  <w:style w:type="character" w:customStyle="1" w:styleId="cit-auth">
    <w:name w:val="cit-auth"/>
    <w:basedOn w:val="a0"/>
    <w:rsid w:val="00365EAC"/>
  </w:style>
  <w:style w:type="character" w:customStyle="1" w:styleId="cit-name-surname">
    <w:name w:val="cit-name-surname"/>
    <w:basedOn w:val="a0"/>
    <w:rsid w:val="00365EAC"/>
  </w:style>
  <w:style w:type="character" w:customStyle="1" w:styleId="cit-name-given-names">
    <w:name w:val="cit-name-given-names"/>
    <w:basedOn w:val="a0"/>
    <w:rsid w:val="00365EAC"/>
  </w:style>
  <w:style w:type="character" w:customStyle="1" w:styleId="cit-etal">
    <w:name w:val="cit-etal"/>
    <w:basedOn w:val="a0"/>
    <w:rsid w:val="00365EAC"/>
  </w:style>
  <w:style w:type="character" w:styleId="HTML">
    <w:name w:val="HTML Cite"/>
    <w:basedOn w:val="a0"/>
    <w:uiPriority w:val="99"/>
    <w:semiHidden/>
    <w:unhideWhenUsed/>
    <w:rsid w:val="00365EAC"/>
    <w:rPr>
      <w:i/>
      <w:iCs/>
    </w:rPr>
  </w:style>
  <w:style w:type="character" w:customStyle="1" w:styleId="cit-article-title">
    <w:name w:val="cit-article-title"/>
    <w:basedOn w:val="a0"/>
    <w:rsid w:val="00365EAC"/>
  </w:style>
  <w:style w:type="character" w:customStyle="1" w:styleId="cit-pub-date">
    <w:name w:val="cit-pub-date"/>
    <w:basedOn w:val="a0"/>
    <w:rsid w:val="00365EAC"/>
  </w:style>
  <w:style w:type="character" w:customStyle="1" w:styleId="cit-vol">
    <w:name w:val="cit-vol"/>
    <w:basedOn w:val="a0"/>
    <w:rsid w:val="00365EAC"/>
  </w:style>
  <w:style w:type="character" w:customStyle="1" w:styleId="cit-issue">
    <w:name w:val="cit-issue"/>
    <w:basedOn w:val="a0"/>
    <w:rsid w:val="00365EAC"/>
  </w:style>
  <w:style w:type="character" w:customStyle="1" w:styleId="cit-elocation-id">
    <w:name w:val="cit-elocation-id"/>
    <w:basedOn w:val="a0"/>
    <w:rsid w:val="00365EAC"/>
  </w:style>
  <w:style w:type="character" w:customStyle="1" w:styleId="highlight">
    <w:name w:val="highlight"/>
    <w:basedOn w:val="a0"/>
    <w:rsid w:val="00365EAC"/>
  </w:style>
  <w:style w:type="character" w:customStyle="1" w:styleId="referencesauthors">
    <w:name w:val="references__authors"/>
    <w:basedOn w:val="a0"/>
    <w:rsid w:val="00BF7A66"/>
  </w:style>
  <w:style w:type="character" w:customStyle="1" w:styleId="referencesauthorsothers">
    <w:name w:val="references__authors__others"/>
    <w:basedOn w:val="a0"/>
    <w:rsid w:val="00BF7A66"/>
  </w:style>
  <w:style w:type="character" w:customStyle="1" w:styleId="referencesarticle-title">
    <w:name w:val="references__article-title"/>
    <w:basedOn w:val="a0"/>
    <w:rsid w:val="00BF7A66"/>
  </w:style>
  <w:style w:type="character" w:styleId="aa">
    <w:name w:val="Strong"/>
    <w:basedOn w:val="a0"/>
    <w:uiPriority w:val="22"/>
    <w:qFormat/>
    <w:rsid w:val="00BF7A66"/>
    <w:rPr>
      <w:b/>
      <w:bCs/>
    </w:rPr>
  </w:style>
  <w:style w:type="character" w:customStyle="1" w:styleId="referencesyear">
    <w:name w:val="references__year"/>
    <w:basedOn w:val="a0"/>
    <w:rsid w:val="00BF7A66"/>
  </w:style>
  <w:style w:type="character" w:customStyle="1" w:styleId="ref-title">
    <w:name w:val="ref-title"/>
    <w:basedOn w:val="a0"/>
    <w:rsid w:val="009B65D5"/>
  </w:style>
  <w:style w:type="character" w:customStyle="1" w:styleId="ref-iss">
    <w:name w:val="ref-iss"/>
    <w:basedOn w:val="a0"/>
    <w:rsid w:val="009B65D5"/>
  </w:style>
  <w:style w:type="character" w:customStyle="1" w:styleId="3Char">
    <w:name w:val="标题 3 Char"/>
    <w:basedOn w:val="a0"/>
    <w:link w:val="3"/>
    <w:uiPriority w:val="9"/>
    <w:semiHidden/>
    <w:rsid w:val="00D7304B"/>
    <w:rPr>
      <w:rFonts w:asciiTheme="majorHAnsi" w:eastAsiaTheme="majorEastAsia" w:hAnsiTheme="majorHAnsi" w:cstheme="majorBidi"/>
      <w:color w:val="1F3763" w:themeColor="accent1" w:themeShade="7F"/>
    </w:rPr>
  </w:style>
  <w:style w:type="character" w:customStyle="1" w:styleId="4Char">
    <w:name w:val="标题 4 Char"/>
    <w:basedOn w:val="a0"/>
    <w:link w:val="4"/>
    <w:uiPriority w:val="9"/>
    <w:rsid w:val="004720B3"/>
    <w:rPr>
      <w:rFonts w:asciiTheme="majorHAnsi" w:eastAsiaTheme="majorEastAsia" w:hAnsiTheme="majorHAnsi" w:cstheme="majorBidi"/>
      <w:i/>
      <w:iCs/>
      <w:color w:val="2F5496" w:themeColor="accent1" w:themeShade="BF"/>
    </w:rPr>
  </w:style>
  <w:style w:type="paragraph" w:customStyle="1" w:styleId="ncbi-doc-authors">
    <w:name w:val="ncbi-doc-authors"/>
    <w:basedOn w:val="a"/>
    <w:rsid w:val="004720B3"/>
    <w:pPr>
      <w:spacing w:before="100" w:beforeAutospacing="1" w:after="100" w:afterAutospacing="1"/>
    </w:pPr>
  </w:style>
  <w:style w:type="paragraph" w:styleId="ab">
    <w:name w:val="Normal (Web)"/>
    <w:basedOn w:val="a"/>
    <w:uiPriority w:val="99"/>
    <w:semiHidden/>
    <w:unhideWhenUsed/>
    <w:rsid w:val="00147CD6"/>
    <w:pPr>
      <w:spacing w:before="100" w:beforeAutospacing="1" w:after="100" w:afterAutospacing="1"/>
    </w:pPr>
  </w:style>
  <w:style w:type="paragraph" w:customStyle="1" w:styleId="p">
    <w:name w:val="p"/>
    <w:basedOn w:val="a"/>
    <w:rsid w:val="003B1856"/>
    <w:pPr>
      <w:spacing w:before="100" w:beforeAutospacing="1" w:after="100" w:afterAutospacing="1"/>
    </w:pPr>
  </w:style>
  <w:style w:type="character" w:customStyle="1" w:styleId="element-citation">
    <w:name w:val="element-citation"/>
    <w:basedOn w:val="a0"/>
    <w:rsid w:val="00E22BC1"/>
  </w:style>
  <w:style w:type="character" w:customStyle="1" w:styleId="mixed-citation">
    <w:name w:val="mixed-citation"/>
    <w:basedOn w:val="a0"/>
    <w:rsid w:val="00E12914"/>
  </w:style>
  <w:style w:type="character" w:styleId="ac">
    <w:name w:val="Emphasis"/>
    <w:basedOn w:val="a0"/>
    <w:uiPriority w:val="20"/>
    <w:qFormat/>
    <w:rsid w:val="00E12914"/>
    <w:rPr>
      <w:i/>
      <w:iCs/>
    </w:rPr>
  </w:style>
  <w:style w:type="character" w:customStyle="1" w:styleId="nlmstring-name">
    <w:name w:val="nlm_string-name"/>
    <w:basedOn w:val="a0"/>
    <w:rsid w:val="00740A51"/>
  </w:style>
  <w:style w:type="character" w:customStyle="1" w:styleId="journalname">
    <w:name w:val="journalname"/>
    <w:basedOn w:val="a0"/>
    <w:rsid w:val="00740A51"/>
  </w:style>
  <w:style w:type="character" w:customStyle="1" w:styleId="year">
    <w:name w:val="year"/>
    <w:basedOn w:val="a0"/>
    <w:rsid w:val="00740A51"/>
  </w:style>
  <w:style w:type="character" w:customStyle="1" w:styleId="volume">
    <w:name w:val="volume"/>
    <w:basedOn w:val="a0"/>
    <w:rsid w:val="00740A51"/>
  </w:style>
  <w:style w:type="character" w:customStyle="1" w:styleId="issue">
    <w:name w:val="issue"/>
    <w:basedOn w:val="a0"/>
    <w:rsid w:val="00740A51"/>
  </w:style>
  <w:style w:type="character" w:customStyle="1" w:styleId="page">
    <w:name w:val="page"/>
    <w:basedOn w:val="a0"/>
    <w:rsid w:val="00740A51"/>
  </w:style>
  <w:style w:type="character" w:customStyle="1" w:styleId="apple-converted-space">
    <w:name w:val="apple-converted-space"/>
    <w:basedOn w:val="a0"/>
    <w:rsid w:val="005576CD"/>
  </w:style>
  <w:style w:type="character" w:customStyle="1" w:styleId="10">
    <w:name w:val="未处理的提及1"/>
    <w:basedOn w:val="a0"/>
    <w:uiPriority w:val="99"/>
    <w:semiHidden/>
    <w:unhideWhenUsed/>
    <w:rsid w:val="005875B2"/>
    <w:rPr>
      <w:color w:val="605E5C"/>
      <w:shd w:val="clear" w:color="auto" w:fill="E1DFDD"/>
    </w:rPr>
  </w:style>
  <w:style w:type="character" w:customStyle="1" w:styleId="nowrap">
    <w:name w:val="nowrap"/>
    <w:basedOn w:val="a0"/>
    <w:rsid w:val="007C6814"/>
  </w:style>
  <w:style w:type="table" w:styleId="ad">
    <w:name w:val="Table Grid"/>
    <w:basedOn w:val="a1"/>
    <w:uiPriority w:val="39"/>
    <w:rsid w:val="0077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187C59"/>
    <w:rPr>
      <w:rFonts w:ascii="Times New Roman" w:eastAsia="Times New Roman" w:hAnsi="Times New Roman" w:cs="Times New Roman"/>
    </w:rPr>
  </w:style>
  <w:style w:type="paragraph" w:styleId="af">
    <w:name w:val="header"/>
    <w:basedOn w:val="a"/>
    <w:link w:val="Char2"/>
    <w:uiPriority w:val="99"/>
    <w:unhideWhenUsed/>
    <w:rsid w:val="00502319"/>
    <w:pPr>
      <w:tabs>
        <w:tab w:val="center" w:pos="4680"/>
        <w:tab w:val="right" w:pos="9360"/>
      </w:tabs>
    </w:pPr>
  </w:style>
  <w:style w:type="character" w:customStyle="1" w:styleId="Char2">
    <w:name w:val="页眉 Char"/>
    <w:basedOn w:val="a0"/>
    <w:link w:val="af"/>
    <w:uiPriority w:val="99"/>
    <w:rsid w:val="00502319"/>
    <w:rPr>
      <w:rFonts w:ascii="Times New Roman" w:eastAsia="Times New Roman" w:hAnsi="Times New Roman" w:cs="Times New Roman"/>
    </w:rPr>
  </w:style>
  <w:style w:type="paragraph" w:styleId="af0">
    <w:name w:val="footer"/>
    <w:basedOn w:val="a"/>
    <w:link w:val="Char3"/>
    <w:uiPriority w:val="99"/>
    <w:unhideWhenUsed/>
    <w:rsid w:val="00502319"/>
    <w:pPr>
      <w:tabs>
        <w:tab w:val="center" w:pos="4680"/>
        <w:tab w:val="right" w:pos="9360"/>
      </w:tabs>
    </w:pPr>
  </w:style>
  <w:style w:type="character" w:customStyle="1" w:styleId="Char3">
    <w:name w:val="页脚 Char"/>
    <w:basedOn w:val="a0"/>
    <w:link w:val="af0"/>
    <w:uiPriority w:val="99"/>
    <w:rsid w:val="0050231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B8"/>
    <w:rPr>
      <w:rFonts w:ascii="Times New Roman" w:eastAsia="Times New Roman" w:hAnsi="Times New Roman" w:cs="Times New Roman"/>
    </w:rPr>
  </w:style>
  <w:style w:type="paragraph" w:styleId="1">
    <w:name w:val="heading 1"/>
    <w:basedOn w:val="a"/>
    <w:link w:val="1Char"/>
    <w:uiPriority w:val="9"/>
    <w:qFormat/>
    <w:rsid w:val="00687D30"/>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D7304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4720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7F3"/>
    <w:pPr>
      <w:ind w:left="720"/>
      <w:contextualSpacing/>
    </w:pPr>
    <w:rPr>
      <w:rFonts w:asciiTheme="minorHAnsi" w:eastAsiaTheme="minorHAnsi" w:hAnsiTheme="minorHAnsi" w:cstheme="minorBidi"/>
    </w:rPr>
  </w:style>
  <w:style w:type="character" w:customStyle="1" w:styleId="ref-journal">
    <w:name w:val="ref-journal"/>
    <w:basedOn w:val="a0"/>
    <w:rsid w:val="00276A46"/>
  </w:style>
  <w:style w:type="character" w:customStyle="1" w:styleId="ref-vol">
    <w:name w:val="ref-vol"/>
    <w:basedOn w:val="a0"/>
    <w:rsid w:val="00276A46"/>
  </w:style>
  <w:style w:type="character" w:customStyle="1" w:styleId="author">
    <w:name w:val="author"/>
    <w:basedOn w:val="a0"/>
    <w:rsid w:val="00D21D73"/>
  </w:style>
  <w:style w:type="character" w:customStyle="1" w:styleId="articletitle">
    <w:name w:val="articletitle"/>
    <w:basedOn w:val="a0"/>
    <w:rsid w:val="00D21D73"/>
  </w:style>
  <w:style w:type="character" w:customStyle="1" w:styleId="journaltitle">
    <w:name w:val="journaltitle"/>
    <w:basedOn w:val="a0"/>
    <w:rsid w:val="00D21D73"/>
  </w:style>
  <w:style w:type="character" w:customStyle="1" w:styleId="pubyear">
    <w:name w:val="pubyear"/>
    <w:basedOn w:val="a0"/>
    <w:rsid w:val="00D21D73"/>
  </w:style>
  <w:style w:type="character" w:customStyle="1" w:styleId="vol">
    <w:name w:val="vol"/>
    <w:basedOn w:val="a0"/>
    <w:rsid w:val="00D21D73"/>
  </w:style>
  <w:style w:type="character" w:customStyle="1" w:styleId="pagefirst">
    <w:name w:val="pagefirst"/>
    <w:basedOn w:val="a0"/>
    <w:rsid w:val="00D21D73"/>
  </w:style>
  <w:style w:type="character" w:customStyle="1" w:styleId="pagelast">
    <w:name w:val="pagelast"/>
    <w:basedOn w:val="a0"/>
    <w:rsid w:val="00D21D73"/>
  </w:style>
  <w:style w:type="character" w:styleId="a4">
    <w:name w:val="annotation reference"/>
    <w:basedOn w:val="a0"/>
    <w:uiPriority w:val="99"/>
    <w:semiHidden/>
    <w:unhideWhenUsed/>
    <w:rsid w:val="00D21D73"/>
    <w:rPr>
      <w:sz w:val="16"/>
      <w:szCs w:val="16"/>
    </w:rPr>
  </w:style>
  <w:style w:type="paragraph" w:styleId="a5">
    <w:name w:val="annotation text"/>
    <w:basedOn w:val="a"/>
    <w:link w:val="Char"/>
    <w:unhideWhenUsed/>
    <w:rsid w:val="00D21D73"/>
    <w:rPr>
      <w:rFonts w:asciiTheme="minorHAnsi" w:eastAsiaTheme="minorHAnsi" w:hAnsiTheme="minorHAnsi" w:cstheme="minorBidi"/>
      <w:sz w:val="20"/>
      <w:szCs w:val="20"/>
    </w:rPr>
  </w:style>
  <w:style w:type="character" w:customStyle="1" w:styleId="Char">
    <w:name w:val="批注文字 Char"/>
    <w:basedOn w:val="a0"/>
    <w:link w:val="a5"/>
    <w:rsid w:val="00D21D73"/>
    <w:rPr>
      <w:sz w:val="20"/>
      <w:szCs w:val="20"/>
    </w:rPr>
  </w:style>
  <w:style w:type="paragraph" w:styleId="a6">
    <w:name w:val="annotation subject"/>
    <w:basedOn w:val="a5"/>
    <w:next w:val="a5"/>
    <w:link w:val="Char0"/>
    <w:uiPriority w:val="99"/>
    <w:semiHidden/>
    <w:unhideWhenUsed/>
    <w:rsid w:val="00D21D73"/>
    <w:rPr>
      <w:b/>
      <w:bCs/>
    </w:rPr>
  </w:style>
  <w:style w:type="character" w:customStyle="1" w:styleId="Char0">
    <w:name w:val="批注主题 Char"/>
    <w:basedOn w:val="Char"/>
    <w:link w:val="a6"/>
    <w:uiPriority w:val="99"/>
    <w:semiHidden/>
    <w:rsid w:val="00D21D73"/>
    <w:rPr>
      <w:b/>
      <w:bCs/>
      <w:sz w:val="20"/>
      <w:szCs w:val="20"/>
    </w:rPr>
  </w:style>
  <w:style w:type="paragraph" w:styleId="a7">
    <w:name w:val="Balloon Text"/>
    <w:basedOn w:val="a"/>
    <w:link w:val="Char1"/>
    <w:uiPriority w:val="99"/>
    <w:semiHidden/>
    <w:unhideWhenUsed/>
    <w:rsid w:val="00D21D73"/>
    <w:rPr>
      <w:rFonts w:eastAsiaTheme="minorHAnsi"/>
      <w:sz w:val="18"/>
      <w:szCs w:val="18"/>
    </w:rPr>
  </w:style>
  <w:style w:type="character" w:customStyle="1" w:styleId="Char1">
    <w:name w:val="批注框文本 Char"/>
    <w:basedOn w:val="a0"/>
    <w:link w:val="a7"/>
    <w:uiPriority w:val="99"/>
    <w:semiHidden/>
    <w:rsid w:val="00D21D73"/>
    <w:rPr>
      <w:rFonts w:ascii="Times New Roman" w:hAnsi="Times New Roman" w:cs="Times New Roman"/>
      <w:sz w:val="18"/>
      <w:szCs w:val="18"/>
    </w:rPr>
  </w:style>
  <w:style w:type="character" w:customStyle="1" w:styleId="externalref">
    <w:name w:val="externalref"/>
    <w:basedOn w:val="a0"/>
    <w:rsid w:val="008664CA"/>
  </w:style>
  <w:style w:type="character" w:customStyle="1" w:styleId="refsource">
    <w:name w:val="refsource"/>
    <w:basedOn w:val="a0"/>
    <w:rsid w:val="008664CA"/>
  </w:style>
  <w:style w:type="character" w:styleId="a8">
    <w:name w:val="Hyperlink"/>
    <w:basedOn w:val="a0"/>
    <w:uiPriority w:val="99"/>
    <w:unhideWhenUsed/>
    <w:rsid w:val="00687D30"/>
    <w:rPr>
      <w:color w:val="0000FF"/>
      <w:u w:val="single"/>
    </w:rPr>
  </w:style>
  <w:style w:type="character" w:styleId="a9">
    <w:name w:val="FollowedHyperlink"/>
    <w:basedOn w:val="a0"/>
    <w:uiPriority w:val="99"/>
    <w:semiHidden/>
    <w:unhideWhenUsed/>
    <w:rsid w:val="00687D30"/>
    <w:rPr>
      <w:color w:val="954F72" w:themeColor="followedHyperlink"/>
      <w:u w:val="single"/>
    </w:rPr>
  </w:style>
  <w:style w:type="character" w:customStyle="1" w:styleId="1Char">
    <w:name w:val="标题 1 Char"/>
    <w:basedOn w:val="a0"/>
    <w:link w:val="1"/>
    <w:uiPriority w:val="9"/>
    <w:rsid w:val="00687D30"/>
    <w:rPr>
      <w:rFonts w:ascii="Times New Roman" w:eastAsia="Times New Roman" w:hAnsi="Times New Roman" w:cs="Times New Roman"/>
      <w:b/>
      <w:bCs/>
      <w:kern w:val="36"/>
      <w:sz w:val="48"/>
      <w:szCs w:val="48"/>
    </w:rPr>
  </w:style>
  <w:style w:type="character" w:customStyle="1" w:styleId="UnresolvedMention1">
    <w:name w:val="Unresolved Mention1"/>
    <w:basedOn w:val="a0"/>
    <w:uiPriority w:val="99"/>
    <w:rsid w:val="00365EAC"/>
    <w:rPr>
      <w:color w:val="605E5C"/>
      <w:shd w:val="clear" w:color="auto" w:fill="E1DFDD"/>
    </w:rPr>
  </w:style>
  <w:style w:type="character" w:customStyle="1" w:styleId="cit-auth">
    <w:name w:val="cit-auth"/>
    <w:basedOn w:val="a0"/>
    <w:rsid w:val="00365EAC"/>
  </w:style>
  <w:style w:type="character" w:customStyle="1" w:styleId="cit-name-surname">
    <w:name w:val="cit-name-surname"/>
    <w:basedOn w:val="a0"/>
    <w:rsid w:val="00365EAC"/>
  </w:style>
  <w:style w:type="character" w:customStyle="1" w:styleId="cit-name-given-names">
    <w:name w:val="cit-name-given-names"/>
    <w:basedOn w:val="a0"/>
    <w:rsid w:val="00365EAC"/>
  </w:style>
  <w:style w:type="character" w:customStyle="1" w:styleId="cit-etal">
    <w:name w:val="cit-etal"/>
    <w:basedOn w:val="a0"/>
    <w:rsid w:val="00365EAC"/>
  </w:style>
  <w:style w:type="character" w:styleId="HTML">
    <w:name w:val="HTML Cite"/>
    <w:basedOn w:val="a0"/>
    <w:uiPriority w:val="99"/>
    <w:semiHidden/>
    <w:unhideWhenUsed/>
    <w:rsid w:val="00365EAC"/>
    <w:rPr>
      <w:i/>
      <w:iCs/>
    </w:rPr>
  </w:style>
  <w:style w:type="character" w:customStyle="1" w:styleId="cit-article-title">
    <w:name w:val="cit-article-title"/>
    <w:basedOn w:val="a0"/>
    <w:rsid w:val="00365EAC"/>
  </w:style>
  <w:style w:type="character" w:customStyle="1" w:styleId="cit-pub-date">
    <w:name w:val="cit-pub-date"/>
    <w:basedOn w:val="a0"/>
    <w:rsid w:val="00365EAC"/>
  </w:style>
  <w:style w:type="character" w:customStyle="1" w:styleId="cit-vol">
    <w:name w:val="cit-vol"/>
    <w:basedOn w:val="a0"/>
    <w:rsid w:val="00365EAC"/>
  </w:style>
  <w:style w:type="character" w:customStyle="1" w:styleId="cit-issue">
    <w:name w:val="cit-issue"/>
    <w:basedOn w:val="a0"/>
    <w:rsid w:val="00365EAC"/>
  </w:style>
  <w:style w:type="character" w:customStyle="1" w:styleId="cit-elocation-id">
    <w:name w:val="cit-elocation-id"/>
    <w:basedOn w:val="a0"/>
    <w:rsid w:val="00365EAC"/>
  </w:style>
  <w:style w:type="character" w:customStyle="1" w:styleId="highlight">
    <w:name w:val="highlight"/>
    <w:basedOn w:val="a0"/>
    <w:rsid w:val="00365EAC"/>
  </w:style>
  <w:style w:type="character" w:customStyle="1" w:styleId="referencesauthors">
    <w:name w:val="references__authors"/>
    <w:basedOn w:val="a0"/>
    <w:rsid w:val="00BF7A66"/>
  </w:style>
  <w:style w:type="character" w:customStyle="1" w:styleId="referencesauthorsothers">
    <w:name w:val="references__authors__others"/>
    <w:basedOn w:val="a0"/>
    <w:rsid w:val="00BF7A66"/>
  </w:style>
  <w:style w:type="character" w:customStyle="1" w:styleId="referencesarticle-title">
    <w:name w:val="references__article-title"/>
    <w:basedOn w:val="a0"/>
    <w:rsid w:val="00BF7A66"/>
  </w:style>
  <w:style w:type="character" w:styleId="aa">
    <w:name w:val="Strong"/>
    <w:basedOn w:val="a0"/>
    <w:uiPriority w:val="22"/>
    <w:qFormat/>
    <w:rsid w:val="00BF7A66"/>
    <w:rPr>
      <w:b/>
      <w:bCs/>
    </w:rPr>
  </w:style>
  <w:style w:type="character" w:customStyle="1" w:styleId="referencesyear">
    <w:name w:val="references__year"/>
    <w:basedOn w:val="a0"/>
    <w:rsid w:val="00BF7A66"/>
  </w:style>
  <w:style w:type="character" w:customStyle="1" w:styleId="ref-title">
    <w:name w:val="ref-title"/>
    <w:basedOn w:val="a0"/>
    <w:rsid w:val="009B65D5"/>
  </w:style>
  <w:style w:type="character" w:customStyle="1" w:styleId="ref-iss">
    <w:name w:val="ref-iss"/>
    <w:basedOn w:val="a0"/>
    <w:rsid w:val="009B65D5"/>
  </w:style>
  <w:style w:type="character" w:customStyle="1" w:styleId="3Char">
    <w:name w:val="标题 3 Char"/>
    <w:basedOn w:val="a0"/>
    <w:link w:val="3"/>
    <w:uiPriority w:val="9"/>
    <w:semiHidden/>
    <w:rsid w:val="00D7304B"/>
    <w:rPr>
      <w:rFonts w:asciiTheme="majorHAnsi" w:eastAsiaTheme="majorEastAsia" w:hAnsiTheme="majorHAnsi" w:cstheme="majorBidi"/>
      <w:color w:val="1F3763" w:themeColor="accent1" w:themeShade="7F"/>
    </w:rPr>
  </w:style>
  <w:style w:type="character" w:customStyle="1" w:styleId="4Char">
    <w:name w:val="标题 4 Char"/>
    <w:basedOn w:val="a0"/>
    <w:link w:val="4"/>
    <w:uiPriority w:val="9"/>
    <w:rsid w:val="004720B3"/>
    <w:rPr>
      <w:rFonts w:asciiTheme="majorHAnsi" w:eastAsiaTheme="majorEastAsia" w:hAnsiTheme="majorHAnsi" w:cstheme="majorBidi"/>
      <w:i/>
      <w:iCs/>
      <w:color w:val="2F5496" w:themeColor="accent1" w:themeShade="BF"/>
    </w:rPr>
  </w:style>
  <w:style w:type="paragraph" w:customStyle="1" w:styleId="ncbi-doc-authors">
    <w:name w:val="ncbi-doc-authors"/>
    <w:basedOn w:val="a"/>
    <w:rsid w:val="004720B3"/>
    <w:pPr>
      <w:spacing w:before="100" w:beforeAutospacing="1" w:after="100" w:afterAutospacing="1"/>
    </w:pPr>
  </w:style>
  <w:style w:type="paragraph" w:styleId="ab">
    <w:name w:val="Normal (Web)"/>
    <w:basedOn w:val="a"/>
    <w:uiPriority w:val="99"/>
    <w:semiHidden/>
    <w:unhideWhenUsed/>
    <w:rsid w:val="00147CD6"/>
    <w:pPr>
      <w:spacing w:before="100" w:beforeAutospacing="1" w:after="100" w:afterAutospacing="1"/>
    </w:pPr>
  </w:style>
  <w:style w:type="paragraph" w:customStyle="1" w:styleId="p">
    <w:name w:val="p"/>
    <w:basedOn w:val="a"/>
    <w:rsid w:val="003B1856"/>
    <w:pPr>
      <w:spacing w:before="100" w:beforeAutospacing="1" w:after="100" w:afterAutospacing="1"/>
    </w:pPr>
  </w:style>
  <w:style w:type="character" w:customStyle="1" w:styleId="element-citation">
    <w:name w:val="element-citation"/>
    <w:basedOn w:val="a0"/>
    <w:rsid w:val="00E22BC1"/>
  </w:style>
  <w:style w:type="character" w:customStyle="1" w:styleId="mixed-citation">
    <w:name w:val="mixed-citation"/>
    <w:basedOn w:val="a0"/>
    <w:rsid w:val="00E12914"/>
  </w:style>
  <w:style w:type="character" w:styleId="ac">
    <w:name w:val="Emphasis"/>
    <w:basedOn w:val="a0"/>
    <w:uiPriority w:val="20"/>
    <w:qFormat/>
    <w:rsid w:val="00E12914"/>
    <w:rPr>
      <w:i/>
      <w:iCs/>
    </w:rPr>
  </w:style>
  <w:style w:type="character" w:customStyle="1" w:styleId="nlmstring-name">
    <w:name w:val="nlm_string-name"/>
    <w:basedOn w:val="a0"/>
    <w:rsid w:val="00740A51"/>
  </w:style>
  <w:style w:type="character" w:customStyle="1" w:styleId="journalname">
    <w:name w:val="journalname"/>
    <w:basedOn w:val="a0"/>
    <w:rsid w:val="00740A51"/>
  </w:style>
  <w:style w:type="character" w:customStyle="1" w:styleId="year">
    <w:name w:val="year"/>
    <w:basedOn w:val="a0"/>
    <w:rsid w:val="00740A51"/>
  </w:style>
  <w:style w:type="character" w:customStyle="1" w:styleId="volume">
    <w:name w:val="volume"/>
    <w:basedOn w:val="a0"/>
    <w:rsid w:val="00740A51"/>
  </w:style>
  <w:style w:type="character" w:customStyle="1" w:styleId="issue">
    <w:name w:val="issue"/>
    <w:basedOn w:val="a0"/>
    <w:rsid w:val="00740A51"/>
  </w:style>
  <w:style w:type="character" w:customStyle="1" w:styleId="page">
    <w:name w:val="page"/>
    <w:basedOn w:val="a0"/>
    <w:rsid w:val="00740A51"/>
  </w:style>
  <w:style w:type="character" w:customStyle="1" w:styleId="apple-converted-space">
    <w:name w:val="apple-converted-space"/>
    <w:basedOn w:val="a0"/>
    <w:rsid w:val="005576CD"/>
  </w:style>
  <w:style w:type="character" w:customStyle="1" w:styleId="10">
    <w:name w:val="未处理的提及1"/>
    <w:basedOn w:val="a0"/>
    <w:uiPriority w:val="99"/>
    <w:semiHidden/>
    <w:unhideWhenUsed/>
    <w:rsid w:val="005875B2"/>
    <w:rPr>
      <w:color w:val="605E5C"/>
      <w:shd w:val="clear" w:color="auto" w:fill="E1DFDD"/>
    </w:rPr>
  </w:style>
  <w:style w:type="character" w:customStyle="1" w:styleId="nowrap">
    <w:name w:val="nowrap"/>
    <w:basedOn w:val="a0"/>
    <w:rsid w:val="007C6814"/>
  </w:style>
  <w:style w:type="table" w:styleId="ad">
    <w:name w:val="Table Grid"/>
    <w:basedOn w:val="a1"/>
    <w:uiPriority w:val="39"/>
    <w:rsid w:val="0077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187C59"/>
    <w:rPr>
      <w:rFonts w:ascii="Times New Roman" w:eastAsia="Times New Roman" w:hAnsi="Times New Roman" w:cs="Times New Roman"/>
    </w:rPr>
  </w:style>
  <w:style w:type="paragraph" w:styleId="af">
    <w:name w:val="header"/>
    <w:basedOn w:val="a"/>
    <w:link w:val="Char2"/>
    <w:uiPriority w:val="99"/>
    <w:unhideWhenUsed/>
    <w:rsid w:val="00502319"/>
    <w:pPr>
      <w:tabs>
        <w:tab w:val="center" w:pos="4680"/>
        <w:tab w:val="right" w:pos="9360"/>
      </w:tabs>
    </w:pPr>
  </w:style>
  <w:style w:type="character" w:customStyle="1" w:styleId="Char2">
    <w:name w:val="页眉 Char"/>
    <w:basedOn w:val="a0"/>
    <w:link w:val="af"/>
    <w:uiPriority w:val="99"/>
    <w:rsid w:val="00502319"/>
    <w:rPr>
      <w:rFonts w:ascii="Times New Roman" w:eastAsia="Times New Roman" w:hAnsi="Times New Roman" w:cs="Times New Roman"/>
    </w:rPr>
  </w:style>
  <w:style w:type="paragraph" w:styleId="af0">
    <w:name w:val="footer"/>
    <w:basedOn w:val="a"/>
    <w:link w:val="Char3"/>
    <w:uiPriority w:val="99"/>
    <w:unhideWhenUsed/>
    <w:rsid w:val="00502319"/>
    <w:pPr>
      <w:tabs>
        <w:tab w:val="center" w:pos="4680"/>
        <w:tab w:val="right" w:pos="9360"/>
      </w:tabs>
    </w:pPr>
  </w:style>
  <w:style w:type="character" w:customStyle="1" w:styleId="Char3">
    <w:name w:val="页脚 Char"/>
    <w:basedOn w:val="a0"/>
    <w:link w:val="af0"/>
    <w:uiPriority w:val="99"/>
    <w:rsid w:val="005023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158">
      <w:bodyDiv w:val="1"/>
      <w:marLeft w:val="0"/>
      <w:marRight w:val="0"/>
      <w:marTop w:val="0"/>
      <w:marBottom w:val="0"/>
      <w:divBdr>
        <w:top w:val="none" w:sz="0" w:space="0" w:color="auto"/>
        <w:left w:val="none" w:sz="0" w:space="0" w:color="auto"/>
        <w:bottom w:val="none" w:sz="0" w:space="0" w:color="auto"/>
        <w:right w:val="none" w:sz="0" w:space="0" w:color="auto"/>
      </w:divBdr>
    </w:div>
    <w:div w:id="24330957">
      <w:bodyDiv w:val="1"/>
      <w:marLeft w:val="0"/>
      <w:marRight w:val="0"/>
      <w:marTop w:val="0"/>
      <w:marBottom w:val="0"/>
      <w:divBdr>
        <w:top w:val="none" w:sz="0" w:space="0" w:color="auto"/>
        <w:left w:val="none" w:sz="0" w:space="0" w:color="auto"/>
        <w:bottom w:val="none" w:sz="0" w:space="0" w:color="auto"/>
        <w:right w:val="none" w:sz="0" w:space="0" w:color="auto"/>
      </w:divBdr>
    </w:div>
    <w:div w:id="24601732">
      <w:bodyDiv w:val="1"/>
      <w:marLeft w:val="0"/>
      <w:marRight w:val="0"/>
      <w:marTop w:val="0"/>
      <w:marBottom w:val="0"/>
      <w:divBdr>
        <w:top w:val="none" w:sz="0" w:space="0" w:color="auto"/>
        <w:left w:val="none" w:sz="0" w:space="0" w:color="auto"/>
        <w:bottom w:val="none" w:sz="0" w:space="0" w:color="auto"/>
        <w:right w:val="none" w:sz="0" w:space="0" w:color="auto"/>
      </w:divBdr>
    </w:div>
    <w:div w:id="32072568">
      <w:bodyDiv w:val="1"/>
      <w:marLeft w:val="0"/>
      <w:marRight w:val="0"/>
      <w:marTop w:val="0"/>
      <w:marBottom w:val="0"/>
      <w:divBdr>
        <w:top w:val="none" w:sz="0" w:space="0" w:color="auto"/>
        <w:left w:val="none" w:sz="0" w:space="0" w:color="auto"/>
        <w:bottom w:val="none" w:sz="0" w:space="0" w:color="auto"/>
        <w:right w:val="none" w:sz="0" w:space="0" w:color="auto"/>
      </w:divBdr>
    </w:div>
    <w:div w:id="34816011">
      <w:bodyDiv w:val="1"/>
      <w:marLeft w:val="0"/>
      <w:marRight w:val="0"/>
      <w:marTop w:val="0"/>
      <w:marBottom w:val="0"/>
      <w:divBdr>
        <w:top w:val="none" w:sz="0" w:space="0" w:color="auto"/>
        <w:left w:val="none" w:sz="0" w:space="0" w:color="auto"/>
        <w:bottom w:val="none" w:sz="0" w:space="0" w:color="auto"/>
        <w:right w:val="none" w:sz="0" w:space="0" w:color="auto"/>
      </w:divBdr>
    </w:div>
    <w:div w:id="59135885">
      <w:bodyDiv w:val="1"/>
      <w:marLeft w:val="0"/>
      <w:marRight w:val="0"/>
      <w:marTop w:val="0"/>
      <w:marBottom w:val="0"/>
      <w:divBdr>
        <w:top w:val="none" w:sz="0" w:space="0" w:color="auto"/>
        <w:left w:val="none" w:sz="0" w:space="0" w:color="auto"/>
        <w:bottom w:val="none" w:sz="0" w:space="0" w:color="auto"/>
        <w:right w:val="none" w:sz="0" w:space="0" w:color="auto"/>
      </w:divBdr>
    </w:div>
    <w:div w:id="59331680">
      <w:bodyDiv w:val="1"/>
      <w:marLeft w:val="0"/>
      <w:marRight w:val="0"/>
      <w:marTop w:val="0"/>
      <w:marBottom w:val="0"/>
      <w:divBdr>
        <w:top w:val="none" w:sz="0" w:space="0" w:color="auto"/>
        <w:left w:val="none" w:sz="0" w:space="0" w:color="auto"/>
        <w:bottom w:val="none" w:sz="0" w:space="0" w:color="auto"/>
        <w:right w:val="none" w:sz="0" w:space="0" w:color="auto"/>
      </w:divBdr>
    </w:div>
    <w:div w:id="78136777">
      <w:bodyDiv w:val="1"/>
      <w:marLeft w:val="0"/>
      <w:marRight w:val="0"/>
      <w:marTop w:val="0"/>
      <w:marBottom w:val="0"/>
      <w:divBdr>
        <w:top w:val="none" w:sz="0" w:space="0" w:color="auto"/>
        <w:left w:val="none" w:sz="0" w:space="0" w:color="auto"/>
        <w:bottom w:val="none" w:sz="0" w:space="0" w:color="auto"/>
        <w:right w:val="none" w:sz="0" w:space="0" w:color="auto"/>
      </w:divBdr>
    </w:div>
    <w:div w:id="79839450">
      <w:bodyDiv w:val="1"/>
      <w:marLeft w:val="0"/>
      <w:marRight w:val="0"/>
      <w:marTop w:val="0"/>
      <w:marBottom w:val="0"/>
      <w:divBdr>
        <w:top w:val="none" w:sz="0" w:space="0" w:color="auto"/>
        <w:left w:val="none" w:sz="0" w:space="0" w:color="auto"/>
        <w:bottom w:val="none" w:sz="0" w:space="0" w:color="auto"/>
        <w:right w:val="none" w:sz="0" w:space="0" w:color="auto"/>
      </w:divBdr>
    </w:div>
    <w:div w:id="81033543">
      <w:bodyDiv w:val="1"/>
      <w:marLeft w:val="0"/>
      <w:marRight w:val="0"/>
      <w:marTop w:val="0"/>
      <w:marBottom w:val="0"/>
      <w:divBdr>
        <w:top w:val="none" w:sz="0" w:space="0" w:color="auto"/>
        <w:left w:val="none" w:sz="0" w:space="0" w:color="auto"/>
        <w:bottom w:val="none" w:sz="0" w:space="0" w:color="auto"/>
        <w:right w:val="none" w:sz="0" w:space="0" w:color="auto"/>
      </w:divBdr>
    </w:div>
    <w:div w:id="89744622">
      <w:bodyDiv w:val="1"/>
      <w:marLeft w:val="0"/>
      <w:marRight w:val="0"/>
      <w:marTop w:val="0"/>
      <w:marBottom w:val="0"/>
      <w:divBdr>
        <w:top w:val="none" w:sz="0" w:space="0" w:color="auto"/>
        <w:left w:val="none" w:sz="0" w:space="0" w:color="auto"/>
        <w:bottom w:val="none" w:sz="0" w:space="0" w:color="auto"/>
        <w:right w:val="none" w:sz="0" w:space="0" w:color="auto"/>
      </w:divBdr>
    </w:div>
    <w:div w:id="97919952">
      <w:bodyDiv w:val="1"/>
      <w:marLeft w:val="0"/>
      <w:marRight w:val="0"/>
      <w:marTop w:val="0"/>
      <w:marBottom w:val="0"/>
      <w:divBdr>
        <w:top w:val="none" w:sz="0" w:space="0" w:color="auto"/>
        <w:left w:val="none" w:sz="0" w:space="0" w:color="auto"/>
        <w:bottom w:val="none" w:sz="0" w:space="0" w:color="auto"/>
        <w:right w:val="none" w:sz="0" w:space="0" w:color="auto"/>
      </w:divBdr>
    </w:div>
    <w:div w:id="103154908">
      <w:bodyDiv w:val="1"/>
      <w:marLeft w:val="0"/>
      <w:marRight w:val="0"/>
      <w:marTop w:val="0"/>
      <w:marBottom w:val="0"/>
      <w:divBdr>
        <w:top w:val="none" w:sz="0" w:space="0" w:color="auto"/>
        <w:left w:val="none" w:sz="0" w:space="0" w:color="auto"/>
        <w:bottom w:val="none" w:sz="0" w:space="0" w:color="auto"/>
        <w:right w:val="none" w:sz="0" w:space="0" w:color="auto"/>
      </w:divBdr>
    </w:div>
    <w:div w:id="105657155">
      <w:bodyDiv w:val="1"/>
      <w:marLeft w:val="0"/>
      <w:marRight w:val="0"/>
      <w:marTop w:val="0"/>
      <w:marBottom w:val="0"/>
      <w:divBdr>
        <w:top w:val="none" w:sz="0" w:space="0" w:color="auto"/>
        <w:left w:val="none" w:sz="0" w:space="0" w:color="auto"/>
        <w:bottom w:val="none" w:sz="0" w:space="0" w:color="auto"/>
        <w:right w:val="none" w:sz="0" w:space="0" w:color="auto"/>
      </w:divBdr>
    </w:div>
    <w:div w:id="106194671">
      <w:bodyDiv w:val="1"/>
      <w:marLeft w:val="0"/>
      <w:marRight w:val="0"/>
      <w:marTop w:val="0"/>
      <w:marBottom w:val="0"/>
      <w:divBdr>
        <w:top w:val="none" w:sz="0" w:space="0" w:color="auto"/>
        <w:left w:val="none" w:sz="0" w:space="0" w:color="auto"/>
        <w:bottom w:val="none" w:sz="0" w:space="0" w:color="auto"/>
        <w:right w:val="none" w:sz="0" w:space="0" w:color="auto"/>
      </w:divBdr>
    </w:div>
    <w:div w:id="109134215">
      <w:bodyDiv w:val="1"/>
      <w:marLeft w:val="0"/>
      <w:marRight w:val="0"/>
      <w:marTop w:val="0"/>
      <w:marBottom w:val="0"/>
      <w:divBdr>
        <w:top w:val="none" w:sz="0" w:space="0" w:color="auto"/>
        <w:left w:val="none" w:sz="0" w:space="0" w:color="auto"/>
        <w:bottom w:val="none" w:sz="0" w:space="0" w:color="auto"/>
        <w:right w:val="none" w:sz="0" w:space="0" w:color="auto"/>
      </w:divBdr>
      <w:divsChild>
        <w:div w:id="291327834">
          <w:marLeft w:val="0"/>
          <w:marRight w:val="0"/>
          <w:marTop w:val="0"/>
          <w:marBottom w:val="0"/>
          <w:divBdr>
            <w:top w:val="none" w:sz="0" w:space="0" w:color="auto"/>
            <w:left w:val="none" w:sz="0" w:space="0" w:color="auto"/>
            <w:bottom w:val="none" w:sz="0" w:space="0" w:color="auto"/>
            <w:right w:val="none" w:sz="0" w:space="0" w:color="auto"/>
          </w:divBdr>
        </w:div>
        <w:div w:id="1576620418">
          <w:marLeft w:val="0"/>
          <w:marRight w:val="0"/>
          <w:marTop w:val="0"/>
          <w:marBottom w:val="0"/>
          <w:divBdr>
            <w:top w:val="none" w:sz="0" w:space="0" w:color="auto"/>
            <w:left w:val="none" w:sz="0" w:space="0" w:color="auto"/>
            <w:bottom w:val="none" w:sz="0" w:space="0" w:color="auto"/>
            <w:right w:val="none" w:sz="0" w:space="0" w:color="auto"/>
          </w:divBdr>
        </w:div>
      </w:divsChild>
    </w:div>
    <w:div w:id="120652412">
      <w:bodyDiv w:val="1"/>
      <w:marLeft w:val="0"/>
      <w:marRight w:val="0"/>
      <w:marTop w:val="0"/>
      <w:marBottom w:val="0"/>
      <w:divBdr>
        <w:top w:val="none" w:sz="0" w:space="0" w:color="auto"/>
        <w:left w:val="none" w:sz="0" w:space="0" w:color="auto"/>
        <w:bottom w:val="none" w:sz="0" w:space="0" w:color="auto"/>
        <w:right w:val="none" w:sz="0" w:space="0" w:color="auto"/>
      </w:divBdr>
    </w:div>
    <w:div w:id="121534296">
      <w:bodyDiv w:val="1"/>
      <w:marLeft w:val="0"/>
      <w:marRight w:val="0"/>
      <w:marTop w:val="0"/>
      <w:marBottom w:val="0"/>
      <w:divBdr>
        <w:top w:val="none" w:sz="0" w:space="0" w:color="auto"/>
        <w:left w:val="none" w:sz="0" w:space="0" w:color="auto"/>
        <w:bottom w:val="none" w:sz="0" w:space="0" w:color="auto"/>
        <w:right w:val="none" w:sz="0" w:space="0" w:color="auto"/>
      </w:divBdr>
    </w:div>
    <w:div w:id="123698721">
      <w:bodyDiv w:val="1"/>
      <w:marLeft w:val="0"/>
      <w:marRight w:val="0"/>
      <w:marTop w:val="0"/>
      <w:marBottom w:val="0"/>
      <w:divBdr>
        <w:top w:val="none" w:sz="0" w:space="0" w:color="auto"/>
        <w:left w:val="none" w:sz="0" w:space="0" w:color="auto"/>
        <w:bottom w:val="none" w:sz="0" w:space="0" w:color="auto"/>
        <w:right w:val="none" w:sz="0" w:space="0" w:color="auto"/>
      </w:divBdr>
    </w:div>
    <w:div w:id="131100812">
      <w:bodyDiv w:val="1"/>
      <w:marLeft w:val="0"/>
      <w:marRight w:val="0"/>
      <w:marTop w:val="0"/>
      <w:marBottom w:val="0"/>
      <w:divBdr>
        <w:top w:val="none" w:sz="0" w:space="0" w:color="auto"/>
        <w:left w:val="none" w:sz="0" w:space="0" w:color="auto"/>
        <w:bottom w:val="none" w:sz="0" w:space="0" w:color="auto"/>
        <w:right w:val="none" w:sz="0" w:space="0" w:color="auto"/>
      </w:divBdr>
    </w:div>
    <w:div w:id="144787461">
      <w:bodyDiv w:val="1"/>
      <w:marLeft w:val="0"/>
      <w:marRight w:val="0"/>
      <w:marTop w:val="0"/>
      <w:marBottom w:val="0"/>
      <w:divBdr>
        <w:top w:val="none" w:sz="0" w:space="0" w:color="auto"/>
        <w:left w:val="none" w:sz="0" w:space="0" w:color="auto"/>
        <w:bottom w:val="none" w:sz="0" w:space="0" w:color="auto"/>
        <w:right w:val="none" w:sz="0" w:space="0" w:color="auto"/>
      </w:divBdr>
    </w:div>
    <w:div w:id="153616724">
      <w:bodyDiv w:val="1"/>
      <w:marLeft w:val="0"/>
      <w:marRight w:val="0"/>
      <w:marTop w:val="0"/>
      <w:marBottom w:val="0"/>
      <w:divBdr>
        <w:top w:val="none" w:sz="0" w:space="0" w:color="auto"/>
        <w:left w:val="none" w:sz="0" w:space="0" w:color="auto"/>
        <w:bottom w:val="none" w:sz="0" w:space="0" w:color="auto"/>
        <w:right w:val="none" w:sz="0" w:space="0" w:color="auto"/>
      </w:divBdr>
    </w:div>
    <w:div w:id="161043521">
      <w:bodyDiv w:val="1"/>
      <w:marLeft w:val="0"/>
      <w:marRight w:val="0"/>
      <w:marTop w:val="0"/>
      <w:marBottom w:val="0"/>
      <w:divBdr>
        <w:top w:val="none" w:sz="0" w:space="0" w:color="auto"/>
        <w:left w:val="none" w:sz="0" w:space="0" w:color="auto"/>
        <w:bottom w:val="none" w:sz="0" w:space="0" w:color="auto"/>
        <w:right w:val="none" w:sz="0" w:space="0" w:color="auto"/>
      </w:divBdr>
    </w:div>
    <w:div w:id="175391700">
      <w:bodyDiv w:val="1"/>
      <w:marLeft w:val="0"/>
      <w:marRight w:val="0"/>
      <w:marTop w:val="0"/>
      <w:marBottom w:val="0"/>
      <w:divBdr>
        <w:top w:val="none" w:sz="0" w:space="0" w:color="auto"/>
        <w:left w:val="none" w:sz="0" w:space="0" w:color="auto"/>
        <w:bottom w:val="none" w:sz="0" w:space="0" w:color="auto"/>
        <w:right w:val="none" w:sz="0" w:space="0" w:color="auto"/>
      </w:divBdr>
    </w:div>
    <w:div w:id="177274893">
      <w:bodyDiv w:val="1"/>
      <w:marLeft w:val="0"/>
      <w:marRight w:val="0"/>
      <w:marTop w:val="0"/>
      <w:marBottom w:val="0"/>
      <w:divBdr>
        <w:top w:val="none" w:sz="0" w:space="0" w:color="auto"/>
        <w:left w:val="none" w:sz="0" w:space="0" w:color="auto"/>
        <w:bottom w:val="none" w:sz="0" w:space="0" w:color="auto"/>
        <w:right w:val="none" w:sz="0" w:space="0" w:color="auto"/>
      </w:divBdr>
    </w:div>
    <w:div w:id="187648194">
      <w:bodyDiv w:val="1"/>
      <w:marLeft w:val="0"/>
      <w:marRight w:val="0"/>
      <w:marTop w:val="0"/>
      <w:marBottom w:val="0"/>
      <w:divBdr>
        <w:top w:val="none" w:sz="0" w:space="0" w:color="auto"/>
        <w:left w:val="none" w:sz="0" w:space="0" w:color="auto"/>
        <w:bottom w:val="none" w:sz="0" w:space="0" w:color="auto"/>
        <w:right w:val="none" w:sz="0" w:space="0" w:color="auto"/>
      </w:divBdr>
    </w:div>
    <w:div w:id="188959874">
      <w:bodyDiv w:val="1"/>
      <w:marLeft w:val="0"/>
      <w:marRight w:val="0"/>
      <w:marTop w:val="0"/>
      <w:marBottom w:val="0"/>
      <w:divBdr>
        <w:top w:val="none" w:sz="0" w:space="0" w:color="auto"/>
        <w:left w:val="none" w:sz="0" w:space="0" w:color="auto"/>
        <w:bottom w:val="none" w:sz="0" w:space="0" w:color="auto"/>
        <w:right w:val="none" w:sz="0" w:space="0" w:color="auto"/>
      </w:divBdr>
    </w:div>
    <w:div w:id="191263725">
      <w:bodyDiv w:val="1"/>
      <w:marLeft w:val="0"/>
      <w:marRight w:val="0"/>
      <w:marTop w:val="0"/>
      <w:marBottom w:val="0"/>
      <w:divBdr>
        <w:top w:val="none" w:sz="0" w:space="0" w:color="auto"/>
        <w:left w:val="none" w:sz="0" w:space="0" w:color="auto"/>
        <w:bottom w:val="none" w:sz="0" w:space="0" w:color="auto"/>
        <w:right w:val="none" w:sz="0" w:space="0" w:color="auto"/>
      </w:divBdr>
    </w:div>
    <w:div w:id="192040550">
      <w:bodyDiv w:val="1"/>
      <w:marLeft w:val="0"/>
      <w:marRight w:val="0"/>
      <w:marTop w:val="0"/>
      <w:marBottom w:val="0"/>
      <w:divBdr>
        <w:top w:val="none" w:sz="0" w:space="0" w:color="auto"/>
        <w:left w:val="none" w:sz="0" w:space="0" w:color="auto"/>
        <w:bottom w:val="none" w:sz="0" w:space="0" w:color="auto"/>
        <w:right w:val="none" w:sz="0" w:space="0" w:color="auto"/>
      </w:divBdr>
    </w:div>
    <w:div w:id="195897911">
      <w:bodyDiv w:val="1"/>
      <w:marLeft w:val="0"/>
      <w:marRight w:val="0"/>
      <w:marTop w:val="0"/>
      <w:marBottom w:val="0"/>
      <w:divBdr>
        <w:top w:val="none" w:sz="0" w:space="0" w:color="auto"/>
        <w:left w:val="none" w:sz="0" w:space="0" w:color="auto"/>
        <w:bottom w:val="none" w:sz="0" w:space="0" w:color="auto"/>
        <w:right w:val="none" w:sz="0" w:space="0" w:color="auto"/>
      </w:divBdr>
    </w:div>
    <w:div w:id="198785819">
      <w:bodyDiv w:val="1"/>
      <w:marLeft w:val="0"/>
      <w:marRight w:val="0"/>
      <w:marTop w:val="0"/>
      <w:marBottom w:val="0"/>
      <w:divBdr>
        <w:top w:val="none" w:sz="0" w:space="0" w:color="auto"/>
        <w:left w:val="none" w:sz="0" w:space="0" w:color="auto"/>
        <w:bottom w:val="none" w:sz="0" w:space="0" w:color="auto"/>
        <w:right w:val="none" w:sz="0" w:space="0" w:color="auto"/>
      </w:divBdr>
    </w:div>
    <w:div w:id="204684914">
      <w:bodyDiv w:val="1"/>
      <w:marLeft w:val="0"/>
      <w:marRight w:val="0"/>
      <w:marTop w:val="0"/>
      <w:marBottom w:val="0"/>
      <w:divBdr>
        <w:top w:val="none" w:sz="0" w:space="0" w:color="auto"/>
        <w:left w:val="none" w:sz="0" w:space="0" w:color="auto"/>
        <w:bottom w:val="none" w:sz="0" w:space="0" w:color="auto"/>
        <w:right w:val="none" w:sz="0" w:space="0" w:color="auto"/>
      </w:divBdr>
    </w:div>
    <w:div w:id="205726876">
      <w:bodyDiv w:val="1"/>
      <w:marLeft w:val="0"/>
      <w:marRight w:val="0"/>
      <w:marTop w:val="0"/>
      <w:marBottom w:val="0"/>
      <w:divBdr>
        <w:top w:val="none" w:sz="0" w:space="0" w:color="auto"/>
        <w:left w:val="none" w:sz="0" w:space="0" w:color="auto"/>
        <w:bottom w:val="none" w:sz="0" w:space="0" w:color="auto"/>
        <w:right w:val="none" w:sz="0" w:space="0" w:color="auto"/>
      </w:divBdr>
    </w:div>
    <w:div w:id="215820767">
      <w:bodyDiv w:val="1"/>
      <w:marLeft w:val="0"/>
      <w:marRight w:val="0"/>
      <w:marTop w:val="0"/>
      <w:marBottom w:val="0"/>
      <w:divBdr>
        <w:top w:val="none" w:sz="0" w:space="0" w:color="auto"/>
        <w:left w:val="none" w:sz="0" w:space="0" w:color="auto"/>
        <w:bottom w:val="none" w:sz="0" w:space="0" w:color="auto"/>
        <w:right w:val="none" w:sz="0" w:space="0" w:color="auto"/>
      </w:divBdr>
      <w:divsChild>
        <w:div w:id="1664435815">
          <w:marLeft w:val="0"/>
          <w:marRight w:val="0"/>
          <w:marTop w:val="0"/>
          <w:marBottom w:val="0"/>
          <w:divBdr>
            <w:top w:val="none" w:sz="0" w:space="0" w:color="auto"/>
            <w:left w:val="none" w:sz="0" w:space="0" w:color="auto"/>
            <w:bottom w:val="none" w:sz="0" w:space="0" w:color="auto"/>
            <w:right w:val="none" w:sz="0" w:space="0" w:color="auto"/>
          </w:divBdr>
          <w:divsChild>
            <w:div w:id="973607305">
              <w:marLeft w:val="0"/>
              <w:marRight w:val="0"/>
              <w:marTop w:val="0"/>
              <w:marBottom w:val="0"/>
              <w:divBdr>
                <w:top w:val="none" w:sz="0" w:space="0" w:color="auto"/>
                <w:left w:val="none" w:sz="0" w:space="0" w:color="auto"/>
                <w:bottom w:val="none" w:sz="0" w:space="0" w:color="auto"/>
                <w:right w:val="none" w:sz="0" w:space="0" w:color="auto"/>
              </w:divBdr>
              <w:divsChild>
                <w:div w:id="504637498">
                  <w:marLeft w:val="0"/>
                  <w:marRight w:val="0"/>
                  <w:marTop w:val="0"/>
                  <w:marBottom w:val="0"/>
                  <w:divBdr>
                    <w:top w:val="none" w:sz="0" w:space="0" w:color="auto"/>
                    <w:left w:val="none" w:sz="0" w:space="0" w:color="auto"/>
                    <w:bottom w:val="none" w:sz="0" w:space="0" w:color="auto"/>
                    <w:right w:val="none" w:sz="0" w:space="0" w:color="auto"/>
                  </w:divBdr>
                </w:div>
              </w:divsChild>
            </w:div>
            <w:div w:id="1570651343">
              <w:marLeft w:val="0"/>
              <w:marRight w:val="0"/>
              <w:marTop w:val="0"/>
              <w:marBottom w:val="0"/>
              <w:divBdr>
                <w:top w:val="none" w:sz="0" w:space="0" w:color="auto"/>
                <w:left w:val="none" w:sz="0" w:space="0" w:color="auto"/>
                <w:bottom w:val="none" w:sz="0" w:space="0" w:color="auto"/>
                <w:right w:val="none" w:sz="0" w:space="0" w:color="auto"/>
              </w:divBdr>
              <w:divsChild>
                <w:div w:id="329526664">
                  <w:marLeft w:val="0"/>
                  <w:marRight w:val="0"/>
                  <w:marTop w:val="0"/>
                  <w:marBottom w:val="0"/>
                  <w:divBdr>
                    <w:top w:val="none" w:sz="0" w:space="0" w:color="auto"/>
                    <w:left w:val="none" w:sz="0" w:space="0" w:color="auto"/>
                    <w:bottom w:val="none" w:sz="0" w:space="0" w:color="auto"/>
                    <w:right w:val="none" w:sz="0" w:space="0" w:color="auto"/>
                  </w:divBdr>
                  <w:divsChild>
                    <w:div w:id="12940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088">
              <w:marLeft w:val="0"/>
              <w:marRight w:val="0"/>
              <w:marTop w:val="0"/>
              <w:marBottom w:val="0"/>
              <w:divBdr>
                <w:top w:val="none" w:sz="0" w:space="0" w:color="auto"/>
                <w:left w:val="none" w:sz="0" w:space="0" w:color="auto"/>
                <w:bottom w:val="none" w:sz="0" w:space="0" w:color="auto"/>
                <w:right w:val="none" w:sz="0" w:space="0" w:color="auto"/>
              </w:divBdr>
              <w:divsChild>
                <w:div w:id="1772893140">
                  <w:marLeft w:val="0"/>
                  <w:marRight w:val="0"/>
                  <w:marTop w:val="0"/>
                  <w:marBottom w:val="0"/>
                  <w:divBdr>
                    <w:top w:val="none" w:sz="0" w:space="0" w:color="auto"/>
                    <w:left w:val="none" w:sz="0" w:space="0" w:color="auto"/>
                    <w:bottom w:val="none" w:sz="0" w:space="0" w:color="auto"/>
                    <w:right w:val="none" w:sz="0" w:space="0" w:color="auto"/>
                  </w:divBdr>
                </w:div>
                <w:div w:id="1958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5094">
          <w:marLeft w:val="0"/>
          <w:marRight w:val="0"/>
          <w:marTop w:val="0"/>
          <w:marBottom w:val="0"/>
          <w:divBdr>
            <w:top w:val="none" w:sz="0" w:space="0" w:color="auto"/>
            <w:left w:val="none" w:sz="0" w:space="0" w:color="auto"/>
            <w:bottom w:val="none" w:sz="0" w:space="0" w:color="auto"/>
            <w:right w:val="none" w:sz="0" w:space="0" w:color="auto"/>
          </w:divBdr>
          <w:divsChild>
            <w:div w:id="562453460">
              <w:marLeft w:val="0"/>
              <w:marRight w:val="0"/>
              <w:marTop w:val="0"/>
              <w:marBottom w:val="0"/>
              <w:divBdr>
                <w:top w:val="none" w:sz="0" w:space="0" w:color="auto"/>
                <w:left w:val="none" w:sz="0" w:space="0" w:color="auto"/>
                <w:bottom w:val="none" w:sz="0" w:space="0" w:color="auto"/>
                <w:right w:val="none" w:sz="0" w:space="0" w:color="auto"/>
              </w:divBdr>
              <w:divsChild>
                <w:div w:id="21405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0848">
      <w:bodyDiv w:val="1"/>
      <w:marLeft w:val="0"/>
      <w:marRight w:val="0"/>
      <w:marTop w:val="0"/>
      <w:marBottom w:val="0"/>
      <w:divBdr>
        <w:top w:val="none" w:sz="0" w:space="0" w:color="auto"/>
        <w:left w:val="none" w:sz="0" w:space="0" w:color="auto"/>
        <w:bottom w:val="none" w:sz="0" w:space="0" w:color="auto"/>
        <w:right w:val="none" w:sz="0" w:space="0" w:color="auto"/>
      </w:divBdr>
    </w:div>
    <w:div w:id="230965174">
      <w:bodyDiv w:val="1"/>
      <w:marLeft w:val="0"/>
      <w:marRight w:val="0"/>
      <w:marTop w:val="0"/>
      <w:marBottom w:val="0"/>
      <w:divBdr>
        <w:top w:val="none" w:sz="0" w:space="0" w:color="auto"/>
        <w:left w:val="none" w:sz="0" w:space="0" w:color="auto"/>
        <w:bottom w:val="none" w:sz="0" w:space="0" w:color="auto"/>
        <w:right w:val="none" w:sz="0" w:space="0" w:color="auto"/>
      </w:divBdr>
    </w:div>
    <w:div w:id="231426330">
      <w:bodyDiv w:val="1"/>
      <w:marLeft w:val="0"/>
      <w:marRight w:val="0"/>
      <w:marTop w:val="0"/>
      <w:marBottom w:val="0"/>
      <w:divBdr>
        <w:top w:val="none" w:sz="0" w:space="0" w:color="auto"/>
        <w:left w:val="none" w:sz="0" w:space="0" w:color="auto"/>
        <w:bottom w:val="none" w:sz="0" w:space="0" w:color="auto"/>
        <w:right w:val="none" w:sz="0" w:space="0" w:color="auto"/>
      </w:divBdr>
    </w:div>
    <w:div w:id="239337495">
      <w:bodyDiv w:val="1"/>
      <w:marLeft w:val="0"/>
      <w:marRight w:val="0"/>
      <w:marTop w:val="0"/>
      <w:marBottom w:val="0"/>
      <w:divBdr>
        <w:top w:val="none" w:sz="0" w:space="0" w:color="auto"/>
        <w:left w:val="none" w:sz="0" w:space="0" w:color="auto"/>
        <w:bottom w:val="none" w:sz="0" w:space="0" w:color="auto"/>
        <w:right w:val="none" w:sz="0" w:space="0" w:color="auto"/>
      </w:divBdr>
    </w:div>
    <w:div w:id="239487429">
      <w:bodyDiv w:val="1"/>
      <w:marLeft w:val="0"/>
      <w:marRight w:val="0"/>
      <w:marTop w:val="0"/>
      <w:marBottom w:val="0"/>
      <w:divBdr>
        <w:top w:val="none" w:sz="0" w:space="0" w:color="auto"/>
        <w:left w:val="none" w:sz="0" w:space="0" w:color="auto"/>
        <w:bottom w:val="none" w:sz="0" w:space="0" w:color="auto"/>
        <w:right w:val="none" w:sz="0" w:space="0" w:color="auto"/>
      </w:divBdr>
    </w:div>
    <w:div w:id="252979030">
      <w:bodyDiv w:val="1"/>
      <w:marLeft w:val="0"/>
      <w:marRight w:val="0"/>
      <w:marTop w:val="0"/>
      <w:marBottom w:val="0"/>
      <w:divBdr>
        <w:top w:val="none" w:sz="0" w:space="0" w:color="auto"/>
        <w:left w:val="none" w:sz="0" w:space="0" w:color="auto"/>
        <w:bottom w:val="none" w:sz="0" w:space="0" w:color="auto"/>
        <w:right w:val="none" w:sz="0" w:space="0" w:color="auto"/>
      </w:divBdr>
    </w:div>
    <w:div w:id="253244373">
      <w:bodyDiv w:val="1"/>
      <w:marLeft w:val="0"/>
      <w:marRight w:val="0"/>
      <w:marTop w:val="0"/>
      <w:marBottom w:val="0"/>
      <w:divBdr>
        <w:top w:val="none" w:sz="0" w:space="0" w:color="auto"/>
        <w:left w:val="none" w:sz="0" w:space="0" w:color="auto"/>
        <w:bottom w:val="none" w:sz="0" w:space="0" w:color="auto"/>
        <w:right w:val="none" w:sz="0" w:space="0" w:color="auto"/>
      </w:divBdr>
    </w:div>
    <w:div w:id="260457996">
      <w:bodyDiv w:val="1"/>
      <w:marLeft w:val="0"/>
      <w:marRight w:val="0"/>
      <w:marTop w:val="0"/>
      <w:marBottom w:val="0"/>
      <w:divBdr>
        <w:top w:val="none" w:sz="0" w:space="0" w:color="auto"/>
        <w:left w:val="none" w:sz="0" w:space="0" w:color="auto"/>
        <w:bottom w:val="none" w:sz="0" w:space="0" w:color="auto"/>
        <w:right w:val="none" w:sz="0" w:space="0" w:color="auto"/>
      </w:divBdr>
    </w:div>
    <w:div w:id="263348994">
      <w:bodyDiv w:val="1"/>
      <w:marLeft w:val="0"/>
      <w:marRight w:val="0"/>
      <w:marTop w:val="0"/>
      <w:marBottom w:val="0"/>
      <w:divBdr>
        <w:top w:val="none" w:sz="0" w:space="0" w:color="auto"/>
        <w:left w:val="none" w:sz="0" w:space="0" w:color="auto"/>
        <w:bottom w:val="none" w:sz="0" w:space="0" w:color="auto"/>
        <w:right w:val="none" w:sz="0" w:space="0" w:color="auto"/>
      </w:divBdr>
    </w:div>
    <w:div w:id="271061985">
      <w:bodyDiv w:val="1"/>
      <w:marLeft w:val="0"/>
      <w:marRight w:val="0"/>
      <w:marTop w:val="0"/>
      <w:marBottom w:val="0"/>
      <w:divBdr>
        <w:top w:val="none" w:sz="0" w:space="0" w:color="auto"/>
        <w:left w:val="none" w:sz="0" w:space="0" w:color="auto"/>
        <w:bottom w:val="none" w:sz="0" w:space="0" w:color="auto"/>
        <w:right w:val="none" w:sz="0" w:space="0" w:color="auto"/>
      </w:divBdr>
    </w:div>
    <w:div w:id="274140853">
      <w:bodyDiv w:val="1"/>
      <w:marLeft w:val="0"/>
      <w:marRight w:val="0"/>
      <w:marTop w:val="0"/>
      <w:marBottom w:val="0"/>
      <w:divBdr>
        <w:top w:val="none" w:sz="0" w:space="0" w:color="auto"/>
        <w:left w:val="none" w:sz="0" w:space="0" w:color="auto"/>
        <w:bottom w:val="none" w:sz="0" w:space="0" w:color="auto"/>
        <w:right w:val="none" w:sz="0" w:space="0" w:color="auto"/>
      </w:divBdr>
    </w:div>
    <w:div w:id="288513003">
      <w:bodyDiv w:val="1"/>
      <w:marLeft w:val="0"/>
      <w:marRight w:val="0"/>
      <w:marTop w:val="0"/>
      <w:marBottom w:val="0"/>
      <w:divBdr>
        <w:top w:val="none" w:sz="0" w:space="0" w:color="auto"/>
        <w:left w:val="none" w:sz="0" w:space="0" w:color="auto"/>
        <w:bottom w:val="none" w:sz="0" w:space="0" w:color="auto"/>
        <w:right w:val="none" w:sz="0" w:space="0" w:color="auto"/>
      </w:divBdr>
    </w:div>
    <w:div w:id="291516580">
      <w:bodyDiv w:val="1"/>
      <w:marLeft w:val="0"/>
      <w:marRight w:val="0"/>
      <w:marTop w:val="0"/>
      <w:marBottom w:val="0"/>
      <w:divBdr>
        <w:top w:val="none" w:sz="0" w:space="0" w:color="auto"/>
        <w:left w:val="none" w:sz="0" w:space="0" w:color="auto"/>
        <w:bottom w:val="none" w:sz="0" w:space="0" w:color="auto"/>
        <w:right w:val="none" w:sz="0" w:space="0" w:color="auto"/>
      </w:divBdr>
    </w:div>
    <w:div w:id="295917498">
      <w:bodyDiv w:val="1"/>
      <w:marLeft w:val="0"/>
      <w:marRight w:val="0"/>
      <w:marTop w:val="0"/>
      <w:marBottom w:val="0"/>
      <w:divBdr>
        <w:top w:val="none" w:sz="0" w:space="0" w:color="auto"/>
        <w:left w:val="none" w:sz="0" w:space="0" w:color="auto"/>
        <w:bottom w:val="none" w:sz="0" w:space="0" w:color="auto"/>
        <w:right w:val="none" w:sz="0" w:space="0" w:color="auto"/>
      </w:divBdr>
    </w:div>
    <w:div w:id="302740527">
      <w:bodyDiv w:val="1"/>
      <w:marLeft w:val="0"/>
      <w:marRight w:val="0"/>
      <w:marTop w:val="0"/>
      <w:marBottom w:val="0"/>
      <w:divBdr>
        <w:top w:val="none" w:sz="0" w:space="0" w:color="auto"/>
        <w:left w:val="none" w:sz="0" w:space="0" w:color="auto"/>
        <w:bottom w:val="none" w:sz="0" w:space="0" w:color="auto"/>
        <w:right w:val="none" w:sz="0" w:space="0" w:color="auto"/>
      </w:divBdr>
    </w:div>
    <w:div w:id="307901471">
      <w:bodyDiv w:val="1"/>
      <w:marLeft w:val="0"/>
      <w:marRight w:val="0"/>
      <w:marTop w:val="0"/>
      <w:marBottom w:val="0"/>
      <w:divBdr>
        <w:top w:val="none" w:sz="0" w:space="0" w:color="auto"/>
        <w:left w:val="none" w:sz="0" w:space="0" w:color="auto"/>
        <w:bottom w:val="none" w:sz="0" w:space="0" w:color="auto"/>
        <w:right w:val="none" w:sz="0" w:space="0" w:color="auto"/>
      </w:divBdr>
    </w:div>
    <w:div w:id="309795852">
      <w:bodyDiv w:val="1"/>
      <w:marLeft w:val="0"/>
      <w:marRight w:val="0"/>
      <w:marTop w:val="0"/>
      <w:marBottom w:val="0"/>
      <w:divBdr>
        <w:top w:val="none" w:sz="0" w:space="0" w:color="auto"/>
        <w:left w:val="none" w:sz="0" w:space="0" w:color="auto"/>
        <w:bottom w:val="none" w:sz="0" w:space="0" w:color="auto"/>
        <w:right w:val="none" w:sz="0" w:space="0" w:color="auto"/>
      </w:divBdr>
    </w:div>
    <w:div w:id="325405763">
      <w:bodyDiv w:val="1"/>
      <w:marLeft w:val="0"/>
      <w:marRight w:val="0"/>
      <w:marTop w:val="0"/>
      <w:marBottom w:val="0"/>
      <w:divBdr>
        <w:top w:val="none" w:sz="0" w:space="0" w:color="auto"/>
        <w:left w:val="none" w:sz="0" w:space="0" w:color="auto"/>
        <w:bottom w:val="none" w:sz="0" w:space="0" w:color="auto"/>
        <w:right w:val="none" w:sz="0" w:space="0" w:color="auto"/>
      </w:divBdr>
    </w:div>
    <w:div w:id="339740501">
      <w:bodyDiv w:val="1"/>
      <w:marLeft w:val="0"/>
      <w:marRight w:val="0"/>
      <w:marTop w:val="0"/>
      <w:marBottom w:val="0"/>
      <w:divBdr>
        <w:top w:val="none" w:sz="0" w:space="0" w:color="auto"/>
        <w:left w:val="none" w:sz="0" w:space="0" w:color="auto"/>
        <w:bottom w:val="none" w:sz="0" w:space="0" w:color="auto"/>
        <w:right w:val="none" w:sz="0" w:space="0" w:color="auto"/>
      </w:divBdr>
    </w:div>
    <w:div w:id="340858886">
      <w:bodyDiv w:val="1"/>
      <w:marLeft w:val="0"/>
      <w:marRight w:val="0"/>
      <w:marTop w:val="0"/>
      <w:marBottom w:val="0"/>
      <w:divBdr>
        <w:top w:val="none" w:sz="0" w:space="0" w:color="auto"/>
        <w:left w:val="none" w:sz="0" w:space="0" w:color="auto"/>
        <w:bottom w:val="none" w:sz="0" w:space="0" w:color="auto"/>
        <w:right w:val="none" w:sz="0" w:space="0" w:color="auto"/>
      </w:divBdr>
    </w:div>
    <w:div w:id="346903604">
      <w:bodyDiv w:val="1"/>
      <w:marLeft w:val="0"/>
      <w:marRight w:val="0"/>
      <w:marTop w:val="0"/>
      <w:marBottom w:val="0"/>
      <w:divBdr>
        <w:top w:val="none" w:sz="0" w:space="0" w:color="auto"/>
        <w:left w:val="none" w:sz="0" w:space="0" w:color="auto"/>
        <w:bottom w:val="none" w:sz="0" w:space="0" w:color="auto"/>
        <w:right w:val="none" w:sz="0" w:space="0" w:color="auto"/>
      </w:divBdr>
    </w:div>
    <w:div w:id="348878020">
      <w:bodyDiv w:val="1"/>
      <w:marLeft w:val="0"/>
      <w:marRight w:val="0"/>
      <w:marTop w:val="0"/>
      <w:marBottom w:val="0"/>
      <w:divBdr>
        <w:top w:val="none" w:sz="0" w:space="0" w:color="auto"/>
        <w:left w:val="none" w:sz="0" w:space="0" w:color="auto"/>
        <w:bottom w:val="none" w:sz="0" w:space="0" w:color="auto"/>
        <w:right w:val="none" w:sz="0" w:space="0" w:color="auto"/>
      </w:divBdr>
    </w:div>
    <w:div w:id="387265065">
      <w:bodyDiv w:val="1"/>
      <w:marLeft w:val="0"/>
      <w:marRight w:val="0"/>
      <w:marTop w:val="0"/>
      <w:marBottom w:val="0"/>
      <w:divBdr>
        <w:top w:val="none" w:sz="0" w:space="0" w:color="auto"/>
        <w:left w:val="none" w:sz="0" w:space="0" w:color="auto"/>
        <w:bottom w:val="none" w:sz="0" w:space="0" w:color="auto"/>
        <w:right w:val="none" w:sz="0" w:space="0" w:color="auto"/>
      </w:divBdr>
    </w:div>
    <w:div w:id="388922941">
      <w:bodyDiv w:val="1"/>
      <w:marLeft w:val="0"/>
      <w:marRight w:val="0"/>
      <w:marTop w:val="0"/>
      <w:marBottom w:val="0"/>
      <w:divBdr>
        <w:top w:val="none" w:sz="0" w:space="0" w:color="auto"/>
        <w:left w:val="none" w:sz="0" w:space="0" w:color="auto"/>
        <w:bottom w:val="none" w:sz="0" w:space="0" w:color="auto"/>
        <w:right w:val="none" w:sz="0" w:space="0" w:color="auto"/>
      </w:divBdr>
    </w:div>
    <w:div w:id="390540127">
      <w:bodyDiv w:val="1"/>
      <w:marLeft w:val="0"/>
      <w:marRight w:val="0"/>
      <w:marTop w:val="0"/>
      <w:marBottom w:val="0"/>
      <w:divBdr>
        <w:top w:val="none" w:sz="0" w:space="0" w:color="auto"/>
        <w:left w:val="none" w:sz="0" w:space="0" w:color="auto"/>
        <w:bottom w:val="none" w:sz="0" w:space="0" w:color="auto"/>
        <w:right w:val="none" w:sz="0" w:space="0" w:color="auto"/>
      </w:divBdr>
    </w:div>
    <w:div w:id="391126260">
      <w:bodyDiv w:val="1"/>
      <w:marLeft w:val="0"/>
      <w:marRight w:val="0"/>
      <w:marTop w:val="0"/>
      <w:marBottom w:val="0"/>
      <w:divBdr>
        <w:top w:val="none" w:sz="0" w:space="0" w:color="auto"/>
        <w:left w:val="none" w:sz="0" w:space="0" w:color="auto"/>
        <w:bottom w:val="none" w:sz="0" w:space="0" w:color="auto"/>
        <w:right w:val="none" w:sz="0" w:space="0" w:color="auto"/>
      </w:divBdr>
    </w:div>
    <w:div w:id="403455387">
      <w:bodyDiv w:val="1"/>
      <w:marLeft w:val="0"/>
      <w:marRight w:val="0"/>
      <w:marTop w:val="0"/>
      <w:marBottom w:val="0"/>
      <w:divBdr>
        <w:top w:val="none" w:sz="0" w:space="0" w:color="auto"/>
        <w:left w:val="none" w:sz="0" w:space="0" w:color="auto"/>
        <w:bottom w:val="none" w:sz="0" w:space="0" w:color="auto"/>
        <w:right w:val="none" w:sz="0" w:space="0" w:color="auto"/>
      </w:divBdr>
    </w:div>
    <w:div w:id="405227652">
      <w:bodyDiv w:val="1"/>
      <w:marLeft w:val="0"/>
      <w:marRight w:val="0"/>
      <w:marTop w:val="0"/>
      <w:marBottom w:val="0"/>
      <w:divBdr>
        <w:top w:val="none" w:sz="0" w:space="0" w:color="auto"/>
        <w:left w:val="none" w:sz="0" w:space="0" w:color="auto"/>
        <w:bottom w:val="none" w:sz="0" w:space="0" w:color="auto"/>
        <w:right w:val="none" w:sz="0" w:space="0" w:color="auto"/>
      </w:divBdr>
    </w:div>
    <w:div w:id="407844223">
      <w:bodyDiv w:val="1"/>
      <w:marLeft w:val="0"/>
      <w:marRight w:val="0"/>
      <w:marTop w:val="0"/>
      <w:marBottom w:val="0"/>
      <w:divBdr>
        <w:top w:val="none" w:sz="0" w:space="0" w:color="auto"/>
        <w:left w:val="none" w:sz="0" w:space="0" w:color="auto"/>
        <w:bottom w:val="none" w:sz="0" w:space="0" w:color="auto"/>
        <w:right w:val="none" w:sz="0" w:space="0" w:color="auto"/>
      </w:divBdr>
      <w:divsChild>
        <w:div w:id="117530001">
          <w:marLeft w:val="0"/>
          <w:marRight w:val="0"/>
          <w:marTop w:val="0"/>
          <w:marBottom w:val="0"/>
          <w:divBdr>
            <w:top w:val="none" w:sz="0" w:space="0" w:color="auto"/>
            <w:left w:val="none" w:sz="0" w:space="0" w:color="auto"/>
            <w:bottom w:val="none" w:sz="0" w:space="0" w:color="auto"/>
            <w:right w:val="none" w:sz="0" w:space="0" w:color="auto"/>
          </w:divBdr>
          <w:divsChild>
            <w:div w:id="1210647526">
              <w:marLeft w:val="0"/>
              <w:marRight w:val="0"/>
              <w:marTop w:val="0"/>
              <w:marBottom w:val="0"/>
              <w:divBdr>
                <w:top w:val="none" w:sz="0" w:space="0" w:color="auto"/>
                <w:left w:val="none" w:sz="0" w:space="0" w:color="auto"/>
                <w:bottom w:val="none" w:sz="0" w:space="0" w:color="auto"/>
                <w:right w:val="none" w:sz="0" w:space="0" w:color="auto"/>
              </w:divBdr>
              <w:divsChild>
                <w:div w:id="1480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3264">
      <w:bodyDiv w:val="1"/>
      <w:marLeft w:val="0"/>
      <w:marRight w:val="0"/>
      <w:marTop w:val="0"/>
      <w:marBottom w:val="0"/>
      <w:divBdr>
        <w:top w:val="none" w:sz="0" w:space="0" w:color="auto"/>
        <w:left w:val="none" w:sz="0" w:space="0" w:color="auto"/>
        <w:bottom w:val="none" w:sz="0" w:space="0" w:color="auto"/>
        <w:right w:val="none" w:sz="0" w:space="0" w:color="auto"/>
      </w:divBdr>
    </w:div>
    <w:div w:id="413402025">
      <w:bodyDiv w:val="1"/>
      <w:marLeft w:val="0"/>
      <w:marRight w:val="0"/>
      <w:marTop w:val="0"/>
      <w:marBottom w:val="0"/>
      <w:divBdr>
        <w:top w:val="none" w:sz="0" w:space="0" w:color="auto"/>
        <w:left w:val="none" w:sz="0" w:space="0" w:color="auto"/>
        <w:bottom w:val="none" w:sz="0" w:space="0" w:color="auto"/>
        <w:right w:val="none" w:sz="0" w:space="0" w:color="auto"/>
      </w:divBdr>
    </w:div>
    <w:div w:id="426577785">
      <w:bodyDiv w:val="1"/>
      <w:marLeft w:val="0"/>
      <w:marRight w:val="0"/>
      <w:marTop w:val="0"/>
      <w:marBottom w:val="0"/>
      <w:divBdr>
        <w:top w:val="none" w:sz="0" w:space="0" w:color="auto"/>
        <w:left w:val="none" w:sz="0" w:space="0" w:color="auto"/>
        <w:bottom w:val="none" w:sz="0" w:space="0" w:color="auto"/>
        <w:right w:val="none" w:sz="0" w:space="0" w:color="auto"/>
      </w:divBdr>
    </w:div>
    <w:div w:id="426581934">
      <w:bodyDiv w:val="1"/>
      <w:marLeft w:val="0"/>
      <w:marRight w:val="0"/>
      <w:marTop w:val="0"/>
      <w:marBottom w:val="0"/>
      <w:divBdr>
        <w:top w:val="none" w:sz="0" w:space="0" w:color="auto"/>
        <w:left w:val="none" w:sz="0" w:space="0" w:color="auto"/>
        <w:bottom w:val="none" w:sz="0" w:space="0" w:color="auto"/>
        <w:right w:val="none" w:sz="0" w:space="0" w:color="auto"/>
      </w:divBdr>
    </w:div>
    <w:div w:id="430860664">
      <w:bodyDiv w:val="1"/>
      <w:marLeft w:val="0"/>
      <w:marRight w:val="0"/>
      <w:marTop w:val="0"/>
      <w:marBottom w:val="0"/>
      <w:divBdr>
        <w:top w:val="none" w:sz="0" w:space="0" w:color="auto"/>
        <w:left w:val="none" w:sz="0" w:space="0" w:color="auto"/>
        <w:bottom w:val="none" w:sz="0" w:space="0" w:color="auto"/>
        <w:right w:val="none" w:sz="0" w:space="0" w:color="auto"/>
      </w:divBdr>
    </w:div>
    <w:div w:id="431435096">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46775616">
      <w:bodyDiv w:val="1"/>
      <w:marLeft w:val="0"/>
      <w:marRight w:val="0"/>
      <w:marTop w:val="0"/>
      <w:marBottom w:val="0"/>
      <w:divBdr>
        <w:top w:val="none" w:sz="0" w:space="0" w:color="auto"/>
        <w:left w:val="none" w:sz="0" w:space="0" w:color="auto"/>
        <w:bottom w:val="none" w:sz="0" w:space="0" w:color="auto"/>
        <w:right w:val="none" w:sz="0" w:space="0" w:color="auto"/>
      </w:divBdr>
    </w:div>
    <w:div w:id="448862553">
      <w:bodyDiv w:val="1"/>
      <w:marLeft w:val="0"/>
      <w:marRight w:val="0"/>
      <w:marTop w:val="0"/>
      <w:marBottom w:val="0"/>
      <w:divBdr>
        <w:top w:val="none" w:sz="0" w:space="0" w:color="auto"/>
        <w:left w:val="none" w:sz="0" w:space="0" w:color="auto"/>
        <w:bottom w:val="none" w:sz="0" w:space="0" w:color="auto"/>
        <w:right w:val="none" w:sz="0" w:space="0" w:color="auto"/>
      </w:divBdr>
    </w:div>
    <w:div w:id="458768766">
      <w:bodyDiv w:val="1"/>
      <w:marLeft w:val="0"/>
      <w:marRight w:val="0"/>
      <w:marTop w:val="0"/>
      <w:marBottom w:val="0"/>
      <w:divBdr>
        <w:top w:val="none" w:sz="0" w:space="0" w:color="auto"/>
        <w:left w:val="none" w:sz="0" w:space="0" w:color="auto"/>
        <w:bottom w:val="none" w:sz="0" w:space="0" w:color="auto"/>
        <w:right w:val="none" w:sz="0" w:space="0" w:color="auto"/>
      </w:divBdr>
    </w:div>
    <w:div w:id="460537727">
      <w:bodyDiv w:val="1"/>
      <w:marLeft w:val="0"/>
      <w:marRight w:val="0"/>
      <w:marTop w:val="0"/>
      <w:marBottom w:val="0"/>
      <w:divBdr>
        <w:top w:val="none" w:sz="0" w:space="0" w:color="auto"/>
        <w:left w:val="none" w:sz="0" w:space="0" w:color="auto"/>
        <w:bottom w:val="none" w:sz="0" w:space="0" w:color="auto"/>
        <w:right w:val="none" w:sz="0" w:space="0" w:color="auto"/>
      </w:divBdr>
    </w:div>
    <w:div w:id="472913165">
      <w:bodyDiv w:val="1"/>
      <w:marLeft w:val="0"/>
      <w:marRight w:val="0"/>
      <w:marTop w:val="0"/>
      <w:marBottom w:val="0"/>
      <w:divBdr>
        <w:top w:val="none" w:sz="0" w:space="0" w:color="auto"/>
        <w:left w:val="none" w:sz="0" w:space="0" w:color="auto"/>
        <w:bottom w:val="none" w:sz="0" w:space="0" w:color="auto"/>
        <w:right w:val="none" w:sz="0" w:space="0" w:color="auto"/>
      </w:divBdr>
    </w:div>
    <w:div w:id="511064970">
      <w:bodyDiv w:val="1"/>
      <w:marLeft w:val="0"/>
      <w:marRight w:val="0"/>
      <w:marTop w:val="0"/>
      <w:marBottom w:val="0"/>
      <w:divBdr>
        <w:top w:val="none" w:sz="0" w:space="0" w:color="auto"/>
        <w:left w:val="none" w:sz="0" w:space="0" w:color="auto"/>
        <w:bottom w:val="none" w:sz="0" w:space="0" w:color="auto"/>
        <w:right w:val="none" w:sz="0" w:space="0" w:color="auto"/>
      </w:divBdr>
    </w:div>
    <w:div w:id="515192443">
      <w:bodyDiv w:val="1"/>
      <w:marLeft w:val="0"/>
      <w:marRight w:val="0"/>
      <w:marTop w:val="0"/>
      <w:marBottom w:val="0"/>
      <w:divBdr>
        <w:top w:val="none" w:sz="0" w:space="0" w:color="auto"/>
        <w:left w:val="none" w:sz="0" w:space="0" w:color="auto"/>
        <w:bottom w:val="none" w:sz="0" w:space="0" w:color="auto"/>
        <w:right w:val="none" w:sz="0" w:space="0" w:color="auto"/>
      </w:divBdr>
    </w:div>
    <w:div w:id="517237960">
      <w:bodyDiv w:val="1"/>
      <w:marLeft w:val="0"/>
      <w:marRight w:val="0"/>
      <w:marTop w:val="0"/>
      <w:marBottom w:val="0"/>
      <w:divBdr>
        <w:top w:val="none" w:sz="0" w:space="0" w:color="auto"/>
        <w:left w:val="none" w:sz="0" w:space="0" w:color="auto"/>
        <w:bottom w:val="none" w:sz="0" w:space="0" w:color="auto"/>
        <w:right w:val="none" w:sz="0" w:space="0" w:color="auto"/>
      </w:divBdr>
    </w:div>
    <w:div w:id="527839286">
      <w:bodyDiv w:val="1"/>
      <w:marLeft w:val="0"/>
      <w:marRight w:val="0"/>
      <w:marTop w:val="0"/>
      <w:marBottom w:val="0"/>
      <w:divBdr>
        <w:top w:val="none" w:sz="0" w:space="0" w:color="auto"/>
        <w:left w:val="none" w:sz="0" w:space="0" w:color="auto"/>
        <w:bottom w:val="none" w:sz="0" w:space="0" w:color="auto"/>
        <w:right w:val="none" w:sz="0" w:space="0" w:color="auto"/>
      </w:divBdr>
    </w:div>
    <w:div w:id="538711491">
      <w:bodyDiv w:val="1"/>
      <w:marLeft w:val="0"/>
      <w:marRight w:val="0"/>
      <w:marTop w:val="0"/>
      <w:marBottom w:val="0"/>
      <w:divBdr>
        <w:top w:val="none" w:sz="0" w:space="0" w:color="auto"/>
        <w:left w:val="none" w:sz="0" w:space="0" w:color="auto"/>
        <w:bottom w:val="none" w:sz="0" w:space="0" w:color="auto"/>
        <w:right w:val="none" w:sz="0" w:space="0" w:color="auto"/>
      </w:divBdr>
    </w:div>
    <w:div w:id="545215483">
      <w:bodyDiv w:val="1"/>
      <w:marLeft w:val="0"/>
      <w:marRight w:val="0"/>
      <w:marTop w:val="0"/>
      <w:marBottom w:val="0"/>
      <w:divBdr>
        <w:top w:val="none" w:sz="0" w:space="0" w:color="auto"/>
        <w:left w:val="none" w:sz="0" w:space="0" w:color="auto"/>
        <w:bottom w:val="none" w:sz="0" w:space="0" w:color="auto"/>
        <w:right w:val="none" w:sz="0" w:space="0" w:color="auto"/>
      </w:divBdr>
    </w:div>
    <w:div w:id="550380814">
      <w:bodyDiv w:val="1"/>
      <w:marLeft w:val="0"/>
      <w:marRight w:val="0"/>
      <w:marTop w:val="0"/>
      <w:marBottom w:val="0"/>
      <w:divBdr>
        <w:top w:val="none" w:sz="0" w:space="0" w:color="auto"/>
        <w:left w:val="none" w:sz="0" w:space="0" w:color="auto"/>
        <w:bottom w:val="none" w:sz="0" w:space="0" w:color="auto"/>
        <w:right w:val="none" w:sz="0" w:space="0" w:color="auto"/>
      </w:divBdr>
    </w:div>
    <w:div w:id="579292273">
      <w:bodyDiv w:val="1"/>
      <w:marLeft w:val="0"/>
      <w:marRight w:val="0"/>
      <w:marTop w:val="0"/>
      <w:marBottom w:val="0"/>
      <w:divBdr>
        <w:top w:val="none" w:sz="0" w:space="0" w:color="auto"/>
        <w:left w:val="none" w:sz="0" w:space="0" w:color="auto"/>
        <w:bottom w:val="none" w:sz="0" w:space="0" w:color="auto"/>
        <w:right w:val="none" w:sz="0" w:space="0" w:color="auto"/>
      </w:divBdr>
    </w:div>
    <w:div w:id="589235093">
      <w:bodyDiv w:val="1"/>
      <w:marLeft w:val="0"/>
      <w:marRight w:val="0"/>
      <w:marTop w:val="0"/>
      <w:marBottom w:val="0"/>
      <w:divBdr>
        <w:top w:val="none" w:sz="0" w:space="0" w:color="auto"/>
        <w:left w:val="none" w:sz="0" w:space="0" w:color="auto"/>
        <w:bottom w:val="none" w:sz="0" w:space="0" w:color="auto"/>
        <w:right w:val="none" w:sz="0" w:space="0" w:color="auto"/>
      </w:divBdr>
    </w:div>
    <w:div w:id="592783239">
      <w:bodyDiv w:val="1"/>
      <w:marLeft w:val="0"/>
      <w:marRight w:val="0"/>
      <w:marTop w:val="0"/>
      <w:marBottom w:val="0"/>
      <w:divBdr>
        <w:top w:val="none" w:sz="0" w:space="0" w:color="auto"/>
        <w:left w:val="none" w:sz="0" w:space="0" w:color="auto"/>
        <w:bottom w:val="none" w:sz="0" w:space="0" w:color="auto"/>
        <w:right w:val="none" w:sz="0" w:space="0" w:color="auto"/>
      </w:divBdr>
    </w:div>
    <w:div w:id="592931950">
      <w:bodyDiv w:val="1"/>
      <w:marLeft w:val="0"/>
      <w:marRight w:val="0"/>
      <w:marTop w:val="0"/>
      <w:marBottom w:val="0"/>
      <w:divBdr>
        <w:top w:val="none" w:sz="0" w:space="0" w:color="auto"/>
        <w:left w:val="none" w:sz="0" w:space="0" w:color="auto"/>
        <w:bottom w:val="none" w:sz="0" w:space="0" w:color="auto"/>
        <w:right w:val="none" w:sz="0" w:space="0" w:color="auto"/>
      </w:divBdr>
      <w:divsChild>
        <w:div w:id="547959430">
          <w:marLeft w:val="0"/>
          <w:marRight w:val="0"/>
          <w:marTop w:val="0"/>
          <w:marBottom w:val="0"/>
          <w:divBdr>
            <w:top w:val="none" w:sz="0" w:space="0" w:color="auto"/>
            <w:left w:val="none" w:sz="0" w:space="0" w:color="auto"/>
            <w:bottom w:val="none" w:sz="0" w:space="0" w:color="auto"/>
            <w:right w:val="none" w:sz="0" w:space="0" w:color="auto"/>
          </w:divBdr>
        </w:div>
        <w:div w:id="1560550423">
          <w:marLeft w:val="0"/>
          <w:marRight w:val="0"/>
          <w:marTop w:val="0"/>
          <w:marBottom w:val="0"/>
          <w:divBdr>
            <w:top w:val="none" w:sz="0" w:space="0" w:color="auto"/>
            <w:left w:val="none" w:sz="0" w:space="0" w:color="auto"/>
            <w:bottom w:val="none" w:sz="0" w:space="0" w:color="auto"/>
            <w:right w:val="none" w:sz="0" w:space="0" w:color="auto"/>
          </w:divBdr>
        </w:div>
      </w:divsChild>
    </w:div>
    <w:div w:id="602154483">
      <w:bodyDiv w:val="1"/>
      <w:marLeft w:val="0"/>
      <w:marRight w:val="0"/>
      <w:marTop w:val="0"/>
      <w:marBottom w:val="0"/>
      <w:divBdr>
        <w:top w:val="none" w:sz="0" w:space="0" w:color="auto"/>
        <w:left w:val="none" w:sz="0" w:space="0" w:color="auto"/>
        <w:bottom w:val="none" w:sz="0" w:space="0" w:color="auto"/>
        <w:right w:val="none" w:sz="0" w:space="0" w:color="auto"/>
      </w:divBdr>
    </w:div>
    <w:div w:id="606620963">
      <w:bodyDiv w:val="1"/>
      <w:marLeft w:val="0"/>
      <w:marRight w:val="0"/>
      <w:marTop w:val="0"/>
      <w:marBottom w:val="0"/>
      <w:divBdr>
        <w:top w:val="none" w:sz="0" w:space="0" w:color="auto"/>
        <w:left w:val="none" w:sz="0" w:space="0" w:color="auto"/>
        <w:bottom w:val="none" w:sz="0" w:space="0" w:color="auto"/>
        <w:right w:val="none" w:sz="0" w:space="0" w:color="auto"/>
      </w:divBdr>
    </w:div>
    <w:div w:id="624779355">
      <w:bodyDiv w:val="1"/>
      <w:marLeft w:val="0"/>
      <w:marRight w:val="0"/>
      <w:marTop w:val="0"/>
      <w:marBottom w:val="0"/>
      <w:divBdr>
        <w:top w:val="none" w:sz="0" w:space="0" w:color="auto"/>
        <w:left w:val="none" w:sz="0" w:space="0" w:color="auto"/>
        <w:bottom w:val="none" w:sz="0" w:space="0" w:color="auto"/>
        <w:right w:val="none" w:sz="0" w:space="0" w:color="auto"/>
      </w:divBdr>
    </w:div>
    <w:div w:id="630407280">
      <w:bodyDiv w:val="1"/>
      <w:marLeft w:val="0"/>
      <w:marRight w:val="0"/>
      <w:marTop w:val="0"/>
      <w:marBottom w:val="0"/>
      <w:divBdr>
        <w:top w:val="none" w:sz="0" w:space="0" w:color="auto"/>
        <w:left w:val="none" w:sz="0" w:space="0" w:color="auto"/>
        <w:bottom w:val="none" w:sz="0" w:space="0" w:color="auto"/>
        <w:right w:val="none" w:sz="0" w:space="0" w:color="auto"/>
      </w:divBdr>
    </w:div>
    <w:div w:id="641615730">
      <w:bodyDiv w:val="1"/>
      <w:marLeft w:val="0"/>
      <w:marRight w:val="0"/>
      <w:marTop w:val="0"/>
      <w:marBottom w:val="0"/>
      <w:divBdr>
        <w:top w:val="none" w:sz="0" w:space="0" w:color="auto"/>
        <w:left w:val="none" w:sz="0" w:space="0" w:color="auto"/>
        <w:bottom w:val="none" w:sz="0" w:space="0" w:color="auto"/>
        <w:right w:val="none" w:sz="0" w:space="0" w:color="auto"/>
      </w:divBdr>
    </w:div>
    <w:div w:id="647785827">
      <w:bodyDiv w:val="1"/>
      <w:marLeft w:val="0"/>
      <w:marRight w:val="0"/>
      <w:marTop w:val="0"/>
      <w:marBottom w:val="0"/>
      <w:divBdr>
        <w:top w:val="none" w:sz="0" w:space="0" w:color="auto"/>
        <w:left w:val="none" w:sz="0" w:space="0" w:color="auto"/>
        <w:bottom w:val="none" w:sz="0" w:space="0" w:color="auto"/>
        <w:right w:val="none" w:sz="0" w:space="0" w:color="auto"/>
      </w:divBdr>
    </w:div>
    <w:div w:id="648091315">
      <w:bodyDiv w:val="1"/>
      <w:marLeft w:val="0"/>
      <w:marRight w:val="0"/>
      <w:marTop w:val="0"/>
      <w:marBottom w:val="0"/>
      <w:divBdr>
        <w:top w:val="none" w:sz="0" w:space="0" w:color="auto"/>
        <w:left w:val="none" w:sz="0" w:space="0" w:color="auto"/>
        <w:bottom w:val="none" w:sz="0" w:space="0" w:color="auto"/>
        <w:right w:val="none" w:sz="0" w:space="0" w:color="auto"/>
      </w:divBdr>
    </w:div>
    <w:div w:id="663629127">
      <w:bodyDiv w:val="1"/>
      <w:marLeft w:val="0"/>
      <w:marRight w:val="0"/>
      <w:marTop w:val="0"/>
      <w:marBottom w:val="0"/>
      <w:divBdr>
        <w:top w:val="none" w:sz="0" w:space="0" w:color="auto"/>
        <w:left w:val="none" w:sz="0" w:space="0" w:color="auto"/>
        <w:bottom w:val="none" w:sz="0" w:space="0" w:color="auto"/>
        <w:right w:val="none" w:sz="0" w:space="0" w:color="auto"/>
      </w:divBdr>
    </w:div>
    <w:div w:id="665783512">
      <w:bodyDiv w:val="1"/>
      <w:marLeft w:val="0"/>
      <w:marRight w:val="0"/>
      <w:marTop w:val="0"/>
      <w:marBottom w:val="0"/>
      <w:divBdr>
        <w:top w:val="none" w:sz="0" w:space="0" w:color="auto"/>
        <w:left w:val="none" w:sz="0" w:space="0" w:color="auto"/>
        <w:bottom w:val="none" w:sz="0" w:space="0" w:color="auto"/>
        <w:right w:val="none" w:sz="0" w:space="0" w:color="auto"/>
      </w:divBdr>
    </w:div>
    <w:div w:id="677123122">
      <w:bodyDiv w:val="1"/>
      <w:marLeft w:val="0"/>
      <w:marRight w:val="0"/>
      <w:marTop w:val="0"/>
      <w:marBottom w:val="0"/>
      <w:divBdr>
        <w:top w:val="none" w:sz="0" w:space="0" w:color="auto"/>
        <w:left w:val="none" w:sz="0" w:space="0" w:color="auto"/>
        <w:bottom w:val="none" w:sz="0" w:space="0" w:color="auto"/>
        <w:right w:val="none" w:sz="0" w:space="0" w:color="auto"/>
      </w:divBdr>
    </w:div>
    <w:div w:id="681736307">
      <w:bodyDiv w:val="1"/>
      <w:marLeft w:val="0"/>
      <w:marRight w:val="0"/>
      <w:marTop w:val="0"/>
      <w:marBottom w:val="0"/>
      <w:divBdr>
        <w:top w:val="none" w:sz="0" w:space="0" w:color="auto"/>
        <w:left w:val="none" w:sz="0" w:space="0" w:color="auto"/>
        <w:bottom w:val="none" w:sz="0" w:space="0" w:color="auto"/>
        <w:right w:val="none" w:sz="0" w:space="0" w:color="auto"/>
      </w:divBdr>
    </w:div>
    <w:div w:id="690183933">
      <w:bodyDiv w:val="1"/>
      <w:marLeft w:val="0"/>
      <w:marRight w:val="0"/>
      <w:marTop w:val="0"/>
      <w:marBottom w:val="0"/>
      <w:divBdr>
        <w:top w:val="none" w:sz="0" w:space="0" w:color="auto"/>
        <w:left w:val="none" w:sz="0" w:space="0" w:color="auto"/>
        <w:bottom w:val="none" w:sz="0" w:space="0" w:color="auto"/>
        <w:right w:val="none" w:sz="0" w:space="0" w:color="auto"/>
      </w:divBdr>
    </w:div>
    <w:div w:id="691416176">
      <w:bodyDiv w:val="1"/>
      <w:marLeft w:val="0"/>
      <w:marRight w:val="0"/>
      <w:marTop w:val="0"/>
      <w:marBottom w:val="0"/>
      <w:divBdr>
        <w:top w:val="none" w:sz="0" w:space="0" w:color="auto"/>
        <w:left w:val="none" w:sz="0" w:space="0" w:color="auto"/>
        <w:bottom w:val="none" w:sz="0" w:space="0" w:color="auto"/>
        <w:right w:val="none" w:sz="0" w:space="0" w:color="auto"/>
      </w:divBdr>
    </w:div>
    <w:div w:id="716011031">
      <w:bodyDiv w:val="1"/>
      <w:marLeft w:val="0"/>
      <w:marRight w:val="0"/>
      <w:marTop w:val="0"/>
      <w:marBottom w:val="0"/>
      <w:divBdr>
        <w:top w:val="none" w:sz="0" w:space="0" w:color="auto"/>
        <w:left w:val="none" w:sz="0" w:space="0" w:color="auto"/>
        <w:bottom w:val="none" w:sz="0" w:space="0" w:color="auto"/>
        <w:right w:val="none" w:sz="0" w:space="0" w:color="auto"/>
      </w:divBdr>
    </w:div>
    <w:div w:id="728655929">
      <w:bodyDiv w:val="1"/>
      <w:marLeft w:val="0"/>
      <w:marRight w:val="0"/>
      <w:marTop w:val="0"/>
      <w:marBottom w:val="0"/>
      <w:divBdr>
        <w:top w:val="none" w:sz="0" w:space="0" w:color="auto"/>
        <w:left w:val="none" w:sz="0" w:space="0" w:color="auto"/>
        <w:bottom w:val="none" w:sz="0" w:space="0" w:color="auto"/>
        <w:right w:val="none" w:sz="0" w:space="0" w:color="auto"/>
      </w:divBdr>
    </w:div>
    <w:div w:id="731007400">
      <w:bodyDiv w:val="1"/>
      <w:marLeft w:val="0"/>
      <w:marRight w:val="0"/>
      <w:marTop w:val="0"/>
      <w:marBottom w:val="0"/>
      <w:divBdr>
        <w:top w:val="none" w:sz="0" w:space="0" w:color="auto"/>
        <w:left w:val="none" w:sz="0" w:space="0" w:color="auto"/>
        <w:bottom w:val="none" w:sz="0" w:space="0" w:color="auto"/>
        <w:right w:val="none" w:sz="0" w:space="0" w:color="auto"/>
      </w:divBdr>
    </w:div>
    <w:div w:id="731927045">
      <w:bodyDiv w:val="1"/>
      <w:marLeft w:val="0"/>
      <w:marRight w:val="0"/>
      <w:marTop w:val="0"/>
      <w:marBottom w:val="0"/>
      <w:divBdr>
        <w:top w:val="none" w:sz="0" w:space="0" w:color="auto"/>
        <w:left w:val="none" w:sz="0" w:space="0" w:color="auto"/>
        <w:bottom w:val="none" w:sz="0" w:space="0" w:color="auto"/>
        <w:right w:val="none" w:sz="0" w:space="0" w:color="auto"/>
      </w:divBdr>
    </w:div>
    <w:div w:id="738796417">
      <w:bodyDiv w:val="1"/>
      <w:marLeft w:val="0"/>
      <w:marRight w:val="0"/>
      <w:marTop w:val="0"/>
      <w:marBottom w:val="0"/>
      <w:divBdr>
        <w:top w:val="none" w:sz="0" w:space="0" w:color="auto"/>
        <w:left w:val="none" w:sz="0" w:space="0" w:color="auto"/>
        <w:bottom w:val="none" w:sz="0" w:space="0" w:color="auto"/>
        <w:right w:val="none" w:sz="0" w:space="0" w:color="auto"/>
      </w:divBdr>
    </w:div>
    <w:div w:id="740177920">
      <w:bodyDiv w:val="1"/>
      <w:marLeft w:val="0"/>
      <w:marRight w:val="0"/>
      <w:marTop w:val="0"/>
      <w:marBottom w:val="0"/>
      <w:divBdr>
        <w:top w:val="none" w:sz="0" w:space="0" w:color="auto"/>
        <w:left w:val="none" w:sz="0" w:space="0" w:color="auto"/>
        <w:bottom w:val="none" w:sz="0" w:space="0" w:color="auto"/>
        <w:right w:val="none" w:sz="0" w:space="0" w:color="auto"/>
      </w:divBdr>
    </w:div>
    <w:div w:id="755440773">
      <w:bodyDiv w:val="1"/>
      <w:marLeft w:val="0"/>
      <w:marRight w:val="0"/>
      <w:marTop w:val="0"/>
      <w:marBottom w:val="0"/>
      <w:divBdr>
        <w:top w:val="none" w:sz="0" w:space="0" w:color="auto"/>
        <w:left w:val="none" w:sz="0" w:space="0" w:color="auto"/>
        <w:bottom w:val="none" w:sz="0" w:space="0" w:color="auto"/>
        <w:right w:val="none" w:sz="0" w:space="0" w:color="auto"/>
      </w:divBdr>
    </w:div>
    <w:div w:id="755711245">
      <w:bodyDiv w:val="1"/>
      <w:marLeft w:val="0"/>
      <w:marRight w:val="0"/>
      <w:marTop w:val="0"/>
      <w:marBottom w:val="0"/>
      <w:divBdr>
        <w:top w:val="none" w:sz="0" w:space="0" w:color="auto"/>
        <w:left w:val="none" w:sz="0" w:space="0" w:color="auto"/>
        <w:bottom w:val="none" w:sz="0" w:space="0" w:color="auto"/>
        <w:right w:val="none" w:sz="0" w:space="0" w:color="auto"/>
      </w:divBdr>
    </w:div>
    <w:div w:id="764767975">
      <w:bodyDiv w:val="1"/>
      <w:marLeft w:val="0"/>
      <w:marRight w:val="0"/>
      <w:marTop w:val="0"/>
      <w:marBottom w:val="0"/>
      <w:divBdr>
        <w:top w:val="none" w:sz="0" w:space="0" w:color="auto"/>
        <w:left w:val="none" w:sz="0" w:space="0" w:color="auto"/>
        <w:bottom w:val="none" w:sz="0" w:space="0" w:color="auto"/>
        <w:right w:val="none" w:sz="0" w:space="0" w:color="auto"/>
      </w:divBdr>
    </w:div>
    <w:div w:id="774713495">
      <w:bodyDiv w:val="1"/>
      <w:marLeft w:val="0"/>
      <w:marRight w:val="0"/>
      <w:marTop w:val="0"/>
      <w:marBottom w:val="0"/>
      <w:divBdr>
        <w:top w:val="none" w:sz="0" w:space="0" w:color="auto"/>
        <w:left w:val="none" w:sz="0" w:space="0" w:color="auto"/>
        <w:bottom w:val="none" w:sz="0" w:space="0" w:color="auto"/>
        <w:right w:val="none" w:sz="0" w:space="0" w:color="auto"/>
      </w:divBdr>
    </w:div>
    <w:div w:id="783161377">
      <w:bodyDiv w:val="1"/>
      <w:marLeft w:val="0"/>
      <w:marRight w:val="0"/>
      <w:marTop w:val="0"/>
      <w:marBottom w:val="0"/>
      <w:divBdr>
        <w:top w:val="none" w:sz="0" w:space="0" w:color="auto"/>
        <w:left w:val="none" w:sz="0" w:space="0" w:color="auto"/>
        <w:bottom w:val="none" w:sz="0" w:space="0" w:color="auto"/>
        <w:right w:val="none" w:sz="0" w:space="0" w:color="auto"/>
      </w:divBdr>
    </w:div>
    <w:div w:id="785125083">
      <w:bodyDiv w:val="1"/>
      <w:marLeft w:val="0"/>
      <w:marRight w:val="0"/>
      <w:marTop w:val="0"/>
      <w:marBottom w:val="0"/>
      <w:divBdr>
        <w:top w:val="none" w:sz="0" w:space="0" w:color="auto"/>
        <w:left w:val="none" w:sz="0" w:space="0" w:color="auto"/>
        <w:bottom w:val="none" w:sz="0" w:space="0" w:color="auto"/>
        <w:right w:val="none" w:sz="0" w:space="0" w:color="auto"/>
      </w:divBdr>
    </w:div>
    <w:div w:id="793912955">
      <w:bodyDiv w:val="1"/>
      <w:marLeft w:val="0"/>
      <w:marRight w:val="0"/>
      <w:marTop w:val="0"/>
      <w:marBottom w:val="0"/>
      <w:divBdr>
        <w:top w:val="none" w:sz="0" w:space="0" w:color="auto"/>
        <w:left w:val="none" w:sz="0" w:space="0" w:color="auto"/>
        <w:bottom w:val="none" w:sz="0" w:space="0" w:color="auto"/>
        <w:right w:val="none" w:sz="0" w:space="0" w:color="auto"/>
      </w:divBdr>
    </w:div>
    <w:div w:id="801465562">
      <w:bodyDiv w:val="1"/>
      <w:marLeft w:val="0"/>
      <w:marRight w:val="0"/>
      <w:marTop w:val="0"/>
      <w:marBottom w:val="0"/>
      <w:divBdr>
        <w:top w:val="none" w:sz="0" w:space="0" w:color="auto"/>
        <w:left w:val="none" w:sz="0" w:space="0" w:color="auto"/>
        <w:bottom w:val="none" w:sz="0" w:space="0" w:color="auto"/>
        <w:right w:val="none" w:sz="0" w:space="0" w:color="auto"/>
      </w:divBdr>
    </w:div>
    <w:div w:id="818418805">
      <w:bodyDiv w:val="1"/>
      <w:marLeft w:val="0"/>
      <w:marRight w:val="0"/>
      <w:marTop w:val="0"/>
      <w:marBottom w:val="0"/>
      <w:divBdr>
        <w:top w:val="none" w:sz="0" w:space="0" w:color="auto"/>
        <w:left w:val="none" w:sz="0" w:space="0" w:color="auto"/>
        <w:bottom w:val="none" w:sz="0" w:space="0" w:color="auto"/>
        <w:right w:val="none" w:sz="0" w:space="0" w:color="auto"/>
      </w:divBdr>
    </w:div>
    <w:div w:id="820273758">
      <w:bodyDiv w:val="1"/>
      <w:marLeft w:val="0"/>
      <w:marRight w:val="0"/>
      <w:marTop w:val="0"/>
      <w:marBottom w:val="0"/>
      <w:divBdr>
        <w:top w:val="none" w:sz="0" w:space="0" w:color="auto"/>
        <w:left w:val="none" w:sz="0" w:space="0" w:color="auto"/>
        <w:bottom w:val="none" w:sz="0" w:space="0" w:color="auto"/>
        <w:right w:val="none" w:sz="0" w:space="0" w:color="auto"/>
      </w:divBdr>
    </w:div>
    <w:div w:id="822770831">
      <w:bodyDiv w:val="1"/>
      <w:marLeft w:val="0"/>
      <w:marRight w:val="0"/>
      <w:marTop w:val="0"/>
      <w:marBottom w:val="0"/>
      <w:divBdr>
        <w:top w:val="none" w:sz="0" w:space="0" w:color="auto"/>
        <w:left w:val="none" w:sz="0" w:space="0" w:color="auto"/>
        <w:bottom w:val="none" w:sz="0" w:space="0" w:color="auto"/>
        <w:right w:val="none" w:sz="0" w:space="0" w:color="auto"/>
      </w:divBdr>
    </w:div>
    <w:div w:id="830373083">
      <w:bodyDiv w:val="1"/>
      <w:marLeft w:val="0"/>
      <w:marRight w:val="0"/>
      <w:marTop w:val="0"/>
      <w:marBottom w:val="0"/>
      <w:divBdr>
        <w:top w:val="none" w:sz="0" w:space="0" w:color="auto"/>
        <w:left w:val="none" w:sz="0" w:space="0" w:color="auto"/>
        <w:bottom w:val="none" w:sz="0" w:space="0" w:color="auto"/>
        <w:right w:val="none" w:sz="0" w:space="0" w:color="auto"/>
      </w:divBdr>
    </w:div>
    <w:div w:id="834611887">
      <w:bodyDiv w:val="1"/>
      <w:marLeft w:val="0"/>
      <w:marRight w:val="0"/>
      <w:marTop w:val="0"/>
      <w:marBottom w:val="0"/>
      <w:divBdr>
        <w:top w:val="none" w:sz="0" w:space="0" w:color="auto"/>
        <w:left w:val="none" w:sz="0" w:space="0" w:color="auto"/>
        <w:bottom w:val="none" w:sz="0" w:space="0" w:color="auto"/>
        <w:right w:val="none" w:sz="0" w:space="0" w:color="auto"/>
      </w:divBdr>
    </w:div>
    <w:div w:id="834994711">
      <w:bodyDiv w:val="1"/>
      <w:marLeft w:val="0"/>
      <w:marRight w:val="0"/>
      <w:marTop w:val="0"/>
      <w:marBottom w:val="0"/>
      <w:divBdr>
        <w:top w:val="none" w:sz="0" w:space="0" w:color="auto"/>
        <w:left w:val="none" w:sz="0" w:space="0" w:color="auto"/>
        <w:bottom w:val="none" w:sz="0" w:space="0" w:color="auto"/>
        <w:right w:val="none" w:sz="0" w:space="0" w:color="auto"/>
      </w:divBdr>
    </w:div>
    <w:div w:id="836269712">
      <w:bodyDiv w:val="1"/>
      <w:marLeft w:val="0"/>
      <w:marRight w:val="0"/>
      <w:marTop w:val="0"/>
      <w:marBottom w:val="0"/>
      <w:divBdr>
        <w:top w:val="none" w:sz="0" w:space="0" w:color="auto"/>
        <w:left w:val="none" w:sz="0" w:space="0" w:color="auto"/>
        <w:bottom w:val="none" w:sz="0" w:space="0" w:color="auto"/>
        <w:right w:val="none" w:sz="0" w:space="0" w:color="auto"/>
      </w:divBdr>
    </w:div>
    <w:div w:id="844396193">
      <w:bodyDiv w:val="1"/>
      <w:marLeft w:val="0"/>
      <w:marRight w:val="0"/>
      <w:marTop w:val="0"/>
      <w:marBottom w:val="0"/>
      <w:divBdr>
        <w:top w:val="none" w:sz="0" w:space="0" w:color="auto"/>
        <w:left w:val="none" w:sz="0" w:space="0" w:color="auto"/>
        <w:bottom w:val="none" w:sz="0" w:space="0" w:color="auto"/>
        <w:right w:val="none" w:sz="0" w:space="0" w:color="auto"/>
      </w:divBdr>
    </w:div>
    <w:div w:id="850491231">
      <w:bodyDiv w:val="1"/>
      <w:marLeft w:val="0"/>
      <w:marRight w:val="0"/>
      <w:marTop w:val="0"/>
      <w:marBottom w:val="0"/>
      <w:divBdr>
        <w:top w:val="none" w:sz="0" w:space="0" w:color="auto"/>
        <w:left w:val="none" w:sz="0" w:space="0" w:color="auto"/>
        <w:bottom w:val="none" w:sz="0" w:space="0" w:color="auto"/>
        <w:right w:val="none" w:sz="0" w:space="0" w:color="auto"/>
      </w:divBdr>
    </w:div>
    <w:div w:id="872957403">
      <w:bodyDiv w:val="1"/>
      <w:marLeft w:val="0"/>
      <w:marRight w:val="0"/>
      <w:marTop w:val="0"/>
      <w:marBottom w:val="0"/>
      <w:divBdr>
        <w:top w:val="none" w:sz="0" w:space="0" w:color="auto"/>
        <w:left w:val="none" w:sz="0" w:space="0" w:color="auto"/>
        <w:bottom w:val="none" w:sz="0" w:space="0" w:color="auto"/>
        <w:right w:val="none" w:sz="0" w:space="0" w:color="auto"/>
      </w:divBdr>
    </w:div>
    <w:div w:id="875577849">
      <w:bodyDiv w:val="1"/>
      <w:marLeft w:val="0"/>
      <w:marRight w:val="0"/>
      <w:marTop w:val="0"/>
      <w:marBottom w:val="0"/>
      <w:divBdr>
        <w:top w:val="none" w:sz="0" w:space="0" w:color="auto"/>
        <w:left w:val="none" w:sz="0" w:space="0" w:color="auto"/>
        <w:bottom w:val="none" w:sz="0" w:space="0" w:color="auto"/>
        <w:right w:val="none" w:sz="0" w:space="0" w:color="auto"/>
      </w:divBdr>
    </w:div>
    <w:div w:id="880479905">
      <w:bodyDiv w:val="1"/>
      <w:marLeft w:val="0"/>
      <w:marRight w:val="0"/>
      <w:marTop w:val="0"/>
      <w:marBottom w:val="0"/>
      <w:divBdr>
        <w:top w:val="none" w:sz="0" w:space="0" w:color="auto"/>
        <w:left w:val="none" w:sz="0" w:space="0" w:color="auto"/>
        <w:bottom w:val="none" w:sz="0" w:space="0" w:color="auto"/>
        <w:right w:val="none" w:sz="0" w:space="0" w:color="auto"/>
      </w:divBdr>
    </w:div>
    <w:div w:id="885145730">
      <w:bodyDiv w:val="1"/>
      <w:marLeft w:val="0"/>
      <w:marRight w:val="0"/>
      <w:marTop w:val="0"/>
      <w:marBottom w:val="0"/>
      <w:divBdr>
        <w:top w:val="none" w:sz="0" w:space="0" w:color="auto"/>
        <w:left w:val="none" w:sz="0" w:space="0" w:color="auto"/>
        <w:bottom w:val="none" w:sz="0" w:space="0" w:color="auto"/>
        <w:right w:val="none" w:sz="0" w:space="0" w:color="auto"/>
      </w:divBdr>
    </w:div>
    <w:div w:id="888883481">
      <w:bodyDiv w:val="1"/>
      <w:marLeft w:val="0"/>
      <w:marRight w:val="0"/>
      <w:marTop w:val="0"/>
      <w:marBottom w:val="0"/>
      <w:divBdr>
        <w:top w:val="none" w:sz="0" w:space="0" w:color="auto"/>
        <w:left w:val="none" w:sz="0" w:space="0" w:color="auto"/>
        <w:bottom w:val="none" w:sz="0" w:space="0" w:color="auto"/>
        <w:right w:val="none" w:sz="0" w:space="0" w:color="auto"/>
      </w:divBdr>
    </w:div>
    <w:div w:id="889194451">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sChild>
        <w:div w:id="1649048412">
          <w:marLeft w:val="0"/>
          <w:marRight w:val="0"/>
          <w:marTop w:val="0"/>
          <w:marBottom w:val="0"/>
          <w:divBdr>
            <w:top w:val="none" w:sz="0" w:space="0" w:color="auto"/>
            <w:left w:val="none" w:sz="0" w:space="0" w:color="auto"/>
            <w:bottom w:val="none" w:sz="0" w:space="0" w:color="auto"/>
            <w:right w:val="none" w:sz="0" w:space="0" w:color="auto"/>
          </w:divBdr>
          <w:divsChild>
            <w:div w:id="1035958126">
              <w:marLeft w:val="0"/>
              <w:marRight w:val="0"/>
              <w:marTop w:val="0"/>
              <w:marBottom w:val="0"/>
              <w:divBdr>
                <w:top w:val="none" w:sz="0" w:space="0" w:color="auto"/>
                <w:left w:val="none" w:sz="0" w:space="0" w:color="auto"/>
                <w:bottom w:val="none" w:sz="0" w:space="0" w:color="auto"/>
                <w:right w:val="none" w:sz="0" w:space="0" w:color="auto"/>
              </w:divBdr>
              <w:divsChild>
                <w:div w:id="8408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2658">
      <w:bodyDiv w:val="1"/>
      <w:marLeft w:val="0"/>
      <w:marRight w:val="0"/>
      <w:marTop w:val="0"/>
      <w:marBottom w:val="0"/>
      <w:divBdr>
        <w:top w:val="none" w:sz="0" w:space="0" w:color="auto"/>
        <w:left w:val="none" w:sz="0" w:space="0" w:color="auto"/>
        <w:bottom w:val="none" w:sz="0" w:space="0" w:color="auto"/>
        <w:right w:val="none" w:sz="0" w:space="0" w:color="auto"/>
      </w:divBdr>
    </w:div>
    <w:div w:id="904686163">
      <w:bodyDiv w:val="1"/>
      <w:marLeft w:val="0"/>
      <w:marRight w:val="0"/>
      <w:marTop w:val="0"/>
      <w:marBottom w:val="0"/>
      <w:divBdr>
        <w:top w:val="none" w:sz="0" w:space="0" w:color="auto"/>
        <w:left w:val="none" w:sz="0" w:space="0" w:color="auto"/>
        <w:bottom w:val="none" w:sz="0" w:space="0" w:color="auto"/>
        <w:right w:val="none" w:sz="0" w:space="0" w:color="auto"/>
      </w:divBdr>
    </w:div>
    <w:div w:id="913511927">
      <w:bodyDiv w:val="1"/>
      <w:marLeft w:val="0"/>
      <w:marRight w:val="0"/>
      <w:marTop w:val="0"/>
      <w:marBottom w:val="0"/>
      <w:divBdr>
        <w:top w:val="none" w:sz="0" w:space="0" w:color="auto"/>
        <w:left w:val="none" w:sz="0" w:space="0" w:color="auto"/>
        <w:bottom w:val="none" w:sz="0" w:space="0" w:color="auto"/>
        <w:right w:val="none" w:sz="0" w:space="0" w:color="auto"/>
      </w:divBdr>
    </w:div>
    <w:div w:id="927880992">
      <w:bodyDiv w:val="1"/>
      <w:marLeft w:val="0"/>
      <w:marRight w:val="0"/>
      <w:marTop w:val="0"/>
      <w:marBottom w:val="0"/>
      <w:divBdr>
        <w:top w:val="none" w:sz="0" w:space="0" w:color="auto"/>
        <w:left w:val="none" w:sz="0" w:space="0" w:color="auto"/>
        <w:bottom w:val="none" w:sz="0" w:space="0" w:color="auto"/>
        <w:right w:val="none" w:sz="0" w:space="0" w:color="auto"/>
      </w:divBdr>
    </w:div>
    <w:div w:id="939219748">
      <w:bodyDiv w:val="1"/>
      <w:marLeft w:val="0"/>
      <w:marRight w:val="0"/>
      <w:marTop w:val="0"/>
      <w:marBottom w:val="0"/>
      <w:divBdr>
        <w:top w:val="none" w:sz="0" w:space="0" w:color="auto"/>
        <w:left w:val="none" w:sz="0" w:space="0" w:color="auto"/>
        <w:bottom w:val="none" w:sz="0" w:space="0" w:color="auto"/>
        <w:right w:val="none" w:sz="0" w:space="0" w:color="auto"/>
      </w:divBdr>
      <w:divsChild>
        <w:div w:id="1561673739">
          <w:marLeft w:val="0"/>
          <w:marRight w:val="0"/>
          <w:marTop w:val="0"/>
          <w:marBottom w:val="0"/>
          <w:divBdr>
            <w:top w:val="none" w:sz="0" w:space="0" w:color="auto"/>
            <w:left w:val="none" w:sz="0" w:space="0" w:color="auto"/>
            <w:bottom w:val="none" w:sz="0" w:space="0" w:color="auto"/>
            <w:right w:val="none" w:sz="0" w:space="0" w:color="auto"/>
          </w:divBdr>
        </w:div>
        <w:div w:id="2080322074">
          <w:marLeft w:val="0"/>
          <w:marRight w:val="0"/>
          <w:marTop w:val="0"/>
          <w:marBottom w:val="0"/>
          <w:divBdr>
            <w:top w:val="none" w:sz="0" w:space="0" w:color="auto"/>
            <w:left w:val="none" w:sz="0" w:space="0" w:color="auto"/>
            <w:bottom w:val="none" w:sz="0" w:space="0" w:color="auto"/>
            <w:right w:val="none" w:sz="0" w:space="0" w:color="auto"/>
          </w:divBdr>
        </w:div>
      </w:divsChild>
    </w:div>
    <w:div w:id="949894514">
      <w:bodyDiv w:val="1"/>
      <w:marLeft w:val="0"/>
      <w:marRight w:val="0"/>
      <w:marTop w:val="0"/>
      <w:marBottom w:val="0"/>
      <w:divBdr>
        <w:top w:val="none" w:sz="0" w:space="0" w:color="auto"/>
        <w:left w:val="none" w:sz="0" w:space="0" w:color="auto"/>
        <w:bottom w:val="none" w:sz="0" w:space="0" w:color="auto"/>
        <w:right w:val="none" w:sz="0" w:space="0" w:color="auto"/>
      </w:divBdr>
    </w:div>
    <w:div w:id="954826673">
      <w:bodyDiv w:val="1"/>
      <w:marLeft w:val="0"/>
      <w:marRight w:val="0"/>
      <w:marTop w:val="0"/>
      <w:marBottom w:val="0"/>
      <w:divBdr>
        <w:top w:val="none" w:sz="0" w:space="0" w:color="auto"/>
        <w:left w:val="none" w:sz="0" w:space="0" w:color="auto"/>
        <w:bottom w:val="none" w:sz="0" w:space="0" w:color="auto"/>
        <w:right w:val="none" w:sz="0" w:space="0" w:color="auto"/>
      </w:divBdr>
    </w:div>
    <w:div w:id="955211434">
      <w:bodyDiv w:val="1"/>
      <w:marLeft w:val="0"/>
      <w:marRight w:val="0"/>
      <w:marTop w:val="0"/>
      <w:marBottom w:val="0"/>
      <w:divBdr>
        <w:top w:val="none" w:sz="0" w:space="0" w:color="auto"/>
        <w:left w:val="none" w:sz="0" w:space="0" w:color="auto"/>
        <w:bottom w:val="none" w:sz="0" w:space="0" w:color="auto"/>
        <w:right w:val="none" w:sz="0" w:space="0" w:color="auto"/>
      </w:divBdr>
    </w:div>
    <w:div w:id="959651163">
      <w:bodyDiv w:val="1"/>
      <w:marLeft w:val="0"/>
      <w:marRight w:val="0"/>
      <w:marTop w:val="0"/>
      <w:marBottom w:val="0"/>
      <w:divBdr>
        <w:top w:val="none" w:sz="0" w:space="0" w:color="auto"/>
        <w:left w:val="none" w:sz="0" w:space="0" w:color="auto"/>
        <w:bottom w:val="none" w:sz="0" w:space="0" w:color="auto"/>
        <w:right w:val="none" w:sz="0" w:space="0" w:color="auto"/>
      </w:divBdr>
    </w:div>
    <w:div w:id="963733886">
      <w:bodyDiv w:val="1"/>
      <w:marLeft w:val="0"/>
      <w:marRight w:val="0"/>
      <w:marTop w:val="0"/>
      <w:marBottom w:val="0"/>
      <w:divBdr>
        <w:top w:val="none" w:sz="0" w:space="0" w:color="auto"/>
        <w:left w:val="none" w:sz="0" w:space="0" w:color="auto"/>
        <w:bottom w:val="none" w:sz="0" w:space="0" w:color="auto"/>
        <w:right w:val="none" w:sz="0" w:space="0" w:color="auto"/>
      </w:divBdr>
    </w:div>
    <w:div w:id="964582100">
      <w:bodyDiv w:val="1"/>
      <w:marLeft w:val="0"/>
      <w:marRight w:val="0"/>
      <w:marTop w:val="0"/>
      <w:marBottom w:val="0"/>
      <w:divBdr>
        <w:top w:val="none" w:sz="0" w:space="0" w:color="auto"/>
        <w:left w:val="none" w:sz="0" w:space="0" w:color="auto"/>
        <w:bottom w:val="none" w:sz="0" w:space="0" w:color="auto"/>
        <w:right w:val="none" w:sz="0" w:space="0" w:color="auto"/>
      </w:divBdr>
    </w:div>
    <w:div w:id="975719429">
      <w:bodyDiv w:val="1"/>
      <w:marLeft w:val="0"/>
      <w:marRight w:val="0"/>
      <w:marTop w:val="0"/>
      <w:marBottom w:val="0"/>
      <w:divBdr>
        <w:top w:val="none" w:sz="0" w:space="0" w:color="auto"/>
        <w:left w:val="none" w:sz="0" w:space="0" w:color="auto"/>
        <w:bottom w:val="none" w:sz="0" w:space="0" w:color="auto"/>
        <w:right w:val="none" w:sz="0" w:space="0" w:color="auto"/>
      </w:divBdr>
    </w:div>
    <w:div w:id="979454280">
      <w:bodyDiv w:val="1"/>
      <w:marLeft w:val="0"/>
      <w:marRight w:val="0"/>
      <w:marTop w:val="0"/>
      <w:marBottom w:val="0"/>
      <w:divBdr>
        <w:top w:val="none" w:sz="0" w:space="0" w:color="auto"/>
        <w:left w:val="none" w:sz="0" w:space="0" w:color="auto"/>
        <w:bottom w:val="none" w:sz="0" w:space="0" w:color="auto"/>
        <w:right w:val="none" w:sz="0" w:space="0" w:color="auto"/>
      </w:divBdr>
    </w:div>
    <w:div w:id="981621038">
      <w:bodyDiv w:val="1"/>
      <w:marLeft w:val="0"/>
      <w:marRight w:val="0"/>
      <w:marTop w:val="0"/>
      <w:marBottom w:val="0"/>
      <w:divBdr>
        <w:top w:val="none" w:sz="0" w:space="0" w:color="auto"/>
        <w:left w:val="none" w:sz="0" w:space="0" w:color="auto"/>
        <w:bottom w:val="none" w:sz="0" w:space="0" w:color="auto"/>
        <w:right w:val="none" w:sz="0" w:space="0" w:color="auto"/>
      </w:divBdr>
    </w:div>
    <w:div w:id="990712858">
      <w:bodyDiv w:val="1"/>
      <w:marLeft w:val="0"/>
      <w:marRight w:val="0"/>
      <w:marTop w:val="0"/>
      <w:marBottom w:val="0"/>
      <w:divBdr>
        <w:top w:val="none" w:sz="0" w:space="0" w:color="auto"/>
        <w:left w:val="none" w:sz="0" w:space="0" w:color="auto"/>
        <w:bottom w:val="none" w:sz="0" w:space="0" w:color="auto"/>
        <w:right w:val="none" w:sz="0" w:space="0" w:color="auto"/>
      </w:divBdr>
    </w:div>
    <w:div w:id="998003342">
      <w:bodyDiv w:val="1"/>
      <w:marLeft w:val="0"/>
      <w:marRight w:val="0"/>
      <w:marTop w:val="0"/>
      <w:marBottom w:val="0"/>
      <w:divBdr>
        <w:top w:val="none" w:sz="0" w:space="0" w:color="auto"/>
        <w:left w:val="none" w:sz="0" w:space="0" w:color="auto"/>
        <w:bottom w:val="none" w:sz="0" w:space="0" w:color="auto"/>
        <w:right w:val="none" w:sz="0" w:space="0" w:color="auto"/>
      </w:divBdr>
    </w:div>
    <w:div w:id="1022509760">
      <w:bodyDiv w:val="1"/>
      <w:marLeft w:val="0"/>
      <w:marRight w:val="0"/>
      <w:marTop w:val="0"/>
      <w:marBottom w:val="0"/>
      <w:divBdr>
        <w:top w:val="none" w:sz="0" w:space="0" w:color="auto"/>
        <w:left w:val="none" w:sz="0" w:space="0" w:color="auto"/>
        <w:bottom w:val="none" w:sz="0" w:space="0" w:color="auto"/>
        <w:right w:val="none" w:sz="0" w:space="0" w:color="auto"/>
      </w:divBdr>
    </w:div>
    <w:div w:id="1025785224">
      <w:bodyDiv w:val="1"/>
      <w:marLeft w:val="0"/>
      <w:marRight w:val="0"/>
      <w:marTop w:val="0"/>
      <w:marBottom w:val="0"/>
      <w:divBdr>
        <w:top w:val="none" w:sz="0" w:space="0" w:color="auto"/>
        <w:left w:val="none" w:sz="0" w:space="0" w:color="auto"/>
        <w:bottom w:val="none" w:sz="0" w:space="0" w:color="auto"/>
        <w:right w:val="none" w:sz="0" w:space="0" w:color="auto"/>
      </w:divBdr>
    </w:div>
    <w:div w:id="1033574678">
      <w:bodyDiv w:val="1"/>
      <w:marLeft w:val="0"/>
      <w:marRight w:val="0"/>
      <w:marTop w:val="0"/>
      <w:marBottom w:val="0"/>
      <w:divBdr>
        <w:top w:val="none" w:sz="0" w:space="0" w:color="auto"/>
        <w:left w:val="none" w:sz="0" w:space="0" w:color="auto"/>
        <w:bottom w:val="none" w:sz="0" w:space="0" w:color="auto"/>
        <w:right w:val="none" w:sz="0" w:space="0" w:color="auto"/>
      </w:divBdr>
    </w:div>
    <w:div w:id="1060978515">
      <w:bodyDiv w:val="1"/>
      <w:marLeft w:val="0"/>
      <w:marRight w:val="0"/>
      <w:marTop w:val="0"/>
      <w:marBottom w:val="0"/>
      <w:divBdr>
        <w:top w:val="none" w:sz="0" w:space="0" w:color="auto"/>
        <w:left w:val="none" w:sz="0" w:space="0" w:color="auto"/>
        <w:bottom w:val="none" w:sz="0" w:space="0" w:color="auto"/>
        <w:right w:val="none" w:sz="0" w:space="0" w:color="auto"/>
      </w:divBdr>
    </w:div>
    <w:div w:id="1063064764">
      <w:bodyDiv w:val="1"/>
      <w:marLeft w:val="0"/>
      <w:marRight w:val="0"/>
      <w:marTop w:val="0"/>
      <w:marBottom w:val="0"/>
      <w:divBdr>
        <w:top w:val="none" w:sz="0" w:space="0" w:color="auto"/>
        <w:left w:val="none" w:sz="0" w:space="0" w:color="auto"/>
        <w:bottom w:val="none" w:sz="0" w:space="0" w:color="auto"/>
        <w:right w:val="none" w:sz="0" w:space="0" w:color="auto"/>
      </w:divBdr>
    </w:div>
    <w:div w:id="1066487070">
      <w:bodyDiv w:val="1"/>
      <w:marLeft w:val="0"/>
      <w:marRight w:val="0"/>
      <w:marTop w:val="0"/>
      <w:marBottom w:val="0"/>
      <w:divBdr>
        <w:top w:val="none" w:sz="0" w:space="0" w:color="auto"/>
        <w:left w:val="none" w:sz="0" w:space="0" w:color="auto"/>
        <w:bottom w:val="none" w:sz="0" w:space="0" w:color="auto"/>
        <w:right w:val="none" w:sz="0" w:space="0" w:color="auto"/>
      </w:divBdr>
    </w:div>
    <w:div w:id="1068841199">
      <w:bodyDiv w:val="1"/>
      <w:marLeft w:val="0"/>
      <w:marRight w:val="0"/>
      <w:marTop w:val="0"/>
      <w:marBottom w:val="0"/>
      <w:divBdr>
        <w:top w:val="none" w:sz="0" w:space="0" w:color="auto"/>
        <w:left w:val="none" w:sz="0" w:space="0" w:color="auto"/>
        <w:bottom w:val="none" w:sz="0" w:space="0" w:color="auto"/>
        <w:right w:val="none" w:sz="0" w:space="0" w:color="auto"/>
      </w:divBdr>
    </w:div>
    <w:div w:id="1072199539">
      <w:bodyDiv w:val="1"/>
      <w:marLeft w:val="0"/>
      <w:marRight w:val="0"/>
      <w:marTop w:val="0"/>
      <w:marBottom w:val="0"/>
      <w:divBdr>
        <w:top w:val="none" w:sz="0" w:space="0" w:color="auto"/>
        <w:left w:val="none" w:sz="0" w:space="0" w:color="auto"/>
        <w:bottom w:val="none" w:sz="0" w:space="0" w:color="auto"/>
        <w:right w:val="none" w:sz="0" w:space="0" w:color="auto"/>
      </w:divBdr>
    </w:div>
    <w:div w:id="1079719052">
      <w:bodyDiv w:val="1"/>
      <w:marLeft w:val="0"/>
      <w:marRight w:val="0"/>
      <w:marTop w:val="0"/>
      <w:marBottom w:val="0"/>
      <w:divBdr>
        <w:top w:val="none" w:sz="0" w:space="0" w:color="auto"/>
        <w:left w:val="none" w:sz="0" w:space="0" w:color="auto"/>
        <w:bottom w:val="none" w:sz="0" w:space="0" w:color="auto"/>
        <w:right w:val="none" w:sz="0" w:space="0" w:color="auto"/>
      </w:divBdr>
    </w:div>
    <w:div w:id="1096905454">
      <w:bodyDiv w:val="1"/>
      <w:marLeft w:val="0"/>
      <w:marRight w:val="0"/>
      <w:marTop w:val="0"/>
      <w:marBottom w:val="0"/>
      <w:divBdr>
        <w:top w:val="none" w:sz="0" w:space="0" w:color="auto"/>
        <w:left w:val="none" w:sz="0" w:space="0" w:color="auto"/>
        <w:bottom w:val="none" w:sz="0" w:space="0" w:color="auto"/>
        <w:right w:val="none" w:sz="0" w:space="0" w:color="auto"/>
      </w:divBdr>
    </w:div>
    <w:div w:id="1106390161">
      <w:bodyDiv w:val="1"/>
      <w:marLeft w:val="0"/>
      <w:marRight w:val="0"/>
      <w:marTop w:val="0"/>
      <w:marBottom w:val="0"/>
      <w:divBdr>
        <w:top w:val="none" w:sz="0" w:space="0" w:color="auto"/>
        <w:left w:val="none" w:sz="0" w:space="0" w:color="auto"/>
        <w:bottom w:val="none" w:sz="0" w:space="0" w:color="auto"/>
        <w:right w:val="none" w:sz="0" w:space="0" w:color="auto"/>
      </w:divBdr>
    </w:div>
    <w:div w:id="1111825217">
      <w:bodyDiv w:val="1"/>
      <w:marLeft w:val="0"/>
      <w:marRight w:val="0"/>
      <w:marTop w:val="0"/>
      <w:marBottom w:val="0"/>
      <w:divBdr>
        <w:top w:val="none" w:sz="0" w:space="0" w:color="auto"/>
        <w:left w:val="none" w:sz="0" w:space="0" w:color="auto"/>
        <w:bottom w:val="none" w:sz="0" w:space="0" w:color="auto"/>
        <w:right w:val="none" w:sz="0" w:space="0" w:color="auto"/>
      </w:divBdr>
    </w:div>
    <w:div w:id="1112820719">
      <w:bodyDiv w:val="1"/>
      <w:marLeft w:val="0"/>
      <w:marRight w:val="0"/>
      <w:marTop w:val="0"/>
      <w:marBottom w:val="0"/>
      <w:divBdr>
        <w:top w:val="none" w:sz="0" w:space="0" w:color="auto"/>
        <w:left w:val="none" w:sz="0" w:space="0" w:color="auto"/>
        <w:bottom w:val="none" w:sz="0" w:space="0" w:color="auto"/>
        <w:right w:val="none" w:sz="0" w:space="0" w:color="auto"/>
      </w:divBdr>
    </w:div>
    <w:div w:id="1123305854">
      <w:bodyDiv w:val="1"/>
      <w:marLeft w:val="0"/>
      <w:marRight w:val="0"/>
      <w:marTop w:val="0"/>
      <w:marBottom w:val="0"/>
      <w:divBdr>
        <w:top w:val="none" w:sz="0" w:space="0" w:color="auto"/>
        <w:left w:val="none" w:sz="0" w:space="0" w:color="auto"/>
        <w:bottom w:val="none" w:sz="0" w:space="0" w:color="auto"/>
        <w:right w:val="none" w:sz="0" w:space="0" w:color="auto"/>
      </w:divBdr>
    </w:div>
    <w:div w:id="1124351999">
      <w:bodyDiv w:val="1"/>
      <w:marLeft w:val="0"/>
      <w:marRight w:val="0"/>
      <w:marTop w:val="0"/>
      <w:marBottom w:val="0"/>
      <w:divBdr>
        <w:top w:val="none" w:sz="0" w:space="0" w:color="auto"/>
        <w:left w:val="none" w:sz="0" w:space="0" w:color="auto"/>
        <w:bottom w:val="none" w:sz="0" w:space="0" w:color="auto"/>
        <w:right w:val="none" w:sz="0" w:space="0" w:color="auto"/>
      </w:divBdr>
    </w:div>
    <w:div w:id="1124616666">
      <w:bodyDiv w:val="1"/>
      <w:marLeft w:val="0"/>
      <w:marRight w:val="0"/>
      <w:marTop w:val="0"/>
      <w:marBottom w:val="0"/>
      <w:divBdr>
        <w:top w:val="none" w:sz="0" w:space="0" w:color="auto"/>
        <w:left w:val="none" w:sz="0" w:space="0" w:color="auto"/>
        <w:bottom w:val="none" w:sz="0" w:space="0" w:color="auto"/>
        <w:right w:val="none" w:sz="0" w:space="0" w:color="auto"/>
      </w:divBdr>
    </w:div>
    <w:div w:id="1134176359">
      <w:bodyDiv w:val="1"/>
      <w:marLeft w:val="0"/>
      <w:marRight w:val="0"/>
      <w:marTop w:val="0"/>
      <w:marBottom w:val="0"/>
      <w:divBdr>
        <w:top w:val="none" w:sz="0" w:space="0" w:color="auto"/>
        <w:left w:val="none" w:sz="0" w:space="0" w:color="auto"/>
        <w:bottom w:val="none" w:sz="0" w:space="0" w:color="auto"/>
        <w:right w:val="none" w:sz="0" w:space="0" w:color="auto"/>
      </w:divBdr>
    </w:div>
    <w:div w:id="1134255542">
      <w:bodyDiv w:val="1"/>
      <w:marLeft w:val="0"/>
      <w:marRight w:val="0"/>
      <w:marTop w:val="0"/>
      <w:marBottom w:val="0"/>
      <w:divBdr>
        <w:top w:val="none" w:sz="0" w:space="0" w:color="auto"/>
        <w:left w:val="none" w:sz="0" w:space="0" w:color="auto"/>
        <w:bottom w:val="none" w:sz="0" w:space="0" w:color="auto"/>
        <w:right w:val="none" w:sz="0" w:space="0" w:color="auto"/>
      </w:divBdr>
    </w:div>
    <w:div w:id="1135873800">
      <w:bodyDiv w:val="1"/>
      <w:marLeft w:val="0"/>
      <w:marRight w:val="0"/>
      <w:marTop w:val="0"/>
      <w:marBottom w:val="0"/>
      <w:divBdr>
        <w:top w:val="none" w:sz="0" w:space="0" w:color="auto"/>
        <w:left w:val="none" w:sz="0" w:space="0" w:color="auto"/>
        <w:bottom w:val="none" w:sz="0" w:space="0" w:color="auto"/>
        <w:right w:val="none" w:sz="0" w:space="0" w:color="auto"/>
      </w:divBdr>
    </w:div>
    <w:div w:id="1135876316">
      <w:bodyDiv w:val="1"/>
      <w:marLeft w:val="0"/>
      <w:marRight w:val="0"/>
      <w:marTop w:val="0"/>
      <w:marBottom w:val="0"/>
      <w:divBdr>
        <w:top w:val="none" w:sz="0" w:space="0" w:color="auto"/>
        <w:left w:val="none" w:sz="0" w:space="0" w:color="auto"/>
        <w:bottom w:val="none" w:sz="0" w:space="0" w:color="auto"/>
        <w:right w:val="none" w:sz="0" w:space="0" w:color="auto"/>
      </w:divBdr>
    </w:div>
    <w:div w:id="1137455324">
      <w:bodyDiv w:val="1"/>
      <w:marLeft w:val="0"/>
      <w:marRight w:val="0"/>
      <w:marTop w:val="0"/>
      <w:marBottom w:val="0"/>
      <w:divBdr>
        <w:top w:val="none" w:sz="0" w:space="0" w:color="auto"/>
        <w:left w:val="none" w:sz="0" w:space="0" w:color="auto"/>
        <w:bottom w:val="none" w:sz="0" w:space="0" w:color="auto"/>
        <w:right w:val="none" w:sz="0" w:space="0" w:color="auto"/>
      </w:divBdr>
    </w:div>
    <w:div w:id="1144080800">
      <w:bodyDiv w:val="1"/>
      <w:marLeft w:val="0"/>
      <w:marRight w:val="0"/>
      <w:marTop w:val="0"/>
      <w:marBottom w:val="0"/>
      <w:divBdr>
        <w:top w:val="none" w:sz="0" w:space="0" w:color="auto"/>
        <w:left w:val="none" w:sz="0" w:space="0" w:color="auto"/>
        <w:bottom w:val="none" w:sz="0" w:space="0" w:color="auto"/>
        <w:right w:val="none" w:sz="0" w:space="0" w:color="auto"/>
      </w:divBdr>
    </w:div>
    <w:div w:id="1162500671">
      <w:bodyDiv w:val="1"/>
      <w:marLeft w:val="0"/>
      <w:marRight w:val="0"/>
      <w:marTop w:val="0"/>
      <w:marBottom w:val="0"/>
      <w:divBdr>
        <w:top w:val="none" w:sz="0" w:space="0" w:color="auto"/>
        <w:left w:val="none" w:sz="0" w:space="0" w:color="auto"/>
        <w:bottom w:val="none" w:sz="0" w:space="0" w:color="auto"/>
        <w:right w:val="none" w:sz="0" w:space="0" w:color="auto"/>
      </w:divBdr>
    </w:div>
    <w:div w:id="1171140070">
      <w:bodyDiv w:val="1"/>
      <w:marLeft w:val="0"/>
      <w:marRight w:val="0"/>
      <w:marTop w:val="0"/>
      <w:marBottom w:val="0"/>
      <w:divBdr>
        <w:top w:val="none" w:sz="0" w:space="0" w:color="auto"/>
        <w:left w:val="none" w:sz="0" w:space="0" w:color="auto"/>
        <w:bottom w:val="none" w:sz="0" w:space="0" w:color="auto"/>
        <w:right w:val="none" w:sz="0" w:space="0" w:color="auto"/>
      </w:divBdr>
    </w:div>
    <w:div w:id="1182163639">
      <w:bodyDiv w:val="1"/>
      <w:marLeft w:val="0"/>
      <w:marRight w:val="0"/>
      <w:marTop w:val="0"/>
      <w:marBottom w:val="0"/>
      <w:divBdr>
        <w:top w:val="none" w:sz="0" w:space="0" w:color="auto"/>
        <w:left w:val="none" w:sz="0" w:space="0" w:color="auto"/>
        <w:bottom w:val="none" w:sz="0" w:space="0" w:color="auto"/>
        <w:right w:val="none" w:sz="0" w:space="0" w:color="auto"/>
      </w:divBdr>
    </w:div>
    <w:div w:id="1184711948">
      <w:bodyDiv w:val="1"/>
      <w:marLeft w:val="0"/>
      <w:marRight w:val="0"/>
      <w:marTop w:val="0"/>
      <w:marBottom w:val="0"/>
      <w:divBdr>
        <w:top w:val="none" w:sz="0" w:space="0" w:color="auto"/>
        <w:left w:val="none" w:sz="0" w:space="0" w:color="auto"/>
        <w:bottom w:val="none" w:sz="0" w:space="0" w:color="auto"/>
        <w:right w:val="none" w:sz="0" w:space="0" w:color="auto"/>
      </w:divBdr>
    </w:div>
    <w:div w:id="1185173386">
      <w:bodyDiv w:val="1"/>
      <w:marLeft w:val="0"/>
      <w:marRight w:val="0"/>
      <w:marTop w:val="0"/>
      <w:marBottom w:val="0"/>
      <w:divBdr>
        <w:top w:val="none" w:sz="0" w:space="0" w:color="auto"/>
        <w:left w:val="none" w:sz="0" w:space="0" w:color="auto"/>
        <w:bottom w:val="none" w:sz="0" w:space="0" w:color="auto"/>
        <w:right w:val="none" w:sz="0" w:space="0" w:color="auto"/>
      </w:divBdr>
    </w:div>
    <w:div w:id="1197815969">
      <w:bodyDiv w:val="1"/>
      <w:marLeft w:val="0"/>
      <w:marRight w:val="0"/>
      <w:marTop w:val="0"/>
      <w:marBottom w:val="0"/>
      <w:divBdr>
        <w:top w:val="none" w:sz="0" w:space="0" w:color="auto"/>
        <w:left w:val="none" w:sz="0" w:space="0" w:color="auto"/>
        <w:bottom w:val="none" w:sz="0" w:space="0" w:color="auto"/>
        <w:right w:val="none" w:sz="0" w:space="0" w:color="auto"/>
      </w:divBdr>
    </w:div>
    <w:div w:id="1206794501">
      <w:bodyDiv w:val="1"/>
      <w:marLeft w:val="0"/>
      <w:marRight w:val="0"/>
      <w:marTop w:val="0"/>
      <w:marBottom w:val="0"/>
      <w:divBdr>
        <w:top w:val="none" w:sz="0" w:space="0" w:color="auto"/>
        <w:left w:val="none" w:sz="0" w:space="0" w:color="auto"/>
        <w:bottom w:val="none" w:sz="0" w:space="0" w:color="auto"/>
        <w:right w:val="none" w:sz="0" w:space="0" w:color="auto"/>
      </w:divBdr>
    </w:div>
    <w:div w:id="1211461176">
      <w:bodyDiv w:val="1"/>
      <w:marLeft w:val="0"/>
      <w:marRight w:val="0"/>
      <w:marTop w:val="0"/>
      <w:marBottom w:val="0"/>
      <w:divBdr>
        <w:top w:val="none" w:sz="0" w:space="0" w:color="auto"/>
        <w:left w:val="none" w:sz="0" w:space="0" w:color="auto"/>
        <w:bottom w:val="none" w:sz="0" w:space="0" w:color="auto"/>
        <w:right w:val="none" w:sz="0" w:space="0" w:color="auto"/>
      </w:divBdr>
    </w:div>
    <w:div w:id="1227687144">
      <w:bodyDiv w:val="1"/>
      <w:marLeft w:val="0"/>
      <w:marRight w:val="0"/>
      <w:marTop w:val="0"/>
      <w:marBottom w:val="0"/>
      <w:divBdr>
        <w:top w:val="none" w:sz="0" w:space="0" w:color="auto"/>
        <w:left w:val="none" w:sz="0" w:space="0" w:color="auto"/>
        <w:bottom w:val="none" w:sz="0" w:space="0" w:color="auto"/>
        <w:right w:val="none" w:sz="0" w:space="0" w:color="auto"/>
      </w:divBdr>
    </w:div>
    <w:div w:id="1254775375">
      <w:bodyDiv w:val="1"/>
      <w:marLeft w:val="0"/>
      <w:marRight w:val="0"/>
      <w:marTop w:val="0"/>
      <w:marBottom w:val="0"/>
      <w:divBdr>
        <w:top w:val="none" w:sz="0" w:space="0" w:color="auto"/>
        <w:left w:val="none" w:sz="0" w:space="0" w:color="auto"/>
        <w:bottom w:val="none" w:sz="0" w:space="0" w:color="auto"/>
        <w:right w:val="none" w:sz="0" w:space="0" w:color="auto"/>
      </w:divBdr>
    </w:div>
    <w:div w:id="1259632769">
      <w:bodyDiv w:val="1"/>
      <w:marLeft w:val="0"/>
      <w:marRight w:val="0"/>
      <w:marTop w:val="0"/>
      <w:marBottom w:val="0"/>
      <w:divBdr>
        <w:top w:val="none" w:sz="0" w:space="0" w:color="auto"/>
        <w:left w:val="none" w:sz="0" w:space="0" w:color="auto"/>
        <w:bottom w:val="none" w:sz="0" w:space="0" w:color="auto"/>
        <w:right w:val="none" w:sz="0" w:space="0" w:color="auto"/>
      </w:divBdr>
    </w:div>
    <w:div w:id="1259868890">
      <w:bodyDiv w:val="1"/>
      <w:marLeft w:val="0"/>
      <w:marRight w:val="0"/>
      <w:marTop w:val="0"/>
      <w:marBottom w:val="0"/>
      <w:divBdr>
        <w:top w:val="none" w:sz="0" w:space="0" w:color="auto"/>
        <w:left w:val="none" w:sz="0" w:space="0" w:color="auto"/>
        <w:bottom w:val="none" w:sz="0" w:space="0" w:color="auto"/>
        <w:right w:val="none" w:sz="0" w:space="0" w:color="auto"/>
      </w:divBdr>
    </w:div>
    <w:div w:id="1262179498">
      <w:bodyDiv w:val="1"/>
      <w:marLeft w:val="0"/>
      <w:marRight w:val="0"/>
      <w:marTop w:val="0"/>
      <w:marBottom w:val="0"/>
      <w:divBdr>
        <w:top w:val="none" w:sz="0" w:space="0" w:color="auto"/>
        <w:left w:val="none" w:sz="0" w:space="0" w:color="auto"/>
        <w:bottom w:val="none" w:sz="0" w:space="0" w:color="auto"/>
        <w:right w:val="none" w:sz="0" w:space="0" w:color="auto"/>
      </w:divBdr>
    </w:div>
    <w:div w:id="1264455833">
      <w:bodyDiv w:val="1"/>
      <w:marLeft w:val="0"/>
      <w:marRight w:val="0"/>
      <w:marTop w:val="0"/>
      <w:marBottom w:val="0"/>
      <w:divBdr>
        <w:top w:val="none" w:sz="0" w:space="0" w:color="auto"/>
        <w:left w:val="none" w:sz="0" w:space="0" w:color="auto"/>
        <w:bottom w:val="none" w:sz="0" w:space="0" w:color="auto"/>
        <w:right w:val="none" w:sz="0" w:space="0" w:color="auto"/>
      </w:divBdr>
    </w:div>
    <w:div w:id="1273437398">
      <w:bodyDiv w:val="1"/>
      <w:marLeft w:val="0"/>
      <w:marRight w:val="0"/>
      <w:marTop w:val="0"/>
      <w:marBottom w:val="0"/>
      <w:divBdr>
        <w:top w:val="none" w:sz="0" w:space="0" w:color="auto"/>
        <w:left w:val="none" w:sz="0" w:space="0" w:color="auto"/>
        <w:bottom w:val="none" w:sz="0" w:space="0" w:color="auto"/>
        <w:right w:val="none" w:sz="0" w:space="0" w:color="auto"/>
      </w:divBdr>
    </w:div>
    <w:div w:id="1282112128">
      <w:bodyDiv w:val="1"/>
      <w:marLeft w:val="0"/>
      <w:marRight w:val="0"/>
      <w:marTop w:val="0"/>
      <w:marBottom w:val="0"/>
      <w:divBdr>
        <w:top w:val="none" w:sz="0" w:space="0" w:color="auto"/>
        <w:left w:val="none" w:sz="0" w:space="0" w:color="auto"/>
        <w:bottom w:val="none" w:sz="0" w:space="0" w:color="auto"/>
        <w:right w:val="none" w:sz="0" w:space="0" w:color="auto"/>
      </w:divBdr>
    </w:div>
    <w:div w:id="1284340070">
      <w:bodyDiv w:val="1"/>
      <w:marLeft w:val="0"/>
      <w:marRight w:val="0"/>
      <w:marTop w:val="0"/>
      <w:marBottom w:val="0"/>
      <w:divBdr>
        <w:top w:val="none" w:sz="0" w:space="0" w:color="auto"/>
        <w:left w:val="none" w:sz="0" w:space="0" w:color="auto"/>
        <w:bottom w:val="none" w:sz="0" w:space="0" w:color="auto"/>
        <w:right w:val="none" w:sz="0" w:space="0" w:color="auto"/>
      </w:divBdr>
    </w:div>
    <w:div w:id="1290474658">
      <w:bodyDiv w:val="1"/>
      <w:marLeft w:val="0"/>
      <w:marRight w:val="0"/>
      <w:marTop w:val="0"/>
      <w:marBottom w:val="0"/>
      <w:divBdr>
        <w:top w:val="none" w:sz="0" w:space="0" w:color="auto"/>
        <w:left w:val="none" w:sz="0" w:space="0" w:color="auto"/>
        <w:bottom w:val="none" w:sz="0" w:space="0" w:color="auto"/>
        <w:right w:val="none" w:sz="0" w:space="0" w:color="auto"/>
      </w:divBdr>
    </w:div>
    <w:div w:id="1296377846">
      <w:bodyDiv w:val="1"/>
      <w:marLeft w:val="0"/>
      <w:marRight w:val="0"/>
      <w:marTop w:val="0"/>
      <w:marBottom w:val="0"/>
      <w:divBdr>
        <w:top w:val="none" w:sz="0" w:space="0" w:color="auto"/>
        <w:left w:val="none" w:sz="0" w:space="0" w:color="auto"/>
        <w:bottom w:val="none" w:sz="0" w:space="0" w:color="auto"/>
        <w:right w:val="none" w:sz="0" w:space="0" w:color="auto"/>
      </w:divBdr>
    </w:div>
    <w:div w:id="1297175333">
      <w:bodyDiv w:val="1"/>
      <w:marLeft w:val="0"/>
      <w:marRight w:val="0"/>
      <w:marTop w:val="0"/>
      <w:marBottom w:val="0"/>
      <w:divBdr>
        <w:top w:val="none" w:sz="0" w:space="0" w:color="auto"/>
        <w:left w:val="none" w:sz="0" w:space="0" w:color="auto"/>
        <w:bottom w:val="none" w:sz="0" w:space="0" w:color="auto"/>
        <w:right w:val="none" w:sz="0" w:space="0" w:color="auto"/>
      </w:divBdr>
      <w:divsChild>
        <w:div w:id="85342944">
          <w:marLeft w:val="600"/>
          <w:marRight w:val="600"/>
          <w:marTop w:val="280"/>
          <w:marBottom w:val="280"/>
          <w:divBdr>
            <w:top w:val="none" w:sz="0" w:space="0" w:color="auto"/>
            <w:left w:val="none" w:sz="0" w:space="0" w:color="auto"/>
            <w:bottom w:val="none" w:sz="0" w:space="0" w:color="auto"/>
            <w:right w:val="none" w:sz="0" w:space="0" w:color="auto"/>
          </w:divBdr>
          <w:divsChild>
            <w:div w:id="842546043">
              <w:marLeft w:val="0"/>
              <w:marRight w:val="0"/>
              <w:marTop w:val="0"/>
              <w:marBottom w:val="0"/>
              <w:divBdr>
                <w:top w:val="none" w:sz="0" w:space="0" w:color="auto"/>
                <w:left w:val="none" w:sz="0" w:space="0" w:color="auto"/>
                <w:bottom w:val="none" w:sz="0" w:space="0" w:color="auto"/>
                <w:right w:val="none" w:sz="0" w:space="0" w:color="auto"/>
              </w:divBdr>
              <w:divsChild>
                <w:div w:id="1136139714">
                  <w:marLeft w:val="0"/>
                  <w:marRight w:val="0"/>
                  <w:marTop w:val="0"/>
                  <w:marBottom w:val="0"/>
                  <w:divBdr>
                    <w:top w:val="none" w:sz="0" w:space="0" w:color="auto"/>
                    <w:left w:val="none" w:sz="0" w:space="0" w:color="auto"/>
                    <w:bottom w:val="none" w:sz="0" w:space="0" w:color="auto"/>
                    <w:right w:val="none" w:sz="0" w:space="0" w:color="auto"/>
                  </w:divBdr>
                  <w:divsChild>
                    <w:div w:id="1001280349">
                      <w:marLeft w:val="600"/>
                      <w:marRight w:val="600"/>
                      <w:marTop w:val="280"/>
                      <w:marBottom w:val="280"/>
                      <w:divBdr>
                        <w:top w:val="none" w:sz="0" w:space="0" w:color="auto"/>
                        <w:left w:val="none" w:sz="0" w:space="0" w:color="auto"/>
                        <w:bottom w:val="none" w:sz="0" w:space="0" w:color="auto"/>
                        <w:right w:val="none" w:sz="0" w:space="0" w:color="auto"/>
                      </w:divBdr>
                      <w:divsChild>
                        <w:div w:id="2111267408">
                          <w:marLeft w:val="0"/>
                          <w:marRight w:val="0"/>
                          <w:marTop w:val="0"/>
                          <w:marBottom w:val="0"/>
                          <w:divBdr>
                            <w:top w:val="none" w:sz="0" w:space="0" w:color="auto"/>
                            <w:left w:val="none" w:sz="0" w:space="0" w:color="auto"/>
                            <w:bottom w:val="none" w:sz="0" w:space="0" w:color="auto"/>
                            <w:right w:val="none" w:sz="0" w:space="0" w:color="auto"/>
                          </w:divBdr>
                          <w:divsChild>
                            <w:div w:id="1560896662">
                              <w:marLeft w:val="0"/>
                              <w:marRight w:val="0"/>
                              <w:marTop w:val="0"/>
                              <w:marBottom w:val="0"/>
                              <w:divBdr>
                                <w:top w:val="none" w:sz="0" w:space="0" w:color="auto"/>
                                <w:left w:val="none" w:sz="0" w:space="0" w:color="auto"/>
                                <w:bottom w:val="none" w:sz="0" w:space="0" w:color="auto"/>
                                <w:right w:val="none" w:sz="0" w:space="0" w:color="auto"/>
                              </w:divBdr>
                              <w:divsChild>
                                <w:div w:id="14113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1578">
      <w:bodyDiv w:val="1"/>
      <w:marLeft w:val="0"/>
      <w:marRight w:val="0"/>
      <w:marTop w:val="0"/>
      <w:marBottom w:val="0"/>
      <w:divBdr>
        <w:top w:val="none" w:sz="0" w:space="0" w:color="auto"/>
        <w:left w:val="none" w:sz="0" w:space="0" w:color="auto"/>
        <w:bottom w:val="none" w:sz="0" w:space="0" w:color="auto"/>
        <w:right w:val="none" w:sz="0" w:space="0" w:color="auto"/>
      </w:divBdr>
    </w:div>
    <w:div w:id="1307272361">
      <w:bodyDiv w:val="1"/>
      <w:marLeft w:val="0"/>
      <w:marRight w:val="0"/>
      <w:marTop w:val="0"/>
      <w:marBottom w:val="0"/>
      <w:divBdr>
        <w:top w:val="none" w:sz="0" w:space="0" w:color="auto"/>
        <w:left w:val="none" w:sz="0" w:space="0" w:color="auto"/>
        <w:bottom w:val="none" w:sz="0" w:space="0" w:color="auto"/>
        <w:right w:val="none" w:sz="0" w:space="0" w:color="auto"/>
      </w:divBdr>
    </w:div>
    <w:div w:id="1312562463">
      <w:bodyDiv w:val="1"/>
      <w:marLeft w:val="0"/>
      <w:marRight w:val="0"/>
      <w:marTop w:val="0"/>
      <w:marBottom w:val="0"/>
      <w:divBdr>
        <w:top w:val="none" w:sz="0" w:space="0" w:color="auto"/>
        <w:left w:val="none" w:sz="0" w:space="0" w:color="auto"/>
        <w:bottom w:val="none" w:sz="0" w:space="0" w:color="auto"/>
        <w:right w:val="none" w:sz="0" w:space="0" w:color="auto"/>
      </w:divBdr>
    </w:div>
    <w:div w:id="1320033607">
      <w:bodyDiv w:val="1"/>
      <w:marLeft w:val="0"/>
      <w:marRight w:val="0"/>
      <w:marTop w:val="0"/>
      <w:marBottom w:val="0"/>
      <w:divBdr>
        <w:top w:val="none" w:sz="0" w:space="0" w:color="auto"/>
        <w:left w:val="none" w:sz="0" w:space="0" w:color="auto"/>
        <w:bottom w:val="none" w:sz="0" w:space="0" w:color="auto"/>
        <w:right w:val="none" w:sz="0" w:space="0" w:color="auto"/>
      </w:divBdr>
    </w:div>
    <w:div w:id="1322392194">
      <w:bodyDiv w:val="1"/>
      <w:marLeft w:val="0"/>
      <w:marRight w:val="0"/>
      <w:marTop w:val="0"/>
      <w:marBottom w:val="0"/>
      <w:divBdr>
        <w:top w:val="none" w:sz="0" w:space="0" w:color="auto"/>
        <w:left w:val="none" w:sz="0" w:space="0" w:color="auto"/>
        <w:bottom w:val="none" w:sz="0" w:space="0" w:color="auto"/>
        <w:right w:val="none" w:sz="0" w:space="0" w:color="auto"/>
      </w:divBdr>
    </w:div>
    <w:div w:id="1343891592">
      <w:bodyDiv w:val="1"/>
      <w:marLeft w:val="0"/>
      <w:marRight w:val="0"/>
      <w:marTop w:val="0"/>
      <w:marBottom w:val="0"/>
      <w:divBdr>
        <w:top w:val="none" w:sz="0" w:space="0" w:color="auto"/>
        <w:left w:val="none" w:sz="0" w:space="0" w:color="auto"/>
        <w:bottom w:val="none" w:sz="0" w:space="0" w:color="auto"/>
        <w:right w:val="none" w:sz="0" w:space="0" w:color="auto"/>
      </w:divBdr>
    </w:div>
    <w:div w:id="1355614749">
      <w:bodyDiv w:val="1"/>
      <w:marLeft w:val="0"/>
      <w:marRight w:val="0"/>
      <w:marTop w:val="0"/>
      <w:marBottom w:val="0"/>
      <w:divBdr>
        <w:top w:val="none" w:sz="0" w:space="0" w:color="auto"/>
        <w:left w:val="none" w:sz="0" w:space="0" w:color="auto"/>
        <w:bottom w:val="none" w:sz="0" w:space="0" w:color="auto"/>
        <w:right w:val="none" w:sz="0" w:space="0" w:color="auto"/>
      </w:divBdr>
    </w:div>
    <w:div w:id="1370303158">
      <w:bodyDiv w:val="1"/>
      <w:marLeft w:val="0"/>
      <w:marRight w:val="0"/>
      <w:marTop w:val="0"/>
      <w:marBottom w:val="0"/>
      <w:divBdr>
        <w:top w:val="none" w:sz="0" w:space="0" w:color="auto"/>
        <w:left w:val="none" w:sz="0" w:space="0" w:color="auto"/>
        <w:bottom w:val="none" w:sz="0" w:space="0" w:color="auto"/>
        <w:right w:val="none" w:sz="0" w:space="0" w:color="auto"/>
      </w:divBdr>
    </w:div>
    <w:div w:id="1373073874">
      <w:bodyDiv w:val="1"/>
      <w:marLeft w:val="0"/>
      <w:marRight w:val="0"/>
      <w:marTop w:val="0"/>
      <w:marBottom w:val="0"/>
      <w:divBdr>
        <w:top w:val="none" w:sz="0" w:space="0" w:color="auto"/>
        <w:left w:val="none" w:sz="0" w:space="0" w:color="auto"/>
        <w:bottom w:val="none" w:sz="0" w:space="0" w:color="auto"/>
        <w:right w:val="none" w:sz="0" w:space="0" w:color="auto"/>
      </w:divBdr>
    </w:div>
    <w:div w:id="1379355490">
      <w:bodyDiv w:val="1"/>
      <w:marLeft w:val="0"/>
      <w:marRight w:val="0"/>
      <w:marTop w:val="0"/>
      <w:marBottom w:val="0"/>
      <w:divBdr>
        <w:top w:val="none" w:sz="0" w:space="0" w:color="auto"/>
        <w:left w:val="none" w:sz="0" w:space="0" w:color="auto"/>
        <w:bottom w:val="none" w:sz="0" w:space="0" w:color="auto"/>
        <w:right w:val="none" w:sz="0" w:space="0" w:color="auto"/>
      </w:divBdr>
    </w:div>
    <w:div w:id="1380057515">
      <w:bodyDiv w:val="1"/>
      <w:marLeft w:val="0"/>
      <w:marRight w:val="0"/>
      <w:marTop w:val="0"/>
      <w:marBottom w:val="0"/>
      <w:divBdr>
        <w:top w:val="none" w:sz="0" w:space="0" w:color="auto"/>
        <w:left w:val="none" w:sz="0" w:space="0" w:color="auto"/>
        <w:bottom w:val="none" w:sz="0" w:space="0" w:color="auto"/>
        <w:right w:val="none" w:sz="0" w:space="0" w:color="auto"/>
      </w:divBdr>
    </w:div>
    <w:div w:id="1390885121">
      <w:bodyDiv w:val="1"/>
      <w:marLeft w:val="0"/>
      <w:marRight w:val="0"/>
      <w:marTop w:val="0"/>
      <w:marBottom w:val="0"/>
      <w:divBdr>
        <w:top w:val="none" w:sz="0" w:space="0" w:color="auto"/>
        <w:left w:val="none" w:sz="0" w:space="0" w:color="auto"/>
        <w:bottom w:val="none" w:sz="0" w:space="0" w:color="auto"/>
        <w:right w:val="none" w:sz="0" w:space="0" w:color="auto"/>
      </w:divBdr>
    </w:div>
    <w:div w:id="1396126451">
      <w:bodyDiv w:val="1"/>
      <w:marLeft w:val="0"/>
      <w:marRight w:val="0"/>
      <w:marTop w:val="0"/>
      <w:marBottom w:val="0"/>
      <w:divBdr>
        <w:top w:val="none" w:sz="0" w:space="0" w:color="auto"/>
        <w:left w:val="none" w:sz="0" w:space="0" w:color="auto"/>
        <w:bottom w:val="none" w:sz="0" w:space="0" w:color="auto"/>
        <w:right w:val="none" w:sz="0" w:space="0" w:color="auto"/>
      </w:divBdr>
    </w:div>
    <w:div w:id="1399009737">
      <w:bodyDiv w:val="1"/>
      <w:marLeft w:val="0"/>
      <w:marRight w:val="0"/>
      <w:marTop w:val="0"/>
      <w:marBottom w:val="0"/>
      <w:divBdr>
        <w:top w:val="none" w:sz="0" w:space="0" w:color="auto"/>
        <w:left w:val="none" w:sz="0" w:space="0" w:color="auto"/>
        <w:bottom w:val="none" w:sz="0" w:space="0" w:color="auto"/>
        <w:right w:val="none" w:sz="0" w:space="0" w:color="auto"/>
      </w:divBdr>
    </w:div>
    <w:div w:id="1407603882">
      <w:bodyDiv w:val="1"/>
      <w:marLeft w:val="0"/>
      <w:marRight w:val="0"/>
      <w:marTop w:val="0"/>
      <w:marBottom w:val="0"/>
      <w:divBdr>
        <w:top w:val="none" w:sz="0" w:space="0" w:color="auto"/>
        <w:left w:val="none" w:sz="0" w:space="0" w:color="auto"/>
        <w:bottom w:val="none" w:sz="0" w:space="0" w:color="auto"/>
        <w:right w:val="none" w:sz="0" w:space="0" w:color="auto"/>
      </w:divBdr>
    </w:div>
    <w:div w:id="1409696461">
      <w:bodyDiv w:val="1"/>
      <w:marLeft w:val="0"/>
      <w:marRight w:val="0"/>
      <w:marTop w:val="0"/>
      <w:marBottom w:val="0"/>
      <w:divBdr>
        <w:top w:val="none" w:sz="0" w:space="0" w:color="auto"/>
        <w:left w:val="none" w:sz="0" w:space="0" w:color="auto"/>
        <w:bottom w:val="none" w:sz="0" w:space="0" w:color="auto"/>
        <w:right w:val="none" w:sz="0" w:space="0" w:color="auto"/>
      </w:divBdr>
    </w:div>
    <w:div w:id="1431699621">
      <w:bodyDiv w:val="1"/>
      <w:marLeft w:val="0"/>
      <w:marRight w:val="0"/>
      <w:marTop w:val="0"/>
      <w:marBottom w:val="0"/>
      <w:divBdr>
        <w:top w:val="none" w:sz="0" w:space="0" w:color="auto"/>
        <w:left w:val="none" w:sz="0" w:space="0" w:color="auto"/>
        <w:bottom w:val="none" w:sz="0" w:space="0" w:color="auto"/>
        <w:right w:val="none" w:sz="0" w:space="0" w:color="auto"/>
      </w:divBdr>
    </w:div>
    <w:div w:id="1432167959">
      <w:bodyDiv w:val="1"/>
      <w:marLeft w:val="0"/>
      <w:marRight w:val="0"/>
      <w:marTop w:val="0"/>
      <w:marBottom w:val="0"/>
      <w:divBdr>
        <w:top w:val="none" w:sz="0" w:space="0" w:color="auto"/>
        <w:left w:val="none" w:sz="0" w:space="0" w:color="auto"/>
        <w:bottom w:val="none" w:sz="0" w:space="0" w:color="auto"/>
        <w:right w:val="none" w:sz="0" w:space="0" w:color="auto"/>
      </w:divBdr>
    </w:div>
    <w:div w:id="1434546525">
      <w:bodyDiv w:val="1"/>
      <w:marLeft w:val="0"/>
      <w:marRight w:val="0"/>
      <w:marTop w:val="0"/>
      <w:marBottom w:val="0"/>
      <w:divBdr>
        <w:top w:val="none" w:sz="0" w:space="0" w:color="auto"/>
        <w:left w:val="none" w:sz="0" w:space="0" w:color="auto"/>
        <w:bottom w:val="none" w:sz="0" w:space="0" w:color="auto"/>
        <w:right w:val="none" w:sz="0" w:space="0" w:color="auto"/>
      </w:divBdr>
    </w:div>
    <w:div w:id="1438330163">
      <w:bodyDiv w:val="1"/>
      <w:marLeft w:val="0"/>
      <w:marRight w:val="0"/>
      <w:marTop w:val="0"/>
      <w:marBottom w:val="0"/>
      <w:divBdr>
        <w:top w:val="none" w:sz="0" w:space="0" w:color="auto"/>
        <w:left w:val="none" w:sz="0" w:space="0" w:color="auto"/>
        <w:bottom w:val="none" w:sz="0" w:space="0" w:color="auto"/>
        <w:right w:val="none" w:sz="0" w:space="0" w:color="auto"/>
      </w:divBdr>
    </w:div>
    <w:div w:id="1440640469">
      <w:bodyDiv w:val="1"/>
      <w:marLeft w:val="0"/>
      <w:marRight w:val="0"/>
      <w:marTop w:val="0"/>
      <w:marBottom w:val="0"/>
      <w:divBdr>
        <w:top w:val="none" w:sz="0" w:space="0" w:color="auto"/>
        <w:left w:val="none" w:sz="0" w:space="0" w:color="auto"/>
        <w:bottom w:val="none" w:sz="0" w:space="0" w:color="auto"/>
        <w:right w:val="none" w:sz="0" w:space="0" w:color="auto"/>
      </w:divBdr>
    </w:div>
    <w:div w:id="1449162372">
      <w:bodyDiv w:val="1"/>
      <w:marLeft w:val="0"/>
      <w:marRight w:val="0"/>
      <w:marTop w:val="0"/>
      <w:marBottom w:val="0"/>
      <w:divBdr>
        <w:top w:val="none" w:sz="0" w:space="0" w:color="auto"/>
        <w:left w:val="none" w:sz="0" w:space="0" w:color="auto"/>
        <w:bottom w:val="none" w:sz="0" w:space="0" w:color="auto"/>
        <w:right w:val="none" w:sz="0" w:space="0" w:color="auto"/>
      </w:divBdr>
    </w:div>
    <w:div w:id="1455565207">
      <w:bodyDiv w:val="1"/>
      <w:marLeft w:val="0"/>
      <w:marRight w:val="0"/>
      <w:marTop w:val="0"/>
      <w:marBottom w:val="0"/>
      <w:divBdr>
        <w:top w:val="none" w:sz="0" w:space="0" w:color="auto"/>
        <w:left w:val="none" w:sz="0" w:space="0" w:color="auto"/>
        <w:bottom w:val="none" w:sz="0" w:space="0" w:color="auto"/>
        <w:right w:val="none" w:sz="0" w:space="0" w:color="auto"/>
      </w:divBdr>
    </w:div>
    <w:div w:id="1469973798">
      <w:bodyDiv w:val="1"/>
      <w:marLeft w:val="0"/>
      <w:marRight w:val="0"/>
      <w:marTop w:val="0"/>
      <w:marBottom w:val="0"/>
      <w:divBdr>
        <w:top w:val="none" w:sz="0" w:space="0" w:color="auto"/>
        <w:left w:val="none" w:sz="0" w:space="0" w:color="auto"/>
        <w:bottom w:val="none" w:sz="0" w:space="0" w:color="auto"/>
        <w:right w:val="none" w:sz="0" w:space="0" w:color="auto"/>
      </w:divBdr>
    </w:div>
    <w:div w:id="1475413820">
      <w:bodyDiv w:val="1"/>
      <w:marLeft w:val="0"/>
      <w:marRight w:val="0"/>
      <w:marTop w:val="0"/>
      <w:marBottom w:val="0"/>
      <w:divBdr>
        <w:top w:val="none" w:sz="0" w:space="0" w:color="auto"/>
        <w:left w:val="none" w:sz="0" w:space="0" w:color="auto"/>
        <w:bottom w:val="none" w:sz="0" w:space="0" w:color="auto"/>
        <w:right w:val="none" w:sz="0" w:space="0" w:color="auto"/>
      </w:divBdr>
    </w:div>
    <w:div w:id="1484463705">
      <w:bodyDiv w:val="1"/>
      <w:marLeft w:val="0"/>
      <w:marRight w:val="0"/>
      <w:marTop w:val="0"/>
      <w:marBottom w:val="0"/>
      <w:divBdr>
        <w:top w:val="none" w:sz="0" w:space="0" w:color="auto"/>
        <w:left w:val="none" w:sz="0" w:space="0" w:color="auto"/>
        <w:bottom w:val="none" w:sz="0" w:space="0" w:color="auto"/>
        <w:right w:val="none" w:sz="0" w:space="0" w:color="auto"/>
      </w:divBdr>
    </w:div>
    <w:div w:id="1488282743">
      <w:bodyDiv w:val="1"/>
      <w:marLeft w:val="0"/>
      <w:marRight w:val="0"/>
      <w:marTop w:val="0"/>
      <w:marBottom w:val="0"/>
      <w:divBdr>
        <w:top w:val="none" w:sz="0" w:space="0" w:color="auto"/>
        <w:left w:val="none" w:sz="0" w:space="0" w:color="auto"/>
        <w:bottom w:val="none" w:sz="0" w:space="0" w:color="auto"/>
        <w:right w:val="none" w:sz="0" w:space="0" w:color="auto"/>
      </w:divBdr>
    </w:div>
    <w:div w:id="1494024207">
      <w:bodyDiv w:val="1"/>
      <w:marLeft w:val="0"/>
      <w:marRight w:val="0"/>
      <w:marTop w:val="0"/>
      <w:marBottom w:val="0"/>
      <w:divBdr>
        <w:top w:val="none" w:sz="0" w:space="0" w:color="auto"/>
        <w:left w:val="none" w:sz="0" w:space="0" w:color="auto"/>
        <w:bottom w:val="none" w:sz="0" w:space="0" w:color="auto"/>
        <w:right w:val="none" w:sz="0" w:space="0" w:color="auto"/>
      </w:divBdr>
    </w:div>
    <w:div w:id="1500147648">
      <w:bodyDiv w:val="1"/>
      <w:marLeft w:val="0"/>
      <w:marRight w:val="0"/>
      <w:marTop w:val="0"/>
      <w:marBottom w:val="0"/>
      <w:divBdr>
        <w:top w:val="none" w:sz="0" w:space="0" w:color="auto"/>
        <w:left w:val="none" w:sz="0" w:space="0" w:color="auto"/>
        <w:bottom w:val="none" w:sz="0" w:space="0" w:color="auto"/>
        <w:right w:val="none" w:sz="0" w:space="0" w:color="auto"/>
      </w:divBdr>
    </w:div>
    <w:div w:id="1500733276">
      <w:bodyDiv w:val="1"/>
      <w:marLeft w:val="0"/>
      <w:marRight w:val="0"/>
      <w:marTop w:val="0"/>
      <w:marBottom w:val="0"/>
      <w:divBdr>
        <w:top w:val="none" w:sz="0" w:space="0" w:color="auto"/>
        <w:left w:val="none" w:sz="0" w:space="0" w:color="auto"/>
        <w:bottom w:val="none" w:sz="0" w:space="0" w:color="auto"/>
        <w:right w:val="none" w:sz="0" w:space="0" w:color="auto"/>
      </w:divBdr>
    </w:div>
    <w:div w:id="1503475734">
      <w:bodyDiv w:val="1"/>
      <w:marLeft w:val="0"/>
      <w:marRight w:val="0"/>
      <w:marTop w:val="0"/>
      <w:marBottom w:val="0"/>
      <w:divBdr>
        <w:top w:val="none" w:sz="0" w:space="0" w:color="auto"/>
        <w:left w:val="none" w:sz="0" w:space="0" w:color="auto"/>
        <w:bottom w:val="none" w:sz="0" w:space="0" w:color="auto"/>
        <w:right w:val="none" w:sz="0" w:space="0" w:color="auto"/>
      </w:divBdr>
    </w:div>
    <w:div w:id="1506942313">
      <w:bodyDiv w:val="1"/>
      <w:marLeft w:val="0"/>
      <w:marRight w:val="0"/>
      <w:marTop w:val="0"/>
      <w:marBottom w:val="0"/>
      <w:divBdr>
        <w:top w:val="none" w:sz="0" w:space="0" w:color="auto"/>
        <w:left w:val="none" w:sz="0" w:space="0" w:color="auto"/>
        <w:bottom w:val="none" w:sz="0" w:space="0" w:color="auto"/>
        <w:right w:val="none" w:sz="0" w:space="0" w:color="auto"/>
      </w:divBdr>
    </w:div>
    <w:div w:id="1514420336">
      <w:bodyDiv w:val="1"/>
      <w:marLeft w:val="0"/>
      <w:marRight w:val="0"/>
      <w:marTop w:val="0"/>
      <w:marBottom w:val="0"/>
      <w:divBdr>
        <w:top w:val="none" w:sz="0" w:space="0" w:color="auto"/>
        <w:left w:val="none" w:sz="0" w:space="0" w:color="auto"/>
        <w:bottom w:val="none" w:sz="0" w:space="0" w:color="auto"/>
        <w:right w:val="none" w:sz="0" w:space="0" w:color="auto"/>
      </w:divBdr>
    </w:div>
    <w:div w:id="1516535135">
      <w:bodyDiv w:val="1"/>
      <w:marLeft w:val="0"/>
      <w:marRight w:val="0"/>
      <w:marTop w:val="0"/>
      <w:marBottom w:val="0"/>
      <w:divBdr>
        <w:top w:val="none" w:sz="0" w:space="0" w:color="auto"/>
        <w:left w:val="none" w:sz="0" w:space="0" w:color="auto"/>
        <w:bottom w:val="none" w:sz="0" w:space="0" w:color="auto"/>
        <w:right w:val="none" w:sz="0" w:space="0" w:color="auto"/>
      </w:divBdr>
    </w:div>
    <w:div w:id="1523323561">
      <w:bodyDiv w:val="1"/>
      <w:marLeft w:val="0"/>
      <w:marRight w:val="0"/>
      <w:marTop w:val="0"/>
      <w:marBottom w:val="0"/>
      <w:divBdr>
        <w:top w:val="none" w:sz="0" w:space="0" w:color="auto"/>
        <w:left w:val="none" w:sz="0" w:space="0" w:color="auto"/>
        <w:bottom w:val="none" w:sz="0" w:space="0" w:color="auto"/>
        <w:right w:val="none" w:sz="0" w:space="0" w:color="auto"/>
      </w:divBdr>
    </w:div>
    <w:div w:id="1532837680">
      <w:bodyDiv w:val="1"/>
      <w:marLeft w:val="0"/>
      <w:marRight w:val="0"/>
      <w:marTop w:val="0"/>
      <w:marBottom w:val="0"/>
      <w:divBdr>
        <w:top w:val="none" w:sz="0" w:space="0" w:color="auto"/>
        <w:left w:val="none" w:sz="0" w:space="0" w:color="auto"/>
        <w:bottom w:val="none" w:sz="0" w:space="0" w:color="auto"/>
        <w:right w:val="none" w:sz="0" w:space="0" w:color="auto"/>
      </w:divBdr>
    </w:div>
    <w:div w:id="1535994933">
      <w:bodyDiv w:val="1"/>
      <w:marLeft w:val="0"/>
      <w:marRight w:val="0"/>
      <w:marTop w:val="0"/>
      <w:marBottom w:val="0"/>
      <w:divBdr>
        <w:top w:val="none" w:sz="0" w:space="0" w:color="auto"/>
        <w:left w:val="none" w:sz="0" w:space="0" w:color="auto"/>
        <w:bottom w:val="none" w:sz="0" w:space="0" w:color="auto"/>
        <w:right w:val="none" w:sz="0" w:space="0" w:color="auto"/>
      </w:divBdr>
    </w:div>
    <w:div w:id="1539122276">
      <w:bodyDiv w:val="1"/>
      <w:marLeft w:val="0"/>
      <w:marRight w:val="0"/>
      <w:marTop w:val="0"/>
      <w:marBottom w:val="0"/>
      <w:divBdr>
        <w:top w:val="none" w:sz="0" w:space="0" w:color="auto"/>
        <w:left w:val="none" w:sz="0" w:space="0" w:color="auto"/>
        <w:bottom w:val="none" w:sz="0" w:space="0" w:color="auto"/>
        <w:right w:val="none" w:sz="0" w:space="0" w:color="auto"/>
      </w:divBdr>
    </w:div>
    <w:div w:id="1542938344">
      <w:bodyDiv w:val="1"/>
      <w:marLeft w:val="0"/>
      <w:marRight w:val="0"/>
      <w:marTop w:val="0"/>
      <w:marBottom w:val="0"/>
      <w:divBdr>
        <w:top w:val="none" w:sz="0" w:space="0" w:color="auto"/>
        <w:left w:val="none" w:sz="0" w:space="0" w:color="auto"/>
        <w:bottom w:val="none" w:sz="0" w:space="0" w:color="auto"/>
        <w:right w:val="none" w:sz="0" w:space="0" w:color="auto"/>
      </w:divBdr>
    </w:div>
    <w:div w:id="1543983994">
      <w:bodyDiv w:val="1"/>
      <w:marLeft w:val="0"/>
      <w:marRight w:val="0"/>
      <w:marTop w:val="0"/>
      <w:marBottom w:val="0"/>
      <w:divBdr>
        <w:top w:val="none" w:sz="0" w:space="0" w:color="auto"/>
        <w:left w:val="none" w:sz="0" w:space="0" w:color="auto"/>
        <w:bottom w:val="none" w:sz="0" w:space="0" w:color="auto"/>
        <w:right w:val="none" w:sz="0" w:space="0" w:color="auto"/>
      </w:divBdr>
    </w:div>
    <w:div w:id="1548033997">
      <w:bodyDiv w:val="1"/>
      <w:marLeft w:val="0"/>
      <w:marRight w:val="0"/>
      <w:marTop w:val="0"/>
      <w:marBottom w:val="0"/>
      <w:divBdr>
        <w:top w:val="none" w:sz="0" w:space="0" w:color="auto"/>
        <w:left w:val="none" w:sz="0" w:space="0" w:color="auto"/>
        <w:bottom w:val="none" w:sz="0" w:space="0" w:color="auto"/>
        <w:right w:val="none" w:sz="0" w:space="0" w:color="auto"/>
      </w:divBdr>
    </w:div>
    <w:div w:id="1548101281">
      <w:bodyDiv w:val="1"/>
      <w:marLeft w:val="0"/>
      <w:marRight w:val="0"/>
      <w:marTop w:val="0"/>
      <w:marBottom w:val="0"/>
      <w:divBdr>
        <w:top w:val="none" w:sz="0" w:space="0" w:color="auto"/>
        <w:left w:val="none" w:sz="0" w:space="0" w:color="auto"/>
        <w:bottom w:val="none" w:sz="0" w:space="0" w:color="auto"/>
        <w:right w:val="none" w:sz="0" w:space="0" w:color="auto"/>
      </w:divBdr>
    </w:div>
    <w:div w:id="1552578278">
      <w:bodyDiv w:val="1"/>
      <w:marLeft w:val="0"/>
      <w:marRight w:val="0"/>
      <w:marTop w:val="0"/>
      <w:marBottom w:val="0"/>
      <w:divBdr>
        <w:top w:val="none" w:sz="0" w:space="0" w:color="auto"/>
        <w:left w:val="none" w:sz="0" w:space="0" w:color="auto"/>
        <w:bottom w:val="none" w:sz="0" w:space="0" w:color="auto"/>
        <w:right w:val="none" w:sz="0" w:space="0" w:color="auto"/>
      </w:divBdr>
    </w:div>
    <w:div w:id="1563711775">
      <w:bodyDiv w:val="1"/>
      <w:marLeft w:val="0"/>
      <w:marRight w:val="0"/>
      <w:marTop w:val="0"/>
      <w:marBottom w:val="0"/>
      <w:divBdr>
        <w:top w:val="none" w:sz="0" w:space="0" w:color="auto"/>
        <w:left w:val="none" w:sz="0" w:space="0" w:color="auto"/>
        <w:bottom w:val="none" w:sz="0" w:space="0" w:color="auto"/>
        <w:right w:val="none" w:sz="0" w:space="0" w:color="auto"/>
      </w:divBdr>
    </w:div>
    <w:div w:id="1565526230">
      <w:bodyDiv w:val="1"/>
      <w:marLeft w:val="0"/>
      <w:marRight w:val="0"/>
      <w:marTop w:val="0"/>
      <w:marBottom w:val="0"/>
      <w:divBdr>
        <w:top w:val="none" w:sz="0" w:space="0" w:color="auto"/>
        <w:left w:val="none" w:sz="0" w:space="0" w:color="auto"/>
        <w:bottom w:val="none" w:sz="0" w:space="0" w:color="auto"/>
        <w:right w:val="none" w:sz="0" w:space="0" w:color="auto"/>
      </w:divBdr>
    </w:div>
    <w:div w:id="1580670539">
      <w:bodyDiv w:val="1"/>
      <w:marLeft w:val="0"/>
      <w:marRight w:val="0"/>
      <w:marTop w:val="0"/>
      <w:marBottom w:val="0"/>
      <w:divBdr>
        <w:top w:val="none" w:sz="0" w:space="0" w:color="auto"/>
        <w:left w:val="none" w:sz="0" w:space="0" w:color="auto"/>
        <w:bottom w:val="none" w:sz="0" w:space="0" w:color="auto"/>
        <w:right w:val="none" w:sz="0" w:space="0" w:color="auto"/>
      </w:divBdr>
    </w:div>
    <w:div w:id="1584879364">
      <w:bodyDiv w:val="1"/>
      <w:marLeft w:val="0"/>
      <w:marRight w:val="0"/>
      <w:marTop w:val="0"/>
      <w:marBottom w:val="0"/>
      <w:divBdr>
        <w:top w:val="none" w:sz="0" w:space="0" w:color="auto"/>
        <w:left w:val="none" w:sz="0" w:space="0" w:color="auto"/>
        <w:bottom w:val="none" w:sz="0" w:space="0" w:color="auto"/>
        <w:right w:val="none" w:sz="0" w:space="0" w:color="auto"/>
      </w:divBdr>
    </w:div>
    <w:div w:id="1585264101">
      <w:bodyDiv w:val="1"/>
      <w:marLeft w:val="0"/>
      <w:marRight w:val="0"/>
      <w:marTop w:val="0"/>
      <w:marBottom w:val="0"/>
      <w:divBdr>
        <w:top w:val="none" w:sz="0" w:space="0" w:color="auto"/>
        <w:left w:val="none" w:sz="0" w:space="0" w:color="auto"/>
        <w:bottom w:val="none" w:sz="0" w:space="0" w:color="auto"/>
        <w:right w:val="none" w:sz="0" w:space="0" w:color="auto"/>
      </w:divBdr>
    </w:div>
    <w:div w:id="1607039973">
      <w:bodyDiv w:val="1"/>
      <w:marLeft w:val="0"/>
      <w:marRight w:val="0"/>
      <w:marTop w:val="0"/>
      <w:marBottom w:val="0"/>
      <w:divBdr>
        <w:top w:val="none" w:sz="0" w:space="0" w:color="auto"/>
        <w:left w:val="none" w:sz="0" w:space="0" w:color="auto"/>
        <w:bottom w:val="none" w:sz="0" w:space="0" w:color="auto"/>
        <w:right w:val="none" w:sz="0" w:space="0" w:color="auto"/>
      </w:divBdr>
    </w:div>
    <w:div w:id="1617983231">
      <w:bodyDiv w:val="1"/>
      <w:marLeft w:val="0"/>
      <w:marRight w:val="0"/>
      <w:marTop w:val="0"/>
      <w:marBottom w:val="0"/>
      <w:divBdr>
        <w:top w:val="none" w:sz="0" w:space="0" w:color="auto"/>
        <w:left w:val="none" w:sz="0" w:space="0" w:color="auto"/>
        <w:bottom w:val="none" w:sz="0" w:space="0" w:color="auto"/>
        <w:right w:val="none" w:sz="0" w:space="0" w:color="auto"/>
      </w:divBdr>
    </w:div>
    <w:div w:id="1620331239">
      <w:bodyDiv w:val="1"/>
      <w:marLeft w:val="0"/>
      <w:marRight w:val="0"/>
      <w:marTop w:val="0"/>
      <w:marBottom w:val="0"/>
      <w:divBdr>
        <w:top w:val="none" w:sz="0" w:space="0" w:color="auto"/>
        <w:left w:val="none" w:sz="0" w:space="0" w:color="auto"/>
        <w:bottom w:val="none" w:sz="0" w:space="0" w:color="auto"/>
        <w:right w:val="none" w:sz="0" w:space="0" w:color="auto"/>
      </w:divBdr>
    </w:div>
    <w:div w:id="1620453823">
      <w:bodyDiv w:val="1"/>
      <w:marLeft w:val="0"/>
      <w:marRight w:val="0"/>
      <w:marTop w:val="0"/>
      <w:marBottom w:val="0"/>
      <w:divBdr>
        <w:top w:val="none" w:sz="0" w:space="0" w:color="auto"/>
        <w:left w:val="none" w:sz="0" w:space="0" w:color="auto"/>
        <w:bottom w:val="none" w:sz="0" w:space="0" w:color="auto"/>
        <w:right w:val="none" w:sz="0" w:space="0" w:color="auto"/>
      </w:divBdr>
    </w:div>
    <w:div w:id="1624381039">
      <w:bodyDiv w:val="1"/>
      <w:marLeft w:val="0"/>
      <w:marRight w:val="0"/>
      <w:marTop w:val="0"/>
      <w:marBottom w:val="0"/>
      <w:divBdr>
        <w:top w:val="none" w:sz="0" w:space="0" w:color="auto"/>
        <w:left w:val="none" w:sz="0" w:space="0" w:color="auto"/>
        <w:bottom w:val="none" w:sz="0" w:space="0" w:color="auto"/>
        <w:right w:val="none" w:sz="0" w:space="0" w:color="auto"/>
      </w:divBdr>
    </w:div>
    <w:div w:id="1624993760">
      <w:bodyDiv w:val="1"/>
      <w:marLeft w:val="0"/>
      <w:marRight w:val="0"/>
      <w:marTop w:val="0"/>
      <w:marBottom w:val="0"/>
      <w:divBdr>
        <w:top w:val="none" w:sz="0" w:space="0" w:color="auto"/>
        <w:left w:val="none" w:sz="0" w:space="0" w:color="auto"/>
        <w:bottom w:val="none" w:sz="0" w:space="0" w:color="auto"/>
        <w:right w:val="none" w:sz="0" w:space="0" w:color="auto"/>
      </w:divBdr>
    </w:div>
    <w:div w:id="1632663210">
      <w:bodyDiv w:val="1"/>
      <w:marLeft w:val="0"/>
      <w:marRight w:val="0"/>
      <w:marTop w:val="0"/>
      <w:marBottom w:val="0"/>
      <w:divBdr>
        <w:top w:val="none" w:sz="0" w:space="0" w:color="auto"/>
        <w:left w:val="none" w:sz="0" w:space="0" w:color="auto"/>
        <w:bottom w:val="none" w:sz="0" w:space="0" w:color="auto"/>
        <w:right w:val="none" w:sz="0" w:space="0" w:color="auto"/>
      </w:divBdr>
    </w:div>
    <w:div w:id="1639842342">
      <w:bodyDiv w:val="1"/>
      <w:marLeft w:val="0"/>
      <w:marRight w:val="0"/>
      <w:marTop w:val="0"/>
      <w:marBottom w:val="0"/>
      <w:divBdr>
        <w:top w:val="none" w:sz="0" w:space="0" w:color="auto"/>
        <w:left w:val="none" w:sz="0" w:space="0" w:color="auto"/>
        <w:bottom w:val="none" w:sz="0" w:space="0" w:color="auto"/>
        <w:right w:val="none" w:sz="0" w:space="0" w:color="auto"/>
      </w:divBdr>
    </w:div>
    <w:div w:id="1647738392">
      <w:bodyDiv w:val="1"/>
      <w:marLeft w:val="0"/>
      <w:marRight w:val="0"/>
      <w:marTop w:val="0"/>
      <w:marBottom w:val="0"/>
      <w:divBdr>
        <w:top w:val="none" w:sz="0" w:space="0" w:color="auto"/>
        <w:left w:val="none" w:sz="0" w:space="0" w:color="auto"/>
        <w:bottom w:val="none" w:sz="0" w:space="0" w:color="auto"/>
        <w:right w:val="none" w:sz="0" w:space="0" w:color="auto"/>
      </w:divBdr>
    </w:div>
    <w:div w:id="1649551900">
      <w:bodyDiv w:val="1"/>
      <w:marLeft w:val="0"/>
      <w:marRight w:val="0"/>
      <w:marTop w:val="0"/>
      <w:marBottom w:val="0"/>
      <w:divBdr>
        <w:top w:val="none" w:sz="0" w:space="0" w:color="auto"/>
        <w:left w:val="none" w:sz="0" w:space="0" w:color="auto"/>
        <w:bottom w:val="none" w:sz="0" w:space="0" w:color="auto"/>
        <w:right w:val="none" w:sz="0" w:space="0" w:color="auto"/>
      </w:divBdr>
    </w:div>
    <w:div w:id="1651053424">
      <w:bodyDiv w:val="1"/>
      <w:marLeft w:val="0"/>
      <w:marRight w:val="0"/>
      <w:marTop w:val="0"/>
      <w:marBottom w:val="0"/>
      <w:divBdr>
        <w:top w:val="none" w:sz="0" w:space="0" w:color="auto"/>
        <w:left w:val="none" w:sz="0" w:space="0" w:color="auto"/>
        <w:bottom w:val="none" w:sz="0" w:space="0" w:color="auto"/>
        <w:right w:val="none" w:sz="0" w:space="0" w:color="auto"/>
      </w:divBdr>
    </w:div>
    <w:div w:id="165159722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 w:id="1680044065">
      <w:bodyDiv w:val="1"/>
      <w:marLeft w:val="0"/>
      <w:marRight w:val="0"/>
      <w:marTop w:val="0"/>
      <w:marBottom w:val="0"/>
      <w:divBdr>
        <w:top w:val="none" w:sz="0" w:space="0" w:color="auto"/>
        <w:left w:val="none" w:sz="0" w:space="0" w:color="auto"/>
        <w:bottom w:val="none" w:sz="0" w:space="0" w:color="auto"/>
        <w:right w:val="none" w:sz="0" w:space="0" w:color="auto"/>
      </w:divBdr>
    </w:div>
    <w:div w:id="1688368960">
      <w:bodyDiv w:val="1"/>
      <w:marLeft w:val="0"/>
      <w:marRight w:val="0"/>
      <w:marTop w:val="0"/>
      <w:marBottom w:val="0"/>
      <w:divBdr>
        <w:top w:val="none" w:sz="0" w:space="0" w:color="auto"/>
        <w:left w:val="none" w:sz="0" w:space="0" w:color="auto"/>
        <w:bottom w:val="none" w:sz="0" w:space="0" w:color="auto"/>
        <w:right w:val="none" w:sz="0" w:space="0" w:color="auto"/>
      </w:divBdr>
    </w:div>
    <w:div w:id="1697463856">
      <w:bodyDiv w:val="1"/>
      <w:marLeft w:val="0"/>
      <w:marRight w:val="0"/>
      <w:marTop w:val="0"/>
      <w:marBottom w:val="0"/>
      <w:divBdr>
        <w:top w:val="none" w:sz="0" w:space="0" w:color="auto"/>
        <w:left w:val="none" w:sz="0" w:space="0" w:color="auto"/>
        <w:bottom w:val="none" w:sz="0" w:space="0" w:color="auto"/>
        <w:right w:val="none" w:sz="0" w:space="0" w:color="auto"/>
      </w:divBdr>
    </w:div>
    <w:div w:id="1697804450">
      <w:bodyDiv w:val="1"/>
      <w:marLeft w:val="0"/>
      <w:marRight w:val="0"/>
      <w:marTop w:val="0"/>
      <w:marBottom w:val="0"/>
      <w:divBdr>
        <w:top w:val="none" w:sz="0" w:space="0" w:color="auto"/>
        <w:left w:val="none" w:sz="0" w:space="0" w:color="auto"/>
        <w:bottom w:val="none" w:sz="0" w:space="0" w:color="auto"/>
        <w:right w:val="none" w:sz="0" w:space="0" w:color="auto"/>
      </w:divBdr>
    </w:div>
    <w:div w:id="1698237136">
      <w:bodyDiv w:val="1"/>
      <w:marLeft w:val="0"/>
      <w:marRight w:val="0"/>
      <w:marTop w:val="0"/>
      <w:marBottom w:val="0"/>
      <w:divBdr>
        <w:top w:val="none" w:sz="0" w:space="0" w:color="auto"/>
        <w:left w:val="none" w:sz="0" w:space="0" w:color="auto"/>
        <w:bottom w:val="none" w:sz="0" w:space="0" w:color="auto"/>
        <w:right w:val="none" w:sz="0" w:space="0" w:color="auto"/>
      </w:divBdr>
    </w:div>
    <w:div w:id="1711757201">
      <w:bodyDiv w:val="1"/>
      <w:marLeft w:val="0"/>
      <w:marRight w:val="0"/>
      <w:marTop w:val="0"/>
      <w:marBottom w:val="0"/>
      <w:divBdr>
        <w:top w:val="none" w:sz="0" w:space="0" w:color="auto"/>
        <w:left w:val="none" w:sz="0" w:space="0" w:color="auto"/>
        <w:bottom w:val="none" w:sz="0" w:space="0" w:color="auto"/>
        <w:right w:val="none" w:sz="0" w:space="0" w:color="auto"/>
      </w:divBdr>
    </w:div>
    <w:div w:id="1716079696">
      <w:bodyDiv w:val="1"/>
      <w:marLeft w:val="0"/>
      <w:marRight w:val="0"/>
      <w:marTop w:val="0"/>
      <w:marBottom w:val="0"/>
      <w:divBdr>
        <w:top w:val="none" w:sz="0" w:space="0" w:color="auto"/>
        <w:left w:val="none" w:sz="0" w:space="0" w:color="auto"/>
        <w:bottom w:val="none" w:sz="0" w:space="0" w:color="auto"/>
        <w:right w:val="none" w:sz="0" w:space="0" w:color="auto"/>
      </w:divBdr>
    </w:div>
    <w:div w:id="1720007646">
      <w:bodyDiv w:val="1"/>
      <w:marLeft w:val="0"/>
      <w:marRight w:val="0"/>
      <w:marTop w:val="0"/>
      <w:marBottom w:val="0"/>
      <w:divBdr>
        <w:top w:val="none" w:sz="0" w:space="0" w:color="auto"/>
        <w:left w:val="none" w:sz="0" w:space="0" w:color="auto"/>
        <w:bottom w:val="none" w:sz="0" w:space="0" w:color="auto"/>
        <w:right w:val="none" w:sz="0" w:space="0" w:color="auto"/>
      </w:divBdr>
    </w:div>
    <w:div w:id="1724477476">
      <w:bodyDiv w:val="1"/>
      <w:marLeft w:val="0"/>
      <w:marRight w:val="0"/>
      <w:marTop w:val="0"/>
      <w:marBottom w:val="0"/>
      <w:divBdr>
        <w:top w:val="none" w:sz="0" w:space="0" w:color="auto"/>
        <w:left w:val="none" w:sz="0" w:space="0" w:color="auto"/>
        <w:bottom w:val="none" w:sz="0" w:space="0" w:color="auto"/>
        <w:right w:val="none" w:sz="0" w:space="0" w:color="auto"/>
      </w:divBdr>
    </w:div>
    <w:div w:id="1746800054">
      <w:bodyDiv w:val="1"/>
      <w:marLeft w:val="0"/>
      <w:marRight w:val="0"/>
      <w:marTop w:val="0"/>
      <w:marBottom w:val="0"/>
      <w:divBdr>
        <w:top w:val="none" w:sz="0" w:space="0" w:color="auto"/>
        <w:left w:val="none" w:sz="0" w:space="0" w:color="auto"/>
        <w:bottom w:val="none" w:sz="0" w:space="0" w:color="auto"/>
        <w:right w:val="none" w:sz="0" w:space="0" w:color="auto"/>
      </w:divBdr>
    </w:div>
    <w:div w:id="1751200206">
      <w:bodyDiv w:val="1"/>
      <w:marLeft w:val="0"/>
      <w:marRight w:val="0"/>
      <w:marTop w:val="0"/>
      <w:marBottom w:val="0"/>
      <w:divBdr>
        <w:top w:val="none" w:sz="0" w:space="0" w:color="auto"/>
        <w:left w:val="none" w:sz="0" w:space="0" w:color="auto"/>
        <w:bottom w:val="none" w:sz="0" w:space="0" w:color="auto"/>
        <w:right w:val="none" w:sz="0" w:space="0" w:color="auto"/>
      </w:divBdr>
    </w:div>
    <w:div w:id="1753501717">
      <w:bodyDiv w:val="1"/>
      <w:marLeft w:val="0"/>
      <w:marRight w:val="0"/>
      <w:marTop w:val="0"/>
      <w:marBottom w:val="0"/>
      <w:divBdr>
        <w:top w:val="none" w:sz="0" w:space="0" w:color="auto"/>
        <w:left w:val="none" w:sz="0" w:space="0" w:color="auto"/>
        <w:bottom w:val="none" w:sz="0" w:space="0" w:color="auto"/>
        <w:right w:val="none" w:sz="0" w:space="0" w:color="auto"/>
      </w:divBdr>
    </w:div>
    <w:div w:id="1754933841">
      <w:bodyDiv w:val="1"/>
      <w:marLeft w:val="0"/>
      <w:marRight w:val="0"/>
      <w:marTop w:val="0"/>
      <w:marBottom w:val="0"/>
      <w:divBdr>
        <w:top w:val="none" w:sz="0" w:space="0" w:color="auto"/>
        <w:left w:val="none" w:sz="0" w:space="0" w:color="auto"/>
        <w:bottom w:val="none" w:sz="0" w:space="0" w:color="auto"/>
        <w:right w:val="none" w:sz="0" w:space="0" w:color="auto"/>
      </w:divBdr>
    </w:div>
    <w:div w:id="1756128048">
      <w:bodyDiv w:val="1"/>
      <w:marLeft w:val="0"/>
      <w:marRight w:val="0"/>
      <w:marTop w:val="0"/>
      <w:marBottom w:val="0"/>
      <w:divBdr>
        <w:top w:val="none" w:sz="0" w:space="0" w:color="auto"/>
        <w:left w:val="none" w:sz="0" w:space="0" w:color="auto"/>
        <w:bottom w:val="none" w:sz="0" w:space="0" w:color="auto"/>
        <w:right w:val="none" w:sz="0" w:space="0" w:color="auto"/>
      </w:divBdr>
    </w:div>
    <w:div w:id="1756853881">
      <w:bodyDiv w:val="1"/>
      <w:marLeft w:val="0"/>
      <w:marRight w:val="0"/>
      <w:marTop w:val="0"/>
      <w:marBottom w:val="0"/>
      <w:divBdr>
        <w:top w:val="none" w:sz="0" w:space="0" w:color="auto"/>
        <w:left w:val="none" w:sz="0" w:space="0" w:color="auto"/>
        <w:bottom w:val="none" w:sz="0" w:space="0" w:color="auto"/>
        <w:right w:val="none" w:sz="0" w:space="0" w:color="auto"/>
      </w:divBdr>
    </w:div>
    <w:div w:id="1762026344">
      <w:bodyDiv w:val="1"/>
      <w:marLeft w:val="0"/>
      <w:marRight w:val="0"/>
      <w:marTop w:val="0"/>
      <w:marBottom w:val="0"/>
      <w:divBdr>
        <w:top w:val="none" w:sz="0" w:space="0" w:color="auto"/>
        <w:left w:val="none" w:sz="0" w:space="0" w:color="auto"/>
        <w:bottom w:val="none" w:sz="0" w:space="0" w:color="auto"/>
        <w:right w:val="none" w:sz="0" w:space="0" w:color="auto"/>
      </w:divBdr>
    </w:div>
    <w:div w:id="1769040359">
      <w:bodyDiv w:val="1"/>
      <w:marLeft w:val="0"/>
      <w:marRight w:val="0"/>
      <w:marTop w:val="0"/>
      <w:marBottom w:val="0"/>
      <w:divBdr>
        <w:top w:val="none" w:sz="0" w:space="0" w:color="auto"/>
        <w:left w:val="none" w:sz="0" w:space="0" w:color="auto"/>
        <w:bottom w:val="none" w:sz="0" w:space="0" w:color="auto"/>
        <w:right w:val="none" w:sz="0" w:space="0" w:color="auto"/>
      </w:divBdr>
    </w:div>
    <w:div w:id="1793205662">
      <w:bodyDiv w:val="1"/>
      <w:marLeft w:val="0"/>
      <w:marRight w:val="0"/>
      <w:marTop w:val="0"/>
      <w:marBottom w:val="0"/>
      <w:divBdr>
        <w:top w:val="none" w:sz="0" w:space="0" w:color="auto"/>
        <w:left w:val="none" w:sz="0" w:space="0" w:color="auto"/>
        <w:bottom w:val="none" w:sz="0" w:space="0" w:color="auto"/>
        <w:right w:val="none" w:sz="0" w:space="0" w:color="auto"/>
      </w:divBdr>
    </w:div>
    <w:div w:id="1796171572">
      <w:bodyDiv w:val="1"/>
      <w:marLeft w:val="0"/>
      <w:marRight w:val="0"/>
      <w:marTop w:val="0"/>
      <w:marBottom w:val="0"/>
      <w:divBdr>
        <w:top w:val="none" w:sz="0" w:space="0" w:color="auto"/>
        <w:left w:val="none" w:sz="0" w:space="0" w:color="auto"/>
        <w:bottom w:val="none" w:sz="0" w:space="0" w:color="auto"/>
        <w:right w:val="none" w:sz="0" w:space="0" w:color="auto"/>
      </w:divBdr>
    </w:div>
    <w:div w:id="1799032630">
      <w:bodyDiv w:val="1"/>
      <w:marLeft w:val="0"/>
      <w:marRight w:val="0"/>
      <w:marTop w:val="0"/>
      <w:marBottom w:val="0"/>
      <w:divBdr>
        <w:top w:val="none" w:sz="0" w:space="0" w:color="auto"/>
        <w:left w:val="none" w:sz="0" w:space="0" w:color="auto"/>
        <w:bottom w:val="none" w:sz="0" w:space="0" w:color="auto"/>
        <w:right w:val="none" w:sz="0" w:space="0" w:color="auto"/>
      </w:divBdr>
    </w:div>
    <w:div w:id="1805151356">
      <w:bodyDiv w:val="1"/>
      <w:marLeft w:val="0"/>
      <w:marRight w:val="0"/>
      <w:marTop w:val="0"/>
      <w:marBottom w:val="0"/>
      <w:divBdr>
        <w:top w:val="none" w:sz="0" w:space="0" w:color="auto"/>
        <w:left w:val="none" w:sz="0" w:space="0" w:color="auto"/>
        <w:bottom w:val="none" w:sz="0" w:space="0" w:color="auto"/>
        <w:right w:val="none" w:sz="0" w:space="0" w:color="auto"/>
      </w:divBdr>
    </w:div>
    <w:div w:id="1808085150">
      <w:bodyDiv w:val="1"/>
      <w:marLeft w:val="0"/>
      <w:marRight w:val="0"/>
      <w:marTop w:val="0"/>
      <w:marBottom w:val="0"/>
      <w:divBdr>
        <w:top w:val="none" w:sz="0" w:space="0" w:color="auto"/>
        <w:left w:val="none" w:sz="0" w:space="0" w:color="auto"/>
        <w:bottom w:val="none" w:sz="0" w:space="0" w:color="auto"/>
        <w:right w:val="none" w:sz="0" w:space="0" w:color="auto"/>
      </w:divBdr>
    </w:div>
    <w:div w:id="1809736963">
      <w:bodyDiv w:val="1"/>
      <w:marLeft w:val="0"/>
      <w:marRight w:val="0"/>
      <w:marTop w:val="0"/>
      <w:marBottom w:val="0"/>
      <w:divBdr>
        <w:top w:val="none" w:sz="0" w:space="0" w:color="auto"/>
        <w:left w:val="none" w:sz="0" w:space="0" w:color="auto"/>
        <w:bottom w:val="none" w:sz="0" w:space="0" w:color="auto"/>
        <w:right w:val="none" w:sz="0" w:space="0" w:color="auto"/>
      </w:divBdr>
    </w:div>
    <w:div w:id="1831360604">
      <w:bodyDiv w:val="1"/>
      <w:marLeft w:val="0"/>
      <w:marRight w:val="0"/>
      <w:marTop w:val="0"/>
      <w:marBottom w:val="0"/>
      <w:divBdr>
        <w:top w:val="none" w:sz="0" w:space="0" w:color="auto"/>
        <w:left w:val="none" w:sz="0" w:space="0" w:color="auto"/>
        <w:bottom w:val="none" w:sz="0" w:space="0" w:color="auto"/>
        <w:right w:val="none" w:sz="0" w:space="0" w:color="auto"/>
      </w:divBdr>
    </w:div>
    <w:div w:id="1831864229">
      <w:bodyDiv w:val="1"/>
      <w:marLeft w:val="0"/>
      <w:marRight w:val="0"/>
      <w:marTop w:val="0"/>
      <w:marBottom w:val="0"/>
      <w:divBdr>
        <w:top w:val="none" w:sz="0" w:space="0" w:color="auto"/>
        <w:left w:val="none" w:sz="0" w:space="0" w:color="auto"/>
        <w:bottom w:val="none" w:sz="0" w:space="0" w:color="auto"/>
        <w:right w:val="none" w:sz="0" w:space="0" w:color="auto"/>
      </w:divBdr>
    </w:div>
    <w:div w:id="1832746565">
      <w:bodyDiv w:val="1"/>
      <w:marLeft w:val="0"/>
      <w:marRight w:val="0"/>
      <w:marTop w:val="0"/>
      <w:marBottom w:val="0"/>
      <w:divBdr>
        <w:top w:val="none" w:sz="0" w:space="0" w:color="auto"/>
        <w:left w:val="none" w:sz="0" w:space="0" w:color="auto"/>
        <w:bottom w:val="none" w:sz="0" w:space="0" w:color="auto"/>
        <w:right w:val="none" w:sz="0" w:space="0" w:color="auto"/>
      </w:divBdr>
      <w:divsChild>
        <w:div w:id="929388366">
          <w:marLeft w:val="0"/>
          <w:marRight w:val="0"/>
          <w:marTop w:val="0"/>
          <w:marBottom w:val="0"/>
          <w:divBdr>
            <w:top w:val="none" w:sz="0" w:space="0" w:color="auto"/>
            <w:left w:val="none" w:sz="0" w:space="0" w:color="auto"/>
            <w:bottom w:val="none" w:sz="0" w:space="0" w:color="auto"/>
            <w:right w:val="none" w:sz="0" w:space="0" w:color="auto"/>
          </w:divBdr>
          <w:divsChild>
            <w:div w:id="709257682">
              <w:marLeft w:val="0"/>
              <w:marRight w:val="0"/>
              <w:marTop w:val="0"/>
              <w:marBottom w:val="0"/>
              <w:divBdr>
                <w:top w:val="none" w:sz="0" w:space="0" w:color="auto"/>
                <w:left w:val="none" w:sz="0" w:space="0" w:color="auto"/>
                <w:bottom w:val="none" w:sz="0" w:space="0" w:color="auto"/>
                <w:right w:val="none" w:sz="0" w:space="0" w:color="auto"/>
              </w:divBdr>
              <w:divsChild>
                <w:div w:id="18581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4495">
      <w:bodyDiv w:val="1"/>
      <w:marLeft w:val="0"/>
      <w:marRight w:val="0"/>
      <w:marTop w:val="0"/>
      <w:marBottom w:val="0"/>
      <w:divBdr>
        <w:top w:val="none" w:sz="0" w:space="0" w:color="auto"/>
        <w:left w:val="none" w:sz="0" w:space="0" w:color="auto"/>
        <w:bottom w:val="none" w:sz="0" w:space="0" w:color="auto"/>
        <w:right w:val="none" w:sz="0" w:space="0" w:color="auto"/>
      </w:divBdr>
    </w:div>
    <w:div w:id="1874074743">
      <w:bodyDiv w:val="1"/>
      <w:marLeft w:val="0"/>
      <w:marRight w:val="0"/>
      <w:marTop w:val="0"/>
      <w:marBottom w:val="0"/>
      <w:divBdr>
        <w:top w:val="none" w:sz="0" w:space="0" w:color="auto"/>
        <w:left w:val="none" w:sz="0" w:space="0" w:color="auto"/>
        <w:bottom w:val="none" w:sz="0" w:space="0" w:color="auto"/>
        <w:right w:val="none" w:sz="0" w:space="0" w:color="auto"/>
      </w:divBdr>
    </w:div>
    <w:div w:id="1879051121">
      <w:bodyDiv w:val="1"/>
      <w:marLeft w:val="0"/>
      <w:marRight w:val="0"/>
      <w:marTop w:val="0"/>
      <w:marBottom w:val="0"/>
      <w:divBdr>
        <w:top w:val="none" w:sz="0" w:space="0" w:color="auto"/>
        <w:left w:val="none" w:sz="0" w:space="0" w:color="auto"/>
        <w:bottom w:val="none" w:sz="0" w:space="0" w:color="auto"/>
        <w:right w:val="none" w:sz="0" w:space="0" w:color="auto"/>
      </w:divBdr>
    </w:div>
    <w:div w:id="1899894500">
      <w:bodyDiv w:val="1"/>
      <w:marLeft w:val="0"/>
      <w:marRight w:val="0"/>
      <w:marTop w:val="0"/>
      <w:marBottom w:val="0"/>
      <w:divBdr>
        <w:top w:val="none" w:sz="0" w:space="0" w:color="auto"/>
        <w:left w:val="none" w:sz="0" w:space="0" w:color="auto"/>
        <w:bottom w:val="none" w:sz="0" w:space="0" w:color="auto"/>
        <w:right w:val="none" w:sz="0" w:space="0" w:color="auto"/>
      </w:divBdr>
    </w:div>
    <w:div w:id="1907296384">
      <w:bodyDiv w:val="1"/>
      <w:marLeft w:val="0"/>
      <w:marRight w:val="0"/>
      <w:marTop w:val="0"/>
      <w:marBottom w:val="0"/>
      <w:divBdr>
        <w:top w:val="none" w:sz="0" w:space="0" w:color="auto"/>
        <w:left w:val="none" w:sz="0" w:space="0" w:color="auto"/>
        <w:bottom w:val="none" w:sz="0" w:space="0" w:color="auto"/>
        <w:right w:val="none" w:sz="0" w:space="0" w:color="auto"/>
      </w:divBdr>
    </w:div>
    <w:div w:id="1909881596">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1923371054">
      <w:bodyDiv w:val="1"/>
      <w:marLeft w:val="0"/>
      <w:marRight w:val="0"/>
      <w:marTop w:val="0"/>
      <w:marBottom w:val="0"/>
      <w:divBdr>
        <w:top w:val="none" w:sz="0" w:space="0" w:color="auto"/>
        <w:left w:val="none" w:sz="0" w:space="0" w:color="auto"/>
        <w:bottom w:val="none" w:sz="0" w:space="0" w:color="auto"/>
        <w:right w:val="none" w:sz="0" w:space="0" w:color="auto"/>
      </w:divBdr>
    </w:div>
    <w:div w:id="1928073561">
      <w:bodyDiv w:val="1"/>
      <w:marLeft w:val="0"/>
      <w:marRight w:val="0"/>
      <w:marTop w:val="0"/>
      <w:marBottom w:val="0"/>
      <w:divBdr>
        <w:top w:val="none" w:sz="0" w:space="0" w:color="auto"/>
        <w:left w:val="none" w:sz="0" w:space="0" w:color="auto"/>
        <w:bottom w:val="none" w:sz="0" w:space="0" w:color="auto"/>
        <w:right w:val="none" w:sz="0" w:space="0" w:color="auto"/>
      </w:divBdr>
    </w:div>
    <w:div w:id="1964530515">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78142800">
      <w:bodyDiv w:val="1"/>
      <w:marLeft w:val="0"/>
      <w:marRight w:val="0"/>
      <w:marTop w:val="0"/>
      <w:marBottom w:val="0"/>
      <w:divBdr>
        <w:top w:val="none" w:sz="0" w:space="0" w:color="auto"/>
        <w:left w:val="none" w:sz="0" w:space="0" w:color="auto"/>
        <w:bottom w:val="none" w:sz="0" w:space="0" w:color="auto"/>
        <w:right w:val="none" w:sz="0" w:space="0" w:color="auto"/>
      </w:divBdr>
    </w:div>
    <w:div w:id="1981575551">
      <w:bodyDiv w:val="1"/>
      <w:marLeft w:val="0"/>
      <w:marRight w:val="0"/>
      <w:marTop w:val="0"/>
      <w:marBottom w:val="0"/>
      <w:divBdr>
        <w:top w:val="none" w:sz="0" w:space="0" w:color="auto"/>
        <w:left w:val="none" w:sz="0" w:space="0" w:color="auto"/>
        <w:bottom w:val="none" w:sz="0" w:space="0" w:color="auto"/>
        <w:right w:val="none" w:sz="0" w:space="0" w:color="auto"/>
      </w:divBdr>
    </w:div>
    <w:div w:id="1981811481">
      <w:bodyDiv w:val="1"/>
      <w:marLeft w:val="0"/>
      <w:marRight w:val="0"/>
      <w:marTop w:val="0"/>
      <w:marBottom w:val="0"/>
      <w:divBdr>
        <w:top w:val="none" w:sz="0" w:space="0" w:color="auto"/>
        <w:left w:val="none" w:sz="0" w:space="0" w:color="auto"/>
        <w:bottom w:val="none" w:sz="0" w:space="0" w:color="auto"/>
        <w:right w:val="none" w:sz="0" w:space="0" w:color="auto"/>
      </w:divBdr>
    </w:div>
    <w:div w:id="1989674143">
      <w:bodyDiv w:val="1"/>
      <w:marLeft w:val="0"/>
      <w:marRight w:val="0"/>
      <w:marTop w:val="0"/>
      <w:marBottom w:val="0"/>
      <w:divBdr>
        <w:top w:val="none" w:sz="0" w:space="0" w:color="auto"/>
        <w:left w:val="none" w:sz="0" w:space="0" w:color="auto"/>
        <w:bottom w:val="none" w:sz="0" w:space="0" w:color="auto"/>
        <w:right w:val="none" w:sz="0" w:space="0" w:color="auto"/>
      </w:divBdr>
    </w:div>
    <w:div w:id="1993173049">
      <w:bodyDiv w:val="1"/>
      <w:marLeft w:val="0"/>
      <w:marRight w:val="0"/>
      <w:marTop w:val="0"/>
      <w:marBottom w:val="0"/>
      <w:divBdr>
        <w:top w:val="none" w:sz="0" w:space="0" w:color="auto"/>
        <w:left w:val="none" w:sz="0" w:space="0" w:color="auto"/>
        <w:bottom w:val="none" w:sz="0" w:space="0" w:color="auto"/>
        <w:right w:val="none" w:sz="0" w:space="0" w:color="auto"/>
      </w:divBdr>
    </w:div>
    <w:div w:id="2001347642">
      <w:bodyDiv w:val="1"/>
      <w:marLeft w:val="0"/>
      <w:marRight w:val="0"/>
      <w:marTop w:val="0"/>
      <w:marBottom w:val="0"/>
      <w:divBdr>
        <w:top w:val="none" w:sz="0" w:space="0" w:color="auto"/>
        <w:left w:val="none" w:sz="0" w:space="0" w:color="auto"/>
        <w:bottom w:val="none" w:sz="0" w:space="0" w:color="auto"/>
        <w:right w:val="none" w:sz="0" w:space="0" w:color="auto"/>
      </w:divBdr>
    </w:div>
    <w:div w:id="2014257870">
      <w:bodyDiv w:val="1"/>
      <w:marLeft w:val="0"/>
      <w:marRight w:val="0"/>
      <w:marTop w:val="0"/>
      <w:marBottom w:val="0"/>
      <w:divBdr>
        <w:top w:val="none" w:sz="0" w:space="0" w:color="auto"/>
        <w:left w:val="none" w:sz="0" w:space="0" w:color="auto"/>
        <w:bottom w:val="none" w:sz="0" w:space="0" w:color="auto"/>
        <w:right w:val="none" w:sz="0" w:space="0" w:color="auto"/>
      </w:divBdr>
    </w:div>
    <w:div w:id="2020546310">
      <w:bodyDiv w:val="1"/>
      <w:marLeft w:val="0"/>
      <w:marRight w:val="0"/>
      <w:marTop w:val="0"/>
      <w:marBottom w:val="0"/>
      <w:divBdr>
        <w:top w:val="none" w:sz="0" w:space="0" w:color="auto"/>
        <w:left w:val="none" w:sz="0" w:space="0" w:color="auto"/>
        <w:bottom w:val="none" w:sz="0" w:space="0" w:color="auto"/>
        <w:right w:val="none" w:sz="0" w:space="0" w:color="auto"/>
      </w:divBdr>
    </w:div>
    <w:div w:id="2021199148">
      <w:bodyDiv w:val="1"/>
      <w:marLeft w:val="0"/>
      <w:marRight w:val="0"/>
      <w:marTop w:val="0"/>
      <w:marBottom w:val="0"/>
      <w:divBdr>
        <w:top w:val="none" w:sz="0" w:space="0" w:color="auto"/>
        <w:left w:val="none" w:sz="0" w:space="0" w:color="auto"/>
        <w:bottom w:val="none" w:sz="0" w:space="0" w:color="auto"/>
        <w:right w:val="none" w:sz="0" w:space="0" w:color="auto"/>
      </w:divBdr>
    </w:div>
    <w:div w:id="2022313768">
      <w:bodyDiv w:val="1"/>
      <w:marLeft w:val="0"/>
      <w:marRight w:val="0"/>
      <w:marTop w:val="0"/>
      <w:marBottom w:val="0"/>
      <w:divBdr>
        <w:top w:val="none" w:sz="0" w:space="0" w:color="auto"/>
        <w:left w:val="none" w:sz="0" w:space="0" w:color="auto"/>
        <w:bottom w:val="none" w:sz="0" w:space="0" w:color="auto"/>
        <w:right w:val="none" w:sz="0" w:space="0" w:color="auto"/>
      </w:divBdr>
    </w:div>
    <w:div w:id="2046758653">
      <w:bodyDiv w:val="1"/>
      <w:marLeft w:val="0"/>
      <w:marRight w:val="0"/>
      <w:marTop w:val="0"/>
      <w:marBottom w:val="0"/>
      <w:divBdr>
        <w:top w:val="none" w:sz="0" w:space="0" w:color="auto"/>
        <w:left w:val="none" w:sz="0" w:space="0" w:color="auto"/>
        <w:bottom w:val="none" w:sz="0" w:space="0" w:color="auto"/>
        <w:right w:val="none" w:sz="0" w:space="0" w:color="auto"/>
      </w:divBdr>
    </w:div>
    <w:div w:id="2050454298">
      <w:bodyDiv w:val="1"/>
      <w:marLeft w:val="0"/>
      <w:marRight w:val="0"/>
      <w:marTop w:val="0"/>
      <w:marBottom w:val="0"/>
      <w:divBdr>
        <w:top w:val="none" w:sz="0" w:space="0" w:color="auto"/>
        <w:left w:val="none" w:sz="0" w:space="0" w:color="auto"/>
        <w:bottom w:val="none" w:sz="0" w:space="0" w:color="auto"/>
        <w:right w:val="none" w:sz="0" w:space="0" w:color="auto"/>
      </w:divBdr>
    </w:div>
    <w:div w:id="2051223872">
      <w:bodyDiv w:val="1"/>
      <w:marLeft w:val="0"/>
      <w:marRight w:val="0"/>
      <w:marTop w:val="0"/>
      <w:marBottom w:val="0"/>
      <w:divBdr>
        <w:top w:val="none" w:sz="0" w:space="0" w:color="auto"/>
        <w:left w:val="none" w:sz="0" w:space="0" w:color="auto"/>
        <w:bottom w:val="none" w:sz="0" w:space="0" w:color="auto"/>
        <w:right w:val="none" w:sz="0" w:space="0" w:color="auto"/>
      </w:divBdr>
    </w:div>
    <w:div w:id="2058159424">
      <w:bodyDiv w:val="1"/>
      <w:marLeft w:val="0"/>
      <w:marRight w:val="0"/>
      <w:marTop w:val="0"/>
      <w:marBottom w:val="0"/>
      <w:divBdr>
        <w:top w:val="none" w:sz="0" w:space="0" w:color="auto"/>
        <w:left w:val="none" w:sz="0" w:space="0" w:color="auto"/>
        <w:bottom w:val="none" w:sz="0" w:space="0" w:color="auto"/>
        <w:right w:val="none" w:sz="0" w:space="0" w:color="auto"/>
      </w:divBdr>
    </w:div>
    <w:div w:id="2060740035">
      <w:bodyDiv w:val="1"/>
      <w:marLeft w:val="0"/>
      <w:marRight w:val="0"/>
      <w:marTop w:val="0"/>
      <w:marBottom w:val="0"/>
      <w:divBdr>
        <w:top w:val="none" w:sz="0" w:space="0" w:color="auto"/>
        <w:left w:val="none" w:sz="0" w:space="0" w:color="auto"/>
        <w:bottom w:val="none" w:sz="0" w:space="0" w:color="auto"/>
        <w:right w:val="none" w:sz="0" w:space="0" w:color="auto"/>
      </w:divBdr>
    </w:div>
    <w:div w:id="2086955098">
      <w:bodyDiv w:val="1"/>
      <w:marLeft w:val="0"/>
      <w:marRight w:val="0"/>
      <w:marTop w:val="0"/>
      <w:marBottom w:val="0"/>
      <w:divBdr>
        <w:top w:val="none" w:sz="0" w:space="0" w:color="auto"/>
        <w:left w:val="none" w:sz="0" w:space="0" w:color="auto"/>
        <w:bottom w:val="none" w:sz="0" w:space="0" w:color="auto"/>
        <w:right w:val="none" w:sz="0" w:space="0" w:color="auto"/>
      </w:divBdr>
    </w:div>
    <w:div w:id="2092654781">
      <w:bodyDiv w:val="1"/>
      <w:marLeft w:val="0"/>
      <w:marRight w:val="0"/>
      <w:marTop w:val="0"/>
      <w:marBottom w:val="0"/>
      <w:divBdr>
        <w:top w:val="none" w:sz="0" w:space="0" w:color="auto"/>
        <w:left w:val="none" w:sz="0" w:space="0" w:color="auto"/>
        <w:bottom w:val="none" w:sz="0" w:space="0" w:color="auto"/>
        <w:right w:val="none" w:sz="0" w:space="0" w:color="auto"/>
      </w:divBdr>
    </w:div>
    <w:div w:id="2122990031">
      <w:bodyDiv w:val="1"/>
      <w:marLeft w:val="0"/>
      <w:marRight w:val="0"/>
      <w:marTop w:val="0"/>
      <w:marBottom w:val="0"/>
      <w:divBdr>
        <w:top w:val="none" w:sz="0" w:space="0" w:color="auto"/>
        <w:left w:val="none" w:sz="0" w:space="0" w:color="auto"/>
        <w:bottom w:val="none" w:sz="0" w:space="0" w:color="auto"/>
        <w:right w:val="none" w:sz="0" w:space="0" w:color="auto"/>
      </w:divBdr>
    </w:div>
    <w:div w:id="2122991776">
      <w:bodyDiv w:val="1"/>
      <w:marLeft w:val="0"/>
      <w:marRight w:val="0"/>
      <w:marTop w:val="0"/>
      <w:marBottom w:val="0"/>
      <w:divBdr>
        <w:top w:val="none" w:sz="0" w:space="0" w:color="auto"/>
        <w:left w:val="none" w:sz="0" w:space="0" w:color="auto"/>
        <w:bottom w:val="none" w:sz="0" w:space="0" w:color="auto"/>
        <w:right w:val="none" w:sz="0" w:space="0" w:color="auto"/>
      </w:divBdr>
    </w:div>
    <w:div w:id="2124691063">
      <w:bodyDiv w:val="1"/>
      <w:marLeft w:val="0"/>
      <w:marRight w:val="0"/>
      <w:marTop w:val="0"/>
      <w:marBottom w:val="0"/>
      <w:divBdr>
        <w:top w:val="none" w:sz="0" w:space="0" w:color="auto"/>
        <w:left w:val="none" w:sz="0" w:space="0" w:color="auto"/>
        <w:bottom w:val="none" w:sz="0" w:space="0" w:color="auto"/>
        <w:right w:val="none" w:sz="0" w:space="0" w:color="auto"/>
      </w:divBdr>
    </w:div>
    <w:div w:id="2130001683">
      <w:bodyDiv w:val="1"/>
      <w:marLeft w:val="0"/>
      <w:marRight w:val="0"/>
      <w:marTop w:val="0"/>
      <w:marBottom w:val="0"/>
      <w:divBdr>
        <w:top w:val="none" w:sz="0" w:space="0" w:color="auto"/>
        <w:left w:val="none" w:sz="0" w:space="0" w:color="auto"/>
        <w:bottom w:val="none" w:sz="0" w:space="0" w:color="auto"/>
        <w:right w:val="none" w:sz="0" w:space="0" w:color="auto"/>
      </w:divBdr>
    </w:div>
    <w:div w:id="2133479235">
      <w:bodyDiv w:val="1"/>
      <w:marLeft w:val="0"/>
      <w:marRight w:val="0"/>
      <w:marTop w:val="0"/>
      <w:marBottom w:val="0"/>
      <w:divBdr>
        <w:top w:val="none" w:sz="0" w:space="0" w:color="auto"/>
        <w:left w:val="none" w:sz="0" w:space="0" w:color="auto"/>
        <w:bottom w:val="none" w:sz="0" w:space="0" w:color="auto"/>
        <w:right w:val="none" w:sz="0" w:space="0" w:color="auto"/>
      </w:divBdr>
    </w:div>
    <w:div w:id="2134788533">
      <w:bodyDiv w:val="1"/>
      <w:marLeft w:val="0"/>
      <w:marRight w:val="0"/>
      <w:marTop w:val="0"/>
      <w:marBottom w:val="0"/>
      <w:divBdr>
        <w:top w:val="none" w:sz="0" w:space="0" w:color="auto"/>
        <w:left w:val="none" w:sz="0" w:space="0" w:color="auto"/>
        <w:bottom w:val="none" w:sz="0" w:space="0" w:color="auto"/>
        <w:right w:val="none" w:sz="0" w:space="0" w:color="auto"/>
      </w:divBdr>
    </w:div>
    <w:div w:id="21460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linicalTrials.gov/show/NCT03222076" TargetMode="External"/><Relationship Id="rId4" Type="http://schemas.microsoft.com/office/2007/relationships/stylesWithEffects" Target="stylesWithEffects.xml"/><Relationship Id="rId9" Type="http://schemas.openxmlformats.org/officeDocument/2006/relationships/hyperlink" Target="https://www.fda.gov/drugs/resources-information-approved-drugs/fda-approves-ramucirumab-hepatocellular-carcin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D0EC-B2F6-446B-8D09-F85BAD19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63</Pages>
  <Words>13983</Words>
  <Characters>79708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dc:creator>
  <cp:keywords/>
  <dc:description/>
  <cp:lastModifiedBy>马玉杰</cp:lastModifiedBy>
  <cp:revision>6</cp:revision>
  <dcterms:created xsi:type="dcterms:W3CDTF">2020-06-25T04:25:00Z</dcterms:created>
  <dcterms:modified xsi:type="dcterms:W3CDTF">2020-07-07T01:38:00Z</dcterms:modified>
</cp:coreProperties>
</file>