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9D8" w:rsidRPr="00815B74" w:rsidRDefault="00D059D8">
      <w:pPr>
        <w:adjustRightInd w:val="0"/>
        <w:snapToGrid w:val="0"/>
        <w:spacing w:line="360" w:lineRule="auto"/>
        <w:jc w:val="both"/>
        <w:rPr>
          <w:rFonts w:ascii="Book Antiqua" w:hAnsi="Book Antiqua"/>
          <w:b/>
          <w:color w:val="000000"/>
        </w:rPr>
      </w:pPr>
      <w:bookmarkStart w:id="0" w:name="OLE_LINK72"/>
      <w:r w:rsidRPr="00815B74">
        <w:rPr>
          <w:rFonts w:ascii="Book Antiqua" w:hAnsi="Book Antiqua"/>
          <w:b/>
          <w:color w:val="000000"/>
        </w:rPr>
        <w:t xml:space="preserve">Name of Journal: </w:t>
      </w:r>
      <w:r w:rsidRPr="00815B74">
        <w:rPr>
          <w:rFonts w:ascii="Book Antiqua" w:hAnsi="Book Antiqua"/>
          <w:i/>
          <w:color w:val="000000"/>
        </w:rPr>
        <w:t>World Journal of Gastroenterology</w:t>
      </w:r>
    </w:p>
    <w:p w:rsidR="00D059D8" w:rsidRPr="00815B74" w:rsidRDefault="00D059D8">
      <w:pPr>
        <w:adjustRightInd w:val="0"/>
        <w:snapToGrid w:val="0"/>
        <w:spacing w:line="360" w:lineRule="auto"/>
        <w:jc w:val="both"/>
        <w:rPr>
          <w:rFonts w:ascii="Book Antiqua" w:hAnsi="Book Antiqua"/>
          <w:b/>
          <w:color w:val="000000"/>
        </w:rPr>
      </w:pPr>
      <w:r w:rsidRPr="00815B74">
        <w:rPr>
          <w:rFonts w:ascii="Book Antiqua" w:hAnsi="Book Antiqua"/>
          <w:b/>
          <w:color w:val="000000"/>
        </w:rPr>
        <w:t xml:space="preserve">Manuscript NO: </w:t>
      </w:r>
      <w:r w:rsidRPr="00815B74">
        <w:rPr>
          <w:rFonts w:ascii="Book Antiqua" w:hAnsi="Book Antiqua"/>
          <w:color w:val="000000"/>
        </w:rPr>
        <w:t>54532</w:t>
      </w:r>
    </w:p>
    <w:p w:rsidR="00D059D8" w:rsidRPr="00815B74" w:rsidRDefault="00D059D8">
      <w:pPr>
        <w:adjustRightInd w:val="0"/>
        <w:snapToGrid w:val="0"/>
        <w:spacing w:line="360" w:lineRule="auto"/>
        <w:jc w:val="both"/>
        <w:rPr>
          <w:rFonts w:ascii="Book Antiqua" w:hAnsi="Book Antiqua"/>
          <w:b/>
          <w:color w:val="000000"/>
        </w:rPr>
      </w:pPr>
      <w:r w:rsidRPr="00815B74">
        <w:rPr>
          <w:rFonts w:ascii="Book Antiqua" w:hAnsi="Book Antiqua"/>
          <w:b/>
          <w:color w:val="000000"/>
        </w:rPr>
        <w:t xml:space="preserve">Manuscript Type: </w:t>
      </w:r>
      <w:r w:rsidRPr="00815B74">
        <w:rPr>
          <w:rFonts w:ascii="Book Antiqua" w:hAnsi="Book Antiqua"/>
          <w:color w:val="000000"/>
        </w:rPr>
        <w:t>ORIGINAL ARTICLE</w:t>
      </w:r>
    </w:p>
    <w:p w:rsidR="00D059D8" w:rsidRPr="00815B74" w:rsidRDefault="00D059D8" w:rsidP="0083319D">
      <w:pPr>
        <w:adjustRightInd w:val="0"/>
        <w:snapToGrid w:val="0"/>
        <w:spacing w:line="360" w:lineRule="auto"/>
        <w:rPr>
          <w:rFonts w:ascii="Book Antiqua" w:hAnsi="Book Antiqua"/>
          <w:b/>
          <w:i/>
          <w:iCs/>
          <w:color w:val="000000"/>
        </w:rPr>
      </w:pPr>
    </w:p>
    <w:p w:rsidR="00D059D8" w:rsidRPr="00815B74" w:rsidRDefault="00D059D8">
      <w:pPr>
        <w:adjustRightInd w:val="0"/>
        <w:snapToGrid w:val="0"/>
        <w:spacing w:line="360" w:lineRule="auto"/>
        <w:jc w:val="both"/>
        <w:rPr>
          <w:rFonts w:ascii="Book Antiqua" w:hAnsi="Book Antiqua"/>
          <w:b/>
          <w:i/>
          <w:iCs/>
          <w:color w:val="000000"/>
        </w:rPr>
      </w:pPr>
      <w:r w:rsidRPr="00815B74">
        <w:rPr>
          <w:rFonts w:ascii="Book Antiqua" w:hAnsi="Book Antiqua"/>
          <w:b/>
          <w:i/>
          <w:iCs/>
          <w:color w:val="000000"/>
        </w:rPr>
        <w:t>Basic Study</w:t>
      </w:r>
    </w:p>
    <w:p w:rsidR="00D059D8" w:rsidRPr="00815B74" w:rsidRDefault="00D059D8">
      <w:pPr>
        <w:adjustRightInd w:val="0"/>
        <w:snapToGrid w:val="0"/>
        <w:spacing w:line="360" w:lineRule="auto"/>
        <w:jc w:val="both"/>
        <w:rPr>
          <w:rFonts w:ascii="Book Antiqua" w:hAnsi="Book Antiqua"/>
          <w:b/>
          <w:color w:val="000000"/>
        </w:rPr>
      </w:pPr>
      <w:bookmarkStart w:id="1" w:name="OLE_LINK24"/>
      <w:bookmarkStart w:id="2" w:name="OLE_LINK25"/>
      <w:r w:rsidRPr="00815B74">
        <w:rPr>
          <w:rFonts w:ascii="Book Antiqua" w:hAnsi="Book Antiqua"/>
          <w:b/>
          <w:color w:val="000000"/>
        </w:rPr>
        <w:t xml:space="preserve">TBL1XR1 induces cell proliferation and inhibit cell apoptosis by </w:t>
      </w:r>
      <w:r w:rsidRPr="00815B74">
        <w:rPr>
          <w:rFonts w:ascii="Book Antiqua" w:hAnsi="Book Antiqua" w:hint="eastAsia"/>
          <w:b/>
          <w:color w:val="000000"/>
        </w:rPr>
        <w:t xml:space="preserve">the </w:t>
      </w:r>
      <w:r w:rsidRPr="00815B74">
        <w:rPr>
          <w:rFonts w:ascii="Book Antiqua" w:hAnsi="Book Antiqua"/>
          <w:b/>
          <w:color w:val="000000"/>
        </w:rPr>
        <w:t xml:space="preserve">PI3K/AKT pathway in </w:t>
      </w:r>
      <w:bookmarkStart w:id="3" w:name="OLE_LINK6"/>
      <w:bookmarkStart w:id="4" w:name="OLE_LINK9"/>
      <w:r w:rsidRPr="00815B74">
        <w:rPr>
          <w:rFonts w:ascii="Book Antiqua" w:hAnsi="Book Antiqua"/>
          <w:b/>
          <w:color w:val="000000"/>
        </w:rPr>
        <w:t xml:space="preserve">pancreatic </w:t>
      </w:r>
      <w:bookmarkEnd w:id="0"/>
      <w:r w:rsidRPr="00815B74">
        <w:rPr>
          <w:rFonts w:ascii="Book Antiqua" w:hAnsi="Book Antiqua"/>
          <w:b/>
          <w:color w:val="000000"/>
        </w:rPr>
        <w:t>ductal adenocarcinoma</w:t>
      </w:r>
      <w:bookmarkEnd w:id="3"/>
      <w:bookmarkEnd w:id="4"/>
    </w:p>
    <w:p w:rsidR="00D059D8" w:rsidRPr="00815B74" w:rsidRDefault="00D059D8">
      <w:pPr>
        <w:adjustRightInd w:val="0"/>
        <w:snapToGrid w:val="0"/>
        <w:spacing w:line="360" w:lineRule="auto"/>
        <w:jc w:val="both"/>
        <w:rPr>
          <w:rFonts w:ascii="Book Antiqua" w:hAnsi="Book Antiqua"/>
          <w:b/>
          <w:color w:val="000000"/>
        </w:rPr>
      </w:pPr>
      <w:bookmarkStart w:id="5" w:name="OLE_LINK19"/>
      <w:bookmarkStart w:id="6" w:name="OLE_LINK73"/>
      <w:bookmarkEnd w:id="1"/>
      <w:bookmarkEnd w:id="2"/>
    </w:p>
    <w:p w:rsidR="00D059D8" w:rsidRPr="00815B74" w:rsidRDefault="00D059D8">
      <w:pPr>
        <w:adjustRightInd w:val="0"/>
        <w:snapToGrid w:val="0"/>
        <w:spacing w:line="360" w:lineRule="auto"/>
        <w:jc w:val="both"/>
        <w:rPr>
          <w:rFonts w:ascii="Book Antiqua" w:hAnsi="Book Antiqua"/>
          <w:color w:val="000000"/>
        </w:rPr>
      </w:pPr>
      <w:proofErr w:type="spellStart"/>
      <w:r w:rsidRPr="00815B74">
        <w:rPr>
          <w:rFonts w:ascii="Book Antiqua" w:hAnsi="Book Antiqua"/>
          <w:color w:val="000000"/>
        </w:rPr>
        <w:t>Gu</w:t>
      </w:r>
      <w:proofErr w:type="spellEnd"/>
      <w:r w:rsidRPr="00815B74">
        <w:rPr>
          <w:rFonts w:ascii="Book Antiqua" w:hAnsi="Book Antiqua"/>
          <w:color w:val="000000"/>
        </w:rPr>
        <w:t xml:space="preserve"> JF </w:t>
      </w:r>
      <w:proofErr w:type="gramStart"/>
      <w:r w:rsidRPr="00815B74">
        <w:rPr>
          <w:rFonts w:ascii="Book Antiqua" w:hAnsi="Book Antiqua"/>
          <w:i/>
          <w:iCs/>
          <w:color w:val="000000"/>
        </w:rPr>
        <w:t>et al</w:t>
      </w:r>
      <w:proofErr w:type="gramEnd"/>
      <w:r w:rsidRPr="00815B74">
        <w:rPr>
          <w:rFonts w:ascii="Book Antiqua" w:hAnsi="Book Antiqua"/>
          <w:color w:val="000000"/>
        </w:rPr>
        <w:t xml:space="preserve">. </w:t>
      </w:r>
      <w:bookmarkStart w:id="7" w:name="OLE_LINK1"/>
      <w:bookmarkStart w:id="8" w:name="OLE_LINK2"/>
      <w:r w:rsidRPr="00815B74">
        <w:rPr>
          <w:rFonts w:ascii="Book Antiqua" w:hAnsi="Book Antiqua"/>
          <w:color w:val="000000"/>
        </w:rPr>
        <w:t>Role and mechanism of TBL1XR1 in P</w:t>
      </w:r>
      <w:bookmarkEnd w:id="7"/>
      <w:bookmarkEnd w:id="8"/>
      <w:r w:rsidRPr="00815B74">
        <w:rPr>
          <w:rFonts w:ascii="Book Antiqua" w:hAnsi="Book Antiqua"/>
          <w:color w:val="000000"/>
        </w:rPr>
        <w:t>DAC</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bookmarkStart w:id="9" w:name="OLE_LINK22"/>
      <w:bookmarkStart w:id="10" w:name="OLE_LINK23"/>
      <w:r w:rsidRPr="00815B74">
        <w:rPr>
          <w:rFonts w:ascii="Book Antiqua" w:hAnsi="Book Antiqua"/>
          <w:color w:val="000000"/>
        </w:rPr>
        <w:t xml:space="preserve">Jian-Feng </w:t>
      </w:r>
      <w:proofErr w:type="spellStart"/>
      <w:r w:rsidRPr="00815B74">
        <w:rPr>
          <w:rFonts w:ascii="Book Antiqua" w:hAnsi="Book Antiqua"/>
          <w:color w:val="000000"/>
        </w:rPr>
        <w:t>Gu</w:t>
      </w:r>
      <w:proofErr w:type="spellEnd"/>
      <w:r w:rsidRPr="00815B74">
        <w:rPr>
          <w:rFonts w:ascii="Book Antiqua" w:hAnsi="Book Antiqua"/>
          <w:color w:val="000000"/>
        </w:rPr>
        <w:t>, Wei Fu, Hai-Xin Qian, Wen-</w:t>
      </w:r>
      <w:proofErr w:type="spellStart"/>
      <w:r w:rsidRPr="00815B74">
        <w:rPr>
          <w:rFonts w:ascii="Book Antiqua" w:hAnsi="Book Antiqua"/>
          <w:color w:val="000000"/>
        </w:rPr>
        <w:t>Xiu</w:t>
      </w:r>
      <w:proofErr w:type="spellEnd"/>
      <w:r w:rsidRPr="00815B74">
        <w:rPr>
          <w:rFonts w:ascii="Book Antiqua" w:hAnsi="Book Antiqua"/>
          <w:color w:val="000000"/>
        </w:rPr>
        <w:t xml:space="preserve"> </w:t>
      </w:r>
      <w:proofErr w:type="spellStart"/>
      <w:r w:rsidRPr="00815B74">
        <w:rPr>
          <w:rFonts w:ascii="Book Antiqua" w:hAnsi="Book Antiqua"/>
          <w:color w:val="000000"/>
        </w:rPr>
        <w:t>Gu</w:t>
      </w:r>
      <w:proofErr w:type="spellEnd"/>
      <w:r w:rsidRPr="00815B74">
        <w:rPr>
          <w:rFonts w:ascii="Book Antiqua" w:hAnsi="Book Antiqua"/>
          <w:color w:val="000000"/>
        </w:rPr>
        <w:t xml:space="preserve">, Yang </w:t>
      </w:r>
      <w:proofErr w:type="spellStart"/>
      <w:r w:rsidRPr="00815B74">
        <w:rPr>
          <w:rFonts w:ascii="Book Antiqua" w:hAnsi="Book Antiqua"/>
          <w:color w:val="000000"/>
        </w:rPr>
        <w:t>Zong</w:t>
      </w:r>
      <w:proofErr w:type="spellEnd"/>
      <w:r w:rsidRPr="00815B74">
        <w:rPr>
          <w:rFonts w:ascii="Book Antiqua" w:hAnsi="Book Antiqua"/>
          <w:color w:val="000000"/>
        </w:rPr>
        <w:t>, Qian Chen, Long Lu</w:t>
      </w:r>
      <w:bookmarkEnd w:id="9"/>
      <w:bookmarkEnd w:id="10"/>
    </w:p>
    <w:p w:rsidR="00D059D8" w:rsidRPr="00815B74" w:rsidRDefault="00D059D8">
      <w:pPr>
        <w:autoSpaceDE w:val="0"/>
        <w:autoSpaceDN w:val="0"/>
        <w:adjustRightInd w:val="0"/>
        <w:snapToGrid w:val="0"/>
        <w:spacing w:line="360" w:lineRule="auto"/>
        <w:jc w:val="both"/>
        <w:rPr>
          <w:rFonts w:ascii="Book Antiqua" w:hAnsi="Book Antiqua"/>
          <w:color w:val="000000"/>
        </w:rPr>
      </w:pPr>
      <w:bookmarkStart w:id="11" w:name="OLE_LINK64"/>
    </w:p>
    <w:bookmarkEnd w:id="11"/>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Jian-Feng </w:t>
      </w:r>
      <w:proofErr w:type="spellStart"/>
      <w:r w:rsidRPr="00815B74">
        <w:rPr>
          <w:rFonts w:ascii="Book Antiqua" w:hAnsi="Book Antiqua"/>
          <w:b/>
          <w:bCs/>
          <w:color w:val="000000"/>
        </w:rPr>
        <w:t>Gu</w:t>
      </w:r>
      <w:proofErr w:type="spellEnd"/>
      <w:r w:rsidRPr="00815B74">
        <w:rPr>
          <w:rFonts w:ascii="Book Antiqua" w:hAnsi="Book Antiqua"/>
          <w:b/>
          <w:bCs/>
          <w:color w:val="000000"/>
        </w:rPr>
        <w:t>, Wen-</w:t>
      </w:r>
      <w:proofErr w:type="spellStart"/>
      <w:r w:rsidRPr="00815B74">
        <w:rPr>
          <w:rFonts w:ascii="Book Antiqua" w:hAnsi="Book Antiqua"/>
          <w:b/>
          <w:bCs/>
          <w:color w:val="000000"/>
        </w:rPr>
        <w:t>Xiu</w:t>
      </w:r>
      <w:proofErr w:type="spellEnd"/>
      <w:r w:rsidRPr="00815B74">
        <w:rPr>
          <w:rFonts w:ascii="Book Antiqua" w:hAnsi="Book Antiqua"/>
          <w:b/>
          <w:bCs/>
          <w:color w:val="000000"/>
        </w:rPr>
        <w:t xml:space="preserve"> </w:t>
      </w:r>
      <w:proofErr w:type="spellStart"/>
      <w:r w:rsidRPr="00815B74">
        <w:rPr>
          <w:rFonts w:ascii="Book Antiqua" w:hAnsi="Book Antiqua"/>
          <w:b/>
          <w:bCs/>
          <w:color w:val="000000"/>
        </w:rPr>
        <w:t>Gu</w:t>
      </w:r>
      <w:proofErr w:type="spellEnd"/>
      <w:r w:rsidRPr="00815B74">
        <w:rPr>
          <w:rFonts w:ascii="Book Antiqua" w:hAnsi="Book Antiqua"/>
          <w:b/>
          <w:bCs/>
          <w:color w:val="000000"/>
        </w:rPr>
        <w:t xml:space="preserve">, Yang </w:t>
      </w:r>
      <w:proofErr w:type="spellStart"/>
      <w:r w:rsidRPr="00815B74">
        <w:rPr>
          <w:rFonts w:ascii="Book Antiqua" w:hAnsi="Book Antiqua"/>
          <w:b/>
          <w:bCs/>
          <w:color w:val="000000"/>
        </w:rPr>
        <w:t>Zong</w:t>
      </w:r>
      <w:proofErr w:type="spellEnd"/>
      <w:r w:rsidRPr="00815B74">
        <w:rPr>
          <w:rFonts w:ascii="Book Antiqua" w:hAnsi="Book Antiqua"/>
          <w:b/>
          <w:bCs/>
          <w:color w:val="000000"/>
        </w:rPr>
        <w:t xml:space="preserve">, </w:t>
      </w:r>
      <w:proofErr w:type="spellStart"/>
      <w:r w:rsidRPr="00815B74">
        <w:rPr>
          <w:rFonts w:ascii="Book Antiqua" w:hAnsi="Book Antiqua" w:hint="eastAsia"/>
          <w:b/>
          <w:bCs/>
          <w:color w:val="000000"/>
          <w:u w:val="single"/>
        </w:rPr>
        <w:t>Qiao</w:t>
      </w:r>
      <w:proofErr w:type="spellEnd"/>
      <w:r w:rsidRPr="00815B74">
        <w:rPr>
          <w:rFonts w:ascii="Book Antiqua" w:hAnsi="Book Antiqua" w:hint="eastAsia"/>
          <w:b/>
          <w:bCs/>
          <w:color w:val="000000"/>
          <w:u w:val="single"/>
        </w:rPr>
        <w:t xml:space="preserve"> Chen</w:t>
      </w:r>
      <w:r w:rsidRPr="00815B74">
        <w:rPr>
          <w:rFonts w:ascii="Book Antiqua" w:hAnsi="Book Antiqua"/>
          <w:b/>
          <w:bCs/>
          <w:color w:val="000000"/>
        </w:rPr>
        <w:t>,</w:t>
      </w:r>
      <w:r w:rsidRPr="00815B74">
        <w:rPr>
          <w:rFonts w:ascii="Book Antiqua" w:hAnsi="Book Antiqua" w:hint="eastAsia"/>
          <w:b/>
          <w:bCs/>
          <w:color w:val="000000"/>
        </w:rPr>
        <w:t xml:space="preserve"> </w:t>
      </w:r>
      <w:bookmarkStart w:id="12" w:name="OLE_LINK81"/>
      <w:bookmarkStart w:id="13" w:name="OLE_LINK84"/>
      <w:r w:rsidRPr="00815B74">
        <w:rPr>
          <w:rFonts w:ascii="Book Antiqua" w:hAnsi="Book Antiqua"/>
          <w:color w:val="000000"/>
        </w:rPr>
        <w:t>Department of General Surgery</w:t>
      </w:r>
      <w:bookmarkEnd w:id="12"/>
      <w:r w:rsidRPr="00815B74">
        <w:rPr>
          <w:rFonts w:ascii="Book Antiqua" w:hAnsi="Book Antiqua"/>
          <w:color w:val="000000"/>
        </w:rPr>
        <w:t xml:space="preserve">, </w:t>
      </w:r>
      <w:bookmarkStart w:id="14" w:name="OLE_LINK78"/>
      <w:r w:rsidRPr="00815B74">
        <w:rPr>
          <w:rFonts w:ascii="Book Antiqua" w:hAnsi="Book Antiqua"/>
          <w:color w:val="000000"/>
        </w:rPr>
        <w:t>Changshu No.</w:t>
      </w:r>
      <w:r w:rsidRPr="00815B74">
        <w:rPr>
          <w:rFonts w:ascii="Book Antiqua" w:hAnsi="Book Antiqua" w:hint="eastAsia"/>
          <w:color w:val="000000"/>
        </w:rPr>
        <w:t xml:space="preserve"> </w:t>
      </w:r>
      <w:r w:rsidRPr="00815B74">
        <w:rPr>
          <w:rFonts w:ascii="Book Antiqua" w:hAnsi="Book Antiqua"/>
          <w:color w:val="000000"/>
        </w:rPr>
        <w:t>1 People’s Hospital Affiliated to Soochow University</w:t>
      </w:r>
      <w:bookmarkEnd w:id="13"/>
      <w:bookmarkEnd w:id="14"/>
      <w:r w:rsidRPr="00815B74">
        <w:rPr>
          <w:rFonts w:ascii="Book Antiqua" w:hAnsi="Book Antiqua"/>
          <w:color w:val="000000"/>
        </w:rPr>
        <w:t xml:space="preserve">, Changshu 215500, Jiangsu </w:t>
      </w:r>
      <w:bookmarkStart w:id="15" w:name="OLE_LINK34"/>
      <w:bookmarkStart w:id="16" w:name="OLE_LINK35"/>
      <w:r w:rsidRPr="00815B74">
        <w:rPr>
          <w:rFonts w:ascii="Book Antiqua" w:hAnsi="Book Antiqua"/>
          <w:color w:val="000000"/>
        </w:rPr>
        <w:t>Province</w:t>
      </w:r>
      <w:bookmarkEnd w:id="15"/>
      <w:bookmarkEnd w:id="16"/>
      <w:r w:rsidRPr="00815B74">
        <w:rPr>
          <w:rFonts w:ascii="Book Antiqua" w:hAnsi="Book Antiqua"/>
          <w:color w:val="000000"/>
        </w:rPr>
        <w:t>, China</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Wei Fu,</w:t>
      </w:r>
      <w:r w:rsidR="00CC3DB6" w:rsidRPr="00815B74">
        <w:rPr>
          <w:rFonts w:ascii="Book Antiqua" w:hAnsi="Book Antiqua" w:hint="eastAsia"/>
          <w:b/>
          <w:bCs/>
          <w:color w:val="000000"/>
        </w:rPr>
        <w:t xml:space="preserve"> </w:t>
      </w:r>
      <w:bookmarkStart w:id="17" w:name="OLE_LINK87"/>
      <w:bookmarkStart w:id="18" w:name="OLE_LINK88"/>
      <w:r w:rsidRPr="00815B74">
        <w:rPr>
          <w:rFonts w:ascii="Book Antiqua" w:hAnsi="Book Antiqua" w:hint="eastAsia"/>
          <w:b/>
          <w:color w:val="000000"/>
        </w:rPr>
        <w:t>Hong Lu</w:t>
      </w:r>
      <w:r w:rsidR="00CC3DB6" w:rsidRPr="00815B74">
        <w:rPr>
          <w:rFonts w:ascii="Book Antiqua" w:hAnsi="Book Antiqua" w:hint="eastAsia"/>
          <w:b/>
          <w:color w:val="000000"/>
        </w:rPr>
        <w:t>,</w:t>
      </w:r>
      <w:r w:rsidRPr="00815B74">
        <w:rPr>
          <w:rFonts w:ascii="Book Antiqua" w:hAnsi="Book Antiqua"/>
          <w:b/>
          <w:color w:val="000000"/>
        </w:rPr>
        <w:t xml:space="preserve"> </w:t>
      </w:r>
      <w:r w:rsidRPr="00815B74">
        <w:rPr>
          <w:rFonts w:ascii="Book Antiqua" w:hAnsi="Book Antiqua"/>
          <w:color w:val="000000"/>
        </w:rPr>
        <w:t xml:space="preserve">Department of </w:t>
      </w:r>
      <w:r w:rsidRPr="00815B74">
        <w:rPr>
          <w:rFonts w:ascii="Book Antiqua" w:hAnsi="Book Antiqua" w:hint="eastAsia"/>
          <w:color w:val="000000"/>
        </w:rPr>
        <w:t>O</w:t>
      </w:r>
      <w:r w:rsidRPr="00815B74">
        <w:rPr>
          <w:rFonts w:ascii="Book Antiqua" w:hAnsi="Book Antiqua"/>
          <w:color w:val="000000"/>
        </w:rPr>
        <w:t>ncology, Changshu N</w:t>
      </w:r>
      <w:r w:rsidRPr="00815B74">
        <w:rPr>
          <w:rFonts w:ascii="Book Antiqua" w:hAnsi="Book Antiqua" w:hint="eastAsia"/>
          <w:color w:val="000000"/>
        </w:rPr>
        <w:t>o</w:t>
      </w:r>
      <w:r w:rsidRPr="00815B74">
        <w:rPr>
          <w:rFonts w:ascii="Book Antiqua" w:hAnsi="Book Antiqua"/>
          <w:color w:val="000000"/>
        </w:rPr>
        <w:t>.</w:t>
      </w:r>
      <w:r w:rsidRPr="00815B74">
        <w:rPr>
          <w:rFonts w:ascii="Book Antiqua" w:hAnsi="Book Antiqua" w:hint="eastAsia"/>
          <w:color w:val="000000"/>
        </w:rPr>
        <w:t xml:space="preserve"> </w:t>
      </w:r>
      <w:r w:rsidRPr="00815B74">
        <w:rPr>
          <w:rFonts w:ascii="Book Antiqua" w:hAnsi="Book Antiqua"/>
          <w:color w:val="000000"/>
        </w:rPr>
        <w:t>1 People’s Hospital Affiliated to Soochow University</w:t>
      </w:r>
      <w:bookmarkEnd w:id="17"/>
      <w:bookmarkEnd w:id="18"/>
      <w:r w:rsidRPr="00815B74">
        <w:rPr>
          <w:rFonts w:ascii="Book Antiqua" w:hAnsi="Book Antiqua"/>
          <w:color w:val="000000"/>
        </w:rPr>
        <w:t>, Changshu 215500, Jiangsu Province, China</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Hai-Xin Qian, </w:t>
      </w:r>
      <w:r w:rsidRPr="00815B74">
        <w:rPr>
          <w:rFonts w:ascii="Book Antiqua" w:hAnsi="Book Antiqua"/>
          <w:color w:val="000000"/>
        </w:rPr>
        <w:t xml:space="preserve">Department of General Surgery, </w:t>
      </w:r>
      <w:bookmarkStart w:id="19" w:name="OLE_LINK77"/>
      <w:r w:rsidRPr="00815B74">
        <w:rPr>
          <w:rFonts w:ascii="Book Antiqua" w:hAnsi="Book Antiqua"/>
          <w:color w:val="000000"/>
        </w:rPr>
        <w:t>the First Affiliated Hospital of Soochow University</w:t>
      </w:r>
      <w:bookmarkEnd w:id="19"/>
      <w:r w:rsidRPr="00815B74">
        <w:rPr>
          <w:rFonts w:ascii="Book Antiqua" w:hAnsi="Book Antiqua"/>
          <w:color w:val="000000"/>
        </w:rPr>
        <w:t xml:space="preserve">, Suzhou </w:t>
      </w:r>
      <w:r w:rsidRPr="00815B74">
        <w:rPr>
          <w:rFonts w:ascii="Book Antiqua" w:hAnsi="Book Antiqua" w:cs="Helvetica"/>
        </w:rPr>
        <w:t>215006</w:t>
      </w:r>
      <w:r w:rsidRPr="00815B74">
        <w:rPr>
          <w:rFonts w:ascii="Book Antiqua" w:hAnsi="Book Antiqua"/>
          <w:color w:val="000000"/>
        </w:rPr>
        <w:t>, Jiangsu Province, China</w:t>
      </w:r>
    </w:p>
    <w:p w:rsidR="00D059D8" w:rsidRPr="00815B74" w:rsidRDefault="00D059D8">
      <w:pPr>
        <w:adjustRightInd w:val="0"/>
        <w:snapToGrid w:val="0"/>
        <w:spacing w:line="360" w:lineRule="auto"/>
        <w:jc w:val="both"/>
        <w:rPr>
          <w:rFonts w:ascii="Book Antiqua" w:hAnsi="Book Antiqua"/>
          <w:b/>
          <w:bCs/>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Author contributions:</w:t>
      </w:r>
      <w:bookmarkStart w:id="20" w:name="OLE_LINK7"/>
      <w:bookmarkStart w:id="21" w:name="OLE_LINK8"/>
      <w:r w:rsidRPr="00815B74">
        <w:rPr>
          <w:rFonts w:ascii="Book Antiqua" w:hAnsi="Book Antiqua"/>
          <w:color w:val="000000"/>
        </w:rPr>
        <w:t xml:space="preserve"> </w:t>
      </w:r>
      <w:proofErr w:type="spellStart"/>
      <w:proofErr w:type="gramStart"/>
      <w:r w:rsidRPr="00815B74">
        <w:rPr>
          <w:rFonts w:ascii="Book Antiqua" w:hAnsi="Book Antiqua"/>
          <w:color w:val="000000"/>
        </w:rPr>
        <w:t>Gu</w:t>
      </w:r>
      <w:proofErr w:type="spellEnd"/>
      <w:proofErr w:type="gramEnd"/>
      <w:r w:rsidRPr="00815B74">
        <w:rPr>
          <w:rFonts w:ascii="Book Antiqua" w:hAnsi="Book Antiqua"/>
          <w:color w:val="000000"/>
        </w:rPr>
        <w:t xml:space="preserve"> JF and Fu W contributed equally</w:t>
      </w:r>
      <w:r w:rsidRPr="00815B74">
        <w:rPr>
          <w:rFonts w:ascii="Book Antiqua" w:hAnsi="Book Antiqua" w:hint="eastAsia"/>
          <w:color w:val="000000"/>
        </w:rPr>
        <w:t xml:space="preserve"> to </w:t>
      </w:r>
      <w:r w:rsidRPr="00815B74">
        <w:rPr>
          <w:rFonts w:ascii="Book Antiqua" w:hAnsi="Book Antiqua"/>
          <w:color w:val="000000"/>
        </w:rPr>
        <w:t>this</w:t>
      </w:r>
      <w:r w:rsidRPr="00815B74">
        <w:rPr>
          <w:rFonts w:ascii="Book Antiqua" w:hAnsi="Book Antiqua" w:hint="eastAsia"/>
          <w:color w:val="000000"/>
        </w:rPr>
        <w:t xml:space="preserve"> work</w:t>
      </w:r>
      <w:r w:rsidRPr="00815B74">
        <w:rPr>
          <w:rFonts w:ascii="Book Antiqua" w:hAnsi="Book Antiqua"/>
          <w:color w:val="000000"/>
        </w:rPr>
        <w:t>.</w:t>
      </w:r>
      <w:r w:rsidRPr="00815B74">
        <w:rPr>
          <w:rStyle w:val="fontstyle21"/>
        </w:rPr>
        <w:t xml:space="preserve"> </w:t>
      </w:r>
      <w:bookmarkEnd w:id="20"/>
      <w:bookmarkEnd w:id="21"/>
      <w:proofErr w:type="spellStart"/>
      <w:r w:rsidRPr="00815B74">
        <w:rPr>
          <w:rStyle w:val="fontstyle21"/>
          <w:rFonts w:hint="eastAsia"/>
        </w:rPr>
        <w:t>G</w:t>
      </w:r>
      <w:r w:rsidRPr="00815B74">
        <w:rPr>
          <w:rStyle w:val="fontstyle21"/>
        </w:rPr>
        <w:t>u</w:t>
      </w:r>
      <w:proofErr w:type="spellEnd"/>
      <w:r w:rsidRPr="00815B74">
        <w:rPr>
          <w:rStyle w:val="fontstyle21"/>
        </w:rPr>
        <w:t xml:space="preserve"> JF was involved in study concept and design, </w:t>
      </w:r>
      <w:r w:rsidRPr="00815B74">
        <w:rPr>
          <w:rStyle w:val="fontstyle21"/>
          <w:rFonts w:hint="eastAsia"/>
        </w:rPr>
        <w:t xml:space="preserve">and </w:t>
      </w:r>
      <w:r w:rsidRPr="00815B74">
        <w:rPr>
          <w:rStyle w:val="fontstyle21"/>
        </w:rPr>
        <w:t>acquisition, analysis and interpretation of data, draft</w:t>
      </w:r>
      <w:r w:rsidRPr="00815B74">
        <w:rPr>
          <w:rStyle w:val="fontstyle21"/>
          <w:rFonts w:hint="eastAsia"/>
        </w:rPr>
        <w:t>ed</w:t>
      </w:r>
      <w:r w:rsidRPr="00815B74">
        <w:rPr>
          <w:rStyle w:val="fontstyle21"/>
        </w:rPr>
        <w:t xml:space="preserve"> manuscript, critically revised the manuscript for important intellectual content, </w:t>
      </w:r>
      <w:r w:rsidRPr="00815B74">
        <w:rPr>
          <w:rStyle w:val="fontstyle21"/>
          <w:rFonts w:hint="eastAsia"/>
        </w:rPr>
        <w:t xml:space="preserve">and provided </w:t>
      </w:r>
      <w:r w:rsidRPr="00815B74">
        <w:rPr>
          <w:rStyle w:val="fontstyle21"/>
        </w:rPr>
        <w:t xml:space="preserve">statistical analysis and </w:t>
      </w:r>
      <w:r w:rsidRPr="00815B74">
        <w:rPr>
          <w:rFonts w:ascii="Book Antiqua" w:hAnsi="Book Antiqua"/>
          <w:color w:val="000000"/>
        </w:rPr>
        <w:t xml:space="preserve">administrative, technical, or material support; Fu W </w:t>
      </w:r>
      <w:r w:rsidRPr="00815B74">
        <w:rPr>
          <w:rStyle w:val="fontstyle21"/>
        </w:rPr>
        <w:t>performed data acquisition and draft</w:t>
      </w:r>
      <w:r w:rsidRPr="00815B74">
        <w:rPr>
          <w:rStyle w:val="fontstyle21"/>
          <w:rFonts w:hint="eastAsia"/>
        </w:rPr>
        <w:t>ed</w:t>
      </w:r>
      <w:r w:rsidRPr="00815B74">
        <w:rPr>
          <w:rStyle w:val="fontstyle21"/>
        </w:rPr>
        <w:t xml:space="preserve"> manuscript; Qian HX participated in data analysis and interpretation; </w:t>
      </w:r>
      <w:proofErr w:type="spellStart"/>
      <w:r w:rsidRPr="00815B74">
        <w:rPr>
          <w:rStyle w:val="fontstyle21"/>
        </w:rPr>
        <w:t>Gu</w:t>
      </w:r>
      <w:proofErr w:type="spellEnd"/>
      <w:r w:rsidRPr="00815B74">
        <w:rPr>
          <w:rStyle w:val="fontstyle21"/>
        </w:rPr>
        <w:t xml:space="preserve"> WX was involved in the drafting of the manuscript;</w:t>
      </w:r>
      <w:r w:rsidRPr="00815B74">
        <w:rPr>
          <w:rStyle w:val="fontstyle21"/>
          <w:rFonts w:hint="eastAsia"/>
        </w:rPr>
        <w:t xml:space="preserve"> </w:t>
      </w:r>
      <w:proofErr w:type="spellStart"/>
      <w:r w:rsidRPr="00815B74">
        <w:rPr>
          <w:rStyle w:val="fontstyle21"/>
        </w:rPr>
        <w:lastRenderedPageBreak/>
        <w:t>Zong</w:t>
      </w:r>
      <w:proofErr w:type="spellEnd"/>
      <w:r w:rsidRPr="00815B74">
        <w:rPr>
          <w:rStyle w:val="fontstyle21"/>
        </w:rPr>
        <w:t xml:space="preserve"> Y was involved in critically revis</w:t>
      </w:r>
      <w:r w:rsidRPr="00815B74">
        <w:rPr>
          <w:rStyle w:val="fontstyle21"/>
          <w:rFonts w:hint="eastAsia"/>
        </w:rPr>
        <w:t>ing</w:t>
      </w:r>
      <w:r w:rsidRPr="00815B74">
        <w:rPr>
          <w:rStyle w:val="fontstyle21"/>
        </w:rPr>
        <w:t xml:space="preserve"> the manuscript for important intellectual content; </w:t>
      </w:r>
      <w:r w:rsidRPr="00815B74">
        <w:rPr>
          <w:rFonts w:ascii="Book Antiqua" w:hAnsi="Book Antiqua"/>
          <w:color w:val="000000"/>
        </w:rPr>
        <w:t xml:space="preserve">Chen Q and Lu L took part in the statistical analysis. </w:t>
      </w:r>
    </w:p>
    <w:p w:rsidR="00D059D8" w:rsidRPr="00815B74" w:rsidRDefault="00D059D8">
      <w:pPr>
        <w:adjustRightInd w:val="0"/>
        <w:snapToGrid w:val="0"/>
        <w:spacing w:line="360" w:lineRule="auto"/>
        <w:jc w:val="both"/>
        <w:rPr>
          <w:rStyle w:val="fontstyle21"/>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Corresponding author:</w:t>
      </w:r>
      <w:r w:rsidRPr="00815B74">
        <w:rPr>
          <w:rFonts w:ascii="Book Antiqua" w:hAnsi="Book Antiqua"/>
          <w:color w:val="000000"/>
        </w:rPr>
        <w:t xml:space="preserve"> </w:t>
      </w:r>
      <w:r w:rsidRPr="00815B74">
        <w:rPr>
          <w:rFonts w:ascii="Book Antiqua" w:hAnsi="Book Antiqua"/>
          <w:b/>
          <w:bCs/>
          <w:color w:val="000000"/>
        </w:rPr>
        <w:t xml:space="preserve">Jian-Feng </w:t>
      </w:r>
      <w:proofErr w:type="spellStart"/>
      <w:proofErr w:type="gramStart"/>
      <w:r w:rsidRPr="00815B74">
        <w:rPr>
          <w:rFonts w:ascii="Book Antiqua" w:hAnsi="Book Antiqua"/>
          <w:b/>
          <w:bCs/>
          <w:color w:val="000000"/>
        </w:rPr>
        <w:t>Gu</w:t>
      </w:r>
      <w:proofErr w:type="spellEnd"/>
      <w:proofErr w:type="gramEnd"/>
      <w:r w:rsidRPr="00815B74">
        <w:rPr>
          <w:rFonts w:ascii="Book Antiqua" w:hAnsi="Book Antiqua"/>
          <w:b/>
          <w:bCs/>
          <w:color w:val="000000"/>
        </w:rPr>
        <w:t xml:space="preserve">, MD, Doctor, </w:t>
      </w:r>
      <w:r w:rsidRPr="00815B74">
        <w:rPr>
          <w:rFonts w:ascii="Book Antiqua" w:hAnsi="Book Antiqua"/>
          <w:color w:val="000000"/>
        </w:rPr>
        <w:t>Department of General Surgery, Changshu N</w:t>
      </w:r>
      <w:r w:rsidRPr="00815B74">
        <w:rPr>
          <w:rFonts w:ascii="Book Antiqua" w:hAnsi="Book Antiqua" w:hint="eastAsia"/>
          <w:color w:val="000000"/>
        </w:rPr>
        <w:t>o</w:t>
      </w:r>
      <w:r w:rsidRPr="00815B74">
        <w:rPr>
          <w:rFonts w:ascii="Book Antiqua" w:hAnsi="Book Antiqua"/>
          <w:color w:val="000000"/>
        </w:rPr>
        <w:t>.</w:t>
      </w:r>
      <w:r w:rsidR="00CC3DB6" w:rsidRPr="00815B74">
        <w:rPr>
          <w:rFonts w:ascii="Book Antiqua" w:hAnsi="Book Antiqua" w:hint="eastAsia"/>
          <w:color w:val="000000"/>
        </w:rPr>
        <w:t xml:space="preserve"> </w:t>
      </w:r>
      <w:r w:rsidRPr="00815B74">
        <w:rPr>
          <w:rFonts w:ascii="Book Antiqua" w:hAnsi="Book Antiqua"/>
          <w:color w:val="000000"/>
        </w:rPr>
        <w:t xml:space="preserve">1 People’s Hospital Affiliated to Soochow University, </w:t>
      </w:r>
      <w:proofErr w:type="spellStart"/>
      <w:r w:rsidRPr="00815B74">
        <w:rPr>
          <w:rFonts w:ascii="Book Antiqua" w:hAnsi="Book Antiqua"/>
          <w:color w:val="000000"/>
        </w:rPr>
        <w:t>Yongjia</w:t>
      </w:r>
      <w:proofErr w:type="spellEnd"/>
      <w:r w:rsidRPr="00815B74">
        <w:rPr>
          <w:rFonts w:ascii="Book Antiqua" w:hAnsi="Book Antiqua"/>
          <w:color w:val="000000"/>
        </w:rPr>
        <w:t xml:space="preserve"> Road 91, Changshu 215500, Jiangsu Province, China. jscsgjf@sina.cn</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b/>
          <w:color w:val="000000"/>
        </w:rPr>
        <w:t xml:space="preserve">Received: </w:t>
      </w:r>
      <w:r w:rsidRPr="00815B74">
        <w:rPr>
          <w:rFonts w:ascii="Book Antiqua" w:hAnsi="Book Antiqua"/>
          <w:bCs/>
          <w:color w:val="000000"/>
        </w:rPr>
        <w:t xml:space="preserve">February 3, </w:t>
      </w:r>
      <w:r w:rsidRPr="00815B74">
        <w:rPr>
          <w:rFonts w:ascii="Book Antiqua" w:hAnsi="Book Antiqua"/>
          <w:color w:val="000000"/>
        </w:rPr>
        <w:t>2020</w:t>
      </w:r>
    </w:p>
    <w:p w:rsidR="00D059D8" w:rsidRPr="00815B74" w:rsidRDefault="00D059D8">
      <w:pPr>
        <w:adjustRightInd w:val="0"/>
        <w:snapToGrid w:val="0"/>
        <w:spacing w:line="360" w:lineRule="auto"/>
        <w:jc w:val="both"/>
        <w:rPr>
          <w:rFonts w:ascii="Book Antiqua" w:hAnsi="Book Antiqua"/>
          <w:b/>
          <w:color w:val="000000"/>
        </w:rPr>
      </w:pPr>
      <w:r w:rsidRPr="00815B74">
        <w:rPr>
          <w:rFonts w:ascii="Book Antiqua" w:hAnsi="Book Antiqua"/>
          <w:b/>
          <w:color w:val="000000"/>
        </w:rPr>
        <w:t xml:space="preserve">Revised: </w:t>
      </w:r>
      <w:r w:rsidRPr="00815B74">
        <w:rPr>
          <w:rFonts w:ascii="Book Antiqua" w:hAnsi="Book Antiqua"/>
          <w:color w:val="000000"/>
        </w:rPr>
        <w:t>March 26, 2020</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b/>
          <w:color w:val="000000"/>
        </w:rPr>
        <w:t>Accepted:</w:t>
      </w:r>
      <w:r w:rsidRPr="00815B74">
        <w:t xml:space="preserve"> </w:t>
      </w:r>
      <w:r w:rsidRPr="00815B74">
        <w:rPr>
          <w:rFonts w:ascii="Book Antiqua" w:hAnsi="Book Antiqua"/>
          <w:bCs/>
          <w:color w:val="000000"/>
        </w:rPr>
        <w:t xml:space="preserve">May 26, 2020 </w:t>
      </w:r>
    </w:p>
    <w:p w:rsidR="00D059D8" w:rsidRPr="00815B74" w:rsidRDefault="00D059D8">
      <w:pPr>
        <w:adjustRightInd w:val="0"/>
        <w:snapToGrid w:val="0"/>
        <w:spacing w:line="360" w:lineRule="auto"/>
        <w:rPr>
          <w:rFonts w:ascii="Book Antiqua" w:hAnsi="Book Antiqua"/>
          <w:b/>
        </w:rPr>
      </w:pPr>
      <w:r w:rsidRPr="00815B74">
        <w:rPr>
          <w:rFonts w:ascii="Book Antiqua" w:hAnsi="Book Antiqua"/>
          <w:b/>
        </w:rPr>
        <w:t>Published online:</w:t>
      </w:r>
      <w:r w:rsidR="00561A4B" w:rsidRPr="00815B74">
        <w:rPr>
          <w:rFonts w:ascii="Book Antiqua" w:hAnsi="Book Antiqua" w:hint="eastAsia"/>
          <w:b/>
        </w:rPr>
        <w:t xml:space="preserve"> </w:t>
      </w:r>
      <w:r w:rsidR="00561A4B" w:rsidRPr="00815B74">
        <w:rPr>
          <w:rFonts w:ascii="Book Antiqua" w:hAnsi="Book Antiqua" w:hint="eastAsia"/>
        </w:rPr>
        <w:t>July 7, 2020</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cs="等线"/>
          <w:b/>
          <w:color w:val="000000"/>
        </w:rPr>
      </w:pPr>
      <w:r w:rsidRPr="00815B74">
        <w:rPr>
          <w:rFonts w:ascii="Book Antiqua" w:hAnsi="Book Antiqua"/>
          <w:color w:val="000000"/>
        </w:rPr>
        <w:br w:type="page"/>
      </w:r>
      <w:r w:rsidRPr="00815B74">
        <w:rPr>
          <w:rFonts w:ascii="Book Antiqua" w:hAnsi="Book Antiqua" w:cs="等线"/>
          <w:b/>
          <w:color w:val="000000"/>
        </w:rPr>
        <w:lastRenderedPageBreak/>
        <w:t>Abstract</w:t>
      </w:r>
    </w:p>
    <w:p w:rsidR="00D059D8" w:rsidRPr="00815B74" w:rsidRDefault="00D059D8">
      <w:pPr>
        <w:adjustRightInd w:val="0"/>
        <w:snapToGrid w:val="0"/>
        <w:spacing w:line="360" w:lineRule="auto"/>
        <w:jc w:val="both"/>
        <w:rPr>
          <w:rFonts w:ascii="Book Antiqua" w:hAnsi="Book Antiqua" w:cs="等线"/>
          <w:b/>
          <w:i/>
          <w:color w:val="000000"/>
        </w:rPr>
      </w:pPr>
      <w:r w:rsidRPr="00815B74">
        <w:rPr>
          <w:rFonts w:ascii="Book Antiqua" w:hAnsi="Book Antiqua" w:cs="等线"/>
          <w:b/>
          <w:i/>
          <w:color w:val="000000"/>
        </w:rPr>
        <w:t>BACKGROUND</w:t>
      </w:r>
    </w:p>
    <w:bookmarkEnd w:id="5"/>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Pancreatic ductal adenocarcinoma (PDAC) is one of the deadliest solid tumors. Identification of diagnostic and </w:t>
      </w:r>
      <w:hyperlink r:id="rId7" w:history="1">
        <w:r w:rsidRPr="00815B74">
          <w:rPr>
            <w:rFonts w:ascii="Book Antiqua" w:hAnsi="Book Antiqua"/>
            <w:color w:val="000000"/>
          </w:rPr>
          <w:t>therapeutic</w:t>
        </w:r>
      </w:hyperlink>
      <w:r w:rsidRPr="00815B74">
        <w:rPr>
          <w:rFonts w:ascii="Book Antiqua" w:hAnsi="Book Antiqua"/>
          <w:color w:val="000000"/>
        </w:rPr>
        <w:t xml:space="preserve"> biomarkers for PDAC is urgently needed.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(TBL1XR1) has been linked to the progression of various human cancers. Nevertheless, the function and role of TBL1XR1 in pancreatic cancers are unclear.</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color w:val="000000"/>
        </w:rPr>
      </w:pPr>
      <w:r w:rsidRPr="00815B74">
        <w:rPr>
          <w:rFonts w:ascii="Book Antiqua" w:hAnsi="Book Antiqua"/>
          <w:b/>
          <w:bCs/>
          <w:i/>
          <w:color w:val="000000"/>
        </w:rPr>
        <w:t>AIM</w:t>
      </w:r>
    </w:p>
    <w:p w:rsidR="00D059D8" w:rsidRPr="00815B74" w:rsidRDefault="00D059D8">
      <w:pPr>
        <w:adjustRightInd w:val="0"/>
        <w:snapToGrid w:val="0"/>
        <w:spacing w:line="360" w:lineRule="auto"/>
        <w:jc w:val="both"/>
        <w:rPr>
          <w:rFonts w:ascii="Book Antiqua" w:hAnsi="Book Antiqua"/>
          <w:color w:val="000000"/>
        </w:rPr>
      </w:pPr>
      <w:proofErr w:type="gramStart"/>
      <w:r w:rsidRPr="00815B74">
        <w:rPr>
          <w:rFonts w:ascii="Book Antiqua" w:hAnsi="Book Antiqua"/>
          <w:color w:val="000000"/>
        </w:rPr>
        <w:t>To elucidate the function and potential mechanism of TBL1XR1 in the development of PDAC.</w:t>
      </w:r>
      <w:proofErr w:type="gramEnd"/>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color w:val="000000"/>
        </w:rPr>
      </w:pPr>
      <w:r w:rsidRPr="00815B74">
        <w:rPr>
          <w:rFonts w:ascii="Book Antiqua" w:hAnsi="Book Antiqua"/>
          <w:b/>
          <w:bCs/>
          <w:i/>
          <w:color w:val="000000"/>
        </w:rPr>
        <w:t>METHODS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Ninety </w:t>
      </w:r>
      <w:r w:rsidR="00B20ED5" w:rsidRPr="00815B74">
        <w:rPr>
          <w:rFonts w:ascii="Book Antiqua" w:hAnsi="Book Antiqua"/>
          <w:color w:val="000000"/>
        </w:rPr>
        <w:t>pa</w:t>
      </w:r>
      <w:r w:rsidR="00B20ED5" w:rsidRPr="00815B74">
        <w:rPr>
          <w:rFonts w:ascii="Book Antiqua" w:hAnsi="Book Antiqua" w:hint="eastAsia"/>
          <w:color w:val="000000"/>
        </w:rPr>
        <w:t xml:space="preserve">tients </w:t>
      </w:r>
      <w:r w:rsidR="00B20ED5" w:rsidRPr="00815B74">
        <w:rPr>
          <w:rFonts w:ascii="Book Antiqua" w:hAnsi="Book Antiqua"/>
          <w:color w:val="000000"/>
        </w:rPr>
        <w:t>with</w:t>
      </w:r>
      <w:r w:rsidR="00B20ED5" w:rsidRPr="00815B74">
        <w:rPr>
          <w:rFonts w:ascii="Book Antiqua" w:hAnsi="Book Antiqua" w:hint="eastAsia"/>
          <w:color w:val="000000"/>
        </w:rPr>
        <w:t xml:space="preserve"> </w:t>
      </w:r>
      <w:r w:rsidRPr="00815B74">
        <w:rPr>
          <w:rFonts w:ascii="Book Antiqua" w:hAnsi="Book Antiqua" w:hint="eastAsia"/>
          <w:color w:val="000000"/>
        </w:rPr>
        <w:t>h</w:t>
      </w:r>
      <w:r w:rsidRPr="00815B74">
        <w:rPr>
          <w:rFonts w:ascii="Book Antiqua" w:hAnsi="Book Antiqua"/>
          <w:color w:val="000000"/>
        </w:rPr>
        <w:t xml:space="preserve">istologically-confirmed PDAC were included in this study. PDAC tumor samples and cell lines were used to determine the expression of TBL1XR1. CCK-8 assays and colony formation assays were carried out to assess PDAC cell viability. Flow cytometry was performed to measure the changes in the cell cycle and cell apoptosis. Changes in related protein expression were measured by western blot analysis. Animal analysis was conducted to confirm the impact of TBL1XR1 </w:t>
      </w:r>
      <w:r w:rsidRPr="00815B74">
        <w:rPr>
          <w:rFonts w:ascii="Book Antiqua" w:hAnsi="Book Antiqua"/>
          <w:i/>
          <w:iCs/>
          <w:color w:val="000000"/>
        </w:rPr>
        <w:t>in vivo</w:t>
      </w:r>
      <w:r w:rsidRPr="00815B74">
        <w:rPr>
          <w:rFonts w:ascii="Book Antiqua" w:hAnsi="Book Antiqua"/>
          <w:color w:val="000000"/>
        </w:rPr>
        <w:t>.</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color w:val="000000"/>
        </w:rPr>
      </w:pPr>
      <w:r w:rsidRPr="00815B74">
        <w:rPr>
          <w:rFonts w:ascii="Book Antiqua" w:hAnsi="Book Antiqua"/>
          <w:b/>
          <w:bCs/>
          <w:i/>
          <w:color w:val="000000"/>
        </w:rPr>
        <w:t>RESULTS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hint="eastAsia"/>
          <w:color w:val="000000"/>
        </w:rPr>
        <w:t>P</w:t>
      </w:r>
      <w:r w:rsidRPr="00815B74">
        <w:rPr>
          <w:rFonts w:ascii="Book Antiqua" w:hAnsi="Book Antiqua"/>
          <w:color w:val="000000"/>
        </w:rPr>
        <w:t>atients with TBL1XR1-positive tumors had worse overall survival than those with TBL1XR1-negative tumors. Moreover, we found that TBL1XR1 strongly promote</w:t>
      </w:r>
      <w:r w:rsidRPr="00815B74">
        <w:rPr>
          <w:rFonts w:ascii="Book Antiqua" w:hAnsi="Book Antiqua" w:hint="eastAsia"/>
          <w:color w:val="000000"/>
        </w:rPr>
        <w:t>d</w:t>
      </w:r>
      <w:r w:rsidRPr="00815B74">
        <w:rPr>
          <w:rFonts w:ascii="Book Antiqua" w:hAnsi="Book Antiqua"/>
          <w:color w:val="000000"/>
        </w:rPr>
        <w:t xml:space="preserve"> PDAC cell proliferation and inhibit</w:t>
      </w:r>
      <w:r w:rsidRPr="00815B74">
        <w:rPr>
          <w:rFonts w:ascii="Book Antiqua" w:hAnsi="Book Antiqua" w:hint="eastAsia"/>
          <w:color w:val="000000"/>
        </w:rPr>
        <w:t>ed</w:t>
      </w:r>
      <w:r w:rsidRPr="00815B74">
        <w:rPr>
          <w:rFonts w:ascii="Book Antiqua" w:hAnsi="Book Antiqua"/>
          <w:color w:val="000000"/>
        </w:rPr>
        <w:t xml:space="preserve"> PDAC cell apoptosis. Moreover, knockdown of TBL1XR1 induced G0/G1 phase arrest. </w:t>
      </w:r>
      <w:r w:rsidRPr="00815B74">
        <w:rPr>
          <w:rFonts w:ascii="Book Antiqua" w:hAnsi="Book Antiqua"/>
          <w:i/>
          <w:iCs/>
          <w:color w:val="000000"/>
        </w:rPr>
        <w:t>In vivo</w:t>
      </w:r>
      <w:r w:rsidRPr="00815B74">
        <w:rPr>
          <w:rFonts w:ascii="Book Antiqua" w:hAnsi="Book Antiqua"/>
          <w:color w:val="000000"/>
        </w:rPr>
        <w:t xml:space="preserve"> animal studies confirmed that TBL1XR1 accelerate</w:t>
      </w:r>
      <w:r w:rsidRPr="00815B74">
        <w:rPr>
          <w:rFonts w:ascii="Book Antiqua" w:hAnsi="Book Antiqua" w:hint="eastAsia"/>
          <w:color w:val="000000"/>
        </w:rPr>
        <w:t>d</w:t>
      </w:r>
      <w:r w:rsidRPr="00815B74">
        <w:rPr>
          <w:rFonts w:ascii="Book Antiqua" w:hAnsi="Book Antiqua"/>
          <w:color w:val="000000"/>
        </w:rPr>
        <w:t xml:space="preserve"> tumor cell growth. The results of western blot analysis showed that TBL1XR1 might play a key role in regulating PDAC cell proliferation and apoptosis </w:t>
      </w:r>
      <w:r w:rsidRPr="00815B74">
        <w:rPr>
          <w:rFonts w:ascii="Book Antiqua" w:hAnsi="Book Antiqua"/>
          <w:i/>
          <w:iCs/>
          <w:color w:val="000000"/>
        </w:rPr>
        <w:t>via</w:t>
      </w:r>
      <w:r w:rsidRPr="00815B74">
        <w:rPr>
          <w:rFonts w:ascii="Book Antiqua" w:hAnsi="Book Antiqua"/>
          <w:color w:val="000000"/>
        </w:rPr>
        <w:t xml:space="preserve"> the PI3K/AKT pathway.</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i/>
          <w:color w:val="000000"/>
        </w:rPr>
      </w:pPr>
      <w:r w:rsidRPr="00815B74">
        <w:rPr>
          <w:rFonts w:ascii="Book Antiqua" w:hAnsi="Book Antiqua"/>
          <w:b/>
          <w:i/>
          <w:color w:val="000000"/>
        </w:rPr>
        <w:t>CONCLUSION</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lastRenderedPageBreak/>
        <w:t>TBL1XR1 promote</w:t>
      </w:r>
      <w:r w:rsidRPr="00815B74">
        <w:rPr>
          <w:rFonts w:ascii="Book Antiqua" w:hAnsi="Book Antiqua" w:hint="eastAsia"/>
          <w:color w:val="000000"/>
        </w:rPr>
        <w:t>d</w:t>
      </w:r>
      <w:r w:rsidRPr="00815B74">
        <w:rPr>
          <w:rFonts w:ascii="Book Antiqua" w:hAnsi="Book Antiqua"/>
          <w:color w:val="000000"/>
        </w:rPr>
        <w:t xml:space="preserve"> PDAC cell progression and might be an effective diagnostic and therapeutic marker for pancreatic cancer.</w:t>
      </w:r>
    </w:p>
    <w:bookmarkEnd w:id="6"/>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b/>
          <w:color w:val="000000"/>
        </w:rPr>
        <w:t xml:space="preserve">Key words: </w:t>
      </w:r>
      <w:bookmarkStart w:id="22" w:name="OLE_LINK3"/>
      <w:r w:rsidRPr="00815B74">
        <w:rPr>
          <w:rFonts w:ascii="Book Antiqua" w:hAnsi="Book Antiqua"/>
          <w:color w:val="000000"/>
        </w:rPr>
        <w:t xml:space="preserve">Pancreatic </w:t>
      </w:r>
      <w:bookmarkEnd w:id="22"/>
      <w:r w:rsidRPr="00815B74">
        <w:rPr>
          <w:rFonts w:ascii="Book Antiqua" w:hAnsi="Book Antiqua"/>
          <w:color w:val="000000"/>
        </w:rPr>
        <w:t>ductal adenocarcinoma; TBL1XR1; Proliferation; PI3K/AKT pathway</w:t>
      </w:r>
    </w:p>
    <w:p w:rsidR="00D059D8" w:rsidRPr="00815B74" w:rsidRDefault="00D059D8">
      <w:pPr>
        <w:adjustRightInd w:val="0"/>
        <w:snapToGrid w:val="0"/>
        <w:spacing w:line="360" w:lineRule="auto"/>
        <w:jc w:val="both"/>
        <w:rPr>
          <w:rFonts w:ascii="Book Antiqua" w:hAnsi="Book Antiqua"/>
          <w:color w:val="000000"/>
        </w:rPr>
      </w:pPr>
    </w:p>
    <w:p w:rsidR="00561A4B" w:rsidRPr="00815B74" w:rsidRDefault="00561A4B" w:rsidP="00561A4B">
      <w:pPr>
        <w:adjustRightInd w:val="0"/>
        <w:snapToGrid w:val="0"/>
        <w:spacing w:line="360" w:lineRule="auto"/>
        <w:rPr>
          <w:rFonts w:ascii="Book Antiqua" w:hAnsi="Book Antiqua" w:hint="eastAsia"/>
          <w:color w:val="000000"/>
        </w:rPr>
      </w:pPr>
      <w:r w:rsidRPr="00815B74">
        <w:rPr>
          <w:rFonts w:ascii="Book Antiqua" w:hAnsi="Book Antiqua" w:hint="eastAsia"/>
          <w:b/>
          <w:bCs/>
          <w:color w:val="000000"/>
        </w:rPr>
        <w:t>Citation:</w:t>
      </w:r>
      <w:r w:rsidRPr="00815B74">
        <w:rPr>
          <w:rFonts w:ascii="Book Antiqua" w:hAnsi="Book Antiqua" w:hint="eastAsia"/>
          <w:bCs/>
          <w:color w:val="000000"/>
        </w:rPr>
        <w:t xml:space="preserve"> </w:t>
      </w:r>
      <w:proofErr w:type="spellStart"/>
      <w:r w:rsidRPr="00815B74">
        <w:rPr>
          <w:rFonts w:ascii="Book Antiqua" w:hAnsi="Book Antiqua"/>
          <w:bCs/>
          <w:color w:val="000000"/>
        </w:rPr>
        <w:t>Gu</w:t>
      </w:r>
      <w:proofErr w:type="spellEnd"/>
      <w:r w:rsidRPr="00815B74">
        <w:rPr>
          <w:rFonts w:ascii="Book Antiqua" w:hAnsi="Book Antiqua"/>
          <w:bCs/>
          <w:color w:val="000000"/>
        </w:rPr>
        <w:t xml:space="preserve"> JF, Fu W, Qian HX, </w:t>
      </w:r>
      <w:proofErr w:type="spellStart"/>
      <w:r w:rsidRPr="00815B74">
        <w:rPr>
          <w:rFonts w:ascii="Book Antiqua" w:hAnsi="Book Antiqua"/>
          <w:bCs/>
          <w:color w:val="000000"/>
        </w:rPr>
        <w:t>Gu</w:t>
      </w:r>
      <w:proofErr w:type="spellEnd"/>
      <w:r w:rsidRPr="00815B74">
        <w:rPr>
          <w:rFonts w:ascii="Book Antiqua" w:hAnsi="Book Antiqua"/>
          <w:bCs/>
          <w:color w:val="000000"/>
        </w:rPr>
        <w:t xml:space="preserve"> WX, </w:t>
      </w:r>
      <w:proofErr w:type="spellStart"/>
      <w:r w:rsidRPr="00815B74">
        <w:rPr>
          <w:rFonts w:ascii="Book Antiqua" w:hAnsi="Book Antiqua"/>
          <w:bCs/>
          <w:color w:val="000000"/>
        </w:rPr>
        <w:t>Zong</w:t>
      </w:r>
      <w:proofErr w:type="spellEnd"/>
      <w:r w:rsidRPr="00815B74">
        <w:rPr>
          <w:rFonts w:ascii="Book Antiqua" w:hAnsi="Book Antiqua"/>
          <w:bCs/>
          <w:color w:val="000000"/>
        </w:rPr>
        <w:t xml:space="preserve"> Y, Chen Q, Lu L. TBL1XR1 induces cell proliferation and inhibits cell apoptosis by the PI3K/AKT pathway in pancreatic ductal adenocarcinoma. </w:t>
      </w:r>
      <w:r w:rsidRPr="00815B74">
        <w:rPr>
          <w:rFonts w:ascii="Book Antiqua" w:hAnsi="Book Antiqua"/>
          <w:i/>
          <w:iCs/>
          <w:color w:val="000000"/>
        </w:rPr>
        <w:t xml:space="preserve">World J </w:t>
      </w:r>
      <w:proofErr w:type="spellStart"/>
      <w:r w:rsidRPr="00815B74">
        <w:rPr>
          <w:rFonts w:ascii="Book Antiqua" w:hAnsi="Book Antiqua"/>
          <w:i/>
          <w:iCs/>
          <w:color w:val="000000"/>
        </w:rPr>
        <w:t>Gastroenterol</w:t>
      </w:r>
      <w:proofErr w:type="spellEnd"/>
      <w:r w:rsidRPr="00815B74">
        <w:rPr>
          <w:rFonts w:ascii="Book Antiqua" w:hAnsi="Book Antiqua"/>
          <w:i/>
          <w:iCs/>
          <w:color w:val="000000"/>
        </w:rPr>
        <w:t xml:space="preserve"> </w:t>
      </w:r>
      <w:bookmarkStart w:id="23" w:name="OLE_LINK28"/>
      <w:bookmarkStart w:id="24" w:name="OLE_LINK29"/>
      <w:r w:rsidRPr="00815B74">
        <w:rPr>
          <w:rFonts w:ascii="Book Antiqua" w:hAnsi="Book Antiqua"/>
          <w:color w:val="000000"/>
        </w:rPr>
        <w:t xml:space="preserve">2020; 26(25): </w:t>
      </w:r>
      <w:r w:rsidRPr="00815B74">
        <w:rPr>
          <w:rFonts w:ascii="Book Antiqua" w:hAnsi="Book Antiqua" w:hint="eastAsia"/>
          <w:color w:val="000000"/>
        </w:rPr>
        <w:t>3586</w:t>
      </w:r>
      <w:r w:rsidRPr="00815B74">
        <w:rPr>
          <w:rFonts w:ascii="Book Antiqua" w:hAnsi="Book Antiqua"/>
          <w:color w:val="000000"/>
        </w:rPr>
        <w:t>-</w:t>
      </w:r>
      <w:r w:rsidRPr="00815B74">
        <w:rPr>
          <w:rFonts w:ascii="Book Antiqua" w:hAnsi="Book Antiqua" w:hint="eastAsia"/>
          <w:color w:val="000000"/>
        </w:rPr>
        <w:t>3602</w:t>
      </w:r>
      <w:r w:rsidRPr="00815B74">
        <w:rPr>
          <w:rFonts w:ascii="Book Antiqua" w:hAnsi="Book Antiqua"/>
          <w:color w:val="000000"/>
        </w:rPr>
        <w:t xml:space="preserve"> </w:t>
      </w:r>
    </w:p>
    <w:p w:rsidR="00561A4B" w:rsidRPr="00815B74" w:rsidRDefault="00561A4B" w:rsidP="00561A4B">
      <w:pPr>
        <w:adjustRightInd w:val="0"/>
        <w:snapToGrid w:val="0"/>
        <w:spacing w:line="360" w:lineRule="auto"/>
        <w:rPr>
          <w:rFonts w:ascii="Book Antiqua" w:hAnsi="Book Antiqua" w:hint="eastAsia"/>
          <w:color w:val="000000"/>
        </w:rPr>
      </w:pPr>
      <w:r w:rsidRPr="00815B74">
        <w:rPr>
          <w:rFonts w:ascii="Book Antiqua" w:hAnsi="Book Antiqua"/>
          <w:color w:val="000000"/>
        </w:rPr>
        <w:t xml:space="preserve"> </w:t>
      </w:r>
      <w:r w:rsidRPr="00815B74">
        <w:rPr>
          <w:rFonts w:ascii="Book Antiqua" w:hAnsi="Book Antiqua"/>
          <w:b/>
          <w:color w:val="000000"/>
        </w:rPr>
        <w:t xml:space="preserve">URL: </w:t>
      </w:r>
      <w:r w:rsidRPr="00815B74">
        <w:rPr>
          <w:rFonts w:ascii="Book Antiqua" w:hAnsi="Book Antiqua"/>
          <w:color w:val="000000"/>
        </w:rPr>
        <w:t>https://www.wjgnet.com/1007-9327/full/v26/i25/</w:t>
      </w:r>
      <w:r w:rsidRPr="00815B74">
        <w:rPr>
          <w:rFonts w:ascii="Book Antiqua" w:hAnsi="Book Antiqua" w:hint="eastAsia"/>
          <w:color w:val="000000"/>
        </w:rPr>
        <w:t>3586</w:t>
      </w:r>
      <w:r w:rsidRPr="00815B74">
        <w:rPr>
          <w:rFonts w:ascii="Book Antiqua" w:hAnsi="Book Antiqua"/>
          <w:color w:val="000000"/>
        </w:rPr>
        <w:t xml:space="preserve">.htm  </w:t>
      </w:r>
    </w:p>
    <w:p w:rsidR="00561A4B" w:rsidRPr="00815B74" w:rsidRDefault="00561A4B" w:rsidP="00561A4B">
      <w:pPr>
        <w:adjustRightInd w:val="0"/>
        <w:snapToGrid w:val="0"/>
        <w:spacing w:line="360" w:lineRule="auto"/>
        <w:rPr>
          <w:rFonts w:ascii="Book Antiqua" w:hAnsi="Book Antiqua"/>
          <w:bCs/>
          <w:color w:val="000000"/>
        </w:rPr>
      </w:pPr>
      <w:r w:rsidRPr="00815B74">
        <w:rPr>
          <w:rFonts w:ascii="Book Antiqua" w:hAnsi="Book Antiqua"/>
          <w:b/>
          <w:color w:val="000000"/>
        </w:rPr>
        <w:t>DOI:</w:t>
      </w:r>
      <w:r w:rsidRPr="00815B74">
        <w:rPr>
          <w:rFonts w:ascii="Book Antiqua" w:hAnsi="Book Antiqua"/>
          <w:color w:val="000000"/>
        </w:rPr>
        <w:t xml:space="preserve"> https://dx.doi.org/10.3748/wjg.v26.i25.</w:t>
      </w:r>
      <w:r w:rsidRPr="00815B74">
        <w:rPr>
          <w:rFonts w:ascii="Book Antiqua" w:hAnsi="Book Antiqua" w:hint="eastAsia"/>
          <w:color w:val="000000"/>
        </w:rPr>
        <w:t>3586</w:t>
      </w:r>
    </w:p>
    <w:bookmarkEnd w:id="23"/>
    <w:bookmarkEnd w:id="24"/>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b/>
          <w:bCs/>
          <w:color w:val="000000"/>
        </w:rPr>
        <w:t>Core tip:</w:t>
      </w:r>
      <w:r w:rsidRPr="00815B74">
        <w:rPr>
          <w:rFonts w:ascii="Book Antiqua" w:hAnsi="Book Antiqua"/>
          <w:color w:val="000000"/>
        </w:rPr>
        <w:t xml:space="preserve">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(TBL1XR1) has been linked to the progression of various human cancers. However, the function and role of TBL1XR1 in pancreatic cancers are unclear. Elucidation of the effect and potential molecular mechanism of TBL1XR1 in pancreatic cancer is important. This study showed that TBL1XR1 promote</w:t>
      </w:r>
      <w:r w:rsidRPr="00815B74">
        <w:rPr>
          <w:rFonts w:ascii="Book Antiqua" w:hAnsi="Book Antiqua" w:hint="eastAsia"/>
          <w:color w:val="000000"/>
        </w:rPr>
        <w:t>d</w:t>
      </w:r>
      <w:r w:rsidRPr="00815B74">
        <w:rPr>
          <w:rFonts w:ascii="Book Antiqua" w:hAnsi="Book Antiqua"/>
          <w:color w:val="000000"/>
        </w:rPr>
        <w:t xml:space="preserve"> pancreatic ductal adenocarcinoma (PDAC) cell proliferation, inhibit</w:t>
      </w:r>
      <w:r w:rsidRPr="00815B74">
        <w:rPr>
          <w:rFonts w:ascii="Book Antiqua" w:hAnsi="Book Antiqua" w:hint="eastAsia"/>
          <w:color w:val="000000"/>
        </w:rPr>
        <w:t>ed</w:t>
      </w:r>
      <w:r w:rsidRPr="00815B74">
        <w:rPr>
          <w:rFonts w:ascii="Book Antiqua" w:hAnsi="Book Antiqua"/>
          <w:color w:val="000000"/>
        </w:rPr>
        <w:t xml:space="preserve"> PDAC cell apoptosis and might regulate PDAC cell proliferation and apoptosis by the </w:t>
      </w:r>
      <w:bookmarkStart w:id="25" w:name="OLE_LINK69"/>
      <w:bookmarkStart w:id="26" w:name="OLE_LINK70"/>
      <w:r w:rsidRPr="00815B74">
        <w:rPr>
          <w:rFonts w:ascii="Book Antiqua" w:hAnsi="Book Antiqua"/>
          <w:color w:val="000000"/>
        </w:rPr>
        <w:t xml:space="preserve">phosphatidylinositol </w:t>
      </w:r>
      <w:bookmarkEnd w:id="25"/>
      <w:bookmarkEnd w:id="26"/>
      <w:r w:rsidRPr="00815B74">
        <w:rPr>
          <w:rFonts w:ascii="Book Antiqua" w:hAnsi="Book Antiqua"/>
          <w:color w:val="000000"/>
        </w:rPr>
        <w:t>3-kinase/protein kinase B pathway. Therefore, TBL1XR1 might be a promising therapeutic marker for patients with advanced PDAC.</w:t>
      </w:r>
    </w:p>
    <w:p w:rsidR="00D059D8" w:rsidRPr="00815B74" w:rsidRDefault="00D059D8">
      <w:pPr>
        <w:adjustRightInd w:val="0"/>
        <w:snapToGrid w:val="0"/>
        <w:spacing w:line="360" w:lineRule="auto"/>
        <w:jc w:val="both"/>
        <w:rPr>
          <w:rFonts w:ascii="Book Antiqua" w:hAnsi="Book Antiqua"/>
          <w:b/>
          <w:color w:val="000000"/>
          <w:u w:val="single"/>
        </w:rPr>
      </w:pPr>
      <w:r w:rsidRPr="00815B74">
        <w:rPr>
          <w:rFonts w:ascii="Book Antiqua" w:hAnsi="Book Antiqua"/>
          <w:b/>
          <w:color w:val="000000"/>
        </w:rPr>
        <w:br w:type="page"/>
      </w:r>
      <w:r w:rsidRPr="00815B74">
        <w:rPr>
          <w:rFonts w:ascii="Book Antiqua" w:hAnsi="Book Antiqua"/>
          <w:b/>
          <w:color w:val="000000"/>
          <w:u w:val="single"/>
        </w:rPr>
        <w:lastRenderedPageBreak/>
        <w:t>INTRODUCTION</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Pancreatic carcinoma is one of the deadliest solid tumors. Currently, pancreatic carcinoma is the fourth leading cause of cancer-related death in the United States, and there were approximately 48</w:t>
      </w:r>
      <w:r w:rsidRPr="00815B74">
        <w:rPr>
          <w:rFonts w:ascii="Book Antiqua" w:hAnsi="Book Antiqua" w:hint="eastAsia"/>
          <w:color w:val="000000"/>
        </w:rPr>
        <w:t xml:space="preserve"> </w:t>
      </w:r>
      <w:r w:rsidRPr="00815B74">
        <w:rPr>
          <w:rFonts w:ascii="Book Antiqua" w:hAnsi="Book Antiqua"/>
          <w:color w:val="000000"/>
        </w:rPr>
        <w:t>960 new cases confirmed and 40</w:t>
      </w:r>
      <w:r w:rsidRPr="00815B74">
        <w:rPr>
          <w:rFonts w:ascii="Book Antiqua" w:hAnsi="Book Antiqua" w:hint="eastAsia"/>
          <w:color w:val="000000"/>
        </w:rPr>
        <w:t xml:space="preserve"> </w:t>
      </w:r>
      <w:r w:rsidRPr="00815B74">
        <w:rPr>
          <w:rFonts w:ascii="Book Antiqua" w:hAnsi="Book Antiqua"/>
          <w:color w:val="000000"/>
        </w:rPr>
        <w:t>560 deaths in 2015</w:t>
      </w:r>
      <w:r w:rsidRPr="00815B74">
        <w:rPr>
          <w:rFonts w:ascii="Book Antiqua" w:hAnsi="Book Antiqua"/>
          <w:color w:val="000000"/>
          <w:vertAlign w:val="superscript"/>
        </w:rPr>
        <w:t>[1</w:t>
      </w:r>
      <w:proofErr w:type="gramStart"/>
      <w:r w:rsidRPr="00815B74">
        <w:rPr>
          <w:rFonts w:ascii="Book Antiqua" w:hAnsi="Book Antiqua"/>
          <w:color w:val="000000"/>
          <w:vertAlign w:val="superscript"/>
        </w:rPr>
        <w:t>,2</w:t>
      </w:r>
      <w:proofErr w:type="gramEnd"/>
      <w:r w:rsidRPr="00815B74">
        <w:rPr>
          <w:rFonts w:ascii="Book Antiqua" w:hAnsi="Book Antiqua"/>
          <w:color w:val="000000"/>
          <w:vertAlign w:val="superscript"/>
        </w:rPr>
        <w:t>]</w:t>
      </w:r>
      <w:r w:rsidRPr="00815B74">
        <w:rPr>
          <w:rFonts w:ascii="Book Antiqua" w:hAnsi="Book Antiqua"/>
          <w:color w:val="000000"/>
        </w:rPr>
        <w:t xml:space="preserve">. The best chance for survival is early surgical detection. However, </w:t>
      </w:r>
      <w:r w:rsidRPr="00815B74">
        <w:rPr>
          <w:rFonts w:ascii="Book Antiqua" w:hAnsi="Book Antiqua" w:hint="eastAsia"/>
          <w:color w:val="000000"/>
        </w:rPr>
        <w:t>due</w:t>
      </w:r>
      <w:r w:rsidRPr="00815B74">
        <w:rPr>
          <w:rFonts w:ascii="Book Antiqua" w:hAnsi="Book Antiqua"/>
          <w:color w:val="000000"/>
        </w:rPr>
        <w:t xml:space="preserve"> to the lack of effective screening tests for pancreatic carcinoma, local invasion and early metastasis, only 10%–20% of patients are diagnosed at a stage amenable to resection and curative </w:t>
      </w:r>
      <w:proofErr w:type="gramStart"/>
      <w:r w:rsidRPr="00815B74">
        <w:rPr>
          <w:rFonts w:ascii="Book Antiqua" w:hAnsi="Book Antiqua"/>
          <w:color w:val="000000"/>
        </w:rPr>
        <w:t>treatment</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3,4]</w:t>
      </w:r>
      <w:r w:rsidRPr="00815B74">
        <w:rPr>
          <w:rFonts w:ascii="Book Antiqua" w:hAnsi="Book Antiqua"/>
          <w:color w:val="000000"/>
        </w:rPr>
        <w:t>. Therefore, the overall 5-year survival rate is lower than 5</w:t>
      </w:r>
      <w:proofErr w:type="gramStart"/>
      <w:r w:rsidRPr="00815B74">
        <w:rPr>
          <w:rFonts w:ascii="Book Antiqua" w:hAnsi="Book Antiqua"/>
          <w:color w:val="000000"/>
        </w:rPr>
        <w:t>%</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5]</w:t>
      </w:r>
      <w:r w:rsidRPr="00815B74">
        <w:rPr>
          <w:rFonts w:ascii="Book Antiqua" w:hAnsi="Book Antiqua"/>
          <w:color w:val="000000"/>
        </w:rPr>
        <w:t xml:space="preserve">. Despite decades of efforts, there has been no significant improvement in the long-term survival of pancreatic carcinoma </w:t>
      </w:r>
      <w:proofErr w:type="gramStart"/>
      <w:r w:rsidRPr="00815B74">
        <w:rPr>
          <w:rFonts w:ascii="Book Antiqua" w:hAnsi="Book Antiqua"/>
          <w:color w:val="000000"/>
        </w:rPr>
        <w:t>patients</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6]</w:t>
      </w:r>
      <w:r w:rsidRPr="00815B74">
        <w:rPr>
          <w:rFonts w:ascii="Book Antiqua" w:hAnsi="Book Antiqua"/>
          <w:color w:val="000000"/>
        </w:rPr>
        <w:t xml:space="preserve">. Pancreatic ductal adenocarcinoma (PDAC) is the most common type of pancreatic carcinoma. </w:t>
      </w:r>
      <w:bookmarkStart w:id="27" w:name="OLE_LINK15"/>
      <w:bookmarkStart w:id="28" w:name="OLE_LINK16"/>
      <w:r w:rsidRPr="00815B74">
        <w:rPr>
          <w:rFonts w:ascii="Book Antiqua" w:hAnsi="Book Antiqua"/>
          <w:color w:val="000000"/>
        </w:rPr>
        <w:t xml:space="preserve">Therefore, identification of efficacious early tumor markers for the early diagnosis and treatment of PDAC has clinical value and </w:t>
      </w:r>
      <w:proofErr w:type="gramStart"/>
      <w:r w:rsidRPr="00815B74">
        <w:rPr>
          <w:rFonts w:ascii="Book Antiqua" w:hAnsi="Book Antiqua"/>
          <w:color w:val="000000"/>
        </w:rPr>
        <w:t>significance</w:t>
      </w:r>
      <w:bookmarkEnd w:id="27"/>
      <w:bookmarkEnd w:id="28"/>
      <w:r w:rsidRPr="00815B74">
        <w:rPr>
          <w:rFonts w:ascii="Book Antiqua" w:hAnsi="Book Antiqua"/>
          <w:color w:val="000000"/>
          <w:vertAlign w:val="superscript"/>
        </w:rPr>
        <w:t>[</w:t>
      </w:r>
      <w:proofErr w:type="gramEnd"/>
      <w:r w:rsidRPr="00815B74">
        <w:rPr>
          <w:rFonts w:ascii="Book Antiqua" w:hAnsi="Book Antiqua"/>
          <w:color w:val="000000"/>
          <w:vertAlign w:val="superscript"/>
        </w:rPr>
        <w:t>7]</w:t>
      </w:r>
      <w:r w:rsidRPr="00815B74">
        <w:rPr>
          <w:rFonts w:ascii="Book Antiqua" w:hAnsi="Book Antiqua"/>
          <w:color w:val="000000"/>
        </w:rPr>
        <w:t>.</w:t>
      </w:r>
    </w:p>
    <w:p w:rsidR="00D059D8" w:rsidRPr="00815B74" w:rsidRDefault="00D059D8">
      <w:pPr>
        <w:adjustRightInd w:val="0"/>
        <w:snapToGrid w:val="0"/>
        <w:spacing w:line="360" w:lineRule="auto"/>
        <w:ind w:firstLineChars="100" w:firstLine="240"/>
        <w:jc w:val="both"/>
        <w:rPr>
          <w:rFonts w:ascii="Book Antiqua" w:hAnsi="Book Antiqua"/>
          <w:color w:val="000000"/>
        </w:rPr>
      </w:pPr>
      <w:r w:rsidRPr="00815B74">
        <w:rPr>
          <w:rFonts w:ascii="Book Antiqua" w:hAnsi="Book Antiqua"/>
          <w:color w:val="000000"/>
        </w:rPr>
        <w:t xml:space="preserve">As a member of the TBL1 family,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(TBL1XR1) is the key element of the SMRT/N-</w:t>
      </w:r>
      <w:proofErr w:type="spellStart"/>
      <w:r w:rsidRPr="00815B74">
        <w:rPr>
          <w:rFonts w:ascii="Book Antiqua" w:hAnsi="Book Antiqua"/>
          <w:color w:val="000000"/>
        </w:rPr>
        <w:t>CoR</w:t>
      </w:r>
      <w:proofErr w:type="spellEnd"/>
      <w:r w:rsidRPr="00815B74">
        <w:rPr>
          <w:rFonts w:ascii="Book Antiqua" w:hAnsi="Book Antiqua"/>
          <w:color w:val="000000"/>
        </w:rPr>
        <w:t xml:space="preserve"> corepressor </w:t>
      </w:r>
      <w:proofErr w:type="gramStart"/>
      <w:r w:rsidRPr="00815B74">
        <w:rPr>
          <w:rFonts w:ascii="Book Antiqua" w:hAnsi="Book Antiqua"/>
          <w:color w:val="000000"/>
        </w:rPr>
        <w:t>complex</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8]</w:t>
      </w:r>
      <w:r w:rsidRPr="00815B74">
        <w:rPr>
          <w:rFonts w:ascii="Book Antiqua" w:hAnsi="Book Antiqua"/>
          <w:color w:val="000000"/>
        </w:rPr>
        <w:t xml:space="preserve">. TBL1XR1 is located on chromosome 3 at 3q26 and has a high degree of homology to the TBL1 protein. Recently, studies have demonstrated that </w:t>
      </w:r>
      <w:bookmarkStart w:id="29" w:name="OLE_LINK13"/>
      <w:r w:rsidRPr="00815B74">
        <w:rPr>
          <w:rFonts w:ascii="Book Antiqua" w:hAnsi="Book Antiqua"/>
          <w:color w:val="000000"/>
        </w:rPr>
        <w:t xml:space="preserve">TBL1XR1 could react to transcriptional regulators such as nuclear receptors by switching from gene inhibition to gene </w:t>
      </w:r>
      <w:proofErr w:type="gramStart"/>
      <w:r w:rsidRPr="00815B74">
        <w:rPr>
          <w:rFonts w:ascii="Book Antiqua" w:hAnsi="Book Antiqua"/>
          <w:color w:val="000000"/>
        </w:rPr>
        <w:t>activation</w:t>
      </w:r>
      <w:bookmarkEnd w:id="29"/>
      <w:r w:rsidRPr="00815B74">
        <w:rPr>
          <w:rFonts w:ascii="Book Antiqua" w:hAnsi="Book Antiqua"/>
          <w:color w:val="000000"/>
          <w:vertAlign w:val="superscript"/>
        </w:rPr>
        <w:t>[</w:t>
      </w:r>
      <w:proofErr w:type="gramEnd"/>
      <w:r w:rsidRPr="00815B74">
        <w:rPr>
          <w:rFonts w:ascii="Book Antiqua" w:hAnsi="Book Antiqua"/>
          <w:color w:val="000000"/>
          <w:vertAlign w:val="superscript"/>
        </w:rPr>
        <w:t>9]</w:t>
      </w:r>
      <w:r w:rsidRPr="00815B74">
        <w:rPr>
          <w:rFonts w:ascii="Book Antiqua" w:hAnsi="Book Antiqua"/>
          <w:color w:val="000000"/>
        </w:rPr>
        <w:t xml:space="preserve">. Moreover, TBL1XR1 plays a vital role in cell growth, cell apoptosis, inflammation and transcriptional activation, </w:t>
      </w:r>
      <w:bookmarkStart w:id="30" w:name="OLE_LINK83"/>
      <w:bookmarkStart w:id="31" w:name="OLE_LINK85"/>
      <w:bookmarkStart w:id="32" w:name="OLE_LINK86"/>
      <w:r w:rsidRPr="00815B74">
        <w:rPr>
          <w:rFonts w:ascii="Book Antiqua" w:hAnsi="Book Antiqua"/>
          <w:color w:val="000000"/>
        </w:rPr>
        <w:t>which involve estrogen receptor</w:t>
      </w:r>
      <w:bookmarkEnd w:id="30"/>
      <w:bookmarkEnd w:id="31"/>
      <w:bookmarkEnd w:id="32"/>
      <w:r w:rsidRPr="00815B74">
        <w:rPr>
          <w:rFonts w:ascii="Book Antiqua" w:hAnsi="Book Antiqua"/>
          <w:color w:val="000000"/>
        </w:rPr>
        <w:t xml:space="preserve">, </w:t>
      </w:r>
      <w:bookmarkStart w:id="33" w:name="OLE_LINK91"/>
      <w:bookmarkStart w:id="34" w:name="OLE_LINK92"/>
      <w:r w:rsidRPr="00815B74">
        <w:rPr>
          <w:rFonts w:ascii="Book Antiqua" w:hAnsi="Book Antiqua"/>
          <w:color w:val="000000"/>
        </w:rPr>
        <w:t>androgen receptor</w:t>
      </w:r>
      <w:bookmarkEnd w:id="33"/>
      <w:bookmarkEnd w:id="34"/>
      <w:r w:rsidRPr="00815B74">
        <w:rPr>
          <w:rFonts w:ascii="Book Antiqua" w:hAnsi="Book Antiqua"/>
          <w:color w:val="000000"/>
        </w:rPr>
        <w:t>, thyroid hormone receptor β, peroxisome proliferator-activated receptor γ, nuclear factor kappa-light-chain-enhancer of activated B cells (NF-</w:t>
      </w:r>
      <w:proofErr w:type="spellStart"/>
      <w:r w:rsidRPr="00815B74">
        <w:rPr>
          <w:rFonts w:ascii="Book Antiqua" w:hAnsi="Book Antiqua"/>
          <w:color w:val="000000"/>
        </w:rPr>
        <w:t>κb</w:t>
      </w:r>
      <w:proofErr w:type="spellEnd"/>
      <w:r w:rsidRPr="00815B74">
        <w:rPr>
          <w:rFonts w:ascii="Book Antiqua" w:hAnsi="Book Antiqua"/>
          <w:color w:val="000000"/>
        </w:rPr>
        <w:t>), Notch and β-catenin</w:t>
      </w:r>
      <w:r w:rsidRPr="00815B74">
        <w:rPr>
          <w:rFonts w:ascii="Book Antiqua" w:hAnsi="Book Antiqua"/>
          <w:color w:val="000000"/>
          <w:vertAlign w:val="superscript"/>
        </w:rPr>
        <w:t>[10]</w:t>
      </w:r>
      <w:r w:rsidRPr="00815B74">
        <w:rPr>
          <w:rFonts w:ascii="Book Antiqua" w:hAnsi="Book Antiqua"/>
          <w:color w:val="000000"/>
        </w:rPr>
        <w:t xml:space="preserve">. Currently, </w:t>
      </w:r>
      <w:r w:rsidRPr="00815B74">
        <w:rPr>
          <w:rFonts w:ascii="Book Antiqua" w:hAnsi="Book Antiqua" w:hint="eastAsia"/>
          <w:color w:val="000000"/>
        </w:rPr>
        <w:t>studies</w:t>
      </w:r>
      <w:r w:rsidRPr="00815B74">
        <w:rPr>
          <w:rFonts w:ascii="Book Antiqua" w:hAnsi="Book Antiqua"/>
          <w:color w:val="000000"/>
        </w:rPr>
        <w:t xml:space="preserve"> focus on the effect and mechanism of TBL1XR1 in carcinogenesis and tumor progression, including those of nasopharyngeal carcinoma, colon cancer, osteosarcoma cancer, prostate cancer, breast cancer, and hepatocellular </w:t>
      </w:r>
      <w:proofErr w:type="gramStart"/>
      <w:r w:rsidRPr="00815B74">
        <w:rPr>
          <w:rFonts w:ascii="Book Antiqua" w:hAnsi="Book Antiqua"/>
          <w:color w:val="000000"/>
        </w:rPr>
        <w:t>carcinoma</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11-16]</w:t>
      </w:r>
      <w:r w:rsidRPr="00815B74">
        <w:rPr>
          <w:rFonts w:ascii="Book Antiqua" w:hAnsi="Book Antiqua"/>
          <w:color w:val="000000"/>
        </w:rPr>
        <w:t>. Nevertheless, the role and molecular mechanism of TBL1XR1 in the progression of PDAC remain unclear.</w:t>
      </w:r>
    </w:p>
    <w:p w:rsidR="00D059D8" w:rsidRPr="00815B74" w:rsidRDefault="00D059D8" w:rsidP="00F05CAF">
      <w:pPr>
        <w:adjustRightInd w:val="0"/>
        <w:snapToGrid w:val="0"/>
        <w:spacing w:line="360" w:lineRule="auto"/>
        <w:ind w:firstLineChars="200" w:firstLine="480"/>
        <w:jc w:val="both"/>
        <w:rPr>
          <w:rFonts w:ascii="Book Antiqua" w:hAnsi="Book Antiqua"/>
          <w:color w:val="000000"/>
        </w:rPr>
      </w:pPr>
      <w:r w:rsidRPr="00815B74">
        <w:rPr>
          <w:rFonts w:ascii="Book Antiqua" w:hAnsi="Book Antiqua"/>
          <w:color w:val="000000"/>
        </w:rPr>
        <w:lastRenderedPageBreak/>
        <w:t xml:space="preserve">In this study, we aimed to explore the effect of TBL1XR1 in PDAC. We found that TBL1XR1 expression </w:t>
      </w:r>
      <w:r w:rsidRPr="00815B74">
        <w:rPr>
          <w:rFonts w:ascii="Book Antiqua" w:hAnsi="Book Antiqua" w:hint="eastAsia"/>
          <w:color w:val="000000"/>
        </w:rPr>
        <w:t xml:space="preserve">was </w:t>
      </w:r>
      <w:r w:rsidRPr="00815B74">
        <w:rPr>
          <w:rFonts w:ascii="Book Antiqua" w:hAnsi="Book Antiqua"/>
          <w:color w:val="000000"/>
        </w:rPr>
        <w:t xml:space="preserve">closely associated </w:t>
      </w:r>
      <w:r w:rsidRPr="00815B74">
        <w:rPr>
          <w:rFonts w:ascii="Book Antiqua" w:hAnsi="Book Antiqua" w:hint="eastAsia"/>
          <w:color w:val="000000"/>
        </w:rPr>
        <w:t>with</w:t>
      </w:r>
      <w:r w:rsidRPr="00815B74">
        <w:rPr>
          <w:rFonts w:ascii="Book Antiqua" w:hAnsi="Book Antiqua"/>
          <w:color w:val="000000"/>
        </w:rPr>
        <w:t xml:space="preserve"> the </w:t>
      </w:r>
      <w:proofErr w:type="spellStart"/>
      <w:r w:rsidRPr="00815B74">
        <w:rPr>
          <w:rFonts w:ascii="Book Antiqua" w:hAnsi="Book Antiqua"/>
          <w:color w:val="000000"/>
        </w:rPr>
        <w:t>clinicopathologic</w:t>
      </w:r>
      <w:proofErr w:type="spellEnd"/>
      <w:r w:rsidRPr="00815B74">
        <w:rPr>
          <w:rFonts w:ascii="Book Antiqua" w:hAnsi="Book Antiqua"/>
          <w:color w:val="000000"/>
        </w:rPr>
        <w:t xml:space="preserve"> features of PDAC, which might provide a new diagnostic and therapeutic target for PDAC.</w:t>
      </w:r>
    </w:p>
    <w:p w:rsidR="00D059D8" w:rsidRPr="00815B74" w:rsidRDefault="00D059D8">
      <w:pPr>
        <w:adjustRightInd w:val="0"/>
        <w:snapToGrid w:val="0"/>
        <w:spacing w:line="360" w:lineRule="auto"/>
        <w:jc w:val="both"/>
        <w:rPr>
          <w:rFonts w:ascii="Book Antiqua" w:hAnsi="Book Antiqua"/>
          <w:b/>
          <w:color w:val="000000"/>
        </w:rPr>
      </w:pPr>
    </w:p>
    <w:p w:rsidR="00D059D8" w:rsidRPr="00815B74" w:rsidRDefault="00D059D8">
      <w:pPr>
        <w:adjustRightInd w:val="0"/>
        <w:snapToGrid w:val="0"/>
        <w:spacing w:line="360" w:lineRule="auto"/>
        <w:jc w:val="both"/>
        <w:rPr>
          <w:rFonts w:ascii="Book Antiqua" w:hAnsi="Book Antiqua"/>
          <w:b/>
          <w:color w:val="000000"/>
          <w:u w:val="single"/>
        </w:rPr>
      </w:pPr>
      <w:r w:rsidRPr="00815B74">
        <w:rPr>
          <w:rFonts w:ascii="Book Antiqua" w:hAnsi="Book Antiqua"/>
          <w:b/>
          <w:color w:val="000000"/>
          <w:u w:val="single"/>
        </w:rPr>
        <w:t>MATERIALS AND METHODS</w:t>
      </w: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Patients and tissue specimens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This study was performed </w:t>
      </w:r>
      <w:r w:rsidRPr="00815B74">
        <w:rPr>
          <w:rFonts w:ascii="Book Antiqua" w:hAnsi="Book Antiqua" w:hint="eastAsia"/>
          <w:color w:val="000000"/>
        </w:rPr>
        <w:t>in</w:t>
      </w:r>
      <w:r w:rsidRPr="00815B74">
        <w:rPr>
          <w:rFonts w:ascii="Book Antiqua" w:hAnsi="Book Antiqua"/>
          <w:color w:val="000000"/>
        </w:rPr>
        <w:t xml:space="preserve"> 90 PDAC patients. The </w:t>
      </w:r>
      <w:r w:rsidRPr="00815B74">
        <w:rPr>
          <w:rFonts w:ascii="Book Antiqua" w:hAnsi="Book Antiqua" w:hint="eastAsia"/>
          <w:color w:val="000000"/>
        </w:rPr>
        <w:t xml:space="preserve">patients </w:t>
      </w:r>
      <w:r w:rsidRPr="00815B74">
        <w:rPr>
          <w:rFonts w:ascii="Book Antiqua" w:hAnsi="Book Antiqua"/>
          <w:color w:val="000000"/>
        </w:rPr>
        <w:t xml:space="preserve">all underwent radical </w:t>
      </w:r>
      <w:proofErr w:type="spellStart"/>
      <w:r w:rsidRPr="00815B74">
        <w:rPr>
          <w:rFonts w:ascii="Book Antiqua" w:hAnsi="Book Antiqua"/>
          <w:color w:val="000000"/>
        </w:rPr>
        <w:t>pancreaticoduodenectomy</w:t>
      </w:r>
      <w:proofErr w:type="spellEnd"/>
      <w:r w:rsidRPr="00815B74">
        <w:rPr>
          <w:rFonts w:ascii="Book Antiqua" w:hAnsi="Book Antiqua"/>
          <w:color w:val="000000"/>
        </w:rPr>
        <w:t xml:space="preserve"> and were </w:t>
      </w:r>
      <w:proofErr w:type="spellStart"/>
      <w:r w:rsidRPr="00815B74">
        <w:rPr>
          <w:rFonts w:ascii="Book Antiqua" w:hAnsi="Book Antiqua"/>
          <w:color w:val="000000"/>
        </w:rPr>
        <w:t>histopathologically</w:t>
      </w:r>
      <w:proofErr w:type="spellEnd"/>
      <w:r w:rsidRPr="00815B74">
        <w:rPr>
          <w:rFonts w:ascii="Book Antiqua" w:hAnsi="Book Antiqua"/>
          <w:color w:val="000000"/>
        </w:rPr>
        <w:t xml:space="preserve"> and clinically diagnosed at Changshu N</w:t>
      </w:r>
      <w:r w:rsidRPr="00815B74">
        <w:rPr>
          <w:rFonts w:ascii="Book Antiqua" w:hAnsi="Book Antiqua" w:hint="eastAsia"/>
          <w:color w:val="000000"/>
        </w:rPr>
        <w:t>o</w:t>
      </w:r>
      <w:r w:rsidRPr="00815B74">
        <w:rPr>
          <w:rFonts w:ascii="Book Antiqua" w:hAnsi="Book Antiqua"/>
          <w:color w:val="000000"/>
        </w:rPr>
        <w:t xml:space="preserve">. 1 People’s Hospital Affiliated with Soochow University from 2011 to 2015. Our study complied with the ethical standards of the Declaration of Helsinki and was approved by the Ethics Committee of Changshu No. 1 People’s Hospital. Ninety pairs of PDAC and normal pancreatic epithelial samples were promptly fixed in 4% formalin and embedded in paraffin for </w:t>
      </w:r>
      <w:proofErr w:type="spellStart"/>
      <w:r w:rsidRPr="00815B74">
        <w:rPr>
          <w:rFonts w:ascii="Book Antiqua" w:hAnsi="Book Antiqua"/>
          <w:color w:val="000000"/>
        </w:rPr>
        <w:t>immunohistochemical</w:t>
      </w:r>
      <w:proofErr w:type="spellEnd"/>
      <w:r w:rsidRPr="00815B74">
        <w:rPr>
          <w:rFonts w:ascii="Book Antiqua" w:hAnsi="Book Antiqua"/>
          <w:color w:val="000000"/>
        </w:rPr>
        <w:t xml:space="preserve"> (IHC) staining after removal.</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proofErr w:type="spellStart"/>
      <w:r w:rsidRPr="00815B74">
        <w:rPr>
          <w:rFonts w:ascii="Book Antiqua" w:hAnsi="Book Antiqua"/>
          <w:b/>
          <w:bCs/>
          <w:i/>
          <w:iCs/>
          <w:color w:val="000000"/>
        </w:rPr>
        <w:t>Immunohistochemical</w:t>
      </w:r>
      <w:proofErr w:type="spellEnd"/>
      <w:r w:rsidRPr="00815B74">
        <w:rPr>
          <w:rFonts w:ascii="Book Antiqua" w:hAnsi="Book Antiqua"/>
          <w:b/>
          <w:bCs/>
          <w:i/>
          <w:iCs/>
          <w:color w:val="000000"/>
        </w:rPr>
        <w:t xml:space="preserve"> analysis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After obtaining fresh isolated specimens, we immediately fixed the specimens in 4% formalin and then embedded them in paraffin. Next, we cut them into 5 mm sections and mounted them on slides. IHC and HE staining were performed to examine the expression of </w:t>
      </w:r>
      <w:proofErr w:type="gramStart"/>
      <w:r w:rsidRPr="00815B74">
        <w:rPr>
          <w:rFonts w:ascii="Book Antiqua" w:hAnsi="Book Antiqua"/>
          <w:color w:val="000000"/>
        </w:rPr>
        <w:t>TBL1XR1</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17]</w:t>
      </w:r>
      <w:r w:rsidRPr="00815B74">
        <w:rPr>
          <w:rFonts w:ascii="Book Antiqua" w:hAnsi="Book Antiqua"/>
          <w:color w:val="000000"/>
        </w:rPr>
        <w:t>.</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proofErr w:type="spellStart"/>
      <w:r w:rsidRPr="00815B74">
        <w:rPr>
          <w:rFonts w:ascii="Book Antiqua" w:hAnsi="Book Antiqua"/>
          <w:b/>
          <w:bCs/>
          <w:i/>
          <w:iCs/>
          <w:color w:val="000000"/>
        </w:rPr>
        <w:t>Immunohistochemical</w:t>
      </w:r>
      <w:proofErr w:type="spellEnd"/>
      <w:r w:rsidRPr="00815B74">
        <w:rPr>
          <w:rFonts w:ascii="Book Antiqua" w:hAnsi="Book Antiqua"/>
          <w:b/>
          <w:bCs/>
          <w:i/>
          <w:iCs/>
          <w:color w:val="000000"/>
        </w:rPr>
        <w:t xml:space="preserve"> staining score</w:t>
      </w:r>
    </w:p>
    <w:p w:rsidR="00D059D8" w:rsidRPr="00815B74" w:rsidRDefault="00D059D8">
      <w:pPr>
        <w:adjustRightInd w:val="0"/>
        <w:snapToGrid w:val="0"/>
        <w:spacing w:line="360" w:lineRule="auto"/>
        <w:jc w:val="both"/>
        <w:rPr>
          <w:rFonts w:ascii="Book Antiqua" w:hAnsi="Book Antiqua"/>
          <w:color w:val="000000"/>
        </w:rPr>
      </w:pPr>
      <w:proofErr w:type="spellStart"/>
      <w:r w:rsidRPr="00815B74">
        <w:rPr>
          <w:rFonts w:ascii="Book Antiqua" w:hAnsi="Book Antiqua"/>
          <w:color w:val="000000"/>
        </w:rPr>
        <w:t>Immunohistochemical</w:t>
      </w:r>
      <w:proofErr w:type="spellEnd"/>
      <w:r w:rsidRPr="00815B74">
        <w:rPr>
          <w:rFonts w:ascii="Book Antiqua" w:hAnsi="Book Antiqua"/>
          <w:color w:val="000000"/>
        </w:rPr>
        <w:t xml:space="preserve"> staining of TBL1XR1 expression in PDAC and normal pancreatic epithelial specimens was performed as described by Li </w:t>
      </w:r>
      <w:r w:rsidRPr="00815B74">
        <w:rPr>
          <w:rFonts w:ascii="Book Antiqua" w:hAnsi="Book Antiqua"/>
          <w:i/>
          <w:iCs/>
          <w:color w:val="000000"/>
        </w:rPr>
        <w:t>et al</w:t>
      </w:r>
      <w:proofErr w:type="gramStart"/>
      <w:r w:rsidRPr="00815B74">
        <w:rPr>
          <w:rFonts w:ascii="Book Antiqua" w:hAnsi="Book Antiqua"/>
          <w:i/>
          <w:iCs/>
          <w:color w:val="000000"/>
        </w:rPr>
        <w:t>.</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17]</w:t>
      </w:r>
      <w:r w:rsidRPr="00815B74">
        <w:rPr>
          <w:rFonts w:ascii="Book Antiqua" w:hAnsi="Book Antiqua"/>
          <w:color w:val="000000"/>
        </w:rPr>
        <w:t xml:space="preserve">. The TBL1XR1 staining score was the summation of the staining strength and the ratio of positively stained cells. We defined TBL1XR1 staining strength as follows: 0% </w:t>
      </w:r>
      <w:proofErr w:type="spellStart"/>
      <w:r w:rsidRPr="00815B74">
        <w:rPr>
          <w:rFonts w:ascii="Book Antiqua" w:hAnsi="Book Antiqua"/>
          <w:color w:val="000000"/>
        </w:rPr>
        <w:t>immunoreactive</w:t>
      </w:r>
      <w:proofErr w:type="spellEnd"/>
      <w:r w:rsidRPr="00815B74">
        <w:rPr>
          <w:rFonts w:ascii="Book Antiqua" w:hAnsi="Book Antiqua"/>
          <w:color w:val="000000"/>
        </w:rPr>
        <w:t xml:space="preserve"> cells </w:t>
      </w:r>
      <w:r w:rsidRPr="00815B74">
        <w:rPr>
          <w:rFonts w:ascii="Book Antiqua" w:hAnsi="Book Antiqua" w:hint="eastAsia"/>
          <w:color w:val="000000"/>
        </w:rPr>
        <w:t xml:space="preserve">are </w:t>
      </w:r>
      <w:r w:rsidRPr="00815B74">
        <w:rPr>
          <w:rFonts w:ascii="Book Antiqua" w:hAnsi="Book Antiqua"/>
          <w:color w:val="000000"/>
        </w:rPr>
        <w:t xml:space="preserve">scored 0; less than 5% </w:t>
      </w:r>
      <w:proofErr w:type="spellStart"/>
      <w:r w:rsidRPr="00815B74">
        <w:rPr>
          <w:rFonts w:ascii="Book Antiqua" w:hAnsi="Book Antiqua"/>
          <w:color w:val="000000"/>
        </w:rPr>
        <w:t>immunoreactive</w:t>
      </w:r>
      <w:proofErr w:type="spellEnd"/>
      <w:r w:rsidRPr="00815B74">
        <w:rPr>
          <w:rFonts w:ascii="Book Antiqua" w:hAnsi="Book Antiqua"/>
          <w:color w:val="000000"/>
        </w:rPr>
        <w:t xml:space="preserve"> cells </w:t>
      </w:r>
      <w:r w:rsidRPr="00815B74">
        <w:rPr>
          <w:rFonts w:ascii="Book Antiqua" w:hAnsi="Book Antiqua" w:hint="eastAsia"/>
          <w:color w:val="000000"/>
        </w:rPr>
        <w:t>are</w:t>
      </w:r>
      <w:r w:rsidRPr="00815B74">
        <w:rPr>
          <w:rFonts w:ascii="Book Antiqua" w:hAnsi="Book Antiqua"/>
          <w:color w:val="000000"/>
        </w:rPr>
        <w:t xml:space="preserve"> scored 1; 5%–50% </w:t>
      </w:r>
      <w:proofErr w:type="spellStart"/>
      <w:r w:rsidRPr="00815B74">
        <w:rPr>
          <w:rFonts w:ascii="Book Antiqua" w:hAnsi="Book Antiqua"/>
          <w:color w:val="000000"/>
        </w:rPr>
        <w:t>immunoreactive</w:t>
      </w:r>
      <w:proofErr w:type="spellEnd"/>
      <w:r w:rsidRPr="00815B74">
        <w:rPr>
          <w:rFonts w:ascii="Book Antiqua" w:hAnsi="Book Antiqua"/>
          <w:color w:val="000000"/>
        </w:rPr>
        <w:t xml:space="preserve"> cells </w:t>
      </w:r>
      <w:r w:rsidRPr="00815B74">
        <w:rPr>
          <w:rFonts w:ascii="Book Antiqua" w:hAnsi="Book Antiqua" w:hint="eastAsia"/>
          <w:color w:val="000000"/>
        </w:rPr>
        <w:t>are</w:t>
      </w:r>
      <w:r w:rsidRPr="00815B74">
        <w:rPr>
          <w:rFonts w:ascii="Book Antiqua" w:hAnsi="Book Antiqua"/>
          <w:color w:val="000000"/>
        </w:rPr>
        <w:t xml:space="preserve"> scored 2; and more than 50% </w:t>
      </w:r>
      <w:proofErr w:type="spellStart"/>
      <w:r w:rsidRPr="00815B74">
        <w:rPr>
          <w:rFonts w:ascii="Book Antiqua" w:hAnsi="Book Antiqua"/>
          <w:color w:val="000000"/>
        </w:rPr>
        <w:t>immunoreactive</w:t>
      </w:r>
      <w:proofErr w:type="spellEnd"/>
      <w:r w:rsidRPr="00815B74">
        <w:rPr>
          <w:rFonts w:ascii="Book Antiqua" w:hAnsi="Book Antiqua"/>
          <w:color w:val="000000"/>
        </w:rPr>
        <w:t xml:space="preserve"> cells </w:t>
      </w:r>
      <w:r w:rsidRPr="00815B74">
        <w:rPr>
          <w:rFonts w:ascii="Book Antiqua" w:hAnsi="Book Antiqua" w:hint="eastAsia"/>
          <w:color w:val="000000"/>
        </w:rPr>
        <w:t>are</w:t>
      </w:r>
      <w:r w:rsidRPr="00815B74">
        <w:rPr>
          <w:rFonts w:ascii="Book Antiqua" w:hAnsi="Book Antiqua"/>
          <w:color w:val="000000"/>
        </w:rPr>
        <w:t xml:space="preserve"> scored 3. Staining intensity was scored as follows: negative was scored 0; weak was scored 1; </w:t>
      </w:r>
      <w:bookmarkStart w:id="35" w:name="OLE_LINK14"/>
      <w:r w:rsidRPr="00815B74">
        <w:rPr>
          <w:rFonts w:ascii="Book Antiqua" w:hAnsi="Book Antiqua"/>
          <w:color w:val="000000"/>
        </w:rPr>
        <w:t xml:space="preserve">intermediate </w:t>
      </w:r>
      <w:bookmarkEnd w:id="35"/>
      <w:r w:rsidRPr="00815B74">
        <w:rPr>
          <w:rFonts w:ascii="Book Antiqua" w:hAnsi="Book Antiqua"/>
          <w:color w:val="000000"/>
        </w:rPr>
        <w:t xml:space="preserve">was scored 2; </w:t>
      </w:r>
      <w:r w:rsidRPr="00815B74">
        <w:rPr>
          <w:rFonts w:ascii="Book Antiqua" w:hAnsi="Book Antiqua"/>
          <w:color w:val="000000"/>
        </w:rPr>
        <w:lastRenderedPageBreak/>
        <w:t xml:space="preserve">and strong was scored 3. For statistical convenience, we set intermediate and strong scores to be positive, and the negative and weak scores were considered to be </w:t>
      </w:r>
      <w:proofErr w:type="gramStart"/>
      <w:r w:rsidRPr="00815B74">
        <w:rPr>
          <w:rFonts w:ascii="Book Antiqua" w:hAnsi="Book Antiqua"/>
          <w:color w:val="000000"/>
        </w:rPr>
        <w:t>negative</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18]</w:t>
      </w:r>
      <w:r w:rsidRPr="00815B74">
        <w:rPr>
          <w:rFonts w:ascii="Book Antiqua" w:hAnsi="Book Antiqua"/>
          <w:color w:val="000000"/>
        </w:rPr>
        <w:t>.</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Cell lines and cell cultures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The PDAC cell lines (Panc1, MiaPaCa-2, Capan1 and Aspc-1) were purchased from the Cell Bank of the Chinese Academy of Science. Panc1 and Capan1 cells were cultured in DMEM, and MiaPaCa-2 and Aspc-1 cells were cultured in RPMI-1640 medium. Streptomycin </w:t>
      </w:r>
      <w:proofErr w:type="gramStart"/>
      <w:r w:rsidRPr="00815B74">
        <w:rPr>
          <w:rFonts w:ascii="Book Antiqua" w:hAnsi="Book Antiqua"/>
          <w:color w:val="000000"/>
        </w:rPr>
        <w:t xml:space="preserve">(100 </w:t>
      </w:r>
      <w:proofErr w:type="spellStart"/>
      <w:r w:rsidRPr="00815B74">
        <w:rPr>
          <w:rFonts w:ascii="Book Antiqua" w:hAnsi="Book Antiqua"/>
          <w:color w:val="000000"/>
        </w:rPr>
        <w:t>μg</w:t>
      </w:r>
      <w:proofErr w:type="spellEnd"/>
      <w:r w:rsidRPr="00815B74">
        <w:rPr>
          <w:rFonts w:ascii="Book Antiqua" w:hAnsi="Book Antiqua"/>
          <w:color w:val="000000"/>
        </w:rPr>
        <w:t>/mL)</w:t>
      </w:r>
      <w:proofErr w:type="gramEnd"/>
      <w:r w:rsidRPr="00815B74">
        <w:rPr>
          <w:rFonts w:ascii="Book Antiqua" w:hAnsi="Book Antiqua"/>
          <w:color w:val="000000"/>
        </w:rPr>
        <w:t xml:space="preserve"> and penicillin (100 U/ml) and 10% fetal bovine serum were added to DMEM or RPMI-1640 medium. The cells were cultivated at 37 °C in a humidified incubator with 5% CO</w:t>
      </w:r>
      <w:r w:rsidRPr="00815B74">
        <w:rPr>
          <w:rFonts w:ascii="Book Antiqua" w:hAnsi="Book Antiqua"/>
          <w:color w:val="000000"/>
          <w:vertAlign w:val="subscript"/>
        </w:rPr>
        <w:t>2</w:t>
      </w:r>
      <w:r w:rsidRPr="00815B74">
        <w:rPr>
          <w:rFonts w:ascii="Book Antiqua" w:hAnsi="Book Antiqua"/>
          <w:color w:val="000000"/>
        </w:rPr>
        <w:t>.</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Cell transfection</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Five hundred thousand cells were inoculated into 6-well plates, and after the cells attached, we performed a cell transfection assay according to the manufacturer’s instructions. In short, 50 </w:t>
      </w:r>
      <w:proofErr w:type="spellStart"/>
      <w:r w:rsidRPr="00815B74">
        <w:rPr>
          <w:rFonts w:ascii="Book Antiqua" w:hAnsi="Book Antiqua"/>
          <w:color w:val="000000"/>
        </w:rPr>
        <w:t>nmol</w:t>
      </w:r>
      <w:proofErr w:type="spellEnd"/>
      <w:r w:rsidRPr="00815B74">
        <w:rPr>
          <w:rFonts w:ascii="Book Antiqua" w:hAnsi="Book Antiqua"/>
          <w:color w:val="000000"/>
        </w:rPr>
        <w:t xml:space="preserve"> siRNA and 6 </w:t>
      </w:r>
      <w:proofErr w:type="spellStart"/>
      <w:r w:rsidRPr="00815B74">
        <w:rPr>
          <w:rFonts w:ascii="Book Antiqua" w:hAnsi="Book Antiqua"/>
          <w:color w:val="000000"/>
        </w:rPr>
        <w:t>μL</w:t>
      </w:r>
      <w:proofErr w:type="spellEnd"/>
      <w:r w:rsidRPr="00815B74">
        <w:rPr>
          <w:rFonts w:ascii="Book Antiqua" w:hAnsi="Book Antiqua"/>
          <w:color w:val="000000"/>
        </w:rPr>
        <w:t xml:space="preserve"> of </w:t>
      </w:r>
      <w:proofErr w:type="spellStart"/>
      <w:r w:rsidRPr="00815B74">
        <w:rPr>
          <w:rFonts w:ascii="Book Antiqua" w:hAnsi="Book Antiqua"/>
          <w:color w:val="000000"/>
        </w:rPr>
        <w:t>Lipofectamine</w:t>
      </w:r>
      <w:proofErr w:type="spellEnd"/>
      <w:r w:rsidRPr="00815B74">
        <w:rPr>
          <w:rFonts w:ascii="Book Antiqua" w:hAnsi="Book Antiqua"/>
          <w:color w:val="000000"/>
        </w:rPr>
        <w:t xml:space="preserve"> 2000 were added to 200 </w:t>
      </w:r>
      <w:bookmarkStart w:id="36" w:name="OLE_LINK118"/>
      <w:bookmarkStart w:id="37" w:name="OLE_LINK119"/>
      <w:proofErr w:type="spellStart"/>
      <w:r w:rsidRPr="00815B74">
        <w:rPr>
          <w:rFonts w:ascii="Book Antiqua" w:hAnsi="Book Antiqua"/>
          <w:color w:val="000000"/>
        </w:rPr>
        <w:t>μ</w:t>
      </w:r>
      <w:bookmarkEnd w:id="36"/>
      <w:bookmarkEnd w:id="37"/>
      <w:r w:rsidRPr="00815B74">
        <w:rPr>
          <w:rFonts w:ascii="Book Antiqua" w:hAnsi="Book Antiqua"/>
          <w:color w:val="000000"/>
        </w:rPr>
        <w:t>l</w:t>
      </w:r>
      <w:proofErr w:type="spellEnd"/>
      <w:r w:rsidRPr="00815B74">
        <w:rPr>
          <w:rFonts w:ascii="Book Antiqua" w:hAnsi="Book Antiqua"/>
          <w:color w:val="000000"/>
        </w:rPr>
        <w:t xml:space="preserve"> of </w:t>
      </w:r>
      <w:proofErr w:type="spellStart"/>
      <w:r w:rsidRPr="00815B74">
        <w:rPr>
          <w:rFonts w:ascii="Book Antiqua" w:hAnsi="Book Antiqua"/>
          <w:color w:val="000000"/>
        </w:rPr>
        <w:t>Opti</w:t>
      </w:r>
      <w:proofErr w:type="spellEnd"/>
      <w:r w:rsidRPr="00815B74">
        <w:rPr>
          <w:rFonts w:ascii="Book Antiqua" w:hAnsi="Book Antiqua"/>
          <w:color w:val="000000"/>
        </w:rPr>
        <w:t>-MEM medium and incubated for 5 min. Then, the two suspensions were mixed and incubated for 15 min. The suspension was added to 6-well plates and incubated for 4 h. After incubation, we replaced the medium and harvested fresh culture medium every 2 d.</w:t>
      </w:r>
      <w:r w:rsidRPr="00815B74">
        <w:rPr>
          <w:rFonts w:ascii="Book Antiqua" w:hAnsi="Book Antiqua" w:hint="eastAsia"/>
          <w:color w:val="000000"/>
        </w:rPr>
        <w:t xml:space="preserve"> </w:t>
      </w:r>
      <w:r w:rsidRPr="00815B74">
        <w:rPr>
          <w:rFonts w:ascii="Book Antiqua" w:hAnsi="Book Antiqua"/>
          <w:color w:val="000000"/>
        </w:rPr>
        <w:t xml:space="preserve">The siRNA sequences were as follows: </w:t>
      </w:r>
      <w:bookmarkStart w:id="38" w:name="OLE_LINK122"/>
      <w:bookmarkStart w:id="39" w:name="OLE_LINK123"/>
      <w:bookmarkStart w:id="40" w:name="OLE_LINK132"/>
      <w:r w:rsidRPr="00815B74">
        <w:rPr>
          <w:rFonts w:ascii="Book Antiqua" w:hAnsi="Book Antiqua"/>
          <w:color w:val="000000"/>
        </w:rPr>
        <w:t>CTRL siRNA</w:t>
      </w:r>
      <w:bookmarkEnd w:id="38"/>
      <w:bookmarkEnd w:id="39"/>
      <w:bookmarkEnd w:id="40"/>
      <w:r w:rsidRPr="00815B74">
        <w:rPr>
          <w:rFonts w:ascii="Book Antiqua" w:hAnsi="Book Antiqua"/>
          <w:color w:val="000000"/>
        </w:rPr>
        <w:t>: 5’-TTCTCCGAACGTGTCACGT-3’</w:t>
      </w:r>
      <w:proofErr w:type="gramStart"/>
      <w:r w:rsidRPr="00815B74">
        <w:rPr>
          <w:rFonts w:ascii="Book Antiqua" w:hAnsi="Book Antiqua"/>
          <w:color w:val="000000"/>
        </w:rPr>
        <w:t>;</w:t>
      </w:r>
      <w:bookmarkStart w:id="41" w:name="OLE_LINK133"/>
      <w:bookmarkStart w:id="42" w:name="OLE_LINK134"/>
      <w:r w:rsidRPr="00815B74">
        <w:rPr>
          <w:rFonts w:ascii="Book Antiqua" w:hAnsi="Book Antiqua"/>
          <w:color w:val="000000"/>
        </w:rPr>
        <w:t>TBL1XR1</w:t>
      </w:r>
      <w:bookmarkEnd w:id="41"/>
      <w:bookmarkEnd w:id="42"/>
      <w:r w:rsidRPr="00815B74">
        <w:rPr>
          <w:rFonts w:ascii="Book Antiqua" w:hAnsi="Book Antiqua"/>
          <w:color w:val="000000"/>
        </w:rPr>
        <w:t>:5’</w:t>
      </w:r>
      <w:proofErr w:type="gramEnd"/>
      <w:r w:rsidRPr="00815B74">
        <w:rPr>
          <w:rFonts w:ascii="Book Antiqua" w:hAnsi="Book Antiqua"/>
          <w:color w:val="000000"/>
        </w:rPr>
        <w:t>-GGAGUAGACAAGACUACAA-3’</w:t>
      </w:r>
      <w:r w:rsidRPr="00815B74">
        <w:rPr>
          <w:rFonts w:ascii="Book Antiqua" w:hAnsi="Book Antiqua" w:hint="eastAsia"/>
          <w:color w:val="000000"/>
        </w:rPr>
        <w:t>.</w:t>
      </w:r>
    </w:p>
    <w:p w:rsidR="00D059D8" w:rsidRPr="00815B74" w:rsidRDefault="00D059D8">
      <w:pPr>
        <w:adjustRightInd w:val="0"/>
        <w:snapToGrid w:val="0"/>
        <w:spacing w:line="360" w:lineRule="auto"/>
        <w:jc w:val="both"/>
        <w:rPr>
          <w:rFonts w:ascii="Book Antiqua" w:hAnsi="Book Antiqua"/>
          <w:b/>
          <w:bCs/>
          <w:i/>
          <w:iCs/>
          <w:color w:val="000000"/>
        </w:rPr>
      </w:pPr>
    </w:p>
    <w:p w:rsidR="00D059D8" w:rsidRPr="00815B74" w:rsidRDefault="00D059D8">
      <w:pPr>
        <w:adjustRightInd w:val="0"/>
        <w:snapToGrid w:val="0"/>
        <w:spacing w:line="360" w:lineRule="auto"/>
        <w:jc w:val="both"/>
        <w:rPr>
          <w:rFonts w:ascii="Book Antiqua" w:hAnsi="Book Antiqua"/>
          <w:b/>
          <w:bCs/>
          <w:i/>
          <w:iCs/>
          <w:color w:val="000000"/>
        </w:rPr>
      </w:pPr>
      <w:bookmarkStart w:id="43" w:name="OLE_LINK38"/>
      <w:bookmarkStart w:id="44" w:name="OLE_LINK39"/>
      <w:r w:rsidRPr="00815B74">
        <w:rPr>
          <w:rFonts w:ascii="Book Antiqua" w:hAnsi="Book Antiqua"/>
          <w:b/>
          <w:bCs/>
          <w:i/>
          <w:iCs/>
          <w:color w:val="000000"/>
        </w:rPr>
        <w:t>Quantitative real-time PCR</w:t>
      </w:r>
      <w:bookmarkEnd w:id="43"/>
      <w:bookmarkEnd w:id="44"/>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We performed the assay </w:t>
      </w:r>
      <w:r w:rsidRPr="00815B74">
        <w:rPr>
          <w:rFonts w:ascii="Book Antiqua" w:hAnsi="Book Antiqua" w:hint="eastAsia"/>
          <w:color w:val="000000"/>
        </w:rPr>
        <w:t>using</w:t>
      </w:r>
      <w:r w:rsidRPr="00815B74">
        <w:rPr>
          <w:rFonts w:ascii="Book Antiqua" w:hAnsi="Book Antiqua"/>
          <w:color w:val="000000"/>
        </w:rPr>
        <w:t xml:space="preserve"> the methods described by Li </w:t>
      </w:r>
      <w:r w:rsidRPr="00815B74">
        <w:rPr>
          <w:rFonts w:ascii="Book Antiqua" w:hAnsi="Book Antiqua"/>
          <w:i/>
          <w:iCs/>
          <w:color w:val="000000"/>
        </w:rPr>
        <w:t>et al</w:t>
      </w:r>
      <w:proofErr w:type="gramStart"/>
      <w:r w:rsidRPr="00815B74">
        <w:rPr>
          <w:rFonts w:ascii="Book Antiqua" w:hAnsi="Book Antiqua"/>
          <w:i/>
          <w:iCs/>
          <w:color w:val="000000"/>
        </w:rPr>
        <w:t>.</w:t>
      </w:r>
      <w:r w:rsidRPr="00815B74">
        <w:rPr>
          <w:rFonts w:ascii="Book Antiqua" w:hAnsi="Book Antiqua"/>
          <w:i/>
          <w:iCs/>
          <w:color w:val="000000"/>
          <w:vertAlign w:val="superscript"/>
        </w:rPr>
        <w:t>[</w:t>
      </w:r>
      <w:proofErr w:type="gramEnd"/>
      <w:r w:rsidRPr="00815B74">
        <w:rPr>
          <w:rFonts w:ascii="Book Antiqua" w:hAnsi="Book Antiqua"/>
          <w:color w:val="000000"/>
          <w:vertAlign w:val="superscript"/>
        </w:rPr>
        <w:t>17]</w:t>
      </w:r>
      <w:r w:rsidRPr="00815B74">
        <w:rPr>
          <w:rFonts w:ascii="Book Antiqua" w:hAnsi="Book Antiqua"/>
          <w:color w:val="000000"/>
        </w:rPr>
        <w:t xml:space="preserve">. Total RNA was extracted from different treated cells with </w:t>
      </w:r>
      <w:proofErr w:type="spellStart"/>
      <w:r w:rsidRPr="00815B74">
        <w:rPr>
          <w:rFonts w:ascii="Book Antiqua" w:hAnsi="Book Antiqua"/>
          <w:color w:val="000000"/>
        </w:rPr>
        <w:t>TRIzol</w:t>
      </w:r>
      <w:proofErr w:type="spellEnd"/>
      <w:r w:rsidRPr="00815B74">
        <w:rPr>
          <w:rFonts w:ascii="Book Antiqua" w:hAnsi="Book Antiqua"/>
          <w:color w:val="000000"/>
        </w:rPr>
        <w:t xml:space="preserve"> reagent (Invitrogen) in accordance with the manufacturer’s instructions. The expression of TBL1XR1 and GAPDH was determined by the primers shown below: TBL1XR1: 5’-GAG GTG TTT ATT TGT GCT TGG-3’; 5’-TGC ACT TAA </w:t>
      </w:r>
      <w:r w:rsidRPr="00815B74">
        <w:rPr>
          <w:rFonts w:ascii="Book Antiqua" w:hAnsi="Book Antiqua"/>
          <w:color w:val="000000"/>
        </w:rPr>
        <w:lastRenderedPageBreak/>
        <w:t>TAT GAA GTT GCC-3’. GAPDH: 5’-GCCGCATCTTCTTTTGCGTCGC-3’; 5’-TCCCGTTCTCAGCCTTGACGGT-3’.</w:t>
      </w:r>
    </w:p>
    <w:p w:rsidR="00D059D8" w:rsidRPr="00815B74" w:rsidRDefault="00D059D8" w:rsidP="00CC3DB6">
      <w:pPr>
        <w:adjustRightInd w:val="0"/>
        <w:snapToGrid w:val="0"/>
        <w:spacing w:line="360" w:lineRule="auto"/>
        <w:ind w:firstLineChars="150" w:firstLine="360"/>
        <w:jc w:val="both"/>
        <w:rPr>
          <w:rFonts w:ascii="Book Antiqua" w:hAnsi="Book Antiqua"/>
          <w:color w:val="000000"/>
        </w:rPr>
      </w:pPr>
      <w:r w:rsidRPr="00815B74">
        <w:rPr>
          <w:rFonts w:ascii="Book Antiqua" w:hAnsi="Book Antiqua"/>
          <w:color w:val="000000"/>
        </w:rPr>
        <w:t>The expression of TBL1XR1 was determined by normalization to the expression of the housekeeping gene GAPDH.</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Lentivirus-mediated RNA interference</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The lentivirus vector was constructed by </w:t>
      </w:r>
      <w:bookmarkStart w:id="45" w:name="_Hlk36113558"/>
      <w:bookmarkStart w:id="46" w:name="OLE_LINK5"/>
      <w:r w:rsidRPr="00815B74">
        <w:rPr>
          <w:rFonts w:ascii="Book Antiqua" w:hAnsi="Book Antiqua" w:hint="eastAsia"/>
          <w:color w:val="000000"/>
        </w:rPr>
        <w:t xml:space="preserve">the </w:t>
      </w:r>
      <w:r w:rsidRPr="00815B74">
        <w:rPr>
          <w:rFonts w:ascii="Book Antiqua" w:hAnsi="Book Antiqua"/>
          <w:color w:val="000000"/>
        </w:rPr>
        <w:t xml:space="preserve">Shanghai </w:t>
      </w:r>
      <w:proofErr w:type="spellStart"/>
      <w:r w:rsidRPr="00815B74">
        <w:rPr>
          <w:rFonts w:ascii="Book Antiqua" w:hAnsi="Book Antiqua"/>
          <w:color w:val="000000"/>
        </w:rPr>
        <w:t>GeneChem</w:t>
      </w:r>
      <w:bookmarkEnd w:id="45"/>
      <w:bookmarkEnd w:id="46"/>
      <w:proofErr w:type="spellEnd"/>
      <w:r w:rsidRPr="00815B74">
        <w:rPr>
          <w:rFonts w:ascii="Book Antiqua" w:hAnsi="Book Antiqua"/>
          <w:color w:val="000000"/>
        </w:rPr>
        <w:t xml:space="preserve"> Company. Lentivirus-mediated RNA interference was performed</w:t>
      </w:r>
      <w:r w:rsidRPr="00815B74">
        <w:rPr>
          <w:rFonts w:ascii="Book Antiqua" w:hAnsi="Book Antiqua" w:hint="eastAsia"/>
          <w:color w:val="000000"/>
        </w:rPr>
        <w:t xml:space="preserve"> </w:t>
      </w:r>
      <w:r w:rsidRPr="00815B74">
        <w:rPr>
          <w:rFonts w:ascii="Book Antiqua" w:hAnsi="Book Antiqua"/>
          <w:color w:val="000000"/>
        </w:rPr>
        <w:t>in accordance with the manufacturer’s instructions. After cell adherence, a considerable volume of virus was added to the cells for 6-8 h. Then, fresh complete medium was added, and the cells were harvested for 2 d. Cells were continuously cultured and used for subsequent studies.</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Cell viability assay</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A CCK-8 (</w:t>
      </w:r>
      <w:proofErr w:type="spellStart"/>
      <w:r w:rsidRPr="00815B74">
        <w:rPr>
          <w:rFonts w:ascii="Book Antiqua" w:hAnsi="Book Antiqua"/>
          <w:color w:val="000000"/>
        </w:rPr>
        <w:t>Beyotime</w:t>
      </w:r>
      <w:proofErr w:type="spellEnd"/>
      <w:r w:rsidRPr="00815B74">
        <w:rPr>
          <w:rFonts w:ascii="Book Antiqua" w:hAnsi="Book Antiqua"/>
          <w:color w:val="000000"/>
        </w:rPr>
        <w:t xml:space="preserve">, Shanghai) assay was performed to determine the viability of PDCA cells. CCK-8 is widely used in the rapid and highly sensitive detection of cell proliferation and cytotoxicity based on WST-8. PDAC cells at 1000 cells/well were inoculated into 96-well plates after the corresponding treatment and incubated for the indicated times. Then, 10 </w:t>
      </w:r>
      <w:proofErr w:type="spellStart"/>
      <w:r w:rsidRPr="00815B74">
        <w:rPr>
          <w:rFonts w:ascii="Book Antiqua" w:hAnsi="Book Antiqua"/>
          <w:color w:val="000000"/>
        </w:rPr>
        <w:t>μL</w:t>
      </w:r>
      <w:proofErr w:type="spellEnd"/>
      <w:r w:rsidRPr="00815B74">
        <w:rPr>
          <w:rFonts w:ascii="Book Antiqua" w:hAnsi="Book Antiqua"/>
          <w:color w:val="000000"/>
        </w:rPr>
        <w:t xml:space="preserve"> of CCK-8 was added to the medium and cultured for 2 h in the dark. A microplate reader (Bio-</w:t>
      </w:r>
      <w:proofErr w:type="spellStart"/>
      <w:r w:rsidRPr="00815B74">
        <w:rPr>
          <w:rFonts w:ascii="Book Antiqua" w:hAnsi="Book Antiqua"/>
          <w:color w:val="000000"/>
        </w:rPr>
        <w:t>Tek</w:t>
      </w:r>
      <w:proofErr w:type="spellEnd"/>
      <w:r w:rsidRPr="00815B74">
        <w:rPr>
          <w:rFonts w:ascii="Book Antiqua" w:hAnsi="Book Antiqua"/>
          <w:color w:val="000000"/>
        </w:rPr>
        <w:t>, United States) was used to measure the absorbance of PDCA cells at 450 nm.</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Colony formation assay</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PDAC cells with different treatments </w:t>
      </w:r>
      <w:proofErr w:type="gramStart"/>
      <w:r w:rsidRPr="00815B74">
        <w:rPr>
          <w:rFonts w:ascii="Book Antiqua" w:hAnsi="Book Antiqua"/>
          <w:color w:val="000000"/>
        </w:rPr>
        <w:t>(approximately 500 cells/well)</w:t>
      </w:r>
      <w:proofErr w:type="gramEnd"/>
      <w:r w:rsidRPr="00815B74">
        <w:rPr>
          <w:rFonts w:ascii="Book Antiqua" w:hAnsi="Book Antiqua"/>
          <w:color w:val="000000"/>
        </w:rPr>
        <w:t xml:space="preserve"> were seeded in 6-well plates. The culture medium was changed every 3 d. After approximately 2 weeks of culture, the cells were cleaned with PBS and fixed with 10% formalin for 20 min at ordinary temperature. Then, 0.1% crystal violet (Sigma-Aldrich) was used to stain the cells for 20 min at room temperature. After staining, the plates were washed and dried. </w:t>
      </w:r>
      <w:r w:rsidRPr="00815B74">
        <w:rPr>
          <w:rFonts w:ascii="Book Antiqua" w:hAnsi="Book Antiqua" w:hint="eastAsia"/>
          <w:color w:val="000000"/>
        </w:rPr>
        <w:t>T</w:t>
      </w:r>
      <w:r w:rsidRPr="00815B74">
        <w:rPr>
          <w:rFonts w:ascii="Book Antiqua" w:hAnsi="Book Antiqua"/>
          <w:color w:val="000000"/>
        </w:rPr>
        <w:t xml:space="preserve">he colonies </w:t>
      </w:r>
      <w:r w:rsidRPr="00815B74">
        <w:rPr>
          <w:rFonts w:ascii="Book Antiqua" w:hAnsi="Book Antiqua"/>
          <w:color w:val="000000"/>
        </w:rPr>
        <w:lastRenderedPageBreak/>
        <w:t>(with more than 50 cells)</w:t>
      </w:r>
      <w:r w:rsidRPr="00815B74">
        <w:rPr>
          <w:rFonts w:ascii="Book Antiqua" w:hAnsi="Book Antiqua" w:hint="eastAsia"/>
          <w:color w:val="000000"/>
        </w:rPr>
        <w:t xml:space="preserve"> were observed under a</w:t>
      </w:r>
      <w:r w:rsidRPr="00815B74">
        <w:rPr>
          <w:rFonts w:ascii="Book Antiqua" w:hAnsi="Book Antiqua"/>
          <w:color w:val="000000"/>
        </w:rPr>
        <w:t xml:space="preserve"> microscope (Leica, Germany).</w:t>
      </w:r>
    </w:p>
    <w:p w:rsidR="00D059D8" w:rsidRPr="00815B74" w:rsidRDefault="00D059D8">
      <w:pPr>
        <w:adjustRightInd w:val="0"/>
        <w:snapToGrid w:val="0"/>
        <w:spacing w:line="360" w:lineRule="auto"/>
        <w:jc w:val="both"/>
        <w:rPr>
          <w:rFonts w:ascii="Book Antiqua" w:hAnsi="Book Antiqua"/>
          <w:b/>
          <w:bCs/>
          <w:i/>
          <w:iCs/>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Western blot analysis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Proteins were extracted using RIPA buffer mixed with 1% protease inhibitor cocktail (</w:t>
      </w:r>
      <w:proofErr w:type="spellStart"/>
      <w:r w:rsidRPr="00815B74">
        <w:rPr>
          <w:rFonts w:ascii="Book Antiqua" w:hAnsi="Book Antiqua"/>
          <w:color w:val="000000"/>
        </w:rPr>
        <w:t>Beyotime</w:t>
      </w:r>
      <w:proofErr w:type="spellEnd"/>
      <w:r w:rsidRPr="00815B74">
        <w:rPr>
          <w:rFonts w:ascii="Book Antiqua" w:hAnsi="Book Antiqua"/>
          <w:color w:val="000000"/>
        </w:rPr>
        <w:t xml:space="preserve">, Shanghai, </w:t>
      </w:r>
      <w:proofErr w:type="gramStart"/>
      <w:r w:rsidRPr="00815B74">
        <w:rPr>
          <w:rFonts w:ascii="Book Antiqua" w:hAnsi="Book Antiqua"/>
          <w:color w:val="000000"/>
        </w:rPr>
        <w:t>China</w:t>
      </w:r>
      <w:proofErr w:type="gramEnd"/>
      <w:r w:rsidRPr="00815B74">
        <w:rPr>
          <w:rFonts w:ascii="Book Antiqua" w:hAnsi="Book Antiqua"/>
          <w:color w:val="000000"/>
        </w:rPr>
        <w:t xml:space="preserve">). Ten percent sodium dodecyl sulfate polyacrylamide gel electrophoresis (SDS-PAGE) was applied to separate the cell proteins, and </w:t>
      </w:r>
      <w:proofErr w:type="spellStart"/>
      <w:r w:rsidRPr="00815B74">
        <w:rPr>
          <w:rFonts w:ascii="Book Antiqua" w:hAnsi="Book Antiqua"/>
          <w:color w:val="000000"/>
        </w:rPr>
        <w:t>polyvinylidene</w:t>
      </w:r>
      <w:proofErr w:type="spellEnd"/>
      <w:r w:rsidRPr="00815B74">
        <w:rPr>
          <w:rFonts w:ascii="Book Antiqua" w:hAnsi="Book Antiqua"/>
          <w:color w:val="000000"/>
        </w:rPr>
        <w:t xml:space="preserve"> difluoride (PVDF) membranes were used for transfer. Five percent skim milk was used to block the membranes for 2 h. Then, the membranes were incubated with primary antibodies against </w:t>
      </w:r>
      <w:bookmarkStart w:id="47" w:name="OLE_LINK4"/>
      <w:r w:rsidRPr="00815B74">
        <w:rPr>
          <w:rFonts w:ascii="Book Antiqua" w:hAnsi="Book Antiqua"/>
          <w:color w:val="000000"/>
        </w:rPr>
        <w:t>TBL1XR1</w:t>
      </w:r>
      <w:bookmarkEnd w:id="47"/>
      <w:r w:rsidRPr="00815B74">
        <w:rPr>
          <w:rFonts w:ascii="Book Antiqua" w:hAnsi="Book Antiqua"/>
          <w:color w:val="000000"/>
        </w:rPr>
        <w:t xml:space="preserve"> (</w:t>
      </w:r>
      <w:proofErr w:type="spellStart"/>
      <w:r w:rsidRPr="00815B74">
        <w:rPr>
          <w:rFonts w:ascii="Book Antiqua" w:hAnsi="Book Antiqua"/>
          <w:color w:val="000000"/>
        </w:rPr>
        <w:t>Abcam</w:t>
      </w:r>
      <w:proofErr w:type="spellEnd"/>
      <w:r w:rsidRPr="00815B74">
        <w:rPr>
          <w:rFonts w:ascii="Book Antiqua" w:hAnsi="Book Antiqua"/>
          <w:color w:val="000000"/>
        </w:rPr>
        <w:t>, ab228940), p-AKT (CST, 9271), p-PI3K (CST, 17366) and GAPDH (</w:t>
      </w:r>
      <w:proofErr w:type="spellStart"/>
      <w:r w:rsidRPr="00815B74">
        <w:rPr>
          <w:rFonts w:ascii="Book Antiqua" w:hAnsi="Book Antiqua"/>
          <w:color w:val="000000"/>
        </w:rPr>
        <w:t>Abclonal</w:t>
      </w:r>
      <w:proofErr w:type="spellEnd"/>
      <w:r w:rsidRPr="00815B74">
        <w:rPr>
          <w:rFonts w:ascii="Book Antiqua" w:hAnsi="Book Antiqua"/>
          <w:color w:val="000000"/>
        </w:rPr>
        <w:t>, A19056) at 4 °C overnight. The second day, secondary antibodies were added and incubated with the PVDF membranes for 1 h at room temperature. A Gel Doc 2000 system (Bio-Rad, United States) was used to detect protein expression.</w:t>
      </w:r>
    </w:p>
    <w:p w:rsidR="00D059D8" w:rsidRPr="00815B74" w:rsidRDefault="00D059D8">
      <w:pPr>
        <w:adjustRightInd w:val="0"/>
        <w:snapToGrid w:val="0"/>
        <w:spacing w:line="360" w:lineRule="auto"/>
        <w:jc w:val="both"/>
        <w:rPr>
          <w:rFonts w:ascii="Book Antiqua" w:hAnsi="Book Antiqua"/>
          <w:b/>
          <w:bCs/>
          <w:i/>
          <w:iCs/>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Cell cycle and apoptosis analyses</w:t>
      </w: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color w:val="000000"/>
        </w:rPr>
        <w:t>For cell cycle analysis, PDAC cells with different treatments were fixed with 75% ethanol at 4 °C</w:t>
      </w:r>
      <w:r w:rsidRPr="00815B74">
        <w:rPr>
          <w:rFonts w:ascii="Book Antiqua" w:hAnsi="Book Antiqua" w:cs="Cambria Math"/>
          <w:color w:val="000000"/>
          <w:lang w:eastAsia="ja-JP"/>
        </w:rPr>
        <w:t xml:space="preserve"> overnight</w:t>
      </w:r>
      <w:r w:rsidRPr="00815B74">
        <w:rPr>
          <w:rFonts w:ascii="Book Antiqua" w:hAnsi="Book Antiqua"/>
          <w:color w:val="000000"/>
        </w:rPr>
        <w:t xml:space="preserve">. Then, the cells were centrifuged for precipitation and incubated with 5 </w:t>
      </w:r>
      <w:proofErr w:type="spellStart"/>
      <w:r w:rsidRPr="00815B74">
        <w:rPr>
          <w:rFonts w:ascii="Book Antiqua" w:hAnsi="Book Antiqua"/>
          <w:color w:val="000000"/>
        </w:rPr>
        <w:t>μL</w:t>
      </w:r>
      <w:proofErr w:type="spellEnd"/>
      <w:r w:rsidRPr="00815B74">
        <w:rPr>
          <w:rFonts w:ascii="Book Antiqua" w:hAnsi="Book Antiqua"/>
          <w:color w:val="000000"/>
        </w:rPr>
        <w:t xml:space="preserve"> </w:t>
      </w:r>
      <w:r w:rsidRPr="00815B74">
        <w:rPr>
          <w:rFonts w:ascii="Book Antiqua" w:hAnsi="Book Antiqua" w:hint="eastAsia"/>
          <w:color w:val="000000"/>
        </w:rPr>
        <w:t>of</w:t>
      </w:r>
      <w:r w:rsidRPr="00815B74">
        <w:rPr>
          <w:rFonts w:ascii="Book Antiqua" w:hAnsi="Book Antiqua"/>
          <w:color w:val="000000"/>
        </w:rPr>
        <w:t xml:space="preserve"> RNase and 5 </w:t>
      </w:r>
      <w:proofErr w:type="spellStart"/>
      <w:r w:rsidRPr="00815B74">
        <w:rPr>
          <w:rFonts w:ascii="Book Antiqua" w:hAnsi="Book Antiqua"/>
          <w:color w:val="000000"/>
        </w:rPr>
        <w:t>μL</w:t>
      </w:r>
      <w:proofErr w:type="spellEnd"/>
      <w:r w:rsidRPr="00815B74">
        <w:rPr>
          <w:rFonts w:ascii="Book Antiqua" w:hAnsi="Book Antiqua"/>
          <w:color w:val="000000"/>
        </w:rPr>
        <w:t xml:space="preserve"> </w:t>
      </w:r>
      <w:r w:rsidRPr="00815B74">
        <w:rPr>
          <w:rFonts w:ascii="Book Antiqua" w:hAnsi="Book Antiqua" w:hint="eastAsia"/>
          <w:color w:val="000000"/>
        </w:rPr>
        <w:t>of</w:t>
      </w:r>
      <w:r w:rsidRPr="00815B74">
        <w:rPr>
          <w:rFonts w:ascii="Book Antiqua" w:hAnsi="Book Antiqua"/>
          <w:color w:val="000000"/>
        </w:rPr>
        <w:t xml:space="preserve"> PI at room temperature. For cell apoptosis analysis, PDAC cells with different treatments were </w:t>
      </w:r>
      <w:proofErr w:type="spellStart"/>
      <w:r w:rsidRPr="00815B74">
        <w:rPr>
          <w:rFonts w:ascii="Book Antiqua" w:hAnsi="Book Antiqua"/>
          <w:color w:val="000000"/>
        </w:rPr>
        <w:t>resuspended</w:t>
      </w:r>
      <w:proofErr w:type="spellEnd"/>
      <w:r w:rsidRPr="00815B74">
        <w:rPr>
          <w:rFonts w:ascii="Book Antiqua" w:hAnsi="Book Antiqua"/>
          <w:color w:val="000000"/>
        </w:rPr>
        <w:t xml:space="preserve"> with 1 ×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 binding bu</w:t>
      </w:r>
      <w:r w:rsidRPr="00815B74">
        <w:rPr>
          <w:rFonts w:ascii="Times New Roman" w:hAnsi="Times New Roman"/>
          <w:color w:val="000000"/>
        </w:rPr>
        <w:t>ﬀ</w:t>
      </w:r>
      <w:r w:rsidRPr="00815B74">
        <w:rPr>
          <w:rFonts w:ascii="Book Antiqua" w:hAnsi="Book Antiqua"/>
          <w:color w:val="000000"/>
        </w:rPr>
        <w:t xml:space="preserve">er and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 and PI at 37 </w:t>
      </w:r>
      <w:bookmarkStart w:id="48" w:name="OLE_LINK44"/>
      <w:bookmarkStart w:id="49" w:name="OLE_LINK45"/>
      <w:r w:rsidRPr="00815B74">
        <w:rPr>
          <w:rFonts w:ascii="Book Antiqua" w:hAnsi="Book Antiqua"/>
          <w:color w:val="000000"/>
        </w:rPr>
        <w:t>°C</w:t>
      </w:r>
      <w:bookmarkEnd w:id="48"/>
      <w:bookmarkEnd w:id="49"/>
      <w:r w:rsidRPr="00815B74">
        <w:rPr>
          <w:rFonts w:ascii="Book Antiqua" w:hAnsi="Book Antiqua"/>
          <w:color w:val="000000"/>
        </w:rPr>
        <w:t>. After incubation for half an hour, the apoptotic cell and cell cycle ratios were detected with ﬂow cytometric analysis.</w:t>
      </w:r>
    </w:p>
    <w:p w:rsidR="00D059D8" w:rsidRPr="00815B74" w:rsidRDefault="00D059D8">
      <w:pPr>
        <w:adjustRightInd w:val="0"/>
        <w:snapToGrid w:val="0"/>
        <w:spacing w:line="360" w:lineRule="auto"/>
        <w:jc w:val="both"/>
        <w:rPr>
          <w:rFonts w:ascii="Book Antiqua" w:hAnsi="Book Antiqua"/>
          <w:b/>
          <w:bCs/>
          <w:i/>
          <w:iCs/>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Animal study</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Four- to six-week-old nu/nu nude mice were purchased from the Shanghai Laboratory Animal Centre of the Chinese Academy of Sciences (Shanghai, China). The mice were randomly divided into the </w:t>
      </w:r>
      <w:proofErr w:type="spellStart"/>
      <w:r w:rsidRPr="00815B74">
        <w:rPr>
          <w:rFonts w:ascii="Book Antiqua" w:hAnsi="Book Antiqua"/>
          <w:color w:val="000000"/>
        </w:rPr>
        <w:t>Lv-shCTRL</w:t>
      </w:r>
      <w:proofErr w:type="spellEnd"/>
      <w:r w:rsidRPr="00815B74">
        <w:rPr>
          <w:rFonts w:ascii="Book Antiqua" w:hAnsi="Book Antiqua"/>
          <w:color w:val="000000"/>
        </w:rPr>
        <w:t xml:space="preserve"> group and the Lv-shTBL1XR1 group. One hundred thousand Panc1 cells were </w:t>
      </w:r>
      <w:proofErr w:type="spellStart"/>
      <w:r w:rsidRPr="00815B74">
        <w:rPr>
          <w:rFonts w:ascii="Book Antiqua" w:hAnsi="Book Antiqua"/>
          <w:color w:val="000000"/>
        </w:rPr>
        <w:t>resuspended</w:t>
      </w:r>
      <w:proofErr w:type="spellEnd"/>
      <w:r w:rsidRPr="00815B74">
        <w:rPr>
          <w:rFonts w:ascii="Book Antiqua" w:hAnsi="Book Antiqua"/>
          <w:color w:val="000000"/>
        </w:rPr>
        <w:t xml:space="preserve"> in 0.1 ml </w:t>
      </w:r>
      <w:r w:rsidRPr="00815B74">
        <w:rPr>
          <w:rFonts w:ascii="Book Antiqua" w:hAnsi="Book Antiqua" w:hint="eastAsia"/>
          <w:color w:val="000000"/>
        </w:rPr>
        <w:t>of</w:t>
      </w:r>
      <w:r w:rsidRPr="00815B74">
        <w:rPr>
          <w:rFonts w:ascii="Book Antiqua" w:hAnsi="Book Antiqua"/>
          <w:color w:val="000000"/>
        </w:rPr>
        <w:t xml:space="preserve"> serum-free medium and hypodermically inoculated into the right </w:t>
      </w:r>
      <w:r w:rsidRPr="00815B74">
        <w:rPr>
          <w:rFonts w:ascii="Book Antiqua" w:hAnsi="Book Antiqua"/>
          <w:color w:val="000000"/>
        </w:rPr>
        <w:lastRenderedPageBreak/>
        <w:t>axilla of the mice. After approximately 4 weeks, the mice were sacrificed, and the subcutaneous tumors were measured and weighed. The volume of the tumors was calculated by the following formula: volume = length (mm) × width</w:t>
      </w:r>
      <w:r w:rsidRPr="00815B74">
        <w:rPr>
          <w:rFonts w:ascii="Book Antiqua" w:hAnsi="Book Antiqua"/>
          <w:color w:val="000000"/>
          <w:vertAlign w:val="superscript"/>
        </w:rPr>
        <w:t>2</w:t>
      </w:r>
      <w:r w:rsidRPr="00815B74">
        <w:rPr>
          <w:rFonts w:ascii="Book Antiqua" w:hAnsi="Book Antiqua"/>
          <w:color w:val="000000"/>
        </w:rPr>
        <w:t xml:space="preserve"> (mm</w:t>
      </w:r>
      <w:r w:rsidRPr="00815B74">
        <w:rPr>
          <w:rFonts w:ascii="Book Antiqua" w:hAnsi="Book Antiqua"/>
          <w:color w:val="000000"/>
          <w:vertAlign w:val="superscript"/>
        </w:rPr>
        <w:t>2</w:t>
      </w:r>
      <w:r w:rsidRPr="00815B74">
        <w:rPr>
          <w:rFonts w:ascii="Book Antiqua" w:hAnsi="Book Antiqua"/>
          <w:color w:val="000000"/>
        </w:rPr>
        <w:t>)/2.</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cs="等线"/>
          <w:b/>
          <w:bCs/>
          <w:i/>
          <w:color w:val="000000"/>
        </w:rPr>
      </w:pPr>
      <w:r w:rsidRPr="00815B74">
        <w:rPr>
          <w:rFonts w:ascii="Book Antiqua" w:hAnsi="Book Antiqua" w:cs="等线"/>
          <w:b/>
          <w:bCs/>
          <w:i/>
          <w:color w:val="000000"/>
        </w:rPr>
        <w:t>Statistical analys</w:t>
      </w:r>
      <w:r w:rsidRPr="00815B74">
        <w:rPr>
          <w:rFonts w:ascii="Book Antiqua" w:hAnsi="Book Antiqua" w:cs="等线" w:hint="eastAsia"/>
          <w:b/>
          <w:bCs/>
          <w:i/>
          <w:color w:val="000000"/>
        </w:rPr>
        <w:t>i</w:t>
      </w:r>
      <w:r w:rsidRPr="00815B74">
        <w:rPr>
          <w:rFonts w:ascii="Book Antiqua" w:hAnsi="Book Antiqua" w:cs="等线"/>
          <w:b/>
          <w:bCs/>
          <w:i/>
          <w:color w:val="000000"/>
        </w:rPr>
        <w:t>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All experiments were repeated at least 3 times, and the results are expressed as the mean ± standard deviation unless otherwise stated. Student’s </w:t>
      </w:r>
      <w:proofErr w:type="spellStart"/>
      <w:r w:rsidRPr="00815B74">
        <w:rPr>
          <w:rFonts w:ascii="Book Antiqua" w:hAnsi="Book Antiqua"/>
          <w:i/>
          <w:color w:val="000000"/>
        </w:rPr>
        <w:t>t</w:t>
      </w:r>
      <w:r w:rsidRPr="00815B74">
        <w:rPr>
          <w:rFonts w:ascii="Book Antiqua" w:hAnsi="Book Antiqua"/>
          <w:color w:val="000000"/>
        </w:rPr>
        <w:t>test</w:t>
      </w:r>
      <w:proofErr w:type="spellEnd"/>
      <w:r w:rsidRPr="00815B74">
        <w:rPr>
          <w:rFonts w:ascii="Book Antiqua" w:hAnsi="Book Antiqua"/>
          <w:color w:val="000000"/>
        </w:rPr>
        <w:t xml:space="preserve"> was used to compare differences between the treated groups and the corresponding control groups; </w:t>
      </w:r>
      <w:r w:rsidRPr="00815B74">
        <w:rPr>
          <w:rFonts w:ascii="Book Antiqua" w:hAnsi="Book Antiqua"/>
          <w:i/>
          <w:iCs/>
          <w:color w:val="000000"/>
        </w:rPr>
        <w:t>P</w:t>
      </w:r>
      <w:r w:rsidRPr="00815B74">
        <w:rPr>
          <w:rFonts w:ascii="Book Antiqua" w:hAnsi="Book Antiqua"/>
          <w:color w:val="000000"/>
        </w:rPr>
        <w:t xml:space="preserve"> &lt; 0.05 was considered statistically significant.</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color w:val="000000"/>
          <w:u w:val="single"/>
        </w:rPr>
      </w:pPr>
      <w:bookmarkStart w:id="50" w:name="OLE_LINK36"/>
      <w:bookmarkStart w:id="51" w:name="OLE_LINK37"/>
      <w:r w:rsidRPr="00815B74">
        <w:rPr>
          <w:rFonts w:ascii="Book Antiqua" w:hAnsi="Book Antiqua"/>
          <w:b/>
          <w:color w:val="000000"/>
          <w:u w:val="single"/>
        </w:rPr>
        <w:t>RESULTS</w:t>
      </w:r>
    </w:p>
    <w:bookmarkEnd w:id="50"/>
    <w:bookmarkEnd w:id="51"/>
    <w:p w:rsidR="00D059D8" w:rsidRPr="00815B74" w:rsidRDefault="00D059D8">
      <w:pPr>
        <w:adjustRightInd w:val="0"/>
        <w:snapToGrid w:val="0"/>
        <w:spacing w:line="360" w:lineRule="auto"/>
        <w:jc w:val="both"/>
        <w:rPr>
          <w:rFonts w:ascii="Book Antiqua" w:hAnsi="Book Antiqua"/>
          <w:b/>
          <w:bCs/>
          <w:i/>
          <w:iCs/>
          <w:color w:val="000000"/>
        </w:rPr>
      </w:pPr>
      <w:proofErr w:type="spellStart"/>
      <w:r w:rsidRPr="00815B74">
        <w:rPr>
          <w:rFonts w:ascii="Book Antiqua" w:hAnsi="Book Antiqua"/>
          <w:b/>
          <w:bCs/>
          <w:i/>
          <w:iCs/>
          <w:color w:val="000000"/>
        </w:rPr>
        <w:t>Clinicopathological</w:t>
      </w:r>
      <w:proofErr w:type="spellEnd"/>
      <w:r w:rsidRPr="00815B74">
        <w:rPr>
          <w:rFonts w:ascii="Book Antiqua" w:hAnsi="Book Antiqua"/>
          <w:b/>
          <w:bCs/>
          <w:i/>
          <w:iCs/>
          <w:color w:val="000000"/>
        </w:rPr>
        <w:t xml:space="preserve"> significance of TBL1XR1 expression in patients with PDAC</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The </w:t>
      </w:r>
      <w:proofErr w:type="spellStart"/>
      <w:r w:rsidRPr="00815B74">
        <w:rPr>
          <w:rFonts w:ascii="Book Antiqua" w:hAnsi="Book Antiqua"/>
          <w:color w:val="000000"/>
        </w:rPr>
        <w:t>clinicopathological</w:t>
      </w:r>
      <w:proofErr w:type="spellEnd"/>
      <w:r w:rsidRPr="00815B74">
        <w:rPr>
          <w:rFonts w:ascii="Book Antiqua" w:hAnsi="Book Antiqua"/>
          <w:color w:val="000000"/>
        </w:rPr>
        <w:t xml:space="preserve"> features of the 90 PDAC patients are shown in Table 1. As illustrated in Table 1, the overexpression of TBL1XR1 was associated with TNM stage (</w:t>
      </w:r>
      <w:r w:rsidRPr="00815B74">
        <w:rPr>
          <w:rFonts w:ascii="Book Antiqua" w:hAnsi="Book Antiqua"/>
          <w:i/>
          <w:iCs/>
          <w:color w:val="000000"/>
        </w:rPr>
        <w:t>P</w:t>
      </w:r>
      <w:r w:rsidRPr="00815B74">
        <w:rPr>
          <w:rFonts w:ascii="Book Antiqua" w:hAnsi="Book Antiqua"/>
          <w:color w:val="000000"/>
        </w:rPr>
        <w:t xml:space="preserve"> = 0.006) but not with patient age (</w:t>
      </w:r>
      <w:r w:rsidRPr="00815B74">
        <w:rPr>
          <w:rFonts w:ascii="Book Antiqua" w:hAnsi="Book Antiqua"/>
          <w:i/>
          <w:iCs/>
          <w:color w:val="000000"/>
        </w:rPr>
        <w:t>P</w:t>
      </w:r>
      <w:r w:rsidRPr="00815B74">
        <w:rPr>
          <w:rFonts w:ascii="Book Antiqua" w:hAnsi="Book Antiqua"/>
          <w:color w:val="000000"/>
        </w:rPr>
        <w:t xml:space="preserve"> = 0.652), gender (</w:t>
      </w:r>
      <w:r w:rsidRPr="00815B74">
        <w:rPr>
          <w:rFonts w:ascii="Book Antiqua" w:hAnsi="Book Antiqua"/>
          <w:i/>
          <w:iCs/>
          <w:color w:val="000000"/>
        </w:rPr>
        <w:t>P</w:t>
      </w:r>
      <w:r w:rsidRPr="00815B74">
        <w:rPr>
          <w:rFonts w:ascii="Book Antiqua" w:hAnsi="Book Antiqua"/>
          <w:color w:val="000000"/>
        </w:rPr>
        <w:t xml:space="preserve"> = 1.000), histopathological subtype (</w:t>
      </w:r>
      <w:r w:rsidRPr="00815B74">
        <w:rPr>
          <w:rFonts w:ascii="Book Antiqua" w:hAnsi="Book Antiqua"/>
          <w:i/>
          <w:iCs/>
          <w:color w:val="000000"/>
        </w:rPr>
        <w:t>P</w:t>
      </w:r>
      <w:r w:rsidRPr="00815B74">
        <w:rPr>
          <w:rFonts w:ascii="Book Antiqua" w:hAnsi="Book Antiqua"/>
          <w:color w:val="000000"/>
        </w:rPr>
        <w:t xml:space="preserve"> = 0.929), tumor size (</w:t>
      </w:r>
      <w:r w:rsidRPr="00815B74">
        <w:rPr>
          <w:rFonts w:ascii="Book Antiqua" w:hAnsi="Book Antiqua"/>
          <w:i/>
          <w:iCs/>
          <w:color w:val="000000"/>
        </w:rPr>
        <w:t>P</w:t>
      </w:r>
      <w:r w:rsidRPr="00815B74">
        <w:rPr>
          <w:rFonts w:ascii="Book Antiqua" w:hAnsi="Book Antiqua"/>
          <w:color w:val="000000"/>
        </w:rPr>
        <w:t xml:space="preserve"> = 0.465), tumor location (</w:t>
      </w:r>
      <w:r w:rsidRPr="00815B74">
        <w:rPr>
          <w:rFonts w:ascii="Book Antiqua" w:hAnsi="Book Antiqua"/>
          <w:i/>
          <w:iCs/>
          <w:color w:val="000000"/>
        </w:rPr>
        <w:t>P</w:t>
      </w:r>
      <w:r w:rsidRPr="00815B74">
        <w:rPr>
          <w:rFonts w:ascii="Book Antiqua" w:hAnsi="Book Antiqua"/>
          <w:color w:val="000000"/>
        </w:rPr>
        <w:t xml:space="preserve"> = 0.065) or lymph node metastasis (</w:t>
      </w:r>
      <w:r w:rsidRPr="00815B74">
        <w:rPr>
          <w:rFonts w:ascii="Book Antiqua" w:hAnsi="Book Antiqua"/>
          <w:i/>
          <w:iCs/>
          <w:color w:val="000000"/>
        </w:rPr>
        <w:t>P</w:t>
      </w:r>
      <w:r w:rsidRPr="00815B74">
        <w:rPr>
          <w:rFonts w:ascii="Book Antiqua" w:hAnsi="Book Antiqua"/>
          <w:color w:val="000000"/>
        </w:rPr>
        <w:t xml:space="preserve"> = 0.050). To additionally confirm the importance of TBL1XR1 in PDAC, we analyzed the overall survival (OS) of 90 patients by the Kaplan-Meier method (Table 2). Table 2 and Figure 1A show that patients with TBL1XR1-negative expression displayed a longer OS than those with TBL1XR1-positive expression (</w:t>
      </w:r>
      <w:r w:rsidRPr="00815B74">
        <w:rPr>
          <w:rFonts w:ascii="Book Antiqua" w:hAnsi="Book Antiqua"/>
          <w:i/>
          <w:iCs/>
          <w:color w:val="000000"/>
        </w:rPr>
        <w:t>P</w:t>
      </w:r>
      <w:r w:rsidRPr="00815B74">
        <w:rPr>
          <w:rFonts w:ascii="Book Antiqua" w:hAnsi="Book Antiqua"/>
          <w:color w:val="000000"/>
        </w:rPr>
        <w:t xml:space="preserve"> &lt; 0.001). Moreover, TNM stage (</w:t>
      </w:r>
      <w:r w:rsidRPr="00815B74">
        <w:rPr>
          <w:rFonts w:ascii="Book Antiqua" w:hAnsi="Book Antiqua"/>
          <w:i/>
          <w:iCs/>
          <w:color w:val="000000"/>
        </w:rPr>
        <w:t xml:space="preserve">P </w:t>
      </w:r>
      <w:r w:rsidRPr="00815B74">
        <w:rPr>
          <w:rFonts w:ascii="Book Antiqua" w:hAnsi="Book Antiqua"/>
          <w:color w:val="000000"/>
        </w:rPr>
        <w:t>&lt; 0.001) and lymph node metastasis (</w:t>
      </w:r>
      <w:r w:rsidRPr="00815B74">
        <w:rPr>
          <w:rFonts w:ascii="Book Antiqua" w:hAnsi="Book Antiqua"/>
          <w:i/>
          <w:iCs/>
          <w:color w:val="000000"/>
        </w:rPr>
        <w:t>P</w:t>
      </w:r>
      <w:r w:rsidRPr="00815B74">
        <w:rPr>
          <w:rFonts w:ascii="Book Antiqua" w:hAnsi="Book Antiqua"/>
          <w:color w:val="000000"/>
        </w:rPr>
        <w:t xml:space="preserve"> = 0.047) were obviously related to the average survival time. Furthermore, the Cox proportional hazards model was used in multivariate analysis. As shown in Table 3, TBL1XR1 expression, TNM stage and lymph node metastasis </w:t>
      </w:r>
      <w:r w:rsidRPr="00815B74">
        <w:rPr>
          <w:rFonts w:ascii="Book Antiqua" w:hAnsi="Book Antiqua" w:hint="eastAsia"/>
          <w:color w:val="000000"/>
        </w:rPr>
        <w:t xml:space="preserve">were found to be </w:t>
      </w:r>
      <w:r w:rsidRPr="00815B74">
        <w:rPr>
          <w:rFonts w:ascii="Book Antiqua" w:hAnsi="Book Antiqua"/>
          <w:color w:val="000000"/>
        </w:rPr>
        <w:t>significant independent prognostic factors for patients with PDAC, suggesting that TBL1XR1 expression is a risk factor for PDAC.</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lastRenderedPageBreak/>
        <w:t>Enhanced expression of TBL1XR1 in PDAC tissues and cell lines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To investigate the possible role of TBL1XR1 in PDAC, we used IHC staining to investigate the relationship between TBL1XR1 expression and the </w:t>
      </w:r>
      <w:proofErr w:type="spellStart"/>
      <w:r w:rsidRPr="00815B74">
        <w:rPr>
          <w:rFonts w:ascii="Book Antiqua" w:hAnsi="Book Antiqua"/>
          <w:color w:val="000000"/>
        </w:rPr>
        <w:t>clinicopathological</w:t>
      </w:r>
      <w:proofErr w:type="spellEnd"/>
      <w:r w:rsidRPr="00815B74">
        <w:rPr>
          <w:rFonts w:ascii="Book Antiqua" w:hAnsi="Book Antiqua"/>
          <w:color w:val="000000"/>
        </w:rPr>
        <w:t xml:space="preserve"> features of the patients with PDAC (Figure 1B). IHC staining revealed that TBL1XR1 was mainly localized in the PDAC cell nucleus. The positive rate of TBL1XR1 staining in the tumor cells was approximately 70% (63/90) of the PDAC patients. Only 30% (27/90) of the patients possessed positive staining in the corresponding control tissues (Figure 1C, </w:t>
      </w:r>
      <w:r w:rsidRPr="00815B74">
        <w:rPr>
          <w:rFonts w:ascii="Book Antiqua" w:hAnsi="Book Antiqua"/>
          <w:i/>
          <w:iCs/>
          <w:color w:val="000000"/>
        </w:rPr>
        <w:t>P</w:t>
      </w:r>
      <w:r w:rsidRPr="00815B74">
        <w:rPr>
          <w:rFonts w:ascii="Book Antiqua" w:hAnsi="Book Antiqua"/>
          <w:color w:val="000000"/>
        </w:rPr>
        <w:t xml:space="preserve"> &lt; 0.001).</w:t>
      </w:r>
    </w:p>
    <w:p w:rsidR="00D059D8" w:rsidRPr="00815B74" w:rsidRDefault="00D059D8">
      <w:pPr>
        <w:adjustRightInd w:val="0"/>
        <w:snapToGrid w:val="0"/>
        <w:spacing w:line="360" w:lineRule="auto"/>
        <w:ind w:firstLineChars="100" w:firstLine="240"/>
        <w:jc w:val="both"/>
        <w:rPr>
          <w:rFonts w:ascii="Book Antiqua" w:hAnsi="Book Antiqua"/>
          <w:color w:val="000000"/>
        </w:rPr>
      </w:pPr>
      <w:r w:rsidRPr="00815B74">
        <w:rPr>
          <w:rFonts w:ascii="Book Antiqua" w:hAnsi="Book Antiqua"/>
          <w:color w:val="000000"/>
        </w:rPr>
        <w:t xml:space="preserve">To determine the expression of TBL1XR1 in the PDAC tumor tissues and the adjacent </w:t>
      </w:r>
      <w:r w:rsidRPr="00815B74">
        <w:rPr>
          <w:rFonts w:ascii="Book Antiqua" w:hAnsi="Book Antiqua" w:hint="eastAsia"/>
          <w:color w:val="000000"/>
        </w:rPr>
        <w:t>normal</w:t>
      </w:r>
      <w:r w:rsidRPr="00815B74">
        <w:rPr>
          <w:rFonts w:ascii="Book Antiqua" w:hAnsi="Book Antiqua"/>
          <w:color w:val="000000"/>
        </w:rPr>
        <w:t xml:space="preserve"> tissues, </w:t>
      </w:r>
      <w:bookmarkStart w:id="52" w:name="OLE_LINK26"/>
      <w:bookmarkStart w:id="53" w:name="OLE_LINK27"/>
      <w:bookmarkStart w:id="54" w:name="OLE_LINK46"/>
      <w:bookmarkStart w:id="55" w:name="OLE_LINK48"/>
      <w:bookmarkStart w:id="56" w:name="OLE_LINK149"/>
      <w:r w:rsidRPr="00815B74">
        <w:rPr>
          <w:rFonts w:ascii="Book Antiqua" w:hAnsi="Book Antiqua"/>
          <w:color w:val="000000"/>
        </w:rPr>
        <w:t>we performed quantitative</w:t>
      </w:r>
      <w:bookmarkEnd w:id="52"/>
      <w:bookmarkEnd w:id="53"/>
      <w:r w:rsidRPr="00815B74">
        <w:rPr>
          <w:rFonts w:ascii="Book Antiqua" w:hAnsi="Book Antiqua"/>
          <w:color w:val="000000"/>
        </w:rPr>
        <w:t xml:space="preserve"> RT-PCR</w:t>
      </w:r>
      <w:bookmarkEnd w:id="54"/>
      <w:bookmarkEnd w:id="55"/>
      <w:bookmarkEnd w:id="56"/>
      <w:r w:rsidRPr="00815B74">
        <w:rPr>
          <w:rFonts w:ascii="Book Antiqua" w:hAnsi="Book Antiqua"/>
          <w:color w:val="000000"/>
        </w:rPr>
        <w:t xml:space="preserve"> (</w:t>
      </w:r>
      <w:bookmarkStart w:id="57" w:name="OLE_LINK30"/>
      <w:bookmarkStart w:id="58" w:name="OLE_LINK31"/>
      <w:proofErr w:type="spellStart"/>
      <w:r w:rsidRPr="00815B74">
        <w:rPr>
          <w:rFonts w:ascii="Book Antiqua" w:hAnsi="Book Antiqua"/>
          <w:color w:val="000000"/>
        </w:rPr>
        <w:t>qRT</w:t>
      </w:r>
      <w:proofErr w:type="spellEnd"/>
      <w:r w:rsidRPr="00815B74">
        <w:rPr>
          <w:rFonts w:ascii="Book Antiqua" w:hAnsi="Book Antiqua"/>
          <w:color w:val="000000"/>
        </w:rPr>
        <w:t>-PCR</w:t>
      </w:r>
      <w:bookmarkEnd w:id="57"/>
      <w:bookmarkEnd w:id="58"/>
      <w:r w:rsidRPr="00815B74">
        <w:rPr>
          <w:rFonts w:ascii="Book Antiqua" w:hAnsi="Book Antiqua"/>
          <w:color w:val="000000"/>
        </w:rPr>
        <w:t xml:space="preserve">) and western blot assays. As illustrated in Figure 2A </w:t>
      </w:r>
      <w:r w:rsidRPr="00815B74">
        <w:rPr>
          <w:rFonts w:ascii="Book Antiqua" w:hAnsi="Book Antiqua" w:hint="eastAsia"/>
          <w:color w:val="000000"/>
        </w:rPr>
        <w:t>and</w:t>
      </w:r>
      <w:r w:rsidRPr="00815B74">
        <w:rPr>
          <w:rFonts w:ascii="Book Antiqua" w:hAnsi="Book Antiqua"/>
          <w:color w:val="000000"/>
        </w:rPr>
        <w:t xml:space="preserve"> B, enhanced expression of TBL1XR1 was observed in the PDAC tissues compared with the adjacent tissues. Then, we used MiaPaCa-2, Panc1, Aspc-1, and Capan1 cell lines</w:t>
      </w:r>
      <w:r w:rsidRPr="00815B74">
        <w:t xml:space="preserve"> </w:t>
      </w:r>
      <w:r w:rsidRPr="00815B74">
        <w:rPr>
          <w:rFonts w:ascii="Book Antiqua" w:hAnsi="Book Antiqua"/>
          <w:color w:val="000000"/>
        </w:rPr>
        <w:t xml:space="preserve">to evaluate the role of TBL1XR1 in PDAC cell lines. TBL1XR1 expression at the mRNA and protein levels was examined </w:t>
      </w:r>
      <w:r w:rsidRPr="00815B74">
        <w:rPr>
          <w:rFonts w:ascii="Book Antiqua" w:hAnsi="Book Antiqua"/>
          <w:i/>
          <w:iCs/>
          <w:color w:val="000000"/>
        </w:rPr>
        <w:t>via</w:t>
      </w:r>
      <w:r w:rsidRPr="00815B74">
        <w:rPr>
          <w:rFonts w:ascii="Book Antiqua" w:hAnsi="Book Antiqua"/>
          <w:color w:val="000000"/>
        </w:rPr>
        <w:t xml:space="preserve"> </w:t>
      </w:r>
      <w:proofErr w:type="spellStart"/>
      <w:r w:rsidRPr="00815B74">
        <w:rPr>
          <w:rFonts w:ascii="Book Antiqua" w:hAnsi="Book Antiqua"/>
          <w:color w:val="000000"/>
        </w:rPr>
        <w:t>qRT</w:t>
      </w:r>
      <w:proofErr w:type="spellEnd"/>
      <w:r w:rsidRPr="00815B74">
        <w:rPr>
          <w:rFonts w:ascii="Book Antiqua" w:hAnsi="Book Antiqua"/>
          <w:color w:val="000000"/>
        </w:rPr>
        <w:t xml:space="preserve">-PCR and western </w:t>
      </w:r>
      <w:proofErr w:type="gramStart"/>
      <w:r w:rsidRPr="00815B74">
        <w:rPr>
          <w:rFonts w:ascii="Book Antiqua" w:hAnsi="Book Antiqua"/>
          <w:color w:val="000000"/>
        </w:rPr>
        <w:t>blot</w:t>
      </w:r>
      <w:r w:rsidRPr="00815B74">
        <w:rPr>
          <w:rFonts w:ascii="Book Antiqua" w:hAnsi="Book Antiqua" w:hint="eastAsia"/>
          <w:color w:val="000000"/>
        </w:rPr>
        <w:t>ting</w:t>
      </w:r>
      <w:r w:rsidRPr="00815B74">
        <w:rPr>
          <w:rFonts w:ascii="Book Antiqua" w:hAnsi="Book Antiqua"/>
          <w:color w:val="000000"/>
        </w:rPr>
        <w:t xml:space="preserve"> .</w:t>
      </w:r>
      <w:proofErr w:type="gramEnd"/>
      <w:r w:rsidRPr="00815B74">
        <w:rPr>
          <w:rFonts w:ascii="Book Antiqua" w:hAnsi="Book Antiqua"/>
          <w:color w:val="000000"/>
        </w:rPr>
        <w:t xml:space="preserve"> We observed that TBL1XR1 was overexpressed in the PDAC cell lines, particularly in the Aspc-1 and Panc1 lines, at the mRNA (Figure 2C) and protein (Figure 2D) levels. Taken together, these data suggest that TBL1XR1 is upregulated in PDAC.</w:t>
      </w:r>
    </w:p>
    <w:p w:rsidR="00D059D8" w:rsidRPr="00815B74" w:rsidRDefault="00D059D8">
      <w:pPr>
        <w:adjustRightInd w:val="0"/>
        <w:snapToGrid w:val="0"/>
        <w:spacing w:line="360" w:lineRule="auto"/>
        <w:jc w:val="both"/>
        <w:rPr>
          <w:rFonts w:ascii="Book Antiqua" w:hAnsi="Book Antiqua"/>
          <w:b/>
          <w:bCs/>
          <w:i/>
          <w:iCs/>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hint="eastAsia"/>
          <w:b/>
          <w:bCs/>
          <w:i/>
          <w:iCs/>
          <w:color w:val="000000"/>
        </w:rPr>
        <w:t>E</w:t>
      </w:r>
      <w:r w:rsidRPr="00815B74">
        <w:rPr>
          <w:rFonts w:ascii="Book Antiqua" w:hAnsi="Book Antiqua"/>
          <w:b/>
          <w:bCs/>
          <w:i/>
          <w:iCs/>
          <w:color w:val="000000"/>
        </w:rPr>
        <w:t>ffect</w:t>
      </w:r>
      <w:r w:rsidRPr="00815B74">
        <w:rPr>
          <w:rFonts w:ascii="Book Antiqua" w:hAnsi="Book Antiqua" w:hint="eastAsia"/>
          <w:b/>
          <w:bCs/>
          <w:i/>
          <w:iCs/>
          <w:color w:val="000000"/>
        </w:rPr>
        <w:t>s</w:t>
      </w:r>
      <w:r w:rsidRPr="00815B74">
        <w:rPr>
          <w:rFonts w:ascii="Book Antiqua" w:hAnsi="Book Antiqua"/>
          <w:b/>
          <w:bCs/>
          <w:i/>
          <w:iCs/>
          <w:color w:val="000000"/>
        </w:rPr>
        <w:t xml:space="preserve"> of TBL1XR1 on the proliferation and apoptosis of PDAC cells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hint="eastAsia"/>
          <w:color w:val="000000"/>
        </w:rPr>
        <w:t>W</w:t>
      </w:r>
      <w:r w:rsidRPr="00815B74">
        <w:rPr>
          <w:rFonts w:ascii="Book Antiqua" w:hAnsi="Book Antiqua"/>
          <w:color w:val="000000"/>
        </w:rPr>
        <w:t>e performed CCK-8 and colony formation assay</w:t>
      </w:r>
      <w:r w:rsidRPr="00815B74">
        <w:rPr>
          <w:rFonts w:ascii="Book Antiqua" w:hAnsi="Book Antiqua" w:hint="eastAsia"/>
          <w:color w:val="000000"/>
        </w:rPr>
        <w:t>s</w:t>
      </w:r>
      <w:r w:rsidRPr="00815B74">
        <w:rPr>
          <w:rFonts w:ascii="Book Antiqua" w:hAnsi="Book Antiqua"/>
          <w:color w:val="000000"/>
        </w:rPr>
        <w:t xml:space="preserve"> </w:t>
      </w:r>
      <w:r w:rsidRPr="00815B74">
        <w:rPr>
          <w:rFonts w:ascii="Book Antiqua" w:hAnsi="Book Antiqua" w:hint="eastAsia"/>
          <w:color w:val="000000"/>
        </w:rPr>
        <w:t>t</w:t>
      </w:r>
      <w:r w:rsidRPr="00815B74">
        <w:rPr>
          <w:rFonts w:ascii="Book Antiqua" w:hAnsi="Book Antiqua"/>
          <w:color w:val="000000"/>
        </w:rPr>
        <w:t xml:space="preserve">o further evaluate the effect of TBL1XR1 on the proliferation of PDAC cells. We knocked down the expression of TBL1XR1 in the Aspc-1 and Panc1 cells, and the knockdown efficiency is shown in Figure 3A </w:t>
      </w:r>
      <w:r w:rsidRPr="00815B74">
        <w:rPr>
          <w:rFonts w:ascii="Book Antiqua" w:hAnsi="Book Antiqua" w:hint="eastAsia"/>
          <w:color w:val="000000"/>
        </w:rPr>
        <w:t>and</w:t>
      </w:r>
      <w:r w:rsidRPr="00815B74">
        <w:rPr>
          <w:rFonts w:ascii="Book Antiqua" w:hAnsi="Book Antiqua"/>
          <w:color w:val="000000"/>
        </w:rPr>
        <w:t xml:space="preserve"> B. The CCK-8 assay showed that the downregulation of TBL1XR1 prominently suppressed PDAC cell viability compared with that of the control cells (</w:t>
      </w:r>
      <w:r w:rsidRPr="00815B74">
        <w:rPr>
          <w:rFonts w:ascii="Book Antiqua" w:hAnsi="Book Antiqua"/>
          <w:i/>
          <w:iCs/>
          <w:color w:val="000000"/>
        </w:rPr>
        <w:t>P</w:t>
      </w:r>
      <w:r w:rsidRPr="00815B74">
        <w:rPr>
          <w:rFonts w:ascii="Book Antiqua" w:hAnsi="Book Antiqua"/>
          <w:color w:val="000000"/>
        </w:rPr>
        <w:t xml:space="preserve"> &lt; 0.05, Figure 3C and D). Moreover, colony formation analysis showed that the colony formation capacity was significantly reduced in the TBL1XR1-knockdown cells compared to that of the control group (</w:t>
      </w:r>
      <w:r w:rsidRPr="00815B74">
        <w:rPr>
          <w:rFonts w:ascii="Book Antiqua" w:hAnsi="Book Antiqua"/>
          <w:i/>
          <w:iCs/>
          <w:color w:val="000000"/>
        </w:rPr>
        <w:t>P</w:t>
      </w:r>
      <w:r w:rsidRPr="00815B74">
        <w:rPr>
          <w:rFonts w:ascii="Book Antiqua" w:hAnsi="Book Antiqua"/>
          <w:color w:val="000000"/>
        </w:rPr>
        <w:t xml:space="preserve"> &lt; 0.05, Figure 3E). These results suggested that TBL1XR1 </w:t>
      </w:r>
      <w:r w:rsidRPr="00815B74">
        <w:rPr>
          <w:rFonts w:ascii="Book Antiqua" w:hAnsi="Book Antiqua"/>
          <w:color w:val="000000"/>
        </w:rPr>
        <w:lastRenderedPageBreak/>
        <w:t xml:space="preserve">may play a vital role in PDAC cell proliferation </w:t>
      </w:r>
      <w:r w:rsidRPr="00815B74">
        <w:rPr>
          <w:rFonts w:ascii="Book Antiqua" w:hAnsi="Book Antiqua"/>
          <w:i/>
          <w:iCs/>
          <w:color w:val="000000"/>
        </w:rPr>
        <w:t>in vitro</w:t>
      </w:r>
      <w:r w:rsidRPr="00815B74">
        <w:rPr>
          <w:rFonts w:ascii="Book Antiqua" w:hAnsi="Book Antiqua"/>
          <w:color w:val="000000"/>
        </w:rPr>
        <w:t xml:space="preserve">. Furthermore, we investigated whether TBL1XR1 played a role in the proliferation of PDAC cells </w:t>
      </w:r>
      <w:r w:rsidRPr="00815B74">
        <w:rPr>
          <w:rFonts w:ascii="Book Antiqua" w:hAnsi="Book Antiqua"/>
          <w:i/>
          <w:iCs/>
          <w:color w:val="000000"/>
        </w:rPr>
        <w:t>in vivo</w:t>
      </w:r>
      <w:r w:rsidRPr="00815B74">
        <w:rPr>
          <w:rFonts w:ascii="Book Antiqua" w:hAnsi="Book Antiqua"/>
          <w:color w:val="000000"/>
        </w:rPr>
        <w:t xml:space="preserve"> using xenograft mouse models. As shown, the tumor volume and weight of the TBL1XR1-knockdown group were distinctly decreased compared to those of the control group (Figure 3F and G).</w:t>
      </w:r>
    </w:p>
    <w:p w:rsidR="00D059D8" w:rsidRPr="00815B74" w:rsidRDefault="00D059D8">
      <w:pPr>
        <w:adjustRightInd w:val="0"/>
        <w:snapToGrid w:val="0"/>
        <w:spacing w:line="360" w:lineRule="auto"/>
        <w:ind w:firstLineChars="100" w:firstLine="240"/>
        <w:jc w:val="both"/>
        <w:rPr>
          <w:rFonts w:ascii="Book Antiqua" w:hAnsi="Book Antiqua"/>
          <w:color w:val="000000"/>
        </w:rPr>
      </w:pPr>
      <w:r w:rsidRPr="00815B74">
        <w:rPr>
          <w:rFonts w:ascii="Book Antiqua" w:hAnsi="Book Antiqua"/>
          <w:color w:val="000000"/>
        </w:rPr>
        <w:t xml:space="preserve">To explore the probable molecular mechanism of TBL1XR1 in PDAC cells, we detected the cell cycle and apoptotic profile of the </w:t>
      </w:r>
      <w:proofErr w:type="spellStart"/>
      <w:r w:rsidRPr="00815B74">
        <w:rPr>
          <w:rFonts w:ascii="Book Antiqua" w:hAnsi="Book Antiqua"/>
          <w:color w:val="000000"/>
        </w:rPr>
        <w:t>Lv-shCTRL</w:t>
      </w:r>
      <w:proofErr w:type="spellEnd"/>
      <w:r w:rsidRPr="00815B74">
        <w:rPr>
          <w:rFonts w:ascii="Book Antiqua" w:hAnsi="Book Antiqua"/>
          <w:color w:val="000000"/>
        </w:rPr>
        <w:t xml:space="preserve"> and Lv-shTBL1XR1 groups. As shown in Figure 4A, cell cycle analysis demonstrated that the cells treated with Lv-shTBL1XR1 exhibited cell arrest at the G0/G1 phase (Figure 4A). Moreover, we examined the protein expression of cell cycle-related regulatory genes to determine the impact of TBL1XR1 on the cell cycle by western blot assays. As depicted in Figure 4B, the protein expression levels of CDK2, CDC25A, or cyclin D1 in the Lv-shTBL1XR1 group were obviously lower than those in the control group. Therefore, we concluded that downregulation of TBL1XR1 induced PDAC cell cycle arrest at the G0/G1 phase by regulating the expression of cell cycle-related regulatory genes.</w:t>
      </w:r>
    </w:p>
    <w:p w:rsidR="00D059D8" w:rsidRPr="00815B74" w:rsidRDefault="00D059D8">
      <w:pPr>
        <w:adjustRightInd w:val="0"/>
        <w:snapToGrid w:val="0"/>
        <w:spacing w:line="360" w:lineRule="auto"/>
        <w:ind w:firstLineChars="100" w:firstLine="240"/>
        <w:jc w:val="both"/>
        <w:rPr>
          <w:rFonts w:ascii="Book Antiqua" w:hAnsi="Book Antiqua"/>
          <w:color w:val="000000"/>
        </w:rPr>
      </w:pPr>
      <w:r w:rsidRPr="00815B74">
        <w:rPr>
          <w:rFonts w:ascii="Book Antiqua" w:hAnsi="Book Antiqua"/>
          <w:color w:val="000000"/>
        </w:rPr>
        <w:t xml:space="preserve">Furthermore, we performed an apoptosis assay to explore the effect of TBL1XR1 on apoptosis in PDAC cells. As shown in Figure 4C, an obvious increase in the percentage of apoptotic cells was observed in the TBL1XR1 knockdown group compared with the </w:t>
      </w:r>
      <w:proofErr w:type="spellStart"/>
      <w:r w:rsidRPr="00815B74">
        <w:rPr>
          <w:rFonts w:ascii="Book Antiqua" w:hAnsi="Book Antiqua"/>
          <w:color w:val="000000"/>
        </w:rPr>
        <w:t>Lv-shCTRL</w:t>
      </w:r>
      <w:proofErr w:type="spellEnd"/>
      <w:r w:rsidRPr="00815B74">
        <w:rPr>
          <w:rFonts w:ascii="Book Antiqua" w:hAnsi="Book Antiqua"/>
          <w:color w:val="000000"/>
        </w:rPr>
        <w:t xml:space="preserve"> group. Moreover, the knockdown of TBL1XR1 significantly enhanced the expression of </w:t>
      </w:r>
      <w:proofErr w:type="spellStart"/>
      <w:r w:rsidRPr="00815B74">
        <w:rPr>
          <w:rFonts w:ascii="Book Antiqua" w:hAnsi="Book Antiqua"/>
          <w:color w:val="000000"/>
        </w:rPr>
        <w:t>Bax</w:t>
      </w:r>
      <w:proofErr w:type="spellEnd"/>
      <w:r w:rsidRPr="00815B74">
        <w:rPr>
          <w:rFonts w:ascii="Book Antiqua" w:hAnsi="Book Antiqua"/>
          <w:color w:val="000000"/>
        </w:rPr>
        <w:t xml:space="preserve"> and Bad and reduced the expression of Bcl-2 (Figure 4D). </w:t>
      </w:r>
      <w:r w:rsidRPr="00815B74">
        <w:rPr>
          <w:rFonts w:ascii="Book Antiqua" w:hAnsi="Book Antiqua" w:hint="eastAsia"/>
          <w:color w:val="000000"/>
        </w:rPr>
        <w:t>Taken t</w:t>
      </w:r>
      <w:r w:rsidRPr="00815B74">
        <w:rPr>
          <w:rFonts w:ascii="Book Antiqua" w:hAnsi="Book Antiqua"/>
          <w:color w:val="000000"/>
        </w:rPr>
        <w:t>ogether, these results suggest that TBL1XR1 might regulate PDAC cell apoptosis and cell cycle progression.</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TBL1XR1 regulated the proliferation and apoptosis of PDAC cells via the PI3K/AKT pathway</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To explore the potential mechanism by which TBL1XR1 influences proliferation and apoptosis in PDAC cells, we examined the expression changes of relevant proteins by western blot</w:t>
      </w:r>
      <w:r w:rsidRPr="00815B74">
        <w:rPr>
          <w:rFonts w:ascii="Book Antiqua" w:hAnsi="Book Antiqua" w:hint="eastAsia"/>
          <w:color w:val="000000"/>
        </w:rPr>
        <w:t>ting</w:t>
      </w:r>
      <w:r w:rsidRPr="00815B74">
        <w:rPr>
          <w:rFonts w:ascii="Book Antiqua" w:hAnsi="Book Antiqua"/>
          <w:color w:val="000000"/>
        </w:rPr>
        <w:t xml:space="preserve">. As shown in Figure 5A, the </w:t>
      </w:r>
      <w:r w:rsidRPr="00815B74">
        <w:rPr>
          <w:rFonts w:ascii="Book Antiqua" w:hAnsi="Book Antiqua"/>
          <w:color w:val="000000"/>
        </w:rPr>
        <w:lastRenderedPageBreak/>
        <w:t xml:space="preserve">expression levels of p-AKT and p-PI3K were obviously reduced, while no significant effect on p-STAT3 and p-MEK was observed in the TBL1XR1 downregulation group, which indicated that TBL1XR1 might regulate PDAC cell proliferation and apoptosis </w:t>
      </w:r>
      <w:r w:rsidRPr="00815B74">
        <w:rPr>
          <w:rFonts w:ascii="Book Antiqua" w:hAnsi="Book Antiqua"/>
          <w:i/>
          <w:iCs/>
          <w:color w:val="000000"/>
        </w:rPr>
        <w:t>via</w:t>
      </w:r>
      <w:r w:rsidRPr="00815B74">
        <w:rPr>
          <w:rFonts w:ascii="Book Antiqua" w:hAnsi="Book Antiqua"/>
          <w:color w:val="000000"/>
        </w:rPr>
        <w:t xml:space="preserve"> the phosphatidylinositol 3-kinase/protein kinase B (PI3K/AKT) pathway. To determine whether TBL1XR1 knockdown-induced inhibition of proliferation was regulated by the PI3K/AKT pathway, we assessed the effect of the presence or absence of LY294002 (a PI3K/</w:t>
      </w:r>
      <w:proofErr w:type="spellStart"/>
      <w:r w:rsidRPr="00815B74">
        <w:rPr>
          <w:rFonts w:ascii="Book Antiqua" w:hAnsi="Book Antiqua"/>
          <w:color w:val="000000"/>
        </w:rPr>
        <w:t>Akt</w:t>
      </w:r>
      <w:proofErr w:type="spellEnd"/>
      <w:r w:rsidRPr="00815B74">
        <w:rPr>
          <w:rFonts w:ascii="Book Antiqua" w:hAnsi="Book Antiqua"/>
          <w:color w:val="000000"/>
        </w:rPr>
        <w:t xml:space="preserve"> inhibitor) on the TBL1XR1-overexpressing cells. Unsurprisingly, overexpression of TBL1XR1 promoted proliferation and suppressed apoptosis in PDAC cells, which was consistent with previous results. LY294002 treatment reversed the TBL1XR1-mediated promotion of proliferation and inhibition of apoptosis (Figure 5B-D). Moreover, LY294002 inhibited the TBL1XR1 overexpression-induced increases in Bcl-2 and decreases in Bad and </w:t>
      </w:r>
      <w:proofErr w:type="spellStart"/>
      <w:r w:rsidRPr="00815B74">
        <w:rPr>
          <w:rFonts w:ascii="Book Antiqua" w:hAnsi="Book Antiqua"/>
          <w:color w:val="000000"/>
        </w:rPr>
        <w:t>Bax</w:t>
      </w:r>
      <w:proofErr w:type="spellEnd"/>
      <w:r w:rsidRPr="00815B74">
        <w:rPr>
          <w:rFonts w:ascii="Book Antiqua" w:hAnsi="Book Antiqua"/>
          <w:color w:val="000000"/>
        </w:rPr>
        <w:t xml:space="preserve"> (Figure 5E). Therefore, we deduced that TBL1XR1 induces PDAC cell proliferation, cell cycle arrest and apoptosis </w:t>
      </w:r>
      <w:r w:rsidRPr="00815B74">
        <w:rPr>
          <w:rFonts w:ascii="Book Antiqua" w:hAnsi="Book Antiqua"/>
          <w:i/>
          <w:iCs/>
          <w:color w:val="000000"/>
        </w:rPr>
        <w:t>via</w:t>
      </w:r>
      <w:r w:rsidRPr="00815B74">
        <w:rPr>
          <w:rFonts w:ascii="Book Antiqua" w:hAnsi="Book Antiqua"/>
          <w:color w:val="000000"/>
        </w:rPr>
        <w:t xml:space="preserve"> the PI3K/AKT signaling pathway.</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cs="等线"/>
          <w:b/>
          <w:color w:val="000000"/>
          <w:u w:val="single"/>
        </w:rPr>
      </w:pPr>
      <w:r w:rsidRPr="00815B74">
        <w:rPr>
          <w:rFonts w:ascii="Book Antiqua" w:hAnsi="Book Antiqua"/>
          <w:b/>
          <w:color w:val="000000"/>
          <w:u w:val="single"/>
        </w:rPr>
        <w:t>DISCUSSION</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Although many studies have attempted to elucidate its pathogenesis, PDAC remains a deadly </w:t>
      </w:r>
      <w:proofErr w:type="gramStart"/>
      <w:r w:rsidRPr="00815B74">
        <w:rPr>
          <w:rFonts w:ascii="Book Antiqua" w:hAnsi="Book Antiqua"/>
          <w:color w:val="000000"/>
        </w:rPr>
        <w:t>malignancy</w:t>
      </w:r>
      <w:bookmarkStart w:id="59" w:name="OLE_LINK47"/>
      <w:r w:rsidRPr="00815B74">
        <w:rPr>
          <w:rFonts w:ascii="Book Antiqua" w:hAnsi="Book Antiqua"/>
          <w:color w:val="000000"/>
          <w:vertAlign w:val="superscript"/>
        </w:rPr>
        <w:t>[</w:t>
      </w:r>
      <w:proofErr w:type="gramEnd"/>
      <w:r w:rsidRPr="00815B74">
        <w:rPr>
          <w:rFonts w:ascii="Book Antiqua" w:hAnsi="Book Antiqua"/>
          <w:color w:val="000000"/>
          <w:vertAlign w:val="superscript"/>
        </w:rPr>
        <w:t>19]</w:t>
      </w:r>
      <w:bookmarkEnd w:id="59"/>
      <w:r w:rsidRPr="00815B74">
        <w:rPr>
          <w:rFonts w:ascii="Book Antiqua" w:hAnsi="Book Antiqua"/>
          <w:color w:val="000000"/>
        </w:rPr>
        <w:t>. Hence, identification of efficacious early tumor markers for the early diagnosis and treatment of PDAC will have clinical value and significance.</w:t>
      </w:r>
    </w:p>
    <w:p w:rsidR="00D059D8" w:rsidRPr="00815B74" w:rsidRDefault="00D059D8">
      <w:pPr>
        <w:adjustRightInd w:val="0"/>
        <w:snapToGrid w:val="0"/>
        <w:spacing w:line="360" w:lineRule="auto"/>
        <w:ind w:firstLineChars="100" w:firstLine="240"/>
        <w:jc w:val="both"/>
        <w:rPr>
          <w:rFonts w:ascii="Book Antiqua" w:hAnsi="Book Antiqua"/>
          <w:color w:val="000000"/>
        </w:rPr>
      </w:pPr>
      <w:r w:rsidRPr="00815B74">
        <w:rPr>
          <w:rFonts w:ascii="Book Antiqua" w:hAnsi="Book Antiqua"/>
          <w:color w:val="000000"/>
        </w:rPr>
        <w:t xml:space="preserve">TBL1XR1 (TBLR1) was first identified as a gene transcript in human CD34+CD38- cells; moreover, researchers discovered that TBL1XR1 has an F-box/WD40-repeat </w:t>
      </w:r>
      <w:proofErr w:type="gramStart"/>
      <w:r w:rsidRPr="00815B74">
        <w:rPr>
          <w:rFonts w:ascii="Book Antiqua" w:hAnsi="Book Antiqua"/>
          <w:color w:val="000000"/>
        </w:rPr>
        <w:t>sequence</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20].</w:t>
      </w:r>
      <w:r w:rsidRPr="00815B74">
        <w:rPr>
          <w:rFonts w:ascii="Book Antiqua" w:hAnsi="Book Antiqua"/>
          <w:color w:val="000000"/>
        </w:rPr>
        <w:t xml:space="preserve"> A growing body of research has revealed that TBL1XR1 can play a vital role in tumorigenesis, invasion, metastasis, and the development of resistance to </w:t>
      </w:r>
      <w:proofErr w:type="gramStart"/>
      <w:r w:rsidRPr="00815B74">
        <w:rPr>
          <w:rFonts w:ascii="Book Antiqua" w:hAnsi="Book Antiqua"/>
          <w:color w:val="000000"/>
        </w:rPr>
        <w:t>therapies</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15,21]</w:t>
      </w:r>
      <w:r w:rsidRPr="00815B74">
        <w:rPr>
          <w:rFonts w:ascii="Book Antiqua" w:hAnsi="Book Antiqua"/>
          <w:color w:val="000000"/>
        </w:rPr>
        <w:t xml:space="preserve">. Moreover, TBL1XR1 mRNA is highly expressed in many human tissues, such as thyroid, prostate and breast </w:t>
      </w:r>
      <w:proofErr w:type="gramStart"/>
      <w:r w:rsidRPr="00815B74">
        <w:rPr>
          <w:rFonts w:ascii="Book Antiqua" w:hAnsi="Book Antiqua"/>
          <w:color w:val="000000"/>
        </w:rPr>
        <w:t>tissues</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22]</w:t>
      </w:r>
      <w:r w:rsidRPr="00815B74">
        <w:rPr>
          <w:rFonts w:ascii="Book Antiqua" w:hAnsi="Book Antiqua"/>
          <w:color w:val="000000"/>
        </w:rPr>
        <w:t xml:space="preserve">, which indicates that TBL1XR1 may function as an oncogene. TBL1XR1 functions by activating many signal transduction pathways, such as </w:t>
      </w:r>
      <w:proofErr w:type="spellStart"/>
      <w:r w:rsidRPr="00815B74">
        <w:rPr>
          <w:rFonts w:ascii="Book Antiqua" w:hAnsi="Book Antiqua"/>
          <w:color w:val="000000"/>
        </w:rPr>
        <w:lastRenderedPageBreak/>
        <w:t>Wnt</w:t>
      </w:r>
      <w:proofErr w:type="spellEnd"/>
      <w:r w:rsidRPr="00815B74">
        <w:rPr>
          <w:rFonts w:ascii="Book Antiqua" w:hAnsi="Book Antiqua"/>
          <w:color w:val="000000"/>
        </w:rPr>
        <w:t>-β-catenin, NF-</w:t>
      </w:r>
      <w:proofErr w:type="spellStart"/>
      <w:r w:rsidRPr="00815B74">
        <w:rPr>
          <w:rFonts w:ascii="Book Antiqua" w:hAnsi="Book Antiqua"/>
          <w:color w:val="000000"/>
        </w:rPr>
        <w:t>κB</w:t>
      </w:r>
      <w:proofErr w:type="spellEnd"/>
      <w:r w:rsidRPr="00815B74">
        <w:rPr>
          <w:rFonts w:ascii="Book Antiqua" w:hAnsi="Book Antiqua"/>
          <w:color w:val="000000"/>
        </w:rPr>
        <w:t>, and Notch23. Nevertheless, it remains unclear how TBL1XR1 functions in the development of PDAC.</w:t>
      </w:r>
    </w:p>
    <w:p w:rsidR="00D059D8" w:rsidRPr="00815B74" w:rsidRDefault="00D059D8">
      <w:pPr>
        <w:adjustRightInd w:val="0"/>
        <w:snapToGrid w:val="0"/>
        <w:spacing w:line="360" w:lineRule="auto"/>
        <w:ind w:firstLineChars="100" w:firstLine="240"/>
        <w:jc w:val="both"/>
        <w:rPr>
          <w:rFonts w:ascii="Book Antiqua" w:hAnsi="Book Antiqua"/>
          <w:color w:val="000000"/>
        </w:rPr>
      </w:pPr>
      <w:r w:rsidRPr="00815B74">
        <w:rPr>
          <w:rFonts w:ascii="Book Antiqua" w:hAnsi="Book Antiqua"/>
          <w:color w:val="000000"/>
        </w:rPr>
        <w:t xml:space="preserve">In this research, we discovered that the expression of TBL1XR1 was obviously </w:t>
      </w:r>
      <w:r w:rsidRPr="00815B74">
        <w:rPr>
          <w:rFonts w:ascii="Book Antiqua" w:hAnsi="Book Antiqua" w:hint="eastAsia"/>
          <w:color w:val="000000"/>
        </w:rPr>
        <w:t>enhanced</w:t>
      </w:r>
      <w:r w:rsidRPr="00815B74">
        <w:rPr>
          <w:rFonts w:ascii="Book Antiqua" w:hAnsi="Book Antiqua"/>
          <w:color w:val="000000"/>
        </w:rPr>
        <w:t xml:space="preserve"> in PDAC tissues compared with adjacent tissues. Moreover, we revealed that TBL1XR1 expression, TNM stage and lymph node metastasis were significant independent prognostic factors for patients with PDAC, suggesting that TBL1XR1 expression is a risk factor for PDAC. To further evaluate the function of TBL1XR1 in PDAC, we performed CCK-8 and colony formation assays, and the results showed that the downregulation of TBL1XR1 significantly suppressed PDAC cell proliferation. Moreover, we found that TBL1XR1 knockdown induced PDAC cell cycle arrest in G0/G1 phase and inhibited PDAC cell apoptosis </w:t>
      </w:r>
      <w:r w:rsidRPr="00815B74">
        <w:rPr>
          <w:rFonts w:ascii="Book Antiqua" w:hAnsi="Book Antiqua"/>
          <w:i/>
          <w:iCs/>
          <w:color w:val="000000"/>
        </w:rPr>
        <w:t>in vitro</w:t>
      </w:r>
      <w:r w:rsidRPr="00815B74">
        <w:rPr>
          <w:rFonts w:ascii="Book Antiqua" w:hAnsi="Book Antiqua"/>
          <w:color w:val="000000"/>
        </w:rPr>
        <w:t xml:space="preserve">. Additionally, the results of the </w:t>
      </w:r>
      <w:r w:rsidRPr="00815B74">
        <w:rPr>
          <w:rFonts w:ascii="Book Antiqua" w:hAnsi="Book Antiqua"/>
          <w:i/>
          <w:iCs/>
          <w:color w:val="000000"/>
        </w:rPr>
        <w:t>in vivo</w:t>
      </w:r>
      <w:r w:rsidRPr="00815B74">
        <w:rPr>
          <w:rFonts w:ascii="Book Antiqua" w:hAnsi="Book Antiqua"/>
          <w:color w:val="000000"/>
        </w:rPr>
        <w:t xml:space="preserve"> animal analysis were consistent with the </w:t>
      </w:r>
      <w:r w:rsidRPr="00815B74">
        <w:rPr>
          <w:rFonts w:ascii="Book Antiqua" w:hAnsi="Book Antiqua"/>
          <w:i/>
          <w:iCs/>
          <w:color w:val="000000"/>
        </w:rPr>
        <w:t>in vitro</w:t>
      </w:r>
      <w:r w:rsidRPr="00815B74">
        <w:rPr>
          <w:rFonts w:ascii="Book Antiqua" w:hAnsi="Book Antiqua"/>
          <w:color w:val="000000"/>
        </w:rPr>
        <w:t xml:space="preserve"> analysis, which indicated that TBL1XR1 might be a potential diagnostic target for PDAC.</w:t>
      </w:r>
    </w:p>
    <w:p w:rsidR="00D059D8" w:rsidRPr="00815B74" w:rsidRDefault="00D059D8">
      <w:pPr>
        <w:adjustRightInd w:val="0"/>
        <w:snapToGrid w:val="0"/>
        <w:spacing w:line="360" w:lineRule="auto"/>
        <w:ind w:firstLineChars="100" w:firstLine="240"/>
        <w:jc w:val="both"/>
        <w:rPr>
          <w:rFonts w:ascii="Book Antiqua" w:hAnsi="Book Antiqua"/>
          <w:color w:val="000000"/>
        </w:rPr>
      </w:pPr>
      <w:r w:rsidRPr="00815B74">
        <w:rPr>
          <w:rFonts w:ascii="Book Antiqua" w:hAnsi="Book Antiqua"/>
          <w:color w:val="000000"/>
        </w:rPr>
        <w:t xml:space="preserve">The PI3K/AKT signaling pathway has a key impact on multiple cell processes, including cell growth, cell proliferation, </w:t>
      </w:r>
      <w:proofErr w:type="spellStart"/>
      <w:r w:rsidRPr="00815B74">
        <w:rPr>
          <w:rFonts w:ascii="Book Antiqua" w:hAnsi="Book Antiqua"/>
          <w:color w:val="000000"/>
        </w:rPr>
        <w:t>angiopoiesis</w:t>
      </w:r>
      <w:proofErr w:type="spellEnd"/>
      <w:r w:rsidRPr="00815B74">
        <w:rPr>
          <w:rFonts w:ascii="Book Antiqua" w:hAnsi="Book Antiqua"/>
          <w:color w:val="000000"/>
        </w:rPr>
        <w:t xml:space="preserve"> and survival, in both normal and tumor </w:t>
      </w:r>
      <w:proofErr w:type="gramStart"/>
      <w:r w:rsidRPr="00815B74">
        <w:rPr>
          <w:rFonts w:ascii="Book Antiqua" w:hAnsi="Book Antiqua"/>
          <w:color w:val="000000"/>
        </w:rPr>
        <w:t>cells</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23]</w:t>
      </w:r>
      <w:r w:rsidRPr="00815B74">
        <w:rPr>
          <w:rFonts w:ascii="Book Antiqua" w:hAnsi="Book Antiqua"/>
          <w:color w:val="000000"/>
        </w:rPr>
        <w:t xml:space="preserve">. In our study, we found that TBL1XR1 can induce PDAC cell proliferation and inhibit PDAC cell apoptosis. However, whether the PI3K/AKT signaling pathway is involved in the TBL1XR1-induced promotion of PDAC cell proliferation and inhibition of apoptosis is unknown. Thus, we explored the potential mechanism by which TBL1XR1 influences proliferation and apoptosis in PDAC cells, and we found that inhibition of the PI3K/AKT pathway reversed the TBL1XR1 promotion of proliferation and inhibition of apoptosis, indicating that TBL1XR1 might play an important role in regulating PDAC cell proliferation and apoptosis. In addition, the activity of </w:t>
      </w:r>
      <w:proofErr w:type="spellStart"/>
      <w:r w:rsidRPr="00815B74">
        <w:rPr>
          <w:rFonts w:ascii="Book Antiqua" w:hAnsi="Book Antiqua"/>
          <w:color w:val="000000"/>
        </w:rPr>
        <w:t>Akt</w:t>
      </w:r>
      <w:proofErr w:type="spellEnd"/>
      <w:r w:rsidRPr="00815B74">
        <w:rPr>
          <w:rFonts w:ascii="Book Antiqua" w:hAnsi="Book Antiqua"/>
          <w:color w:val="000000"/>
        </w:rPr>
        <w:t xml:space="preserve"> could be regulated through S-</w:t>
      </w:r>
      <w:proofErr w:type="spellStart"/>
      <w:r w:rsidRPr="00815B74">
        <w:rPr>
          <w:rFonts w:ascii="Book Antiqua" w:hAnsi="Book Antiqua"/>
          <w:color w:val="000000"/>
        </w:rPr>
        <w:t>nitrosylation</w:t>
      </w:r>
      <w:proofErr w:type="spellEnd"/>
      <w:r w:rsidRPr="00815B74">
        <w:rPr>
          <w:rFonts w:ascii="Book Antiqua" w:hAnsi="Book Antiqua"/>
          <w:color w:val="000000"/>
        </w:rPr>
        <w:t xml:space="preserve"> at the kinase cysteine residues, and it was reported to be associated with reduced kinase </w:t>
      </w:r>
      <w:proofErr w:type="gramStart"/>
      <w:r w:rsidRPr="00815B74">
        <w:rPr>
          <w:rFonts w:ascii="Book Antiqua" w:hAnsi="Book Antiqua"/>
          <w:color w:val="000000"/>
        </w:rPr>
        <w:t>activity</w:t>
      </w:r>
      <w:r w:rsidRPr="00815B74">
        <w:rPr>
          <w:rFonts w:ascii="Book Antiqua" w:hAnsi="Book Antiqua"/>
          <w:color w:val="000000"/>
          <w:vertAlign w:val="superscript"/>
        </w:rPr>
        <w:t>[</w:t>
      </w:r>
      <w:proofErr w:type="gramEnd"/>
      <w:r w:rsidRPr="00815B74">
        <w:rPr>
          <w:rFonts w:ascii="Book Antiqua" w:hAnsi="Book Antiqua"/>
          <w:color w:val="000000"/>
          <w:vertAlign w:val="superscript"/>
        </w:rPr>
        <w:t>24,25]</w:t>
      </w:r>
      <w:r w:rsidRPr="00815B74">
        <w:rPr>
          <w:rFonts w:ascii="Book Antiqua" w:hAnsi="Book Antiqua"/>
          <w:color w:val="000000"/>
        </w:rPr>
        <w:t xml:space="preserve">, which provides us with another research direction. Overall, we illuminated the effect and mechanism of TBL1XR1 in human PDAC, and we believe that TBL1XR1 could be a promising diagnostic and therapeutic target for treating patients with advanced PDAC. Targeted </w:t>
      </w:r>
      <w:r w:rsidRPr="00815B74">
        <w:rPr>
          <w:rFonts w:ascii="Book Antiqua" w:hAnsi="Book Antiqua"/>
          <w:color w:val="000000"/>
        </w:rPr>
        <w:lastRenderedPageBreak/>
        <w:t>therapy is an important aspect of precision therapy. We concluded that TBL1XR1 inhibitors might be promising therapeutic measures for PDAC; however, there are no inhibitors targeting TBL1XR1, which is worth investigating in the future.</w:t>
      </w:r>
    </w:p>
    <w:p w:rsidR="00D059D8" w:rsidRPr="00815B74" w:rsidRDefault="00D059D8">
      <w:pPr>
        <w:adjustRightInd w:val="0"/>
        <w:snapToGrid w:val="0"/>
        <w:spacing w:line="360" w:lineRule="auto"/>
        <w:ind w:firstLineChars="100" w:firstLine="240"/>
        <w:jc w:val="both"/>
        <w:rPr>
          <w:rFonts w:ascii="Book Antiqua" w:hAnsi="Book Antiqua"/>
          <w:color w:val="000000"/>
        </w:rPr>
      </w:pPr>
      <w:r w:rsidRPr="00815B74">
        <w:rPr>
          <w:rFonts w:ascii="Book Antiqua" w:hAnsi="Book Antiqua"/>
          <w:color w:val="000000"/>
        </w:rPr>
        <w:t xml:space="preserve">In summary, our study showed that TBL1XR1 might regulate PDAC cell proliferation and apoptosis </w:t>
      </w:r>
      <w:r w:rsidRPr="00815B74">
        <w:rPr>
          <w:rFonts w:ascii="Book Antiqua" w:hAnsi="Book Antiqua"/>
          <w:i/>
          <w:iCs/>
          <w:color w:val="000000"/>
        </w:rPr>
        <w:t>via</w:t>
      </w:r>
      <w:r w:rsidRPr="00815B74">
        <w:rPr>
          <w:rFonts w:ascii="Book Antiqua" w:hAnsi="Book Antiqua"/>
          <w:color w:val="000000"/>
        </w:rPr>
        <w:t xml:space="preserve"> the PI3K/AKT signaling pathway. Therefore, TBL1XR1 may be a promising diagnostic and therapeutic biomarker for patients with advanced PDAC.</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caps/>
          <w:color w:val="000000"/>
          <w:u w:val="single"/>
        </w:rPr>
      </w:pPr>
      <w:bookmarkStart w:id="60" w:name="OLE_LINK473"/>
      <w:bookmarkStart w:id="61" w:name="OLE_LINK634"/>
      <w:bookmarkStart w:id="62" w:name="OLE_LINK151"/>
      <w:bookmarkStart w:id="63" w:name="OLE_LINK259"/>
      <w:r w:rsidRPr="00815B74">
        <w:rPr>
          <w:rFonts w:ascii="Book Antiqua" w:hAnsi="Book Antiqua" w:cs="Segoe UI"/>
          <w:b/>
          <w:caps/>
          <w:color w:val="000000"/>
          <w:u w:val="single"/>
          <w:shd w:val="clear" w:color="auto" w:fill="FFFFFF"/>
        </w:rPr>
        <w:t>Article Highlights</w:t>
      </w:r>
      <w:bookmarkEnd w:id="60"/>
      <w:bookmarkEnd w:id="61"/>
    </w:p>
    <w:p w:rsidR="00D059D8" w:rsidRPr="00815B74" w:rsidRDefault="00D059D8">
      <w:pPr>
        <w:adjustRightInd w:val="0"/>
        <w:snapToGrid w:val="0"/>
        <w:spacing w:line="360" w:lineRule="auto"/>
        <w:jc w:val="both"/>
        <w:rPr>
          <w:rFonts w:ascii="Book Antiqua" w:hAnsi="Book Antiqua"/>
          <w:b/>
          <w:i/>
          <w:color w:val="000000"/>
        </w:rPr>
      </w:pPr>
      <w:r w:rsidRPr="00815B74">
        <w:rPr>
          <w:rFonts w:ascii="Book Antiqua" w:hAnsi="Book Antiqua"/>
          <w:b/>
          <w:i/>
          <w:color w:val="000000"/>
        </w:rPr>
        <w:t>Research background</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Pancreatic ductal adenocarcinoma (PDAC) is one of the deadliest and most aggressive solid tumors and has a poor prognosis.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w:t>
      </w:r>
      <w:bookmarkStart w:id="64" w:name="OLE_LINK20"/>
      <w:bookmarkStart w:id="65" w:name="OLE_LINK21"/>
      <w:r w:rsidRPr="00815B74">
        <w:rPr>
          <w:rFonts w:ascii="Book Antiqua" w:hAnsi="Book Antiqua"/>
          <w:color w:val="000000"/>
        </w:rPr>
        <w:t>TBL1XR1) has been linked to the progression of various human cancers. Nevertheless, the function and role of TBL1XR1 in pancreatic cancers are unclear.</w:t>
      </w:r>
      <w:bookmarkEnd w:id="64"/>
      <w:bookmarkEnd w:id="65"/>
    </w:p>
    <w:p w:rsidR="00D059D8" w:rsidRPr="00815B74" w:rsidRDefault="00D059D8">
      <w:pPr>
        <w:adjustRightInd w:val="0"/>
        <w:snapToGrid w:val="0"/>
        <w:spacing w:line="360" w:lineRule="auto"/>
        <w:jc w:val="both"/>
        <w:rPr>
          <w:rFonts w:ascii="Book Antiqua" w:hAnsi="Book Antiqua"/>
          <w:b/>
          <w:i/>
          <w:color w:val="000000"/>
        </w:rPr>
      </w:pPr>
    </w:p>
    <w:p w:rsidR="00D059D8" w:rsidRPr="00815B74" w:rsidRDefault="00D059D8">
      <w:pPr>
        <w:adjustRightInd w:val="0"/>
        <w:snapToGrid w:val="0"/>
        <w:spacing w:line="360" w:lineRule="auto"/>
        <w:jc w:val="both"/>
        <w:rPr>
          <w:rFonts w:ascii="Book Antiqua" w:hAnsi="Book Antiqua"/>
          <w:b/>
          <w:i/>
          <w:color w:val="000000"/>
        </w:rPr>
      </w:pPr>
      <w:r w:rsidRPr="00815B74">
        <w:rPr>
          <w:rFonts w:ascii="Book Antiqua" w:hAnsi="Book Antiqua"/>
          <w:b/>
          <w:i/>
          <w:color w:val="000000"/>
        </w:rPr>
        <w:t>Research motivation</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PDAC is one of the deadliest solid tumors. Identification of diagnostic and </w:t>
      </w:r>
      <w:hyperlink r:id="rId8" w:history="1">
        <w:r w:rsidRPr="00815B74">
          <w:rPr>
            <w:rFonts w:ascii="Book Antiqua" w:hAnsi="Book Antiqua"/>
            <w:color w:val="000000"/>
          </w:rPr>
          <w:t>therapeutic</w:t>
        </w:r>
      </w:hyperlink>
      <w:r w:rsidRPr="00815B74">
        <w:rPr>
          <w:rFonts w:ascii="Book Antiqua" w:hAnsi="Book Antiqua"/>
          <w:color w:val="000000"/>
        </w:rPr>
        <w:t> biomarker of PDAC is urgently needed. TBL1XR1 has been linked to the progression of various human cancers. Nevertheless, the function and role of TBL1XR1 are unclear in pancreatic cancers.</w:t>
      </w:r>
    </w:p>
    <w:p w:rsidR="00D059D8" w:rsidRPr="00815B74" w:rsidRDefault="00D059D8">
      <w:pPr>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i/>
          <w:color w:val="000000"/>
        </w:rPr>
      </w:pPr>
      <w:r w:rsidRPr="00815B74">
        <w:rPr>
          <w:rFonts w:ascii="Book Antiqua" w:hAnsi="Book Antiqua"/>
          <w:b/>
          <w:i/>
          <w:color w:val="000000"/>
        </w:rPr>
        <w:t>Research objectives</w:t>
      </w:r>
    </w:p>
    <w:p w:rsidR="00D059D8" w:rsidRPr="00815B74" w:rsidRDefault="00D059D8">
      <w:pPr>
        <w:adjustRightInd w:val="0"/>
        <w:snapToGrid w:val="0"/>
        <w:spacing w:line="360" w:lineRule="auto"/>
        <w:jc w:val="both"/>
        <w:rPr>
          <w:rFonts w:ascii="Book Antiqua" w:hAnsi="Book Antiqua"/>
          <w:color w:val="000000"/>
        </w:rPr>
      </w:pPr>
      <w:proofErr w:type="gramStart"/>
      <w:r w:rsidRPr="00815B74">
        <w:rPr>
          <w:rFonts w:ascii="Book Antiqua" w:hAnsi="Book Antiqua"/>
          <w:color w:val="000000"/>
        </w:rPr>
        <w:t>To explore the potential effect and mechanism of TBL1XR1 in the development of PDAC.</w:t>
      </w:r>
      <w:proofErr w:type="gramEnd"/>
    </w:p>
    <w:p w:rsidR="00D059D8" w:rsidRPr="00815B74" w:rsidRDefault="00D059D8">
      <w:pPr>
        <w:adjustRightInd w:val="0"/>
        <w:snapToGrid w:val="0"/>
        <w:spacing w:line="360" w:lineRule="auto"/>
        <w:jc w:val="both"/>
        <w:rPr>
          <w:rFonts w:ascii="Book Antiqua" w:hAnsi="Book Antiqua"/>
          <w:b/>
          <w:color w:val="000000"/>
        </w:rPr>
      </w:pPr>
    </w:p>
    <w:p w:rsidR="00D059D8" w:rsidRPr="00815B74" w:rsidRDefault="00D059D8">
      <w:pPr>
        <w:adjustRightInd w:val="0"/>
        <w:snapToGrid w:val="0"/>
        <w:spacing w:line="360" w:lineRule="auto"/>
        <w:jc w:val="both"/>
        <w:rPr>
          <w:rFonts w:ascii="Book Antiqua" w:hAnsi="Book Antiqua"/>
          <w:b/>
          <w:i/>
          <w:color w:val="000000"/>
        </w:rPr>
      </w:pPr>
      <w:r w:rsidRPr="00815B74">
        <w:rPr>
          <w:rFonts w:ascii="Book Antiqua" w:hAnsi="Book Antiqua"/>
          <w:b/>
          <w:i/>
          <w:color w:val="000000"/>
        </w:rPr>
        <w:t>Research methods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 xml:space="preserve">Ninety histologically confirmed PDAC </w:t>
      </w:r>
      <w:r w:rsidRPr="00815B74">
        <w:rPr>
          <w:rFonts w:ascii="Book Antiqua" w:hAnsi="Book Antiqua" w:hint="eastAsia"/>
          <w:color w:val="000000"/>
        </w:rPr>
        <w:t>patients</w:t>
      </w:r>
      <w:r w:rsidRPr="00815B74">
        <w:rPr>
          <w:rFonts w:ascii="Book Antiqua" w:hAnsi="Book Antiqua"/>
          <w:color w:val="000000"/>
        </w:rPr>
        <w:t xml:space="preserve"> were enrolled in this </w:t>
      </w:r>
      <w:r w:rsidRPr="00815B74">
        <w:rPr>
          <w:rFonts w:ascii="Book Antiqua" w:hAnsi="Book Antiqua" w:hint="eastAsia"/>
          <w:color w:val="000000"/>
        </w:rPr>
        <w:t>study</w:t>
      </w:r>
      <w:r w:rsidRPr="00815B74">
        <w:rPr>
          <w:rFonts w:ascii="Book Antiqua" w:hAnsi="Book Antiqua"/>
          <w:color w:val="000000"/>
        </w:rPr>
        <w:t xml:space="preserve">. PDAC cancer samples and cell lines were used to determine the expression of TBL1XR1. CCK-8 assays and colony formation analysis were </w:t>
      </w:r>
      <w:r w:rsidRPr="00815B74">
        <w:rPr>
          <w:rFonts w:ascii="Book Antiqua" w:hAnsi="Book Antiqua" w:hint="eastAsia"/>
          <w:color w:val="000000"/>
        </w:rPr>
        <w:t>performed</w:t>
      </w:r>
      <w:r w:rsidRPr="00815B74">
        <w:rPr>
          <w:rFonts w:ascii="Book Antiqua" w:hAnsi="Book Antiqua"/>
          <w:color w:val="000000"/>
        </w:rPr>
        <w:t xml:space="preserve"> to </w:t>
      </w:r>
      <w:r w:rsidRPr="00815B74">
        <w:rPr>
          <w:rFonts w:ascii="Book Antiqua" w:hAnsi="Book Antiqua"/>
          <w:color w:val="000000"/>
        </w:rPr>
        <w:lastRenderedPageBreak/>
        <w:t xml:space="preserve">assess the viability of PDAC cells. Flow cytometry was carried out to analyze changes in the cell cycle and apoptosis. Related protein expression changes were determined by western blot analysis. Animal analysis was performed to confirm the impact of TBL1XR1 </w:t>
      </w:r>
      <w:r w:rsidRPr="00815B74">
        <w:rPr>
          <w:rFonts w:ascii="Book Antiqua" w:hAnsi="Book Antiqua"/>
          <w:i/>
          <w:iCs/>
          <w:color w:val="000000"/>
        </w:rPr>
        <w:t>in vivo</w:t>
      </w:r>
      <w:r w:rsidRPr="00815B74">
        <w:rPr>
          <w:rFonts w:ascii="Book Antiqua" w:hAnsi="Book Antiqua"/>
          <w:color w:val="000000"/>
        </w:rPr>
        <w:t>.</w:t>
      </w:r>
    </w:p>
    <w:p w:rsidR="00D059D8" w:rsidRPr="00815B74" w:rsidRDefault="00D059D8">
      <w:pPr>
        <w:adjustRightInd w:val="0"/>
        <w:snapToGrid w:val="0"/>
        <w:spacing w:line="360" w:lineRule="auto"/>
        <w:jc w:val="both"/>
        <w:rPr>
          <w:rFonts w:ascii="Book Antiqua" w:hAnsi="Book Antiqua"/>
          <w:b/>
          <w:color w:val="000000"/>
        </w:rPr>
      </w:pPr>
    </w:p>
    <w:p w:rsidR="00D059D8" w:rsidRPr="00815B74" w:rsidRDefault="00D059D8">
      <w:pPr>
        <w:adjustRightInd w:val="0"/>
        <w:snapToGrid w:val="0"/>
        <w:spacing w:line="360" w:lineRule="auto"/>
        <w:jc w:val="both"/>
        <w:rPr>
          <w:rFonts w:ascii="Book Antiqua" w:hAnsi="Book Antiqua"/>
          <w:b/>
          <w:i/>
          <w:color w:val="000000"/>
        </w:rPr>
      </w:pPr>
      <w:r w:rsidRPr="00815B74">
        <w:rPr>
          <w:rFonts w:ascii="Book Antiqua" w:hAnsi="Book Antiqua"/>
          <w:b/>
          <w:i/>
          <w:color w:val="000000"/>
        </w:rPr>
        <w:t>Research results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The results showed that patients with TBL1XR1-positive tumors had worse overall survival than those with TBL1XR1-negative tumors. Moreover, we found that TBL1XR1 obviously promote</w:t>
      </w:r>
      <w:r w:rsidRPr="00815B74">
        <w:rPr>
          <w:rFonts w:ascii="Book Antiqua" w:hAnsi="Book Antiqua" w:hint="eastAsia"/>
          <w:color w:val="000000"/>
        </w:rPr>
        <w:t>d</w:t>
      </w:r>
      <w:r w:rsidRPr="00815B74">
        <w:rPr>
          <w:rFonts w:ascii="Book Antiqua" w:hAnsi="Book Antiqua"/>
          <w:color w:val="000000"/>
        </w:rPr>
        <w:t xml:space="preserve"> PDAC cell proliferation and inhibit</w:t>
      </w:r>
      <w:r w:rsidRPr="00815B74">
        <w:rPr>
          <w:rFonts w:ascii="Book Antiqua" w:hAnsi="Book Antiqua" w:hint="eastAsia"/>
          <w:color w:val="000000"/>
        </w:rPr>
        <w:t>ed</w:t>
      </w:r>
      <w:r w:rsidRPr="00815B74">
        <w:rPr>
          <w:rFonts w:ascii="Book Antiqua" w:hAnsi="Book Antiqua"/>
          <w:color w:val="000000"/>
        </w:rPr>
        <w:t xml:space="preserve"> PDAC cell apoptosis. Moreover, knockdown of TBL1XR1 induced G0/G1 phase arrest. </w:t>
      </w:r>
      <w:r w:rsidRPr="00815B74">
        <w:rPr>
          <w:rFonts w:ascii="Book Antiqua" w:hAnsi="Book Antiqua"/>
          <w:i/>
          <w:iCs/>
          <w:color w:val="000000"/>
        </w:rPr>
        <w:t>In vivo</w:t>
      </w:r>
      <w:r w:rsidRPr="00815B74">
        <w:rPr>
          <w:rFonts w:ascii="Book Antiqua" w:hAnsi="Book Antiqua"/>
          <w:color w:val="000000"/>
        </w:rPr>
        <w:t xml:space="preserve"> animal studies confirmed that TBL1XR1 accelerate</w:t>
      </w:r>
      <w:r w:rsidRPr="00815B74">
        <w:rPr>
          <w:rFonts w:ascii="Book Antiqua" w:hAnsi="Book Antiqua" w:hint="eastAsia"/>
          <w:color w:val="000000"/>
        </w:rPr>
        <w:t>d</w:t>
      </w:r>
      <w:r w:rsidRPr="00815B74">
        <w:rPr>
          <w:rFonts w:ascii="Book Antiqua" w:hAnsi="Book Antiqua"/>
          <w:color w:val="000000"/>
        </w:rPr>
        <w:t xml:space="preserve"> tumor cell growth. The results of western blot analysis showed that TBL1XR1 might play a significant role in regulating PDAC cell proliferation and apoptosis </w:t>
      </w:r>
      <w:r w:rsidRPr="00815B74">
        <w:rPr>
          <w:rFonts w:ascii="Book Antiqua" w:hAnsi="Book Antiqua"/>
          <w:i/>
          <w:iCs/>
          <w:color w:val="000000"/>
        </w:rPr>
        <w:t xml:space="preserve">via </w:t>
      </w:r>
      <w:r w:rsidRPr="00815B74">
        <w:rPr>
          <w:rFonts w:ascii="Book Antiqua" w:hAnsi="Book Antiqua"/>
          <w:color w:val="000000"/>
        </w:rPr>
        <w:t>the PI3K/AKT pathway.</w:t>
      </w:r>
    </w:p>
    <w:p w:rsidR="00D059D8" w:rsidRPr="00815B74" w:rsidRDefault="00D059D8">
      <w:pPr>
        <w:adjustRightInd w:val="0"/>
        <w:snapToGrid w:val="0"/>
        <w:spacing w:line="360" w:lineRule="auto"/>
        <w:jc w:val="both"/>
        <w:rPr>
          <w:rFonts w:ascii="Book Antiqua" w:hAnsi="Book Antiqua" w:cs="Segoe UI"/>
          <w:color w:val="000000"/>
          <w:shd w:val="clear" w:color="auto" w:fill="FFFFFF"/>
        </w:rPr>
      </w:pPr>
    </w:p>
    <w:p w:rsidR="00D059D8" w:rsidRPr="00815B74" w:rsidRDefault="00D059D8">
      <w:pPr>
        <w:adjustRightInd w:val="0"/>
        <w:snapToGrid w:val="0"/>
        <w:spacing w:line="360" w:lineRule="auto"/>
        <w:jc w:val="both"/>
        <w:rPr>
          <w:rFonts w:ascii="Book Antiqua" w:hAnsi="Book Antiqua" w:cs="Segoe UI"/>
          <w:b/>
          <w:i/>
          <w:color w:val="000000"/>
          <w:shd w:val="clear" w:color="auto" w:fill="FFFFFF"/>
        </w:rPr>
      </w:pPr>
      <w:r w:rsidRPr="00815B74">
        <w:rPr>
          <w:rFonts w:ascii="Book Antiqua" w:hAnsi="Book Antiqua"/>
          <w:b/>
          <w:i/>
          <w:color w:val="000000"/>
        </w:rPr>
        <w:t>Research conclusions</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t>TBL1XR1 promotes PDAC cell progression and might be a probable effective diagnostic and therapeutic marker for pancreatic cancer.</w:t>
      </w:r>
    </w:p>
    <w:p w:rsidR="00D059D8" w:rsidRPr="00815B74" w:rsidRDefault="00D059D8">
      <w:pPr>
        <w:adjustRightInd w:val="0"/>
        <w:snapToGrid w:val="0"/>
        <w:spacing w:line="360" w:lineRule="auto"/>
        <w:jc w:val="both"/>
        <w:rPr>
          <w:rFonts w:ascii="Book Antiqua" w:hAnsi="Book Antiqua" w:cs="Segoe UI"/>
          <w:color w:val="000000"/>
          <w:shd w:val="clear" w:color="auto" w:fill="FFFFFF"/>
        </w:rPr>
      </w:pPr>
    </w:p>
    <w:p w:rsidR="00D059D8" w:rsidRPr="00815B74" w:rsidRDefault="00D059D8">
      <w:pPr>
        <w:adjustRightInd w:val="0"/>
        <w:snapToGrid w:val="0"/>
        <w:spacing w:line="360" w:lineRule="auto"/>
        <w:jc w:val="both"/>
        <w:rPr>
          <w:rFonts w:ascii="Book Antiqua" w:hAnsi="Book Antiqua" w:cs="Segoe UI"/>
          <w:b/>
          <w:i/>
          <w:color w:val="000000"/>
          <w:shd w:val="clear" w:color="auto" w:fill="FFFFFF"/>
        </w:rPr>
      </w:pPr>
      <w:r w:rsidRPr="00815B74">
        <w:rPr>
          <w:rFonts w:ascii="Book Antiqua" w:hAnsi="Book Antiqua" w:cs="Segoe UI"/>
          <w:b/>
          <w:i/>
          <w:color w:val="000000"/>
          <w:shd w:val="clear" w:color="auto" w:fill="FFFFFF"/>
        </w:rPr>
        <w:t>Research perspectives</w:t>
      </w:r>
    </w:p>
    <w:bookmarkEnd w:id="62"/>
    <w:bookmarkEnd w:id="63"/>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TBL1XR1 may be a</w:t>
      </w:r>
      <w:r w:rsidRPr="00815B74">
        <w:rPr>
          <w:rFonts w:ascii="Book Antiqua" w:hAnsi="Book Antiqua" w:hint="eastAsia"/>
          <w:color w:val="000000"/>
        </w:rPr>
        <w:t>n</w:t>
      </w:r>
      <w:r w:rsidRPr="00815B74">
        <w:rPr>
          <w:rFonts w:ascii="Book Antiqua" w:hAnsi="Book Antiqua"/>
          <w:color w:val="000000"/>
        </w:rPr>
        <w:t xml:space="preserve"> effective diagnosis and therapeutic marker for pancreatic cancer</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color w:val="000000"/>
        </w:rPr>
        <w:t>REFERENCES</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1 </w:t>
      </w:r>
      <w:proofErr w:type="spellStart"/>
      <w:r w:rsidRPr="00815B74">
        <w:rPr>
          <w:rFonts w:ascii="Book Antiqua" w:hAnsi="Book Antiqua"/>
          <w:b/>
          <w:bCs/>
          <w:color w:val="000000"/>
        </w:rPr>
        <w:t>Garrido</w:t>
      </w:r>
      <w:proofErr w:type="spellEnd"/>
      <w:r w:rsidRPr="00815B74">
        <w:rPr>
          <w:rFonts w:ascii="Book Antiqua" w:hAnsi="Book Antiqua"/>
          <w:b/>
          <w:bCs/>
          <w:color w:val="000000"/>
        </w:rPr>
        <w:t>-Laguna I</w:t>
      </w:r>
      <w:r w:rsidRPr="00815B74">
        <w:rPr>
          <w:rFonts w:ascii="Book Antiqua" w:hAnsi="Book Antiqua"/>
          <w:color w:val="000000"/>
        </w:rPr>
        <w:t>, Hidalgo M. Pancreatic cancer: from state-of-the-art treatments to promising novel therapies. </w:t>
      </w:r>
      <w:r w:rsidRPr="00815B74">
        <w:rPr>
          <w:rFonts w:ascii="Book Antiqua" w:hAnsi="Book Antiqua"/>
          <w:i/>
          <w:iCs/>
          <w:color w:val="000000"/>
        </w:rPr>
        <w:t xml:space="preserve">Nat Rev </w:t>
      </w:r>
      <w:proofErr w:type="spellStart"/>
      <w:r w:rsidRPr="00815B74">
        <w:rPr>
          <w:rFonts w:ascii="Book Antiqua" w:hAnsi="Book Antiqua"/>
          <w:i/>
          <w:iCs/>
          <w:color w:val="000000"/>
        </w:rPr>
        <w:t>Clin</w:t>
      </w:r>
      <w:proofErr w:type="spellEnd"/>
      <w:r w:rsidRPr="00815B74">
        <w:rPr>
          <w:rFonts w:ascii="Book Antiqua" w:hAnsi="Book Antiqua"/>
          <w:i/>
          <w:iCs/>
          <w:color w:val="000000"/>
        </w:rPr>
        <w:t xml:space="preserve"> </w:t>
      </w:r>
      <w:proofErr w:type="spellStart"/>
      <w:r w:rsidRPr="00815B74">
        <w:rPr>
          <w:rFonts w:ascii="Book Antiqua" w:hAnsi="Book Antiqua"/>
          <w:i/>
          <w:iCs/>
          <w:color w:val="000000"/>
        </w:rPr>
        <w:t>Oncol</w:t>
      </w:r>
      <w:proofErr w:type="spellEnd"/>
      <w:r w:rsidRPr="00815B74">
        <w:rPr>
          <w:rFonts w:ascii="Book Antiqua" w:hAnsi="Book Antiqua"/>
          <w:color w:val="000000"/>
        </w:rPr>
        <w:t> 2015; </w:t>
      </w:r>
      <w:r w:rsidRPr="00815B74">
        <w:rPr>
          <w:rFonts w:ascii="Book Antiqua" w:hAnsi="Book Antiqua"/>
          <w:b/>
          <w:bCs/>
          <w:color w:val="000000"/>
        </w:rPr>
        <w:t>12</w:t>
      </w:r>
      <w:r w:rsidRPr="00815B74">
        <w:rPr>
          <w:rFonts w:ascii="Book Antiqua" w:hAnsi="Book Antiqua"/>
          <w:color w:val="000000"/>
        </w:rPr>
        <w:t>: 319-334 [PMID: 25824606 DOI: 10.1038/nrclinonc.2015.53]</w:t>
      </w:r>
    </w:p>
    <w:p w:rsidR="00D059D8" w:rsidRPr="00815B74" w:rsidRDefault="00D059D8">
      <w:pPr>
        <w:autoSpaceDE w:val="0"/>
        <w:autoSpaceDN w:val="0"/>
        <w:adjustRightInd w:val="0"/>
        <w:snapToGrid w:val="0"/>
        <w:spacing w:line="360" w:lineRule="auto"/>
        <w:jc w:val="both"/>
        <w:rPr>
          <w:rFonts w:ascii="Book Antiqua" w:hAnsi="Book Antiqua"/>
          <w:color w:val="000000"/>
        </w:rPr>
      </w:pPr>
      <w:proofErr w:type="gramStart"/>
      <w:r w:rsidRPr="00815B74">
        <w:rPr>
          <w:rFonts w:ascii="Book Antiqua" w:hAnsi="Book Antiqua"/>
          <w:color w:val="000000"/>
        </w:rPr>
        <w:t>2 </w:t>
      </w:r>
      <w:r w:rsidRPr="00815B74">
        <w:rPr>
          <w:rFonts w:ascii="Book Antiqua" w:hAnsi="Book Antiqua"/>
          <w:b/>
          <w:bCs/>
          <w:color w:val="000000"/>
        </w:rPr>
        <w:t>Siegel RL</w:t>
      </w:r>
      <w:r w:rsidRPr="00815B74">
        <w:rPr>
          <w:rFonts w:ascii="Book Antiqua" w:hAnsi="Book Antiqua"/>
          <w:color w:val="000000"/>
        </w:rPr>
        <w:t xml:space="preserve">, Miller KD, </w:t>
      </w:r>
      <w:proofErr w:type="spellStart"/>
      <w:r w:rsidRPr="00815B74">
        <w:rPr>
          <w:rFonts w:ascii="Book Antiqua" w:hAnsi="Book Antiqua"/>
          <w:color w:val="000000"/>
        </w:rPr>
        <w:t>Jemal</w:t>
      </w:r>
      <w:proofErr w:type="spellEnd"/>
      <w:r w:rsidRPr="00815B74">
        <w:rPr>
          <w:rFonts w:ascii="Book Antiqua" w:hAnsi="Book Antiqua"/>
          <w:color w:val="000000"/>
        </w:rPr>
        <w:t xml:space="preserve"> A. Cancer statistics, 2015.</w:t>
      </w:r>
      <w:proofErr w:type="gramEnd"/>
      <w:r w:rsidRPr="00815B74">
        <w:rPr>
          <w:rFonts w:ascii="Book Antiqua" w:hAnsi="Book Antiqua"/>
          <w:color w:val="000000"/>
        </w:rPr>
        <w:t> </w:t>
      </w:r>
      <w:r w:rsidRPr="00815B74">
        <w:rPr>
          <w:rFonts w:ascii="Book Antiqua" w:hAnsi="Book Antiqua"/>
          <w:i/>
          <w:iCs/>
          <w:color w:val="000000"/>
        </w:rPr>
        <w:t xml:space="preserve">CA Cancer J </w:t>
      </w:r>
      <w:proofErr w:type="spellStart"/>
      <w:r w:rsidRPr="00815B74">
        <w:rPr>
          <w:rFonts w:ascii="Book Antiqua" w:hAnsi="Book Antiqua"/>
          <w:i/>
          <w:iCs/>
          <w:color w:val="000000"/>
        </w:rPr>
        <w:t>Clin</w:t>
      </w:r>
      <w:proofErr w:type="spellEnd"/>
      <w:r w:rsidRPr="00815B74">
        <w:rPr>
          <w:rFonts w:ascii="Book Antiqua" w:hAnsi="Book Antiqua"/>
          <w:color w:val="000000"/>
        </w:rPr>
        <w:t> 2015; </w:t>
      </w:r>
      <w:r w:rsidRPr="00815B74">
        <w:rPr>
          <w:rFonts w:ascii="Book Antiqua" w:hAnsi="Book Antiqua"/>
          <w:b/>
          <w:bCs/>
          <w:color w:val="000000"/>
        </w:rPr>
        <w:t>65</w:t>
      </w:r>
      <w:r w:rsidRPr="00815B74">
        <w:rPr>
          <w:rFonts w:ascii="Book Antiqua" w:hAnsi="Book Antiqua"/>
          <w:color w:val="000000"/>
        </w:rPr>
        <w:t>: 5-29 [PMID: 25559415 DOI: 10.3322/caac.21254]</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lastRenderedPageBreak/>
        <w:t>3 </w:t>
      </w:r>
      <w:proofErr w:type="spellStart"/>
      <w:r w:rsidRPr="00815B74">
        <w:rPr>
          <w:rFonts w:ascii="Book Antiqua" w:hAnsi="Book Antiqua"/>
          <w:b/>
          <w:bCs/>
          <w:color w:val="000000"/>
        </w:rPr>
        <w:t>Poruk</w:t>
      </w:r>
      <w:proofErr w:type="spellEnd"/>
      <w:r w:rsidRPr="00815B74">
        <w:rPr>
          <w:rFonts w:ascii="Book Antiqua" w:hAnsi="Book Antiqua"/>
          <w:b/>
          <w:bCs/>
          <w:color w:val="000000"/>
        </w:rPr>
        <w:t xml:space="preserve"> KE</w:t>
      </w:r>
      <w:r w:rsidRPr="00815B74">
        <w:rPr>
          <w:rFonts w:ascii="Book Antiqua" w:hAnsi="Book Antiqua"/>
          <w:color w:val="000000"/>
        </w:rPr>
        <w:t xml:space="preserve">, </w:t>
      </w:r>
      <w:proofErr w:type="spellStart"/>
      <w:r w:rsidRPr="00815B74">
        <w:rPr>
          <w:rFonts w:ascii="Book Antiqua" w:hAnsi="Book Antiqua"/>
          <w:color w:val="000000"/>
        </w:rPr>
        <w:t>Firpo</w:t>
      </w:r>
      <w:proofErr w:type="spellEnd"/>
      <w:r w:rsidRPr="00815B74">
        <w:rPr>
          <w:rFonts w:ascii="Book Antiqua" w:hAnsi="Book Antiqua"/>
          <w:color w:val="000000"/>
        </w:rPr>
        <w:t xml:space="preserve"> MA, Adler DG, </w:t>
      </w:r>
      <w:proofErr w:type="spellStart"/>
      <w:r w:rsidRPr="00815B74">
        <w:rPr>
          <w:rFonts w:ascii="Book Antiqua" w:hAnsi="Book Antiqua"/>
          <w:color w:val="000000"/>
        </w:rPr>
        <w:t>Mulvihill</w:t>
      </w:r>
      <w:proofErr w:type="spellEnd"/>
      <w:r w:rsidRPr="00815B74">
        <w:rPr>
          <w:rFonts w:ascii="Book Antiqua" w:hAnsi="Book Antiqua"/>
          <w:color w:val="000000"/>
        </w:rPr>
        <w:t xml:space="preserve"> SJ. Screening for pancreatic cancer: why, how, and who? </w:t>
      </w:r>
      <w:r w:rsidRPr="00815B74">
        <w:rPr>
          <w:rFonts w:ascii="Book Antiqua" w:hAnsi="Book Antiqua"/>
          <w:i/>
          <w:iCs/>
          <w:color w:val="000000"/>
        </w:rPr>
        <w:t xml:space="preserve">Ann </w:t>
      </w:r>
      <w:proofErr w:type="spellStart"/>
      <w:r w:rsidRPr="00815B74">
        <w:rPr>
          <w:rFonts w:ascii="Book Antiqua" w:hAnsi="Book Antiqua"/>
          <w:i/>
          <w:iCs/>
          <w:color w:val="000000"/>
        </w:rPr>
        <w:t>Surg</w:t>
      </w:r>
      <w:proofErr w:type="spellEnd"/>
      <w:r w:rsidRPr="00815B74">
        <w:rPr>
          <w:rFonts w:ascii="Book Antiqua" w:hAnsi="Book Antiqua"/>
          <w:color w:val="000000"/>
        </w:rPr>
        <w:t> 2013; </w:t>
      </w:r>
      <w:r w:rsidRPr="00815B74">
        <w:rPr>
          <w:rFonts w:ascii="Book Antiqua" w:hAnsi="Book Antiqua"/>
          <w:b/>
          <w:bCs/>
          <w:color w:val="000000"/>
        </w:rPr>
        <w:t>257</w:t>
      </w:r>
      <w:r w:rsidRPr="00815B74">
        <w:rPr>
          <w:rFonts w:ascii="Book Antiqua" w:hAnsi="Book Antiqua"/>
          <w:color w:val="000000"/>
        </w:rPr>
        <w:t>: 17-26 [PMID: 22895395 DOI: 10.1097/SLA.0b013e31825ffbfb]</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4 </w:t>
      </w:r>
      <w:r w:rsidRPr="00815B74">
        <w:rPr>
          <w:rFonts w:ascii="Book Antiqua" w:hAnsi="Book Antiqua"/>
          <w:b/>
          <w:bCs/>
          <w:color w:val="000000"/>
        </w:rPr>
        <w:t>Wolfgang CL</w:t>
      </w:r>
      <w:r w:rsidRPr="00815B74">
        <w:rPr>
          <w:rFonts w:ascii="Book Antiqua" w:hAnsi="Book Antiqua"/>
          <w:color w:val="000000"/>
        </w:rPr>
        <w:t xml:space="preserve">, Herman JM, </w:t>
      </w:r>
      <w:proofErr w:type="spellStart"/>
      <w:r w:rsidRPr="00815B74">
        <w:rPr>
          <w:rFonts w:ascii="Book Antiqua" w:hAnsi="Book Antiqua"/>
          <w:color w:val="000000"/>
        </w:rPr>
        <w:t>Laheru</w:t>
      </w:r>
      <w:proofErr w:type="spellEnd"/>
      <w:r w:rsidRPr="00815B74">
        <w:rPr>
          <w:rFonts w:ascii="Book Antiqua" w:hAnsi="Book Antiqua"/>
          <w:color w:val="000000"/>
        </w:rPr>
        <w:t xml:space="preserve"> DA, Klein AP, </w:t>
      </w:r>
      <w:proofErr w:type="spellStart"/>
      <w:r w:rsidRPr="00815B74">
        <w:rPr>
          <w:rFonts w:ascii="Book Antiqua" w:hAnsi="Book Antiqua"/>
          <w:color w:val="000000"/>
        </w:rPr>
        <w:t>Erdek</w:t>
      </w:r>
      <w:proofErr w:type="spellEnd"/>
      <w:r w:rsidRPr="00815B74">
        <w:rPr>
          <w:rFonts w:ascii="Book Antiqua" w:hAnsi="Book Antiqua"/>
          <w:color w:val="000000"/>
        </w:rPr>
        <w:t xml:space="preserve"> MA, Fishman EK, </w:t>
      </w:r>
      <w:proofErr w:type="spellStart"/>
      <w:r w:rsidRPr="00815B74">
        <w:rPr>
          <w:rFonts w:ascii="Book Antiqua" w:hAnsi="Book Antiqua"/>
          <w:color w:val="000000"/>
        </w:rPr>
        <w:t>Hruban</w:t>
      </w:r>
      <w:proofErr w:type="spellEnd"/>
      <w:r w:rsidRPr="00815B74">
        <w:rPr>
          <w:rFonts w:ascii="Book Antiqua" w:hAnsi="Book Antiqua"/>
          <w:color w:val="000000"/>
        </w:rPr>
        <w:t xml:space="preserve"> RH. </w:t>
      </w:r>
      <w:proofErr w:type="gramStart"/>
      <w:r w:rsidRPr="00815B74">
        <w:rPr>
          <w:rFonts w:ascii="Book Antiqua" w:hAnsi="Book Antiqua"/>
          <w:color w:val="000000"/>
        </w:rPr>
        <w:t>Recent progress in pancreatic cancer.</w:t>
      </w:r>
      <w:proofErr w:type="gramEnd"/>
      <w:r w:rsidRPr="00815B74">
        <w:rPr>
          <w:rFonts w:ascii="Book Antiqua" w:hAnsi="Book Antiqua"/>
          <w:color w:val="000000"/>
        </w:rPr>
        <w:t> </w:t>
      </w:r>
      <w:r w:rsidRPr="00815B74">
        <w:rPr>
          <w:rFonts w:ascii="Book Antiqua" w:hAnsi="Book Antiqua"/>
          <w:i/>
          <w:iCs/>
          <w:color w:val="000000"/>
        </w:rPr>
        <w:t xml:space="preserve">CA Cancer J </w:t>
      </w:r>
      <w:proofErr w:type="spellStart"/>
      <w:r w:rsidRPr="00815B74">
        <w:rPr>
          <w:rFonts w:ascii="Book Antiqua" w:hAnsi="Book Antiqua"/>
          <w:i/>
          <w:iCs/>
          <w:color w:val="000000"/>
        </w:rPr>
        <w:t>Clin</w:t>
      </w:r>
      <w:proofErr w:type="spellEnd"/>
      <w:r w:rsidRPr="00815B74">
        <w:rPr>
          <w:rFonts w:ascii="Book Antiqua" w:hAnsi="Book Antiqua"/>
          <w:color w:val="000000"/>
        </w:rPr>
        <w:t> 2013; </w:t>
      </w:r>
      <w:r w:rsidRPr="00815B74">
        <w:rPr>
          <w:rFonts w:ascii="Book Antiqua" w:hAnsi="Book Antiqua"/>
          <w:b/>
          <w:bCs/>
          <w:color w:val="000000"/>
        </w:rPr>
        <w:t>63</w:t>
      </w:r>
      <w:r w:rsidRPr="00815B74">
        <w:rPr>
          <w:rFonts w:ascii="Book Antiqua" w:hAnsi="Book Antiqua"/>
          <w:color w:val="000000"/>
        </w:rPr>
        <w:t>: 318-348 [PMID: 23856911 DOI: 10.3322/caac.21190]</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5 </w:t>
      </w:r>
      <w:r w:rsidRPr="00815B74">
        <w:rPr>
          <w:rFonts w:ascii="Book Antiqua" w:hAnsi="Book Antiqua"/>
          <w:b/>
          <w:bCs/>
          <w:color w:val="000000"/>
        </w:rPr>
        <w:t>Hidalgo M</w:t>
      </w:r>
      <w:r w:rsidRPr="00815B74">
        <w:rPr>
          <w:rFonts w:ascii="Book Antiqua" w:hAnsi="Book Antiqua"/>
          <w:color w:val="000000"/>
        </w:rPr>
        <w:t xml:space="preserve">. Pancreatic </w:t>
      </w:r>
      <w:proofErr w:type="gramStart"/>
      <w:r w:rsidRPr="00815B74">
        <w:rPr>
          <w:rFonts w:ascii="Book Antiqua" w:hAnsi="Book Antiqua"/>
          <w:color w:val="000000"/>
        </w:rPr>
        <w:t>cancer</w:t>
      </w:r>
      <w:proofErr w:type="gramEnd"/>
      <w:r w:rsidRPr="00815B74">
        <w:rPr>
          <w:rFonts w:ascii="Book Antiqua" w:hAnsi="Book Antiqua"/>
          <w:color w:val="000000"/>
        </w:rPr>
        <w:t>. </w:t>
      </w:r>
      <w:r w:rsidRPr="00815B74">
        <w:rPr>
          <w:rFonts w:ascii="Book Antiqua" w:hAnsi="Book Antiqua"/>
          <w:i/>
          <w:iCs/>
          <w:color w:val="000000"/>
        </w:rPr>
        <w:t xml:space="preserve">N </w:t>
      </w:r>
      <w:proofErr w:type="spellStart"/>
      <w:r w:rsidRPr="00815B74">
        <w:rPr>
          <w:rFonts w:ascii="Book Antiqua" w:hAnsi="Book Antiqua"/>
          <w:i/>
          <w:iCs/>
          <w:color w:val="000000"/>
        </w:rPr>
        <w:t>Engl</w:t>
      </w:r>
      <w:proofErr w:type="spellEnd"/>
      <w:r w:rsidRPr="00815B74">
        <w:rPr>
          <w:rFonts w:ascii="Book Antiqua" w:hAnsi="Book Antiqua"/>
          <w:i/>
          <w:iCs/>
          <w:color w:val="000000"/>
        </w:rPr>
        <w:t xml:space="preserve"> J Med</w:t>
      </w:r>
      <w:r w:rsidRPr="00815B74">
        <w:rPr>
          <w:rFonts w:ascii="Book Antiqua" w:hAnsi="Book Antiqua"/>
          <w:color w:val="000000"/>
        </w:rPr>
        <w:t> 2010; </w:t>
      </w:r>
      <w:r w:rsidRPr="00815B74">
        <w:rPr>
          <w:rFonts w:ascii="Book Antiqua" w:hAnsi="Book Antiqua"/>
          <w:b/>
          <w:bCs/>
          <w:color w:val="000000"/>
        </w:rPr>
        <w:t>362</w:t>
      </w:r>
      <w:r w:rsidRPr="00815B74">
        <w:rPr>
          <w:rFonts w:ascii="Book Antiqua" w:hAnsi="Book Antiqua"/>
          <w:color w:val="000000"/>
        </w:rPr>
        <w:t>: 1605-1617 [PMID: 20427809 DOI: 10.1056/NEJMra0901557]</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6 </w:t>
      </w:r>
      <w:r w:rsidRPr="00815B74">
        <w:rPr>
          <w:rFonts w:ascii="Book Antiqua" w:hAnsi="Book Antiqua"/>
          <w:b/>
          <w:bCs/>
          <w:color w:val="000000"/>
        </w:rPr>
        <w:t>Pérez-</w:t>
      </w:r>
      <w:proofErr w:type="spellStart"/>
      <w:r w:rsidRPr="00815B74">
        <w:rPr>
          <w:rFonts w:ascii="Book Antiqua" w:hAnsi="Book Antiqua"/>
          <w:b/>
          <w:bCs/>
          <w:color w:val="000000"/>
        </w:rPr>
        <w:t>Mancera</w:t>
      </w:r>
      <w:proofErr w:type="spellEnd"/>
      <w:r w:rsidRPr="00815B74">
        <w:rPr>
          <w:rFonts w:ascii="Book Antiqua" w:hAnsi="Book Antiqua"/>
          <w:b/>
          <w:bCs/>
          <w:color w:val="000000"/>
        </w:rPr>
        <w:t xml:space="preserve"> PA</w:t>
      </w:r>
      <w:r w:rsidRPr="00815B74">
        <w:rPr>
          <w:rFonts w:ascii="Book Antiqua" w:hAnsi="Book Antiqua"/>
          <w:color w:val="000000"/>
        </w:rPr>
        <w:t xml:space="preserve">, Rust AG, van der Weyden L, Kristiansen G, Li A, Sarver AL, Silverstein KA, </w:t>
      </w:r>
      <w:proofErr w:type="spellStart"/>
      <w:r w:rsidRPr="00815B74">
        <w:rPr>
          <w:rFonts w:ascii="Book Antiqua" w:hAnsi="Book Antiqua"/>
          <w:color w:val="000000"/>
        </w:rPr>
        <w:t>Grützmann</w:t>
      </w:r>
      <w:proofErr w:type="spellEnd"/>
      <w:r w:rsidRPr="00815B74">
        <w:rPr>
          <w:rFonts w:ascii="Book Antiqua" w:hAnsi="Book Antiqua"/>
          <w:color w:val="000000"/>
        </w:rPr>
        <w:t xml:space="preserve"> R, </w:t>
      </w:r>
      <w:proofErr w:type="spellStart"/>
      <w:r w:rsidRPr="00815B74">
        <w:rPr>
          <w:rFonts w:ascii="Book Antiqua" w:hAnsi="Book Antiqua"/>
          <w:color w:val="000000"/>
        </w:rPr>
        <w:t>Aust</w:t>
      </w:r>
      <w:proofErr w:type="spellEnd"/>
      <w:r w:rsidRPr="00815B74">
        <w:rPr>
          <w:rFonts w:ascii="Book Antiqua" w:hAnsi="Book Antiqua"/>
          <w:color w:val="000000"/>
        </w:rPr>
        <w:t xml:space="preserve"> D, </w:t>
      </w:r>
      <w:proofErr w:type="spellStart"/>
      <w:r w:rsidRPr="00815B74">
        <w:rPr>
          <w:rFonts w:ascii="Book Antiqua" w:hAnsi="Book Antiqua"/>
          <w:color w:val="000000"/>
        </w:rPr>
        <w:t>Rümmele</w:t>
      </w:r>
      <w:proofErr w:type="spellEnd"/>
      <w:r w:rsidRPr="00815B74">
        <w:rPr>
          <w:rFonts w:ascii="Book Antiqua" w:hAnsi="Book Antiqua"/>
          <w:color w:val="000000"/>
        </w:rPr>
        <w:t xml:space="preserve"> P, </w:t>
      </w:r>
      <w:proofErr w:type="spellStart"/>
      <w:r w:rsidRPr="00815B74">
        <w:rPr>
          <w:rFonts w:ascii="Book Antiqua" w:hAnsi="Book Antiqua"/>
          <w:color w:val="000000"/>
        </w:rPr>
        <w:t>Knösel</w:t>
      </w:r>
      <w:proofErr w:type="spellEnd"/>
      <w:r w:rsidRPr="00815B74">
        <w:rPr>
          <w:rFonts w:ascii="Book Antiqua" w:hAnsi="Book Antiqua"/>
          <w:color w:val="000000"/>
        </w:rPr>
        <w:t xml:space="preserve"> T, Herd C, </w:t>
      </w:r>
      <w:proofErr w:type="spellStart"/>
      <w:r w:rsidRPr="00815B74">
        <w:rPr>
          <w:rFonts w:ascii="Book Antiqua" w:hAnsi="Book Antiqua"/>
          <w:color w:val="000000"/>
        </w:rPr>
        <w:t>Stemple</w:t>
      </w:r>
      <w:proofErr w:type="spellEnd"/>
      <w:r w:rsidRPr="00815B74">
        <w:rPr>
          <w:rFonts w:ascii="Book Antiqua" w:hAnsi="Book Antiqua"/>
          <w:color w:val="000000"/>
        </w:rPr>
        <w:t xml:space="preserve"> DL, </w:t>
      </w:r>
      <w:proofErr w:type="spellStart"/>
      <w:r w:rsidRPr="00815B74">
        <w:rPr>
          <w:rFonts w:ascii="Book Antiqua" w:hAnsi="Book Antiqua"/>
          <w:color w:val="000000"/>
        </w:rPr>
        <w:t>Kettleborough</w:t>
      </w:r>
      <w:proofErr w:type="spellEnd"/>
      <w:r w:rsidRPr="00815B74">
        <w:rPr>
          <w:rFonts w:ascii="Book Antiqua" w:hAnsi="Book Antiqua"/>
          <w:color w:val="000000"/>
        </w:rPr>
        <w:t xml:space="preserve"> R, </w:t>
      </w:r>
      <w:proofErr w:type="spellStart"/>
      <w:r w:rsidRPr="00815B74">
        <w:rPr>
          <w:rFonts w:ascii="Book Antiqua" w:hAnsi="Book Antiqua"/>
          <w:color w:val="000000"/>
        </w:rPr>
        <w:t>Brosnan</w:t>
      </w:r>
      <w:proofErr w:type="spellEnd"/>
      <w:r w:rsidRPr="00815B74">
        <w:rPr>
          <w:rFonts w:ascii="Book Antiqua" w:hAnsi="Book Antiqua"/>
          <w:color w:val="000000"/>
        </w:rPr>
        <w:t xml:space="preserve"> JA, Li A, Morgan R, Knight S, Yu J, </w:t>
      </w:r>
      <w:proofErr w:type="spellStart"/>
      <w:r w:rsidRPr="00815B74">
        <w:rPr>
          <w:rFonts w:ascii="Book Antiqua" w:hAnsi="Book Antiqua"/>
          <w:color w:val="000000"/>
        </w:rPr>
        <w:t>Stegeman</w:t>
      </w:r>
      <w:proofErr w:type="spellEnd"/>
      <w:r w:rsidRPr="00815B74">
        <w:rPr>
          <w:rFonts w:ascii="Book Antiqua" w:hAnsi="Book Antiqua"/>
          <w:color w:val="000000"/>
        </w:rPr>
        <w:t xml:space="preserve"> S, Collier LS, ten </w:t>
      </w:r>
      <w:proofErr w:type="spellStart"/>
      <w:r w:rsidRPr="00815B74">
        <w:rPr>
          <w:rFonts w:ascii="Book Antiqua" w:hAnsi="Book Antiqua"/>
          <w:color w:val="000000"/>
        </w:rPr>
        <w:t>Hoeve</w:t>
      </w:r>
      <w:proofErr w:type="spellEnd"/>
      <w:r w:rsidRPr="00815B74">
        <w:rPr>
          <w:rFonts w:ascii="Book Antiqua" w:hAnsi="Book Antiqua"/>
          <w:color w:val="000000"/>
        </w:rPr>
        <w:t xml:space="preserve"> JJ, de Ridder J, Klein AP, </w:t>
      </w:r>
      <w:proofErr w:type="spellStart"/>
      <w:r w:rsidRPr="00815B74">
        <w:rPr>
          <w:rFonts w:ascii="Book Antiqua" w:hAnsi="Book Antiqua"/>
          <w:color w:val="000000"/>
        </w:rPr>
        <w:t>Goggins</w:t>
      </w:r>
      <w:proofErr w:type="spellEnd"/>
      <w:r w:rsidRPr="00815B74">
        <w:rPr>
          <w:rFonts w:ascii="Book Antiqua" w:hAnsi="Book Antiqua"/>
          <w:color w:val="000000"/>
        </w:rPr>
        <w:t xml:space="preserve"> M, </w:t>
      </w:r>
      <w:proofErr w:type="spellStart"/>
      <w:r w:rsidRPr="00815B74">
        <w:rPr>
          <w:rFonts w:ascii="Book Antiqua" w:hAnsi="Book Antiqua"/>
          <w:color w:val="000000"/>
        </w:rPr>
        <w:t>Hruban</w:t>
      </w:r>
      <w:proofErr w:type="spellEnd"/>
      <w:r w:rsidRPr="00815B74">
        <w:rPr>
          <w:rFonts w:ascii="Book Antiqua" w:hAnsi="Book Antiqua"/>
          <w:color w:val="000000"/>
        </w:rPr>
        <w:t xml:space="preserve"> RH, Chang DK, </w:t>
      </w:r>
      <w:proofErr w:type="spellStart"/>
      <w:r w:rsidRPr="00815B74">
        <w:rPr>
          <w:rFonts w:ascii="Book Antiqua" w:hAnsi="Book Antiqua"/>
          <w:color w:val="000000"/>
        </w:rPr>
        <w:t>Biankin</w:t>
      </w:r>
      <w:proofErr w:type="spellEnd"/>
      <w:r w:rsidRPr="00815B74">
        <w:rPr>
          <w:rFonts w:ascii="Book Antiqua" w:hAnsi="Book Antiqua"/>
          <w:color w:val="000000"/>
        </w:rPr>
        <w:t xml:space="preserve"> AV, </w:t>
      </w:r>
      <w:proofErr w:type="spellStart"/>
      <w:r w:rsidRPr="00815B74">
        <w:rPr>
          <w:rFonts w:ascii="Book Antiqua" w:hAnsi="Book Antiqua"/>
          <w:color w:val="000000"/>
        </w:rPr>
        <w:t>Grimmond</w:t>
      </w:r>
      <w:proofErr w:type="spellEnd"/>
      <w:r w:rsidRPr="00815B74">
        <w:rPr>
          <w:rFonts w:ascii="Book Antiqua" w:hAnsi="Book Antiqua"/>
          <w:color w:val="000000"/>
        </w:rPr>
        <w:t xml:space="preserve"> SM; Australian Pancreatic Cancer Genome Initiative, </w:t>
      </w:r>
      <w:proofErr w:type="spellStart"/>
      <w:r w:rsidRPr="00815B74">
        <w:rPr>
          <w:rFonts w:ascii="Book Antiqua" w:hAnsi="Book Antiqua"/>
          <w:color w:val="000000"/>
        </w:rPr>
        <w:t>Wessels</w:t>
      </w:r>
      <w:proofErr w:type="spellEnd"/>
      <w:r w:rsidRPr="00815B74">
        <w:rPr>
          <w:rFonts w:ascii="Book Antiqua" w:hAnsi="Book Antiqua"/>
          <w:color w:val="000000"/>
        </w:rPr>
        <w:t xml:space="preserve"> LF, Wood SA, </w:t>
      </w:r>
      <w:proofErr w:type="spellStart"/>
      <w:r w:rsidRPr="00815B74">
        <w:rPr>
          <w:rFonts w:ascii="Book Antiqua" w:hAnsi="Book Antiqua"/>
          <w:color w:val="000000"/>
        </w:rPr>
        <w:t>Iacobuzio</w:t>
      </w:r>
      <w:proofErr w:type="spellEnd"/>
      <w:r w:rsidRPr="00815B74">
        <w:rPr>
          <w:rFonts w:ascii="Book Antiqua" w:hAnsi="Book Antiqua"/>
          <w:color w:val="000000"/>
        </w:rPr>
        <w:t xml:space="preserve">-Donahue CA, </w:t>
      </w:r>
      <w:proofErr w:type="spellStart"/>
      <w:r w:rsidRPr="00815B74">
        <w:rPr>
          <w:rFonts w:ascii="Book Antiqua" w:hAnsi="Book Antiqua"/>
          <w:color w:val="000000"/>
        </w:rPr>
        <w:t>Pilarsky</w:t>
      </w:r>
      <w:proofErr w:type="spellEnd"/>
      <w:r w:rsidRPr="00815B74">
        <w:rPr>
          <w:rFonts w:ascii="Book Antiqua" w:hAnsi="Book Antiqua"/>
          <w:color w:val="000000"/>
        </w:rPr>
        <w:t xml:space="preserve"> C, </w:t>
      </w:r>
      <w:proofErr w:type="spellStart"/>
      <w:r w:rsidRPr="00815B74">
        <w:rPr>
          <w:rFonts w:ascii="Book Antiqua" w:hAnsi="Book Antiqua"/>
          <w:color w:val="000000"/>
        </w:rPr>
        <w:t>Largaespada</w:t>
      </w:r>
      <w:proofErr w:type="spellEnd"/>
      <w:r w:rsidRPr="00815B74">
        <w:rPr>
          <w:rFonts w:ascii="Book Antiqua" w:hAnsi="Book Antiqua"/>
          <w:color w:val="000000"/>
        </w:rPr>
        <w:t xml:space="preserve"> DA, Adams DJ, </w:t>
      </w:r>
      <w:proofErr w:type="spellStart"/>
      <w:r w:rsidRPr="00815B74">
        <w:rPr>
          <w:rFonts w:ascii="Book Antiqua" w:hAnsi="Book Antiqua"/>
          <w:color w:val="000000"/>
        </w:rPr>
        <w:t>Tuveson</w:t>
      </w:r>
      <w:proofErr w:type="spellEnd"/>
      <w:r w:rsidRPr="00815B74">
        <w:rPr>
          <w:rFonts w:ascii="Book Antiqua" w:hAnsi="Book Antiqua"/>
          <w:color w:val="000000"/>
        </w:rPr>
        <w:t xml:space="preserve"> DA. The </w:t>
      </w:r>
      <w:proofErr w:type="spellStart"/>
      <w:r w:rsidRPr="00815B74">
        <w:rPr>
          <w:rFonts w:ascii="Book Antiqua" w:hAnsi="Book Antiqua"/>
          <w:color w:val="000000"/>
        </w:rPr>
        <w:t>deubiquitinase</w:t>
      </w:r>
      <w:proofErr w:type="spellEnd"/>
      <w:r w:rsidRPr="00815B74">
        <w:rPr>
          <w:rFonts w:ascii="Book Antiqua" w:hAnsi="Book Antiqua"/>
          <w:color w:val="000000"/>
        </w:rPr>
        <w:t xml:space="preserve"> USP9X suppresses pancreatic ductal adenocarcinoma. </w:t>
      </w:r>
      <w:r w:rsidRPr="00815B74">
        <w:rPr>
          <w:rFonts w:ascii="Book Antiqua" w:hAnsi="Book Antiqua"/>
          <w:i/>
          <w:iCs/>
          <w:color w:val="000000"/>
        </w:rPr>
        <w:t>Nature</w:t>
      </w:r>
      <w:r w:rsidRPr="00815B74">
        <w:rPr>
          <w:rFonts w:ascii="Book Antiqua" w:hAnsi="Book Antiqua"/>
          <w:color w:val="000000"/>
        </w:rPr>
        <w:t> 2012; </w:t>
      </w:r>
      <w:r w:rsidRPr="00815B74">
        <w:rPr>
          <w:rFonts w:ascii="Book Antiqua" w:hAnsi="Book Antiqua"/>
          <w:b/>
          <w:bCs/>
          <w:color w:val="000000"/>
        </w:rPr>
        <w:t>486</w:t>
      </w:r>
      <w:r w:rsidRPr="00815B74">
        <w:rPr>
          <w:rFonts w:ascii="Book Antiqua" w:hAnsi="Book Antiqua"/>
          <w:color w:val="000000"/>
        </w:rPr>
        <w:t>: 266-270 [PMID: 22699621 DOI: 10.1038/nature11114]</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7 </w:t>
      </w:r>
      <w:r w:rsidRPr="00815B74">
        <w:rPr>
          <w:rFonts w:ascii="Book Antiqua" w:hAnsi="Book Antiqua"/>
          <w:b/>
          <w:bCs/>
          <w:color w:val="000000"/>
        </w:rPr>
        <w:t>Li M</w:t>
      </w:r>
      <w:r w:rsidRPr="00815B74">
        <w:rPr>
          <w:rFonts w:ascii="Book Antiqua" w:hAnsi="Book Antiqua"/>
          <w:color w:val="000000"/>
        </w:rPr>
        <w:t xml:space="preserve">, Liu F, Zhang F, Zhou W, Jiang X, Yang Y, Qu K, Wang Y, Ma Q, Wang T, Bai L, Wang Z, Song X, Zhu Y, Yuan R, Gao Y, Liu Y, </w:t>
      </w:r>
      <w:proofErr w:type="spellStart"/>
      <w:r w:rsidRPr="00815B74">
        <w:rPr>
          <w:rFonts w:ascii="Book Antiqua" w:hAnsi="Book Antiqua"/>
          <w:color w:val="000000"/>
        </w:rPr>
        <w:t>Jin</w:t>
      </w:r>
      <w:proofErr w:type="spellEnd"/>
      <w:r w:rsidRPr="00815B74">
        <w:rPr>
          <w:rFonts w:ascii="Book Antiqua" w:hAnsi="Book Antiqua"/>
          <w:color w:val="000000"/>
        </w:rPr>
        <w:t xml:space="preserve"> Y, Li H, Xiang S, Ye Y, Zhang Y, Jiang L, Hu Y, </w:t>
      </w:r>
      <w:proofErr w:type="spellStart"/>
      <w:r w:rsidRPr="00815B74">
        <w:rPr>
          <w:rFonts w:ascii="Book Antiqua" w:hAnsi="Book Antiqua"/>
          <w:color w:val="000000"/>
        </w:rPr>
        <w:t>Hao</w:t>
      </w:r>
      <w:proofErr w:type="spellEnd"/>
      <w:r w:rsidRPr="00815B74">
        <w:rPr>
          <w:rFonts w:ascii="Book Antiqua" w:hAnsi="Book Antiqua"/>
          <w:color w:val="000000"/>
        </w:rPr>
        <w:t xml:space="preserve"> Y, Lu W, Chen S, </w:t>
      </w:r>
      <w:proofErr w:type="spellStart"/>
      <w:r w:rsidRPr="00815B74">
        <w:rPr>
          <w:rFonts w:ascii="Book Antiqua" w:hAnsi="Book Antiqua"/>
          <w:color w:val="000000"/>
        </w:rPr>
        <w:t>Gu</w:t>
      </w:r>
      <w:proofErr w:type="spellEnd"/>
      <w:r w:rsidRPr="00815B74">
        <w:rPr>
          <w:rFonts w:ascii="Book Antiqua" w:hAnsi="Book Antiqua"/>
          <w:color w:val="000000"/>
        </w:rPr>
        <w:t xml:space="preserve"> J, Zhou J, Gong W, Zhang Y, Wang X, Liu X, Liu C, Liu H, Liu Y, Liu Y. Genomic </w:t>
      </w:r>
      <w:r w:rsidRPr="00815B74">
        <w:rPr>
          <w:rFonts w:ascii="Book Antiqua" w:hAnsi="Book Antiqua"/>
          <w:i/>
          <w:iCs/>
          <w:color w:val="000000"/>
        </w:rPr>
        <w:t>ERBB2</w:t>
      </w:r>
      <w:r w:rsidRPr="00815B74">
        <w:rPr>
          <w:rFonts w:ascii="Book Antiqua" w:hAnsi="Book Antiqua"/>
          <w:color w:val="000000"/>
        </w:rPr>
        <w:t>/</w:t>
      </w:r>
      <w:r w:rsidRPr="00815B74">
        <w:rPr>
          <w:rFonts w:ascii="Book Antiqua" w:hAnsi="Book Antiqua"/>
          <w:i/>
          <w:iCs/>
          <w:color w:val="000000"/>
        </w:rPr>
        <w:t>ERBB3</w:t>
      </w:r>
      <w:r w:rsidRPr="00815B74">
        <w:rPr>
          <w:rFonts w:ascii="Book Antiqua" w:hAnsi="Book Antiqua"/>
          <w:color w:val="000000"/>
        </w:rPr>
        <w:t> mutations promote PD-L1-mediated immune escape in gallbladder cancer: a whole-exome sequencing analysis. </w:t>
      </w:r>
      <w:r w:rsidRPr="00815B74">
        <w:rPr>
          <w:rFonts w:ascii="Book Antiqua" w:hAnsi="Book Antiqua"/>
          <w:i/>
          <w:iCs/>
          <w:color w:val="000000"/>
        </w:rPr>
        <w:t>Gut</w:t>
      </w:r>
      <w:r w:rsidRPr="00815B74">
        <w:rPr>
          <w:rFonts w:ascii="Book Antiqua" w:hAnsi="Book Antiqua"/>
          <w:color w:val="000000"/>
        </w:rPr>
        <w:t> 2019; </w:t>
      </w:r>
      <w:r w:rsidRPr="00815B74">
        <w:rPr>
          <w:rFonts w:ascii="Book Antiqua" w:hAnsi="Book Antiqua"/>
          <w:b/>
          <w:bCs/>
          <w:color w:val="000000"/>
        </w:rPr>
        <w:t>68</w:t>
      </w:r>
      <w:r w:rsidRPr="00815B74">
        <w:rPr>
          <w:rFonts w:ascii="Book Antiqua" w:hAnsi="Book Antiqua"/>
          <w:color w:val="000000"/>
        </w:rPr>
        <w:t>: 1024-1033 [PMID: 29954840 DOI: 10.1136/gutjnl-2018-316039]</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8 </w:t>
      </w:r>
      <w:r w:rsidRPr="00815B74">
        <w:rPr>
          <w:rFonts w:ascii="Book Antiqua" w:hAnsi="Book Antiqua"/>
          <w:b/>
          <w:bCs/>
          <w:color w:val="000000"/>
        </w:rPr>
        <w:t>Zhang J</w:t>
      </w:r>
      <w:r w:rsidRPr="00815B74">
        <w:rPr>
          <w:rFonts w:ascii="Book Antiqua" w:hAnsi="Book Antiqua"/>
          <w:color w:val="000000"/>
        </w:rPr>
        <w:t xml:space="preserve">, </w:t>
      </w:r>
      <w:proofErr w:type="spellStart"/>
      <w:r w:rsidRPr="00815B74">
        <w:rPr>
          <w:rFonts w:ascii="Book Antiqua" w:hAnsi="Book Antiqua"/>
          <w:color w:val="000000"/>
        </w:rPr>
        <w:t>Kalkum</w:t>
      </w:r>
      <w:proofErr w:type="spellEnd"/>
      <w:r w:rsidRPr="00815B74">
        <w:rPr>
          <w:rFonts w:ascii="Book Antiqua" w:hAnsi="Book Antiqua"/>
          <w:color w:val="000000"/>
        </w:rPr>
        <w:t xml:space="preserve"> M, Chait BT, Roeder RG. The N-CoR-HDAC3 nuclear receptor corepressor complex inhibits the JNK pathway through the integral subunit GPS2. </w:t>
      </w:r>
      <w:proofErr w:type="spellStart"/>
      <w:r w:rsidRPr="00815B74">
        <w:rPr>
          <w:rFonts w:ascii="Book Antiqua" w:hAnsi="Book Antiqua"/>
          <w:i/>
          <w:iCs/>
          <w:color w:val="000000"/>
        </w:rPr>
        <w:t>Mol</w:t>
      </w:r>
      <w:proofErr w:type="spellEnd"/>
      <w:r w:rsidRPr="00815B74">
        <w:rPr>
          <w:rFonts w:ascii="Book Antiqua" w:hAnsi="Book Antiqua"/>
          <w:i/>
          <w:iCs/>
          <w:color w:val="000000"/>
        </w:rPr>
        <w:t xml:space="preserve"> Cell</w:t>
      </w:r>
      <w:r w:rsidRPr="00815B74">
        <w:rPr>
          <w:rFonts w:ascii="Book Antiqua" w:hAnsi="Book Antiqua"/>
          <w:color w:val="000000"/>
        </w:rPr>
        <w:t> 2002; </w:t>
      </w:r>
      <w:r w:rsidRPr="00815B74">
        <w:rPr>
          <w:rFonts w:ascii="Book Antiqua" w:hAnsi="Book Antiqua"/>
          <w:b/>
          <w:bCs/>
          <w:color w:val="000000"/>
        </w:rPr>
        <w:t>9</w:t>
      </w:r>
      <w:r w:rsidRPr="00815B74">
        <w:rPr>
          <w:rFonts w:ascii="Book Antiqua" w:hAnsi="Book Antiqua"/>
          <w:color w:val="000000"/>
        </w:rPr>
        <w:t>: 611-623 [PMID: 11931768 DOI: 10.1016/s1097-2765(02)00468-9]</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9 </w:t>
      </w:r>
      <w:r w:rsidRPr="00815B74">
        <w:rPr>
          <w:rFonts w:ascii="Book Antiqua" w:hAnsi="Book Antiqua"/>
          <w:b/>
          <w:bCs/>
          <w:color w:val="000000"/>
        </w:rPr>
        <w:t>Tomita A</w:t>
      </w:r>
      <w:r w:rsidRPr="00815B74">
        <w:rPr>
          <w:rFonts w:ascii="Book Antiqua" w:hAnsi="Book Antiqua"/>
          <w:color w:val="000000"/>
        </w:rPr>
        <w:t xml:space="preserve">, Buchholz DR, Obata K, Shi YB. Fusion protein of retinoic acid receptor alpha with </w:t>
      </w:r>
      <w:proofErr w:type="spellStart"/>
      <w:r w:rsidRPr="00815B74">
        <w:rPr>
          <w:rFonts w:ascii="Book Antiqua" w:hAnsi="Book Antiqua"/>
          <w:color w:val="000000"/>
        </w:rPr>
        <w:t>promyelocytic</w:t>
      </w:r>
      <w:proofErr w:type="spellEnd"/>
      <w:r w:rsidRPr="00815B74">
        <w:rPr>
          <w:rFonts w:ascii="Book Antiqua" w:hAnsi="Book Antiqua"/>
          <w:color w:val="000000"/>
        </w:rPr>
        <w:t xml:space="preserve"> leukemia protein or </w:t>
      </w:r>
      <w:proofErr w:type="spellStart"/>
      <w:r w:rsidRPr="00815B74">
        <w:rPr>
          <w:rFonts w:ascii="Book Antiqua" w:hAnsi="Book Antiqua"/>
          <w:color w:val="000000"/>
        </w:rPr>
        <w:t>promyelocytic</w:t>
      </w:r>
      <w:proofErr w:type="spellEnd"/>
      <w:r w:rsidRPr="00815B74">
        <w:rPr>
          <w:rFonts w:ascii="Book Antiqua" w:hAnsi="Book Antiqua"/>
          <w:color w:val="000000"/>
        </w:rPr>
        <w:t xml:space="preserve"> leukemia zinc finger protein recruits N-CoR-TBLR1 corepressor complex to </w:t>
      </w:r>
      <w:r w:rsidRPr="00815B74">
        <w:rPr>
          <w:rFonts w:ascii="Book Antiqua" w:hAnsi="Book Antiqua"/>
          <w:color w:val="000000"/>
        </w:rPr>
        <w:lastRenderedPageBreak/>
        <w:t>repress transcription in vivo. </w:t>
      </w:r>
      <w:r w:rsidRPr="00815B74">
        <w:rPr>
          <w:rFonts w:ascii="Book Antiqua" w:hAnsi="Book Antiqua"/>
          <w:i/>
          <w:iCs/>
          <w:color w:val="000000"/>
        </w:rPr>
        <w:t xml:space="preserve">J </w:t>
      </w:r>
      <w:proofErr w:type="spellStart"/>
      <w:r w:rsidRPr="00815B74">
        <w:rPr>
          <w:rFonts w:ascii="Book Antiqua" w:hAnsi="Book Antiqua"/>
          <w:i/>
          <w:iCs/>
          <w:color w:val="000000"/>
        </w:rPr>
        <w:t>Biol</w:t>
      </w:r>
      <w:proofErr w:type="spellEnd"/>
      <w:r w:rsidRPr="00815B74">
        <w:rPr>
          <w:rFonts w:ascii="Book Antiqua" w:hAnsi="Book Antiqua"/>
          <w:i/>
          <w:iCs/>
          <w:color w:val="000000"/>
        </w:rPr>
        <w:t xml:space="preserve"> </w:t>
      </w:r>
      <w:proofErr w:type="spellStart"/>
      <w:r w:rsidRPr="00815B74">
        <w:rPr>
          <w:rFonts w:ascii="Book Antiqua" w:hAnsi="Book Antiqua"/>
          <w:i/>
          <w:iCs/>
          <w:color w:val="000000"/>
        </w:rPr>
        <w:t>Chem</w:t>
      </w:r>
      <w:proofErr w:type="spellEnd"/>
      <w:r w:rsidRPr="00815B74">
        <w:rPr>
          <w:rFonts w:ascii="Book Antiqua" w:hAnsi="Book Antiqua"/>
          <w:color w:val="000000"/>
        </w:rPr>
        <w:t> 2003; </w:t>
      </w:r>
      <w:r w:rsidRPr="00815B74">
        <w:rPr>
          <w:rFonts w:ascii="Book Antiqua" w:hAnsi="Book Antiqua"/>
          <w:b/>
          <w:bCs/>
          <w:color w:val="000000"/>
        </w:rPr>
        <w:t>278</w:t>
      </w:r>
      <w:r w:rsidRPr="00815B74">
        <w:rPr>
          <w:rFonts w:ascii="Book Antiqua" w:hAnsi="Book Antiqua"/>
          <w:color w:val="000000"/>
        </w:rPr>
        <w:t>: 30788-30795 [PMID: 12794076 DOI: 10.1074/jbc.M303309200]</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10 </w:t>
      </w:r>
      <w:r w:rsidRPr="00815B74">
        <w:rPr>
          <w:rFonts w:ascii="Book Antiqua" w:hAnsi="Book Antiqua"/>
          <w:b/>
          <w:bCs/>
          <w:color w:val="000000"/>
        </w:rPr>
        <w:t>Daniels G</w:t>
      </w:r>
      <w:r w:rsidRPr="00815B74">
        <w:rPr>
          <w:rFonts w:ascii="Book Antiqua" w:hAnsi="Book Antiqua"/>
          <w:color w:val="000000"/>
        </w:rPr>
        <w:t xml:space="preserve">, Li Y, </w:t>
      </w:r>
      <w:proofErr w:type="spellStart"/>
      <w:r w:rsidRPr="00815B74">
        <w:rPr>
          <w:rFonts w:ascii="Book Antiqua" w:hAnsi="Book Antiqua"/>
          <w:color w:val="000000"/>
        </w:rPr>
        <w:t>Gellert</w:t>
      </w:r>
      <w:proofErr w:type="spellEnd"/>
      <w:r w:rsidRPr="00815B74">
        <w:rPr>
          <w:rFonts w:ascii="Book Antiqua" w:hAnsi="Book Antiqua"/>
          <w:color w:val="000000"/>
        </w:rPr>
        <w:t xml:space="preserve"> LL, Zhou A, </w:t>
      </w:r>
      <w:proofErr w:type="spellStart"/>
      <w:r w:rsidRPr="00815B74">
        <w:rPr>
          <w:rFonts w:ascii="Book Antiqua" w:hAnsi="Book Antiqua"/>
          <w:color w:val="000000"/>
        </w:rPr>
        <w:t>Melamed</w:t>
      </w:r>
      <w:proofErr w:type="spellEnd"/>
      <w:r w:rsidRPr="00815B74">
        <w:rPr>
          <w:rFonts w:ascii="Book Antiqua" w:hAnsi="Book Antiqua"/>
          <w:color w:val="000000"/>
        </w:rPr>
        <w:t xml:space="preserve"> J, Wu X, Zhang X, Zhang D, </w:t>
      </w:r>
      <w:proofErr w:type="spellStart"/>
      <w:r w:rsidRPr="00815B74">
        <w:rPr>
          <w:rFonts w:ascii="Book Antiqua" w:hAnsi="Book Antiqua"/>
          <w:color w:val="000000"/>
        </w:rPr>
        <w:t>Meruelo</w:t>
      </w:r>
      <w:proofErr w:type="spellEnd"/>
      <w:r w:rsidRPr="00815B74">
        <w:rPr>
          <w:rFonts w:ascii="Book Antiqua" w:hAnsi="Book Antiqua"/>
          <w:color w:val="000000"/>
        </w:rPr>
        <w:t xml:space="preserve"> D, Logan SK, </w:t>
      </w:r>
      <w:proofErr w:type="spellStart"/>
      <w:r w:rsidRPr="00815B74">
        <w:rPr>
          <w:rFonts w:ascii="Book Antiqua" w:hAnsi="Book Antiqua"/>
          <w:color w:val="000000"/>
        </w:rPr>
        <w:t>Basch</w:t>
      </w:r>
      <w:proofErr w:type="spellEnd"/>
      <w:r w:rsidRPr="00815B74">
        <w:rPr>
          <w:rFonts w:ascii="Book Antiqua" w:hAnsi="Book Antiqua"/>
          <w:color w:val="000000"/>
        </w:rPr>
        <w:t xml:space="preserve"> R, Lee P. TBLR1 as an androgen receptor (AR) coactivator selectively activates AR target genes to inhibit prostate cancer growth. </w:t>
      </w:r>
      <w:proofErr w:type="spellStart"/>
      <w:r w:rsidRPr="00815B74">
        <w:rPr>
          <w:rFonts w:ascii="Book Antiqua" w:hAnsi="Book Antiqua"/>
          <w:i/>
          <w:iCs/>
          <w:color w:val="000000"/>
        </w:rPr>
        <w:t>Endocr</w:t>
      </w:r>
      <w:proofErr w:type="spellEnd"/>
      <w:r w:rsidRPr="00815B74">
        <w:rPr>
          <w:rFonts w:ascii="Book Antiqua" w:hAnsi="Book Antiqua"/>
          <w:i/>
          <w:iCs/>
          <w:color w:val="000000"/>
        </w:rPr>
        <w:t xml:space="preserve"> </w:t>
      </w:r>
      <w:proofErr w:type="spellStart"/>
      <w:r w:rsidRPr="00815B74">
        <w:rPr>
          <w:rFonts w:ascii="Book Antiqua" w:hAnsi="Book Antiqua"/>
          <w:i/>
          <w:iCs/>
          <w:color w:val="000000"/>
        </w:rPr>
        <w:t>Relat</w:t>
      </w:r>
      <w:proofErr w:type="spellEnd"/>
      <w:r w:rsidRPr="00815B74">
        <w:rPr>
          <w:rFonts w:ascii="Book Antiqua" w:hAnsi="Book Antiqua"/>
          <w:i/>
          <w:iCs/>
          <w:color w:val="000000"/>
        </w:rPr>
        <w:t xml:space="preserve"> Cancer</w:t>
      </w:r>
      <w:r w:rsidRPr="00815B74">
        <w:rPr>
          <w:rFonts w:ascii="Book Antiqua" w:hAnsi="Book Antiqua"/>
          <w:color w:val="000000"/>
        </w:rPr>
        <w:t> 2014; </w:t>
      </w:r>
      <w:r w:rsidRPr="00815B74">
        <w:rPr>
          <w:rFonts w:ascii="Book Antiqua" w:hAnsi="Book Antiqua"/>
          <w:b/>
          <w:bCs/>
          <w:color w:val="000000"/>
        </w:rPr>
        <w:t>21</w:t>
      </w:r>
      <w:r w:rsidRPr="00815B74">
        <w:rPr>
          <w:rFonts w:ascii="Book Antiqua" w:hAnsi="Book Antiqua"/>
          <w:color w:val="000000"/>
        </w:rPr>
        <w:t>: 127-142 [PMID: 24243687 DOI: 10.1530/ERC-13-0293]</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11 </w:t>
      </w:r>
      <w:r w:rsidRPr="00815B74">
        <w:rPr>
          <w:rFonts w:ascii="Book Antiqua" w:hAnsi="Book Antiqua"/>
          <w:b/>
          <w:bCs/>
          <w:color w:val="000000"/>
        </w:rPr>
        <w:t>Chen SP</w:t>
      </w:r>
      <w:r w:rsidRPr="00815B74">
        <w:rPr>
          <w:rFonts w:ascii="Book Antiqua" w:hAnsi="Book Antiqua"/>
          <w:color w:val="000000"/>
        </w:rPr>
        <w:t xml:space="preserve">, Yang Q, Wang CJ, Zhang LJ, Fang Y, Lei FY, Wu S, Song LB, </w:t>
      </w:r>
      <w:proofErr w:type="spellStart"/>
      <w:r w:rsidRPr="00815B74">
        <w:rPr>
          <w:rFonts w:ascii="Book Antiqua" w:hAnsi="Book Antiqua"/>
          <w:color w:val="000000"/>
        </w:rPr>
        <w:t>Guo</w:t>
      </w:r>
      <w:proofErr w:type="spellEnd"/>
      <w:r w:rsidRPr="00815B74">
        <w:rPr>
          <w:rFonts w:ascii="Book Antiqua" w:hAnsi="Book Antiqua"/>
          <w:color w:val="000000"/>
        </w:rPr>
        <w:t xml:space="preserve"> X, </w:t>
      </w:r>
      <w:proofErr w:type="spellStart"/>
      <w:r w:rsidRPr="00815B74">
        <w:rPr>
          <w:rFonts w:ascii="Book Antiqua" w:hAnsi="Book Antiqua"/>
          <w:color w:val="000000"/>
        </w:rPr>
        <w:t>Guo</w:t>
      </w:r>
      <w:proofErr w:type="spellEnd"/>
      <w:r w:rsidRPr="00815B74">
        <w:rPr>
          <w:rFonts w:ascii="Book Antiqua" w:hAnsi="Book Antiqua"/>
          <w:color w:val="000000"/>
        </w:rPr>
        <w:t xml:space="preserve"> L.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suppresses cisplatin sensitivity in nasopharyngeal carcinoma via activation of NF-</w:t>
      </w:r>
      <w:proofErr w:type="spellStart"/>
      <w:r w:rsidRPr="00815B74">
        <w:rPr>
          <w:rFonts w:ascii="Book Antiqua" w:hAnsi="Book Antiqua"/>
          <w:color w:val="000000"/>
        </w:rPr>
        <w:t>κB</w:t>
      </w:r>
      <w:proofErr w:type="spellEnd"/>
      <w:r w:rsidRPr="00815B74">
        <w:rPr>
          <w:rFonts w:ascii="Book Antiqua" w:hAnsi="Book Antiqua"/>
          <w:color w:val="000000"/>
        </w:rPr>
        <w:t xml:space="preserve"> pathway. </w:t>
      </w:r>
      <w:proofErr w:type="spellStart"/>
      <w:r w:rsidRPr="00815B74">
        <w:rPr>
          <w:rFonts w:ascii="Book Antiqua" w:hAnsi="Book Antiqua"/>
          <w:i/>
          <w:iCs/>
          <w:color w:val="000000"/>
        </w:rPr>
        <w:t>Mol</w:t>
      </w:r>
      <w:proofErr w:type="spellEnd"/>
      <w:r w:rsidRPr="00815B74">
        <w:rPr>
          <w:rFonts w:ascii="Book Antiqua" w:hAnsi="Book Antiqua"/>
          <w:i/>
          <w:iCs/>
          <w:color w:val="000000"/>
        </w:rPr>
        <w:t xml:space="preserve"> Cancer</w:t>
      </w:r>
      <w:r w:rsidRPr="00815B74">
        <w:rPr>
          <w:rFonts w:ascii="Book Antiqua" w:hAnsi="Book Antiqua"/>
          <w:color w:val="000000"/>
        </w:rPr>
        <w:t> 2014; </w:t>
      </w:r>
      <w:r w:rsidRPr="00815B74">
        <w:rPr>
          <w:rFonts w:ascii="Book Antiqua" w:hAnsi="Book Antiqua"/>
          <w:b/>
          <w:bCs/>
          <w:color w:val="000000"/>
        </w:rPr>
        <w:t>13</w:t>
      </w:r>
      <w:r w:rsidRPr="00815B74">
        <w:rPr>
          <w:rFonts w:ascii="Book Antiqua" w:hAnsi="Book Antiqua"/>
          <w:color w:val="000000"/>
        </w:rPr>
        <w:t>: 195 [PMID: 25145705 DOI: 10.1186/1476-4598-13-195]</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12 </w:t>
      </w:r>
      <w:r w:rsidRPr="00815B74">
        <w:rPr>
          <w:rFonts w:ascii="Book Antiqua" w:hAnsi="Book Antiqua"/>
          <w:b/>
          <w:bCs/>
          <w:color w:val="000000"/>
        </w:rPr>
        <w:t>Liu H</w:t>
      </w:r>
      <w:r w:rsidRPr="00815B74">
        <w:rPr>
          <w:rFonts w:ascii="Book Antiqua" w:hAnsi="Book Antiqua"/>
          <w:color w:val="000000"/>
        </w:rPr>
        <w:t xml:space="preserve">, Liu Z, Li K, Li S, Song L, Gong Z, Shi W, Yang H, Xu Y, Ning S, Ismail S, Chen Y. TBL1XR1 predicts isolated tumor cells and </w:t>
      </w:r>
      <w:proofErr w:type="spellStart"/>
      <w:r w:rsidRPr="00815B74">
        <w:rPr>
          <w:rFonts w:ascii="Book Antiqua" w:hAnsi="Book Antiqua"/>
          <w:color w:val="000000"/>
        </w:rPr>
        <w:t>micrometastasis</w:t>
      </w:r>
      <w:proofErr w:type="spellEnd"/>
      <w:r w:rsidRPr="00815B74">
        <w:rPr>
          <w:rFonts w:ascii="Book Antiqua" w:hAnsi="Book Antiqua"/>
          <w:color w:val="000000"/>
        </w:rPr>
        <w:t xml:space="preserve"> in patients with TNM stage I/II colorectal cancer. </w:t>
      </w:r>
      <w:r w:rsidRPr="00815B74">
        <w:rPr>
          <w:rFonts w:ascii="Book Antiqua" w:hAnsi="Book Antiqua"/>
          <w:i/>
          <w:iCs/>
          <w:color w:val="000000"/>
        </w:rPr>
        <w:t xml:space="preserve">J </w:t>
      </w:r>
      <w:proofErr w:type="spellStart"/>
      <w:r w:rsidRPr="00815B74">
        <w:rPr>
          <w:rFonts w:ascii="Book Antiqua" w:hAnsi="Book Antiqua"/>
          <w:i/>
          <w:iCs/>
          <w:color w:val="000000"/>
        </w:rPr>
        <w:t>Gastroenterol</w:t>
      </w:r>
      <w:proofErr w:type="spellEnd"/>
      <w:r w:rsidRPr="00815B74">
        <w:rPr>
          <w:rFonts w:ascii="Book Antiqua" w:hAnsi="Book Antiqua"/>
          <w:i/>
          <w:iCs/>
          <w:color w:val="000000"/>
        </w:rPr>
        <w:t xml:space="preserve"> </w:t>
      </w:r>
      <w:proofErr w:type="spellStart"/>
      <w:r w:rsidRPr="00815B74">
        <w:rPr>
          <w:rFonts w:ascii="Book Antiqua" w:hAnsi="Book Antiqua"/>
          <w:i/>
          <w:iCs/>
          <w:color w:val="000000"/>
        </w:rPr>
        <w:t>Hepatol</w:t>
      </w:r>
      <w:proofErr w:type="spellEnd"/>
      <w:r w:rsidRPr="00815B74">
        <w:rPr>
          <w:rFonts w:ascii="Book Antiqua" w:hAnsi="Book Antiqua"/>
          <w:color w:val="000000"/>
        </w:rPr>
        <w:t> 2017; </w:t>
      </w:r>
      <w:r w:rsidRPr="00815B74">
        <w:rPr>
          <w:rFonts w:ascii="Book Antiqua" w:hAnsi="Book Antiqua"/>
          <w:b/>
          <w:bCs/>
          <w:color w:val="000000"/>
        </w:rPr>
        <w:t>32</w:t>
      </w:r>
      <w:r w:rsidRPr="00815B74">
        <w:rPr>
          <w:rFonts w:ascii="Book Antiqua" w:hAnsi="Book Antiqua"/>
          <w:color w:val="000000"/>
        </w:rPr>
        <w:t>: 1570-1580 [PMID: 28127799 DOI: 10.1111/jgh.13749]</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13 </w:t>
      </w:r>
      <w:r w:rsidRPr="00815B74">
        <w:rPr>
          <w:rFonts w:ascii="Book Antiqua" w:hAnsi="Book Antiqua"/>
          <w:b/>
          <w:bCs/>
          <w:color w:val="000000"/>
        </w:rPr>
        <w:t>Liu F</w:t>
      </w:r>
      <w:r w:rsidRPr="00815B74">
        <w:rPr>
          <w:rFonts w:ascii="Book Antiqua" w:hAnsi="Book Antiqua"/>
          <w:color w:val="000000"/>
        </w:rPr>
        <w:t>, He Y, Cao Q, Liu N, Zhang W. TBL1XR1 Is Highly Expressed in Gastric Cancer and Predicts Poor Prognosis. </w:t>
      </w:r>
      <w:r w:rsidRPr="00815B74">
        <w:rPr>
          <w:rFonts w:ascii="Book Antiqua" w:hAnsi="Book Antiqua"/>
          <w:i/>
          <w:iCs/>
          <w:color w:val="000000"/>
        </w:rPr>
        <w:t>Dis Markers</w:t>
      </w:r>
      <w:r w:rsidRPr="00815B74">
        <w:rPr>
          <w:rFonts w:ascii="Book Antiqua" w:hAnsi="Book Antiqua"/>
          <w:color w:val="000000"/>
        </w:rPr>
        <w:t> 2016; </w:t>
      </w:r>
      <w:r w:rsidRPr="00815B74">
        <w:rPr>
          <w:rFonts w:ascii="Book Antiqua" w:hAnsi="Book Antiqua"/>
          <w:b/>
          <w:bCs/>
          <w:color w:val="000000"/>
        </w:rPr>
        <w:t>2016</w:t>
      </w:r>
      <w:r w:rsidRPr="00815B74">
        <w:rPr>
          <w:rFonts w:ascii="Book Antiqua" w:hAnsi="Book Antiqua"/>
          <w:color w:val="000000"/>
        </w:rPr>
        <w:t>: 2436518 [PMID: 27672238 DOI: 10.1155/2016/2436518]</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14 </w:t>
      </w:r>
      <w:r w:rsidRPr="00815B74">
        <w:rPr>
          <w:rFonts w:ascii="Book Antiqua" w:hAnsi="Book Antiqua"/>
          <w:b/>
          <w:bCs/>
          <w:color w:val="000000"/>
        </w:rPr>
        <w:t>Cao Q</w:t>
      </w:r>
      <w:r w:rsidRPr="00815B74">
        <w:rPr>
          <w:rFonts w:ascii="Book Antiqua" w:hAnsi="Book Antiqua"/>
          <w:color w:val="000000"/>
        </w:rPr>
        <w:t xml:space="preserve">, Wang Z, Wang Y, Liu F, Dong Y, Zhang W, Wang L, </w:t>
      </w:r>
      <w:proofErr w:type="spellStart"/>
      <w:r w:rsidRPr="00815B74">
        <w:rPr>
          <w:rFonts w:ascii="Book Antiqua" w:hAnsi="Book Antiqua"/>
          <w:color w:val="000000"/>
        </w:rPr>
        <w:t>Ke</w:t>
      </w:r>
      <w:proofErr w:type="spellEnd"/>
      <w:r w:rsidRPr="00815B74">
        <w:rPr>
          <w:rFonts w:ascii="Book Antiqua" w:hAnsi="Book Antiqua"/>
          <w:color w:val="000000"/>
        </w:rPr>
        <w:t xml:space="preserve"> Z. TBL1XR1 promotes migration and invasion in osteosarcoma cells and is negatively regulated by miR-186-5p. </w:t>
      </w:r>
      <w:r w:rsidRPr="00815B74">
        <w:rPr>
          <w:rFonts w:ascii="Book Antiqua" w:hAnsi="Book Antiqua"/>
          <w:i/>
          <w:iCs/>
          <w:color w:val="000000"/>
        </w:rPr>
        <w:t>Am J Cancer Res</w:t>
      </w:r>
      <w:r w:rsidRPr="00815B74">
        <w:rPr>
          <w:rFonts w:ascii="Book Antiqua" w:hAnsi="Book Antiqua"/>
          <w:color w:val="000000"/>
        </w:rPr>
        <w:t>2018; </w:t>
      </w:r>
      <w:r w:rsidRPr="00815B74">
        <w:rPr>
          <w:rFonts w:ascii="Book Antiqua" w:hAnsi="Book Antiqua"/>
          <w:b/>
          <w:bCs/>
          <w:color w:val="000000"/>
        </w:rPr>
        <w:t>8</w:t>
      </w:r>
      <w:r w:rsidRPr="00815B74">
        <w:rPr>
          <w:rFonts w:ascii="Book Antiqua" w:hAnsi="Book Antiqua"/>
          <w:color w:val="000000"/>
        </w:rPr>
        <w:t>: 2481-2493 [PMID: 30662805]</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15 </w:t>
      </w:r>
      <w:r w:rsidRPr="00815B74">
        <w:rPr>
          <w:rFonts w:ascii="Book Antiqua" w:hAnsi="Book Antiqua"/>
          <w:b/>
          <w:bCs/>
          <w:color w:val="000000"/>
        </w:rPr>
        <w:t>Li X</w:t>
      </w:r>
      <w:r w:rsidRPr="00815B74">
        <w:rPr>
          <w:rFonts w:ascii="Book Antiqua" w:hAnsi="Book Antiqua"/>
          <w:color w:val="000000"/>
        </w:rPr>
        <w:t xml:space="preserve">, Liang W, Liu J, Lin C, Wu S, Song L, Yuan Z.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promotes proliferation and </w:t>
      </w:r>
      <w:proofErr w:type="spellStart"/>
      <w:r w:rsidRPr="00815B74">
        <w:rPr>
          <w:rFonts w:ascii="Book Antiqua" w:hAnsi="Book Antiqua"/>
          <w:color w:val="000000"/>
        </w:rPr>
        <w:t>tumorigenicity</w:t>
      </w:r>
      <w:proofErr w:type="spellEnd"/>
      <w:r w:rsidRPr="00815B74">
        <w:rPr>
          <w:rFonts w:ascii="Book Antiqua" w:hAnsi="Book Antiqua"/>
          <w:color w:val="000000"/>
        </w:rPr>
        <w:t xml:space="preserve"> in human breast cancer via activation of beta-catenin signaling. </w:t>
      </w:r>
      <w:r w:rsidRPr="00815B74">
        <w:rPr>
          <w:rFonts w:ascii="Book Antiqua" w:hAnsi="Book Antiqua"/>
          <w:i/>
          <w:iCs/>
          <w:color w:val="000000"/>
        </w:rPr>
        <w:t>Breast Cancer Res</w:t>
      </w:r>
      <w:r w:rsidRPr="00815B74">
        <w:rPr>
          <w:rFonts w:ascii="Book Antiqua" w:hAnsi="Book Antiqua"/>
          <w:color w:val="000000"/>
        </w:rPr>
        <w:t> 2014; </w:t>
      </w:r>
      <w:r w:rsidRPr="00815B74">
        <w:rPr>
          <w:rFonts w:ascii="Book Antiqua" w:hAnsi="Book Antiqua"/>
          <w:b/>
          <w:bCs/>
          <w:color w:val="000000"/>
        </w:rPr>
        <w:t>16</w:t>
      </w:r>
      <w:r w:rsidRPr="00815B74">
        <w:rPr>
          <w:rFonts w:ascii="Book Antiqua" w:hAnsi="Book Antiqua"/>
          <w:color w:val="000000"/>
        </w:rPr>
        <w:t>: 465 [PMID: 25341494 DOI: 10.1186/s13058-014-0465-z]</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16 </w:t>
      </w:r>
      <w:proofErr w:type="spellStart"/>
      <w:r w:rsidRPr="00815B74">
        <w:rPr>
          <w:rFonts w:ascii="Book Antiqua" w:hAnsi="Book Antiqua"/>
          <w:b/>
          <w:bCs/>
          <w:color w:val="000000"/>
        </w:rPr>
        <w:t>Kuang</w:t>
      </w:r>
      <w:proofErr w:type="spellEnd"/>
      <w:r w:rsidRPr="00815B74">
        <w:rPr>
          <w:rFonts w:ascii="Book Antiqua" w:hAnsi="Book Antiqua"/>
          <w:b/>
          <w:bCs/>
          <w:color w:val="000000"/>
        </w:rPr>
        <w:t xml:space="preserve"> X</w:t>
      </w:r>
      <w:r w:rsidRPr="00815B74">
        <w:rPr>
          <w:rFonts w:ascii="Book Antiqua" w:hAnsi="Book Antiqua"/>
          <w:color w:val="000000"/>
        </w:rPr>
        <w:t xml:space="preserve">, Zhu J, Peng Z, Wang J, Chen Z.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(Beta)-Like 1 X-Linked Receptor 1 Correlates with Clinical Prognosis and Epithelial-Mesenchymal Transition in Hepatocellular Carcinoma. </w:t>
      </w:r>
      <w:r w:rsidRPr="00815B74">
        <w:rPr>
          <w:rFonts w:ascii="Book Antiqua" w:hAnsi="Book Antiqua"/>
          <w:i/>
          <w:iCs/>
          <w:color w:val="000000"/>
        </w:rPr>
        <w:t xml:space="preserve">Dig Dis </w:t>
      </w:r>
      <w:proofErr w:type="spellStart"/>
      <w:r w:rsidRPr="00815B74">
        <w:rPr>
          <w:rFonts w:ascii="Book Antiqua" w:hAnsi="Book Antiqua"/>
          <w:i/>
          <w:iCs/>
          <w:color w:val="000000"/>
        </w:rPr>
        <w:t>Sci</w:t>
      </w:r>
      <w:proofErr w:type="spellEnd"/>
      <w:r w:rsidRPr="00815B74">
        <w:rPr>
          <w:rFonts w:ascii="Book Antiqua" w:hAnsi="Book Antiqua"/>
          <w:color w:val="000000"/>
        </w:rPr>
        <w:t> 2016; </w:t>
      </w:r>
      <w:r w:rsidRPr="00815B74">
        <w:rPr>
          <w:rFonts w:ascii="Book Antiqua" w:hAnsi="Book Antiqua"/>
          <w:b/>
          <w:bCs/>
          <w:color w:val="000000"/>
        </w:rPr>
        <w:t>61</w:t>
      </w:r>
      <w:r w:rsidRPr="00815B74">
        <w:rPr>
          <w:rFonts w:ascii="Book Antiqua" w:hAnsi="Book Antiqua"/>
          <w:color w:val="000000"/>
        </w:rPr>
        <w:t>: 489-500 [PMID: 26386862 DOI: 10.1007/s10620-015-3879-2]</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lastRenderedPageBreak/>
        <w:t>17 </w:t>
      </w:r>
      <w:r w:rsidRPr="00815B74">
        <w:rPr>
          <w:rFonts w:ascii="Book Antiqua" w:hAnsi="Book Antiqua"/>
          <w:b/>
          <w:bCs/>
          <w:color w:val="000000"/>
        </w:rPr>
        <w:t>Li M</w:t>
      </w:r>
      <w:r w:rsidRPr="00815B74">
        <w:rPr>
          <w:rFonts w:ascii="Book Antiqua" w:hAnsi="Book Antiqua"/>
          <w:color w:val="000000"/>
        </w:rPr>
        <w:t xml:space="preserve">, Lu J, Zhang F, Li H, Zhang B, Wu X, Tan Z, Zhang L, Gao G, Mu J, Shu Y, </w:t>
      </w:r>
      <w:proofErr w:type="spellStart"/>
      <w:r w:rsidRPr="00815B74">
        <w:rPr>
          <w:rFonts w:ascii="Book Antiqua" w:hAnsi="Book Antiqua"/>
          <w:color w:val="000000"/>
        </w:rPr>
        <w:t>Bao</w:t>
      </w:r>
      <w:proofErr w:type="spellEnd"/>
      <w:r w:rsidRPr="00815B74">
        <w:rPr>
          <w:rFonts w:ascii="Book Antiqua" w:hAnsi="Book Antiqua"/>
          <w:color w:val="000000"/>
        </w:rPr>
        <w:t xml:space="preserve"> R, Ding Q, Wu W, Dong P, </w:t>
      </w:r>
      <w:proofErr w:type="spellStart"/>
      <w:r w:rsidRPr="00815B74">
        <w:rPr>
          <w:rFonts w:ascii="Book Antiqua" w:hAnsi="Book Antiqua"/>
          <w:color w:val="000000"/>
        </w:rPr>
        <w:t>Gu</w:t>
      </w:r>
      <w:proofErr w:type="spellEnd"/>
      <w:r w:rsidRPr="00815B74">
        <w:rPr>
          <w:rFonts w:ascii="Book Antiqua" w:hAnsi="Book Antiqua"/>
          <w:color w:val="000000"/>
        </w:rPr>
        <w:t xml:space="preserve"> J, Liu Y. Yes-associated protein 1 (YAP1) promotes human gallbladder tumor growth via activation of the AXL/MAPK pathway. </w:t>
      </w:r>
      <w:r w:rsidRPr="00815B74">
        <w:rPr>
          <w:rFonts w:ascii="Book Antiqua" w:hAnsi="Book Antiqua"/>
          <w:i/>
          <w:iCs/>
          <w:color w:val="000000"/>
        </w:rPr>
        <w:t>Cancer Lett</w:t>
      </w:r>
      <w:r w:rsidRPr="00815B74">
        <w:rPr>
          <w:rFonts w:ascii="Book Antiqua" w:hAnsi="Book Antiqua"/>
          <w:color w:val="000000"/>
        </w:rPr>
        <w:t> 2014; </w:t>
      </w:r>
      <w:r w:rsidRPr="00815B74">
        <w:rPr>
          <w:rFonts w:ascii="Book Antiqua" w:hAnsi="Book Antiqua"/>
          <w:b/>
          <w:bCs/>
          <w:color w:val="000000"/>
        </w:rPr>
        <w:t>355</w:t>
      </w:r>
      <w:r w:rsidRPr="00815B74">
        <w:rPr>
          <w:rFonts w:ascii="Book Antiqua" w:hAnsi="Book Antiqua"/>
          <w:color w:val="000000"/>
        </w:rPr>
        <w:t>: 201-209 [PMID: 25218593 DOI: 10.1016/j.canlet.2014.08.036]</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18 </w:t>
      </w:r>
      <w:r w:rsidRPr="00815B74">
        <w:rPr>
          <w:rFonts w:ascii="Book Antiqua" w:hAnsi="Book Antiqua"/>
          <w:b/>
          <w:bCs/>
          <w:color w:val="000000"/>
        </w:rPr>
        <w:t>Li M</w:t>
      </w:r>
      <w:r w:rsidRPr="00815B74">
        <w:rPr>
          <w:rFonts w:ascii="Book Antiqua" w:hAnsi="Book Antiqua"/>
          <w:color w:val="000000"/>
        </w:rPr>
        <w:t xml:space="preserve">, Shen J, Wu X, Zhang B, Zhang R, </w:t>
      </w:r>
      <w:proofErr w:type="spellStart"/>
      <w:r w:rsidRPr="00815B74">
        <w:rPr>
          <w:rFonts w:ascii="Book Antiqua" w:hAnsi="Book Antiqua"/>
          <w:color w:val="000000"/>
        </w:rPr>
        <w:t>Weng</w:t>
      </w:r>
      <w:proofErr w:type="spellEnd"/>
      <w:r w:rsidRPr="00815B74">
        <w:rPr>
          <w:rFonts w:ascii="Book Antiqua" w:hAnsi="Book Antiqua"/>
          <w:color w:val="000000"/>
        </w:rPr>
        <w:t xml:space="preserve"> H, Ding Q, Tan Z, Gao G, Mu J, Yang J, Shu Y, </w:t>
      </w:r>
      <w:proofErr w:type="spellStart"/>
      <w:r w:rsidRPr="00815B74">
        <w:rPr>
          <w:rFonts w:ascii="Book Antiqua" w:hAnsi="Book Antiqua"/>
          <w:color w:val="000000"/>
        </w:rPr>
        <w:t>Bao</w:t>
      </w:r>
      <w:proofErr w:type="spellEnd"/>
      <w:r w:rsidRPr="00815B74">
        <w:rPr>
          <w:rFonts w:ascii="Book Antiqua" w:hAnsi="Book Antiqua"/>
          <w:color w:val="000000"/>
        </w:rPr>
        <w:t xml:space="preserve"> R, Ding Q, Wu W, Cao Y, Liu Y. Downregulated expression of hepatoma-derived growth factor (HDGF) reduces gallbladder cancer cell proliferation and invasion. </w:t>
      </w:r>
      <w:r w:rsidRPr="00815B74">
        <w:rPr>
          <w:rFonts w:ascii="Book Antiqua" w:hAnsi="Book Antiqua"/>
          <w:i/>
          <w:iCs/>
          <w:color w:val="000000"/>
        </w:rPr>
        <w:t xml:space="preserve">Med </w:t>
      </w:r>
      <w:proofErr w:type="spellStart"/>
      <w:r w:rsidRPr="00815B74">
        <w:rPr>
          <w:rFonts w:ascii="Book Antiqua" w:hAnsi="Book Antiqua"/>
          <w:i/>
          <w:iCs/>
          <w:color w:val="000000"/>
        </w:rPr>
        <w:t>Oncol</w:t>
      </w:r>
      <w:proofErr w:type="spellEnd"/>
      <w:r w:rsidRPr="00815B74">
        <w:rPr>
          <w:rFonts w:ascii="Book Antiqua" w:hAnsi="Book Antiqua"/>
          <w:color w:val="000000"/>
        </w:rPr>
        <w:t> 2013; </w:t>
      </w:r>
      <w:r w:rsidRPr="00815B74">
        <w:rPr>
          <w:rFonts w:ascii="Book Antiqua" w:hAnsi="Book Antiqua"/>
          <w:b/>
          <w:bCs/>
          <w:color w:val="000000"/>
        </w:rPr>
        <w:t>30</w:t>
      </w:r>
      <w:r w:rsidRPr="00815B74">
        <w:rPr>
          <w:rFonts w:ascii="Book Antiqua" w:hAnsi="Book Antiqua"/>
          <w:color w:val="000000"/>
        </w:rPr>
        <w:t>: 587 [PMID: 23609195 DOI: 10.1007/s12032-013-0587-7]</w:t>
      </w:r>
    </w:p>
    <w:p w:rsidR="00D059D8" w:rsidRPr="00815B74" w:rsidRDefault="00D059D8">
      <w:pPr>
        <w:autoSpaceDE w:val="0"/>
        <w:autoSpaceDN w:val="0"/>
        <w:adjustRightInd w:val="0"/>
        <w:snapToGrid w:val="0"/>
        <w:spacing w:line="360" w:lineRule="auto"/>
        <w:jc w:val="both"/>
        <w:rPr>
          <w:rFonts w:ascii="Book Antiqua" w:hAnsi="Book Antiqua"/>
          <w:color w:val="000000"/>
        </w:rPr>
      </w:pPr>
      <w:proofErr w:type="gramStart"/>
      <w:r w:rsidRPr="00815B74">
        <w:rPr>
          <w:rFonts w:ascii="Book Antiqua" w:hAnsi="Book Antiqua"/>
          <w:color w:val="000000"/>
        </w:rPr>
        <w:t>19 </w:t>
      </w:r>
      <w:r w:rsidRPr="00815B74">
        <w:rPr>
          <w:rFonts w:ascii="Book Antiqua" w:hAnsi="Book Antiqua"/>
          <w:b/>
          <w:bCs/>
          <w:color w:val="000000"/>
        </w:rPr>
        <w:t>Xia X</w:t>
      </w:r>
      <w:r w:rsidRPr="00815B74">
        <w:rPr>
          <w:rFonts w:ascii="Book Antiqua" w:hAnsi="Book Antiqua"/>
          <w:color w:val="000000"/>
        </w:rPr>
        <w:t xml:space="preserve">, Wu W, Huang C, Cen G, Jiang T, Cao J, Huang K, </w:t>
      </w:r>
      <w:proofErr w:type="spellStart"/>
      <w:r w:rsidRPr="00815B74">
        <w:rPr>
          <w:rFonts w:ascii="Book Antiqua" w:hAnsi="Book Antiqua"/>
          <w:color w:val="000000"/>
        </w:rPr>
        <w:t>Qiu</w:t>
      </w:r>
      <w:proofErr w:type="spellEnd"/>
      <w:r w:rsidRPr="00815B74">
        <w:rPr>
          <w:rFonts w:ascii="Book Antiqua" w:hAnsi="Book Antiqua"/>
          <w:color w:val="000000"/>
        </w:rPr>
        <w:t xml:space="preserve"> Z. SMAD4 and its role in pancreatic cancer.</w:t>
      </w:r>
      <w:proofErr w:type="gramEnd"/>
      <w:r w:rsidRPr="00815B74">
        <w:rPr>
          <w:rFonts w:ascii="Book Antiqua" w:hAnsi="Book Antiqua"/>
          <w:color w:val="000000"/>
        </w:rPr>
        <w:t> </w:t>
      </w:r>
      <w:proofErr w:type="spellStart"/>
      <w:r w:rsidRPr="00815B74">
        <w:rPr>
          <w:rFonts w:ascii="Book Antiqua" w:hAnsi="Book Antiqua"/>
          <w:i/>
          <w:iCs/>
          <w:color w:val="000000"/>
        </w:rPr>
        <w:t>Tumour</w:t>
      </w:r>
      <w:proofErr w:type="spellEnd"/>
      <w:r w:rsidRPr="00815B74">
        <w:rPr>
          <w:rFonts w:ascii="Book Antiqua" w:hAnsi="Book Antiqua"/>
          <w:i/>
          <w:iCs/>
          <w:color w:val="000000"/>
        </w:rPr>
        <w:t xml:space="preserve"> </w:t>
      </w:r>
      <w:proofErr w:type="spellStart"/>
      <w:r w:rsidRPr="00815B74">
        <w:rPr>
          <w:rFonts w:ascii="Book Antiqua" w:hAnsi="Book Antiqua"/>
          <w:i/>
          <w:iCs/>
          <w:color w:val="000000"/>
        </w:rPr>
        <w:t>Biol</w:t>
      </w:r>
      <w:proofErr w:type="spellEnd"/>
      <w:r w:rsidRPr="00815B74">
        <w:rPr>
          <w:rFonts w:ascii="Book Antiqua" w:hAnsi="Book Antiqua"/>
          <w:color w:val="000000"/>
        </w:rPr>
        <w:t> 2015; </w:t>
      </w:r>
      <w:r w:rsidRPr="00815B74">
        <w:rPr>
          <w:rFonts w:ascii="Book Antiqua" w:hAnsi="Book Antiqua"/>
          <w:b/>
          <w:bCs/>
          <w:color w:val="000000"/>
        </w:rPr>
        <w:t>36</w:t>
      </w:r>
      <w:r w:rsidRPr="00815B74">
        <w:rPr>
          <w:rFonts w:ascii="Book Antiqua" w:hAnsi="Book Antiqua"/>
          <w:color w:val="000000"/>
        </w:rPr>
        <w:t>: 111-119 [PMID: 25464861 DOI: 10.1007/s13277-014-2883-z]</w:t>
      </w:r>
    </w:p>
    <w:p w:rsidR="00D059D8" w:rsidRPr="00815B74" w:rsidRDefault="00D059D8">
      <w:pPr>
        <w:autoSpaceDE w:val="0"/>
        <w:autoSpaceDN w:val="0"/>
        <w:adjustRightInd w:val="0"/>
        <w:snapToGrid w:val="0"/>
        <w:spacing w:line="360" w:lineRule="auto"/>
        <w:jc w:val="both"/>
        <w:rPr>
          <w:rFonts w:ascii="Book Antiqua" w:hAnsi="Book Antiqua"/>
          <w:color w:val="000000"/>
        </w:rPr>
      </w:pPr>
      <w:proofErr w:type="gramStart"/>
      <w:r w:rsidRPr="00815B74">
        <w:rPr>
          <w:rFonts w:ascii="Book Antiqua" w:hAnsi="Book Antiqua"/>
          <w:color w:val="000000"/>
        </w:rPr>
        <w:t>20 </w:t>
      </w:r>
      <w:r w:rsidRPr="00815B74">
        <w:rPr>
          <w:rFonts w:ascii="Book Antiqua" w:hAnsi="Book Antiqua"/>
          <w:b/>
          <w:bCs/>
          <w:color w:val="000000"/>
        </w:rPr>
        <w:t>Zhang X</w:t>
      </w:r>
      <w:r w:rsidRPr="00815B74">
        <w:rPr>
          <w:rFonts w:ascii="Book Antiqua" w:hAnsi="Book Antiqua"/>
          <w:color w:val="000000"/>
        </w:rPr>
        <w:t xml:space="preserve">, </w:t>
      </w:r>
      <w:proofErr w:type="spellStart"/>
      <w:r w:rsidRPr="00815B74">
        <w:rPr>
          <w:rFonts w:ascii="Book Antiqua" w:hAnsi="Book Antiqua"/>
          <w:color w:val="000000"/>
        </w:rPr>
        <w:t>Dormady</w:t>
      </w:r>
      <w:proofErr w:type="spellEnd"/>
      <w:r w:rsidRPr="00815B74">
        <w:rPr>
          <w:rFonts w:ascii="Book Antiqua" w:hAnsi="Book Antiqua"/>
          <w:color w:val="000000"/>
        </w:rPr>
        <w:t xml:space="preserve"> SP, </w:t>
      </w:r>
      <w:proofErr w:type="spellStart"/>
      <w:r w:rsidRPr="00815B74">
        <w:rPr>
          <w:rFonts w:ascii="Book Antiqua" w:hAnsi="Book Antiqua"/>
          <w:color w:val="000000"/>
        </w:rPr>
        <w:t>Basch</w:t>
      </w:r>
      <w:proofErr w:type="spellEnd"/>
      <w:r w:rsidRPr="00815B74">
        <w:rPr>
          <w:rFonts w:ascii="Book Antiqua" w:hAnsi="Book Antiqua"/>
          <w:color w:val="000000"/>
        </w:rPr>
        <w:t xml:space="preserve"> RS.</w:t>
      </w:r>
      <w:proofErr w:type="gramEnd"/>
      <w:r w:rsidRPr="00815B74">
        <w:rPr>
          <w:rFonts w:ascii="Book Antiqua" w:hAnsi="Book Antiqua"/>
          <w:color w:val="000000"/>
        </w:rPr>
        <w:t xml:space="preserve"> </w:t>
      </w:r>
      <w:proofErr w:type="gramStart"/>
      <w:r w:rsidRPr="00815B74">
        <w:rPr>
          <w:rFonts w:ascii="Book Antiqua" w:hAnsi="Book Antiqua"/>
          <w:color w:val="000000"/>
        </w:rPr>
        <w:t xml:space="preserve">Identification of four human </w:t>
      </w:r>
      <w:proofErr w:type="spellStart"/>
      <w:r w:rsidRPr="00815B74">
        <w:rPr>
          <w:rFonts w:ascii="Book Antiqua" w:hAnsi="Book Antiqua"/>
          <w:color w:val="000000"/>
        </w:rPr>
        <w:t>cDNAs</w:t>
      </w:r>
      <w:proofErr w:type="spellEnd"/>
      <w:r w:rsidRPr="00815B74">
        <w:rPr>
          <w:rFonts w:ascii="Book Antiqua" w:hAnsi="Book Antiqua"/>
          <w:color w:val="000000"/>
        </w:rPr>
        <w:t xml:space="preserve"> that are differentially expressed by early hematopoietic progenitors.</w:t>
      </w:r>
      <w:proofErr w:type="gramEnd"/>
      <w:r w:rsidRPr="00815B74">
        <w:rPr>
          <w:rFonts w:ascii="Book Antiqua" w:hAnsi="Book Antiqua"/>
          <w:color w:val="000000"/>
        </w:rPr>
        <w:t> </w:t>
      </w:r>
      <w:proofErr w:type="spellStart"/>
      <w:r w:rsidRPr="00815B74">
        <w:rPr>
          <w:rFonts w:ascii="Book Antiqua" w:hAnsi="Book Antiqua"/>
          <w:i/>
          <w:iCs/>
          <w:color w:val="000000"/>
        </w:rPr>
        <w:t>Exp</w:t>
      </w:r>
      <w:proofErr w:type="spellEnd"/>
      <w:r w:rsidRPr="00815B74">
        <w:rPr>
          <w:rFonts w:ascii="Book Antiqua" w:hAnsi="Book Antiqua"/>
          <w:i/>
          <w:iCs/>
          <w:color w:val="000000"/>
        </w:rPr>
        <w:t xml:space="preserve"> </w:t>
      </w:r>
      <w:proofErr w:type="spellStart"/>
      <w:r w:rsidRPr="00815B74">
        <w:rPr>
          <w:rFonts w:ascii="Book Antiqua" w:hAnsi="Book Antiqua"/>
          <w:i/>
          <w:iCs/>
          <w:color w:val="000000"/>
        </w:rPr>
        <w:t>Hematol</w:t>
      </w:r>
      <w:proofErr w:type="spellEnd"/>
      <w:r w:rsidRPr="00815B74">
        <w:rPr>
          <w:rFonts w:ascii="Book Antiqua" w:hAnsi="Book Antiqua"/>
          <w:color w:val="000000"/>
        </w:rPr>
        <w:t> 2000; </w:t>
      </w:r>
      <w:r w:rsidRPr="00815B74">
        <w:rPr>
          <w:rFonts w:ascii="Book Antiqua" w:hAnsi="Book Antiqua"/>
          <w:b/>
          <w:bCs/>
          <w:color w:val="000000"/>
        </w:rPr>
        <w:t>28</w:t>
      </w:r>
      <w:r w:rsidRPr="00815B74">
        <w:rPr>
          <w:rFonts w:ascii="Book Antiqua" w:hAnsi="Book Antiqua"/>
          <w:color w:val="000000"/>
        </w:rPr>
        <w:t>: 1286-1296 [PMID: 11063877 DOI: 10.1016/s0301-</w:t>
      </w:r>
      <w:proofErr w:type="gramStart"/>
      <w:r w:rsidRPr="00815B74">
        <w:rPr>
          <w:rFonts w:ascii="Book Antiqua" w:hAnsi="Book Antiqua"/>
          <w:color w:val="000000"/>
        </w:rPr>
        <w:t>472x(</w:t>
      </w:r>
      <w:proofErr w:type="gramEnd"/>
      <w:r w:rsidRPr="00815B74">
        <w:rPr>
          <w:rFonts w:ascii="Book Antiqua" w:hAnsi="Book Antiqua"/>
          <w:color w:val="000000"/>
        </w:rPr>
        <w:t>00)00539-7]</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21 </w:t>
      </w:r>
      <w:r w:rsidRPr="00815B74">
        <w:rPr>
          <w:rFonts w:ascii="Book Antiqua" w:hAnsi="Book Antiqua"/>
          <w:b/>
          <w:bCs/>
          <w:color w:val="000000"/>
        </w:rPr>
        <w:t>Liu L</w:t>
      </w:r>
      <w:r w:rsidRPr="00815B74">
        <w:rPr>
          <w:rFonts w:ascii="Book Antiqua" w:hAnsi="Book Antiqua"/>
          <w:color w:val="000000"/>
        </w:rPr>
        <w:t xml:space="preserve">, Lin C, Liang W, Wu S, Liu A, Wu J, Zhang X, Ren P, Li M, Song L. TBL1XR1 promotes </w:t>
      </w:r>
      <w:proofErr w:type="spellStart"/>
      <w:r w:rsidRPr="00815B74">
        <w:rPr>
          <w:rFonts w:ascii="Book Antiqua" w:hAnsi="Book Antiqua"/>
          <w:color w:val="000000"/>
        </w:rPr>
        <w:t>lymphangiogenesis</w:t>
      </w:r>
      <w:proofErr w:type="spellEnd"/>
      <w:r w:rsidRPr="00815B74">
        <w:rPr>
          <w:rFonts w:ascii="Book Antiqua" w:hAnsi="Book Antiqua"/>
          <w:color w:val="000000"/>
        </w:rPr>
        <w:t xml:space="preserve"> and lymphatic metastasis in esophageal squamous cell carcinoma. </w:t>
      </w:r>
      <w:r w:rsidRPr="00815B74">
        <w:rPr>
          <w:rFonts w:ascii="Book Antiqua" w:hAnsi="Book Antiqua"/>
          <w:i/>
          <w:iCs/>
          <w:color w:val="000000"/>
        </w:rPr>
        <w:t>Gut</w:t>
      </w:r>
      <w:r w:rsidRPr="00815B74">
        <w:rPr>
          <w:rFonts w:ascii="Book Antiqua" w:hAnsi="Book Antiqua"/>
          <w:color w:val="000000"/>
        </w:rPr>
        <w:t> 2015; </w:t>
      </w:r>
      <w:r w:rsidRPr="00815B74">
        <w:rPr>
          <w:rFonts w:ascii="Book Antiqua" w:hAnsi="Book Antiqua"/>
          <w:b/>
          <w:bCs/>
          <w:color w:val="000000"/>
        </w:rPr>
        <w:t>64</w:t>
      </w:r>
      <w:r w:rsidRPr="00815B74">
        <w:rPr>
          <w:rFonts w:ascii="Book Antiqua" w:hAnsi="Book Antiqua"/>
          <w:color w:val="000000"/>
        </w:rPr>
        <w:t>: 26-36 [PMID: 24667177 DOI: 10.1136/gutjnl-2013-306388]</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22 </w:t>
      </w:r>
      <w:proofErr w:type="spellStart"/>
      <w:r w:rsidRPr="00815B74">
        <w:rPr>
          <w:rFonts w:ascii="Book Antiqua" w:hAnsi="Book Antiqua"/>
          <w:b/>
          <w:bCs/>
          <w:color w:val="000000"/>
        </w:rPr>
        <w:t>Zaghlula</w:t>
      </w:r>
      <w:proofErr w:type="spellEnd"/>
      <w:r w:rsidRPr="00815B74">
        <w:rPr>
          <w:rFonts w:ascii="Book Antiqua" w:hAnsi="Book Antiqua"/>
          <w:b/>
          <w:bCs/>
          <w:color w:val="000000"/>
        </w:rPr>
        <w:t xml:space="preserve"> M</w:t>
      </w:r>
      <w:r w:rsidRPr="00815B74">
        <w:rPr>
          <w:rFonts w:ascii="Book Antiqua" w:hAnsi="Book Antiqua"/>
          <w:color w:val="000000"/>
        </w:rPr>
        <w:t xml:space="preserve">, Glaze DG, Enns GM, </w:t>
      </w:r>
      <w:proofErr w:type="spellStart"/>
      <w:r w:rsidRPr="00815B74">
        <w:rPr>
          <w:rFonts w:ascii="Book Antiqua" w:hAnsi="Book Antiqua"/>
          <w:color w:val="000000"/>
        </w:rPr>
        <w:t>Potocki</w:t>
      </w:r>
      <w:proofErr w:type="spellEnd"/>
      <w:r w:rsidRPr="00815B74">
        <w:rPr>
          <w:rFonts w:ascii="Book Antiqua" w:hAnsi="Book Antiqua"/>
          <w:color w:val="000000"/>
        </w:rPr>
        <w:t xml:space="preserve"> L, </w:t>
      </w:r>
      <w:proofErr w:type="spellStart"/>
      <w:r w:rsidRPr="00815B74">
        <w:rPr>
          <w:rFonts w:ascii="Book Antiqua" w:hAnsi="Book Antiqua"/>
          <w:color w:val="000000"/>
        </w:rPr>
        <w:t>Schwabe</w:t>
      </w:r>
      <w:proofErr w:type="spellEnd"/>
      <w:r w:rsidRPr="00815B74">
        <w:rPr>
          <w:rFonts w:ascii="Book Antiqua" w:hAnsi="Book Antiqua"/>
          <w:color w:val="000000"/>
        </w:rPr>
        <w:t xml:space="preserve"> AL, Suter B. Current clinical evidence does not support a link between TBL1XR1 and </w:t>
      </w:r>
      <w:proofErr w:type="spellStart"/>
      <w:r w:rsidRPr="00815B74">
        <w:rPr>
          <w:rFonts w:ascii="Book Antiqua" w:hAnsi="Book Antiqua"/>
          <w:color w:val="000000"/>
        </w:rPr>
        <w:t>Rett</w:t>
      </w:r>
      <w:proofErr w:type="spellEnd"/>
      <w:r w:rsidRPr="00815B74">
        <w:rPr>
          <w:rFonts w:ascii="Book Antiqua" w:hAnsi="Book Antiqua"/>
          <w:color w:val="000000"/>
        </w:rPr>
        <w:t xml:space="preserve"> syndrome: Description of one patient with </w:t>
      </w:r>
      <w:proofErr w:type="spellStart"/>
      <w:r w:rsidRPr="00815B74">
        <w:rPr>
          <w:rFonts w:ascii="Book Antiqua" w:hAnsi="Book Antiqua"/>
          <w:color w:val="000000"/>
        </w:rPr>
        <w:t>Rett</w:t>
      </w:r>
      <w:proofErr w:type="spellEnd"/>
      <w:r w:rsidRPr="00815B74">
        <w:rPr>
          <w:rFonts w:ascii="Book Antiqua" w:hAnsi="Book Antiqua"/>
          <w:color w:val="000000"/>
        </w:rPr>
        <w:t xml:space="preserve"> features and a novel mutation in TBL1XR1, and a review of TBL1XR1 phenotypes. </w:t>
      </w:r>
      <w:r w:rsidRPr="00815B74">
        <w:rPr>
          <w:rFonts w:ascii="Book Antiqua" w:hAnsi="Book Antiqua"/>
          <w:i/>
          <w:iCs/>
          <w:color w:val="000000"/>
        </w:rPr>
        <w:t xml:space="preserve">Am J Med Genet </w:t>
      </w:r>
      <w:proofErr w:type="gramStart"/>
      <w:r w:rsidRPr="00815B74">
        <w:rPr>
          <w:rFonts w:ascii="Book Antiqua" w:hAnsi="Book Antiqua"/>
          <w:i/>
          <w:iCs/>
          <w:color w:val="000000"/>
        </w:rPr>
        <w:t>A</w:t>
      </w:r>
      <w:proofErr w:type="gramEnd"/>
      <w:r w:rsidRPr="00815B74">
        <w:rPr>
          <w:rFonts w:ascii="Book Antiqua" w:hAnsi="Book Antiqua"/>
          <w:color w:val="000000"/>
        </w:rPr>
        <w:t> 2018; </w:t>
      </w:r>
      <w:r w:rsidRPr="00815B74">
        <w:rPr>
          <w:rFonts w:ascii="Book Antiqua" w:hAnsi="Book Antiqua"/>
          <w:b/>
          <w:bCs/>
          <w:color w:val="000000"/>
        </w:rPr>
        <w:t>176</w:t>
      </w:r>
      <w:r w:rsidRPr="00815B74">
        <w:rPr>
          <w:rFonts w:ascii="Book Antiqua" w:hAnsi="Book Antiqua"/>
          <w:color w:val="000000"/>
        </w:rPr>
        <w:t>: 1683-1687 [PMID: 29777588 DOI: 10.1002/ajmg.a.38689]</w:t>
      </w:r>
    </w:p>
    <w:p w:rsidR="00D059D8" w:rsidRPr="00815B74" w:rsidRDefault="00D059D8">
      <w:pPr>
        <w:autoSpaceDE w:val="0"/>
        <w:autoSpaceDN w:val="0"/>
        <w:adjustRightInd w:val="0"/>
        <w:snapToGrid w:val="0"/>
        <w:spacing w:line="360" w:lineRule="auto"/>
        <w:jc w:val="both"/>
        <w:rPr>
          <w:rFonts w:ascii="Book Antiqua" w:hAnsi="Book Antiqua"/>
          <w:color w:val="000000"/>
        </w:rPr>
      </w:pPr>
      <w:proofErr w:type="gramStart"/>
      <w:r w:rsidRPr="00815B74">
        <w:rPr>
          <w:rFonts w:ascii="Book Antiqua" w:hAnsi="Book Antiqua"/>
          <w:color w:val="000000"/>
        </w:rPr>
        <w:t>23 </w:t>
      </w:r>
      <w:r w:rsidRPr="00815B74">
        <w:rPr>
          <w:rFonts w:ascii="Book Antiqua" w:hAnsi="Book Antiqua"/>
          <w:b/>
          <w:bCs/>
          <w:color w:val="000000"/>
        </w:rPr>
        <w:t>Serna-Marquez N</w:t>
      </w:r>
      <w:proofErr w:type="gramEnd"/>
      <w:r w:rsidRPr="00815B74">
        <w:rPr>
          <w:rFonts w:ascii="Book Antiqua" w:hAnsi="Book Antiqua"/>
          <w:color w:val="000000"/>
        </w:rPr>
        <w:t>, Diaz-Aragon R, Reyes-Uribe E, Cortes-Reynosa P, Salazar EP. Linoleic acid induces migration and invasion through FFAR4- and PI3K-/</w:t>
      </w:r>
      <w:proofErr w:type="spellStart"/>
      <w:r w:rsidRPr="00815B74">
        <w:rPr>
          <w:rFonts w:ascii="Book Antiqua" w:hAnsi="Book Antiqua"/>
          <w:color w:val="000000"/>
        </w:rPr>
        <w:t>Akt</w:t>
      </w:r>
      <w:proofErr w:type="spellEnd"/>
      <w:r w:rsidRPr="00815B74">
        <w:rPr>
          <w:rFonts w:ascii="Book Antiqua" w:hAnsi="Book Antiqua"/>
          <w:color w:val="000000"/>
        </w:rPr>
        <w:t>-dependent pathway in MDA-MB-231 breast cancer cells. </w:t>
      </w:r>
      <w:r w:rsidRPr="00815B74">
        <w:rPr>
          <w:rFonts w:ascii="Book Antiqua" w:hAnsi="Book Antiqua"/>
          <w:i/>
          <w:iCs/>
          <w:color w:val="000000"/>
        </w:rPr>
        <w:t xml:space="preserve">Med </w:t>
      </w:r>
      <w:proofErr w:type="spellStart"/>
      <w:r w:rsidRPr="00815B74">
        <w:rPr>
          <w:rFonts w:ascii="Book Antiqua" w:hAnsi="Book Antiqua"/>
          <w:i/>
          <w:iCs/>
          <w:color w:val="000000"/>
        </w:rPr>
        <w:t>Oncol</w:t>
      </w:r>
      <w:proofErr w:type="spellEnd"/>
      <w:r w:rsidRPr="00815B74">
        <w:rPr>
          <w:rFonts w:ascii="Book Antiqua" w:hAnsi="Book Antiqua"/>
          <w:color w:val="000000"/>
        </w:rPr>
        <w:t> 2017; </w:t>
      </w:r>
      <w:r w:rsidRPr="00815B74">
        <w:rPr>
          <w:rFonts w:ascii="Book Antiqua" w:hAnsi="Book Antiqua"/>
          <w:b/>
          <w:bCs/>
          <w:color w:val="000000"/>
        </w:rPr>
        <w:t>34</w:t>
      </w:r>
      <w:r w:rsidRPr="00815B74">
        <w:rPr>
          <w:rFonts w:ascii="Book Antiqua" w:hAnsi="Book Antiqua"/>
          <w:color w:val="000000"/>
        </w:rPr>
        <w:t>: 111 [PMID: 28456993 DOI: 10.1007/s12032-017-0969-3]</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lastRenderedPageBreak/>
        <w:t xml:space="preserve">24 </w:t>
      </w:r>
      <w:proofErr w:type="spellStart"/>
      <w:r w:rsidRPr="00815B74">
        <w:rPr>
          <w:rFonts w:ascii="Book Antiqua" w:hAnsi="Book Antiqua"/>
          <w:b/>
          <w:bCs/>
          <w:color w:val="000000"/>
        </w:rPr>
        <w:t>Slomiany</w:t>
      </w:r>
      <w:proofErr w:type="spellEnd"/>
      <w:r w:rsidRPr="00815B74">
        <w:rPr>
          <w:rFonts w:ascii="Book Antiqua" w:hAnsi="Book Antiqua"/>
          <w:b/>
          <w:bCs/>
          <w:color w:val="000000"/>
        </w:rPr>
        <w:t xml:space="preserve"> BL</w:t>
      </w:r>
      <w:r w:rsidRPr="00815B74">
        <w:rPr>
          <w:rFonts w:ascii="Book Antiqua" w:hAnsi="Book Antiqua"/>
          <w:color w:val="000000"/>
        </w:rPr>
        <w:t xml:space="preserve">, </w:t>
      </w:r>
      <w:proofErr w:type="spellStart"/>
      <w:r w:rsidRPr="00815B74">
        <w:rPr>
          <w:rFonts w:ascii="Book Antiqua" w:hAnsi="Book Antiqua"/>
          <w:color w:val="000000"/>
        </w:rPr>
        <w:t>Slomiany</w:t>
      </w:r>
      <w:proofErr w:type="spellEnd"/>
      <w:r w:rsidRPr="00815B74">
        <w:rPr>
          <w:rFonts w:ascii="Book Antiqua" w:hAnsi="Book Antiqua"/>
          <w:color w:val="000000"/>
        </w:rPr>
        <w:t xml:space="preserve"> A. Helicobacter pylori Induces Disturbances in Gastric Mucosal </w:t>
      </w:r>
      <w:proofErr w:type="spellStart"/>
      <w:r w:rsidRPr="00815B74">
        <w:rPr>
          <w:rFonts w:ascii="Book Antiqua" w:hAnsi="Book Antiqua"/>
          <w:color w:val="000000"/>
        </w:rPr>
        <w:t>Akt</w:t>
      </w:r>
      <w:proofErr w:type="spellEnd"/>
      <w:r w:rsidRPr="00815B74">
        <w:rPr>
          <w:rFonts w:ascii="Book Antiqua" w:hAnsi="Book Antiqua"/>
          <w:color w:val="000000"/>
        </w:rPr>
        <w:t xml:space="preserve"> Activation through Inducible Nitric Oxide Synthase-Dependent S-</w:t>
      </w:r>
      <w:proofErr w:type="spellStart"/>
      <w:r w:rsidRPr="00815B74">
        <w:rPr>
          <w:rFonts w:ascii="Book Antiqua" w:hAnsi="Book Antiqua"/>
          <w:color w:val="000000"/>
        </w:rPr>
        <w:t>Nitrosylation</w:t>
      </w:r>
      <w:proofErr w:type="spellEnd"/>
      <w:r w:rsidRPr="00815B74">
        <w:rPr>
          <w:rFonts w:ascii="Book Antiqua" w:hAnsi="Book Antiqua"/>
          <w:color w:val="000000"/>
        </w:rPr>
        <w:t>: Effect of Ghrelin. </w:t>
      </w:r>
      <w:r w:rsidRPr="00815B74">
        <w:rPr>
          <w:rFonts w:ascii="Book Antiqua" w:hAnsi="Book Antiqua"/>
          <w:i/>
          <w:iCs/>
          <w:color w:val="000000"/>
        </w:rPr>
        <w:t xml:space="preserve">ISRN </w:t>
      </w:r>
      <w:proofErr w:type="spellStart"/>
      <w:r w:rsidRPr="00815B74">
        <w:rPr>
          <w:rFonts w:ascii="Book Antiqua" w:hAnsi="Book Antiqua"/>
          <w:i/>
          <w:iCs/>
          <w:color w:val="000000"/>
        </w:rPr>
        <w:t>Gastroenterol</w:t>
      </w:r>
      <w:proofErr w:type="spellEnd"/>
      <w:r w:rsidRPr="00815B74">
        <w:rPr>
          <w:rFonts w:ascii="Book Antiqua" w:hAnsi="Book Antiqua"/>
          <w:color w:val="000000"/>
        </w:rPr>
        <w:t> 2011; </w:t>
      </w:r>
      <w:r w:rsidRPr="00815B74">
        <w:rPr>
          <w:rFonts w:ascii="Book Antiqua" w:hAnsi="Book Antiqua"/>
          <w:b/>
          <w:bCs/>
          <w:color w:val="000000"/>
        </w:rPr>
        <w:t>2011</w:t>
      </w:r>
      <w:r w:rsidRPr="00815B74">
        <w:rPr>
          <w:rFonts w:ascii="Book Antiqua" w:hAnsi="Book Antiqua"/>
          <w:color w:val="000000"/>
        </w:rPr>
        <w:t>: 308727 [PMID: 21991502 DOI: 10.5402/2011/308727]</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25 </w:t>
      </w:r>
      <w:proofErr w:type="spellStart"/>
      <w:r w:rsidRPr="00815B74">
        <w:rPr>
          <w:rFonts w:ascii="Book Antiqua" w:hAnsi="Book Antiqua"/>
          <w:b/>
          <w:bCs/>
          <w:color w:val="000000"/>
        </w:rPr>
        <w:t>Slomiany</w:t>
      </w:r>
      <w:proofErr w:type="spellEnd"/>
      <w:r w:rsidRPr="00815B74">
        <w:rPr>
          <w:rFonts w:ascii="Book Antiqua" w:hAnsi="Book Antiqua"/>
          <w:b/>
          <w:bCs/>
          <w:color w:val="000000"/>
        </w:rPr>
        <w:t xml:space="preserve"> BL</w:t>
      </w:r>
      <w:r w:rsidRPr="00815B74">
        <w:rPr>
          <w:rFonts w:ascii="Book Antiqua" w:hAnsi="Book Antiqua"/>
          <w:color w:val="000000"/>
        </w:rPr>
        <w:t xml:space="preserve">, </w:t>
      </w:r>
      <w:proofErr w:type="spellStart"/>
      <w:r w:rsidRPr="00815B74">
        <w:rPr>
          <w:rFonts w:ascii="Book Antiqua" w:hAnsi="Book Antiqua"/>
          <w:color w:val="000000"/>
        </w:rPr>
        <w:t>Slomiany</w:t>
      </w:r>
      <w:proofErr w:type="spellEnd"/>
      <w:r w:rsidRPr="00815B74">
        <w:rPr>
          <w:rFonts w:ascii="Book Antiqua" w:hAnsi="Book Antiqua"/>
          <w:color w:val="000000"/>
        </w:rPr>
        <w:t xml:space="preserve"> A. Role of constitutive nitric oxide synthase S-</w:t>
      </w:r>
      <w:proofErr w:type="spellStart"/>
      <w:r w:rsidRPr="00815B74">
        <w:rPr>
          <w:rFonts w:ascii="Book Antiqua" w:hAnsi="Book Antiqua"/>
          <w:color w:val="000000"/>
        </w:rPr>
        <w:t>nitrosylation</w:t>
      </w:r>
      <w:proofErr w:type="spellEnd"/>
      <w:r w:rsidRPr="00815B74">
        <w:rPr>
          <w:rFonts w:ascii="Book Antiqua" w:hAnsi="Book Antiqua"/>
          <w:color w:val="000000"/>
        </w:rPr>
        <w:t xml:space="preserve"> in Helicobacter pylori-induced gastric mucosal cell apoptosis: effect of ghrelin. </w:t>
      </w:r>
      <w:proofErr w:type="spellStart"/>
      <w:r w:rsidRPr="00815B74">
        <w:rPr>
          <w:rFonts w:ascii="Book Antiqua" w:hAnsi="Book Antiqua"/>
          <w:i/>
          <w:iCs/>
          <w:color w:val="000000"/>
        </w:rPr>
        <w:t>Inflammopharmacology</w:t>
      </w:r>
      <w:proofErr w:type="spellEnd"/>
      <w:r w:rsidRPr="00815B74">
        <w:rPr>
          <w:rFonts w:ascii="Book Antiqua" w:hAnsi="Book Antiqua"/>
          <w:color w:val="000000"/>
        </w:rPr>
        <w:t> 2010; </w:t>
      </w:r>
      <w:r w:rsidRPr="00815B74">
        <w:rPr>
          <w:rFonts w:ascii="Book Antiqua" w:hAnsi="Book Antiqua"/>
          <w:b/>
          <w:bCs/>
          <w:color w:val="000000"/>
        </w:rPr>
        <w:t>18</w:t>
      </w:r>
      <w:r w:rsidRPr="00815B74">
        <w:rPr>
          <w:rFonts w:ascii="Book Antiqua" w:hAnsi="Book Antiqua"/>
          <w:color w:val="000000"/>
        </w:rPr>
        <w:t>: 233-240 [PMID: 20596895 DOI: 10.1007/s10787-010-0051-7]</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Footnotes</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Institutional animal care and use committee statement:</w:t>
      </w:r>
      <w:r w:rsidRPr="00815B74">
        <w:rPr>
          <w:rFonts w:ascii="Book Antiqua" w:hAnsi="Book Antiqua"/>
          <w:color w:val="000000"/>
        </w:rPr>
        <w:t xml:space="preserve"> The animal care and use was approved by the Ethics Committee of Changshu No.1 People’s Hospital.</w:t>
      </w:r>
    </w:p>
    <w:p w:rsidR="00D059D8" w:rsidRPr="00815B74" w:rsidRDefault="00D059D8">
      <w:pPr>
        <w:autoSpaceDE w:val="0"/>
        <w:autoSpaceDN w:val="0"/>
        <w:adjustRightInd w:val="0"/>
        <w:snapToGrid w:val="0"/>
        <w:spacing w:line="360" w:lineRule="auto"/>
        <w:jc w:val="both"/>
        <w:rPr>
          <w:rFonts w:ascii="Book Antiqua" w:hAnsi="Book Antiqua"/>
          <w:b/>
          <w:bCs/>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Institutional review board statement:</w:t>
      </w:r>
      <w:r w:rsidRPr="00815B74">
        <w:rPr>
          <w:rFonts w:ascii="Book Antiqua" w:hAnsi="Book Antiqua"/>
          <w:color w:val="000000"/>
        </w:rPr>
        <w:t xml:space="preserve"> The study was approved by </w:t>
      </w:r>
      <w:bookmarkStart w:id="66" w:name="OLE_LINK32"/>
      <w:bookmarkStart w:id="67" w:name="OLE_LINK33"/>
      <w:r w:rsidRPr="00815B74">
        <w:rPr>
          <w:rFonts w:ascii="Book Antiqua" w:hAnsi="Book Antiqua"/>
          <w:color w:val="000000"/>
        </w:rPr>
        <w:t>the Ethics Committee of Changshu No.1 People’s Hospital</w:t>
      </w:r>
      <w:bookmarkEnd w:id="66"/>
      <w:bookmarkEnd w:id="67"/>
      <w:r w:rsidRPr="00815B74">
        <w:rPr>
          <w:rFonts w:ascii="Book Antiqua" w:hAnsi="Book Antiqua"/>
          <w:color w:val="000000"/>
        </w:rPr>
        <w:t>.</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Conflict-of-interest statement: </w:t>
      </w:r>
      <w:r w:rsidRPr="00815B74">
        <w:rPr>
          <w:rFonts w:ascii="Book Antiqua" w:hAnsi="Book Antiqua"/>
          <w:color w:val="000000"/>
        </w:rPr>
        <w:t>The authors declare no conflict of interest. The authors declare that they have nothing to disclose.</w:t>
      </w:r>
    </w:p>
    <w:p w:rsidR="00D059D8" w:rsidRPr="00815B74" w:rsidRDefault="00D059D8">
      <w:pPr>
        <w:autoSpaceDE w:val="0"/>
        <w:autoSpaceDN w:val="0"/>
        <w:adjustRightInd w:val="0"/>
        <w:snapToGrid w:val="0"/>
        <w:spacing w:line="360" w:lineRule="auto"/>
        <w:jc w:val="both"/>
        <w:rPr>
          <w:rFonts w:ascii="Book Antiqua" w:hAnsi="Book Antiqua"/>
          <w:b/>
          <w:bCs/>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Data sharing statement:</w:t>
      </w:r>
      <w:r w:rsidRPr="00815B74">
        <w:rPr>
          <w:rFonts w:ascii="Book Antiqua" w:hAnsi="Book Antiqua"/>
          <w:color w:val="000000"/>
        </w:rPr>
        <w:t xml:space="preserve"> No additional data are available.</w:t>
      </w:r>
    </w:p>
    <w:p w:rsidR="00D059D8" w:rsidRPr="00815B74" w:rsidRDefault="00D059D8">
      <w:pPr>
        <w:autoSpaceDE w:val="0"/>
        <w:autoSpaceDN w:val="0"/>
        <w:adjustRightInd w:val="0"/>
        <w:snapToGrid w:val="0"/>
        <w:spacing w:line="360" w:lineRule="auto"/>
        <w:jc w:val="both"/>
        <w:rPr>
          <w:rFonts w:ascii="Book Antiqua" w:hAnsi="Book Antiqua"/>
          <w:b/>
          <w:bCs/>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ARRIVE guidelines statement:</w:t>
      </w:r>
      <w:r w:rsidRPr="00815B74">
        <w:rPr>
          <w:rFonts w:ascii="Book Antiqua" w:hAnsi="Book Antiqua"/>
          <w:color w:val="000000"/>
        </w:rPr>
        <w:t xml:space="preserve"> The authors have read the ARRIVE guidelines, and the manuscript was prepared and revised according to the ARRIVE guidelines.</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Open-Access: </w:t>
      </w:r>
      <w:r w:rsidRPr="00815B74">
        <w:rPr>
          <w:rFonts w:ascii="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15B74">
        <w:rPr>
          <w:rFonts w:ascii="Book Antiqua" w:hAnsi="Book Antiqua"/>
          <w:color w:val="000000"/>
        </w:rPr>
        <w:t>NonCommercial</w:t>
      </w:r>
      <w:proofErr w:type="spellEnd"/>
      <w:r w:rsidRPr="00815B74">
        <w:rPr>
          <w:rFonts w:ascii="Book Antiqua" w:hAnsi="Book Antiqua"/>
          <w:color w:val="000000"/>
        </w:rPr>
        <w:t xml:space="preserve"> (CC BY-NC 4.0) license, which permits others to distribute, remix, adapt, build upon this work non-commercially, and license their </w:t>
      </w:r>
      <w:r w:rsidRPr="00815B74">
        <w:rPr>
          <w:rFonts w:ascii="Book Antiqua" w:hAnsi="Book Antiqua"/>
          <w:color w:val="000000"/>
        </w:rPr>
        <w:lastRenderedPageBreak/>
        <w:t>derivative works on different terms, provided the original work is properly cited and the use is non-commercial. See: http://creativecommons.org/licenses/by-nc/4.0/</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Manuscript source: </w:t>
      </w:r>
      <w:r w:rsidRPr="00815B74">
        <w:rPr>
          <w:rFonts w:ascii="Book Antiqua" w:hAnsi="Book Antiqua"/>
          <w:color w:val="000000"/>
        </w:rPr>
        <w:t>Unsolicited manuscript</w:t>
      </w:r>
    </w:p>
    <w:p w:rsidR="00D059D8" w:rsidRPr="00815B74" w:rsidRDefault="00D059D8">
      <w:pPr>
        <w:autoSpaceDE w:val="0"/>
        <w:autoSpaceDN w:val="0"/>
        <w:adjustRightInd w:val="0"/>
        <w:snapToGrid w:val="0"/>
        <w:spacing w:line="360" w:lineRule="auto"/>
        <w:jc w:val="both"/>
        <w:rPr>
          <w:rFonts w:ascii="Book Antiqua" w:hAnsi="Book Antiqua"/>
          <w:b/>
          <w:bCs/>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Peer-review started:</w:t>
      </w:r>
      <w:r w:rsidRPr="00815B74">
        <w:rPr>
          <w:rFonts w:ascii="Book Antiqua" w:hAnsi="Book Antiqua"/>
          <w:color w:val="000000"/>
        </w:rPr>
        <w:t xml:space="preserve"> February 3, 2020</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First decision:</w:t>
      </w:r>
      <w:r w:rsidRPr="00815B74">
        <w:rPr>
          <w:rFonts w:ascii="Book Antiqua" w:hAnsi="Book Antiqua"/>
          <w:color w:val="000000"/>
        </w:rPr>
        <w:t xml:space="preserve"> March 24, 2020</w:t>
      </w:r>
    </w:p>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Article in press:</w:t>
      </w:r>
      <w:r w:rsidR="00561A4B" w:rsidRPr="00815B74">
        <w:rPr>
          <w:rFonts w:ascii="Book Antiqua" w:hAnsi="Book Antiqua"/>
          <w:bCs/>
          <w:color w:val="000000"/>
        </w:rPr>
        <w:t xml:space="preserve"> </w:t>
      </w:r>
      <w:r w:rsidR="00561A4B" w:rsidRPr="00815B74">
        <w:rPr>
          <w:rFonts w:ascii="Book Antiqua" w:hAnsi="Book Antiqua"/>
          <w:bCs/>
          <w:color w:val="000000"/>
        </w:rPr>
        <w:t>May 26, 2020</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Specialty type:</w:t>
      </w:r>
      <w:r w:rsidRPr="00815B74">
        <w:rPr>
          <w:rFonts w:ascii="Book Antiqua" w:hAnsi="Book Antiqua"/>
          <w:color w:val="000000"/>
        </w:rPr>
        <w:t xml:space="preserve"> </w:t>
      </w:r>
      <w:bookmarkStart w:id="68" w:name="OLE_LINK63"/>
      <w:bookmarkStart w:id="69" w:name="OLE_LINK65"/>
      <w:r w:rsidRPr="00815B74">
        <w:rPr>
          <w:rFonts w:ascii="Book Antiqua" w:eastAsia="微软雅黑" w:hAnsi="Book Antiqua"/>
          <w:color w:val="000000"/>
        </w:rPr>
        <w:t>Gastroenterology and hepatology</w:t>
      </w:r>
      <w:r w:rsidRPr="00815B74">
        <w:rPr>
          <w:rFonts w:ascii="Book Antiqua" w:hAnsi="Book Antiqua"/>
          <w:color w:val="000000"/>
        </w:rPr>
        <w:t xml:space="preserve"> </w:t>
      </w:r>
      <w:bookmarkEnd w:id="68"/>
      <w:bookmarkEnd w:id="69"/>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Country/Territory</w:t>
      </w:r>
      <w:bookmarkStart w:id="70" w:name="_GoBack"/>
      <w:bookmarkEnd w:id="70"/>
      <w:r w:rsidRPr="00815B74">
        <w:rPr>
          <w:rFonts w:ascii="Book Antiqua" w:hAnsi="Book Antiqua"/>
          <w:b/>
          <w:bCs/>
          <w:color w:val="000000"/>
        </w:rPr>
        <w:t xml:space="preserve"> of origin: </w:t>
      </w:r>
      <w:r w:rsidRPr="00815B74">
        <w:rPr>
          <w:rFonts w:ascii="Book Antiqua" w:hAnsi="Book Antiqua"/>
          <w:color w:val="000000"/>
        </w:rPr>
        <w:t>China</w:t>
      </w:r>
    </w:p>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Peer-review report’s scientific quality classification</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Grade </w:t>
      </w:r>
      <w:proofErr w:type="gramStart"/>
      <w:r w:rsidRPr="00815B74">
        <w:rPr>
          <w:rFonts w:ascii="Book Antiqua" w:hAnsi="Book Antiqua"/>
          <w:color w:val="000000"/>
        </w:rPr>
        <w:t>A</w:t>
      </w:r>
      <w:proofErr w:type="gramEnd"/>
      <w:r w:rsidRPr="00815B74">
        <w:rPr>
          <w:rFonts w:ascii="Book Antiqua" w:hAnsi="Book Antiqua"/>
          <w:color w:val="000000"/>
        </w:rPr>
        <w:t xml:space="preserve"> (Excellent): A</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Grade B (Very good): B</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Grade C (Good): C, C</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Grade D (Fair): D</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Grade E (Poor): 0</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P-Reviewer:</w:t>
      </w:r>
      <w:r w:rsidRPr="00815B74">
        <w:rPr>
          <w:rFonts w:ascii="Book Antiqua" w:hAnsi="Book Antiqua"/>
          <w:color w:val="000000"/>
        </w:rPr>
        <w:t xml:space="preserve"> </w:t>
      </w:r>
      <w:proofErr w:type="spellStart"/>
      <w:r w:rsidRPr="00815B74">
        <w:rPr>
          <w:rFonts w:ascii="Book Antiqua" w:hAnsi="Book Antiqua"/>
          <w:color w:val="000000"/>
        </w:rPr>
        <w:t>Chisthi</w:t>
      </w:r>
      <w:proofErr w:type="spellEnd"/>
      <w:r w:rsidRPr="00815B74">
        <w:rPr>
          <w:rFonts w:ascii="Book Antiqua" w:hAnsi="Book Antiqua"/>
          <w:color w:val="000000"/>
        </w:rPr>
        <w:t xml:space="preserve"> MM, </w:t>
      </w:r>
      <w:proofErr w:type="spellStart"/>
      <w:r w:rsidRPr="00815B74">
        <w:rPr>
          <w:rFonts w:ascii="Book Antiqua" w:hAnsi="Book Antiqua"/>
          <w:color w:val="000000"/>
        </w:rPr>
        <w:t>Fujino</w:t>
      </w:r>
      <w:proofErr w:type="spellEnd"/>
      <w:r w:rsidRPr="00815B74">
        <w:rPr>
          <w:rFonts w:ascii="Book Antiqua" w:hAnsi="Book Antiqua"/>
          <w:color w:val="000000"/>
        </w:rPr>
        <w:t xml:space="preserve"> Y, </w:t>
      </w:r>
      <w:proofErr w:type="spellStart"/>
      <w:r w:rsidRPr="00815B74">
        <w:rPr>
          <w:rFonts w:ascii="Book Antiqua" w:hAnsi="Book Antiqua"/>
          <w:color w:val="000000"/>
        </w:rPr>
        <w:t>Gassler</w:t>
      </w:r>
      <w:proofErr w:type="spellEnd"/>
      <w:r w:rsidRPr="00815B74">
        <w:rPr>
          <w:rFonts w:ascii="Book Antiqua" w:hAnsi="Book Antiqua"/>
          <w:color w:val="000000"/>
        </w:rPr>
        <w:t xml:space="preserve"> N, </w:t>
      </w:r>
      <w:proofErr w:type="spellStart"/>
      <w:r w:rsidRPr="00815B74">
        <w:rPr>
          <w:rFonts w:ascii="Book Antiqua" w:hAnsi="Book Antiqua"/>
          <w:color w:val="000000"/>
        </w:rPr>
        <w:t>Slomiany</w:t>
      </w:r>
      <w:proofErr w:type="spellEnd"/>
      <w:r w:rsidRPr="00815B74">
        <w:rPr>
          <w:rFonts w:ascii="Book Antiqua" w:hAnsi="Book Antiqua"/>
          <w:color w:val="000000"/>
        </w:rPr>
        <w:t xml:space="preserve"> BL, </w:t>
      </w:r>
      <w:proofErr w:type="spellStart"/>
      <w:r w:rsidRPr="00815B74">
        <w:rPr>
          <w:rFonts w:ascii="Book Antiqua" w:hAnsi="Book Antiqua"/>
          <w:color w:val="000000"/>
        </w:rPr>
        <w:t>Tomizawa</w:t>
      </w:r>
      <w:proofErr w:type="spellEnd"/>
      <w:r w:rsidRPr="00815B74">
        <w:rPr>
          <w:rFonts w:ascii="Book Antiqua" w:hAnsi="Book Antiqua"/>
          <w:color w:val="000000"/>
        </w:rPr>
        <w:t xml:space="preserve"> M </w:t>
      </w:r>
      <w:r w:rsidRPr="00815B74">
        <w:rPr>
          <w:rFonts w:ascii="Book Antiqua" w:hAnsi="Book Antiqua"/>
          <w:b/>
          <w:bCs/>
          <w:color w:val="000000"/>
        </w:rPr>
        <w:t>S-Editor:</w:t>
      </w:r>
      <w:r w:rsidRPr="00815B74">
        <w:rPr>
          <w:rFonts w:ascii="Book Antiqua" w:hAnsi="Book Antiqua"/>
          <w:color w:val="000000"/>
        </w:rPr>
        <w:t xml:space="preserve"> Yang Y </w:t>
      </w:r>
      <w:r w:rsidRPr="00815B74">
        <w:rPr>
          <w:rFonts w:ascii="Book Antiqua" w:hAnsi="Book Antiqua"/>
          <w:b/>
          <w:bCs/>
          <w:color w:val="000000"/>
        </w:rPr>
        <w:t xml:space="preserve">L-Editor: </w:t>
      </w:r>
      <w:proofErr w:type="spellStart"/>
      <w:r w:rsidRPr="00815B74">
        <w:rPr>
          <w:rFonts w:ascii="Book Antiqua" w:hAnsi="Book Antiqua" w:hint="eastAsia"/>
          <w:bCs/>
          <w:color w:val="000000"/>
        </w:rPr>
        <w:t>MedE</w:t>
      </w:r>
      <w:proofErr w:type="spellEnd"/>
      <w:r w:rsidRPr="00815B74">
        <w:rPr>
          <w:rFonts w:ascii="Book Antiqua" w:hAnsi="Book Antiqua" w:hint="eastAsia"/>
          <w:bCs/>
          <w:color w:val="000000"/>
        </w:rPr>
        <w:t>-Ma JY</w:t>
      </w:r>
      <w:r w:rsidRPr="00815B74">
        <w:rPr>
          <w:rFonts w:ascii="Book Antiqua" w:hAnsi="Book Antiqua" w:hint="eastAsia"/>
          <w:b/>
          <w:bCs/>
          <w:color w:val="000000"/>
        </w:rPr>
        <w:t xml:space="preserve"> </w:t>
      </w:r>
      <w:r w:rsidRPr="00815B74">
        <w:rPr>
          <w:rFonts w:ascii="Book Antiqua" w:hAnsi="Book Antiqua"/>
          <w:b/>
          <w:bCs/>
          <w:color w:val="000000"/>
        </w:rPr>
        <w:t>E-Editor:</w:t>
      </w:r>
      <w:r w:rsidR="00561A4B" w:rsidRPr="00815B74">
        <w:rPr>
          <w:rFonts w:ascii="Book Antiqua" w:hAnsi="Book Antiqua" w:hint="eastAsia"/>
          <w:b/>
          <w:bCs/>
          <w:color w:val="000000"/>
        </w:rPr>
        <w:t xml:space="preserve"> Ma YJ</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djustRightInd w:val="0"/>
        <w:snapToGrid w:val="0"/>
        <w:spacing w:line="360" w:lineRule="auto"/>
        <w:jc w:val="both"/>
        <w:rPr>
          <w:rFonts w:ascii="Book Antiqua" w:hAnsi="Book Antiqua"/>
          <w:b/>
          <w:color w:val="000000"/>
        </w:rPr>
      </w:pPr>
      <w:r w:rsidRPr="00815B74">
        <w:rPr>
          <w:rFonts w:ascii="Book Antiqua" w:hAnsi="Book Antiqua"/>
          <w:b/>
          <w:color w:val="000000"/>
        </w:rPr>
        <w:t>Figure Legends</w:t>
      </w:r>
    </w:p>
    <w:p w:rsidR="00D059D8" w:rsidRPr="00815B74" w:rsidRDefault="002D37CA">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noProof/>
          <w:color w:val="000000"/>
        </w:rPr>
        <w:lastRenderedPageBreak/>
        <w:drawing>
          <wp:inline distT="0" distB="0" distL="0" distR="0" wp14:anchorId="40AEB056" wp14:editId="08AF9D6D">
            <wp:extent cx="5238750" cy="3568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568700"/>
                    </a:xfrm>
                    <a:prstGeom prst="rect">
                      <a:avLst/>
                    </a:prstGeom>
                    <a:noFill/>
                    <a:ln>
                      <a:noFill/>
                    </a:ln>
                  </pic:spPr>
                </pic:pic>
              </a:graphicData>
            </a:graphic>
          </wp:inline>
        </w:drawing>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Figure </w:t>
      </w:r>
      <w:proofErr w:type="gramStart"/>
      <w:r w:rsidRPr="00815B74">
        <w:rPr>
          <w:rFonts w:ascii="Book Antiqua" w:hAnsi="Book Antiqua"/>
          <w:b/>
          <w:bCs/>
          <w:color w:val="000000"/>
        </w:rPr>
        <w:t xml:space="preserve">1 </w:t>
      </w:r>
      <w:proofErr w:type="spellStart"/>
      <w:r w:rsidRPr="00815B74">
        <w:rPr>
          <w:rFonts w:ascii="Book Antiqua" w:hAnsi="Book Antiqua"/>
          <w:b/>
          <w:bCs/>
          <w:color w:val="000000"/>
        </w:rPr>
        <w:t>Clinicopathological</w:t>
      </w:r>
      <w:proofErr w:type="spellEnd"/>
      <w:r w:rsidRPr="00815B74">
        <w:rPr>
          <w:rFonts w:ascii="Book Antiqua" w:hAnsi="Book Antiqua"/>
          <w:b/>
          <w:bCs/>
          <w:color w:val="000000"/>
        </w:rPr>
        <w:t xml:space="preserve"> significance</w:t>
      </w:r>
      <w:proofErr w:type="gramEnd"/>
      <w:r w:rsidRPr="00815B74">
        <w:rPr>
          <w:rFonts w:ascii="Book Antiqua" w:hAnsi="Book Antiqua"/>
          <w:b/>
          <w:bCs/>
          <w:color w:val="000000"/>
        </w:rPr>
        <w:t xml:space="preserve"> of </w:t>
      </w:r>
      <w:bookmarkStart w:id="71" w:name="OLE_LINK75"/>
      <w:bookmarkStart w:id="72" w:name="OLE_LINK76"/>
      <w:proofErr w:type="spellStart"/>
      <w:r w:rsidRPr="00815B74">
        <w:rPr>
          <w:rFonts w:ascii="Book Antiqua" w:hAnsi="Book Antiqua"/>
          <w:b/>
          <w:bCs/>
          <w:color w:val="000000"/>
        </w:rPr>
        <w:t>transducin</w:t>
      </w:r>
      <w:proofErr w:type="spellEnd"/>
      <w:r w:rsidRPr="00815B74">
        <w:rPr>
          <w:rFonts w:ascii="Book Antiqua" w:hAnsi="Book Antiqua"/>
          <w:b/>
          <w:bCs/>
          <w:color w:val="000000"/>
        </w:rPr>
        <w:t xml:space="preserve"> (β)-like 1 X-linked receptor 1</w:t>
      </w:r>
      <w:bookmarkEnd w:id="71"/>
      <w:bookmarkEnd w:id="72"/>
      <w:r w:rsidRPr="00815B74">
        <w:rPr>
          <w:rFonts w:ascii="Book Antiqua" w:hAnsi="Book Antiqua"/>
          <w:b/>
          <w:bCs/>
          <w:color w:val="000000"/>
        </w:rPr>
        <w:t xml:space="preserve"> expression in patients with </w:t>
      </w:r>
      <w:bookmarkStart w:id="73" w:name="OLE_LINK49"/>
      <w:bookmarkStart w:id="74" w:name="OLE_LINK50"/>
      <w:r w:rsidRPr="00815B74">
        <w:rPr>
          <w:rFonts w:ascii="Book Antiqua" w:hAnsi="Book Antiqua"/>
          <w:b/>
          <w:bCs/>
          <w:color w:val="000000"/>
        </w:rPr>
        <w:t>pancreatic ductal adenocarcinoma</w:t>
      </w:r>
      <w:bookmarkEnd w:id="73"/>
      <w:bookmarkEnd w:id="74"/>
      <w:r w:rsidRPr="00815B74">
        <w:rPr>
          <w:rFonts w:ascii="Book Antiqua" w:hAnsi="Book Antiqua"/>
          <w:b/>
          <w:bCs/>
          <w:color w:val="000000"/>
        </w:rPr>
        <w:t>.</w:t>
      </w:r>
      <w:r w:rsidRPr="00815B74">
        <w:rPr>
          <w:rFonts w:ascii="Book Antiqua" w:hAnsi="Book Antiqua"/>
          <w:color w:val="000000"/>
        </w:rPr>
        <w:t xml:space="preserve"> A: Kaplan–Meier plots of overall survival of </w:t>
      </w:r>
      <w:bookmarkStart w:id="75" w:name="OLE_LINK60"/>
      <w:bookmarkStart w:id="76" w:name="OLE_LINK66"/>
      <w:r w:rsidRPr="00815B74">
        <w:rPr>
          <w:rFonts w:ascii="Book Antiqua" w:hAnsi="Book Antiqua"/>
          <w:color w:val="000000"/>
        </w:rPr>
        <w:t>pancreatic ductal adenocarcinoma (PDAC)</w:t>
      </w:r>
      <w:bookmarkEnd w:id="75"/>
      <w:bookmarkEnd w:id="76"/>
      <w:r w:rsidRPr="00815B74">
        <w:rPr>
          <w:rFonts w:ascii="Book Antiqua" w:hAnsi="Book Antiqua"/>
          <w:color w:val="000000"/>
        </w:rPr>
        <w:t xml:space="preserve"> patients with positive and negative </w:t>
      </w:r>
      <w:bookmarkStart w:id="77" w:name="OLE_LINK53"/>
      <w:bookmarkStart w:id="78" w:name="OLE_LINK54"/>
      <w:bookmarkStart w:id="79" w:name="OLE_LINK59"/>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(TBL1XR1)</w:t>
      </w:r>
      <w:bookmarkEnd w:id="77"/>
      <w:bookmarkEnd w:id="78"/>
      <w:bookmarkEnd w:id="79"/>
      <w:r w:rsidRPr="00815B74">
        <w:rPr>
          <w:rFonts w:ascii="Book Antiqua" w:hAnsi="Book Antiqua"/>
          <w:color w:val="000000"/>
        </w:rPr>
        <w:t xml:space="preserve"> expression scores; B: Negative and positive staining of TBL1XR1 in PDAC; C: The average staining scores of TBL1XR1 expression in PDAC tissues and adjacent tissues. </w:t>
      </w:r>
      <w:proofErr w:type="spellStart"/>
      <w:proofErr w:type="gramStart"/>
      <w:r w:rsidRPr="00815B74">
        <w:rPr>
          <w:rFonts w:ascii="Book Antiqua" w:hAnsi="Book Antiqua"/>
          <w:color w:val="000000"/>
          <w:vertAlign w:val="superscript"/>
        </w:rPr>
        <w:t>c</w:t>
      </w:r>
      <w:r w:rsidRPr="00815B74">
        <w:rPr>
          <w:rFonts w:ascii="Book Antiqua" w:hAnsi="Book Antiqua"/>
          <w:i/>
          <w:iCs/>
          <w:color w:val="000000"/>
        </w:rPr>
        <w:t>P</w:t>
      </w:r>
      <w:proofErr w:type="spellEnd"/>
      <w:proofErr w:type="gramEnd"/>
      <w:r w:rsidRPr="00815B74">
        <w:rPr>
          <w:rFonts w:ascii="Book Antiqua" w:hAnsi="Book Antiqua"/>
          <w:i/>
          <w:iCs/>
          <w:color w:val="000000"/>
        </w:rPr>
        <w:t xml:space="preserve"> </w:t>
      </w:r>
      <w:r w:rsidRPr="00815B74">
        <w:rPr>
          <w:rFonts w:ascii="Book Antiqua" w:hAnsi="Book Antiqua"/>
          <w:color w:val="000000"/>
        </w:rPr>
        <w:t xml:space="preserve">&lt; 0.001. Scale bar, 100 µm. TBL1XR1: </w:t>
      </w:r>
      <w:bookmarkStart w:id="80" w:name="OLE_LINK51"/>
      <w:bookmarkStart w:id="81" w:name="OLE_LINK52"/>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w:t>
      </w:r>
      <w:bookmarkEnd w:id="80"/>
      <w:bookmarkEnd w:id="81"/>
      <w:r w:rsidRPr="00815B74">
        <w:rPr>
          <w:rFonts w:ascii="Book Antiqua" w:hAnsi="Book Antiqua"/>
          <w:color w:val="000000"/>
        </w:rPr>
        <w:t>.</w:t>
      </w:r>
    </w:p>
    <w:p w:rsidR="00D059D8" w:rsidRPr="00815B74" w:rsidRDefault="002D37CA">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noProof/>
          <w:color w:val="000000"/>
        </w:rPr>
        <w:lastRenderedPageBreak/>
        <w:drawing>
          <wp:inline distT="0" distB="0" distL="0" distR="0" wp14:anchorId="54370B54" wp14:editId="5EBA8036">
            <wp:extent cx="5232400" cy="37338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400" cy="3733800"/>
                    </a:xfrm>
                    <a:prstGeom prst="rect">
                      <a:avLst/>
                    </a:prstGeom>
                    <a:noFill/>
                    <a:ln>
                      <a:noFill/>
                    </a:ln>
                  </pic:spPr>
                </pic:pic>
              </a:graphicData>
            </a:graphic>
          </wp:inline>
        </w:drawing>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Figure 2 Enhanced </w:t>
      </w:r>
      <w:proofErr w:type="gramStart"/>
      <w:r w:rsidRPr="00815B74">
        <w:rPr>
          <w:rFonts w:ascii="Book Antiqua" w:hAnsi="Book Antiqua"/>
          <w:b/>
          <w:bCs/>
          <w:color w:val="000000"/>
        </w:rPr>
        <w:t>expression</w:t>
      </w:r>
      <w:proofErr w:type="gramEnd"/>
      <w:r w:rsidRPr="00815B74">
        <w:rPr>
          <w:rFonts w:ascii="Book Antiqua" w:hAnsi="Book Antiqua"/>
          <w:b/>
          <w:bCs/>
          <w:color w:val="000000"/>
        </w:rPr>
        <w:t xml:space="preserve"> of </w:t>
      </w:r>
      <w:bookmarkStart w:id="82" w:name="OLE_LINK124"/>
      <w:bookmarkStart w:id="83" w:name="OLE_LINK125"/>
      <w:proofErr w:type="spellStart"/>
      <w:r w:rsidRPr="00815B74">
        <w:rPr>
          <w:rFonts w:ascii="Book Antiqua" w:hAnsi="Book Antiqua"/>
          <w:b/>
          <w:bCs/>
          <w:color w:val="000000"/>
        </w:rPr>
        <w:t>transducin</w:t>
      </w:r>
      <w:proofErr w:type="spellEnd"/>
      <w:r w:rsidRPr="00815B74">
        <w:rPr>
          <w:rFonts w:ascii="Book Antiqua" w:hAnsi="Book Antiqua"/>
          <w:b/>
          <w:bCs/>
          <w:color w:val="000000"/>
        </w:rPr>
        <w:t xml:space="preserve"> (β)-like 1 X-linked receptor 1 </w:t>
      </w:r>
      <w:bookmarkEnd w:id="82"/>
      <w:bookmarkEnd w:id="83"/>
      <w:r w:rsidRPr="00815B74">
        <w:rPr>
          <w:rFonts w:ascii="Book Antiqua" w:hAnsi="Book Antiqua"/>
          <w:b/>
          <w:bCs/>
          <w:color w:val="000000"/>
        </w:rPr>
        <w:t xml:space="preserve">in pancreatic ductal adenocarcinoma tissues and cell lines. </w:t>
      </w:r>
      <w:r w:rsidRPr="00815B74">
        <w:rPr>
          <w:rFonts w:ascii="Book Antiqua" w:hAnsi="Book Antiqua"/>
          <w:color w:val="000000"/>
        </w:rPr>
        <w:t xml:space="preserve">A and B: The mRNA and protein expression of </w:t>
      </w:r>
      <w:bookmarkStart w:id="84" w:name="OLE_LINK55"/>
      <w:bookmarkStart w:id="85" w:name="OLE_LINK56"/>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w:t>
      </w:r>
      <w:bookmarkEnd w:id="84"/>
      <w:bookmarkEnd w:id="85"/>
      <w:r w:rsidRPr="00815B74">
        <w:rPr>
          <w:rFonts w:ascii="Book Antiqua" w:hAnsi="Book Antiqua"/>
          <w:color w:val="000000"/>
        </w:rPr>
        <w:t xml:space="preserve">(TBL1XR1) in pancreatic ductal adenocarcinoma tissues and adjacent </w:t>
      </w:r>
      <w:proofErr w:type="spellStart"/>
      <w:r w:rsidRPr="00815B74">
        <w:rPr>
          <w:rFonts w:ascii="Book Antiqua" w:hAnsi="Book Antiqua"/>
          <w:color w:val="000000"/>
        </w:rPr>
        <w:t>nontumor</w:t>
      </w:r>
      <w:proofErr w:type="spellEnd"/>
      <w:r w:rsidRPr="00815B74">
        <w:rPr>
          <w:rFonts w:ascii="Book Antiqua" w:hAnsi="Book Antiqua"/>
          <w:color w:val="000000"/>
        </w:rPr>
        <w:t xml:space="preserve"> tissues; C and D: The mRNA and protein expression of TBL1XR1 in pancreatic ductal adenocarcinoma cells. GAPDH: Glyceraldehyde-3-phosphate dehydrogenase; TBL1XR1: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w:t>
      </w:r>
    </w:p>
    <w:p w:rsidR="00D059D8" w:rsidRPr="00815B74" w:rsidRDefault="002D37CA">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noProof/>
          <w:color w:val="000000"/>
        </w:rPr>
        <w:lastRenderedPageBreak/>
        <w:drawing>
          <wp:inline distT="0" distB="0" distL="0" distR="0" wp14:anchorId="33D58AA2" wp14:editId="22343BB9">
            <wp:extent cx="5238750" cy="5816600"/>
            <wp:effectExtent l="0" t="0" r="0" b="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5816600"/>
                    </a:xfrm>
                    <a:prstGeom prst="rect">
                      <a:avLst/>
                    </a:prstGeom>
                    <a:noFill/>
                    <a:ln>
                      <a:noFill/>
                    </a:ln>
                  </pic:spPr>
                </pic:pic>
              </a:graphicData>
            </a:graphic>
          </wp:inline>
        </w:drawing>
      </w:r>
    </w:p>
    <w:p w:rsidR="00D059D8" w:rsidRPr="00815B74" w:rsidRDefault="00D059D8">
      <w:pPr>
        <w:adjustRightInd w:val="0"/>
        <w:snapToGrid w:val="0"/>
        <w:spacing w:line="360" w:lineRule="auto"/>
        <w:jc w:val="both"/>
        <w:rPr>
          <w:rFonts w:ascii="Book Antiqua" w:hAnsi="Book Antiqua"/>
          <w:color w:val="FF0000"/>
        </w:rPr>
      </w:pPr>
      <w:r w:rsidRPr="00815B74">
        <w:rPr>
          <w:rFonts w:ascii="Book Antiqua" w:hAnsi="Book Antiqua"/>
          <w:b/>
          <w:bCs/>
          <w:color w:val="000000"/>
        </w:rPr>
        <w:t>Figure 3</w:t>
      </w:r>
      <w:r w:rsidRPr="00815B74">
        <w:rPr>
          <w:rStyle w:val="a5"/>
          <w:rFonts w:ascii="Book Antiqua" w:hAnsi="Book Antiqua"/>
          <w:b/>
          <w:bCs/>
          <w:color w:val="000000"/>
          <w:sz w:val="24"/>
          <w:szCs w:val="24"/>
        </w:rPr>
        <w:t xml:space="preserve"> </w:t>
      </w:r>
      <w:proofErr w:type="spellStart"/>
      <w:r w:rsidRPr="00815B74">
        <w:rPr>
          <w:rFonts w:ascii="Book Antiqua" w:hAnsi="Book Antiqua"/>
          <w:b/>
          <w:bCs/>
          <w:color w:val="000000"/>
        </w:rPr>
        <w:t>Transducin</w:t>
      </w:r>
      <w:proofErr w:type="spellEnd"/>
      <w:r w:rsidRPr="00815B74">
        <w:rPr>
          <w:rFonts w:ascii="Book Antiqua" w:hAnsi="Book Antiqua"/>
          <w:b/>
          <w:bCs/>
          <w:color w:val="000000"/>
        </w:rPr>
        <w:t xml:space="preserve"> (β)-like 1 X-linked receptor 1 exhibited oncogenic properties in pancreatic ductal adenocarcinoma</w:t>
      </w:r>
      <w:r w:rsidRPr="00815B74">
        <w:rPr>
          <w:rFonts w:ascii="Book Antiqua" w:hAnsi="Book Antiqua" w:hint="eastAsia"/>
          <w:b/>
          <w:bCs/>
          <w:color w:val="000000"/>
        </w:rPr>
        <w:t xml:space="preserve"> </w:t>
      </w:r>
      <w:r w:rsidRPr="00815B74">
        <w:rPr>
          <w:rFonts w:ascii="Book Antiqua" w:hAnsi="Book Antiqua"/>
          <w:b/>
          <w:bCs/>
          <w:color w:val="000000"/>
        </w:rPr>
        <w:t xml:space="preserve">cell lines. </w:t>
      </w:r>
      <w:r w:rsidRPr="00815B74">
        <w:rPr>
          <w:rFonts w:ascii="Book Antiqua" w:hAnsi="Book Antiqua"/>
          <w:color w:val="000000"/>
        </w:rPr>
        <w:t xml:space="preserve">A: The transfection efficiency of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(TBL1XR1) in pancreatic ductal adenocarcinoma (PDAC) cells by quantitative real-time PCR; B: The transfection efficiency of TBL1XR1 in PDAC cells by western blots; C and D: Cellular proliferation of </w:t>
      </w:r>
      <w:proofErr w:type="spellStart"/>
      <w:r w:rsidRPr="00815B74">
        <w:rPr>
          <w:rFonts w:ascii="Book Antiqua" w:hAnsi="Book Antiqua"/>
          <w:color w:val="000000"/>
        </w:rPr>
        <w:t>untransfected</w:t>
      </w:r>
      <w:proofErr w:type="spellEnd"/>
      <w:r w:rsidRPr="00815B74">
        <w:rPr>
          <w:rFonts w:ascii="Book Antiqua" w:hAnsi="Book Antiqua"/>
          <w:color w:val="000000"/>
        </w:rPr>
        <w:t xml:space="preserve"> or transfected Aspc-1 and Panc1 cells was measured using a CCK8 assay daily for 5 d; E: Aspc-1 and Panc1 cells were seeded at 500 cells/well, and the cells were allowed to form colonies. Colony numbers were counted and recorded; F: Mice were treated with </w:t>
      </w:r>
      <w:proofErr w:type="spellStart"/>
      <w:r w:rsidRPr="00815B74">
        <w:rPr>
          <w:rFonts w:ascii="Book Antiqua" w:hAnsi="Book Antiqua"/>
          <w:color w:val="000000"/>
        </w:rPr>
        <w:t>Lv-shCTRL</w:t>
      </w:r>
      <w:proofErr w:type="spellEnd"/>
      <w:r w:rsidRPr="00815B74">
        <w:rPr>
          <w:rFonts w:ascii="Book Antiqua" w:hAnsi="Book Antiqua"/>
          <w:color w:val="000000"/>
        </w:rPr>
        <w:t xml:space="preserve"> and Lv-shTBL1XR1 PDAC cells; G: Tumor volumes </w:t>
      </w:r>
      <w:r w:rsidRPr="00815B74">
        <w:rPr>
          <w:rFonts w:ascii="Book Antiqua" w:hAnsi="Book Antiqua"/>
          <w:color w:val="000000"/>
        </w:rPr>
        <w:lastRenderedPageBreak/>
        <w:t>and weights were measured.</w:t>
      </w:r>
      <w:r w:rsidRPr="00815B74">
        <w:rPr>
          <w:rFonts w:ascii="Book Antiqua" w:hAnsi="Book Antiqua"/>
          <w:color w:val="000000"/>
          <w:vertAlign w:val="superscript"/>
        </w:rPr>
        <w:t xml:space="preserve"> </w:t>
      </w:r>
      <w:proofErr w:type="spellStart"/>
      <w:proofErr w:type="gramStart"/>
      <w:r w:rsidRPr="00815B74">
        <w:rPr>
          <w:rFonts w:ascii="Book Antiqua" w:hAnsi="Book Antiqua"/>
          <w:color w:val="000000"/>
          <w:vertAlign w:val="superscript"/>
        </w:rPr>
        <w:t>a</w:t>
      </w:r>
      <w:r w:rsidRPr="00815B74">
        <w:rPr>
          <w:rFonts w:ascii="Book Antiqua" w:hAnsi="Book Antiqua"/>
          <w:i/>
          <w:iCs/>
          <w:color w:val="000000"/>
        </w:rPr>
        <w:t>P</w:t>
      </w:r>
      <w:proofErr w:type="spellEnd"/>
      <w:proofErr w:type="gramEnd"/>
      <w:r w:rsidRPr="00815B74">
        <w:rPr>
          <w:rFonts w:ascii="Book Antiqua" w:hAnsi="Book Antiqua"/>
          <w:i/>
          <w:iCs/>
          <w:color w:val="000000"/>
        </w:rPr>
        <w:t xml:space="preserve"> </w:t>
      </w:r>
      <w:r w:rsidRPr="00815B74">
        <w:rPr>
          <w:rFonts w:ascii="Book Antiqua" w:hAnsi="Book Antiqua"/>
          <w:color w:val="000000"/>
        </w:rPr>
        <w:t>&lt; 0.05,</w:t>
      </w:r>
      <w:r w:rsidRPr="00815B74">
        <w:rPr>
          <w:rFonts w:ascii="Book Antiqua" w:hAnsi="Book Antiqua"/>
          <w:color w:val="000000"/>
          <w:vertAlign w:val="superscript"/>
        </w:rPr>
        <w:t xml:space="preserve"> </w:t>
      </w:r>
      <w:proofErr w:type="spellStart"/>
      <w:r w:rsidRPr="00815B74">
        <w:rPr>
          <w:rFonts w:ascii="Book Antiqua" w:hAnsi="Book Antiqua"/>
          <w:color w:val="000000"/>
          <w:vertAlign w:val="superscript"/>
        </w:rPr>
        <w:t>b</w:t>
      </w:r>
      <w:r w:rsidRPr="00815B74">
        <w:rPr>
          <w:rFonts w:ascii="Book Antiqua" w:hAnsi="Book Antiqua"/>
          <w:i/>
          <w:iCs/>
          <w:color w:val="000000"/>
        </w:rPr>
        <w:t>P</w:t>
      </w:r>
      <w:proofErr w:type="spellEnd"/>
      <w:r w:rsidRPr="00815B74">
        <w:rPr>
          <w:rFonts w:ascii="Book Antiqua" w:hAnsi="Book Antiqua"/>
          <w:i/>
          <w:iCs/>
          <w:color w:val="000000"/>
        </w:rPr>
        <w:t xml:space="preserve"> </w:t>
      </w:r>
      <w:r w:rsidRPr="00815B74">
        <w:rPr>
          <w:rFonts w:ascii="Book Antiqua" w:hAnsi="Book Antiqua"/>
          <w:color w:val="000000"/>
        </w:rPr>
        <w:t>&lt; 0.01,</w:t>
      </w:r>
      <w:r w:rsidRPr="00815B74">
        <w:rPr>
          <w:rFonts w:ascii="Book Antiqua" w:hAnsi="Book Antiqua"/>
          <w:color w:val="000000"/>
          <w:vertAlign w:val="superscript"/>
        </w:rPr>
        <w:t xml:space="preserve"> </w:t>
      </w:r>
      <w:proofErr w:type="spellStart"/>
      <w:r w:rsidRPr="00815B74">
        <w:rPr>
          <w:rFonts w:ascii="Book Antiqua" w:hAnsi="Book Antiqua"/>
          <w:color w:val="000000"/>
          <w:vertAlign w:val="superscript"/>
        </w:rPr>
        <w:t>c</w:t>
      </w:r>
      <w:r w:rsidRPr="00815B74">
        <w:rPr>
          <w:rFonts w:ascii="Book Antiqua" w:hAnsi="Book Antiqua"/>
          <w:i/>
          <w:iCs/>
          <w:color w:val="000000"/>
        </w:rPr>
        <w:t>P</w:t>
      </w:r>
      <w:proofErr w:type="spellEnd"/>
      <w:r w:rsidRPr="00815B74">
        <w:rPr>
          <w:rFonts w:ascii="Book Antiqua" w:hAnsi="Book Antiqua"/>
          <w:i/>
          <w:iCs/>
          <w:color w:val="000000"/>
        </w:rPr>
        <w:t xml:space="preserve"> </w:t>
      </w:r>
      <w:r w:rsidRPr="00815B74">
        <w:rPr>
          <w:rFonts w:ascii="Book Antiqua" w:hAnsi="Book Antiqua"/>
          <w:color w:val="000000"/>
        </w:rPr>
        <w:t xml:space="preserve">&lt; 0.001. </w:t>
      </w:r>
      <w:bookmarkStart w:id="86" w:name="OLE_LINK126"/>
      <w:bookmarkStart w:id="87" w:name="OLE_LINK127"/>
      <w:r w:rsidRPr="00815B74">
        <w:rPr>
          <w:rFonts w:ascii="Book Antiqua" w:hAnsi="Book Antiqua"/>
          <w:color w:val="000000"/>
        </w:rPr>
        <w:t xml:space="preserve">GAPDH: Glyceraldehyde-3-phosphate dehydrogenase; TBL1XR1: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CTRL: Control;</w:t>
      </w:r>
      <w:r w:rsidRPr="00815B74">
        <w:rPr>
          <w:rFonts w:ascii="Book Antiqua" w:hAnsi="Book Antiqua" w:hint="eastAsia"/>
          <w:color w:val="000000"/>
        </w:rPr>
        <w:t xml:space="preserve"> </w:t>
      </w:r>
      <w:r w:rsidRPr="00815B74">
        <w:rPr>
          <w:rFonts w:ascii="Book Antiqua" w:hAnsi="Book Antiqua"/>
          <w:color w:val="000000"/>
        </w:rPr>
        <w:t>Si-CTRL: CTRL siRNA;</w:t>
      </w:r>
      <w:r w:rsidRPr="00815B74">
        <w:rPr>
          <w:rFonts w:ascii="Book Antiqua" w:hAnsi="Book Antiqua" w:hint="eastAsia"/>
          <w:color w:val="000000"/>
        </w:rPr>
        <w:t xml:space="preserve"> </w:t>
      </w:r>
      <w:r w:rsidRPr="00815B74">
        <w:rPr>
          <w:rFonts w:ascii="Book Antiqua" w:hAnsi="Book Antiqua"/>
          <w:color w:val="000000"/>
        </w:rPr>
        <w:t>Si-TBL1XR1: TBL1XR1 siRNA;</w:t>
      </w:r>
      <w:r w:rsidRPr="00815B74">
        <w:rPr>
          <w:rFonts w:ascii="Book Antiqua" w:hAnsi="Book Antiqua" w:hint="eastAsia"/>
          <w:color w:val="000000"/>
        </w:rPr>
        <w:t xml:space="preserve"> </w:t>
      </w:r>
      <w:r w:rsidRPr="00815B74">
        <w:rPr>
          <w:rFonts w:ascii="Book Antiqua" w:hAnsi="Book Antiqua"/>
          <w:color w:val="000000"/>
        </w:rPr>
        <w:t>ShRNA: Short hairpin RNA;</w:t>
      </w:r>
      <w:r w:rsidRPr="00815B74">
        <w:rPr>
          <w:rFonts w:ascii="Book Antiqua" w:hAnsi="Book Antiqua" w:hint="eastAsia"/>
          <w:color w:val="000000"/>
        </w:rPr>
        <w:t xml:space="preserve"> </w:t>
      </w:r>
      <w:proofErr w:type="spellStart"/>
      <w:r w:rsidRPr="00815B74">
        <w:rPr>
          <w:rFonts w:ascii="Book Antiqua" w:hAnsi="Book Antiqua"/>
          <w:color w:val="000000"/>
        </w:rPr>
        <w:t>ShCTRL</w:t>
      </w:r>
      <w:proofErr w:type="spellEnd"/>
      <w:r w:rsidRPr="00815B74">
        <w:rPr>
          <w:rFonts w:ascii="Book Antiqua" w:hAnsi="Book Antiqua"/>
          <w:color w:val="000000"/>
        </w:rPr>
        <w:t>: CTRL shRNA;</w:t>
      </w:r>
      <w:r w:rsidRPr="00815B74">
        <w:rPr>
          <w:rFonts w:ascii="Book Antiqua" w:hAnsi="Book Antiqua" w:hint="eastAsia"/>
          <w:color w:val="000000"/>
        </w:rPr>
        <w:t xml:space="preserve"> </w:t>
      </w:r>
      <w:r w:rsidRPr="00815B74">
        <w:rPr>
          <w:rFonts w:ascii="Book Antiqua" w:hAnsi="Book Antiqua"/>
          <w:color w:val="000000"/>
        </w:rPr>
        <w:t>ShTBL1XR1: TBL1XR1 shRNA.</w:t>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color w:val="000000"/>
        </w:rPr>
        <w:br w:type="page"/>
      </w:r>
      <w:bookmarkEnd w:id="86"/>
      <w:bookmarkEnd w:id="87"/>
      <w:r w:rsidR="002D37CA" w:rsidRPr="00815B74">
        <w:rPr>
          <w:rFonts w:ascii="Book Antiqua" w:hAnsi="Book Antiqua"/>
          <w:noProof/>
          <w:color w:val="000000"/>
        </w:rPr>
        <w:lastRenderedPageBreak/>
        <w:drawing>
          <wp:inline distT="0" distB="0" distL="0" distR="0" wp14:anchorId="48E3FE00" wp14:editId="6D941F03">
            <wp:extent cx="5238750" cy="432435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4324350"/>
                    </a:xfrm>
                    <a:prstGeom prst="rect">
                      <a:avLst/>
                    </a:prstGeom>
                    <a:noFill/>
                    <a:ln>
                      <a:noFill/>
                    </a:ln>
                  </pic:spPr>
                </pic:pic>
              </a:graphicData>
            </a:graphic>
          </wp:inline>
        </w:drawing>
      </w:r>
    </w:p>
    <w:p w:rsidR="00D059D8" w:rsidRPr="00815B74" w:rsidRDefault="00D059D8">
      <w:pPr>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Figure 4 Effects of </w:t>
      </w:r>
      <w:proofErr w:type="spellStart"/>
      <w:r w:rsidRPr="00815B74">
        <w:rPr>
          <w:rFonts w:ascii="Book Antiqua" w:hAnsi="Book Antiqua"/>
          <w:b/>
          <w:bCs/>
          <w:color w:val="000000"/>
        </w:rPr>
        <w:t>transducin</w:t>
      </w:r>
      <w:proofErr w:type="spellEnd"/>
      <w:r w:rsidRPr="00815B74">
        <w:rPr>
          <w:rFonts w:ascii="Book Antiqua" w:hAnsi="Book Antiqua"/>
          <w:b/>
          <w:bCs/>
          <w:color w:val="000000"/>
        </w:rPr>
        <w:t xml:space="preserve"> (β)-like 1 X-linked receptor 1 silencing on cell cycle progression and apoptosis. </w:t>
      </w:r>
      <w:r w:rsidRPr="00815B74">
        <w:rPr>
          <w:rFonts w:ascii="Book Antiqua" w:hAnsi="Book Antiqua"/>
          <w:color w:val="000000"/>
        </w:rPr>
        <w:t xml:space="preserve">A: The cell cycle phases of treated cells were evaluated by flow cytometry after transfection for 48 h. The X-axis indicates the different periodic distribution, and the y-axis indicates the number of cells. B: The protein levels of cell cycle regulators, such as CDK2, CDC25A and cyclinD1, were examined by western blotting analysis. C: </w:t>
      </w:r>
      <w:proofErr w:type="spellStart"/>
      <w:r w:rsidRPr="00815B74">
        <w:rPr>
          <w:rFonts w:ascii="Book Antiqua" w:hAnsi="Book Antiqua"/>
          <w:color w:val="000000"/>
        </w:rPr>
        <w:t>Untransfected</w:t>
      </w:r>
      <w:proofErr w:type="spellEnd"/>
      <w:r w:rsidRPr="00815B74">
        <w:rPr>
          <w:rFonts w:ascii="Book Antiqua" w:hAnsi="Book Antiqua"/>
          <w:color w:val="000000"/>
        </w:rPr>
        <w:t xml:space="preserve"> and transfected</w:t>
      </w:r>
      <w:bookmarkStart w:id="88" w:name="OLE_LINK12"/>
      <w:bookmarkStart w:id="89" w:name="OLE_LINK18"/>
      <w:r w:rsidRPr="00815B74">
        <w:rPr>
          <w:rFonts w:ascii="Book Antiqua" w:hAnsi="Book Antiqua"/>
          <w:color w:val="000000"/>
        </w:rPr>
        <w:t xml:space="preserve"> pancreatic ductal adenocarcinoma</w:t>
      </w:r>
      <w:bookmarkEnd w:id="88"/>
      <w:bookmarkEnd w:id="89"/>
      <w:r w:rsidRPr="00815B74">
        <w:rPr>
          <w:rFonts w:ascii="Book Antiqua" w:hAnsi="Book Antiqua"/>
          <w:color w:val="000000"/>
        </w:rPr>
        <w:t xml:space="preserve"> cells were analyzed by flow cytometry with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V–fluorescein 5-isothiocyanate/</w:t>
      </w:r>
      <w:proofErr w:type="spellStart"/>
      <w:r w:rsidRPr="00815B74">
        <w:rPr>
          <w:rFonts w:ascii="Book Antiqua" w:hAnsi="Book Antiqua"/>
          <w:color w:val="000000"/>
        </w:rPr>
        <w:t>propidium</w:t>
      </w:r>
      <w:proofErr w:type="spellEnd"/>
      <w:r w:rsidRPr="00815B74">
        <w:rPr>
          <w:rFonts w:ascii="Book Antiqua" w:hAnsi="Book Antiqua"/>
          <w:color w:val="000000"/>
        </w:rPr>
        <w:t xml:space="preserve"> iodide (PI) staining. The X-axis indicates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V-fluorescein 5-isothiocyanate, and the Y-axis indicates </w:t>
      </w:r>
      <w:bookmarkStart w:id="90" w:name="OLE_LINK67"/>
      <w:bookmarkStart w:id="91" w:name="OLE_LINK68"/>
      <w:r w:rsidRPr="00815B74">
        <w:rPr>
          <w:rFonts w:ascii="Book Antiqua" w:hAnsi="Book Antiqua"/>
          <w:color w:val="000000"/>
        </w:rPr>
        <w:t>PI</w:t>
      </w:r>
      <w:bookmarkEnd w:id="90"/>
      <w:bookmarkEnd w:id="91"/>
      <w:r w:rsidRPr="00815B74">
        <w:rPr>
          <w:rFonts w:ascii="Book Antiqua" w:hAnsi="Book Antiqua"/>
          <w:color w:val="000000"/>
        </w:rPr>
        <w:t xml:space="preserve"> staining.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V/PI+ represents necrotic cells,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V+/PI represents early apoptotic cells, and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V+/PI+ represents late apoptotic cells. D: The protein levels of </w:t>
      </w:r>
      <w:proofErr w:type="gramStart"/>
      <w:r w:rsidRPr="00815B74">
        <w:rPr>
          <w:rFonts w:ascii="Book Antiqua" w:hAnsi="Book Antiqua"/>
          <w:color w:val="000000"/>
        </w:rPr>
        <w:t>bad,</w:t>
      </w:r>
      <w:proofErr w:type="gramEnd"/>
      <w:r w:rsidRPr="00815B74">
        <w:rPr>
          <w:rFonts w:ascii="Book Antiqua" w:hAnsi="Book Antiqua"/>
          <w:color w:val="000000"/>
        </w:rPr>
        <w:t xml:space="preserve"> </w:t>
      </w:r>
      <w:proofErr w:type="spellStart"/>
      <w:r w:rsidRPr="00815B74">
        <w:rPr>
          <w:rFonts w:ascii="Book Antiqua" w:hAnsi="Book Antiqua"/>
          <w:color w:val="000000"/>
        </w:rPr>
        <w:t>bax</w:t>
      </w:r>
      <w:proofErr w:type="spellEnd"/>
      <w:r w:rsidRPr="00815B74">
        <w:rPr>
          <w:rFonts w:ascii="Book Antiqua" w:hAnsi="Book Antiqua"/>
          <w:color w:val="000000"/>
        </w:rPr>
        <w:t xml:space="preserve"> and bcl-2 were examined by western blotting analysis. </w:t>
      </w:r>
      <w:proofErr w:type="spellStart"/>
      <w:proofErr w:type="gramStart"/>
      <w:r w:rsidRPr="00815B74">
        <w:rPr>
          <w:rFonts w:ascii="Book Antiqua" w:hAnsi="Book Antiqua"/>
          <w:color w:val="000000"/>
          <w:vertAlign w:val="superscript"/>
        </w:rPr>
        <w:t>a</w:t>
      </w:r>
      <w:bookmarkStart w:id="92" w:name="OLE_LINK440"/>
      <w:bookmarkStart w:id="93" w:name="OLE_LINK441"/>
      <w:r w:rsidRPr="00815B74">
        <w:rPr>
          <w:rFonts w:ascii="Book Antiqua" w:hAnsi="Book Antiqua"/>
          <w:i/>
          <w:iCs/>
          <w:color w:val="000000"/>
        </w:rPr>
        <w:t>P</w:t>
      </w:r>
      <w:bookmarkEnd w:id="92"/>
      <w:bookmarkEnd w:id="93"/>
      <w:proofErr w:type="spellEnd"/>
      <w:proofErr w:type="gramEnd"/>
      <w:r w:rsidRPr="00815B74">
        <w:rPr>
          <w:rFonts w:ascii="Book Antiqua" w:hAnsi="Book Antiqua"/>
          <w:color w:val="000000"/>
        </w:rPr>
        <w:t xml:space="preserve"> &lt; 0.05, </w:t>
      </w:r>
      <w:proofErr w:type="spellStart"/>
      <w:r w:rsidRPr="00815B74">
        <w:rPr>
          <w:rFonts w:ascii="Book Antiqua" w:hAnsi="Book Antiqua"/>
          <w:color w:val="000000"/>
          <w:vertAlign w:val="superscript"/>
        </w:rPr>
        <w:t>b</w:t>
      </w:r>
      <w:r w:rsidRPr="00815B74">
        <w:rPr>
          <w:rFonts w:ascii="Book Antiqua" w:hAnsi="Book Antiqua"/>
          <w:i/>
          <w:iCs/>
          <w:color w:val="000000"/>
        </w:rPr>
        <w:t>P</w:t>
      </w:r>
      <w:proofErr w:type="spellEnd"/>
      <w:r w:rsidRPr="00815B74">
        <w:rPr>
          <w:rFonts w:ascii="Book Antiqua" w:hAnsi="Book Antiqua"/>
          <w:color w:val="000000"/>
        </w:rPr>
        <w:t xml:space="preserve"> &lt; 0.01, </w:t>
      </w:r>
      <w:proofErr w:type="spellStart"/>
      <w:r w:rsidRPr="00815B74">
        <w:rPr>
          <w:rFonts w:ascii="Book Antiqua" w:hAnsi="Book Antiqua"/>
          <w:color w:val="000000"/>
          <w:vertAlign w:val="superscript"/>
        </w:rPr>
        <w:t>c</w:t>
      </w:r>
      <w:r w:rsidRPr="00815B74">
        <w:rPr>
          <w:rFonts w:ascii="Book Antiqua" w:hAnsi="Book Antiqua"/>
          <w:i/>
          <w:iCs/>
          <w:color w:val="000000"/>
        </w:rPr>
        <w:t>P</w:t>
      </w:r>
      <w:proofErr w:type="spellEnd"/>
      <w:r w:rsidRPr="00815B74">
        <w:rPr>
          <w:rFonts w:ascii="Book Antiqua" w:hAnsi="Book Antiqua"/>
          <w:color w:val="000000"/>
        </w:rPr>
        <w:t xml:space="preserve"> &lt; 0.001. </w:t>
      </w:r>
      <w:bookmarkStart w:id="94" w:name="OLE_LINK130"/>
      <w:bookmarkStart w:id="95" w:name="OLE_LINK131"/>
      <w:bookmarkStart w:id="96" w:name="OLE_LINK104"/>
      <w:bookmarkStart w:id="97" w:name="OLE_LINK105"/>
      <w:r w:rsidRPr="00815B74">
        <w:rPr>
          <w:rFonts w:ascii="Book Antiqua" w:hAnsi="Book Antiqua"/>
          <w:color w:val="000000"/>
        </w:rPr>
        <w:t xml:space="preserve">GAPDH: Glyceraldehyde-3-phosphate dehydrogenase; TBL1XR1: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w:t>
      </w:r>
      <w:bookmarkEnd w:id="94"/>
      <w:bookmarkEnd w:id="95"/>
      <w:bookmarkEnd w:id="96"/>
      <w:bookmarkEnd w:id="97"/>
      <w:r w:rsidRPr="00815B74">
        <w:rPr>
          <w:rFonts w:ascii="Book Antiqua" w:hAnsi="Book Antiqua"/>
          <w:color w:val="000000"/>
        </w:rPr>
        <w:t>.</w:t>
      </w:r>
    </w:p>
    <w:p w:rsidR="00D059D8" w:rsidRPr="00815B74" w:rsidRDefault="002D37CA">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noProof/>
          <w:color w:val="000000"/>
        </w:rPr>
        <w:lastRenderedPageBreak/>
        <w:drawing>
          <wp:inline distT="0" distB="0" distL="0" distR="0" wp14:anchorId="6676AE33" wp14:editId="7205BAF5">
            <wp:extent cx="5238750" cy="756285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7562850"/>
                    </a:xfrm>
                    <a:prstGeom prst="rect">
                      <a:avLst/>
                    </a:prstGeom>
                    <a:noFill/>
                    <a:ln>
                      <a:noFill/>
                    </a:ln>
                  </pic:spPr>
                </pic:pic>
              </a:graphicData>
            </a:graphic>
          </wp:inline>
        </w:drawing>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t xml:space="preserve">Figure 5 </w:t>
      </w:r>
      <w:bookmarkStart w:id="98" w:name="OLE_LINK110"/>
      <w:bookmarkStart w:id="99" w:name="OLE_LINK111"/>
      <w:proofErr w:type="spellStart"/>
      <w:r w:rsidRPr="00815B74">
        <w:rPr>
          <w:rFonts w:ascii="Book Antiqua" w:hAnsi="Book Antiqua"/>
          <w:b/>
          <w:bCs/>
          <w:color w:val="000000"/>
        </w:rPr>
        <w:t>Transducin</w:t>
      </w:r>
      <w:proofErr w:type="spellEnd"/>
      <w:r w:rsidRPr="00815B74">
        <w:rPr>
          <w:rFonts w:ascii="Book Antiqua" w:hAnsi="Book Antiqua"/>
          <w:b/>
          <w:bCs/>
          <w:color w:val="000000"/>
        </w:rPr>
        <w:t xml:space="preserve"> (β)-like 1 X-linked receptor 1</w:t>
      </w:r>
      <w:bookmarkEnd w:id="98"/>
      <w:bookmarkEnd w:id="99"/>
      <w:r w:rsidRPr="00815B74">
        <w:rPr>
          <w:rFonts w:ascii="Book Antiqua" w:hAnsi="Book Antiqua"/>
          <w:b/>
          <w:bCs/>
          <w:color w:val="000000"/>
        </w:rPr>
        <w:t xml:space="preserve"> regulates</w:t>
      </w:r>
      <w:bookmarkStart w:id="100" w:name="OLE_LINK61"/>
      <w:bookmarkStart w:id="101" w:name="OLE_LINK62"/>
      <w:r w:rsidRPr="00815B74">
        <w:rPr>
          <w:rFonts w:ascii="Book Antiqua" w:hAnsi="Book Antiqua"/>
          <w:b/>
          <w:bCs/>
          <w:color w:val="000000"/>
        </w:rPr>
        <w:t xml:space="preserve"> </w:t>
      </w:r>
      <w:bookmarkEnd w:id="100"/>
      <w:bookmarkEnd w:id="101"/>
      <w:r w:rsidRPr="00815B74">
        <w:rPr>
          <w:rFonts w:ascii="Book Antiqua" w:hAnsi="Book Antiqua"/>
          <w:b/>
          <w:bCs/>
          <w:color w:val="000000"/>
        </w:rPr>
        <w:t xml:space="preserve">phosphatidylinositol 3-kinase/protein kinase B signaling in </w:t>
      </w:r>
      <w:bookmarkStart w:id="102" w:name="OLE_LINK112"/>
      <w:bookmarkStart w:id="103" w:name="OLE_LINK113"/>
      <w:r w:rsidRPr="00815B74">
        <w:rPr>
          <w:rFonts w:ascii="Book Antiqua" w:hAnsi="Book Antiqua" w:hint="eastAsia"/>
          <w:b/>
          <w:bCs/>
          <w:color w:val="000000"/>
        </w:rPr>
        <w:t>p</w:t>
      </w:r>
      <w:r w:rsidRPr="00815B74">
        <w:rPr>
          <w:rFonts w:ascii="Book Antiqua" w:hAnsi="Book Antiqua"/>
          <w:b/>
          <w:bCs/>
          <w:color w:val="000000"/>
        </w:rPr>
        <w:t>ancreatic ductal adenocarcinoma cells</w:t>
      </w:r>
      <w:bookmarkEnd w:id="102"/>
      <w:bookmarkEnd w:id="103"/>
      <w:r w:rsidRPr="00815B74">
        <w:rPr>
          <w:rFonts w:ascii="Book Antiqua" w:hAnsi="Book Antiqua"/>
          <w:b/>
          <w:bCs/>
          <w:color w:val="000000"/>
        </w:rPr>
        <w:t xml:space="preserve">. </w:t>
      </w:r>
      <w:r w:rsidRPr="00815B74">
        <w:rPr>
          <w:rFonts w:ascii="Book Antiqua" w:hAnsi="Book Antiqua"/>
          <w:color w:val="000000"/>
        </w:rPr>
        <w:t>A: Western blot analysis of phosphatidylinositol 3-kinase/protein kinase B (PI3K/</w:t>
      </w:r>
      <w:proofErr w:type="spellStart"/>
      <w:r w:rsidRPr="00815B74">
        <w:rPr>
          <w:rFonts w:ascii="Book Antiqua" w:hAnsi="Book Antiqua"/>
          <w:color w:val="000000"/>
        </w:rPr>
        <w:t>Akt</w:t>
      </w:r>
      <w:proofErr w:type="spellEnd"/>
      <w:r w:rsidRPr="00815B74">
        <w:rPr>
          <w:rFonts w:ascii="Book Antiqua" w:hAnsi="Book Antiqua"/>
          <w:color w:val="000000"/>
        </w:rPr>
        <w:t xml:space="preserve">) signaling-related </w:t>
      </w:r>
      <w:r w:rsidRPr="00815B74">
        <w:rPr>
          <w:rFonts w:ascii="Book Antiqua" w:hAnsi="Book Antiqua"/>
          <w:color w:val="000000"/>
        </w:rPr>
        <w:lastRenderedPageBreak/>
        <w:t>proteins in both cell lines. GAPDH was used as a loading control; B: Cellular proliferation of pancreatic ductal adenocarcinoma (PDAC) cells treated with or without the PI3K/</w:t>
      </w:r>
      <w:proofErr w:type="spellStart"/>
      <w:r w:rsidRPr="00815B74">
        <w:rPr>
          <w:rFonts w:ascii="Book Antiqua" w:hAnsi="Book Antiqua"/>
          <w:color w:val="000000"/>
        </w:rPr>
        <w:t>Akt</w:t>
      </w:r>
      <w:proofErr w:type="spellEnd"/>
      <w:r w:rsidRPr="00815B74">
        <w:rPr>
          <w:rFonts w:ascii="Book Antiqua" w:hAnsi="Book Antiqua"/>
          <w:color w:val="000000"/>
        </w:rPr>
        <w:t xml:space="preserve"> pathway inhibitor LY294002 was measured using a CCK-8 assay daily for 5 d; C: Cell cycle phase analysis and apoptosis of PDAC cells treated with or without LY294002 were analyzed by flow cytometry. The X-axis indicates the different periodic distributions, and the Y-axis indicates the number of cells. D: Apoptosis analysis of PDAC cells treated with or without LY294002 was analyzed by flow cytometry. The Y-axis indicates V–fluorescein 5-isothiocyanate, and the Y-axis indicates </w:t>
      </w:r>
      <w:proofErr w:type="spellStart"/>
      <w:r w:rsidRPr="00815B74">
        <w:rPr>
          <w:rFonts w:ascii="Book Antiqua" w:hAnsi="Book Antiqua"/>
          <w:color w:val="000000"/>
        </w:rPr>
        <w:t>propidium</w:t>
      </w:r>
      <w:proofErr w:type="spellEnd"/>
      <w:r w:rsidRPr="00815B74">
        <w:rPr>
          <w:rFonts w:ascii="Book Antiqua" w:hAnsi="Book Antiqua"/>
          <w:color w:val="000000"/>
        </w:rPr>
        <w:t xml:space="preserve"> iodide (PI) staining.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V/PI+ represents necrotic cells,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V+/PI represents early apoptotic cells, and </w:t>
      </w:r>
      <w:proofErr w:type="spellStart"/>
      <w:r w:rsidRPr="00815B74">
        <w:rPr>
          <w:rFonts w:ascii="Book Antiqua" w:hAnsi="Book Antiqua"/>
          <w:color w:val="000000"/>
        </w:rPr>
        <w:t>annexin</w:t>
      </w:r>
      <w:proofErr w:type="spellEnd"/>
      <w:r w:rsidRPr="00815B74">
        <w:rPr>
          <w:rFonts w:ascii="Book Antiqua" w:hAnsi="Book Antiqua"/>
          <w:color w:val="000000"/>
        </w:rPr>
        <w:t xml:space="preserve"> V+/PI+ represents late apoptotic cells. E: Western blot analysis of PI3K/</w:t>
      </w:r>
      <w:proofErr w:type="spellStart"/>
      <w:r w:rsidRPr="00815B74">
        <w:rPr>
          <w:rFonts w:ascii="Book Antiqua" w:hAnsi="Book Antiqua"/>
          <w:color w:val="000000"/>
        </w:rPr>
        <w:t>Akt</w:t>
      </w:r>
      <w:proofErr w:type="spellEnd"/>
      <w:r w:rsidRPr="00815B74">
        <w:rPr>
          <w:rFonts w:ascii="Book Antiqua" w:hAnsi="Book Antiqua"/>
          <w:color w:val="000000"/>
        </w:rPr>
        <w:t xml:space="preserve"> signaling-related proteins in PDAC cells treated with or without </w:t>
      </w:r>
      <w:bookmarkStart w:id="104" w:name="OLE_LINK147"/>
      <w:bookmarkStart w:id="105" w:name="OLE_LINK148"/>
      <w:r w:rsidRPr="00815B74">
        <w:rPr>
          <w:rFonts w:ascii="Book Antiqua" w:hAnsi="Book Antiqua"/>
          <w:color w:val="000000"/>
        </w:rPr>
        <w:t>LY294002</w:t>
      </w:r>
      <w:bookmarkEnd w:id="104"/>
      <w:bookmarkEnd w:id="105"/>
      <w:r w:rsidRPr="00815B74">
        <w:rPr>
          <w:rFonts w:ascii="Book Antiqua" w:hAnsi="Book Antiqua"/>
          <w:color w:val="000000"/>
        </w:rPr>
        <w:t xml:space="preserve">. </w:t>
      </w:r>
      <w:bookmarkStart w:id="106" w:name="OLE_LINK108"/>
      <w:bookmarkStart w:id="107" w:name="OLE_LINK109"/>
      <w:r w:rsidRPr="00815B74">
        <w:rPr>
          <w:rFonts w:ascii="Book Antiqua" w:hAnsi="Book Antiqua"/>
          <w:color w:val="000000"/>
        </w:rPr>
        <w:t xml:space="preserve">GAPDH: </w:t>
      </w:r>
      <w:bookmarkStart w:id="108" w:name="OLE_LINK102"/>
      <w:bookmarkStart w:id="109" w:name="OLE_LINK103"/>
      <w:r w:rsidRPr="00815B74">
        <w:rPr>
          <w:rFonts w:ascii="Book Antiqua" w:hAnsi="Book Antiqua"/>
          <w:color w:val="000000"/>
        </w:rPr>
        <w:t>Glyceraldehyde-3-phosphate dehydrogenase</w:t>
      </w:r>
      <w:bookmarkEnd w:id="108"/>
      <w:bookmarkEnd w:id="109"/>
      <w:r w:rsidRPr="00815B74">
        <w:rPr>
          <w:rFonts w:ascii="Book Antiqua" w:hAnsi="Book Antiqua"/>
          <w:color w:val="000000"/>
        </w:rPr>
        <w:t>;</w:t>
      </w:r>
      <w:bookmarkEnd w:id="106"/>
      <w:bookmarkEnd w:id="107"/>
      <w:r w:rsidRPr="00815B74">
        <w:rPr>
          <w:rFonts w:ascii="Book Antiqua" w:hAnsi="Book Antiqua"/>
          <w:color w:val="000000"/>
        </w:rPr>
        <w:t xml:space="preserve"> </w:t>
      </w:r>
      <w:bookmarkStart w:id="110" w:name="OLE_LINK128"/>
      <w:bookmarkStart w:id="111" w:name="OLE_LINK129"/>
      <w:r w:rsidRPr="00815B74">
        <w:rPr>
          <w:rFonts w:ascii="Book Antiqua" w:hAnsi="Book Antiqua"/>
          <w:color w:val="000000"/>
        </w:rPr>
        <w:t xml:space="preserve">TBL1XR1: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w:t>
      </w:r>
      <w:bookmarkEnd w:id="110"/>
      <w:bookmarkEnd w:id="111"/>
      <w:r w:rsidRPr="00815B74">
        <w:rPr>
          <w:rFonts w:ascii="Book Antiqua" w:hAnsi="Book Antiqua"/>
          <w:color w:val="000000"/>
        </w:rPr>
        <w:t>.</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br w:type="page"/>
      </w:r>
      <w:r w:rsidRPr="00815B74">
        <w:rPr>
          <w:rFonts w:ascii="Book Antiqua" w:hAnsi="Book Antiqua"/>
          <w:b/>
          <w:bCs/>
          <w:color w:val="000000"/>
        </w:rPr>
        <w:lastRenderedPageBreak/>
        <w:t xml:space="preserve">Table 1 Association between </w:t>
      </w:r>
      <w:proofErr w:type="spellStart"/>
      <w:r w:rsidRPr="00815B74">
        <w:rPr>
          <w:rFonts w:ascii="Book Antiqua" w:hAnsi="Book Antiqua" w:hint="eastAsia"/>
          <w:b/>
          <w:bCs/>
          <w:color w:val="000000"/>
        </w:rPr>
        <w:t>t</w:t>
      </w:r>
      <w:r w:rsidRPr="00815B74">
        <w:rPr>
          <w:rFonts w:ascii="Book Antiqua" w:hAnsi="Book Antiqua"/>
          <w:b/>
          <w:bCs/>
          <w:color w:val="000000"/>
        </w:rPr>
        <w:t>ransducin</w:t>
      </w:r>
      <w:proofErr w:type="spellEnd"/>
      <w:r w:rsidRPr="00815B74">
        <w:rPr>
          <w:rFonts w:ascii="Book Antiqua" w:hAnsi="Book Antiqua"/>
          <w:b/>
          <w:bCs/>
          <w:color w:val="000000"/>
        </w:rPr>
        <w:t xml:space="preserve"> (β)-like 1 X-linked receptor 1 expression and the </w:t>
      </w:r>
      <w:proofErr w:type="spellStart"/>
      <w:r w:rsidRPr="00815B74">
        <w:rPr>
          <w:rFonts w:ascii="Book Antiqua" w:hAnsi="Book Antiqua"/>
          <w:b/>
          <w:bCs/>
          <w:color w:val="000000"/>
        </w:rPr>
        <w:t>clinicopathological</w:t>
      </w:r>
      <w:proofErr w:type="spellEnd"/>
      <w:r w:rsidRPr="00815B74">
        <w:rPr>
          <w:rFonts w:ascii="Book Antiqua" w:hAnsi="Book Antiqua"/>
          <w:b/>
          <w:bCs/>
          <w:color w:val="000000"/>
        </w:rPr>
        <w:t xml:space="preserve"> parameters of </w:t>
      </w:r>
      <w:r w:rsidRPr="00815B74">
        <w:rPr>
          <w:rFonts w:ascii="Book Antiqua" w:hAnsi="Book Antiqua" w:hint="eastAsia"/>
          <w:b/>
          <w:bCs/>
          <w:color w:val="000000"/>
        </w:rPr>
        <w:t>p</w:t>
      </w:r>
      <w:r w:rsidRPr="00815B74">
        <w:rPr>
          <w:rFonts w:ascii="Book Antiqua" w:hAnsi="Book Antiqua"/>
          <w:b/>
          <w:bCs/>
          <w:color w:val="000000"/>
        </w:rPr>
        <w:t>ancreatic ductal adenocarcinoma cells</w:t>
      </w:r>
    </w:p>
    <w:tbl>
      <w:tblPr>
        <w:tblW w:w="8429" w:type="dxa"/>
        <w:tblInd w:w="93" w:type="dxa"/>
        <w:tblLook w:val="0000" w:firstRow="0" w:lastRow="0" w:firstColumn="0" w:lastColumn="0" w:noHBand="0" w:noVBand="0"/>
      </w:tblPr>
      <w:tblGrid>
        <w:gridCol w:w="2111"/>
        <w:gridCol w:w="1258"/>
        <w:gridCol w:w="1083"/>
        <w:gridCol w:w="1136"/>
        <w:gridCol w:w="1424"/>
        <w:gridCol w:w="1417"/>
      </w:tblGrid>
      <w:tr w:rsidR="00D059D8" w:rsidRPr="00815B74">
        <w:trPr>
          <w:trHeight w:val="351"/>
        </w:trPr>
        <w:tc>
          <w:tcPr>
            <w:tcW w:w="2062" w:type="dxa"/>
            <w:vMerge w:val="restart"/>
            <w:tcBorders>
              <w:top w:val="single" w:sz="4" w:space="0" w:color="auto"/>
              <w:lef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bookmarkStart w:id="112" w:name="_Hlk28698856"/>
            <w:r w:rsidRPr="00815B74">
              <w:rPr>
                <w:rFonts w:ascii="Book Antiqua" w:hAnsi="Book Antiqua"/>
                <w:b/>
                <w:bCs/>
                <w:color w:val="000000"/>
              </w:rPr>
              <w:t>Parameter</w:t>
            </w:r>
          </w:p>
        </w:tc>
        <w:tc>
          <w:tcPr>
            <w:tcW w:w="1232" w:type="dxa"/>
            <w:vMerge w:val="restart"/>
            <w:tcBorders>
              <w:top w:val="single" w:sz="4" w:space="0" w:color="auto"/>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Category</w:t>
            </w:r>
          </w:p>
        </w:tc>
        <w:tc>
          <w:tcPr>
            <w:tcW w:w="1061" w:type="dxa"/>
            <w:vMerge w:val="restart"/>
            <w:tcBorders>
              <w:top w:val="single" w:sz="4" w:space="0" w:color="auto"/>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Case number</w:t>
            </w:r>
          </w:p>
        </w:tc>
        <w:tc>
          <w:tcPr>
            <w:tcW w:w="4074" w:type="dxa"/>
            <w:gridSpan w:val="3"/>
            <w:tcBorders>
              <w:top w:val="single" w:sz="4" w:space="0" w:color="auto"/>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TBL1XR1 expression</w:t>
            </w:r>
          </w:p>
        </w:tc>
      </w:tr>
      <w:tr w:rsidR="00D059D8" w:rsidRPr="00815B74">
        <w:trPr>
          <w:trHeight w:val="351"/>
        </w:trPr>
        <w:tc>
          <w:tcPr>
            <w:tcW w:w="2062" w:type="dxa"/>
            <w:vMerge/>
            <w:tcBorders>
              <w:left w:val="nil"/>
              <w:bottom w:val="single" w:sz="4" w:space="0" w:color="auto"/>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p>
        </w:tc>
        <w:tc>
          <w:tcPr>
            <w:tcW w:w="1232" w:type="dxa"/>
            <w:vMerge/>
            <w:tcBorders>
              <w:bottom w:val="single" w:sz="4" w:space="0" w:color="auto"/>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p>
        </w:tc>
        <w:tc>
          <w:tcPr>
            <w:tcW w:w="1061" w:type="dxa"/>
            <w:vMerge/>
            <w:tcBorders>
              <w:bottom w:val="single" w:sz="4" w:space="0" w:color="auto"/>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p>
        </w:tc>
        <w:tc>
          <w:tcPr>
            <w:tcW w:w="1113" w:type="dxa"/>
            <w:tcBorders>
              <w:bottom w:val="single" w:sz="4" w:space="0" w:color="auto"/>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 xml:space="preserve">Number of positive cases, </w:t>
            </w:r>
            <w:r w:rsidRPr="00815B74">
              <w:rPr>
                <w:rFonts w:ascii="Book Antiqua" w:hAnsi="Book Antiqua"/>
                <w:b/>
                <w:bCs/>
                <w:i/>
                <w:iCs/>
                <w:color w:val="000000"/>
              </w:rPr>
              <w:t>n</w:t>
            </w:r>
            <w:r w:rsidRPr="00815B74">
              <w:rPr>
                <w:rFonts w:ascii="Book Antiqua" w:hAnsi="Book Antiqua"/>
                <w:b/>
                <w:bCs/>
                <w:color w:val="000000"/>
              </w:rPr>
              <w:t xml:space="preserve"> (%)</w:t>
            </w:r>
          </w:p>
        </w:tc>
        <w:tc>
          <w:tcPr>
            <w:tcW w:w="1489" w:type="dxa"/>
            <w:tcBorders>
              <w:bottom w:val="single" w:sz="4" w:space="0" w:color="auto"/>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i/>
                <w:iCs/>
                <w:color w:val="000000"/>
                <w:vertAlign w:val="superscript"/>
              </w:rPr>
            </w:pPr>
            <w:r w:rsidRPr="00815B74">
              <w:rPr>
                <w:rFonts w:ascii="Book Antiqua" w:hAnsi="Book Antiqua"/>
                <w:b/>
                <w:bCs/>
                <w:i/>
                <w:iCs/>
                <w:color w:val="000000"/>
              </w:rPr>
              <w:t>χ</w:t>
            </w:r>
            <w:r w:rsidRPr="00815B74">
              <w:rPr>
                <w:rFonts w:ascii="Book Antiqua" w:hAnsi="Book Antiqua"/>
                <w:b/>
                <w:bCs/>
                <w:i/>
                <w:iCs/>
                <w:color w:val="000000"/>
                <w:vertAlign w:val="superscript"/>
              </w:rPr>
              <w:t>2</w:t>
            </w:r>
          </w:p>
          <w:p w:rsidR="00D059D8" w:rsidRPr="00815B74" w:rsidRDefault="00D059D8">
            <w:pPr>
              <w:autoSpaceDE w:val="0"/>
              <w:autoSpaceDN w:val="0"/>
              <w:adjustRightInd w:val="0"/>
              <w:snapToGrid w:val="0"/>
              <w:spacing w:line="360" w:lineRule="auto"/>
              <w:jc w:val="both"/>
              <w:rPr>
                <w:rFonts w:ascii="Book Antiqua" w:hAnsi="Book Antiqua"/>
                <w:b/>
                <w:bCs/>
                <w:i/>
                <w:iCs/>
                <w:color w:val="000000"/>
              </w:rPr>
            </w:pPr>
          </w:p>
        </w:tc>
        <w:tc>
          <w:tcPr>
            <w:tcW w:w="1472" w:type="dxa"/>
            <w:tcBorders>
              <w:bottom w:val="single" w:sz="4" w:space="0" w:color="auto"/>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 xml:space="preserve">P </w:t>
            </w:r>
            <w:r w:rsidRPr="00815B74">
              <w:rPr>
                <w:rFonts w:ascii="Book Antiqua" w:hAnsi="Book Antiqua"/>
                <w:b/>
                <w:bCs/>
                <w:color w:val="000000"/>
              </w:rPr>
              <w:t>value</w:t>
            </w:r>
          </w:p>
        </w:tc>
      </w:tr>
      <w:tr w:rsidR="00D059D8" w:rsidRPr="00815B74">
        <w:trPr>
          <w:trHeight w:val="351"/>
        </w:trPr>
        <w:tc>
          <w:tcPr>
            <w:tcW w:w="2062" w:type="dxa"/>
            <w:vMerge w:val="restart"/>
            <w:tcBorders>
              <w:top w:val="single" w:sz="4" w:space="0" w:color="auto"/>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Age</w:t>
            </w:r>
            <w:r w:rsidRPr="00815B74">
              <w:rPr>
                <w:rFonts w:ascii="Book Antiqua" w:hAnsi="Book Antiqua" w:hint="eastAsia"/>
                <w:color w:val="000000"/>
              </w:rPr>
              <w:t xml:space="preserve"> (</w:t>
            </w:r>
            <w:proofErr w:type="spellStart"/>
            <w:r w:rsidRPr="00815B74">
              <w:rPr>
                <w:rFonts w:ascii="Book Antiqua" w:hAnsi="Book Antiqua" w:hint="eastAsia"/>
                <w:color w:val="000000"/>
              </w:rPr>
              <w:t>yrs</w:t>
            </w:r>
            <w:proofErr w:type="spellEnd"/>
            <w:r w:rsidRPr="00815B74">
              <w:rPr>
                <w:rFonts w:ascii="Book Antiqua" w:hAnsi="Book Antiqua" w:hint="eastAsia"/>
                <w:color w:val="000000"/>
              </w:rPr>
              <w:t>)</w:t>
            </w:r>
          </w:p>
        </w:tc>
        <w:tc>
          <w:tcPr>
            <w:tcW w:w="1232" w:type="dxa"/>
            <w:tcBorders>
              <w:top w:val="single" w:sz="4" w:space="0" w:color="auto"/>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&lt; 60</w:t>
            </w:r>
          </w:p>
        </w:tc>
        <w:tc>
          <w:tcPr>
            <w:tcW w:w="1061" w:type="dxa"/>
            <w:tcBorders>
              <w:top w:val="single" w:sz="4" w:space="0" w:color="auto"/>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40</w:t>
            </w:r>
          </w:p>
        </w:tc>
        <w:tc>
          <w:tcPr>
            <w:tcW w:w="1113" w:type="dxa"/>
            <w:tcBorders>
              <w:top w:val="single" w:sz="4" w:space="0" w:color="auto"/>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27 (67.5)</w:t>
            </w:r>
          </w:p>
        </w:tc>
        <w:tc>
          <w:tcPr>
            <w:tcW w:w="1489" w:type="dxa"/>
            <w:vMerge w:val="restart"/>
            <w:tcBorders>
              <w:top w:val="single" w:sz="4" w:space="0" w:color="auto"/>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0.214</w:t>
            </w:r>
          </w:p>
        </w:tc>
        <w:tc>
          <w:tcPr>
            <w:tcW w:w="1472" w:type="dxa"/>
            <w:vMerge w:val="restart"/>
            <w:tcBorders>
              <w:top w:val="single" w:sz="4" w:space="0" w:color="auto"/>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0.652 </w:t>
            </w:r>
          </w:p>
        </w:tc>
      </w:tr>
      <w:tr w:rsidR="00D059D8" w:rsidRPr="00815B74">
        <w:trPr>
          <w:trHeight w:val="351"/>
        </w:trPr>
        <w:tc>
          <w:tcPr>
            <w:tcW w:w="206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60</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50</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36 (72.0)</w:t>
            </w:r>
          </w:p>
        </w:tc>
        <w:tc>
          <w:tcPr>
            <w:tcW w:w="148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47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51"/>
        </w:trPr>
        <w:tc>
          <w:tcPr>
            <w:tcW w:w="206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Sex</w:t>
            </w: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Male</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59</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41 (69.5)</w:t>
            </w:r>
          </w:p>
        </w:tc>
        <w:tc>
          <w:tcPr>
            <w:tcW w:w="148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0.021</w:t>
            </w:r>
          </w:p>
        </w:tc>
        <w:tc>
          <w:tcPr>
            <w:tcW w:w="147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1.000 </w:t>
            </w:r>
          </w:p>
        </w:tc>
      </w:tr>
      <w:tr w:rsidR="00D059D8" w:rsidRPr="00815B74">
        <w:trPr>
          <w:trHeight w:val="351"/>
        </w:trPr>
        <w:tc>
          <w:tcPr>
            <w:tcW w:w="206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Female</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31</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22 (71.0)</w:t>
            </w:r>
          </w:p>
        </w:tc>
        <w:tc>
          <w:tcPr>
            <w:tcW w:w="148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47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51"/>
        </w:trPr>
        <w:tc>
          <w:tcPr>
            <w:tcW w:w="206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Histopathological subtypes</w:t>
            </w: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High</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 (66.7)</w:t>
            </w:r>
          </w:p>
        </w:tc>
        <w:tc>
          <w:tcPr>
            <w:tcW w:w="148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0.146</w:t>
            </w:r>
          </w:p>
        </w:tc>
        <w:tc>
          <w:tcPr>
            <w:tcW w:w="147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0.929 </w:t>
            </w:r>
          </w:p>
        </w:tc>
      </w:tr>
      <w:tr w:rsidR="00D059D8" w:rsidRPr="00815B74">
        <w:trPr>
          <w:trHeight w:val="351"/>
        </w:trPr>
        <w:tc>
          <w:tcPr>
            <w:tcW w:w="206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Middle</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51</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35 (68.6)</w:t>
            </w:r>
          </w:p>
        </w:tc>
        <w:tc>
          <w:tcPr>
            <w:tcW w:w="148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47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51"/>
        </w:trPr>
        <w:tc>
          <w:tcPr>
            <w:tcW w:w="206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hint="eastAsia"/>
                <w:color w:val="000000"/>
              </w:rPr>
              <w:t>L</w:t>
            </w:r>
            <w:r w:rsidRPr="00815B74">
              <w:rPr>
                <w:rFonts w:ascii="Book Antiqua" w:hAnsi="Book Antiqua"/>
                <w:color w:val="000000"/>
              </w:rPr>
              <w:t>ow</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36</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26 (72.2)</w:t>
            </w:r>
          </w:p>
        </w:tc>
        <w:tc>
          <w:tcPr>
            <w:tcW w:w="148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47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51"/>
        </w:trPr>
        <w:tc>
          <w:tcPr>
            <w:tcW w:w="206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TNM stage</w:t>
            </w: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1-II</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12</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4 (33.3)</w:t>
            </w:r>
          </w:p>
        </w:tc>
        <w:tc>
          <w:tcPr>
            <w:tcW w:w="148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8.864</w:t>
            </w:r>
          </w:p>
        </w:tc>
        <w:tc>
          <w:tcPr>
            <w:tcW w:w="147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0.006</w:t>
            </w:r>
            <w:r w:rsidRPr="00815B74">
              <w:rPr>
                <w:rFonts w:ascii="Book Antiqua" w:hAnsi="Book Antiqua"/>
                <w:color w:val="000000"/>
                <w:vertAlign w:val="superscript"/>
              </w:rPr>
              <w:t>b</w:t>
            </w:r>
          </w:p>
        </w:tc>
      </w:tr>
      <w:tr w:rsidR="00D059D8" w:rsidRPr="00815B74">
        <w:trPr>
          <w:trHeight w:val="351"/>
        </w:trPr>
        <w:tc>
          <w:tcPr>
            <w:tcW w:w="206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III-IV</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78</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59 (75.6)</w:t>
            </w:r>
          </w:p>
        </w:tc>
        <w:tc>
          <w:tcPr>
            <w:tcW w:w="148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47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51"/>
        </w:trPr>
        <w:tc>
          <w:tcPr>
            <w:tcW w:w="206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Tumor size</w:t>
            </w: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&lt; 3 cm</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60</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42 (66.7)</w:t>
            </w:r>
          </w:p>
        </w:tc>
        <w:tc>
          <w:tcPr>
            <w:tcW w:w="148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0.952</w:t>
            </w:r>
          </w:p>
        </w:tc>
        <w:tc>
          <w:tcPr>
            <w:tcW w:w="147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0.465 </w:t>
            </w:r>
          </w:p>
        </w:tc>
      </w:tr>
      <w:tr w:rsidR="00D059D8" w:rsidRPr="00815B74">
        <w:trPr>
          <w:trHeight w:val="351"/>
        </w:trPr>
        <w:tc>
          <w:tcPr>
            <w:tcW w:w="206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3 cm</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30</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23 (76.7)</w:t>
            </w:r>
          </w:p>
        </w:tc>
        <w:tc>
          <w:tcPr>
            <w:tcW w:w="148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47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51"/>
        </w:trPr>
        <w:tc>
          <w:tcPr>
            <w:tcW w:w="206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Tumor location</w:t>
            </w: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Head</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37</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30 (81.1)</w:t>
            </w:r>
          </w:p>
        </w:tc>
        <w:tc>
          <w:tcPr>
            <w:tcW w:w="148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3.674</w:t>
            </w:r>
          </w:p>
        </w:tc>
        <w:tc>
          <w:tcPr>
            <w:tcW w:w="147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0.065 </w:t>
            </w:r>
          </w:p>
        </w:tc>
      </w:tr>
      <w:tr w:rsidR="00D059D8" w:rsidRPr="00815B74">
        <w:trPr>
          <w:trHeight w:val="351"/>
        </w:trPr>
        <w:tc>
          <w:tcPr>
            <w:tcW w:w="206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Body/tail</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53</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33 (62.3)</w:t>
            </w:r>
          </w:p>
        </w:tc>
        <w:tc>
          <w:tcPr>
            <w:tcW w:w="148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47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51"/>
        </w:trPr>
        <w:tc>
          <w:tcPr>
            <w:tcW w:w="2062"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Lymph node metastasis</w:t>
            </w:r>
          </w:p>
        </w:tc>
        <w:tc>
          <w:tcPr>
            <w:tcW w:w="1232"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Negative</w:t>
            </w:r>
          </w:p>
        </w:tc>
        <w:tc>
          <w:tcPr>
            <w:tcW w:w="1061"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61</w:t>
            </w:r>
          </w:p>
        </w:tc>
        <w:tc>
          <w:tcPr>
            <w:tcW w:w="1113"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44 (72.1)</w:t>
            </w:r>
          </w:p>
        </w:tc>
        <w:tc>
          <w:tcPr>
            <w:tcW w:w="1489"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0.409</w:t>
            </w:r>
          </w:p>
        </w:tc>
        <w:tc>
          <w:tcPr>
            <w:tcW w:w="1472"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0.624 </w:t>
            </w:r>
          </w:p>
        </w:tc>
      </w:tr>
      <w:tr w:rsidR="00D059D8" w:rsidRPr="00815B74">
        <w:trPr>
          <w:trHeight w:val="351"/>
        </w:trPr>
        <w:tc>
          <w:tcPr>
            <w:tcW w:w="2062"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32"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Positive</w:t>
            </w:r>
          </w:p>
        </w:tc>
        <w:tc>
          <w:tcPr>
            <w:tcW w:w="1061"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29</w:t>
            </w:r>
          </w:p>
        </w:tc>
        <w:tc>
          <w:tcPr>
            <w:tcW w:w="1113"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19 (65.5)</w:t>
            </w:r>
          </w:p>
        </w:tc>
        <w:tc>
          <w:tcPr>
            <w:tcW w:w="1489"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472"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bl>
    <w:bookmarkEnd w:id="112"/>
    <w:p w:rsidR="00D059D8" w:rsidRPr="00815B74" w:rsidRDefault="00D059D8">
      <w:pPr>
        <w:autoSpaceDE w:val="0"/>
        <w:autoSpaceDN w:val="0"/>
        <w:adjustRightInd w:val="0"/>
        <w:snapToGrid w:val="0"/>
        <w:spacing w:line="360" w:lineRule="auto"/>
        <w:jc w:val="both"/>
        <w:rPr>
          <w:rFonts w:ascii="Book Antiqua" w:hAnsi="Book Antiqua"/>
          <w:color w:val="000000"/>
        </w:rPr>
      </w:pPr>
      <w:proofErr w:type="spellStart"/>
      <w:proofErr w:type="gramStart"/>
      <w:r w:rsidRPr="00815B74">
        <w:rPr>
          <w:rFonts w:ascii="Book Antiqua" w:hAnsi="Book Antiqua"/>
          <w:color w:val="000000"/>
          <w:vertAlign w:val="superscript"/>
        </w:rPr>
        <w:t>b</w:t>
      </w:r>
      <w:r w:rsidRPr="00815B74">
        <w:rPr>
          <w:rFonts w:ascii="Book Antiqua" w:hAnsi="Book Antiqua"/>
          <w:i/>
          <w:iCs/>
          <w:color w:val="000000"/>
        </w:rPr>
        <w:t>P</w:t>
      </w:r>
      <w:proofErr w:type="spellEnd"/>
      <w:proofErr w:type="gramEnd"/>
      <w:r w:rsidRPr="00815B74">
        <w:rPr>
          <w:rFonts w:ascii="Book Antiqua" w:hAnsi="Book Antiqua"/>
          <w:i/>
          <w:iCs/>
          <w:color w:val="000000"/>
        </w:rPr>
        <w:t xml:space="preserve"> </w:t>
      </w:r>
      <w:r w:rsidRPr="00815B74">
        <w:rPr>
          <w:rFonts w:ascii="Book Antiqua" w:hAnsi="Book Antiqua" w:hint="eastAsia"/>
          <w:color w:val="000000"/>
        </w:rPr>
        <w:t>&lt;</w:t>
      </w:r>
      <w:r w:rsidRPr="00815B74">
        <w:rPr>
          <w:rFonts w:ascii="Book Antiqua" w:hAnsi="Book Antiqua"/>
          <w:color w:val="000000"/>
        </w:rPr>
        <w:t xml:space="preserve"> 0.01. TBL1XR1: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PDAC: Pancreatic ductal adenocarcinoma; TNM: Tumor-node-metastasis.</w:t>
      </w: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br w:type="page"/>
      </w:r>
      <w:r w:rsidRPr="00815B74">
        <w:rPr>
          <w:rFonts w:ascii="Book Antiqua" w:hAnsi="Book Antiqua"/>
          <w:b/>
          <w:bCs/>
          <w:color w:val="000000"/>
        </w:rPr>
        <w:lastRenderedPageBreak/>
        <w:t>Table 2 Univariate log-rank analysis of overall survival</w:t>
      </w:r>
    </w:p>
    <w:tbl>
      <w:tblPr>
        <w:tblW w:w="7903" w:type="dxa"/>
        <w:tblInd w:w="93" w:type="dxa"/>
        <w:tblLook w:val="0000" w:firstRow="0" w:lastRow="0" w:firstColumn="0" w:lastColumn="0" w:noHBand="0" w:noVBand="0"/>
      </w:tblPr>
      <w:tblGrid>
        <w:gridCol w:w="2209"/>
        <w:gridCol w:w="1280"/>
        <w:gridCol w:w="1206"/>
        <w:gridCol w:w="2124"/>
        <w:gridCol w:w="1084"/>
      </w:tblGrid>
      <w:tr w:rsidR="00D059D8" w:rsidRPr="00815B74">
        <w:trPr>
          <w:trHeight w:val="336"/>
        </w:trPr>
        <w:tc>
          <w:tcPr>
            <w:tcW w:w="2209" w:type="dxa"/>
            <w:vMerge w:val="restart"/>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Parameter</w:t>
            </w:r>
          </w:p>
        </w:tc>
        <w:tc>
          <w:tcPr>
            <w:tcW w:w="1280" w:type="dxa"/>
            <w:vMerge w:val="restart"/>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Category</w:t>
            </w:r>
          </w:p>
        </w:tc>
        <w:tc>
          <w:tcPr>
            <w:tcW w:w="1206" w:type="dxa"/>
            <w:tcBorders>
              <w:top w:val="single" w:sz="8" w:space="0" w:color="333300"/>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Case number</w:t>
            </w:r>
          </w:p>
        </w:tc>
        <w:tc>
          <w:tcPr>
            <w:tcW w:w="2124" w:type="dxa"/>
            <w:tcBorders>
              <w:top w:val="single" w:sz="8" w:space="0" w:color="333300"/>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Median survival time (</w:t>
            </w:r>
            <w:proofErr w:type="spellStart"/>
            <w:r w:rsidRPr="00815B74">
              <w:rPr>
                <w:rFonts w:ascii="Book Antiqua" w:hAnsi="Book Antiqua"/>
                <w:b/>
                <w:bCs/>
                <w:color w:val="000000"/>
              </w:rPr>
              <w:t>mo</w:t>
            </w:r>
            <w:proofErr w:type="spellEnd"/>
            <w:r w:rsidRPr="00815B74">
              <w:rPr>
                <w:rFonts w:ascii="Book Antiqua" w:hAnsi="Book Antiqua"/>
                <w:b/>
                <w:bCs/>
                <w:color w:val="000000"/>
              </w:rPr>
              <w:t>)</w:t>
            </w:r>
          </w:p>
        </w:tc>
        <w:tc>
          <w:tcPr>
            <w:tcW w:w="1084" w:type="dxa"/>
            <w:vMerge w:val="restart"/>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 xml:space="preserve">P </w:t>
            </w:r>
            <w:r w:rsidRPr="00815B74">
              <w:rPr>
                <w:rFonts w:ascii="Book Antiqua" w:hAnsi="Book Antiqua"/>
                <w:b/>
                <w:bCs/>
                <w:color w:val="000000"/>
              </w:rPr>
              <w:t>value</w:t>
            </w:r>
          </w:p>
        </w:tc>
      </w:tr>
      <w:tr w:rsidR="00D059D8" w:rsidRPr="00815B74">
        <w:trPr>
          <w:trHeight w:val="319"/>
        </w:trPr>
        <w:tc>
          <w:tcPr>
            <w:tcW w:w="2209" w:type="dxa"/>
            <w:vMerge/>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vMerge/>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06"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p>
        </w:tc>
        <w:tc>
          <w:tcPr>
            <w:tcW w:w="2124"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(95% confidence interval)</w:t>
            </w:r>
          </w:p>
        </w:tc>
        <w:tc>
          <w:tcPr>
            <w:tcW w:w="1084" w:type="dxa"/>
            <w:vMerge/>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i/>
                <w:iCs/>
                <w:color w:val="000000"/>
              </w:rPr>
            </w:pPr>
          </w:p>
        </w:tc>
      </w:tr>
      <w:tr w:rsidR="00D059D8" w:rsidRPr="00815B74">
        <w:trPr>
          <w:trHeight w:val="336"/>
        </w:trPr>
        <w:tc>
          <w:tcPr>
            <w:tcW w:w="220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Age</w:t>
            </w:r>
            <w:r w:rsidRPr="00815B74">
              <w:rPr>
                <w:rFonts w:ascii="Book Antiqua" w:hAnsi="Book Antiqua" w:hint="eastAsia"/>
                <w:color w:val="000000"/>
              </w:rPr>
              <w:t xml:space="preserve"> (</w:t>
            </w:r>
            <w:proofErr w:type="spellStart"/>
            <w:r w:rsidRPr="00815B74">
              <w:rPr>
                <w:rFonts w:ascii="Book Antiqua" w:hAnsi="Book Antiqua" w:hint="eastAsia"/>
                <w:color w:val="000000"/>
              </w:rPr>
              <w:t>yrs</w:t>
            </w:r>
            <w:proofErr w:type="spellEnd"/>
            <w:r w:rsidRPr="00815B74">
              <w:rPr>
                <w:rFonts w:ascii="Book Antiqua" w:hAnsi="Book Antiqua" w:hint="eastAsia"/>
                <w:color w:val="000000"/>
              </w:rPr>
              <w:t>)</w:t>
            </w: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bookmarkStart w:id="113" w:name="OLE_LINK444"/>
            <w:bookmarkStart w:id="114" w:name="OLE_LINK445"/>
            <w:r w:rsidRPr="00815B74">
              <w:rPr>
                <w:rFonts w:ascii="Book Antiqua" w:hAnsi="Book Antiqua"/>
                <w:color w:val="000000"/>
              </w:rPr>
              <w:t>&lt;</w:t>
            </w:r>
            <w:bookmarkEnd w:id="113"/>
            <w:bookmarkEnd w:id="114"/>
            <w:r w:rsidRPr="00815B74">
              <w:rPr>
                <w:rFonts w:ascii="Book Antiqua" w:hAnsi="Book Antiqua"/>
                <w:color w:val="000000"/>
              </w:rPr>
              <w:t xml:space="preserve"> 60</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40</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10.0 (4.8–15.2)</w:t>
            </w:r>
          </w:p>
        </w:tc>
        <w:tc>
          <w:tcPr>
            <w:tcW w:w="1084"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0.413 </w:t>
            </w:r>
          </w:p>
        </w:tc>
      </w:tr>
      <w:tr w:rsidR="00D059D8" w:rsidRPr="00815B74">
        <w:trPr>
          <w:trHeight w:val="336"/>
        </w:trPr>
        <w:tc>
          <w:tcPr>
            <w:tcW w:w="220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60</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50</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9.7 (7.41–12.0)</w:t>
            </w:r>
          </w:p>
        </w:tc>
        <w:tc>
          <w:tcPr>
            <w:tcW w:w="1084"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36"/>
        </w:trPr>
        <w:tc>
          <w:tcPr>
            <w:tcW w:w="220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Sex</w:t>
            </w: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Male</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59</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9.9 (6.7–13.1)</w:t>
            </w:r>
          </w:p>
        </w:tc>
        <w:tc>
          <w:tcPr>
            <w:tcW w:w="1084"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0.983 </w:t>
            </w:r>
          </w:p>
        </w:tc>
      </w:tr>
      <w:tr w:rsidR="00D059D8" w:rsidRPr="00815B74">
        <w:trPr>
          <w:trHeight w:val="336"/>
        </w:trPr>
        <w:tc>
          <w:tcPr>
            <w:tcW w:w="220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Female</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31</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9.9(8.1–12.0)</w:t>
            </w:r>
          </w:p>
        </w:tc>
        <w:tc>
          <w:tcPr>
            <w:tcW w:w="1084"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36"/>
        </w:trPr>
        <w:tc>
          <w:tcPr>
            <w:tcW w:w="220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Histopathological subtypes</w:t>
            </w: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High</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25.0</w:t>
            </w:r>
            <w:r w:rsidRPr="00815B74">
              <w:rPr>
                <w:rFonts w:ascii="Book Antiqua" w:hAnsi="Book Antiqua" w:hint="eastAsia"/>
                <w:color w:val="000000"/>
              </w:rPr>
              <w:t xml:space="preserve"> </w:t>
            </w:r>
            <w:r w:rsidRPr="00815B74">
              <w:rPr>
                <w:rFonts w:ascii="Book Antiqua" w:hAnsi="Book Antiqua"/>
                <w:color w:val="000000"/>
              </w:rPr>
              <w:t>(-</w:t>
            </w:r>
            <w:r w:rsidRPr="00815B74">
              <w:rPr>
                <w:rFonts w:ascii="Book Antiqua" w:hAnsi="Book Antiqua" w:hint="eastAsia"/>
                <w:color w:val="000000"/>
              </w:rPr>
              <w:t>)</w:t>
            </w:r>
          </w:p>
        </w:tc>
        <w:tc>
          <w:tcPr>
            <w:tcW w:w="1084"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0.760 </w:t>
            </w:r>
          </w:p>
        </w:tc>
      </w:tr>
      <w:tr w:rsidR="00D059D8" w:rsidRPr="00815B74">
        <w:trPr>
          <w:trHeight w:val="336"/>
        </w:trPr>
        <w:tc>
          <w:tcPr>
            <w:tcW w:w="220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Middle</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51</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10.3 (8.1–11.7)</w:t>
            </w:r>
          </w:p>
        </w:tc>
        <w:tc>
          <w:tcPr>
            <w:tcW w:w="1084"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36"/>
        </w:trPr>
        <w:tc>
          <w:tcPr>
            <w:tcW w:w="220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Low</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36</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8.7 (6.0–11.4)</w:t>
            </w:r>
          </w:p>
        </w:tc>
        <w:tc>
          <w:tcPr>
            <w:tcW w:w="1084"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36"/>
        </w:trPr>
        <w:tc>
          <w:tcPr>
            <w:tcW w:w="220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TNM stage</w:t>
            </w: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1-II</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12</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25.0 (18.1–31.9)</w:t>
            </w:r>
          </w:p>
        </w:tc>
        <w:tc>
          <w:tcPr>
            <w:tcW w:w="1084"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&lt; 0.001</w:t>
            </w:r>
            <w:r w:rsidRPr="00815B74">
              <w:rPr>
                <w:rFonts w:ascii="Book Antiqua" w:hAnsi="Book Antiqua"/>
                <w:color w:val="000000"/>
                <w:vertAlign w:val="superscript"/>
              </w:rPr>
              <w:t>c</w:t>
            </w:r>
          </w:p>
        </w:tc>
      </w:tr>
      <w:tr w:rsidR="00D059D8" w:rsidRPr="00815B74">
        <w:trPr>
          <w:trHeight w:val="336"/>
        </w:trPr>
        <w:tc>
          <w:tcPr>
            <w:tcW w:w="220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III-IV</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78</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8.0 (5.5-10.5)</w:t>
            </w:r>
          </w:p>
        </w:tc>
        <w:tc>
          <w:tcPr>
            <w:tcW w:w="1084"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36"/>
        </w:trPr>
        <w:tc>
          <w:tcPr>
            <w:tcW w:w="220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Tumor size</w:t>
            </w: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&lt; 3 cm</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60</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9.8 (8.6–11.0)</w:t>
            </w:r>
          </w:p>
        </w:tc>
        <w:tc>
          <w:tcPr>
            <w:tcW w:w="1084"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0.251 </w:t>
            </w:r>
          </w:p>
        </w:tc>
      </w:tr>
      <w:tr w:rsidR="00D059D8" w:rsidRPr="00815B74">
        <w:trPr>
          <w:trHeight w:val="336"/>
        </w:trPr>
        <w:tc>
          <w:tcPr>
            <w:tcW w:w="220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3 cm</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30</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8.3 (4.8–11.8)</w:t>
            </w:r>
          </w:p>
        </w:tc>
        <w:tc>
          <w:tcPr>
            <w:tcW w:w="1084"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36"/>
        </w:trPr>
        <w:tc>
          <w:tcPr>
            <w:tcW w:w="220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Tumor location</w:t>
            </w: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Head</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37</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9.3</w:t>
            </w:r>
            <w:r w:rsidRPr="00815B74">
              <w:rPr>
                <w:rFonts w:ascii="Book Antiqua" w:hAnsi="Book Antiqua" w:hint="eastAsia"/>
                <w:color w:val="000000"/>
              </w:rPr>
              <w:t xml:space="preserve"> </w:t>
            </w:r>
            <w:r w:rsidRPr="00815B74">
              <w:rPr>
                <w:rFonts w:ascii="Book Antiqua" w:hAnsi="Book Antiqua"/>
                <w:color w:val="000000"/>
              </w:rPr>
              <w:t>(7.0-11.7</w:t>
            </w:r>
            <w:r w:rsidRPr="00815B74">
              <w:rPr>
                <w:rFonts w:ascii="Book Antiqua" w:hAnsi="Book Antiqua" w:hint="eastAsia"/>
                <w:color w:val="000000"/>
              </w:rPr>
              <w:t>)</w:t>
            </w:r>
          </w:p>
        </w:tc>
        <w:tc>
          <w:tcPr>
            <w:tcW w:w="1084"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0.095 </w:t>
            </w:r>
          </w:p>
        </w:tc>
      </w:tr>
      <w:tr w:rsidR="00D059D8" w:rsidRPr="00815B74">
        <w:trPr>
          <w:trHeight w:val="336"/>
        </w:trPr>
        <w:tc>
          <w:tcPr>
            <w:tcW w:w="220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Body/tail</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53</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11.0 (6.0-16.0)</w:t>
            </w:r>
          </w:p>
        </w:tc>
        <w:tc>
          <w:tcPr>
            <w:tcW w:w="1084"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36"/>
        </w:trPr>
        <w:tc>
          <w:tcPr>
            <w:tcW w:w="220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Lymph node metastasis</w:t>
            </w: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Negative</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61</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12.0 (7.9–16.1)</w:t>
            </w:r>
          </w:p>
        </w:tc>
        <w:tc>
          <w:tcPr>
            <w:tcW w:w="1084"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0.047</w:t>
            </w:r>
            <w:r w:rsidRPr="00815B74">
              <w:rPr>
                <w:rFonts w:ascii="Book Antiqua" w:hAnsi="Book Antiqua"/>
                <w:color w:val="000000"/>
                <w:vertAlign w:val="superscript"/>
              </w:rPr>
              <w:t>a</w:t>
            </w:r>
          </w:p>
        </w:tc>
      </w:tr>
      <w:tr w:rsidR="00D059D8" w:rsidRPr="00815B74">
        <w:trPr>
          <w:trHeight w:val="336"/>
        </w:trPr>
        <w:tc>
          <w:tcPr>
            <w:tcW w:w="220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Positive</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29</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7.6 (5.3–9.8)</w:t>
            </w:r>
          </w:p>
        </w:tc>
        <w:tc>
          <w:tcPr>
            <w:tcW w:w="1084"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36"/>
        </w:trPr>
        <w:tc>
          <w:tcPr>
            <w:tcW w:w="2209"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TBL1XR1 expression</w:t>
            </w:r>
          </w:p>
        </w:tc>
        <w:tc>
          <w:tcPr>
            <w:tcW w:w="1280"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Low</w:t>
            </w:r>
          </w:p>
        </w:tc>
        <w:tc>
          <w:tcPr>
            <w:tcW w:w="1206"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27</w:t>
            </w:r>
          </w:p>
        </w:tc>
        <w:tc>
          <w:tcPr>
            <w:tcW w:w="2124"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18.9 (10.9–26.9)</w:t>
            </w:r>
          </w:p>
        </w:tc>
        <w:tc>
          <w:tcPr>
            <w:tcW w:w="1084"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&lt; 0.001</w:t>
            </w:r>
            <w:r w:rsidRPr="00815B74">
              <w:rPr>
                <w:rFonts w:ascii="Book Antiqua" w:hAnsi="Book Antiqua"/>
                <w:color w:val="000000"/>
                <w:vertAlign w:val="superscript"/>
              </w:rPr>
              <w:t>c</w:t>
            </w:r>
          </w:p>
        </w:tc>
      </w:tr>
      <w:tr w:rsidR="00D059D8" w:rsidRPr="00815B74">
        <w:trPr>
          <w:trHeight w:val="336"/>
        </w:trPr>
        <w:tc>
          <w:tcPr>
            <w:tcW w:w="2209"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80"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High</w:t>
            </w:r>
          </w:p>
        </w:tc>
        <w:tc>
          <w:tcPr>
            <w:tcW w:w="1206"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63</w:t>
            </w:r>
          </w:p>
        </w:tc>
        <w:tc>
          <w:tcPr>
            <w:tcW w:w="2124"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7.0 (5.7–8.3)</w:t>
            </w:r>
          </w:p>
        </w:tc>
        <w:tc>
          <w:tcPr>
            <w:tcW w:w="1084"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bl>
    <w:p w:rsidR="00D059D8" w:rsidRPr="00815B74" w:rsidRDefault="00D059D8">
      <w:pPr>
        <w:autoSpaceDE w:val="0"/>
        <w:autoSpaceDN w:val="0"/>
        <w:adjustRightInd w:val="0"/>
        <w:snapToGrid w:val="0"/>
        <w:spacing w:line="360" w:lineRule="auto"/>
        <w:jc w:val="both"/>
        <w:rPr>
          <w:rFonts w:ascii="Book Antiqua" w:hAnsi="Book Antiqua"/>
          <w:color w:val="000000"/>
        </w:rPr>
      </w:pPr>
      <w:proofErr w:type="spellStart"/>
      <w:proofErr w:type="gramStart"/>
      <w:r w:rsidRPr="00815B74">
        <w:rPr>
          <w:rFonts w:ascii="Book Antiqua" w:hAnsi="Book Antiqua"/>
          <w:color w:val="000000"/>
          <w:vertAlign w:val="superscript"/>
        </w:rPr>
        <w:t>a</w:t>
      </w:r>
      <w:r w:rsidRPr="00815B74">
        <w:rPr>
          <w:rFonts w:ascii="Book Antiqua" w:hAnsi="Book Antiqua"/>
          <w:i/>
          <w:iCs/>
          <w:color w:val="000000"/>
        </w:rPr>
        <w:t>P</w:t>
      </w:r>
      <w:proofErr w:type="spellEnd"/>
      <w:proofErr w:type="gramEnd"/>
      <w:r w:rsidRPr="00815B74">
        <w:rPr>
          <w:rFonts w:ascii="Book Antiqua" w:hAnsi="Book Antiqua"/>
          <w:i/>
          <w:iCs/>
          <w:color w:val="000000"/>
        </w:rPr>
        <w:t xml:space="preserve"> </w:t>
      </w:r>
      <w:r w:rsidRPr="00815B74">
        <w:rPr>
          <w:rFonts w:ascii="Book Antiqua" w:hAnsi="Book Antiqua"/>
          <w:color w:val="000000"/>
        </w:rPr>
        <w:t xml:space="preserve">&lt; </w:t>
      </w:r>
      <w:r w:rsidRPr="00815B74">
        <w:rPr>
          <w:rFonts w:ascii="Book Antiqua" w:hAnsi="Book Antiqua" w:hint="eastAsia"/>
          <w:color w:val="000000"/>
        </w:rPr>
        <w:t>0</w:t>
      </w:r>
      <w:r w:rsidRPr="00815B74">
        <w:rPr>
          <w:rFonts w:ascii="Book Antiqua" w:hAnsi="Book Antiqua"/>
          <w:color w:val="000000"/>
        </w:rPr>
        <w:t>.05,</w:t>
      </w:r>
      <w:r w:rsidRPr="00815B74">
        <w:rPr>
          <w:rFonts w:ascii="Book Antiqua" w:hAnsi="Book Antiqua"/>
          <w:color w:val="000000"/>
          <w:vertAlign w:val="superscript"/>
        </w:rPr>
        <w:t xml:space="preserve"> </w:t>
      </w:r>
      <w:proofErr w:type="spellStart"/>
      <w:r w:rsidRPr="00815B74">
        <w:rPr>
          <w:rFonts w:ascii="Book Antiqua" w:hAnsi="Book Antiqua"/>
          <w:color w:val="000000"/>
          <w:vertAlign w:val="superscript"/>
        </w:rPr>
        <w:t>c</w:t>
      </w:r>
      <w:r w:rsidRPr="00815B74">
        <w:rPr>
          <w:rFonts w:ascii="Book Antiqua" w:hAnsi="Book Antiqua"/>
          <w:i/>
          <w:iCs/>
          <w:color w:val="000000"/>
        </w:rPr>
        <w:t>P</w:t>
      </w:r>
      <w:proofErr w:type="spellEnd"/>
      <w:r w:rsidRPr="00815B74">
        <w:rPr>
          <w:rFonts w:ascii="Book Antiqua" w:hAnsi="Book Antiqua"/>
          <w:i/>
          <w:iCs/>
          <w:color w:val="000000"/>
        </w:rPr>
        <w:t xml:space="preserve"> </w:t>
      </w:r>
      <w:r w:rsidRPr="00815B74">
        <w:rPr>
          <w:rFonts w:ascii="Book Antiqua" w:hAnsi="Book Antiqua"/>
          <w:color w:val="000000"/>
        </w:rPr>
        <w:t xml:space="preserve">&lt; </w:t>
      </w:r>
      <w:r w:rsidRPr="00815B74">
        <w:rPr>
          <w:rFonts w:ascii="Book Antiqua" w:hAnsi="Book Antiqua" w:hint="eastAsia"/>
          <w:color w:val="000000"/>
        </w:rPr>
        <w:t>0</w:t>
      </w:r>
      <w:r w:rsidRPr="00815B74">
        <w:rPr>
          <w:rFonts w:ascii="Book Antiqua" w:hAnsi="Book Antiqua"/>
          <w:color w:val="000000"/>
        </w:rPr>
        <w:t xml:space="preserve">.001. TBL1XR1: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TNM: Tumor-node-metastasis.</w:t>
      </w: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p>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b/>
          <w:bCs/>
          <w:color w:val="000000"/>
        </w:rPr>
        <w:br w:type="page"/>
      </w:r>
      <w:r w:rsidRPr="00815B74">
        <w:rPr>
          <w:rFonts w:ascii="Book Antiqua" w:hAnsi="Book Antiqua"/>
          <w:b/>
          <w:bCs/>
          <w:color w:val="000000"/>
        </w:rPr>
        <w:lastRenderedPageBreak/>
        <w:t>Table 3 Multivariate analysis of overall survival</w:t>
      </w:r>
    </w:p>
    <w:tbl>
      <w:tblPr>
        <w:tblW w:w="7831" w:type="dxa"/>
        <w:tblInd w:w="93" w:type="dxa"/>
        <w:tblLook w:val="0000" w:firstRow="0" w:lastRow="0" w:firstColumn="0" w:lastColumn="0" w:noHBand="0" w:noVBand="0"/>
      </w:tblPr>
      <w:tblGrid>
        <w:gridCol w:w="2111"/>
        <w:gridCol w:w="1258"/>
        <w:gridCol w:w="1061"/>
        <w:gridCol w:w="2249"/>
        <w:gridCol w:w="1152"/>
      </w:tblGrid>
      <w:tr w:rsidR="00D059D8" w:rsidRPr="00815B74">
        <w:trPr>
          <w:trHeight w:val="367"/>
        </w:trPr>
        <w:tc>
          <w:tcPr>
            <w:tcW w:w="2111" w:type="dxa"/>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Parameter</w:t>
            </w:r>
          </w:p>
        </w:tc>
        <w:tc>
          <w:tcPr>
            <w:tcW w:w="1258" w:type="dxa"/>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Category</w:t>
            </w:r>
          </w:p>
        </w:tc>
        <w:tc>
          <w:tcPr>
            <w:tcW w:w="1061" w:type="dxa"/>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 xml:space="preserve">Hazard Ratio </w:t>
            </w:r>
          </w:p>
        </w:tc>
        <w:tc>
          <w:tcPr>
            <w:tcW w:w="2249" w:type="dxa"/>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color w:val="000000"/>
              </w:rPr>
            </w:pPr>
            <w:r w:rsidRPr="00815B74">
              <w:rPr>
                <w:rFonts w:ascii="Book Antiqua" w:hAnsi="Book Antiqua"/>
                <w:b/>
                <w:bCs/>
                <w:color w:val="000000"/>
              </w:rPr>
              <w:t>95% Confidence Interval</w:t>
            </w:r>
          </w:p>
        </w:tc>
        <w:tc>
          <w:tcPr>
            <w:tcW w:w="1152" w:type="dxa"/>
            <w:tcBorders>
              <w:top w:val="single" w:sz="8" w:space="0" w:color="333300"/>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b/>
                <w:bCs/>
                <w:i/>
                <w:iCs/>
                <w:color w:val="000000"/>
              </w:rPr>
            </w:pPr>
            <w:r w:rsidRPr="00815B74">
              <w:rPr>
                <w:rFonts w:ascii="Book Antiqua" w:hAnsi="Book Antiqua"/>
                <w:b/>
                <w:bCs/>
                <w:i/>
                <w:iCs/>
                <w:color w:val="000000"/>
              </w:rPr>
              <w:t xml:space="preserve">P </w:t>
            </w:r>
            <w:r w:rsidRPr="00815B74">
              <w:rPr>
                <w:rFonts w:ascii="Book Antiqua" w:hAnsi="Book Antiqua"/>
                <w:b/>
                <w:bCs/>
                <w:color w:val="000000"/>
              </w:rPr>
              <w:t>value</w:t>
            </w:r>
          </w:p>
        </w:tc>
      </w:tr>
      <w:tr w:rsidR="00D059D8" w:rsidRPr="00815B74">
        <w:trPr>
          <w:trHeight w:val="367"/>
        </w:trPr>
        <w:tc>
          <w:tcPr>
            <w:tcW w:w="211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Age</w:t>
            </w:r>
            <w:r w:rsidRPr="00815B74">
              <w:rPr>
                <w:rFonts w:ascii="Book Antiqua" w:hAnsi="Book Antiqua" w:hint="eastAsia"/>
                <w:color w:val="000000"/>
              </w:rPr>
              <w:t xml:space="preserve"> (</w:t>
            </w:r>
            <w:proofErr w:type="spellStart"/>
            <w:r w:rsidRPr="00815B74">
              <w:rPr>
                <w:rFonts w:ascii="Book Antiqua" w:hAnsi="Book Antiqua" w:hint="eastAsia"/>
                <w:color w:val="000000"/>
              </w:rPr>
              <w:t>yrs</w:t>
            </w:r>
            <w:proofErr w:type="spellEnd"/>
            <w:r w:rsidRPr="00815B74">
              <w:rPr>
                <w:rFonts w:ascii="Book Antiqua" w:hAnsi="Book Antiqua" w:hint="eastAsia"/>
                <w:color w:val="000000"/>
              </w:rPr>
              <w:t>)</w:t>
            </w: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&lt; 60</w:t>
            </w:r>
          </w:p>
        </w:tc>
        <w:tc>
          <w:tcPr>
            <w:tcW w:w="1061" w:type="dxa"/>
            <w:vMerge w:val="restart"/>
            <w:tcBorders>
              <w:top w:val="single" w:sz="8" w:space="0" w:color="333300"/>
              <w:left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0.139 </w:t>
            </w:r>
          </w:p>
        </w:tc>
        <w:tc>
          <w:tcPr>
            <w:tcW w:w="2249" w:type="dxa"/>
            <w:vMerge w:val="restart"/>
            <w:tcBorders>
              <w:top w:val="single" w:sz="8" w:space="0" w:color="333300"/>
              <w:left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0.907 (0.544–1.514)</w:t>
            </w:r>
          </w:p>
        </w:tc>
        <w:tc>
          <w:tcPr>
            <w:tcW w:w="1152" w:type="dxa"/>
            <w:vMerge w:val="restart"/>
            <w:tcBorders>
              <w:top w:val="single" w:sz="8" w:space="0" w:color="333300"/>
              <w:left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0.709</w:t>
            </w:r>
          </w:p>
        </w:tc>
      </w:tr>
      <w:tr w:rsidR="00D059D8" w:rsidRPr="00815B74">
        <w:trPr>
          <w:trHeight w:val="367"/>
        </w:trPr>
        <w:tc>
          <w:tcPr>
            <w:tcW w:w="211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60</w:t>
            </w:r>
          </w:p>
        </w:tc>
        <w:tc>
          <w:tcPr>
            <w:tcW w:w="1061" w:type="dxa"/>
            <w:vMerge/>
            <w:tcBorders>
              <w:top w:val="nil"/>
              <w:left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nil"/>
              <w:left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nil"/>
              <w:left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67"/>
        </w:trPr>
        <w:tc>
          <w:tcPr>
            <w:tcW w:w="211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Sex</w:t>
            </w: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Male</w:t>
            </w:r>
          </w:p>
        </w:tc>
        <w:tc>
          <w:tcPr>
            <w:tcW w:w="1061" w:type="dxa"/>
            <w:vMerge w:val="restart"/>
            <w:tcBorders>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0.013 </w:t>
            </w:r>
          </w:p>
        </w:tc>
        <w:tc>
          <w:tcPr>
            <w:tcW w:w="2249" w:type="dxa"/>
            <w:vMerge w:val="restart"/>
            <w:tcBorders>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1.031 (0.613–1.734)</w:t>
            </w:r>
          </w:p>
        </w:tc>
        <w:tc>
          <w:tcPr>
            <w:tcW w:w="1152" w:type="dxa"/>
            <w:vMerge w:val="restart"/>
            <w:tcBorders>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0.908</w:t>
            </w:r>
          </w:p>
        </w:tc>
      </w:tr>
      <w:tr w:rsidR="00D059D8" w:rsidRPr="00815B74">
        <w:trPr>
          <w:trHeight w:val="367"/>
        </w:trPr>
        <w:tc>
          <w:tcPr>
            <w:tcW w:w="211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Female</w:t>
            </w:r>
          </w:p>
        </w:tc>
        <w:tc>
          <w:tcPr>
            <w:tcW w:w="1061" w:type="dxa"/>
            <w:vMerge/>
            <w:tcBorders>
              <w:top w:val="single" w:sz="8" w:space="0" w:color="333300"/>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single" w:sz="8" w:space="0" w:color="333300"/>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single" w:sz="8" w:space="0" w:color="333300"/>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67"/>
        </w:trPr>
        <w:tc>
          <w:tcPr>
            <w:tcW w:w="211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Histopathological subtypes</w:t>
            </w: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High</w:t>
            </w:r>
          </w:p>
        </w:tc>
        <w:tc>
          <w:tcPr>
            <w:tcW w:w="106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0.536 </w:t>
            </w:r>
          </w:p>
        </w:tc>
        <w:tc>
          <w:tcPr>
            <w:tcW w:w="224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1.184 (0.754–1.859)</w:t>
            </w:r>
          </w:p>
        </w:tc>
        <w:tc>
          <w:tcPr>
            <w:tcW w:w="115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0.464</w:t>
            </w:r>
          </w:p>
        </w:tc>
      </w:tr>
      <w:tr w:rsidR="00D059D8" w:rsidRPr="00815B74">
        <w:trPr>
          <w:trHeight w:val="367"/>
        </w:trPr>
        <w:tc>
          <w:tcPr>
            <w:tcW w:w="211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Middle</w:t>
            </w:r>
          </w:p>
        </w:tc>
        <w:tc>
          <w:tcPr>
            <w:tcW w:w="106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67"/>
        </w:trPr>
        <w:tc>
          <w:tcPr>
            <w:tcW w:w="211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Low</w:t>
            </w:r>
          </w:p>
        </w:tc>
        <w:tc>
          <w:tcPr>
            <w:tcW w:w="106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67"/>
        </w:trPr>
        <w:tc>
          <w:tcPr>
            <w:tcW w:w="211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bookmarkStart w:id="115" w:name="OLE_LINK436"/>
            <w:bookmarkStart w:id="116" w:name="OLE_LINK437"/>
            <w:r w:rsidRPr="00815B74">
              <w:rPr>
                <w:rFonts w:ascii="Book Antiqua" w:hAnsi="Book Antiqua"/>
                <w:color w:val="000000"/>
              </w:rPr>
              <w:t>TNM stage</w:t>
            </w: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1-II</w:t>
            </w:r>
          </w:p>
        </w:tc>
        <w:tc>
          <w:tcPr>
            <w:tcW w:w="106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5.692 </w:t>
            </w:r>
          </w:p>
        </w:tc>
        <w:tc>
          <w:tcPr>
            <w:tcW w:w="224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3.046 (1.220–7.604)</w:t>
            </w:r>
          </w:p>
        </w:tc>
        <w:tc>
          <w:tcPr>
            <w:tcW w:w="115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0.017</w:t>
            </w:r>
            <w:r w:rsidRPr="00815B74">
              <w:rPr>
                <w:rFonts w:ascii="Book Antiqua" w:hAnsi="Book Antiqua"/>
                <w:color w:val="000000"/>
                <w:vertAlign w:val="superscript"/>
              </w:rPr>
              <w:t>a</w:t>
            </w:r>
          </w:p>
        </w:tc>
      </w:tr>
      <w:bookmarkEnd w:id="115"/>
      <w:bookmarkEnd w:id="116"/>
      <w:tr w:rsidR="00D059D8" w:rsidRPr="00815B74">
        <w:trPr>
          <w:trHeight w:val="367"/>
        </w:trPr>
        <w:tc>
          <w:tcPr>
            <w:tcW w:w="211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III-IV</w:t>
            </w:r>
          </w:p>
        </w:tc>
        <w:tc>
          <w:tcPr>
            <w:tcW w:w="106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67"/>
        </w:trPr>
        <w:tc>
          <w:tcPr>
            <w:tcW w:w="211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Tumor size</w:t>
            </w: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bookmarkStart w:id="117" w:name="OLE_LINK442"/>
            <w:bookmarkStart w:id="118" w:name="OLE_LINK443"/>
            <w:r w:rsidRPr="00815B74">
              <w:rPr>
                <w:rFonts w:ascii="Book Antiqua" w:hAnsi="Book Antiqua"/>
                <w:color w:val="000000"/>
              </w:rPr>
              <w:t>&lt;</w:t>
            </w:r>
            <w:bookmarkEnd w:id="117"/>
            <w:bookmarkEnd w:id="118"/>
            <w:r w:rsidRPr="00815B74">
              <w:rPr>
                <w:rFonts w:ascii="Book Antiqua" w:hAnsi="Book Antiqua"/>
                <w:color w:val="000000"/>
              </w:rPr>
              <w:t xml:space="preserve"> 3 cm</w:t>
            </w:r>
          </w:p>
        </w:tc>
        <w:tc>
          <w:tcPr>
            <w:tcW w:w="106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1.297 </w:t>
            </w:r>
          </w:p>
        </w:tc>
        <w:tc>
          <w:tcPr>
            <w:tcW w:w="224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1.378 (0.794–2.394)</w:t>
            </w:r>
          </w:p>
        </w:tc>
        <w:tc>
          <w:tcPr>
            <w:tcW w:w="115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0.255</w:t>
            </w:r>
          </w:p>
        </w:tc>
      </w:tr>
      <w:tr w:rsidR="00D059D8" w:rsidRPr="00815B74">
        <w:trPr>
          <w:trHeight w:val="367"/>
        </w:trPr>
        <w:tc>
          <w:tcPr>
            <w:tcW w:w="211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3 cm</w:t>
            </w:r>
          </w:p>
        </w:tc>
        <w:tc>
          <w:tcPr>
            <w:tcW w:w="106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67"/>
        </w:trPr>
        <w:tc>
          <w:tcPr>
            <w:tcW w:w="211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Tumor location</w:t>
            </w: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Head</w:t>
            </w:r>
          </w:p>
        </w:tc>
        <w:tc>
          <w:tcPr>
            <w:tcW w:w="106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3.450 </w:t>
            </w:r>
          </w:p>
        </w:tc>
        <w:tc>
          <w:tcPr>
            <w:tcW w:w="224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1.487 (0.978–2.261)</w:t>
            </w:r>
          </w:p>
        </w:tc>
        <w:tc>
          <w:tcPr>
            <w:tcW w:w="1152"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0.063</w:t>
            </w:r>
          </w:p>
        </w:tc>
      </w:tr>
      <w:tr w:rsidR="00D059D8" w:rsidRPr="00815B74">
        <w:trPr>
          <w:trHeight w:val="367"/>
        </w:trPr>
        <w:tc>
          <w:tcPr>
            <w:tcW w:w="211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Body/tail</w:t>
            </w:r>
          </w:p>
        </w:tc>
        <w:tc>
          <w:tcPr>
            <w:tcW w:w="106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67"/>
        </w:trPr>
        <w:tc>
          <w:tcPr>
            <w:tcW w:w="211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Lymph node metastasis</w:t>
            </w: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Negative</w:t>
            </w:r>
          </w:p>
        </w:tc>
        <w:tc>
          <w:tcPr>
            <w:tcW w:w="1061"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7.855 </w:t>
            </w:r>
          </w:p>
        </w:tc>
        <w:tc>
          <w:tcPr>
            <w:tcW w:w="2249" w:type="dxa"/>
            <w:vMerge w:val="restart"/>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2.231 (1.273–3.909)</w:t>
            </w:r>
          </w:p>
        </w:tc>
        <w:tc>
          <w:tcPr>
            <w:tcW w:w="1152" w:type="dxa"/>
            <w:vMerge w:val="restart"/>
            <w:tcBorders>
              <w:top w:val="nil"/>
              <w:left w:val="nil"/>
              <w:bottom w:val="nil"/>
              <w:right w:val="nil"/>
            </w:tcBorders>
            <w:noWrap/>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0.005</w:t>
            </w:r>
            <w:r w:rsidRPr="00815B74">
              <w:rPr>
                <w:rFonts w:ascii="Book Antiqua" w:hAnsi="Book Antiqua"/>
                <w:color w:val="000000"/>
                <w:vertAlign w:val="superscript"/>
              </w:rPr>
              <w:t>b</w:t>
            </w:r>
          </w:p>
        </w:tc>
      </w:tr>
      <w:tr w:rsidR="00D059D8" w:rsidRPr="00815B74">
        <w:trPr>
          <w:trHeight w:val="367"/>
        </w:trPr>
        <w:tc>
          <w:tcPr>
            <w:tcW w:w="211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Positive</w:t>
            </w:r>
          </w:p>
        </w:tc>
        <w:tc>
          <w:tcPr>
            <w:tcW w:w="1061"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r w:rsidR="00D059D8" w:rsidRPr="00815B74">
        <w:trPr>
          <w:trHeight w:val="367"/>
        </w:trPr>
        <w:tc>
          <w:tcPr>
            <w:tcW w:w="2111"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TBL1XR1 expression</w:t>
            </w:r>
          </w:p>
        </w:tc>
        <w:tc>
          <w:tcPr>
            <w:tcW w:w="1258" w:type="dxa"/>
            <w:tcBorders>
              <w:top w:val="nil"/>
              <w:left w:val="nil"/>
              <w:bottom w:val="nil"/>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Low</w:t>
            </w:r>
          </w:p>
        </w:tc>
        <w:tc>
          <w:tcPr>
            <w:tcW w:w="1061"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 xml:space="preserve">13.951 </w:t>
            </w:r>
          </w:p>
        </w:tc>
        <w:tc>
          <w:tcPr>
            <w:tcW w:w="2249"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3.507 (1.815–6.774)</w:t>
            </w:r>
          </w:p>
        </w:tc>
        <w:tc>
          <w:tcPr>
            <w:tcW w:w="1152" w:type="dxa"/>
            <w:vMerge w:val="restart"/>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&lt; 0.001</w:t>
            </w:r>
            <w:r w:rsidRPr="00815B74">
              <w:rPr>
                <w:rFonts w:ascii="Book Antiqua" w:hAnsi="Book Antiqua"/>
                <w:color w:val="000000"/>
                <w:vertAlign w:val="superscript"/>
              </w:rPr>
              <w:t>c</w:t>
            </w:r>
          </w:p>
        </w:tc>
      </w:tr>
      <w:tr w:rsidR="00D059D8" w:rsidRPr="00815B74">
        <w:trPr>
          <w:trHeight w:val="367"/>
        </w:trPr>
        <w:tc>
          <w:tcPr>
            <w:tcW w:w="2111"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258" w:type="dxa"/>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r w:rsidRPr="00815B74">
              <w:rPr>
                <w:rFonts w:ascii="Book Antiqua" w:hAnsi="Book Antiqua"/>
                <w:color w:val="000000"/>
              </w:rPr>
              <w:t>High</w:t>
            </w:r>
          </w:p>
        </w:tc>
        <w:tc>
          <w:tcPr>
            <w:tcW w:w="1061"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2249"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c>
          <w:tcPr>
            <w:tcW w:w="1152" w:type="dxa"/>
            <w:vMerge/>
            <w:tcBorders>
              <w:top w:val="nil"/>
              <w:left w:val="nil"/>
              <w:bottom w:val="single" w:sz="8" w:space="0" w:color="333300"/>
              <w:right w:val="nil"/>
            </w:tcBorders>
            <w:vAlign w:val="center"/>
          </w:tcPr>
          <w:p w:rsidR="00D059D8" w:rsidRPr="00815B74" w:rsidRDefault="00D059D8">
            <w:pPr>
              <w:autoSpaceDE w:val="0"/>
              <w:autoSpaceDN w:val="0"/>
              <w:adjustRightInd w:val="0"/>
              <w:snapToGrid w:val="0"/>
              <w:spacing w:line="360" w:lineRule="auto"/>
              <w:jc w:val="both"/>
              <w:rPr>
                <w:rFonts w:ascii="Book Antiqua" w:hAnsi="Book Antiqua"/>
                <w:color w:val="000000"/>
              </w:rPr>
            </w:pPr>
          </w:p>
        </w:tc>
      </w:tr>
    </w:tbl>
    <w:p w:rsidR="00D059D8" w:rsidRDefault="00D059D8">
      <w:pPr>
        <w:autoSpaceDE w:val="0"/>
        <w:autoSpaceDN w:val="0"/>
        <w:adjustRightInd w:val="0"/>
        <w:snapToGrid w:val="0"/>
        <w:spacing w:line="360" w:lineRule="auto"/>
        <w:jc w:val="both"/>
        <w:rPr>
          <w:rFonts w:ascii="Book Antiqua" w:hAnsi="Book Antiqua"/>
          <w:color w:val="000000"/>
        </w:rPr>
      </w:pPr>
      <w:proofErr w:type="spellStart"/>
      <w:proofErr w:type="gramStart"/>
      <w:r w:rsidRPr="00815B74">
        <w:rPr>
          <w:rFonts w:ascii="Book Antiqua" w:hAnsi="Book Antiqua"/>
          <w:color w:val="000000"/>
          <w:vertAlign w:val="superscript"/>
        </w:rPr>
        <w:t>a</w:t>
      </w:r>
      <w:bookmarkStart w:id="119" w:name="OLE_LINK438"/>
      <w:bookmarkStart w:id="120" w:name="OLE_LINK439"/>
      <w:r w:rsidRPr="00815B74">
        <w:rPr>
          <w:rFonts w:ascii="Book Antiqua" w:hAnsi="Book Antiqua"/>
          <w:i/>
          <w:iCs/>
          <w:color w:val="000000"/>
        </w:rPr>
        <w:t>P</w:t>
      </w:r>
      <w:proofErr w:type="spellEnd"/>
      <w:proofErr w:type="gramEnd"/>
      <w:r w:rsidRPr="00815B74">
        <w:rPr>
          <w:rFonts w:ascii="Book Antiqua" w:hAnsi="Book Antiqua"/>
          <w:color w:val="000000"/>
        </w:rPr>
        <w:t xml:space="preserve"> &lt;</w:t>
      </w:r>
      <w:bookmarkEnd w:id="119"/>
      <w:bookmarkEnd w:id="120"/>
      <w:r w:rsidRPr="00815B74">
        <w:rPr>
          <w:rFonts w:ascii="Book Antiqua" w:hAnsi="Book Antiqua"/>
          <w:color w:val="000000"/>
        </w:rPr>
        <w:t xml:space="preserve"> 0.05, </w:t>
      </w:r>
      <w:proofErr w:type="spellStart"/>
      <w:r w:rsidRPr="00815B74">
        <w:rPr>
          <w:rFonts w:ascii="Book Antiqua" w:hAnsi="Book Antiqua"/>
          <w:color w:val="000000"/>
          <w:vertAlign w:val="superscript"/>
        </w:rPr>
        <w:t>b</w:t>
      </w:r>
      <w:r w:rsidRPr="00815B74">
        <w:rPr>
          <w:rFonts w:ascii="Book Antiqua" w:hAnsi="Book Antiqua"/>
          <w:i/>
          <w:iCs/>
          <w:color w:val="000000"/>
        </w:rPr>
        <w:t>P</w:t>
      </w:r>
      <w:proofErr w:type="spellEnd"/>
      <w:r w:rsidRPr="00815B74">
        <w:rPr>
          <w:rFonts w:ascii="Book Antiqua" w:hAnsi="Book Antiqua"/>
          <w:color w:val="000000"/>
        </w:rPr>
        <w:t xml:space="preserve"> &lt; 0.01, </w:t>
      </w:r>
      <w:proofErr w:type="spellStart"/>
      <w:r w:rsidRPr="00815B74">
        <w:rPr>
          <w:rFonts w:ascii="Book Antiqua" w:hAnsi="Book Antiqua"/>
          <w:color w:val="000000"/>
          <w:vertAlign w:val="superscript"/>
        </w:rPr>
        <w:t>c</w:t>
      </w:r>
      <w:r w:rsidRPr="00815B74">
        <w:rPr>
          <w:rFonts w:ascii="Book Antiqua" w:hAnsi="Book Antiqua"/>
          <w:i/>
          <w:iCs/>
          <w:color w:val="000000"/>
        </w:rPr>
        <w:t>P</w:t>
      </w:r>
      <w:proofErr w:type="spellEnd"/>
      <w:r w:rsidRPr="00815B74">
        <w:rPr>
          <w:rFonts w:ascii="Book Antiqua" w:hAnsi="Book Antiqua"/>
          <w:color w:val="000000"/>
        </w:rPr>
        <w:t xml:space="preserve"> &lt; 0.001.</w:t>
      </w:r>
      <w:r w:rsidRPr="00815B74">
        <w:rPr>
          <w:rFonts w:ascii="Book Antiqua" w:hAnsi="Book Antiqua"/>
          <w:color w:val="000000"/>
        </w:rPr>
        <w:tab/>
        <w:t xml:space="preserve">TBL1XR1: </w:t>
      </w:r>
      <w:proofErr w:type="spellStart"/>
      <w:r w:rsidRPr="00815B74">
        <w:rPr>
          <w:rFonts w:ascii="Book Antiqua" w:hAnsi="Book Antiqua"/>
          <w:color w:val="000000"/>
        </w:rPr>
        <w:t>Transducin</w:t>
      </w:r>
      <w:proofErr w:type="spellEnd"/>
      <w:r w:rsidRPr="00815B74">
        <w:rPr>
          <w:rFonts w:ascii="Book Antiqua" w:hAnsi="Book Antiqua"/>
          <w:color w:val="000000"/>
        </w:rPr>
        <w:t xml:space="preserve"> (β)-like 1 X-linked receptor 1; TNM: Tumor-node-metastasis.</w:t>
      </w:r>
    </w:p>
    <w:sectPr w:rsidR="00D059D8">
      <w:foot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2CE" w:rsidRDefault="00E162CE">
      <w:r>
        <w:separator/>
      </w:r>
    </w:p>
  </w:endnote>
  <w:endnote w:type="continuationSeparator" w:id="0">
    <w:p w:rsidR="00E162CE" w:rsidRDefault="00E16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9D8" w:rsidRDefault="00D059D8">
    <w:pPr>
      <w:pStyle w:val="ac"/>
      <w:jc w:val="center"/>
      <w:rPr>
        <w:color w:val="000000"/>
      </w:rPr>
    </w:pPr>
    <w:r>
      <w:rPr>
        <w:color w:val="000000"/>
      </w:rPr>
      <w:fldChar w:fldCharType="begin"/>
    </w:r>
    <w:r>
      <w:rPr>
        <w:color w:val="000000"/>
      </w:rPr>
      <w:instrText>PAGE  \* Arabic  \* MERGEFORMAT</w:instrText>
    </w:r>
    <w:r>
      <w:rPr>
        <w:color w:val="000000"/>
      </w:rPr>
      <w:fldChar w:fldCharType="separate"/>
    </w:r>
    <w:r w:rsidR="00815B74">
      <w:rPr>
        <w:noProof/>
        <w:color w:val="000000"/>
      </w:rPr>
      <w:t>31</w:t>
    </w:r>
    <w:r>
      <w:rPr>
        <w:color w:val="000000"/>
      </w:rPr>
      <w:fldChar w:fldCharType="end"/>
    </w:r>
    <w:r>
      <w:rPr>
        <w:color w:val="000000"/>
      </w:rPr>
      <w:t>/</w:t>
    </w:r>
    <w:r>
      <w:rPr>
        <w:color w:val="000000"/>
      </w:rPr>
      <w:fldChar w:fldCharType="begin"/>
    </w:r>
    <w:r>
      <w:rPr>
        <w:color w:val="000000"/>
      </w:rPr>
      <w:instrText>NUMPAGES  \* Arabic  \* MERGEFORMAT</w:instrText>
    </w:r>
    <w:r>
      <w:rPr>
        <w:color w:val="000000"/>
      </w:rPr>
      <w:fldChar w:fldCharType="separate"/>
    </w:r>
    <w:r w:rsidR="00815B74">
      <w:rPr>
        <w:noProof/>
        <w:color w:val="000000"/>
      </w:rPr>
      <w:t>31</w:t>
    </w:r>
    <w:r>
      <w:rPr>
        <w:color w:val="000000"/>
      </w:rPr>
      <w:fldChar w:fldCharType="end"/>
    </w:r>
  </w:p>
  <w:p w:rsidR="00D059D8" w:rsidRDefault="00D059D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2CE" w:rsidRDefault="00E162CE">
      <w:r>
        <w:separator/>
      </w:r>
    </w:p>
  </w:footnote>
  <w:footnote w:type="continuationSeparator" w:id="0">
    <w:p w:rsidR="00E162CE" w:rsidRDefault="00E162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6AA"/>
    <w:rsid w:val="00001BF7"/>
    <w:rsid w:val="00001F03"/>
    <w:rsid w:val="00006977"/>
    <w:rsid w:val="00006B90"/>
    <w:rsid w:val="00010A0C"/>
    <w:rsid w:val="00015ED9"/>
    <w:rsid w:val="00016DA9"/>
    <w:rsid w:val="00017F15"/>
    <w:rsid w:val="00024FED"/>
    <w:rsid w:val="00025801"/>
    <w:rsid w:val="0002656D"/>
    <w:rsid w:val="00026947"/>
    <w:rsid w:val="00026B1D"/>
    <w:rsid w:val="0003067F"/>
    <w:rsid w:val="00031F48"/>
    <w:rsid w:val="00033D69"/>
    <w:rsid w:val="00034CB1"/>
    <w:rsid w:val="000361C3"/>
    <w:rsid w:val="00040A05"/>
    <w:rsid w:val="00040C5E"/>
    <w:rsid w:val="00041BB1"/>
    <w:rsid w:val="00042348"/>
    <w:rsid w:val="0004449B"/>
    <w:rsid w:val="00045D3F"/>
    <w:rsid w:val="00047C66"/>
    <w:rsid w:val="000502CE"/>
    <w:rsid w:val="00051B6D"/>
    <w:rsid w:val="00052936"/>
    <w:rsid w:val="0005353A"/>
    <w:rsid w:val="00053756"/>
    <w:rsid w:val="00057B2A"/>
    <w:rsid w:val="00060DA5"/>
    <w:rsid w:val="00061C41"/>
    <w:rsid w:val="00063D60"/>
    <w:rsid w:val="0006424D"/>
    <w:rsid w:val="00067B55"/>
    <w:rsid w:val="000730CF"/>
    <w:rsid w:val="00073999"/>
    <w:rsid w:val="00074FDD"/>
    <w:rsid w:val="000818C9"/>
    <w:rsid w:val="00084023"/>
    <w:rsid w:val="0008516C"/>
    <w:rsid w:val="0009226F"/>
    <w:rsid w:val="000930C9"/>
    <w:rsid w:val="00095EEF"/>
    <w:rsid w:val="0009665F"/>
    <w:rsid w:val="000969F2"/>
    <w:rsid w:val="000A1BCD"/>
    <w:rsid w:val="000A2BA6"/>
    <w:rsid w:val="000A4B2D"/>
    <w:rsid w:val="000A4D81"/>
    <w:rsid w:val="000A638E"/>
    <w:rsid w:val="000A6981"/>
    <w:rsid w:val="000B04CC"/>
    <w:rsid w:val="000B124F"/>
    <w:rsid w:val="000B3172"/>
    <w:rsid w:val="000B4341"/>
    <w:rsid w:val="000B4CFC"/>
    <w:rsid w:val="000B7865"/>
    <w:rsid w:val="000C0990"/>
    <w:rsid w:val="000C3252"/>
    <w:rsid w:val="000C3B15"/>
    <w:rsid w:val="000C7F52"/>
    <w:rsid w:val="000C7FE8"/>
    <w:rsid w:val="000D2512"/>
    <w:rsid w:val="000D46CE"/>
    <w:rsid w:val="000D6E90"/>
    <w:rsid w:val="000D769E"/>
    <w:rsid w:val="000D7C6C"/>
    <w:rsid w:val="000D7CA1"/>
    <w:rsid w:val="000E134E"/>
    <w:rsid w:val="000E1E9A"/>
    <w:rsid w:val="000E1F40"/>
    <w:rsid w:val="000E2C6B"/>
    <w:rsid w:val="000F1C73"/>
    <w:rsid w:val="000F4AB6"/>
    <w:rsid w:val="000F4E92"/>
    <w:rsid w:val="000F5198"/>
    <w:rsid w:val="000F773D"/>
    <w:rsid w:val="000F7AED"/>
    <w:rsid w:val="00101B63"/>
    <w:rsid w:val="0010225A"/>
    <w:rsid w:val="00105578"/>
    <w:rsid w:val="00106044"/>
    <w:rsid w:val="0011043F"/>
    <w:rsid w:val="001112E6"/>
    <w:rsid w:val="001133D6"/>
    <w:rsid w:val="00113E15"/>
    <w:rsid w:val="00115064"/>
    <w:rsid w:val="00116D35"/>
    <w:rsid w:val="00121604"/>
    <w:rsid w:val="001217AF"/>
    <w:rsid w:val="00122C73"/>
    <w:rsid w:val="00123497"/>
    <w:rsid w:val="0012399B"/>
    <w:rsid w:val="001251BC"/>
    <w:rsid w:val="00132F25"/>
    <w:rsid w:val="00135360"/>
    <w:rsid w:val="00136C51"/>
    <w:rsid w:val="00140A5B"/>
    <w:rsid w:val="0014212C"/>
    <w:rsid w:val="00142F28"/>
    <w:rsid w:val="001461CD"/>
    <w:rsid w:val="0014668B"/>
    <w:rsid w:val="00154B26"/>
    <w:rsid w:val="001562E2"/>
    <w:rsid w:val="00157041"/>
    <w:rsid w:val="001639AE"/>
    <w:rsid w:val="001642EE"/>
    <w:rsid w:val="00164AD4"/>
    <w:rsid w:val="00167EF5"/>
    <w:rsid w:val="00167F2F"/>
    <w:rsid w:val="00170ABA"/>
    <w:rsid w:val="0017200E"/>
    <w:rsid w:val="001747E5"/>
    <w:rsid w:val="00175FB6"/>
    <w:rsid w:val="00176CBC"/>
    <w:rsid w:val="00176F1D"/>
    <w:rsid w:val="00181DB9"/>
    <w:rsid w:val="00182477"/>
    <w:rsid w:val="00182D07"/>
    <w:rsid w:val="001852F8"/>
    <w:rsid w:val="00185AE9"/>
    <w:rsid w:val="00186126"/>
    <w:rsid w:val="00194748"/>
    <w:rsid w:val="001976CA"/>
    <w:rsid w:val="001A061A"/>
    <w:rsid w:val="001A13A3"/>
    <w:rsid w:val="001A2416"/>
    <w:rsid w:val="001A35A3"/>
    <w:rsid w:val="001A3E78"/>
    <w:rsid w:val="001A3F6A"/>
    <w:rsid w:val="001A68B5"/>
    <w:rsid w:val="001B1AB0"/>
    <w:rsid w:val="001B6030"/>
    <w:rsid w:val="001B6388"/>
    <w:rsid w:val="001C1EB8"/>
    <w:rsid w:val="001C2ABC"/>
    <w:rsid w:val="001C5427"/>
    <w:rsid w:val="001C5716"/>
    <w:rsid w:val="001C76EC"/>
    <w:rsid w:val="001C7BE7"/>
    <w:rsid w:val="001C7F38"/>
    <w:rsid w:val="001D091D"/>
    <w:rsid w:val="001D199C"/>
    <w:rsid w:val="001D4074"/>
    <w:rsid w:val="001D4E7D"/>
    <w:rsid w:val="001D5CAE"/>
    <w:rsid w:val="001D7769"/>
    <w:rsid w:val="001E01BB"/>
    <w:rsid w:val="001E53E7"/>
    <w:rsid w:val="001E5B48"/>
    <w:rsid w:val="001F0F83"/>
    <w:rsid w:val="001F258D"/>
    <w:rsid w:val="001F365F"/>
    <w:rsid w:val="001F5C28"/>
    <w:rsid w:val="001F68E5"/>
    <w:rsid w:val="001F740E"/>
    <w:rsid w:val="002012F7"/>
    <w:rsid w:val="002023B7"/>
    <w:rsid w:val="00204C64"/>
    <w:rsid w:val="0021121D"/>
    <w:rsid w:val="00211504"/>
    <w:rsid w:val="00211E67"/>
    <w:rsid w:val="00212797"/>
    <w:rsid w:val="00212DFD"/>
    <w:rsid w:val="00217FE9"/>
    <w:rsid w:val="00220411"/>
    <w:rsid w:val="0022262C"/>
    <w:rsid w:val="0022296E"/>
    <w:rsid w:val="00223469"/>
    <w:rsid w:val="00223633"/>
    <w:rsid w:val="00225FBE"/>
    <w:rsid w:val="00233E96"/>
    <w:rsid w:val="002348B8"/>
    <w:rsid w:val="0023609C"/>
    <w:rsid w:val="00237CB6"/>
    <w:rsid w:val="00240632"/>
    <w:rsid w:val="002478D6"/>
    <w:rsid w:val="00250D3C"/>
    <w:rsid w:val="002571D7"/>
    <w:rsid w:val="00260BAC"/>
    <w:rsid w:val="00261D4C"/>
    <w:rsid w:val="00262608"/>
    <w:rsid w:val="002628F4"/>
    <w:rsid w:val="00265648"/>
    <w:rsid w:val="00270E95"/>
    <w:rsid w:val="002763E1"/>
    <w:rsid w:val="0028109C"/>
    <w:rsid w:val="00282C2E"/>
    <w:rsid w:val="00282D81"/>
    <w:rsid w:val="00283B04"/>
    <w:rsid w:val="00283DDA"/>
    <w:rsid w:val="002859C7"/>
    <w:rsid w:val="00285D93"/>
    <w:rsid w:val="002861DC"/>
    <w:rsid w:val="00291F47"/>
    <w:rsid w:val="002938C5"/>
    <w:rsid w:val="002940FC"/>
    <w:rsid w:val="0029583F"/>
    <w:rsid w:val="00295F00"/>
    <w:rsid w:val="002A081F"/>
    <w:rsid w:val="002A274F"/>
    <w:rsid w:val="002A2DAD"/>
    <w:rsid w:val="002A3D52"/>
    <w:rsid w:val="002A6006"/>
    <w:rsid w:val="002B0876"/>
    <w:rsid w:val="002B12AD"/>
    <w:rsid w:val="002B23A6"/>
    <w:rsid w:val="002B4858"/>
    <w:rsid w:val="002B6CD0"/>
    <w:rsid w:val="002B7B93"/>
    <w:rsid w:val="002C128D"/>
    <w:rsid w:val="002C28E4"/>
    <w:rsid w:val="002C49CE"/>
    <w:rsid w:val="002C50AC"/>
    <w:rsid w:val="002C56C9"/>
    <w:rsid w:val="002C5BBA"/>
    <w:rsid w:val="002C6358"/>
    <w:rsid w:val="002C675C"/>
    <w:rsid w:val="002C701C"/>
    <w:rsid w:val="002C750F"/>
    <w:rsid w:val="002D13AB"/>
    <w:rsid w:val="002D3540"/>
    <w:rsid w:val="002D37CA"/>
    <w:rsid w:val="002D401D"/>
    <w:rsid w:val="002D58FE"/>
    <w:rsid w:val="002E2280"/>
    <w:rsid w:val="002E2EC5"/>
    <w:rsid w:val="002E42EF"/>
    <w:rsid w:val="002E715A"/>
    <w:rsid w:val="002E7B69"/>
    <w:rsid w:val="002F190B"/>
    <w:rsid w:val="002F504C"/>
    <w:rsid w:val="002F585B"/>
    <w:rsid w:val="002F7989"/>
    <w:rsid w:val="003038B3"/>
    <w:rsid w:val="00303AFB"/>
    <w:rsid w:val="00304206"/>
    <w:rsid w:val="00306150"/>
    <w:rsid w:val="00311550"/>
    <w:rsid w:val="00315705"/>
    <w:rsid w:val="003157AD"/>
    <w:rsid w:val="00317884"/>
    <w:rsid w:val="00322E40"/>
    <w:rsid w:val="00324ED1"/>
    <w:rsid w:val="00324EF0"/>
    <w:rsid w:val="003256FC"/>
    <w:rsid w:val="00326C73"/>
    <w:rsid w:val="00326F06"/>
    <w:rsid w:val="00330E03"/>
    <w:rsid w:val="00331A8B"/>
    <w:rsid w:val="0033547C"/>
    <w:rsid w:val="003367C9"/>
    <w:rsid w:val="00337B8A"/>
    <w:rsid w:val="00341420"/>
    <w:rsid w:val="00342486"/>
    <w:rsid w:val="0034307D"/>
    <w:rsid w:val="00344E92"/>
    <w:rsid w:val="00344E97"/>
    <w:rsid w:val="003462F6"/>
    <w:rsid w:val="0035509E"/>
    <w:rsid w:val="003556AB"/>
    <w:rsid w:val="00355A9E"/>
    <w:rsid w:val="00355CB6"/>
    <w:rsid w:val="00356781"/>
    <w:rsid w:val="003609E8"/>
    <w:rsid w:val="00361394"/>
    <w:rsid w:val="0036342B"/>
    <w:rsid w:val="0036351F"/>
    <w:rsid w:val="003643CA"/>
    <w:rsid w:val="0036455A"/>
    <w:rsid w:val="00364B2F"/>
    <w:rsid w:val="00365D89"/>
    <w:rsid w:val="00366DA7"/>
    <w:rsid w:val="00367C3F"/>
    <w:rsid w:val="00371106"/>
    <w:rsid w:val="00371328"/>
    <w:rsid w:val="0037162D"/>
    <w:rsid w:val="00373A22"/>
    <w:rsid w:val="00376BAC"/>
    <w:rsid w:val="00383557"/>
    <w:rsid w:val="00384589"/>
    <w:rsid w:val="00384A0B"/>
    <w:rsid w:val="00391A2E"/>
    <w:rsid w:val="00395F8E"/>
    <w:rsid w:val="003978D6"/>
    <w:rsid w:val="003A051C"/>
    <w:rsid w:val="003A0E89"/>
    <w:rsid w:val="003A2302"/>
    <w:rsid w:val="003A2447"/>
    <w:rsid w:val="003A2A46"/>
    <w:rsid w:val="003B1162"/>
    <w:rsid w:val="003B56ED"/>
    <w:rsid w:val="003B7DE0"/>
    <w:rsid w:val="003C03BB"/>
    <w:rsid w:val="003C0FB8"/>
    <w:rsid w:val="003C3055"/>
    <w:rsid w:val="003C4333"/>
    <w:rsid w:val="003C4718"/>
    <w:rsid w:val="003C5BCE"/>
    <w:rsid w:val="003C649A"/>
    <w:rsid w:val="003D0BFC"/>
    <w:rsid w:val="003D1CEA"/>
    <w:rsid w:val="003D289E"/>
    <w:rsid w:val="003D46E7"/>
    <w:rsid w:val="003D6012"/>
    <w:rsid w:val="003D7562"/>
    <w:rsid w:val="003D7C94"/>
    <w:rsid w:val="003E101F"/>
    <w:rsid w:val="003E34D9"/>
    <w:rsid w:val="003E3A2C"/>
    <w:rsid w:val="003E73F7"/>
    <w:rsid w:val="003E7E1B"/>
    <w:rsid w:val="003F1B2E"/>
    <w:rsid w:val="003F28FC"/>
    <w:rsid w:val="003F2DD2"/>
    <w:rsid w:val="003F464C"/>
    <w:rsid w:val="003F5906"/>
    <w:rsid w:val="003F7BEE"/>
    <w:rsid w:val="0040082A"/>
    <w:rsid w:val="00400B20"/>
    <w:rsid w:val="00401CC0"/>
    <w:rsid w:val="0040391F"/>
    <w:rsid w:val="00404014"/>
    <w:rsid w:val="004040BC"/>
    <w:rsid w:val="00406D82"/>
    <w:rsid w:val="00410451"/>
    <w:rsid w:val="00410549"/>
    <w:rsid w:val="00410FF3"/>
    <w:rsid w:val="00411F26"/>
    <w:rsid w:val="00412838"/>
    <w:rsid w:val="00412864"/>
    <w:rsid w:val="00417764"/>
    <w:rsid w:val="00420008"/>
    <w:rsid w:val="00420E2B"/>
    <w:rsid w:val="00421F4A"/>
    <w:rsid w:val="00423C78"/>
    <w:rsid w:val="00425A2B"/>
    <w:rsid w:val="0042725D"/>
    <w:rsid w:val="0042764C"/>
    <w:rsid w:val="00432462"/>
    <w:rsid w:val="00432F98"/>
    <w:rsid w:val="00433D7F"/>
    <w:rsid w:val="00435990"/>
    <w:rsid w:val="00435E00"/>
    <w:rsid w:val="004363DA"/>
    <w:rsid w:val="00443AE7"/>
    <w:rsid w:val="00446115"/>
    <w:rsid w:val="00450733"/>
    <w:rsid w:val="0045097C"/>
    <w:rsid w:val="00451176"/>
    <w:rsid w:val="00451601"/>
    <w:rsid w:val="00452C3F"/>
    <w:rsid w:val="00453791"/>
    <w:rsid w:val="004567F9"/>
    <w:rsid w:val="004572E0"/>
    <w:rsid w:val="004576E7"/>
    <w:rsid w:val="0046021A"/>
    <w:rsid w:val="004616C8"/>
    <w:rsid w:val="004673BB"/>
    <w:rsid w:val="0047013B"/>
    <w:rsid w:val="00471733"/>
    <w:rsid w:val="004723BB"/>
    <w:rsid w:val="004730D4"/>
    <w:rsid w:val="0047429E"/>
    <w:rsid w:val="00474BA6"/>
    <w:rsid w:val="00480CDA"/>
    <w:rsid w:val="00481388"/>
    <w:rsid w:val="00482511"/>
    <w:rsid w:val="00482600"/>
    <w:rsid w:val="004842DE"/>
    <w:rsid w:val="00485E82"/>
    <w:rsid w:val="0048673D"/>
    <w:rsid w:val="00487610"/>
    <w:rsid w:val="004879C3"/>
    <w:rsid w:val="00492D56"/>
    <w:rsid w:val="004931DF"/>
    <w:rsid w:val="004950E5"/>
    <w:rsid w:val="004A26C9"/>
    <w:rsid w:val="004A685E"/>
    <w:rsid w:val="004A75A9"/>
    <w:rsid w:val="004B1BB7"/>
    <w:rsid w:val="004B24CD"/>
    <w:rsid w:val="004B266F"/>
    <w:rsid w:val="004B302D"/>
    <w:rsid w:val="004B5AC6"/>
    <w:rsid w:val="004B604B"/>
    <w:rsid w:val="004B6961"/>
    <w:rsid w:val="004C1F60"/>
    <w:rsid w:val="004D1661"/>
    <w:rsid w:val="004D1E4E"/>
    <w:rsid w:val="004D3AB2"/>
    <w:rsid w:val="004D4410"/>
    <w:rsid w:val="004D6B2A"/>
    <w:rsid w:val="004E087F"/>
    <w:rsid w:val="004E122E"/>
    <w:rsid w:val="004E160F"/>
    <w:rsid w:val="004E247E"/>
    <w:rsid w:val="004E2B20"/>
    <w:rsid w:val="004E3F36"/>
    <w:rsid w:val="004E4273"/>
    <w:rsid w:val="004E435E"/>
    <w:rsid w:val="004E4F8A"/>
    <w:rsid w:val="004E6771"/>
    <w:rsid w:val="004E78F1"/>
    <w:rsid w:val="004F03B8"/>
    <w:rsid w:val="004F0EFF"/>
    <w:rsid w:val="004F148D"/>
    <w:rsid w:val="004F4552"/>
    <w:rsid w:val="004F5063"/>
    <w:rsid w:val="004F7C16"/>
    <w:rsid w:val="00500AA5"/>
    <w:rsid w:val="005225CB"/>
    <w:rsid w:val="00523016"/>
    <w:rsid w:val="0052562C"/>
    <w:rsid w:val="00530EE4"/>
    <w:rsid w:val="005330B3"/>
    <w:rsid w:val="005342A0"/>
    <w:rsid w:val="00535228"/>
    <w:rsid w:val="005356FB"/>
    <w:rsid w:val="00537FB0"/>
    <w:rsid w:val="0054362A"/>
    <w:rsid w:val="0054466F"/>
    <w:rsid w:val="0054582E"/>
    <w:rsid w:val="00545AAA"/>
    <w:rsid w:val="00547A5D"/>
    <w:rsid w:val="00551DCC"/>
    <w:rsid w:val="00552444"/>
    <w:rsid w:val="00555B49"/>
    <w:rsid w:val="005603D1"/>
    <w:rsid w:val="00561A4B"/>
    <w:rsid w:val="00562BA7"/>
    <w:rsid w:val="00564021"/>
    <w:rsid w:val="00564B1E"/>
    <w:rsid w:val="0056538B"/>
    <w:rsid w:val="00571E9D"/>
    <w:rsid w:val="005727F6"/>
    <w:rsid w:val="0057785A"/>
    <w:rsid w:val="00582C03"/>
    <w:rsid w:val="00582D85"/>
    <w:rsid w:val="0058337B"/>
    <w:rsid w:val="00584B71"/>
    <w:rsid w:val="00591700"/>
    <w:rsid w:val="005933D8"/>
    <w:rsid w:val="00593407"/>
    <w:rsid w:val="00597F07"/>
    <w:rsid w:val="005A1264"/>
    <w:rsid w:val="005A1F75"/>
    <w:rsid w:val="005A46AA"/>
    <w:rsid w:val="005A60DA"/>
    <w:rsid w:val="005B0513"/>
    <w:rsid w:val="005B1D22"/>
    <w:rsid w:val="005B1E59"/>
    <w:rsid w:val="005C0AE0"/>
    <w:rsid w:val="005C3D60"/>
    <w:rsid w:val="005C547C"/>
    <w:rsid w:val="005C54BB"/>
    <w:rsid w:val="005C5978"/>
    <w:rsid w:val="005C5A87"/>
    <w:rsid w:val="005D4322"/>
    <w:rsid w:val="005D4FB2"/>
    <w:rsid w:val="005D75EA"/>
    <w:rsid w:val="005D7C15"/>
    <w:rsid w:val="005E066B"/>
    <w:rsid w:val="005E0890"/>
    <w:rsid w:val="005E1465"/>
    <w:rsid w:val="005E429B"/>
    <w:rsid w:val="005E44C6"/>
    <w:rsid w:val="005E7D76"/>
    <w:rsid w:val="005F4940"/>
    <w:rsid w:val="005F5096"/>
    <w:rsid w:val="005F5BF0"/>
    <w:rsid w:val="005F6A5D"/>
    <w:rsid w:val="0060007E"/>
    <w:rsid w:val="006000B5"/>
    <w:rsid w:val="00600AA0"/>
    <w:rsid w:val="00602208"/>
    <w:rsid w:val="006043B0"/>
    <w:rsid w:val="006059D1"/>
    <w:rsid w:val="00610813"/>
    <w:rsid w:val="00613C9B"/>
    <w:rsid w:val="00613FEE"/>
    <w:rsid w:val="00617E0F"/>
    <w:rsid w:val="00620F55"/>
    <w:rsid w:val="00621080"/>
    <w:rsid w:val="006213D0"/>
    <w:rsid w:val="006220D5"/>
    <w:rsid w:val="0062528D"/>
    <w:rsid w:val="00625CB7"/>
    <w:rsid w:val="006277E3"/>
    <w:rsid w:val="00627EF7"/>
    <w:rsid w:val="00631190"/>
    <w:rsid w:val="00632AA6"/>
    <w:rsid w:val="00634031"/>
    <w:rsid w:val="0063523B"/>
    <w:rsid w:val="0063578C"/>
    <w:rsid w:val="006370B1"/>
    <w:rsid w:val="006403A5"/>
    <w:rsid w:val="0064462E"/>
    <w:rsid w:val="0064722F"/>
    <w:rsid w:val="00647504"/>
    <w:rsid w:val="006500A5"/>
    <w:rsid w:val="00650DFA"/>
    <w:rsid w:val="0065140E"/>
    <w:rsid w:val="00652A37"/>
    <w:rsid w:val="006549C7"/>
    <w:rsid w:val="00655799"/>
    <w:rsid w:val="00656022"/>
    <w:rsid w:val="00661A61"/>
    <w:rsid w:val="006635C3"/>
    <w:rsid w:val="0066374F"/>
    <w:rsid w:val="00665E3F"/>
    <w:rsid w:val="00666D05"/>
    <w:rsid w:val="00670B25"/>
    <w:rsid w:val="00673DBB"/>
    <w:rsid w:val="00675051"/>
    <w:rsid w:val="00682A66"/>
    <w:rsid w:val="00687CDD"/>
    <w:rsid w:val="00687F5E"/>
    <w:rsid w:val="0069155A"/>
    <w:rsid w:val="00691D77"/>
    <w:rsid w:val="00693D81"/>
    <w:rsid w:val="00694C53"/>
    <w:rsid w:val="0069674A"/>
    <w:rsid w:val="006968BD"/>
    <w:rsid w:val="006A1606"/>
    <w:rsid w:val="006A3FCD"/>
    <w:rsid w:val="006A4D26"/>
    <w:rsid w:val="006B03D5"/>
    <w:rsid w:val="006B06F0"/>
    <w:rsid w:val="006B0D9B"/>
    <w:rsid w:val="006B2935"/>
    <w:rsid w:val="006B2B18"/>
    <w:rsid w:val="006C0270"/>
    <w:rsid w:val="006C42BC"/>
    <w:rsid w:val="006C6555"/>
    <w:rsid w:val="006D1071"/>
    <w:rsid w:val="006D2D9E"/>
    <w:rsid w:val="006D4687"/>
    <w:rsid w:val="006D4CAA"/>
    <w:rsid w:val="006D5CC1"/>
    <w:rsid w:val="006D7D9E"/>
    <w:rsid w:val="006E0125"/>
    <w:rsid w:val="006E1238"/>
    <w:rsid w:val="006E3884"/>
    <w:rsid w:val="006E7063"/>
    <w:rsid w:val="006E72A5"/>
    <w:rsid w:val="006F0944"/>
    <w:rsid w:val="006F0F14"/>
    <w:rsid w:val="006F295A"/>
    <w:rsid w:val="006F6788"/>
    <w:rsid w:val="00700C01"/>
    <w:rsid w:val="0070405D"/>
    <w:rsid w:val="00705E62"/>
    <w:rsid w:val="0070733A"/>
    <w:rsid w:val="00710B7C"/>
    <w:rsid w:val="0071219F"/>
    <w:rsid w:val="00712CF8"/>
    <w:rsid w:val="00713B59"/>
    <w:rsid w:val="00714030"/>
    <w:rsid w:val="00717BC7"/>
    <w:rsid w:val="00722E9D"/>
    <w:rsid w:val="00725787"/>
    <w:rsid w:val="00726A41"/>
    <w:rsid w:val="00730167"/>
    <w:rsid w:val="00731109"/>
    <w:rsid w:val="00731581"/>
    <w:rsid w:val="00733671"/>
    <w:rsid w:val="007337EC"/>
    <w:rsid w:val="00736B05"/>
    <w:rsid w:val="00737A5F"/>
    <w:rsid w:val="00743921"/>
    <w:rsid w:val="007446EE"/>
    <w:rsid w:val="007454A5"/>
    <w:rsid w:val="00745C7D"/>
    <w:rsid w:val="00746C04"/>
    <w:rsid w:val="00746C10"/>
    <w:rsid w:val="00747059"/>
    <w:rsid w:val="00747434"/>
    <w:rsid w:val="00751807"/>
    <w:rsid w:val="00752990"/>
    <w:rsid w:val="00752F03"/>
    <w:rsid w:val="00756452"/>
    <w:rsid w:val="00756722"/>
    <w:rsid w:val="00760DD3"/>
    <w:rsid w:val="00761189"/>
    <w:rsid w:val="007615FE"/>
    <w:rsid w:val="0076265B"/>
    <w:rsid w:val="00763639"/>
    <w:rsid w:val="00767B91"/>
    <w:rsid w:val="00771237"/>
    <w:rsid w:val="00772A61"/>
    <w:rsid w:val="0077539C"/>
    <w:rsid w:val="00777417"/>
    <w:rsid w:val="00777ACF"/>
    <w:rsid w:val="00781578"/>
    <w:rsid w:val="00782213"/>
    <w:rsid w:val="00787F62"/>
    <w:rsid w:val="00790F45"/>
    <w:rsid w:val="007940BC"/>
    <w:rsid w:val="00795A5C"/>
    <w:rsid w:val="00795D32"/>
    <w:rsid w:val="0079601B"/>
    <w:rsid w:val="007A1E85"/>
    <w:rsid w:val="007A1F85"/>
    <w:rsid w:val="007A22D9"/>
    <w:rsid w:val="007A56A5"/>
    <w:rsid w:val="007B0225"/>
    <w:rsid w:val="007B0AD7"/>
    <w:rsid w:val="007B1BD0"/>
    <w:rsid w:val="007B2085"/>
    <w:rsid w:val="007B214A"/>
    <w:rsid w:val="007B2A45"/>
    <w:rsid w:val="007B2AE2"/>
    <w:rsid w:val="007B3178"/>
    <w:rsid w:val="007B43B5"/>
    <w:rsid w:val="007B5162"/>
    <w:rsid w:val="007B57A4"/>
    <w:rsid w:val="007B5B33"/>
    <w:rsid w:val="007C086F"/>
    <w:rsid w:val="007C0B3E"/>
    <w:rsid w:val="007C298D"/>
    <w:rsid w:val="007C2F0B"/>
    <w:rsid w:val="007C4424"/>
    <w:rsid w:val="007C6EF8"/>
    <w:rsid w:val="007C7AD6"/>
    <w:rsid w:val="007D0B5F"/>
    <w:rsid w:val="007D2436"/>
    <w:rsid w:val="007D37C5"/>
    <w:rsid w:val="007D4DF3"/>
    <w:rsid w:val="007D64BD"/>
    <w:rsid w:val="007D774E"/>
    <w:rsid w:val="007E102C"/>
    <w:rsid w:val="007E30BF"/>
    <w:rsid w:val="007E7443"/>
    <w:rsid w:val="007F1DA2"/>
    <w:rsid w:val="007F553C"/>
    <w:rsid w:val="007F6A84"/>
    <w:rsid w:val="007F6BFA"/>
    <w:rsid w:val="007F6ECA"/>
    <w:rsid w:val="00802BF7"/>
    <w:rsid w:val="00804E31"/>
    <w:rsid w:val="00805AFC"/>
    <w:rsid w:val="00811FC5"/>
    <w:rsid w:val="00814733"/>
    <w:rsid w:val="00814BB1"/>
    <w:rsid w:val="00815B74"/>
    <w:rsid w:val="008175AF"/>
    <w:rsid w:val="008210AE"/>
    <w:rsid w:val="00823B4A"/>
    <w:rsid w:val="0083319D"/>
    <w:rsid w:val="008340D0"/>
    <w:rsid w:val="00834224"/>
    <w:rsid w:val="0083721B"/>
    <w:rsid w:val="008459AD"/>
    <w:rsid w:val="00845A49"/>
    <w:rsid w:val="00847282"/>
    <w:rsid w:val="0085057C"/>
    <w:rsid w:val="00850CC4"/>
    <w:rsid w:val="00853F7C"/>
    <w:rsid w:val="00854133"/>
    <w:rsid w:val="00854CC2"/>
    <w:rsid w:val="00860556"/>
    <w:rsid w:val="00860B70"/>
    <w:rsid w:val="00863EF3"/>
    <w:rsid w:val="00864095"/>
    <w:rsid w:val="00864191"/>
    <w:rsid w:val="00864235"/>
    <w:rsid w:val="00864A50"/>
    <w:rsid w:val="00867C08"/>
    <w:rsid w:val="00867FA2"/>
    <w:rsid w:val="008701AD"/>
    <w:rsid w:val="008719AD"/>
    <w:rsid w:val="00872141"/>
    <w:rsid w:val="00883D4C"/>
    <w:rsid w:val="008842E1"/>
    <w:rsid w:val="00886887"/>
    <w:rsid w:val="00886C3C"/>
    <w:rsid w:val="00890A1A"/>
    <w:rsid w:val="00892252"/>
    <w:rsid w:val="0089230D"/>
    <w:rsid w:val="00893952"/>
    <w:rsid w:val="00893F85"/>
    <w:rsid w:val="008A177B"/>
    <w:rsid w:val="008A2B8F"/>
    <w:rsid w:val="008A36CD"/>
    <w:rsid w:val="008A4AF5"/>
    <w:rsid w:val="008A6C58"/>
    <w:rsid w:val="008A7006"/>
    <w:rsid w:val="008B1546"/>
    <w:rsid w:val="008B4A44"/>
    <w:rsid w:val="008B4D69"/>
    <w:rsid w:val="008C0176"/>
    <w:rsid w:val="008C7A96"/>
    <w:rsid w:val="008D017E"/>
    <w:rsid w:val="008D38A4"/>
    <w:rsid w:val="008D3A3A"/>
    <w:rsid w:val="008D5D95"/>
    <w:rsid w:val="008D7B9F"/>
    <w:rsid w:val="008E006C"/>
    <w:rsid w:val="008E079F"/>
    <w:rsid w:val="008E0BE1"/>
    <w:rsid w:val="008E14D8"/>
    <w:rsid w:val="008E2C67"/>
    <w:rsid w:val="008E32DE"/>
    <w:rsid w:val="008E4CD0"/>
    <w:rsid w:val="008E61C1"/>
    <w:rsid w:val="008E646F"/>
    <w:rsid w:val="008E77F2"/>
    <w:rsid w:val="008F00E0"/>
    <w:rsid w:val="008F2609"/>
    <w:rsid w:val="008F2ABD"/>
    <w:rsid w:val="008F348C"/>
    <w:rsid w:val="008F6D77"/>
    <w:rsid w:val="008F7DC4"/>
    <w:rsid w:val="00900EB1"/>
    <w:rsid w:val="009056BB"/>
    <w:rsid w:val="00906E8E"/>
    <w:rsid w:val="00907668"/>
    <w:rsid w:val="00911415"/>
    <w:rsid w:val="00912C38"/>
    <w:rsid w:val="00914653"/>
    <w:rsid w:val="0091695A"/>
    <w:rsid w:val="00917781"/>
    <w:rsid w:val="00917DA4"/>
    <w:rsid w:val="00922F65"/>
    <w:rsid w:val="00923972"/>
    <w:rsid w:val="009239D5"/>
    <w:rsid w:val="0092400E"/>
    <w:rsid w:val="00930881"/>
    <w:rsid w:val="00930919"/>
    <w:rsid w:val="009322D2"/>
    <w:rsid w:val="00932AD9"/>
    <w:rsid w:val="0093322E"/>
    <w:rsid w:val="00933F6B"/>
    <w:rsid w:val="009344C6"/>
    <w:rsid w:val="00935B00"/>
    <w:rsid w:val="0093618F"/>
    <w:rsid w:val="009363C2"/>
    <w:rsid w:val="009375B6"/>
    <w:rsid w:val="00943C54"/>
    <w:rsid w:val="009456AE"/>
    <w:rsid w:val="00945D26"/>
    <w:rsid w:val="00947BC5"/>
    <w:rsid w:val="00954389"/>
    <w:rsid w:val="00963278"/>
    <w:rsid w:val="0096691E"/>
    <w:rsid w:val="009669EE"/>
    <w:rsid w:val="009705EA"/>
    <w:rsid w:val="009715B2"/>
    <w:rsid w:val="009745C8"/>
    <w:rsid w:val="00976706"/>
    <w:rsid w:val="0098042F"/>
    <w:rsid w:val="00984612"/>
    <w:rsid w:val="00987A23"/>
    <w:rsid w:val="00994421"/>
    <w:rsid w:val="0099525A"/>
    <w:rsid w:val="00997B4B"/>
    <w:rsid w:val="00997C59"/>
    <w:rsid w:val="009A0A0F"/>
    <w:rsid w:val="009A0DE3"/>
    <w:rsid w:val="009A52D2"/>
    <w:rsid w:val="009A5490"/>
    <w:rsid w:val="009A6404"/>
    <w:rsid w:val="009A7CDC"/>
    <w:rsid w:val="009B26C0"/>
    <w:rsid w:val="009B32D3"/>
    <w:rsid w:val="009B5370"/>
    <w:rsid w:val="009B70A8"/>
    <w:rsid w:val="009B7CFF"/>
    <w:rsid w:val="009C0A10"/>
    <w:rsid w:val="009C3C8C"/>
    <w:rsid w:val="009C4711"/>
    <w:rsid w:val="009C55BB"/>
    <w:rsid w:val="009D0972"/>
    <w:rsid w:val="009D1102"/>
    <w:rsid w:val="009D36F9"/>
    <w:rsid w:val="009D4798"/>
    <w:rsid w:val="009D5667"/>
    <w:rsid w:val="009D6453"/>
    <w:rsid w:val="009D6F98"/>
    <w:rsid w:val="009D71F2"/>
    <w:rsid w:val="009D71FF"/>
    <w:rsid w:val="009E0535"/>
    <w:rsid w:val="009E2153"/>
    <w:rsid w:val="009E4B82"/>
    <w:rsid w:val="009E67F2"/>
    <w:rsid w:val="009F15B6"/>
    <w:rsid w:val="009F49D9"/>
    <w:rsid w:val="009F65C8"/>
    <w:rsid w:val="009F7137"/>
    <w:rsid w:val="00A01474"/>
    <w:rsid w:val="00A03199"/>
    <w:rsid w:val="00A0415A"/>
    <w:rsid w:val="00A046CA"/>
    <w:rsid w:val="00A0544B"/>
    <w:rsid w:val="00A071D5"/>
    <w:rsid w:val="00A122B5"/>
    <w:rsid w:val="00A13040"/>
    <w:rsid w:val="00A1373D"/>
    <w:rsid w:val="00A13B88"/>
    <w:rsid w:val="00A15646"/>
    <w:rsid w:val="00A21880"/>
    <w:rsid w:val="00A22518"/>
    <w:rsid w:val="00A227BB"/>
    <w:rsid w:val="00A2409B"/>
    <w:rsid w:val="00A249FB"/>
    <w:rsid w:val="00A2571B"/>
    <w:rsid w:val="00A25D41"/>
    <w:rsid w:val="00A26116"/>
    <w:rsid w:val="00A34384"/>
    <w:rsid w:val="00A4031B"/>
    <w:rsid w:val="00A40C18"/>
    <w:rsid w:val="00A416FA"/>
    <w:rsid w:val="00A4554A"/>
    <w:rsid w:val="00A45C7D"/>
    <w:rsid w:val="00A5021A"/>
    <w:rsid w:val="00A51117"/>
    <w:rsid w:val="00A54BED"/>
    <w:rsid w:val="00A6002C"/>
    <w:rsid w:val="00A6032F"/>
    <w:rsid w:val="00A6284C"/>
    <w:rsid w:val="00A63E84"/>
    <w:rsid w:val="00A647E8"/>
    <w:rsid w:val="00A70855"/>
    <w:rsid w:val="00A71A7B"/>
    <w:rsid w:val="00A750C2"/>
    <w:rsid w:val="00A753C3"/>
    <w:rsid w:val="00A75682"/>
    <w:rsid w:val="00A77758"/>
    <w:rsid w:val="00A90EB6"/>
    <w:rsid w:val="00A9162A"/>
    <w:rsid w:val="00A92E65"/>
    <w:rsid w:val="00A94440"/>
    <w:rsid w:val="00A960BC"/>
    <w:rsid w:val="00A960E6"/>
    <w:rsid w:val="00A96360"/>
    <w:rsid w:val="00A97EB0"/>
    <w:rsid w:val="00A97FEC"/>
    <w:rsid w:val="00AA05B8"/>
    <w:rsid w:val="00AA087B"/>
    <w:rsid w:val="00AA0C94"/>
    <w:rsid w:val="00AA17DA"/>
    <w:rsid w:val="00AA234D"/>
    <w:rsid w:val="00AA47A3"/>
    <w:rsid w:val="00AA7428"/>
    <w:rsid w:val="00AB2C08"/>
    <w:rsid w:val="00AB5C6B"/>
    <w:rsid w:val="00AC00F8"/>
    <w:rsid w:val="00AC11AA"/>
    <w:rsid w:val="00AC383C"/>
    <w:rsid w:val="00AC5352"/>
    <w:rsid w:val="00AD0833"/>
    <w:rsid w:val="00AD0DBF"/>
    <w:rsid w:val="00AD2232"/>
    <w:rsid w:val="00AD2A0F"/>
    <w:rsid w:val="00AD5D1B"/>
    <w:rsid w:val="00AE3E68"/>
    <w:rsid w:val="00AE53C3"/>
    <w:rsid w:val="00AE5DBA"/>
    <w:rsid w:val="00AE6A38"/>
    <w:rsid w:val="00AE76E9"/>
    <w:rsid w:val="00AF2467"/>
    <w:rsid w:val="00AF5A1F"/>
    <w:rsid w:val="00AF631C"/>
    <w:rsid w:val="00B01CC7"/>
    <w:rsid w:val="00B01D2C"/>
    <w:rsid w:val="00B0225A"/>
    <w:rsid w:val="00B02519"/>
    <w:rsid w:val="00B04DF6"/>
    <w:rsid w:val="00B04E19"/>
    <w:rsid w:val="00B057E7"/>
    <w:rsid w:val="00B125F6"/>
    <w:rsid w:val="00B16F7A"/>
    <w:rsid w:val="00B20ED5"/>
    <w:rsid w:val="00B24934"/>
    <w:rsid w:val="00B265BC"/>
    <w:rsid w:val="00B26994"/>
    <w:rsid w:val="00B270D3"/>
    <w:rsid w:val="00B272AC"/>
    <w:rsid w:val="00B30624"/>
    <w:rsid w:val="00B306BB"/>
    <w:rsid w:val="00B3178C"/>
    <w:rsid w:val="00B324BB"/>
    <w:rsid w:val="00B32B6D"/>
    <w:rsid w:val="00B33022"/>
    <w:rsid w:val="00B35ABD"/>
    <w:rsid w:val="00B40BC7"/>
    <w:rsid w:val="00B417A3"/>
    <w:rsid w:val="00B41E17"/>
    <w:rsid w:val="00B43ACE"/>
    <w:rsid w:val="00B43EC0"/>
    <w:rsid w:val="00B45118"/>
    <w:rsid w:val="00B50647"/>
    <w:rsid w:val="00B54B59"/>
    <w:rsid w:val="00B54ECB"/>
    <w:rsid w:val="00B5545D"/>
    <w:rsid w:val="00B55A5F"/>
    <w:rsid w:val="00B57529"/>
    <w:rsid w:val="00B6174B"/>
    <w:rsid w:val="00B620E0"/>
    <w:rsid w:val="00B62366"/>
    <w:rsid w:val="00B6253D"/>
    <w:rsid w:val="00B629AC"/>
    <w:rsid w:val="00B6589A"/>
    <w:rsid w:val="00B664B7"/>
    <w:rsid w:val="00B66EF9"/>
    <w:rsid w:val="00B67161"/>
    <w:rsid w:val="00B73647"/>
    <w:rsid w:val="00B74469"/>
    <w:rsid w:val="00B759B0"/>
    <w:rsid w:val="00B811DE"/>
    <w:rsid w:val="00B81762"/>
    <w:rsid w:val="00B822F5"/>
    <w:rsid w:val="00B83F67"/>
    <w:rsid w:val="00B85CFC"/>
    <w:rsid w:val="00B905FB"/>
    <w:rsid w:val="00B91B1F"/>
    <w:rsid w:val="00B91C6D"/>
    <w:rsid w:val="00B931F8"/>
    <w:rsid w:val="00BA1710"/>
    <w:rsid w:val="00BA2304"/>
    <w:rsid w:val="00BA315E"/>
    <w:rsid w:val="00BA59A7"/>
    <w:rsid w:val="00BA6305"/>
    <w:rsid w:val="00BB1169"/>
    <w:rsid w:val="00BB24DA"/>
    <w:rsid w:val="00BB2801"/>
    <w:rsid w:val="00BB4090"/>
    <w:rsid w:val="00BB5272"/>
    <w:rsid w:val="00BB5DAB"/>
    <w:rsid w:val="00BB6F05"/>
    <w:rsid w:val="00BB7482"/>
    <w:rsid w:val="00BB7DEC"/>
    <w:rsid w:val="00BC05AB"/>
    <w:rsid w:val="00BC0785"/>
    <w:rsid w:val="00BC1F87"/>
    <w:rsid w:val="00BC275E"/>
    <w:rsid w:val="00BC3F1B"/>
    <w:rsid w:val="00BC4CA0"/>
    <w:rsid w:val="00BC5BFE"/>
    <w:rsid w:val="00BC6332"/>
    <w:rsid w:val="00BC6819"/>
    <w:rsid w:val="00BD09F8"/>
    <w:rsid w:val="00BD2F9A"/>
    <w:rsid w:val="00BD51EB"/>
    <w:rsid w:val="00BD5347"/>
    <w:rsid w:val="00BD597C"/>
    <w:rsid w:val="00BD5A9E"/>
    <w:rsid w:val="00BD6D0F"/>
    <w:rsid w:val="00BE14AB"/>
    <w:rsid w:val="00BE3B5D"/>
    <w:rsid w:val="00BE3B86"/>
    <w:rsid w:val="00BE7BE0"/>
    <w:rsid w:val="00BF0227"/>
    <w:rsid w:val="00BF03AD"/>
    <w:rsid w:val="00BF4E76"/>
    <w:rsid w:val="00BF5BCC"/>
    <w:rsid w:val="00C02330"/>
    <w:rsid w:val="00C06B91"/>
    <w:rsid w:val="00C11162"/>
    <w:rsid w:val="00C11969"/>
    <w:rsid w:val="00C12C66"/>
    <w:rsid w:val="00C14636"/>
    <w:rsid w:val="00C22BE4"/>
    <w:rsid w:val="00C2358D"/>
    <w:rsid w:val="00C25214"/>
    <w:rsid w:val="00C256D3"/>
    <w:rsid w:val="00C261F9"/>
    <w:rsid w:val="00C33B76"/>
    <w:rsid w:val="00C36B53"/>
    <w:rsid w:val="00C43122"/>
    <w:rsid w:val="00C442F8"/>
    <w:rsid w:val="00C44D45"/>
    <w:rsid w:val="00C45C41"/>
    <w:rsid w:val="00C46812"/>
    <w:rsid w:val="00C46CCC"/>
    <w:rsid w:val="00C47065"/>
    <w:rsid w:val="00C503F8"/>
    <w:rsid w:val="00C5100E"/>
    <w:rsid w:val="00C51388"/>
    <w:rsid w:val="00C51CB9"/>
    <w:rsid w:val="00C51D10"/>
    <w:rsid w:val="00C61E2B"/>
    <w:rsid w:val="00C64FC8"/>
    <w:rsid w:val="00C71F86"/>
    <w:rsid w:val="00C723E4"/>
    <w:rsid w:val="00C72DD4"/>
    <w:rsid w:val="00C75675"/>
    <w:rsid w:val="00C80DEC"/>
    <w:rsid w:val="00C83E31"/>
    <w:rsid w:val="00C84BE5"/>
    <w:rsid w:val="00C85F27"/>
    <w:rsid w:val="00C86D78"/>
    <w:rsid w:val="00C87D15"/>
    <w:rsid w:val="00C914F7"/>
    <w:rsid w:val="00C925FF"/>
    <w:rsid w:val="00C92A42"/>
    <w:rsid w:val="00C949D3"/>
    <w:rsid w:val="00C95B82"/>
    <w:rsid w:val="00CA3541"/>
    <w:rsid w:val="00CA45C1"/>
    <w:rsid w:val="00CA4998"/>
    <w:rsid w:val="00CA4A05"/>
    <w:rsid w:val="00CA4B30"/>
    <w:rsid w:val="00CA64D5"/>
    <w:rsid w:val="00CA6ADA"/>
    <w:rsid w:val="00CB0FBC"/>
    <w:rsid w:val="00CB5C04"/>
    <w:rsid w:val="00CB6EB5"/>
    <w:rsid w:val="00CC07EE"/>
    <w:rsid w:val="00CC188B"/>
    <w:rsid w:val="00CC26B2"/>
    <w:rsid w:val="00CC3DB6"/>
    <w:rsid w:val="00CC7276"/>
    <w:rsid w:val="00CC7A7C"/>
    <w:rsid w:val="00CD0DB6"/>
    <w:rsid w:val="00CD19DA"/>
    <w:rsid w:val="00CD21C0"/>
    <w:rsid w:val="00CD4DEC"/>
    <w:rsid w:val="00CD660D"/>
    <w:rsid w:val="00CD6F34"/>
    <w:rsid w:val="00CD7233"/>
    <w:rsid w:val="00CE18FB"/>
    <w:rsid w:val="00CE1ED0"/>
    <w:rsid w:val="00CE40FC"/>
    <w:rsid w:val="00CE54D5"/>
    <w:rsid w:val="00CE6317"/>
    <w:rsid w:val="00CF0387"/>
    <w:rsid w:val="00CF272F"/>
    <w:rsid w:val="00CF2F5D"/>
    <w:rsid w:val="00CF3338"/>
    <w:rsid w:val="00CF4DD8"/>
    <w:rsid w:val="00CF5BC5"/>
    <w:rsid w:val="00CF6D21"/>
    <w:rsid w:val="00CF7E32"/>
    <w:rsid w:val="00D00A0C"/>
    <w:rsid w:val="00D00A9D"/>
    <w:rsid w:val="00D00AFA"/>
    <w:rsid w:val="00D010E3"/>
    <w:rsid w:val="00D0226F"/>
    <w:rsid w:val="00D034CC"/>
    <w:rsid w:val="00D0538F"/>
    <w:rsid w:val="00D059D8"/>
    <w:rsid w:val="00D0678D"/>
    <w:rsid w:val="00D07FA9"/>
    <w:rsid w:val="00D11882"/>
    <w:rsid w:val="00D125F4"/>
    <w:rsid w:val="00D138B9"/>
    <w:rsid w:val="00D15413"/>
    <w:rsid w:val="00D1621F"/>
    <w:rsid w:val="00D23966"/>
    <w:rsid w:val="00D24E57"/>
    <w:rsid w:val="00D271B7"/>
    <w:rsid w:val="00D32522"/>
    <w:rsid w:val="00D33C07"/>
    <w:rsid w:val="00D36AB4"/>
    <w:rsid w:val="00D401E3"/>
    <w:rsid w:val="00D41F4D"/>
    <w:rsid w:val="00D430B1"/>
    <w:rsid w:val="00D43507"/>
    <w:rsid w:val="00D43BFB"/>
    <w:rsid w:val="00D43C07"/>
    <w:rsid w:val="00D45A9D"/>
    <w:rsid w:val="00D4683B"/>
    <w:rsid w:val="00D468D8"/>
    <w:rsid w:val="00D470AD"/>
    <w:rsid w:val="00D47502"/>
    <w:rsid w:val="00D47A50"/>
    <w:rsid w:val="00D52307"/>
    <w:rsid w:val="00D544D8"/>
    <w:rsid w:val="00D57A0D"/>
    <w:rsid w:val="00D611F7"/>
    <w:rsid w:val="00D6247D"/>
    <w:rsid w:val="00D6273C"/>
    <w:rsid w:val="00D73FF4"/>
    <w:rsid w:val="00D7583C"/>
    <w:rsid w:val="00D767B8"/>
    <w:rsid w:val="00D803B0"/>
    <w:rsid w:val="00D80F92"/>
    <w:rsid w:val="00D85A87"/>
    <w:rsid w:val="00D861FE"/>
    <w:rsid w:val="00D95251"/>
    <w:rsid w:val="00DA128A"/>
    <w:rsid w:val="00DA2F82"/>
    <w:rsid w:val="00DA3373"/>
    <w:rsid w:val="00DA7A6A"/>
    <w:rsid w:val="00DB0AF9"/>
    <w:rsid w:val="00DB0BA0"/>
    <w:rsid w:val="00DB383F"/>
    <w:rsid w:val="00DB39DC"/>
    <w:rsid w:val="00DB4078"/>
    <w:rsid w:val="00DC1B99"/>
    <w:rsid w:val="00DC1FB3"/>
    <w:rsid w:val="00DC2090"/>
    <w:rsid w:val="00DC3CA3"/>
    <w:rsid w:val="00DC4CCA"/>
    <w:rsid w:val="00DC6183"/>
    <w:rsid w:val="00DC6FD0"/>
    <w:rsid w:val="00DD085C"/>
    <w:rsid w:val="00DD17C9"/>
    <w:rsid w:val="00DD1DC6"/>
    <w:rsid w:val="00DD4696"/>
    <w:rsid w:val="00DD511A"/>
    <w:rsid w:val="00DD63CB"/>
    <w:rsid w:val="00DD73B5"/>
    <w:rsid w:val="00DE004D"/>
    <w:rsid w:val="00DE0AB8"/>
    <w:rsid w:val="00DE1250"/>
    <w:rsid w:val="00DE1FE3"/>
    <w:rsid w:val="00DE32F5"/>
    <w:rsid w:val="00DE63F2"/>
    <w:rsid w:val="00DE6ADB"/>
    <w:rsid w:val="00DF0BBC"/>
    <w:rsid w:val="00DF4D45"/>
    <w:rsid w:val="00DF6807"/>
    <w:rsid w:val="00E00EC1"/>
    <w:rsid w:val="00E01D75"/>
    <w:rsid w:val="00E04A98"/>
    <w:rsid w:val="00E04C22"/>
    <w:rsid w:val="00E058C4"/>
    <w:rsid w:val="00E06893"/>
    <w:rsid w:val="00E07073"/>
    <w:rsid w:val="00E0740E"/>
    <w:rsid w:val="00E07832"/>
    <w:rsid w:val="00E07AE1"/>
    <w:rsid w:val="00E102BA"/>
    <w:rsid w:val="00E10D1D"/>
    <w:rsid w:val="00E1170D"/>
    <w:rsid w:val="00E13653"/>
    <w:rsid w:val="00E148C6"/>
    <w:rsid w:val="00E15067"/>
    <w:rsid w:val="00E162CE"/>
    <w:rsid w:val="00E16CCF"/>
    <w:rsid w:val="00E1753B"/>
    <w:rsid w:val="00E2177F"/>
    <w:rsid w:val="00E21BAF"/>
    <w:rsid w:val="00E2268D"/>
    <w:rsid w:val="00E241D2"/>
    <w:rsid w:val="00E24D7C"/>
    <w:rsid w:val="00E26330"/>
    <w:rsid w:val="00E27653"/>
    <w:rsid w:val="00E277A1"/>
    <w:rsid w:val="00E35BAA"/>
    <w:rsid w:val="00E3601C"/>
    <w:rsid w:val="00E36AFE"/>
    <w:rsid w:val="00E36F33"/>
    <w:rsid w:val="00E40BC7"/>
    <w:rsid w:val="00E417D9"/>
    <w:rsid w:val="00E44844"/>
    <w:rsid w:val="00E45D59"/>
    <w:rsid w:val="00E4675D"/>
    <w:rsid w:val="00E51453"/>
    <w:rsid w:val="00E54236"/>
    <w:rsid w:val="00E550BA"/>
    <w:rsid w:val="00E55515"/>
    <w:rsid w:val="00E55859"/>
    <w:rsid w:val="00E63452"/>
    <w:rsid w:val="00E644B3"/>
    <w:rsid w:val="00E720EF"/>
    <w:rsid w:val="00E72794"/>
    <w:rsid w:val="00E727F4"/>
    <w:rsid w:val="00E73D58"/>
    <w:rsid w:val="00E80C3D"/>
    <w:rsid w:val="00E81C2C"/>
    <w:rsid w:val="00E836CC"/>
    <w:rsid w:val="00E8423D"/>
    <w:rsid w:val="00E8504D"/>
    <w:rsid w:val="00E856F7"/>
    <w:rsid w:val="00E869D8"/>
    <w:rsid w:val="00E910AA"/>
    <w:rsid w:val="00E917F8"/>
    <w:rsid w:val="00E91965"/>
    <w:rsid w:val="00E920CB"/>
    <w:rsid w:val="00E92212"/>
    <w:rsid w:val="00E95549"/>
    <w:rsid w:val="00E95A3B"/>
    <w:rsid w:val="00E973AA"/>
    <w:rsid w:val="00E97511"/>
    <w:rsid w:val="00E97C3E"/>
    <w:rsid w:val="00E97FC7"/>
    <w:rsid w:val="00EA096F"/>
    <w:rsid w:val="00EA70A3"/>
    <w:rsid w:val="00EB0639"/>
    <w:rsid w:val="00EB19D0"/>
    <w:rsid w:val="00EB1FD7"/>
    <w:rsid w:val="00EB32A4"/>
    <w:rsid w:val="00EC135C"/>
    <w:rsid w:val="00EC1EDD"/>
    <w:rsid w:val="00EC1F42"/>
    <w:rsid w:val="00EC22E7"/>
    <w:rsid w:val="00EC4E53"/>
    <w:rsid w:val="00EC711C"/>
    <w:rsid w:val="00EC7863"/>
    <w:rsid w:val="00ED45CC"/>
    <w:rsid w:val="00ED717B"/>
    <w:rsid w:val="00EE026F"/>
    <w:rsid w:val="00EE08FD"/>
    <w:rsid w:val="00EE0BDA"/>
    <w:rsid w:val="00EE2259"/>
    <w:rsid w:val="00EE3173"/>
    <w:rsid w:val="00EE35BA"/>
    <w:rsid w:val="00EE42F9"/>
    <w:rsid w:val="00EE5496"/>
    <w:rsid w:val="00EE5ECB"/>
    <w:rsid w:val="00EE7607"/>
    <w:rsid w:val="00EF0173"/>
    <w:rsid w:val="00EF139E"/>
    <w:rsid w:val="00EF3491"/>
    <w:rsid w:val="00EF34F4"/>
    <w:rsid w:val="00EF70F0"/>
    <w:rsid w:val="00F051AC"/>
    <w:rsid w:val="00F05CAF"/>
    <w:rsid w:val="00F10248"/>
    <w:rsid w:val="00F10AC9"/>
    <w:rsid w:val="00F11C2B"/>
    <w:rsid w:val="00F12EB7"/>
    <w:rsid w:val="00F14850"/>
    <w:rsid w:val="00F1546E"/>
    <w:rsid w:val="00F15A11"/>
    <w:rsid w:val="00F25338"/>
    <w:rsid w:val="00F27584"/>
    <w:rsid w:val="00F300D6"/>
    <w:rsid w:val="00F3320C"/>
    <w:rsid w:val="00F37747"/>
    <w:rsid w:val="00F37890"/>
    <w:rsid w:val="00F37DB9"/>
    <w:rsid w:val="00F37F01"/>
    <w:rsid w:val="00F4630D"/>
    <w:rsid w:val="00F52024"/>
    <w:rsid w:val="00F52B10"/>
    <w:rsid w:val="00F52E3B"/>
    <w:rsid w:val="00F55627"/>
    <w:rsid w:val="00F55C5A"/>
    <w:rsid w:val="00F606BB"/>
    <w:rsid w:val="00F6376F"/>
    <w:rsid w:val="00F63F77"/>
    <w:rsid w:val="00F66C07"/>
    <w:rsid w:val="00F70077"/>
    <w:rsid w:val="00F7085F"/>
    <w:rsid w:val="00F75B39"/>
    <w:rsid w:val="00F76B6B"/>
    <w:rsid w:val="00F77A5F"/>
    <w:rsid w:val="00F77D27"/>
    <w:rsid w:val="00F77D95"/>
    <w:rsid w:val="00F803EF"/>
    <w:rsid w:val="00F842AA"/>
    <w:rsid w:val="00F84D42"/>
    <w:rsid w:val="00F84FCB"/>
    <w:rsid w:val="00F858A8"/>
    <w:rsid w:val="00F87516"/>
    <w:rsid w:val="00F91BA7"/>
    <w:rsid w:val="00F9203A"/>
    <w:rsid w:val="00F92F7B"/>
    <w:rsid w:val="00FA2E16"/>
    <w:rsid w:val="00FB2A40"/>
    <w:rsid w:val="00FB2ECC"/>
    <w:rsid w:val="00FB7D7E"/>
    <w:rsid w:val="00FC07A9"/>
    <w:rsid w:val="00FC194E"/>
    <w:rsid w:val="00FC1B79"/>
    <w:rsid w:val="00FC3712"/>
    <w:rsid w:val="00FC3E5A"/>
    <w:rsid w:val="00FC7301"/>
    <w:rsid w:val="00FC7CBF"/>
    <w:rsid w:val="00FD176A"/>
    <w:rsid w:val="00FD20BC"/>
    <w:rsid w:val="00FD7103"/>
    <w:rsid w:val="00FE1D33"/>
    <w:rsid w:val="00FF0085"/>
    <w:rsid w:val="00FF0355"/>
    <w:rsid w:val="00FF0469"/>
    <w:rsid w:val="00FF09E5"/>
    <w:rsid w:val="00FF26B8"/>
    <w:rsid w:val="00FF6296"/>
    <w:rsid w:val="30330A25"/>
    <w:rsid w:val="7F4D1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lsdException w:name="footer" w:semiHidden="0"/>
    <w:lsdException w:name="caption" w:uiPriority="35" w:qFormat="1"/>
    <w:lsdException w:name="annotation reference" w:semiHidden="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lsdException w:name="annotation subject" w:semiHidden="0"/>
    <w:lsdException w:name="Balloon Text" w:semiHidden="0"/>
    <w:lsdException w:name="Table Grid" w:semiHidden="0" w:uiPriority="5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uiPriority w:val="99"/>
    <w:unhideWhenUsed/>
    <w:rPr>
      <w:color w:val="0000FF"/>
      <w:u w:val="single"/>
    </w:rPr>
  </w:style>
  <w:style w:type="character" w:styleId="a5">
    <w:name w:val="annotation reference"/>
    <w:uiPriority w:val="99"/>
    <w:unhideWhenUsed/>
    <w:qFormat/>
    <w:rPr>
      <w:rFonts w:ascii="Tahoma" w:hAnsi="Tahoma" w:cs="Tahoma"/>
      <w:b w:val="0"/>
      <w:i w:val="0"/>
      <w:caps w:val="0"/>
      <w:strike w:val="0"/>
      <w:sz w:val="16"/>
      <w:szCs w:val="18"/>
      <w:u w:val="none"/>
    </w:rPr>
  </w:style>
  <w:style w:type="character" w:customStyle="1" w:styleId="jrnl">
    <w:name w:val="jrnl"/>
    <w:basedOn w:val="a0"/>
  </w:style>
  <w:style w:type="character" w:customStyle="1" w:styleId="high-light-bg4">
    <w:name w:val="high-light-bg4"/>
    <w:basedOn w:val="a0"/>
  </w:style>
  <w:style w:type="character" w:customStyle="1" w:styleId="skip">
    <w:name w:val="skip"/>
  </w:style>
  <w:style w:type="character" w:customStyle="1" w:styleId="a6">
    <w:name w:val="未处理的提及"/>
    <w:uiPriority w:val="99"/>
    <w:unhideWhenUsed/>
    <w:rPr>
      <w:color w:val="605E5C"/>
      <w:shd w:val="clear" w:color="auto" w:fill="E1DFDD"/>
    </w:rPr>
  </w:style>
  <w:style w:type="character" w:customStyle="1" w:styleId="apple-converted-space">
    <w:name w:val="apple-converted-space"/>
  </w:style>
  <w:style w:type="character" w:customStyle="1" w:styleId="q3t">
    <w:name w:val="q3t"/>
    <w:basedOn w:val="a0"/>
  </w:style>
  <w:style w:type="character" w:customStyle="1" w:styleId="Char">
    <w:name w:val="脚注文本 Char"/>
    <w:link w:val="a7"/>
    <w:uiPriority w:val="99"/>
    <w:rPr>
      <w:rFonts w:ascii="Calibri" w:eastAsia="微软雅黑" w:hAnsi="Calibri"/>
      <w:kern w:val="0"/>
      <w:sz w:val="18"/>
      <w:szCs w:val="18"/>
    </w:rPr>
  </w:style>
  <w:style w:type="character" w:customStyle="1" w:styleId="Char0">
    <w:name w:val="批注框文本 Char"/>
    <w:link w:val="a8"/>
    <w:uiPriority w:val="99"/>
    <w:semiHidden/>
    <w:rPr>
      <w:rFonts w:ascii="宋体" w:hAnsi="宋体" w:cs="宋体"/>
      <w:sz w:val="18"/>
      <w:szCs w:val="18"/>
      <w:lang w:eastAsia="zh-CN"/>
    </w:rPr>
  </w:style>
  <w:style w:type="character" w:customStyle="1" w:styleId="Char1">
    <w:name w:val="批注文字 Char"/>
    <w:uiPriority w:val="99"/>
    <w:qFormat/>
    <w:rPr>
      <w:rFonts w:ascii="Arial" w:eastAsia="宋体" w:hAnsi="Arial" w:cs="Arial"/>
      <w:color w:val="000000"/>
      <w:kern w:val="0"/>
      <w:sz w:val="22"/>
      <w:szCs w:val="20"/>
      <w:lang w:val="pl-PL" w:eastAsia="pl-PL"/>
    </w:rPr>
  </w:style>
  <w:style w:type="character" w:customStyle="1" w:styleId="Char2">
    <w:name w:val="页眉 Char"/>
    <w:link w:val="a9"/>
    <w:uiPriority w:val="99"/>
    <w:rPr>
      <w:sz w:val="18"/>
      <w:szCs w:val="18"/>
    </w:rPr>
  </w:style>
  <w:style w:type="character" w:customStyle="1" w:styleId="fontstyle21">
    <w:name w:val="fontstyle21"/>
    <w:rPr>
      <w:rFonts w:ascii="Book Antiqua" w:hAnsi="Book Antiqua" w:hint="default"/>
      <w:b w:val="0"/>
      <w:bCs w:val="0"/>
      <w:i w:val="0"/>
      <w:iCs w:val="0"/>
      <w:color w:val="000000"/>
      <w:sz w:val="24"/>
      <w:szCs w:val="24"/>
    </w:rPr>
  </w:style>
  <w:style w:type="character" w:customStyle="1" w:styleId="Char10">
    <w:name w:val="批注文字 Char1"/>
    <w:link w:val="aa"/>
    <w:uiPriority w:val="99"/>
    <w:rPr>
      <w:rFonts w:ascii="Tahoma" w:hAnsi="Tahoma" w:cs="Tahoma"/>
      <w:sz w:val="16"/>
      <w:szCs w:val="24"/>
      <w:lang w:eastAsia="zh-CN"/>
    </w:rPr>
  </w:style>
  <w:style w:type="character" w:customStyle="1" w:styleId="nft">
    <w:name w:val="nft"/>
    <w:basedOn w:val="a0"/>
  </w:style>
  <w:style w:type="character" w:customStyle="1" w:styleId="Char3">
    <w:name w:val="批注主题 Char"/>
    <w:link w:val="ab"/>
    <w:uiPriority w:val="99"/>
    <w:semiHidden/>
    <w:rPr>
      <w:rFonts w:ascii="Tahoma" w:hAnsi="Tahoma" w:cs="Tahoma"/>
      <w:b/>
      <w:bCs/>
      <w:lang w:eastAsia="zh-CN"/>
    </w:rPr>
  </w:style>
  <w:style w:type="character" w:customStyle="1" w:styleId="fontstyle01">
    <w:name w:val="fontstyle01"/>
    <w:rPr>
      <w:rFonts w:ascii="Book Antiqua" w:hAnsi="Book Antiqua" w:hint="default"/>
      <w:b/>
      <w:bCs/>
      <w:i w:val="0"/>
      <w:iCs w:val="0"/>
      <w:color w:val="000000"/>
      <w:sz w:val="24"/>
      <w:szCs w:val="24"/>
    </w:rPr>
  </w:style>
  <w:style w:type="character" w:customStyle="1" w:styleId="Char4">
    <w:name w:val="页脚 Char"/>
    <w:link w:val="ac"/>
    <w:uiPriority w:val="99"/>
    <w:rPr>
      <w:sz w:val="18"/>
      <w:szCs w:val="18"/>
    </w:rPr>
  </w:style>
  <w:style w:type="paragraph" w:styleId="a8">
    <w:name w:val="Balloon Text"/>
    <w:basedOn w:val="a"/>
    <w:link w:val="Char0"/>
    <w:uiPriority w:val="99"/>
    <w:unhideWhenUsed/>
    <w:rPr>
      <w:sz w:val="18"/>
      <w:szCs w:val="18"/>
    </w:rPr>
  </w:style>
  <w:style w:type="paragraph" w:styleId="ab">
    <w:name w:val="annotation subject"/>
    <w:basedOn w:val="aa"/>
    <w:next w:val="aa"/>
    <w:link w:val="Char3"/>
    <w:uiPriority w:val="99"/>
    <w:unhideWhenUsed/>
    <w:rPr>
      <w:b/>
      <w:bCs/>
      <w:sz w:val="20"/>
      <w:szCs w:val="20"/>
    </w:rPr>
  </w:style>
  <w:style w:type="paragraph" w:styleId="aa">
    <w:name w:val="annotation text"/>
    <w:basedOn w:val="a"/>
    <w:link w:val="Char10"/>
    <w:uiPriority w:val="99"/>
    <w:unhideWhenUsed/>
    <w:qFormat/>
    <w:rPr>
      <w:rFonts w:ascii="Tahoma" w:hAnsi="Tahoma" w:cs="Tahoma"/>
      <w:sz w:val="16"/>
    </w:rPr>
  </w:style>
  <w:style w:type="paragraph" w:styleId="a7">
    <w:name w:val="footnote text"/>
    <w:link w:val="Char"/>
    <w:uiPriority w:val="99"/>
    <w:unhideWhenUsed/>
    <w:qFormat/>
    <w:pPr>
      <w:snapToGrid w:val="0"/>
    </w:pPr>
    <w:rPr>
      <w:rFonts w:eastAsia="微软雅黑"/>
      <w:sz w:val="18"/>
      <w:szCs w:val="18"/>
    </w:rPr>
  </w:style>
  <w:style w:type="paragraph" w:styleId="ac">
    <w:name w:val="footer"/>
    <w:basedOn w:val="a"/>
    <w:link w:val="Char4"/>
    <w:uiPriority w:val="99"/>
    <w:unhideWhenUsed/>
    <w:pPr>
      <w:tabs>
        <w:tab w:val="center" w:pos="4153"/>
        <w:tab w:val="right" w:pos="8306"/>
      </w:tabs>
      <w:snapToGrid w:val="0"/>
    </w:pPr>
    <w:rPr>
      <w:sz w:val="18"/>
      <w:szCs w:val="18"/>
    </w:rPr>
  </w:style>
  <w:style w:type="paragraph" w:styleId="a9">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d">
    <w:name w:val="List Paragraph"/>
    <w:basedOn w:val="a"/>
    <w:uiPriority w:val="34"/>
    <w:qFormat/>
    <w:pPr>
      <w:ind w:firstLineChars="200" w:firstLine="420"/>
    </w:pPr>
  </w:style>
  <w:style w:type="paragraph" w:styleId="ae">
    <w:name w:val="Revision"/>
    <w:uiPriority w:val="99"/>
    <w:semiHidden/>
    <w:rPr>
      <w:kern w:val="2"/>
      <w:sz w:val="21"/>
      <w:szCs w:val="22"/>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lsdException w:name="footer" w:semiHidden="0"/>
    <w:lsdException w:name="caption" w:uiPriority="35" w:qFormat="1"/>
    <w:lsdException w:name="annotation reference" w:semiHidden="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lsdException w:name="annotation subject" w:semiHidden="0"/>
    <w:lsdException w:name="Balloon Text" w:semiHidden="0"/>
    <w:lsdException w:name="Table Grid" w:semiHidden="0" w:uiPriority="5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uiPriority w:val="99"/>
    <w:unhideWhenUsed/>
    <w:rPr>
      <w:color w:val="0000FF"/>
      <w:u w:val="single"/>
    </w:rPr>
  </w:style>
  <w:style w:type="character" w:styleId="a5">
    <w:name w:val="annotation reference"/>
    <w:uiPriority w:val="99"/>
    <w:unhideWhenUsed/>
    <w:qFormat/>
    <w:rPr>
      <w:rFonts w:ascii="Tahoma" w:hAnsi="Tahoma" w:cs="Tahoma"/>
      <w:b w:val="0"/>
      <w:i w:val="0"/>
      <w:caps w:val="0"/>
      <w:strike w:val="0"/>
      <w:sz w:val="16"/>
      <w:szCs w:val="18"/>
      <w:u w:val="none"/>
    </w:rPr>
  </w:style>
  <w:style w:type="character" w:customStyle="1" w:styleId="jrnl">
    <w:name w:val="jrnl"/>
    <w:basedOn w:val="a0"/>
  </w:style>
  <w:style w:type="character" w:customStyle="1" w:styleId="high-light-bg4">
    <w:name w:val="high-light-bg4"/>
    <w:basedOn w:val="a0"/>
  </w:style>
  <w:style w:type="character" w:customStyle="1" w:styleId="skip">
    <w:name w:val="skip"/>
  </w:style>
  <w:style w:type="character" w:customStyle="1" w:styleId="a6">
    <w:name w:val="未处理的提及"/>
    <w:uiPriority w:val="99"/>
    <w:unhideWhenUsed/>
    <w:rPr>
      <w:color w:val="605E5C"/>
      <w:shd w:val="clear" w:color="auto" w:fill="E1DFDD"/>
    </w:rPr>
  </w:style>
  <w:style w:type="character" w:customStyle="1" w:styleId="apple-converted-space">
    <w:name w:val="apple-converted-space"/>
  </w:style>
  <w:style w:type="character" w:customStyle="1" w:styleId="q3t">
    <w:name w:val="q3t"/>
    <w:basedOn w:val="a0"/>
  </w:style>
  <w:style w:type="character" w:customStyle="1" w:styleId="Char">
    <w:name w:val="脚注文本 Char"/>
    <w:link w:val="a7"/>
    <w:uiPriority w:val="99"/>
    <w:rPr>
      <w:rFonts w:ascii="Calibri" w:eastAsia="微软雅黑" w:hAnsi="Calibri"/>
      <w:kern w:val="0"/>
      <w:sz w:val="18"/>
      <w:szCs w:val="18"/>
    </w:rPr>
  </w:style>
  <w:style w:type="character" w:customStyle="1" w:styleId="Char0">
    <w:name w:val="批注框文本 Char"/>
    <w:link w:val="a8"/>
    <w:uiPriority w:val="99"/>
    <w:semiHidden/>
    <w:rPr>
      <w:rFonts w:ascii="宋体" w:hAnsi="宋体" w:cs="宋体"/>
      <w:sz w:val="18"/>
      <w:szCs w:val="18"/>
      <w:lang w:eastAsia="zh-CN"/>
    </w:rPr>
  </w:style>
  <w:style w:type="character" w:customStyle="1" w:styleId="Char1">
    <w:name w:val="批注文字 Char"/>
    <w:uiPriority w:val="99"/>
    <w:qFormat/>
    <w:rPr>
      <w:rFonts w:ascii="Arial" w:eastAsia="宋体" w:hAnsi="Arial" w:cs="Arial"/>
      <w:color w:val="000000"/>
      <w:kern w:val="0"/>
      <w:sz w:val="22"/>
      <w:szCs w:val="20"/>
      <w:lang w:val="pl-PL" w:eastAsia="pl-PL"/>
    </w:rPr>
  </w:style>
  <w:style w:type="character" w:customStyle="1" w:styleId="Char2">
    <w:name w:val="页眉 Char"/>
    <w:link w:val="a9"/>
    <w:uiPriority w:val="99"/>
    <w:rPr>
      <w:sz w:val="18"/>
      <w:szCs w:val="18"/>
    </w:rPr>
  </w:style>
  <w:style w:type="character" w:customStyle="1" w:styleId="fontstyle21">
    <w:name w:val="fontstyle21"/>
    <w:rPr>
      <w:rFonts w:ascii="Book Antiqua" w:hAnsi="Book Antiqua" w:hint="default"/>
      <w:b w:val="0"/>
      <w:bCs w:val="0"/>
      <w:i w:val="0"/>
      <w:iCs w:val="0"/>
      <w:color w:val="000000"/>
      <w:sz w:val="24"/>
      <w:szCs w:val="24"/>
    </w:rPr>
  </w:style>
  <w:style w:type="character" w:customStyle="1" w:styleId="Char10">
    <w:name w:val="批注文字 Char1"/>
    <w:link w:val="aa"/>
    <w:uiPriority w:val="99"/>
    <w:rPr>
      <w:rFonts w:ascii="Tahoma" w:hAnsi="Tahoma" w:cs="Tahoma"/>
      <w:sz w:val="16"/>
      <w:szCs w:val="24"/>
      <w:lang w:eastAsia="zh-CN"/>
    </w:rPr>
  </w:style>
  <w:style w:type="character" w:customStyle="1" w:styleId="nft">
    <w:name w:val="nft"/>
    <w:basedOn w:val="a0"/>
  </w:style>
  <w:style w:type="character" w:customStyle="1" w:styleId="Char3">
    <w:name w:val="批注主题 Char"/>
    <w:link w:val="ab"/>
    <w:uiPriority w:val="99"/>
    <w:semiHidden/>
    <w:rPr>
      <w:rFonts w:ascii="Tahoma" w:hAnsi="Tahoma" w:cs="Tahoma"/>
      <w:b/>
      <w:bCs/>
      <w:lang w:eastAsia="zh-CN"/>
    </w:rPr>
  </w:style>
  <w:style w:type="character" w:customStyle="1" w:styleId="fontstyle01">
    <w:name w:val="fontstyle01"/>
    <w:rPr>
      <w:rFonts w:ascii="Book Antiqua" w:hAnsi="Book Antiqua" w:hint="default"/>
      <w:b/>
      <w:bCs/>
      <w:i w:val="0"/>
      <w:iCs w:val="0"/>
      <w:color w:val="000000"/>
      <w:sz w:val="24"/>
      <w:szCs w:val="24"/>
    </w:rPr>
  </w:style>
  <w:style w:type="character" w:customStyle="1" w:styleId="Char4">
    <w:name w:val="页脚 Char"/>
    <w:link w:val="ac"/>
    <w:uiPriority w:val="99"/>
    <w:rPr>
      <w:sz w:val="18"/>
      <w:szCs w:val="18"/>
    </w:rPr>
  </w:style>
  <w:style w:type="paragraph" w:styleId="a8">
    <w:name w:val="Balloon Text"/>
    <w:basedOn w:val="a"/>
    <w:link w:val="Char0"/>
    <w:uiPriority w:val="99"/>
    <w:unhideWhenUsed/>
    <w:rPr>
      <w:sz w:val="18"/>
      <w:szCs w:val="18"/>
    </w:rPr>
  </w:style>
  <w:style w:type="paragraph" w:styleId="ab">
    <w:name w:val="annotation subject"/>
    <w:basedOn w:val="aa"/>
    <w:next w:val="aa"/>
    <w:link w:val="Char3"/>
    <w:uiPriority w:val="99"/>
    <w:unhideWhenUsed/>
    <w:rPr>
      <w:b/>
      <w:bCs/>
      <w:sz w:val="20"/>
      <w:szCs w:val="20"/>
    </w:rPr>
  </w:style>
  <w:style w:type="paragraph" w:styleId="aa">
    <w:name w:val="annotation text"/>
    <w:basedOn w:val="a"/>
    <w:link w:val="Char10"/>
    <w:uiPriority w:val="99"/>
    <w:unhideWhenUsed/>
    <w:qFormat/>
    <w:rPr>
      <w:rFonts w:ascii="Tahoma" w:hAnsi="Tahoma" w:cs="Tahoma"/>
      <w:sz w:val="16"/>
    </w:rPr>
  </w:style>
  <w:style w:type="paragraph" w:styleId="a7">
    <w:name w:val="footnote text"/>
    <w:link w:val="Char"/>
    <w:uiPriority w:val="99"/>
    <w:unhideWhenUsed/>
    <w:qFormat/>
    <w:pPr>
      <w:snapToGrid w:val="0"/>
    </w:pPr>
    <w:rPr>
      <w:rFonts w:eastAsia="微软雅黑"/>
      <w:sz w:val="18"/>
      <w:szCs w:val="18"/>
    </w:rPr>
  </w:style>
  <w:style w:type="paragraph" w:styleId="ac">
    <w:name w:val="footer"/>
    <w:basedOn w:val="a"/>
    <w:link w:val="Char4"/>
    <w:uiPriority w:val="99"/>
    <w:unhideWhenUsed/>
    <w:pPr>
      <w:tabs>
        <w:tab w:val="center" w:pos="4153"/>
        <w:tab w:val="right" w:pos="8306"/>
      </w:tabs>
      <w:snapToGrid w:val="0"/>
    </w:pPr>
    <w:rPr>
      <w:sz w:val="18"/>
      <w:szCs w:val="18"/>
    </w:rPr>
  </w:style>
  <w:style w:type="paragraph" w:styleId="a9">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d">
    <w:name w:val="List Paragraph"/>
    <w:basedOn w:val="a"/>
    <w:uiPriority w:val="34"/>
    <w:qFormat/>
    <w:pPr>
      <w:ind w:firstLineChars="200" w:firstLine="420"/>
    </w:pPr>
  </w:style>
  <w:style w:type="paragraph" w:styleId="ae">
    <w:name w:val="Revision"/>
    <w:uiPriority w:val="99"/>
    <w:semiHidden/>
    <w:rPr>
      <w:kern w:val="2"/>
      <w:sz w:val="21"/>
      <w:szCs w:val="22"/>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image" Target="media/image4.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6209</Words>
  <Characters>35393</Characters>
  <Application>Microsoft Office Word</Application>
  <DocSecurity>0</DocSecurity>
  <Lines>294</Lines>
  <Paragraphs>83</Paragraphs>
  <ScaleCrop>false</ScaleCrop>
  <Company/>
  <LinksUpToDate>false</LinksUpToDate>
  <CharactersWithSpaces>41519</CharactersWithSpaces>
  <SharedDoc>false</SharedDoc>
  <HLinks>
    <vt:vector size="12" baseType="variant">
      <vt:variant>
        <vt:i4>4522071</vt:i4>
      </vt:variant>
      <vt:variant>
        <vt:i4>3</vt:i4>
      </vt:variant>
      <vt:variant>
        <vt:i4>0</vt:i4>
      </vt:variant>
      <vt:variant>
        <vt:i4>5</vt:i4>
      </vt:variant>
      <vt:variant>
        <vt:lpwstr>javascript:;</vt:lpwstr>
      </vt:variant>
      <vt:variant>
        <vt:lpwstr/>
      </vt:variant>
      <vt:variant>
        <vt:i4>4522071</vt:i4>
      </vt:variant>
      <vt:variant>
        <vt:i4>0</vt:i4>
      </vt:variant>
      <vt:variant>
        <vt:i4>0</vt:i4>
      </vt:variant>
      <vt:variant>
        <vt:i4>5</vt:i4>
      </vt:variant>
      <vt:variant>
        <vt:lpwstr>javascript:;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QLC</dc:creator>
  <cp:lastModifiedBy>Lenovo</cp:lastModifiedBy>
  <cp:revision>5</cp:revision>
  <cp:lastPrinted>2020-02-03T02:32:00Z</cp:lastPrinted>
  <dcterms:created xsi:type="dcterms:W3CDTF">2020-07-06T10:19:00Z</dcterms:created>
  <dcterms:modified xsi:type="dcterms:W3CDTF">2020-07-06T10:47:00Z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43979.8374768519</vt:r8>
  </property>
  <property fmtid="{D5CDD505-2E9C-101B-9397-08002B2CF9AE}" pid="4" name="EditTotal">
    <vt:r8>7199</vt:r8>
  </property>
  <property fmtid="{D5CDD505-2E9C-101B-9397-08002B2CF9AE}" pid="5" name="EditTimer">
    <vt:r8>2870</vt:r8>
  </property>
  <property fmtid="{D5CDD505-2E9C-101B-9397-08002B2CF9AE}" pid="6" name="KSOProductBuildVer">
    <vt:lpwstr>2052-11.1.0.9740</vt:lpwstr>
  </property>
</Properties>
</file>