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D7F1" w14:textId="77777777" w:rsidR="00156B28" w:rsidRPr="00707417" w:rsidRDefault="00156B28" w:rsidP="00707417">
      <w:pPr>
        <w:adjustRightInd w:val="0"/>
        <w:snapToGrid w:val="0"/>
        <w:spacing w:line="360" w:lineRule="auto"/>
        <w:jc w:val="both"/>
        <w:rPr>
          <w:rFonts w:ascii="Book Antiqua" w:hAnsi="Book Antiqua"/>
          <w:b/>
          <w:i/>
          <w:sz w:val="24"/>
          <w:szCs w:val="24"/>
        </w:rPr>
      </w:pPr>
      <w:r w:rsidRPr="00707417">
        <w:rPr>
          <w:rFonts w:ascii="Book Antiqua" w:hAnsi="Book Antiqua"/>
          <w:b/>
          <w:sz w:val="24"/>
          <w:szCs w:val="24"/>
        </w:rPr>
        <w:t xml:space="preserve">Name of Journal: </w:t>
      </w:r>
      <w:r w:rsidRPr="00707417">
        <w:rPr>
          <w:rFonts w:ascii="Book Antiqua" w:hAnsi="Book Antiqua"/>
          <w:bCs/>
          <w:i/>
          <w:sz w:val="24"/>
          <w:szCs w:val="24"/>
        </w:rPr>
        <w:t>World Journal of Diabetes</w:t>
      </w:r>
    </w:p>
    <w:p w14:paraId="7F512019" w14:textId="77777777" w:rsidR="00156B28" w:rsidRPr="00707417" w:rsidRDefault="00156B28" w:rsidP="00707417">
      <w:pPr>
        <w:adjustRightInd w:val="0"/>
        <w:snapToGrid w:val="0"/>
        <w:spacing w:line="360" w:lineRule="auto"/>
        <w:jc w:val="both"/>
        <w:rPr>
          <w:rFonts w:ascii="Book Antiqua" w:hAnsi="Book Antiqua"/>
          <w:b/>
          <w:sz w:val="24"/>
          <w:szCs w:val="24"/>
        </w:rPr>
      </w:pPr>
      <w:r w:rsidRPr="00707417">
        <w:rPr>
          <w:rFonts w:ascii="Book Antiqua" w:hAnsi="Book Antiqua"/>
          <w:b/>
          <w:sz w:val="24"/>
          <w:szCs w:val="24"/>
        </w:rPr>
        <w:t xml:space="preserve">Manuscript NO: </w:t>
      </w:r>
      <w:r w:rsidRPr="00707417">
        <w:rPr>
          <w:rFonts w:ascii="Book Antiqua" w:hAnsi="Book Antiqua"/>
          <w:bCs/>
          <w:sz w:val="24"/>
          <w:szCs w:val="24"/>
        </w:rPr>
        <w:t>54540</w:t>
      </w:r>
    </w:p>
    <w:p w14:paraId="66496055" w14:textId="38300E43" w:rsidR="00156B28" w:rsidRPr="00707417" w:rsidRDefault="00156B28" w:rsidP="00707417">
      <w:pPr>
        <w:adjustRightInd w:val="0"/>
        <w:snapToGrid w:val="0"/>
        <w:spacing w:line="360" w:lineRule="auto"/>
        <w:jc w:val="both"/>
        <w:rPr>
          <w:rFonts w:ascii="Book Antiqua" w:hAnsi="Book Antiqua"/>
          <w:b/>
          <w:sz w:val="24"/>
          <w:szCs w:val="24"/>
        </w:rPr>
      </w:pPr>
      <w:r w:rsidRPr="00707417">
        <w:rPr>
          <w:rFonts w:ascii="Book Antiqua" w:hAnsi="Book Antiqua"/>
          <w:b/>
          <w:sz w:val="24"/>
          <w:szCs w:val="24"/>
        </w:rPr>
        <w:t xml:space="preserve">Manuscript Type: </w:t>
      </w:r>
      <w:r w:rsidR="00707417" w:rsidRPr="00707417">
        <w:rPr>
          <w:rFonts w:ascii="Book Antiqua" w:hAnsi="Book Antiqua"/>
          <w:bCs/>
          <w:sz w:val="24"/>
          <w:szCs w:val="24"/>
        </w:rPr>
        <w:t>REVIEW</w:t>
      </w:r>
    </w:p>
    <w:p w14:paraId="28018375" w14:textId="77777777" w:rsidR="00BF08E2" w:rsidRPr="00707417" w:rsidRDefault="00BF08E2" w:rsidP="00707417">
      <w:pPr>
        <w:adjustRightInd w:val="0"/>
        <w:snapToGrid w:val="0"/>
        <w:spacing w:line="360" w:lineRule="auto"/>
        <w:jc w:val="both"/>
        <w:rPr>
          <w:rFonts w:ascii="Book Antiqua" w:hAnsi="Book Antiqua"/>
          <w:b/>
          <w:sz w:val="24"/>
          <w:szCs w:val="24"/>
        </w:rPr>
      </w:pPr>
    </w:p>
    <w:p w14:paraId="5D1CEC87" w14:textId="128F3627" w:rsidR="00156B28" w:rsidRPr="00707417" w:rsidRDefault="005C3420" w:rsidP="00707417">
      <w:pPr>
        <w:adjustRightInd w:val="0"/>
        <w:snapToGrid w:val="0"/>
        <w:spacing w:line="360" w:lineRule="auto"/>
        <w:jc w:val="both"/>
        <w:rPr>
          <w:rFonts w:ascii="Book Antiqua" w:hAnsi="Book Antiqua"/>
          <w:b/>
          <w:sz w:val="24"/>
          <w:szCs w:val="24"/>
        </w:rPr>
      </w:pPr>
      <w:r w:rsidRPr="00707417">
        <w:rPr>
          <w:rFonts w:ascii="Book Antiqua" w:hAnsi="Book Antiqua"/>
          <w:b/>
          <w:sz w:val="24"/>
          <w:szCs w:val="24"/>
        </w:rPr>
        <w:t>Sodium-glucose cotransporter 2</w:t>
      </w:r>
      <w:r w:rsidR="00156B28" w:rsidRPr="00707417">
        <w:rPr>
          <w:rFonts w:ascii="Book Antiqua" w:hAnsi="Book Antiqua"/>
          <w:b/>
          <w:sz w:val="24"/>
          <w:szCs w:val="24"/>
        </w:rPr>
        <w:t xml:space="preserve"> inhibitors’ mechanisms of action in heart failure</w:t>
      </w:r>
    </w:p>
    <w:p w14:paraId="39AAECC2" w14:textId="77777777" w:rsidR="00BF08E2" w:rsidRPr="00707417" w:rsidRDefault="00BF08E2" w:rsidP="00707417">
      <w:pPr>
        <w:adjustRightInd w:val="0"/>
        <w:snapToGrid w:val="0"/>
        <w:spacing w:line="360" w:lineRule="auto"/>
        <w:jc w:val="both"/>
        <w:rPr>
          <w:rFonts w:ascii="Book Antiqua" w:hAnsi="Book Antiqua"/>
          <w:b/>
          <w:sz w:val="24"/>
          <w:szCs w:val="24"/>
        </w:rPr>
      </w:pPr>
    </w:p>
    <w:p w14:paraId="6D498FA9" w14:textId="60FD3783" w:rsidR="00BF08E2" w:rsidRPr="00707417" w:rsidRDefault="00BF08E2" w:rsidP="00707417">
      <w:pPr>
        <w:adjustRightInd w:val="0"/>
        <w:snapToGrid w:val="0"/>
        <w:spacing w:line="360" w:lineRule="auto"/>
        <w:jc w:val="both"/>
        <w:rPr>
          <w:rFonts w:ascii="Book Antiqua" w:hAnsi="Book Antiqua"/>
          <w:sz w:val="24"/>
          <w:szCs w:val="24"/>
        </w:rPr>
      </w:pPr>
      <w:r w:rsidRPr="00707417">
        <w:rPr>
          <w:rFonts w:ascii="Book Antiqua" w:hAnsi="Book Antiqua"/>
          <w:sz w:val="24"/>
          <w:szCs w:val="24"/>
        </w:rPr>
        <w:t xml:space="preserve">Grubić Rotkvić P </w:t>
      </w:r>
      <w:r w:rsidRPr="00707417">
        <w:rPr>
          <w:rFonts w:ascii="Book Antiqua" w:hAnsi="Book Antiqua"/>
          <w:i/>
          <w:iCs/>
          <w:sz w:val="24"/>
          <w:szCs w:val="24"/>
        </w:rPr>
        <w:t>et al</w:t>
      </w:r>
      <w:r w:rsidRPr="00707417">
        <w:rPr>
          <w:rFonts w:ascii="Book Antiqua" w:hAnsi="Book Antiqua"/>
          <w:sz w:val="24"/>
          <w:szCs w:val="24"/>
        </w:rPr>
        <w:t>. SGLT2 inhibitors in heart failure</w:t>
      </w:r>
    </w:p>
    <w:p w14:paraId="3A1947A6" w14:textId="77777777" w:rsidR="00BF08E2" w:rsidRPr="00707417" w:rsidRDefault="00BF08E2" w:rsidP="00707417">
      <w:pPr>
        <w:adjustRightInd w:val="0"/>
        <w:snapToGrid w:val="0"/>
        <w:spacing w:line="360" w:lineRule="auto"/>
        <w:jc w:val="both"/>
        <w:rPr>
          <w:rFonts w:ascii="Book Antiqua" w:hAnsi="Book Antiqua"/>
          <w:sz w:val="24"/>
          <w:szCs w:val="24"/>
        </w:rPr>
      </w:pPr>
    </w:p>
    <w:p w14:paraId="76DE6B84" w14:textId="77777777" w:rsidR="00156B28" w:rsidRPr="00707417" w:rsidRDefault="00156B28" w:rsidP="00707417">
      <w:pPr>
        <w:adjustRightInd w:val="0"/>
        <w:snapToGrid w:val="0"/>
        <w:spacing w:line="360" w:lineRule="auto"/>
        <w:jc w:val="both"/>
        <w:rPr>
          <w:rFonts w:ascii="Book Antiqua" w:hAnsi="Book Antiqua"/>
          <w:sz w:val="24"/>
          <w:szCs w:val="24"/>
        </w:rPr>
      </w:pPr>
      <w:r w:rsidRPr="00707417">
        <w:rPr>
          <w:rFonts w:ascii="Book Antiqua" w:hAnsi="Book Antiqua"/>
          <w:sz w:val="24"/>
          <w:szCs w:val="24"/>
        </w:rPr>
        <w:t xml:space="preserve">Petra Grubić Rotkvić, </w:t>
      </w:r>
      <w:bookmarkStart w:id="0" w:name="OLE_LINK1"/>
      <w:bookmarkStart w:id="1" w:name="OLE_LINK2"/>
      <w:r w:rsidRPr="00707417">
        <w:rPr>
          <w:rFonts w:ascii="Book Antiqua" w:hAnsi="Book Antiqua"/>
          <w:sz w:val="24"/>
          <w:szCs w:val="24"/>
        </w:rPr>
        <w:t>Maja Cigrovski Berković</w:t>
      </w:r>
      <w:bookmarkEnd w:id="0"/>
      <w:bookmarkEnd w:id="1"/>
      <w:r w:rsidRPr="00707417">
        <w:rPr>
          <w:rFonts w:ascii="Book Antiqua" w:hAnsi="Book Antiqua"/>
          <w:sz w:val="24"/>
          <w:szCs w:val="24"/>
        </w:rPr>
        <w:t xml:space="preserve">, </w:t>
      </w:r>
      <w:bookmarkStart w:id="2" w:name="OLE_LINK3"/>
      <w:bookmarkStart w:id="3" w:name="OLE_LINK4"/>
      <w:r w:rsidRPr="00707417">
        <w:rPr>
          <w:rFonts w:ascii="Book Antiqua" w:hAnsi="Book Antiqua"/>
          <w:sz w:val="24"/>
          <w:szCs w:val="24"/>
        </w:rPr>
        <w:t>Nikola Bulj</w:t>
      </w:r>
      <w:bookmarkEnd w:id="2"/>
      <w:bookmarkEnd w:id="3"/>
      <w:r w:rsidRPr="00707417">
        <w:rPr>
          <w:rFonts w:ascii="Book Antiqua" w:hAnsi="Book Antiqua"/>
          <w:sz w:val="24"/>
          <w:szCs w:val="24"/>
        </w:rPr>
        <w:t xml:space="preserve">, </w:t>
      </w:r>
      <w:bookmarkStart w:id="4" w:name="OLE_LINK5"/>
      <w:bookmarkStart w:id="5" w:name="OLE_LINK6"/>
      <w:r w:rsidRPr="00707417">
        <w:rPr>
          <w:rFonts w:ascii="Book Antiqua" w:hAnsi="Book Antiqua"/>
          <w:sz w:val="24"/>
          <w:szCs w:val="24"/>
        </w:rPr>
        <w:t>Luka Rotkvić</w:t>
      </w:r>
      <w:bookmarkEnd w:id="4"/>
      <w:bookmarkEnd w:id="5"/>
      <w:r w:rsidRPr="00707417">
        <w:rPr>
          <w:rFonts w:ascii="Book Antiqua" w:hAnsi="Book Antiqua"/>
          <w:sz w:val="24"/>
          <w:szCs w:val="24"/>
        </w:rPr>
        <w:t xml:space="preserve">, </w:t>
      </w:r>
      <w:bookmarkStart w:id="6" w:name="OLE_LINK7"/>
      <w:bookmarkStart w:id="7" w:name="OLE_LINK8"/>
      <w:r w:rsidRPr="00707417">
        <w:rPr>
          <w:rFonts w:ascii="Book Antiqua" w:hAnsi="Book Antiqua"/>
          <w:sz w:val="24"/>
          <w:szCs w:val="24"/>
        </w:rPr>
        <w:t>Ivana Ćelap</w:t>
      </w:r>
      <w:bookmarkEnd w:id="6"/>
      <w:bookmarkEnd w:id="7"/>
    </w:p>
    <w:p w14:paraId="4DCF9A58" w14:textId="77777777" w:rsidR="00BF08E2" w:rsidRPr="00707417" w:rsidRDefault="00BF08E2" w:rsidP="00707417">
      <w:pPr>
        <w:adjustRightInd w:val="0"/>
        <w:snapToGrid w:val="0"/>
        <w:spacing w:line="360" w:lineRule="auto"/>
        <w:jc w:val="both"/>
        <w:rPr>
          <w:rFonts w:ascii="Book Antiqua" w:hAnsi="Book Antiqua"/>
          <w:b/>
          <w:sz w:val="24"/>
          <w:szCs w:val="24"/>
        </w:rPr>
      </w:pPr>
    </w:p>
    <w:p w14:paraId="3060F152" w14:textId="0CD91A82" w:rsidR="00156B28" w:rsidRDefault="00156B28" w:rsidP="00707417">
      <w:pPr>
        <w:adjustRightInd w:val="0"/>
        <w:snapToGrid w:val="0"/>
        <w:spacing w:line="360" w:lineRule="auto"/>
        <w:jc w:val="both"/>
        <w:rPr>
          <w:rFonts w:ascii="Book Antiqua" w:hAnsi="Book Antiqua"/>
          <w:sz w:val="24"/>
          <w:szCs w:val="24"/>
        </w:rPr>
      </w:pPr>
      <w:r w:rsidRPr="00707417">
        <w:rPr>
          <w:rFonts w:ascii="Book Antiqua" w:hAnsi="Book Antiqua"/>
          <w:b/>
          <w:sz w:val="24"/>
          <w:szCs w:val="24"/>
        </w:rPr>
        <w:t xml:space="preserve">Petra Grubić Rotkvić, </w:t>
      </w:r>
      <w:r w:rsidRPr="00707417">
        <w:rPr>
          <w:rFonts w:ascii="Book Antiqua" w:hAnsi="Book Antiqua"/>
          <w:sz w:val="24"/>
          <w:szCs w:val="24"/>
          <w:lang w:val="en-GB"/>
        </w:rPr>
        <w:t xml:space="preserve">Department of Cardiology, </w:t>
      </w:r>
      <w:r w:rsidRPr="00707417">
        <w:rPr>
          <w:rFonts w:ascii="Book Antiqua" w:hAnsi="Book Antiqua"/>
          <w:sz w:val="24"/>
          <w:szCs w:val="24"/>
        </w:rPr>
        <w:t>University Hospital</w:t>
      </w:r>
      <w:r w:rsidR="00707417">
        <w:rPr>
          <w:rFonts w:ascii="Book Antiqua" w:hAnsi="Book Antiqua"/>
          <w:sz w:val="24"/>
          <w:szCs w:val="24"/>
        </w:rPr>
        <w:t>,</w:t>
      </w:r>
      <w:r w:rsidRPr="00707417">
        <w:rPr>
          <w:rFonts w:ascii="Book Antiqua" w:hAnsi="Book Antiqua"/>
          <w:sz w:val="24"/>
          <w:szCs w:val="24"/>
        </w:rPr>
        <w:t xml:space="preserve"> 10000 Zagreb, Croatia</w:t>
      </w:r>
    </w:p>
    <w:p w14:paraId="3C376C13" w14:textId="77777777" w:rsidR="00707417" w:rsidRPr="00707417" w:rsidRDefault="00707417" w:rsidP="00707417">
      <w:pPr>
        <w:adjustRightInd w:val="0"/>
        <w:snapToGrid w:val="0"/>
        <w:spacing w:line="360" w:lineRule="auto"/>
        <w:jc w:val="both"/>
        <w:rPr>
          <w:rFonts w:ascii="Book Antiqua" w:hAnsi="Book Antiqua"/>
          <w:sz w:val="24"/>
          <w:szCs w:val="24"/>
          <w:lang w:val="en-GB"/>
        </w:rPr>
      </w:pPr>
    </w:p>
    <w:p w14:paraId="6E33297D" w14:textId="3D2278A2" w:rsidR="00707417" w:rsidRDefault="00156B28" w:rsidP="00707417">
      <w:pPr>
        <w:adjustRightInd w:val="0"/>
        <w:snapToGrid w:val="0"/>
        <w:spacing w:line="360" w:lineRule="auto"/>
        <w:jc w:val="both"/>
        <w:rPr>
          <w:rFonts w:ascii="Book Antiqua" w:hAnsi="Book Antiqua"/>
          <w:sz w:val="24"/>
          <w:szCs w:val="24"/>
        </w:rPr>
      </w:pPr>
      <w:r w:rsidRPr="00707417">
        <w:rPr>
          <w:rFonts w:ascii="Book Antiqua" w:hAnsi="Book Antiqua"/>
          <w:b/>
          <w:sz w:val="24"/>
          <w:szCs w:val="24"/>
        </w:rPr>
        <w:t xml:space="preserve">Maja Cigrovski Berković, </w:t>
      </w:r>
      <w:r w:rsidRPr="00707417">
        <w:rPr>
          <w:rFonts w:ascii="Book Antiqua" w:hAnsi="Book Antiqua"/>
          <w:sz w:val="24"/>
          <w:szCs w:val="24"/>
        </w:rPr>
        <w:t>Department of Endocrinology, Diabetes, Metabolism and Clinical Pharmacology, University Hospital, Zagreb</w:t>
      </w:r>
      <w:r w:rsidR="00707417">
        <w:rPr>
          <w:rFonts w:ascii="Book Antiqua" w:hAnsi="Book Antiqua"/>
          <w:sz w:val="24"/>
          <w:szCs w:val="24"/>
        </w:rPr>
        <w:t xml:space="preserve"> </w:t>
      </w:r>
      <w:r w:rsidR="00707417" w:rsidRPr="00707417">
        <w:rPr>
          <w:rFonts w:ascii="Book Antiqua" w:hAnsi="Book Antiqua"/>
          <w:sz w:val="24"/>
          <w:szCs w:val="24"/>
        </w:rPr>
        <w:t>10000</w:t>
      </w:r>
      <w:r w:rsidRPr="00707417">
        <w:rPr>
          <w:rFonts w:ascii="Book Antiqua" w:hAnsi="Book Antiqua"/>
          <w:sz w:val="24"/>
          <w:szCs w:val="24"/>
        </w:rPr>
        <w:t>, Croatia</w:t>
      </w:r>
    </w:p>
    <w:p w14:paraId="0C8A480C" w14:textId="77777777" w:rsidR="00707417" w:rsidRDefault="00707417" w:rsidP="00707417">
      <w:pPr>
        <w:adjustRightInd w:val="0"/>
        <w:snapToGrid w:val="0"/>
        <w:spacing w:line="360" w:lineRule="auto"/>
        <w:jc w:val="both"/>
        <w:rPr>
          <w:rFonts w:ascii="Book Antiqua" w:hAnsi="Book Antiqua"/>
          <w:sz w:val="24"/>
          <w:szCs w:val="24"/>
        </w:rPr>
      </w:pPr>
    </w:p>
    <w:p w14:paraId="121697FB" w14:textId="733D2C4A" w:rsidR="00156B28" w:rsidRDefault="00707417" w:rsidP="00707417">
      <w:pPr>
        <w:adjustRightInd w:val="0"/>
        <w:snapToGrid w:val="0"/>
        <w:spacing w:line="360" w:lineRule="auto"/>
        <w:jc w:val="both"/>
        <w:rPr>
          <w:rFonts w:ascii="Book Antiqua" w:hAnsi="Book Antiqua"/>
          <w:sz w:val="24"/>
          <w:szCs w:val="24"/>
        </w:rPr>
      </w:pPr>
      <w:r w:rsidRPr="00707417">
        <w:rPr>
          <w:rFonts w:ascii="Book Antiqua" w:hAnsi="Book Antiqua"/>
          <w:b/>
          <w:sz w:val="24"/>
          <w:szCs w:val="24"/>
        </w:rPr>
        <w:t>Maja Cigrovski Berković,</w:t>
      </w:r>
      <w:r>
        <w:rPr>
          <w:rFonts w:ascii="Book Antiqua" w:hAnsi="Book Antiqua"/>
          <w:b/>
          <w:sz w:val="24"/>
          <w:szCs w:val="24"/>
        </w:rPr>
        <w:t xml:space="preserve"> </w:t>
      </w:r>
      <w:r w:rsidR="00156B28" w:rsidRPr="00707417">
        <w:rPr>
          <w:rFonts w:ascii="Book Antiqua" w:hAnsi="Book Antiqua"/>
          <w:sz w:val="24"/>
          <w:szCs w:val="24"/>
        </w:rPr>
        <w:t xml:space="preserve">Department for Medicine of Sports and Exercise, Faculty of Kinesiology University of Zagreb, </w:t>
      </w:r>
      <w:r w:rsidRPr="00707417">
        <w:rPr>
          <w:rFonts w:ascii="Book Antiqua" w:hAnsi="Book Antiqua"/>
          <w:sz w:val="24"/>
          <w:szCs w:val="24"/>
        </w:rPr>
        <w:t>Zagreb</w:t>
      </w:r>
      <w:r>
        <w:rPr>
          <w:rFonts w:ascii="Book Antiqua" w:hAnsi="Book Antiqua"/>
          <w:sz w:val="24"/>
          <w:szCs w:val="24"/>
        </w:rPr>
        <w:t xml:space="preserve"> </w:t>
      </w:r>
      <w:r w:rsidRPr="00707417">
        <w:rPr>
          <w:rFonts w:ascii="Book Antiqua" w:hAnsi="Book Antiqua"/>
          <w:sz w:val="24"/>
          <w:szCs w:val="24"/>
        </w:rPr>
        <w:t>10000,</w:t>
      </w:r>
      <w:r>
        <w:rPr>
          <w:rFonts w:ascii="Book Antiqua" w:hAnsi="Book Antiqua"/>
          <w:sz w:val="24"/>
          <w:szCs w:val="24"/>
        </w:rPr>
        <w:t xml:space="preserve"> </w:t>
      </w:r>
      <w:r w:rsidR="00156B28" w:rsidRPr="00707417">
        <w:rPr>
          <w:rFonts w:ascii="Book Antiqua" w:hAnsi="Book Antiqua"/>
          <w:sz w:val="24"/>
          <w:szCs w:val="24"/>
        </w:rPr>
        <w:t>Croatia</w:t>
      </w:r>
    </w:p>
    <w:p w14:paraId="1C075922" w14:textId="77777777" w:rsidR="00707417" w:rsidRPr="00707417" w:rsidRDefault="00707417" w:rsidP="00707417">
      <w:pPr>
        <w:adjustRightInd w:val="0"/>
        <w:snapToGrid w:val="0"/>
        <w:spacing w:line="360" w:lineRule="auto"/>
        <w:jc w:val="both"/>
        <w:rPr>
          <w:rFonts w:ascii="Book Antiqua" w:hAnsi="Book Antiqua"/>
          <w:sz w:val="24"/>
          <w:szCs w:val="24"/>
        </w:rPr>
      </w:pPr>
    </w:p>
    <w:p w14:paraId="07D12CB6" w14:textId="01BE7934" w:rsidR="00156B28" w:rsidRPr="00707417" w:rsidRDefault="00156B28" w:rsidP="00707417">
      <w:pPr>
        <w:adjustRightInd w:val="0"/>
        <w:snapToGrid w:val="0"/>
        <w:spacing w:line="360" w:lineRule="auto"/>
        <w:jc w:val="both"/>
        <w:rPr>
          <w:rFonts w:ascii="Book Antiqua" w:hAnsi="Book Antiqua"/>
          <w:sz w:val="24"/>
          <w:szCs w:val="24"/>
        </w:rPr>
      </w:pPr>
      <w:r w:rsidRPr="00707417">
        <w:rPr>
          <w:rFonts w:ascii="Book Antiqua" w:hAnsi="Book Antiqua"/>
          <w:b/>
          <w:sz w:val="24"/>
          <w:szCs w:val="24"/>
        </w:rPr>
        <w:t xml:space="preserve">Nikola Bulj, </w:t>
      </w:r>
      <w:r w:rsidRPr="00707417">
        <w:rPr>
          <w:rFonts w:ascii="Book Antiqua" w:hAnsi="Book Antiqua"/>
          <w:sz w:val="24"/>
          <w:szCs w:val="24"/>
          <w:lang w:val="en-GB"/>
        </w:rPr>
        <w:t>Department of Cardiology</w:t>
      </w:r>
      <w:r w:rsidRPr="00707417">
        <w:rPr>
          <w:rFonts w:ascii="Book Antiqua" w:hAnsi="Book Antiqua"/>
          <w:sz w:val="24"/>
          <w:szCs w:val="24"/>
        </w:rPr>
        <w:t>, University Hospital Centre, Zagreb</w:t>
      </w:r>
      <w:r w:rsidR="00707417">
        <w:rPr>
          <w:rFonts w:ascii="Book Antiqua" w:hAnsi="Book Antiqua"/>
          <w:sz w:val="24"/>
          <w:szCs w:val="24"/>
        </w:rPr>
        <w:t xml:space="preserve"> </w:t>
      </w:r>
      <w:r w:rsidR="00707417" w:rsidRPr="00707417">
        <w:rPr>
          <w:rFonts w:ascii="Book Antiqua" w:hAnsi="Book Antiqua"/>
          <w:sz w:val="24"/>
          <w:szCs w:val="24"/>
        </w:rPr>
        <w:t>10000</w:t>
      </w:r>
      <w:r w:rsidRPr="00707417">
        <w:rPr>
          <w:rFonts w:ascii="Book Antiqua" w:hAnsi="Book Antiqua"/>
          <w:sz w:val="24"/>
          <w:szCs w:val="24"/>
        </w:rPr>
        <w:t>, Croatia</w:t>
      </w:r>
    </w:p>
    <w:p w14:paraId="7EAD0241" w14:textId="54CC9785" w:rsidR="00156B28" w:rsidRDefault="00156B28" w:rsidP="00707417">
      <w:pPr>
        <w:adjustRightInd w:val="0"/>
        <w:snapToGrid w:val="0"/>
        <w:spacing w:line="360" w:lineRule="auto"/>
        <w:jc w:val="both"/>
        <w:rPr>
          <w:rFonts w:ascii="Book Antiqua" w:hAnsi="Book Antiqua"/>
          <w:bCs/>
          <w:sz w:val="24"/>
          <w:szCs w:val="24"/>
        </w:rPr>
      </w:pPr>
      <w:r w:rsidRPr="00707417">
        <w:rPr>
          <w:rFonts w:ascii="Book Antiqua" w:hAnsi="Book Antiqua"/>
          <w:b/>
          <w:sz w:val="24"/>
          <w:szCs w:val="24"/>
        </w:rPr>
        <w:t xml:space="preserve">Luka Rotkvić, </w:t>
      </w:r>
      <w:r w:rsidRPr="00707417">
        <w:rPr>
          <w:rFonts w:ascii="Book Antiqua" w:hAnsi="Book Antiqua"/>
          <w:sz w:val="24"/>
          <w:szCs w:val="24"/>
          <w:lang w:val="en-GB"/>
        </w:rPr>
        <w:t xml:space="preserve">Department of Cardiology, </w:t>
      </w:r>
      <w:r w:rsidRPr="00707417">
        <w:rPr>
          <w:rFonts w:ascii="Book Antiqua" w:hAnsi="Book Antiqua"/>
          <w:bCs/>
          <w:sz w:val="24"/>
          <w:szCs w:val="24"/>
        </w:rPr>
        <w:t>Magdalena Clinic for Cardiovascular Disease, Krapinske Toplice</w:t>
      </w:r>
      <w:r w:rsidR="00707417">
        <w:rPr>
          <w:rFonts w:ascii="Book Antiqua" w:hAnsi="Book Antiqua"/>
          <w:bCs/>
          <w:sz w:val="24"/>
          <w:szCs w:val="24"/>
        </w:rPr>
        <w:t xml:space="preserve"> </w:t>
      </w:r>
      <w:r w:rsidR="00707417" w:rsidRPr="00707417">
        <w:rPr>
          <w:rFonts w:ascii="Book Antiqua" w:hAnsi="Book Antiqua"/>
          <w:bCs/>
          <w:sz w:val="24"/>
          <w:szCs w:val="24"/>
        </w:rPr>
        <w:t>49217</w:t>
      </w:r>
      <w:r w:rsidRPr="00707417">
        <w:rPr>
          <w:rFonts w:ascii="Book Antiqua" w:hAnsi="Book Antiqua"/>
          <w:bCs/>
          <w:sz w:val="24"/>
          <w:szCs w:val="24"/>
        </w:rPr>
        <w:t>, Croatia</w:t>
      </w:r>
    </w:p>
    <w:p w14:paraId="47DD9D16" w14:textId="77777777" w:rsidR="00707417" w:rsidRPr="00707417" w:rsidRDefault="00707417" w:rsidP="00707417">
      <w:pPr>
        <w:adjustRightInd w:val="0"/>
        <w:snapToGrid w:val="0"/>
        <w:spacing w:line="360" w:lineRule="auto"/>
        <w:jc w:val="both"/>
        <w:rPr>
          <w:rFonts w:ascii="Book Antiqua" w:hAnsi="Book Antiqua"/>
          <w:b/>
          <w:sz w:val="24"/>
          <w:szCs w:val="24"/>
        </w:rPr>
      </w:pPr>
    </w:p>
    <w:p w14:paraId="33CB4AF5" w14:textId="321916AE" w:rsidR="00707417" w:rsidRPr="00707417" w:rsidRDefault="00156B28" w:rsidP="00707417">
      <w:pPr>
        <w:adjustRightInd w:val="0"/>
        <w:snapToGrid w:val="0"/>
        <w:spacing w:line="360" w:lineRule="auto"/>
        <w:jc w:val="both"/>
        <w:rPr>
          <w:rFonts w:ascii="Book Antiqua" w:hAnsi="Book Antiqua"/>
          <w:sz w:val="24"/>
          <w:szCs w:val="24"/>
        </w:rPr>
      </w:pPr>
      <w:r w:rsidRPr="00707417">
        <w:rPr>
          <w:rFonts w:ascii="Book Antiqua" w:hAnsi="Book Antiqua"/>
          <w:b/>
          <w:sz w:val="24"/>
          <w:szCs w:val="24"/>
        </w:rPr>
        <w:t xml:space="preserve">Ivana Ćelap, </w:t>
      </w:r>
      <w:r w:rsidRPr="00707417">
        <w:rPr>
          <w:rFonts w:ascii="Book Antiqua" w:hAnsi="Book Antiqua"/>
          <w:sz w:val="24"/>
          <w:szCs w:val="24"/>
        </w:rPr>
        <w:t>Department of Clinical Chemistry,University Hospital Centre, Zagreb</w:t>
      </w:r>
      <w:r w:rsidR="00707417">
        <w:rPr>
          <w:rFonts w:ascii="Book Antiqua" w:hAnsi="Book Antiqua"/>
          <w:sz w:val="24"/>
          <w:szCs w:val="24"/>
        </w:rPr>
        <w:t xml:space="preserve"> </w:t>
      </w:r>
      <w:r w:rsidR="00707417" w:rsidRPr="00707417">
        <w:rPr>
          <w:rFonts w:ascii="Book Antiqua" w:hAnsi="Book Antiqua"/>
          <w:sz w:val="24"/>
          <w:szCs w:val="24"/>
        </w:rPr>
        <w:t>10000</w:t>
      </w:r>
      <w:r w:rsidRPr="00707417">
        <w:rPr>
          <w:rFonts w:ascii="Book Antiqua" w:hAnsi="Book Antiqua"/>
          <w:sz w:val="24"/>
          <w:szCs w:val="24"/>
        </w:rPr>
        <w:t>, Croatia</w:t>
      </w:r>
    </w:p>
    <w:p w14:paraId="7DD680D0" w14:textId="77777777" w:rsidR="00BF08E2" w:rsidRPr="00707417" w:rsidRDefault="00BF08E2" w:rsidP="00707417">
      <w:pPr>
        <w:adjustRightInd w:val="0"/>
        <w:snapToGrid w:val="0"/>
        <w:spacing w:line="360" w:lineRule="auto"/>
        <w:jc w:val="both"/>
        <w:rPr>
          <w:rFonts w:ascii="Book Antiqua" w:hAnsi="Book Antiqua"/>
          <w:sz w:val="24"/>
          <w:szCs w:val="24"/>
        </w:rPr>
      </w:pPr>
    </w:p>
    <w:p w14:paraId="291899B5" w14:textId="3CB67836" w:rsidR="00156B28" w:rsidRPr="00707417" w:rsidRDefault="00707417" w:rsidP="00707417">
      <w:pPr>
        <w:adjustRightInd w:val="0"/>
        <w:snapToGrid w:val="0"/>
        <w:spacing w:line="360" w:lineRule="auto"/>
        <w:jc w:val="both"/>
        <w:rPr>
          <w:rFonts w:ascii="Book Antiqua" w:hAnsi="Book Antiqua"/>
          <w:bCs/>
          <w:sz w:val="24"/>
          <w:szCs w:val="24"/>
        </w:rPr>
      </w:pPr>
      <w:r w:rsidRPr="00707417">
        <w:rPr>
          <w:rFonts w:ascii="Book Antiqua" w:hAnsi="Book Antiqua"/>
          <w:b/>
          <w:sz w:val="24"/>
          <w:szCs w:val="24"/>
        </w:rPr>
        <w:t>Author contributions:</w:t>
      </w:r>
      <w:r w:rsidR="00BF08E2" w:rsidRPr="00707417">
        <w:rPr>
          <w:rFonts w:ascii="Book Antiqua" w:hAnsi="Book Antiqua"/>
          <w:b/>
          <w:sz w:val="24"/>
          <w:szCs w:val="24"/>
        </w:rPr>
        <w:t xml:space="preserve"> </w:t>
      </w:r>
      <w:r w:rsidR="00156B28" w:rsidRPr="00707417">
        <w:rPr>
          <w:rFonts w:ascii="Book Antiqua" w:hAnsi="Book Antiqua"/>
          <w:bCs/>
          <w:sz w:val="24"/>
          <w:szCs w:val="24"/>
        </w:rPr>
        <w:t>All authors contributed to the original ideas and writing of this paper</w:t>
      </w:r>
      <w:r w:rsidR="00156B28" w:rsidRPr="00707417">
        <w:rPr>
          <w:rFonts w:ascii="Book Antiqua" w:hAnsi="Book Antiqua"/>
          <w:b/>
          <w:sz w:val="24"/>
          <w:szCs w:val="24"/>
        </w:rPr>
        <w:t>.</w:t>
      </w:r>
      <w:r w:rsidR="00BF08E2" w:rsidRPr="00707417">
        <w:rPr>
          <w:rFonts w:ascii="Book Antiqua" w:hAnsi="Book Antiqua"/>
          <w:b/>
          <w:sz w:val="24"/>
          <w:szCs w:val="24"/>
        </w:rPr>
        <w:t xml:space="preserve"> </w:t>
      </w:r>
      <w:r w:rsidR="00156B28" w:rsidRPr="00707417">
        <w:rPr>
          <w:rFonts w:ascii="Book Antiqua" w:hAnsi="Book Antiqua"/>
          <w:sz w:val="24"/>
          <w:szCs w:val="24"/>
        </w:rPr>
        <w:t xml:space="preserve">Grubić Rotkvić </w:t>
      </w:r>
      <w:r>
        <w:rPr>
          <w:rFonts w:ascii="Book Antiqua" w:hAnsi="Book Antiqua"/>
          <w:sz w:val="24"/>
          <w:szCs w:val="24"/>
        </w:rPr>
        <w:t xml:space="preserve">P </w:t>
      </w:r>
      <w:r w:rsidR="00156B28" w:rsidRPr="00707417">
        <w:rPr>
          <w:rFonts w:ascii="Book Antiqua" w:hAnsi="Book Antiqua"/>
          <w:sz w:val="24"/>
          <w:szCs w:val="24"/>
        </w:rPr>
        <w:t xml:space="preserve">and Cigrovski Berković </w:t>
      </w:r>
      <w:r>
        <w:rPr>
          <w:rFonts w:ascii="Book Antiqua" w:hAnsi="Book Antiqua"/>
          <w:sz w:val="24"/>
          <w:szCs w:val="24"/>
        </w:rPr>
        <w:t xml:space="preserve">M </w:t>
      </w:r>
      <w:r w:rsidR="00156B28" w:rsidRPr="00707417">
        <w:rPr>
          <w:rFonts w:ascii="Book Antiqua" w:hAnsi="Book Antiqua"/>
          <w:sz w:val="24"/>
          <w:szCs w:val="24"/>
        </w:rPr>
        <w:t xml:space="preserve">designed the report; Grubić Rotkvić </w:t>
      </w:r>
      <w:r>
        <w:rPr>
          <w:rFonts w:ascii="Book Antiqua" w:hAnsi="Book Antiqua"/>
          <w:sz w:val="24"/>
          <w:szCs w:val="24"/>
        </w:rPr>
        <w:t xml:space="preserve">P </w:t>
      </w:r>
      <w:r w:rsidR="00156B28" w:rsidRPr="00707417">
        <w:rPr>
          <w:rFonts w:ascii="Book Antiqua" w:hAnsi="Book Antiqua"/>
          <w:sz w:val="24"/>
          <w:szCs w:val="24"/>
        </w:rPr>
        <w:t>analyzed the data and wrote the paper; Cigrovski Berković</w:t>
      </w:r>
      <w:r>
        <w:rPr>
          <w:rFonts w:ascii="Book Antiqua" w:hAnsi="Book Antiqua"/>
          <w:sz w:val="24"/>
          <w:szCs w:val="24"/>
        </w:rPr>
        <w:t xml:space="preserve"> M</w:t>
      </w:r>
      <w:r w:rsidR="00156B28" w:rsidRPr="00707417">
        <w:rPr>
          <w:rFonts w:ascii="Book Antiqua" w:hAnsi="Book Antiqua"/>
          <w:sz w:val="24"/>
          <w:szCs w:val="24"/>
        </w:rPr>
        <w:t>, Bulj</w:t>
      </w:r>
      <w:r>
        <w:rPr>
          <w:rFonts w:ascii="Book Antiqua" w:hAnsi="Book Antiqua"/>
          <w:sz w:val="24"/>
          <w:szCs w:val="24"/>
        </w:rPr>
        <w:t xml:space="preserve"> N</w:t>
      </w:r>
      <w:r w:rsidR="00156B28" w:rsidRPr="00707417">
        <w:rPr>
          <w:rFonts w:ascii="Book Antiqua" w:hAnsi="Book Antiqua"/>
          <w:sz w:val="24"/>
          <w:szCs w:val="24"/>
        </w:rPr>
        <w:t xml:space="preserve">, </w:t>
      </w:r>
      <w:r w:rsidR="00156B28" w:rsidRPr="00707417">
        <w:rPr>
          <w:rFonts w:ascii="Book Antiqua" w:hAnsi="Book Antiqua"/>
          <w:sz w:val="24"/>
          <w:szCs w:val="24"/>
        </w:rPr>
        <w:lastRenderedPageBreak/>
        <w:t xml:space="preserve">Rotkvić </w:t>
      </w:r>
      <w:r>
        <w:rPr>
          <w:rFonts w:ascii="Book Antiqua" w:hAnsi="Book Antiqua"/>
          <w:sz w:val="24"/>
          <w:szCs w:val="24"/>
        </w:rPr>
        <w:t xml:space="preserve">L </w:t>
      </w:r>
      <w:r w:rsidR="00156B28" w:rsidRPr="00707417">
        <w:rPr>
          <w:rFonts w:ascii="Book Antiqua" w:hAnsi="Book Antiqua"/>
          <w:sz w:val="24"/>
          <w:szCs w:val="24"/>
        </w:rPr>
        <w:t xml:space="preserve">and Ćelap </w:t>
      </w:r>
      <w:r>
        <w:rPr>
          <w:rFonts w:ascii="Book Antiqua" w:hAnsi="Book Antiqua"/>
          <w:sz w:val="24"/>
          <w:szCs w:val="24"/>
        </w:rPr>
        <w:t xml:space="preserve">I </w:t>
      </w:r>
      <w:r w:rsidR="00156B28" w:rsidRPr="00707417">
        <w:rPr>
          <w:rFonts w:ascii="Book Antiqua" w:hAnsi="Book Antiqua"/>
          <w:bCs/>
          <w:sz w:val="24"/>
          <w:szCs w:val="24"/>
        </w:rPr>
        <w:t>participated in data acquisition, drafting and revising the manuscript.</w:t>
      </w:r>
    </w:p>
    <w:p w14:paraId="6F8E7BB0" w14:textId="77777777" w:rsidR="00B5555D" w:rsidRPr="00707417" w:rsidRDefault="00B5555D" w:rsidP="00707417">
      <w:pPr>
        <w:adjustRightInd w:val="0"/>
        <w:snapToGrid w:val="0"/>
        <w:spacing w:line="360" w:lineRule="auto"/>
        <w:jc w:val="both"/>
        <w:rPr>
          <w:rFonts w:ascii="Book Antiqua" w:hAnsi="Book Antiqua"/>
          <w:b/>
          <w:sz w:val="24"/>
          <w:szCs w:val="24"/>
        </w:rPr>
      </w:pPr>
    </w:p>
    <w:p w14:paraId="482BF8BC" w14:textId="625540B5" w:rsidR="00156B28" w:rsidRPr="00707417" w:rsidRDefault="00156B28" w:rsidP="00707417">
      <w:pPr>
        <w:adjustRightInd w:val="0"/>
        <w:snapToGrid w:val="0"/>
        <w:spacing w:line="360" w:lineRule="auto"/>
        <w:jc w:val="both"/>
        <w:rPr>
          <w:rFonts w:ascii="Book Antiqua" w:hAnsi="Book Antiqua" w:cs="Calibri"/>
          <w:b/>
          <w:color w:val="000000"/>
          <w:sz w:val="24"/>
          <w:szCs w:val="24"/>
          <w:shd w:val="clear" w:color="auto" w:fill="FFFFFF"/>
        </w:rPr>
      </w:pPr>
      <w:r w:rsidRPr="00707417">
        <w:rPr>
          <w:rFonts w:ascii="Book Antiqua" w:hAnsi="Book Antiqua"/>
          <w:b/>
          <w:sz w:val="24"/>
          <w:szCs w:val="24"/>
        </w:rPr>
        <w:t xml:space="preserve">Corresponding author: </w:t>
      </w:r>
      <w:r w:rsidR="00707417" w:rsidRPr="00707417">
        <w:rPr>
          <w:rFonts w:ascii="Book Antiqua" w:hAnsi="Book Antiqua"/>
          <w:b/>
          <w:sz w:val="24"/>
          <w:szCs w:val="24"/>
        </w:rPr>
        <w:t xml:space="preserve">Petra Grubić Rotkvić, MD, </w:t>
      </w:r>
      <w:r w:rsidR="0084028A" w:rsidRPr="0084028A">
        <w:rPr>
          <w:rFonts w:ascii="Book Antiqua" w:hAnsi="Book Antiqua"/>
          <w:b/>
          <w:sz w:val="24"/>
          <w:szCs w:val="24"/>
        </w:rPr>
        <w:t>Doctor</w:t>
      </w:r>
      <w:r w:rsidR="0084028A">
        <w:rPr>
          <w:rFonts w:ascii="Book Antiqua" w:hAnsi="Book Antiqua" w:hint="eastAsia"/>
          <w:b/>
          <w:sz w:val="24"/>
          <w:szCs w:val="24"/>
          <w:lang w:eastAsia="zh-CN"/>
        </w:rPr>
        <w:t>,</w:t>
      </w:r>
      <w:r w:rsidR="0084028A">
        <w:rPr>
          <w:rFonts w:ascii="Book Antiqua" w:hAnsi="Book Antiqua"/>
          <w:b/>
          <w:sz w:val="24"/>
          <w:szCs w:val="24"/>
          <w:lang w:eastAsia="zh-CN"/>
        </w:rPr>
        <w:t xml:space="preserve"> </w:t>
      </w:r>
      <w:r w:rsidR="00707417" w:rsidRPr="00707417">
        <w:rPr>
          <w:rFonts w:ascii="Book Antiqua" w:hAnsi="Book Antiqua"/>
          <w:bCs/>
          <w:sz w:val="24"/>
          <w:szCs w:val="24"/>
        </w:rPr>
        <w:t>Department of Cardiology, University Hospital, Sveti Duh 64, Zagreb 10000, Croatia. petra.grubic84@gmail.com</w:t>
      </w:r>
    </w:p>
    <w:p w14:paraId="23C98E26" w14:textId="065F1C54" w:rsidR="007E7EC2" w:rsidRDefault="007E7EC2" w:rsidP="007E7EC2">
      <w:pPr>
        <w:jc w:val="both"/>
        <w:rPr>
          <w:rFonts w:ascii="Book Antiqua" w:hAnsi="Book Antiqua"/>
          <w:sz w:val="24"/>
          <w:szCs w:val="24"/>
        </w:rPr>
      </w:pPr>
    </w:p>
    <w:p w14:paraId="361E5C81" w14:textId="7F597921" w:rsidR="007E7EC2" w:rsidRPr="00002F66" w:rsidRDefault="007E7EC2" w:rsidP="007E7EC2">
      <w:pPr>
        <w:adjustRightInd w:val="0"/>
        <w:snapToGrid w:val="0"/>
        <w:spacing w:line="360" w:lineRule="auto"/>
        <w:jc w:val="both"/>
        <w:rPr>
          <w:rFonts w:ascii="Book Antiqua" w:hAnsi="Book Antiqua"/>
          <w:sz w:val="24"/>
          <w:szCs w:val="24"/>
        </w:rPr>
      </w:pPr>
      <w:bookmarkStart w:id="8" w:name="OLE_LINK75"/>
      <w:bookmarkStart w:id="9" w:name="OLE_LINK76"/>
      <w:bookmarkStart w:id="10" w:name="OLE_LINK269"/>
      <w:bookmarkStart w:id="11" w:name="OLE_LINK239"/>
      <w:bookmarkStart w:id="12" w:name="OLE_LINK867"/>
      <w:bookmarkStart w:id="13" w:name="OLE_LINK884"/>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w:t>
      </w:r>
      <w:r>
        <w:rPr>
          <w:rFonts w:ascii="Book Antiqua" w:hAnsi="Book Antiqua"/>
          <w:sz w:val="24"/>
          <w:szCs w:val="24"/>
        </w:rPr>
        <w:t>17</w:t>
      </w:r>
      <w:r w:rsidRPr="00002F66">
        <w:rPr>
          <w:rFonts w:ascii="Book Antiqua" w:hAnsi="Book Antiqua"/>
          <w:sz w:val="24"/>
          <w:szCs w:val="24"/>
        </w:rPr>
        <w:t>, 20</w:t>
      </w:r>
      <w:r>
        <w:rPr>
          <w:rFonts w:ascii="Book Antiqua" w:hAnsi="Book Antiqua"/>
          <w:sz w:val="24"/>
          <w:szCs w:val="24"/>
        </w:rPr>
        <w:t>20</w:t>
      </w:r>
    </w:p>
    <w:p w14:paraId="45CF8E7D" w14:textId="601D14AE" w:rsidR="007E7EC2" w:rsidRPr="00002F66" w:rsidRDefault="007E7EC2" w:rsidP="007E7EC2">
      <w:pPr>
        <w:adjustRightInd w:val="0"/>
        <w:snapToGrid w:val="0"/>
        <w:spacing w:line="360" w:lineRule="auto"/>
        <w:jc w:val="both"/>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11</w:t>
      </w:r>
      <w:r w:rsidRPr="00002F66">
        <w:rPr>
          <w:rFonts w:ascii="Book Antiqua" w:hAnsi="Book Antiqua"/>
          <w:sz w:val="24"/>
          <w:szCs w:val="24"/>
        </w:rPr>
        <w:t>, 20</w:t>
      </w:r>
      <w:r>
        <w:rPr>
          <w:rFonts w:ascii="Book Antiqua" w:hAnsi="Book Antiqua"/>
          <w:sz w:val="24"/>
          <w:szCs w:val="24"/>
        </w:rPr>
        <w:t>20</w:t>
      </w:r>
    </w:p>
    <w:p w14:paraId="469A3224" w14:textId="76A11113" w:rsidR="007E7EC2" w:rsidRPr="00002F66" w:rsidRDefault="007E7EC2" w:rsidP="007E7EC2">
      <w:pPr>
        <w:adjustRightInd w:val="0"/>
        <w:snapToGrid w:val="0"/>
        <w:spacing w:line="360" w:lineRule="auto"/>
        <w:jc w:val="both"/>
        <w:rPr>
          <w:rFonts w:ascii="Book Antiqua" w:hAnsi="Book Antiqua"/>
          <w:color w:val="000000"/>
          <w:sz w:val="24"/>
          <w:szCs w:val="24"/>
        </w:rPr>
      </w:pPr>
      <w:proofErr w:type="spellStart"/>
      <w:r w:rsidRPr="00002F66">
        <w:rPr>
          <w:rFonts w:ascii="Book Antiqua" w:hAnsi="Book Antiqua"/>
          <w:b/>
          <w:sz w:val="24"/>
          <w:szCs w:val="24"/>
        </w:rPr>
        <w:t>Accepted</w:t>
      </w:r>
      <w:proofErr w:type="spellEnd"/>
      <w:r w:rsidRPr="00002F66">
        <w:rPr>
          <w:rFonts w:ascii="Book Antiqua" w:hAnsi="Book Antiqua"/>
          <w:b/>
          <w:sz w:val="24"/>
          <w:szCs w:val="24"/>
        </w:rPr>
        <w:t>:</w:t>
      </w:r>
      <w:r w:rsidRPr="00002F66">
        <w:rPr>
          <w:rFonts w:ascii="Book Antiqua" w:hAnsi="Book Antiqua"/>
          <w:sz w:val="24"/>
          <w:szCs w:val="24"/>
        </w:rPr>
        <w:t xml:space="preserve"> </w:t>
      </w:r>
      <w:r w:rsidR="00DB47FC">
        <w:rPr>
          <w:rFonts w:ascii="Book Antiqua" w:hAnsi="Book Antiqua"/>
          <w:sz w:val="24"/>
          <w:szCs w:val="24"/>
        </w:rPr>
        <w:t>May 28, 2020</w:t>
      </w:r>
    </w:p>
    <w:p w14:paraId="09CE71CD" w14:textId="24827C07" w:rsidR="007E7EC2" w:rsidRDefault="007E7EC2" w:rsidP="007E7EC2">
      <w:pPr>
        <w:jc w:val="both"/>
        <w:rPr>
          <w:rFonts w:ascii="Book Antiqua" w:hAnsi="Book Antiqua"/>
          <w:sz w:val="24"/>
          <w:szCs w:val="24"/>
        </w:rPr>
      </w:pPr>
      <w:r w:rsidRPr="00002F66">
        <w:rPr>
          <w:rFonts w:ascii="Book Antiqua" w:hAnsi="Book Antiqua"/>
          <w:b/>
          <w:sz w:val="24"/>
          <w:szCs w:val="24"/>
        </w:rPr>
        <w:t>Published online:</w:t>
      </w:r>
      <w:bookmarkEnd w:id="8"/>
      <w:bookmarkEnd w:id="9"/>
      <w:bookmarkEnd w:id="10"/>
      <w:bookmarkEnd w:id="11"/>
      <w:bookmarkEnd w:id="12"/>
      <w:bookmarkEnd w:id="13"/>
    </w:p>
    <w:p w14:paraId="59F2306B" w14:textId="12E98615" w:rsidR="007E7EC2" w:rsidRDefault="007E7EC2">
      <w:pPr>
        <w:rPr>
          <w:rFonts w:ascii="Book Antiqua" w:hAnsi="Book Antiqua"/>
          <w:sz w:val="24"/>
          <w:szCs w:val="24"/>
        </w:rPr>
      </w:pPr>
      <w:r>
        <w:rPr>
          <w:rFonts w:ascii="Book Antiqua" w:hAnsi="Book Antiqua"/>
          <w:sz w:val="24"/>
          <w:szCs w:val="24"/>
        </w:rPr>
        <w:br w:type="page"/>
      </w:r>
    </w:p>
    <w:p w14:paraId="3B3856D5" w14:textId="0618525F" w:rsidR="00156B28" w:rsidRPr="00707417" w:rsidRDefault="007E7EC2" w:rsidP="00707417">
      <w:pPr>
        <w:adjustRightInd w:val="0"/>
        <w:snapToGrid w:val="0"/>
        <w:spacing w:line="360" w:lineRule="auto"/>
        <w:jc w:val="both"/>
        <w:rPr>
          <w:rFonts w:ascii="Book Antiqua" w:hAnsi="Book Antiqua"/>
          <w:b/>
          <w:sz w:val="24"/>
          <w:szCs w:val="24"/>
        </w:rPr>
      </w:pPr>
      <w:bookmarkStart w:id="14" w:name="_Hlk39064330"/>
      <w:r w:rsidRPr="00D53DBA">
        <w:rPr>
          <w:rFonts w:ascii="Book Antiqua" w:hAnsi="Book Antiqua"/>
          <w:b/>
          <w:bCs/>
          <w:sz w:val="24"/>
          <w:szCs w:val="24"/>
          <w:lang w:val="es-ES" w:eastAsia="es-ES"/>
        </w:rPr>
        <w:lastRenderedPageBreak/>
        <w:t>Abstract</w:t>
      </w:r>
      <w:bookmarkEnd w:id="14"/>
    </w:p>
    <w:p w14:paraId="7B67FAAC" w14:textId="7D7C56CB" w:rsidR="00156B28" w:rsidRPr="00707417" w:rsidRDefault="00156B28" w:rsidP="00707417">
      <w:pPr>
        <w:adjustRightInd w:val="0"/>
        <w:snapToGrid w:val="0"/>
        <w:spacing w:line="360" w:lineRule="auto"/>
        <w:jc w:val="both"/>
        <w:rPr>
          <w:rFonts w:ascii="Book Antiqua" w:hAnsi="Book Antiqua"/>
          <w:b/>
          <w:sz w:val="24"/>
          <w:szCs w:val="24"/>
        </w:rPr>
      </w:pPr>
      <w:r w:rsidRPr="00707417">
        <w:rPr>
          <w:rFonts w:ascii="Book Antiqua" w:hAnsi="Book Antiqua"/>
          <w:sz w:val="24"/>
          <w:szCs w:val="24"/>
        </w:rPr>
        <w:t>T</w:t>
      </w:r>
      <w:proofErr w:type="spellStart"/>
      <w:r w:rsidRPr="00707417">
        <w:rPr>
          <w:rFonts w:ascii="Book Antiqua" w:hAnsi="Book Antiqua"/>
          <w:sz w:val="24"/>
          <w:szCs w:val="24"/>
          <w:lang w:val="en-GB"/>
        </w:rPr>
        <w:t>hree</w:t>
      </w:r>
      <w:proofErr w:type="spellEnd"/>
      <w:r w:rsidRPr="00707417">
        <w:rPr>
          <w:rFonts w:ascii="Book Antiqua" w:hAnsi="Book Antiqua"/>
          <w:sz w:val="24"/>
          <w:szCs w:val="24"/>
          <w:lang w:val="en-GB"/>
        </w:rPr>
        <w:t xml:space="preserve"> major cardiovascular outcome trials (CVOTs) with a new class of antidiabetic drugs - </w:t>
      </w:r>
      <w:bookmarkStart w:id="15" w:name="_Hlk41401224"/>
      <w:r w:rsidRPr="00707417">
        <w:rPr>
          <w:rFonts w:ascii="Book Antiqua" w:hAnsi="Book Antiqua"/>
          <w:sz w:val="24"/>
          <w:szCs w:val="24"/>
          <w:lang w:val="en-GB"/>
        </w:rPr>
        <w:t>sodium-glucose cotransporter 2</w:t>
      </w:r>
      <w:bookmarkEnd w:id="15"/>
      <w:r w:rsidRPr="00707417">
        <w:rPr>
          <w:rFonts w:ascii="Book Antiqua" w:hAnsi="Book Antiqua"/>
          <w:sz w:val="24"/>
          <w:szCs w:val="24"/>
          <w:lang w:val="en-GB"/>
        </w:rPr>
        <w:t xml:space="preserve"> (SGLT2) inhibitors (EMPA-REG OUTCOME trial with empagliflozin, CANVAS Program with canagliflozin, DECLARE-TIMI 58 with dapagliflozin) unexpectedly showed that cardiovascular outcomes could be improved possibly due to a reduction in heart failure risk, which seems to be the most sensitive outcome of SGLT2 inhibition. No other CVOT to date has shown any significant benefit on heart failure events. </w:t>
      </w:r>
      <w:r w:rsidRPr="00707417">
        <w:rPr>
          <w:rFonts w:ascii="Book Antiqua" w:hAnsi="Book Antiqua"/>
          <w:sz w:val="24"/>
          <w:szCs w:val="24"/>
        </w:rPr>
        <w:t xml:space="preserve">Even more impressive findings came recently from the DAPA-HF trial in patients with confirmed and well-treated heart failure: </w:t>
      </w:r>
      <w:r w:rsidR="007E7EC2" w:rsidRPr="00707417">
        <w:rPr>
          <w:rFonts w:ascii="Book Antiqua" w:hAnsi="Book Antiqua"/>
          <w:sz w:val="24"/>
          <w:szCs w:val="24"/>
        </w:rPr>
        <w:t>D</w:t>
      </w:r>
      <w:r w:rsidRPr="00707417">
        <w:rPr>
          <w:rFonts w:ascii="Book Antiqua" w:hAnsi="Book Antiqua"/>
          <w:sz w:val="24"/>
          <w:szCs w:val="24"/>
        </w:rPr>
        <w:t>apagliflozin was shown to reduce heart failure risk for patients with heart failure with reduced ejection fraction</w:t>
      </w:r>
      <w:r w:rsidR="008A0D30" w:rsidRPr="00707417">
        <w:rPr>
          <w:rFonts w:ascii="Book Antiqua" w:hAnsi="Book Antiqua"/>
          <w:sz w:val="24"/>
          <w:szCs w:val="24"/>
        </w:rPr>
        <w:t xml:space="preserve"> </w:t>
      </w:r>
      <w:r w:rsidRPr="00707417">
        <w:rPr>
          <w:rFonts w:ascii="Book Antiqua" w:hAnsi="Book Antiqua"/>
          <w:sz w:val="24"/>
          <w:szCs w:val="24"/>
        </w:rPr>
        <w:t xml:space="preserve">regardless of diabetes status. </w:t>
      </w:r>
      <w:r w:rsidRPr="00707417">
        <w:rPr>
          <w:rFonts w:ascii="Book Antiqua" w:hAnsi="Book Antiqua"/>
          <w:sz w:val="24"/>
          <w:szCs w:val="24"/>
          <w:lang w:val="en-GB"/>
        </w:rPr>
        <w:t xml:space="preserve">Nevertheless, despite their possible wide clinical implications, there is much doubt about the mechanisms of action and a lot of questions to unravel, especially now when </w:t>
      </w:r>
      <w:r w:rsidRPr="00707417">
        <w:rPr>
          <w:rFonts w:ascii="Book Antiqua" w:hAnsi="Book Antiqua"/>
          <w:sz w:val="24"/>
          <w:szCs w:val="24"/>
        </w:rPr>
        <w:t>their benefits translated to non-diabetic patients, rising doubts about the validity of some current mechanistic assumptions</w:t>
      </w:r>
      <w:r w:rsidRPr="00707417">
        <w:rPr>
          <w:rFonts w:ascii="Book Antiqua" w:hAnsi="Book Antiqua" w:cs="Calibri"/>
          <w:color w:val="000000"/>
          <w:sz w:val="24"/>
          <w:szCs w:val="24"/>
          <w:shd w:val="clear" w:color="auto" w:fill="FFFFFF"/>
          <w:lang w:val="en-GB"/>
        </w:rPr>
        <w:t xml:space="preserve">.The time frame of their cardiovascular benefits excludes glucose-lowering and </w:t>
      </w:r>
      <w:proofErr w:type="spellStart"/>
      <w:r w:rsidRPr="00707417">
        <w:rPr>
          <w:rFonts w:ascii="Book Antiqua" w:hAnsi="Book Antiqua" w:cs="Calibri"/>
          <w:color w:val="000000"/>
          <w:sz w:val="24"/>
          <w:szCs w:val="24"/>
          <w:shd w:val="clear" w:color="auto" w:fill="FFFFFF"/>
          <w:lang w:val="en-GB"/>
        </w:rPr>
        <w:t>antiatherosclerotic</w:t>
      </w:r>
      <w:proofErr w:type="spellEnd"/>
      <w:r w:rsidRPr="00707417">
        <w:rPr>
          <w:rFonts w:ascii="Book Antiqua" w:hAnsi="Book Antiqua" w:cs="Calibri"/>
          <w:color w:val="000000"/>
          <w:sz w:val="24"/>
          <w:szCs w:val="24"/>
          <w:shd w:val="clear" w:color="auto" w:fill="FFFFFF"/>
          <w:lang w:val="en-GB"/>
        </w:rPr>
        <w:t>-mediated effects and m</w:t>
      </w:r>
      <w:r w:rsidRPr="00707417">
        <w:rPr>
          <w:rFonts w:ascii="Book Antiqua" w:hAnsi="Book Antiqua" w:cs="Calibri"/>
          <w:color w:val="000000"/>
          <w:sz w:val="24"/>
          <w:szCs w:val="24"/>
          <w:shd w:val="clear" w:color="auto" w:fill="FFFFFF"/>
        </w:rPr>
        <w:t xml:space="preserve">ultiple other mechanisms, direct cardiac as well as systemic, are suggested to explain their early cardiorenal benefits. These are: anti-inflammatory, antifibrotic, antioxidative, antiapoptotic properties, then renoprotective and hemodynamic effects, attenuation of glucotoxicity, reduction of uric acid levels and epicardial adipose tissue, modification of neurohumoral system and cardiac fuel energetics, sodium-hydrogen exchange inhibition. The </w:t>
      </w:r>
      <w:r w:rsidRPr="00707417">
        <w:rPr>
          <w:rFonts w:ascii="Book Antiqua" w:hAnsi="Book Antiqua" w:cs="Calibri"/>
          <w:color w:val="000000"/>
          <w:sz w:val="24"/>
          <w:szCs w:val="24"/>
          <w:shd w:val="clear" w:color="auto" w:fill="FFFFFF"/>
          <w:lang w:val="en-GB"/>
        </w:rPr>
        <w:t xml:space="preserve">most logic explanation seems that SGLT2 inhibitors timely </w:t>
      </w:r>
      <w:r w:rsidRPr="00707417">
        <w:rPr>
          <w:rFonts w:ascii="Book Antiqua" w:hAnsi="Book Antiqua" w:cs="Calibri"/>
          <w:color w:val="000000"/>
          <w:sz w:val="24"/>
          <w:szCs w:val="24"/>
          <w:shd w:val="clear" w:color="auto" w:fill="FFFFFF"/>
        </w:rPr>
        <w:t>target various mechanisms underpinning heart failure pathogenesis. All the proposed mechanisms of their action could interfere with evolution of heart failure and are discussed separately within the main text.</w:t>
      </w:r>
    </w:p>
    <w:p w14:paraId="5F089BC2" w14:textId="77777777" w:rsidR="00156B28" w:rsidRPr="00707417" w:rsidRDefault="00156B28" w:rsidP="00707417">
      <w:pPr>
        <w:adjustRightInd w:val="0"/>
        <w:snapToGrid w:val="0"/>
        <w:spacing w:line="360" w:lineRule="auto"/>
        <w:jc w:val="both"/>
        <w:rPr>
          <w:rFonts w:ascii="Book Antiqua" w:hAnsi="Book Antiqua"/>
          <w:sz w:val="24"/>
          <w:szCs w:val="24"/>
        </w:rPr>
      </w:pPr>
    </w:p>
    <w:p w14:paraId="08EA8F5B" w14:textId="68259AA4" w:rsidR="00E86763" w:rsidRPr="007E7EC2" w:rsidRDefault="007E7EC2" w:rsidP="00707417">
      <w:pPr>
        <w:adjustRightInd w:val="0"/>
        <w:snapToGrid w:val="0"/>
        <w:spacing w:line="360" w:lineRule="auto"/>
        <w:jc w:val="both"/>
        <w:rPr>
          <w:rFonts w:ascii="Book Antiqua" w:hAnsi="Book Antiqua" w:cs="Calibri"/>
          <w:color w:val="000000"/>
          <w:sz w:val="24"/>
          <w:szCs w:val="24"/>
          <w:shd w:val="clear" w:color="auto" w:fill="FFFFFF"/>
          <w:lang w:val="en-GB"/>
        </w:rPr>
      </w:pPr>
      <w:bookmarkStart w:id="16" w:name="_Hlk39064376"/>
      <w:r w:rsidRPr="00D53DBA">
        <w:rPr>
          <w:rFonts w:ascii="Book Antiqua" w:hAnsi="Book Antiqua"/>
          <w:b/>
          <w:iCs/>
          <w:sz w:val="24"/>
          <w:szCs w:val="24"/>
          <w:lang w:eastAsia="es-ES_tradnl"/>
        </w:rPr>
        <w:t>Key words:</w:t>
      </w:r>
      <w:bookmarkEnd w:id="16"/>
      <w:r w:rsidR="00156B28" w:rsidRPr="00707417">
        <w:rPr>
          <w:rFonts w:ascii="Book Antiqua" w:hAnsi="Book Antiqua"/>
          <w:b/>
          <w:sz w:val="24"/>
          <w:szCs w:val="24"/>
        </w:rPr>
        <w:t xml:space="preserve"> </w:t>
      </w:r>
      <w:r w:rsidRPr="00707417">
        <w:rPr>
          <w:rFonts w:ascii="Book Antiqua" w:hAnsi="Book Antiqua"/>
          <w:sz w:val="24"/>
          <w:szCs w:val="24"/>
          <w:lang w:val="en-GB"/>
        </w:rPr>
        <w:t>Sodium-glucose cotransporter 2</w:t>
      </w:r>
      <w:r w:rsidR="00156B28" w:rsidRPr="00707417">
        <w:rPr>
          <w:rFonts w:ascii="Book Antiqua" w:hAnsi="Book Antiqua"/>
          <w:sz w:val="24"/>
          <w:szCs w:val="24"/>
        </w:rPr>
        <w:t xml:space="preserve"> inhibitors; Heart failure; Cardiovascular outcomes; Diabetes mellitus; </w:t>
      </w:r>
      <w:bookmarkStart w:id="17" w:name="OLE_LINK743"/>
      <w:bookmarkStart w:id="18" w:name="OLE_LINK744"/>
      <w:r w:rsidR="00156B28" w:rsidRPr="00707417">
        <w:rPr>
          <w:rFonts w:ascii="Book Antiqua" w:hAnsi="Book Antiqua" w:cs="Calibri"/>
          <w:color w:val="000000"/>
          <w:sz w:val="24"/>
          <w:szCs w:val="24"/>
          <w:shd w:val="clear" w:color="auto" w:fill="FFFFFF"/>
          <w:lang w:val="en-GB"/>
        </w:rPr>
        <w:t>Physiological mechanisms</w:t>
      </w:r>
      <w:bookmarkEnd w:id="17"/>
      <w:bookmarkEnd w:id="18"/>
      <w:r w:rsidR="00156B28" w:rsidRPr="00707417">
        <w:rPr>
          <w:rFonts w:ascii="Book Antiqua" w:hAnsi="Book Antiqua" w:cs="Calibri"/>
          <w:color w:val="000000"/>
          <w:sz w:val="24"/>
          <w:szCs w:val="24"/>
          <w:shd w:val="clear" w:color="auto" w:fill="FFFFFF"/>
          <w:lang w:val="en-GB"/>
        </w:rPr>
        <w:t xml:space="preserve">; </w:t>
      </w:r>
      <w:bookmarkStart w:id="19" w:name="OLE_LINK745"/>
      <w:bookmarkStart w:id="20" w:name="OLE_LINK746"/>
      <w:r w:rsidR="00156B28" w:rsidRPr="00707417">
        <w:rPr>
          <w:rFonts w:ascii="Book Antiqua" w:hAnsi="Book Antiqua" w:cs="Calibri"/>
          <w:color w:val="000000"/>
          <w:sz w:val="24"/>
          <w:szCs w:val="24"/>
          <w:shd w:val="clear" w:color="auto" w:fill="FFFFFF"/>
          <w:lang w:val="en-GB"/>
        </w:rPr>
        <w:t>Pleiotropic effects</w:t>
      </w:r>
      <w:bookmarkEnd w:id="19"/>
      <w:bookmarkEnd w:id="20"/>
    </w:p>
    <w:p w14:paraId="298A4484" w14:textId="25B85E32" w:rsidR="003B2E05" w:rsidRDefault="003B2E05" w:rsidP="00707417">
      <w:pPr>
        <w:adjustRightInd w:val="0"/>
        <w:snapToGrid w:val="0"/>
        <w:spacing w:line="360" w:lineRule="auto"/>
        <w:jc w:val="both"/>
        <w:rPr>
          <w:rFonts w:ascii="Book Antiqua" w:hAnsi="Book Antiqua"/>
          <w:b/>
          <w:sz w:val="24"/>
          <w:szCs w:val="24"/>
        </w:rPr>
      </w:pPr>
    </w:p>
    <w:p w14:paraId="2D027CBB" w14:textId="6FB2C4DB" w:rsidR="007E7EC2" w:rsidRDefault="007E7EC2" w:rsidP="00707417">
      <w:pPr>
        <w:adjustRightInd w:val="0"/>
        <w:snapToGrid w:val="0"/>
        <w:spacing w:line="360" w:lineRule="auto"/>
        <w:jc w:val="both"/>
        <w:rPr>
          <w:rFonts w:ascii="Book Antiqua" w:hAnsi="Book Antiqua"/>
          <w:b/>
          <w:sz w:val="24"/>
          <w:szCs w:val="24"/>
        </w:rPr>
      </w:pPr>
      <w:r w:rsidRPr="007E7EC2">
        <w:rPr>
          <w:rFonts w:ascii="Book Antiqua" w:hAnsi="Book Antiqua"/>
          <w:bCs/>
          <w:sz w:val="24"/>
          <w:szCs w:val="24"/>
        </w:rPr>
        <w:t>Grubić Rotkvić P,</w:t>
      </w:r>
      <w:r w:rsidRPr="00707417">
        <w:rPr>
          <w:rFonts w:ascii="Book Antiqua" w:hAnsi="Book Antiqua"/>
          <w:sz w:val="24"/>
          <w:szCs w:val="24"/>
        </w:rPr>
        <w:t xml:space="preserve"> Cigrovski Berković M, Bulj N, Rotkvić L, Ćelap I. </w:t>
      </w:r>
      <w:r w:rsidRPr="007E7EC2">
        <w:rPr>
          <w:rFonts w:ascii="Book Antiqua" w:hAnsi="Book Antiqua"/>
          <w:sz w:val="24"/>
          <w:szCs w:val="24"/>
        </w:rPr>
        <w:t>Sodium-glucose cotransporter 2 inhibitors’ mechanisms of action in heart failure</w:t>
      </w:r>
      <w:r w:rsidRPr="00707417">
        <w:rPr>
          <w:rFonts w:ascii="Book Antiqua" w:hAnsi="Book Antiqua"/>
          <w:sz w:val="24"/>
          <w:szCs w:val="24"/>
        </w:rPr>
        <w:t>.</w:t>
      </w:r>
      <w:r>
        <w:rPr>
          <w:rFonts w:ascii="Book Antiqua" w:hAnsi="Book Antiqua"/>
          <w:sz w:val="24"/>
          <w:szCs w:val="24"/>
        </w:rPr>
        <w:t xml:space="preserve"> </w:t>
      </w:r>
      <w:r w:rsidRPr="00C341A0">
        <w:rPr>
          <w:rFonts w:ascii="Book Antiqua" w:hAnsi="Book Antiqua"/>
          <w:i/>
          <w:iCs/>
          <w:sz w:val="24"/>
          <w:szCs w:val="24"/>
        </w:rPr>
        <w:t>World J Diabetes</w:t>
      </w:r>
      <w:r>
        <w:rPr>
          <w:rFonts w:ascii="Book Antiqua" w:hAnsi="Book Antiqua"/>
          <w:i/>
          <w:iCs/>
          <w:sz w:val="24"/>
          <w:szCs w:val="24"/>
        </w:rPr>
        <w:t xml:space="preserve"> </w:t>
      </w:r>
      <w:bookmarkStart w:id="21" w:name="_Hlk38613726"/>
      <w:r w:rsidRPr="00E536E1">
        <w:rPr>
          <w:rFonts w:ascii="Book Antiqua" w:hAnsi="Book Antiqua"/>
          <w:sz w:val="24"/>
          <w:szCs w:val="24"/>
        </w:rPr>
        <w:t>20</w:t>
      </w:r>
      <w:r>
        <w:rPr>
          <w:rFonts w:ascii="Book Antiqua" w:hAnsi="Book Antiqua"/>
          <w:sz w:val="24"/>
          <w:szCs w:val="24"/>
        </w:rPr>
        <w:t>20</w:t>
      </w:r>
      <w:r w:rsidRPr="00E536E1">
        <w:rPr>
          <w:rFonts w:ascii="Book Antiqua" w:hAnsi="Book Antiqua"/>
          <w:sz w:val="24"/>
          <w:szCs w:val="24"/>
        </w:rPr>
        <w:t xml:space="preserve">; </w:t>
      </w:r>
      <w:bookmarkStart w:id="22" w:name="_Hlk26978427"/>
      <w:r w:rsidRPr="0009702B">
        <w:rPr>
          <w:rFonts w:ascii="Book Antiqua" w:hAnsi="Book Antiqua"/>
          <w:bCs/>
          <w:sz w:val="24"/>
          <w:szCs w:val="24"/>
        </w:rPr>
        <w:t>In press</w:t>
      </w:r>
      <w:bookmarkEnd w:id="21"/>
      <w:bookmarkEnd w:id="22"/>
    </w:p>
    <w:p w14:paraId="38E23085" w14:textId="77777777" w:rsidR="007E7EC2" w:rsidRPr="00707417" w:rsidRDefault="007E7EC2" w:rsidP="00707417">
      <w:pPr>
        <w:adjustRightInd w:val="0"/>
        <w:snapToGrid w:val="0"/>
        <w:spacing w:line="360" w:lineRule="auto"/>
        <w:jc w:val="both"/>
        <w:rPr>
          <w:rFonts w:ascii="Book Antiqua" w:hAnsi="Book Antiqua"/>
          <w:b/>
          <w:sz w:val="24"/>
          <w:szCs w:val="24"/>
        </w:rPr>
      </w:pPr>
    </w:p>
    <w:p w14:paraId="3873471B" w14:textId="216A0DB6" w:rsidR="00156B28" w:rsidRPr="00707417" w:rsidRDefault="007E7EC2" w:rsidP="00707417">
      <w:pPr>
        <w:adjustRightInd w:val="0"/>
        <w:snapToGrid w:val="0"/>
        <w:spacing w:line="360" w:lineRule="auto"/>
        <w:jc w:val="both"/>
        <w:rPr>
          <w:rFonts w:ascii="Book Antiqua" w:hAnsi="Book Antiqua" w:cs="Calibri"/>
          <w:color w:val="000000"/>
          <w:sz w:val="24"/>
          <w:szCs w:val="24"/>
          <w:shd w:val="clear" w:color="auto" w:fill="FFFFFF"/>
        </w:rPr>
      </w:pPr>
      <w:bookmarkStart w:id="23" w:name="_Hlk39064468"/>
      <w:r w:rsidRPr="00D53DBA">
        <w:rPr>
          <w:rFonts w:ascii="Book Antiqua" w:hAnsi="Book Antiqua"/>
          <w:b/>
          <w:sz w:val="24"/>
          <w:szCs w:val="24"/>
          <w:lang w:val="en-GB"/>
        </w:rPr>
        <w:t>Core tip:</w:t>
      </w:r>
      <w:bookmarkEnd w:id="23"/>
      <w:r w:rsidR="003C72D2" w:rsidRPr="00707417">
        <w:rPr>
          <w:rFonts w:ascii="Book Antiqua" w:hAnsi="Book Antiqua"/>
          <w:b/>
          <w:sz w:val="24"/>
          <w:szCs w:val="24"/>
        </w:rPr>
        <w:t xml:space="preserve"> </w:t>
      </w:r>
      <w:r w:rsidR="00156B28" w:rsidRPr="00707417">
        <w:rPr>
          <w:rFonts w:ascii="Book Antiqua" w:hAnsi="Book Antiqua"/>
          <w:sz w:val="24"/>
          <w:szCs w:val="24"/>
        </w:rPr>
        <w:t>T</w:t>
      </w:r>
      <w:proofErr w:type="spellStart"/>
      <w:r w:rsidR="00156B28" w:rsidRPr="00707417">
        <w:rPr>
          <w:rFonts w:ascii="Book Antiqua" w:hAnsi="Book Antiqua"/>
          <w:sz w:val="24"/>
          <w:szCs w:val="24"/>
          <w:lang w:val="en-GB"/>
        </w:rPr>
        <w:t>hree</w:t>
      </w:r>
      <w:proofErr w:type="spellEnd"/>
      <w:r w:rsidR="00156B28" w:rsidRPr="00707417">
        <w:rPr>
          <w:rFonts w:ascii="Book Antiqua" w:hAnsi="Book Antiqua"/>
          <w:sz w:val="24"/>
          <w:szCs w:val="24"/>
          <w:lang w:val="en-GB"/>
        </w:rPr>
        <w:t xml:space="preserve"> major cardiovascular outcome trials with a new class of antidiabetic drugs-sodium-glucose cotransporter 2 inhibitors unexpectedly showed that cardiovascular outcomes could be improved due to a reduction in heart failure events. Moreover, recently </w:t>
      </w:r>
      <w:r w:rsidR="00156B28" w:rsidRPr="00707417">
        <w:rPr>
          <w:rFonts w:ascii="Book Antiqua" w:hAnsi="Book Antiqua"/>
          <w:sz w:val="24"/>
          <w:szCs w:val="24"/>
        </w:rPr>
        <w:t>dapagliflozin was shown to reduce heart failure risk for patients with heart failure with reduced ejection fraction</w:t>
      </w:r>
      <w:r w:rsidR="00BB096F" w:rsidRPr="00707417">
        <w:rPr>
          <w:rFonts w:ascii="Book Antiqua" w:hAnsi="Book Antiqua"/>
          <w:sz w:val="24"/>
          <w:szCs w:val="24"/>
        </w:rPr>
        <w:t xml:space="preserve"> </w:t>
      </w:r>
      <w:r w:rsidR="00156B28" w:rsidRPr="00707417">
        <w:rPr>
          <w:rFonts w:ascii="Book Antiqua" w:hAnsi="Book Antiqua"/>
          <w:sz w:val="24"/>
          <w:szCs w:val="24"/>
        </w:rPr>
        <w:t xml:space="preserve">regardless of diabetic status. </w:t>
      </w:r>
      <w:r w:rsidR="00156B28" w:rsidRPr="00707417">
        <w:rPr>
          <w:rFonts w:ascii="Book Antiqua" w:hAnsi="Book Antiqua"/>
          <w:sz w:val="24"/>
          <w:szCs w:val="24"/>
          <w:lang w:val="en-GB"/>
        </w:rPr>
        <w:t>Currently, there is much doubt regarding the mechanisms of action of these drugs</w:t>
      </w:r>
      <w:r w:rsidR="00156B28" w:rsidRPr="00707417">
        <w:rPr>
          <w:rFonts w:ascii="Book Antiqua" w:hAnsi="Book Antiqua"/>
          <w:sz w:val="24"/>
          <w:szCs w:val="24"/>
        </w:rPr>
        <w:t>.</w:t>
      </w:r>
      <w:r>
        <w:rPr>
          <w:rFonts w:ascii="Book Antiqua" w:hAnsi="Book Antiqua"/>
          <w:sz w:val="24"/>
          <w:szCs w:val="24"/>
        </w:rPr>
        <w:t xml:space="preserve"> </w:t>
      </w:r>
      <w:r w:rsidR="00156B28" w:rsidRPr="00707417">
        <w:rPr>
          <w:rFonts w:ascii="Book Antiqua" w:hAnsi="Book Antiqua" w:cs="Calibri"/>
          <w:color w:val="000000"/>
          <w:sz w:val="24"/>
          <w:szCs w:val="24"/>
          <w:shd w:val="clear" w:color="auto" w:fill="FFFFFF"/>
        </w:rPr>
        <w:t>The</w:t>
      </w:r>
      <w:r w:rsidR="00BB096F" w:rsidRPr="00707417">
        <w:rPr>
          <w:rFonts w:ascii="Book Antiqua" w:hAnsi="Book Antiqua" w:cs="Calibri"/>
          <w:color w:val="000000"/>
          <w:sz w:val="24"/>
          <w:szCs w:val="24"/>
          <w:shd w:val="clear" w:color="auto" w:fill="FFFFFF"/>
        </w:rPr>
        <w:t xml:space="preserve"> </w:t>
      </w:r>
      <w:r w:rsidR="00156B28" w:rsidRPr="00707417">
        <w:rPr>
          <w:rFonts w:ascii="Book Antiqua" w:hAnsi="Book Antiqua" w:cs="Calibri"/>
          <w:color w:val="000000"/>
          <w:sz w:val="24"/>
          <w:szCs w:val="24"/>
          <w:shd w:val="clear" w:color="auto" w:fill="FFFFFF"/>
          <w:lang w:val="en-GB"/>
        </w:rPr>
        <w:t xml:space="preserve">most logic explanation is that they are timely </w:t>
      </w:r>
      <w:r w:rsidR="00156B28" w:rsidRPr="00707417">
        <w:rPr>
          <w:rFonts w:ascii="Book Antiqua" w:hAnsi="Book Antiqua" w:cs="Calibri"/>
          <w:color w:val="000000"/>
          <w:sz w:val="24"/>
          <w:szCs w:val="24"/>
          <w:shd w:val="clear" w:color="auto" w:fill="FFFFFF"/>
        </w:rPr>
        <w:t>targeting various mechanisms underpinning heart failure pathogenesis due to pleiotropic effects which are discussed in the main text.</w:t>
      </w:r>
    </w:p>
    <w:p w14:paraId="397BB7C4" w14:textId="77777777" w:rsidR="003C72D2" w:rsidRPr="00707417" w:rsidRDefault="003C72D2" w:rsidP="00707417">
      <w:pPr>
        <w:adjustRightInd w:val="0"/>
        <w:snapToGrid w:val="0"/>
        <w:spacing w:line="360" w:lineRule="auto"/>
        <w:jc w:val="both"/>
        <w:rPr>
          <w:rFonts w:ascii="Book Antiqua" w:hAnsi="Book Antiqua" w:cs="Calibri"/>
          <w:color w:val="000000"/>
          <w:sz w:val="24"/>
          <w:szCs w:val="24"/>
          <w:shd w:val="clear" w:color="auto" w:fill="FFFFFF"/>
        </w:rPr>
      </w:pPr>
    </w:p>
    <w:p w14:paraId="5A45B5B0" w14:textId="3F75CFF9" w:rsidR="003C72D2" w:rsidRPr="00707417" w:rsidRDefault="003C72D2" w:rsidP="00707417">
      <w:pPr>
        <w:adjustRightInd w:val="0"/>
        <w:snapToGrid w:val="0"/>
        <w:spacing w:line="360" w:lineRule="auto"/>
        <w:jc w:val="both"/>
        <w:rPr>
          <w:rFonts w:ascii="Book Antiqua" w:hAnsi="Book Antiqua"/>
          <w:sz w:val="24"/>
          <w:szCs w:val="24"/>
        </w:rPr>
      </w:pPr>
    </w:p>
    <w:p w14:paraId="3F5818D3" w14:textId="358C2957" w:rsidR="007E7EC2" w:rsidRDefault="007E7EC2">
      <w:pPr>
        <w:rPr>
          <w:rFonts w:ascii="Book Antiqua" w:hAnsi="Book Antiqua"/>
          <w:b/>
          <w:sz w:val="24"/>
          <w:szCs w:val="24"/>
        </w:rPr>
      </w:pPr>
      <w:r>
        <w:rPr>
          <w:rFonts w:ascii="Book Antiqua" w:hAnsi="Book Antiqua"/>
          <w:b/>
          <w:sz w:val="24"/>
          <w:szCs w:val="24"/>
        </w:rPr>
        <w:br w:type="page"/>
      </w:r>
    </w:p>
    <w:p w14:paraId="3FD23C47" w14:textId="0F033296" w:rsidR="00156B28" w:rsidRPr="00707417" w:rsidRDefault="007E7EC2" w:rsidP="00707417">
      <w:pPr>
        <w:adjustRightInd w:val="0"/>
        <w:snapToGrid w:val="0"/>
        <w:spacing w:line="360" w:lineRule="auto"/>
        <w:jc w:val="both"/>
        <w:rPr>
          <w:rFonts w:ascii="Book Antiqua" w:hAnsi="Book Antiqua"/>
          <w:b/>
          <w:sz w:val="24"/>
          <w:szCs w:val="24"/>
        </w:rPr>
      </w:pPr>
      <w:bookmarkStart w:id="24" w:name="_Hlk39064505"/>
      <w:r w:rsidRPr="00D53DBA">
        <w:rPr>
          <w:rFonts w:ascii="Book Antiqua" w:hAnsi="Book Antiqua"/>
          <w:b/>
          <w:sz w:val="24"/>
          <w:szCs w:val="24"/>
          <w:u w:val="single"/>
          <w:lang w:val="en-GB"/>
        </w:rPr>
        <w:lastRenderedPageBreak/>
        <w:t>INTRODUCTION</w:t>
      </w:r>
      <w:bookmarkEnd w:id="24"/>
    </w:p>
    <w:p w14:paraId="7F5F3ACB" w14:textId="1C18F027" w:rsidR="00156B28" w:rsidRPr="00707417" w:rsidRDefault="00156B28" w:rsidP="00707417">
      <w:pPr>
        <w:adjustRightInd w:val="0"/>
        <w:snapToGrid w:val="0"/>
        <w:spacing w:line="360" w:lineRule="auto"/>
        <w:jc w:val="both"/>
        <w:rPr>
          <w:rFonts w:ascii="Book Antiqua" w:hAnsi="Book Antiqua"/>
          <w:sz w:val="24"/>
          <w:szCs w:val="24"/>
          <w:lang w:val="en-GB"/>
        </w:rPr>
      </w:pPr>
      <w:r w:rsidRPr="00707417">
        <w:rPr>
          <w:rFonts w:ascii="Book Antiqua" w:hAnsi="Book Antiqua"/>
          <w:sz w:val="24"/>
          <w:szCs w:val="24"/>
        </w:rPr>
        <w:t>Atherosclerotic cardiovascular disease is the leading cause of morbidity and mortality among diabetic patients. Due to US Food and Drug Administration requirements, since 2008 a series of large clinical trials with new hypoglycemic drugs</w:t>
      </w:r>
      <w:r w:rsidR="00BB096F" w:rsidRPr="00707417">
        <w:rPr>
          <w:rFonts w:ascii="Book Antiqua" w:hAnsi="Book Antiqua"/>
          <w:sz w:val="24"/>
          <w:szCs w:val="24"/>
        </w:rPr>
        <w:t xml:space="preserve"> </w:t>
      </w:r>
      <w:r w:rsidRPr="00707417">
        <w:rPr>
          <w:rFonts w:ascii="Book Antiqua" w:hAnsi="Book Antiqua"/>
          <w:sz w:val="24"/>
          <w:szCs w:val="24"/>
        </w:rPr>
        <w:t>have been designed to rule out cardiovascular harm and to show noninferiority on the cardiovascular outcomes while improving glucose control</w:t>
      </w:r>
      <w:r w:rsidRPr="00707417">
        <w:rPr>
          <w:rFonts w:ascii="Book Antiqua" w:hAnsi="Book Antiqua"/>
          <w:sz w:val="24"/>
          <w:szCs w:val="24"/>
          <w:vertAlign w:val="superscript"/>
        </w:rPr>
        <w:t>[1]</w:t>
      </w:r>
      <w:r w:rsidRPr="00707417">
        <w:rPr>
          <w:rFonts w:ascii="Book Antiqua" w:hAnsi="Book Antiqua"/>
          <w:sz w:val="24"/>
          <w:szCs w:val="24"/>
        </w:rPr>
        <w:t>. T</w:t>
      </w:r>
      <w:proofErr w:type="spellStart"/>
      <w:r w:rsidRPr="00707417">
        <w:rPr>
          <w:rFonts w:ascii="Book Antiqua" w:hAnsi="Book Antiqua"/>
          <w:sz w:val="24"/>
          <w:szCs w:val="24"/>
          <w:lang w:val="en-GB"/>
        </w:rPr>
        <w:t>hree</w:t>
      </w:r>
      <w:proofErr w:type="spellEnd"/>
      <w:r w:rsidRPr="00707417">
        <w:rPr>
          <w:rFonts w:ascii="Book Antiqua" w:hAnsi="Book Antiqua"/>
          <w:sz w:val="24"/>
          <w:szCs w:val="24"/>
          <w:lang w:val="en-GB"/>
        </w:rPr>
        <w:t xml:space="preserve"> major cardiovascular outcome trials (CVOTs) with a new class of drugs - sodium-glucose cotransporter 2 (SGLT2) inhibitors (EMPA-REG OUTCOME trial with </w:t>
      </w:r>
      <w:r w:rsidR="00383B0D" w:rsidRPr="00707417">
        <w:rPr>
          <w:rFonts w:ascii="Book Antiqua" w:hAnsi="Book Antiqua"/>
          <w:sz w:val="24"/>
          <w:szCs w:val="24"/>
          <w:lang w:val="en-GB"/>
        </w:rPr>
        <w:t>e</w:t>
      </w:r>
      <w:r w:rsidRPr="00707417">
        <w:rPr>
          <w:rFonts w:ascii="Book Antiqua" w:hAnsi="Book Antiqua"/>
          <w:sz w:val="24"/>
          <w:szCs w:val="24"/>
          <w:lang w:val="en-GB"/>
        </w:rPr>
        <w:t>mpagliflozin, CANVAS Program with canagliflozin, DECLARE-TIMI 58 with dapagliflozin; Table 1 unexpectedly showed that cardiovascular outcomes could be improved possibly due to a reduction in heart failure risk, which seems to be the most sensitive outcome of SGLT2 inhibition</w:t>
      </w:r>
      <w:r w:rsidRPr="00707417">
        <w:rPr>
          <w:rFonts w:ascii="Book Antiqua" w:hAnsi="Book Antiqua"/>
          <w:sz w:val="24"/>
          <w:szCs w:val="24"/>
          <w:vertAlign w:val="superscript"/>
        </w:rPr>
        <w:t>[2-4]</w:t>
      </w:r>
      <w:r w:rsidRPr="00707417">
        <w:rPr>
          <w:rFonts w:ascii="Book Antiqua" w:hAnsi="Book Antiqua"/>
          <w:sz w:val="24"/>
          <w:szCs w:val="24"/>
        </w:rPr>
        <w:t>.</w:t>
      </w:r>
      <w:r w:rsidR="00BB096F" w:rsidRPr="00707417">
        <w:rPr>
          <w:rFonts w:ascii="Book Antiqua" w:hAnsi="Book Antiqua"/>
          <w:sz w:val="24"/>
          <w:szCs w:val="24"/>
        </w:rPr>
        <w:t xml:space="preserve"> </w:t>
      </w:r>
      <w:r w:rsidRPr="00707417">
        <w:rPr>
          <w:rFonts w:ascii="Book Antiqua" w:hAnsi="Book Antiqua"/>
          <w:sz w:val="24"/>
          <w:szCs w:val="24"/>
          <w:lang w:val="en-GB"/>
        </w:rPr>
        <w:t>It is worthwhile to mention that no other CVOT to date has shown any significant benefit on heart failure events</w:t>
      </w:r>
      <w:r w:rsidRPr="00707417">
        <w:rPr>
          <w:rFonts w:ascii="Book Antiqua" w:hAnsi="Book Antiqua"/>
          <w:sz w:val="24"/>
          <w:szCs w:val="24"/>
          <w:vertAlign w:val="superscript"/>
        </w:rPr>
        <w:t>[5]</w:t>
      </w:r>
      <w:r w:rsidRPr="00707417">
        <w:rPr>
          <w:rFonts w:ascii="Book Antiqua" w:hAnsi="Book Antiqua"/>
          <w:sz w:val="24"/>
          <w:szCs w:val="24"/>
        </w:rPr>
        <w:t>.</w:t>
      </w:r>
      <w:r w:rsidRPr="00707417">
        <w:rPr>
          <w:rFonts w:ascii="Book Antiqua" w:hAnsi="Book Antiqua"/>
          <w:sz w:val="24"/>
          <w:szCs w:val="24"/>
          <w:lang w:val="en-GB"/>
        </w:rPr>
        <w:t xml:space="preserve">These observations set </w:t>
      </w:r>
      <w:r w:rsidRPr="00707417">
        <w:rPr>
          <w:rFonts w:ascii="Book Antiqua" w:hAnsi="Book Antiqua"/>
          <w:sz w:val="24"/>
          <w:szCs w:val="24"/>
        </w:rPr>
        <w:t>the stage for the new game changers</w:t>
      </w:r>
      <w:r w:rsidR="00BB096F" w:rsidRPr="00707417">
        <w:rPr>
          <w:rFonts w:ascii="Book Antiqua" w:hAnsi="Book Antiqua"/>
          <w:sz w:val="24"/>
          <w:szCs w:val="24"/>
        </w:rPr>
        <w:t xml:space="preserve"> </w:t>
      </w:r>
      <w:r w:rsidRPr="00707417">
        <w:rPr>
          <w:rFonts w:ascii="Book Antiqua" w:hAnsi="Book Antiqua"/>
          <w:sz w:val="24"/>
          <w:szCs w:val="24"/>
        </w:rPr>
        <w:t>in</w:t>
      </w:r>
      <w:r w:rsidR="00BB096F" w:rsidRPr="00707417">
        <w:rPr>
          <w:rFonts w:ascii="Book Antiqua" w:hAnsi="Book Antiqua"/>
          <w:sz w:val="24"/>
          <w:szCs w:val="24"/>
        </w:rPr>
        <w:t xml:space="preserve"> </w:t>
      </w:r>
      <w:r w:rsidRPr="00707417">
        <w:rPr>
          <w:rFonts w:ascii="Book Antiqua" w:hAnsi="Book Antiqua"/>
          <w:sz w:val="24"/>
          <w:szCs w:val="24"/>
        </w:rPr>
        <w:t>cardiometabolic pharmacotherapy and opened up new possibilities in heart failure strategies, along with its standard medical therapy with neurohormonal antagonists</w:t>
      </w:r>
      <w:r w:rsidR="00BB096F" w:rsidRPr="00707417">
        <w:rPr>
          <w:rFonts w:ascii="Book Antiqua" w:hAnsi="Book Antiqua"/>
          <w:sz w:val="24"/>
          <w:szCs w:val="24"/>
        </w:rPr>
        <w:t xml:space="preserve"> </w:t>
      </w:r>
      <w:r w:rsidR="007E7EC2">
        <w:rPr>
          <w:rFonts w:ascii="Book Antiqua" w:hAnsi="Book Antiqua"/>
          <w:sz w:val="24"/>
          <w:szCs w:val="24"/>
        </w:rPr>
        <w:t>[</w:t>
      </w:r>
      <w:r w:rsidRPr="00707417">
        <w:rPr>
          <w:rFonts w:ascii="Book Antiqua" w:hAnsi="Book Antiqua"/>
          <w:sz w:val="24"/>
          <w:szCs w:val="24"/>
        </w:rPr>
        <w:t xml:space="preserve">mineralocorticoid receptor antagonists, </w:t>
      </w:r>
      <w:r w:rsidRPr="00707417">
        <w:rPr>
          <w:rFonts w:ascii="Book Antiqua" w:hAnsi="Book Antiqua" w:cs="Calibri"/>
          <w:sz w:val="24"/>
          <w:szCs w:val="24"/>
        </w:rPr>
        <w:t>β-blockers</w:t>
      </w:r>
      <w:r w:rsidRPr="00707417">
        <w:rPr>
          <w:rFonts w:ascii="Book Antiqua" w:hAnsi="Book Antiqua"/>
          <w:sz w:val="24"/>
          <w:szCs w:val="24"/>
        </w:rPr>
        <w:t>, angiotensin-converting enzyme (ACE) inhibitors/ angiotensin receptor blockers(ARBs), neprilysin inhibitors</w:t>
      </w:r>
      <w:r w:rsidR="007E7EC2">
        <w:rPr>
          <w:rFonts w:ascii="Book Antiqua" w:hAnsi="Book Antiqua"/>
          <w:sz w:val="24"/>
          <w:szCs w:val="24"/>
        </w:rPr>
        <w:t>]</w:t>
      </w:r>
      <w:r w:rsidRPr="00707417">
        <w:rPr>
          <w:rFonts w:ascii="Book Antiqua" w:hAnsi="Book Antiqua"/>
          <w:sz w:val="24"/>
          <w:szCs w:val="24"/>
        </w:rPr>
        <w:t>. American Diabetes Association has already recommended new strategies in the treatment of diabetic patients with established atherosclerotic cardiovascular disease and patients with heart failure, and that is the preferential use of SGLT2 inhibitors (empa-, dapa- and canagliflozin) in these patients</w:t>
      </w:r>
      <w:r w:rsidRPr="00707417">
        <w:rPr>
          <w:rFonts w:ascii="Book Antiqua" w:hAnsi="Book Antiqua"/>
          <w:sz w:val="24"/>
          <w:szCs w:val="24"/>
          <w:vertAlign w:val="superscript"/>
        </w:rPr>
        <w:t>[1]</w:t>
      </w:r>
      <w:r w:rsidRPr="00707417">
        <w:rPr>
          <w:rFonts w:ascii="Book Antiqua" w:hAnsi="Book Antiqua"/>
          <w:sz w:val="24"/>
          <w:szCs w:val="24"/>
        </w:rPr>
        <w:t>.</w:t>
      </w:r>
      <w:r w:rsidR="00BB096F" w:rsidRPr="00707417">
        <w:rPr>
          <w:rFonts w:ascii="Book Antiqua" w:hAnsi="Book Antiqua"/>
          <w:sz w:val="24"/>
          <w:szCs w:val="24"/>
        </w:rPr>
        <w:t xml:space="preserve"> </w:t>
      </w:r>
      <w:r w:rsidRPr="00707417">
        <w:rPr>
          <w:rFonts w:ascii="Book Antiqua" w:hAnsi="Book Antiqua"/>
          <w:sz w:val="24"/>
          <w:szCs w:val="24"/>
        </w:rPr>
        <w:t>Furthermore, even more impressive findings came recently from the DAPA-HF trial in patients with confirmed and well-treated heart failure: dapagliflozin was shown to reduce heart failure risk in patients with heart failure with reduced ejection fraction (HFrEF) regardless of their diabetic status</w:t>
      </w:r>
      <w:r w:rsidRPr="00707417">
        <w:rPr>
          <w:rFonts w:ascii="Book Antiqua" w:hAnsi="Book Antiqua"/>
          <w:sz w:val="24"/>
          <w:szCs w:val="24"/>
          <w:vertAlign w:val="superscript"/>
        </w:rPr>
        <w:t>[6]</w:t>
      </w:r>
      <w:r w:rsidRPr="00707417">
        <w:rPr>
          <w:rFonts w:ascii="Book Antiqua" w:hAnsi="Book Antiqua"/>
          <w:sz w:val="24"/>
          <w:szCs w:val="24"/>
        </w:rPr>
        <w:t xml:space="preserve">. So, at present, there are evidences that these new drugs work both for diabetic and nondiabetic patients, </w:t>
      </w:r>
      <w:r w:rsidRPr="00707417">
        <w:rPr>
          <w:rFonts w:ascii="Book Antiqua" w:hAnsi="Book Antiqua"/>
          <w:sz w:val="24"/>
          <w:szCs w:val="24"/>
          <w:lang w:val="en-GB"/>
        </w:rPr>
        <w:t xml:space="preserve">regardless of existing atherosclerotic cardiovascular disease or heart failure, and probably in both </w:t>
      </w:r>
      <w:proofErr w:type="spellStart"/>
      <w:r w:rsidRPr="00707417">
        <w:rPr>
          <w:rFonts w:ascii="Book Antiqua" w:hAnsi="Book Antiqua"/>
          <w:sz w:val="24"/>
          <w:szCs w:val="24"/>
          <w:lang w:val="en-GB"/>
        </w:rPr>
        <w:t>HFrEF</w:t>
      </w:r>
      <w:proofErr w:type="spellEnd"/>
      <w:r w:rsidRPr="00707417">
        <w:rPr>
          <w:rFonts w:ascii="Book Antiqua" w:hAnsi="Book Antiqua"/>
          <w:sz w:val="24"/>
          <w:szCs w:val="24"/>
          <w:lang w:val="en-GB"/>
        </w:rPr>
        <w:t xml:space="preserve"> and heart failure with preserved ejection fraction (</w:t>
      </w:r>
      <w:proofErr w:type="spellStart"/>
      <w:r w:rsidRPr="00707417">
        <w:rPr>
          <w:rFonts w:ascii="Book Antiqua" w:hAnsi="Book Antiqua"/>
          <w:sz w:val="24"/>
          <w:szCs w:val="24"/>
          <w:lang w:val="en-GB"/>
        </w:rPr>
        <w:t>HFpEF</w:t>
      </w:r>
      <w:proofErr w:type="spellEnd"/>
      <w:r w:rsidRPr="00707417">
        <w:rPr>
          <w:rFonts w:ascii="Book Antiqua" w:hAnsi="Book Antiqua"/>
          <w:sz w:val="24"/>
          <w:szCs w:val="24"/>
          <w:lang w:val="en-GB"/>
        </w:rPr>
        <w:t>), making them unique and important for clinical practice</w:t>
      </w:r>
      <w:r w:rsidRPr="00707417">
        <w:rPr>
          <w:rFonts w:ascii="Book Antiqua" w:hAnsi="Book Antiqua"/>
          <w:sz w:val="24"/>
          <w:szCs w:val="24"/>
          <w:vertAlign w:val="superscript"/>
        </w:rPr>
        <w:t>[7,8]</w:t>
      </w:r>
      <w:r w:rsidRPr="00707417">
        <w:rPr>
          <w:rFonts w:ascii="Book Antiqua" w:hAnsi="Book Antiqua"/>
          <w:sz w:val="24"/>
          <w:szCs w:val="24"/>
          <w:lang w:val="en-GB"/>
        </w:rPr>
        <w:t>.</w:t>
      </w:r>
      <w:r w:rsidR="00BB096F" w:rsidRPr="00707417">
        <w:rPr>
          <w:rFonts w:ascii="Book Antiqua" w:hAnsi="Book Antiqua"/>
          <w:sz w:val="24"/>
          <w:szCs w:val="24"/>
          <w:lang w:val="en-GB"/>
        </w:rPr>
        <w:t xml:space="preserve"> </w:t>
      </w:r>
      <w:r w:rsidRPr="00707417">
        <w:rPr>
          <w:rFonts w:ascii="Book Antiqua" w:hAnsi="Book Antiqua"/>
          <w:sz w:val="24"/>
          <w:szCs w:val="24"/>
          <w:lang w:val="en-GB"/>
        </w:rPr>
        <w:t xml:space="preserve">Nevertheless, despite their possible wide clinical implications, there is much doubt regarding the mechanisms of action and a lot of questions still left to unravel. While scientific and professional community is struggling in pursuing those answers, at the </w:t>
      </w:r>
      <w:r w:rsidRPr="00707417">
        <w:rPr>
          <w:rFonts w:ascii="Book Antiqua" w:hAnsi="Book Antiqua"/>
          <w:sz w:val="24"/>
          <w:szCs w:val="24"/>
          <w:lang w:val="en-GB"/>
        </w:rPr>
        <w:lastRenderedPageBreak/>
        <w:t xml:space="preserve">same time, we are expecting the results of several ongoing studies of SGLT2 inhibitors in heart failure to fully evaluate their therapeutic potential. In this review we will try to give some mechanistic insights of SGLT2 inhibitors’ mode of action regarding heart failure, from </w:t>
      </w:r>
      <w:r w:rsidRPr="00707417">
        <w:rPr>
          <w:rFonts w:ascii="Book Antiqua" w:hAnsi="Book Antiqua"/>
          <w:sz w:val="24"/>
          <w:szCs w:val="24"/>
        </w:rPr>
        <w:t>current hypotheses of possible mechanisms of action to explain cardiac protection to the</w:t>
      </w:r>
      <w:r w:rsidRPr="00707417">
        <w:rPr>
          <w:rFonts w:ascii="Book Antiqua" w:hAnsi="Book Antiqua"/>
          <w:sz w:val="24"/>
          <w:szCs w:val="24"/>
          <w:lang w:val="en-GB"/>
        </w:rPr>
        <w:t xml:space="preserve"> controversies and gaps in evidence, as well as potential future developments in the field.</w:t>
      </w:r>
    </w:p>
    <w:p w14:paraId="035F7722" w14:textId="77777777" w:rsidR="00156B28" w:rsidRPr="00707417" w:rsidRDefault="00156B28" w:rsidP="00707417">
      <w:pPr>
        <w:adjustRightInd w:val="0"/>
        <w:snapToGrid w:val="0"/>
        <w:spacing w:line="360" w:lineRule="auto"/>
        <w:jc w:val="both"/>
        <w:rPr>
          <w:rFonts w:ascii="Book Antiqua" w:hAnsi="Book Antiqua"/>
          <w:sz w:val="24"/>
          <w:szCs w:val="24"/>
          <w:lang w:val="en-GB"/>
        </w:rPr>
      </w:pPr>
    </w:p>
    <w:p w14:paraId="006A10B9" w14:textId="77777777" w:rsidR="00156B28" w:rsidRPr="00707417" w:rsidRDefault="00156B28" w:rsidP="00707417">
      <w:pPr>
        <w:adjustRightInd w:val="0"/>
        <w:snapToGrid w:val="0"/>
        <w:spacing w:line="360" w:lineRule="auto"/>
        <w:jc w:val="both"/>
        <w:rPr>
          <w:rFonts w:ascii="Book Antiqua" w:hAnsi="Book Antiqua"/>
          <w:sz w:val="24"/>
          <w:szCs w:val="24"/>
          <w:lang w:val="en-GB"/>
        </w:rPr>
      </w:pPr>
      <w:r w:rsidRPr="00707417">
        <w:rPr>
          <w:rFonts w:ascii="Book Antiqua" w:hAnsi="Book Antiqua"/>
          <w:b/>
          <w:sz w:val="24"/>
          <w:szCs w:val="24"/>
          <w:u w:val="single"/>
          <w:lang w:val="en-GB"/>
        </w:rPr>
        <w:t>SGLT2 INHIBITORS AND HEART FAILURE</w:t>
      </w:r>
    </w:p>
    <w:p w14:paraId="0010339F" w14:textId="02A54365" w:rsidR="00156B28" w:rsidRPr="00707417" w:rsidRDefault="00156B28" w:rsidP="00707417">
      <w:pPr>
        <w:adjustRightInd w:val="0"/>
        <w:snapToGrid w:val="0"/>
        <w:spacing w:line="360" w:lineRule="auto"/>
        <w:jc w:val="both"/>
        <w:rPr>
          <w:rFonts w:ascii="Book Antiqua" w:hAnsi="Book Antiqua"/>
          <w:sz w:val="24"/>
          <w:szCs w:val="24"/>
        </w:rPr>
      </w:pPr>
      <w:r w:rsidRPr="00707417">
        <w:rPr>
          <w:rFonts w:ascii="Book Antiqua" w:hAnsi="Book Antiqua"/>
          <w:sz w:val="24"/>
          <w:szCs w:val="24"/>
        </w:rPr>
        <w:t xml:space="preserve">Sodium-dependent glucose cotransporters </w:t>
      </w:r>
      <w:r w:rsidRPr="00707417">
        <w:rPr>
          <w:rFonts w:ascii="Book Antiqua" w:hAnsi="Book Antiqua"/>
          <w:sz w:val="24"/>
          <w:szCs w:val="24"/>
          <w:lang w:val="en-GB"/>
        </w:rPr>
        <w:t>are a family of active glucose transporter proteins</w:t>
      </w:r>
      <w:r w:rsidRPr="00707417">
        <w:rPr>
          <w:rFonts w:ascii="Book Antiqua" w:hAnsi="Book Antiqua"/>
          <w:sz w:val="24"/>
          <w:szCs w:val="24"/>
        </w:rPr>
        <w:t>. SGLT1 is widely expressed in numerous organs (</w:t>
      </w:r>
      <w:r w:rsidRPr="00707417">
        <w:rPr>
          <w:rFonts w:ascii="Book Antiqua" w:hAnsi="Book Antiqua"/>
          <w:sz w:val="24"/>
          <w:szCs w:val="24"/>
          <w:lang w:val="en-GB"/>
        </w:rPr>
        <w:t>heart, liver, small intestine, lung, kidney)</w:t>
      </w:r>
      <w:r w:rsidRPr="00707417">
        <w:rPr>
          <w:rFonts w:ascii="Book Antiqua" w:hAnsi="Book Antiqua"/>
          <w:sz w:val="24"/>
          <w:szCs w:val="24"/>
        </w:rPr>
        <w:t>, while SGLT2 is mainly expressed in the renal proximal tubule. Under normal conditions, glucose is filtered into the urine at the glomerulus and reabsorbed in the proximal tubuli by SGLT2 (90%) and SGLT1 (the remaining 10%).</w:t>
      </w:r>
      <w:r w:rsidR="00BB096F" w:rsidRPr="00707417">
        <w:rPr>
          <w:rFonts w:ascii="Book Antiqua" w:hAnsi="Book Antiqua"/>
          <w:sz w:val="24"/>
          <w:szCs w:val="24"/>
        </w:rPr>
        <w:t xml:space="preserve"> </w:t>
      </w:r>
      <w:r w:rsidRPr="00707417">
        <w:rPr>
          <w:rFonts w:ascii="Book Antiqua" w:hAnsi="Book Antiqua"/>
          <w:sz w:val="24"/>
          <w:szCs w:val="24"/>
        </w:rPr>
        <w:t>In hyperglycemic conditions SGLT2 expression is increased, paradoxically augmenting the threshold for urinary glucose excretion in diabetic patients.</w:t>
      </w:r>
      <w:r w:rsidR="00BB096F" w:rsidRPr="00707417">
        <w:rPr>
          <w:rFonts w:ascii="Book Antiqua" w:hAnsi="Book Antiqua"/>
          <w:sz w:val="24"/>
          <w:szCs w:val="24"/>
        </w:rPr>
        <w:t xml:space="preserve"> </w:t>
      </w:r>
      <w:r w:rsidRPr="00707417">
        <w:rPr>
          <w:rFonts w:ascii="Book Antiqua" w:hAnsi="Book Antiqua"/>
          <w:sz w:val="24"/>
          <w:szCs w:val="24"/>
          <w:lang w:val="en-GB"/>
        </w:rPr>
        <w:t xml:space="preserve">SGLT2 inhibitors are a novel class of antidiabetic agents that promote urinary glucose excretion by inhibiting glucose and sodium reabsorption from the renal proximal tubules and </w:t>
      </w:r>
      <w:r w:rsidRPr="00707417">
        <w:rPr>
          <w:rFonts w:ascii="Book Antiqua" w:hAnsi="Book Antiqua"/>
          <w:sz w:val="24"/>
          <w:szCs w:val="24"/>
        </w:rPr>
        <w:t>have recently been investigated in several large randomized controlled trials for cardiovascular safety and efficacy in patients with type 2 diabetes</w:t>
      </w:r>
      <w:r w:rsidRPr="00707417">
        <w:rPr>
          <w:rFonts w:ascii="Book Antiqua" w:hAnsi="Book Antiqua"/>
          <w:sz w:val="24"/>
          <w:szCs w:val="24"/>
          <w:vertAlign w:val="superscript"/>
        </w:rPr>
        <w:t>[9-11]</w:t>
      </w:r>
      <w:r w:rsidRPr="00707417">
        <w:rPr>
          <w:rFonts w:ascii="Book Antiqua" w:hAnsi="Book Antiqua"/>
          <w:sz w:val="24"/>
          <w:szCs w:val="24"/>
          <w:lang w:val="en-GB"/>
        </w:rPr>
        <w:t xml:space="preserve">. Enhancing urinary glucose excretion by targeting SGLT2 represents an alternative strategy to the traditional </w:t>
      </w:r>
      <w:r w:rsidRPr="00707417">
        <w:rPr>
          <w:rFonts w:ascii="Book Antiqua" w:hAnsi="Book Antiqua"/>
          <w:sz w:val="24"/>
          <w:szCs w:val="24"/>
        </w:rPr>
        <w:t xml:space="preserve">antihyperglycemic interventions that have been focused on restoring β-cell activity, insulin sensitivity or tissue glucose uptake to normalize plasma glucose levels in patients with diabetes. </w:t>
      </w:r>
      <w:r w:rsidRPr="00707417">
        <w:rPr>
          <w:rFonts w:ascii="Book Antiqua" w:hAnsi="Book Antiqua" w:cs="Calibri"/>
          <w:color w:val="000000"/>
          <w:sz w:val="24"/>
          <w:szCs w:val="24"/>
          <w:shd w:val="clear" w:color="auto" w:fill="FFFFFF"/>
        </w:rPr>
        <w:t>SGLT2 inhibitors are generally well tolerated, and the risk of hypoglycemia is low because the efficacy of SGLT2 inhibitors to increase glucose excretion attenuates at lower plasma glucose levels</w:t>
      </w:r>
      <w:r w:rsidRPr="00707417">
        <w:rPr>
          <w:rFonts w:ascii="Book Antiqua" w:hAnsi="Book Antiqua"/>
          <w:sz w:val="24"/>
          <w:szCs w:val="24"/>
          <w:vertAlign w:val="superscript"/>
        </w:rPr>
        <w:t>[12,13]</w:t>
      </w:r>
      <w:r w:rsidRPr="00707417">
        <w:rPr>
          <w:rFonts w:ascii="Book Antiqua" w:hAnsi="Book Antiqua" w:cs="Calibri"/>
          <w:color w:val="000000"/>
          <w:sz w:val="24"/>
          <w:szCs w:val="24"/>
          <w:shd w:val="clear" w:color="auto" w:fill="FFFFFF"/>
        </w:rPr>
        <w:t>. Since regulatory agencies have issued safety warnings for several adverse events (urinary tract infections, diabetic ketoacidosis, acute kidney injury, bone fractures, lower limb amputations) based primarily on case report data, a meta-analysis of randomized controlled trials with SGLT2 inhibitors was performed and concluded that current evidences do not suggest an increased risk of harm with SGLT2 inhibitors as a class over placebo or active comparators with respect to acute kidney injury, diabetic ketoacidosis, urinary tract infections and bone fractures</w:t>
      </w:r>
      <w:r w:rsidRPr="00707417">
        <w:rPr>
          <w:rFonts w:ascii="Book Antiqua" w:hAnsi="Book Antiqua"/>
          <w:sz w:val="24"/>
          <w:szCs w:val="24"/>
          <w:vertAlign w:val="superscript"/>
        </w:rPr>
        <w:t>[14]</w:t>
      </w:r>
      <w:r w:rsidRPr="00707417">
        <w:rPr>
          <w:rFonts w:ascii="Book Antiqua" w:hAnsi="Book Antiqua" w:cs="Calibri"/>
          <w:color w:val="000000"/>
          <w:sz w:val="24"/>
          <w:szCs w:val="24"/>
          <w:shd w:val="clear" w:color="auto" w:fill="FFFFFF"/>
        </w:rPr>
        <w:t>.</w:t>
      </w:r>
      <w:r w:rsidR="00BB096F" w:rsidRPr="00707417">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lastRenderedPageBreak/>
        <w:t>Further research is required to ascertain whether there is an increased risk of amputations associated with SGLT2 inhibitors. Evidence on the risk of lower limb amputations is limited to the results from CANVAS trial. There was an increased risk of amputations, although the overall incidence of these events was low and the study was not powerful enough to detect significant differences among the studied population</w:t>
      </w:r>
      <w:r w:rsidRPr="00707417">
        <w:rPr>
          <w:rFonts w:ascii="Book Antiqua" w:hAnsi="Book Antiqua"/>
          <w:sz w:val="24"/>
          <w:szCs w:val="24"/>
          <w:vertAlign w:val="superscript"/>
        </w:rPr>
        <w:t>[13,14]</w:t>
      </w:r>
      <w:r w:rsidRPr="00707417">
        <w:rPr>
          <w:rFonts w:ascii="Book Antiqua" w:hAnsi="Book Antiqua" w:cs="Calibri"/>
          <w:color w:val="000000"/>
          <w:sz w:val="24"/>
          <w:szCs w:val="24"/>
          <w:shd w:val="clear" w:color="auto" w:fill="FFFFFF"/>
        </w:rPr>
        <w:t>.</w:t>
      </w:r>
    </w:p>
    <w:p w14:paraId="089906E6" w14:textId="02F787AE" w:rsidR="00156B28" w:rsidRPr="00707417" w:rsidRDefault="00156B28" w:rsidP="007E7EC2">
      <w:pPr>
        <w:adjustRightInd w:val="0"/>
        <w:snapToGrid w:val="0"/>
        <w:spacing w:line="360" w:lineRule="auto"/>
        <w:ind w:firstLineChars="100" w:firstLine="240"/>
        <w:jc w:val="both"/>
        <w:rPr>
          <w:rFonts w:ascii="Book Antiqua" w:hAnsi="Book Antiqua" w:cs="Calibri"/>
          <w:color w:val="000000"/>
          <w:sz w:val="24"/>
          <w:szCs w:val="24"/>
          <w:shd w:val="clear" w:color="auto" w:fill="FFFFFF"/>
        </w:rPr>
      </w:pPr>
      <w:r w:rsidRPr="00707417">
        <w:rPr>
          <w:rFonts w:ascii="Book Antiqua" w:hAnsi="Book Antiqua"/>
          <w:sz w:val="24"/>
          <w:szCs w:val="24"/>
          <w:lang w:val="en-GB"/>
        </w:rPr>
        <w:t>According to a recent meta-analysis of the three major CVOTs with these drugs (the EMPA-REG OUTCOME trial, the CANVAS Program and the DECLARE-TIMI 58 trial), even though the exact inclusion criteria and definitions of endpoints varied among them, the presence of established atherosclerotic disease and heart failure was investigator-reported and no heart failure phenotyping was performed,</w:t>
      </w:r>
      <w:r w:rsidR="00031A9D" w:rsidRPr="00707417">
        <w:rPr>
          <w:rFonts w:ascii="Book Antiqua" w:hAnsi="Book Antiqua"/>
          <w:sz w:val="24"/>
          <w:szCs w:val="24"/>
          <w:lang w:val="en-GB"/>
        </w:rPr>
        <w:t xml:space="preserve"> </w:t>
      </w:r>
      <w:r w:rsidRPr="00707417">
        <w:rPr>
          <w:rFonts w:ascii="Book Antiqua" w:hAnsi="Book Antiqua"/>
          <w:sz w:val="24"/>
          <w:szCs w:val="24"/>
          <w:lang w:val="en-GB"/>
        </w:rPr>
        <w:t xml:space="preserve">SGLT2 inhibitors, as a class, have moderate benefits on atherosclerotic major adverse cardiovascular events in patients with established atherosclerotic cardiovascular disease but also have robust benefits on reducing hospitalization for heart failure and progression of renal disease regardless of existing atherosclerotic disease or a history of heart failure (they </w:t>
      </w:r>
      <w:r w:rsidRPr="00707417">
        <w:rPr>
          <w:rFonts w:ascii="Book Antiqua" w:hAnsi="Book Antiqua" w:cs="Calibri"/>
          <w:sz w:val="24"/>
          <w:szCs w:val="24"/>
          <w:lang w:val="en-GB"/>
        </w:rPr>
        <w:t xml:space="preserve">reduced the risk of heart failure hospitalization </w:t>
      </w:r>
      <w:r w:rsidRPr="00707417">
        <w:rPr>
          <w:rFonts w:ascii="Book Antiqua" w:hAnsi="Book Antiqua" w:cs="Calibri"/>
          <w:sz w:val="24"/>
          <w:szCs w:val="24"/>
        </w:rPr>
        <w:t xml:space="preserve">by 31% and </w:t>
      </w:r>
      <w:r w:rsidRPr="00707417">
        <w:rPr>
          <w:rFonts w:ascii="Book Antiqua" w:hAnsi="Book Antiqua" w:cs="Calibri"/>
          <w:sz w:val="24"/>
          <w:szCs w:val="24"/>
          <w:lang w:val="en-GB"/>
        </w:rPr>
        <w:t>progression of renal disease by 45%</w:t>
      </w:r>
      <w:r w:rsidRPr="00707417">
        <w:rPr>
          <w:rFonts w:ascii="Book Antiqua" w:hAnsi="Book Antiqua" w:cs="Calibri"/>
          <w:sz w:val="24"/>
          <w:szCs w:val="24"/>
        </w:rPr>
        <w:t>)</w:t>
      </w:r>
      <w:r w:rsidRPr="00707417">
        <w:rPr>
          <w:rFonts w:ascii="Book Antiqua" w:hAnsi="Book Antiqua"/>
          <w:sz w:val="24"/>
          <w:szCs w:val="24"/>
          <w:vertAlign w:val="superscript"/>
        </w:rPr>
        <w:t>[6,15]</w:t>
      </w:r>
      <w:r w:rsidRPr="00707417">
        <w:rPr>
          <w:rFonts w:ascii="Book Antiqua" w:hAnsi="Book Antiqua" w:cs="Calibri"/>
          <w:sz w:val="24"/>
          <w:szCs w:val="24"/>
          <w:lang w:val="en-GB"/>
        </w:rPr>
        <w:t>.</w:t>
      </w:r>
      <w:r w:rsidR="00031A9D" w:rsidRPr="00707417">
        <w:rPr>
          <w:rFonts w:ascii="Book Antiqua" w:hAnsi="Book Antiqua" w:cs="Calibri"/>
          <w:sz w:val="24"/>
          <w:szCs w:val="24"/>
          <w:lang w:val="en-GB"/>
        </w:rPr>
        <w:t xml:space="preserve"> </w:t>
      </w:r>
      <w:r w:rsidRPr="00707417">
        <w:rPr>
          <w:rFonts w:ascii="Book Antiqua" w:hAnsi="Book Antiqua" w:cs="Calibri"/>
          <w:color w:val="000000"/>
          <w:sz w:val="24"/>
          <w:szCs w:val="24"/>
          <w:shd w:val="clear" w:color="auto" w:fill="FFFFFF"/>
        </w:rPr>
        <w:t>This efficacy in the prevention (primary as well as secondary) of heart failure has already translated to efficacy in the treatment of heart failure as shown in the above-mentioned DAPA-HF trial</w:t>
      </w:r>
      <w:r w:rsidR="00031A9D" w:rsidRPr="00707417">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including patients with HFrEF.</w:t>
      </w:r>
      <w:r w:rsidR="00031A9D" w:rsidRPr="00707417">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But SGLT2 inhibitors may also be valuable in the treatment of HFpEF according to the subanalyses of CVOTs and accumulating mechanistic insights</w:t>
      </w:r>
      <w:r w:rsidRPr="00707417">
        <w:rPr>
          <w:rFonts w:ascii="Book Antiqua" w:hAnsi="Book Antiqua"/>
          <w:sz w:val="24"/>
          <w:szCs w:val="24"/>
          <w:vertAlign w:val="superscript"/>
        </w:rPr>
        <w:t>[8,16,17]</w:t>
      </w:r>
      <w:r w:rsidRPr="00707417">
        <w:rPr>
          <w:rFonts w:ascii="Book Antiqua" w:hAnsi="Book Antiqua" w:cs="Calibri"/>
          <w:color w:val="000000"/>
          <w:sz w:val="24"/>
          <w:szCs w:val="24"/>
          <w:shd w:val="clear" w:color="auto" w:fill="FFFFFF"/>
        </w:rPr>
        <w:t>. Till now, in trials of HFpEF, several established treatments for HFrEF have shown no efficacy.</w:t>
      </w:r>
      <w:r w:rsidR="00031A9D" w:rsidRPr="00707417">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 xml:space="preserve">So, if results of ongoing studies with SGLT2 inhibitors in HFpEF would show effectiveness, this will represent a true breakthrough in heart failure treatment (Table 2). </w:t>
      </w:r>
    </w:p>
    <w:p w14:paraId="71AA6401" w14:textId="5B962BF8" w:rsidR="00156B28" w:rsidRPr="00707417" w:rsidRDefault="00156B28" w:rsidP="007E7EC2">
      <w:pPr>
        <w:adjustRightInd w:val="0"/>
        <w:snapToGrid w:val="0"/>
        <w:spacing w:line="360" w:lineRule="auto"/>
        <w:ind w:firstLineChars="100" w:firstLine="24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Heart failure comprises an array of patients categorized by their symptoms and ejection fraction (HFrEF with EF</w:t>
      </w:r>
      <w:r w:rsidR="007E7EC2">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&lt;</w:t>
      </w:r>
      <w:r w:rsidR="007E7EC2">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40%, midrange EF between 40% and 49%, and HFpEF with EF</w:t>
      </w:r>
      <w:r w:rsidR="007E7EC2">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&gt;</w:t>
      </w:r>
      <w:r w:rsidR="007E7EC2">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50%). It is a growing public health problem, with an estimated 63 million people affected worldwide</w:t>
      </w:r>
      <w:r w:rsidRPr="00707417">
        <w:rPr>
          <w:rFonts w:ascii="Book Antiqua" w:hAnsi="Book Antiqua"/>
          <w:sz w:val="24"/>
          <w:szCs w:val="24"/>
          <w:vertAlign w:val="superscript"/>
        </w:rPr>
        <w:t>[16]</w:t>
      </w:r>
      <w:r w:rsidRPr="00707417">
        <w:rPr>
          <w:rFonts w:ascii="Book Antiqua" w:hAnsi="Book Antiqua" w:cs="Calibri"/>
          <w:color w:val="000000"/>
          <w:sz w:val="24"/>
          <w:szCs w:val="24"/>
          <w:shd w:val="clear" w:color="auto" w:fill="FFFFFF"/>
        </w:rPr>
        <w:t>. Heart failure has a progressive nature and preventive strategies have to be adopted early because starting treatment at the preclinical stage may improve its outcomes</w:t>
      </w:r>
      <w:r w:rsidRPr="00707417">
        <w:rPr>
          <w:rFonts w:ascii="Book Antiqua" w:hAnsi="Book Antiqua"/>
          <w:sz w:val="24"/>
          <w:szCs w:val="24"/>
          <w:vertAlign w:val="superscript"/>
        </w:rPr>
        <w:t>[18]</w:t>
      </w:r>
      <w:r w:rsidRPr="00707417">
        <w:rPr>
          <w:rFonts w:ascii="Book Antiqua" w:hAnsi="Book Antiqua" w:cs="Calibri"/>
          <w:color w:val="000000"/>
          <w:sz w:val="24"/>
          <w:szCs w:val="24"/>
          <w:shd w:val="clear" w:color="auto" w:fill="FFFFFF"/>
        </w:rPr>
        <w:t>. Hospitalization for heart failure carries a 10% mortality rate at 30 days postdischarge</w:t>
      </w:r>
      <w:r w:rsidRPr="00707417">
        <w:rPr>
          <w:rFonts w:ascii="Book Antiqua" w:hAnsi="Book Antiqua" w:cs="Calibri"/>
          <w:bCs/>
          <w:color w:val="000000"/>
          <w:sz w:val="24"/>
          <w:szCs w:val="24"/>
          <w:shd w:val="clear" w:color="auto" w:fill="FFFFFF"/>
        </w:rPr>
        <w:t xml:space="preserve">, 20% </w:t>
      </w:r>
      <w:r w:rsidRPr="00707417">
        <w:rPr>
          <w:rFonts w:ascii="Book Antiqua" w:hAnsi="Book Antiqua" w:cs="Calibri"/>
          <w:color w:val="000000"/>
          <w:sz w:val="24"/>
          <w:szCs w:val="24"/>
          <w:shd w:val="clear" w:color="auto" w:fill="FFFFFF"/>
        </w:rPr>
        <w:t xml:space="preserve">at 1 year, the readmission </w:t>
      </w:r>
      <w:r w:rsidRPr="00707417">
        <w:rPr>
          <w:rFonts w:ascii="Book Antiqua" w:hAnsi="Book Antiqua" w:cs="Calibri"/>
          <w:color w:val="000000"/>
          <w:sz w:val="24"/>
          <w:szCs w:val="24"/>
          <w:shd w:val="clear" w:color="auto" w:fill="FFFFFF"/>
        </w:rPr>
        <w:lastRenderedPageBreak/>
        <w:t>rate at 6 months is 50%, and the risk of mortality is greater with each hospitalization</w:t>
      </w:r>
      <w:r w:rsidRPr="00707417">
        <w:rPr>
          <w:rFonts w:ascii="Book Antiqua" w:hAnsi="Book Antiqua"/>
          <w:sz w:val="24"/>
          <w:szCs w:val="24"/>
          <w:vertAlign w:val="superscript"/>
        </w:rPr>
        <w:t>[16]</w:t>
      </w:r>
      <w:r w:rsidRPr="00707417">
        <w:rPr>
          <w:rFonts w:ascii="Book Antiqua" w:hAnsi="Book Antiqua" w:cs="Calibri"/>
          <w:color w:val="000000"/>
          <w:sz w:val="24"/>
          <w:szCs w:val="24"/>
          <w:shd w:val="clear" w:color="auto" w:fill="FFFFFF"/>
        </w:rPr>
        <w:t xml:space="preserve">. Despite established treatment options for HFrEF that are associated with reduced mortality, the prognosis of heart failure is still very poor. In the recent US study of Shah </w:t>
      </w:r>
      <w:r w:rsidRPr="00707417">
        <w:rPr>
          <w:rFonts w:ascii="Book Antiqua" w:hAnsi="Book Antiqua" w:cs="Calibri"/>
          <w:i/>
          <w:color w:val="000000"/>
          <w:sz w:val="24"/>
          <w:szCs w:val="24"/>
          <w:shd w:val="clear" w:color="auto" w:fill="FFFFFF"/>
        </w:rPr>
        <w:t>et al</w:t>
      </w:r>
      <w:r w:rsidR="007E7EC2" w:rsidRPr="00707417">
        <w:rPr>
          <w:rFonts w:ascii="Book Antiqua" w:hAnsi="Book Antiqua"/>
          <w:sz w:val="24"/>
          <w:szCs w:val="24"/>
          <w:vertAlign w:val="superscript"/>
        </w:rPr>
        <w:t>[19]</w:t>
      </w:r>
      <w:r w:rsidR="002E28E3" w:rsidRPr="00707417">
        <w:rPr>
          <w:rFonts w:ascii="Book Antiqua" w:hAnsi="Book Antiqua" w:cs="Calibri"/>
          <w:i/>
          <w:color w:val="000000"/>
          <w:sz w:val="24"/>
          <w:szCs w:val="24"/>
          <w:shd w:val="clear" w:color="auto" w:fill="FFFFFF"/>
        </w:rPr>
        <w:t xml:space="preserve"> </w:t>
      </w:r>
      <w:r w:rsidRPr="00707417">
        <w:rPr>
          <w:rFonts w:ascii="Book Antiqua" w:hAnsi="Book Antiqua" w:cs="Arial"/>
          <w:color w:val="000000"/>
          <w:sz w:val="24"/>
          <w:szCs w:val="24"/>
          <w:shd w:val="clear" w:color="auto" w:fill="FFFFFF"/>
        </w:rPr>
        <w:t>patients across the ejection fraction spectrum have a similarly 5-year mortality around 75% with an elevated risk for heart failure and cardiovascular hospitalizations</w:t>
      </w:r>
      <w:r w:rsidRPr="00707417">
        <w:rPr>
          <w:rFonts w:ascii="Book Antiqua" w:hAnsi="Book Antiqua" w:cs="Calibri"/>
          <w:color w:val="000000"/>
          <w:sz w:val="24"/>
          <w:szCs w:val="24"/>
          <w:shd w:val="clear" w:color="auto" w:fill="FFFFFF"/>
        </w:rPr>
        <w:t xml:space="preserve">. These data warn us that treatment strategies of patients with heart failure need to be improved. </w:t>
      </w:r>
    </w:p>
    <w:p w14:paraId="05737D32" w14:textId="44DBF7D7" w:rsidR="00156B28" w:rsidRPr="00707417" w:rsidRDefault="00156B28" w:rsidP="007E7EC2">
      <w:pPr>
        <w:adjustRightInd w:val="0"/>
        <w:snapToGrid w:val="0"/>
        <w:spacing w:line="360" w:lineRule="auto"/>
        <w:ind w:firstLineChars="100" w:firstLine="24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 xml:space="preserve">Heart failure is a particularly common complication of diabetes, with poor 5-year survival rates, but it seems to have been neglected because more attention was given to atherothrombotic complications of disease. Furthermore, </w:t>
      </w:r>
      <w:r w:rsidRPr="00707417">
        <w:rPr>
          <w:rFonts w:ascii="Book Antiqua" w:hAnsi="Book Antiqua" w:cs="Calibri"/>
          <w:color w:val="000000"/>
          <w:sz w:val="24"/>
          <w:szCs w:val="24"/>
          <w:shd w:val="clear" w:color="auto" w:fill="FFFFFF"/>
          <w:lang w:val="en-GB"/>
        </w:rPr>
        <w:t>patients with diabetes are predisposed to a distinct cardiomyopathy - diabetic cardiomyopathy which is independent of concomitant diabetic macro- and microvascular complications. It is still poorly understood, but of great clinical importance, given the robust association of diabetes mellitus with heart failure and increased cardiovascular mortality</w:t>
      </w:r>
      <w:r w:rsidRPr="00707417">
        <w:rPr>
          <w:rFonts w:ascii="Book Antiqua" w:hAnsi="Book Antiqua"/>
          <w:sz w:val="24"/>
          <w:szCs w:val="24"/>
          <w:vertAlign w:val="superscript"/>
        </w:rPr>
        <w:t>[20,21]</w:t>
      </w:r>
      <w:r w:rsidRPr="00707417">
        <w:rPr>
          <w:rFonts w:ascii="Book Antiqua" w:hAnsi="Book Antiqua" w:cs="Calibri"/>
          <w:color w:val="000000"/>
          <w:sz w:val="24"/>
          <w:szCs w:val="24"/>
          <w:shd w:val="clear" w:color="auto" w:fill="FFFFFF"/>
        </w:rPr>
        <w:t>.</w:t>
      </w:r>
      <w:r w:rsidR="007E7EC2">
        <w:rPr>
          <w:rFonts w:ascii="Book Antiqua" w:hAnsi="Book Antiqua" w:cs="Calibri" w:hint="eastAsia"/>
          <w:color w:val="000000"/>
          <w:sz w:val="24"/>
          <w:szCs w:val="24"/>
          <w:shd w:val="clear" w:color="auto" w:fill="FFFFFF"/>
          <w:lang w:eastAsia="zh-CN"/>
        </w:rPr>
        <w:t xml:space="preserve"> </w:t>
      </w:r>
      <w:r w:rsidRPr="00707417">
        <w:rPr>
          <w:rFonts w:ascii="Book Antiqua" w:hAnsi="Book Antiqua" w:cs="Calibri"/>
          <w:color w:val="000000"/>
          <w:sz w:val="24"/>
          <w:szCs w:val="24"/>
          <w:shd w:val="clear" w:color="auto" w:fill="FFFFFF"/>
        </w:rPr>
        <w:t>Could SGLT2 inhibitors be the new heart savers in diabetes and beyond diabetes? How is their effect so ubiquitous across the spectrum of heart failure? Are we missing something in the pathophysiology of heart failure or there is just a lot of work to do with the pleiotropic mechanisms of SGLT2 inhibitors? There are still a lot of questions regarding SGLT2 inhibitors that are awaiting answers.</w:t>
      </w:r>
    </w:p>
    <w:p w14:paraId="3A968F7A" w14:textId="77777777" w:rsidR="00156B28" w:rsidRPr="00707417" w:rsidRDefault="00156B28" w:rsidP="00707417">
      <w:pPr>
        <w:adjustRightInd w:val="0"/>
        <w:snapToGrid w:val="0"/>
        <w:spacing w:line="360" w:lineRule="auto"/>
        <w:jc w:val="both"/>
        <w:rPr>
          <w:rFonts w:ascii="Book Antiqua" w:hAnsi="Book Antiqua" w:cs="Calibri"/>
          <w:b/>
          <w:color w:val="000000"/>
          <w:sz w:val="24"/>
          <w:szCs w:val="24"/>
          <w:u w:val="single"/>
          <w:shd w:val="clear" w:color="auto" w:fill="FFFFFF"/>
        </w:rPr>
      </w:pPr>
    </w:p>
    <w:p w14:paraId="3D0B0A85" w14:textId="77777777" w:rsidR="00156B28" w:rsidRPr="00707417" w:rsidRDefault="00156B28" w:rsidP="00707417">
      <w:pPr>
        <w:adjustRightInd w:val="0"/>
        <w:snapToGrid w:val="0"/>
        <w:spacing w:line="360" w:lineRule="auto"/>
        <w:jc w:val="both"/>
        <w:rPr>
          <w:rFonts w:ascii="Book Antiqua" w:hAnsi="Book Antiqua" w:cs="Calibri"/>
          <w:b/>
          <w:color w:val="000000"/>
          <w:sz w:val="24"/>
          <w:szCs w:val="24"/>
          <w:u w:val="single"/>
          <w:shd w:val="clear" w:color="auto" w:fill="FFFFFF"/>
        </w:rPr>
      </w:pPr>
      <w:r w:rsidRPr="00707417">
        <w:rPr>
          <w:rFonts w:ascii="Book Antiqua" w:hAnsi="Book Antiqua" w:cs="Calibri"/>
          <w:b/>
          <w:color w:val="000000"/>
          <w:sz w:val="24"/>
          <w:szCs w:val="24"/>
          <w:u w:val="single"/>
          <w:shd w:val="clear" w:color="auto" w:fill="FFFFFF"/>
        </w:rPr>
        <w:t>SGLT2 INHIBITORS’ MECHANISMS OF ACTION</w:t>
      </w:r>
    </w:p>
    <w:p w14:paraId="39ADAC81" w14:textId="530FE50F" w:rsidR="00156B28" w:rsidRPr="00707417" w:rsidRDefault="00156B28" w:rsidP="00BE33B6">
      <w:pPr>
        <w:adjustRightInd w:val="0"/>
        <w:snapToGrid w:val="0"/>
        <w:spacing w:line="360" w:lineRule="auto"/>
        <w:jc w:val="both"/>
        <w:rPr>
          <w:rFonts w:ascii="Book Antiqua" w:hAnsi="Book Antiqua"/>
          <w:sz w:val="24"/>
          <w:szCs w:val="24"/>
        </w:rPr>
      </w:pPr>
      <w:r w:rsidRPr="00707417">
        <w:rPr>
          <w:rFonts w:ascii="Book Antiqua" w:hAnsi="Book Antiqua" w:cs="Calibri"/>
          <w:color w:val="000000"/>
          <w:sz w:val="24"/>
          <w:szCs w:val="24"/>
          <w:shd w:val="clear" w:color="auto" w:fill="FFFFFF"/>
          <w:lang w:val="en-GB"/>
        </w:rPr>
        <w:t xml:space="preserve">Physiological mechanisms responsible for SGLT2 inhibitors’ benefits are not yet well defined </w:t>
      </w:r>
      <w:r w:rsidRPr="00707417">
        <w:rPr>
          <w:rFonts w:ascii="Book Antiqua" w:hAnsi="Book Antiqua"/>
          <w:sz w:val="24"/>
          <w:szCs w:val="24"/>
        </w:rPr>
        <w:t>and the situation has become even more complicated since their benefits have recently translated to non-diabetic patients which raised doubts about the validity of some current mechanistic assumptions</w:t>
      </w:r>
      <w:r w:rsidRPr="00707417">
        <w:rPr>
          <w:rFonts w:ascii="Book Antiqua" w:hAnsi="Book Antiqua" w:cs="Calibri"/>
          <w:color w:val="000000"/>
          <w:sz w:val="24"/>
          <w:szCs w:val="24"/>
          <w:shd w:val="clear" w:color="auto" w:fill="FFFFFF"/>
          <w:lang w:val="en-GB"/>
        </w:rPr>
        <w:t xml:space="preserve">. The time frame of their effects excludes glucose-lowering and </w:t>
      </w:r>
      <w:proofErr w:type="spellStart"/>
      <w:r w:rsidRPr="00707417">
        <w:rPr>
          <w:rFonts w:ascii="Book Antiqua" w:hAnsi="Book Antiqua" w:cs="Calibri"/>
          <w:color w:val="000000"/>
          <w:sz w:val="24"/>
          <w:szCs w:val="24"/>
          <w:shd w:val="clear" w:color="auto" w:fill="FFFFFF"/>
          <w:lang w:val="en-GB"/>
        </w:rPr>
        <w:t>antiatherosclerotic</w:t>
      </w:r>
      <w:proofErr w:type="spellEnd"/>
      <w:r w:rsidRPr="00707417">
        <w:rPr>
          <w:rFonts w:ascii="Book Antiqua" w:hAnsi="Book Antiqua" w:cs="Calibri"/>
          <w:color w:val="000000"/>
          <w:sz w:val="24"/>
          <w:szCs w:val="24"/>
          <w:shd w:val="clear" w:color="auto" w:fill="FFFFFF"/>
          <w:lang w:val="en-GB"/>
        </w:rPr>
        <w:t>-mediated mechanism of action</w:t>
      </w:r>
      <w:r w:rsidRPr="00707417">
        <w:rPr>
          <w:rFonts w:ascii="Book Antiqua" w:hAnsi="Book Antiqua"/>
          <w:sz w:val="24"/>
          <w:szCs w:val="24"/>
          <w:vertAlign w:val="superscript"/>
        </w:rPr>
        <w:t>[22]</w:t>
      </w:r>
      <w:r w:rsidRPr="00707417">
        <w:rPr>
          <w:rFonts w:ascii="Book Antiqua" w:hAnsi="Book Antiqua" w:cs="Calibri"/>
          <w:color w:val="000000"/>
          <w:sz w:val="24"/>
          <w:szCs w:val="24"/>
          <w:shd w:val="clear" w:color="auto" w:fill="FFFFFF"/>
          <w:lang w:val="en-GB"/>
        </w:rPr>
        <w:t xml:space="preserve">. Namely, separation of the cardiovascular event curves for SGLT2 inhibitors occurred early in the studies and persisted for the entire duration of the treatment than would be expected from effects on atherosclerosis. Furthermore, it is known that </w:t>
      </w:r>
      <w:proofErr w:type="spellStart"/>
      <w:r w:rsidRPr="00707417">
        <w:rPr>
          <w:rFonts w:ascii="Book Antiqua" w:hAnsi="Book Antiqua" w:cs="Calibri"/>
          <w:color w:val="000000"/>
          <w:sz w:val="24"/>
          <w:szCs w:val="24"/>
          <w:shd w:val="clear" w:color="auto" w:fill="FFFFFF"/>
          <w:lang w:val="en-GB"/>
        </w:rPr>
        <w:t>hyperglycemia</w:t>
      </w:r>
      <w:proofErr w:type="spellEnd"/>
      <w:r w:rsidRPr="00707417">
        <w:rPr>
          <w:rFonts w:ascii="Book Antiqua" w:hAnsi="Book Antiqua" w:cs="Calibri"/>
          <w:color w:val="000000"/>
          <w:sz w:val="24"/>
          <w:szCs w:val="24"/>
          <w:shd w:val="clear" w:color="auto" w:fill="FFFFFF"/>
          <w:lang w:val="en-GB"/>
        </w:rPr>
        <w:t xml:space="preserve"> is a weak risk for cardiovascular disease</w:t>
      </w:r>
      <w:r w:rsidRPr="00707417">
        <w:rPr>
          <w:rFonts w:ascii="Book Antiqua" w:hAnsi="Book Antiqua"/>
          <w:sz w:val="24"/>
          <w:szCs w:val="24"/>
          <w:vertAlign w:val="superscript"/>
        </w:rPr>
        <w:t>[23,24]</w:t>
      </w:r>
      <w:r w:rsidRPr="00707417">
        <w:rPr>
          <w:rFonts w:ascii="Book Antiqua" w:hAnsi="Book Antiqua" w:cs="Calibri"/>
          <w:color w:val="000000"/>
          <w:sz w:val="24"/>
          <w:szCs w:val="24"/>
          <w:shd w:val="clear" w:color="auto" w:fill="FFFFFF"/>
          <w:lang w:val="en-GB"/>
        </w:rPr>
        <w:t xml:space="preserve">. So, </w:t>
      </w:r>
      <w:r w:rsidRPr="00707417">
        <w:rPr>
          <w:rFonts w:ascii="Book Antiqua" w:hAnsi="Book Antiqua" w:cs="Calibri"/>
          <w:color w:val="000000"/>
          <w:sz w:val="24"/>
          <w:szCs w:val="24"/>
          <w:shd w:val="clear" w:color="auto" w:fill="FFFFFF"/>
        </w:rPr>
        <w:t xml:space="preserve">multiple different mechanisms, direct cardiac as well as systemic, are suggested to explain the early cardiorenal benefits of SGLT2 inhibitors seen in CVOTs </w:t>
      </w:r>
      <w:r w:rsidRPr="00707417">
        <w:rPr>
          <w:rFonts w:ascii="Book Antiqua" w:hAnsi="Book Antiqua"/>
          <w:sz w:val="24"/>
          <w:szCs w:val="24"/>
        </w:rPr>
        <w:t xml:space="preserve">and they are presented in </w:t>
      </w:r>
      <w:r w:rsidRPr="00707417">
        <w:rPr>
          <w:rFonts w:ascii="Book Antiqua" w:hAnsi="Book Antiqua"/>
          <w:sz w:val="24"/>
          <w:szCs w:val="24"/>
        </w:rPr>
        <w:lastRenderedPageBreak/>
        <w:t>Figure 1 and discussed below:</w:t>
      </w:r>
      <w:r w:rsidR="007E7EC2">
        <w:rPr>
          <w:rFonts w:ascii="Book Antiqua" w:hAnsi="Book Antiqua" w:hint="eastAsia"/>
          <w:sz w:val="24"/>
          <w:szCs w:val="24"/>
          <w:lang w:eastAsia="zh-CN"/>
        </w:rPr>
        <w:t xml:space="preserve"> </w:t>
      </w:r>
      <w:r w:rsidR="007E7EC2">
        <w:rPr>
          <w:rFonts w:ascii="Book Antiqua" w:hAnsi="Book Antiqua"/>
          <w:sz w:val="24"/>
          <w:szCs w:val="24"/>
          <w:lang w:eastAsia="zh-CN"/>
        </w:rPr>
        <w:t xml:space="preserve">(1) </w:t>
      </w:r>
      <w:r w:rsidRPr="00707417">
        <w:rPr>
          <w:rFonts w:ascii="Book Antiqua" w:hAnsi="Book Antiqua"/>
          <w:sz w:val="24"/>
          <w:szCs w:val="24"/>
        </w:rPr>
        <w:t xml:space="preserve">Lowering elevated blood glucose levels with SGLT2 inhibitors which promote glucose excretion and not uptake could reduce glucose toxicity, improve β-cell function and insulin sensitivity as it was shown in the metabolic study of Ferrannini </w:t>
      </w:r>
      <w:r w:rsidRPr="00707417">
        <w:rPr>
          <w:rFonts w:ascii="Book Antiqua" w:hAnsi="Book Antiqua"/>
          <w:i/>
          <w:sz w:val="24"/>
          <w:szCs w:val="24"/>
        </w:rPr>
        <w:t>et al</w:t>
      </w:r>
      <w:r w:rsidRPr="00707417">
        <w:rPr>
          <w:rFonts w:ascii="Book Antiqua" w:hAnsi="Book Antiqua"/>
          <w:sz w:val="24"/>
          <w:szCs w:val="24"/>
          <w:vertAlign w:val="superscript"/>
        </w:rPr>
        <w:t>[25]</w:t>
      </w:r>
      <w:r w:rsidRPr="00707417">
        <w:rPr>
          <w:rFonts w:ascii="Book Antiqua" w:hAnsi="Book Antiqua"/>
          <w:sz w:val="24"/>
          <w:szCs w:val="24"/>
        </w:rPr>
        <w:t xml:space="preserve">. </w:t>
      </w:r>
      <w:r w:rsidRPr="00707417">
        <w:rPr>
          <w:rFonts w:ascii="Book Antiqua" w:hAnsi="Book Antiqua"/>
          <w:sz w:val="24"/>
          <w:szCs w:val="24"/>
          <w:lang w:val="en-GB"/>
        </w:rPr>
        <w:t>R</w:t>
      </w:r>
      <w:r w:rsidRPr="00707417">
        <w:rPr>
          <w:rFonts w:ascii="Book Antiqua" w:hAnsi="Book Antiqua"/>
          <w:sz w:val="24"/>
          <w:szCs w:val="24"/>
        </w:rPr>
        <w:t>educed effects of glucotoxicity on the heart, could also reduce the risk of heart failure in diabetic patients</w:t>
      </w:r>
      <w:r w:rsidRPr="00707417">
        <w:rPr>
          <w:rFonts w:ascii="Book Antiqua" w:hAnsi="Book Antiqua"/>
          <w:sz w:val="24"/>
          <w:szCs w:val="24"/>
          <w:vertAlign w:val="superscript"/>
        </w:rPr>
        <w:t>[23]</w:t>
      </w:r>
      <w:r w:rsidRPr="00707417">
        <w:rPr>
          <w:rFonts w:ascii="Book Antiqua" w:hAnsi="Book Antiqua"/>
          <w:sz w:val="24"/>
          <w:szCs w:val="24"/>
        </w:rPr>
        <w:t>. But as it was shown in DAPA-HF, the benefits of dapaglifozin on the progression of heart failure occurred regardless of diabetes, which somehow undermine the hypothesis of glucotoxicity</w:t>
      </w:r>
      <w:r w:rsidRPr="00707417">
        <w:rPr>
          <w:rFonts w:ascii="Book Antiqua" w:hAnsi="Book Antiqua"/>
          <w:sz w:val="24"/>
          <w:szCs w:val="24"/>
          <w:vertAlign w:val="superscript"/>
        </w:rPr>
        <w:t>[24]</w:t>
      </w:r>
      <w:r w:rsidRPr="00707417">
        <w:rPr>
          <w:rFonts w:ascii="Book Antiqua" w:hAnsi="Book Antiqua"/>
          <w:sz w:val="24"/>
          <w:szCs w:val="24"/>
        </w:rPr>
        <w:t>. Nevertheless, it could be that in the group of patients with diabetic cardiomyopathy this particular mechanism played a role</w:t>
      </w:r>
      <w:r w:rsidR="007E7EC2">
        <w:rPr>
          <w:rFonts w:ascii="Book Antiqua" w:hAnsi="Book Antiqua"/>
          <w:sz w:val="24"/>
          <w:szCs w:val="24"/>
        </w:rPr>
        <w:t>;</w:t>
      </w:r>
      <w:r w:rsidRPr="00707417">
        <w:rPr>
          <w:rFonts w:ascii="Book Antiqua" w:hAnsi="Book Antiqua"/>
          <w:sz w:val="24"/>
          <w:szCs w:val="24"/>
        </w:rPr>
        <w:t xml:space="preserve"> </w:t>
      </w:r>
      <w:r w:rsidR="007E7EC2">
        <w:rPr>
          <w:rFonts w:ascii="Book Antiqua" w:hAnsi="Book Antiqua"/>
          <w:sz w:val="24"/>
          <w:szCs w:val="24"/>
          <w:lang w:eastAsia="zh-CN"/>
        </w:rPr>
        <w:t xml:space="preserve">(2) </w:t>
      </w:r>
      <w:r w:rsidRPr="00707417">
        <w:rPr>
          <w:rFonts w:ascii="Book Antiqua" w:hAnsi="Book Antiqua"/>
          <w:sz w:val="24"/>
          <w:szCs w:val="24"/>
        </w:rPr>
        <w:t>Reduced body fat and fluid loss are observed with SGLT2 inhibition due to glucose excretion. This could partially account for the blood pressure reduction, weight loss and, even though the magnitude of this effects is modest, could contribute to cardiovascular risk reduction and heart unloading</w:t>
      </w:r>
      <w:r w:rsidRPr="00707417">
        <w:rPr>
          <w:rFonts w:ascii="Book Antiqua" w:hAnsi="Book Antiqua"/>
          <w:sz w:val="24"/>
          <w:szCs w:val="24"/>
          <w:vertAlign w:val="superscript"/>
        </w:rPr>
        <w:t>[26-28]</w:t>
      </w:r>
      <w:r w:rsidR="007E7EC2">
        <w:rPr>
          <w:rFonts w:ascii="Book Antiqua" w:hAnsi="Book Antiqua"/>
          <w:sz w:val="24"/>
          <w:szCs w:val="24"/>
        </w:rPr>
        <w:t>;</w:t>
      </w:r>
      <w:r w:rsidR="007E7EC2">
        <w:rPr>
          <w:rFonts w:ascii="Book Antiqua" w:hAnsi="Book Antiqua" w:hint="eastAsia"/>
          <w:sz w:val="24"/>
          <w:szCs w:val="24"/>
          <w:lang w:eastAsia="zh-CN"/>
        </w:rPr>
        <w:t xml:space="preserve"> </w:t>
      </w:r>
      <w:r w:rsidR="007E7EC2">
        <w:rPr>
          <w:rFonts w:ascii="Book Antiqua" w:hAnsi="Book Antiqua"/>
          <w:sz w:val="24"/>
          <w:szCs w:val="24"/>
          <w:lang w:eastAsia="zh-CN"/>
        </w:rPr>
        <w:t xml:space="preserve">(3) </w:t>
      </w:r>
      <w:r w:rsidRPr="00707417">
        <w:rPr>
          <w:rFonts w:ascii="Book Antiqua" w:hAnsi="Book Antiqua"/>
          <w:sz w:val="24"/>
          <w:szCs w:val="24"/>
        </w:rPr>
        <w:t>SGLT2 inhibitors produce natriuresis and osmotic diuresis that in turn cause a reduction in blood pressure and intravascular volume and in this way simultaneously reduce both preload and afterload of the heart which could give rapid results observed with SGLT2 inhibitors. Reduced arterial stiffness</w:t>
      </w:r>
      <w:r w:rsidRPr="00707417">
        <w:rPr>
          <w:rFonts w:ascii="Book Antiqua" w:hAnsi="Book Antiqua"/>
          <w:sz w:val="24"/>
          <w:szCs w:val="24"/>
          <w:lang w:val="en-GB"/>
        </w:rPr>
        <w:t xml:space="preserve"> observed with SGLT2 inhibition and, as already mentioned, weight loss also contribute to blood pressure lowering</w:t>
      </w:r>
      <w:r w:rsidRPr="00707417">
        <w:rPr>
          <w:rFonts w:ascii="Book Antiqua" w:hAnsi="Book Antiqua"/>
          <w:sz w:val="24"/>
          <w:szCs w:val="24"/>
          <w:vertAlign w:val="superscript"/>
        </w:rPr>
        <w:t>[29]</w:t>
      </w:r>
      <w:r w:rsidRPr="00707417">
        <w:rPr>
          <w:rFonts w:ascii="Book Antiqua" w:hAnsi="Book Antiqua"/>
          <w:sz w:val="24"/>
          <w:szCs w:val="24"/>
        </w:rPr>
        <w:t>. However, how could this affect primary heart failure prevention and to which extent it can play a role in non- diabetic patients when it is known that SGLT2 inhibitors induce a greater level of glycosuria (consequently osmotic diuresis) in patients with diabetes compared to normal individuals, needs to be clarified</w:t>
      </w:r>
      <w:r w:rsidRPr="00707417">
        <w:rPr>
          <w:rFonts w:ascii="Book Antiqua" w:hAnsi="Book Antiqua"/>
          <w:sz w:val="24"/>
          <w:szCs w:val="24"/>
          <w:vertAlign w:val="superscript"/>
        </w:rPr>
        <w:t>[30]</w:t>
      </w:r>
      <w:r w:rsidRPr="00707417">
        <w:rPr>
          <w:rFonts w:ascii="Book Antiqua" w:hAnsi="Book Antiqua"/>
          <w:sz w:val="24"/>
          <w:szCs w:val="24"/>
        </w:rPr>
        <w:t>.</w:t>
      </w:r>
      <w:r w:rsidR="007E7EC2">
        <w:rPr>
          <w:rFonts w:ascii="Book Antiqua" w:hAnsi="Book Antiqua"/>
          <w:sz w:val="24"/>
          <w:szCs w:val="24"/>
        </w:rPr>
        <w:t xml:space="preserve"> </w:t>
      </w:r>
      <w:r w:rsidRPr="00707417">
        <w:rPr>
          <w:rFonts w:ascii="Book Antiqua" w:hAnsi="Book Antiqua"/>
          <w:sz w:val="24"/>
          <w:szCs w:val="24"/>
        </w:rPr>
        <w:t>Furthermore, previous investigations did not show that commonly used diuretics were associated with reduction in cardiovascular death, while in CVOTs and DAPA-HF, SGLT2 inhibitors reduced cardiovascular death as well as sudden death</w:t>
      </w:r>
      <w:r w:rsidRPr="00707417">
        <w:rPr>
          <w:rFonts w:ascii="Book Antiqua" w:hAnsi="Book Antiqua"/>
          <w:sz w:val="24"/>
          <w:szCs w:val="24"/>
          <w:vertAlign w:val="superscript"/>
        </w:rPr>
        <w:t>[24]</w:t>
      </w:r>
      <w:r w:rsidR="00BE33B6">
        <w:rPr>
          <w:rFonts w:ascii="Book Antiqua" w:hAnsi="Book Antiqua"/>
          <w:sz w:val="24"/>
          <w:szCs w:val="24"/>
        </w:rPr>
        <w:t>;</w:t>
      </w:r>
      <w:r w:rsidRPr="00707417">
        <w:rPr>
          <w:rFonts w:ascii="Book Antiqua" w:hAnsi="Book Antiqua"/>
          <w:sz w:val="24"/>
          <w:szCs w:val="24"/>
        </w:rPr>
        <w:t xml:space="preserve"> </w:t>
      </w:r>
      <w:r w:rsidR="007E7EC2">
        <w:rPr>
          <w:rFonts w:ascii="Book Antiqua" w:hAnsi="Book Antiqua"/>
          <w:sz w:val="24"/>
          <w:szCs w:val="24"/>
          <w:lang w:eastAsia="zh-CN"/>
        </w:rPr>
        <w:t xml:space="preserve">(4) </w:t>
      </w:r>
      <w:r w:rsidRPr="00707417">
        <w:rPr>
          <w:rFonts w:ascii="Book Antiqua" w:hAnsi="Book Antiqua"/>
          <w:sz w:val="24"/>
          <w:szCs w:val="24"/>
        </w:rPr>
        <w:t>Therapy with SGLT2 inhibitors is associated with small plasma uric acid reduction but this potential benefit requires further investigation</w:t>
      </w:r>
      <w:r w:rsidRPr="00707417">
        <w:rPr>
          <w:rFonts w:ascii="Book Antiqua" w:hAnsi="Book Antiqua"/>
          <w:sz w:val="24"/>
          <w:szCs w:val="24"/>
          <w:vertAlign w:val="superscript"/>
        </w:rPr>
        <w:t>[31]</w:t>
      </w:r>
      <w:r w:rsidRPr="00707417">
        <w:rPr>
          <w:rFonts w:ascii="Book Antiqua" w:hAnsi="Book Antiqua"/>
          <w:sz w:val="24"/>
          <w:szCs w:val="24"/>
        </w:rPr>
        <w:t xml:space="preserve">. It is known that uric acid may be associated with an adverse prognosis in heart failure </w:t>
      </w:r>
      <w:r w:rsidRPr="00707417">
        <w:rPr>
          <w:rFonts w:ascii="Book Antiqua" w:hAnsi="Book Antiqua"/>
          <w:sz w:val="24"/>
          <w:szCs w:val="24"/>
          <w:lang w:val="en-GB"/>
        </w:rPr>
        <w:t xml:space="preserve">and may </w:t>
      </w:r>
      <w:r w:rsidRPr="00707417">
        <w:rPr>
          <w:rFonts w:ascii="Book Antiqua" w:hAnsi="Book Antiqua"/>
          <w:sz w:val="24"/>
          <w:szCs w:val="24"/>
        </w:rPr>
        <w:t>play a causative role in metabolic syndrome, hypertension, renal damage or endothelial dysfunction</w:t>
      </w:r>
      <w:r w:rsidRPr="00707417">
        <w:rPr>
          <w:rFonts w:ascii="Book Antiqua" w:hAnsi="Book Antiqua"/>
          <w:sz w:val="24"/>
          <w:szCs w:val="24"/>
          <w:vertAlign w:val="superscript"/>
        </w:rPr>
        <w:t>[32,33]</w:t>
      </w:r>
      <w:r w:rsidRPr="00707417">
        <w:rPr>
          <w:rFonts w:ascii="Book Antiqua" w:hAnsi="Book Antiqua"/>
          <w:sz w:val="24"/>
          <w:szCs w:val="24"/>
        </w:rPr>
        <w:t>. In rats, hypertension associated with hyperuricemia is linked to reduced expression of macula densa neuronal nitric oxide synthase. This synthase affects cardiac function facilitating sarcoplasmic reticulum calcium release and thus modulating cardiac excitation-</w:t>
      </w:r>
      <w:r w:rsidRPr="00707417">
        <w:rPr>
          <w:rFonts w:ascii="Book Antiqua" w:hAnsi="Book Antiqua"/>
          <w:sz w:val="24"/>
          <w:szCs w:val="24"/>
        </w:rPr>
        <w:lastRenderedPageBreak/>
        <w:t>contraction coupling which could be a potential mechanism of SGLT2 inhibitors in cardiovascular protection and heart failure</w:t>
      </w:r>
      <w:r w:rsidRPr="00707417">
        <w:rPr>
          <w:rFonts w:ascii="Book Antiqua" w:hAnsi="Book Antiqua"/>
          <w:sz w:val="24"/>
          <w:szCs w:val="24"/>
          <w:vertAlign w:val="superscript"/>
        </w:rPr>
        <w:t>[34]</w:t>
      </w:r>
      <w:r w:rsidR="007E7EC2">
        <w:rPr>
          <w:rFonts w:ascii="Book Antiqua" w:hAnsi="Book Antiqua"/>
          <w:sz w:val="24"/>
          <w:szCs w:val="24"/>
        </w:rPr>
        <w:t>;</w:t>
      </w:r>
      <w:r w:rsidRPr="00707417">
        <w:rPr>
          <w:rFonts w:ascii="Book Antiqua" w:hAnsi="Book Antiqua"/>
          <w:sz w:val="24"/>
          <w:szCs w:val="24"/>
        </w:rPr>
        <w:t xml:space="preserve"> </w:t>
      </w:r>
      <w:r w:rsidR="007E7EC2">
        <w:rPr>
          <w:rFonts w:ascii="Book Antiqua" w:hAnsi="Book Antiqua"/>
          <w:sz w:val="24"/>
          <w:szCs w:val="24"/>
          <w:lang w:eastAsia="zh-CN"/>
        </w:rPr>
        <w:t xml:space="preserve">(5) </w:t>
      </w:r>
      <w:r w:rsidRPr="00707417">
        <w:rPr>
          <w:rFonts w:ascii="Book Antiqua" w:hAnsi="Book Antiqua"/>
          <w:sz w:val="24"/>
          <w:szCs w:val="24"/>
        </w:rPr>
        <w:t>SGLT2 inhibition induce volume contraction which is accompanied by an increase in circulating renin-angiotensin-aldosterone system (RAAS) mediators even though this effect do not raise the blood pressure during treatment with SGLT2 inhibitors</w:t>
      </w:r>
      <w:r w:rsidRPr="00707417">
        <w:rPr>
          <w:rFonts w:ascii="Book Antiqua" w:hAnsi="Book Antiqua"/>
          <w:sz w:val="24"/>
          <w:szCs w:val="24"/>
          <w:vertAlign w:val="superscript"/>
        </w:rPr>
        <w:t>[35]</w:t>
      </w:r>
      <w:r w:rsidRPr="00707417">
        <w:rPr>
          <w:rFonts w:ascii="Book Antiqua" w:hAnsi="Book Antiqua"/>
          <w:sz w:val="24"/>
          <w:szCs w:val="24"/>
        </w:rPr>
        <w:t>. Combined use of RAAS and SGLT2 inhibitors may lead to synergistic beneficial cardiovascular effects. Although most of the patients in CVOTs and DAPA HF had already been taking ACE inhibitors or ARBs, this combined treatment strategy needs further investigation</w:t>
      </w:r>
      <w:r w:rsidRPr="00707417">
        <w:rPr>
          <w:rFonts w:ascii="Book Antiqua" w:hAnsi="Book Antiqua"/>
          <w:sz w:val="24"/>
          <w:szCs w:val="24"/>
          <w:vertAlign w:val="superscript"/>
        </w:rPr>
        <w:t>[36]</w:t>
      </w:r>
      <w:r w:rsidRPr="00707417">
        <w:rPr>
          <w:rFonts w:ascii="Book Antiqua" w:hAnsi="Book Antiqua"/>
          <w:sz w:val="24"/>
          <w:szCs w:val="24"/>
        </w:rPr>
        <w:t xml:space="preserve">. Furthermore, SGLT2 inhibitor treatment is associated with afferent vasoconstriction rather than efferent vasodilatation associated with </w:t>
      </w:r>
      <w:r w:rsidR="00076828" w:rsidRPr="00707417">
        <w:rPr>
          <w:rFonts w:ascii="Book Antiqua" w:hAnsi="Book Antiqua"/>
          <w:sz w:val="24"/>
          <w:szCs w:val="24"/>
        </w:rPr>
        <w:t>R</w:t>
      </w:r>
      <w:r w:rsidRPr="00707417">
        <w:rPr>
          <w:rFonts w:ascii="Book Antiqua" w:hAnsi="Book Antiqua"/>
          <w:sz w:val="24"/>
          <w:szCs w:val="24"/>
        </w:rPr>
        <w:t>AAS inhibitors which attenuate renal hyperfiltration and contribute to renal protection in diabetes</w:t>
      </w:r>
      <w:r w:rsidRPr="00707417">
        <w:rPr>
          <w:rFonts w:ascii="Book Antiqua" w:hAnsi="Book Antiqua"/>
          <w:sz w:val="24"/>
          <w:szCs w:val="24"/>
          <w:vertAlign w:val="superscript"/>
        </w:rPr>
        <w:t>[35]</w:t>
      </w:r>
      <w:r w:rsidR="00BE33B6">
        <w:rPr>
          <w:rFonts w:ascii="Book Antiqua" w:hAnsi="Book Antiqua"/>
          <w:sz w:val="24"/>
          <w:szCs w:val="24"/>
        </w:rPr>
        <w:t>;</w:t>
      </w:r>
      <w:r w:rsidRPr="00707417">
        <w:rPr>
          <w:rFonts w:ascii="Book Antiqua" w:hAnsi="Book Antiqua"/>
          <w:sz w:val="24"/>
          <w:szCs w:val="24"/>
        </w:rPr>
        <w:t xml:space="preserve"> </w:t>
      </w:r>
      <w:r w:rsidR="00BE33B6">
        <w:rPr>
          <w:rFonts w:ascii="Book Antiqua" w:hAnsi="Book Antiqua"/>
          <w:sz w:val="24"/>
          <w:szCs w:val="24"/>
          <w:lang w:eastAsia="zh-CN"/>
        </w:rPr>
        <w:t xml:space="preserve">(6) </w:t>
      </w:r>
      <w:r w:rsidRPr="00707417">
        <w:rPr>
          <w:rFonts w:ascii="Book Antiqua" w:hAnsi="Book Antiqua"/>
          <w:sz w:val="24"/>
          <w:szCs w:val="24"/>
        </w:rPr>
        <w:t>Renoprotection of SGLT2 inhibitors could play a role in the observed cardiac benefits since the heart and kidney are inextricably linked (cardiorenal syndrome) and renal disease adversely impacts heart failure outcomes</w:t>
      </w:r>
      <w:r w:rsidRPr="00707417">
        <w:rPr>
          <w:rFonts w:ascii="Book Antiqua" w:hAnsi="Book Antiqua"/>
          <w:sz w:val="24"/>
          <w:szCs w:val="24"/>
          <w:vertAlign w:val="superscript"/>
        </w:rPr>
        <w:t>[16]</w:t>
      </w:r>
      <w:r w:rsidRPr="00707417">
        <w:rPr>
          <w:rFonts w:ascii="Book Antiqua" w:hAnsi="Book Antiqua"/>
          <w:sz w:val="24"/>
          <w:szCs w:val="24"/>
        </w:rPr>
        <w:t>. Recently, the CREDENCE trial (Canagliflozin and Renal Events in Diabetes with Established Nephropathy Clinical Evaluation) was prematurely stopped because of the achievement of the prespecified criteria for the primary composite endpoint (time to first occurrence of end-stage kidney disease, cardiovascular/renal death, doubling of serum creatinine) when investigating canagliflozin versus placebo. The trial also confirmed significant reductions in secondary endpoints of cardiovascular death or hospitalization for heart failur</w:t>
      </w:r>
      <w:r w:rsidRPr="00707417">
        <w:rPr>
          <w:rFonts w:ascii="Book Antiqua" w:hAnsi="Book Antiqua"/>
          <w:sz w:val="24"/>
          <w:szCs w:val="24"/>
          <w:lang w:val="en-GB"/>
        </w:rPr>
        <w:t>e</w:t>
      </w:r>
      <w:r w:rsidRPr="00707417">
        <w:rPr>
          <w:rFonts w:ascii="Book Antiqua" w:hAnsi="Book Antiqua"/>
          <w:sz w:val="24"/>
          <w:szCs w:val="24"/>
          <w:vertAlign w:val="superscript"/>
          <w:lang w:val="en-GB"/>
        </w:rPr>
        <w:t>[</w:t>
      </w:r>
      <w:r w:rsidRPr="00707417">
        <w:rPr>
          <w:rFonts w:ascii="Book Antiqua" w:hAnsi="Book Antiqua"/>
          <w:sz w:val="24"/>
          <w:szCs w:val="24"/>
          <w:vertAlign w:val="superscript"/>
        </w:rPr>
        <w:t>2</w:t>
      </w:r>
      <w:r w:rsidRPr="00707417">
        <w:rPr>
          <w:rFonts w:ascii="Book Antiqua" w:hAnsi="Book Antiqua"/>
          <w:sz w:val="24"/>
          <w:szCs w:val="24"/>
          <w:vertAlign w:val="superscript"/>
          <w:lang w:val="en-GB"/>
        </w:rPr>
        <w:t>4]</w:t>
      </w:r>
      <w:r w:rsidRPr="00707417">
        <w:rPr>
          <w:rFonts w:ascii="Book Antiqua" w:hAnsi="Book Antiqua"/>
          <w:sz w:val="24"/>
          <w:szCs w:val="24"/>
        </w:rPr>
        <w:t>.</w:t>
      </w:r>
      <w:r w:rsidR="00B5274B" w:rsidRPr="00707417">
        <w:rPr>
          <w:rFonts w:ascii="Book Antiqua" w:hAnsi="Book Antiqua"/>
          <w:sz w:val="24"/>
          <w:szCs w:val="24"/>
        </w:rPr>
        <w:t xml:space="preserve"> </w:t>
      </w:r>
      <w:r w:rsidRPr="00707417">
        <w:rPr>
          <w:rFonts w:ascii="Book Antiqua" w:hAnsi="Book Antiqua"/>
          <w:sz w:val="24"/>
          <w:szCs w:val="24"/>
        </w:rPr>
        <w:t>These results emphasize that cardiovascular benefit induced by SGLT2 inhibitors and renal protection may be connected. Sano proposed that SGLT2 inhibitors rest the exhausted kidney proximal tubular epithelial cells and restore functional and structural manifestation of diabetic kidney disease</w:t>
      </w:r>
      <w:r w:rsidRPr="00707417">
        <w:rPr>
          <w:rFonts w:ascii="Book Antiqua" w:hAnsi="Book Antiqua"/>
          <w:sz w:val="24"/>
          <w:szCs w:val="24"/>
          <w:vertAlign w:val="superscript"/>
          <w:lang w:val="en-GB"/>
        </w:rPr>
        <w:t>[</w:t>
      </w:r>
      <w:r w:rsidRPr="00707417">
        <w:rPr>
          <w:rFonts w:ascii="Book Antiqua" w:hAnsi="Book Antiqua"/>
          <w:sz w:val="24"/>
          <w:szCs w:val="24"/>
          <w:vertAlign w:val="superscript"/>
        </w:rPr>
        <w:t>37,38</w:t>
      </w:r>
      <w:r w:rsidRPr="00707417">
        <w:rPr>
          <w:rFonts w:ascii="Book Antiqua" w:hAnsi="Book Antiqua"/>
          <w:sz w:val="24"/>
          <w:szCs w:val="24"/>
          <w:vertAlign w:val="superscript"/>
          <w:lang w:val="en-GB"/>
        </w:rPr>
        <w:t>]</w:t>
      </w:r>
      <w:r w:rsidR="00BE33B6">
        <w:rPr>
          <w:rFonts w:ascii="Book Antiqua" w:hAnsi="Book Antiqua"/>
          <w:sz w:val="24"/>
          <w:szCs w:val="24"/>
        </w:rPr>
        <w:t>;</w:t>
      </w:r>
      <w:r w:rsidR="00BE33B6">
        <w:rPr>
          <w:rFonts w:ascii="Book Antiqua" w:hAnsi="Book Antiqua" w:hint="eastAsia"/>
          <w:sz w:val="24"/>
          <w:szCs w:val="24"/>
          <w:lang w:eastAsia="zh-CN"/>
        </w:rPr>
        <w:t xml:space="preserve"> </w:t>
      </w:r>
      <w:r w:rsidR="00BE33B6">
        <w:rPr>
          <w:rFonts w:ascii="Book Antiqua" w:hAnsi="Book Antiqua"/>
          <w:sz w:val="24"/>
          <w:szCs w:val="24"/>
          <w:lang w:eastAsia="zh-CN"/>
        </w:rPr>
        <w:t xml:space="preserve">(7) </w:t>
      </w:r>
      <w:r w:rsidRPr="00707417">
        <w:rPr>
          <w:rFonts w:ascii="Book Antiqua" w:hAnsi="Book Antiqua"/>
          <w:sz w:val="24"/>
          <w:szCs w:val="24"/>
        </w:rPr>
        <w:t>Increased cardiac efficiency may be linked to increased oxygen delivery due to hemoconcentration and raised erythropoietin associated with SGLT2 inhibition</w:t>
      </w:r>
      <w:r w:rsidRPr="00707417">
        <w:rPr>
          <w:rFonts w:ascii="Book Antiqua" w:hAnsi="Book Antiqua"/>
          <w:sz w:val="24"/>
          <w:szCs w:val="24"/>
          <w:vertAlign w:val="superscript"/>
        </w:rPr>
        <w:t>[23,39</w:t>
      </w:r>
      <w:r w:rsidRPr="00707417">
        <w:rPr>
          <w:rFonts w:ascii="Book Antiqua" w:hAnsi="Book Antiqua" w:cs="Calibri"/>
          <w:color w:val="000000"/>
          <w:sz w:val="24"/>
          <w:szCs w:val="24"/>
          <w:shd w:val="clear" w:color="auto" w:fill="FFFFFF"/>
          <w:vertAlign w:val="superscript"/>
        </w:rPr>
        <w:t>]</w:t>
      </w:r>
      <w:r w:rsidRPr="00707417">
        <w:rPr>
          <w:rFonts w:ascii="Book Antiqua" w:hAnsi="Book Antiqua" w:cs="Calibri"/>
          <w:color w:val="000000"/>
          <w:sz w:val="24"/>
          <w:szCs w:val="24"/>
          <w:shd w:val="clear" w:color="auto" w:fill="FFFFFF"/>
        </w:rPr>
        <w:t xml:space="preserve">. </w:t>
      </w:r>
      <w:r w:rsidRPr="00707417">
        <w:rPr>
          <w:rFonts w:ascii="Book Antiqua" w:hAnsi="Book Antiqua"/>
          <w:sz w:val="24"/>
          <w:szCs w:val="24"/>
        </w:rPr>
        <w:t xml:space="preserve">On the other hand, in the study with erythropoietin-mimetic agents in patients with heart failure of Swedberg </w:t>
      </w:r>
      <w:r w:rsidRPr="00707417">
        <w:rPr>
          <w:rFonts w:ascii="Book Antiqua" w:hAnsi="Book Antiqua"/>
          <w:i/>
          <w:sz w:val="24"/>
          <w:szCs w:val="24"/>
        </w:rPr>
        <w:t>et al</w:t>
      </w:r>
      <w:r w:rsidR="00BE33B6" w:rsidRPr="00707417">
        <w:rPr>
          <w:rFonts w:ascii="Book Antiqua" w:hAnsi="Book Antiqua"/>
          <w:sz w:val="24"/>
          <w:szCs w:val="24"/>
          <w:vertAlign w:val="superscript"/>
        </w:rPr>
        <w:t>[40</w:t>
      </w:r>
      <w:r w:rsidR="00BE33B6" w:rsidRPr="00707417">
        <w:rPr>
          <w:rFonts w:ascii="Book Antiqua" w:hAnsi="Book Antiqua" w:cs="Calibri"/>
          <w:color w:val="000000"/>
          <w:sz w:val="24"/>
          <w:szCs w:val="24"/>
          <w:shd w:val="clear" w:color="auto" w:fill="FFFFFF"/>
          <w:vertAlign w:val="superscript"/>
        </w:rPr>
        <w:t>]</w:t>
      </w:r>
      <w:r w:rsidR="00F62600" w:rsidRPr="00707417">
        <w:rPr>
          <w:rFonts w:ascii="Book Antiqua" w:hAnsi="Book Antiqua"/>
          <w:i/>
          <w:sz w:val="24"/>
          <w:szCs w:val="24"/>
        </w:rPr>
        <w:t xml:space="preserve"> </w:t>
      </w:r>
      <w:r w:rsidRPr="00707417">
        <w:rPr>
          <w:rFonts w:ascii="Book Antiqua" w:hAnsi="Book Antiqua"/>
          <w:sz w:val="24"/>
          <w:szCs w:val="24"/>
        </w:rPr>
        <w:t>the correction of anemia did not reduce the rate of death or hospitalization among patients with systolic heart failure and there was even a significant increase in the thromboembolic risk. This increase in hematocrit value during SGLT2 inhibition could be alternatively explained as being a surrogate marker of renal recovery from tubulointerstitial injury</w:t>
      </w:r>
      <w:r w:rsidRPr="00707417">
        <w:rPr>
          <w:rFonts w:ascii="Book Antiqua" w:hAnsi="Book Antiqua"/>
          <w:sz w:val="24"/>
          <w:szCs w:val="24"/>
          <w:vertAlign w:val="superscript"/>
        </w:rPr>
        <w:t>[37</w:t>
      </w:r>
      <w:r w:rsidRPr="00707417">
        <w:rPr>
          <w:rFonts w:ascii="Book Antiqua" w:hAnsi="Book Antiqua" w:cs="Calibri"/>
          <w:color w:val="000000"/>
          <w:sz w:val="24"/>
          <w:szCs w:val="24"/>
          <w:shd w:val="clear" w:color="auto" w:fill="FFFFFF"/>
          <w:vertAlign w:val="superscript"/>
        </w:rPr>
        <w:t>]</w:t>
      </w:r>
      <w:r w:rsidRPr="00707417">
        <w:rPr>
          <w:rFonts w:ascii="Book Antiqua" w:hAnsi="Book Antiqua" w:cs="Calibri"/>
          <w:color w:val="000000"/>
          <w:sz w:val="24"/>
          <w:szCs w:val="24"/>
          <w:shd w:val="clear" w:color="auto" w:fill="FFFFFF"/>
        </w:rPr>
        <w:t xml:space="preserve">. </w:t>
      </w:r>
      <w:r w:rsidRPr="00707417">
        <w:rPr>
          <w:rFonts w:ascii="Book Antiqua" w:hAnsi="Book Antiqua"/>
          <w:sz w:val="24"/>
          <w:szCs w:val="24"/>
        </w:rPr>
        <w:t xml:space="preserve">Nevertheless, the issue </w:t>
      </w:r>
      <w:r w:rsidRPr="00707417">
        <w:rPr>
          <w:rFonts w:ascii="Book Antiqua" w:hAnsi="Book Antiqua"/>
          <w:sz w:val="24"/>
          <w:szCs w:val="24"/>
        </w:rPr>
        <w:lastRenderedPageBreak/>
        <w:t>needs to be further clarified</w:t>
      </w:r>
      <w:r w:rsidR="00BE33B6">
        <w:rPr>
          <w:rFonts w:ascii="Book Antiqua" w:hAnsi="Book Antiqua"/>
          <w:sz w:val="24"/>
          <w:szCs w:val="24"/>
        </w:rPr>
        <w:t xml:space="preserve">; </w:t>
      </w:r>
      <w:r w:rsidR="00BE33B6">
        <w:rPr>
          <w:rFonts w:ascii="Book Antiqua" w:hAnsi="Book Antiqua"/>
          <w:sz w:val="24"/>
          <w:szCs w:val="24"/>
          <w:lang w:eastAsia="zh-CN"/>
        </w:rPr>
        <w:t xml:space="preserve">(8) </w:t>
      </w:r>
      <w:r w:rsidRPr="00707417">
        <w:rPr>
          <w:rFonts w:ascii="Book Antiqua" w:hAnsi="Book Antiqua"/>
          <w:sz w:val="24"/>
          <w:szCs w:val="24"/>
        </w:rPr>
        <w:t>Increased heart rate was not observed during SGLT2 inhibitor treatment even though they affect blood pressure and induce volume contraction. It seems that the diuretic effects of SGLT2 inhibitors do not activate neurohumoral factors which is beneficial in heart failur</w:t>
      </w:r>
      <w:r w:rsidRPr="00707417">
        <w:rPr>
          <w:rFonts w:ascii="Book Antiqua" w:hAnsi="Book Antiqua"/>
          <w:sz w:val="24"/>
          <w:szCs w:val="24"/>
          <w:lang w:val="en-GB"/>
        </w:rPr>
        <w:t>e</w:t>
      </w:r>
      <w:r w:rsidRPr="00707417">
        <w:rPr>
          <w:rFonts w:ascii="Book Antiqua" w:hAnsi="Book Antiqua"/>
          <w:sz w:val="24"/>
          <w:szCs w:val="24"/>
          <w:vertAlign w:val="superscript"/>
        </w:rPr>
        <w:t>[37</w:t>
      </w:r>
      <w:r w:rsidRPr="00707417">
        <w:rPr>
          <w:rFonts w:ascii="Book Antiqua" w:hAnsi="Book Antiqua" w:cs="Calibri"/>
          <w:color w:val="000000"/>
          <w:sz w:val="24"/>
          <w:szCs w:val="24"/>
          <w:shd w:val="clear" w:color="auto" w:fill="FFFFFF"/>
          <w:vertAlign w:val="superscript"/>
        </w:rPr>
        <w:t>]</w:t>
      </w:r>
      <w:r w:rsidRPr="00707417">
        <w:rPr>
          <w:rFonts w:ascii="Book Antiqua" w:hAnsi="Book Antiqua" w:cs="Calibri"/>
          <w:color w:val="000000"/>
          <w:sz w:val="24"/>
          <w:szCs w:val="24"/>
          <w:shd w:val="clear" w:color="auto" w:fill="FFFFFF"/>
        </w:rPr>
        <w:t>.</w:t>
      </w:r>
      <w:r w:rsidR="00F62600" w:rsidRPr="00707417">
        <w:rPr>
          <w:rFonts w:ascii="Book Antiqua" w:hAnsi="Book Antiqua" w:cs="Calibri"/>
          <w:color w:val="000000"/>
          <w:sz w:val="24"/>
          <w:szCs w:val="24"/>
          <w:shd w:val="clear" w:color="auto" w:fill="FFFFFF"/>
        </w:rPr>
        <w:t xml:space="preserve"> </w:t>
      </w:r>
      <w:r w:rsidRPr="00707417">
        <w:rPr>
          <w:rFonts w:ascii="Book Antiqua" w:hAnsi="Book Antiqua"/>
          <w:sz w:val="24"/>
          <w:szCs w:val="24"/>
        </w:rPr>
        <w:t>Maybe the pharmacological implications of SGLT expression found in the brain could be manifested through this mechanism</w:t>
      </w:r>
      <w:r w:rsidRPr="00707417">
        <w:rPr>
          <w:rFonts w:ascii="Book Antiqua" w:hAnsi="Book Antiqua"/>
          <w:sz w:val="24"/>
          <w:szCs w:val="24"/>
          <w:vertAlign w:val="superscript"/>
        </w:rPr>
        <w:t>[41,42</w:t>
      </w:r>
      <w:r w:rsidRPr="00707417">
        <w:rPr>
          <w:rFonts w:ascii="Book Antiqua" w:hAnsi="Book Antiqua" w:cs="Calibri"/>
          <w:color w:val="000000"/>
          <w:sz w:val="24"/>
          <w:szCs w:val="24"/>
          <w:shd w:val="clear" w:color="auto" w:fill="FFFFFF"/>
          <w:vertAlign w:val="superscript"/>
        </w:rPr>
        <w:t>]</w:t>
      </w:r>
      <w:r w:rsidR="00BE33B6">
        <w:rPr>
          <w:rFonts w:ascii="Book Antiqua" w:hAnsi="Book Antiqua" w:cs="Calibri"/>
          <w:color w:val="000000"/>
          <w:sz w:val="24"/>
          <w:szCs w:val="24"/>
          <w:shd w:val="clear" w:color="auto" w:fill="FFFFFF"/>
        </w:rPr>
        <w:t xml:space="preserve">; </w:t>
      </w:r>
      <w:r w:rsidR="00BE33B6">
        <w:rPr>
          <w:rFonts w:ascii="Book Antiqua" w:hAnsi="Book Antiqua"/>
          <w:sz w:val="24"/>
          <w:szCs w:val="24"/>
          <w:lang w:eastAsia="zh-CN"/>
        </w:rPr>
        <w:t xml:space="preserve">(9) </w:t>
      </w:r>
      <w:r w:rsidRPr="00707417">
        <w:rPr>
          <w:rFonts w:ascii="Book Antiqua" w:hAnsi="Book Antiqua"/>
          <w:sz w:val="24"/>
          <w:szCs w:val="24"/>
        </w:rPr>
        <w:t>Raised glucagon levels have been linked to SGLT2 inhibitor therapy and,</w:t>
      </w:r>
      <w:r w:rsidR="00F62600" w:rsidRPr="00707417">
        <w:rPr>
          <w:rFonts w:ascii="Book Antiqua" w:hAnsi="Book Antiqua"/>
          <w:sz w:val="24"/>
          <w:szCs w:val="24"/>
        </w:rPr>
        <w:t xml:space="preserve"> </w:t>
      </w:r>
      <w:r w:rsidRPr="00707417">
        <w:rPr>
          <w:rFonts w:ascii="Book Antiqua" w:hAnsi="Book Antiqua"/>
          <w:sz w:val="24"/>
          <w:szCs w:val="24"/>
        </w:rPr>
        <w:t>considering glucagon inotropic effect</w:t>
      </w:r>
      <w:r w:rsidR="00F62600" w:rsidRPr="00707417">
        <w:rPr>
          <w:rFonts w:ascii="Book Antiqua" w:hAnsi="Book Antiqua"/>
          <w:sz w:val="24"/>
          <w:szCs w:val="24"/>
        </w:rPr>
        <w:t xml:space="preserve"> </w:t>
      </w:r>
      <w:r w:rsidRPr="00707417">
        <w:rPr>
          <w:rFonts w:ascii="Book Antiqua" w:hAnsi="Book Antiqua"/>
          <w:sz w:val="24"/>
          <w:szCs w:val="24"/>
        </w:rPr>
        <w:t>independent of the</w:t>
      </w:r>
      <w:r w:rsidR="00F62600" w:rsidRPr="00707417">
        <w:rPr>
          <w:rFonts w:ascii="Book Antiqua" w:hAnsi="Book Antiqua"/>
          <w:sz w:val="24"/>
          <w:szCs w:val="24"/>
        </w:rPr>
        <w:t xml:space="preserve"> </w:t>
      </w:r>
      <w:r w:rsidRPr="00707417">
        <w:rPr>
          <w:rFonts w:ascii="Book Antiqua" w:hAnsi="Book Antiqua"/>
          <w:sz w:val="24"/>
          <w:szCs w:val="24"/>
        </w:rPr>
        <w:t>catecholamine release it induces, this could lead to a</w:t>
      </w:r>
      <w:r w:rsidR="00F62600" w:rsidRPr="00707417">
        <w:rPr>
          <w:rFonts w:ascii="Book Antiqua" w:hAnsi="Book Antiqua"/>
          <w:sz w:val="24"/>
          <w:szCs w:val="24"/>
        </w:rPr>
        <w:t xml:space="preserve"> </w:t>
      </w:r>
      <w:r w:rsidRPr="00707417">
        <w:rPr>
          <w:rFonts w:ascii="Book Antiqua" w:hAnsi="Book Antiqua"/>
          <w:sz w:val="24"/>
          <w:szCs w:val="24"/>
        </w:rPr>
        <w:t>better cardiac performance</w:t>
      </w:r>
      <w:r w:rsidRPr="00707417">
        <w:rPr>
          <w:rFonts w:ascii="Book Antiqua" w:hAnsi="Book Antiqua"/>
          <w:sz w:val="24"/>
          <w:szCs w:val="24"/>
          <w:vertAlign w:val="superscript"/>
        </w:rPr>
        <w:t>[25,43,44]</w:t>
      </w:r>
      <w:r w:rsidRPr="00707417">
        <w:rPr>
          <w:rFonts w:ascii="Book Antiqua" w:hAnsi="Book Antiqua"/>
          <w:sz w:val="24"/>
          <w:szCs w:val="24"/>
        </w:rPr>
        <w:t>.</w:t>
      </w:r>
      <w:r w:rsidR="00F62600" w:rsidRPr="00707417">
        <w:rPr>
          <w:rFonts w:ascii="Book Antiqua" w:hAnsi="Book Antiqua"/>
          <w:sz w:val="24"/>
          <w:szCs w:val="24"/>
        </w:rPr>
        <w:t xml:space="preserve"> </w:t>
      </w:r>
      <w:r w:rsidRPr="00707417">
        <w:rPr>
          <w:rFonts w:ascii="Book Antiqua" w:hAnsi="Book Antiqua"/>
          <w:sz w:val="24"/>
          <w:szCs w:val="24"/>
        </w:rPr>
        <w:t>Glucagon inotropic effect declines with</w:t>
      </w:r>
      <w:r w:rsidR="00F62600" w:rsidRPr="00707417">
        <w:rPr>
          <w:rFonts w:ascii="Book Antiqua" w:hAnsi="Book Antiqua"/>
          <w:sz w:val="24"/>
          <w:szCs w:val="24"/>
        </w:rPr>
        <w:t xml:space="preserve"> </w:t>
      </w:r>
      <w:r w:rsidRPr="00707417">
        <w:rPr>
          <w:rFonts w:ascii="Book Antiqua" w:hAnsi="Book Antiqua"/>
          <w:sz w:val="24"/>
          <w:szCs w:val="24"/>
        </w:rPr>
        <w:t>the failing heart which means that it could contribute to the maintaining of the heart function when heart failure is in its commencing stage. It has also anti-arrhythmogenic property</w:t>
      </w:r>
      <w:r w:rsidR="00F62600" w:rsidRPr="00707417">
        <w:rPr>
          <w:rFonts w:ascii="Book Antiqua" w:hAnsi="Book Antiqua"/>
          <w:sz w:val="24"/>
          <w:szCs w:val="24"/>
        </w:rPr>
        <w:t xml:space="preserve"> </w:t>
      </w:r>
      <w:r w:rsidRPr="00707417">
        <w:rPr>
          <w:rFonts w:ascii="Book Antiqua" w:hAnsi="Book Antiqua"/>
          <w:sz w:val="24"/>
          <w:szCs w:val="24"/>
        </w:rPr>
        <w:t>which may be linked to the reduction of sudden death</w:t>
      </w:r>
      <w:r w:rsidRPr="00707417">
        <w:rPr>
          <w:rFonts w:ascii="Book Antiqua" w:hAnsi="Book Antiqua"/>
          <w:sz w:val="24"/>
          <w:szCs w:val="24"/>
          <w:vertAlign w:val="superscript"/>
        </w:rPr>
        <w:t>[45]</w:t>
      </w:r>
      <w:r w:rsidRPr="00707417">
        <w:rPr>
          <w:rFonts w:ascii="Book Antiqua" w:hAnsi="Book Antiqua"/>
          <w:sz w:val="24"/>
          <w:szCs w:val="24"/>
        </w:rPr>
        <w:t>.</w:t>
      </w:r>
      <w:r w:rsidR="00F62600" w:rsidRPr="00707417">
        <w:rPr>
          <w:rFonts w:ascii="Book Antiqua" w:hAnsi="Book Antiqua"/>
          <w:sz w:val="24"/>
          <w:szCs w:val="24"/>
        </w:rPr>
        <w:t xml:space="preserve"> </w:t>
      </w:r>
      <w:r w:rsidRPr="00707417">
        <w:rPr>
          <w:rFonts w:ascii="Book Antiqua" w:hAnsi="Book Antiqua"/>
          <w:sz w:val="24"/>
          <w:szCs w:val="24"/>
        </w:rPr>
        <w:t xml:space="preserve">Moreover, glucagon is known for hepatic glucose production that could contribute to low risk of hypoglycemia with SGLT2 inhibition and it enhances ketogenesis, </w:t>
      </w:r>
      <w:r w:rsidRPr="00707417">
        <w:rPr>
          <w:rFonts w:ascii="Book Antiqua" w:hAnsi="Book Antiqua"/>
          <w:sz w:val="24"/>
          <w:szCs w:val="24"/>
          <w:lang w:val="en-GB"/>
        </w:rPr>
        <w:t>so the consequences of glucagon effects could account for SGLT2 inhibitors’ benefits even in non-diabetic patients</w:t>
      </w:r>
      <w:r w:rsidRPr="00707417">
        <w:rPr>
          <w:rFonts w:ascii="Book Antiqua" w:hAnsi="Book Antiqua"/>
          <w:sz w:val="24"/>
          <w:szCs w:val="24"/>
          <w:vertAlign w:val="superscript"/>
        </w:rPr>
        <w:t>[9,46,47]</w:t>
      </w:r>
      <w:r w:rsidRPr="00707417">
        <w:rPr>
          <w:rFonts w:ascii="Book Antiqua" w:hAnsi="Book Antiqua"/>
          <w:sz w:val="24"/>
          <w:szCs w:val="24"/>
        </w:rPr>
        <w:t>.</w:t>
      </w:r>
      <w:r w:rsidR="00F62600" w:rsidRPr="00707417">
        <w:rPr>
          <w:rFonts w:ascii="Book Antiqua" w:hAnsi="Book Antiqua"/>
          <w:sz w:val="24"/>
          <w:szCs w:val="24"/>
        </w:rPr>
        <w:t xml:space="preserve"> </w:t>
      </w:r>
      <w:r w:rsidRPr="00707417">
        <w:rPr>
          <w:rFonts w:ascii="Book Antiqua" w:hAnsi="Book Antiqua"/>
          <w:sz w:val="24"/>
          <w:szCs w:val="24"/>
        </w:rPr>
        <w:t>On the other hand, since this hormone has been traditionally considered harmful in diabetes, its activity regarding SGLT2 inhibition therapy needs to be further clarified</w:t>
      </w:r>
      <w:r w:rsidR="00BE33B6">
        <w:rPr>
          <w:rFonts w:ascii="Book Antiqua" w:hAnsi="Book Antiqua"/>
          <w:sz w:val="24"/>
          <w:szCs w:val="24"/>
        </w:rPr>
        <w:t>;</w:t>
      </w:r>
      <w:r w:rsidR="00BE33B6">
        <w:rPr>
          <w:rFonts w:ascii="Book Antiqua" w:hAnsi="Book Antiqua" w:hint="eastAsia"/>
          <w:sz w:val="24"/>
          <w:szCs w:val="24"/>
          <w:lang w:eastAsia="zh-CN"/>
        </w:rPr>
        <w:t xml:space="preserve"> </w:t>
      </w:r>
      <w:r w:rsidR="00BE33B6">
        <w:rPr>
          <w:rFonts w:ascii="Book Antiqua" w:hAnsi="Book Antiqua"/>
          <w:sz w:val="24"/>
          <w:szCs w:val="24"/>
          <w:lang w:eastAsia="zh-CN"/>
        </w:rPr>
        <w:t xml:space="preserve">(10) </w:t>
      </w:r>
      <w:r w:rsidRPr="00707417">
        <w:rPr>
          <w:rFonts w:ascii="Book Antiqua" w:hAnsi="Book Antiqua"/>
          <w:sz w:val="24"/>
          <w:szCs w:val="24"/>
        </w:rPr>
        <w:t>SGLT2 inhibitors can redirect metabolism from glucose to fatty acid oxidation. This augments the synthesis of ketones which release energy more efficiently than glucose or fatty acids and can be used as alternate fuel source in the failing heart. These findings could contribute to increased heart function observed with SGLT2 inhibitors even in non-diabetic patients but they need further investigation</w:t>
      </w:r>
      <w:r w:rsidRPr="00707417">
        <w:rPr>
          <w:rFonts w:ascii="Book Antiqua" w:hAnsi="Book Antiqua"/>
          <w:sz w:val="24"/>
          <w:szCs w:val="24"/>
          <w:vertAlign w:val="superscript"/>
        </w:rPr>
        <w:t>[47-51]</w:t>
      </w:r>
      <w:r w:rsidRPr="00707417">
        <w:rPr>
          <w:rFonts w:ascii="Book Antiqua" w:hAnsi="Book Antiqua"/>
          <w:sz w:val="24"/>
          <w:szCs w:val="24"/>
        </w:rPr>
        <w:t>.</w:t>
      </w:r>
      <w:r w:rsidR="00E840F4" w:rsidRPr="00707417">
        <w:rPr>
          <w:rFonts w:ascii="Book Antiqua" w:hAnsi="Book Antiqua"/>
          <w:sz w:val="24"/>
          <w:szCs w:val="24"/>
        </w:rPr>
        <w:t xml:space="preserve"> </w:t>
      </w:r>
      <w:r w:rsidRPr="00707417">
        <w:rPr>
          <w:rFonts w:ascii="Book Antiqua" w:hAnsi="Book Antiqua"/>
          <w:sz w:val="24"/>
          <w:szCs w:val="24"/>
        </w:rPr>
        <w:t>Ketone bodies participate in epigenetic and cellular signaling and have antioxidative and anti-inflammatory properties. Oxidative stress and inflammation are key contributors to the development of diabetic cardiomyopathy but also play a role in the pathophysiology of heart failure irrespective of diabetes</w:t>
      </w:r>
      <w:r w:rsidRPr="00707417">
        <w:rPr>
          <w:rFonts w:ascii="Book Antiqua" w:hAnsi="Book Antiqua"/>
          <w:sz w:val="24"/>
          <w:szCs w:val="24"/>
          <w:vertAlign w:val="superscript"/>
        </w:rPr>
        <w:t>[52-57]</w:t>
      </w:r>
      <w:r w:rsidR="00BE33B6">
        <w:rPr>
          <w:rFonts w:ascii="Book Antiqua" w:hAnsi="Book Antiqua"/>
          <w:sz w:val="24"/>
          <w:szCs w:val="24"/>
        </w:rPr>
        <w:t>;</w:t>
      </w:r>
      <w:r w:rsidR="00BE33B6">
        <w:rPr>
          <w:rFonts w:ascii="Book Antiqua" w:hAnsi="Book Antiqua" w:hint="eastAsia"/>
          <w:sz w:val="24"/>
          <w:szCs w:val="24"/>
          <w:lang w:eastAsia="zh-CN"/>
        </w:rPr>
        <w:t xml:space="preserve"> </w:t>
      </w:r>
      <w:r w:rsidR="00BE33B6">
        <w:rPr>
          <w:rFonts w:ascii="Book Antiqua" w:hAnsi="Book Antiqua"/>
          <w:sz w:val="24"/>
          <w:szCs w:val="24"/>
          <w:lang w:eastAsia="zh-CN"/>
        </w:rPr>
        <w:t xml:space="preserve">(11) </w:t>
      </w:r>
      <w:r w:rsidRPr="00707417">
        <w:rPr>
          <w:rFonts w:ascii="Book Antiqua" w:hAnsi="Book Antiqua"/>
          <w:sz w:val="24"/>
          <w:szCs w:val="24"/>
        </w:rPr>
        <w:t>From experimental animal models it is known that SGLT2 inhibitors exert systemic and cardiac anti-inflammatory effects</w:t>
      </w:r>
      <w:r w:rsidRPr="00707417">
        <w:rPr>
          <w:rFonts w:ascii="Book Antiqua" w:hAnsi="Book Antiqua"/>
          <w:sz w:val="24"/>
          <w:szCs w:val="24"/>
          <w:vertAlign w:val="superscript"/>
        </w:rPr>
        <w:t>[9]</w:t>
      </w:r>
      <w:r w:rsidRPr="00707417">
        <w:rPr>
          <w:rFonts w:ascii="Book Antiqua" w:hAnsi="Book Antiqua"/>
          <w:sz w:val="24"/>
          <w:szCs w:val="24"/>
        </w:rPr>
        <w:t>.</w:t>
      </w:r>
      <w:r w:rsidR="00E840F4" w:rsidRPr="00707417">
        <w:rPr>
          <w:rFonts w:ascii="Book Antiqua" w:hAnsi="Book Antiqua"/>
          <w:sz w:val="24"/>
          <w:szCs w:val="24"/>
        </w:rPr>
        <w:t xml:space="preserve"> </w:t>
      </w:r>
      <w:r w:rsidRPr="00707417">
        <w:rPr>
          <w:rFonts w:ascii="Book Antiqua" w:hAnsi="Book Antiqua"/>
          <w:sz w:val="24"/>
          <w:szCs w:val="24"/>
        </w:rPr>
        <w:t>For example, inflammatory M1 macrophages preferentially utilize glucose, so SGLT2 inhibitors could dampen inflammatory processes decreasing glucose flux and thus promoting polarization of macrophage phenotype to non-inflammatory</w:t>
      </w:r>
      <w:r w:rsidRPr="00707417">
        <w:rPr>
          <w:rFonts w:ascii="Book Antiqua" w:hAnsi="Book Antiqua"/>
          <w:sz w:val="24"/>
          <w:szCs w:val="24"/>
          <w:vertAlign w:val="superscript"/>
        </w:rPr>
        <w:t>[23]</w:t>
      </w:r>
      <w:r w:rsidRPr="00707417">
        <w:rPr>
          <w:rFonts w:ascii="Book Antiqua" w:hAnsi="Book Antiqua"/>
          <w:sz w:val="24"/>
          <w:szCs w:val="24"/>
        </w:rPr>
        <w:t>.</w:t>
      </w:r>
      <w:r w:rsidRPr="00707417">
        <w:rPr>
          <w:rFonts w:ascii="Book Antiqua" w:hAnsi="Book Antiqua"/>
          <w:color w:val="000000"/>
          <w:sz w:val="24"/>
          <w:szCs w:val="24"/>
          <w:shd w:val="clear" w:color="auto" w:fill="FFFFFF"/>
        </w:rPr>
        <w:t xml:space="preserve"> Treatment with SGLT2 inhibitors also showed reduction in pro-inflammatory </w:t>
      </w:r>
      <w:r w:rsidRPr="00707417">
        <w:rPr>
          <w:rFonts w:ascii="Book Antiqua" w:hAnsi="Book Antiqua"/>
          <w:color w:val="000000"/>
          <w:sz w:val="24"/>
          <w:szCs w:val="24"/>
          <w:shd w:val="clear" w:color="auto" w:fill="FFFFFF"/>
        </w:rPr>
        <w:lastRenderedPageBreak/>
        <w:t>cytokines profile such as TNFα and IL-6</w:t>
      </w:r>
      <w:r w:rsidRPr="00707417">
        <w:rPr>
          <w:rFonts w:ascii="Book Antiqua" w:hAnsi="Book Antiqua"/>
          <w:sz w:val="24"/>
          <w:szCs w:val="24"/>
          <w:vertAlign w:val="superscript"/>
        </w:rPr>
        <w:t>[9]</w:t>
      </w:r>
      <w:r w:rsidRPr="00707417">
        <w:rPr>
          <w:rFonts w:ascii="Book Antiqua" w:hAnsi="Book Antiqua"/>
          <w:sz w:val="24"/>
          <w:szCs w:val="24"/>
        </w:rPr>
        <w:t>. As it was stated before, inflammation is one of the mechanisms involved in diabetic cardiomyopathy pathogenesis but also plays a role in the failing heart irrespective of diabetes. Furthermore, heart failure and inflammation are strongly connected and mutually enhance each other creating a vicious circle</w:t>
      </w:r>
      <w:r w:rsidRPr="00707417">
        <w:rPr>
          <w:rFonts w:ascii="Book Antiqua" w:hAnsi="Book Antiqua"/>
          <w:sz w:val="24"/>
          <w:szCs w:val="24"/>
          <w:vertAlign w:val="superscript"/>
        </w:rPr>
        <w:t>[58]</w:t>
      </w:r>
      <w:r w:rsidRPr="00707417">
        <w:rPr>
          <w:rFonts w:ascii="Book Antiqua" w:hAnsi="Book Antiqua"/>
          <w:sz w:val="24"/>
          <w:szCs w:val="24"/>
        </w:rPr>
        <w:t>.</w:t>
      </w:r>
      <w:r w:rsidR="00E840F4" w:rsidRPr="00707417">
        <w:rPr>
          <w:rFonts w:ascii="Book Antiqua" w:hAnsi="Book Antiqua"/>
          <w:sz w:val="24"/>
          <w:szCs w:val="24"/>
        </w:rPr>
        <w:t xml:space="preserve"> </w:t>
      </w:r>
      <w:r w:rsidRPr="00707417">
        <w:rPr>
          <w:rFonts w:ascii="Book Antiqua" w:hAnsi="Book Antiqua"/>
          <w:sz w:val="24"/>
          <w:szCs w:val="24"/>
        </w:rPr>
        <w:t>No doubt that SGLT2 inhibitors’ anti-inflammatory capacities could be beneficial in the failing heart, but more studies in humans are needed</w:t>
      </w:r>
      <w:r w:rsidR="00BE33B6">
        <w:rPr>
          <w:rFonts w:ascii="Book Antiqua" w:hAnsi="Book Antiqua"/>
          <w:sz w:val="24"/>
          <w:szCs w:val="24"/>
        </w:rPr>
        <w:t>;</w:t>
      </w:r>
      <w:r w:rsidR="00BE33B6">
        <w:rPr>
          <w:rFonts w:ascii="Book Antiqua" w:hAnsi="Book Antiqua" w:hint="eastAsia"/>
          <w:sz w:val="24"/>
          <w:szCs w:val="24"/>
          <w:lang w:eastAsia="zh-CN"/>
        </w:rPr>
        <w:t xml:space="preserve"> </w:t>
      </w:r>
      <w:r w:rsidR="00BE33B6">
        <w:rPr>
          <w:rFonts w:ascii="Book Antiqua" w:hAnsi="Book Antiqua"/>
          <w:sz w:val="24"/>
          <w:szCs w:val="24"/>
          <w:lang w:eastAsia="zh-CN"/>
        </w:rPr>
        <w:t xml:space="preserve">(12) </w:t>
      </w:r>
      <w:r w:rsidRPr="00707417">
        <w:rPr>
          <w:rFonts w:ascii="Book Antiqua" w:hAnsi="Book Antiqua"/>
          <w:sz w:val="24"/>
          <w:szCs w:val="24"/>
        </w:rPr>
        <w:t xml:space="preserve">SGLT2 inhibition is associated to antifibrotic effects in animal models. According to the study of Lin </w:t>
      </w:r>
      <w:r w:rsidRPr="00707417">
        <w:rPr>
          <w:rFonts w:ascii="Book Antiqua" w:hAnsi="Book Antiqua"/>
          <w:i/>
          <w:sz w:val="24"/>
          <w:szCs w:val="24"/>
        </w:rPr>
        <w:t>et al</w:t>
      </w:r>
      <w:r w:rsidR="00BE33B6" w:rsidRPr="00707417">
        <w:rPr>
          <w:rFonts w:ascii="Book Antiqua" w:hAnsi="Book Antiqua"/>
          <w:sz w:val="24"/>
          <w:szCs w:val="24"/>
          <w:vertAlign w:val="superscript"/>
        </w:rPr>
        <w:t>[59]</w:t>
      </w:r>
      <w:r w:rsidR="00BE33B6" w:rsidRPr="00BE33B6">
        <w:rPr>
          <w:rFonts w:ascii="Book Antiqua" w:hAnsi="Book Antiqua"/>
          <w:sz w:val="24"/>
          <w:szCs w:val="24"/>
        </w:rPr>
        <w:t xml:space="preserve"> </w:t>
      </w:r>
      <w:r w:rsidRPr="00707417">
        <w:rPr>
          <w:rFonts w:ascii="Book Antiqua" w:hAnsi="Book Antiqua"/>
          <w:sz w:val="24"/>
          <w:szCs w:val="24"/>
        </w:rPr>
        <w:t>empagliflozin significantly ameliorated pericoronary arterial fibrosis, cardiac interstitial fibrosis, coronary arterial thickening, cardiac interstitial macrophage infiltration and cardiac superoxide levels in db/db mice. The authors also stated that the observations might be attributable to the attenuation of oxidative stress. Recently, in a randomized trial with empagliflozin (EMPA HEART CardioLink-6 trial) it has been shown that empagliflozin caused a reduction in left ventricular mass index assessed by cardiac magnetic resonance imaging over a 6-month period in patients with type 2 diabetes mellitus and coronary disease</w:t>
      </w:r>
      <w:r w:rsidRPr="00707417">
        <w:rPr>
          <w:rFonts w:ascii="Book Antiqua" w:hAnsi="Book Antiqua"/>
          <w:sz w:val="24"/>
          <w:szCs w:val="24"/>
          <w:vertAlign w:val="superscript"/>
        </w:rPr>
        <w:t>[60]</w:t>
      </w:r>
      <w:r w:rsidRPr="00707417">
        <w:rPr>
          <w:rFonts w:ascii="Book Antiqua" w:hAnsi="Book Antiqua"/>
          <w:sz w:val="24"/>
          <w:szCs w:val="24"/>
        </w:rPr>
        <w:t>. The issue of antifibrotic effects needs further investigation in humans since it could be of great importance in heart failure and cardiac reverse remodeling</w:t>
      </w:r>
      <w:r w:rsidR="00BE33B6">
        <w:rPr>
          <w:rFonts w:ascii="Book Antiqua" w:hAnsi="Book Antiqua"/>
          <w:sz w:val="24"/>
          <w:szCs w:val="24"/>
        </w:rPr>
        <w:t xml:space="preserve">; </w:t>
      </w:r>
      <w:r w:rsidR="00BE33B6">
        <w:rPr>
          <w:rFonts w:ascii="Book Antiqua" w:hAnsi="Book Antiqua"/>
          <w:sz w:val="24"/>
          <w:szCs w:val="24"/>
          <w:lang w:eastAsia="zh-CN"/>
        </w:rPr>
        <w:t xml:space="preserve">(13) </w:t>
      </w:r>
      <w:r w:rsidRPr="00707417">
        <w:rPr>
          <w:rFonts w:ascii="Book Antiqua" w:hAnsi="Book Antiqua"/>
          <w:sz w:val="24"/>
          <w:szCs w:val="24"/>
        </w:rPr>
        <w:t>Antioxidative features are attributable to SGLT2 inhibitors as it was shown in animal experiments</w:t>
      </w:r>
      <w:r w:rsidRPr="00707417">
        <w:rPr>
          <w:rFonts w:ascii="Book Antiqua" w:hAnsi="Book Antiqua"/>
          <w:sz w:val="24"/>
          <w:szCs w:val="24"/>
          <w:vertAlign w:val="superscript"/>
        </w:rPr>
        <w:t>[9]</w:t>
      </w:r>
      <w:r w:rsidRPr="00707417">
        <w:rPr>
          <w:rFonts w:ascii="Book Antiqua" w:hAnsi="Book Antiqua"/>
          <w:sz w:val="24"/>
          <w:szCs w:val="24"/>
        </w:rPr>
        <w:t>. Oxidative stress plays an important role in the pathogenesis of cardiac remodeling, and substantial evidence indicate that oxidative stress is increased both in the myocardium and systemically in patients with heart failure</w:t>
      </w:r>
      <w:r w:rsidRPr="00707417">
        <w:rPr>
          <w:rFonts w:ascii="Book Antiqua" w:hAnsi="Book Antiqua"/>
          <w:sz w:val="24"/>
          <w:szCs w:val="24"/>
          <w:vertAlign w:val="superscript"/>
        </w:rPr>
        <w:t>[56]</w:t>
      </w:r>
      <w:r w:rsidR="00BE33B6">
        <w:rPr>
          <w:rFonts w:ascii="Book Antiqua" w:hAnsi="Book Antiqua"/>
          <w:sz w:val="24"/>
          <w:szCs w:val="24"/>
        </w:rPr>
        <w:t>;</w:t>
      </w:r>
      <w:r w:rsidR="00BE33B6">
        <w:rPr>
          <w:rFonts w:ascii="Book Antiqua" w:hAnsi="Book Antiqua" w:hint="eastAsia"/>
          <w:sz w:val="24"/>
          <w:szCs w:val="24"/>
          <w:lang w:eastAsia="zh-CN"/>
        </w:rPr>
        <w:t xml:space="preserve"> </w:t>
      </w:r>
      <w:r w:rsidR="00BE33B6">
        <w:rPr>
          <w:rFonts w:ascii="Book Antiqua" w:hAnsi="Book Antiqua"/>
          <w:sz w:val="24"/>
          <w:szCs w:val="24"/>
          <w:lang w:eastAsia="zh-CN"/>
        </w:rPr>
        <w:t xml:space="preserve">(14) </w:t>
      </w:r>
      <w:r w:rsidRPr="00707417">
        <w:rPr>
          <w:rFonts w:ascii="Book Antiqua" w:hAnsi="Book Antiqua"/>
          <w:sz w:val="24"/>
          <w:szCs w:val="24"/>
        </w:rPr>
        <w:t>By current evidence from experimental animal models SGLT2 inhibitors attenuate apoptosis of myocardial cells in models of myocardial ischaemia-reperfusion injury and diabetic cardiomyopathy which could be very important since apoptosis is likely to play an important role in heart failure</w:t>
      </w:r>
      <w:r w:rsidRPr="00707417">
        <w:rPr>
          <w:rFonts w:ascii="Book Antiqua" w:hAnsi="Book Antiqua"/>
          <w:sz w:val="24"/>
          <w:szCs w:val="24"/>
          <w:vertAlign w:val="superscript"/>
        </w:rPr>
        <w:t>[9,61]</w:t>
      </w:r>
      <w:r w:rsidRPr="00707417">
        <w:rPr>
          <w:rFonts w:ascii="Book Antiqua" w:hAnsi="Book Antiqua"/>
          <w:sz w:val="24"/>
          <w:szCs w:val="24"/>
        </w:rPr>
        <w:t>. Nevertheless, further clarification is required</w:t>
      </w:r>
      <w:r w:rsidR="00BE33B6">
        <w:rPr>
          <w:rFonts w:ascii="Book Antiqua" w:hAnsi="Book Antiqua"/>
          <w:sz w:val="24"/>
          <w:szCs w:val="24"/>
        </w:rPr>
        <w:t xml:space="preserve">; </w:t>
      </w:r>
      <w:r w:rsidR="00BE33B6">
        <w:rPr>
          <w:rFonts w:ascii="Book Antiqua" w:hAnsi="Book Antiqua"/>
          <w:sz w:val="24"/>
          <w:szCs w:val="24"/>
          <w:lang w:eastAsia="zh-CN"/>
        </w:rPr>
        <w:t xml:space="preserve">(15) </w:t>
      </w:r>
      <w:r w:rsidRPr="00707417">
        <w:rPr>
          <w:rFonts w:ascii="Book Antiqua" w:hAnsi="Book Antiqua"/>
          <w:sz w:val="24"/>
          <w:szCs w:val="24"/>
        </w:rPr>
        <w:t>SGLT2 inhibitors could reestablish the balance between pro- and anti-inflammatory adipokines that can influence</w:t>
      </w:r>
      <w:r w:rsidR="00E840F4" w:rsidRPr="00707417">
        <w:rPr>
          <w:rFonts w:ascii="Book Antiqua" w:hAnsi="Book Antiqua"/>
          <w:sz w:val="24"/>
          <w:szCs w:val="24"/>
        </w:rPr>
        <w:t xml:space="preserve"> </w:t>
      </w:r>
      <w:r w:rsidRPr="00707417">
        <w:rPr>
          <w:rFonts w:ascii="Book Antiqua" w:hAnsi="Book Antiqua"/>
          <w:sz w:val="24"/>
          <w:szCs w:val="24"/>
        </w:rPr>
        <w:t>atherosclerosis, insulin resistance, inflammation, coagulation and fibrinolysis</w:t>
      </w:r>
      <w:r w:rsidRPr="00707417">
        <w:rPr>
          <w:rFonts w:ascii="Book Antiqua" w:hAnsi="Book Antiqua"/>
          <w:sz w:val="24"/>
          <w:szCs w:val="24"/>
          <w:vertAlign w:val="superscript"/>
        </w:rPr>
        <w:t>[15,62</w:t>
      </w:r>
      <w:r w:rsidRPr="00707417">
        <w:rPr>
          <w:rFonts w:ascii="Book Antiqua" w:hAnsi="Book Antiqua" w:cs="Calibri"/>
          <w:sz w:val="24"/>
          <w:szCs w:val="24"/>
          <w:vertAlign w:val="superscript"/>
          <w:lang w:val="en-GB"/>
        </w:rPr>
        <w:t>]</w:t>
      </w:r>
      <w:r w:rsidRPr="00707417">
        <w:rPr>
          <w:rFonts w:ascii="Book Antiqua" w:hAnsi="Book Antiqua" w:cs="Calibri"/>
          <w:sz w:val="24"/>
          <w:szCs w:val="24"/>
          <w:lang w:val="en-GB"/>
        </w:rPr>
        <w:t xml:space="preserve">. </w:t>
      </w:r>
      <w:r w:rsidRPr="00707417">
        <w:rPr>
          <w:rFonts w:ascii="Book Antiqua" w:hAnsi="Book Antiqua"/>
          <w:sz w:val="24"/>
          <w:szCs w:val="24"/>
        </w:rPr>
        <w:t>Additionally, perivascular and epicardial fat, through altered paracrine regulation of adipokines, is implicated in pathogenesis of heart failure</w:t>
      </w:r>
      <w:r w:rsidRPr="00707417">
        <w:rPr>
          <w:rFonts w:ascii="Book Antiqua" w:hAnsi="Book Antiqua"/>
          <w:sz w:val="24"/>
          <w:szCs w:val="24"/>
          <w:vertAlign w:val="superscript"/>
        </w:rPr>
        <w:t>[63]</w:t>
      </w:r>
      <w:r w:rsidRPr="00707417">
        <w:rPr>
          <w:rFonts w:ascii="Book Antiqua" w:hAnsi="Book Antiqua"/>
          <w:sz w:val="24"/>
          <w:szCs w:val="24"/>
        </w:rPr>
        <w:t>.</w:t>
      </w:r>
      <w:r w:rsidR="00E840F4" w:rsidRPr="00707417">
        <w:rPr>
          <w:rFonts w:ascii="Book Antiqua" w:hAnsi="Book Antiqua"/>
          <w:sz w:val="24"/>
          <w:szCs w:val="24"/>
        </w:rPr>
        <w:t xml:space="preserve"> </w:t>
      </w:r>
      <w:r w:rsidRPr="00707417">
        <w:rPr>
          <w:rFonts w:ascii="Book Antiqua" w:hAnsi="Book Antiqua"/>
          <w:sz w:val="24"/>
          <w:szCs w:val="24"/>
        </w:rPr>
        <w:t xml:space="preserve">According to the study of Sato </w:t>
      </w:r>
      <w:r w:rsidRPr="00707417">
        <w:rPr>
          <w:rFonts w:ascii="Book Antiqua" w:hAnsi="Book Antiqua"/>
          <w:i/>
          <w:sz w:val="24"/>
          <w:szCs w:val="24"/>
        </w:rPr>
        <w:t>et al</w:t>
      </w:r>
      <w:r w:rsidR="006C3D29" w:rsidRPr="00707417">
        <w:rPr>
          <w:rFonts w:ascii="Book Antiqua" w:hAnsi="Book Antiqua"/>
          <w:sz w:val="24"/>
          <w:szCs w:val="24"/>
          <w:vertAlign w:val="superscript"/>
        </w:rPr>
        <w:t>[64]</w:t>
      </w:r>
      <w:r w:rsidR="00E840F4" w:rsidRPr="00707417">
        <w:rPr>
          <w:rFonts w:ascii="Book Antiqua" w:hAnsi="Book Antiqua"/>
          <w:sz w:val="24"/>
          <w:szCs w:val="24"/>
        </w:rPr>
        <w:t xml:space="preserve"> </w:t>
      </w:r>
      <w:r w:rsidRPr="00707417">
        <w:rPr>
          <w:rFonts w:ascii="Book Antiqua" w:hAnsi="Book Antiqua"/>
          <w:sz w:val="24"/>
          <w:szCs w:val="24"/>
        </w:rPr>
        <w:t xml:space="preserve">dapagliflozin might reduce epicardial adipose tissue volume and in this way could contribute to heart failure reduction risk while canagliflozin, in comparison </w:t>
      </w:r>
      <w:r w:rsidRPr="00707417">
        <w:rPr>
          <w:rFonts w:ascii="Book Antiqua" w:hAnsi="Book Antiqua"/>
          <w:sz w:val="24"/>
          <w:szCs w:val="24"/>
        </w:rPr>
        <w:lastRenderedPageBreak/>
        <w:t>with glimepiride, reduces serum leptin levels and increases the levels of the anti-inflammatory adipokine adiponecti</w:t>
      </w:r>
      <w:r w:rsidRPr="00707417">
        <w:rPr>
          <w:rFonts w:ascii="Book Antiqua" w:hAnsi="Book Antiqua"/>
          <w:sz w:val="24"/>
          <w:szCs w:val="24"/>
          <w:lang w:val="en-GB"/>
        </w:rPr>
        <w:t>n</w:t>
      </w:r>
      <w:r w:rsidRPr="00707417">
        <w:rPr>
          <w:rFonts w:ascii="Book Antiqua" w:hAnsi="Book Antiqua"/>
          <w:sz w:val="24"/>
          <w:szCs w:val="24"/>
          <w:vertAlign w:val="superscript"/>
        </w:rPr>
        <w:t>[65]</w:t>
      </w:r>
      <w:r w:rsidR="00BE33B6">
        <w:rPr>
          <w:rFonts w:ascii="Book Antiqua" w:hAnsi="Book Antiqua"/>
          <w:sz w:val="24"/>
          <w:szCs w:val="24"/>
        </w:rPr>
        <w:t xml:space="preserve">; </w:t>
      </w:r>
      <w:r w:rsidR="00BE33B6">
        <w:rPr>
          <w:rFonts w:ascii="Book Antiqua" w:hAnsi="Book Antiqua"/>
          <w:sz w:val="24"/>
          <w:szCs w:val="24"/>
          <w:lang w:eastAsia="zh-CN"/>
        </w:rPr>
        <w:t xml:space="preserve">(16) </w:t>
      </w:r>
      <w:r w:rsidRPr="00707417">
        <w:rPr>
          <w:rFonts w:ascii="Book Antiqua" w:hAnsi="Book Antiqua"/>
          <w:sz w:val="24"/>
          <w:szCs w:val="24"/>
        </w:rPr>
        <w:t>SGLT2 inhibitors could exert direct cardiac effect through sodium-hydrogen exchange inhibition. This may lead to a reduction in cardiac remodeling, injury, hypertrophy, fibrosis, and systolic dysfunction, as well as reduce cytoplasmic sodium and calcium levels, while increasing mitochondrial calcium levels</w:t>
      </w:r>
      <w:r w:rsidRPr="00707417">
        <w:rPr>
          <w:rFonts w:ascii="Book Antiqua" w:hAnsi="Book Antiqua"/>
          <w:sz w:val="24"/>
          <w:szCs w:val="24"/>
          <w:vertAlign w:val="superscript"/>
        </w:rPr>
        <w:t>[66,67]</w:t>
      </w:r>
      <w:r w:rsidRPr="00707417">
        <w:rPr>
          <w:rFonts w:ascii="Book Antiqua" w:hAnsi="Book Antiqua"/>
          <w:sz w:val="24"/>
          <w:szCs w:val="24"/>
        </w:rPr>
        <w:t>. Since heart failure is associated with intracellular cardiomyocyte sodium and calcium loading, this could affect the origin of heart failure</w:t>
      </w:r>
      <w:r w:rsidRPr="00707417">
        <w:rPr>
          <w:rFonts w:ascii="Book Antiqua" w:hAnsi="Book Antiqua"/>
          <w:sz w:val="24"/>
          <w:szCs w:val="24"/>
          <w:vertAlign w:val="superscript"/>
        </w:rPr>
        <w:t>[68,69]</w:t>
      </w:r>
      <w:r w:rsidR="00BE33B6">
        <w:rPr>
          <w:rFonts w:ascii="Book Antiqua" w:hAnsi="Book Antiqua"/>
          <w:sz w:val="24"/>
          <w:szCs w:val="24"/>
        </w:rPr>
        <w:t>;</w:t>
      </w:r>
      <w:r w:rsidR="00BE33B6">
        <w:rPr>
          <w:rFonts w:ascii="Book Antiqua" w:hAnsi="Book Antiqua" w:hint="eastAsia"/>
          <w:sz w:val="24"/>
          <w:szCs w:val="24"/>
          <w:lang w:eastAsia="zh-CN"/>
        </w:rPr>
        <w:t xml:space="preserve"> </w:t>
      </w:r>
      <w:r w:rsidR="00BE33B6">
        <w:rPr>
          <w:rFonts w:ascii="Book Antiqua" w:hAnsi="Book Antiqua"/>
          <w:sz w:val="24"/>
          <w:szCs w:val="24"/>
          <w:lang w:eastAsia="zh-CN"/>
        </w:rPr>
        <w:t xml:space="preserve">(17) </w:t>
      </w:r>
      <w:r w:rsidRPr="00707417">
        <w:rPr>
          <w:rFonts w:ascii="Book Antiqua" w:hAnsi="Book Antiqua"/>
          <w:sz w:val="24"/>
          <w:szCs w:val="24"/>
        </w:rPr>
        <w:t>SGLT2 inihibitors could modulate electrophysiology in the heart. Besides the already mentioned glucagon anti-arrhythmogenic effect, one retrospective study showed that treatment with SGLT2 inhibitors reverses ventricular repolarization heterogeneity in people with type 2 diabetes, independently of their effect on glycemic contro</w:t>
      </w:r>
      <w:r w:rsidRPr="00707417">
        <w:rPr>
          <w:rFonts w:ascii="Book Antiqua" w:hAnsi="Book Antiqua"/>
          <w:sz w:val="24"/>
          <w:szCs w:val="24"/>
          <w:lang w:val="en-GB"/>
        </w:rPr>
        <w:t>l</w:t>
      </w:r>
      <w:r w:rsidRPr="00707417">
        <w:rPr>
          <w:rFonts w:ascii="Book Antiqua" w:hAnsi="Book Antiqua"/>
          <w:sz w:val="24"/>
          <w:szCs w:val="24"/>
          <w:vertAlign w:val="superscript"/>
        </w:rPr>
        <w:t>[70]</w:t>
      </w:r>
      <w:r w:rsidRPr="00707417">
        <w:rPr>
          <w:rFonts w:ascii="Book Antiqua" w:hAnsi="Book Antiqua"/>
          <w:sz w:val="24"/>
          <w:szCs w:val="24"/>
        </w:rPr>
        <w:t>.</w:t>
      </w:r>
      <w:r w:rsidR="00E840F4" w:rsidRPr="00707417">
        <w:rPr>
          <w:rFonts w:ascii="Book Antiqua" w:hAnsi="Book Antiqua"/>
          <w:sz w:val="24"/>
          <w:szCs w:val="24"/>
        </w:rPr>
        <w:t xml:space="preserve"> </w:t>
      </w:r>
      <w:r w:rsidRPr="00707417">
        <w:rPr>
          <w:rFonts w:ascii="Book Antiqua" w:hAnsi="Book Antiqua"/>
          <w:sz w:val="24"/>
          <w:szCs w:val="24"/>
        </w:rPr>
        <w:t>The findings may be linked to the reduction of fatal arrhythmias and thus reduced cardiovascular death seen with the SGLT2 inhibition so</w:t>
      </w:r>
      <w:r w:rsidRPr="00707417">
        <w:rPr>
          <w:rFonts w:ascii="Book Antiqua" w:hAnsi="Book Antiqua"/>
          <w:sz w:val="24"/>
          <w:szCs w:val="24"/>
          <w:lang w:val="en-GB"/>
        </w:rPr>
        <w:t xml:space="preserve"> more studies on mechanisms of arrhythmias and SGLT2 inhibition are encouraged</w:t>
      </w:r>
      <w:r w:rsidR="00BE33B6">
        <w:rPr>
          <w:rFonts w:ascii="Book Antiqua" w:hAnsi="Book Antiqua" w:cs="Calibri"/>
          <w:color w:val="000000"/>
          <w:sz w:val="24"/>
          <w:szCs w:val="24"/>
          <w:shd w:val="clear" w:color="auto" w:fill="FFFFFF"/>
          <w:lang w:val="en-GB"/>
        </w:rPr>
        <w:t>;</w:t>
      </w:r>
      <w:r w:rsidR="00BE33B6">
        <w:rPr>
          <w:rFonts w:ascii="Book Antiqua" w:hAnsi="Book Antiqua" w:hint="eastAsia"/>
          <w:sz w:val="24"/>
          <w:szCs w:val="24"/>
          <w:lang w:eastAsia="zh-CN"/>
        </w:rPr>
        <w:t xml:space="preserve"> </w:t>
      </w:r>
      <w:r w:rsidR="00BE33B6">
        <w:rPr>
          <w:rFonts w:ascii="Book Antiqua" w:hAnsi="Book Antiqua"/>
          <w:sz w:val="24"/>
          <w:szCs w:val="24"/>
          <w:lang w:eastAsia="zh-CN"/>
        </w:rPr>
        <w:t xml:space="preserve">and (18) </w:t>
      </w:r>
      <w:r w:rsidRPr="00707417">
        <w:rPr>
          <w:rFonts w:ascii="Book Antiqua" w:hAnsi="Book Antiqua" w:cs="Calibri"/>
          <w:color w:val="000000"/>
          <w:sz w:val="24"/>
          <w:szCs w:val="24"/>
          <w:shd w:val="clear" w:color="auto" w:fill="FFFFFF"/>
        </w:rPr>
        <w:t>The effects of SGLT2 inhibitors on plasma biomarker N-terminal pro-brain natriuretic peptide (NT-proBNP)</w:t>
      </w:r>
      <w:r w:rsidR="00E840F4" w:rsidRPr="00707417">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have been inconsistent</w:t>
      </w:r>
      <w:r w:rsidR="00E840F4" w:rsidRPr="00707417">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in studies on humans and in experimental studies</w:t>
      </w:r>
      <w:r w:rsidRPr="00707417">
        <w:rPr>
          <w:rFonts w:ascii="Book Antiqua" w:hAnsi="Book Antiqua"/>
          <w:sz w:val="24"/>
          <w:szCs w:val="24"/>
          <w:vertAlign w:val="superscript"/>
        </w:rPr>
        <w:t>[39,71-73]</w:t>
      </w:r>
      <w:r w:rsidRPr="00707417">
        <w:rPr>
          <w:rFonts w:ascii="Book Antiqua" w:hAnsi="Book Antiqua"/>
          <w:sz w:val="24"/>
          <w:szCs w:val="24"/>
        </w:rPr>
        <w:t>.</w:t>
      </w:r>
      <w:r w:rsidR="00E840F4" w:rsidRPr="00707417">
        <w:rPr>
          <w:rFonts w:ascii="Book Antiqua" w:hAnsi="Book Antiqua"/>
          <w:sz w:val="24"/>
          <w:szCs w:val="24"/>
        </w:rPr>
        <w:t xml:space="preserve"> </w:t>
      </w:r>
      <w:r w:rsidRPr="00707417">
        <w:rPr>
          <w:rFonts w:ascii="Book Antiqua" w:hAnsi="Book Antiqua" w:cs="Calibri"/>
          <w:color w:val="000000"/>
          <w:sz w:val="24"/>
          <w:szCs w:val="24"/>
          <w:shd w:val="clear" w:color="auto" w:fill="FFFFFF"/>
        </w:rPr>
        <w:t xml:space="preserve">To better elucidate SGLT2 inhibitors’ action, it would be appropriate to determine their effects on NT-proBNP and other natriuretic peptides in patients with developed heart failure as well as in asymptomatic individuals. There are interesting findings of Majowicz </w:t>
      </w:r>
      <w:r w:rsidRPr="00707417">
        <w:rPr>
          <w:rFonts w:ascii="Book Antiqua" w:hAnsi="Book Antiqua" w:cs="Calibri"/>
          <w:i/>
          <w:color w:val="000000"/>
          <w:sz w:val="24"/>
          <w:szCs w:val="24"/>
          <w:shd w:val="clear" w:color="auto" w:fill="FFFFFF"/>
        </w:rPr>
        <w:t>et al</w:t>
      </w:r>
      <w:r w:rsidR="00BE33B6" w:rsidRPr="00707417">
        <w:rPr>
          <w:rFonts w:ascii="Book Antiqua" w:hAnsi="Book Antiqua"/>
          <w:sz w:val="24"/>
          <w:szCs w:val="24"/>
          <w:vertAlign w:val="superscript"/>
        </w:rPr>
        <w:t>[74]</w:t>
      </w:r>
      <w:r w:rsidRPr="00707417">
        <w:rPr>
          <w:rFonts w:ascii="Book Antiqua" w:hAnsi="Book Antiqua" w:cs="Calibri"/>
          <w:color w:val="000000"/>
          <w:sz w:val="24"/>
          <w:szCs w:val="24"/>
          <w:shd w:val="clear" w:color="auto" w:fill="FFFFFF"/>
        </w:rPr>
        <w:t xml:space="preserve"> with the atrial natriuretic peptide (ANP) and endothelin-3</w:t>
      </w:r>
      <w:r w:rsidRPr="00707417">
        <w:rPr>
          <w:rFonts w:ascii="Book Antiqua" w:hAnsi="Book Antiqua"/>
          <w:sz w:val="24"/>
          <w:szCs w:val="24"/>
        </w:rPr>
        <w:t>.</w:t>
      </w:r>
      <w:r w:rsidR="00E840F4" w:rsidRPr="00707417">
        <w:rPr>
          <w:rFonts w:ascii="Book Antiqua" w:hAnsi="Book Antiqua"/>
          <w:sz w:val="24"/>
          <w:szCs w:val="24"/>
        </w:rPr>
        <w:t xml:space="preserve"> </w:t>
      </w:r>
      <w:r w:rsidRPr="00707417">
        <w:rPr>
          <w:rFonts w:ascii="Book Antiqua" w:hAnsi="Book Antiqua" w:cs="Calibri"/>
          <w:color w:val="000000"/>
          <w:sz w:val="24"/>
          <w:szCs w:val="24"/>
          <w:shd w:val="clear" w:color="auto" w:fill="FFFFFF"/>
        </w:rPr>
        <w:t>In their study, it has</w:t>
      </w:r>
      <w:r w:rsidR="00E840F4" w:rsidRPr="00707417">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 xml:space="preserve">been shown that these vasoactive agents inhibit SGLT2 activity in the kidney. If SGLT2 transporters would be inhibited </w:t>
      </w:r>
      <w:r w:rsidRPr="006C3D29">
        <w:rPr>
          <w:rFonts w:ascii="Book Antiqua" w:hAnsi="Book Antiqua" w:cs="Calibri"/>
          <w:i/>
          <w:iCs/>
          <w:color w:val="000000"/>
          <w:sz w:val="24"/>
          <w:szCs w:val="24"/>
          <w:shd w:val="clear" w:color="auto" w:fill="FFFFFF"/>
        </w:rPr>
        <w:t>via</w:t>
      </w:r>
      <w:r w:rsidRPr="00707417">
        <w:rPr>
          <w:rFonts w:ascii="Book Antiqua" w:hAnsi="Book Antiqua" w:cs="Calibri"/>
          <w:color w:val="000000"/>
          <w:sz w:val="24"/>
          <w:szCs w:val="24"/>
          <w:shd w:val="clear" w:color="auto" w:fill="FFFFFF"/>
        </w:rPr>
        <w:t xml:space="preserve"> SGLT2 inhibitors, ANP could exert and enhance other functions besides its natriuretic and diuretic actions, for example inhibition of RAAS and aldosterone production, protection against angiotensin II induced cardiac remodeling by minimizing macrophage infiltration and expression of pro-inflammatory factors, and modulation of arterial and cardiac baroreflex mechanism, </w:t>
      </w:r>
      <w:r w:rsidRPr="00707417">
        <w:rPr>
          <w:rFonts w:ascii="Book Antiqua" w:hAnsi="Book Antiqua" w:cs="Calibri"/>
          <w:i/>
          <w:color w:val="000000"/>
          <w:sz w:val="24"/>
          <w:szCs w:val="24"/>
          <w:shd w:val="clear" w:color="auto" w:fill="FFFFFF"/>
        </w:rPr>
        <w:t>e.g.</w:t>
      </w:r>
      <w:r w:rsidR="00BE33B6" w:rsidRPr="00BE33B6">
        <w:rPr>
          <w:rFonts w:ascii="Book Antiqua" w:hAnsi="Book Antiqua" w:cs="Calibri"/>
          <w:iCs/>
          <w:color w:val="000000"/>
          <w:sz w:val="24"/>
          <w:szCs w:val="24"/>
          <w:shd w:val="clear" w:color="auto" w:fill="FFFFFF"/>
        </w:rPr>
        <w:t>,</w:t>
      </w:r>
      <w:r w:rsidRPr="00707417">
        <w:rPr>
          <w:rFonts w:ascii="Book Antiqua" w:hAnsi="Book Antiqua" w:cs="Calibri"/>
          <w:color w:val="000000"/>
          <w:sz w:val="24"/>
          <w:szCs w:val="24"/>
          <w:shd w:val="clear" w:color="auto" w:fill="FFFFFF"/>
        </w:rPr>
        <w:t xml:space="preserve"> blunting sympathetic response. This could also give synergic effect with neprilysin inhibitors. The hypothesis still needs to be tested but theoretically it could partially contribute to SGLT2 inhibitors’ cardioprotection, in asymptomatic left ventricle dysfunction and especially in the failing heart where the natriuretic peptides are significantly elevated</w:t>
      </w:r>
      <w:r w:rsidRPr="00707417">
        <w:rPr>
          <w:rFonts w:ascii="Book Antiqua" w:hAnsi="Book Antiqua"/>
          <w:sz w:val="24"/>
          <w:szCs w:val="24"/>
          <w:vertAlign w:val="superscript"/>
        </w:rPr>
        <w:t>[75,76]</w:t>
      </w:r>
      <w:r w:rsidRPr="00707417">
        <w:rPr>
          <w:rFonts w:ascii="Book Antiqua" w:hAnsi="Book Antiqua"/>
          <w:sz w:val="24"/>
          <w:szCs w:val="24"/>
        </w:rPr>
        <w:t>.</w:t>
      </w:r>
    </w:p>
    <w:p w14:paraId="56BFAAED" w14:textId="77777777" w:rsidR="00156B28" w:rsidRPr="00707417" w:rsidRDefault="00156B28" w:rsidP="00707417">
      <w:pPr>
        <w:adjustRightInd w:val="0"/>
        <w:snapToGrid w:val="0"/>
        <w:spacing w:line="360" w:lineRule="auto"/>
        <w:jc w:val="both"/>
        <w:rPr>
          <w:rFonts w:ascii="Book Antiqua" w:hAnsi="Book Antiqua" w:cs="Calibri"/>
          <w:b/>
          <w:color w:val="000000"/>
          <w:sz w:val="24"/>
          <w:szCs w:val="24"/>
          <w:u w:val="single"/>
          <w:shd w:val="clear" w:color="auto" w:fill="FFFFFF"/>
        </w:rPr>
      </w:pPr>
    </w:p>
    <w:p w14:paraId="120D2CAD" w14:textId="76F2DD1C" w:rsidR="00156B28" w:rsidRPr="00707417" w:rsidRDefault="00BE33B6" w:rsidP="00707417">
      <w:pPr>
        <w:adjustRightInd w:val="0"/>
        <w:snapToGrid w:val="0"/>
        <w:spacing w:line="360" w:lineRule="auto"/>
        <w:jc w:val="both"/>
        <w:rPr>
          <w:rFonts w:ascii="Book Antiqua" w:hAnsi="Book Antiqua" w:cs="Calibri"/>
          <w:b/>
          <w:color w:val="000000"/>
          <w:sz w:val="24"/>
          <w:szCs w:val="24"/>
          <w:u w:val="single"/>
          <w:shd w:val="clear" w:color="auto" w:fill="FFFFFF"/>
        </w:rPr>
      </w:pPr>
      <w:bookmarkStart w:id="25" w:name="_Hlk39065385"/>
      <w:r w:rsidRPr="00D53DBA">
        <w:rPr>
          <w:rStyle w:val="h3"/>
          <w:rFonts w:ascii="Book Antiqua" w:hAnsi="Book Antiqua"/>
          <w:b/>
          <w:bCs/>
          <w:color w:val="000000"/>
          <w:sz w:val="24"/>
          <w:szCs w:val="24"/>
          <w:u w:val="single"/>
          <w:lang w:val="en-GB"/>
        </w:rPr>
        <w:t>CONCLUSION</w:t>
      </w:r>
      <w:bookmarkEnd w:id="25"/>
    </w:p>
    <w:p w14:paraId="1E77B5E0" w14:textId="77777777" w:rsidR="00156B28" w:rsidRPr="00707417" w:rsidRDefault="00156B28" w:rsidP="00707417">
      <w:pPr>
        <w:adjustRightInd w:val="0"/>
        <w:snapToGrid w:val="0"/>
        <w:spacing w:line="360" w:lineRule="auto"/>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 xml:space="preserve">In conclusion, based on current evidence, SGLT2 inhibitors are agents with pleiotropic effects that are valuable in treating diabetes and preventing its complications. They reduce the burden of cardiovascular adverse events especially through decreasing heart failure risk. In addition, these drugs represent a new add-on strategy in the treatment of normoglycemic patients with HFrEF and carry the potential to be useful even in patients with HFpEF, but the dedicated studies are still ongoing. The benefits seen on heart failure appear to be mediated </w:t>
      </w:r>
      <w:r w:rsidRPr="006C3D29">
        <w:rPr>
          <w:rFonts w:ascii="Book Antiqua" w:hAnsi="Book Antiqua" w:cs="Calibri"/>
          <w:i/>
          <w:iCs/>
          <w:color w:val="000000"/>
          <w:sz w:val="24"/>
          <w:szCs w:val="24"/>
          <w:shd w:val="clear" w:color="auto" w:fill="FFFFFF"/>
        </w:rPr>
        <w:t>via</w:t>
      </w:r>
      <w:r w:rsidRPr="00707417">
        <w:rPr>
          <w:rFonts w:ascii="Book Antiqua" w:hAnsi="Book Antiqua" w:cs="Calibri"/>
          <w:color w:val="000000"/>
          <w:sz w:val="24"/>
          <w:szCs w:val="24"/>
          <w:shd w:val="clear" w:color="auto" w:fill="FFFFFF"/>
        </w:rPr>
        <w:t xml:space="preserve"> glucose-independent mechanisms. Translational clues to the heart failure benefits recorded in clinical trials so far, should be sought in mechanisms of their action, which are not completely explained and are yet to be revealed. Particularly missing are human studies designed with enough power to elucidate some potential mechanisms essential for their mode of action. These data are important since SGLT2 inhibitors have great clinical potential through wide indications across the spectrum of heart failure and could lessen polypragmasy since they can target various mechanisms underpinning heart failure pathogenesis. The </w:t>
      </w:r>
      <w:r w:rsidRPr="00707417">
        <w:rPr>
          <w:rFonts w:ascii="Book Antiqua" w:hAnsi="Book Antiqua" w:cs="Calibri"/>
          <w:color w:val="000000"/>
          <w:sz w:val="24"/>
          <w:szCs w:val="24"/>
          <w:shd w:val="clear" w:color="auto" w:fill="FFFFFF"/>
          <w:lang w:val="en-GB"/>
        </w:rPr>
        <w:t xml:space="preserve">most logical explanation of their benefits is the timely </w:t>
      </w:r>
      <w:r w:rsidRPr="00707417">
        <w:rPr>
          <w:rFonts w:ascii="Book Antiqua" w:hAnsi="Book Antiqua" w:cs="Calibri"/>
          <w:color w:val="000000"/>
          <w:sz w:val="24"/>
          <w:szCs w:val="24"/>
          <w:shd w:val="clear" w:color="auto" w:fill="FFFFFF"/>
        </w:rPr>
        <w:t>targeting of various mechanisms implicated in the evolution of heart failure.</w:t>
      </w:r>
    </w:p>
    <w:p w14:paraId="4711A97A" w14:textId="77777777" w:rsidR="00BE33B6" w:rsidRPr="00BE33B6" w:rsidRDefault="00BE33B6" w:rsidP="00707417">
      <w:pPr>
        <w:adjustRightInd w:val="0"/>
        <w:snapToGrid w:val="0"/>
        <w:spacing w:line="360" w:lineRule="auto"/>
        <w:jc w:val="both"/>
        <w:rPr>
          <w:rFonts w:ascii="Book Antiqua" w:hAnsi="Book Antiqua"/>
          <w:b/>
          <w:sz w:val="24"/>
          <w:szCs w:val="24"/>
        </w:rPr>
      </w:pPr>
    </w:p>
    <w:p w14:paraId="44C296CF" w14:textId="674FDBAA" w:rsidR="00156B28" w:rsidRPr="00707417" w:rsidRDefault="00BE33B6" w:rsidP="00707417">
      <w:pPr>
        <w:adjustRightInd w:val="0"/>
        <w:snapToGrid w:val="0"/>
        <w:spacing w:line="360" w:lineRule="auto"/>
        <w:jc w:val="both"/>
        <w:rPr>
          <w:rFonts w:ascii="Book Antiqua" w:hAnsi="Book Antiqua"/>
          <w:b/>
          <w:sz w:val="24"/>
          <w:szCs w:val="24"/>
        </w:rPr>
      </w:pPr>
      <w:bookmarkStart w:id="26" w:name="_Hlk39065419"/>
      <w:r w:rsidRPr="00D53DBA">
        <w:rPr>
          <w:rFonts w:ascii="Book Antiqua" w:hAnsi="Book Antiqua"/>
          <w:b/>
          <w:color w:val="000000"/>
          <w:sz w:val="24"/>
          <w:szCs w:val="24"/>
          <w:lang w:val="en-GB"/>
        </w:rPr>
        <w:t>REFERENCES</w:t>
      </w:r>
      <w:bookmarkEnd w:id="26"/>
    </w:p>
    <w:p w14:paraId="28A83E7E" w14:textId="4931D4FB"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 </w:t>
      </w:r>
      <w:r w:rsidR="00AF0131">
        <w:rPr>
          <w:rFonts w:ascii="Book Antiqua" w:hAnsi="Book Antiqua"/>
          <w:b/>
          <w:sz w:val="24"/>
          <w:szCs w:val="24"/>
        </w:rPr>
        <w:t>American Diabetes Association</w:t>
      </w:r>
      <w:r w:rsidRPr="00A61B86">
        <w:rPr>
          <w:rFonts w:ascii="Book Antiqua" w:hAnsi="Book Antiqua"/>
          <w:sz w:val="24"/>
          <w:szCs w:val="24"/>
        </w:rPr>
        <w:t xml:space="preserve">. 10. Cardiovascular Disease and Risk Management: </w:t>
      </w:r>
      <w:r w:rsidRPr="00A61B86">
        <w:rPr>
          <w:rFonts w:ascii="Book Antiqua" w:hAnsi="Book Antiqua"/>
          <w:i/>
          <w:sz w:val="24"/>
          <w:szCs w:val="24"/>
        </w:rPr>
        <w:t>Standards of Medical Care in Diabetes-2020</w:t>
      </w:r>
      <w:r w:rsidRPr="00A61B86">
        <w:rPr>
          <w:rFonts w:ascii="Book Antiqua" w:hAnsi="Book Antiqua"/>
          <w:sz w:val="24"/>
          <w:szCs w:val="24"/>
        </w:rPr>
        <w:t xml:space="preserve">. </w:t>
      </w:r>
      <w:r w:rsidRPr="00A61B86">
        <w:rPr>
          <w:rFonts w:ascii="Book Antiqua" w:hAnsi="Book Antiqua"/>
          <w:i/>
          <w:sz w:val="24"/>
          <w:szCs w:val="24"/>
        </w:rPr>
        <w:t>Diabetes Care</w:t>
      </w:r>
      <w:r w:rsidRPr="00A61B86">
        <w:rPr>
          <w:rFonts w:ascii="Book Antiqua" w:hAnsi="Book Antiqua"/>
          <w:sz w:val="24"/>
          <w:szCs w:val="24"/>
        </w:rPr>
        <w:t xml:space="preserve"> 2020; </w:t>
      </w:r>
      <w:r w:rsidRPr="00A61B86">
        <w:rPr>
          <w:rFonts w:ascii="Book Antiqua" w:hAnsi="Book Antiqua"/>
          <w:b/>
          <w:sz w:val="24"/>
          <w:szCs w:val="24"/>
        </w:rPr>
        <w:t>43</w:t>
      </w:r>
      <w:r w:rsidRPr="00A61B86">
        <w:rPr>
          <w:rFonts w:ascii="Book Antiqua" w:hAnsi="Book Antiqua"/>
          <w:sz w:val="24"/>
          <w:szCs w:val="24"/>
        </w:rPr>
        <w:t>: S111-S134 [PMID: 31862753 DOI: 10.2337/dc20-S010]</w:t>
      </w:r>
    </w:p>
    <w:p w14:paraId="59722E0E"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 </w:t>
      </w:r>
      <w:r w:rsidRPr="00A61B86">
        <w:rPr>
          <w:rFonts w:ascii="Book Antiqua" w:hAnsi="Book Antiqua"/>
          <w:b/>
          <w:sz w:val="24"/>
          <w:szCs w:val="24"/>
        </w:rPr>
        <w:t>Zinman B</w:t>
      </w:r>
      <w:r w:rsidRPr="00A61B86">
        <w:rPr>
          <w:rFonts w:ascii="Book Antiqua" w:hAnsi="Book Antiqua"/>
          <w:sz w:val="24"/>
          <w:szCs w:val="24"/>
        </w:rPr>
        <w:t xml:space="preserve">, Wanner C, Lachin JM, Fitchett D, Bluhmki E, Hantel S, Mattheus M, Devins T, Johansen OE, Woerle HJ, Broedl UC, Inzucchi SE; EMPA-REG OUTCOME Investigators. Empagliflozin, Cardiovascular Outcomes, and Mortality in Type 2 Diabetes. </w:t>
      </w:r>
      <w:r w:rsidRPr="00A61B86">
        <w:rPr>
          <w:rFonts w:ascii="Book Antiqua" w:hAnsi="Book Antiqua"/>
          <w:i/>
          <w:sz w:val="24"/>
          <w:szCs w:val="24"/>
        </w:rPr>
        <w:t>N Engl J Med</w:t>
      </w:r>
      <w:r w:rsidRPr="00A61B86">
        <w:rPr>
          <w:rFonts w:ascii="Book Antiqua" w:hAnsi="Book Antiqua"/>
          <w:sz w:val="24"/>
          <w:szCs w:val="24"/>
        </w:rPr>
        <w:t xml:space="preserve"> 2015; </w:t>
      </w:r>
      <w:r w:rsidRPr="00A61B86">
        <w:rPr>
          <w:rFonts w:ascii="Book Antiqua" w:hAnsi="Book Antiqua"/>
          <w:b/>
          <w:sz w:val="24"/>
          <w:szCs w:val="24"/>
        </w:rPr>
        <w:t>373</w:t>
      </w:r>
      <w:r w:rsidRPr="00A61B86">
        <w:rPr>
          <w:rFonts w:ascii="Book Antiqua" w:hAnsi="Book Antiqua"/>
          <w:sz w:val="24"/>
          <w:szCs w:val="24"/>
        </w:rPr>
        <w:t>: 2117-2128 [PMID: 26378978 DOI: 10.1056/NEJMoa1504720]</w:t>
      </w:r>
    </w:p>
    <w:p w14:paraId="0C5DB777"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 </w:t>
      </w:r>
      <w:r w:rsidRPr="00A61B86">
        <w:rPr>
          <w:rFonts w:ascii="Book Antiqua" w:hAnsi="Book Antiqua"/>
          <w:b/>
          <w:sz w:val="24"/>
          <w:szCs w:val="24"/>
        </w:rPr>
        <w:t>Neal B</w:t>
      </w:r>
      <w:r w:rsidRPr="00A61B86">
        <w:rPr>
          <w:rFonts w:ascii="Book Antiqua" w:hAnsi="Book Antiqua"/>
          <w:sz w:val="24"/>
          <w:szCs w:val="24"/>
        </w:rPr>
        <w:t xml:space="preserve">, Perkovic V, Mahaffey KW, de Zeeuw D, Fulcher G, Erondu N, Shaw W, Law G, Desai M, Matthews DR; CANVAS Program Collaborative Group. </w:t>
      </w:r>
      <w:r w:rsidRPr="00A61B86">
        <w:rPr>
          <w:rFonts w:ascii="Book Antiqua" w:hAnsi="Book Antiqua"/>
          <w:sz w:val="24"/>
          <w:szCs w:val="24"/>
        </w:rPr>
        <w:lastRenderedPageBreak/>
        <w:t xml:space="preserve">Canagliflozin and Cardiovascular and Renal Events in Type 2 Diabetes. </w:t>
      </w:r>
      <w:r w:rsidRPr="00A61B86">
        <w:rPr>
          <w:rFonts w:ascii="Book Antiqua" w:hAnsi="Book Antiqua"/>
          <w:i/>
          <w:sz w:val="24"/>
          <w:szCs w:val="24"/>
        </w:rPr>
        <w:t>N Engl J Med</w:t>
      </w:r>
      <w:r w:rsidRPr="00A61B86">
        <w:rPr>
          <w:rFonts w:ascii="Book Antiqua" w:hAnsi="Book Antiqua"/>
          <w:sz w:val="24"/>
          <w:szCs w:val="24"/>
        </w:rPr>
        <w:t xml:space="preserve"> 2017; </w:t>
      </w:r>
      <w:r w:rsidRPr="00A61B86">
        <w:rPr>
          <w:rFonts w:ascii="Book Antiqua" w:hAnsi="Book Antiqua"/>
          <w:b/>
          <w:sz w:val="24"/>
          <w:szCs w:val="24"/>
        </w:rPr>
        <w:t>377</w:t>
      </w:r>
      <w:r w:rsidRPr="00A61B86">
        <w:rPr>
          <w:rFonts w:ascii="Book Antiqua" w:hAnsi="Book Antiqua"/>
          <w:sz w:val="24"/>
          <w:szCs w:val="24"/>
        </w:rPr>
        <w:t>: 644-657 [PMID: 28605608 DOI: 10.1056/NEJMoa1611925]</w:t>
      </w:r>
    </w:p>
    <w:p w14:paraId="025404AF"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 </w:t>
      </w:r>
      <w:r w:rsidRPr="00A61B86">
        <w:rPr>
          <w:rFonts w:ascii="Book Antiqua" w:hAnsi="Book Antiqua"/>
          <w:b/>
          <w:sz w:val="24"/>
          <w:szCs w:val="24"/>
        </w:rPr>
        <w:t>Wiviott SD</w:t>
      </w:r>
      <w:r w:rsidRPr="00A61B86">
        <w:rPr>
          <w:rFonts w:ascii="Book Antiqua" w:hAnsi="Book Antiqua"/>
          <w:sz w:val="24"/>
          <w:szCs w:val="24"/>
        </w:rPr>
        <w:t xml:space="preserve">,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w:t>
      </w:r>
      <w:r w:rsidRPr="00A61B86">
        <w:rPr>
          <w:rFonts w:ascii="Book Antiqua" w:hAnsi="Book Antiqua"/>
          <w:i/>
          <w:sz w:val="24"/>
          <w:szCs w:val="24"/>
        </w:rPr>
        <w:t>N Engl J Med</w:t>
      </w:r>
      <w:r w:rsidRPr="00A61B86">
        <w:rPr>
          <w:rFonts w:ascii="Book Antiqua" w:hAnsi="Book Antiqua"/>
          <w:sz w:val="24"/>
          <w:szCs w:val="24"/>
        </w:rPr>
        <w:t xml:space="preserve"> 2019; </w:t>
      </w:r>
      <w:r w:rsidRPr="00A61B86">
        <w:rPr>
          <w:rFonts w:ascii="Book Antiqua" w:hAnsi="Book Antiqua"/>
          <w:b/>
          <w:sz w:val="24"/>
          <w:szCs w:val="24"/>
        </w:rPr>
        <w:t>380</w:t>
      </w:r>
      <w:r w:rsidRPr="00A61B86">
        <w:rPr>
          <w:rFonts w:ascii="Book Antiqua" w:hAnsi="Book Antiqua"/>
          <w:sz w:val="24"/>
          <w:szCs w:val="24"/>
        </w:rPr>
        <w:t>: 347-357 [PMID: 30415602 DOI: 10.1056/NEJMoa1812389]</w:t>
      </w:r>
    </w:p>
    <w:p w14:paraId="6C4466BE"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 </w:t>
      </w:r>
      <w:r w:rsidRPr="00A61B86">
        <w:rPr>
          <w:rFonts w:ascii="Book Antiqua" w:hAnsi="Book Antiqua"/>
          <w:b/>
          <w:sz w:val="24"/>
          <w:szCs w:val="24"/>
        </w:rPr>
        <w:t>Giugliano D</w:t>
      </w:r>
      <w:r w:rsidRPr="00A61B86">
        <w:rPr>
          <w:rFonts w:ascii="Book Antiqua" w:hAnsi="Book Antiqua"/>
          <w:sz w:val="24"/>
          <w:szCs w:val="24"/>
        </w:rPr>
        <w:t xml:space="preserve">, Meier JJ, Esposito K. Heart failure and type 2 diabetes: From cardiovascular outcome trials, with hope. </w:t>
      </w:r>
      <w:r w:rsidRPr="00A61B86">
        <w:rPr>
          <w:rFonts w:ascii="Book Antiqua" w:hAnsi="Book Antiqua"/>
          <w:i/>
          <w:sz w:val="24"/>
          <w:szCs w:val="24"/>
        </w:rPr>
        <w:t>Diabetes Obes Metab</w:t>
      </w:r>
      <w:r w:rsidRPr="00A61B86">
        <w:rPr>
          <w:rFonts w:ascii="Book Antiqua" w:hAnsi="Book Antiqua"/>
          <w:sz w:val="24"/>
          <w:szCs w:val="24"/>
        </w:rPr>
        <w:t xml:space="preserve"> 2019; </w:t>
      </w:r>
      <w:r w:rsidRPr="00A61B86">
        <w:rPr>
          <w:rFonts w:ascii="Book Antiqua" w:hAnsi="Book Antiqua"/>
          <w:b/>
          <w:sz w:val="24"/>
          <w:szCs w:val="24"/>
        </w:rPr>
        <w:t>21</w:t>
      </w:r>
      <w:r w:rsidRPr="00A61B86">
        <w:rPr>
          <w:rFonts w:ascii="Book Antiqua" w:hAnsi="Book Antiqua"/>
          <w:sz w:val="24"/>
          <w:szCs w:val="24"/>
        </w:rPr>
        <w:t>: 1081-1087 [PMID: 30609236 DOI: 10.1111/dom.13629]</w:t>
      </w:r>
    </w:p>
    <w:p w14:paraId="17267792"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 </w:t>
      </w:r>
      <w:r w:rsidRPr="00A61B86">
        <w:rPr>
          <w:rFonts w:ascii="Book Antiqua" w:hAnsi="Book Antiqua"/>
          <w:b/>
          <w:sz w:val="24"/>
          <w:szCs w:val="24"/>
        </w:rPr>
        <w:t>McMurray JJV</w:t>
      </w:r>
      <w:r w:rsidRPr="00A61B86">
        <w:rPr>
          <w:rFonts w:ascii="Book Antiqua" w:hAnsi="Book Antiqua"/>
          <w:sz w:val="24"/>
          <w:szCs w:val="24"/>
        </w:rPr>
        <w:t xml:space="preserve">,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Dapagliflozin in Patients with Heart Failure and Reduced Ejection Fraction. </w:t>
      </w:r>
      <w:r w:rsidRPr="00A61B86">
        <w:rPr>
          <w:rFonts w:ascii="Book Antiqua" w:hAnsi="Book Antiqua"/>
          <w:i/>
          <w:sz w:val="24"/>
          <w:szCs w:val="24"/>
        </w:rPr>
        <w:t>N Engl J Med</w:t>
      </w:r>
      <w:r w:rsidRPr="00A61B86">
        <w:rPr>
          <w:rFonts w:ascii="Book Antiqua" w:hAnsi="Book Antiqua"/>
          <w:sz w:val="24"/>
          <w:szCs w:val="24"/>
        </w:rPr>
        <w:t xml:space="preserve"> 2019; </w:t>
      </w:r>
      <w:r w:rsidRPr="00A61B86">
        <w:rPr>
          <w:rFonts w:ascii="Book Antiqua" w:hAnsi="Book Antiqua"/>
          <w:b/>
          <w:sz w:val="24"/>
          <w:szCs w:val="24"/>
        </w:rPr>
        <w:t>381</w:t>
      </w:r>
      <w:r w:rsidRPr="00A61B86">
        <w:rPr>
          <w:rFonts w:ascii="Book Antiqua" w:hAnsi="Book Antiqua"/>
          <w:sz w:val="24"/>
          <w:szCs w:val="24"/>
        </w:rPr>
        <w:t>: 1995-2008 [PMID: 31535829 DOI: 10.1056/NEJMoa1911303]</w:t>
      </w:r>
    </w:p>
    <w:p w14:paraId="39C5DFDA"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7 </w:t>
      </w:r>
      <w:r w:rsidRPr="00A61B86">
        <w:rPr>
          <w:rFonts w:ascii="Book Antiqua" w:hAnsi="Book Antiqua"/>
          <w:b/>
          <w:sz w:val="24"/>
          <w:szCs w:val="24"/>
        </w:rPr>
        <w:t>Zelniker TA</w:t>
      </w:r>
      <w:r w:rsidRPr="00A61B86">
        <w:rPr>
          <w:rFonts w:ascii="Book Antiqua" w:hAnsi="Book Antiqua"/>
          <w:sz w:val="24"/>
          <w:szCs w:val="24"/>
        </w:rPr>
        <w:t xml:space="preserve">,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A61B86">
        <w:rPr>
          <w:rFonts w:ascii="Book Antiqua" w:hAnsi="Book Antiqua"/>
          <w:i/>
          <w:sz w:val="24"/>
          <w:szCs w:val="24"/>
        </w:rPr>
        <w:t>Lancet</w:t>
      </w:r>
      <w:r w:rsidRPr="00A61B86">
        <w:rPr>
          <w:rFonts w:ascii="Book Antiqua" w:hAnsi="Book Antiqua"/>
          <w:sz w:val="24"/>
          <w:szCs w:val="24"/>
        </w:rPr>
        <w:t xml:space="preserve"> 2019; </w:t>
      </w:r>
      <w:r w:rsidRPr="00A61B86">
        <w:rPr>
          <w:rFonts w:ascii="Book Antiqua" w:hAnsi="Book Antiqua"/>
          <w:b/>
          <w:sz w:val="24"/>
          <w:szCs w:val="24"/>
        </w:rPr>
        <w:t>393</w:t>
      </w:r>
      <w:r w:rsidRPr="00A61B86">
        <w:rPr>
          <w:rFonts w:ascii="Book Antiqua" w:hAnsi="Book Antiqua"/>
          <w:sz w:val="24"/>
          <w:szCs w:val="24"/>
        </w:rPr>
        <w:t>: 31-39 [PMID: 30424892 DOI: 10.1016/S0140-6736(18)32590-X]</w:t>
      </w:r>
    </w:p>
    <w:p w14:paraId="7729706E"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8 </w:t>
      </w:r>
      <w:r w:rsidRPr="00A61B86">
        <w:rPr>
          <w:rFonts w:ascii="Book Antiqua" w:hAnsi="Book Antiqua"/>
          <w:b/>
          <w:sz w:val="24"/>
          <w:szCs w:val="24"/>
        </w:rPr>
        <w:t>Figtree GA</w:t>
      </w:r>
      <w:r w:rsidRPr="00A61B86">
        <w:rPr>
          <w:rFonts w:ascii="Book Antiqua" w:hAnsi="Book Antiqua"/>
          <w:sz w:val="24"/>
          <w:szCs w:val="24"/>
        </w:rPr>
        <w:t xml:space="preserve">, Rådholm K, Barrett TD, Perkovic V, Mahaffey KW, de Zeeuw D, Fulcher G, Matthews DR, Shaw W, Neal B. Effects of Canagliflozin on Heart Failure Outcomes Associated With Preserved and Reduced Ejection Fraction in Type 2 Diabetes Mellitus. </w:t>
      </w:r>
      <w:r w:rsidRPr="00A61B86">
        <w:rPr>
          <w:rFonts w:ascii="Book Antiqua" w:hAnsi="Book Antiqua"/>
          <w:i/>
          <w:sz w:val="24"/>
          <w:szCs w:val="24"/>
        </w:rPr>
        <w:t>Circulation</w:t>
      </w:r>
      <w:r w:rsidRPr="00A61B86">
        <w:rPr>
          <w:rFonts w:ascii="Book Antiqua" w:hAnsi="Book Antiqua"/>
          <w:sz w:val="24"/>
          <w:szCs w:val="24"/>
        </w:rPr>
        <w:t xml:space="preserve"> 2019; </w:t>
      </w:r>
      <w:r w:rsidRPr="00A61B86">
        <w:rPr>
          <w:rFonts w:ascii="Book Antiqua" w:hAnsi="Book Antiqua"/>
          <w:b/>
          <w:sz w:val="24"/>
          <w:szCs w:val="24"/>
        </w:rPr>
        <w:t>139</w:t>
      </w:r>
      <w:r w:rsidRPr="00A61B86">
        <w:rPr>
          <w:rFonts w:ascii="Book Antiqua" w:hAnsi="Book Antiqua"/>
          <w:sz w:val="24"/>
          <w:szCs w:val="24"/>
        </w:rPr>
        <w:t>: 2591-2593 [PMID: 30882240 DOI: 10.1161/CIRCULATIONAHA.119.040057]</w:t>
      </w:r>
    </w:p>
    <w:p w14:paraId="0BCB1BAF"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lastRenderedPageBreak/>
        <w:t xml:space="preserve">9 </w:t>
      </w:r>
      <w:r w:rsidRPr="00A61B86">
        <w:rPr>
          <w:rFonts w:ascii="Book Antiqua" w:hAnsi="Book Antiqua"/>
          <w:b/>
          <w:sz w:val="24"/>
          <w:szCs w:val="24"/>
        </w:rPr>
        <w:t>Lahnwong S</w:t>
      </w:r>
      <w:r w:rsidRPr="00A61B86">
        <w:rPr>
          <w:rFonts w:ascii="Book Antiqua" w:hAnsi="Book Antiqua"/>
          <w:sz w:val="24"/>
          <w:szCs w:val="24"/>
        </w:rPr>
        <w:t xml:space="preserve">, Chattipakorn SC, Chattipakorn N. Potential mechanisms responsible for cardioprotective effects of sodium-glucose co-transporter 2 inhibitors. </w:t>
      </w:r>
      <w:r w:rsidRPr="00A61B86">
        <w:rPr>
          <w:rFonts w:ascii="Book Antiqua" w:hAnsi="Book Antiqua"/>
          <w:i/>
          <w:sz w:val="24"/>
          <w:szCs w:val="24"/>
        </w:rPr>
        <w:t>Cardiovasc Diabetol</w:t>
      </w:r>
      <w:r w:rsidRPr="00A61B86">
        <w:rPr>
          <w:rFonts w:ascii="Book Antiqua" w:hAnsi="Book Antiqua"/>
          <w:sz w:val="24"/>
          <w:szCs w:val="24"/>
        </w:rPr>
        <w:t xml:space="preserve"> 2018; </w:t>
      </w:r>
      <w:r w:rsidRPr="00A61B86">
        <w:rPr>
          <w:rFonts w:ascii="Book Antiqua" w:hAnsi="Book Antiqua"/>
          <w:b/>
          <w:sz w:val="24"/>
          <w:szCs w:val="24"/>
        </w:rPr>
        <w:t>17</w:t>
      </w:r>
      <w:r w:rsidRPr="00A61B86">
        <w:rPr>
          <w:rFonts w:ascii="Book Antiqua" w:hAnsi="Book Antiqua"/>
          <w:sz w:val="24"/>
          <w:szCs w:val="24"/>
        </w:rPr>
        <w:t>: 101 [PMID: 29991346 DOI: 10.1186/s12933-018-0745-5]</w:t>
      </w:r>
    </w:p>
    <w:p w14:paraId="09F1B576"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10 </w:t>
      </w:r>
      <w:r w:rsidRPr="00A61B86">
        <w:rPr>
          <w:rFonts w:ascii="Book Antiqua" w:hAnsi="Book Antiqua"/>
          <w:b/>
          <w:sz w:val="24"/>
          <w:szCs w:val="24"/>
        </w:rPr>
        <w:t>Abdul-Ghani MA</w:t>
      </w:r>
      <w:r w:rsidRPr="00A61B86">
        <w:rPr>
          <w:rFonts w:ascii="Book Antiqua" w:hAnsi="Book Antiqua"/>
          <w:sz w:val="24"/>
          <w:szCs w:val="24"/>
        </w:rPr>
        <w:t xml:space="preserve">, Norton L, DeFronzo RA. Renal sodium-glucose cotransporter inhibition in the management of type 2 diabetes mellitus. </w:t>
      </w:r>
      <w:r w:rsidRPr="00A61B86">
        <w:rPr>
          <w:rFonts w:ascii="Book Antiqua" w:hAnsi="Book Antiqua"/>
          <w:i/>
          <w:sz w:val="24"/>
          <w:szCs w:val="24"/>
        </w:rPr>
        <w:t>Am J Physiol Renal Physiol</w:t>
      </w:r>
      <w:r w:rsidRPr="00A61B86">
        <w:rPr>
          <w:rFonts w:ascii="Book Antiqua" w:hAnsi="Book Antiqua"/>
          <w:sz w:val="24"/>
          <w:szCs w:val="24"/>
        </w:rPr>
        <w:t xml:space="preserve"> 2015; </w:t>
      </w:r>
      <w:r w:rsidRPr="00A61B86">
        <w:rPr>
          <w:rFonts w:ascii="Book Antiqua" w:hAnsi="Book Antiqua"/>
          <w:b/>
          <w:sz w:val="24"/>
          <w:szCs w:val="24"/>
        </w:rPr>
        <w:t>309</w:t>
      </w:r>
      <w:r w:rsidRPr="00A61B86">
        <w:rPr>
          <w:rFonts w:ascii="Book Antiqua" w:hAnsi="Book Antiqua"/>
          <w:sz w:val="24"/>
          <w:szCs w:val="24"/>
        </w:rPr>
        <w:t>: F889-F900 [PMID: 26354881 DOI: 10.1152/ajprenal.00267.2015]</w:t>
      </w:r>
    </w:p>
    <w:p w14:paraId="18CB1BC7"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11 </w:t>
      </w:r>
      <w:r w:rsidRPr="00A61B86">
        <w:rPr>
          <w:rFonts w:ascii="Book Antiqua" w:hAnsi="Book Antiqua"/>
          <w:b/>
          <w:sz w:val="24"/>
          <w:szCs w:val="24"/>
        </w:rPr>
        <w:t>Rahmoune H</w:t>
      </w:r>
      <w:r w:rsidRPr="00A61B86">
        <w:rPr>
          <w:rFonts w:ascii="Book Antiqua" w:hAnsi="Book Antiqua"/>
          <w:sz w:val="24"/>
          <w:szCs w:val="24"/>
        </w:rPr>
        <w:t xml:space="preserve">, Thompson PW, Ward JM, Smith CD, Hong G, Brown J. Glucose transporters in human renal proximal tubular cells isolated from the urine of patients with non-insulin-dependent diabetes. </w:t>
      </w:r>
      <w:r w:rsidRPr="00A61B86">
        <w:rPr>
          <w:rFonts w:ascii="Book Antiqua" w:hAnsi="Book Antiqua"/>
          <w:i/>
          <w:sz w:val="24"/>
          <w:szCs w:val="24"/>
        </w:rPr>
        <w:t>Diabetes</w:t>
      </w:r>
      <w:r w:rsidRPr="00A61B86">
        <w:rPr>
          <w:rFonts w:ascii="Book Antiqua" w:hAnsi="Book Antiqua"/>
          <w:sz w:val="24"/>
          <w:szCs w:val="24"/>
        </w:rPr>
        <w:t xml:space="preserve"> 2005; </w:t>
      </w:r>
      <w:r w:rsidRPr="00A61B86">
        <w:rPr>
          <w:rFonts w:ascii="Book Antiqua" w:hAnsi="Book Antiqua"/>
          <w:b/>
          <w:sz w:val="24"/>
          <w:szCs w:val="24"/>
        </w:rPr>
        <w:t>54</w:t>
      </w:r>
      <w:r w:rsidRPr="00A61B86">
        <w:rPr>
          <w:rFonts w:ascii="Book Antiqua" w:hAnsi="Book Antiqua"/>
          <w:sz w:val="24"/>
          <w:szCs w:val="24"/>
        </w:rPr>
        <w:t>: 3427-3434 [PMID: 16306358 DOI: 10.2337/diabetes.54.12.3427]</w:t>
      </w:r>
    </w:p>
    <w:p w14:paraId="42F565B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12 </w:t>
      </w:r>
      <w:r w:rsidRPr="00A61B86">
        <w:rPr>
          <w:rFonts w:ascii="Book Antiqua" w:hAnsi="Book Antiqua"/>
          <w:b/>
          <w:sz w:val="24"/>
          <w:szCs w:val="24"/>
        </w:rPr>
        <w:t>Heerspink HJ</w:t>
      </w:r>
      <w:r w:rsidRPr="00A61B86">
        <w:rPr>
          <w:rFonts w:ascii="Book Antiqua" w:hAnsi="Book Antiqua"/>
          <w:sz w:val="24"/>
          <w:szCs w:val="24"/>
        </w:rPr>
        <w:t xml:space="preserve">, Perkins BA, Fitchett DH, Husain M, Cherney DZ. Sodium Glucose Cotransporter 2 Inhibitors in the Treatment of Diabetes Mellitus: Cardiovascular and Kidney Effects, Potential Mechanisms, and Clinical Applications. </w:t>
      </w:r>
      <w:r w:rsidRPr="00A61B86">
        <w:rPr>
          <w:rFonts w:ascii="Book Antiqua" w:hAnsi="Book Antiqua"/>
          <w:i/>
          <w:sz w:val="24"/>
          <w:szCs w:val="24"/>
        </w:rPr>
        <w:t>Circulation</w:t>
      </w:r>
      <w:r w:rsidRPr="00A61B86">
        <w:rPr>
          <w:rFonts w:ascii="Book Antiqua" w:hAnsi="Book Antiqua"/>
          <w:sz w:val="24"/>
          <w:szCs w:val="24"/>
        </w:rPr>
        <w:t xml:space="preserve"> 2016; </w:t>
      </w:r>
      <w:r w:rsidRPr="00A61B86">
        <w:rPr>
          <w:rFonts w:ascii="Book Antiqua" w:hAnsi="Book Antiqua"/>
          <w:b/>
          <w:sz w:val="24"/>
          <w:szCs w:val="24"/>
        </w:rPr>
        <w:t>134</w:t>
      </w:r>
      <w:r w:rsidRPr="00A61B86">
        <w:rPr>
          <w:rFonts w:ascii="Book Antiqua" w:hAnsi="Book Antiqua"/>
          <w:sz w:val="24"/>
          <w:szCs w:val="24"/>
        </w:rPr>
        <w:t>: 752-772 [PMID: 27470878 DOI: 10.1161/CIRCULATIONAHA.116.021887]</w:t>
      </w:r>
    </w:p>
    <w:p w14:paraId="5B4B7E02"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13 </w:t>
      </w:r>
      <w:r w:rsidRPr="00A61B86">
        <w:rPr>
          <w:rFonts w:ascii="Book Antiqua" w:hAnsi="Book Antiqua"/>
          <w:b/>
          <w:sz w:val="24"/>
          <w:szCs w:val="24"/>
        </w:rPr>
        <w:t>Tamargo J</w:t>
      </w:r>
      <w:r w:rsidRPr="00A61B86">
        <w:rPr>
          <w:rFonts w:ascii="Book Antiqua" w:hAnsi="Book Antiqua"/>
          <w:sz w:val="24"/>
          <w:szCs w:val="24"/>
        </w:rPr>
        <w:t xml:space="preserve">. Sodium-glucose Cotransporter 2 Inhibitors in Heart Failure: Potential Mechanisms of Action, Adverse Effects and Future Developments. </w:t>
      </w:r>
      <w:r w:rsidRPr="00A61B86">
        <w:rPr>
          <w:rFonts w:ascii="Book Antiqua" w:hAnsi="Book Antiqua"/>
          <w:i/>
          <w:sz w:val="24"/>
          <w:szCs w:val="24"/>
        </w:rPr>
        <w:t>Eur Cardiol</w:t>
      </w:r>
      <w:r w:rsidRPr="00A61B86">
        <w:rPr>
          <w:rFonts w:ascii="Book Antiqua" w:hAnsi="Book Antiqua"/>
          <w:sz w:val="24"/>
          <w:szCs w:val="24"/>
        </w:rPr>
        <w:t xml:space="preserve"> 2019; </w:t>
      </w:r>
      <w:r w:rsidRPr="00A61B86">
        <w:rPr>
          <w:rFonts w:ascii="Book Antiqua" w:hAnsi="Book Antiqua"/>
          <w:b/>
          <w:sz w:val="24"/>
          <w:szCs w:val="24"/>
        </w:rPr>
        <w:t>14</w:t>
      </w:r>
      <w:r w:rsidRPr="00A61B86">
        <w:rPr>
          <w:rFonts w:ascii="Book Antiqua" w:hAnsi="Book Antiqua"/>
          <w:sz w:val="24"/>
          <w:szCs w:val="24"/>
        </w:rPr>
        <w:t>: 23-32 [PMID: 31131034 DOI: 10.15420/ecr.2018.34.2]</w:t>
      </w:r>
    </w:p>
    <w:p w14:paraId="7A2E07D6"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14 </w:t>
      </w:r>
      <w:r w:rsidRPr="00A61B86">
        <w:rPr>
          <w:rFonts w:ascii="Book Antiqua" w:hAnsi="Book Antiqua"/>
          <w:b/>
          <w:sz w:val="24"/>
          <w:szCs w:val="24"/>
        </w:rPr>
        <w:t>Donnan JR</w:t>
      </w:r>
      <w:r w:rsidRPr="00A61B86">
        <w:rPr>
          <w:rFonts w:ascii="Book Antiqua" w:hAnsi="Book Antiqua"/>
          <w:sz w:val="24"/>
          <w:szCs w:val="24"/>
        </w:rPr>
        <w:t xml:space="preserve">, Grandy CA, Chibrikov E, Marra CA, Aubrey-Bassler K, Johnston K, Swab M, Hache J, Curnew D, Nguyen H, Gamble JM. Comparative safety of the sodium glucose co-transporter 2 (SGLT2) inhibitors: a systematic review and meta-analysis. </w:t>
      </w:r>
      <w:r w:rsidRPr="00A61B86">
        <w:rPr>
          <w:rFonts w:ascii="Book Antiqua" w:hAnsi="Book Antiqua"/>
          <w:i/>
          <w:sz w:val="24"/>
          <w:szCs w:val="24"/>
        </w:rPr>
        <w:t>BMJ Open</w:t>
      </w:r>
      <w:r w:rsidRPr="00A61B86">
        <w:rPr>
          <w:rFonts w:ascii="Book Antiqua" w:hAnsi="Book Antiqua"/>
          <w:sz w:val="24"/>
          <w:szCs w:val="24"/>
        </w:rPr>
        <w:t xml:space="preserve"> 2019; </w:t>
      </w:r>
      <w:r w:rsidRPr="00A61B86">
        <w:rPr>
          <w:rFonts w:ascii="Book Antiqua" w:hAnsi="Book Antiqua"/>
          <w:b/>
          <w:sz w:val="24"/>
          <w:szCs w:val="24"/>
        </w:rPr>
        <w:t>9</w:t>
      </w:r>
      <w:r w:rsidRPr="00A61B86">
        <w:rPr>
          <w:rFonts w:ascii="Book Antiqua" w:hAnsi="Book Antiqua"/>
          <w:sz w:val="24"/>
          <w:szCs w:val="24"/>
        </w:rPr>
        <w:t>: e022577 [PMID: 30813108 DOI: 10.1136/bmjopen-2018-022577]</w:t>
      </w:r>
    </w:p>
    <w:p w14:paraId="52EF9946"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15 </w:t>
      </w:r>
      <w:r w:rsidRPr="00A61B86">
        <w:rPr>
          <w:rFonts w:ascii="Book Antiqua" w:hAnsi="Book Antiqua"/>
          <w:b/>
          <w:sz w:val="24"/>
          <w:szCs w:val="24"/>
        </w:rPr>
        <w:t>Verma S</w:t>
      </w:r>
      <w:r w:rsidRPr="00A61B86">
        <w:rPr>
          <w:rFonts w:ascii="Book Antiqua" w:hAnsi="Book Antiqua"/>
          <w:sz w:val="24"/>
          <w:szCs w:val="24"/>
        </w:rPr>
        <w:t xml:space="preserve">, McMurray JJV. SGLT2 inhibitors and mechanisms of cardiovascular benefit: a state-of-the-art review. </w:t>
      </w:r>
      <w:r w:rsidRPr="00A61B86">
        <w:rPr>
          <w:rFonts w:ascii="Book Antiqua" w:hAnsi="Book Antiqua"/>
          <w:i/>
          <w:sz w:val="24"/>
          <w:szCs w:val="24"/>
        </w:rPr>
        <w:t>Diabetologia</w:t>
      </w:r>
      <w:r w:rsidRPr="00A61B86">
        <w:rPr>
          <w:rFonts w:ascii="Book Antiqua" w:hAnsi="Book Antiqua"/>
          <w:sz w:val="24"/>
          <w:szCs w:val="24"/>
        </w:rPr>
        <w:t xml:space="preserve"> 2018; </w:t>
      </w:r>
      <w:r w:rsidRPr="00A61B86">
        <w:rPr>
          <w:rFonts w:ascii="Book Antiqua" w:hAnsi="Book Antiqua"/>
          <w:b/>
          <w:sz w:val="24"/>
          <w:szCs w:val="24"/>
        </w:rPr>
        <w:t>61</w:t>
      </w:r>
      <w:r w:rsidRPr="00A61B86">
        <w:rPr>
          <w:rFonts w:ascii="Book Antiqua" w:hAnsi="Book Antiqua"/>
          <w:sz w:val="24"/>
          <w:szCs w:val="24"/>
        </w:rPr>
        <w:t>: 2108-2117 [PMID: 30132036 DOI: 10.1007/s00125-018-4670-7]</w:t>
      </w:r>
    </w:p>
    <w:p w14:paraId="4CD7E813"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16 </w:t>
      </w:r>
      <w:r w:rsidRPr="00A61B86">
        <w:rPr>
          <w:rFonts w:ascii="Book Antiqua" w:hAnsi="Book Antiqua"/>
          <w:b/>
          <w:sz w:val="24"/>
          <w:szCs w:val="24"/>
        </w:rPr>
        <w:t>Lam CSP</w:t>
      </w:r>
      <w:r w:rsidRPr="00A61B86">
        <w:rPr>
          <w:rFonts w:ascii="Book Antiqua" w:hAnsi="Book Antiqua"/>
          <w:sz w:val="24"/>
          <w:szCs w:val="24"/>
        </w:rPr>
        <w:t xml:space="preserve">, Chandramouli C, Ahooja V, Verma S. SGLT-2 Inhibitors in Heart Failure: Current Management, Unmet Needs, and Therapeutic Prospects. </w:t>
      </w:r>
      <w:r w:rsidRPr="00A61B86">
        <w:rPr>
          <w:rFonts w:ascii="Book Antiqua" w:hAnsi="Book Antiqua"/>
          <w:i/>
          <w:sz w:val="24"/>
          <w:szCs w:val="24"/>
        </w:rPr>
        <w:t>J Am Heart Assoc</w:t>
      </w:r>
      <w:r w:rsidRPr="00A61B86">
        <w:rPr>
          <w:rFonts w:ascii="Book Antiqua" w:hAnsi="Book Antiqua"/>
          <w:sz w:val="24"/>
          <w:szCs w:val="24"/>
        </w:rPr>
        <w:t xml:space="preserve"> 2019; </w:t>
      </w:r>
      <w:r w:rsidRPr="00A61B86">
        <w:rPr>
          <w:rFonts w:ascii="Book Antiqua" w:hAnsi="Book Antiqua"/>
          <w:b/>
          <w:sz w:val="24"/>
          <w:szCs w:val="24"/>
        </w:rPr>
        <w:t>8</w:t>
      </w:r>
      <w:r w:rsidRPr="00A61B86">
        <w:rPr>
          <w:rFonts w:ascii="Book Antiqua" w:hAnsi="Book Antiqua"/>
          <w:sz w:val="24"/>
          <w:szCs w:val="24"/>
        </w:rPr>
        <w:t>: e013389 [PMID: 31607208 DOI: 10.1161/JAHA.119.013389]</w:t>
      </w:r>
    </w:p>
    <w:p w14:paraId="11EEEBF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17 </w:t>
      </w:r>
      <w:r w:rsidRPr="00A61B86">
        <w:rPr>
          <w:rFonts w:ascii="Book Antiqua" w:hAnsi="Book Antiqua"/>
          <w:b/>
          <w:sz w:val="24"/>
          <w:szCs w:val="24"/>
        </w:rPr>
        <w:t>Kato ET</w:t>
      </w:r>
      <w:r w:rsidRPr="00A61B86">
        <w:rPr>
          <w:rFonts w:ascii="Book Antiqua" w:hAnsi="Book Antiqua"/>
          <w:sz w:val="24"/>
          <w:szCs w:val="24"/>
        </w:rPr>
        <w:t xml:space="preserve">, Silverman MG, Mosenzon O, Zelniker TA, Cahn A, Furtado RHM, Kuder J, Murphy SA, Bhatt DL, Leiter LA, McGuire DK, Wilding JPH, Bonaca MP, Ruff CT, Desai AS, Goto S, Johansson PA, Gause-Nilsson I, Johanson P, Langkilde AM, Raz I, Sabatine MS, Wiviott SD. Effect of Dapagliflozin on Heart Failure and </w:t>
      </w:r>
      <w:r w:rsidRPr="00A61B86">
        <w:rPr>
          <w:rFonts w:ascii="Book Antiqua" w:hAnsi="Book Antiqua"/>
          <w:sz w:val="24"/>
          <w:szCs w:val="24"/>
        </w:rPr>
        <w:lastRenderedPageBreak/>
        <w:t xml:space="preserve">Mortality in Type 2 Diabetes Mellitus. </w:t>
      </w:r>
      <w:r w:rsidRPr="00A61B86">
        <w:rPr>
          <w:rFonts w:ascii="Book Antiqua" w:hAnsi="Book Antiqua"/>
          <w:i/>
          <w:sz w:val="24"/>
          <w:szCs w:val="24"/>
        </w:rPr>
        <w:t>Circulation</w:t>
      </w:r>
      <w:r w:rsidRPr="00A61B86">
        <w:rPr>
          <w:rFonts w:ascii="Book Antiqua" w:hAnsi="Book Antiqua"/>
          <w:sz w:val="24"/>
          <w:szCs w:val="24"/>
        </w:rPr>
        <w:t xml:space="preserve"> 2019; </w:t>
      </w:r>
      <w:r w:rsidRPr="00A61B86">
        <w:rPr>
          <w:rFonts w:ascii="Book Antiqua" w:hAnsi="Book Antiqua"/>
          <w:b/>
          <w:sz w:val="24"/>
          <w:szCs w:val="24"/>
        </w:rPr>
        <w:t>139</w:t>
      </w:r>
      <w:r w:rsidRPr="00A61B86">
        <w:rPr>
          <w:rFonts w:ascii="Book Antiqua" w:hAnsi="Book Antiqua"/>
          <w:sz w:val="24"/>
          <w:szCs w:val="24"/>
        </w:rPr>
        <w:t>: 2528-2536 [PMID: 30882238 DOI: 10.1161/CIRCULATIONAHA.119.040130]</w:t>
      </w:r>
    </w:p>
    <w:p w14:paraId="15DFD62D"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18 </w:t>
      </w:r>
      <w:r w:rsidRPr="00A61B86">
        <w:rPr>
          <w:rFonts w:ascii="Book Antiqua" w:hAnsi="Book Antiqua"/>
          <w:b/>
          <w:sz w:val="24"/>
          <w:szCs w:val="24"/>
        </w:rPr>
        <w:t>Ponikowski P</w:t>
      </w:r>
      <w:r w:rsidRPr="00A61B86">
        <w:rPr>
          <w:rFonts w:ascii="Book Antiqua" w:hAnsi="Book Antiqua"/>
          <w:sz w:val="24"/>
          <w:szCs w:val="24"/>
        </w:rPr>
        <w:t xml:space="preserve">, Voors AA, Anker SD, Bueno H, Cleland JG, Coats AJ, Falk V, González-Juanatey JR, Harjola VP, Jankowska EA, Jessup M, Linde C, Nihoyannopoulos P, Parissis 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A61B86">
        <w:rPr>
          <w:rFonts w:ascii="Book Antiqua" w:hAnsi="Book Antiqua"/>
          <w:i/>
          <w:sz w:val="24"/>
          <w:szCs w:val="24"/>
        </w:rPr>
        <w:t>Eur J Heart Fail</w:t>
      </w:r>
      <w:r w:rsidRPr="00A61B86">
        <w:rPr>
          <w:rFonts w:ascii="Book Antiqua" w:hAnsi="Book Antiqua"/>
          <w:sz w:val="24"/>
          <w:szCs w:val="24"/>
        </w:rPr>
        <w:t xml:space="preserve"> 2016; </w:t>
      </w:r>
      <w:r w:rsidRPr="00A61B86">
        <w:rPr>
          <w:rFonts w:ascii="Book Antiqua" w:hAnsi="Book Antiqua"/>
          <w:b/>
          <w:sz w:val="24"/>
          <w:szCs w:val="24"/>
        </w:rPr>
        <w:t>18</w:t>
      </w:r>
      <w:r w:rsidRPr="00A61B86">
        <w:rPr>
          <w:rFonts w:ascii="Book Antiqua" w:hAnsi="Book Antiqua"/>
          <w:sz w:val="24"/>
          <w:szCs w:val="24"/>
        </w:rPr>
        <w:t>: 891-975 [PMID: 27207191 DOI: 10.1002/ejhf.592]</w:t>
      </w:r>
    </w:p>
    <w:p w14:paraId="47283598"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19 </w:t>
      </w:r>
      <w:r w:rsidRPr="00A61B86">
        <w:rPr>
          <w:rFonts w:ascii="Book Antiqua" w:hAnsi="Book Antiqua"/>
          <w:b/>
          <w:sz w:val="24"/>
          <w:szCs w:val="24"/>
        </w:rPr>
        <w:t>Shah KS</w:t>
      </w:r>
      <w:r w:rsidRPr="00A61B86">
        <w:rPr>
          <w:rFonts w:ascii="Book Antiqua" w:hAnsi="Book Antiqua"/>
          <w:sz w:val="24"/>
          <w:szCs w:val="24"/>
        </w:rPr>
        <w:t xml:space="preserve">, Xu H, Matsouaka RA, Bhatt DL, Heidenreich PA, Hernandez AF, Devore AD, Yancy CW, Fonarow GC. Heart Failure With Preserved, Borderline, and Reduced Ejection Fraction: 5-Year Outcomes. </w:t>
      </w:r>
      <w:r w:rsidRPr="00A61B86">
        <w:rPr>
          <w:rFonts w:ascii="Book Antiqua" w:hAnsi="Book Antiqua"/>
          <w:i/>
          <w:sz w:val="24"/>
          <w:szCs w:val="24"/>
        </w:rPr>
        <w:t>J Am Coll Cardiol</w:t>
      </w:r>
      <w:r w:rsidRPr="00A61B86">
        <w:rPr>
          <w:rFonts w:ascii="Book Antiqua" w:hAnsi="Book Antiqua"/>
          <w:sz w:val="24"/>
          <w:szCs w:val="24"/>
        </w:rPr>
        <w:t xml:space="preserve"> 2017; </w:t>
      </w:r>
      <w:r w:rsidRPr="00A61B86">
        <w:rPr>
          <w:rFonts w:ascii="Book Antiqua" w:hAnsi="Book Antiqua"/>
          <w:b/>
          <w:sz w:val="24"/>
          <w:szCs w:val="24"/>
        </w:rPr>
        <w:t>70</w:t>
      </w:r>
      <w:r w:rsidRPr="00A61B86">
        <w:rPr>
          <w:rFonts w:ascii="Book Antiqua" w:hAnsi="Book Antiqua"/>
          <w:sz w:val="24"/>
          <w:szCs w:val="24"/>
        </w:rPr>
        <w:t>: 2476-2486 [PMID: 29141781 DOI: 10.1016/j.jacc.2017.08.074]</w:t>
      </w:r>
    </w:p>
    <w:p w14:paraId="6C9CD95D"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20 </w:t>
      </w:r>
      <w:r w:rsidRPr="00A61B86">
        <w:rPr>
          <w:rFonts w:ascii="Book Antiqua" w:hAnsi="Book Antiqua"/>
          <w:b/>
          <w:sz w:val="24"/>
          <w:szCs w:val="24"/>
        </w:rPr>
        <w:t>Huynh K</w:t>
      </w:r>
      <w:r w:rsidRPr="00A61B86">
        <w:rPr>
          <w:rFonts w:ascii="Book Antiqua" w:hAnsi="Book Antiqua"/>
          <w:sz w:val="24"/>
          <w:szCs w:val="24"/>
        </w:rPr>
        <w:t xml:space="preserve">, Bernardo BC, McMullen JR, Ritchie RH. Diabetic cardiomyopathy: mechanisms and new treatment strategies targeting antioxidant signaling pathways. </w:t>
      </w:r>
      <w:r w:rsidRPr="00A61B86">
        <w:rPr>
          <w:rFonts w:ascii="Book Antiqua" w:hAnsi="Book Antiqua"/>
          <w:i/>
          <w:sz w:val="24"/>
          <w:szCs w:val="24"/>
        </w:rPr>
        <w:t>Pharmacol Ther</w:t>
      </w:r>
      <w:r w:rsidRPr="00A61B86">
        <w:rPr>
          <w:rFonts w:ascii="Book Antiqua" w:hAnsi="Book Antiqua"/>
          <w:sz w:val="24"/>
          <w:szCs w:val="24"/>
        </w:rPr>
        <w:t xml:space="preserve"> 2014; </w:t>
      </w:r>
      <w:r w:rsidRPr="00A61B86">
        <w:rPr>
          <w:rFonts w:ascii="Book Antiqua" w:hAnsi="Book Antiqua"/>
          <w:b/>
          <w:sz w:val="24"/>
          <w:szCs w:val="24"/>
        </w:rPr>
        <w:t>142</w:t>
      </w:r>
      <w:r w:rsidRPr="00A61B86">
        <w:rPr>
          <w:rFonts w:ascii="Book Antiqua" w:hAnsi="Book Antiqua"/>
          <w:sz w:val="24"/>
          <w:szCs w:val="24"/>
        </w:rPr>
        <w:t>: 375-415 [PMID: 24462787 DOI: 10.1016/j.pharmthera.2014.01.003]</w:t>
      </w:r>
    </w:p>
    <w:p w14:paraId="584BBA1F"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21 </w:t>
      </w:r>
      <w:r w:rsidRPr="00A61B86">
        <w:rPr>
          <w:rFonts w:ascii="Book Antiqua" w:hAnsi="Book Antiqua"/>
          <w:b/>
          <w:sz w:val="24"/>
          <w:szCs w:val="24"/>
        </w:rPr>
        <w:t>Levelt E</w:t>
      </w:r>
      <w:r w:rsidRPr="00A61B86">
        <w:rPr>
          <w:rFonts w:ascii="Book Antiqua" w:hAnsi="Book Antiqua"/>
          <w:sz w:val="24"/>
          <w:szCs w:val="24"/>
        </w:rPr>
        <w:t xml:space="preserve">, Gulsin G, Neubauer S, McCann GP. MECHANISMS IN ENDOCRINOLOGY: Diabetic cardiomyopathy: pathophysiology and potential metabolic interventions state of the art review. </w:t>
      </w:r>
      <w:r w:rsidRPr="00A61B86">
        <w:rPr>
          <w:rFonts w:ascii="Book Antiqua" w:hAnsi="Book Antiqua"/>
          <w:i/>
          <w:sz w:val="24"/>
          <w:szCs w:val="24"/>
        </w:rPr>
        <w:t>Eur J Endocrinol</w:t>
      </w:r>
      <w:r w:rsidRPr="00A61B86">
        <w:rPr>
          <w:rFonts w:ascii="Book Antiqua" w:hAnsi="Book Antiqua"/>
          <w:sz w:val="24"/>
          <w:szCs w:val="24"/>
        </w:rPr>
        <w:t xml:space="preserve"> 2018; </w:t>
      </w:r>
      <w:r w:rsidRPr="00A61B86">
        <w:rPr>
          <w:rFonts w:ascii="Book Antiqua" w:hAnsi="Book Antiqua"/>
          <w:b/>
          <w:sz w:val="24"/>
          <w:szCs w:val="24"/>
        </w:rPr>
        <w:t>178</w:t>
      </w:r>
      <w:r w:rsidRPr="00A61B86">
        <w:rPr>
          <w:rFonts w:ascii="Book Antiqua" w:hAnsi="Book Antiqua"/>
          <w:sz w:val="24"/>
          <w:szCs w:val="24"/>
        </w:rPr>
        <w:t>: R127-R139 [PMID: 29440374 DOI: 10.1530/EJE-17-0724]</w:t>
      </w:r>
    </w:p>
    <w:p w14:paraId="6C30227B"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22 </w:t>
      </w:r>
      <w:r w:rsidRPr="00A61B86">
        <w:rPr>
          <w:rFonts w:ascii="Book Antiqua" w:hAnsi="Book Antiqua"/>
          <w:b/>
          <w:sz w:val="24"/>
          <w:szCs w:val="24"/>
        </w:rPr>
        <w:t>Verma S</w:t>
      </w:r>
      <w:r w:rsidRPr="00A61B86">
        <w:rPr>
          <w:rFonts w:ascii="Book Antiqua" w:hAnsi="Book Antiqua"/>
          <w:sz w:val="24"/>
          <w:szCs w:val="24"/>
        </w:rPr>
        <w:t xml:space="preserve">, McMurray JJV, Cherney DZI. The Metabolodiuretic Promise of Sodium-Dependent Glucose Cotransporter 2 Inhibition: The Search for the Sweet Spot in Heart Failure. </w:t>
      </w:r>
      <w:r w:rsidRPr="00A61B86">
        <w:rPr>
          <w:rFonts w:ascii="Book Antiqua" w:hAnsi="Book Antiqua"/>
          <w:i/>
          <w:sz w:val="24"/>
          <w:szCs w:val="24"/>
        </w:rPr>
        <w:t>JAMA Cardiol</w:t>
      </w:r>
      <w:r w:rsidRPr="00A61B86">
        <w:rPr>
          <w:rFonts w:ascii="Book Antiqua" w:hAnsi="Book Antiqua"/>
          <w:sz w:val="24"/>
          <w:szCs w:val="24"/>
        </w:rPr>
        <w:t xml:space="preserve"> 2017; </w:t>
      </w:r>
      <w:r w:rsidRPr="00A61B86">
        <w:rPr>
          <w:rFonts w:ascii="Book Antiqua" w:hAnsi="Book Antiqua"/>
          <w:b/>
          <w:sz w:val="24"/>
          <w:szCs w:val="24"/>
        </w:rPr>
        <w:t>2</w:t>
      </w:r>
      <w:r w:rsidRPr="00A61B86">
        <w:rPr>
          <w:rFonts w:ascii="Book Antiqua" w:hAnsi="Book Antiqua"/>
          <w:sz w:val="24"/>
          <w:szCs w:val="24"/>
        </w:rPr>
        <w:t>: 939-940 [PMID: 28636701 DOI: 10.1001/jamacardio.2017.1891]</w:t>
      </w:r>
    </w:p>
    <w:p w14:paraId="0DA7C61E"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23 </w:t>
      </w:r>
      <w:r w:rsidRPr="00A61B86">
        <w:rPr>
          <w:rFonts w:ascii="Book Antiqua" w:hAnsi="Book Antiqua"/>
          <w:b/>
          <w:sz w:val="24"/>
          <w:szCs w:val="24"/>
        </w:rPr>
        <w:t>Staels B</w:t>
      </w:r>
      <w:r w:rsidRPr="00A61B86">
        <w:rPr>
          <w:rFonts w:ascii="Book Antiqua" w:hAnsi="Book Antiqua"/>
          <w:sz w:val="24"/>
          <w:szCs w:val="24"/>
        </w:rPr>
        <w:t xml:space="preserve">. Cardiovascular Protection by Sodium Glucose Cotransporter 2 Inhibitors: Potential Mechanisms. </w:t>
      </w:r>
      <w:r w:rsidRPr="00A61B86">
        <w:rPr>
          <w:rFonts w:ascii="Book Antiqua" w:hAnsi="Book Antiqua"/>
          <w:i/>
          <w:sz w:val="24"/>
          <w:szCs w:val="24"/>
        </w:rPr>
        <w:t>Am J Med</w:t>
      </w:r>
      <w:r w:rsidRPr="00A61B86">
        <w:rPr>
          <w:rFonts w:ascii="Book Antiqua" w:hAnsi="Book Antiqua"/>
          <w:sz w:val="24"/>
          <w:szCs w:val="24"/>
        </w:rPr>
        <w:t xml:space="preserve"> 2017; </w:t>
      </w:r>
      <w:r w:rsidRPr="00A61B86">
        <w:rPr>
          <w:rFonts w:ascii="Book Antiqua" w:hAnsi="Book Antiqua"/>
          <w:b/>
          <w:sz w:val="24"/>
          <w:szCs w:val="24"/>
        </w:rPr>
        <w:t>130</w:t>
      </w:r>
      <w:r w:rsidRPr="00A61B86">
        <w:rPr>
          <w:rFonts w:ascii="Book Antiqua" w:hAnsi="Book Antiqua"/>
          <w:sz w:val="24"/>
          <w:szCs w:val="24"/>
        </w:rPr>
        <w:t>: S30-S39 [PMID: 28526184 DOI: 10.1016/j.amjmed.2017.04.009]</w:t>
      </w:r>
    </w:p>
    <w:p w14:paraId="78682312"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24 </w:t>
      </w:r>
      <w:r w:rsidRPr="00A61B86">
        <w:rPr>
          <w:rFonts w:ascii="Book Antiqua" w:hAnsi="Book Antiqua"/>
          <w:b/>
          <w:sz w:val="24"/>
          <w:szCs w:val="24"/>
        </w:rPr>
        <w:t>Packer M</w:t>
      </w:r>
      <w:r w:rsidRPr="00A61B86">
        <w:rPr>
          <w:rFonts w:ascii="Book Antiqua" w:hAnsi="Book Antiqua"/>
          <w:sz w:val="24"/>
          <w:szCs w:val="24"/>
        </w:rPr>
        <w:t>. Lessons learned from the DAPA-HF trial concerning the mechanisms of benefit of SGLT2 inhibitors on heart failure events in the context of other large-</w:t>
      </w:r>
      <w:r w:rsidRPr="00A61B86">
        <w:rPr>
          <w:rFonts w:ascii="Book Antiqua" w:hAnsi="Book Antiqua"/>
          <w:sz w:val="24"/>
          <w:szCs w:val="24"/>
        </w:rPr>
        <w:lastRenderedPageBreak/>
        <w:t xml:space="preserve">scale trials nearing completion. </w:t>
      </w:r>
      <w:r w:rsidRPr="00A61B86">
        <w:rPr>
          <w:rFonts w:ascii="Book Antiqua" w:hAnsi="Book Antiqua"/>
          <w:i/>
          <w:sz w:val="24"/>
          <w:szCs w:val="24"/>
        </w:rPr>
        <w:t>Cardiovasc Diabetol</w:t>
      </w:r>
      <w:r w:rsidRPr="00A61B86">
        <w:rPr>
          <w:rFonts w:ascii="Book Antiqua" w:hAnsi="Book Antiqua"/>
          <w:sz w:val="24"/>
          <w:szCs w:val="24"/>
        </w:rPr>
        <w:t xml:space="preserve"> 2019; </w:t>
      </w:r>
      <w:r w:rsidRPr="00A61B86">
        <w:rPr>
          <w:rFonts w:ascii="Book Antiqua" w:hAnsi="Book Antiqua"/>
          <w:b/>
          <w:sz w:val="24"/>
          <w:szCs w:val="24"/>
        </w:rPr>
        <w:t>18</w:t>
      </w:r>
      <w:r w:rsidRPr="00A61B86">
        <w:rPr>
          <w:rFonts w:ascii="Book Antiqua" w:hAnsi="Book Antiqua"/>
          <w:sz w:val="24"/>
          <w:szCs w:val="24"/>
        </w:rPr>
        <w:t>: 129 [PMID: 31585532 DOI: 10.1186/s12933-019-0938-6]</w:t>
      </w:r>
    </w:p>
    <w:p w14:paraId="4E164FE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25 </w:t>
      </w:r>
      <w:r w:rsidRPr="00A61B86">
        <w:rPr>
          <w:rFonts w:ascii="Book Antiqua" w:hAnsi="Book Antiqua"/>
          <w:b/>
          <w:sz w:val="24"/>
          <w:szCs w:val="24"/>
        </w:rPr>
        <w:t>Ferrannini E</w:t>
      </w:r>
      <w:r w:rsidRPr="00A61B86">
        <w:rPr>
          <w:rFonts w:ascii="Book Antiqua" w:hAnsi="Book Antiqua"/>
          <w:sz w:val="24"/>
          <w:szCs w:val="24"/>
        </w:rPr>
        <w:t xml:space="preserve">, Muscelli E, Frascerra S, Baldi S, Mari A, Heise T, Broedl UC, Woerle HJ. Metabolic response to sodium-glucose cotransporter 2 inhibition in type 2 diabetic patients. </w:t>
      </w:r>
      <w:r w:rsidRPr="00A61B86">
        <w:rPr>
          <w:rFonts w:ascii="Book Antiqua" w:hAnsi="Book Antiqua"/>
          <w:i/>
          <w:sz w:val="24"/>
          <w:szCs w:val="24"/>
        </w:rPr>
        <w:t>J Clin Invest</w:t>
      </w:r>
      <w:r w:rsidRPr="00A61B86">
        <w:rPr>
          <w:rFonts w:ascii="Book Antiqua" w:hAnsi="Book Antiqua"/>
          <w:sz w:val="24"/>
          <w:szCs w:val="24"/>
        </w:rPr>
        <w:t xml:space="preserve"> 2014; </w:t>
      </w:r>
      <w:r w:rsidRPr="00A61B86">
        <w:rPr>
          <w:rFonts w:ascii="Book Antiqua" w:hAnsi="Book Antiqua"/>
          <w:b/>
          <w:sz w:val="24"/>
          <w:szCs w:val="24"/>
        </w:rPr>
        <w:t>124</w:t>
      </w:r>
      <w:r w:rsidRPr="00A61B86">
        <w:rPr>
          <w:rFonts w:ascii="Book Antiqua" w:hAnsi="Book Antiqua"/>
          <w:sz w:val="24"/>
          <w:szCs w:val="24"/>
        </w:rPr>
        <w:t>: 499-508 [PMID: 24463454 DOI: 10.1172/JCI72227]</w:t>
      </w:r>
    </w:p>
    <w:p w14:paraId="4903BC76"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26 </w:t>
      </w:r>
      <w:r w:rsidRPr="00A61B86">
        <w:rPr>
          <w:rFonts w:ascii="Book Antiqua" w:hAnsi="Book Antiqua"/>
          <w:b/>
          <w:sz w:val="24"/>
          <w:szCs w:val="24"/>
        </w:rPr>
        <w:t>Bolinder J</w:t>
      </w:r>
      <w:r w:rsidRPr="00A61B86">
        <w:rPr>
          <w:rFonts w:ascii="Book Antiqua" w:hAnsi="Book Antiqua"/>
          <w:sz w:val="24"/>
          <w:szCs w:val="24"/>
        </w:rPr>
        <w:t xml:space="preserve">, Ljunggren Ö, Johansson L, Wilding J, Langkilde AM, Sjöström CD, Sugg J, Parikh S. Dapagliflozin maintains glycaemic control while reducing weight and body fat mass over 2 years in patients with type 2 diabetes mellitus inadequately controlled on metformin. </w:t>
      </w:r>
      <w:r w:rsidRPr="00A61B86">
        <w:rPr>
          <w:rFonts w:ascii="Book Antiqua" w:hAnsi="Book Antiqua"/>
          <w:i/>
          <w:sz w:val="24"/>
          <w:szCs w:val="24"/>
        </w:rPr>
        <w:t>Diabetes Obes Metab</w:t>
      </w:r>
      <w:r w:rsidRPr="00A61B86">
        <w:rPr>
          <w:rFonts w:ascii="Book Antiqua" w:hAnsi="Book Antiqua"/>
          <w:sz w:val="24"/>
          <w:szCs w:val="24"/>
        </w:rPr>
        <w:t xml:space="preserve"> 2014; </w:t>
      </w:r>
      <w:r w:rsidRPr="00A61B86">
        <w:rPr>
          <w:rFonts w:ascii="Book Antiqua" w:hAnsi="Book Antiqua"/>
          <w:b/>
          <w:sz w:val="24"/>
          <w:szCs w:val="24"/>
        </w:rPr>
        <w:t>16</w:t>
      </w:r>
      <w:r w:rsidRPr="00A61B86">
        <w:rPr>
          <w:rFonts w:ascii="Book Antiqua" w:hAnsi="Book Antiqua"/>
          <w:sz w:val="24"/>
          <w:szCs w:val="24"/>
        </w:rPr>
        <w:t>: 159-169 [PMID: 23906445 DOI: 10.1111/dom.12189]</w:t>
      </w:r>
    </w:p>
    <w:p w14:paraId="2F61E48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27 </w:t>
      </w:r>
      <w:r w:rsidRPr="00A61B86">
        <w:rPr>
          <w:rFonts w:ascii="Book Antiqua" w:hAnsi="Book Antiqua"/>
          <w:b/>
          <w:sz w:val="24"/>
          <w:szCs w:val="24"/>
        </w:rPr>
        <w:t>DeFronzo RA</w:t>
      </w:r>
      <w:r w:rsidRPr="00A61B86">
        <w:rPr>
          <w:rFonts w:ascii="Book Antiqua" w:hAnsi="Book Antiqua"/>
          <w:sz w:val="24"/>
          <w:szCs w:val="24"/>
        </w:rPr>
        <w:t xml:space="preserve">. The EMPA-REG study: What has it told us? A diabetologist's perspective. </w:t>
      </w:r>
      <w:r w:rsidRPr="00A61B86">
        <w:rPr>
          <w:rFonts w:ascii="Book Antiqua" w:hAnsi="Book Antiqua"/>
          <w:i/>
          <w:sz w:val="24"/>
          <w:szCs w:val="24"/>
        </w:rPr>
        <w:t>J Diabetes Complications</w:t>
      </w:r>
      <w:r w:rsidRPr="00A61B86">
        <w:rPr>
          <w:rFonts w:ascii="Book Antiqua" w:hAnsi="Book Antiqua"/>
          <w:sz w:val="24"/>
          <w:szCs w:val="24"/>
        </w:rPr>
        <w:t xml:space="preserve"> 2016; </w:t>
      </w:r>
      <w:r w:rsidRPr="00A61B86">
        <w:rPr>
          <w:rFonts w:ascii="Book Antiqua" w:hAnsi="Book Antiqua"/>
          <w:b/>
          <w:sz w:val="24"/>
          <w:szCs w:val="24"/>
        </w:rPr>
        <w:t>30</w:t>
      </w:r>
      <w:r w:rsidRPr="00A61B86">
        <w:rPr>
          <w:rFonts w:ascii="Book Antiqua" w:hAnsi="Book Antiqua"/>
          <w:sz w:val="24"/>
          <w:szCs w:val="24"/>
        </w:rPr>
        <w:t>: 1-2 [PMID: 26541076 DOI: 10.1016/j.jdiacomp.2015.10.013]</w:t>
      </w:r>
    </w:p>
    <w:p w14:paraId="59887A23"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28 </w:t>
      </w:r>
      <w:r w:rsidRPr="00A61B86">
        <w:rPr>
          <w:rFonts w:ascii="Book Antiqua" w:hAnsi="Book Antiqua"/>
          <w:b/>
          <w:sz w:val="24"/>
          <w:szCs w:val="24"/>
        </w:rPr>
        <w:t>Packer M</w:t>
      </w:r>
      <w:r w:rsidRPr="00A61B86">
        <w:rPr>
          <w:rFonts w:ascii="Book Antiqua" w:hAnsi="Book Antiqua"/>
          <w:sz w:val="24"/>
          <w:szCs w:val="24"/>
        </w:rPr>
        <w:t xml:space="preserve">. Reconceptualization of the Molecular Mechanism by Which Sodium-Glucose Cotransporter 2 Inhibitors Reduce the Risk of Heart Failure Events. </w:t>
      </w:r>
      <w:r w:rsidRPr="00A61B86">
        <w:rPr>
          <w:rFonts w:ascii="Book Antiqua" w:hAnsi="Book Antiqua"/>
          <w:i/>
          <w:sz w:val="24"/>
          <w:szCs w:val="24"/>
        </w:rPr>
        <w:t>Circulation</w:t>
      </w:r>
      <w:r w:rsidRPr="00A61B86">
        <w:rPr>
          <w:rFonts w:ascii="Book Antiqua" w:hAnsi="Book Antiqua"/>
          <w:sz w:val="24"/>
          <w:szCs w:val="24"/>
        </w:rPr>
        <w:t xml:space="preserve"> 2019; </w:t>
      </w:r>
      <w:r w:rsidRPr="00A61B86">
        <w:rPr>
          <w:rFonts w:ascii="Book Antiqua" w:hAnsi="Book Antiqua"/>
          <w:b/>
          <w:sz w:val="24"/>
          <w:szCs w:val="24"/>
        </w:rPr>
        <w:t>140</w:t>
      </w:r>
      <w:r w:rsidRPr="00A61B86">
        <w:rPr>
          <w:rFonts w:ascii="Book Antiqua" w:hAnsi="Book Antiqua"/>
          <w:sz w:val="24"/>
          <w:szCs w:val="24"/>
        </w:rPr>
        <w:t>: 443-445 [PMID: 31381418 DOI: 10.1161/CIRCULATIONAHA.119.040909]</w:t>
      </w:r>
    </w:p>
    <w:p w14:paraId="63C276EA"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29 </w:t>
      </w:r>
      <w:r w:rsidRPr="00A61B86">
        <w:rPr>
          <w:rFonts w:ascii="Book Antiqua" w:hAnsi="Book Antiqua"/>
          <w:b/>
          <w:sz w:val="24"/>
          <w:szCs w:val="24"/>
        </w:rPr>
        <w:t>Abdul-Ghani M</w:t>
      </w:r>
      <w:r w:rsidRPr="00A61B86">
        <w:rPr>
          <w:rFonts w:ascii="Book Antiqua" w:hAnsi="Book Antiqua"/>
          <w:sz w:val="24"/>
          <w:szCs w:val="24"/>
        </w:rPr>
        <w:t xml:space="preserve">, Del Prato S, Chilton R, DeFronzo RA. SGLT2 Inhibitors and Cardiovascular Risk: Lessons Learned From the EMPA-REG OUTCOME Study. </w:t>
      </w:r>
      <w:r w:rsidRPr="00A61B86">
        <w:rPr>
          <w:rFonts w:ascii="Book Antiqua" w:hAnsi="Book Antiqua"/>
          <w:i/>
          <w:sz w:val="24"/>
          <w:szCs w:val="24"/>
        </w:rPr>
        <w:t>Diabetes Care</w:t>
      </w:r>
      <w:r w:rsidRPr="00A61B86">
        <w:rPr>
          <w:rFonts w:ascii="Book Antiqua" w:hAnsi="Book Antiqua"/>
          <w:sz w:val="24"/>
          <w:szCs w:val="24"/>
        </w:rPr>
        <w:t xml:space="preserve"> 2016; </w:t>
      </w:r>
      <w:r w:rsidRPr="00A61B86">
        <w:rPr>
          <w:rFonts w:ascii="Book Antiqua" w:hAnsi="Book Antiqua"/>
          <w:b/>
          <w:sz w:val="24"/>
          <w:szCs w:val="24"/>
        </w:rPr>
        <w:t>39</w:t>
      </w:r>
      <w:r w:rsidRPr="00A61B86">
        <w:rPr>
          <w:rFonts w:ascii="Book Antiqua" w:hAnsi="Book Antiqua"/>
          <w:sz w:val="24"/>
          <w:szCs w:val="24"/>
        </w:rPr>
        <w:t>: 717-725 [PMID: 27208375 DOI: 10.2337/dc16-0041]</w:t>
      </w:r>
    </w:p>
    <w:p w14:paraId="3658E5E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30 </w:t>
      </w:r>
      <w:r w:rsidRPr="00A61B86">
        <w:rPr>
          <w:rFonts w:ascii="Book Antiqua" w:hAnsi="Book Antiqua"/>
          <w:b/>
          <w:sz w:val="24"/>
          <w:szCs w:val="24"/>
        </w:rPr>
        <w:t>List JF</w:t>
      </w:r>
      <w:r w:rsidRPr="00A61B86">
        <w:rPr>
          <w:rFonts w:ascii="Book Antiqua" w:hAnsi="Book Antiqua"/>
          <w:sz w:val="24"/>
          <w:szCs w:val="24"/>
        </w:rPr>
        <w:t xml:space="preserve">, Whaley JM. Glucose dynamics and mechanistic implications of SGLT2 inhibitors in animals and humans. </w:t>
      </w:r>
      <w:r w:rsidRPr="00A61B86">
        <w:rPr>
          <w:rFonts w:ascii="Book Antiqua" w:hAnsi="Book Antiqua"/>
          <w:i/>
          <w:sz w:val="24"/>
          <w:szCs w:val="24"/>
        </w:rPr>
        <w:t>Kidney Int Suppl</w:t>
      </w:r>
      <w:r w:rsidRPr="00A61B86">
        <w:rPr>
          <w:rFonts w:ascii="Book Antiqua" w:hAnsi="Book Antiqua"/>
          <w:sz w:val="24"/>
          <w:szCs w:val="24"/>
        </w:rPr>
        <w:t xml:space="preserve"> 2011; : S20-S27 [PMID: 21358698 DOI: 10.1038/ki.2010.512]</w:t>
      </w:r>
    </w:p>
    <w:p w14:paraId="0B794C5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31 </w:t>
      </w:r>
      <w:r w:rsidRPr="00A61B86">
        <w:rPr>
          <w:rFonts w:ascii="Book Antiqua" w:hAnsi="Book Antiqua"/>
          <w:b/>
          <w:sz w:val="24"/>
          <w:szCs w:val="24"/>
        </w:rPr>
        <w:t>Ptaszynska A</w:t>
      </w:r>
      <w:r w:rsidRPr="00A61B86">
        <w:rPr>
          <w:rFonts w:ascii="Book Antiqua" w:hAnsi="Book Antiqua"/>
          <w:sz w:val="24"/>
          <w:szCs w:val="24"/>
        </w:rPr>
        <w:t xml:space="preserve">, Hardy E, Johnsson E, Parikh S, List J. Effects of dapagliflozin on cardiovascular risk factors. </w:t>
      </w:r>
      <w:r w:rsidRPr="00A61B86">
        <w:rPr>
          <w:rFonts w:ascii="Book Antiqua" w:hAnsi="Book Antiqua"/>
          <w:i/>
          <w:sz w:val="24"/>
          <w:szCs w:val="24"/>
        </w:rPr>
        <w:t>Postgrad Med</w:t>
      </w:r>
      <w:r w:rsidRPr="00A61B86">
        <w:rPr>
          <w:rFonts w:ascii="Book Antiqua" w:hAnsi="Book Antiqua"/>
          <w:sz w:val="24"/>
          <w:szCs w:val="24"/>
        </w:rPr>
        <w:t xml:space="preserve"> 2013; </w:t>
      </w:r>
      <w:r w:rsidRPr="00A61B86">
        <w:rPr>
          <w:rFonts w:ascii="Book Antiqua" w:hAnsi="Book Antiqua"/>
          <w:b/>
          <w:sz w:val="24"/>
          <w:szCs w:val="24"/>
        </w:rPr>
        <w:t>125</w:t>
      </w:r>
      <w:r w:rsidRPr="00A61B86">
        <w:rPr>
          <w:rFonts w:ascii="Book Antiqua" w:hAnsi="Book Antiqua"/>
          <w:sz w:val="24"/>
          <w:szCs w:val="24"/>
        </w:rPr>
        <w:t>: 181-189 [PMID: 23748519 DOI: 10.3810/pgm.2013.05.2667]</w:t>
      </w:r>
    </w:p>
    <w:p w14:paraId="4771F1D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32 </w:t>
      </w:r>
      <w:r w:rsidRPr="00A61B86">
        <w:rPr>
          <w:rFonts w:ascii="Book Antiqua" w:hAnsi="Book Antiqua"/>
          <w:b/>
          <w:sz w:val="24"/>
          <w:szCs w:val="24"/>
        </w:rPr>
        <w:t>Kittleson MM</w:t>
      </w:r>
      <w:r w:rsidRPr="00A61B86">
        <w:rPr>
          <w:rFonts w:ascii="Book Antiqua" w:hAnsi="Book Antiqua"/>
          <w:sz w:val="24"/>
          <w:szCs w:val="24"/>
        </w:rPr>
        <w:t xml:space="preserve">, St John ME, Bead V, Champion HC, Kasper EK, Russell SD, Wittstein IS, Hare JM. Increased levels of uric acid predict haemodynamic compromise in patients with heart failure independently of B-type natriuretic peptide levels. </w:t>
      </w:r>
      <w:r w:rsidRPr="00A61B86">
        <w:rPr>
          <w:rFonts w:ascii="Book Antiqua" w:hAnsi="Book Antiqua"/>
          <w:i/>
          <w:sz w:val="24"/>
          <w:szCs w:val="24"/>
        </w:rPr>
        <w:t>Heart</w:t>
      </w:r>
      <w:r w:rsidRPr="00A61B86">
        <w:rPr>
          <w:rFonts w:ascii="Book Antiqua" w:hAnsi="Book Antiqua"/>
          <w:sz w:val="24"/>
          <w:szCs w:val="24"/>
        </w:rPr>
        <w:t xml:space="preserve"> 2007; </w:t>
      </w:r>
      <w:r w:rsidRPr="00A61B86">
        <w:rPr>
          <w:rFonts w:ascii="Book Antiqua" w:hAnsi="Book Antiqua"/>
          <w:b/>
          <w:sz w:val="24"/>
          <w:szCs w:val="24"/>
        </w:rPr>
        <w:t>93</w:t>
      </w:r>
      <w:r w:rsidRPr="00A61B86">
        <w:rPr>
          <w:rFonts w:ascii="Book Antiqua" w:hAnsi="Book Antiqua"/>
          <w:sz w:val="24"/>
          <w:szCs w:val="24"/>
        </w:rPr>
        <w:t>: 365-367 [PMID: 17322514 DOI: 10.1136/hrt.2006.090845]</w:t>
      </w:r>
    </w:p>
    <w:p w14:paraId="79573E82"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lastRenderedPageBreak/>
        <w:t xml:space="preserve">33 </w:t>
      </w:r>
      <w:r w:rsidRPr="00A61B86">
        <w:rPr>
          <w:rFonts w:ascii="Book Antiqua" w:hAnsi="Book Antiqua"/>
          <w:b/>
          <w:sz w:val="24"/>
          <w:szCs w:val="24"/>
        </w:rPr>
        <w:t>Feig DI</w:t>
      </w:r>
      <w:r w:rsidRPr="00A61B86">
        <w:rPr>
          <w:rFonts w:ascii="Book Antiqua" w:hAnsi="Book Antiqua"/>
          <w:sz w:val="24"/>
          <w:szCs w:val="24"/>
        </w:rPr>
        <w:t xml:space="preserve">, Kang DH, Johnson RJ. Uric acid and cardiovascular risk. </w:t>
      </w:r>
      <w:r w:rsidRPr="00A61B86">
        <w:rPr>
          <w:rFonts w:ascii="Book Antiqua" w:hAnsi="Book Antiqua"/>
          <w:i/>
          <w:sz w:val="24"/>
          <w:szCs w:val="24"/>
        </w:rPr>
        <w:t>N Engl J Med</w:t>
      </w:r>
      <w:r w:rsidRPr="00A61B86">
        <w:rPr>
          <w:rFonts w:ascii="Book Antiqua" w:hAnsi="Book Antiqua"/>
          <w:sz w:val="24"/>
          <w:szCs w:val="24"/>
        </w:rPr>
        <w:t xml:space="preserve"> 2008; </w:t>
      </w:r>
      <w:r w:rsidRPr="00A61B86">
        <w:rPr>
          <w:rFonts w:ascii="Book Antiqua" w:hAnsi="Book Antiqua"/>
          <w:b/>
          <w:sz w:val="24"/>
          <w:szCs w:val="24"/>
        </w:rPr>
        <w:t>359</w:t>
      </w:r>
      <w:r w:rsidRPr="00A61B86">
        <w:rPr>
          <w:rFonts w:ascii="Book Antiqua" w:hAnsi="Book Antiqua"/>
          <w:sz w:val="24"/>
          <w:szCs w:val="24"/>
        </w:rPr>
        <w:t>: 1811-1821 [PMID: 18946066 DOI: 10.1056/NEJMra0800885]</w:t>
      </w:r>
    </w:p>
    <w:p w14:paraId="23060208"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34 </w:t>
      </w:r>
      <w:r w:rsidRPr="00A61B86">
        <w:rPr>
          <w:rFonts w:ascii="Book Antiqua" w:hAnsi="Book Antiqua"/>
          <w:b/>
          <w:sz w:val="24"/>
          <w:szCs w:val="24"/>
        </w:rPr>
        <w:t>Hare JM</w:t>
      </w:r>
      <w:r w:rsidRPr="00A61B86">
        <w:rPr>
          <w:rFonts w:ascii="Book Antiqua" w:hAnsi="Book Antiqua"/>
          <w:sz w:val="24"/>
          <w:szCs w:val="24"/>
        </w:rPr>
        <w:t xml:space="preserve">, Johnson RJ. Uric acid predicts clinical outcomes in heart failure: insights regarding the role of xanthine oxidase and uric acid in disease pathophysiology. </w:t>
      </w:r>
      <w:r w:rsidRPr="00A61B86">
        <w:rPr>
          <w:rFonts w:ascii="Book Antiqua" w:hAnsi="Book Antiqua"/>
          <w:i/>
          <w:sz w:val="24"/>
          <w:szCs w:val="24"/>
        </w:rPr>
        <w:t>Circulation</w:t>
      </w:r>
      <w:r w:rsidRPr="00A61B86">
        <w:rPr>
          <w:rFonts w:ascii="Book Antiqua" w:hAnsi="Book Antiqua"/>
          <w:sz w:val="24"/>
          <w:szCs w:val="24"/>
        </w:rPr>
        <w:t xml:space="preserve"> 2003; </w:t>
      </w:r>
      <w:r w:rsidRPr="00A61B86">
        <w:rPr>
          <w:rFonts w:ascii="Book Antiqua" w:hAnsi="Book Antiqua"/>
          <w:b/>
          <w:sz w:val="24"/>
          <w:szCs w:val="24"/>
        </w:rPr>
        <w:t>107</w:t>
      </w:r>
      <w:r w:rsidRPr="00A61B86">
        <w:rPr>
          <w:rFonts w:ascii="Book Antiqua" w:hAnsi="Book Antiqua"/>
          <w:sz w:val="24"/>
          <w:szCs w:val="24"/>
        </w:rPr>
        <w:t>: 1951-1953 [PMID: 12707249 DOI: 10.1161/01.CIR.0000066420.36123.35]</w:t>
      </w:r>
    </w:p>
    <w:p w14:paraId="3888A9AD"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35 </w:t>
      </w:r>
      <w:r w:rsidRPr="00A61B86">
        <w:rPr>
          <w:rFonts w:ascii="Book Antiqua" w:hAnsi="Book Antiqua"/>
          <w:b/>
          <w:sz w:val="24"/>
          <w:szCs w:val="24"/>
        </w:rPr>
        <w:t>Cherney DZ</w:t>
      </w:r>
      <w:r w:rsidRPr="00A61B86">
        <w:rPr>
          <w:rFonts w:ascii="Book Antiqua" w:hAnsi="Book Antiqua"/>
          <w:sz w:val="24"/>
          <w:szCs w:val="24"/>
        </w:rPr>
        <w:t xml:space="preserve">, Perkins BA, Soleymanlou N, Maione M, Lai V, Lee A, Fagan NM, Woerle HJ, Johansen OE, Broedl UC, von Eynatten M. Renal hemodynamic effect of sodium-glucose cotransporter 2 inhibition in patients with type 1 diabetes mellitus. </w:t>
      </w:r>
      <w:r w:rsidRPr="00A61B86">
        <w:rPr>
          <w:rFonts w:ascii="Book Antiqua" w:hAnsi="Book Antiqua"/>
          <w:i/>
          <w:sz w:val="24"/>
          <w:szCs w:val="24"/>
        </w:rPr>
        <w:t>Circulation</w:t>
      </w:r>
      <w:r w:rsidRPr="00A61B86">
        <w:rPr>
          <w:rFonts w:ascii="Book Antiqua" w:hAnsi="Book Antiqua"/>
          <w:sz w:val="24"/>
          <w:szCs w:val="24"/>
        </w:rPr>
        <w:t xml:space="preserve"> 2014; </w:t>
      </w:r>
      <w:r w:rsidRPr="00A61B86">
        <w:rPr>
          <w:rFonts w:ascii="Book Antiqua" w:hAnsi="Book Antiqua"/>
          <w:b/>
          <w:sz w:val="24"/>
          <w:szCs w:val="24"/>
        </w:rPr>
        <w:t>129</w:t>
      </w:r>
      <w:r w:rsidRPr="00A61B86">
        <w:rPr>
          <w:rFonts w:ascii="Book Antiqua" w:hAnsi="Book Antiqua"/>
          <w:sz w:val="24"/>
          <w:szCs w:val="24"/>
        </w:rPr>
        <w:t>: 587-597 [PMID: 24334175 DOI: 10.1161/CIRCULATIONAHA.113.005081]</w:t>
      </w:r>
    </w:p>
    <w:p w14:paraId="6DE2113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36 </w:t>
      </w:r>
      <w:r w:rsidRPr="00A61B86">
        <w:rPr>
          <w:rFonts w:ascii="Book Antiqua" w:hAnsi="Book Antiqua"/>
          <w:b/>
          <w:sz w:val="24"/>
          <w:szCs w:val="24"/>
        </w:rPr>
        <w:t>Lo KB</w:t>
      </w:r>
      <w:r w:rsidRPr="00A61B86">
        <w:rPr>
          <w:rFonts w:ascii="Book Antiqua" w:hAnsi="Book Antiqua"/>
          <w:sz w:val="24"/>
          <w:szCs w:val="24"/>
        </w:rPr>
        <w:t xml:space="preserve">, Gul F, Ram P, Kluger AY, Tecson KM, McCullough PA, Rangaswami J. The Effects of SGLT2 Inhibitors on Cardiovascular and Renal Outcomes in Diabetic Patients: A Systematic Review and Meta-Analysis. </w:t>
      </w:r>
      <w:r w:rsidRPr="00A61B86">
        <w:rPr>
          <w:rFonts w:ascii="Book Antiqua" w:hAnsi="Book Antiqua"/>
          <w:i/>
          <w:sz w:val="24"/>
          <w:szCs w:val="24"/>
        </w:rPr>
        <w:t>Cardiorenal Med</w:t>
      </w:r>
      <w:r w:rsidRPr="00A61B86">
        <w:rPr>
          <w:rFonts w:ascii="Book Antiqua" w:hAnsi="Book Antiqua"/>
          <w:sz w:val="24"/>
          <w:szCs w:val="24"/>
        </w:rPr>
        <w:t xml:space="preserve"> 2020; </w:t>
      </w:r>
      <w:r w:rsidRPr="00A61B86">
        <w:rPr>
          <w:rFonts w:ascii="Book Antiqua" w:hAnsi="Book Antiqua"/>
          <w:b/>
          <w:sz w:val="24"/>
          <w:szCs w:val="24"/>
        </w:rPr>
        <w:t>10</w:t>
      </w:r>
      <w:r w:rsidRPr="00A61B86">
        <w:rPr>
          <w:rFonts w:ascii="Book Antiqua" w:hAnsi="Book Antiqua"/>
          <w:sz w:val="24"/>
          <w:szCs w:val="24"/>
        </w:rPr>
        <w:t>: 1-10 [PMID: 31743918 DOI: 10.1159/000503919]</w:t>
      </w:r>
    </w:p>
    <w:p w14:paraId="14BC1E4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37 </w:t>
      </w:r>
      <w:r w:rsidRPr="00A61B86">
        <w:rPr>
          <w:rFonts w:ascii="Book Antiqua" w:hAnsi="Book Antiqua"/>
          <w:b/>
          <w:sz w:val="24"/>
          <w:szCs w:val="24"/>
        </w:rPr>
        <w:t>Sano M</w:t>
      </w:r>
      <w:r w:rsidRPr="00A61B86">
        <w:rPr>
          <w:rFonts w:ascii="Book Antiqua" w:hAnsi="Book Antiqua"/>
          <w:sz w:val="24"/>
          <w:szCs w:val="24"/>
        </w:rPr>
        <w:t xml:space="preserve">. A new class of drugs for heart failure: SGLT2 inhibitors reduce sympathetic overactivity. </w:t>
      </w:r>
      <w:r w:rsidRPr="00A61B86">
        <w:rPr>
          <w:rFonts w:ascii="Book Antiqua" w:hAnsi="Book Antiqua"/>
          <w:i/>
          <w:sz w:val="24"/>
          <w:szCs w:val="24"/>
        </w:rPr>
        <w:t>J Cardiol</w:t>
      </w:r>
      <w:r w:rsidRPr="00A61B86">
        <w:rPr>
          <w:rFonts w:ascii="Book Antiqua" w:hAnsi="Book Antiqua"/>
          <w:sz w:val="24"/>
          <w:szCs w:val="24"/>
        </w:rPr>
        <w:t xml:space="preserve"> 2018; </w:t>
      </w:r>
      <w:r w:rsidRPr="00A61B86">
        <w:rPr>
          <w:rFonts w:ascii="Book Antiqua" w:hAnsi="Book Antiqua"/>
          <w:b/>
          <w:sz w:val="24"/>
          <w:szCs w:val="24"/>
        </w:rPr>
        <w:t>71</w:t>
      </w:r>
      <w:r w:rsidRPr="00A61B86">
        <w:rPr>
          <w:rFonts w:ascii="Book Antiqua" w:hAnsi="Book Antiqua"/>
          <w:sz w:val="24"/>
          <w:szCs w:val="24"/>
        </w:rPr>
        <w:t>: 471-476 [PMID: 29415819 DOI: 10.1016/j.jjcc.2017.12.004]</w:t>
      </w:r>
    </w:p>
    <w:p w14:paraId="0FE1C6B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38 </w:t>
      </w:r>
      <w:r w:rsidRPr="00A61B86">
        <w:rPr>
          <w:rFonts w:ascii="Book Antiqua" w:hAnsi="Book Antiqua"/>
          <w:b/>
          <w:sz w:val="24"/>
          <w:szCs w:val="24"/>
        </w:rPr>
        <w:t>Perkovic V</w:t>
      </w:r>
      <w:r w:rsidRPr="00A61B86">
        <w:rPr>
          <w:rFonts w:ascii="Book Antiqua" w:hAnsi="Book Antiqua"/>
          <w:sz w:val="24"/>
          <w:szCs w:val="24"/>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A61B86">
        <w:rPr>
          <w:rFonts w:ascii="Book Antiqua" w:hAnsi="Book Antiqua"/>
          <w:i/>
          <w:sz w:val="24"/>
          <w:szCs w:val="24"/>
        </w:rPr>
        <w:t>N Engl J Med</w:t>
      </w:r>
      <w:r w:rsidRPr="00A61B86">
        <w:rPr>
          <w:rFonts w:ascii="Book Antiqua" w:hAnsi="Book Antiqua"/>
          <w:sz w:val="24"/>
          <w:szCs w:val="24"/>
        </w:rPr>
        <w:t xml:space="preserve"> 2019; </w:t>
      </w:r>
      <w:r w:rsidRPr="00A61B86">
        <w:rPr>
          <w:rFonts w:ascii="Book Antiqua" w:hAnsi="Book Antiqua"/>
          <w:b/>
          <w:sz w:val="24"/>
          <w:szCs w:val="24"/>
        </w:rPr>
        <w:t>380</w:t>
      </w:r>
      <w:r w:rsidRPr="00A61B86">
        <w:rPr>
          <w:rFonts w:ascii="Book Antiqua" w:hAnsi="Book Antiqua"/>
          <w:sz w:val="24"/>
          <w:szCs w:val="24"/>
        </w:rPr>
        <w:t>: 2295-2306 [PMID: 30990260 DOI: 10.1056/NEJMoa1811744]</w:t>
      </w:r>
    </w:p>
    <w:p w14:paraId="6391DE5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39 </w:t>
      </w:r>
      <w:r w:rsidRPr="00A61B86">
        <w:rPr>
          <w:rFonts w:ascii="Book Antiqua" w:hAnsi="Book Antiqua"/>
          <w:b/>
          <w:sz w:val="24"/>
          <w:szCs w:val="24"/>
        </w:rPr>
        <w:t>Lambers Heerspink HJ</w:t>
      </w:r>
      <w:r w:rsidRPr="00A61B86">
        <w:rPr>
          <w:rFonts w:ascii="Book Antiqua" w:hAnsi="Book Antiqua"/>
          <w:sz w:val="24"/>
          <w:szCs w:val="24"/>
        </w:rPr>
        <w:t xml:space="preserve">, de Zeeuw D, Wie L, Leslie B, List J. Dapagliflozin a glucose-regulating drug with diuretic properties in subjects with type 2 diabetes. </w:t>
      </w:r>
      <w:r w:rsidRPr="00A61B86">
        <w:rPr>
          <w:rFonts w:ascii="Book Antiqua" w:hAnsi="Book Antiqua"/>
          <w:i/>
          <w:sz w:val="24"/>
          <w:szCs w:val="24"/>
        </w:rPr>
        <w:t>Diabetes Obes Metab</w:t>
      </w:r>
      <w:r w:rsidRPr="00A61B86">
        <w:rPr>
          <w:rFonts w:ascii="Book Antiqua" w:hAnsi="Book Antiqua"/>
          <w:sz w:val="24"/>
          <w:szCs w:val="24"/>
        </w:rPr>
        <w:t xml:space="preserve"> 2013; </w:t>
      </w:r>
      <w:r w:rsidRPr="00A61B86">
        <w:rPr>
          <w:rFonts w:ascii="Book Antiqua" w:hAnsi="Book Antiqua"/>
          <w:b/>
          <w:sz w:val="24"/>
          <w:szCs w:val="24"/>
        </w:rPr>
        <w:t>15</w:t>
      </w:r>
      <w:r w:rsidRPr="00A61B86">
        <w:rPr>
          <w:rFonts w:ascii="Book Antiqua" w:hAnsi="Book Antiqua"/>
          <w:sz w:val="24"/>
          <w:szCs w:val="24"/>
        </w:rPr>
        <w:t>: 853-862 [PMID: 23668478 DOI: 10.1111/dom.12127]</w:t>
      </w:r>
    </w:p>
    <w:p w14:paraId="6E0B3A05"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40 </w:t>
      </w:r>
      <w:r w:rsidRPr="00A61B86">
        <w:rPr>
          <w:rFonts w:ascii="Book Antiqua" w:hAnsi="Book Antiqua"/>
          <w:b/>
          <w:sz w:val="24"/>
          <w:szCs w:val="24"/>
        </w:rPr>
        <w:t>Swedberg K</w:t>
      </w:r>
      <w:r w:rsidRPr="00A61B86">
        <w:rPr>
          <w:rFonts w:ascii="Book Antiqua" w:hAnsi="Book Antiqua"/>
          <w:sz w:val="24"/>
          <w:szCs w:val="24"/>
        </w:rPr>
        <w:t xml:space="preserve">, Young JB, Anand IS, Cheng S, Desai AS, Diaz R, Maggioni AP, McMurray JJ, O'Connor C, Pfeffer MA, Solomon SD, Sun Y, Tendera M, van Veldhuisen DJ; RED-HF Committees; RED-HF Investigators. Treatment of anemia with darbepoetin alfa in systolic heart failure. </w:t>
      </w:r>
      <w:r w:rsidRPr="00A61B86">
        <w:rPr>
          <w:rFonts w:ascii="Book Antiqua" w:hAnsi="Book Antiqua"/>
          <w:i/>
          <w:sz w:val="24"/>
          <w:szCs w:val="24"/>
        </w:rPr>
        <w:t>N Engl J Med</w:t>
      </w:r>
      <w:r w:rsidRPr="00A61B86">
        <w:rPr>
          <w:rFonts w:ascii="Book Antiqua" w:hAnsi="Book Antiqua"/>
          <w:sz w:val="24"/>
          <w:szCs w:val="24"/>
        </w:rPr>
        <w:t xml:space="preserve"> 2013; </w:t>
      </w:r>
      <w:r w:rsidRPr="00A61B86">
        <w:rPr>
          <w:rFonts w:ascii="Book Antiqua" w:hAnsi="Book Antiqua"/>
          <w:b/>
          <w:sz w:val="24"/>
          <w:szCs w:val="24"/>
        </w:rPr>
        <w:t>368</w:t>
      </w:r>
      <w:r w:rsidRPr="00A61B86">
        <w:rPr>
          <w:rFonts w:ascii="Book Antiqua" w:hAnsi="Book Antiqua"/>
          <w:sz w:val="24"/>
          <w:szCs w:val="24"/>
        </w:rPr>
        <w:t>: 1210-1219 [PMID: 23473338 DOI: 10.1056/NEJMoa1214865]</w:t>
      </w:r>
    </w:p>
    <w:p w14:paraId="3FBDB52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lastRenderedPageBreak/>
        <w:t xml:space="preserve">41 </w:t>
      </w:r>
      <w:r w:rsidRPr="00A61B86">
        <w:rPr>
          <w:rFonts w:ascii="Book Antiqua" w:hAnsi="Book Antiqua"/>
          <w:b/>
          <w:sz w:val="24"/>
          <w:szCs w:val="24"/>
        </w:rPr>
        <w:t>Yu AS</w:t>
      </w:r>
      <w:r w:rsidRPr="00A61B86">
        <w:rPr>
          <w:rFonts w:ascii="Book Antiqua" w:hAnsi="Book Antiqua"/>
          <w:sz w:val="24"/>
          <w:szCs w:val="24"/>
        </w:rPr>
        <w:t xml:space="preserve">, Hirayama BA, Timbol G, Liu J, Diez-Sampedro A, Kepe V, Satyamurthy N, Huang SC, Wright EM, Barrio JR. Regional distribution of SGLT activity in rat brain in vivo. </w:t>
      </w:r>
      <w:r w:rsidRPr="00A61B86">
        <w:rPr>
          <w:rFonts w:ascii="Book Antiqua" w:hAnsi="Book Antiqua"/>
          <w:i/>
          <w:sz w:val="24"/>
          <w:szCs w:val="24"/>
        </w:rPr>
        <w:t>Am J Physiol Cell Physiol</w:t>
      </w:r>
      <w:r w:rsidRPr="00A61B86">
        <w:rPr>
          <w:rFonts w:ascii="Book Antiqua" w:hAnsi="Book Antiqua"/>
          <w:sz w:val="24"/>
          <w:szCs w:val="24"/>
        </w:rPr>
        <w:t xml:space="preserve"> 2013; </w:t>
      </w:r>
      <w:r w:rsidRPr="00A61B86">
        <w:rPr>
          <w:rFonts w:ascii="Book Antiqua" w:hAnsi="Book Antiqua"/>
          <w:b/>
          <w:sz w:val="24"/>
          <w:szCs w:val="24"/>
        </w:rPr>
        <w:t>304</w:t>
      </w:r>
      <w:r w:rsidRPr="00A61B86">
        <w:rPr>
          <w:rFonts w:ascii="Book Antiqua" w:hAnsi="Book Antiqua"/>
          <w:sz w:val="24"/>
          <w:szCs w:val="24"/>
        </w:rPr>
        <w:t>: C240-C247 [PMID: 23151803 DOI: 10.1152/ajpcell.00317.2012]</w:t>
      </w:r>
    </w:p>
    <w:p w14:paraId="6BDC2D6D"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42 </w:t>
      </w:r>
      <w:r w:rsidRPr="00A61B86">
        <w:rPr>
          <w:rFonts w:ascii="Book Antiqua" w:hAnsi="Book Antiqua"/>
          <w:b/>
          <w:sz w:val="24"/>
          <w:szCs w:val="24"/>
        </w:rPr>
        <w:t>Poppe R</w:t>
      </w:r>
      <w:r w:rsidRPr="00A61B86">
        <w:rPr>
          <w:rFonts w:ascii="Book Antiqua" w:hAnsi="Book Antiqua"/>
          <w:sz w:val="24"/>
          <w:szCs w:val="24"/>
        </w:rPr>
        <w:t xml:space="preserve">, Karbach U, Gambaryan S, Wiesinger H, Lutzenburg M, Kraemer M, Witte OW, Koepsell H. Expression of the Na+-D-glucose cotransporter SGLT1 in neurons. </w:t>
      </w:r>
      <w:r w:rsidRPr="00A61B86">
        <w:rPr>
          <w:rFonts w:ascii="Book Antiqua" w:hAnsi="Book Antiqua"/>
          <w:i/>
          <w:sz w:val="24"/>
          <w:szCs w:val="24"/>
        </w:rPr>
        <w:t>J Neurochem</w:t>
      </w:r>
      <w:r w:rsidRPr="00A61B86">
        <w:rPr>
          <w:rFonts w:ascii="Book Antiqua" w:hAnsi="Book Antiqua"/>
          <w:sz w:val="24"/>
          <w:szCs w:val="24"/>
        </w:rPr>
        <w:t xml:space="preserve"> 1997; </w:t>
      </w:r>
      <w:r w:rsidRPr="00A61B86">
        <w:rPr>
          <w:rFonts w:ascii="Book Antiqua" w:hAnsi="Book Antiqua"/>
          <w:b/>
          <w:sz w:val="24"/>
          <w:szCs w:val="24"/>
        </w:rPr>
        <w:t>69</w:t>
      </w:r>
      <w:r w:rsidRPr="00A61B86">
        <w:rPr>
          <w:rFonts w:ascii="Book Antiqua" w:hAnsi="Book Antiqua"/>
          <w:sz w:val="24"/>
          <w:szCs w:val="24"/>
        </w:rPr>
        <w:t>: 84-94 [PMID: 9202297 DOI: 10.1046/j.1471-4159.1997.69010084.x]</w:t>
      </w:r>
    </w:p>
    <w:p w14:paraId="78C7A3A2"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43 </w:t>
      </w:r>
      <w:r w:rsidRPr="00A61B86">
        <w:rPr>
          <w:rFonts w:ascii="Book Antiqua" w:hAnsi="Book Antiqua"/>
          <w:b/>
          <w:sz w:val="24"/>
          <w:szCs w:val="24"/>
        </w:rPr>
        <w:t>Jones BJ</w:t>
      </w:r>
      <w:r w:rsidRPr="00A61B86">
        <w:rPr>
          <w:rFonts w:ascii="Book Antiqua" w:hAnsi="Book Antiqua"/>
          <w:sz w:val="24"/>
          <w:szCs w:val="24"/>
        </w:rPr>
        <w:t xml:space="preserve">, Tan T, Bloom SR. Minireview: Glucagon in stress and energy homeostasis. </w:t>
      </w:r>
      <w:r w:rsidRPr="00A61B86">
        <w:rPr>
          <w:rFonts w:ascii="Book Antiqua" w:hAnsi="Book Antiqua"/>
          <w:i/>
          <w:sz w:val="24"/>
          <w:szCs w:val="24"/>
        </w:rPr>
        <w:t>Endocrinology</w:t>
      </w:r>
      <w:r w:rsidRPr="00A61B86">
        <w:rPr>
          <w:rFonts w:ascii="Book Antiqua" w:hAnsi="Book Antiqua"/>
          <w:sz w:val="24"/>
          <w:szCs w:val="24"/>
        </w:rPr>
        <w:t xml:space="preserve"> 2012; </w:t>
      </w:r>
      <w:r w:rsidRPr="00A61B86">
        <w:rPr>
          <w:rFonts w:ascii="Book Antiqua" w:hAnsi="Book Antiqua"/>
          <w:b/>
          <w:sz w:val="24"/>
          <w:szCs w:val="24"/>
        </w:rPr>
        <w:t>153</w:t>
      </w:r>
      <w:r w:rsidRPr="00A61B86">
        <w:rPr>
          <w:rFonts w:ascii="Book Antiqua" w:hAnsi="Book Antiqua"/>
          <w:sz w:val="24"/>
          <w:szCs w:val="24"/>
        </w:rPr>
        <w:t>: 1049-1054 [PMID: 22294753 DOI: 10.1210/en.2011-1979]</w:t>
      </w:r>
    </w:p>
    <w:p w14:paraId="1DDD7391" w14:textId="428D6414"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44 </w:t>
      </w:r>
      <w:r w:rsidRPr="00A61B86">
        <w:rPr>
          <w:rFonts w:ascii="Book Antiqua" w:hAnsi="Book Antiqua"/>
          <w:b/>
          <w:sz w:val="24"/>
          <w:szCs w:val="24"/>
        </w:rPr>
        <w:t>R</w:t>
      </w:r>
      <w:r w:rsidR="006C3D29" w:rsidRPr="00A61B86">
        <w:rPr>
          <w:rFonts w:ascii="Book Antiqua" w:hAnsi="Book Antiqua"/>
          <w:b/>
          <w:sz w:val="24"/>
          <w:szCs w:val="24"/>
        </w:rPr>
        <w:t>egan</w:t>
      </w:r>
      <w:r w:rsidRPr="00A61B86">
        <w:rPr>
          <w:rFonts w:ascii="Book Antiqua" w:hAnsi="Book Antiqua"/>
          <w:b/>
          <w:sz w:val="24"/>
          <w:szCs w:val="24"/>
        </w:rPr>
        <w:t xml:space="preserve"> TJ</w:t>
      </w:r>
      <w:r w:rsidRPr="00A61B86">
        <w:rPr>
          <w:rFonts w:ascii="Book Antiqua" w:hAnsi="Book Antiqua"/>
          <w:sz w:val="24"/>
          <w:szCs w:val="24"/>
        </w:rPr>
        <w:t>, L</w:t>
      </w:r>
      <w:r w:rsidR="006C3D29" w:rsidRPr="00A61B86">
        <w:rPr>
          <w:rFonts w:ascii="Book Antiqua" w:hAnsi="Book Antiqua"/>
          <w:sz w:val="24"/>
          <w:szCs w:val="24"/>
        </w:rPr>
        <w:t>ehan</w:t>
      </w:r>
      <w:r w:rsidRPr="00A61B86">
        <w:rPr>
          <w:rFonts w:ascii="Book Antiqua" w:hAnsi="Book Antiqua"/>
          <w:sz w:val="24"/>
          <w:szCs w:val="24"/>
        </w:rPr>
        <w:t xml:space="preserve"> PH, H</w:t>
      </w:r>
      <w:r w:rsidR="006C3D29" w:rsidRPr="00A61B86">
        <w:rPr>
          <w:rFonts w:ascii="Book Antiqua" w:hAnsi="Book Antiqua"/>
          <w:sz w:val="24"/>
          <w:szCs w:val="24"/>
        </w:rPr>
        <w:t>enneman</w:t>
      </w:r>
      <w:r w:rsidRPr="00A61B86">
        <w:rPr>
          <w:rFonts w:ascii="Book Antiqua" w:hAnsi="Book Antiqua"/>
          <w:sz w:val="24"/>
          <w:szCs w:val="24"/>
        </w:rPr>
        <w:t xml:space="preserve"> DH, B</w:t>
      </w:r>
      <w:r w:rsidR="006C3D29" w:rsidRPr="00A61B86">
        <w:rPr>
          <w:rFonts w:ascii="Book Antiqua" w:hAnsi="Book Antiqua"/>
          <w:sz w:val="24"/>
          <w:szCs w:val="24"/>
        </w:rPr>
        <w:t>ehar</w:t>
      </w:r>
      <w:r w:rsidRPr="00A61B86">
        <w:rPr>
          <w:rFonts w:ascii="Book Antiqua" w:hAnsi="Book Antiqua"/>
          <w:sz w:val="24"/>
          <w:szCs w:val="24"/>
        </w:rPr>
        <w:t xml:space="preserve"> A, H</w:t>
      </w:r>
      <w:r w:rsidR="006C3D29" w:rsidRPr="00A61B86">
        <w:rPr>
          <w:rFonts w:ascii="Book Antiqua" w:hAnsi="Book Antiqua"/>
          <w:sz w:val="24"/>
          <w:szCs w:val="24"/>
        </w:rPr>
        <w:t>ellems</w:t>
      </w:r>
      <w:r w:rsidRPr="00A61B86">
        <w:rPr>
          <w:rFonts w:ascii="Book Antiqua" w:hAnsi="Book Antiqua"/>
          <w:sz w:val="24"/>
          <w:szCs w:val="24"/>
        </w:rPr>
        <w:t xml:space="preserve"> HK. M</w:t>
      </w:r>
      <w:r w:rsidR="006C3D29" w:rsidRPr="00A61B86">
        <w:rPr>
          <w:rFonts w:ascii="Book Antiqua" w:hAnsi="Book Antiqua"/>
          <w:sz w:val="24"/>
          <w:szCs w:val="24"/>
        </w:rPr>
        <w:t>yocardial metabolic and contractile response to glucagon and epinephrine</w:t>
      </w:r>
      <w:r w:rsidRPr="00A61B86">
        <w:rPr>
          <w:rFonts w:ascii="Book Antiqua" w:hAnsi="Book Antiqua"/>
          <w:sz w:val="24"/>
          <w:szCs w:val="24"/>
        </w:rPr>
        <w:t xml:space="preserve">. </w:t>
      </w:r>
      <w:r w:rsidRPr="00A61B86">
        <w:rPr>
          <w:rFonts w:ascii="Book Antiqua" w:hAnsi="Book Antiqua"/>
          <w:i/>
          <w:sz w:val="24"/>
          <w:szCs w:val="24"/>
        </w:rPr>
        <w:t>J Lab Clin Med</w:t>
      </w:r>
      <w:r w:rsidRPr="00A61B86">
        <w:rPr>
          <w:rFonts w:ascii="Book Antiqua" w:hAnsi="Book Antiqua"/>
          <w:sz w:val="24"/>
          <w:szCs w:val="24"/>
        </w:rPr>
        <w:t xml:space="preserve"> 1964; </w:t>
      </w:r>
      <w:r w:rsidRPr="00A61B86">
        <w:rPr>
          <w:rFonts w:ascii="Book Antiqua" w:hAnsi="Book Antiqua"/>
          <w:b/>
          <w:sz w:val="24"/>
          <w:szCs w:val="24"/>
        </w:rPr>
        <w:t>63</w:t>
      </w:r>
      <w:r w:rsidRPr="00A61B86">
        <w:rPr>
          <w:rFonts w:ascii="Book Antiqua" w:hAnsi="Book Antiqua"/>
          <w:sz w:val="24"/>
          <w:szCs w:val="24"/>
        </w:rPr>
        <w:t>: 638-647 [PMID: 14155451]</w:t>
      </w:r>
    </w:p>
    <w:p w14:paraId="53A742F0"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45 </w:t>
      </w:r>
      <w:r w:rsidRPr="00A61B86">
        <w:rPr>
          <w:rFonts w:ascii="Book Antiqua" w:hAnsi="Book Antiqua"/>
          <w:b/>
          <w:sz w:val="24"/>
          <w:szCs w:val="24"/>
        </w:rPr>
        <w:t>Ceriello A</w:t>
      </w:r>
      <w:r w:rsidRPr="00A61B86">
        <w:rPr>
          <w:rFonts w:ascii="Book Antiqua" w:hAnsi="Book Antiqua"/>
          <w:sz w:val="24"/>
          <w:szCs w:val="24"/>
        </w:rPr>
        <w:t xml:space="preserve">, Genovese S, Mannucci E, Gronda E. Glucagon and heart in type 2 diabetes: new perspectives. </w:t>
      </w:r>
      <w:r w:rsidRPr="00A61B86">
        <w:rPr>
          <w:rFonts w:ascii="Book Antiqua" w:hAnsi="Book Antiqua"/>
          <w:i/>
          <w:sz w:val="24"/>
          <w:szCs w:val="24"/>
        </w:rPr>
        <w:t>Cardiovasc Diabetol</w:t>
      </w:r>
      <w:r w:rsidRPr="00A61B86">
        <w:rPr>
          <w:rFonts w:ascii="Book Antiqua" w:hAnsi="Book Antiqua"/>
          <w:sz w:val="24"/>
          <w:szCs w:val="24"/>
        </w:rPr>
        <w:t xml:space="preserve"> 2016; </w:t>
      </w:r>
      <w:r w:rsidRPr="00A61B86">
        <w:rPr>
          <w:rFonts w:ascii="Book Antiqua" w:hAnsi="Book Antiqua"/>
          <w:b/>
          <w:sz w:val="24"/>
          <w:szCs w:val="24"/>
        </w:rPr>
        <w:t>15</w:t>
      </w:r>
      <w:r w:rsidRPr="00A61B86">
        <w:rPr>
          <w:rFonts w:ascii="Book Antiqua" w:hAnsi="Book Antiqua"/>
          <w:sz w:val="24"/>
          <w:szCs w:val="24"/>
        </w:rPr>
        <w:t>: 123 [PMID: 27568179 DOI: 10.1186/s12933-016-0440-3]</w:t>
      </w:r>
    </w:p>
    <w:p w14:paraId="52BFD30B"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46 </w:t>
      </w:r>
      <w:r w:rsidRPr="00A61B86">
        <w:rPr>
          <w:rFonts w:ascii="Book Antiqua" w:hAnsi="Book Antiqua"/>
          <w:b/>
          <w:sz w:val="24"/>
          <w:szCs w:val="24"/>
        </w:rPr>
        <w:t>Schade DS</w:t>
      </w:r>
      <w:r w:rsidRPr="00A61B86">
        <w:rPr>
          <w:rFonts w:ascii="Book Antiqua" w:hAnsi="Book Antiqua"/>
          <w:sz w:val="24"/>
          <w:szCs w:val="24"/>
        </w:rPr>
        <w:t xml:space="preserve">, Eaton RP. Glucagon regulation of plasma ketone body concentration in human diabetes. </w:t>
      </w:r>
      <w:r w:rsidRPr="00A61B86">
        <w:rPr>
          <w:rFonts w:ascii="Book Antiqua" w:hAnsi="Book Antiqua"/>
          <w:i/>
          <w:sz w:val="24"/>
          <w:szCs w:val="24"/>
        </w:rPr>
        <w:t>J Clin Invest</w:t>
      </w:r>
      <w:r w:rsidRPr="00A61B86">
        <w:rPr>
          <w:rFonts w:ascii="Book Antiqua" w:hAnsi="Book Antiqua"/>
          <w:sz w:val="24"/>
          <w:szCs w:val="24"/>
        </w:rPr>
        <w:t xml:space="preserve"> 1975; </w:t>
      </w:r>
      <w:r w:rsidRPr="00A61B86">
        <w:rPr>
          <w:rFonts w:ascii="Book Antiqua" w:hAnsi="Book Antiqua"/>
          <w:b/>
          <w:sz w:val="24"/>
          <w:szCs w:val="24"/>
        </w:rPr>
        <w:t>56</w:t>
      </w:r>
      <w:r w:rsidRPr="00A61B86">
        <w:rPr>
          <w:rFonts w:ascii="Book Antiqua" w:hAnsi="Book Antiqua"/>
          <w:sz w:val="24"/>
          <w:szCs w:val="24"/>
        </w:rPr>
        <w:t>: 1340-1344 [PMID: 1184755 DOI: 10.1172/JCI108212]</w:t>
      </w:r>
    </w:p>
    <w:p w14:paraId="24102F61"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47 </w:t>
      </w:r>
      <w:r w:rsidRPr="00A61B86">
        <w:rPr>
          <w:rFonts w:ascii="Book Antiqua" w:hAnsi="Book Antiqua"/>
          <w:b/>
          <w:sz w:val="24"/>
          <w:szCs w:val="24"/>
        </w:rPr>
        <w:t>Ferrannini E</w:t>
      </w:r>
      <w:r w:rsidRPr="00A61B86">
        <w:rPr>
          <w:rFonts w:ascii="Book Antiqua" w:hAnsi="Book Antiqua"/>
          <w:sz w:val="24"/>
          <w:szCs w:val="24"/>
        </w:rPr>
        <w:t xml:space="preserve">, Baldi S, Frascerra S, Astiarraga B, Heise T, Bizzotto R, Mari A, Pieber TR, Muscelli E. Shift to Fatty Substrate Utilization in Response to Sodium-Glucose Cotransporter 2 Inhibition in Subjects Without Diabetes and Patients With Type 2 Diabetes. </w:t>
      </w:r>
      <w:r w:rsidRPr="00A61B86">
        <w:rPr>
          <w:rFonts w:ascii="Book Antiqua" w:hAnsi="Book Antiqua"/>
          <w:i/>
          <w:sz w:val="24"/>
          <w:szCs w:val="24"/>
        </w:rPr>
        <w:t>Diabetes</w:t>
      </w:r>
      <w:r w:rsidRPr="00A61B86">
        <w:rPr>
          <w:rFonts w:ascii="Book Antiqua" w:hAnsi="Book Antiqua"/>
          <w:sz w:val="24"/>
          <w:szCs w:val="24"/>
        </w:rPr>
        <w:t xml:space="preserve"> 2016; </w:t>
      </w:r>
      <w:r w:rsidRPr="00A61B86">
        <w:rPr>
          <w:rFonts w:ascii="Book Antiqua" w:hAnsi="Book Antiqua"/>
          <w:b/>
          <w:sz w:val="24"/>
          <w:szCs w:val="24"/>
        </w:rPr>
        <w:t>65</w:t>
      </w:r>
      <w:r w:rsidRPr="00A61B86">
        <w:rPr>
          <w:rFonts w:ascii="Book Antiqua" w:hAnsi="Book Antiqua"/>
          <w:sz w:val="24"/>
          <w:szCs w:val="24"/>
        </w:rPr>
        <w:t>: 1190-1195 [PMID: 26861783 DOI: 10.2337/db15-1356]</w:t>
      </w:r>
    </w:p>
    <w:p w14:paraId="1BF662A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48 </w:t>
      </w:r>
      <w:r w:rsidRPr="00A61B86">
        <w:rPr>
          <w:rFonts w:ascii="Book Antiqua" w:hAnsi="Book Antiqua"/>
          <w:b/>
          <w:sz w:val="24"/>
          <w:szCs w:val="24"/>
        </w:rPr>
        <w:t>Mudaliar S</w:t>
      </w:r>
      <w:r w:rsidRPr="00A61B86">
        <w:rPr>
          <w:rFonts w:ascii="Book Antiqua" w:hAnsi="Book Antiqua"/>
          <w:sz w:val="24"/>
          <w:szCs w:val="24"/>
        </w:rPr>
        <w:t xml:space="preserve">, Alloju S, Henry RR. Can a Shift in Fuel Energetics Explain the Beneficial Cardiorenal Outcomes in the EMPA-REG OUTCOME Study? A Unifying Hypothesis. </w:t>
      </w:r>
      <w:r w:rsidRPr="00A61B86">
        <w:rPr>
          <w:rFonts w:ascii="Book Antiqua" w:hAnsi="Book Antiqua"/>
          <w:i/>
          <w:sz w:val="24"/>
          <w:szCs w:val="24"/>
        </w:rPr>
        <w:t>Diabetes Care</w:t>
      </w:r>
      <w:r w:rsidRPr="00A61B86">
        <w:rPr>
          <w:rFonts w:ascii="Book Antiqua" w:hAnsi="Book Antiqua"/>
          <w:sz w:val="24"/>
          <w:szCs w:val="24"/>
        </w:rPr>
        <w:t xml:space="preserve"> 2016; </w:t>
      </w:r>
      <w:r w:rsidRPr="00A61B86">
        <w:rPr>
          <w:rFonts w:ascii="Book Antiqua" w:hAnsi="Book Antiqua"/>
          <w:b/>
          <w:sz w:val="24"/>
          <w:szCs w:val="24"/>
        </w:rPr>
        <w:t>39</w:t>
      </w:r>
      <w:r w:rsidRPr="00A61B86">
        <w:rPr>
          <w:rFonts w:ascii="Book Antiqua" w:hAnsi="Book Antiqua"/>
          <w:sz w:val="24"/>
          <w:szCs w:val="24"/>
        </w:rPr>
        <w:t>: 1115-1122 [PMID: 27289124 DOI: 10.2337/dc16-0542]</w:t>
      </w:r>
    </w:p>
    <w:p w14:paraId="5634306F"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49 </w:t>
      </w:r>
      <w:r w:rsidRPr="00A61B86">
        <w:rPr>
          <w:rFonts w:ascii="Book Antiqua" w:hAnsi="Book Antiqua"/>
          <w:b/>
          <w:sz w:val="24"/>
          <w:szCs w:val="24"/>
        </w:rPr>
        <w:t>Daniele G</w:t>
      </w:r>
      <w:r w:rsidRPr="00A61B86">
        <w:rPr>
          <w:rFonts w:ascii="Book Antiqua" w:hAnsi="Book Antiqua"/>
          <w:sz w:val="24"/>
          <w:szCs w:val="24"/>
        </w:rPr>
        <w:t xml:space="preserve">, Xiong J, Solis-Herrera C, Merovci A, Eldor R, Tripathy D, DeFronzo RA, Norton L, Abdul-Ghani M. Dapagliflozin Enhances Fat Oxidation and Ketone </w:t>
      </w:r>
      <w:r w:rsidRPr="00A61B86">
        <w:rPr>
          <w:rFonts w:ascii="Book Antiqua" w:hAnsi="Book Antiqua"/>
          <w:sz w:val="24"/>
          <w:szCs w:val="24"/>
        </w:rPr>
        <w:lastRenderedPageBreak/>
        <w:t xml:space="preserve">Production in Patients With Type 2 Diabetes. </w:t>
      </w:r>
      <w:r w:rsidRPr="00A61B86">
        <w:rPr>
          <w:rFonts w:ascii="Book Antiqua" w:hAnsi="Book Antiqua"/>
          <w:i/>
          <w:sz w:val="24"/>
          <w:szCs w:val="24"/>
        </w:rPr>
        <w:t>Diabetes Care</w:t>
      </w:r>
      <w:r w:rsidRPr="00A61B86">
        <w:rPr>
          <w:rFonts w:ascii="Book Antiqua" w:hAnsi="Book Antiqua"/>
          <w:sz w:val="24"/>
          <w:szCs w:val="24"/>
        </w:rPr>
        <w:t xml:space="preserve"> 2016; </w:t>
      </w:r>
      <w:r w:rsidRPr="00A61B86">
        <w:rPr>
          <w:rFonts w:ascii="Book Antiqua" w:hAnsi="Book Antiqua"/>
          <w:b/>
          <w:sz w:val="24"/>
          <w:szCs w:val="24"/>
        </w:rPr>
        <w:t>39</w:t>
      </w:r>
      <w:r w:rsidRPr="00A61B86">
        <w:rPr>
          <w:rFonts w:ascii="Book Antiqua" w:hAnsi="Book Antiqua"/>
          <w:sz w:val="24"/>
          <w:szCs w:val="24"/>
        </w:rPr>
        <w:t>: 2036-2041 [PMID: 27561923 DOI: 10.2337/dc15-2688]</w:t>
      </w:r>
    </w:p>
    <w:p w14:paraId="2B32E4E6"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50 </w:t>
      </w:r>
      <w:r w:rsidRPr="00A61B86">
        <w:rPr>
          <w:rFonts w:ascii="Book Antiqua" w:hAnsi="Book Antiqua"/>
          <w:b/>
          <w:sz w:val="24"/>
          <w:szCs w:val="24"/>
        </w:rPr>
        <w:t>Kutoh E</w:t>
      </w:r>
      <w:r w:rsidRPr="00A61B86">
        <w:rPr>
          <w:rFonts w:ascii="Book Antiqua" w:hAnsi="Book Antiqua"/>
          <w:sz w:val="24"/>
          <w:szCs w:val="24"/>
        </w:rPr>
        <w:t xml:space="preserve">, Hayashi J. Effect of Canagliflozin on Heart Function Involving Ketone Bodies in Patients with Type 2 Diabetes. </w:t>
      </w:r>
      <w:r w:rsidRPr="00A61B86">
        <w:rPr>
          <w:rFonts w:ascii="Book Antiqua" w:hAnsi="Book Antiqua"/>
          <w:i/>
          <w:sz w:val="24"/>
          <w:szCs w:val="24"/>
        </w:rPr>
        <w:t>Drug Res (Stuttg)</w:t>
      </w:r>
      <w:r w:rsidRPr="00A61B86">
        <w:rPr>
          <w:rFonts w:ascii="Book Antiqua" w:hAnsi="Book Antiqua"/>
          <w:sz w:val="24"/>
          <w:szCs w:val="24"/>
        </w:rPr>
        <w:t xml:space="preserve"> 2019; </w:t>
      </w:r>
      <w:r w:rsidRPr="00A61B86">
        <w:rPr>
          <w:rFonts w:ascii="Book Antiqua" w:hAnsi="Book Antiqua"/>
          <w:b/>
          <w:sz w:val="24"/>
          <w:szCs w:val="24"/>
        </w:rPr>
        <w:t>69</w:t>
      </w:r>
      <w:r w:rsidRPr="00A61B86">
        <w:rPr>
          <w:rFonts w:ascii="Book Antiqua" w:hAnsi="Book Antiqua"/>
          <w:sz w:val="24"/>
          <w:szCs w:val="24"/>
        </w:rPr>
        <w:t>: 297-300 [PMID: 30296805 DOI: 10.1055/a-0748-5745]</w:t>
      </w:r>
    </w:p>
    <w:p w14:paraId="5A840579"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51 </w:t>
      </w:r>
      <w:r w:rsidRPr="00A61B86">
        <w:rPr>
          <w:rFonts w:ascii="Book Antiqua" w:hAnsi="Book Antiqua"/>
          <w:b/>
          <w:sz w:val="24"/>
          <w:szCs w:val="24"/>
        </w:rPr>
        <w:t>Bedi KC Jr</w:t>
      </w:r>
      <w:r w:rsidRPr="00A61B86">
        <w:rPr>
          <w:rFonts w:ascii="Book Antiqua" w:hAnsi="Book Antiqua"/>
          <w:sz w:val="24"/>
          <w:szCs w:val="24"/>
        </w:rPr>
        <w:t xml:space="preserve">, Snyder NW, Brandimarto J, Aziz M, Mesaros C, Worth AJ, Wang LL, Javaheri A, Blair IA, Margulies KB, Rame JE. Evidence for Intramyocardial Disruption of Lipid Metabolism and Increased Myocardial Ketone Utilization in Advanced Human Heart Failure. </w:t>
      </w:r>
      <w:r w:rsidRPr="00A61B86">
        <w:rPr>
          <w:rFonts w:ascii="Book Antiqua" w:hAnsi="Book Antiqua"/>
          <w:i/>
          <w:sz w:val="24"/>
          <w:szCs w:val="24"/>
        </w:rPr>
        <w:t>Circulation</w:t>
      </w:r>
      <w:r w:rsidRPr="00A61B86">
        <w:rPr>
          <w:rFonts w:ascii="Book Antiqua" w:hAnsi="Book Antiqua"/>
          <w:sz w:val="24"/>
          <w:szCs w:val="24"/>
        </w:rPr>
        <w:t xml:space="preserve"> 2016; </w:t>
      </w:r>
      <w:r w:rsidRPr="00A61B86">
        <w:rPr>
          <w:rFonts w:ascii="Book Antiqua" w:hAnsi="Book Antiqua"/>
          <w:b/>
          <w:sz w:val="24"/>
          <w:szCs w:val="24"/>
        </w:rPr>
        <w:t>133</w:t>
      </w:r>
      <w:r w:rsidRPr="00A61B86">
        <w:rPr>
          <w:rFonts w:ascii="Book Antiqua" w:hAnsi="Book Antiqua"/>
          <w:sz w:val="24"/>
          <w:szCs w:val="24"/>
        </w:rPr>
        <w:t>: 706-716 [PMID: 26819374 DOI: 10.1161/CIRCULATIONAHA.115.017545]</w:t>
      </w:r>
    </w:p>
    <w:p w14:paraId="15D2DC75"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52 </w:t>
      </w:r>
      <w:r w:rsidRPr="00A61B86">
        <w:rPr>
          <w:rFonts w:ascii="Book Antiqua" w:hAnsi="Book Antiqua"/>
          <w:b/>
          <w:sz w:val="24"/>
          <w:szCs w:val="24"/>
        </w:rPr>
        <w:t>Prattichizzo F</w:t>
      </w:r>
      <w:r w:rsidRPr="00A61B86">
        <w:rPr>
          <w:rFonts w:ascii="Book Antiqua" w:hAnsi="Book Antiqua"/>
          <w:sz w:val="24"/>
          <w:szCs w:val="24"/>
        </w:rPr>
        <w:t xml:space="preserve">, De Nigris V, Micheloni S, La Sala L, Ceriello A. Increases in circulating levels of ketone bodies and cardiovascular protection with SGLT2 inhibitors: Is low-grade inflammation the neglected component? </w:t>
      </w:r>
      <w:r w:rsidRPr="00A61B86">
        <w:rPr>
          <w:rFonts w:ascii="Book Antiqua" w:hAnsi="Book Antiqua"/>
          <w:i/>
          <w:sz w:val="24"/>
          <w:szCs w:val="24"/>
        </w:rPr>
        <w:t>Diabetes Obes Metab</w:t>
      </w:r>
      <w:r w:rsidRPr="00A61B86">
        <w:rPr>
          <w:rFonts w:ascii="Book Antiqua" w:hAnsi="Book Antiqua"/>
          <w:sz w:val="24"/>
          <w:szCs w:val="24"/>
        </w:rPr>
        <w:t xml:space="preserve"> 2018; </w:t>
      </w:r>
      <w:r w:rsidRPr="00A61B86">
        <w:rPr>
          <w:rFonts w:ascii="Book Antiqua" w:hAnsi="Book Antiqua"/>
          <w:b/>
          <w:sz w:val="24"/>
          <w:szCs w:val="24"/>
        </w:rPr>
        <w:t>20</w:t>
      </w:r>
      <w:r w:rsidRPr="00A61B86">
        <w:rPr>
          <w:rFonts w:ascii="Book Antiqua" w:hAnsi="Book Antiqua"/>
          <w:sz w:val="24"/>
          <w:szCs w:val="24"/>
        </w:rPr>
        <w:t>: 2515-2522 [PMID: 30073768 DOI: 10.1111/dom.13488]</w:t>
      </w:r>
    </w:p>
    <w:p w14:paraId="556044C0"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53 </w:t>
      </w:r>
      <w:r w:rsidRPr="00A61B86">
        <w:rPr>
          <w:rFonts w:ascii="Book Antiqua" w:hAnsi="Book Antiqua"/>
          <w:b/>
          <w:sz w:val="24"/>
          <w:szCs w:val="24"/>
        </w:rPr>
        <w:t>Haces ML</w:t>
      </w:r>
      <w:r w:rsidRPr="00A61B86">
        <w:rPr>
          <w:rFonts w:ascii="Book Antiqua" w:hAnsi="Book Antiqua"/>
          <w:sz w:val="24"/>
          <w:szCs w:val="24"/>
        </w:rPr>
        <w:t xml:space="preserve">, Hernández-Fonseca K, Medina-Campos ON, Montiel T, Pedraza-Chaverri J, Massieu L. Antioxidant capacity contributes to protection of ketone bodies against oxidative damage induced during hypoglycemic conditions. </w:t>
      </w:r>
      <w:r w:rsidRPr="00A61B86">
        <w:rPr>
          <w:rFonts w:ascii="Book Antiqua" w:hAnsi="Book Antiqua"/>
          <w:i/>
          <w:sz w:val="24"/>
          <w:szCs w:val="24"/>
        </w:rPr>
        <w:t>Exp Neurol</w:t>
      </w:r>
      <w:r w:rsidRPr="00A61B86">
        <w:rPr>
          <w:rFonts w:ascii="Book Antiqua" w:hAnsi="Book Antiqua"/>
          <w:sz w:val="24"/>
          <w:szCs w:val="24"/>
        </w:rPr>
        <w:t xml:space="preserve"> 2008; </w:t>
      </w:r>
      <w:r w:rsidRPr="00A61B86">
        <w:rPr>
          <w:rFonts w:ascii="Book Antiqua" w:hAnsi="Book Antiqua"/>
          <w:b/>
          <w:sz w:val="24"/>
          <w:szCs w:val="24"/>
        </w:rPr>
        <w:t>211</w:t>
      </w:r>
      <w:r w:rsidRPr="00A61B86">
        <w:rPr>
          <w:rFonts w:ascii="Book Antiqua" w:hAnsi="Book Antiqua"/>
          <w:sz w:val="24"/>
          <w:szCs w:val="24"/>
        </w:rPr>
        <w:t>: 85-96 [PMID: 18339375 DOI: 10.1016/j.expneurol.2007.12.029]</w:t>
      </w:r>
    </w:p>
    <w:p w14:paraId="693A6831"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54 </w:t>
      </w:r>
      <w:r w:rsidRPr="00A61B86">
        <w:rPr>
          <w:rFonts w:ascii="Book Antiqua" w:hAnsi="Book Antiqua"/>
          <w:b/>
          <w:sz w:val="24"/>
          <w:szCs w:val="24"/>
        </w:rPr>
        <w:t>Newman JC</w:t>
      </w:r>
      <w:r w:rsidRPr="00A61B86">
        <w:rPr>
          <w:rFonts w:ascii="Book Antiqua" w:hAnsi="Book Antiqua"/>
          <w:sz w:val="24"/>
          <w:szCs w:val="24"/>
        </w:rPr>
        <w:t xml:space="preserve">, Verdin E. β-hydroxybutyrate: much more than a metabolite. </w:t>
      </w:r>
      <w:r w:rsidRPr="00A61B86">
        <w:rPr>
          <w:rFonts w:ascii="Book Antiqua" w:hAnsi="Book Antiqua"/>
          <w:i/>
          <w:sz w:val="24"/>
          <w:szCs w:val="24"/>
        </w:rPr>
        <w:t>Diabetes Res Clin Pract</w:t>
      </w:r>
      <w:r w:rsidRPr="00A61B86">
        <w:rPr>
          <w:rFonts w:ascii="Book Antiqua" w:hAnsi="Book Antiqua"/>
          <w:sz w:val="24"/>
          <w:szCs w:val="24"/>
        </w:rPr>
        <w:t xml:space="preserve"> 2014; </w:t>
      </w:r>
      <w:r w:rsidRPr="00A61B86">
        <w:rPr>
          <w:rFonts w:ascii="Book Antiqua" w:hAnsi="Book Antiqua"/>
          <w:b/>
          <w:sz w:val="24"/>
          <w:szCs w:val="24"/>
        </w:rPr>
        <w:t>106</w:t>
      </w:r>
      <w:r w:rsidRPr="00A61B86">
        <w:rPr>
          <w:rFonts w:ascii="Book Antiqua" w:hAnsi="Book Antiqua"/>
          <w:sz w:val="24"/>
          <w:szCs w:val="24"/>
        </w:rPr>
        <w:t>: 173-181 [PMID: 25193333 DOI: 10.1016/j.diabres.2014.08.009]</w:t>
      </w:r>
    </w:p>
    <w:p w14:paraId="00BC15F8"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55 </w:t>
      </w:r>
      <w:r w:rsidRPr="00A61B86">
        <w:rPr>
          <w:rFonts w:ascii="Book Antiqua" w:hAnsi="Book Antiqua"/>
          <w:b/>
          <w:sz w:val="24"/>
          <w:szCs w:val="24"/>
        </w:rPr>
        <w:t>Newman JC</w:t>
      </w:r>
      <w:r w:rsidRPr="00A61B86">
        <w:rPr>
          <w:rFonts w:ascii="Book Antiqua" w:hAnsi="Book Antiqua"/>
          <w:sz w:val="24"/>
          <w:szCs w:val="24"/>
        </w:rPr>
        <w:t xml:space="preserve">, Verdin E. Ketone bodies as signaling metabolites. </w:t>
      </w:r>
      <w:r w:rsidRPr="00A61B86">
        <w:rPr>
          <w:rFonts w:ascii="Book Antiqua" w:hAnsi="Book Antiqua"/>
          <w:i/>
          <w:sz w:val="24"/>
          <w:szCs w:val="24"/>
        </w:rPr>
        <w:t>Trends Endocrinol Metab</w:t>
      </w:r>
      <w:r w:rsidRPr="00A61B86">
        <w:rPr>
          <w:rFonts w:ascii="Book Antiqua" w:hAnsi="Book Antiqua"/>
          <w:sz w:val="24"/>
          <w:szCs w:val="24"/>
        </w:rPr>
        <w:t xml:space="preserve"> 2014; </w:t>
      </w:r>
      <w:r w:rsidRPr="00A61B86">
        <w:rPr>
          <w:rFonts w:ascii="Book Antiqua" w:hAnsi="Book Antiqua"/>
          <w:b/>
          <w:sz w:val="24"/>
          <w:szCs w:val="24"/>
        </w:rPr>
        <w:t>25</w:t>
      </w:r>
      <w:r w:rsidRPr="00A61B86">
        <w:rPr>
          <w:rFonts w:ascii="Book Antiqua" w:hAnsi="Book Antiqua"/>
          <w:sz w:val="24"/>
          <w:szCs w:val="24"/>
        </w:rPr>
        <w:t>: 42-52 [PMID: 24140022 DOI: 10.1016/j.tem.2013.09.002]</w:t>
      </w:r>
    </w:p>
    <w:p w14:paraId="4AA3695D"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56 </w:t>
      </w:r>
      <w:r w:rsidRPr="00A61B86">
        <w:rPr>
          <w:rFonts w:ascii="Book Antiqua" w:hAnsi="Book Antiqua"/>
          <w:b/>
          <w:sz w:val="24"/>
          <w:szCs w:val="24"/>
        </w:rPr>
        <w:t>Burgoyne JR</w:t>
      </w:r>
      <w:r w:rsidRPr="00A61B86">
        <w:rPr>
          <w:rFonts w:ascii="Book Antiqua" w:hAnsi="Book Antiqua"/>
          <w:sz w:val="24"/>
          <w:szCs w:val="24"/>
        </w:rPr>
        <w:t xml:space="preserve">, Mongue-Din H, Eaton P, Shah AM. Redox signaling in cardiac physiology and pathology. </w:t>
      </w:r>
      <w:r w:rsidRPr="00A61B86">
        <w:rPr>
          <w:rFonts w:ascii="Book Antiqua" w:hAnsi="Book Antiqua"/>
          <w:i/>
          <w:sz w:val="24"/>
          <w:szCs w:val="24"/>
        </w:rPr>
        <w:t>Circ Res</w:t>
      </w:r>
      <w:r w:rsidRPr="00A61B86">
        <w:rPr>
          <w:rFonts w:ascii="Book Antiqua" w:hAnsi="Book Antiqua"/>
          <w:sz w:val="24"/>
          <w:szCs w:val="24"/>
        </w:rPr>
        <w:t xml:space="preserve"> 2012; </w:t>
      </w:r>
      <w:r w:rsidRPr="00A61B86">
        <w:rPr>
          <w:rFonts w:ascii="Book Antiqua" w:hAnsi="Book Antiqua"/>
          <w:b/>
          <w:sz w:val="24"/>
          <w:szCs w:val="24"/>
        </w:rPr>
        <w:t>111</w:t>
      </w:r>
      <w:r w:rsidRPr="00A61B86">
        <w:rPr>
          <w:rFonts w:ascii="Book Antiqua" w:hAnsi="Book Antiqua"/>
          <w:sz w:val="24"/>
          <w:szCs w:val="24"/>
        </w:rPr>
        <w:t>: 1091-1106 [PMID: 23023511 DOI: 10.1161/CIRCRESAHA.111.255216]</w:t>
      </w:r>
    </w:p>
    <w:p w14:paraId="7A0DFD4F"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57 </w:t>
      </w:r>
      <w:r w:rsidRPr="00A61B86">
        <w:rPr>
          <w:rFonts w:ascii="Book Antiqua" w:hAnsi="Book Antiqua"/>
          <w:b/>
          <w:sz w:val="24"/>
          <w:szCs w:val="24"/>
        </w:rPr>
        <w:t>Riehle C</w:t>
      </w:r>
      <w:r w:rsidRPr="00A61B86">
        <w:rPr>
          <w:rFonts w:ascii="Book Antiqua" w:hAnsi="Book Antiqua"/>
          <w:sz w:val="24"/>
          <w:szCs w:val="24"/>
        </w:rPr>
        <w:t xml:space="preserve">, Bauersachs J. Key inflammatory mechanisms underlying heart failure. </w:t>
      </w:r>
      <w:r w:rsidRPr="00A61B86">
        <w:rPr>
          <w:rFonts w:ascii="Book Antiqua" w:hAnsi="Book Antiqua"/>
          <w:i/>
          <w:sz w:val="24"/>
          <w:szCs w:val="24"/>
        </w:rPr>
        <w:t>Herz</w:t>
      </w:r>
      <w:r w:rsidRPr="00A61B86">
        <w:rPr>
          <w:rFonts w:ascii="Book Antiqua" w:hAnsi="Book Antiqua"/>
          <w:sz w:val="24"/>
          <w:szCs w:val="24"/>
        </w:rPr>
        <w:t xml:space="preserve"> 2019; </w:t>
      </w:r>
      <w:r w:rsidRPr="00A61B86">
        <w:rPr>
          <w:rFonts w:ascii="Book Antiqua" w:hAnsi="Book Antiqua"/>
          <w:b/>
          <w:sz w:val="24"/>
          <w:szCs w:val="24"/>
        </w:rPr>
        <w:t>44</w:t>
      </w:r>
      <w:r w:rsidRPr="00A61B86">
        <w:rPr>
          <w:rFonts w:ascii="Book Antiqua" w:hAnsi="Book Antiqua"/>
          <w:sz w:val="24"/>
          <w:szCs w:val="24"/>
        </w:rPr>
        <w:t>: 96-106 [PMID: 30715565 DOI: 10.1007/s00059-019-4785-8]</w:t>
      </w:r>
    </w:p>
    <w:p w14:paraId="05BBB3EB"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58 </w:t>
      </w:r>
      <w:r w:rsidRPr="00A61B86">
        <w:rPr>
          <w:rFonts w:ascii="Book Antiqua" w:hAnsi="Book Antiqua"/>
          <w:b/>
          <w:sz w:val="24"/>
          <w:szCs w:val="24"/>
        </w:rPr>
        <w:t>Van Linthout S</w:t>
      </w:r>
      <w:r w:rsidRPr="00A61B86">
        <w:rPr>
          <w:rFonts w:ascii="Book Antiqua" w:hAnsi="Book Antiqua"/>
          <w:sz w:val="24"/>
          <w:szCs w:val="24"/>
        </w:rPr>
        <w:t xml:space="preserve">, Tschöpe C. Inflammation - Cause or Consequence of Heart Failure or Both? </w:t>
      </w:r>
      <w:r w:rsidRPr="00A61B86">
        <w:rPr>
          <w:rFonts w:ascii="Book Antiqua" w:hAnsi="Book Antiqua"/>
          <w:i/>
          <w:sz w:val="24"/>
          <w:szCs w:val="24"/>
        </w:rPr>
        <w:t>Curr Heart Fail Rep</w:t>
      </w:r>
      <w:r w:rsidRPr="00A61B86">
        <w:rPr>
          <w:rFonts w:ascii="Book Antiqua" w:hAnsi="Book Antiqua"/>
          <w:sz w:val="24"/>
          <w:szCs w:val="24"/>
        </w:rPr>
        <w:t xml:space="preserve"> 2017; </w:t>
      </w:r>
      <w:r w:rsidRPr="00A61B86">
        <w:rPr>
          <w:rFonts w:ascii="Book Antiqua" w:hAnsi="Book Antiqua"/>
          <w:b/>
          <w:sz w:val="24"/>
          <w:szCs w:val="24"/>
        </w:rPr>
        <w:t>14</w:t>
      </w:r>
      <w:r w:rsidRPr="00A61B86">
        <w:rPr>
          <w:rFonts w:ascii="Book Antiqua" w:hAnsi="Book Antiqua"/>
          <w:sz w:val="24"/>
          <w:szCs w:val="24"/>
        </w:rPr>
        <w:t>: 251-265 [PMID: 28667492 DOI: 10.1007/s11897-017-0337-9]</w:t>
      </w:r>
    </w:p>
    <w:p w14:paraId="0CF1E75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59 </w:t>
      </w:r>
      <w:r w:rsidRPr="00A61B86">
        <w:rPr>
          <w:rFonts w:ascii="Book Antiqua" w:hAnsi="Book Antiqua"/>
          <w:b/>
          <w:sz w:val="24"/>
          <w:szCs w:val="24"/>
        </w:rPr>
        <w:t>Lin B</w:t>
      </w:r>
      <w:r w:rsidRPr="00A61B86">
        <w:rPr>
          <w:rFonts w:ascii="Book Antiqua" w:hAnsi="Book Antiqua"/>
          <w:sz w:val="24"/>
          <w:szCs w:val="24"/>
        </w:rPr>
        <w:t xml:space="preserve">, Koibuchi N, Hasegawa Y, Sueta D, Toyama K, Uekawa K, Ma M, Nakagawa T, Kusaka H, Kim-Mitsuyama S. Glycemic control with empagliflozin, a </w:t>
      </w:r>
      <w:r w:rsidRPr="00A61B86">
        <w:rPr>
          <w:rFonts w:ascii="Book Antiqua" w:hAnsi="Book Antiqua"/>
          <w:sz w:val="24"/>
          <w:szCs w:val="24"/>
        </w:rPr>
        <w:lastRenderedPageBreak/>
        <w:t xml:space="preserve">novel selective SGLT2 inhibitor, ameliorates cardiovascular injury and cognitive dysfunction in obese and type 2 diabetic mice. </w:t>
      </w:r>
      <w:r w:rsidRPr="00A61B86">
        <w:rPr>
          <w:rFonts w:ascii="Book Antiqua" w:hAnsi="Book Antiqua"/>
          <w:i/>
          <w:sz w:val="24"/>
          <w:szCs w:val="24"/>
        </w:rPr>
        <w:t>Cardiovasc Diabetol</w:t>
      </w:r>
      <w:r w:rsidRPr="00A61B86">
        <w:rPr>
          <w:rFonts w:ascii="Book Antiqua" w:hAnsi="Book Antiqua"/>
          <w:sz w:val="24"/>
          <w:szCs w:val="24"/>
        </w:rPr>
        <w:t xml:space="preserve"> 2014; </w:t>
      </w:r>
      <w:r w:rsidRPr="00A61B86">
        <w:rPr>
          <w:rFonts w:ascii="Book Antiqua" w:hAnsi="Book Antiqua"/>
          <w:b/>
          <w:sz w:val="24"/>
          <w:szCs w:val="24"/>
        </w:rPr>
        <w:t>13</w:t>
      </w:r>
      <w:r w:rsidRPr="00A61B86">
        <w:rPr>
          <w:rFonts w:ascii="Book Antiqua" w:hAnsi="Book Antiqua"/>
          <w:sz w:val="24"/>
          <w:szCs w:val="24"/>
        </w:rPr>
        <w:t>: 148 [PMID: 25344694 DOI: 10.1186/s12933-014-0148-1]</w:t>
      </w:r>
    </w:p>
    <w:p w14:paraId="3745759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60 </w:t>
      </w:r>
      <w:r w:rsidRPr="00A61B86">
        <w:rPr>
          <w:rFonts w:ascii="Book Antiqua" w:hAnsi="Book Antiqua"/>
          <w:b/>
          <w:sz w:val="24"/>
          <w:szCs w:val="24"/>
        </w:rPr>
        <w:t>Verma S</w:t>
      </w:r>
      <w:r w:rsidRPr="00A61B86">
        <w:rPr>
          <w:rFonts w:ascii="Book Antiqua" w:hAnsi="Book Antiqua"/>
          <w:sz w:val="24"/>
          <w:szCs w:val="24"/>
        </w:rPr>
        <w:t xml:space="preserve">, Mazer CD, Yan AT, Mason T, Garg V, Teoh H, Zuo F, Quan A, Farkouh ME, Fitchett DH, Goodman SG, Goldenberg RM, Al-Omran M, Gilbert RE, Bhatt DL, Leiter LA, Jüni P, Zinman B, Connelly KA. Effect of Empagliflozin on Left Ventricular Mass in Patients With Type 2 Diabetes Mellitus and Coronary Artery Disease: The EMPA-HEART CardioLink-6 Randomized Clinical Trial. </w:t>
      </w:r>
      <w:r w:rsidRPr="00A61B86">
        <w:rPr>
          <w:rFonts w:ascii="Book Antiqua" w:hAnsi="Book Antiqua"/>
          <w:i/>
          <w:sz w:val="24"/>
          <w:szCs w:val="24"/>
        </w:rPr>
        <w:t>Circulation</w:t>
      </w:r>
      <w:r w:rsidRPr="00A61B86">
        <w:rPr>
          <w:rFonts w:ascii="Book Antiqua" w:hAnsi="Book Antiqua"/>
          <w:sz w:val="24"/>
          <w:szCs w:val="24"/>
        </w:rPr>
        <w:t xml:space="preserve"> 2019; </w:t>
      </w:r>
      <w:r w:rsidRPr="00A61B86">
        <w:rPr>
          <w:rFonts w:ascii="Book Antiqua" w:hAnsi="Book Antiqua"/>
          <w:b/>
          <w:sz w:val="24"/>
          <w:szCs w:val="24"/>
        </w:rPr>
        <w:t>140</w:t>
      </w:r>
      <w:r w:rsidRPr="00A61B86">
        <w:rPr>
          <w:rFonts w:ascii="Book Antiqua" w:hAnsi="Book Antiqua"/>
          <w:sz w:val="24"/>
          <w:szCs w:val="24"/>
        </w:rPr>
        <w:t>: 1693-1702 [PMID: 31434508 DOI: 10.1161/CIRCULATIONAHA.119.042375]</w:t>
      </w:r>
    </w:p>
    <w:p w14:paraId="7EBDBC8E"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61 </w:t>
      </w:r>
      <w:r w:rsidRPr="00A61B86">
        <w:rPr>
          <w:rFonts w:ascii="Book Antiqua" w:hAnsi="Book Antiqua"/>
          <w:b/>
          <w:sz w:val="24"/>
          <w:szCs w:val="24"/>
        </w:rPr>
        <w:t>Abbate A</w:t>
      </w:r>
      <w:r w:rsidRPr="00A61B86">
        <w:rPr>
          <w:rFonts w:ascii="Book Antiqua" w:hAnsi="Book Antiqua"/>
          <w:sz w:val="24"/>
          <w:szCs w:val="24"/>
        </w:rPr>
        <w:t xml:space="preserve">, Narula J. Role of apoptosis in adverse ventricular remodeling. </w:t>
      </w:r>
      <w:r w:rsidRPr="00A61B86">
        <w:rPr>
          <w:rFonts w:ascii="Book Antiqua" w:hAnsi="Book Antiqua"/>
          <w:i/>
          <w:sz w:val="24"/>
          <w:szCs w:val="24"/>
        </w:rPr>
        <w:t>Heart Fail Clin</w:t>
      </w:r>
      <w:r w:rsidRPr="00A61B86">
        <w:rPr>
          <w:rFonts w:ascii="Book Antiqua" w:hAnsi="Book Antiqua"/>
          <w:sz w:val="24"/>
          <w:szCs w:val="24"/>
        </w:rPr>
        <w:t xml:space="preserve"> 2012; </w:t>
      </w:r>
      <w:r w:rsidRPr="00A61B86">
        <w:rPr>
          <w:rFonts w:ascii="Book Antiqua" w:hAnsi="Book Antiqua"/>
          <w:b/>
          <w:sz w:val="24"/>
          <w:szCs w:val="24"/>
        </w:rPr>
        <w:t>8</w:t>
      </w:r>
      <w:r w:rsidRPr="00A61B86">
        <w:rPr>
          <w:rFonts w:ascii="Book Antiqua" w:hAnsi="Book Antiqua"/>
          <w:sz w:val="24"/>
          <w:szCs w:val="24"/>
        </w:rPr>
        <w:t>: 79-86 [PMID: 22108728 DOI: 10.1016/j.hfc.2011.08.010]</w:t>
      </w:r>
    </w:p>
    <w:p w14:paraId="4FF7A073"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62 </w:t>
      </w:r>
      <w:r w:rsidRPr="00A61B86">
        <w:rPr>
          <w:rFonts w:ascii="Book Antiqua" w:hAnsi="Book Antiqua"/>
          <w:b/>
          <w:sz w:val="24"/>
          <w:szCs w:val="24"/>
        </w:rPr>
        <w:t>Lau DC</w:t>
      </w:r>
      <w:r w:rsidRPr="00A61B86">
        <w:rPr>
          <w:rFonts w:ascii="Book Antiqua" w:hAnsi="Book Antiqua"/>
          <w:sz w:val="24"/>
          <w:szCs w:val="24"/>
        </w:rPr>
        <w:t xml:space="preserve">, Dhillon B, Yan H, Szmitko PE, Verma S. Adipokines: molecular links between obesity and atheroslcerosis. </w:t>
      </w:r>
      <w:r w:rsidRPr="00A61B86">
        <w:rPr>
          <w:rFonts w:ascii="Book Antiqua" w:hAnsi="Book Antiqua"/>
          <w:i/>
          <w:sz w:val="24"/>
          <w:szCs w:val="24"/>
        </w:rPr>
        <w:t>Am J Physiol Heart Circ Physiol</w:t>
      </w:r>
      <w:r w:rsidRPr="00A61B86">
        <w:rPr>
          <w:rFonts w:ascii="Book Antiqua" w:hAnsi="Book Antiqua"/>
          <w:sz w:val="24"/>
          <w:szCs w:val="24"/>
        </w:rPr>
        <w:t xml:space="preserve"> 2005; </w:t>
      </w:r>
      <w:r w:rsidRPr="00A61B86">
        <w:rPr>
          <w:rFonts w:ascii="Book Antiqua" w:hAnsi="Book Antiqua"/>
          <w:b/>
          <w:sz w:val="24"/>
          <w:szCs w:val="24"/>
        </w:rPr>
        <w:t>288</w:t>
      </w:r>
      <w:r w:rsidRPr="00A61B86">
        <w:rPr>
          <w:rFonts w:ascii="Book Antiqua" w:hAnsi="Book Antiqua"/>
          <w:sz w:val="24"/>
          <w:szCs w:val="24"/>
        </w:rPr>
        <w:t>: H2031-H2041 [PMID: 15653761 DOI: 10.1152/ajpheart.01058.2004]</w:t>
      </w:r>
    </w:p>
    <w:p w14:paraId="69D34832"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63 </w:t>
      </w:r>
      <w:r w:rsidRPr="00A61B86">
        <w:rPr>
          <w:rFonts w:ascii="Book Antiqua" w:hAnsi="Book Antiqua"/>
          <w:b/>
          <w:sz w:val="24"/>
          <w:szCs w:val="24"/>
        </w:rPr>
        <w:t>Patel VB</w:t>
      </w:r>
      <w:r w:rsidRPr="00A61B86">
        <w:rPr>
          <w:rFonts w:ascii="Book Antiqua" w:hAnsi="Book Antiqua"/>
          <w:sz w:val="24"/>
          <w:szCs w:val="24"/>
        </w:rPr>
        <w:t xml:space="preserve">, Shah S, Verma S, Oudit GY. Epicardial adipose tissue as a metabolic transducer: role in heart failure and coronary artery disease. </w:t>
      </w:r>
      <w:r w:rsidRPr="00A61B86">
        <w:rPr>
          <w:rFonts w:ascii="Book Antiqua" w:hAnsi="Book Antiqua"/>
          <w:i/>
          <w:sz w:val="24"/>
          <w:szCs w:val="24"/>
        </w:rPr>
        <w:t>Heart Fail Rev</w:t>
      </w:r>
      <w:r w:rsidRPr="00A61B86">
        <w:rPr>
          <w:rFonts w:ascii="Book Antiqua" w:hAnsi="Book Antiqua"/>
          <w:sz w:val="24"/>
          <w:szCs w:val="24"/>
        </w:rPr>
        <w:t xml:space="preserve"> 2017; </w:t>
      </w:r>
      <w:r w:rsidRPr="00A61B86">
        <w:rPr>
          <w:rFonts w:ascii="Book Antiqua" w:hAnsi="Book Antiqua"/>
          <w:b/>
          <w:sz w:val="24"/>
          <w:szCs w:val="24"/>
        </w:rPr>
        <w:t>22</w:t>
      </w:r>
      <w:r w:rsidRPr="00A61B86">
        <w:rPr>
          <w:rFonts w:ascii="Book Antiqua" w:hAnsi="Book Antiqua"/>
          <w:sz w:val="24"/>
          <w:szCs w:val="24"/>
        </w:rPr>
        <w:t>: 889-902 [PMID: 28762019 DOI: 10.1007/s10741-017-9644-1]</w:t>
      </w:r>
    </w:p>
    <w:p w14:paraId="69859FFF"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64 </w:t>
      </w:r>
      <w:r w:rsidRPr="00A61B86">
        <w:rPr>
          <w:rFonts w:ascii="Book Antiqua" w:hAnsi="Book Antiqua"/>
          <w:b/>
          <w:sz w:val="24"/>
          <w:szCs w:val="24"/>
        </w:rPr>
        <w:t>Sato T</w:t>
      </w:r>
      <w:r w:rsidRPr="00A61B86">
        <w:rPr>
          <w:rFonts w:ascii="Book Antiqua" w:hAnsi="Book Antiqua"/>
          <w:sz w:val="24"/>
          <w:szCs w:val="24"/>
        </w:rPr>
        <w:t xml:space="preserve">, Aizawa Y, Yuasa S, Kishi S, Fuse K, Fujita S, Ikeda Y, Kitazawa H, Takahashi M, Sato M, Okabe M. The effect of dapagliflozin treatment on epicardial adipose tissue volume. </w:t>
      </w:r>
      <w:r w:rsidRPr="00A61B86">
        <w:rPr>
          <w:rFonts w:ascii="Book Antiqua" w:hAnsi="Book Antiqua"/>
          <w:i/>
          <w:sz w:val="24"/>
          <w:szCs w:val="24"/>
        </w:rPr>
        <w:t>Cardiovasc Diabetol</w:t>
      </w:r>
      <w:r w:rsidRPr="00A61B86">
        <w:rPr>
          <w:rFonts w:ascii="Book Antiqua" w:hAnsi="Book Antiqua"/>
          <w:sz w:val="24"/>
          <w:szCs w:val="24"/>
        </w:rPr>
        <w:t xml:space="preserve"> 2018; </w:t>
      </w:r>
      <w:r w:rsidRPr="00A61B86">
        <w:rPr>
          <w:rFonts w:ascii="Book Antiqua" w:hAnsi="Book Antiqua"/>
          <w:b/>
          <w:sz w:val="24"/>
          <w:szCs w:val="24"/>
        </w:rPr>
        <w:t>17</w:t>
      </w:r>
      <w:r w:rsidRPr="00A61B86">
        <w:rPr>
          <w:rFonts w:ascii="Book Antiqua" w:hAnsi="Book Antiqua"/>
          <w:sz w:val="24"/>
          <w:szCs w:val="24"/>
        </w:rPr>
        <w:t>: 6 [PMID: 29301516 DOI: 10.1186/s12933-017-0658-8]</w:t>
      </w:r>
    </w:p>
    <w:p w14:paraId="4657E0D0"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65 </w:t>
      </w:r>
      <w:r w:rsidRPr="00A61B86">
        <w:rPr>
          <w:rFonts w:ascii="Book Antiqua" w:hAnsi="Book Antiqua"/>
          <w:b/>
          <w:sz w:val="24"/>
          <w:szCs w:val="24"/>
        </w:rPr>
        <w:t>Garvey WT</w:t>
      </w:r>
      <w:r w:rsidRPr="00A61B86">
        <w:rPr>
          <w:rFonts w:ascii="Book Antiqua" w:hAnsi="Book Antiqua"/>
          <w:sz w:val="24"/>
          <w:szCs w:val="24"/>
        </w:rPr>
        <w:t xml:space="preserve">, Van Gaal L, Leiter LA, Vijapurkar U, List J, Cuddihy R, Ren J, Davies MJ. Effects of canagliflozin versus glimepiride on adipokines and inflammatory biomarkers in type 2 diabetes. </w:t>
      </w:r>
      <w:r w:rsidRPr="00A61B86">
        <w:rPr>
          <w:rFonts w:ascii="Book Antiqua" w:hAnsi="Book Antiqua"/>
          <w:i/>
          <w:sz w:val="24"/>
          <w:szCs w:val="24"/>
        </w:rPr>
        <w:t>Metabolism</w:t>
      </w:r>
      <w:r w:rsidRPr="00A61B86">
        <w:rPr>
          <w:rFonts w:ascii="Book Antiqua" w:hAnsi="Book Antiqua"/>
          <w:sz w:val="24"/>
          <w:szCs w:val="24"/>
        </w:rPr>
        <w:t xml:space="preserve"> 2018; </w:t>
      </w:r>
      <w:r w:rsidRPr="00A61B86">
        <w:rPr>
          <w:rFonts w:ascii="Book Antiqua" w:hAnsi="Book Antiqua"/>
          <w:b/>
          <w:sz w:val="24"/>
          <w:szCs w:val="24"/>
        </w:rPr>
        <w:t>85</w:t>
      </w:r>
      <w:r w:rsidRPr="00A61B86">
        <w:rPr>
          <w:rFonts w:ascii="Book Antiqua" w:hAnsi="Book Antiqua"/>
          <w:sz w:val="24"/>
          <w:szCs w:val="24"/>
        </w:rPr>
        <w:t>: 32-37 [PMID: 29452178 DOI: 10.1016/j.metabol.2018.02.002]</w:t>
      </w:r>
    </w:p>
    <w:p w14:paraId="345869F9"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66 </w:t>
      </w:r>
      <w:r w:rsidRPr="00A61B86">
        <w:rPr>
          <w:rFonts w:ascii="Book Antiqua" w:hAnsi="Book Antiqua"/>
          <w:b/>
          <w:sz w:val="24"/>
          <w:szCs w:val="24"/>
        </w:rPr>
        <w:t>Packer M</w:t>
      </w:r>
      <w:r w:rsidRPr="00A61B86">
        <w:rPr>
          <w:rFonts w:ascii="Book Antiqua" w:hAnsi="Book Antiqua"/>
          <w:sz w:val="24"/>
          <w:szCs w:val="24"/>
        </w:rPr>
        <w:t xml:space="preserve">, Anker SD, Butler J, Filippatos G, Zannad F. Effects of Sodium-Glucose Cotransporter 2 Inhibitors for the Treatment of Patients With Heart Failure: Proposal of a Novel Mechanism of Action. </w:t>
      </w:r>
      <w:r w:rsidRPr="00A61B86">
        <w:rPr>
          <w:rFonts w:ascii="Book Antiqua" w:hAnsi="Book Antiqua"/>
          <w:i/>
          <w:sz w:val="24"/>
          <w:szCs w:val="24"/>
        </w:rPr>
        <w:t>JAMA Cardiol</w:t>
      </w:r>
      <w:r w:rsidRPr="00A61B86">
        <w:rPr>
          <w:rFonts w:ascii="Book Antiqua" w:hAnsi="Book Antiqua"/>
          <w:sz w:val="24"/>
          <w:szCs w:val="24"/>
        </w:rPr>
        <w:t xml:space="preserve"> 2017; </w:t>
      </w:r>
      <w:r w:rsidRPr="00A61B86">
        <w:rPr>
          <w:rFonts w:ascii="Book Antiqua" w:hAnsi="Book Antiqua"/>
          <w:b/>
          <w:sz w:val="24"/>
          <w:szCs w:val="24"/>
        </w:rPr>
        <w:t>2</w:t>
      </w:r>
      <w:r w:rsidRPr="00A61B86">
        <w:rPr>
          <w:rFonts w:ascii="Book Antiqua" w:hAnsi="Book Antiqua"/>
          <w:sz w:val="24"/>
          <w:szCs w:val="24"/>
        </w:rPr>
        <w:t>: 1025-1029 [PMID: 28768320 DOI: 10.1001/jamacardio.2017.2275]</w:t>
      </w:r>
    </w:p>
    <w:p w14:paraId="3EE64A34"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67 </w:t>
      </w:r>
      <w:r w:rsidRPr="00A61B86">
        <w:rPr>
          <w:rFonts w:ascii="Book Antiqua" w:hAnsi="Book Antiqua"/>
          <w:b/>
          <w:sz w:val="24"/>
          <w:szCs w:val="24"/>
        </w:rPr>
        <w:t>Baartscheer A</w:t>
      </w:r>
      <w:r w:rsidRPr="00A61B86">
        <w:rPr>
          <w:rFonts w:ascii="Book Antiqua" w:hAnsi="Book Antiqua"/>
          <w:sz w:val="24"/>
          <w:szCs w:val="24"/>
        </w:rPr>
        <w:t>, Schumacher CA, Wüst RC, Fiolet JW, Stienen GJ, Coronel R, Zuurbier CJ. Empagliflozin decreases myocardial cytoplasmic Na</w:t>
      </w:r>
      <w:r w:rsidRPr="00A61B86">
        <w:rPr>
          <w:rFonts w:ascii="Book Antiqua" w:hAnsi="Book Antiqua"/>
          <w:sz w:val="24"/>
          <w:szCs w:val="24"/>
          <w:vertAlign w:val="superscript"/>
        </w:rPr>
        <w:t>+</w:t>
      </w:r>
      <w:r w:rsidRPr="00A61B86">
        <w:rPr>
          <w:rFonts w:ascii="Book Antiqua" w:hAnsi="Book Antiqua"/>
          <w:sz w:val="24"/>
          <w:szCs w:val="24"/>
        </w:rPr>
        <w:t xml:space="preserve"> through </w:t>
      </w:r>
      <w:r w:rsidRPr="00A61B86">
        <w:rPr>
          <w:rFonts w:ascii="Book Antiqua" w:hAnsi="Book Antiqua"/>
          <w:sz w:val="24"/>
          <w:szCs w:val="24"/>
        </w:rPr>
        <w:lastRenderedPageBreak/>
        <w:t>inhibition of the cardiac Na</w:t>
      </w:r>
      <w:r w:rsidRPr="00A61B86">
        <w:rPr>
          <w:rFonts w:ascii="Book Antiqua" w:hAnsi="Book Antiqua"/>
          <w:sz w:val="24"/>
          <w:szCs w:val="24"/>
          <w:vertAlign w:val="superscript"/>
        </w:rPr>
        <w:t>+</w:t>
      </w:r>
      <w:r w:rsidRPr="00A61B86">
        <w:rPr>
          <w:rFonts w:ascii="Book Antiqua" w:hAnsi="Book Antiqua"/>
          <w:sz w:val="24"/>
          <w:szCs w:val="24"/>
        </w:rPr>
        <w:t>/H</w:t>
      </w:r>
      <w:r w:rsidRPr="00A61B86">
        <w:rPr>
          <w:rFonts w:ascii="Book Antiqua" w:hAnsi="Book Antiqua"/>
          <w:sz w:val="24"/>
          <w:szCs w:val="24"/>
          <w:vertAlign w:val="superscript"/>
        </w:rPr>
        <w:t>+</w:t>
      </w:r>
      <w:r w:rsidRPr="00A61B86">
        <w:rPr>
          <w:rFonts w:ascii="Book Antiqua" w:hAnsi="Book Antiqua"/>
          <w:sz w:val="24"/>
          <w:szCs w:val="24"/>
        </w:rPr>
        <w:t xml:space="preserve"> exchanger in rats and rabbits. </w:t>
      </w:r>
      <w:r w:rsidRPr="00A61B86">
        <w:rPr>
          <w:rFonts w:ascii="Book Antiqua" w:hAnsi="Book Antiqua"/>
          <w:i/>
          <w:sz w:val="24"/>
          <w:szCs w:val="24"/>
        </w:rPr>
        <w:t>Diabetologia</w:t>
      </w:r>
      <w:r w:rsidRPr="00A61B86">
        <w:rPr>
          <w:rFonts w:ascii="Book Antiqua" w:hAnsi="Book Antiqua"/>
          <w:sz w:val="24"/>
          <w:szCs w:val="24"/>
        </w:rPr>
        <w:t xml:space="preserve"> 2017; </w:t>
      </w:r>
      <w:r w:rsidRPr="00A61B86">
        <w:rPr>
          <w:rFonts w:ascii="Book Antiqua" w:hAnsi="Book Antiqua"/>
          <w:b/>
          <w:sz w:val="24"/>
          <w:szCs w:val="24"/>
        </w:rPr>
        <w:t>60</w:t>
      </w:r>
      <w:r w:rsidRPr="00A61B86">
        <w:rPr>
          <w:rFonts w:ascii="Book Antiqua" w:hAnsi="Book Antiqua"/>
          <w:sz w:val="24"/>
          <w:szCs w:val="24"/>
        </w:rPr>
        <w:t>: 568-573 [PMID: 27752710 DOI: 10.1007/s00125-016-4134-x]</w:t>
      </w:r>
    </w:p>
    <w:p w14:paraId="23B97114" w14:textId="07AFAFB4"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68 </w:t>
      </w:r>
      <w:r w:rsidRPr="00A61B86">
        <w:rPr>
          <w:rFonts w:ascii="Book Antiqua" w:hAnsi="Book Antiqua"/>
          <w:b/>
          <w:sz w:val="24"/>
          <w:szCs w:val="24"/>
        </w:rPr>
        <w:t>Kohlhaas M</w:t>
      </w:r>
      <w:r w:rsidRPr="00A61B86">
        <w:rPr>
          <w:rFonts w:ascii="Book Antiqua" w:hAnsi="Book Antiqua"/>
          <w:sz w:val="24"/>
          <w:szCs w:val="24"/>
        </w:rPr>
        <w:t>, Liu T, Knopp A, Zeller T, Ong MF, Böhm M, O</w:t>
      </w:r>
      <w:r w:rsidR="006C3D29">
        <w:rPr>
          <w:rFonts w:ascii="Book Antiqua" w:hAnsi="Book Antiqua"/>
          <w:sz w:val="24"/>
          <w:szCs w:val="24"/>
        </w:rPr>
        <w:t>'</w:t>
      </w:r>
      <w:r w:rsidRPr="00A61B86">
        <w:rPr>
          <w:rFonts w:ascii="Book Antiqua" w:hAnsi="Book Antiqua"/>
          <w:sz w:val="24"/>
          <w:szCs w:val="24"/>
        </w:rPr>
        <w:t xml:space="preserve">Rourke B, Maack C. Elevated cytosolic Na+ increases mitochondrial formation of reactive oxygen species in failing cardiac myocytes. </w:t>
      </w:r>
      <w:r w:rsidRPr="00A61B86">
        <w:rPr>
          <w:rFonts w:ascii="Book Antiqua" w:hAnsi="Book Antiqua"/>
          <w:i/>
          <w:sz w:val="24"/>
          <w:szCs w:val="24"/>
        </w:rPr>
        <w:t>Circulation</w:t>
      </w:r>
      <w:r w:rsidRPr="00A61B86">
        <w:rPr>
          <w:rFonts w:ascii="Book Antiqua" w:hAnsi="Book Antiqua"/>
          <w:sz w:val="24"/>
          <w:szCs w:val="24"/>
        </w:rPr>
        <w:t xml:space="preserve"> 2010; </w:t>
      </w:r>
      <w:r w:rsidRPr="00A61B86">
        <w:rPr>
          <w:rFonts w:ascii="Book Antiqua" w:hAnsi="Book Antiqua"/>
          <w:b/>
          <w:sz w:val="24"/>
          <w:szCs w:val="24"/>
        </w:rPr>
        <w:t>121</w:t>
      </w:r>
      <w:r w:rsidRPr="00A61B86">
        <w:rPr>
          <w:rFonts w:ascii="Book Antiqua" w:hAnsi="Book Antiqua"/>
          <w:sz w:val="24"/>
          <w:szCs w:val="24"/>
        </w:rPr>
        <w:t>: 1606-1613 [PMID: 20351235 DOI: 10.1161/CIRCULATIONAHA.109.914911]</w:t>
      </w:r>
    </w:p>
    <w:p w14:paraId="1C33CAFC"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69 </w:t>
      </w:r>
      <w:r w:rsidRPr="00A61B86">
        <w:rPr>
          <w:rFonts w:ascii="Book Antiqua" w:hAnsi="Book Antiqua"/>
          <w:b/>
          <w:sz w:val="24"/>
          <w:szCs w:val="24"/>
        </w:rPr>
        <w:t>Baartscheer A</w:t>
      </w:r>
      <w:r w:rsidRPr="00A61B86">
        <w:rPr>
          <w:rFonts w:ascii="Book Antiqua" w:hAnsi="Book Antiqua"/>
          <w:sz w:val="24"/>
          <w:szCs w:val="24"/>
        </w:rPr>
        <w:t xml:space="preserve">, Schumacher CA, van Borren MM, Belterman CN, Coronel R, Fiolet JW. Increased Na+/H+-exchange activity is the cause of increased [Na+]i and underlies disturbed calcium handling in the rabbit pressure and volume overload heart failure model. </w:t>
      </w:r>
      <w:r w:rsidRPr="00A61B86">
        <w:rPr>
          <w:rFonts w:ascii="Book Antiqua" w:hAnsi="Book Antiqua"/>
          <w:i/>
          <w:sz w:val="24"/>
          <w:szCs w:val="24"/>
        </w:rPr>
        <w:t>Cardiovasc Res</w:t>
      </w:r>
      <w:r w:rsidRPr="00A61B86">
        <w:rPr>
          <w:rFonts w:ascii="Book Antiqua" w:hAnsi="Book Antiqua"/>
          <w:sz w:val="24"/>
          <w:szCs w:val="24"/>
        </w:rPr>
        <w:t xml:space="preserve"> 2003; </w:t>
      </w:r>
      <w:r w:rsidRPr="00A61B86">
        <w:rPr>
          <w:rFonts w:ascii="Book Antiqua" w:hAnsi="Book Antiqua"/>
          <w:b/>
          <w:sz w:val="24"/>
          <w:szCs w:val="24"/>
        </w:rPr>
        <w:t>57</w:t>
      </w:r>
      <w:r w:rsidRPr="00A61B86">
        <w:rPr>
          <w:rFonts w:ascii="Book Antiqua" w:hAnsi="Book Antiqua"/>
          <w:sz w:val="24"/>
          <w:szCs w:val="24"/>
        </w:rPr>
        <w:t>: 1015-1024 [PMID: 12650879 DOI: 10.1016/s0008-6363(02)00809-x]</w:t>
      </w:r>
    </w:p>
    <w:p w14:paraId="09FEDA4D"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70 </w:t>
      </w:r>
      <w:r w:rsidRPr="00A61B86">
        <w:rPr>
          <w:rFonts w:ascii="Book Antiqua" w:hAnsi="Book Antiqua"/>
          <w:b/>
          <w:sz w:val="24"/>
          <w:szCs w:val="24"/>
        </w:rPr>
        <w:t>Sato T</w:t>
      </w:r>
      <w:r w:rsidRPr="00A61B86">
        <w:rPr>
          <w:rFonts w:ascii="Book Antiqua" w:hAnsi="Book Antiqua"/>
          <w:sz w:val="24"/>
          <w:szCs w:val="24"/>
        </w:rPr>
        <w:t xml:space="preserve">, Miki T, Ohnishi H, Yamashita T, Takada A, Yano T, Tanno M, Tsuchida A, Miura T. Effect of sodium-glucose co-transporter-2 inhibitors on impaired ventricular repolarization in people with Type 2 diabetes. </w:t>
      </w:r>
      <w:r w:rsidRPr="00A61B86">
        <w:rPr>
          <w:rFonts w:ascii="Book Antiqua" w:hAnsi="Book Antiqua"/>
          <w:i/>
          <w:sz w:val="24"/>
          <w:szCs w:val="24"/>
        </w:rPr>
        <w:t>Diabet Med</w:t>
      </w:r>
      <w:r w:rsidRPr="00A61B86">
        <w:rPr>
          <w:rFonts w:ascii="Book Antiqua" w:hAnsi="Book Antiqua"/>
          <w:sz w:val="24"/>
          <w:szCs w:val="24"/>
        </w:rPr>
        <w:t xml:space="preserve"> 2017; </w:t>
      </w:r>
      <w:r w:rsidRPr="00A61B86">
        <w:rPr>
          <w:rFonts w:ascii="Book Antiqua" w:hAnsi="Book Antiqua"/>
          <w:b/>
          <w:sz w:val="24"/>
          <w:szCs w:val="24"/>
        </w:rPr>
        <w:t>34</w:t>
      </w:r>
      <w:r w:rsidRPr="00A61B86">
        <w:rPr>
          <w:rFonts w:ascii="Book Antiqua" w:hAnsi="Book Antiqua"/>
          <w:sz w:val="24"/>
          <w:szCs w:val="24"/>
        </w:rPr>
        <w:t>: 1367-1371 [PMID: 28703863 DOI: 10.1111/dme.13424]</w:t>
      </w:r>
    </w:p>
    <w:p w14:paraId="11096AA8"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71 </w:t>
      </w:r>
      <w:r w:rsidRPr="00A61B86">
        <w:rPr>
          <w:rFonts w:ascii="Book Antiqua" w:hAnsi="Book Antiqua"/>
          <w:b/>
          <w:sz w:val="24"/>
          <w:szCs w:val="24"/>
        </w:rPr>
        <w:t>Tanaka H</w:t>
      </w:r>
      <w:r w:rsidRPr="00A61B86">
        <w:rPr>
          <w:rFonts w:ascii="Book Antiqua" w:hAnsi="Book Antiqua"/>
          <w:sz w:val="24"/>
          <w:szCs w:val="24"/>
        </w:rPr>
        <w:t xml:space="preserve">, Takano K, Iijima H, Kubo H, Maruyama N, Hashimoto T, Arakawa K, Togo M, Inagaki N, Kaku K. Factors Affecting Canagliflozin-Induced Transient Urine Volume Increase in Patients with Type 2 Diabetes Mellitus. </w:t>
      </w:r>
      <w:r w:rsidRPr="00A61B86">
        <w:rPr>
          <w:rFonts w:ascii="Book Antiqua" w:hAnsi="Book Antiqua"/>
          <w:i/>
          <w:sz w:val="24"/>
          <w:szCs w:val="24"/>
        </w:rPr>
        <w:t>Adv Ther</w:t>
      </w:r>
      <w:r w:rsidRPr="00A61B86">
        <w:rPr>
          <w:rFonts w:ascii="Book Antiqua" w:hAnsi="Book Antiqua"/>
          <w:sz w:val="24"/>
          <w:szCs w:val="24"/>
        </w:rPr>
        <w:t xml:space="preserve"> 2017; </w:t>
      </w:r>
      <w:r w:rsidRPr="00A61B86">
        <w:rPr>
          <w:rFonts w:ascii="Book Antiqua" w:hAnsi="Book Antiqua"/>
          <w:b/>
          <w:sz w:val="24"/>
          <w:szCs w:val="24"/>
        </w:rPr>
        <w:t>34</w:t>
      </w:r>
      <w:r w:rsidRPr="00A61B86">
        <w:rPr>
          <w:rFonts w:ascii="Book Antiqua" w:hAnsi="Book Antiqua"/>
          <w:sz w:val="24"/>
          <w:szCs w:val="24"/>
        </w:rPr>
        <w:t>: 436-451 [PMID: 27981497 DOI: 10.1007/s12325-016-0457-8]</w:t>
      </w:r>
    </w:p>
    <w:p w14:paraId="314D68BA" w14:textId="577F6475"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72 </w:t>
      </w:r>
      <w:r w:rsidRPr="00A61B86">
        <w:rPr>
          <w:rFonts w:ascii="Book Antiqua" w:hAnsi="Book Antiqua"/>
          <w:b/>
          <w:sz w:val="24"/>
          <w:szCs w:val="24"/>
        </w:rPr>
        <w:t>Eickhoff MK</w:t>
      </w:r>
      <w:r w:rsidRPr="00A61B86">
        <w:rPr>
          <w:rFonts w:ascii="Book Antiqua" w:hAnsi="Book Antiqua"/>
          <w:sz w:val="24"/>
          <w:szCs w:val="24"/>
        </w:rPr>
        <w:t xml:space="preserve">, Dekkers CCJ, Kramers BJ, Laverman GD, Frimodt-Møller M, Jørgensen NR, Faber J, Danser AHJ, Gansevoort RT, Rossing P, Persson F, Heerspink HJL. Effects of Dapagliflozin on Volume Status When Added to Renin-Angiotensin System Inhibitors. </w:t>
      </w:r>
      <w:r w:rsidRPr="00A61B86">
        <w:rPr>
          <w:rFonts w:ascii="Book Antiqua" w:hAnsi="Book Antiqua"/>
          <w:i/>
          <w:sz w:val="24"/>
          <w:szCs w:val="24"/>
        </w:rPr>
        <w:t>J Clin Med</w:t>
      </w:r>
      <w:r w:rsidRPr="00A61B86">
        <w:rPr>
          <w:rFonts w:ascii="Book Antiqua" w:hAnsi="Book Antiqua"/>
          <w:sz w:val="24"/>
          <w:szCs w:val="24"/>
        </w:rPr>
        <w:t xml:space="preserve"> 2019; </w:t>
      </w:r>
      <w:r w:rsidRPr="00A61B86">
        <w:rPr>
          <w:rFonts w:ascii="Book Antiqua" w:hAnsi="Book Antiqua"/>
          <w:b/>
          <w:sz w:val="24"/>
          <w:szCs w:val="24"/>
        </w:rPr>
        <w:t>8</w:t>
      </w:r>
      <w:r w:rsidRPr="00A61B86">
        <w:rPr>
          <w:rFonts w:ascii="Book Antiqua" w:hAnsi="Book Antiqua"/>
          <w:sz w:val="24"/>
          <w:szCs w:val="24"/>
        </w:rPr>
        <w:t xml:space="preserve">: </w:t>
      </w:r>
      <w:r w:rsidR="00A62718" w:rsidRPr="00A62718">
        <w:rPr>
          <w:rFonts w:ascii="Book Antiqua" w:hAnsi="Book Antiqua"/>
          <w:sz w:val="24"/>
          <w:szCs w:val="24"/>
        </w:rPr>
        <w:t xml:space="preserve">779 </w:t>
      </w:r>
      <w:r w:rsidRPr="00A61B86">
        <w:rPr>
          <w:rFonts w:ascii="Book Antiqua" w:hAnsi="Book Antiqua"/>
          <w:sz w:val="24"/>
          <w:szCs w:val="24"/>
        </w:rPr>
        <w:t xml:space="preserve">[PMID: </w:t>
      </w:r>
      <w:bookmarkStart w:id="27" w:name="OLE_LINK741"/>
      <w:bookmarkStart w:id="28" w:name="OLE_LINK742"/>
      <w:r w:rsidRPr="00A61B86">
        <w:rPr>
          <w:rFonts w:ascii="Book Antiqua" w:hAnsi="Book Antiqua"/>
          <w:sz w:val="24"/>
          <w:szCs w:val="24"/>
        </w:rPr>
        <w:t>31159350</w:t>
      </w:r>
      <w:bookmarkEnd w:id="27"/>
      <w:bookmarkEnd w:id="28"/>
      <w:r w:rsidRPr="00A61B86">
        <w:rPr>
          <w:rFonts w:ascii="Book Antiqua" w:hAnsi="Book Antiqua"/>
          <w:sz w:val="24"/>
          <w:szCs w:val="24"/>
        </w:rPr>
        <w:t xml:space="preserve"> DOI: 10.3390/jcm8060779]</w:t>
      </w:r>
    </w:p>
    <w:p w14:paraId="01B77C2B"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73 </w:t>
      </w:r>
      <w:r w:rsidRPr="00A61B86">
        <w:rPr>
          <w:rFonts w:ascii="Book Antiqua" w:hAnsi="Book Antiqua"/>
          <w:b/>
          <w:sz w:val="24"/>
          <w:szCs w:val="24"/>
        </w:rPr>
        <w:t>Januzzi JL Jr</w:t>
      </w:r>
      <w:r w:rsidRPr="00A61B86">
        <w:rPr>
          <w:rFonts w:ascii="Book Antiqua" w:hAnsi="Book Antiqua"/>
          <w:sz w:val="24"/>
          <w:szCs w:val="24"/>
        </w:rPr>
        <w:t xml:space="preserve">, Butler J, Jarolim P, Sattar N, Vijapurkar U, Desai M, Davies MJ. Effects of Canagliflozin on Cardiovascular Biomarkers in Older Adults With Type 2 Diabetes. </w:t>
      </w:r>
      <w:r w:rsidRPr="00A61B86">
        <w:rPr>
          <w:rFonts w:ascii="Book Antiqua" w:hAnsi="Book Antiqua"/>
          <w:i/>
          <w:sz w:val="24"/>
          <w:szCs w:val="24"/>
        </w:rPr>
        <w:t>J Am Coll Cardiol</w:t>
      </w:r>
      <w:r w:rsidRPr="00A61B86">
        <w:rPr>
          <w:rFonts w:ascii="Book Antiqua" w:hAnsi="Book Antiqua"/>
          <w:sz w:val="24"/>
          <w:szCs w:val="24"/>
        </w:rPr>
        <w:t xml:space="preserve"> 2017; </w:t>
      </w:r>
      <w:r w:rsidRPr="00A61B86">
        <w:rPr>
          <w:rFonts w:ascii="Book Antiqua" w:hAnsi="Book Antiqua"/>
          <w:b/>
          <w:sz w:val="24"/>
          <w:szCs w:val="24"/>
        </w:rPr>
        <w:t>70</w:t>
      </w:r>
      <w:r w:rsidRPr="00A61B86">
        <w:rPr>
          <w:rFonts w:ascii="Book Antiqua" w:hAnsi="Book Antiqua"/>
          <w:sz w:val="24"/>
          <w:szCs w:val="24"/>
        </w:rPr>
        <w:t>: 704-712 [PMID: 28619659 DOI: 10.1016/j.jacc.2017.06.016]</w:t>
      </w:r>
    </w:p>
    <w:p w14:paraId="772333DE"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74 </w:t>
      </w:r>
      <w:r w:rsidRPr="00A61B86">
        <w:rPr>
          <w:rFonts w:ascii="Book Antiqua" w:hAnsi="Book Antiqua"/>
          <w:b/>
          <w:sz w:val="24"/>
          <w:szCs w:val="24"/>
        </w:rPr>
        <w:t>Majowicz MP</w:t>
      </w:r>
      <w:r w:rsidRPr="00A61B86">
        <w:rPr>
          <w:rFonts w:ascii="Book Antiqua" w:hAnsi="Book Antiqua"/>
          <w:sz w:val="24"/>
          <w:szCs w:val="24"/>
        </w:rPr>
        <w:t xml:space="preserve">, Gonzalez Bosc LV, Albertoni Borghese MF, Delgado MF, Ortiz MC, Sterin Speziale N, Vidal NA. Atrial natriuretic peptide and endothelin-3 target renal sodium-glucose cotransporter. </w:t>
      </w:r>
      <w:r w:rsidRPr="00A61B86">
        <w:rPr>
          <w:rFonts w:ascii="Book Antiqua" w:hAnsi="Book Antiqua"/>
          <w:i/>
          <w:sz w:val="24"/>
          <w:szCs w:val="24"/>
        </w:rPr>
        <w:t>Peptides</w:t>
      </w:r>
      <w:r w:rsidRPr="00A61B86">
        <w:rPr>
          <w:rFonts w:ascii="Book Antiqua" w:hAnsi="Book Antiqua"/>
          <w:sz w:val="24"/>
          <w:szCs w:val="24"/>
        </w:rPr>
        <w:t xml:space="preserve"> 2003; </w:t>
      </w:r>
      <w:r w:rsidRPr="00A61B86">
        <w:rPr>
          <w:rFonts w:ascii="Book Antiqua" w:hAnsi="Book Antiqua"/>
          <w:b/>
          <w:sz w:val="24"/>
          <w:szCs w:val="24"/>
        </w:rPr>
        <w:t>24</w:t>
      </w:r>
      <w:r w:rsidRPr="00A61B86">
        <w:rPr>
          <w:rFonts w:ascii="Book Antiqua" w:hAnsi="Book Antiqua"/>
          <w:sz w:val="24"/>
          <w:szCs w:val="24"/>
        </w:rPr>
        <w:t>: 1971-1976 [PMID: 15127950 DOI: 10.1016/j.peptides.2003.07.030]</w:t>
      </w:r>
    </w:p>
    <w:p w14:paraId="1C89B8F9" w14:textId="77777777"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lastRenderedPageBreak/>
        <w:t xml:space="preserve">75 </w:t>
      </w:r>
      <w:r w:rsidRPr="00A61B86">
        <w:rPr>
          <w:rFonts w:ascii="Book Antiqua" w:hAnsi="Book Antiqua"/>
          <w:b/>
          <w:sz w:val="24"/>
          <w:szCs w:val="24"/>
        </w:rPr>
        <w:t>Volpe M</w:t>
      </w:r>
      <w:r w:rsidRPr="00A61B86">
        <w:rPr>
          <w:rFonts w:ascii="Book Antiqua" w:hAnsi="Book Antiqua"/>
          <w:sz w:val="24"/>
          <w:szCs w:val="24"/>
        </w:rPr>
        <w:t xml:space="preserve">, Carnovali M, Mastromarino V. The natriuretic peptides system in the pathophysiology of heart failure: from molecular basis to treatment. </w:t>
      </w:r>
      <w:r w:rsidRPr="00A61B86">
        <w:rPr>
          <w:rFonts w:ascii="Book Antiqua" w:hAnsi="Book Antiqua"/>
          <w:i/>
          <w:sz w:val="24"/>
          <w:szCs w:val="24"/>
        </w:rPr>
        <w:t>Clin Sci (Lond)</w:t>
      </w:r>
      <w:r w:rsidRPr="00A61B86">
        <w:rPr>
          <w:rFonts w:ascii="Book Antiqua" w:hAnsi="Book Antiqua"/>
          <w:sz w:val="24"/>
          <w:szCs w:val="24"/>
        </w:rPr>
        <w:t xml:space="preserve"> 2016; </w:t>
      </w:r>
      <w:r w:rsidRPr="00A61B86">
        <w:rPr>
          <w:rFonts w:ascii="Book Antiqua" w:hAnsi="Book Antiqua"/>
          <w:b/>
          <w:sz w:val="24"/>
          <w:szCs w:val="24"/>
        </w:rPr>
        <w:t>130</w:t>
      </w:r>
      <w:r w:rsidRPr="00A61B86">
        <w:rPr>
          <w:rFonts w:ascii="Book Antiqua" w:hAnsi="Book Antiqua"/>
          <w:sz w:val="24"/>
          <w:szCs w:val="24"/>
        </w:rPr>
        <w:t>: 57-77 [PMID: 26637405 DOI: 10.1042/CS20150469]</w:t>
      </w:r>
    </w:p>
    <w:p w14:paraId="6A89F375" w14:textId="75B18734" w:rsidR="00A61B86" w:rsidRPr="00A61B86" w:rsidRDefault="00A61B86" w:rsidP="00A61B86">
      <w:pPr>
        <w:adjustRightInd w:val="0"/>
        <w:snapToGrid w:val="0"/>
        <w:spacing w:line="360" w:lineRule="auto"/>
        <w:jc w:val="both"/>
        <w:rPr>
          <w:rFonts w:ascii="Book Antiqua" w:hAnsi="Book Antiqua"/>
          <w:sz w:val="24"/>
          <w:szCs w:val="24"/>
        </w:rPr>
      </w:pPr>
      <w:r w:rsidRPr="00A61B86">
        <w:rPr>
          <w:rFonts w:ascii="Book Antiqua" w:hAnsi="Book Antiqua"/>
          <w:sz w:val="24"/>
          <w:szCs w:val="24"/>
        </w:rPr>
        <w:t xml:space="preserve">76 </w:t>
      </w:r>
      <w:r w:rsidRPr="00A61B86">
        <w:rPr>
          <w:rFonts w:ascii="Book Antiqua" w:hAnsi="Book Antiqua"/>
          <w:b/>
          <w:sz w:val="24"/>
          <w:szCs w:val="24"/>
        </w:rPr>
        <w:t>Grubić Rotkvić P</w:t>
      </w:r>
      <w:r w:rsidRPr="00A61B86">
        <w:rPr>
          <w:rFonts w:ascii="Book Antiqua" w:hAnsi="Book Antiqua"/>
          <w:sz w:val="24"/>
          <w:szCs w:val="24"/>
        </w:rPr>
        <w:t xml:space="preserve">, Cigrovski Berković M, Bulj N, Rotkvić L. Minireview: are SGLT2 inhibitors heart savers in diabetes? </w:t>
      </w:r>
      <w:r w:rsidRPr="00A61B86">
        <w:rPr>
          <w:rFonts w:ascii="Book Antiqua" w:hAnsi="Book Antiqua"/>
          <w:i/>
          <w:sz w:val="24"/>
          <w:szCs w:val="24"/>
        </w:rPr>
        <w:t>Heart Fail Rev</w:t>
      </w:r>
      <w:r w:rsidRPr="00A61B86">
        <w:rPr>
          <w:rFonts w:ascii="Book Antiqua" w:hAnsi="Book Antiqua"/>
          <w:sz w:val="24"/>
          <w:szCs w:val="24"/>
        </w:rPr>
        <w:t xml:space="preserve"> 2019 [PMID: 31410757 DOI: 10.1007/s10741-019-09849-3]</w:t>
      </w:r>
    </w:p>
    <w:p w14:paraId="7A165AA8"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
    <w:p w14:paraId="46A0E215" w14:textId="330FBA2A" w:rsidR="00A61B86" w:rsidRDefault="00A61B86">
      <w:pPr>
        <w:rPr>
          <w:rFonts w:ascii="Book Antiqua" w:eastAsia="Times New Roman" w:hAnsi="Book Antiqua" w:cs="Calibri"/>
          <w:color w:val="000000"/>
          <w:sz w:val="24"/>
          <w:szCs w:val="24"/>
          <w:shd w:val="clear" w:color="auto" w:fill="FFFFFF"/>
          <w:lang w:val="en-US"/>
        </w:rPr>
      </w:pPr>
      <w:r>
        <w:rPr>
          <w:rFonts w:ascii="Book Antiqua" w:hAnsi="Book Antiqua" w:cs="Calibri"/>
          <w:color w:val="000000"/>
          <w:sz w:val="24"/>
          <w:szCs w:val="24"/>
          <w:shd w:val="clear" w:color="auto" w:fill="FFFFFF"/>
        </w:rPr>
        <w:br w:type="page"/>
      </w:r>
    </w:p>
    <w:p w14:paraId="7D6599B9" w14:textId="064FCDA3" w:rsidR="00156B28" w:rsidRPr="00707417" w:rsidRDefault="00A61B86"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bookmarkStart w:id="29" w:name="_Hlk39067488"/>
      <w:r w:rsidRPr="00A61B86">
        <w:rPr>
          <w:rFonts w:ascii="Book Antiqua" w:hAnsi="Book Antiqua" w:cs="Calibri"/>
          <w:b/>
          <w:color w:val="000000"/>
          <w:sz w:val="24"/>
          <w:szCs w:val="24"/>
          <w:shd w:val="clear" w:color="auto" w:fill="FFFFFF"/>
          <w:lang w:val="es-ES_tradnl"/>
        </w:rPr>
        <w:lastRenderedPageBreak/>
        <w:t>Footnotes</w:t>
      </w:r>
      <w:bookmarkEnd w:id="29"/>
    </w:p>
    <w:p w14:paraId="70794F5D" w14:textId="260145F4" w:rsidR="00707417" w:rsidRPr="00707417" w:rsidRDefault="00A61B86" w:rsidP="00707417">
      <w:pPr>
        <w:adjustRightInd w:val="0"/>
        <w:snapToGrid w:val="0"/>
        <w:spacing w:line="360" w:lineRule="auto"/>
        <w:jc w:val="both"/>
        <w:rPr>
          <w:rFonts w:ascii="Book Antiqua" w:hAnsi="Book Antiqua"/>
          <w:sz w:val="24"/>
          <w:szCs w:val="24"/>
        </w:rPr>
      </w:pPr>
      <w:bookmarkStart w:id="30" w:name="_Hlk39067498"/>
      <w:r w:rsidRPr="00D53DBA">
        <w:rPr>
          <w:rFonts w:ascii="Book Antiqua" w:hAnsi="Book Antiqua"/>
          <w:b/>
          <w:color w:val="000000"/>
          <w:sz w:val="24"/>
          <w:szCs w:val="24"/>
        </w:rPr>
        <w:t>Conflict-of-interest statement</w:t>
      </w:r>
      <w:r w:rsidRPr="00D53DBA">
        <w:rPr>
          <w:rFonts w:ascii="Book Antiqua" w:hAnsi="Book Antiqua"/>
          <w:b/>
          <w:sz w:val="24"/>
          <w:szCs w:val="24"/>
        </w:rPr>
        <w:t>:</w:t>
      </w:r>
      <w:bookmarkEnd w:id="30"/>
      <w:r w:rsidR="00707417" w:rsidRPr="00707417">
        <w:rPr>
          <w:rFonts w:ascii="Book Antiqua" w:hAnsi="Book Antiqua" w:cs="Calibri"/>
          <w:b/>
          <w:color w:val="000000"/>
          <w:sz w:val="24"/>
          <w:szCs w:val="24"/>
          <w:shd w:val="clear" w:color="auto" w:fill="FFFFFF"/>
        </w:rPr>
        <w:t xml:space="preserve"> </w:t>
      </w:r>
      <w:r w:rsidR="00707417" w:rsidRPr="00707417">
        <w:rPr>
          <w:rFonts w:ascii="Book Antiqua" w:hAnsi="Book Antiqua"/>
          <w:sz w:val="24"/>
          <w:szCs w:val="24"/>
        </w:rPr>
        <w:t>Drs. Petra Grubić Rotkvić, Maja Cigrovski Berković, Nikola Bulj, Luka Rotkvić, and Ivana Ćelap have no conflict of interest or financial ties to disclose.</w:t>
      </w:r>
    </w:p>
    <w:p w14:paraId="78E6A8D4" w14:textId="77777777" w:rsidR="00707417" w:rsidRPr="00707417" w:rsidRDefault="00707417" w:rsidP="00707417">
      <w:pPr>
        <w:adjustRightInd w:val="0"/>
        <w:snapToGrid w:val="0"/>
        <w:spacing w:line="360" w:lineRule="auto"/>
        <w:jc w:val="both"/>
        <w:rPr>
          <w:rFonts w:ascii="Book Antiqua" w:hAnsi="Book Antiqua" w:cs="Calibri"/>
          <w:b/>
          <w:bCs/>
          <w:color w:val="000000"/>
          <w:sz w:val="24"/>
          <w:szCs w:val="24"/>
          <w:shd w:val="clear" w:color="auto" w:fill="FFFFFF"/>
        </w:rPr>
      </w:pPr>
    </w:p>
    <w:p w14:paraId="6B13ECCA" w14:textId="77777777" w:rsidR="00A61B86" w:rsidRPr="00663BB7" w:rsidRDefault="00A61B86" w:rsidP="00A61B86">
      <w:pPr>
        <w:adjustRightInd w:val="0"/>
        <w:snapToGrid w:val="0"/>
        <w:spacing w:line="360" w:lineRule="auto"/>
        <w:jc w:val="both"/>
        <w:rPr>
          <w:rFonts w:ascii="Book Antiqua" w:hAnsi="Book Antiqua"/>
          <w:sz w:val="24"/>
          <w:szCs w:val="24"/>
        </w:rPr>
      </w:pPr>
      <w:bookmarkStart w:id="31" w:name="_Hlk25573505"/>
      <w:bookmarkStart w:id="32" w:name="OLE_LINK561"/>
      <w:bookmarkStart w:id="33" w:name="_Hlk26521719"/>
      <w:bookmarkStart w:id="34" w:name="OLE_LINK265"/>
      <w:bookmarkStart w:id="35" w:name="OLE_LINK268"/>
      <w:bookmarkStart w:id="36" w:name="OLE_LINK345"/>
      <w:bookmarkStart w:id="37" w:name="OLE_LINK372"/>
      <w:bookmarkStart w:id="38" w:name="OLE_LINK421"/>
      <w:bookmarkStart w:id="39" w:name="OLE_LINK426"/>
      <w:bookmarkStart w:id="40" w:name="OLE_LINK157"/>
      <w:bookmarkStart w:id="41" w:name="OLE_LINK457"/>
      <w:bookmarkStart w:id="42" w:name="OLE_LINK456"/>
      <w:bookmarkStart w:id="43" w:name="OLE_LINK467"/>
      <w:bookmarkStart w:id="44" w:name="OLE_LINK515"/>
      <w:bookmarkStart w:id="45" w:name="OLE_LINK517"/>
      <w:bookmarkStart w:id="46" w:name="OLE_LINK521"/>
      <w:bookmarkStart w:id="47" w:name="OLE_LINK522"/>
      <w:bookmarkStart w:id="48" w:name="OLE_LINK563"/>
      <w:bookmarkStart w:id="49" w:name="OLE_LINK570"/>
      <w:bookmarkStart w:id="50" w:name="OLE_LINK573"/>
      <w:bookmarkStart w:id="51" w:name="OLE_LINK610"/>
      <w:bookmarkStart w:id="52" w:name="OLE_LINK633"/>
      <w:bookmarkStart w:id="53" w:name="OLE_LINK647"/>
      <w:bookmarkStart w:id="54" w:name="OLE_LINK455"/>
      <w:bookmarkStart w:id="55" w:name="OLE_LINK614"/>
      <w:bookmarkStart w:id="56" w:name="OLE_LINK644"/>
      <w:bookmarkStart w:id="57" w:name="OLE_LINK662"/>
      <w:bookmarkStart w:id="58" w:name="OLE_LINK657"/>
      <w:bookmarkStart w:id="59" w:name="OLE_LINK625"/>
      <w:bookmarkStart w:id="60" w:name="OLE_LINK663"/>
      <w:bookmarkStart w:id="61" w:name="OLE_LINK652"/>
      <w:bookmarkStart w:id="62" w:name="OLE_LINK698"/>
      <w:bookmarkStart w:id="63" w:name="OLE_LINK724"/>
      <w:bookmarkStart w:id="64" w:name="OLE_LINK704"/>
      <w:bookmarkStart w:id="65" w:name="OLE_LINK757"/>
      <w:bookmarkStart w:id="66" w:name="OLE_LINK793"/>
      <w:bookmarkStart w:id="67" w:name="OLE_LINK709"/>
      <w:bookmarkStart w:id="68" w:name="OLE_LINK707"/>
      <w:bookmarkStart w:id="69" w:name="OLE_LINK730"/>
      <w:bookmarkStart w:id="70" w:name="OLE_LINK760"/>
      <w:bookmarkStart w:id="71" w:name="OLE_LINK734"/>
      <w:bookmarkStart w:id="72" w:name="OLE_LINK759"/>
      <w:bookmarkStart w:id="73" w:name="OLE_LINK795"/>
      <w:r w:rsidRPr="001042DC">
        <w:rPr>
          <w:rFonts w:ascii="Book Antiqua" w:hAnsi="Book Antiqua"/>
          <w:b/>
          <w:sz w:val="24"/>
          <w:szCs w:val="24"/>
        </w:rPr>
        <w:t>Open-Access:</w:t>
      </w:r>
      <w:r>
        <w:rPr>
          <w:rFonts w:ascii="Book Antiqua" w:hAnsi="Book Antiqua"/>
          <w:b/>
          <w:sz w:val="24"/>
          <w:szCs w:val="24"/>
        </w:rPr>
        <w:t xml:space="preserve"> </w:t>
      </w:r>
      <w:bookmarkStart w:id="74" w:name="OLE_LINK524"/>
      <w:bookmarkStart w:id="75" w:name="OLE_LINK653"/>
      <w:bookmarkStart w:id="76" w:name="OLE_LINK771"/>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4"/>
      <w:bookmarkEnd w:id="75"/>
      <w:bookmarkEnd w:id="76"/>
    </w:p>
    <w:p w14:paraId="766FFD50" w14:textId="77777777" w:rsidR="00A61B86" w:rsidRPr="00663BB7" w:rsidRDefault="00A61B86" w:rsidP="00A61B86">
      <w:pPr>
        <w:adjustRightInd w:val="0"/>
        <w:snapToGrid w:val="0"/>
        <w:spacing w:line="360" w:lineRule="auto"/>
        <w:jc w:val="both"/>
        <w:rPr>
          <w:rFonts w:ascii="Book Antiqua" w:eastAsia="DengXian" w:hAnsi="Book Antiqua"/>
          <w:b/>
          <w:sz w:val="24"/>
          <w:szCs w:val="24"/>
        </w:rPr>
      </w:pPr>
    </w:p>
    <w:p w14:paraId="4155D0B0" w14:textId="613DB3AD" w:rsidR="00A61B86" w:rsidRPr="00663BB7" w:rsidRDefault="00A61B86" w:rsidP="00A61B86">
      <w:pPr>
        <w:adjustRightInd w:val="0"/>
        <w:snapToGrid w:val="0"/>
        <w:spacing w:line="360" w:lineRule="auto"/>
        <w:jc w:val="both"/>
        <w:rPr>
          <w:rFonts w:ascii="Book Antiqua" w:eastAsia="DengXian" w:hAnsi="Book Antiqua"/>
          <w:sz w:val="24"/>
          <w:szCs w:val="24"/>
        </w:rPr>
      </w:pPr>
      <w:bookmarkStart w:id="77" w:name="OLE_LINK1102"/>
      <w:bookmarkStart w:id="78" w:name="OLE_LINK1103"/>
      <w:bookmarkStart w:id="79" w:name="OLE_LINK172"/>
      <w:bookmarkStart w:id="80" w:name="OLE_LINK176"/>
      <w:r w:rsidRPr="00663BB7">
        <w:rPr>
          <w:rFonts w:ascii="Book Antiqua" w:eastAsia="DengXian" w:hAnsi="Book Antiqua"/>
          <w:b/>
          <w:sz w:val="24"/>
          <w:szCs w:val="24"/>
        </w:rPr>
        <w:t>Manuscript source:</w:t>
      </w:r>
      <w:bookmarkEnd w:id="77"/>
      <w:bookmarkEnd w:id="78"/>
      <w:r w:rsidRPr="00663BB7">
        <w:rPr>
          <w:rFonts w:ascii="Book Antiqua" w:eastAsia="DengXian" w:hAnsi="Book Antiqua"/>
          <w:b/>
          <w:sz w:val="24"/>
          <w:szCs w:val="24"/>
        </w:rPr>
        <w:t xml:space="preserve"> </w:t>
      </w:r>
      <w:bookmarkEnd w:id="31"/>
      <w:bookmarkEnd w:id="32"/>
      <w:r w:rsidRPr="00F87CB4">
        <w:rPr>
          <w:rFonts w:ascii="Book Antiqua" w:eastAsia="DengXian" w:hAnsi="Book Antiqua"/>
          <w:sz w:val="24"/>
          <w:szCs w:val="24"/>
        </w:rPr>
        <w:t>Invited Manuscript</w:t>
      </w:r>
    </w:p>
    <w:bookmarkEnd w:id="79"/>
    <w:bookmarkEnd w:id="80"/>
    <w:p w14:paraId="1433B5B3" w14:textId="77777777" w:rsidR="00A61B86" w:rsidRDefault="00A61B86" w:rsidP="00A61B86">
      <w:pPr>
        <w:adjustRightInd w:val="0"/>
        <w:snapToGrid w:val="0"/>
        <w:spacing w:line="360" w:lineRule="auto"/>
        <w:jc w:val="both"/>
        <w:rPr>
          <w:rFonts w:ascii="Book Antiqua" w:eastAsia="SimSun" w:hAnsi="Book Antiqua" w:cs="SimSun"/>
          <w:sz w:val="24"/>
          <w:szCs w:val="24"/>
        </w:rPr>
      </w:pPr>
    </w:p>
    <w:p w14:paraId="5FF4AE25" w14:textId="7769EFAD" w:rsidR="00A61B86" w:rsidRPr="00002F66" w:rsidRDefault="00A61B86" w:rsidP="00A61B86">
      <w:pPr>
        <w:adjustRightInd w:val="0"/>
        <w:snapToGrid w:val="0"/>
        <w:spacing w:line="360" w:lineRule="auto"/>
        <w:jc w:val="both"/>
        <w:rPr>
          <w:rFonts w:ascii="Book Antiqua" w:hAnsi="Book Antiqua"/>
          <w:b/>
          <w:sz w:val="24"/>
          <w:szCs w:val="24"/>
        </w:rPr>
      </w:pPr>
      <w:bookmarkStart w:id="81" w:name="_Hlk26890791"/>
      <w:bookmarkStart w:id="82" w:name="_Hlk26802702"/>
      <w:bookmarkStart w:id="83" w:name="OLE_LINK198"/>
      <w:bookmarkStart w:id="84" w:name="OLE_LINK255"/>
      <w:r w:rsidRPr="00002F66">
        <w:rPr>
          <w:rFonts w:ascii="Book Antiqua" w:hAnsi="Book Antiqua"/>
          <w:b/>
          <w:sz w:val="24"/>
          <w:szCs w:val="24"/>
        </w:rPr>
        <w:t xml:space="preserve">Peer-review started: </w:t>
      </w:r>
      <w:r w:rsidR="00D5596A">
        <w:rPr>
          <w:rFonts w:ascii="Book Antiqua" w:hAnsi="Book Antiqua"/>
          <w:sz w:val="24"/>
          <w:szCs w:val="24"/>
        </w:rPr>
        <w:t>February</w:t>
      </w:r>
      <w:r w:rsidR="00D5596A" w:rsidRPr="00002F66">
        <w:rPr>
          <w:rFonts w:ascii="Book Antiqua" w:hAnsi="Book Antiqua"/>
          <w:sz w:val="24"/>
          <w:szCs w:val="24"/>
        </w:rPr>
        <w:t xml:space="preserve"> </w:t>
      </w:r>
      <w:r w:rsidR="00D5596A">
        <w:rPr>
          <w:rFonts w:ascii="Book Antiqua" w:hAnsi="Book Antiqua"/>
          <w:sz w:val="24"/>
          <w:szCs w:val="24"/>
        </w:rPr>
        <w:t>17</w:t>
      </w:r>
      <w:r w:rsidR="00D5596A" w:rsidRPr="00002F66">
        <w:rPr>
          <w:rFonts w:ascii="Book Antiqua" w:hAnsi="Book Antiqua"/>
          <w:sz w:val="24"/>
          <w:szCs w:val="24"/>
        </w:rPr>
        <w:t>, 20</w:t>
      </w:r>
      <w:r w:rsidR="00D5596A">
        <w:rPr>
          <w:rFonts w:ascii="Book Antiqua" w:hAnsi="Book Antiqua"/>
          <w:sz w:val="24"/>
          <w:szCs w:val="24"/>
        </w:rPr>
        <w:t>20</w:t>
      </w:r>
    </w:p>
    <w:p w14:paraId="48C9A446" w14:textId="03EA338C" w:rsidR="00A61B86" w:rsidRPr="00002F66" w:rsidRDefault="00A61B86" w:rsidP="00A61B86">
      <w:pPr>
        <w:adjustRightInd w:val="0"/>
        <w:snapToGrid w:val="0"/>
        <w:spacing w:line="360" w:lineRule="auto"/>
        <w:jc w:val="both"/>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 xml:space="preserve">May </w:t>
      </w:r>
      <w:r w:rsidR="00D5596A">
        <w:rPr>
          <w:rFonts w:ascii="Book Antiqua" w:hAnsi="Book Antiqua"/>
          <w:sz w:val="24"/>
          <w:szCs w:val="24"/>
        </w:rPr>
        <w:t>5</w:t>
      </w:r>
      <w:r w:rsidRPr="00002F66">
        <w:rPr>
          <w:rFonts w:ascii="Book Antiqua" w:hAnsi="Book Antiqua"/>
          <w:sz w:val="24"/>
          <w:szCs w:val="24"/>
        </w:rPr>
        <w:t>, 20</w:t>
      </w:r>
      <w:r>
        <w:rPr>
          <w:rFonts w:ascii="Book Antiqua" w:hAnsi="Book Antiqua"/>
          <w:sz w:val="24"/>
          <w:szCs w:val="24"/>
        </w:rPr>
        <w:t>20</w:t>
      </w:r>
    </w:p>
    <w:p w14:paraId="7AAFDB4E" w14:textId="77777777" w:rsidR="00A61B86" w:rsidRPr="00002F66" w:rsidRDefault="00A61B86" w:rsidP="00A61B86">
      <w:pPr>
        <w:adjustRightInd w:val="0"/>
        <w:snapToGrid w:val="0"/>
        <w:spacing w:line="360" w:lineRule="auto"/>
        <w:jc w:val="both"/>
        <w:rPr>
          <w:rFonts w:ascii="Book Antiqua" w:hAnsi="Book Antiqua"/>
          <w:b/>
          <w:sz w:val="24"/>
          <w:szCs w:val="24"/>
        </w:rPr>
      </w:pPr>
      <w:r w:rsidRPr="00002F66">
        <w:rPr>
          <w:rFonts w:ascii="Book Antiqua" w:hAnsi="Book Antiqua"/>
          <w:b/>
          <w:sz w:val="24"/>
          <w:szCs w:val="24"/>
        </w:rPr>
        <w:t>Article in press:</w:t>
      </w:r>
      <w:bookmarkEnd w:id="33"/>
      <w:bookmarkEnd w:id="81"/>
    </w:p>
    <w:bookmarkEnd w:id="82"/>
    <w:p w14:paraId="477D4349" w14:textId="77777777" w:rsidR="00A61B86" w:rsidRPr="00002F66" w:rsidRDefault="00A61B86" w:rsidP="00A61B86">
      <w:pPr>
        <w:adjustRightInd w:val="0"/>
        <w:snapToGrid w:val="0"/>
        <w:spacing w:line="360" w:lineRule="auto"/>
        <w:jc w:val="both"/>
        <w:rPr>
          <w:rFonts w:ascii="Book Antiqua" w:hAnsi="Book Antiqua" w:cstheme="minorHAnsi"/>
          <w:b/>
          <w:sz w:val="24"/>
          <w:szCs w:val="24"/>
          <w:lang w:val="hu-HU"/>
        </w:rPr>
      </w:pPr>
    </w:p>
    <w:p w14:paraId="2B8B1C6A" w14:textId="448CADBC" w:rsidR="00A61B86" w:rsidRPr="00002F66" w:rsidRDefault="00A61B86" w:rsidP="00A61B86">
      <w:pPr>
        <w:adjustRightInd w:val="0"/>
        <w:snapToGrid w:val="0"/>
        <w:spacing w:line="360" w:lineRule="auto"/>
        <w:jc w:val="both"/>
        <w:rPr>
          <w:rFonts w:ascii="Book Antiqua" w:eastAsia="Microsoft YaHei" w:hAnsi="Book Antiqua" w:cs="SimSun"/>
          <w:sz w:val="24"/>
          <w:szCs w:val="24"/>
        </w:rPr>
      </w:pPr>
      <w:bookmarkStart w:id="85" w:name="_Hlk26541524"/>
      <w:bookmarkStart w:id="86" w:name="OLE_LINK95"/>
      <w:r w:rsidRPr="00002F66">
        <w:rPr>
          <w:rFonts w:ascii="Book Antiqua" w:hAnsi="Book Antiqua" w:cs="SimSun"/>
          <w:b/>
          <w:sz w:val="24"/>
          <w:szCs w:val="24"/>
        </w:rPr>
        <w:t>Specialty</w:t>
      </w:r>
      <w:r>
        <w:rPr>
          <w:rFonts w:ascii="Book Antiqua" w:hAnsi="Book Antiqua" w:cs="SimSun"/>
          <w:b/>
          <w:sz w:val="24"/>
          <w:szCs w:val="24"/>
        </w:rPr>
        <w:t xml:space="preserve"> </w:t>
      </w:r>
      <w:r w:rsidRPr="00002F66">
        <w:rPr>
          <w:rFonts w:ascii="Book Antiqua" w:hAnsi="Book Antiqua" w:cs="SimSun"/>
          <w:b/>
          <w:sz w:val="24"/>
          <w:szCs w:val="24"/>
        </w:rPr>
        <w:t xml:space="preserve">type: </w:t>
      </w:r>
      <w:bookmarkStart w:id="87" w:name="OLE_LINK270"/>
      <w:r w:rsidRPr="00E700C2">
        <w:rPr>
          <w:rFonts w:ascii="Book Antiqua" w:eastAsia="Microsoft YaHei" w:hAnsi="Book Antiqua" w:cs="SimSun"/>
          <w:sz w:val="24"/>
          <w:szCs w:val="24"/>
        </w:rPr>
        <w:t>Endocrinology and metabolism</w:t>
      </w:r>
      <w:bookmarkEnd w:id="87"/>
    </w:p>
    <w:p w14:paraId="12CDE0A2" w14:textId="066999AA" w:rsidR="00A61B86" w:rsidRPr="00002F66" w:rsidRDefault="00A61B86" w:rsidP="00A61B86">
      <w:pPr>
        <w:adjustRightInd w:val="0"/>
        <w:snapToGrid w:val="0"/>
        <w:spacing w:line="360" w:lineRule="auto"/>
        <w:jc w:val="both"/>
        <w:rPr>
          <w:rFonts w:ascii="Book Antiqua" w:hAnsi="Book Antiqua" w:cs="SimSun"/>
          <w:sz w:val="24"/>
          <w:szCs w:val="24"/>
        </w:rPr>
      </w:pPr>
      <w:r w:rsidRPr="00D15D0A">
        <w:rPr>
          <w:rFonts w:ascii="Book Antiqua" w:hAnsi="Book Antiqua" w:cs="SimSun"/>
          <w:b/>
          <w:sz w:val="24"/>
          <w:szCs w:val="24"/>
        </w:rPr>
        <w:t>Country/Territory</w:t>
      </w:r>
      <w:r>
        <w:rPr>
          <w:rFonts w:ascii="Book Antiqua" w:hAnsi="Book Antiqua" w:cs="SimSun"/>
          <w:b/>
          <w:sz w:val="24"/>
          <w:szCs w:val="24"/>
        </w:rPr>
        <w:t xml:space="preserve"> </w:t>
      </w:r>
      <w:r w:rsidRPr="00002F66">
        <w:rPr>
          <w:rFonts w:ascii="Book Antiqua" w:hAnsi="Book Antiqua" w:cs="SimSun"/>
          <w:b/>
          <w:sz w:val="24"/>
          <w:szCs w:val="24"/>
        </w:rPr>
        <w:t>of</w:t>
      </w:r>
      <w:r>
        <w:rPr>
          <w:rFonts w:ascii="Book Antiqua" w:hAnsi="Book Antiqua" w:cs="SimSun"/>
          <w:b/>
          <w:sz w:val="24"/>
          <w:szCs w:val="24"/>
        </w:rPr>
        <w:t xml:space="preserve"> </w:t>
      </w:r>
      <w:r w:rsidRPr="00002F66">
        <w:rPr>
          <w:rFonts w:ascii="Book Antiqua" w:hAnsi="Book Antiqua" w:cs="SimSun"/>
          <w:b/>
          <w:sz w:val="24"/>
          <w:szCs w:val="24"/>
        </w:rPr>
        <w:t xml:space="preserve">origin: </w:t>
      </w:r>
      <w:r w:rsidRPr="00A61B86">
        <w:rPr>
          <w:rFonts w:ascii="Book Antiqua" w:hAnsi="Book Antiqua" w:cs="SimSun"/>
          <w:sz w:val="24"/>
          <w:szCs w:val="24"/>
        </w:rPr>
        <w:t>Croatia</w:t>
      </w:r>
    </w:p>
    <w:p w14:paraId="7F2F5D52" w14:textId="77777777" w:rsidR="00A61B86" w:rsidRPr="00002F66" w:rsidRDefault="00A61B86" w:rsidP="00A61B86">
      <w:pPr>
        <w:adjustRightInd w:val="0"/>
        <w:snapToGrid w:val="0"/>
        <w:spacing w:line="360" w:lineRule="auto"/>
        <w:jc w:val="both"/>
        <w:rPr>
          <w:rFonts w:ascii="Book Antiqua" w:hAnsi="Book Antiqua" w:cs="SimSun"/>
          <w:b/>
          <w:sz w:val="24"/>
          <w:szCs w:val="24"/>
        </w:rPr>
      </w:pPr>
      <w:bookmarkStart w:id="88" w:name="OLE_LINK463"/>
      <w:bookmarkStart w:id="89" w:name="OLE_LINK487"/>
      <w:bookmarkStart w:id="90" w:name="_Hlk33631519"/>
      <w:bookmarkStart w:id="91" w:name="OLE_LINK425"/>
      <w:r w:rsidRPr="0061720E">
        <w:rPr>
          <w:rFonts w:ascii="Book Antiqua" w:hAnsi="Book Antiqua" w:cs="SimSun"/>
          <w:b/>
          <w:sz w:val="24"/>
          <w:szCs w:val="24"/>
        </w:rPr>
        <w:t>Peer-review report</w:t>
      </w:r>
      <w:r>
        <w:rPr>
          <w:rFonts w:ascii="Book Antiqua" w:hAnsi="Book Antiqua" w:cs="SimSun"/>
          <w:b/>
          <w:sz w:val="24"/>
          <w:szCs w:val="24"/>
        </w:rPr>
        <w:t>’</w:t>
      </w:r>
      <w:r w:rsidRPr="0061720E">
        <w:rPr>
          <w:rFonts w:ascii="Book Antiqua" w:hAnsi="Book Antiqua" w:cs="SimSun"/>
          <w:b/>
          <w:sz w:val="24"/>
          <w:szCs w:val="24"/>
        </w:rPr>
        <w:t>s scientific quality classification</w:t>
      </w:r>
      <w:bookmarkEnd w:id="88"/>
      <w:bookmarkEnd w:id="89"/>
    </w:p>
    <w:p w14:paraId="571C1503" w14:textId="4B65E81A" w:rsidR="00A61B86" w:rsidRPr="00002F66" w:rsidRDefault="00A61B86" w:rsidP="00A61B86">
      <w:pPr>
        <w:adjustRightInd w:val="0"/>
        <w:snapToGrid w:val="0"/>
        <w:spacing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A</w:t>
      </w:r>
      <w:r>
        <w:rPr>
          <w:rFonts w:ascii="Book Antiqua" w:hAnsi="Book Antiqua" w:cs="SimSun"/>
          <w:sz w:val="24"/>
          <w:szCs w:val="24"/>
        </w:rPr>
        <w:t xml:space="preserve"> </w:t>
      </w:r>
      <w:r w:rsidRPr="00002F66">
        <w:rPr>
          <w:rFonts w:ascii="Book Antiqua" w:hAnsi="Book Antiqua" w:cs="SimSun"/>
          <w:sz w:val="24"/>
          <w:szCs w:val="24"/>
        </w:rPr>
        <w:t xml:space="preserve">(Excellent): </w:t>
      </w:r>
      <w:r>
        <w:rPr>
          <w:rFonts w:ascii="Book Antiqua" w:hAnsi="Book Antiqua" w:cs="SimSun"/>
          <w:sz w:val="24"/>
          <w:szCs w:val="24"/>
        </w:rPr>
        <w:t>0</w:t>
      </w:r>
    </w:p>
    <w:p w14:paraId="6B5F089A" w14:textId="7564BB15" w:rsidR="00A61B86" w:rsidRPr="00002F66" w:rsidRDefault="00A61B86" w:rsidP="00A61B86">
      <w:pPr>
        <w:adjustRightInd w:val="0"/>
        <w:snapToGrid w:val="0"/>
        <w:spacing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B</w:t>
      </w:r>
      <w:r>
        <w:rPr>
          <w:rFonts w:ascii="Book Antiqua" w:hAnsi="Book Antiqua" w:cs="SimSun"/>
          <w:sz w:val="24"/>
          <w:szCs w:val="24"/>
        </w:rPr>
        <w:t xml:space="preserve"> </w:t>
      </w:r>
      <w:r w:rsidRPr="00002F66">
        <w:rPr>
          <w:rFonts w:ascii="Book Antiqua" w:hAnsi="Book Antiqua" w:cs="SimSun"/>
          <w:sz w:val="24"/>
          <w:szCs w:val="24"/>
        </w:rPr>
        <w:t>(Very</w:t>
      </w:r>
      <w:r>
        <w:rPr>
          <w:rFonts w:ascii="Book Antiqua" w:hAnsi="Book Antiqua" w:cs="SimSun"/>
          <w:sz w:val="24"/>
          <w:szCs w:val="24"/>
        </w:rPr>
        <w:t xml:space="preserve"> </w:t>
      </w:r>
      <w:r w:rsidRPr="00002F66">
        <w:rPr>
          <w:rFonts w:ascii="Book Antiqua" w:hAnsi="Book Antiqua" w:cs="SimSun"/>
          <w:sz w:val="24"/>
          <w:szCs w:val="24"/>
        </w:rPr>
        <w:t xml:space="preserve">good): </w:t>
      </w:r>
      <w:r>
        <w:rPr>
          <w:rFonts w:ascii="Book Antiqua" w:hAnsi="Book Antiqua" w:cs="SimSun"/>
          <w:sz w:val="24"/>
          <w:szCs w:val="24"/>
        </w:rPr>
        <w:t>B</w:t>
      </w:r>
    </w:p>
    <w:p w14:paraId="37D9E718" w14:textId="6463447C" w:rsidR="00A61B86" w:rsidRPr="00002F66" w:rsidRDefault="00A61B86" w:rsidP="00A61B86">
      <w:pPr>
        <w:adjustRightInd w:val="0"/>
        <w:snapToGrid w:val="0"/>
        <w:spacing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C</w:t>
      </w:r>
      <w:r>
        <w:rPr>
          <w:rFonts w:ascii="Book Antiqua" w:hAnsi="Book Antiqua" w:cs="SimSun"/>
          <w:sz w:val="24"/>
          <w:szCs w:val="24"/>
        </w:rPr>
        <w:t xml:space="preserve"> </w:t>
      </w:r>
      <w:r w:rsidRPr="00002F66">
        <w:rPr>
          <w:rFonts w:ascii="Book Antiqua" w:hAnsi="Book Antiqua" w:cs="SimSun"/>
          <w:sz w:val="24"/>
          <w:szCs w:val="24"/>
        </w:rPr>
        <w:t xml:space="preserve">(Good): </w:t>
      </w:r>
      <w:r>
        <w:rPr>
          <w:rFonts w:ascii="Book Antiqua" w:hAnsi="Book Antiqua" w:cs="SimSun"/>
          <w:sz w:val="24"/>
          <w:szCs w:val="24"/>
        </w:rPr>
        <w:t>0</w:t>
      </w:r>
    </w:p>
    <w:p w14:paraId="3D8353F8" w14:textId="77777777" w:rsidR="00A61B86" w:rsidRPr="00002F66" w:rsidRDefault="00A61B86" w:rsidP="00A61B86">
      <w:pPr>
        <w:adjustRightInd w:val="0"/>
        <w:snapToGrid w:val="0"/>
        <w:spacing w:line="360" w:lineRule="auto"/>
        <w:jc w:val="both"/>
        <w:rPr>
          <w:rFonts w:ascii="Book Antiqua" w:hAnsi="Book Antiqua" w:cs="SimSun"/>
          <w:sz w:val="24"/>
          <w:szCs w:val="24"/>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D</w:t>
      </w:r>
      <w:r>
        <w:rPr>
          <w:rFonts w:ascii="Book Antiqua" w:hAnsi="Book Antiqua" w:cs="SimSun"/>
          <w:sz w:val="24"/>
          <w:szCs w:val="24"/>
        </w:rPr>
        <w:t xml:space="preserve"> </w:t>
      </w:r>
      <w:r w:rsidRPr="00002F66">
        <w:rPr>
          <w:rFonts w:ascii="Book Antiqua" w:hAnsi="Book Antiqua" w:cs="SimSun"/>
          <w:sz w:val="24"/>
          <w:szCs w:val="24"/>
        </w:rPr>
        <w:t>(Fair): 0</w:t>
      </w:r>
    </w:p>
    <w:p w14:paraId="7239192C" w14:textId="77777777" w:rsidR="00A61B86" w:rsidRPr="00002F66" w:rsidRDefault="00A61B86" w:rsidP="00A61B86">
      <w:pPr>
        <w:adjustRightInd w:val="0"/>
        <w:snapToGrid w:val="0"/>
        <w:spacing w:line="360" w:lineRule="auto"/>
        <w:jc w:val="both"/>
        <w:rPr>
          <w:rFonts w:ascii="Book Antiqua" w:eastAsia="DengXian" w:hAnsi="Book Antiqua"/>
          <w:sz w:val="24"/>
          <w:szCs w:val="24"/>
          <w:lang w:val="hu-HU"/>
        </w:rPr>
      </w:pPr>
      <w:r w:rsidRPr="00002F66">
        <w:rPr>
          <w:rFonts w:ascii="Book Antiqua" w:hAnsi="Book Antiqua" w:cs="SimSun"/>
          <w:sz w:val="24"/>
          <w:szCs w:val="24"/>
        </w:rPr>
        <w:t>Grade</w:t>
      </w:r>
      <w:r>
        <w:rPr>
          <w:rFonts w:ascii="Book Antiqua" w:hAnsi="Book Antiqua" w:cs="SimSun"/>
          <w:sz w:val="24"/>
          <w:szCs w:val="24"/>
        </w:rPr>
        <w:t xml:space="preserve"> </w:t>
      </w:r>
      <w:r w:rsidRPr="00002F66">
        <w:rPr>
          <w:rFonts w:ascii="Book Antiqua" w:hAnsi="Book Antiqua" w:cs="SimSun"/>
          <w:sz w:val="24"/>
          <w:szCs w:val="24"/>
        </w:rPr>
        <w:t>E</w:t>
      </w:r>
      <w:r>
        <w:rPr>
          <w:rFonts w:ascii="Book Antiqua" w:hAnsi="Book Antiqua" w:cs="SimSun"/>
          <w:sz w:val="24"/>
          <w:szCs w:val="24"/>
        </w:rPr>
        <w:t xml:space="preserve"> </w:t>
      </w:r>
      <w:r w:rsidRPr="00002F66">
        <w:rPr>
          <w:rFonts w:ascii="Book Antiqua" w:hAnsi="Book Antiqua" w:cs="SimSun"/>
          <w:sz w:val="24"/>
          <w:szCs w:val="24"/>
        </w:rPr>
        <w:t>(Poor): 0</w:t>
      </w:r>
    </w:p>
    <w:p w14:paraId="1387A326" w14:textId="77777777" w:rsidR="00A61B86" w:rsidRPr="00002F66" w:rsidRDefault="00A61B86" w:rsidP="00A61B86">
      <w:pPr>
        <w:adjustRightInd w:val="0"/>
        <w:snapToGrid w:val="0"/>
        <w:spacing w:line="360" w:lineRule="auto"/>
        <w:jc w:val="both"/>
        <w:rPr>
          <w:rFonts w:ascii="Book Antiqua" w:eastAsia="DengXian" w:hAnsi="Book Antiqua"/>
          <w:sz w:val="24"/>
          <w:szCs w:val="24"/>
        </w:rPr>
      </w:pPr>
    </w:p>
    <w:p w14:paraId="1FC6C95F" w14:textId="04622BDD" w:rsidR="00156B28" w:rsidRPr="00707417" w:rsidRDefault="00A61B86" w:rsidP="00A61B86">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bookmarkStart w:id="92" w:name="_Hlk26541535"/>
      <w:bookmarkStart w:id="93" w:name="OLE_LINK357"/>
      <w:bookmarkEnd w:id="85"/>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Pr="00A61B86">
        <w:rPr>
          <w:rFonts w:ascii="Book Antiqua" w:hAnsi="Book Antiqua"/>
          <w:bCs/>
          <w:color w:val="000000"/>
          <w:sz w:val="24"/>
          <w:szCs w:val="24"/>
        </w:rPr>
        <w:t>Petretta</w:t>
      </w:r>
      <w:proofErr w:type="spellEnd"/>
      <w:r w:rsidRPr="00002F66">
        <w:rPr>
          <w:rFonts w:ascii="Book Antiqua" w:hAnsi="Book Antiqua"/>
          <w:bCs/>
          <w:color w:val="000000"/>
          <w:sz w:val="24"/>
          <w:szCs w:val="24"/>
        </w:rPr>
        <w:t xml:space="preserve"> </w:t>
      </w:r>
      <w:r>
        <w:rPr>
          <w:rFonts w:ascii="Book Antiqua" w:hAnsi="Book Antiqua"/>
          <w:bCs/>
          <w:color w:val="000000"/>
          <w:sz w:val="24"/>
          <w:szCs w:val="24"/>
        </w:rPr>
        <w:t>M</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3"/>
      <w:bookmarkEnd w:id="84"/>
      <w:bookmarkEnd w:id="86"/>
      <w:bookmarkEnd w:id="90"/>
      <w:bookmarkEnd w:id="91"/>
      <w:bookmarkEnd w:id="92"/>
      <w:bookmarkEnd w:id="93"/>
    </w:p>
    <w:p w14:paraId="2827FAE9"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
    <w:p w14:paraId="20D1755E" w14:textId="45395D34" w:rsidR="00A61B86" w:rsidRDefault="00A61B86">
      <w:pPr>
        <w:rPr>
          <w:rFonts w:ascii="Book Antiqua" w:eastAsia="Times New Roman" w:hAnsi="Book Antiqua" w:cs="Calibri"/>
          <w:color w:val="000000"/>
          <w:sz w:val="24"/>
          <w:szCs w:val="24"/>
          <w:shd w:val="clear" w:color="auto" w:fill="FFFFFF"/>
          <w:lang w:val="en-US"/>
        </w:rPr>
      </w:pPr>
      <w:r>
        <w:rPr>
          <w:rFonts w:ascii="Book Antiqua" w:hAnsi="Book Antiqua" w:cs="Calibri"/>
          <w:color w:val="000000"/>
          <w:sz w:val="24"/>
          <w:szCs w:val="24"/>
          <w:shd w:val="clear" w:color="auto" w:fill="FFFFFF"/>
        </w:rPr>
        <w:br w:type="page"/>
      </w:r>
    </w:p>
    <w:p w14:paraId="44B97C44" w14:textId="76C8159C" w:rsidR="00156B28" w:rsidRPr="00707417" w:rsidRDefault="00A61B86"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bookmarkStart w:id="94" w:name="_Hlk39068372"/>
      <w:r w:rsidRPr="00D53DBA">
        <w:rPr>
          <w:rFonts w:ascii="Book Antiqua" w:hAnsi="Book Antiqua"/>
          <w:b/>
          <w:sz w:val="24"/>
          <w:szCs w:val="24"/>
        </w:rPr>
        <w:lastRenderedPageBreak/>
        <w:t>Figure Legends</w:t>
      </w:r>
      <w:bookmarkEnd w:id="94"/>
    </w:p>
    <w:p w14:paraId="1E905DE2" w14:textId="67269DF6" w:rsidR="00707417" w:rsidRDefault="00A62718" w:rsidP="0072773B">
      <w:pPr>
        <w:snapToGrid w:val="0"/>
        <w:spacing w:line="360" w:lineRule="auto"/>
        <w:jc w:val="both"/>
        <w:rPr>
          <w:rFonts w:ascii="Book Antiqua" w:eastAsia="Times New Roman" w:hAnsi="Book Antiqua" w:cs="Calibri"/>
          <w:color w:val="000000"/>
          <w:sz w:val="24"/>
          <w:szCs w:val="24"/>
          <w:shd w:val="clear" w:color="auto" w:fill="FFFFFF"/>
          <w:lang w:val="en-US"/>
        </w:rPr>
      </w:pPr>
      <w:r>
        <w:rPr>
          <w:noProof/>
          <w:lang w:val="en-US" w:eastAsia="zh-CN"/>
        </w:rPr>
        <w:drawing>
          <wp:inline distT="0" distB="0" distL="0" distR="0" wp14:anchorId="4F86C30E" wp14:editId="746D0873">
            <wp:extent cx="5911812" cy="41505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4496" cy="4166507"/>
                    </a:xfrm>
                    <a:prstGeom prst="rect">
                      <a:avLst/>
                    </a:prstGeom>
                  </pic:spPr>
                </pic:pic>
              </a:graphicData>
            </a:graphic>
          </wp:inline>
        </w:drawing>
      </w:r>
    </w:p>
    <w:p w14:paraId="56F74D79" w14:textId="6B8E677A" w:rsidR="00A61B86" w:rsidRPr="00A61B86" w:rsidRDefault="00A61B86" w:rsidP="0072773B">
      <w:pPr>
        <w:snapToGrid w:val="0"/>
        <w:spacing w:line="360" w:lineRule="auto"/>
        <w:jc w:val="both"/>
        <w:rPr>
          <w:rFonts w:ascii="Book Antiqua" w:eastAsia="Times New Roman" w:hAnsi="Book Antiqua" w:cs="Calibri"/>
          <w:b/>
          <w:bCs/>
          <w:color w:val="000000"/>
          <w:sz w:val="24"/>
          <w:szCs w:val="24"/>
          <w:shd w:val="clear" w:color="auto" w:fill="FFFFFF"/>
          <w:lang w:val="en-US"/>
        </w:rPr>
      </w:pPr>
      <w:r w:rsidRPr="00A61B86">
        <w:rPr>
          <w:rFonts w:ascii="Book Antiqua" w:hAnsi="Book Antiqua" w:cs="Calibri"/>
          <w:b/>
          <w:bCs/>
          <w:color w:val="000000"/>
          <w:sz w:val="24"/>
          <w:szCs w:val="24"/>
          <w:shd w:val="clear" w:color="auto" w:fill="FFFFFF"/>
        </w:rPr>
        <w:t>Figure 1 Summary of sodium-glucose cotransporter 2 inhibitors’ proposed cardiac protection mechanisms.</w:t>
      </w:r>
      <w:r w:rsidR="00A62718">
        <w:rPr>
          <w:rFonts w:ascii="Book Antiqua" w:hAnsi="Book Antiqua" w:cs="Calibri"/>
          <w:b/>
          <w:bCs/>
          <w:color w:val="000000"/>
          <w:sz w:val="24"/>
          <w:szCs w:val="24"/>
          <w:shd w:val="clear" w:color="auto" w:fill="FFFFFF"/>
        </w:rPr>
        <w:t xml:space="preserve"> </w:t>
      </w:r>
      <w:r w:rsidR="00A62718" w:rsidRPr="00A62718">
        <w:rPr>
          <w:rFonts w:ascii="Book Antiqua" w:hAnsi="Book Antiqua" w:cs="Calibri"/>
          <w:color w:val="000000"/>
          <w:sz w:val="24"/>
          <w:szCs w:val="24"/>
          <w:shd w:val="clear" w:color="auto" w:fill="FFFFFF"/>
        </w:rPr>
        <w:t xml:space="preserve">SGLT2: </w:t>
      </w:r>
      <w:r w:rsidR="00A62718" w:rsidRPr="00A62718">
        <w:rPr>
          <w:rFonts w:ascii="Book Antiqua" w:hAnsi="Book Antiqua"/>
          <w:sz w:val="24"/>
          <w:szCs w:val="24"/>
          <w:lang w:val="en-GB"/>
        </w:rPr>
        <w:t>Sodium-glucose cotransporter 2</w:t>
      </w:r>
      <w:r w:rsidR="00A62718" w:rsidRPr="00A62718">
        <w:rPr>
          <w:rFonts w:ascii="Book Antiqua" w:hAnsi="Book Antiqua" w:cs="Calibri"/>
          <w:color w:val="000000"/>
          <w:sz w:val="24"/>
          <w:szCs w:val="24"/>
          <w:shd w:val="clear" w:color="auto" w:fill="FFFFFF"/>
        </w:rPr>
        <w:t xml:space="preserve">; RAAS: </w:t>
      </w:r>
      <w:r w:rsidR="00A62718" w:rsidRPr="00A62718">
        <w:rPr>
          <w:rFonts w:ascii="Book Antiqua" w:hAnsi="Book Antiqua"/>
          <w:sz w:val="24"/>
          <w:szCs w:val="24"/>
        </w:rPr>
        <w:t>Renin-angiotensin-aldosterone system</w:t>
      </w:r>
      <w:r w:rsidR="00A62718">
        <w:rPr>
          <w:rFonts w:ascii="Book Antiqua" w:hAnsi="Book Antiqua" w:cs="Calibri"/>
          <w:color w:val="000000"/>
          <w:sz w:val="24"/>
          <w:szCs w:val="24"/>
          <w:shd w:val="clear" w:color="auto" w:fill="FFFFFF"/>
        </w:rPr>
        <w:t>.</w:t>
      </w:r>
    </w:p>
    <w:p w14:paraId="565C0E5F" w14:textId="24A03472" w:rsidR="00A61B86" w:rsidRDefault="00A61B86">
      <w:pPr>
        <w:rPr>
          <w:rFonts w:ascii="Book Antiqua" w:eastAsia="Times New Roman" w:hAnsi="Book Antiqua" w:cs="Calibri"/>
          <w:color w:val="000000"/>
          <w:sz w:val="24"/>
          <w:szCs w:val="24"/>
          <w:shd w:val="clear" w:color="auto" w:fill="FFFFFF"/>
          <w:lang w:val="en-US"/>
        </w:rPr>
      </w:pPr>
      <w:r>
        <w:rPr>
          <w:rFonts w:ascii="Book Antiqua" w:hAnsi="Book Antiqua" w:cs="Calibri"/>
          <w:color w:val="000000"/>
          <w:sz w:val="24"/>
          <w:szCs w:val="24"/>
          <w:shd w:val="clear" w:color="auto" w:fill="FFFFFF"/>
        </w:rPr>
        <w:br w:type="page"/>
      </w:r>
    </w:p>
    <w:p w14:paraId="28A9E537" w14:textId="5DBC7731" w:rsidR="00A61B86"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bookmarkStart w:id="95" w:name="_GoBack"/>
      <w:r w:rsidRPr="00A61B86">
        <w:rPr>
          <w:rFonts w:ascii="Book Antiqua" w:hAnsi="Book Antiqua" w:cs="Calibri"/>
          <w:b/>
          <w:bCs/>
          <w:color w:val="000000"/>
          <w:sz w:val="24"/>
          <w:szCs w:val="24"/>
          <w:shd w:val="clear" w:color="auto" w:fill="FFFFFF"/>
        </w:rPr>
        <w:lastRenderedPageBreak/>
        <w:t>Table</w:t>
      </w:r>
      <w:bookmarkEnd w:id="95"/>
      <w:r w:rsidRPr="00A61B86">
        <w:rPr>
          <w:rFonts w:ascii="Book Antiqua" w:hAnsi="Book Antiqua" w:cs="Calibri"/>
          <w:b/>
          <w:bCs/>
          <w:color w:val="000000"/>
          <w:sz w:val="24"/>
          <w:szCs w:val="24"/>
          <w:shd w:val="clear" w:color="auto" w:fill="FFFFFF"/>
        </w:rPr>
        <w:t xml:space="preserve"> 1</w:t>
      </w:r>
      <w:r w:rsidR="00662E7D" w:rsidRPr="00A61B86">
        <w:rPr>
          <w:rFonts w:ascii="Book Antiqua" w:hAnsi="Book Antiqua" w:cs="Calibri"/>
          <w:b/>
          <w:bCs/>
          <w:color w:val="000000"/>
          <w:sz w:val="24"/>
          <w:szCs w:val="24"/>
          <w:shd w:val="clear" w:color="auto" w:fill="FFFFFF"/>
        </w:rPr>
        <w:t xml:space="preserve"> </w:t>
      </w:r>
      <w:r w:rsidRPr="00A61B86">
        <w:rPr>
          <w:rFonts w:ascii="Book Antiqua" w:hAnsi="Book Antiqua"/>
          <w:b/>
          <w:bCs/>
          <w:sz w:val="24"/>
          <w:szCs w:val="24"/>
          <w:lang w:val="en-GB"/>
        </w:rPr>
        <w:t xml:space="preserve">Major </w:t>
      </w:r>
      <w:r w:rsidR="00A61B86" w:rsidRPr="00A61B86">
        <w:rPr>
          <w:rFonts w:ascii="Book Antiqua" w:hAnsi="Book Antiqua"/>
          <w:b/>
          <w:bCs/>
          <w:sz w:val="24"/>
          <w:szCs w:val="24"/>
          <w:lang w:val="en-GB"/>
        </w:rPr>
        <w:t>cardiovascular outcome trials</w:t>
      </w:r>
      <w:r w:rsidRPr="00A61B86">
        <w:rPr>
          <w:rFonts w:ascii="Book Antiqua" w:hAnsi="Book Antiqua"/>
          <w:b/>
          <w:bCs/>
          <w:sz w:val="24"/>
          <w:szCs w:val="24"/>
          <w:lang w:val="en-GB"/>
        </w:rPr>
        <w:t xml:space="preserve"> with </w:t>
      </w:r>
      <w:r w:rsidR="00A61B86" w:rsidRPr="00A61B86">
        <w:rPr>
          <w:rFonts w:ascii="Book Antiqua" w:hAnsi="Book Antiqua"/>
          <w:b/>
          <w:bCs/>
          <w:sz w:val="24"/>
          <w:szCs w:val="24"/>
          <w:lang w:val="en-GB"/>
        </w:rPr>
        <w:t>sodium-glucose cotransporter 2</w:t>
      </w:r>
      <w:r w:rsidRPr="00A61B86">
        <w:rPr>
          <w:rFonts w:ascii="Book Antiqua" w:hAnsi="Book Antiqua"/>
          <w:b/>
          <w:bCs/>
          <w:sz w:val="24"/>
          <w:szCs w:val="24"/>
          <w:lang w:val="en-GB"/>
        </w:rPr>
        <w:t xml:space="preserve"> inhibitors</w:t>
      </w:r>
    </w:p>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828"/>
        <w:gridCol w:w="2615"/>
        <w:gridCol w:w="2353"/>
      </w:tblGrid>
      <w:tr w:rsidR="00156B28" w:rsidRPr="00707417" w14:paraId="16B65B30" w14:textId="77777777" w:rsidTr="00473B07">
        <w:tc>
          <w:tcPr>
            <w:tcW w:w="1844" w:type="dxa"/>
            <w:tcBorders>
              <w:top w:val="single" w:sz="4" w:space="0" w:color="auto"/>
              <w:bottom w:val="single" w:sz="4" w:space="0" w:color="auto"/>
            </w:tcBorders>
          </w:tcPr>
          <w:p w14:paraId="2727B616" w14:textId="0BD66E90"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b/>
                <w:bCs/>
                <w:sz w:val="24"/>
                <w:szCs w:val="24"/>
                <w:lang w:val="en-GB"/>
              </w:rPr>
            </w:pPr>
            <w:r w:rsidRPr="00A61B86">
              <w:rPr>
                <w:rFonts w:ascii="Book Antiqua" w:hAnsi="Book Antiqua"/>
                <w:b/>
                <w:bCs/>
                <w:sz w:val="24"/>
                <w:szCs w:val="24"/>
                <w:lang w:val="en-GB"/>
              </w:rPr>
              <w:t>P</w:t>
            </w:r>
            <w:r w:rsidR="00A61B86" w:rsidRPr="00A61B86">
              <w:rPr>
                <w:rFonts w:ascii="Book Antiqua" w:hAnsi="Book Antiqua"/>
                <w:b/>
                <w:bCs/>
                <w:sz w:val="24"/>
                <w:szCs w:val="24"/>
                <w:lang w:val="en-GB"/>
              </w:rPr>
              <w:t>arameters</w:t>
            </w:r>
          </w:p>
        </w:tc>
        <w:tc>
          <w:tcPr>
            <w:tcW w:w="2828" w:type="dxa"/>
            <w:tcBorders>
              <w:top w:val="single" w:sz="4" w:space="0" w:color="auto"/>
              <w:bottom w:val="single" w:sz="4" w:space="0" w:color="auto"/>
            </w:tcBorders>
          </w:tcPr>
          <w:p w14:paraId="398139A4" w14:textId="77777777"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b/>
                <w:bCs/>
                <w:sz w:val="24"/>
                <w:szCs w:val="24"/>
                <w:lang w:val="en-GB"/>
              </w:rPr>
            </w:pPr>
            <w:r w:rsidRPr="00A61B86">
              <w:rPr>
                <w:rFonts w:ascii="Book Antiqua" w:hAnsi="Book Antiqua"/>
                <w:b/>
                <w:bCs/>
                <w:sz w:val="24"/>
                <w:szCs w:val="24"/>
                <w:lang w:val="en-GB"/>
              </w:rPr>
              <w:t>EMPA-REG OUTCOME</w:t>
            </w:r>
          </w:p>
        </w:tc>
        <w:tc>
          <w:tcPr>
            <w:tcW w:w="2615" w:type="dxa"/>
            <w:tcBorders>
              <w:top w:val="single" w:sz="4" w:space="0" w:color="auto"/>
              <w:bottom w:val="single" w:sz="4" w:space="0" w:color="auto"/>
            </w:tcBorders>
          </w:tcPr>
          <w:p w14:paraId="2D8D25A4" w14:textId="3787D967"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b/>
                <w:bCs/>
                <w:sz w:val="24"/>
                <w:szCs w:val="24"/>
                <w:lang w:val="en-GB"/>
              </w:rPr>
            </w:pPr>
            <w:r w:rsidRPr="00A61B86">
              <w:rPr>
                <w:rFonts w:ascii="Book Antiqua" w:hAnsi="Book Antiqua"/>
                <w:b/>
                <w:bCs/>
                <w:sz w:val="24"/>
                <w:szCs w:val="24"/>
                <w:lang w:val="en-GB"/>
              </w:rPr>
              <w:t xml:space="preserve">CANVAS </w:t>
            </w:r>
            <w:r w:rsidR="00A61B86" w:rsidRPr="00A61B86">
              <w:rPr>
                <w:rFonts w:ascii="Book Antiqua" w:hAnsi="Book Antiqua"/>
                <w:b/>
                <w:bCs/>
                <w:sz w:val="24"/>
                <w:szCs w:val="24"/>
                <w:lang w:val="en-GB"/>
              </w:rPr>
              <w:t>p</w:t>
            </w:r>
            <w:r w:rsidRPr="00A61B86">
              <w:rPr>
                <w:rFonts w:ascii="Book Antiqua" w:hAnsi="Book Antiqua"/>
                <w:b/>
                <w:bCs/>
                <w:sz w:val="24"/>
                <w:szCs w:val="24"/>
                <w:lang w:val="en-GB"/>
              </w:rPr>
              <w:t>rogram</w:t>
            </w:r>
          </w:p>
        </w:tc>
        <w:tc>
          <w:tcPr>
            <w:tcW w:w="2353" w:type="dxa"/>
            <w:tcBorders>
              <w:top w:val="single" w:sz="4" w:space="0" w:color="auto"/>
              <w:bottom w:val="single" w:sz="4" w:space="0" w:color="auto"/>
            </w:tcBorders>
          </w:tcPr>
          <w:p w14:paraId="1AE9CEFC" w14:textId="77777777"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b/>
                <w:bCs/>
                <w:sz w:val="24"/>
                <w:szCs w:val="24"/>
                <w:lang w:val="en-GB"/>
              </w:rPr>
            </w:pPr>
            <w:r w:rsidRPr="00A61B86">
              <w:rPr>
                <w:rFonts w:ascii="Book Antiqua" w:hAnsi="Book Antiqua"/>
                <w:b/>
                <w:bCs/>
                <w:sz w:val="24"/>
                <w:szCs w:val="24"/>
                <w:lang w:val="en-GB"/>
              </w:rPr>
              <w:t>DECLARE-TIMI 58</w:t>
            </w:r>
          </w:p>
        </w:tc>
      </w:tr>
      <w:tr w:rsidR="00156B28" w:rsidRPr="00707417" w14:paraId="74D1E4A8" w14:textId="77777777" w:rsidTr="00473B07">
        <w:tc>
          <w:tcPr>
            <w:tcW w:w="1844" w:type="dxa"/>
            <w:tcBorders>
              <w:top w:val="single" w:sz="4" w:space="0" w:color="auto"/>
            </w:tcBorders>
          </w:tcPr>
          <w:p w14:paraId="6CD4F868"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Intervention</w:t>
            </w:r>
          </w:p>
        </w:tc>
        <w:tc>
          <w:tcPr>
            <w:tcW w:w="2828" w:type="dxa"/>
            <w:tcBorders>
              <w:top w:val="single" w:sz="4" w:space="0" w:color="auto"/>
            </w:tcBorders>
          </w:tcPr>
          <w:p w14:paraId="414AA1EC"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Empagliflozin/placebo</w:t>
            </w:r>
          </w:p>
        </w:tc>
        <w:tc>
          <w:tcPr>
            <w:tcW w:w="2615" w:type="dxa"/>
            <w:tcBorders>
              <w:top w:val="single" w:sz="4" w:space="0" w:color="auto"/>
            </w:tcBorders>
          </w:tcPr>
          <w:p w14:paraId="6732A330"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Canagliflozin/placebo</w:t>
            </w:r>
          </w:p>
        </w:tc>
        <w:tc>
          <w:tcPr>
            <w:tcW w:w="2353" w:type="dxa"/>
            <w:tcBorders>
              <w:top w:val="single" w:sz="4" w:space="0" w:color="auto"/>
            </w:tcBorders>
          </w:tcPr>
          <w:p w14:paraId="1CAB5B15"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Dapagliflozin/placebo</w:t>
            </w:r>
          </w:p>
        </w:tc>
      </w:tr>
      <w:tr w:rsidR="00156B28" w:rsidRPr="00707417" w14:paraId="451DA44E" w14:textId="77777777" w:rsidTr="00473B07">
        <w:tc>
          <w:tcPr>
            <w:tcW w:w="1844" w:type="dxa"/>
          </w:tcPr>
          <w:p w14:paraId="333DEB6E" w14:textId="74A6F76B"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Median follow-up</w:t>
            </w:r>
            <w:r w:rsidR="00A61B86">
              <w:rPr>
                <w:rFonts w:ascii="Book Antiqua" w:hAnsi="Book Antiqua"/>
                <w:sz w:val="24"/>
                <w:szCs w:val="24"/>
                <w:lang w:val="en-GB"/>
              </w:rPr>
              <w:t xml:space="preserve"> </w:t>
            </w:r>
            <w:r w:rsidRPr="00707417">
              <w:rPr>
                <w:rFonts w:ascii="Book Antiqua" w:hAnsi="Book Antiqua"/>
                <w:sz w:val="24"/>
                <w:szCs w:val="24"/>
                <w:lang w:val="en-GB"/>
              </w:rPr>
              <w:t>(</w:t>
            </w:r>
            <w:proofErr w:type="spellStart"/>
            <w:r w:rsidRPr="00707417">
              <w:rPr>
                <w:rFonts w:ascii="Book Antiqua" w:hAnsi="Book Antiqua"/>
                <w:sz w:val="24"/>
                <w:szCs w:val="24"/>
                <w:lang w:val="en-GB"/>
              </w:rPr>
              <w:t>yr</w:t>
            </w:r>
            <w:proofErr w:type="spellEnd"/>
            <w:r w:rsidRPr="00707417">
              <w:rPr>
                <w:rFonts w:ascii="Book Antiqua" w:hAnsi="Book Antiqua"/>
                <w:sz w:val="24"/>
                <w:szCs w:val="24"/>
                <w:lang w:val="en-GB"/>
              </w:rPr>
              <w:t>)</w:t>
            </w:r>
          </w:p>
        </w:tc>
        <w:tc>
          <w:tcPr>
            <w:tcW w:w="2828" w:type="dxa"/>
          </w:tcPr>
          <w:p w14:paraId="697DB21A"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3.1</w:t>
            </w:r>
          </w:p>
        </w:tc>
        <w:tc>
          <w:tcPr>
            <w:tcW w:w="2615" w:type="dxa"/>
          </w:tcPr>
          <w:p w14:paraId="162672CE"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3.6</w:t>
            </w:r>
          </w:p>
        </w:tc>
        <w:tc>
          <w:tcPr>
            <w:tcW w:w="2353" w:type="dxa"/>
          </w:tcPr>
          <w:p w14:paraId="5C0EF6C4"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4.2</w:t>
            </w:r>
          </w:p>
        </w:tc>
      </w:tr>
      <w:tr w:rsidR="00156B28" w:rsidRPr="00707417" w14:paraId="17DB20A2" w14:textId="77777777" w:rsidTr="00473B07">
        <w:tc>
          <w:tcPr>
            <w:tcW w:w="1844" w:type="dxa"/>
          </w:tcPr>
          <w:p w14:paraId="1D351BC8"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Number of patients</w:t>
            </w:r>
          </w:p>
        </w:tc>
        <w:tc>
          <w:tcPr>
            <w:tcW w:w="2828" w:type="dxa"/>
          </w:tcPr>
          <w:p w14:paraId="19777A29"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7020</w:t>
            </w:r>
          </w:p>
        </w:tc>
        <w:tc>
          <w:tcPr>
            <w:tcW w:w="2615" w:type="dxa"/>
          </w:tcPr>
          <w:p w14:paraId="17963AB5"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10142</w:t>
            </w:r>
          </w:p>
        </w:tc>
        <w:tc>
          <w:tcPr>
            <w:tcW w:w="2353" w:type="dxa"/>
          </w:tcPr>
          <w:p w14:paraId="7956F3FD"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17160</w:t>
            </w:r>
          </w:p>
        </w:tc>
      </w:tr>
      <w:tr w:rsidR="00156B28" w:rsidRPr="00707417" w14:paraId="78CF10CD" w14:textId="77777777" w:rsidTr="00473B07">
        <w:tc>
          <w:tcPr>
            <w:tcW w:w="1844" w:type="dxa"/>
          </w:tcPr>
          <w:p w14:paraId="4C7F93BC" w14:textId="446EACB2"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Prior cardiovascular disease/heart failure</w:t>
            </w:r>
            <w:r w:rsidR="00A61B86">
              <w:rPr>
                <w:rFonts w:ascii="Book Antiqua" w:hAnsi="Book Antiqua"/>
                <w:sz w:val="24"/>
                <w:szCs w:val="24"/>
                <w:lang w:val="en-GB"/>
              </w:rPr>
              <w:t xml:space="preserve"> </w:t>
            </w:r>
            <w:r w:rsidRPr="00707417">
              <w:rPr>
                <w:rFonts w:ascii="Book Antiqua" w:hAnsi="Book Antiqua"/>
                <w:sz w:val="24"/>
                <w:szCs w:val="24"/>
                <w:lang w:val="en-GB"/>
              </w:rPr>
              <w:t>(%)</w:t>
            </w:r>
          </w:p>
        </w:tc>
        <w:tc>
          <w:tcPr>
            <w:tcW w:w="2828" w:type="dxa"/>
          </w:tcPr>
          <w:p w14:paraId="55536591"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99/10</w:t>
            </w:r>
          </w:p>
        </w:tc>
        <w:tc>
          <w:tcPr>
            <w:tcW w:w="2615" w:type="dxa"/>
          </w:tcPr>
          <w:p w14:paraId="7B6C5672"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65.6/14.4</w:t>
            </w:r>
          </w:p>
        </w:tc>
        <w:tc>
          <w:tcPr>
            <w:tcW w:w="2353" w:type="dxa"/>
          </w:tcPr>
          <w:p w14:paraId="063D4D67"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40/10</w:t>
            </w:r>
          </w:p>
        </w:tc>
      </w:tr>
      <w:tr w:rsidR="00156B28" w:rsidRPr="00707417" w14:paraId="0BE06A35" w14:textId="77777777" w:rsidTr="00473B07">
        <w:tc>
          <w:tcPr>
            <w:tcW w:w="1844" w:type="dxa"/>
          </w:tcPr>
          <w:p w14:paraId="3AC48501"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Primary outcome (3-point MACE)</w:t>
            </w:r>
          </w:p>
        </w:tc>
        <w:tc>
          <w:tcPr>
            <w:tcW w:w="2828" w:type="dxa"/>
          </w:tcPr>
          <w:p w14:paraId="202F4D02" w14:textId="7FDB8F04" w:rsidR="00156B28" w:rsidRPr="00707417"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707417">
              <w:rPr>
                <w:rFonts w:ascii="Book Antiqua" w:hAnsi="Book Antiqua" w:cs="VectoraLTStd-Light"/>
                <w:sz w:val="24"/>
                <w:szCs w:val="24"/>
              </w:rPr>
              <w:t>0.86 (95%CI</w:t>
            </w:r>
            <w:r w:rsidR="00A62718">
              <w:rPr>
                <w:rFonts w:ascii="Book Antiqua" w:hAnsi="Book Antiqua" w:cs="VectoraLTStd-Light"/>
                <w:sz w:val="24"/>
                <w:szCs w:val="24"/>
              </w:rPr>
              <w:t>:</w:t>
            </w:r>
            <w:r w:rsidRPr="00707417">
              <w:rPr>
                <w:rFonts w:ascii="Book Antiqua" w:hAnsi="Book Antiqua" w:cs="VectoraLTStd-Light"/>
                <w:sz w:val="24"/>
                <w:szCs w:val="24"/>
              </w:rPr>
              <w:t xml:space="preserve"> 0.74</w:t>
            </w:r>
            <w:r w:rsidR="00A61B86">
              <w:rPr>
                <w:rFonts w:ascii="Book Antiqua" w:hAnsi="Book Antiqua" w:cs="VectoraLTStd-Light"/>
                <w:sz w:val="24"/>
                <w:szCs w:val="24"/>
              </w:rPr>
              <w:t>-</w:t>
            </w:r>
            <w:r w:rsidRPr="00707417">
              <w:rPr>
                <w:rFonts w:ascii="Book Antiqua" w:hAnsi="Book Antiqua" w:cs="VectoraLTStd-Light"/>
                <w:sz w:val="24"/>
                <w:szCs w:val="24"/>
              </w:rPr>
              <w:t>0.99)</w:t>
            </w:r>
          </w:p>
          <w:p w14:paraId="045388D4" w14:textId="3A1E5A6F" w:rsidR="00156B28" w:rsidRPr="00A61B86" w:rsidRDefault="00156B28" w:rsidP="00A61B86">
            <w:pPr>
              <w:autoSpaceDE w:val="0"/>
              <w:autoSpaceDN w:val="0"/>
              <w:adjustRightInd w:val="0"/>
              <w:snapToGrid w:val="0"/>
              <w:spacing w:line="360" w:lineRule="auto"/>
              <w:jc w:val="both"/>
              <w:rPr>
                <w:rFonts w:ascii="Book Antiqua" w:hAnsi="Book Antiqua" w:cs="VectoraLTStd-Light"/>
                <w:sz w:val="24"/>
                <w:szCs w:val="24"/>
              </w:rPr>
            </w:pPr>
            <w:r w:rsidRPr="00707417">
              <w:rPr>
                <w:rFonts w:ascii="Book Antiqua" w:hAnsi="Book Antiqua" w:cs="VectoraLTStd-Light"/>
                <w:sz w:val="24"/>
                <w:szCs w:val="24"/>
              </w:rPr>
              <w:t xml:space="preserve">Noninferiority, </w:t>
            </w:r>
            <w:r w:rsidR="00A61B86" w:rsidRPr="00A61B86">
              <w:rPr>
                <w:rFonts w:ascii="Book Antiqua" w:hAnsi="Book Antiqua" w:cs="VectoraLTStd-Light"/>
                <w:i/>
                <w:iCs/>
                <w:sz w:val="24"/>
                <w:szCs w:val="24"/>
              </w:rPr>
              <w:t>P</w:t>
            </w:r>
            <w:r w:rsidR="00A61B86">
              <w:rPr>
                <w:rFonts w:ascii="Book Antiqua" w:hAnsi="Book Antiqua" w:cs="VectoraLTStd-Light"/>
                <w:sz w:val="24"/>
                <w:szCs w:val="24"/>
              </w:rPr>
              <w:t xml:space="preserve"> </w:t>
            </w:r>
            <w:r w:rsidRPr="00707417">
              <w:rPr>
                <w:rFonts w:ascii="Book Antiqua" w:hAnsi="Book Antiqua" w:cs="VectoraLTStd-Light"/>
                <w:sz w:val="24"/>
                <w:szCs w:val="24"/>
              </w:rPr>
              <w:t>&lt;</w:t>
            </w:r>
            <w:r w:rsidR="00A61B86">
              <w:rPr>
                <w:rFonts w:ascii="Book Antiqua" w:hAnsi="Book Antiqua" w:cs="VectoraLTStd-Light"/>
                <w:sz w:val="24"/>
                <w:szCs w:val="24"/>
              </w:rPr>
              <w:t xml:space="preserve"> </w:t>
            </w:r>
            <w:r w:rsidRPr="00707417">
              <w:rPr>
                <w:rFonts w:ascii="Book Antiqua" w:hAnsi="Book Antiqua" w:cs="VectoraLTStd-Light"/>
                <w:sz w:val="24"/>
                <w:szCs w:val="24"/>
              </w:rPr>
              <w:t>0.001</w:t>
            </w:r>
            <w:r w:rsidR="00A61B86">
              <w:rPr>
                <w:rFonts w:ascii="Book Antiqua" w:hAnsi="Book Antiqua" w:cs="VectoraLTStd-Light"/>
                <w:sz w:val="24"/>
                <w:szCs w:val="24"/>
              </w:rPr>
              <w:t xml:space="preserve">; </w:t>
            </w:r>
            <w:r w:rsidRPr="00707417">
              <w:rPr>
                <w:rFonts w:ascii="Book Antiqua" w:hAnsi="Book Antiqua" w:cs="VectoraLTStd-Light"/>
                <w:sz w:val="24"/>
                <w:szCs w:val="24"/>
              </w:rPr>
              <w:t xml:space="preserve">Superiority, </w:t>
            </w:r>
            <w:r w:rsidR="00A61B86" w:rsidRPr="00A61B86">
              <w:rPr>
                <w:rFonts w:ascii="Book Antiqua" w:hAnsi="Book Antiqua" w:cs="VectoraLTStd-Light"/>
                <w:i/>
                <w:iCs/>
                <w:sz w:val="24"/>
                <w:szCs w:val="24"/>
              </w:rPr>
              <w:t>P</w:t>
            </w:r>
            <w:r w:rsidR="00A61B86">
              <w:rPr>
                <w:rFonts w:ascii="Book Antiqua" w:hAnsi="Book Antiqua" w:cs="VectoraLTStd-Light"/>
                <w:sz w:val="24"/>
                <w:szCs w:val="24"/>
              </w:rPr>
              <w:t xml:space="preserve"> </w:t>
            </w:r>
            <w:r w:rsidRPr="00707417">
              <w:rPr>
                <w:rFonts w:ascii="Book Antiqua" w:hAnsi="Book Antiqua" w:cs="VectoraLTStd-Light"/>
                <w:sz w:val="24"/>
                <w:szCs w:val="24"/>
              </w:rPr>
              <w:t>=</w:t>
            </w:r>
            <w:r w:rsidR="00A61B86">
              <w:rPr>
                <w:rFonts w:ascii="Book Antiqua" w:hAnsi="Book Antiqua" w:cs="VectoraLTStd-Light"/>
                <w:sz w:val="24"/>
                <w:szCs w:val="24"/>
              </w:rPr>
              <w:t xml:space="preserve"> </w:t>
            </w:r>
            <w:r w:rsidRPr="00707417">
              <w:rPr>
                <w:rFonts w:ascii="Book Antiqua" w:hAnsi="Book Antiqua" w:cs="VectoraLTStd-Light"/>
                <w:sz w:val="24"/>
                <w:szCs w:val="24"/>
              </w:rPr>
              <w:t>0.04</w:t>
            </w:r>
          </w:p>
        </w:tc>
        <w:tc>
          <w:tcPr>
            <w:tcW w:w="2615" w:type="dxa"/>
          </w:tcPr>
          <w:p w14:paraId="13B4E644" w14:textId="54F34BE8" w:rsidR="00156B28" w:rsidRPr="00707417"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707417">
              <w:rPr>
                <w:rFonts w:ascii="Book Antiqua" w:hAnsi="Book Antiqua" w:cs="VectoraLTStd-Light"/>
                <w:sz w:val="24"/>
                <w:szCs w:val="24"/>
              </w:rPr>
              <w:t>0.86 (95%CI</w:t>
            </w:r>
            <w:r w:rsidR="00A62718">
              <w:rPr>
                <w:rFonts w:ascii="Book Antiqua" w:hAnsi="Book Antiqua" w:cs="VectoraLTStd-Light"/>
                <w:sz w:val="24"/>
                <w:szCs w:val="24"/>
              </w:rPr>
              <w:t>:</w:t>
            </w:r>
            <w:r w:rsidRPr="00707417">
              <w:rPr>
                <w:rFonts w:ascii="Book Antiqua" w:hAnsi="Book Antiqua" w:cs="VectoraLTStd-Light"/>
                <w:sz w:val="24"/>
                <w:szCs w:val="24"/>
              </w:rPr>
              <w:t xml:space="preserve"> 0.75</w:t>
            </w:r>
            <w:r w:rsidR="00A61B86">
              <w:rPr>
                <w:rFonts w:ascii="Book Antiqua" w:hAnsi="Book Antiqua" w:cs="VectoraLTStd-Light"/>
                <w:sz w:val="24"/>
                <w:szCs w:val="24"/>
              </w:rPr>
              <w:t>-</w:t>
            </w:r>
            <w:r w:rsidRPr="00707417">
              <w:rPr>
                <w:rFonts w:ascii="Book Antiqua" w:hAnsi="Book Antiqua" w:cs="VectoraLTStd-Light"/>
                <w:sz w:val="24"/>
                <w:szCs w:val="24"/>
              </w:rPr>
              <w:t>0.97)</w:t>
            </w:r>
          </w:p>
          <w:p w14:paraId="1DF2697D" w14:textId="25C10366" w:rsidR="00156B28" w:rsidRPr="00707417"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707417">
              <w:rPr>
                <w:rFonts w:ascii="Book Antiqua" w:hAnsi="Book Antiqua" w:cs="VectoraLTStd-Light"/>
                <w:sz w:val="24"/>
                <w:szCs w:val="24"/>
              </w:rPr>
              <w:t xml:space="preserve">Noninferiority, </w:t>
            </w:r>
            <w:r w:rsidR="00A61B86" w:rsidRPr="00A61B86">
              <w:rPr>
                <w:rFonts w:ascii="Book Antiqua" w:hAnsi="Book Antiqua" w:cs="VectoraLTStd-Light"/>
                <w:i/>
                <w:iCs/>
                <w:sz w:val="24"/>
                <w:szCs w:val="24"/>
              </w:rPr>
              <w:t>P</w:t>
            </w:r>
            <w:r w:rsidR="00A61B86">
              <w:rPr>
                <w:rFonts w:ascii="Book Antiqua" w:hAnsi="Book Antiqua" w:cs="VectoraLTStd-Light"/>
                <w:sz w:val="24"/>
                <w:szCs w:val="24"/>
              </w:rPr>
              <w:t xml:space="preserve"> </w:t>
            </w:r>
            <w:r w:rsidRPr="00707417">
              <w:rPr>
                <w:rFonts w:ascii="Book Antiqua" w:hAnsi="Book Antiqua" w:cs="VectoraLTStd-Light"/>
                <w:sz w:val="24"/>
                <w:szCs w:val="24"/>
              </w:rPr>
              <w:t>&lt;</w:t>
            </w:r>
            <w:r w:rsidR="00A61B86">
              <w:rPr>
                <w:rFonts w:ascii="Book Antiqua" w:hAnsi="Book Antiqua" w:cs="VectoraLTStd-Light"/>
                <w:sz w:val="24"/>
                <w:szCs w:val="24"/>
              </w:rPr>
              <w:t xml:space="preserve"> </w:t>
            </w:r>
            <w:r w:rsidRPr="00707417">
              <w:rPr>
                <w:rFonts w:ascii="Book Antiqua" w:hAnsi="Book Antiqua" w:cs="VectoraLTStd-Light"/>
                <w:sz w:val="24"/>
                <w:szCs w:val="24"/>
              </w:rPr>
              <w:t>0.001</w:t>
            </w:r>
            <w:r w:rsidR="00A61B86">
              <w:rPr>
                <w:rFonts w:ascii="Book Antiqua" w:hAnsi="Book Antiqua" w:cs="VectoraLTStd-Light"/>
                <w:sz w:val="24"/>
                <w:szCs w:val="24"/>
              </w:rPr>
              <w:t>;</w:t>
            </w:r>
          </w:p>
          <w:p w14:paraId="77C5AF62" w14:textId="005E6D14"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 xml:space="preserve">Superiority, </w:t>
            </w:r>
            <w:r w:rsidR="00A61B86" w:rsidRPr="00A61B86">
              <w:rPr>
                <w:rFonts w:ascii="Book Antiqua" w:hAnsi="Book Antiqua" w:cs="VectoraLTStd-Light"/>
                <w:i/>
                <w:iCs/>
                <w:sz w:val="24"/>
                <w:szCs w:val="24"/>
                <w:lang w:val="hr-HR"/>
              </w:rPr>
              <w:t>P</w:t>
            </w:r>
            <w:r w:rsidR="00A61B86">
              <w:rPr>
                <w:rFonts w:ascii="Book Antiqua" w:hAnsi="Book Antiqua" w:cs="VectoraLTStd-Light"/>
                <w:sz w:val="24"/>
                <w:szCs w:val="24"/>
                <w:lang w:val="hr-HR"/>
              </w:rPr>
              <w:t xml:space="preserve"> </w:t>
            </w:r>
            <w:r w:rsidRPr="00707417">
              <w:rPr>
                <w:rFonts w:ascii="Book Antiqua" w:hAnsi="Book Antiqua" w:cs="VectoraLTStd-Light"/>
                <w:sz w:val="24"/>
                <w:szCs w:val="24"/>
                <w:lang w:val="hr-HR"/>
              </w:rPr>
              <w:t>=</w:t>
            </w:r>
            <w:r w:rsidR="00A61B86">
              <w:rPr>
                <w:rFonts w:ascii="Book Antiqua" w:hAnsi="Book Antiqua" w:cs="VectoraLTStd-Light"/>
                <w:sz w:val="24"/>
                <w:szCs w:val="24"/>
                <w:lang w:val="hr-HR"/>
              </w:rPr>
              <w:t xml:space="preserve"> </w:t>
            </w:r>
            <w:r w:rsidRPr="00707417">
              <w:rPr>
                <w:rFonts w:ascii="Book Antiqua" w:hAnsi="Book Antiqua" w:cs="VectoraLTStd-Light"/>
                <w:sz w:val="24"/>
                <w:szCs w:val="24"/>
                <w:lang w:val="hr-HR"/>
              </w:rPr>
              <w:t>0.02</w:t>
            </w:r>
          </w:p>
        </w:tc>
        <w:tc>
          <w:tcPr>
            <w:tcW w:w="2353" w:type="dxa"/>
          </w:tcPr>
          <w:p w14:paraId="75E62DAC" w14:textId="14B3F4F3" w:rsidR="00156B28" w:rsidRPr="00707417"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707417">
              <w:rPr>
                <w:rFonts w:ascii="Book Antiqua" w:hAnsi="Book Antiqua" w:cs="VectoraLTStd-Light"/>
                <w:sz w:val="24"/>
                <w:szCs w:val="24"/>
              </w:rPr>
              <w:t>0.93 (95%CI</w:t>
            </w:r>
            <w:r w:rsidR="00A62718">
              <w:rPr>
                <w:rFonts w:ascii="Book Antiqua" w:hAnsi="Book Antiqua" w:cs="VectoraLTStd-Light"/>
                <w:sz w:val="24"/>
                <w:szCs w:val="24"/>
              </w:rPr>
              <w:t>:</w:t>
            </w:r>
            <w:r w:rsidRPr="00707417">
              <w:rPr>
                <w:rFonts w:ascii="Book Antiqua" w:hAnsi="Book Antiqua" w:cs="VectoraLTStd-Light"/>
                <w:sz w:val="24"/>
                <w:szCs w:val="24"/>
              </w:rPr>
              <w:t xml:space="preserve"> 0.84</w:t>
            </w:r>
            <w:r w:rsidR="00A61B86">
              <w:rPr>
                <w:rFonts w:ascii="Book Antiqua" w:hAnsi="Book Antiqua" w:cs="VectoraLTStd-Light"/>
                <w:sz w:val="24"/>
                <w:szCs w:val="24"/>
              </w:rPr>
              <w:t>-</w:t>
            </w:r>
            <w:r w:rsidRPr="00707417">
              <w:rPr>
                <w:rFonts w:ascii="Book Antiqua" w:hAnsi="Book Antiqua" w:cs="VectoraLTStd-Light"/>
                <w:sz w:val="24"/>
                <w:szCs w:val="24"/>
              </w:rPr>
              <w:t>1.03)</w:t>
            </w:r>
          </w:p>
          <w:p w14:paraId="1A730F0E" w14:textId="521935C1" w:rsidR="00156B28" w:rsidRPr="00707417" w:rsidRDefault="00156B28" w:rsidP="00707417">
            <w:pPr>
              <w:autoSpaceDE w:val="0"/>
              <w:autoSpaceDN w:val="0"/>
              <w:adjustRightInd w:val="0"/>
              <w:snapToGrid w:val="0"/>
              <w:spacing w:line="360" w:lineRule="auto"/>
              <w:jc w:val="both"/>
              <w:rPr>
                <w:rFonts w:ascii="Book Antiqua" w:hAnsi="Book Antiqua" w:cs="VectoraLTStd-Light"/>
                <w:sz w:val="24"/>
                <w:szCs w:val="24"/>
              </w:rPr>
            </w:pPr>
            <w:r w:rsidRPr="00707417">
              <w:rPr>
                <w:rFonts w:ascii="Book Antiqua" w:hAnsi="Book Antiqua" w:cs="VectoraLTStd-Light"/>
                <w:sz w:val="24"/>
                <w:szCs w:val="24"/>
              </w:rPr>
              <w:t xml:space="preserve">Noninferiority, </w:t>
            </w:r>
            <w:r w:rsidR="00A61B86" w:rsidRPr="00A61B86">
              <w:rPr>
                <w:rFonts w:ascii="Book Antiqua" w:hAnsi="Book Antiqua" w:cs="VectoraLTStd-Light"/>
                <w:i/>
                <w:iCs/>
                <w:sz w:val="24"/>
                <w:szCs w:val="24"/>
              </w:rPr>
              <w:t>P</w:t>
            </w:r>
            <w:r w:rsidR="00A61B86">
              <w:rPr>
                <w:rFonts w:ascii="Book Antiqua" w:hAnsi="Book Antiqua" w:cs="VectoraLTStd-Light"/>
                <w:sz w:val="24"/>
                <w:szCs w:val="24"/>
              </w:rPr>
              <w:t xml:space="preserve"> </w:t>
            </w:r>
            <w:r w:rsidRPr="00707417">
              <w:rPr>
                <w:rFonts w:ascii="Book Antiqua" w:hAnsi="Book Antiqua" w:cs="VectoraLTStd-Light"/>
                <w:sz w:val="24"/>
                <w:szCs w:val="24"/>
              </w:rPr>
              <w:t>&lt;</w:t>
            </w:r>
            <w:r w:rsidR="00A61B86">
              <w:rPr>
                <w:rFonts w:ascii="Book Antiqua" w:hAnsi="Book Antiqua" w:cs="VectoraLTStd-Light"/>
                <w:sz w:val="24"/>
                <w:szCs w:val="24"/>
              </w:rPr>
              <w:t xml:space="preserve"> </w:t>
            </w:r>
            <w:r w:rsidRPr="00707417">
              <w:rPr>
                <w:rFonts w:ascii="Book Antiqua" w:hAnsi="Book Antiqua" w:cs="VectoraLTStd-Light"/>
                <w:sz w:val="24"/>
                <w:szCs w:val="24"/>
              </w:rPr>
              <w:t>0.001</w:t>
            </w:r>
            <w:r w:rsidR="00A61B86">
              <w:rPr>
                <w:rFonts w:ascii="Book Antiqua" w:hAnsi="Book Antiqua" w:cs="VectoraLTStd-Light"/>
                <w:sz w:val="24"/>
                <w:szCs w:val="24"/>
              </w:rPr>
              <w:t>;</w:t>
            </w:r>
          </w:p>
          <w:p w14:paraId="4B155165" w14:textId="6B55D5EC"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 xml:space="preserve">Superiority, </w:t>
            </w:r>
            <w:r w:rsidR="00A61B86" w:rsidRPr="00A61B86">
              <w:rPr>
                <w:rFonts w:ascii="Book Antiqua" w:hAnsi="Book Antiqua" w:cs="VectoraLTStd-Light"/>
                <w:i/>
                <w:iCs/>
                <w:sz w:val="24"/>
                <w:szCs w:val="24"/>
                <w:lang w:val="hr-HR"/>
              </w:rPr>
              <w:t>P</w:t>
            </w:r>
            <w:r w:rsidR="00A61B86">
              <w:rPr>
                <w:rFonts w:ascii="Book Antiqua" w:hAnsi="Book Antiqua" w:cs="VectoraLTStd-Light"/>
                <w:sz w:val="24"/>
                <w:szCs w:val="24"/>
                <w:lang w:val="hr-HR"/>
              </w:rPr>
              <w:t xml:space="preserve"> </w:t>
            </w:r>
            <w:r w:rsidRPr="00707417">
              <w:rPr>
                <w:rFonts w:ascii="Book Antiqua" w:hAnsi="Book Antiqua" w:cs="VectoraLTStd-Light"/>
                <w:sz w:val="24"/>
                <w:szCs w:val="24"/>
                <w:lang w:val="hr-HR"/>
              </w:rPr>
              <w:t>=</w:t>
            </w:r>
            <w:r w:rsidR="00A61B86">
              <w:rPr>
                <w:rFonts w:ascii="Book Antiqua" w:hAnsi="Book Antiqua" w:cs="VectoraLTStd-Light"/>
                <w:sz w:val="24"/>
                <w:szCs w:val="24"/>
                <w:lang w:val="hr-HR"/>
              </w:rPr>
              <w:t xml:space="preserve"> </w:t>
            </w:r>
            <w:r w:rsidRPr="00707417">
              <w:rPr>
                <w:rFonts w:ascii="Book Antiqua" w:hAnsi="Book Antiqua" w:cs="VectoraLTStd-Light"/>
                <w:sz w:val="24"/>
                <w:szCs w:val="24"/>
                <w:lang w:val="hr-HR"/>
              </w:rPr>
              <w:t>0.17</w:t>
            </w:r>
          </w:p>
        </w:tc>
      </w:tr>
      <w:tr w:rsidR="00156B28" w:rsidRPr="00707417" w14:paraId="77A5E211" w14:textId="77777777" w:rsidTr="00473B07">
        <w:tc>
          <w:tcPr>
            <w:tcW w:w="1844" w:type="dxa"/>
          </w:tcPr>
          <w:p w14:paraId="3B5736EA"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Cardiovascular death</w:t>
            </w:r>
          </w:p>
        </w:tc>
        <w:tc>
          <w:tcPr>
            <w:tcW w:w="2828" w:type="dxa"/>
          </w:tcPr>
          <w:p w14:paraId="1BE289AC" w14:textId="77E29FB0"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0.62 (0.49</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0.77)</w:t>
            </w:r>
            <w:r w:rsidR="00A61B86" w:rsidRPr="00A61B86">
              <w:rPr>
                <w:rFonts w:ascii="Book Antiqua" w:hAnsi="Book Antiqua" w:cs="VectoraLTStd-Light"/>
                <w:sz w:val="24"/>
                <w:szCs w:val="24"/>
                <w:vertAlign w:val="superscript"/>
                <w:lang w:val="hr-HR"/>
              </w:rPr>
              <w:t>1</w:t>
            </w:r>
          </w:p>
        </w:tc>
        <w:tc>
          <w:tcPr>
            <w:tcW w:w="2615" w:type="dxa"/>
          </w:tcPr>
          <w:p w14:paraId="5CC85D14" w14:textId="363EF114"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0.87 (0.72</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1.06)</w:t>
            </w:r>
          </w:p>
        </w:tc>
        <w:tc>
          <w:tcPr>
            <w:tcW w:w="2353" w:type="dxa"/>
          </w:tcPr>
          <w:p w14:paraId="0DA7C10E" w14:textId="15DCD144"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0.98 (0.81</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1.17)</w:t>
            </w:r>
          </w:p>
        </w:tc>
      </w:tr>
      <w:tr w:rsidR="00156B28" w:rsidRPr="00707417" w14:paraId="08016D15" w14:textId="77777777" w:rsidTr="00473B07">
        <w:tc>
          <w:tcPr>
            <w:tcW w:w="1844" w:type="dxa"/>
          </w:tcPr>
          <w:p w14:paraId="31DE97EB"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Myocardial infarction</w:t>
            </w:r>
          </w:p>
        </w:tc>
        <w:tc>
          <w:tcPr>
            <w:tcW w:w="2828" w:type="dxa"/>
          </w:tcPr>
          <w:p w14:paraId="4376E205" w14:textId="4DD4C4C9"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0.87 (0.70</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1.09)</w:t>
            </w:r>
          </w:p>
        </w:tc>
        <w:tc>
          <w:tcPr>
            <w:tcW w:w="2615" w:type="dxa"/>
          </w:tcPr>
          <w:p w14:paraId="42C9B6E1" w14:textId="2EE8182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0.89 (0.73</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1.09)</w:t>
            </w:r>
          </w:p>
        </w:tc>
        <w:tc>
          <w:tcPr>
            <w:tcW w:w="2353" w:type="dxa"/>
          </w:tcPr>
          <w:p w14:paraId="4F79A024" w14:textId="7682538C"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0.89 (0.77</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1.01)</w:t>
            </w:r>
          </w:p>
        </w:tc>
      </w:tr>
      <w:tr w:rsidR="00156B28" w:rsidRPr="00707417" w14:paraId="6A91ADC0" w14:textId="77777777" w:rsidTr="00473B07">
        <w:tc>
          <w:tcPr>
            <w:tcW w:w="1844" w:type="dxa"/>
          </w:tcPr>
          <w:p w14:paraId="39C2769A"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Stroke</w:t>
            </w:r>
          </w:p>
        </w:tc>
        <w:tc>
          <w:tcPr>
            <w:tcW w:w="2828" w:type="dxa"/>
          </w:tcPr>
          <w:p w14:paraId="744CBFB8" w14:textId="4A0396F8"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1.18 (0.89</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1.56)</w:t>
            </w:r>
          </w:p>
        </w:tc>
        <w:tc>
          <w:tcPr>
            <w:tcW w:w="2615" w:type="dxa"/>
          </w:tcPr>
          <w:p w14:paraId="3F63E483" w14:textId="61ACC4DC"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0.87 (0.69</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1.09)</w:t>
            </w:r>
          </w:p>
        </w:tc>
        <w:tc>
          <w:tcPr>
            <w:tcW w:w="2353" w:type="dxa"/>
          </w:tcPr>
          <w:p w14:paraId="76425A5E" w14:textId="3718AD97" w:rsidR="00156B28" w:rsidRPr="00707417" w:rsidRDefault="00156B28" w:rsidP="00707417">
            <w:pPr>
              <w:adjustRightInd w:val="0"/>
              <w:snapToGrid w:val="0"/>
              <w:spacing w:line="360" w:lineRule="auto"/>
              <w:jc w:val="both"/>
              <w:rPr>
                <w:rFonts w:ascii="Book Antiqua" w:hAnsi="Book Antiqua"/>
                <w:sz w:val="24"/>
                <w:szCs w:val="24"/>
                <w:lang w:val="en-GB"/>
              </w:rPr>
            </w:pPr>
            <w:r w:rsidRPr="00707417">
              <w:rPr>
                <w:rFonts w:ascii="Book Antiqua" w:hAnsi="Book Antiqua" w:cs="VectoraLTStd-Light"/>
                <w:sz w:val="24"/>
                <w:szCs w:val="24"/>
              </w:rPr>
              <w:t>1.01 (0.84</w:t>
            </w:r>
            <w:r w:rsidR="00A61B86">
              <w:rPr>
                <w:rFonts w:ascii="Book Antiqua" w:hAnsi="Book Antiqua" w:cs="VectoraLTStd-Light"/>
                <w:sz w:val="24"/>
                <w:szCs w:val="24"/>
              </w:rPr>
              <w:t>-</w:t>
            </w:r>
            <w:r w:rsidRPr="00707417">
              <w:rPr>
                <w:rFonts w:ascii="Book Antiqua" w:hAnsi="Book Antiqua" w:cs="VectoraLTStd-Light"/>
                <w:sz w:val="24"/>
                <w:szCs w:val="24"/>
              </w:rPr>
              <w:t>1.21)</w:t>
            </w:r>
          </w:p>
        </w:tc>
      </w:tr>
      <w:tr w:rsidR="00156B28" w:rsidRPr="00707417" w14:paraId="13617432" w14:textId="77777777" w:rsidTr="00473B07">
        <w:tc>
          <w:tcPr>
            <w:tcW w:w="1844" w:type="dxa"/>
          </w:tcPr>
          <w:p w14:paraId="71C38446"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sz w:val="24"/>
                <w:szCs w:val="24"/>
                <w:lang w:val="en-GB"/>
              </w:rPr>
              <w:t>Heart failure hospitalization</w:t>
            </w:r>
          </w:p>
        </w:tc>
        <w:tc>
          <w:tcPr>
            <w:tcW w:w="2828" w:type="dxa"/>
          </w:tcPr>
          <w:p w14:paraId="74B67659" w14:textId="08B33899"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0.65 (0.50</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0.85)</w:t>
            </w:r>
            <w:r w:rsidR="00A61B86" w:rsidRPr="00A61B86">
              <w:rPr>
                <w:rFonts w:ascii="Book Antiqua" w:hAnsi="Book Antiqua" w:cs="VectoraLTStd-Light"/>
                <w:sz w:val="24"/>
                <w:szCs w:val="24"/>
                <w:vertAlign w:val="superscript"/>
                <w:lang w:val="hr-HR"/>
              </w:rPr>
              <w:t>1</w:t>
            </w:r>
          </w:p>
        </w:tc>
        <w:tc>
          <w:tcPr>
            <w:tcW w:w="2615" w:type="dxa"/>
          </w:tcPr>
          <w:p w14:paraId="16E73D87" w14:textId="452E2D79"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0.67 (0.52</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0.87)</w:t>
            </w:r>
            <w:r w:rsidR="00A61B86" w:rsidRPr="00A61B86">
              <w:rPr>
                <w:rFonts w:ascii="Book Antiqua" w:hAnsi="Book Antiqua" w:cs="VectoraLTStd-Light"/>
                <w:sz w:val="24"/>
                <w:szCs w:val="24"/>
                <w:vertAlign w:val="superscript"/>
                <w:lang w:val="hr-HR"/>
              </w:rPr>
              <w:t>1</w:t>
            </w:r>
            <w:r w:rsidRPr="00707417">
              <w:rPr>
                <w:rFonts w:ascii="Book Antiqua" w:hAnsi="Book Antiqua" w:cs="VectoraLTStd-Light"/>
                <w:sz w:val="24"/>
                <w:szCs w:val="24"/>
                <w:lang w:val="hr-HR"/>
              </w:rPr>
              <w:t xml:space="preserve"> </w:t>
            </w:r>
          </w:p>
        </w:tc>
        <w:tc>
          <w:tcPr>
            <w:tcW w:w="2353" w:type="dxa"/>
          </w:tcPr>
          <w:p w14:paraId="40302DFF" w14:textId="1F8E067C"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0.73 (0.61</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0.88)</w:t>
            </w:r>
            <w:r w:rsidR="00A61B86" w:rsidRPr="00A61B86">
              <w:rPr>
                <w:rFonts w:ascii="Book Antiqua" w:hAnsi="Book Antiqua" w:cs="VectoraLTStd-Light"/>
                <w:sz w:val="24"/>
                <w:szCs w:val="24"/>
                <w:vertAlign w:val="superscript"/>
                <w:lang w:val="hr-HR"/>
              </w:rPr>
              <w:t>1</w:t>
            </w:r>
          </w:p>
        </w:tc>
      </w:tr>
      <w:tr w:rsidR="00156B28" w:rsidRPr="00707417" w14:paraId="740B9291" w14:textId="77777777" w:rsidTr="00473B07">
        <w:tc>
          <w:tcPr>
            <w:tcW w:w="1844" w:type="dxa"/>
            <w:tcBorders>
              <w:bottom w:val="single" w:sz="4" w:space="0" w:color="auto"/>
            </w:tcBorders>
          </w:tcPr>
          <w:p w14:paraId="1CB34C80"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proofErr w:type="spellStart"/>
            <w:r w:rsidRPr="00707417">
              <w:rPr>
                <w:rFonts w:ascii="Book Antiqua" w:hAnsi="Book Antiqua"/>
                <w:sz w:val="24"/>
                <w:szCs w:val="24"/>
                <w:lang w:val="en-GB"/>
              </w:rPr>
              <w:t>All cause</w:t>
            </w:r>
            <w:proofErr w:type="spellEnd"/>
            <w:r w:rsidRPr="00707417">
              <w:rPr>
                <w:rFonts w:ascii="Book Antiqua" w:hAnsi="Book Antiqua"/>
                <w:sz w:val="24"/>
                <w:szCs w:val="24"/>
                <w:lang w:val="en-GB"/>
              </w:rPr>
              <w:t xml:space="preserve"> mortality</w:t>
            </w:r>
          </w:p>
        </w:tc>
        <w:tc>
          <w:tcPr>
            <w:tcW w:w="2828" w:type="dxa"/>
            <w:tcBorders>
              <w:bottom w:val="single" w:sz="4" w:space="0" w:color="auto"/>
            </w:tcBorders>
          </w:tcPr>
          <w:p w14:paraId="258A9608" w14:textId="2DB0893A"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0.68 (0.57</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0.82)</w:t>
            </w:r>
            <w:r w:rsidR="00A61B86" w:rsidRPr="00A61B86">
              <w:rPr>
                <w:rFonts w:ascii="Book Antiqua" w:hAnsi="Book Antiqua" w:cs="VectoraLTStd-Light"/>
                <w:sz w:val="24"/>
                <w:szCs w:val="24"/>
                <w:vertAlign w:val="superscript"/>
                <w:lang w:val="hr-HR"/>
              </w:rPr>
              <w:t>1</w:t>
            </w:r>
          </w:p>
        </w:tc>
        <w:tc>
          <w:tcPr>
            <w:tcW w:w="2615" w:type="dxa"/>
            <w:tcBorders>
              <w:bottom w:val="single" w:sz="4" w:space="0" w:color="auto"/>
            </w:tcBorders>
          </w:tcPr>
          <w:p w14:paraId="50AA67FA" w14:textId="0DC14C08"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0.87 (0.74</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 xml:space="preserve">1.01) </w:t>
            </w:r>
          </w:p>
        </w:tc>
        <w:tc>
          <w:tcPr>
            <w:tcW w:w="2353" w:type="dxa"/>
            <w:tcBorders>
              <w:bottom w:val="single" w:sz="4" w:space="0" w:color="auto"/>
            </w:tcBorders>
          </w:tcPr>
          <w:p w14:paraId="3463CF11" w14:textId="343B4623"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sz w:val="24"/>
                <w:szCs w:val="24"/>
                <w:lang w:val="en-GB"/>
              </w:rPr>
            </w:pPr>
            <w:r w:rsidRPr="00707417">
              <w:rPr>
                <w:rFonts w:ascii="Book Antiqua" w:hAnsi="Book Antiqua" w:cs="VectoraLTStd-Light"/>
                <w:sz w:val="24"/>
                <w:szCs w:val="24"/>
                <w:lang w:val="hr-HR"/>
              </w:rPr>
              <w:t>0.93 (0.82</w:t>
            </w:r>
            <w:r w:rsidR="00A61B86">
              <w:rPr>
                <w:rFonts w:ascii="Book Antiqua" w:hAnsi="Book Antiqua" w:cs="VectoraLTStd-Light"/>
                <w:sz w:val="24"/>
                <w:szCs w:val="24"/>
                <w:lang w:val="hr-HR"/>
              </w:rPr>
              <w:t>-</w:t>
            </w:r>
            <w:r w:rsidRPr="00707417">
              <w:rPr>
                <w:rFonts w:ascii="Book Antiqua" w:hAnsi="Book Antiqua" w:cs="VectoraLTStd-Light"/>
                <w:sz w:val="24"/>
                <w:szCs w:val="24"/>
                <w:lang w:val="hr-HR"/>
              </w:rPr>
              <w:t>1.04)</w:t>
            </w:r>
          </w:p>
        </w:tc>
      </w:tr>
    </w:tbl>
    <w:p w14:paraId="7B02CB3E" w14:textId="5AB691C5" w:rsidR="00156B28" w:rsidRDefault="00156B28" w:rsidP="00707417">
      <w:pPr>
        <w:pStyle w:val="ListParagraph"/>
        <w:adjustRightInd w:val="0"/>
        <w:snapToGrid w:val="0"/>
        <w:spacing w:after="0" w:line="360" w:lineRule="auto"/>
        <w:ind w:left="0"/>
        <w:contextualSpacing w:val="0"/>
        <w:jc w:val="both"/>
        <w:rPr>
          <w:rFonts w:ascii="Book Antiqua" w:hAnsi="Book Antiqua" w:cs="VectoraLTStd-Light"/>
          <w:sz w:val="24"/>
          <w:szCs w:val="24"/>
          <w:lang w:val="hr-HR" w:eastAsia="hr-HR"/>
        </w:rPr>
      </w:pPr>
      <w:r w:rsidRPr="00707417">
        <w:rPr>
          <w:rFonts w:ascii="Book Antiqua" w:hAnsi="Book Antiqua" w:cs="AdvOT7b515deb"/>
          <w:sz w:val="24"/>
          <w:szCs w:val="24"/>
          <w:lang w:val="hr-HR" w:eastAsia="hr-HR"/>
        </w:rPr>
        <w:t>MACE</w:t>
      </w:r>
      <w:r w:rsidR="00A61B86">
        <w:rPr>
          <w:rFonts w:ascii="Book Antiqua" w:hAnsi="Book Antiqua" w:cs="AdvOT7b515deb"/>
          <w:sz w:val="24"/>
          <w:szCs w:val="24"/>
          <w:lang w:val="hr-HR" w:eastAsia="hr-HR"/>
        </w:rPr>
        <w:t xml:space="preserve">: </w:t>
      </w:r>
      <w:r w:rsidR="00A61B86" w:rsidRPr="00707417">
        <w:rPr>
          <w:rFonts w:ascii="Book Antiqua" w:hAnsi="Book Antiqua" w:cs="AdvOT7b515deb"/>
          <w:sz w:val="24"/>
          <w:szCs w:val="24"/>
          <w:lang w:val="hr-HR" w:eastAsia="hr-HR"/>
        </w:rPr>
        <w:t>M</w:t>
      </w:r>
      <w:r w:rsidRPr="00707417">
        <w:rPr>
          <w:rFonts w:ascii="Book Antiqua" w:hAnsi="Book Antiqua" w:cs="AdvOT7b515deb"/>
          <w:sz w:val="24"/>
          <w:szCs w:val="24"/>
          <w:lang w:val="hr-HR" w:eastAsia="hr-HR"/>
        </w:rPr>
        <w:t>ajor adverse cardiac event</w:t>
      </w:r>
      <w:r w:rsidR="00A61B86">
        <w:rPr>
          <w:rFonts w:ascii="Book Antiqua" w:hAnsi="Book Antiqua" w:cs="AdvOT7b515deb"/>
          <w:sz w:val="24"/>
          <w:szCs w:val="24"/>
          <w:lang w:val="hr-HR" w:eastAsia="hr-HR"/>
        </w:rPr>
        <w:t>.</w:t>
      </w:r>
      <w:r w:rsidR="00A61B86" w:rsidRPr="00A61B86">
        <w:rPr>
          <w:rFonts w:ascii="Book Antiqua" w:hAnsi="Book Antiqua" w:cs="VectoraLTStd-Light"/>
          <w:sz w:val="24"/>
          <w:szCs w:val="24"/>
          <w:vertAlign w:val="superscript"/>
          <w:lang w:val="hr-HR"/>
        </w:rPr>
        <w:t xml:space="preserve"> 1</w:t>
      </w:r>
      <w:r w:rsidRPr="00707417">
        <w:rPr>
          <w:rFonts w:ascii="Book Antiqua" w:hAnsi="Book Antiqua" w:cs="VectoraLTStd-Light"/>
          <w:sz w:val="24"/>
          <w:szCs w:val="24"/>
          <w:lang w:val="hr-HR" w:eastAsia="hr-HR"/>
        </w:rPr>
        <w:t>significant.</w:t>
      </w:r>
    </w:p>
    <w:p w14:paraId="1830DEE9" w14:textId="25E440FA" w:rsidR="00A61B86" w:rsidRDefault="00A61B86">
      <w:pPr>
        <w:rPr>
          <w:rFonts w:ascii="Book Antiqua" w:eastAsia="Times New Roman" w:hAnsi="Book Antiqua" w:cs="VectoraLTStd-Light"/>
          <w:sz w:val="24"/>
          <w:szCs w:val="24"/>
          <w:lang w:eastAsia="hr-HR"/>
        </w:rPr>
      </w:pPr>
      <w:r>
        <w:rPr>
          <w:rFonts w:ascii="Book Antiqua" w:hAnsi="Book Antiqua" w:cs="VectoraLTStd-Light"/>
          <w:sz w:val="24"/>
          <w:szCs w:val="24"/>
          <w:lang w:eastAsia="hr-HR"/>
        </w:rPr>
        <w:br w:type="page"/>
      </w:r>
    </w:p>
    <w:p w14:paraId="5C9B6750" w14:textId="15FC7B7C" w:rsidR="00156B28" w:rsidRPr="00707417" w:rsidRDefault="00662E7D"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A61B86">
        <w:rPr>
          <w:rFonts w:ascii="Book Antiqua" w:hAnsi="Book Antiqua" w:cs="Calibri"/>
          <w:b/>
          <w:bCs/>
          <w:color w:val="000000"/>
          <w:sz w:val="24"/>
          <w:szCs w:val="24"/>
          <w:shd w:val="clear" w:color="auto" w:fill="FFFFFF"/>
        </w:rPr>
        <w:lastRenderedPageBreak/>
        <w:t>Table 2</w:t>
      </w:r>
      <w:r w:rsidR="00156B28" w:rsidRPr="00A61B86">
        <w:rPr>
          <w:rFonts w:ascii="Book Antiqua" w:hAnsi="Book Antiqua" w:cs="Calibri"/>
          <w:b/>
          <w:bCs/>
          <w:color w:val="000000"/>
          <w:sz w:val="24"/>
          <w:szCs w:val="24"/>
          <w:shd w:val="clear" w:color="auto" w:fill="FFFFFF"/>
        </w:rPr>
        <w:t xml:space="preserve"> Ongoing larger clinical trials of </w:t>
      </w:r>
      <w:r w:rsidR="00A61B86" w:rsidRPr="00A61B86">
        <w:rPr>
          <w:rFonts w:ascii="Book Antiqua" w:hAnsi="Book Antiqua"/>
          <w:b/>
          <w:bCs/>
          <w:sz w:val="24"/>
          <w:szCs w:val="24"/>
          <w:lang w:val="en-GB"/>
        </w:rPr>
        <w:t>sodium-glucose cotransporter 2</w:t>
      </w:r>
      <w:r w:rsidR="00156B28" w:rsidRPr="00A61B86">
        <w:rPr>
          <w:rFonts w:ascii="Book Antiqua" w:hAnsi="Book Antiqua" w:cs="Calibri"/>
          <w:b/>
          <w:bCs/>
          <w:color w:val="000000"/>
          <w:sz w:val="24"/>
          <w:szCs w:val="24"/>
          <w:shd w:val="clear" w:color="auto" w:fill="FFFFFF"/>
        </w:rPr>
        <w:t xml:space="preserve"> inhibitors in heart failure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14"/>
        <w:gridCol w:w="2307"/>
        <w:gridCol w:w="2312"/>
      </w:tblGrid>
      <w:tr w:rsidR="00156B28" w:rsidRPr="00707417" w14:paraId="640C7AE5" w14:textId="77777777" w:rsidTr="00A61B86">
        <w:tc>
          <w:tcPr>
            <w:tcW w:w="2309" w:type="dxa"/>
            <w:tcBorders>
              <w:top w:val="single" w:sz="4" w:space="0" w:color="auto"/>
              <w:bottom w:val="single" w:sz="4" w:space="0" w:color="auto"/>
            </w:tcBorders>
          </w:tcPr>
          <w:p w14:paraId="50D75D1A" w14:textId="74D78543"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A61B86">
              <w:rPr>
                <w:rFonts w:ascii="Book Antiqua" w:hAnsi="Book Antiqua" w:cs="Calibri"/>
                <w:b/>
                <w:bCs/>
                <w:color w:val="000000"/>
                <w:sz w:val="24"/>
                <w:szCs w:val="24"/>
                <w:shd w:val="clear" w:color="auto" w:fill="FFFFFF"/>
              </w:rPr>
              <w:t>T</w:t>
            </w:r>
            <w:r w:rsidR="00A61B86" w:rsidRPr="00A61B86">
              <w:rPr>
                <w:rFonts w:ascii="Book Antiqua" w:hAnsi="Book Antiqua" w:cs="Calibri"/>
                <w:b/>
                <w:bCs/>
                <w:color w:val="000000"/>
                <w:sz w:val="24"/>
                <w:szCs w:val="24"/>
                <w:shd w:val="clear" w:color="auto" w:fill="FFFFFF"/>
              </w:rPr>
              <w:t>rial</w:t>
            </w:r>
          </w:p>
        </w:tc>
        <w:tc>
          <w:tcPr>
            <w:tcW w:w="2314" w:type="dxa"/>
            <w:tcBorders>
              <w:top w:val="single" w:sz="4" w:space="0" w:color="auto"/>
              <w:bottom w:val="single" w:sz="4" w:space="0" w:color="auto"/>
            </w:tcBorders>
          </w:tcPr>
          <w:p w14:paraId="711B7DA4" w14:textId="707956DD"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A61B86">
              <w:rPr>
                <w:rFonts w:ascii="Book Antiqua" w:hAnsi="Book Antiqua" w:cs="Calibri"/>
                <w:b/>
                <w:bCs/>
                <w:color w:val="000000"/>
                <w:sz w:val="24"/>
                <w:szCs w:val="24"/>
                <w:shd w:val="clear" w:color="auto" w:fill="FFFFFF"/>
              </w:rPr>
              <w:t>D</w:t>
            </w:r>
            <w:r w:rsidR="00A61B86" w:rsidRPr="00A61B86">
              <w:rPr>
                <w:rFonts w:ascii="Book Antiqua" w:hAnsi="Book Antiqua" w:cs="Calibri"/>
                <w:b/>
                <w:bCs/>
                <w:color w:val="000000"/>
                <w:sz w:val="24"/>
                <w:szCs w:val="24"/>
                <w:shd w:val="clear" w:color="auto" w:fill="FFFFFF"/>
              </w:rPr>
              <w:t>rug</w:t>
            </w:r>
          </w:p>
        </w:tc>
        <w:tc>
          <w:tcPr>
            <w:tcW w:w="2307" w:type="dxa"/>
            <w:tcBorders>
              <w:top w:val="single" w:sz="4" w:space="0" w:color="auto"/>
              <w:bottom w:val="single" w:sz="4" w:space="0" w:color="auto"/>
            </w:tcBorders>
          </w:tcPr>
          <w:p w14:paraId="46AFFC8E" w14:textId="61A992A2"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A61B86">
              <w:rPr>
                <w:rFonts w:ascii="Book Antiqua" w:hAnsi="Book Antiqua" w:cs="Calibri"/>
                <w:b/>
                <w:bCs/>
                <w:color w:val="000000"/>
                <w:sz w:val="24"/>
                <w:szCs w:val="24"/>
                <w:shd w:val="clear" w:color="auto" w:fill="FFFFFF"/>
              </w:rPr>
              <w:t>E</w:t>
            </w:r>
            <w:r w:rsidR="00A61B86" w:rsidRPr="00A61B86">
              <w:rPr>
                <w:rFonts w:ascii="Book Antiqua" w:hAnsi="Book Antiqua" w:cs="Calibri"/>
                <w:b/>
                <w:bCs/>
                <w:color w:val="000000"/>
                <w:sz w:val="24"/>
                <w:szCs w:val="24"/>
                <w:shd w:val="clear" w:color="auto" w:fill="FFFFFF"/>
              </w:rPr>
              <w:t>jection fraction</w:t>
            </w:r>
          </w:p>
        </w:tc>
        <w:tc>
          <w:tcPr>
            <w:tcW w:w="2312" w:type="dxa"/>
            <w:tcBorders>
              <w:top w:val="single" w:sz="4" w:space="0" w:color="auto"/>
              <w:bottom w:val="single" w:sz="4" w:space="0" w:color="auto"/>
            </w:tcBorders>
          </w:tcPr>
          <w:p w14:paraId="6878B6B7" w14:textId="4C596009" w:rsidR="00156B28" w:rsidRPr="00A61B86" w:rsidRDefault="00156B28" w:rsidP="00707417">
            <w:pPr>
              <w:pStyle w:val="ListParagraph"/>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A61B86">
              <w:rPr>
                <w:rFonts w:ascii="Book Antiqua" w:hAnsi="Book Antiqua" w:cs="Calibri"/>
                <w:b/>
                <w:bCs/>
                <w:color w:val="000000"/>
                <w:sz w:val="24"/>
                <w:szCs w:val="24"/>
                <w:shd w:val="clear" w:color="auto" w:fill="FFFFFF"/>
              </w:rPr>
              <w:t>D</w:t>
            </w:r>
            <w:r w:rsidR="00A61B86" w:rsidRPr="00A61B86">
              <w:rPr>
                <w:rFonts w:ascii="Book Antiqua" w:hAnsi="Book Antiqua" w:cs="Calibri"/>
                <w:b/>
                <w:bCs/>
                <w:color w:val="000000"/>
                <w:sz w:val="24"/>
                <w:szCs w:val="24"/>
                <w:shd w:val="clear" w:color="auto" w:fill="FFFFFF"/>
              </w:rPr>
              <w:t>iabetic/</w:t>
            </w:r>
          </w:p>
          <w:p w14:paraId="7A06703B" w14:textId="180EB3E6" w:rsidR="00156B28" w:rsidRPr="00A61B86" w:rsidRDefault="00A61B86" w:rsidP="00707417">
            <w:pPr>
              <w:pStyle w:val="ListParagraph"/>
              <w:adjustRightInd w:val="0"/>
              <w:snapToGrid w:val="0"/>
              <w:spacing w:after="0" w:line="360" w:lineRule="auto"/>
              <w:ind w:left="0"/>
              <w:contextualSpacing w:val="0"/>
              <w:jc w:val="both"/>
              <w:rPr>
                <w:rFonts w:ascii="Book Antiqua" w:hAnsi="Book Antiqua" w:cs="Calibri"/>
                <w:b/>
                <w:bCs/>
                <w:color w:val="000000"/>
                <w:sz w:val="24"/>
                <w:szCs w:val="24"/>
                <w:shd w:val="clear" w:color="auto" w:fill="FFFFFF"/>
              </w:rPr>
            </w:pPr>
            <w:r w:rsidRPr="00A61B86">
              <w:rPr>
                <w:rFonts w:ascii="Book Antiqua" w:hAnsi="Book Antiqua" w:cs="Calibri"/>
                <w:b/>
                <w:bCs/>
                <w:color w:val="000000"/>
                <w:sz w:val="24"/>
                <w:szCs w:val="24"/>
                <w:shd w:val="clear" w:color="auto" w:fill="FFFFFF"/>
              </w:rPr>
              <w:t>nondiabetic</w:t>
            </w:r>
          </w:p>
        </w:tc>
      </w:tr>
      <w:tr w:rsidR="00156B28" w:rsidRPr="00707417" w14:paraId="3713A42F" w14:textId="77777777" w:rsidTr="00A61B86">
        <w:tc>
          <w:tcPr>
            <w:tcW w:w="2309" w:type="dxa"/>
            <w:tcBorders>
              <w:top w:val="single" w:sz="4" w:space="0" w:color="auto"/>
            </w:tcBorders>
          </w:tcPr>
          <w:p w14:paraId="4DD39FF2" w14:textId="6E486011"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E</w:t>
            </w:r>
            <w:r w:rsidR="00A61B86" w:rsidRPr="00707417">
              <w:rPr>
                <w:rFonts w:ascii="Book Antiqua" w:hAnsi="Book Antiqua" w:cs="Calibri"/>
                <w:color w:val="000000"/>
                <w:sz w:val="24"/>
                <w:szCs w:val="24"/>
                <w:shd w:val="clear" w:color="auto" w:fill="FFFFFF"/>
              </w:rPr>
              <w:t>mperor</w:t>
            </w:r>
            <w:r w:rsidRPr="00707417">
              <w:rPr>
                <w:rFonts w:ascii="Book Antiqua" w:hAnsi="Book Antiqua" w:cs="Calibri"/>
                <w:color w:val="000000"/>
                <w:sz w:val="24"/>
                <w:szCs w:val="24"/>
                <w:shd w:val="clear" w:color="auto" w:fill="FFFFFF"/>
              </w:rPr>
              <w:t>-</w:t>
            </w:r>
            <w:r w:rsidR="00A61B86" w:rsidRPr="00707417">
              <w:rPr>
                <w:rFonts w:ascii="Book Antiqua" w:hAnsi="Book Antiqua" w:cs="Calibri"/>
                <w:color w:val="000000"/>
                <w:sz w:val="24"/>
                <w:szCs w:val="24"/>
                <w:shd w:val="clear" w:color="auto" w:fill="FFFFFF"/>
              </w:rPr>
              <w:t>r</w:t>
            </w:r>
            <w:r w:rsidRPr="00707417">
              <w:rPr>
                <w:rFonts w:ascii="Book Antiqua" w:hAnsi="Book Antiqua" w:cs="Calibri"/>
                <w:color w:val="000000"/>
                <w:sz w:val="24"/>
                <w:szCs w:val="24"/>
                <w:shd w:val="clear" w:color="auto" w:fill="FFFFFF"/>
              </w:rPr>
              <w:t>educed</w:t>
            </w:r>
          </w:p>
        </w:tc>
        <w:tc>
          <w:tcPr>
            <w:tcW w:w="2314" w:type="dxa"/>
            <w:tcBorders>
              <w:top w:val="single" w:sz="4" w:space="0" w:color="auto"/>
            </w:tcBorders>
          </w:tcPr>
          <w:p w14:paraId="4AABF150"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empagliflozin</w:t>
            </w:r>
          </w:p>
        </w:tc>
        <w:tc>
          <w:tcPr>
            <w:tcW w:w="2307" w:type="dxa"/>
            <w:tcBorders>
              <w:top w:val="single" w:sz="4" w:space="0" w:color="auto"/>
            </w:tcBorders>
          </w:tcPr>
          <w:p w14:paraId="41556134"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roofErr w:type="spellStart"/>
            <w:r w:rsidRPr="00707417">
              <w:rPr>
                <w:rFonts w:ascii="Book Antiqua" w:hAnsi="Book Antiqua" w:cs="Calibri"/>
                <w:color w:val="000000"/>
                <w:sz w:val="24"/>
                <w:szCs w:val="24"/>
                <w:shd w:val="clear" w:color="auto" w:fill="FFFFFF"/>
              </w:rPr>
              <w:t>HFrEF</w:t>
            </w:r>
            <w:proofErr w:type="spellEnd"/>
          </w:p>
        </w:tc>
        <w:tc>
          <w:tcPr>
            <w:tcW w:w="2312" w:type="dxa"/>
            <w:tcBorders>
              <w:top w:val="single" w:sz="4" w:space="0" w:color="auto"/>
            </w:tcBorders>
          </w:tcPr>
          <w:p w14:paraId="037EEB40" w14:textId="3104FBB1" w:rsidR="00156B28" w:rsidRPr="00707417" w:rsidRDefault="00A61B86"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B</w:t>
            </w:r>
            <w:r w:rsidR="00156B28" w:rsidRPr="00707417">
              <w:rPr>
                <w:rFonts w:ascii="Book Antiqua" w:hAnsi="Book Antiqua" w:cs="Calibri"/>
                <w:color w:val="000000"/>
                <w:sz w:val="24"/>
                <w:szCs w:val="24"/>
                <w:shd w:val="clear" w:color="auto" w:fill="FFFFFF"/>
              </w:rPr>
              <w:t>oth</w:t>
            </w:r>
          </w:p>
        </w:tc>
      </w:tr>
      <w:tr w:rsidR="00156B28" w:rsidRPr="00707417" w14:paraId="741716F0" w14:textId="77777777" w:rsidTr="00A61B86">
        <w:tc>
          <w:tcPr>
            <w:tcW w:w="2309" w:type="dxa"/>
          </w:tcPr>
          <w:p w14:paraId="078E5FD1" w14:textId="62372E43"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E</w:t>
            </w:r>
            <w:r w:rsidR="00A61B86" w:rsidRPr="00707417">
              <w:rPr>
                <w:rFonts w:ascii="Book Antiqua" w:hAnsi="Book Antiqua" w:cs="Calibri"/>
                <w:color w:val="000000"/>
                <w:sz w:val="24"/>
                <w:szCs w:val="24"/>
                <w:shd w:val="clear" w:color="auto" w:fill="FFFFFF"/>
              </w:rPr>
              <w:t>mperor</w:t>
            </w:r>
            <w:r w:rsidRPr="00707417">
              <w:rPr>
                <w:rFonts w:ascii="Book Antiqua" w:hAnsi="Book Antiqua" w:cs="Calibri"/>
                <w:color w:val="000000"/>
                <w:sz w:val="24"/>
                <w:szCs w:val="24"/>
                <w:shd w:val="clear" w:color="auto" w:fill="FFFFFF"/>
              </w:rPr>
              <w:t>-</w:t>
            </w:r>
            <w:r w:rsidR="00A61B86" w:rsidRPr="00707417">
              <w:rPr>
                <w:rFonts w:ascii="Book Antiqua" w:hAnsi="Book Antiqua" w:cs="Calibri"/>
                <w:color w:val="000000"/>
                <w:sz w:val="24"/>
                <w:szCs w:val="24"/>
                <w:shd w:val="clear" w:color="auto" w:fill="FFFFFF"/>
              </w:rPr>
              <w:t>p</w:t>
            </w:r>
            <w:r w:rsidRPr="00707417">
              <w:rPr>
                <w:rFonts w:ascii="Book Antiqua" w:hAnsi="Book Antiqua" w:cs="Calibri"/>
                <w:color w:val="000000"/>
                <w:sz w:val="24"/>
                <w:szCs w:val="24"/>
                <w:shd w:val="clear" w:color="auto" w:fill="FFFFFF"/>
              </w:rPr>
              <w:t>reserved</w:t>
            </w:r>
          </w:p>
        </w:tc>
        <w:tc>
          <w:tcPr>
            <w:tcW w:w="2314" w:type="dxa"/>
          </w:tcPr>
          <w:p w14:paraId="7BFE8600"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empagliflozin</w:t>
            </w:r>
          </w:p>
        </w:tc>
        <w:tc>
          <w:tcPr>
            <w:tcW w:w="2307" w:type="dxa"/>
          </w:tcPr>
          <w:p w14:paraId="6E67AD3A"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roofErr w:type="spellStart"/>
            <w:r w:rsidRPr="00707417">
              <w:rPr>
                <w:rFonts w:ascii="Book Antiqua" w:hAnsi="Book Antiqua" w:cs="Calibri"/>
                <w:color w:val="000000"/>
                <w:sz w:val="24"/>
                <w:szCs w:val="24"/>
                <w:shd w:val="clear" w:color="auto" w:fill="FFFFFF"/>
              </w:rPr>
              <w:t>HFpEF</w:t>
            </w:r>
            <w:proofErr w:type="spellEnd"/>
          </w:p>
        </w:tc>
        <w:tc>
          <w:tcPr>
            <w:tcW w:w="2312" w:type="dxa"/>
          </w:tcPr>
          <w:p w14:paraId="1A6D7465" w14:textId="3E627A90" w:rsidR="00156B28" w:rsidRPr="00707417" w:rsidRDefault="00A61B86"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B</w:t>
            </w:r>
            <w:r w:rsidR="00156B28" w:rsidRPr="00707417">
              <w:rPr>
                <w:rFonts w:ascii="Book Antiqua" w:hAnsi="Book Antiqua" w:cs="Calibri"/>
                <w:color w:val="000000"/>
                <w:sz w:val="24"/>
                <w:szCs w:val="24"/>
                <w:shd w:val="clear" w:color="auto" w:fill="FFFFFF"/>
              </w:rPr>
              <w:t>oth</w:t>
            </w:r>
          </w:p>
        </w:tc>
      </w:tr>
      <w:tr w:rsidR="00156B28" w:rsidRPr="00707417" w14:paraId="4A901F4B" w14:textId="77777777" w:rsidTr="00A61B86">
        <w:tc>
          <w:tcPr>
            <w:tcW w:w="2309" w:type="dxa"/>
            <w:tcBorders>
              <w:bottom w:val="single" w:sz="4" w:space="0" w:color="auto"/>
            </w:tcBorders>
          </w:tcPr>
          <w:p w14:paraId="34D7E3A2" w14:textId="44CC1A16"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D</w:t>
            </w:r>
            <w:r w:rsidR="00A61B86" w:rsidRPr="00707417">
              <w:rPr>
                <w:rFonts w:ascii="Book Antiqua" w:hAnsi="Book Antiqua" w:cs="Calibri"/>
                <w:color w:val="000000"/>
                <w:sz w:val="24"/>
                <w:szCs w:val="24"/>
                <w:shd w:val="clear" w:color="auto" w:fill="FFFFFF"/>
              </w:rPr>
              <w:t>eliver</w:t>
            </w:r>
          </w:p>
        </w:tc>
        <w:tc>
          <w:tcPr>
            <w:tcW w:w="2314" w:type="dxa"/>
            <w:tcBorders>
              <w:bottom w:val="single" w:sz="4" w:space="0" w:color="auto"/>
            </w:tcBorders>
          </w:tcPr>
          <w:p w14:paraId="59448DCD"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dapagliflozin</w:t>
            </w:r>
          </w:p>
        </w:tc>
        <w:tc>
          <w:tcPr>
            <w:tcW w:w="2307" w:type="dxa"/>
            <w:tcBorders>
              <w:bottom w:val="single" w:sz="4" w:space="0" w:color="auto"/>
            </w:tcBorders>
          </w:tcPr>
          <w:p w14:paraId="3600C40B" w14:textId="77777777" w:rsidR="00156B28" w:rsidRPr="00707417" w:rsidRDefault="00156B28"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proofErr w:type="spellStart"/>
            <w:r w:rsidRPr="00707417">
              <w:rPr>
                <w:rFonts w:ascii="Book Antiqua" w:hAnsi="Book Antiqua" w:cs="Calibri"/>
                <w:color w:val="000000"/>
                <w:sz w:val="24"/>
                <w:szCs w:val="24"/>
                <w:shd w:val="clear" w:color="auto" w:fill="FFFFFF"/>
              </w:rPr>
              <w:t>HFpEF</w:t>
            </w:r>
            <w:proofErr w:type="spellEnd"/>
          </w:p>
        </w:tc>
        <w:tc>
          <w:tcPr>
            <w:tcW w:w="2312" w:type="dxa"/>
            <w:tcBorders>
              <w:bottom w:val="single" w:sz="4" w:space="0" w:color="auto"/>
            </w:tcBorders>
          </w:tcPr>
          <w:p w14:paraId="566DBA47" w14:textId="48076CF2" w:rsidR="00156B28" w:rsidRPr="00707417" w:rsidRDefault="00A61B86" w:rsidP="00707417">
            <w:pPr>
              <w:pStyle w:val="ListParagraph"/>
              <w:adjustRightInd w:val="0"/>
              <w:snapToGrid w:val="0"/>
              <w:spacing w:after="0" w:line="360" w:lineRule="auto"/>
              <w:ind w:left="0"/>
              <w:contextualSpacing w:val="0"/>
              <w:jc w:val="both"/>
              <w:rPr>
                <w:rFonts w:ascii="Book Antiqua" w:hAnsi="Book Antiqua" w:cs="Calibri"/>
                <w:color w:val="000000"/>
                <w:sz w:val="24"/>
                <w:szCs w:val="24"/>
                <w:shd w:val="clear" w:color="auto" w:fill="FFFFFF"/>
              </w:rPr>
            </w:pPr>
            <w:r w:rsidRPr="00707417">
              <w:rPr>
                <w:rFonts w:ascii="Book Antiqua" w:hAnsi="Book Antiqua" w:cs="Calibri"/>
                <w:color w:val="000000"/>
                <w:sz w:val="24"/>
                <w:szCs w:val="24"/>
                <w:shd w:val="clear" w:color="auto" w:fill="FFFFFF"/>
              </w:rPr>
              <w:t>B</w:t>
            </w:r>
            <w:r w:rsidR="00156B28" w:rsidRPr="00707417">
              <w:rPr>
                <w:rFonts w:ascii="Book Antiqua" w:hAnsi="Book Antiqua" w:cs="Calibri"/>
                <w:color w:val="000000"/>
                <w:sz w:val="24"/>
                <w:szCs w:val="24"/>
                <w:shd w:val="clear" w:color="auto" w:fill="FFFFFF"/>
              </w:rPr>
              <w:t>oth</w:t>
            </w:r>
          </w:p>
        </w:tc>
      </w:tr>
    </w:tbl>
    <w:p w14:paraId="5D628832" w14:textId="5609C2CA" w:rsidR="00BF4A1D" w:rsidRPr="00707417" w:rsidRDefault="00A61B86" w:rsidP="00A61B86">
      <w:pPr>
        <w:adjustRightInd w:val="0"/>
        <w:snapToGrid w:val="0"/>
        <w:spacing w:line="360" w:lineRule="auto"/>
        <w:jc w:val="both"/>
        <w:rPr>
          <w:rFonts w:ascii="Book Antiqua" w:hAnsi="Book Antiqua" w:cs="Calibri"/>
          <w:sz w:val="24"/>
          <w:szCs w:val="24"/>
          <w:lang w:eastAsia="hr-HR"/>
        </w:rPr>
      </w:pPr>
      <w:r w:rsidRPr="00707417">
        <w:rPr>
          <w:rFonts w:ascii="Book Antiqua" w:hAnsi="Book Antiqua" w:cs="Calibri"/>
          <w:color w:val="000000"/>
          <w:sz w:val="24"/>
          <w:szCs w:val="24"/>
          <w:shd w:val="clear" w:color="auto" w:fill="FFFFFF"/>
        </w:rPr>
        <w:t>HFrEF</w:t>
      </w:r>
      <w:r>
        <w:rPr>
          <w:rFonts w:ascii="Book Antiqua" w:hAnsi="Book Antiqua" w:cs="Calibri"/>
          <w:color w:val="000000"/>
          <w:sz w:val="24"/>
          <w:szCs w:val="24"/>
          <w:shd w:val="clear" w:color="auto" w:fill="FFFFFF"/>
        </w:rPr>
        <w:t xml:space="preserve">: </w:t>
      </w:r>
      <w:r w:rsidRPr="00707417">
        <w:rPr>
          <w:rFonts w:ascii="Book Antiqua" w:hAnsi="Book Antiqua"/>
          <w:sz w:val="24"/>
          <w:szCs w:val="24"/>
        </w:rPr>
        <w:t>Heart failure with reduced ejection fraction</w:t>
      </w:r>
      <w:r>
        <w:rPr>
          <w:rFonts w:ascii="Book Antiqua" w:hAnsi="Book Antiqua" w:cs="Calibri"/>
          <w:color w:val="000000"/>
          <w:sz w:val="24"/>
          <w:szCs w:val="24"/>
          <w:shd w:val="clear" w:color="auto" w:fill="FFFFFF"/>
        </w:rPr>
        <w:t xml:space="preserve">; </w:t>
      </w:r>
      <w:r w:rsidRPr="00707417">
        <w:rPr>
          <w:rFonts w:ascii="Book Antiqua" w:hAnsi="Book Antiqua" w:cs="Calibri"/>
          <w:color w:val="000000"/>
          <w:sz w:val="24"/>
          <w:szCs w:val="24"/>
          <w:shd w:val="clear" w:color="auto" w:fill="FFFFFF"/>
        </w:rPr>
        <w:t>HFpEF</w:t>
      </w:r>
      <w:r>
        <w:rPr>
          <w:rFonts w:ascii="Book Antiqua" w:hAnsi="Book Antiqua" w:cs="Calibri"/>
          <w:color w:val="000000"/>
          <w:sz w:val="24"/>
          <w:szCs w:val="24"/>
          <w:shd w:val="clear" w:color="auto" w:fill="FFFFFF"/>
        </w:rPr>
        <w:t xml:space="preserve">: </w:t>
      </w:r>
      <w:r w:rsidRPr="00707417">
        <w:rPr>
          <w:rFonts w:ascii="Book Antiqua" w:hAnsi="Book Antiqua"/>
          <w:sz w:val="24"/>
          <w:szCs w:val="24"/>
          <w:lang w:val="en-GB"/>
        </w:rPr>
        <w:t>Heart failure with preserved ejection fraction</w:t>
      </w:r>
      <w:r>
        <w:rPr>
          <w:rFonts w:ascii="Book Antiqua" w:hAnsi="Book Antiqua" w:cs="Calibri"/>
          <w:color w:val="000000"/>
          <w:sz w:val="24"/>
          <w:szCs w:val="24"/>
          <w:shd w:val="clear" w:color="auto" w:fill="FFFFFF"/>
        </w:rPr>
        <w:t>.</w:t>
      </w:r>
    </w:p>
    <w:sectPr w:rsidR="00BF4A1D" w:rsidRPr="00707417" w:rsidSect="00A61B86">
      <w:footerReference w:type="default" r:id="rId9"/>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28BA" w14:textId="77777777" w:rsidR="00AE0803" w:rsidRDefault="00AE0803" w:rsidP="00DB2C75">
      <w:pPr>
        <w:spacing w:line="240" w:lineRule="auto"/>
      </w:pPr>
      <w:r>
        <w:separator/>
      </w:r>
    </w:p>
  </w:endnote>
  <w:endnote w:type="continuationSeparator" w:id="0">
    <w:p w14:paraId="1A98DBF6" w14:textId="77777777" w:rsidR="00AE0803" w:rsidRDefault="00AE0803" w:rsidP="00DB2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VectoraLTStd-Light">
    <w:altName w:val="Arial"/>
    <w:panose1 w:val="020B0604020202020204"/>
    <w:charset w:val="EE"/>
    <w:family w:val="swiss"/>
    <w:notTrueType/>
    <w:pitch w:val="default"/>
    <w:sig w:usb0="00000005" w:usb1="00000000" w:usb2="00000000" w:usb3="00000000" w:csb0="00000002" w:csb1="00000000"/>
  </w:font>
  <w:font w:name="AdvOT7b515deb">
    <w:altName w:val="Arial"/>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867356"/>
      <w:docPartObj>
        <w:docPartGallery w:val="Page Numbers (Bottom of Page)"/>
        <w:docPartUnique/>
      </w:docPartObj>
    </w:sdtPr>
    <w:sdtEndPr/>
    <w:sdtContent>
      <w:sdt>
        <w:sdtPr>
          <w:id w:val="-1705238520"/>
          <w:docPartObj>
            <w:docPartGallery w:val="Page Numbers (Top of Page)"/>
            <w:docPartUnique/>
          </w:docPartObj>
        </w:sdtPr>
        <w:sdtEndPr/>
        <w:sdtContent>
          <w:p w14:paraId="6695E01C" w14:textId="4AF9766A" w:rsidR="00A61B86" w:rsidRDefault="00A61B86" w:rsidP="00A61B8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3B07">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3B07">
              <w:rPr>
                <w:b/>
                <w:bCs/>
                <w:noProof/>
              </w:rPr>
              <w:t>28</w:t>
            </w:r>
            <w:r>
              <w:rPr>
                <w:b/>
                <w:bCs/>
                <w:sz w:val="24"/>
                <w:szCs w:val="24"/>
              </w:rPr>
              <w:fldChar w:fldCharType="end"/>
            </w:r>
          </w:p>
        </w:sdtContent>
      </w:sdt>
    </w:sdtContent>
  </w:sdt>
  <w:p w14:paraId="79BE1121" w14:textId="6C287177" w:rsidR="00A61B86" w:rsidRPr="00A61B86" w:rsidRDefault="00A61B86" w:rsidP="00A6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10AE" w14:textId="77777777" w:rsidR="00AE0803" w:rsidRDefault="00AE0803" w:rsidP="00DB2C75">
      <w:pPr>
        <w:spacing w:line="240" w:lineRule="auto"/>
      </w:pPr>
      <w:r>
        <w:separator/>
      </w:r>
    </w:p>
  </w:footnote>
  <w:footnote w:type="continuationSeparator" w:id="0">
    <w:p w14:paraId="317F3232" w14:textId="77777777" w:rsidR="00AE0803" w:rsidRDefault="00AE0803" w:rsidP="00DB2C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5053"/>
    <w:multiLevelType w:val="hybridMultilevel"/>
    <w:tmpl w:val="4B14A7F4"/>
    <w:lvl w:ilvl="0" w:tplc="23AA9728">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4D62BF9"/>
    <w:multiLevelType w:val="hybridMultilevel"/>
    <w:tmpl w:val="EFF4E36C"/>
    <w:lvl w:ilvl="0" w:tplc="51AA4BCE">
      <w:start w:val="1"/>
      <w:numFmt w:val="decimal"/>
      <w:lvlText w:val="%1."/>
      <w:lvlJc w:val="left"/>
      <w:pPr>
        <w:ind w:left="720" w:hanging="360"/>
      </w:pPr>
      <w:rPr>
        <w:rFonts w:ascii="Calibri" w:hAnsi="Calibri" w:cs="Calibri"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E16B63"/>
    <w:multiLevelType w:val="hybridMultilevel"/>
    <w:tmpl w:val="B7781340"/>
    <w:lvl w:ilvl="0" w:tplc="F59A981A">
      <w:start w:val="5"/>
      <w:numFmt w:val="decimal"/>
      <w:lvlText w:val="%1."/>
      <w:lvlJc w:val="left"/>
      <w:pPr>
        <w:ind w:left="786"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7D9F0BF4"/>
    <w:multiLevelType w:val="hybridMultilevel"/>
    <w:tmpl w:val="C85E40D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08"/>
    <w:rsid w:val="000172B8"/>
    <w:rsid w:val="00023BB5"/>
    <w:rsid w:val="00031A9D"/>
    <w:rsid w:val="000471CD"/>
    <w:rsid w:val="0007109A"/>
    <w:rsid w:val="00076828"/>
    <w:rsid w:val="0008437B"/>
    <w:rsid w:val="000B1004"/>
    <w:rsid w:val="000D1960"/>
    <w:rsid w:val="000D4118"/>
    <w:rsid w:val="00114E36"/>
    <w:rsid w:val="00156B28"/>
    <w:rsid w:val="00164905"/>
    <w:rsid w:val="001807A9"/>
    <w:rsid w:val="00195B7D"/>
    <w:rsid w:val="001A5BF9"/>
    <w:rsid w:val="001E4F3A"/>
    <w:rsid w:val="001E4F8A"/>
    <w:rsid w:val="002050C2"/>
    <w:rsid w:val="00226F16"/>
    <w:rsid w:val="00251600"/>
    <w:rsid w:val="00252D37"/>
    <w:rsid w:val="002B22F4"/>
    <w:rsid w:val="002E28E3"/>
    <w:rsid w:val="002E7C68"/>
    <w:rsid w:val="002F5551"/>
    <w:rsid w:val="00316F41"/>
    <w:rsid w:val="00331D02"/>
    <w:rsid w:val="003534DA"/>
    <w:rsid w:val="00383B0D"/>
    <w:rsid w:val="003914D3"/>
    <w:rsid w:val="0039516F"/>
    <w:rsid w:val="003B2E05"/>
    <w:rsid w:val="003C72D2"/>
    <w:rsid w:val="003D095E"/>
    <w:rsid w:val="003F0A51"/>
    <w:rsid w:val="0043136E"/>
    <w:rsid w:val="00446861"/>
    <w:rsid w:val="00473B07"/>
    <w:rsid w:val="004A2B40"/>
    <w:rsid w:val="004C3541"/>
    <w:rsid w:val="004D6C13"/>
    <w:rsid w:val="004D7B77"/>
    <w:rsid w:val="004F0C01"/>
    <w:rsid w:val="005273A6"/>
    <w:rsid w:val="0053206C"/>
    <w:rsid w:val="00544FFF"/>
    <w:rsid w:val="005450C2"/>
    <w:rsid w:val="0056319A"/>
    <w:rsid w:val="00564707"/>
    <w:rsid w:val="005A04EC"/>
    <w:rsid w:val="005A2723"/>
    <w:rsid w:val="005B5A68"/>
    <w:rsid w:val="005C3420"/>
    <w:rsid w:val="005D134F"/>
    <w:rsid w:val="005E6DAB"/>
    <w:rsid w:val="006063D7"/>
    <w:rsid w:val="00620470"/>
    <w:rsid w:val="0063771B"/>
    <w:rsid w:val="00662E7D"/>
    <w:rsid w:val="00667F9F"/>
    <w:rsid w:val="006818C3"/>
    <w:rsid w:val="00691FAC"/>
    <w:rsid w:val="006A2C80"/>
    <w:rsid w:val="006C3D29"/>
    <w:rsid w:val="006D55D0"/>
    <w:rsid w:val="006E4E77"/>
    <w:rsid w:val="007064D1"/>
    <w:rsid w:val="00707417"/>
    <w:rsid w:val="0072773B"/>
    <w:rsid w:val="00744093"/>
    <w:rsid w:val="007520C0"/>
    <w:rsid w:val="00766BD3"/>
    <w:rsid w:val="007674C1"/>
    <w:rsid w:val="0077563E"/>
    <w:rsid w:val="007B5721"/>
    <w:rsid w:val="007B74BA"/>
    <w:rsid w:val="007D0220"/>
    <w:rsid w:val="007E7EC2"/>
    <w:rsid w:val="007F7276"/>
    <w:rsid w:val="008004EE"/>
    <w:rsid w:val="00806516"/>
    <w:rsid w:val="008162B8"/>
    <w:rsid w:val="008164E3"/>
    <w:rsid w:val="0084028A"/>
    <w:rsid w:val="0087351F"/>
    <w:rsid w:val="008811C2"/>
    <w:rsid w:val="008A0D30"/>
    <w:rsid w:val="008A3EC3"/>
    <w:rsid w:val="008A75C9"/>
    <w:rsid w:val="008B5553"/>
    <w:rsid w:val="008D5249"/>
    <w:rsid w:val="008E09FC"/>
    <w:rsid w:val="0090341F"/>
    <w:rsid w:val="0090606E"/>
    <w:rsid w:val="00921847"/>
    <w:rsid w:val="00923418"/>
    <w:rsid w:val="0093089B"/>
    <w:rsid w:val="00934F4C"/>
    <w:rsid w:val="00940E04"/>
    <w:rsid w:val="00951CA3"/>
    <w:rsid w:val="00973E45"/>
    <w:rsid w:val="00980D70"/>
    <w:rsid w:val="009A155F"/>
    <w:rsid w:val="009A182E"/>
    <w:rsid w:val="009C209B"/>
    <w:rsid w:val="009C6218"/>
    <w:rsid w:val="009D5A5D"/>
    <w:rsid w:val="009E3C5E"/>
    <w:rsid w:val="009E7BD0"/>
    <w:rsid w:val="00A203E5"/>
    <w:rsid w:val="00A61B86"/>
    <w:rsid w:val="00A62718"/>
    <w:rsid w:val="00A67071"/>
    <w:rsid w:val="00A76B41"/>
    <w:rsid w:val="00A9714E"/>
    <w:rsid w:val="00AE0803"/>
    <w:rsid w:val="00AF0131"/>
    <w:rsid w:val="00AF1950"/>
    <w:rsid w:val="00AF357B"/>
    <w:rsid w:val="00B05865"/>
    <w:rsid w:val="00B155ED"/>
    <w:rsid w:val="00B478F4"/>
    <w:rsid w:val="00B50DD3"/>
    <w:rsid w:val="00B5274B"/>
    <w:rsid w:val="00B53A71"/>
    <w:rsid w:val="00B53BD8"/>
    <w:rsid w:val="00B5555D"/>
    <w:rsid w:val="00B55FDA"/>
    <w:rsid w:val="00B85114"/>
    <w:rsid w:val="00B932A7"/>
    <w:rsid w:val="00B93E04"/>
    <w:rsid w:val="00BB096F"/>
    <w:rsid w:val="00BB3499"/>
    <w:rsid w:val="00BC1226"/>
    <w:rsid w:val="00BC14EF"/>
    <w:rsid w:val="00BC3BD7"/>
    <w:rsid w:val="00BE33B6"/>
    <w:rsid w:val="00BF08E2"/>
    <w:rsid w:val="00BF4A1D"/>
    <w:rsid w:val="00CA155D"/>
    <w:rsid w:val="00CC58E3"/>
    <w:rsid w:val="00CF1BA2"/>
    <w:rsid w:val="00D022EE"/>
    <w:rsid w:val="00D06CA8"/>
    <w:rsid w:val="00D26108"/>
    <w:rsid w:val="00D5596A"/>
    <w:rsid w:val="00D55BC9"/>
    <w:rsid w:val="00D56E74"/>
    <w:rsid w:val="00D63AF6"/>
    <w:rsid w:val="00D71A72"/>
    <w:rsid w:val="00D7271A"/>
    <w:rsid w:val="00D84108"/>
    <w:rsid w:val="00D962DE"/>
    <w:rsid w:val="00DA3A6D"/>
    <w:rsid w:val="00DA4982"/>
    <w:rsid w:val="00DB0417"/>
    <w:rsid w:val="00DB2C75"/>
    <w:rsid w:val="00DB47FC"/>
    <w:rsid w:val="00DB4BDA"/>
    <w:rsid w:val="00DC44B5"/>
    <w:rsid w:val="00DD173B"/>
    <w:rsid w:val="00DD4B30"/>
    <w:rsid w:val="00DE2E1C"/>
    <w:rsid w:val="00E144E8"/>
    <w:rsid w:val="00E573DA"/>
    <w:rsid w:val="00E840F4"/>
    <w:rsid w:val="00E86763"/>
    <w:rsid w:val="00E9561E"/>
    <w:rsid w:val="00E97C1D"/>
    <w:rsid w:val="00EB0163"/>
    <w:rsid w:val="00EB1A84"/>
    <w:rsid w:val="00EC6EFB"/>
    <w:rsid w:val="00EC793C"/>
    <w:rsid w:val="00EE168A"/>
    <w:rsid w:val="00EE4A76"/>
    <w:rsid w:val="00F12484"/>
    <w:rsid w:val="00F129D1"/>
    <w:rsid w:val="00F3208B"/>
    <w:rsid w:val="00F51FAA"/>
    <w:rsid w:val="00F5431B"/>
    <w:rsid w:val="00F62600"/>
    <w:rsid w:val="00F64203"/>
    <w:rsid w:val="00F663FD"/>
    <w:rsid w:val="00F75C7F"/>
    <w:rsid w:val="00F87C3E"/>
    <w:rsid w:val="00F97DE7"/>
    <w:rsid w:val="00FA04A7"/>
    <w:rsid w:val="00FA43FB"/>
    <w:rsid w:val="00FB420E"/>
    <w:rsid w:val="00FF4A28"/>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5ADE"/>
  <w15:docId w15:val="{234B82BC-684F-410A-A36C-B27A2C9B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484"/>
    <w:rPr>
      <w:sz w:val="20"/>
    </w:rPr>
  </w:style>
  <w:style w:type="paragraph" w:styleId="Heading1">
    <w:name w:val="heading 1"/>
    <w:basedOn w:val="Normal"/>
    <w:link w:val="Heading1Char"/>
    <w:uiPriority w:val="9"/>
    <w:qFormat/>
    <w:rsid w:val="00156B2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75"/>
    <w:pPr>
      <w:tabs>
        <w:tab w:val="center" w:pos="4513"/>
        <w:tab w:val="right" w:pos="9026"/>
      </w:tabs>
      <w:spacing w:line="240" w:lineRule="auto"/>
    </w:pPr>
  </w:style>
  <w:style w:type="character" w:customStyle="1" w:styleId="HeaderChar">
    <w:name w:val="Header Char"/>
    <w:basedOn w:val="DefaultParagraphFont"/>
    <w:link w:val="Header"/>
    <w:uiPriority w:val="99"/>
    <w:rsid w:val="00DB2C75"/>
    <w:rPr>
      <w:sz w:val="20"/>
    </w:rPr>
  </w:style>
  <w:style w:type="paragraph" w:styleId="Footer">
    <w:name w:val="footer"/>
    <w:basedOn w:val="Normal"/>
    <w:link w:val="FooterChar"/>
    <w:uiPriority w:val="99"/>
    <w:unhideWhenUsed/>
    <w:rsid w:val="00DB2C75"/>
    <w:pPr>
      <w:tabs>
        <w:tab w:val="center" w:pos="4513"/>
        <w:tab w:val="right" w:pos="9026"/>
      </w:tabs>
      <w:spacing w:line="240" w:lineRule="auto"/>
    </w:pPr>
  </w:style>
  <w:style w:type="character" w:customStyle="1" w:styleId="FooterChar">
    <w:name w:val="Footer Char"/>
    <w:basedOn w:val="DefaultParagraphFont"/>
    <w:link w:val="Footer"/>
    <w:uiPriority w:val="99"/>
    <w:rsid w:val="00DB2C75"/>
    <w:rPr>
      <w:sz w:val="20"/>
    </w:rPr>
  </w:style>
  <w:style w:type="character" w:customStyle="1" w:styleId="Heading1Char">
    <w:name w:val="Heading 1 Char"/>
    <w:basedOn w:val="DefaultParagraphFont"/>
    <w:link w:val="Heading1"/>
    <w:uiPriority w:val="9"/>
    <w:rsid w:val="00156B28"/>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156B28"/>
    <w:pPr>
      <w:spacing w:after="200" w:line="276" w:lineRule="auto"/>
      <w:ind w:left="720"/>
      <w:contextualSpacing/>
      <w:jc w:val="left"/>
    </w:pPr>
    <w:rPr>
      <w:rFonts w:ascii="Calibri" w:eastAsia="Times New Roman" w:hAnsi="Calibri" w:cs="Times New Roman"/>
      <w:sz w:val="22"/>
      <w:lang w:val="en-US"/>
    </w:rPr>
  </w:style>
  <w:style w:type="character" w:styleId="Hyperlink">
    <w:name w:val="Hyperlink"/>
    <w:basedOn w:val="DefaultParagraphFont"/>
    <w:uiPriority w:val="99"/>
    <w:unhideWhenUsed/>
    <w:rsid w:val="00156B28"/>
    <w:rPr>
      <w:color w:val="0000FF"/>
      <w:u w:val="single"/>
    </w:rPr>
  </w:style>
  <w:style w:type="paragraph" w:styleId="BalloonText">
    <w:name w:val="Balloon Text"/>
    <w:basedOn w:val="Normal"/>
    <w:link w:val="BalloonTextChar"/>
    <w:uiPriority w:val="99"/>
    <w:semiHidden/>
    <w:unhideWhenUsed/>
    <w:rsid w:val="00156B28"/>
    <w:pPr>
      <w:spacing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56B28"/>
    <w:rPr>
      <w:rFonts w:ascii="Tahoma" w:eastAsia="Times New Roman" w:hAnsi="Tahoma" w:cs="Tahoma"/>
      <w:sz w:val="16"/>
      <w:szCs w:val="16"/>
      <w:lang w:val="en-US"/>
    </w:rPr>
  </w:style>
  <w:style w:type="table" w:styleId="TableGrid">
    <w:name w:val="Table Grid"/>
    <w:basedOn w:val="TableNormal"/>
    <w:uiPriority w:val="59"/>
    <w:rsid w:val="00156B28"/>
    <w:pPr>
      <w:spacing w:line="240" w:lineRule="auto"/>
      <w:jc w:val="left"/>
    </w:pPr>
    <w:rPr>
      <w:rFonts w:ascii="Calibri" w:eastAsia="Times New Roman" w:hAnsi="Calibri" w:cs="Times New Roman"/>
      <w:sz w:val="20"/>
      <w:szCs w:val="20"/>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3">
    <w:name w:val="h3"/>
    <w:rsid w:val="00BE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06C2-D23D-1C44-B2C3-7CDA7E4A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7815</Words>
  <Characters>44546</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 Ma</cp:lastModifiedBy>
  <cp:revision>2</cp:revision>
  <cp:lastPrinted>2020-04-30T12:20:00Z</cp:lastPrinted>
  <dcterms:created xsi:type="dcterms:W3CDTF">2020-05-28T18:06:00Z</dcterms:created>
  <dcterms:modified xsi:type="dcterms:W3CDTF">2020-05-28T18:06:00Z</dcterms:modified>
</cp:coreProperties>
</file>