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1E8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Name of Journal: </w:t>
      </w:r>
      <w:r w:rsidRPr="000F4703">
        <w:rPr>
          <w:rFonts w:ascii="Book Antiqua" w:eastAsia="Book Antiqua" w:hAnsi="Book Antiqua" w:cs="Book Antiqua"/>
          <w:i/>
          <w:color w:val="000000"/>
        </w:rPr>
        <w:t>World Journal of Gastroenterology</w:t>
      </w:r>
    </w:p>
    <w:p w14:paraId="570A2CF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NO: </w:t>
      </w:r>
      <w:r w:rsidRPr="000F4703">
        <w:rPr>
          <w:rFonts w:ascii="Book Antiqua" w:eastAsia="Book Antiqua" w:hAnsi="Book Antiqua" w:cs="Book Antiqua"/>
          <w:color w:val="000000"/>
        </w:rPr>
        <w:t>54587</w:t>
      </w:r>
    </w:p>
    <w:p w14:paraId="3C6BD17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Type: </w:t>
      </w:r>
      <w:r w:rsidRPr="000F4703">
        <w:rPr>
          <w:rFonts w:ascii="Book Antiqua" w:eastAsia="Book Antiqua" w:hAnsi="Book Antiqua" w:cs="Book Antiqua"/>
          <w:color w:val="000000"/>
        </w:rPr>
        <w:t>ORIGINAL ARTICLE</w:t>
      </w:r>
    </w:p>
    <w:p w14:paraId="0F5015AE" w14:textId="77777777" w:rsidR="00A77B3E" w:rsidRPr="000F4703" w:rsidRDefault="00A77B3E" w:rsidP="000F4703">
      <w:pPr>
        <w:snapToGrid w:val="0"/>
        <w:spacing w:line="360" w:lineRule="auto"/>
        <w:jc w:val="both"/>
        <w:rPr>
          <w:rFonts w:ascii="Book Antiqua" w:hAnsi="Book Antiqua"/>
        </w:rPr>
      </w:pPr>
    </w:p>
    <w:p w14:paraId="0E5C7E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Retrospective Study</w:t>
      </w:r>
    </w:p>
    <w:p w14:paraId="0D66B58E" w14:textId="2F6A638A" w:rsidR="00A77B3E" w:rsidRPr="000F4703" w:rsidRDefault="001E3004"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Endoscopic ultrasound</w:t>
      </w:r>
      <w:r w:rsidR="006E3988" w:rsidRPr="000F4703">
        <w:rPr>
          <w:rFonts w:ascii="Book Antiqua" w:eastAsia="Book Antiqua" w:hAnsi="Book Antiqua" w:cs="Book Antiqua"/>
          <w:b/>
          <w:color w:val="000000"/>
        </w:rPr>
        <w:t>-measured muscular thickness of the lower esophageal sphincter and long-term prognosis after peroral endoscopic myotomy</w:t>
      </w:r>
      <w:r w:rsidR="00661925">
        <w:rPr>
          <w:rFonts w:ascii="Book Antiqua" w:eastAsia="Book Antiqua" w:hAnsi="Book Antiqua" w:cs="Book Antiqua"/>
          <w:b/>
          <w:color w:val="000000"/>
        </w:rPr>
        <w:t xml:space="preserve"> for a</w:t>
      </w:r>
      <w:r w:rsidR="00661925" w:rsidRPr="00661925">
        <w:rPr>
          <w:rFonts w:ascii="Book Antiqua" w:eastAsia="Book Antiqua" w:hAnsi="Book Antiqua" w:cs="Book Antiqua"/>
          <w:b/>
          <w:color w:val="000000"/>
        </w:rPr>
        <w:t>chalasia</w:t>
      </w:r>
    </w:p>
    <w:p w14:paraId="384FD10B" w14:textId="77777777" w:rsidR="00A77B3E" w:rsidRPr="000F4703" w:rsidRDefault="00A77B3E" w:rsidP="000F4703">
      <w:pPr>
        <w:snapToGrid w:val="0"/>
        <w:spacing w:line="360" w:lineRule="auto"/>
        <w:jc w:val="both"/>
        <w:rPr>
          <w:rFonts w:ascii="Book Antiqua" w:hAnsi="Book Antiqua"/>
        </w:rPr>
      </w:pPr>
    </w:p>
    <w:p w14:paraId="69135F45" w14:textId="4E556E00" w:rsidR="00A77B3E" w:rsidRPr="000F4703" w:rsidRDefault="001E3004"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Liao Y </w:t>
      </w:r>
      <w:r w:rsidRPr="000F4703">
        <w:rPr>
          <w:rFonts w:ascii="Book Antiqua" w:eastAsia="Book Antiqua" w:hAnsi="Book Antiqua" w:cs="Book Antiqua"/>
          <w:i/>
          <w:iCs/>
          <w:color w:val="000000"/>
        </w:rPr>
        <w:t>et al</w:t>
      </w:r>
      <w:r w:rsidRPr="000F4703">
        <w:rPr>
          <w:rFonts w:ascii="Book Antiqua" w:eastAsia="Book Antiqua" w:hAnsi="Book Antiqua" w:cs="Book Antiqua"/>
          <w:color w:val="000000"/>
        </w:rPr>
        <w:t xml:space="preserve">. </w:t>
      </w:r>
      <w:r w:rsidR="006E3988" w:rsidRPr="000F4703">
        <w:rPr>
          <w:rFonts w:ascii="Book Antiqua" w:eastAsia="Book Antiqua" w:hAnsi="Book Antiqua" w:cs="Book Antiqua"/>
          <w:color w:val="000000"/>
        </w:rPr>
        <w:t xml:space="preserve">EUS-measured muscular thickness and </w:t>
      </w:r>
      <w:r w:rsidR="00680A2E" w:rsidRPr="000F4703">
        <w:rPr>
          <w:rFonts w:ascii="Book Antiqua" w:eastAsia="Book Antiqua" w:hAnsi="Book Antiqua" w:cs="Book Antiqua"/>
          <w:color w:val="000000"/>
        </w:rPr>
        <w:t xml:space="preserve">prognosis </w:t>
      </w:r>
      <w:r w:rsidR="00680A2E">
        <w:rPr>
          <w:rFonts w:ascii="Book Antiqua" w:eastAsia="Book Antiqua" w:hAnsi="Book Antiqua" w:cs="Book Antiqua"/>
          <w:color w:val="000000"/>
        </w:rPr>
        <w:t xml:space="preserve">after </w:t>
      </w:r>
      <w:r w:rsidR="006E3988" w:rsidRPr="000F4703">
        <w:rPr>
          <w:rFonts w:ascii="Book Antiqua" w:eastAsia="Book Antiqua" w:hAnsi="Book Antiqua" w:cs="Book Antiqua"/>
          <w:color w:val="000000"/>
        </w:rPr>
        <w:t>POEM</w:t>
      </w:r>
    </w:p>
    <w:p w14:paraId="273AD6D3" w14:textId="77777777" w:rsidR="00A77B3E" w:rsidRPr="000F4703" w:rsidRDefault="00A77B3E" w:rsidP="000F4703">
      <w:pPr>
        <w:snapToGrid w:val="0"/>
        <w:spacing w:line="360" w:lineRule="auto"/>
        <w:jc w:val="both"/>
        <w:rPr>
          <w:rFonts w:ascii="Book Antiqua" w:hAnsi="Book Antiqua"/>
        </w:rPr>
      </w:pPr>
    </w:p>
    <w:p w14:paraId="175020B1" w14:textId="48F2D307" w:rsidR="00A77B3E" w:rsidRPr="000F4703" w:rsidRDefault="006E3988" w:rsidP="000F4703">
      <w:pPr>
        <w:snapToGrid w:val="0"/>
        <w:spacing w:line="360" w:lineRule="auto"/>
        <w:jc w:val="both"/>
        <w:rPr>
          <w:rFonts w:ascii="Book Antiqua" w:hAnsi="Book Antiqua"/>
        </w:rPr>
      </w:pPr>
      <w:bookmarkStart w:id="0" w:name="OLE_LINK1"/>
      <w:bookmarkStart w:id="1" w:name="OLE_LINK2"/>
      <w:r w:rsidRPr="000F4703">
        <w:rPr>
          <w:rFonts w:ascii="Book Antiqua" w:eastAsia="Book Antiqua" w:hAnsi="Book Antiqua" w:cs="Book Antiqua"/>
          <w:color w:val="000000"/>
        </w:rPr>
        <w:t>Y</w:t>
      </w:r>
      <w:bookmarkEnd w:id="0"/>
      <w:bookmarkEnd w:id="1"/>
      <w:r w:rsidRPr="000F4703">
        <w:rPr>
          <w:rFonts w:ascii="Book Antiqua" w:eastAsia="Book Antiqua" w:hAnsi="Book Antiqua" w:cs="Book Antiqua"/>
          <w:color w:val="000000"/>
        </w:rPr>
        <w:t>e Liao, Ting-</w:t>
      </w:r>
      <w:r w:rsidR="00B234D1" w:rsidRPr="000F4703">
        <w:rPr>
          <w:rFonts w:ascii="Book Antiqua" w:eastAsia="Book Antiqua" w:hAnsi="Book Antiqua" w:cs="Book Antiqua"/>
          <w:color w:val="000000"/>
        </w:rPr>
        <w:t xml:space="preserve">Yue </w:t>
      </w:r>
      <w:r w:rsidRPr="000F4703">
        <w:rPr>
          <w:rFonts w:ascii="Book Antiqua" w:eastAsia="Book Antiqua" w:hAnsi="Book Antiqua" w:cs="Book Antiqua"/>
          <w:color w:val="000000"/>
        </w:rPr>
        <w:t xml:space="preserve">Xiao, Yu-Fan Wu, Jing-Jing Zhang, Bao-Zhen Zhang, Yi-Dan Wang, Sheng Wang, Xiang Liu, Si-Yu Sun, Jin-Tao </w:t>
      </w:r>
      <w:proofErr w:type="spellStart"/>
      <w:r w:rsidRPr="000F4703">
        <w:rPr>
          <w:rFonts w:ascii="Book Antiqua" w:eastAsia="Book Antiqua" w:hAnsi="Book Antiqua" w:cs="Book Antiqua"/>
          <w:color w:val="000000"/>
        </w:rPr>
        <w:t>Guo</w:t>
      </w:r>
      <w:proofErr w:type="spellEnd"/>
    </w:p>
    <w:p w14:paraId="7802D713" w14:textId="77777777" w:rsidR="00A77B3E" w:rsidRPr="000F4703" w:rsidRDefault="00A77B3E" w:rsidP="000F4703">
      <w:pPr>
        <w:snapToGrid w:val="0"/>
        <w:spacing w:line="360" w:lineRule="auto"/>
        <w:jc w:val="both"/>
        <w:rPr>
          <w:rFonts w:ascii="Book Antiqua" w:hAnsi="Book Antiqua"/>
        </w:rPr>
      </w:pPr>
    </w:p>
    <w:p w14:paraId="2001FD9F" w14:textId="4280B75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Ye Liao, Yu-Fan Wu, Jing-Jing Zhang, Bao-Zhen Zhang, Yi-Dan Wang, Sheng Wang, Xiang Liu, Si-Yu Sun, Jin-Tao </w:t>
      </w:r>
      <w:proofErr w:type="spellStart"/>
      <w:r w:rsidRPr="000F4703">
        <w:rPr>
          <w:rFonts w:ascii="Book Antiqua" w:eastAsia="Book Antiqua" w:hAnsi="Book Antiqua" w:cs="Book Antiqua"/>
          <w:b/>
          <w:bCs/>
          <w:color w:val="000000"/>
        </w:rPr>
        <w:t>Guo</w:t>
      </w:r>
      <w:proofErr w:type="spellEnd"/>
      <w:r w:rsidRPr="000F4703">
        <w:rPr>
          <w:rFonts w:ascii="Book Antiqua" w:eastAsia="Book Antiqua" w:hAnsi="Book Antiqua" w:cs="Book Antiqua"/>
          <w:b/>
          <w:bCs/>
          <w:color w:val="000000"/>
        </w:rPr>
        <w:t xml:space="preserve">, </w:t>
      </w:r>
      <w:r w:rsidRPr="000F4703">
        <w:rPr>
          <w:rFonts w:ascii="Book Antiqua" w:eastAsia="Book Antiqua" w:hAnsi="Book Antiqua" w:cs="Book Antiqua"/>
          <w:color w:val="000000"/>
        </w:rPr>
        <w:t xml:space="preserve">Department of Gastroenterology,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Shenyang 110004,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China</w:t>
      </w:r>
    </w:p>
    <w:p w14:paraId="076B9136" w14:textId="77777777" w:rsidR="00A77B3E" w:rsidRPr="000F4703" w:rsidRDefault="00A77B3E" w:rsidP="000F4703">
      <w:pPr>
        <w:snapToGrid w:val="0"/>
        <w:spacing w:line="360" w:lineRule="auto"/>
        <w:jc w:val="both"/>
        <w:rPr>
          <w:rFonts w:ascii="Book Antiqua" w:hAnsi="Book Antiqua"/>
        </w:rPr>
      </w:pPr>
    </w:p>
    <w:p w14:paraId="44AE6CEE" w14:textId="2E4BF631"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Ting-</w:t>
      </w:r>
      <w:r w:rsidRPr="005E4469">
        <w:rPr>
          <w:rFonts w:ascii="Book Antiqua" w:eastAsia="Book Antiqua" w:hAnsi="Book Antiqua" w:cs="Book Antiqua"/>
          <w:b/>
          <w:bCs/>
          <w:caps/>
          <w:color w:val="000000"/>
        </w:rPr>
        <w:t>y</w:t>
      </w:r>
      <w:r w:rsidRPr="000F4703">
        <w:rPr>
          <w:rFonts w:ascii="Book Antiqua" w:eastAsia="Book Antiqua" w:hAnsi="Book Antiqua" w:cs="Book Antiqua"/>
          <w:b/>
          <w:bCs/>
          <w:color w:val="000000"/>
        </w:rPr>
        <w:t xml:space="preserve">ue Xiao, </w:t>
      </w:r>
      <w:r w:rsidRPr="000F4703">
        <w:rPr>
          <w:rFonts w:ascii="Book Antiqua" w:eastAsia="Book Antiqua" w:hAnsi="Book Antiqua" w:cs="Book Antiqua"/>
          <w:color w:val="000000"/>
        </w:rPr>
        <w:t xml:space="preserve">Department of </w:t>
      </w:r>
      <w:r w:rsidRPr="005E4469">
        <w:rPr>
          <w:rFonts w:ascii="Book Antiqua" w:eastAsia="Book Antiqua" w:hAnsi="Book Antiqua" w:cs="Book Antiqua"/>
          <w:caps/>
          <w:color w:val="000000"/>
        </w:rPr>
        <w:t>s</w:t>
      </w:r>
      <w:r w:rsidRPr="000F4703">
        <w:rPr>
          <w:rFonts w:ascii="Book Antiqua" w:eastAsia="Book Antiqua" w:hAnsi="Book Antiqua" w:cs="Book Antiqua"/>
          <w:color w:val="000000"/>
        </w:rPr>
        <w:t xml:space="preserve">cience and </w:t>
      </w:r>
      <w:r w:rsidRPr="005E4469">
        <w:rPr>
          <w:rFonts w:ascii="Book Antiqua" w:eastAsia="Book Antiqua" w:hAnsi="Book Antiqua" w:cs="Book Antiqua"/>
          <w:caps/>
          <w:color w:val="000000"/>
        </w:rPr>
        <w:t>e</w:t>
      </w:r>
      <w:r w:rsidRPr="000F4703">
        <w:rPr>
          <w:rFonts w:ascii="Book Antiqua" w:eastAsia="Book Antiqua" w:hAnsi="Book Antiqua" w:cs="Book Antiqua"/>
          <w:color w:val="000000"/>
        </w:rPr>
        <w:t>ducation, Shenyang Sixth People’s Hospital, Shenyang 110006,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China</w:t>
      </w:r>
    </w:p>
    <w:p w14:paraId="7295B5A8" w14:textId="77777777" w:rsidR="00A77B3E" w:rsidRPr="000F4703" w:rsidRDefault="00A77B3E" w:rsidP="000F4703">
      <w:pPr>
        <w:snapToGrid w:val="0"/>
        <w:spacing w:line="360" w:lineRule="auto"/>
        <w:jc w:val="both"/>
        <w:rPr>
          <w:rFonts w:ascii="Book Antiqua" w:hAnsi="Book Antiqua"/>
        </w:rPr>
      </w:pPr>
    </w:p>
    <w:p w14:paraId="7466EE02" w14:textId="4DB546A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Author contributions: </w:t>
      </w:r>
      <w:r w:rsidRPr="000F4703">
        <w:rPr>
          <w:rFonts w:ascii="Book Antiqua" w:eastAsia="Book Antiqua" w:hAnsi="Book Antiqua" w:cs="Book Antiqua"/>
          <w:color w:val="000000"/>
        </w:rPr>
        <w:t>Liao Y and Guo JT were involved in the study conception and design; Guo JT, Wang S, Liu X, and Sun SY performed the research; Liao Y, Xiao TY, Wu YF, Zhang JJ, Zhang BZ</w:t>
      </w:r>
      <w:r w:rsidR="00680A2E">
        <w:rPr>
          <w:rFonts w:ascii="Book Antiqua" w:eastAsia="Book Antiqua" w:hAnsi="Book Antiqua" w:cs="Book Antiqua"/>
          <w:color w:val="000000"/>
        </w:rPr>
        <w:t>,</w:t>
      </w:r>
      <w:r w:rsidRPr="000F4703">
        <w:rPr>
          <w:rFonts w:ascii="Book Antiqua" w:eastAsia="Book Antiqua" w:hAnsi="Book Antiqua" w:cs="Book Antiqua"/>
          <w:color w:val="000000"/>
        </w:rPr>
        <w:t xml:space="preserve"> and Wang YD analyzed the data; Liao Y wrote the manuscript; Guo JT and Sun SY performed critical revision of the article for important intellectual content; all authors performed the final approval of the article.</w:t>
      </w:r>
    </w:p>
    <w:p w14:paraId="2BC5A5DC" w14:textId="77777777" w:rsidR="00A77B3E" w:rsidRPr="000F4703" w:rsidRDefault="00A77B3E" w:rsidP="000F4703">
      <w:pPr>
        <w:snapToGrid w:val="0"/>
        <w:spacing w:line="360" w:lineRule="auto"/>
        <w:jc w:val="both"/>
        <w:rPr>
          <w:rFonts w:ascii="Book Antiqua" w:hAnsi="Book Antiqua"/>
        </w:rPr>
      </w:pPr>
    </w:p>
    <w:p w14:paraId="5878A863" w14:textId="49397E10" w:rsidR="00A77B3E" w:rsidRPr="006020CC" w:rsidRDefault="006E3988" w:rsidP="006020CC">
      <w:pPr>
        <w:spacing w:line="360" w:lineRule="auto"/>
        <w:jc w:val="both"/>
      </w:pPr>
      <w:r w:rsidRPr="000F4703">
        <w:rPr>
          <w:rFonts w:ascii="Book Antiqua" w:eastAsia="Book Antiqua" w:hAnsi="Book Antiqua" w:cs="Book Antiqua"/>
          <w:b/>
          <w:bCs/>
          <w:color w:val="000000"/>
        </w:rPr>
        <w:lastRenderedPageBreak/>
        <w:t xml:space="preserve">Supported by </w:t>
      </w:r>
      <w:r w:rsidRPr="000F4703">
        <w:rPr>
          <w:rFonts w:ascii="Book Antiqua" w:eastAsia="Book Antiqua" w:hAnsi="Book Antiqua" w:cs="Book Antiqua"/>
          <w:color w:val="000000"/>
        </w:rPr>
        <w:t>National Natural Science Foundation of China</w:t>
      </w:r>
      <w:r w:rsidR="00B234D1"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w:t>
      </w:r>
      <w:r w:rsidR="00B234D1" w:rsidRPr="000F4703">
        <w:rPr>
          <w:rFonts w:ascii="Book Antiqua" w:eastAsia="Book Antiqua" w:hAnsi="Book Antiqua" w:cs="Book Antiqua"/>
          <w:color w:val="000000"/>
        </w:rPr>
        <w:t>No. 81900601</w:t>
      </w:r>
      <w:r w:rsidR="002A2FE0">
        <w:rPr>
          <w:rFonts w:ascii="Book Antiqua" w:eastAsia="Book Antiqua" w:hAnsi="Book Antiqua" w:cs="Book Antiqua"/>
          <w:color w:val="000000"/>
        </w:rPr>
        <w:t xml:space="preserve">, </w:t>
      </w:r>
      <w:r w:rsidR="002A2FE0" w:rsidRPr="000C79E4">
        <w:rPr>
          <w:rFonts w:ascii="Book Antiqua" w:eastAsia="Book Antiqua" w:hAnsi="Book Antiqua" w:cs="Book Antiqua"/>
          <w:color w:val="000000"/>
        </w:rPr>
        <w:t>Natural Science Found</w:t>
      </w:r>
      <w:r w:rsidR="000C79E4">
        <w:rPr>
          <w:rFonts w:ascii="Book Antiqua" w:eastAsia="Book Antiqua" w:hAnsi="Book Antiqua" w:cs="Book Antiqua"/>
          <w:color w:val="000000"/>
        </w:rPr>
        <w:t xml:space="preserve">ation of Liaoning Province, No. </w:t>
      </w:r>
      <w:r w:rsidR="002A2FE0" w:rsidRPr="000C79E4">
        <w:rPr>
          <w:rFonts w:ascii="Book Antiqua" w:eastAsia="Book Antiqua" w:hAnsi="Book Antiqua" w:cs="Book Antiqua"/>
          <w:color w:val="000000"/>
        </w:rPr>
        <w:t>207541024</w:t>
      </w:r>
      <w:r w:rsidR="006E5837">
        <w:rPr>
          <w:rFonts w:ascii="Book Antiqua" w:eastAsia="Book Antiqua" w:hAnsi="Book Antiqua" w:cs="Book Antiqua"/>
          <w:color w:val="000000"/>
        </w:rPr>
        <w:t>;</w:t>
      </w:r>
      <w:r w:rsidR="002A2FE0" w:rsidRPr="000C79E4">
        <w:rPr>
          <w:rFonts w:ascii="Book Antiqua" w:eastAsia="Book Antiqua" w:hAnsi="Book Antiqua" w:cs="Book Antiqua"/>
          <w:color w:val="000000"/>
        </w:rPr>
        <w:t xml:space="preserve"> and Outstanding Scientific Fund of </w:t>
      </w:r>
      <w:proofErr w:type="spellStart"/>
      <w:r w:rsidR="002A2FE0" w:rsidRPr="000C79E4">
        <w:rPr>
          <w:rFonts w:ascii="Book Antiqua" w:eastAsia="Book Antiqua" w:hAnsi="Book Antiqua" w:cs="Book Antiqua"/>
          <w:color w:val="000000"/>
        </w:rPr>
        <w:t>Shengjing</w:t>
      </w:r>
      <w:proofErr w:type="spellEnd"/>
      <w:r w:rsidR="002A2FE0" w:rsidRPr="000C79E4">
        <w:rPr>
          <w:rFonts w:ascii="Book Antiqua" w:eastAsia="Book Antiqua" w:hAnsi="Book Antiqua" w:cs="Book Antiqua"/>
          <w:color w:val="000000"/>
        </w:rPr>
        <w:t xml:space="preserve"> Hospital, No. 201702.</w:t>
      </w:r>
    </w:p>
    <w:p w14:paraId="27E0B209" w14:textId="77777777" w:rsidR="00A77B3E" w:rsidRPr="000F4703" w:rsidRDefault="00A77B3E" w:rsidP="000F4703">
      <w:pPr>
        <w:snapToGrid w:val="0"/>
        <w:spacing w:line="360" w:lineRule="auto"/>
        <w:jc w:val="both"/>
        <w:rPr>
          <w:rFonts w:ascii="Book Antiqua" w:hAnsi="Book Antiqua"/>
        </w:rPr>
      </w:pPr>
    </w:p>
    <w:p w14:paraId="721AD577" w14:textId="7BE721D1"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Corresponding author: Jin-Tao </w:t>
      </w:r>
      <w:proofErr w:type="spellStart"/>
      <w:r w:rsidRPr="000F4703">
        <w:rPr>
          <w:rFonts w:ascii="Book Antiqua" w:eastAsia="Book Antiqua" w:hAnsi="Book Antiqua" w:cs="Book Antiqua"/>
          <w:b/>
          <w:bCs/>
          <w:color w:val="000000"/>
        </w:rPr>
        <w:t>Guo</w:t>
      </w:r>
      <w:proofErr w:type="spellEnd"/>
      <w:r w:rsidRPr="000F4703">
        <w:rPr>
          <w:rFonts w:ascii="Book Antiqua" w:eastAsia="Book Antiqua" w:hAnsi="Book Antiqua" w:cs="Book Antiqua"/>
          <w:b/>
          <w:bCs/>
          <w:color w:val="000000"/>
        </w:rPr>
        <w:t xml:space="preserve">, MD, PhD, Doctor, Professor, Research Fellow, </w:t>
      </w:r>
      <w:r w:rsidRPr="000F4703">
        <w:rPr>
          <w:rFonts w:ascii="Book Antiqua" w:eastAsia="Book Antiqua" w:hAnsi="Book Antiqua" w:cs="Book Antiqua"/>
          <w:color w:val="000000"/>
        </w:rPr>
        <w:t xml:space="preserve">Department of Gastroenterology,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No.</w:t>
      </w:r>
      <w:r w:rsidR="00B234D1" w:rsidRPr="000F4703">
        <w:rPr>
          <w:rFonts w:ascii="Book Antiqua" w:eastAsia="Book Antiqua" w:hAnsi="Book Antiqua" w:cs="Book Antiqua"/>
          <w:color w:val="000000"/>
        </w:rPr>
        <w:t xml:space="preserve"> 36</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Sanhao</w:t>
      </w:r>
      <w:proofErr w:type="spellEnd"/>
      <w:r w:rsidRPr="000F4703">
        <w:rPr>
          <w:rFonts w:ascii="Book Antiqua" w:eastAsia="Book Antiqua" w:hAnsi="Book Antiqua" w:cs="Book Antiqua"/>
          <w:color w:val="000000"/>
        </w:rPr>
        <w:t xml:space="preserve"> Street, Shenyang 110004, Liaoning</w:t>
      </w:r>
      <w:r w:rsidR="00B234D1" w:rsidRPr="000F4703">
        <w:rPr>
          <w:rFonts w:ascii="Book Antiqua" w:eastAsia="Book Antiqua" w:hAnsi="Book Antiqua" w:cs="Book Antiqua"/>
          <w:color w:val="000000"/>
        </w:rPr>
        <w:t xml:space="preserve"> Province</w:t>
      </w:r>
      <w:r w:rsidRPr="000F4703">
        <w:rPr>
          <w:rFonts w:ascii="Book Antiqua" w:eastAsia="Book Antiqua" w:hAnsi="Book Antiqua" w:cs="Book Antiqua"/>
          <w:color w:val="000000"/>
        </w:rPr>
        <w:t xml:space="preserve">, China. </w:t>
      </w:r>
      <w:r w:rsidRPr="000F4703">
        <w:rPr>
          <w:rFonts w:ascii="Book Antiqua" w:eastAsia="Book Antiqua" w:hAnsi="Book Antiqua" w:cs="Book Antiqua"/>
          <w:color w:val="000000"/>
          <w:u w:val="single"/>
        </w:rPr>
        <w:t>guojt@sj-hospital.org</w:t>
      </w:r>
    </w:p>
    <w:p w14:paraId="0A7C1A0A" w14:textId="77777777" w:rsidR="00A77B3E" w:rsidRPr="000F4703" w:rsidRDefault="00A77B3E" w:rsidP="000F4703">
      <w:pPr>
        <w:snapToGrid w:val="0"/>
        <w:spacing w:line="360" w:lineRule="auto"/>
        <w:jc w:val="both"/>
        <w:rPr>
          <w:rFonts w:ascii="Book Antiqua" w:hAnsi="Book Antiqua"/>
        </w:rPr>
      </w:pPr>
    </w:p>
    <w:p w14:paraId="55FFA30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Received: </w:t>
      </w:r>
      <w:r w:rsidRPr="000F4703">
        <w:rPr>
          <w:rFonts w:ascii="Book Antiqua" w:eastAsia="Book Antiqua" w:hAnsi="Book Antiqua" w:cs="Book Antiqua"/>
          <w:color w:val="000000"/>
        </w:rPr>
        <w:t>June 4, 2020</w:t>
      </w:r>
    </w:p>
    <w:p w14:paraId="4B1D7877" w14:textId="11517B44"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Revised: </w:t>
      </w:r>
      <w:r w:rsidR="005D52AF" w:rsidRPr="000F4703">
        <w:rPr>
          <w:rFonts w:ascii="Book Antiqua" w:eastAsia="Book Antiqua" w:hAnsi="Book Antiqua" w:cs="Book Antiqua"/>
          <w:color w:val="000000"/>
        </w:rPr>
        <w:t>August 13, 2020</w:t>
      </w:r>
    </w:p>
    <w:p w14:paraId="44A346EB" w14:textId="12939835" w:rsidR="00A77B3E" w:rsidRPr="00EA4074" w:rsidRDefault="006E3988" w:rsidP="00EA4074">
      <w:pPr>
        <w:snapToGrid w:val="0"/>
        <w:spacing w:line="360" w:lineRule="auto"/>
        <w:rPr>
          <w:rFonts w:ascii="Book Antiqua" w:hAnsi="Book Antiqua" w:cs="Arial"/>
          <w:color w:val="000000" w:themeColor="text1"/>
          <w:shd w:val="clear" w:color="auto" w:fill="FFFFFF"/>
        </w:rPr>
      </w:pPr>
      <w:r w:rsidRPr="000F4703">
        <w:rPr>
          <w:rFonts w:ascii="Book Antiqua" w:eastAsia="Book Antiqua" w:hAnsi="Book Antiqua" w:cs="Book Antiqua"/>
          <w:b/>
          <w:bCs/>
          <w:color w:val="000000"/>
        </w:rPr>
        <w:t xml:space="preserve">Accepted: </w:t>
      </w:r>
      <w:r w:rsidR="00EA4074">
        <w:rPr>
          <w:rFonts w:ascii="Book Antiqua" w:hAnsi="Book Antiqua" w:cs="Arial"/>
          <w:color w:val="000000" w:themeColor="text1"/>
          <w:shd w:val="clear" w:color="auto" w:fill="FFFFFF"/>
        </w:rPr>
        <w:t>September 10, 2020</w:t>
      </w:r>
    </w:p>
    <w:p w14:paraId="46E48F78" w14:textId="71FC720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Published online:</w:t>
      </w:r>
      <w:r w:rsidR="00EF4138">
        <w:rPr>
          <w:rFonts w:ascii="Book Antiqua" w:hAnsi="Book Antiqua" w:cs="Book Antiqua" w:hint="eastAsia"/>
          <w:b/>
          <w:bCs/>
          <w:color w:val="000000"/>
          <w:lang w:eastAsia="zh-CN"/>
        </w:rPr>
        <w:t xml:space="preserve"> </w:t>
      </w:r>
      <w:r w:rsidR="00EF4138" w:rsidRPr="00EF4138">
        <w:rPr>
          <w:rFonts w:ascii="Book Antiqua" w:hAnsi="Book Antiqua" w:cs="Book Antiqua"/>
          <w:bCs/>
          <w:color w:val="000000"/>
          <w:lang w:eastAsia="zh-CN"/>
        </w:rPr>
        <w:t>October 14, 2020</w:t>
      </w:r>
      <w:r w:rsidRPr="000F4703">
        <w:rPr>
          <w:rFonts w:ascii="Book Antiqua" w:eastAsia="Book Antiqua" w:hAnsi="Book Antiqua" w:cs="Book Antiqua"/>
          <w:b/>
          <w:bCs/>
          <w:color w:val="000000"/>
        </w:rPr>
        <w:t xml:space="preserve"> </w:t>
      </w:r>
    </w:p>
    <w:p w14:paraId="4960D03A" w14:textId="77777777" w:rsidR="00A77B3E" w:rsidRPr="000F4703" w:rsidRDefault="00A77B3E" w:rsidP="000F4703">
      <w:pPr>
        <w:snapToGrid w:val="0"/>
        <w:spacing w:line="360" w:lineRule="auto"/>
        <w:jc w:val="both"/>
        <w:rPr>
          <w:rFonts w:ascii="Book Antiqua" w:hAnsi="Book Antiqua"/>
        </w:rPr>
        <w:sectPr w:rsidR="00A77B3E" w:rsidRPr="000F4703" w:rsidSect="00B234D1">
          <w:footerReference w:type="default" r:id="rId8"/>
          <w:pgSz w:w="12240" w:h="15840"/>
          <w:pgMar w:top="1440" w:right="1800" w:bottom="1440" w:left="1800" w:header="720" w:footer="720" w:gutter="0"/>
          <w:cols w:space="720"/>
          <w:docGrid w:linePitch="360"/>
        </w:sectPr>
      </w:pPr>
    </w:p>
    <w:p w14:paraId="22210E8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Abstract</w:t>
      </w:r>
    </w:p>
    <w:p w14:paraId="6937E3A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BACKGROUND</w:t>
      </w:r>
    </w:p>
    <w:p w14:paraId="202572D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People with achalasia typically have a thick lower esophageal muscularis propria (LEMP), and peroral endoscopic myotomy (</w:t>
      </w:r>
      <w:bookmarkStart w:id="2" w:name="OLE_LINK3"/>
      <w:r w:rsidRPr="000F4703">
        <w:rPr>
          <w:rFonts w:ascii="Book Antiqua" w:eastAsia="Book Antiqua" w:hAnsi="Book Antiqua" w:cs="Book Antiqua"/>
          <w:color w:val="000000"/>
        </w:rPr>
        <w:t>POEM</w:t>
      </w:r>
      <w:bookmarkEnd w:id="2"/>
      <w:r w:rsidRPr="000F4703">
        <w:rPr>
          <w:rFonts w:ascii="Book Antiqua" w:eastAsia="Book Antiqua" w:hAnsi="Book Antiqua" w:cs="Book Antiqua"/>
          <w:color w:val="000000"/>
        </w:rPr>
        <w:t>) has been effective in treating most patients. LEMP thickness may be associated with the outcomes and prognosis after POEM. However, more evidence is needed regarding the relationship between LEMP thickness and patient prognosis after POEM.</w:t>
      </w:r>
    </w:p>
    <w:p w14:paraId="57B418B1" w14:textId="77777777" w:rsidR="00A77B3E" w:rsidRPr="000F4703" w:rsidRDefault="00A77B3E" w:rsidP="000F4703">
      <w:pPr>
        <w:snapToGrid w:val="0"/>
        <w:spacing w:line="360" w:lineRule="auto"/>
        <w:jc w:val="both"/>
        <w:rPr>
          <w:rFonts w:ascii="Book Antiqua" w:hAnsi="Book Antiqua"/>
        </w:rPr>
      </w:pPr>
    </w:p>
    <w:p w14:paraId="3324360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AIM</w:t>
      </w:r>
    </w:p>
    <w:p w14:paraId="0F39DB27" w14:textId="0A10C55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To assess the association between LEMP thickness, measured using endoscopic ultrasound (EUS), and long-term prognosis, especially relapse, after</w:t>
      </w:r>
      <w:r w:rsidR="00680A2E">
        <w:rPr>
          <w:rFonts w:ascii="Book Antiqua" w:eastAsia="Book Antiqua" w:hAnsi="Book Antiqua" w:cs="Book Antiqua"/>
          <w:color w:val="000000"/>
        </w:rPr>
        <w:t xml:space="preserve"> </w:t>
      </w:r>
      <w:r w:rsidRPr="000F4703">
        <w:rPr>
          <w:rFonts w:ascii="Book Antiqua" w:eastAsia="Book Antiqua" w:hAnsi="Book Antiqua" w:cs="Book Antiqua"/>
          <w:color w:val="000000"/>
        </w:rPr>
        <w:t>POEM for achalasia.</w:t>
      </w:r>
    </w:p>
    <w:p w14:paraId="39991F84" w14:textId="77777777" w:rsidR="00A77B3E" w:rsidRPr="000F4703" w:rsidRDefault="00A77B3E" w:rsidP="000F4703">
      <w:pPr>
        <w:snapToGrid w:val="0"/>
        <w:spacing w:line="360" w:lineRule="auto"/>
        <w:jc w:val="both"/>
        <w:rPr>
          <w:rFonts w:ascii="Book Antiqua" w:hAnsi="Book Antiqua"/>
        </w:rPr>
      </w:pPr>
    </w:p>
    <w:p w14:paraId="425AD53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METHODS</w:t>
      </w:r>
    </w:p>
    <w:p w14:paraId="31B22C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including EUS data,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LEMP thickness was measured by EUS, and a thickness of ≥ 3 mm was defined as thickened. The severity of patient symptoms was evaluated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Relapse was defined as a 3-point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after a period of clinical remission. The relationship between patient characteristics, muscle thickness, and recurrence was analyzed.</w:t>
      </w:r>
    </w:p>
    <w:p w14:paraId="1B5B0601" w14:textId="77777777" w:rsidR="00A77B3E" w:rsidRPr="000F4703" w:rsidRDefault="00A77B3E" w:rsidP="000F4703">
      <w:pPr>
        <w:snapToGrid w:val="0"/>
        <w:spacing w:line="360" w:lineRule="auto"/>
        <w:jc w:val="both"/>
        <w:rPr>
          <w:rFonts w:ascii="Book Antiqua" w:hAnsi="Book Antiqua"/>
        </w:rPr>
      </w:pPr>
    </w:p>
    <w:p w14:paraId="0E02216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RESULTS</w:t>
      </w:r>
    </w:p>
    <w:p w14:paraId="02C7C8AE" w14:textId="21F93DB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Eighty-two patients (32 males and 50 females, aged 17-78 y</w:t>
      </w:r>
      <w:r w:rsidR="008C6314"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8C6314" w:rsidRPr="000F4703">
        <w:rPr>
          <w:rFonts w:ascii="Book Antiqua" w:eastAsia="Book Antiqua" w:hAnsi="Book Antiqua" w:cs="Book Antiqua"/>
          <w:color w:val="000000"/>
        </w:rPr>
        <w:t>s</w:t>
      </w:r>
      <w:r w:rsidRPr="000F4703">
        <w:rPr>
          <w:rFonts w:ascii="Book Antiqua" w:eastAsia="Book Antiqua" w:hAnsi="Book Antiqua" w:cs="Book Antiqua"/>
          <w:color w:val="000000"/>
        </w:rPr>
        <w:t>) and 85 POEM procedures were included. In total, 76.8% (63/82 patients) of patients had a thickened muscularis propria. Older age and longer disease course were associated with muscularis propria thickening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 xml:space="preserve">&lt; 0.05). The mean postoperative follow-up time was 35.4 ± 17.2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(range, 8-87.5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in 60 patients. </w:t>
      </w:r>
      <w:r w:rsidRPr="000F4703">
        <w:rPr>
          <w:rFonts w:ascii="Book Antiqua" w:eastAsia="Book Antiqua" w:hAnsi="Book Antiqua" w:cs="Book Antiqua"/>
          <w:color w:val="000000"/>
        </w:rPr>
        <w:lastRenderedPageBreak/>
        <w:t xml:space="preserve">Five patients with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scores &gt; 3 refused further management after their symptoms were relieved. The relapse rate was 12.73% (7/55 cases). Five patients, four of whom had muscularis propria thickening, had disease recurrence within 12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after the procedure. Achalasia relapsed in one patient who had a thickened </w:t>
      </w:r>
      <w:proofErr w:type="spellStart"/>
      <w:r w:rsidRPr="000F4703">
        <w:rPr>
          <w:rFonts w:ascii="Book Antiqua" w:eastAsia="Book Antiqua" w:hAnsi="Book Antiqua" w:cs="Book Antiqua"/>
          <w:color w:val="000000"/>
        </w:rPr>
        <w:t>muscularis</w:t>
      </w:r>
      <w:proofErr w:type="spellEnd"/>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propria</w:t>
      </w:r>
      <w:proofErr w:type="spellEnd"/>
      <w:r w:rsidRPr="000F4703">
        <w:rPr>
          <w:rFonts w:ascii="Book Antiqua" w:eastAsia="Book Antiqua" w:hAnsi="Book Antiqua" w:cs="Book Antiqua"/>
          <w:color w:val="000000"/>
        </w:rPr>
        <w:t xml:space="preserve"> after 24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and in another patient</w:t>
      </w:r>
      <w:r w:rsidR="00680A2E">
        <w:rPr>
          <w:rFonts w:ascii="Book Antiqua" w:eastAsia="Book Antiqua" w:hAnsi="Book Antiqua" w:cs="Book Antiqua"/>
          <w:color w:val="000000"/>
        </w:rPr>
        <w:t xml:space="preserve"> </w:t>
      </w:r>
      <w:r w:rsidRPr="000F4703">
        <w:rPr>
          <w:rFonts w:ascii="Book Antiqua" w:eastAsia="Book Antiqua" w:hAnsi="Book Antiqua" w:cs="Book Antiqua"/>
          <w:color w:val="000000"/>
        </w:rPr>
        <w:t>who did not have a thickened muscularis propria after 30 mo. Patients with recurrence were typically younger and had a shorter disease course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 xml:space="preserve">&lt; 0.05). The relapse rate in patients with a non-thickened muscularis propria tended to be higher (18.2%, 2/11 patients) than that in patients with a thickened muscularis propria (11.4%, 5/44 patients), although no significant difference was found. Age </w:t>
      </w:r>
      <w:r w:rsidR="00B234D1" w:rsidRPr="000F4703">
        <w:rPr>
          <w:rFonts w:ascii="Book Antiqua" w:eastAsia="Book Antiqua" w:hAnsi="Book Antiqua" w:cs="Book Antiqua"/>
          <w:color w:val="000000"/>
        </w:rPr>
        <w:t>(</w:t>
      </w:r>
      <w:r w:rsidRPr="000F4703">
        <w:rPr>
          <w:rFonts w:ascii="Book Antiqua" w:eastAsia="Book Antiqua" w:hAnsi="Book Antiqua" w:cs="Book Antiqua"/>
          <w:color w:val="000000"/>
        </w:rPr>
        <w:t>hazard ratio</w:t>
      </w:r>
      <w:r w:rsidR="00680A2E">
        <w:rPr>
          <w:rFonts w:ascii="Book Antiqua" w:eastAsia="Book Antiqua" w:hAnsi="Book Antiqua" w:cs="Book Antiqua"/>
          <w:color w:val="000000"/>
        </w:rPr>
        <w:t xml:space="preserve"> =</w:t>
      </w:r>
      <w:r w:rsidR="00680A2E" w:rsidRPr="000F4703">
        <w:rPr>
          <w:rFonts w:ascii="Book Antiqua" w:eastAsia="Book Antiqua" w:hAnsi="Book Antiqua" w:cs="Book Antiqua"/>
          <w:color w:val="000000"/>
        </w:rPr>
        <w:t xml:space="preserve"> </w:t>
      </w:r>
      <w:r w:rsidR="00B234D1"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being male (</w:t>
      </w:r>
      <w:r w:rsidR="0075264B" w:rsidRPr="000F4703">
        <w:rPr>
          <w:rFonts w:ascii="Book Antiqua" w:eastAsia="Book Antiqua" w:hAnsi="Book Antiqua" w:cs="Book Antiqua"/>
          <w:color w:val="000000"/>
        </w:rPr>
        <w:t>hazard ratio</w:t>
      </w:r>
      <w:r w:rsidR="00680A2E">
        <w:rPr>
          <w:rFonts w:ascii="Book Antiqua" w:eastAsia="Book Antiqua" w:hAnsi="Book Antiqua" w:cs="Book Antiqua"/>
          <w:color w:val="000000"/>
        </w:rPr>
        <w:t xml:space="preserve"> = </w:t>
      </w:r>
      <w:r w:rsidRPr="000F4703">
        <w:rPr>
          <w:rFonts w:ascii="Book Antiqua" w:eastAsia="Book Antiqua" w:hAnsi="Book Antiqua" w:cs="Book Antiqua"/>
          <w:color w:val="000000"/>
        </w:rPr>
        <w:t>7.173; 95%</w:t>
      </w:r>
      <w:r w:rsidR="00930A49" w:rsidRPr="000F4703">
        <w:rPr>
          <w:rFonts w:ascii="Book Antiqua" w:eastAsia="Book Antiqua" w:hAnsi="Book Antiqua" w:cs="Book Antiqua"/>
          <w:color w:val="000000"/>
        </w:rPr>
        <w:t xml:space="preserve"> </w:t>
      </w:r>
      <w:r w:rsidR="0075264B" w:rsidRPr="000F4703">
        <w:rPr>
          <w:rFonts w:ascii="Book Antiqua" w:eastAsia="Book Antiqua" w:hAnsi="Book Antiqua" w:cs="Book Antiqua"/>
          <w:color w:val="000000"/>
        </w:rPr>
        <w:t>confidence interval</w:t>
      </w:r>
      <w:r w:rsidR="00B234D1" w:rsidRPr="000F4703">
        <w:rPr>
          <w:rFonts w:ascii="Book Antiqua" w:hAnsi="Book Antiqua" w:cs="Book Antiqua"/>
          <w:color w:val="000000"/>
          <w:lang w:eastAsia="zh-CN"/>
        </w:rPr>
        <w:t>:</w:t>
      </w:r>
      <w:r w:rsidRPr="000F4703">
        <w:rPr>
          <w:rFonts w:ascii="Book Antiqua" w:eastAsia="Book Antiqua" w:hAnsi="Book Antiqua" w:cs="Book Antiqua"/>
          <w:color w:val="000000"/>
        </w:rPr>
        <w:t xml:space="preserve"> 1.277-40.286;</w:t>
      </w:r>
      <w:r w:rsidRPr="000F4703">
        <w:rPr>
          <w:rFonts w:ascii="Book Antiqua" w:eastAsia="Book Antiqua" w:hAnsi="Book Antiqua" w:cs="Book Antiqua"/>
          <w:i/>
          <w:iCs/>
          <w:color w:val="000000"/>
        </w:rPr>
        <w:t xml:space="preserve"> P</w:t>
      </w:r>
      <w:r w:rsidRPr="000F4703">
        <w:rPr>
          <w:rFonts w:ascii="Book Antiqua" w:eastAsia="Book Antiqua" w:hAnsi="Book Antiqua" w:cs="Book Antiqua"/>
          <w:color w:val="000000"/>
        </w:rPr>
        <w:t xml:space="preserve"> &lt; 0.05) were identified as risk factors for symptomatic recurrence by multivariable analysis using the Cox model.</w:t>
      </w:r>
    </w:p>
    <w:p w14:paraId="456A7C66" w14:textId="77777777" w:rsidR="00A77B3E" w:rsidRPr="000F4703" w:rsidRDefault="00A77B3E" w:rsidP="000F4703">
      <w:pPr>
        <w:snapToGrid w:val="0"/>
        <w:spacing w:line="360" w:lineRule="auto"/>
        <w:jc w:val="both"/>
        <w:rPr>
          <w:rFonts w:ascii="Book Antiqua" w:hAnsi="Book Antiqua"/>
        </w:rPr>
      </w:pPr>
    </w:p>
    <w:p w14:paraId="21332FF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CONCLUSION</w:t>
      </w:r>
    </w:p>
    <w:p w14:paraId="43C32E0E" w14:textId="45BBB7A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Patients with a thickened muscularis </w:t>
      </w:r>
      <w:r w:rsidR="00680A2E">
        <w:rPr>
          <w:rFonts w:ascii="Book Antiqua" w:eastAsia="Book Antiqua" w:hAnsi="Book Antiqua" w:cs="Book Antiqua"/>
          <w:color w:val="000000"/>
        </w:rPr>
        <w:t>are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w:t>
      </w:r>
      <w:r w:rsidR="00680A2E" w:rsidRPr="000F4703">
        <w:rPr>
          <w:rFonts w:ascii="Book Antiqua" w:eastAsia="Book Antiqua" w:hAnsi="Book Antiqua" w:cs="Book Antiqua"/>
          <w:color w:val="000000"/>
        </w:rPr>
        <w:t>ha</w:t>
      </w:r>
      <w:r w:rsidR="00680A2E">
        <w:rPr>
          <w:rFonts w:ascii="Book Antiqua" w:eastAsia="Book Antiqua" w:hAnsi="Book Antiqua" w:cs="Book Antiqua"/>
          <w:color w:val="000000"/>
        </w:rPr>
        <w:t>ve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longer disease course. Younger age and the male sex </w:t>
      </w:r>
      <w:r w:rsidR="00680A2E">
        <w:rPr>
          <w:rFonts w:ascii="Book Antiqua" w:eastAsia="Book Antiqua" w:hAnsi="Book Antiqua" w:cs="Book Antiqua"/>
          <w:color w:val="000000"/>
        </w:rPr>
        <w:t>are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increased recurrence. Patients with a thin muscularis propria may be prone to relapse, although further validation is needed.</w:t>
      </w:r>
    </w:p>
    <w:p w14:paraId="31CAB271" w14:textId="77777777" w:rsidR="00A77B3E" w:rsidRPr="000F4703" w:rsidRDefault="00A77B3E" w:rsidP="000F4703">
      <w:pPr>
        <w:snapToGrid w:val="0"/>
        <w:spacing w:line="360" w:lineRule="auto"/>
        <w:jc w:val="both"/>
        <w:rPr>
          <w:rFonts w:ascii="Book Antiqua" w:hAnsi="Book Antiqua"/>
        </w:rPr>
      </w:pPr>
    </w:p>
    <w:p w14:paraId="482C6D58" w14:textId="4DDCEE8F"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Key </w:t>
      </w:r>
      <w:r w:rsidRPr="008F077F">
        <w:rPr>
          <w:rFonts w:ascii="Book Antiqua" w:eastAsia="Book Antiqua" w:hAnsi="Book Antiqua" w:cs="Book Antiqua"/>
          <w:b/>
          <w:bCs/>
          <w:caps/>
          <w:color w:val="000000"/>
        </w:rPr>
        <w:t>w</w:t>
      </w:r>
      <w:r w:rsidRPr="000F4703">
        <w:rPr>
          <w:rFonts w:ascii="Book Antiqua" w:eastAsia="Book Antiqua" w:hAnsi="Book Antiqua" w:cs="Book Antiqua"/>
          <w:b/>
          <w:bCs/>
          <w:color w:val="000000"/>
        </w:rPr>
        <w:t xml:space="preserve">ords: </w:t>
      </w:r>
      <w:r w:rsidRPr="000F4703">
        <w:rPr>
          <w:rFonts w:ascii="Book Antiqua" w:eastAsia="Book Antiqua" w:hAnsi="Book Antiqua" w:cs="Book Antiqua"/>
          <w:color w:val="000000"/>
        </w:rPr>
        <w:t xml:space="preserve">Peroral endoscopic myotomy; </w:t>
      </w:r>
      <w:r w:rsidR="00930A49" w:rsidRPr="000F4703">
        <w:rPr>
          <w:rFonts w:ascii="Book Antiqua" w:eastAsia="Book Antiqua" w:hAnsi="Book Antiqua" w:cs="Book Antiqua"/>
          <w:color w:val="000000"/>
        </w:rPr>
        <w:t>A</w:t>
      </w:r>
      <w:r w:rsidRPr="000F4703">
        <w:rPr>
          <w:rFonts w:ascii="Book Antiqua" w:eastAsia="Book Antiqua" w:hAnsi="Book Antiqua" w:cs="Book Antiqua"/>
          <w:color w:val="000000"/>
        </w:rPr>
        <w:t xml:space="preserve">chalasia; </w:t>
      </w:r>
      <w:r w:rsidR="00930A49" w:rsidRPr="000F4703">
        <w:rPr>
          <w:rFonts w:ascii="Book Antiqua" w:eastAsia="Book Antiqua" w:hAnsi="Book Antiqua" w:cs="Book Antiqua"/>
          <w:color w:val="000000"/>
        </w:rPr>
        <w:t>E</w:t>
      </w:r>
      <w:r w:rsidRPr="000F4703">
        <w:rPr>
          <w:rFonts w:ascii="Book Antiqua" w:eastAsia="Book Antiqua" w:hAnsi="Book Antiqua" w:cs="Book Antiqua"/>
          <w:color w:val="000000"/>
        </w:rPr>
        <w:t>ndoscopic ultrasound</w:t>
      </w:r>
    </w:p>
    <w:p w14:paraId="6B6BB011" w14:textId="77777777" w:rsidR="00A77B3E" w:rsidRPr="000F4703" w:rsidRDefault="00A77B3E" w:rsidP="000F4703">
      <w:pPr>
        <w:snapToGrid w:val="0"/>
        <w:spacing w:line="360" w:lineRule="auto"/>
        <w:jc w:val="both"/>
        <w:rPr>
          <w:rFonts w:ascii="Book Antiqua" w:hAnsi="Book Antiqua"/>
        </w:rPr>
      </w:pPr>
    </w:p>
    <w:p w14:paraId="61C4C11C" w14:textId="699A747D" w:rsidR="00EF4138" w:rsidRPr="00EF4138" w:rsidRDefault="006E3988" w:rsidP="000F4703">
      <w:pPr>
        <w:snapToGrid w:val="0"/>
        <w:spacing w:line="360" w:lineRule="auto"/>
        <w:jc w:val="both"/>
        <w:rPr>
          <w:rFonts w:ascii="Book Antiqua" w:hAnsi="Book Antiqua" w:cs="Book Antiqua"/>
          <w:color w:val="000000"/>
          <w:lang w:eastAsia="zh-CN"/>
        </w:rPr>
      </w:pPr>
      <w:bookmarkStart w:id="3" w:name="OLE_LINK4"/>
      <w:bookmarkStart w:id="4" w:name="OLE_LINK5"/>
      <w:r w:rsidRPr="000F4703">
        <w:rPr>
          <w:rFonts w:ascii="Book Antiqua" w:eastAsia="Book Antiqua" w:hAnsi="Book Antiqua" w:cs="Book Antiqua"/>
          <w:color w:val="000000"/>
        </w:rPr>
        <w:t xml:space="preserve">Liao Y, Xiao TY, Wu YF, Zhang JJ, Zhang BZ, Wang YD, Wang S, Liu X, Sun SY, Guo JT. </w:t>
      </w:r>
      <w:r w:rsidR="008F077F" w:rsidRPr="008F077F">
        <w:rPr>
          <w:rFonts w:ascii="Book Antiqua" w:eastAsia="Book Antiqua" w:hAnsi="Book Antiqua" w:cs="Book Antiqua"/>
          <w:color w:val="000000"/>
        </w:rPr>
        <w:t>Endoscopic ultrasound-measured muscular thickness of the lower esophageal sphincter and long-term prognosis after peroral endoscopic myotomy</w:t>
      </w:r>
      <w:r w:rsidR="00661925">
        <w:rPr>
          <w:rFonts w:ascii="Book Antiqua" w:eastAsia="Book Antiqua" w:hAnsi="Book Antiqua" w:cs="Book Antiqua"/>
          <w:color w:val="000000"/>
        </w:rPr>
        <w:t xml:space="preserve"> for a</w:t>
      </w:r>
      <w:r w:rsidR="00661925" w:rsidRPr="000F4703">
        <w:rPr>
          <w:rFonts w:ascii="Book Antiqua" w:eastAsia="Book Antiqua" w:hAnsi="Book Antiqua" w:cs="Book Antiqua"/>
          <w:color w:val="000000"/>
        </w:rPr>
        <w:t>chalasia</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 xml:space="preserve">World J </w:t>
      </w:r>
      <w:proofErr w:type="spellStart"/>
      <w:r w:rsidRPr="000F4703">
        <w:rPr>
          <w:rFonts w:ascii="Book Antiqua" w:eastAsia="Book Antiqua" w:hAnsi="Book Antiqua" w:cs="Book Antiqua"/>
          <w:i/>
          <w:iCs/>
          <w:color w:val="000000"/>
        </w:rPr>
        <w:t>Gastroenterol</w:t>
      </w:r>
      <w:proofErr w:type="spellEnd"/>
      <w:r w:rsidRPr="000F4703">
        <w:rPr>
          <w:rFonts w:ascii="Book Antiqua" w:eastAsia="Book Antiqua" w:hAnsi="Book Antiqua" w:cs="Book Antiqua"/>
          <w:color w:val="000000"/>
        </w:rPr>
        <w:t xml:space="preserve"> </w:t>
      </w:r>
      <w:r w:rsidR="00EF4138" w:rsidRPr="00EF4138">
        <w:rPr>
          <w:rFonts w:ascii="Book Antiqua" w:eastAsia="Book Antiqua" w:hAnsi="Book Antiqua" w:cs="Book Antiqua"/>
          <w:color w:val="000000"/>
        </w:rPr>
        <w:t>20</w:t>
      </w:r>
      <w:bookmarkStart w:id="5" w:name="_GoBack"/>
      <w:bookmarkEnd w:id="5"/>
      <w:r w:rsidR="00EF4138" w:rsidRPr="00EF4138">
        <w:rPr>
          <w:rFonts w:ascii="Book Antiqua" w:eastAsia="Book Antiqua" w:hAnsi="Book Antiqua" w:cs="Book Antiqua"/>
          <w:color w:val="000000"/>
        </w:rPr>
        <w:t xml:space="preserve">20; 26(38): </w:t>
      </w:r>
      <w:r w:rsidR="00EF4138">
        <w:rPr>
          <w:rFonts w:ascii="Book Antiqua" w:hAnsi="Book Antiqua" w:cs="Book Antiqua" w:hint="eastAsia"/>
          <w:color w:val="000000"/>
          <w:lang w:eastAsia="zh-CN"/>
        </w:rPr>
        <w:t>586</w:t>
      </w:r>
      <w:r w:rsidR="00146CCC">
        <w:rPr>
          <w:rFonts w:ascii="Book Antiqua" w:hAnsi="Book Antiqua" w:cs="Book Antiqua" w:hint="eastAsia"/>
          <w:color w:val="000000"/>
          <w:lang w:eastAsia="zh-CN"/>
        </w:rPr>
        <w:t>3</w:t>
      </w:r>
      <w:r w:rsidR="00EF4138" w:rsidRPr="00EF4138">
        <w:rPr>
          <w:rFonts w:ascii="Book Antiqua" w:eastAsia="Book Antiqua" w:hAnsi="Book Antiqua" w:cs="Book Antiqua"/>
          <w:color w:val="000000"/>
        </w:rPr>
        <w:t>-</w:t>
      </w:r>
      <w:r w:rsidR="00EF4138">
        <w:rPr>
          <w:rFonts w:ascii="Book Antiqua" w:hAnsi="Book Antiqua" w:cs="Book Antiqua" w:hint="eastAsia"/>
          <w:color w:val="000000"/>
          <w:lang w:eastAsia="zh-CN"/>
        </w:rPr>
        <w:t>587</w:t>
      </w:r>
      <w:r w:rsidR="00146CCC">
        <w:rPr>
          <w:rFonts w:ascii="Book Antiqua" w:hAnsi="Book Antiqua" w:cs="Book Antiqua" w:hint="eastAsia"/>
          <w:color w:val="000000"/>
          <w:lang w:eastAsia="zh-CN"/>
        </w:rPr>
        <w:t>3</w:t>
      </w:r>
    </w:p>
    <w:p w14:paraId="7F3B3006" w14:textId="24A4D1C4" w:rsidR="00EF4138" w:rsidRDefault="00EF4138" w:rsidP="000F4703">
      <w:pPr>
        <w:snapToGrid w:val="0"/>
        <w:spacing w:line="360" w:lineRule="auto"/>
        <w:jc w:val="both"/>
        <w:rPr>
          <w:rFonts w:ascii="Book Antiqua" w:hAnsi="Book Antiqua" w:cs="Book Antiqua"/>
          <w:color w:val="000000"/>
          <w:lang w:eastAsia="zh-CN"/>
        </w:rPr>
      </w:pPr>
      <w:r w:rsidRPr="00EF4138">
        <w:rPr>
          <w:rFonts w:ascii="Book Antiqua" w:eastAsia="Book Antiqua" w:hAnsi="Book Antiqua" w:cs="Book Antiqua"/>
          <w:color w:val="000000"/>
        </w:rPr>
        <w:t>URL: https://www.wjgnet.com/1007-9327/full/v26/i38/</w:t>
      </w:r>
      <w:r>
        <w:rPr>
          <w:rFonts w:ascii="Book Antiqua" w:hAnsi="Book Antiqua" w:cs="Book Antiqua" w:hint="eastAsia"/>
          <w:color w:val="000000"/>
          <w:lang w:eastAsia="zh-CN"/>
        </w:rPr>
        <w:t>586</w:t>
      </w:r>
      <w:r w:rsidR="00146CCC">
        <w:rPr>
          <w:rFonts w:ascii="Book Antiqua" w:hAnsi="Book Antiqua" w:cs="Book Antiqua" w:hint="eastAsia"/>
          <w:color w:val="000000"/>
          <w:lang w:eastAsia="zh-CN"/>
        </w:rPr>
        <w:t>3</w:t>
      </w:r>
      <w:r w:rsidRPr="00EF4138">
        <w:rPr>
          <w:rFonts w:ascii="Book Antiqua" w:eastAsia="Book Antiqua" w:hAnsi="Book Antiqua" w:cs="Book Antiqua"/>
          <w:color w:val="000000"/>
        </w:rPr>
        <w:t>.htm</w:t>
      </w:r>
    </w:p>
    <w:p w14:paraId="1D4E79FC" w14:textId="1FEF4CEA" w:rsidR="00A77B3E" w:rsidRPr="000F4703" w:rsidRDefault="00EF4138" w:rsidP="000F4703">
      <w:pPr>
        <w:snapToGrid w:val="0"/>
        <w:spacing w:line="360" w:lineRule="auto"/>
        <w:jc w:val="both"/>
        <w:rPr>
          <w:rFonts w:ascii="Book Antiqua" w:hAnsi="Book Antiqua"/>
        </w:rPr>
      </w:pPr>
      <w:r w:rsidRPr="00EF4138">
        <w:rPr>
          <w:rFonts w:ascii="Book Antiqua" w:eastAsia="Book Antiqua" w:hAnsi="Book Antiqua" w:cs="Book Antiqua"/>
          <w:color w:val="000000"/>
        </w:rPr>
        <w:t>DOI: https://dx.doi.org/10.3748/wjg.v26.i38.</w:t>
      </w:r>
      <w:r>
        <w:rPr>
          <w:rFonts w:ascii="Book Antiqua" w:hAnsi="Book Antiqua" w:cs="Book Antiqua" w:hint="eastAsia"/>
          <w:color w:val="000000"/>
          <w:lang w:eastAsia="zh-CN"/>
        </w:rPr>
        <w:t>586</w:t>
      </w:r>
      <w:r w:rsidR="00146CCC">
        <w:rPr>
          <w:rFonts w:ascii="Book Antiqua" w:hAnsi="Book Antiqua" w:cs="Book Antiqua" w:hint="eastAsia"/>
          <w:color w:val="000000"/>
          <w:lang w:eastAsia="zh-CN"/>
        </w:rPr>
        <w:t>3</w:t>
      </w:r>
    </w:p>
    <w:bookmarkEnd w:id="3"/>
    <w:bookmarkEnd w:id="4"/>
    <w:p w14:paraId="66AA6B1F" w14:textId="77777777" w:rsidR="00A77B3E" w:rsidRPr="000F4703" w:rsidRDefault="00A77B3E" w:rsidP="000F4703">
      <w:pPr>
        <w:snapToGrid w:val="0"/>
        <w:spacing w:line="360" w:lineRule="auto"/>
        <w:jc w:val="both"/>
        <w:rPr>
          <w:rFonts w:ascii="Book Antiqua" w:hAnsi="Book Antiqua"/>
        </w:rPr>
      </w:pPr>
    </w:p>
    <w:p w14:paraId="32DC7568" w14:textId="6BFE365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Core </w:t>
      </w:r>
      <w:r w:rsidRPr="00E16DBD">
        <w:rPr>
          <w:rFonts w:ascii="Book Antiqua" w:eastAsia="Book Antiqua" w:hAnsi="Book Antiqua" w:cs="Book Antiqua"/>
          <w:b/>
          <w:bCs/>
          <w:caps/>
          <w:color w:val="000000"/>
        </w:rPr>
        <w:t>t</w:t>
      </w:r>
      <w:r w:rsidRPr="000F4703">
        <w:rPr>
          <w:rFonts w:ascii="Book Antiqua" w:eastAsia="Book Antiqua" w:hAnsi="Book Antiqua" w:cs="Book Antiqua"/>
          <w:b/>
          <w:bCs/>
          <w:color w:val="000000"/>
        </w:rPr>
        <w:t xml:space="preserve">ip: </w:t>
      </w:r>
      <w:bookmarkStart w:id="6" w:name="OLE_LINK6"/>
      <w:bookmarkStart w:id="7" w:name="OLE_LINK11"/>
      <w:r w:rsidRPr="000F4703">
        <w:rPr>
          <w:rFonts w:ascii="Book Antiqua" w:eastAsia="Book Antiqua" w:hAnsi="Book Antiqua" w:cs="Book Antiqua"/>
          <w:color w:val="000000"/>
        </w:rPr>
        <w:t xml:space="preserve">This study investigated the clinical significance of lower esophageal muscularis propria (LEMP) thickness in achalasia patients. We retrospectively enrolled 82 patients who underwent peroral endoscopic myotomy (POEM) at our center. The results showed that </w:t>
      </w:r>
      <w:r w:rsidR="00930A49" w:rsidRPr="000F4703">
        <w:rPr>
          <w:rFonts w:ascii="Book Antiqua" w:eastAsia="Book Antiqua" w:hAnsi="Book Antiqua" w:cs="Book Antiqua"/>
          <w:color w:val="000000"/>
        </w:rPr>
        <w:t>endoscopic ultrasound</w:t>
      </w:r>
      <w:r w:rsidRPr="000F4703">
        <w:rPr>
          <w:rFonts w:ascii="Book Antiqua" w:eastAsia="Book Antiqua" w:hAnsi="Book Antiqua" w:cs="Book Antiqua"/>
          <w:color w:val="000000"/>
        </w:rPr>
        <w:t xml:space="preserve">-measured LEMP thickness may help diagnose achalasia and predict long-term prognosis after POEM. Patients with a thickened muscularis were typically older and had a longer disease course. Younger age and male gender </w:t>
      </w:r>
      <w:r w:rsidR="00680A2E">
        <w:rPr>
          <w:rFonts w:ascii="Book Antiqua" w:eastAsia="Book Antiqua" w:hAnsi="Book Antiqua" w:cs="Book Antiqua"/>
          <w:color w:val="000000"/>
        </w:rPr>
        <w:t>were</w:t>
      </w:r>
      <w:r w:rsidR="00680A2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risk factors for recurrence. Achalasia </w:t>
      </w:r>
      <w:r w:rsidR="00680A2E">
        <w:rPr>
          <w:rFonts w:ascii="Book Antiqua" w:eastAsia="Book Antiqua" w:hAnsi="Book Antiqua" w:cs="Book Antiqua"/>
          <w:color w:val="000000"/>
        </w:rPr>
        <w:t xml:space="preserve">was </w:t>
      </w:r>
      <w:r w:rsidRPr="000F4703">
        <w:rPr>
          <w:rFonts w:ascii="Book Antiqua" w:eastAsia="Book Antiqua" w:hAnsi="Book Antiqua" w:cs="Book Antiqua"/>
          <w:color w:val="000000"/>
        </w:rPr>
        <w:t>more likely to relapse after POEM in patients with a thin LEMP, although further validation is needed.</w:t>
      </w:r>
    </w:p>
    <w:bookmarkEnd w:id="6"/>
    <w:bookmarkEnd w:id="7"/>
    <w:p w14:paraId="4E90D4E5" w14:textId="77777777" w:rsidR="00A77B3E" w:rsidRPr="000F4703" w:rsidRDefault="00A77B3E" w:rsidP="000F4703">
      <w:pPr>
        <w:snapToGrid w:val="0"/>
        <w:spacing w:line="360" w:lineRule="auto"/>
        <w:jc w:val="both"/>
        <w:rPr>
          <w:rFonts w:ascii="Book Antiqua" w:hAnsi="Book Antiqua"/>
        </w:rPr>
      </w:pPr>
    </w:p>
    <w:p w14:paraId="25444549" w14:textId="2B0E64DB" w:rsidR="00A77B3E" w:rsidRPr="000F4703" w:rsidRDefault="00930A49"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br w:type="page"/>
      </w:r>
      <w:r w:rsidR="006E3988" w:rsidRPr="000F4703">
        <w:rPr>
          <w:rFonts w:ascii="Book Antiqua" w:eastAsia="Book Antiqua" w:hAnsi="Book Antiqua" w:cs="Book Antiqua"/>
          <w:b/>
          <w:caps/>
          <w:color w:val="000000"/>
          <w:u w:val="single"/>
        </w:rPr>
        <w:lastRenderedPageBreak/>
        <w:t>INTRODUCTION</w:t>
      </w:r>
    </w:p>
    <w:p w14:paraId="4722D12B" w14:textId="160ECDA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Achalasia is currently the most common primary esophageal motility </w:t>
      </w:r>
      <w:proofErr w:type="gramStart"/>
      <w:r w:rsidRPr="000F4703">
        <w:rPr>
          <w:rFonts w:ascii="Book Antiqua" w:eastAsia="Book Antiqua" w:hAnsi="Book Antiqua" w:cs="Book Antiqua"/>
          <w:color w:val="000000"/>
        </w:rPr>
        <w:t>disease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w:t>
      </w:r>
      <w:r w:rsidRPr="000F4703">
        <w:rPr>
          <w:rFonts w:ascii="Book Antiqua" w:eastAsia="Book Antiqua" w:hAnsi="Book Antiqua" w:cs="Book Antiqua"/>
          <w:color w:val="000000"/>
        </w:rPr>
        <w:t xml:space="preserve">. While its etiology remains uncertain, </w:t>
      </w:r>
      <w:r w:rsidR="004C0B77">
        <w:rPr>
          <w:rFonts w:ascii="Book Antiqua" w:eastAsia="Book Antiqua" w:hAnsi="Book Antiqua" w:cs="Book Antiqua"/>
          <w:color w:val="000000"/>
        </w:rPr>
        <w:t>a</w:t>
      </w:r>
      <w:r w:rsidR="004C0B77" w:rsidRPr="000F4703">
        <w:rPr>
          <w:rFonts w:ascii="Book Antiqua" w:eastAsia="Book Antiqua" w:hAnsi="Book Antiqua" w:cs="Book Antiqua"/>
          <w:color w:val="000000"/>
        </w:rPr>
        <w:t>chalasia</w:t>
      </w:r>
      <w:r w:rsidR="004C0B77" w:rsidRPr="000F4703" w:rsidDel="004C0B77">
        <w:rPr>
          <w:rFonts w:ascii="Book Antiqua" w:eastAsia="Book Antiqua" w:hAnsi="Book Antiqua" w:cs="Book Antiqua"/>
          <w:color w:val="000000"/>
        </w:rPr>
        <w:t xml:space="preserve"> </w:t>
      </w:r>
      <w:r w:rsidRPr="000F4703">
        <w:rPr>
          <w:rFonts w:ascii="Book Antiqua" w:eastAsia="Book Antiqua" w:hAnsi="Book Antiqua" w:cs="Book Antiqua"/>
          <w:color w:val="000000"/>
        </w:rPr>
        <w:t>is characterized by the destruction of inhibitory ganglion cells in the myenteric plexus, causing severe myopathy in smooth muscles</w:t>
      </w:r>
      <w:r w:rsidR="004C0B77">
        <w:rPr>
          <w:rFonts w:ascii="Book Antiqua" w:eastAsia="Book Antiqua" w:hAnsi="Book Antiqua" w:cs="Book Antiqua"/>
          <w:color w:val="000000"/>
        </w:rPr>
        <w:t xml:space="preserve"> and</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leading to aperistalsis and impaired relaxation of the lower esophageal sphincter (LES)</w:t>
      </w:r>
      <w:r w:rsidRPr="000F4703">
        <w:rPr>
          <w:rFonts w:ascii="Book Antiqua" w:eastAsia="Book Antiqua" w:hAnsi="Book Antiqua" w:cs="Book Antiqua"/>
          <w:color w:val="000000"/>
          <w:vertAlign w:val="superscript"/>
        </w:rPr>
        <w:t>[1,2]</w:t>
      </w:r>
      <w:r w:rsidRPr="000F4703">
        <w:rPr>
          <w:rFonts w:ascii="Book Antiqua" w:eastAsia="Book Antiqua" w:hAnsi="Book Antiqua" w:cs="Book Antiqua"/>
          <w:color w:val="000000"/>
        </w:rPr>
        <w:t xml:space="preserve">. In addition, thickened lower esophageal muscularis propria (LEMP) has been observed in individuals with achalasia </w:t>
      </w:r>
      <w:r w:rsidRPr="000F4703">
        <w:rPr>
          <w:rFonts w:ascii="Book Antiqua" w:eastAsia="Book Antiqua" w:hAnsi="Book Antiqua" w:cs="Book Antiqua"/>
          <w:i/>
          <w:iCs/>
          <w:color w:val="000000"/>
        </w:rPr>
        <w:t>in vivo</w:t>
      </w:r>
      <w:r w:rsidRPr="000F4703">
        <w:rPr>
          <w:rFonts w:ascii="Book Antiqua" w:eastAsia="Book Antiqua" w:hAnsi="Book Antiqua" w:cs="Book Antiqua"/>
          <w:color w:val="000000"/>
        </w:rPr>
        <w:t xml:space="preserve"> and during </w:t>
      </w:r>
      <w:proofErr w:type="gramStart"/>
      <w:r w:rsidRPr="000F4703">
        <w:rPr>
          <w:rFonts w:ascii="Book Antiqua" w:eastAsia="Book Antiqua" w:hAnsi="Book Antiqua" w:cs="Book Antiqua"/>
          <w:color w:val="000000"/>
        </w:rPr>
        <w:t>autopsies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3-7]</w:t>
      </w:r>
      <w:r w:rsidRPr="000F4703">
        <w:rPr>
          <w:rFonts w:ascii="Book Antiqua" w:eastAsia="Book Antiqua" w:hAnsi="Book Antiqua" w:cs="Book Antiqua"/>
          <w:color w:val="000000"/>
        </w:rPr>
        <w:t xml:space="preserve">. LEMP hypertrophy may be a response to esophageal functional obstruction or a primary </w:t>
      </w:r>
      <w:proofErr w:type="gramStart"/>
      <w:r w:rsidRPr="000F4703">
        <w:rPr>
          <w:rFonts w:ascii="Book Antiqua" w:eastAsia="Book Antiqua" w:hAnsi="Book Antiqua" w:cs="Book Antiqua"/>
          <w:color w:val="000000"/>
        </w:rPr>
        <w:t>lesion</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w:t>
      </w:r>
      <w:r w:rsidRPr="000F4703">
        <w:rPr>
          <w:rFonts w:ascii="Book Antiqua" w:eastAsia="Book Antiqua" w:hAnsi="Book Antiqua" w:cs="Book Antiqua"/>
          <w:color w:val="000000"/>
        </w:rPr>
        <w:t>. Hence, LEMP thickness is thought to be associated with the disease state.</w:t>
      </w:r>
    </w:p>
    <w:p w14:paraId="1DBF3BAF" w14:textId="46EB523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Existing treatment</w:t>
      </w:r>
      <w:r w:rsidR="004C0B77">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004C0B77">
        <w:rPr>
          <w:rFonts w:ascii="Book Antiqua" w:eastAsia="Book Antiqua" w:hAnsi="Book Antiqua" w:cs="Book Antiqua"/>
          <w:color w:val="000000"/>
        </w:rPr>
        <w:t>for</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achalasia, including pharmacotherapy, clostridium botulinum injection, endoscopic balloon catheter dilation, and Heller myotomy, target the compulsory release of the stenosis segment of the LES. Peroral endoscopic myotomy (POEM) has emerged as an increasingly utilized treatment approach, especially in patients with multiple comorbidities who cannot undergo laparoscopic or open surgical </w:t>
      </w:r>
      <w:proofErr w:type="gramStart"/>
      <w:r w:rsidRPr="000F4703">
        <w:rPr>
          <w:rFonts w:ascii="Book Antiqua" w:eastAsia="Book Antiqua" w:hAnsi="Book Antiqua" w:cs="Book Antiqua"/>
          <w:color w:val="000000"/>
        </w:rPr>
        <w:t>interventions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8,9]</w:t>
      </w:r>
      <w:r w:rsidRPr="000F4703">
        <w:rPr>
          <w:rFonts w:ascii="Book Antiqua" w:eastAsia="Book Antiqua" w:hAnsi="Book Antiqua" w:cs="Book Antiqua"/>
          <w:color w:val="000000"/>
        </w:rPr>
        <w:t xml:space="preserve">. POEM is considered safe for patients as young as 3 years old, with no upper age limit, according to several efficacy studies with a maximum follow-up </w:t>
      </w:r>
      <w:r w:rsidR="004C0B77">
        <w:rPr>
          <w:rFonts w:ascii="Book Antiqua" w:eastAsia="Book Antiqua" w:hAnsi="Book Antiqua" w:cs="Book Antiqua"/>
          <w:color w:val="000000"/>
        </w:rPr>
        <w:t xml:space="preserve">period </w:t>
      </w:r>
      <w:r w:rsidRPr="000F4703">
        <w:rPr>
          <w:rFonts w:ascii="Book Antiqua" w:eastAsia="Book Antiqua" w:hAnsi="Book Antiqua" w:cs="Book Antiqua"/>
          <w:color w:val="000000"/>
        </w:rPr>
        <w:t>of 3</w:t>
      </w:r>
      <w:r w:rsidR="004C0B77">
        <w:rPr>
          <w:rFonts w:ascii="Book Antiqua" w:eastAsia="Book Antiqua" w:hAnsi="Book Antiqua" w:cs="Book Antiqua"/>
          <w:color w:val="000000"/>
        </w:rPr>
        <w:t xml:space="preserve"> </w:t>
      </w:r>
      <w:proofErr w:type="gramStart"/>
      <w:r w:rsidRPr="000F4703">
        <w:rPr>
          <w:rFonts w:ascii="Book Antiqua" w:eastAsia="Book Antiqua" w:hAnsi="Book Antiqua" w:cs="Book Antiqua"/>
          <w:color w:val="000000"/>
        </w:rPr>
        <w:t>years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10-13]</w:t>
      </w:r>
      <w:r w:rsidRPr="000F4703">
        <w:rPr>
          <w:rFonts w:ascii="Book Antiqua" w:eastAsia="Book Antiqua" w:hAnsi="Book Antiqua" w:cs="Book Antiqua"/>
          <w:color w:val="000000"/>
        </w:rPr>
        <w:t>.</w:t>
      </w:r>
    </w:p>
    <w:p w14:paraId="4C6172FA" w14:textId="0268E0D1"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Despite its safety, patients who undergo POEM are at risk for disease </w:t>
      </w:r>
      <w:proofErr w:type="gramStart"/>
      <w:r w:rsidRPr="000F4703">
        <w:rPr>
          <w:rFonts w:ascii="Book Antiqua" w:eastAsia="Book Antiqua" w:hAnsi="Book Antiqua" w:cs="Book Antiqua"/>
          <w:color w:val="000000"/>
        </w:rPr>
        <w:t>recurrence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14-16]</w:t>
      </w:r>
      <w:r w:rsidRPr="000F4703">
        <w:rPr>
          <w:rFonts w:ascii="Book Antiqua" w:eastAsia="Book Antiqua" w:hAnsi="Book Antiqua" w:cs="Book Antiqua"/>
          <w:color w:val="000000"/>
        </w:rPr>
        <w:t xml:space="preserve">, although there is no recognized predictor. However, treatment history, type of mucosal damage, and reflux symptoms were included in a newly developed risk prediction scoring </w:t>
      </w:r>
      <w:proofErr w:type="gramStart"/>
      <w:r w:rsidRPr="000F4703">
        <w:rPr>
          <w:rFonts w:ascii="Book Antiqua" w:eastAsia="Book Antiqua" w:hAnsi="Book Antiqua" w:cs="Book Antiqua"/>
          <w:color w:val="000000"/>
        </w:rPr>
        <w:t>system</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17]</w:t>
      </w:r>
      <w:r w:rsidRPr="000F4703">
        <w:rPr>
          <w:rFonts w:ascii="Book Antiqua" w:eastAsia="Book Antiqua" w:hAnsi="Book Antiqua" w:cs="Book Antiqua"/>
          <w:color w:val="000000"/>
        </w:rPr>
        <w:t>. Considering that the POEM procedure is performed directly on the muscularis propria and LEMP thickness is associated with the postprocedural balloon catheter dilation</w:t>
      </w:r>
      <w:r w:rsidRPr="000F4703">
        <w:rPr>
          <w:rFonts w:ascii="Book Antiqua" w:eastAsia="Book Antiqua" w:hAnsi="Book Antiqua" w:cs="Book Antiqua"/>
          <w:color w:val="000000"/>
          <w:vertAlign w:val="superscript"/>
        </w:rPr>
        <w:t xml:space="preserve"> </w:t>
      </w:r>
      <w:proofErr w:type="gramStart"/>
      <w:r w:rsidRPr="000F4703">
        <w:rPr>
          <w:rFonts w:ascii="Book Antiqua" w:eastAsia="Book Antiqua" w:hAnsi="Book Antiqua" w:cs="Book Antiqua"/>
          <w:color w:val="000000"/>
        </w:rPr>
        <w:t>outcome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7]</w:t>
      </w:r>
      <w:r w:rsidRPr="000F4703">
        <w:rPr>
          <w:rFonts w:ascii="Book Antiqua" w:eastAsia="Book Antiqua" w:hAnsi="Book Antiqua" w:cs="Book Antiqua"/>
          <w:color w:val="000000"/>
        </w:rPr>
        <w:t xml:space="preserve">, LEMP thickness is thought to be associated with POEM outcome. However, no correlation between muscle thickness and prognosis at </w:t>
      </w:r>
      <w:r w:rsidR="004C0B77">
        <w:rPr>
          <w:rFonts w:ascii="Book Antiqua" w:eastAsia="Book Antiqua" w:hAnsi="Book Antiqua" w:cs="Book Antiqua"/>
          <w:color w:val="000000"/>
        </w:rPr>
        <w:t xml:space="preserve">1 </w:t>
      </w:r>
      <w:r w:rsidRPr="000F4703">
        <w:rPr>
          <w:rFonts w:ascii="Book Antiqua" w:eastAsia="Book Antiqua" w:hAnsi="Book Antiqua" w:cs="Book Antiqua"/>
          <w:color w:val="000000"/>
        </w:rPr>
        <w:t xml:space="preserve">year after POEM has been </w:t>
      </w:r>
      <w:proofErr w:type="gramStart"/>
      <w:r w:rsidRPr="000F4703">
        <w:rPr>
          <w:rFonts w:ascii="Book Antiqua" w:eastAsia="Book Antiqua" w:hAnsi="Book Antiqua" w:cs="Book Antiqua"/>
          <w:color w:val="000000"/>
        </w:rPr>
        <w:t>reported</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18,19]</w:t>
      </w:r>
      <w:r w:rsidRPr="000F4703">
        <w:rPr>
          <w:rFonts w:ascii="Book Antiqua" w:eastAsia="Book Antiqua" w:hAnsi="Book Antiqua" w:cs="Book Antiqua"/>
          <w:color w:val="000000"/>
        </w:rPr>
        <w:t>, and few studies with longer follow-up periods include assessment of the relationship between LEMP thickness and POEM outcomes.</w:t>
      </w:r>
    </w:p>
    <w:p w14:paraId="5184C8D2" w14:textId="7228CDC4"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 xml:space="preserve">Therefore, this study aimed to examine the relationship between LEMP thickness, measured by </w:t>
      </w:r>
      <w:r w:rsidR="00A20786" w:rsidRPr="000F4703">
        <w:rPr>
          <w:rFonts w:ascii="Book Antiqua" w:eastAsia="Book Antiqua" w:hAnsi="Book Antiqua" w:cs="Book Antiqua"/>
          <w:color w:val="000000"/>
        </w:rPr>
        <w:t>endoscopic ultrasound (EUS)</w:t>
      </w:r>
      <w:r w:rsidRPr="000F4703">
        <w:rPr>
          <w:rFonts w:ascii="Book Antiqua" w:eastAsia="Book Antiqua" w:hAnsi="Book Antiqua" w:cs="Book Antiqua"/>
          <w:color w:val="000000"/>
        </w:rPr>
        <w:t>, and patient characteristics including long-term prognosis after</w:t>
      </w:r>
      <w:r w:rsidR="004C0B77">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POEM for achalasia at our health center in the past </w:t>
      </w:r>
      <w:r w:rsidR="004C0B77">
        <w:rPr>
          <w:rFonts w:ascii="Book Antiqua" w:eastAsia="Book Antiqua" w:hAnsi="Book Antiqua" w:cs="Book Antiqua"/>
          <w:color w:val="000000"/>
        </w:rPr>
        <w:t>7</w:t>
      </w:r>
      <w:r w:rsidR="004C0B77"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years.</w:t>
      </w:r>
    </w:p>
    <w:p w14:paraId="6E18FE9F" w14:textId="77777777" w:rsidR="00A77B3E" w:rsidRPr="000F4703" w:rsidRDefault="00A77B3E" w:rsidP="000F4703">
      <w:pPr>
        <w:snapToGrid w:val="0"/>
        <w:spacing w:line="360" w:lineRule="auto"/>
        <w:jc w:val="both"/>
        <w:rPr>
          <w:rFonts w:ascii="Book Antiqua" w:hAnsi="Book Antiqua"/>
        </w:rPr>
      </w:pPr>
    </w:p>
    <w:p w14:paraId="4FED0DE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MATERIALS AND METHODS</w:t>
      </w:r>
    </w:p>
    <w:p w14:paraId="543B1F5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Patients</w:t>
      </w:r>
    </w:p>
    <w:p w14:paraId="7B2F7226" w14:textId="758CBFA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The inclusion criteria were diagnosis of achalasia and record of LEMP thickness measured by</w:t>
      </w:r>
      <w:r w:rsidR="00A20786"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EUS</w:t>
      </w:r>
      <w:r w:rsidR="00A20786"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examination before POEM. </w:t>
      </w:r>
      <w:r w:rsidR="004C0B77">
        <w:rPr>
          <w:rFonts w:ascii="Book Antiqua" w:eastAsia="Book Antiqua" w:hAnsi="Book Antiqua" w:cs="Book Antiqua"/>
          <w:color w:val="000000"/>
        </w:rPr>
        <w:t>The e</w:t>
      </w:r>
      <w:r w:rsidR="004C0B77" w:rsidRPr="000F4703">
        <w:rPr>
          <w:rFonts w:ascii="Book Antiqua" w:eastAsia="Book Antiqua" w:hAnsi="Book Antiqua" w:cs="Book Antiqua"/>
          <w:color w:val="000000"/>
        </w:rPr>
        <w:t xml:space="preserve">xclusion </w:t>
      </w:r>
      <w:r w:rsidRPr="000F4703">
        <w:rPr>
          <w:rFonts w:ascii="Book Antiqua" w:eastAsia="Book Antiqua" w:hAnsi="Book Antiqua" w:cs="Book Antiqua"/>
          <w:color w:val="000000"/>
        </w:rPr>
        <w:t>criteria were as follows: (</w:t>
      </w:r>
      <w:r w:rsidR="00EE1C64" w:rsidRPr="000F4703">
        <w:rPr>
          <w:rFonts w:ascii="Book Antiqua" w:eastAsia="Book Antiqua" w:hAnsi="Book Antiqua" w:cs="Book Antiqua"/>
          <w:color w:val="000000"/>
        </w:rPr>
        <w:t>1</w:t>
      </w:r>
      <w:r w:rsidRPr="000F4703">
        <w:rPr>
          <w:rFonts w:ascii="Book Antiqua" w:eastAsia="Book Antiqua" w:hAnsi="Book Antiqua" w:cs="Book Antiqua"/>
          <w:color w:val="000000"/>
        </w:rPr>
        <w:t xml:space="preserve">) </w:t>
      </w:r>
      <w:r w:rsidR="004C0B77">
        <w:rPr>
          <w:rFonts w:ascii="Book Antiqua" w:eastAsia="Book Antiqua" w:hAnsi="Book Antiqua" w:cs="Book Antiqua"/>
          <w:color w:val="000000"/>
        </w:rPr>
        <w:t>H</w:t>
      </w:r>
      <w:r w:rsidR="004C0B77" w:rsidRPr="000F4703">
        <w:rPr>
          <w:rFonts w:ascii="Book Antiqua" w:eastAsia="Book Antiqua" w:hAnsi="Book Antiqua" w:cs="Book Antiqua"/>
          <w:color w:val="000000"/>
        </w:rPr>
        <w:t xml:space="preserve">istory </w:t>
      </w:r>
      <w:r w:rsidRPr="000F4703">
        <w:rPr>
          <w:rFonts w:ascii="Book Antiqua" w:eastAsia="Book Antiqua" w:hAnsi="Book Antiqua" w:cs="Book Antiqua"/>
          <w:color w:val="000000"/>
        </w:rPr>
        <w:t>o</w:t>
      </w:r>
      <w:r w:rsidR="00EE1C64" w:rsidRPr="000F4703">
        <w:rPr>
          <w:rFonts w:ascii="Book Antiqua" w:eastAsia="Book Antiqua" w:hAnsi="Book Antiqua" w:cs="Book Antiqua"/>
          <w:color w:val="000000"/>
        </w:rPr>
        <w:t>f gastrointestinal open surgery;</w:t>
      </w:r>
      <w:r w:rsidRPr="000F4703">
        <w:rPr>
          <w:rFonts w:ascii="Book Antiqua" w:eastAsia="Book Antiqua" w:hAnsi="Book Antiqua" w:cs="Book Antiqua"/>
          <w:color w:val="000000"/>
        </w:rPr>
        <w:t xml:space="preserve"> (</w:t>
      </w:r>
      <w:r w:rsidR="00EE1C64" w:rsidRPr="000F4703">
        <w:rPr>
          <w:rFonts w:ascii="Book Antiqua" w:eastAsia="Book Antiqua" w:hAnsi="Book Antiqua" w:cs="Book Antiqua"/>
          <w:color w:val="000000"/>
        </w:rPr>
        <w:t>2) gastrointestinal malignancy;</w:t>
      </w:r>
      <w:r w:rsidRPr="000F4703">
        <w:rPr>
          <w:rFonts w:ascii="Book Antiqua" w:eastAsia="Book Antiqua" w:hAnsi="Book Antiqua" w:cs="Book Antiqua"/>
          <w:color w:val="000000"/>
        </w:rPr>
        <w:t xml:space="preserve"> (</w:t>
      </w:r>
      <w:r w:rsidR="00EE1C64" w:rsidRPr="000F4703">
        <w:rPr>
          <w:rFonts w:ascii="Book Antiqua" w:eastAsia="Book Antiqua" w:hAnsi="Book Antiqua" w:cs="Book Antiqua"/>
          <w:color w:val="000000"/>
        </w:rPr>
        <w:t>3</w:t>
      </w:r>
      <w:r w:rsidRPr="000F4703">
        <w:rPr>
          <w:rFonts w:ascii="Book Antiqua" w:eastAsia="Book Antiqua" w:hAnsi="Book Antiqua" w:cs="Book Antiqua"/>
          <w:color w:val="000000"/>
        </w:rPr>
        <w:t>) coagulopathy or other systemic disorders that precluded</w:t>
      </w:r>
      <w:r w:rsidR="00EE1C64" w:rsidRPr="000F4703">
        <w:rPr>
          <w:rFonts w:ascii="Book Antiqua" w:eastAsia="Book Antiqua" w:hAnsi="Book Antiqua" w:cs="Book Antiqua"/>
          <w:color w:val="000000"/>
        </w:rPr>
        <w:t xml:space="preserve"> safe use of general anesthesia;</w:t>
      </w:r>
      <w:r w:rsidRPr="000F4703">
        <w:rPr>
          <w:rFonts w:ascii="Book Antiqua" w:eastAsia="Book Antiqua" w:hAnsi="Book Antiqua" w:cs="Book Antiqua"/>
          <w:color w:val="000000"/>
        </w:rPr>
        <w:t xml:space="preserve"> and (</w:t>
      </w:r>
      <w:r w:rsidR="00EE1C64" w:rsidRPr="000F4703">
        <w:rPr>
          <w:rFonts w:ascii="Book Antiqua" w:eastAsia="Book Antiqua" w:hAnsi="Book Antiqua" w:cs="Book Antiqua"/>
          <w:color w:val="000000"/>
        </w:rPr>
        <w:t>4</w:t>
      </w:r>
      <w:r w:rsidRPr="000F4703">
        <w:rPr>
          <w:rFonts w:ascii="Book Antiqua" w:eastAsia="Book Antiqua" w:hAnsi="Book Antiqua" w:cs="Book Antiqua"/>
          <w:color w:val="000000"/>
        </w:rPr>
        <w:t>) unwillingness to provide informed consent.</w:t>
      </w:r>
    </w:p>
    <w:p w14:paraId="663B188F" w14:textId="16498463" w:rsidR="00A77B3E" w:rsidRPr="000F4703" w:rsidRDefault="006E3988" w:rsidP="000F4703">
      <w:pPr>
        <w:snapToGrid w:val="0"/>
        <w:spacing w:line="360" w:lineRule="auto"/>
        <w:ind w:firstLineChars="100" w:firstLine="240"/>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From the patient medical charts, demographic information, disease duration defined by time of symptom onset to POEM procedure, symptoms,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w:t>
      </w:r>
      <w:proofErr w:type="gramStart"/>
      <w:r w:rsidRPr="000F4703">
        <w:rPr>
          <w:rFonts w:ascii="Book Antiqua" w:eastAsia="Book Antiqua" w:hAnsi="Book Antiqua" w:cs="Book Antiqua"/>
          <w:color w:val="000000"/>
        </w:rPr>
        <w:t>scores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20]</w:t>
      </w:r>
      <w:r w:rsidRPr="000F4703">
        <w:rPr>
          <w:rFonts w:ascii="Book Antiqua" w:eastAsia="Book Antiqua" w:hAnsi="Book Antiqua" w:cs="Book Antiqua"/>
          <w:color w:val="000000"/>
        </w:rPr>
        <w:t>, degree of esophageal dilation based on the upper gastrointestinal tract X-ray, endoscopy findings, thickness of LEMP according to EUS findings, and treatment outcomes were collected for analysis.</w:t>
      </w:r>
    </w:p>
    <w:p w14:paraId="1D688742" w14:textId="77777777" w:rsidR="00A20786" w:rsidRPr="000F4703" w:rsidRDefault="00A20786" w:rsidP="000F4703">
      <w:pPr>
        <w:snapToGrid w:val="0"/>
        <w:spacing w:line="360" w:lineRule="auto"/>
        <w:jc w:val="both"/>
        <w:rPr>
          <w:rFonts w:ascii="Book Antiqua" w:hAnsi="Book Antiqua"/>
        </w:rPr>
      </w:pPr>
    </w:p>
    <w:p w14:paraId="042A106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Ethics</w:t>
      </w:r>
    </w:p>
    <w:p w14:paraId="5CC4DD58" w14:textId="4E19B8C8"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This study was approved by the Institutional Review Board and the Ethics Committee of China Medical University. All patients voluntarily chose their therapeutic course and provided written informed consent for the POEM procedure. Written informed consent was obtained from the parents or guardians of patients younger than 18 years of age.</w:t>
      </w:r>
    </w:p>
    <w:p w14:paraId="4BD2A746" w14:textId="77777777" w:rsidR="00A20786" w:rsidRPr="000F4703" w:rsidRDefault="00A20786" w:rsidP="000F4703">
      <w:pPr>
        <w:snapToGrid w:val="0"/>
        <w:spacing w:line="360" w:lineRule="auto"/>
        <w:jc w:val="both"/>
        <w:rPr>
          <w:rFonts w:ascii="Book Antiqua" w:hAnsi="Book Antiqua"/>
        </w:rPr>
      </w:pPr>
    </w:p>
    <w:p w14:paraId="076C583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Symptom evaluation</w:t>
      </w:r>
    </w:p>
    <w:p w14:paraId="6280978F" w14:textId="572116FA"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lastRenderedPageBreak/>
        <w:t xml:space="preserve">Clinical symptoms of all patients were evaluated according to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before and after the procedure.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is the sum of the symptom scores for dysphagia, regurgitation, retrosternal pain (with a score of 0 indicating the absence of symptoms, 1 indicating occasional symptoms, 2 indicating daily symptoms, and 3 indicating symptoms at each meal), and weight loss (with 0 indicating no weight loss, 1 indicating a loss of &lt; 5 kg, 2 indicating a loss of 5</w:t>
      </w:r>
      <w:r w:rsidR="000C0583">
        <w:rPr>
          <w:rFonts w:ascii="Book Antiqua" w:eastAsia="Book Antiqua" w:hAnsi="Book Antiqua" w:cs="Book Antiqua"/>
          <w:color w:val="000000"/>
        </w:rPr>
        <w:t>-</w:t>
      </w:r>
      <w:r w:rsidRPr="000F4703">
        <w:rPr>
          <w:rFonts w:ascii="Book Antiqua" w:eastAsia="Book Antiqua" w:hAnsi="Book Antiqua" w:cs="Book Antiqua"/>
          <w:color w:val="000000"/>
        </w:rPr>
        <w:t>10 kg, and 3 indicating a loss of &gt; 10 kg)</w:t>
      </w:r>
      <w:r w:rsidRPr="000F4703">
        <w:rPr>
          <w:rFonts w:ascii="Book Antiqua" w:eastAsia="Book Antiqua" w:hAnsi="Book Antiqua" w:cs="Book Antiqua"/>
          <w:color w:val="000000"/>
          <w:vertAlign w:val="superscript"/>
        </w:rPr>
        <w:t>[20]</w:t>
      </w:r>
      <w:r w:rsidRPr="000F4703">
        <w:rPr>
          <w:rFonts w:ascii="Book Antiqua" w:eastAsia="Book Antiqua" w:hAnsi="Book Antiqua" w:cs="Book Antiqua"/>
          <w:color w:val="000000"/>
        </w:rPr>
        <w:t>. Therefore, scores could range from 0 to 12, with 0 representing no symptoms.</w:t>
      </w:r>
    </w:p>
    <w:p w14:paraId="2B1F295C" w14:textId="77777777" w:rsidR="00A20786" w:rsidRPr="000F4703" w:rsidRDefault="00A20786" w:rsidP="000F4703">
      <w:pPr>
        <w:snapToGrid w:val="0"/>
        <w:spacing w:line="360" w:lineRule="auto"/>
        <w:jc w:val="both"/>
        <w:rPr>
          <w:rFonts w:ascii="Book Antiqua" w:hAnsi="Book Antiqua"/>
        </w:rPr>
      </w:pPr>
    </w:p>
    <w:p w14:paraId="7A432C8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EUS evaluation</w:t>
      </w:r>
    </w:p>
    <w:p w14:paraId="7E10203D" w14:textId="02D19FF5"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All EUS evaluations were performed by experienced technicians using a 360° Radial-Array Ultrasound Gastroscope (EG-3870URK; PENTAX Medical, Tokyo, Japan) and an ultrasound scanner (EUB 6500; Hitachi, Tokyo, Japan). The thickness of the muscularis propria at the esophagogastric junction (EGJ) was assessed before POEM, and a thickness of ≥ 3 mm was considered thickened. The cutoff value for the muscular thickness was determined according to the ordered sample cluster method based on age, disease duration, preoperative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and </w:t>
      </w:r>
      <w:proofErr w:type="spellStart"/>
      <w:r w:rsidRPr="000F4703">
        <w:rPr>
          <w:rFonts w:ascii="Book Antiqua" w:eastAsia="Book Antiqua" w:hAnsi="Book Antiqua" w:cs="Book Antiqua"/>
          <w:color w:val="000000"/>
        </w:rPr>
        <w:t>postprocedural</w:t>
      </w:r>
      <w:proofErr w:type="spellEnd"/>
      <w:r w:rsidRPr="000F4703">
        <w:rPr>
          <w:rFonts w:ascii="Book Antiqua" w:eastAsia="Book Antiqua" w:hAnsi="Book Antiqua" w:cs="Book Antiqua"/>
          <w:color w:val="000000"/>
        </w:rPr>
        <w:t xml:space="preserve"> outcome. The completeness of the myotomy was verified by EUS after POEM.</w:t>
      </w:r>
    </w:p>
    <w:p w14:paraId="3EF23DAA" w14:textId="77777777" w:rsidR="00A20786" w:rsidRPr="000F4703" w:rsidRDefault="00A20786" w:rsidP="000F4703">
      <w:pPr>
        <w:snapToGrid w:val="0"/>
        <w:spacing w:line="360" w:lineRule="auto"/>
        <w:jc w:val="both"/>
        <w:rPr>
          <w:rFonts w:ascii="Book Antiqua" w:hAnsi="Book Antiqua"/>
        </w:rPr>
      </w:pPr>
    </w:p>
    <w:p w14:paraId="4BB1C54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 xml:space="preserve">Endoscopic procedure of POEM </w:t>
      </w:r>
    </w:p>
    <w:p w14:paraId="7DE973FA" w14:textId="50259BD4"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POEM procedures were performed by three experienced therapeutic endoscopists. Patients fasted for 24-48 h and were forbidden from drinking water for 4-6 h before the procedure. If gastroscopy or EUS revealed any liquid or food residue in the esophagus, a decompression tube was indwelled for at least 24 h before POEM, and nutrients were introduced intravenously. During the procedure, patients were </w:t>
      </w:r>
      <w:r w:rsidR="00162844">
        <w:rPr>
          <w:rFonts w:ascii="Book Antiqua" w:eastAsia="Book Antiqua" w:hAnsi="Book Antiqua" w:cs="Book Antiqua"/>
          <w:color w:val="000000"/>
        </w:rPr>
        <w:t xml:space="preserve">placed </w:t>
      </w:r>
      <w:r w:rsidRPr="000F4703">
        <w:rPr>
          <w:rFonts w:ascii="Book Antiqua" w:eastAsia="Book Antiqua" w:hAnsi="Book Antiqua" w:cs="Book Antiqua"/>
          <w:color w:val="000000"/>
        </w:rPr>
        <w:t xml:space="preserve">in the left recumbent position under general anesthesia with tracheal intubation. The POEM procedure was performed as follows: (1) </w:t>
      </w:r>
      <w:r w:rsidR="00162844">
        <w:rPr>
          <w:rFonts w:ascii="Book Antiqua" w:eastAsia="Book Antiqua" w:hAnsi="Book Antiqua" w:cs="Book Antiqua"/>
          <w:color w:val="000000"/>
        </w:rPr>
        <w:t>A</w:t>
      </w:r>
      <w:r w:rsidR="00162844"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submucosal injection (Boston Scientific, </w:t>
      </w:r>
      <w:r w:rsidR="00270D66" w:rsidRPr="000F4703">
        <w:rPr>
          <w:rFonts w:ascii="Book Antiqua" w:eastAsia="Book Antiqua" w:hAnsi="Book Antiqua" w:cs="Book Antiqua"/>
          <w:color w:val="000000"/>
        </w:rPr>
        <w:t>United States</w:t>
      </w:r>
      <w:r w:rsidRPr="000F4703">
        <w:rPr>
          <w:rFonts w:ascii="Book Antiqua" w:eastAsia="Book Antiqua" w:hAnsi="Book Antiqua" w:cs="Book Antiqua"/>
          <w:color w:val="000000"/>
        </w:rPr>
        <w:t xml:space="preserve">) of a mixture </w:t>
      </w:r>
      <w:r w:rsidRPr="000F4703">
        <w:rPr>
          <w:rFonts w:ascii="Book Antiqua" w:eastAsia="Book Antiqua" w:hAnsi="Book Antiqua" w:cs="Book Antiqua"/>
          <w:color w:val="000000"/>
        </w:rPr>
        <w:lastRenderedPageBreak/>
        <w:t>of saline and methylene blue was administered into the esophageal</w:t>
      </w:r>
      <w:r w:rsidR="00A20940" w:rsidRPr="000F4703">
        <w:rPr>
          <w:rFonts w:ascii="Book Antiqua" w:eastAsia="Book Antiqua" w:hAnsi="Book Antiqua" w:cs="Book Antiqua"/>
          <w:color w:val="000000"/>
        </w:rPr>
        <w:t xml:space="preserve"> wall at 12-15 cm above the EGJ;</w:t>
      </w:r>
      <w:r w:rsidRPr="000F4703">
        <w:rPr>
          <w:rFonts w:ascii="Book Antiqua" w:eastAsia="Book Antiqua" w:hAnsi="Book Antiqua" w:cs="Book Antiqua"/>
          <w:color w:val="000000"/>
        </w:rPr>
        <w:t xml:space="preserve"> (2) a submucosal tunnel passing over the EGJ was created using a hook knife (KD-620LR; Olympus Corp., Tokyo, Japan) or a triangle tipped knife (KD-640L; Olympus) extending</w:t>
      </w:r>
      <w:r w:rsidR="00A20940" w:rsidRPr="000F4703">
        <w:rPr>
          <w:rFonts w:ascii="Book Antiqua" w:eastAsia="Book Antiqua" w:hAnsi="Book Antiqua" w:cs="Book Antiqua"/>
          <w:color w:val="000000"/>
        </w:rPr>
        <w:t xml:space="preserve"> 3 cm into the proximal stomach;</w:t>
      </w:r>
      <w:r w:rsidRPr="000F4703">
        <w:rPr>
          <w:rFonts w:ascii="Book Antiqua" w:eastAsia="Book Antiqua" w:hAnsi="Book Antiqua" w:cs="Book Antiqua"/>
          <w:color w:val="000000"/>
        </w:rPr>
        <w:t xml:space="preserve"> (3) inner circular myotomy began 2-3 cm below the tunne</w:t>
      </w:r>
      <w:r w:rsidR="00A20940" w:rsidRPr="000F4703">
        <w:rPr>
          <w:rFonts w:ascii="Book Antiqua" w:eastAsia="Book Antiqua" w:hAnsi="Book Antiqua" w:cs="Book Antiqua"/>
          <w:color w:val="000000"/>
        </w:rPr>
        <w:t>l entry and ended at the cardia;</w:t>
      </w:r>
      <w:r w:rsidRPr="000F4703">
        <w:rPr>
          <w:rFonts w:ascii="Book Antiqua" w:eastAsia="Book Antiqua" w:hAnsi="Book Antiqua" w:cs="Book Antiqua"/>
          <w:color w:val="000000"/>
        </w:rPr>
        <w:t xml:space="preserve"> and (4) after careful hemostasis using hemostatic clips (FD-410LR;</w:t>
      </w:r>
      <w:r w:rsidR="00A20940" w:rsidRPr="000F4703">
        <w:rPr>
          <w:rFonts w:ascii="Book Antiqua" w:eastAsia="Book Antiqua" w:hAnsi="Book Antiqua" w:cs="Book Antiqua"/>
          <w:color w:val="000000"/>
        </w:rPr>
        <w:t xml:space="preserve"> Olympus), several metal clips [</w:t>
      </w:r>
      <w:r w:rsidRPr="000F4703">
        <w:rPr>
          <w:rFonts w:ascii="Book Antiqua" w:eastAsia="Book Antiqua" w:hAnsi="Book Antiqua" w:cs="Book Antiqua"/>
          <w:color w:val="000000"/>
        </w:rPr>
        <w:t>ROOC-D-</w:t>
      </w:r>
      <w:r w:rsidR="00A20940" w:rsidRPr="000F4703">
        <w:rPr>
          <w:rFonts w:ascii="Book Antiqua" w:eastAsia="Book Antiqua" w:hAnsi="Book Antiqua" w:cs="Book Antiqua"/>
          <w:color w:val="000000"/>
        </w:rPr>
        <w:t>26-195; Micro-Tech (Nanjing) Co., Ltd., Jiangsu, China]</w:t>
      </w:r>
      <w:r w:rsidRPr="000F4703">
        <w:rPr>
          <w:rFonts w:ascii="Book Antiqua" w:eastAsia="Book Antiqua" w:hAnsi="Book Antiqua" w:cs="Book Antiqua"/>
          <w:color w:val="000000"/>
        </w:rPr>
        <w:t xml:space="preserve"> were applied to close the mucosal entry. CO</w:t>
      </w:r>
      <w:r w:rsidRPr="000F4703">
        <w:rPr>
          <w:rFonts w:ascii="Book Antiqua" w:eastAsia="Book Antiqua" w:hAnsi="Book Antiqua" w:cs="Book Antiqua"/>
          <w:color w:val="000000"/>
          <w:vertAlign w:val="subscript"/>
        </w:rPr>
        <w:t>2</w:t>
      </w:r>
      <w:r w:rsidRPr="000F4703">
        <w:rPr>
          <w:rFonts w:ascii="Book Antiqua" w:eastAsia="Book Antiqua" w:hAnsi="Book Antiqua" w:cs="Book Antiqua"/>
          <w:color w:val="000000"/>
        </w:rPr>
        <w:t xml:space="preserve"> was used as the endoscope air supply. Prophylactic antibiotics and proton pump inhibitors were administered intravenously for at least </w:t>
      </w:r>
      <w:r w:rsidR="00162844">
        <w:rPr>
          <w:rFonts w:ascii="Book Antiqua" w:eastAsia="Book Antiqua" w:hAnsi="Book Antiqua" w:cs="Book Antiqua"/>
          <w:color w:val="000000"/>
        </w:rPr>
        <w:t>2</w:t>
      </w:r>
      <w:r w:rsidR="00162844"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d after the procedure.</w:t>
      </w:r>
    </w:p>
    <w:p w14:paraId="4C0E6497" w14:textId="77777777" w:rsidR="00270D66" w:rsidRPr="000F4703" w:rsidRDefault="00270D66" w:rsidP="000F4703">
      <w:pPr>
        <w:snapToGrid w:val="0"/>
        <w:spacing w:line="360" w:lineRule="auto"/>
        <w:jc w:val="both"/>
        <w:rPr>
          <w:rFonts w:ascii="Book Antiqua" w:hAnsi="Book Antiqua"/>
        </w:rPr>
      </w:pPr>
    </w:p>
    <w:p w14:paraId="0013397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Assessment of therapeutic response and follow-up</w:t>
      </w:r>
    </w:p>
    <w:p w14:paraId="7C8FE5E3" w14:textId="24844281" w:rsidR="00A77B3E" w:rsidRPr="000F4703" w:rsidRDefault="006E3988" w:rsidP="000F4703">
      <w:pPr>
        <w:snapToGrid w:val="0"/>
        <w:spacing w:line="360" w:lineRule="auto"/>
        <w:jc w:val="both"/>
        <w:rPr>
          <w:rFonts w:ascii="Book Antiqua" w:eastAsia="Book Antiqua" w:hAnsi="Book Antiqua" w:cs="Book Antiqua"/>
          <w:color w:val="000000"/>
        </w:rPr>
      </w:pPr>
      <w:r w:rsidRPr="000F4703">
        <w:rPr>
          <w:rFonts w:ascii="Book Antiqua" w:eastAsia="Book Antiqua" w:hAnsi="Book Antiqua" w:cs="Book Antiqua"/>
          <w:color w:val="000000"/>
        </w:rPr>
        <w:t xml:space="preserve">Follow-up for all patients was conducted by telephone calls or clinic visits, and clinical symptoms were assessed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The procedure was considered effective, and the patient was in clinical remission if the postoperative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was ≤ 3. Relapse was defined as a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to &gt; 3 after a period of clinical </w:t>
      </w:r>
      <w:proofErr w:type="gramStart"/>
      <w:r w:rsidRPr="000F4703">
        <w:rPr>
          <w:rFonts w:ascii="Book Antiqua" w:eastAsia="Book Antiqua" w:hAnsi="Book Antiqua" w:cs="Book Antiqua"/>
          <w:color w:val="000000"/>
        </w:rPr>
        <w:t>remission</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15]</w:t>
      </w:r>
      <w:r w:rsidRPr="000F4703">
        <w:rPr>
          <w:rFonts w:ascii="Book Antiqua" w:eastAsia="Book Antiqua" w:hAnsi="Book Antiqua" w:cs="Book Antiqua"/>
          <w:color w:val="000000"/>
        </w:rPr>
        <w:t>. For patients who underwent the procedure twice, the first set of data was used to analyze the disease recurrence rate.</w:t>
      </w:r>
    </w:p>
    <w:p w14:paraId="00F803FE" w14:textId="77777777" w:rsidR="008A5B90" w:rsidRPr="000F4703" w:rsidRDefault="008A5B90" w:rsidP="000F4703">
      <w:pPr>
        <w:snapToGrid w:val="0"/>
        <w:spacing w:line="360" w:lineRule="auto"/>
        <w:jc w:val="both"/>
        <w:rPr>
          <w:rFonts w:ascii="Book Antiqua" w:hAnsi="Book Antiqua"/>
        </w:rPr>
      </w:pPr>
    </w:p>
    <w:p w14:paraId="377331FF" w14:textId="4DD7EBA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 xml:space="preserve">Statistical </w:t>
      </w:r>
      <w:r w:rsidR="00162844" w:rsidRPr="000F4703">
        <w:rPr>
          <w:rFonts w:ascii="Book Antiqua" w:eastAsia="Book Antiqua" w:hAnsi="Book Antiqua" w:cs="Book Antiqua"/>
          <w:b/>
          <w:bCs/>
          <w:i/>
          <w:iCs/>
          <w:color w:val="000000"/>
        </w:rPr>
        <w:t>analys</w:t>
      </w:r>
      <w:r w:rsidR="00162844">
        <w:rPr>
          <w:rFonts w:ascii="Book Antiqua" w:eastAsia="Book Antiqua" w:hAnsi="Book Antiqua" w:cs="Book Antiqua"/>
          <w:b/>
          <w:bCs/>
          <w:i/>
          <w:iCs/>
          <w:color w:val="000000"/>
        </w:rPr>
        <w:t>i</w:t>
      </w:r>
      <w:r w:rsidR="00162844" w:rsidRPr="000F4703">
        <w:rPr>
          <w:rFonts w:ascii="Book Antiqua" w:eastAsia="Book Antiqua" w:hAnsi="Book Antiqua" w:cs="Book Antiqua"/>
          <w:b/>
          <w:bCs/>
          <w:i/>
          <w:iCs/>
          <w:color w:val="000000"/>
        </w:rPr>
        <w:t>s</w:t>
      </w:r>
    </w:p>
    <w:p w14:paraId="5951E6EA" w14:textId="36E7132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Statistical analyses were performed using SPSS version 25.0 software (IBM, Armonk, NY, </w:t>
      </w:r>
      <w:r w:rsidR="008A5B90" w:rsidRPr="000F4703">
        <w:rPr>
          <w:rFonts w:ascii="Book Antiqua" w:eastAsia="Book Antiqua" w:hAnsi="Book Antiqua" w:cs="Book Antiqua"/>
          <w:color w:val="000000"/>
        </w:rPr>
        <w:t>United States</w:t>
      </w:r>
      <w:r w:rsidRPr="000F4703">
        <w:rPr>
          <w:rFonts w:ascii="Book Antiqua" w:eastAsia="Book Antiqua" w:hAnsi="Book Antiqua" w:cs="Book Antiqua"/>
          <w:color w:val="000000"/>
        </w:rPr>
        <w:t xml:space="preserve">). Normally distributed continuous variables are expressed as </w:t>
      </w:r>
      <w:r w:rsidR="00162844">
        <w:rPr>
          <w:rFonts w:ascii="Book Antiqua" w:eastAsia="Book Antiqua" w:hAnsi="Book Antiqua" w:cs="Book Antiqua"/>
          <w:color w:val="000000"/>
        </w:rPr>
        <w:t xml:space="preserve">the </w:t>
      </w:r>
      <w:r w:rsidRPr="000F4703">
        <w:rPr>
          <w:rFonts w:ascii="Book Antiqua" w:eastAsia="Book Antiqua" w:hAnsi="Book Antiqua" w:cs="Book Antiqua"/>
          <w:color w:val="000000"/>
        </w:rPr>
        <w:t xml:space="preserve">mean ± </w:t>
      </w:r>
      <w:r w:rsidR="00A20940" w:rsidRPr="000F4703">
        <w:rPr>
          <w:rFonts w:ascii="Book Antiqua" w:eastAsia="Book Antiqua" w:hAnsi="Book Antiqua" w:cs="Book Antiqua"/>
          <w:color w:val="000000"/>
        </w:rPr>
        <w:t>SD</w:t>
      </w:r>
      <w:r w:rsidR="008A5B90"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and were compared using a </w:t>
      </w:r>
      <w:r w:rsidRPr="000F4703">
        <w:rPr>
          <w:rFonts w:ascii="Book Antiqua" w:eastAsia="Book Antiqua" w:hAnsi="Book Antiqua" w:cs="Book Antiqua"/>
          <w:i/>
          <w:color w:val="000000"/>
        </w:rPr>
        <w:t>t</w:t>
      </w:r>
      <w:r w:rsidRPr="000F4703">
        <w:rPr>
          <w:rFonts w:ascii="Book Antiqua" w:eastAsia="Book Antiqua" w:hAnsi="Book Antiqua" w:cs="Book Antiqua"/>
          <w:color w:val="000000"/>
        </w:rPr>
        <w:t xml:space="preserve">-test. Categorical data were compared using the chi-square test and are expressed as numbers (percentages). The association between age and disease duration was analyzed by univariate logistic regression analysis. Recurrence-free survival was investigated using the Kaplan–Meier estimate of time-to-event and compared using a log-rank test. After confirming that the possible risk factors satisfied the proportional hazard hypothesis, the Cox proportional hazards model was used </w:t>
      </w:r>
      <w:r w:rsidRPr="000F4703">
        <w:rPr>
          <w:rFonts w:ascii="Book Antiqua" w:eastAsia="Book Antiqua" w:hAnsi="Book Antiqua" w:cs="Book Antiqua"/>
          <w:color w:val="000000"/>
        </w:rPr>
        <w:lastRenderedPageBreak/>
        <w:t xml:space="preserve">to evaluate risk factors for clinical recurrence.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&lt; 0.05 was considered statistically significant. The ordered sample cluster analysis was performed using DPS version 7.05 software (Zhejiang University, Hangzhou, China</w:t>
      </w:r>
      <w:proofErr w:type="gramStart"/>
      <w:r w:rsidRPr="000F4703">
        <w:rPr>
          <w:rFonts w:ascii="Book Antiqua" w:eastAsia="Book Antiqua" w:hAnsi="Book Antiqua" w:cs="Book Antiqua"/>
          <w:color w:val="000000"/>
        </w:rPr>
        <w:t>)</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21]</w:t>
      </w:r>
      <w:r w:rsidRPr="000F4703">
        <w:rPr>
          <w:rFonts w:ascii="Book Antiqua" w:eastAsia="Book Antiqua" w:hAnsi="Book Antiqua" w:cs="Book Antiqua"/>
          <w:color w:val="000000"/>
        </w:rPr>
        <w:t>.</w:t>
      </w:r>
    </w:p>
    <w:p w14:paraId="361492B3" w14:textId="77777777" w:rsidR="00A77B3E" w:rsidRPr="000F4703" w:rsidRDefault="00A77B3E" w:rsidP="000F4703">
      <w:pPr>
        <w:snapToGrid w:val="0"/>
        <w:spacing w:line="360" w:lineRule="auto"/>
        <w:jc w:val="both"/>
        <w:rPr>
          <w:rFonts w:ascii="Book Antiqua" w:hAnsi="Book Antiqua"/>
        </w:rPr>
      </w:pPr>
    </w:p>
    <w:p w14:paraId="4E4CA1E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RESULTS</w:t>
      </w:r>
    </w:p>
    <w:p w14:paraId="6CEB588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Muscle features of the lower esophageal sphincter in patients with achalasia</w:t>
      </w:r>
    </w:p>
    <w:p w14:paraId="1BB035CC" w14:textId="799B3BFD"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Eighty-two patients (32 males and 50 females aged 17-78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 with a mean age of 46.5 ± 14.9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 xml:space="preserve">r) and a total of 85 procedures were included. The average disease duration was 102.4 ± 127.2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(range, 1-516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All patients denied having a previous diagnosis of esophageal disease. Six patients had a history of an endoscopic procedure. Of all patients, 63 (76.8%) had a thickened LEMP. </w:t>
      </w:r>
    </w:p>
    <w:p w14:paraId="520C853C" w14:textId="2FD38764"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Data on the correlation between patient background and LEMP thickness are shown in Table 1. Significant differences in age (48.4 ± 14.4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vs</w:t>
      </w:r>
      <w:r w:rsidRPr="000F4703">
        <w:rPr>
          <w:rFonts w:ascii="Book Antiqua" w:eastAsia="Book Antiqua" w:hAnsi="Book Antiqua" w:cs="Book Antiqua"/>
          <w:color w:val="000000"/>
        </w:rPr>
        <w:t xml:space="preserve"> 40.4 ± 15.2 y</w:t>
      </w:r>
      <w:r w:rsidR="00287A18"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disease duration (126.63 ± 138.49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i/>
          <w:iCs/>
          <w:color w:val="000000"/>
        </w:rPr>
        <w:t>vs</w:t>
      </w:r>
      <w:proofErr w:type="spellEnd"/>
      <w:r w:rsidRPr="000F4703">
        <w:rPr>
          <w:rFonts w:ascii="Book Antiqua" w:eastAsia="Book Antiqua" w:hAnsi="Book Antiqua" w:cs="Book Antiqua"/>
          <w:color w:val="000000"/>
        </w:rPr>
        <w:t xml:space="preserve"> 37.79 ± 35.52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observed between the thickened and non-thickened LEMP groups, and both variables were associated with thickened LEMP. Specifically, older patients with longer disease duration were more likely to have a thickened LEMP. In addition, there was a positive correlation between patient age and duration of the disease (Figure 1).</w:t>
      </w:r>
    </w:p>
    <w:p w14:paraId="45603C7E" w14:textId="60FDC46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degree of esophageal dilation in 53 patients was evaluated, while the rest of the patients underwent barium </w:t>
      </w:r>
      <w:proofErr w:type="spellStart"/>
      <w:r w:rsidRPr="000F4703">
        <w:rPr>
          <w:rFonts w:ascii="Book Antiqua" w:eastAsia="Book Antiqua" w:hAnsi="Book Antiqua" w:cs="Book Antiqua"/>
          <w:color w:val="000000"/>
        </w:rPr>
        <w:t>esophagraphy</w:t>
      </w:r>
      <w:proofErr w:type="spellEnd"/>
      <w:r w:rsidRPr="000F4703">
        <w:rPr>
          <w:rFonts w:ascii="Book Antiqua" w:eastAsia="Book Antiqua" w:hAnsi="Book Antiqua" w:cs="Book Antiqua"/>
          <w:color w:val="000000"/>
        </w:rPr>
        <w:t xml:space="preserve"> at other medical centers and were not included. Of these, 21 (39.6%), 24 (45.3%), and 8 (15.1%) patients exhibited degree</w:t>
      </w:r>
      <w:r w:rsidR="002A54CF">
        <w:rPr>
          <w:rFonts w:ascii="Book Antiqua" w:eastAsia="Book Antiqua" w:hAnsi="Book Antiqua" w:cs="Book Antiqua"/>
          <w:color w:val="000000"/>
        </w:rPr>
        <w:t>s</w:t>
      </w:r>
      <w:r w:rsidRPr="000F4703">
        <w:rPr>
          <w:rFonts w:ascii="Book Antiqua" w:eastAsia="Book Antiqua" w:hAnsi="Book Antiqua" w:cs="Book Antiqua"/>
          <w:color w:val="000000"/>
        </w:rPr>
        <w:t xml:space="preserve"> I, II, and III dilations, respectively.</w:t>
      </w:r>
    </w:p>
    <w:p w14:paraId="17FD849E" w14:textId="77777777" w:rsidR="00A77B3E" w:rsidRPr="000F4703" w:rsidRDefault="00A77B3E" w:rsidP="000F4703">
      <w:pPr>
        <w:snapToGrid w:val="0"/>
        <w:spacing w:line="360" w:lineRule="auto"/>
        <w:jc w:val="both"/>
        <w:rPr>
          <w:rFonts w:ascii="Book Antiqua" w:hAnsi="Book Antiqua"/>
        </w:rPr>
      </w:pPr>
    </w:p>
    <w:p w14:paraId="73D568E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i/>
          <w:iCs/>
          <w:color w:val="000000"/>
        </w:rPr>
        <w:t>Therapeutic effect of POEM and long-term prognosis</w:t>
      </w:r>
    </w:p>
    <w:p w14:paraId="5D256484" w14:textId="7EF835C9"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The overall POEM success rate was 94.12% (80/85 procedures). There was only one reported case of</w:t>
      </w:r>
      <w:r w:rsidR="002A54CF">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post-procedure infection, which was resolved using conservative treatment. The EUS data confirmed complete myotomy after POEM in 62 cases. Sixty patients had follow-ups between 8 and 87.5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(mean: 35.4 ± </w:t>
      </w:r>
      <w:r w:rsidRPr="000F4703">
        <w:rPr>
          <w:rFonts w:ascii="Book Antiqua" w:eastAsia="Book Antiqua" w:hAnsi="Book Antiqua" w:cs="Book Antiqua"/>
          <w:color w:val="000000"/>
        </w:rPr>
        <w:lastRenderedPageBreak/>
        <w:t xml:space="preserve">17.2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after the procedure. Five patients with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scores &gt; 3 refused further follow-up after their symptoms were relieved. There were no significant differences in age, sex, disease duration, preoperative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or LEMP thickness between the effect</w:t>
      </w:r>
      <w:r w:rsidR="002A54CF">
        <w:rPr>
          <w:rFonts w:ascii="Book Antiqua" w:eastAsia="Book Antiqua" w:hAnsi="Book Antiqua" w:cs="Book Antiqua"/>
          <w:color w:val="000000"/>
        </w:rPr>
        <w:t xml:space="preserve">ive </w:t>
      </w:r>
      <w:r w:rsidRPr="000F4703">
        <w:rPr>
          <w:rFonts w:ascii="Book Antiqua" w:eastAsia="Book Antiqua" w:hAnsi="Book Antiqua" w:cs="Book Antiqua"/>
          <w:color w:val="000000"/>
        </w:rPr>
        <w:t>(</w:t>
      </w:r>
      <w:r w:rsidRPr="000F4703">
        <w:rPr>
          <w:rFonts w:ascii="Book Antiqua" w:eastAsia="Book Antiqua" w:hAnsi="Book Antiqua" w:cs="Book Antiqua"/>
          <w:i/>
          <w:iCs/>
          <w:color w:val="000000"/>
        </w:rPr>
        <w:t xml:space="preserve">n </w:t>
      </w:r>
      <w:r w:rsidRPr="000F4703">
        <w:rPr>
          <w:rFonts w:ascii="Book Antiqua" w:eastAsia="Book Antiqua" w:hAnsi="Book Antiqua" w:cs="Book Antiqua"/>
          <w:color w:val="000000"/>
        </w:rPr>
        <w:t>=</w:t>
      </w:r>
      <w:r w:rsidR="00287A18"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55) and </w:t>
      </w:r>
      <w:r w:rsidR="002A54CF">
        <w:rPr>
          <w:rFonts w:ascii="Book Antiqua" w:eastAsia="Book Antiqua" w:hAnsi="Book Antiqua" w:cs="Book Antiqua"/>
          <w:color w:val="000000"/>
        </w:rPr>
        <w:t xml:space="preserve">ineffective </w:t>
      </w:r>
      <w:r w:rsidRPr="000F4703">
        <w:rPr>
          <w:rFonts w:ascii="Book Antiqua" w:eastAsia="Book Antiqua" w:hAnsi="Book Antiqua" w:cs="Book Antiqua"/>
          <w:color w:val="000000"/>
        </w:rPr>
        <w:t>(</w:t>
      </w:r>
      <w:r w:rsidRPr="000F4703">
        <w:rPr>
          <w:rFonts w:ascii="Book Antiqua" w:eastAsia="Book Antiqua" w:hAnsi="Book Antiqua" w:cs="Book Antiqua"/>
          <w:i/>
          <w:iCs/>
          <w:color w:val="000000"/>
        </w:rPr>
        <w:t xml:space="preserve">n </w:t>
      </w:r>
      <w:r w:rsidRPr="000F4703">
        <w:rPr>
          <w:rFonts w:ascii="Book Antiqua" w:eastAsia="Book Antiqua" w:hAnsi="Book Antiqua" w:cs="Book Antiqua"/>
          <w:color w:val="000000"/>
        </w:rPr>
        <w:t>=</w:t>
      </w:r>
      <w:r w:rsidR="00287A18"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5) groups. The relapse rate was 12.73% (7/55 cases). Five patients, four of whom had a thickened LEMP, had symptom recurrence within 12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after the procedure. One patient who had a thickened LEMP relapsed after 24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while another, who did not have a thickened LEMP, relapsed after 30 mo. Overall, the effectiveness (absence of relapse) of POEM was 87.3% up to 87 </w:t>
      </w:r>
      <w:proofErr w:type="spellStart"/>
      <w:r w:rsidRPr="000F4703">
        <w:rPr>
          <w:rFonts w:ascii="Book Antiqua" w:eastAsia="Book Antiqua" w:hAnsi="Book Antiqua" w:cs="Book Antiqua"/>
          <w:color w:val="000000"/>
        </w:rPr>
        <w:t>mo</w:t>
      </w:r>
      <w:proofErr w:type="spellEnd"/>
      <w:r w:rsidRPr="000F4703">
        <w:rPr>
          <w:rFonts w:ascii="Book Antiqua" w:eastAsia="Book Antiqua" w:hAnsi="Book Antiqua" w:cs="Book Antiqua"/>
          <w:color w:val="000000"/>
        </w:rPr>
        <w:t xml:space="preserve"> postoperatively (Figure 2).</w:t>
      </w:r>
    </w:p>
    <w:p w14:paraId="7E8E01A1" w14:textId="3B566241"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Patients with symptomatic recurrence were younger and had shorter disease duration. The relapse rate in patients without a thickened LEMP tended to be higher than patients with a thickened LEMP (2/11 patients </w:t>
      </w:r>
      <w:r w:rsidRPr="000F4703">
        <w:rPr>
          <w:rFonts w:ascii="Book Antiqua" w:eastAsia="Book Antiqua" w:hAnsi="Book Antiqua" w:cs="Book Antiqua"/>
          <w:i/>
          <w:iCs/>
          <w:color w:val="000000"/>
        </w:rPr>
        <w:t>vs</w:t>
      </w:r>
      <w:r w:rsidRPr="000F4703">
        <w:rPr>
          <w:rFonts w:ascii="Book Antiqua" w:eastAsia="Book Antiqua" w:hAnsi="Book Antiqua" w:cs="Book Antiqua"/>
          <w:color w:val="000000"/>
        </w:rPr>
        <w:t xml:space="preserve"> 5/44 patients). However, no significant difference was found. Data on patient characteristics according to POEM outcomes are shown in Table 2 and Figure 3. Younger age (hazard ratio</w:t>
      </w:r>
      <w:r w:rsidR="002A54CF">
        <w:rPr>
          <w:rFonts w:ascii="Book Antiqua" w:eastAsia="Book Antiqua" w:hAnsi="Book Antiqua" w:cs="Book Antiqua"/>
          <w:color w:val="000000"/>
        </w:rPr>
        <w:t xml:space="preserve"> =</w:t>
      </w:r>
      <w:r w:rsidR="002A54CF" w:rsidRPr="000F4703">
        <w:rPr>
          <w:rFonts w:ascii="Book Antiqua" w:eastAsia="Book Antiqua" w:hAnsi="Book Antiqua" w:cs="Book Antiqua"/>
          <w:color w:val="000000"/>
        </w:rPr>
        <w:t xml:space="preserve"> </w:t>
      </w:r>
      <w:r w:rsidR="00A20940"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male gender (</w:t>
      </w:r>
      <w:r w:rsidR="0075264B" w:rsidRPr="000F4703">
        <w:rPr>
          <w:rFonts w:ascii="Book Antiqua" w:eastAsia="Book Antiqua" w:hAnsi="Book Antiqua" w:cs="Book Antiqua"/>
          <w:color w:val="000000"/>
        </w:rPr>
        <w:t>hazard ratio</w:t>
      </w:r>
      <w:r w:rsidR="002A54CF">
        <w:rPr>
          <w:rFonts w:ascii="Book Antiqua" w:eastAsia="Book Antiqua" w:hAnsi="Book Antiqua" w:cs="Book Antiqua"/>
          <w:color w:val="000000"/>
        </w:rPr>
        <w:t xml:space="preserve"> =</w:t>
      </w:r>
      <w:r w:rsidR="002A54CF"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7.173; 95%</w:t>
      </w:r>
      <w:r w:rsidR="0075264B" w:rsidRPr="000F4703">
        <w:rPr>
          <w:rFonts w:ascii="Book Antiqua" w:eastAsia="Book Antiqua" w:hAnsi="Book Antiqua" w:cs="Book Antiqua"/>
          <w:color w:val="000000"/>
        </w:rPr>
        <w:t xml:space="preserve"> confidence interval</w:t>
      </w:r>
      <w:r w:rsidR="00A20940"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1.277-40.286;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found to be associated with recurrence according to Cox regression analysis (Table 3).</w:t>
      </w:r>
    </w:p>
    <w:p w14:paraId="28E169FC" w14:textId="77777777" w:rsidR="00A77B3E" w:rsidRPr="000F4703" w:rsidRDefault="00A77B3E" w:rsidP="000F4703">
      <w:pPr>
        <w:snapToGrid w:val="0"/>
        <w:spacing w:line="360" w:lineRule="auto"/>
        <w:jc w:val="both"/>
        <w:rPr>
          <w:rFonts w:ascii="Book Antiqua" w:hAnsi="Book Antiqua"/>
        </w:rPr>
      </w:pPr>
    </w:p>
    <w:p w14:paraId="6AABC2F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DISCUSSION</w:t>
      </w:r>
    </w:p>
    <w:p w14:paraId="5A64209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Although several previous studies have demonstrated that LEMP thickness is associated with POEM procedure duration and outcomes, the present study adds to the literature by specifically examining the relationship between LEMP thickness and long-term outcomes, including disease relapse after POEM. The results from the present retrospective chart review and statistical analysis suggest that non-thickened LEMP may be associated with increased disease recurrence. In addition, there is a correlation between older age, longer disease duration, and thickened LEMP.</w:t>
      </w:r>
    </w:p>
    <w:p w14:paraId="4E4392BB" w14:textId="7C04255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 xml:space="preserve">In previous reports, no significant correlation has been found between the severity of achalasia evaluated by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and LEMP </w:t>
      </w:r>
      <w:proofErr w:type="gramStart"/>
      <w:r w:rsidRPr="000F4703">
        <w:rPr>
          <w:rFonts w:ascii="Book Antiqua" w:eastAsia="Book Antiqua" w:hAnsi="Book Antiqua" w:cs="Book Antiqua"/>
          <w:color w:val="000000"/>
        </w:rPr>
        <w:t>thickness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19,22]</w:t>
      </w:r>
      <w:r w:rsidRPr="000F4703">
        <w:rPr>
          <w:rFonts w:ascii="Book Antiqua" w:eastAsia="Book Antiqua" w:hAnsi="Book Antiqua" w:cs="Book Antiqua"/>
          <w:color w:val="000000"/>
        </w:rPr>
        <w:t xml:space="preserve">. However, age, pneumatic dilation history, and male sex have been reported as predictors of a thickened LEMP in several </w:t>
      </w:r>
      <w:proofErr w:type="gramStart"/>
      <w:r w:rsidRPr="000F4703">
        <w:rPr>
          <w:rFonts w:ascii="Book Antiqua" w:eastAsia="Book Antiqua" w:hAnsi="Book Antiqua" w:cs="Book Antiqua"/>
          <w:color w:val="000000"/>
        </w:rPr>
        <w:t>studies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6,19,22,23]</w:t>
      </w:r>
      <w:r w:rsidRPr="000F4703">
        <w:rPr>
          <w:rFonts w:ascii="Book Antiqua" w:eastAsia="Book Antiqua" w:hAnsi="Book Antiqua" w:cs="Book Antiqua"/>
          <w:color w:val="000000"/>
        </w:rPr>
        <w:t xml:space="preserve">. Similarly, the present study showed a positive association between age and muscle thickness. In addition, the present analysis found an association between disease duration and LEMP thickness, as patients with a thickened LEMP had a significantly longer disease course. The results may be attributed to differences in patient characteristics among the studies as we also found a positive association between age and disease duration. Thus, the thickened LEMP could be due to prolonged exposure to reactive hyperplasia since longer disease duration means longer stimulation time. The reversibility of the LES hypertrophy after POEM provides supporting evidence for this </w:t>
      </w:r>
      <w:proofErr w:type="gramStart"/>
      <w:r w:rsidRPr="000F4703">
        <w:rPr>
          <w:rFonts w:ascii="Book Antiqua" w:eastAsia="Book Antiqua" w:hAnsi="Book Antiqua" w:cs="Book Antiqua"/>
          <w:color w:val="000000"/>
        </w:rPr>
        <w:t>theory</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18]</w:t>
      </w:r>
      <w:r w:rsidRPr="000F4703">
        <w:rPr>
          <w:rFonts w:ascii="Book Antiqua" w:eastAsia="Book Antiqua" w:hAnsi="Book Antiqua" w:cs="Book Antiqua"/>
          <w:color w:val="000000"/>
        </w:rPr>
        <w:t>.</w:t>
      </w:r>
    </w:p>
    <w:p w14:paraId="1160E129" w14:textId="2E9F02AA"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thickness of the LEMP may be associated with procedural outcomes and postoperative prognosis. We were not able to statistically evaluate the relationship between POEM-related complications and muscle thickness due to the small sample population. Previous studies have shown, without statistical significance, that there tended to be a positive association between muscle thickness, procedure duration, and complication </w:t>
      </w:r>
      <w:proofErr w:type="gramStart"/>
      <w:r w:rsidRPr="000F4703">
        <w:rPr>
          <w:rFonts w:ascii="Book Antiqua" w:eastAsia="Book Antiqua" w:hAnsi="Book Antiqua" w:cs="Book Antiqua"/>
          <w:color w:val="000000"/>
        </w:rPr>
        <w:t>rate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24]</w:t>
      </w:r>
      <w:r w:rsidRPr="000F4703">
        <w:rPr>
          <w:rFonts w:ascii="Book Antiqua" w:eastAsia="Book Antiqua" w:hAnsi="Book Antiqua" w:cs="Book Antiqua"/>
          <w:color w:val="000000"/>
        </w:rPr>
        <w:t>. As for postoperative prognosis, symptomatic recurrence has been reported to occur between 2-5 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after </w:t>
      </w:r>
      <w:proofErr w:type="gramStart"/>
      <w:r w:rsidRPr="000F4703">
        <w:rPr>
          <w:rFonts w:ascii="Book Antiqua" w:eastAsia="Book Antiqua" w:hAnsi="Book Antiqua" w:cs="Book Antiqua"/>
          <w:color w:val="000000"/>
        </w:rPr>
        <w:t>POEM</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14]</w:t>
      </w:r>
      <w:r w:rsidRPr="000F4703">
        <w:rPr>
          <w:rFonts w:ascii="Book Antiqua" w:eastAsia="Book Antiqua" w:hAnsi="Book Antiqua" w:cs="Book Antiqua"/>
          <w:color w:val="000000"/>
        </w:rPr>
        <w:t xml:space="preserve">. A medium-term recurrence rate of 18% was reported in a 2-year follow-up study. Although no explanations for recurrence were given, there was an association between younger age and increased rate of </w:t>
      </w:r>
      <w:proofErr w:type="gramStart"/>
      <w:r w:rsidRPr="000F4703">
        <w:rPr>
          <w:rFonts w:ascii="Book Antiqua" w:eastAsia="Book Antiqua" w:hAnsi="Book Antiqua" w:cs="Book Antiqua"/>
          <w:color w:val="000000"/>
        </w:rPr>
        <w:t>relapse</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16]</w:t>
      </w:r>
      <w:r w:rsidRPr="000F4703">
        <w:rPr>
          <w:rFonts w:ascii="Book Antiqua" w:eastAsia="Book Antiqua" w:hAnsi="Book Antiqua" w:cs="Book Antiqua"/>
          <w:color w:val="000000"/>
        </w:rPr>
        <w:t xml:space="preserve">. Watanabe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18]</w:t>
      </w:r>
      <w:r w:rsidRPr="000F4703">
        <w:rPr>
          <w:rFonts w:ascii="Book Antiqua" w:eastAsia="Book Antiqua" w:hAnsi="Book Antiqua" w:cs="Book Antiqua"/>
          <w:color w:val="000000"/>
        </w:rPr>
        <w:t xml:space="preserve"> reported no significant difference in clinical outcomes between patients with thick and those with thin LEMP in a 1-year follow-up study, observing no cases of recurrence. Li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15]</w:t>
      </w:r>
      <w:r w:rsidRPr="000F4703">
        <w:rPr>
          <w:rFonts w:ascii="Book Antiqua" w:eastAsia="Book Antiqua" w:hAnsi="Book Antiqua" w:cs="Book Antiqua"/>
          <w:color w:val="000000"/>
        </w:rPr>
        <w:t xml:space="preserve"> reported a cumulative recurrence rate of 13.7% at 5</w:t>
      </w:r>
      <w:r w:rsidR="00C95F0D">
        <w:rPr>
          <w:rFonts w:ascii="Book Antiqua" w:eastAsia="Book Antiqua" w:hAnsi="Book Antiqua" w:cs="Book Antiqua"/>
          <w:color w:val="000000"/>
        </w:rPr>
        <w:t xml:space="preserve"> </w:t>
      </w:r>
      <w:r w:rsidRPr="000F4703">
        <w:rPr>
          <w:rFonts w:ascii="Book Antiqua" w:eastAsia="Book Antiqua" w:hAnsi="Book Antiqua" w:cs="Book Antiqua"/>
          <w:color w:val="000000"/>
        </w:rPr>
        <w:t>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post-POEM that correlated with disease duration and interventional treatment history. In the same study, age and symptom severity showed no correlation </w:t>
      </w:r>
      <w:r w:rsidR="00C95F0D">
        <w:rPr>
          <w:rFonts w:ascii="Book Antiqua" w:eastAsia="Book Antiqua" w:hAnsi="Book Antiqua" w:cs="Book Antiqua"/>
          <w:color w:val="000000"/>
        </w:rPr>
        <w:t>with</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achalasia relapse.</w:t>
      </w:r>
    </w:p>
    <w:p w14:paraId="4CAA9179" w14:textId="2536120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lastRenderedPageBreak/>
        <w:t>Since the analysis of the present study confirmed a relationship between patient characteristics and LEMP thickness, the effect on recurrence was also analyzed. Although there was no statistical significance, there was a slightly higher relapse rate in patients with non-thickened LEMP. The lack of statistical significance may be due to the treatment of the muscle thickness measurements</w:t>
      </w:r>
      <w:r w:rsidR="00C95F0D">
        <w:rPr>
          <w:rFonts w:ascii="Book Antiqua" w:eastAsia="Book Antiqua" w:hAnsi="Book Antiqua" w:cs="Book Antiqua"/>
          <w:color w:val="000000"/>
        </w:rPr>
        <w:t xml:space="preserve"> </w:t>
      </w:r>
      <w:r w:rsidRPr="000F4703">
        <w:rPr>
          <w:rFonts w:ascii="Book Antiqua" w:eastAsia="Book Antiqua" w:hAnsi="Book Antiqua" w:cs="Book Antiqua"/>
          <w:color w:val="000000"/>
        </w:rPr>
        <w:t>as discontinuous data. Patients with a younger age and shorter disease duration had an increased rate of relapse. This may be explained by the better healing ability in younger individuals and the fact that patients with shorter disease duration did not have adequate reactive hyperplasia of the LES after esophageal functional obstruction. Our results may suggest that POEM in patients with a certain LEMP thickness caused by reactive hyperplasia has a lower disease recurrence rate.</w:t>
      </w:r>
    </w:p>
    <w:p w14:paraId="469BB5E9" w14:textId="5796A470"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Cox analysis showed that disease duration was not associated with recurrence, whereas age remained an effective predictor. This may be explained by the co-linear relationship between age and disease duration. Male sex was also a risk factor for recurrence, although the large confidence interval may indicate that this was a result of a sampling error. Besides, the extent of myotomy was not associated with POEM </w:t>
      </w:r>
      <w:proofErr w:type="gramStart"/>
      <w:r w:rsidRPr="000F4703">
        <w:rPr>
          <w:rFonts w:ascii="Book Antiqua" w:eastAsia="Book Antiqua" w:hAnsi="Book Antiqua" w:cs="Book Antiqua"/>
          <w:color w:val="000000"/>
        </w:rPr>
        <w:t>prognosis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25]</w:t>
      </w:r>
      <w:r w:rsidRPr="000F4703">
        <w:rPr>
          <w:rFonts w:ascii="Book Antiqua" w:eastAsia="Book Antiqua" w:hAnsi="Book Antiqua" w:cs="Book Antiqua"/>
          <w:color w:val="000000"/>
        </w:rPr>
        <w:t>. Therefore, our result is still reliable, although we are not able to discuss the effect of the degree of myotomy on prognosis after POEM as all patients enrolled underwent myotomy of the same degree in this study. Our result, which shows that younger age is associated with increased recurrence, concurs with the findings of Werner</w:t>
      </w:r>
      <w:r w:rsidRPr="000F4703">
        <w:rPr>
          <w:rFonts w:ascii="Book Antiqua" w:eastAsia="Book Antiqua" w:hAnsi="Book Antiqua" w:cs="Book Antiqua"/>
          <w:i/>
          <w:iCs/>
          <w:color w:val="000000"/>
        </w:rPr>
        <w:t xml:space="preserve"> et al</w:t>
      </w:r>
      <w:r w:rsidR="00A20940" w:rsidRPr="000F4703">
        <w:rPr>
          <w:rFonts w:ascii="Book Antiqua" w:eastAsia="Book Antiqua" w:hAnsi="Book Antiqua" w:cs="Book Antiqua"/>
          <w:iCs/>
          <w:color w:val="000000"/>
          <w:vertAlign w:val="superscript"/>
        </w:rPr>
        <w:t>[16]</w:t>
      </w:r>
      <w:r w:rsidRPr="000F4703">
        <w:rPr>
          <w:rFonts w:ascii="Book Antiqua" w:eastAsia="Book Antiqua" w:hAnsi="Book Antiqua" w:cs="Book Antiqua"/>
          <w:color w:val="000000"/>
        </w:rPr>
        <w:t xml:space="preserve"> but contradicts those of Li </w:t>
      </w:r>
      <w:r w:rsidRPr="000F4703">
        <w:rPr>
          <w:rFonts w:ascii="Book Antiqua" w:eastAsia="Book Antiqua" w:hAnsi="Book Antiqua" w:cs="Book Antiqua"/>
          <w:i/>
          <w:iCs/>
          <w:color w:val="000000"/>
        </w:rPr>
        <w:t>et al</w:t>
      </w:r>
      <w:r w:rsidRPr="000F4703">
        <w:rPr>
          <w:rFonts w:ascii="Book Antiqua" w:eastAsia="Book Antiqua" w:hAnsi="Book Antiqua" w:cs="Book Antiqua"/>
          <w:color w:val="000000"/>
          <w:vertAlign w:val="superscript"/>
        </w:rPr>
        <w:t>[15,16]</w:t>
      </w:r>
      <w:r w:rsidRPr="000F4703">
        <w:rPr>
          <w:rFonts w:ascii="Book Antiqua" w:eastAsia="Book Antiqua" w:hAnsi="Book Antiqua" w:cs="Book Antiqua"/>
          <w:color w:val="000000"/>
        </w:rPr>
        <w:t>. Therefore, the association between age, disease duration, and relapse after POEM remains unclear, and further large-scale validation studies are needed.</w:t>
      </w:r>
    </w:p>
    <w:p w14:paraId="5E9E7526" w14:textId="01B0968E"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The Chicago </w:t>
      </w:r>
      <w:r w:rsidR="00C95F0D">
        <w:rPr>
          <w:rFonts w:ascii="Book Antiqua" w:eastAsia="Book Antiqua" w:hAnsi="Book Antiqua" w:cs="Book Antiqua"/>
          <w:color w:val="000000"/>
        </w:rPr>
        <w:t>c</w:t>
      </w:r>
      <w:r w:rsidR="00C95F0D" w:rsidRPr="000F4703">
        <w:rPr>
          <w:rFonts w:ascii="Book Antiqua" w:eastAsia="Book Antiqua" w:hAnsi="Book Antiqua" w:cs="Book Antiqua"/>
          <w:color w:val="000000"/>
        </w:rPr>
        <w:t>lassification</w:t>
      </w:r>
      <w:r w:rsidRPr="000F4703">
        <w:rPr>
          <w:rFonts w:ascii="Book Antiqua" w:eastAsia="Book Antiqua" w:hAnsi="Book Antiqua" w:cs="Book Antiqua"/>
          <w:color w:val="000000"/>
        </w:rPr>
        <w:t xml:space="preserve">, based on high-resolution manometry, is a predictor of achalasia treatment outcomes. Subtype II has the best prognosis, whereas the prognosis of subtype I is slightly poorer and subtype III can be difficult to </w:t>
      </w:r>
      <w:proofErr w:type="gramStart"/>
      <w:r w:rsidRPr="000F4703">
        <w:rPr>
          <w:rFonts w:ascii="Book Antiqua" w:eastAsia="Book Antiqua" w:hAnsi="Book Antiqua" w:cs="Book Antiqua"/>
          <w:color w:val="000000"/>
        </w:rPr>
        <w:t>treat</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26]</w:t>
      </w:r>
      <w:r w:rsidRPr="000F4703">
        <w:rPr>
          <w:rFonts w:ascii="Book Antiqua" w:eastAsia="Book Antiqua" w:hAnsi="Book Antiqua" w:cs="Book Antiqua"/>
          <w:color w:val="000000"/>
        </w:rPr>
        <w:t xml:space="preserve">. Patients within the achalasia subtypes tend to have similar LEMP </w:t>
      </w:r>
      <w:proofErr w:type="gramStart"/>
      <w:r w:rsidRPr="000F4703">
        <w:rPr>
          <w:rFonts w:ascii="Book Antiqua" w:eastAsia="Book Antiqua" w:hAnsi="Book Antiqua" w:cs="Book Antiqua"/>
          <w:color w:val="000000"/>
        </w:rPr>
        <w:lastRenderedPageBreak/>
        <w:t>thicknesses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19,24]</w:t>
      </w:r>
      <w:r w:rsidRPr="000F4703">
        <w:rPr>
          <w:rFonts w:ascii="Book Antiqua" w:eastAsia="Book Antiqua" w:hAnsi="Book Antiqua" w:cs="Book Antiqua"/>
          <w:color w:val="000000"/>
        </w:rPr>
        <w:t xml:space="preserve">. The difference in prognostic efficacy between LEMP thickness and subtype is still unclear. However, some participants in our study were not available for manometry. To include a larger sample size in the present study, we did not evaluate the relationship between Chicago </w:t>
      </w:r>
      <w:r w:rsidR="00C95F0D">
        <w:rPr>
          <w:rFonts w:ascii="Book Antiqua" w:eastAsia="Book Antiqua" w:hAnsi="Book Antiqua" w:cs="Book Antiqua"/>
          <w:color w:val="000000"/>
        </w:rPr>
        <w:t>c</w:t>
      </w:r>
      <w:r w:rsidR="00C95F0D" w:rsidRPr="000F4703">
        <w:rPr>
          <w:rFonts w:ascii="Book Antiqua" w:eastAsia="Book Antiqua" w:hAnsi="Book Antiqua" w:cs="Book Antiqua"/>
          <w:color w:val="000000"/>
        </w:rPr>
        <w:t xml:space="preserve">lassification </w:t>
      </w:r>
      <w:r w:rsidRPr="000F4703">
        <w:rPr>
          <w:rFonts w:ascii="Book Antiqua" w:eastAsia="Book Antiqua" w:hAnsi="Book Antiqua" w:cs="Book Antiqua"/>
          <w:color w:val="000000"/>
        </w:rPr>
        <w:t>and POEM prognosis, nor did we compare the subtypes with LEMP thickness. We expect future studies to reveal the relationship between achalasia subtypes, LEMP thickness, and POEM prognosis.</w:t>
      </w:r>
    </w:p>
    <w:p w14:paraId="000113EA" w14:textId="6E8C838D"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LEMP thickness may help in diagnosing achalasia. A thickened LEMP in patients with achalasia was first observed in an </w:t>
      </w:r>
      <w:proofErr w:type="gramStart"/>
      <w:r w:rsidRPr="000F4703">
        <w:rPr>
          <w:rFonts w:ascii="Book Antiqua" w:eastAsia="Book Antiqua" w:hAnsi="Book Antiqua" w:cs="Book Antiqua"/>
          <w:color w:val="000000"/>
        </w:rPr>
        <w:t>autopsy</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4]</w:t>
      </w:r>
      <w:r w:rsidRPr="000F4703">
        <w:rPr>
          <w:rFonts w:ascii="Book Antiqua" w:eastAsia="Book Antiqua" w:hAnsi="Book Antiqua" w:cs="Book Antiqua"/>
          <w:color w:val="000000"/>
        </w:rPr>
        <w:t xml:space="preserve"> and with the development of EUS, measurement of the intrinsic muscle layer thickness </w:t>
      </w:r>
      <w:r w:rsidRPr="000F4703">
        <w:rPr>
          <w:rFonts w:ascii="Book Antiqua" w:eastAsia="Book Antiqua" w:hAnsi="Book Antiqua" w:cs="Book Antiqua"/>
          <w:i/>
          <w:iCs/>
          <w:color w:val="000000"/>
        </w:rPr>
        <w:t>in vivo</w:t>
      </w:r>
      <w:r w:rsidRPr="000F4703">
        <w:rPr>
          <w:rFonts w:ascii="Book Antiqua" w:eastAsia="Book Antiqua" w:hAnsi="Book Antiqua" w:cs="Book Antiqua"/>
          <w:color w:val="000000"/>
        </w:rPr>
        <w:t xml:space="preserve"> is feasible</w:t>
      </w:r>
      <w:r w:rsidRPr="000F4703">
        <w:rPr>
          <w:rFonts w:ascii="Book Antiqua" w:eastAsia="Book Antiqua" w:hAnsi="Book Antiqua" w:cs="Book Antiqua"/>
          <w:color w:val="000000"/>
          <w:vertAlign w:val="superscript"/>
        </w:rPr>
        <w:t>[8,27-30]</w:t>
      </w:r>
      <w:r w:rsidRPr="000F4703">
        <w:rPr>
          <w:rFonts w:ascii="Book Antiqua" w:eastAsia="Book Antiqua" w:hAnsi="Book Antiqua" w:cs="Book Antiqua"/>
          <w:color w:val="000000"/>
        </w:rPr>
        <w:t xml:space="preserve">. Using a 7.5-MHz ultrasound endoscope, </w:t>
      </w:r>
      <w:proofErr w:type="spellStart"/>
      <w:r w:rsidRPr="000F4703">
        <w:rPr>
          <w:rFonts w:ascii="Book Antiqua" w:eastAsia="Book Antiqua" w:hAnsi="Book Antiqua" w:cs="Book Antiqua"/>
          <w:color w:val="000000"/>
        </w:rPr>
        <w:t>Devière</w:t>
      </w:r>
      <w:proofErr w:type="spellEnd"/>
      <w:r w:rsidRPr="000F4703">
        <w:rPr>
          <w:rFonts w:ascii="Book Antiqua" w:eastAsia="Book Antiqua" w:hAnsi="Book Antiqua" w:cs="Book Antiqua"/>
          <w:i/>
          <w:iCs/>
          <w:color w:val="000000"/>
        </w:rPr>
        <w:t xml:space="preserve"> 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3]</w:t>
      </w:r>
      <w:r w:rsidRPr="000F4703">
        <w:rPr>
          <w:rFonts w:ascii="Book Antiqua" w:eastAsia="Book Antiqua" w:hAnsi="Book Antiqua" w:cs="Book Antiqua"/>
          <w:color w:val="000000"/>
        </w:rPr>
        <w:t xml:space="preserve"> reported a thickened LEMP in individuals with achalasia compared with healthy controls. Conversely, </w:t>
      </w:r>
      <w:proofErr w:type="spellStart"/>
      <w:r w:rsidRPr="000F4703">
        <w:rPr>
          <w:rFonts w:ascii="Book Antiqua" w:eastAsia="Book Antiqua" w:hAnsi="Book Antiqua" w:cs="Book Antiqua"/>
          <w:color w:val="000000"/>
        </w:rPr>
        <w:t>Ponsot</w:t>
      </w:r>
      <w:proofErr w:type="spellEnd"/>
      <w:r w:rsidRPr="000F4703">
        <w:rPr>
          <w:rFonts w:ascii="Book Antiqua" w:eastAsia="Book Antiqua" w:hAnsi="Book Antiqua" w:cs="Book Antiqua"/>
          <w:color w:val="000000"/>
        </w:rPr>
        <w:t xml:space="preserve"> </w:t>
      </w:r>
      <w:r w:rsidRPr="000F4703">
        <w:rPr>
          <w:rFonts w:ascii="Book Antiqua" w:eastAsia="Book Antiqua" w:hAnsi="Book Antiqua" w:cs="Book Antiqua"/>
          <w:i/>
          <w:iCs/>
          <w:color w:val="000000"/>
        </w:rPr>
        <w:t xml:space="preserve">et </w:t>
      </w:r>
      <w:proofErr w:type="gramStart"/>
      <w:r w:rsidRPr="000F4703">
        <w:rPr>
          <w:rFonts w:ascii="Book Antiqua" w:eastAsia="Book Antiqua" w:hAnsi="Book Antiqua" w:cs="Book Antiqua"/>
          <w:i/>
          <w:iCs/>
          <w:color w:val="000000"/>
        </w:rPr>
        <w:t>al</w:t>
      </w:r>
      <w:r w:rsidR="00212E73" w:rsidRPr="000F4703">
        <w:rPr>
          <w:rFonts w:ascii="Book Antiqua" w:eastAsia="Book Antiqua" w:hAnsi="Book Antiqua" w:cs="Book Antiqua"/>
          <w:color w:val="000000"/>
          <w:vertAlign w:val="superscript"/>
        </w:rPr>
        <w:t>[</w:t>
      </w:r>
      <w:proofErr w:type="gramEnd"/>
      <w:r w:rsidR="00212E73" w:rsidRPr="000F4703">
        <w:rPr>
          <w:rFonts w:ascii="Book Antiqua" w:eastAsia="Book Antiqua" w:hAnsi="Book Antiqua" w:cs="Book Antiqua"/>
          <w:color w:val="000000"/>
          <w:vertAlign w:val="superscript"/>
        </w:rPr>
        <w:t>31]</w:t>
      </w:r>
      <w:r w:rsidRPr="000F4703">
        <w:rPr>
          <w:rFonts w:ascii="Book Antiqua" w:eastAsia="Book Antiqua" w:hAnsi="Book Antiqua" w:cs="Book Antiqua"/>
          <w:color w:val="000000"/>
        </w:rPr>
        <w:t xml:space="preserve"> argued that those results may have been attributable to puckering of the EGJ and found that the LEMP was not thicker in patients with achalasia than in healthy controls. In the 30 y</w:t>
      </w:r>
      <w:r w:rsidR="00212E73" w:rsidRPr="000F4703">
        <w:rPr>
          <w:rFonts w:ascii="Book Antiqua" w:eastAsia="Book Antiqua" w:hAnsi="Book Antiqua" w:cs="Book Antiqua"/>
          <w:color w:val="000000"/>
        </w:rPr>
        <w:t>ea</w:t>
      </w:r>
      <w:r w:rsidRPr="000F4703">
        <w:rPr>
          <w:rFonts w:ascii="Book Antiqua" w:eastAsia="Book Antiqua" w:hAnsi="Book Antiqua" w:cs="Book Antiqua"/>
          <w:color w:val="000000"/>
        </w:rPr>
        <w:t>r</w:t>
      </w:r>
      <w:r w:rsidR="00C95F0D">
        <w:rPr>
          <w:rFonts w:ascii="Book Antiqua" w:eastAsia="Book Antiqua" w:hAnsi="Book Antiqua" w:cs="Book Antiqua"/>
          <w:color w:val="000000"/>
        </w:rPr>
        <w:t>s</w:t>
      </w:r>
      <w:r w:rsidRPr="000F4703">
        <w:rPr>
          <w:rFonts w:ascii="Book Antiqua" w:eastAsia="Book Antiqua" w:hAnsi="Book Antiqua" w:cs="Book Antiqua"/>
          <w:color w:val="000000"/>
        </w:rPr>
        <w:t xml:space="preserve"> since these studies, the number of studies that use different EUS techniques and include more participants have increased. Our results agree with many of these studies, where most of the individuals in the present study had a thickened </w:t>
      </w:r>
      <w:proofErr w:type="gramStart"/>
      <w:r w:rsidRPr="000F4703">
        <w:rPr>
          <w:rFonts w:ascii="Book Antiqua" w:eastAsia="Book Antiqua" w:hAnsi="Book Antiqua" w:cs="Book Antiqua"/>
          <w:color w:val="000000"/>
        </w:rPr>
        <w:t>LEMP</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5-7]</w:t>
      </w:r>
      <w:r w:rsidRPr="000F4703">
        <w:rPr>
          <w:rFonts w:ascii="Book Antiqua" w:eastAsia="Book Antiqua" w:hAnsi="Book Antiqua" w:cs="Book Antiqua"/>
          <w:color w:val="000000"/>
        </w:rPr>
        <w:t>. This suggests that LEMP thickness may be of value in achalasia diagnosis. However, because the identification of the differences in LEMP structure between patients with achalasia and healthy individuals is not easy, the use of muscle thickness in diagnosing achalasia is still controversial.</w:t>
      </w:r>
    </w:p>
    <w:p w14:paraId="4465BB12" w14:textId="48F26A35" w:rsidR="00A77B3E" w:rsidRPr="000F4703" w:rsidRDefault="006E3988" w:rsidP="000F4703">
      <w:pPr>
        <w:snapToGrid w:val="0"/>
        <w:spacing w:line="360" w:lineRule="auto"/>
        <w:ind w:firstLineChars="100" w:firstLine="240"/>
        <w:jc w:val="both"/>
        <w:rPr>
          <w:rFonts w:ascii="Book Antiqua" w:hAnsi="Book Antiqua"/>
        </w:rPr>
      </w:pPr>
      <w:r w:rsidRPr="000F4703">
        <w:rPr>
          <w:rFonts w:ascii="Book Antiqua" w:eastAsia="Book Antiqua" w:hAnsi="Book Antiqua" w:cs="Book Antiqua"/>
          <w:color w:val="000000"/>
        </w:rPr>
        <w:t xml:space="preserve">Our study has several limitations. First, it was done retrospectively and without a healthy control group for comparison of LEMP thickness according to age and other patient characteristics. Second, there was no protocol for measuring the esophageal wall thickness and variations in measurements have been noted in previous studies. Third, evaluation of disease severity and recurrence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can be highly subjective where physicians may tend to report more marked symptom improvement than </w:t>
      </w:r>
      <w:proofErr w:type="gramStart"/>
      <w:r w:rsidRPr="000F4703">
        <w:rPr>
          <w:rFonts w:ascii="Book Antiqua" w:eastAsia="Book Antiqua" w:hAnsi="Book Antiqua" w:cs="Book Antiqua"/>
          <w:color w:val="000000"/>
        </w:rPr>
        <w:t>patients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32]</w:t>
      </w:r>
      <w:r w:rsidRPr="000F4703">
        <w:rPr>
          <w:rFonts w:ascii="Book Antiqua" w:eastAsia="Book Antiqua" w:hAnsi="Book Antiqua" w:cs="Book Antiqua"/>
          <w:color w:val="000000"/>
        </w:rPr>
        <w:t xml:space="preserve">. Fourth, </w:t>
      </w:r>
      <w:r w:rsidRPr="000F4703">
        <w:rPr>
          <w:rFonts w:ascii="Book Antiqua" w:eastAsia="Book Antiqua" w:hAnsi="Book Antiqua" w:cs="Book Antiqua"/>
          <w:color w:val="000000"/>
        </w:rPr>
        <w:lastRenderedPageBreak/>
        <w:t xml:space="preserve">the cross-sectional area (CSA) of the muscularis propria may be a better indicator to estimate the degree of hypertrophy since a disassociation between muscle thickness and the CSA in some individuals with a dilated esophagus was observed. Patients with a dilated and distended esophagus may have a thin LEMP but a high CSA because of distension of the esophageal </w:t>
      </w:r>
      <w:proofErr w:type="gramStart"/>
      <w:r w:rsidRPr="000F4703">
        <w:rPr>
          <w:rFonts w:ascii="Book Antiqua" w:eastAsia="Book Antiqua" w:hAnsi="Book Antiqua" w:cs="Book Antiqua"/>
          <w:color w:val="000000"/>
        </w:rPr>
        <w:t>wall</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5]</w:t>
      </w:r>
      <w:r w:rsidRPr="000F4703">
        <w:rPr>
          <w:rFonts w:ascii="Book Antiqua" w:eastAsia="Book Antiqua" w:hAnsi="Book Antiqua" w:cs="Book Antiqua"/>
          <w:color w:val="000000"/>
        </w:rPr>
        <w:t xml:space="preserve">. Fifth, although the normal value of LEMP thickness is unknown, the cutoff of 3 mm is higher than that in previous </w:t>
      </w:r>
      <w:proofErr w:type="gramStart"/>
      <w:r w:rsidRPr="000F4703">
        <w:rPr>
          <w:rFonts w:ascii="Book Antiqua" w:eastAsia="Book Antiqua" w:hAnsi="Book Antiqua" w:cs="Book Antiqua"/>
          <w:color w:val="000000"/>
        </w:rPr>
        <w:t>studies</w:t>
      </w:r>
      <w:r w:rsidRPr="000F4703">
        <w:rPr>
          <w:rFonts w:ascii="Book Antiqua" w:eastAsia="Book Antiqua" w:hAnsi="Book Antiqua" w:cs="Book Antiqua"/>
          <w:color w:val="000000"/>
          <w:vertAlign w:val="superscript"/>
        </w:rPr>
        <w:t>[</w:t>
      </w:r>
      <w:proofErr w:type="gramEnd"/>
      <w:r w:rsidRPr="000F4703">
        <w:rPr>
          <w:rFonts w:ascii="Book Antiqua" w:eastAsia="Book Antiqua" w:hAnsi="Book Antiqua" w:cs="Book Antiqua"/>
          <w:color w:val="000000"/>
          <w:vertAlign w:val="superscript"/>
        </w:rPr>
        <w:t>3,23,24]</w:t>
      </w:r>
      <w:r w:rsidRPr="000F4703">
        <w:rPr>
          <w:rFonts w:ascii="Book Antiqua" w:eastAsia="Book Antiqua" w:hAnsi="Book Antiqua" w:cs="Book Antiqua"/>
          <w:color w:val="000000"/>
        </w:rPr>
        <w:t>. This suggests that our patient population may not be the best representative of Achalasia patients in general, a fact that might undermine the external validity of the results. However, considering the difference of age and disease duration in patients with different LEMP thickness</w:t>
      </w:r>
      <w:r w:rsidR="00C95F0D">
        <w:rPr>
          <w:rFonts w:ascii="Book Antiqua" w:eastAsia="Book Antiqua" w:hAnsi="Book Antiqua" w:cs="Book Antiqua"/>
          <w:color w:val="000000"/>
        </w:rPr>
        <w:t>es</w:t>
      </w:r>
      <w:r w:rsidRPr="000F4703">
        <w:rPr>
          <w:rFonts w:ascii="Book Antiqua" w:eastAsia="Book Antiqua" w:hAnsi="Book Antiqua" w:cs="Book Antiqua"/>
          <w:color w:val="000000"/>
        </w:rPr>
        <w:t xml:space="preserve">, we believed </w:t>
      </w:r>
      <w:r w:rsidR="00C95F0D">
        <w:rPr>
          <w:rFonts w:ascii="Book Antiqua" w:eastAsia="Book Antiqua" w:hAnsi="Book Antiqua" w:cs="Book Antiqua"/>
          <w:color w:val="000000"/>
        </w:rPr>
        <w:t xml:space="preserve">that </w:t>
      </w:r>
      <w:r w:rsidRPr="000F4703">
        <w:rPr>
          <w:rFonts w:ascii="Book Antiqua" w:eastAsia="Book Antiqua" w:hAnsi="Book Antiqua" w:cs="Book Antiqua"/>
          <w:color w:val="000000"/>
        </w:rPr>
        <w:t xml:space="preserve">the 3 mm cutoff in this study </w:t>
      </w:r>
      <w:r w:rsidR="00C95F0D">
        <w:rPr>
          <w:rFonts w:ascii="Book Antiqua" w:eastAsia="Book Antiqua" w:hAnsi="Book Antiqua" w:cs="Book Antiqua"/>
          <w:color w:val="000000"/>
        </w:rPr>
        <w:t xml:space="preserve">is </w:t>
      </w:r>
      <w:r w:rsidRPr="000F4703">
        <w:rPr>
          <w:rFonts w:ascii="Book Antiqua" w:eastAsia="Book Antiqua" w:hAnsi="Book Antiqua" w:cs="Book Antiqua"/>
          <w:color w:val="000000"/>
        </w:rPr>
        <w:t>reasonable. In addition, the pathophysiology of achalasia is not fully understood and the role of muscular features in the progress</w:t>
      </w:r>
      <w:r w:rsidR="00C95F0D">
        <w:rPr>
          <w:rFonts w:ascii="Book Antiqua" w:eastAsia="Book Antiqua" w:hAnsi="Book Antiqua" w:cs="Book Antiqua"/>
          <w:color w:val="000000"/>
        </w:rPr>
        <w:t>ion</w:t>
      </w:r>
      <w:r w:rsidRPr="000F4703">
        <w:rPr>
          <w:rFonts w:ascii="Book Antiqua" w:eastAsia="Book Antiqua" w:hAnsi="Book Antiqua" w:cs="Book Antiqua"/>
          <w:color w:val="000000"/>
        </w:rPr>
        <w:t xml:space="preserve"> and prognosis of the disease is still undetermined. Therefore, future studies should focus on </w:t>
      </w:r>
      <w:r w:rsidRPr="000F4703">
        <w:rPr>
          <w:rFonts w:ascii="Book Antiqua" w:eastAsia="Book Antiqua" w:hAnsi="Book Antiqua" w:cs="Book Antiqua"/>
          <w:color w:val="000000"/>
          <w:shd w:val="clear" w:color="auto" w:fill="FFFFFF"/>
        </w:rPr>
        <w:t>clarifying the etiology of the disease to explain the mechanisms associated with its pathophysiology.</w:t>
      </w:r>
    </w:p>
    <w:p w14:paraId="0DC66AD3" w14:textId="77777777" w:rsidR="00A77B3E" w:rsidRPr="000F4703" w:rsidRDefault="00A77B3E" w:rsidP="000F4703">
      <w:pPr>
        <w:snapToGrid w:val="0"/>
        <w:spacing w:line="360" w:lineRule="auto"/>
        <w:jc w:val="both"/>
        <w:rPr>
          <w:rFonts w:ascii="Book Antiqua" w:hAnsi="Book Antiqua"/>
        </w:rPr>
      </w:pPr>
    </w:p>
    <w:p w14:paraId="0FFCD45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CONCLUSION</w:t>
      </w:r>
    </w:p>
    <w:p w14:paraId="716B6745" w14:textId="46ECDE2C"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Most patients with achalasia </w:t>
      </w:r>
      <w:r w:rsidR="00C95F0D" w:rsidRPr="000F4703">
        <w:rPr>
          <w:rFonts w:ascii="Book Antiqua" w:eastAsia="Book Antiqua" w:hAnsi="Book Antiqua" w:cs="Book Antiqua"/>
          <w:color w:val="000000"/>
        </w:rPr>
        <w:t>ha</w:t>
      </w:r>
      <w:r w:rsidR="00C95F0D">
        <w:rPr>
          <w:rFonts w:ascii="Book Antiqua" w:eastAsia="Book Antiqua" w:hAnsi="Book Antiqua" w:cs="Book Antiqua"/>
          <w:color w:val="000000"/>
        </w:rPr>
        <w:t>ve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thickened muscularis propria determined by EUS measurement. Therefore, it is likely that EUS can help diagnose achalasia. Patients with a thickened muscularis </w:t>
      </w:r>
      <w:r w:rsidR="00C95F0D">
        <w:rPr>
          <w:rFonts w:ascii="Book Antiqua" w:eastAsia="Book Antiqua" w:hAnsi="Book Antiqua" w:cs="Book Antiqua"/>
          <w:color w:val="000000"/>
        </w:rPr>
        <w:t>are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had a longer disease course. Younger age and male gender </w:t>
      </w:r>
      <w:r w:rsidR="00C95F0D">
        <w:rPr>
          <w:rFonts w:ascii="Book Antiqua" w:eastAsia="Book Antiqua" w:hAnsi="Book Antiqua" w:cs="Book Antiqua"/>
          <w:color w:val="000000"/>
        </w:rPr>
        <w:t>are</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recurrence in the present study. Patients with a thin muscularis propria may have a higher risk of symptomatic recurrence, but validation through further large-scale studies is needed.</w:t>
      </w:r>
    </w:p>
    <w:p w14:paraId="4065B575" w14:textId="77777777" w:rsidR="00A77B3E" w:rsidRPr="000F4703" w:rsidRDefault="00A77B3E" w:rsidP="000F4703">
      <w:pPr>
        <w:snapToGrid w:val="0"/>
        <w:spacing w:line="360" w:lineRule="auto"/>
        <w:jc w:val="both"/>
        <w:rPr>
          <w:rFonts w:ascii="Book Antiqua" w:hAnsi="Book Antiqua"/>
        </w:rPr>
      </w:pPr>
    </w:p>
    <w:p w14:paraId="18EF18D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ARTICLE HIGHLIGHTS</w:t>
      </w:r>
    </w:p>
    <w:p w14:paraId="27994AB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background</w:t>
      </w:r>
    </w:p>
    <w:p w14:paraId="3ED55C46" w14:textId="08140E16"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Peroral endoscopic myotomy (POEM) procedure is an effective treatment </w:t>
      </w:r>
      <w:r w:rsidR="00C95F0D">
        <w:rPr>
          <w:rFonts w:ascii="Book Antiqua" w:eastAsia="Book Antiqua" w:hAnsi="Book Antiqua" w:cs="Book Antiqua"/>
          <w:color w:val="000000"/>
        </w:rPr>
        <w:t>for</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achalasia as it cuts open the lower esophageal muscularis propria (LEMP) </w:t>
      </w:r>
      <w:r w:rsidRPr="000F4703">
        <w:rPr>
          <w:rFonts w:ascii="Book Antiqua" w:eastAsia="Book Antiqua" w:hAnsi="Book Antiqua" w:cs="Book Antiqua"/>
          <w:color w:val="000000"/>
        </w:rPr>
        <w:lastRenderedPageBreak/>
        <w:t>directly. LEMP thickness of achalasia patients may be associated with the outcomes and prognosis after POEM.</w:t>
      </w:r>
    </w:p>
    <w:p w14:paraId="1A41CFEF" w14:textId="77777777" w:rsidR="00A77B3E" w:rsidRPr="000F4703" w:rsidRDefault="00A77B3E" w:rsidP="000F4703">
      <w:pPr>
        <w:snapToGrid w:val="0"/>
        <w:spacing w:line="360" w:lineRule="auto"/>
        <w:jc w:val="both"/>
        <w:rPr>
          <w:rFonts w:ascii="Book Antiqua" w:hAnsi="Book Antiqua"/>
        </w:rPr>
      </w:pPr>
    </w:p>
    <w:p w14:paraId="69D2C9E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motivation</w:t>
      </w:r>
    </w:p>
    <w:p w14:paraId="5697B69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Patients who undergo POEM are at risk for disease recurrence. Several predictors have been reported while the relationship between LEMP thickness and long-term prognosis after POEM is unclear.</w:t>
      </w:r>
    </w:p>
    <w:p w14:paraId="1543E638" w14:textId="77777777" w:rsidR="00A77B3E" w:rsidRPr="000F4703" w:rsidRDefault="00A77B3E" w:rsidP="000F4703">
      <w:pPr>
        <w:snapToGrid w:val="0"/>
        <w:spacing w:line="360" w:lineRule="auto"/>
        <w:jc w:val="both"/>
        <w:rPr>
          <w:rFonts w:ascii="Book Antiqua" w:hAnsi="Book Antiqua"/>
        </w:rPr>
      </w:pPr>
    </w:p>
    <w:p w14:paraId="68E3AA6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objectives</w:t>
      </w:r>
    </w:p>
    <w:p w14:paraId="010C9314" w14:textId="1B5E9FA8"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In this retrospective study, we analyzed the relationship between LEMP thickness, patient characteristics</w:t>
      </w:r>
      <w:r w:rsidR="00C95F0D">
        <w:rPr>
          <w:rFonts w:ascii="Book Antiqua" w:eastAsia="Book Antiqua" w:hAnsi="Book Antiqua" w:cs="Book Antiqua"/>
          <w:color w:val="000000"/>
        </w:rPr>
        <w:t>,</w:t>
      </w:r>
      <w:r w:rsidRPr="000F4703">
        <w:rPr>
          <w:rFonts w:ascii="Book Antiqua" w:eastAsia="Book Antiqua" w:hAnsi="Book Antiqua" w:cs="Book Antiqua"/>
          <w:color w:val="000000"/>
        </w:rPr>
        <w:t xml:space="preserve"> and long-term prognosis after POEM in individuals who underwent POEM for achalasia at our health center in the past seven years.</w:t>
      </w:r>
    </w:p>
    <w:p w14:paraId="5A730416" w14:textId="77777777" w:rsidR="00A77B3E" w:rsidRPr="000F4703" w:rsidRDefault="00A77B3E" w:rsidP="000F4703">
      <w:pPr>
        <w:snapToGrid w:val="0"/>
        <w:spacing w:line="360" w:lineRule="auto"/>
        <w:jc w:val="both"/>
        <w:rPr>
          <w:rFonts w:ascii="Book Antiqua" w:hAnsi="Book Antiqua"/>
        </w:rPr>
      </w:pPr>
    </w:p>
    <w:p w14:paraId="0970A51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methods</w:t>
      </w:r>
    </w:p>
    <w:p w14:paraId="41798A1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All medical records, including EUS data, of patients who underwent POEM to treat achalasia at </w:t>
      </w:r>
      <w:proofErr w:type="spellStart"/>
      <w:r w:rsidRPr="000F4703">
        <w:rPr>
          <w:rFonts w:ascii="Book Antiqua" w:eastAsia="Book Antiqua" w:hAnsi="Book Antiqua" w:cs="Book Antiqua"/>
          <w:color w:val="000000"/>
        </w:rPr>
        <w:t>Shengjing</w:t>
      </w:r>
      <w:proofErr w:type="spellEnd"/>
      <w:r w:rsidRPr="000F4703">
        <w:rPr>
          <w:rFonts w:ascii="Book Antiqua" w:eastAsia="Book Antiqua" w:hAnsi="Book Antiqua" w:cs="Book Antiqua"/>
          <w:color w:val="000000"/>
        </w:rPr>
        <w:t xml:space="preserve"> Hospital of China Medical University from January 2012 to September 2018 were retrospectively reviewed. The severity of patient symptoms was evaluated using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Relapse was defined as a 3-point rise in the </w:t>
      </w:r>
      <w:proofErr w:type="spellStart"/>
      <w:r w:rsidRPr="000F4703">
        <w:rPr>
          <w:rFonts w:ascii="Book Antiqua" w:eastAsia="Book Antiqua" w:hAnsi="Book Antiqua" w:cs="Book Antiqua"/>
          <w:color w:val="000000"/>
        </w:rPr>
        <w:t>Eckardt</w:t>
      </w:r>
      <w:proofErr w:type="spellEnd"/>
      <w:r w:rsidRPr="000F4703">
        <w:rPr>
          <w:rFonts w:ascii="Book Antiqua" w:eastAsia="Book Antiqua" w:hAnsi="Book Antiqua" w:cs="Book Antiqua"/>
          <w:color w:val="000000"/>
        </w:rPr>
        <w:t xml:space="preserve"> score after a period of clinical remission. The relationship between patient characteristics, muscle thickness, and recurrence was analyzed.</w:t>
      </w:r>
    </w:p>
    <w:p w14:paraId="6EB46DEC" w14:textId="77777777" w:rsidR="00A77B3E" w:rsidRPr="000F4703" w:rsidRDefault="00A77B3E" w:rsidP="000F4703">
      <w:pPr>
        <w:snapToGrid w:val="0"/>
        <w:spacing w:line="360" w:lineRule="auto"/>
        <w:jc w:val="both"/>
        <w:rPr>
          <w:rFonts w:ascii="Book Antiqua" w:hAnsi="Book Antiqua"/>
        </w:rPr>
      </w:pPr>
    </w:p>
    <w:p w14:paraId="1AE9EC7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results</w:t>
      </w:r>
    </w:p>
    <w:p w14:paraId="1B20B90B" w14:textId="1C8448F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Older age and longer disease course were associated with muscularis propria thickening (</w:t>
      </w:r>
      <w:r w:rsidRPr="000F4703">
        <w:rPr>
          <w:rFonts w:ascii="Book Antiqua" w:eastAsia="Book Antiqua" w:hAnsi="Book Antiqua" w:cs="Book Antiqua"/>
          <w:i/>
          <w:iCs/>
          <w:color w:val="000000"/>
        </w:rPr>
        <w:t xml:space="preserve">P </w:t>
      </w:r>
      <w:r w:rsidRPr="000F4703">
        <w:rPr>
          <w:rFonts w:ascii="Book Antiqua" w:eastAsia="Book Antiqua" w:hAnsi="Book Antiqua" w:cs="Book Antiqua"/>
          <w:color w:val="000000"/>
        </w:rPr>
        <w:t>&lt; 0.05). Patients with recurrence were typically younger and had a shorter disease course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The relapse rate in patients with a non-thickened muscularis propria tended to be higher (18.2%, 2/11 patients) than patients with a thickened muscularis propria (11.4%, 5/44 patients), although no </w:t>
      </w:r>
      <w:r w:rsidRPr="000F4703">
        <w:rPr>
          <w:rFonts w:ascii="Book Antiqua" w:eastAsia="Book Antiqua" w:hAnsi="Book Antiqua" w:cs="Book Antiqua"/>
          <w:color w:val="000000"/>
        </w:rPr>
        <w:lastRenderedPageBreak/>
        <w:t>significant differen</w:t>
      </w:r>
      <w:r w:rsidR="00A20940" w:rsidRPr="000F4703">
        <w:rPr>
          <w:rFonts w:ascii="Book Antiqua" w:eastAsia="Book Antiqua" w:hAnsi="Book Antiqua" w:cs="Book Antiqua"/>
          <w:color w:val="000000"/>
        </w:rPr>
        <w:t>ce was found. Age (hazard ratio</w:t>
      </w:r>
      <w:r w:rsidR="00C95F0D">
        <w:rPr>
          <w:rFonts w:ascii="Book Antiqua" w:eastAsia="Book Antiqua" w:hAnsi="Book Antiqua" w:cs="Book Antiqua"/>
          <w:color w:val="000000"/>
        </w:rPr>
        <w:t xml:space="preserve"> =</w:t>
      </w:r>
      <w:r w:rsidR="00C95F0D" w:rsidRPr="000F4703">
        <w:rPr>
          <w:rFonts w:ascii="Book Antiqua" w:eastAsia="Book Antiqua" w:hAnsi="Book Antiqua" w:cs="Book Antiqua"/>
          <w:color w:val="000000"/>
        </w:rPr>
        <w:t xml:space="preserve"> </w:t>
      </w:r>
      <w:r w:rsidR="00A20940" w:rsidRPr="000F4703">
        <w:rPr>
          <w:rFonts w:ascii="Book Antiqua" w:eastAsia="Book Antiqua" w:hAnsi="Book Antiqua" w:cs="Book Antiqua"/>
          <w:color w:val="000000"/>
        </w:rPr>
        <w:t>0.92; 95% confidence interval:</w:t>
      </w:r>
      <w:r w:rsidRPr="000F4703">
        <w:rPr>
          <w:rFonts w:ascii="Book Antiqua" w:eastAsia="Book Antiqua" w:hAnsi="Book Antiqua" w:cs="Book Antiqua"/>
          <w:color w:val="000000"/>
        </w:rPr>
        <w:t xml:space="preserve"> 0.865-0.979;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and male sex (</w:t>
      </w:r>
      <w:r w:rsidR="002978C0" w:rsidRPr="000F4703">
        <w:rPr>
          <w:rFonts w:ascii="Book Antiqua" w:eastAsia="Book Antiqua" w:hAnsi="Book Antiqua" w:cs="Book Antiqua"/>
          <w:color w:val="000000"/>
        </w:rPr>
        <w:t>hazard ratio</w:t>
      </w:r>
      <w:r w:rsidR="00C95F0D">
        <w:rPr>
          <w:rFonts w:ascii="Book Antiqua" w:eastAsia="Book Antiqua" w:hAnsi="Book Antiqua" w:cs="Book Antiqua"/>
          <w:color w:val="000000"/>
        </w:rPr>
        <w:t xml:space="preserve"> =</w:t>
      </w:r>
      <w:r w:rsidR="00C95F0D"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7.173; 95%</w:t>
      </w:r>
      <w:r w:rsidR="002978C0" w:rsidRPr="000F4703">
        <w:rPr>
          <w:rFonts w:ascii="Book Antiqua" w:eastAsia="Book Antiqua" w:hAnsi="Book Antiqua" w:cs="Book Antiqua"/>
          <w:color w:val="000000"/>
        </w:rPr>
        <w:t xml:space="preserve"> confidence interval</w:t>
      </w:r>
      <w:r w:rsidR="00A20940" w:rsidRPr="000F4703">
        <w:rPr>
          <w:rFonts w:ascii="Book Antiqua" w:eastAsia="Book Antiqua" w:hAnsi="Book Antiqua" w:cs="Book Antiqua"/>
          <w:color w:val="000000"/>
        </w:rPr>
        <w:t>:</w:t>
      </w:r>
      <w:r w:rsidRPr="000F4703">
        <w:rPr>
          <w:rFonts w:ascii="Book Antiqua" w:eastAsia="Book Antiqua" w:hAnsi="Book Antiqua" w:cs="Book Antiqua"/>
          <w:color w:val="000000"/>
        </w:rPr>
        <w:t xml:space="preserve"> 1.277-40.286; </w:t>
      </w:r>
      <w:r w:rsidRPr="000F4703">
        <w:rPr>
          <w:rFonts w:ascii="Book Antiqua" w:eastAsia="Book Antiqua" w:hAnsi="Book Antiqua" w:cs="Book Antiqua"/>
          <w:i/>
          <w:iCs/>
          <w:color w:val="000000"/>
        </w:rPr>
        <w:t>P</w:t>
      </w:r>
      <w:r w:rsidRPr="000F4703">
        <w:rPr>
          <w:rFonts w:ascii="Book Antiqua" w:eastAsia="Book Antiqua" w:hAnsi="Book Antiqua" w:cs="Book Antiqua"/>
          <w:color w:val="000000"/>
        </w:rPr>
        <w:t xml:space="preserve"> &lt; 0.05) were identified as risk factors for symptomatic recurrence by multivariable analysis using the Cox model.</w:t>
      </w:r>
    </w:p>
    <w:p w14:paraId="5167967D" w14:textId="77777777" w:rsidR="00A77B3E" w:rsidRPr="000F4703" w:rsidRDefault="00A77B3E" w:rsidP="000F4703">
      <w:pPr>
        <w:snapToGrid w:val="0"/>
        <w:spacing w:line="360" w:lineRule="auto"/>
        <w:jc w:val="both"/>
        <w:rPr>
          <w:rFonts w:ascii="Book Antiqua" w:hAnsi="Book Antiqua"/>
        </w:rPr>
      </w:pPr>
    </w:p>
    <w:p w14:paraId="0E051BC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conclusions</w:t>
      </w:r>
    </w:p>
    <w:p w14:paraId="7508012D" w14:textId="4D7A6EB6"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Patients with a thickened muscularis </w:t>
      </w:r>
      <w:r w:rsidR="000C504E">
        <w:rPr>
          <w:rFonts w:ascii="Book Antiqua" w:eastAsia="Book Antiqua" w:hAnsi="Book Antiqua" w:cs="Book Antiqua"/>
          <w:color w:val="000000"/>
        </w:rPr>
        <w:t>are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typically older and </w:t>
      </w:r>
      <w:r w:rsidR="000C504E" w:rsidRPr="000F4703">
        <w:rPr>
          <w:rFonts w:ascii="Book Antiqua" w:eastAsia="Book Antiqua" w:hAnsi="Book Antiqua" w:cs="Book Antiqua"/>
          <w:color w:val="000000"/>
        </w:rPr>
        <w:t>ha</w:t>
      </w:r>
      <w:r w:rsidR="000C504E">
        <w:rPr>
          <w:rFonts w:ascii="Book Antiqua" w:eastAsia="Book Antiqua" w:hAnsi="Book Antiqua" w:cs="Book Antiqua"/>
          <w:color w:val="000000"/>
        </w:rPr>
        <w:t>ve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 xml:space="preserve">a longer disease course than those without a thickened muscularis. Younger age and male sex </w:t>
      </w:r>
      <w:r w:rsidR="000C504E">
        <w:rPr>
          <w:rFonts w:ascii="Book Antiqua" w:eastAsia="Book Antiqua" w:hAnsi="Book Antiqua" w:cs="Book Antiqua"/>
          <w:color w:val="000000"/>
        </w:rPr>
        <w:t>are</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associated with increased recurrence. Patients with a thin muscularis propria may be prone to relapse, although further validation is needed.</w:t>
      </w:r>
    </w:p>
    <w:p w14:paraId="4F2211A9" w14:textId="77777777" w:rsidR="00A77B3E" w:rsidRPr="000F4703" w:rsidRDefault="00A77B3E" w:rsidP="000F4703">
      <w:pPr>
        <w:snapToGrid w:val="0"/>
        <w:spacing w:line="360" w:lineRule="auto"/>
        <w:jc w:val="both"/>
        <w:rPr>
          <w:rFonts w:ascii="Book Antiqua" w:hAnsi="Book Antiqua"/>
        </w:rPr>
      </w:pPr>
    </w:p>
    <w:p w14:paraId="690C530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i/>
          <w:color w:val="000000"/>
        </w:rPr>
        <w:t>Research perspectives</w:t>
      </w:r>
    </w:p>
    <w:p w14:paraId="18DA8DE3" w14:textId="6CF6166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A large-scale prospective study should be conducted to gain more evidence </w:t>
      </w:r>
      <w:r w:rsidR="000C504E">
        <w:rPr>
          <w:rFonts w:ascii="Book Antiqua" w:eastAsia="Book Antiqua" w:hAnsi="Book Antiqua" w:cs="Book Antiqua"/>
          <w:color w:val="000000"/>
        </w:rPr>
        <w:t>for</w:t>
      </w:r>
      <w:r w:rsidR="000C504E" w:rsidRPr="000F4703">
        <w:rPr>
          <w:rFonts w:ascii="Book Antiqua" w:eastAsia="Book Antiqua" w:hAnsi="Book Antiqua" w:cs="Book Antiqua"/>
          <w:color w:val="000000"/>
        </w:rPr>
        <w:t xml:space="preserve"> </w:t>
      </w:r>
      <w:r w:rsidRPr="000F4703">
        <w:rPr>
          <w:rFonts w:ascii="Book Antiqua" w:eastAsia="Book Antiqua" w:hAnsi="Book Antiqua" w:cs="Book Antiqua"/>
          <w:color w:val="000000"/>
        </w:rPr>
        <w:t>the relationship between achalasia subtypes, LEMP thickness, and POEM prognosis.</w:t>
      </w:r>
    </w:p>
    <w:p w14:paraId="1381FC7C" w14:textId="77777777" w:rsidR="00A77B3E" w:rsidRPr="000F4703" w:rsidRDefault="00A77B3E" w:rsidP="000F4703">
      <w:pPr>
        <w:snapToGrid w:val="0"/>
        <w:spacing w:line="360" w:lineRule="auto"/>
        <w:jc w:val="both"/>
        <w:rPr>
          <w:rFonts w:ascii="Book Antiqua" w:hAnsi="Book Antiqua"/>
        </w:rPr>
      </w:pPr>
    </w:p>
    <w:p w14:paraId="7CBFCB4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aps/>
          <w:color w:val="000000"/>
          <w:u w:val="single"/>
        </w:rPr>
        <w:t>ACKNOWLEDGEMENTS</w:t>
      </w:r>
    </w:p>
    <w:p w14:paraId="64E75A42" w14:textId="7268E3F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We thank </w:t>
      </w:r>
      <w:r w:rsidRPr="002B7BA1">
        <w:rPr>
          <w:rFonts w:ascii="Book Antiqua" w:eastAsia="Book Antiqua" w:hAnsi="Book Antiqua" w:cs="Book Antiqua"/>
          <w:caps/>
          <w:color w:val="000000"/>
        </w:rPr>
        <w:t>p</w:t>
      </w:r>
      <w:r w:rsidRPr="000F4703">
        <w:rPr>
          <w:rFonts w:ascii="Book Antiqua" w:eastAsia="Book Antiqua" w:hAnsi="Book Antiqua" w:cs="Book Antiqua"/>
          <w:color w:val="000000"/>
        </w:rPr>
        <w:t>rofessor Si-</w:t>
      </w:r>
      <w:r w:rsidRPr="002B7BA1">
        <w:rPr>
          <w:rFonts w:ascii="Book Antiqua" w:eastAsia="Book Antiqua" w:hAnsi="Book Antiqua" w:cs="Book Antiqua"/>
          <w:caps/>
          <w:color w:val="000000"/>
        </w:rPr>
        <w:t>y</w:t>
      </w:r>
      <w:r w:rsidRPr="000F4703">
        <w:rPr>
          <w:rFonts w:ascii="Book Antiqua" w:eastAsia="Book Antiqua" w:hAnsi="Book Antiqua" w:cs="Book Antiqua"/>
          <w:color w:val="000000"/>
        </w:rPr>
        <w:t>u Sun, the co-corresponding author of this article, for his support and guidance to this study, as well as all other doctors who participated in this study.</w:t>
      </w:r>
    </w:p>
    <w:p w14:paraId="1A7E779C" w14:textId="77777777" w:rsidR="00A77B3E" w:rsidRPr="000F4703" w:rsidRDefault="00A77B3E" w:rsidP="000F4703">
      <w:pPr>
        <w:snapToGrid w:val="0"/>
        <w:spacing w:line="360" w:lineRule="auto"/>
        <w:jc w:val="both"/>
        <w:rPr>
          <w:rFonts w:ascii="Book Antiqua" w:hAnsi="Book Antiqua"/>
        </w:rPr>
      </w:pPr>
    </w:p>
    <w:p w14:paraId="00BF692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REFERENCES</w:t>
      </w:r>
    </w:p>
    <w:p w14:paraId="4A31A99A" w14:textId="77777777" w:rsidR="00A77B3E" w:rsidRPr="000F4703" w:rsidRDefault="006E3988" w:rsidP="000F4703">
      <w:pPr>
        <w:snapToGrid w:val="0"/>
        <w:spacing w:line="360" w:lineRule="auto"/>
        <w:jc w:val="both"/>
        <w:rPr>
          <w:rFonts w:ascii="Book Antiqua" w:hAnsi="Book Antiqua"/>
        </w:rPr>
      </w:pPr>
      <w:bookmarkStart w:id="8" w:name="OLE_LINK7"/>
      <w:bookmarkStart w:id="9" w:name="OLE_LINK8"/>
      <w:r w:rsidRPr="000F4703">
        <w:rPr>
          <w:rFonts w:ascii="Book Antiqua" w:eastAsia="Book Antiqua" w:hAnsi="Book Antiqua" w:cs="Book Antiqua"/>
          <w:color w:val="000000"/>
        </w:rPr>
        <w:t xml:space="preserve">1 </w:t>
      </w:r>
      <w:proofErr w:type="spellStart"/>
      <w:r w:rsidRPr="000F4703">
        <w:rPr>
          <w:rFonts w:ascii="Book Antiqua" w:eastAsia="Book Antiqua" w:hAnsi="Book Antiqua" w:cs="Book Antiqua"/>
          <w:b/>
          <w:bCs/>
          <w:color w:val="000000"/>
        </w:rPr>
        <w:t>Familiari</w:t>
      </w:r>
      <w:proofErr w:type="spellEnd"/>
      <w:r w:rsidRPr="000F4703">
        <w:rPr>
          <w:rFonts w:ascii="Book Antiqua" w:eastAsia="Book Antiqua" w:hAnsi="Book Antiqua" w:cs="Book Antiqua"/>
          <w:b/>
          <w:bCs/>
          <w:color w:val="000000"/>
        </w:rPr>
        <w:t xml:space="preserve"> P</w:t>
      </w:r>
      <w:r w:rsidRPr="000F4703">
        <w:rPr>
          <w:rFonts w:ascii="Book Antiqua" w:eastAsia="Book Antiqua" w:hAnsi="Book Antiqua" w:cs="Book Antiqua"/>
          <w:color w:val="000000"/>
        </w:rPr>
        <w:t xml:space="preserve">, Greco S, </w:t>
      </w:r>
      <w:proofErr w:type="spellStart"/>
      <w:r w:rsidRPr="000F4703">
        <w:rPr>
          <w:rFonts w:ascii="Book Antiqua" w:eastAsia="Book Antiqua" w:hAnsi="Book Antiqua" w:cs="Book Antiqua"/>
          <w:color w:val="000000"/>
        </w:rPr>
        <w:t>Volkanovska</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Gigante</w:t>
      </w:r>
      <w:proofErr w:type="spellEnd"/>
      <w:r w:rsidRPr="000F4703">
        <w:rPr>
          <w:rFonts w:ascii="Book Antiqua" w:eastAsia="Book Antiqua" w:hAnsi="Book Antiqua" w:cs="Book Antiqua"/>
          <w:color w:val="000000"/>
        </w:rPr>
        <w:t xml:space="preserve"> G, Cali A, </w:t>
      </w:r>
      <w:proofErr w:type="spellStart"/>
      <w:r w:rsidRPr="000F4703">
        <w:rPr>
          <w:rFonts w:ascii="Book Antiqua" w:eastAsia="Book Antiqua" w:hAnsi="Book Antiqua" w:cs="Book Antiqua"/>
          <w:color w:val="000000"/>
        </w:rPr>
        <w:t>Boškoski</w:t>
      </w:r>
      <w:proofErr w:type="spellEnd"/>
      <w:r w:rsidRPr="000F4703">
        <w:rPr>
          <w:rFonts w:ascii="Book Antiqua" w:eastAsia="Book Antiqua" w:hAnsi="Book Antiqua" w:cs="Book Antiqua"/>
          <w:color w:val="000000"/>
        </w:rPr>
        <w:t xml:space="preserve"> I, </w:t>
      </w:r>
      <w:proofErr w:type="spellStart"/>
      <w:r w:rsidRPr="000F4703">
        <w:rPr>
          <w:rFonts w:ascii="Book Antiqua" w:eastAsia="Book Antiqua" w:hAnsi="Book Antiqua" w:cs="Book Antiqua"/>
          <w:color w:val="000000"/>
        </w:rPr>
        <w:t>Costamagna</w:t>
      </w:r>
      <w:proofErr w:type="spellEnd"/>
      <w:r w:rsidRPr="000F4703">
        <w:rPr>
          <w:rFonts w:ascii="Book Antiqua" w:eastAsia="Book Antiqua" w:hAnsi="Book Antiqua" w:cs="Book Antiqua"/>
          <w:color w:val="000000"/>
        </w:rPr>
        <w:t xml:space="preserve"> G. Achalasia: current treatment options. </w:t>
      </w:r>
      <w:r w:rsidRPr="000F4703">
        <w:rPr>
          <w:rFonts w:ascii="Book Antiqua" w:eastAsia="Book Antiqua" w:hAnsi="Book Antiqua" w:cs="Book Antiqua"/>
          <w:i/>
          <w:iCs/>
          <w:color w:val="000000"/>
        </w:rPr>
        <w:t>Expert Rev Gastroenterol Hepatol</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9</w:t>
      </w:r>
      <w:r w:rsidRPr="000F4703">
        <w:rPr>
          <w:rFonts w:ascii="Book Antiqua" w:eastAsia="Book Antiqua" w:hAnsi="Book Antiqua" w:cs="Book Antiqua"/>
          <w:color w:val="000000"/>
        </w:rPr>
        <w:t>: 1101-1114 [PMID: 26186641 DOI: 10.1586/17474124.2015.1052407]</w:t>
      </w:r>
    </w:p>
    <w:p w14:paraId="6E4447C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 </w:t>
      </w:r>
      <w:r w:rsidRPr="000F4703">
        <w:rPr>
          <w:rFonts w:ascii="Book Antiqua" w:eastAsia="Book Antiqua" w:hAnsi="Book Antiqua" w:cs="Book Antiqua"/>
          <w:b/>
          <w:bCs/>
          <w:color w:val="000000"/>
        </w:rPr>
        <w:t>Park W</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Vaezi</w:t>
      </w:r>
      <w:proofErr w:type="spellEnd"/>
      <w:r w:rsidRPr="000F4703">
        <w:rPr>
          <w:rFonts w:ascii="Book Antiqua" w:eastAsia="Book Antiqua" w:hAnsi="Book Antiqua" w:cs="Book Antiqua"/>
          <w:color w:val="000000"/>
        </w:rPr>
        <w:t xml:space="preserve"> MF. Etiology and pathogenesis of achalasia: the current understanding.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2005; </w:t>
      </w:r>
      <w:r w:rsidRPr="000F4703">
        <w:rPr>
          <w:rFonts w:ascii="Book Antiqua" w:eastAsia="Book Antiqua" w:hAnsi="Book Antiqua" w:cs="Book Antiqua"/>
          <w:b/>
          <w:bCs/>
          <w:color w:val="000000"/>
        </w:rPr>
        <w:t>100</w:t>
      </w:r>
      <w:r w:rsidRPr="000F4703">
        <w:rPr>
          <w:rFonts w:ascii="Book Antiqua" w:eastAsia="Book Antiqua" w:hAnsi="Book Antiqua" w:cs="Book Antiqua"/>
          <w:color w:val="000000"/>
        </w:rPr>
        <w:t>: 1404-1414 [PMID: 15929777 DOI: 10.1111/j.1572-0241.2005.41775.x]</w:t>
      </w:r>
    </w:p>
    <w:p w14:paraId="4C82392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3 </w:t>
      </w:r>
      <w:proofErr w:type="spellStart"/>
      <w:r w:rsidRPr="000F4703">
        <w:rPr>
          <w:rFonts w:ascii="Book Antiqua" w:eastAsia="Book Antiqua" w:hAnsi="Book Antiqua" w:cs="Book Antiqua"/>
          <w:b/>
          <w:bCs/>
          <w:color w:val="000000"/>
        </w:rPr>
        <w:t>Devière</w:t>
      </w:r>
      <w:proofErr w:type="spellEnd"/>
      <w:r w:rsidRPr="000F4703">
        <w:rPr>
          <w:rFonts w:ascii="Book Antiqua" w:eastAsia="Book Antiqua" w:hAnsi="Book Antiqua" w:cs="Book Antiqua"/>
          <w:b/>
          <w:bCs/>
          <w:color w:val="000000"/>
        </w:rPr>
        <w:t xml:space="preserve"> J</w:t>
      </w:r>
      <w:r w:rsidRPr="000F4703">
        <w:rPr>
          <w:rFonts w:ascii="Book Antiqua" w:eastAsia="Book Antiqua" w:hAnsi="Book Antiqua" w:cs="Book Antiqua"/>
          <w:color w:val="000000"/>
        </w:rPr>
        <w:t xml:space="preserve">, Dunham F, </w:t>
      </w:r>
      <w:proofErr w:type="spellStart"/>
      <w:r w:rsidRPr="000F4703">
        <w:rPr>
          <w:rFonts w:ascii="Book Antiqua" w:eastAsia="Book Antiqua" w:hAnsi="Book Antiqua" w:cs="Book Antiqua"/>
          <w:color w:val="000000"/>
        </w:rPr>
        <w:t>Rickaert</w:t>
      </w:r>
      <w:proofErr w:type="spellEnd"/>
      <w:r w:rsidRPr="000F4703">
        <w:rPr>
          <w:rFonts w:ascii="Book Antiqua" w:eastAsia="Book Antiqua" w:hAnsi="Book Antiqua" w:cs="Book Antiqua"/>
          <w:color w:val="000000"/>
        </w:rPr>
        <w:t xml:space="preserve"> F, Bourgeois N, Cremer M. Endoscopic ultrasonography in achalasia.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1989; </w:t>
      </w:r>
      <w:r w:rsidRPr="000F4703">
        <w:rPr>
          <w:rFonts w:ascii="Book Antiqua" w:eastAsia="Book Antiqua" w:hAnsi="Book Antiqua" w:cs="Book Antiqua"/>
          <w:b/>
          <w:bCs/>
          <w:color w:val="000000"/>
        </w:rPr>
        <w:t>96</w:t>
      </w:r>
      <w:r w:rsidRPr="000F4703">
        <w:rPr>
          <w:rFonts w:ascii="Book Antiqua" w:eastAsia="Book Antiqua" w:hAnsi="Book Antiqua" w:cs="Book Antiqua"/>
          <w:color w:val="000000"/>
        </w:rPr>
        <w:t>: 1210-1213 [PMID: 2647577 DOI: 10.1016/0016-5085(89)91644-2]</w:t>
      </w:r>
    </w:p>
    <w:p w14:paraId="3AD7EFF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4 </w:t>
      </w:r>
      <w:r w:rsidRPr="000F4703">
        <w:rPr>
          <w:rFonts w:ascii="Book Antiqua" w:eastAsia="Book Antiqua" w:hAnsi="Book Antiqua" w:cs="Book Antiqua"/>
          <w:b/>
          <w:bCs/>
          <w:color w:val="000000"/>
        </w:rPr>
        <w:t>Ferguson TB</w:t>
      </w:r>
      <w:r w:rsidRPr="000F4703">
        <w:rPr>
          <w:rFonts w:ascii="Book Antiqua" w:eastAsia="Book Antiqua" w:hAnsi="Book Antiqua" w:cs="Book Antiqua"/>
          <w:color w:val="000000"/>
        </w:rPr>
        <w:t xml:space="preserve">, Woodbury JD, Roper CL, Burford TH. Giant muscular hypertrophy of the esophagus. </w:t>
      </w:r>
      <w:r w:rsidRPr="000F4703">
        <w:rPr>
          <w:rFonts w:ascii="Book Antiqua" w:eastAsia="Book Antiqua" w:hAnsi="Book Antiqua" w:cs="Book Antiqua"/>
          <w:i/>
          <w:iCs/>
          <w:color w:val="000000"/>
        </w:rPr>
        <w:t xml:space="preserve">Ann </w:t>
      </w:r>
      <w:proofErr w:type="spellStart"/>
      <w:r w:rsidRPr="000F4703">
        <w:rPr>
          <w:rFonts w:ascii="Book Antiqua" w:eastAsia="Book Antiqua" w:hAnsi="Book Antiqua" w:cs="Book Antiqua"/>
          <w:i/>
          <w:iCs/>
          <w:color w:val="000000"/>
        </w:rPr>
        <w:t>Thorac</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Surg</w:t>
      </w:r>
      <w:proofErr w:type="spellEnd"/>
      <w:r w:rsidRPr="000F4703">
        <w:rPr>
          <w:rFonts w:ascii="Book Antiqua" w:eastAsia="Book Antiqua" w:hAnsi="Book Antiqua" w:cs="Book Antiqua"/>
          <w:color w:val="000000"/>
        </w:rPr>
        <w:t xml:space="preserve"> 1969; </w:t>
      </w:r>
      <w:r w:rsidRPr="000F4703">
        <w:rPr>
          <w:rFonts w:ascii="Book Antiqua" w:eastAsia="Book Antiqua" w:hAnsi="Book Antiqua" w:cs="Book Antiqua"/>
          <w:b/>
          <w:bCs/>
          <w:color w:val="000000"/>
        </w:rPr>
        <w:t>8</w:t>
      </w:r>
      <w:r w:rsidRPr="000F4703">
        <w:rPr>
          <w:rFonts w:ascii="Book Antiqua" w:eastAsia="Book Antiqua" w:hAnsi="Book Antiqua" w:cs="Book Antiqua"/>
          <w:color w:val="000000"/>
        </w:rPr>
        <w:t>: 209-218 [PMID: 4980385 DOI: 10.1016/s0003-4975(10)66231-5]</w:t>
      </w:r>
    </w:p>
    <w:p w14:paraId="091E1CF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5 </w:t>
      </w:r>
      <w:r w:rsidRPr="000F4703">
        <w:rPr>
          <w:rFonts w:ascii="Book Antiqua" w:eastAsia="Book Antiqua" w:hAnsi="Book Antiqua" w:cs="Book Antiqua"/>
          <w:b/>
          <w:bCs/>
          <w:color w:val="000000"/>
        </w:rPr>
        <w:t>Mittal RK</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Kassab</w:t>
      </w:r>
      <w:proofErr w:type="spellEnd"/>
      <w:r w:rsidRPr="000F4703">
        <w:rPr>
          <w:rFonts w:ascii="Book Antiqua" w:eastAsia="Book Antiqua" w:hAnsi="Book Antiqua" w:cs="Book Antiqua"/>
          <w:color w:val="000000"/>
        </w:rPr>
        <w:t xml:space="preserve"> G, Puckett JL, Liu J. Hypertrophy of the muscularis propria of the lower esophageal sphincter and the body of the esophagus in patients with primary motility disorders of the esophagus.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2003; </w:t>
      </w:r>
      <w:r w:rsidRPr="000F4703">
        <w:rPr>
          <w:rFonts w:ascii="Book Antiqua" w:eastAsia="Book Antiqua" w:hAnsi="Book Antiqua" w:cs="Book Antiqua"/>
          <w:b/>
          <w:bCs/>
          <w:color w:val="000000"/>
        </w:rPr>
        <w:t>98</w:t>
      </w:r>
      <w:r w:rsidRPr="000F4703">
        <w:rPr>
          <w:rFonts w:ascii="Book Antiqua" w:eastAsia="Book Antiqua" w:hAnsi="Book Antiqua" w:cs="Book Antiqua"/>
          <w:color w:val="000000"/>
        </w:rPr>
        <w:t>: 1705-1712 [PMID: 12907322 DOI: 10.1111/j.1572-0241.2003.07587.x]</w:t>
      </w:r>
    </w:p>
    <w:p w14:paraId="634B079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6 </w:t>
      </w:r>
      <w:r w:rsidRPr="000F4703">
        <w:rPr>
          <w:rFonts w:ascii="Book Antiqua" w:eastAsia="Book Antiqua" w:hAnsi="Book Antiqua" w:cs="Book Antiqua"/>
          <w:b/>
          <w:bCs/>
          <w:color w:val="000000"/>
        </w:rPr>
        <w:t>Dogan I</w:t>
      </w:r>
      <w:r w:rsidRPr="000F4703">
        <w:rPr>
          <w:rFonts w:ascii="Book Antiqua" w:eastAsia="Book Antiqua" w:hAnsi="Book Antiqua" w:cs="Book Antiqua"/>
          <w:color w:val="000000"/>
        </w:rPr>
        <w:t xml:space="preserve">, Puckett JL, Padda BS, Mittal RK. Prevalence of increased esophageal muscle thickness in patients with esophageal symptoms.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2007; </w:t>
      </w:r>
      <w:r w:rsidRPr="000F4703">
        <w:rPr>
          <w:rFonts w:ascii="Book Antiqua" w:eastAsia="Book Antiqua" w:hAnsi="Book Antiqua" w:cs="Book Antiqua"/>
          <w:b/>
          <w:bCs/>
          <w:color w:val="000000"/>
        </w:rPr>
        <w:t>102</w:t>
      </w:r>
      <w:r w:rsidRPr="000F4703">
        <w:rPr>
          <w:rFonts w:ascii="Book Antiqua" w:eastAsia="Book Antiqua" w:hAnsi="Book Antiqua" w:cs="Book Antiqua"/>
          <w:color w:val="000000"/>
        </w:rPr>
        <w:t>: 137-145 [PMID: 17266691 DOI: 10.1111/j.1572-0241.2006.01003.x]</w:t>
      </w:r>
    </w:p>
    <w:p w14:paraId="506E814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7 </w:t>
      </w:r>
      <w:r w:rsidRPr="000F4703">
        <w:rPr>
          <w:rFonts w:ascii="Book Antiqua" w:eastAsia="Book Antiqua" w:hAnsi="Book Antiqua" w:cs="Book Antiqua"/>
          <w:b/>
          <w:bCs/>
          <w:color w:val="000000"/>
        </w:rPr>
        <w:t>Li SW</w:t>
      </w:r>
      <w:r w:rsidRPr="000F4703">
        <w:rPr>
          <w:rFonts w:ascii="Book Antiqua" w:eastAsia="Book Antiqua" w:hAnsi="Book Antiqua" w:cs="Book Antiqua"/>
          <w:color w:val="000000"/>
        </w:rPr>
        <w:t xml:space="preserve">, Tseng PH, Chen CC, Liao WC, Liu KL, Lee JM, Lee YC, </w:t>
      </w:r>
      <w:proofErr w:type="spellStart"/>
      <w:r w:rsidRPr="000F4703">
        <w:rPr>
          <w:rFonts w:ascii="Book Antiqua" w:eastAsia="Book Antiqua" w:hAnsi="Book Antiqua" w:cs="Book Antiqua"/>
          <w:color w:val="000000"/>
        </w:rPr>
        <w:t>Chuah</w:t>
      </w:r>
      <w:proofErr w:type="spellEnd"/>
      <w:r w:rsidRPr="000F4703">
        <w:rPr>
          <w:rFonts w:ascii="Book Antiqua" w:eastAsia="Book Antiqua" w:hAnsi="Book Antiqua" w:cs="Book Antiqua"/>
          <w:color w:val="000000"/>
        </w:rPr>
        <w:t xml:space="preserve"> SK, Wu MS, Wang HP. Muscular thickness of lower esophageal sphincter and therapeutic outcomes in achalasia: A prospective study using high-frequency endoscopic ultrasound. </w:t>
      </w:r>
      <w:r w:rsidRPr="000F4703">
        <w:rPr>
          <w:rFonts w:ascii="Book Antiqua" w:eastAsia="Book Antiqua" w:hAnsi="Book Antiqua" w:cs="Book Antiqua"/>
          <w:i/>
          <w:iCs/>
          <w:color w:val="000000"/>
        </w:rPr>
        <w:t>J Gastroenterol Hepatol</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33</w:t>
      </w:r>
      <w:r w:rsidRPr="000F4703">
        <w:rPr>
          <w:rFonts w:ascii="Book Antiqua" w:eastAsia="Book Antiqua" w:hAnsi="Book Antiqua" w:cs="Book Antiqua"/>
          <w:color w:val="000000"/>
        </w:rPr>
        <w:t>: 240-248 [PMID: 28475827 DOI: 10.1111/jgh.13816]</w:t>
      </w:r>
    </w:p>
    <w:p w14:paraId="3A6313DB"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8 </w:t>
      </w:r>
      <w:r w:rsidRPr="000F4703">
        <w:rPr>
          <w:rFonts w:ascii="Book Antiqua" w:eastAsia="Book Antiqua" w:hAnsi="Book Antiqua" w:cs="Book Antiqua"/>
          <w:b/>
          <w:bCs/>
          <w:color w:val="000000"/>
        </w:rPr>
        <w:t>Wang S</w:t>
      </w:r>
      <w:r w:rsidRPr="000F4703">
        <w:rPr>
          <w:rFonts w:ascii="Book Antiqua" w:eastAsia="Book Antiqua" w:hAnsi="Book Antiqua" w:cs="Book Antiqua"/>
          <w:color w:val="000000"/>
        </w:rPr>
        <w:t xml:space="preserve">, Liu X, Ge N, Wang G, Guo J, Liu W, Hu J, Sun S. The relationship between the interruption of the lower esophageal sphincter and relief of dysphagia after per-oral endoscopic myotomy for achalasia.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2020</w:t>
      </w:r>
      <w:proofErr w:type="gramStart"/>
      <w:r w:rsidRPr="000F4703">
        <w:rPr>
          <w:rFonts w:ascii="Book Antiqua" w:eastAsia="Book Antiqua" w:hAnsi="Book Antiqua" w:cs="Book Antiqua"/>
          <w:color w:val="000000"/>
        </w:rPr>
        <w:t>; :</w:t>
      </w:r>
      <w:proofErr w:type="gramEnd"/>
      <w:r w:rsidRPr="000F4703">
        <w:rPr>
          <w:rFonts w:ascii="Book Antiqua" w:eastAsia="Book Antiqua" w:hAnsi="Book Antiqua" w:cs="Book Antiqua"/>
          <w:color w:val="000000"/>
        </w:rPr>
        <w:t xml:space="preserve"> [PMID: 32611850 DOI: 10.4103/eus.eus_30_20]</w:t>
      </w:r>
    </w:p>
    <w:p w14:paraId="05FD8AD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9 </w:t>
      </w:r>
      <w:r w:rsidRPr="000F4703">
        <w:rPr>
          <w:rFonts w:ascii="Book Antiqua" w:eastAsia="Book Antiqua" w:hAnsi="Book Antiqua" w:cs="Book Antiqua"/>
          <w:b/>
          <w:bCs/>
          <w:color w:val="000000"/>
        </w:rPr>
        <w:t>Tan S</w:t>
      </w:r>
      <w:r w:rsidRPr="000F4703">
        <w:rPr>
          <w:rFonts w:ascii="Book Antiqua" w:eastAsia="Book Antiqua" w:hAnsi="Book Antiqua" w:cs="Book Antiqua"/>
          <w:color w:val="000000"/>
        </w:rPr>
        <w:t xml:space="preserve">, Zhong C, Ren Y, Luo X, Xu J, Fu X, Peng Y, Tang X. Efficacy and Safety of Peroral Endoscopic Myotomy in Achalasia Patients with Failed Previous Intervention: A Systematic Review and Meta-Analysis. </w:t>
      </w:r>
      <w:r w:rsidRPr="000F4703">
        <w:rPr>
          <w:rFonts w:ascii="Book Antiqua" w:eastAsia="Book Antiqua" w:hAnsi="Book Antiqua" w:cs="Book Antiqua"/>
          <w:i/>
          <w:iCs/>
          <w:color w:val="000000"/>
        </w:rPr>
        <w:t>Gut Liver</w:t>
      </w:r>
      <w:r w:rsidRPr="000F4703">
        <w:rPr>
          <w:rFonts w:ascii="Book Antiqua" w:eastAsia="Book Antiqua" w:hAnsi="Book Antiqua" w:cs="Book Antiqua"/>
          <w:color w:val="000000"/>
        </w:rPr>
        <w:t xml:space="preserve"> 2020</w:t>
      </w:r>
      <w:proofErr w:type="gramStart"/>
      <w:r w:rsidRPr="000F4703">
        <w:rPr>
          <w:rFonts w:ascii="Book Antiqua" w:eastAsia="Book Antiqua" w:hAnsi="Book Antiqua" w:cs="Book Antiqua"/>
          <w:color w:val="000000"/>
        </w:rPr>
        <w:t>; :</w:t>
      </w:r>
      <w:proofErr w:type="gramEnd"/>
      <w:r w:rsidRPr="000F4703">
        <w:rPr>
          <w:rFonts w:ascii="Book Antiqua" w:eastAsia="Book Antiqua" w:hAnsi="Book Antiqua" w:cs="Book Antiqua"/>
          <w:color w:val="000000"/>
        </w:rPr>
        <w:t xml:space="preserve"> [PMID: 32616678 DOI: 10.5009/gnl19234]</w:t>
      </w:r>
    </w:p>
    <w:p w14:paraId="6AC3D1C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10 </w:t>
      </w:r>
      <w:r w:rsidRPr="000F4703">
        <w:rPr>
          <w:rFonts w:ascii="Book Antiqua" w:eastAsia="Book Antiqua" w:hAnsi="Book Antiqua" w:cs="Book Antiqua"/>
          <w:b/>
          <w:bCs/>
          <w:color w:val="000000"/>
        </w:rPr>
        <w:t>Inoue H</w:t>
      </w:r>
      <w:r w:rsidRPr="000F4703">
        <w:rPr>
          <w:rFonts w:ascii="Book Antiqua" w:eastAsia="Book Antiqua" w:hAnsi="Book Antiqua" w:cs="Book Antiqua"/>
          <w:color w:val="000000"/>
        </w:rPr>
        <w:t xml:space="preserve">, Sato H, Ikeda H, </w:t>
      </w:r>
      <w:proofErr w:type="spellStart"/>
      <w:r w:rsidRPr="000F4703">
        <w:rPr>
          <w:rFonts w:ascii="Book Antiqua" w:eastAsia="Book Antiqua" w:hAnsi="Book Antiqua" w:cs="Book Antiqua"/>
          <w:color w:val="000000"/>
        </w:rPr>
        <w:t>Onimaru</w:t>
      </w:r>
      <w:proofErr w:type="spellEnd"/>
      <w:r w:rsidRPr="000F4703">
        <w:rPr>
          <w:rFonts w:ascii="Book Antiqua" w:eastAsia="Book Antiqua" w:hAnsi="Book Antiqua" w:cs="Book Antiqua"/>
          <w:color w:val="000000"/>
        </w:rPr>
        <w:t xml:space="preserve"> M, Sato C, Minami H, Yokomichi H, Kobayashi Y, Grimes KL, Kudo SE. Per-Oral Endoscopic Myotomy: A Series of </w:t>
      </w:r>
      <w:r w:rsidRPr="000F4703">
        <w:rPr>
          <w:rFonts w:ascii="Book Antiqua" w:eastAsia="Book Antiqua" w:hAnsi="Book Antiqua" w:cs="Book Antiqua"/>
          <w:color w:val="000000"/>
        </w:rPr>
        <w:lastRenderedPageBreak/>
        <w:t xml:space="preserve">500 Patients. </w:t>
      </w:r>
      <w:r w:rsidRPr="000F4703">
        <w:rPr>
          <w:rFonts w:ascii="Book Antiqua" w:eastAsia="Book Antiqua" w:hAnsi="Book Antiqua" w:cs="Book Antiqua"/>
          <w:i/>
          <w:iCs/>
          <w:color w:val="000000"/>
        </w:rPr>
        <w:t>J Am Coll Surg</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221</w:t>
      </w:r>
      <w:r w:rsidRPr="000F4703">
        <w:rPr>
          <w:rFonts w:ascii="Book Antiqua" w:eastAsia="Book Antiqua" w:hAnsi="Book Antiqua" w:cs="Book Antiqua"/>
          <w:color w:val="000000"/>
        </w:rPr>
        <w:t>: 256-264 [PMID: 26206634 DOI: 10.1016/j.jamcollsurg.2015.03.057]</w:t>
      </w:r>
    </w:p>
    <w:p w14:paraId="7554060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11 </w:t>
      </w:r>
      <w:r w:rsidRPr="000F4703">
        <w:rPr>
          <w:rFonts w:ascii="Book Antiqua" w:eastAsia="Book Antiqua" w:hAnsi="Book Antiqua" w:cs="Book Antiqua"/>
          <w:b/>
          <w:bCs/>
          <w:color w:val="000000"/>
        </w:rPr>
        <w:t>Li CJ</w:t>
      </w:r>
      <w:r w:rsidRPr="000F4703">
        <w:rPr>
          <w:rFonts w:ascii="Book Antiqua" w:eastAsia="Book Antiqua" w:hAnsi="Book Antiqua" w:cs="Book Antiqua"/>
          <w:color w:val="000000"/>
        </w:rPr>
        <w:t xml:space="preserve">, Tan YY, Wang XH, Liu DL. Peroral endoscopic myotomy for achalasia in patients aged ≥ 65 years. </w:t>
      </w:r>
      <w:r w:rsidRPr="000F4703">
        <w:rPr>
          <w:rFonts w:ascii="Book Antiqua" w:eastAsia="Book Antiqua" w:hAnsi="Book Antiqua" w:cs="Book Antiqua"/>
          <w:i/>
          <w:iCs/>
          <w:color w:val="000000"/>
        </w:rPr>
        <w:t>World J Gastroenterol</w:t>
      </w:r>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21</w:t>
      </w:r>
      <w:r w:rsidRPr="000F4703">
        <w:rPr>
          <w:rFonts w:ascii="Book Antiqua" w:eastAsia="Book Antiqua" w:hAnsi="Book Antiqua" w:cs="Book Antiqua"/>
          <w:color w:val="000000"/>
        </w:rPr>
        <w:t>: 9175-9181 [PMID: 26290645 DOI: 10.3748/wjg.v21.i30.9175]</w:t>
      </w:r>
    </w:p>
    <w:p w14:paraId="3377231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12 </w:t>
      </w:r>
      <w:r w:rsidRPr="000F4703">
        <w:rPr>
          <w:rFonts w:ascii="Book Antiqua" w:eastAsia="Book Antiqua" w:hAnsi="Book Antiqua" w:cs="Book Antiqua"/>
          <w:b/>
          <w:bCs/>
          <w:color w:val="000000"/>
        </w:rPr>
        <w:t>Chen X</w:t>
      </w:r>
      <w:r w:rsidRPr="000F4703">
        <w:rPr>
          <w:rFonts w:ascii="Book Antiqua" w:eastAsia="Book Antiqua" w:hAnsi="Book Antiqua" w:cs="Book Antiqua"/>
          <w:color w:val="000000"/>
        </w:rPr>
        <w:t xml:space="preserve">, Li QP, Ji GZ, Ge XX, Zhang XH, Zhao XY, Miao L. Two-year follow-up for 45 patients with achalasia who underwent peroral endoscopic myotomy. </w:t>
      </w:r>
      <w:proofErr w:type="spellStart"/>
      <w:r w:rsidRPr="000F4703">
        <w:rPr>
          <w:rFonts w:ascii="Book Antiqua" w:eastAsia="Book Antiqua" w:hAnsi="Book Antiqua" w:cs="Book Antiqua"/>
          <w:i/>
          <w:iCs/>
          <w:color w:val="000000"/>
        </w:rPr>
        <w:t>Eur</w:t>
      </w:r>
      <w:proofErr w:type="spellEnd"/>
      <w:r w:rsidRPr="000F4703">
        <w:rPr>
          <w:rFonts w:ascii="Book Antiqua" w:eastAsia="Book Antiqua" w:hAnsi="Book Antiqua" w:cs="Book Antiqua"/>
          <w:i/>
          <w:iCs/>
          <w:color w:val="000000"/>
        </w:rPr>
        <w:t xml:space="preserve"> J </w:t>
      </w:r>
      <w:proofErr w:type="spellStart"/>
      <w:r w:rsidRPr="000F4703">
        <w:rPr>
          <w:rFonts w:ascii="Book Antiqua" w:eastAsia="Book Antiqua" w:hAnsi="Book Antiqua" w:cs="Book Antiqua"/>
          <w:i/>
          <w:iCs/>
          <w:color w:val="000000"/>
        </w:rPr>
        <w:t>Cardiothorac</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Surg</w:t>
      </w:r>
      <w:proofErr w:type="spellEnd"/>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47</w:t>
      </w:r>
      <w:r w:rsidRPr="000F4703">
        <w:rPr>
          <w:rFonts w:ascii="Book Antiqua" w:eastAsia="Book Antiqua" w:hAnsi="Book Antiqua" w:cs="Book Antiqua"/>
          <w:color w:val="000000"/>
        </w:rPr>
        <w:t>: 890-896 [PMID: 25193955 DOI: 10.1093/</w:t>
      </w:r>
      <w:proofErr w:type="spellStart"/>
      <w:r w:rsidRPr="000F4703">
        <w:rPr>
          <w:rFonts w:ascii="Book Antiqua" w:eastAsia="Book Antiqua" w:hAnsi="Book Antiqua" w:cs="Book Antiqua"/>
          <w:color w:val="000000"/>
        </w:rPr>
        <w:t>ejcts</w:t>
      </w:r>
      <w:proofErr w:type="spellEnd"/>
      <w:r w:rsidRPr="000F4703">
        <w:rPr>
          <w:rFonts w:ascii="Book Antiqua" w:eastAsia="Book Antiqua" w:hAnsi="Book Antiqua" w:cs="Book Antiqua"/>
          <w:color w:val="000000"/>
        </w:rPr>
        <w:t>/ezu320]</w:t>
      </w:r>
    </w:p>
    <w:p w14:paraId="7C8AE5C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13 </w:t>
      </w:r>
      <w:r w:rsidRPr="000F4703">
        <w:rPr>
          <w:rFonts w:ascii="Book Antiqua" w:eastAsia="Book Antiqua" w:hAnsi="Book Antiqua" w:cs="Book Antiqua"/>
          <w:b/>
          <w:bCs/>
          <w:color w:val="000000"/>
        </w:rPr>
        <w:t>Chen WF</w:t>
      </w:r>
      <w:r w:rsidRPr="000F4703">
        <w:rPr>
          <w:rFonts w:ascii="Book Antiqua" w:eastAsia="Book Antiqua" w:hAnsi="Book Antiqua" w:cs="Book Antiqua"/>
          <w:color w:val="000000"/>
        </w:rPr>
        <w:t xml:space="preserve">, Li QL, Zhou PH, Yao LQ, Xu MD, Zhang YQ, Zhong YS, Ma LL, Qin WZ, Hu JW, Cai MY, He MJ, Cui Z. Long-term outcomes of peroral endoscopic myotomy for achalasia in pediatric patients: a prospective, single-center study.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81</w:t>
      </w:r>
      <w:r w:rsidRPr="000F4703">
        <w:rPr>
          <w:rFonts w:ascii="Book Antiqua" w:eastAsia="Book Antiqua" w:hAnsi="Book Antiqua" w:cs="Book Antiqua"/>
          <w:color w:val="000000"/>
        </w:rPr>
        <w:t>: 91-100 [PMID: 25088923 DOI: 10.1016/j.gie.2014.06.035]</w:t>
      </w:r>
    </w:p>
    <w:p w14:paraId="779DDFC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14 </w:t>
      </w:r>
      <w:proofErr w:type="spellStart"/>
      <w:r w:rsidRPr="000F4703">
        <w:rPr>
          <w:rFonts w:ascii="Book Antiqua" w:eastAsia="Book Antiqua" w:hAnsi="Book Antiqua" w:cs="Book Antiqua"/>
          <w:b/>
          <w:bCs/>
          <w:color w:val="000000"/>
        </w:rPr>
        <w:t>Teitelbaum</w:t>
      </w:r>
      <w:proofErr w:type="spellEnd"/>
      <w:r w:rsidRPr="000F4703">
        <w:rPr>
          <w:rFonts w:ascii="Book Antiqua" w:eastAsia="Book Antiqua" w:hAnsi="Book Antiqua" w:cs="Book Antiqua"/>
          <w:b/>
          <w:bCs/>
          <w:color w:val="000000"/>
        </w:rPr>
        <w:t xml:space="preserve"> EN</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Dunst</w:t>
      </w:r>
      <w:proofErr w:type="spellEnd"/>
      <w:r w:rsidRPr="000F4703">
        <w:rPr>
          <w:rFonts w:ascii="Book Antiqua" w:eastAsia="Book Antiqua" w:hAnsi="Book Antiqua" w:cs="Book Antiqua"/>
          <w:color w:val="000000"/>
        </w:rPr>
        <w:t xml:space="preserve"> CM, </w:t>
      </w:r>
      <w:proofErr w:type="spellStart"/>
      <w:r w:rsidRPr="000F4703">
        <w:rPr>
          <w:rFonts w:ascii="Book Antiqua" w:eastAsia="Book Antiqua" w:hAnsi="Book Antiqua" w:cs="Book Antiqua"/>
          <w:color w:val="000000"/>
        </w:rPr>
        <w:t>Reavis</w:t>
      </w:r>
      <w:proofErr w:type="spellEnd"/>
      <w:r w:rsidRPr="000F4703">
        <w:rPr>
          <w:rFonts w:ascii="Book Antiqua" w:eastAsia="Book Antiqua" w:hAnsi="Book Antiqua" w:cs="Book Antiqua"/>
          <w:color w:val="000000"/>
        </w:rPr>
        <w:t xml:space="preserve"> KM, </w:t>
      </w:r>
      <w:proofErr w:type="spellStart"/>
      <w:r w:rsidRPr="000F4703">
        <w:rPr>
          <w:rFonts w:ascii="Book Antiqua" w:eastAsia="Book Antiqua" w:hAnsi="Book Antiqua" w:cs="Book Antiqua"/>
          <w:color w:val="000000"/>
        </w:rPr>
        <w:t>Sharata</w:t>
      </w:r>
      <w:proofErr w:type="spellEnd"/>
      <w:r w:rsidRPr="000F4703">
        <w:rPr>
          <w:rFonts w:ascii="Book Antiqua" w:eastAsia="Book Antiqua" w:hAnsi="Book Antiqua" w:cs="Book Antiqua"/>
          <w:color w:val="000000"/>
        </w:rPr>
        <w:t xml:space="preserve"> AM, Ward MA, </w:t>
      </w:r>
      <w:proofErr w:type="spellStart"/>
      <w:r w:rsidRPr="000F4703">
        <w:rPr>
          <w:rFonts w:ascii="Book Antiqua" w:eastAsia="Book Antiqua" w:hAnsi="Book Antiqua" w:cs="Book Antiqua"/>
          <w:color w:val="000000"/>
        </w:rPr>
        <w:t>DeMeester</w:t>
      </w:r>
      <w:proofErr w:type="spellEnd"/>
      <w:r w:rsidRPr="000F4703">
        <w:rPr>
          <w:rFonts w:ascii="Book Antiqua" w:eastAsia="Book Antiqua" w:hAnsi="Book Antiqua" w:cs="Book Antiqua"/>
          <w:color w:val="000000"/>
        </w:rPr>
        <w:t xml:space="preserve"> SR, </w:t>
      </w:r>
      <w:proofErr w:type="spellStart"/>
      <w:r w:rsidRPr="000F4703">
        <w:rPr>
          <w:rFonts w:ascii="Book Antiqua" w:eastAsia="Book Antiqua" w:hAnsi="Book Antiqua" w:cs="Book Antiqua"/>
          <w:color w:val="000000"/>
        </w:rPr>
        <w:t>Swanström</w:t>
      </w:r>
      <w:proofErr w:type="spellEnd"/>
      <w:r w:rsidRPr="000F4703">
        <w:rPr>
          <w:rFonts w:ascii="Book Antiqua" w:eastAsia="Book Antiqua" w:hAnsi="Book Antiqua" w:cs="Book Antiqua"/>
          <w:color w:val="000000"/>
        </w:rPr>
        <w:t xml:space="preserve"> LL. Clinical outcomes five years after POEM for treatment of primary esophageal motility disorders. </w:t>
      </w:r>
      <w:proofErr w:type="spellStart"/>
      <w:r w:rsidRPr="000F4703">
        <w:rPr>
          <w:rFonts w:ascii="Book Antiqua" w:eastAsia="Book Antiqua" w:hAnsi="Book Antiqua" w:cs="Book Antiqua"/>
          <w:i/>
          <w:iCs/>
          <w:color w:val="000000"/>
        </w:rPr>
        <w:t>Surg</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32</w:t>
      </w:r>
      <w:r w:rsidRPr="000F4703">
        <w:rPr>
          <w:rFonts w:ascii="Book Antiqua" w:eastAsia="Book Antiqua" w:hAnsi="Book Antiqua" w:cs="Book Antiqua"/>
          <w:color w:val="000000"/>
        </w:rPr>
        <w:t>: 421-427 [PMID: 28664434 DOI: 10.1007/s00464-017-5699-2]</w:t>
      </w:r>
    </w:p>
    <w:p w14:paraId="7E9DCEA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15 </w:t>
      </w:r>
      <w:r w:rsidRPr="000F4703">
        <w:rPr>
          <w:rFonts w:ascii="Book Antiqua" w:eastAsia="Book Antiqua" w:hAnsi="Book Antiqua" w:cs="Book Antiqua"/>
          <w:b/>
          <w:bCs/>
          <w:color w:val="000000"/>
        </w:rPr>
        <w:t>Li QL</w:t>
      </w:r>
      <w:r w:rsidRPr="000F4703">
        <w:rPr>
          <w:rFonts w:ascii="Book Antiqua" w:eastAsia="Book Antiqua" w:hAnsi="Book Antiqua" w:cs="Book Antiqua"/>
          <w:color w:val="000000"/>
        </w:rPr>
        <w:t xml:space="preserve">, Wu QN, Zhang XC, Xu MD, Zhang W, Chen SY, Zhong YS, Zhang YQ, Chen WF, Qin WZ, Hu JW, Cai MY, Yao LQ, Zhou PH. Outcomes of per-oral endoscopic myotomy for treatment of esophageal achalasia with a median follow-up of 49 months.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87</w:t>
      </w:r>
      <w:r w:rsidRPr="000F4703">
        <w:rPr>
          <w:rFonts w:ascii="Book Antiqua" w:eastAsia="Book Antiqua" w:hAnsi="Book Antiqua" w:cs="Book Antiqua"/>
          <w:color w:val="000000"/>
        </w:rPr>
        <w:t>: 1405-1412.e3 [PMID: 29108981 DOI: 10.1016/j.gie.2017.10.031]</w:t>
      </w:r>
    </w:p>
    <w:p w14:paraId="070D809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16 </w:t>
      </w:r>
      <w:r w:rsidRPr="000F4703">
        <w:rPr>
          <w:rFonts w:ascii="Book Antiqua" w:eastAsia="Book Antiqua" w:hAnsi="Book Antiqua" w:cs="Book Antiqua"/>
          <w:b/>
          <w:bCs/>
          <w:color w:val="000000"/>
        </w:rPr>
        <w:t>Werner YB</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Costamagna</w:t>
      </w:r>
      <w:proofErr w:type="spellEnd"/>
      <w:r w:rsidRPr="000F4703">
        <w:rPr>
          <w:rFonts w:ascii="Book Antiqua" w:eastAsia="Book Antiqua" w:hAnsi="Book Antiqua" w:cs="Book Antiqua"/>
          <w:color w:val="000000"/>
        </w:rPr>
        <w:t xml:space="preserve"> G, </w:t>
      </w:r>
      <w:proofErr w:type="spellStart"/>
      <w:r w:rsidRPr="000F4703">
        <w:rPr>
          <w:rFonts w:ascii="Book Antiqua" w:eastAsia="Book Antiqua" w:hAnsi="Book Antiqua" w:cs="Book Antiqua"/>
          <w:color w:val="000000"/>
        </w:rPr>
        <w:t>Swanström</w:t>
      </w:r>
      <w:proofErr w:type="spellEnd"/>
      <w:r w:rsidRPr="000F4703">
        <w:rPr>
          <w:rFonts w:ascii="Book Antiqua" w:eastAsia="Book Antiqua" w:hAnsi="Book Antiqua" w:cs="Book Antiqua"/>
          <w:color w:val="000000"/>
        </w:rPr>
        <w:t xml:space="preserve"> LL, von </w:t>
      </w:r>
      <w:proofErr w:type="spellStart"/>
      <w:r w:rsidRPr="000F4703">
        <w:rPr>
          <w:rFonts w:ascii="Book Antiqua" w:eastAsia="Book Antiqua" w:hAnsi="Book Antiqua" w:cs="Book Antiqua"/>
          <w:color w:val="000000"/>
        </w:rPr>
        <w:t>Renteln</w:t>
      </w:r>
      <w:proofErr w:type="spellEnd"/>
      <w:r w:rsidRPr="000F4703">
        <w:rPr>
          <w:rFonts w:ascii="Book Antiqua" w:eastAsia="Book Antiqua" w:hAnsi="Book Antiqua" w:cs="Book Antiqua"/>
          <w:color w:val="000000"/>
        </w:rPr>
        <w:t xml:space="preserve"> D, </w:t>
      </w:r>
      <w:proofErr w:type="spellStart"/>
      <w:r w:rsidRPr="000F4703">
        <w:rPr>
          <w:rFonts w:ascii="Book Antiqua" w:eastAsia="Book Antiqua" w:hAnsi="Book Antiqua" w:cs="Book Antiqua"/>
          <w:color w:val="000000"/>
        </w:rPr>
        <w:t>Familiari</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Sharata</w:t>
      </w:r>
      <w:proofErr w:type="spellEnd"/>
      <w:r w:rsidRPr="000F4703">
        <w:rPr>
          <w:rFonts w:ascii="Book Antiqua" w:eastAsia="Book Antiqua" w:hAnsi="Book Antiqua" w:cs="Book Antiqua"/>
          <w:color w:val="000000"/>
        </w:rPr>
        <w:t xml:space="preserve"> AM, </w:t>
      </w:r>
      <w:proofErr w:type="spellStart"/>
      <w:r w:rsidRPr="000F4703">
        <w:rPr>
          <w:rFonts w:ascii="Book Antiqua" w:eastAsia="Book Antiqua" w:hAnsi="Book Antiqua" w:cs="Book Antiqua"/>
          <w:color w:val="000000"/>
        </w:rPr>
        <w:t>Noder</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Schachschal</w:t>
      </w:r>
      <w:proofErr w:type="spellEnd"/>
      <w:r w:rsidRPr="000F4703">
        <w:rPr>
          <w:rFonts w:ascii="Book Antiqua" w:eastAsia="Book Antiqua" w:hAnsi="Book Antiqua" w:cs="Book Antiqua"/>
          <w:color w:val="000000"/>
        </w:rPr>
        <w:t xml:space="preserve"> G, </w:t>
      </w:r>
      <w:proofErr w:type="spellStart"/>
      <w:r w:rsidRPr="000F4703">
        <w:rPr>
          <w:rFonts w:ascii="Book Antiqua" w:eastAsia="Book Antiqua" w:hAnsi="Book Antiqua" w:cs="Book Antiqua"/>
          <w:color w:val="000000"/>
        </w:rPr>
        <w:t>Kersten</w:t>
      </w:r>
      <w:proofErr w:type="spellEnd"/>
      <w:r w:rsidRPr="000F4703">
        <w:rPr>
          <w:rFonts w:ascii="Book Antiqua" w:eastAsia="Book Antiqua" w:hAnsi="Book Antiqua" w:cs="Book Antiqua"/>
          <w:color w:val="000000"/>
        </w:rPr>
        <w:t xml:space="preserve"> JF, </w:t>
      </w:r>
      <w:proofErr w:type="spellStart"/>
      <w:r w:rsidRPr="000F4703">
        <w:rPr>
          <w:rFonts w:ascii="Book Antiqua" w:eastAsia="Book Antiqua" w:hAnsi="Book Antiqua" w:cs="Book Antiqua"/>
          <w:color w:val="000000"/>
        </w:rPr>
        <w:t>Rösch</w:t>
      </w:r>
      <w:proofErr w:type="spellEnd"/>
      <w:r w:rsidRPr="000F4703">
        <w:rPr>
          <w:rFonts w:ascii="Book Antiqua" w:eastAsia="Book Antiqua" w:hAnsi="Book Antiqua" w:cs="Book Antiqua"/>
          <w:color w:val="000000"/>
        </w:rPr>
        <w:t xml:space="preserve"> T. Clinical response to peroral endoscopic myotomy in patients with idiopathic achalasia at a minimum follow-up of 2â€…years. </w:t>
      </w:r>
      <w:r w:rsidRPr="000F4703">
        <w:rPr>
          <w:rFonts w:ascii="Book Antiqua" w:eastAsia="Book Antiqua" w:hAnsi="Book Antiqua" w:cs="Book Antiqua"/>
          <w:i/>
          <w:iCs/>
          <w:color w:val="000000"/>
        </w:rPr>
        <w:t>Gut</w:t>
      </w:r>
      <w:r w:rsidRPr="000F4703">
        <w:rPr>
          <w:rFonts w:ascii="Book Antiqua" w:eastAsia="Book Antiqua" w:hAnsi="Book Antiqua" w:cs="Book Antiqua"/>
          <w:color w:val="000000"/>
        </w:rPr>
        <w:t xml:space="preserve"> 2016; </w:t>
      </w:r>
      <w:r w:rsidRPr="000F4703">
        <w:rPr>
          <w:rFonts w:ascii="Book Antiqua" w:eastAsia="Book Antiqua" w:hAnsi="Book Antiqua" w:cs="Book Antiqua"/>
          <w:b/>
          <w:bCs/>
          <w:color w:val="000000"/>
        </w:rPr>
        <w:t>65</w:t>
      </w:r>
      <w:r w:rsidRPr="000F4703">
        <w:rPr>
          <w:rFonts w:ascii="Book Antiqua" w:eastAsia="Book Antiqua" w:hAnsi="Book Antiqua" w:cs="Book Antiqua"/>
          <w:color w:val="000000"/>
        </w:rPr>
        <w:t>: 899-906 [PMID: 25934759 DOI: 10.1136/gutjnl-2014-308649]</w:t>
      </w:r>
    </w:p>
    <w:p w14:paraId="2C09C817"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17 </w:t>
      </w:r>
      <w:r w:rsidRPr="000F4703">
        <w:rPr>
          <w:rFonts w:ascii="Book Antiqua" w:eastAsia="Book Antiqua" w:hAnsi="Book Antiqua" w:cs="Book Antiqua"/>
          <w:b/>
          <w:bCs/>
          <w:color w:val="000000"/>
        </w:rPr>
        <w:t>Liu XY</w:t>
      </w:r>
      <w:r w:rsidRPr="000F4703">
        <w:rPr>
          <w:rFonts w:ascii="Book Antiqua" w:eastAsia="Book Antiqua" w:hAnsi="Book Antiqua" w:cs="Book Antiqua"/>
          <w:color w:val="000000"/>
        </w:rPr>
        <w:t xml:space="preserve">, Cheng J, Chen WF, Liu ZQ, Wang Y, Xu MD, Chen SY, Zhong YS, Zhang YQ, Yao LQ, Zhou PH, Li QL. A risk-scoring system to predict clinical failure for patients with achalasia after peroral endoscopic myotomy. </w:t>
      </w:r>
      <w:proofErr w:type="spellStart"/>
      <w:r w:rsidRPr="000F4703">
        <w:rPr>
          <w:rFonts w:ascii="Book Antiqua" w:eastAsia="Book Antiqua" w:hAnsi="Book Antiqua" w:cs="Book Antiqua"/>
          <w:i/>
          <w:iCs/>
          <w:color w:val="000000"/>
        </w:rPr>
        <w:t>Gastrointest</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2020; </w:t>
      </w:r>
      <w:r w:rsidRPr="000F4703">
        <w:rPr>
          <w:rFonts w:ascii="Book Antiqua" w:eastAsia="Book Antiqua" w:hAnsi="Book Antiqua" w:cs="Book Antiqua"/>
          <w:b/>
          <w:bCs/>
          <w:color w:val="000000"/>
        </w:rPr>
        <w:t>91</w:t>
      </w:r>
      <w:r w:rsidRPr="000F4703">
        <w:rPr>
          <w:rFonts w:ascii="Book Antiqua" w:eastAsia="Book Antiqua" w:hAnsi="Book Antiqua" w:cs="Book Antiqua"/>
          <w:color w:val="000000"/>
        </w:rPr>
        <w:t>: 33-40.e1 [PMID: 31421076 DOI: 10.1016/j.gie.2019.07.036]</w:t>
      </w:r>
    </w:p>
    <w:p w14:paraId="0E4DE18A"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18 </w:t>
      </w:r>
      <w:r w:rsidRPr="000F4703">
        <w:rPr>
          <w:rFonts w:ascii="Book Antiqua" w:eastAsia="Book Antiqua" w:hAnsi="Book Antiqua" w:cs="Book Antiqua"/>
          <w:b/>
          <w:bCs/>
          <w:color w:val="000000"/>
        </w:rPr>
        <w:t>Watanabe D</w:t>
      </w:r>
      <w:r w:rsidRPr="000F4703">
        <w:rPr>
          <w:rFonts w:ascii="Book Antiqua" w:eastAsia="Book Antiqua" w:hAnsi="Book Antiqua" w:cs="Book Antiqua"/>
          <w:color w:val="000000"/>
        </w:rPr>
        <w:t xml:space="preserve">, Tanaka S, </w:t>
      </w:r>
      <w:proofErr w:type="spellStart"/>
      <w:r w:rsidRPr="000F4703">
        <w:rPr>
          <w:rFonts w:ascii="Book Antiqua" w:eastAsia="Book Antiqua" w:hAnsi="Book Antiqua" w:cs="Book Antiqua"/>
          <w:color w:val="000000"/>
        </w:rPr>
        <w:t>Kawara</w:t>
      </w:r>
      <w:proofErr w:type="spellEnd"/>
      <w:r w:rsidRPr="000F4703">
        <w:rPr>
          <w:rFonts w:ascii="Book Antiqua" w:eastAsia="Book Antiqua" w:hAnsi="Book Antiqua" w:cs="Book Antiqua"/>
          <w:color w:val="000000"/>
        </w:rPr>
        <w:t xml:space="preserve"> F, Abe H, Ariyoshi R, Nakano Y, Takao T, Morita Y, </w:t>
      </w:r>
      <w:proofErr w:type="spellStart"/>
      <w:r w:rsidRPr="000F4703">
        <w:rPr>
          <w:rFonts w:ascii="Book Antiqua" w:eastAsia="Book Antiqua" w:hAnsi="Book Antiqua" w:cs="Book Antiqua"/>
          <w:color w:val="000000"/>
        </w:rPr>
        <w:t>Toyonaga</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Umegaki</w:t>
      </w:r>
      <w:proofErr w:type="spellEnd"/>
      <w:r w:rsidRPr="000F4703">
        <w:rPr>
          <w:rFonts w:ascii="Book Antiqua" w:eastAsia="Book Antiqua" w:hAnsi="Book Antiqua" w:cs="Book Antiqua"/>
          <w:color w:val="000000"/>
        </w:rPr>
        <w:t xml:space="preserve"> E, Kodama Y. Clinical impact of peroral endoscopic myotomy for esophageal motility disorders on esophageal muscle layer thickness.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Int</w:t>
      </w:r>
      <w:proofErr w:type="spellEnd"/>
      <w:r w:rsidRPr="000F4703">
        <w:rPr>
          <w:rFonts w:ascii="Book Antiqua" w:eastAsia="Book Antiqua" w:hAnsi="Book Antiqua" w:cs="Book Antiqua"/>
          <w:i/>
          <w:iCs/>
          <w:color w:val="000000"/>
        </w:rPr>
        <w:t xml:space="preserve"> Open</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E525-E532 [PMID: 31041369 DOI: 10.1055/a-0838-5268]</w:t>
      </w:r>
    </w:p>
    <w:p w14:paraId="5CD2340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19 </w:t>
      </w:r>
      <w:proofErr w:type="spellStart"/>
      <w:r w:rsidRPr="000F4703">
        <w:rPr>
          <w:rFonts w:ascii="Book Antiqua" w:eastAsia="Book Antiqua" w:hAnsi="Book Antiqua" w:cs="Book Antiqua"/>
          <w:b/>
          <w:bCs/>
          <w:color w:val="000000"/>
        </w:rPr>
        <w:t>Oumrani</w:t>
      </w:r>
      <w:proofErr w:type="spellEnd"/>
      <w:r w:rsidRPr="000F4703">
        <w:rPr>
          <w:rFonts w:ascii="Book Antiqua" w:eastAsia="Book Antiqua" w:hAnsi="Book Antiqua" w:cs="Book Antiqua"/>
          <w:b/>
          <w:bCs/>
          <w:color w:val="000000"/>
        </w:rPr>
        <w:t xml:space="preserve"> S</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Barret</w:t>
      </w:r>
      <w:proofErr w:type="spellEnd"/>
      <w:r w:rsidRPr="000F4703">
        <w:rPr>
          <w:rFonts w:ascii="Book Antiqua" w:eastAsia="Book Antiqua" w:hAnsi="Book Antiqua" w:cs="Book Antiqua"/>
          <w:color w:val="000000"/>
        </w:rPr>
        <w:t xml:space="preserve"> M, Roseau G, </w:t>
      </w:r>
      <w:proofErr w:type="spellStart"/>
      <w:r w:rsidRPr="000F4703">
        <w:rPr>
          <w:rFonts w:ascii="Book Antiqua" w:eastAsia="Book Antiqua" w:hAnsi="Book Antiqua" w:cs="Book Antiqua"/>
          <w:color w:val="000000"/>
        </w:rPr>
        <w:t>Brieau</w:t>
      </w:r>
      <w:proofErr w:type="spellEnd"/>
      <w:r w:rsidRPr="000F4703">
        <w:rPr>
          <w:rFonts w:ascii="Book Antiqua" w:eastAsia="Book Antiqua" w:hAnsi="Book Antiqua" w:cs="Book Antiqua"/>
          <w:color w:val="000000"/>
        </w:rPr>
        <w:t xml:space="preserve"> B, Leblanc S, </w:t>
      </w:r>
      <w:proofErr w:type="spellStart"/>
      <w:r w:rsidRPr="000F4703">
        <w:rPr>
          <w:rFonts w:ascii="Book Antiqua" w:eastAsia="Book Antiqua" w:hAnsi="Book Antiqua" w:cs="Book Antiqua"/>
          <w:color w:val="000000"/>
        </w:rPr>
        <w:t>Coriat</w:t>
      </w:r>
      <w:proofErr w:type="spellEnd"/>
      <w:r w:rsidRPr="000F4703">
        <w:rPr>
          <w:rFonts w:ascii="Book Antiqua" w:eastAsia="Book Antiqua" w:hAnsi="Book Antiqua" w:cs="Book Antiqua"/>
          <w:color w:val="000000"/>
        </w:rPr>
        <w:t xml:space="preserve"> R, </w:t>
      </w:r>
      <w:proofErr w:type="spellStart"/>
      <w:r w:rsidRPr="000F4703">
        <w:rPr>
          <w:rFonts w:ascii="Book Antiqua" w:eastAsia="Book Antiqua" w:hAnsi="Book Antiqua" w:cs="Book Antiqua"/>
          <w:color w:val="000000"/>
        </w:rPr>
        <w:t>Prat</w:t>
      </w:r>
      <w:proofErr w:type="spellEnd"/>
      <w:r w:rsidRPr="000F4703">
        <w:rPr>
          <w:rFonts w:ascii="Book Antiqua" w:eastAsia="Book Antiqua" w:hAnsi="Book Antiqua" w:cs="Book Antiqua"/>
          <w:color w:val="000000"/>
        </w:rPr>
        <w:t xml:space="preserve"> F, </w:t>
      </w:r>
      <w:proofErr w:type="spellStart"/>
      <w:r w:rsidRPr="000F4703">
        <w:rPr>
          <w:rFonts w:ascii="Book Antiqua" w:eastAsia="Book Antiqua" w:hAnsi="Book Antiqua" w:cs="Book Antiqua"/>
          <w:color w:val="000000"/>
        </w:rPr>
        <w:t>Chaussade</w:t>
      </w:r>
      <w:proofErr w:type="spellEnd"/>
      <w:r w:rsidRPr="000F4703">
        <w:rPr>
          <w:rFonts w:ascii="Book Antiqua" w:eastAsia="Book Antiqua" w:hAnsi="Book Antiqua" w:cs="Book Antiqua"/>
          <w:color w:val="000000"/>
        </w:rPr>
        <w:t xml:space="preserve"> S. Do we need endoscopic ultrasonography for the workup of patients with esophageal motility disorder? </w:t>
      </w:r>
      <w:r w:rsidRPr="000F4703">
        <w:rPr>
          <w:rFonts w:ascii="Book Antiqua" w:eastAsia="Book Antiqua" w:hAnsi="Book Antiqua" w:cs="Book Antiqua"/>
          <w:i/>
          <w:iCs/>
          <w:color w:val="000000"/>
        </w:rPr>
        <w:t>Clin Res Hepatol Gastroenterol</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43</w:t>
      </w:r>
      <w:r w:rsidRPr="000F4703">
        <w:rPr>
          <w:rFonts w:ascii="Book Antiqua" w:eastAsia="Book Antiqua" w:hAnsi="Book Antiqua" w:cs="Book Antiqua"/>
          <w:color w:val="000000"/>
        </w:rPr>
        <w:t>: 608-613 [PMID: 30880097 DOI: 10.1016/j.clinre.2019.02.005]</w:t>
      </w:r>
    </w:p>
    <w:p w14:paraId="0723335C"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20 </w:t>
      </w:r>
      <w:proofErr w:type="spellStart"/>
      <w:r w:rsidRPr="000F4703">
        <w:rPr>
          <w:rFonts w:ascii="Book Antiqua" w:eastAsia="Book Antiqua" w:hAnsi="Book Antiqua" w:cs="Book Antiqua"/>
          <w:b/>
          <w:bCs/>
          <w:color w:val="000000"/>
        </w:rPr>
        <w:t>Eckardt</w:t>
      </w:r>
      <w:proofErr w:type="spellEnd"/>
      <w:r w:rsidRPr="000F4703">
        <w:rPr>
          <w:rFonts w:ascii="Book Antiqua" w:eastAsia="Book Antiqua" w:hAnsi="Book Antiqua" w:cs="Book Antiqua"/>
          <w:b/>
          <w:bCs/>
          <w:color w:val="000000"/>
        </w:rPr>
        <w:t xml:space="preserve"> VF</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Aignherr</w:t>
      </w:r>
      <w:proofErr w:type="spellEnd"/>
      <w:r w:rsidRPr="000F4703">
        <w:rPr>
          <w:rFonts w:ascii="Book Antiqua" w:eastAsia="Book Antiqua" w:hAnsi="Book Antiqua" w:cs="Book Antiqua"/>
          <w:color w:val="000000"/>
        </w:rPr>
        <w:t xml:space="preserve"> C, Bernhard G. Predictors of outcome in patients with achalasia treated by pneumatic dilation.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1992; </w:t>
      </w:r>
      <w:r w:rsidRPr="000F4703">
        <w:rPr>
          <w:rFonts w:ascii="Book Antiqua" w:eastAsia="Book Antiqua" w:hAnsi="Book Antiqua" w:cs="Book Antiqua"/>
          <w:b/>
          <w:bCs/>
          <w:color w:val="000000"/>
        </w:rPr>
        <w:t>103</w:t>
      </w:r>
      <w:r w:rsidRPr="000F4703">
        <w:rPr>
          <w:rFonts w:ascii="Book Antiqua" w:eastAsia="Book Antiqua" w:hAnsi="Book Antiqua" w:cs="Book Antiqua"/>
          <w:color w:val="000000"/>
        </w:rPr>
        <w:t>: 1732-1738 [PMID: 1451966 DOI: 10.1016/0016-5085(92)91428-7]</w:t>
      </w:r>
    </w:p>
    <w:p w14:paraId="6C760E1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21 </w:t>
      </w:r>
      <w:r w:rsidRPr="000F4703">
        <w:rPr>
          <w:rFonts w:ascii="Book Antiqua" w:eastAsia="Book Antiqua" w:hAnsi="Book Antiqua" w:cs="Book Antiqua"/>
          <w:b/>
          <w:bCs/>
          <w:color w:val="000000"/>
        </w:rPr>
        <w:t>Tang QY</w:t>
      </w:r>
      <w:r w:rsidRPr="000F4703">
        <w:rPr>
          <w:rFonts w:ascii="Book Antiqua" w:eastAsia="Book Antiqua" w:hAnsi="Book Antiqua" w:cs="Book Antiqua"/>
          <w:color w:val="000000"/>
        </w:rPr>
        <w:t xml:space="preserve">, Zhang CX. Data Processing System (DPS) software with experimental design, statistical analysis and data mining developed for use in entomological research. </w:t>
      </w:r>
      <w:r w:rsidRPr="000F4703">
        <w:rPr>
          <w:rFonts w:ascii="Book Antiqua" w:eastAsia="Book Antiqua" w:hAnsi="Book Antiqua" w:cs="Book Antiqua"/>
          <w:i/>
          <w:iCs/>
          <w:color w:val="000000"/>
        </w:rPr>
        <w:t>Insect Sci</w:t>
      </w:r>
      <w:r w:rsidRPr="000F4703">
        <w:rPr>
          <w:rFonts w:ascii="Book Antiqua" w:eastAsia="Book Antiqua" w:hAnsi="Book Antiqua" w:cs="Book Antiqua"/>
          <w:color w:val="000000"/>
        </w:rPr>
        <w:t xml:space="preserve"> 2013; </w:t>
      </w:r>
      <w:r w:rsidRPr="000F4703">
        <w:rPr>
          <w:rFonts w:ascii="Book Antiqua" w:eastAsia="Book Antiqua" w:hAnsi="Book Antiqua" w:cs="Book Antiqua"/>
          <w:b/>
          <w:bCs/>
          <w:color w:val="000000"/>
        </w:rPr>
        <w:t>20</w:t>
      </w:r>
      <w:r w:rsidRPr="000F4703">
        <w:rPr>
          <w:rFonts w:ascii="Book Antiqua" w:eastAsia="Book Antiqua" w:hAnsi="Book Antiqua" w:cs="Book Antiqua"/>
          <w:color w:val="000000"/>
        </w:rPr>
        <w:t>: 254-260 [PMID: 23955865 DOI: 10.1111/j.1744-7917.2012.01519.x]</w:t>
      </w:r>
    </w:p>
    <w:p w14:paraId="08074EA4" w14:textId="584F2BAA"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22 </w:t>
      </w:r>
      <w:proofErr w:type="spellStart"/>
      <w:r w:rsidRPr="000F4703">
        <w:rPr>
          <w:rFonts w:ascii="Book Antiqua" w:eastAsia="Book Antiqua" w:hAnsi="Book Antiqua" w:cs="Book Antiqua"/>
          <w:b/>
          <w:bCs/>
          <w:color w:val="000000"/>
        </w:rPr>
        <w:t>Sotoudehmanesh</w:t>
      </w:r>
      <w:proofErr w:type="spellEnd"/>
      <w:r w:rsidRPr="000F4703">
        <w:rPr>
          <w:rFonts w:ascii="Book Antiqua" w:eastAsia="Book Antiqua" w:hAnsi="Book Antiqua" w:cs="Book Antiqua"/>
          <w:b/>
          <w:bCs/>
          <w:color w:val="000000"/>
        </w:rPr>
        <w:t xml:space="preserve"> R,</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Mikaeli</w:t>
      </w:r>
      <w:proofErr w:type="spellEnd"/>
      <w:r w:rsidRPr="000F4703">
        <w:rPr>
          <w:rFonts w:ascii="Book Antiqua" w:eastAsia="Book Antiqua" w:hAnsi="Book Antiqua" w:cs="Book Antiqua"/>
          <w:color w:val="000000"/>
        </w:rPr>
        <w:t xml:space="preserve"> J, </w:t>
      </w:r>
      <w:proofErr w:type="spellStart"/>
      <w:r w:rsidRPr="000F4703">
        <w:rPr>
          <w:rFonts w:ascii="Book Antiqua" w:eastAsia="Book Antiqua" w:hAnsi="Book Antiqua" w:cs="Book Antiqua"/>
          <w:color w:val="000000"/>
        </w:rPr>
        <w:t>Daneshpajooh</w:t>
      </w:r>
      <w:proofErr w:type="spellEnd"/>
      <w:r w:rsidRPr="000F4703">
        <w:rPr>
          <w:rFonts w:ascii="Book Antiqua" w:eastAsia="Book Antiqua" w:hAnsi="Book Antiqua" w:cs="Book Antiqua"/>
          <w:color w:val="000000"/>
        </w:rPr>
        <w:t xml:space="preserve"> M, </w:t>
      </w:r>
      <w:proofErr w:type="spellStart"/>
      <w:r w:rsidRPr="000F4703">
        <w:rPr>
          <w:rFonts w:ascii="Book Antiqua" w:eastAsia="Book Antiqua" w:hAnsi="Book Antiqua" w:cs="Book Antiqua"/>
          <w:color w:val="000000"/>
        </w:rPr>
        <w:t>Modirzadeh</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Mehrabi</w:t>
      </w:r>
      <w:proofErr w:type="spellEnd"/>
      <w:r w:rsidRPr="000F4703">
        <w:rPr>
          <w:rFonts w:ascii="Book Antiqua" w:eastAsia="Book Antiqua" w:hAnsi="Book Antiqua" w:cs="Book Antiqua"/>
          <w:color w:val="000000"/>
        </w:rPr>
        <w:t xml:space="preserve"> N. Endoscopic ultrasonography findings in patients with achalasia. </w:t>
      </w:r>
      <w:r w:rsidRPr="00FF0584">
        <w:rPr>
          <w:rFonts w:ascii="Book Antiqua" w:eastAsia="Book Antiqua" w:hAnsi="Book Antiqua" w:cs="Book Antiqua"/>
          <w:i/>
          <w:color w:val="000000"/>
        </w:rPr>
        <w:t>Esophagus</w:t>
      </w:r>
      <w:r w:rsidR="00FF0584">
        <w:rPr>
          <w:rFonts w:ascii="Book Antiqua" w:eastAsia="Book Antiqua" w:hAnsi="Book Antiqua" w:cs="Book Antiqua"/>
          <w:color w:val="000000"/>
        </w:rPr>
        <w:t xml:space="preserve"> 2011; </w:t>
      </w:r>
      <w:r w:rsidR="00FF0584" w:rsidRPr="00FF0584">
        <w:rPr>
          <w:rFonts w:ascii="Book Antiqua" w:eastAsia="Book Antiqua" w:hAnsi="Book Antiqua" w:cs="Book Antiqua"/>
          <w:b/>
          <w:color w:val="000000"/>
        </w:rPr>
        <w:t>8</w:t>
      </w:r>
      <w:r w:rsidRPr="000F4703">
        <w:rPr>
          <w:rFonts w:ascii="Book Antiqua" w:eastAsia="Book Antiqua" w:hAnsi="Book Antiqua" w:cs="Book Antiqua"/>
          <w:color w:val="000000"/>
        </w:rPr>
        <w:t>: 187-190 [DOI: 10.1007/s10388-011-0286-4]</w:t>
      </w:r>
    </w:p>
    <w:p w14:paraId="1B60ABB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23 </w:t>
      </w:r>
      <w:r w:rsidRPr="000F4703">
        <w:rPr>
          <w:rFonts w:ascii="Book Antiqua" w:eastAsia="Book Antiqua" w:hAnsi="Book Antiqua" w:cs="Book Antiqua"/>
          <w:b/>
          <w:bCs/>
          <w:color w:val="000000"/>
        </w:rPr>
        <w:t>Minami H</w:t>
      </w:r>
      <w:r w:rsidRPr="000F4703">
        <w:rPr>
          <w:rFonts w:ascii="Book Antiqua" w:eastAsia="Book Antiqua" w:hAnsi="Book Antiqua" w:cs="Book Antiqua"/>
          <w:color w:val="000000"/>
        </w:rPr>
        <w:t xml:space="preserve">, Inoue H, </w:t>
      </w:r>
      <w:proofErr w:type="spellStart"/>
      <w:r w:rsidRPr="000F4703">
        <w:rPr>
          <w:rFonts w:ascii="Book Antiqua" w:eastAsia="Book Antiqua" w:hAnsi="Book Antiqua" w:cs="Book Antiqua"/>
          <w:color w:val="000000"/>
        </w:rPr>
        <w:t>Isomoto</w:t>
      </w:r>
      <w:proofErr w:type="spellEnd"/>
      <w:r w:rsidRPr="000F4703">
        <w:rPr>
          <w:rFonts w:ascii="Book Antiqua" w:eastAsia="Book Antiqua" w:hAnsi="Book Antiqua" w:cs="Book Antiqua"/>
          <w:color w:val="000000"/>
        </w:rPr>
        <w:t xml:space="preserve"> H, Urabe S, Nakao K. Clinical application of endoscopic ultrasonography for esophageal achalasia. </w:t>
      </w:r>
      <w:r w:rsidRPr="000F4703">
        <w:rPr>
          <w:rFonts w:ascii="Book Antiqua" w:eastAsia="Book Antiqua" w:hAnsi="Book Antiqua" w:cs="Book Antiqua"/>
          <w:i/>
          <w:iCs/>
          <w:color w:val="000000"/>
        </w:rPr>
        <w:t xml:space="preserve">Dig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2015; </w:t>
      </w:r>
      <w:r w:rsidRPr="000F4703">
        <w:rPr>
          <w:rFonts w:ascii="Book Antiqua" w:eastAsia="Book Antiqua" w:hAnsi="Book Antiqua" w:cs="Book Antiqua"/>
          <w:b/>
          <w:bCs/>
          <w:color w:val="000000"/>
        </w:rPr>
        <w:t xml:space="preserve">27 </w:t>
      </w:r>
      <w:proofErr w:type="spellStart"/>
      <w:r w:rsidRPr="000F4703">
        <w:rPr>
          <w:rFonts w:ascii="Book Antiqua" w:eastAsia="Book Antiqua" w:hAnsi="Book Antiqua" w:cs="Book Antiqua"/>
          <w:b/>
          <w:bCs/>
          <w:color w:val="000000"/>
        </w:rPr>
        <w:t>Suppl</w:t>
      </w:r>
      <w:proofErr w:type="spellEnd"/>
      <w:r w:rsidRPr="000F4703">
        <w:rPr>
          <w:rFonts w:ascii="Book Antiqua" w:eastAsia="Book Antiqua" w:hAnsi="Book Antiqua" w:cs="Book Antiqua"/>
          <w:b/>
          <w:bCs/>
          <w:color w:val="000000"/>
        </w:rPr>
        <w:t xml:space="preserve"> 1</w:t>
      </w:r>
      <w:r w:rsidRPr="000F4703">
        <w:rPr>
          <w:rFonts w:ascii="Book Antiqua" w:eastAsia="Book Antiqua" w:hAnsi="Book Antiqua" w:cs="Book Antiqua"/>
          <w:color w:val="000000"/>
        </w:rPr>
        <w:t>: 11-16 [PMID: 25573637 DOI: 10.1111/den.12432]</w:t>
      </w:r>
    </w:p>
    <w:p w14:paraId="66A95A68"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24 </w:t>
      </w:r>
      <w:r w:rsidRPr="000F4703">
        <w:rPr>
          <w:rFonts w:ascii="Book Antiqua" w:eastAsia="Book Antiqua" w:hAnsi="Book Antiqua" w:cs="Book Antiqua"/>
          <w:b/>
          <w:bCs/>
          <w:color w:val="000000"/>
        </w:rPr>
        <w:t>Watanabe D</w:t>
      </w:r>
      <w:r w:rsidRPr="000F4703">
        <w:rPr>
          <w:rFonts w:ascii="Book Antiqua" w:eastAsia="Book Antiqua" w:hAnsi="Book Antiqua" w:cs="Book Antiqua"/>
          <w:color w:val="000000"/>
        </w:rPr>
        <w:t xml:space="preserve">, Tanaka S, Ariyoshi R, Abe H, </w:t>
      </w:r>
      <w:proofErr w:type="spellStart"/>
      <w:r w:rsidRPr="000F4703">
        <w:rPr>
          <w:rFonts w:ascii="Book Antiqua" w:eastAsia="Book Antiqua" w:hAnsi="Book Antiqua" w:cs="Book Antiqua"/>
          <w:color w:val="000000"/>
        </w:rPr>
        <w:t>Kawara</w:t>
      </w:r>
      <w:proofErr w:type="spellEnd"/>
      <w:r w:rsidRPr="000F4703">
        <w:rPr>
          <w:rFonts w:ascii="Book Antiqua" w:eastAsia="Book Antiqua" w:hAnsi="Book Antiqua" w:cs="Book Antiqua"/>
          <w:color w:val="000000"/>
        </w:rPr>
        <w:t xml:space="preserve"> F, </w:t>
      </w:r>
      <w:proofErr w:type="spellStart"/>
      <w:r w:rsidRPr="000F4703">
        <w:rPr>
          <w:rFonts w:ascii="Book Antiqua" w:eastAsia="Book Antiqua" w:hAnsi="Book Antiqua" w:cs="Book Antiqua"/>
          <w:color w:val="000000"/>
        </w:rPr>
        <w:t>Toyonaga</w:t>
      </w:r>
      <w:proofErr w:type="spellEnd"/>
      <w:r w:rsidRPr="000F4703">
        <w:rPr>
          <w:rFonts w:ascii="Book Antiqua" w:eastAsia="Book Antiqua" w:hAnsi="Book Antiqua" w:cs="Book Antiqua"/>
          <w:color w:val="000000"/>
        </w:rPr>
        <w:t xml:space="preserve"> T. Muscle layer thickness affects the peroral endoscopic myotomy procedure complexity. </w:t>
      </w:r>
      <w:r w:rsidRPr="000F4703">
        <w:rPr>
          <w:rFonts w:ascii="Book Antiqua" w:eastAsia="Book Antiqua" w:hAnsi="Book Antiqua" w:cs="Book Antiqua"/>
          <w:i/>
          <w:iCs/>
          <w:color w:val="000000"/>
        </w:rPr>
        <w:t>Dis Esophagus</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31</w:t>
      </w:r>
      <w:r w:rsidRPr="000F4703">
        <w:rPr>
          <w:rFonts w:ascii="Book Antiqua" w:eastAsia="Book Antiqua" w:hAnsi="Book Antiqua" w:cs="Book Antiqua"/>
          <w:color w:val="000000"/>
        </w:rPr>
        <w:t>: [PMID: 29617752 DOI: 10.1093/dote/doy009]</w:t>
      </w:r>
    </w:p>
    <w:p w14:paraId="09FE457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lastRenderedPageBreak/>
        <w:t xml:space="preserve">25 </w:t>
      </w:r>
      <w:r w:rsidRPr="000F4703">
        <w:rPr>
          <w:rFonts w:ascii="Book Antiqua" w:eastAsia="Book Antiqua" w:hAnsi="Book Antiqua" w:cs="Book Antiqua"/>
          <w:b/>
          <w:bCs/>
          <w:color w:val="000000"/>
        </w:rPr>
        <w:t>He C</w:t>
      </w:r>
      <w:r w:rsidRPr="000F4703">
        <w:rPr>
          <w:rFonts w:ascii="Book Antiqua" w:eastAsia="Book Antiqua" w:hAnsi="Book Antiqua" w:cs="Book Antiqua"/>
          <w:color w:val="000000"/>
        </w:rPr>
        <w:t xml:space="preserve">, Li M, Lu B, Ying X, Gao C, Wang S, Ma C, Jin C. Long-Term Efficacy of Peroral Endoscopic Myotomy for Patients with Achalasia: Outcomes with a Median Follow-Up of 36 Months. </w:t>
      </w:r>
      <w:r w:rsidRPr="000F4703">
        <w:rPr>
          <w:rFonts w:ascii="Book Antiqua" w:eastAsia="Book Antiqua" w:hAnsi="Book Antiqua" w:cs="Book Antiqua"/>
          <w:i/>
          <w:iCs/>
          <w:color w:val="000000"/>
        </w:rPr>
        <w:t>Dig Dis Sci</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64</w:t>
      </w:r>
      <w:r w:rsidRPr="000F4703">
        <w:rPr>
          <w:rFonts w:ascii="Book Antiqua" w:eastAsia="Book Antiqua" w:hAnsi="Book Antiqua" w:cs="Book Antiqua"/>
          <w:color w:val="000000"/>
        </w:rPr>
        <w:t>: 803-810 [PMID: 30478767 DOI: 10.1007/s10620-018-5373-0]</w:t>
      </w:r>
    </w:p>
    <w:p w14:paraId="7ABAA49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26 </w:t>
      </w:r>
      <w:proofErr w:type="spellStart"/>
      <w:r w:rsidRPr="000F4703">
        <w:rPr>
          <w:rFonts w:ascii="Book Antiqua" w:eastAsia="Book Antiqua" w:hAnsi="Book Antiqua" w:cs="Book Antiqua"/>
          <w:b/>
          <w:bCs/>
          <w:color w:val="000000"/>
        </w:rPr>
        <w:t>Vaezi</w:t>
      </w:r>
      <w:proofErr w:type="spellEnd"/>
      <w:r w:rsidRPr="000F4703">
        <w:rPr>
          <w:rFonts w:ascii="Book Antiqua" w:eastAsia="Book Antiqua" w:hAnsi="Book Antiqua" w:cs="Book Antiqua"/>
          <w:b/>
          <w:bCs/>
          <w:color w:val="000000"/>
        </w:rPr>
        <w:t xml:space="preserve"> MF</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Pandolfino</w:t>
      </w:r>
      <w:proofErr w:type="spellEnd"/>
      <w:r w:rsidRPr="000F4703">
        <w:rPr>
          <w:rFonts w:ascii="Book Antiqua" w:eastAsia="Book Antiqua" w:hAnsi="Book Antiqua" w:cs="Book Antiqua"/>
          <w:color w:val="000000"/>
        </w:rPr>
        <w:t xml:space="preserve"> JE, Vela MF. ACG clinical guideline: diagnosis and management of achalasia. </w:t>
      </w:r>
      <w:r w:rsidRPr="000F4703">
        <w:rPr>
          <w:rFonts w:ascii="Book Antiqua" w:eastAsia="Book Antiqua" w:hAnsi="Book Antiqua" w:cs="Book Antiqua"/>
          <w:i/>
          <w:iCs/>
          <w:color w:val="000000"/>
        </w:rPr>
        <w:t>Am J Gastroenterol</w:t>
      </w:r>
      <w:r w:rsidRPr="000F4703">
        <w:rPr>
          <w:rFonts w:ascii="Book Antiqua" w:eastAsia="Book Antiqua" w:hAnsi="Book Antiqua" w:cs="Book Antiqua"/>
          <w:color w:val="000000"/>
        </w:rPr>
        <w:t xml:space="preserve"> 2013; </w:t>
      </w:r>
      <w:r w:rsidRPr="000F4703">
        <w:rPr>
          <w:rFonts w:ascii="Book Antiqua" w:eastAsia="Book Antiqua" w:hAnsi="Book Antiqua" w:cs="Book Antiqua"/>
          <w:b/>
          <w:bCs/>
          <w:color w:val="000000"/>
        </w:rPr>
        <w:t>108</w:t>
      </w:r>
      <w:r w:rsidRPr="000F4703">
        <w:rPr>
          <w:rFonts w:ascii="Book Antiqua" w:eastAsia="Book Antiqua" w:hAnsi="Book Antiqua" w:cs="Book Antiqua"/>
          <w:color w:val="000000"/>
        </w:rPr>
        <w:t>: 1238-49; quiz 1250 [PMID: 23877351 DOI: 10.1038/ajg.2013.196]</w:t>
      </w:r>
    </w:p>
    <w:p w14:paraId="654A0D7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27 </w:t>
      </w:r>
      <w:proofErr w:type="spellStart"/>
      <w:r w:rsidRPr="000F4703">
        <w:rPr>
          <w:rFonts w:ascii="Book Antiqua" w:eastAsia="Book Antiqua" w:hAnsi="Book Antiqua" w:cs="Book Antiqua"/>
          <w:b/>
          <w:bCs/>
          <w:color w:val="000000"/>
        </w:rPr>
        <w:t>Sahai</w:t>
      </w:r>
      <w:proofErr w:type="spellEnd"/>
      <w:r w:rsidRPr="000F4703">
        <w:rPr>
          <w:rFonts w:ascii="Book Antiqua" w:eastAsia="Book Antiqua" w:hAnsi="Book Antiqua" w:cs="Book Antiqua"/>
          <w:b/>
          <w:bCs/>
          <w:color w:val="000000"/>
        </w:rPr>
        <w:t xml:space="preserve"> AV</w:t>
      </w:r>
      <w:r w:rsidRPr="000F4703">
        <w:rPr>
          <w:rFonts w:ascii="Book Antiqua" w:eastAsia="Book Antiqua" w:hAnsi="Book Antiqua" w:cs="Book Antiqua"/>
          <w:color w:val="000000"/>
        </w:rPr>
        <w:t xml:space="preserve">. EUS is trending!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353-355 [PMID: 30168481 DOI: 10.4103/eus.eus_22_18]</w:t>
      </w:r>
    </w:p>
    <w:p w14:paraId="64F2DCB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28 </w:t>
      </w:r>
      <w:r w:rsidRPr="000F4703">
        <w:rPr>
          <w:rFonts w:ascii="Book Antiqua" w:eastAsia="Book Antiqua" w:hAnsi="Book Antiqua" w:cs="Book Antiqua"/>
          <w:b/>
          <w:bCs/>
          <w:color w:val="000000"/>
        </w:rPr>
        <w:t>Sun S</w:t>
      </w:r>
      <w:r w:rsidRPr="000F4703">
        <w:rPr>
          <w:rFonts w:ascii="Book Antiqua" w:eastAsia="Book Antiqua" w:hAnsi="Book Antiqua" w:cs="Book Antiqua"/>
          <w:color w:val="000000"/>
        </w:rPr>
        <w:t xml:space="preserve">, Wang C, Wang S. </w:t>
      </w:r>
      <w:bookmarkStart w:id="10" w:name="OLE_LINK9"/>
      <w:bookmarkStart w:id="11" w:name="OLE_LINK10"/>
      <w:r w:rsidRPr="000F4703">
        <w:rPr>
          <w:rFonts w:ascii="Book Antiqua" w:eastAsia="Book Antiqua" w:hAnsi="Book Antiqua" w:cs="Book Antiqua"/>
          <w:color w:val="000000"/>
        </w:rPr>
        <w:t>Remember, interventional EUS is performed using an elevator-containing scope as well</w:t>
      </w:r>
      <w:bookmarkEnd w:id="10"/>
      <w:bookmarkEnd w:id="11"/>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2018;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73-75 [PMID: 29667618 DOI: 10.4103/eus.eus_14_18]</w:t>
      </w:r>
    </w:p>
    <w:p w14:paraId="5409BCC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29 </w:t>
      </w:r>
      <w:proofErr w:type="spellStart"/>
      <w:r w:rsidRPr="000F4703">
        <w:rPr>
          <w:rFonts w:ascii="Book Antiqua" w:eastAsia="Book Antiqua" w:hAnsi="Book Antiqua" w:cs="Book Antiqua"/>
          <w:b/>
          <w:bCs/>
          <w:color w:val="000000"/>
        </w:rPr>
        <w:t>Pesenti</w:t>
      </w:r>
      <w:proofErr w:type="spellEnd"/>
      <w:r w:rsidRPr="000F4703">
        <w:rPr>
          <w:rFonts w:ascii="Book Antiqua" w:eastAsia="Book Antiqua" w:hAnsi="Book Antiqua" w:cs="Book Antiqua"/>
          <w:b/>
          <w:bCs/>
          <w:color w:val="000000"/>
        </w:rPr>
        <w:t xml:space="preserve"> C</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Bories</w:t>
      </w:r>
      <w:proofErr w:type="spellEnd"/>
      <w:r w:rsidRPr="000F4703">
        <w:rPr>
          <w:rFonts w:ascii="Book Antiqua" w:eastAsia="Book Antiqua" w:hAnsi="Book Antiqua" w:cs="Book Antiqua"/>
          <w:color w:val="000000"/>
        </w:rPr>
        <w:t xml:space="preserve"> E, </w:t>
      </w:r>
      <w:proofErr w:type="spellStart"/>
      <w:r w:rsidRPr="000F4703">
        <w:rPr>
          <w:rFonts w:ascii="Book Antiqua" w:eastAsia="Book Antiqua" w:hAnsi="Book Antiqua" w:cs="Book Antiqua"/>
          <w:color w:val="000000"/>
        </w:rPr>
        <w:t>Caillol</w:t>
      </w:r>
      <w:proofErr w:type="spellEnd"/>
      <w:r w:rsidRPr="000F4703">
        <w:rPr>
          <w:rFonts w:ascii="Book Antiqua" w:eastAsia="Book Antiqua" w:hAnsi="Book Antiqua" w:cs="Book Antiqua"/>
          <w:color w:val="000000"/>
        </w:rPr>
        <w:t xml:space="preserve"> F, </w:t>
      </w:r>
      <w:proofErr w:type="spellStart"/>
      <w:r w:rsidRPr="000F4703">
        <w:rPr>
          <w:rFonts w:ascii="Book Antiqua" w:eastAsia="Book Antiqua" w:hAnsi="Book Antiqua" w:cs="Book Antiqua"/>
          <w:color w:val="000000"/>
        </w:rPr>
        <w:t>Ratone</w:t>
      </w:r>
      <w:proofErr w:type="spellEnd"/>
      <w:r w:rsidRPr="000F4703">
        <w:rPr>
          <w:rFonts w:ascii="Book Antiqua" w:eastAsia="Book Antiqua" w:hAnsi="Book Antiqua" w:cs="Book Antiqua"/>
          <w:color w:val="000000"/>
        </w:rPr>
        <w:t xml:space="preserve"> JP, </w:t>
      </w:r>
      <w:proofErr w:type="spellStart"/>
      <w:r w:rsidRPr="000F4703">
        <w:rPr>
          <w:rFonts w:ascii="Book Antiqua" w:eastAsia="Book Antiqua" w:hAnsi="Book Antiqua" w:cs="Book Antiqua"/>
          <w:color w:val="000000"/>
        </w:rPr>
        <w:t>Godat</w:t>
      </w:r>
      <w:proofErr w:type="spellEnd"/>
      <w:r w:rsidRPr="000F4703">
        <w:rPr>
          <w:rFonts w:ascii="Book Antiqua" w:eastAsia="Book Antiqua" w:hAnsi="Book Antiqua" w:cs="Book Antiqua"/>
          <w:color w:val="000000"/>
        </w:rPr>
        <w:t xml:space="preserve"> S, </w:t>
      </w:r>
      <w:proofErr w:type="spellStart"/>
      <w:r w:rsidRPr="000F4703">
        <w:rPr>
          <w:rFonts w:ascii="Book Antiqua" w:eastAsia="Book Antiqua" w:hAnsi="Book Antiqua" w:cs="Book Antiqua"/>
          <w:color w:val="000000"/>
        </w:rPr>
        <w:t>Monges</w:t>
      </w:r>
      <w:proofErr w:type="spellEnd"/>
      <w:r w:rsidRPr="000F4703">
        <w:rPr>
          <w:rFonts w:ascii="Book Antiqua" w:eastAsia="Book Antiqua" w:hAnsi="Book Antiqua" w:cs="Book Antiqua"/>
          <w:color w:val="000000"/>
        </w:rPr>
        <w:t xml:space="preserve"> G, </w:t>
      </w:r>
      <w:proofErr w:type="spellStart"/>
      <w:r w:rsidRPr="000F4703">
        <w:rPr>
          <w:rFonts w:ascii="Book Antiqua" w:eastAsia="Book Antiqua" w:hAnsi="Book Antiqua" w:cs="Book Antiqua"/>
          <w:color w:val="000000"/>
        </w:rPr>
        <w:t>Poizat</w:t>
      </w:r>
      <w:proofErr w:type="spellEnd"/>
      <w:r w:rsidRPr="000F4703">
        <w:rPr>
          <w:rFonts w:ascii="Book Antiqua" w:eastAsia="Book Antiqua" w:hAnsi="Book Antiqua" w:cs="Book Antiqua"/>
          <w:color w:val="000000"/>
        </w:rPr>
        <w:t xml:space="preserve"> F, Raoul JL, </w:t>
      </w:r>
      <w:proofErr w:type="spellStart"/>
      <w:r w:rsidRPr="000F4703">
        <w:rPr>
          <w:rFonts w:ascii="Book Antiqua" w:eastAsia="Book Antiqua" w:hAnsi="Book Antiqua" w:cs="Book Antiqua"/>
          <w:color w:val="000000"/>
        </w:rPr>
        <w:t>Ries</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Giovannini</w:t>
      </w:r>
      <w:proofErr w:type="spellEnd"/>
      <w:r w:rsidRPr="000F4703">
        <w:rPr>
          <w:rFonts w:ascii="Book Antiqua" w:eastAsia="Book Antiqua" w:hAnsi="Book Antiqua" w:cs="Book Antiqua"/>
          <w:color w:val="000000"/>
        </w:rPr>
        <w:t xml:space="preserve"> M. Characterization of subepithelial lesions of the stomach and esophagus by contrast-enhanced EUS: A retrospective study.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i/>
          <w:iCs/>
          <w:color w:val="000000"/>
        </w:rPr>
        <w:t xml:space="preserve"> Ultrasound</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8</w:t>
      </w:r>
      <w:r w:rsidRPr="000F4703">
        <w:rPr>
          <w:rFonts w:ascii="Book Antiqua" w:eastAsia="Book Antiqua" w:hAnsi="Book Antiqua" w:cs="Book Antiqua"/>
          <w:color w:val="000000"/>
        </w:rPr>
        <w:t>: 43-49 [PMID: 30264741 DOI: 10.4103/eus.eus_89_17]</w:t>
      </w:r>
    </w:p>
    <w:p w14:paraId="149B3060"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30 </w:t>
      </w:r>
      <w:r w:rsidRPr="000F4703">
        <w:rPr>
          <w:rFonts w:ascii="Book Antiqua" w:eastAsia="Book Antiqua" w:hAnsi="Book Antiqua" w:cs="Book Antiqua"/>
          <w:b/>
          <w:bCs/>
          <w:color w:val="000000"/>
        </w:rPr>
        <w:t>Hu J</w:t>
      </w:r>
      <w:r w:rsidRPr="000F4703">
        <w:rPr>
          <w:rFonts w:ascii="Book Antiqua" w:eastAsia="Book Antiqua" w:hAnsi="Book Antiqua" w:cs="Book Antiqua"/>
          <w:color w:val="000000"/>
        </w:rPr>
        <w:t xml:space="preserve">, Ge N, Wang S, Liu X, Guo J, Wang G, Sun S. The Role of Endoscopic Ultrasound and Endoscopic Resection for Gastric Glomus: A Case Series and Literature Review. </w:t>
      </w:r>
      <w:r w:rsidRPr="000F4703">
        <w:rPr>
          <w:rFonts w:ascii="Book Antiqua" w:eastAsia="Book Antiqua" w:hAnsi="Book Antiqua" w:cs="Book Antiqua"/>
          <w:i/>
          <w:iCs/>
          <w:color w:val="000000"/>
        </w:rPr>
        <w:t xml:space="preserve">J </w:t>
      </w:r>
      <w:proofErr w:type="spellStart"/>
      <w:r w:rsidRPr="000F4703">
        <w:rPr>
          <w:rFonts w:ascii="Book Antiqua" w:eastAsia="Book Antiqua" w:hAnsi="Book Antiqua" w:cs="Book Antiqua"/>
          <w:i/>
          <w:iCs/>
          <w:color w:val="000000"/>
        </w:rPr>
        <w:t>Transl</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Int</w:t>
      </w:r>
      <w:proofErr w:type="spellEnd"/>
      <w:r w:rsidRPr="000F4703">
        <w:rPr>
          <w:rFonts w:ascii="Book Antiqua" w:eastAsia="Book Antiqua" w:hAnsi="Book Antiqua" w:cs="Book Antiqua"/>
          <w:i/>
          <w:iCs/>
          <w:color w:val="000000"/>
        </w:rPr>
        <w:t xml:space="preserve"> Med</w:t>
      </w:r>
      <w:r w:rsidRPr="000F4703">
        <w:rPr>
          <w:rFonts w:ascii="Book Antiqua" w:eastAsia="Book Antiqua" w:hAnsi="Book Antiqua" w:cs="Book Antiqua"/>
          <w:color w:val="000000"/>
        </w:rPr>
        <w:t xml:space="preserve"> 2019; </w:t>
      </w:r>
      <w:r w:rsidRPr="000F4703">
        <w:rPr>
          <w:rFonts w:ascii="Book Antiqua" w:eastAsia="Book Antiqua" w:hAnsi="Book Antiqua" w:cs="Book Antiqua"/>
          <w:b/>
          <w:bCs/>
          <w:color w:val="000000"/>
        </w:rPr>
        <w:t>7</w:t>
      </w:r>
      <w:r w:rsidRPr="000F4703">
        <w:rPr>
          <w:rFonts w:ascii="Book Antiqua" w:eastAsia="Book Antiqua" w:hAnsi="Book Antiqua" w:cs="Book Antiqua"/>
          <w:color w:val="000000"/>
        </w:rPr>
        <w:t>: 149-154 [PMID: 32010601 DOI: 10.2478/jtim-2019-0030]</w:t>
      </w:r>
    </w:p>
    <w:p w14:paraId="209B9ACF"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31 </w:t>
      </w:r>
      <w:proofErr w:type="spellStart"/>
      <w:r w:rsidRPr="000F4703">
        <w:rPr>
          <w:rFonts w:ascii="Book Antiqua" w:eastAsia="Book Antiqua" w:hAnsi="Book Antiqua" w:cs="Book Antiqua"/>
          <w:b/>
          <w:bCs/>
          <w:color w:val="000000"/>
        </w:rPr>
        <w:t>Ponsot</w:t>
      </w:r>
      <w:proofErr w:type="spellEnd"/>
      <w:r w:rsidRPr="000F4703">
        <w:rPr>
          <w:rFonts w:ascii="Book Antiqua" w:eastAsia="Book Antiqua" w:hAnsi="Book Antiqua" w:cs="Book Antiqua"/>
          <w:b/>
          <w:bCs/>
          <w:color w:val="000000"/>
        </w:rPr>
        <w:t xml:space="preserve"> P</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Chaussade</w:t>
      </w:r>
      <w:proofErr w:type="spellEnd"/>
      <w:r w:rsidRPr="000F4703">
        <w:rPr>
          <w:rFonts w:ascii="Book Antiqua" w:eastAsia="Book Antiqua" w:hAnsi="Book Antiqua" w:cs="Book Antiqua"/>
          <w:color w:val="000000"/>
        </w:rPr>
        <w:t xml:space="preserve"> S, Palazzo L, </w:t>
      </w:r>
      <w:proofErr w:type="spellStart"/>
      <w:r w:rsidRPr="000F4703">
        <w:rPr>
          <w:rFonts w:ascii="Book Antiqua" w:eastAsia="Book Antiqua" w:hAnsi="Book Antiqua" w:cs="Book Antiqua"/>
          <w:color w:val="000000"/>
        </w:rPr>
        <w:t>Amouyal</w:t>
      </w:r>
      <w:proofErr w:type="spellEnd"/>
      <w:r w:rsidRPr="000F4703">
        <w:rPr>
          <w:rFonts w:ascii="Book Antiqua" w:eastAsia="Book Antiqua" w:hAnsi="Book Antiqua" w:cs="Book Antiqua"/>
          <w:color w:val="000000"/>
        </w:rPr>
        <w:t xml:space="preserve"> P, </w:t>
      </w:r>
      <w:proofErr w:type="spellStart"/>
      <w:r w:rsidRPr="000F4703">
        <w:rPr>
          <w:rFonts w:ascii="Book Antiqua" w:eastAsia="Book Antiqua" w:hAnsi="Book Antiqua" w:cs="Book Antiqua"/>
          <w:color w:val="000000"/>
        </w:rPr>
        <w:t>Gaudric</w:t>
      </w:r>
      <w:proofErr w:type="spellEnd"/>
      <w:r w:rsidRPr="000F4703">
        <w:rPr>
          <w:rFonts w:ascii="Book Antiqua" w:eastAsia="Book Antiqua" w:hAnsi="Book Antiqua" w:cs="Book Antiqua"/>
          <w:color w:val="000000"/>
        </w:rPr>
        <w:t xml:space="preserve"> M, Couturier D, </w:t>
      </w:r>
      <w:proofErr w:type="spellStart"/>
      <w:r w:rsidRPr="000F4703">
        <w:rPr>
          <w:rFonts w:ascii="Book Antiqua" w:eastAsia="Book Antiqua" w:hAnsi="Book Antiqua" w:cs="Book Antiqua"/>
          <w:color w:val="000000"/>
        </w:rPr>
        <w:t>Paolaggi</w:t>
      </w:r>
      <w:proofErr w:type="spellEnd"/>
      <w:r w:rsidRPr="000F4703">
        <w:rPr>
          <w:rFonts w:ascii="Book Antiqua" w:eastAsia="Book Antiqua" w:hAnsi="Book Antiqua" w:cs="Book Antiqua"/>
          <w:color w:val="000000"/>
        </w:rPr>
        <w:t xml:space="preserve"> JA. Endoscopic ultrasonography in achalasia. </w:t>
      </w:r>
      <w:r w:rsidRPr="000F4703">
        <w:rPr>
          <w:rFonts w:ascii="Book Antiqua" w:eastAsia="Book Antiqua" w:hAnsi="Book Antiqua" w:cs="Book Antiqua"/>
          <w:i/>
          <w:iCs/>
          <w:color w:val="000000"/>
        </w:rPr>
        <w:t>Gastroenterology</w:t>
      </w:r>
      <w:r w:rsidRPr="000F4703">
        <w:rPr>
          <w:rFonts w:ascii="Book Antiqua" w:eastAsia="Book Antiqua" w:hAnsi="Book Antiqua" w:cs="Book Antiqua"/>
          <w:color w:val="000000"/>
        </w:rPr>
        <w:t xml:space="preserve"> 1990; </w:t>
      </w:r>
      <w:r w:rsidRPr="000F4703">
        <w:rPr>
          <w:rFonts w:ascii="Book Antiqua" w:eastAsia="Book Antiqua" w:hAnsi="Book Antiqua" w:cs="Book Antiqua"/>
          <w:b/>
          <w:bCs/>
          <w:color w:val="000000"/>
        </w:rPr>
        <w:t>98</w:t>
      </w:r>
      <w:r w:rsidRPr="000F4703">
        <w:rPr>
          <w:rFonts w:ascii="Book Antiqua" w:eastAsia="Book Antiqua" w:hAnsi="Book Antiqua" w:cs="Book Antiqua"/>
          <w:color w:val="000000"/>
        </w:rPr>
        <w:t>: 253 [PMID: 2403430 DOI: 10.1016/0016-5085(90)91337-6]</w:t>
      </w:r>
    </w:p>
    <w:p w14:paraId="0C8EB911" w14:textId="27F1D5F3"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 xml:space="preserve">32 </w:t>
      </w:r>
      <w:proofErr w:type="spellStart"/>
      <w:r w:rsidRPr="000F4703">
        <w:rPr>
          <w:rFonts w:ascii="Book Antiqua" w:eastAsia="Book Antiqua" w:hAnsi="Book Antiqua" w:cs="Book Antiqua"/>
          <w:b/>
          <w:bCs/>
          <w:color w:val="000000"/>
        </w:rPr>
        <w:t>Larssen</w:t>
      </w:r>
      <w:proofErr w:type="spellEnd"/>
      <w:r w:rsidRPr="000F4703">
        <w:rPr>
          <w:rFonts w:ascii="Book Antiqua" w:eastAsia="Book Antiqua" w:hAnsi="Book Antiqua" w:cs="Book Antiqua"/>
          <w:b/>
          <w:bCs/>
          <w:color w:val="000000"/>
        </w:rPr>
        <w:t xml:space="preserve"> L</w:t>
      </w:r>
      <w:r w:rsidRPr="000F4703">
        <w:rPr>
          <w:rFonts w:ascii="Book Antiqua" w:eastAsia="Book Antiqua" w:hAnsi="Book Antiqua" w:cs="Book Antiqua"/>
          <w:color w:val="000000"/>
        </w:rPr>
        <w:t xml:space="preserve">, </w:t>
      </w:r>
      <w:proofErr w:type="spellStart"/>
      <w:r w:rsidRPr="000F4703">
        <w:rPr>
          <w:rFonts w:ascii="Book Antiqua" w:eastAsia="Book Antiqua" w:hAnsi="Book Antiqua" w:cs="Book Antiqua"/>
          <w:color w:val="000000"/>
        </w:rPr>
        <w:t>Medhus</w:t>
      </w:r>
      <w:proofErr w:type="spellEnd"/>
      <w:r w:rsidRPr="000F4703">
        <w:rPr>
          <w:rFonts w:ascii="Book Antiqua" w:eastAsia="Book Antiqua" w:hAnsi="Book Antiqua" w:cs="Book Antiqua"/>
          <w:color w:val="000000"/>
        </w:rPr>
        <w:t xml:space="preserve"> AW, </w:t>
      </w:r>
      <w:proofErr w:type="spellStart"/>
      <w:r w:rsidRPr="000F4703">
        <w:rPr>
          <w:rFonts w:ascii="Book Antiqua" w:eastAsia="Book Antiqua" w:hAnsi="Book Antiqua" w:cs="Book Antiqua"/>
          <w:color w:val="000000"/>
        </w:rPr>
        <w:t>Hjermstad</w:t>
      </w:r>
      <w:proofErr w:type="spellEnd"/>
      <w:r w:rsidRPr="000F4703">
        <w:rPr>
          <w:rFonts w:ascii="Book Antiqua" w:eastAsia="Book Antiqua" w:hAnsi="Book Antiqua" w:cs="Book Antiqua"/>
          <w:color w:val="000000"/>
        </w:rPr>
        <w:t xml:space="preserve"> MJ, </w:t>
      </w:r>
      <w:proofErr w:type="spellStart"/>
      <w:r w:rsidRPr="000F4703">
        <w:rPr>
          <w:rFonts w:ascii="Book Antiqua" w:eastAsia="Book Antiqua" w:hAnsi="Book Antiqua" w:cs="Book Antiqua"/>
          <w:color w:val="000000"/>
        </w:rPr>
        <w:t>Körner</w:t>
      </w:r>
      <w:proofErr w:type="spellEnd"/>
      <w:r w:rsidRPr="000F4703">
        <w:rPr>
          <w:rFonts w:ascii="Book Antiqua" w:eastAsia="Book Antiqua" w:hAnsi="Book Antiqua" w:cs="Book Antiqua"/>
          <w:color w:val="000000"/>
        </w:rPr>
        <w:t xml:space="preserve"> H, </w:t>
      </w:r>
      <w:proofErr w:type="spellStart"/>
      <w:r w:rsidRPr="000F4703">
        <w:rPr>
          <w:rFonts w:ascii="Book Antiqua" w:eastAsia="Book Antiqua" w:hAnsi="Book Antiqua" w:cs="Book Antiqua"/>
          <w:color w:val="000000"/>
        </w:rPr>
        <w:t>Glomsaker</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Søberg</w:t>
      </w:r>
      <w:proofErr w:type="spellEnd"/>
      <w:r w:rsidRPr="000F4703">
        <w:rPr>
          <w:rFonts w:ascii="Book Antiqua" w:eastAsia="Book Antiqua" w:hAnsi="Book Antiqua" w:cs="Book Antiqua"/>
          <w:color w:val="000000"/>
        </w:rPr>
        <w:t xml:space="preserve"> T, </w:t>
      </w:r>
      <w:proofErr w:type="spellStart"/>
      <w:r w:rsidRPr="000F4703">
        <w:rPr>
          <w:rFonts w:ascii="Book Antiqua" w:eastAsia="Book Antiqua" w:hAnsi="Book Antiqua" w:cs="Book Antiqua"/>
          <w:color w:val="000000"/>
        </w:rPr>
        <w:t>Gleditsch</w:t>
      </w:r>
      <w:proofErr w:type="spellEnd"/>
      <w:r w:rsidRPr="000F4703">
        <w:rPr>
          <w:rFonts w:ascii="Book Antiqua" w:eastAsia="Book Antiqua" w:hAnsi="Book Antiqua" w:cs="Book Antiqua"/>
          <w:color w:val="000000"/>
        </w:rPr>
        <w:t xml:space="preserve"> D, </w:t>
      </w:r>
      <w:proofErr w:type="spellStart"/>
      <w:r w:rsidRPr="000F4703">
        <w:rPr>
          <w:rFonts w:ascii="Book Antiqua" w:eastAsia="Book Antiqua" w:hAnsi="Book Antiqua" w:cs="Book Antiqua"/>
          <w:color w:val="000000"/>
        </w:rPr>
        <w:t>Hovde</w:t>
      </w:r>
      <w:proofErr w:type="spellEnd"/>
      <w:r w:rsidRPr="000F4703">
        <w:rPr>
          <w:rFonts w:ascii="Book Antiqua" w:eastAsia="Book Antiqua" w:hAnsi="Book Antiqua" w:cs="Book Antiqua"/>
          <w:color w:val="000000"/>
        </w:rPr>
        <w:t xml:space="preserve"> O, </w:t>
      </w:r>
      <w:proofErr w:type="spellStart"/>
      <w:r w:rsidRPr="000F4703">
        <w:rPr>
          <w:rFonts w:ascii="Book Antiqua" w:eastAsia="Book Antiqua" w:hAnsi="Book Antiqua" w:cs="Book Antiqua"/>
          <w:color w:val="000000"/>
        </w:rPr>
        <w:t>Nesbakken</w:t>
      </w:r>
      <w:proofErr w:type="spellEnd"/>
      <w:r w:rsidRPr="000F4703">
        <w:rPr>
          <w:rFonts w:ascii="Book Antiqua" w:eastAsia="Book Antiqua" w:hAnsi="Book Antiqua" w:cs="Book Antiqua"/>
          <w:color w:val="000000"/>
        </w:rPr>
        <w:t xml:space="preserve"> A, </w:t>
      </w:r>
      <w:proofErr w:type="spellStart"/>
      <w:r w:rsidRPr="000F4703">
        <w:rPr>
          <w:rFonts w:ascii="Book Antiqua" w:eastAsia="Book Antiqua" w:hAnsi="Book Antiqua" w:cs="Book Antiqua"/>
          <w:color w:val="000000"/>
        </w:rPr>
        <w:t>Tholfsen</w:t>
      </w:r>
      <w:proofErr w:type="spellEnd"/>
      <w:r w:rsidRPr="000F4703">
        <w:rPr>
          <w:rFonts w:ascii="Book Antiqua" w:eastAsia="Book Antiqua" w:hAnsi="Book Antiqua" w:cs="Book Antiqua"/>
          <w:color w:val="000000"/>
        </w:rPr>
        <w:t xml:space="preserve"> JK, </w:t>
      </w:r>
      <w:proofErr w:type="spellStart"/>
      <w:r w:rsidRPr="000F4703">
        <w:rPr>
          <w:rFonts w:ascii="Book Antiqua" w:eastAsia="Book Antiqua" w:hAnsi="Book Antiqua" w:cs="Book Antiqua"/>
          <w:color w:val="000000"/>
        </w:rPr>
        <w:t>Skreden</w:t>
      </w:r>
      <w:proofErr w:type="spellEnd"/>
      <w:r w:rsidRPr="000F4703">
        <w:rPr>
          <w:rFonts w:ascii="Book Antiqua" w:eastAsia="Book Antiqua" w:hAnsi="Book Antiqua" w:cs="Book Antiqua"/>
          <w:color w:val="000000"/>
        </w:rPr>
        <w:t xml:space="preserve"> K, </w:t>
      </w:r>
      <w:proofErr w:type="spellStart"/>
      <w:r w:rsidRPr="000F4703">
        <w:rPr>
          <w:rFonts w:ascii="Book Antiqua" w:eastAsia="Book Antiqua" w:hAnsi="Book Antiqua" w:cs="Book Antiqua"/>
          <w:color w:val="000000"/>
        </w:rPr>
        <w:t>Hauge</w:t>
      </w:r>
      <w:proofErr w:type="spellEnd"/>
      <w:r w:rsidRPr="000F4703">
        <w:rPr>
          <w:rFonts w:ascii="Book Antiqua" w:eastAsia="Book Antiqua" w:hAnsi="Book Antiqua" w:cs="Book Antiqua"/>
          <w:color w:val="000000"/>
        </w:rPr>
        <w:t xml:space="preserve"> T. Patient-reported outcomes in palliative gastrointestinal stenting: a Norwegian multicenter study. </w:t>
      </w:r>
      <w:proofErr w:type="spellStart"/>
      <w:r w:rsidRPr="000F4703">
        <w:rPr>
          <w:rFonts w:ascii="Book Antiqua" w:eastAsia="Book Antiqua" w:hAnsi="Book Antiqua" w:cs="Book Antiqua"/>
          <w:i/>
          <w:iCs/>
          <w:color w:val="000000"/>
        </w:rPr>
        <w:t>Surg</w:t>
      </w:r>
      <w:proofErr w:type="spellEnd"/>
      <w:r w:rsidRPr="000F4703">
        <w:rPr>
          <w:rFonts w:ascii="Book Antiqua" w:eastAsia="Book Antiqua" w:hAnsi="Book Antiqua" w:cs="Book Antiqua"/>
          <w:i/>
          <w:iCs/>
          <w:color w:val="000000"/>
        </w:rPr>
        <w:t xml:space="preserve"> </w:t>
      </w:r>
      <w:proofErr w:type="spellStart"/>
      <w:r w:rsidRPr="000F4703">
        <w:rPr>
          <w:rFonts w:ascii="Book Antiqua" w:eastAsia="Book Antiqua" w:hAnsi="Book Antiqua" w:cs="Book Antiqua"/>
          <w:i/>
          <w:iCs/>
          <w:color w:val="000000"/>
        </w:rPr>
        <w:t>Endosc</w:t>
      </w:r>
      <w:proofErr w:type="spellEnd"/>
      <w:r w:rsidRPr="000F4703">
        <w:rPr>
          <w:rFonts w:ascii="Book Antiqua" w:eastAsia="Book Antiqua" w:hAnsi="Book Antiqua" w:cs="Book Antiqua"/>
          <w:color w:val="000000"/>
        </w:rPr>
        <w:t xml:space="preserve"> 2011; </w:t>
      </w:r>
      <w:r w:rsidRPr="000F4703">
        <w:rPr>
          <w:rFonts w:ascii="Book Antiqua" w:eastAsia="Book Antiqua" w:hAnsi="Book Antiqua" w:cs="Book Antiqua"/>
          <w:b/>
          <w:bCs/>
          <w:color w:val="000000"/>
        </w:rPr>
        <w:t>25</w:t>
      </w:r>
      <w:r w:rsidRPr="000F4703">
        <w:rPr>
          <w:rFonts w:ascii="Book Antiqua" w:eastAsia="Book Antiqua" w:hAnsi="Book Antiqua" w:cs="Book Antiqua"/>
          <w:color w:val="000000"/>
        </w:rPr>
        <w:t>: 3162-3169 [PMID: 21487867 DOI: 10.1007/s00464-011-1680-7]</w:t>
      </w:r>
    </w:p>
    <w:bookmarkEnd w:id="8"/>
    <w:bookmarkEnd w:id="9"/>
    <w:p w14:paraId="5A5E67B0" w14:textId="77777777" w:rsidR="00A77B3E" w:rsidRPr="000F4703" w:rsidRDefault="00A77B3E" w:rsidP="000F4703">
      <w:pPr>
        <w:snapToGrid w:val="0"/>
        <w:spacing w:line="360" w:lineRule="auto"/>
        <w:jc w:val="both"/>
        <w:rPr>
          <w:rFonts w:ascii="Book Antiqua" w:hAnsi="Book Antiqua"/>
        </w:rPr>
        <w:sectPr w:rsidR="00A77B3E" w:rsidRPr="000F4703" w:rsidSect="00B234D1">
          <w:pgSz w:w="12240" w:h="15840"/>
          <w:pgMar w:top="1440" w:right="1800" w:bottom="1440" w:left="1800" w:header="720" w:footer="720" w:gutter="0"/>
          <w:cols w:space="720"/>
          <w:docGrid w:linePitch="360"/>
        </w:sectPr>
      </w:pPr>
    </w:p>
    <w:p w14:paraId="72BCB2B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Footnotes</w:t>
      </w:r>
    </w:p>
    <w:p w14:paraId="4C20DFE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Institutional review board statement: </w:t>
      </w:r>
      <w:r w:rsidRPr="000F4703">
        <w:rPr>
          <w:rFonts w:ascii="Book Antiqua" w:eastAsia="Book Antiqua" w:hAnsi="Book Antiqua" w:cs="Book Antiqua"/>
          <w:color w:val="000000"/>
        </w:rPr>
        <w:t>This study was reviewed and approved by the Institutional Review Board and the Ethics Committee of China Medical University.</w:t>
      </w:r>
    </w:p>
    <w:p w14:paraId="243AC7C9" w14:textId="77777777" w:rsidR="00A77B3E" w:rsidRPr="000F4703" w:rsidRDefault="00A77B3E" w:rsidP="000F4703">
      <w:pPr>
        <w:snapToGrid w:val="0"/>
        <w:spacing w:line="360" w:lineRule="auto"/>
        <w:jc w:val="both"/>
        <w:rPr>
          <w:rFonts w:ascii="Book Antiqua" w:hAnsi="Book Antiqua"/>
        </w:rPr>
      </w:pPr>
    </w:p>
    <w:p w14:paraId="7E0F3133"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Informed consent statement: </w:t>
      </w:r>
      <w:r w:rsidRPr="000F4703">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27DF60CC" w14:textId="77777777" w:rsidR="00A77B3E" w:rsidRPr="000F4703" w:rsidRDefault="00A77B3E" w:rsidP="000F4703">
      <w:pPr>
        <w:snapToGrid w:val="0"/>
        <w:spacing w:line="360" w:lineRule="auto"/>
        <w:jc w:val="both"/>
        <w:rPr>
          <w:rFonts w:ascii="Book Antiqua" w:hAnsi="Book Antiqua"/>
        </w:rPr>
      </w:pPr>
    </w:p>
    <w:p w14:paraId="3F9141E9"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Conflict-of-interest statement: </w:t>
      </w:r>
      <w:r w:rsidRPr="000F4703">
        <w:rPr>
          <w:rFonts w:ascii="Book Antiqua" w:eastAsia="Book Antiqua" w:hAnsi="Book Antiqua" w:cs="Book Antiqua"/>
          <w:color w:val="000000"/>
        </w:rPr>
        <w:t>We have no financial relationships to disclose.</w:t>
      </w:r>
    </w:p>
    <w:p w14:paraId="429A4C47" w14:textId="77777777" w:rsidR="00A77B3E" w:rsidRPr="000F4703" w:rsidRDefault="00A77B3E" w:rsidP="000F4703">
      <w:pPr>
        <w:snapToGrid w:val="0"/>
        <w:spacing w:line="360" w:lineRule="auto"/>
        <w:jc w:val="both"/>
        <w:rPr>
          <w:rFonts w:ascii="Book Antiqua" w:hAnsi="Book Antiqua"/>
        </w:rPr>
      </w:pPr>
    </w:p>
    <w:p w14:paraId="346D2852"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Data sharing statement: </w:t>
      </w:r>
      <w:r w:rsidRPr="000F4703">
        <w:rPr>
          <w:rFonts w:ascii="Book Antiqua" w:eastAsia="Book Antiqua" w:hAnsi="Book Antiqua" w:cs="Book Antiqua"/>
          <w:color w:val="000000"/>
        </w:rPr>
        <w:t>No additional data are available.</w:t>
      </w:r>
    </w:p>
    <w:p w14:paraId="5AB0942D" w14:textId="77777777" w:rsidR="00A77B3E" w:rsidRPr="000F4703" w:rsidRDefault="00A77B3E" w:rsidP="000F4703">
      <w:pPr>
        <w:snapToGrid w:val="0"/>
        <w:spacing w:line="360" w:lineRule="auto"/>
        <w:jc w:val="both"/>
        <w:rPr>
          <w:rFonts w:ascii="Book Antiqua" w:hAnsi="Book Antiqua"/>
        </w:rPr>
      </w:pPr>
    </w:p>
    <w:p w14:paraId="433159A4"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bCs/>
          <w:color w:val="000000"/>
        </w:rPr>
        <w:t xml:space="preserve">Open-Access: </w:t>
      </w:r>
      <w:r w:rsidRPr="000F47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4703">
        <w:rPr>
          <w:rFonts w:ascii="Book Antiqua" w:eastAsia="Book Antiqua" w:hAnsi="Book Antiqua" w:cs="Book Antiqua"/>
          <w:color w:val="000000"/>
        </w:rPr>
        <w:t>NonCommercial</w:t>
      </w:r>
      <w:proofErr w:type="spellEnd"/>
      <w:r w:rsidRPr="000F47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48B381" w14:textId="77777777" w:rsidR="00A77B3E" w:rsidRPr="000F4703" w:rsidRDefault="00A77B3E" w:rsidP="000F4703">
      <w:pPr>
        <w:snapToGrid w:val="0"/>
        <w:spacing w:line="360" w:lineRule="auto"/>
        <w:jc w:val="both"/>
        <w:rPr>
          <w:rFonts w:ascii="Book Antiqua" w:hAnsi="Book Antiqua"/>
        </w:rPr>
      </w:pPr>
    </w:p>
    <w:p w14:paraId="1B1B4E48" w14:textId="7E68E8C2"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Manuscript source: </w:t>
      </w:r>
      <w:r w:rsidRPr="000F4703">
        <w:rPr>
          <w:rFonts w:ascii="Book Antiqua" w:eastAsia="Book Antiqua" w:hAnsi="Book Antiqua" w:cs="Book Antiqua"/>
          <w:color w:val="000000"/>
        </w:rPr>
        <w:t xml:space="preserve">Unsolicited </w:t>
      </w:r>
      <w:r w:rsidR="00A20940" w:rsidRPr="000F4703">
        <w:rPr>
          <w:rFonts w:ascii="Book Antiqua" w:eastAsia="Book Antiqua" w:hAnsi="Book Antiqua" w:cs="Book Antiqua"/>
          <w:color w:val="000000"/>
        </w:rPr>
        <w:t>manuscript</w:t>
      </w:r>
    </w:p>
    <w:p w14:paraId="0196E1A6" w14:textId="77777777" w:rsidR="00A77B3E" w:rsidRPr="000F4703" w:rsidRDefault="00A77B3E" w:rsidP="000F4703">
      <w:pPr>
        <w:snapToGrid w:val="0"/>
        <w:spacing w:line="360" w:lineRule="auto"/>
        <w:jc w:val="both"/>
        <w:rPr>
          <w:rFonts w:ascii="Book Antiqua" w:hAnsi="Book Antiqua"/>
        </w:rPr>
      </w:pPr>
    </w:p>
    <w:p w14:paraId="145B4758"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Peer-review started: </w:t>
      </w:r>
      <w:r w:rsidRPr="000F4703">
        <w:rPr>
          <w:rFonts w:ascii="Book Antiqua" w:eastAsia="Book Antiqua" w:hAnsi="Book Antiqua" w:cs="Book Antiqua"/>
          <w:color w:val="000000"/>
        </w:rPr>
        <w:t>June 4, 2020</w:t>
      </w:r>
    </w:p>
    <w:p w14:paraId="0CCCAAA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First decision: </w:t>
      </w:r>
      <w:r w:rsidRPr="000F4703">
        <w:rPr>
          <w:rFonts w:ascii="Book Antiqua" w:eastAsia="Book Antiqua" w:hAnsi="Book Antiqua" w:cs="Book Antiqua"/>
          <w:color w:val="000000"/>
        </w:rPr>
        <w:t>July 29, 2020</w:t>
      </w:r>
    </w:p>
    <w:p w14:paraId="22BA8F2F" w14:textId="14FDEAEE"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Article in press:</w:t>
      </w:r>
      <w:r w:rsidR="00EF4138">
        <w:rPr>
          <w:rFonts w:ascii="Book Antiqua" w:hAnsi="Book Antiqua" w:cs="Book Antiqua" w:hint="eastAsia"/>
          <w:b/>
          <w:color w:val="000000"/>
          <w:lang w:eastAsia="zh-CN"/>
        </w:rPr>
        <w:t xml:space="preserve"> </w:t>
      </w:r>
      <w:r w:rsidR="00EF4138" w:rsidRPr="00EF4138">
        <w:rPr>
          <w:rFonts w:ascii="Book Antiqua" w:hAnsi="Book Antiqua" w:cs="Book Antiqua"/>
          <w:color w:val="000000"/>
          <w:lang w:eastAsia="zh-CN"/>
        </w:rPr>
        <w:t>September 10</w:t>
      </w:r>
      <w:proofErr w:type="gramStart"/>
      <w:r w:rsidR="00EF4138" w:rsidRPr="00EF4138">
        <w:rPr>
          <w:rFonts w:ascii="Book Antiqua" w:hAnsi="Book Antiqua" w:cs="Book Antiqua"/>
          <w:color w:val="000000"/>
          <w:lang w:eastAsia="zh-CN"/>
        </w:rPr>
        <w:t xml:space="preserve">, </w:t>
      </w:r>
      <w:r w:rsidR="00EF4138" w:rsidRPr="00EF4138">
        <w:rPr>
          <w:rFonts w:ascii="Book Antiqua" w:hAnsi="Book Antiqua" w:cs="Book Antiqua" w:hint="eastAsia"/>
          <w:color w:val="000000"/>
          <w:lang w:eastAsia="zh-CN"/>
        </w:rPr>
        <w:t xml:space="preserve"> 2020</w:t>
      </w:r>
      <w:proofErr w:type="gramEnd"/>
      <w:r w:rsidRPr="000F4703">
        <w:rPr>
          <w:rFonts w:ascii="Book Antiqua" w:eastAsia="Book Antiqua" w:hAnsi="Book Antiqua" w:cs="Book Antiqua"/>
          <w:b/>
          <w:color w:val="000000"/>
        </w:rPr>
        <w:t xml:space="preserve"> </w:t>
      </w:r>
    </w:p>
    <w:p w14:paraId="6A13D21B" w14:textId="77777777" w:rsidR="00A77B3E" w:rsidRPr="000F4703" w:rsidRDefault="00A77B3E" w:rsidP="000F4703">
      <w:pPr>
        <w:snapToGrid w:val="0"/>
        <w:spacing w:line="360" w:lineRule="auto"/>
        <w:jc w:val="both"/>
        <w:rPr>
          <w:rFonts w:ascii="Book Antiqua" w:hAnsi="Book Antiqua"/>
        </w:rPr>
      </w:pPr>
    </w:p>
    <w:p w14:paraId="157037B5" w14:textId="365416A5"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Specialty type: </w:t>
      </w:r>
      <w:r w:rsidRPr="000F4703">
        <w:rPr>
          <w:rFonts w:ascii="Book Antiqua" w:eastAsia="Book Antiqua" w:hAnsi="Book Antiqua" w:cs="Book Antiqua"/>
          <w:color w:val="000000"/>
        </w:rPr>
        <w:t xml:space="preserve">Gastroenterology and </w:t>
      </w:r>
      <w:r w:rsidR="00A20940" w:rsidRPr="000F4703">
        <w:rPr>
          <w:rFonts w:ascii="Book Antiqua" w:eastAsia="Book Antiqua" w:hAnsi="Book Antiqua" w:cs="Book Antiqua"/>
          <w:color w:val="000000"/>
        </w:rPr>
        <w:t>hepatology</w:t>
      </w:r>
    </w:p>
    <w:p w14:paraId="0D15C71D"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t xml:space="preserve">Country/Territory of origin: </w:t>
      </w:r>
      <w:r w:rsidRPr="000F4703">
        <w:rPr>
          <w:rFonts w:ascii="Book Antiqua" w:eastAsia="Book Antiqua" w:hAnsi="Book Antiqua" w:cs="Book Antiqua"/>
          <w:color w:val="000000"/>
        </w:rPr>
        <w:t>China</w:t>
      </w:r>
    </w:p>
    <w:p w14:paraId="17846B65"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b/>
          <w:color w:val="000000"/>
        </w:rPr>
        <w:lastRenderedPageBreak/>
        <w:t>Peer-review report’s scientific quality classification</w:t>
      </w:r>
    </w:p>
    <w:p w14:paraId="4E18BC9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A (Excellent): A</w:t>
      </w:r>
    </w:p>
    <w:p w14:paraId="2607977E"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B (Very good): B, B</w:t>
      </w:r>
    </w:p>
    <w:p w14:paraId="0C4B7DD1"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C (Good): 0</w:t>
      </w:r>
    </w:p>
    <w:p w14:paraId="47266184"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D (Fair): 0</w:t>
      </w:r>
    </w:p>
    <w:p w14:paraId="2677CD56" w14:textId="77777777" w:rsidR="00A77B3E" w:rsidRPr="000F4703" w:rsidRDefault="006E3988" w:rsidP="000F4703">
      <w:pPr>
        <w:snapToGrid w:val="0"/>
        <w:spacing w:line="360" w:lineRule="auto"/>
        <w:jc w:val="both"/>
        <w:rPr>
          <w:rFonts w:ascii="Book Antiqua" w:hAnsi="Book Antiqua"/>
        </w:rPr>
      </w:pPr>
      <w:r w:rsidRPr="000F4703">
        <w:rPr>
          <w:rFonts w:ascii="Book Antiqua" w:eastAsia="Book Antiqua" w:hAnsi="Book Antiqua" w:cs="Book Antiqua"/>
          <w:color w:val="000000"/>
        </w:rPr>
        <w:t>Grade E (Poor): 0</w:t>
      </w:r>
    </w:p>
    <w:p w14:paraId="5D0D218D" w14:textId="77777777" w:rsidR="00A77B3E" w:rsidRPr="000F4703" w:rsidRDefault="00A77B3E" w:rsidP="000F4703">
      <w:pPr>
        <w:snapToGrid w:val="0"/>
        <w:spacing w:line="360" w:lineRule="auto"/>
        <w:jc w:val="both"/>
        <w:rPr>
          <w:rFonts w:ascii="Book Antiqua" w:hAnsi="Book Antiqua"/>
        </w:rPr>
      </w:pPr>
    </w:p>
    <w:p w14:paraId="6219808B" w14:textId="77777777" w:rsidR="00EF4138" w:rsidRDefault="006E3988" w:rsidP="000F4703">
      <w:pPr>
        <w:snapToGrid w:val="0"/>
        <w:spacing w:line="360" w:lineRule="auto"/>
        <w:jc w:val="both"/>
        <w:rPr>
          <w:rFonts w:ascii="Book Antiqua" w:hAnsi="Book Antiqua" w:cs="Book Antiqua"/>
          <w:color w:val="000000"/>
          <w:lang w:eastAsia="zh-CN"/>
        </w:rPr>
      </w:pPr>
      <w:r w:rsidRPr="000F4703">
        <w:rPr>
          <w:rFonts w:ascii="Book Antiqua" w:eastAsia="Book Antiqua" w:hAnsi="Book Antiqua" w:cs="Book Antiqua"/>
          <w:b/>
          <w:color w:val="000000"/>
        </w:rPr>
        <w:t xml:space="preserve">P-Reviewer: </w:t>
      </w:r>
      <w:proofErr w:type="spellStart"/>
      <w:r w:rsidRPr="000F4703">
        <w:rPr>
          <w:rFonts w:ascii="Book Antiqua" w:eastAsia="Book Antiqua" w:hAnsi="Book Antiqua" w:cs="Book Antiqua"/>
          <w:color w:val="000000"/>
        </w:rPr>
        <w:t>Gobejishvili</w:t>
      </w:r>
      <w:proofErr w:type="spellEnd"/>
      <w:r w:rsidRPr="000F4703">
        <w:rPr>
          <w:rFonts w:ascii="Book Antiqua" w:eastAsia="Book Antiqua" w:hAnsi="Book Antiqua" w:cs="Book Antiqua"/>
          <w:color w:val="000000"/>
        </w:rPr>
        <w:t xml:space="preserve"> L, </w:t>
      </w:r>
      <w:proofErr w:type="spellStart"/>
      <w:r w:rsidRPr="000F4703">
        <w:rPr>
          <w:rFonts w:ascii="Book Antiqua" w:eastAsia="Book Antiqua" w:hAnsi="Book Antiqua" w:cs="Book Antiqua"/>
          <w:color w:val="000000"/>
        </w:rPr>
        <w:t>Morling</w:t>
      </w:r>
      <w:proofErr w:type="spellEnd"/>
      <w:r w:rsidRPr="000F4703">
        <w:rPr>
          <w:rFonts w:ascii="Book Antiqua" w:eastAsia="Book Antiqua" w:hAnsi="Book Antiqua" w:cs="Book Antiqua"/>
          <w:color w:val="000000"/>
        </w:rPr>
        <w:t xml:space="preserve"> JR, </w:t>
      </w:r>
      <w:proofErr w:type="spellStart"/>
      <w:r w:rsidRPr="000F4703">
        <w:rPr>
          <w:rFonts w:ascii="Book Antiqua" w:eastAsia="Book Antiqua" w:hAnsi="Book Antiqua" w:cs="Book Antiqua"/>
          <w:color w:val="000000"/>
        </w:rPr>
        <w:t>Musquer</w:t>
      </w:r>
      <w:proofErr w:type="spellEnd"/>
      <w:r w:rsidRPr="000F4703">
        <w:rPr>
          <w:rFonts w:ascii="Book Antiqua" w:eastAsia="Book Antiqua" w:hAnsi="Book Antiqua" w:cs="Book Antiqua"/>
          <w:color w:val="000000"/>
        </w:rPr>
        <w:t xml:space="preserve"> N</w:t>
      </w:r>
      <w:r w:rsidRPr="000F4703">
        <w:rPr>
          <w:rFonts w:ascii="Book Antiqua" w:eastAsia="Book Antiqua" w:hAnsi="Book Antiqua" w:cs="Book Antiqua"/>
          <w:b/>
          <w:color w:val="000000"/>
        </w:rPr>
        <w:t xml:space="preserve"> S-Editor: </w:t>
      </w:r>
      <w:r w:rsidR="00A20940" w:rsidRPr="000F4703">
        <w:rPr>
          <w:rFonts w:ascii="Book Antiqua" w:eastAsia="Book Antiqua" w:hAnsi="Book Antiqua" w:cs="Book Antiqua"/>
          <w:color w:val="000000"/>
        </w:rPr>
        <w:t>Zhang L</w:t>
      </w:r>
      <w:r w:rsidR="000C79E4">
        <w:rPr>
          <w:rFonts w:ascii="Book Antiqua" w:eastAsia="Book Antiqua" w:hAnsi="Book Antiqua" w:cs="Book Antiqua"/>
          <w:b/>
          <w:color w:val="000000"/>
        </w:rPr>
        <w:t xml:space="preserve"> L-Editor:</w:t>
      </w:r>
      <w:r w:rsidRPr="000F4703">
        <w:rPr>
          <w:rFonts w:ascii="Book Antiqua" w:eastAsia="Book Antiqua" w:hAnsi="Book Antiqua" w:cs="Book Antiqua"/>
          <w:b/>
          <w:color w:val="000000"/>
        </w:rPr>
        <w:t xml:space="preserve"> </w:t>
      </w:r>
      <w:r w:rsidR="000C504E" w:rsidRPr="00661925">
        <w:rPr>
          <w:rFonts w:ascii="Book Antiqua" w:eastAsia="Book Antiqua" w:hAnsi="Book Antiqua" w:cs="Book Antiqua"/>
          <w:color w:val="000000"/>
        </w:rPr>
        <w:t>Wang TQ</w:t>
      </w:r>
      <w:r w:rsidR="000C504E">
        <w:rPr>
          <w:rFonts w:ascii="Book Antiqua" w:eastAsia="Book Antiqua" w:hAnsi="Book Antiqua" w:cs="Book Antiqua"/>
          <w:b/>
          <w:color w:val="000000"/>
        </w:rPr>
        <w:t xml:space="preserve"> </w:t>
      </w:r>
      <w:r w:rsidRPr="000F4703">
        <w:rPr>
          <w:rFonts w:ascii="Book Antiqua" w:eastAsia="Book Antiqua" w:hAnsi="Book Antiqua" w:cs="Book Antiqua"/>
          <w:b/>
          <w:color w:val="000000"/>
        </w:rPr>
        <w:t>P-Editor:</w:t>
      </w:r>
      <w:r w:rsidR="00EF4138">
        <w:rPr>
          <w:rFonts w:ascii="Book Antiqua" w:hAnsi="Book Antiqua" w:cs="Book Antiqua" w:hint="eastAsia"/>
          <w:b/>
          <w:color w:val="000000"/>
          <w:lang w:eastAsia="zh-CN"/>
        </w:rPr>
        <w:t xml:space="preserve"> </w:t>
      </w:r>
      <w:r w:rsidR="00EF4138" w:rsidRPr="00EF4138">
        <w:rPr>
          <w:rFonts w:ascii="Book Antiqua" w:hAnsi="Book Antiqua" w:cs="Book Antiqua"/>
          <w:color w:val="000000"/>
          <w:lang w:eastAsia="zh-CN"/>
        </w:rPr>
        <w:t>Zhang YL</w:t>
      </w:r>
    </w:p>
    <w:p w14:paraId="5BCCF8BC" w14:textId="07653169" w:rsidR="00A77B3E" w:rsidRPr="000F4703" w:rsidRDefault="006E3988" w:rsidP="000F4703">
      <w:pPr>
        <w:snapToGrid w:val="0"/>
        <w:spacing w:line="360" w:lineRule="auto"/>
        <w:jc w:val="both"/>
        <w:rPr>
          <w:rFonts w:ascii="Book Antiqua" w:hAnsi="Book Antiqua"/>
        </w:rPr>
        <w:sectPr w:rsidR="00A77B3E" w:rsidRPr="000F4703" w:rsidSect="00B234D1">
          <w:pgSz w:w="12240" w:h="15840"/>
          <w:pgMar w:top="1440" w:right="1800" w:bottom="1440" w:left="1800" w:header="720" w:footer="720" w:gutter="0"/>
          <w:cols w:space="720"/>
          <w:docGrid w:linePitch="360"/>
        </w:sectPr>
      </w:pPr>
      <w:r w:rsidRPr="000F4703">
        <w:rPr>
          <w:rFonts w:ascii="Book Antiqua" w:eastAsia="Book Antiqua" w:hAnsi="Book Antiqua" w:cs="Book Antiqua"/>
          <w:b/>
          <w:color w:val="000000"/>
        </w:rPr>
        <w:t xml:space="preserve"> </w:t>
      </w:r>
    </w:p>
    <w:p w14:paraId="616F2E52" w14:textId="0DE76372" w:rsidR="00A77B3E" w:rsidRPr="000F4703" w:rsidRDefault="006E3988" w:rsidP="000F4703">
      <w:pPr>
        <w:snapToGrid w:val="0"/>
        <w:spacing w:line="360" w:lineRule="auto"/>
        <w:jc w:val="both"/>
        <w:rPr>
          <w:rFonts w:ascii="Book Antiqua" w:eastAsia="Book Antiqua" w:hAnsi="Book Antiqua" w:cs="Book Antiqua"/>
          <w:b/>
          <w:color w:val="000000"/>
        </w:rPr>
      </w:pPr>
      <w:r w:rsidRPr="000F4703">
        <w:rPr>
          <w:rFonts w:ascii="Book Antiqua" w:eastAsia="Book Antiqua" w:hAnsi="Book Antiqua" w:cs="Book Antiqua"/>
          <w:b/>
          <w:color w:val="000000"/>
        </w:rPr>
        <w:lastRenderedPageBreak/>
        <w:t>Figure Legends</w:t>
      </w:r>
    </w:p>
    <w:p w14:paraId="00DEBD46" w14:textId="13EAED86" w:rsidR="001008F9" w:rsidRPr="000F4703" w:rsidRDefault="00A20940" w:rsidP="000F4703">
      <w:pPr>
        <w:snapToGrid w:val="0"/>
        <w:spacing w:line="360" w:lineRule="auto"/>
        <w:jc w:val="both"/>
        <w:rPr>
          <w:rFonts w:ascii="Book Antiqua" w:hAnsi="Book Antiqua"/>
        </w:rPr>
      </w:pPr>
      <w:r w:rsidRPr="000F4703">
        <w:rPr>
          <w:rFonts w:ascii="Book Antiqua" w:hAnsi="Book Antiqua"/>
          <w:noProof/>
          <w:lang w:eastAsia="zh-CN"/>
        </w:rPr>
        <w:drawing>
          <wp:inline distT="0" distB="0" distL="0" distR="0" wp14:anchorId="36A6F46A" wp14:editId="0AEB657F">
            <wp:extent cx="5486400" cy="29076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907665"/>
                    </a:xfrm>
                    <a:prstGeom prst="rect">
                      <a:avLst/>
                    </a:prstGeom>
                  </pic:spPr>
                </pic:pic>
              </a:graphicData>
            </a:graphic>
          </wp:inline>
        </w:drawing>
      </w:r>
    </w:p>
    <w:p w14:paraId="0150DA75" w14:textId="6DF85468" w:rsidR="001008F9"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1</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Correlation between age and disease duration in individuals with achalasia</w:t>
      </w:r>
      <w:r w:rsidR="00906B62">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w:t>
      </w:r>
      <w:r w:rsidRPr="000F4703">
        <w:rPr>
          <w:rFonts w:ascii="Book Antiqua" w:eastAsia="Book Antiqua" w:hAnsi="Book Antiqua" w:cs="Book Antiqua"/>
          <w:b/>
          <w:bCs/>
          <w:i/>
          <w:iCs/>
          <w:color w:val="000000"/>
        </w:rPr>
        <w:t xml:space="preserve">P </w:t>
      </w:r>
      <w:r w:rsidRPr="000F4703">
        <w:rPr>
          <w:rFonts w:ascii="Book Antiqua" w:eastAsia="Book Antiqua" w:hAnsi="Book Antiqua" w:cs="Book Antiqua"/>
          <w:b/>
          <w:bCs/>
          <w:color w:val="000000"/>
        </w:rPr>
        <w:t>&lt;</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 xml:space="preserve">0.05, </w:t>
      </w:r>
      <w:r w:rsidRPr="000F4703">
        <w:rPr>
          <w:rFonts w:ascii="Book Antiqua" w:eastAsia="Book Antiqua" w:hAnsi="Book Antiqua" w:cs="Book Antiqua"/>
          <w:b/>
          <w:bCs/>
          <w:i/>
          <w:color w:val="000000"/>
        </w:rPr>
        <w:t>R</w:t>
      </w:r>
      <w:r w:rsidRPr="000F4703">
        <w:rPr>
          <w:rFonts w:ascii="Book Antiqua" w:eastAsia="Book Antiqua" w:hAnsi="Book Antiqua" w:cs="Book Antiqua"/>
          <w:b/>
          <w:bCs/>
          <w:color w:val="000000"/>
          <w:vertAlign w:val="superscript"/>
        </w:rPr>
        <w:t xml:space="preserve">2 </w:t>
      </w:r>
      <w:r w:rsidRPr="000F4703">
        <w:rPr>
          <w:rFonts w:ascii="Book Antiqua" w:eastAsia="Book Antiqua" w:hAnsi="Book Antiqua" w:cs="Book Antiqua"/>
          <w:b/>
          <w:bCs/>
          <w:color w:val="000000"/>
        </w:rPr>
        <w:t>= 0.169)</w:t>
      </w:r>
      <w:r w:rsidR="00FD6B15">
        <w:rPr>
          <w:rFonts w:ascii="Book Antiqua" w:eastAsia="Book Antiqua" w:hAnsi="Book Antiqua" w:cs="Book Antiqua"/>
          <w:b/>
          <w:bCs/>
          <w:color w:val="000000"/>
        </w:rPr>
        <w:t>.</w:t>
      </w:r>
    </w:p>
    <w:p w14:paraId="6B034D22" w14:textId="177115C9" w:rsidR="00A77B3E" w:rsidRPr="000F4703" w:rsidRDefault="001008F9" w:rsidP="000F4703">
      <w:pPr>
        <w:snapToGrid w:val="0"/>
        <w:spacing w:line="360" w:lineRule="auto"/>
        <w:jc w:val="both"/>
        <w:rPr>
          <w:rFonts w:ascii="Book Antiqua" w:hAnsi="Book Antiqua"/>
          <w:b/>
          <w:bCs/>
        </w:rPr>
      </w:pPr>
      <w:r w:rsidRPr="000F4703">
        <w:rPr>
          <w:rFonts w:ascii="Book Antiqua" w:eastAsia="Book Antiqua" w:hAnsi="Book Antiqua" w:cs="Book Antiqua"/>
          <w:b/>
          <w:bCs/>
          <w:color w:val="000000"/>
        </w:rPr>
        <w:br w:type="page"/>
      </w:r>
      <w:r w:rsidR="000F4703" w:rsidRPr="000F4703">
        <w:rPr>
          <w:rFonts w:ascii="Book Antiqua" w:hAnsi="Book Antiqua"/>
          <w:b/>
          <w:bCs/>
          <w:noProof/>
          <w:lang w:eastAsia="zh-CN"/>
        </w:rPr>
        <w:lastRenderedPageBreak/>
        <w:drawing>
          <wp:inline distT="0" distB="0" distL="0" distR="0" wp14:anchorId="685D8494" wp14:editId="77E0234F">
            <wp:extent cx="5486400" cy="37077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707765"/>
                    </a:xfrm>
                    <a:prstGeom prst="rect">
                      <a:avLst/>
                    </a:prstGeom>
                  </pic:spPr>
                </pic:pic>
              </a:graphicData>
            </a:graphic>
          </wp:inline>
        </w:drawing>
      </w:r>
    </w:p>
    <w:p w14:paraId="15D965BE" w14:textId="4C6FFD2B" w:rsidR="001008F9"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2</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Kaplan–Meier analysis of recurrence after peroral endoscopic myotomy.</w:t>
      </w:r>
    </w:p>
    <w:p w14:paraId="5B9A605F" w14:textId="1E4382D0" w:rsidR="00A77B3E" w:rsidRPr="000F4703" w:rsidRDefault="001008F9" w:rsidP="000F4703">
      <w:pPr>
        <w:snapToGrid w:val="0"/>
        <w:spacing w:line="360" w:lineRule="auto"/>
        <w:jc w:val="both"/>
        <w:rPr>
          <w:rFonts w:ascii="Book Antiqua" w:hAnsi="Book Antiqua"/>
          <w:b/>
          <w:bCs/>
        </w:rPr>
      </w:pPr>
      <w:r w:rsidRPr="000F4703">
        <w:rPr>
          <w:rFonts w:ascii="Book Antiqua" w:eastAsia="Book Antiqua" w:hAnsi="Book Antiqua" w:cs="Book Antiqua"/>
          <w:b/>
          <w:bCs/>
          <w:color w:val="000000"/>
        </w:rPr>
        <w:br w:type="page"/>
      </w:r>
      <w:r w:rsidR="000F4703" w:rsidRPr="000F4703">
        <w:rPr>
          <w:rFonts w:ascii="Book Antiqua" w:hAnsi="Book Antiqua"/>
          <w:b/>
          <w:bCs/>
          <w:noProof/>
          <w:lang w:eastAsia="zh-CN"/>
        </w:rPr>
        <w:lastRenderedPageBreak/>
        <w:drawing>
          <wp:inline distT="0" distB="0" distL="0" distR="0" wp14:anchorId="1EFE240E" wp14:editId="74C39699">
            <wp:extent cx="5486400" cy="3760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760470"/>
                    </a:xfrm>
                    <a:prstGeom prst="rect">
                      <a:avLst/>
                    </a:prstGeom>
                  </pic:spPr>
                </pic:pic>
              </a:graphicData>
            </a:graphic>
          </wp:inline>
        </w:drawing>
      </w:r>
    </w:p>
    <w:p w14:paraId="5020D615" w14:textId="0CC1139A" w:rsidR="000564B8" w:rsidRPr="000F4703" w:rsidRDefault="006E3988" w:rsidP="000F4703">
      <w:pPr>
        <w:snapToGrid w:val="0"/>
        <w:spacing w:line="360" w:lineRule="auto"/>
        <w:jc w:val="both"/>
        <w:rPr>
          <w:rFonts w:ascii="Book Antiqua" w:eastAsia="Book Antiqua" w:hAnsi="Book Antiqua" w:cs="Book Antiqua"/>
          <w:b/>
          <w:bCs/>
          <w:color w:val="000000"/>
        </w:rPr>
      </w:pPr>
      <w:r w:rsidRPr="000F4703">
        <w:rPr>
          <w:rFonts w:ascii="Book Antiqua" w:eastAsia="Book Antiqua" w:hAnsi="Book Antiqua" w:cs="Book Antiqua"/>
          <w:b/>
          <w:bCs/>
          <w:color w:val="000000"/>
        </w:rPr>
        <w:t>Figure 3</w:t>
      </w:r>
      <w:r w:rsidR="001008F9" w:rsidRPr="000F4703">
        <w:rPr>
          <w:rFonts w:ascii="Book Antiqua" w:eastAsia="Book Antiqua" w:hAnsi="Book Antiqua" w:cs="Book Antiqua"/>
          <w:b/>
          <w:bCs/>
          <w:color w:val="000000"/>
        </w:rPr>
        <w:t xml:space="preserve"> </w:t>
      </w:r>
      <w:r w:rsidRPr="000F4703">
        <w:rPr>
          <w:rFonts w:ascii="Book Antiqua" w:eastAsia="Book Antiqua" w:hAnsi="Book Antiqua" w:cs="Book Antiqua"/>
          <w:b/>
          <w:bCs/>
          <w:color w:val="000000"/>
        </w:rPr>
        <w:t>Kaplan–Meier estimate of time to recurrence according to muscularis propria thickness.</w:t>
      </w:r>
    </w:p>
    <w:p w14:paraId="0CFBA409"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b/>
          <w:bCs/>
        </w:rPr>
      </w:pPr>
      <w:r w:rsidRPr="000F4703">
        <w:rPr>
          <w:rFonts w:ascii="Book Antiqua" w:eastAsia="Book Antiqua" w:hAnsi="Book Antiqua" w:cs="Book Antiqua"/>
          <w:b/>
          <w:bCs/>
          <w:color w:val="000000"/>
        </w:rPr>
        <w:br w:type="page"/>
      </w:r>
      <w:r w:rsidRPr="000F4703">
        <w:rPr>
          <w:rFonts w:ascii="Book Antiqua" w:eastAsia="宋体" w:hAnsi="Book Antiqua"/>
          <w:b/>
          <w:bCs/>
        </w:rPr>
        <w:lastRenderedPageBreak/>
        <w:t>Table 1</w:t>
      </w:r>
      <w:bookmarkStart w:id="12" w:name="_Hlk31555647"/>
      <w:r w:rsidRPr="000F4703">
        <w:rPr>
          <w:rFonts w:ascii="Book Antiqua" w:eastAsia="宋体" w:hAnsi="Book Antiqua"/>
          <w:b/>
          <w:bCs/>
        </w:rPr>
        <w:t xml:space="preserve"> Comparison of characteristics between patients with non-thickened and thickened </w:t>
      </w:r>
      <w:bookmarkEnd w:id="12"/>
      <w:r w:rsidRPr="000F4703">
        <w:rPr>
          <w:rFonts w:ascii="Book Antiqua" w:eastAsia="宋体" w:hAnsi="Book Antiqua"/>
          <w:b/>
          <w:bCs/>
        </w:rPr>
        <w:t>lower esophageal muscularis propria</w:t>
      </w:r>
    </w:p>
    <w:tbl>
      <w:tblPr>
        <w:tblStyle w:val="1"/>
        <w:tblW w:w="8772" w:type="dxa"/>
        <w:tblLayout w:type="fixed"/>
        <w:tblLook w:val="04A0" w:firstRow="1" w:lastRow="0" w:firstColumn="1" w:lastColumn="0" w:noHBand="0" w:noVBand="1"/>
      </w:tblPr>
      <w:tblGrid>
        <w:gridCol w:w="2976"/>
        <w:gridCol w:w="2694"/>
        <w:gridCol w:w="1842"/>
        <w:gridCol w:w="1260"/>
      </w:tblGrid>
      <w:tr w:rsidR="000564B8" w:rsidRPr="000F4703" w14:paraId="3CF900A9" w14:textId="77777777" w:rsidTr="008D2533">
        <w:trPr>
          <w:trHeight w:val="295"/>
        </w:trPr>
        <w:tc>
          <w:tcPr>
            <w:tcW w:w="2976" w:type="dxa"/>
            <w:vMerge w:val="restart"/>
            <w:tcBorders>
              <w:top w:val="single" w:sz="4" w:space="0" w:color="auto"/>
              <w:left w:val="nil"/>
              <w:right w:val="nil"/>
            </w:tcBorders>
            <w:vAlign w:val="center"/>
          </w:tcPr>
          <w:p w14:paraId="2CD0A432"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4536" w:type="dxa"/>
            <w:gridSpan w:val="2"/>
            <w:tcBorders>
              <w:top w:val="single" w:sz="4" w:space="0" w:color="auto"/>
              <w:left w:val="nil"/>
              <w:bottom w:val="single" w:sz="4" w:space="0" w:color="auto"/>
              <w:right w:val="nil"/>
            </w:tcBorders>
          </w:tcPr>
          <w:p w14:paraId="5B37CB1C"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Thickness of LEMP</w:t>
            </w:r>
          </w:p>
        </w:tc>
        <w:tc>
          <w:tcPr>
            <w:tcW w:w="1260" w:type="dxa"/>
            <w:vMerge w:val="restart"/>
            <w:tcBorders>
              <w:top w:val="single" w:sz="4" w:space="0" w:color="auto"/>
              <w:left w:val="nil"/>
              <w:bottom w:val="nil"/>
              <w:right w:val="nil"/>
            </w:tcBorders>
            <w:vAlign w:val="center"/>
          </w:tcPr>
          <w:p w14:paraId="0677CCD0"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i/>
                <w:iCs/>
              </w:rPr>
              <w:t>P</w:t>
            </w:r>
            <w:r w:rsidRPr="000F4703">
              <w:rPr>
                <w:rFonts w:ascii="Book Antiqua" w:hAnsi="Book Antiqua"/>
                <w:b/>
                <w:bCs/>
              </w:rPr>
              <w:t xml:space="preserve"> value</w:t>
            </w:r>
          </w:p>
        </w:tc>
      </w:tr>
      <w:tr w:rsidR="000564B8" w:rsidRPr="000F4703" w14:paraId="08F94F40" w14:textId="77777777" w:rsidTr="008D2533">
        <w:trPr>
          <w:trHeight w:val="204"/>
        </w:trPr>
        <w:tc>
          <w:tcPr>
            <w:tcW w:w="2976" w:type="dxa"/>
            <w:vMerge/>
            <w:tcBorders>
              <w:left w:val="nil"/>
              <w:right w:val="nil"/>
            </w:tcBorders>
          </w:tcPr>
          <w:p w14:paraId="379B169B"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rPr>
            </w:pPr>
          </w:p>
        </w:tc>
        <w:tc>
          <w:tcPr>
            <w:tcW w:w="2694" w:type="dxa"/>
            <w:tcBorders>
              <w:top w:val="single" w:sz="4" w:space="0" w:color="auto"/>
              <w:left w:val="nil"/>
              <w:bottom w:val="single" w:sz="4" w:space="0" w:color="auto"/>
              <w:right w:val="nil"/>
            </w:tcBorders>
          </w:tcPr>
          <w:p w14:paraId="53BF0F86"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&lt; 3 mm (</w:t>
            </w:r>
            <w:r w:rsidRPr="000F4703">
              <w:rPr>
                <w:rFonts w:ascii="Book Antiqua" w:hAnsi="Book Antiqua"/>
                <w:b/>
                <w:bCs/>
                <w:i/>
                <w:iCs/>
              </w:rPr>
              <w:t xml:space="preserve">n </w:t>
            </w:r>
            <w:r w:rsidRPr="000F4703">
              <w:rPr>
                <w:rFonts w:ascii="Book Antiqua" w:hAnsi="Book Antiqua"/>
                <w:b/>
                <w:bCs/>
              </w:rPr>
              <w:t>= 19)</w:t>
            </w:r>
          </w:p>
        </w:tc>
        <w:tc>
          <w:tcPr>
            <w:tcW w:w="1842" w:type="dxa"/>
            <w:tcBorders>
              <w:top w:val="single" w:sz="4" w:space="0" w:color="auto"/>
              <w:left w:val="nil"/>
              <w:bottom w:val="single" w:sz="4" w:space="0" w:color="auto"/>
              <w:right w:val="nil"/>
            </w:tcBorders>
          </w:tcPr>
          <w:p w14:paraId="63C37200" w14:textId="1164D8D8" w:rsidR="000564B8" w:rsidRPr="000F4703" w:rsidRDefault="000564B8" w:rsidP="000F4703">
            <w:pPr>
              <w:autoSpaceDE w:val="0"/>
              <w:autoSpaceDN w:val="0"/>
              <w:adjustRightInd w:val="0"/>
              <w:snapToGrid w:val="0"/>
              <w:spacing w:line="360" w:lineRule="auto"/>
              <w:ind w:left="120" w:hangingChars="50" w:hanging="120"/>
              <w:jc w:val="both"/>
              <w:rPr>
                <w:rFonts w:ascii="Book Antiqua" w:hAnsi="Book Antiqua"/>
                <w:b/>
                <w:bCs/>
              </w:rPr>
            </w:pPr>
            <w:r w:rsidRPr="000F4703">
              <w:rPr>
                <w:rFonts w:ascii="Book Antiqua" w:hAnsi="Book Antiqua"/>
                <w:b/>
                <w:bCs/>
              </w:rPr>
              <w:t>≥ 3 mm (</w:t>
            </w:r>
            <w:r w:rsidRPr="000F4703">
              <w:rPr>
                <w:rFonts w:ascii="Book Antiqua" w:hAnsi="Book Antiqua"/>
                <w:b/>
                <w:bCs/>
                <w:i/>
                <w:iCs/>
              </w:rPr>
              <w:t xml:space="preserve">n </w:t>
            </w:r>
            <w:r w:rsidRPr="000F4703">
              <w:rPr>
                <w:rFonts w:ascii="Book Antiqua" w:hAnsi="Book Antiqua"/>
                <w:b/>
                <w:bCs/>
              </w:rPr>
              <w:t>=</w:t>
            </w:r>
            <w:r w:rsidR="00A81E3A" w:rsidRPr="000F4703">
              <w:rPr>
                <w:rFonts w:ascii="Book Antiqua" w:hAnsi="Book Antiqua"/>
                <w:b/>
                <w:bCs/>
              </w:rPr>
              <w:t xml:space="preserve"> </w:t>
            </w:r>
            <w:r w:rsidRPr="000F4703">
              <w:rPr>
                <w:rFonts w:ascii="Book Antiqua" w:hAnsi="Book Antiqua"/>
                <w:b/>
                <w:bCs/>
              </w:rPr>
              <w:t>63)</w:t>
            </w:r>
          </w:p>
        </w:tc>
        <w:tc>
          <w:tcPr>
            <w:tcW w:w="1260" w:type="dxa"/>
            <w:vMerge/>
            <w:tcBorders>
              <w:top w:val="nil"/>
              <w:left w:val="nil"/>
              <w:bottom w:val="single" w:sz="4" w:space="0" w:color="auto"/>
              <w:right w:val="nil"/>
            </w:tcBorders>
          </w:tcPr>
          <w:p w14:paraId="5BF96089"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r>
      <w:tr w:rsidR="000564B8" w:rsidRPr="000F4703" w14:paraId="6507D379" w14:textId="77777777" w:rsidTr="008D2533">
        <w:trPr>
          <w:trHeight w:val="20"/>
        </w:trPr>
        <w:tc>
          <w:tcPr>
            <w:tcW w:w="2976" w:type="dxa"/>
            <w:tcBorders>
              <w:top w:val="single" w:sz="4" w:space="0" w:color="auto"/>
              <w:left w:val="nil"/>
              <w:bottom w:val="nil"/>
              <w:right w:val="nil"/>
            </w:tcBorders>
          </w:tcPr>
          <w:p w14:paraId="5F61F7CE"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Age (</w:t>
            </w:r>
            <w:proofErr w:type="spellStart"/>
            <w:r w:rsidRPr="000F4703">
              <w:rPr>
                <w:rFonts w:ascii="Book Antiqua" w:hAnsi="Book Antiqua"/>
              </w:rPr>
              <w:t>yr</w:t>
            </w:r>
            <w:proofErr w:type="spellEnd"/>
            <w:r w:rsidRPr="000F4703">
              <w:rPr>
                <w:rFonts w:ascii="Book Antiqua" w:hAnsi="Book Antiqua"/>
              </w:rPr>
              <w:t>)</w:t>
            </w:r>
          </w:p>
        </w:tc>
        <w:tc>
          <w:tcPr>
            <w:tcW w:w="2694" w:type="dxa"/>
            <w:tcBorders>
              <w:top w:val="single" w:sz="4" w:space="0" w:color="auto"/>
              <w:left w:val="nil"/>
              <w:bottom w:val="nil"/>
              <w:right w:val="nil"/>
            </w:tcBorders>
          </w:tcPr>
          <w:p w14:paraId="4C6C8475"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40.4 ± 15.2</w:t>
            </w:r>
          </w:p>
        </w:tc>
        <w:tc>
          <w:tcPr>
            <w:tcW w:w="1842" w:type="dxa"/>
            <w:tcBorders>
              <w:top w:val="single" w:sz="4" w:space="0" w:color="auto"/>
              <w:left w:val="nil"/>
              <w:bottom w:val="nil"/>
              <w:right w:val="nil"/>
            </w:tcBorders>
          </w:tcPr>
          <w:p w14:paraId="7A22688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48.4 ± 14.4</w:t>
            </w:r>
          </w:p>
        </w:tc>
        <w:tc>
          <w:tcPr>
            <w:tcW w:w="1260" w:type="dxa"/>
            <w:tcBorders>
              <w:top w:val="single" w:sz="4" w:space="0" w:color="auto"/>
              <w:left w:val="nil"/>
              <w:bottom w:val="nil"/>
              <w:right w:val="nil"/>
            </w:tcBorders>
          </w:tcPr>
          <w:p w14:paraId="1511C038"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0.04</w:t>
            </w:r>
          </w:p>
        </w:tc>
      </w:tr>
      <w:tr w:rsidR="000564B8" w:rsidRPr="000F4703" w14:paraId="31F43BBD" w14:textId="77777777" w:rsidTr="008D2533">
        <w:trPr>
          <w:trHeight w:val="20"/>
        </w:trPr>
        <w:tc>
          <w:tcPr>
            <w:tcW w:w="2976" w:type="dxa"/>
            <w:tcBorders>
              <w:top w:val="nil"/>
              <w:left w:val="nil"/>
              <w:bottom w:val="nil"/>
              <w:right w:val="nil"/>
            </w:tcBorders>
          </w:tcPr>
          <w:p w14:paraId="7848AC75" w14:textId="70F6DAEE"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Sex (</w:t>
            </w:r>
            <w:r w:rsidR="000C504E">
              <w:rPr>
                <w:rFonts w:ascii="Book Antiqua" w:hAnsi="Book Antiqua"/>
              </w:rPr>
              <w:t>m</w:t>
            </w:r>
            <w:r w:rsidR="000C504E" w:rsidRPr="000F4703">
              <w:rPr>
                <w:rFonts w:ascii="Book Antiqua" w:hAnsi="Book Antiqua"/>
              </w:rPr>
              <w:t>ale</w:t>
            </w:r>
            <w:r w:rsidR="000C504E">
              <w:rPr>
                <w:rFonts w:ascii="Book Antiqua" w:hAnsi="Book Antiqua"/>
              </w:rPr>
              <w:t>/f</w:t>
            </w:r>
            <w:r w:rsidRPr="000F4703">
              <w:rPr>
                <w:rFonts w:ascii="Book Antiqua" w:hAnsi="Book Antiqua"/>
              </w:rPr>
              <w:t>emale)</w:t>
            </w:r>
          </w:p>
        </w:tc>
        <w:tc>
          <w:tcPr>
            <w:tcW w:w="2694" w:type="dxa"/>
            <w:tcBorders>
              <w:top w:val="nil"/>
              <w:left w:val="nil"/>
              <w:bottom w:val="nil"/>
              <w:right w:val="nil"/>
            </w:tcBorders>
          </w:tcPr>
          <w:p w14:paraId="170D0D1A"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6:13</w:t>
            </w:r>
          </w:p>
        </w:tc>
        <w:tc>
          <w:tcPr>
            <w:tcW w:w="1842" w:type="dxa"/>
            <w:tcBorders>
              <w:top w:val="nil"/>
              <w:left w:val="nil"/>
              <w:bottom w:val="nil"/>
              <w:right w:val="nil"/>
            </w:tcBorders>
          </w:tcPr>
          <w:p w14:paraId="6ABC5704"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26:37</w:t>
            </w:r>
          </w:p>
        </w:tc>
        <w:tc>
          <w:tcPr>
            <w:tcW w:w="1260" w:type="dxa"/>
            <w:tcBorders>
              <w:top w:val="nil"/>
              <w:left w:val="nil"/>
              <w:bottom w:val="nil"/>
              <w:right w:val="nil"/>
            </w:tcBorders>
          </w:tcPr>
          <w:p w14:paraId="5663139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0.448</w:t>
            </w:r>
          </w:p>
        </w:tc>
      </w:tr>
      <w:tr w:rsidR="000564B8" w:rsidRPr="000F4703" w14:paraId="6C8DE4B8" w14:textId="77777777" w:rsidTr="008D2533">
        <w:trPr>
          <w:trHeight w:val="20"/>
        </w:trPr>
        <w:tc>
          <w:tcPr>
            <w:tcW w:w="2976" w:type="dxa"/>
            <w:tcBorders>
              <w:top w:val="nil"/>
              <w:left w:val="nil"/>
              <w:bottom w:val="nil"/>
              <w:right w:val="nil"/>
            </w:tcBorders>
          </w:tcPr>
          <w:p w14:paraId="01A4830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Disease duration (</w:t>
            </w:r>
            <w:proofErr w:type="spellStart"/>
            <w:r w:rsidRPr="000F4703">
              <w:rPr>
                <w:rFonts w:ascii="Book Antiqua" w:hAnsi="Book Antiqua"/>
              </w:rPr>
              <w:t>mo</w:t>
            </w:r>
            <w:proofErr w:type="spellEnd"/>
            <w:r w:rsidRPr="000F4703">
              <w:rPr>
                <w:rFonts w:ascii="Book Antiqua" w:hAnsi="Book Antiqua"/>
              </w:rPr>
              <w:t>)</w:t>
            </w:r>
          </w:p>
        </w:tc>
        <w:tc>
          <w:tcPr>
            <w:tcW w:w="2694" w:type="dxa"/>
            <w:tcBorders>
              <w:top w:val="nil"/>
              <w:left w:val="nil"/>
              <w:bottom w:val="nil"/>
              <w:right w:val="nil"/>
            </w:tcBorders>
          </w:tcPr>
          <w:p w14:paraId="1F42597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37.79 ± 35.52</w:t>
            </w:r>
          </w:p>
        </w:tc>
        <w:tc>
          <w:tcPr>
            <w:tcW w:w="1842" w:type="dxa"/>
            <w:tcBorders>
              <w:top w:val="nil"/>
              <w:left w:val="nil"/>
              <w:bottom w:val="nil"/>
              <w:right w:val="nil"/>
            </w:tcBorders>
          </w:tcPr>
          <w:p w14:paraId="4F6EE221"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126.63 ± 138.49</w:t>
            </w:r>
          </w:p>
        </w:tc>
        <w:tc>
          <w:tcPr>
            <w:tcW w:w="1260" w:type="dxa"/>
            <w:tcBorders>
              <w:top w:val="nil"/>
              <w:left w:val="nil"/>
              <w:bottom w:val="nil"/>
              <w:right w:val="nil"/>
            </w:tcBorders>
          </w:tcPr>
          <w:p w14:paraId="6BE5DE4B"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&lt; 0.001</w:t>
            </w:r>
          </w:p>
        </w:tc>
      </w:tr>
      <w:tr w:rsidR="000564B8" w:rsidRPr="000F4703" w14:paraId="2D00BC15" w14:textId="77777777" w:rsidTr="008D2533">
        <w:trPr>
          <w:trHeight w:val="20"/>
        </w:trPr>
        <w:tc>
          <w:tcPr>
            <w:tcW w:w="2976" w:type="dxa"/>
            <w:tcBorders>
              <w:top w:val="nil"/>
              <w:left w:val="nil"/>
              <w:bottom w:val="nil"/>
              <w:right w:val="nil"/>
            </w:tcBorders>
          </w:tcPr>
          <w:p w14:paraId="1A8C6241" w14:textId="4877BE19"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History of endoscopic surgery (+</w:t>
            </w:r>
            <w:r w:rsidR="000C504E">
              <w:rPr>
                <w:rFonts w:ascii="Book Antiqua" w:hAnsi="Book Antiqua"/>
              </w:rPr>
              <w:t>/</w:t>
            </w:r>
            <w:r w:rsidRPr="000F4703">
              <w:rPr>
                <w:rFonts w:ascii="Book Antiqua" w:hAnsi="Book Antiqua"/>
              </w:rPr>
              <w:sym w:font="Symbol" w:char="F02D"/>
            </w:r>
            <w:r w:rsidRPr="000F4703">
              <w:rPr>
                <w:rFonts w:ascii="Book Antiqua" w:hAnsi="Book Antiqua"/>
              </w:rPr>
              <w:t>)</w:t>
            </w:r>
          </w:p>
        </w:tc>
        <w:tc>
          <w:tcPr>
            <w:tcW w:w="2694" w:type="dxa"/>
            <w:tcBorders>
              <w:top w:val="nil"/>
              <w:left w:val="nil"/>
              <w:bottom w:val="nil"/>
              <w:right w:val="nil"/>
            </w:tcBorders>
          </w:tcPr>
          <w:p w14:paraId="16A2116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1:18</w:t>
            </w:r>
          </w:p>
        </w:tc>
        <w:tc>
          <w:tcPr>
            <w:tcW w:w="1842" w:type="dxa"/>
            <w:tcBorders>
              <w:top w:val="nil"/>
              <w:left w:val="nil"/>
              <w:bottom w:val="nil"/>
              <w:right w:val="nil"/>
            </w:tcBorders>
          </w:tcPr>
          <w:p w14:paraId="6281B82A"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5:58</w:t>
            </w:r>
          </w:p>
        </w:tc>
        <w:tc>
          <w:tcPr>
            <w:tcW w:w="1260" w:type="dxa"/>
            <w:tcBorders>
              <w:top w:val="nil"/>
              <w:left w:val="nil"/>
              <w:bottom w:val="nil"/>
              <w:right w:val="nil"/>
            </w:tcBorders>
          </w:tcPr>
          <w:p w14:paraId="2582FBC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0.619</w:t>
            </w:r>
          </w:p>
        </w:tc>
      </w:tr>
      <w:tr w:rsidR="000564B8" w:rsidRPr="000F4703" w14:paraId="05CC6CC8" w14:textId="77777777" w:rsidTr="008D2533">
        <w:trPr>
          <w:trHeight w:val="20"/>
        </w:trPr>
        <w:tc>
          <w:tcPr>
            <w:tcW w:w="2976" w:type="dxa"/>
            <w:tcBorders>
              <w:top w:val="nil"/>
              <w:left w:val="nil"/>
              <w:bottom w:val="nil"/>
              <w:right w:val="nil"/>
            </w:tcBorders>
          </w:tcPr>
          <w:p w14:paraId="103C4879" w14:textId="3C15F15D"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Dilation grade (I</w:t>
            </w:r>
            <w:r w:rsidR="000C504E">
              <w:rPr>
                <w:rFonts w:ascii="Book Antiqua" w:hAnsi="Book Antiqua"/>
              </w:rPr>
              <w:t>/</w:t>
            </w:r>
            <w:r w:rsidRPr="000F4703">
              <w:rPr>
                <w:rFonts w:ascii="Book Antiqua" w:hAnsi="Book Antiqua"/>
              </w:rPr>
              <w:t>II</w:t>
            </w:r>
            <w:r w:rsidR="000C504E">
              <w:rPr>
                <w:rFonts w:ascii="Book Antiqua" w:hAnsi="Book Antiqua"/>
              </w:rPr>
              <w:t>/</w:t>
            </w:r>
            <w:r w:rsidRPr="000F4703">
              <w:rPr>
                <w:rFonts w:ascii="Book Antiqua" w:hAnsi="Book Antiqua"/>
              </w:rPr>
              <w:t>III)</w:t>
            </w:r>
          </w:p>
        </w:tc>
        <w:tc>
          <w:tcPr>
            <w:tcW w:w="2694" w:type="dxa"/>
            <w:tcBorders>
              <w:top w:val="nil"/>
              <w:left w:val="nil"/>
              <w:bottom w:val="nil"/>
              <w:right w:val="nil"/>
            </w:tcBorders>
          </w:tcPr>
          <w:p w14:paraId="73B5117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6:4:1 (11)</w:t>
            </w:r>
          </w:p>
        </w:tc>
        <w:tc>
          <w:tcPr>
            <w:tcW w:w="1842" w:type="dxa"/>
            <w:tcBorders>
              <w:top w:val="nil"/>
              <w:left w:val="nil"/>
              <w:bottom w:val="nil"/>
              <w:right w:val="nil"/>
            </w:tcBorders>
          </w:tcPr>
          <w:p w14:paraId="046ADA78"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15:20:7 (42)</w:t>
            </w:r>
          </w:p>
        </w:tc>
        <w:tc>
          <w:tcPr>
            <w:tcW w:w="1260" w:type="dxa"/>
            <w:tcBorders>
              <w:top w:val="nil"/>
              <w:left w:val="nil"/>
              <w:bottom w:val="nil"/>
              <w:right w:val="nil"/>
            </w:tcBorders>
          </w:tcPr>
          <w:p w14:paraId="124BECE9"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0.667</w:t>
            </w:r>
          </w:p>
        </w:tc>
      </w:tr>
      <w:tr w:rsidR="000564B8" w:rsidRPr="000F4703" w14:paraId="59433B68" w14:textId="77777777" w:rsidTr="008D2533">
        <w:trPr>
          <w:trHeight w:val="20"/>
        </w:trPr>
        <w:tc>
          <w:tcPr>
            <w:tcW w:w="2976" w:type="dxa"/>
            <w:tcBorders>
              <w:top w:val="nil"/>
              <w:left w:val="nil"/>
              <w:bottom w:val="single" w:sz="4" w:space="0" w:color="auto"/>
              <w:right w:val="nil"/>
            </w:tcBorders>
          </w:tcPr>
          <w:p w14:paraId="0E75E8BC"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 xml:space="preserve">Preoperative </w:t>
            </w:r>
            <w:proofErr w:type="spellStart"/>
            <w:r w:rsidRPr="000F4703">
              <w:rPr>
                <w:rFonts w:ascii="Book Antiqua" w:hAnsi="Book Antiqua"/>
              </w:rPr>
              <w:t>Eckardt</w:t>
            </w:r>
            <w:proofErr w:type="spellEnd"/>
            <w:r w:rsidRPr="000F4703">
              <w:rPr>
                <w:rFonts w:ascii="Book Antiqua" w:hAnsi="Book Antiqua"/>
              </w:rPr>
              <w:t xml:space="preserve"> score</w:t>
            </w:r>
          </w:p>
        </w:tc>
        <w:tc>
          <w:tcPr>
            <w:tcW w:w="2694" w:type="dxa"/>
            <w:tcBorders>
              <w:top w:val="nil"/>
              <w:left w:val="nil"/>
              <w:bottom w:val="single" w:sz="4" w:space="0" w:color="auto"/>
              <w:right w:val="nil"/>
            </w:tcBorders>
          </w:tcPr>
          <w:p w14:paraId="5C6E30FD"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6.53 ± 2.04</w:t>
            </w:r>
          </w:p>
        </w:tc>
        <w:tc>
          <w:tcPr>
            <w:tcW w:w="1842" w:type="dxa"/>
            <w:tcBorders>
              <w:top w:val="nil"/>
              <w:left w:val="nil"/>
              <w:bottom w:val="single" w:sz="4" w:space="0" w:color="auto"/>
              <w:right w:val="nil"/>
            </w:tcBorders>
          </w:tcPr>
          <w:p w14:paraId="0A5A38B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6.68 ± 1.90</w:t>
            </w:r>
          </w:p>
        </w:tc>
        <w:tc>
          <w:tcPr>
            <w:tcW w:w="1260" w:type="dxa"/>
            <w:tcBorders>
              <w:top w:val="nil"/>
              <w:left w:val="nil"/>
              <w:bottom w:val="single" w:sz="4" w:space="0" w:color="auto"/>
              <w:right w:val="nil"/>
            </w:tcBorders>
          </w:tcPr>
          <w:p w14:paraId="423DD5E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0.758</w:t>
            </w:r>
          </w:p>
        </w:tc>
      </w:tr>
    </w:tbl>
    <w:p w14:paraId="034AEBBD" w14:textId="0E75712F"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LEMP</w:t>
      </w:r>
      <w:r w:rsidR="00A81E3A" w:rsidRPr="000F4703">
        <w:rPr>
          <w:rFonts w:ascii="Book Antiqua" w:eastAsia="宋体" w:hAnsi="Book Antiqua"/>
          <w:lang w:eastAsia="zh-CN"/>
        </w:rPr>
        <w:t xml:space="preserve">: </w:t>
      </w:r>
      <w:r w:rsidRPr="000F4703">
        <w:rPr>
          <w:rFonts w:ascii="Book Antiqua" w:eastAsia="宋体" w:hAnsi="Book Antiqua"/>
        </w:rPr>
        <w:t>Lower esophageal muscularis propria</w:t>
      </w:r>
      <w:r w:rsidR="000F4703" w:rsidRPr="000F4703">
        <w:rPr>
          <w:rFonts w:ascii="Book Antiqua" w:eastAsia="宋体" w:hAnsi="Book Antiqua"/>
        </w:rPr>
        <w:t>.</w:t>
      </w:r>
    </w:p>
    <w:p w14:paraId="47BC1D95" w14:textId="3A9B086B" w:rsidR="000564B8"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br w:type="page"/>
      </w:r>
      <w:r w:rsidRPr="000F4703">
        <w:rPr>
          <w:rFonts w:ascii="Book Antiqua" w:eastAsia="宋体" w:hAnsi="Book Antiqua"/>
          <w:b/>
          <w:bCs/>
        </w:rPr>
        <w:lastRenderedPageBreak/>
        <w:t>Table 2</w:t>
      </w:r>
      <w:bookmarkStart w:id="13" w:name="_Hlk31555667"/>
      <w:r w:rsidRPr="000F4703">
        <w:rPr>
          <w:rFonts w:ascii="Book Antiqua" w:eastAsia="宋体" w:hAnsi="Book Antiqua"/>
          <w:b/>
          <w:bCs/>
        </w:rPr>
        <w:t xml:space="preserve"> Comparison of characteristics in patients with different outcomes after </w:t>
      </w:r>
      <w:bookmarkEnd w:id="13"/>
      <w:r w:rsidRPr="000F4703">
        <w:rPr>
          <w:rFonts w:ascii="Book Antiqua" w:eastAsia="宋体" w:hAnsi="Book Antiqua"/>
          <w:b/>
          <w:bCs/>
        </w:rPr>
        <w:t>peroral endoscopic myotomy</w:t>
      </w:r>
    </w:p>
    <w:tbl>
      <w:tblPr>
        <w:tblStyle w:val="2"/>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2"/>
        <w:gridCol w:w="1418"/>
        <w:gridCol w:w="1701"/>
        <w:gridCol w:w="1701"/>
        <w:gridCol w:w="1066"/>
      </w:tblGrid>
      <w:tr w:rsidR="000564B8" w:rsidRPr="000F4703" w14:paraId="4981D4A4" w14:textId="77777777" w:rsidTr="008D2533">
        <w:tc>
          <w:tcPr>
            <w:tcW w:w="2410" w:type="dxa"/>
            <w:gridSpan w:val="2"/>
            <w:vMerge w:val="restart"/>
            <w:tcBorders>
              <w:top w:val="single" w:sz="4" w:space="0" w:color="auto"/>
            </w:tcBorders>
            <w:vAlign w:val="center"/>
          </w:tcPr>
          <w:p w14:paraId="16C7B745"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p>
        </w:tc>
        <w:tc>
          <w:tcPr>
            <w:tcW w:w="1418" w:type="dxa"/>
            <w:vMerge w:val="restart"/>
            <w:tcBorders>
              <w:top w:val="single" w:sz="4" w:space="0" w:color="auto"/>
            </w:tcBorders>
            <w:vAlign w:val="center"/>
          </w:tcPr>
          <w:p w14:paraId="06CE994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Not effective (</w:t>
            </w:r>
            <w:r w:rsidRPr="000F4703">
              <w:rPr>
                <w:rFonts w:ascii="Book Antiqua" w:hAnsi="Book Antiqua"/>
                <w:b/>
                <w:bCs/>
                <w:i/>
                <w:iCs/>
              </w:rPr>
              <w:t xml:space="preserve">n </w:t>
            </w:r>
            <w:r w:rsidRPr="000F4703">
              <w:rPr>
                <w:rFonts w:ascii="Book Antiqua" w:hAnsi="Book Antiqua"/>
                <w:b/>
                <w:bCs/>
              </w:rPr>
              <w:t>= 5)</w:t>
            </w:r>
          </w:p>
        </w:tc>
        <w:tc>
          <w:tcPr>
            <w:tcW w:w="3402" w:type="dxa"/>
            <w:gridSpan w:val="2"/>
            <w:tcBorders>
              <w:top w:val="single" w:sz="4" w:space="0" w:color="auto"/>
              <w:bottom w:val="single" w:sz="4" w:space="0" w:color="auto"/>
            </w:tcBorders>
            <w:vAlign w:val="center"/>
          </w:tcPr>
          <w:p w14:paraId="3ED9F528"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Clinical success/effective (</w:t>
            </w:r>
            <w:r w:rsidRPr="000F4703">
              <w:rPr>
                <w:rFonts w:ascii="Book Antiqua" w:hAnsi="Book Antiqua"/>
                <w:b/>
                <w:bCs/>
                <w:i/>
                <w:iCs/>
              </w:rPr>
              <w:t xml:space="preserve">n </w:t>
            </w:r>
            <w:r w:rsidRPr="000F4703">
              <w:rPr>
                <w:rFonts w:ascii="Book Antiqua" w:hAnsi="Book Antiqua"/>
                <w:b/>
                <w:bCs/>
              </w:rPr>
              <w:t>= 55)</w:t>
            </w:r>
          </w:p>
        </w:tc>
        <w:tc>
          <w:tcPr>
            <w:tcW w:w="1066" w:type="dxa"/>
            <w:vMerge w:val="restart"/>
            <w:tcBorders>
              <w:top w:val="single" w:sz="4" w:space="0" w:color="auto"/>
            </w:tcBorders>
            <w:vAlign w:val="center"/>
          </w:tcPr>
          <w:p w14:paraId="4A9ECF4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i/>
                <w:iCs/>
              </w:rPr>
              <w:t>P</w:t>
            </w:r>
            <w:r w:rsidRPr="000F4703">
              <w:rPr>
                <w:rFonts w:ascii="Book Antiqua" w:hAnsi="Book Antiqua"/>
                <w:b/>
                <w:bCs/>
              </w:rPr>
              <w:t xml:space="preserve"> value</w:t>
            </w:r>
          </w:p>
        </w:tc>
      </w:tr>
      <w:tr w:rsidR="000564B8" w:rsidRPr="000F4703" w14:paraId="4F482294" w14:textId="77777777" w:rsidTr="008D2533">
        <w:tc>
          <w:tcPr>
            <w:tcW w:w="2410" w:type="dxa"/>
            <w:gridSpan w:val="2"/>
            <w:vMerge/>
            <w:tcBorders>
              <w:bottom w:val="single" w:sz="4" w:space="0" w:color="auto"/>
            </w:tcBorders>
          </w:tcPr>
          <w:p w14:paraId="14C7843A"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1418" w:type="dxa"/>
            <w:vMerge/>
            <w:tcBorders>
              <w:bottom w:val="single" w:sz="4" w:space="0" w:color="auto"/>
            </w:tcBorders>
          </w:tcPr>
          <w:p w14:paraId="45286715"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b/>
                <w:bCs/>
              </w:rPr>
            </w:pPr>
          </w:p>
        </w:tc>
        <w:tc>
          <w:tcPr>
            <w:tcW w:w="1701" w:type="dxa"/>
            <w:tcBorders>
              <w:top w:val="single" w:sz="4" w:space="0" w:color="auto"/>
              <w:bottom w:val="single" w:sz="4" w:space="0" w:color="auto"/>
            </w:tcBorders>
          </w:tcPr>
          <w:p w14:paraId="3A076B71"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No relapse (</w:t>
            </w:r>
            <w:r w:rsidRPr="000F4703">
              <w:rPr>
                <w:rFonts w:ascii="Book Antiqua" w:hAnsi="Book Antiqua"/>
                <w:b/>
                <w:bCs/>
                <w:i/>
                <w:iCs/>
              </w:rPr>
              <w:t xml:space="preserve">n </w:t>
            </w:r>
            <w:r w:rsidRPr="000F4703">
              <w:rPr>
                <w:rFonts w:ascii="Book Antiqua" w:hAnsi="Book Antiqua"/>
                <w:b/>
                <w:bCs/>
              </w:rPr>
              <w:t>= 48)</w:t>
            </w:r>
          </w:p>
        </w:tc>
        <w:tc>
          <w:tcPr>
            <w:tcW w:w="1701" w:type="dxa"/>
            <w:tcBorders>
              <w:top w:val="single" w:sz="4" w:space="0" w:color="auto"/>
              <w:bottom w:val="single" w:sz="4" w:space="0" w:color="auto"/>
            </w:tcBorders>
          </w:tcPr>
          <w:p w14:paraId="49B1AD96" w14:textId="77777777" w:rsidR="000564B8" w:rsidRPr="000F4703" w:rsidRDefault="000564B8" w:rsidP="000F4703">
            <w:pPr>
              <w:autoSpaceDE w:val="0"/>
              <w:autoSpaceDN w:val="0"/>
              <w:adjustRightInd w:val="0"/>
              <w:snapToGrid w:val="0"/>
              <w:spacing w:line="360" w:lineRule="auto"/>
              <w:jc w:val="both"/>
              <w:rPr>
                <w:rFonts w:ascii="Book Antiqua" w:hAnsi="Book Antiqua"/>
                <w:b/>
                <w:bCs/>
              </w:rPr>
            </w:pPr>
            <w:r w:rsidRPr="000F4703">
              <w:rPr>
                <w:rFonts w:ascii="Book Antiqua" w:hAnsi="Book Antiqua"/>
                <w:b/>
                <w:bCs/>
              </w:rPr>
              <w:t>Relapse (</w:t>
            </w:r>
            <w:r w:rsidRPr="000F4703">
              <w:rPr>
                <w:rFonts w:ascii="Book Antiqua" w:hAnsi="Book Antiqua"/>
                <w:b/>
                <w:bCs/>
                <w:i/>
                <w:iCs/>
              </w:rPr>
              <w:t xml:space="preserve">n </w:t>
            </w:r>
            <w:r w:rsidRPr="000F4703">
              <w:rPr>
                <w:rFonts w:ascii="Book Antiqua" w:hAnsi="Book Antiqua"/>
                <w:b/>
                <w:bCs/>
              </w:rPr>
              <w:t>= 7)</w:t>
            </w:r>
          </w:p>
        </w:tc>
        <w:tc>
          <w:tcPr>
            <w:tcW w:w="1066" w:type="dxa"/>
            <w:vMerge/>
            <w:tcBorders>
              <w:bottom w:val="single" w:sz="4" w:space="0" w:color="auto"/>
            </w:tcBorders>
          </w:tcPr>
          <w:p w14:paraId="405D1DAC" w14:textId="77777777" w:rsidR="000564B8" w:rsidRPr="000F4703" w:rsidRDefault="000564B8" w:rsidP="000F4703">
            <w:pPr>
              <w:autoSpaceDE w:val="0"/>
              <w:autoSpaceDN w:val="0"/>
              <w:adjustRightInd w:val="0"/>
              <w:snapToGrid w:val="0"/>
              <w:spacing w:line="360" w:lineRule="auto"/>
              <w:ind w:firstLine="360"/>
              <w:jc w:val="both"/>
              <w:rPr>
                <w:rFonts w:ascii="Book Antiqua" w:hAnsi="Book Antiqua"/>
              </w:rPr>
            </w:pPr>
          </w:p>
        </w:tc>
      </w:tr>
      <w:tr w:rsidR="000564B8" w:rsidRPr="000F4703" w14:paraId="6245F373" w14:textId="77777777" w:rsidTr="008D2533">
        <w:tc>
          <w:tcPr>
            <w:tcW w:w="2268" w:type="dxa"/>
            <w:tcBorders>
              <w:top w:val="single" w:sz="4" w:space="0" w:color="auto"/>
            </w:tcBorders>
          </w:tcPr>
          <w:p w14:paraId="1D63727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Age (</w:t>
            </w:r>
            <w:proofErr w:type="spellStart"/>
            <w:r w:rsidRPr="000F4703">
              <w:rPr>
                <w:rFonts w:ascii="Book Antiqua" w:hAnsi="Book Antiqua"/>
              </w:rPr>
              <w:t>yr</w:t>
            </w:r>
            <w:proofErr w:type="spellEnd"/>
            <w:r w:rsidRPr="000F4703">
              <w:rPr>
                <w:rFonts w:ascii="Book Antiqua" w:hAnsi="Book Antiqua"/>
              </w:rPr>
              <w:t>)</w:t>
            </w:r>
          </w:p>
        </w:tc>
        <w:tc>
          <w:tcPr>
            <w:tcW w:w="1560" w:type="dxa"/>
            <w:gridSpan w:val="2"/>
            <w:tcBorders>
              <w:top w:val="single" w:sz="4" w:space="0" w:color="auto"/>
            </w:tcBorders>
          </w:tcPr>
          <w:p w14:paraId="0B2B0BE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33.8 ± 11.97</w:t>
            </w:r>
          </w:p>
        </w:tc>
        <w:tc>
          <w:tcPr>
            <w:tcW w:w="1701" w:type="dxa"/>
            <w:tcBorders>
              <w:top w:val="single" w:sz="4" w:space="0" w:color="auto"/>
            </w:tcBorders>
          </w:tcPr>
          <w:p w14:paraId="0D73AFFA" w14:textId="42B80F91"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 xml:space="preserve">48.02 ± </w:t>
            </w:r>
            <w:r w:rsidR="000F4703" w:rsidRPr="000F4703">
              <w:rPr>
                <w:rFonts w:ascii="Book Antiqua" w:hAnsi="Book Antiqua"/>
              </w:rPr>
              <w:t>1</w:t>
            </w:r>
            <w:r w:rsidRPr="000F4703">
              <w:rPr>
                <w:rFonts w:ascii="Book Antiqua" w:hAnsi="Book Antiqua"/>
              </w:rPr>
              <w:t>4.73</w:t>
            </w:r>
          </w:p>
        </w:tc>
        <w:tc>
          <w:tcPr>
            <w:tcW w:w="1701" w:type="dxa"/>
            <w:tcBorders>
              <w:top w:val="single" w:sz="4" w:space="0" w:color="auto"/>
            </w:tcBorders>
          </w:tcPr>
          <w:p w14:paraId="2A32B940"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34.00 ± 13.05</w:t>
            </w:r>
          </w:p>
        </w:tc>
        <w:tc>
          <w:tcPr>
            <w:tcW w:w="1066" w:type="dxa"/>
            <w:tcBorders>
              <w:top w:val="single" w:sz="4" w:space="0" w:color="auto"/>
            </w:tcBorders>
          </w:tcPr>
          <w:p w14:paraId="76F9A543"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0.021</w:t>
            </w:r>
            <w:r w:rsidRPr="000F4703">
              <w:rPr>
                <w:rFonts w:ascii="Book Antiqua" w:hAnsi="Book Antiqua"/>
                <w:vertAlign w:val="superscript"/>
              </w:rPr>
              <w:t>a</w:t>
            </w:r>
          </w:p>
        </w:tc>
      </w:tr>
      <w:tr w:rsidR="000564B8" w:rsidRPr="000F4703" w14:paraId="6FE5BB1E" w14:textId="77777777" w:rsidTr="008D2533">
        <w:tc>
          <w:tcPr>
            <w:tcW w:w="2268" w:type="dxa"/>
          </w:tcPr>
          <w:p w14:paraId="30996336" w14:textId="3D7A3189" w:rsidR="000564B8" w:rsidRPr="000F4703" w:rsidRDefault="000564B8">
            <w:pPr>
              <w:autoSpaceDE w:val="0"/>
              <w:autoSpaceDN w:val="0"/>
              <w:adjustRightInd w:val="0"/>
              <w:snapToGrid w:val="0"/>
              <w:spacing w:line="360" w:lineRule="auto"/>
              <w:jc w:val="both"/>
              <w:rPr>
                <w:rFonts w:ascii="Book Antiqua" w:hAnsi="Book Antiqua"/>
              </w:rPr>
            </w:pPr>
            <w:r w:rsidRPr="000F4703">
              <w:rPr>
                <w:rFonts w:ascii="Book Antiqua" w:hAnsi="Book Antiqua"/>
              </w:rPr>
              <w:t>Sex (</w:t>
            </w:r>
            <w:r w:rsidR="000C504E">
              <w:rPr>
                <w:rFonts w:ascii="Book Antiqua" w:hAnsi="Book Antiqua"/>
              </w:rPr>
              <w:t>m</w:t>
            </w:r>
            <w:r w:rsidR="000C504E" w:rsidRPr="000F4703">
              <w:rPr>
                <w:rFonts w:ascii="Book Antiqua" w:hAnsi="Book Antiqua"/>
              </w:rPr>
              <w:t>ale</w:t>
            </w:r>
            <w:r w:rsidR="000C504E">
              <w:rPr>
                <w:rFonts w:ascii="Book Antiqua" w:hAnsi="Book Antiqua"/>
              </w:rPr>
              <w:t>/f</w:t>
            </w:r>
            <w:r w:rsidRPr="000F4703">
              <w:rPr>
                <w:rFonts w:ascii="Book Antiqua" w:hAnsi="Book Antiqua"/>
              </w:rPr>
              <w:t>emale)</w:t>
            </w:r>
          </w:p>
        </w:tc>
        <w:tc>
          <w:tcPr>
            <w:tcW w:w="1560" w:type="dxa"/>
            <w:gridSpan w:val="2"/>
          </w:tcPr>
          <w:p w14:paraId="077FDFB2"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3:2</w:t>
            </w:r>
          </w:p>
        </w:tc>
        <w:tc>
          <w:tcPr>
            <w:tcW w:w="1701" w:type="dxa"/>
          </w:tcPr>
          <w:p w14:paraId="4FB5514E"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16:32</w:t>
            </w:r>
          </w:p>
        </w:tc>
        <w:tc>
          <w:tcPr>
            <w:tcW w:w="1701" w:type="dxa"/>
          </w:tcPr>
          <w:p w14:paraId="79FD0C87"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4:3</w:t>
            </w:r>
          </w:p>
        </w:tc>
        <w:tc>
          <w:tcPr>
            <w:tcW w:w="1066" w:type="dxa"/>
          </w:tcPr>
          <w:p w14:paraId="7BD68629" w14:textId="77777777" w:rsidR="000564B8" w:rsidRPr="000F4703" w:rsidRDefault="000564B8" w:rsidP="000F4703">
            <w:pPr>
              <w:autoSpaceDE w:val="0"/>
              <w:autoSpaceDN w:val="0"/>
              <w:adjustRightInd w:val="0"/>
              <w:snapToGrid w:val="0"/>
              <w:spacing w:line="360" w:lineRule="auto"/>
              <w:jc w:val="both"/>
              <w:rPr>
                <w:rFonts w:ascii="Book Antiqua" w:hAnsi="Book Antiqua"/>
              </w:rPr>
            </w:pPr>
            <w:r w:rsidRPr="000F4703">
              <w:rPr>
                <w:rFonts w:ascii="Book Antiqua" w:hAnsi="Book Antiqua"/>
              </w:rPr>
              <w:t>0.280</w:t>
            </w:r>
          </w:p>
        </w:tc>
      </w:tr>
    </w:tbl>
    <w:tbl>
      <w:tblPr>
        <w:tblW w:w="8770" w:type="dxa"/>
        <w:tblLayout w:type="fixed"/>
        <w:tblLook w:val="04A0" w:firstRow="1" w:lastRow="0" w:firstColumn="1" w:lastColumn="0" w:noHBand="0" w:noVBand="1"/>
      </w:tblPr>
      <w:tblGrid>
        <w:gridCol w:w="2398"/>
        <w:gridCol w:w="1649"/>
        <w:gridCol w:w="1865"/>
        <w:gridCol w:w="1654"/>
        <w:gridCol w:w="1204"/>
      </w:tblGrid>
      <w:tr w:rsidR="000564B8" w:rsidRPr="000F4703" w14:paraId="654EFAD2" w14:textId="77777777" w:rsidTr="001E2A92">
        <w:trPr>
          <w:trHeight w:val="918"/>
        </w:trPr>
        <w:tc>
          <w:tcPr>
            <w:tcW w:w="2398" w:type="dxa"/>
          </w:tcPr>
          <w:p w14:paraId="5B486136"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Disease duration (</w:t>
            </w:r>
            <w:proofErr w:type="spellStart"/>
            <w:r w:rsidRPr="000F4703">
              <w:rPr>
                <w:rFonts w:ascii="Book Antiqua" w:eastAsia="宋体" w:hAnsi="Book Antiqua"/>
              </w:rPr>
              <w:t>mo</w:t>
            </w:r>
            <w:proofErr w:type="spellEnd"/>
            <w:r w:rsidRPr="000F4703">
              <w:rPr>
                <w:rFonts w:ascii="Book Antiqua" w:eastAsia="宋体" w:hAnsi="Book Antiqua"/>
              </w:rPr>
              <w:t>)</w:t>
            </w:r>
          </w:p>
        </w:tc>
        <w:tc>
          <w:tcPr>
            <w:tcW w:w="1649" w:type="dxa"/>
          </w:tcPr>
          <w:p w14:paraId="02C64371"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82.8 ± 60.36</w:t>
            </w:r>
          </w:p>
        </w:tc>
        <w:tc>
          <w:tcPr>
            <w:tcW w:w="1865" w:type="dxa"/>
          </w:tcPr>
          <w:p w14:paraId="0B15EBF8"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117.29 ± 131.41</w:t>
            </w:r>
          </w:p>
        </w:tc>
        <w:tc>
          <w:tcPr>
            <w:tcW w:w="1654" w:type="dxa"/>
          </w:tcPr>
          <w:p w14:paraId="630A3920"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35.57 ± 30.42</w:t>
            </w:r>
          </w:p>
        </w:tc>
        <w:tc>
          <w:tcPr>
            <w:tcW w:w="1204" w:type="dxa"/>
          </w:tcPr>
          <w:p w14:paraId="1A3E5BA8"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0.001</w:t>
            </w:r>
            <w:r w:rsidRPr="000F4703">
              <w:rPr>
                <w:rFonts w:ascii="Book Antiqua" w:eastAsia="宋体" w:hAnsi="Book Antiqua"/>
                <w:vertAlign w:val="superscript"/>
              </w:rPr>
              <w:t>a</w:t>
            </w:r>
          </w:p>
        </w:tc>
      </w:tr>
      <w:tr w:rsidR="000564B8" w:rsidRPr="000F4703" w14:paraId="4132AD07" w14:textId="77777777" w:rsidTr="001E2A92">
        <w:trPr>
          <w:trHeight w:val="905"/>
        </w:trPr>
        <w:tc>
          <w:tcPr>
            <w:tcW w:w="2398" w:type="dxa"/>
          </w:tcPr>
          <w:p w14:paraId="21F92C5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 xml:space="preserve">Preoperative </w:t>
            </w:r>
            <w:proofErr w:type="spellStart"/>
            <w:r w:rsidRPr="000F4703">
              <w:rPr>
                <w:rFonts w:ascii="Book Antiqua" w:eastAsia="宋体" w:hAnsi="Book Antiqua"/>
              </w:rPr>
              <w:t>Eckardt</w:t>
            </w:r>
            <w:proofErr w:type="spellEnd"/>
            <w:r w:rsidRPr="000F4703">
              <w:rPr>
                <w:rFonts w:ascii="Book Antiqua" w:eastAsia="宋体" w:hAnsi="Book Antiqua"/>
              </w:rPr>
              <w:t xml:space="preserve"> score</w:t>
            </w:r>
          </w:p>
        </w:tc>
        <w:tc>
          <w:tcPr>
            <w:tcW w:w="1649" w:type="dxa"/>
          </w:tcPr>
          <w:p w14:paraId="6F28096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6.60 ± 2.40</w:t>
            </w:r>
          </w:p>
        </w:tc>
        <w:tc>
          <w:tcPr>
            <w:tcW w:w="1865" w:type="dxa"/>
          </w:tcPr>
          <w:p w14:paraId="6DFEC7C1"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6.65 ± 1.74</w:t>
            </w:r>
          </w:p>
        </w:tc>
        <w:tc>
          <w:tcPr>
            <w:tcW w:w="1654" w:type="dxa"/>
          </w:tcPr>
          <w:p w14:paraId="62422E9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7.57 ± 2.23</w:t>
            </w:r>
          </w:p>
        </w:tc>
        <w:tc>
          <w:tcPr>
            <w:tcW w:w="1204" w:type="dxa"/>
          </w:tcPr>
          <w:p w14:paraId="20037F2D"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0.209</w:t>
            </w:r>
            <w:r w:rsidRPr="000F4703">
              <w:rPr>
                <w:rFonts w:ascii="Book Antiqua" w:eastAsia="宋体" w:hAnsi="Book Antiqua"/>
                <w:vertAlign w:val="superscript"/>
              </w:rPr>
              <w:t>a</w:t>
            </w:r>
          </w:p>
        </w:tc>
      </w:tr>
      <w:tr w:rsidR="000564B8" w:rsidRPr="000F4703" w14:paraId="637C72BD" w14:textId="77777777" w:rsidTr="001E2A92">
        <w:trPr>
          <w:trHeight w:val="1364"/>
        </w:trPr>
        <w:tc>
          <w:tcPr>
            <w:tcW w:w="2398" w:type="dxa"/>
          </w:tcPr>
          <w:p w14:paraId="5024AA8D" w14:textId="204A9CF9" w:rsidR="000564B8" w:rsidRPr="000F4703" w:rsidRDefault="000564B8">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Verification of myotomy by EUS (</w:t>
            </w:r>
            <w:r w:rsidR="000C504E">
              <w:rPr>
                <w:rFonts w:ascii="Book Antiqua" w:eastAsia="宋体" w:hAnsi="Book Antiqua"/>
              </w:rPr>
              <w:t>Y</w:t>
            </w:r>
            <w:r w:rsidR="000C504E" w:rsidRPr="000F4703">
              <w:rPr>
                <w:rFonts w:ascii="Book Antiqua" w:eastAsia="宋体" w:hAnsi="Book Antiqua"/>
              </w:rPr>
              <w:t>es</w:t>
            </w:r>
            <w:r w:rsidR="000C504E">
              <w:rPr>
                <w:rFonts w:ascii="Book Antiqua" w:eastAsia="宋体" w:hAnsi="Book Antiqua"/>
              </w:rPr>
              <w:t>/N</w:t>
            </w:r>
            <w:r w:rsidR="000C504E" w:rsidRPr="000F4703">
              <w:rPr>
                <w:rFonts w:ascii="Book Antiqua" w:eastAsia="宋体" w:hAnsi="Book Antiqua"/>
              </w:rPr>
              <w:t>o</w:t>
            </w:r>
            <w:r w:rsidRPr="000F4703">
              <w:rPr>
                <w:rFonts w:ascii="Book Antiqua" w:eastAsia="宋体" w:hAnsi="Book Antiqua"/>
              </w:rPr>
              <w:t>)</w:t>
            </w:r>
            <w:r w:rsidRPr="000F4703">
              <w:rPr>
                <w:rFonts w:ascii="Book Antiqua" w:eastAsia="宋体" w:hAnsi="Book Antiqua"/>
                <w:vertAlign w:val="superscript"/>
              </w:rPr>
              <w:t>1</w:t>
            </w:r>
          </w:p>
        </w:tc>
        <w:tc>
          <w:tcPr>
            <w:tcW w:w="1649" w:type="dxa"/>
          </w:tcPr>
          <w:p w14:paraId="29AFC83A"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3:2</w:t>
            </w:r>
          </w:p>
        </w:tc>
        <w:tc>
          <w:tcPr>
            <w:tcW w:w="1865" w:type="dxa"/>
          </w:tcPr>
          <w:p w14:paraId="57A12D37"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39:11</w:t>
            </w:r>
          </w:p>
        </w:tc>
        <w:tc>
          <w:tcPr>
            <w:tcW w:w="1654" w:type="dxa"/>
          </w:tcPr>
          <w:p w14:paraId="5D507025"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6:1</w:t>
            </w:r>
          </w:p>
        </w:tc>
        <w:tc>
          <w:tcPr>
            <w:tcW w:w="1204" w:type="dxa"/>
          </w:tcPr>
          <w:p w14:paraId="71EB1B1F"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0.539</w:t>
            </w:r>
          </w:p>
        </w:tc>
      </w:tr>
      <w:tr w:rsidR="000564B8" w:rsidRPr="000F4703" w14:paraId="4890D450" w14:textId="77777777" w:rsidTr="001E2A92">
        <w:trPr>
          <w:trHeight w:val="907"/>
        </w:trPr>
        <w:tc>
          <w:tcPr>
            <w:tcW w:w="2398" w:type="dxa"/>
            <w:tcBorders>
              <w:bottom w:val="single" w:sz="4" w:space="0" w:color="auto"/>
            </w:tcBorders>
          </w:tcPr>
          <w:p w14:paraId="384AADE1" w14:textId="6974C7E8" w:rsidR="000564B8" w:rsidRPr="000F4703" w:rsidRDefault="000564B8">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LEMP (thicken</w:t>
            </w:r>
            <w:r w:rsidR="000C504E">
              <w:rPr>
                <w:rFonts w:ascii="Book Antiqua" w:eastAsia="宋体" w:hAnsi="Book Antiqua"/>
              </w:rPr>
              <w:t>ed/</w:t>
            </w:r>
            <w:r w:rsidR="000C504E" w:rsidRPr="000F4703">
              <w:rPr>
                <w:rFonts w:ascii="Book Antiqua" w:eastAsia="宋体" w:hAnsi="Book Antiqua"/>
              </w:rPr>
              <w:t xml:space="preserve"> </w:t>
            </w:r>
            <w:r w:rsidRPr="000F4703">
              <w:rPr>
                <w:rFonts w:ascii="Book Antiqua" w:eastAsia="宋体" w:hAnsi="Book Antiqua"/>
              </w:rPr>
              <w:t>non-thicken</w:t>
            </w:r>
            <w:r w:rsidR="000C504E">
              <w:rPr>
                <w:rFonts w:ascii="Book Antiqua" w:eastAsia="宋体" w:hAnsi="Book Antiqua"/>
              </w:rPr>
              <w:t>ed</w:t>
            </w:r>
            <w:r w:rsidRPr="000F4703">
              <w:rPr>
                <w:rFonts w:ascii="Book Antiqua" w:eastAsia="宋体" w:hAnsi="Book Antiqua"/>
              </w:rPr>
              <w:t>)</w:t>
            </w:r>
          </w:p>
        </w:tc>
        <w:tc>
          <w:tcPr>
            <w:tcW w:w="1649" w:type="dxa"/>
            <w:tcBorders>
              <w:bottom w:val="single" w:sz="4" w:space="0" w:color="auto"/>
            </w:tcBorders>
          </w:tcPr>
          <w:p w14:paraId="23FD55D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4:1</w:t>
            </w:r>
          </w:p>
        </w:tc>
        <w:tc>
          <w:tcPr>
            <w:tcW w:w="1865" w:type="dxa"/>
            <w:tcBorders>
              <w:bottom w:val="single" w:sz="4" w:space="0" w:color="auto"/>
            </w:tcBorders>
          </w:tcPr>
          <w:p w14:paraId="48D2454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39:9</w:t>
            </w:r>
          </w:p>
        </w:tc>
        <w:tc>
          <w:tcPr>
            <w:tcW w:w="1654" w:type="dxa"/>
            <w:tcBorders>
              <w:bottom w:val="single" w:sz="4" w:space="0" w:color="auto"/>
            </w:tcBorders>
          </w:tcPr>
          <w:p w14:paraId="45B7EB5D"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5:2</w:t>
            </w:r>
          </w:p>
        </w:tc>
        <w:tc>
          <w:tcPr>
            <w:tcW w:w="1204" w:type="dxa"/>
            <w:tcBorders>
              <w:bottom w:val="single" w:sz="4" w:space="0" w:color="auto"/>
            </w:tcBorders>
          </w:tcPr>
          <w:p w14:paraId="3BCD2853" w14:textId="77777777" w:rsidR="000564B8" w:rsidRPr="000F4703" w:rsidRDefault="000564B8"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rPr>
              <w:t>0.832</w:t>
            </w:r>
          </w:p>
        </w:tc>
      </w:tr>
    </w:tbl>
    <w:p w14:paraId="772DEAEF" w14:textId="0EAB7F8B" w:rsidR="000564B8" w:rsidRPr="000F4703" w:rsidRDefault="000C504E" w:rsidP="000F4703">
      <w:pPr>
        <w:autoSpaceDE w:val="0"/>
        <w:autoSpaceDN w:val="0"/>
        <w:adjustRightInd w:val="0"/>
        <w:snapToGrid w:val="0"/>
        <w:spacing w:line="360" w:lineRule="auto"/>
        <w:jc w:val="both"/>
        <w:rPr>
          <w:rFonts w:ascii="Book Antiqua" w:eastAsia="宋体" w:hAnsi="Book Antiqua"/>
        </w:rPr>
      </w:pPr>
      <w:r w:rsidRPr="000F4703">
        <w:rPr>
          <w:rFonts w:ascii="Book Antiqua" w:eastAsia="宋体" w:hAnsi="Book Antiqua"/>
          <w:vertAlign w:val="superscript"/>
        </w:rPr>
        <w:t>1</w:t>
      </w:r>
      <w:r>
        <w:rPr>
          <w:rFonts w:ascii="Book Antiqua" w:eastAsia="宋体" w:hAnsi="Book Antiqua"/>
        </w:rPr>
        <w:t>B</w:t>
      </w:r>
      <w:r w:rsidRPr="000F4703">
        <w:rPr>
          <w:rFonts w:ascii="Book Antiqua" w:eastAsia="宋体" w:hAnsi="Book Antiqua"/>
        </w:rPr>
        <w:t xml:space="preserve">ased </w:t>
      </w:r>
      <w:r w:rsidR="000564B8" w:rsidRPr="000F4703">
        <w:rPr>
          <w:rFonts w:ascii="Book Antiqua" w:eastAsia="宋体" w:hAnsi="Book Antiqua"/>
        </w:rPr>
        <w:t xml:space="preserve">on procedure number; </w:t>
      </w:r>
      <w:proofErr w:type="spellStart"/>
      <w:r w:rsidR="000564B8" w:rsidRPr="000F4703">
        <w:rPr>
          <w:rFonts w:ascii="Book Antiqua" w:eastAsia="宋体" w:hAnsi="Book Antiqua"/>
          <w:vertAlign w:val="superscript"/>
        </w:rPr>
        <w:t>a</w:t>
      </w:r>
      <w:r w:rsidR="000564B8" w:rsidRPr="000F4703">
        <w:rPr>
          <w:rFonts w:ascii="Book Antiqua" w:eastAsia="宋体" w:hAnsi="Book Antiqua"/>
          <w:i/>
          <w:iCs/>
        </w:rPr>
        <w:t>P</w:t>
      </w:r>
      <w:proofErr w:type="spellEnd"/>
      <w:r w:rsidR="000564B8" w:rsidRPr="000F4703">
        <w:rPr>
          <w:rFonts w:ascii="Book Antiqua" w:eastAsia="宋体" w:hAnsi="Book Antiqua"/>
        </w:rPr>
        <w:t xml:space="preserve"> &lt; 0.05, between relapse and no relapse</w:t>
      </w:r>
      <w:r w:rsidR="000F4703" w:rsidRPr="000F4703">
        <w:rPr>
          <w:rFonts w:ascii="Book Antiqua" w:eastAsia="宋体" w:hAnsi="Book Antiqua"/>
        </w:rPr>
        <w:t xml:space="preserve">. </w:t>
      </w:r>
      <w:r w:rsidR="000564B8" w:rsidRPr="000F4703">
        <w:rPr>
          <w:rFonts w:ascii="Book Antiqua" w:eastAsia="宋体" w:hAnsi="Book Antiqua"/>
        </w:rPr>
        <w:t>LEMP: Lower esophageal muscularis propria; POEM: Peroral endoscopic myotomy; EUS: Endoscopic ultrasound.</w:t>
      </w:r>
    </w:p>
    <w:p w14:paraId="47A77BD9" w14:textId="689EBC3F" w:rsidR="000564B8"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br w:type="page"/>
      </w:r>
      <w:r w:rsidRPr="000F4703">
        <w:rPr>
          <w:rFonts w:ascii="Book Antiqua" w:eastAsia="宋体" w:hAnsi="Book Antiqua"/>
          <w:b/>
          <w:bCs/>
        </w:rPr>
        <w:lastRenderedPageBreak/>
        <w:t>Table 3 Risk factor analysis for recurrence using the Cox proportional hazards model</w:t>
      </w:r>
    </w:p>
    <w:tbl>
      <w:tblPr>
        <w:tblpPr w:leftFromText="180" w:rightFromText="180" w:vertAnchor="text" w:horzAnchor="margin" w:tblpXSpec="center" w:tblpY="166"/>
        <w:tblW w:w="8948" w:type="dxa"/>
        <w:tblLook w:val="04A0" w:firstRow="1" w:lastRow="0" w:firstColumn="1" w:lastColumn="0" w:noHBand="0" w:noVBand="1"/>
      </w:tblPr>
      <w:tblGrid>
        <w:gridCol w:w="1809"/>
        <w:gridCol w:w="2694"/>
        <w:gridCol w:w="1111"/>
        <w:gridCol w:w="2223"/>
        <w:gridCol w:w="1111"/>
      </w:tblGrid>
      <w:tr w:rsidR="000F4703" w:rsidRPr="000F4703" w14:paraId="06D7C0A5" w14:textId="77777777" w:rsidTr="001E2A92">
        <w:trPr>
          <w:trHeight w:val="306"/>
        </w:trPr>
        <w:tc>
          <w:tcPr>
            <w:tcW w:w="1809" w:type="dxa"/>
            <w:vMerge w:val="restart"/>
            <w:tcBorders>
              <w:top w:val="single" w:sz="4" w:space="0" w:color="auto"/>
              <w:left w:val="nil"/>
              <w:right w:val="nil"/>
            </w:tcBorders>
            <w:shd w:val="clear" w:color="000000" w:fill="FFFFFF"/>
            <w:vAlign w:val="center"/>
            <w:hideMark/>
          </w:tcPr>
          <w:p w14:paraId="62AAFF40" w14:textId="5764067C"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Variable</w:t>
            </w:r>
          </w:p>
        </w:tc>
        <w:tc>
          <w:tcPr>
            <w:tcW w:w="3805" w:type="dxa"/>
            <w:gridSpan w:val="2"/>
            <w:tcBorders>
              <w:top w:val="single" w:sz="4" w:space="0" w:color="auto"/>
              <w:left w:val="nil"/>
              <w:bottom w:val="single" w:sz="4" w:space="0" w:color="auto"/>
              <w:right w:val="nil"/>
            </w:tcBorders>
            <w:shd w:val="clear" w:color="000000" w:fill="FFFFFF"/>
            <w:noWrap/>
            <w:vAlign w:val="center"/>
            <w:hideMark/>
          </w:tcPr>
          <w:p w14:paraId="550F2EEA"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Univariate</w:t>
            </w:r>
          </w:p>
        </w:tc>
        <w:tc>
          <w:tcPr>
            <w:tcW w:w="3334" w:type="dxa"/>
            <w:gridSpan w:val="2"/>
            <w:tcBorders>
              <w:top w:val="single" w:sz="4" w:space="0" w:color="auto"/>
              <w:left w:val="nil"/>
              <w:bottom w:val="single" w:sz="4" w:space="0" w:color="auto"/>
              <w:right w:val="nil"/>
            </w:tcBorders>
            <w:shd w:val="clear" w:color="000000" w:fill="FFFFFF"/>
            <w:noWrap/>
            <w:vAlign w:val="center"/>
            <w:hideMark/>
          </w:tcPr>
          <w:p w14:paraId="672162CA"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Multivariate</w:t>
            </w:r>
          </w:p>
        </w:tc>
      </w:tr>
      <w:tr w:rsidR="000F4703" w:rsidRPr="000F4703" w14:paraId="7E5FEE7E" w14:textId="77777777" w:rsidTr="001E2A92">
        <w:trPr>
          <w:trHeight w:val="306"/>
        </w:trPr>
        <w:tc>
          <w:tcPr>
            <w:tcW w:w="1809" w:type="dxa"/>
            <w:vMerge/>
            <w:tcBorders>
              <w:left w:val="nil"/>
              <w:bottom w:val="single" w:sz="4" w:space="0" w:color="000000"/>
              <w:right w:val="nil"/>
            </w:tcBorders>
            <w:vAlign w:val="center"/>
            <w:hideMark/>
          </w:tcPr>
          <w:p w14:paraId="6CB602CD" w14:textId="28146E00" w:rsidR="000F4703" w:rsidRPr="000F4703" w:rsidRDefault="000F4703" w:rsidP="000F4703">
            <w:pPr>
              <w:snapToGrid w:val="0"/>
              <w:spacing w:line="360" w:lineRule="auto"/>
              <w:jc w:val="both"/>
              <w:rPr>
                <w:rFonts w:ascii="Book Antiqua" w:eastAsia="宋体" w:hAnsi="Book Antiqua"/>
                <w:b/>
              </w:rPr>
            </w:pPr>
          </w:p>
        </w:tc>
        <w:tc>
          <w:tcPr>
            <w:tcW w:w="2694" w:type="dxa"/>
            <w:tcBorders>
              <w:top w:val="single" w:sz="4" w:space="0" w:color="auto"/>
              <w:left w:val="nil"/>
              <w:bottom w:val="single" w:sz="4" w:space="0" w:color="auto"/>
              <w:right w:val="nil"/>
            </w:tcBorders>
            <w:shd w:val="clear" w:color="000000" w:fill="FFFFFF"/>
            <w:vAlign w:val="center"/>
            <w:hideMark/>
          </w:tcPr>
          <w:p w14:paraId="1D9665CA" w14:textId="7E1032AE"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Hazard ratio (95%CI)</w:t>
            </w:r>
          </w:p>
        </w:tc>
        <w:tc>
          <w:tcPr>
            <w:tcW w:w="1111" w:type="dxa"/>
            <w:tcBorders>
              <w:top w:val="single" w:sz="4" w:space="0" w:color="auto"/>
              <w:left w:val="nil"/>
              <w:bottom w:val="single" w:sz="4" w:space="0" w:color="auto"/>
              <w:right w:val="nil"/>
            </w:tcBorders>
            <w:shd w:val="clear" w:color="000000" w:fill="FFFFFF"/>
            <w:vAlign w:val="center"/>
            <w:hideMark/>
          </w:tcPr>
          <w:p w14:paraId="2DCBBED7"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i/>
                <w:iCs/>
              </w:rPr>
              <w:t>P</w:t>
            </w:r>
            <w:r w:rsidRPr="000F4703">
              <w:rPr>
                <w:rFonts w:ascii="Book Antiqua" w:eastAsia="宋体" w:hAnsi="Book Antiqua"/>
                <w:b/>
              </w:rPr>
              <w:t xml:space="preserve"> value</w:t>
            </w:r>
          </w:p>
        </w:tc>
        <w:tc>
          <w:tcPr>
            <w:tcW w:w="2223" w:type="dxa"/>
            <w:tcBorders>
              <w:top w:val="single" w:sz="4" w:space="0" w:color="auto"/>
              <w:left w:val="nil"/>
              <w:bottom w:val="single" w:sz="4" w:space="0" w:color="auto"/>
              <w:right w:val="nil"/>
            </w:tcBorders>
            <w:shd w:val="clear" w:color="000000" w:fill="FFFFFF"/>
            <w:vAlign w:val="center"/>
            <w:hideMark/>
          </w:tcPr>
          <w:p w14:paraId="4B4C27FE"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rPr>
              <w:t>Hazard ratio (95% CI)</w:t>
            </w:r>
          </w:p>
        </w:tc>
        <w:tc>
          <w:tcPr>
            <w:tcW w:w="1111" w:type="dxa"/>
            <w:tcBorders>
              <w:top w:val="single" w:sz="4" w:space="0" w:color="auto"/>
              <w:left w:val="nil"/>
              <w:bottom w:val="single" w:sz="4" w:space="0" w:color="auto"/>
              <w:right w:val="nil"/>
            </w:tcBorders>
            <w:shd w:val="clear" w:color="000000" w:fill="FFFFFF"/>
            <w:vAlign w:val="center"/>
            <w:hideMark/>
          </w:tcPr>
          <w:p w14:paraId="43A725BF" w14:textId="77777777" w:rsidR="000F4703" w:rsidRPr="000F4703" w:rsidRDefault="000F4703" w:rsidP="000F4703">
            <w:pPr>
              <w:snapToGrid w:val="0"/>
              <w:spacing w:line="360" w:lineRule="auto"/>
              <w:jc w:val="both"/>
              <w:rPr>
                <w:rFonts w:ascii="Book Antiqua" w:eastAsia="宋体" w:hAnsi="Book Antiqua"/>
                <w:b/>
              </w:rPr>
            </w:pPr>
            <w:r w:rsidRPr="000F4703">
              <w:rPr>
                <w:rFonts w:ascii="Book Antiqua" w:eastAsia="宋体" w:hAnsi="Book Antiqua"/>
                <w:b/>
                <w:i/>
                <w:iCs/>
              </w:rPr>
              <w:t>P</w:t>
            </w:r>
            <w:r w:rsidRPr="000F4703">
              <w:rPr>
                <w:rFonts w:ascii="Book Antiqua" w:eastAsia="宋体" w:hAnsi="Book Antiqua"/>
                <w:b/>
              </w:rPr>
              <w:t xml:space="preserve"> value</w:t>
            </w:r>
          </w:p>
        </w:tc>
      </w:tr>
      <w:tr w:rsidR="000F4703" w:rsidRPr="000F4703" w14:paraId="36FA0DB0" w14:textId="77777777" w:rsidTr="001E2A92">
        <w:trPr>
          <w:trHeight w:val="306"/>
        </w:trPr>
        <w:tc>
          <w:tcPr>
            <w:tcW w:w="1809" w:type="dxa"/>
            <w:tcBorders>
              <w:top w:val="nil"/>
              <w:left w:val="nil"/>
              <w:bottom w:val="nil"/>
              <w:right w:val="nil"/>
            </w:tcBorders>
            <w:shd w:val="clear" w:color="000000" w:fill="FFFFFF"/>
            <w:vAlign w:val="center"/>
            <w:hideMark/>
          </w:tcPr>
          <w:p w14:paraId="414D5D5F"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Age</w:t>
            </w:r>
          </w:p>
        </w:tc>
        <w:tc>
          <w:tcPr>
            <w:tcW w:w="2694" w:type="dxa"/>
            <w:tcBorders>
              <w:top w:val="nil"/>
              <w:left w:val="nil"/>
              <w:bottom w:val="nil"/>
              <w:right w:val="nil"/>
            </w:tcBorders>
            <w:shd w:val="clear" w:color="000000" w:fill="FFFFFF"/>
            <w:vAlign w:val="center"/>
            <w:hideMark/>
          </w:tcPr>
          <w:p w14:paraId="5003DA41"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0.943 (0.893-0.995)</w:t>
            </w:r>
          </w:p>
        </w:tc>
        <w:tc>
          <w:tcPr>
            <w:tcW w:w="1111" w:type="dxa"/>
            <w:tcBorders>
              <w:top w:val="nil"/>
              <w:left w:val="nil"/>
              <w:bottom w:val="nil"/>
              <w:right w:val="nil"/>
            </w:tcBorders>
            <w:shd w:val="clear" w:color="000000" w:fill="FFFFFF"/>
            <w:vAlign w:val="center"/>
            <w:hideMark/>
          </w:tcPr>
          <w:p w14:paraId="3ED8DA2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0.033</w:t>
            </w:r>
          </w:p>
        </w:tc>
        <w:tc>
          <w:tcPr>
            <w:tcW w:w="2223" w:type="dxa"/>
            <w:tcBorders>
              <w:top w:val="nil"/>
              <w:left w:val="nil"/>
              <w:bottom w:val="nil"/>
              <w:right w:val="nil"/>
            </w:tcBorders>
            <w:shd w:val="clear" w:color="000000" w:fill="FFFFFF"/>
            <w:vAlign w:val="center"/>
            <w:hideMark/>
          </w:tcPr>
          <w:p w14:paraId="5BA79A9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0.920 (0.865-0.979)</w:t>
            </w:r>
          </w:p>
        </w:tc>
        <w:tc>
          <w:tcPr>
            <w:tcW w:w="1111" w:type="dxa"/>
            <w:tcBorders>
              <w:top w:val="nil"/>
              <w:left w:val="nil"/>
              <w:bottom w:val="nil"/>
              <w:right w:val="nil"/>
            </w:tcBorders>
            <w:shd w:val="clear" w:color="000000" w:fill="FFFFFF"/>
            <w:vAlign w:val="center"/>
            <w:hideMark/>
          </w:tcPr>
          <w:p w14:paraId="47E1A81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0.008</w:t>
            </w:r>
          </w:p>
        </w:tc>
      </w:tr>
      <w:tr w:rsidR="000F4703" w:rsidRPr="000F4703" w14:paraId="4ED5E2DE" w14:textId="77777777" w:rsidTr="001E2A92">
        <w:trPr>
          <w:trHeight w:val="306"/>
        </w:trPr>
        <w:tc>
          <w:tcPr>
            <w:tcW w:w="1809" w:type="dxa"/>
            <w:tcBorders>
              <w:top w:val="nil"/>
              <w:left w:val="nil"/>
              <w:bottom w:val="nil"/>
              <w:right w:val="nil"/>
            </w:tcBorders>
            <w:shd w:val="clear" w:color="000000" w:fill="FFFFFF"/>
            <w:vAlign w:val="center"/>
            <w:hideMark/>
          </w:tcPr>
          <w:p w14:paraId="31EBED88"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Male sex</w:t>
            </w:r>
          </w:p>
        </w:tc>
        <w:tc>
          <w:tcPr>
            <w:tcW w:w="2694" w:type="dxa"/>
            <w:tcBorders>
              <w:top w:val="nil"/>
              <w:left w:val="nil"/>
              <w:bottom w:val="nil"/>
              <w:right w:val="nil"/>
            </w:tcBorders>
            <w:shd w:val="clear" w:color="000000" w:fill="FFFFFF"/>
            <w:vAlign w:val="center"/>
            <w:hideMark/>
          </w:tcPr>
          <w:p w14:paraId="4304570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2.829 (0.629-12.712)</w:t>
            </w:r>
          </w:p>
        </w:tc>
        <w:tc>
          <w:tcPr>
            <w:tcW w:w="1111" w:type="dxa"/>
            <w:tcBorders>
              <w:top w:val="nil"/>
              <w:left w:val="nil"/>
              <w:bottom w:val="nil"/>
              <w:right w:val="nil"/>
            </w:tcBorders>
            <w:shd w:val="clear" w:color="000000" w:fill="FFFFFF"/>
            <w:vAlign w:val="center"/>
            <w:hideMark/>
          </w:tcPr>
          <w:p w14:paraId="188B21C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0.175</w:t>
            </w:r>
          </w:p>
        </w:tc>
        <w:tc>
          <w:tcPr>
            <w:tcW w:w="2223" w:type="dxa"/>
            <w:tcBorders>
              <w:top w:val="nil"/>
              <w:left w:val="nil"/>
              <w:bottom w:val="nil"/>
              <w:right w:val="nil"/>
            </w:tcBorders>
            <w:shd w:val="clear" w:color="000000" w:fill="FFFFFF"/>
            <w:vAlign w:val="center"/>
            <w:hideMark/>
          </w:tcPr>
          <w:p w14:paraId="6508B05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7.173 (1.277-40.286)</w:t>
            </w:r>
          </w:p>
        </w:tc>
        <w:tc>
          <w:tcPr>
            <w:tcW w:w="1111" w:type="dxa"/>
            <w:tcBorders>
              <w:top w:val="nil"/>
              <w:left w:val="nil"/>
              <w:bottom w:val="nil"/>
              <w:right w:val="nil"/>
            </w:tcBorders>
            <w:shd w:val="clear" w:color="000000" w:fill="FFFFFF"/>
            <w:vAlign w:val="center"/>
            <w:hideMark/>
          </w:tcPr>
          <w:p w14:paraId="19618FC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0.025</w:t>
            </w:r>
          </w:p>
        </w:tc>
      </w:tr>
      <w:tr w:rsidR="000F4703" w:rsidRPr="000F4703" w14:paraId="569012EB" w14:textId="77777777" w:rsidTr="001E2A92">
        <w:trPr>
          <w:trHeight w:val="306"/>
        </w:trPr>
        <w:tc>
          <w:tcPr>
            <w:tcW w:w="1809" w:type="dxa"/>
            <w:tcBorders>
              <w:top w:val="nil"/>
              <w:left w:val="nil"/>
              <w:bottom w:val="nil"/>
              <w:right w:val="nil"/>
            </w:tcBorders>
            <w:shd w:val="clear" w:color="000000" w:fill="FFFFFF"/>
            <w:vAlign w:val="center"/>
            <w:hideMark/>
          </w:tcPr>
          <w:p w14:paraId="7E6D381C"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Disease duration</w:t>
            </w:r>
          </w:p>
        </w:tc>
        <w:tc>
          <w:tcPr>
            <w:tcW w:w="2694" w:type="dxa"/>
            <w:tcBorders>
              <w:top w:val="nil"/>
              <w:left w:val="nil"/>
              <w:bottom w:val="nil"/>
              <w:right w:val="nil"/>
            </w:tcBorders>
            <w:shd w:val="clear" w:color="000000" w:fill="FFFFFF"/>
            <w:vAlign w:val="center"/>
            <w:hideMark/>
          </w:tcPr>
          <w:p w14:paraId="3F0E85BB"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0.984 (0.963-1.006)</w:t>
            </w:r>
          </w:p>
        </w:tc>
        <w:tc>
          <w:tcPr>
            <w:tcW w:w="1111" w:type="dxa"/>
            <w:tcBorders>
              <w:top w:val="nil"/>
              <w:left w:val="nil"/>
              <w:bottom w:val="nil"/>
              <w:right w:val="nil"/>
            </w:tcBorders>
            <w:shd w:val="clear" w:color="000000" w:fill="FFFFFF"/>
            <w:vAlign w:val="center"/>
            <w:hideMark/>
          </w:tcPr>
          <w:p w14:paraId="2B2D1EA4"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0.144</w:t>
            </w:r>
          </w:p>
        </w:tc>
        <w:tc>
          <w:tcPr>
            <w:tcW w:w="2223" w:type="dxa"/>
            <w:tcBorders>
              <w:top w:val="nil"/>
              <w:left w:val="nil"/>
              <w:bottom w:val="nil"/>
              <w:right w:val="nil"/>
            </w:tcBorders>
            <w:shd w:val="clear" w:color="000000" w:fill="FFFFFF"/>
            <w:vAlign w:val="center"/>
            <w:hideMark/>
          </w:tcPr>
          <w:p w14:paraId="1C7BECCC"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NA</w:t>
            </w:r>
          </w:p>
        </w:tc>
        <w:tc>
          <w:tcPr>
            <w:tcW w:w="1111" w:type="dxa"/>
            <w:tcBorders>
              <w:top w:val="nil"/>
              <w:left w:val="nil"/>
              <w:bottom w:val="nil"/>
              <w:right w:val="nil"/>
            </w:tcBorders>
            <w:shd w:val="clear" w:color="000000" w:fill="FFFFFF"/>
            <w:vAlign w:val="center"/>
            <w:hideMark/>
          </w:tcPr>
          <w:p w14:paraId="59380E79"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0.402</w:t>
            </w:r>
          </w:p>
        </w:tc>
      </w:tr>
      <w:tr w:rsidR="000F4703" w:rsidRPr="000F4703" w14:paraId="62E28546" w14:textId="77777777" w:rsidTr="001E2A92">
        <w:trPr>
          <w:trHeight w:val="306"/>
        </w:trPr>
        <w:tc>
          <w:tcPr>
            <w:tcW w:w="1809" w:type="dxa"/>
            <w:tcBorders>
              <w:top w:val="nil"/>
              <w:left w:val="nil"/>
              <w:bottom w:val="nil"/>
              <w:right w:val="nil"/>
            </w:tcBorders>
            <w:shd w:val="clear" w:color="000000" w:fill="FFFFFF"/>
            <w:vAlign w:val="center"/>
            <w:hideMark/>
          </w:tcPr>
          <w:p w14:paraId="7032AED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 xml:space="preserve">Preoperative </w:t>
            </w:r>
            <w:proofErr w:type="spellStart"/>
            <w:r w:rsidRPr="000F4703">
              <w:rPr>
                <w:rFonts w:ascii="Book Antiqua" w:eastAsia="宋体" w:hAnsi="Book Antiqua"/>
              </w:rPr>
              <w:t>Eckardt</w:t>
            </w:r>
            <w:proofErr w:type="spellEnd"/>
            <w:r w:rsidRPr="000F4703">
              <w:rPr>
                <w:rFonts w:ascii="Book Antiqua" w:eastAsia="宋体" w:hAnsi="Book Antiqua"/>
              </w:rPr>
              <w:t xml:space="preserve"> score</w:t>
            </w:r>
          </w:p>
        </w:tc>
        <w:tc>
          <w:tcPr>
            <w:tcW w:w="2694" w:type="dxa"/>
            <w:tcBorders>
              <w:top w:val="nil"/>
              <w:left w:val="nil"/>
              <w:bottom w:val="nil"/>
              <w:right w:val="nil"/>
            </w:tcBorders>
            <w:shd w:val="clear" w:color="000000" w:fill="FFFFFF"/>
            <w:vAlign w:val="center"/>
            <w:hideMark/>
          </w:tcPr>
          <w:p w14:paraId="636A5667"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1.296 (0.855-1.965)</w:t>
            </w:r>
          </w:p>
        </w:tc>
        <w:tc>
          <w:tcPr>
            <w:tcW w:w="1111" w:type="dxa"/>
            <w:tcBorders>
              <w:top w:val="nil"/>
              <w:left w:val="nil"/>
              <w:bottom w:val="nil"/>
              <w:right w:val="nil"/>
            </w:tcBorders>
            <w:shd w:val="clear" w:color="000000" w:fill="FFFFFF"/>
            <w:vAlign w:val="center"/>
            <w:hideMark/>
          </w:tcPr>
          <w:p w14:paraId="0181A7A1"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0.222</w:t>
            </w:r>
          </w:p>
        </w:tc>
        <w:tc>
          <w:tcPr>
            <w:tcW w:w="2223" w:type="dxa"/>
            <w:tcBorders>
              <w:top w:val="nil"/>
              <w:left w:val="nil"/>
              <w:bottom w:val="nil"/>
              <w:right w:val="nil"/>
            </w:tcBorders>
            <w:shd w:val="clear" w:color="000000" w:fill="FFFFFF"/>
            <w:vAlign w:val="center"/>
            <w:hideMark/>
          </w:tcPr>
          <w:p w14:paraId="70742A76"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c>
          <w:tcPr>
            <w:tcW w:w="1111" w:type="dxa"/>
            <w:tcBorders>
              <w:top w:val="nil"/>
              <w:left w:val="nil"/>
              <w:bottom w:val="nil"/>
              <w:right w:val="nil"/>
            </w:tcBorders>
            <w:shd w:val="clear" w:color="000000" w:fill="FFFFFF"/>
            <w:vAlign w:val="center"/>
            <w:hideMark/>
          </w:tcPr>
          <w:p w14:paraId="338DD2F3"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r>
      <w:tr w:rsidR="000F4703" w:rsidRPr="000F4703" w14:paraId="242762F1" w14:textId="77777777" w:rsidTr="001E2A92">
        <w:trPr>
          <w:trHeight w:val="306"/>
        </w:trPr>
        <w:tc>
          <w:tcPr>
            <w:tcW w:w="1809" w:type="dxa"/>
            <w:tcBorders>
              <w:top w:val="nil"/>
              <w:left w:val="nil"/>
              <w:bottom w:val="single" w:sz="4" w:space="0" w:color="auto"/>
              <w:right w:val="nil"/>
            </w:tcBorders>
            <w:shd w:val="clear" w:color="000000" w:fill="FFFFFF"/>
            <w:vAlign w:val="center"/>
            <w:hideMark/>
          </w:tcPr>
          <w:p w14:paraId="271FB5D5"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LEMP ≥ 3 mm</w:t>
            </w:r>
          </w:p>
        </w:tc>
        <w:tc>
          <w:tcPr>
            <w:tcW w:w="2694" w:type="dxa"/>
            <w:tcBorders>
              <w:top w:val="nil"/>
              <w:left w:val="nil"/>
              <w:bottom w:val="single" w:sz="4" w:space="0" w:color="auto"/>
              <w:right w:val="nil"/>
            </w:tcBorders>
            <w:shd w:val="clear" w:color="000000" w:fill="FFFFFF"/>
            <w:vAlign w:val="center"/>
            <w:hideMark/>
          </w:tcPr>
          <w:p w14:paraId="068F7956"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0.606 (0.117-3.128)</w:t>
            </w:r>
          </w:p>
        </w:tc>
        <w:tc>
          <w:tcPr>
            <w:tcW w:w="1111" w:type="dxa"/>
            <w:tcBorders>
              <w:top w:val="nil"/>
              <w:left w:val="nil"/>
              <w:bottom w:val="single" w:sz="4" w:space="0" w:color="auto"/>
              <w:right w:val="nil"/>
            </w:tcBorders>
            <w:shd w:val="clear" w:color="000000" w:fill="FFFFFF"/>
            <w:vAlign w:val="center"/>
            <w:hideMark/>
          </w:tcPr>
          <w:p w14:paraId="492E7A4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0.550</w:t>
            </w:r>
          </w:p>
        </w:tc>
        <w:tc>
          <w:tcPr>
            <w:tcW w:w="2223" w:type="dxa"/>
            <w:tcBorders>
              <w:top w:val="nil"/>
              <w:left w:val="nil"/>
              <w:bottom w:val="single" w:sz="4" w:space="0" w:color="auto"/>
              <w:right w:val="nil"/>
            </w:tcBorders>
            <w:shd w:val="clear" w:color="000000" w:fill="FFFFFF"/>
            <w:vAlign w:val="center"/>
            <w:hideMark/>
          </w:tcPr>
          <w:p w14:paraId="20B8B7D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c>
          <w:tcPr>
            <w:tcW w:w="1111" w:type="dxa"/>
            <w:tcBorders>
              <w:top w:val="nil"/>
              <w:left w:val="nil"/>
              <w:bottom w:val="single" w:sz="4" w:space="0" w:color="auto"/>
              <w:right w:val="nil"/>
            </w:tcBorders>
            <w:shd w:val="clear" w:color="000000" w:fill="FFFFFF"/>
            <w:vAlign w:val="center"/>
            <w:hideMark/>
          </w:tcPr>
          <w:p w14:paraId="6970B6F2" w14:textId="77777777" w:rsidR="000F4703" w:rsidRPr="000F4703" w:rsidRDefault="000F4703" w:rsidP="000F4703">
            <w:pPr>
              <w:snapToGrid w:val="0"/>
              <w:spacing w:line="360" w:lineRule="auto"/>
              <w:jc w:val="both"/>
              <w:rPr>
                <w:rFonts w:ascii="Book Antiqua" w:eastAsia="宋体" w:hAnsi="Book Antiqua"/>
              </w:rPr>
            </w:pPr>
            <w:r w:rsidRPr="000F4703">
              <w:rPr>
                <w:rFonts w:ascii="Book Antiqua" w:eastAsia="宋体" w:hAnsi="Book Antiqua"/>
              </w:rPr>
              <w:t>-</w:t>
            </w:r>
          </w:p>
        </w:tc>
      </w:tr>
    </w:tbl>
    <w:p w14:paraId="081445A9" w14:textId="6448A427" w:rsidR="00A77B3E" w:rsidRPr="000F4703" w:rsidRDefault="000564B8" w:rsidP="000F4703">
      <w:pPr>
        <w:snapToGrid w:val="0"/>
        <w:spacing w:line="360" w:lineRule="auto"/>
        <w:jc w:val="both"/>
        <w:rPr>
          <w:rFonts w:ascii="Book Antiqua" w:eastAsia="宋体" w:hAnsi="Book Antiqua"/>
        </w:rPr>
      </w:pPr>
      <w:r w:rsidRPr="000F4703">
        <w:rPr>
          <w:rFonts w:ascii="Book Antiqua" w:eastAsia="宋体" w:hAnsi="Book Antiqua"/>
        </w:rPr>
        <w:t xml:space="preserve">CI: </w:t>
      </w:r>
      <w:r w:rsidR="000F4703" w:rsidRPr="000F4703">
        <w:rPr>
          <w:rFonts w:ascii="Book Antiqua" w:eastAsia="宋体" w:hAnsi="Book Antiqua"/>
        </w:rPr>
        <w:t>Confidence interval;</w:t>
      </w:r>
      <w:r w:rsidRPr="000F4703">
        <w:rPr>
          <w:rFonts w:ascii="Book Antiqua" w:eastAsia="宋体" w:hAnsi="Book Antiqua"/>
        </w:rPr>
        <w:t xml:space="preserve"> LEMP: Lower</w:t>
      </w:r>
      <w:r w:rsidR="000F4703" w:rsidRPr="000F4703">
        <w:rPr>
          <w:rFonts w:ascii="Book Antiqua" w:eastAsia="宋体" w:hAnsi="Book Antiqua"/>
        </w:rPr>
        <w:t xml:space="preserve"> esophageal muscularis propria; </w:t>
      </w:r>
      <w:r w:rsidRPr="000F4703">
        <w:rPr>
          <w:rFonts w:ascii="Book Antiqua" w:eastAsia="宋体" w:hAnsi="Book Antiqua"/>
        </w:rPr>
        <w:t>NA: Not assessed; -: Not included for analysis</w:t>
      </w:r>
      <w:r w:rsidR="000F4703" w:rsidRPr="000F4703">
        <w:rPr>
          <w:rFonts w:ascii="Book Antiqua" w:eastAsia="宋体" w:hAnsi="Book Antiqua"/>
        </w:rPr>
        <w:t>; CI: Confidence interval.</w:t>
      </w:r>
    </w:p>
    <w:sectPr w:rsidR="00A77B3E" w:rsidRPr="000F4703" w:rsidSect="00B234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02394" w14:textId="77777777" w:rsidR="007B3E12" w:rsidRDefault="007B3E12" w:rsidP="001E3004">
      <w:r>
        <w:separator/>
      </w:r>
    </w:p>
  </w:endnote>
  <w:endnote w:type="continuationSeparator" w:id="0">
    <w:p w14:paraId="5E2E0590" w14:textId="77777777" w:rsidR="007B3E12" w:rsidRDefault="007B3E12" w:rsidP="001E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22750"/>
      <w:docPartObj>
        <w:docPartGallery w:val="Page Numbers (Bottom of Page)"/>
        <w:docPartUnique/>
      </w:docPartObj>
    </w:sdtPr>
    <w:sdtEndPr/>
    <w:sdtContent>
      <w:sdt>
        <w:sdtPr>
          <w:id w:val="-1769616900"/>
          <w:docPartObj>
            <w:docPartGallery w:val="Page Numbers (Top of Page)"/>
            <w:docPartUnique/>
          </w:docPartObj>
        </w:sdtPr>
        <w:sdtEndPr/>
        <w:sdtContent>
          <w:p w14:paraId="67C8EE4A" w14:textId="6AE1AB9D" w:rsidR="00A81E3A" w:rsidRDefault="00A81E3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6CC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6CCC">
              <w:rPr>
                <w:b/>
                <w:bCs/>
                <w:noProof/>
              </w:rPr>
              <w:t>29</w:t>
            </w:r>
            <w:r>
              <w:rPr>
                <w:b/>
                <w:bCs/>
                <w:sz w:val="24"/>
                <w:szCs w:val="24"/>
              </w:rPr>
              <w:fldChar w:fldCharType="end"/>
            </w:r>
          </w:p>
        </w:sdtContent>
      </w:sdt>
    </w:sdtContent>
  </w:sdt>
  <w:p w14:paraId="418A097C" w14:textId="77777777" w:rsidR="00A81E3A" w:rsidRDefault="00A81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B4A9" w14:textId="77777777" w:rsidR="007B3E12" w:rsidRDefault="007B3E12" w:rsidP="001E3004">
      <w:r>
        <w:separator/>
      </w:r>
    </w:p>
  </w:footnote>
  <w:footnote w:type="continuationSeparator" w:id="0">
    <w:p w14:paraId="49ABDE01" w14:textId="77777777" w:rsidR="007B3E12" w:rsidRDefault="007B3E12" w:rsidP="001E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4B8"/>
    <w:rsid w:val="000A116A"/>
    <w:rsid w:val="000C0583"/>
    <w:rsid w:val="000C504E"/>
    <w:rsid w:val="000C79E4"/>
    <w:rsid w:val="000F4703"/>
    <w:rsid w:val="001008F9"/>
    <w:rsid w:val="00146CCC"/>
    <w:rsid w:val="00162844"/>
    <w:rsid w:val="001A1032"/>
    <w:rsid w:val="001E2A92"/>
    <w:rsid w:val="001E3004"/>
    <w:rsid w:val="001E6597"/>
    <w:rsid w:val="00212E73"/>
    <w:rsid w:val="00270D66"/>
    <w:rsid w:val="00272BC2"/>
    <w:rsid w:val="00282D4B"/>
    <w:rsid w:val="00287A18"/>
    <w:rsid w:val="0029710F"/>
    <w:rsid w:val="002978C0"/>
    <w:rsid w:val="002A2FE0"/>
    <w:rsid w:val="002A54CF"/>
    <w:rsid w:val="002B7BA1"/>
    <w:rsid w:val="002E28F4"/>
    <w:rsid w:val="002E4D98"/>
    <w:rsid w:val="0039346E"/>
    <w:rsid w:val="004C0B77"/>
    <w:rsid w:val="005550E0"/>
    <w:rsid w:val="0058471C"/>
    <w:rsid w:val="005D52AF"/>
    <w:rsid w:val="005E4252"/>
    <w:rsid w:val="005E4469"/>
    <w:rsid w:val="006020CC"/>
    <w:rsid w:val="00615971"/>
    <w:rsid w:val="00661925"/>
    <w:rsid w:val="00671EC9"/>
    <w:rsid w:val="00680A2E"/>
    <w:rsid w:val="00693D06"/>
    <w:rsid w:val="006C7534"/>
    <w:rsid w:val="006D5727"/>
    <w:rsid w:val="006E3988"/>
    <w:rsid w:val="006E5837"/>
    <w:rsid w:val="00702D5C"/>
    <w:rsid w:val="0075264B"/>
    <w:rsid w:val="00763AD0"/>
    <w:rsid w:val="00770B23"/>
    <w:rsid w:val="007B3E12"/>
    <w:rsid w:val="00802D27"/>
    <w:rsid w:val="0083710F"/>
    <w:rsid w:val="008418D4"/>
    <w:rsid w:val="008A5B90"/>
    <w:rsid w:val="008C6314"/>
    <w:rsid w:val="008F077F"/>
    <w:rsid w:val="00906B62"/>
    <w:rsid w:val="00930A49"/>
    <w:rsid w:val="009D65ED"/>
    <w:rsid w:val="009E2FA0"/>
    <w:rsid w:val="009F6C29"/>
    <w:rsid w:val="00A20786"/>
    <w:rsid w:val="00A20940"/>
    <w:rsid w:val="00A212C7"/>
    <w:rsid w:val="00A76B59"/>
    <w:rsid w:val="00A77B3E"/>
    <w:rsid w:val="00A81E3A"/>
    <w:rsid w:val="00A9542C"/>
    <w:rsid w:val="00AB4904"/>
    <w:rsid w:val="00B047B0"/>
    <w:rsid w:val="00B234D1"/>
    <w:rsid w:val="00B90654"/>
    <w:rsid w:val="00BF01AF"/>
    <w:rsid w:val="00BF64E3"/>
    <w:rsid w:val="00C53C2F"/>
    <w:rsid w:val="00C95F0D"/>
    <w:rsid w:val="00CA2A55"/>
    <w:rsid w:val="00CE1AC5"/>
    <w:rsid w:val="00DD7196"/>
    <w:rsid w:val="00DF1C8C"/>
    <w:rsid w:val="00E1619E"/>
    <w:rsid w:val="00E16DBD"/>
    <w:rsid w:val="00E26B5A"/>
    <w:rsid w:val="00EA4074"/>
    <w:rsid w:val="00ED4861"/>
    <w:rsid w:val="00EE05E5"/>
    <w:rsid w:val="00EE1C64"/>
    <w:rsid w:val="00EF4138"/>
    <w:rsid w:val="00F4565C"/>
    <w:rsid w:val="00F85AD7"/>
    <w:rsid w:val="00FD4963"/>
    <w:rsid w:val="00FD6B15"/>
    <w:rsid w:val="00FD7D96"/>
    <w:rsid w:val="00FF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564B8"/>
    <w:rPr>
      <w:sz w:val="18"/>
      <w:szCs w:val="18"/>
    </w:rPr>
  </w:style>
  <w:style w:type="character" w:customStyle="1" w:styleId="Char">
    <w:name w:val="批注框文本 Char"/>
    <w:basedOn w:val="a0"/>
    <w:link w:val="a3"/>
    <w:rsid w:val="000564B8"/>
    <w:rPr>
      <w:sz w:val="18"/>
      <w:szCs w:val="18"/>
    </w:rPr>
  </w:style>
  <w:style w:type="table" w:customStyle="1" w:styleId="1">
    <w:name w:val="网格型1"/>
    <w:basedOn w:val="a1"/>
    <w:uiPriority w:val="39"/>
    <w:qFormat/>
    <w:rsid w:val="000564B8"/>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sid w:val="000564B8"/>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0"/>
    <w:unhideWhenUsed/>
    <w:rsid w:val="001E30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E3004"/>
    <w:rPr>
      <w:sz w:val="18"/>
      <w:szCs w:val="18"/>
    </w:rPr>
  </w:style>
  <w:style w:type="paragraph" w:styleId="a5">
    <w:name w:val="footer"/>
    <w:basedOn w:val="a"/>
    <w:link w:val="Char1"/>
    <w:uiPriority w:val="99"/>
    <w:unhideWhenUsed/>
    <w:rsid w:val="001E3004"/>
    <w:pPr>
      <w:tabs>
        <w:tab w:val="center" w:pos="4153"/>
        <w:tab w:val="right" w:pos="8306"/>
      </w:tabs>
      <w:snapToGrid w:val="0"/>
    </w:pPr>
    <w:rPr>
      <w:sz w:val="18"/>
      <w:szCs w:val="18"/>
    </w:rPr>
  </w:style>
  <w:style w:type="character" w:customStyle="1" w:styleId="Char1">
    <w:name w:val="页脚 Char"/>
    <w:basedOn w:val="a0"/>
    <w:link w:val="a5"/>
    <w:uiPriority w:val="99"/>
    <w:rsid w:val="001E3004"/>
    <w:rPr>
      <w:sz w:val="18"/>
      <w:szCs w:val="18"/>
    </w:rPr>
  </w:style>
  <w:style w:type="character" w:styleId="a6">
    <w:name w:val="Hyperlink"/>
    <w:basedOn w:val="a0"/>
    <w:unhideWhenUsed/>
    <w:rsid w:val="00EF4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564B8"/>
    <w:rPr>
      <w:sz w:val="18"/>
      <w:szCs w:val="18"/>
    </w:rPr>
  </w:style>
  <w:style w:type="character" w:customStyle="1" w:styleId="Char">
    <w:name w:val="批注框文本 Char"/>
    <w:basedOn w:val="a0"/>
    <w:link w:val="a3"/>
    <w:rsid w:val="000564B8"/>
    <w:rPr>
      <w:sz w:val="18"/>
      <w:szCs w:val="18"/>
    </w:rPr>
  </w:style>
  <w:style w:type="table" w:customStyle="1" w:styleId="1">
    <w:name w:val="网格型1"/>
    <w:basedOn w:val="a1"/>
    <w:uiPriority w:val="39"/>
    <w:qFormat/>
    <w:rsid w:val="000564B8"/>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sid w:val="000564B8"/>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0"/>
    <w:unhideWhenUsed/>
    <w:rsid w:val="001E30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E3004"/>
    <w:rPr>
      <w:sz w:val="18"/>
      <w:szCs w:val="18"/>
    </w:rPr>
  </w:style>
  <w:style w:type="paragraph" w:styleId="a5">
    <w:name w:val="footer"/>
    <w:basedOn w:val="a"/>
    <w:link w:val="Char1"/>
    <w:uiPriority w:val="99"/>
    <w:unhideWhenUsed/>
    <w:rsid w:val="001E3004"/>
    <w:pPr>
      <w:tabs>
        <w:tab w:val="center" w:pos="4153"/>
        <w:tab w:val="right" w:pos="8306"/>
      </w:tabs>
      <w:snapToGrid w:val="0"/>
    </w:pPr>
    <w:rPr>
      <w:sz w:val="18"/>
      <w:szCs w:val="18"/>
    </w:rPr>
  </w:style>
  <w:style w:type="character" w:customStyle="1" w:styleId="Char1">
    <w:name w:val="页脚 Char"/>
    <w:basedOn w:val="a0"/>
    <w:link w:val="a5"/>
    <w:uiPriority w:val="99"/>
    <w:rsid w:val="001E3004"/>
    <w:rPr>
      <w:sz w:val="18"/>
      <w:szCs w:val="18"/>
    </w:rPr>
  </w:style>
  <w:style w:type="character" w:styleId="a6">
    <w:name w:val="Hyperlink"/>
    <w:basedOn w:val="a0"/>
    <w:unhideWhenUsed/>
    <w:rsid w:val="00EF4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0A07-7C95-474A-A378-20FB2C41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2020-09-25T01:55:00Z</dcterms:created>
  <dcterms:modified xsi:type="dcterms:W3CDTF">2020-10-14T08:36:00Z</dcterms:modified>
</cp:coreProperties>
</file>