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96" w:rsidRPr="000C6C65" w:rsidRDefault="00CD7096" w:rsidP="000C6C65">
      <w:pPr>
        <w:widowControl w:val="0"/>
        <w:adjustRightInd w:val="0"/>
        <w:snapToGrid w:val="0"/>
        <w:spacing w:line="360" w:lineRule="auto"/>
        <w:jc w:val="both"/>
        <w:rPr>
          <w:rFonts w:ascii="Book Antiqua" w:eastAsia="Times New Roman" w:hAnsi="Book Antiqua"/>
          <w:b/>
          <w:i/>
          <w:kern w:val="2"/>
          <w:sz w:val="20"/>
          <w:szCs w:val="20"/>
        </w:rPr>
      </w:pPr>
      <w:bookmarkStart w:id="0" w:name="_Hlk16776535"/>
      <w:r w:rsidRPr="000C6C65">
        <w:rPr>
          <w:rFonts w:ascii="Book Antiqua" w:eastAsia="Times New Roman" w:hAnsi="Book Antiqua"/>
          <w:b/>
          <w:kern w:val="2"/>
          <w:sz w:val="20"/>
          <w:szCs w:val="20"/>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0C6C65">
        <w:rPr>
          <w:rFonts w:ascii="Book Antiqua" w:eastAsia="Times New Roman" w:hAnsi="Book Antiqua"/>
          <w:i/>
          <w:kern w:val="2"/>
          <w:sz w:val="20"/>
          <w:szCs w:val="20"/>
        </w:rPr>
        <w:t xml:space="preserve">World Journal of </w:t>
      </w:r>
      <w:bookmarkEnd w:id="1"/>
      <w:bookmarkEnd w:id="2"/>
      <w:bookmarkEnd w:id="3"/>
      <w:bookmarkEnd w:id="4"/>
      <w:bookmarkEnd w:id="5"/>
      <w:bookmarkEnd w:id="6"/>
      <w:bookmarkEnd w:id="7"/>
      <w:r w:rsidRPr="000C6C65">
        <w:rPr>
          <w:rFonts w:ascii="Book Antiqua" w:eastAsia="Times New Roman" w:hAnsi="Book Antiqua"/>
          <w:i/>
          <w:kern w:val="2"/>
          <w:sz w:val="20"/>
          <w:szCs w:val="20"/>
        </w:rPr>
        <w:t>Clinical Cases</w:t>
      </w:r>
    </w:p>
    <w:p w:rsidR="00CD7096" w:rsidRPr="000C6C65" w:rsidRDefault="00CD7096" w:rsidP="000C6C65">
      <w:pPr>
        <w:widowControl w:val="0"/>
        <w:adjustRightInd w:val="0"/>
        <w:snapToGrid w:val="0"/>
        <w:spacing w:line="360" w:lineRule="auto"/>
        <w:jc w:val="both"/>
        <w:rPr>
          <w:rFonts w:ascii="Book Antiqua" w:hAnsi="Book Antiqua" w:cs="Arial"/>
          <w:b/>
          <w:kern w:val="2"/>
          <w:sz w:val="20"/>
          <w:szCs w:val="20"/>
        </w:rPr>
      </w:pPr>
      <w:r w:rsidRPr="000C6C65">
        <w:rPr>
          <w:rFonts w:ascii="Book Antiqua" w:eastAsia="Times New Roman" w:hAnsi="Book Antiqua" w:cs="Times New Roman"/>
          <w:b/>
          <w:bCs/>
          <w:kern w:val="2"/>
          <w:sz w:val="20"/>
          <w:szCs w:val="20"/>
        </w:rPr>
        <w:t>Manuscript NO</w:t>
      </w:r>
      <w:r w:rsidRPr="000C6C65">
        <w:rPr>
          <w:rFonts w:ascii="Book Antiqua" w:hAnsi="Book Antiqua" w:cs="Arial"/>
          <w:b/>
          <w:kern w:val="2"/>
          <w:sz w:val="20"/>
          <w:szCs w:val="20"/>
        </w:rPr>
        <w:t xml:space="preserve">: </w:t>
      </w:r>
      <w:r w:rsidRPr="000C6C65">
        <w:rPr>
          <w:rFonts w:ascii="Book Antiqua" w:hAnsi="Book Antiqua" w:cs="Arial"/>
          <w:kern w:val="2"/>
          <w:sz w:val="20"/>
          <w:szCs w:val="20"/>
        </w:rPr>
        <w:t>54622</w:t>
      </w:r>
    </w:p>
    <w:p w:rsidR="00CD7096" w:rsidRPr="000C6C65" w:rsidRDefault="00CD7096" w:rsidP="000C6C65">
      <w:pPr>
        <w:widowControl w:val="0"/>
        <w:adjustRightInd w:val="0"/>
        <w:snapToGrid w:val="0"/>
        <w:spacing w:line="360" w:lineRule="auto"/>
        <w:jc w:val="both"/>
        <w:rPr>
          <w:rFonts w:ascii="Book Antiqua" w:hAnsi="Book Antiqua" w:cs="Times New Roman"/>
          <w:b/>
          <w:kern w:val="2"/>
          <w:sz w:val="20"/>
          <w:szCs w:val="20"/>
        </w:rPr>
      </w:pPr>
      <w:r w:rsidRPr="000C6C65">
        <w:rPr>
          <w:rFonts w:ascii="Book Antiqua" w:hAnsi="Book Antiqua" w:cs="Times New Roman"/>
          <w:b/>
          <w:kern w:val="2"/>
          <w:sz w:val="20"/>
          <w:szCs w:val="20"/>
        </w:rPr>
        <w:t xml:space="preserve">Manuscript Type: </w:t>
      </w:r>
      <w:r w:rsidRPr="000C6C65">
        <w:rPr>
          <w:rFonts w:ascii="Book Antiqua" w:hAnsi="Book Antiqua" w:cs="Times New Roman"/>
          <w:kern w:val="2"/>
          <w:sz w:val="20"/>
          <w:szCs w:val="20"/>
        </w:rPr>
        <w:t>CASE REPORT</w:t>
      </w:r>
    </w:p>
    <w:p w:rsidR="001A61BA" w:rsidRPr="000C6C65" w:rsidRDefault="001A61BA" w:rsidP="000C6C65">
      <w:pPr>
        <w:snapToGrid w:val="0"/>
        <w:spacing w:line="360" w:lineRule="auto"/>
        <w:jc w:val="both"/>
        <w:rPr>
          <w:rStyle w:val="highlight"/>
          <w:rFonts w:ascii="Book Antiqua" w:hAnsi="Book Antiqua" w:cs="Times New Roman"/>
          <w:b/>
          <w:bCs/>
          <w:color w:val="000000"/>
          <w:sz w:val="20"/>
          <w:szCs w:val="20"/>
        </w:rPr>
      </w:pPr>
    </w:p>
    <w:p w:rsidR="001A61BA" w:rsidRPr="000C6C65" w:rsidRDefault="001A61BA" w:rsidP="000C6C65">
      <w:pPr>
        <w:snapToGrid w:val="0"/>
        <w:spacing w:line="360" w:lineRule="auto"/>
        <w:jc w:val="both"/>
        <w:rPr>
          <w:rFonts w:ascii="Book Antiqua" w:eastAsia="微软雅黑" w:hAnsi="Book Antiqua" w:cs="Times New Roman"/>
          <w:b/>
          <w:bCs/>
          <w:color w:val="000000"/>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Gilbert’s syndrome coexisting with hereditary spherocytosis might not be rare: Six case report</w:t>
      </w:r>
      <w:r w:rsidR="00CD7096" w:rsidRPr="000C6C65">
        <w:rPr>
          <w:rFonts w:ascii="Book Antiqua" w:eastAsia="微软雅黑" w:hAnsi="Book Antiqua" w:cs="Times New Roman"/>
          <w:b/>
          <w:bCs/>
          <w:color w:val="000000"/>
          <w:sz w:val="20"/>
          <w:szCs w:val="20"/>
          <w:shd w:val="clear" w:color="auto" w:fill="FFFFFF"/>
        </w:rPr>
        <w:t>s</w:t>
      </w:r>
    </w:p>
    <w:p w:rsidR="001A61BA" w:rsidRPr="000C6C65" w:rsidRDefault="001A61BA" w:rsidP="000C6C65">
      <w:pPr>
        <w:snapToGrid w:val="0"/>
        <w:spacing w:line="360" w:lineRule="auto"/>
        <w:jc w:val="both"/>
        <w:rPr>
          <w:rStyle w:val="highlight"/>
          <w:rFonts w:ascii="Book Antiqua" w:hAnsi="Book Antiqua" w:cs="Times New Roman"/>
          <w:b/>
          <w:bCs/>
          <w:color w:val="000000"/>
          <w:sz w:val="20"/>
          <w:szCs w:val="20"/>
        </w:rPr>
      </w:pPr>
    </w:p>
    <w:p w:rsidR="00CD7096" w:rsidRPr="000C6C65" w:rsidRDefault="00CD7096" w:rsidP="000C6C65">
      <w:pPr>
        <w:snapToGrid w:val="0"/>
        <w:spacing w:line="360" w:lineRule="auto"/>
        <w:jc w:val="both"/>
        <w:rPr>
          <w:rStyle w:val="highlight"/>
          <w:rFonts w:ascii="Book Antiqua" w:hAnsi="Book Antiqua" w:cs="Times New Roman"/>
          <w:color w:val="000000"/>
          <w:sz w:val="20"/>
          <w:szCs w:val="20"/>
        </w:rPr>
      </w:pPr>
      <w:r w:rsidRPr="000C6C65">
        <w:rPr>
          <w:rStyle w:val="highlight"/>
          <w:rFonts w:ascii="Book Antiqua" w:hAnsi="Book Antiqua" w:cs="Times New Roman"/>
          <w:color w:val="000000"/>
          <w:sz w:val="20"/>
          <w:szCs w:val="20"/>
        </w:rPr>
        <w:t xml:space="preserve">Kang LL </w:t>
      </w:r>
      <w:r w:rsidRPr="000C6C65">
        <w:rPr>
          <w:rStyle w:val="highlight"/>
          <w:rFonts w:ascii="Book Antiqua" w:hAnsi="Book Antiqua" w:cs="Times New Roman"/>
          <w:i/>
          <w:iCs/>
          <w:color w:val="000000"/>
          <w:sz w:val="20"/>
          <w:szCs w:val="20"/>
        </w:rPr>
        <w:t>et al</w:t>
      </w:r>
      <w:r w:rsidRPr="000C6C65">
        <w:rPr>
          <w:rStyle w:val="highlight"/>
          <w:rFonts w:ascii="Book Antiqua" w:hAnsi="Book Antiqua" w:cs="Times New Roman"/>
          <w:color w:val="000000"/>
          <w:sz w:val="20"/>
          <w:szCs w:val="20"/>
        </w:rPr>
        <w:t>. GS coexisting with HS</w:t>
      </w:r>
    </w:p>
    <w:p w:rsidR="00CD7096" w:rsidRPr="000C6C65" w:rsidRDefault="00CD7096" w:rsidP="000C6C65">
      <w:pPr>
        <w:snapToGrid w:val="0"/>
        <w:spacing w:line="360" w:lineRule="auto"/>
        <w:jc w:val="both"/>
        <w:rPr>
          <w:rStyle w:val="highlight"/>
          <w:rFonts w:ascii="Book Antiqua" w:hAnsi="Book Antiqua" w:cs="Times New Roman"/>
          <w:b/>
          <w:bCs/>
          <w:color w:val="000000"/>
          <w:sz w:val="20"/>
          <w:szCs w:val="20"/>
        </w:rPr>
      </w:pPr>
    </w:p>
    <w:bookmarkEnd w:id="0"/>
    <w:p w:rsidR="001A61BA" w:rsidRPr="000C6C65" w:rsidRDefault="001A61BA" w:rsidP="000C6C65">
      <w:pPr>
        <w:widowControl w:val="0"/>
        <w:snapToGrid w:val="0"/>
        <w:spacing w:line="360" w:lineRule="auto"/>
        <w:jc w:val="both"/>
        <w:rPr>
          <w:rFonts w:ascii="Book Antiqua" w:hAnsi="Book Antiqua" w:cs="Times New Roman"/>
          <w:color w:val="000000"/>
          <w:sz w:val="20"/>
          <w:szCs w:val="20"/>
          <w:vertAlign w:val="superscript"/>
        </w:rPr>
      </w:pPr>
      <w:r w:rsidRPr="000C6C65">
        <w:rPr>
          <w:rFonts w:ascii="Book Antiqua" w:hAnsi="Book Antiqua" w:cs="Times New Roman"/>
          <w:color w:val="000000"/>
          <w:sz w:val="20"/>
          <w:szCs w:val="20"/>
        </w:rPr>
        <w:t>Ling-Ling Kang, Ze-Lin Liu, Hou-De Zhang</w:t>
      </w:r>
    </w:p>
    <w:p w:rsidR="001A61BA" w:rsidRPr="000C6C65" w:rsidRDefault="001A61BA" w:rsidP="000C6C65">
      <w:pPr>
        <w:widowControl w:val="0"/>
        <w:snapToGrid w:val="0"/>
        <w:spacing w:line="360" w:lineRule="auto"/>
        <w:jc w:val="both"/>
        <w:rPr>
          <w:rFonts w:ascii="Book Antiqua" w:hAnsi="Book Antiqua" w:cs="Times New Roman"/>
          <w:color w:val="000000"/>
          <w:sz w:val="20"/>
          <w:szCs w:val="20"/>
          <w:vertAlign w:val="superscript"/>
        </w:rPr>
      </w:pPr>
    </w:p>
    <w:p w:rsidR="001A61BA" w:rsidRPr="000C6C65" w:rsidRDefault="001A61BA"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BaskervilleNo2BT-Roman" w:hAnsi="Book Antiqua" w:cs="Times New Roman"/>
          <w:b/>
          <w:bCs/>
          <w:sz w:val="20"/>
          <w:szCs w:val="20"/>
        </w:rPr>
        <w:t>Ling-Ling Kang,</w:t>
      </w:r>
      <w:r w:rsidR="00CD7096" w:rsidRPr="000C6C65">
        <w:rPr>
          <w:rFonts w:ascii="Book Antiqua" w:eastAsia="BaskervilleNo2BT-Roman" w:hAnsi="Book Antiqua" w:cs="Times New Roman"/>
          <w:b/>
          <w:bCs/>
          <w:sz w:val="20"/>
          <w:szCs w:val="20"/>
        </w:rPr>
        <w:t xml:space="preserve"> Hou-De Zhang,</w:t>
      </w:r>
      <w:r w:rsidRPr="000C6C65">
        <w:rPr>
          <w:rFonts w:ascii="Book Antiqua" w:eastAsia="BaskervilleNo2BT-Roman" w:hAnsi="Book Antiqua" w:cs="Times New Roman"/>
          <w:sz w:val="20"/>
          <w:szCs w:val="20"/>
        </w:rPr>
        <w:t xml:space="preserve"> Department of Gastroenterology, Nanshan Hospital, Guangdong Medical University, Shenzhen</w:t>
      </w:r>
      <w:r w:rsidR="00CD7096" w:rsidRPr="000C6C65">
        <w:rPr>
          <w:sz w:val="20"/>
          <w:szCs w:val="20"/>
        </w:rPr>
        <w:t xml:space="preserve"> </w:t>
      </w:r>
      <w:r w:rsidR="00CD7096" w:rsidRPr="000C6C65">
        <w:rPr>
          <w:rFonts w:ascii="Book Antiqua" w:eastAsia="BaskervilleNo2BT-Roman" w:hAnsi="Book Antiqua" w:cs="Times New Roman"/>
          <w:sz w:val="20"/>
          <w:szCs w:val="20"/>
        </w:rPr>
        <w:t>518052, Guangdong Province</w:t>
      </w:r>
      <w:r w:rsidRPr="000C6C65">
        <w:rPr>
          <w:rFonts w:ascii="Book Antiqua" w:eastAsia="BaskervilleNo2BT-Roman" w:hAnsi="Book Antiqua" w:cs="Times New Roman"/>
          <w:sz w:val="20"/>
          <w:szCs w:val="20"/>
        </w:rPr>
        <w:t>, China</w:t>
      </w:r>
    </w:p>
    <w:p w:rsidR="00CD7096" w:rsidRPr="000C6C65" w:rsidRDefault="00CD7096" w:rsidP="000C6C65">
      <w:pPr>
        <w:widowControl w:val="0"/>
        <w:snapToGrid w:val="0"/>
        <w:spacing w:line="360" w:lineRule="auto"/>
        <w:jc w:val="both"/>
        <w:rPr>
          <w:rFonts w:ascii="Book Antiqua" w:eastAsia="BaskervilleNo2BT-Roman" w:hAnsi="Book Antiqua" w:cs="Times New Roman"/>
          <w:sz w:val="20"/>
          <w:szCs w:val="20"/>
        </w:rPr>
      </w:pPr>
    </w:p>
    <w:p w:rsidR="00CD7096" w:rsidRPr="000C6C65" w:rsidRDefault="001A61BA"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BaskervilleNo2BT-Roman" w:hAnsi="Book Antiqua" w:cs="Times New Roman"/>
          <w:b/>
          <w:bCs/>
          <w:sz w:val="20"/>
          <w:szCs w:val="20"/>
        </w:rPr>
        <w:t>Ze-Lin Liu,</w:t>
      </w:r>
      <w:r w:rsidRPr="000C6C65">
        <w:rPr>
          <w:rFonts w:ascii="Book Antiqua" w:eastAsia="BaskervilleNo2BT-Roman" w:hAnsi="Book Antiqua" w:cs="Times New Roman"/>
          <w:sz w:val="20"/>
          <w:szCs w:val="20"/>
        </w:rPr>
        <w:t xml:space="preserve"> Department of Hematology, Nanshan Hospital, Guangdong Medical University, </w:t>
      </w:r>
      <w:r w:rsidR="00CD7096" w:rsidRPr="000C6C65">
        <w:rPr>
          <w:rFonts w:ascii="Book Antiqua" w:eastAsia="BaskervilleNo2BT-Roman" w:hAnsi="Book Antiqua" w:cs="Times New Roman"/>
          <w:sz w:val="20"/>
          <w:szCs w:val="20"/>
        </w:rPr>
        <w:t>Shenzhen</w:t>
      </w:r>
      <w:r w:rsidR="00CD7096" w:rsidRPr="000C6C65">
        <w:rPr>
          <w:sz w:val="20"/>
          <w:szCs w:val="20"/>
        </w:rPr>
        <w:t xml:space="preserve"> </w:t>
      </w:r>
      <w:r w:rsidR="00CD7096" w:rsidRPr="000C6C65">
        <w:rPr>
          <w:rFonts w:ascii="Book Antiqua" w:eastAsia="BaskervilleNo2BT-Roman" w:hAnsi="Book Antiqua" w:cs="Times New Roman"/>
          <w:sz w:val="20"/>
          <w:szCs w:val="20"/>
        </w:rPr>
        <w:t>518052, Guangdong Province, China</w:t>
      </w:r>
    </w:p>
    <w:p w:rsidR="00CD7096" w:rsidRPr="000C6C65" w:rsidRDefault="00CD7096" w:rsidP="000C6C65">
      <w:pPr>
        <w:widowControl w:val="0"/>
        <w:snapToGrid w:val="0"/>
        <w:spacing w:line="360" w:lineRule="auto"/>
        <w:jc w:val="both"/>
        <w:rPr>
          <w:rFonts w:ascii="Book Antiqua" w:eastAsia="BaskervilleNo2BT-Roman" w:hAnsi="Book Antiqua" w:cs="Times New Roman"/>
          <w:b/>
          <w:bCs/>
          <w:sz w:val="20"/>
          <w:szCs w:val="20"/>
        </w:rPr>
      </w:pPr>
    </w:p>
    <w:p w:rsidR="00CD7096" w:rsidRPr="000C6C65" w:rsidRDefault="001A61BA"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BaskervilleNo2BT-Roman" w:hAnsi="Book Antiqua" w:cs="Times New Roman"/>
          <w:b/>
          <w:bCs/>
          <w:sz w:val="20"/>
          <w:szCs w:val="20"/>
        </w:rPr>
        <w:t>Hou-De Zhang,</w:t>
      </w:r>
      <w:r w:rsidRPr="000C6C65">
        <w:rPr>
          <w:rFonts w:ascii="Book Antiqua" w:eastAsia="BaskervilleNo2BT-Roman" w:hAnsi="Book Antiqua" w:cs="Times New Roman"/>
          <w:sz w:val="20"/>
          <w:szCs w:val="20"/>
        </w:rPr>
        <w:t xml:space="preserve"> Guangdong Breath Test Engineering </w:t>
      </w:r>
      <w:r w:rsidR="00CD7096" w:rsidRPr="000C6C65">
        <w:rPr>
          <w:rFonts w:ascii="Book Antiqua" w:eastAsia="BaskervilleNo2BT-Roman" w:hAnsi="Book Antiqua" w:cs="Times New Roman"/>
          <w:sz w:val="20"/>
          <w:szCs w:val="20"/>
        </w:rPr>
        <w:t xml:space="preserve">and </w:t>
      </w:r>
      <w:r w:rsidRPr="000C6C65">
        <w:rPr>
          <w:rFonts w:ascii="Book Antiqua" w:eastAsia="BaskervilleNo2BT-Roman" w:hAnsi="Book Antiqua" w:cs="Times New Roman"/>
          <w:sz w:val="20"/>
          <w:szCs w:val="20"/>
        </w:rPr>
        <w:t xml:space="preserve">Technology Research Center, </w:t>
      </w:r>
      <w:r w:rsidR="00CD7096" w:rsidRPr="000C6C65">
        <w:rPr>
          <w:rFonts w:ascii="Book Antiqua" w:eastAsia="BaskervilleNo2BT-Roman" w:hAnsi="Book Antiqua" w:cs="Times New Roman"/>
          <w:sz w:val="20"/>
          <w:szCs w:val="20"/>
        </w:rPr>
        <w:t>Shenzhen</w:t>
      </w:r>
      <w:r w:rsidR="00CD7096" w:rsidRPr="000C6C65">
        <w:rPr>
          <w:sz w:val="20"/>
          <w:szCs w:val="20"/>
        </w:rPr>
        <w:t xml:space="preserve"> </w:t>
      </w:r>
      <w:r w:rsidR="00CD7096" w:rsidRPr="000C6C65">
        <w:rPr>
          <w:rFonts w:ascii="Book Antiqua" w:eastAsia="BaskervilleNo2BT-Roman" w:hAnsi="Book Antiqua" w:cs="Times New Roman"/>
          <w:sz w:val="20"/>
          <w:szCs w:val="20"/>
        </w:rPr>
        <w:t>518052, Guangdong Province, China</w:t>
      </w:r>
    </w:p>
    <w:p w:rsidR="001A61BA" w:rsidRPr="000C6C65" w:rsidRDefault="001A61BA" w:rsidP="000C6C65">
      <w:pPr>
        <w:widowControl w:val="0"/>
        <w:snapToGrid w:val="0"/>
        <w:spacing w:line="360" w:lineRule="auto"/>
        <w:jc w:val="both"/>
        <w:rPr>
          <w:rFonts w:ascii="Book Antiqua" w:eastAsia="BaskervilleNo2BT-Roman" w:hAnsi="Book Antiqua" w:cs="Times New Roman"/>
          <w:sz w:val="20"/>
          <w:szCs w:val="20"/>
        </w:rPr>
      </w:pPr>
    </w:p>
    <w:p w:rsidR="00CD7096" w:rsidRPr="000C6C65" w:rsidRDefault="00CD7096"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hAnsi="Book Antiqua"/>
          <w:b/>
          <w:sz w:val="20"/>
          <w:szCs w:val="20"/>
        </w:rPr>
        <w:t>Author contributions:</w:t>
      </w:r>
      <w:r w:rsidRPr="000C6C65">
        <w:rPr>
          <w:rFonts w:ascii="Book Antiqua" w:eastAsia="BaskervilleNo2BT-Roman" w:hAnsi="Book Antiqua" w:cs="Times New Roman"/>
          <w:b/>
          <w:bCs/>
          <w:sz w:val="20"/>
          <w:szCs w:val="20"/>
        </w:rPr>
        <w:t xml:space="preserve"> </w:t>
      </w:r>
      <w:r w:rsidRPr="000C6C65">
        <w:rPr>
          <w:rFonts w:ascii="Book Antiqua" w:eastAsia="BaskervilleNo2BT-Roman" w:hAnsi="Book Antiqua" w:cs="Times New Roman"/>
          <w:sz w:val="20"/>
          <w:szCs w:val="20"/>
        </w:rPr>
        <w:t xml:space="preserve">Zhang HD conceived and designed the study; Kang LL and Liu ZL wrote the manuscript; Kang LL and Liu ZL contributed equally to this study; </w:t>
      </w:r>
      <w:r w:rsidR="00AE552B">
        <w:rPr>
          <w:rFonts w:ascii="Book Antiqua" w:eastAsia="BaskervilleNo2BT-Roman" w:hAnsi="Book Antiqua" w:cs="Times New Roman"/>
          <w:sz w:val="20"/>
          <w:szCs w:val="20"/>
        </w:rPr>
        <w:t>a</w:t>
      </w:r>
      <w:r w:rsidRPr="000C6C65">
        <w:rPr>
          <w:rFonts w:ascii="Book Antiqua" w:eastAsia="BaskervilleNo2BT-Roman" w:hAnsi="Book Antiqua" w:cs="Times New Roman"/>
          <w:sz w:val="20"/>
          <w:szCs w:val="20"/>
        </w:rPr>
        <w:t>ll authors read and approved the final manuscript.</w:t>
      </w:r>
    </w:p>
    <w:p w:rsidR="00CD7096" w:rsidRPr="000C6C65" w:rsidRDefault="00CD7096" w:rsidP="000C6C65">
      <w:pPr>
        <w:widowControl w:val="0"/>
        <w:snapToGrid w:val="0"/>
        <w:spacing w:line="360" w:lineRule="auto"/>
        <w:jc w:val="both"/>
        <w:rPr>
          <w:rFonts w:ascii="Book Antiqua" w:eastAsia="BaskervilleNo2BT-Roman" w:hAnsi="Book Antiqua" w:cs="Times New Roman"/>
          <w:b/>
          <w:bCs/>
          <w:sz w:val="20"/>
          <w:szCs w:val="20"/>
        </w:rPr>
      </w:pPr>
    </w:p>
    <w:p w:rsidR="001A61BA" w:rsidRPr="000C6C65" w:rsidRDefault="00CD7096"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hAnsi="Book Antiqua" w:cs="等线"/>
          <w:b/>
          <w:sz w:val="20"/>
          <w:szCs w:val="20"/>
        </w:rPr>
        <w:t xml:space="preserve">Corresponding author: </w:t>
      </w:r>
      <w:r w:rsidR="001A61BA" w:rsidRPr="000C6C65">
        <w:rPr>
          <w:rFonts w:ascii="Book Antiqua" w:eastAsia="BaskervilleNo2BT-Roman" w:hAnsi="Book Antiqua" w:cs="Times New Roman"/>
          <w:b/>
          <w:bCs/>
          <w:sz w:val="20"/>
          <w:szCs w:val="20"/>
        </w:rPr>
        <w:t>Hou-De Zhang, MD,</w:t>
      </w:r>
      <w:r w:rsidR="00980292" w:rsidRPr="000C6C65">
        <w:rPr>
          <w:sz w:val="20"/>
          <w:szCs w:val="20"/>
        </w:rPr>
        <w:t xml:space="preserve"> </w:t>
      </w:r>
      <w:r w:rsidR="00980292" w:rsidRPr="000C6C65">
        <w:rPr>
          <w:rFonts w:ascii="Book Antiqua" w:eastAsia="BaskervilleNo2BT-Roman" w:hAnsi="Book Antiqua" w:cs="Times New Roman"/>
          <w:b/>
          <w:bCs/>
          <w:sz w:val="20"/>
          <w:szCs w:val="20"/>
        </w:rPr>
        <w:t>Professor,</w:t>
      </w:r>
      <w:r w:rsidR="001A61BA" w:rsidRPr="000C6C65">
        <w:rPr>
          <w:rFonts w:ascii="Book Antiqua" w:eastAsia="BaskervilleNo2BT-Roman" w:hAnsi="Book Antiqua" w:cs="Times New Roman"/>
          <w:sz w:val="20"/>
          <w:szCs w:val="20"/>
        </w:rPr>
        <w:t xml:space="preserve"> Department of Gastroenterology, Nanshan Hospital, Guangdong Medical University, </w:t>
      </w:r>
      <w:r w:rsidRPr="000C6C65">
        <w:rPr>
          <w:rFonts w:ascii="Book Antiqua" w:eastAsia="BaskervilleNo2BT-Roman" w:hAnsi="Book Antiqua" w:cs="Times New Roman"/>
          <w:sz w:val="20"/>
          <w:szCs w:val="20"/>
        </w:rPr>
        <w:t>89 Taoyuan Road, Nanshan District, Shenzhen</w:t>
      </w:r>
      <w:r w:rsidRPr="000C6C65">
        <w:rPr>
          <w:sz w:val="20"/>
          <w:szCs w:val="20"/>
        </w:rPr>
        <w:t xml:space="preserve"> </w:t>
      </w:r>
      <w:r w:rsidRPr="000C6C65">
        <w:rPr>
          <w:rFonts w:ascii="Book Antiqua" w:eastAsia="BaskervilleNo2BT-Roman" w:hAnsi="Book Antiqua" w:cs="Times New Roman"/>
          <w:sz w:val="20"/>
          <w:szCs w:val="20"/>
        </w:rPr>
        <w:t xml:space="preserve">518052, Guangdong Province, China. </w:t>
      </w:r>
      <w:r w:rsidR="001A61BA" w:rsidRPr="00105B1B">
        <w:rPr>
          <w:rFonts w:ascii="Book Antiqua" w:eastAsia="BaskervilleNo2BT-Roman" w:hAnsi="Book Antiqua" w:cs="Times New Roman"/>
          <w:sz w:val="20"/>
          <w:szCs w:val="20"/>
        </w:rPr>
        <w:t>szkjk@126.com</w:t>
      </w:r>
    </w:p>
    <w:p w:rsidR="001A61BA" w:rsidRPr="000C6C65" w:rsidRDefault="001A61BA" w:rsidP="000C6C65">
      <w:pPr>
        <w:widowControl w:val="0"/>
        <w:snapToGrid w:val="0"/>
        <w:spacing w:line="360" w:lineRule="auto"/>
        <w:jc w:val="both"/>
        <w:rPr>
          <w:rFonts w:ascii="Book Antiqua" w:eastAsia="BaskervilleNo2BT-Roman" w:hAnsi="Book Antiqua" w:cs="Times New Roman"/>
          <w:sz w:val="20"/>
          <w:szCs w:val="20"/>
        </w:rPr>
      </w:pPr>
    </w:p>
    <w:p w:rsidR="00CD7096" w:rsidRPr="000C6C65" w:rsidRDefault="00CD7096" w:rsidP="000C6C65">
      <w:pPr>
        <w:snapToGrid w:val="0"/>
        <w:spacing w:line="360" w:lineRule="auto"/>
        <w:jc w:val="both"/>
        <w:rPr>
          <w:rFonts w:ascii="Book Antiqua" w:hAnsi="Book Antiqua"/>
          <w:b/>
          <w:sz w:val="20"/>
          <w:szCs w:val="20"/>
        </w:rPr>
      </w:pPr>
      <w:r w:rsidRPr="000C6C65">
        <w:rPr>
          <w:rFonts w:ascii="Book Antiqua" w:hAnsi="Book Antiqua"/>
          <w:b/>
          <w:sz w:val="20"/>
          <w:szCs w:val="20"/>
        </w:rPr>
        <w:t xml:space="preserve">Received: </w:t>
      </w:r>
      <w:r w:rsidRPr="000C6C65">
        <w:rPr>
          <w:rFonts w:ascii="Book Antiqua" w:hAnsi="Book Antiqua"/>
          <w:sz w:val="20"/>
          <w:szCs w:val="20"/>
        </w:rPr>
        <w:t>February 10, 2020</w:t>
      </w:r>
    </w:p>
    <w:p w:rsidR="00CD7096" w:rsidRPr="000C6C65" w:rsidRDefault="00CD7096" w:rsidP="000C6C65">
      <w:pPr>
        <w:snapToGrid w:val="0"/>
        <w:spacing w:line="360" w:lineRule="auto"/>
        <w:jc w:val="both"/>
        <w:rPr>
          <w:rFonts w:ascii="Book Antiqua" w:hAnsi="Book Antiqua"/>
          <w:b/>
          <w:sz w:val="20"/>
          <w:szCs w:val="20"/>
        </w:rPr>
      </w:pPr>
      <w:r w:rsidRPr="000C6C65">
        <w:rPr>
          <w:rFonts w:ascii="Book Antiqua" w:hAnsi="Book Antiqua"/>
          <w:b/>
          <w:sz w:val="20"/>
          <w:szCs w:val="20"/>
        </w:rPr>
        <w:t xml:space="preserve">Revised: </w:t>
      </w:r>
      <w:r w:rsidRPr="000C6C65">
        <w:rPr>
          <w:rFonts w:ascii="Book Antiqua" w:hAnsi="Book Antiqua"/>
          <w:sz w:val="20"/>
          <w:szCs w:val="20"/>
        </w:rPr>
        <w:t>March 26, 2020</w:t>
      </w:r>
    </w:p>
    <w:p w:rsidR="00CD7096" w:rsidRPr="000C6C65" w:rsidRDefault="00CD7096" w:rsidP="000C6C65">
      <w:pPr>
        <w:snapToGrid w:val="0"/>
        <w:spacing w:line="360" w:lineRule="auto"/>
        <w:jc w:val="both"/>
        <w:rPr>
          <w:rFonts w:ascii="Book Antiqua" w:hAnsi="Book Antiqua"/>
          <w:b/>
          <w:sz w:val="20"/>
          <w:szCs w:val="20"/>
        </w:rPr>
      </w:pPr>
      <w:r w:rsidRPr="000C6C65">
        <w:rPr>
          <w:rFonts w:ascii="Book Antiqua" w:hAnsi="Book Antiqua"/>
          <w:b/>
          <w:sz w:val="20"/>
          <w:szCs w:val="20"/>
        </w:rPr>
        <w:t>Accepted:</w:t>
      </w:r>
      <w:r w:rsidR="00135DEC" w:rsidRPr="000C6C65">
        <w:rPr>
          <w:sz w:val="20"/>
          <w:szCs w:val="20"/>
        </w:rPr>
        <w:t xml:space="preserve"> </w:t>
      </w:r>
      <w:r w:rsidR="00135DEC" w:rsidRPr="000C6C65">
        <w:rPr>
          <w:rFonts w:ascii="Book Antiqua" w:hAnsi="Book Antiqua"/>
          <w:bCs/>
          <w:sz w:val="20"/>
          <w:szCs w:val="20"/>
        </w:rPr>
        <w:t>April 17, 2020</w:t>
      </w:r>
    </w:p>
    <w:p w:rsidR="001A61BA" w:rsidRPr="000C6C65" w:rsidRDefault="00CD7096" w:rsidP="000C6C65">
      <w:pPr>
        <w:snapToGrid w:val="0"/>
        <w:spacing w:line="360" w:lineRule="auto"/>
        <w:jc w:val="both"/>
        <w:rPr>
          <w:rFonts w:ascii="Book Antiqua" w:hAnsi="Book Antiqua"/>
          <w:b/>
          <w:sz w:val="20"/>
          <w:szCs w:val="20"/>
        </w:rPr>
      </w:pPr>
      <w:r w:rsidRPr="000C6C65">
        <w:rPr>
          <w:rFonts w:ascii="Book Antiqua" w:hAnsi="Book Antiqua"/>
          <w:b/>
          <w:sz w:val="20"/>
          <w:szCs w:val="20"/>
        </w:rPr>
        <w:t xml:space="preserve">Published online: </w:t>
      </w:r>
      <w:r w:rsidR="00157081" w:rsidRPr="00157081">
        <w:rPr>
          <w:rFonts w:ascii="Book Antiqua" w:hAnsi="Book Antiqua" w:hint="eastAsia"/>
          <w:sz w:val="20"/>
          <w:szCs w:val="20"/>
        </w:rPr>
        <w:t>May 26, 2020</w:t>
      </w:r>
    </w:p>
    <w:p w:rsidR="00CD7096" w:rsidRPr="000C6C65" w:rsidRDefault="001A61BA" w:rsidP="000C6C65">
      <w:pPr>
        <w:autoSpaceDE w:val="0"/>
        <w:autoSpaceDN w:val="0"/>
        <w:adjustRightInd w:val="0"/>
        <w:snapToGrid w:val="0"/>
        <w:spacing w:line="360" w:lineRule="auto"/>
        <w:jc w:val="both"/>
        <w:rPr>
          <w:rFonts w:ascii="Book Antiqua" w:hAnsi="Book Antiqua" w:cs="等线"/>
          <w:b/>
          <w:sz w:val="20"/>
          <w:szCs w:val="20"/>
        </w:rPr>
      </w:pPr>
      <w:r w:rsidRPr="000C6C65">
        <w:rPr>
          <w:rFonts w:ascii="Book Antiqua" w:eastAsia="微软雅黑" w:hAnsi="Book Antiqua" w:cs="Times New Roman"/>
          <w:b/>
          <w:bCs/>
          <w:color w:val="000000"/>
          <w:sz w:val="20"/>
          <w:szCs w:val="20"/>
        </w:rPr>
        <w:br w:type="page"/>
      </w:r>
      <w:r w:rsidR="00CD7096" w:rsidRPr="000C6C65">
        <w:rPr>
          <w:rFonts w:ascii="Book Antiqua" w:hAnsi="Book Antiqua" w:cs="等线"/>
          <w:b/>
          <w:sz w:val="20"/>
          <w:szCs w:val="20"/>
        </w:rPr>
        <w:lastRenderedPageBreak/>
        <w:t>Abstract</w:t>
      </w:r>
    </w:p>
    <w:p w:rsidR="00CD7096" w:rsidRPr="000C6C65" w:rsidRDefault="00CD7096" w:rsidP="000C6C65">
      <w:pPr>
        <w:autoSpaceDE w:val="0"/>
        <w:autoSpaceDN w:val="0"/>
        <w:adjustRightInd w:val="0"/>
        <w:snapToGrid w:val="0"/>
        <w:spacing w:line="360" w:lineRule="auto"/>
        <w:jc w:val="both"/>
        <w:rPr>
          <w:rFonts w:ascii="Book Antiqua" w:hAnsi="Book Antiqua" w:cs="等线"/>
          <w:sz w:val="20"/>
          <w:szCs w:val="20"/>
        </w:rPr>
      </w:pPr>
      <w:r w:rsidRPr="000C6C65">
        <w:rPr>
          <w:rFonts w:ascii="Book Antiqua" w:hAnsi="Book Antiqua" w:cs="等线"/>
          <w:sz w:val="20"/>
          <w:szCs w:val="20"/>
        </w:rPr>
        <w:t>BACKGROUND</w:t>
      </w:r>
    </w:p>
    <w:p w:rsidR="001A61BA" w:rsidRPr="000C6C65" w:rsidRDefault="001A61BA" w:rsidP="000C6C65">
      <w:pPr>
        <w:snapToGrid w:val="0"/>
        <w:spacing w:line="360" w:lineRule="auto"/>
        <w:jc w:val="both"/>
        <w:rPr>
          <w:rFonts w:ascii="Book Antiqua" w:eastAsia="BaskervilleNo2BT-Roman" w:hAnsi="Book Antiqua" w:cs="Times New Roman"/>
          <w:sz w:val="20"/>
          <w:szCs w:val="20"/>
        </w:rPr>
      </w:pPr>
      <w:r w:rsidRPr="000C6C65">
        <w:rPr>
          <w:rFonts w:ascii="Book Antiqua" w:eastAsia="BaskervilleNo2BT-Roman" w:hAnsi="Book Antiqua" w:cs="Times New Roman"/>
          <w:sz w:val="20"/>
          <w:szCs w:val="20"/>
        </w:rPr>
        <w:t xml:space="preserve">Both Gilbert's syndrome (GS) and hereditary spherocytosis (HS) are common genetic disorders. However, comorbidity of GS with HS has always been considered a rare phenomenon, </w:t>
      </w:r>
      <w:r w:rsidR="00A61CD5" w:rsidRPr="000C6C65">
        <w:rPr>
          <w:rFonts w:ascii="Book Antiqua" w:eastAsia="BaskervilleNo2BT-Roman" w:hAnsi="Book Antiqua" w:cs="Times New Roman"/>
          <w:sz w:val="20"/>
          <w:szCs w:val="20"/>
        </w:rPr>
        <w:t xml:space="preserve">and it </w:t>
      </w:r>
      <w:r w:rsidRPr="000C6C65">
        <w:rPr>
          <w:rFonts w:ascii="Book Antiqua" w:eastAsia="BaskervilleNo2BT-Roman" w:hAnsi="Book Antiqua" w:cs="Times New Roman"/>
          <w:sz w:val="20"/>
          <w:szCs w:val="20"/>
        </w:rPr>
        <w:t>can impede accurate diagnoses in the presence of isolated unconjugated hyperbilirubinemia.</w:t>
      </w:r>
    </w:p>
    <w:p w:rsidR="00CD7096" w:rsidRPr="000C6C65" w:rsidRDefault="00CD7096" w:rsidP="000C6C65">
      <w:pPr>
        <w:snapToGrid w:val="0"/>
        <w:spacing w:line="360" w:lineRule="auto"/>
        <w:jc w:val="both"/>
        <w:rPr>
          <w:rFonts w:ascii="Book Antiqua" w:eastAsia="BaskervilleNo2BT-Roman" w:hAnsi="Book Antiqua" w:cs="Times New Roman"/>
          <w:sz w:val="20"/>
          <w:szCs w:val="20"/>
        </w:rPr>
      </w:pPr>
    </w:p>
    <w:p w:rsidR="00CD7096" w:rsidRPr="000C6C65" w:rsidRDefault="00CD7096" w:rsidP="000C6C65">
      <w:pPr>
        <w:autoSpaceDE w:val="0"/>
        <w:autoSpaceDN w:val="0"/>
        <w:adjustRightInd w:val="0"/>
        <w:snapToGrid w:val="0"/>
        <w:spacing w:line="360" w:lineRule="auto"/>
        <w:jc w:val="both"/>
        <w:rPr>
          <w:rFonts w:ascii="Book Antiqua" w:hAnsi="Book Antiqua" w:cs="等线"/>
          <w:sz w:val="20"/>
          <w:szCs w:val="20"/>
        </w:rPr>
      </w:pPr>
      <w:r w:rsidRPr="000C6C65">
        <w:rPr>
          <w:rFonts w:ascii="Book Antiqua" w:hAnsi="Book Antiqua" w:cs="等线"/>
          <w:sz w:val="20"/>
          <w:szCs w:val="20"/>
        </w:rPr>
        <w:t>CASE SUMMARY</w:t>
      </w:r>
    </w:p>
    <w:p w:rsidR="001A61BA" w:rsidRPr="000C6C65" w:rsidRDefault="001A61BA"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BaskervilleNo2BT-Roman" w:hAnsi="Book Antiqua" w:cs="Times New Roman"/>
          <w:sz w:val="20"/>
          <w:szCs w:val="20"/>
        </w:rPr>
        <w:t>In a study on Levitt</w:t>
      </w:r>
      <w:r w:rsidR="00CD7096"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rPr>
        <w:t xml:space="preserve">s </w:t>
      </w:r>
      <w:r w:rsidR="00A61CD5" w:rsidRPr="000C6C65">
        <w:rPr>
          <w:rFonts w:ascii="Book Antiqua" w:eastAsia="BaskervilleNo2BT-Roman" w:hAnsi="Book Antiqua" w:cs="Times New Roman"/>
          <w:sz w:val="20"/>
          <w:szCs w:val="20"/>
        </w:rPr>
        <w:t xml:space="preserve">carbon monoxide (CO) </w:t>
      </w:r>
      <w:r w:rsidRPr="000C6C65">
        <w:rPr>
          <w:rFonts w:ascii="Book Antiqua" w:eastAsia="BaskervilleNo2BT-Roman" w:hAnsi="Book Antiqua" w:cs="Times New Roman"/>
          <w:sz w:val="20"/>
          <w:szCs w:val="20"/>
        </w:rPr>
        <w:t xml:space="preserve">breath test for the differential diagnosis of isolated hyperbilirubinemia, we found six GS patients with HS in </w:t>
      </w:r>
      <w:r w:rsidR="00A61CD5" w:rsidRPr="000C6C65">
        <w:rPr>
          <w:rFonts w:ascii="Book Antiqua" w:eastAsia="BaskervilleNo2BT-Roman" w:hAnsi="Book Antiqua" w:cs="Times New Roman"/>
          <w:sz w:val="20"/>
          <w:szCs w:val="20"/>
        </w:rPr>
        <w:t xml:space="preserve">6 </w:t>
      </w:r>
      <w:r w:rsidRPr="000C6C65">
        <w:rPr>
          <w:rFonts w:ascii="Book Antiqua" w:eastAsia="BaskervilleNo2BT-Roman" w:hAnsi="Book Antiqua" w:cs="Times New Roman"/>
          <w:sz w:val="20"/>
          <w:szCs w:val="20"/>
        </w:rPr>
        <w:t>mo. The patients, including five males and one female, aged 25</w:t>
      </w:r>
      <w:r w:rsidR="00CD7096"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rPr>
        <w:t xml:space="preserve">58 years, were from four families and generally in good health. Their chronic fluctuating jaundice and/or hyperbilirubinemia had </w:t>
      </w:r>
      <w:r w:rsidR="00A61CD5" w:rsidRPr="000C6C65">
        <w:rPr>
          <w:rFonts w:ascii="Book Antiqua" w:eastAsia="BaskervilleNo2BT-Roman" w:hAnsi="Book Antiqua" w:cs="Times New Roman"/>
          <w:sz w:val="20"/>
          <w:szCs w:val="20"/>
        </w:rPr>
        <w:t>been</w:t>
      </w:r>
      <w:r w:rsidRPr="000C6C65">
        <w:rPr>
          <w:rFonts w:ascii="Book Antiqua" w:eastAsia="BaskervilleNo2BT-Roman" w:hAnsi="Book Antiqua" w:cs="Times New Roman"/>
          <w:sz w:val="20"/>
          <w:szCs w:val="20"/>
        </w:rPr>
        <w:t xml:space="preserve"> diagnosed as simple constitutional jaundice for 6</w:t>
      </w:r>
      <w:r w:rsidR="00CD7096"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rPr>
        <w:t>30 years. Liver function tests showed isolated unconjugated hyperbilirubinemia with serum total bilirubin ranging from 20.7</w:t>
      </w:r>
      <w:r w:rsidR="00CD7096"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rPr>
        <w:t xml:space="preserve">75.4 μmol/L. Blood hemoglobin was normal in </w:t>
      </w:r>
      <w:r w:rsidR="00A61CD5" w:rsidRPr="000C6C65">
        <w:rPr>
          <w:rFonts w:ascii="Book Antiqua" w:eastAsia="BaskervilleNo2BT-Roman" w:hAnsi="Book Antiqua" w:cs="Times New Roman"/>
          <w:sz w:val="20"/>
          <w:szCs w:val="20"/>
        </w:rPr>
        <w:t>five</w:t>
      </w:r>
      <w:r w:rsidRPr="000C6C65">
        <w:rPr>
          <w:rFonts w:ascii="Book Antiqua" w:eastAsia="BaskervilleNo2BT-Roman" w:hAnsi="Book Antiqua" w:cs="Times New Roman"/>
          <w:sz w:val="20"/>
          <w:szCs w:val="20"/>
        </w:rPr>
        <w:t xml:space="preserve"> cases, and slightly decreased in one (11.5</w:t>
      </w:r>
      <w:r w:rsidR="00CD7096" w:rsidRPr="000C6C65">
        <w:rPr>
          <w:rFonts w:ascii="Book Antiqua" w:eastAsia="BaskervilleNo2BT-Roman" w:hAnsi="Book Antiqua" w:cs="Times New Roman"/>
          <w:sz w:val="20"/>
          <w:szCs w:val="20"/>
        </w:rPr>
        <w:t xml:space="preserve"> </w:t>
      </w:r>
      <w:r w:rsidRPr="000C6C65">
        <w:rPr>
          <w:rFonts w:ascii="Book Antiqua" w:eastAsia="BaskervilleNo2BT-Roman" w:hAnsi="Book Antiqua" w:cs="Times New Roman"/>
          <w:sz w:val="20"/>
          <w:szCs w:val="20"/>
        </w:rPr>
        <w:t xml:space="preserve">g/dL). Overt hemolytic signs were absent, while </w:t>
      </w:r>
      <w:r w:rsidR="00BA3A97" w:rsidRPr="000C6C65">
        <w:rPr>
          <w:rFonts w:ascii="Book Antiqua" w:eastAsia="BaskervilleNo2BT-Roman" w:hAnsi="Book Antiqua" w:cs="Times New Roman"/>
          <w:sz w:val="20"/>
          <w:szCs w:val="20"/>
        </w:rPr>
        <w:t xml:space="preserve">erythrocyte </w:t>
      </w:r>
      <w:r w:rsidRPr="000C6C65">
        <w:rPr>
          <w:rFonts w:ascii="Book Antiqua" w:eastAsia="BaskervilleNo2BT-Roman" w:hAnsi="Book Antiqua" w:cs="Times New Roman"/>
          <w:sz w:val="20"/>
          <w:szCs w:val="20"/>
        </w:rPr>
        <w:t>lifespan determined by the newly developed Levitt</w:t>
      </w:r>
      <w:r w:rsidR="00CD7096"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rPr>
        <w:t>s CO breath test was significantly short (15</w:t>
      </w:r>
      <w:r w:rsidR="00CD7096"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rPr>
        <w:t xml:space="preserve">50 d), definitely demonstrating the presence of hemolysis. Given </w:t>
      </w:r>
      <w:r w:rsidR="00A61CD5" w:rsidRPr="000C6C65">
        <w:rPr>
          <w:rFonts w:ascii="Book Antiqua" w:eastAsia="BaskervilleNo2BT-Roman" w:hAnsi="Book Antiqua" w:cs="Times New Roman"/>
          <w:sz w:val="20"/>
          <w:szCs w:val="20"/>
        </w:rPr>
        <w:t xml:space="preserve">that </w:t>
      </w:r>
      <w:r w:rsidRPr="000C6C65">
        <w:rPr>
          <w:rFonts w:ascii="Book Antiqua" w:eastAsia="BaskervilleNo2BT-Roman" w:hAnsi="Book Antiqua" w:cs="Times New Roman"/>
          <w:sz w:val="20"/>
          <w:szCs w:val="20"/>
        </w:rPr>
        <w:t>their unconjugated hyperbilirubinemia compared inappropriately with hemolytic severity</w:t>
      </w:r>
      <w:r w:rsidR="00A61CD5" w:rsidRPr="000C6C65">
        <w:rPr>
          <w:rFonts w:ascii="Book Antiqua" w:eastAsia="BaskervilleNo2BT-Roman" w:hAnsi="Book Antiqua" w:cs="Times New Roman"/>
          <w:sz w:val="20"/>
          <w:szCs w:val="20"/>
        </w:rPr>
        <w:t>, as</w:t>
      </w:r>
      <w:r w:rsidRPr="000C6C65">
        <w:rPr>
          <w:rFonts w:ascii="Book Antiqua" w:eastAsia="BaskervilleNo2BT-Roman" w:hAnsi="Book Antiqua" w:cs="Times New Roman"/>
          <w:sz w:val="20"/>
          <w:szCs w:val="20"/>
        </w:rPr>
        <w:t xml:space="preserve"> indicated by the hemoglobin level, further combined genetic tests for both </w:t>
      </w:r>
      <w:r w:rsidRPr="000C6C65">
        <w:rPr>
          <w:rFonts w:ascii="Book Antiqua" w:eastAsia="BaskervilleNo2BT-Roman" w:hAnsi="Book Antiqua" w:cs="Times New Roman"/>
          <w:i/>
          <w:iCs/>
          <w:sz w:val="20"/>
          <w:szCs w:val="20"/>
        </w:rPr>
        <w:t>UGT1A1</w:t>
      </w:r>
      <w:r w:rsidRPr="000C6C65">
        <w:rPr>
          <w:rFonts w:ascii="Book Antiqua" w:eastAsia="BaskervilleNo2BT-Roman" w:hAnsi="Book Antiqua" w:cs="Times New Roman"/>
          <w:sz w:val="20"/>
          <w:szCs w:val="20"/>
        </w:rPr>
        <w:t xml:space="preserve"> and hereditary </w:t>
      </w:r>
      <w:r w:rsidR="00BA3A97" w:rsidRPr="000C6C65">
        <w:rPr>
          <w:rFonts w:ascii="Book Antiqua" w:eastAsia="BaskervilleNo2BT-Roman" w:hAnsi="Book Antiqua" w:cs="Times New Roman"/>
          <w:sz w:val="20"/>
          <w:szCs w:val="20"/>
        </w:rPr>
        <w:t xml:space="preserve">erythrocyte </w:t>
      </w:r>
      <w:r w:rsidRPr="000C6C65">
        <w:rPr>
          <w:rFonts w:ascii="Book Antiqua" w:eastAsia="BaskervilleNo2BT-Roman" w:hAnsi="Book Antiqua" w:cs="Times New Roman"/>
          <w:sz w:val="20"/>
          <w:szCs w:val="20"/>
        </w:rPr>
        <w:t>deficiencies were conducted</w:t>
      </w:r>
      <w:r w:rsidR="00A61CD5" w:rsidRPr="000C6C65">
        <w:rPr>
          <w:rFonts w:ascii="Book Antiqua" w:eastAsia="BaskervilleNo2BT-Roman" w:hAnsi="Book Antiqua" w:cs="Times New Roman"/>
          <w:sz w:val="20"/>
          <w:szCs w:val="20"/>
        </w:rPr>
        <w:t>. These tests confirmed, at last, the coexistence</w:t>
      </w:r>
      <w:r w:rsidRPr="000C6C65">
        <w:rPr>
          <w:rFonts w:ascii="Book Antiqua" w:eastAsia="BaskervilleNo2BT-Roman" w:hAnsi="Book Antiqua" w:cs="Times New Roman"/>
          <w:sz w:val="20"/>
          <w:szCs w:val="20"/>
        </w:rPr>
        <w:t xml:space="preserve"> of GS with HS.</w:t>
      </w:r>
    </w:p>
    <w:p w:rsidR="00CD7096" w:rsidRPr="000C6C65" w:rsidRDefault="00CD7096" w:rsidP="000C6C65">
      <w:pPr>
        <w:widowControl w:val="0"/>
        <w:snapToGrid w:val="0"/>
        <w:spacing w:line="360" w:lineRule="auto"/>
        <w:jc w:val="both"/>
        <w:rPr>
          <w:rFonts w:ascii="Book Antiqua" w:eastAsia="BaskervilleNo2BT-Roman" w:hAnsi="Book Antiqua" w:cs="Times New Roman"/>
          <w:sz w:val="20"/>
          <w:szCs w:val="20"/>
        </w:rPr>
      </w:pPr>
    </w:p>
    <w:p w:rsidR="00CD7096" w:rsidRPr="000C6C65" w:rsidRDefault="00CD7096" w:rsidP="000C6C65">
      <w:pPr>
        <w:snapToGrid w:val="0"/>
        <w:spacing w:line="360" w:lineRule="auto"/>
        <w:jc w:val="both"/>
        <w:rPr>
          <w:rFonts w:ascii="Book Antiqua" w:hAnsi="Book Antiqua" w:cs="等线"/>
          <w:sz w:val="20"/>
          <w:szCs w:val="20"/>
        </w:rPr>
      </w:pPr>
      <w:r w:rsidRPr="000C6C65">
        <w:rPr>
          <w:rFonts w:ascii="Book Antiqua" w:hAnsi="Book Antiqua" w:cs="等线"/>
          <w:sz w:val="20"/>
          <w:szCs w:val="20"/>
        </w:rPr>
        <w:t>CONCLUSION</w:t>
      </w:r>
    </w:p>
    <w:p w:rsidR="001A61BA" w:rsidRPr="000C6C65" w:rsidRDefault="001A61BA"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BaskervilleNo2BT-Roman" w:hAnsi="Book Antiqua" w:cs="Times New Roman"/>
          <w:sz w:val="20"/>
          <w:szCs w:val="20"/>
        </w:rPr>
        <w:t>Comorbidity of GS and HS might not be uncommon in isolated unconjugated hyperbilirubinemia. While CO breath test would sensitively detect the hemolysis, the discordance between the hyperbilirubinemia and hemoglobin level could strongly indicate the coexist</w:t>
      </w:r>
      <w:r w:rsidR="009168C1" w:rsidRPr="000C6C65">
        <w:rPr>
          <w:rFonts w:ascii="Book Antiqua" w:eastAsia="BaskervilleNo2BT-Roman" w:hAnsi="Book Antiqua" w:cs="Times New Roman"/>
          <w:sz w:val="20"/>
          <w:szCs w:val="20"/>
        </w:rPr>
        <w:t>ence of GS and HS</w:t>
      </w:r>
      <w:r w:rsidRPr="000C6C65">
        <w:rPr>
          <w:rFonts w:ascii="Book Antiqua" w:eastAsia="BaskervilleNo2BT-Roman" w:hAnsi="Book Antiqua" w:cs="Times New Roman"/>
          <w:sz w:val="20"/>
          <w:szCs w:val="20"/>
        </w:rPr>
        <w:t>.</w:t>
      </w:r>
    </w:p>
    <w:p w:rsidR="001A61BA" w:rsidRPr="000C6C65" w:rsidRDefault="001A61BA" w:rsidP="000C6C65">
      <w:pPr>
        <w:snapToGrid w:val="0"/>
        <w:spacing w:line="360" w:lineRule="auto"/>
        <w:jc w:val="both"/>
        <w:rPr>
          <w:rFonts w:ascii="Book Antiqua" w:eastAsia="微软雅黑" w:hAnsi="Book Antiqua" w:cs="Times New Roman"/>
          <w:color w:val="000000"/>
          <w:sz w:val="20"/>
          <w:szCs w:val="20"/>
        </w:rPr>
      </w:pPr>
    </w:p>
    <w:p w:rsidR="001A61BA" w:rsidRPr="000C6C65" w:rsidRDefault="00CD7096"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hAnsi="Book Antiqua" w:cs="等线"/>
          <w:b/>
          <w:sz w:val="20"/>
          <w:szCs w:val="20"/>
        </w:rPr>
        <w:t xml:space="preserve">Key words: </w:t>
      </w:r>
      <w:r w:rsidR="001A61BA" w:rsidRPr="000C6C65">
        <w:rPr>
          <w:rFonts w:ascii="Book Antiqua" w:eastAsia="BaskervilleNo2BT-Roman" w:hAnsi="Book Antiqua" w:cs="Times New Roman"/>
          <w:sz w:val="20"/>
          <w:szCs w:val="20"/>
        </w:rPr>
        <w:t>Gilbert’s syndrome; Hereditary spherocytosis; Unconjugated hyperbilirubinemia; Erythrocyte lifespan; Levitt</w:t>
      </w:r>
      <w:r w:rsidRPr="000C6C65">
        <w:rPr>
          <w:rFonts w:ascii="Book Antiqua" w:eastAsia="BaskervilleNo2BT-Roman" w:hAnsi="Book Antiqua" w:cs="Times New Roman"/>
          <w:sz w:val="20"/>
          <w:szCs w:val="20"/>
        </w:rPr>
        <w:t>’</w:t>
      </w:r>
      <w:r w:rsidR="001A61BA" w:rsidRPr="000C6C65">
        <w:rPr>
          <w:rFonts w:ascii="Book Antiqua" w:eastAsia="BaskervilleNo2BT-Roman" w:hAnsi="Book Antiqua" w:cs="Times New Roman"/>
          <w:sz w:val="20"/>
          <w:szCs w:val="20"/>
        </w:rPr>
        <w:t>s CO breath test; Case report</w:t>
      </w:r>
    </w:p>
    <w:p w:rsidR="001A61BA" w:rsidRPr="000C6C65" w:rsidRDefault="001A61BA" w:rsidP="000C6C65">
      <w:pPr>
        <w:widowControl w:val="0"/>
        <w:snapToGrid w:val="0"/>
        <w:spacing w:line="360" w:lineRule="auto"/>
        <w:jc w:val="both"/>
        <w:rPr>
          <w:rFonts w:ascii="Book Antiqua" w:eastAsia="BaskervilleNo2BT-Roman" w:hAnsi="Book Antiqua" w:cs="Times New Roman"/>
          <w:sz w:val="20"/>
          <w:szCs w:val="20"/>
        </w:rPr>
      </w:pPr>
    </w:p>
    <w:p w:rsidR="00C46787" w:rsidRDefault="00C46787" w:rsidP="000C6C65">
      <w:pPr>
        <w:adjustRightInd w:val="0"/>
        <w:snapToGrid w:val="0"/>
        <w:spacing w:line="360" w:lineRule="auto"/>
        <w:jc w:val="both"/>
        <w:rPr>
          <w:rFonts w:ascii="Book Antiqua" w:hAnsi="Book Antiqua" w:hint="eastAsia"/>
          <w:iCs/>
          <w:sz w:val="20"/>
          <w:szCs w:val="20"/>
        </w:rPr>
      </w:pPr>
      <w:r w:rsidRPr="00C46787">
        <w:rPr>
          <w:rFonts w:ascii="Book Antiqua" w:eastAsia="BaskervilleNo2BT-Roman" w:hAnsi="Book Antiqua" w:cs="Times New Roman"/>
          <w:b/>
          <w:sz w:val="20"/>
          <w:szCs w:val="20"/>
        </w:rPr>
        <w:t>Citation</w:t>
      </w:r>
      <w:r w:rsidRPr="00C46787">
        <w:rPr>
          <w:rFonts w:ascii="Book Antiqua" w:eastAsia="BaskervilleNo2BT-Roman" w:hAnsi="Book Antiqua" w:cs="Times New Roman" w:hint="eastAsia"/>
          <w:b/>
          <w:sz w:val="20"/>
          <w:szCs w:val="20"/>
        </w:rPr>
        <w:t xml:space="preserve">: </w:t>
      </w:r>
      <w:r w:rsidR="001A61BA" w:rsidRPr="000C6C65">
        <w:rPr>
          <w:rFonts w:ascii="Book Antiqua" w:eastAsia="BaskervilleNo2BT-Roman" w:hAnsi="Book Antiqua" w:cs="Times New Roman"/>
          <w:sz w:val="20"/>
          <w:szCs w:val="20"/>
        </w:rPr>
        <w:t>Kang LL, Liu ZL, Zhang HD. Gilbert’s syndrome coexisting with hereditary spherocytosis might not be rare: Six case report</w:t>
      </w:r>
      <w:r w:rsidR="00CD7096" w:rsidRPr="000C6C65">
        <w:rPr>
          <w:rFonts w:ascii="Book Antiqua" w:eastAsia="BaskervilleNo2BT-Roman" w:hAnsi="Book Antiqua" w:cs="Times New Roman"/>
          <w:sz w:val="20"/>
          <w:szCs w:val="20"/>
        </w:rPr>
        <w:t>s</w:t>
      </w:r>
      <w:r w:rsidR="001A61BA" w:rsidRPr="000C6C65">
        <w:rPr>
          <w:rFonts w:ascii="Book Antiqua" w:eastAsia="BaskervilleNo2BT-Roman" w:hAnsi="Book Antiqua" w:cs="Times New Roman"/>
          <w:sz w:val="20"/>
          <w:szCs w:val="20"/>
        </w:rPr>
        <w:t xml:space="preserve">. </w:t>
      </w:r>
      <w:r w:rsidR="00CD7096" w:rsidRPr="000C6C65">
        <w:rPr>
          <w:rFonts w:ascii="Book Antiqua" w:hAnsi="Book Antiqua"/>
          <w:i/>
          <w:iCs/>
          <w:sz w:val="20"/>
          <w:szCs w:val="20"/>
        </w:rPr>
        <w:t xml:space="preserve">World J Clin Cases </w:t>
      </w:r>
      <w:r w:rsidR="00280202">
        <w:rPr>
          <w:rFonts w:ascii="Book Antiqua" w:hAnsi="Book Antiqua"/>
          <w:iCs/>
          <w:sz w:val="20"/>
          <w:szCs w:val="20"/>
        </w:rPr>
        <w:t>2020; 8(</w:t>
      </w:r>
      <w:r w:rsidR="00280202">
        <w:rPr>
          <w:rFonts w:ascii="Book Antiqua" w:hAnsi="Book Antiqua" w:hint="eastAsia"/>
          <w:iCs/>
          <w:sz w:val="20"/>
          <w:szCs w:val="20"/>
        </w:rPr>
        <w:t>10</w:t>
      </w:r>
      <w:r w:rsidR="00280202" w:rsidRPr="00280202">
        <w:rPr>
          <w:rFonts w:ascii="Book Antiqua" w:hAnsi="Book Antiqua"/>
          <w:iCs/>
          <w:sz w:val="20"/>
          <w:szCs w:val="20"/>
        </w:rPr>
        <w:t xml:space="preserve">): </w:t>
      </w:r>
      <w:r w:rsidR="00D36FF4" w:rsidRPr="00D36FF4">
        <w:rPr>
          <w:rFonts w:ascii="Book Antiqua" w:hAnsi="Book Antiqua"/>
          <w:iCs/>
          <w:sz w:val="20"/>
          <w:szCs w:val="20"/>
        </w:rPr>
        <w:t>2001-2008</w:t>
      </w:r>
      <w:r w:rsidR="00280202" w:rsidRPr="00280202">
        <w:rPr>
          <w:rFonts w:ascii="Book Antiqua" w:hAnsi="Book Antiqua"/>
          <w:iCs/>
          <w:sz w:val="20"/>
          <w:szCs w:val="20"/>
        </w:rPr>
        <w:t xml:space="preserve"> </w:t>
      </w:r>
    </w:p>
    <w:p w:rsidR="00C46787" w:rsidRDefault="00280202" w:rsidP="000C6C65">
      <w:pPr>
        <w:adjustRightInd w:val="0"/>
        <w:snapToGrid w:val="0"/>
        <w:spacing w:line="360" w:lineRule="auto"/>
        <w:jc w:val="both"/>
        <w:rPr>
          <w:rFonts w:ascii="Book Antiqua" w:hAnsi="Book Antiqua" w:hint="eastAsia"/>
          <w:iCs/>
          <w:sz w:val="20"/>
          <w:szCs w:val="20"/>
        </w:rPr>
      </w:pPr>
      <w:r w:rsidRPr="00C46787">
        <w:rPr>
          <w:rFonts w:ascii="Book Antiqua" w:hAnsi="Book Antiqua"/>
          <w:b/>
          <w:iCs/>
          <w:sz w:val="20"/>
          <w:szCs w:val="20"/>
        </w:rPr>
        <w:t>URL:</w:t>
      </w:r>
      <w:r w:rsidRPr="00280202">
        <w:rPr>
          <w:rFonts w:ascii="Book Antiqua" w:hAnsi="Book Antiqua"/>
          <w:iCs/>
          <w:sz w:val="20"/>
          <w:szCs w:val="20"/>
        </w:rPr>
        <w:t xml:space="preserve"> https://www</w:t>
      </w:r>
      <w:r>
        <w:rPr>
          <w:rFonts w:ascii="Book Antiqua" w:hAnsi="Book Antiqua"/>
          <w:iCs/>
          <w:sz w:val="20"/>
          <w:szCs w:val="20"/>
        </w:rPr>
        <w:t>.wjgnet.com/2307-8960/full/v8/i</w:t>
      </w:r>
      <w:r>
        <w:rPr>
          <w:rFonts w:ascii="Book Antiqua" w:hAnsi="Book Antiqua" w:hint="eastAsia"/>
          <w:iCs/>
          <w:sz w:val="20"/>
          <w:szCs w:val="20"/>
        </w:rPr>
        <w:t>10</w:t>
      </w:r>
      <w:r w:rsidRPr="00280202">
        <w:rPr>
          <w:rFonts w:ascii="Book Antiqua" w:hAnsi="Book Antiqua"/>
          <w:iCs/>
          <w:sz w:val="20"/>
          <w:szCs w:val="20"/>
        </w:rPr>
        <w:t>/</w:t>
      </w:r>
      <w:r w:rsidR="00D36FF4">
        <w:rPr>
          <w:rFonts w:ascii="Book Antiqua" w:hAnsi="Book Antiqua" w:hint="eastAsia"/>
          <w:iCs/>
          <w:sz w:val="20"/>
          <w:szCs w:val="20"/>
        </w:rPr>
        <w:t>2001</w:t>
      </w:r>
      <w:r w:rsidRPr="00280202">
        <w:rPr>
          <w:rFonts w:ascii="Book Antiqua" w:hAnsi="Book Antiqua"/>
          <w:iCs/>
          <w:sz w:val="20"/>
          <w:szCs w:val="20"/>
        </w:rPr>
        <w:t xml:space="preserve">.htm </w:t>
      </w:r>
    </w:p>
    <w:p w:rsidR="00CD7096" w:rsidRPr="000C6C65" w:rsidRDefault="00280202" w:rsidP="000C6C65">
      <w:pPr>
        <w:adjustRightInd w:val="0"/>
        <w:snapToGrid w:val="0"/>
        <w:spacing w:line="360" w:lineRule="auto"/>
        <w:jc w:val="both"/>
        <w:rPr>
          <w:rFonts w:ascii="Book Antiqua" w:hAnsi="Book Antiqua"/>
          <w:bCs/>
          <w:sz w:val="20"/>
          <w:szCs w:val="20"/>
        </w:rPr>
      </w:pPr>
      <w:bookmarkStart w:id="8" w:name="_GoBack"/>
      <w:r w:rsidRPr="00C46787">
        <w:rPr>
          <w:rFonts w:ascii="Book Antiqua" w:hAnsi="Book Antiqua"/>
          <w:b/>
          <w:iCs/>
          <w:sz w:val="20"/>
          <w:szCs w:val="20"/>
        </w:rPr>
        <w:t xml:space="preserve">DOI: </w:t>
      </w:r>
      <w:bookmarkEnd w:id="8"/>
      <w:r w:rsidRPr="00280202">
        <w:rPr>
          <w:rFonts w:ascii="Book Antiqua" w:hAnsi="Book Antiqua"/>
          <w:iCs/>
          <w:sz w:val="20"/>
          <w:szCs w:val="20"/>
        </w:rPr>
        <w:t>https:</w:t>
      </w:r>
      <w:r>
        <w:rPr>
          <w:rFonts w:ascii="Book Antiqua" w:hAnsi="Book Antiqua"/>
          <w:iCs/>
          <w:sz w:val="20"/>
          <w:szCs w:val="20"/>
        </w:rPr>
        <w:t>//dx.doi.org/10.12998/wjcc.v8.i</w:t>
      </w:r>
      <w:r>
        <w:rPr>
          <w:rFonts w:ascii="Book Antiqua" w:hAnsi="Book Antiqua" w:hint="eastAsia"/>
          <w:iCs/>
          <w:sz w:val="20"/>
          <w:szCs w:val="20"/>
        </w:rPr>
        <w:t>10</w:t>
      </w:r>
      <w:r w:rsidRPr="00280202">
        <w:rPr>
          <w:rFonts w:ascii="Book Antiqua" w:hAnsi="Book Antiqua"/>
          <w:iCs/>
          <w:sz w:val="20"/>
          <w:szCs w:val="20"/>
        </w:rPr>
        <w:t>.</w:t>
      </w:r>
      <w:r w:rsidR="00D36FF4">
        <w:rPr>
          <w:rFonts w:ascii="Book Antiqua" w:hAnsi="Book Antiqua" w:hint="eastAsia"/>
          <w:iCs/>
          <w:sz w:val="20"/>
          <w:szCs w:val="20"/>
        </w:rPr>
        <w:t>2001</w:t>
      </w:r>
    </w:p>
    <w:p w:rsidR="001A61BA" w:rsidRPr="000C6C65" w:rsidRDefault="001A61BA" w:rsidP="000C6C65">
      <w:pPr>
        <w:widowControl w:val="0"/>
        <w:snapToGrid w:val="0"/>
        <w:spacing w:line="360" w:lineRule="auto"/>
        <w:jc w:val="both"/>
        <w:rPr>
          <w:rFonts w:ascii="Book Antiqua" w:eastAsia="BaskervilleNo2BT-Roman" w:hAnsi="Book Antiqua" w:cs="Times New Roman"/>
          <w:sz w:val="20"/>
          <w:szCs w:val="20"/>
        </w:rPr>
      </w:pPr>
    </w:p>
    <w:p w:rsidR="001A61BA" w:rsidRPr="000C6C65" w:rsidRDefault="00CD7096"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hAnsi="Book Antiqua"/>
          <w:b/>
          <w:sz w:val="20"/>
          <w:szCs w:val="20"/>
        </w:rPr>
        <w:t xml:space="preserve">Core tip: </w:t>
      </w:r>
      <w:r w:rsidR="001A61BA" w:rsidRPr="000C6C65">
        <w:rPr>
          <w:rFonts w:ascii="Book Antiqua" w:eastAsia="BaskervilleNo2BT-Roman" w:hAnsi="Book Antiqua" w:cs="Times New Roman"/>
          <w:sz w:val="20"/>
          <w:szCs w:val="20"/>
        </w:rPr>
        <w:t xml:space="preserve">The coexistence of Gilbert’s syndrome with a hemolytic disease can impede diagnosis. Gilbert’s syndrome-hemolysis disease comorbidity should be suspected in patients who present with isolated unconjugated hyperbilirubinemia </w:t>
      </w:r>
      <w:bookmarkStart w:id="9" w:name="_Hlk34731470"/>
      <w:r w:rsidR="001A61BA" w:rsidRPr="000C6C65">
        <w:rPr>
          <w:rFonts w:ascii="Book Antiqua" w:eastAsia="BaskervilleNo2BT-Roman" w:hAnsi="Book Antiqua" w:cs="Times New Roman"/>
          <w:sz w:val="20"/>
          <w:szCs w:val="20"/>
        </w:rPr>
        <w:t xml:space="preserve">when serum bilirubin levels are discordant with hemoglobin levels, </w:t>
      </w:r>
      <w:bookmarkEnd w:id="9"/>
      <w:r w:rsidR="001A61BA" w:rsidRPr="000C6C65">
        <w:rPr>
          <w:rFonts w:ascii="Book Antiqua" w:eastAsia="BaskervilleNo2BT-Roman" w:hAnsi="Book Antiqua" w:cs="Times New Roman"/>
          <w:sz w:val="20"/>
          <w:szCs w:val="20"/>
        </w:rPr>
        <w:t>especially if there are even subtle signs of possible hemolysis. Levitt’s CO breath test for erythrocyte lifespan determination and broadly available genetic tests can be used for rapid diagnosis of these conditions.</w:t>
      </w:r>
    </w:p>
    <w:p w:rsidR="001A61BA" w:rsidRPr="000C6C65" w:rsidRDefault="001A61BA" w:rsidP="000C6C65">
      <w:pPr>
        <w:autoSpaceDE w:val="0"/>
        <w:autoSpaceDN w:val="0"/>
        <w:adjustRightInd w:val="0"/>
        <w:snapToGrid w:val="0"/>
        <w:spacing w:line="360" w:lineRule="auto"/>
        <w:jc w:val="both"/>
        <w:rPr>
          <w:rFonts w:ascii="Book Antiqua" w:hAnsi="Book Antiqua" w:cs="等线"/>
          <w:b/>
          <w:sz w:val="20"/>
          <w:szCs w:val="20"/>
          <w:u w:val="single"/>
        </w:rPr>
      </w:pPr>
      <w:r w:rsidRPr="000C6C65">
        <w:rPr>
          <w:rFonts w:ascii="Book Antiqua" w:eastAsia="微软雅黑" w:hAnsi="Book Antiqua" w:cs="Times New Roman"/>
          <w:b/>
          <w:bCs/>
          <w:color w:val="000000"/>
          <w:sz w:val="20"/>
          <w:szCs w:val="20"/>
        </w:rPr>
        <w:br w:type="page"/>
      </w:r>
      <w:bookmarkStart w:id="10" w:name="_Hlk34505213"/>
      <w:r w:rsidR="00CD7096" w:rsidRPr="000C6C65">
        <w:rPr>
          <w:rFonts w:ascii="Book Antiqua" w:hAnsi="Book Antiqua" w:cs="等线"/>
          <w:b/>
          <w:sz w:val="20"/>
          <w:szCs w:val="20"/>
          <w:u w:val="single"/>
        </w:rPr>
        <w:t>INTRODUCTION</w:t>
      </w:r>
    </w:p>
    <w:p w:rsidR="001A61BA" w:rsidRPr="000C6C65" w:rsidRDefault="001A61BA"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BaskervilleNo2BT-Roman" w:hAnsi="Book Antiqua" w:cs="Times New Roman"/>
          <w:sz w:val="20"/>
          <w:szCs w:val="20"/>
        </w:rPr>
        <w:t>Gilbert’s syndrome (GS) and</w:t>
      </w:r>
      <w:bookmarkStart w:id="11" w:name="_Hlk17376687"/>
      <w:r w:rsidRPr="000C6C65">
        <w:rPr>
          <w:rFonts w:ascii="Book Antiqua" w:eastAsia="BaskervilleNo2BT-Roman" w:hAnsi="Book Antiqua" w:cs="Times New Roman"/>
          <w:sz w:val="20"/>
          <w:szCs w:val="20"/>
        </w:rPr>
        <w:t xml:space="preserve"> hereditary spherocytosis </w:t>
      </w:r>
      <w:bookmarkEnd w:id="11"/>
      <w:r w:rsidRPr="000C6C65">
        <w:rPr>
          <w:rFonts w:ascii="Book Antiqua" w:eastAsia="BaskervilleNo2BT-Roman" w:hAnsi="Book Antiqua" w:cs="Times New Roman"/>
          <w:sz w:val="20"/>
          <w:szCs w:val="20"/>
        </w:rPr>
        <w:t xml:space="preserve">(HS) are hereditary disorders </w:t>
      </w:r>
      <w:r w:rsidR="00F6005B" w:rsidRPr="000C6C65">
        <w:rPr>
          <w:rFonts w:ascii="Book Antiqua" w:eastAsia="BaskervilleNo2BT-Roman" w:hAnsi="Book Antiqua" w:cs="Times New Roman"/>
          <w:sz w:val="20"/>
          <w:szCs w:val="20"/>
        </w:rPr>
        <w:t xml:space="preserve">of similar </w:t>
      </w:r>
      <w:r w:rsidRPr="000C6C65">
        <w:rPr>
          <w:rFonts w:ascii="Book Antiqua" w:eastAsia="BaskervilleNo2BT-Roman" w:hAnsi="Book Antiqua" w:cs="Times New Roman"/>
          <w:sz w:val="20"/>
          <w:szCs w:val="20"/>
        </w:rPr>
        <w:t>etiolog</w:t>
      </w:r>
      <w:r w:rsidR="00F6005B" w:rsidRPr="000C6C65">
        <w:rPr>
          <w:rFonts w:ascii="Book Antiqua" w:eastAsia="BaskervilleNo2BT-Roman" w:hAnsi="Book Antiqua" w:cs="Times New Roman"/>
          <w:sz w:val="20"/>
          <w:szCs w:val="20"/>
        </w:rPr>
        <w:t xml:space="preserve">y, </w:t>
      </w:r>
      <w:r w:rsidRPr="000C6C65">
        <w:rPr>
          <w:rFonts w:ascii="Book Antiqua" w:eastAsia="BaskervilleNo2BT-Roman" w:hAnsi="Book Antiqua" w:cs="Times New Roman"/>
          <w:sz w:val="20"/>
          <w:szCs w:val="20"/>
        </w:rPr>
        <w:t>the presence of isolated unconjugated hyperbilirubinemia.</w:t>
      </w:r>
      <w:bookmarkStart w:id="12" w:name="_Hlk17376659"/>
      <w:r w:rsidRPr="000C6C65">
        <w:rPr>
          <w:rFonts w:ascii="Book Antiqua" w:eastAsia="BaskervilleNo2BT-Roman" w:hAnsi="Book Antiqua" w:cs="Times New Roman"/>
          <w:sz w:val="20"/>
          <w:szCs w:val="20"/>
        </w:rPr>
        <w:t xml:space="preserve"> </w:t>
      </w:r>
      <w:bookmarkEnd w:id="10"/>
      <w:r w:rsidRPr="000C6C65">
        <w:rPr>
          <w:rFonts w:ascii="Book Antiqua" w:eastAsia="BaskervilleNo2BT-Roman" w:hAnsi="Book Antiqua" w:cs="Times New Roman"/>
          <w:sz w:val="20"/>
          <w:szCs w:val="20"/>
        </w:rPr>
        <w:t>The pathogenesis of GS has been linked to</w:t>
      </w:r>
      <w:bookmarkStart w:id="13" w:name="_Hlk23883411"/>
      <w:r w:rsidRPr="000C6C65">
        <w:rPr>
          <w:rFonts w:ascii="Book Antiqua" w:eastAsia="BaskervilleNo2BT-Roman" w:hAnsi="Book Antiqua" w:cs="Times New Roman"/>
          <w:sz w:val="20"/>
          <w:szCs w:val="20"/>
        </w:rPr>
        <w:t xml:space="preserve"> a mutation in the gene that encodes </w:t>
      </w:r>
      <w:r w:rsidRPr="000C6C65">
        <w:rPr>
          <w:rFonts w:ascii="Book Antiqua" w:eastAsia="BaskervilleNo2BT-Roman" w:hAnsi="Book Antiqua" w:cs="Times New Roman"/>
          <w:i/>
          <w:iCs/>
          <w:sz w:val="20"/>
          <w:szCs w:val="20"/>
        </w:rPr>
        <w:t>UGT1A1</w:t>
      </w:r>
      <w:r w:rsidRPr="000C6C65">
        <w:rPr>
          <w:rFonts w:ascii="Book Antiqua" w:eastAsia="BaskervilleNo2BT-Roman" w:hAnsi="Book Antiqua" w:cs="Times New Roman"/>
          <w:sz w:val="20"/>
          <w:szCs w:val="20"/>
        </w:rPr>
        <w:t xml:space="preserve">, </w:t>
      </w:r>
      <w:bookmarkEnd w:id="13"/>
      <w:r w:rsidRPr="000C6C65">
        <w:rPr>
          <w:rFonts w:ascii="Book Antiqua" w:eastAsia="BaskervilleNo2BT-Roman" w:hAnsi="Book Antiqua" w:cs="Times New Roman"/>
          <w:sz w:val="20"/>
          <w:szCs w:val="20"/>
        </w:rPr>
        <w:t>the enzyme that conjugates bilirubin in hepatocytes</w:t>
      </w:r>
      <w:r w:rsidRPr="000C6C65">
        <w:rPr>
          <w:rFonts w:ascii="Book Antiqua" w:eastAsia="BaskervilleNo2BT-Roman" w:hAnsi="Book Antiqua" w:cs="Times New Roman"/>
          <w:sz w:val="20"/>
          <w:szCs w:val="20"/>
          <w:vertAlign w:val="superscript"/>
        </w:rPr>
        <w:t>[1-3]</w:t>
      </w:r>
      <w:r w:rsidRPr="000C6C65">
        <w:rPr>
          <w:rFonts w:ascii="Book Antiqua" w:eastAsia="BaskervilleNo2BT-Roman" w:hAnsi="Book Antiqua" w:cs="Times New Roman"/>
          <w:sz w:val="20"/>
          <w:szCs w:val="20"/>
        </w:rPr>
        <w:t xml:space="preserve">. </w:t>
      </w:r>
      <w:bookmarkEnd w:id="12"/>
      <w:r w:rsidRPr="000C6C65">
        <w:rPr>
          <w:rFonts w:ascii="Book Antiqua" w:eastAsia="BaskervilleNo2BT-Roman" w:hAnsi="Book Antiqua" w:cs="Times New Roman"/>
          <w:sz w:val="20"/>
          <w:szCs w:val="20"/>
        </w:rPr>
        <w:t xml:space="preserve">Thus, in GS, the ability of hepatocytes to transport and conjugate serum bilirubin is impaired. Conversely, HS is a hemolytic disease that is secondary to an erythrocyte (RBC) membrane abnormality due to genetic mutations, most commonly for </w:t>
      </w:r>
      <w:r w:rsidRPr="000C6C65">
        <w:rPr>
          <w:rFonts w:ascii="Book Antiqua" w:eastAsia="BaskervilleNo2BT-Roman" w:hAnsi="Book Antiqua" w:cs="Times New Roman"/>
          <w:i/>
          <w:iCs/>
          <w:sz w:val="20"/>
          <w:szCs w:val="20"/>
        </w:rPr>
        <w:t>ANK1</w:t>
      </w:r>
      <w:r w:rsidRPr="000C6C65">
        <w:rPr>
          <w:rFonts w:ascii="Book Antiqua" w:eastAsia="BaskervilleNo2BT-Roman" w:hAnsi="Book Antiqua" w:cs="Times New Roman"/>
          <w:sz w:val="20"/>
          <w:szCs w:val="20"/>
        </w:rPr>
        <w:t xml:space="preserve"> and Band 3 (</w:t>
      </w:r>
      <w:r w:rsidRPr="000C6C65">
        <w:rPr>
          <w:rFonts w:ascii="Book Antiqua" w:eastAsia="BaskervilleNo2BT-Roman" w:hAnsi="Book Antiqua" w:cs="Times New Roman"/>
          <w:i/>
          <w:iCs/>
          <w:sz w:val="20"/>
          <w:szCs w:val="20"/>
        </w:rPr>
        <w:t>SLC4A1</w:t>
      </w:r>
      <w:r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vertAlign w:val="superscript"/>
        </w:rPr>
        <w:t>[4</w:t>
      </w:r>
      <w:r w:rsidR="00CD7096" w:rsidRPr="000C6C65">
        <w:rPr>
          <w:rFonts w:ascii="Book Antiqua" w:eastAsia="BaskervilleNo2BT-Roman" w:hAnsi="Book Antiqua" w:cs="Times New Roman"/>
          <w:sz w:val="20"/>
          <w:szCs w:val="20"/>
          <w:vertAlign w:val="superscript"/>
        </w:rPr>
        <w:t>,</w:t>
      </w:r>
      <w:r w:rsidRPr="000C6C65">
        <w:rPr>
          <w:rFonts w:ascii="Book Antiqua" w:eastAsia="BaskervilleNo2BT-Roman" w:hAnsi="Book Antiqua" w:cs="Times New Roman"/>
          <w:sz w:val="20"/>
          <w:szCs w:val="20"/>
          <w:vertAlign w:val="superscript"/>
        </w:rPr>
        <w:t>5]</w:t>
      </w:r>
      <w:r w:rsidRPr="000C6C65">
        <w:rPr>
          <w:rFonts w:ascii="Book Antiqua" w:eastAsia="BaskervilleNo2BT-Roman" w:hAnsi="Book Antiqua" w:cs="Times New Roman"/>
          <w:sz w:val="20"/>
          <w:szCs w:val="20"/>
        </w:rPr>
        <w:t>.</w:t>
      </w:r>
    </w:p>
    <w:p w:rsidR="001A61BA" w:rsidRPr="000C6C65" w:rsidRDefault="001A61BA" w:rsidP="000C6C65">
      <w:pPr>
        <w:widowControl w:val="0"/>
        <w:snapToGrid w:val="0"/>
        <w:spacing w:line="360" w:lineRule="auto"/>
        <w:ind w:firstLineChars="100" w:firstLine="200"/>
        <w:jc w:val="both"/>
        <w:rPr>
          <w:rFonts w:ascii="Book Antiqua" w:eastAsia="BaskervilleNo2BT-Roman" w:hAnsi="Book Antiqua" w:cs="Times New Roman"/>
          <w:sz w:val="20"/>
          <w:szCs w:val="20"/>
        </w:rPr>
      </w:pPr>
      <w:r w:rsidRPr="000C6C65">
        <w:rPr>
          <w:rFonts w:ascii="Book Antiqua" w:eastAsia="BaskervilleNo2BT-Roman" w:hAnsi="Book Antiqua" w:cs="Times New Roman"/>
          <w:sz w:val="20"/>
          <w:szCs w:val="20"/>
        </w:rPr>
        <w:t>Although the distinct pathogenesis of these two diseases make differential diagnosis between them straightforward when each is present alone, hemolytic disease comorbidity and compensatory mechanisms can obscure their diagnoses, leading to missed and delayed diagnosis</w:t>
      </w:r>
      <w:r w:rsidRPr="000C6C65">
        <w:rPr>
          <w:rFonts w:ascii="Book Antiqua" w:eastAsia="BaskervilleNo2BT-Roman" w:hAnsi="Book Antiqua" w:cs="Times New Roman"/>
          <w:sz w:val="20"/>
          <w:szCs w:val="20"/>
          <w:vertAlign w:val="superscript"/>
        </w:rPr>
        <w:t>[6-11]</w:t>
      </w:r>
      <w:r w:rsidRPr="000C6C65">
        <w:rPr>
          <w:rFonts w:ascii="Book Antiqua" w:eastAsia="BaskervilleNo2BT-Roman" w:hAnsi="Book Antiqua" w:cs="Times New Roman"/>
          <w:sz w:val="20"/>
          <w:szCs w:val="20"/>
        </w:rPr>
        <w:t xml:space="preserve">. Here, we report six cases in which we were able to diagnose comorbidity of GS and HS quickly based on the results of a simple </w:t>
      </w:r>
      <w:r w:rsidR="00F6005B" w:rsidRPr="000C6C65">
        <w:rPr>
          <w:rFonts w:ascii="Book Antiqua" w:eastAsia="BaskervilleNo2BT-Roman" w:hAnsi="Book Antiqua" w:cs="Times New Roman"/>
          <w:sz w:val="20"/>
          <w:szCs w:val="20"/>
        </w:rPr>
        <w:t>carbon monoxide (</w:t>
      </w:r>
      <w:r w:rsidRPr="000C6C65">
        <w:rPr>
          <w:rFonts w:ascii="Book Antiqua" w:eastAsia="BaskervilleNo2BT-Roman" w:hAnsi="Book Antiqua" w:cs="Times New Roman"/>
          <w:sz w:val="20"/>
          <w:szCs w:val="20"/>
        </w:rPr>
        <w:t>CO</w:t>
      </w:r>
      <w:r w:rsidR="00F6005B"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rPr>
        <w:t xml:space="preserve"> breath test for RBC lifespan determination and broadly available genetic tests.</w:t>
      </w:r>
    </w:p>
    <w:p w:rsidR="001A61BA" w:rsidRPr="000C6C65" w:rsidRDefault="001A61BA" w:rsidP="000C6C65">
      <w:pPr>
        <w:snapToGrid w:val="0"/>
        <w:spacing w:line="360" w:lineRule="auto"/>
        <w:jc w:val="both"/>
        <w:rPr>
          <w:rFonts w:ascii="Book Antiqua" w:eastAsia="微软雅黑" w:hAnsi="Book Antiqua" w:cs="Times New Roman"/>
          <w:color w:val="000000"/>
          <w:sz w:val="20"/>
          <w:szCs w:val="20"/>
        </w:rPr>
      </w:pPr>
    </w:p>
    <w:p w:rsidR="001A61BA" w:rsidRPr="000C6C65" w:rsidRDefault="00CD7096" w:rsidP="000C6C65">
      <w:pPr>
        <w:snapToGrid w:val="0"/>
        <w:spacing w:line="360" w:lineRule="auto"/>
        <w:jc w:val="both"/>
        <w:rPr>
          <w:rFonts w:ascii="Book Antiqua" w:hAnsi="Book Antiqua" w:cs="等线"/>
          <w:b/>
          <w:sz w:val="20"/>
          <w:szCs w:val="20"/>
          <w:u w:val="single"/>
        </w:rPr>
      </w:pPr>
      <w:bookmarkStart w:id="14" w:name="_Hlk36103554"/>
      <w:bookmarkStart w:id="15" w:name="_Hlk36107449"/>
      <w:r w:rsidRPr="000C6C65">
        <w:rPr>
          <w:rFonts w:ascii="Book Antiqua" w:hAnsi="Book Antiqua" w:cs="等线"/>
          <w:b/>
          <w:sz w:val="20"/>
          <w:szCs w:val="20"/>
          <w:u w:val="single"/>
        </w:rPr>
        <w:t>CASE PRESENTATION</w:t>
      </w:r>
    </w:p>
    <w:p w:rsidR="002A5A50" w:rsidRPr="000C6C65" w:rsidRDefault="002A5A50" w:rsidP="000C6C65">
      <w:pPr>
        <w:snapToGrid w:val="0"/>
        <w:spacing w:line="360" w:lineRule="auto"/>
        <w:jc w:val="both"/>
        <w:rPr>
          <w:rFonts w:ascii="Book Antiqua" w:hAnsi="Book Antiqua" w:cs="等线"/>
          <w:b/>
          <w:bCs/>
          <w:sz w:val="20"/>
          <w:szCs w:val="20"/>
          <w:u w:val="single"/>
        </w:rPr>
      </w:pPr>
      <w:r w:rsidRPr="000C6C65">
        <w:rPr>
          <w:rFonts w:ascii="Book Antiqua" w:eastAsia="微软雅黑" w:hAnsi="Book Antiqua" w:cs="Times New Roman"/>
          <w:b/>
          <w:bCs/>
          <w:i/>
          <w:iCs/>
          <w:color w:val="000000"/>
          <w:sz w:val="20"/>
          <w:szCs w:val="20"/>
          <w:shd w:val="clear" w:color="auto" w:fill="FFFFFF"/>
        </w:rPr>
        <w:t>Chief complaints</w:t>
      </w:r>
    </w:p>
    <w:p w:rsidR="002A5A50" w:rsidRPr="000C6C65" w:rsidRDefault="001A61BA" w:rsidP="000C6C65">
      <w:pPr>
        <w:snapToGrid w:val="0"/>
        <w:spacing w:line="360" w:lineRule="auto"/>
        <w:jc w:val="both"/>
        <w:rPr>
          <w:rFonts w:ascii="Book Antiqua" w:eastAsia="微软雅黑" w:hAnsi="Book Antiqua" w:cs="Times New Roman"/>
          <w:color w:val="000000"/>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1 </w:t>
      </w:r>
      <w:r w:rsidR="002A5A50" w:rsidRPr="000C6C65">
        <w:rPr>
          <w:rFonts w:ascii="Book Antiqua" w:eastAsia="微软雅黑" w:hAnsi="Book Antiqua" w:cs="Times New Roman"/>
          <w:b/>
          <w:bCs/>
          <w:color w:val="000000"/>
          <w:sz w:val="20"/>
          <w:szCs w:val="20"/>
          <w:shd w:val="clear" w:color="auto" w:fill="FFFFFF"/>
        </w:rPr>
        <w:t>and</w:t>
      </w:r>
      <w:r w:rsidRPr="000C6C65">
        <w:rPr>
          <w:rFonts w:ascii="Book Antiqua" w:eastAsia="微软雅黑" w:hAnsi="Book Antiqua" w:cs="Times New Roman"/>
          <w:b/>
          <w:bCs/>
          <w:color w:val="000000"/>
          <w:sz w:val="20"/>
          <w:szCs w:val="20"/>
          <w:shd w:val="clear" w:color="auto" w:fill="FFFFFF"/>
        </w:rPr>
        <w:t xml:space="preserve"> 2</w:t>
      </w:r>
      <w:r w:rsidR="002A5A50" w:rsidRPr="000C6C65">
        <w:rPr>
          <w:rFonts w:ascii="Book Antiqua" w:eastAsia="微软雅黑" w:hAnsi="Book Antiqua" w:cs="Times New Roman"/>
          <w:b/>
          <w:bCs/>
          <w:color w:val="000000"/>
          <w:sz w:val="20"/>
          <w:szCs w:val="20"/>
          <w:shd w:val="clear" w:color="auto" w:fill="FFFFFF"/>
        </w:rPr>
        <w:t xml:space="preserve">: </w:t>
      </w:r>
      <w:r w:rsidR="002A5A50" w:rsidRPr="000C6C65">
        <w:rPr>
          <w:rFonts w:ascii="Book Antiqua" w:eastAsia="微软雅黑" w:hAnsi="Book Antiqua" w:cs="Times New Roman"/>
          <w:color w:val="000000"/>
          <w:sz w:val="20"/>
          <w:szCs w:val="20"/>
          <w:shd w:val="clear" w:color="auto" w:fill="FFFFFF"/>
        </w:rPr>
        <w:t>A 30-year-old male marathon runner complained of chronic jaundice for 4 years.</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3: </w:t>
      </w:r>
      <w:r w:rsidRPr="000C6C65">
        <w:rPr>
          <w:rFonts w:ascii="Book Antiqua" w:eastAsia="BaskervilleNo2BT-Roman" w:hAnsi="Book Antiqua" w:cs="Times New Roman"/>
          <w:sz w:val="20"/>
          <w:szCs w:val="20"/>
        </w:rPr>
        <w:t>A 33-year-old man presented to our gastroenterology clinic with chronic jaundice on June 3, 2019.</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4: </w:t>
      </w:r>
      <w:r w:rsidRPr="000C6C65">
        <w:rPr>
          <w:rFonts w:ascii="Book Antiqua" w:eastAsia="BaskervilleNo2BT-Roman" w:hAnsi="Book Antiqua" w:cs="Times New Roman"/>
          <w:sz w:val="20"/>
          <w:szCs w:val="20"/>
        </w:rPr>
        <w:t xml:space="preserve">On </w:t>
      </w:r>
      <w:r w:rsidR="00771206" w:rsidRPr="000C6C65">
        <w:rPr>
          <w:rFonts w:ascii="Book Antiqua" w:eastAsia="BaskervilleNo2BT-Roman" w:hAnsi="Book Antiqua" w:cs="Times New Roman"/>
          <w:sz w:val="20"/>
          <w:szCs w:val="20"/>
        </w:rPr>
        <w:t xml:space="preserve">9 </w:t>
      </w:r>
      <w:r w:rsidRPr="000C6C65">
        <w:rPr>
          <w:rFonts w:ascii="Book Antiqua" w:eastAsia="BaskervilleNo2BT-Roman" w:hAnsi="Book Antiqua" w:cs="Times New Roman"/>
          <w:sz w:val="20"/>
          <w:szCs w:val="20"/>
        </w:rPr>
        <w:t xml:space="preserve">July 2019, a 35-year-old male hepatologist of our hospital presented to our gastroenterology clinic seeking </w:t>
      </w:r>
      <w:r w:rsidR="00771206" w:rsidRPr="000C6C65">
        <w:rPr>
          <w:rFonts w:ascii="Book Antiqua" w:eastAsia="BaskervilleNo2BT-Roman" w:hAnsi="Book Antiqua" w:cs="Times New Roman"/>
          <w:sz w:val="20"/>
          <w:szCs w:val="20"/>
        </w:rPr>
        <w:t xml:space="preserve">a </w:t>
      </w:r>
      <w:r w:rsidRPr="000C6C65">
        <w:rPr>
          <w:rFonts w:ascii="Book Antiqua" w:eastAsia="BaskervilleNo2BT-Roman" w:hAnsi="Book Antiqua" w:cs="Times New Roman"/>
          <w:sz w:val="20"/>
          <w:szCs w:val="20"/>
        </w:rPr>
        <w:t>CO breath test due to his chronic jaundice.</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5 and 6: </w:t>
      </w:r>
      <w:r w:rsidRPr="000C6C65">
        <w:rPr>
          <w:rFonts w:ascii="Book Antiqua" w:eastAsia="BaskervilleNo2BT-Roman" w:hAnsi="Book Antiqua" w:cs="Times New Roman"/>
          <w:sz w:val="20"/>
          <w:szCs w:val="20"/>
        </w:rPr>
        <w:t xml:space="preserve">On </w:t>
      </w:r>
      <w:r w:rsidR="00771206" w:rsidRPr="000C6C65">
        <w:rPr>
          <w:rFonts w:ascii="Book Antiqua" w:eastAsia="BaskervilleNo2BT-Roman" w:hAnsi="Book Antiqua" w:cs="Times New Roman"/>
          <w:sz w:val="20"/>
          <w:szCs w:val="20"/>
        </w:rPr>
        <w:t xml:space="preserve">7 </w:t>
      </w:r>
      <w:r w:rsidRPr="000C6C65">
        <w:rPr>
          <w:rFonts w:ascii="Book Antiqua" w:eastAsia="BaskervilleNo2BT-Roman" w:hAnsi="Book Antiqua" w:cs="Times New Roman"/>
          <w:sz w:val="20"/>
          <w:szCs w:val="20"/>
        </w:rPr>
        <w:t>October 2019, a 25-year-old man complaining of dizziness and pale for 3 wk was referred to our hematology department.</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1A61BA" w:rsidRPr="000C6C65" w:rsidRDefault="002A5A50" w:rsidP="000C6C65">
      <w:pPr>
        <w:snapToGrid w:val="0"/>
        <w:spacing w:line="360" w:lineRule="auto"/>
        <w:jc w:val="both"/>
        <w:rPr>
          <w:rFonts w:ascii="Book Antiqua" w:eastAsia="微软雅黑" w:hAnsi="Book Antiqua" w:cs="Times New Roman"/>
          <w:b/>
          <w:bCs/>
          <w:i/>
          <w:iCs/>
          <w:color w:val="000000"/>
          <w:sz w:val="20"/>
          <w:szCs w:val="20"/>
          <w:shd w:val="clear" w:color="auto" w:fill="FFFFFF"/>
        </w:rPr>
      </w:pPr>
      <w:r w:rsidRPr="000C6C65">
        <w:rPr>
          <w:rFonts w:ascii="Book Antiqua" w:eastAsia="微软雅黑" w:hAnsi="Book Antiqua" w:cs="Times New Roman"/>
          <w:b/>
          <w:bCs/>
          <w:i/>
          <w:iCs/>
          <w:color w:val="000000"/>
          <w:sz w:val="20"/>
          <w:szCs w:val="20"/>
          <w:shd w:val="clear" w:color="auto" w:fill="FFFFFF"/>
        </w:rPr>
        <w:t>History of present illness</w:t>
      </w:r>
    </w:p>
    <w:p w:rsidR="002A5A50" w:rsidRPr="000C6C65" w:rsidRDefault="002A5A50" w:rsidP="000C6C65">
      <w:pPr>
        <w:snapToGrid w:val="0"/>
        <w:spacing w:line="360" w:lineRule="auto"/>
        <w:jc w:val="both"/>
        <w:rPr>
          <w:rFonts w:ascii="Book Antiqua" w:eastAsia="微软雅黑" w:hAnsi="Book Antiqua" w:cs="Times New Roman"/>
          <w:color w:val="000000"/>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1 and 2: </w:t>
      </w:r>
      <w:r w:rsidRPr="000C6C65">
        <w:rPr>
          <w:rFonts w:ascii="Book Antiqua" w:eastAsia="微软雅黑" w:hAnsi="Book Antiqua" w:cs="Times New Roman"/>
          <w:color w:val="000000"/>
          <w:sz w:val="20"/>
          <w:szCs w:val="20"/>
          <w:shd w:val="clear" w:color="auto" w:fill="FFFFFF"/>
        </w:rPr>
        <w:t xml:space="preserve">He was diagnosed with constitutional jaundice by another hospital in a routine health medical examination </w:t>
      </w:r>
      <w:r w:rsidR="00771206" w:rsidRPr="000C6C65">
        <w:rPr>
          <w:rFonts w:ascii="Book Antiqua" w:eastAsia="微软雅黑" w:hAnsi="Book Antiqua" w:cs="Times New Roman"/>
          <w:color w:val="000000"/>
          <w:sz w:val="20"/>
          <w:szCs w:val="20"/>
          <w:shd w:val="clear" w:color="auto" w:fill="FFFFFF"/>
        </w:rPr>
        <w:t>4</w:t>
      </w:r>
      <w:r w:rsidRPr="000C6C65">
        <w:rPr>
          <w:rFonts w:ascii="Book Antiqua" w:eastAsia="微软雅黑" w:hAnsi="Book Antiqua" w:cs="Times New Roman"/>
          <w:color w:val="000000"/>
          <w:sz w:val="20"/>
          <w:szCs w:val="20"/>
          <w:shd w:val="clear" w:color="auto" w:fill="FFFFFF"/>
        </w:rPr>
        <w:t xml:space="preserve"> years ago and was told there was no need for treatment.</w:t>
      </w:r>
      <w:r w:rsidRPr="000C6C65">
        <w:rPr>
          <w:rFonts w:ascii="Book Antiqua" w:eastAsia="微软雅黑" w:hAnsi="Book Antiqua" w:cs="Times New Roman"/>
          <w:color w:val="000000"/>
          <w:sz w:val="20"/>
          <w:szCs w:val="20"/>
        </w:rPr>
        <w:t xml:space="preserve"> On </w:t>
      </w:r>
      <w:r w:rsidR="00771206" w:rsidRPr="000C6C65">
        <w:rPr>
          <w:rFonts w:ascii="Book Antiqua" w:eastAsia="微软雅黑" w:hAnsi="Book Antiqua" w:cs="Times New Roman"/>
          <w:color w:val="000000"/>
          <w:sz w:val="20"/>
          <w:szCs w:val="20"/>
        </w:rPr>
        <w:t xml:space="preserve">20 </w:t>
      </w:r>
      <w:r w:rsidRPr="000C6C65">
        <w:rPr>
          <w:rFonts w:ascii="Book Antiqua" w:eastAsia="微软雅黑" w:hAnsi="Book Antiqua" w:cs="Times New Roman"/>
          <w:color w:val="000000"/>
          <w:sz w:val="20"/>
          <w:szCs w:val="20"/>
        </w:rPr>
        <w:t xml:space="preserve">March 2019, he </w:t>
      </w:r>
      <w:r w:rsidRPr="000C6C65">
        <w:rPr>
          <w:rFonts w:ascii="Book Antiqua" w:eastAsia="微软雅黑" w:hAnsi="Book Antiqua" w:cs="Times New Roman"/>
          <w:color w:val="000000"/>
          <w:sz w:val="20"/>
          <w:szCs w:val="20"/>
          <w:shd w:val="clear" w:color="auto" w:fill="FFFFFF"/>
        </w:rPr>
        <w:t xml:space="preserve">was referred to our </w:t>
      </w:r>
      <w:bookmarkStart w:id="16" w:name="_Hlk36240263"/>
      <w:r w:rsidRPr="000C6C65">
        <w:rPr>
          <w:rFonts w:ascii="Book Antiqua" w:eastAsia="微软雅黑" w:hAnsi="Book Antiqua" w:cs="Times New Roman"/>
          <w:color w:val="000000"/>
          <w:sz w:val="20"/>
          <w:szCs w:val="20"/>
          <w:shd w:val="clear" w:color="auto" w:fill="FFFFFF"/>
        </w:rPr>
        <w:t>department</w:t>
      </w:r>
      <w:bookmarkEnd w:id="16"/>
      <w:r w:rsidRPr="000C6C65">
        <w:rPr>
          <w:rFonts w:ascii="Book Antiqua" w:eastAsia="微软雅黑" w:hAnsi="Book Antiqua" w:cs="Times New Roman"/>
          <w:color w:val="000000"/>
          <w:sz w:val="20"/>
          <w:szCs w:val="20"/>
          <w:shd w:val="clear" w:color="auto" w:fill="FFFFFF"/>
        </w:rPr>
        <w:t xml:space="preserve"> to explore the pathogeny of his hyperbilirubinemia from the Center of Employment Medical Examination of our hospital.</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3: </w:t>
      </w:r>
      <w:r w:rsidRPr="000C6C65">
        <w:rPr>
          <w:rFonts w:ascii="Book Antiqua" w:eastAsia="BaskervilleNo2BT-Roman" w:hAnsi="Book Antiqua" w:cs="Times New Roman"/>
          <w:sz w:val="20"/>
          <w:szCs w:val="20"/>
        </w:rPr>
        <w:t>The patient exhibited jaundice from childhood. He had undergone numerous blood tests, but the cause of jaundice had not been identified.</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4: </w:t>
      </w:r>
      <w:r w:rsidRPr="000C6C65">
        <w:rPr>
          <w:rFonts w:ascii="Book Antiqua" w:eastAsia="BaskervilleNo2BT-Roman" w:hAnsi="Book Antiqua" w:cs="Times New Roman"/>
          <w:sz w:val="20"/>
          <w:szCs w:val="20"/>
        </w:rPr>
        <w:t xml:space="preserve">The doctor exhibited </w:t>
      </w:r>
      <w:r w:rsidR="00771206" w:rsidRPr="000C6C65">
        <w:rPr>
          <w:rFonts w:ascii="Book Antiqua" w:eastAsia="BaskervilleNo2BT-Roman" w:hAnsi="Book Antiqua" w:cs="Times New Roman"/>
          <w:sz w:val="20"/>
          <w:szCs w:val="20"/>
        </w:rPr>
        <w:t xml:space="preserve">since childhood </w:t>
      </w:r>
      <w:r w:rsidRPr="000C6C65">
        <w:rPr>
          <w:rFonts w:ascii="Book Antiqua" w:eastAsia="BaskervilleNo2BT-Roman" w:hAnsi="Book Antiqua" w:cs="Times New Roman"/>
          <w:sz w:val="20"/>
          <w:szCs w:val="20"/>
        </w:rPr>
        <w:t>fluctuating jaundice</w:t>
      </w:r>
      <w:r w:rsidR="00771206" w:rsidRPr="000C6C65">
        <w:rPr>
          <w:rFonts w:ascii="Book Antiqua" w:eastAsia="BaskervilleNo2BT-Roman" w:hAnsi="Book Antiqua" w:cs="Times New Roman"/>
          <w:sz w:val="20"/>
          <w:szCs w:val="20"/>
        </w:rPr>
        <w:t xml:space="preserve">, which </w:t>
      </w:r>
      <w:r w:rsidRPr="000C6C65">
        <w:rPr>
          <w:rFonts w:ascii="Book Antiqua" w:eastAsia="BaskervilleNo2BT-Roman" w:hAnsi="Book Antiqua" w:cs="Times New Roman"/>
          <w:sz w:val="20"/>
          <w:szCs w:val="20"/>
        </w:rPr>
        <w:t>had always been considered a constitutional jaundice by doctors</w:t>
      </w:r>
      <w:r w:rsidR="00771206"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rPr>
        <w:t xml:space="preserve"> including himself.</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5 and 6: </w:t>
      </w:r>
      <w:r w:rsidRPr="000C6C65">
        <w:rPr>
          <w:rFonts w:ascii="Book Antiqua" w:eastAsia="BaskervilleNo2BT-Roman" w:hAnsi="Book Antiqua" w:cs="Times New Roman"/>
          <w:sz w:val="20"/>
          <w:szCs w:val="20"/>
        </w:rPr>
        <w:t xml:space="preserve">The patient felt dizzy and unwell for </w:t>
      </w:r>
      <w:r w:rsidR="00771206" w:rsidRPr="000C6C65">
        <w:rPr>
          <w:rFonts w:ascii="Book Antiqua" w:eastAsia="BaskervilleNo2BT-Roman" w:hAnsi="Book Antiqua" w:cs="Times New Roman"/>
          <w:sz w:val="20"/>
          <w:szCs w:val="20"/>
        </w:rPr>
        <w:t xml:space="preserve">3 </w:t>
      </w:r>
      <w:r w:rsidRPr="000C6C65">
        <w:rPr>
          <w:rFonts w:ascii="Book Antiqua" w:eastAsia="BaskervilleNo2BT-Roman" w:hAnsi="Book Antiqua" w:cs="Times New Roman"/>
          <w:sz w:val="20"/>
          <w:szCs w:val="20"/>
        </w:rPr>
        <w:t>wk. He was told by his family that he was a little pale. The patient denied fever and black stool.</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snapToGrid w:val="0"/>
        <w:spacing w:line="360" w:lineRule="auto"/>
        <w:jc w:val="both"/>
        <w:rPr>
          <w:rFonts w:ascii="Book Antiqua" w:eastAsia="微软雅黑" w:hAnsi="Book Antiqua" w:cs="Times New Roman"/>
          <w:b/>
          <w:bCs/>
          <w:i/>
          <w:iCs/>
          <w:color w:val="000000"/>
          <w:sz w:val="20"/>
          <w:szCs w:val="20"/>
          <w:shd w:val="clear" w:color="auto" w:fill="FFFFFF"/>
        </w:rPr>
      </w:pPr>
      <w:r w:rsidRPr="000C6C65">
        <w:rPr>
          <w:rFonts w:ascii="Book Antiqua" w:eastAsia="微软雅黑" w:hAnsi="Book Antiqua" w:cs="Times New Roman"/>
          <w:b/>
          <w:bCs/>
          <w:i/>
          <w:iCs/>
          <w:color w:val="000000"/>
          <w:sz w:val="20"/>
          <w:szCs w:val="20"/>
          <w:shd w:val="clear" w:color="auto" w:fill="FFFFFF"/>
        </w:rPr>
        <w:t xml:space="preserve">History of past illness </w:t>
      </w:r>
    </w:p>
    <w:p w:rsidR="002A5A50" w:rsidRPr="000C6C65" w:rsidRDefault="002A5A50" w:rsidP="000C6C65">
      <w:pPr>
        <w:snapToGrid w:val="0"/>
        <w:spacing w:line="360" w:lineRule="auto"/>
        <w:jc w:val="both"/>
        <w:rPr>
          <w:rFonts w:ascii="Book Antiqua" w:eastAsia="微软雅黑" w:hAnsi="Book Antiqua" w:cs="Times New Roman"/>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1 and 2: </w:t>
      </w:r>
      <w:r w:rsidRPr="000C6C65">
        <w:rPr>
          <w:rFonts w:ascii="Book Antiqua" w:eastAsia="微软雅黑" w:hAnsi="Book Antiqua" w:cs="Times New Roman"/>
          <w:sz w:val="20"/>
          <w:szCs w:val="20"/>
          <w:shd w:val="clear" w:color="auto" w:fill="FFFFFF"/>
        </w:rPr>
        <w:t>The patient had a free previous medical history.</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3: </w:t>
      </w:r>
      <w:r w:rsidRPr="000C6C65">
        <w:rPr>
          <w:rFonts w:ascii="Book Antiqua" w:eastAsia="BaskervilleNo2BT-Roman" w:hAnsi="Book Antiqua" w:cs="Times New Roman"/>
          <w:sz w:val="20"/>
          <w:szCs w:val="20"/>
        </w:rPr>
        <w:t>He had a free previous medical history.</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4: </w:t>
      </w:r>
      <w:r w:rsidR="00771206" w:rsidRPr="000C6C65">
        <w:rPr>
          <w:rFonts w:ascii="Book Antiqua" w:eastAsia="BaskervilleNo2BT-Roman" w:hAnsi="Book Antiqua" w:cs="Times New Roman"/>
          <w:sz w:val="20"/>
          <w:szCs w:val="20"/>
        </w:rPr>
        <w:t>Small, a</w:t>
      </w:r>
      <w:r w:rsidRPr="000C6C65">
        <w:rPr>
          <w:rFonts w:ascii="Book Antiqua" w:eastAsia="BaskervilleNo2BT-Roman" w:hAnsi="Book Antiqua" w:cs="Times New Roman"/>
          <w:sz w:val="20"/>
          <w:szCs w:val="20"/>
        </w:rPr>
        <w:t>symptomatic gallstones w</w:t>
      </w:r>
      <w:r w:rsidR="00771206" w:rsidRPr="000C6C65">
        <w:rPr>
          <w:rFonts w:ascii="Book Antiqua" w:eastAsia="BaskervilleNo2BT-Roman" w:hAnsi="Book Antiqua" w:cs="Times New Roman"/>
          <w:sz w:val="20"/>
          <w:szCs w:val="20"/>
        </w:rPr>
        <w:t>ere</w:t>
      </w:r>
      <w:r w:rsidRPr="000C6C65">
        <w:rPr>
          <w:rFonts w:ascii="Book Antiqua" w:eastAsia="BaskervilleNo2BT-Roman" w:hAnsi="Book Antiqua" w:cs="Times New Roman"/>
          <w:sz w:val="20"/>
          <w:szCs w:val="20"/>
        </w:rPr>
        <w:t xml:space="preserve"> reported by abdominal ultrasonography in the past.</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5 and 6: </w:t>
      </w:r>
      <w:r w:rsidRPr="000C6C65">
        <w:rPr>
          <w:rFonts w:ascii="Book Antiqua" w:eastAsia="BaskervilleNo2BT-Roman" w:hAnsi="Book Antiqua" w:cs="Times New Roman"/>
          <w:sz w:val="20"/>
          <w:szCs w:val="20"/>
        </w:rPr>
        <w:t xml:space="preserve">The patient was diagnosed with a “non-harmful jaundice and splenomegaly” by his university clinic in </w:t>
      </w:r>
      <w:r w:rsidR="00BA3A97" w:rsidRPr="000C6C65">
        <w:rPr>
          <w:rFonts w:ascii="Book Antiqua" w:eastAsia="BaskervilleNo2BT-Roman" w:hAnsi="Book Antiqua" w:cs="Times New Roman"/>
          <w:sz w:val="20"/>
          <w:szCs w:val="20"/>
        </w:rPr>
        <w:t>2013 and</w:t>
      </w:r>
      <w:r w:rsidRPr="000C6C65">
        <w:rPr>
          <w:rFonts w:ascii="Book Antiqua" w:eastAsia="BaskervilleNo2BT-Roman" w:hAnsi="Book Antiqua" w:cs="Times New Roman"/>
          <w:sz w:val="20"/>
          <w:szCs w:val="20"/>
        </w:rPr>
        <w:t xml:space="preserve"> suffered from a lithic cholecystitis in 2015.</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r w:rsidRPr="000C6C65">
        <w:rPr>
          <w:rFonts w:ascii="Book Antiqua" w:eastAsia="微软雅黑" w:hAnsi="Book Antiqua" w:cs="Times New Roman"/>
          <w:b/>
          <w:bCs/>
          <w:i/>
          <w:iCs/>
          <w:color w:val="000000"/>
          <w:sz w:val="20"/>
          <w:szCs w:val="20"/>
          <w:shd w:val="clear" w:color="auto" w:fill="FFFFFF"/>
        </w:rPr>
        <w:t>Personal and family history</w:t>
      </w:r>
      <w:r w:rsidRPr="000C6C65">
        <w:rPr>
          <w:rFonts w:ascii="Book Antiqua" w:eastAsia="微软雅黑" w:hAnsi="Book Antiqua" w:cs="Times New Roman"/>
          <w:b/>
          <w:bCs/>
          <w:color w:val="000000"/>
          <w:sz w:val="20"/>
          <w:szCs w:val="20"/>
          <w:shd w:val="clear" w:color="auto" w:fill="FFFFFF"/>
        </w:rPr>
        <w:t xml:space="preserve"> </w:t>
      </w:r>
    </w:p>
    <w:p w:rsidR="002A5A50" w:rsidRPr="000C6C65" w:rsidRDefault="002A5A50" w:rsidP="000C6C65">
      <w:pPr>
        <w:snapToGrid w:val="0"/>
        <w:spacing w:line="360" w:lineRule="auto"/>
        <w:jc w:val="both"/>
        <w:rPr>
          <w:rFonts w:ascii="Book Antiqua" w:eastAsia="微软雅黑" w:hAnsi="Book Antiqua" w:cs="Times New Roman"/>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1 and 2: </w:t>
      </w:r>
      <w:r w:rsidRPr="000C6C65">
        <w:rPr>
          <w:rFonts w:ascii="Book Antiqua" w:eastAsia="微软雅黑" w:hAnsi="Book Antiqua" w:cs="Times New Roman"/>
          <w:sz w:val="20"/>
          <w:szCs w:val="20"/>
          <w:shd w:val="clear" w:color="auto" w:fill="FFFFFF"/>
        </w:rPr>
        <w:t>He did</w:t>
      </w:r>
      <w:r w:rsidR="00771206" w:rsidRPr="000C6C65">
        <w:rPr>
          <w:rFonts w:ascii="Book Antiqua" w:eastAsia="微软雅黑" w:hAnsi="Book Antiqua" w:cs="Times New Roman"/>
          <w:sz w:val="20"/>
          <w:szCs w:val="20"/>
          <w:shd w:val="clear" w:color="auto" w:fill="FFFFFF"/>
        </w:rPr>
        <w:t xml:space="preserve"> </w:t>
      </w:r>
      <w:r w:rsidRPr="000C6C65">
        <w:rPr>
          <w:rFonts w:ascii="Book Antiqua" w:eastAsia="微软雅黑" w:hAnsi="Book Antiqua" w:cs="Times New Roman"/>
          <w:sz w:val="20"/>
          <w:szCs w:val="20"/>
          <w:shd w:val="clear" w:color="auto" w:fill="FFFFFF"/>
        </w:rPr>
        <w:t>n</w:t>
      </w:r>
      <w:r w:rsidR="00771206" w:rsidRPr="000C6C65">
        <w:rPr>
          <w:rFonts w:ascii="Book Antiqua" w:eastAsia="微软雅黑" w:hAnsi="Book Antiqua" w:cs="Times New Roman"/>
          <w:sz w:val="20"/>
          <w:szCs w:val="20"/>
          <w:shd w:val="clear" w:color="auto" w:fill="FFFFFF"/>
        </w:rPr>
        <w:t>o</w:t>
      </w:r>
      <w:r w:rsidRPr="000C6C65">
        <w:rPr>
          <w:rFonts w:ascii="Book Antiqua" w:eastAsia="微软雅黑" w:hAnsi="Book Antiqua" w:cs="Times New Roman"/>
          <w:sz w:val="20"/>
          <w:szCs w:val="20"/>
          <w:shd w:val="clear" w:color="auto" w:fill="FFFFFF"/>
        </w:rPr>
        <w:t xml:space="preserve">t smoke or drink a </w:t>
      </w:r>
      <w:r w:rsidR="00BA3A97" w:rsidRPr="000C6C65">
        <w:rPr>
          <w:rFonts w:ascii="Book Antiqua" w:eastAsia="微软雅黑" w:hAnsi="Book Antiqua" w:cs="Times New Roman"/>
          <w:sz w:val="20"/>
          <w:szCs w:val="20"/>
          <w:shd w:val="clear" w:color="auto" w:fill="FFFFFF"/>
        </w:rPr>
        <w:t>lot and</w:t>
      </w:r>
      <w:r w:rsidRPr="000C6C65">
        <w:rPr>
          <w:rFonts w:ascii="Book Antiqua" w:eastAsia="微软雅黑" w:hAnsi="Book Antiqua" w:cs="Times New Roman"/>
          <w:sz w:val="20"/>
          <w:szCs w:val="20"/>
          <w:shd w:val="clear" w:color="auto" w:fill="FFFFFF"/>
        </w:rPr>
        <w:t xml:space="preserve"> denied any persistent jaundice in his family history.</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3: </w:t>
      </w:r>
      <w:r w:rsidRPr="000C6C65">
        <w:rPr>
          <w:rFonts w:ascii="Book Antiqua" w:eastAsia="BaskervilleNo2BT-Roman" w:hAnsi="Book Antiqua" w:cs="Times New Roman"/>
          <w:sz w:val="20"/>
          <w:szCs w:val="20"/>
        </w:rPr>
        <w:t>The patient had always been in good health apart from jaundice. His parents had passed away.</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4: </w:t>
      </w:r>
      <w:r w:rsidRPr="000C6C65">
        <w:rPr>
          <w:rFonts w:ascii="Book Antiqua" w:eastAsia="BaskervilleNo2BT-Roman" w:hAnsi="Book Antiqua" w:cs="Times New Roman"/>
          <w:sz w:val="20"/>
          <w:szCs w:val="20"/>
        </w:rPr>
        <w:t>He had no bad habits and denied any persistent jaundice in his family history.</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5 and 6:</w:t>
      </w:r>
      <w:r w:rsidR="007A5608" w:rsidRPr="000C6C65">
        <w:rPr>
          <w:rFonts w:ascii="Book Antiqua" w:eastAsia="微软雅黑" w:hAnsi="Book Antiqua" w:cs="Times New Roman"/>
          <w:b/>
          <w:bCs/>
          <w:color w:val="000000"/>
          <w:sz w:val="20"/>
          <w:szCs w:val="20"/>
          <w:shd w:val="clear" w:color="auto" w:fill="FFFFFF"/>
        </w:rPr>
        <w:t xml:space="preserve"> </w:t>
      </w:r>
      <w:r w:rsidR="007A5608" w:rsidRPr="000C6C65">
        <w:rPr>
          <w:rFonts w:ascii="Book Antiqua" w:eastAsia="BaskervilleNo2BT-Roman" w:hAnsi="Book Antiqua" w:cs="Times New Roman"/>
          <w:sz w:val="20"/>
          <w:szCs w:val="20"/>
        </w:rPr>
        <w:t>There was no special discovery in his personal history. However, family history revealed his father had mild jaundice.</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r w:rsidRPr="000C6C65">
        <w:rPr>
          <w:rFonts w:ascii="Book Antiqua" w:eastAsia="微软雅黑" w:hAnsi="Book Antiqua" w:cs="Times New Roman"/>
          <w:b/>
          <w:bCs/>
          <w:i/>
          <w:iCs/>
          <w:color w:val="000000"/>
          <w:sz w:val="20"/>
          <w:szCs w:val="20"/>
          <w:shd w:val="clear" w:color="auto" w:fill="FFFFFF"/>
        </w:rPr>
        <w:t>Physical examination</w:t>
      </w:r>
      <w:r w:rsidRPr="000C6C65">
        <w:rPr>
          <w:rFonts w:ascii="Book Antiqua" w:eastAsia="微软雅黑" w:hAnsi="Book Antiqua" w:cs="Times New Roman"/>
          <w:b/>
          <w:bCs/>
          <w:color w:val="000000"/>
          <w:sz w:val="20"/>
          <w:szCs w:val="20"/>
          <w:shd w:val="clear" w:color="auto" w:fill="FFFFFF"/>
        </w:rPr>
        <w:t xml:space="preserve"> </w:t>
      </w:r>
    </w:p>
    <w:p w:rsidR="002A5A50" w:rsidRPr="000C6C65" w:rsidRDefault="002A5A50" w:rsidP="000C6C65">
      <w:pPr>
        <w:snapToGrid w:val="0"/>
        <w:spacing w:line="360" w:lineRule="auto"/>
        <w:jc w:val="both"/>
        <w:rPr>
          <w:rFonts w:ascii="Book Antiqua" w:eastAsia="微软雅黑" w:hAnsi="Book Antiqua" w:cs="Times New Roman"/>
          <w:color w:val="000000"/>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1 and 2: </w:t>
      </w:r>
      <w:r w:rsidRPr="000C6C65">
        <w:rPr>
          <w:rFonts w:ascii="Book Antiqua" w:eastAsia="微软雅黑" w:hAnsi="Book Antiqua" w:cs="Times New Roman"/>
          <w:color w:val="000000"/>
          <w:sz w:val="20"/>
          <w:szCs w:val="20"/>
          <w:shd w:val="clear" w:color="auto" w:fill="FFFFFF"/>
        </w:rPr>
        <w:t>A physical examination revealed only mild icterus of the sclera and a seemly palpable spleen just below the left costal.</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3: </w:t>
      </w:r>
      <w:r w:rsidRPr="000C6C65">
        <w:rPr>
          <w:rFonts w:ascii="Book Antiqua" w:eastAsia="BaskervilleNo2BT-Roman" w:hAnsi="Book Antiqua" w:cs="Times New Roman"/>
          <w:sz w:val="20"/>
          <w:szCs w:val="20"/>
        </w:rPr>
        <w:t>A physical examination revealed only mild icterus of the sclera.</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4: </w:t>
      </w:r>
      <w:r w:rsidRPr="000C6C65">
        <w:rPr>
          <w:rFonts w:ascii="Book Antiqua" w:eastAsia="BaskervilleNo2BT-Roman" w:hAnsi="Book Antiqua" w:cs="Times New Roman"/>
          <w:sz w:val="20"/>
          <w:szCs w:val="20"/>
        </w:rPr>
        <w:t>Normal.</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5 and 6:</w:t>
      </w:r>
      <w:r w:rsidR="007A5608" w:rsidRPr="000C6C65">
        <w:rPr>
          <w:rFonts w:ascii="Book Antiqua" w:eastAsia="微软雅黑" w:hAnsi="Book Antiqua" w:cs="Times New Roman"/>
          <w:b/>
          <w:bCs/>
          <w:color w:val="000000"/>
          <w:sz w:val="20"/>
          <w:szCs w:val="20"/>
          <w:shd w:val="clear" w:color="auto" w:fill="FFFFFF"/>
        </w:rPr>
        <w:t xml:space="preserve"> </w:t>
      </w:r>
      <w:r w:rsidR="007A5608" w:rsidRPr="000C6C65">
        <w:rPr>
          <w:rFonts w:ascii="Book Antiqua" w:eastAsia="BaskervilleNo2BT-Roman" w:hAnsi="Book Antiqua" w:cs="Times New Roman"/>
          <w:sz w:val="20"/>
          <w:szCs w:val="20"/>
        </w:rPr>
        <w:t>A physical examination revealed mild icterus of the sclera and a palpable spleen at 1.0 cm below the left costal.</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snapToGrid w:val="0"/>
        <w:spacing w:line="360" w:lineRule="auto"/>
        <w:jc w:val="both"/>
        <w:rPr>
          <w:rFonts w:ascii="Book Antiqua" w:eastAsia="微软雅黑" w:hAnsi="Book Antiqua" w:cs="Times New Roman"/>
          <w:b/>
          <w:bCs/>
          <w:i/>
          <w:iCs/>
          <w:color w:val="000000"/>
          <w:sz w:val="20"/>
          <w:szCs w:val="20"/>
          <w:shd w:val="clear" w:color="auto" w:fill="FFFFFF"/>
        </w:rPr>
      </w:pPr>
      <w:r w:rsidRPr="000C6C65">
        <w:rPr>
          <w:rFonts w:ascii="Book Antiqua" w:eastAsia="微软雅黑" w:hAnsi="Book Antiqua" w:cs="Times New Roman"/>
          <w:b/>
          <w:bCs/>
          <w:i/>
          <w:iCs/>
          <w:color w:val="000000"/>
          <w:sz w:val="20"/>
          <w:szCs w:val="20"/>
          <w:shd w:val="clear" w:color="auto" w:fill="FFFFFF"/>
        </w:rPr>
        <w:t>Laboratory examinations</w:t>
      </w:r>
    </w:p>
    <w:p w:rsidR="002A5A50" w:rsidRPr="000C6C65" w:rsidRDefault="002A5A50" w:rsidP="000C6C65">
      <w:pPr>
        <w:snapToGrid w:val="0"/>
        <w:spacing w:line="360" w:lineRule="auto"/>
        <w:jc w:val="both"/>
        <w:rPr>
          <w:rFonts w:ascii="Book Antiqua" w:eastAsia="微软雅黑" w:hAnsi="Book Antiqua" w:cs="Times New Roman"/>
          <w:color w:val="FF0000"/>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1 and 2: </w:t>
      </w:r>
      <w:r w:rsidRPr="000C6C65">
        <w:rPr>
          <w:rFonts w:ascii="Book Antiqua" w:eastAsia="微软雅黑" w:hAnsi="Book Antiqua" w:cs="Times New Roman"/>
          <w:color w:val="000000"/>
          <w:sz w:val="20"/>
          <w:szCs w:val="20"/>
          <w:shd w:val="clear" w:color="auto" w:fill="FFFFFF"/>
        </w:rPr>
        <w:t xml:space="preserve">A routine blood test showed </w:t>
      </w:r>
      <w:bookmarkStart w:id="17" w:name="_Hlk16713176"/>
      <w:r w:rsidRPr="000C6C65">
        <w:rPr>
          <w:rFonts w:ascii="Book Antiqua" w:eastAsia="微软雅黑" w:hAnsi="Book Antiqua" w:cs="Times New Roman"/>
          <w:color w:val="000000"/>
          <w:sz w:val="20"/>
          <w:szCs w:val="20"/>
          <w:shd w:val="clear" w:color="auto" w:fill="FFFFFF"/>
        </w:rPr>
        <w:t xml:space="preserve">a </w:t>
      </w:r>
      <w:bookmarkEnd w:id="17"/>
      <w:r w:rsidRPr="000C6C65">
        <w:rPr>
          <w:rFonts w:ascii="Book Antiqua" w:eastAsia="微软雅黑" w:hAnsi="Book Antiqua" w:cs="Times New Roman"/>
          <w:color w:val="000000"/>
          <w:sz w:val="20"/>
          <w:szCs w:val="20"/>
          <w:shd w:val="clear" w:color="auto" w:fill="FFFFFF"/>
        </w:rPr>
        <w:t xml:space="preserve">slightly increased reticulocyte ratio (7.17%) with normal hemoglobin (15.8 g/dL) and RBC indexes. A peripheral blood smear was reported normal. </w:t>
      </w:r>
      <w:bookmarkStart w:id="18" w:name="_Hlk22669432"/>
      <w:r w:rsidR="00DA72A0" w:rsidRPr="000C6C65">
        <w:rPr>
          <w:rFonts w:ascii="Book Antiqua" w:eastAsia="微软雅黑" w:hAnsi="Book Antiqua" w:cs="Times New Roman"/>
          <w:color w:val="000000"/>
          <w:sz w:val="20"/>
          <w:szCs w:val="20"/>
          <w:shd w:val="clear" w:color="auto" w:fill="FFFFFF"/>
        </w:rPr>
        <w:t>Glucose-6-phosphate dehydrogenase</w:t>
      </w:r>
      <w:r w:rsidRPr="000C6C65">
        <w:rPr>
          <w:rFonts w:ascii="Book Antiqua" w:eastAsia="微软雅黑" w:hAnsi="Book Antiqua" w:cs="Times New Roman"/>
          <w:color w:val="000000"/>
          <w:sz w:val="20"/>
          <w:szCs w:val="20"/>
          <w:shd w:val="clear" w:color="auto" w:fill="FFFFFF"/>
        </w:rPr>
        <w:t xml:space="preserve"> activity of RBC was normal</w:t>
      </w:r>
      <w:r w:rsidR="00DA72A0" w:rsidRPr="000C6C65">
        <w:rPr>
          <w:rFonts w:ascii="Book Antiqua" w:eastAsia="微软雅黑" w:hAnsi="Book Antiqua" w:cs="Times New Roman"/>
          <w:color w:val="000000"/>
          <w:sz w:val="20"/>
          <w:szCs w:val="20"/>
          <w:shd w:val="clear" w:color="auto" w:fill="FFFFFF"/>
        </w:rPr>
        <w:t>,</w:t>
      </w:r>
      <w:r w:rsidRPr="000C6C65">
        <w:rPr>
          <w:rFonts w:ascii="Book Antiqua" w:eastAsia="微软雅黑" w:hAnsi="Book Antiqua" w:cs="Times New Roman"/>
          <w:color w:val="000000"/>
          <w:sz w:val="20"/>
          <w:szCs w:val="20"/>
          <w:shd w:val="clear" w:color="auto" w:fill="FFFFFF"/>
        </w:rPr>
        <w:t xml:space="preserve"> and the Coomb’s test was negative. </w:t>
      </w:r>
      <w:bookmarkEnd w:id="18"/>
      <w:r w:rsidRPr="000C6C65">
        <w:rPr>
          <w:rFonts w:ascii="Book Antiqua" w:eastAsia="微软雅黑" w:hAnsi="Book Antiqua" w:cs="Times New Roman"/>
          <w:color w:val="000000"/>
          <w:sz w:val="20"/>
          <w:szCs w:val="20"/>
          <w:shd w:val="clear" w:color="auto" w:fill="FFFFFF"/>
        </w:rPr>
        <w:t xml:space="preserve">Liver function tests revealed an isolated </w:t>
      </w:r>
      <w:bookmarkStart w:id="19" w:name="_Hlk34425732"/>
      <w:r w:rsidRPr="000C6C65">
        <w:rPr>
          <w:rFonts w:ascii="Book Antiqua" w:eastAsia="微软雅黑" w:hAnsi="Book Antiqua" w:cs="Times New Roman"/>
          <w:color w:val="000000"/>
          <w:sz w:val="20"/>
          <w:szCs w:val="20"/>
          <w:shd w:val="clear" w:color="auto" w:fill="FFFFFF"/>
        </w:rPr>
        <w:t>unconjugated hyperbilirubinemia</w:t>
      </w:r>
      <w:bookmarkEnd w:id="19"/>
      <w:r w:rsidRPr="000C6C65">
        <w:rPr>
          <w:rFonts w:ascii="Book Antiqua" w:eastAsia="微软雅黑" w:hAnsi="Book Antiqua" w:cs="Times New Roman"/>
          <w:color w:val="000000"/>
          <w:sz w:val="20"/>
          <w:szCs w:val="20"/>
          <w:shd w:val="clear" w:color="auto" w:fill="FFFFFF"/>
        </w:rPr>
        <w:t xml:space="preserve"> as indicated by an increased total bilirubin (56.6 μmol/L) and indirect bilirubin (46.7 μmol/L) with normal albumin, globin</w:t>
      </w:r>
      <w:r w:rsidR="00DA72A0" w:rsidRPr="000C6C65">
        <w:rPr>
          <w:rFonts w:ascii="Book Antiqua" w:eastAsia="微软雅黑" w:hAnsi="Book Antiqua" w:cs="Times New Roman"/>
          <w:color w:val="000000"/>
          <w:sz w:val="20"/>
          <w:szCs w:val="20"/>
          <w:shd w:val="clear" w:color="auto" w:fill="FFFFFF"/>
        </w:rPr>
        <w:t>,</w:t>
      </w:r>
      <w:r w:rsidRPr="000C6C65">
        <w:rPr>
          <w:rFonts w:ascii="Book Antiqua" w:eastAsia="微软雅黑" w:hAnsi="Book Antiqua" w:cs="Times New Roman"/>
          <w:color w:val="000000"/>
          <w:sz w:val="20"/>
          <w:szCs w:val="20"/>
          <w:shd w:val="clear" w:color="auto" w:fill="FFFFFF"/>
        </w:rPr>
        <w:t xml:space="preserve"> and hepatic enzymes (Table 1). The RBC lifespan determined by an automated Levitt’s breath CO test was 28 d, far below the average normal value of 120 d</w:t>
      </w:r>
      <w:r w:rsidRPr="000C6C65">
        <w:rPr>
          <w:rFonts w:ascii="Book Antiqua" w:eastAsia="微软雅黑" w:hAnsi="Book Antiqua" w:cs="Times New Roman"/>
          <w:sz w:val="20"/>
          <w:szCs w:val="20"/>
          <w:shd w:val="clear" w:color="auto" w:fill="FFFFFF"/>
          <w:vertAlign w:val="superscript"/>
        </w:rPr>
        <w:t>[12]</w:t>
      </w:r>
      <w:r w:rsidRPr="000C6C65">
        <w:rPr>
          <w:rFonts w:ascii="Book Antiqua" w:eastAsia="微软雅黑" w:hAnsi="Book Antiqua" w:cs="Times New Roman"/>
          <w:color w:val="000000"/>
          <w:sz w:val="20"/>
          <w:szCs w:val="20"/>
          <w:shd w:val="clear" w:color="auto" w:fill="FFFFFF"/>
        </w:rPr>
        <w:t>.</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3: </w:t>
      </w:r>
      <w:r w:rsidRPr="000C6C65">
        <w:rPr>
          <w:rFonts w:ascii="Book Antiqua" w:eastAsia="BaskervilleNo2BT-Roman" w:hAnsi="Book Antiqua" w:cs="Times New Roman"/>
          <w:sz w:val="20"/>
          <w:szCs w:val="20"/>
        </w:rPr>
        <w:t>Initial routine blood test was normal with hemoglobin 15.4 g/dL and reticulocyte ratio of 2.55%. A peripheral blood smear was reported normal. Liver function test indicated isolated unconjugated hyperbilirubinemia with serum total bilirubin 75.3 μmol/L, direct bilirubin 9.3 μmol/L</w:t>
      </w:r>
      <w:r w:rsidR="00DA72A0"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rPr>
        <w:t xml:space="preserve"> and indirect bilirubin 66.0</w:t>
      </w:r>
      <w:bookmarkStart w:id="20" w:name="_Hlk22756146"/>
      <w:r w:rsidRPr="000C6C65">
        <w:rPr>
          <w:rFonts w:ascii="Book Antiqua" w:eastAsia="BaskervilleNo2BT-Roman" w:hAnsi="Book Antiqua" w:cs="Times New Roman"/>
          <w:sz w:val="20"/>
          <w:szCs w:val="20"/>
        </w:rPr>
        <w:t xml:space="preserve"> μmol/L</w:t>
      </w:r>
      <w:bookmarkEnd w:id="20"/>
      <w:r w:rsidRPr="000C6C65">
        <w:rPr>
          <w:rFonts w:ascii="Book Antiqua" w:eastAsia="BaskervilleNo2BT-Roman" w:hAnsi="Book Antiqua" w:cs="Times New Roman"/>
          <w:sz w:val="20"/>
          <w:szCs w:val="20"/>
        </w:rPr>
        <w:t>, respectively. CO breath test showed an abnormally shortened RBC lifespan (50 d).</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4: </w:t>
      </w:r>
      <w:r w:rsidRPr="000C6C65">
        <w:rPr>
          <w:rFonts w:ascii="Book Antiqua" w:eastAsia="BaskervilleNo2BT-Roman" w:hAnsi="Book Antiqua" w:cs="Times New Roman"/>
          <w:sz w:val="20"/>
          <w:szCs w:val="20"/>
        </w:rPr>
        <w:t>The</w:t>
      </w:r>
      <w:r w:rsidR="00DA72A0" w:rsidRPr="000C6C65">
        <w:rPr>
          <w:rFonts w:ascii="Book Antiqua" w:eastAsia="BaskervilleNo2BT-Roman" w:hAnsi="Book Antiqua" w:cs="Times New Roman"/>
          <w:sz w:val="20"/>
          <w:szCs w:val="20"/>
        </w:rPr>
        <w:t xml:space="preserve"> routine</w:t>
      </w:r>
      <w:r w:rsidRPr="000C6C65">
        <w:rPr>
          <w:rFonts w:ascii="Book Antiqua" w:eastAsia="BaskervilleNo2BT-Roman" w:hAnsi="Book Antiqua" w:cs="Times New Roman"/>
          <w:sz w:val="20"/>
          <w:szCs w:val="20"/>
        </w:rPr>
        <w:t xml:space="preserve"> blood test on the day of </w:t>
      </w:r>
      <w:r w:rsidR="00DA72A0" w:rsidRPr="000C6C65">
        <w:rPr>
          <w:rFonts w:ascii="Book Antiqua" w:eastAsia="BaskervilleNo2BT-Roman" w:hAnsi="Book Antiqua" w:cs="Times New Roman"/>
          <w:sz w:val="20"/>
          <w:szCs w:val="20"/>
        </w:rPr>
        <w:t xml:space="preserve">the </w:t>
      </w:r>
      <w:r w:rsidRPr="000C6C65">
        <w:rPr>
          <w:rFonts w:ascii="Book Antiqua" w:eastAsia="BaskervilleNo2BT-Roman" w:hAnsi="Book Antiqua" w:cs="Times New Roman"/>
          <w:sz w:val="20"/>
          <w:szCs w:val="20"/>
        </w:rPr>
        <w:t xml:space="preserve">breath test was completely normal with hemoglobin 12.3 g/dL and reticulocyte ratio 1.7%. Meanwhile, liver function test revealed isolated unconjugated hyperbilirubinemia as his repeated past results, with serum total bilirubin </w:t>
      </w:r>
      <w:bookmarkStart w:id="21" w:name="_Hlk22896253"/>
      <w:r w:rsidRPr="000C6C65">
        <w:rPr>
          <w:rFonts w:ascii="Book Antiqua" w:eastAsia="BaskervilleNo2BT-Roman" w:hAnsi="Book Antiqua" w:cs="Times New Roman"/>
          <w:sz w:val="20"/>
          <w:szCs w:val="20"/>
        </w:rPr>
        <w:t>25.7 μmol/L</w:t>
      </w:r>
      <w:bookmarkEnd w:id="21"/>
      <w:r w:rsidRPr="000C6C65">
        <w:rPr>
          <w:rFonts w:ascii="Book Antiqua" w:eastAsia="BaskervilleNo2BT-Roman" w:hAnsi="Book Antiqua" w:cs="Times New Roman"/>
          <w:sz w:val="20"/>
          <w:szCs w:val="20"/>
        </w:rPr>
        <w:t>, direct bilirubin 8.5 μmol/L</w:t>
      </w:r>
      <w:r w:rsidR="00DA72A0"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rPr>
        <w:t xml:space="preserve"> and indirect bilirubin 17.2 μmol/L. Surprisingly, his RBC lifespan measured by breath test was only 29 d.</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5 and 6:</w:t>
      </w:r>
      <w:r w:rsidR="007A5608" w:rsidRPr="000C6C65">
        <w:rPr>
          <w:rFonts w:ascii="Book Antiqua" w:eastAsia="微软雅黑" w:hAnsi="Book Antiqua" w:cs="Times New Roman"/>
          <w:b/>
          <w:bCs/>
          <w:color w:val="000000"/>
          <w:sz w:val="20"/>
          <w:szCs w:val="20"/>
          <w:shd w:val="clear" w:color="auto" w:fill="FFFFFF"/>
        </w:rPr>
        <w:t xml:space="preserve"> </w:t>
      </w:r>
      <w:r w:rsidR="007A5608" w:rsidRPr="000C6C65">
        <w:rPr>
          <w:rFonts w:ascii="Book Antiqua" w:eastAsia="BaskervilleNo2BT-Roman" w:hAnsi="Book Antiqua" w:cs="Times New Roman"/>
          <w:sz w:val="20"/>
          <w:szCs w:val="20"/>
        </w:rPr>
        <w:t xml:space="preserve">Initial routine blood test showed a mild anemia (hemoglobin 11.6 g/dL) and significantly elevated reticulocyte ratio (10.45%). The peripheral blood smear revealed easily seen spherocytes. Liver function test </w:t>
      </w:r>
      <w:r w:rsidR="00DA72A0" w:rsidRPr="000C6C65">
        <w:rPr>
          <w:rFonts w:ascii="Book Antiqua" w:eastAsia="BaskervilleNo2BT-Roman" w:hAnsi="Book Antiqua" w:cs="Times New Roman"/>
          <w:sz w:val="20"/>
          <w:szCs w:val="20"/>
        </w:rPr>
        <w:t>indicated</w:t>
      </w:r>
      <w:r w:rsidR="007A5608" w:rsidRPr="000C6C65">
        <w:rPr>
          <w:rFonts w:ascii="Book Antiqua" w:eastAsia="BaskervilleNo2BT-Roman" w:hAnsi="Book Antiqua" w:cs="Times New Roman"/>
          <w:sz w:val="20"/>
          <w:szCs w:val="20"/>
        </w:rPr>
        <w:t xml:space="preserve"> isolated unconjugated hyperbilirub</w:t>
      </w:r>
      <w:r w:rsidR="00DE15C4" w:rsidRPr="000C6C65">
        <w:rPr>
          <w:rFonts w:ascii="Book Antiqua" w:eastAsia="BaskervilleNo2BT-Roman" w:hAnsi="Book Antiqua" w:cs="Times New Roman"/>
          <w:sz w:val="20"/>
          <w:szCs w:val="20"/>
        </w:rPr>
        <w:t>inemia</w:t>
      </w:r>
      <w:r w:rsidR="007A5608" w:rsidRPr="000C6C65">
        <w:rPr>
          <w:rFonts w:ascii="Book Antiqua" w:eastAsia="BaskervilleNo2BT-Roman" w:hAnsi="Book Antiqua" w:cs="Times New Roman"/>
          <w:sz w:val="20"/>
          <w:szCs w:val="20"/>
        </w:rPr>
        <w:t xml:space="preserve"> with total bilirubin 75.4 μmol/L and direct bilirubin 6.7 μmol/L. His RBC lifespan measured by CO breath test was 13 d.</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snapToGrid w:val="0"/>
        <w:spacing w:line="360" w:lineRule="auto"/>
        <w:jc w:val="both"/>
        <w:rPr>
          <w:rFonts w:ascii="Book Antiqua" w:eastAsia="微软雅黑" w:hAnsi="Book Antiqua" w:cs="Times New Roman"/>
          <w:b/>
          <w:bCs/>
          <w:i/>
          <w:iCs/>
          <w:color w:val="000000"/>
          <w:sz w:val="20"/>
          <w:szCs w:val="20"/>
          <w:shd w:val="clear" w:color="auto" w:fill="FFFFFF"/>
        </w:rPr>
      </w:pPr>
      <w:r w:rsidRPr="000C6C65">
        <w:rPr>
          <w:rFonts w:ascii="Book Antiqua" w:eastAsia="微软雅黑" w:hAnsi="Book Antiqua" w:cs="Times New Roman"/>
          <w:b/>
          <w:bCs/>
          <w:i/>
          <w:iCs/>
          <w:color w:val="000000"/>
          <w:sz w:val="20"/>
          <w:szCs w:val="20"/>
          <w:shd w:val="clear" w:color="auto" w:fill="FFFFFF"/>
        </w:rPr>
        <w:t>Imaging examinations</w:t>
      </w:r>
    </w:p>
    <w:p w:rsidR="002A5A50" w:rsidRPr="000C6C65" w:rsidRDefault="002A5A50" w:rsidP="000C6C65">
      <w:pPr>
        <w:snapToGrid w:val="0"/>
        <w:spacing w:line="360" w:lineRule="auto"/>
        <w:jc w:val="both"/>
        <w:rPr>
          <w:rFonts w:ascii="Book Antiqua" w:eastAsia="微软雅黑" w:hAnsi="Book Antiqua" w:cs="Times New Roman"/>
          <w:color w:val="FF0000"/>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1 and 2: </w:t>
      </w:r>
      <w:r w:rsidRPr="000C6C65">
        <w:rPr>
          <w:rFonts w:ascii="Book Antiqua" w:eastAsia="微软雅黑" w:hAnsi="Book Antiqua" w:cs="Times New Roman"/>
          <w:color w:val="000000"/>
          <w:sz w:val="20"/>
          <w:szCs w:val="20"/>
          <w:shd w:val="clear" w:color="auto" w:fill="FFFFFF"/>
        </w:rPr>
        <w:t>Abdominal ultrasonography revealed a slight splenomegaly.</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3: </w:t>
      </w:r>
      <w:r w:rsidRPr="000C6C65">
        <w:rPr>
          <w:rFonts w:ascii="Book Antiqua" w:eastAsia="BaskervilleNo2BT-Roman" w:hAnsi="Book Antiqua" w:cs="Times New Roman"/>
          <w:sz w:val="20"/>
          <w:szCs w:val="20"/>
        </w:rPr>
        <w:t>Abdominal ultrasonography was normal.</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4: </w:t>
      </w:r>
      <w:r w:rsidRPr="000C6C65">
        <w:rPr>
          <w:rFonts w:ascii="Book Antiqua" w:eastAsia="BaskervilleNo2BT-Roman" w:hAnsi="Book Antiqua" w:cs="Times New Roman"/>
          <w:sz w:val="20"/>
          <w:szCs w:val="20"/>
        </w:rPr>
        <w:t>Abdominal ultrasonography reported normal without gallstone.</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5 and 6:</w:t>
      </w:r>
      <w:r w:rsidR="007A5608" w:rsidRPr="000C6C65">
        <w:rPr>
          <w:rFonts w:ascii="Book Antiqua" w:eastAsia="微软雅黑" w:hAnsi="Book Antiqua" w:cs="Times New Roman"/>
          <w:b/>
          <w:bCs/>
          <w:color w:val="000000"/>
          <w:sz w:val="20"/>
          <w:szCs w:val="20"/>
          <w:shd w:val="clear" w:color="auto" w:fill="FFFFFF"/>
        </w:rPr>
        <w:t xml:space="preserve"> </w:t>
      </w:r>
      <w:r w:rsidR="007A5608" w:rsidRPr="000C6C65">
        <w:rPr>
          <w:rFonts w:ascii="Book Antiqua" w:eastAsia="BaskervilleNo2BT-Roman" w:hAnsi="Book Antiqua" w:cs="Times New Roman"/>
          <w:sz w:val="20"/>
          <w:szCs w:val="20"/>
        </w:rPr>
        <w:t xml:space="preserve">Abdominal ultrasonography displayed </w:t>
      </w:r>
      <w:r w:rsidR="00BA3A97" w:rsidRPr="000C6C65">
        <w:rPr>
          <w:rFonts w:ascii="Book Antiqua" w:eastAsia="BaskervilleNo2BT-Roman" w:hAnsi="Book Antiqua" w:cs="Times New Roman"/>
          <w:sz w:val="20"/>
          <w:szCs w:val="20"/>
        </w:rPr>
        <w:t>an</w:t>
      </w:r>
      <w:r w:rsidR="007A5608" w:rsidRPr="000C6C65">
        <w:rPr>
          <w:rFonts w:ascii="Book Antiqua" w:eastAsia="BaskervilleNo2BT-Roman" w:hAnsi="Book Antiqua" w:cs="Times New Roman"/>
          <w:sz w:val="20"/>
          <w:szCs w:val="20"/>
        </w:rPr>
        <w:t xml:space="preserve"> 8 mm × 4 mm gallstone and mild splenomegaly (199 mm × 73 mm).</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r w:rsidRPr="000C6C65">
        <w:rPr>
          <w:rFonts w:ascii="Book Antiqua" w:eastAsia="微软雅黑" w:hAnsi="Book Antiqua" w:cs="Times New Roman"/>
          <w:b/>
          <w:bCs/>
          <w:i/>
          <w:iCs/>
          <w:color w:val="000000"/>
          <w:sz w:val="20"/>
          <w:szCs w:val="20"/>
          <w:shd w:val="clear" w:color="auto" w:fill="FFFFFF"/>
        </w:rPr>
        <w:t>Further diagnostic work-up</w:t>
      </w:r>
      <w:r w:rsidRPr="000C6C65">
        <w:rPr>
          <w:rFonts w:ascii="Book Antiqua" w:eastAsia="微软雅黑" w:hAnsi="Book Antiqua" w:cs="Times New Roman"/>
          <w:b/>
          <w:bCs/>
          <w:color w:val="000000"/>
          <w:sz w:val="20"/>
          <w:szCs w:val="20"/>
          <w:shd w:val="clear" w:color="auto" w:fill="FFFFFF"/>
        </w:rPr>
        <w:t xml:space="preserve"> </w:t>
      </w:r>
    </w:p>
    <w:p w:rsidR="002A5A50" w:rsidRPr="000C6C65" w:rsidRDefault="002A5A50" w:rsidP="000C6C65">
      <w:pPr>
        <w:snapToGrid w:val="0"/>
        <w:spacing w:line="360" w:lineRule="auto"/>
        <w:jc w:val="both"/>
        <w:rPr>
          <w:rFonts w:ascii="Book Antiqua" w:eastAsia="微软雅黑" w:hAnsi="Book Antiqua" w:cs="Times New Roman"/>
          <w:color w:val="000000"/>
          <w:sz w:val="20"/>
          <w:szCs w:val="20"/>
          <w:shd w:val="clear" w:color="auto" w:fill="FFFFFF"/>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1 and 2: </w:t>
      </w:r>
      <w:r w:rsidRPr="000C6C65">
        <w:rPr>
          <w:rFonts w:ascii="Book Antiqua" w:eastAsia="微软雅黑" w:hAnsi="Book Antiqua" w:cs="Times New Roman"/>
          <w:color w:val="000000"/>
          <w:sz w:val="20"/>
          <w:szCs w:val="20"/>
          <w:shd w:val="clear" w:color="auto" w:fill="FFFFFF"/>
        </w:rPr>
        <w:t>Given the patient’s increased reticulocyte ratio and a significantly short RBC lifespan, we suspected that his jaundice was consequent to a hemolytic disease, despite there being no signs of anemia. However, his hyperbilirubinemia was inconsistent with the level of hemoglobin in a simple hemolytic disease, with the potential exception of GS. Thus, an oral phenobarbital test (40 mg/t</w:t>
      </w:r>
      <w:r w:rsidR="00DE15C4" w:rsidRPr="000C6C65">
        <w:rPr>
          <w:rFonts w:ascii="Book Antiqua" w:eastAsia="微软雅黑" w:hAnsi="Book Antiqua" w:cs="Times New Roman"/>
          <w:color w:val="000000"/>
          <w:sz w:val="20"/>
          <w:szCs w:val="20"/>
          <w:shd w:val="clear" w:color="auto" w:fill="FFFFFF"/>
        </w:rPr>
        <w:t>.</w:t>
      </w:r>
      <w:r w:rsidRPr="000C6C65">
        <w:rPr>
          <w:rFonts w:ascii="Book Antiqua" w:eastAsia="微软雅黑" w:hAnsi="Book Antiqua" w:cs="Times New Roman"/>
          <w:color w:val="000000"/>
          <w:sz w:val="20"/>
          <w:szCs w:val="20"/>
          <w:shd w:val="clear" w:color="auto" w:fill="FFFFFF"/>
        </w:rPr>
        <w:t>i</w:t>
      </w:r>
      <w:r w:rsidR="00DE15C4" w:rsidRPr="000C6C65">
        <w:rPr>
          <w:rFonts w:ascii="Book Antiqua" w:eastAsia="微软雅黑" w:hAnsi="Book Antiqua" w:cs="Times New Roman"/>
          <w:color w:val="000000"/>
          <w:sz w:val="20"/>
          <w:szCs w:val="20"/>
          <w:shd w:val="clear" w:color="auto" w:fill="FFFFFF"/>
        </w:rPr>
        <w:t>.</w:t>
      </w:r>
      <w:r w:rsidRPr="000C6C65">
        <w:rPr>
          <w:rFonts w:ascii="Book Antiqua" w:eastAsia="微软雅黑" w:hAnsi="Book Antiqua" w:cs="Times New Roman"/>
          <w:color w:val="000000"/>
          <w:sz w:val="20"/>
          <w:szCs w:val="20"/>
          <w:shd w:val="clear" w:color="auto" w:fill="FFFFFF"/>
        </w:rPr>
        <w:t>d</w:t>
      </w:r>
      <w:r w:rsidR="00DE15C4" w:rsidRPr="000C6C65">
        <w:rPr>
          <w:rFonts w:ascii="Book Antiqua" w:eastAsia="微软雅黑" w:hAnsi="Book Antiqua" w:cs="Times New Roman"/>
          <w:color w:val="000000"/>
          <w:sz w:val="20"/>
          <w:szCs w:val="20"/>
          <w:shd w:val="clear" w:color="auto" w:fill="FFFFFF"/>
        </w:rPr>
        <w:t>.</w:t>
      </w:r>
      <w:r w:rsidRPr="000C6C65">
        <w:rPr>
          <w:rFonts w:ascii="Book Antiqua" w:eastAsia="微软雅黑" w:hAnsi="Book Antiqua" w:cs="Times New Roman"/>
          <w:color w:val="000000"/>
          <w:sz w:val="20"/>
          <w:szCs w:val="20"/>
          <w:shd w:val="clear" w:color="auto" w:fill="FFFFFF"/>
        </w:rPr>
        <w:t xml:space="preserve"> for </w:t>
      </w:r>
      <w:r w:rsidR="00771206" w:rsidRPr="000C6C65">
        <w:rPr>
          <w:rFonts w:ascii="Book Antiqua" w:eastAsia="微软雅黑" w:hAnsi="Book Antiqua" w:cs="Times New Roman"/>
          <w:color w:val="000000"/>
          <w:sz w:val="20"/>
          <w:szCs w:val="20"/>
          <w:shd w:val="clear" w:color="auto" w:fill="FFFFFF"/>
        </w:rPr>
        <w:t>1 wk</w:t>
      </w:r>
      <w:r w:rsidRPr="000C6C65">
        <w:rPr>
          <w:rFonts w:ascii="Book Antiqua" w:eastAsia="微软雅黑" w:hAnsi="Book Antiqua" w:cs="Times New Roman"/>
          <w:color w:val="000000"/>
          <w:sz w:val="20"/>
          <w:szCs w:val="20"/>
          <w:shd w:val="clear" w:color="auto" w:fill="FFFFFF"/>
        </w:rPr>
        <w:t>) and genetic test for GS were carried out. Serum total bilirubin did not decrease after phenobarbital induc</w:t>
      </w:r>
      <w:r w:rsidR="00771206" w:rsidRPr="000C6C65">
        <w:rPr>
          <w:rFonts w:ascii="Book Antiqua" w:eastAsia="微软雅黑" w:hAnsi="Book Antiqua" w:cs="Times New Roman"/>
          <w:color w:val="000000"/>
          <w:sz w:val="20"/>
          <w:szCs w:val="20"/>
          <w:shd w:val="clear" w:color="auto" w:fill="FFFFFF"/>
        </w:rPr>
        <w:t>tion for 1 wk</w:t>
      </w:r>
      <w:r w:rsidRPr="000C6C65">
        <w:rPr>
          <w:rFonts w:ascii="Book Antiqua" w:eastAsia="微软雅黑" w:hAnsi="Book Antiqua" w:cs="Times New Roman"/>
          <w:color w:val="000000"/>
          <w:sz w:val="20"/>
          <w:szCs w:val="20"/>
          <w:shd w:val="clear" w:color="auto" w:fill="FFFFFF"/>
        </w:rPr>
        <w:t xml:space="preserve">, while </w:t>
      </w:r>
      <w:r w:rsidR="00DA72A0" w:rsidRPr="000C6C65">
        <w:rPr>
          <w:rFonts w:ascii="Book Antiqua" w:eastAsia="微软雅黑" w:hAnsi="Book Antiqua" w:cs="Times New Roman"/>
          <w:color w:val="000000"/>
          <w:sz w:val="20"/>
          <w:szCs w:val="20"/>
          <w:shd w:val="clear" w:color="auto" w:fill="FFFFFF"/>
        </w:rPr>
        <w:t xml:space="preserve">the </w:t>
      </w:r>
      <w:r w:rsidRPr="000C6C65">
        <w:rPr>
          <w:rFonts w:ascii="Book Antiqua" w:eastAsia="微软雅黑" w:hAnsi="Book Antiqua" w:cs="Times New Roman"/>
          <w:color w:val="000000"/>
          <w:sz w:val="20"/>
          <w:szCs w:val="20"/>
          <w:shd w:val="clear" w:color="auto" w:fill="FFFFFF"/>
        </w:rPr>
        <w:t>GS genetic test was positive (Table 1).</w:t>
      </w:r>
    </w:p>
    <w:p w:rsidR="002A5A50" w:rsidRPr="000C6C65" w:rsidRDefault="002A5A50" w:rsidP="000C6C65">
      <w:pPr>
        <w:widowControl w:val="0"/>
        <w:snapToGrid w:val="0"/>
        <w:spacing w:line="360" w:lineRule="auto"/>
        <w:ind w:firstLineChars="100" w:firstLine="200"/>
        <w:jc w:val="both"/>
        <w:rPr>
          <w:rFonts w:ascii="Book Antiqua" w:eastAsia="BaskervilleNo2BT-Roman" w:hAnsi="Book Antiqua" w:cs="Times New Roman"/>
          <w:sz w:val="20"/>
          <w:szCs w:val="20"/>
        </w:rPr>
      </w:pPr>
      <w:r w:rsidRPr="000C6C65">
        <w:rPr>
          <w:rFonts w:ascii="Book Antiqua" w:eastAsia="BaskervilleNo2BT-Roman" w:hAnsi="Book Antiqua" w:cs="Times New Roman"/>
          <w:sz w:val="20"/>
          <w:szCs w:val="20"/>
        </w:rPr>
        <w:t xml:space="preserve">Because long-distance runners </w:t>
      </w:r>
      <w:r w:rsidR="00DA72A0" w:rsidRPr="000C6C65">
        <w:rPr>
          <w:rFonts w:ascii="Book Antiqua" w:eastAsia="BaskervilleNo2BT-Roman" w:hAnsi="Book Antiqua" w:cs="Times New Roman"/>
          <w:sz w:val="20"/>
          <w:szCs w:val="20"/>
        </w:rPr>
        <w:t xml:space="preserve">are </w:t>
      </w:r>
      <w:r w:rsidRPr="000C6C65">
        <w:rPr>
          <w:rFonts w:ascii="Book Antiqua" w:eastAsia="BaskervilleNo2BT-Roman" w:hAnsi="Book Antiqua" w:cs="Times New Roman"/>
          <w:sz w:val="20"/>
          <w:szCs w:val="20"/>
        </w:rPr>
        <w:t>known to exhibit relative</w:t>
      </w:r>
      <w:r w:rsidR="00DA72A0" w:rsidRPr="000C6C65">
        <w:rPr>
          <w:rFonts w:ascii="Book Antiqua" w:eastAsia="BaskervilleNo2BT-Roman" w:hAnsi="Book Antiqua" w:cs="Times New Roman"/>
          <w:sz w:val="20"/>
          <w:szCs w:val="20"/>
        </w:rPr>
        <w:t>ly</w:t>
      </w:r>
      <w:r w:rsidRPr="000C6C65">
        <w:rPr>
          <w:rFonts w:ascii="Book Antiqua" w:eastAsia="BaskervilleNo2BT-Roman" w:hAnsi="Book Antiqua" w:cs="Times New Roman"/>
          <w:sz w:val="20"/>
          <w:szCs w:val="20"/>
        </w:rPr>
        <w:t xml:space="preserve"> short RBC lifespans related to sports hemolysis</w:t>
      </w:r>
      <w:r w:rsidRPr="000C6C65">
        <w:rPr>
          <w:rFonts w:ascii="Book Antiqua" w:eastAsia="BaskervilleNo2BT-Roman" w:hAnsi="Book Antiqua" w:cs="Times New Roman"/>
          <w:sz w:val="20"/>
          <w:szCs w:val="20"/>
          <w:vertAlign w:val="superscript"/>
        </w:rPr>
        <w:t>[13]</w:t>
      </w:r>
      <w:r w:rsidRPr="000C6C65">
        <w:rPr>
          <w:rFonts w:ascii="Book Antiqua" w:eastAsia="BaskervilleNo2BT-Roman" w:hAnsi="Book Antiqua" w:cs="Times New Roman"/>
          <w:sz w:val="20"/>
          <w:szCs w:val="20"/>
        </w:rPr>
        <w:t xml:space="preserve">, the patient was required to stop running or engaging in other strenuous exercise for </w:t>
      </w:r>
      <w:r w:rsidR="00DA72A0" w:rsidRPr="000C6C65">
        <w:rPr>
          <w:rFonts w:ascii="Book Antiqua" w:eastAsia="BaskervilleNo2BT-Roman" w:hAnsi="Book Antiqua" w:cs="Times New Roman"/>
          <w:sz w:val="20"/>
          <w:szCs w:val="20"/>
        </w:rPr>
        <w:t xml:space="preserve">1 </w:t>
      </w:r>
      <w:r w:rsidRPr="000C6C65">
        <w:rPr>
          <w:rFonts w:ascii="Book Antiqua" w:eastAsia="BaskervilleNo2BT-Roman" w:hAnsi="Book Antiqua" w:cs="Times New Roman"/>
          <w:sz w:val="20"/>
          <w:szCs w:val="20"/>
        </w:rPr>
        <w:t>mo. The RBC lifespan re-test showed a still shortened</w:t>
      </w:r>
      <w:r w:rsidR="00DA72A0" w:rsidRPr="000C6C65">
        <w:rPr>
          <w:rFonts w:ascii="Book Antiqua" w:eastAsia="BaskervilleNo2BT-Roman" w:hAnsi="Book Antiqua" w:cs="Times New Roman"/>
          <w:sz w:val="20"/>
          <w:szCs w:val="20"/>
        </w:rPr>
        <w:t xml:space="preserve"> RBC lifespan</w:t>
      </w:r>
      <w:r w:rsidRPr="000C6C65">
        <w:rPr>
          <w:rFonts w:ascii="Book Antiqua" w:eastAsia="BaskervilleNo2BT-Roman" w:hAnsi="Book Antiqua" w:cs="Times New Roman"/>
          <w:sz w:val="20"/>
          <w:szCs w:val="20"/>
        </w:rPr>
        <w:t xml:space="preserve"> (32 d). </w:t>
      </w:r>
      <w:bookmarkStart w:id="22" w:name="OLE_LINK2"/>
      <w:bookmarkStart w:id="23" w:name="OLE_LINK3"/>
      <w:bookmarkStart w:id="24" w:name="OLE_LINK4"/>
      <w:r w:rsidR="00DA72A0" w:rsidRPr="000C6C65">
        <w:rPr>
          <w:rFonts w:ascii="Book Antiqua" w:eastAsia="BaskervilleNo2BT-Roman" w:hAnsi="Book Antiqua" w:cs="Times New Roman"/>
          <w:sz w:val="20"/>
          <w:szCs w:val="20"/>
        </w:rPr>
        <w:t xml:space="preserve">Subsequently, </w:t>
      </w:r>
      <w:r w:rsidRPr="000C6C65">
        <w:rPr>
          <w:rFonts w:ascii="Book Antiqua" w:eastAsia="BaskervilleNo2BT-Roman" w:hAnsi="Book Antiqua" w:cs="Times New Roman"/>
          <w:sz w:val="20"/>
          <w:szCs w:val="20"/>
        </w:rPr>
        <w:t>a hematologist (Dr. Ze-Lin Liu, MD),</w:t>
      </w:r>
      <w:bookmarkEnd w:id="22"/>
      <w:r w:rsidRPr="000C6C65">
        <w:rPr>
          <w:rFonts w:ascii="Book Antiqua" w:eastAsia="BaskervilleNo2BT-Roman" w:hAnsi="Book Antiqua" w:cs="Times New Roman"/>
          <w:sz w:val="20"/>
          <w:szCs w:val="20"/>
        </w:rPr>
        <w:t xml:space="preserve"> whom we consulted, examined the patient’s peripheral blood smear and found a small number of small-bodied globular shaped RBCs with hyperchromia</w:t>
      </w:r>
      <w:bookmarkEnd w:id="23"/>
      <w:r w:rsidRPr="000C6C65">
        <w:rPr>
          <w:rFonts w:ascii="Book Antiqua" w:eastAsia="BaskervilleNo2BT-Roman" w:hAnsi="Book Antiqua" w:cs="Times New Roman"/>
          <w:sz w:val="20"/>
          <w:szCs w:val="20"/>
        </w:rPr>
        <w:t>, suggesting that there might be HS</w:t>
      </w:r>
      <w:bookmarkEnd w:id="24"/>
      <w:r w:rsidRPr="000C6C65">
        <w:rPr>
          <w:rFonts w:ascii="Book Antiqua" w:eastAsia="BaskervilleNo2BT-Roman" w:hAnsi="Book Antiqua" w:cs="Times New Roman"/>
          <w:sz w:val="20"/>
          <w:szCs w:val="20"/>
        </w:rPr>
        <w:t xml:space="preserve"> (Figure 1).</w:t>
      </w:r>
    </w:p>
    <w:p w:rsidR="002A5A50" w:rsidRPr="000C6C65" w:rsidRDefault="002A5A50" w:rsidP="000C6C65">
      <w:pPr>
        <w:widowControl w:val="0"/>
        <w:snapToGrid w:val="0"/>
        <w:spacing w:line="360" w:lineRule="auto"/>
        <w:ind w:firstLineChars="100" w:firstLine="200"/>
        <w:jc w:val="both"/>
        <w:rPr>
          <w:rFonts w:ascii="Book Antiqua" w:eastAsia="BaskervilleNo2BT-Roman" w:hAnsi="Book Antiqua" w:cs="Times New Roman"/>
          <w:sz w:val="20"/>
          <w:szCs w:val="20"/>
        </w:rPr>
      </w:pPr>
      <w:r w:rsidRPr="000C6C65">
        <w:rPr>
          <w:rFonts w:ascii="Book Antiqua" w:eastAsia="BaskervilleNo2BT-Roman" w:hAnsi="Book Antiqua" w:cs="Times New Roman"/>
          <w:sz w:val="20"/>
          <w:szCs w:val="20"/>
        </w:rPr>
        <w:t>To clarify the diagnosis, the patient’s parents also were evaluated. As shown in Table 1, his father (</w:t>
      </w:r>
      <w:r w:rsidR="00BA3A97" w:rsidRPr="000C6C65">
        <w:rPr>
          <w:rFonts w:ascii="Book Antiqua" w:eastAsia="BaskervilleNo2BT-Roman" w:hAnsi="Book Antiqua" w:cs="Times New Roman"/>
          <w:sz w:val="20"/>
          <w:szCs w:val="20"/>
        </w:rPr>
        <w:t xml:space="preserve">case </w:t>
      </w:r>
      <w:r w:rsidRPr="000C6C65">
        <w:rPr>
          <w:rFonts w:ascii="Book Antiqua" w:eastAsia="BaskervilleNo2BT-Roman" w:hAnsi="Book Antiqua" w:cs="Times New Roman"/>
          <w:sz w:val="20"/>
          <w:szCs w:val="20"/>
        </w:rPr>
        <w:t xml:space="preserve">2) had mild isolated unconjugated hyperbilirubinemia with serum total bilirubin 22.1 μmol/L and indirect bilirubin 18.7 μmol/L, a significant shortened RBC lifespan, and a few spherocytes and easily seen acanthocytes, whereas his mother had a slightly high reticulocyte ratio, a few spherocytes, and a significantly shortened RBC lifespan with a completely normal liver function test. Next generation genetic sequence analysis showed that the patient was heterozygous for both the </w:t>
      </w:r>
      <w:r w:rsidRPr="000C6C65">
        <w:rPr>
          <w:rFonts w:ascii="Book Antiqua" w:eastAsia="BaskervilleNo2BT-Roman" w:hAnsi="Book Antiqua" w:cs="Times New Roman"/>
          <w:i/>
          <w:iCs/>
          <w:sz w:val="20"/>
          <w:szCs w:val="20"/>
        </w:rPr>
        <w:t>UGT1A1</w:t>
      </w:r>
      <w:r w:rsidRPr="000C6C65">
        <w:rPr>
          <w:rFonts w:ascii="Book Antiqua" w:eastAsia="BaskervilleNo2BT-Roman" w:hAnsi="Book Antiqua" w:cs="Times New Roman"/>
          <w:sz w:val="20"/>
          <w:szCs w:val="20"/>
        </w:rPr>
        <w:t xml:space="preserve"> c.211G</w:t>
      </w:r>
      <w:r w:rsidR="00AD2EFD"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rPr>
        <w:t xml:space="preserve">A (a.k.a. </w:t>
      </w:r>
      <w:r w:rsidRPr="000C6C65">
        <w:rPr>
          <w:rFonts w:ascii="Book Antiqua" w:eastAsia="BaskervilleNo2BT-Roman" w:hAnsi="Book Antiqua" w:cs="Times New Roman"/>
          <w:i/>
          <w:iCs/>
          <w:sz w:val="20"/>
          <w:szCs w:val="20"/>
        </w:rPr>
        <w:t>UGT1A1</w:t>
      </w:r>
      <w:r w:rsidRPr="000C6C65">
        <w:rPr>
          <w:rFonts w:ascii="Book Antiqua" w:eastAsia="BaskervilleNo2BT-Roman" w:hAnsi="Book Antiqua" w:cs="Times New Roman"/>
          <w:sz w:val="20"/>
          <w:szCs w:val="20"/>
        </w:rPr>
        <w:t xml:space="preserve">*6) mutation, which he shared </w:t>
      </w:r>
      <w:r w:rsidR="00DA72A0" w:rsidRPr="000C6C65">
        <w:rPr>
          <w:rFonts w:ascii="Book Antiqua" w:eastAsia="BaskervilleNo2BT-Roman" w:hAnsi="Book Antiqua" w:cs="Times New Roman"/>
          <w:sz w:val="20"/>
          <w:szCs w:val="20"/>
        </w:rPr>
        <w:t xml:space="preserve">with </w:t>
      </w:r>
      <w:r w:rsidRPr="000C6C65">
        <w:rPr>
          <w:rFonts w:ascii="Book Antiqua" w:eastAsia="BaskervilleNo2BT-Roman" w:hAnsi="Book Antiqua" w:cs="Times New Roman"/>
          <w:sz w:val="20"/>
          <w:szCs w:val="20"/>
        </w:rPr>
        <w:t>his father, and the</w:t>
      </w:r>
      <w:bookmarkStart w:id="25" w:name="_Hlk27316920"/>
      <w:r w:rsidRPr="000C6C65">
        <w:rPr>
          <w:rFonts w:ascii="Book Antiqua" w:eastAsia="BaskervilleNo2BT-Roman" w:hAnsi="Book Antiqua" w:cs="Times New Roman"/>
          <w:sz w:val="20"/>
          <w:szCs w:val="20"/>
        </w:rPr>
        <w:t xml:space="preserve"> </w:t>
      </w:r>
      <w:r w:rsidRPr="000C6C65">
        <w:rPr>
          <w:rFonts w:ascii="Book Antiqua" w:eastAsia="BaskervilleNo2BT-Roman" w:hAnsi="Book Antiqua" w:cs="Times New Roman"/>
          <w:i/>
          <w:iCs/>
          <w:sz w:val="20"/>
          <w:szCs w:val="20"/>
        </w:rPr>
        <w:t>ANK1</w:t>
      </w:r>
      <w:r w:rsidRPr="000C6C65">
        <w:rPr>
          <w:rFonts w:ascii="Book Antiqua" w:eastAsia="BaskervilleNo2BT-Roman" w:hAnsi="Book Antiqua" w:cs="Times New Roman"/>
          <w:sz w:val="20"/>
          <w:szCs w:val="20"/>
        </w:rPr>
        <w:t xml:space="preserve"> c.1801-17G</w:t>
      </w:r>
      <w:r w:rsidR="00AD2EFD"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rPr>
        <w:t>A</w:t>
      </w:r>
      <w:bookmarkEnd w:id="25"/>
      <w:r w:rsidRPr="000C6C65">
        <w:rPr>
          <w:rFonts w:ascii="Book Antiqua" w:eastAsia="BaskervilleNo2BT-Roman" w:hAnsi="Book Antiqua" w:cs="Times New Roman"/>
          <w:sz w:val="20"/>
          <w:szCs w:val="20"/>
        </w:rPr>
        <w:t xml:space="preserve"> mutation, which he shared </w:t>
      </w:r>
      <w:r w:rsidR="00DA72A0" w:rsidRPr="000C6C65">
        <w:rPr>
          <w:rFonts w:ascii="Book Antiqua" w:eastAsia="BaskervilleNo2BT-Roman" w:hAnsi="Book Antiqua" w:cs="Times New Roman"/>
          <w:sz w:val="20"/>
          <w:szCs w:val="20"/>
        </w:rPr>
        <w:t xml:space="preserve">with </w:t>
      </w:r>
      <w:r w:rsidRPr="000C6C65">
        <w:rPr>
          <w:rFonts w:ascii="Book Antiqua" w:eastAsia="BaskervilleNo2BT-Roman" w:hAnsi="Book Antiqua" w:cs="Times New Roman"/>
          <w:sz w:val="20"/>
          <w:szCs w:val="20"/>
        </w:rPr>
        <w:t xml:space="preserve">his mother. Surprisingly, another </w:t>
      </w:r>
      <w:r w:rsidRPr="000C6C65">
        <w:rPr>
          <w:rFonts w:ascii="Book Antiqua" w:eastAsia="BaskervilleNo2BT-Roman" w:hAnsi="Book Antiqua" w:cs="Times New Roman"/>
          <w:i/>
          <w:iCs/>
          <w:sz w:val="20"/>
          <w:szCs w:val="20"/>
        </w:rPr>
        <w:t>ANK1</w:t>
      </w:r>
      <w:r w:rsidRPr="000C6C65">
        <w:rPr>
          <w:rFonts w:ascii="Book Antiqua" w:eastAsia="BaskervilleNo2BT-Roman" w:hAnsi="Book Antiqua" w:cs="Times New Roman"/>
          <w:sz w:val="20"/>
          <w:szCs w:val="20"/>
        </w:rPr>
        <w:t xml:space="preserve"> locus mutation (c.925A</w:t>
      </w:r>
      <w:r w:rsidR="00AD2EFD"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rPr>
        <w:t>G) was found to be present only in his father. Finally, both the patient and his father were diagnosed with comorbidity of GS and HS, while his mother was diagnosed as HS.</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105B1B"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3: </w:t>
      </w:r>
      <w:r w:rsidRPr="000C6C65">
        <w:rPr>
          <w:rFonts w:ascii="Book Antiqua" w:eastAsia="BaskervilleNo2BT-Roman" w:hAnsi="Book Antiqua" w:cs="Times New Roman"/>
          <w:sz w:val="20"/>
          <w:szCs w:val="20"/>
        </w:rPr>
        <w:t xml:space="preserve">This </w:t>
      </w:r>
      <w:r w:rsidR="00DA72A0" w:rsidRPr="000C6C65">
        <w:rPr>
          <w:rFonts w:ascii="Book Antiqua" w:eastAsia="BaskervilleNo2BT-Roman" w:hAnsi="Book Antiqua" w:cs="Times New Roman"/>
          <w:sz w:val="20"/>
          <w:szCs w:val="20"/>
        </w:rPr>
        <w:t xml:space="preserve">case </w:t>
      </w:r>
      <w:r w:rsidRPr="000C6C65">
        <w:rPr>
          <w:rFonts w:ascii="Book Antiqua" w:eastAsia="BaskervilleNo2BT-Roman" w:hAnsi="Book Antiqua" w:cs="Times New Roman"/>
          <w:sz w:val="20"/>
          <w:szCs w:val="20"/>
        </w:rPr>
        <w:t xml:space="preserve">reminded us of </w:t>
      </w:r>
      <w:r w:rsidRPr="00105B1B">
        <w:rPr>
          <w:rFonts w:ascii="Book Antiqua" w:eastAsia="BaskervilleNo2BT-Roman" w:hAnsi="Book Antiqua" w:cs="Times New Roman"/>
          <w:sz w:val="20"/>
          <w:szCs w:val="20"/>
        </w:rPr>
        <w:t xml:space="preserve">case </w:t>
      </w:r>
      <w:r w:rsidR="00DA72A0" w:rsidRPr="00105B1B">
        <w:rPr>
          <w:rFonts w:ascii="Book Antiqua" w:eastAsia="BaskervilleNo2BT-Roman" w:hAnsi="Book Antiqua" w:cs="Times New Roman"/>
          <w:sz w:val="20"/>
          <w:szCs w:val="20"/>
        </w:rPr>
        <w:t xml:space="preserve">1 </w:t>
      </w:r>
      <w:r w:rsidRPr="00105B1B">
        <w:rPr>
          <w:rFonts w:ascii="Book Antiqua" w:eastAsia="BaskervilleNo2BT-Roman" w:hAnsi="Book Antiqua" w:cs="Times New Roman"/>
          <w:sz w:val="20"/>
          <w:szCs w:val="20"/>
        </w:rPr>
        <w:t xml:space="preserve">and case </w:t>
      </w:r>
      <w:r w:rsidR="00DA72A0" w:rsidRPr="00105B1B">
        <w:rPr>
          <w:rFonts w:ascii="Book Antiqua" w:eastAsia="BaskervilleNo2BT-Roman" w:hAnsi="Book Antiqua" w:cs="Times New Roman"/>
          <w:sz w:val="20"/>
          <w:szCs w:val="20"/>
        </w:rPr>
        <w:t>2</w:t>
      </w:r>
      <w:r w:rsidRPr="00105B1B">
        <w:rPr>
          <w:rFonts w:ascii="Book Antiqua" w:eastAsia="BaskervilleNo2BT-Roman" w:hAnsi="Book Antiqua" w:cs="Times New Roman"/>
          <w:sz w:val="20"/>
          <w:szCs w:val="20"/>
        </w:rPr>
        <w:t>,</w:t>
      </w:r>
      <w:bookmarkStart w:id="26" w:name="_Hlk22756652"/>
      <w:r w:rsidRPr="00105B1B">
        <w:rPr>
          <w:rFonts w:ascii="Book Antiqua" w:eastAsia="BaskervilleNo2BT-Roman" w:hAnsi="Book Antiqua" w:cs="Times New Roman"/>
          <w:sz w:val="20"/>
          <w:szCs w:val="20"/>
        </w:rPr>
        <w:t xml:space="preserve"> so </w:t>
      </w:r>
      <w:r w:rsidR="00DA72A0" w:rsidRPr="00105B1B">
        <w:rPr>
          <w:rFonts w:ascii="Book Antiqua" w:eastAsia="BaskervilleNo2BT-Roman" w:hAnsi="Book Antiqua" w:cs="Times New Roman"/>
          <w:sz w:val="20"/>
          <w:szCs w:val="20"/>
        </w:rPr>
        <w:t xml:space="preserve">the </w:t>
      </w:r>
      <w:r w:rsidRPr="00105B1B">
        <w:rPr>
          <w:rFonts w:ascii="Book Antiqua" w:eastAsia="BaskervilleNo2BT-Roman" w:hAnsi="Book Antiqua" w:cs="Times New Roman"/>
          <w:sz w:val="20"/>
          <w:szCs w:val="20"/>
        </w:rPr>
        <w:t xml:space="preserve">same hematologist was invited to review the peripheral blood smear. A small number of </w:t>
      </w:r>
      <w:bookmarkStart w:id="27" w:name="_Hlk23094152"/>
      <w:r w:rsidRPr="00105B1B">
        <w:rPr>
          <w:rFonts w:ascii="Book Antiqua" w:eastAsia="BaskervilleNo2BT-Roman" w:hAnsi="Book Antiqua" w:cs="Times New Roman"/>
          <w:sz w:val="20"/>
          <w:szCs w:val="20"/>
        </w:rPr>
        <w:t xml:space="preserve">spherocytes </w:t>
      </w:r>
      <w:bookmarkEnd w:id="27"/>
      <w:r w:rsidR="00DA72A0" w:rsidRPr="00105B1B">
        <w:rPr>
          <w:rFonts w:ascii="Book Antiqua" w:eastAsia="BaskervilleNo2BT-Roman" w:hAnsi="Book Antiqua" w:cs="Times New Roman"/>
          <w:sz w:val="20"/>
          <w:szCs w:val="20"/>
        </w:rPr>
        <w:t xml:space="preserve">was </w:t>
      </w:r>
      <w:r w:rsidRPr="00105B1B">
        <w:rPr>
          <w:rFonts w:ascii="Book Antiqua" w:eastAsia="BaskervilleNo2BT-Roman" w:hAnsi="Book Antiqua" w:cs="Times New Roman"/>
          <w:sz w:val="20"/>
          <w:szCs w:val="20"/>
        </w:rPr>
        <w:t>identified.</w:t>
      </w:r>
      <w:bookmarkEnd w:id="26"/>
      <w:r w:rsidRPr="00105B1B">
        <w:rPr>
          <w:rFonts w:ascii="Book Antiqua" w:eastAsia="BaskervilleNo2BT-Roman" w:hAnsi="Book Antiqua" w:cs="Times New Roman"/>
          <w:sz w:val="20"/>
          <w:szCs w:val="20"/>
        </w:rPr>
        <w:t xml:space="preserve"> The patient’s genotypes were as follows: homozygous mutation for </w:t>
      </w:r>
      <w:r w:rsidRPr="00105B1B">
        <w:rPr>
          <w:rFonts w:ascii="Book Antiqua" w:eastAsia="BaskervilleNo2BT-Roman" w:hAnsi="Book Antiqua" w:cs="Times New Roman"/>
          <w:i/>
          <w:iCs/>
          <w:sz w:val="20"/>
          <w:szCs w:val="20"/>
        </w:rPr>
        <w:t>UGT1A1</w:t>
      </w:r>
      <w:r w:rsidRPr="00105B1B">
        <w:rPr>
          <w:rFonts w:ascii="Book Antiqua" w:eastAsia="BaskervilleNo2BT-Roman" w:hAnsi="Book Antiqua" w:cs="Times New Roman"/>
          <w:sz w:val="20"/>
          <w:szCs w:val="20"/>
        </w:rPr>
        <w:t xml:space="preserve"> c.-3279 T</w:t>
      </w:r>
      <w:r w:rsidR="00AD2EFD" w:rsidRPr="00105B1B">
        <w:rPr>
          <w:rFonts w:ascii="Book Antiqua" w:eastAsia="BaskervilleNo2BT-Roman" w:hAnsi="Book Antiqua" w:cs="Times New Roman"/>
          <w:sz w:val="20"/>
          <w:szCs w:val="20"/>
        </w:rPr>
        <w:t>＞</w:t>
      </w:r>
      <w:r w:rsidRPr="00105B1B">
        <w:rPr>
          <w:rFonts w:ascii="Book Antiqua" w:eastAsia="BaskervilleNo2BT-Roman" w:hAnsi="Book Antiqua" w:cs="Times New Roman"/>
          <w:sz w:val="20"/>
          <w:szCs w:val="20"/>
        </w:rPr>
        <w:t xml:space="preserve">G (a.k.a. </w:t>
      </w:r>
      <w:r w:rsidRPr="00105B1B">
        <w:rPr>
          <w:rFonts w:ascii="Book Antiqua" w:eastAsia="BaskervilleNo2BT-Roman" w:hAnsi="Book Antiqua" w:cs="Times New Roman"/>
          <w:i/>
          <w:iCs/>
          <w:sz w:val="20"/>
          <w:szCs w:val="20"/>
        </w:rPr>
        <w:t>UGT1A1</w:t>
      </w:r>
      <w:r w:rsidRPr="00105B1B">
        <w:rPr>
          <w:rFonts w:ascii="Book Antiqua" w:eastAsia="BaskervilleNo2BT-Roman" w:hAnsi="Book Antiqua" w:cs="Times New Roman"/>
          <w:sz w:val="20"/>
          <w:szCs w:val="20"/>
        </w:rPr>
        <w:t xml:space="preserve">*60) and TATA box [A(TA)7TAA] (a.k.a. </w:t>
      </w:r>
      <w:r w:rsidRPr="00105B1B">
        <w:rPr>
          <w:rFonts w:ascii="Book Antiqua" w:eastAsia="BaskervilleNo2BT-Roman" w:hAnsi="Book Antiqua" w:cs="Times New Roman"/>
          <w:i/>
          <w:iCs/>
          <w:sz w:val="20"/>
          <w:szCs w:val="20"/>
        </w:rPr>
        <w:t>UGT1A1</w:t>
      </w:r>
      <w:r w:rsidRPr="00105B1B">
        <w:rPr>
          <w:rFonts w:ascii="Book Antiqua" w:eastAsia="BaskervilleNo2BT-Roman" w:hAnsi="Book Antiqua" w:cs="Times New Roman"/>
          <w:sz w:val="20"/>
          <w:szCs w:val="20"/>
        </w:rPr>
        <w:t xml:space="preserve">*28) combined with heterozygous mutation for the </w:t>
      </w:r>
      <w:r w:rsidRPr="00105B1B">
        <w:rPr>
          <w:rFonts w:ascii="Book Antiqua" w:eastAsia="BaskervilleNo2BT-Roman" w:hAnsi="Book Antiqua" w:cs="Times New Roman"/>
          <w:i/>
          <w:iCs/>
          <w:sz w:val="20"/>
          <w:szCs w:val="20"/>
        </w:rPr>
        <w:t>ANK1</w:t>
      </w:r>
      <w:r w:rsidRPr="00105B1B">
        <w:rPr>
          <w:rFonts w:ascii="Book Antiqua" w:eastAsia="BaskervilleNo2BT-Roman" w:hAnsi="Book Antiqua" w:cs="Times New Roman"/>
          <w:sz w:val="20"/>
          <w:szCs w:val="20"/>
        </w:rPr>
        <w:t xml:space="preserve"> c.694G</w:t>
      </w:r>
      <w:r w:rsidR="00AD2EFD" w:rsidRPr="00105B1B">
        <w:rPr>
          <w:rFonts w:ascii="Book Antiqua" w:eastAsia="BaskervilleNo2BT-Roman" w:hAnsi="Book Antiqua" w:cs="Times New Roman"/>
          <w:sz w:val="20"/>
          <w:szCs w:val="20"/>
        </w:rPr>
        <w:t>＞</w:t>
      </w:r>
      <w:r w:rsidRPr="00105B1B">
        <w:rPr>
          <w:rFonts w:ascii="Book Antiqua" w:eastAsia="BaskervilleNo2BT-Roman" w:hAnsi="Book Antiqua" w:cs="Times New Roman"/>
          <w:sz w:val="20"/>
          <w:szCs w:val="20"/>
        </w:rPr>
        <w:t xml:space="preserve">A, which </w:t>
      </w:r>
      <w:r w:rsidR="00DA72A0" w:rsidRPr="00105B1B">
        <w:rPr>
          <w:rFonts w:ascii="Book Antiqua" w:eastAsia="BaskervilleNo2BT-Roman" w:hAnsi="Book Antiqua" w:cs="Times New Roman"/>
          <w:sz w:val="20"/>
          <w:szCs w:val="20"/>
        </w:rPr>
        <w:t xml:space="preserve">is </w:t>
      </w:r>
      <w:r w:rsidRPr="00105B1B">
        <w:rPr>
          <w:rFonts w:ascii="Book Antiqua" w:eastAsia="BaskervilleNo2BT-Roman" w:hAnsi="Book Antiqua" w:cs="Times New Roman"/>
          <w:sz w:val="20"/>
          <w:szCs w:val="20"/>
        </w:rPr>
        <w:t>consistent with comorbidity of GS and HS.</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2A5A50"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 xml:space="preserve">Case 4: </w:t>
      </w:r>
      <w:r w:rsidRPr="000C6C65">
        <w:rPr>
          <w:rFonts w:ascii="Book Antiqua" w:eastAsia="BaskervilleNo2BT-Roman" w:hAnsi="Book Antiqua" w:cs="Times New Roman"/>
          <w:sz w:val="20"/>
          <w:szCs w:val="20"/>
        </w:rPr>
        <w:t>The same hematologist was invited once more to view the peripheral blood smear</w:t>
      </w:r>
      <w:r w:rsidR="0013627E" w:rsidRPr="000C6C65">
        <w:rPr>
          <w:rFonts w:ascii="Book Antiqua" w:eastAsia="BaskervilleNo2BT-Roman" w:hAnsi="Book Antiqua" w:cs="Times New Roman"/>
          <w:sz w:val="20"/>
          <w:szCs w:val="20"/>
        </w:rPr>
        <w:t xml:space="preserve">, and </w:t>
      </w:r>
      <w:r w:rsidRPr="000C6C65">
        <w:rPr>
          <w:rFonts w:ascii="Book Antiqua" w:eastAsia="BaskervilleNo2BT-Roman" w:hAnsi="Book Antiqua" w:cs="Times New Roman"/>
          <w:sz w:val="20"/>
          <w:szCs w:val="20"/>
        </w:rPr>
        <w:t xml:space="preserve">a few atypical spherocytes were found. Next, the genetic tests </w:t>
      </w:r>
      <w:r w:rsidR="0013627E" w:rsidRPr="000C6C65">
        <w:rPr>
          <w:rFonts w:ascii="Book Antiqua" w:eastAsia="BaskervilleNo2BT-Roman" w:hAnsi="Book Antiqua" w:cs="Times New Roman"/>
          <w:sz w:val="20"/>
          <w:szCs w:val="20"/>
        </w:rPr>
        <w:t xml:space="preserve">revealed, </w:t>
      </w:r>
      <w:r w:rsidRPr="000C6C65">
        <w:rPr>
          <w:rFonts w:ascii="Book Antiqua" w:eastAsia="BaskervilleNo2BT-Roman" w:hAnsi="Book Antiqua" w:cs="Times New Roman"/>
          <w:sz w:val="20"/>
          <w:szCs w:val="20"/>
        </w:rPr>
        <w:t>not surprisingly</w:t>
      </w:r>
      <w:r w:rsidR="0013627E" w:rsidRPr="000C6C65">
        <w:rPr>
          <w:rFonts w:ascii="Book Antiqua" w:eastAsia="BaskervilleNo2BT-Roman" w:hAnsi="Book Antiqua" w:cs="Times New Roman"/>
          <w:sz w:val="20"/>
          <w:szCs w:val="20"/>
        </w:rPr>
        <w:t xml:space="preserve">, </w:t>
      </w:r>
      <w:r w:rsidRPr="000C6C65">
        <w:rPr>
          <w:rFonts w:ascii="Book Antiqua" w:eastAsia="BaskervilleNo2BT-Roman" w:hAnsi="Book Antiqua" w:cs="Times New Roman"/>
          <w:sz w:val="20"/>
          <w:szCs w:val="20"/>
        </w:rPr>
        <w:t xml:space="preserve">heterozygous mutations both for </w:t>
      </w:r>
      <w:r w:rsidRPr="000C6C65">
        <w:rPr>
          <w:rFonts w:ascii="Book Antiqua" w:eastAsia="BaskervilleNo2BT-Roman" w:hAnsi="Book Antiqua" w:cs="Times New Roman"/>
          <w:i/>
          <w:iCs/>
          <w:sz w:val="20"/>
          <w:szCs w:val="20"/>
        </w:rPr>
        <w:t>UGT1A1</w:t>
      </w:r>
      <w:r w:rsidRPr="000C6C65">
        <w:rPr>
          <w:rFonts w:ascii="Book Antiqua" w:eastAsia="BaskervilleNo2BT-Roman" w:hAnsi="Book Antiqua" w:cs="Times New Roman"/>
          <w:sz w:val="20"/>
          <w:szCs w:val="20"/>
        </w:rPr>
        <w:t xml:space="preserve"> (</w:t>
      </w:r>
      <w:r w:rsidRPr="000C6C65">
        <w:rPr>
          <w:rFonts w:ascii="Book Antiqua" w:eastAsia="BaskervilleNo2BT-Roman" w:hAnsi="Book Antiqua" w:cs="Times New Roman"/>
          <w:i/>
          <w:iCs/>
          <w:sz w:val="20"/>
          <w:szCs w:val="20"/>
        </w:rPr>
        <w:t>UGT1A1</w:t>
      </w:r>
      <w:r w:rsidRPr="000C6C65">
        <w:rPr>
          <w:rFonts w:ascii="Book Antiqua" w:eastAsia="BaskervilleNo2BT-Roman" w:hAnsi="Book Antiqua" w:cs="Times New Roman"/>
          <w:sz w:val="20"/>
          <w:szCs w:val="20"/>
        </w:rPr>
        <w:t xml:space="preserve">*60/-; </w:t>
      </w:r>
      <w:r w:rsidRPr="000C6C65">
        <w:rPr>
          <w:rFonts w:ascii="Book Antiqua" w:eastAsia="BaskervilleNo2BT-Roman" w:hAnsi="Book Antiqua" w:cs="Times New Roman"/>
          <w:i/>
          <w:iCs/>
          <w:sz w:val="20"/>
          <w:szCs w:val="20"/>
        </w:rPr>
        <w:t>UGT1A1</w:t>
      </w:r>
      <w:r w:rsidRPr="000C6C65">
        <w:rPr>
          <w:rFonts w:ascii="Book Antiqua" w:eastAsia="BaskervilleNo2BT-Roman" w:hAnsi="Book Antiqua" w:cs="Times New Roman"/>
          <w:sz w:val="20"/>
          <w:szCs w:val="20"/>
        </w:rPr>
        <w:t xml:space="preserve">*28/-) and </w:t>
      </w:r>
      <w:r w:rsidRPr="000C6C65">
        <w:rPr>
          <w:rFonts w:ascii="Book Antiqua" w:eastAsia="BaskervilleNo2BT-Roman" w:hAnsi="Book Antiqua" w:cs="Times New Roman"/>
          <w:i/>
          <w:iCs/>
          <w:sz w:val="20"/>
          <w:szCs w:val="20"/>
        </w:rPr>
        <w:t>SLC4A1</w:t>
      </w:r>
      <w:r w:rsidRPr="000C6C65">
        <w:rPr>
          <w:rFonts w:ascii="Book Antiqua" w:eastAsia="BaskervilleNo2BT-Roman" w:hAnsi="Book Antiqua" w:cs="Times New Roman"/>
          <w:sz w:val="20"/>
          <w:szCs w:val="20"/>
        </w:rPr>
        <w:t xml:space="preserve"> (c.31C</w:t>
      </w:r>
      <w:r w:rsidR="00AD2EFD"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rPr>
        <w:t>A).</w:t>
      </w:r>
    </w:p>
    <w:p w:rsidR="002A5A50" w:rsidRPr="000C6C65" w:rsidRDefault="002A5A50" w:rsidP="000C6C65">
      <w:pPr>
        <w:snapToGrid w:val="0"/>
        <w:spacing w:line="360" w:lineRule="auto"/>
        <w:jc w:val="both"/>
        <w:rPr>
          <w:rFonts w:ascii="Book Antiqua" w:eastAsia="微软雅黑" w:hAnsi="Book Antiqua" w:cs="Times New Roman"/>
          <w:b/>
          <w:bCs/>
          <w:color w:val="000000"/>
          <w:sz w:val="20"/>
          <w:szCs w:val="20"/>
          <w:shd w:val="clear" w:color="auto" w:fill="FFFFFF"/>
        </w:rPr>
      </w:pPr>
    </w:p>
    <w:p w:rsidR="007A5608" w:rsidRPr="000C6C65" w:rsidRDefault="002A5A50"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微软雅黑" w:hAnsi="Book Antiqua" w:cs="Times New Roman"/>
          <w:b/>
          <w:bCs/>
          <w:color w:val="000000"/>
          <w:sz w:val="20"/>
          <w:szCs w:val="20"/>
          <w:shd w:val="clear" w:color="auto" w:fill="FFFFFF"/>
        </w:rPr>
        <w:t>Case</w:t>
      </w:r>
      <w:r w:rsidR="006E47C2" w:rsidRPr="000C6C65">
        <w:rPr>
          <w:rFonts w:ascii="Book Antiqua" w:eastAsia="微软雅黑" w:hAnsi="Book Antiqua" w:cs="Times New Roman"/>
          <w:b/>
          <w:bCs/>
          <w:color w:val="000000"/>
          <w:sz w:val="20"/>
          <w:szCs w:val="20"/>
          <w:shd w:val="clear" w:color="auto" w:fill="FFFFFF"/>
        </w:rPr>
        <w:t>s</w:t>
      </w:r>
      <w:r w:rsidRPr="000C6C65">
        <w:rPr>
          <w:rFonts w:ascii="Book Antiqua" w:eastAsia="微软雅黑" w:hAnsi="Book Antiqua" w:cs="Times New Roman"/>
          <w:b/>
          <w:bCs/>
          <w:color w:val="000000"/>
          <w:sz w:val="20"/>
          <w:szCs w:val="20"/>
          <w:shd w:val="clear" w:color="auto" w:fill="FFFFFF"/>
        </w:rPr>
        <w:t xml:space="preserve"> 5 and 6:</w:t>
      </w:r>
      <w:r w:rsidR="007A5608" w:rsidRPr="000C6C65">
        <w:rPr>
          <w:rFonts w:ascii="Book Antiqua" w:eastAsia="微软雅黑" w:hAnsi="Book Antiqua" w:cs="Times New Roman"/>
          <w:b/>
          <w:bCs/>
          <w:color w:val="000000"/>
          <w:sz w:val="20"/>
          <w:szCs w:val="20"/>
          <w:shd w:val="clear" w:color="auto" w:fill="FFFFFF"/>
        </w:rPr>
        <w:t xml:space="preserve"> </w:t>
      </w:r>
      <w:r w:rsidR="007A5608" w:rsidRPr="000C6C65">
        <w:rPr>
          <w:rFonts w:ascii="Book Antiqua" w:eastAsia="BaskervilleNo2BT-Roman" w:hAnsi="Book Antiqua" w:cs="Times New Roman"/>
          <w:sz w:val="20"/>
          <w:szCs w:val="20"/>
        </w:rPr>
        <w:t>A diagnosis of HS was soon made based on the typical clinical features. Because of the patient’s inappropriately high serum bilirubin level in comparison with the degree of hemolysis, a coexisting GS was highly suspected by the hematologists who had already</w:t>
      </w:r>
      <w:r w:rsidR="00AD2EFD" w:rsidRPr="000C6C65">
        <w:rPr>
          <w:rFonts w:ascii="Book Antiqua" w:eastAsia="BaskervilleNo2BT-Roman" w:hAnsi="Book Antiqua" w:cs="Times New Roman"/>
          <w:sz w:val="20"/>
          <w:szCs w:val="20"/>
        </w:rPr>
        <w:t xml:space="preserve"> encountered</w:t>
      </w:r>
      <w:r w:rsidR="007A5608" w:rsidRPr="000C6C65">
        <w:rPr>
          <w:rFonts w:ascii="Book Antiqua" w:eastAsia="BaskervilleNo2BT-Roman" w:hAnsi="Book Antiqua" w:cs="Times New Roman"/>
          <w:sz w:val="20"/>
          <w:szCs w:val="20"/>
        </w:rPr>
        <w:t xml:space="preserve"> </w:t>
      </w:r>
      <w:r w:rsidR="00AD2EFD" w:rsidRPr="000C6C65">
        <w:rPr>
          <w:rFonts w:ascii="Book Antiqua" w:eastAsia="BaskervilleNo2BT-Roman" w:hAnsi="Book Antiqua" w:cs="Times New Roman"/>
          <w:sz w:val="20"/>
          <w:szCs w:val="20"/>
        </w:rPr>
        <w:t>four such</w:t>
      </w:r>
      <w:r w:rsidR="007A5608" w:rsidRPr="000C6C65">
        <w:rPr>
          <w:rFonts w:ascii="Book Antiqua" w:eastAsia="BaskervilleNo2BT-Roman" w:hAnsi="Book Antiqua" w:cs="Times New Roman"/>
          <w:sz w:val="20"/>
          <w:szCs w:val="20"/>
        </w:rPr>
        <w:t xml:space="preserve"> cases.</w:t>
      </w:r>
      <w:bookmarkStart w:id="28" w:name="_Hlk36101756"/>
      <w:r w:rsidR="007A5608" w:rsidRPr="000C6C65">
        <w:rPr>
          <w:rFonts w:ascii="Book Antiqua" w:eastAsia="BaskervilleNo2BT-Roman" w:hAnsi="Book Antiqua" w:cs="Times New Roman"/>
          <w:sz w:val="20"/>
          <w:szCs w:val="20"/>
        </w:rPr>
        <w:t xml:space="preserve"> Genetic analysis confirmed the speculation, with heterozygous mutations </w:t>
      </w:r>
      <w:r w:rsidR="00AD2EFD" w:rsidRPr="000C6C65">
        <w:rPr>
          <w:rFonts w:ascii="Book Antiqua" w:eastAsia="BaskervilleNo2BT-Roman" w:hAnsi="Book Antiqua" w:cs="Times New Roman"/>
          <w:sz w:val="20"/>
          <w:szCs w:val="20"/>
        </w:rPr>
        <w:t xml:space="preserve">for </w:t>
      </w:r>
      <w:r w:rsidR="007A5608" w:rsidRPr="000C6C65">
        <w:rPr>
          <w:rFonts w:ascii="Book Antiqua" w:eastAsia="BaskervilleNo2BT-Roman" w:hAnsi="Book Antiqua" w:cs="Times New Roman"/>
          <w:sz w:val="20"/>
          <w:szCs w:val="20"/>
        </w:rPr>
        <w:t xml:space="preserve">both </w:t>
      </w:r>
      <w:r w:rsidR="007A5608" w:rsidRPr="000C6C65">
        <w:rPr>
          <w:rFonts w:ascii="Book Antiqua" w:eastAsia="BaskervilleNo2BT-Roman" w:hAnsi="Book Antiqua" w:cs="Times New Roman"/>
          <w:i/>
          <w:iCs/>
          <w:sz w:val="20"/>
          <w:szCs w:val="20"/>
        </w:rPr>
        <w:t>UGT1A1</w:t>
      </w:r>
      <w:r w:rsidR="007A5608" w:rsidRPr="000C6C65">
        <w:rPr>
          <w:rFonts w:ascii="Book Antiqua" w:eastAsia="BaskervilleNo2BT-Roman" w:hAnsi="Book Antiqua" w:cs="Times New Roman"/>
          <w:sz w:val="20"/>
          <w:szCs w:val="20"/>
        </w:rPr>
        <w:t xml:space="preserve">*6 and </w:t>
      </w:r>
      <w:r w:rsidR="007A5608" w:rsidRPr="000C6C65">
        <w:rPr>
          <w:rFonts w:ascii="Book Antiqua" w:eastAsia="BaskervilleNo2BT-Roman" w:hAnsi="Book Antiqua" w:cs="Times New Roman"/>
          <w:i/>
          <w:iCs/>
          <w:sz w:val="20"/>
          <w:szCs w:val="20"/>
        </w:rPr>
        <w:t>SLC4A1</w:t>
      </w:r>
      <w:bookmarkStart w:id="29" w:name="_Hlk27339620"/>
      <w:r w:rsidR="007A5608" w:rsidRPr="000C6C65">
        <w:rPr>
          <w:rFonts w:ascii="Book Antiqua" w:eastAsia="BaskervilleNo2BT-Roman" w:hAnsi="Book Antiqua" w:cs="Times New Roman"/>
          <w:sz w:val="20"/>
          <w:szCs w:val="20"/>
        </w:rPr>
        <w:t xml:space="preserve"> (c.14A</w:t>
      </w:r>
      <w:r w:rsidR="007A5608" w:rsidRPr="000C6C65">
        <w:rPr>
          <w:rFonts w:ascii="Book Antiqua" w:eastAsia="BaskervilleNo2BT-Roman" w:hAnsi="Book Antiqua" w:cs="Times New Roman"/>
          <w:sz w:val="20"/>
          <w:szCs w:val="20"/>
        </w:rPr>
        <w:t>＞</w:t>
      </w:r>
      <w:r w:rsidR="007A5608" w:rsidRPr="000C6C65">
        <w:rPr>
          <w:rFonts w:ascii="Book Antiqua" w:eastAsia="BaskervilleNo2BT-Roman" w:hAnsi="Book Antiqua" w:cs="Times New Roman"/>
          <w:sz w:val="20"/>
          <w:szCs w:val="20"/>
        </w:rPr>
        <w:t>T)</w:t>
      </w:r>
      <w:bookmarkEnd w:id="29"/>
      <w:r w:rsidR="00AD2EFD" w:rsidRPr="000C6C65">
        <w:rPr>
          <w:rFonts w:ascii="Book Antiqua" w:eastAsia="BaskervilleNo2BT-Roman" w:hAnsi="Book Antiqua" w:cs="Times New Roman"/>
          <w:sz w:val="20"/>
          <w:szCs w:val="20"/>
        </w:rPr>
        <w:t xml:space="preserve"> identified</w:t>
      </w:r>
      <w:r w:rsidR="007A5608" w:rsidRPr="000C6C65">
        <w:rPr>
          <w:rFonts w:ascii="Book Antiqua" w:eastAsia="BaskervilleNo2BT-Roman" w:hAnsi="Book Antiqua" w:cs="Times New Roman"/>
          <w:sz w:val="20"/>
          <w:szCs w:val="20"/>
        </w:rPr>
        <w:t>.</w:t>
      </w:r>
      <w:bookmarkEnd w:id="28"/>
    </w:p>
    <w:p w:rsidR="007A5608" w:rsidRPr="000C6C65" w:rsidRDefault="007A5608" w:rsidP="000C6C65">
      <w:pPr>
        <w:widowControl w:val="0"/>
        <w:snapToGrid w:val="0"/>
        <w:spacing w:line="360" w:lineRule="auto"/>
        <w:ind w:firstLineChars="100" w:firstLine="200"/>
        <w:jc w:val="both"/>
        <w:rPr>
          <w:rFonts w:ascii="Book Antiqua" w:eastAsia="BaskervilleNo2BT-Roman" w:hAnsi="Book Antiqua" w:cs="Times New Roman"/>
          <w:sz w:val="20"/>
          <w:szCs w:val="20"/>
        </w:rPr>
      </w:pPr>
      <w:r w:rsidRPr="000C6C65">
        <w:rPr>
          <w:rFonts w:ascii="Book Antiqua" w:eastAsia="BaskervilleNo2BT-Roman" w:hAnsi="Book Antiqua" w:cs="Times New Roman"/>
          <w:sz w:val="20"/>
          <w:szCs w:val="20"/>
        </w:rPr>
        <w:t>The patient’s parents kindly accepted our invitation to be evaluated. The results showed that his mother (</w:t>
      </w:r>
      <w:r w:rsidR="00BA3A97" w:rsidRPr="000C6C65">
        <w:rPr>
          <w:rFonts w:ascii="Book Antiqua" w:eastAsia="BaskervilleNo2BT-Roman" w:hAnsi="Book Antiqua" w:cs="Times New Roman"/>
          <w:sz w:val="20"/>
          <w:szCs w:val="20"/>
        </w:rPr>
        <w:t xml:space="preserve">case </w:t>
      </w:r>
      <w:r w:rsidRPr="000C6C65">
        <w:rPr>
          <w:rFonts w:ascii="Book Antiqua" w:eastAsia="BaskervilleNo2BT-Roman" w:hAnsi="Book Antiqua" w:cs="Times New Roman"/>
          <w:sz w:val="20"/>
          <w:szCs w:val="20"/>
        </w:rPr>
        <w:t xml:space="preserve">6) was also </w:t>
      </w:r>
      <w:r w:rsidR="00AD2EFD" w:rsidRPr="000C6C65">
        <w:rPr>
          <w:rFonts w:ascii="Book Antiqua" w:eastAsia="BaskervilleNo2BT-Roman" w:hAnsi="Book Antiqua" w:cs="Times New Roman"/>
          <w:sz w:val="20"/>
          <w:szCs w:val="20"/>
        </w:rPr>
        <w:t>comorbid</w:t>
      </w:r>
      <w:r w:rsidR="001F6B3E" w:rsidRPr="000C6C65">
        <w:rPr>
          <w:rFonts w:ascii="Book Antiqua" w:eastAsia="BaskervilleNo2BT-Roman" w:hAnsi="Book Antiqua" w:cs="Times New Roman"/>
          <w:sz w:val="20"/>
          <w:szCs w:val="20"/>
        </w:rPr>
        <w:t xml:space="preserve"> for</w:t>
      </w:r>
      <w:r w:rsidR="00AD2EFD" w:rsidRPr="000C6C65">
        <w:rPr>
          <w:rFonts w:ascii="Book Antiqua" w:eastAsia="BaskervilleNo2BT-Roman" w:hAnsi="Book Antiqua" w:cs="Times New Roman"/>
          <w:sz w:val="20"/>
          <w:szCs w:val="20"/>
        </w:rPr>
        <w:t xml:space="preserve"> GS and HS</w:t>
      </w:r>
      <w:r w:rsidRPr="000C6C65">
        <w:rPr>
          <w:rFonts w:ascii="Book Antiqua" w:eastAsia="BaskervilleNo2BT-Roman" w:hAnsi="Book Antiqua" w:cs="Times New Roman"/>
          <w:sz w:val="20"/>
          <w:szCs w:val="20"/>
        </w:rPr>
        <w:t xml:space="preserve">, while his father was </w:t>
      </w:r>
      <w:r w:rsidR="00AD2EFD" w:rsidRPr="000C6C65">
        <w:rPr>
          <w:rFonts w:ascii="Book Antiqua" w:eastAsia="BaskervilleNo2BT-Roman" w:hAnsi="Book Antiqua" w:cs="Times New Roman"/>
          <w:sz w:val="20"/>
          <w:szCs w:val="20"/>
        </w:rPr>
        <w:t xml:space="preserve">a </w:t>
      </w:r>
      <w:r w:rsidRPr="000C6C65">
        <w:rPr>
          <w:rFonts w:ascii="Book Antiqua" w:eastAsia="BaskervilleNo2BT-Roman" w:hAnsi="Book Antiqua" w:cs="Times New Roman"/>
          <w:sz w:val="20"/>
          <w:szCs w:val="20"/>
        </w:rPr>
        <w:t xml:space="preserve">GS patient. The results of the mother’s main laboratory tests were as follows: </w:t>
      </w:r>
      <w:r w:rsidR="00AD2EFD" w:rsidRPr="000C6C65">
        <w:rPr>
          <w:rFonts w:ascii="Book Antiqua" w:eastAsia="BaskervilleNo2BT-Roman" w:hAnsi="Book Antiqua" w:cs="Times New Roman"/>
          <w:sz w:val="20"/>
          <w:szCs w:val="20"/>
        </w:rPr>
        <w:t>h</w:t>
      </w:r>
      <w:r w:rsidRPr="000C6C65">
        <w:rPr>
          <w:rFonts w:ascii="Book Antiqua" w:eastAsia="BaskervilleNo2BT-Roman" w:hAnsi="Book Antiqua" w:cs="Times New Roman"/>
          <w:sz w:val="20"/>
          <w:szCs w:val="20"/>
        </w:rPr>
        <w:t>emoglobin 13.3 g/dL, reticulocyte ratio 1.9%, typical spherocytes on the peripheral blood smear, a</w:t>
      </w:r>
      <w:r w:rsidR="00AD2EFD" w:rsidRPr="000C6C65">
        <w:rPr>
          <w:rFonts w:ascii="Book Antiqua" w:eastAsia="BaskervilleNo2BT-Roman" w:hAnsi="Book Antiqua" w:cs="Times New Roman"/>
          <w:sz w:val="20"/>
          <w:szCs w:val="20"/>
        </w:rPr>
        <w:t xml:space="preserve"> </w:t>
      </w:r>
      <w:r w:rsidRPr="000C6C65">
        <w:rPr>
          <w:rFonts w:ascii="Book Antiqua" w:eastAsia="BaskervilleNo2BT-Roman" w:hAnsi="Book Antiqua" w:cs="Times New Roman"/>
          <w:sz w:val="20"/>
          <w:szCs w:val="20"/>
        </w:rPr>
        <w:t>28-d RBC lifespan, and an isolated unconjugated hyperbilirub</w:t>
      </w:r>
      <w:r w:rsidR="00DE15C4" w:rsidRPr="000C6C65">
        <w:rPr>
          <w:rFonts w:ascii="Book Antiqua" w:eastAsia="BaskervilleNo2BT-Roman" w:hAnsi="Book Antiqua" w:cs="Times New Roman"/>
          <w:sz w:val="20"/>
          <w:szCs w:val="20"/>
        </w:rPr>
        <w:t>inemia</w:t>
      </w:r>
      <w:r w:rsidRPr="000C6C65">
        <w:rPr>
          <w:rFonts w:ascii="Book Antiqua" w:eastAsia="BaskervilleNo2BT-Roman" w:hAnsi="Book Antiqua" w:cs="Times New Roman"/>
          <w:sz w:val="20"/>
          <w:szCs w:val="20"/>
        </w:rPr>
        <w:t xml:space="preserve"> (total bilirubin 20.7 μmol/L, direct bilirubin 7.0 μmol/L)</w:t>
      </w:r>
      <w:r w:rsidR="001F6B3E" w:rsidRPr="000C6C65">
        <w:rPr>
          <w:rFonts w:ascii="Book Antiqua" w:eastAsia="BaskervilleNo2BT-Roman" w:hAnsi="Book Antiqua" w:cs="Times New Roman"/>
          <w:sz w:val="20"/>
          <w:szCs w:val="20"/>
        </w:rPr>
        <w:t xml:space="preserve">. She had </w:t>
      </w:r>
      <w:r w:rsidRPr="000C6C65">
        <w:rPr>
          <w:rFonts w:ascii="Book Antiqua" w:eastAsia="BaskervilleNo2BT-Roman" w:hAnsi="Book Antiqua" w:cs="Times New Roman"/>
          <w:sz w:val="20"/>
          <w:szCs w:val="20"/>
        </w:rPr>
        <w:t xml:space="preserve">identical genetic mutations to her son. </w:t>
      </w:r>
      <w:r w:rsidR="001F6B3E" w:rsidRPr="000C6C65">
        <w:rPr>
          <w:rFonts w:ascii="Book Antiqua" w:eastAsia="BaskervilleNo2BT-Roman" w:hAnsi="Book Antiqua" w:cs="Times New Roman"/>
          <w:sz w:val="20"/>
          <w:szCs w:val="20"/>
        </w:rPr>
        <w:t>H</w:t>
      </w:r>
      <w:r w:rsidRPr="000C6C65">
        <w:rPr>
          <w:rFonts w:ascii="Book Antiqua" w:eastAsia="BaskervilleNo2BT-Roman" w:hAnsi="Book Antiqua" w:cs="Times New Roman"/>
          <w:sz w:val="20"/>
          <w:szCs w:val="20"/>
        </w:rPr>
        <w:t xml:space="preserve">is father </w:t>
      </w:r>
      <w:r w:rsidR="001F6B3E" w:rsidRPr="000C6C65">
        <w:rPr>
          <w:rFonts w:ascii="Book Antiqua" w:eastAsia="BaskervilleNo2BT-Roman" w:hAnsi="Book Antiqua" w:cs="Times New Roman"/>
          <w:sz w:val="20"/>
          <w:szCs w:val="20"/>
        </w:rPr>
        <w:t>had</w:t>
      </w:r>
      <w:r w:rsidRPr="000C6C65">
        <w:rPr>
          <w:rFonts w:ascii="Book Antiqua" w:eastAsia="BaskervilleNo2BT-Roman" w:hAnsi="Book Antiqua" w:cs="Times New Roman"/>
          <w:sz w:val="20"/>
          <w:szCs w:val="20"/>
        </w:rPr>
        <w:t xml:space="preserve"> </w:t>
      </w:r>
      <w:r w:rsidRPr="000C6C65">
        <w:rPr>
          <w:rFonts w:ascii="Book Antiqua" w:eastAsia="BaskervilleNo2BT-Roman" w:hAnsi="Book Antiqua" w:cs="Times New Roman"/>
          <w:i/>
          <w:iCs/>
          <w:sz w:val="20"/>
          <w:szCs w:val="20"/>
        </w:rPr>
        <w:t>UGT1A1</w:t>
      </w:r>
      <w:r w:rsidRPr="000C6C65">
        <w:rPr>
          <w:rFonts w:ascii="Book Antiqua" w:eastAsia="BaskervilleNo2BT-Roman" w:hAnsi="Book Antiqua" w:cs="Times New Roman"/>
          <w:sz w:val="20"/>
          <w:szCs w:val="20"/>
        </w:rPr>
        <w:t>*6/</w:t>
      </w:r>
      <w:r w:rsidRPr="000C6C65">
        <w:rPr>
          <w:rFonts w:ascii="Book Antiqua" w:eastAsia="BaskervilleNo2BT-Roman" w:hAnsi="Book Antiqua" w:cs="Times New Roman"/>
          <w:i/>
          <w:iCs/>
          <w:sz w:val="20"/>
          <w:szCs w:val="20"/>
        </w:rPr>
        <w:t>UGT1A1</w:t>
      </w:r>
      <w:r w:rsidRPr="000C6C65">
        <w:rPr>
          <w:rFonts w:ascii="Book Antiqua" w:eastAsia="BaskervilleNo2BT-Roman" w:hAnsi="Book Antiqua" w:cs="Times New Roman"/>
          <w:sz w:val="20"/>
          <w:szCs w:val="20"/>
        </w:rPr>
        <w:t>*6 mutation</w:t>
      </w:r>
      <w:r w:rsidR="001F6B3E" w:rsidRPr="000C6C65">
        <w:rPr>
          <w:rFonts w:ascii="Book Antiqua" w:eastAsia="BaskervilleNo2BT-Roman" w:hAnsi="Book Antiqua" w:cs="Times New Roman"/>
          <w:sz w:val="20"/>
          <w:szCs w:val="20"/>
        </w:rPr>
        <w:t xml:space="preserve"> and was</w:t>
      </w:r>
      <w:r w:rsidRPr="000C6C65">
        <w:rPr>
          <w:rFonts w:ascii="Book Antiqua" w:eastAsia="BaskervilleNo2BT-Roman" w:hAnsi="Book Antiqua" w:cs="Times New Roman"/>
          <w:sz w:val="20"/>
          <w:szCs w:val="20"/>
        </w:rPr>
        <w:t xml:space="preserve"> characterized by mild isolated unconjugated hyperbilirub</w:t>
      </w:r>
      <w:r w:rsidR="00DE15C4" w:rsidRPr="000C6C65">
        <w:rPr>
          <w:rFonts w:ascii="Book Antiqua" w:eastAsia="BaskervilleNo2BT-Roman" w:hAnsi="Book Antiqua" w:cs="Times New Roman"/>
          <w:sz w:val="20"/>
          <w:szCs w:val="20"/>
        </w:rPr>
        <w:t>inemia</w:t>
      </w:r>
      <w:r w:rsidRPr="000C6C65">
        <w:rPr>
          <w:rFonts w:ascii="Book Antiqua" w:eastAsia="BaskervilleNo2BT-Roman" w:hAnsi="Book Antiqua" w:cs="Times New Roman"/>
          <w:sz w:val="20"/>
          <w:szCs w:val="20"/>
        </w:rPr>
        <w:t xml:space="preserve"> (total bilirubin 23.6 μmol/L, direct bilirubin 7.8 μmol/L).</w:t>
      </w:r>
    </w:p>
    <w:p w:rsidR="001A61BA" w:rsidRPr="000C6C65" w:rsidRDefault="001A61BA" w:rsidP="000C6C65">
      <w:pPr>
        <w:widowControl w:val="0"/>
        <w:snapToGrid w:val="0"/>
        <w:spacing w:line="360" w:lineRule="auto"/>
        <w:jc w:val="both"/>
        <w:rPr>
          <w:rFonts w:ascii="Book Antiqua" w:eastAsia="BaskervilleNo2BT-Roman" w:hAnsi="Book Antiqua" w:cs="Times New Roman"/>
          <w:sz w:val="20"/>
          <w:szCs w:val="20"/>
        </w:rPr>
      </w:pPr>
    </w:p>
    <w:p w:rsidR="007A5608" w:rsidRPr="000C6C65" w:rsidRDefault="007A5608" w:rsidP="000C6C65">
      <w:pPr>
        <w:snapToGrid w:val="0"/>
        <w:spacing w:line="360" w:lineRule="auto"/>
        <w:jc w:val="both"/>
        <w:rPr>
          <w:rFonts w:ascii="Book Antiqua" w:hAnsi="Book Antiqua"/>
          <w:b/>
          <w:sz w:val="20"/>
          <w:szCs w:val="20"/>
          <w:u w:val="single"/>
        </w:rPr>
      </w:pPr>
      <w:r w:rsidRPr="000C6C65">
        <w:rPr>
          <w:rFonts w:ascii="Book Antiqua" w:hAnsi="Book Antiqua"/>
          <w:b/>
          <w:sz w:val="20"/>
          <w:szCs w:val="20"/>
          <w:u w:val="single"/>
        </w:rPr>
        <w:t>FINAL DIAGNOSIS</w:t>
      </w:r>
    </w:p>
    <w:p w:rsidR="001A61BA" w:rsidRPr="000C6C65" w:rsidRDefault="001A61BA"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BaskervilleNo2BT-Roman" w:hAnsi="Book Antiqua" w:cs="Times New Roman"/>
          <w:sz w:val="20"/>
          <w:szCs w:val="20"/>
        </w:rPr>
        <w:t>GS coexisting with HS was confirmed in all six patients with isolated unconjugated hyperbilirubima after genetic analysis, and this was the final diagnosis.</w:t>
      </w:r>
    </w:p>
    <w:p w:rsidR="001A61BA" w:rsidRPr="000C6C65" w:rsidRDefault="001A61BA" w:rsidP="000C6C65">
      <w:pPr>
        <w:widowControl w:val="0"/>
        <w:snapToGrid w:val="0"/>
        <w:spacing w:line="360" w:lineRule="auto"/>
        <w:jc w:val="both"/>
        <w:rPr>
          <w:rFonts w:ascii="Book Antiqua" w:eastAsia="BaskervilleNo2BT-Roman" w:hAnsi="Book Antiqua" w:cs="Times New Roman"/>
          <w:sz w:val="20"/>
          <w:szCs w:val="20"/>
        </w:rPr>
      </w:pPr>
    </w:p>
    <w:p w:rsidR="007A5608" w:rsidRPr="000C6C65" w:rsidRDefault="007A5608" w:rsidP="000C6C65">
      <w:pPr>
        <w:snapToGrid w:val="0"/>
        <w:spacing w:line="360" w:lineRule="auto"/>
        <w:jc w:val="both"/>
        <w:rPr>
          <w:rFonts w:ascii="Book Antiqua" w:hAnsi="Book Antiqua"/>
          <w:b/>
          <w:sz w:val="20"/>
          <w:szCs w:val="20"/>
          <w:u w:val="single"/>
        </w:rPr>
      </w:pPr>
      <w:r w:rsidRPr="000C6C65">
        <w:rPr>
          <w:rFonts w:ascii="Book Antiqua" w:hAnsi="Book Antiqua"/>
          <w:b/>
          <w:sz w:val="20"/>
          <w:szCs w:val="20"/>
          <w:u w:val="single"/>
        </w:rPr>
        <w:t>TREATMENT</w:t>
      </w:r>
    </w:p>
    <w:p w:rsidR="001A61BA" w:rsidRPr="000C6C65" w:rsidRDefault="001A61BA"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BaskervilleNo2BT-Roman" w:hAnsi="Book Antiqua" w:cs="Times New Roman"/>
          <w:sz w:val="20"/>
          <w:szCs w:val="20"/>
        </w:rPr>
        <w:t>No further treatment was given after diagnosis</w:t>
      </w:r>
      <w:r w:rsidR="001F6B3E" w:rsidRPr="000C6C65">
        <w:rPr>
          <w:rFonts w:ascii="Book Antiqua" w:eastAsia="BaskervilleNo2BT-Roman" w:hAnsi="Book Antiqua" w:cs="Times New Roman"/>
          <w:sz w:val="20"/>
          <w:szCs w:val="20"/>
        </w:rPr>
        <w:t>,</w:t>
      </w:r>
      <w:r w:rsidRPr="000C6C65">
        <w:rPr>
          <w:rFonts w:ascii="Book Antiqua" w:eastAsia="BaskervilleNo2BT-Roman" w:hAnsi="Book Antiqua" w:cs="Times New Roman"/>
          <w:sz w:val="20"/>
          <w:szCs w:val="20"/>
        </w:rPr>
        <w:t xml:space="preserve"> but a</w:t>
      </w:r>
      <w:r w:rsidR="001F6B3E" w:rsidRPr="000C6C65">
        <w:rPr>
          <w:rFonts w:ascii="Book Antiqua" w:eastAsia="BaskervilleNo2BT-Roman" w:hAnsi="Book Antiqua" w:cs="Times New Roman"/>
          <w:sz w:val="20"/>
          <w:szCs w:val="20"/>
        </w:rPr>
        <w:t>n</w:t>
      </w:r>
      <w:r w:rsidRPr="000C6C65">
        <w:rPr>
          <w:rFonts w:ascii="Book Antiqua" w:eastAsia="BaskervilleNo2BT-Roman" w:hAnsi="Book Antiqua" w:cs="Times New Roman"/>
          <w:sz w:val="20"/>
          <w:szCs w:val="20"/>
        </w:rPr>
        <w:t xml:space="preserve"> annual routine health medical examination</w:t>
      </w:r>
      <w:r w:rsidR="001F6B3E" w:rsidRPr="000C6C65">
        <w:rPr>
          <w:rFonts w:ascii="Book Antiqua" w:eastAsia="BaskervilleNo2BT-Roman" w:hAnsi="Book Antiqua" w:cs="Times New Roman"/>
          <w:sz w:val="20"/>
          <w:szCs w:val="20"/>
        </w:rPr>
        <w:t xml:space="preserve"> was recommended</w:t>
      </w:r>
      <w:r w:rsidRPr="000C6C65">
        <w:rPr>
          <w:rFonts w:ascii="Book Antiqua" w:eastAsia="BaskervilleNo2BT-Roman" w:hAnsi="Book Antiqua" w:cs="Times New Roman"/>
          <w:sz w:val="20"/>
          <w:szCs w:val="20"/>
        </w:rPr>
        <w:t xml:space="preserve">. </w:t>
      </w:r>
      <w:r w:rsidR="001F6B3E" w:rsidRPr="000C6C65">
        <w:rPr>
          <w:rFonts w:ascii="Book Antiqua" w:eastAsia="BaskervilleNo2BT-Roman" w:hAnsi="Book Antiqua" w:cs="Times New Roman"/>
          <w:sz w:val="20"/>
          <w:szCs w:val="20"/>
        </w:rPr>
        <w:t>The exception was</w:t>
      </w:r>
      <w:r w:rsidRPr="000C6C65">
        <w:rPr>
          <w:rFonts w:ascii="Book Antiqua" w:eastAsia="BaskervilleNo2BT-Roman" w:hAnsi="Book Antiqua" w:cs="Times New Roman"/>
          <w:sz w:val="20"/>
          <w:szCs w:val="20"/>
        </w:rPr>
        <w:t xml:space="preserve"> </w:t>
      </w:r>
      <w:r w:rsidR="00BA3A97" w:rsidRPr="000C6C65">
        <w:rPr>
          <w:rFonts w:ascii="Book Antiqua" w:eastAsia="BaskervilleNo2BT-Roman" w:hAnsi="Book Antiqua" w:cs="Times New Roman"/>
          <w:sz w:val="20"/>
          <w:szCs w:val="20"/>
        </w:rPr>
        <w:t xml:space="preserve">case </w:t>
      </w:r>
      <w:r w:rsidRPr="000C6C65">
        <w:rPr>
          <w:rFonts w:ascii="Book Antiqua" w:eastAsia="BaskervilleNo2BT-Roman" w:hAnsi="Book Antiqua" w:cs="Times New Roman"/>
          <w:sz w:val="20"/>
          <w:szCs w:val="20"/>
        </w:rPr>
        <w:t>5</w:t>
      </w:r>
      <w:r w:rsidR="001F6B3E" w:rsidRPr="000C6C65">
        <w:rPr>
          <w:rFonts w:ascii="Book Antiqua" w:eastAsia="BaskervilleNo2BT-Roman" w:hAnsi="Book Antiqua" w:cs="Times New Roman"/>
          <w:sz w:val="20"/>
          <w:szCs w:val="20"/>
        </w:rPr>
        <w:t>, who</w:t>
      </w:r>
      <w:r w:rsidRPr="000C6C65">
        <w:rPr>
          <w:rFonts w:ascii="Book Antiqua" w:eastAsia="BaskervilleNo2BT-Roman" w:hAnsi="Book Antiqua" w:cs="Times New Roman"/>
          <w:sz w:val="20"/>
          <w:szCs w:val="20"/>
        </w:rPr>
        <w:t xml:space="preserve"> was suggested to have gallbladder-preserving colecystolithotomy and splenectomy in order to treat and prevent the gallstones. He was informed that splenectomy might not completely alleviate his hyperbilirubinemia owing to GS. </w:t>
      </w:r>
      <w:r w:rsidR="001F6B3E" w:rsidRPr="000C6C65">
        <w:rPr>
          <w:rFonts w:ascii="Book Antiqua" w:eastAsia="BaskervilleNo2BT-Roman" w:hAnsi="Book Antiqua" w:cs="Times New Roman"/>
          <w:sz w:val="20"/>
          <w:szCs w:val="20"/>
        </w:rPr>
        <w:t>T</w:t>
      </w:r>
      <w:r w:rsidRPr="000C6C65">
        <w:rPr>
          <w:rFonts w:ascii="Book Antiqua" w:eastAsia="BaskervilleNo2BT-Roman" w:hAnsi="Book Antiqua" w:cs="Times New Roman"/>
          <w:sz w:val="20"/>
          <w:szCs w:val="20"/>
        </w:rPr>
        <w:t>he patient</w:t>
      </w:r>
      <w:r w:rsidR="001F6B3E" w:rsidRPr="000C6C65">
        <w:rPr>
          <w:rFonts w:ascii="Book Antiqua" w:eastAsia="BaskervilleNo2BT-Roman" w:hAnsi="Book Antiqua" w:cs="Times New Roman"/>
          <w:sz w:val="20"/>
          <w:szCs w:val="20"/>
        </w:rPr>
        <w:t>, however,</w:t>
      </w:r>
      <w:r w:rsidRPr="000C6C65">
        <w:rPr>
          <w:rFonts w:ascii="Book Antiqua" w:eastAsia="BaskervilleNo2BT-Roman" w:hAnsi="Book Antiqua" w:cs="Times New Roman"/>
          <w:sz w:val="20"/>
          <w:szCs w:val="20"/>
        </w:rPr>
        <w:t xml:space="preserve"> refused our advice.</w:t>
      </w:r>
    </w:p>
    <w:p w:rsidR="001A61BA" w:rsidRPr="000C6C65" w:rsidRDefault="001A61BA" w:rsidP="000C6C65">
      <w:pPr>
        <w:widowControl w:val="0"/>
        <w:snapToGrid w:val="0"/>
        <w:spacing w:line="360" w:lineRule="auto"/>
        <w:jc w:val="both"/>
        <w:rPr>
          <w:rFonts w:ascii="Book Antiqua" w:eastAsia="BaskervilleNo2BT-Roman" w:hAnsi="Book Antiqua" w:cs="Times New Roman"/>
          <w:sz w:val="20"/>
          <w:szCs w:val="20"/>
        </w:rPr>
      </w:pPr>
    </w:p>
    <w:p w:rsidR="007A5608" w:rsidRPr="000C6C65" w:rsidRDefault="007A5608" w:rsidP="000C6C65">
      <w:pPr>
        <w:pStyle w:val="Normal1"/>
        <w:snapToGrid w:val="0"/>
        <w:spacing w:after="0" w:line="360" w:lineRule="auto"/>
        <w:jc w:val="both"/>
        <w:rPr>
          <w:rFonts w:ascii="Book Antiqua" w:hAnsi="Book Antiqua" w:cs="等线"/>
          <w:b/>
          <w:sz w:val="20"/>
          <w:szCs w:val="20"/>
          <w:u w:val="single"/>
        </w:rPr>
      </w:pPr>
      <w:r w:rsidRPr="000C6C65">
        <w:rPr>
          <w:rFonts w:ascii="Book Antiqua" w:hAnsi="Book Antiqua"/>
          <w:b/>
          <w:sz w:val="20"/>
          <w:szCs w:val="20"/>
          <w:u w:val="single"/>
        </w:rPr>
        <w:t>OUTCOME AND FOLLOW-UP</w:t>
      </w:r>
    </w:p>
    <w:p w:rsidR="001A61BA" w:rsidRPr="000C6C65" w:rsidRDefault="001A61BA"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BaskervilleNo2BT-Roman" w:hAnsi="Book Antiqua" w:cs="Times New Roman"/>
          <w:sz w:val="20"/>
          <w:szCs w:val="20"/>
        </w:rPr>
        <w:t xml:space="preserve">All six patients were in general good health during the follow-up period of 6 mo to 1 year. </w:t>
      </w:r>
    </w:p>
    <w:bookmarkEnd w:id="14"/>
    <w:p w:rsidR="001A61BA" w:rsidRPr="000C6C65" w:rsidRDefault="001A61BA" w:rsidP="000C6C65">
      <w:pPr>
        <w:widowControl w:val="0"/>
        <w:snapToGrid w:val="0"/>
        <w:spacing w:line="360" w:lineRule="auto"/>
        <w:jc w:val="both"/>
        <w:rPr>
          <w:rFonts w:ascii="Book Antiqua" w:eastAsia="BaskervilleNo2BT-Roman" w:hAnsi="Book Antiqua" w:cs="Times New Roman"/>
          <w:sz w:val="20"/>
          <w:szCs w:val="20"/>
        </w:rPr>
      </w:pPr>
    </w:p>
    <w:bookmarkEnd w:id="15"/>
    <w:p w:rsidR="007A5608" w:rsidRPr="000C6C65" w:rsidRDefault="007A5608" w:rsidP="000C6C65">
      <w:pPr>
        <w:pStyle w:val="Normal1"/>
        <w:snapToGrid w:val="0"/>
        <w:spacing w:after="0" w:line="360" w:lineRule="auto"/>
        <w:jc w:val="both"/>
        <w:rPr>
          <w:rFonts w:ascii="Book Antiqua" w:hAnsi="Book Antiqua" w:cs="等线"/>
          <w:sz w:val="20"/>
          <w:szCs w:val="20"/>
          <w:u w:val="single"/>
        </w:rPr>
      </w:pPr>
      <w:r w:rsidRPr="000C6C65">
        <w:rPr>
          <w:rFonts w:ascii="Book Antiqua" w:hAnsi="Book Antiqua" w:cs="等线"/>
          <w:b/>
          <w:sz w:val="20"/>
          <w:szCs w:val="20"/>
          <w:u w:val="single"/>
        </w:rPr>
        <w:t>DISCUSSION</w:t>
      </w:r>
    </w:p>
    <w:p w:rsidR="007A5608" w:rsidRPr="000C6C65" w:rsidRDefault="00E042BD"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eastAsia="BaskervilleNo2BT-Roman" w:hAnsi="Book Antiqua" w:cs="Times New Roman"/>
          <w:sz w:val="20"/>
          <w:szCs w:val="20"/>
        </w:rPr>
        <w:t>Previously</w:t>
      </w:r>
      <w:r w:rsidR="001A61BA" w:rsidRPr="000C6C65">
        <w:rPr>
          <w:rFonts w:ascii="Book Antiqua" w:eastAsia="BaskervilleNo2BT-Roman" w:hAnsi="Book Antiqua" w:cs="Times New Roman"/>
          <w:sz w:val="20"/>
          <w:szCs w:val="20"/>
        </w:rPr>
        <w:t xml:space="preserve">, GS combined with HS was considered to be rare, because </w:t>
      </w:r>
      <w:r w:rsidRPr="000C6C65">
        <w:rPr>
          <w:rFonts w:ascii="Book Antiqua" w:eastAsia="BaskervilleNo2BT-Roman" w:hAnsi="Book Antiqua" w:cs="Times New Roman"/>
          <w:sz w:val="20"/>
          <w:szCs w:val="20"/>
        </w:rPr>
        <w:t>only single cases had been reported</w:t>
      </w:r>
      <w:r w:rsidR="001A61BA" w:rsidRPr="000C6C65">
        <w:rPr>
          <w:rFonts w:ascii="Book Antiqua" w:eastAsia="BaskervilleNo2BT-Roman" w:hAnsi="Book Antiqua" w:cs="Times New Roman"/>
          <w:sz w:val="20"/>
          <w:szCs w:val="20"/>
        </w:rPr>
        <w:t xml:space="preserve">. Indeed, from the individual prevalence rates (GS, </w:t>
      </w:r>
      <w:r w:rsidR="007A5608" w:rsidRPr="000C6C65">
        <w:rPr>
          <w:rFonts w:ascii="Book Antiqua" w:eastAsia="BaskervilleNo2BT-Roman" w:hAnsi="Book Antiqua" w:cs="Times New Roman"/>
          <w:sz w:val="20"/>
          <w:szCs w:val="20"/>
        </w:rPr>
        <w:t xml:space="preserve">approximately </w:t>
      </w:r>
      <w:r w:rsidR="001A61BA" w:rsidRPr="000C6C65">
        <w:rPr>
          <w:rFonts w:ascii="Book Antiqua" w:eastAsia="BaskervilleNo2BT-Roman" w:hAnsi="Book Antiqua" w:cs="Times New Roman"/>
          <w:sz w:val="20"/>
          <w:szCs w:val="20"/>
        </w:rPr>
        <w:t xml:space="preserve">2% to 20%; HS, 1 per 2000 persons), the calculated rate of coexistence of GS and HS is low (10 to 100 per million births). However, we confirmed six cases in just half a year, strongly indicating that this </w:t>
      </w:r>
      <w:r w:rsidRPr="000C6C65">
        <w:rPr>
          <w:rFonts w:ascii="Book Antiqua" w:eastAsia="BaskervilleNo2BT-Roman" w:hAnsi="Book Antiqua" w:cs="Times New Roman"/>
          <w:sz w:val="20"/>
          <w:szCs w:val="20"/>
        </w:rPr>
        <w:t xml:space="preserve">phenomenon </w:t>
      </w:r>
      <w:r w:rsidR="001A61BA" w:rsidRPr="000C6C65">
        <w:rPr>
          <w:rFonts w:ascii="Book Antiqua" w:eastAsia="BaskervilleNo2BT-Roman" w:hAnsi="Book Antiqua" w:cs="Times New Roman"/>
          <w:sz w:val="20"/>
          <w:szCs w:val="20"/>
        </w:rPr>
        <w:t xml:space="preserve">might not be uncommon in </w:t>
      </w:r>
      <w:r w:rsidR="00920589" w:rsidRPr="000C6C65">
        <w:rPr>
          <w:rFonts w:ascii="Book Antiqua" w:eastAsia="BaskervilleNo2BT-Roman" w:hAnsi="Book Antiqua" w:cs="Times New Roman"/>
          <w:sz w:val="20"/>
          <w:szCs w:val="20"/>
        </w:rPr>
        <w:t xml:space="preserve">a </w:t>
      </w:r>
      <w:r w:rsidR="001A61BA" w:rsidRPr="000C6C65">
        <w:rPr>
          <w:rFonts w:ascii="Book Antiqua" w:eastAsia="BaskervilleNo2BT-Roman" w:hAnsi="Book Antiqua" w:cs="Times New Roman"/>
          <w:sz w:val="20"/>
          <w:szCs w:val="20"/>
        </w:rPr>
        <w:t>specific subset of population like isolated hyperbilirubinemia</w:t>
      </w:r>
      <w:r w:rsidR="00920589" w:rsidRPr="000C6C65">
        <w:rPr>
          <w:rFonts w:ascii="Book Antiqua" w:eastAsia="BaskervilleNo2BT-Roman" w:hAnsi="Book Antiqua" w:cs="Times New Roman"/>
          <w:sz w:val="20"/>
          <w:szCs w:val="20"/>
        </w:rPr>
        <w:t>,</w:t>
      </w:r>
      <w:r w:rsidR="001A61BA" w:rsidRPr="000C6C65">
        <w:rPr>
          <w:rFonts w:ascii="Book Antiqua" w:eastAsia="BaskervilleNo2BT-Roman" w:hAnsi="Book Antiqua" w:cs="Times New Roman"/>
          <w:sz w:val="20"/>
          <w:szCs w:val="20"/>
        </w:rPr>
        <w:t xml:space="preserve"> which mainly include</w:t>
      </w:r>
      <w:r w:rsidR="00920589" w:rsidRPr="000C6C65">
        <w:rPr>
          <w:rFonts w:ascii="Book Antiqua" w:eastAsia="BaskervilleNo2BT-Roman" w:hAnsi="Book Antiqua" w:cs="Times New Roman"/>
          <w:sz w:val="20"/>
          <w:szCs w:val="20"/>
        </w:rPr>
        <w:t>s</w:t>
      </w:r>
      <w:r w:rsidR="001A61BA" w:rsidRPr="000C6C65">
        <w:rPr>
          <w:rFonts w:ascii="Book Antiqua" w:eastAsia="BaskervilleNo2BT-Roman" w:hAnsi="Book Antiqua" w:cs="Times New Roman"/>
          <w:sz w:val="20"/>
          <w:szCs w:val="20"/>
        </w:rPr>
        <w:t xml:space="preserve"> GS and chronic hemolysis</w:t>
      </w:r>
      <w:r w:rsidR="00920589" w:rsidRPr="000C6C65">
        <w:rPr>
          <w:rFonts w:ascii="Book Antiqua" w:eastAsia="BaskervilleNo2BT-Roman" w:hAnsi="Book Antiqua" w:cs="Times New Roman"/>
          <w:sz w:val="20"/>
          <w:szCs w:val="20"/>
        </w:rPr>
        <w:t xml:space="preserve">. Perhaps </w:t>
      </w:r>
      <w:r w:rsidR="001A61BA" w:rsidRPr="000C6C65">
        <w:rPr>
          <w:rFonts w:ascii="Book Antiqua" w:eastAsia="BaskervilleNo2BT-Roman" w:hAnsi="Book Antiqua" w:cs="Times New Roman"/>
          <w:sz w:val="20"/>
          <w:szCs w:val="20"/>
        </w:rPr>
        <w:t xml:space="preserve">a number of </w:t>
      </w:r>
      <w:r w:rsidR="00920589" w:rsidRPr="000C6C65">
        <w:rPr>
          <w:rFonts w:ascii="Book Antiqua" w:eastAsia="BaskervilleNo2BT-Roman" w:hAnsi="Book Antiqua" w:cs="Times New Roman"/>
          <w:sz w:val="20"/>
          <w:szCs w:val="20"/>
        </w:rPr>
        <w:t xml:space="preserve">cases were </w:t>
      </w:r>
      <w:r w:rsidR="001A61BA" w:rsidRPr="000C6C65">
        <w:rPr>
          <w:rFonts w:ascii="Book Antiqua" w:eastAsia="BaskervilleNo2BT-Roman" w:hAnsi="Book Antiqua" w:cs="Times New Roman"/>
          <w:sz w:val="20"/>
          <w:szCs w:val="20"/>
        </w:rPr>
        <w:t xml:space="preserve">missed </w:t>
      </w:r>
      <w:r w:rsidR="00920589" w:rsidRPr="000C6C65">
        <w:rPr>
          <w:rFonts w:ascii="Book Antiqua" w:eastAsia="BaskervilleNo2BT-Roman" w:hAnsi="Book Antiqua" w:cs="Times New Roman"/>
          <w:sz w:val="20"/>
          <w:szCs w:val="20"/>
        </w:rPr>
        <w:t>because of a</w:t>
      </w:r>
      <w:r w:rsidR="001A61BA" w:rsidRPr="000C6C65">
        <w:rPr>
          <w:rFonts w:ascii="Book Antiqua" w:eastAsia="BaskervilleNo2BT-Roman" w:hAnsi="Book Antiqua" w:cs="Times New Roman"/>
          <w:sz w:val="20"/>
          <w:szCs w:val="20"/>
        </w:rPr>
        <w:t xml:space="preserve"> lack of awareness and </w:t>
      </w:r>
      <w:r w:rsidR="00920589" w:rsidRPr="000C6C65">
        <w:rPr>
          <w:rFonts w:ascii="Book Antiqua" w:eastAsia="BaskervilleNo2BT-Roman" w:hAnsi="Book Antiqua" w:cs="Times New Roman"/>
          <w:sz w:val="20"/>
          <w:szCs w:val="20"/>
        </w:rPr>
        <w:t xml:space="preserve">available </w:t>
      </w:r>
      <w:r w:rsidR="001A61BA" w:rsidRPr="000C6C65">
        <w:rPr>
          <w:rFonts w:ascii="Book Antiqua" w:eastAsia="BaskervilleNo2BT-Roman" w:hAnsi="Book Antiqua" w:cs="Times New Roman"/>
          <w:sz w:val="20"/>
          <w:szCs w:val="20"/>
        </w:rPr>
        <w:t>techniques.</w:t>
      </w:r>
    </w:p>
    <w:p w:rsidR="007A5608" w:rsidRPr="000C6C65" w:rsidRDefault="001A61BA" w:rsidP="000C6C65">
      <w:pPr>
        <w:widowControl w:val="0"/>
        <w:snapToGrid w:val="0"/>
        <w:spacing w:line="360" w:lineRule="auto"/>
        <w:ind w:firstLineChars="100" w:firstLine="200"/>
        <w:jc w:val="both"/>
        <w:rPr>
          <w:rFonts w:ascii="Book Antiqua" w:eastAsia="BaskervilleNo2BT-Roman" w:hAnsi="Book Antiqua" w:cs="Times New Roman"/>
          <w:sz w:val="20"/>
          <w:szCs w:val="20"/>
        </w:rPr>
      </w:pPr>
      <w:r w:rsidRPr="000C6C65">
        <w:rPr>
          <w:rFonts w:ascii="Book Antiqua" w:eastAsia="BaskervilleNo2BT-Roman" w:hAnsi="Book Antiqua" w:cs="Times New Roman"/>
          <w:sz w:val="20"/>
          <w:szCs w:val="20"/>
        </w:rPr>
        <w:t xml:space="preserve">In the present cases, all patients had been presumed previously to have constitutional jaundice without further investigation because they were not anemic and did not exhibit signs of abnormal liver function. There were subtle signs of hemolysis that were not attended to, especially in case </w:t>
      </w:r>
      <w:r w:rsidR="00920589" w:rsidRPr="000C6C65">
        <w:rPr>
          <w:rFonts w:ascii="Book Antiqua" w:eastAsia="BaskervilleNo2BT-Roman" w:hAnsi="Book Antiqua" w:cs="Times New Roman"/>
          <w:sz w:val="20"/>
          <w:szCs w:val="20"/>
        </w:rPr>
        <w:t xml:space="preserve">1 </w:t>
      </w:r>
      <w:r w:rsidRPr="000C6C65">
        <w:rPr>
          <w:rFonts w:ascii="Book Antiqua" w:eastAsia="BaskervilleNo2BT-Roman" w:hAnsi="Book Antiqua" w:cs="Times New Roman"/>
          <w:sz w:val="20"/>
          <w:szCs w:val="20"/>
        </w:rPr>
        <w:t xml:space="preserve">and case </w:t>
      </w:r>
      <w:r w:rsidR="00920589" w:rsidRPr="000C6C65">
        <w:rPr>
          <w:rFonts w:ascii="Book Antiqua" w:eastAsia="BaskervilleNo2BT-Roman" w:hAnsi="Book Antiqua" w:cs="Times New Roman"/>
          <w:sz w:val="20"/>
          <w:szCs w:val="20"/>
        </w:rPr>
        <w:t>5</w:t>
      </w:r>
      <w:r w:rsidRPr="000C6C65">
        <w:rPr>
          <w:rFonts w:ascii="Book Antiqua" w:eastAsia="BaskervilleNo2BT-Roman" w:hAnsi="Book Antiqua" w:cs="Times New Roman"/>
          <w:sz w:val="20"/>
          <w:szCs w:val="20"/>
        </w:rPr>
        <w:t xml:space="preserve">, </w:t>
      </w:r>
      <w:r w:rsidR="00920589" w:rsidRPr="000C6C65">
        <w:rPr>
          <w:rFonts w:ascii="Book Antiqua" w:eastAsia="BaskervilleNo2BT-Roman" w:hAnsi="Book Antiqua" w:cs="Times New Roman"/>
          <w:sz w:val="20"/>
          <w:szCs w:val="20"/>
        </w:rPr>
        <w:t>where</w:t>
      </w:r>
      <w:r w:rsidRPr="000C6C65">
        <w:rPr>
          <w:rFonts w:ascii="Book Antiqua" w:eastAsia="BaskervilleNo2BT-Roman" w:hAnsi="Book Antiqua" w:cs="Times New Roman"/>
          <w:sz w:val="20"/>
          <w:szCs w:val="20"/>
        </w:rPr>
        <w:t xml:space="preserve"> they had significantly elevated reticulocyte ratio and splenomegaly. Although the other four patients did not show overt signs of hemolysis, a few RBCs were later shown to have a spheroid morphology, and this sign had been missed previously. Fortunately, hemolysis was demonstrated in all six cases by </w:t>
      </w:r>
      <w:r w:rsidR="00920589" w:rsidRPr="000C6C65">
        <w:rPr>
          <w:rFonts w:ascii="Book Antiqua" w:eastAsia="BaskervilleNo2BT-Roman" w:hAnsi="Book Antiqua" w:cs="Times New Roman"/>
          <w:sz w:val="20"/>
          <w:szCs w:val="20"/>
        </w:rPr>
        <w:t xml:space="preserve">the </w:t>
      </w:r>
      <w:r w:rsidRPr="000C6C65">
        <w:rPr>
          <w:rFonts w:ascii="Book Antiqua" w:eastAsia="BaskervilleNo2BT-Roman" w:hAnsi="Book Antiqua" w:cs="Times New Roman"/>
          <w:sz w:val="20"/>
          <w:szCs w:val="20"/>
        </w:rPr>
        <w:t>CO breath test</w:t>
      </w:r>
      <w:r w:rsidR="00920589" w:rsidRPr="000C6C65">
        <w:rPr>
          <w:rFonts w:ascii="Book Antiqua" w:eastAsia="BaskervilleNo2BT-Roman" w:hAnsi="Book Antiqua" w:cs="Times New Roman"/>
          <w:sz w:val="20"/>
          <w:szCs w:val="20"/>
        </w:rPr>
        <w:t xml:space="preserve"> results, which showed</w:t>
      </w:r>
      <w:r w:rsidRPr="000C6C65">
        <w:rPr>
          <w:rFonts w:ascii="Book Antiqua" w:eastAsia="BaskervilleNo2BT-Roman" w:hAnsi="Book Antiqua" w:cs="Times New Roman"/>
          <w:sz w:val="20"/>
          <w:szCs w:val="20"/>
        </w:rPr>
        <w:t xml:space="preserve"> markedly shortened RBC lifespans.</w:t>
      </w:r>
    </w:p>
    <w:p w:rsidR="007A5608" w:rsidRPr="000C6C65" w:rsidRDefault="001A61BA" w:rsidP="000C6C65">
      <w:pPr>
        <w:widowControl w:val="0"/>
        <w:snapToGrid w:val="0"/>
        <w:spacing w:line="360" w:lineRule="auto"/>
        <w:ind w:firstLineChars="100" w:firstLine="200"/>
        <w:jc w:val="both"/>
        <w:rPr>
          <w:rFonts w:ascii="Book Antiqua" w:eastAsia="微软雅黑" w:hAnsi="Book Antiqua"/>
          <w:color w:val="000000"/>
          <w:sz w:val="20"/>
          <w:szCs w:val="20"/>
        </w:rPr>
      </w:pPr>
      <w:r w:rsidRPr="000C6C65">
        <w:rPr>
          <w:rFonts w:ascii="Book Antiqua" w:eastAsia="微软雅黑" w:hAnsi="Book Antiqua"/>
          <w:color w:val="000000"/>
          <w:sz w:val="20"/>
          <w:szCs w:val="20"/>
        </w:rPr>
        <w:t>GS is characterized by mild to moderate, chronic unconjugated hyperbilirubinemia in the absence of overt hemolysis or structural liver disease</w:t>
      </w:r>
      <w:r w:rsidRPr="000C6C65">
        <w:rPr>
          <w:rFonts w:ascii="Book Antiqua" w:eastAsia="微软雅黑" w:hAnsi="Book Antiqua"/>
          <w:color w:val="000000"/>
          <w:sz w:val="20"/>
          <w:szCs w:val="20"/>
          <w:vertAlign w:val="superscript"/>
        </w:rPr>
        <w:t>[14]</w:t>
      </w:r>
      <w:r w:rsidRPr="000C6C65">
        <w:rPr>
          <w:rFonts w:ascii="Book Antiqua" w:eastAsia="微软雅黑" w:hAnsi="Book Antiqua"/>
          <w:color w:val="000000"/>
          <w:sz w:val="20"/>
          <w:szCs w:val="20"/>
        </w:rPr>
        <w:t xml:space="preserve">. The reported prevalence is as high as </w:t>
      </w:r>
      <w:r w:rsidR="007A5608" w:rsidRPr="000C6C65">
        <w:rPr>
          <w:rFonts w:ascii="Book Antiqua" w:eastAsia="微软雅黑" w:hAnsi="Book Antiqua"/>
          <w:color w:val="000000"/>
          <w:sz w:val="20"/>
          <w:szCs w:val="20"/>
        </w:rPr>
        <w:t xml:space="preserve">approximately </w:t>
      </w:r>
      <w:r w:rsidRPr="000C6C65">
        <w:rPr>
          <w:rFonts w:ascii="Book Antiqua" w:eastAsia="微软雅黑" w:hAnsi="Book Antiqua"/>
          <w:color w:val="000000"/>
          <w:sz w:val="20"/>
          <w:szCs w:val="20"/>
        </w:rPr>
        <w:t>2% to 20%</w:t>
      </w:r>
      <w:r w:rsidRPr="000C6C65">
        <w:rPr>
          <w:rFonts w:ascii="Book Antiqua" w:eastAsia="微软雅黑" w:hAnsi="Book Antiqua"/>
          <w:color w:val="000000"/>
          <w:sz w:val="20"/>
          <w:szCs w:val="20"/>
          <w:vertAlign w:val="superscript"/>
        </w:rPr>
        <w:t>[3]</w:t>
      </w:r>
      <w:r w:rsidRPr="000C6C65">
        <w:rPr>
          <w:rFonts w:ascii="Book Antiqua" w:eastAsia="微软雅黑" w:hAnsi="Book Antiqua"/>
          <w:color w:val="000000"/>
          <w:sz w:val="20"/>
          <w:szCs w:val="20"/>
        </w:rPr>
        <w:t>. Patients with GS typically present when isolated hyperbilirubinemia is detected as an incidental finding on routine multiphasic biochemical screening, and clinical jaundice is uncommon. Except for the finding of icterus or jaundice, patients are usually asymptomatic. Jaundice often worsens in response to fasting, stress, dehydration, menstruation, or overexertion</w:t>
      </w:r>
      <w:r w:rsidRPr="000C6C65">
        <w:rPr>
          <w:rFonts w:ascii="Book Antiqua" w:eastAsia="微软雅黑" w:hAnsi="Book Antiqua"/>
          <w:color w:val="000000"/>
          <w:sz w:val="20"/>
          <w:szCs w:val="20"/>
          <w:vertAlign w:val="superscript"/>
        </w:rPr>
        <w:t>[3,15]</w:t>
      </w:r>
      <w:r w:rsidRPr="000C6C65">
        <w:rPr>
          <w:rFonts w:ascii="Book Antiqua" w:eastAsia="微软雅黑" w:hAnsi="Book Antiqua"/>
          <w:color w:val="000000"/>
          <w:sz w:val="20"/>
          <w:szCs w:val="20"/>
        </w:rPr>
        <w:t xml:space="preserve">. Family history is often positive. Low calorie intake test and phenobarbital stimulation test </w:t>
      </w:r>
      <w:r w:rsidR="00150915" w:rsidRPr="000C6C65">
        <w:rPr>
          <w:rFonts w:ascii="Book Antiqua" w:eastAsia="微软雅黑" w:hAnsi="Book Antiqua"/>
          <w:color w:val="000000"/>
          <w:sz w:val="20"/>
          <w:szCs w:val="20"/>
        </w:rPr>
        <w:t xml:space="preserve">were </w:t>
      </w:r>
      <w:r w:rsidRPr="000C6C65">
        <w:rPr>
          <w:rFonts w:ascii="Book Antiqua" w:eastAsia="微软雅黑" w:hAnsi="Book Antiqua"/>
          <w:color w:val="000000"/>
          <w:sz w:val="20"/>
          <w:szCs w:val="20"/>
        </w:rPr>
        <w:t>the common diagnostic tests used in the past</w:t>
      </w:r>
      <w:r w:rsidR="00150915" w:rsidRPr="000C6C65">
        <w:rPr>
          <w:rFonts w:ascii="Book Antiqua" w:eastAsia="微软雅黑" w:hAnsi="Book Antiqua"/>
          <w:color w:val="000000"/>
          <w:sz w:val="20"/>
          <w:szCs w:val="20"/>
        </w:rPr>
        <w:t>,</w:t>
      </w:r>
      <w:r w:rsidRPr="000C6C65">
        <w:rPr>
          <w:rFonts w:ascii="Book Antiqua" w:eastAsia="微软雅黑" w:hAnsi="Book Antiqua"/>
          <w:color w:val="000000"/>
          <w:sz w:val="20"/>
          <w:szCs w:val="20"/>
        </w:rPr>
        <w:t xml:space="preserve"> and</w:t>
      </w:r>
      <w:r w:rsidR="00150915" w:rsidRPr="000C6C65">
        <w:rPr>
          <w:rFonts w:ascii="Book Antiqua" w:eastAsia="微软雅黑" w:hAnsi="Book Antiqua"/>
          <w:color w:val="000000"/>
          <w:sz w:val="20"/>
          <w:szCs w:val="20"/>
        </w:rPr>
        <w:t xml:space="preserve"> they</w:t>
      </w:r>
      <w:r w:rsidRPr="000C6C65">
        <w:rPr>
          <w:rFonts w:ascii="Book Antiqua" w:eastAsia="微软雅黑" w:hAnsi="Book Antiqua"/>
          <w:color w:val="000000"/>
          <w:sz w:val="20"/>
          <w:szCs w:val="20"/>
        </w:rPr>
        <w:t xml:space="preserve"> have been gradually replaced by simple and reliable detection of </w:t>
      </w:r>
      <w:r w:rsidRPr="000C6C65">
        <w:rPr>
          <w:rFonts w:ascii="Book Antiqua" w:eastAsia="微软雅黑" w:hAnsi="Book Antiqua"/>
          <w:i/>
          <w:iCs/>
          <w:color w:val="000000"/>
          <w:sz w:val="20"/>
          <w:szCs w:val="20"/>
        </w:rPr>
        <w:t>UGT1A1</w:t>
      </w:r>
      <w:r w:rsidRPr="000C6C65">
        <w:rPr>
          <w:rFonts w:ascii="Book Antiqua" w:eastAsia="微软雅黑" w:hAnsi="Book Antiqua"/>
          <w:color w:val="000000"/>
          <w:sz w:val="20"/>
          <w:szCs w:val="20"/>
        </w:rPr>
        <w:t xml:space="preserve"> gene mutation</w:t>
      </w:r>
      <w:r w:rsidRPr="000C6C65">
        <w:rPr>
          <w:rFonts w:ascii="Book Antiqua" w:eastAsia="BaskervilleNo2BT-Roman" w:hAnsi="Book Antiqua"/>
          <w:sz w:val="20"/>
          <w:szCs w:val="20"/>
          <w:vertAlign w:val="superscript"/>
        </w:rPr>
        <w:t>[16,17]</w:t>
      </w:r>
      <w:r w:rsidRPr="000C6C65">
        <w:rPr>
          <w:rFonts w:ascii="Book Antiqua" w:eastAsia="微软雅黑" w:hAnsi="Book Antiqua"/>
          <w:color w:val="000000"/>
          <w:sz w:val="20"/>
          <w:szCs w:val="20"/>
        </w:rPr>
        <w:t xml:space="preserve">. Although GS has generally been thought to be an entirely benign condition </w:t>
      </w:r>
      <w:r w:rsidR="00150915" w:rsidRPr="000C6C65">
        <w:rPr>
          <w:rFonts w:ascii="Book Antiqua" w:eastAsia="微软雅黑" w:hAnsi="Book Antiqua"/>
          <w:color w:val="000000"/>
          <w:sz w:val="20"/>
          <w:szCs w:val="20"/>
        </w:rPr>
        <w:t xml:space="preserve">with </w:t>
      </w:r>
      <w:r w:rsidRPr="000C6C65">
        <w:rPr>
          <w:rFonts w:ascii="Book Antiqua" w:eastAsia="微软雅黑" w:hAnsi="Book Antiqua"/>
          <w:color w:val="000000"/>
          <w:sz w:val="20"/>
          <w:szCs w:val="20"/>
        </w:rPr>
        <w:t>no</w:t>
      </w:r>
      <w:r w:rsidR="00150915" w:rsidRPr="000C6C65">
        <w:rPr>
          <w:rFonts w:ascii="Book Antiqua" w:eastAsia="微软雅黑" w:hAnsi="Book Antiqua"/>
          <w:color w:val="000000"/>
          <w:sz w:val="20"/>
          <w:szCs w:val="20"/>
        </w:rPr>
        <w:t xml:space="preserve"> necessary</w:t>
      </w:r>
      <w:r w:rsidRPr="000C6C65">
        <w:rPr>
          <w:rFonts w:ascii="Book Antiqua" w:eastAsia="微软雅黑" w:hAnsi="Book Antiqua"/>
          <w:color w:val="000000"/>
          <w:sz w:val="20"/>
          <w:szCs w:val="20"/>
        </w:rPr>
        <w:t xml:space="preserve"> treatment, persons with this disorder may be at increased risk for gallstones and for the toxicity of selected drugs like irinotecan that require glucuronidation for metabolic disposal</w:t>
      </w:r>
      <w:r w:rsidRPr="000C6C65">
        <w:rPr>
          <w:rFonts w:ascii="Book Antiqua" w:eastAsia="BaskervilleNo2BT-Roman" w:hAnsi="Book Antiqua"/>
          <w:sz w:val="20"/>
          <w:szCs w:val="20"/>
          <w:vertAlign w:val="superscript"/>
        </w:rPr>
        <w:t>[18-20]</w:t>
      </w:r>
      <w:r w:rsidRPr="000C6C65">
        <w:rPr>
          <w:rFonts w:ascii="Book Antiqua" w:eastAsia="微软雅黑" w:hAnsi="Book Antiqua"/>
          <w:color w:val="000000"/>
          <w:sz w:val="20"/>
          <w:szCs w:val="20"/>
        </w:rPr>
        <w:t>.</w:t>
      </w:r>
    </w:p>
    <w:p w:rsidR="001A61BA" w:rsidRPr="000C6C65" w:rsidRDefault="001A61BA" w:rsidP="000C6C65">
      <w:pPr>
        <w:widowControl w:val="0"/>
        <w:snapToGrid w:val="0"/>
        <w:spacing w:line="360" w:lineRule="auto"/>
        <w:ind w:firstLineChars="100" w:firstLine="200"/>
        <w:jc w:val="both"/>
        <w:rPr>
          <w:rFonts w:ascii="Book Antiqua" w:eastAsia="BaskervilleNo2BT-Roman" w:hAnsi="Book Antiqua" w:cs="Times New Roman"/>
          <w:sz w:val="20"/>
          <w:szCs w:val="20"/>
        </w:rPr>
      </w:pPr>
      <w:r w:rsidRPr="000C6C65">
        <w:rPr>
          <w:rFonts w:ascii="Book Antiqua" w:eastAsia="微软雅黑" w:hAnsi="Book Antiqua"/>
          <w:color w:val="000000"/>
          <w:sz w:val="20"/>
          <w:szCs w:val="20"/>
        </w:rPr>
        <w:t>HS is a common congenital hemolytic disease. Its etiology involves intrinsic abnormalities of RBC membrane proteins that alter RBC morphology, resulting in spheroid, rather than disc-shaped RBCs, which are thus less deformable than normal RBCs and more vulnerable to splenic sequestration and destruction. Typically, patients with HS have icterus, anemia, and splenomegaly due to chronic hemolysis. Most patients diagnosed with HS have a positive family history. The most common complication of HS is the formation of bilirubinate gallstones, which occurs in about half of HS-diagnosed patients. A substantial number of spherocytes in peripheral blood smears is a key diagnostic indicator of HS. Splenectomy can be performed to alleviate anemia and prevent gallstone formation. Genetic mutations</w:t>
      </w:r>
      <w:r w:rsidR="00150915" w:rsidRPr="000C6C65">
        <w:rPr>
          <w:rFonts w:ascii="Book Antiqua" w:eastAsia="微软雅黑" w:hAnsi="Book Antiqua"/>
          <w:color w:val="000000"/>
          <w:sz w:val="20"/>
          <w:szCs w:val="20"/>
        </w:rPr>
        <w:t xml:space="preserve"> that affect</w:t>
      </w:r>
      <w:r w:rsidRPr="000C6C65">
        <w:rPr>
          <w:rFonts w:ascii="Book Antiqua" w:eastAsia="微软雅黑" w:hAnsi="Book Antiqua"/>
          <w:color w:val="000000"/>
          <w:sz w:val="20"/>
          <w:szCs w:val="20"/>
        </w:rPr>
        <w:t xml:space="preserve"> RBC membrane proteins [</w:t>
      </w:r>
      <w:r w:rsidR="00150915" w:rsidRPr="000C6C65">
        <w:rPr>
          <w:rFonts w:ascii="Book Antiqua" w:eastAsia="微软雅黑" w:hAnsi="Book Antiqua"/>
          <w:i/>
          <w:iCs/>
          <w:color w:val="000000"/>
          <w:sz w:val="20"/>
          <w:szCs w:val="20"/>
        </w:rPr>
        <w:t>e.g</w:t>
      </w:r>
      <w:r w:rsidRPr="000C6C65">
        <w:rPr>
          <w:rFonts w:ascii="Book Antiqua" w:eastAsia="微软雅黑" w:hAnsi="Book Antiqua"/>
          <w:i/>
          <w:iCs/>
          <w:color w:val="000000"/>
          <w:sz w:val="20"/>
          <w:szCs w:val="20"/>
        </w:rPr>
        <w:t>.</w:t>
      </w:r>
      <w:r w:rsidRPr="000C6C65">
        <w:rPr>
          <w:rFonts w:ascii="Book Antiqua" w:eastAsia="微软雅黑" w:hAnsi="Book Antiqua"/>
          <w:color w:val="000000"/>
          <w:sz w:val="20"/>
          <w:szCs w:val="20"/>
        </w:rPr>
        <w:t>, ANKs, spectrins, band 3, and/or (rarely) protein 4.2] cause HS. The clinical presentation and severity of HS symptoms are highly variable across patients depending upon which of these mutations, and how many of them, are present. HS diagnoses may be missed in mild cases due to there being few spherocytes in peripheral blood smears. Furthermore, in patients with well-compensated hemolysis, signs of HS may only be detected when complications occur. Currently, a definitive diagnosis of HS requires RBC membrane protein electrophoresis or genetic testing</w:t>
      </w:r>
      <w:r w:rsidRPr="000C6C65">
        <w:rPr>
          <w:rFonts w:ascii="Book Antiqua" w:eastAsia="微软雅黑" w:hAnsi="Book Antiqua"/>
          <w:color w:val="000000"/>
          <w:sz w:val="20"/>
          <w:szCs w:val="20"/>
          <w:vertAlign w:val="superscript"/>
        </w:rPr>
        <w:t>[</w:t>
      </w:r>
      <w:r w:rsidR="00980292" w:rsidRPr="000C6C65">
        <w:rPr>
          <w:rFonts w:ascii="Book Antiqua" w:eastAsia="微软雅黑" w:hAnsi="Book Antiqua"/>
          <w:color w:val="000000"/>
          <w:sz w:val="20"/>
          <w:szCs w:val="20"/>
          <w:vertAlign w:val="superscript"/>
        </w:rPr>
        <w:t>5,</w:t>
      </w:r>
      <w:r w:rsidRPr="000C6C65">
        <w:rPr>
          <w:rFonts w:ascii="Book Antiqua" w:eastAsia="微软雅黑" w:hAnsi="Book Antiqua"/>
          <w:color w:val="000000"/>
          <w:sz w:val="20"/>
          <w:szCs w:val="20"/>
          <w:vertAlign w:val="superscript"/>
        </w:rPr>
        <w:t>21</w:t>
      </w:r>
      <w:r w:rsidR="00980292" w:rsidRPr="000C6C65">
        <w:rPr>
          <w:rFonts w:ascii="Book Antiqua" w:eastAsia="微软雅黑" w:hAnsi="Book Antiqua"/>
          <w:color w:val="000000"/>
          <w:sz w:val="20"/>
          <w:szCs w:val="20"/>
          <w:vertAlign w:val="superscript"/>
        </w:rPr>
        <w:t>,</w:t>
      </w:r>
      <w:r w:rsidRPr="000C6C65">
        <w:rPr>
          <w:rFonts w:ascii="Book Antiqua" w:eastAsia="微软雅黑" w:hAnsi="Book Antiqua"/>
          <w:color w:val="000000"/>
          <w:sz w:val="20"/>
          <w:szCs w:val="20"/>
          <w:vertAlign w:val="superscript"/>
        </w:rPr>
        <w:t>2</w:t>
      </w:r>
      <w:r w:rsidR="00980292" w:rsidRPr="000C6C65">
        <w:rPr>
          <w:rFonts w:ascii="Book Antiqua" w:eastAsia="微软雅黑" w:hAnsi="Book Antiqua"/>
          <w:color w:val="000000"/>
          <w:sz w:val="20"/>
          <w:szCs w:val="20"/>
          <w:vertAlign w:val="superscript"/>
        </w:rPr>
        <w:t>2</w:t>
      </w:r>
      <w:r w:rsidRPr="000C6C65">
        <w:rPr>
          <w:rFonts w:ascii="Book Antiqua" w:eastAsia="微软雅黑" w:hAnsi="Book Antiqua"/>
          <w:color w:val="000000"/>
          <w:sz w:val="20"/>
          <w:szCs w:val="20"/>
          <w:vertAlign w:val="superscript"/>
        </w:rPr>
        <w:t>]</w:t>
      </w:r>
      <w:r w:rsidRPr="000C6C65">
        <w:rPr>
          <w:rFonts w:ascii="Book Antiqua" w:eastAsia="微软雅黑" w:hAnsi="Book Antiqua"/>
          <w:color w:val="000000"/>
          <w:sz w:val="20"/>
          <w:szCs w:val="20"/>
        </w:rPr>
        <w:t>.</w:t>
      </w:r>
    </w:p>
    <w:p w:rsidR="007A5608" w:rsidRPr="000C6C65" w:rsidRDefault="001A61BA" w:rsidP="000C6C65">
      <w:pPr>
        <w:pStyle w:val="a5"/>
        <w:snapToGrid w:val="0"/>
        <w:spacing w:line="360" w:lineRule="auto"/>
        <w:ind w:firstLineChars="200" w:firstLine="400"/>
        <w:jc w:val="both"/>
        <w:rPr>
          <w:rFonts w:ascii="Book Antiqua" w:eastAsia="微软雅黑" w:hAnsi="Book Antiqua"/>
          <w:color w:val="000000"/>
          <w:sz w:val="20"/>
          <w:szCs w:val="20"/>
        </w:rPr>
      </w:pPr>
      <w:r w:rsidRPr="000C6C65">
        <w:rPr>
          <w:rFonts w:ascii="Book Antiqua" w:eastAsia="微软雅黑" w:hAnsi="Book Antiqua"/>
          <w:color w:val="000000"/>
          <w:sz w:val="20"/>
          <w:szCs w:val="20"/>
        </w:rPr>
        <w:t>Although GS and HS can both present as isolated unconjugated hyperbilirubinemia, they can be distinguished because the former is caused by decreased conjugation in hepatocytes. In contrast, the latter is the result of hemolysis. Patients with both diseases, however, may remain undiagnosed for long periods despite the presence of chronic jaundice. GS has been suspected in some patients already diagnosed with HS because of high serum bilirubin levels in the absence of pronounced anemia</w:t>
      </w:r>
      <w:r w:rsidRPr="000C6C65">
        <w:rPr>
          <w:rFonts w:ascii="Book Antiqua" w:eastAsia="微软雅黑" w:hAnsi="Book Antiqua"/>
          <w:color w:val="000000"/>
          <w:sz w:val="20"/>
          <w:szCs w:val="20"/>
          <w:vertAlign w:val="superscript"/>
        </w:rPr>
        <w:t>[6,7]</w:t>
      </w:r>
      <w:r w:rsidRPr="000C6C65">
        <w:rPr>
          <w:rFonts w:ascii="Book Antiqua" w:eastAsia="微软雅黑" w:hAnsi="Book Antiqua"/>
          <w:color w:val="000000"/>
          <w:sz w:val="20"/>
          <w:szCs w:val="20"/>
        </w:rPr>
        <w:t>. In other cases, poor responses to hemolytic therapies, such as persistent hyperbilirubinemia after splenectomy or ineffective phototherapy for neonatal jaundice, have provided important diagnostic clues</w:t>
      </w:r>
      <w:r w:rsidRPr="000C6C65">
        <w:rPr>
          <w:rFonts w:ascii="Book Antiqua" w:eastAsia="微软雅黑" w:hAnsi="Book Antiqua"/>
          <w:color w:val="000000"/>
          <w:sz w:val="20"/>
          <w:szCs w:val="20"/>
          <w:vertAlign w:val="superscript"/>
        </w:rPr>
        <w:t>[8,9]</w:t>
      </w:r>
      <w:r w:rsidRPr="000C6C65">
        <w:rPr>
          <w:rFonts w:ascii="Book Antiqua" w:eastAsia="微软雅黑" w:hAnsi="Book Antiqua"/>
          <w:color w:val="000000"/>
          <w:sz w:val="20"/>
          <w:szCs w:val="20"/>
        </w:rPr>
        <w:t>. Some patients with GS are examined for comorbidity of hemolytic disease (including HS) based on an elevated reticulocyte ratio, low hemoglobin, or splenomegaly</w:t>
      </w:r>
      <w:r w:rsidRPr="000C6C65">
        <w:rPr>
          <w:rFonts w:ascii="Book Antiqua" w:eastAsia="微软雅黑" w:hAnsi="Book Antiqua"/>
          <w:color w:val="000000"/>
          <w:sz w:val="20"/>
          <w:szCs w:val="20"/>
          <w:vertAlign w:val="superscript"/>
        </w:rPr>
        <w:t>[10,11]</w:t>
      </w:r>
      <w:r w:rsidRPr="000C6C65">
        <w:rPr>
          <w:rFonts w:ascii="Book Antiqua" w:eastAsia="微软雅黑" w:hAnsi="Book Antiqua"/>
          <w:color w:val="000000"/>
          <w:sz w:val="20"/>
          <w:szCs w:val="20"/>
        </w:rPr>
        <w:t xml:space="preserve">. However, a few </w:t>
      </w:r>
      <w:r w:rsidR="00EE3DFC" w:rsidRPr="000C6C65">
        <w:rPr>
          <w:rFonts w:ascii="Book Antiqua" w:eastAsia="微软雅黑" w:hAnsi="Book Antiqua"/>
          <w:color w:val="000000"/>
          <w:sz w:val="20"/>
          <w:szCs w:val="20"/>
        </w:rPr>
        <w:t xml:space="preserve">perceptive </w:t>
      </w:r>
      <w:r w:rsidRPr="000C6C65">
        <w:rPr>
          <w:rFonts w:ascii="Book Antiqua" w:eastAsia="微软雅黑" w:hAnsi="Book Antiqua"/>
          <w:color w:val="000000"/>
          <w:sz w:val="20"/>
          <w:szCs w:val="20"/>
        </w:rPr>
        <w:t>doctors suspected the coexistence of GS and HS when they encountered an isolated hyperbilirubinemia with hemolytic signs by careful</w:t>
      </w:r>
      <w:r w:rsidR="00EE3DFC" w:rsidRPr="000C6C65">
        <w:rPr>
          <w:rFonts w:ascii="Book Antiqua" w:eastAsia="微软雅黑" w:hAnsi="Book Antiqua"/>
          <w:color w:val="000000"/>
          <w:sz w:val="20"/>
          <w:szCs w:val="20"/>
        </w:rPr>
        <w:t>ly</w:t>
      </w:r>
      <w:r w:rsidRPr="000C6C65">
        <w:rPr>
          <w:rFonts w:ascii="Book Antiqua" w:eastAsia="微软雅黑" w:hAnsi="Book Antiqua"/>
          <w:color w:val="000000"/>
          <w:sz w:val="20"/>
          <w:szCs w:val="20"/>
        </w:rPr>
        <w:t xml:space="preserve"> evaluati</w:t>
      </w:r>
      <w:r w:rsidR="00EE3DFC" w:rsidRPr="000C6C65">
        <w:rPr>
          <w:rFonts w:ascii="Book Antiqua" w:eastAsia="微软雅黑" w:hAnsi="Book Antiqua"/>
          <w:color w:val="000000"/>
          <w:sz w:val="20"/>
          <w:szCs w:val="20"/>
        </w:rPr>
        <w:t xml:space="preserve">ng </w:t>
      </w:r>
      <w:r w:rsidRPr="000C6C65">
        <w:rPr>
          <w:rFonts w:ascii="Book Antiqua" w:eastAsia="微软雅黑" w:hAnsi="Book Antiqua"/>
          <w:color w:val="000000"/>
          <w:sz w:val="20"/>
          <w:szCs w:val="20"/>
        </w:rPr>
        <w:t>inappropriately elevated bilirubin level compared with the degree of hemoglobin</w:t>
      </w:r>
      <w:r w:rsidRPr="000C6C65">
        <w:rPr>
          <w:rFonts w:ascii="Book Antiqua" w:eastAsia="微软雅黑" w:hAnsi="Book Antiqua"/>
          <w:color w:val="000000"/>
          <w:sz w:val="20"/>
          <w:szCs w:val="20"/>
          <w:vertAlign w:val="superscript"/>
        </w:rPr>
        <w:t>[2</w:t>
      </w:r>
      <w:r w:rsidR="00980292" w:rsidRPr="000C6C65">
        <w:rPr>
          <w:rFonts w:ascii="Book Antiqua" w:eastAsia="微软雅黑" w:hAnsi="Book Antiqua"/>
          <w:color w:val="000000"/>
          <w:sz w:val="20"/>
          <w:szCs w:val="20"/>
          <w:vertAlign w:val="superscript"/>
        </w:rPr>
        <w:t>3</w:t>
      </w:r>
      <w:r w:rsidRPr="000C6C65">
        <w:rPr>
          <w:rFonts w:ascii="Book Antiqua" w:eastAsia="微软雅黑" w:hAnsi="Book Antiqua"/>
          <w:color w:val="000000"/>
          <w:sz w:val="20"/>
          <w:szCs w:val="20"/>
          <w:vertAlign w:val="superscript"/>
        </w:rPr>
        <w:t>]</w:t>
      </w:r>
      <w:r w:rsidRPr="000C6C65">
        <w:rPr>
          <w:rFonts w:ascii="Book Antiqua" w:eastAsia="微软雅黑" w:hAnsi="Book Antiqua"/>
          <w:color w:val="000000"/>
          <w:sz w:val="20"/>
          <w:szCs w:val="20"/>
        </w:rPr>
        <w:t>.</w:t>
      </w:r>
    </w:p>
    <w:p w:rsidR="001A61BA" w:rsidRPr="000C6C65" w:rsidRDefault="001A61BA" w:rsidP="000C6C65">
      <w:pPr>
        <w:pStyle w:val="a5"/>
        <w:snapToGrid w:val="0"/>
        <w:spacing w:line="360" w:lineRule="auto"/>
        <w:ind w:firstLineChars="100" w:firstLine="200"/>
        <w:jc w:val="both"/>
        <w:rPr>
          <w:rFonts w:ascii="Book Antiqua" w:eastAsia="微软雅黑" w:hAnsi="Book Antiqua"/>
          <w:color w:val="000000"/>
          <w:sz w:val="20"/>
          <w:szCs w:val="20"/>
        </w:rPr>
      </w:pPr>
      <w:r w:rsidRPr="000C6C65">
        <w:rPr>
          <w:rFonts w:ascii="Book Antiqua" w:eastAsia="微软雅黑" w:hAnsi="Book Antiqua"/>
          <w:color w:val="000000"/>
          <w:sz w:val="20"/>
          <w:szCs w:val="20"/>
        </w:rPr>
        <w:t>An abnormally short RBC lifespan is a defining characteristic of hemolysis. However, standard RBC lifespan measurement techniques (</w:t>
      </w:r>
      <w:r w:rsidR="0010145E" w:rsidRPr="000C6C65">
        <w:rPr>
          <w:rFonts w:ascii="Book Antiqua" w:eastAsia="微软雅黑" w:hAnsi="Book Antiqua"/>
          <w:i/>
          <w:color w:val="000000"/>
          <w:sz w:val="20"/>
          <w:szCs w:val="20"/>
        </w:rPr>
        <w:t>e.g.</w:t>
      </w:r>
      <w:r w:rsidR="0010145E" w:rsidRPr="000C6C65">
        <w:rPr>
          <w:rFonts w:ascii="Book Antiqua" w:eastAsia="微软雅黑" w:hAnsi="Book Antiqua"/>
          <w:color w:val="000000"/>
          <w:sz w:val="20"/>
          <w:szCs w:val="20"/>
        </w:rPr>
        <w:t xml:space="preserve">, </w:t>
      </w:r>
      <w:r w:rsidRPr="000C6C65">
        <w:rPr>
          <w:rFonts w:ascii="Book Antiqua" w:eastAsia="微软雅黑" w:hAnsi="Book Antiqua"/>
          <w:color w:val="000000"/>
          <w:sz w:val="20"/>
          <w:szCs w:val="20"/>
        </w:rPr>
        <w:t xml:space="preserve">isotope or biotin labeling quantitation) are not amenable to routine clinical practice </w:t>
      </w:r>
      <w:r w:rsidR="0010145E" w:rsidRPr="000C6C65">
        <w:rPr>
          <w:rFonts w:ascii="Book Antiqua" w:eastAsia="微软雅黑" w:hAnsi="Book Antiqua"/>
          <w:color w:val="000000"/>
          <w:sz w:val="20"/>
          <w:szCs w:val="20"/>
        </w:rPr>
        <w:t>because they are</w:t>
      </w:r>
      <w:r w:rsidRPr="000C6C65">
        <w:rPr>
          <w:rFonts w:ascii="Book Antiqua" w:eastAsia="微软雅黑" w:hAnsi="Book Antiqua"/>
          <w:color w:val="000000"/>
          <w:sz w:val="20"/>
          <w:szCs w:val="20"/>
        </w:rPr>
        <w:t xml:space="preserve"> cumbersome and time-consuming</w:t>
      </w:r>
      <w:r w:rsidRPr="000C6C65">
        <w:rPr>
          <w:rFonts w:ascii="Book Antiqua" w:eastAsia="BaskervilleNo2BT-Roman" w:hAnsi="Book Antiqua"/>
          <w:color w:val="000000"/>
          <w:sz w:val="20"/>
          <w:szCs w:val="20"/>
          <w:vertAlign w:val="superscript"/>
        </w:rPr>
        <w:t>[2</w:t>
      </w:r>
      <w:r w:rsidR="00980292" w:rsidRPr="000C6C65">
        <w:rPr>
          <w:rFonts w:ascii="Book Antiqua" w:eastAsia="BaskervilleNo2BT-Roman" w:hAnsi="Book Antiqua"/>
          <w:color w:val="000000"/>
          <w:sz w:val="20"/>
          <w:szCs w:val="20"/>
          <w:vertAlign w:val="superscript"/>
        </w:rPr>
        <w:t>4</w:t>
      </w:r>
      <w:r w:rsidRPr="000C6C65">
        <w:rPr>
          <w:rFonts w:ascii="Book Antiqua" w:eastAsia="BaskervilleNo2BT-Roman" w:hAnsi="Book Antiqua"/>
          <w:color w:val="000000"/>
          <w:sz w:val="20"/>
          <w:szCs w:val="20"/>
          <w:vertAlign w:val="superscript"/>
        </w:rPr>
        <w:t>-2</w:t>
      </w:r>
      <w:r w:rsidR="00980292" w:rsidRPr="000C6C65">
        <w:rPr>
          <w:rFonts w:ascii="Book Antiqua" w:eastAsia="BaskervilleNo2BT-Roman" w:hAnsi="Book Antiqua"/>
          <w:color w:val="000000"/>
          <w:sz w:val="20"/>
          <w:szCs w:val="20"/>
          <w:vertAlign w:val="superscript"/>
        </w:rPr>
        <w:t>7</w:t>
      </w:r>
      <w:r w:rsidRPr="000C6C65">
        <w:rPr>
          <w:rFonts w:ascii="Book Antiqua" w:eastAsia="BaskervilleNo2BT-Roman" w:hAnsi="Book Antiqua"/>
          <w:sz w:val="20"/>
          <w:szCs w:val="20"/>
          <w:vertAlign w:val="superscript"/>
        </w:rPr>
        <w:t>]</w:t>
      </w:r>
      <w:r w:rsidRPr="000C6C65">
        <w:rPr>
          <w:rFonts w:ascii="Book Antiqua" w:eastAsia="微软雅黑" w:hAnsi="Book Antiqua"/>
          <w:color w:val="000000"/>
          <w:sz w:val="20"/>
          <w:szCs w:val="20"/>
        </w:rPr>
        <w:t>. Based on hemoglobin degradation dynamics, Levitt and colleagues</w:t>
      </w:r>
      <w:r w:rsidRPr="000C6C65">
        <w:rPr>
          <w:rFonts w:ascii="Book Antiqua" w:eastAsia="BaskervilleNo2BT-Roman" w:hAnsi="Book Antiqua"/>
          <w:sz w:val="20"/>
          <w:szCs w:val="20"/>
          <w:vertAlign w:val="superscript"/>
        </w:rPr>
        <w:t>[2</w:t>
      </w:r>
      <w:r w:rsidR="00980292" w:rsidRPr="000C6C65">
        <w:rPr>
          <w:rFonts w:ascii="Book Antiqua" w:eastAsia="BaskervilleNo2BT-Roman" w:hAnsi="Book Antiqua"/>
          <w:sz w:val="20"/>
          <w:szCs w:val="20"/>
          <w:vertAlign w:val="superscript"/>
        </w:rPr>
        <w:t>8</w:t>
      </w:r>
      <w:r w:rsidRPr="000C6C65">
        <w:rPr>
          <w:rFonts w:ascii="Book Antiqua" w:eastAsia="BaskervilleNo2BT-Roman" w:hAnsi="Book Antiqua"/>
          <w:sz w:val="20"/>
          <w:szCs w:val="20"/>
          <w:vertAlign w:val="superscript"/>
        </w:rPr>
        <w:t>,</w:t>
      </w:r>
      <w:r w:rsidR="00980292" w:rsidRPr="000C6C65">
        <w:rPr>
          <w:rFonts w:ascii="Book Antiqua" w:eastAsia="BaskervilleNo2BT-Roman" w:hAnsi="Book Antiqua"/>
          <w:sz w:val="20"/>
          <w:szCs w:val="20"/>
          <w:vertAlign w:val="superscript"/>
        </w:rPr>
        <w:t>29</w:t>
      </w:r>
      <w:r w:rsidRPr="000C6C65">
        <w:rPr>
          <w:rFonts w:ascii="Book Antiqua" w:eastAsia="BaskervilleNo2BT-Roman" w:hAnsi="Book Antiqua"/>
          <w:sz w:val="20"/>
          <w:szCs w:val="20"/>
          <w:vertAlign w:val="superscript"/>
        </w:rPr>
        <w:t>]</w:t>
      </w:r>
      <w:r w:rsidRPr="000C6C65">
        <w:rPr>
          <w:rFonts w:ascii="Book Antiqua" w:eastAsia="微软雅黑" w:hAnsi="Book Antiqua"/>
          <w:color w:val="000000"/>
          <w:sz w:val="20"/>
          <w:szCs w:val="20"/>
        </w:rPr>
        <w:t xml:space="preserve"> developed a simple and accurate CO breath test method for determining RBC lifespan, which was subsequently adapted to an automated instrument that can report RBC lifespan within 15 min</w:t>
      </w:r>
      <w:r w:rsidRPr="000C6C65">
        <w:rPr>
          <w:rFonts w:ascii="Book Antiqua" w:eastAsia="微软雅黑" w:hAnsi="Book Antiqua"/>
          <w:color w:val="000000"/>
          <w:sz w:val="20"/>
          <w:szCs w:val="20"/>
          <w:vertAlign w:val="superscript"/>
        </w:rPr>
        <w:t>[12]</w:t>
      </w:r>
      <w:r w:rsidRPr="000C6C65">
        <w:rPr>
          <w:rFonts w:ascii="Book Antiqua" w:eastAsia="微软雅黑" w:hAnsi="Book Antiqua"/>
          <w:color w:val="000000"/>
          <w:sz w:val="20"/>
          <w:szCs w:val="20"/>
        </w:rPr>
        <w:t xml:space="preserve">. Thus, attending to the clues of a high serum bilirubin level without an abnormal hemoglobin level, we administered the aforementioned automated CO breath test to </w:t>
      </w:r>
      <w:r w:rsidR="0010145E" w:rsidRPr="000C6C65">
        <w:rPr>
          <w:rFonts w:ascii="Book Antiqua" w:eastAsia="微软雅黑" w:hAnsi="Book Antiqua"/>
          <w:color w:val="000000"/>
          <w:sz w:val="20"/>
          <w:szCs w:val="20"/>
        </w:rPr>
        <w:t xml:space="preserve">confirm </w:t>
      </w:r>
      <w:r w:rsidRPr="000C6C65">
        <w:rPr>
          <w:rFonts w:ascii="Book Antiqua" w:eastAsia="微软雅黑" w:hAnsi="Book Antiqua"/>
          <w:color w:val="000000"/>
          <w:sz w:val="20"/>
          <w:szCs w:val="20"/>
        </w:rPr>
        <w:t>the diagnoses of our patients.</w:t>
      </w:r>
    </w:p>
    <w:p w:rsidR="001A61BA" w:rsidRPr="000C6C65" w:rsidRDefault="001A61BA" w:rsidP="000C6C65">
      <w:pPr>
        <w:pStyle w:val="a5"/>
        <w:snapToGrid w:val="0"/>
        <w:spacing w:line="360" w:lineRule="auto"/>
        <w:jc w:val="both"/>
        <w:rPr>
          <w:rFonts w:ascii="Book Antiqua" w:eastAsia="微软雅黑" w:hAnsi="Book Antiqua"/>
          <w:color w:val="000000"/>
          <w:sz w:val="20"/>
          <w:szCs w:val="20"/>
        </w:rPr>
      </w:pPr>
    </w:p>
    <w:p w:rsidR="007A5608" w:rsidRPr="000C6C65" w:rsidRDefault="007A5608" w:rsidP="000C6C65">
      <w:pPr>
        <w:pStyle w:val="-11"/>
        <w:autoSpaceDE w:val="0"/>
        <w:autoSpaceDN w:val="0"/>
        <w:adjustRightInd w:val="0"/>
        <w:snapToGrid w:val="0"/>
        <w:spacing w:line="360" w:lineRule="auto"/>
        <w:ind w:firstLineChars="0" w:firstLine="0"/>
        <w:rPr>
          <w:rFonts w:ascii="Book Antiqua" w:eastAsia="Calibri" w:hAnsi="Book Antiqua" w:cs="等线"/>
          <w:b/>
          <w:sz w:val="20"/>
          <w:szCs w:val="20"/>
          <w:u w:val="single"/>
        </w:rPr>
      </w:pPr>
      <w:r w:rsidRPr="000C6C65">
        <w:rPr>
          <w:rFonts w:ascii="Book Antiqua" w:eastAsia="Calibri" w:hAnsi="Book Antiqua" w:cs="等线"/>
          <w:b/>
          <w:sz w:val="20"/>
          <w:szCs w:val="20"/>
          <w:u w:val="single"/>
        </w:rPr>
        <w:t>CONCLUSION</w:t>
      </w:r>
    </w:p>
    <w:p w:rsidR="001A61BA" w:rsidRPr="000C6C65" w:rsidRDefault="001A61BA" w:rsidP="000C6C65">
      <w:pPr>
        <w:pStyle w:val="a5"/>
        <w:snapToGrid w:val="0"/>
        <w:spacing w:line="360" w:lineRule="auto"/>
        <w:jc w:val="both"/>
        <w:rPr>
          <w:rFonts w:ascii="Book Antiqua" w:eastAsia="微软雅黑" w:hAnsi="Book Antiqua"/>
          <w:color w:val="000000"/>
          <w:sz w:val="20"/>
          <w:szCs w:val="20"/>
        </w:rPr>
      </w:pPr>
      <w:r w:rsidRPr="000C6C65">
        <w:rPr>
          <w:rFonts w:ascii="Book Antiqua" w:eastAsia="微软雅黑" w:hAnsi="Book Antiqua"/>
          <w:sz w:val="20"/>
          <w:szCs w:val="20"/>
        </w:rPr>
        <w:t>Comorbidity of</w:t>
      </w:r>
      <w:r w:rsidRPr="000C6C65">
        <w:rPr>
          <w:rFonts w:ascii="Book Antiqua" w:eastAsia="微软雅黑" w:hAnsi="Book Antiqua"/>
          <w:color w:val="000000"/>
          <w:sz w:val="20"/>
          <w:szCs w:val="20"/>
        </w:rPr>
        <w:t xml:space="preserve"> GS and HS might not be uncommon, particular in patients with isolated unconjugated hyperbilirubinemia. Clinicians should be vigilant to test for hemolysis disease comorbidity in patients with GS who exhibit isolated unconjugated hyperbilirubinemia with even subtle signs of possible hemolysis. While the simple and rapid Levitt</w:t>
      </w:r>
      <w:r w:rsidR="007A5608" w:rsidRPr="000C6C65">
        <w:rPr>
          <w:rFonts w:ascii="Book Antiqua" w:eastAsia="微软雅黑" w:hAnsi="Book Antiqua"/>
          <w:color w:val="000000"/>
          <w:sz w:val="20"/>
          <w:szCs w:val="20"/>
        </w:rPr>
        <w:t>’</w:t>
      </w:r>
      <w:r w:rsidRPr="000C6C65">
        <w:rPr>
          <w:rFonts w:ascii="Book Antiqua" w:eastAsia="微软雅黑" w:hAnsi="Book Antiqua"/>
          <w:color w:val="000000"/>
          <w:sz w:val="20"/>
          <w:szCs w:val="20"/>
        </w:rPr>
        <w:t>s CO breath test could be used as a</w:t>
      </w:r>
      <w:r w:rsidR="00CD586D" w:rsidRPr="000C6C65">
        <w:rPr>
          <w:rFonts w:ascii="Book Antiqua" w:eastAsia="微软雅黑" w:hAnsi="Book Antiqua"/>
          <w:color w:val="000000"/>
          <w:sz w:val="20"/>
          <w:szCs w:val="20"/>
        </w:rPr>
        <w:t xml:space="preserve"> </w:t>
      </w:r>
      <w:r w:rsidRPr="000C6C65">
        <w:rPr>
          <w:rFonts w:ascii="Book Antiqua" w:eastAsia="微软雅黑" w:hAnsi="Book Antiqua"/>
          <w:color w:val="000000"/>
          <w:sz w:val="20"/>
          <w:szCs w:val="20"/>
        </w:rPr>
        <w:t xml:space="preserve">reliable tool for detecting hemolysis, the </w:t>
      </w:r>
      <w:r w:rsidRPr="000C6C65">
        <w:rPr>
          <w:rFonts w:ascii="Book Antiqua" w:eastAsia="微软雅黑" w:hAnsi="Book Antiqua"/>
          <w:sz w:val="20"/>
          <w:szCs w:val="20"/>
        </w:rPr>
        <w:t>discordance between</w:t>
      </w:r>
      <w:r w:rsidRPr="000C6C65">
        <w:rPr>
          <w:rFonts w:ascii="Book Antiqua" w:eastAsia="微软雅黑" w:hAnsi="Book Antiqua"/>
          <w:color w:val="000000"/>
          <w:sz w:val="20"/>
          <w:szCs w:val="20"/>
        </w:rPr>
        <w:t xml:space="preserve"> the significant unconjugated hyperbilirub</w:t>
      </w:r>
      <w:r w:rsidR="00DE15C4" w:rsidRPr="000C6C65">
        <w:rPr>
          <w:rFonts w:ascii="Book Antiqua" w:eastAsia="微软雅黑" w:hAnsi="Book Antiqua"/>
          <w:color w:val="000000"/>
          <w:sz w:val="20"/>
          <w:szCs w:val="20"/>
        </w:rPr>
        <w:t>inemia</w:t>
      </w:r>
      <w:r w:rsidRPr="000C6C65">
        <w:rPr>
          <w:rFonts w:ascii="Book Antiqua" w:eastAsia="微软雅黑" w:hAnsi="Book Antiqua"/>
          <w:color w:val="000000"/>
          <w:sz w:val="20"/>
          <w:szCs w:val="20"/>
        </w:rPr>
        <w:t xml:space="preserve"> and the less severity of hemolysis seems to be a valuable clue to the coexistence.</w:t>
      </w:r>
    </w:p>
    <w:p w:rsidR="001A61BA" w:rsidRPr="000C6C65" w:rsidRDefault="001A61BA" w:rsidP="000C6C65">
      <w:pPr>
        <w:pStyle w:val="a5"/>
        <w:snapToGrid w:val="0"/>
        <w:spacing w:line="360" w:lineRule="auto"/>
        <w:jc w:val="both"/>
        <w:rPr>
          <w:rFonts w:ascii="Book Antiqua" w:eastAsia="微软雅黑" w:hAnsi="Book Antiqua"/>
          <w:color w:val="000000"/>
          <w:sz w:val="20"/>
          <w:szCs w:val="20"/>
        </w:rPr>
      </w:pPr>
    </w:p>
    <w:p w:rsidR="007A5608" w:rsidRPr="000C6C65" w:rsidRDefault="007A5608" w:rsidP="000C6C65">
      <w:pPr>
        <w:pStyle w:val="paragraph"/>
        <w:adjustRightInd w:val="0"/>
        <w:snapToGrid w:val="0"/>
        <w:spacing w:before="0" w:beforeAutospacing="0" w:after="0" w:afterAutospacing="0" w:line="360" w:lineRule="auto"/>
        <w:jc w:val="both"/>
        <w:textAlignment w:val="baseline"/>
        <w:rPr>
          <w:rFonts w:ascii="Book Antiqua" w:hAnsi="Book Antiqua" w:cs="等线"/>
          <w:sz w:val="20"/>
          <w:szCs w:val="20"/>
          <w:u w:val="single"/>
        </w:rPr>
      </w:pPr>
      <w:r w:rsidRPr="000C6C65">
        <w:rPr>
          <w:rStyle w:val="normaltextrun"/>
          <w:rFonts w:ascii="Book Antiqua" w:hAnsi="Book Antiqua" w:cs="等线"/>
          <w:b/>
          <w:bCs/>
          <w:sz w:val="20"/>
          <w:szCs w:val="20"/>
          <w:u w:val="single"/>
        </w:rPr>
        <w:t>ACKNOWLEDGEMENTS</w:t>
      </w:r>
    </w:p>
    <w:p w:rsidR="007A5608" w:rsidRPr="000C6C65" w:rsidRDefault="001A61BA" w:rsidP="000C6C65">
      <w:pPr>
        <w:snapToGrid w:val="0"/>
        <w:spacing w:line="360" w:lineRule="auto"/>
        <w:jc w:val="both"/>
        <w:rPr>
          <w:rFonts w:ascii="Book Antiqua" w:eastAsia="Bold" w:hAnsi="Book Antiqua" w:cs="Times New Roman"/>
          <w:b/>
          <w:color w:val="000000"/>
          <w:sz w:val="20"/>
          <w:szCs w:val="20"/>
          <w:lang w:bidi="ar"/>
        </w:rPr>
      </w:pPr>
      <w:r w:rsidRPr="000C6C65">
        <w:rPr>
          <w:rFonts w:ascii="Book Antiqua" w:eastAsia="BaskervilleNo2BT-Roman" w:hAnsi="Book Antiqua" w:cs="Times New Roman"/>
          <w:sz w:val="20"/>
          <w:szCs w:val="20"/>
        </w:rPr>
        <w:t xml:space="preserve">The authors thank Drs. Dan-Yu Wang and Zhao-Gui Zhou for their enthusiastic </w:t>
      </w:r>
      <w:r w:rsidR="007A5608" w:rsidRPr="000C6C65">
        <w:rPr>
          <w:rFonts w:ascii="Book Antiqua" w:eastAsia="BaskervilleNo2BT-Roman" w:hAnsi="Book Antiqua" w:cs="Times New Roman"/>
          <w:sz w:val="20"/>
          <w:szCs w:val="20"/>
        </w:rPr>
        <w:t>participation and</w:t>
      </w:r>
      <w:r w:rsidRPr="000C6C65">
        <w:rPr>
          <w:rFonts w:ascii="Book Antiqua" w:eastAsia="BaskervilleNo2BT-Roman" w:hAnsi="Book Antiqua" w:cs="Times New Roman"/>
          <w:sz w:val="20"/>
          <w:szCs w:val="20"/>
        </w:rPr>
        <w:t xml:space="preserve"> thank Mr. Jun-Feng Luo for his technical support for erythrocyte lifespan determination.</w:t>
      </w:r>
    </w:p>
    <w:p w:rsidR="007A5608" w:rsidRPr="000C6C65" w:rsidRDefault="007A5608" w:rsidP="000C6C65">
      <w:pPr>
        <w:snapToGrid w:val="0"/>
        <w:spacing w:line="360" w:lineRule="auto"/>
        <w:jc w:val="both"/>
        <w:rPr>
          <w:rFonts w:ascii="Book Antiqua" w:eastAsia="Bold" w:hAnsi="Book Antiqua" w:cs="Times New Roman"/>
          <w:b/>
          <w:color w:val="000000"/>
          <w:sz w:val="20"/>
          <w:szCs w:val="20"/>
          <w:lang w:bidi="ar"/>
        </w:rPr>
      </w:pPr>
    </w:p>
    <w:p w:rsidR="001A61BA" w:rsidRPr="000C6C65" w:rsidRDefault="007A5608" w:rsidP="000C6C65">
      <w:pPr>
        <w:snapToGrid w:val="0"/>
        <w:spacing w:line="360" w:lineRule="auto"/>
        <w:jc w:val="both"/>
        <w:rPr>
          <w:rFonts w:ascii="Book Antiqua" w:hAnsi="Book Antiqua" w:cs="Times New Roman"/>
          <w:sz w:val="20"/>
          <w:szCs w:val="20"/>
        </w:rPr>
      </w:pPr>
      <w:r w:rsidRPr="000C6C65">
        <w:rPr>
          <w:rFonts w:ascii="Book Antiqua" w:eastAsia="Bold" w:hAnsi="Book Antiqua" w:cs="Times New Roman"/>
          <w:b/>
          <w:color w:val="000000"/>
          <w:sz w:val="20"/>
          <w:szCs w:val="20"/>
          <w:lang w:bidi="ar"/>
        </w:rPr>
        <w:t>R</w:t>
      </w:r>
      <w:r w:rsidR="001A61BA" w:rsidRPr="000C6C65">
        <w:rPr>
          <w:rFonts w:ascii="Book Antiqua" w:eastAsia="Bold" w:hAnsi="Book Antiqua" w:cs="Times New Roman"/>
          <w:b/>
          <w:color w:val="000000"/>
          <w:sz w:val="20"/>
          <w:szCs w:val="20"/>
          <w:lang w:bidi="ar"/>
        </w:rPr>
        <w:t>EFERENCES</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1 </w:t>
      </w:r>
      <w:r w:rsidRPr="000C6C65">
        <w:rPr>
          <w:rFonts w:ascii="Book Antiqua" w:hAnsi="Book Antiqua"/>
          <w:b/>
          <w:sz w:val="20"/>
          <w:szCs w:val="20"/>
        </w:rPr>
        <w:t>Bosma PJ</w:t>
      </w:r>
      <w:r w:rsidRPr="000C6C65">
        <w:rPr>
          <w:rFonts w:ascii="Book Antiqua" w:hAnsi="Book Antiqua"/>
          <w:sz w:val="20"/>
          <w:szCs w:val="20"/>
        </w:rPr>
        <w:t xml:space="preserve">, Chowdhury JR, Bakker C, Gantla S, de Boer A, Oostra BA, Lindhout D, Tytgat GN, Jansen PL, Oude Elferink RP. The genetic basis of the reduced expression of bilirubin UDP-glucuronosyltransferase 1 in Gilbert's syndrome. </w:t>
      </w:r>
      <w:r w:rsidRPr="000C6C65">
        <w:rPr>
          <w:rFonts w:ascii="Book Antiqua" w:hAnsi="Book Antiqua"/>
          <w:i/>
          <w:sz w:val="20"/>
          <w:szCs w:val="20"/>
        </w:rPr>
        <w:t>N Engl J Med</w:t>
      </w:r>
      <w:r w:rsidRPr="000C6C65">
        <w:rPr>
          <w:rFonts w:ascii="Book Antiqua" w:hAnsi="Book Antiqua"/>
          <w:sz w:val="20"/>
          <w:szCs w:val="20"/>
        </w:rPr>
        <w:t xml:space="preserve"> 1995; </w:t>
      </w:r>
      <w:r w:rsidRPr="000C6C65">
        <w:rPr>
          <w:rFonts w:ascii="Book Antiqua" w:hAnsi="Book Antiqua"/>
          <w:b/>
          <w:sz w:val="20"/>
          <w:szCs w:val="20"/>
        </w:rPr>
        <w:t>333</w:t>
      </w:r>
      <w:r w:rsidRPr="000C6C65">
        <w:rPr>
          <w:rFonts w:ascii="Book Antiqua" w:hAnsi="Book Antiqua"/>
          <w:sz w:val="20"/>
          <w:szCs w:val="20"/>
        </w:rPr>
        <w:t>: 1171-1175 [PMID: 7565971 DOI: 10.1056/NEJM199511023331802]</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2 </w:t>
      </w:r>
      <w:r w:rsidRPr="000C6C65">
        <w:rPr>
          <w:rFonts w:ascii="Book Antiqua" w:hAnsi="Book Antiqua"/>
          <w:b/>
          <w:sz w:val="20"/>
          <w:szCs w:val="20"/>
        </w:rPr>
        <w:t>Ehmer U</w:t>
      </w:r>
      <w:r w:rsidRPr="000C6C65">
        <w:rPr>
          <w:rFonts w:ascii="Book Antiqua" w:hAnsi="Book Antiqua"/>
          <w:sz w:val="20"/>
          <w:szCs w:val="20"/>
        </w:rPr>
        <w:t xml:space="preserve">, Kalthoff S, Fakundiny B, Pabst B, Freiberg N, Naumann R, Manns MP, Strassburg CP. Gilbert syndrome redefined: a complex genetic haplotype influences the regulation of glucuronidation. </w:t>
      </w:r>
      <w:r w:rsidRPr="000C6C65">
        <w:rPr>
          <w:rFonts w:ascii="Book Antiqua" w:hAnsi="Book Antiqua"/>
          <w:i/>
          <w:sz w:val="20"/>
          <w:szCs w:val="20"/>
        </w:rPr>
        <w:t>Hepatology</w:t>
      </w:r>
      <w:r w:rsidRPr="000C6C65">
        <w:rPr>
          <w:rFonts w:ascii="Book Antiqua" w:hAnsi="Book Antiqua"/>
          <w:sz w:val="20"/>
          <w:szCs w:val="20"/>
        </w:rPr>
        <w:t xml:space="preserve"> 2012; </w:t>
      </w:r>
      <w:r w:rsidRPr="000C6C65">
        <w:rPr>
          <w:rFonts w:ascii="Book Antiqua" w:hAnsi="Book Antiqua"/>
          <w:b/>
          <w:sz w:val="20"/>
          <w:szCs w:val="20"/>
        </w:rPr>
        <w:t>55</w:t>
      </w:r>
      <w:r w:rsidRPr="000C6C65">
        <w:rPr>
          <w:rFonts w:ascii="Book Antiqua" w:hAnsi="Book Antiqua"/>
          <w:sz w:val="20"/>
          <w:szCs w:val="20"/>
        </w:rPr>
        <w:t>: 1912-1921 [PMID: 22213127 DOI: 10.1002/hep.25561]</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3 </w:t>
      </w:r>
      <w:r w:rsidRPr="000C6C65">
        <w:rPr>
          <w:rFonts w:ascii="Book Antiqua" w:hAnsi="Book Antiqua"/>
          <w:b/>
          <w:sz w:val="20"/>
          <w:szCs w:val="20"/>
        </w:rPr>
        <w:t>Wagner KH</w:t>
      </w:r>
      <w:r w:rsidRPr="000C6C65">
        <w:rPr>
          <w:rFonts w:ascii="Book Antiqua" w:hAnsi="Book Antiqua"/>
          <w:sz w:val="20"/>
          <w:szCs w:val="20"/>
        </w:rPr>
        <w:t xml:space="preserve">, Shiels RG, Lang CA, Seyed Khoei N, Bulmer AC. Diagnostic criteria and contributors to Gilbert's syndrome. </w:t>
      </w:r>
      <w:r w:rsidRPr="000C6C65">
        <w:rPr>
          <w:rFonts w:ascii="Book Antiqua" w:hAnsi="Book Antiqua"/>
          <w:i/>
          <w:sz w:val="20"/>
          <w:szCs w:val="20"/>
        </w:rPr>
        <w:t>Crit Rev Clin Lab Sci</w:t>
      </w:r>
      <w:r w:rsidRPr="000C6C65">
        <w:rPr>
          <w:rFonts w:ascii="Book Antiqua" w:hAnsi="Book Antiqua"/>
          <w:sz w:val="20"/>
          <w:szCs w:val="20"/>
        </w:rPr>
        <w:t xml:space="preserve"> 2018; </w:t>
      </w:r>
      <w:r w:rsidRPr="000C6C65">
        <w:rPr>
          <w:rFonts w:ascii="Book Antiqua" w:hAnsi="Book Antiqua"/>
          <w:b/>
          <w:sz w:val="20"/>
          <w:szCs w:val="20"/>
        </w:rPr>
        <w:t>55</w:t>
      </w:r>
      <w:r w:rsidRPr="000C6C65">
        <w:rPr>
          <w:rFonts w:ascii="Book Antiqua" w:hAnsi="Book Antiqua"/>
          <w:sz w:val="20"/>
          <w:szCs w:val="20"/>
        </w:rPr>
        <w:t>: 129-139 [PMID: 29390925 DOI: 10.1080/10408363.2018.1428526]</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4 </w:t>
      </w:r>
      <w:r w:rsidRPr="000C6C65">
        <w:rPr>
          <w:rFonts w:ascii="Book Antiqua" w:hAnsi="Book Antiqua"/>
          <w:b/>
          <w:sz w:val="20"/>
          <w:szCs w:val="20"/>
        </w:rPr>
        <w:t>Maruo Y</w:t>
      </w:r>
      <w:r w:rsidRPr="000C6C65">
        <w:rPr>
          <w:rFonts w:ascii="Book Antiqua" w:hAnsi="Book Antiqua"/>
          <w:sz w:val="20"/>
          <w:szCs w:val="20"/>
        </w:rPr>
        <w:t xml:space="preserve">, Ohta S. Gilbert syndrome and blood diseases. </w:t>
      </w:r>
      <w:r w:rsidRPr="000C6C65">
        <w:rPr>
          <w:rFonts w:ascii="Book Antiqua" w:hAnsi="Book Antiqua"/>
          <w:i/>
          <w:iCs/>
          <w:sz w:val="20"/>
          <w:szCs w:val="20"/>
        </w:rPr>
        <w:t xml:space="preserve">Jpn J Pediatr Hematol </w:t>
      </w:r>
      <w:r w:rsidRPr="000C6C65">
        <w:rPr>
          <w:rFonts w:ascii="Book Antiqua" w:hAnsi="Book Antiqua"/>
          <w:sz w:val="20"/>
          <w:szCs w:val="20"/>
        </w:rPr>
        <w:t xml:space="preserve">2004; </w:t>
      </w:r>
      <w:r w:rsidRPr="000C6C65">
        <w:rPr>
          <w:rFonts w:ascii="Book Antiqua" w:hAnsi="Book Antiqua"/>
          <w:b/>
          <w:sz w:val="20"/>
          <w:szCs w:val="20"/>
        </w:rPr>
        <w:t>18</w:t>
      </w:r>
      <w:r w:rsidRPr="000C6C65">
        <w:rPr>
          <w:rFonts w:ascii="Book Antiqua" w:hAnsi="Book Antiqua"/>
          <w:sz w:val="20"/>
          <w:szCs w:val="20"/>
        </w:rPr>
        <w:t>: 601-608 [DOI: 10.11412/jjph1987.18.6_601]</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5 </w:t>
      </w:r>
      <w:r w:rsidRPr="000C6C65">
        <w:rPr>
          <w:rFonts w:ascii="Book Antiqua" w:hAnsi="Book Antiqua"/>
          <w:b/>
          <w:sz w:val="20"/>
          <w:szCs w:val="20"/>
        </w:rPr>
        <w:t>Perrotta S</w:t>
      </w:r>
      <w:r w:rsidRPr="000C6C65">
        <w:rPr>
          <w:rFonts w:ascii="Book Antiqua" w:hAnsi="Book Antiqua"/>
          <w:sz w:val="20"/>
          <w:szCs w:val="20"/>
        </w:rPr>
        <w:t xml:space="preserve">, Gallagher PG, Mohandas N. Hereditary spherocytosis. </w:t>
      </w:r>
      <w:r w:rsidRPr="000C6C65">
        <w:rPr>
          <w:rFonts w:ascii="Book Antiqua" w:hAnsi="Book Antiqua"/>
          <w:i/>
          <w:sz w:val="20"/>
          <w:szCs w:val="20"/>
        </w:rPr>
        <w:t>Lancet</w:t>
      </w:r>
      <w:r w:rsidRPr="000C6C65">
        <w:rPr>
          <w:rFonts w:ascii="Book Antiqua" w:hAnsi="Book Antiqua"/>
          <w:sz w:val="20"/>
          <w:szCs w:val="20"/>
        </w:rPr>
        <w:t xml:space="preserve"> 2008; </w:t>
      </w:r>
      <w:r w:rsidRPr="000C6C65">
        <w:rPr>
          <w:rFonts w:ascii="Book Antiqua" w:hAnsi="Book Antiqua"/>
          <w:b/>
          <w:sz w:val="20"/>
          <w:szCs w:val="20"/>
        </w:rPr>
        <w:t>372</w:t>
      </w:r>
      <w:r w:rsidRPr="000C6C65">
        <w:rPr>
          <w:rFonts w:ascii="Book Antiqua" w:hAnsi="Book Antiqua"/>
          <w:sz w:val="20"/>
          <w:szCs w:val="20"/>
        </w:rPr>
        <w:t>: 1411-1426 [PMID: 18940465 DOI: 10.1016/S0140-6736(08)61588-3]</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6 </w:t>
      </w:r>
      <w:r w:rsidRPr="000C6C65">
        <w:rPr>
          <w:rFonts w:ascii="Book Antiqua" w:hAnsi="Book Antiqua"/>
          <w:b/>
          <w:sz w:val="20"/>
          <w:szCs w:val="20"/>
        </w:rPr>
        <w:t>Garg PK</w:t>
      </w:r>
      <w:r w:rsidRPr="000C6C65">
        <w:rPr>
          <w:rFonts w:ascii="Book Antiqua" w:hAnsi="Book Antiqua"/>
          <w:sz w:val="20"/>
          <w:szCs w:val="20"/>
        </w:rPr>
        <w:t xml:space="preserve">, Kumar A, Teckchandani N, Hadke NS. Hereditary spherocytosis coexisting with Gilbert's syndrome: a diagnostic dilemma. </w:t>
      </w:r>
      <w:r w:rsidRPr="000C6C65">
        <w:rPr>
          <w:rFonts w:ascii="Book Antiqua" w:hAnsi="Book Antiqua"/>
          <w:i/>
          <w:sz w:val="20"/>
          <w:szCs w:val="20"/>
        </w:rPr>
        <w:t>Singapore Med J</w:t>
      </w:r>
      <w:r w:rsidRPr="000C6C65">
        <w:rPr>
          <w:rFonts w:ascii="Book Antiqua" w:hAnsi="Book Antiqua"/>
          <w:sz w:val="20"/>
          <w:szCs w:val="20"/>
        </w:rPr>
        <w:t xml:space="preserve"> 2008; </w:t>
      </w:r>
      <w:r w:rsidRPr="000C6C65">
        <w:rPr>
          <w:rFonts w:ascii="Book Antiqua" w:hAnsi="Book Antiqua"/>
          <w:b/>
          <w:sz w:val="20"/>
          <w:szCs w:val="20"/>
        </w:rPr>
        <w:t>49</w:t>
      </w:r>
      <w:r w:rsidRPr="000C6C65">
        <w:rPr>
          <w:rFonts w:ascii="Book Antiqua" w:hAnsi="Book Antiqua"/>
          <w:sz w:val="20"/>
          <w:szCs w:val="20"/>
        </w:rPr>
        <w:t>: e308-e309 [PMID: 19037536]</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7 </w:t>
      </w:r>
      <w:r w:rsidRPr="000C6C65">
        <w:rPr>
          <w:rFonts w:ascii="Book Antiqua" w:hAnsi="Book Antiqua"/>
          <w:b/>
          <w:sz w:val="20"/>
          <w:szCs w:val="20"/>
        </w:rPr>
        <w:t>Lee JH</w:t>
      </w:r>
      <w:r w:rsidRPr="000C6C65">
        <w:rPr>
          <w:rFonts w:ascii="Book Antiqua" w:hAnsi="Book Antiqua"/>
          <w:sz w:val="20"/>
          <w:szCs w:val="20"/>
        </w:rPr>
        <w:t xml:space="preserve">, Moon KR. Coexistence of gilbert syndrome and hereditary spherocytosis in a child presenting with extreme jaundice. </w:t>
      </w:r>
      <w:r w:rsidRPr="000C6C65">
        <w:rPr>
          <w:rFonts w:ascii="Book Antiqua" w:hAnsi="Book Antiqua"/>
          <w:i/>
          <w:sz w:val="20"/>
          <w:szCs w:val="20"/>
        </w:rPr>
        <w:t>Pediatr Gastroenterol Hepatol Nutr</w:t>
      </w:r>
      <w:r w:rsidRPr="000C6C65">
        <w:rPr>
          <w:rFonts w:ascii="Book Antiqua" w:hAnsi="Book Antiqua"/>
          <w:sz w:val="20"/>
          <w:szCs w:val="20"/>
        </w:rPr>
        <w:t xml:space="preserve"> 2014; </w:t>
      </w:r>
      <w:r w:rsidRPr="000C6C65">
        <w:rPr>
          <w:rFonts w:ascii="Book Antiqua" w:hAnsi="Book Antiqua"/>
          <w:b/>
          <w:sz w:val="20"/>
          <w:szCs w:val="20"/>
        </w:rPr>
        <w:t>17</w:t>
      </w:r>
      <w:r w:rsidRPr="000C6C65">
        <w:rPr>
          <w:rFonts w:ascii="Book Antiqua" w:hAnsi="Book Antiqua"/>
          <w:sz w:val="20"/>
          <w:szCs w:val="20"/>
        </w:rPr>
        <w:t>: 266-269 [PMID: 25587528 DOI: 10.5223/pghn.2014.17.4.266]</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8 </w:t>
      </w:r>
      <w:r w:rsidRPr="000C6C65">
        <w:rPr>
          <w:rFonts w:ascii="Book Antiqua" w:hAnsi="Book Antiqua"/>
          <w:b/>
          <w:sz w:val="20"/>
          <w:szCs w:val="20"/>
        </w:rPr>
        <w:t>Iijima S</w:t>
      </w:r>
      <w:r w:rsidRPr="000C6C65">
        <w:rPr>
          <w:rFonts w:ascii="Book Antiqua" w:hAnsi="Book Antiqua"/>
          <w:sz w:val="20"/>
          <w:szCs w:val="20"/>
        </w:rPr>
        <w:t xml:space="preserve">, Ohzeki T, Maruo Y. Hereditary spherocytosis coexisting with UDP-glucuronosyltransferase deficiency highly suggestive of Crigler-Najjar syndrome type II. </w:t>
      </w:r>
      <w:r w:rsidRPr="000C6C65">
        <w:rPr>
          <w:rFonts w:ascii="Book Antiqua" w:hAnsi="Book Antiqua"/>
          <w:i/>
          <w:sz w:val="20"/>
          <w:szCs w:val="20"/>
        </w:rPr>
        <w:t>Yonsei Med J</w:t>
      </w:r>
      <w:r w:rsidRPr="000C6C65">
        <w:rPr>
          <w:rFonts w:ascii="Book Antiqua" w:hAnsi="Book Antiqua"/>
          <w:sz w:val="20"/>
          <w:szCs w:val="20"/>
        </w:rPr>
        <w:t xml:space="preserve"> 2011; </w:t>
      </w:r>
      <w:r w:rsidRPr="000C6C65">
        <w:rPr>
          <w:rFonts w:ascii="Book Antiqua" w:hAnsi="Book Antiqua"/>
          <w:b/>
          <w:sz w:val="20"/>
          <w:szCs w:val="20"/>
        </w:rPr>
        <w:t>52</w:t>
      </w:r>
      <w:r w:rsidRPr="000C6C65">
        <w:rPr>
          <w:rFonts w:ascii="Book Antiqua" w:hAnsi="Book Antiqua"/>
          <w:sz w:val="20"/>
          <w:szCs w:val="20"/>
        </w:rPr>
        <w:t>: 369-372 [PMID: 21319362 DOI: 10.3349/ymj.2011.52.2.369]</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9 </w:t>
      </w:r>
      <w:r w:rsidRPr="000C6C65">
        <w:rPr>
          <w:rFonts w:ascii="Book Antiqua" w:hAnsi="Book Antiqua"/>
          <w:b/>
          <w:sz w:val="20"/>
          <w:szCs w:val="20"/>
        </w:rPr>
        <w:t>Ismail AQ</w:t>
      </w:r>
      <w:r w:rsidRPr="000C6C65">
        <w:rPr>
          <w:rFonts w:ascii="Book Antiqua" w:hAnsi="Book Antiqua"/>
          <w:sz w:val="20"/>
          <w:szCs w:val="20"/>
        </w:rPr>
        <w:t xml:space="preserve">, Gandhi A, El-Shimy N. Intractable neonatal jaundice due to hereditary spherocytosis and Gilbert's syndrome. </w:t>
      </w:r>
      <w:r w:rsidRPr="000C6C65">
        <w:rPr>
          <w:rFonts w:ascii="Book Antiqua" w:hAnsi="Book Antiqua"/>
          <w:i/>
          <w:sz w:val="20"/>
          <w:szCs w:val="20"/>
        </w:rPr>
        <w:t>BMJ Case Rep</w:t>
      </w:r>
      <w:r w:rsidRPr="000C6C65">
        <w:rPr>
          <w:rFonts w:ascii="Book Antiqua" w:hAnsi="Book Antiqua"/>
          <w:sz w:val="20"/>
          <w:szCs w:val="20"/>
        </w:rPr>
        <w:t xml:space="preserve"> 2011; </w:t>
      </w:r>
      <w:r w:rsidRPr="000C6C65">
        <w:rPr>
          <w:rFonts w:ascii="Book Antiqua" w:hAnsi="Book Antiqua"/>
          <w:b/>
          <w:sz w:val="20"/>
          <w:szCs w:val="20"/>
        </w:rPr>
        <w:t>2011</w:t>
      </w:r>
      <w:r w:rsidRPr="000C6C65">
        <w:rPr>
          <w:rFonts w:ascii="Book Antiqua" w:hAnsi="Book Antiqua"/>
          <w:sz w:val="20"/>
          <w:szCs w:val="20"/>
        </w:rPr>
        <w:t xml:space="preserve"> [PMID: 22689841 DOI: 10.1136/bcr.05.2011.4293]</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10 </w:t>
      </w:r>
      <w:r w:rsidRPr="000C6C65">
        <w:rPr>
          <w:rFonts w:ascii="Book Antiqua" w:hAnsi="Book Antiqua"/>
          <w:b/>
          <w:sz w:val="20"/>
          <w:szCs w:val="20"/>
        </w:rPr>
        <w:t>Lee HJ</w:t>
      </w:r>
      <w:r w:rsidRPr="000C6C65">
        <w:rPr>
          <w:rFonts w:ascii="Book Antiqua" w:hAnsi="Book Antiqua"/>
          <w:sz w:val="20"/>
          <w:szCs w:val="20"/>
        </w:rPr>
        <w:t xml:space="preserve">, Moon HS, Lee ES, Kim SH, Sung JK, Lee BS, Jeong HY, Lee HY, Eu YJ. A case of concomitant Gilbert's syndrome and hereditary spherocytosis. </w:t>
      </w:r>
      <w:r w:rsidRPr="000C6C65">
        <w:rPr>
          <w:rFonts w:ascii="Book Antiqua" w:hAnsi="Book Antiqua"/>
          <w:i/>
          <w:sz w:val="20"/>
          <w:szCs w:val="20"/>
        </w:rPr>
        <w:t>Korean J Hepatol</w:t>
      </w:r>
      <w:r w:rsidRPr="000C6C65">
        <w:rPr>
          <w:rFonts w:ascii="Book Antiqua" w:hAnsi="Book Antiqua"/>
          <w:sz w:val="20"/>
          <w:szCs w:val="20"/>
        </w:rPr>
        <w:t xml:space="preserve"> 2010; </w:t>
      </w:r>
      <w:r w:rsidRPr="000C6C65">
        <w:rPr>
          <w:rFonts w:ascii="Book Antiqua" w:hAnsi="Book Antiqua"/>
          <w:b/>
          <w:sz w:val="20"/>
          <w:szCs w:val="20"/>
        </w:rPr>
        <w:t>16</w:t>
      </w:r>
      <w:r w:rsidRPr="000C6C65">
        <w:rPr>
          <w:rFonts w:ascii="Book Antiqua" w:hAnsi="Book Antiqua"/>
          <w:sz w:val="20"/>
          <w:szCs w:val="20"/>
        </w:rPr>
        <w:t>: 321-324 [PMID: 20924216 DOI: 10.3350/kjhep.2010.16.3.321]</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11 </w:t>
      </w:r>
      <w:r w:rsidRPr="000C6C65">
        <w:rPr>
          <w:rFonts w:ascii="Book Antiqua" w:hAnsi="Book Antiqua"/>
          <w:b/>
          <w:sz w:val="20"/>
          <w:szCs w:val="20"/>
        </w:rPr>
        <w:t>Lee MJ</w:t>
      </w:r>
      <w:r w:rsidRPr="000C6C65">
        <w:rPr>
          <w:rFonts w:ascii="Book Antiqua" w:hAnsi="Book Antiqua"/>
          <w:sz w:val="20"/>
          <w:szCs w:val="20"/>
        </w:rPr>
        <w:t xml:space="preserve">, Chang YH, Kang SH, Mun SK, Kim H, Han CJ, Kim J, Kang HJ. A Case of hereditary spherocytosis coexisting with Gilbert's syndrome. </w:t>
      </w:r>
      <w:r w:rsidRPr="000C6C65">
        <w:rPr>
          <w:rFonts w:ascii="Book Antiqua" w:hAnsi="Book Antiqua"/>
          <w:i/>
          <w:sz w:val="20"/>
          <w:szCs w:val="20"/>
        </w:rPr>
        <w:t>Korean J Gastroenterol</w:t>
      </w:r>
      <w:r w:rsidRPr="000C6C65">
        <w:rPr>
          <w:rFonts w:ascii="Book Antiqua" w:hAnsi="Book Antiqua"/>
          <w:sz w:val="20"/>
          <w:szCs w:val="20"/>
        </w:rPr>
        <w:t xml:space="preserve"> 2013; </w:t>
      </w:r>
      <w:r w:rsidRPr="000C6C65">
        <w:rPr>
          <w:rFonts w:ascii="Book Antiqua" w:hAnsi="Book Antiqua"/>
          <w:b/>
          <w:sz w:val="20"/>
          <w:szCs w:val="20"/>
        </w:rPr>
        <w:t>61</w:t>
      </w:r>
      <w:r w:rsidRPr="000C6C65">
        <w:rPr>
          <w:rFonts w:ascii="Book Antiqua" w:hAnsi="Book Antiqua"/>
          <w:sz w:val="20"/>
          <w:szCs w:val="20"/>
        </w:rPr>
        <w:t>: 166-169 [PMID: 23575236 DOI: 10.4166/kjg.2013.61.3.166]</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12 </w:t>
      </w:r>
      <w:r w:rsidRPr="000C6C65">
        <w:rPr>
          <w:rFonts w:ascii="Book Antiqua" w:hAnsi="Book Antiqua"/>
          <w:b/>
          <w:sz w:val="20"/>
          <w:szCs w:val="20"/>
        </w:rPr>
        <w:t>Zhang HD</w:t>
      </w:r>
      <w:r w:rsidRPr="000C6C65">
        <w:rPr>
          <w:rFonts w:ascii="Book Antiqua" w:hAnsi="Book Antiqua"/>
          <w:sz w:val="20"/>
          <w:szCs w:val="20"/>
        </w:rPr>
        <w:t xml:space="preserve">, Ma YJ, Liu QF, Ye TZ, Meng FY, Zhou YW, Yu GP, Yang JP, Jiang H, Wang QS, Li GP, Ji YQ, Zhu GL, Du LT, Ji KM. Human erythrocyte lifespan measured by Levitt's CO breath test with newly developed automatic instrument. </w:t>
      </w:r>
      <w:r w:rsidRPr="000C6C65">
        <w:rPr>
          <w:rFonts w:ascii="Book Antiqua" w:hAnsi="Book Antiqua"/>
          <w:i/>
          <w:sz w:val="20"/>
          <w:szCs w:val="20"/>
        </w:rPr>
        <w:t>J Breath Res</w:t>
      </w:r>
      <w:r w:rsidRPr="000C6C65">
        <w:rPr>
          <w:rFonts w:ascii="Book Antiqua" w:hAnsi="Book Antiqua"/>
          <w:sz w:val="20"/>
          <w:szCs w:val="20"/>
        </w:rPr>
        <w:t xml:space="preserve"> 2018; </w:t>
      </w:r>
      <w:r w:rsidRPr="000C6C65">
        <w:rPr>
          <w:rFonts w:ascii="Book Antiqua" w:hAnsi="Book Antiqua"/>
          <w:b/>
          <w:sz w:val="20"/>
          <w:szCs w:val="20"/>
        </w:rPr>
        <w:t>12</w:t>
      </w:r>
      <w:r w:rsidRPr="000C6C65">
        <w:rPr>
          <w:rFonts w:ascii="Book Antiqua" w:hAnsi="Book Antiqua"/>
          <w:sz w:val="20"/>
          <w:szCs w:val="20"/>
        </w:rPr>
        <w:t>: 036003 [PMID: 29400658 DOI: 10.1088/1752-7163/aaacf1]</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13 </w:t>
      </w:r>
      <w:r w:rsidRPr="000C6C65">
        <w:rPr>
          <w:rFonts w:ascii="Book Antiqua" w:hAnsi="Book Antiqua"/>
          <w:b/>
          <w:sz w:val="20"/>
          <w:szCs w:val="20"/>
        </w:rPr>
        <w:t>Weight LM</w:t>
      </w:r>
      <w:r w:rsidRPr="000C6C65">
        <w:rPr>
          <w:rFonts w:ascii="Book Antiqua" w:hAnsi="Book Antiqua"/>
          <w:sz w:val="20"/>
          <w:szCs w:val="20"/>
        </w:rPr>
        <w:t xml:space="preserve">, Byrne MJ, Jacobs P. Haemolytic effects of exercise. </w:t>
      </w:r>
      <w:r w:rsidRPr="000C6C65">
        <w:rPr>
          <w:rFonts w:ascii="Book Antiqua" w:hAnsi="Book Antiqua"/>
          <w:i/>
          <w:sz w:val="20"/>
          <w:szCs w:val="20"/>
        </w:rPr>
        <w:t>Clin Sci (Lond)</w:t>
      </w:r>
      <w:r w:rsidRPr="000C6C65">
        <w:rPr>
          <w:rFonts w:ascii="Book Antiqua" w:hAnsi="Book Antiqua"/>
          <w:sz w:val="20"/>
          <w:szCs w:val="20"/>
        </w:rPr>
        <w:t xml:space="preserve"> 1991; </w:t>
      </w:r>
      <w:r w:rsidRPr="000C6C65">
        <w:rPr>
          <w:rFonts w:ascii="Book Antiqua" w:hAnsi="Book Antiqua"/>
          <w:b/>
          <w:sz w:val="20"/>
          <w:szCs w:val="20"/>
        </w:rPr>
        <w:t>81</w:t>
      </w:r>
      <w:r w:rsidRPr="000C6C65">
        <w:rPr>
          <w:rFonts w:ascii="Book Antiqua" w:hAnsi="Book Antiqua"/>
          <w:sz w:val="20"/>
          <w:szCs w:val="20"/>
        </w:rPr>
        <w:t>: 147-152 [PMID: 1653657 DOI: 10.1042/cs0810147]</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14 </w:t>
      </w:r>
      <w:r w:rsidRPr="000C6C65">
        <w:rPr>
          <w:rFonts w:ascii="Book Antiqua" w:hAnsi="Book Antiqua"/>
          <w:b/>
          <w:sz w:val="20"/>
          <w:szCs w:val="20"/>
        </w:rPr>
        <w:t>Strassburg CP</w:t>
      </w:r>
      <w:r w:rsidRPr="000C6C65">
        <w:rPr>
          <w:rFonts w:ascii="Book Antiqua" w:hAnsi="Book Antiqua"/>
          <w:sz w:val="20"/>
          <w:szCs w:val="20"/>
        </w:rPr>
        <w:t xml:space="preserve">. Hyperbilirubinemia syndromes (Gilbert-Meulengracht, Crigler-Najjar, Dubin-Johnson, and Rotor syndrome). </w:t>
      </w:r>
      <w:r w:rsidRPr="000C6C65">
        <w:rPr>
          <w:rFonts w:ascii="Book Antiqua" w:hAnsi="Book Antiqua"/>
          <w:i/>
          <w:sz w:val="20"/>
          <w:szCs w:val="20"/>
        </w:rPr>
        <w:t>Best Pract Res Clin Gastroenterol</w:t>
      </w:r>
      <w:r w:rsidRPr="000C6C65">
        <w:rPr>
          <w:rFonts w:ascii="Book Antiqua" w:hAnsi="Book Antiqua"/>
          <w:sz w:val="20"/>
          <w:szCs w:val="20"/>
        </w:rPr>
        <w:t xml:space="preserve"> 2010; </w:t>
      </w:r>
      <w:r w:rsidRPr="000C6C65">
        <w:rPr>
          <w:rFonts w:ascii="Book Antiqua" w:hAnsi="Book Antiqua"/>
          <w:b/>
          <w:sz w:val="20"/>
          <w:szCs w:val="20"/>
        </w:rPr>
        <w:t>24</w:t>
      </w:r>
      <w:r w:rsidRPr="000C6C65">
        <w:rPr>
          <w:rFonts w:ascii="Book Antiqua" w:hAnsi="Book Antiqua"/>
          <w:sz w:val="20"/>
          <w:szCs w:val="20"/>
        </w:rPr>
        <w:t>: 555-571 [PMID: 20955959 DOI: 10.1016/j.bpg.2010.07.007]</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15 </w:t>
      </w:r>
      <w:r w:rsidRPr="000C6C65">
        <w:rPr>
          <w:rFonts w:ascii="Book Antiqua" w:hAnsi="Book Antiqua"/>
          <w:b/>
          <w:sz w:val="20"/>
          <w:szCs w:val="20"/>
        </w:rPr>
        <w:t>Rodrigues C</w:t>
      </w:r>
      <w:r w:rsidRPr="000C6C65">
        <w:rPr>
          <w:rFonts w:ascii="Book Antiqua" w:hAnsi="Book Antiqua"/>
          <w:sz w:val="20"/>
          <w:szCs w:val="20"/>
        </w:rPr>
        <w:t xml:space="preserve">, Costa E, Vieira E, Santos R, De Carvalho J, Rocha-Pereira P, Santos-Silva A, Bronze-da-Rocha E. Bilirubin dependence on UGT1A1 polymorphisms, hemoglobin, fasting time and body mass index. </w:t>
      </w:r>
      <w:r w:rsidRPr="000C6C65">
        <w:rPr>
          <w:rFonts w:ascii="Book Antiqua" w:hAnsi="Book Antiqua"/>
          <w:i/>
          <w:sz w:val="20"/>
          <w:szCs w:val="20"/>
        </w:rPr>
        <w:t>Am J Med Sci</w:t>
      </w:r>
      <w:r w:rsidRPr="000C6C65">
        <w:rPr>
          <w:rFonts w:ascii="Book Antiqua" w:hAnsi="Book Antiqua"/>
          <w:sz w:val="20"/>
          <w:szCs w:val="20"/>
        </w:rPr>
        <w:t xml:space="preserve"> 2012; </w:t>
      </w:r>
      <w:r w:rsidRPr="000C6C65">
        <w:rPr>
          <w:rFonts w:ascii="Book Antiqua" w:hAnsi="Book Antiqua"/>
          <w:b/>
          <w:sz w:val="20"/>
          <w:szCs w:val="20"/>
        </w:rPr>
        <w:t>343</w:t>
      </w:r>
      <w:r w:rsidRPr="000C6C65">
        <w:rPr>
          <w:rFonts w:ascii="Book Antiqua" w:hAnsi="Book Antiqua"/>
          <w:sz w:val="20"/>
          <w:szCs w:val="20"/>
        </w:rPr>
        <w:t>: 114-118 [PMID: 21760472 DOI: 10.1097/MAJ.0b013e318223460f]</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16 </w:t>
      </w:r>
      <w:r w:rsidRPr="000C6C65">
        <w:rPr>
          <w:rFonts w:ascii="Book Antiqua" w:hAnsi="Book Antiqua"/>
          <w:b/>
          <w:sz w:val="20"/>
          <w:szCs w:val="20"/>
        </w:rPr>
        <w:t>Torres AK</w:t>
      </w:r>
      <w:r w:rsidRPr="000C6C65">
        <w:rPr>
          <w:rFonts w:ascii="Book Antiqua" w:hAnsi="Book Antiqua"/>
          <w:sz w:val="20"/>
          <w:szCs w:val="20"/>
        </w:rPr>
        <w:t xml:space="preserve">, Escartín N, Monzó C, Guzmán C, Ferrer I, González-Muñoz C, Peña P, Monzó V, Marcaida G, Rodríguez-López R. Genetic susceptibility to Gilbert's syndrome in a valencian population; efficacy of the fasting test. </w:t>
      </w:r>
      <w:r w:rsidRPr="000C6C65">
        <w:rPr>
          <w:rFonts w:ascii="Book Antiqua" w:hAnsi="Book Antiqua"/>
          <w:i/>
          <w:sz w:val="20"/>
          <w:szCs w:val="20"/>
        </w:rPr>
        <w:t>Rev Clin Esp</w:t>
      </w:r>
      <w:r w:rsidRPr="000C6C65">
        <w:rPr>
          <w:rFonts w:ascii="Book Antiqua" w:hAnsi="Book Antiqua"/>
          <w:sz w:val="20"/>
          <w:szCs w:val="20"/>
        </w:rPr>
        <w:t xml:space="preserve"> 2017; </w:t>
      </w:r>
      <w:r w:rsidRPr="000C6C65">
        <w:rPr>
          <w:rFonts w:ascii="Book Antiqua" w:hAnsi="Book Antiqua"/>
          <w:b/>
          <w:sz w:val="20"/>
          <w:szCs w:val="20"/>
        </w:rPr>
        <w:t>217</w:t>
      </w:r>
      <w:r w:rsidRPr="000C6C65">
        <w:rPr>
          <w:rFonts w:ascii="Book Antiqua" w:hAnsi="Book Antiqua"/>
          <w:sz w:val="20"/>
          <w:szCs w:val="20"/>
        </w:rPr>
        <w:t>: 1-6 [PMID: 27866642]</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17 </w:t>
      </w:r>
      <w:r w:rsidRPr="000C6C65">
        <w:rPr>
          <w:rFonts w:ascii="Book Antiqua" w:hAnsi="Book Antiqua"/>
          <w:b/>
          <w:sz w:val="20"/>
          <w:szCs w:val="20"/>
        </w:rPr>
        <w:t>Minucci A</w:t>
      </w:r>
      <w:r w:rsidRPr="000C6C65">
        <w:rPr>
          <w:rFonts w:ascii="Book Antiqua" w:hAnsi="Book Antiqua"/>
          <w:sz w:val="20"/>
          <w:szCs w:val="20"/>
        </w:rPr>
        <w:t xml:space="preserve">, Concolino P, Giardina B, Zuppi C, Capoluongo E. Rapid UGT1A1 (TA)(n) genotyping by high resolution melting curve analysis for Gilbert's syndrome diagnosis. </w:t>
      </w:r>
      <w:r w:rsidRPr="000C6C65">
        <w:rPr>
          <w:rFonts w:ascii="Book Antiqua" w:hAnsi="Book Antiqua"/>
          <w:i/>
          <w:sz w:val="20"/>
          <w:szCs w:val="20"/>
        </w:rPr>
        <w:t>Clin Chim Acta</w:t>
      </w:r>
      <w:r w:rsidRPr="000C6C65">
        <w:rPr>
          <w:rFonts w:ascii="Book Antiqua" w:hAnsi="Book Antiqua"/>
          <w:sz w:val="20"/>
          <w:szCs w:val="20"/>
        </w:rPr>
        <w:t xml:space="preserve"> 2010; </w:t>
      </w:r>
      <w:r w:rsidRPr="000C6C65">
        <w:rPr>
          <w:rFonts w:ascii="Book Antiqua" w:hAnsi="Book Antiqua"/>
          <w:b/>
          <w:sz w:val="20"/>
          <w:szCs w:val="20"/>
        </w:rPr>
        <w:t>411</w:t>
      </w:r>
      <w:r w:rsidRPr="000C6C65">
        <w:rPr>
          <w:rFonts w:ascii="Book Antiqua" w:hAnsi="Book Antiqua"/>
          <w:sz w:val="20"/>
          <w:szCs w:val="20"/>
        </w:rPr>
        <w:t>: 246-249 [PMID: 19932091 DOI: 10.1016/j.cca.2009.11.013]</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18 </w:t>
      </w:r>
      <w:r w:rsidRPr="000C6C65">
        <w:rPr>
          <w:rFonts w:ascii="Book Antiqua" w:hAnsi="Book Antiqua"/>
          <w:b/>
          <w:sz w:val="20"/>
          <w:szCs w:val="20"/>
        </w:rPr>
        <w:t>McDonald GB</w:t>
      </w:r>
      <w:r w:rsidRPr="000C6C65">
        <w:rPr>
          <w:rFonts w:ascii="Book Antiqua" w:hAnsi="Book Antiqua"/>
          <w:sz w:val="20"/>
          <w:szCs w:val="20"/>
        </w:rPr>
        <w:t xml:space="preserve">, Evans AT, McCune JS, Schoch G, Ostrow JD, Gooley TA. Mortality outcomes after busulfan-containing conditioning treatment and haemopoietic cell transplantation in patients with Gilbert's syndrome: a retrospective cohort study. </w:t>
      </w:r>
      <w:r w:rsidRPr="000C6C65">
        <w:rPr>
          <w:rFonts w:ascii="Book Antiqua" w:hAnsi="Book Antiqua"/>
          <w:i/>
          <w:sz w:val="20"/>
          <w:szCs w:val="20"/>
        </w:rPr>
        <w:t>Lancet Haematol</w:t>
      </w:r>
      <w:r w:rsidRPr="000C6C65">
        <w:rPr>
          <w:rFonts w:ascii="Book Antiqua" w:hAnsi="Book Antiqua"/>
          <w:sz w:val="20"/>
          <w:szCs w:val="20"/>
        </w:rPr>
        <w:t xml:space="preserve"> 2016; </w:t>
      </w:r>
      <w:r w:rsidRPr="000C6C65">
        <w:rPr>
          <w:rFonts w:ascii="Book Antiqua" w:hAnsi="Book Antiqua"/>
          <w:b/>
          <w:sz w:val="20"/>
          <w:szCs w:val="20"/>
        </w:rPr>
        <w:t>3</w:t>
      </w:r>
      <w:r w:rsidRPr="000C6C65">
        <w:rPr>
          <w:rFonts w:ascii="Book Antiqua" w:hAnsi="Book Antiqua"/>
          <w:sz w:val="20"/>
          <w:szCs w:val="20"/>
        </w:rPr>
        <w:t>: e516-e525 [PMID: 27968820 DOI: 10.1016/S2352-3026(16)30149-1]</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19 </w:t>
      </w:r>
      <w:r w:rsidRPr="000C6C65">
        <w:rPr>
          <w:rFonts w:ascii="Book Antiqua" w:hAnsi="Book Antiqua"/>
          <w:b/>
          <w:sz w:val="20"/>
          <w:szCs w:val="20"/>
        </w:rPr>
        <w:t>Lankisch TO</w:t>
      </w:r>
      <w:r w:rsidRPr="000C6C65">
        <w:rPr>
          <w:rFonts w:ascii="Book Antiqua" w:hAnsi="Book Antiqua"/>
          <w:sz w:val="20"/>
          <w:szCs w:val="20"/>
        </w:rPr>
        <w:t xml:space="preserve">, Behrens G, Ehmer U, Möbius U, Rockstroh J, Wehmeier M, Kalthoff S, Freiberg N, Manns MP, Schmidt RE, Strassburg CP. Gilbert's syndrome and hyperbilirubinemia in protease inhibitor therapy--an extended haplotype of genetic variants increases risk in indinavir treatment. </w:t>
      </w:r>
      <w:r w:rsidRPr="000C6C65">
        <w:rPr>
          <w:rFonts w:ascii="Book Antiqua" w:hAnsi="Book Antiqua"/>
          <w:i/>
          <w:sz w:val="20"/>
          <w:szCs w:val="20"/>
        </w:rPr>
        <w:t>J Hepatol</w:t>
      </w:r>
      <w:r w:rsidRPr="000C6C65">
        <w:rPr>
          <w:rFonts w:ascii="Book Antiqua" w:hAnsi="Book Antiqua"/>
          <w:sz w:val="20"/>
          <w:szCs w:val="20"/>
        </w:rPr>
        <w:t xml:space="preserve"> 2009; </w:t>
      </w:r>
      <w:r w:rsidRPr="000C6C65">
        <w:rPr>
          <w:rFonts w:ascii="Book Antiqua" w:hAnsi="Book Antiqua"/>
          <w:b/>
          <w:sz w:val="20"/>
          <w:szCs w:val="20"/>
        </w:rPr>
        <w:t>50</w:t>
      </w:r>
      <w:r w:rsidRPr="000C6C65">
        <w:rPr>
          <w:rFonts w:ascii="Book Antiqua" w:hAnsi="Book Antiqua"/>
          <w:sz w:val="20"/>
          <w:szCs w:val="20"/>
        </w:rPr>
        <w:t>: 1010-1018 [PMID: 19303655 DOI: 10.1016/j.jhep.2008.12.030]</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20 </w:t>
      </w:r>
      <w:r w:rsidRPr="000C6C65">
        <w:rPr>
          <w:rFonts w:ascii="Book Antiqua" w:hAnsi="Book Antiqua"/>
          <w:b/>
          <w:sz w:val="20"/>
          <w:szCs w:val="20"/>
        </w:rPr>
        <w:t>Mehra R</w:t>
      </w:r>
      <w:r w:rsidRPr="000C6C65">
        <w:rPr>
          <w:rFonts w:ascii="Book Antiqua" w:hAnsi="Book Antiqua"/>
          <w:sz w:val="20"/>
          <w:szCs w:val="20"/>
        </w:rPr>
        <w:t xml:space="preserve">, Murren J, Chung G, Smith B, Psyrri A. Severe irinotecan-induced toxicities in a patient with uridine diphosphate glucuronosyltransferase 1A1 polymorphism. </w:t>
      </w:r>
      <w:r w:rsidRPr="000C6C65">
        <w:rPr>
          <w:rFonts w:ascii="Book Antiqua" w:hAnsi="Book Antiqua"/>
          <w:i/>
          <w:sz w:val="20"/>
          <w:szCs w:val="20"/>
        </w:rPr>
        <w:t>Clin Colorectal Cancer</w:t>
      </w:r>
      <w:r w:rsidRPr="000C6C65">
        <w:rPr>
          <w:rFonts w:ascii="Book Antiqua" w:hAnsi="Book Antiqua"/>
          <w:sz w:val="20"/>
          <w:szCs w:val="20"/>
        </w:rPr>
        <w:t xml:space="preserve"> 2005; </w:t>
      </w:r>
      <w:r w:rsidRPr="000C6C65">
        <w:rPr>
          <w:rFonts w:ascii="Book Antiqua" w:hAnsi="Book Antiqua"/>
          <w:b/>
          <w:sz w:val="20"/>
          <w:szCs w:val="20"/>
        </w:rPr>
        <w:t>5</w:t>
      </w:r>
      <w:r w:rsidRPr="000C6C65">
        <w:rPr>
          <w:rFonts w:ascii="Book Antiqua" w:hAnsi="Book Antiqua"/>
          <w:sz w:val="20"/>
          <w:szCs w:val="20"/>
        </w:rPr>
        <w:t>: 61-64 [PMID: 15929808 DOI: 10.3816/CCC.2005.n.018]</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21 </w:t>
      </w:r>
      <w:r w:rsidRPr="000C6C65">
        <w:rPr>
          <w:rFonts w:ascii="Book Antiqua" w:hAnsi="Book Antiqua"/>
          <w:b/>
          <w:sz w:val="20"/>
          <w:szCs w:val="20"/>
        </w:rPr>
        <w:t>Trompeter S,</w:t>
      </w:r>
      <w:r w:rsidRPr="000C6C65">
        <w:rPr>
          <w:rFonts w:ascii="Book Antiqua" w:hAnsi="Book Antiqua"/>
          <w:sz w:val="20"/>
          <w:szCs w:val="20"/>
        </w:rPr>
        <w:t xml:space="preserve"> King M. Hereditary spherocytosis. </w:t>
      </w:r>
      <w:r w:rsidRPr="000C6C65">
        <w:rPr>
          <w:rFonts w:ascii="Book Antiqua" w:hAnsi="Book Antiqua"/>
          <w:i/>
          <w:iCs/>
          <w:sz w:val="20"/>
          <w:szCs w:val="20"/>
        </w:rPr>
        <w:t>Paediatr Child H</w:t>
      </w:r>
      <w:r w:rsidRPr="000C6C65">
        <w:rPr>
          <w:sz w:val="20"/>
          <w:szCs w:val="20"/>
        </w:rPr>
        <w:t xml:space="preserve"> </w:t>
      </w:r>
      <w:r w:rsidRPr="000C6C65">
        <w:rPr>
          <w:rFonts w:ascii="Book Antiqua" w:hAnsi="Book Antiqua"/>
          <w:i/>
          <w:iCs/>
          <w:sz w:val="20"/>
          <w:szCs w:val="20"/>
        </w:rPr>
        <w:t>(United Kingdom)</w:t>
      </w:r>
      <w:r w:rsidRPr="000C6C65">
        <w:rPr>
          <w:rFonts w:ascii="Book Antiqua" w:hAnsi="Book Antiqua"/>
          <w:sz w:val="20"/>
          <w:szCs w:val="20"/>
        </w:rPr>
        <w:t xml:space="preserve"> 2019; </w:t>
      </w:r>
      <w:r w:rsidRPr="000C6C65">
        <w:rPr>
          <w:rFonts w:ascii="Book Antiqua" w:hAnsi="Book Antiqua"/>
          <w:b/>
          <w:sz w:val="20"/>
          <w:szCs w:val="20"/>
        </w:rPr>
        <w:t>29</w:t>
      </w:r>
      <w:r w:rsidRPr="000C6C65">
        <w:rPr>
          <w:rFonts w:ascii="Book Antiqua" w:hAnsi="Book Antiqua"/>
          <w:sz w:val="20"/>
          <w:szCs w:val="20"/>
        </w:rPr>
        <w:t>: 359-364 [DOI: 10.1016/j.paed.2019.05.006]</w:t>
      </w:r>
    </w:p>
    <w:p w:rsidR="00980292" w:rsidRPr="000C6C65" w:rsidRDefault="00980292" w:rsidP="000C6C65">
      <w:pPr>
        <w:snapToGrid w:val="0"/>
        <w:spacing w:line="360" w:lineRule="auto"/>
        <w:jc w:val="both"/>
        <w:rPr>
          <w:rFonts w:ascii="Book Antiqua" w:hAnsi="Book Antiqua"/>
          <w:b/>
          <w:sz w:val="20"/>
          <w:szCs w:val="20"/>
        </w:rPr>
      </w:pPr>
      <w:r w:rsidRPr="000C6C65">
        <w:rPr>
          <w:rFonts w:ascii="Book Antiqua" w:hAnsi="Book Antiqua"/>
          <w:sz w:val="20"/>
          <w:szCs w:val="20"/>
        </w:rPr>
        <w:t xml:space="preserve">22 </w:t>
      </w:r>
      <w:r w:rsidRPr="000C6C65">
        <w:rPr>
          <w:rFonts w:ascii="Book Antiqua" w:hAnsi="Book Antiqua"/>
          <w:b/>
          <w:sz w:val="20"/>
          <w:szCs w:val="20"/>
        </w:rPr>
        <w:t>Bolton-Maggs PH</w:t>
      </w:r>
      <w:r w:rsidRPr="000C6C65">
        <w:rPr>
          <w:rFonts w:ascii="Book Antiqua" w:hAnsi="Book Antiqua"/>
          <w:sz w:val="20"/>
          <w:szCs w:val="20"/>
        </w:rPr>
        <w:t xml:space="preserve">, Stevens RF, Dodd NJ, Lamont G, Tittensor P, King MJ; General Haematology Task Force of the British Committee for Standards in Haematology. Guidelines for the diagnosis and management of hereditary spherocytosis. </w:t>
      </w:r>
      <w:r w:rsidRPr="000C6C65">
        <w:rPr>
          <w:rFonts w:ascii="Book Antiqua" w:hAnsi="Book Antiqua"/>
          <w:i/>
          <w:sz w:val="20"/>
          <w:szCs w:val="20"/>
        </w:rPr>
        <w:t>Br J Haematol</w:t>
      </w:r>
      <w:r w:rsidRPr="000C6C65">
        <w:rPr>
          <w:rFonts w:ascii="Book Antiqua" w:hAnsi="Book Antiqua"/>
          <w:sz w:val="20"/>
          <w:szCs w:val="20"/>
        </w:rPr>
        <w:t xml:space="preserve"> 2004; </w:t>
      </w:r>
      <w:r w:rsidRPr="000C6C65">
        <w:rPr>
          <w:rFonts w:ascii="Book Antiqua" w:hAnsi="Book Antiqua"/>
          <w:b/>
          <w:sz w:val="20"/>
          <w:szCs w:val="20"/>
        </w:rPr>
        <w:t>126</w:t>
      </w:r>
      <w:r w:rsidRPr="000C6C65">
        <w:rPr>
          <w:rFonts w:ascii="Book Antiqua" w:hAnsi="Book Antiqua"/>
          <w:sz w:val="20"/>
          <w:szCs w:val="20"/>
        </w:rPr>
        <w:t>: 455-474 [PMID: 15287938 DOI: 10.1111/j.1365-2141.2004.05052.x]</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23 </w:t>
      </w:r>
      <w:r w:rsidRPr="000C6C65">
        <w:rPr>
          <w:rFonts w:ascii="Book Antiqua" w:hAnsi="Book Antiqua"/>
          <w:b/>
          <w:sz w:val="20"/>
          <w:szCs w:val="20"/>
        </w:rPr>
        <w:t>Aiso M</w:t>
      </w:r>
      <w:r w:rsidRPr="000C6C65">
        <w:rPr>
          <w:rFonts w:ascii="Book Antiqua" w:hAnsi="Book Antiqua"/>
          <w:sz w:val="20"/>
          <w:szCs w:val="20"/>
        </w:rPr>
        <w:t xml:space="preserve">, Yagi M, Tanaka A, Miura K, Miura R, Arizumi T, Takamori Y, Nakahara S, Maruo Y, Takikawa H. Gilbert Syndrome with Concomitant Hereditary Spherocytosis Presenting with Moderate Unconjugated Hyperbilirubinemia. </w:t>
      </w:r>
      <w:r w:rsidRPr="000C6C65">
        <w:rPr>
          <w:rFonts w:ascii="Book Antiqua" w:hAnsi="Book Antiqua"/>
          <w:i/>
          <w:sz w:val="20"/>
          <w:szCs w:val="20"/>
        </w:rPr>
        <w:t>Intern Med</w:t>
      </w:r>
      <w:r w:rsidRPr="000C6C65">
        <w:rPr>
          <w:rFonts w:ascii="Book Antiqua" w:hAnsi="Book Antiqua"/>
          <w:sz w:val="20"/>
          <w:szCs w:val="20"/>
        </w:rPr>
        <w:t xml:space="preserve"> 2017; </w:t>
      </w:r>
      <w:r w:rsidRPr="000C6C65">
        <w:rPr>
          <w:rFonts w:ascii="Book Antiqua" w:hAnsi="Book Antiqua"/>
          <w:b/>
          <w:sz w:val="20"/>
          <w:szCs w:val="20"/>
        </w:rPr>
        <w:t>56</w:t>
      </w:r>
      <w:r w:rsidRPr="000C6C65">
        <w:rPr>
          <w:rFonts w:ascii="Book Antiqua" w:hAnsi="Book Antiqua"/>
          <w:sz w:val="20"/>
          <w:szCs w:val="20"/>
        </w:rPr>
        <w:t>: 661-664 [PMID: 28321066 DOI: 10.2169/internalmedicine.56.7362]</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24 </w:t>
      </w:r>
      <w:r w:rsidRPr="000C6C65">
        <w:rPr>
          <w:rFonts w:ascii="Book Antiqua" w:hAnsi="Book Antiqua"/>
          <w:b/>
          <w:sz w:val="20"/>
          <w:szCs w:val="20"/>
        </w:rPr>
        <w:t>Foulk WT</w:t>
      </w:r>
      <w:r w:rsidRPr="000C6C65">
        <w:rPr>
          <w:rFonts w:ascii="Book Antiqua" w:hAnsi="Book Antiqua"/>
          <w:sz w:val="20"/>
          <w:szCs w:val="20"/>
        </w:rPr>
        <w:t xml:space="preserve">, Butt HR, Owen CA Jr, Whitcomb FF Jr, Mason HL. Constitutional hepatic dysfunction (Gilbert's disease): its natural history and related syndromes. </w:t>
      </w:r>
      <w:r w:rsidRPr="000C6C65">
        <w:rPr>
          <w:rFonts w:ascii="Book Antiqua" w:hAnsi="Book Antiqua"/>
          <w:i/>
          <w:sz w:val="20"/>
          <w:szCs w:val="20"/>
        </w:rPr>
        <w:t>Medicine (Baltimore)</w:t>
      </w:r>
      <w:r w:rsidRPr="000C6C65">
        <w:rPr>
          <w:rFonts w:ascii="Book Antiqua" w:hAnsi="Book Antiqua"/>
          <w:sz w:val="20"/>
          <w:szCs w:val="20"/>
        </w:rPr>
        <w:t xml:space="preserve"> 1959; </w:t>
      </w:r>
      <w:r w:rsidRPr="000C6C65">
        <w:rPr>
          <w:rFonts w:ascii="Book Antiqua" w:hAnsi="Book Antiqua"/>
          <w:b/>
          <w:sz w:val="20"/>
          <w:szCs w:val="20"/>
        </w:rPr>
        <w:t>38</w:t>
      </w:r>
      <w:r w:rsidRPr="000C6C65">
        <w:rPr>
          <w:rFonts w:ascii="Book Antiqua" w:hAnsi="Book Antiqua"/>
          <w:sz w:val="20"/>
          <w:szCs w:val="20"/>
        </w:rPr>
        <w:t>: 25-46 [PMID: 13632313 DOI: 10.1097/00005792-195902000-00002]</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25 </w:t>
      </w:r>
      <w:r w:rsidRPr="000C6C65">
        <w:rPr>
          <w:rFonts w:ascii="Book Antiqua" w:hAnsi="Book Antiqua"/>
          <w:b/>
          <w:sz w:val="20"/>
          <w:szCs w:val="20"/>
        </w:rPr>
        <w:t>Powell LW</w:t>
      </w:r>
      <w:r w:rsidRPr="000C6C65">
        <w:rPr>
          <w:rFonts w:ascii="Book Antiqua" w:hAnsi="Book Antiqua"/>
          <w:sz w:val="20"/>
          <w:szCs w:val="20"/>
        </w:rPr>
        <w:t xml:space="preserve">, Hemingway E, Billing BH, Sherlock S. Idiopathic unconjugated hyperbilirubinemia (Gilbert's syndrome). A study of 42 families. </w:t>
      </w:r>
      <w:r w:rsidRPr="000C6C65">
        <w:rPr>
          <w:rFonts w:ascii="Book Antiqua" w:hAnsi="Book Antiqua"/>
          <w:i/>
          <w:sz w:val="20"/>
          <w:szCs w:val="20"/>
        </w:rPr>
        <w:t>N Engl J Med</w:t>
      </w:r>
      <w:r w:rsidRPr="000C6C65">
        <w:rPr>
          <w:rFonts w:ascii="Book Antiqua" w:hAnsi="Book Antiqua"/>
          <w:sz w:val="20"/>
          <w:szCs w:val="20"/>
        </w:rPr>
        <w:t xml:space="preserve"> 1967; </w:t>
      </w:r>
      <w:r w:rsidRPr="000C6C65">
        <w:rPr>
          <w:rFonts w:ascii="Book Antiqua" w:hAnsi="Book Antiqua"/>
          <w:b/>
          <w:sz w:val="20"/>
          <w:szCs w:val="20"/>
        </w:rPr>
        <w:t>277</w:t>
      </w:r>
      <w:r w:rsidRPr="000C6C65">
        <w:rPr>
          <w:rFonts w:ascii="Book Antiqua" w:hAnsi="Book Antiqua"/>
          <w:sz w:val="20"/>
          <w:szCs w:val="20"/>
        </w:rPr>
        <w:t>: 1108-1112 [PMID: 6054997 DOI: 10.1056/NEJM196711232772102]</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26 </w:t>
      </w:r>
      <w:r w:rsidRPr="000C6C65">
        <w:rPr>
          <w:rFonts w:ascii="Book Antiqua" w:hAnsi="Book Antiqua"/>
          <w:b/>
          <w:sz w:val="20"/>
          <w:szCs w:val="20"/>
        </w:rPr>
        <w:t>Berk PD</w:t>
      </w:r>
      <w:r w:rsidRPr="000C6C65">
        <w:rPr>
          <w:rFonts w:ascii="Book Antiqua" w:hAnsi="Book Antiqua"/>
          <w:sz w:val="20"/>
          <w:szCs w:val="20"/>
        </w:rPr>
        <w:t xml:space="preserve">, Blaschke TF. Detection of Gilbert's syndrome in patients with hemolysis. A method using radioactive chromium. </w:t>
      </w:r>
      <w:r w:rsidRPr="000C6C65">
        <w:rPr>
          <w:rFonts w:ascii="Book Antiqua" w:hAnsi="Book Antiqua"/>
          <w:i/>
          <w:sz w:val="20"/>
          <w:szCs w:val="20"/>
        </w:rPr>
        <w:t>Ann Intern Med</w:t>
      </w:r>
      <w:r w:rsidRPr="000C6C65">
        <w:rPr>
          <w:rFonts w:ascii="Book Antiqua" w:hAnsi="Book Antiqua"/>
          <w:sz w:val="20"/>
          <w:szCs w:val="20"/>
        </w:rPr>
        <w:t xml:space="preserve"> 1972; </w:t>
      </w:r>
      <w:r w:rsidRPr="000C6C65">
        <w:rPr>
          <w:rFonts w:ascii="Book Antiqua" w:hAnsi="Book Antiqua"/>
          <w:b/>
          <w:sz w:val="20"/>
          <w:szCs w:val="20"/>
        </w:rPr>
        <w:t>77</w:t>
      </w:r>
      <w:r w:rsidRPr="000C6C65">
        <w:rPr>
          <w:rFonts w:ascii="Book Antiqua" w:hAnsi="Book Antiqua"/>
          <w:sz w:val="20"/>
          <w:szCs w:val="20"/>
        </w:rPr>
        <w:t>: 527-531 [PMID: 4642732 DOI: 10.7326/0003-4819-77-4-527]</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27 </w:t>
      </w:r>
      <w:r w:rsidRPr="000C6C65">
        <w:rPr>
          <w:rFonts w:ascii="Book Antiqua" w:hAnsi="Book Antiqua"/>
          <w:b/>
          <w:sz w:val="20"/>
          <w:szCs w:val="20"/>
        </w:rPr>
        <w:t>Cartei G</w:t>
      </w:r>
      <w:r w:rsidRPr="000C6C65">
        <w:rPr>
          <w:rFonts w:ascii="Book Antiqua" w:hAnsi="Book Antiqua"/>
          <w:sz w:val="20"/>
          <w:szCs w:val="20"/>
        </w:rPr>
        <w:t xml:space="preserve">, Chisesi T, Cazzavillan M, Barbui T, Battista R, Vianello Dri A, Dini E. Red blood cell survival and hyperbilirubinaemia in the Gilbert's syndrome. </w:t>
      </w:r>
      <w:r w:rsidRPr="000C6C65">
        <w:rPr>
          <w:rFonts w:ascii="Book Antiqua" w:hAnsi="Book Antiqua"/>
          <w:i/>
          <w:sz w:val="20"/>
          <w:szCs w:val="20"/>
        </w:rPr>
        <w:t>Folia Haematol Int Mag Klin Morphol Blutforsch</w:t>
      </w:r>
      <w:r w:rsidRPr="000C6C65">
        <w:rPr>
          <w:rFonts w:ascii="Book Antiqua" w:hAnsi="Book Antiqua"/>
          <w:sz w:val="20"/>
          <w:szCs w:val="20"/>
        </w:rPr>
        <w:t xml:space="preserve"> 1976; </w:t>
      </w:r>
      <w:r w:rsidRPr="000C6C65">
        <w:rPr>
          <w:rFonts w:ascii="Book Antiqua" w:hAnsi="Book Antiqua"/>
          <w:b/>
          <w:sz w:val="20"/>
          <w:szCs w:val="20"/>
        </w:rPr>
        <w:t>103</w:t>
      </w:r>
      <w:r w:rsidRPr="000C6C65">
        <w:rPr>
          <w:rFonts w:ascii="Book Antiqua" w:hAnsi="Book Antiqua"/>
          <w:sz w:val="20"/>
          <w:szCs w:val="20"/>
        </w:rPr>
        <w:t>: 93-100 [PMID: 58824]</w:t>
      </w:r>
    </w:p>
    <w:p w:rsidR="00980292"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28 </w:t>
      </w:r>
      <w:r w:rsidRPr="000C6C65">
        <w:rPr>
          <w:rFonts w:ascii="Book Antiqua" w:hAnsi="Book Antiqua"/>
          <w:b/>
          <w:sz w:val="20"/>
          <w:szCs w:val="20"/>
        </w:rPr>
        <w:t>Strocchi A</w:t>
      </w:r>
      <w:r w:rsidRPr="000C6C65">
        <w:rPr>
          <w:rFonts w:ascii="Book Antiqua" w:hAnsi="Book Antiqua"/>
          <w:sz w:val="20"/>
          <w:szCs w:val="20"/>
        </w:rPr>
        <w:t xml:space="preserve">, Schwartz S, Ellefson M, Engel RR, Medina A, Levitt MD. A simple carbon monoxide breath test to estimate erythrocyte turnover. </w:t>
      </w:r>
      <w:r w:rsidRPr="000C6C65">
        <w:rPr>
          <w:rFonts w:ascii="Book Antiqua" w:hAnsi="Book Antiqua"/>
          <w:i/>
          <w:sz w:val="20"/>
          <w:szCs w:val="20"/>
        </w:rPr>
        <w:t>J Lab Clin Med</w:t>
      </w:r>
      <w:r w:rsidRPr="000C6C65">
        <w:rPr>
          <w:rFonts w:ascii="Book Antiqua" w:hAnsi="Book Antiqua"/>
          <w:sz w:val="20"/>
          <w:szCs w:val="20"/>
        </w:rPr>
        <w:t xml:space="preserve"> 1992; </w:t>
      </w:r>
      <w:r w:rsidRPr="000C6C65">
        <w:rPr>
          <w:rFonts w:ascii="Book Antiqua" w:hAnsi="Book Antiqua"/>
          <w:b/>
          <w:sz w:val="20"/>
          <w:szCs w:val="20"/>
        </w:rPr>
        <w:t>120</w:t>
      </w:r>
      <w:r w:rsidRPr="000C6C65">
        <w:rPr>
          <w:rFonts w:ascii="Book Antiqua" w:hAnsi="Book Antiqua"/>
          <w:sz w:val="20"/>
          <w:szCs w:val="20"/>
        </w:rPr>
        <w:t>: 392-399 [PMID: 1517686 DOI: 10.1016/0009-8981(92)90054-T]</w:t>
      </w:r>
    </w:p>
    <w:p w:rsidR="001A61BA" w:rsidRPr="000C6C65" w:rsidRDefault="00980292" w:rsidP="000C6C65">
      <w:pPr>
        <w:snapToGrid w:val="0"/>
        <w:spacing w:line="360" w:lineRule="auto"/>
        <w:jc w:val="both"/>
        <w:rPr>
          <w:rFonts w:ascii="Book Antiqua" w:hAnsi="Book Antiqua"/>
          <w:sz w:val="20"/>
          <w:szCs w:val="20"/>
        </w:rPr>
      </w:pPr>
      <w:r w:rsidRPr="000C6C65">
        <w:rPr>
          <w:rFonts w:ascii="Book Antiqua" w:hAnsi="Book Antiqua"/>
          <w:sz w:val="20"/>
          <w:szCs w:val="20"/>
        </w:rPr>
        <w:t xml:space="preserve">29 </w:t>
      </w:r>
      <w:r w:rsidRPr="000C6C65">
        <w:rPr>
          <w:rFonts w:ascii="Book Antiqua" w:hAnsi="Book Antiqua"/>
          <w:b/>
          <w:sz w:val="20"/>
          <w:szCs w:val="20"/>
        </w:rPr>
        <w:t>Furne JK</w:t>
      </w:r>
      <w:r w:rsidRPr="000C6C65">
        <w:rPr>
          <w:rFonts w:ascii="Book Antiqua" w:hAnsi="Book Antiqua"/>
          <w:sz w:val="20"/>
          <w:szCs w:val="20"/>
        </w:rPr>
        <w:t xml:space="preserve">, Springfield JR, Ho SB, Levitt MD. Simplification of the end-alveolar carbon monoxide technique to assess erythrocyte survival. </w:t>
      </w:r>
      <w:r w:rsidRPr="000C6C65">
        <w:rPr>
          <w:rFonts w:ascii="Book Antiqua" w:hAnsi="Book Antiqua"/>
          <w:i/>
          <w:sz w:val="20"/>
          <w:szCs w:val="20"/>
        </w:rPr>
        <w:t>J Lab Clin Med</w:t>
      </w:r>
      <w:r w:rsidRPr="000C6C65">
        <w:rPr>
          <w:rFonts w:ascii="Book Antiqua" w:hAnsi="Book Antiqua"/>
          <w:sz w:val="20"/>
          <w:szCs w:val="20"/>
        </w:rPr>
        <w:t xml:space="preserve"> 2003; </w:t>
      </w:r>
      <w:r w:rsidRPr="000C6C65">
        <w:rPr>
          <w:rFonts w:ascii="Book Antiqua" w:hAnsi="Book Antiqua"/>
          <w:b/>
          <w:sz w:val="20"/>
          <w:szCs w:val="20"/>
        </w:rPr>
        <w:t>142</w:t>
      </w:r>
      <w:r w:rsidRPr="000C6C65">
        <w:rPr>
          <w:rFonts w:ascii="Book Antiqua" w:hAnsi="Book Antiqua"/>
          <w:sz w:val="20"/>
          <w:szCs w:val="20"/>
        </w:rPr>
        <w:t>: 52-57 [PMID: 12878986 DOI: 10.1016/S0022-2143(03)00086-6]</w:t>
      </w:r>
    </w:p>
    <w:p w:rsidR="007A5608" w:rsidRPr="000C6C65" w:rsidRDefault="00F91833" w:rsidP="000C6C65">
      <w:pPr>
        <w:adjustRightInd w:val="0"/>
        <w:snapToGrid w:val="0"/>
        <w:spacing w:line="360" w:lineRule="auto"/>
        <w:jc w:val="both"/>
        <w:rPr>
          <w:rFonts w:ascii="Book Antiqua" w:hAnsi="Book Antiqua"/>
          <w:b/>
          <w:sz w:val="20"/>
          <w:szCs w:val="20"/>
        </w:rPr>
      </w:pPr>
      <w:r w:rsidRPr="000C6C65">
        <w:rPr>
          <w:rFonts w:ascii="Book Antiqua" w:hAnsi="Book Antiqua"/>
          <w:b/>
          <w:sz w:val="20"/>
          <w:szCs w:val="20"/>
        </w:rPr>
        <w:br w:type="page"/>
      </w:r>
      <w:r w:rsidR="007A5608" w:rsidRPr="000C6C65">
        <w:rPr>
          <w:rFonts w:ascii="Book Antiqua" w:hAnsi="Book Antiqua"/>
          <w:b/>
          <w:sz w:val="20"/>
          <w:szCs w:val="20"/>
        </w:rPr>
        <w:t>Footnotes</w:t>
      </w:r>
    </w:p>
    <w:p w:rsidR="007A5608" w:rsidRPr="000C6C65" w:rsidRDefault="007A5608"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hAnsi="Book Antiqua" w:cs="Tahoma"/>
          <w:b/>
          <w:sz w:val="20"/>
          <w:szCs w:val="20"/>
        </w:rPr>
        <w:t>Informed consent statement:</w:t>
      </w:r>
      <w:r w:rsidRPr="000C6C65">
        <w:rPr>
          <w:rFonts w:ascii="Book Antiqua" w:hAnsi="Book Antiqua" w:cs="Tahoma"/>
          <w:sz w:val="20"/>
          <w:szCs w:val="20"/>
        </w:rPr>
        <w:t xml:space="preserve"> </w:t>
      </w:r>
      <w:r w:rsidRPr="000C6C65">
        <w:rPr>
          <w:rFonts w:ascii="Book Antiqua" w:eastAsia="BaskervilleNo2BT-Roman" w:hAnsi="Book Antiqua" w:cs="Times New Roman"/>
          <w:sz w:val="20"/>
          <w:szCs w:val="20"/>
        </w:rPr>
        <w:t>Written informed consents for publication were obtained from patients.</w:t>
      </w:r>
    </w:p>
    <w:p w:rsidR="007A5608" w:rsidRPr="000C6C65" w:rsidRDefault="007A5608" w:rsidP="000C6C65">
      <w:pPr>
        <w:autoSpaceDE w:val="0"/>
        <w:autoSpaceDN w:val="0"/>
        <w:adjustRightInd w:val="0"/>
        <w:snapToGrid w:val="0"/>
        <w:spacing w:line="360" w:lineRule="auto"/>
        <w:jc w:val="both"/>
        <w:rPr>
          <w:rFonts w:ascii="Book Antiqua" w:hAnsi="Book Antiqua" w:cs="Tahoma"/>
          <w:sz w:val="20"/>
          <w:szCs w:val="20"/>
        </w:rPr>
      </w:pPr>
    </w:p>
    <w:p w:rsidR="007A5608" w:rsidRPr="000C6C65" w:rsidRDefault="007A5608" w:rsidP="000C6C65">
      <w:pPr>
        <w:widowControl w:val="0"/>
        <w:snapToGrid w:val="0"/>
        <w:spacing w:line="360" w:lineRule="auto"/>
        <w:jc w:val="both"/>
        <w:rPr>
          <w:rFonts w:ascii="Book Antiqua" w:eastAsia="BaskervilleNo2BT-Roman" w:hAnsi="Book Antiqua" w:cs="Times New Roman"/>
          <w:sz w:val="20"/>
          <w:szCs w:val="20"/>
        </w:rPr>
      </w:pPr>
      <w:r w:rsidRPr="000C6C65">
        <w:rPr>
          <w:rFonts w:ascii="Book Antiqua" w:hAnsi="Book Antiqua" w:cs="Tahoma"/>
          <w:b/>
          <w:sz w:val="20"/>
          <w:szCs w:val="20"/>
        </w:rPr>
        <w:t>Conflict-of-interest statement:</w:t>
      </w:r>
      <w:r w:rsidRPr="000C6C65">
        <w:rPr>
          <w:rFonts w:ascii="Book Antiqua" w:hAnsi="Book Antiqua" w:cs="Tahoma"/>
          <w:sz w:val="20"/>
          <w:szCs w:val="20"/>
        </w:rPr>
        <w:t xml:space="preserve"> </w:t>
      </w:r>
      <w:r w:rsidRPr="000C6C65">
        <w:rPr>
          <w:rFonts w:ascii="Book Antiqua" w:eastAsia="BaskervilleNo2BT-Roman" w:hAnsi="Book Antiqua" w:cs="Times New Roman"/>
          <w:sz w:val="20"/>
          <w:szCs w:val="20"/>
        </w:rPr>
        <w:t>The authors declare that they have no competing interests.</w:t>
      </w:r>
    </w:p>
    <w:p w:rsidR="007A5608" w:rsidRPr="000C6C65" w:rsidRDefault="007A5608" w:rsidP="000C6C65">
      <w:pPr>
        <w:autoSpaceDE w:val="0"/>
        <w:autoSpaceDN w:val="0"/>
        <w:adjustRightInd w:val="0"/>
        <w:snapToGrid w:val="0"/>
        <w:spacing w:line="360" w:lineRule="auto"/>
        <w:jc w:val="both"/>
        <w:rPr>
          <w:rFonts w:ascii="Book Antiqua" w:hAnsi="Book Antiqua" w:cs="Tahoma"/>
          <w:b/>
          <w:sz w:val="20"/>
          <w:szCs w:val="20"/>
        </w:rPr>
      </w:pPr>
    </w:p>
    <w:p w:rsidR="007A5608" w:rsidRPr="000C6C65" w:rsidRDefault="007A5608" w:rsidP="000C6C65">
      <w:pPr>
        <w:autoSpaceDE w:val="0"/>
        <w:autoSpaceDN w:val="0"/>
        <w:adjustRightInd w:val="0"/>
        <w:snapToGrid w:val="0"/>
        <w:spacing w:line="360" w:lineRule="auto"/>
        <w:jc w:val="both"/>
        <w:rPr>
          <w:rFonts w:ascii="Book Antiqua" w:hAnsi="Book Antiqua" w:cs="Times New Roman"/>
          <w:kern w:val="2"/>
          <w:sz w:val="20"/>
          <w:szCs w:val="20"/>
        </w:rPr>
      </w:pPr>
      <w:r w:rsidRPr="000C6C65">
        <w:rPr>
          <w:rFonts w:ascii="Book Antiqua" w:hAnsi="Book Antiqua" w:cs="Tahoma"/>
          <w:b/>
          <w:sz w:val="20"/>
          <w:szCs w:val="20"/>
        </w:rPr>
        <w:t>CARE Checklist (2016) statement:</w:t>
      </w:r>
      <w:r w:rsidRPr="000C6C65">
        <w:rPr>
          <w:rFonts w:ascii="Book Antiqua" w:hAnsi="Book Antiqua" w:cs="Tahoma"/>
          <w:sz w:val="20"/>
          <w:szCs w:val="20"/>
        </w:rPr>
        <w:t xml:space="preserve"> </w:t>
      </w:r>
      <w:r w:rsidRPr="000C6C65">
        <w:rPr>
          <w:rFonts w:ascii="Book Antiqua" w:hAnsi="Book Antiqua" w:cs="TimesNewRomanPSMT"/>
          <w:sz w:val="20"/>
          <w:szCs w:val="20"/>
        </w:rPr>
        <w:t>The authors have read the CARE Checklist (2016), and the manuscript was prepared and revised according to the CARE Checklist (2016).</w:t>
      </w:r>
    </w:p>
    <w:p w:rsidR="007A5608" w:rsidRPr="000C6C65" w:rsidRDefault="007A5608" w:rsidP="000C6C65">
      <w:pPr>
        <w:widowControl w:val="0"/>
        <w:adjustRightInd w:val="0"/>
        <w:snapToGrid w:val="0"/>
        <w:spacing w:line="360" w:lineRule="auto"/>
        <w:jc w:val="both"/>
        <w:rPr>
          <w:rFonts w:ascii="Book Antiqua" w:hAnsi="Book Antiqua" w:cs="等线"/>
          <w:b/>
          <w:bCs/>
          <w:sz w:val="20"/>
          <w:szCs w:val="20"/>
        </w:rPr>
      </w:pPr>
    </w:p>
    <w:p w:rsidR="007A5608" w:rsidRPr="000C6C65" w:rsidRDefault="007A5608" w:rsidP="000C6C65">
      <w:pPr>
        <w:adjustRightInd w:val="0"/>
        <w:snapToGrid w:val="0"/>
        <w:spacing w:line="360" w:lineRule="auto"/>
        <w:jc w:val="both"/>
        <w:rPr>
          <w:rFonts w:ascii="Book Antiqua" w:hAnsi="Book Antiqua"/>
          <w:sz w:val="20"/>
          <w:szCs w:val="20"/>
        </w:rPr>
      </w:pPr>
      <w:r w:rsidRPr="000C6C65">
        <w:rPr>
          <w:rFonts w:ascii="Book Antiqua" w:hAnsi="Book Antiqua"/>
          <w:b/>
          <w:color w:val="000000"/>
          <w:sz w:val="20"/>
          <w:szCs w:val="20"/>
        </w:rPr>
        <w:t>Open-Access:</w:t>
      </w:r>
      <w:r w:rsidRPr="000C6C65">
        <w:rPr>
          <w:rFonts w:ascii="Book Antiqua" w:hAnsi="Book Antiqua"/>
          <w:color w:val="000000"/>
          <w:sz w:val="20"/>
          <w:szCs w:val="20"/>
        </w:rPr>
        <w:t xml:space="preserve"> This article is an open-access </w:t>
      </w:r>
      <w:r w:rsidRPr="000C6C65">
        <w:rPr>
          <w:rFonts w:ascii="Book Antiqua" w:hAnsi="Book Antiqua"/>
          <w:sz w:val="20"/>
          <w:szCs w:val="20"/>
        </w:rPr>
        <w:t xml:space="preserve">article that was selected </w:t>
      </w:r>
      <w:r w:rsidRPr="000C6C65">
        <w:rPr>
          <w:rFonts w:ascii="Book Antiqua" w:hAnsi="Book Antiqua"/>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A5608" w:rsidRPr="000C6C65" w:rsidRDefault="007A5608" w:rsidP="000C6C65">
      <w:pPr>
        <w:widowControl w:val="0"/>
        <w:adjustRightInd w:val="0"/>
        <w:snapToGrid w:val="0"/>
        <w:spacing w:line="360" w:lineRule="auto"/>
        <w:jc w:val="both"/>
        <w:rPr>
          <w:rFonts w:ascii="Book Antiqua" w:hAnsi="Book Antiqua" w:cs="等线"/>
          <w:b/>
          <w:bCs/>
          <w:sz w:val="20"/>
          <w:szCs w:val="20"/>
        </w:rPr>
      </w:pPr>
    </w:p>
    <w:p w:rsidR="007A5608" w:rsidRPr="000C6C65" w:rsidRDefault="007A5608" w:rsidP="000C6C65">
      <w:pPr>
        <w:widowControl w:val="0"/>
        <w:adjustRightInd w:val="0"/>
        <w:snapToGrid w:val="0"/>
        <w:spacing w:line="360" w:lineRule="auto"/>
        <w:jc w:val="both"/>
        <w:rPr>
          <w:rFonts w:ascii="Book Antiqua" w:hAnsi="Book Antiqua"/>
          <w:sz w:val="20"/>
          <w:szCs w:val="20"/>
        </w:rPr>
      </w:pPr>
      <w:r w:rsidRPr="000C6C65">
        <w:rPr>
          <w:rFonts w:ascii="Book Antiqua" w:hAnsi="Book Antiqua"/>
          <w:b/>
          <w:sz w:val="20"/>
          <w:szCs w:val="20"/>
        </w:rPr>
        <w:t>Manuscript source:</w:t>
      </w:r>
      <w:r w:rsidRPr="000C6C65">
        <w:rPr>
          <w:rFonts w:ascii="Book Antiqua" w:hAnsi="Book Antiqua"/>
          <w:sz w:val="20"/>
          <w:szCs w:val="20"/>
        </w:rPr>
        <w:t> Unsolicited manuscript</w:t>
      </w:r>
    </w:p>
    <w:p w:rsidR="007A5608" w:rsidRPr="000C6C65" w:rsidRDefault="007A5608" w:rsidP="000C6C65">
      <w:pPr>
        <w:widowControl w:val="0"/>
        <w:adjustRightInd w:val="0"/>
        <w:snapToGrid w:val="0"/>
        <w:spacing w:line="360" w:lineRule="auto"/>
        <w:jc w:val="both"/>
        <w:rPr>
          <w:rFonts w:ascii="Book Antiqua" w:hAnsi="Book Antiqua"/>
          <w:sz w:val="20"/>
          <w:szCs w:val="20"/>
        </w:rPr>
      </w:pPr>
    </w:p>
    <w:p w:rsidR="007A5608" w:rsidRPr="000C6C65" w:rsidRDefault="007A5608" w:rsidP="000C6C65">
      <w:pPr>
        <w:snapToGrid w:val="0"/>
        <w:spacing w:line="360" w:lineRule="auto"/>
        <w:jc w:val="both"/>
        <w:rPr>
          <w:rFonts w:ascii="Book Antiqua" w:hAnsi="Book Antiqua"/>
          <w:b/>
          <w:sz w:val="20"/>
          <w:szCs w:val="20"/>
        </w:rPr>
      </w:pPr>
      <w:r w:rsidRPr="000C6C65">
        <w:rPr>
          <w:rFonts w:ascii="Book Antiqua" w:hAnsi="Book Antiqua"/>
          <w:b/>
          <w:sz w:val="20"/>
          <w:szCs w:val="20"/>
        </w:rPr>
        <w:t>Peer-review started:</w:t>
      </w:r>
      <w:r w:rsidRPr="000C6C65">
        <w:rPr>
          <w:rFonts w:ascii="Book Antiqua" w:hAnsi="Book Antiqua"/>
          <w:sz w:val="20"/>
          <w:szCs w:val="20"/>
        </w:rPr>
        <w:t xml:space="preserve"> February 10, 2020</w:t>
      </w:r>
    </w:p>
    <w:p w:rsidR="007A5608" w:rsidRPr="000C6C65" w:rsidRDefault="007A5608" w:rsidP="000C6C65">
      <w:pPr>
        <w:snapToGrid w:val="0"/>
        <w:spacing w:line="360" w:lineRule="auto"/>
        <w:jc w:val="both"/>
        <w:rPr>
          <w:rFonts w:ascii="Book Antiqua" w:hAnsi="Book Antiqua"/>
          <w:b/>
          <w:sz w:val="20"/>
          <w:szCs w:val="20"/>
        </w:rPr>
      </w:pPr>
      <w:r w:rsidRPr="000C6C65">
        <w:rPr>
          <w:rFonts w:ascii="Book Antiqua" w:hAnsi="Book Antiqua"/>
          <w:b/>
          <w:sz w:val="20"/>
          <w:szCs w:val="20"/>
        </w:rPr>
        <w:t>First decision:</w:t>
      </w:r>
      <w:r w:rsidRPr="000C6C65">
        <w:rPr>
          <w:rFonts w:ascii="Book Antiqua" w:hAnsi="Book Antiqua"/>
          <w:sz w:val="20"/>
          <w:szCs w:val="20"/>
        </w:rPr>
        <w:t xml:space="preserve"> March 5, 2020</w:t>
      </w:r>
    </w:p>
    <w:p w:rsidR="007A5608" w:rsidRPr="000C6C65" w:rsidRDefault="007A5608" w:rsidP="000C6C65">
      <w:pPr>
        <w:snapToGrid w:val="0"/>
        <w:spacing w:line="360" w:lineRule="auto"/>
        <w:jc w:val="both"/>
        <w:rPr>
          <w:rFonts w:ascii="Book Antiqua" w:hAnsi="Book Antiqua"/>
          <w:sz w:val="20"/>
          <w:szCs w:val="20"/>
        </w:rPr>
      </w:pPr>
      <w:r w:rsidRPr="000C6C65">
        <w:rPr>
          <w:rFonts w:ascii="Book Antiqua" w:hAnsi="Book Antiqua"/>
          <w:b/>
          <w:sz w:val="20"/>
          <w:szCs w:val="20"/>
        </w:rPr>
        <w:t>Article in press:</w:t>
      </w:r>
      <w:r w:rsidRPr="000C6C65">
        <w:rPr>
          <w:rFonts w:ascii="Book Antiqua" w:hAnsi="Book Antiqua"/>
          <w:sz w:val="20"/>
          <w:szCs w:val="20"/>
        </w:rPr>
        <w:t xml:space="preserve"> </w:t>
      </w:r>
      <w:r w:rsidR="0066160C" w:rsidRPr="000C6C65">
        <w:rPr>
          <w:rFonts w:ascii="Book Antiqua" w:hAnsi="Book Antiqua"/>
          <w:bCs/>
          <w:sz w:val="20"/>
          <w:szCs w:val="20"/>
        </w:rPr>
        <w:t>April 17, 2020</w:t>
      </w:r>
    </w:p>
    <w:p w:rsidR="007A5608" w:rsidRPr="000C6C65" w:rsidRDefault="007A5608" w:rsidP="000C6C65">
      <w:pPr>
        <w:snapToGrid w:val="0"/>
        <w:spacing w:line="360" w:lineRule="auto"/>
        <w:jc w:val="both"/>
        <w:rPr>
          <w:rFonts w:ascii="Book Antiqua" w:hAnsi="Book Antiqua"/>
          <w:sz w:val="20"/>
          <w:szCs w:val="20"/>
        </w:rPr>
      </w:pPr>
    </w:p>
    <w:p w:rsidR="007A5608" w:rsidRPr="000C6C65" w:rsidRDefault="007A5608" w:rsidP="000C6C65">
      <w:pPr>
        <w:snapToGrid w:val="0"/>
        <w:spacing w:line="360" w:lineRule="auto"/>
        <w:jc w:val="both"/>
        <w:rPr>
          <w:rFonts w:ascii="Book Antiqua" w:hAnsi="Book Antiqua" w:cs="Helvetica"/>
          <w:b/>
          <w:sz w:val="20"/>
          <w:szCs w:val="20"/>
        </w:rPr>
      </w:pPr>
      <w:r w:rsidRPr="000C6C65">
        <w:rPr>
          <w:rFonts w:ascii="Book Antiqua" w:hAnsi="Book Antiqua" w:cs="Helvetica"/>
          <w:b/>
          <w:sz w:val="20"/>
          <w:szCs w:val="20"/>
        </w:rPr>
        <w:t xml:space="preserve">Specialty type: </w:t>
      </w:r>
      <w:r w:rsidRPr="000C6C65">
        <w:rPr>
          <w:rFonts w:ascii="Book Antiqua" w:eastAsia="微软雅黑" w:hAnsi="Book Antiqua"/>
          <w:sz w:val="20"/>
          <w:szCs w:val="20"/>
        </w:rPr>
        <w:t>Medicine, research and experimental</w:t>
      </w:r>
    </w:p>
    <w:p w:rsidR="007A5608" w:rsidRPr="000C6C65" w:rsidRDefault="007A5608" w:rsidP="000C6C65">
      <w:pPr>
        <w:snapToGrid w:val="0"/>
        <w:spacing w:line="360" w:lineRule="auto"/>
        <w:jc w:val="both"/>
        <w:rPr>
          <w:rFonts w:ascii="Book Antiqua" w:hAnsi="Book Antiqua" w:cs="Helvetica"/>
          <w:b/>
          <w:sz w:val="20"/>
          <w:szCs w:val="20"/>
        </w:rPr>
      </w:pPr>
      <w:r w:rsidRPr="000C6C65">
        <w:rPr>
          <w:rFonts w:ascii="Book Antiqua" w:hAnsi="Book Antiqua"/>
          <w:b/>
          <w:sz w:val="20"/>
          <w:szCs w:val="20"/>
        </w:rPr>
        <w:t>Country/Territory</w:t>
      </w:r>
      <w:r w:rsidRPr="000C6C65">
        <w:rPr>
          <w:rFonts w:ascii="Book Antiqua" w:hAnsi="Book Antiqua" w:cs="Helvetica"/>
          <w:b/>
          <w:sz w:val="20"/>
          <w:szCs w:val="20"/>
        </w:rPr>
        <w:t xml:space="preserve"> of origin: </w:t>
      </w:r>
      <w:r w:rsidRPr="000C6C65">
        <w:rPr>
          <w:rFonts w:ascii="Book Antiqua" w:hAnsi="Book Antiqua"/>
          <w:sz w:val="20"/>
          <w:szCs w:val="20"/>
        </w:rPr>
        <w:t>China</w:t>
      </w:r>
    </w:p>
    <w:p w:rsidR="007A5608" w:rsidRPr="000C6C65" w:rsidRDefault="007A5608" w:rsidP="000C6C65">
      <w:pPr>
        <w:widowControl w:val="0"/>
        <w:adjustRightInd w:val="0"/>
        <w:snapToGrid w:val="0"/>
        <w:spacing w:line="360" w:lineRule="auto"/>
        <w:jc w:val="both"/>
        <w:rPr>
          <w:rFonts w:ascii="Book Antiqua" w:hAnsi="Book Antiqua"/>
          <w:b/>
          <w:sz w:val="20"/>
          <w:szCs w:val="20"/>
        </w:rPr>
      </w:pPr>
      <w:r w:rsidRPr="000C6C65">
        <w:rPr>
          <w:rFonts w:ascii="Book Antiqua" w:hAnsi="Book Antiqua"/>
          <w:b/>
          <w:sz w:val="20"/>
          <w:szCs w:val="20"/>
        </w:rPr>
        <w:t>Peer-review report’s scientific quality classification</w:t>
      </w:r>
    </w:p>
    <w:p w:rsidR="007A5608" w:rsidRPr="000C6C65" w:rsidRDefault="007A5608" w:rsidP="000C6C65">
      <w:pPr>
        <w:snapToGrid w:val="0"/>
        <w:spacing w:line="360" w:lineRule="auto"/>
        <w:jc w:val="both"/>
        <w:rPr>
          <w:rFonts w:ascii="Book Antiqua" w:hAnsi="Book Antiqua" w:cs="Helvetica"/>
          <w:sz w:val="20"/>
          <w:szCs w:val="20"/>
        </w:rPr>
      </w:pPr>
      <w:r w:rsidRPr="000C6C65">
        <w:rPr>
          <w:rFonts w:ascii="Book Antiqua" w:hAnsi="Book Antiqua" w:cs="Helvetica"/>
          <w:sz w:val="20"/>
          <w:szCs w:val="20"/>
        </w:rPr>
        <w:t>Grade A (Excellent): 0</w:t>
      </w:r>
    </w:p>
    <w:p w:rsidR="007A5608" w:rsidRPr="000C6C65" w:rsidRDefault="007A5608" w:rsidP="000C6C65">
      <w:pPr>
        <w:snapToGrid w:val="0"/>
        <w:spacing w:line="360" w:lineRule="auto"/>
        <w:jc w:val="both"/>
        <w:rPr>
          <w:rFonts w:ascii="Book Antiqua" w:hAnsi="Book Antiqua" w:cs="Helvetica"/>
          <w:sz w:val="20"/>
          <w:szCs w:val="20"/>
        </w:rPr>
      </w:pPr>
      <w:r w:rsidRPr="000C6C65">
        <w:rPr>
          <w:rFonts w:ascii="Book Antiqua" w:hAnsi="Book Antiqua" w:cs="Helvetica"/>
          <w:sz w:val="20"/>
          <w:szCs w:val="20"/>
        </w:rPr>
        <w:t>Grade B (Very good): 0</w:t>
      </w:r>
    </w:p>
    <w:p w:rsidR="007A5608" w:rsidRPr="000C6C65" w:rsidRDefault="007A5608" w:rsidP="000C6C65">
      <w:pPr>
        <w:snapToGrid w:val="0"/>
        <w:spacing w:line="360" w:lineRule="auto"/>
        <w:jc w:val="both"/>
        <w:rPr>
          <w:rFonts w:ascii="Book Antiqua" w:hAnsi="Book Antiqua" w:cs="Helvetica"/>
          <w:sz w:val="20"/>
          <w:szCs w:val="20"/>
        </w:rPr>
      </w:pPr>
      <w:r w:rsidRPr="000C6C65">
        <w:rPr>
          <w:rFonts w:ascii="Book Antiqua" w:hAnsi="Book Antiqua" w:cs="Helvetica"/>
          <w:sz w:val="20"/>
          <w:szCs w:val="20"/>
        </w:rPr>
        <w:t>Grade C (Good): C, C</w:t>
      </w:r>
    </w:p>
    <w:p w:rsidR="007A5608" w:rsidRPr="000C6C65" w:rsidRDefault="007A5608" w:rsidP="000C6C65">
      <w:pPr>
        <w:snapToGrid w:val="0"/>
        <w:spacing w:line="360" w:lineRule="auto"/>
        <w:jc w:val="both"/>
        <w:rPr>
          <w:rFonts w:ascii="Book Antiqua" w:hAnsi="Book Antiqua" w:cs="Helvetica"/>
          <w:sz w:val="20"/>
          <w:szCs w:val="20"/>
        </w:rPr>
      </w:pPr>
      <w:r w:rsidRPr="000C6C65">
        <w:rPr>
          <w:rFonts w:ascii="Book Antiqua" w:hAnsi="Book Antiqua" w:cs="Helvetica"/>
          <w:sz w:val="20"/>
          <w:szCs w:val="20"/>
        </w:rPr>
        <w:t xml:space="preserve">Grade D (Fair): 0 </w:t>
      </w:r>
    </w:p>
    <w:p w:rsidR="007A5608" w:rsidRPr="000C6C65" w:rsidRDefault="007A5608" w:rsidP="000C6C65">
      <w:pPr>
        <w:snapToGrid w:val="0"/>
        <w:spacing w:line="360" w:lineRule="auto"/>
        <w:jc w:val="both"/>
        <w:rPr>
          <w:rFonts w:ascii="Book Antiqua" w:hAnsi="Book Antiqua" w:cs="Calibri"/>
          <w:sz w:val="20"/>
          <w:szCs w:val="20"/>
        </w:rPr>
      </w:pPr>
      <w:r w:rsidRPr="000C6C65">
        <w:rPr>
          <w:rFonts w:ascii="Book Antiqua" w:hAnsi="Book Antiqua" w:cs="Helvetica"/>
          <w:sz w:val="20"/>
          <w:szCs w:val="20"/>
        </w:rPr>
        <w:t>Grade E (Poor): 0</w:t>
      </w:r>
    </w:p>
    <w:p w:rsidR="007A5608" w:rsidRPr="000C6C65" w:rsidRDefault="007A5608" w:rsidP="000C6C65">
      <w:pPr>
        <w:pStyle w:val="-11"/>
        <w:snapToGrid w:val="0"/>
        <w:spacing w:line="360" w:lineRule="auto"/>
        <w:ind w:firstLine="400"/>
        <w:rPr>
          <w:rFonts w:ascii="Book Antiqua" w:hAnsi="Book Antiqua" w:cs="Calibri"/>
          <w:sz w:val="20"/>
          <w:szCs w:val="20"/>
        </w:rPr>
      </w:pPr>
    </w:p>
    <w:p w:rsidR="007A5608" w:rsidRPr="000C6C65" w:rsidRDefault="007A5608" w:rsidP="000C6C65">
      <w:pPr>
        <w:pStyle w:val="af0"/>
        <w:snapToGrid w:val="0"/>
        <w:spacing w:line="360" w:lineRule="auto"/>
        <w:ind w:right="120"/>
        <w:rPr>
          <w:rFonts w:ascii="Book Antiqua" w:hAnsi="Book Antiqua"/>
          <w:b/>
          <w:sz w:val="20"/>
          <w:szCs w:val="20"/>
        </w:rPr>
      </w:pPr>
      <w:r w:rsidRPr="000C6C65">
        <w:rPr>
          <w:rFonts w:ascii="Book Antiqua" w:hAnsi="Book Antiqua"/>
          <w:b/>
          <w:sz w:val="20"/>
          <w:szCs w:val="20"/>
        </w:rPr>
        <w:t xml:space="preserve">P-Reviewer: </w:t>
      </w:r>
      <w:r w:rsidRPr="000C6C65">
        <w:rPr>
          <w:rFonts w:ascii="Book Antiqua" w:hAnsi="Book Antiqua"/>
          <w:color w:val="000000"/>
          <w:sz w:val="20"/>
          <w:szCs w:val="20"/>
        </w:rPr>
        <w:t xml:space="preserve">Cure E, Iijima S </w:t>
      </w:r>
      <w:r w:rsidRPr="000C6C65">
        <w:rPr>
          <w:rFonts w:ascii="Book Antiqua" w:hAnsi="Book Antiqua"/>
          <w:b/>
          <w:sz w:val="20"/>
          <w:szCs w:val="20"/>
        </w:rPr>
        <w:t xml:space="preserve">S-Editor: </w:t>
      </w:r>
      <w:r w:rsidRPr="000C6C65">
        <w:rPr>
          <w:rFonts w:ascii="Book Antiqua" w:hAnsi="Book Antiqua"/>
          <w:bCs/>
          <w:sz w:val="20"/>
          <w:szCs w:val="20"/>
        </w:rPr>
        <w:t>Dou Y</w:t>
      </w:r>
      <w:r w:rsidRPr="000C6C65">
        <w:rPr>
          <w:rFonts w:ascii="Book Antiqua" w:hAnsi="Book Antiqua"/>
          <w:b/>
          <w:sz w:val="20"/>
          <w:szCs w:val="20"/>
        </w:rPr>
        <w:t xml:space="preserve"> L-Editor: </w:t>
      </w:r>
      <w:r w:rsidR="009C12B3" w:rsidRPr="000C6C65">
        <w:rPr>
          <w:rFonts w:ascii="Book Antiqua" w:hAnsi="Book Antiqua"/>
          <w:sz w:val="20"/>
          <w:szCs w:val="20"/>
        </w:rPr>
        <w:t xml:space="preserve">Filipodia </w:t>
      </w:r>
      <w:r w:rsidRPr="000C6C65">
        <w:rPr>
          <w:rFonts w:ascii="Book Antiqua" w:hAnsi="Book Antiqua"/>
          <w:b/>
          <w:sz w:val="20"/>
          <w:szCs w:val="20"/>
        </w:rPr>
        <w:t xml:space="preserve">E-Editor: </w:t>
      </w:r>
      <w:r w:rsidR="0066160C" w:rsidRPr="0066160C">
        <w:rPr>
          <w:rFonts w:ascii="Book Antiqua" w:hAnsi="Book Antiqua" w:hint="eastAsia"/>
          <w:sz w:val="20"/>
          <w:szCs w:val="20"/>
        </w:rPr>
        <w:t>Liu MY</w:t>
      </w:r>
    </w:p>
    <w:p w:rsidR="007A5608" w:rsidRPr="000C6C65" w:rsidRDefault="001A61BA" w:rsidP="000C6C65">
      <w:pPr>
        <w:adjustRightInd w:val="0"/>
        <w:snapToGrid w:val="0"/>
        <w:spacing w:line="360" w:lineRule="auto"/>
        <w:jc w:val="both"/>
        <w:rPr>
          <w:rFonts w:ascii="Book Antiqua" w:hAnsi="Book Antiqua"/>
          <w:b/>
          <w:sz w:val="20"/>
          <w:szCs w:val="20"/>
        </w:rPr>
      </w:pPr>
      <w:r w:rsidRPr="000C6C65">
        <w:rPr>
          <w:rFonts w:ascii="Book Antiqua" w:hAnsi="Book Antiqua"/>
          <w:sz w:val="20"/>
          <w:szCs w:val="20"/>
        </w:rPr>
        <w:br w:type="page"/>
      </w:r>
      <w:r w:rsidR="007A5608" w:rsidRPr="000C6C65">
        <w:rPr>
          <w:rFonts w:ascii="Book Antiqua" w:hAnsi="Book Antiqua"/>
          <w:b/>
          <w:sz w:val="20"/>
          <w:szCs w:val="20"/>
        </w:rPr>
        <w:t>Figure Legends</w:t>
      </w:r>
    </w:p>
    <w:p w:rsidR="001A61BA" w:rsidRPr="000C6C65" w:rsidRDefault="004E642D" w:rsidP="000C6C65">
      <w:pPr>
        <w:snapToGrid w:val="0"/>
        <w:spacing w:line="360" w:lineRule="auto"/>
        <w:jc w:val="both"/>
        <w:rPr>
          <w:rFonts w:ascii="Book Antiqua" w:eastAsia="微软雅黑" w:hAnsi="Book Antiqua" w:cs="Times New Roman"/>
          <w:color w:val="000000"/>
          <w:sz w:val="20"/>
          <w:szCs w:val="20"/>
        </w:rPr>
      </w:pPr>
      <w:r>
        <w:rPr>
          <w:rFonts w:ascii="Book Antiqua" w:eastAsia="微软雅黑" w:hAnsi="Book Antiqua" w:cs="Times New Roman" w:hint="eastAsia"/>
          <w:noProof/>
          <w:color w:val="000000"/>
          <w:sz w:val="20"/>
          <w:szCs w:val="20"/>
        </w:rPr>
        <w:drawing>
          <wp:inline distT="0" distB="0" distL="0" distR="0">
            <wp:extent cx="5269230" cy="1771650"/>
            <wp:effectExtent l="0" t="0" r="7620" b="0"/>
            <wp:docPr id="1" name="图片 2"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i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9230" cy="1771650"/>
                    </a:xfrm>
                    <a:prstGeom prst="rect">
                      <a:avLst/>
                    </a:prstGeom>
                    <a:noFill/>
                    <a:ln>
                      <a:noFill/>
                    </a:ln>
                  </pic:spPr>
                </pic:pic>
              </a:graphicData>
            </a:graphic>
          </wp:inline>
        </w:drawing>
      </w:r>
    </w:p>
    <w:p w:rsidR="001A61BA" w:rsidRPr="000C6C65" w:rsidRDefault="001A61BA" w:rsidP="000C6C65">
      <w:pPr>
        <w:snapToGrid w:val="0"/>
        <w:spacing w:line="360" w:lineRule="auto"/>
        <w:jc w:val="both"/>
        <w:rPr>
          <w:rFonts w:ascii="Book Antiqua" w:eastAsia="微软雅黑" w:hAnsi="Book Antiqua" w:cs="Times New Roman"/>
          <w:color w:val="000000"/>
          <w:sz w:val="20"/>
          <w:szCs w:val="20"/>
        </w:rPr>
      </w:pPr>
      <w:r w:rsidRPr="000C6C65">
        <w:rPr>
          <w:rFonts w:ascii="Book Antiqua" w:eastAsia="Malgun Gothic" w:hAnsi="Book Antiqua" w:cs="Times New Roman"/>
          <w:b/>
          <w:bCs/>
          <w:color w:val="000000"/>
          <w:sz w:val="20"/>
          <w:szCs w:val="20"/>
          <w:lang w:bidi="ar"/>
        </w:rPr>
        <w:t>Fig</w:t>
      </w:r>
      <w:r w:rsidR="007A5608" w:rsidRPr="000C6C65">
        <w:rPr>
          <w:rFonts w:ascii="Book Antiqua" w:eastAsia="Malgun Gothic" w:hAnsi="Book Antiqua" w:cs="Times New Roman"/>
          <w:b/>
          <w:bCs/>
          <w:color w:val="000000"/>
          <w:sz w:val="20"/>
          <w:szCs w:val="20"/>
          <w:lang w:bidi="ar"/>
        </w:rPr>
        <w:t>ure</w:t>
      </w:r>
      <w:r w:rsidRPr="000C6C65">
        <w:rPr>
          <w:rFonts w:ascii="Book Antiqua" w:eastAsia="Malgun Gothic" w:hAnsi="Book Antiqua" w:cs="Times New Roman"/>
          <w:b/>
          <w:bCs/>
          <w:color w:val="000000"/>
          <w:sz w:val="20"/>
          <w:szCs w:val="20"/>
          <w:lang w:bidi="ar"/>
        </w:rPr>
        <w:t xml:space="preserve"> 1</w:t>
      </w:r>
      <w:r w:rsidRPr="000C6C65">
        <w:rPr>
          <w:rFonts w:ascii="Book Antiqua" w:eastAsia="Malgun Gothic" w:hAnsi="Book Antiqua" w:cs="Times New Roman"/>
          <w:color w:val="000000"/>
          <w:sz w:val="20"/>
          <w:szCs w:val="20"/>
          <w:lang w:bidi="ar"/>
        </w:rPr>
        <w:t xml:space="preserve"> </w:t>
      </w:r>
      <w:r w:rsidRPr="000C6C65">
        <w:rPr>
          <w:rFonts w:ascii="Book Antiqua" w:eastAsia="Malgun Gothic" w:hAnsi="Book Antiqua" w:cs="Times New Roman"/>
          <w:b/>
          <w:bCs/>
          <w:color w:val="000000"/>
          <w:sz w:val="20"/>
          <w:szCs w:val="20"/>
          <w:lang w:bidi="ar"/>
        </w:rPr>
        <w:t>Peripheral blood smear (×</w:t>
      </w:r>
      <w:r w:rsidR="007A5608" w:rsidRPr="000C6C65">
        <w:rPr>
          <w:rFonts w:ascii="Book Antiqua" w:eastAsia="Malgun Gothic" w:hAnsi="Book Antiqua" w:cs="Times New Roman"/>
          <w:b/>
          <w:bCs/>
          <w:color w:val="000000"/>
          <w:sz w:val="20"/>
          <w:szCs w:val="20"/>
          <w:lang w:bidi="ar"/>
        </w:rPr>
        <w:t xml:space="preserve"> </w:t>
      </w:r>
      <w:r w:rsidRPr="000C6C65">
        <w:rPr>
          <w:rFonts w:ascii="Book Antiqua" w:eastAsia="Malgun Gothic" w:hAnsi="Book Antiqua" w:cs="Times New Roman"/>
          <w:b/>
          <w:bCs/>
          <w:color w:val="000000"/>
          <w:sz w:val="20"/>
          <w:szCs w:val="20"/>
          <w:lang w:bidi="ar"/>
        </w:rPr>
        <w:t>1000).</w:t>
      </w:r>
      <w:r w:rsidRPr="000C6C65">
        <w:rPr>
          <w:rFonts w:ascii="Book Antiqua" w:eastAsia="Malgun Gothic" w:hAnsi="Book Antiqua" w:cs="Times New Roman"/>
          <w:color w:val="000000"/>
          <w:sz w:val="20"/>
          <w:szCs w:val="20"/>
          <w:lang w:bidi="ar"/>
        </w:rPr>
        <w:t xml:space="preserve"> Few spherocytic red cells (black arrow) appear in the proband and his parents. Additionally, acanthocytes (blue arrow) are easily seen in the father, whose </w:t>
      </w:r>
      <w:r w:rsidR="0010145E" w:rsidRPr="000C6C65">
        <w:rPr>
          <w:rFonts w:ascii="Book Antiqua" w:eastAsia="Malgun Gothic" w:hAnsi="Book Antiqua" w:cs="Times New Roman"/>
          <w:color w:val="000000"/>
          <w:sz w:val="20"/>
          <w:szCs w:val="20"/>
          <w:lang w:bidi="ar"/>
        </w:rPr>
        <w:t>hereditary spherocytosis</w:t>
      </w:r>
      <w:r w:rsidRPr="000C6C65">
        <w:rPr>
          <w:rFonts w:ascii="Book Antiqua" w:eastAsia="Malgun Gothic" w:hAnsi="Book Antiqua" w:cs="Times New Roman"/>
          <w:color w:val="000000"/>
          <w:sz w:val="20"/>
          <w:szCs w:val="20"/>
          <w:lang w:bidi="ar"/>
        </w:rPr>
        <w:t xml:space="preserve"> genetic mutation (</w:t>
      </w:r>
      <w:r w:rsidRPr="000C6C65">
        <w:rPr>
          <w:rFonts w:ascii="Book Antiqua" w:eastAsia="Malgun Gothic" w:hAnsi="Book Antiqua" w:cs="Times New Roman"/>
          <w:i/>
          <w:iCs/>
          <w:color w:val="000000"/>
          <w:sz w:val="20"/>
          <w:szCs w:val="20"/>
          <w:lang w:bidi="ar"/>
        </w:rPr>
        <w:t>ANK1</w:t>
      </w:r>
      <w:r w:rsidRPr="000C6C65">
        <w:rPr>
          <w:rFonts w:ascii="Book Antiqua" w:eastAsia="Malgun Gothic" w:hAnsi="Book Antiqua" w:cs="Times New Roman"/>
          <w:color w:val="000000"/>
          <w:sz w:val="20"/>
          <w:szCs w:val="20"/>
          <w:lang w:bidi="ar"/>
        </w:rPr>
        <w:t xml:space="preserve"> c.925A</w:t>
      </w:r>
      <w:r w:rsidR="00E6646C" w:rsidRPr="000C6C65">
        <w:rPr>
          <w:rFonts w:ascii="Book Antiqua" w:eastAsia="BaskervilleNo2BT-Roman" w:hAnsi="Book Antiqua" w:cs="Times New Roman"/>
          <w:sz w:val="20"/>
          <w:szCs w:val="20"/>
        </w:rPr>
        <w:t>＞</w:t>
      </w:r>
      <w:r w:rsidRPr="000C6C65">
        <w:rPr>
          <w:rFonts w:ascii="Book Antiqua" w:eastAsia="Malgun Gothic" w:hAnsi="Book Antiqua" w:cs="Times New Roman"/>
          <w:color w:val="000000"/>
          <w:sz w:val="20"/>
          <w:szCs w:val="20"/>
          <w:lang w:bidi="ar"/>
        </w:rPr>
        <w:t>G) is different from the proband (</w:t>
      </w:r>
      <w:r w:rsidRPr="000C6C65">
        <w:rPr>
          <w:rFonts w:ascii="Book Antiqua" w:eastAsia="Malgun Gothic" w:hAnsi="Book Antiqua" w:cs="Times New Roman"/>
          <w:i/>
          <w:iCs/>
          <w:color w:val="000000"/>
          <w:sz w:val="20"/>
          <w:szCs w:val="20"/>
          <w:lang w:bidi="ar"/>
        </w:rPr>
        <w:t>ANK1</w:t>
      </w:r>
      <w:r w:rsidRPr="000C6C65">
        <w:rPr>
          <w:rFonts w:ascii="Book Antiqua" w:eastAsia="Malgun Gothic" w:hAnsi="Book Antiqua" w:cs="Times New Roman"/>
          <w:color w:val="000000"/>
          <w:sz w:val="20"/>
          <w:szCs w:val="20"/>
          <w:lang w:bidi="ar"/>
        </w:rPr>
        <w:t xml:space="preserve"> </w:t>
      </w:r>
      <w:r w:rsidR="007A5608" w:rsidRPr="000C6C65">
        <w:rPr>
          <w:rFonts w:ascii="Book Antiqua" w:eastAsia="Malgun Gothic" w:hAnsi="Book Antiqua" w:cs="Times New Roman"/>
          <w:color w:val="000000"/>
          <w:sz w:val="20"/>
          <w:szCs w:val="20"/>
          <w:lang w:bidi="ar"/>
        </w:rPr>
        <w:t>c</w:t>
      </w:r>
      <w:r w:rsidRPr="000C6C65">
        <w:rPr>
          <w:rFonts w:ascii="Book Antiqua" w:eastAsia="Malgun Gothic" w:hAnsi="Book Antiqua" w:cs="Times New Roman"/>
          <w:color w:val="000000"/>
          <w:sz w:val="20"/>
          <w:szCs w:val="20"/>
          <w:lang w:bidi="ar"/>
        </w:rPr>
        <w:t>.1801-17G</w:t>
      </w:r>
      <w:r w:rsidR="00E6646C" w:rsidRPr="000C6C65">
        <w:rPr>
          <w:rFonts w:ascii="Book Antiqua" w:eastAsia="BaskervilleNo2BT-Roman" w:hAnsi="Book Antiqua" w:cs="Times New Roman"/>
          <w:sz w:val="20"/>
          <w:szCs w:val="20"/>
        </w:rPr>
        <w:t>＞</w:t>
      </w:r>
      <w:r w:rsidRPr="000C6C65">
        <w:rPr>
          <w:rFonts w:ascii="Book Antiqua" w:eastAsia="Malgun Gothic" w:hAnsi="Book Antiqua" w:cs="Times New Roman"/>
          <w:color w:val="000000"/>
          <w:sz w:val="20"/>
          <w:szCs w:val="20"/>
          <w:lang w:bidi="ar"/>
        </w:rPr>
        <w:t>A) and the mother (</w:t>
      </w:r>
      <w:r w:rsidRPr="000C6C65">
        <w:rPr>
          <w:rFonts w:ascii="Book Antiqua" w:eastAsia="Malgun Gothic" w:hAnsi="Book Antiqua" w:cs="Times New Roman"/>
          <w:i/>
          <w:iCs/>
          <w:color w:val="000000"/>
          <w:sz w:val="20"/>
          <w:szCs w:val="20"/>
          <w:lang w:bidi="ar"/>
        </w:rPr>
        <w:t>ANK1</w:t>
      </w:r>
      <w:r w:rsidRPr="000C6C65">
        <w:rPr>
          <w:rFonts w:ascii="Book Antiqua" w:eastAsia="Malgun Gothic" w:hAnsi="Book Antiqua" w:cs="Times New Roman"/>
          <w:color w:val="000000"/>
          <w:sz w:val="20"/>
          <w:szCs w:val="20"/>
          <w:lang w:bidi="ar"/>
        </w:rPr>
        <w:t xml:space="preserve"> c.1801-17G</w:t>
      </w:r>
      <w:r w:rsidR="00E6646C" w:rsidRPr="000C6C65">
        <w:rPr>
          <w:rFonts w:ascii="Book Antiqua" w:eastAsia="BaskervilleNo2BT-Roman" w:hAnsi="Book Antiqua" w:cs="Times New Roman"/>
          <w:sz w:val="20"/>
          <w:szCs w:val="20"/>
        </w:rPr>
        <w:t>＞</w:t>
      </w:r>
      <w:r w:rsidRPr="000C6C65">
        <w:rPr>
          <w:rFonts w:ascii="Book Antiqua" w:eastAsia="Malgun Gothic" w:hAnsi="Book Antiqua" w:cs="Times New Roman"/>
          <w:color w:val="000000"/>
          <w:sz w:val="20"/>
          <w:szCs w:val="20"/>
          <w:lang w:bidi="ar"/>
        </w:rPr>
        <w:t>A).</w:t>
      </w:r>
    </w:p>
    <w:p w:rsidR="007A5608" w:rsidRPr="000C6C65" w:rsidRDefault="007A5608" w:rsidP="000C6C65">
      <w:pPr>
        <w:snapToGrid w:val="0"/>
        <w:spacing w:line="360" w:lineRule="auto"/>
        <w:jc w:val="both"/>
        <w:rPr>
          <w:rFonts w:ascii="Book Antiqua" w:eastAsia="微软雅黑" w:hAnsi="Book Antiqua" w:cs="Arial"/>
          <w:b/>
          <w:bCs/>
          <w:color w:val="000000"/>
          <w:sz w:val="20"/>
          <w:szCs w:val="20"/>
          <w:shd w:val="clear" w:color="auto" w:fill="FFFFFF"/>
        </w:rPr>
      </w:pPr>
      <w:r w:rsidRPr="000C6C65">
        <w:rPr>
          <w:rFonts w:ascii="Book Antiqua" w:eastAsia="微软雅黑" w:hAnsi="Book Antiqua" w:cs="Times New Roman"/>
          <w:color w:val="000000"/>
          <w:sz w:val="20"/>
          <w:szCs w:val="20"/>
        </w:rPr>
        <w:br w:type="page"/>
      </w:r>
      <w:r w:rsidR="00F91833" w:rsidRPr="000C6C65">
        <w:rPr>
          <w:rFonts w:ascii="Book Antiqua" w:eastAsia="微软雅黑" w:hAnsi="Book Antiqua" w:cs="Arial"/>
          <w:b/>
          <w:bCs/>
          <w:color w:val="000000"/>
          <w:sz w:val="20"/>
          <w:szCs w:val="20"/>
          <w:shd w:val="clear" w:color="auto" w:fill="FFFFFF"/>
        </w:rPr>
        <w:t>Table 1 Laboratory data at presentation (case</w:t>
      </w:r>
      <w:r w:rsidR="009D13F1" w:rsidRPr="000C6C65">
        <w:rPr>
          <w:rFonts w:ascii="Book Antiqua" w:eastAsia="微软雅黑" w:hAnsi="Book Antiqua" w:cs="Arial"/>
          <w:b/>
          <w:bCs/>
          <w:color w:val="000000"/>
          <w:sz w:val="20"/>
          <w:szCs w:val="20"/>
          <w:shd w:val="clear" w:color="auto" w:fill="FFFFFF"/>
        </w:rPr>
        <w:t>s</w:t>
      </w:r>
      <w:r w:rsidR="00F91833" w:rsidRPr="000C6C65">
        <w:rPr>
          <w:rFonts w:ascii="Book Antiqua" w:eastAsia="微软雅黑" w:hAnsi="Book Antiqua" w:cs="Arial"/>
          <w:b/>
          <w:bCs/>
          <w:color w:val="000000"/>
          <w:sz w:val="20"/>
          <w:szCs w:val="20"/>
          <w:shd w:val="clear" w:color="auto" w:fill="FFFFFF"/>
        </w:rPr>
        <w:t xml:space="preserve"> </w:t>
      </w:r>
      <w:r w:rsidR="00F91833" w:rsidRPr="000C6C65">
        <w:rPr>
          <w:rFonts w:ascii="Book Antiqua" w:eastAsia="微软雅黑" w:hAnsi="Book Antiqua" w:cs="Times New Roman"/>
          <w:b/>
          <w:bCs/>
          <w:color w:val="000000"/>
          <w:sz w:val="20"/>
          <w:szCs w:val="20"/>
          <w:shd w:val="clear" w:color="auto" w:fill="FFFFFF"/>
        </w:rPr>
        <w:t>1 and 2</w:t>
      </w:r>
      <w:r w:rsidR="00F91833" w:rsidRPr="000C6C65">
        <w:rPr>
          <w:rFonts w:ascii="Book Antiqua" w:eastAsia="微软雅黑" w:hAnsi="Book Antiqua" w:cs="Arial"/>
          <w:b/>
          <w:bCs/>
          <w:color w:val="000000"/>
          <w:sz w:val="20"/>
          <w:szCs w:val="20"/>
          <w:shd w:val="clear" w:color="auto" w:fill="FFFFFF"/>
        </w:rPr>
        <w:t>)</w:t>
      </w:r>
    </w:p>
    <w:tbl>
      <w:tblPr>
        <w:tblW w:w="0" w:type="auto"/>
        <w:tblBorders>
          <w:top w:val="single" w:sz="4" w:space="0" w:color="auto"/>
          <w:bottom w:val="single" w:sz="4" w:space="0" w:color="auto"/>
        </w:tblBorders>
        <w:tblLook w:val="04A0" w:firstRow="1" w:lastRow="0" w:firstColumn="1" w:lastColumn="0" w:noHBand="0" w:noVBand="1"/>
      </w:tblPr>
      <w:tblGrid>
        <w:gridCol w:w="2130"/>
        <w:gridCol w:w="2130"/>
        <w:gridCol w:w="2794"/>
        <w:gridCol w:w="1468"/>
      </w:tblGrid>
      <w:tr w:rsidR="00F91833" w:rsidRPr="000C6C65" w:rsidTr="003B2ABC">
        <w:tc>
          <w:tcPr>
            <w:tcW w:w="2130" w:type="dxa"/>
            <w:tcBorders>
              <w:top w:val="single" w:sz="4" w:space="0" w:color="auto"/>
              <w:bottom w:val="single" w:sz="4" w:space="0" w:color="auto"/>
            </w:tcBorders>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b/>
                <w:bCs/>
                <w:color w:val="000000"/>
                <w:sz w:val="20"/>
                <w:szCs w:val="20"/>
              </w:rPr>
            </w:pPr>
            <w:r w:rsidRPr="000C6C65">
              <w:rPr>
                <w:rFonts w:ascii="Book Antiqua" w:eastAsia="微软雅黑" w:hAnsi="Book Antiqua" w:cs="Arial"/>
                <w:b/>
                <w:bCs/>
                <w:color w:val="000000"/>
                <w:sz w:val="20"/>
                <w:szCs w:val="20"/>
                <w:shd w:val="clear" w:color="auto" w:fill="FFFFFF"/>
              </w:rPr>
              <w:t>Variable</w:t>
            </w:r>
          </w:p>
        </w:tc>
        <w:tc>
          <w:tcPr>
            <w:tcW w:w="2130" w:type="dxa"/>
            <w:tcBorders>
              <w:top w:val="single" w:sz="4" w:space="0" w:color="auto"/>
              <w:bottom w:val="single" w:sz="4" w:space="0" w:color="auto"/>
            </w:tcBorders>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b/>
                <w:color w:val="000000"/>
                <w:sz w:val="20"/>
                <w:szCs w:val="20"/>
                <w:shd w:val="clear" w:color="auto" w:fill="FFFFFF"/>
              </w:rPr>
              <w:t>Proband</w:t>
            </w:r>
          </w:p>
        </w:tc>
        <w:tc>
          <w:tcPr>
            <w:tcW w:w="2794" w:type="dxa"/>
            <w:tcBorders>
              <w:top w:val="single" w:sz="4" w:space="0" w:color="auto"/>
              <w:bottom w:val="single" w:sz="4" w:space="0" w:color="auto"/>
            </w:tcBorders>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b/>
                <w:color w:val="000000"/>
                <w:sz w:val="20"/>
                <w:szCs w:val="20"/>
                <w:shd w:val="clear" w:color="auto" w:fill="FFFFFF"/>
              </w:rPr>
              <w:t>Father</w:t>
            </w:r>
          </w:p>
        </w:tc>
        <w:tc>
          <w:tcPr>
            <w:tcW w:w="1468" w:type="dxa"/>
            <w:tcBorders>
              <w:top w:val="single" w:sz="4" w:space="0" w:color="auto"/>
              <w:bottom w:val="single" w:sz="4" w:space="0" w:color="auto"/>
            </w:tcBorders>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b/>
                <w:color w:val="000000"/>
                <w:sz w:val="20"/>
                <w:szCs w:val="20"/>
                <w:shd w:val="clear" w:color="auto" w:fill="FFFFFF"/>
              </w:rPr>
              <w:t>Mother</w:t>
            </w:r>
          </w:p>
        </w:tc>
      </w:tr>
      <w:tr w:rsidR="00F91833" w:rsidRPr="000C6C65" w:rsidTr="003B2ABC">
        <w:tc>
          <w:tcPr>
            <w:tcW w:w="2130" w:type="dxa"/>
            <w:tcBorders>
              <w:top w:val="single" w:sz="4" w:space="0" w:color="auto"/>
            </w:tcBorders>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sz w:val="20"/>
                <w:szCs w:val="20"/>
                <w:shd w:val="clear" w:color="auto" w:fill="FFFFFF"/>
              </w:rPr>
              <w:t>Age, yr</w:t>
            </w:r>
          </w:p>
        </w:tc>
        <w:tc>
          <w:tcPr>
            <w:tcW w:w="2130" w:type="dxa"/>
            <w:tcBorders>
              <w:top w:val="single" w:sz="4" w:space="0" w:color="auto"/>
            </w:tcBorders>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30.0</w:t>
            </w:r>
          </w:p>
        </w:tc>
        <w:tc>
          <w:tcPr>
            <w:tcW w:w="2794" w:type="dxa"/>
            <w:tcBorders>
              <w:top w:val="single" w:sz="4" w:space="0" w:color="auto"/>
            </w:tcBorders>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58.0</w:t>
            </w:r>
          </w:p>
        </w:tc>
        <w:tc>
          <w:tcPr>
            <w:tcW w:w="1468" w:type="dxa"/>
            <w:tcBorders>
              <w:top w:val="single" w:sz="4" w:space="0" w:color="auto"/>
            </w:tcBorders>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54.0</w:t>
            </w:r>
          </w:p>
        </w:tc>
      </w:tr>
      <w:tr w:rsidR="00F91833" w:rsidRPr="000C6C65" w:rsidTr="003B2AB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Hemoglobin, g/dL</w:t>
            </w:r>
          </w:p>
        </w:t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15.8</w:t>
            </w:r>
          </w:p>
        </w:tc>
        <w:tc>
          <w:tcPr>
            <w:tcW w:w="2794"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14.5</w:t>
            </w:r>
          </w:p>
        </w:tc>
        <w:tc>
          <w:tcPr>
            <w:tcW w:w="1468"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13.9</w:t>
            </w:r>
          </w:p>
        </w:tc>
      </w:tr>
      <w:tr w:rsidR="00F91833" w:rsidRPr="000C6C65" w:rsidTr="003B2AB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Reticulocyte</w:t>
            </w:r>
            <w:r w:rsidR="002D4BD7">
              <w:rPr>
                <w:rFonts w:ascii="Book Antiqua" w:eastAsia="微软雅黑" w:hAnsi="Book Antiqua" w:cs="Arial"/>
                <w:color w:val="000000"/>
                <w:sz w:val="20"/>
                <w:szCs w:val="20"/>
                <w:shd w:val="clear" w:color="auto" w:fill="FFFFFF"/>
              </w:rPr>
              <w:t>,</w:t>
            </w:r>
            <w:r w:rsidRPr="000C6C65">
              <w:rPr>
                <w:rFonts w:ascii="Book Antiqua" w:eastAsia="微软雅黑" w:hAnsi="Book Antiqua" w:cs="Arial"/>
                <w:color w:val="000000"/>
                <w:sz w:val="20"/>
                <w:szCs w:val="20"/>
                <w:shd w:val="clear" w:color="auto" w:fill="FFFFFF"/>
              </w:rPr>
              <w:t xml:space="preserve"> %</w:t>
            </w:r>
          </w:p>
        </w:t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7.17</w:t>
            </w:r>
          </w:p>
        </w:tc>
        <w:tc>
          <w:tcPr>
            <w:tcW w:w="2794"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2.03</w:t>
            </w:r>
          </w:p>
        </w:tc>
        <w:tc>
          <w:tcPr>
            <w:tcW w:w="1468"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3.82</w:t>
            </w:r>
          </w:p>
        </w:tc>
      </w:tr>
      <w:tr w:rsidR="00F91833" w:rsidRPr="000C6C65" w:rsidTr="003B2AB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sz w:val="20"/>
                <w:szCs w:val="20"/>
                <w:shd w:val="clear" w:color="auto" w:fill="FFFFFF"/>
              </w:rPr>
              <w:t>Blood smear</w:t>
            </w:r>
          </w:p>
        </w:t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Spherocytes</w:t>
            </w:r>
          </w:p>
        </w:tc>
        <w:tc>
          <w:tcPr>
            <w:tcW w:w="2794"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Arial"/>
                <w:color w:val="000000"/>
                <w:sz w:val="20"/>
                <w:szCs w:val="20"/>
                <w:shd w:val="clear" w:color="auto" w:fill="FFFFFF"/>
              </w:rPr>
            </w:pPr>
            <w:r w:rsidRPr="000C6C65">
              <w:rPr>
                <w:rFonts w:ascii="Book Antiqua" w:eastAsia="微软雅黑" w:hAnsi="Book Antiqua" w:cs="Arial"/>
                <w:color w:val="000000"/>
                <w:sz w:val="20"/>
                <w:szCs w:val="20"/>
                <w:shd w:val="clear" w:color="auto" w:fill="FFFFFF"/>
              </w:rPr>
              <w:t>Spherocytes, acanthocytes</w:t>
            </w:r>
          </w:p>
        </w:tc>
        <w:tc>
          <w:tcPr>
            <w:tcW w:w="1468"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Spherocytes</w:t>
            </w:r>
          </w:p>
        </w:tc>
      </w:tr>
      <w:tr w:rsidR="00F91833" w:rsidRPr="000C6C65" w:rsidTr="003B2AB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 xml:space="preserve">Total BIL, </w:t>
            </w:r>
            <w:r w:rsidRPr="000C6C65">
              <w:rPr>
                <w:rFonts w:ascii="Book Antiqua" w:eastAsia="微软雅黑" w:hAnsi="Book Antiqua" w:cs="Arial"/>
                <w:sz w:val="20"/>
                <w:szCs w:val="20"/>
              </w:rPr>
              <w:t>μmol/L</w:t>
            </w:r>
          </w:p>
        </w:t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56.6</w:t>
            </w:r>
          </w:p>
        </w:tc>
        <w:tc>
          <w:tcPr>
            <w:tcW w:w="2794"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22.1</w:t>
            </w:r>
          </w:p>
        </w:tc>
        <w:tc>
          <w:tcPr>
            <w:tcW w:w="1468"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12.5</w:t>
            </w:r>
          </w:p>
        </w:tc>
      </w:tr>
      <w:tr w:rsidR="00F91833" w:rsidRPr="000C6C65" w:rsidTr="003B2AB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 xml:space="preserve">Direct BIL, </w:t>
            </w:r>
            <w:r w:rsidRPr="000C6C65">
              <w:rPr>
                <w:rFonts w:ascii="Book Antiqua" w:eastAsia="微软雅黑" w:hAnsi="Book Antiqua" w:cs="Arial"/>
                <w:sz w:val="20"/>
                <w:szCs w:val="20"/>
              </w:rPr>
              <w:t>μmol/L</w:t>
            </w:r>
          </w:p>
        </w:t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9.9</w:t>
            </w:r>
          </w:p>
        </w:tc>
        <w:tc>
          <w:tcPr>
            <w:tcW w:w="2794"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3.4</w:t>
            </w:r>
          </w:p>
        </w:tc>
        <w:tc>
          <w:tcPr>
            <w:tcW w:w="1468"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2.6</w:t>
            </w:r>
          </w:p>
        </w:tc>
      </w:tr>
      <w:tr w:rsidR="00F91833" w:rsidRPr="000C6C65" w:rsidTr="003B2AB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Arial"/>
                <w:color w:val="000000"/>
                <w:sz w:val="20"/>
                <w:szCs w:val="20"/>
                <w:shd w:val="clear" w:color="auto" w:fill="FFFFFF"/>
              </w:rPr>
            </w:pPr>
            <w:r w:rsidRPr="000C6C65">
              <w:rPr>
                <w:rFonts w:ascii="Book Antiqua" w:eastAsia="微软雅黑" w:hAnsi="Book Antiqua" w:cs="Arial"/>
                <w:color w:val="000000"/>
                <w:sz w:val="20"/>
                <w:szCs w:val="20"/>
                <w:shd w:val="clear" w:color="auto" w:fill="FFFFFF"/>
              </w:rPr>
              <w:t>Albumin/</w:t>
            </w:r>
            <w:r w:rsidR="002D4BD7">
              <w:rPr>
                <w:rFonts w:ascii="Book Antiqua" w:eastAsia="微软雅黑" w:hAnsi="Book Antiqua" w:cs="Arial"/>
                <w:color w:val="000000"/>
                <w:sz w:val="20"/>
                <w:szCs w:val="20"/>
                <w:shd w:val="clear" w:color="auto" w:fill="FFFFFF"/>
              </w:rPr>
              <w:t>g</w:t>
            </w:r>
            <w:r w:rsidRPr="000C6C65">
              <w:rPr>
                <w:rFonts w:ascii="Book Antiqua" w:eastAsia="微软雅黑" w:hAnsi="Book Antiqua" w:cs="Arial"/>
                <w:color w:val="000000"/>
                <w:sz w:val="20"/>
                <w:szCs w:val="20"/>
                <w:shd w:val="clear" w:color="auto" w:fill="FFFFFF"/>
              </w:rPr>
              <w:t>lobulin, g/L</w:t>
            </w:r>
          </w:p>
        </w:t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48.7/24.0</w:t>
            </w:r>
          </w:p>
        </w:tc>
        <w:tc>
          <w:tcPr>
            <w:tcW w:w="2794"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51.2/22.7</w:t>
            </w:r>
          </w:p>
        </w:tc>
        <w:tc>
          <w:tcPr>
            <w:tcW w:w="1468"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48.3/23.7</w:t>
            </w:r>
          </w:p>
        </w:tc>
      </w:tr>
      <w:tr w:rsidR="00F91833" w:rsidRPr="000C6C65" w:rsidTr="003B2AB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Arial"/>
                <w:b/>
                <w:bCs/>
                <w:color w:val="000000"/>
                <w:sz w:val="20"/>
                <w:szCs w:val="20"/>
                <w:shd w:val="clear" w:color="auto" w:fill="FFFFFF"/>
              </w:rPr>
            </w:pPr>
            <w:r w:rsidRPr="000C6C65">
              <w:rPr>
                <w:rFonts w:ascii="Book Antiqua" w:eastAsia="微软雅黑" w:hAnsi="Book Antiqua" w:cs="Arial"/>
                <w:color w:val="000000"/>
                <w:sz w:val="20"/>
                <w:szCs w:val="20"/>
                <w:shd w:val="clear" w:color="auto" w:fill="FFFFFF"/>
              </w:rPr>
              <w:t>ALT/AST, U/L</w:t>
            </w:r>
          </w:p>
        </w:t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6.0/12.0</w:t>
            </w:r>
          </w:p>
        </w:tc>
        <w:tc>
          <w:tcPr>
            <w:tcW w:w="2794"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8.7/13.7</w:t>
            </w:r>
          </w:p>
        </w:tc>
        <w:tc>
          <w:tcPr>
            <w:tcW w:w="1468"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6.1/14.0</w:t>
            </w:r>
          </w:p>
        </w:tc>
      </w:tr>
      <w:tr w:rsidR="00F91833" w:rsidRPr="000C6C65" w:rsidTr="003B2AB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Arial"/>
                <w:color w:val="000000"/>
                <w:sz w:val="20"/>
                <w:szCs w:val="20"/>
                <w:shd w:val="clear" w:color="auto" w:fill="FFFFFF"/>
              </w:rPr>
            </w:pPr>
            <w:r w:rsidRPr="000C6C65">
              <w:rPr>
                <w:rFonts w:ascii="Book Antiqua" w:eastAsia="微软雅黑" w:hAnsi="Book Antiqua" w:cs="Arial"/>
                <w:color w:val="000000"/>
                <w:sz w:val="20"/>
                <w:szCs w:val="20"/>
                <w:shd w:val="clear" w:color="auto" w:fill="FFFFFF"/>
              </w:rPr>
              <w:t>ALP/GGT, U/L</w:t>
            </w:r>
          </w:p>
        </w:t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62.0/19.0</w:t>
            </w:r>
          </w:p>
        </w:tc>
        <w:tc>
          <w:tcPr>
            <w:tcW w:w="2794"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46.0/25.0</w:t>
            </w:r>
          </w:p>
        </w:tc>
        <w:tc>
          <w:tcPr>
            <w:tcW w:w="1468"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Times New Roman"/>
                <w:color w:val="000000"/>
                <w:sz w:val="20"/>
                <w:szCs w:val="20"/>
              </w:rPr>
            </w:pPr>
            <w:r w:rsidRPr="000C6C65">
              <w:rPr>
                <w:rFonts w:ascii="Book Antiqua" w:eastAsia="微软雅黑" w:hAnsi="Book Antiqua" w:cs="Arial"/>
                <w:color w:val="000000"/>
                <w:sz w:val="20"/>
                <w:szCs w:val="20"/>
                <w:shd w:val="clear" w:color="auto" w:fill="FFFFFF"/>
              </w:rPr>
              <w:t>84.0/22.0</w:t>
            </w:r>
          </w:p>
        </w:tc>
      </w:tr>
      <w:tr w:rsidR="00F91833" w:rsidRPr="000C6C65" w:rsidTr="003B2AB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Arial"/>
                <w:color w:val="000000"/>
                <w:sz w:val="20"/>
                <w:szCs w:val="20"/>
                <w:shd w:val="clear" w:color="auto" w:fill="FFFFFF"/>
              </w:rPr>
            </w:pPr>
            <w:r w:rsidRPr="000C6C65">
              <w:rPr>
                <w:rFonts w:ascii="Book Antiqua" w:eastAsia="微软雅黑" w:hAnsi="Book Antiqua" w:cs="Arial"/>
                <w:color w:val="000000"/>
                <w:sz w:val="20"/>
                <w:szCs w:val="20"/>
                <w:shd w:val="clear" w:color="auto" w:fill="FFFFFF"/>
              </w:rPr>
              <w:t>RBC lifespan, d</w:t>
            </w:r>
          </w:p>
        </w:t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Arial"/>
                <w:color w:val="000000"/>
                <w:sz w:val="20"/>
                <w:szCs w:val="20"/>
                <w:shd w:val="clear" w:color="auto" w:fill="FFFFFF"/>
              </w:rPr>
            </w:pPr>
            <w:r w:rsidRPr="000C6C65">
              <w:rPr>
                <w:rFonts w:ascii="Book Antiqua" w:eastAsia="微软雅黑" w:hAnsi="Book Antiqua" w:cs="Arial"/>
                <w:color w:val="000000"/>
                <w:sz w:val="20"/>
                <w:szCs w:val="20"/>
                <w:shd w:val="clear" w:color="auto" w:fill="FFFFFF"/>
              </w:rPr>
              <w:t>28</w:t>
            </w:r>
          </w:p>
        </w:tc>
        <w:tc>
          <w:tcPr>
            <w:tcW w:w="2794"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Arial"/>
                <w:color w:val="000000"/>
                <w:sz w:val="20"/>
                <w:szCs w:val="20"/>
                <w:shd w:val="clear" w:color="auto" w:fill="FFFFFF"/>
              </w:rPr>
            </w:pPr>
            <w:r w:rsidRPr="000C6C65">
              <w:rPr>
                <w:rFonts w:ascii="Book Antiqua" w:eastAsia="微软雅黑" w:hAnsi="Book Antiqua" w:cs="Arial"/>
                <w:color w:val="000000"/>
                <w:sz w:val="20"/>
                <w:szCs w:val="20"/>
                <w:shd w:val="clear" w:color="auto" w:fill="FFFFFF"/>
              </w:rPr>
              <w:t>59</w:t>
            </w:r>
          </w:p>
        </w:tc>
        <w:tc>
          <w:tcPr>
            <w:tcW w:w="1468"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Arial"/>
                <w:color w:val="000000"/>
                <w:sz w:val="20"/>
                <w:szCs w:val="20"/>
                <w:shd w:val="clear" w:color="auto" w:fill="FFFFFF"/>
              </w:rPr>
            </w:pPr>
            <w:r w:rsidRPr="000C6C65">
              <w:rPr>
                <w:rFonts w:ascii="Book Antiqua" w:eastAsia="微软雅黑" w:hAnsi="Book Antiqua" w:cs="Arial"/>
                <w:color w:val="000000"/>
                <w:sz w:val="20"/>
                <w:szCs w:val="20"/>
                <w:shd w:val="clear" w:color="auto" w:fill="FFFFFF"/>
              </w:rPr>
              <w:t>35</w:t>
            </w:r>
          </w:p>
        </w:tc>
      </w:tr>
      <w:tr w:rsidR="00F91833" w:rsidRPr="000C6C65" w:rsidTr="003B2ABC">
        <w:tc>
          <w:tcPr>
            <w:tcW w:w="8522" w:type="dxa"/>
            <w:gridSpan w:val="4"/>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Arial"/>
                <w:color w:val="000000"/>
                <w:sz w:val="20"/>
                <w:szCs w:val="20"/>
                <w:shd w:val="clear" w:color="auto" w:fill="FFFFFF"/>
              </w:rPr>
            </w:pPr>
            <w:r w:rsidRPr="000C6C65">
              <w:rPr>
                <w:rFonts w:ascii="Book Antiqua" w:eastAsia="微软雅黑" w:hAnsi="Book Antiqua" w:cs="Arial"/>
                <w:color w:val="000000"/>
                <w:sz w:val="20"/>
                <w:szCs w:val="20"/>
                <w:shd w:val="clear" w:color="auto" w:fill="FFFFFF"/>
              </w:rPr>
              <w:t xml:space="preserve">Genetic </w:t>
            </w:r>
            <w:r w:rsidR="002D4BD7">
              <w:rPr>
                <w:rFonts w:ascii="Book Antiqua" w:eastAsia="微软雅黑" w:hAnsi="Book Antiqua" w:cs="Arial"/>
                <w:color w:val="000000"/>
                <w:sz w:val="20"/>
                <w:szCs w:val="20"/>
                <w:shd w:val="clear" w:color="auto" w:fill="FFFFFF"/>
              </w:rPr>
              <w:t>m</w:t>
            </w:r>
            <w:r w:rsidRPr="000C6C65">
              <w:rPr>
                <w:rFonts w:ascii="Book Antiqua" w:eastAsia="微软雅黑" w:hAnsi="Book Antiqua" w:cs="Arial"/>
                <w:color w:val="000000"/>
                <w:sz w:val="20"/>
                <w:szCs w:val="20"/>
                <w:shd w:val="clear" w:color="auto" w:fill="FFFFFF"/>
              </w:rPr>
              <w:t>utations</w:t>
            </w:r>
          </w:p>
        </w:tc>
      </w:tr>
      <w:tr w:rsidR="00F91833" w:rsidRPr="000C6C65" w:rsidTr="003B2AB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firstLineChars="100" w:firstLine="200"/>
              <w:jc w:val="both"/>
              <w:rPr>
                <w:rFonts w:ascii="Book Antiqua" w:eastAsia="微软雅黑" w:hAnsi="Book Antiqua" w:cs="Arial"/>
                <w:color w:val="000000"/>
                <w:sz w:val="20"/>
                <w:szCs w:val="20"/>
                <w:shd w:val="clear" w:color="auto" w:fill="FFFFFF"/>
              </w:rPr>
            </w:pPr>
            <w:r w:rsidRPr="000C6C65">
              <w:rPr>
                <w:rFonts w:ascii="Book Antiqua" w:eastAsia="微软雅黑" w:hAnsi="Book Antiqua" w:cs="Arial"/>
                <w:i/>
                <w:iCs/>
                <w:color w:val="000000"/>
                <w:sz w:val="20"/>
                <w:szCs w:val="20"/>
                <w:shd w:val="clear" w:color="auto" w:fill="FFFFFF"/>
              </w:rPr>
              <w:t>UGT1A1</w:t>
            </w:r>
          </w:p>
        </w:t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Arial"/>
                <w:color w:val="000000"/>
                <w:sz w:val="20"/>
                <w:szCs w:val="20"/>
                <w:shd w:val="clear" w:color="auto" w:fill="FFFFFF"/>
              </w:rPr>
            </w:pPr>
            <w:r w:rsidRPr="000C6C65">
              <w:rPr>
                <w:rFonts w:ascii="Book Antiqua" w:eastAsia="微软雅黑" w:hAnsi="Book Antiqua" w:cs="Arial"/>
                <w:color w:val="000000"/>
                <w:sz w:val="20"/>
                <w:szCs w:val="20"/>
                <w:shd w:val="clear" w:color="auto" w:fill="FFFFFF"/>
              </w:rPr>
              <w:t>c.211G</w:t>
            </w:r>
            <w:r w:rsidR="00E6646C" w:rsidRPr="000C6C65">
              <w:rPr>
                <w:rFonts w:ascii="Book Antiqua" w:eastAsia="BaskervilleNo2BT-Roman" w:hAnsi="Book Antiqua" w:cs="Times New Roman"/>
                <w:sz w:val="20"/>
                <w:szCs w:val="20"/>
              </w:rPr>
              <w:t>＞</w:t>
            </w:r>
            <w:r w:rsidRPr="000C6C65">
              <w:rPr>
                <w:rFonts w:ascii="Book Antiqua" w:eastAsia="微软雅黑" w:hAnsi="Book Antiqua" w:cs="Arial"/>
                <w:color w:val="000000"/>
                <w:sz w:val="20"/>
                <w:szCs w:val="20"/>
                <w:shd w:val="clear" w:color="auto" w:fill="FFFFFF"/>
              </w:rPr>
              <w:t>A/-</w:t>
            </w:r>
          </w:p>
        </w:tc>
        <w:tc>
          <w:tcPr>
            <w:tcW w:w="2794"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Arial"/>
                <w:color w:val="000000"/>
                <w:sz w:val="20"/>
                <w:szCs w:val="20"/>
                <w:shd w:val="clear" w:color="auto" w:fill="FFFFFF"/>
              </w:rPr>
            </w:pPr>
            <w:r w:rsidRPr="000C6C65">
              <w:rPr>
                <w:rFonts w:ascii="Book Antiqua" w:eastAsia="微软雅黑" w:hAnsi="Book Antiqua" w:cs="Arial"/>
                <w:color w:val="000000"/>
                <w:sz w:val="20"/>
                <w:szCs w:val="20"/>
                <w:shd w:val="clear" w:color="auto" w:fill="FFFFFF"/>
              </w:rPr>
              <w:t>c.211G</w:t>
            </w:r>
            <w:r w:rsidR="00E6646C" w:rsidRPr="000C6C65">
              <w:rPr>
                <w:rFonts w:ascii="Book Antiqua" w:eastAsia="BaskervilleNo2BT-Roman" w:hAnsi="Book Antiqua" w:cs="Times New Roman"/>
                <w:sz w:val="20"/>
                <w:szCs w:val="20"/>
              </w:rPr>
              <w:t>＞</w:t>
            </w:r>
            <w:r w:rsidRPr="000C6C65">
              <w:rPr>
                <w:rFonts w:ascii="Book Antiqua" w:eastAsia="微软雅黑" w:hAnsi="Book Antiqua" w:cs="Arial"/>
                <w:color w:val="000000"/>
                <w:sz w:val="20"/>
                <w:szCs w:val="20"/>
                <w:shd w:val="clear" w:color="auto" w:fill="FFFFFF"/>
              </w:rPr>
              <w:t>A/-</w:t>
            </w:r>
          </w:p>
        </w:tc>
        <w:tc>
          <w:tcPr>
            <w:tcW w:w="1468"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Arial"/>
                <w:color w:val="000000"/>
                <w:sz w:val="20"/>
                <w:szCs w:val="20"/>
                <w:shd w:val="clear" w:color="auto" w:fill="FFFFFF"/>
              </w:rPr>
            </w:pPr>
            <w:r w:rsidRPr="000C6C65">
              <w:rPr>
                <w:rFonts w:ascii="Book Antiqua" w:eastAsia="微软雅黑" w:hAnsi="Book Antiqua" w:cs="Arial"/>
                <w:color w:val="000000"/>
                <w:sz w:val="20"/>
                <w:szCs w:val="20"/>
                <w:shd w:val="clear" w:color="auto" w:fill="FFFFFF"/>
              </w:rPr>
              <w:t>-/-</w:t>
            </w:r>
          </w:p>
        </w:tc>
      </w:tr>
      <w:tr w:rsidR="00F91833" w:rsidRPr="000C6C65" w:rsidTr="003B2AB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firstLineChars="100" w:firstLine="200"/>
              <w:jc w:val="both"/>
              <w:rPr>
                <w:rFonts w:ascii="Book Antiqua" w:eastAsia="微软雅黑" w:hAnsi="Book Antiqua" w:cs="Arial"/>
                <w:b/>
                <w:bCs/>
                <w:i/>
                <w:iCs/>
                <w:color w:val="000000"/>
                <w:sz w:val="20"/>
                <w:szCs w:val="20"/>
                <w:shd w:val="clear" w:color="auto" w:fill="FFFFFF"/>
              </w:rPr>
            </w:pPr>
            <w:r w:rsidRPr="000C6C65">
              <w:rPr>
                <w:rFonts w:ascii="Book Antiqua" w:eastAsia="微软雅黑" w:hAnsi="Book Antiqua" w:cs="Arial"/>
                <w:i/>
                <w:iCs/>
                <w:color w:val="000000"/>
                <w:sz w:val="20"/>
                <w:szCs w:val="20"/>
                <w:shd w:val="clear" w:color="auto" w:fill="FFFFFF"/>
              </w:rPr>
              <w:t>ANK1</w:t>
            </w:r>
          </w:p>
        </w:tc>
        <w:tc>
          <w:tcPr>
            <w:tcW w:w="2130"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Arial"/>
                <w:color w:val="000000"/>
                <w:sz w:val="20"/>
                <w:szCs w:val="20"/>
                <w:shd w:val="clear" w:color="auto" w:fill="FFFFFF"/>
              </w:rPr>
            </w:pPr>
            <w:r w:rsidRPr="000C6C65">
              <w:rPr>
                <w:rFonts w:ascii="Book Antiqua" w:eastAsia="微软雅黑" w:hAnsi="Book Antiqua" w:cs="Arial"/>
                <w:color w:val="000000"/>
                <w:sz w:val="20"/>
                <w:szCs w:val="20"/>
                <w:shd w:val="clear" w:color="auto" w:fill="FFFFFF"/>
              </w:rPr>
              <w:t>c.1801-17G</w:t>
            </w:r>
            <w:r w:rsidR="00E6646C" w:rsidRPr="000C6C65">
              <w:rPr>
                <w:rFonts w:ascii="Book Antiqua" w:eastAsia="BaskervilleNo2BT-Roman" w:hAnsi="Book Antiqua" w:cs="Times New Roman"/>
                <w:sz w:val="20"/>
                <w:szCs w:val="20"/>
              </w:rPr>
              <w:t>＞</w:t>
            </w:r>
            <w:r w:rsidRPr="000C6C65">
              <w:rPr>
                <w:rFonts w:ascii="Book Antiqua" w:eastAsia="微软雅黑" w:hAnsi="Book Antiqua" w:cs="Arial"/>
                <w:color w:val="000000"/>
                <w:sz w:val="20"/>
                <w:szCs w:val="20"/>
                <w:shd w:val="clear" w:color="auto" w:fill="FFFFFF"/>
              </w:rPr>
              <w:t>A/-</w:t>
            </w:r>
          </w:p>
        </w:tc>
        <w:tc>
          <w:tcPr>
            <w:tcW w:w="2794"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Arial"/>
                <w:color w:val="000000"/>
                <w:sz w:val="20"/>
                <w:szCs w:val="20"/>
                <w:shd w:val="clear" w:color="auto" w:fill="FFFFFF"/>
              </w:rPr>
            </w:pPr>
            <w:r w:rsidRPr="000C6C65">
              <w:rPr>
                <w:rFonts w:ascii="Book Antiqua" w:eastAsia="微软雅黑" w:hAnsi="Book Antiqua" w:cs="Arial"/>
                <w:color w:val="000000"/>
                <w:sz w:val="20"/>
                <w:szCs w:val="20"/>
                <w:shd w:val="clear" w:color="auto" w:fill="FFFFFF"/>
              </w:rPr>
              <w:t>c.925A</w:t>
            </w:r>
            <w:r w:rsidR="00E6646C" w:rsidRPr="000C6C65">
              <w:rPr>
                <w:rFonts w:ascii="Book Antiqua" w:eastAsia="BaskervilleNo2BT-Roman" w:hAnsi="Book Antiqua" w:cs="Times New Roman"/>
                <w:sz w:val="20"/>
                <w:szCs w:val="20"/>
              </w:rPr>
              <w:t>＞</w:t>
            </w:r>
            <w:r w:rsidRPr="000C6C65">
              <w:rPr>
                <w:rFonts w:ascii="Book Antiqua" w:eastAsia="微软雅黑" w:hAnsi="Book Antiqua" w:cs="Arial"/>
                <w:color w:val="000000"/>
                <w:sz w:val="20"/>
                <w:szCs w:val="20"/>
                <w:shd w:val="clear" w:color="auto" w:fill="FFFFFF"/>
              </w:rPr>
              <w:t>G/-</w:t>
            </w:r>
          </w:p>
        </w:tc>
        <w:tc>
          <w:tcPr>
            <w:tcW w:w="1468" w:type="dxa"/>
            <w:shd w:val="clear" w:color="auto" w:fill="auto"/>
          </w:tcPr>
          <w:p w:rsidR="00F91833" w:rsidRPr="000C6C65" w:rsidRDefault="00F91833" w:rsidP="000C6C65">
            <w:pPr>
              <w:widowControl w:val="0"/>
              <w:autoSpaceDE w:val="0"/>
              <w:autoSpaceDN w:val="0"/>
              <w:adjustRightInd w:val="0"/>
              <w:snapToGrid w:val="0"/>
              <w:spacing w:line="360" w:lineRule="auto"/>
              <w:ind w:right="-1774"/>
              <w:jc w:val="both"/>
              <w:rPr>
                <w:rFonts w:ascii="Book Antiqua" w:eastAsia="微软雅黑" w:hAnsi="Book Antiqua" w:cs="Arial"/>
                <w:color w:val="000000"/>
                <w:sz w:val="20"/>
                <w:szCs w:val="20"/>
                <w:shd w:val="clear" w:color="auto" w:fill="FFFFFF"/>
              </w:rPr>
            </w:pPr>
            <w:r w:rsidRPr="000C6C65">
              <w:rPr>
                <w:rFonts w:ascii="Book Antiqua" w:eastAsia="微软雅黑" w:hAnsi="Book Antiqua" w:cs="Arial"/>
                <w:color w:val="000000"/>
                <w:sz w:val="20"/>
                <w:szCs w:val="20"/>
                <w:shd w:val="clear" w:color="auto" w:fill="FFFFFF"/>
              </w:rPr>
              <w:t>c.1801-17G</w:t>
            </w:r>
            <w:r w:rsidR="00E6646C" w:rsidRPr="000C6C65">
              <w:rPr>
                <w:rFonts w:ascii="Book Antiqua" w:eastAsia="BaskervilleNo2BT-Roman" w:hAnsi="Book Antiqua" w:cs="Times New Roman"/>
                <w:sz w:val="20"/>
                <w:szCs w:val="20"/>
              </w:rPr>
              <w:t>＞</w:t>
            </w:r>
            <w:r w:rsidRPr="000C6C65">
              <w:rPr>
                <w:rFonts w:ascii="Book Antiqua" w:eastAsia="微软雅黑" w:hAnsi="Book Antiqua" w:cs="Arial"/>
                <w:color w:val="000000"/>
                <w:sz w:val="20"/>
                <w:szCs w:val="20"/>
                <w:shd w:val="clear" w:color="auto" w:fill="FFFFFF"/>
              </w:rPr>
              <w:t>A /-</w:t>
            </w:r>
          </w:p>
        </w:tc>
      </w:tr>
    </w:tbl>
    <w:p w:rsidR="001A61BA" w:rsidRPr="000C6C65" w:rsidRDefault="00F91833" w:rsidP="00105B1B">
      <w:pPr>
        <w:snapToGrid w:val="0"/>
        <w:spacing w:line="360" w:lineRule="auto"/>
        <w:jc w:val="both"/>
        <w:rPr>
          <w:rFonts w:ascii="Book Antiqua" w:eastAsia="微软雅黑" w:hAnsi="Book Antiqua" w:cs="Times New Roman"/>
          <w:color w:val="000000"/>
          <w:sz w:val="20"/>
          <w:szCs w:val="20"/>
        </w:rPr>
      </w:pPr>
      <w:r w:rsidRPr="000C6C65">
        <w:rPr>
          <w:rFonts w:ascii="Book Antiqua" w:eastAsia="微软雅黑" w:hAnsi="Book Antiqua" w:cs="Arial"/>
          <w:sz w:val="20"/>
          <w:szCs w:val="20"/>
          <w:shd w:val="clear" w:color="auto" w:fill="FFFFFF"/>
        </w:rPr>
        <w:t xml:space="preserve">BIL: </w:t>
      </w:r>
      <w:r w:rsidRPr="000C6C65">
        <w:rPr>
          <w:rFonts w:ascii="Book Antiqua" w:eastAsia="BaskervilleNo2BT-Roman" w:hAnsi="Book Antiqua" w:cs="Arial"/>
          <w:sz w:val="20"/>
          <w:szCs w:val="20"/>
        </w:rPr>
        <w:t>Bilirubin</w:t>
      </w:r>
      <w:r w:rsidRPr="000C6C65">
        <w:rPr>
          <w:rFonts w:ascii="Book Antiqua" w:eastAsia="微软雅黑" w:hAnsi="Book Antiqua" w:cs="Arial"/>
          <w:sz w:val="20"/>
          <w:szCs w:val="20"/>
          <w:shd w:val="clear" w:color="auto" w:fill="FFFFFF"/>
        </w:rPr>
        <w:t xml:space="preserve">; </w:t>
      </w:r>
      <w:r w:rsidRPr="000C6C65">
        <w:rPr>
          <w:rFonts w:ascii="Book Antiqua" w:eastAsia="微软雅黑" w:hAnsi="Book Antiqua" w:cs="Arial"/>
          <w:color w:val="000000"/>
          <w:sz w:val="20"/>
          <w:szCs w:val="20"/>
          <w:shd w:val="clear" w:color="auto" w:fill="FFFFFF"/>
        </w:rPr>
        <w:t>ALT:</w:t>
      </w:r>
      <w:r w:rsidRPr="000C6C65">
        <w:rPr>
          <w:rFonts w:ascii="Book Antiqua" w:eastAsia="微软雅黑" w:hAnsi="Book Antiqua" w:cs="Arial"/>
          <w:sz w:val="20"/>
          <w:szCs w:val="20"/>
          <w:shd w:val="clear" w:color="auto" w:fill="FFFFFF"/>
        </w:rPr>
        <w:t xml:space="preserve"> Alanine aminotransferase; AST: Aspartate aminotransferase; </w:t>
      </w:r>
      <w:r w:rsidRPr="000C6C65">
        <w:rPr>
          <w:rFonts w:ascii="Book Antiqua" w:eastAsia="微软雅黑" w:hAnsi="Book Antiqua" w:cs="Arial"/>
          <w:color w:val="000000"/>
          <w:sz w:val="20"/>
          <w:szCs w:val="20"/>
          <w:shd w:val="clear" w:color="auto" w:fill="FFFFFF"/>
        </w:rPr>
        <w:t>ALP: Alkaline phosphatase; GGT: γ-glutamyl transpeptidase;</w:t>
      </w:r>
      <w:r w:rsidRPr="000C6C65">
        <w:rPr>
          <w:rFonts w:ascii="Book Antiqua" w:eastAsia="BaskervilleNo2BT-Roman" w:hAnsi="Book Antiqua" w:cs="Arial"/>
          <w:sz w:val="20"/>
          <w:szCs w:val="20"/>
        </w:rPr>
        <w:t xml:space="preserve"> </w:t>
      </w:r>
      <w:r w:rsidRPr="000C6C65">
        <w:rPr>
          <w:rFonts w:ascii="Book Antiqua" w:eastAsia="微软雅黑" w:hAnsi="Book Antiqua" w:cs="Arial"/>
          <w:sz w:val="20"/>
          <w:szCs w:val="20"/>
          <w:shd w:val="clear" w:color="auto" w:fill="FFFFFF"/>
        </w:rPr>
        <w:t>RBC:</w:t>
      </w:r>
      <w:r w:rsidRPr="000C6C65">
        <w:rPr>
          <w:rFonts w:ascii="Book Antiqua" w:eastAsia="BaskervilleNo2BT-Roman" w:hAnsi="Book Antiqua" w:cs="Arial"/>
          <w:sz w:val="20"/>
          <w:szCs w:val="20"/>
        </w:rPr>
        <w:t xml:space="preserve"> Erythrocyte</w:t>
      </w:r>
      <w:r w:rsidRPr="000C6C65">
        <w:rPr>
          <w:rFonts w:ascii="Book Antiqua" w:eastAsia="微软雅黑" w:hAnsi="Book Antiqua" w:cs="Arial"/>
          <w:color w:val="000000"/>
          <w:sz w:val="20"/>
          <w:szCs w:val="20"/>
          <w:shd w:val="clear" w:color="auto" w:fill="FFFFFF"/>
        </w:rPr>
        <w:t>.</w:t>
      </w:r>
    </w:p>
    <w:sectPr w:rsidR="001A61BA" w:rsidRPr="000C6C65" w:rsidSect="000C6C65">
      <w:footerReference w:type="default" r:id="rId9"/>
      <w:pgSz w:w="11906" w:h="16838"/>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CA" w:rsidRDefault="00A97FCA">
      <w:r>
        <w:separator/>
      </w:r>
    </w:p>
  </w:endnote>
  <w:endnote w:type="continuationSeparator" w:id="0">
    <w:p w:rsidR="00A97FCA" w:rsidRDefault="00A9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onospace">
    <w:altName w:val="Segoe Print"/>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askervilleNo2BT-Roman">
    <w:altName w:val="Arial Unicode MS"/>
    <w:charset w:val="86"/>
    <w:family w:val="auto"/>
    <w:pitch w:val="default"/>
    <w:sig w:usb0="00000000" w:usb1="00000000" w:usb2="00000010" w:usb3="00000000" w:csb0="00040000" w:csb1="00000000"/>
  </w:font>
  <w:font w:name="Bold">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D5" w:rsidRPr="00105B1B" w:rsidRDefault="00A61CD5">
    <w:pPr>
      <w:pStyle w:val="a4"/>
      <w:jc w:val="center"/>
      <w:rPr>
        <w:rFonts w:ascii="Book Antiqua" w:hAnsi="Book Antiqua"/>
        <w:sz w:val="20"/>
        <w:szCs w:val="20"/>
      </w:rPr>
    </w:pPr>
    <w:r w:rsidRPr="00105B1B">
      <w:rPr>
        <w:rFonts w:ascii="Book Antiqua" w:hAnsi="Book Antiqua"/>
        <w:sz w:val="20"/>
        <w:szCs w:val="20"/>
      </w:rPr>
      <w:fldChar w:fldCharType="begin"/>
    </w:r>
    <w:r w:rsidRPr="00105B1B">
      <w:rPr>
        <w:rFonts w:ascii="Book Antiqua" w:hAnsi="Book Antiqua"/>
        <w:sz w:val="20"/>
        <w:szCs w:val="20"/>
      </w:rPr>
      <w:instrText xml:space="preserve"> PAGE   \* MERGEFORMAT </w:instrText>
    </w:r>
    <w:r w:rsidRPr="00105B1B">
      <w:rPr>
        <w:rFonts w:ascii="Book Antiqua" w:hAnsi="Book Antiqua"/>
        <w:sz w:val="20"/>
        <w:szCs w:val="20"/>
      </w:rPr>
      <w:fldChar w:fldCharType="separate"/>
    </w:r>
    <w:r w:rsidR="00A97FCA">
      <w:rPr>
        <w:rFonts w:ascii="Book Antiqua" w:hAnsi="Book Antiqua"/>
        <w:noProof/>
        <w:sz w:val="20"/>
        <w:szCs w:val="20"/>
      </w:rPr>
      <w:t>1</w:t>
    </w:r>
    <w:r w:rsidRPr="00105B1B">
      <w:rPr>
        <w:rFonts w:ascii="Book Antiqua" w:hAnsi="Book Antiqua"/>
        <w:noProof/>
        <w:sz w:val="20"/>
        <w:szCs w:val="20"/>
      </w:rPr>
      <w:fldChar w:fldCharType="end"/>
    </w:r>
  </w:p>
  <w:p w:rsidR="00A61CD5" w:rsidRDefault="00A61C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CA" w:rsidRDefault="00A97FCA">
      <w:r>
        <w:separator/>
      </w:r>
    </w:p>
  </w:footnote>
  <w:footnote w:type="continuationSeparator" w:id="0">
    <w:p w:rsidR="00A97FCA" w:rsidRDefault="00A97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A0F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BBB91F"/>
    <w:multiLevelType w:val="singleLevel"/>
    <w:tmpl w:val="3FBBB91F"/>
    <w:lvl w:ilvl="0">
      <w:start w:val="1"/>
      <w:numFmt w:val="decimal"/>
      <w:lvlText w:val="%1"/>
      <w:lvlJc w:val="left"/>
      <w:pPr>
        <w:tabs>
          <w:tab w:val="num" w:pos="420"/>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68"/>
    <w:rsid w:val="00000E82"/>
    <w:rsid w:val="0000271A"/>
    <w:rsid w:val="000038CF"/>
    <w:rsid w:val="000056BE"/>
    <w:rsid w:val="0000654E"/>
    <w:rsid w:val="0000696B"/>
    <w:rsid w:val="0000717B"/>
    <w:rsid w:val="00012B7B"/>
    <w:rsid w:val="00013146"/>
    <w:rsid w:val="00014A7E"/>
    <w:rsid w:val="000159E8"/>
    <w:rsid w:val="00016251"/>
    <w:rsid w:val="0001724E"/>
    <w:rsid w:val="0001731D"/>
    <w:rsid w:val="0001751A"/>
    <w:rsid w:val="00020786"/>
    <w:rsid w:val="00021C05"/>
    <w:rsid w:val="00024287"/>
    <w:rsid w:val="00026927"/>
    <w:rsid w:val="000306EC"/>
    <w:rsid w:val="00030882"/>
    <w:rsid w:val="00030928"/>
    <w:rsid w:val="00030E0F"/>
    <w:rsid w:val="00032339"/>
    <w:rsid w:val="0003615D"/>
    <w:rsid w:val="00037837"/>
    <w:rsid w:val="00041041"/>
    <w:rsid w:val="000440C4"/>
    <w:rsid w:val="00044F4B"/>
    <w:rsid w:val="00046B7E"/>
    <w:rsid w:val="000510C3"/>
    <w:rsid w:val="000523E2"/>
    <w:rsid w:val="00053920"/>
    <w:rsid w:val="00054A2D"/>
    <w:rsid w:val="00056BB2"/>
    <w:rsid w:val="000614A5"/>
    <w:rsid w:val="00061DB1"/>
    <w:rsid w:val="00063D5D"/>
    <w:rsid w:val="00067557"/>
    <w:rsid w:val="00067D94"/>
    <w:rsid w:val="00071DD6"/>
    <w:rsid w:val="00073064"/>
    <w:rsid w:val="000732CB"/>
    <w:rsid w:val="000755FE"/>
    <w:rsid w:val="00076907"/>
    <w:rsid w:val="00080918"/>
    <w:rsid w:val="0008250E"/>
    <w:rsid w:val="0008448C"/>
    <w:rsid w:val="00084BFC"/>
    <w:rsid w:val="00086D3E"/>
    <w:rsid w:val="00090895"/>
    <w:rsid w:val="00095531"/>
    <w:rsid w:val="00096712"/>
    <w:rsid w:val="000973D6"/>
    <w:rsid w:val="00097936"/>
    <w:rsid w:val="000A1BBB"/>
    <w:rsid w:val="000A2E00"/>
    <w:rsid w:val="000A390D"/>
    <w:rsid w:val="000A3A11"/>
    <w:rsid w:val="000A46A8"/>
    <w:rsid w:val="000A6890"/>
    <w:rsid w:val="000B00F8"/>
    <w:rsid w:val="000B0492"/>
    <w:rsid w:val="000B1082"/>
    <w:rsid w:val="000B3836"/>
    <w:rsid w:val="000B4833"/>
    <w:rsid w:val="000B72FF"/>
    <w:rsid w:val="000C0A10"/>
    <w:rsid w:val="000C624A"/>
    <w:rsid w:val="000C6C65"/>
    <w:rsid w:val="000C7285"/>
    <w:rsid w:val="000D266C"/>
    <w:rsid w:val="000D38B4"/>
    <w:rsid w:val="000E416E"/>
    <w:rsid w:val="000E7BCC"/>
    <w:rsid w:val="000F37D6"/>
    <w:rsid w:val="000F5C05"/>
    <w:rsid w:val="0010011C"/>
    <w:rsid w:val="00100BE5"/>
    <w:rsid w:val="0010145E"/>
    <w:rsid w:val="00102A85"/>
    <w:rsid w:val="00104DA4"/>
    <w:rsid w:val="00105B1B"/>
    <w:rsid w:val="001064D0"/>
    <w:rsid w:val="0010659D"/>
    <w:rsid w:val="00106EC8"/>
    <w:rsid w:val="00107D5D"/>
    <w:rsid w:val="001113E8"/>
    <w:rsid w:val="001115DD"/>
    <w:rsid w:val="00113AA9"/>
    <w:rsid w:val="00113F56"/>
    <w:rsid w:val="00114EDD"/>
    <w:rsid w:val="00114FF3"/>
    <w:rsid w:val="00116C06"/>
    <w:rsid w:val="00124FBF"/>
    <w:rsid w:val="00125212"/>
    <w:rsid w:val="00133A72"/>
    <w:rsid w:val="00135DEC"/>
    <w:rsid w:val="0013627E"/>
    <w:rsid w:val="00136AF7"/>
    <w:rsid w:val="00150534"/>
    <w:rsid w:val="00150915"/>
    <w:rsid w:val="001521B2"/>
    <w:rsid w:val="00152ADD"/>
    <w:rsid w:val="001556AF"/>
    <w:rsid w:val="00156413"/>
    <w:rsid w:val="00156F23"/>
    <w:rsid w:val="00157081"/>
    <w:rsid w:val="00160E01"/>
    <w:rsid w:val="001632C5"/>
    <w:rsid w:val="001645EF"/>
    <w:rsid w:val="0016628C"/>
    <w:rsid w:val="001671EB"/>
    <w:rsid w:val="0017158C"/>
    <w:rsid w:val="00171665"/>
    <w:rsid w:val="00172A35"/>
    <w:rsid w:val="001773C8"/>
    <w:rsid w:val="0018045E"/>
    <w:rsid w:val="00180B4F"/>
    <w:rsid w:val="00181233"/>
    <w:rsid w:val="00181AC5"/>
    <w:rsid w:val="00183756"/>
    <w:rsid w:val="00185148"/>
    <w:rsid w:val="00187555"/>
    <w:rsid w:val="00190BBE"/>
    <w:rsid w:val="00190DCC"/>
    <w:rsid w:val="00192F6B"/>
    <w:rsid w:val="0019397B"/>
    <w:rsid w:val="00193D54"/>
    <w:rsid w:val="001959DE"/>
    <w:rsid w:val="0019679F"/>
    <w:rsid w:val="0019731C"/>
    <w:rsid w:val="001A61BA"/>
    <w:rsid w:val="001A6FAC"/>
    <w:rsid w:val="001B03C1"/>
    <w:rsid w:val="001B14A3"/>
    <w:rsid w:val="001B14C6"/>
    <w:rsid w:val="001B38E5"/>
    <w:rsid w:val="001B6F5C"/>
    <w:rsid w:val="001B73FB"/>
    <w:rsid w:val="001C2477"/>
    <w:rsid w:val="001D04B5"/>
    <w:rsid w:val="001D546C"/>
    <w:rsid w:val="001D5FE9"/>
    <w:rsid w:val="001E25E4"/>
    <w:rsid w:val="001E54DA"/>
    <w:rsid w:val="001E62FD"/>
    <w:rsid w:val="001E77EB"/>
    <w:rsid w:val="001F087B"/>
    <w:rsid w:val="001F0AC7"/>
    <w:rsid w:val="001F30E4"/>
    <w:rsid w:val="001F4717"/>
    <w:rsid w:val="001F6B3E"/>
    <w:rsid w:val="001F78F5"/>
    <w:rsid w:val="002049A6"/>
    <w:rsid w:val="0021203F"/>
    <w:rsid w:val="0021420F"/>
    <w:rsid w:val="002147FF"/>
    <w:rsid w:val="00216FA1"/>
    <w:rsid w:val="0021769D"/>
    <w:rsid w:val="00221DBB"/>
    <w:rsid w:val="002226B4"/>
    <w:rsid w:val="00227403"/>
    <w:rsid w:val="002309ED"/>
    <w:rsid w:val="00232E36"/>
    <w:rsid w:val="002338C5"/>
    <w:rsid w:val="00237F24"/>
    <w:rsid w:val="00241979"/>
    <w:rsid w:val="00242313"/>
    <w:rsid w:val="00242617"/>
    <w:rsid w:val="00245E4E"/>
    <w:rsid w:val="00247FEE"/>
    <w:rsid w:val="0025034A"/>
    <w:rsid w:val="00253FEE"/>
    <w:rsid w:val="00257B87"/>
    <w:rsid w:val="002610A3"/>
    <w:rsid w:val="00267480"/>
    <w:rsid w:val="00271A97"/>
    <w:rsid w:val="0027724B"/>
    <w:rsid w:val="00280202"/>
    <w:rsid w:val="0028123C"/>
    <w:rsid w:val="0028194A"/>
    <w:rsid w:val="0028360E"/>
    <w:rsid w:val="00283E58"/>
    <w:rsid w:val="0028788D"/>
    <w:rsid w:val="00290244"/>
    <w:rsid w:val="002907A2"/>
    <w:rsid w:val="002907FC"/>
    <w:rsid w:val="00297454"/>
    <w:rsid w:val="00297D63"/>
    <w:rsid w:val="002A3C31"/>
    <w:rsid w:val="002A55CE"/>
    <w:rsid w:val="002A5A50"/>
    <w:rsid w:val="002A62E8"/>
    <w:rsid w:val="002B17E2"/>
    <w:rsid w:val="002B3AD1"/>
    <w:rsid w:val="002B3C4E"/>
    <w:rsid w:val="002B405B"/>
    <w:rsid w:val="002B4645"/>
    <w:rsid w:val="002B5B6C"/>
    <w:rsid w:val="002B7084"/>
    <w:rsid w:val="002B7AB0"/>
    <w:rsid w:val="002C0F14"/>
    <w:rsid w:val="002C2140"/>
    <w:rsid w:val="002D1794"/>
    <w:rsid w:val="002D30D1"/>
    <w:rsid w:val="002D4B5E"/>
    <w:rsid w:val="002D4BD7"/>
    <w:rsid w:val="002D5295"/>
    <w:rsid w:val="002D7B70"/>
    <w:rsid w:val="002E3ADF"/>
    <w:rsid w:val="002E4472"/>
    <w:rsid w:val="002E7027"/>
    <w:rsid w:val="002E7C3E"/>
    <w:rsid w:val="002F4DE6"/>
    <w:rsid w:val="002F6F68"/>
    <w:rsid w:val="00302803"/>
    <w:rsid w:val="0031087A"/>
    <w:rsid w:val="00312D7E"/>
    <w:rsid w:val="00312D94"/>
    <w:rsid w:val="003159A8"/>
    <w:rsid w:val="00317827"/>
    <w:rsid w:val="00322E04"/>
    <w:rsid w:val="00324EA5"/>
    <w:rsid w:val="003252C8"/>
    <w:rsid w:val="003265AE"/>
    <w:rsid w:val="00332B33"/>
    <w:rsid w:val="00335E64"/>
    <w:rsid w:val="00336885"/>
    <w:rsid w:val="003369FC"/>
    <w:rsid w:val="00341FF0"/>
    <w:rsid w:val="00343A9B"/>
    <w:rsid w:val="0034415E"/>
    <w:rsid w:val="00344474"/>
    <w:rsid w:val="003505C1"/>
    <w:rsid w:val="00351799"/>
    <w:rsid w:val="00351A4F"/>
    <w:rsid w:val="00353BB0"/>
    <w:rsid w:val="00355DFE"/>
    <w:rsid w:val="00366E2D"/>
    <w:rsid w:val="00372450"/>
    <w:rsid w:val="00373345"/>
    <w:rsid w:val="003737F5"/>
    <w:rsid w:val="00374D9E"/>
    <w:rsid w:val="00375097"/>
    <w:rsid w:val="00380AEA"/>
    <w:rsid w:val="00381ACB"/>
    <w:rsid w:val="003836EF"/>
    <w:rsid w:val="0038705E"/>
    <w:rsid w:val="003910AF"/>
    <w:rsid w:val="00391401"/>
    <w:rsid w:val="00393035"/>
    <w:rsid w:val="003A2DE0"/>
    <w:rsid w:val="003A3D78"/>
    <w:rsid w:val="003B1CD1"/>
    <w:rsid w:val="003B2ABC"/>
    <w:rsid w:val="003B365F"/>
    <w:rsid w:val="003B58F2"/>
    <w:rsid w:val="003C1540"/>
    <w:rsid w:val="003C22AD"/>
    <w:rsid w:val="003C33BB"/>
    <w:rsid w:val="003C4CF5"/>
    <w:rsid w:val="003C52BD"/>
    <w:rsid w:val="003C7656"/>
    <w:rsid w:val="003D0214"/>
    <w:rsid w:val="003D3E84"/>
    <w:rsid w:val="003E0457"/>
    <w:rsid w:val="003E4C18"/>
    <w:rsid w:val="003E66E9"/>
    <w:rsid w:val="003E6CE0"/>
    <w:rsid w:val="003E7C4C"/>
    <w:rsid w:val="003F020B"/>
    <w:rsid w:val="003F0E92"/>
    <w:rsid w:val="003F550B"/>
    <w:rsid w:val="003F6C44"/>
    <w:rsid w:val="003F6D34"/>
    <w:rsid w:val="003F6D4D"/>
    <w:rsid w:val="003F6E90"/>
    <w:rsid w:val="003F7ACC"/>
    <w:rsid w:val="003F7B90"/>
    <w:rsid w:val="00400012"/>
    <w:rsid w:val="00410A7B"/>
    <w:rsid w:val="00410FCC"/>
    <w:rsid w:val="00417F42"/>
    <w:rsid w:val="00421FD1"/>
    <w:rsid w:val="00422E69"/>
    <w:rsid w:val="00422FC3"/>
    <w:rsid w:val="004239F7"/>
    <w:rsid w:val="0042460A"/>
    <w:rsid w:val="004253A1"/>
    <w:rsid w:val="004262DA"/>
    <w:rsid w:val="00432357"/>
    <w:rsid w:val="00433702"/>
    <w:rsid w:val="004341B3"/>
    <w:rsid w:val="00435902"/>
    <w:rsid w:val="00436650"/>
    <w:rsid w:val="0043731F"/>
    <w:rsid w:val="00442E20"/>
    <w:rsid w:val="00456163"/>
    <w:rsid w:val="00457D50"/>
    <w:rsid w:val="004602BD"/>
    <w:rsid w:val="004615B0"/>
    <w:rsid w:val="004621A9"/>
    <w:rsid w:val="00462263"/>
    <w:rsid w:val="00464BB8"/>
    <w:rsid w:val="004657CA"/>
    <w:rsid w:val="004660C0"/>
    <w:rsid w:val="00467F43"/>
    <w:rsid w:val="00470E59"/>
    <w:rsid w:val="00470F72"/>
    <w:rsid w:val="00476621"/>
    <w:rsid w:val="00480FAA"/>
    <w:rsid w:val="00481B65"/>
    <w:rsid w:val="00481BCE"/>
    <w:rsid w:val="00481D27"/>
    <w:rsid w:val="00483175"/>
    <w:rsid w:val="004837AB"/>
    <w:rsid w:val="00484E49"/>
    <w:rsid w:val="00485F2B"/>
    <w:rsid w:val="00487208"/>
    <w:rsid w:val="00493DC0"/>
    <w:rsid w:val="00495212"/>
    <w:rsid w:val="004A01A6"/>
    <w:rsid w:val="004A04DD"/>
    <w:rsid w:val="004A29A7"/>
    <w:rsid w:val="004A5FB0"/>
    <w:rsid w:val="004A6E6E"/>
    <w:rsid w:val="004B043A"/>
    <w:rsid w:val="004B1DA3"/>
    <w:rsid w:val="004B22BA"/>
    <w:rsid w:val="004B37E4"/>
    <w:rsid w:val="004B4168"/>
    <w:rsid w:val="004B42EB"/>
    <w:rsid w:val="004C0129"/>
    <w:rsid w:val="004C27F1"/>
    <w:rsid w:val="004C3AB2"/>
    <w:rsid w:val="004C4DC0"/>
    <w:rsid w:val="004C5E5C"/>
    <w:rsid w:val="004D1554"/>
    <w:rsid w:val="004D24AE"/>
    <w:rsid w:val="004D3944"/>
    <w:rsid w:val="004D4AA4"/>
    <w:rsid w:val="004D587A"/>
    <w:rsid w:val="004E26E1"/>
    <w:rsid w:val="004E28BF"/>
    <w:rsid w:val="004E3735"/>
    <w:rsid w:val="004E37DC"/>
    <w:rsid w:val="004E3E77"/>
    <w:rsid w:val="004E4060"/>
    <w:rsid w:val="004E4A7F"/>
    <w:rsid w:val="004E4EB4"/>
    <w:rsid w:val="004E642D"/>
    <w:rsid w:val="004F3DD9"/>
    <w:rsid w:val="004F6222"/>
    <w:rsid w:val="004F6584"/>
    <w:rsid w:val="004F7043"/>
    <w:rsid w:val="004F7D60"/>
    <w:rsid w:val="005019E0"/>
    <w:rsid w:val="005031D1"/>
    <w:rsid w:val="00503DBB"/>
    <w:rsid w:val="005051F8"/>
    <w:rsid w:val="005074B9"/>
    <w:rsid w:val="005074E5"/>
    <w:rsid w:val="005107A7"/>
    <w:rsid w:val="00511684"/>
    <w:rsid w:val="00512F57"/>
    <w:rsid w:val="0051333C"/>
    <w:rsid w:val="00513839"/>
    <w:rsid w:val="005139D4"/>
    <w:rsid w:val="005145C3"/>
    <w:rsid w:val="00517707"/>
    <w:rsid w:val="00517A2E"/>
    <w:rsid w:val="005209A2"/>
    <w:rsid w:val="00522D89"/>
    <w:rsid w:val="00523D69"/>
    <w:rsid w:val="00535266"/>
    <w:rsid w:val="005363FB"/>
    <w:rsid w:val="0053681B"/>
    <w:rsid w:val="0054140D"/>
    <w:rsid w:val="00542747"/>
    <w:rsid w:val="005505AC"/>
    <w:rsid w:val="00553672"/>
    <w:rsid w:val="005572B6"/>
    <w:rsid w:val="00570E82"/>
    <w:rsid w:val="00572123"/>
    <w:rsid w:val="005731B8"/>
    <w:rsid w:val="00573A19"/>
    <w:rsid w:val="00577EC5"/>
    <w:rsid w:val="00580513"/>
    <w:rsid w:val="005809CF"/>
    <w:rsid w:val="00583436"/>
    <w:rsid w:val="005835C0"/>
    <w:rsid w:val="00584B10"/>
    <w:rsid w:val="005875B6"/>
    <w:rsid w:val="00591EB5"/>
    <w:rsid w:val="00592335"/>
    <w:rsid w:val="005923AD"/>
    <w:rsid w:val="005949EC"/>
    <w:rsid w:val="005A3F0F"/>
    <w:rsid w:val="005A603C"/>
    <w:rsid w:val="005B27EC"/>
    <w:rsid w:val="005B40AB"/>
    <w:rsid w:val="005B4FEB"/>
    <w:rsid w:val="005B509A"/>
    <w:rsid w:val="005B657C"/>
    <w:rsid w:val="005B7A38"/>
    <w:rsid w:val="005B7BD6"/>
    <w:rsid w:val="005C059F"/>
    <w:rsid w:val="005C1719"/>
    <w:rsid w:val="005C56F2"/>
    <w:rsid w:val="005C6AA7"/>
    <w:rsid w:val="005C6DB2"/>
    <w:rsid w:val="005C7381"/>
    <w:rsid w:val="005D177D"/>
    <w:rsid w:val="005E0196"/>
    <w:rsid w:val="005E01B3"/>
    <w:rsid w:val="005E0247"/>
    <w:rsid w:val="005E79D0"/>
    <w:rsid w:val="005F25A2"/>
    <w:rsid w:val="006004A9"/>
    <w:rsid w:val="00604439"/>
    <w:rsid w:val="0060493D"/>
    <w:rsid w:val="0060625C"/>
    <w:rsid w:val="00606E5E"/>
    <w:rsid w:val="006072E8"/>
    <w:rsid w:val="00607756"/>
    <w:rsid w:val="006101AC"/>
    <w:rsid w:val="006117A8"/>
    <w:rsid w:val="00616D28"/>
    <w:rsid w:val="0061756E"/>
    <w:rsid w:val="00621601"/>
    <w:rsid w:val="006216AF"/>
    <w:rsid w:val="006277E7"/>
    <w:rsid w:val="00632C37"/>
    <w:rsid w:val="00635F93"/>
    <w:rsid w:val="00644B1F"/>
    <w:rsid w:val="00646363"/>
    <w:rsid w:val="0064739A"/>
    <w:rsid w:val="00651221"/>
    <w:rsid w:val="00652E7D"/>
    <w:rsid w:val="006533EC"/>
    <w:rsid w:val="0066160C"/>
    <w:rsid w:val="00661C55"/>
    <w:rsid w:val="00662D4A"/>
    <w:rsid w:val="006672CC"/>
    <w:rsid w:val="00670ECD"/>
    <w:rsid w:val="006712EC"/>
    <w:rsid w:val="00677939"/>
    <w:rsid w:val="00680E95"/>
    <w:rsid w:val="00682D07"/>
    <w:rsid w:val="0068308D"/>
    <w:rsid w:val="0068352A"/>
    <w:rsid w:val="0068399B"/>
    <w:rsid w:val="00687F3D"/>
    <w:rsid w:val="00687FFB"/>
    <w:rsid w:val="00691768"/>
    <w:rsid w:val="00691AEC"/>
    <w:rsid w:val="006957A8"/>
    <w:rsid w:val="0069582B"/>
    <w:rsid w:val="006A2A5F"/>
    <w:rsid w:val="006A5F8A"/>
    <w:rsid w:val="006A6F93"/>
    <w:rsid w:val="006B0CE3"/>
    <w:rsid w:val="006B338B"/>
    <w:rsid w:val="006B3A3C"/>
    <w:rsid w:val="006B4928"/>
    <w:rsid w:val="006B4D94"/>
    <w:rsid w:val="006B6CEC"/>
    <w:rsid w:val="006C070E"/>
    <w:rsid w:val="006C1ACB"/>
    <w:rsid w:val="006C5674"/>
    <w:rsid w:val="006C56C1"/>
    <w:rsid w:val="006C5885"/>
    <w:rsid w:val="006C64A3"/>
    <w:rsid w:val="006C6BF0"/>
    <w:rsid w:val="006D0898"/>
    <w:rsid w:val="006D0C8E"/>
    <w:rsid w:val="006D30CC"/>
    <w:rsid w:val="006D779D"/>
    <w:rsid w:val="006D7CB7"/>
    <w:rsid w:val="006E47C2"/>
    <w:rsid w:val="006E48A1"/>
    <w:rsid w:val="006E704E"/>
    <w:rsid w:val="006E7673"/>
    <w:rsid w:val="006F024E"/>
    <w:rsid w:val="006F2683"/>
    <w:rsid w:val="006F77AE"/>
    <w:rsid w:val="00700832"/>
    <w:rsid w:val="00703E94"/>
    <w:rsid w:val="00710330"/>
    <w:rsid w:val="00711CF1"/>
    <w:rsid w:val="00712582"/>
    <w:rsid w:val="007139FB"/>
    <w:rsid w:val="00714159"/>
    <w:rsid w:val="007159A1"/>
    <w:rsid w:val="007174B6"/>
    <w:rsid w:val="00724B27"/>
    <w:rsid w:val="007274D5"/>
    <w:rsid w:val="0073123A"/>
    <w:rsid w:val="007372C6"/>
    <w:rsid w:val="0074632D"/>
    <w:rsid w:val="00747A27"/>
    <w:rsid w:val="00747CD7"/>
    <w:rsid w:val="00751C45"/>
    <w:rsid w:val="0075224D"/>
    <w:rsid w:val="00754339"/>
    <w:rsid w:val="0075580A"/>
    <w:rsid w:val="00756A79"/>
    <w:rsid w:val="0076055E"/>
    <w:rsid w:val="0076443F"/>
    <w:rsid w:val="007652E4"/>
    <w:rsid w:val="007656C1"/>
    <w:rsid w:val="0076717F"/>
    <w:rsid w:val="00771206"/>
    <w:rsid w:val="00771D38"/>
    <w:rsid w:val="00772A65"/>
    <w:rsid w:val="00781FE6"/>
    <w:rsid w:val="0078225D"/>
    <w:rsid w:val="00782E1A"/>
    <w:rsid w:val="00787DA8"/>
    <w:rsid w:val="00790655"/>
    <w:rsid w:val="00793185"/>
    <w:rsid w:val="00795FA2"/>
    <w:rsid w:val="007A0B63"/>
    <w:rsid w:val="007A1100"/>
    <w:rsid w:val="007A21CF"/>
    <w:rsid w:val="007A4AB2"/>
    <w:rsid w:val="007A5608"/>
    <w:rsid w:val="007A679C"/>
    <w:rsid w:val="007B14AB"/>
    <w:rsid w:val="007C1553"/>
    <w:rsid w:val="007C3B06"/>
    <w:rsid w:val="007C4345"/>
    <w:rsid w:val="007D2A6C"/>
    <w:rsid w:val="007E22F8"/>
    <w:rsid w:val="007E2E10"/>
    <w:rsid w:val="007E3219"/>
    <w:rsid w:val="007E55F6"/>
    <w:rsid w:val="007E5CDC"/>
    <w:rsid w:val="007E7E34"/>
    <w:rsid w:val="007F046D"/>
    <w:rsid w:val="007F04DE"/>
    <w:rsid w:val="007F53C6"/>
    <w:rsid w:val="00802327"/>
    <w:rsid w:val="008026AC"/>
    <w:rsid w:val="008044C2"/>
    <w:rsid w:val="008052E3"/>
    <w:rsid w:val="00810883"/>
    <w:rsid w:val="00810B31"/>
    <w:rsid w:val="00811852"/>
    <w:rsid w:val="00815D3B"/>
    <w:rsid w:val="00816AF6"/>
    <w:rsid w:val="0081769A"/>
    <w:rsid w:val="008236EA"/>
    <w:rsid w:val="008252E3"/>
    <w:rsid w:val="00827340"/>
    <w:rsid w:val="00830C5F"/>
    <w:rsid w:val="0083219B"/>
    <w:rsid w:val="008362ED"/>
    <w:rsid w:val="0083783A"/>
    <w:rsid w:val="00841E89"/>
    <w:rsid w:val="00845F34"/>
    <w:rsid w:val="00846D33"/>
    <w:rsid w:val="00850D7B"/>
    <w:rsid w:val="00851A56"/>
    <w:rsid w:val="00852A2E"/>
    <w:rsid w:val="00853D12"/>
    <w:rsid w:val="0085641C"/>
    <w:rsid w:val="00857264"/>
    <w:rsid w:val="00860531"/>
    <w:rsid w:val="00861212"/>
    <w:rsid w:val="00861325"/>
    <w:rsid w:val="008628E6"/>
    <w:rsid w:val="00867E78"/>
    <w:rsid w:val="00871EF8"/>
    <w:rsid w:val="008720DD"/>
    <w:rsid w:val="008766C4"/>
    <w:rsid w:val="00880078"/>
    <w:rsid w:val="00880FC2"/>
    <w:rsid w:val="0088147D"/>
    <w:rsid w:val="0088348F"/>
    <w:rsid w:val="00884B20"/>
    <w:rsid w:val="00884BF8"/>
    <w:rsid w:val="00884FEB"/>
    <w:rsid w:val="0088541C"/>
    <w:rsid w:val="00892B0D"/>
    <w:rsid w:val="00892C8F"/>
    <w:rsid w:val="00893F74"/>
    <w:rsid w:val="0089633F"/>
    <w:rsid w:val="008A1338"/>
    <w:rsid w:val="008A23E3"/>
    <w:rsid w:val="008A2E68"/>
    <w:rsid w:val="008A37FA"/>
    <w:rsid w:val="008A5DDE"/>
    <w:rsid w:val="008A7FBE"/>
    <w:rsid w:val="008B0577"/>
    <w:rsid w:val="008B1F43"/>
    <w:rsid w:val="008B28B1"/>
    <w:rsid w:val="008B38A3"/>
    <w:rsid w:val="008B3D59"/>
    <w:rsid w:val="008B3D9B"/>
    <w:rsid w:val="008B4B31"/>
    <w:rsid w:val="008B5292"/>
    <w:rsid w:val="008B6A99"/>
    <w:rsid w:val="008B7A2C"/>
    <w:rsid w:val="008C2169"/>
    <w:rsid w:val="008C22E1"/>
    <w:rsid w:val="008C5098"/>
    <w:rsid w:val="008C5E1F"/>
    <w:rsid w:val="008D0629"/>
    <w:rsid w:val="008D52F9"/>
    <w:rsid w:val="008D561A"/>
    <w:rsid w:val="008D67F5"/>
    <w:rsid w:val="008D6E61"/>
    <w:rsid w:val="008E3D24"/>
    <w:rsid w:val="008E416B"/>
    <w:rsid w:val="008E5A12"/>
    <w:rsid w:val="008E6ACA"/>
    <w:rsid w:val="008F2A54"/>
    <w:rsid w:val="008F2C86"/>
    <w:rsid w:val="008F5F94"/>
    <w:rsid w:val="008F6E13"/>
    <w:rsid w:val="009009C7"/>
    <w:rsid w:val="00904989"/>
    <w:rsid w:val="00905A12"/>
    <w:rsid w:val="00913F4E"/>
    <w:rsid w:val="009141F3"/>
    <w:rsid w:val="00914A51"/>
    <w:rsid w:val="0091588A"/>
    <w:rsid w:val="009165D0"/>
    <w:rsid w:val="009168C1"/>
    <w:rsid w:val="00920589"/>
    <w:rsid w:val="00920CA7"/>
    <w:rsid w:val="009228A6"/>
    <w:rsid w:val="009235AB"/>
    <w:rsid w:val="00924314"/>
    <w:rsid w:val="00924356"/>
    <w:rsid w:val="00924DCF"/>
    <w:rsid w:val="009273FB"/>
    <w:rsid w:val="009313C6"/>
    <w:rsid w:val="00934473"/>
    <w:rsid w:val="00934F92"/>
    <w:rsid w:val="00941C69"/>
    <w:rsid w:val="00942919"/>
    <w:rsid w:val="00942A33"/>
    <w:rsid w:val="00946FBB"/>
    <w:rsid w:val="00951900"/>
    <w:rsid w:val="00951FB5"/>
    <w:rsid w:val="0095239F"/>
    <w:rsid w:val="009527C5"/>
    <w:rsid w:val="00960376"/>
    <w:rsid w:val="009607C3"/>
    <w:rsid w:val="00962819"/>
    <w:rsid w:val="0096357F"/>
    <w:rsid w:val="009715C7"/>
    <w:rsid w:val="00974601"/>
    <w:rsid w:val="00980292"/>
    <w:rsid w:val="00980CA2"/>
    <w:rsid w:val="00981E2C"/>
    <w:rsid w:val="00981FFA"/>
    <w:rsid w:val="00982C3F"/>
    <w:rsid w:val="00983ACB"/>
    <w:rsid w:val="00984186"/>
    <w:rsid w:val="0098433B"/>
    <w:rsid w:val="00985AEC"/>
    <w:rsid w:val="00993BA6"/>
    <w:rsid w:val="00994371"/>
    <w:rsid w:val="0099734A"/>
    <w:rsid w:val="009A3CB1"/>
    <w:rsid w:val="009A54E9"/>
    <w:rsid w:val="009A59A5"/>
    <w:rsid w:val="009A5A75"/>
    <w:rsid w:val="009A7C4E"/>
    <w:rsid w:val="009B1094"/>
    <w:rsid w:val="009B3813"/>
    <w:rsid w:val="009B3CBF"/>
    <w:rsid w:val="009B4086"/>
    <w:rsid w:val="009B479F"/>
    <w:rsid w:val="009B5F73"/>
    <w:rsid w:val="009B7A63"/>
    <w:rsid w:val="009C0E57"/>
    <w:rsid w:val="009C12B3"/>
    <w:rsid w:val="009C423A"/>
    <w:rsid w:val="009C45DD"/>
    <w:rsid w:val="009C4EED"/>
    <w:rsid w:val="009C5A48"/>
    <w:rsid w:val="009C5EA4"/>
    <w:rsid w:val="009C6173"/>
    <w:rsid w:val="009C6C2D"/>
    <w:rsid w:val="009C6FB6"/>
    <w:rsid w:val="009D13F1"/>
    <w:rsid w:val="009D2A27"/>
    <w:rsid w:val="009D44B8"/>
    <w:rsid w:val="009D522E"/>
    <w:rsid w:val="009E349D"/>
    <w:rsid w:val="009E34B4"/>
    <w:rsid w:val="009E3EDE"/>
    <w:rsid w:val="009E4BD4"/>
    <w:rsid w:val="009E4E34"/>
    <w:rsid w:val="009E562B"/>
    <w:rsid w:val="009E7D61"/>
    <w:rsid w:val="009F62CA"/>
    <w:rsid w:val="00A0285C"/>
    <w:rsid w:val="00A0780B"/>
    <w:rsid w:val="00A12785"/>
    <w:rsid w:val="00A2057D"/>
    <w:rsid w:val="00A229A4"/>
    <w:rsid w:val="00A23FA0"/>
    <w:rsid w:val="00A304B2"/>
    <w:rsid w:val="00A3409D"/>
    <w:rsid w:val="00A3688B"/>
    <w:rsid w:val="00A37AF1"/>
    <w:rsid w:val="00A418DE"/>
    <w:rsid w:val="00A42344"/>
    <w:rsid w:val="00A434B8"/>
    <w:rsid w:val="00A441BD"/>
    <w:rsid w:val="00A44FDC"/>
    <w:rsid w:val="00A45186"/>
    <w:rsid w:val="00A45EC5"/>
    <w:rsid w:val="00A46E4E"/>
    <w:rsid w:val="00A50B64"/>
    <w:rsid w:val="00A51334"/>
    <w:rsid w:val="00A52C21"/>
    <w:rsid w:val="00A530B5"/>
    <w:rsid w:val="00A548B9"/>
    <w:rsid w:val="00A54AA9"/>
    <w:rsid w:val="00A55D2F"/>
    <w:rsid w:val="00A56B4D"/>
    <w:rsid w:val="00A61B89"/>
    <w:rsid w:val="00A61CD5"/>
    <w:rsid w:val="00A65EC9"/>
    <w:rsid w:val="00A66475"/>
    <w:rsid w:val="00A72415"/>
    <w:rsid w:val="00A7252E"/>
    <w:rsid w:val="00A72F57"/>
    <w:rsid w:val="00A75B80"/>
    <w:rsid w:val="00A80AF7"/>
    <w:rsid w:val="00A812E3"/>
    <w:rsid w:val="00A82EDD"/>
    <w:rsid w:val="00A8369B"/>
    <w:rsid w:val="00A92122"/>
    <w:rsid w:val="00A94200"/>
    <w:rsid w:val="00A94705"/>
    <w:rsid w:val="00A960CE"/>
    <w:rsid w:val="00A96C2C"/>
    <w:rsid w:val="00A97FCA"/>
    <w:rsid w:val="00AA0DBF"/>
    <w:rsid w:val="00AA21D6"/>
    <w:rsid w:val="00AA2928"/>
    <w:rsid w:val="00AA3165"/>
    <w:rsid w:val="00AA379B"/>
    <w:rsid w:val="00AA3926"/>
    <w:rsid w:val="00AA4499"/>
    <w:rsid w:val="00AA45B9"/>
    <w:rsid w:val="00AA4C9B"/>
    <w:rsid w:val="00AA5F9C"/>
    <w:rsid w:val="00AA66FE"/>
    <w:rsid w:val="00AB0C6A"/>
    <w:rsid w:val="00AB1E67"/>
    <w:rsid w:val="00AB6BEE"/>
    <w:rsid w:val="00AD2A62"/>
    <w:rsid w:val="00AD2EFD"/>
    <w:rsid w:val="00AD3C29"/>
    <w:rsid w:val="00AD3EFC"/>
    <w:rsid w:val="00AD4474"/>
    <w:rsid w:val="00AD5FE0"/>
    <w:rsid w:val="00AD6835"/>
    <w:rsid w:val="00AE056C"/>
    <w:rsid w:val="00AE0607"/>
    <w:rsid w:val="00AE16A3"/>
    <w:rsid w:val="00AE2DA9"/>
    <w:rsid w:val="00AE48BF"/>
    <w:rsid w:val="00AE4C8A"/>
    <w:rsid w:val="00AE552B"/>
    <w:rsid w:val="00AE6D94"/>
    <w:rsid w:val="00AF4A2F"/>
    <w:rsid w:val="00AF4FA8"/>
    <w:rsid w:val="00B0280B"/>
    <w:rsid w:val="00B03C00"/>
    <w:rsid w:val="00B0454C"/>
    <w:rsid w:val="00B109D3"/>
    <w:rsid w:val="00B12850"/>
    <w:rsid w:val="00B15600"/>
    <w:rsid w:val="00B205AC"/>
    <w:rsid w:val="00B211D3"/>
    <w:rsid w:val="00B224B8"/>
    <w:rsid w:val="00B30323"/>
    <w:rsid w:val="00B34177"/>
    <w:rsid w:val="00B34F17"/>
    <w:rsid w:val="00B34F4A"/>
    <w:rsid w:val="00B361AE"/>
    <w:rsid w:val="00B374C7"/>
    <w:rsid w:val="00B40B37"/>
    <w:rsid w:val="00B4100E"/>
    <w:rsid w:val="00B43404"/>
    <w:rsid w:val="00B4392C"/>
    <w:rsid w:val="00B4405E"/>
    <w:rsid w:val="00B4611A"/>
    <w:rsid w:val="00B54DD1"/>
    <w:rsid w:val="00B577D3"/>
    <w:rsid w:val="00B60260"/>
    <w:rsid w:val="00B608A6"/>
    <w:rsid w:val="00B61D65"/>
    <w:rsid w:val="00B61EA5"/>
    <w:rsid w:val="00B62A7C"/>
    <w:rsid w:val="00B67401"/>
    <w:rsid w:val="00B773A6"/>
    <w:rsid w:val="00B774ED"/>
    <w:rsid w:val="00B8246C"/>
    <w:rsid w:val="00B827C9"/>
    <w:rsid w:val="00B82944"/>
    <w:rsid w:val="00B90863"/>
    <w:rsid w:val="00B91C19"/>
    <w:rsid w:val="00B91D47"/>
    <w:rsid w:val="00B92ABC"/>
    <w:rsid w:val="00B94E48"/>
    <w:rsid w:val="00B95425"/>
    <w:rsid w:val="00B9643F"/>
    <w:rsid w:val="00BA07C4"/>
    <w:rsid w:val="00BA0852"/>
    <w:rsid w:val="00BA229C"/>
    <w:rsid w:val="00BA2B5A"/>
    <w:rsid w:val="00BA3A97"/>
    <w:rsid w:val="00BA4306"/>
    <w:rsid w:val="00BA5E93"/>
    <w:rsid w:val="00BA6ADC"/>
    <w:rsid w:val="00BB06F2"/>
    <w:rsid w:val="00BB4BF4"/>
    <w:rsid w:val="00BB6B4D"/>
    <w:rsid w:val="00BC25E8"/>
    <w:rsid w:val="00BC4E52"/>
    <w:rsid w:val="00BD1224"/>
    <w:rsid w:val="00BD3E3E"/>
    <w:rsid w:val="00BD4B65"/>
    <w:rsid w:val="00BD6E74"/>
    <w:rsid w:val="00BD7E58"/>
    <w:rsid w:val="00BE057B"/>
    <w:rsid w:val="00BE2490"/>
    <w:rsid w:val="00BE55BF"/>
    <w:rsid w:val="00BE7356"/>
    <w:rsid w:val="00BE7976"/>
    <w:rsid w:val="00BE7B37"/>
    <w:rsid w:val="00BF0AD8"/>
    <w:rsid w:val="00C005FB"/>
    <w:rsid w:val="00C03B3D"/>
    <w:rsid w:val="00C07F57"/>
    <w:rsid w:val="00C10D23"/>
    <w:rsid w:val="00C12842"/>
    <w:rsid w:val="00C149C5"/>
    <w:rsid w:val="00C16B4D"/>
    <w:rsid w:val="00C2064E"/>
    <w:rsid w:val="00C21761"/>
    <w:rsid w:val="00C24523"/>
    <w:rsid w:val="00C25699"/>
    <w:rsid w:val="00C25741"/>
    <w:rsid w:val="00C3008F"/>
    <w:rsid w:val="00C30969"/>
    <w:rsid w:val="00C33618"/>
    <w:rsid w:val="00C3536A"/>
    <w:rsid w:val="00C37982"/>
    <w:rsid w:val="00C422A8"/>
    <w:rsid w:val="00C46787"/>
    <w:rsid w:val="00C5013F"/>
    <w:rsid w:val="00C5133A"/>
    <w:rsid w:val="00C54F13"/>
    <w:rsid w:val="00C55AFA"/>
    <w:rsid w:val="00C60AF4"/>
    <w:rsid w:val="00C6317C"/>
    <w:rsid w:val="00C66402"/>
    <w:rsid w:val="00C7102A"/>
    <w:rsid w:val="00C717C1"/>
    <w:rsid w:val="00C73B4B"/>
    <w:rsid w:val="00C74681"/>
    <w:rsid w:val="00C76247"/>
    <w:rsid w:val="00C763AA"/>
    <w:rsid w:val="00C8048C"/>
    <w:rsid w:val="00C8118D"/>
    <w:rsid w:val="00C81849"/>
    <w:rsid w:val="00C83B73"/>
    <w:rsid w:val="00C84137"/>
    <w:rsid w:val="00C841BB"/>
    <w:rsid w:val="00C841F4"/>
    <w:rsid w:val="00C849D8"/>
    <w:rsid w:val="00C84DA9"/>
    <w:rsid w:val="00C90C46"/>
    <w:rsid w:val="00C91C9B"/>
    <w:rsid w:val="00C958EE"/>
    <w:rsid w:val="00C975B8"/>
    <w:rsid w:val="00CA0AE6"/>
    <w:rsid w:val="00CA0AF8"/>
    <w:rsid w:val="00CA20B3"/>
    <w:rsid w:val="00CA2523"/>
    <w:rsid w:val="00CA3F7D"/>
    <w:rsid w:val="00CA483C"/>
    <w:rsid w:val="00CA54C0"/>
    <w:rsid w:val="00CA5EAF"/>
    <w:rsid w:val="00CA6982"/>
    <w:rsid w:val="00CA7DD9"/>
    <w:rsid w:val="00CB1683"/>
    <w:rsid w:val="00CB2B16"/>
    <w:rsid w:val="00CB4C5A"/>
    <w:rsid w:val="00CB4C6E"/>
    <w:rsid w:val="00CB57A9"/>
    <w:rsid w:val="00CB7973"/>
    <w:rsid w:val="00CC0F77"/>
    <w:rsid w:val="00CC3307"/>
    <w:rsid w:val="00CC56A2"/>
    <w:rsid w:val="00CC6778"/>
    <w:rsid w:val="00CC7D31"/>
    <w:rsid w:val="00CD190F"/>
    <w:rsid w:val="00CD4E70"/>
    <w:rsid w:val="00CD53E1"/>
    <w:rsid w:val="00CD586D"/>
    <w:rsid w:val="00CD6006"/>
    <w:rsid w:val="00CD69C2"/>
    <w:rsid w:val="00CD7096"/>
    <w:rsid w:val="00CE2A3F"/>
    <w:rsid w:val="00CE3DBA"/>
    <w:rsid w:val="00CE702D"/>
    <w:rsid w:val="00CF6866"/>
    <w:rsid w:val="00CF74DE"/>
    <w:rsid w:val="00D009E6"/>
    <w:rsid w:val="00D041C7"/>
    <w:rsid w:val="00D04CB0"/>
    <w:rsid w:val="00D116E6"/>
    <w:rsid w:val="00D12CD4"/>
    <w:rsid w:val="00D137BD"/>
    <w:rsid w:val="00D14077"/>
    <w:rsid w:val="00D15626"/>
    <w:rsid w:val="00D177BD"/>
    <w:rsid w:val="00D219AC"/>
    <w:rsid w:val="00D22CDB"/>
    <w:rsid w:val="00D25017"/>
    <w:rsid w:val="00D253A6"/>
    <w:rsid w:val="00D30577"/>
    <w:rsid w:val="00D31A12"/>
    <w:rsid w:val="00D31BF9"/>
    <w:rsid w:val="00D32C76"/>
    <w:rsid w:val="00D34E84"/>
    <w:rsid w:val="00D36FF4"/>
    <w:rsid w:val="00D40122"/>
    <w:rsid w:val="00D42A90"/>
    <w:rsid w:val="00D42E57"/>
    <w:rsid w:val="00D43B33"/>
    <w:rsid w:val="00D4521D"/>
    <w:rsid w:val="00D45B3D"/>
    <w:rsid w:val="00D46FAD"/>
    <w:rsid w:val="00D54CA5"/>
    <w:rsid w:val="00D571FD"/>
    <w:rsid w:val="00D61224"/>
    <w:rsid w:val="00D6147E"/>
    <w:rsid w:val="00D6166D"/>
    <w:rsid w:val="00D61D74"/>
    <w:rsid w:val="00D647E2"/>
    <w:rsid w:val="00D64CDF"/>
    <w:rsid w:val="00D756E5"/>
    <w:rsid w:val="00D809EB"/>
    <w:rsid w:val="00D82441"/>
    <w:rsid w:val="00D83493"/>
    <w:rsid w:val="00D83C15"/>
    <w:rsid w:val="00D8422B"/>
    <w:rsid w:val="00D84C6E"/>
    <w:rsid w:val="00D85B87"/>
    <w:rsid w:val="00D90506"/>
    <w:rsid w:val="00D92E15"/>
    <w:rsid w:val="00D95454"/>
    <w:rsid w:val="00D963E0"/>
    <w:rsid w:val="00D9713D"/>
    <w:rsid w:val="00DA039E"/>
    <w:rsid w:val="00DA53AF"/>
    <w:rsid w:val="00DA72A0"/>
    <w:rsid w:val="00DA7CDF"/>
    <w:rsid w:val="00DB3DCA"/>
    <w:rsid w:val="00DB3F13"/>
    <w:rsid w:val="00DB4C14"/>
    <w:rsid w:val="00DB5FE2"/>
    <w:rsid w:val="00DC0E6C"/>
    <w:rsid w:val="00DC5436"/>
    <w:rsid w:val="00DC6248"/>
    <w:rsid w:val="00DD04C8"/>
    <w:rsid w:val="00DD1D83"/>
    <w:rsid w:val="00DD214F"/>
    <w:rsid w:val="00DD3066"/>
    <w:rsid w:val="00DD3302"/>
    <w:rsid w:val="00DD35F3"/>
    <w:rsid w:val="00DD4170"/>
    <w:rsid w:val="00DD58D2"/>
    <w:rsid w:val="00DD6196"/>
    <w:rsid w:val="00DE0E7D"/>
    <w:rsid w:val="00DE15C4"/>
    <w:rsid w:val="00DE2D67"/>
    <w:rsid w:val="00DE6B0F"/>
    <w:rsid w:val="00DF0488"/>
    <w:rsid w:val="00DF3DF4"/>
    <w:rsid w:val="00DF5426"/>
    <w:rsid w:val="00DF6AB7"/>
    <w:rsid w:val="00DF6EB3"/>
    <w:rsid w:val="00E000D8"/>
    <w:rsid w:val="00E00EDA"/>
    <w:rsid w:val="00E04029"/>
    <w:rsid w:val="00E042BD"/>
    <w:rsid w:val="00E04419"/>
    <w:rsid w:val="00E04849"/>
    <w:rsid w:val="00E13003"/>
    <w:rsid w:val="00E22460"/>
    <w:rsid w:val="00E236DA"/>
    <w:rsid w:val="00E242FA"/>
    <w:rsid w:val="00E24BC3"/>
    <w:rsid w:val="00E2592E"/>
    <w:rsid w:val="00E305AB"/>
    <w:rsid w:val="00E32B47"/>
    <w:rsid w:val="00E32E94"/>
    <w:rsid w:val="00E3668E"/>
    <w:rsid w:val="00E36835"/>
    <w:rsid w:val="00E372C1"/>
    <w:rsid w:val="00E40599"/>
    <w:rsid w:val="00E44134"/>
    <w:rsid w:val="00E449E6"/>
    <w:rsid w:val="00E45351"/>
    <w:rsid w:val="00E47569"/>
    <w:rsid w:val="00E47F27"/>
    <w:rsid w:val="00E500D2"/>
    <w:rsid w:val="00E51B73"/>
    <w:rsid w:val="00E536D7"/>
    <w:rsid w:val="00E6130B"/>
    <w:rsid w:val="00E624F3"/>
    <w:rsid w:val="00E62D5E"/>
    <w:rsid w:val="00E63559"/>
    <w:rsid w:val="00E65C50"/>
    <w:rsid w:val="00E6646C"/>
    <w:rsid w:val="00E67C9C"/>
    <w:rsid w:val="00E7084B"/>
    <w:rsid w:val="00E72394"/>
    <w:rsid w:val="00E74010"/>
    <w:rsid w:val="00E82E85"/>
    <w:rsid w:val="00E8694A"/>
    <w:rsid w:val="00E91E6B"/>
    <w:rsid w:val="00E93C6A"/>
    <w:rsid w:val="00E9575D"/>
    <w:rsid w:val="00E9589D"/>
    <w:rsid w:val="00E95E5C"/>
    <w:rsid w:val="00EA0371"/>
    <w:rsid w:val="00EA0E99"/>
    <w:rsid w:val="00EA266B"/>
    <w:rsid w:val="00EA362F"/>
    <w:rsid w:val="00EA3F3F"/>
    <w:rsid w:val="00EA5776"/>
    <w:rsid w:val="00EA5AC1"/>
    <w:rsid w:val="00EA61B6"/>
    <w:rsid w:val="00EA7EC6"/>
    <w:rsid w:val="00EB0270"/>
    <w:rsid w:val="00EB1F62"/>
    <w:rsid w:val="00EB493D"/>
    <w:rsid w:val="00EB4D94"/>
    <w:rsid w:val="00EB6FFB"/>
    <w:rsid w:val="00EB7FAE"/>
    <w:rsid w:val="00EC395F"/>
    <w:rsid w:val="00EC4284"/>
    <w:rsid w:val="00EC6AD8"/>
    <w:rsid w:val="00EC757B"/>
    <w:rsid w:val="00ED0223"/>
    <w:rsid w:val="00ED0B96"/>
    <w:rsid w:val="00ED26F0"/>
    <w:rsid w:val="00ED294F"/>
    <w:rsid w:val="00ED2FEA"/>
    <w:rsid w:val="00ED3C76"/>
    <w:rsid w:val="00ED3FDA"/>
    <w:rsid w:val="00ED40A7"/>
    <w:rsid w:val="00ED4D6C"/>
    <w:rsid w:val="00ED6823"/>
    <w:rsid w:val="00ED75E9"/>
    <w:rsid w:val="00EE181C"/>
    <w:rsid w:val="00EE3DFC"/>
    <w:rsid w:val="00EE573D"/>
    <w:rsid w:val="00EE68AD"/>
    <w:rsid w:val="00EF036C"/>
    <w:rsid w:val="00EF0E50"/>
    <w:rsid w:val="00EF282F"/>
    <w:rsid w:val="00EF3CF3"/>
    <w:rsid w:val="00EF3FCE"/>
    <w:rsid w:val="00EF4547"/>
    <w:rsid w:val="00EF4AAD"/>
    <w:rsid w:val="00EF62EC"/>
    <w:rsid w:val="00F02622"/>
    <w:rsid w:val="00F030E6"/>
    <w:rsid w:val="00F03E28"/>
    <w:rsid w:val="00F06A20"/>
    <w:rsid w:val="00F10644"/>
    <w:rsid w:val="00F12BA6"/>
    <w:rsid w:val="00F144D7"/>
    <w:rsid w:val="00F14999"/>
    <w:rsid w:val="00F16478"/>
    <w:rsid w:val="00F16F9D"/>
    <w:rsid w:val="00F17053"/>
    <w:rsid w:val="00F17329"/>
    <w:rsid w:val="00F1759D"/>
    <w:rsid w:val="00F246B1"/>
    <w:rsid w:val="00F24AB3"/>
    <w:rsid w:val="00F25108"/>
    <w:rsid w:val="00F25231"/>
    <w:rsid w:val="00F30495"/>
    <w:rsid w:val="00F30F08"/>
    <w:rsid w:val="00F32502"/>
    <w:rsid w:val="00F36274"/>
    <w:rsid w:val="00F36E14"/>
    <w:rsid w:val="00F37369"/>
    <w:rsid w:val="00F4038D"/>
    <w:rsid w:val="00F4067F"/>
    <w:rsid w:val="00F415D9"/>
    <w:rsid w:val="00F42625"/>
    <w:rsid w:val="00F428E9"/>
    <w:rsid w:val="00F44912"/>
    <w:rsid w:val="00F44DDA"/>
    <w:rsid w:val="00F454FC"/>
    <w:rsid w:val="00F4692C"/>
    <w:rsid w:val="00F55433"/>
    <w:rsid w:val="00F56173"/>
    <w:rsid w:val="00F6005B"/>
    <w:rsid w:val="00F60063"/>
    <w:rsid w:val="00F63A9E"/>
    <w:rsid w:val="00F65BD2"/>
    <w:rsid w:val="00F71575"/>
    <w:rsid w:val="00F77456"/>
    <w:rsid w:val="00F8195C"/>
    <w:rsid w:val="00F81C4A"/>
    <w:rsid w:val="00F848C0"/>
    <w:rsid w:val="00F87E10"/>
    <w:rsid w:val="00F91833"/>
    <w:rsid w:val="00F91B25"/>
    <w:rsid w:val="00F9390E"/>
    <w:rsid w:val="00F93984"/>
    <w:rsid w:val="00F94113"/>
    <w:rsid w:val="00F962DC"/>
    <w:rsid w:val="00F96D87"/>
    <w:rsid w:val="00F971BC"/>
    <w:rsid w:val="00FA1623"/>
    <w:rsid w:val="00FA3BB8"/>
    <w:rsid w:val="00FA46EA"/>
    <w:rsid w:val="00FA5C21"/>
    <w:rsid w:val="00FA72CC"/>
    <w:rsid w:val="00FB2A94"/>
    <w:rsid w:val="00FB32BC"/>
    <w:rsid w:val="00FB579C"/>
    <w:rsid w:val="00FB5CF8"/>
    <w:rsid w:val="00FC13CF"/>
    <w:rsid w:val="00FC258C"/>
    <w:rsid w:val="00FC65AA"/>
    <w:rsid w:val="00FD0AE9"/>
    <w:rsid w:val="00FD230D"/>
    <w:rsid w:val="00FD7E91"/>
    <w:rsid w:val="00FE0BED"/>
    <w:rsid w:val="00FE4234"/>
    <w:rsid w:val="00FF0DD9"/>
    <w:rsid w:val="00FF2D94"/>
    <w:rsid w:val="00FF2FC0"/>
    <w:rsid w:val="00FF4132"/>
    <w:rsid w:val="00FF57CE"/>
    <w:rsid w:val="00FF7716"/>
    <w:rsid w:val="00FF7B58"/>
    <w:rsid w:val="015D6E3A"/>
    <w:rsid w:val="01D91E04"/>
    <w:rsid w:val="02223F48"/>
    <w:rsid w:val="03611CAD"/>
    <w:rsid w:val="03AB6D57"/>
    <w:rsid w:val="05B63A4F"/>
    <w:rsid w:val="069B15A6"/>
    <w:rsid w:val="06A221C3"/>
    <w:rsid w:val="07946481"/>
    <w:rsid w:val="08B5499F"/>
    <w:rsid w:val="08B66D84"/>
    <w:rsid w:val="0BB91D71"/>
    <w:rsid w:val="0BEA424F"/>
    <w:rsid w:val="0C5F6163"/>
    <w:rsid w:val="0C8F742D"/>
    <w:rsid w:val="0CBE5D10"/>
    <w:rsid w:val="0D021B40"/>
    <w:rsid w:val="0DF97215"/>
    <w:rsid w:val="0E8960A0"/>
    <w:rsid w:val="0EA60459"/>
    <w:rsid w:val="0EB546F8"/>
    <w:rsid w:val="0EE3259C"/>
    <w:rsid w:val="0F3A1D9D"/>
    <w:rsid w:val="0FE4568F"/>
    <w:rsid w:val="10262E7D"/>
    <w:rsid w:val="10E67010"/>
    <w:rsid w:val="10FD297F"/>
    <w:rsid w:val="1185076D"/>
    <w:rsid w:val="118A39A3"/>
    <w:rsid w:val="11A071A4"/>
    <w:rsid w:val="12A52DD5"/>
    <w:rsid w:val="12F93BF2"/>
    <w:rsid w:val="1360537A"/>
    <w:rsid w:val="145B7351"/>
    <w:rsid w:val="15F33BEE"/>
    <w:rsid w:val="168D30CD"/>
    <w:rsid w:val="16D66D4F"/>
    <w:rsid w:val="16FB69F3"/>
    <w:rsid w:val="18024366"/>
    <w:rsid w:val="18092131"/>
    <w:rsid w:val="18677D25"/>
    <w:rsid w:val="18E1784B"/>
    <w:rsid w:val="1AE713D9"/>
    <w:rsid w:val="1B8C0B5A"/>
    <w:rsid w:val="1D941C94"/>
    <w:rsid w:val="1E887F88"/>
    <w:rsid w:val="1EF80848"/>
    <w:rsid w:val="1FC05C80"/>
    <w:rsid w:val="1FD346B0"/>
    <w:rsid w:val="2003656A"/>
    <w:rsid w:val="207A171E"/>
    <w:rsid w:val="20A137CD"/>
    <w:rsid w:val="20BD6FAE"/>
    <w:rsid w:val="217D0F41"/>
    <w:rsid w:val="21CF498F"/>
    <w:rsid w:val="22297444"/>
    <w:rsid w:val="2239189F"/>
    <w:rsid w:val="22576285"/>
    <w:rsid w:val="24E46A06"/>
    <w:rsid w:val="25A77CBE"/>
    <w:rsid w:val="264A7CE8"/>
    <w:rsid w:val="26847778"/>
    <w:rsid w:val="27292E7A"/>
    <w:rsid w:val="278F07D1"/>
    <w:rsid w:val="281435E4"/>
    <w:rsid w:val="283E79C8"/>
    <w:rsid w:val="28461219"/>
    <w:rsid w:val="28895AC6"/>
    <w:rsid w:val="28954A52"/>
    <w:rsid w:val="29D9107B"/>
    <w:rsid w:val="29FB0100"/>
    <w:rsid w:val="2A9702BB"/>
    <w:rsid w:val="2B1A2C8E"/>
    <w:rsid w:val="2C1F4899"/>
    <w:rsid w:val="2CFA6D03"/>
    <w:rsid w:val="2D3C4CEF"/>
    <w:rsid w:val="2DD234AE"/>
    <w:rsid w:val="2E496231"/>
    <w:rsid w:val="2E81056E"/>
    <w:rsid w:val="2EA30187"/>
    <w:rsid w:val="2EF26589"/>
    <w:rsid w:val="30142047"/>
    <w:rsid w:val="302C529B"/>
    <w:rsid w:val="3043540A"/>
    <w:rsid w:val="30580461"/>
    <w:rsid w:val="30A44822"/>
    <w:rsid w:val="31F93C4E"/>
    <w:rsid w:val="322B4392"/>
    <w:rsid w:val="32800BDC"/>
    <w:rsid w:val="32CA2A02"/>
    <w:rsid w:val="33783CDA"/>
    <w:rsid w:val="33BD1340"/>
    <w:rsid w:val="33E9762B"/>
    <w:rsid w:val="34F82DA7"/>
    <w:rsid w:val="35034341"/>
    <w:rsid w:val="356675C4"/>
    <w:rsid w:val="35F5202A"/>
    <w:rsid w:val="361D39E5"/>
    <w:rsid w:val="363640AF"/>
    <w:rsid w:val="366A7BC2"/>
    <w:rsid w:val="36B24130"/>
    <w:rsid w:val="36FB7154"/>
    <w:rsid w:val="375274D3"/>
    <w:rsid w:val="37A30DD4"/>
    <w:rsid w:val="38302E01"/>
    <w:rsid w:val="385D7E2E"/>
    <w:rsid w:val="397C4393"/>
    <w:rsid w:val="3983103D"/>
    <w:rsid w:val="39B61CAF"/>
    <w:rsid w:val="3A941BD6"/>
    <w:rsid w:val="3A95797F"/>
    <w:rsid w:val="3B3474C9"/>
    <w:rsid w:val="3B852606"/>
    <w:rsid w:val="3BD378F5"/>
    <w:rsid w:val="3CFE0240"/>
    <w:rsid w:val="3E72502B"/>
    <w:rsid w:val="3E9F277C"/>
    <w:rsid w:val="3FA02390"/>
    <w:rsid w:val="40350B95"/>
    <w:rsid w:val="404819A1"/>
    <w:rsid w:val="405621F9"/>
    <w:rsid w:val="412204CF"/>
    <w:rsid w:val="423975A9"/>
    <w:rsid w:val="45752E77"/>
    <w:rsid w:val="4578762B"/>
    <w:rsid w:val="45B616D5"/>
    <w:rsid w:val="45C313A8"/>
    <w:rsid w:val="47274DA9"/>
    <w:rsid w:val="47C20DBA"/>
    <w:rsid w:val="48D52BD9"/>
    <w:rsid w:val="49501F08"/>
    <w:rsid w:val="4A201E88"/>
    <w:rsid w:val="4A33399A"/>
    <w:rsid w:val="4A4D2AD9"/>
    <w:rsid w:val="4A68076C"/>
    <w:rsid w:val="4AF8069E"/>
    <w:rsid w:val="4B1A6B7C"/>
    <w:rsid w:val="4BAB7E1B"/>
    <w:rsid w:val="4D565190"/>
    <w:rsid w:val="4D5B6AFA"/>
    <w:rsid w:val="4DA36216"/>
    <w:rsid w:val="4DDE4FFE"/>
    <w:rsid w:val="4DEC076F"/>
    <w:rsid w:val="4E736555"/>
    <w:rsid w:val="4FCB0CDF"/>
    <w:rsid w:val="4FD6105A"/>
    <w:rsid w:val="4FF11C55"/>
    <w:rsid w:val="506B5568"/>
    <w:rsid w:val="507C3625"/>
    <w:rsid w:val="51B64097"/>
    <w:rsid w:val="51C50E4A"/>
    <w:rsid w:val="520D2B85"/>
    <w:rsid w:val="52ED646E"/>
    <w:rsid w:val="53BB244E"/>
    <w:rsid w:val="546F403A"/>
    <w:rsid w:val="54787DFA"/>
    <w:rsid w:val="550279F0"/>
    <w:rsid w:val="55A84226"/>
    <w:rsid w:val="572A7F06"/>
    <w:rsid w:val="58200B15"/>
    <w:rsid w:val="58A81A34"/>
    <w:rsid w:val="58E17A4D"/>
    <w:rsid w:val="598975AC"/>
    <w:rsid w:val="59CE393E"/>
    <w:rsid w:val="59FD4C18"/>
    <w:rsid w:val="5A17396D"/>
    <w:rsid w:val="5A4A5CC7"/>
    <w:rsid w:val="5A5B024F"/>
    <w:rsid w:val="5B1D27E4"/>
    <w:rsid w:val="5B38104C"/>
    <w:rsid w:val="5C3D05DB"/>
    <w:rsid w:val="5CF237A9"/>
    <w:rsid w:val="5D09062A"/>
    <w:rsid w:val="5D90575F"/>
    <w:rsid w:val="5DF2468C"/>
    <w:rsid w:val="5E2E2718"/>
    <w:rsid w:val="5E485188"/>
    <w:rsid w:val="5FF42A07"/>
    <w:rsid w:val="6071292A"/>
    <w:rsid w:val="60A61B01"/>
    <w:rsid w:val="620A2D1C"/>
    <w:rsid w:val="62EB44BB"/>
    <w:rsid w:val="633B245A"/>
    <w:rsid w:val="63BF592E"/>
    <w:rsid w:val="648A3EC0"/>
    <w:rsid w:val="654F46A5"/>
    <w:rsid w:val="65BC1A21"/>
    <w:rsid w:val="65D5257F"/>
    <w:rsid w:val="65E91139"/>
    <w:rsid w:val="67374CE4"/>
    <w:rsid w:val="679C2292"/>
    <w:rsid w:val="67CE31CF"/>
    <w:rsid w:val="67DD018E"/>
    <w:rsid w:val="68A452E5"/>
    <w:rsid w:val="68FB5C91"/>
    <w:rsid w:val="69444B19"/>
    <w:rsid w:val="6986582F"/>
    <w:rsid w:val="69D50439"/>
    <w:rsid w:val="6ACC448C"/>
    <w:rsid w:val="6C9A698D"/>
    <w:rsid w:val="6D1A58E4"/>
    <w:rsid w:val="6D3D53FE"/>
    <w:rsid w:val="6D8459FF"/>
    <w:rsid w:val="6DBE6749"/>
    <w:rsid w:val="6DEA7FFB"/>
    <w:rsid w:val="6E7E3BBF"/>
    <w:rsid w:val="6EFC1FC5"/>
    <w:rsid w:val="6F5F78DF"/>
    <w:rsid w:val="6F72357C"/>
    <w:rsid w:val="706A717E"/>
    <w:rsid w:val="70794339"/>
    <w:rsid w:val="70A66AC1"/>
    <w:rsid w:val="727401AF"/>
    <w:rsid w:val="73AA32BA"/>
    <w:rsid w:val="74367470"/>
    <w:rsid w:val="75A54EEA"/>
    <w:rsid w:val="75C94093"/>
    <w:rsid w:val="766B5054"/>
    <w:rsid w:val="771A7DC5"/>
    <w:rsid w:val="77F62B00"/>
    <w:rsid w:val="7A5C7AF6"/>
    <w:rsid w:val="7A6058DD"/>
    <w:rsid w:val="7B551464"/>
    <w:rsid w:val="7B5F0004"/>
    <w:rsid w:val="7BB610EF"/>
    <w:rsid w:val="7C1A2E75"/>
    <w:rsid w:val="7D152530"/>
    <w:rsid w:val="7EA31514"/>
    <w:rsid w:val="7EBD5DE7"/>
    <w:rsid w:val="7EF40EB9"/>
    <w:rsid w:val="7FDA6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uiPriority="0"/>
    <w:lsdException w:name="HTML Code" w:semiHidden="0" w:qFormat="1"/>
    <w:lsdException w:name="HTML Definition" w:semiHidden="0" w:qFormat="1"/>
    <w:lsdException w:name="HTML Keyboard" w:semiHidden="0" w:qFormat="1"/>
    <w:lsdException w:name="HTML Sample" w:semiHidden="0" w:qFormat="1"/>
    <w:lsdException w:name="Normal Table" w:semiHidden="0" w:qFormat="1"/>
    <w:lsdException w:name="annotation subject" w:semiHidden="0" w:qFormat="1"/>
    <w:lsdException w:name="Balloon Text" w:semiHidden="0" w:qFormat="1"/>
    <w:lsdException w:name="Table Grid"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next w:val="a"/>
    <w:uiPriority w:val="9"/>
    <w:qFormat/>
    <w:pPr>
      <w:spacing w:beforeAutospacing="1" w:afterAutospacing="1"/>
      <w:outlineLvl w:val="0"/>
    </w:pPr>
    <w:rPr>
      <w:rFonts w:cs="Times New Roman" w:hint="eastAsia"/>
      <w:b/>
      <w:kern w:val="44"/>
      <w:sz w:val="48"/>
      <w:szCs w:val="48"/>
    </w:rPr>
  </w:style>
  <w:style w:type="paragraph" w:styleId="2">
    <w:name w:val="heading 2"/>
    <w:basedOn w:val="a"/>
    <w:next w:val="a"/>
    <w:uiPriority w:val="9"/>
    <w:qFormat/>
    <w:pPr>
      <w:spacing w:beforeAutospacing="1" w:afterAutospacing="1"/>
      <w:outlineLvl w:val="1"/>
    </w:pPr>
    <w:rPr>
      <w:rFonts w:cs="Times New Roman"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qFormat/>
    <w:rPr>
      <w:b/>
    </w:rPr>
  </w:style>
  <w:style w:type="character" w:customStyle="1" w:styleId="A11">
    <w:name w:val="A11"/>
    <w:uiPriority w:val="99"/>
    <w:qFormat/>
    <w:rPr>
      <w:color w:val="000000"/>
      <w:sz w:val="11"/>
      <w:szCs w:val="11"/>
    </w:rPr>
  </w:style>
  <w:style w:type="character" w:customStyle="1" w:styleId="Char">
    <w:name w:val="页眉 Char"/>
    <w:link w:val="a3"/>
    <w:uiPriority w:val="99"/>
    <w:qFormat/>
    <w:rPr>
      <w:rFonts w:ascii="宋体" w:eastAsia="宋体" w:hAnsi="宋体" w:cs="宋体"/>
      <w:kern w:val="0"/>
      <w:sz w:val="18"/>
      <w:szCs w:val="18"/>
    </w:rPr>
  </w:style>
  <w:style w:type="character" w:customStyle="1" w:styleId="primary">
    <w:name w:val="primary"/>
    <w:qFormat/>
    <w:rPr>
      <w:color w:val="007398"/>
    </w:rPr>
  </w:style>
  <w:style w:type="character" w:customStyle="1" w:styleId="highlight">
    <w:name w:val="highlight"/>
    <w:basedOn w:val="a0"/>
    <w:qFormat/>
  </w:style>
  <w:style w:type="character" w:customStyle="1" w:styleId="Char0">
    <w:name w:val="页脚 Char"/>
    <w:link w:val="a4"/>
    <w:uiPriority w:val="99"/>
    <w:qFormat/>
    <w:rPr>
      <w:rFonts w:ascii="宋体" w:eastAsia="宋体" w:hAnsi="宋体" w:cs="宋体"/>
      <w:kern w:val="0"/>
      <w:sz w:val="18"/>
      <w:szCs w:val="18"/>
    </w:rPr>
  </w:style>
  <w:style w:type="character" w:customStyle="1" w:styleId="high-light-bg">
    <w:name w:val="high-light-bg"/>
    <w:basedOn w:val="a0"/>
    <w:qFormat/>
  </w:style>
  <w:style w:type="character" w:customStyle="1" w:styleId="Char1">
    <w:name w:val="批注文字 Char"/>
    <w:link w:val="a5"/>
    <w:uiPriority w:val="99"/>
    <w:semiHidden/>
    <w:qFormat/>
    <w:rPr>
      <w:rFonts w:ascii="宋体" w:hAnsi="宋体" w:cs="宋体"/>
      <w:sz w:val="24"/>
      <w:szCs w:val="24"/>
    </w:rPr>
  </w:style>
  <w:style w:type="character" w:customStyle="1" w:styleId="small-caps">
    <w:name w:val="small-caps"/>
    <w:qFormat/>
    <w:rPr>
      <w:smallCaps/>
    </w:rPr>
  </w:style>
  <w:style w:type="character" w:styleId="HTML">
    <w:name w:val="HTML Sample"/>
    <w:uiPriority w:val="99"/>
    <w:unhideWhenUsed/>
    <w:qFormat/>
    <w:rPr>
      <w:rFonts w:ascii="monospace" w:eastAsia="monospace" w:hAnsi="monospace" w:cs="monospace" w:hint="default"/>
      <w:sz w:val="21"/>
      <w:szCs w:val="21"/>
    </w:rPr>
  </w:style>
  <w:style w:type="character" w:styleId="a6">
    <w:name w:val="FollowedHyperlink"/>
    <w:uiPriority w:val="99"/>
    <w:unhideWhenUsed/>
    <w:qFormat/>
    <w:rPr>
      <w:color w:val="007398"/>
      <w:u w:val="none"/>
    </w:rPr>
  </w:style>
  <w:style w:type="character" w:customStyle="1" w:styleId="Char2">
    <w:name w:val="批注主题 Char"/>
    <w:link w:val="a7"/>
    <w:uiPriority w:val="99"/>
    <w:semiHidden/>
    <w:qFormat/>
    <w:rPr>
      <w:rFonts w:ascii="宋体" w:hAnsi="宋体" w:cs="宋体"/>
      <w:b/>
      <w:bCs/>
      <w:sz w:val="24"/>
      <w:szCs w:val="24"/>
    </w:rPr>
  </w:style>
  <w:style w:type="character" w:styleId="HTML0">
    <w:name w:val="HTML Definition"/>
    <w:uiPriority w:val="99"/>
    <w:unhideWhenUsed/>
    <w:qFormat/>
    <w:rPr>
      <w:i/>
    </w:rPr>
  </w:style>
  <w:style w:type="character" w:customStyle="1" w:styleId="Char3">
    <w:name w:val="批注框文本 Char"/>
    <w:link w:val="a8"/>
    <w:uiPriority w:val="99"/>
    <w:semiHidden/>
    <w:qFormat/>
    <w:rPr>
      <w:rFonts w:ascii="宋体" w:hAnsi="宋体" w:cs="宋体"/>
      <w:sz w:val="18"/>
      <w:szCs w:val="18"/>
    </w:rPr>
  </w:style>
  <w:style w:type="character" w:styleId="a9">
    <w:name w:val="annotation reference"/>
    <w:uiPriority w:val="99"/>
    <w:unhideWhenUsed/>
    <w:qFormat/>
    <w:rPr>
      <w:sz w:val="21"/>
      <w:szCs w:val="21"/>
    </w:rPr>
  </w:style>
  <w:style w:type="character" w:styleId="aa">
    <w:name w:val="Hyperlink"/>
    <w:uiPriority w:val="99"/>
    <w:unhideWhenUsed/>
    <w:qFormat/>
    <w:rPr>
      <w:color w:val="0000FF"/>
      <w:u w:val="single"/>
    </w:rPr>
  </w:style>
  <w:style w:type="character" w:styleId="ab">
    <w:name w:val="Emphasis"/>
    <w:uiPriority w:val="20"/>
    <w:qFormat/>
    <w:rPr>
      <w:i/>
      <w:iCs/>
    </w:rPr>
  </w:style>
  <w:style w:type="character" w:customStyle="1" w:styleId="size-m">
    <w:name w:val="size-m"/>
    <w:qFormat/>
    <w:rPr>
      <w:sz w:val="11"/>
      <w:szCs w:val="11"/>
    </w:rPr>
  </w:style>
  <w:style w:type="character" w:styleId="HTML1">
    <w:name w:val="HTML Keyboard"/>
    <w:uiPriority w:val="99"/>
    <w:unhideWhenUsed/>
    <w:qFormat/>
    <w:rPr>
      <w:rFonts w:ascii="monospace" w:eastAsia="monospace" w:hAnsi="monospace" w:cs="monospace"/>
      <w:sz w:val="21"/>
      <w:szCs w:val="21"/>
    </w:rPr>
  </w:style>
  <w:style w:type="character" w:styleId="HTML2">
    <w:name w:val="HTML Code"/>
    <w:uiPriority w:val="99"/>
    <w:unhideWhenUsed/>
    <w:qFormat/>
    <w:rPr>
      <w:rFonts w:ascii="monospace" w:eastAsia="monospace" w:hAnsi="monospace" w:cs="monospace" w:hint="default"/>
      <w:sz w:val="21"/>
      <w:szCs w:val="21"/>
    </w:rPr>
  </w:style>
  <w:style w:type="character" w:customStyle="1" w:styleId="correct-txt">
    <w:name w:val="correct-txt"/>
    <w:basedOn w:val="a0"/>
    <w:qFormat/>
  </w:style>
  <w:style w:type="character" w:customStyle="1" w:styleId="after2">
    <w:name w:val="after2"/>
    <w:basedOn w:val="a0"/>
    <w:qFormat/>
  </w:style>
  <w:style w:type="character" w:styleId="ac">
    <w:name w:val="footnote reference"/>
    <w:uiPriority w:val="99"/>
    <w:unhideWhenUsed/>
    <w:qFormat/>
    <w:rPr>
      <w:vertAlign w:val="superscript"/>
    </w:rPr>
  </w:style>
  <w:style w:type="character" w:styleId="ad">
    <w:name w:val="Strong"/>
    <w:uiPriority w:val="22"/>
    <w:qFormat/>
    <w:rPr>
      <w:b/>
    </w:rPr>
  </w:style>
  <w:style w:type="character" w:customStyle="1" w:styleId="after3">
    <w:name w:val="after3"/>
    <w:basedOn w:val="a0"/>
    <w:qFormat/>
  </w:style>
  <w:style w:type="character" w:customStyle="1" w:styleId="secondary">
    <w:name w:val="secondary"/>
    <w:qFormat/>
    <w:rPr>
      <w:color w:val="737373"/>
    </w:rPr>
  </w:style>
  <w:style w:type="paragraph" w:styleId="a7">
    <w:name w:val="annotation subject"/>
    <w:basedOn w:val="a5"/>
    <w:next w:val="a5"/>
    <w:link w:val="Char2"/>
    <w:uiPriority w:val="99"/>
    <w:unhideWhenUsed/>
    <w:qFormat/>
    <w:rPr>
      <w:b/>
      <w:bCs/>
    </w:rPr>
  </w:style>
  <w:style w:type="paragraph" w:customStyle="1" w:styleId="Revision1">
    <w:name w:val="Revision1"/>
    <w:uiPriority w:val="99"/>
    <w:semiHidden/>
    <w:qFormat/>
    <w:rPr>
      <w:rFonts w:ascii="宋体" w:hAnsi="宋体" w:cs="宋体"/>
      <w:sz w:val="24"/>
      <w:szCs w:val="24"/>
    </w:rPr>
  </w:style>
  <w:style w:type="paragraph" w:customStyle="1" w:styleId="ordinary-output">
    <w:name w:val="ordinary-output"/>
    <w:basedOn w:val="a"/>
    <w:qFormat/>
    <w:pPr>
      <w:spacing w:before="100" w:beforeAutospacing="1" w:after="100" w:afterAutospacing="1"/>
    </w:pPr>
  </w:style>
  <w:style w:type="paragraph" w:styleId="ae">
    <w:name w:val="footnote text"/>
    <w:basedOn w:val="a"/>
    <w:uiPriority w:val="99"/>
    <w:unhideWhenUsed/>
    <w:qFormat/>
    <w:pPr>
      <w:snapToGrid w:val="0"/>
    </w:pPr>
    <w:rPr>
      <w:sz w:val="18"/>
    </w:rPr>
  </w:style>
  <w:style w:type="paragraph" w:customStyle="1" w:styleId="10">
    <w:name w:val="修订1"/>
    <w:uiPriority w:val="99"/>
    <w:semiHidden/>
    <w:qFormat/>
    <w:rPr>
      <w:rFonts w:ascii="宋体" w:hAnsi="宋体" w:cs="宋体"/>
      <w:sz w:val="24"/>
      <w:szCs w:val="24"/>
    </w:rPr>
  </w:style>
  <w:style w:type="paragraph" w:customStyle="1" w:styleId="Default">
    <w:name w:val="Default"/>
    <w:qFormat/>
    <w:pPr>
      <w:widowControl w:val="0"/>
      <w:autoSpaceDE w:val="0"/>
      <w:autoSpaceDN w:val="0"/>
      <w:adjustRightInd w:val="0"/>
    </w:pPr>
    <w:rPr>
      <w:rFonts w:eastAsia="等线"/>
      <w:color w:val="000000"/>
      <w:sz w:val="24"/>
      <w:szCs w:val="24"/>
    </w:rPr>
  </w:style>
  <w:style w:type="paragraph" w:styleId="a3">
    <w:name w:val="header"/>
    <w:basedOn w:val="a"/>
    <w:link w:val="Char"/>
    <w:uiPriority w:val="99"/>
    <w:unhideWhenUsed/>
    <w:qFormat/>
    <w:pPr>
      <w:pBdr>
        <w:bottom w:val="single" w:sz="6" w:space="1" w:color="auto"/>
      </w:pBdr>
      <w:tabs>
        <w:tab w:val="center" w:pos="4153"/>
        <w:tab w:val="right" w:pos="8306"/>
      </w:tabs>
      <w:snapToGrid w:val="0"/>
      <w:jc w:val="center"/>
    </w:pPr>
    <w:rPr>
      <w:rFonts w:cs="Times New Roman"/>
      <w:sz w:val="18"/>
      <w:szCs w:val="18"/>
    </w:rPr>
  </w:style>
  <w:style w:type="paragraph" w:customStyle="1" w:styleId="-11">
    <w:name w:val="彩色列表 - 强调文字颜色 11"/>
    <w:basedOn w:val="a"/>
    <w:uiPriority w:val="34"/>
    <w:qFormat/>
    <w:pPr>
      <w:widowControl w:val="0"/>
      <w:ind w:firstLineChars="200" w:firstLine="420"/>
      <w:jc w:val="both"/>
    </w:pPr>
    <w:rPr>
      <w:rFonts w:ascii="等线" w:eastAsia="等线" w:hAnsi="等线" w:cs="Times New Roman"/>
      <w:kern w:val="2"/>
      <w:sz w:val="21"/>
      <w:szCs w:val="22"/>
    </w:rPr>
  </w:style>
  <w:style w:type="paragraph" w:styleId="a8">
    <w:name w:val="Balloon Text"/>
    <w:basedOn w:val="a"/>
    <w:link w:val="Char3"/>
    <w:uiPriority w:val="99"/>
    <w:unhideWhenUsed/>
    <w:qFormat/>
    <w:rPr>
      <w:rFonts w:cs="Times New Roman"/>
      <w:sz w:val="18"/>
      <w:szCs w:val="18"/>
    </w:rPr>
  </w:style>
  <w:style w:type="paragraph" w:styleId="a4">
    <w:name w:val="footer"/>
    <w:basedOn w:val="a"/>
    <w:link w:val="Char0"/>
    <w:uiPriority w:val="99"/>
    <w:unhideWhenUsed/>
    <w:qFormat/>
    <w:pPr>
      <w:tabs>
        <w:tab w:val="center" w:pos="4153"/>
        <w:tab w:val="right" w:pos="8306"/>
      </w:tabs>
      <w:snapToGrid w:val="0"/>
    </w:pPr>
    <w:rPr>
      <w:rFonts w:cs="Times New Roman"/>
      <w:sz w:val="18"/>
      <w:szCs w:val="18"/>
    </w:rPr>
  </w:style>
  <w:style w:type="paragraph" w:styleId="a5">
    <w:name w:val="annotation text"/>
    <w:basedOn w:val="a"/>
    <w:link w:val="Char1"/>
    <w:uiPriority w:val="99"/>
    <w:unhideWhenUsed/>
    <w:qFormat/>
    <w:rPr>
      <w:rFonts w:cs="Times New Roman"/>
    </w:rPr>
  </w:style>
  <w:style w:type="paragraph" w:customStyle="1" w:styleId="Pa10">
    <w:name w:val="Pa10"/>
    <w:basedOn w:val="Default"/>
    <w:next w:val="Default"/>
    <w:uiPriority w:val="99"/>
    <w:qFormat/>
    <w:pPr>
      <w:spacing w:line="201" w:lineRule="atLeast"/>
    </w:pPr>
    <w:rPr>
      <w:color w:val="auto"/>
    </w:rPr>
  </w:style>
  <w:style w:type="table" w:styleId="af">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a1"/>
    <w:uiPriority w:val="47"/>
    <w:qFormat/>
    <w:tblPr>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left w:val="single" w:sz="12" w:space="0" w:color="9CC2E5"/>
          <w:bottom w:val="nil"/>
          <w:right w:val="nil"/>
          <w:insideH w:val="nil"/>
          <w:insideV w:val="nil"/>
          <w:tl2br w:val="nil"/>
          <w:tr2bl w:val="nil"/>
        </w:tcBorders>
        <w:shd w:val="clear" w:color="auto" w:fill="FFFFFF"/>
      </w:tcPr>
    </w:tblStylePr>
    <w:tblStylePr w:type="lastRow">
      <w:rPr>
        <w:b/>
        <w:bCs/>
      </w:rPr>
      <w:tblPr/>
      <w:tcPr>
        <w:tcBorders>
          <w:top w:val="double" w:sz="2" w:space="0" w:color="9CC2E5"/>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
    <w:name w:val="Grid Table 1 Light Accent 1"/>
    <w:basedOn w:val="a1"/>
    <w:uiPriority w:val="46"/>
    <w:qFormat/>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top w:val="nil"/>
          <w:left w:val="single" w:sz="12" w:space="0" w:color="8EAADB"/>
          <w:bottom w:val="nil"/>
          <w:right w:val="nil"/>
          <w:insideH w:val="nil"/>
          <w:insideV w:val="nil"/>
          <w:tl2br w:val="nil"/>
          <w:tr2bl w:val="nil"/>
        </w:tcBorders>
      </w:tcPr>
    </w:tblStylePr>
    <w:tblStylePr w:type="lastRow">
      <w:rPr>
        <w:b/>
        <w:bCs/>
      </w:rPr>
      <w:tblPr/>
      <w:tcPr>
        <w:tcBorders>
          <w:top w:val="double" w:sz="2" w:space="0" w:color="8EAADB"/>
          <w:left w:val="nil"/>
          <w:bottom w:val="nil"/>
          <w:right w:val="nil"/>
          <w:insideH w:val="nil"/>
          <w:insideV w:val="nil"/>
          <w:tl2br w:val="nil"/>
          <w:tr2bl w:val="nil"/>
        </w:tcBorders>
      </w:tcPr>
    </w:tblStylePr>
    <w:tblStylePr w:type="firstCol">
      <w:rPr>
        <w:b/>
        <w:bCs/>
      </w:rPr>
    </w:tblStylePr>
    <w:tblStylePr w:type="lastCol">
      <w:rPr>
        <w:b/>
        <w:bCs/>
      </w:rPr>
    </w:tblStylePr>
  </w:style>
  <w:style w:type="paragraph" w:customStyle="1" w:styleId="Normal1">
    <w:name w:val="Normal1"/>
    <w:rsid w:val="007A5608"/>
    <w:pPr>
      <w:spacing w:after="200" w:line="276" w:lineRule="auto"/>
    </w:pPr>
    <w:rPr>
      <w:rFonts w:ascii="Calibri" w:eastAsia="Calibri" w:hAnsi="Calibri" w:cs="Calibri"/>
      <w:sz w:val="22"/>
      <w:szCs w:val="22"/>
      <w:lang w:eastAsia="en-US"/>
    </w:rPr>
  </w:style>
  <w:style w:type="character" w:customStyle="1" w:styleId="normaltextrun">
    <w:name w:val="normaltextrun"/>
    <w:rsid w:val="007A5608"/>
  </w:style>
  <w:style w:type="paragraph" w:customStyle="1" w:styleId="paragraph">
    <w:name w:val="paragraph"/>
    <w:basedOn w:val="a"/>
    <w:rsid w:val="007A5608"/>
    <w:pPr>
      <w:spacing w:before="100" w:beforeAutospacing="1" w:after="100" w:afterAutospacing="1"/>
    </w:pPr>
    <w:rPr>
      <w:rFonts w:ascii="Times New Roman" w:hAnsi="Times New Roman" w:cs="Times New Roman"/>
      <w:lang w:eastAsia="en-US"/>
    </w:rPr>
  </w:style>
  <w:style w:type="paragraph" w:styleId="af0">
    <w:name w:val="Plain Text"/>
    <w:basedOn w:val="a"/>
    <w:link w:val="Char4"/>
    <w:rsid w:val="007A5608"/>
    <w:pPr>
      <w:widowControl w:val="0"/>
      <w:jc w:val="both"/>
    </w:pPr>
    <w:rPr>
      <w:rFonts w:hAnsi="Courier New" w:cs="Courier New"/>
      <w:kern w:val="2"/>
      <w:sz w:val="21"/>
      <w:szCs w:val="21"/>
    </w:rPr>
  </w:style>
  <w:style w:type="character" w:customStyle="1" w:styleId="Char4">
    <w:name w:val="纯文本 Char"/>
    <w:link w:val="af0"/>
    <w:rsid w:val="007A5608"/>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uiPriority="0"/>
    <w:lsdException w:name="HTML Code" w:semiHidden="0" w:qFormat="1"/>
    <w:lsdException w:name="HTML Definition" w:semiHidden="0" w:qFormat="1"/>
    <w:lsdException w:name="HTML Keyboard" w:semiHidden="0" w:qFormat="1"/>
    <w:lsdException w:name="HTML Sample" w:semiHidden="0" w:qFormat="1"/>
    <w:lsdException w:name="Normal Table" w:semiHidden="0" w:qFormat="1"/>
    <w:lsdException w:name="annotation subject" w:semiHidden="0" w:qFormat="1"/>
    <w:lsdException w:name="Balloon Text" w:semiHidden="0" w:qFormat="1"/>
    <w:lsdException w:name="Table Grid"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next w:val="a"/>
    <w:uiPriority w:val="9"/>
    <w:qFormat/>
    <w:pPr>
      <w:spacing w:beforeAutospacing="1" w:afterAutospacing="1"/>
      <w:outlineLvl w:val="0"/>
    </w:pPr>
    <w:rPr>
      <w:rFonts w:cs="Times New Roman" w:hint="eastAsia"/>
      <w:b/>
      <w:kern w:val="44"/>
      <w:sz w:val="48"/>
      <w:szCs w:val="48"/>
    </w:rPr>
  </w:style>
  <w:style w:type="paragraph" w:styleId="2">
    <w:name w:val="heading 2"/>
    <w:basedOn w:val="a"/>
    <w:next w:val="a"/>
    <w:uiPriority w:val="9"/>
    <w:qFormat/>
    <w:pPr>
      <w:spacing w:beforeAutospacing="1" w:afterAutospacing="1"/>
      <w:outlineLvl w:val="1"/>
    </w:pPr>
    <w:rPr>
      <w:rFonts w:cs="Times New Roman"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qFormat/>
    <w:rPr>
      <w:b/>
    </w:rPr>
  </w:style>
  <w:style w:type="character" w:customStyle="1" w:styleId="A11">
    <w:name w:val="A11"/>
    <w:uiPriority w:val="99"/>
    <w:qFormat/>
    <w:rPr>
      <w:color w:val="000000"/>
      <w:sz w:val="11"/>
      <w:szCs w:val="11"/>
    </w:rPr>
  </w:style>
  <w:style w:type="character" w:customStyle="1" w:styleId="Char">
    <w:name w:val="页眉 Char"/>
    <w:link w:val="a3"/>
    <w:uiPriority w:val="99"/>
    <w:qFormat/>
    <w:rPr>
      <w:rFonts w:ascii="宋体" w:eastAsia="宋体" w:hAnsi="宋体" w:cs="宋体"/>
      <w:kern w:val="0"/>
      <w:sz w:val="18"/>
      <w:szCs w:val="18"/>
    </w:rPr>
  </w:style>
  <w:style w:type="character" w:customStyle="1" w:styleId="primary">
    <w:name w:val="primary"/>
    <w:qFormat/>
    <w:rPr>
      <w:color w:val="007398"/>
    </w:rPr>
  </w:style>
  <w:style w:type="character" w:customStyle="1" w:styleId="highlight">
    <w:name w:val="highlight"/>
    <w:basedOn w:val="a0"/>
    <w:qFormat/>
  </w:style>
  <w:style w:type="character" w:customStyle="1" w:styleId="Char0">
    <w:name w:val="页脚 Char"/>
    <w:link w:val="a4"/>
    <w:uiPriority w:val="99"/>
    <w:qFormat/>
    <w:rPr>
      <w:rFonts w:ascii="宋体" w:eastAsia="宋体" w:hAnsi="宋体" w:cs="宋体"/>
      <w:kern w:val="0"/>
      <w:sz w:val="18"/>
      <w:szCs w:val="18"/>
    </w:rPr>
  </w:style>
  <w:style w:type="character" w:customStyle="1" w:styleId="high-light-bg">
    <w:name w:val="high-light-bg"/>
    <w:basedOn w:val="a0"/>
    <w:qFormat/>
  </w:style>
  <w:style w:type="character" w:customStyle="1" w:styleId="Char1">
    <w:name w:val="批注文字 Char"/>
    <w:link w:val="a5"/>
    <w:uiPriority w:val="99"/>
    <w:semiHidden/>
    <w:qFormat/>
    <w:rPr>
      <w:rFonts w:ascii="宋体" w:hAnsi="宋体" w:cs="宋体"/>
      <w:sz w:val="24"/>
      <w:szCs w:val="24"/>
    </w:rPr>
  </w:style>
  <w:style w:type="character" w:customStyle="1" w:styleId="small-caps">
    <w:name w:val="small-caps"/>
    <w:qFormat/>
    <w:rPr>
      <w:smallCaps/>
    </w:rPr>
  </w:style>
  <w:style w:type="character" w:styleId="HTML">
    <w:name w:val="HTML Sample"/>
    <w:uiPriority w:val="99"/>
    <w:unhideWhenUsed/>
    <w:qFormat/>
    <w:rPr>
      <w:rFonts w:ascii="monospace" w:eastAsia="monospace" w:hAnsi="monospace" w:cs="monospace" w:hint="default"/>
      <w:sz w:val="21"/>
      <w:szCs w:val="21"/>
    </w:rPr>
  </w:style>
  <w:style w:type="character" w:styleId="a6">
    <w:name w:val="FollowedHyperlink"/>
    <w:uiPriority w:val="99"/>
    <w:unhideWhenUsed/>
    <w:qFormat/>
    <w:rPr>
      <w:color w:val="007398"/>
      <w:u w:val="none"/>
    </w:rPr>
  </w:style>
  <w:style w:type="character" w:customStyle="1" w:styleId="Char2">
    <w:name w:val="批注主题 Char"/>
    <w:link w:val="a7"/>
    <w:uiPriority w:val="99"/>
    <w:semiHidden/>
    <w:qFormat/>
    <w:rPr>
      <w:rFonts w:ascii="宋体" w:hAnsi="宋体" w:cs="宋体"/>
      <w:b/>
      <w:bCs/>
      <w:sz w:val="24"/>
      <w:szCs w:val="24"/>
    </w:rPr>
  </w:style>
  <w:style w:type="character" w:styleId="HTML0">
    <w:name w:val="HTML Definition"/>
    <w:uiPriority w:val="99"/>
    <w:unhideWhenUsed/>
    <w:qFormat/>
    <w:rPr>
      <w:i/>
    </w:rPr>
  </w:style>
  <w:style w:type="character" w:customStyle="1" w:styleId="Char3">
    <w:name w:val="批注框文本 Char"/>
    <w:link w:val="a8"/>
    <w:uiPriority w:val="99"/>
    <w:semiHidden/>
    <w:qFormat/>
    <w:rPr>
      <w:rFonts w:ascii="宋体" w:hAnsi="宋体" w:cs="宋体"/>
      <w:sz w:val="18"/>
      <w:szCs w:val="18"/>
    </w:rPr>
  </w:style>
  <w:style w:type="character" w:styleId="a9">
    <w:name w:val="annotation reference"/>
    <w:uiPriority w:val="99"/>
    <w:unhideWhenUsed/>
    <w:qFormat/>
    <w:rPr>
      <w:sz w:val="21"/>
      <w:szCs w:val="21"/>
    </w:rPr>
  </w:style>
  <w:style w:type="character" w:styleId="aa">
    <w:name w:val="Hyperlink"/>
    <w:uiPriority w:val="99"/>
    <w:unhideWhenUsed/>
    <w:qFormat/>
    <w:rPr>
      <w:color w:val="0000FF"/>
      <w:u w:val="single"/>
    </w:rPr>
  </w:style>
  <w:style w:type="character" w:styleId="ab">
    <w:name w:val="Emphasis"/>
    <w:uiPriority w:val="20"/>
    <w:qFormat/>
    <w:rPr>
      <w:i/>
      <w:iCs/>
    </w:rPr>
  </w:style>
  <w:style w:type="character" w:customStyle="1" w:styleId="size-m">
    <w:name w:val="size-m"/>
    <w:qFormat/>
    <w:rPr>
      <w:sz w:val="11"/>
      <w:szCs w:val="11"/>
    </w:rPr>
  </w:style>
  <w:style w:type="character" w:styleId="HTML1">
    <w:name w:val="HTML Keyboard"/>
    <w:uiPriority w:val="99"/>
    <w:unhideWhenUsed/>
    <w:qFormat/>
    <w:rPr>
      <w:rFonts w:ascii="monospace" w:eastAsia="monospace" w:hAnsi="monospace" w:cs="monospace"/>
      <w:sz w:val="21"/>
      <w:szCs w:val="21"/>
    </w:rPr>
  </w:style>
  <w:style w:type="character" w:styleId="HTML2">
    <w:name w:val="HTML Code"/>
    <w:uiPriority w:val="99"/>
    <w:unhideWhenUsed/>
    <w:qFormat/>
    <w:rPr>
      <w:rFonts w:ascii="monospace" w:eastAsia="monospace" w:hAnsi="monospace" w:cs="monospace" w:hint="default"/>
      <w:sz w:val="21"/>
      <w:szCs w:val="21"/>
    </w:rPr>
  </w:style>
  <w:style w:type="character" w:customStyle="1" w:styleId="correct-txt">
    <w:name w:val="correct-txt"/>
    <w:basedOn w:val="a0"/>
    <w:qFormat/>
  </w:style>
  <w:style w:type="character" w:customStyle="1" w:styleId="after2">
    <w:name w:val="after2"/>
    <w:basedOn w:val="a0"/>
    <w:qFormat/>
  </w:style>
  <w:style w:type="character" w:styleId="ac">
    <w:name w:val="footnote reference"/>
    <w:uiPriority w:val="99"/>
    <w:unhideWhenUsed/>
    <w:qFormat/>
    <w:rPr>
      <w:vertAlign w:val="superscript"/>
    </w:rPr>
  </w:style>
  <w:style w:type="character" w:styleId="ad">
    <w:name w:val="Strong"/>
    <w:uiPriority w:val="22"/>
    <w:qFormat/>
    <w:rPr>
      <w:b/>
    </w:rPr>
  </w:style>
  <w:style w:type="character" w:customStyle="1" w:styleId="after3">
    <w:name w:val="after3"/>
    <w:basedOn w:val="a0"/>
    <w:qFormat/>
  </w:style>
  <w:style w:type="character" w:customStyle="1" w:styleId="secondary">
    <w:name w:val="secondary"/>
    <w:qFormat/>
    <w:rPr>
      <w:color w:val="737373"/>
    </w:rPr>
  </w:style>
  <w:style w:type="paragraph" w:styleId="a7">
    <w:name w:val="annotation subject"/>
    <w:basedOn w:val="a5"/>
    <w:next w:val="a5"/>
    <w:link w:val="Char2"/>
    <w:uiPriority w:val="99"/>
    <w:unhideWhenUsed/>
    <w:qFormat/>
    <w:rPr>
      <w:b/>
      <w:bCs/>
    </w:rPr>
  </w:style>
  <w:style w:type="paragraph" w:customStyle="1" w:styleId="Revision1">
    <w:name w:val="Revision1"/>
    <w:uiPriority w:val="99"/>
    <w:semiHidden/>
    <w:qFormat/>
    <w:rPr>
      <w:rFonts w:ascii="宋体" w:hAnsi="宋体" w:cs="宋体"/>
      <w:sz w:val="24"/>
      <w:szCs w:val="24"/>
    </w:rPr>
  </w:style>
  <w:style w:type="paragraph" w:customStyle="1" w:styleId="ordinary-output">
    <w:name w:val="ordinary-output"/>
    <w:basedOn w:val="a"/>
    <w:qFormat/>
    <w:pPr>
      <w:spacing w:before="100" w:beforeAutospacing="1" w:after="100" w:afterAutospacing="1"/>
    </w:pPr>
  </w:style>
  <w:style w:type="paragraph" w:styleId="ae">
    <w:name w:val="footnote text"/>
    <w:basedOn w:val="a"/>
    <w:uiPriority w:val="99"/>
    <w:unhideWhenUsed/>
    <w:qFormat/>
    <w:pPr>
      <w:snapToGrid w:val="0"/>
    </w:pPr>
    <w:rPr>
      <w:sz w:val="18"/>
    </w:rPr>
  </w:style>
  <w:style w:type="paragraph" w:customStyle="1" w:styleId="10">
    <w:name w:val="修订1"/>
    <w:uiPriority w:val="99"/>
    <w:semiHidden/>
    <w:qFormat/>
    <w:rPr>
      <w:rFonts w:ascii="宋体" w:hAnsi="宋体" w:cs="宋体"/>
      <w:sz w:val="24"/>
      <w:szCs w:val="24"/>
    </w:rPr>
  </w:style>
  <w:style w:type="paragraph" w:customStyle="1" w:styleId="Default">
    <w:name w:val="Default"/>
    <w:qFormat/>
    <w:pPr>
      <w:widowControl w:val="0"/>
      <w:autoSpaceDE w:val="0"/>
      <w:autoSpaceDN w:val="0"/>
      <w:adjustRightInd w:val="0"/>
    </w:pPr>
    <w:rPr>
      <w:rFonts w:eastAsia="等线"/>
      <w:color w:val="000000"/>
      <w:sz w:val="24"/>
      <w:szCs w:val="24"/>
    </w:rPr>
  </w:style>
  <w:style w:type="paragraph" w:styleId="a3">
    <w:name w:val="header"/>
    <w:basedOn w:val="a"/>
    <w:link w:val="Char"/>
    <w:uiPriority w:val="99"/>
    <w:unhideWhenUsed/>
    <w:qFormat/>
    <w:pPr>
      <w:pBdr>
        <w:bottom w:val="single" w:sz="6" w:space="1" w:color="auto"/>
      </w:pBdr>
      <w:tabs>
        <w:tab w:val="center" w:pos="4153"/>
        <w:tab w:val="right" w:pos="8306"/>
      </w:tabs>
      <w:snapToGrid w:val="0"/>
      <w:jc w:val="center"/>
    </w:pPr>
    <w:rPr>
      <w:rFonts w:cs="Times New Roman"/>
      <w:sz w:val="18"/>
      <w:szCs w:val="18"/>
    </w:rPr>
  </w:style>
  <w:style w:type="paragraph" w:customStyle="1" w:styleId="-11">
    <w:name w:val="彩色列表 - 强调文字颜色 11"/>
    <w:basedOn w:val="a"/>
    <w:uiPriority w:val="34"/>
    <w:qFormat/>
    <w:pPr>
      <w:widowControl w:val="0"/>
      <w:ind w:firstLineChars="200" w:firstLine="420"/>
      <w:jc w:val="both"/>
    </w:pPr>
    <w:rPr>
      <w:rFonts w:ascii="等线" w:eastAsia="等线" w:hAnsi="等线" w:cs="Times New Roman"/>
      <w:kern w:val="2"/>
      <w:sz w:val="21"/>
      <w:szCs w:val="22"/>
    </w:rPr>
  </w:style>
  <w:style w:type="paragraph" w:styleId="a8">
    <w:name w:val="Balloon Text"/>
    <w:basedOn w:val="a"/>
    <w:link w:val="Char3"/>
    <w:uiPriority w:val="99"/>
    <w:unhideWhenUsed/>
    <w:qFormat/>
    <w:rPr>
      <w:rFonts w:cs="Times New Roman"/>
      <w:sz w:val="18"/>
      <w:szCs w:val="18"/>
    </w:rPr>
  </w:style>
  <w:style w:type="paragraph" w:styleId="a4">
    <w:name w:val="footer"/>
    <w:basedOn w:val="a"/>
    <w:link w:val="Char0"/>
    <w:uiPriority w:val="99"/>
    <w:unhideWhenUsed/>
    <w:qFormat/>
    <w:pPr>
      <w:tabs>
        <w:tab w:val="center" w:pos="4153"/>
        <w:tab w:val="right" w:pos="8306"/>
      </w:tabs>
      <w:snapToGrid w:val="0"/>
    </w:pPr>
    <w:rPr>
      <w:rFonts w:cs="Times New Roman"/>
      <w:sz w:val="18"/>
      <w:szCs w:val="18"/>
    </w:rPr>
  </w:style>
  <w:style w:type="paragraph" w:styleId="a5">
    <w:name w:val="annotation text"/>
    <w:basedOn w:val="a"/>
    <w:link w:val="Char1"/>
    <w:uiPriority w:val="99"/>
    <w:unhideWhenUsed/>
    <w:qFormat/>
    <w:rPr>
      <w:rFonts w:cs="Times New Roman"/>
    </w:rPr>
  </w:style>
  <w:style w:type="paragraph" w:customStyle="1" w:styleId="Pa10">
    <w:name w:val="Pa10"/>
    <w:basedOn w:val="Default"/>
    <w:next w:val="Default"/>
    <w:uiPriority w:val="99"/>
    <w:qFormat/>
    <w:pPr>
      <w:spacing w:line="201" w:lineRule="atLeast"/>
    </w:pPr>
    <w:rPr>
      <w:color w:val="auto"/>
    </w:rPr>
  </w:style>
  <w:style w:type="table" w:styleId="af">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a1"/>
    <w:uiPriority w:val="47"/>
    <w:qFormat/>
    <w:tblPr>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left w:val="single" w:sz="12" w:space="0" w:color="9CC2E5"/>
          <w:bottom w:val="nil"/>
          <w:right w:val="nil"/>
          <w:insideH w:val="nil"/>
          <w:insideV w:val="nil"/>
          <w:tl2br w:val="nil"/>
          <w:tr2bl w:val="nil"/>
        </w:tcBorders>
        <w:shd w:val="clear" w:color="auto" w:fill="FFFFFF"/>
      </w:tcPr>
    </w:tblStylePr>
    <w:tblStylePr w:type="lastRow">
      <w:rPr>
        <w:b/>
        <w:bCs/>
      </w:rPr>
      <w:tblPr/>
      <w:tcPr>
        <w:tcBorders>
          <w:top w:val="double" w:sz="2" w:space="0" w:color="9CC2E5"/>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
    <w:name w:val="Grid Table 1 Light Accent 1"/>
    <w:basedOn w:val="a1"/>
    <w:uiPriority w:val="46"/>
    <w:qFormat/>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top w:val="nil"/>
          <w:left w:val="single" w:sz="12" w:space="0" w:color="8EAADB"/>
          <w:bottom w:val="nil"/>
          <w:right w:val="nil"/>
          <w:insideH w:val="nil"/>
          <w:insideV w:val="nil"/>
          <w:tl2br w:val="nil"/>
          <w:tr2bl w:val="nil"/>
        </w:tcBorders>
      </w:tcPr>
    </w:tblStylePr>
    <w:tblStylePr w:type="lastRow">
      <w:rPr>
        <w:b/>
        <w:bCs/>
      </w:rPr>
      <w:tblPr/>
      <w:tcPr>
        <w:tcBorders>
          <w:top w:val="double" w:sz="2" w:space="0" w:color="8EAADB"/>
          <w:left w:val="nil"/>
          <w:bottom w:val="nil"/>
          <w:right w:val="nil"/>
          <w:insideH w:val="nil"/>
          <w:insideV w:val="nil"/>
          <w:tl2br w:val="nil"/>
          <w:tr2bl w:val="nil"/>
        </w:tcBorders>
      </w:tcPr>
    </w:tblStylePr>
    <w:tblStylePr w:type="firstCol">
      <w:rPr>
        <w:b/>
        <w:bCs/>
      </w:rPr>
    </w:tblStylePr>
    <w:tblStylePr w:type="lastCol">
      <w:rPr>
        <w:b/>
        <w:bCs/>
      </w:rPr>
    </w:tblStylePr>
  </w:style>
  <w:style w:type="paragraph" w:customStyle="1" w:styleId="Normal1">
    <w:name w:val="Normal1"/>
    <w:rsid w:val="007A5608"/>
    <w:pPr>
      <w:spacing w:after="200" w:line="276" w:lineRule="auto"/>
    </w:pPr>
    <w:rPr>
      <w:rFonts w:ascii="Calibri" w:eastAsia="Calibri" w:hAnsi="Calibri" w:cs="Calibri"/>
      <w:sz w:val="22"/>
      <w:szCs w:val="22"/>
      <w:lang w:eastAsia="en-US"/>
    </w:rPr>
  </w:style>
  <w:style w:type="character" w:customStyle="1" w:styleId="normaltextrun">
    <w:name w:val="normaltextrun"/>
    <w:rsid w:val="007A5608"/>
  </w:style>
  <w:style w:type="paragraph" w:customStyle="1" w:styleId="paragraph">
    <w:name w:val="paragraph"/>
    <w:basedOn w:val="a"/>
    <w:rsid w:val="007A5608"/>
    <w:pPr>
      <w:spacing w:before="100" w:beforeAutospacing="1" w:after="100" w:afterAutospacing="1"/>
    </w:pPr>
    <w:rPr>
      <w:rFonts w:ascii="Times New Roman" w:hAnsi="Times New Roman" w:cs="Times New Roman"/>
      <w:lang w:eastAsia="en-US"/>
    </w:rPr>
  </w:style>
  <w:style w:type="paragraph" w:styleId="af0">
    <w:name w:val="Plain Text"/>
    <w:basedOn w:val="a"/>
    <w:link w:val="Char4"/>
    <w:rsid w:val="007A5608"/>
    <w:pPr>
      <w:widowControl w:val="0"/>
      <w:jc w:val="both"/>
    </w:pPr>
    <w:rPr>
      <w:rFonts w:hAnsi="Courier New" w:cs="Courier New"/>
      <w:kern w:val="2"/>
      <w:sz w:val="21"/>
      <w:szCs w:val="21"/>
    </w:rPr>
  </w:style>
  <w:style w:type="character" w:customStyle="1" w:styleId="Char4">
    <w:name w:val="纯文本 Char"/>
    <w:link w:val="af0"/>
    <w:rsid w:val="007A5608"/>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4534</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houde</dc:creator>
  <cp:lastModifiedBy>liujihong2008@qq.con</cp:lastModifiedBy>
  <cp:revision>4</cp:revision>
  <cp:lastPrinted>2019-10-27T12:24:00Z</cp:lastPrinted>
  <dcterms:created xsi:type="dcterms:W3CDTF">2020-05-21T08:07:00Z</dcterms:created>
  <dcterms:modified xsi:type="dcterms:W3CDTF">2020-05-22T03:39:00Z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